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footer7.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4.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5.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6.xml" ContentType="application/vnd.openxmlformats-officedocument.themeOverride+xml"/>
  <Override PartName="/word/header8.xml" ContentType="application/vnd.openxmlformats-officedocument.wordprocessingml.header+xml"/>
  <Override PartName="/word/footer8.xml" ContentType="application/vnd.openxmlformats-officedocument.wordprocessingml.footer+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header9.xml" ContentType="application/vnd.openxmlformats-officedocument.wordprocessingml.header+xml"/>
  <Override PartName="/word/footer9.xml" ContentType="application/vnd.openxmlformats-officedocument.wordprocessingml.footer+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59D708" w14:textId="77777777" w:rsidR="00EB0A9A" w:rsidRDefault="00EB0A9A" w:rsidP="0064051A">
      <w:pPr>
        <w:spacing w:before="120" w:after="240"/>
        <w:jc w:val="center"/>
        <w:rPr>
          <w:rFonts w:ascii="Arial Narrow" w:hAnsi="Arial Narrow"/>
          <w:b/>
          <w:bCs/>
          <w:noProof/>
          <w:spacing w:val="8"/>
          <w:sz w:val="40"/>
          <w:szCs w:val="40"/>
          <w:lang w:eastAsia="de-DE"/>
        </w:rPr>
      </w:pPr>
    </w:p>
    <w:p w14:paraId="459A5D65" w14:textId="77777777" w:rsidR="00FC6BFD" w:rsidRDefault="00FC6BFD" w:rsidP="0064051A">
      <w:pPr>
        <w:spacing w:before="120" w:after="240"/>
        <w:jc w:val="center"/>
        <w:rPr>
          <w:rFonts w:ascii="Arial Narrow" w:hAnsi="Arial Narrow"/>
          <w:b/>
          <w:bCs/>
          <w:noProof/>
          <w:spacing w:val="8"/>
          <w:sz w:val="40"/>
          <w:szCs w:val="40"/>
          <w:lang w:eastAsia="de-DE"/>
        </w:rPr>
      </w:pPr>
    </w:p>
    <w:p w14:paraId="6574EAF5" w14:textId="77777777" w:rsidR="00C466E5" w:rsidRDefault="00EB0A9A" w:rsidP="0064051A">
      <w:pPr>
        <w:spacing w:before="120" w:after="240"/>
        <w:jc w:val="center"/>
        <w:rPr>
          <w:rFonts w:ascii="Arial Narrow" w:hAnsi="Arial Narrow"/>
          <w:b/>
          <w:bCs/>
          <w:noProof/>
          <w:spacing w:val="8"/>
          <w:sz w:val="40"/>
          <w:szCs w:val="40"/>
          <w:lang w:eastAsia="de-DE"/>
        </w:rPr>
      </w:pPr>
      <w:r w:rsidRPr="00EB0A9A">
        <w:rPr>
          <w:rFonts w:ascii="Arial Narrow" w:hAnsi="Arial Narrow"/>
          <w:b/>
          <w:bCs/>
          <w:noProof/>
          <w:spacing w:val="8"/>
          <w:sz w:val="40"/>
          <w:szCs w:val="40"/>
          <w:lang w:eastAsia="de-DE"/>
        </w:rPr>
        <w:t>PLANI NDËRKOMUNAL PËR MENAXHIMIN E INTEGRUAR</w:t>
      </w:r>
    </w:p>
    <w:p w14:paraId="27953A1B" w14:textId="71A5171F" w:rsidR="00C466E5" w:rsidRDefault="00EB0A9A" w:rsidP="0064051A">
      <w:pPr>
        <w:spacing w:before="120" w:after="240"/>
        <w:jc w:val="center"/>
        <w:rPr>
          <w:rFonts w:ascii="Arial Narrow" w:hAnsi="Arial Narrow"/>
          <w:b/>
          <w:bCs/>
          <w:noProof/>
          <w:spacing w:val="8"/>
          <w:sz w:val="40"/>
          <w:szCs w:val="40"/>
          <w:lang w:eastAsia="de-DE"/>
        </w:rPr>
      </w:pPr>
      <w:r w:rsidRPr="00EB0A9A">
        <w:rPr>
          <w:rFonts w:ascii="Arial Narrow" w:hAnsi="Arial Narrow"/>
          <w:b/>
          <w:bCs/>
          <w:noProof/>
          <w:spacing w:val="8"/>
          <w:sz w:val="40"/>
          <w:szCs w:val="40"/>
          <w:lang w:eastAsia="de-DE"/>
        </w:rPr>
        <w:t xml:space="preserve"> TË MBETURINAVE </w:t>
      </w:r>
      <w:r w:rsidR="00C466E5">
        <w:rPr>
          <w:rFonts w:ascii="Arial Narrow" w:hAnsi="Arial Narrow"/>
          <w:b/>
          <w:bCs/>
          <w:noProof/>
          <w:spacing w:val="8"/>
          <w:sz w:val="40"/>
          <w:szCs w:val="40"/>
          <w:lang w:eastAsia="de-DE"/>
        </w:rPr>
        <w:t xml:space="preserve">(PNMIM) </w:t>
      </w:r>
    </w:p>
    <w:p w14:paraId="619A25B2" w14:textId="77777777" w:rsidR="00C466E5" w:rsidRDefault="00EB0A9A" w:rsidP="0064051A">
      <w:pPr>
        <w:spacing w:before="120" w:after="240"/>
        <w:jc w:val="center"/>
        <w:rPr>
          <w:rFonts w:ascii="Arial Narrow" w:hAnsi="Arial Narrow"/>
          <w:b/>
          <w:bCs/>
          <w:noProof/>
          <w:spacing w:val="8"/>
          <w:sz w:val="40"/>
          <w:szCs w:val="40"/>
          <w:lang w:eastAsia="de-DE"/>
        </w:rPr>
      </w:pPr>
      <w:r w:rsidRPr="00EB0A9A">
        <w:rPr>
          <w:rFonts w:ascii="Arial Narrow" w:hAnsi="Arial Narrow"/>
          <w:b/>
          <w:bCs/>
          <w:noProof/>
          <w:spacing w:val="8"/>
          <w:sz w:val="40"/>
          <w:szCs w:val="40"/>
          <w:lang w:eastAsia="de-DE"/>
        </w:rPr>
        <w:t xml:space="preserve">PËR PESË KOMUNAT E RAJONIT TË DUKAGJINIT: </w:t>
      </w:r>
    </w:p>
    <w:p w14:paraId="7394C2E7" w14:textId="79057659" w:rsidR="00C466E5" w:rsidRDefault="00EB0A9A" w:rsidP="0064051A">
      <w:pPr>
        <w:spacing w:before="120" w:after="240"/>
        <w:jc w:val="center"/>
        <w:rPr>
          <w:rFonts w:ascii="Arial Narrow" w:hAnsi="Arial Narrow"/>
          <w:b/>
          <w:bCs/>
          <w:noProof/>
          <w:spacing w:val="8"/>
          <w:sz w:val="40"/>
          <w:szCs w:val="40"/>
          <w:lang w:eastAsia="de-DE"/>
        </w:rPr>
      </w:pPr>
      <w:r w:rsidRPr="00EB0A9A">
        <w:rPr>
          <w:rFonts w:ascii="Arial Narrow" w:hAnsi="Arial Narrow"/>
          <w:b/>
          <w:bCs/>
          <w:noProof/>
          <w:spacing w:val="8"/>
          <w:sz w:val="40"/>
          <w:szCs w:val="40"/>
          <w:lang w:eastAsia="de-DE"/>
        </w:rPr>
        <w:t>PEJË, KLINË, ISTOG, DEÇAN DHE JUNIK</w:t>
      </w:r>
    </w:p>
    <w:p w14:paraId="51FE596F" w14:textId="22E2D868" w:rsidR="00691607" w:rsidRPr="00EB0A9A" w:rsidRDefault="00EB0A9A" w:rsidP="0064051A">
      <w:pPr>
        <w:spacing w:before="120" w:after="240"/>
        <w:jc w:val="center"/>
        <w:rPr>
          <w:rFonts w:ascii="Arial Narrow" w:hAnsi="Arial Narrow"/>
          <w:b/>
          <w:bCs/>
          <w:noProof/>
          <w:spacing w:val="8"/>
          <w:sz w:val="40"/>
          <w:szCs w:val="40"/>
          <w:lang w:eastAsia="de-DE"/>
        </w:rPr>
      </w:pPr>
      <w:r w:rsidRPr="00EB0A9A">
        <w:rPr>
          <w:rFonts w:ascii="Arial Narrow" w:hAnsi="Arial Narrow"/>
          <w:b/>
          <w:bCs/>
          <w:noProof/>
          <w:spacing w:val="8"/>
          <w:sz w:val="40"/>
          <w:szCs w:val="40"/>
          <w:lang w:eastAsia="de-DE"/>
        </w:rPr>
        <w:t>2025 – 2035</w:t>
      </w:r>
    </w:p>
    <w:p w14:paraId="314B01B0" w14:textId="77777777" w:rsidR="00691607" w:rsidRDefault="00691607" w:rsidP="00F853F4">
      <w:pPr>
        <w:spacing w:before="120" w:after="240"/>
        <w:ind w:left="3402" w:hanging="3402"/>
        <w:rPr>
          <w:rFonts w:ascii="Arial Narrow" w:hAnsi="Arial Narrow"/>
          <w:b/>
          <w:bCs/>
          <w:spacing w:val="8"/>
          <w:sz w:val="22"/>
          <w:szCs w:val="22"/>
        </w:rPr>
      </w:pPr>
    </w:p>
    <w:p w14:paraId="4DD18202" w14:textId="77777777" w:rsidR="00E4761E" w:rsidRDefault="00E4761E" w:rsidP="00F853F4">
      <w:pPr>
        <w:spacing w:before="120" w:after="240"/>
        <w:ind w:left="3402" w:hanging="3402"/>
        <w:rPr>
          <w:rFonts w:ascii="Arial Narrow" w:hAnsi="Arial Narrow"/>
          <w:b/>
          <w:bCs/>
          <w:spacing w:val="8"/>
          <w:sz w:val="22"/>
          <w:szCs w:val="22"/>
        </w:rPr>
      </w:pPr>
    </w:p>
    <w:p w14:paraId="2973506A" w14:textId="77777777" w:rsidR="00E4761E" w:rsidRDefault="00E4761E" w:rsidP="00F853F4">
      <w:pPr>
        <w:spacing w:before="120" w:after="240"/>
        <w:ind w:left="3402" w:hanging="3402"/>
        <w:rPr>
          <w:rFonts w:ascii="Arial Narrow" w:hAnsi="Arial Narrow"/>
          <w:b/>
          <w:bCs/>
          <w:spacing w:val="8"/>
          <w:sz w:val="22"/>
          <w:szCs w:val="22"/>
        </w:rPr>
      </w:pPr>
    </w:p>
    <w:p w14:paraId="0D0B796F" w14:textId="77777777" w:rsidR="005E0261" w:rsidRPr="0013695E" w:rsidRDefault="005E0261" w:rsidP="005E0261">
      <w:pPr>
        <w:ind w:left="3398" w:hanging="3398"/>
        <w:rPr>
          <w:rFonts w:ascii="Arial Narrow" w:hAnsi="Arial Narrow"/>
          <w:spacing w:val="8"/>
          <w:sz w:val="22"/>
          <w:szCs w:val="22"/>
        </w:rPr>
      </w:pPr>
    </w:p>
    <w:p w14:paraId="5113360E" w14:textId="69D7CC30" w:rsidR="001D097E" w:rsidRDefault="00C202AA" w:rsidP="00241586">
      <w:pPr>
        <w:spacing w:before="120" w:after="240"/>
        <w:jc w:val="both"/>
        <w:rPr>
          <w:rFonts w:ascii="Arial Narrow" w:hAnsi="Arial Narrow"/>
        </w:rPr>
      </w:pPr>
      <w:r w:rsidRPr="00DE6303">
        <w:rPr>
          <w:rFonts w:ascii="Arial Narrow" w:hAnsi="Arial Narrow"/>
          <w:spacing w:val="8"/>
          <w:sz w:val="22"/>
          <w:szCs w:val="22"/>
        </w:rPr>
        <w:br/>
      </w:r>
      <w:r w:rsidR="00FE22AA" w:rsidRPr="00DE6303">
        <w:rPr>
          <w:rFonts w:ascii="Arial Narrow" w:hAnsi="Arial Narrow"/>
        </w:rPr>
        <w:t xml:space="preserve">Ky plan </w:t>
      </w:r>
      <w:r w:rsidR="00FC6BFD">
        <w:rPr>
          <w:rFonts w:ascii="Arial Narrow" w:hAnsi="Arial Narrow"/>
        </w:rPr>
        <w:t>ë</w:t>
      </w:r>
      <w:r w:rsidR="00FE22AA" w:rsidRPr="00DE6303">
        <w:rPr>
          <w:rFonts w:ascii="Arial Narrow" w:hAnsi="Arial Narrow"/>
        </w:rPr>
        <w:t>sht</w:t>
      </w:r>
      <w:r w:rsidR="00FC6BFD">
        <w:rPr>
          <w:rFonts w:ascii="Arial Narrow" w:hAnsi="Arial Narrow"/>
        </w:rPr>
        <w:t>ë</w:t>
      </w:r>
      <w:r w:rsidR="00FE22AA" w:rsidRPr="00DE6303">
        <w:rPr>
          <w:rFonts w:ascii="Arial Narrow" w:hAnsi="Arial Narrow"/>
        </w:rPr>
        <w:t xml:space="preserve"> hartuar</w:t>
      </w:r>
      <w:r w:rsidR="00FE22AA">
        <w:rPr>
          <w:rFonts w:ascii="Arial Narrow" w:hAnsi="Arial Narrow"/>
        </w:rPr>
        <w:t xml:space="preserve"> </w:t>
      </w:r>
      <w:r w:rsidR="00DE6303">
        <w:rPr>
          <w:rFonts w:ascii="Arial Narrow" w:hAnsi="Arial Narrow"/>
        </w:rPr>
        <w:t>n</w:t>
      </w:r>
      <w:r w:rsidR="00FC6BFD">
        <w:rPr>
          <w:rFonts w:ascii="Arial Narrow" w:hAnsi="Arial Narrow"/>
        </w:rPr>
        <w:t>ë</w:t>
      </w:r>
      <w:r w:rsidR="00DE6303">
        <w:rPr>
          <w:rFonts w:ascii="Arial Narrow" w:hAnsi="Arial Narrow"/>
        </w:rPr>
        <w:t xml:space="preserve"> bashk</w:t>
      </w:r>
      <w:r w:rsidR="00FC6BFD">
        <w:rPr>
          <w:rFonts w:ascii="Arial Narrow" w:hAnsi="Arial Narrow"/>
        </w:rPr>
        <w:t>ë</w:t>
      </w:r>
      <w:r w:rsidR="00DE6303">
        <w:rPr>
          <w:rFonts w:ascii="Arial Narrow" w:hAnsi="Arial Narrow"/>
        </w:rPr>
        <w:t>punim me komunat e rajoni</w:t>
      </w:r>
      <w:r w:rsidR="00EB0A9A">
        <w:rPr>
          <w:rFonts w:ascii="Arial Narrow" w:hAnsi="Arial Narrow"/>
        </w:rPr>
        <w:t>t të Dukagjinit (Pejë, Klinë, Istog, Deçan dhe Junik)</w:t>
      </w:r>
      <w:r w:rsidR="00E4761E">
        <w:rPr>
          <w:rFonts w:ascii="Arial Narrow" w:hAnsi="Arial Narrow"/>
        </w:rPr>
        <w:t>, me mb</w:t>
      </w:r>
      <w:r w:rsidR="00FC6BFD">
        <w:rPr>
          <w:rFonts w:ascii="Arial Narrow" w:hAnsi="Arial Narrow"/>
        </w:rPr>
        <w:t>ë</w:t>
      </w:r>
      <w:r w:rsidR="00E4761E">
        <w:rPr>
          <w:rFonts w:ascii="Arial Narrow" w:hAnsi="Arial Narrow"/>
        </w:rPr>
        <w:t>shtetje t</w:t>
      </w:r>
      <w:r w:rsidR="00FC6BFD">
        <w:rPr>
          <w:rFonts w:ascii="Arial Narrow" w:hAnsi="Arial Narrow"/>
        </w:rPr>
        <w:t>ë</w:t>
      </w:r>
      <w:r w:rsidR="00E4761E">
        <w:rPr>
          <w:rFonts w:ascii="Arial Narrow" w:hAnsi="Arial Narrow"/>
        </w:rPr>
        <w:t xml:space="preserve"> </w:t>
      </w:r>
      <w:r w:rsidR="00241586" w:rsidRPr="00241586">
        <w:rPr>
          <w:rFonts w:ascii="Arial Narrow" w:hAnsi="Arial Narrow"/>
        </w:rPr>
        <w:t>Deutsche Gesellschaft für Internationale Zusammenarbeit (GIZ) GmbH</w:t>
      </w:r>
      <w:r w:rsidR="001D097E">
        <w:rPr>
          <w:rFonts w:ascii="Arial Narrow" w:hAnsi="Arial Narrow"/>
        </w:rPr>
        <w:t xml:space="preserve">, </w:t>
      </w:r>
      <w:r w:rsidR="00E4761E">
        <w:rPr>
          <w:rFonts w:ascii="Arial Narrow" w:hAnsi="Arial Narrow"/>
        </w:rPr>
        <w:t xml:space="preserve">financuar nga qeveria gjermane. </w:t>
      </w:r>
    </w:p>
    <w:p w14:paraId="057CA27D" w14:textId="79A1D91D" w:rsidR="00534118" w:rsidRPr="001D097E" w:rsidRDefault="00E4761E" w:rsidP="00DE6303">
      <w:pPr>
        <w:spacing w:before="120" w:after="240"/>
        <w:rPr>
          <w:rFonts w:ascii="Arial Narrow" w:hAnsi="Arial Narrow"/>
        </w:rPr>
      </w:pPr>
      <w:r w:rsidRPr="008C1343">
        <w:rPr>
          <w:noProof/>
          <w:lang w:val="de-DE" w:eastAsia="de-DE"/>
        </w:rPr>
        <w:drawing>
          <wp:anchor distT="0" distB="0" distL="114300" distR="114300" simplePos="0" relativeHeight="251708928" behindDoc="0" locked="0" layoutInCell="1" allowOverlap="1" wp14:anchorId="44039C83" wp14:editId="4931045B">
            <wp:simplePos x="0" y="0"/>
            <wp:positionH relativeFrom="margin">
              <wp:posOffset>1130300</wp:posOffset>
            </wp:positionH>
            <wp:positionV relativeFrom="paragraph">
              <wp:posOffset>443230</wp:posOffset>
            </wp:positionV>
            <wp:extent cx="1197429" cy="336077"/>
            <wp:effectExtent l="0" t="0" r="3175" b="6985"/>
            <wp:wrapNone/>
            <wp:docPr id="1229931628" name="Grafik 38" descr="https://www.icwe.net/icwe/wp-content/uploads/2020/06/giz-standa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cwe.net/icwe/wp-content/uploads/2020/06/giz-standard-logo.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7343" r="9943" b="13720"/>
                    <a:stretch/>
                  </pic:blipFill>
                  <pic:spPr bwMode="auto">
                    <a:xfrm>
                      <a:off x="0" y="0"/>
                      <a:ext cx="1197429" cy="3360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02AA" w:rsidRPr="0013695E">
        <w:rPr>
          <w:rFonts w:ascii="Arial Narrow" w:hAnsi="Arial Narrow"/>
        </w:rPr>
        <w:br/>
      </w:r>
      <w:r w:rsidR="00C202AA" w:rsidRPr="0013695E">
        <w:rPr>
          <w:rFonts w:ascii="Arial Narrow" w:hAnsi="Arial Narrow"/>
        </w:rPr>
        <w:br/>
      </w:r>
      <w:bookmarkStart w:id="0" w:name="_Hlk181608653"/>
      <w:r w:rsidR="00AA28AA">
        <w:rPr>
          <w:rFonts w:ascii="Arial Narrow" w:hAnsi="Arial Narrow"/>
        </w:rPr>
        <w:t xml:space="preserve"> </w:t>
      </w:r>
      <w:r w:rsidR="00C13C49" w:rsidRPr="00C13C49">
        <w:rPr>
          <w:rFonts w:ascii="Arial Narrow" w:hAnsi="Arial Narrow"/>
        </w:rPr>
        <w:drawing>
          <wp:inline distT="0" distB="0" distL="0" distR="0" wp14:anchorId="2660C5FB" wp14:editId="16C138D0">
            <wp:extent cx="847725" cy="472029"/>
            <wp:effectExtent l="0" t="0" r="0" b="4445"/>
            <wp:docPr id="435758917" name="Picture 17" descr="A picture containing drawing&#10;&#10;Description automatically generated">
              <a:extLst xmlns:a="http://schemas.openxmlformats.org/drawingml/2006/main">
                <a:ext uri="{FF2B5EF4-FFF2-40B4-BE49-F238E27FC236}">
                  <a16:creationId xmlns:a16="http://schemas.microsoft.com/office/drawing/2014/main" id="{3A65A1FD-6A26-4C85-89E0-7C80B23C74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picture containing drawing&#10;&#10;Description automatically generated">
                      <a:extLst>
                        <a:ext uri="{FF2B5EF4-FFF2-40B4-BE49-F238E27FC236}">
                          <a16:creationId xmlns:a16="http://schemas.microsoft.com/office/drawing/2014/main" id="{3A65A1FD-6A26-4C85-89E0-7C80B23C743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8887" cy="478244"/>
                    </a:xfrm>
                    <a:prstGeom prst="rect">
                      <a:avLst/>
                    </a:prstGeom>
                  </pic:spPr>
                </pic:pic>
              </a:graphicData>
            </a:graphic>
          </wp:inline>
        </w:drawing>
      </w:r>
    </w:p>
    <w:p w14:paraId="5649F61F" w14:textId="77777777" w:rsidR="00E4761E" w:rsidRDefault="00E4761E" w:rsidP="00F75D94">
      <w:pPr>
        <w:ind w:left="3402" w:hanging="3402"/>
        <w:rPr>
          <w:rFonts w:ascii="Arial Narrow" w:hAnsi="Arial Narrow"/>
          <w:spacing w:val="8"/>
          <w:sz w:val="22"/>
          <w:szCs w:val="22"/>
        </w:rPr>
      </w:pPr>
    </w:p>
    <w:p w14:paraId="20765BFB" w14:textId="77777777" w:rsidR="007930F3" w:rsidRDefault="007930F3" w:rsidP="00F75D94">
      <w:pPr>
        <w:ind w:left="3402" w:hanging="3402"/>
        <w:rPr>
          <w:rFonts w:ascii="Arial Narrow" w:hAnsi="Arial Narrow"/>
          <w:spacing w:val="8"/>
          <w:sz w:val="22"/>
          <w:szCs w:val="22"/>
        </w:rPr>
      </w:pPr>
    </w:p>
    <w:p w14:paraId="6E96F8DF" w14:textId="22AEA17F" w:rsidR="00E4761E" w:rsidRDefault="007930F3" w:rsidP="00F75D94">
      <w:pPr>
        <w:ind w:left="3402" w:hanging="3402"/>
        <w:rPr>
          <w:rFonts w:ascii="Arial Narrow" w:hAnsi="Arial Narrow"/>
          <w:spacing w:val="8"/>
          <w:sz w:val="22"/>
          <w:szCs w:val="22"/>
        </w:rPr>
      </w:pPr>
      <w:r w:rsidRPr="0013695E">
        <w:rPr>
          <w:rFonts w:ascii="Arial Narrow" w:hAnsi="Arial Narrow"/>
          <w:noProof/>
          <w:lang w:val="de-DE" w:eastAsia="de-DE"/>
        </w:rPr>
        <w:drawing>
          <wp:anchor distT="0" distB="0" distL="114300" distR="114300" simplePos="0" relativeHeight="251640320" behindDoc="0" locked="0" layoutInCell="1" allowOverlap="1" wp14:anchorId="535380FB" wp14:editId="5BC99369">
            <wp:simplePos x="0" y="0"/>
            <wp:positionH relativeFrom="margin">
              <wp:posOffset>2947670</wp:posOffset>
            </wp:positionH>
            <wp:positionV relativeFrom="paragraph">
              <wp:posOffset>166486</wp:posOffset>
            </wp:positionV>
            <wp:extent cx="695750" cy="459905"/>
            <wp:effectExtent l="0" t="0" r="9525" b="0"/>
            <wp:wrapNone/>
            <wp:docPr id="12" name="Picture 19"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95750" cy="459905"/>
                    </a:xfrm>
                    <a:prstGeom prst="rect">
                      <a:avLst/>
                    </a:prstGeom>
                    <a:noFill/>
                  </pic:spPr>
                </pic:pic>
              </a:graphicData>
            </a:graphic>
            <wp14:sizeRelH relativeFrom="margin">
              <wp14:pctWidth>0</wp14:pctWidth>
            </wp14:sizeRelH>
            <wp14:sizeRelV relativeFrom="margin">
              <wp14:pctHeight>0</wp14:pctHeight>
            </wp14:sizeRelV>
          </wp:anchor>
        </w:drawing>
      </w:r>
    </w:p>
    <w:p w14:paraId="566172B7" w14:textId="5F816065" w:rsidR="00F75D94" w:rsidRPr="0013695E" w:rsidRDefault="00FC6BFD" w:rsidP="00F75D94">
      <w:pPr>
        <w:ind w:left="3402" w:hanging="3402"/>
        <w:rPr>
          <w:rFonts w:ascii="Arial Narrow" w:hAnsi="Arial Narrow"/>
          <w:spacing w:val="8"/>
          <w:sz w:val="22"/>
          <w:szCs w:val="22"/>
        </w:rPr>
      </w:pPr>
      <w:r>
        <w:rPr>
          <w:noProof/>
        </w:rPr>
        <w:drawing>
          <wp:anchor distT="0" distB="0" distL="114300" distR="114300" simplePos="0" relativeHeight="251696640" behindDoc="0" locked="0" layoutInCell="1" allowOverlap="1" wp14:anchorId="425164B6" wp14:editId="69D5ED8E">
            <wp:simplePos x="0" y="0"/>
            <wp:positionH relativeFrom="column">
              <wp:posOffset>1797685</wp:posOffset>
            </wp:positionH>
            <wp:positionV relativeFrom="paragraph">
              <wp:posOffset>106680</wp:posOffset>
            </wp:positionV>
            <wp:extent cx="790575" cy="356235"/>
            <wp:effectExtent l="0" t="0" r="9525" b="5715"/>
            <wp:wrapSquare wrapText="bothSides"/>
            <wp:docPr id="1428145862" name="Picture 3">
              <a:extLst xmlns:a="http://schemas.openxmlformats.org/drawingml/2006/main">
                <a:ext uri="{FF2B5EF4-FFF2-40B4-BE49-F238E27FC236}">
                  <a16:creationId xmlns:a16="http://schemas.microsoft.com/office/drawing/2014/main" id="{C04FE35D-E16C-474F-9CE4-26F3C1992BBA}"/>
                </a:ext>
              </a:extLst>
            </wp:docPr>
            <wp:cNvGraphicFramePr/>
            <a:graphic xmlns:a="http://schemas.openxmlformats.org/drawingml/2006/main">
              <a:graphicData uri="http://schemas.openxmlformats.org/drawingml/2006/picture">
                <pic:pic xmlns:pic="http://schemas.openxmlformats.org/drawingml/2006/picture">
                  <pic:nvPicPr>
                    <pic:cNvPr id="1428145862" name="Picture 3">
                      <a:extLst>
                        <a:ext uri="{FF2B5EF4-FFF2-40B4-BE49-F238E27FC236}">
                          <a16:creationId xmlns:a16="http://schemas.microsoft.com/office/drawing/2014/main" id="{C04FE35D-E16C-474F-9CE4-26F3C1992BBA}"/>
                        </a:ext>
                      </a:extLst>
                    </pic:cNvPr>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057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695E">
        <w:rPr>
          <w:rFonts w:ascii="Arial Narrow" w:hAnsi="Arial Narrow" w:cs="Arial"/>
          <w:noProof/>
          <w:sz w:val="20"/>
          <w:szCs w:val="20"/>
          <w:lang w:val="de-DE" w:eastAsia="de-DE"/>
        </w:rPr>
        <w:drawing>
          <wp:anchor distT="0" distB="0" distL="114300" distR="114300" simplePos="0" relativeHeight="251634176" behindDoc="1" locked="0" layoutInCell="1" allowOverlap="1" wp14:anchorId="0F3B8EE7" wp14:editId="0D7A0EB2">
            <wp:simplePos x="0" y="0"/>
            <wp:positionH relativeFrom="column">
              <wp:posOffset>687705</wp:posOffset>
            </wp:positionH>
            <wp:positionV relativeFrom="paragraph">
              <wp:posOffset>93980</wp:posOffset>
            </wp:positionV>
            <wp:extent cx="847725" cy="445135"/>
            <wp:effectExtent l="0" t="0" r="9525"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47725" cy="445135"/>
                    </a:xfrm>
                    <a:prstGeom prst="rect">
                      <a:avLst/>
                    </a:prstGeom>
                    <a:noFill/>
                  </pic:spPr>
                </pic:pic>
              </a:graphicData>
            </a:graphic>
          </wp:anchor>
        </w:drawing>
      </w:r>
    </w:p>
    <w:p w14:paraId="737AC872" w14:textId="7F3DF93D" w:rsidR="00F75D94" w:rsidRPr="0013695E" w:rsidRDefault="007930F3" w:rsidP="00F75D94">
      <w:pPr>
        <w:ind w:left="3402" w:hanging="3402"/>
        <w:rPr>
          <w:rFonts w:ascii="Arial Narrow" w:hAnsi="Arial Narrow"/>
        </w:rPr>
      </w:pPr>
      <w:r>
        <w:rPr>
          <w:rFonts w:ascii="Arial Narrow" w:hAnsi="Arial Narrow"/>
          <w:spacing w:val="8"/>
          <w:sz w:val="22"/>
          <w:szCs w:val="22"/>
        </w:rPr>
        <w:t>Hartues</w:t>
      </w:r>
      <w:r w:rsidR="00F75D94" w:rsidRPr="0013695E">
        <w:rPr>
          <w:rFonts w:ascii="Arial Narrow" w:hAnsi="Arial Narrow"/>
          <w:spacing w:val="8"/>
          <w:sz w:val="22"/>
          <w:szCs w:val="22"/>
        </w:rPr>
        <w:t>:</w:t>
      </w:r>
      <w:r w:rsidR="00F75D94" w:rsidRPr="0013695E">
        <w:rPr>
          <w:rFonts w:ascii="Arial Narrow" w:hAnsi="Arial Narrow"/>
          <w:spacing w:val="8"/>
          <w:sz w:val="22"/>
          <w:szCs w:val="22"/>
        </w:rPr>
        <w:tab/>
        <w:t xml:space="preserve">           </w:t>
      </w:r>
    </w:p>
    <w:p w14:paraId="4868AD48" w14:textId="549C6482" w:rsidR="00F75D94" w:rsidRPr="00AF0235" w:rsidRDefault="00F75D94" w:rsidP="00F75D94">
      <w:r w:rsidRPr="00AF0235">
        <w:t xml:space="preserve"> </w:t>
      </w:r>
    </w:p>
    <w:p w14:paraId="72CC8456" w14:textId="0BBA5409" w:rsidR="00F75D94" w:rsidRPr="00AF0235" w:rsidRDefault="00F75D94" w:rsidP="00F75D94"/>
    <w:p w14:paraId="2AFDC7A3" w14:textId="77777777" w:rsidR="00F75D94" w:rsidRPr="00AF0235" w:rsidRDefault="00F75D94" w:rsidP="00F75D94"/>
    <w:bookmarkEnd w:id="0"/>
    <w:p w14:paraId="64E07D5F" w14:textId="2B0E8C39" w:rsidR="00F75D94" w:rsidRPr="00AF0235" w:rsidRDefault="00F75D94" w:rsidP="00F75D94"/>
    <w:p w14:paraId="30E5FCFE" w14:textId="2670AB27" w:rsidR="00EB0A9A" w:rsidRPr="0013695E" w:rsidRDefault="00EB0A9A" w:rsidP="00EB0A9A">
      <w:pPr>
        <w:spacing w:before="120" w:after="240"/>
        <w:ind w:left="3402" w:hanging="3402"/>
        <w:rPr>
          <w:rFonts w:ascii="Arial Narrow" w:hAnsi="Arial Narrow"/>
          <w:b/>
          <w:bCs/>
          <w:spacing w:val="8"/>
          <w:sz w:val="22"/>
          <w:szCs w:val="22"/>
        </w:rPr>
      </w:pPr>
      <w:r w:rsidRPr="0013695E">
        <w:rPr>
          <w:rFonts w:ascii="Arial Narrow" w:hAnsi="Arial Narrow"/>
          <w:b/>
          <w:bCs/>
          <w:noProof/>
          <w:spacing w:val="8"/>
          <w:sz w:val="22"/>
          <w:szCs w:val="22"/>
        </w:rPr>
        <w:t xml:space="preserve">Numri i projektit </w:t>
      </w:r>
      <w:r w:rsidRPr="0013695E">
        <w:rPr>
          <w:rFonts w:ascii="Arial Narrow" w:hAnsi="Arial Narrow"/>
          <w:b/>
          <w:bCs/>
          <w:spacing w:val="8"/>
          <w:sz w:val="22"/>
          <w:szCs w:val="22"/>
        </w:rPr>
        <w:t>: 22.2123.2-001.00</w:t>
      </w:r>
    </w:p>
    <w:p w14:paraId="02275F7D" w14:textId="4B62ABFE" w:rsidR="00EB0A9A" w:rsidRPr="0013695E" w:rsidRDefault="00EB0A9A" w:rsidP="00EB0A9A">
      <w:pPr>
        <w:spacing w:after="240"/>
        <w:ind w:left="3402" w:hanging="3402"/>
        <w:rPr>
          <w:rFonts w:ascii="Arial Narrow" w:hAnsi="Arial Narrow"/>
          <w:b/>
          <w:spacing w:val="8"/>
          <w:sz w:val="22"/>
          <w:szCs w:val="22"/>
        </w:rPr>
      </w:pPr>
      <w:r w:rsidRPr="0013695E">
        <w:rPr>
          <w:rFonts w:ascii="Arial Narrow" w:hAnsi="Arial Narrow"/>
          <w:b/>
          <w:bCs/>
          <w:spacing w:val="8"/>
          <w:sz w:val="22"/>
          <w:szCs w:val="22"/>
        </w:rPr>
        <w:t>TN: 81305796</w:t>
      </w:r>
    </w:p>
    <w:p w14:paraId="13369874" w14:textId="3BC836DD" w:rsidR="00F75D94" w:rsidRPr="00AF0235" w:rsidRDefault="00F75D94" w:rsidP="00614059">
      <w:pPr>
        <w:pStyle w:val="Paragraph"/>
      </w:pPr>
    </w:p>
    <w:p w14:paraId="3083660B" w14:textId="0DD930A4" w:rsidR="00F75D94" w:rsidRPr="00AF0235" w:rsidRDefault="00F75D94" w:rsidP="00614059">
      <w:pPr>
        <w:pStyle w:val="Paragraph"/>
      </w:pPr>
    </w:p>
    <w:p w14:paraId="71C951C9" w14:textId="0008B7A2" w:rsidR="00F75D94" w:rsidRPr="00AF0235" w:rsidRDefault="00F75D94" w:rsidP="00614059">
      <w:pPr>
        <w:pStyle w:val="Paragraph"/>
        <w:rPr>
          <w:rFonts w:eastAsiaTheme="majorEastAsia"/>
        </w:rPr>
        <w:sectPr w:rsidR="00F75D94" w:rsidRPr="00AF0235" w:rsidSect="00097343">
          <w:headerReference w:type="even" r:id="rId16"/>
          <w:headerReference w:type="default" r:id="rId17"/>
          <w:footerReference w:type="even" r:id="rId18"/>
          <w:footerReference w:type="default" r:id="rId19"/>
          <w:headerReference w:type="first" r:id="rId20"/>
          <w:footerReference w:type="first" r:id="rId21"/>
          <w:pgSz w:w="11907" w:h="16840" w:code="9"/>
          <w:pgMar w:top="1134" w:right="1134" w:bottom="1134" w:left="1304" w:header="454" w:footer="454" w:gutter="0"/>
          <w:cols w:space="720"/>
          <w:docGrid w:linePitch="360"/>
        </w:sectPr>
      </w:pPr>
    </w:p>
    <w:p w14:paraId="63B87C11" w14:textId="7C86B2A6" w:rsidR="00A60409" w:rsidRDefault="00A60409" w:rsidP="008D3CA2">
      <w:pPr>
        <w:rPr>
          <w:rFonts w:ascii="Arial Narrow" w:hAnsi="Arial Narrow"/>
          <w:b/>
          <w:caps/>
          <w:color w:val="002060"/>
          <w:sz w:val="28"/>
          <w:szCs w:val="28"/>
        </w:rPr>
      </w:pPr>
      <w:r w:rsidRPr="00240FB6">
        <w:rPr>
          <w:rFonts w:ascii="Arial Narrow" w:hAnsi="Arial Narrow"/>
          <w:b/>
          <w:caps/>
          <w:color w:val="002060"/>
          <w:sz w:val="28"/>
          <w:szCs w:val="28"/>
        </w:rPr>
        <w:lastRenderedPageBreak/>
        <w:t>Tabela e përmbajtjes</w:t>
      </w:r>
    </w:p>
    <w:p w14:paraId="50DE615E" w14:textId="77777777" w:rsidR="002E4DDE" w:rsidRDefault="002E4DDE" w:rsidP="008D3CA2"/>
    <w:p w14:paraId="2955DA8E" w14:textId="779BF5B1" w:rsidR="00E5352D" w:rsidRDefault="0092718F">
      <w:pPr>
        <w:pStyle w:val="TOC1"/>
        <w:tabs>
          <w:tab w:val="right" w:pos="9016"/>
        </w:tabs>
        <w:rPr>
          <w:rFonts w:asciiTheme="minorHAnsi" w:eastAsiaTheme="minorEastAsia" w:hAnsiTheme="minorHAnsi" w:cstheme="minorBidi"/>
          <w:b w:val="0"/>
          <w:bCs w:val="0"/>
          <w:caps w:val="0"/>
          <w:noProof/>
          <w:color w:val="auto"/>
          <w:kern w:val="2"/>
          <w:sz w:val="24"/>
          <w:szCs w:val="24"/>
          <w:lang w:val="en-US"/>
          <w14:ligatures w14:val="standardContextual"/>
        </w:rPr>
      </w:pPr>
      <w:r>
        <w:rPr>
          <w:rFonts w:asciiTheme="minorHAnsi" w:hAnsiTheme="minorHAnsi"/>
        </w:rPr>
        <w:fldChar w:fldCharType="begin"/>
      </w:r>
      <w:r>
        <w:rPr>
          <w:rFonts w:asciiTheme="minorHAnsi" w:hAnsiTheme="minorHAnsi"/>
        </w:rPr>
        <w:instrText xml:space="preserve"> TOC \o "1-4" \h \z \u </w:instrText>
      </w:r>
      <w:r>
        <w:rPr>
          <w:rFonts w:asciiTheme="minorHAnsi" w:hAnsiTheme="minorHAnsi"/>
        </w:rPr>
        <w:fldChar w:fldCharType="separate"/>
      </w:r>
      <w:hyperlink w:anchor="_Toc197471941" w:history="1">
        <w:r w:rsidR="00E5352D" w:rsidRPr="001019A3">
          <w:rPr>
            <w:rStyle w:val="Hyperlink"/>
            <w:noProof/>
          </w:rPr>
          <w:t>Përmbledhje Ekzekutive</w:t>
        </w:r>
        <w:r w:rsidR="00E5352D">
          <w:rPr>
            <w:noProof/>
            <w:webHidden/>
          </w:rPr>
          <w:tab/>
        </w:r>
        <w:r w:rsidR="00E5352D">
          <w:rPr>
            <w:noProof/>
            <w:webHidden/>
          </w:rPr>
          <w:fldChar w:fldCharType="begin"/>
        </w:r>
        <w:r w:rsidR="00E5352D">
          <w:rPr>
            <w:noProof/>
            <w:webHidden/>
          </w:rPr>
          <w:instrText xml:space="preserve"> PAGEREF _Toc197471941 \h </w:instrText>
        </w:r>
        <w:r w:rsidR="00E5352D">
          <w:rPr>
            <w:noProof/>
            <w:webHidden/>
          </w:rPr>
        </w:r>
        <w:r w:rsidR="00E5352D">
          <w:rPr>
            <w:noProof/>
            <w:webHidden/>
          </w:rPr>
          <w:fldChar w:fldCharType="separate"/>
        </w:r>
        <w:r w:rsidR="00E5352D">
          <w:rPr>
            <w:noProof/>
            <w:webHidden/>
          </w:rPr>
          <w:t>1</w:t>
        </w:r>
        <w:r w:rsidR="00E5352D">
          <w:rPr>
            <w:noProof/>
            <w:webHidden/>
          </w:rPr>
          <w:fldChar w:fldCharType="end"/>
        </w:r>
      </w:hyperlink>
    </w:p>
    <w:p w14:paraId="5DAE543F" w14:textId="5DC5DAD7" w:rsidR="00E5352D" w:rsidRDefault="00E5352D">
      <w:pPr>
        <w:pStyle w:val="TOC1"/>
        <w:tabs>
          <w:tab w:val="right" w:pos="9016"/>
        </w:tabs>
        <w:rPr>
          <w:rFonts w:asciiTheme="minorHAnsi" w:eastAsiaTheme="minorEastAsia" w:hAnsiTheme="minorHAnsi" w:cstheme="minorBidi"/>
          <w:b w:val="0"/>
          <w:bCs w:val="0"/>
          <w:caps w:val="0"/>
          <w:noProof/>
          <w:color w:val="auto"/>
          <w:kern w:val="2"/>
          <w:sz w:val="24"/>
          <w:szCs w:val="24"/>
          <w:lang w:val="en-US"/>
          <w14:ligatures w14:val="standardContextual"/>
        </w:rPr>
      </w:pPr>
      <w:hyperlink w:anchor="_Toc197471942" w:history="1">
        <w:r w:rsidRPr="001019A3">
          <w:rPr>
            <w:rStyle w:val="Hyperlink"/>
            <w:noProof/>
          </w:rPr>
          <w:t>1</w:t>
        </w:r>
        <w:r>
          <w:rPr>
            <w:rFonts w:asciiTheme="minorHAnsi" w:eastAsiaTheme="minorEastAsia" w:hAnsiTheme="minorHAnsi" w:cstheme="minorBidi"/>
            <w:b w:val="0"/>
            <w:bCs w:val="0"/>
            <w:caps w:val="0"/>
            <w:noProof/>
            <w:color w:val="auto"/>
            <w:kern w:val="2"/>
            <w:sz w:val="24"/>
            <w:szCs w:val="24"/>
            <w:lang w:val="en-US"/>
            <w14:ligatures w14:val="standardContextual"/>
          </w:rPr>
          <w:tab/>
        </w:r>
        <w:r w:rsidRPr="001019A3">
          <w:rPr>
            <w:rStyle w:val="Hyperlink"/>
            <w:noProof/>
          </w:rPr>
          <w:t>Sfondi</w:t>
        </w:r>
        <w:r>
          <w:rPr>
            <w:noProof/>
            <w:webHidden/>
          </w:rPr>
          <w:tab/>
        </w:r>
        <w:r>
          <w:rPr>
            <w:noProof/>
            <w:webHidden/>
          </w:rPr>
          <w:fldChar w:fldCharType="begin"/>
        </w:r>
        <w:r>
          <w:rPr>
            <w:noProof/>
            <w:webHidden/>
          </w:rPr>
          <w:instrText xml:space="preserve"> PAGEREF _Toc197471942 \h </w:instrText>
        </w:r>
        <w:r>
          <w:rPr>
            <w:noProof/>
            <w:webHidden/>
          </w:rPr>
        </w:r>
        <w:r>
          <w:rPr>
            <w:noProof/>
            <w:webHidden/>
          </w:rPr>
          <w:fldChar w:fldCharType="separate"/>
        </w:r>
        <w:r>
          <w:rPr>
            <w:noProof/>
            <w:webHidden/>
          </w:rPr>
          <w:t>13</w:t>
        </w:r>
        <w:r>
          <w:rPr>
            <w:noProof/>
            <w:webHidden/>
          </w:rPr>
          <w:fldChar w:fldCharType="end"/>
        </w:r>
      </w:hyperlink>
    </w:p>
    <w:p w14:paraId="03E2ECDA" w14:textId="77C07AEA" w:rsidR="00E5352D" w:rsidRDefault="00E5352D">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1943" w:history="1">
        <w:r w:rsidRPr="001019A3">
          <w:rPr>
            <w:rStyle w:val="Hyperlink"/>
            <w:noProof/>
          </w:rPr>
          <w:t>1.1</w:t>
        </w:r>
        <w:r>
          <w:rPr>
            <w:rFonts w:asciiTheme="minorHAnsi" w:eastAsiaTheme="minorEastAsia" w:hAnsiTheme="minorHAnsi" w:cstheme="minorBidi"/>
            <w:noProof/>
            <w:kern w:val="2"/>
            <w:sz w:val="24"/>
            <w:szCs w:val="24"/>
            <w:lang w:val="en-US"/>
            <w14:ligatures w14:val="standardContextual"/>
          </w:rPr>
          <w:tab/>
        </w:r>
        <w:r w:rsidRPr="001019A3">
          <w:rPr>
            <w:rStyle w:val="Hyperlink"/>
            <w:noProof/>
          </w:rPr>
          <w:t>Objektivi i Përgjithshëm i Planit Ndërkomunal për Menaxhimin e Integruar të Mbeturinave</w:t>
        </w:r>
        <w:r>
          <w:rPr>
            <w:noProof/>
            <w:webHidden/>
          </w:rPr>
          <w:tab/>
        </w:r>
        <w:r>
          <w:rPr>
            <w:noProof/>
            <w:webHidden/>
          </w:rPr>
          <w:fldChar w:fldCharType="begin"/>
        </w:r>
        <w:r>
          <w:rPr>
            <w:noProof/>
            <w:webHidden/>
          </w:rPr>
          <w:instrText xml:space="preserve"> PAGEREF _Toc197471943 \h </w:instrText>
        </w:r>
        <w:r>
          <w:rPr>
            <w:noProof/>
            <w:webHidden/>
          </w:rPr>
        </w:r>
        <w:r>
          <w:rPr>
            <w:noProof/>
            <w:webHidden/>
          </w:rPr>
          <w:fldChar w:fldCharType="separate"/>
        </w:r>
        <w:r>
          <w:rPr>
            <w:noProof/>
            <w:webHidden/>
          </w:rPr>
          <w:t>13</w:t>
        </w:r>
        <w:r>
          <w:rPr>
            <w:noProof/>
            <w:webHidden/>
          </w:rPr>
          <w:fldChar w:fldCharType="end"/>
        </w:r>
      </w:hyperlink>
    </w:p>
    <w:p w14:paraId="33A51341" w14:textId="1FF8C21E" w:rsidR="00E5352D" w:rsidRDefault="00E5352D">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1944" w:history="1">
        <w:r w:rsidRPr="001019A3">
          <w:rPr>
            <w:rStyle w:val="Hyperlink"/>
            <w:noProof/>
          </w:rPr>
          <w:t>1.2</w:t>
        </w:r>
        <w:r>
          <w:rPr>
            <w:rFonts w:asciiTheme="minorHAnsi" w:eastAsiaTheme="minorEastAsia" w:hAnsiTheme="minorHAnsi" w:cstheme="minorBidi"/>
            <w:noProof/>
            <w:kern w:val="2"/>
            <w:sz w:val="24"/>
            <w:szCs w:val="24"/>
            <w:lang w:val="en-US"/>
            <w14:ligatures w14:val="standardContextual"/>
          </w:rPr>
          <w:tab/>
        </w:r>
        <w:r w:rsidRPr="001019A3">
          <w:rPr>
            <w:rStyle w:val="Hyperlink"/>
            <w:noProof/>
          </w:rPr>
          <w:t>Kuadri ligjor dhe rregullator</w:t>
        </w:r>
        <w:r>
          <w:rPr>
            <w:noProof/>
            <w:webHidden/>
          </w:rPr>
          <w:tab/>
        </w:r>
        <w:r>
          <w:rPr>
            <w:noProof/>
            <w:webHidden/>
          </w:rPr>
          <w:fldChar w:fldCharType="begin"/>
        </w:r>
        <w:r>
          <w:rPr>
            <w:noProof/>
            <w:webHidden/>
          </w:rPr>
          <w:instrText xml:space="preserve"> PAGEREF _Toc197471944 \h </w:instrText>
        </w:r>
        <w:r>
          <w:rPr>
            <w:noProof/>
            <w:webHidden/>
          </w:rPr>
        </w:r>
        <w:r>
          <w:rPr>
            <w:noProof/>
            <w:webHidden/>
          </w:rPr>
          <w:fldChar w:fldCharType="separate"/>
        </w:r>
        <w:r>
          <w:rPr>
            <w:noProof/>
            <w:webHidden/>
          </w:rPr>
          <w:t>13</w:t>
        </w:r>
        <w:r>
          <w:rPr>
            <w:noProof/>
            <w:webHidden/>
          </w:rPr>
          <w:fldChar w:fldCharType="end"/>
        </w:r>
      </w:hyperlink>
    </w:p>
    <w:p w14:paraId="5EE076F5" w14:textId="13B7F9C8"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45" w:history="1">
        <w:r w:rsidRPr="001019A3">
          <w:rPr>
            <w:rStyle w:val="Hyperlink"/>
            <w:noProof/>
          </w:rPr>
          <w:t>1.2.1</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Politikat dhe Direktivat e BE-së</w:t>
        </w:r>
        <w:r>
          <w:rPr>
            <w:noProof/>
            <w:webHidden/>
          </w:rPr>
          <w:tab/>
        </w:r>
        <w:r>
          <w:rPr>
            <w:noProof/>
            <w:webHidden/>
          </w:rPr>
          <w:fldChar w:fldCharType="begin"/>
        </w:r>
        <w:r>
          <w:rPr>
            <w:noProof/>
            <w:webHidden/>
          </w:rPr>
          <w:instrText xml:space="preserve"> PAGEREF _Toc197471945 \h </w:instrText>
        </w:r>
        <w:r>
          <w:rPr>
            <w:noProof/>
            <w:webHidden/>
          </w:rPr>
        </w:r>
        <w:r>
          <w:rPr>
            <w:noProof/>
            <w:webHidden/>
          </w:rPr>
          <w:fldChar w:fldCharType="separate"/>
        </w:r>
        <w:r>
          <w:rPr>
            <w:noProof/>
            <w:webHidden/>
          </w:rPr>
          <w:t>13</w:t>
        </w:r>
        <w:r>
          <w:rPr>
            <w:noProof/>
            <w:webHidden/>
          </w:rPr>
          <w:fldChar w:fldCharType="end"/>
        </w:r>
      </w:hyperlink>
    </w:p>
    <w:p w14:paraId="644086BE" w14:textId="2A1FCB15"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46" w:history="1">
        <w:r w:rsidRPr="001019A3">
          <w:rPr>
            <w:rStyle w:val="Hyperlink"/>
            <w:noProof/>
          </w:rPr>
          <w:t>1.2.2</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Legjislacioni Nacional për Menaxhimin e Mbeturinave</w:t>
        </w:r>
        <w:r>
          <w:rPr>
            <w:noProof/>
            <w:webHidden/>
          </w:rPr>
          <w:tab/>
        </w:r>
        <w:r>
          <w:rPr>
            <w:noProof/>
            <w:webHidden/>
          </w:rPr>
          <w:fldChar w:fldCharType="begin"/>
        </w:r>
        <w:r>
          <w:rPr>
            <w:noProof/>
            <w:webHidden/>
          </w:rPr>
          <w:instrText xml:space="preserve"> PAGEREF _Toc197471946 \h </w:instrText>
        </w:r>
        <w:r>
          <w:rPr>
            <w:noProof/>
            <w:webHidden/>
          </w:rPr>
        </w:r>
        <w:r>
          <w:rPr>
            <w:noProof/>
            <w:webHidden/>
          </w:rPr>
          <w:fldChar w:fldCharType="separate"/>
        </w:r>
        <w:r>
          <w:rPr>
            <w:noProof/>
            <w:webHidden/>
          </w:rPr>
          <w:t>16</w:t>
        </w:r>
        <w:r>
          <w:rPr>
            <w:noProof/>
            <w:webHidden/>
          </w:rPr>
          <w:fldChar w:fldCharType="end"/>
        </w:r>
      </w:hyperlink>
    </w:p>
    <w:p w14:paraId="1A7E1CE3" w14:textId="32B4DE8A" w:rsidR="00E5352D" w:rsidRDefault="00E5352D">
      <w:pPr>
        <w:pStyle w:val="TOC4"/>
        <w:tabs>
          <w:tab w:val="right" w:pos="9016"/>
        </w:tabs>
        <w:rPr>
          <w:rFonts w:asciiTheme="minorHAnsi" w:eastAsiaTheme="minorEastAsia" w:hAnsiTheme="minorHAnsi" w:cstheme="minorBidi"/>
          <w:noProof/>
          <w:kern w:val="2"/>
          <w:sz w:val="24"/>
          <w:szCs w:val="24"/>
          <w:lang w:val="en-US"/>
          <w14:ligatures w14:val="standardContextual"/>
        </w:rPr>
      </w:pPr>
      <w:hyperlink w:anchor="_Toc197471947" w:history="1">
        <w:r w:rsidRPr="001019A3">
          <w:rPr>
            <w:rStyle w:val="Hyperlink"/>
            <w:noProof/>
          </w:rPr>
          <w:t>1.2.2.1</w:t>
        </w:r>
        <w:r>
          <w:rPr>
            <w:rFonts w:asciiTheme="minorHAnsi" w:eastAsiaTheme="minorEastAsia" w:hAnsiTheme="minorHAnsi" w:cstheme="minorBidi"/>
            <w:noProof/>
            <w:kern w:val="2"/>
            <w:sz w:val="24"/>
            <w:szCs w:val="24"/>
            <w:lang w:val="en-US"/>
            <w14:ligatures w14:val="standardContextual"/>
          </w:rPr>
          <w:tab/>
        </w:r>
        <w:r w:rsidRPr="001019A3">
          <w:rPr>
            <w:rStyle w:val="Hyperlink"/>
            <w:noProof/>
          </w:rPr>
          <w:t>Legjislacioni primar</w:t>
        </w:r>
        <w:r>
          <w:rPr>
            <w:noProof/>
            <w:webHidden/>
          </w:rPr>
          <w:tab/>
        </w:r>
        <w:r>
          <w:rPr>
            <w:noProof/>
            <w:webHidden/>
          </w:rPr>
          <w:fldChar w:fldCharType="begin"/>
        </w:r>
        <w:r>
          <w:rPr>
            <w:noProof/>
            <w:webHidden/>
          </w:rPr>
          <w:instrText xml:space="preserve"> PAGEREF _Toc197471947 \h </w:instrText>
        </w:r>
        <w:r>
          <w:rPr>
            <w:noProof/>
            <w:webHidden/>
          </w:rPr>
        </w:r>
        <w:r>
          <w:rPr>
            <w:noProof/>
            <w:webHidden/>
          </w:rPr>
          <w:fldChar w:fldCharType="separate"/>
        </w:r>
        <w:r>
          <w:rPr>
            <w:noProof/>
            <w:webHidden/>
          </w:rPr>
          <w:t>17</w:t>
        </w:r>
        <w:r>
          <w:rPr>
            <w:noProof/>
            <w:webHidden/>
          </w:rPr>
          <w:fldChar w:fldCharType="end"/>
        </w:r>
      </w:hyperlink>
    </w:p>
    <w:p w14:paraId="7326FF96" w14:textId="331ED095" w:rsidR="00E5352D" w:rsidRDefault="00E5352D">
      <w:pPr>
        <w:pStyle w:val="TOC4"/>
        <w:tabs>
          <w:tab w:val="right" w:pos="9016"/>
        </w:tabs>
        <w:rPr>
          <w:rFonts w:asciiTheme="minorHAnsi" w:eastAsiaTheme="minorEastAsia" w:hAnsiTheme="minorHAnsi" w:cstheme="minorBidi"/>
          <w:noProof/>
          <w:kern w:val="2"/>
          <w:sz w:val="24"/>
          <w:szCs w:val="24"/>
          <w:lang w:val="en-US"/>
          <w14:ligatures w14:val="standardContextual"/>
        </w:rPr>
      </w:pPr>
      <w:hyperlink w:anchor="_Toc197471948" w:history="1">
        <w:r w:rsidRPr="001019A3">
          <w:rPr>
            <w:rStyle w:val="Hyperlink"/>
            <w:noProof/>
          </w:rPr>
          <w:t>1.2.2.2</w:t>
        </w:r>
        <w:r>
          <w:rPr>
            <w:rFonts w:asciiTheme="minorHAnsi" w:eastAsiaTheme="minorEastAsia" w:hAnsiTheme="minorHAnsi" w:cstheme="minorBidi"/>
            <w:noProof/>
            <w:kern w:val="2"/>
            <w:sz w:val="24"/>
            <w:szCs w:val="24"/>
            <w:lang w:val="en-US"/>
            <w14:ligatures w14:val="standardContextual"/>
          </w:rPr>
          <w:tab/>
        </w:r>
        <w:r w:rsidRPr="001019A3">
          <w:rPr>
            <w:rStyle w:val="Hyperlink"/>
            <w:noProof/>
          </w:rPr>
          <w:t>Aktet Nënligjore</w:t>
        </w:r>
        <w:r>
          <w:rPr>
            <w:noProof/>
            <w:webHidden/>
          </w:rPr>
          <w:tab/>
        </w:r>
        <w:r>
          <w:rPr>
            <w:noProof/>
            <w:webHidden/>
          </w:rPr>
          <w:fldChar w:fldCharType="begin"/>
        </w:r>
        <w:r>
          <w:rPr>
            <w:noProof/>
            <w:webHidden/>
          </w:rPr>
          <w:instrText xml:space="preserve"> PAGEREF _Toc197471948 \h </w:instrText>
        </w:r>
        <w:r>
          <w:rPr>
            <w:noProof/>
            <w:webHidden/>
          </w:rPr>
        </w:r>
        <w:r>
          <w:rPr>
            <w:noProof/>
            <w:webHidden/>
          </w:rPr>
          <w:fldChar w:fldCharType="separate"/>
        </w:r>
        <w:r>
          <w:rPr>
            <w:noProof/>
            <w:webHidden/>
          </w:rPr>
          <w:t>19</w:t>
        </w:r>
        <w:r>
          <w:rPr>
            <w:noProof/>
            <w:webHidden/>
          </w:rPr>
          <w:fldChar w:fldCharType="end"/>
        </w:r>
      </w:hyperlink>
    </w:p>
    <w:p w14:paraId="3A281681" w14:textId="53587EA3" w:rsidR="00E5352D" w:rsidRDefault="00E5352D">
      <w:pPr>
        <w:pStyle w:val="TOC4"/>
        <w:tabs>
          <w:tab w:val="right" w:pos="9016"/>
        </w:tabs>
        <w:rPr>
          <w:rFonts w:asciiTheme="minorHAnsi" w:eastAsiaTheme="minorEastAsia" w:hAnsiTheme="minorHAnsi" w:cstheme="minorBidi"/>
          <w:noProof/>
          <w:kern w:val="2"/>
          <w:sz w:val="24"/>
          <w:szCs w:val="24"/>
          <w:lang w:val="en-US"/>
          <w14:ligatures w14:val="standardContextual"/>
        </w:rPr>
      </w:pPr>
      <w:hyperlink w:anchor="_Toc197471949" w:history="1">
        <w:r w:rsidRPr="001019A3">
          <w:rPr>
            <w:rStyle w:val="Hyperlink"/>
            <w:noProof/>
            <w:lang w:val="sq-AL"/>
          </w:rPr>
          <w:t>1.2.2.3</w:t>
        </w:r>
        <w:r>
          <w:rPr>
            <w:rFonts w:asciiTheme="minorHAnsi" w:eastAsiaTheme="minorEastAsia" w:hAnsiTheme="minorHAnsi" w:cstheme="minorBidi"/>
            <w:noProof/>
            <w:kern w:val="2"/>
            <w:sz w:val="24"/>
            <w:szCs w:val="24"/>
            <w:lang w:val="en-US"/>
            <w14:ligatures w14:val="standardContextual"/>
          </w:rPr>
          <w:tab/>
        </w:r>
        <w:r w:rsidRPr="001019A3">
          <w:rPr>
            <w:rStyle w:val="Hyperlink"/>
            <w:noProof/>
            <w:lang w:val="sq-AL"/>
          </w:rPr>
          <w:t>Transpozimi i kornizës ligjore të BE-së për menaxhimin e mbeturinave në kornizën ligjore të Kosovës</w:t>
        </w:r>
        <w:r>
          <w:rPr>
            <w:noProof/>
            <w:webHidden/>
          </w:rPr>
          <w:tab/>
        </w:r>
        <w:r>
          <w:rPr>
            <w:noProof/>
            <w:webHidden/>
          </w:rPr>
          <w:fldChar w:fldCharType="begin"/>
        </w:r>
        <w:r>
          <w:rPr>
            <w:noProof/>
            <w:webHidden/>
          </w:rPr>
          <w:instrText xml:space="preserve"> PAGEREF _Toc197471949 \h </w:instrText>
        </w:r>
        <w:r>
          <w:rPr>
            <w:noProof/>
            <w:webHidden/>
          </w:rPr>
        </w:r>
        <w:r>
          <w:rPr>
            <w:noProof/>
            <w:webHidden/>
          </w:rPr>
          <w:fldChar w:fldCharType="separate"/>
        </w:r>
        <w:r>
          <w:rPr>
            <w:noProof/>
            <w:webHidden/>
          </w:rPr>
          <w:t>23</w:t>
        </w:r>
        <w:r>
          <w:rPr>
            <w:noProof/>
            <w:webHidden/>
          </w:rPr>
          <w:fldChar w:fldCharType="end"/>
        </w:r>
      </w:hyperlink>
    </w:p>
    <w:p w14:paraId="2EF413D4" w14:textId="297A4810" w:rsidR="00E5352D" w:rsidRDefault="00E5352D">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1950" w:history="1">
        <w:r w:rsidRPr="001019A3">
          <w:rPr>
            <w:rStyle w:val="Hyperlink"/>
            <w:noProof/>
          </w:rPr>
          <w:t>1.3</w:t>
        </w:r>
        <w:r>
          <w:rPr>
            <w:rFonts w:asciiTheme="minorHAnsi" w:eastAsiaTheme="minorEastAsia" w:hAnsiTheme="minorHAnsi" w:cstheme="minorBidi"/>
            <w:noProof/>
            <w:kern w:val="2"/>
            <w:sz w:val="24"/>
            <w:szCs w:val="24"/>
            <w:lang w:val="en-US"/>
            <w14:ligatures w14:val="standardContextual"/>
          </w:rPr>
          <w:tab/>
        </w:r>
        <w:r w:rsidRPr="001019A3">
          <w:rPr>
            <w:rStyle w:val="Hyperlink"/>
            <w:noProof/>
          </w:rPr>
          <w:t>Korniza institucionale dhe organizative</w:t>
        </w:r>
        <w:r>
          <w:rPr>
            <w:noProof/>
            <w:webHidden/>
          </w:rPr>
          <w:tab/>
        </w:r>
        <w:r>
          <w:rPr>
            <w:noProof/>
            <w:webHidden/>
          </w:rPr>
          <w:fldChar w:fldCharType="begin"/>
        </w:r>
        <w:r>
          <w:rPr>
            <w:noProof/>
            <w:webHidden/>
          </w:rPr>
          <w:instrText xml:space="preserve"> PAGEREF _Toc197471950 \h </w:instrText>
        </w:r>
        <w:r>
          <w:rPr>
            <w:noProof/>
            <w:webHidden/>
          </w:rPr>
        </w:r>
        <w:r>
          <w:rPr>
            <w:noProof/>
            <w:webHidden/>
          </w:rPr>
          <w:fldChar w:fldCharType="separate"/>
        </w:r>
        <w:r>
          <w:rPr>
            <w:noProof/>
            <w:webHidden/>
          </w:rPr>
          <w:t>24</w:t>
        </w:r>
        <w:r>
          <w:rPr>
            <w:noProof/>
            <w:webHidden/>
          </w:rPr>
          <w:fldChar w:fldCharType="end"/>
        </w:r>
      </w:hyperlink>
    </w:p>
    <w:p w14:paraId="64A971FF" w14:textId="5D4A46DF"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51" w:history="1">
        <w:r w:rsidRPr="001019A3">
          <w:rPr>
            <w:rStyle w:val="Hyperlink"/>
            <w:noProof/>
          </w:rPr>
          <w:t>1.3.1</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Niveli nacional</w:t>
        </w:r>
        <w:r>
          <w:rPr>
            <w:noProof/>
            <w:webHidden/>
          </w:rPr>
          <w:tab/>
        </w:r>
        <w:r>
          <w:rPr>
            <w:noProof/>
            <w:webHidden/>
          </w:rPr>
          <w:fldChar w:fldCharType="begin"/>
        </w:r>
        <w:r>
          <w:rPr>
            <w:noProof/>
            <w:webHidden/>
          </w:rPr>
          <w:instrText xml:space="preserve"> PAGEREF _Toc197471951 \h </w:instrText>
        </w:r>
        <w:r>
          <w:rPr>
            <w:noProof/>
            <w:webHidden/>
          </w:rPr>
        </w:r>
        <w:r>
          <w:rPr>
            <w:noProof/>
            <w:webHidden/>
          </w:rPr>
          <w:fldChar w:fldCharType="separate"/>
        </w:r>
        <w:r>
          <w:rPr>
            <w:noProof/>
            <w:webHidden/>
          </w:rPr>
          <w:t>24</w:t>
        </w:r>
        <w:r>
          <w:rPr>
            <w:noProof/>
            <w:webHidden/>
          </w:rPr>
          <w:fldChar w:fldCharType="end"/>
        </w:r>
      </w:hyperlink>
    </w:p>
    <w:p w14:paraId="53873680" w14:textId="5FBE2F74"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52" w:history="1">
        <w:r w:rsidRPr="001019A3">
          <w:rPr>
            <w:rStyle w:val="Hyperlink"/>
            <w:noProof/>
          </w:rPr>
          <w:t>1.3.2</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Niveli lokal</w:t>
        </w:r>
        <w:r>
          <w:rPr>
            <w:noProof/>
            <w:webHidden/>
          </w:rPr>
          <w:tab/>
        </w:r>
        <w:r>
          <w:rPr>
            <w:noProof/>
            <w:webHidden/>
          </w:rPr>
          <w:fldChar w:fldCharType="begin"/>
        </w:r>
        <w:r>
          <w:rPr>
            <w:noProof/>
            <w:webHidden/>
          </w:rPr>
          <w:instrText xml:space="preserve"> PAGEREF _Toc197471952 \h </w:instrText>
        </w:r>
        <w:r>
          <w:rPr>
            <w:noProof/>
            <w:webHidden/>
          </w:rPr>
        </w:r>
        <w:r>
          <w:rPr>
            <w:noProof/>
            <w:webHidden/>
          </w:rPr>
          <w:fldChar w:fldCharType="separate"/>
        </w:r>
        <w:r>
          <w:rPr>
            <w:noProof/>
            <w:webHidden/>
          </w:rPr>
          <w:t>28</w:t>
        </w:r>
        <w:r>
          <w:rPr>
            <w:noProof/>
            <w:webHidden/>
          </w:rPr>
          <w:fldChar w:fldCharType="end"/>
        </w:r>
      </w:hyperlink>
    </w:p>
    <w:p w14:paraId="0542B7CD" w14:textId="421882F2" w:rsidR="00E5352D" w:rsidRDefault="00E5352D">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1953" w:history="1">
        <w:r w:rsidRPr="001019A3">
          <w:rPr>
            <w:rStyle w:val="Hyperlink"/>
            <w:noProof/>
          </w:rPr>
          <w:t>1.4</w:t>
        </w:r>
        <w:r>
          <w:rPr>
            <w:rFonts w:asciiTheme="minorHAnsi" w:eastAsiaTheme="minorEastAsia" w:hAnsiTheme="minorHAnsi" w:cstheme="minorBidi"/>
            <w:noProof/>
            <w:kern w:val="2"/>
            <w:sz w:val="24"/>
            <w:szCs w:val="24"/>
            <w:lang w:val="en-US"/>
            <w14:ligatures w14:val="standardContextual"/>
          </w:rPr>
          <w:tab/>
        </w:r>
        <w:r w:rsidRPr="001019A3">
          <w:rPr>
            <w:rStyle w:val="Hyperlink"/>
            <w:noProof/>
          </w:rPr>
          <w:t>Strategjia e Kosovës për Menaxhimin e Integruar të Mbeturinave</w:t>
        </w:r>
        <w:r>
          <w:rPr>
            <w:noProof/>
            <w:webHidden/>
          </w:rPr>
          <w:tab/>
        </w:r>
        <w:r>
          <w:rPr>
            <w:noProof/>
            <w:webHidden/>
          </w:rPr>
          <w:fldChar w:fldCharType="begin"/>
        </w:r>
        <w:r>
          <w:rPr>
            <w:noProof/>
            <w:webHidden/>
          </w:rPr>
          <w:instrText xml:space="preserve"> PAGEREF _Toc197471953 \h </w:instrText>
        </w:r>
        <w:r>
          <w:rPr>
            <w:noProof/>
            <w:webHidden/>
          </w:rPr>
        </w:r>
        <w:r>
          <w:rPr>
            <w:noProof/>
            <w:webHidden/>
          </w:rPr>
          <w:fldChar w:fldCharType="separate"/>
        </w:r>
        <w:r>
          <w:rPr>
            <w:noProof/>
            <w:webHidden/>
          </w:rPr>
          <w:t>29</w:t>
        </w:r>
        <w:r>
          <w:rPr>
            <w:noProof/>
            <w:webHidden/>
          </w:rPr>
          <w:fldChar w:fldCharType="end"/>
        </w:r>
      </w:hyperlink>
    </w:p>
    <w:p w14:paraId="6B91EB24" w14:textId="6AFDAF47"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54" w:history="1">
        <w:r w:rsidRPr="001019A3">
          <w:rPr>
            <w:rStyle w:val="Hyperlink"/>
            <w:noProof/>
          </w:rPr>
          <w:t>1.4.1</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Planet për Menaxhimim e Mbeturinave Komunale Inerte</w:t>
        </w:r>
        <w:r>
          <w:rPr>
            <w:noProof/>
            <w:webHidden/>
          </w:rPr>
          <w:tab/>
        </w:r>
        <w:r>
          <w:rPr>
            <w:noProof/>
            <w:webHidden/>
          </w:rPr>
          <w:fldChar w:fldCharType="begin"/>
        </w:r>
        <w:r>
          <w:rPr>
            <w:noProof/>
            <w:webHidden/>
          </w:rPr>
          <w:instrText xml:space="preserve"> PAGEREF _Toc197471954 \h </w:instrText>
        </w:r>
        <w:r>
          <w:rPr>
            <w:noProof/>
            <w:webHidden/>
          </w:rPr>
        </w:r>
        <w:r>
          <w:rPr>
            <w:noProof/>
            <w:webHidden/>
          </w:rPr>
          <w:fldChar w:fldCharType="separate"/>
        </w:r>
        <w:r>
          <w:rPr>
            <w:noProof/>
            <w:webHidden/>
          </w:rPr>
          <w:t>30</w:t>
        </w:r>
        <w:r>
          <w:rPr>
            <w:noProof/>
            <w:webHidden/>
          </w:rPr>
          <w:fldChar w:fldCharType="end"/>
        </w:r>
      </w:hyperlink>
    </w:p>
    <w:p w14:paraId="57F6C2B5" w14:textId="478D6368" w:rsidR="00E5352D" w:rsidRDefault="00E5352D">
      <w:pPr>
        <w:pStyle w:val="TOC1"/>
        <w:tabs>
          <w:tab w:val="right" w:pos="9016"/>
        </w:tabs>
        <w:rPr>
          <w:rFonts w:asciiTheme="minorHAnsi" w:eastAsiaTheme="minorEastAsia" w:hAnsiTheme="minorHAnsi" w:cstheme="minorBidi"/>
          <w:b w:val="0"/>
          <w:bCs w:val="0"/>
          <w:caps w:val="0"/>
          <w:noProof/>
          <w:color w:val="auto"/>
          <w:kern w:val="2"/>
          <w:sz w:val="24"/>
          <w:szCs w:val="24"/>
          <w:lang w:val="en-US"/>
          <w14:ligatures w14:val="standardContextual"/>
        </w:rPr>
      </w:pPr>
      <w:hyperlink w:anchor="_Toc197471955" w:history="1">
        <w:r w:rsidRPr="001019A3">
          <w:rPr>
            <w:rStyle w:val="Hyperlink"/>
            <w:noProof/>
          </w:rPr>
          <w:t>2</w:t>
        </w:r>
        <w:r>
          <w:rPr>
            <w:rFonts w:asciiTheme="minorHAnsi" w:eastAsiaTheme="minorEastAsia" w:hAnsiTheme="minorHAnsi" w:cstheme="minorBidi"/>
            <w:b w:val="0"/>
            <w:bCs w:val="0"/>
            <w:caps w:val="0"/>
            <w:noProof/>
            <w:color w:val="auto"/>
            <w:kern w:val="2"/>
            <w:sz w:val="24"/>
            <w:szCs w:val="24"/>
            <w:lang w:val="en-US"/>
            <w14:ligatures w14:val="standardContextual"/>
          </w:rPr>
          <w:tab/>
        </w:r>
        <w:r w:rsidRPr="001019A3">
          <w:rPr>
            <w:rStyle w:val="Hyperlink"/>
            <w:noProof/>
          </w:rPr>
          <w:t>Përshkrimi i Rajoneve</w:t>
        </w:r>
        <w:r>
          <w:rPr>
            <w:noProof/>
            <w:webHidden/>
          </w:rPr>
          <w:tab/>
        </w:r>
        <w:r>
          <w:rPr>
            <w:noProof/>
            <w:webHidden/>
          </w:rPr>
          <w:fldChar w:fldCharType="begin"/>
        </w:r>
        <w:r>
          <w:rPr>
            <w:noProof/>
            <w:webHidden/>
          </w:rPr>
          <w:instrText xml:space="preserve"> PAGEREF _Toc197471955 \h </w:instrText>
        </w:r>
        <w:r>
          <w:rPr>
            <w:noProof/>
            <w:webHidden/>
          </w:rPr>
        </w:r>
        <w:r>
          <w:rPr>
            <w:noProof/>
            <w:webHidden/>
          </w:rPr>
          <w:fldChar w:fldCharType="separate"/>
        </w:r>
        <w:r>
          <w:rPr>
            <w:noProof/>
            <w:webHidden/>
          </w:rPr>
          <w:t>33</w:t>
        </w:r>
        <w:r>
          <w:rPr>
            <w:noProof/>
            <w:webHidden/>
          </w:rPr>
          <w:fldChar w:fldCharType="end"/>
        </w:r>
      </w:hyperlink>
    </w:p>
    <w:p w14:paraId="309872B2" w14:textId="27EFB84D" w:rsidR="00E5352D" w:rsidRDefault="00E5352D">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1956" w:history="1">
        <w:r w:rsidRPr="001019A3">
          <w:rPr>
            <w:rStyle w:val="Hyperlink"/>
            <w:noProof/>
          </w:rPr>
          <w:t>2.1</w:t>
        </w:r>
        <w:r>
          <w:rPr>
            <w:rFonts w:asciiTheme="minorHAnsi" w:eastAsiaTheme="minorEastAsia" w:hAnsiTheme="minorHAnsi" w:cstheme="minorBidi"/>
            <w:noProof/>
            <w:kern w:val="2"/>
            <w:sz w:val="24"/>
            <w:szCs w:val="24"/>
            <w:lang w:val="en-US"/>
            <w14:ligatures w14:val="standardContextual"/>
          </w:rPr>
          <w:tab/>
        </w:r>
        <w:r w:rsidRPr="001019A3">
          <w:rPr>
            <w:rStyle w:val="Hyperlink"/>
            <w:noProof/>
          </w:rPr>
          <w:t>Karakteristikat fiziko-gjeografike</w:t>
        </w:r>
        <w:r>
          <w:rPr>
            <w:noProof/>
            <w:webHidden/>
          </w:rPr>
          <w:tab/>
        </w:r>
        <w:r>
          <w:rPr>
            <w:noProof/>
            <w:webHidden/>
          </w:rPr>
          <w:fldChar w:fldCharType="begin"/>
        </w:r>
        <w:r>
          <w:rPr>
            <w:noProof/>
            <w:webHidden/>
          </w:rPr>
          <w:instrText xml:space="preserve"> PAGEREF _Toc197471956 \h </w:instrText>
        </w:r>
        <w:r>
          <w:rPr>
            <w:noProof/>
            <w:webHidden/>
          </w:rPr>
        </w:r>
        <w:r>
          <w:rPr>
            <w:noProof/>
            <w:webHidden/>
          </w:rPr>
          <w:fldChar w:fldCharType="separate"/>
        </w:r>
        <w:r>
          <w:rPr>
            <w:noProof/>
            <w:webHidden/>
          </w:rPr>
          <w:t>33</w:t>
        </w:r>
        <w:r>
          <w:rPr>
            <w:noProof/>
            <w:webHidden/>
          </w:rPr>
          <w:fldChar w:fldCharType="end"/>
        </w:r>
      </w:hyperlink>
    </w:p>
    <w:p w14:paraId="6374E171" w14:textId="347F9219"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57" w:history="1">
        <w:r w:rsidRPr="001019A3">
          <w:rPr>
            <w:rStyle w:val="Hyperlink"/>
            <w:noProof/>
          </w:rPr>
          <w:t>2.1.1</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Vendndodhja Gjeografike</w:t>
        </w:r>
        <w:r>
          <w:rPr>
            <w:noProof/>
            <w:webHidden/>
          </w:rPr>
          <w:tab/>
        </w:r>
        <w:r>
          <w:rPr>
            <w:noProof/>
            <w:webHidden/>
          </w:rPr>
          <w:fldChar w:fldCharType="begin"/>
        </w:r>
        <w:r>
          <w:rPr>
            <w:noProof/>
            <w:webHidden/>
          </w:rPr>
          <w:instrText xml:space="preserve"> PAGEREF _Toc197471957 \h </w:instrText>
        </w:r>
        <w:r>
          <w:rPr>
            <w:noProof/>
            <w:webHidden/>
          </w:rPr>
        </w:r>
        <w:r>
          <w:rPr>
            <w:noProof/>
            <w:webHidden/>
          </w:rPr>
          <w:fldChar w:fldCharType="separate"/>
        </w:r>
        <w:r>
          <w:rPr>
            <w:noProof/>
            <w:webHidden/>
          </w:rPr>
          <w:t>33</w:t>
        </w:r>
        <w:r>
          <w:rPr>
            <w:noProof/>
            <w:webHidden/>
          </w:rPr>
          <w:fldChar w:fldCharType="end"/>
        </w:r>
      </w:hyperlink>
    </w:p>
    <w:p w14:paraId="15F99088" w14:textId="274969BB"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58" w:history="1">
        <w:r w:rsidRPr="001019A3">
          <w:rPr>
            <w:rStyle w:val="Hyperlink"/>
            <w:noProof/>
          </w:rPr>
          <w:t>2.1.2</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Klima</w:t>
        </w:r>
        <w:r>
          <w:rPr>
            <w:noProof/>
            <w:webHidden/>
          </w:rPr>
          <w:tab/>
        </w:r>
        <w:r>
          <w:rPr>
            <w:noProof/>
            <w:webHidden/>
          </w:rPr>
          <w:fldChar w:fldCharType="begin"/>
        </w:r>
        <w:r>
          <w:rPr>
            <w:noProof/>
            <w:webHidden/>
          </w:rPr>
          <w:instrText xml:space="preserve"> PAGEREF _Toc197471958 \h </w:instrText>
        </w:r>
        <w:r>
          <w:rPr>
            <w:noProof/>
            <w:webHidden/>
          </w:rPr>
        </w:r>
        <w:r>
          <w:rPr>
            <w:noProof/>
            <w:webHidden/>
          </w:rPr>
          <w:fldChar w:fldCharType="separate"/>
        </w:r>
        <w:r>
          <w:rPr>
            <w:noProof/>
            <w:webHidden/>
          </w:rPr>
          <w:t>33</w:t>
        </w:r>
        <w:r>
          <w:rPr>
            <w:noProof/>
            <w:webHidden/>
          </w:rPr>
          <w:fldChar w:fldCharType="end"/>
        </w:r>
      </w:hyperlink>
    </w:p>
    <w:p w14:paraId="222A7B23" w14:textId="07FBB118"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59" w:history="1">
        <w:r w:rsidRPr="001019A3">
          <w:rPr>
            <w:rStyle w:val="Hyperlink"/>
            <w:noProof/>
          </w:rPr>
          <w:t>2.1.3</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Kushtet Fizike</w:t>
        </w:r>
        <w:r>
          <w:rPr>
            <w:noProof/>
            <w:webHidden/>
          </w:rPr>
          <w:tab/>
        </w:r>
        <w:r>
          <w:rPr>
            <w:noProof/>
            <w:webHidden/>
          </w:rPr>
          <w:fldChar w:fldCharType="begin"/>
        </w:r>
        <w:r>
          <w:rPr>
            <w:noProof/>
            <w:webHidden/>
          </w:rPr>
          <w:instrText xml:space="preserve"> PAGEREF _Toc197471959 \h </w:instrText>
        </w:r>
        <w:r>
          <w:rPr>
            <w:noProof/>
            <w:webHidden/>
          </w:rPr>
        </w:r>
        <w:r>
          <w:rPr>
            <w:noProof/>
            <w:webHidden/>
          </w:rPr>
          <w:fldChar w:fldCharType="separate"/>
        </w:r>
        <w:r>
          <w:rPr>
            <w:noProof/>
            <w:webHidden/>
          </w:rPr>
          <w:t>33</w:t>
        </w:r>
        <w:r>
          <w:rPr>
            <w:noProof/>
            <w:webHidden/>
          </w:rPr>
          <w:fldChar w:fldCharType="end"/>
        </w:r>
      </w:hyperlink>
    </w:p>
    <w:p w14:paraId="52C2BD5D" w14:textId="0C890BEB"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60" w:history="1">
        <w:r w:rsidRPr="001019A3">
          <w:rPr>
            <w:rStyle w:val="Hyperlink"/>
            <w:noProof/>
          </w:rPr>
          <w:t>2.1.4</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Rreziqet Natyrore</w:t>
        </w:r>
        <w:r>
          <w:rPr>
            <w:noProof/>
            <w:webHidden/>
          </w:rPr>
          <w:tab/>
        </w:r>
        <w:r>
          <w:rPr>
            <w:noProof/>
            <w:webHidden/>
          </w:rPr>
          <w:fldChar w:fldCharType="begin"/>
        </w:r>
        <w:r>
          <w:rPr>
            <w:noProof/>
            <w:webHidden/>
          </w:rPr>
          <w:instrText xml:space="preserve"> PAGEREF _Toc197471960 \h </w:instrText>
        </w:r>
        <w:r>
          <w:rPr>
            <w:noProof/>
            <w:webHidden/>
          </w:rPr>
        </w:r>
        <w:r>
          <w:rPr>
            <w:noProof/>
            <w:webHidden/>
          </w:rPr>
          <w:fldChar w:fldCharType="separate"/>
        </w:r>
        <w:r>
          <w:rPr>
            <w:noProof/>
            <w:webHidden/>
          </w:rPr>
          <w:t>33</w:t>
        </w:r>
        <w:r>
          <w:rPr>
            <w:noProof/>
            <w:webHidden/>
          </w:rPr>
          <w:fldChar w:fldCharType="end"/>
        </w:r>
      </w:hyperlink>
    </w:p>
    <w:p w14:paraId="13E775D9" w14:textId="47DDFC45"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61" w:history="1">
        <w:r w:rsidRPr="001019A3">
          <w:rPr>
            <w:rStyle w:val="Hyperlink"/>
            <w:noProof/>
          </w:rPr>
          <w:t>2.1.5</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Përdorimi i Tokës</w:t>
        </w:r>
        <w:r>
          <w:rPr>
            <w:noProof/>
            <w:webHidden/>
          </w:rPr>
          <w:tab/>
        </w:r>
        <w:r>
          <w:rPr>
            <w:noProof/>
            <w:webHidden/>
          </w:rPr>
          <w:fldChar w:fldCharType="begin"/>
        </w:r>
        <w:r>
          <w:rPr>
            <w:noProof/>
            <w:webHidden/>
          </w:rPr>
          <w:instrText xml:space="preserve"> PAGEREF _Toc197471961 \h </w:instrText>
        </w:r>
        <w:r>
          <w:rPr>
            <w:noProof/>
            <w:webHidden/>
          </w:rPr>
        </w:r>
        <w:r>
          <w:rPr>
            <w:noProof/>
            <w:webHidden/>
          </w:rPr>
          <w:fldChar w:fldCharType="separate"/>
        </w:r>
        <w:r>
          <w:rPr>
            <w:noProof/>
            <w:webHidden/>
          </w:rPr>
          <w:t>34</w:t>
        </w:r>
        <w:r>
          <w:rPr>
            <w:noProof/>
            <w:webHidden/>
          </w:rPr>
          <w:fldChar w:fldCharType="end"/>
        </w:r>
      </w:hyperlink>
    </w:p>
    <w:p w14:paraId="31A0D03D" w14:textId="51912CE2"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62" w:history="1">
        <w:r w:rsidRPr="001019A3">
          <w:rPr>
            <w:rStyle w:val="Hyperlink"/>
            <w:noProof/>
          </w:rPr>
          <w:t>2.1.6</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Zonat e Mbrojtura</w:t>
        </w:r>
        <w:r>
          <w:rPr>
            <w:noProof/>
            <w:webHidden/>
          </w:rPr>
          <w:tab/>
        </w:r>
        <w:r>
          <w:rPr>
            <w:noProof/>
            <w:webHidden/>
          </w:rPr>
          <w:fldChar w:fldCharType="begin"/>
        </w:r>
        <w:r>
          <w:rPr>
            <w:noProof/>
            <w:webHidden/>
          </w:rPr>
          <w:instrText xml:space="preserve"> PAGEREF _Toc197471962 \h </w:instrText>
        </w:r>
        <w:r>
          <w:rPr>
            <w:noProof/>
            <w:webHidden/>
          </w:rPr>
        </w:r>
        <w:r>
          <w:rPr>
            <w:noProof/>
            <w:webHidden/>
          </w:rPr>
          <w:fldChar w:fldCharType="separate"/>
        </w:r>
        <w:r>
          <w:rPr>
            <w:noProof/>
            <w:webHidden/>
          </w:rPr>
          <w:t>34</w:t>
        </w:r>
        <w:r>
          <w:rPr>
            <w:noProof/>
            <w:webHidden/>
          </w:rPr>
          <w:fldChar w:fldCharType="end"/>
        </w:r>
      </w:hyperlink>
    </w:p>
    <w:p w14:paraId="016175CD" w14:textId="6AF0525A" w:rsidR="00E5352D" w:rsidRDefault="00E5352D">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1963" w:history="1">
        <w:r w:rsidRPr="001019A3">
          <w:rPr>
            <w:rStyle w:val="Hyperlink"/>
            <w:noProof/>
          </w:rPr>
          <w:t>2.2</w:t>
        </w:r>
        <w:r>
          <w:rPr>
            <w:rFonts w:asciiTheme="minorHAnsi" w:eastAsiaTheme="minorEastAsia" w:hAnsiTheme="minorHAnsi" w:cstheme="minorBidi"/>
            <w:noProof/>
            <w:kern w:val="2"/>
            <w:sz w:val="24"/>
            <w:szCs w:val="24"/>
            <w:lang w:val="en-US"/>
            <w14:ligatures w14:val="standardContextual"/>
          </w:rPr>
          <w:tab/>
        </w:r>
        <w:r w:rsidRPr="001019A3">
          <w:rPr>
            <w:rStyle w:val="Hyperlink"/>
            <w:noProof/>
          </w:rPr>
          <w:t>Popullsia</w:t>
        </w:r>
        <w:r>
          <w:rPr>
            <w:noProof/>
            <w:webHidden/>
          </w:rPr>
          <w:tab/>
        </w:r>
        <w:r>
          <w:rPr>
            <w:noProof/>
            <w:webHidden/>
          </w:rPr>
          <w:fldChar w:fldCharType="begin"/>
        </w:r>
        <w:r>
          <w:rPr>
            <w:noProof/>
            <w:webHidden/>
          </w:rPr>
          <w:instrText xml:space="preserve"> PAGEREF _Toc197471963 \h </w:instrText>
        </w:r>
        <w:r>
          <w:rPr>
            <w:noProof/>
            <w:webHidden/>
          </w:rPr>
        </w:r>
        <w:r>
          <w:rPr>
            <w:noProof/>
            <w:webHidden/>
          </w:rPr>
          <w:fldChar w:fldCharType="separate"/>
        </w:r>
        <w:r>
          <w:rPr>
            <w:noProof/>
            <w:webHidden/>
          </w:rPr>
          <w:t>35</w:t>
        </w:r>
        <w:r>
          <w:rPr>
            <w:noProof/>
            <w:webHidden/>
          </w:rPr>
          <w:fldChar w:fldCharType="end"/>
        </w:r>
      </w:hyperlink>
    </w:p>
    <w:p w14:paraId="12F0F172" w14:textId="7C3B7367" w:rsidR="00E5352D" w:rsidRDefault="00E5352D">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1964" w:history="1">
        <w:r w:rsidRPr="001019A3">
          <w:rPr>
            <w:rStyle w:val="Hyperlink"/>
            <w:noProof/>
          </w:rPr>
          <w:t>2.3</w:t>
        </w:r>
        <w:r>
          <w:rPr>
            <w:rFonts w:asciiTheme="minorHAnsi" w:eastAsiaTheme="minorEastAsia" w:hAnsiTheme="minorHAnsi" w:cstheme="minorBidi"/>
            <w:noProof/>
            <w:kern w:val="2"/>
            <w:sz w:val="24"/>
            <w:szCs w:val="24"/>
            <w:lang w:val="en-US"/>
            <w14:ligatures w14:val="standardContextual"/>
          </w:rPr>
          <w:tab/>
        </w:r>
        <w:r w:rsidRPr="001019A3">
          <w:rPr>
            <w:rStyle w:val="Hyperlink"/>
            <w:noProof/>
          </w:rPr>
          <w:t>Përshkrimi socio-ekonomik</w:t>
        </w:r>
        <w:r>
          <w:rPr>
            <w:noProof/>
            <w:webHidden/>
          </w:rPr>
          <w:tab/>
        </w:r>
        <w:r>
          <w:rPr>
            <w:noProof/>
            <w:webHidden/>
          </w:rPr>
          <w:fldChar w:fldCharType="begin"/>
        </w:r>
        <w:r>
          <w:rPr>
            <w:noProof/>
            <w:webHidden/>
          </w:rPr>
          <w:instrText xml:space="preserve"> PAGEREF _Toc197471964 \h </w:instrText>
        </w:r>
        <w:r>
          <w:rPr>
            <w:noProof/>
            <w:webHidden/>
          </w:rPr>
        </w:r>
        <w:r>
          <w:rPr>
            <w:noProof/>
            <w:webHidden/>
          </w:rPr>
          <w:fldChar w:fldCharType="separate"/>
        </w:r>
        <w:r>
          <w:rPr>
            <w:noProof/>
            <w:webHidden/>
          </w:rPr>
          <w:t>35</w:t>
        </w:r>
        <w:r>
          <w:rPr>
            <w:noProof/>
            <w:webHidden/>
          </w:rPr>
          <w:fldChar w:fldCharType="end"/>
        </w:r>
      </w:hyperlink>
    </w:p>
    <w:p w14:paraId="406B7031" w14:textId="00B68407"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65" w:history="1">
        <w:r w:rsidRPr="001019A3">
          <w:rPr>
            <w:rStyle w:val="Hyperlink"/>
            <w:noProof/>
          </w:rPr>
          <w:t>2.3.1</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Të dhëna për të ardhurat dhe shpenzimet për frymë/familje</w:t>
        </w:r>
        <w:r>
          <w:rPr>
            <w:noProof/>
            <w:webHidden/>
          </w:rPr>
          <w:tab/>
        </w:r>
        <w:r>
          <w:rPr>
            <w:noProof/>
            <w:webHidden/>
          </w:rPr>
          <w:fldChar w:fldCharType="begin"/>
        </w:r>
        <w:r>
          <w:rPr>
            <w:noProof/>
            <w:webHidden/>
          </w:rPr>
          <w:instrText xml:space="preserve"> PAGEREF _Toc197471965 \h </w:instrText>
        </w:r>
        <w:r>
          <w:rPr>
            <w:noProof/>
            <w:webHidden/>
          </w:rPr>
        </w:r>
        <w:r>
          <w:rPr>
            <w:noProof/>
            <w:webHidden/>
          </w:rPr>
          <w:fldChar w:fldCharType="separate"/>
        </w:r>
        <w:r>
          <w:rPr>
            <w:noProof/>
            <w:webHidden/>
          </w:rPr>
          <w:t>35</w:t>
        </w:r>
        <w:r>
          <w:rPr>
            <w:noProof/>
            <w:webHidden/>
          </w:rPr>
          <w:fldChar w:fldCharType="end"/>
        </w:r>
      </w:hyperlink>
    </w:p>
    <w:p w14:paraId="74BBDB9B" w14:textId="4290DB80"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66" w:history="1">
        <w:r w:rsidRPr="001019A3">
          <w:rPr>
            <w:rStyle w:val="Hyperlink"/>
            <w:noProof/>
          </w:rPr>
          <w:t>2.3.2</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Biznesi dhe industria</w:t>
        </w:r>
        <w:r>
          <w:rPr>
            <w:noProof/>
            <w:webHidden/>
          </w:rPr>
          <w:tab/>
        </w:r>
        <w:r>
          <w:rPr>
            <w:noProof/>
            <w:webHidden/>
          </w:rPr>
          <w:fldChar w:fldCharType="begin"/>
        </w:r>
        <w:r>
          <w:rPr>
            <w:noProof/>
            <w:webHidden/>
          </w:rPr>
          <w:instrText xml:space="preserve"> PAGEREF _Toc197471966 \h </w:instrText>
        </w:r>
        <w:r>
          <w:rPr>
            <w:noProof/>
            <w:webHidden/>
          </w:rPr>
        </w:r>
        <w:r>
          <w:rPr>
            <w:noProof/>
            <w:webHidden/>
          </w:rPr>
          <w:fldChar w:fldCharType="separate"/>
        </w:r>
        <w:r>
          <w:rPr>
            <w:noProof/>
            <w:webHidden/>
          </w:rPr>
          <w:t>38</w:t>
        </w:r>
        <w:r>
          <w:rPr>
            <w:noProof/>
            <w:webHidden/>
          </w:rPr>
          <w:fldChar w:fldCharType="end"/>
        </w:r>
      </w:hyperlink>
    </w:p>
    <w:p w14:paraId="65E4BCB2" w14:textId="2B6F0E71"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67" w:history="1">
        <w:r w:rsidRPr="001019A3">
          <w:rPr>
            <w:rStyle w:val="Hyperlink"/>
            <w:noProof/>
          </w:rPr>
          <w:t>2.3.3</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Turizmi</w:t>
        </w:r>
        <w:r>
          <w:rPr>
            <w:noProof/>
            <w:webHidden/>
          </w:rPr>
          <w:tab/>
        </w:r>
        <w:r>
          <w:rPr>
            <w:noProof/>
            <w:webHidden/>
          </w:rPr>
          <w:fldChar w:fldCharType="begin"/>
        </w:r>
        <w:r>
          <w:rPr>
            <w:noProof/>
            <w:webHidden/>
          </w:rPr>
          <w:instrText xml:space="preserve"> PAGEREF _Toc197471967 \h </w:instrText>
        </w:r>
        <w:r>
          <w:rPr>
            <w:noProof/>
            <w:webHidden/>
          </w:rPr>
        </w:r>
        <w:r>
          <w:rPr>
            <w:noProof/>
            <w:webHidden/>
          </w:rPr>
          <w:fldChar w:fldCharType="separate"/>
        </w:r>
        <w:r>
          <w:rPr>
            <w:noProof/>
            <w:webHidden/>
          </w:rPr>
          <w:t>39</w:t>
        </w:r>
        <w:r>
          <w:rPr>
            <w:noProof/>
            <w:webHidden/>
          </w:rPr>
          <w:fldChar w:fldCharType="end"/>
        </w:r>
      </w:hyperlink>
    </w:p>
    <w:p w14:paraId="1327EE61" w14:textId="67149528"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68" w:history="1">
        <w:r w:rsidRPr="001019A3">
          <w:rPr>
            <w:rStyle w:val="Hyperlink"/>
            <w:noProof/>
          </w:rPr>
          <w:t>2.3.4</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Bujqësia</w:t>
        </w:r>
        <w:r>
          <w:rPr>
            <w:noProof/>
            <w:webHidden/>
          </w:rPr>
          <w:tab/>
        </w:r>
        <w:r>
          <w:rPr>
            <w:noProof/>
            <w:webHidden/>
          </w:rPr>
          <w:fldChar w:fldCharType="begin"/>
        </w:r>
        <w:r>
          <w:rPr>
            <w:noProof/>
            <w:webHidden/>
          </w:rPr>
          <w:instrText xml:space="preserve"> PAGEREF _Toc197471968 \h </w:instrText>
        </w:r>
        <w:r>
          <w:rPr>
            <w:noProof/>
            <w:webHidden/>
          </w:rPr>
        </w:r>
        <w:r>
          <w:rPr>
            <w:noProof/>
            <w:webHidden/>
          </w:rPr>
          <w:fldChar w:fldCharType="separate"/>
        </w:r>
        <w:r>
          <w:rPr>
            <w:noProof/>
            <w:webHidden/>
          </w:rPr>
          <w:t>39</w:t>
        </w:r>
        <w:r>
          <w:rPr>
            <w:noProof/>
            <w:webHidden/>
          </w:rPr>
          <w:fldChar w:fldCharType="end"/>
        </w:r>
      </w:hyperlink>
    </w:p>
    <w:p w14:paraId="7DF0C06C" w14:textId="2367FED8" w:rsidR="00E5352D" w:rsidRDefault="00E5352D">
      <w:pPr>
        <w:pStyle w:val="TOC1"/>
        <w:tabs>
          <w:tab w:val="right" w:pos="9016"/>
        </w:tabs>
        <w:rPr>
          <w:rFonts w:asciiTheme="minorHAnsi" w:eastAsiaTheme="minorEastAsia" w:hAnsiTheme="minorHAnsi" w:cstheme="minorBidi"/>
          <w:b w:val="0"/>
          <w:bCs w:val="0"/>
          <w:caps w:val="0"/>
          <w:noProof/>
          <w:color w:val="auto"/>
          <w:kern w:val="2"/>
          <w:sz w:val="24"/>
          <w:szCs w:val="24"/>
          <w:lang w:val="en-US"/>
          <w14:ligatures w14:val="standardContextual"/>
        </w:rPr>
      </w:pPr>
      <w:hyperlink w:anchor="_Toc197471969" w:history="1">
        <w:r w:rsidRPr="001019A3">
          <w:rPr>
            <w:rStyle w:val="Hyperlink"/>
            <w:noProof/>
          </w:rPr>
          <w:t>3</w:t>
        </w:r>
        <w:r>
          <w:rPr>
            <w:rFonts w:asciiTheme="minorHAnsi" w:eastAsiaTheme="minorEastAsia" w:hAnsiTheme="minorHAnsi" w:cstheme="minorBidi"/>
            <w:b w:val="0"/>
            <w:bCs w:val="0"/>
            <w:caps w:val="0"/>
            <w:noProof/>
            <w:color w:val="auto"/>
            <w:kern w:val="2"/>
            <w:sz w:val="24"/>
            <w:szCs w:val="24"/>
            <w:lang w:val="en-US"/>
            <w14:ligatures w14:val="standardContextual"/>
          </w:rPr>
          <w:tab/>
        </w:r>
        <w:r w:rsidRPr="001019A3">
          <w:rPr>
            <w:rStyle w:val="Hyperlink"/>
            <w:noProof/>
          </w:rPr>
          <w:t>Baza PËR MenaxhimiN E Mbeturinave</w:t>
        </w:r>
        <w:r>
          <w:rPr>
            <w:noProof/>
            <w:webHidden/>
          </w:rPr>
          <w:tab/>
        </w:r>
        <w:r>
          <w:rPr>
            <w:noProof/>
            <w:webHidden/>
          </w:rPr>
          <w:fldChar w:fldCharType="begin"/>
        </w:r>
        <w:r>
          <w:rPr>
            <w:noProof/>
            <w:webHidden/>
          </w:rPr>
          <w:instrText xml:space="preserve"> PAGEREF _Toc197471969 \h </w:instrText>
        </w:r>
        <w:r>
          <w:rPr>
            <w:noProof/>
            <w:webHidden/>
          </w:rPr>
        </w:r>
        <w:r>
          <w:rPr>
            <w:noProof/>
            <w:webHidden/>
          </w:rPr>
          <w:fldChar w:fldCharType="separate"/>
        </w:r>
        <w:r>
          <w:rPr>
            <w:noProof/>
            <w:webHidden/>
          </w:rPr>
          <w:t>40</w:t>
        </w:r>
        <w:r>
          <w:rPr>
            <w:noProof/>
            <w:webHidden/>
          </w:rPr>
          <w:fldChar w:fldCharType="end"/>
        </w:r>
      </w:hyperlink>
    </w:p>
    <w:p w14:paraId="1812F07D" w14:textId="184B97A3" w:rsidR="00E5352D" w:rsidRDefault="00E5352D">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1970" w:history="1">
        <w:r w:rsidRPr="001019A3">
          <w:rPr>
            <w:rStyle w:val="Hyperlink"/>
            <w:noProof/>
          </w:rPr>
          <w:t>3.1</w:t>
        </w:r>
        <w:r>
          <w:rPr>
            <w:rFonts w:asciiTheme="minorHAnsi" w:eastAsiaTheme="minorEastAsia" w:hAnsiTheme="minorHAnsi" w:cstheme="minorBidi"/>
            <w:noProof/>
            <w:kern w:val="2"/>
            <w:sz w:val="24"/>
            <w:szCs w:val="24"/>
            <w:lang w:val="en-US"/>
            <w14:ligatures w14:val="standardContextual"/>
          </w:rPr>
          <w:tab/>
        </w:r>
        <w:r w:rsidRPr="001019A3">
          <w:rPr>
            <w:rStyle w:val="Hyperlink"/>
            <w:noProof/>
          </w:rPr>
          <w:t>Gjenerimi aktual i mbeturinave komunale</w:t>
        </w:r>
        <w:r>
          <w:rPr>
            <w:noProof/>
            <w:webHidden/>
          </w:rPr>
          <w:tab/>
        </w:r>
        <w:r>
          <w:rPr>
            <w:noProof/>
            <w:webHidden/>
          </w:rPr>
          <w:fldChar w:fldCharType="begin"/>
        </w:r>
        <w:r>
          <w:rPr>
            <w:noProof/>
            <w:webHidden/>
          </w:rPr>
          <w:instrText xml:space="preserve"> PAGEREF _Toc197471970 \h </w:instrText>
        </w:r>
        <w:r>
          <w:rPr>
            <w:noProof/>
            <w:webHidden/>
          </w:rPr>
        </w:r>
        <w:r>
          <w:rPr>
            <w:noProof/>
            <w:webHidden/>
          </w:rPr>
          <w:fldChar w:fldCharType="separate"/>
        </w:r>
        <w:r>
          <w:rPr>
            <w:noProof/>
            <w:webHidden/>
          </w:rPr>
          <w:t>40</w:t>
        </w:r>
        <w:r>
          <w:rPr>
            <w:noProof/>
            <w:webHidden/>
          </w:rPr>
          <w:fldChar w:fldCharType="end"/>
        </w:r>
      </w:hyperlink>
    </w:p>
    <w:p w14:paraId="29A0ABA0" w14:textId="5A045D90"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71" w:history="1">
        <w:r w:rsidRPr="001019A3">
          <w:rPr>
            <w:rStyle w:val="Hyperlink"/>
            <w:noProof/>
          </w:rPr>
          <w:t>3.1.1</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Amvisëritë</w:t>
        </w:r>
        <w:r>
          <w:rPr>
            <w:noProof/>
            <w:webHidden/>
          </w:rPr>
          <w:tab/>
        </w:r>
        <w:r>
          <w:rPr>
            <w:noProof/>
            <w:webHidden/>
          </w:rPr>
          <w:fldChar w:fldCharType="begin"/>
        </w:r>
        <w:r>
          <w:rPr>
            <w:noProof/>
            <w:webHidden/>
          </w:rPr>
          <w:instrText xml:space="preserve"> PAGEREF _Toc197471971 \h </w:instrText>
        </w:r>
        <w:r>
          <w:rPr>
            <w:noProof/>
            <w:webHidden/>
          </w:rPr>
        </w:r>
        <w:r>
          <w:rPr>
            <w:noProof/>
            <w:webHidden/>
          </w:rPr>
          <w:fldChar w:fldCharType="separate"/>
        </w:r>
        <w:r>
          <w:rPr>
            <w:noProof/>
            <w:webHidden/>
          </w:rPr>
          <w:t>40</w:t>
        </w:r>
        <w:r>
          <w:rPr>
            <w:noProof/>
            <w:webHidden/>
          </w:rPr>
          <w:fldChar w:fldCharType="end"/>
        </w:r>
      </w:hyperlink>
    </w:p>
    <w:p w14:paraId="13E4E628" w14:textId="32E4CCFA"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72" w:history="1">
        <w:r w:rsidRPr="001019A3">
          <w:rPr>
            <w:rStyle w:val="Hyperlink"/>
            <w:noProof/>
          </w:rPr>
          <w:t>3.1.2</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Burime komerciale dhe institucionale</w:t>
        </w:r>
        <w:r>
          <w:rPr>
            <w:noProof/>
            <w:webHidden/>
          </w:rPr>
          <w:tab/>
        </w:r>
        <w:r>
          <w:rPr>
            <w:noProof/>
            <w:webHidden/>
          </w:rPr>
          <w:fldChar w:fldCharType="begin"/>
        </w:r>
        <w:r>
          <w:rPr>
            <w:noProof/>
            <w:webHidden/>
          </w:rPr>
          <w:instrText xml:space="preserve"> PAGEREF _Toc197471972 \h </w:instrText>
        </w:r>
        <w:r>
          <w:rPr>
            <w:noProof/>
            <w:webHidden/>
          </w:rPr>
        </w:r>
        <w:r>
          <w:rPr>
            <w:noProof/>
            <w:webHidden/>
          </w:rPr>
          <w:fldChar w:fldCharType="separate"/>
        </w:r>
        <w:r>
          <w:rPr>
            <w:noProof/>
            <w:webHidden/>
          </w:rPr>
          <w:t>41</w:t>
        </w:r>
        <w:r>
          <w:rPr>
            <w:noProof/>
            <w:webHidden/>
          </w:rPr>
          <w:fldChar w:fldCharType="end"/>
        </w:r>
      </w:hyperlink>
    </w:p>
    <w:p w14:paraId="4F5E3584" w14:textId="270AF2DD"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73" w:history="1">
        <w:r w:rsidRPr="001019A3">
          <w:rPr>
            <w:rStyle w:val="Hyperlink"/>
            <w:noProof/>
          </w:rPr>
          <w:t>3.1.3</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Mbeturinat e gjelbra nga zonat publike</w:t>
        </w:r>
        <w:r>
          <w:rPr>
            <w:noProof/>
            <w:webHidden/>
          </w:rPr>
          <w:tab/>
        </w:r>
        <w:r>
          <w:rPr>
            <w:noProof/>
            <w:webHidden/>
          </w:rPr>
          <w:fldChar w:fldCharType="begin"/>
        </w:r>
        <w:r>
          <w:rPr>
            <w:noProof/>
            <w:webHidden/>
          </w:rPr>
          <w:instrText xml:space="preserve"> PAGEREF _Toc197471973 \h </w:instrText>
        </w:r>
        <w:r>
          <w:rPr>
            <w:noProof/>
            <w:webHidden/>
          </w:rPr>
        </w:r>
        <w:r>
          <w:rPr>
            <w:noProof/>
            <w:webHidden/>
          </w:rPr>
          <w:fldChar w:fldCharType="separate"/>
        </w:r>
        <w:r>
          <w:rPr>
            <w:noProof/>
            <w:webHidden/>
          </w:rPr>
          <w:t>44</w:t>
        </w:r>
        <w:r>
          <w:rPr>
            <w:noProof/>
            <w:webHidden/>
          </w:rPr>
          <w:fldChar w:fldCharType="end"/>
        </w:r>
      </w:hyperlink>
    </w:p>
    <w:p w14:paraId="6C37F080" w14:textId="23BF2C6E"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74" w:history="1">
        <w:r w:rsidRPr="001019A3">
          <w:rPr>
            <w:rStyle w:val="Hyperlink"/>
            <w:noProof/>
          </w:rPr>
          <w:t>3.1.4</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Mbeturinat e ndërtimit dhe rrënimit</w:t>
        </w:r>
        <w:r>
          <w:rPr>
            <w:noProof/>
            <w:webHidden/>
          </w:rPr>
          <w:tab/>
        </w:r>
        <w:r>
          <w:rPr>
            <w:noProof/>
            <w:webHidden/>
          </w:rPr>
          <w:fldChar w:fldCharType="begin"/>
        </w:r>
        <w:r>
          <w:rPr>
            <w:noProof/>
            <w:webHidden/>
          </w:rPr>
          <w:instrText xml:space="preserve"> PAGEREF _Toc197471974 \h </w:instrText>
        </w:r>
        <w:r>
          <w:rPr>
            <w:noProof/>
            <w:webHidden/>
          </w:rPr>
        </w:r>
        <w:r>
          <w:rPr>
            <w:noProof/>
            <w:webHidden/>
          </w:rPr>
          <w:fldChar w:fldCharType="separate"/>
        </w:r>
        <w:r>
          <w:rPr>
            <w:noProof/>
            <w:webHidden/>
          </w:rPr>
          <w:t>44</w:t>
        </w:r>
        <w:r>
          <w:rPr>
            <w:noProof/>
            <w:webHidden/>
          </w:rPr>
          <w:fldChar w:fldCharType="end"/>
        </w:r>
      </w:hyperlink>
    </w:p>
    <w:p w14:paraId="39125FC1" w14:textId="75B7D907" w:rsidR="00E5352D" w:rsidRDefault="00E5352D">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1975" w:history="1">
        <w:r w:rsidRPr="001019A3">
          <w:rPr>
            <w:rStyle w:val="Hyperlink"/>
            <w:noProof/>
          </w:rPr>
          <w:t>3.2</w:t>
        </w:r>
        <w:r>
          <w:rPr>
            <w:rFonts w:asciiTheme="minorHAnsi" w:eastAsiaTheme="minorEastAsia" w:hAnsiTheme="minorHAnsi" w:cstheme="minorBidi"/>
            <w:noProof/>
            <w:kern w:val="2"/>
            <w:sz w:val="24"/>
            <w:szCs w:val="24"/>
            <w:lang w:val="en-US"/>
            <w14:ligatures w14:val="standardContextual"/>
          </w:rPr>
          <w:tab/>
        </w:r>
        <w:r w:rsidRPr="001019A3">
          <w:rPr>
            <w:rStyle w:val="Hyperlink"/>
            <w:noProof/>
          </w:rPr>
          <w:t>Përbërja e mbeturinave</w:t>
        </w:r>
        <w:r>
          <w:rPr>
            <w:noProof/>
            <w:webHidden/>
          </w:rPr>
          <w:tab/>
        </w:r>
        <w:r>
          <w:rPr>
            <w:noProof/>
            <w:webHidden/>
          </w:rPr>
          <w:fldChar w:fldCharType="begin"/>
        </w:r>
        <w:r>
          <w:rPr>
            <w:noProof/>
            <w:webHidden/>
          </w:rPr>
          <w:instrText xml:space="preserve"> PAGEREF _Toc197471975 \h </w:instrText>
        </w:r>
        <w:r>
          <w:rPr>
            <w:noProof/>
            <w:webHidden/>
          </w:rPr>
        </w:r>
        <w:r>
          <w:rPr>
            <w:noProof/>
            <w:webHidden/>
          </w:rPr>
          <w:fldChar w:fldCharType="separate"/>
        </w:r>
        <w:r>
          <w:rPr>
            <w:noProof/>
            <w:webHidden/>
          </w:rPr>
          <w:t>45</w:t>
        </w:r>
        <w:r>
          <w:rPr>
            <w:noProof/>
            <w:webHidden/>
          </w:rPr>
          <w:fldChar w:fldCharType="end"/>
        </w:r>
      </w:hyperlink>
    </w:p>
    <w:p w14:paraId="10F02F54" w14:textId="2D6FA70F" w:rsidR="00E5352D" w:rsidRDefault="00E5352D">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1976" w:history="1">
        <w:r w:rsidRPr="001019A3">
          <w:rPr>
            <w:rStyle w:val="Hyperlink"/>
            <w:noProof/>
          </w:rPr>
          <w:t>3.3</w:t>
        </w:r>
        <w:r>
          <w:rPr>
            <w:rFonts w:asciiTheme="minorHAnsi" w:eastAsiaTheme="minorEastAsia" w:hAnsiTheme="minorHAnsi" w:cstheme="minorBidi"/>
            <w:noProof/>
            <w:kern w:val="2"/>
            <w:sz w:val="24"/>
            <w:szCs w:val="24"/>
            <w:lang w:val="en-US"/>
            <w14:ligatures w14:val="standardContextual"/>
          </w:rPr>
          <w:tab/>
        </w:r>
        <w:r w:rsidRPr="001019A3">
          <w:rPr>
            <w:rStyle w:val="Hyperlink"/>
            <w:noProof/>
          </w:rPr>
          <w:t>Ofrimi aktual i shërbimeve komunale për menaxhimin e mbeturinave</w:t>
        </w:r>
        <w:r>
          <w:rPr>
            <w:noProof/>
            <w:webHidden/>
          </w:rPr>
          <w:tab/>
        </w:r>
        <w:r>
          <w:rPr>
            <w:noProof/>
            <w:webHidden/>
          </w:rPr>
          <w:fldChar w:fldCharType="begin"/>
        </w:r>
        <w:r>
          <w:rPr>
            <w:noProof/>
            <w:webHidden/>
          </w:rPr>
          <w:instrText xml:space="preserve"> PAGEREF _Toc197471976 \h </w:instrText>
        </w:r>
        <w:r>
          <w:rPr>
            <w:noProof/>
            <w:webHidden/>
          </w:rPr>
        </w:r>
        <w:r>
          <w:rPr>
            <w:noProof/>
            <w:webHidden/>
          </w:rPr>
          <w:fldChar w:fldCharType="separate"/>
        </w:r>
        <w:r>
          <w:rPr>
            <w:noProof/>
            <w:webHidden/>
          </w:rPr>
          <w:t>46</w:t>
        </w:r>
        <w:r>
          <w:rPr>
            <w:noProof/>
            <w:webHidden/>
          </w:rPr>
          <w:fldChar w:fldCharType="end"/>
        </w:r>
      </w:hyperlink>
    </w:p>
    <w:p w14:paraId="6954768A" w14:textId="418FBA61"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77" w:history="1">
        <w:r w:rsidRPr="001019A3">
          <w:rPr>
            <w:rStyle w:val="Hyperlink"/>
            <w:noProof/>
          </w:rPr>
          <w:t>3.3.1</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Grumbullimi i mbeturinave</w:t>
        </w:r>
        <w:r>
          <w:rPr>
            <w:noProof/>
            <w:webHidden/>
          </w:rPr>
          <w:tab/>
        </w:r>
        <w:r>
          <w:rPr>
            <w:noProof/>
            <w:webHidden/>
          </w:rPr>
          <w:fldChar w:fldCharType="begin"/>
        </w:r>
        <w:r>
          <w:rPr>
            <w:noProof/>
            <w:webHidden/>
          </w:rPr>
          <w:instrText xml:space="preserve"> PAGEREF _Toc197471977 \h </w:instrText>
        </w:r>
        <w:r>
          <w:rPr>
            <w:noProof/>
            <w:webHidden/>
          </w:rPr>
        </w:r>
        <w:r>
          <w:rPr>
            <w:noProof/>
            <w:webHidden/>
          </w:rPr>
          <w:fldChar w:fldCharType="separate"/>
        </w:r>
        <w:r>
          <w:rPr>
            <w:noProof/>
            <w:webHidden/>
          </w:rPr>
          <w:t>46</w:t>
        </w:r>
        <w:r>
          <w:rPr>
            <w:noProof/>
            <w:webHidden/>
          </w:rPr>
          <w:fldChar w:fldCharType="end"/>
        </w:r>
      </w:hyperlink>
    </w:p>
    <w:p w14:paraId="685481D8" w14:textId="13718B90"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78" w:history="1">
        <w:r w:rsidRPr="001019A3">
          <w:rPr>
            <w:rStyle w:val="Hyperlink"/>
            <w:noProof/>
          </w:rPr>
          <w:t>3.3.2</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Grumbullimi ndaras i mbeturinave</w:t>
        </w:r>
        <w:r>
          <w:rPr>
            <w:noProof/>
            <w:webHidden/>
          </w:rPr>
          <w:tab/>
        </w:r>
        <w:r>
          <w:rPr>
            <w:noProof/>
            <w:webHidden/>
          </w:rPr>
          <w:fldChar w:fldCharType="begin"/>
        </w:r>
        <w:r>
          <w:rPr>
            <w:noProof/>
            <w:webHidden/>
          </w:rPr>
          <w:instrText xml:space="preserve"> PAGEREF _Toc197471978 \h </w:instrText>
        </w:r>
        <w:r>
          <w:rPr>
            <w:noProof/>
            <w:webHidden/>
          </w:rPr>
        </w:r>
        <w:r>
          <w:rPr>
            <w:noProof/>
            <w:webHidden/>
          </w:rPr>
          <w:fldChar w:fldCharType="separate"/>
        </w:r>
        <w:r>
          <w:rPr>
            <w:noProof/>
            <w:webHidden/>
          </w:rPr>
          <w:t>47</w:t>
        </w:r>
        <w:r>
          <w:rPr>
            <w:noProof/>
            <w:webHidden/>
          </w:rPr>
          <w:fldChar w:fldCharType="end"/>
        </w:r>
      </w:hyperlink>
    </w:p>
    <w:p w14:paraId="0D062306" w14:textId="2911745A"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79" w:history="1">
        <w:r w:rsidRPr="001019A3">
          <w:rPr>
            <w:rStyle w:val="Hyperlink"/>
            <w:noProof/>
          </w:rPr>
          <w:t>3.3.3</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Transferimi i mbeturinave</w:t>
        </w:r>
        <w:r>
          <w:rPr>
            <w:noProof/>
            <w:webHidden/>
          </w:rPr>
          <w:tab/>
        </w:r>
        <w:r>
          <w:rPr>
            <w:noProof/>
            <w:webHidden/>
          </w:rPr>
          <w:fldChar w:fldCharType="begin"/>
        </w:r>
        <w:r>
          <w:rPr>
            <w:noProof/>
            <w:webHidden/>
          </w:rPr>
          <w:instrText xml:space="preserve"> PAGEREF _Toc197471979 \h </w:instrText>
        </w:r>
        <w:r>
          <w:rPr>
            <w:noProof/>
            <w:webHidden/>
          </w:rPr>
        </w:r>
        <w:r>
          <w:rPr>
            <w:noProof/>
            <w:webHidden/>
          </w:rPr>
          <w:fldChar w:fldCharType="separate"/>
        </w:r>
        <w:r>
          <w:rPr>
            <w:noProof/>
            <w:webHidden/>
          </w:rPr>
          <w:t>47</w:t>
        </w:r>
        <w:r>
          <w:rPr>
            <w:noProof/>
            <w:webHidden/>
          </w:rPr>
          <w:fldChar w:fldCharType="end"/>
        </w:r>
      </w:hyperlink>
    </w:p>
    <w:p w14:paraId="3F7A51B4" w14:textId="58F13EC2"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80" w:history="1">
        <w:r w:rsidRPr="001019A3">
          <w:rPr>
            <w:rStyle w:val="Hyperlink"/>
            <w:noProof/>
          </w:rPr>
          <w:t>3.3.4</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Rikuperimi i mbeturinave</w:t>
        </w:r>
        <w:r>
          <w:rPr>
            <w:noProof/>
            <w:webHidden/>
          </w:rPr>
          <w:tab/>
        </w:r>
        <w:r>
          <w:rPr>
            <w:noProof/>
            <w:webHidden/>
          </w:rPr>
          <w:fldChar w:fldCharType="begin"/>
        </w:r>
        <w:r>
          <w:rPr>
            <w:noProof/>
            <w:webHidden/>
          </w:rPr>
          <w:instrText xml:space="preserve"> PAGEREF _Toc197471980 \h </w:instrText>
        </w:r>
        <w:r>
          <w:rPr>
            <w:noProof/>
            <w:webHidden/>
          </w:rPr>
        </w:r>
        <w:r>
          <w:rPr>
            <w:noProof/>
            <w:webHidden/>
          </w:rPr>
          <w:fldChar w:fldCharType="separate"/>
        </w:r>
        <w:r>
          <w:rPr>
            <w:noProof/>
            <w:webHidden/>
          </w:rPr>
          <w:t>48</w:t>
        </w:r>
        <w:r>
          <w:rPr>
            <w:noProof/>
            <w:webHidden/>
          </w:rPr>
          <w:fldChar w:fldCharType="end"/>
        </w:r>
      </w:hyperlink>
    </w:p>
    <w:p w14:paraId="529D4CE4" w14:textId="35780B15"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81" w:history="1">
        <w:r w:rsidRPr="001019A3">
          <w:rPr>
            <w:rStyle w:val="Hyperlink"/>
            <w:noProof/>
          </w:rPr>
          <w:t>3.3.5</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Deponimi i mbeturinave</w:t>
        </w:r>
        <w:r>
          <w:rPr>
            <w:noProof/>
            <w:webHidden/>
          </w:rPr>
          <w:tab/>
        </w:r>
        <w:r>
          <w:rPr>
            <w:noProof/>
            <w:webHidden/>
          </w:rPr>
          <w:fldChar w:fldCharType="begin"/>
        </w:r>
        <w:r>
          <w:rPr>
            <w:noProof/>
            <w:webHidden/>
          </w:rPr>
          <w:instrText xml:space="preserve"> PAGEREF _Toc197471981 \h </w:instrText>
        </w:r>
        <w:r>
          <w:rPr>
            <w:noProof/>
            <w:webHidden/>
          </w:rPr>
        </w:r>
        <w:r>
          <w:rPr>
            <w:noProof/>
            <w:webHidden/>
          </w:rPr>
          <w:fldChar w:fldCharType="separate"/>
        </w:r>
        <w:r>
          <w:rPr>
            <w:noProof/>
            <w:webHidden/>
          </w:rPr>
          <w:t>48</w:t>
        </w:r>
        <w:r>
          <w:rPr>
            <w:noProof/>
            <w:webHidden/>
          </w:rPr>
          <w:fldChar w:fldCharType="end"/>
        </w:r>
      </w:hyperlink>
    </w:p>
    <w:p w14:paraId="779BB33F" w14:textId="36E26202"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82" w:history="1">
        <w:r w:rsidRPr="001019A3">
          <w:rPr>
            <w:rStyle w:val="Hyperlink"/>
            <w:noProof/>
          </w:rPr>
          <w:t>3.3.6</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Lëvizja e mbeturinave</w:t>
        </w:r>
        <w:r>
          <w:rPr>
            <w:noProof/>
            <w:webHidden/>
          </w:rPr>
          <w:tab/>
        </w:r>
        <w:r>
          <w:rPr>
            <w:noProof/>
            <w:webHidden/>
          </w:rPr>
          <w:fldChar w:fldCharType="begin"/>
        </w:r>
        <w:r>
          <w:rPr>
            <w:noProof/>
            <w:webHidden/>
          </w:rPr>
          <w:instrText xml:space="preserve"> PAGEREF _Toc197471982 \h </w:instrText>
        </w:r>
        <w:r>
          <w:rPr>
            <w:noProof/>
            <w:webHidden/>
          </w:rPr>
        </w:r>
        <w:r>
          <w:rPr>
            <w:noProof/>
            <w:webHidden/>
          </w:rPr>
          <w:fldChar w:fldCharType="separate"/>
        </w:r>
        <w:r>
          <w:rPr>
            <w:noProof/>
            <w:webHidden/>
          </w:rPr>
          <w:t>50</w:t>
        </w:r>
        <w:r>
          <w:rPr>
            <w:noProof/>
            <w:webHidden/>
          </w:rPr>
          <w:fldChar w:fldCharType="end"/>
        </w:r>
      </w:hyperlink>
    </w:p>
    <w:p w14:paraId="2B3871B9" w14:textId="51E57349"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83" w:history="1">
        <w:r w:rsidRPr="001019A3">
          <w:rPr>
            <w:rStyle w:val="Hyperlink"/>
            <w:noProof/>
          </w:rPr>
          <w:t>3.3.7</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Stafi për menaxhimin e mbeturinave</w:t>
        </w:r>
        <w:r>
          <w:rPr>
            <w:noProof/>
            <w:webHidden/>
          </w:rPr>
          <w:tab/>
        </w:r>
        <w:r>
          <w:rPr>
            <w:noProof/>
            <w:webHidden/>
          </w:rPr>
          <w:fldChar w:fldCharType="begin"/>
        </w:r>
        <w:r>
          <w:rPr>
            <w:noProof/>
            <w:webHidden/>
          </w:rPr>
          <w:instrText xml:space="preserve"> PAGEREF _Toc197471983 \h </w:instrText>
        </w:r>
        <w:r>
          <w:rPr>
            <w:noProof/>
            <w:webHidden/>
          </w:rPr>
        </w:r>
        <w:r>
          <w:rPr>
            <w:noProof/>
            <w:webHidden/>
          </w:rPr>
          <w:fldChar w:fldCharType="separate"/>
        </w:r>
        <w:r>
          <w:rPr>
            <w:noProof/>
            <w:webHidden/>
          </w:rPr>
          <w:t>50</w:t>
        </w:r>
        <w:r>
          <w:rPr>
            <w:noProof/>
            <w:webHidden/>
          </w:rPr>
          <w:fldChar w:fldCharType="end"/>
        </w:r>
      </w:hyperlink>
    </w:p>
    <w:p w14:paraId="2F6F872C" w14:textId="6FBDC2DE"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84" w:history="1">
        <w:r w:rsidRPr="001019A3">
          <w:rPr>
            <w:rStyle w:val="Hyperlink"/>
            <w:noProof/>
          </w:rPr>
          <w:t>3.3.8</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Tarifat e mbeturinave</w:t>
        </w:r>
        <w:r>
          <w:rPr>
            <w:noProof/>
            <w:webHidden/>
          </w:rPr>
          <w:tab/>
        </w:r>
        <w:r>
          <w:rPr>
            <w:noProof/>
            <w:webHidden/>
          </w:rPr>
          <w:fldChar w:fldCharType="begin"/>
        </w:r>
        <w:r>
          <w:rPr>
            <w:noProof/>
            <w:webHidden/>
          </w:rPr>
          <w:instrText xml:space="preserve"> PAGEREF _Toc197471984 \h </w:instrText>
        </w:r>
        <w:r>
          <w:rPr>
            <w:noProof/>
            <w:webHidden/>
          </w:rPr>
        </w:r>
        <w:r>
          <w:rPr>
            <w:noProof/>
            <w:webHidden/>
          </w:rPr>
          <w:fldChar w:fldCharType="separate"/>
        </w:r>
        <w:r>
          <w:rPr>
            <w:noProof/>
            <w:webHidden/>
          </w:rPr>
          <w:t>50</w:t>
        </w:r>
        <w:r>
          <w:rPr>
            <w:noProof/>
            <w:webHidden/>
          </w:rPr>
          <w:fldChar w:fldCharType="end"/>
        </w:r>
      </w:hyperlink>
    </w:p>
    <w:p w14:paraId="64A168F7" w14:textId="2C008276"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85" w:history="1">
        <w:r w:rsidRPr="001019A3">
          <w:rPr>
            <w:rStyle w:val="Hyperlink"/>
            <w:noProof/>
          </w:rPr>
          <w:t>3.3.9</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Roli i sektorit jo-formal</w:t>
        </w:r>
        <w:r>
          <w:rPr>
            <w:noProof/>
            <w:webHidden/>
          </w:rPr>
          <w:tab/>
        </w:r>
        <w:r>
          <w:rPr>
            <w:noProof/>
            <w:webHidden/>
          </w:rPr>
          <w:fldChar w:fldCharType="begin"/>
        </w:r>
        <w:r>
          <w:rPr>
            <w:noProof/>
            <w:webHidden/>
          </w:rPr>
          <w:instrText xml:space="preserve"> PAGEREF _Toc197471985 \h </w:instrText>
        </w:r>
        <w:r>
          <w:rPr>
            <w:noProof/>
            <w:webHidden/>
          </w:rPr>
        </w:r>
        <w:r>
          <w:rPr>
            <w:noProof/>
            <w:webHidden/>
          </w:rPr>
          <w:fldChar w:fldCharType="separate"/>
        </w:r>
        <w:r>
          <w:rPr>
            <w:noProof/>
            <w:webHidden/>
          </w:rPr>
          <w:t>51</w:t>
        </w:r>
        <w:r>
          <w:rPr>
            <w:noProof/>
            <w:webHidden/>
          </w:rPr>
          <w:fldChar w:fldCharType="end"/>
        </w:r>
      </w:hyperlink>
    </w:p>
    <w:p w14:paraId="1F44BE99" w14:textId="317BFDC3" w:rsidR="00E5352D" w:rsidRDefault="00E5352D">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1986" w:history="1">
        <w:r w:rsidRPr="001019A3">
          <w:rPr>
            <w:rStyle w:val="Hyperlink"/>
            <w:noProof/>
          </w:rPr>
          <w:t>3.4</w:t>
        </w:r>
        <w:r>
          <w:rPr>
            <w:rFonts w:asciiTheme="minorHAnsi" w:eastAsiaTheme="minorEastAsia" w:hAnsiTheme="minorHAnsi" w:cstheme="minorBidi"/>
            <w:noProof/>
            <w:kern w:val="2"/>
            <w:sz w:val="24"/>
            <w:szCs w:val="24"/>
            <w:lang w:val="en-US"/>
            <w14:ligatures w14:val="standardContextual"/>
          </w:rPr>
          <w:tab/>
        </w:r>
        <w:r w:rsidRPr="001019A3">
          <w:rPr>
            <w:rStyle w:val="Hyperlink"/>
            <w:noProof/>
          </w:rPr>
          <w:t>Menaxhimi i mbeturinave tjera</w:t>
        </w:r>
        <w:r>
          <w:rPr>
            <w:noProof/>
            <w:webHidden/>
          </w:rPr>
          <w:tab/>
        </w:r>
        <w:r>
          <w:rPr>
            <w:noProof/>
            <w:webHidden/>
          </w:rPr>
          <w:fldChar w:fldCharType="begin"/>
        </w:r>
        <w:r>
          <w:rPr>
            <w:noProof/>
            <w:webHidden/>
          </w:rPr>
          <w:instrText xml:space="preserve"> PAGEREF _Toc197471986 \h </w:instrText>
        </w:r>
        <w:r>
          <w:rPr>
            <w:noProof/>
            <w:webHidden/>
          </w:rPr>
        </w:r>
        <w:r>
          <w:rPr>
            <w:noProof/>
            <w:webHidden/>
          </w:rPr>
          <w:fldChar w:fldCharType="separate"/>
        </w:r>
        <w:r>
          <w:rPr>
            <w:noProof/>
            <w:webHidden/>
          </w:rPr>
          <w:t>51</w:t>
        </w:r>
        <w:r>
          <w:rPr>
            <w:noProof/>
            <w:webHidden/>
          </w:rPr>
          <w:fldChar w:fldCharType="end"/>
        </w:r>
      </w:hyperlink>
    </w:p>
    <w:p w14:paraId="2B50B885" w14:textId="2F41C069"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87" w:history="1">
        <w:r w:rsidRPr="001019A3">
          <w:rPr>
            <w:rStyle w:val="Hyperlink"/>
            <w:noProof/>
          </w:rPr>
          <w:t>3.4.1</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Fraksionet e veçanta të mbeturinave</w:t>
        </w:r>
        <w:r>
          <w:rPr>
            <w:noProof/>
            <w:webHidden/>
          </w:rPr>
          <w:tab/>
        </w:r>
        <w:r>
          <w:rPr>
            <w:noProof/>
            <w:webHidden/>
          </w:rPr>
          <w:fldChar w:fldCharType="begin"/>
        </w:r>
        <w:r>
          <w:rPr>
            <w:noProof/>
            <w:webHidden/>
          </w:rPr>
          <w:instrText xml:space="preserve"> PAGEREF _Toc197471987 \h </w:instrText>
        </w:r>
        <w:r>
          <w:rPr>
            <w:noProof/>
            <w:webHidden/>
          </w:rPr>
        </w:r>
        <w:r>
          <w:rPr>
            <w:noProof/>
            <w:webHidden/>
          </w:rPr>
          <w:fldChar w:fldCharType="separate"/>
        </w:r>
        <w:r>
          <w:rPr>
            <w:noProof/>
            <w:webHidden/>
          </w:rPr>
          <w:t>51</w:t>
        </w:r>
        <w:r>
          <w:rPr>
            <w:noProof/>
            <w:webHidden/>
          </w:rPr>
          <w:fldChar w:fldCharType="end"/>
        </w:r>
      </w:hyperlink>
    </w:p>
    <w:p w14:paraId="52C37DFD" w14:textId="68143FCF"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88" w:history="1">
        <w:r w:rsidRPr="001019A3">
          <w:rPr>
            <w:rStyle w:val="Hyperlink"/>
            <w:noProof/>
          </w:rPr>
          <w:t>3.4.2</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Mbeturinat e rrezikshme të amvisërisë</w:t>
        </w:r>
        <w:r>
          <w:rPr>
            <w:noProof/>
            <w:webHidden/>
          </w:rPr>
          <w:tab/>
        </w:r>
        <w:r>
          <w:rPr>
            <w:noProof/>
            <w:webHidden/>
          </w:rPr>
          <w:fldChar w:fldCharType="begin"/>
        </w:r>
        <w:r>
          <w:rPr>
            <w:noProof/>
            <w:webHidden/>
          </w:rPr>
          <w:instrText xml:space="preserve"> PAGEREF _Toc197471988 \h </w:instrText>
        </w:r>
        <w:r>
          <w:rPr>
            <w:noProof/>
            <w:webHidden/>
          </w:rPr>
        </w:r>
        <w:r>
          <w:rPr>
            <w:noProof/>
            <w:webHidden/>
          </w:rPr>
          <w:fldChar w:fldCharType="separate"/>
        </w:r>
        <w:r>
          <w:rPr>
            <w:noProof/>
            <w:webHidden/>
          </w:rPr>
          <w:t>52</w:t>
        </w:r>
        <w:r>
          <w:rPr>
            <w:noProof/>
            <w:webHidden/>
          </w:rPr>
          <w:fldChar w:fldCharType="end"/>
        </w:r>
      </w:hyperlink>
    </w:p>
    <w:p w14:paraId="30C52B2D" w14:textId="4C14A814"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89" w:history="1">
        <w:r w:rsidRPr="001019A3">
          <w:rPr>
            <w:rStyle w:val="Hyperlink"/>
            <w:noProof/>
          </w:rPr>
          <w:t>3.4.3</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Mbeturinat medicinale</w:t>
        </w:r>
        <w:r>
          <w:rPr>
            <w:noProof/>
            <w:webHidden/>
          </w:rPr>
          <w:tab/>
        </w:r>
        <w:r>
          <w:rPr>
            <w:noProof/>
            <w:webHidden/>
          </w:rPr>
          <w:fldChar w:fldCharType="begin"/>
        </w:r>
        <w:r>
          <w:rPr>
            <w:noProof/>
            <w:webHidden/>
          </w:rPr>
          <w:instrText xml:space="preserve"> PAGEREF _Toc197471989 \h </w:instrText>
        </w:r>
        <w:r>
          <w:rPr>
            <w:noProof/>
            <w:webHidden/>
          </w:rPr>
        </w:r>
        <w:r>
          <w:rPr>
            <w:noProof/>
            <w:webHidden/>
          </w:rPr>
          <w:fldChar w:fldCharType="separate"/>
        </w:r>
        <w:r>
          <w:rPr>
            <w:noProof/>
            <w:webHidden/>
          </w:rPr>
          <w:t>52</w:t>
        </w:r>
        <w:r>
          <w:rPr>
            <w:noProof/>
            <w:webHidden/>
          </w:rPr>
          <w:fldChar w:fldCharType="end"/>
        </w:r>
      </w:hyperlink>
    </w:p>
    <w:p w14:paraId="17163624" w14:textId="506369C0"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90" w:history="1">
        <w:r w:rsidRPr="001019A3">
          <w:rPr>
            <w:rStyle w:val="Hyperlink"/>
            <w:noProof/>
          </w:rPr>
          <w:t>3.4.4</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Mbeturinat e ndërtimit dhe rrënimit</w:t>
        </w:r>
        <w:r>
          <w:rPr>
            <w:noProof/>
            <w:webHidden/>
          </w:rPr>
          <w:tab/>
        </w:r>
        <w:r>
          <w:rPr>
            <w:noProof/>
            <w:webHidden/>
          </w:rPr>
          <w:fldChar w:fldCharType="begin"/>
        </w:r>
        <w:r>
          <w:rPr>
            <w:noProof/>
            <w:webHidden/>
          </w:rPr>
          <w:instrText xml:space="preserve"> PAGEREF _Toc197471990 \h </w:instrText>
        </w:r>
        <w:r>
          <w:rPr>
            <w:noProof/>
            <w:webHidden/>
          </w:rPr>
        </w:r>
        <w:r>
          <w:rPr>
            <w:noProof/>
            <w:webHidden/>
          </w:rPr>
          <w:fldChar w:fldCharType="separate"/>
        </w:r>
        <w:r>
          <w:rPr>
            <w:noProof/>
            <w:webHidden/>
          </w:rPr>
          <w:t>53</w:t>
        </w:r>
        <w:r>
          <w:rPr>
            <w:noProof/>
            <w:webHidden/>
          </w:rPr>
          <w:fldChar w:fldCharType="end"/>
        </w:r>
      </w:hyperlink>
    </w:p>
    <w:p w14:paraId="4A27BFEB" w14:textId="04AA6BC0"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91" w:history="1">
        <w:r w:rsidRPr="001019A3">
          <w:rPr>
            <w:rStyle w:val="Hyperlink"/>
            <w:noProof/>
          </w:rPr>
          <w:t>3.4.5</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Mbeturinat e vëllimshme</w:t>
        </w:r>
        <w:r>
          <w:rPr>
            <w:noProof/>
            <w:webHidden/>
          </w:rPr>
          <w:tab/>
        </w:r>
        <w:r>
          <w:rPr>
            <w:noProof/>
            <w:webHidden/>
          </w:rPr>
          <w:fldChar w:fldCharType="begin"/>
        </w:r>
        <w:r>
          <w:rPr>
            <w:noProof/>
            <w:webHidden/>
          </w:rPr>
          <w:instrText xml:space="preserve"> PAGEREF _Toc197471991 \h </w:instrText>
        </w:r>
        <w:r>
          <w:rPr>
            <w:noProof/>
            <w:webHidden/>
          </w:rPr>
        </w:r>
        <w:r>
          <w:rPr>
            <w:noProof/>
            <w:webHidden/>
          </w:rPr>
          <w:fldChar w:fldCharType="separate"/>
        </w:r>
        <w:r>
          <w:rPr>
            <w:noProof/>
            <w:webHidden/>
          </w:rPr>
          <w:t>53</w:t>
        </w:r>
        <w:r>
          <w:rPr>
            <w:noProof/>
            <w:webHidden/>
          </w:rPr>
          <w:fldChar w:fldCharType="end"/>
        </w:r>
      </w:hyperlink>
    </w:p>
    <w:p w14:paraId="71FA8717" w14:textId="2D1B131C"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92" w:history="1">
        <w:r w:rsidRPr="001019A3">
          <w:rPr>
            <w:rStyle w:val="Hyperlink"/>
            <w:noProof/>
          </w:rPr>
          <w:t>3.4.6</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Mbeturinat bujqësore</w:t>
        </w:r>
        <w:r>
          <w:rPr>
            <w:noProof/>
            <w:webHidden/>
          </w:rPr>
          <w:tab/>
        </w:r>
        <w:r>
          <w:rPr>
            <w:noProof/>
            <w:webHidden/>
          </w:rPr>
          <w:fldChar w:fldCharType="begin"/>
        </w:r>
        <w:r>
          <w:rPr>
            <w:noProof/>
            <w:webHidden/>
          </w:rPr>
          <w:instrText xml:space="preserve"> PAGEREF _Toc197471992 \h </w:instrText>
        </w:r>
        <w:r>
          <w:rPr>
            <w:noProof/>
            <w:webHidden/>
          </w:rPr>
        </w:r>
        <w:r>
          <w:rPr>
            <w:noProof/>
            <w:webHidden/>
          </w:rPr>
          <w:fldChar w:fldCharType="separate"/>
        </w:r>
        <w:r>
          <w:rPr>
            <w:noProof/>
            <w:webHidden/>
          </w:rPr>
          <w:t>54</w:t>
        </w:r>
        <w:r>
          <w:rPr>
            <w:noProof/>
            <w:webHidden/>
          </w:rPr>
          <w:fldChar w:fldCharType="end"/>
        </w:r>
      </w:hyperlink>
    </w:p>
    <w:p w14:paraId="331D6CB3" w14:textId="707E421B"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93" w:history="1">
        <w:r w:rsidRPr="001019A3">
          <w:rPr>
            <w:rStyle w:val="Hyperlink"/>
            <w:noProof/>
          </w:rPr>
          <w:t>3.4.7</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Mbeturinat industriale</w:t>
        </w:r>
        <w:r>
          <w:rPr>
            <w:noProof/>
            <w:webHidden/>
          </w:rPr>
          <w:tab/>
        </w:r>
        <w:r>
          <w:rPr>
            <w:noProof/>
            <w:webHidden/>
          </w:rPr>
          <w:fldChar w:fldCharType="begin"/>
        </w:r>
        <w:r>
          <w:rPr>
            <w:noProof/>
            <w:webHidden/>
          </w:rPr>
          <w:instrText xml:space="preserve"> PAGEREF _Toc197471993 \h </w:instrText>
        </w:r>
        <w:r>
          <w:rPr>
            <w:noProof/>
            <w:webHidden/>
          </w:rPr>
        </w:r>
        <w:r>
          <w:rPr>
            <w:noProof/>
            <w:webHidden/>
          </w:rPr>
          <w:fldChar w:fldCharType="separate"/>
        </w:r>
        <w:r>
          <w:rPr>
            <w:noProof/>
            <w:webHidden/>
          </w:rPr>
          <w:t>54</w:t>
        </w:r>
        <w:r>
          <w:rPr>
            <w:noProof/>
            <w:webHidden/>
          </w:rPr>
          <w:fldChar w:fldCharType="end"/>
        </w:r>
      </w:hyperlink>
    </w:p>
    <w:p w14:paraId="0ADFE5DF" w14:textId="118D06A6"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1994" w:history="1">
        <w:r w:rsidRPr="001019A3">
          <w:rPr>
            <w:rStyle w:val="Hyperlink"/>
            <w:noProof/>
          </w:rPr>
          <w:t>3.4.8</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Mbeturinat nga ITUZ</w:t>
        </w:r>
        <w:r>
          <w:rPr>
            <w:noProof/>
            <w:webHidden/>
          </w:rPr>
          <w:tab/>
        </w:r>
        <w:r>
          <w:rPr>
            <w:noProof/>
            <w:webHidden/>
          </w:rPr>
          <w:fldChar w:fldCharType="begin"/>
        </w:r>
        <w:r>
          <w:rPr>
            <w:noProof/>
            <w:webHidden/>
          </w:rPr>
          <w:instrText xml:space="preserve"> PAGEREF _Toc197471994 \h </w:instrText>
        </w:r>
        <w:r>
          <w:rPr>
            <w:noProof/>
            <w:webHidden/>
          </w:rPr>
        </w:r>
        <w:r>
          <w:rPr>
            <w:noProof/>
            <w:webHidden/>
          </w:rPr>
          <w:fldChar w:fldCharType="separate"/>
        </w:r>
        <w:r>
          <w:rPr>
            <w:noProof/>
            <w:webHidden/>
          </w:rPr>
          <w:t>54</w:t>
        </w:r>
        <w:r>
          <w:rPr>
            <w:noProof/>
            <w:webHidden/>
          </w:rPr>
          <w:fldChar w:fldCharType="end"/>
        </w:r>
      </w:hyperlink>
    </w:p>
    <w:p w14:paraId="4A82637E" w14:textId="5543ED72" w:rsidR="00E5352D" w:rsidRDefault="00E5352D">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1995" w:history="1">
        <w:r w:rsidRPr="001019A3">
          <w:rPr>
            <w:rStyle w:val="Hyperlink"/>
            <w:noProof/>
          </w:rPr>
          <w:t>3.5</w:t>
        </w:r>
        <w:r>
          <w:rPr>
            <w:rFonts w:asciiTheme="minorHAnsi" w:eastAsiaTheme="minorEastAsia" w:hAnsiTheme="minorHAnsi" w:cstheme="minorBidi"/>
            <w:noProof/>
            <w:kern w:val="2"/>
            <w:sz w:val="24"/>
            <w:szCs w:val="24"/>
            <w:lang w:val="en-US"/>
            <w14:ligatures w14:val="standardContextual"/>
          </w:rPr>
          <w:tab/>
        </w:r>
        <w:r w:rsidRPr="001019A3">
          <w:rPr>
            <w:rStyle w:val="Hyperlink"/>
            <w:noProof/>
          </w:rPr>
          <w:t>Ndërgjegjësimi publik</w:t>
        </w:r>
        <w:r>
          <w:rPr>
            <w:noProof/>
            <w:webHidden/>
          </w:rPr>
          <w:tab/>
        </w:r>
        <w:r>
          <w:rPr>
            <w:noProof/>
            <w:webHidden/>
          </w:rPr>
          <w:fldChar w:fldCharType="begin"/>
        </w:r>
        <w:r>
          <w:rPr>
            <w:noProof/>
            <w:webHidden/>
          </w:rPr>
          <w:instrText xml:space="preserve"> PAGEREF _Toc197471995 \h </w:instrText>
        </w:r>
        <w:r>
          <w:rPr>
            <w:noProof/>
            <w:webHidden/>
          </w:rPr>
        </w:r>
        <w:r>
          <w:rPr>
            <w:noProof/>
            <w:webHidden/>
          </w:rPr>
          <w:fldChar w:fldCharType="separate"/>
        </w:r>
        <w:r>
          <w:rPr>
            <w:noProof/>
            <w:webHidden/>
          </w:rPr>
          <w:t>54</w:t>
        </w:r>
        <w:r>
          <w:rPr>
            <w:noProof/>
            <w:webHidden/>
          </w:rPr>
          <w:fldChar w:fldCharType="end"/>
        </w:r>
      </w:hyperlink>
    </w:p>
    <w:p w14:paraId="072FBD8E" w14:textId="33C49E6C" w:rsidR="00E5352D" w:rsidRDefault="00E5352D">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1996" w:history="1">
        <w:r w:rsidRPr="001019A3">
          <w:rPr>
            <w:rStyle w:val="Hyperlink"/>
            <w:noProof/>
          </w:rPr>
          <w:t>3.6</w:t>
        </w:r>
        <w:r>
          <w:rPr>
            <w:rFonts w:asciiTheme="minorHAnsi" w:eastAsiaTheme="minorEastAsia" w:hAnsiTheme="minorHAnsi" w:cstheme="minorBidi"/>
            <w:noProof/>
            <w:kern w:val="2"/>
            <w:sz w:val="24"/>
            <w:szCs w:val="24"/>
            <w:lang w:val="en-US"/>
            <w14:ligatures w14:val="standardContextual"/>
          </w:rPr>
          <w:tab/>
        </w:r>
        <w:r w:rsidRPr="001019A3">
          <w:rPr>
            <w:rStyle w:val="Hyperlink"/>
            <w:noProof/>
          </w:rPr>
          <w:t>Analiza e mangësive të situatës ekzistuese për menaxhimin e mbeturinave</w:t>
        </w:r>
        <w:r>
          <w:rPr>
            <w:noProof/>
            <w:webHidden/>
          </w:rPr>
          <w:tab/>
        </w:r>
        <w:r>
          <w:rPr>
            <w:noProof/>
            <w:webHidden/>
          </w:rPr>
          <w:fldChar w:fldCharType="begin"/>
        </w:r>
        <w:r>
          <w:rPr>
            <w:noProof/>
            <w:webHidden/>
          </w:rPr>
          <w:instrText xml:space="preserve"> PAGEREF _Toc197471996 \h </w:instrText>
        </w:r>
        <w:r>
          <w:rPr>
            <w:noProof/>
            <w:webHidden/>
          </w:rPr>
        </w:r>
        <w:r>
          <w:rPr>
            <w:noProof/>
            <w:webHidden/>
          </w:rPr>
          <w:fldChar w:fldCharType="separate"/>
        </w:r>
        <w:r>
          <w:rPr>
            <w:noProof/>
            <w:webHidden/>
          </w:rPr>
          <w:t>54</w:t>
        </w:r>
        <w:r>
          <w:rPr>
            <w:noProof/>
            <w:webHidden/>
          </w:rPr>
          <w:fldChar w:fldCharType="end"/>
        </w:r>
      </w:hyperlink>
    </w:p>
    <w:p w14:paraId="4D87AFD3" w14:textId="44C2543F" w:rsidR="00E5352D" w:rsidRDefault="00E5352D">
      <w:pPr>
        <w:pStyle w:val="TOC1"/>
        <w:tabs>
          <w:tab w:val="right" w:pos="9016"/>
        </w:tabs>
        <w:rPr>
          <w:rFonts w:asciiTheme="minorHAnsi" w:eastAsiaTheme="minorEastAsia" w:hAnsiTheme="minorHAnsi" w:cstheme="minorBidi"/>
          <w:b w:val="0"/>
          <w:bCs w:val="0"/>
          <w:caps w:val="0"/>
          <w:noProof/>
          <w:color w:val="auto"/>
          <w:kern w:val="2"/>
          <w:sz w:val="24"/>
          <w:szCs w:val="24"/>
          <w:lang w:val="en-US"/>
          <w14:ligatures w14:val="standardContextual"/>
        </w:rPr>
      </w:pPr>
      <w:hyperlink w:anchor="_Toc197471997" w:history="1">
        <w:r w:rsidRPr="001019A3">
          <w:rPr>
            <w:rStyle w:val="Hyperlink"/>
            <w:noProof/>
          </w:rPr>
          <w:t>4</w:t>
        </w:r>
        <w:r>
          <w:rPr>
            <w:rFonts w:asciiTheme="minorHAnsi" w:eastAsiaTheme="minorEastAsia" w:hAnsiTheme="minorHAnsi" w:cstheme="minorBidi"/>
            <w:b w:val="0"/>
            <w:bCs w:val="0"/>
            <w:caps w:val="0"/>
            <w:noProof/>
            <w:color w:val="auto"/>
            <w:kern w:val="2"/>
            <w:sz w:val="24"/>
            <w:szCs w:val="24"/>
            <w:lang w:val="en-US"/>
            <w14:ligatures w14:val="standardContextual"/>
          </w:rPr>
          <w:tab/>
        </w:r>
        <w:r w:rsidRPr="001019A3">
          <w:rPr>
            <w:rStyle w:val="Hyperlink"/>
            <w:noProof/>
          </w:rPr>
          <w:t>Objektivat dhe Synimet</w:t>
        </w:r>
        <w:r>
          <w:rPr>
            <w:noProof/>
            <w:webHidden/>
          </w:rPr>
          <w:tab/>
        </w:r>
        <w:r>
          <w:rPr>
            <w:noProof/>
            <w:webHidden/>
          </w:rPr>
          <w:fldChar w:fldCharType="begin"/>
        </w:r>
        <w:r>
          <w:rPr>
            <w:noProof/>
            <w:webHidden/>
          </w:rPr>
          <w:instrText xml:space="preserve"> PAGEREF _Toc197471997 \h </w:instrText>
        </w:r>
        <w:r>
          <w:rPr>
            <w:noProof/>
            <w:webHidden/>
          </w:rPr>
        </w:r>
        <w:r>
          <w:rPr>
            <w:noProof/>
            <w:webHidden/>
          </w:rPr>
          <w:fldChar w:fldCharType="separate"/>
        </w:r>
        <w:r>
          <w:rPr>
            <w:noProof/>
            <w:webHidden/>
          </w:rPr>
          <w:t>56</w:t>
        </w:r>
        <w:r>
          <w:rPr>
            <w:noProof/>
            <w:webHidden/>
          </w:rPr>
          <w:fldChar w:fldCharType="end"/>
        </w:r>
      </w:hyperlink>
    </w:p>
    <w:p w14:paraId="6971172E" w14:textId="0C819A13" w:rsidR="00E5352D" w:rsidRDefault="00E5352D">
      <w:pPr>
        <w:pStyle w:val="TOC1"/>
        <w:tabs>
          <w:tab w:val="right" w:pos="9016"/>
        </w:tabs>
        <w:rPr>
          <w:rFonts w:asciiTheme="minorHAnsi" w:eastAsiaTheme="minorEastAsia" w:hAnsiTheme="minorHAnsi" w:cstheme="minorBidi"/>
          <w:b w:val="0"/>
          <w:bCs w:val="0"/>
          <w:caps w:val="0"/>
          <w:noProof/>
          <w:color w:val="auto"/>
          <w:kern w:val="2"/>
          <w:sz w:val="24"/>
          <w:szCs w:val="24"/>
          <w:lang w:val="en-US"/>
          <w14:ligatures w14:val="standardContextual"/>
        </w:rPr>
      </w:pPr>
      <w:hyperlink w:anchor="_Toc197471998" w:history="1">
        <w:r w:rsidRPr="001019A3">
          <w:rPr>
            <w:rStyle w:val="Hyperlink"/>
            <w:noProof/>
          </w:rPr>
          <w:t>5</w:t>
        </w:r>
        <w:r>
          <w:rPr>
            <w:rFonts w:asciiTheme="minorHAnsi" w:eastAsiaTheme="minorEastAsia" w:hAnsiTheme="minorHAnsi" w:cstheme="minorBidi"/>
            <w:b w:val="0"/>
            <w:bCs w:val="0"/>
            <w:caps w:val="0"/>
            <w:noProof/>
            <w:color w:val="auto"/>
            <w:kern w:val="2"/>
            <w:sz w:val="24"/>
            <w:szCs w:val="24"/>
            <w:lang w:val="en-US"/>
            <w14:ligatures w14:val="standardContextual"/>
          </w:rPr>
          <w:tab/>
        </w:r>
        <w:r w:rsidRPr="001019A3">
          <w:rPr>
            <w:rStyle w:val="Hyperlink"/>
            <w:noProof/>
          </w:rPr>
          <w:t>Parashikimi i popullsisë dhe gjenerimit të mbeturinave</w:t>
        </w:r>
        <w:r>
          <w:rPr>
            <w:noProof/>
            <w:webHidden/>
          </w:rPr>
          <w:tab/>
        </w:r>
        <w:r>
          <w:rPr>
            <w:noProof/>
            <w:webHidden/>
          </w:rPr>
          <w:fldChar w:fldCharType="begin"/>
        </w:r>
        <w:r>
          <w:rPr>
            <w:noProof/>
            <w:webHidden/>
          </w:rPr>
          <w:instrText xml:space="preserve"> PAGEREF _Toc197471998 \h </w:instrText>
        </w:r>
        <w:r>
          <w:rPr>
            <w:noProof/>
            <w:webHidden/>
          </w:rPr>
        </w:r>
        <w:r>
          <w:rPr>
            <w:noProof/>
            <w:webHidden/>
          </w:rPr>
          <w:fldChar w:fldCharType="separate"/>
        </w:r>
        <w:r>
          <w:rPr>
            <w:noProof/>
            <w:webHidden/>
          </w:rPr>
          <w:t>58</w:t>
        </w:r>
        <w:r>
          <w:rPr>
            <w:noProof/>
            <w:webHidden/>
          </w:rPr>
          <w:fldChar w:fldCharType="end"/>
        </w:r>
      </w:hyperlink>
    </w:p>
    <w:p w14:paraId="32931E46" w14:textId="66D0BDA4" w:rsidR="00E5352D" w:rsidRDefault="00E5352D">
      <w:pPr>
        <w:pStyle w:val="TOC1"/>
        <w:tabs>
          <w:tab w:val="right" w:pos="9016"/>
        </w:tabs>
        <w:rPr>
          <w:rFonts w:asciiTheme="minorHAnsi" w:eastAsiaTheme="minorEastAsia" w:hAnsiTheme="minorHAnsi" w:cstheme="minorBidi"/>
          <w:b w:val="0"/>
          <w:bCs w:val="0"/>
          <w:caps w:val="0"/>
          <w:noProof/>
          <w:color w:val="auto"/>
          <w:kern w:val="2"/>
          <w:sz w:val="24"/>
          <w:szCs w:val="24"/>
          <w:lang w:val="en-US"/>
          <w14:ligatures w14:val="standardContextual"/>
        </w:rPr>
      </w:pPr>
      <w:hyperlink w:anchor="_Toc197471999" w:history="1">
        <w:r w:rsidRPr="001019A3">
          <w:rPr>
            <w:rStyle w:val="Hyperlink"/>
            <w:noProof/>
          </w:rPr>
          <w:t>6</w:t>
        </w:r>
        <w:r>
          <w:rPr>
            <w:rFonts w:asciiTheme="minorHAnsi" w:eastAsiaTheme="minorEastAsia" w:hAnsiTheme="minorHAnsi" w:cstheme="minorBidi"/>
            <w:b w:val="0"/>
            <w:bCs w:val="0"/>
            <w:caps w:val="0"/>
            <w:noProof/>
            <w:color w:val="auto"/>
            <w:kern w:val="2"/>
            <w:sz w:val="24"/>
            <w:szCs w:val="24"/>
            <w:lang w:val="en-US"/>
            <w14:ligatures w14:val="standardContextual"/>
          </w:rPr>
          <w:tab/>
        </w:r>
        <w:r w:rsidRPr="001019A3">
          <w:rPr>
            <w:rStyle w:val="Hyperlink"/>
            <w:noProof/>
          </w:rPr>
          <w:t>Analiza e opsioneve</w:t>
        </w:r>
        <w:r>
          <w:rPr>
            <w:noProof/>
            <w:webHidden/>
          </w:rPr>
          <w:tab/>
        </w:r>
        <w:r>
          <w:rPr>
            <w:noProof/>
            <w:webHidden/>
          </w:rPr>
          <w:fldChar w:fldCharType="begin"/>
        </w:r>
        <w:r>
          <w:rPr>
            <w:noProof/>
            <w:webHidden/>
          </w:rPr>
          <w:instrText xml:space="preserve"> PAGEREF _Toc197471999 \h </w:instrText>
        </w:r>
        <w:r>
          <w:rPr>
            <w:noProof/>
            <w:webHidden/>
          </w:rPr>
        </w:r>
        <w:r>
          <w:rPr>
            <w:noProof/>
            <w:webHidden/>
          </w:rPr>
          <w:fldChar w:fldCharType="separate"/>
        </w:r>
        <w:r>
          <w:rPr>
            <w:noProof/>
            <w:webHidden/>
          </w:rPr>
          <w:t>60</w:t>
        </w:r>
        <w:r>
          <w:rPr>
            <w:noProof/>
            <w:webHidden/>
          </w:rPr>
          <w:fldChar w:fldCharType="end"/>
        </w:r>
      </w:hyperlink>
    </w:p>
    <w:p w14:paraId="50FD1FBF" w14:textId="135F910C" w:rsidR="00E5352D" w:rsidRDefault="00E5352D">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00" w:history="1">
        <w:r w:rsidRPr="001019A3">
          <w:rPr>
            <w:rStyle w:val="Hyperlink"/>
            <w:noProof/>
          </w:rPr>
          <w:t>6.1</w:t>
        </w:r>
        <w:r>
          <w:rPr>
            <w:rFonts w:asciiTheme="minorHAnsi" w:eastAsiaTheme="minorEastAsia" w:hAnsiTheme="minorHAnsi" w:cstheme="minorBidi"/>
            <w:noProof/>
            <w:kern w:val="2"/>
            <w:sz w:val="24"/>
            <w:szCs w:val="24"/>
            <w:lang w:val="en-US"/>
            <w14:ligatures w14:val="standardContextual"/>
          </w:rPr>
          <w:tab/>
        </w:r>
        <w:r w:rsidRPr="001019A3">
          <w:rPr>
            <w:rStyle w:val="Hyperlink"/>
            <w:noProof/>
          </w:rPr>
          <w:t>Supozimet dhe metodologjia</w:t>
        </w:r>
        <w:r>
          <w:rPr>
            <w:noProof/>
            <w:webHidden/>
          </w:rPr>
          <w:tab/>
        </w:r>
        <w:r>
          <w:rPr>
            <w:noProof/>
            <w:webHidden/>
          </w:rPr>
          <w:fldChar w:fldCharType="begin"/>
        </w:r>
        <w:r>
          <w:rPr>
            <w:noProof/>
            <w:webHidden/>
          </w:rPr>
          <w:instrText xml:space="preserve"> PAGEREF _Toc197472000 \h </w:instrText>
        </w:r>
        <w:r>
          <w:rPr>
            <w:noProof/>
            <w:webHidden/>
          </w:rPr>
        </w:r>
        <w:r>
          <w:rPr>
            <w:noProof/>
            <w:webHidden/>
          </w:rPr>
          <w:fldChar w:fldCharType="separate"/>
        </w:r>
        <w:r>
          <w:rPr>
            <w:noProof/>
            <w:webHidden/>
          </w:rPr>
          <w:t>60</w:t>
        </w:r>
        <w:r>
          <w:rPr>
            <w:noProof/>
            <w:webHidden/>
          </w:rPr>
          <w:fldChar w:fldCharType="end"/>
        </w:r>
      </w:hyperlink>
    </w:p>
    <w:p w14:paraId="19B7C4B2" w14:textId="2D541882" w:rsidR="00E5352D" w:rsidRDefault="00E5352D">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01" w:history="1">
        <w:r w:rsidRPr="001019A3">
          <w:rPr>
            <w:rStyle w:val="Hyperlink"/>
            <w:noProof/>
          </w:rPr>
          <w:t>6.2</w:t>
        </w:r>
        <w:r>
          <w:rPr>
            <w:rFonts w:asciiTheme="minorHAnsi" w:eastAsiaTheme="minorEastAsia" w:hAnsiTheme="minorHAnsi" w:cstheme="minorBidi"/>
            <w:noProof/>
            <w:kern w:val="2"/>
            <w:sz w:val="24"/>
            <w:szCs w:val="24"/>
            <w:lang w:val="en-US"/>
            <w14:ligatures w14:val="standardContextual"/>
          </w:rPr>
          <w:tab/>
        </w:r>
        <w:r w:rsidRPr="001019A3">
          <w:rPr>
            <w:rStyle w:val="Hyperlink"/>
            <w:noProof/>
          </w:rPr>
          <w:t>Parandalimi i mbeturinave</w:t>
        </w:r>
        <w:r>
          <w:rPr>
            <w:noProof/>
            <w:webHidden/>
          </w:rPr>
          <w:tab/>
        </w:r>
        <w:r>
          <w:rPr>
            <w:noProof/>
            <w:webHidden/>
          </w:rPr>
          <w:fldChar w:fldCharType="begin"/>
        </w:r>
        <w:r>
          <w:rPr>
            <w:noProof/>
            <w:webHidden/>
          </w:rPr>
          <w:instrText xml:space="preserve"> PAGEREF _Toc197472001 \h </w:instrText>
        </w:r>
        <w:r>
          <w:rPr>
            <w:noProof/>
            <w:webHidden/>
          </w:rPr>
        </w:r>
        <w:r>
          <w:rPr>
            <w:noProof/>
            <w:webHidden/>
          </w:rPr>
          <w:fldChar w:fldCharType="separate"/>
        </w:r>
        <w:r>
          <w:rPr>
            <w:noProof/>
            <w:webHidden/>
          </w:rPr>
          <w:t>61</w:t>
        </w:r>
        <w:r>
          <w:rPr>
            <w:noProof/>
            <w:webHidden/>
          </w:rPr>
          <w:fldChar w:fldCharType="end"/>
        </w:r>
      </w:hyperlink>
    </w:p>
    <w:p w14:paraId="3A01A021" w14:textId="5313FF35" w:rsidR="00E5352D" w:rsidRDefault="00E5352D">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02" w:history="1">
        <w:r w:rsidRPr="001019A3">
          <w:rPr>
            <w:rStyle w:val="Hyperlink"/>
            <w:noProof/>
          </w:rPr>
          <w:t>6.3</w:t>
        </w:r>
        <w:r>
          <w:rPr>
            <w:rFonts w:asciiTheme="minorHAnsi" w:eastAsiaTheme="minorEastAsia" w:hAnsiTheme="minorHAnsi" w:cstheme="minorBidi"/>
            <w:noProof/>
            <w:kern w:val="2"/>
            <w:sz w:val="24"/>
            <w:szCs w:val="24"/>
            <w:lang w:val="en-US"/>
            <w14:ligatures w14:val="standardContextual"/>
          </w:rPr>
          <w:tab/>
        </w:r>
        <w:r w:rsidRPr="001019A3">
          <w:rPr>
            <w:rStyle w:val="Hyperlink"/>
            <w:noProof/>
          </w:rPr>
          <w:t>Grumbullimi i mbeturinave</w:t>
        </w:r>
        <w:r>
          <w:rPr>
            <w:noProof/>
            <w:webHidden/>
          </w:rPr>
          <w:tab/>
        </w:r>
        <w:r>
          <w:rPr>
            <w:noProof/>
            <w:webHidden/>
          </w:rPr>
          <w:fldChar w:fldCharType="begin"/>
        </w:r>
        <w:r>
          <w:rPr>
            <w:noProof/>
            <w:webHidden/>
          </w:rPr>
          <w:instrText xml:space="preserve"> PAGEREF _Toc197472002 \h </w:instrText>
        </w:r>
        <w:r>
          <w:rPr>
            <w:noProof/>
            <w:webHidden/>
          </w:rPr>
        </w:r>
        <w:r>
          <w:rPr>
            <w:noProof/>
            <w:webHidden/>
          </w:rPr>
          <w:fldChar w:fldCharType="separate"/>
        </w:r>
        <w:r>
          <w:rPr>
            <w:noProof/>
            <w:webHidden/>
          </w:rPr>
          <w:t>62</w:t>
        </w:r>
        <w:r>
          <w:rPr>
            <w:noProof/>
            <w:webHidden/>
          </w:rPr>
          <w:fldChar w:fldCharType="end"/>
        </w:r>
      </w:hyperlink>
    </w:p>
    <w:p w14:paraId="6B68E60E" w14:textId="1433E7AF"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03" w:history="1">
        <w:r w:rsidRPr="001019A3">
          <w:rPr>
            <w:rStyle w:val="Hyperlink"/>
            <w:noProof/>
          </w:rPr>
          <w:t>6.3.1</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Gjendja aktuale</w:t>
        </w:r>
        <w:r>
          <w:rPr>
            <w:noProof/>
            <w:webHidden/>
          </w:rPr>
          <w:tab/>
        </w:r>
        <w:r>
          <w:rPr>
            <w:noProof/>
            <w:webHidden/>
          </w:rPr>
          <w:fldChar w:fldCharType="begin"/>
        </w:r>
        <w:r>
          <w:rPr>
            <w:noProof/>
            <w:webHidden/>
          </w:rPr>
          <w:instrText xml:space="preserve"> PAGEREF _Toc197472003 \h </w:instrText>
        </w:r>
        <w:r>
          <w:rPr>
            <w:noProof/>
            <w:webHidden/>
          </w:rPr>
        </w:r>
        <w:r>
          <w:rPr>
            <w:noProof/>
            <w:webHidden/>
          </w:rPr>
          <w:fldChar w:fldCharType="separate"/>
        </w:r>
        <w:r>
          <w:rPr>
            <w:noProof/>
            <w:webHidden/>
          </w:rPr>
          <w:t>62</w:t>
        </w:r>
        <w:r>
          <w:rPr>
            <w:noProof/>
            <w:webHidden/>
          </w:rPr>
          <w:fldChar w:fldCharType="end"/>
        </w:r>
      </w:hyperlink>
    </w:p>
    <w:p w14:paraId="324E9FA6" w14:textId="0B4014D0"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04" w:history="1">
        <w:r w:rsidRPr="001019A3">
          <w:rPr>
            <w:rStyle w:val="Hyperlink"/>
            <w:noProof/>
          </w:rPr>
          <w:t>6.3.2</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Opsionet për grumbullimin e mbeturinave</w:t>
        </w:r>
        <w:r>
          <w:rPr>
            <w:noProof/>
            <w:webHidden/>
          </w:rPr>
          <w:tab/>
        </w:r>
        <w:r>
          <w:rPr>
            <w:noProof/>
            <w:webHidden/>
          </w:rPr>
          <w:fldChar w:fldCharType="begin"/>
        </w:r>
        <w:r>
          <w:rPr>
            <w:noProof/>
            <w:webHidden/>
          </w:rPr>
          <w:instrText xml:space="preserve"> PAGEREF _Toc197472004 \h </w:instrText>
        </w:r>
        <w:r>
          <w:rPr>
            <w:noProof/>
            <w:webHidden/>
          </w:rPr>
        </w:r>
        <w:r>
          <w:rPr>
            <w:noProof/>
            <w:webHidden/>
          </w:rPr>
          <w:fldChar w:fldCharType="separate"/>
        </w:r>
        <w:r>
          <w:rPr>
            <w:noProof/>
            <w:webHidden/>
          </w:rPr>
          <w:t>62</w:t>
        </w:r>
        <w:r>
          <w:rPr>
            <w:noProof/>
            <w:webHidden/>
          </w:rPr>
          <w:fldChar w:fldCharType="end"/>
        </w:r>
      </w:hyperlink>
    </w:p>
    <w:p w14:paraId="0D4F60D3" w14:textId="0C514449"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05" w:history="1">
        <w:r w:rsidRPr="001019A3">
          <w:rPr>
            <w:rStyle w:val="Hyperlink"/>
            <w:noProof/>
          </w:rPr>
          <w:t>6.3.3</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Vlerësimet e kostos</w:t>
        </w:r>
        <w:r>
          <w:rPr>
            <w:noProof/>
            <w:webHidden/>
          </w:rPr>
          <w:tab/>
        </w:r>
        <w:r>
          <w:rPr>
            <w:noProof/>
            <w:webHidden/>
          </w:rPr>
          <w:fldChar w:fldCharType="begin"/>
        </w:r>
        <w:r>
          <w:rPr>
            <w:noProof/>
            <w:webHidden/>
          </w:rPr>
          <w:instrText xml:space="preserve"> PAGEREF _Toc197472005 \h </w:instrText>
        </w:r>
        <w:r>
          <w:rPr>
            <w:noProof/>
            <w:webHidden/>
          </w:rPr>
        </w:r>
        <w:r>
          <w:rPr>
            <w:noProof/>
            <w:webHidden/>
          </w:rPr>
          <w:fldChar w:fldCharType="separate"/>
        </w:r>
        <w:r>
          <w:rPr>
            <w:noProof/>
            <w:webHidden/>
          </w:rPr>
          <w:t>69</w:t>
        </w:r>
        <w:r>
          <w:rPr>
            <w:noProof/>
            <w:webHidden/>
          </w:rPr>
          <w:fldChar w:fldCharType="end"/>
        </w:r>
      </w:hyperlink>
    </w:p>
    <w:p w14:paraId="39423700" w14:textId="695656C7" w:rsidR="00E5352D" w:rsidRDefault="00E5352D">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06" w:history="1">
        <w:r w:rsidRPr="001019A3">
          <w:rPr>
            <w:rStyle w:val="Hyperlink"/>
            <w:noProof/>
          </w:rPr>
          <w:t>6.4</w:t>
        </w:r>
        <w:r>
          <w:rPr>
            <w:rFonts w:asciiTheme="minorHAnsi" w:eastAsiaTheme="minorEastAsia" w:hAnsiTheme="minorHAnsi" w:cstheme="minorBidi"/>
            <w:noProof/>
            <w:kern w:val="2"/>
            <w:sz w:val="24"/>
            <w:szCs w:val="24"/>
            <w:lang w:val="en-US"/>
            <w14:ligatures w14:val="standardContextual"/>
          </w:rPr>
          <w:tab/>
        </w:r>
        <w:r w:rsidRPr="001019A3">
          <w:rPr>
            <w:rStyle w:val="Hyperlink"/>
            <w:noProof/>
          </w:rPr>
          <w:t>Transporti dhe transferimi i mbeturinave</w:t>
        </w:r>
        <w:r>
          <w:rPr>
            <w:noProof/>
            <w:webHidden/>
          </w:rPr>
          <w:tab/>
        </w:r>
        <w:r>
          <w:rPr>
            <w:noProof/>
            <w:webHidden/>
          </w:rPr>
          <w:fldChar w:fldCharType="begin"/>
        </w:r>
        <w:r>
          <w:rPr>
            <w:noProof/>
            <w:webHidden/>
          </w:rPr>
          <w:instrText xml:space="preserve"> PAGEREF _Toc197472006 \h </w:instrText>
        </w:r>
        <w:r>
          <w:rPr>
            <w:noProof/>
            <w:webHidden/>
          </w:rPr>
        </w:r>
        <w:r>
          <w:rPr>
            <w:noProof/>
            <w:webHidden/>
          </w:rPr>
          <w:fldChar w:fldCharType="separate"/>
        </w:r>
        <w:r>
          <w:rPr>
            <w:noProof/>
            <w:webHidden/>
          </w:rPr>
          <w:t>72</w:t>
        </w:r>
        <w:r>
          <w:rPr>
            <w:noProof/>
            <w:webHidden/>
          </w:rPr>
          <w:fldChar w:fldCharType="end"/>
        </w:r>
      </w:hyperlink>
    </w:p>
    <w:p w14:paraId="3C44C541" w14:textId="128B8CF9"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07" w:history="1">
        <w:r w:rsidRPr="001019A3">
          <w:rPr>
            <w:rStyle w:val="Hyperlink"/>
            <w:noProof/>
          </w:rPr>
          <w:t>6.4.1</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Situata aktuale</w:t>
        </w:r>
        <w:r>
          <w:rPr>
            <w:noProof/>
            <w:webHidden/>
          </w:rPr>
          <w:tab/>
        </w:r>
        <w:r>
          <w:rPr>
            <w:noProof/>
            <w:webHidden/>
          </w:rPr>
          <w:fldChar w:fldCharType="begin"/>
        </w:r>
        <w:r>
          <w:rPr>
            <w:noProof/>
            <w:webHidden/>
          </w:rPr>
          <w:instrText xml:space="preserve"> PAGEREF _Toc197472007 \h </w:instrText>
        </w:r>
        <w:r>
          <w:rPr>
            <w:noProof/>
            <w:webHidden/>
          </w:rPr>
        </w:r>
        <w:r>
          <w:rPr>
            <w:noProof/>
            <w:webHidden/>
          </w:rPr>
          <w:fldChar w:fldCharType="separate"/>
        </w:r>
        <w:r>
          <w:rPr>
            <w:noProof/>
            <w:webHidden/>
          </w:rPr>
          <w:t>72</w:t>
        </w:r>
        <w:r>
          <w:rPr>
            <w:noProof/>
            <w:webHidden/>
          </w:rPr>
          <w:fldChar w:fldCharType="end"/>
        </w:r>
      </w:hyperlink>
    </w:p>
    <w:p w14:paraId="355028AE" w14:textId="171E5037"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08" w:history="1">
        <w:r w:rsidRPr="001019A3">
          <w:rPr>
            <w:rStyle w:val="Hyperlink"/>
            <w:noProof/>
          </w:rPr>
          <w:t>6.4.2</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Llojet e stacioneve të transferit</w:t>
        </w:r>
        <w:r>
          <w:rPr>
            <w:noProof/>
            <w:webHidden/>
          </w:rPr>
          <w:tab/>
        </w:r>
        <w:r>
          <w:rPr>
            <w:noProof/>
            <w:webHidden/>
          </w:rPr>
          <w:fldChar w:fldCharType="begin"/>
        </w:r>
        <w:r>
          <w:rPr>
            <w:noProof/>
            <w:webHidden/>
          </w:rPr>
          <w:instrText xml:space="preserve"> PAGEREF _Toc197472008 \h </w:instrText>
        </w:r>
        <w:r>
          <w:rPr>
            <w:noProof/>
            <w:webHidden/>
          </w:rPr>
        </w:r>
        <w:r>
          <w:rPr>
            <w:noProof/>
            <w:webHidden/>
          </w:rPr>
          <w:fldChar w:fldCharType="separate"/>
        </w:r>
        <w:r>
          <w:rPr>
            <w:noProof/>
            <w:webHidden/>
          </w:rPr>
          <w:t>72</w:t>
        </w:r>
        <w:r>
          <w:rPr>
            <w:noProof/>
            <w:webHidden/>
          </w:rPr>
          <w:fldChar w:fldCharType="end"/>
        </w:r>
      </w:hyperlink>
    </w:p>
    <w:p w14:paraId="5F355B6C" w14:textId="47E09C06"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09" w:history="1">
        <w:r w:rsidRPr="001019A3">
          <w:rPr>
            <w:rStyle w:val="Hyperlink"/>
            <w:noProof/>
          </w:rPr>
          <w:t>6.4.3</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Opsionet për transportin e mbeturinave</w:t>
        </w:r>
        <w:r>
          <w:rPr>
            <w:noProof/>
            <w:webHidden/>
          </w:rPr>
          <w:tab/>
        </w:r>
        <w:r>
          <w:rPr>
            <w:noProof/>
            <w:webHidden/>
          </w:rPr>
          <w:fldChar w:fldCharType="begin"/>
        </w:r>
        <w:r>
          <w:rPr>
            <w:noProof/>
            <w:webHidden/>
          </w:rPr>
          <w:instrText xml:space="preserve"> PAGEREF _Toc197472009 \h </w:instrText>
        </w:r>
        <w:r>
          <w:rPr>
            <w:noProof/>
            <w:webHidden/>
          </w:rPr>
        </w:r>
        <w:r>
          <w:rPr>
            <w:noProof/>
            <w:webHidden/>
          </w:rPr>
          <w:fldChar w:fldCharType="separate"/>
        </w:r>
        <w:r>
          <w:rPr>
            <w:noProof/>
            <w:webHidden/>
          </w:rPr>
          <w:t>73</w:t>
        </w:r>
        <w:r>
          <w:rPr>
            <w:noProof/>
            <w:webHidden/>
          </w:rPr>
          <w:fldChar w:fldCharType="end"/>
        </w:r>
      </w:hyperlink>
    </w:p>
    <w:p w14:paraId="1D0131A0" w14:textId="35C8206D"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10" w:history="1">
        <w:r w:rsidRPr="001019A3">
          <w:rPr>
            <w:rStyle w:val="Hyperlink"/>
            <w:noProof/>
          </w:rPr>
          <w:t>6.4.4</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Krahasimi i kostos së opsioneve</w:t>
        </w:r>
        <w:r>
          <w:rPr>
            <w:noProof/>
            <w:webHidden/>
          </w:rPr>
          <w:tab/>
        </w:r>
        <w:r>
          <w:rPr>
            <w:noProof/>
            <w:webHidden/>
          </w:rPr>
          <w:fldChar w:fldCharType="begin"/>
        </w:r>
        <w:r>
          <w:rPr>
            <w:noProof/>
            <w:webHidden/>
          </w:rPr>
          <w:instrText xml:space="preserve"> PAGEREF _Toc197472010 \h </w:instrText>
        </w:r>
        <w:r>
          <w:rPr>
            <w:noProof/>
            <w:webHidden/>
          </w:rPr>
        </w:r>
        <w:r>
          <w:rPr>
            <w:noProof/>
            <w:webHidden/>
          </w:rPr>
          <w:fldChar w:fldCharType="separate"/>
        </w:r>
        <w:r>
          <w:rPr>
            <w:noProof/>
            <w:webHidden/>
          </w:rPr>
          <w:t>74</w:t>
        </w:r>
        <w:r>
          <w:rPr>
            <w:noProof/>
            <w:webHidden/>
          </w:rPr>
          <w:fldChar w:fldCharType="end"/>
        </w:r>
      </w:hyperlink>
    </w:p>
    <w:p w14:paraId="51D99679" w14:textId="10995BE2" w:rsidR="00E5352D" w:rsidRDefault="00E5352D">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11" w:history="1">
        <w:r w:rsidRPr="001019A3">
          <w:rPr>
            <w:rStyle w:val="Hyperlink"/>
            <w:noProof/>
          </w:rPr>
          <w:t>6.5</w:t>
        </w:r>
        <w:r>
          <w:rPr>
            <w:rFonts w:asciiTheme="minorHAnsi" w:eastAsiaTheme="minorEastAsia" w:hAnsiTheme="minorHAnsi" w:cstheme="minorBidi"/>
            <w:noProof/>
            <w:kern w:val="2"/>
            <w:sz w:val="24"/>
            <w:szCs w:val="24"/>
            <w:lang w:val="en-US"/>
            <w14:ligatures w14:val="standardContextual"/>
          </w:rPr>
          <w:tab/>
        </w:r>
        <w:r w:rsidRPr="001019A3">
          <w:rPr>
            <w:rStyle w:val="Hyperlink"/>
            <w:noProof/>
          </w:rPr>
          <w:t>Grumbullimi ndaras e mbeturinave</w:t>
        </w:r>
        <w:r>
          <w:rPr>
            <w:noProof/>
            <w:webHidden/>
          </w:rPr>
          <w:tab/>
        </w:r>
        <w:r>
          <w:rPr>
            <w:noProof/>
            <w:webHidden/>
          </w:rPr>
          <w:fldChar w:fldCharType="begin"/>
        </w:r>
        <w:r>
          <w:rPr>
            <w:noProof/>
            <w:webHidden/>
          </w:rPr>
          <w:instrText xml:space="preserve"> PAGEREF _Toc197472011 \h </w:instrText>
        </w:r>
        <w:r>
          <w:rPr>
            <w:noProof/>
            <w:webHidden/>
          </w:rPr>
        </w:r>
        <w:r>
          <w:rPr>
            <w:noProof/>
            <w:webHidden/>
          </w:rPr>
          <w:fldChar w:fldCharType="separate"/>
        </w:r>
        <w:r>
          <w:rPr>
            <w:noProof/>
            <w:webHidden/>
          </w:rPr>
          <w:t>76</w:t>
        </w:r>
        <w:r>
          <w:rPr>
            <w:noProof/>
            <w:webHidden/>
          </w:rPr>
          <w:fldChar w:fldCharType="end"/>
        </w:r>
      </w:hyperlink>
    </w:p>
    <w:p w14:paraId="236E8783" w14:textId="4908606C"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12" w:history="1">
        <w:r w:rsidRPr="001019A3">
          <w:rPr>
            <w:rStyle w:val="Hyperlink"/>
            <w:noProof/>
          </w:rPr>
          <w:t>6.5.1</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Gjendja aktuale</w:t>
        </w:r>
        <w:r>
          <w:rPr>
            <w:noProof/>
            <w:webHidden/>
          </w:rPr>
          <w:tab/>
        </w:r>
        <w:r>
          <w:rPr>
            <w:noProof/>
            <w:webHidden/>
          </w:rPr>
          <w:fldChar w:fldCharType="begin"/>
        </w:r>
        <w:r>
          <w:rPr>
            <w:noProof/>
            <w:webHidden/>
          </w:rPr>
          <w:instrText xml:space="preserve"> PAGEREF _Toc197472012 \h </w:instrText>
        </w:r>
        <w:r>
          <w:rPr>
            <w:noProof/>
            <w:webHidden/>
          </w:rPr>
        </w:r>
        <w:r>
          <w:rPr>
            <w:noProof/>
            <w:webHidden/>
          </w:rPr>
          <w:fldChar w:fldCharType="separate"/>
        </w:r>
        <w:r>
          <w:rPr>
            <w:noProof/>
            <w:webHidden/>
          </w:rPr>
          <w:t>76</w:t>
        </w:r>
        <w:r>
          <w:rPr>
            <w:noProof/>
            <w:webHidden/>
          </w:rPr>
          <w:fldChar w:fldCharType="end"/>
        </w:r>
      </w:hyperlink>
    </w:p>
    <w:p w14:paraId="6251611D" w14:textId="7348DF75"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13" w:history="1">
        <w:r w:rsidRPr="001019A3">
          <w:rPr>
            <w:rStyle w:val="Hyperlink"/>
            <w:noProof/>
          </w:rPr>
          <w:t>6.5.2</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Pajisjet për magazinimin e mbeturinave dhe sistemet për grumbullimin ndaras të mbeturinave</w:t>
        </w:r>
        <w:r>
          <w:rPr>
            <w:noProof/>
            <w:webHidden/>
          </w:rPr>
          <w:tab/>
        </w:r>
        <w:r>
          <w:rPr>
            <w:noProof/>
            <w:webHidden/>
          </w:rPr>
          <w:fldChar w:fldCharType="begin"/>
        </w:r>
        <w:r>
          <w:rPr>
            <w:noProof/>
            <w:webHidden/>
          </w:rPr>
          <w:instrText xml:space="preserve"> PAGEREF _Toc197472013 \h </w:instrText>
        </w:r>
        <w:r>
          <w:rPr>
            <w:noProof/>
            <w:webHidden/>
          </w:rPr>
        </w:r>
        <w:r>
          <w:rPr>
            <w:noProof/>
            <w:webHidden/>
          </w:rPr>
          <w:fldChar w:fldCharType="separate"/>
        </w:r>
        <w:r>
          <w:rPr>
            <w:noProof/>
            <w:webHidden/>
          </w:rPr>
          <w:t>76</w:t>
        </w:r>
        <w:r>
          <w:rPr>
            <w:noProof/>
            <w:webHidden/>
          </w:rPr>
          <w:fldChar w:fldCharType="end"/>
        </w:r>
      </w:hyperlink>
    </w:p>
    <w:p w14:paraId="67077C09" w14:textId="3DB6E429"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14" w:history="1">
        <w:r w:rsidRPr="001019A3">
          <w:rPr>
            <w:rStyle w:val="Hyperlink"/>
            <w:noProof/>
          </w:rPr>
          <w:t>6.5.3</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Opsionet për grumbullimin ndaras të mbeturinave</w:t>
        </w:r>
        <w:r>
          <w:rPr>
            <w:noProof/>
            <w:webHidden/>
          </w:rPr>
          <w:tab/>
        </w:r>
        <w:r>
          <w:rPr>
            <w:noProof/>
            <w:webHidden/>
          </w:rPr>
          <w:fldChar w:fldCharType="begin"/>
        </w:r>
        <w:r>
          <w:rPr>
            <w:noProof/>
            <w:webHidden/>
          </w:rPr>
          <w:instrText xml:space="preserve"> PAGEREF _Toc197472014 \h </w:instrText>
        </w:r>
        <w:r>
          <w:rPr>
            <w:noProof/>
            <w:webHidden/>
          </w:rPr>
        </w:r>
        <w:r>
          <w:rPr>
            <w:noProof/>
            <w:webHidden/>
          </w:rPr>
          <w:fldChar w:fldCharType="separate"/>
        </w:r>
        <w:r>
          <w:rPr>
            <w:noProof/>
            <w:webHidden/>
          </w:rPr>
          <w:t>77</w:t>
        </w:r>
        <w:r>
          <w:rPr>
            <w:noProof/>
            <w:webHidden/>
          </w:rPr>
          <w:fldChar w:fldCharType="end"/>
        </w:r>
      </w:hyperlink>
    </w:p>
    <w:p w14:paraId="252E51B1" w14:textId="52EC0403"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15" w:history="1">
        <w:r w:rsidRPr="001019A3">
          <w:rPr>
            <w:rStyle w:val="Hyperlink"/>
            <w:noProof/>
          </w:rPr>
          <w:t>6.5.4</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Krahasimi i kostos së opsioneve</w:t>
        </w:r>
        <w:r>
          <w:rPr>
            <w:noProof/>
            <w:webHidden/>
          </w:rPr>
          <w:tab/>
        </w:r>
        <w:r>
          <w:rPr>
            <w:noProof/>
            <w:webHidden/>
          </w:rPr>
          <w:fldChar w:fldCharType="begin"/>
        </w:r>
        <w:r>
          <w:rPr>
            <w:noProof/>
            <w:webHidden/>
          </w:rPr>
          <w:instrText xml:space="preserve"> PAGEREF _Toc197472015 \h </w:instrText>
        </w:r>
        <w:r>
          <w:rPr>
            <w:noProof/>
            <w:webHidden/>
          </w:rPr>
        </w:r>
        <w:r>
          <w:rPr>
            <w:noProof/>
            <w:webHidden/>
          </w:rPr>
          <w:fldChar w:fldCharType="separate"/>
        </w:r>
        <w:r>
          <w:rPr>
            <w:noProof/>
            <w:webHidden/>
          </w:rPr>
          <w:t>79</w:t>
        </w:r>
        <w:r>
          <w:rPr>
            <w:noProof/>
            <w:webHidden/>
          </w:rPr>
          <w:fldChar w:fldCharType="end"/>
        </w:r>
      </w:hyperlink>
    </w:p>
    <w:p w14:paraId="7D00C6C4" w14:textId="5F50745C" w:rsidR="00E5352D" w:rsidRDefault="00E5352D">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16" w:history="1">
        <w:r w:rsidRPr="001019A3">
          <w:rPr>
            <w:rStyle w:val="Hyperlink"/>
            <w:noProof/>
          </w:rPr>
          <w:t>6.6</w:t>
        </w:r>
        <w:r>
          <w:rPr>
            <w:rFonts w:asciiTheme="minorHAnsi" w:eastAsiaTheme="minorEastAsia" w:hAnsiTheme="minorHAnsi" w:cstheme="minorBidi"/>
            <w:noProof/>
            <w:kern w:val="2"/>
            <w:sz w:val="24"/>
            <w:szCs w:val="24"/>
            <w:lang w:val="en-US"/>
            <w14:ligatures w14:val="standardContextual"/>
          </w:rPr>
          <w:tab/>
        </w:r>
        <w:r w:rsidRPr="001019A3">
          <w:rPr>
            <w:rStyle w:val="Hyperlink"/>
            <w:noProof/>
          </w:rPr>
          <w:t>Riciklimi dhe rikuperimi i mbeturinave</w:t>
        </w:r>
        <w:r>
          <w:rPr>
            <w:noProof/>
            <w:webHidden/>
          </w:rPr>
          <w:tab/>
        </w:r>
        <w:r>
          <w:rPr>
            <w:noProof/>
            <w:webHidden/>
          </w:rPr>
          <w:fldChar w:fldCharType="begin"/>
        </w:r>
        <w:r>
          <w:rPr>
            <w:noProof/>
            <w:webHidden/>
          </w:rPr>
          <w:instrText xml:space="preserve"> PAGEREF _Toc197472016 \h </w:instrText>
        </w:r>
        <w:r>
          <w:rPr>
            <w:noProof/>
            <w:webHidden/>
          </w:rPr>
        </w:r>
        <w:r>
          <w:rPr>
            <w:noProof/>
            <w:webHidden/>
          </w:rPr>
          <w:fldChar w:fldCharType="separate"/>
        </w:r>
        <w:r>
          <w:rPr>
            <w:noProof/>
            <w:webHidden/>
          </w:rPr>
          <w:t>82</w:t>
        </w:r>
        <w:r>
          <w:rPr>
            <w:noProof/>
            <w:webHidden/>
          </w:rPr>
          <w:fldChar w:fldCharType="end"/>
        </w:r>
      </w:hyperlink>
    </w:p>
    <w:p w14:paraId="21D65ABF" w14:textId="7FE05B7C"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17" w:history="1">
        <w:r w:rsidRPr="001019A3">
          <w:rPr>
            <w:rStyle w:val="Hyperlink"/>
            <w:noProof/>
          </w:rPr>
          <w:t>6.6.1</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Gjendja aktuale</w:t>
        </w:r>
        <w:r>
          <w:rPr>
            <w:noProof/>
            <w:webHidden/>
          </w:rPr>
          <w:tab/>
        </w:r>
        <w:r>
          <w:rPr>
            <w:noProof/>
            <w:webHidden/>
          </w:rPr>
          <w:fldChar w:fldCharType="begin"/>
        </w:r>
        <w:r>
          <w:rPr>
            <w:noProof/>
            <w:webHidden/>
          </w:rPr>
          <w:instrText xml:space="preserve"> PAGEREF _Toc197472017 \h </w:instrText>
        </w:r>
        <w:r>
          <w:rPr>
            <w:noProof/>
            <w:webHidden/>
          </w:rPr>
        </w:r>
        <w:r>
          <w:rPr>
            <w:noProof/>
            <w:webHidden/>
          </w:rPr>
          <w:fldChar w:fldCharType="separate"/>
        </w:r>
        <w:r>
          <w:rPr>
            <w:noProof/>
            <w:webHidden/>
          </w:rPr>
          <w:t>82</w:t>
        </w:r>
        <w:r>
          <w:rPr>
            <w:noProof/>
            <w:webHidden/>
          </w:rPr>
          <w:fldChar w:fldCharType="end"/>
        </w:r>
      </w:hyperlink>
    </w:p>
    <w:p w14:paraId="37640982" w14:textId="56D28A14"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18" w:history="1">
        <w:r w:rsidRPr="001019A3">
          <w:rPr>
            <w:rStyle w:val="Hyperlink"/>
            <w:noProof/>
          </w:rPr>
          <w:t>6.6.2</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Teknologjitë për klasifikimin e mbeturinave</w:t>
        </w:r>
        <w:r>
          <w:rPr>
            <w:noProof/>
            <w:webHidden/>
          </w:rPr>
          <w:tab/>
        </w:r>
        <w:r>
          <w:rPr>
            <w:noProof/>
            <w:webHidden/>
          </w:rPr>
          <w:fldChar w:fldCharType="begin"/>
        </w:r>
        <w:r>
          <w:rPr>
            <w:noProof/>
            <w:webHidden/>
          </w:rPr>
          <w:instrText xml:space="preserve"> PAGEREF _Toc197472018 \h </w:instrText>
        </w:r>
        <w:r>
          <w:rPr>
            <w:noProof/>
            <w:webHidden/>
          </w:rPr>
        </w:r>
        <w:r>
          <w:rPr>
            <w:noProof/>
            <w:webHidden/>
          </w:rPr>
          <w:fldChar w:fldCharType="separate"/>
        </w:r>
        <w:r>
          <w:rPr>
            <w:noProof/>
            <w:webHidden/>
          </w:rPr>
          <w:t>82</w:t>
        </w:r>
        <w:r>
          <w:rPr>
            <w:noProof/>
            <w:webHidden/>
          </w:rPr>
          <w:fldChar w:fldCharType="end"/>
        </w:r>
      </w:hyperlink>
    </w:p>
    <w:p w14:paraId="13CD9BF1" w14:textId="7AE569CD"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19" w:history="1">
        <w:r w:rsidRPr="001019A3">
          <w:rPr>
            <w:rStyle w:val="Hyperlink"/>
            <w:noProof/>
          </w:rPr>
          <w:t>6.6.3</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Teknologjitë për trajtimin dhe rikuperimin e mbeturinave komunale</w:t>
        </w:r>
        <w:r>
          <w:rPr>
            <w:noProof/>
            <w:webHidden/>
          </w:rPr>
          <w:tab/>
        </w:r>
        <w:r>
          <w:rPr>
            <w:noProof/>
            <w:webHidden/>
          </w:rPr>
          <w:fldChar w:fldCharType="begin"/>
        </w:r>
        <w:r>
          <w:rPr>
            <w:noProof/>
            <w:webHidden/>
          </w:rPr>
          <w:instrText xml:space="preserve"> PAGEREF _Toc197472019 \h </w:instrText>
        </w:r>
        <w:r>
          <w:rPr>
            <w:noProof/>
            <w:webHidden/>
          </w:rPr>
        </w:r>
        <w:r>
          <w:rPr>
            <w:noProof/>
            <w:webHidden/>
          </w:rPr>
          <w:fldChar w:fldCharType="separate"/>
        </w:r>
        <w:r>
          <w:rPr>
            <w:noProof/>
            <w:webHidden/>
          </w:rPr>
          <w:t>84</w:t>
        </w:r>
        <w:r>
          <w:rPr>
            <w:noProof/>
            <w:webHidden/>
          </w:rPr>
          <w:fldChar w:fldCharType="end"/>
        </w:r>
      </w:hyperlink>
    </w:p>
    <w:p w14:paraId="51E42C9D" w14:textId="325679FF"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20" w:history="1">
        <w:r w:rsidRPr="001019A3">
          <w:rPr>
            <w:rStyle w:val="Hyperlink"/>
            <w:noProof/>
          </w:rPr>
          <w:t>6.6.4</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Kompostimi i mbeturinave të gjelbra</w:t>
        </w:r>
        <w:r>
          <w:rPr>
            <w:noProof/>
            <w:webHidden/>
          </w:rPr>
          <w:tab/>
        </w:r>
        <w:r>
          <w:rPr>
            <w:noProof/>
            <w:webHidden/>
          </w:rPr>
          <w:fldChar w:fldCharType="begin"/>
        </w:r>
        <w:r>
          <w:rPr>
            <w:noProof/>
            <w:webHidden/>
          </w:rPr>
          <w:instrText xml:space="preserve"> PAGEREF _Toc197472020 \h </w:instrText>
        </w:r>
        <w:r>
          <w:rPr>
            <w:noProof/>
            <w:webHidden/>
          </w:rPr>
        </w:r>
        <w:r>
          <w:rPr>
            <w:noProof/>
            <w:webHidden/>
          </w:rPr>
          <w:fldChar w:fldCharType="separate"/>
        </w:r>
        <w:r>
          <w:rPr>
            <w:noProof/>
            <w:webHidden/>
          </w:rPr>
          <w:t>87</w:t>
        </w:r>
        <w:r>
          <w:rPr>
            <w:noProof/>
            <w:webHidden/>
          </w:rPr>
          <w:fldChar w:fldCharType="end"/>
        </w:r>
      </w:hyperlink>
    </w:p>
    <w:p w14:paraId="3990687D" w14:textId="42955462"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21" w:history="1">
        <w:r w:rsidRPr="001019A3">
          <w:rPr>
            <w:rStyle w:val="Hyperlink"/>
            <w:noProof/>
          </w:rPr>
          <w:t>6.6.5</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Grumbullimi ndaras dhe trajtimi i mbeturinave ushqimore (mbeturinave tjera organike)</w:t>
        </w:r>
        <w:r>
          <w:rPr>
            <w:noProof/>
            <w:webHidden/>
          </w:rPr>
          <w:tab/>
        </w:r>
        <w:r>
          <w:rPr>
            <w:noProof/>
            <w:webHidden/>
          </w:rPr>
          <w:fldChar w:fldCharType="begin"/>
        </w:r>
        <w:r>
          <w:rPr>
            <w:noProof/>
            <w:webHidden/>
          </w:rPr>
          <w:instrText xml:space="preserve"> PAGEREF _Toc197472021 \h </w:instrText>
        </w:r>
        <w:r>
          <w:rPr>
            <w:noProof/>
            <w:webHidden/>
          </w:rPr>
        </w:r>
        <w:r>
          <w:rPr>
            <w:noProof/>
            <w:webHidden/>
          </w:rPr>
          <w:fldChar w:fldCharType="separate"/>
        </w:r>
        <w:r>
          <w:rPr>
            <w:noProof/>
            <w:webHidden/>
          </w:rPr>
          <w:t>92</w:t>
        </w:r>
        <w:r>
          <w:rPr>
            <w:noProof/>
            <w:webHidden/>
          </w:rPr>
          <w:fldChar w:fldCharType="end"/>
        </w:r>
      </w:hyperlink>
    </w:p>
    <w:p w14:paraId="74055B00" w14:textId="3E657638" w:rsidR="00E5352D" w:rsidRDefault="00E5352D">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22" w:history="1">
        <w:r w:rsidRPr="001019A3">
          <w:rPr>
            <w:rStyle w:val="Hyperlink"/>
            <w:noProof/>
          </w:rPr>
          <w:t>6.7</w:t>
        </w:r>
        <w:r>
          <w:rPr>
            <w:rFonts w:asciiTheme="minorHAnsi" w:eastAsiaTheme="minorEastAsia" w:hAnsiTheme="minorHAnsi" w:cstheme="minorBidi"/>
            <w:noProof/>
            <w:kern w:val="2"/>
            <w:sz w:val="24"/>
            <w:szCs w:val="24"/>
            <w:lang w:val="en-US"/>
            <w14:ligatures w14:val="standardContextual"/>
          </w:rPr>
          <w:tab/>
        </w:r>
        <w:r w:rsidRPr="001019A3">
          <w:rPr>
            <w:rStyle w:val="Hyperlink"/>
            <w:noProof/>
          </w:rPr>
          <w:t>Deponimi i mbeturinave</w:t>
        </w:r>
        <w:r>
          <w:rPr>
            <w:noProof/>
            <w:webHidden/>
          </w:rPr>
          <w:tab/>
        </w:r>
        <w:r>
          <w:rPr>
            <w:noProof/>
            <w:webHidden/>
          </w:rPr>
          <w:fldChar w:fldCharType="begin"/>
        </w:r>
        <w:r>
          <w:rPr>
            <w:noProof/>
            <w:webHidden/>
          </w:rPr>
          <w:instrText xml:space="preserve"> PAGEREF _Toc197472022 \h </w:instrText>
        </w:r>
        <w:r>
          <w:rPr>
            <w:noProof/>
            <w:webHidden/>
          </w:rPr>
        </w:r>
        <w:r>
          <w:rPr>
            <w:noProof/>
            <w:webHidden/>
          </w:rPr>
          <w:fldChar w:fldCharType="separate"/>
        </w:r>
        <w:r>
          <w:rPr>
            <w:noProof/>
            <w:webHidden/>
          </w:rPr>
          <w:t>93</w:t>
        </w:r>
        <w:r>
          <w:rPr>
            <w:noProof/>
            <w:webHidden/>
          </w:rPr>
          <w:fldChar w:fldCharType="end"/>
        </w:r>
      </w:hyperlink>
    </w:p>
    <w:p w14:paraId="0C80F5CE" w14:textId="5CB96449"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23" w:history="1">
        <w:r w:rsidRPr="001019A3">
          <w:rPr>
            <w:rStyle w:val="Hyperlink"/>
            <w:noProof/>
          </w:rPr>
          <w:t>6.7.1</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Gjendja aktuale</w:t>
        </w:r>
        <w:r>
          <w:rPr>
            <w:noProof/>
            <w:webHidden/>
          </w:rPr>
          <w:tab/>
        </w:r>
        <w:r>
          <w:rPr>
            <w:noProof/>
            <w:webHidden/>
          </w:rPr>
          <w:fldChar w:fldCharType="begin"/>
        </w:r>
        <w:r>
          <w:rPr>
            <w:noProof/>
            <w:webHidden/>
          </w:rPr>
          <w:instrText xml:space="preserve"> PAGEREF _Toc197472023 \h </w:instrText>
        </w:r>
        <w:r>
          <w:rPr>
            <w:noProof/>
            <w:webHidden/>
          </w:rPr>
        </w:r>
        <w:r>
          <w:rPr>
            <w:noProof/>
            <w:webHidden/>
          </w:rPr>
          <w:fldChar w:fldCharType="separate"/>
        </w:r>
        <w:r>
          <w:rPr>
            <w:noProof/>
            <w:webHidden/>
          </w:rPr>
          <w:t>93</w:t>
        </w:r>
        <w:r>
          <w:rPr>
            <w:noProof/>
            <w:webHidden/>
          </w:rPr>
          <w:fldChar w:fldCharType="end"/>
        </w:r>
      </w:hyperlink>
    </w:p>
    <w:p w14:paraId="4A629B67" w14:textId="77AAD3A7"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24" w:history="1">
        <w:r w:rsidRPr="001019A3">
          <w:rPr>
            <w:rStyle w:val="Hyperlink"/>
            <w:noProof/>
          </w:rPr>
          <w:t>6.7.2</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Zhvillimi i sistemit të deponimit të mbeturinave</w:t>
        </w:r>
        <w:r>
          <w:rPr>
            <w:noProof/>
            <w:webHidden/>
          </w:rPr>
          <w:tab/>
        </w:r>
        <w:r>
          <w:rPr>
            <w:noProof/>
            <w:webHidden/>
          </w:rPr>
          <w:fldChar w:fldCharType="begin"/>
        </w:r>
        <w:r>
          <w:rPr>
            <w:noProof/>
            <w:webHidden/>
          </w:rPr>
          <w:instrText xml:space="preserve"> PAGEREF _Toc197472024 \h </w:instrText>
        </w:r>
        <w:r>
          <w:rPr>
            <w:noProof/>
            <w:webHidden/>
          </w:rPr>
        </w:r>
        <w:r>
          <w:rPr>
            <w:noProof/>
            <w:webHidden/>
          </w:rPr>
          <w:fldChar w:fldCharType="separate"/>
        </w:r>
        <w:r>
          <w:rPr>
            <w:noProof/>
            <w:webHidden/>
          </w:rPr>
          <w:t>93</w:t>
        </w:r>
        <w:r>
          <w:rPr>
            <w:noProof/>
            <w:webHidden/>
          </w:rPr>
          <w:fldChar w:fldCharType="end"/>
        </w:r>
      </w:hyperlink>
    </w:p>
    <w:p w14:paraId="43F0A7C4" w14:textId="3243CD64"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25" w:history="1">
        <w:r w:rsidRPr="001019A3">
          <w:rPr>
            <w:rStyle w:val="Hyperlink"/>
            <w:noProof/>
          </w:rPr>
          <w:t>6.7.3</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Kostot e ndërlidhura</w:t>
        </w:r>
        <w:r>
          <w:rPr>
            <w:noProof/>
            <w:webHidden/>
          </w:rPr>
          <w:tab/>
        </w:r>
        <w:r>
          <w:rPr>
            <w:noProof/>
            <w:webHidden/>
          </w:rPr>
          <w:fldChar w:fldCharType="begin"/>
        </w:r>
        <w:r>
          <w:rPr>
            <w:noProof/>
            <w:webHidden/>
          </w:rPr>
          <w:instrText xml:space="preserve"> PAGEREF _Toc197472025 \h </w:instrText>
        </w:r>
        <w:r>
          <w:rPr>
            <w:noProof/>
            <w:webHidden/>
          </w:rPr>
        </w:r>
        <w:r>
          <w:rPr>
            <w:noProof/>
            <w:webHidden/>
          </w:rPr>
          <w:fldChar w:fldCharType="separate"/>
        </w:r>
        <w:r>
          <w:rPr>
            <w:noProof/>
            <w:webHidden/>
          </w:rPr>
          <w:t>94</w:t>
        </w:r>
        <w:r>
          <w:rPr>
            <w:noProof/>
            <w:webHidden/>
          </w:rPr>
          <w:fldChar w:fldCharType="end"/>
        </w:r>
      </w:hyperlink>
    </w:p>
    <w:p w14:paraId="0260F2E2" w14:textId="0CAC0F8F"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26" w:history="1">
        <w:r w:rsidRPr="001019A3">
          <w:rPr>
            <w:rStyle w:val="Hyperlink"/>
            <w:noProof/>
          </w:rPr>
          <w:t>6.7.4</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Mbyllja e deponive të vjetra</w:t>
        </w:r>
        <w:r>
          <w:rPr>
            <w:noProof/>
            <w:webHidden/>
          </w:rPr>
          <w:tab/>
        </w:r>
        <w:r>
          <w:rPr>
            <w:noProof/>
            <w:webHidden/>
          </w:rPr>
          <w:fldChar w:fldCharType="begin"/>
        </w:r>
        <w:r>
          <w:rPr>
            <w:noProof/>
            <w:webHidden/>
          </w:rPr>
          <w:instrText xml:space="preserve"> PAGEREF _Toc197472026 \h </w:instrText>
        </w:r>
        <w:r>
          <w:rPr>
            <w:noProof/>
            <w:webHidden/>
          </w:rPr>
        </w:r>
        <w:r>
          <w:rPr>
            <w:noProof/>
            <w:webHidden/>
          </w:rPr>
          <w:fldChar w:fldCharType="separate"/>
        </w:r>
        <w:r>
          <w:rPr>
            <w:noProof/>
            <w:webHidden/>
          </w:rPr>
          <w:t>94</w:t>
        </w:r>
        <w:r>
          <w:rPr>
            <w:noProof/>
            <w:webHidden/>
          </w:rPr>
          <w:fldChar w:fldCharType="end"/>
        </w:r>
      </w:hyperlink>
    </w:p>
    <w:p w14:paraId="5C52720F" w14:textId="1880108C" w:rsidR="00E5352D" w:rsidRDefault="00E5352D">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27" w:history="1">
        <w:r w:rsidRPr="001019A3">
          <w:rPr>
            <w:rStyle w:val="Hyperlink"/>
            <w:noProof/>
          </w:rPr>
          <w:t>6.8</w:t>
        </w:r>
        <w:r>
          <w:rPr>
            <w:rFonts w:asciiTheme="minorHAnsi" w:eastAsiaTheme="minorEastAsia" w:hAnsiTheme="minorHAnsi" w:cstheme="minorBidi"/>
            <w:noProof/>
            <w:kern w:val="2"/>
            <w:sz w:val="24"/>
            <w:szCs w:val="24"/>
            <w:lang w:val="en-US"/>
            <w14:ligatures w14:val="standardContextual"/>
          </w:rPr>
          <w:tab/>
        </w:r>
        <w:r w:rsidRPr="001019A3">
          <w:rPr>
            <w:rStyle w:val="Hyperlink"/>
            <w:noProof/>
          </w:rPr>
          <w:t>Skenarët për zhvillimin e një sistemi të integruar të menaxhimit të mbeturinave</w:t>
        </w:r>
        <w:r>
          <w:rPr>
            <w:noProof/>
            <w:webHidden/>
          </w:rPr>
          <w:tab/>
        </w:r>
        <w:r>
          <w:rPr>
            <w:noProof/>
            <w:webHidden/>
          </w:rPr>
          <w:fldChar w:fldCharType="begin"/>
        </w:r>
        <w:r>
          <w:rPr>
            <w:noProof/>
            <w:webHidden/>
          </w:rPr>
          <w:instrText xml:space="preserve"> PAGEREF _Toc197472027 \h </w:instrText>
        </w:r>
        <w:r>
          <w:rPr>
            <w:noProof/>
            <w:webHidden/>
          </w:rPr>
        </w:r>
        <w:r>
          <w:rPr>
            <w:noProof/>
            <w:webHidden/>
          </w:rPr>
          <w:fldChar w:fldCharType="separate"/>
        </w:r>
        <w:r>
          <w:rPr>
            <w:noProof/>
            <w:webHidden/>
          </w:rPr>
          <w:t>94</w:t>
        </w:r>
        <w:r>
          <w:rPr>
            <w:noProof/>
            <w:webHidden/>
          </w:rPr>
          <w:fldChar w:fldCharType="end"/>
        </w:r>
      </w:hyperlink>
    </w:p>
    <w:p w14:paraId="61EE9EDD" w14:textId="65D114C0"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28" w:history="1">
        <w:r w:rsidRPr="001019A3">
          <w:rPr>
            <w:rStyle w:val="Hyperlink"/>
            <w:noProof/>
          </w:rPr>
          <w:t>6.8.1</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Formulimi i skenarëve për sistemin e ardhshëm të menaxhimit të mbeturinave komunale</w:t>
        </w:r>
        <w:r>
          <w:rPr>
            <w:noProof/>
            <w:webHidden/>
          </w:rPr>
          <w:tab/>
        </w:r>
        <w:r>
          <w:rPr>
            <w:noProof/>
            <w:webHidden/>
          </w:rPr>
          <w:fldChar w:fldCharType="begin"/>
        </w:r>
        <w:r>
          <w:rPr>
            <w:noProof/>
            <w:webHidden/>
          </w:rPr>
          <w:instrText xml:space="preserve"> PAGEREF _Toc197472028 \h </w:instrText>
        </w:r>
        <w:r>
          <w:rPr>
            <w:noProof/>
            <w:webHidden/>
          </w:rPr>
        </w:r>
        <w:r>
          <w:rPr>
            <w:noProof/>
            <w:webHidden/>
          </w:rPr>
          <w:fldChar w:fldCharType="separate"/>
        </w:r>
        <w:r>
          <w:rPr>
            <w:noProof/>
            <w:webHidden/>
          </w:rPr>
          <w:t>95</w:t>
        </w:r>
        <w:r>
          <w:rPr>
            <w:noProof/>
            <w:webHidden/>
          </w:rPr>
          <w:fldChar w:fldCharType="end"/>
        </w:r>
      </w:hyperlink>
    </w:p>
    <w:p w14:paraId="1A5166F8" w14:textId="7FC0461E"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29" w:history="1">
        <w:r w:rsidRPr="001019A3">
          <w:rPr>
            <w:rStyle w:val="Hyperlink"/>
            <w:noProof/>
          </w:rPr>
          <w:t>6.8.2</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Krahasimi i kostove të skenarëve</w:t>
        </w:r>
        <w:r>
          <w:rPr>
            <w:noProof/>
            <w:webHidden/>
          </w:rPr>
          <w:tab/>
        </w:r>
        <w:r>
          <w:rPr>
            <w:noProof/>
            <w:webHidden/>
          </w:rPr>
          <w:fldChar w:fldCharType="begin"/>
        </w:r>
        <w:r>
          <w:rPr>
            <w:noProof/>
            <w:webHidden/>
          </w:rPr>
          <w:instrText xml:space="preserve"> PAGEREF _Toc197472029 \h </w:instrText>
        </w:r>
        <w:r>
          <w:rPr>
            <w:noProof/>
            <w:webHidden/>
          </w:rPr>
        </w:r>
        <w:r>
          <w:rPr>
            <w:noProof/>
            <w:webHidden/>
          </w:rPr>
          <w:fldChar w:fldCharType="separate"/>
        </w:r>
        <w:r>
          <w:rPr>
            <w:noProof/>
            <w:webHidden/>
          </w:rPr>
          <w:t>96</w:t>
        </w:r>
        <w:r>
          <w:rPr>
            <w:noProof/>
            <w:webHidden/>
          </w:rPr>
          <w:fldChar w:fldCharType="end"/>
        </w:r>
      </w:hyperlink>
    </w:p>
    <w:p w14:paraId="3FE7F409" w14:textId="258F4A7A" w:rsidR="00E5352D" w:rsidRDefault="00E5352D">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30" w:history="1">
        <w:r w:rsidRPr="001019A3">
          <w:rPr>
            <w:rStyle w:val="Hyperlink"/>
            <w:noProof/>
          </w:rPr>
          <w:t>6.9</w:t>
        </w:r>
        <w:r>
          <w:rPr>
            <w:rFonts w:asciiTheme="minorHAnsi" w:eastAsiaTheme="minorEastAsia" w:hAnsiTheme="minorHAnsi" w:cstheme="minorBidi"/>
            <w:noProof/>
            <w:kern w:val="2"/>
            <w:sz w:val="24"/>
            <w:szCs w:val="24"/>
            <w:lang w:val="en-US"/>
            <w14:ligatures w14:val="standardContextual"/>
          </w:rPr>
          <w:tab/>
        </w:r>
        <w:r w:rsidRPr="001019A3">
          <w:rPr>
            <w:rStyle w:val="Hyperlink"/>
            <w:noProof/>
          </w:rPr>
          <w:t>Menaxhimi i fraksioneve tjera të mbeturinave</w:t>
        </w:r>
        <w:r>
          <w:rPr>
            <w:noProof/>
            <w:webHidden/>
          </w:rPr>
          <w:tab/>
        </w:r>
        <w:r>
          <w:rPr>
            <w:noProof/>
            <w:webHidden/>
          </w:rPr>
          <w:fldChar w:fldCharType="begin"/>
        </w:r>
        <w:r>
          <w:rPr>
            <w:noProof/>
            <w:webHidden/>
          </w:rPr>
          <w:instrText xml:space="preserve"> PAGEREF _Toc197472030 \h </w:instrText>
        </w:r>
        <w:r>
          <w:rPr>
            <w:noProof/>
            <w:webHidden/>
          </w:rPr>
        </w:r>
        <w:r>
          <w:rPr>
            <w:noProof/>
            <w:webHidden/>
          </w:rPr>
          <w:fldChar w:fldCharType="separate"/>
        </w:r>
        <w:r>
          <w:rPr>
            <w:noProof/>
            <w:webHidden/>
          </w:rPr>
          <w:t>99</w:t>
        </w:r>
        <w:r>
          <w:rPr>
            <w:noProof/>
            <w:webHidden/>
          </w:rPr>
          <w:fldChar w:fldCharType="end"/>
        </w:r>
      </w:hyperlink>
    </w:p>
    <w:p w14:paraId="4089E319" w14:textId="0F9EFC95"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31" w:history="1">
        <w:r w:rsidRPr="001019A3">
          <w:rPr>
            <w:rStyle w:val="Hyperlink"/>
            <w:noProof/>
          </w:rPr>
          <w:t>6.9.1</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Mbeturinat e ndërtimit dhe rrënimit</w:t>
        </w:r>
        <w:r>
          <w:rPr>
            <w:noProof/>
            <w:webHidden/>
          </w:rPr>
          <w:tab/>
        </w:r>
        <w:r>
          <w:rPr>
            <w:noProof/>
            <w:webHidden/>
          </w:rPr>
          <w:fldChar w:fldCharType="begin"/>
        </w:r>
        <w:r>
          <w:rPr>
            <w:noProof/>
            <w:webHidden/>
          </w:rPr>
          <w:instrText xml:space="preserve"> PAGEREF _Toc197472031 \h </w:instrText>
        </w:r>
        <w:r>
          <w:rPr>
            <w:noProof/>
            <w:webHidden/>
          </w:rPr>
        </w:r>
        <w:r>
          <w:rPr>
            <w:noProof/>
            <w:webHidden/>
          </w:rPr>
          <w:fldChar w:fldCharType="separate"/>
        </w:r>
        <w:r>
          <w:rPr>
            <w:noProof/>
            <w:webHidden/>
          </w:rPr>
          <w:t>99</w:t>
        </w:r>
        <w:r>
          <w:rPr>
            <w:noProof/>
            <w:webHidden/>
          </w:rPr>
          <w:fldChar w:fldCharType="end"/>
        </w:r>
      </w:hyperlink>
    </w:p>
    <w:p w14:paraId="04DA0A28" w14:textId="57B42C2F"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32" w:history="1">
        <w:r w:rsidRPr="001019A3">
          <w:rPr>
            <w:rStyle w:val="Hyperlink"/>
            <w:noProof/>
          </w:rPr>
          <w:t>6.9.2</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Mbeturinat e vëllimshme</w:t>
        </w:r>
        <w:r>
          <w:rPr>
            <w:noProof/>
            <w:webHidden/>
          </w:rPr>
          <w:tab/>
        </w:r>
        <w:r>
          <w:rPr>
            <w:noProof/>
            <w:webHidden/>
          </w:rPr>
          <w:fldChar w:fldCharType="begin"/>
        </w:r>
        <w:r>
          <w:rPr>
            <w:noProof/>
            <w:webHidden/>
          </w:rPr>
          <w:instrText xml:space="preserve"> PAGEREF _Toc197472032 \h </w:instrText>
        </w:r>
        <w:r>
          <w:rPr>
            <w:noProof/>
            <w:webHidden/>
          </w:rPr>
        </w:r>
        <w:r>
          <w:rPr>
            <w:noProof/>
            <w:webHidden/>
          </w:rPr>
          <w:fldChar w:fldCharType="separate"/>
        </w:r>
        <w:r>
          <w:rPr>
            <w:noProof/>
            <w:webHidden/>
          </w:rPr>
          <w:t>102</w:t>
        </w:r>
        <w:r>
          <w:rPr>
            <w:noProof/>
            <w:webHidden/>
          </w:rPr>
          <w:fldChar w:fldCharType="end"/>
        </w:r>
      </w:hyperlink>
    </w:p>
    <w:p w14:paraId="3BC44C5D" w14:textId="39F3439D"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33" w:history="1">
        <w:r w:rsidRPr="001019A3">
          <w:rPr>
            <w:rStyle w:val="Hyperlink"/>
            <w:noProof/>
          </w:rPr>
          <w:t>6.9.3</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Fraksionet e veçanta të mbeturinave</w:t>
        </w:r>
        <w:r>
          <w:rPr>
            <w:noProof/>
            <w:webHidden/>
          </w:rPr>
          <w:tab/>
        </w:r>
        <w:r>
          <w:rPr>
            <w:noProof/>
            <w:webHidden/>
          </w:rPr>
          <w:fldChar w:fldCharType="begin"/>
        </w:r>
        <w:r>
          <w:rPr>
            <w:noProof/>
            <w:webHidden/>
          </w:rPr>
          <w:instrText xml:space="preserve"> PAGEREF _Toc197472033 \h </w:instrText>
        </w:r>
        <w:r>
          <w:rPr>
            <w:noProof/>
            <w:webHidden/>
          </w:rPr>
        </w:r>
        <w:r>
          <w:rPr>
            <w:noProof/>
            <w:webHidden/>
          </w:rPr>
          <w:fldChar w:fldCharType="separate"/>
        </w:r>
        <w:r>
          <w:rPr>
            <w:noProof/>
            <w:webHidden/>
          </w:rPr>
          <w:t>103</w:t>
        </w:r>
        <w:r>
          <w:rPr>
            <w:noProof/>
            <w:webHidden/>
          </w:rPr>
          <w:fldChar w:fldCharType="end"/>
        </w:r>
      </w:hyperlink>
    </w:p>
    <w:p w14:paraId="74B26F96" w14:textId="5C1AA7B2"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34" w:history="1">
        <w:r w:rsidRPr="001019A3">
          <w:rPr>
            <w:rStyle w:val="Hyperlink"/>
            <w:noProof/>
          </w:rPr>
          <w:t>6.9.4</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Mbeturinat bujqësore</w:t>
        </w:r>
        <w:r>
          <w:rPr>
            <w:noProof/>
            <w:webHidden/>
          </w:rPr>
          <w:tab/>
        </w:r>
        <w:r>
          <w:rPr>
            <w:noProof/>
            <w:webHidden/>
          </w:rPr>
          <w:fldChar w:fldCharType="begin"/>
        </w:r>
        <w:r>
          <w:rPr>
            <w:noProof/>
            <w:webHidden/>
          </w:rPr>
          <w:instrText xml:space="preserve"> PAGEREF _Toc197472034 \h </w:instrText>
        </w:r>
        <w:r>
          <w:rPr>
            <w:noProof/>
            <w:webHidden/>
          </w:rPr>
        </w:r>
        <w:r>
          <w:rPr>
            <w:noProof/>
            <w:webHidden/>
          </w:rPr>
          <w:fldChar w:fldCharType="separate"/>
        </w:r>
        <w:r>
          <w:rPr>
            <w:noProof/>
            <w:webHidden/>
          </w:rPr>
          <w:t>103</w:t>
        </w:r>
        <w:r>
          <w:rPr>
            <w:noProof/>
            <w:webHidden/>
          </w:rPr>
          <w:fldChar w:fldCharType="end"/>
        </w:r>
      </w:hyperlink>
    </w:p>
    <w:p w14:paraId="7C6FCB98" w14:textId="2BD2BAAD" w:rsidR="00E5352D" w:rsidRDefault="00E5352D">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35" w:history="1">
        <w:r w:rsidRPr="001019A3">
          <w:rPr>
            <w:rStyle w:val="Hyperlink"/>
            <w:noProof/>
          </w:rPr>
          <w:t>6.10</w:t>
        </w:r>
        <w:r>
          <w:rPr>
            <w:rFonts w:asciiTheme="minorHAnsi" w:eastAsiaTheme="minorEastAsia" w:hAnsiTheme="minorHAnsi" w:cstheme="minorBidi"/>
            <w:noProof/>
            <w:kern w:val="2"/>
            <w:sz w:val="24"/>
            <w:szCs w:val="24"/>
            <w:lang w:val="en-US"/>
            <w14:ligatures w14:val="standardContextual"/>
          </w:rPr>
          <w:tab/>
        </w:r>
        <w:r w:rsidRPr="001019A3">
          <w:rPr>
            <w:rStyle w:val="Hyperlink"/>
            <w:noProof/>
          </w:rPr>
          <w:t>Opsionet për ndritjen institucionale dhe organizative</w:t>
        </w:r>
        <w:r>
          <w:rPr>
            <w:noProof/>
            <w:webHidden/>
          </w:rPr>
          <w:tab/>
        </w:r>
        <w:r>
          <w:rPr>
            <w:noProof/>
            <w:webHidden/>
          </w:rPr>
          <w:fldChar w:fldCharType="begin"/>
        </w:r>
        <w:r>
          <w:rPr>
            <w:noProof/>
            <w:webHidden/>
          </w:rPr>
          <w:instrText xml:space="preserve"> PAGEREF _Toc197472035 \h </w:instrText>
        </w:r>
        <w:r>
          <w:rPr>
            <w:noProof/>
            <w:webHidden/>
          </w:rPr>
        </w:r>
        <w:r>
          <w:rPr>
            <w:noProof/>
            <w:webHidden/>
          </w:rPr>
          <w:fldChar w:fldCharType="separate"/>
        </w:r>
        <w:r>
          <w:rPr>
            <w:noProof/>
            <w:webHidden/>
          </w:rPr>
          <w:t>105</w:t>
        </w:r>
        <w:r>
          <w:rPr>
            <w:noProof/>
            <w:webHidden/>
          </w:rPr>
          <w:fldChar w:fldCharType="end"/>
        </w:r>
      </w:hyperlink>
    </w:p>
    <w:p w14:paraId="67E27B08" w14:textId="3225A867"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36" w:history="1">
        <w:r w:rsidRPr="001019A3">
          <w:rPr>
            <w:rStyle w:val="Hyperlink"/>
            <w:noProof/>
          </w:rPr>
          <w:t>6.10.1</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Grumbullimi i mbeturinave</w:t>
        </w:r>
        <w:r>
          <w:rPr>
            <w:noProof/>
            <w:webHidden/>
          </w:rPr>
          <w:tab/>
        </w:r>
        <w:r>
          <w:rPr>
            <w:noProof/>
            <w:webHidden/>
          </w:rPr>
          <w:fldChar w:fldCharType="begin"/>
        </w:r>
        <w:r>
          <w:rPr>
            <w:noProof/>
            <w:webHidden/>
          </w:rPr>
          <w:instrText xml:space="preserve"> PAGEREF _Toc197472036 \h </w:instrText>
        </w:r>
        <w:r>
          <w:rPr>
            <w:noProof/>
            <w:webHidden/>
          </w:rPr>
        </w:r>
        <w:r>
          <w:rPr>
            <w:noProof/>
            <w:webHidden/>
          </w:rPr>
          <w:fldChar w:fldCharType="separate"/>
        </w:r>
        <w:r>
          <w:rPr>
            <w:noProof/>
            <w:webHidden/>
          </w:rPr>
          <w:t>105</w:t>
        </w:r>
        <w:r>
          <w:rPr>
            <w:noProof/>
            <w:webHidden/>
          </w:rPr>
          <w:fldChar w:fldCharType="end"/>
        </w:r>
      </w:hyperlink>
    </w:p>
    <w:p w14:paraId="7696C2A3" w14:textId="4409D73F"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37" w:history="1">
        <w:r w:rsidRPr="001019A3">
          <w:rPr>
            <w:rStyle w:val="Hyperlink"/>
            <w:noProof/>
          </w:rPr>
          <w:t>6.10.2</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Transferimi i mbeturinave</w:t>
        </w:r>
        <w:r>
          <w:rPr>
            <w:noProof/>
            <w:webHidden/>
          </w:rPr>
          <w:tab/>
        </w:r>
        <w:r>
          <w:rPr>
            <w:noProof/>
            <w:webHidden/>
          </w:rPr>
          <w:fldChar w:fldCharType="begin"/>
        </w:r>
        <w:r>
          <w:rPr>
            <w:noProof/>
            <w:webHidden/>
          </w:rPr>
          <w:instrText xml:space="preserve"> PAGEREF _Toc197472037 \h </w:instrText>
        </w:r>
        <w:r>
          <w:rPr>
            <w:noProof/>
            <w:webHidden/>
          </w:rPr>
        </w:r>
        <w:r>
          <w:rPr>
            <w:noProof/>
            <w:webHidden/>
          </w:rPr>
          <w:fldChar w:fldCharType="separate"/>
        </w:r>
        <w:r>
          <w:rPr>
            <w:noProof/>
            <w:webHidden/>
          </w:rPr>
          <w:t>106</w:t>
        </w:r>
        <w:r>
          <w:rPr>
            <w:noProof/>
            <w:webHidden/>
          </w:rPr>
          <w:fldChar w:fldCharType="end"/>
        </w:r>
      </w:hyperlink>
    </w:p>
    <w:p w14:paraId="10B5D42A" w14:textId="4AB7CAAF"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38" w:history="1">
        <w:r w:rsidRPr="001019A3">
          <w:rPr>
            <w:rStyle w:val="Hyperlink"/>
            <w:noProof/>
          </w:rPr>
          <w:t>6.10.3</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Kompostimi i mbeturinave të gjelbra të grumbulluara ndaras</w:t>
        </w:r>
        <w:r>
          <w:rPr>
            <w:noProof/>
            <w:webHidden/>
          </w:rPr>
          <w:tab/>
        </w:r>
        <w:r>
          <w:rPr>
            <w:noProof/>
            <w:webHidden/>
          </w:rPr>
          <w:fldChar w:fldCharType="begin"/>
        </w:r>
        <w:r>
          <w:rPr>
            <w:noProof/>
            <w:webHidden/>
          </w:rPr>
          <w:instrText xml:space="preserve"> PAGEREF _Toc197472038 \h </w:instrText>
        </w:r>
        <w:r>
          <w:rPr>
            <w:noProof/>
            <w:webHidden/>
          </w:rPr>
        </w:r>
        <w:r>
          <w:rPr>
            <w:noProof/>
            <w:webHidden/>
          </w:rPr>
          <w:fldChar w:fldCharType="separate"/>
        </w:r>
        <w:r>
          <w:rPr>
            <w:noProof/>
            <w:webHidden/>
          </w:rPr>
          <w:t>107</w:t>
        </w:r>
        <w:r>
          <w:rPr>
            <w:noProof/>
            <w:webHidden/>
          </w:rPr>
          <w:fldChar w:fldCharType="end"/>
        </w:r>
      </w:hyperlink>
    </w:p>
    <w:p w14:paraId="2A9906EE" w14:textId="634759E1"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39" w:history="1">
        <w:r w:rsidRPr="001019A3">
          <w:rPr>
            <w:rStyle w:val="Hyperlink"/>
            <w:noProof/>
            <w:lang w:val="sq-AL"/>
          </w:rPr>
          <w:t>6.10.4</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lang w:val="sq-AL"/>
          </w:rPr>
          <w:t>Grumbullimi ndaras dhe klasifikimi i mbeturinave të ambalazhit</w:t>
        </w:r>
        <w:r>
          <w:rPr>
            <w:noProof/>
            <w:webHidden/>
          </w:rPr>
          <w:tab/>
        </w:r>
        <w:r>
          <w:rPr>
            <w:noProof/>
            <w:webHidden/>
          </w:rPr>
          <w:fldChar w:fldCharType="begin"/>
        </w:r>
        <w:r>
          <w:rPr>
            <w:noProof/>
            <w:webHidden/>
          </w:rPr>
          <w:instrText xml:space="preserve"> PAGEREF _Toc197472039 \h </w:instrText>
        </w:r>
        <w:r>
          <w:rPr>
            <w:noProof/>
            <w:webHidden/>
          </w:rPr>
        </w:r>
        <w:r>
          <w:rPr>
            <w:noProof/>
            <w:webHidden/>
          </w:rPr>
          <w:fldChar w:fldCharType="separate"/>
        </w:r>
        <w:r>
          <w:rPr>
            <w:noProof/>
            <w:webHidden/>
          </w:rPr>
          <w:t>108</w:t>
        </w:r>
        <w:r>
          <w:rPr>
            <w:noProof/>
            <w:webHidden/>
          </w:rPr>
          <w:fldChar w:fldCharType="end"/>
        </w:r>
      </w:hyperlink>
    </w:p>
    <w:p w14:paraId="4BABB0BA" w14:textId="58254BF0"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40" w:history="1">
        <w:r w:rsidRPr="001019A3">
          <w:rPr>
            <w:rStyle w:val="Hyperlink"/>
            <w:noProof/>
          </w:rPr>
          <w:t>6.10.5</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Operacionet e rikuperimit të mbeturinave</w:t>
        </w:r>
        <w:r>
          <w:rPr>
            <w:noProof/>
            <w:webHidden/>
          </w:rPr>
          <w:tab/>
        </w:r>
        <w:r>
          <w:rPr>
            <w:noProof/>
            <w:webHidden/>
          </w:rPr>
          <w:fldChar w:fldCharType="begin"/>
        </w:r>
        <w:r>
          <w:rPr>
            <w:noProof/>
            <w:webHidden/>
          </w:rPr>
          <w:instrText xml:space="preserve"> PAGEREF _Toc197472040 \h </w:instrText>
        </w:r>
        <w:r>
          <w:rPr>
            <w:noProof/>
            <w:webHidden/>
          </w:rPr>
        </w:r>
        <w:r>
          <w:rPr>
            <w:noProof/>
            <w:webHidden/>
          </w:rPr>
          <w:fldChar w:fldCharType="separate"/>
        </w:r>
        <w:r>
          <w:rPr>
            <w:noProof/>
            <w:webHidden/>
          </w:rPr>
          <w:t>108</w:t>
        </w:r>
        <w:r>
          <w:rPr>
            <w:noProof/>
            <w:webHidden/>
          </w:rPr>
          <w:fldChar w:fldCharType="end"/>
        </w:r>
      </w:hyperlink>
    </w:p>
    <w:p w14:paraId="14A7A85D" w14:textId="7307649F" w:rsidR="00E5352D" w:rsidRDefault="00E5352D">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41" w:history="1">
        <w:r w:rsidRPr="001019A3">
          <w:rPr>
            <w:rStyle w:val="Hyperlink"/>
            <w:noProof/>
          </w:rPr>
          <w:t>6.11</w:t>
        </w:r>
        <w:r>
          <w:rPr>
            <w:rFonts w:asciiTheme="minorHAnsi" w:eastAsiaTheme="minorEastAsia" w:hAnsiTheme="minorHAnsi" w:cstheme="minorBidi"/>
            <w:noProof/>
            <w:kern w:val="2"/>
            <w:sz w:val="24"/>
            <w:szCs w:val="24"/>
            <w:lang w:val="en-US"/>
            <w14:ligatures w14:val="standardContextual"/>
          </w:rPr>
          <w:tab/>
        </w:r>
        <w:r w:rsidRPr="001019A3">
          <w:rPr>
            <w:rStyle w:val="Hyperlink"/>
            <w:noProof/>
          </w:rPr>
          <w:t>Qëndrueshmëria financiare dhe përballueshmëria e shërbimeve</w:t>
        </w:r>
        <w:r>
          <w:rPr>
            <w:noProof/>
            <w:webHidden/>
          </w:rPr>
          <w:tab/>
        </w:r>
        <w:r>
          <w:rPr>
            <w:noProof/>
            <w:webHidden/>
          </w:rPr>
          <w:fldChar w:fldCharType="begin"/>
        </w:r>
        <w:r>
          <w:rPr>
            <w:noProof/>
            <w:webHidden/>
          </w:rPr>
          <w:instrText xml:space="preserve"> PAGEREF _Toc197472041 \h </w:instrText>
        </w:r>
        <w:r>
          <w:rPr>
            <w:noProof/>
            <w:webHidden/>
          </w:rPr>
        </w:r>
        <w:r>
          <w:rPr>
            <w:noProof/>
            <w:webHidden/>
          </w:rPr>
          <w:fldChar w:fldCharType="separate"/>
        </w:r>
        <w:r>
          <w:rPr>
            <w:noProof/>
            <w:webHidden/>
          </w:rPr>
          <w:t>109</w:t>
        </w:r>
        <w:r>
          <w:rPr>
            <w:noProof/>
            <w:webHidden/>
          </w:rPr>
          <w:fldChar w:fldCharType="end"/>
        </w:r>
      </w:hyperlink>
    </w:p>
    <w:p w14:paraId="7EF2B4A0" w14:textId="2AA321D7" w:rsidR="00E5352D" w:rsidRDefault="00E5352D">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42" w:history="1">
        <w:r w:rsidRPr="001019A3">
          <w:rPr>
            <w:rStyle w:val="Hyperlink"/>
            <w:noProof/>
          </w:rPr>
          <w:t>6.12</w:t>
        </w:r>
        <w:r>
          <w:rPr>
            <w:rFonts w:asciiTheme="minorHAnsi" w:eastAsiaTheme="minorEastAsia" w:hAnsiTheme="minorHAnsi" w:cstheme="minorBidi"/>
            <w:noProof/>
            <w:kern w:val="2"/>
            <w:sz w:val="24"/>
            <w:szCs w:val="24"/>
            <w:lang w:val="en-US"/>
            <w14:ligatures w14:val="standardContextual"/>
          </w:rPr>
          <w:tab/>
        </w:r>
        <w:r w:rsidRPr="001019A3">
          <w:rPr>
            <w:rStyle w:val="Hyperlink"/>
            <w:noProof/>
          </w:rPr>
          <w:t>Integrimi gjinor dhe përfshirja e grupeve të cenueshme</w:t>
        </w:r>
        <w:r>
          <w:rPr>
            <w:noProof/>
            <w:webHidden/>
          </w:rPr>
          <w:tab/>
        </w:r>
        <w:r>
          <w:rPr>
            <w:noProof/>
            <w:webHidden/>
          </w:rPr>
          <w:fldChar w:fldCharType="begin"/>
        </w:r>
        <w:r>
          <w:rPr>
            <w:noProof/>
            <w:webHidden/>
          </w:rPr>
          <w:instrText xml:space="preserve"> PAGEREF _Toc197472042 \h </w:instrText>
        </w:r>
        <w:r>
          <w:rPr>
            <w:noProof/>
            <w:webHidden/>
          </w:rPr>
        </w:r>
        <w:r>
          <w:rPr>
            <w:noProof/>
            <w:webHidden/>
          </w:rPr>
          <w:fldChar w:fldCharType="separate"/>
        </w:r>
        <w:r>
          <w:rPr>
            <w:noProof/>
            <w:webHidden/>
          </w:rPr>
          <w:t>112</w:t>
        </w:r>
        <w:r>
          <w:rPr>
            <w:noProof/>
            <w:webHidden/>
          </w:rPr>
          <w:fldChar w:fldCharType="end"/>
        </w:r>
      </w:hyperlink>
    </w:p>
    <w:p w14:paraId="40084AD9" w14:textId="53A3FB21" w:rsidR="00E5352D" w:rsidRDefault="00E5352D">
      <w:pPr>
        <w:pStyle w:val="TOC1"/>
        <w:tabs>
          <w:tab w:val="right" w:pos="9016"/>
        </w:tabs>
        <w:rPr>
          <w:rFonts w:asciiTheme="minorHAnsi" w:eastAsiaTheme="minorEastAsia" w:hAnsiTheme="minorHAnsi" w:cstheme="minorBidi"/>
          <w:b w:val="0"/>
          <w:bCs w:val="0"/>
          <w:caps w:val="0"/>
          <w:noProof/>
          <w:color w:val="auto"/>
          <w:kern w:val="2"/>
          <w:sz w:val="24"/>
          <w:szCs w:val="24"/>
          <w:lang w:val="en-US"/>
          <w14:ligatures w14:val="standardContextual"/>
        </w:rPr>
      </w:pPr>
      <w:hyperlink w:anchor="_Toc197472043" w:history="1">
        <w:r w:rsidRPr="001019A3">
          <w:rPr>
            <w:rStyle w:val="Hyperlink"/>
            <w:noProof/>
          </w:rPr>
          <w:t>7</w:t>
        </w:r>
        <w:r>
          <w:rPr>
            <w:rFonts w:asciiTheme="minorHAnsi" w:eastAsiaTheme="minorEastAsia" w:hAnsiTheme="minorHAnsi" w:cstheme="minorBidi"/>
            <w:b w:val="0"/>
            <w:bCs w:val="0"/>
            <w:caps w:val="0"/>
            <w:noProof/>
            <w:color w:val="auto"/>
            <w:kern w:val="2"/>
            <w:sz w:val="24"/>
            <w:szCs w:val="24"/>
            <w:lang w:val="en-US"/>
            <w14:ligatures w14:val="standardContextual"/>
          </w:rPr>
          <w:tab/>
        </w:r>
        <w:r w:rsidRPr="001019A3">
          <w:rPr>
            <w:rStyle w:val="Hyperlink"/>
            <w:noProof/>
          </w:rPr>
          <w:t>Zhvillimi i SISTEMIT TË rekomanduar</w:t>
        </w:r>
        <w:r>
          <w:rPr>
            <w:noProof/>
            <w:webHidden/>
          </w:rPr>
          <w:tab/>
        </w:r>
        <w:r>
          <w:rPr>
            <w:noProof/>
            <w:webHidden/>
          </w:rPr>
          <w:fldChar w:fldCharType="begin"/>
        </w:r>
        <w:r>
          <w:rPr>
            <w:noProof/>
            <w:webHidden/>
          </w:rPr>
          <w:instrText xml:space="preserve"> PAGEREF _Toc197472043 \h </w:instrText>
        </w:r>
        <w:r>
          <w:rPr>
            <w:noProof/>
            <w:webHidden/>
          </w:rPr>
        </w:r>
        <w:r>
          <w:rPr>
            <w:noProof/>
            <w:webHidden/>
          </w:rPr>
          <w:fldChar w:fldCharType="separate"/>
        </w:r>
        <w:r>
          <w:rPr>
            <w:noProof/>
            <w:webHidden/>
          </w:rPr>
          <w:t>115</w:t>
        </w:r>
        <w:r>
          <w:rPr>
            <w:noProof/>
            <w:webHidden/>
          </w:rPr>
          <w:fldChar w:fldCharType="end"/>
        </w:r>
      </w:hyperlink>
    </w:p>
    <w:p w14:paraId="192C2FE4" w14:textId="7C84F59E" w:rsidR="00E5352D" w:rsidRDefault="00E5352D">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44" w:history="1">
        <w:r w:rsidRPr="001019A3">
          <w:rPr>
            <w:rStyle w:val="Hyperlink"/>
            <w:noProof/>
          </w:rPr>
          <w:t>7.1</w:t>
        </w:r>
        <w:r>
          <w:rPr>
            <w:rFonts w:asciiTheme="minorHAnsi" w:eastAsiaTheme="minorEastAsia" w:hAnsiTheme="minorHAnsi" w:cstheme="minorBidi"/>
            <w:noProof/>
            <w:kern w:val="2"/>
            <w:sz w:val="24"/>
            <w:szCs w:val="24"/>
            <w:lang w:val="en-US"/>
            <w14:ligatures w14:val="standardContextual"/>
          </w:rPr>
          <w:tab/>
        </w:r>
        <w:r w:rsidRPr="001019A3">
          <w:rPr>
            <w:rStyle w:val="Hyperlink"/>
            <w:noProof/>
          </w:rPr>
          <w:t>Konfigurimi i sistemit</w:t>
        </w:r>
        <w:r>
          <w:rPr>
            <w:noProof/>
            <w:webHidden/>
          </w:rPr>
          <w:tab/>
        </w:r>
        <w:r>
          <w:rPr>
            <w:noProof/>
            <w:webHidden/>
          </w:rPr>
          <w:fldChar w:fldCharType="begin"/>
        </w:r>
        <w:r>
          <w:rPr>
            <w:noProof/>
            <w:webHidden/>
          </w:rPr>
          <w:instrText xml:space="preserve"> PAGEREF _Toc197472044 \h </w:instrText>
        </w:r>
        <w:r>
          <w:rPr>
            <w:noProof/>
            <w:webHidden/>
          </w:rPr>
        </w:r>
        <w:r>
          <w:rPr>
            <w:noProof/>
            <w:webHidden/>
          </w:rPr>
          <w:fldChar w:fldCharType="separate"/>
        </w:r>
        <w:r>
          <w:rPr>
            <w:noProof/>
            <w:webHidden/>
          </w:rPr>
          <w:t>115</w:t>
        </w:r>
        <w:r>
          <w:rPr>
            <w:noProof/>
            <w:webHidden/>
          </w:rPr>
          <w:fldChar w:fldCharType="end"/>
        </w:r>
      </w:hyperlink>
    </w:p>
    <w:p w14:paraId="4F35F520" w14:textId="2E6E65E1" w:rsidR="00E5352D" w:rsidRDefault="00E5352D">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45" w:history="1">
        <w:r w:rsidRPr="001019A3">
          <w:rPr>
            <w:rStyle w:val="Hyperlink"/>
            <w:noProof/>
          </w:rPr>
          <w:t>7.2</w:t>
        </w:r>
        <w:r>
          <w:rPr>
            <w:rFonts w:asciiTheme="minorHAnsi" w:eastAsiaTheme="minorEastAsia" w:hAnsiTheme="minorHAnsi" w:cstheme="minorBidi"/>
            <w:noProof/>
            <w:kern w:val="2"/>
            <w:sz w:val="24"/>
            <w:szCs w:val="24"/>
            <w:lang w:val="en-US"/>
            <w14:ligatures w14:val="standardContextual"/>
          </w:rPr>
          <w:tab/>
        </w:r>
        <w:r w:rsidRPr="001019A3">
          <w:rPr>
            <w:rStyle w:val="Hyperlink"/>
            <w:noProof/>
          </w:rPr>
          <w:t>Kostot e investive dhe operacionale</w:t>
        </w:r>
        <w:r>
          <w:rPr>
            <w:noProof/>
            <w:webHidden/>
          </w:rPr>
          <w:tab/>
        </w:r>
        <w:r>
          <w:rPr>
            <w:noProof/>
            <w:webHidden/>
          </w:rPr>
          <w:fldChar w:fldCharType="begin"/>
        </w:r>
        <w:r>
          <w:rPr>
            <w:noProof/>
            <w:webHidden/>
          </w:rPr>
          <w:instrText xml:space="preserve"> PAGEREF _Toc197472045 \h </w:instrText>
        </w:r>
        <w:r>
          <w:rPr>
            <w:noProof/>
            <w:webHidden/>
          </w:rPr>
        </w:r>
        <w:r>
          <w:rPr>
            <w:noProof/>
            <w:webHidden/>
          </w:rPr>
          <w:fldChar w:fldCharType="separate"/>
        </w:r>
        <w:r>
          <w:rPr>
            <w:noProof/>
            <w:webHidden/>
          </w:rPr>
          <w:t>117</w:t>
        </w:r>
        <w:r>
          <w:rPr>
            <w:noProof/>
            <w:webHidden/>
          </w:rPr>
          <w:fldChar w:fldCharType="end"/>
        </w:r>
      </w:hyperlink>
    </w:p>
    <w:p w14:paraId="6409A869" w14:textId="648263DC" w:rsidR="00E5352D" w:rsidRDefault="00E5352D">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46" w:history="1">
        <w:r w:rsidRPr="001019A3">
          <w:rPr>
            <w:rStyle w:val="Hyperlink"/>
            <w:noProof/>
          </w:rPr>
          <w:t>7.3</w:t>
        </w:r>
        <w:r>
          <w:rPr>
            <w:rFonts w:asciiTheme="minorHAnsi" w:eastAsiaTheme="minorEastAsia" w:hAnsiTheme="minorHAnsi" w:cstheme="minorBidi"/>
            <w:noProof/>
            <w:kern w:val="2"/>
            <w:sz w:val="24"/>
            <w:szCs w:val="24"/>
            <w:lang w:val="en-US"/>
            <w14:ligatures w14:val="standardContextual"/>
          </w:rPr>
          <w:tab/>
        </w:r>
        <w:r w:rsidRPr="001019A3">
          <w:rPr>
            <w:rStyle w:val="Hyperlink"/>
            <w:noProof/>
          </w:rPr>
          <w:t>Rrjedhat e mbeturinave dhe balanca e përgjithshme/masës i sistemit të rekomanduar</w:t>
        </w:r>
        <w:r>
          <w:rPr>
            <w:noProof/>
            <w:webHidden/>
          </w:rPr>
          <w:tab/>
        </w:r>
        <w:r>
          <w:rPr>
            <w:noProof/>
            <w:webHidden/>
          </w:rPr>
          <w:fldChar w:fldCharType="begin"/>
        </w:r>
        <w:r>
          <w:rPr>
            <w:noProof/>
            <w:webHidden/>
          </w:rPr>
          <w:instrText xml:space="preserve"> PAGEREF _Toc197472046 \h </w:instrText>
        </w:r>
        <w:r>
          <w:rPr>
            <w:noProof/>
            <w:webHidden/>
          </w:rPr>
        </w:r>
        <w:r>
          <w:rPr>
            <w:noProof/>
            <w:webHidden/>
          </w:rPr>
          <w:fldChar w:fldCharType="separate"/>
        </w:r>
        <w:r>
          <w:rPr>
            <w:noProof/>
            <w:webHidden/>
          </w:rPr>
          <w:t>122</w:t>
        </w:r>
        <w:r>
          <w:rPr>
            <w:noProof/>
            <w:webHidden/>
          </w:rPr>
          <w:fldChar w:fldCharType="end"/>
        </w:r>
      </w:hyperlink>
    </w:p>
    <w:p w14:paraId="618EB18A" w14:textId="1F2E87EC" w:rsidR="00E5352D" w:rsidRDefault="00E5352D">
      <w:pPr>
        <w:pStyle w:val="TOC1"/>
        <w:tabs>
          <w:tab w:val="right" w:pos="9016"/>
        </w:tabs>
        <w:rPr>
          <w:rFonts w:asciiTheme="minorHAnsi" w:eastAsiaTheme="minorEastAsia" w:hAnsiTheme="minorHAnsi" w:cstheme="minorBidi"/>
          <w:b w:val="0"/>
          <w:bCs w:val="0"/>
          <w:caps w:val="0"/>
          <w:noProof/>
          <w:color w:val="auto"/>
          <w:kern w:val="2"/>
          <w:sz w:val="24"/>
          <w:szCs w:val="24"/>
          <w:lang w:val="en-US"/>
          <w14:ligatures w14:val="standardContextual"/>
        </w:rPr>
      </w:pPr>
      <w:hyperlink w:anchor="_Toc197472047" w:history="1">
        <w:r w:rsidRPr="001019A3">
          <w:rPr>
            <w:rStyle w:val="Hyperlink"/>
            <w:noProof/>
          </w:rPr>
          <w:t>8</w:t>
        </w:r>
        <w:r>
          <w:rPr>
            <w:rFonts w:asciiTheme="minorHAnsi" w:eastAsiaTheme="minorEastAsia" w:hAnsiTheme="minorHAnsi" w:cstheme="minorBidi"/>
            <w:b w:val="0"/>
            <w:bCs w:val="0"/>
            <w:caps w:val="0"/>
            <w:noProof/>
            <w:color w:val="auto"/>
            <w:kern w:val="2"/>
            <w:sz w:val="24"/>
            <w:szCs w:val="24"/>
            <w:lang w:val="en-US"/>
            <w14:ligatures w14:val="standardContextual"/>
          </w:rPr>
          <w:tab/>
        </w:r>
        <w:r w:rsidRPr="001019A3">
          <w:rPr>
            <w:rStyle w:val="Hyperlink"/>
            <w:noProof/>
          </w:rPr>
          <w:t>Plani i Veprimit</w:t>
        </w:r>
        <w:r>
          <w:rPr>
            <w:noProof/>
            <w:webHidden/>
          </w:rPr>
          <w:tab/>
        </w:r>
        <w:r>
          <w:rPr>
            <w:noProof/>
            <w:webHidden/>
          </w:rPr>
          <w:fldChar w:fldCharType="begin"/>
        </w:r>
        <w:r>
          <w:rPr>
            <w:noProof/>
            <w:webHidden/>
          </w:rPr>
          <w:instrText xml:space="preserve"> PAGEREF _Toc197472047 \h </w:instrText>
        </w:r>
        <w:r>
          <w:rPr>
            <w:noProof/>
            <w:webHidden/>
          </w:rPr>
        </w:r>
        <w:r>
          <w:rPr>
            <w:noProof/>
            <w:webHidden/>
          </w:rPr>
          <w:fldChar w:fldCharType="separate"/>
        </w:r>
        <w:r>
          <w:rPr>
            <w:noProof/>
            <w:webHidden/>
          </w:rPr>
          <w:t>124</w:t>
        </w:r>
        <w:r>
          <w:rPr>
            <w:noProof/>
            <w:webHidden/>
          </w:rPr>
          <w:fldChar w:fldCharType="end"/>
        </w:r>
      </w:hyperlink>
    </w:p>
    <w:p w14:paraId="3A3DDC77" w14:textId="73BC125C" w:rsidR="00E5352D" w:rsidRDefault="00E5352D">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48" w:history="1">
        <w:r w:rsidRPr="001019A3">
          <w:rPr>
            <w:rStyle w:val="Hyperlink"/>
            <w:noProof/>
          </w:rPr>
          <w:t>8.1</w:t>
        </w:r>
        <w:r>
          <w:rPr>
            <w:rFonts w:asciiTheme="minorHAnsi" w:eastAsiaTheme="minorEastAsia" w:hAnsiTheme="minorHAnsi" w:cstheme="minorBidi"/>
            <w:noProof/>
            <w:kern w:val="2"/>
            <w:sz w:val="24"/>
            <w:szCs w:val="24"/>
            <w:lang w:val="en-US"/>
            <w14:ligatures w14:val="standardContextual"/>
          </w:rPr>
          <w:tab/>
        </w:r>
        <w:r w:rsidRPr="001019A3">
          <w:rPr>
            <w:rStyle w:val="Hyperlink"/>
            <w:noProof/>
          </w:rPr>
          <w:t>Aktivitetet kryesore</w:t>
        </w:r>
        <w:r>
          <w:rPr>
            <w:noProof/>
            <w:webHidden/>
          </w:rPr>
          <w:tab/>
        </w:r>
        <w:r>
          <w:rPr>
            <w:noProof/>
            <w:webHidden/>
          </w:rPr>
          <w:fldChar w:fldCharType="begin"/>
        </w:r>
        <w:r>
          <w:rPr>
            <w:noProof/>
            <w:webHidden/>
          </w:rPr>
          <w:instrText xml:space="preserve"> PAGEREF _Toc197472048 \h </w:instrText>
        </w:r>
        <w:r>
          <w:rPr>
            <w:noProof/>
            <w:webHidden/>
          </w:rPr>
        </w:r>
        <w:r>
          <w:rPr>
            <w:noProof/>
            <w:webHidden/>
          </w:rPr>
          <w:fldChar w:fldCharType="separate"/>
        </w:r>
        <w:r>
          <w:rPr>
            <w:noProof/>
            <w:webHidden/>
          </w:rPr>
          <w:t>124</w:t>
        </w:r>
        <w:r>
          <w:rPr>
            <w:noProof/>
            <w:webHidden/>
          </w:rPr>
          <w:fldChar w:fldCharType="end"/>
        </w:r>
      </w:hyperlink>
    </w:p>
    <w:p w14:paraId="723F9932" w14:textId="5AAE45B4"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49" w:history="1">
        <w:r w:rsidRPr="001019A3">
          <w:rPr>
            <w:rStyle w:val="Hyperlink"/>
            <w:noProof/>
          </w:rPr>
          <w:t>8.1.1</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Aktivitetet dhe përgjegjësitë kryesore</w:t>
        </w:r>
        <w:r>
          <w:rPr>
            <w:noProof/>
            <w:webHidden/>
          </w:rPr>
          <w:tab/>
        </w:r>
        <w:r>
          <w:rPr>
            <w:noProof/>
            <w:webHidden/>
          </w:rPr>
          <w:fldChar w:fldCharType="begin"/>
        </w:r>
        <w:r>
          <w:rPr>
            <w:noProof/>
            <w:webHidden/>
          </w:rPr>
          <w:instrText xml:space="preserve"> PAGEREF _Toc197472049 \h </w:instrText>
        </w:r>
        <w:r>
          <w:rPr>
            <w:noProof/>
            <w:webHidden/>
          </w:rPr>
        </w:r>
        <w:r>
          <w:rPr>
            <w:noProof/>
            <w:webHidden/>
          </w:rPr>
          <w:fldChar w:fldCharType="separate"/>
        </w:r>
        <w:r>
          <w:rPr>
            <w:noProof/>
            <w:webHidden/>
          </w:rPr>
          <w:t>124</w:t>
        </w:r>
        <w:r>
          <w:rPr>
            <w:noProof/>
            <w:webHidden/>
          </w:rPr>
          <w:fldChar w:fldCharType="end"/>
        </w:r>
      </w:hyperlink>
    </w:p>
    <w:p w14:paraId="0CE4F673" w14:textId="2E4C1AE7"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50" w:history="1">
        <w:r w:rsidRPr="001019A3">
          <w:rPr>
            <w:rStyle w:val="Hyperlink"/>
            <w:noProof/>
          </w:rPr>
          <w:t>8.1.2</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Ndërlidhjet ndërmjet detyrave</w:t>
        </w:r>
        <w:r>
          <w:rPr>
            <w:noProof/>
            <w:webHidden/>
          </w:rPr>
          <w:tab/>
        </w:r>
        <w:r>
          <w:rPr>
            <w:noProof/>
            <w:webHidden/>
          </w:rPr>
          <w:fldChar w:fldCharType="begin"/>
        </w:r>
        <w:r>
          <w:rPr>
            <w:noProof/>
            <w:webHidden/>
          </w:rPr>
          <w:instrText xml:space="preserve"> PAGEREF _Toc197472050 \h </w:instrText>
        </w:r>
        <w:r>
          <w:rPr>
            <w:noProof/>
            <w:webHidden/>
          </w:rPr>
        </w:r>
        <w:r>
          <w:rPr>
            <w:noProof/>
            <w:webHidden/>
          </w:rPr>
          <w:fldChar w:fldCharType="separate"/>
        </w:r>
        <w:r>
          <w:rPr>
            <w:noProof/>
            <w:webHidden/>
          </w:rPr>
          <w:t>124</w:t>
        </w:r>
        <w:r>
          <w:rPr>
            <w:noProof/>
            <w:webHidden/>
          </w:rPr>
          <w:fldChar w:fldCharType="end"/>
        </w:r>
      </w:hyperlink>
    </w:p>
    <w:p w14:paraId="46CF40D1" w14:textId="17B81294" w:rsidR="00E5352D" w:rsidRDefault="00E5352D">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51" w:history="1">
        <w:r w:rsidRPr="001019A3">
          <w:rPr>
            <w:rStyle w:val="Hyperlink"/>
            <w:noProof/>
          </w:rPr>
          <w:t>8.2</w:t>
        </w:r>
        <w:r>
          <w:rPr>
            <w:rFonts w:asciiTheme="minorHAnsi" w:eastAsiaTheme="minorEastAsia" w:hAnsiTheme="minorHAnsi" w:cstheme="minorBidi"/>
            <w:noProof/>
            <w:kern w:val="2"/>
            <w:sz w:val="24"/>
            <w:szCs w:val="24"/>
            <w:lang w:val="en-US"/>
            <w14:ligatures w14:val="standardContextual"/>
          </w:rPr>
          <w:tab/>
        </w:r>
        <w:r w:rsidRPr="001019A3">
          <w:rPr>
            <w:rStyle w:val="Hyperlink"/>
            <w:noProof/>
          </w:rPr>
          <w:t>Orari për zbatim</w:t>
        </w:r>
        <w:r>
          <w:rPr>
            <w:noProof/>
            <w:webHidden/>
          </w:rPr>
          <w:tab/>
        </w:r>
        <w:r>
          <w:rPr>
            <w:noProof/>
            <w:webHidden/>
          </w:rPr>
          <w:fldChar w:fldCharType="begin"/>
        </w:r>
        <w:r>
          <w:rPr>
            <w:noProof/>
            <w:webHidden/>
          </w:rPr>
          <w:instrText xml:space="preserve"> PAGEREF _Toc197472051 \h </w:instrText>
        </w:r>
        <w:r>
          <w:rPr>
            <w:noProof/>
            <w:webHidden/>
          </w:rPr>
        </w:r>
        <w:r>
          <w:rPr>
            <w:noProof/>
            <w:webHidden/>
          </w:rPr>
          <w:fldChar w:fldCharType="separate"/>
        </w:r>
        <w:r>
          <w:rPr>
            <w:noProof/>
            <w:webHidden/>
          </w:rPr>
          <w:t>127</w:t>
        </w:r>
        <w:r>
          <w:rPr>
            <w:noProof/>
            <w:webHidden/>
          </w:rPr>
          <w:fldChar w:fldCharType="end"/>
        </w:r>
      </w:hyperlink>
    </w:p>
    <w:p w14:paraId="17F65DC2" w14:textId="34236141"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52" w:history="1">
        <w:r w:rsidRPr="001019A3">
          <w:rPr>
            <w:rStyle w:val="Hyperlink"/>
            <w:noProof/>
          </w:rPr>
          <w:t>8.2.1</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Aktivitete afatshkurtra për zbatim</w:t>
        </w:r>
        <w:r>
          <w:rPr>
            <w:noProof/>
            <w:webHidden/>
          </w:rPr>
          <w:tab/>
        </w:r>
        <w:r>
          <w:rPr>
            <w:noProof/>
            <w:webHidden/>
          </w:rPr>
          <w:fldChar w:fldCharType="begin"/>
        </w:r>
        <w:r>
          <w:rPr>
            <w:noProof/>
            <w:webHidden/>
          </w:rPr>
          <w:instrText xml:space="preserve"> PAGEREF _Toc197472052 \h </w:instrText>
        </w:r>
        <w:r>
          <w:rPr>
            <w:noProof/>
            <w:webHidden/>
          </w:rPr>
        </w:r>
        <w:r>
          <w:rPr>
            <w:noProof/>
            <w:webHidden/>
          </w:rPr>
          <w:fldChar w:fldCharType="separate"/>
        </w:r>
        <w:r>
          <w:rPr>
            <w:noProof/>
            <w:webHidden/>
          </w:rPr>
          <w:t>127</w:t>
        </w:r>
        <w:r>
          <w:rPr>
            <w:noProof/>
            <w:webHidden/>
          </w:rPr>
          <w:fldChar w:fldCharType="end"/>
        </w:r>
      </w:hyperlink>
    </w:p>
    <w:p w14:paraId="6177880F" w14:textId="74DBD054"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53" w:history="1">
        <w:r w:rsidRPr="001019A3">
          <w:rPr>
            <w:rStyle w:val="Hyperlink"/>
            <w:noProof/>
          </w:rPr>
          <w:t>8.2.2</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Aktivitete afatmesme dhe afatgjata për zbatim</w:t>
        </w:r>
        <w:r>
          <w:rPr>
            <w:noProof/>
            <w:webHidden/>
          </w:rPr>
          <w:tab/>
        </w:r>
        <w:r>
          <w:rPr>
            <w:noProof/>
            <w:webHidden/>
          </w:rPr>
          <w:fldChar w:fldCharType="begin"/>
        </w:r>
        <w:r>
          <w:rPr>
            <w:noProof/>
            <w:webHidden/>
          </w:rPr>
          <w:instrText xml:space="preserve"> PAGEREF _Toc197472053 \h </w:instrText>
        </w:r>
        <w:r>
          <w:rPr>
            <w:noProof/>
            <w:webHidden/>
          </w:rPr>
        </w:r>
        <w:r>
          <w:rPr>
            <w:noProof/>
            <w:webHidden/>
          </w:rPr>
          <w:fldChar w:fldCharType="separate"/>
        </w:r>
        <w:r>
          <w:rPr>
            <w:noProof/>
            <w:webHidden/>
          </w:rPr>
          <w:t>136</w:t>
        </w:r>
        <w:r>
          <w:rPr>
            <w:noProof/>
            <w:webHidden/>
          </w:rPr>
          <w:fldChar w:fldCharType="end"/>
        </w:r>
      </w:hyperlink>
    </w:p>
    <w:p w14:paraId="41AB8436" w14:textId="6468F81A" w:rsidR="00E5352D" w:rsidRDefault="00E5352D">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54" w:history="1">
        <w:r w:rsidRPr="001019A3">
          <w:rPr>
            <w:rStyle w:val="Hyperlink"/>
            <w:noProof/>
          </w:rPr>
          <w:t>8.3</w:t>
        </w:r>
        <w:r>
          <w:rPr>
            <w:rFonts w:asciiTheme="minorHAnsi" w:eastAsiaTheme="minorEastAsia" w:hAnsiTheme="minorHAnsi" w:cstheme="minorBidi"/>
            <w:noProof/>
            <w:kern w:val="2"/>
            <w:sz w:val="24"/>
            <w:szCs w:val="24"/>
            <w:lang w:val="en-US"/>
            <w14:ligatures w14:val="standardContextual"/>
          </w:rPr>
          <w:tab/>
        </w:r>
        <w:r w:rsidRPr="001019A3">
          <w:rPr>
            <w:rStyle w:val="Hyperlink"/>
            <w:noProof/>
          </w:rPr>
          <w:t>Kostot dhe burimet</w:t>
        </w:r>
        <w:r>
          <w:rPr>
            <w:noProof/>
            <w:webHidden/>
          </w:rPr>
          <w:tab/>
        </w:r>
        <w:r>
          <w:rPr>
            <w:noProof/>
            <w:webHidden/>
          </w:rPr>
          <w:fldChar w:fldCharType="begin"/>
        </w:r>
        <w:r>
          <w:rPr>
            <w:noProof/>
            <w:webHidden/>
          </w:rPr>
          <w:instrText xml:space="preserve"> PAGEREF _Toc197472054 \h </w:instrText>
        </w:r>
        <w:r>
          <w:rPr>
            <w:noProof/>
            <w:webHidden/>
          </w:rPr>
        </w:r>
        <w:r>
          <w:rPr>
            <w:noProof/>
            <w:webHidden/>
          </w:rPr>
          <w:fldChar w:fldCharType="separate"/>
        </w:r>
        <w:r>
          <w:rPr>
            <w:noProof/>
            <w:webHidden/>
          </w:rPr>
          <w:t>142</w:t>
        </w:r>
        <w:r>
          <w:rPr>
            <w:noProof/>
            <w:webHidden/>
          </w:rPr>
          <w:fldChar w:fldCharType="end"/>
        </w:r>
      </w:hyperlink>
    </w:p>
    <w:p w14:paraId="6BFBE082" w14:textId="3B7E05B6"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55" w:history="1">
        <w:r w:rsidRPr="001019A3">
          <w:rPr>
            <w:rStyle w:val="Hyperlink"/>
            <w:noProof/>
          </w:rPr>
          <w:t>8.3.1</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Grumbullimi ndaras i materialeve të riciklueshme dhe klasifikimi</w:t>
        </w:r>
        <w:r>
          <w:rPr>
            <w:noProof/>
            <w:webHidden/>
          </w:rPr>
          <w:tab/>
        </w:r>
        <w:r>
          <w:rPr>
            <w:noProof/>
            <w:webHidden/>
          </w:rPr>
          <w:fldChar w:fldCharType="begin"/>
        </w:r>
        <w:r>
          <w:rPr>
            <w:noProof/>
            <w:webHidden/>
          </w:rPr>
          <w:instrText xml:space="preserve"> PAGEREF _Toc197472055 \h </w:instrText>
        </w:r>
        <w:r>
          <w:rPr>
            <w:noProof/>
            <w:webHidden/>
          </w:rPr>
        </w:r>
        <w:r>
          <w:rPr>
            <w:noProof/>
            <w:webHidden/>
          </w:rPr>
          <w:fldChar w:fldCharType="separate"/>
        </w:r>
        <w:r>
          <w:rPr>
            <w:noProof/>
            <w:webHidden/>
          </w:rPr>
          <w:t>142</w:t>
        </w:r>
        <w:r>
          <w:rPr>
            <w:noProof/>
            <w:webHidden/>
          </w:rPr>
          <w:fldChar w:fldCharType="end"/>
        </w:r>
      </w:hyperlink>
    </w:p>
    <w:p w14:paraId="38E0D3B6" w14:textId="747252C0"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56" w:history="1">
        <w:r w:rsidRPr="001019A3">
          <w:rPr>
            <w:rStyle w:val="Hyperlink"/>
            <w:noProof/>
          </w:rPr>
          <w:t>8.3.2</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Kompostimi i mbeturinave të gjelbra</w:t>
        </w:r>
        <w:r>
          <w:rPr>
            <w:noProof/>
            <w:webHidden/>
          </w:rPr>
          <w:tab/>
        </w:r>
        <w:r>
          <w:rPr>
            <w:noProof/>
            <w:webHidden/>
          </w:rPr>
          <w:fldChar w:fldCharType="begin"/>
        </w:r>
        <w:r>
          <w:rPr>
            <w:noProof/>
            <w:webHidden/>
          </w:rPr>
          <w:instrText xml:space="preserve"> PAGEREF _Toc197472056 \h </w:instrText>
        </w:r>
        <w:r>
          <w:rPr>
            <w:noProof/>
            <w:webHidden/>
          </w:rPr>
        </w:r>
        <w:r>
          <w:rPr>
            <w:noProof/>
            <w:webHidden/>
          </w:rPr>
          <w:fldChar w:fldCharType="separate"/>
        </w:r>
        <w:r>
          <w:rPr>
            <w:noProof/>
            <w:webHidden/>
          </w:rPr>
          <w:t>145</w:t>
        </w:r>
        <w:r>
          <w:rPr>
            <w:noProof/>
            <w:webHidden/>
          </w:rPr>
          <w:fldChar w:fldCharType="end"/>
        </w:r>
      </w:hyperlink>
    </w:p>
    <w:p w14:paraId="2426C9F5" w14:textId="205BB03D"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57" w:history="1">
        <w:r w:rsidRPr="001019A3">
          <w:rPr>
            <w:rStyle w:val="Hyperlink"/>
            <w:noProof/>
          </w:rPr>
          <w:t>8.3.3</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Kompostimi shtëpiak</w:t>
        </w:r>
        <w:r>
          <w:rPr>
            <w:noProof/>
            <w:webHidden/>
          </w:rPr>
          <w:tab/>
        </w:r>
        <w:r>
          <w:rPr>
            <w:noProof/>
            <w:webHidden/>
          </w:rPr>
          <w:fldChar w:fldCharType="begin"/>
        </w:r>
        <w:r>
          <w:rPr>
            <w:noProof/>
            <w:webHidden/>
          </w:rPr>
          <w:instrText xml:space="preserve"> PAGEREF _Toc197472057 \h </w:instrText>
        </w:r>
        <w:r>
          <w:rPr>
            <w:noProof/>
            <w:webHidden/>
          </w:rPr>
        </w:r>
        <w:r>
          <w:rPr>
            <w:noProof/>
            <w:webHidden/>
          </w:rPr>
          <w:fldChar w:fldCharType="separate"/>
        </w:r>
        <w:r>
          <w:rPr>
            <w:noProof/>
            <w:webHidden/>
          </w:rPr>
          <w:t>147</w:t>
        </w:r>
        <w:r>
          <w:rPr>
            <w:noProof/>
            <w:webHidden/>
          </w:rPr>
          <w:fldChar w:fldCharType="end"/>
        </w:r>
      </w:hyperlink>
    </w:p>
    <w:p w14:paraId="7F1E7180" w14:textId="08F2B316"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58" w:history="1">
        <w:r w:rsidRPr="001019A3">
          <w:rPr>
            <w:rStyle w:val="Hyperlink"/>
            <w:noProof/>
          </w:rPr>
          <w:t>8.3.4</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Grumbullimi dhe transferimi i mbeturinave të përziera</w:t>
        </w:r>
        <w:r>
          <w:rPr>
            <w:noProof/>
            <w:webHidden/>
          </w:rPr>
          <w:tab/>
        </w:r>
        <w:r>
          <w:rPr>
            <w:noProof/>
            <w:webHidden/>
          </w:rPr>
          <w:fldChar w:fldCharType="begin"/>
        </w:r>
        <w:r>
          <w:rPr>
            <w:noProof/>
            <w:webHidden/>
          </w:rPr>
          <w:instrText xml:space="preserve"> PAGEREF _Toc197472058 \h </w:instrText>
        </w:r>
        <w:r>
          <w:rPr>
            <w:noProof/>
            <w:webHidden/>
          </w:rPr>
        </w:r>
        <w:r>
          <w:rPr>
            <w:noProof/>
            <w:webHidden/>
          </w:rPr>
          <w:fldChar w:fldCharType="separate"/>
        </w:r>
        <w:r>
          <w:rPr>
            <w:noProof/>
            <w:webHidden/>
          </w:rPr>
          <w:t>148</w:t>
        </w:r>
        <w:r>
          <w:rPr>
            <w:noProof/>
            <w:webHidden/>
          </w:rPr>
          <w:fldChar w:fldCharType="end"/>
        </w:r>
      </w:hyperlink>
    </w:p>
    <w:p w14:paraId="4DF52FDD" w14:textId="5C24DD24"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59" w:history="1">
        <w:r w:rsidRPr="001019A3">
          <w:rPr>
            <w:rStyle w:val="Hyperlink"/>
            <w:noProof/>
          </w:rPr>
          <w:t>8.3.5</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Deponia</w:t>
        </w:r>
        <w:r>
          <w:rPr>
            <w:noProof/>
            <w:webHidden/>
          </w:rPr>
          <w:tab/>
        </w:r>
        <w:r>
          <w:rPr>
            <w:noProof/>
            <w:webHidden/>
          </w:rPr>
          <w:fldChar w:fldCharType="begin"/>
        </w:r>
        <w:r>
          <w:rPr>
            <w:noProof/>
            <w:webHidden/>
          </w:rPr>
          <w:instrText xml:space="preserve"> PAGEREF _Toc197472059 \h </w:instrText>
        </w:r>
        <w:r>
          <w:rPr>
            <w:noProof/>
            <w:webHidden/>
          </w:rPr>
        </w:r>
        <w:r>
          <w:rPr>
            <w:noProof/>
            <w:webHidden/>
          </w:rPr>
          <w:fldChar w:fldCharType="separate"/>
        </w:r>
        <w:r>
          <w:rPr>
            <w:noProof/>
            <w:webHidden/>
          </w:rPr>
          <w:t>151</w:t>
        </w:r>
        <w:r>
          <w:rPr>
            <w:noProof/>
            <w:webHidden/>
          </w:rPr>
          <w:fldChar w:fldCharType="end"/>
        </w:r>
      </w:hyperlink>
    </w:p>
    <w:p w14:paraId="523A0E92" w14:textId="12D4DA96"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60" w:history="1">
        <w:r w:rsidRPr="001019A3">
          <w:rPr>
            <w:rStyle w:val="Hyperlink"/>
            <w:noProof/>
          </w:rPr>
          <w:t>8.3.6</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Rikuperimi i mbeturinave</w:t>
        </w:r>
        <w:r>
          <w:rPr>
            <w:noProof/>
            <w:webHidden/>
          </w:rPr>
          <w:tab/>
        </w:r>
        <w:r>
          <w:rPr>
            <w:noProof/>
            <w:webHidden/>
          </w:rPr>
          <w:fldChar w:fldCharType="begin"/>
        </w:r>
        <w:r>
          <w:rPr>
            <w:noProof/>
            <w:webHidden/>
          </w:rPr>
          <w:instrText xml:space="preserve"> PAGEREF _Toc197472060 \h </w:instrText>
        </w:r>
        <w:r>
          <w:rPr>
            <w:noProof/>
            <w:webHidden/>
          </w:rPr>
        </w:r>
        <w:r>
          <w:rPr>
            <w:noProof/>
            <w:webHidden/>
          </w:rPr>
          <w:fldChar w:fldCharType="separate"/>
        </w:r>
        <w:r>
          <w:rPr>
            <w:noProof/>
            <w:webHidden/>
          </w:rPr>
          <w:t>153</w:t>
        </w:r>
        <w:r>
          <w:rPr>
            <w:noProof/>
            <w:webHidden/>
          </w:rPr>
          <w:fldChar w:fldCharType="end"/>
        </w:r>
      </w:hyperlink>
    </w:p>
    <w:p w14:paraId="184DD65A" w14:textId="5E2EC57E"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61" w:history="1">
        <w:r w:rsidRPr="001019A3">
          <w:rPr>
            <w:rStyle w:val="Hyperlink"/>
            <w:noProof/>
          </w:rPr>
          <w:t>8.3.7</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Plani i financimit</w:t>
        </w:r>
        <w:r>
          <w:rPr>
            <w:noProof/>
            <w:webHidden/>
          </w:rPr>
          <w:tab/>
        </w:r>
        <w:r>
          <w:rPr>
            <w:noProof/>
            <w:webHidden/>
          </w:rPr>
          <w:fldChar w:fldCharType="begin"/>
        </w:r>
        <w:r>
          <w:rPr>
            <w:noProof/>
            <w:webHidden/>
          </w:rPr>
          <w:instrText xml:space="preserve"> PAGEREF _Toc197472061 \h </w:instrText>
        </w:r>
        <w:r>
          <w:rPr>
            <w:noProof/>
            <w:webHidden/>
          </w:rPr>
        </w:r>
        <w:r>
          <w:rPr>
            <w:noProof/>
            <w:webHidden/>
          </w:rPr>
          <w:fldChar w:fldCharType="separate"/>
        </w:r>
        <w:r>
          <w:rPr>
            <w:noProof/>
            <w:webHidden/>
          </w:rPr>
          <w:t>156</w:t>
        </w:r>
        <w:r>
          <w:rPr>
            <w:noProof/>
            <w:webHidden/>
          </w:rPr>
          <w:fldChar w:fldCharType="end"/>
        </w:r>
      </w:hyperlink>
    </w:p>
    <w:p w14:paraId="7D24EFF7" w14:textId="5B62D291"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62" w:history="1">
        <w:r w:rsidRPr="001019A3">
          <w:rPr>
            <w:rStyle w:val="Hyperlink"/>
            <w:noProof/>
          </w:rPr>
          <w:t>8.3.8</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Implikimet tarifore dhe përballueshmëria</w:t>
        </w:r>
        <w:r>
          <w:rPr>
            <w:noProof/>
            <w:webHidden/>
          </w:rPr>
          <w:tab/>
        </w:r>
        <w:r>
          <w:rPr>
            <w:noProof/>
            <w:webHidden/>
          </w:rPr>
          <w:fldChar w:fldCharType="begin"/>
        </w:r>
        <w:r>
          <w:rPr>
            <w:noProof/>
            <w:webHidden/>
          </w:rPr>
          <w:instrText xml:space="preserve"> PAGEREF _Toc197472062 \h </w:instrText>
        </w:r>
        <w:r>
          <w:rPr>
            <w:noProof/>
            <w:webHidden/>
          </w:rPr>
        </w:r>
        <w:r>
          <w:rPr>
            <w:noProof/>
            <w:webHidden/>
          </w:rPr>
          <w:fldChar w:fldCharType="separate"/>
        </w:r>
        <w:r>
          <w:rPr>
            <w:noProof/>
            <w:webHidden/>
          </w:rPr>
          <w:t>156</w:t>
        </w:r>
        <w:r>
          <w:rPr>
            <w:noProof/>
            <w:webHidden/>
          </w:rPr>
          <w:fldChar w:fldCharType="end"/>
        </w:r>
      </w:hyperlink>
    </w:p>
    <w:p w14:paraId="0D16DC8E" w14:textId="2F068493" w:rsidR="00E5352D" w:rsidRDefault="00E5352D">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63" w:history="1">
        <w:r w:rsidRPr="001019A3">
          <w:rPr>
            <w:rStyle w:val="Hyperlink"/>
            <w:noProof/>
          </w:rPr>
          <w:t>8.4</w:t>
        </w:r>
        <w:r>
          <w:rPr>
            <w:rFonts w:asciiTheme="minorHAnsi" w:eastAsiaTheme="minorEastAsia" w:hAnsiTheme="minorHAnsi" w:cstheme="minorBidi"/>
            <w:noProof/>
            <w:kern w:val="2"/>
            <w:sz w:val="24"/>
            <w:szCs w:val="24"/>
            <w:lang w:val="en-US"/>
            <w14:ligatures w14:val="standardContextual"/>
          </w:rPr>
          <w:tab/>
        </w:r>
        <w:r w:rsidRPr="001019A3">
          <w:rPr>
            <w:rStyle w:val="Hyperlink"/>
            <w:noProof/>
          </w:rPr>
          <w:t>Konsultimi publik, ndërgjegjësimi dhe masat edukative</w:t>
        </w:r>
        <w:r>
          <w:rPr>
            <w:noProof/>
            <w:webHidden/>
          </w:rPr>
          <w:tab/>
        </w:r>
        <w:r>
          <w:rPr>
            <w:noProof/>
            <w:webHidden/>
          </w:rPr>
          <w:fldChar w:fldCharType="begin"/>
        </w:r>
        <w:r>
          <w:rPr>
            <w:noProof/>
            <w:webHidden/>
          </w:rPr>
          <w:instrText xml:space="preserve"> PAGEREF _Toc197472063 \h </w:instrText>
        </w:r>
        <w:r>
          <w:rPr>
            <w:noProof/>
            <w:webHidden/>
          </w:rPr>
        </w:r>
        <w:r>
          <w:rPr>
            <w:noProof/>
            <w:webHidden/>
          </w:rPr>
          <w:fldChar w:fldCharType="separate"/>
        </w:r>
        <w:r>
          <w:rPr>
            <w:noProof/>
            <w:webHidden/>
          </w:rPr>
          <w:t>162</w:t>
        </w:r>
        <w:r>
          <w:rPr>
            <w:noProof/>
            <w:webHidden/>
          </w:rPr>
          <w:fldChar w:fldCharType="end"/>
        </w:r>
      </w:hyperlink>
    </w:p>
    <w:p w14:paraId="4117F6F2" w14:textId="74D88B21"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64" w:history="1">
        <w:r w:rsidRPr="001019A3">
          <w:rPr>
            <w:rStyle w:val="Hyperlink"/>
            <w:noProof/>
          </w:rPr>
          <w:t>8.4.1</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Konsultimi publik</w:t>
        </w:r>
        <w:r>
          <w:rPr>
            <w:noProof/>
            <w:webHidden/>
          </w:rPr>
          <w:tab/>
        </w:r>
        <w:r>
          <w:rPr>
            <w:noProof/>
            <w:webHidden/>
          </w:rPr>
          <w:fldChar w:fldCharType="begin"/>
        </w:r>
        <w:r>
          <w:rPr>
            <w:noProof/>
            <w:webHidden/>
          </w:rPr>
          <w:instrText xml:space="preserve"> PAGEREF _Toc197472064 \h </w:instrText>
        </w:r>
        <w:r>
          <w:rPr>
            <w:noProof/>
            <w:webHidden/>
          </w:rPr>
        </w:r>
        <w:r>
          <w:rPr>
            <w:noProof/>
            <w:webHidden/>
          </w:rPr>
          <w:fldChar w:fldCharType="separate"/>
        </w:r>
        <w:r>
          <w:rPr>
            <w:noProof/>
            <w:webHidden/>
          </w:rPr>
          <w:t>162</w:t>
        </w:r>
        <w:r>
          <w:rPr>
            <w:noProof/>
            <w:webHidden/>
          </w:rPr>
          <w:fldChar w:fldCharType="end"/>
        </w:r>
      </w:hyperlink>
    </w:p>
    <w:p w14:paraId="4F698711" w14:textId="6CF15100" w:rsidR="00E5352D" w:rsidRDefault="00E5352D">
      <w:pPr>
        <w:pStyle w:val="TOC3"/>
        <w:tabs>
          <w:tab w:val="right" w:pos="9016"/>
        </w:tabs>
        <w:rPr>
          <w:rFonts w:asciiTheme="minorHAnsi" w:eastAsiaTheme="minorEastAsia" w:hAnsiTheme="minorHAnsi" w:cstheme="minorBidi"/>
          <w:iCs w:val="0"/>
          <w:noProof/>
          <w:kern w:val="2"/>
          <w:sz w:val="24"/>
          <w:szCs w:val="24"/>
          <w:lang w:val="en-US"/>
          <w14:ligatures w14:val="standardContextual"/>
        </w:rPr>
      </w:pPr>
      <w:hyperlink w:anchor="_Toc197472065" w:history="1">
        <w:r w:rsidRPr="001019A3">
          <w:rPr>
            <w:rStyle w:val="Hyperlink"/>
            <w:noProof/>
          </w:rPr>
          <w:t>8.4.2</w:t>
        </w:r>
        <w:r>
          <w:rPr>
            <w:rFonts w:asciiTheme="minorHAnsi" w:eastAsiaTheme="minorEastAsia" w:hAnsiTheme="minorHAnsi" w:cstheme="minorBidi"/>
            <w:iCs w:val="0"/>
            <w:noProof/>
            <w:kern w:val="2"/>
            <w:sz w:val="24"/>
            <w:szCs w:val="24"/>
            <w:lang w:val="en-US"/>
            <w14:ligatures w14:val="standardContextual"/>
          </w:rPr>
          <w:tab/>
        </w:r>
        <w:r w:rsidRPr="001019A3">
          <w:rPr>
            <w:rStyle w:val="Hyperlink"/>
            <w:noProof/>
          </w:rPr>
          <w:t>Masat e ndërgjegjësimit dhe edukimit</w:t>
        </w:r>
        <w:r>
          <w:rPr>
            <w:noProof/>
            <w:webHidden/>
          </w:rPr>
          <w:tab/>
        </w:r>
        <w:r>
          <w:rPr>
            <w:noProof/>
            <w:webHidden/>
          </w:rPr>
          <w:fldChar w:fldCharType="begin"/>
        </w:r>
        <w:r>
          <w:rPr>
            <w:noProof/>
            <w:webHidden/>
          </w:rPr>
          <w:instrText xml:space="preserve"> PAGEREF _Toc197472065 \h </w:instrText>
        </w:r>
        <w:r>
          <w:rPr>
            <w:noProof/>
            <w:webHidden/>
          </w:rPr>
        </w:r>
        <w:r>
          <w:rPr>
            <w:noProof/>
            <w:webHidden/>
          </w:rPr>
          <w:fldChar w:fldCharType="separate"/>
        </w:r>
        <w:r>
          <w:rPr>
            <w:noProof/>
            <w:webHidden/>
          </w:rPr>
          <w:t>162</w:t>
        </w:r>
        <w:r>
          <w:rPr>
            <w:noProof/>
            <w:webHidden/>
          </w:rPr>
          <w:fldChar w:fldCharType="end"/>
        </w:r>
      </w:hyperlink>
    </w:p>
    <w:p w14:paraId="1E6F7942" w14:textId="40D15927" w:rsidR="00E5352D" w:rsidRDefault="00E5352D">
      <w:pPr>
        <w:pStyle w:val="TOC2"/>
        <w:tabs>
          <w:tab w:val="right" w:pos="9016"/>
        </w:tabs>
        <w:rPr>
          <w:rFonts w:asciiTheme="minorHAnsi" w:eastAsiaTheme="minorEastAsia" w:hAnsiTheme="minorHAnsi" w:cstheme="minorBidi"/>
          <w:noProof/>
          <w:kern w:val="2"/>
          <w:sz w:val="24"/>
          <w:szCs w:val="24"/>
          <w:lang w:val="en-US"/>
          <w14:ligatures w14:val="standardContextual"/>
        </w:rPr>
      </w:pPr>
      <w:hyperlink w:anchor="_Toc197472066" w:history="1">
        <w:r w:rsidRPr="001019A3">
          <w:rPr>
            <w:rStyle w:val="Hyperlink"/>
            <w:noProof/>
          </w:rPr>
          <w:t>8.5</w:t>
        </w:r>
        <w:r>
          <w:rPr>
            <w:rFonts w:asciiTheme="minorHAnsi" w:eastAsiaTheme="minorEastAsia" w:hAnsiTheme="minorHAnsi" w:cstheme="minorBidi"/>
            <w:noProof/>
            <w:kern w:val="2"/>
            <w:sz w:val="24"/>
            <w:szCs w:val="24"/>
            <w:lang w:val="en-US"/>
            <w14:ligatures w14:val="standardContextual"/>
          </w:rPr>
          <w:tab/>
        </w:r>
        <w:r w:rsidRPr="001019A3">
          <w:rPr>
            <w:rStyle w:val="Hyperlink"/>
            <w:noProof/>
          </w:rPr>
          <w:t>Monitorimi, vlerësimi dhe rishikimi i planit</w:t>
        </w:r>
        <w:r>
          <w:rPr>
            <w:noProof/>
            <w:webHidden/>
          </w:rPr>
          <w:tab/>
        </w:r>
        <w:r>
          <w:rPr>
            <w:noProof/>
            <w:webHidden/>
          </w:rPr>
          <w:fldChar w:fldCharType="begin"/>
        </w:r>
        <w:r>
          <w:rPr>
            <w:noProof/>
            <w:webHidden/>
          </w:rPr>
          <w:instrText xml:space="preserve"> PAGEREF _Toc197472066 \h </w:instrText>
        </w:r>
        <w:r>
          <w:rPr>
            <w:noProof/>
            <w:webHidden/>
          </w:rPr>
        </w:r>
        <w:r>
          <w:rPr>
            <w:noProof/>
            <w:webHidden/>
          </w:rPr>
          <w:fldChar w:fldCharType="separate"/>
        </w:r>
        <w:r>
          <w:rPr>
            <w:noProof/>
            <w:webHidden/>
          </w:rPr>
          <w:t>163</w:t>
        </w:r>
        <w:r>
          <w:rPr>
            <w:noProof/>
            <w:webHidden/>
          </w:rPr>
          <w:fldChar w:fldCharType="end"/>
        </w:r>
      </w:hyperlink>
    </w:p>
    <w:p w14:paraId="358BA9E6" w14:textId="79157288" w:rsidR="00E5352D" w:rsidRDefault="00E5352D">
      <w:pPr>
        <w:pStyle w:val="TOC1"/>
        <w:tabs>
          <w:tab w:val="right" w:pos="9016"/>
        </w:tabs>
        <w:rPr>
          <w:rFonts w:asciiTheme="minorHAnsi" w:eastAsiaTheme="minorEastAsia" w:hAnsiTheme="minorHAnsi" w:cstheme="minorBidi"/>
          <w:b w:val="0"/>
          <w:bCs w:val="0"/>
          <w:caps w:val="0"/>
          <w:noProof/>
          <w:color w:val="auto"/>
          <w:kern w:val="2"/>
          <w:sz w:val="24"/>
          <w:szCs w:val="24"/>
          <w:lang w:val="en-US"/>
          <w14:ligatures w14:val="standardContextual"/>
        </w:rPr>
      </w:pPr>
      <w:hyperlink w:anchor="_Toc197472067" w:history="1">
        <w:r w:rsidRPr="001019A3">
          <w:rPr>
            <w:rStyle w:val="Hyperlink"/>
            <w:rFonts w:eastAsiaTheme="majorEastAsia" w:cstheme="majorBidi"/>
            <w:noProof/>
            <w:spacing w:val="20"/>
          </w:rPr>
          <w:t>Shtojca 1. BAlancAT E PËRGJITHSHME/Masës SIPAS komunaVE</w:t>
        </w:r>
        <w:r>
          <w:rPr>
            <w:noProof/>
            <w:webHidden/>
          </w:rPr>
          <w:tab/>
        </w:r>
        <w:r>
          <w:rPr>
            <w:noProof/>
            <w:webHidden/>
          </w:rPr>
          <w:fldChar w:fldCharType="begin"/>
        </w:r>
        <w:r>
          <w:rPr>
            <w:noProof/>
            <w:webHidden/>
          </w:rPr>
          <w:instrText xml:space="preserve"> PAGEREF _Toc197472067 \h </w:instrText>
        </w:r>
        <w:r>
          <w:rPr>
            <w:noProof/>
            <w:webHidden/>
          </w:rPr>
        </w:r>
        <w:r>
          <w:rPr>
            <w:noProof/>
            <w:webHidden/>
          </w:rPr>
          <w:fldChar w:fldCharType="separate"/>
        </w:r>
        <w:r>
          <w:rPr>
            <w:noProof/>
            <w:webHidden/>
          </w:rPr>
          <w:t>164</w:t>
        </w:r>
        <w:r>
          <w:rPr>
            <w:noProof/>
            <w:webHidden/>
          </w:rPr>
          <w:fldChar w:fldCharType="end"/>
        </w:r>
      </w:hyperlink>
    </w:p>
    <w:p w14:paraId="3DF2C570" w14:textId="4A01BCFD" w:rsidR="00324C27" w:rsidRPr="00324C27" w:rsidRDefault="0092718F" w:rsidP="00324C27">
      <w:r>
        <w:rPr>
          <w:rFonts w:asciiTheme="minorHAnsi" w:eastAsiaTheme="minorHAnsi" w:hAnsiTheme="minorHAnsi" w:cstheme="minorHAnsi"/>
          <w:color w:val="002060"/>
          <w:sz w:val="20"/>
          <w:szCs w:val="20"/>
          <w:lang w:val="en-GB"/>
        </w:rPr>
        <w:fldChar w:fldCharType="end"/>
      </w:r>
    </w:p>
    <w:p w14:paraId="1D8134EB" w14:textId="74D3DFE2" w:rsidR="00A60409" w:rsidRPr="00240FB6" w:rsidRDefault="00A60409" w:rsidP="00B00BA8">
      <w:pPr>
        <w:spacing w:after="120"/>
        <w:rPr>
          <w:rFonts w:ascii="Arial Narrow" w:hAnsi="Arial Narrow"/>
          <w:caps/>
          <w:sz w:val="28"/>
          <w:szCs w:val="28"/>
        </w:rPr>
      </w:pPr>
      <w:r w:rsidRPr="00240FB6">
        <w:rPr>
          <w:rFonts w:ascii="Arial Narrow" w:hAnsi="Arial Narrow"/>
          <w:b/>
          <w:caps/>
          <w:color w:val="002060"/>
          <w:sz w:val="28"/>
          <w:szCs w:val="28"/>
        </w:rPr>
        <w:t>Lista e Ta</w:t>
      </w:r>
      <w:r w:rsidR="00FE2E46">
        <w:rPr>
          <w:rFonts w:ascii="Arial Narrow" w:hAnsi="Arial Narrow"/>
          <w:b/>
          <w:caps/>
          <w:color w:val="002060"/>
          <w:sz w:val="28"/>
          <w:szCs w:val="28"/>
        </w:rPr>
        <w:t>BELAVE</w:t>
      </w:r>
    </w:p>
    <w:p w14:paraId="498FC59A" w14:textId="785A90FE" w:rsidR="00E5352D" w:rsidRDefault="00F24087">
      <w:pPr>
        <w:pStyle w:val="TableofFigures"/>
        <w:tabs>
          <w:tab w:val="right" w:pos="9016"/>
        </w:tabs>
        <w:rPr>
          <w:rFonts w:asciiTheme="minorHAnsi" w:eastAsiaTheme="minorEastAsia" w:hAnsiTheme="minorHAnsi"/>
          <w:noProof/>
          <w:kern w:val="2"/>
          <w:sz w:val="24"/>
          <w:lang w:val="en-US"/>
          <w14:ligatures w14:val="standardContextual"/>
        </w:rPr>
      </w:pPr>
      <w:r>
        <w:fldChar w:fldCharType="begin"/>
      </w:r>
      <w:r>
        <w:instrText xml:space="preserve"> TOC \h \z \c "Table" </w:instrText>
      </w:r>
      <w:r>
        <w:fldChar w:fldCharType="separate"/>
      </w:r>
      <w:hyperlink w:anchor="_Toc197472186" w:history="1">
        <w:r w:rsidR="00E5352D" w:rsidRPr="008B3ACC">
          <w:rPr>
            <w:rStyle w:val="Hyperlink"/>
            <w:rFonts w:eastAsia="Calibri" w:cs="Calibri"/>
            <w:noProof/>
          </w:rPr>
          <w:t>Tabela 1. Objektivat dhe synimet për sistemin rajonal</w:t>
        </w:r>
        <w:r w:rsidR="00E5352D">
          <w:rPr>
            <w:noProof/>
            <w:webHidden/>
          </w:rPr>
          <w:tab/>
        </w:r>
        <w:r w:rsidR="00E5352D">
          <w:rPr>
            <w:noProof/>
            <w:webHidden/>
          </w:rPr>
          <w:fldChar w:fldCharType="begin"/>
        </w:r>
        <w:r w:rsidR="00E5352D">
          <w:rPr>
            <w:noProof/>
            <w:webHidden/>
          </w:rPr>
          <w:instrText xml:space="preserve"> PAGEREF _Toc197472186 \h </w:instrText>
        </w:r>
        <w:r w:rsidR="00E5352D">
          <w:rPr>
            <w:noProof/>
            <w:webHidden/>
          </w:rPr>
        </w:r>
        <w:r w:rsidR="00E5352D">
          <w:rPr>
            <w:noProof/>
            <w:webHidden/>
          </w:rPr>
          <w:fldChar w:fldCharType="separate"/>
        </w:r>
        <w:r w:rsidR="00E5352D">
          <w:rPr>
            <w:noProof/>
            <w:webHidden/>
          </w:rPr>
          <w:t>1</w:t>
        </w:r>
        <w:r w:rsidR="00E5352D">
          <w:rPr>
            <w:noProof/>
            <w:webHidden/>
          </w:rPr>
          <w:fldChar w:fldCharType="end"/>
        </w:r>
      </w:hyperlink>
    </w:p>
    <w:p w14:paraId="2B9C85C1" w14:textId="62FFCECA"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187" w:history="1">
        <w:r w:rsidRPr="008B3ACC">
          <w:rPr>
            <w:rStyle w:val="Hyperlink"/>
            <w:rFonts w:eastAsia="Calibri" w:cs="Calibri"/>
            <w:noProof/>
          </w:rPr>
          <w:t>Tabela 2. Prezantimi i sistemit të preferuar</w:t>
        </w:r>
        <w:r>
          <w:rPr>
            <w:noProof/>
            <w:webHidden/>
          </w:rPr>
          <w:tab/>
        </w:r>
        <w:r>
          <w:rPr>
            <w:noProof/>
            <w:webHidden/>
          </w:rPr>
          <w:fldChar w:fldCharType="begin"/>
        </w:r>
        <w:r>
          <w:rPr>
            <w:noProof/>
            <w:webHidden/>
          </w:rPr>
          <w:instrText xml:space="preserve"> PAGEREF _Toc197472187 \h </w:instrText>
        </w:r>
        <w:r>
          <w:rPr>
            <w:noProof/>
            <w:webHidden/>
          </w:rPr>
        </w:r>
        <w:r>
          <w:rPr>
            <w:noProof/>
            <w:webHidden/>
          </w:rPr>
          <w:fldChar w:fldCharType="separate"/>
        </w:r>
        <w:r>
          <w:rPr>
            <w:noProof/>
            <w:webHidden/>
          </w:rPr>
          <w:t>5</w:t>
        </w:r>
        <w:r>
          <w:rPr>
            <w:noProof/>
            <w:webHidden/>
          </w:rPr>
          <w:fldChar w:fldCharType="end"/>
        </w:r>
      </w:hyperlink>
    </w:p>
    <w:p w14:paraId="2EC40AAA" w14:textId="1EA657D9"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188" w:history="1">
        <w:r w:rsidRPr="008B3ACC">
          <w:rPr>
            <w:rStyle w:val="Hyperlink"/>
            <w:rFonts w:eastAsia="Calibri" w:cs="Calibri"/>
            <w:noProof/>
          </w:rPr>
          <w:t>Tabela 3. Përmbledhje e planit të investimeve afatgjatë, mijë euro</w:t>
        </w:r>
        <w:r>
          <w:rPr>
            <w:noProof/>
            <w:webHidden/>
          </w:rPr>
          <w:tab/>
        </w:r>
        <w:r>
          <w:rPr>
            <w:noProof/>
            <w:webHidden/>
          </w:rPr>
          <w:fldChar w:fldCharType="begin"/>
        </w:r>
        <w:r>
          <w:rPr>
            <w:noProof/>
            <w:webHidden/>
          </w:rPr>
          <w:instrText xml:space="preserve"> PAGEREF _Toc197472188 \h </w:instrText>
        </w:r>
        <w:r>
          <w:rPr>
            <w:noProof/>
            <w:webHidden/>
          </w:rPr>
        </w:r>
        <w:r>
          <w:rPr>
            <w:noProof/>
            <w:webHidden/>
          </w:rPr>
          <w:fldChar w:fldCharType="separate"/>
        </w:r>
        <w:r>
          <w:rPr>
            <w:noProof/>
            <w:webHidden/>
          </w:rPr>
          <w:t>9</w:t>
        </w:r>
        <w:r>
          <w:rPr>
            <w:noProof/>
            <w:webHidden/>
          </w:rPr>
          <w:fldChar w:fldCharType="end"/>
        </w:r>
      </w:hyperlink>
    </w:p>
    <w:p w14:paraId="31D9F586" w14:textId="58825109"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189" w:history="1">
        <w:r w:rsidRPr="008B3ACC">
          <w:rPr>
            <w:rStyle w:val="Hyperlink"/>
            <w:rFonts w:eastAsia="Calibri" w:cs="Calibri"/>
            <w:noProof/>
          </w:rPr>
          <w:t>Tabela 4. Tarifat mujore të amvisërisë në vitin 2027</w:t>
        </w:r>
        <w:r>
          <w:rPr>
            <w:noProof/>
            <w:webHidden/>
          </w:rPr>
          <w:tab/>
        </w:r>
        <w:r>
          <w:rPr>
            <w:noProof/>
            <w:webHidden/>
          </w:rPr>
          <w:fldChar w:fldCharType="begin"/>
        </w:r>
        <w:r>
          <w:rPr>
            <w:noProof/>
            <w:webHidden/>
          </w:rPr>
          <w:instrText xml:space="preserve"> PAGEREF _Toc197472189 \h </w:instrText>
        </w:r>
        <w:r>
          <w:rPr>
            <w:noProof/>
            <w:webHidden/>
          </w:rPr>
        </w:r>
        <w:r>
          <w:rPr>
            <w:noProof/>
            <w:webHidden/>
          </w:rPr>
          <w:fldChar w:fldCharType="separate"/>
        </w:r>
        <w:r>
          <w:rPr>
            <w:noProof/>
            <w:webHidden/>
          </w:rPr>
          <w:t>10</w:t>
        </w:r>
        <w:r>
          <w:rPr>
            <w:noProof/>
            <w:webHidden/>
          </w:rPr>
          <w:fldChar w:fldCharType="end"/>
        </w:r>
      </w:hyperlink>
    </w:p>
    <w:p w14:paraId="11ACE063" w14:textId="7C6303C4"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190" w:history="1">
        <w:r w:rsidRPr="008B3ACC">
          <w:rPr>
            <w:rStyle w:val="Hyperlink"/>
            <w:rFonts w:eastAsia="Calibri" w:cs="Calibri"/>
            <w:noProof/>
          </w:rPr>
          <w:t>Tabela 5. Transpozimi i kornizës ligjore të BE-së për menaxhimin e mbeturinave në kornizën ligjore të Kosovës</w:t>
        </w:r>
        <w:r>
          <w:rPr>
            <w:noProof/>
            <w:webHidden/>
          </w:rPr>
          <w:tab/>
        </w:r>
        <w:r>
          <w:rPr>
            <w:noProof/>
            <w:webHidden/>
          </w:rPr>
          <w:fldChar w:fldCharType="begin"/>
        </w:r>
        <w:r>
          <w:rPr>
            <w:noProof/>
            <w:webHidden/>
          </w:rPr>
          <w:instrText xml:space="preserve"> PAGEREF _Toc197472190 \h </w:instrText>
        </w:r>
        <w:r>
          <w:rPr>
            <w:noProof/>
            <w:webHidden/>
          </w:rPr>
        </w:r>
        <w:r>
          <w:rPr>
            <w:noProof/>
            <w:webHidden/>
          </w:rPr>
          <w:fldChar w:fldCharType="separate"/>
        </w:r>
        <w:r>
          <w:rPr>
            <w:noProof/>
            <w:webHidden/>
          </w:rPr>
          <w:t>23</w:t>
        </w:r>
        <w:r>
          <w:rPr>
            <w:noProof/>
            <w:webHidden/>
          </w:rPr>
          <w:fldChar w:fldCharType="end"/>
        </w:r>
      </w:hyperlink>
    </w:p>
    <w:p w14:paraId="3028ED1D" w14:textId="52C18FD5"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191" w:history="1">
        <w:r w:rsidRPr="008B3ACC">
          <w:rPr>
            <w:rStyle w:val="Hyperlink"/>
            <w:rFonts w:eastAsia="Calibri" w:cs="Calibri"/>
            <w:noProof/>
          </w:rPr>
          <w:t>Tabela 6. Përgatitja për objektivat e ripërdorimit dhe riciklimit të mbeturinave komunale</w:t>
        </w:r>
        <w:r>
          <w:rPr>
            <w:noProof/>
            <w:webHidden/>
          </w:rPr>
          <w:tab/>
        </w:r>
        <w:r>
          <w:rPr>
            <w:noProof/>
            <w:webHidden/>
          </w:rPr>
          <w:fldChar w:fldCharType="begin"/>
        </w:r>
        <w:r>
          <w:rPr>
            <w:noProof/>
            <w:webHidden/>
          </w:rPr>
          <w:instrText xml:space="preserve"> PAGEREF _Toc197472191 \h </w:instrText>
        </w:r>
        <w:r>
          <w:rPr>
            <w:noProof/>
            <w:webHidden/>
          </w:rPr>
        </w:r>
        <w:r>
          <w:rPr>
            <w:noProof/>
            <w:webHidden/>
          </w:rPr>
          <w:fldChar w:fldCharType="separate"/>
        </w:r>
        <w:r>
          <w:rPr>
            <w:noProof/>
            <w:webHidden/>
          </w:rPr>
          <w:t>30</w:t>
        </w:r>
        <w:r>
          <w:rPr>
            <w:noProof/>
            <w:webHidden/>
          </w:rPr>
          <w:fldChar w:fldCharType="end"/>
        </w:r>
      </w:hyperlink>
    </w:p>
    <w:p w14:paraId="2D1D3F63" w14:textId="1B2FF514"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192" w:history="1">
        <w:r w:rsidRPr="008B3ACC">
          <w:rPr>
            <w:rStyle w:val="Hyperlink"/>
            <w:rFonts w:eastAsia="Calibri" w:cs="Calibri"/>
            <w:noProof/>
          </w:rPr>
          <w:t>Tabela 7. Objektivat për fraksionet e veçanta të mbeturinave</w:t>
        </w:r>
        <w:r>
          <w:rPr>
            <w:noProof/>
            <w:webHidden/>
          </w:rPr>
          <w:tab/>
        </w:r>
        <w:r>
          <w:rPr>
            <w:noProof/>
            <w:webHidden/>
          </w:rPr>
          <w:fldChar w:fldCharType="begin"/>
        </w:r>
        <w:r>
          <w:rPr>
            <w:noProof/>
            <w:webHidden/>
          </w:rPr>
          <w:instrText xml:space="preserve"> PAGEREF _Toc197472192 \h </w:instrText>
        </w:r>
        <w:r>
          <w:rPr>
            <w:noProof/>
            <w:webHidden/>
          </w:rPr>
        </w:r>
        <w:r>
          <w:rPr>
            <w:noProof/>
            <w:webHidden/>
          </w:rPr>
          <w:fldChar w:fldCharType="separate"/>
        </w:r>
        <w:r>
          <w:rPr>
            <w:noProof/>
            <w:webHidden/>
          </w:rPr>
          <w:t>30</w:t>
        </w:r>
        <w:r>
          <w:rPr>
            <w:noProof/>
            <w:webHidden/>
          </w:rPr>
          <w:fldChar w:fldCharType="end"/>
        </w:r>
      </w:hyperlink>
    </w:p>
    <w:p w14:paraId="5615883D" w14:textId="3005BB2F"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193" w:history="1">
        <w:r w:rsidRPr="008B3ACC">
          <w:rPr>
            <w:rStyle w:val="Hyperlink"/>
            <w:rFonts w:eastAsia="Calibri" w:cs="Calibri"/>
            <w:noProof/>
          </w:rPr>
          <w:t>Tabela 8. Objektivat e riciklimit për mbeturinat e ndërtimit dhe rrënimit</w:t>
        </w:r>
        <w:r>
          <w:rPr>
            <w:noProof/>
            <w:webHidden/>
          </w:rPr>
          <w:tab/>
        </w:r>
        <w:r>
          <w:rPr>
            <w:noProof/>
            <w:webHidden/>
          </w:rPr>
          <w:fldChar w:fldCharType="begin"/>
        </w:r>
        <w:r>
          <w:rPr>
            <w:noProof/>
            <w:webHidden/>
          </w:rPr>
          <w:instrText xml:space="preserve"> PAGEREF _Toc197472193 \h </w:instrText>
        </w:r>
        <w:r>
          <w:rPr>
            <w:noProof/>
            <w:webHidden/>
          </w:rPr>
        </w:r>
        <w:r>
          <w:rPr>
            <w:noProof/>
            <w:webHidden/>
          </w:rPr>
          <w:fldChar w:fldCharType="separate"/>
        </w:r>
        <w:r>
          <w:rPr>
            <w:noProof/>
            <w:webHidden/>
          </w:rPr>
          <w:t>30</w:t>
        </w:r>
        <w:r>
          <w:rPr>
            <w:noProof/>
            <w:webHidden/>
          </w:rPr>
          <w:fldChar w:fldCharType="end"/>
        </w:r>
      </w:hyperlink>
    </w:p>
    <w:p w14:paraId="13186CBF" w14:textId="71CDB52A"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194" w:history="1">
        <w:r w:rsidRPr="008B3ACC">
          <w:rPr>
            <w:rStyle w:val="Hyperlink"/>
            <w:rFonts w:eastAsia="Calibri" w:cs="Calibri"/>
            <w:noProof/>
          </w:rPr>
          <w:t>Tabela 9. Masat e parapara në planet komunale për menaxhimin e mbeturinave</w:t>
        </w:r>
        <w:r>
          <w:rPr>
            <w:noProof/>
            <w:webHidden/>
          </w:rPr>
          <w:tab/>
        </w:r>
        <w:r>
          <w:rPr>
            <w:noProof/>
            <w:webHidden/>
          </w:rPr>
          <w:fldChar w:fldCharType="begin"/>
        </w:r>
        <w:r>
          <w:rPr>
            <w:noProof/>
            <w:webHidden/>
          </w:rPr>
          <w:instrText xml:space="preserve"> PAGEREF _Toc197472194 \h </w:instrText>
        </w:r>
        <w:r>
          <w:rPr>
            <w:noProof/>
            <w:webHidden/>
          </w:rPr>
        </w:r>
        <w:r>
          <w:rPr>
            <w:noProof/>
            <w:webHidden/>
          </w:rPr>
          <w:fldChar w:fldCharType="separate"/>
        </w:r>
        <w:r>
          <w:rPr>
            <w:noProof/>
            <w:webHidden/>
          </w:rPr>
          <w:t>30</w:t>
        </w:r>
        <w:r>
          <w:rPr>
            <w:noProof/>
            <w:webHidden/>
          </w:rPr>
          <w:fldChar w:fldCharType="end"/>
        </w:r>
      </w:hyperlink>
    </w:p>
    <w:p w14:paraId="2B109409" w14:textId="38CEA04E"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195" w:history="1">
        <w:r w:rsidRPr="008B3ACC">
          <w:rPr>
            <w:rStyle w:val="Hyperlink"/>
            <w:rFonts w:eastAsia="Calibri" w:cs="Calibri"/>
            <w:noProof/>
          </w:rPr>
          <w:t>Tabela 10. Zonat e mbrojtura në rajon</w:t>
        </w:r>
        <w:r>
          <w:rPr>
            <w:noProof/>
            <w:webHidden/>
          </w:rPr>
          <w:tab/>
        </w:r>
        <w:r>
          <w:rPr>
            <w:noProof/>
            <w:webHidden/>
          </w:rPr>
          <w:fldChar w:fldCharType="begin"/>
        </w:r>
        <w:r>
          <w:rPr>
            <w:noProof/>
            <w:webHidden/>
          </w:rPr>
          <w:instrText xml:space="preserve"> PAGEREF _Toc197472195 \h </w:instrText>
        </w:r>
        <w:r>
          <w:rPr>
            <w:noProof/>
            <w:webHidden/>
          </w:rPr>
        </w:r>
        <w:r>
          <w:rPr>
            <w:noProof/>
            <w:webHidden/>
          </w:rPr>
          <w:fldChar w:fldCharType="separate"/>
        </w:r>
        <w:r>
          <w:rPr>
            <w:noProof/>
            <w:webHidden/>
          </w:rPr>
          <w:t>34</w:t>
        </w:r>
        <w:r>
          <w:rPr>
            <w:noProof/>
            <w:webHidden/>
          </w:rPr>
          <w:fldChar w:fldCharType="end"/>
        </w:r>
      </w:hyperlink>
    </w:p>
    <w:p w14:paraId="360BDD09" w14:textId="1F670E3B"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196" w:history="1">
        <w:r w:rsidRPr="008B3ACC">
          <w:rPr>
            <w:rStyle w:val="Hyperlink"/>
            <w:rFonts w:eastAsia="Calibri" w:cs="Calibri"/>
            <w:noProof/>
          </w:rPr>
          <w:t>Tabela 11. Popullsia e rajonit, 2011 dhe 2020</w:t>
        </w:r>
        <w:r>
          <w:rPr>
            <w:noProof/>
            <w:webHidden/>
          </w:rPr>
          <w:tab/>
        </w:r>
        <w:r>
          <w:rPr>
            <w:noProof/>
            <w:webHidden/>
          </w:rPr>
          <w:fldChar w:fldCharType="begin"/>
        </w:r>
        <w:r>
          <w:rPr>
            <w:noProof/>
            <w:webHidden/>
          </w:rPr>
          <w:instrText xml:space="preserve"> PAGEREF _Toc197472196 \h </w:instrText>
        </w:r>
        <w:r>
          <w:rPr>
            <w:noProof/>
            <w:webHidden/>
          </w:rPr>
        </w:r>
        <w:r>
          <w:rPr>
            <w:noProof/>
            <w:webHidden/>
          </w:rPr>
          <w:fldChar w:fldCharType="separate"/>
        </w:r>
        <w:r>
          <w:rPr>
            <w:noProof/>
            <w:webHidden/>
          </w:rPr>
          <w:t>35</w:t>
        </w:r>
        <w:r>
          <w:rPr>
            <w:noProof/>
            <w:webHidden/>
          </w:rPr>
          <w:fldChar w:fldCharType="end"/>
        </w:r>
      </w:hyperlink>
    </w:p>
    <w:p w14:paraId="002B6BDA" w14:textId="1D0A5ADA"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197" w:history="1">
        <w:r w:rsidRPr="008B3ACC">
          <w:rPr>
            <w:rStyle w:val="Hyperlink"/>
            <w:rFonts w:eastAsia="Calibri" w:cs="Calibri"/>
            <w:noProof/>
          </w:rPr>
          <w:t>Tabela 12. Numri i familjeve në secilën komunë</w:t>
        </w:r>
        <w:r>
          <w:rPr>
            <w:noProof/>
            <w:webHidden/>
          </w:rPr>
          <w:tab/>
        </w:r>
        <w:r>
          <w:rPr>
            <w:noProof/>
            <w:webHidden/>
          </w:rPr>
          <w:fldChar w:fldCharType="begin"/>
        </w:r>
        <w:r>
          <w:rPr>
            <w:noProof/>
            <w:webHidden/>
          </w:rPr>
          <w:instrText xml:space="preserve"> PAGEREF _Toc197472197 \h </w:instrText>
        </w:r>
        <w:r>
          <w:rPr>
            <w:noProof/>
            <w:webHidden/>
          </w:rPr>
        </w:r>
        <w:r>
          <w:rPr>
            <w:noProof/>
            <w:webHidden/>
          </w:rPr>
          <w:fldChar w:fldCharType="separate"/>
        </w:r>
        <w:r>
          <w:rPr>
            <w:noProof/>
            <w:webHidden/>
          </w:rPr>
          <w:t>35</w:t>
        </w:r>
        <w:r>
          <w:rPr>
            <w:noProof/>
            <w:webHidden/>
          </w:rPr>
          <w:fldChar w:fldCharType="end"/>
        </w:r>
      </w:hyperlink>
    </w:p>
    <w:p w14:paraId="1CD54BE9" w14:textId="7F4FBD06"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198" w:history="1">
        <w:r w:rsidRPr="008B3ACC">
          <w:rPr>
            <w:rStyle w:val="Hyperlink"/>
            <w:rFonts w:eastAsia="Calibri" w:cs="Calibri"/>
            <w:noProof/>
          </w:rPr>
          <w:t>Tabela 13. Numri i familjeve të angazhuara në aktivitete bujqësore</w:t>
        </w:r>
        <w:r>
          <w:rPr>
            <w:noProof/>
            <w:webHidden/>
          </w:rPr>
          <w:tab/>
        </w:r>
        <w:r>
          <w:rPr>
            <w:noProof/>
            <w:webHidden/>
          </w:rPr>
          <w:fldChar w:fldCharType="begin"/>
        </w:r>
        <w:r>
          <w:rPr>
            <w:noProof/>
            <w:webHidden/>
          </w:rPr>
          <w:instrText xml:space="preserve"> PAGEREF _Toc197472198 \h </w:instrText>
        </w:r>
        <w:r>
          <w:rPr>
            <w:noProof/>
            <w:webHidden/>
          </w:rPr>
        </w:r>
        <w:r>
          <w:rPr>
            <w:noProof/>
            <w:webHidden/>
          </w:rPr>
          <w:fldChar w:fldCharType="separate"/>
        </w:r>
        <w:r>
          <w:rPr>
            <w:noProof/>
            <w:webHidden/>
          </w:rPr>
          <w:t>39</w:t>
        </w:r>
        <w:r>
          <w:rPr>
            <w:noProof/>
            <w:webHidden/>
          </w:rPr>
          <w:fldChar w:fldCharType="end"/>
        </w:r>
      </w:hyperlink>
    </w:p>
    <w:p w14:paraId="3DCDE896" w14:textId="7BF99730"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199" w:history="1">
        <w:r w:rsidRPr="008B3ACC">
          <w:rPr>
            <w:rStyle w:val="Hyperlink"/>
            <w:rFonts w:eastAsia="Calibri" w:cs="Calibri"/>
            <w:noProof/>
          </w:rPr>
          <w:t>Tabela 14. Numri i bagëtive (krerë)</w:t>
        </w:r>
        <w:r>
          <w:rPr>
            <w:noProof/>
            <w:webHidden/>
          </w:rPr>
          <w:tab/>
        </w:r>
        <w:r>
          <w:rPr>
            <w:noProof/>
            <w:webHidden/>
          </w:rPr>
          <w:fldChar w:fldCharType="begin"/>
        </w:r>
        <w:r>
          <w:rPr>
            <w:noProof/>
            <w:webHidden/>
          </w:rPr>
          <w:instrText xml:space="preserve"> PAGEREF _Toc197472199 \h </w:instrText>
        </w:r>
        <w:r>
          <w:rPr>
            <w:noProof/>
            <w:webHidden/>
          </w:rPr>
        </w:r>
        <w:r>
          <w:rPr>
            <w:noProof/>
            <w:webHidden/>
          </w:rPr>
          <w:fldChar w:fldCharType="separate"/>
        </w:r>
        <w:r>
          <w:rPr>
            <w:noProof/>
            <w:webHidden/>
          </w:rPr>
          <w:t>40</w:t>
        </w:r>
        <w:r>
          <w:rPr>
            <w:noProof/>
            <w:webHidden/>
          </w:rPr>
          <w:fldChar w:fldCharType="end"/>
        </w:r>
      </w:hyperlink>
    </w:p>
    <w:p w14:paraId="1F609A89" w14:textId="13CBBEFB"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00" w:history="1">
        <w:r w:rsidRPr="008B3ACC">
          <w:rPr>
            <w:rStyle w:val="Hyperlink"/>
            <w:rFonts w:eastAsia="Calibri" w:cs="Calibri"/>
            <w:noProof/>
          </w:rPr>
          <w:t>Tabela 15. Sipërfaqet e të korrave në hektarë (ha)</w:t>
        </w:r>
        <w:r>
          <w:rPr>
            <w:noProof/>
            <w:webHidden/>
          </w:rPr>
          <w:tab/>
        </w:r>
        <w:r>
          <w:rPr>
            <w:noProof/>
            <w:webHidden/>
          </w:rPr>
          <w:fldChar w:fldCharType="begin"/>
        </w:r>
        <w:r>
          <w:rPr>
            <w:noProof/>
            <w:webHidden/>
          </w:rPr>
          <w:instrText xml:space="preserve"> PAGEREF _Toc197472200 \h </w:instrText>
        </w:r>
        <w:r>
          <w:rPr>
            <w:noProof/>
            <w:webHidden/>
          </w:rPr>
        </w:r>
        <w:r>
          <w:rPr>
            <w:noProof/>
            <w:webHidden/>
          </w:rPr>
          <w:fldChar w:fldCharType="separate"/>
        </w:r>
        <w:r>
          <w:rPr>
            <w:noProof/>
            <w:webHidden/>
          </w:rPr>
          <w:t>40</w:t>
        </w:r>
        <w:r>
          <w:rPr>
            <w:noProof/>
            <w:webHidden/>
          </w:rPr>
          <w:fldChar w:fldCharType="end"/>
        </w:r>
      </w:hyperlink>
    </w:p>
    <w:p w14:paraId="58153DA7" w14:textId="60B1DEE1"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01" w:history="1">
        <w:r w:rsidRPr="008B3ACC">
          <w:rPr>
            <w:rStyle w:val="Hyperlink"/>
            <w:rFonts w:eastAsia="Calibri" w:cs="Calibri"/>
            <w:noProof/>
          </w:rPr>
          <w:t>Tabela 16. Sipërfaqet e pemishteve, në ha</w:t>
        </w:r>
        <w:r>
          <w:rPr>
            <w:noProof/>
            <w:webHidden/>
          </w:rPr>
          <w:tab/>
        </w:r>
        <w:r>
          <w:rPr>
            <w:noProof/>
            <w:webHidden/>
          </w:rPr>
          <w:fldChar w:fldCharType="begin"/>
        </w:r>
        <w:r>
          <w:rPr>
            <w:noProof/>
            <w:webHidden/>
          </w:rPr>
          <w:instrText xml:space="preserve"> PAGEREF _Toc197472201 \h </w:instrText>
        </w:r>
        <w:r>
          <w:rPr>
            <w:noProof/>
            <w:webHidden/>
          </w:rPr>
        </w:r>
        <w:r>
          <w:rPr>
            <w:noProof/>
            <w:webHidden/>
          </w:rPr>
          <w:fldChar w:fldCharType="separate"/>
        </w:r>
        <w:r>
          <w:rPr>
            <w:noProof/>
            <w:webHidden/>
          </w:rPr>
          <w:t>40</w:t>
        </w:r>
        <w:r>
          <w:rPr>
            <w:noProof/>
            <w:webHidden/>
          </w:rPr>
          <w:fldChar w:fldCharType="end"/>
        </w:r>
      </w:hyperlink>
    </w:p>
    <w:p w14:paraId="41EB1F3D" w14:textId="1E15E299"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02" w:history="1">
        <w:r w:rsidRPr="008B3ACC">
          <w:rPr>
            <w:rStyle w:val="Hyperlink"/>
            <w:rFonts w:eastAsia="Calibri" w:cs="Calibri"/>
            <w:noProof/>
          </w:rPr>
          <w:t>Tabela 17. Gjenerimi i mbeturinave nga amvisëritë (të mbledhura), 2021 dhe 2022</w:t>
        </w:r>
        <w:r>
          <w:rPr>
            <w:noProof/>
            <w:webHidden/>
          </w:rPr>
          <w:tab/>
        </w:r>
        <w:r>
          <w:rPr>
            <w:noProof/>
            <w:webHidden/>
          </w:rPr>
          <w:fldChar w:fldCharType="begin"/>
        </w:r>
        <w:r>
          <w:rPr>
            <w:noProof/>
            <w:webHidden/>
          </w:rPr>
          <w:instrText xml:space="preserve"> PAGEREF _Toc197472202 \h </w:instrText>
        </w:r>
        <w:r>
          <w:rPr>
            <w:noProof/>
            <w:webHidden/>
          </w:rPr>
        </w:r>
        <w:r>
          <w:rPr>
            <w:noProof/>
            <w:webHidden/>
          </w:rPr>
          <w:fldChar w:fldCharType="separate"/>
        </w:r>
        <w:r>
          <w:rPr>
            <w:noProof/>
            <w:webHidden/>
          </w:rPr>
          <w:t>40</w:t>
        </w:r>
        <w:r>
          <w:rPr>
            <w:noProof/>
            <w:webHidden/>
          </w:rPr>
          <w:fldChar w:fldCharType="end"/>
        </w:r>
      </w:hyperlink>
    </w:p>
    <w:p w14:paraId="741A2C64" w14:textId="3EA98A32"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03" w:history="1">
        <w:r w:rsidRPr="008B3ACC">
          <w:rPr>
            <w:rStyle w:val="Hyperlink"/>
            <w:rFonts w:eastAsia="Calibri" w:cs="Calibri"/>
            <w:noProof/>
          </w:rPr>
          <w:t>Tabela 18 . Gjenerimi i mbeturinave në rajonin e Pejës, 2023</w:t>
        </w:r>
        <w:r>
          <w:rPr>
            <w:noProof/>
            <w:webHidden/>
          </w:rPr>
          <w:tab/>
        </w:r>
        <w:r>
          <w:rPr>
            <w:noProof/>
            <w:webHidden/>
          </w:rPr>
          <w:fldChar w:fldCharType="begin"/>
        </w:r>
        <w:r>
          <w:rPr>
            <w:noProof/>
            <w:webHidden/>
          </w:rPr>
          <w:instrText xml:space="preserve"> PAGEREF _Toc197472203 \h </w:instrText>
        </w:r>
        <w:r>
          <w:rPr>
            <w:noProof/>
            <w:webHidden/>
          </w:rPr>
        </w:r>
        <w:r>
          <w:rPr>
            <w:noProof/>
            <w:webHidden/>
          </w:rPr>
          <w:fldChar w:fldCharType="separate"/>
        </w:r>
        <w:r>
          <w:rPr>
            <w:noProof/>
            <w:webHidden/>
          </w:rPr>
          <w:t>41</w:t>
        </w:r>
        <w:r>
          <w:rPr>
            <w:noProof/>
            <w:webHidden/>
          </w:rPr>
          <w:fldChar w:fldCharType="end"/>
        </w:r>
      </w:hyperlink>
    </w:p>
    <w:p w14:paraId="2B25F23D" w14:textId="3460D947"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04" w:history="1">
        <w:r w:rsidRPr="008B3ACC">
          <w:rPr>
            <w:rStyle w:val="Hyperlink"/>
            <w:rFonts w:eastAsia="Calibri" w:cs="Calibri"/>
            <w:noProof/>
          </w:rPr>
          <w:t>Tabela 19. Normat e gjenerimit të mbeturinave, 2023</w:t>
        </w:r>
        <w:r>
          <w:rPr>
            <w:noProof/>
            <w:webHidden/>
          </w:rPr>
          <w:tab/>
        </w:r>
        <w:r>
          <w:rPr>
            <w:noProof/>
            <w:webHidden/>
          </w:rPr>
          <w:fldChar w:fldCharType="begin"/>
        </w:r>
        <w:r>
          <w:rPr>
            <w:noProof/>
            <w:webHidden/>
          </w:rPr>
          <w:instrText xml:space="preserve"> PAGEREF _Toc197472204 \h </w:instrText>
        </w:r>
        <w:r>
          <w:rPr>
            <w:noProof/>
            <w:webHidden/>
          </w:rPr>
        </w:r>
        <w:r>
          <w:rPr>
            <w:noProof/>
            <w:webHidden/>
          </w:rPr>
          <w:fldChar w:fldCharType="separate"/>
        </w:r>
        <w:r>
          <w:rPr>
            <w:noProof/>
            <w:webHidden/>
          </w:rPr>
          <w:t>41</w:t>
        </w:r>
        <w:r>
          <w:rPr>
            <w:noProof/>
            <w:webHidden/>
          </w:rPr>
          <w:fldChar w:fldCharType="end"/>
        </w:r>
      </w:hyperlink>
    </w:p>
    <w:p w14:paraId="69CAD604" w14:textId="79B2320E"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05" w:history="1">
        <w:r w:rsidRPr="008B3ACC">
          <w:rPr>
            <w:rStyle w:val="Hyperlink"/>
            <w:rFonts w:eastAsia="Calibri" w:cs="Calibri"/>
            <w:noProof/>
          </w:rPr>
          <w:t>Tabela 20. Numri i bizneseve që marrin shërbimin e grumbullimit të mbeturinave komunale, 2021</w:t>
        </w:r>
        <w:r>
          <w:rPr>
            <w:noProof/>
            <w:webHidden/>
          </w:rPr>
          <w:tab/>
        </w:r>
        <w:r>
          <w:rPr>
            <w:noProof/>
            <w:webHidden/>
          </w:rPr>
          <w:fldChar w:fldCharType="begin"/>
        </w:r>
        <w:r>
          <w:rPr>
            <w:noProof/>
            <w:webHidden/>
          </w:rPr>
          <w:instrText xml:space="preserve"> PAGEREF _Toc197472205 \h </w:instrText>
        </w:r>
        <w:r>
          <w:rPr>
            <w:noProof/>
            <w:webHidden/>
          </w:rPr>
        </w:r>
        <w:r>
          <w:rPr>
            <w:noProof/>
            <w:webHidden/>
          </w:rPr>
          <w:fldChar w:fldCharType="separate"/>
        </w:r>
        <w:r>
          <w:rPr>
            <w:noProof/>
            <w:webHidden/>
          </w:rPr>
          <w:t>41</w:t>
        </w:r>
        <w:r>
          <w:rPr>
            <w:noProof/>
            <w:webHidden/>
          </w:rPr>
          <w:fldChar w:fldCharType="end"/>
        </w:r>
      </w:hyperlink>
    </w:p>
    <w:p w14:paraId="258138B6" w14:textId="684EED36"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06" w:history="1">
        <w:r w:rsidRPr="008B3ACC">
          <w:rPr>
            <w:rStyle w:val="Hyperlink"/>
            <w:rFonts w:eastAsia="Calibri" w:cs="Calibri"/>
            <w:noProof/>
          </w:rPr>
          <w:t>Tabela 21. Numri dhe lloji i bizneseve në rajon, 2024</w:t>
        </w:r>
        <w:r>
          <w:rPr>
            <w:noProof/>
            <w:webHidden/>
          </w:rPr>
          <w:tab/>
        </w:r>
        <w:r>
          <w:rPr>
            <w:noProof/>
            <w:webHidden/>
          </w:rPr>
          <w:fldChar w:fldCharType="begin"/>
        </w:r>
        <w:r>
          <w:rPr>
            <w:noProof/>
            <w:webHidden/>
          </w:rPr>
          <w:instrText xml:space="preserve"> PAGEREF _Toc197472206 \h </w:instrText>
        </w:r>
        <w:r>
          <w:rPr>
            <w:noProof/>
            <w:webHidden/>
          </w:rPr>
        </w:r>
        <w:r>
          <w:rPr>
            <w:noProof/>
            <w:webHidden/>
          </w:rPr>
          <w:fldChar w:fldCharType="separate"/>
        </w:r>
        <w:r>
          <w:rPr>
            <w:noProof/>
            <w:webHidden/>
          </w:rPr>
          <w:t>42</w:t>
        </w:r>
        <w:r>
          <w:rPr>
            <w:noProof/>
            <w:webHidden/>
          </w:rPr>
          <w:fldChar w:fldCharType="end"/>
        </w:r>
      </w:hyperlink>
    </w:p>
    <w:p w14:paraId="69696F1D" w14:textId="0A2FCD97"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07" w:history="1">
        <w:r w:rsidRPr="008B3ACC">
          <w:rPr>
            <w:rStyle w:val="Hyperlink"/>
            <w:rFonts w:eastAsia="Calibri" w:cs="Calibri"/>
            <w:noProof/>
          </w:rPr>
          <w:t>Tabela 22. Numri dhe lloji i institucioneve kryesore në rajon , 2024</w:t>
        </w:r>
        <w:r>
          <w:rPr>
            <w:noProof/>
            <w:webHidden/>
          </w:rPr>
          <w:tab/>
        </w:r>
        <w:r>
          <w:rPr>
            <w:noProof/>
            <w:webHidden/>
          </w:rPr>
          <w:fldChar w:fldCharType="begin"/>
        </w:r>
        <w:r>
          <w:rPr>
            <w:noProof/>
            <w:webHidden/>
          </w:rPr>
          <w:instrText xml:space="preserve"> PAGEREF _Toc197472207 \h </w:instrText>
        </w:r>
        <w:r>
          <w:rPr>
            <w:noProof/>
            <w:webHidden/>
          </w:rPr>
        </w:r>
        <w:r>
          <w:rPr>
            <w:noProof/>
            <w:webHidden/>
          </w:rPr>
          <w:fldChar w:fldCharType="separate"/>
        </w:r>
        <w:r>
          <w:rPr>
            <w:noProof/>
            <w:webHidden/>
          </w:rPr>
          <w:t>42</w:t>
        </w:r>
        <w:r>
          <w:rPr>
            <w:noProof/>
            <w:webHidden/>
          </w:rPr>
          <w:fldChar w:fldCharType="end"/>
        </w:r>
      </w:hyperlink>
    </w:p>
    <w:p w14:paraId="0CD892F1" w14:textId="072BF1CB"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08" w:history="1">
        <w:r w:rsidRPr="008B3ACC">
          <w:rPr>
            <w:rStyle w:val="Hyperlink"/>
            <w:rFonts w:eastAsia="Calibri" w:cs="Calibri"/>
            <w:noProof/>
          </w:rPr>
          <w:t>Tabela 23 . Gjenerimi i MNRr-ve në Rajonin e Pejës, 2024</w:t>
        </w:r>
        <w:r>
          <w:rPr>
            <w:noProof/>
            <w:webHidden/>
          </w:rPr>
          <w:tab/>
        </w:r>
        <w:r>
          <w:rPr>
            <w:noProof/>
            <w:webHidden/>
          </w:rPr>
          <w:fldChar w:fldCharType="begin"/>
        </w:r>
        <w:r>
          <w:rPr>
            <w:noProof/>
            <w:webHidden/>
          </w:rPr>
          <w:instrText xml:space="preserve"> PAGEREF _Toc197472208 \h </w:instrText>
        </w:r>
        <w:r>
          <w:rPr>
            <w:noProof/>
            <w:webHidden/>
          </w:rPr>
        </w:r>
        <w:r>
          <w:rPr>
            <w:noProof/>
            <w:webHidden/>
          </w:rPr>
          <w:fldChar w:fldCharType="separate"/>
        </w:r>
        <w:r>
          <w:rPr>
            <w:noProof/>
            <w:webHidden/>
          </w:rPr>
          <w:t>44</w:t>
        </w:r>
        <w:r>
          <w:rPr>
            <w:noProof/>
            <w:webHidden/>
          </w:rPr>
          <w:fldChar w:fldCharType="end"/>
        </w:r>
      </w:hyperlink>
    </w:p>
    <w:p w14:paraId="6B89CE23" w14:textId="451D1272"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09" w:history="1">
        <w:r w:rsidRPr="008B3ACC">
          <w:rPr>
            <w:rStyle w:val="Hyperlink"/>
            <w:rFonts w:eastAsia="Calibri" w:cs="Calibri"/>
            <w:noProof/>
          </w:rPr>
          <w:t>Tabela 24 . Përbërja e mbeturinave në Pejë</w:t>
        </w:r>
        <w:r>
          <w:rPr>
            <w:noProof/>
            <w:webHidden/>
          </w:rPr>
          <w:tab/>
        </w:r>
        <w:r>
          <w:rPr>
            <w:noProof/>
            <w:webHidden/>
          </w:rPr>
          <w:fldChar w:fldCharType="begin"/>
        </w:r>
        <w:r>
          <w:rPr>
            <w:noProof/>
            <w:webHidden/>
          </w:rPr>
          <w:instrText xml:space="preserve"> PAGEREF _Toc197472209 \h </w:instrText>
        </w:r>
        <w:r>
          <w:rPr>
            <w:noProof/>
            <w:webHidden/>
          </w:rPr>
        </w:r>
        <w:r>
          <w:rPr>
            <w:noProof/>
            <w:webHidden/>
          </w:rPr>
          <w:fldChar w:fldCharType="separate"/>
        </w:r>
        <w:r>
          <w:rPr>
            <w:noProof/>
            <w:webHidden/>
          </w:rPr>
          <w:t>45</w:t>
        </w:r>
        <w:r>
          <w:rPr>
            <w:noProof/>
            <w:webHidden/>
          </w:rPr>
          <w:fldChar w:fldCharType="end"/>
        </w:r>
      </w:hyperlink>
    </w:p>
    <w:p w14:paraId="20B60376" w14:textId="582CEFED"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10" w:history="1">
        <w:r w:rsidRPr="008B3ACC">
          <w:rPr>
            <w:rStyle w:val="Hyperlink"/>
            <w:rFonts w:eastAsia="Calibri" w:cs="Calibri"/>
            <w:noProof/>
          </w:rPr>
          <w:t>Tabela 25. Pronësia e pajisjeve dhe përgjegjësia për të investuar në pajisje</w:t>
        </w:r>
        <w:r>
          <w:rPr>
            <w:noProof/>
            <w:webHidden/>
          </w:rPr>
          <w:tab/>
        </w:r>
        <w:r>
          <w:rPr>
            <w:noProof/>
            <w:webHidden/>
          </w:rPr>
          <w:fldChar w:fldCharType="begin"/>
        </w:r>
        <w:r>
          <w:rPr>
            <w:noProof/>
            <w:webHidden/>
          </w:rPr>
          <w:instrText xml:space="preserve"> PAGEREF _Toc197472210 \h </w:instrText>
        </w:r>
        <w:r>
          <w:rPr>
            <w:noProof/>
            <w:webHidden/>
          </w:rPr>
        </w:r>
        <w:r>
          <w:rPr>
            <w:noProof/>
            <w:webHidden/>
          </w:rPr>
          <w:fldChar w:fldCharType="separate"/>
        </w:r>
        <w:r>
          <w:rPr>
            <w:noProof/>
            <w:webHidden/>
          </w:rPr>
          <w:t>46</w:t>
        </w:r>
        <w:r>
          <w:rPr>
            <w:noProof/>
            <w:webHidden/>
          </w:rPr>
          <w:fldChar w:fldCharType="end"/>
        </w:r>
      </w:hyperlink>
    </w:p>
    <w:p w14:paraId="01AF8B54" w14:textId="70940659"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11" w:history="1">
        <w:r w:rsidRPr="008B3ACC">
          <w:rPr>
            <w:rStyle w:val="Hyperlink"/>
            <w:rFonts w:eastAsia="Calibri" w:cs="Calibri"/>
            <w:noProof/>
          </w:rPr>
          <w:t>Tabela 26. Kontejnerët e grumbullimit të mbeturinave për amvisëri</w:t>
        </w:r>
        <w:r>
          <w:rPr>
            <w:noProof/>
            <w:webHidden/>
          </w:rPr>
          <w:tab/>
        </w:r>
        <w:r>
          <w:rPr>
            <w:noProof/>
            <w:webHidden/>
          </w:rPr>
          <w:fldChar w:fldCharType="begin"/>
        </w:r>
        <w:r>
          <w:rPr>
            <w:noProof/>
            <w:webHidden/>
          </w:rPr>
          <w:instrText xml:space="preserve"> PAGEREF _Toc197472211 \h </w:instrText>
        </w:r>
        <w:r>
          <w:rPr>
            <w:noProof/>
            <w:webHidden/>
          </w:rPr>
        </w:r>
        <w:r>
          <w:rPr>
            <w:noProof/>
            <w:webHidden/>
          </w:rPr>
          <w:fldChar w:fldCharType="separate"/>
        </w:r>
        <w:r>
          <w:rPr>
            <w:noProof/>
            <w:webHidden/>
          </w:rPr>
          <w:t>46</w:t>
        </w:r>
        <w:r>
          <w:rPr>
            <w:noProof/>
            <w:webHidden/>
          </w:rPr>
          <w:fldChar w:fldCharType="end"/>
        </w:r>
      </w:hyperlink>
    </w:p>
    <w:p w14:paraId="4680D79A" w14:textId="04BB255D"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12" w:history="1">
        <w:r w:rsidRPr="008B3ACC">
          <w:rPr>
            <w:rStyle w:val="Hyperlink"/>
            <w:rFonts w:eastAsia="Calibri" w:cs="Calibri"/>
            <w:noProof/>
          </w:rPr>
          <w:t>Tabela 27. Kontejnerët e grumbullimit të mbeturinave për biznese dhe institucione</w:t>
        </w:r>
        <w:r>
          <w:rPr>
            <w:noProof/>
            <w:webHidden/>
          </w:rPr>
          <w:tab/>
        </w:r>
        <w:r>
          <w:rPr>
            <w:noProof/>
            <w:webHidden/>
          </w:rPr>
          <w:fldChar w:fldCharType="begin"/>
        </w:r>
        <w:r>
          <w:rPr>
            <w:noProof/>
            <w:webHidden/>
          </w:rPr>
          <w:instrText xml:space="preserve"> PAGEREF _Toc197472212 \h </w:instrText>
        </w:r>
        <w:r>
          <w:rPr>
            <w:noProof/>
            <w:webHidden/>
          </w:rPr>
        </w:r>
        <w:r>
          <w:rPr>
            <w:noProof/>
            <w:webHidden/>
          </w:rPr>
          <w:fldChar w:fldCharType="separate"/>
        </w:r>
        <w:r>
          <w:rPr>
            <w:noProof/>
            <w:webHidden/>
          </w:rPr>
          <w:t>47</w:t>
        </w:r>
        <w:r>
          <w:rPr>
            <w:noProof/>
            <w:webHidden/>
          </w:rPr>
          <w:fldChar w:fldCharType="end"/>
        </w:r>
      </w:hyperlink>
    </w:p>
    <w:p w14:paraId="57DC10BA" w14:textId="6035A82B"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13" w:history="1">
        <w:r w:rsidRPr="008B3ACC">
          <w:rPr>
            <w:rStyle w:val="Hyperlink"/>
            <w:rFonts w:eastAsia="Calibri" w:cs="Calibri"/>
            <w:noProof/>
          </w:rPr>
          <w:t>Tabela 28. Trendi i numrit të deponive të egra</w:t>
        </w:r>
        <w:r>
          <w:rPr>
            <w:noProof/>
            <w:webHidden/>
          </w:rPr>
          <w:tab/>
        </w:r>
        <w:r>
          <w:rPr>
            <w:noProof/>
            <w:webHidden/>
          </w:rPr>
          <w:fldChar w:fldCharType="begin"/>
        </w:r>
        <w:r>
          <w:rPr>
            <w:noProof/>
            <w:webHidden/>
          </w:rPr>
          <w:instrText xml:space="preserve"> PAGEREF _Toc197472213 \h </w:instrText>
        </w:r>
        <w:r>
          <w:rPr>
            <w:noProof/>
            <w:webHidden/>
          </w:rPr>
        </w:r>
        <w:r>
          <w:rPr>
            <w:noProof/>
            <w:webHidden/>
          </w:rPr>
          <w:fldChar w:fldCharType="separate"/>
        </w:r>
        <w:r>
          <w:rPr>
            <w:noProof/>
            <w:webHidden/>
          </w:rPr>
          <w:t>49</w:t>
        </w:r>
        <w:r>
          <w:rPr>
            <w:noProof/>
            <w:webHidden/>
          </w:rPr>
          <w:fldChar w:fldCharType="end"/>
        </w:r>
      </w:hyperlink>
    </w:p>
    <w:p w14:paraId="307AA1FD" w14:textId="72CF851A"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14" w:history="1">
        <w:r w:rsidRPr="008B3ACC">
          <w:rPr>
            <w:rStyle w:val="Hyperlink"/>
            <w:rFonts w:eastAsia="Calibri" w:cs="Calibri"/>
            <w:noProof/>
          </w:rPr>
          <w:t>Tabela 29. Numri dhe Karakteristikat e Venddeponive të Paligjshme, 2021</w:t>
        </w:r>
        <w:r>
          <w:rPr>
            <w:noProof/>
            <w:webHidden/>
          </w:rPr>
          <w:tab/>
        </w:r>
        <w:r>
          <w:rPr>
            <w:noProof/>
            <w:webHidden/>
          </w:rPr>
          <w:fldChar w:fldCharType="begin"/>
        </w:r>
        <w:r>
          <w:rPr>
            <w:noProof/>
            <w:webHidden/>
          </w:rPr>
          <w:instrText xml:space="preserve"> PAGEREF _Toc197472214 \h </w:instrText>
        </w:r>
        <w:r>
          <w:rPr>
            <w:noProof/>
            <w:webHidden/>
          </w:rPr>
        </w:r>
        <w:r>
          <w:rPr>
            <w:noProof/>
            <w:webHidden/>
          </w:rPr>
          <w:fldChar w:fldCharType="separate"/>
        </w:r>
        <w:r>
          <w:rPr>
            <w:noProof/>
            <w:webHidden/>
          </w:rPr>
          <w:t>49</w:t>
        </w:r>
        <w:r>
          <w:rPr>
            <w:noProof/>
            <w:webHidden/>
          </w:rPr>
          <w:fldChar w:fldCharType="end"/>
        </w:r>
      </w:hyperlink>
    </w:p>
    <w:p w14:paraId="6BA52865" w14:textId="7FEA9AEC"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15" w:history="1">
        <w:r w:rsidRPr="008B3ACC">
          <w:rPr>
            <w:rStyle w:val="Hyperlink"/>
            <w:rFonts w:eastAsia="Calibri" w:cs="Calibri"/>
            <w:noProof/>
          </w:rPr>
          <w:t>Tabela 30. Efikasiteti i stafit për menaxhimit të mbeturinave, 2021</w:t>
        </w:r>
        <w:r>
          <w:rPr>
            <w:noProof/>
            <w:webHidden/>
          </w:rPr>
          <w:tab/>
        </w:r>
        <w:r>
          <w:rPr>
            <w:noProof/>
            <w:webHidden/>
          </w:rPr>
          <w:fldChar w:fldCharType="begin"/>
        </w:r>
        <w:r>
          <w:rPr>
            <w:noProof/>
            <w:webHidden/>
          </w:rPr>
          <w:instrText xml:space="preserve"> PAGEREF _Toc197472215 \h </w:instrText>
        </w:r>
        <w:r>
          <w:rPr>
            <w:noProof/>
            <w:webHidden/>
          </w:rPr>
        </w:r>
        <w:r>
          <w:rPr>
            <w:noProof/>
            <w:webHidden/>
          </w:rPr>
          <w:fldChar w:fldCharType="separate"/>
        </w:r>
        <w:r>
          <w:rPr>
            <w:noProof/>
            <w:webHidden/>
          </w:rPr>
          <w:t>50</w:t>
        </w:r>
        <w:r>
          <w:rPr>
            <w:noProof/>
            <w:webHidden/>
          </w:rPr>
          <w:fldChar w:fldCharType="end"/>
        </w:r>
      </w:hyperlink>
    </w:p>
    <w:p w14:paraId="3A0BA174" w14:textId="42A01A5E"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16" w:history="1">
        <w:r w:rsidRPr="008B3ACC">
          <w:rPr>
            <w:rStyle w:val="Hyperlink"/>
            <w:rFonts w:eastAsia="Calibri" w:cs="Calibri"/>
            <w:noProof/>
          </w:rPr>
          <w:t>Tabela 31. Tarifa mujore e mbeturinave të amvisërisë, EUR</w:t>
        </w:r>
        <w:r>
          <w:rPr>
            <w:noProof/>
            <w:webHidden/>
          </w:rPr>
          <w:tab/>
        </w:r>
        <w:r>
          <w:rPr>
            <w:noProof/>
            <w:webHidden/>
          </w:rPr>
          <w:fldChar w:fldCharType="begin"/>
        </w:r>
        <w:r>
          <w:rPr>
            <w:noProof/>
            <w:webHidden/>
          </w:rPr>
          <w:instrText xml:space="preserve"> PAGEREF _Toc197472216 \h </w:instrText>
        </w:r>
        <w:r>
          <w:rPr>
            <w:noProof/>
            <w:webHidden/>
          </w:rPr>
        </w:r>
        <w:r>
          <w:rPr>
            <w:noProof/>
            <w:webHidden/>
          </w:rPr>
          <w:fldChar w:fldCharType="separate"/>
        </w:r>
        <w:r>
          <w:rPr>
            <w:noProof/>
            <w:webHidden/>
          </w:rPr>
          <w:t>50</w:t>
        </w:r>
        <w:r>
          <w:rPr>
            <w:noProof/>
            <w:webHidden/>
          </w:rPr>
          <w:fldChar w:fldCharType="end"/>
        </w:r>
      </w:hyperlink>
    </w:p>
    <w:p w14:paraId="6B3DB53B" w14:textId="52EBD36E"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17" w:history="1">
        <w:r w:rsidRPr="008B3ACC">
          <w:rPr>
            <w:rStyle w:val="Hyperlink"/>
            <w:rFonts w:eastAsia="Calibri" w:cs="Calibri"/>
            <w:noProof/>
          </w:rPr>
          <w:t>Tabela 32. Tarifat mujore të mbeturinave për personat juridikë, EUR</w:t>
        </w:r>
        <w:r>
          <w:rPr>
            <w:noProof/>
            <w:webHidden/>
          </w:rPr>
          <w:tab/>
        </w:r>
        <w:r>
          <w:rPr>
            <w:noProof/>
            <w:webHidden/>
          </w:rPr>
          <w:fldChar w:fldCharType="begin"/>
        </w:r>
        <w:r>
          <w:rPr>
            <w:noProof/>
            <w:webHidden/>
          </w:rPr>
          <w:instrText xml:space="preserve"> PAGEREF _Toc197472217 \h </w:instrText>
        </w:r>
        <w:r>
          <w:rPr>
            <w:noProof/>
            <w:webHidden/>
          </w:rPr>
        </w:r>
        <w:r>
          <w:rPr>
            <w:noProof/>
            <w:webHidden/>
          </w:rPr>
          <w:fldChar w:fldCharType="separate"/>
        </w:r>
        <w:r>
          <w:rPr>
            <w:noProof/>
            <w:webHidden/>
          </w:rPr>
          <w:t>50</w:t>
        </w:r>
        <w:r>
          <w:rPr>
            <w:noProof/>
            <w:webHidden/>
          </w:rPr>
          <w:fldChar w:fldCharType="end"/>
        </w:r>
      </w:hyperlink>
    </w:p>
    <w:p w14:paraId="395E8D53" w14:textId="51F34354"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18" w:history="1">
        <w:r w:rsidRPr="008B3ACC">
          <w:rPr>
            <w:rStyle w:val="Hyperlink"/>
            <w:rFonts w:eastAsia="Calibri" w:cs="Calibri"/>
            <w:noProof/>
          </w:rPr>
          <w:t>Tabela 33. Tarifat e hyrjes në deponi, EUR</w:t>
        </w:r>
        <w:r>
          <w:rPr>
            <w:noProof/>
            <w:webHidden/>
          </w:rPr>
          <w:tab/>
        </w:r>
        <w:r>
          <w:rPr>
            <w:noProof/>
            <w:webHidden/>
          </w:rPr>
          <w:fldChar w:fldCharType="begin"/>
        </w:r>
        <w:r>
          <w:rPr>
            <w:noProof/>
            <w:webHidden/>
          </w:rPr>
          <w:instrText xml:space="preserve"> PAGEREF _Toc197472218 \h </w:instrText>
        </w:r>
        <w:r>
          <w:rPr>
            <w:noProof/>
            <w:webHidden/>
          </w:rPr>
        </w:r>
        <w:r>
          <w:rPr>
            <w:noProof/>
            <w:webHidden/>
          </w:rPr>
          <w:fldChar w:fldCharType="separate"/>
        </w:r>
        <w:r>
          <w:rPr>
            <w:noProof/>
            <w:webHidden/>
          </w:rPr>
          <w:t>50</w:t>
        </w:r>
        <w:r>
          <w:rPr>
            <w:noProof/>
            <w:webHidden/>
          </w:rPr>
          <w:fldChar w:fldCharType="end"/>
        </w:r>
      </w:hyperlink>
    </w:p>
    <w:p w14:paraId="7B606A69" w14:textId="35582FDA"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19" w:history="1">
        <w:r w:rsidRPr="008B3ACC">
          <w:rPr>
            <w:rStyle w:val="Hyperlink"/>
            <w:rFonts w:eastAsia="Calibri" w:cs="Calibri"/>
            <w:noProof/>
          </w:rPr>
          <w:t>Tabela 34. Të hyrat aktuale vjetore nga tarifa e mbeturinave nga amvisëritë, EUR</w:t>
        </w:r>
        <w:r>
          <w:rPr>
            <w:noProof/>
            <w:webHidden/>
          </w:rPr>
          <w:tab/>
        </w:r>
        <w:r>
          <w:rPr>
            <w:noProof/>
            <w:webHidden/>
          </w:rPr>
          <w:fldChar w:fldCharType="begin"/>
        </w:r>
        <w:r>
          <w:rPr>
            <w:noProof/>
            <w:webHidden/>
          </w:rPr>
          <w:instrText xml:space="preserve"> PAGEREF _Toc197472219 \h </w:instrText>
        </w:r>
        <w:r>
          <w:rPr>
            <w:noProof/>
            <w:webHidden/>
          </w:rPr>
        </w:r>
        <w:r>
          <w:rPr>
            <w:noProof/>
            <w:webHidden/>
          </w:rPr>
          <w:fldChar w:fldCharType="separate"/>
        </w:r>
        <w:r>
          <w:rPr>
            <w:noProof/>
            <w:webHidden/>
          </w:rPr>
          <w:t>51</w:t>
        </w:r>
        <w:r>
          <w:rPr>
            <w:noProof/>
            <w:webHidden/>
          </w:rPr>
          <w:fldChar w:fldCharType="end"/>
        </w:r>
      </w:hyperlink>
    </w:p>
    <w:p w14:paraId="3CDF465D" w14:textId="61A63E69"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20" w:history="1">
        <w:r w:rsidRPr="008B3ACC">
          <w:rPr>
            <w:rStyle w:val="Hyperlink"/>
            <w:rFonts w:eastAsia="Calibri" w:cs="Calibri"/>
            <w:noProof/>
          </w:rPr>
          <w:t>Tabela 35. Të hyrat aktuale nga tarifa e mbeturinave nga personat juridikë</w:t>
        </w:r>
        <w:r>
          <w:rPr>
            <w:noProof/>
            <w:webHidden/>
          </w:rPr>
          <w:tab/>
        </w:r>
        <w:r>
          <w:rPr>
            <w:noProof/>
            <w:webHidden/>
          </w:rPr>
          <w:fldChar w:fldCharType="begin"/>
        </w:r>
        <w:r>
          <w:rPr>
            <w:noProof/>
            <w:webHidden/>
          </w:rPr>
          <w:instrText xml:space="preserve"> PAGEREF _Toc197472220 \h </w:instrText>
        </w:r>
        <w:r>
          <w:rPr>
            <w:noProof/>
            <w:webHidden/>
          </w:rPr>
        </w:r>
        <w:r>
          <w:rPr>
            <w:noProof/>
            <w:webHidden/>
          </w:rPr>
          <w:fldChar w:fldCharType="separate"/>
        </w:r>
        <w:r>
          <w:rPr>
            <w:noProof/>
            <w:webHidden/>
          </w:rPr>
          <w:t>51</w:t>
        </w:r>
        <w:r>
          <w:rPr>
            <w:noProof/>
            <w:webHidden/>
          </w:rPr>
          <w:fldChar w:fldCharType="end"/>
        </w:r>
      </w:hyperlink>
    </w:p>
    <w:p w14:paraId="5C9B4050" w14:textId="57E8F81C"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21" w:history="1">
        <w:r w:rsidRPr="008B3ACC">
          <w:rPr>
            <w:rStyle w:val="Hyperlink"/>
            <w:rFonts w:eastAsia="Calibri" w:cs="Calibri"/>
            <w:noProof/>
          </w:rPr>
          <w:t>Tabela 36. Lista e kompanive të licencuara që merren me mbeturina të veçanta</w:t>
        </w:r>
        <w:r>
          <w:rPr>
            <w:noProof/>
            <w:webHidden/>
          </w:rPr>
          <w:tab/>
        </w:r>
        <w:r>
          <w:rPr>
            <w:noProof/>
            <w:webHidden/>
          </w:rPr>
          <w:fldChar w:fldCharType="begin"/>
        </w:r>
        <w:r>
          <w:rPr>
            <w:noProof/>
            <w:webHidden/>
          </w:rPr>
          <w:instrText xml:space="preserve"> PAGEREF _Toc197472221 \h </w:instrText>
        </w:r>
        <w:r>
          <w:rPr>
            <w:noProof/>
            <w:webHidden/>
          </w:rPr>
        </w:r>
        <w:r>
          <w:rPr>
            <w:noProof/>
            <w:webHidden/>
          </w:rPr>
          <w:fldChar w:fldCharType="separate"/>
        </w:r>
        <w:r>
          <w:rPr>
            <w:noProof/>
            <w:webHidden/>
          </w:rPr>
          <w:t>52</w:t>
        </w:r>
        <w:r>
          <w:rPr>
            <w:noProof/>
            <w:webHidden/>
          </w:rPr>
          <w:fldChar w:fldCharType="end"/>
        </w:r>
      </w:hyperlink>
    </w:p>
    <w:p w14:paraId="4AFF37CB" w14:textId="1702ED12"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22" w:history="1">
        <w:r w:rsidRPr="008B3ACC">
          <w:rPr>
            <w:rStyle w:val="Hyperlink"/>
            <w:rFonts w:eastAsia="Calibri" w:cs="Calibri"/>
            <w:noProof/>
          </w:rPr>
          <w:t>Tabela 37. Mbeturinat medicinale të gjeneruara në spitalin rajonal në Pejë</w:t>
        </w:r>
        <w:r>
          <w:rPr>
            <w:noProof/>
            <w:webHidden/>
          </w:rPr>
          <w:tab/>
        </w:r>
        <w:r>
          <w:rPr>
            <w:noProof/>
            <w:webHidden/>
          </w:rPr>
          <w:fldChar w:fldCharType="begin"/>
        </w:r>
        <w:r>
          <w:rPr>
            <w:noProof/>
            <w:webHidden/>
          </w:rPr>
          <w:instrText xml:space="preserve"> PAGEREF _Toc197472222 \h </w:instrText>
        </w:r>
        <w:r>
          <w:rPr>
            <w:noProof/>
            <w:webHidden/>
          </w:rPr>
        </w:r>
        <w:r>
          <w:rPr>
            <w:noProof/>
            <w:webHidden/>
          </w:rPr>
          <w:fldChar w:fldCharType="separate"/>
        </w:r>
        <w:r>
          <w:rPr>
            <w:noProof/>
            <w:webHidden/>
          </w:rPr>
          <w:t>53</w:t>
        </w:r>
        <w:r>
          <w:rPr>
            <w:noProof/>
            <w:webHidden/>
          </w:rPr>
          <w:fldChar w:fldCharType="end"/>
        </w:r>
      </w:hyperlink>
    </w:p>
    <w:p w14:paraId="3C0C54D1" w14:textId="2F18FC1E"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23" w:history="1">
        <w:r w:rsidRPr="008B3ACC">
          <w:rPr>
            <w:rStyle w:val="Hyperlink"/>
            <w:rFonts w:eastAsia="Calibri" w:cs="Calibri"/>
            <w:noProof/>
          </w:rPr>
          <w:t>Tabela 38. Sasitë e MM të gjeneruara nga ISh primare</w:t>
        </w:r>
        <w:r>
          <w:rPr>
            <w:noProof/>
            <w:webHidden/>
          </w:rPr>
          <w:tab/>
        </w:r>
        <w:r>
          <w:rPr>
            <w:noProof/>
            <w:webHidden/>
          </w:rPr>
          <w:fldChar w:fldCharType="begin"/>
        </w:r>
        <w:r>
          <w:rPr>
            <w:noProof/>
            <w:webHidden/>
          </w:rPr>
          <w:instrText xml:space="preserve"> PAGEREF _Toc197472223 \h </w:instrText>
        </w:r>
        <w:r>
          <w:rPr>
            <w:noProof/>
            <w:webHidden/>
          </w:rPr>
        </w:r>
        <w:r>
          <w:rPr>
            <w:noProof/>
            <w:webHidden/>
          </w:rPr>
          <w:fldChar w:fldCharType="separate"/>
        </w:r>
        <w:r>
          <w:rPr>
            <w:noProof/>
            <w:webHidden/>
          </w:rPr>
          <w:t>53</w:t>
        </w:r>
        <w:r>
          <w:rPr>
            <w:noProof/>
            <w:webHidden/>
          </w:rPr>
          <w:fldChar w:fldCharType="end"/>
        </w:r>
      </w:hyperlink>
    </w:p>
    <w:p w14:paraId="401EA93F" w14:textId="675DC6C4"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24" w:history="1">
        <w:r w:rsidRPr="008B3ACC">
          <w:rPr>
            <w:rStyle w:val="Hyperlink"/>
            <w:rFonts w:eastAsia="Calibri" w:cs="Calibri"/>
            <w:noProof/>
          </w:rPr>
          <w:t>Tabela 39. Sasitë e mbeturinave të trajtuara, 2015-2021, kg</w:t>
        </w:r>
        <w:r>
          <w:rPr>
            <w:noProof/>
            <w:webHidden/>
          </w:rPr>
          <w:tab/>
        </w:r>
        <w:r>
          <w:rPr>
            <w:noProof/>
            <w:webHidden/>
          </w:rPr>
          <w:fldChar w:fldCharType="begin"/>
        </w:r>
        <w:r>
          <w:rPr>
            <w:noProof/>
            <w:webHidden/>
          </w:rPr>
          <w:instrText xml:space="preserve"> PAGEREF _Toc197472224 \h </w:instrText>
        </w:r>
        <w:r>
          <w:rPr>
            <w:noProof/>
            <w:webHidden/>
          </w:rPr>
        </w:r>
        <w:r>
          <w:rPr>
            <w:noProof/>
            <w:webHidden/>
          </w:rPr>
          <w:fldChar w:fldCharType="separate"/>
        </w:r>
        <w:r>
          <w:rPr>
            <w:noProof/>
            <w:webHidden/>
          </w:rPr>
          <w:t>53</w:t>
        </w:r>
        <w:r>
          <w:rPr>
            <w:noProof/>
            <w:webHidden/>
          </w:rPr>
          <w:fldChar w:fldCharType="end"/>
        </w:r>
      </w:hyperlink>
    </w:p>
    <w:p w14:paraId="734FAF20" w14:textId="272E924D"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25" w:history="1">
        <w:r w:rsidRPr="008B3ACC">
          <w:rPr>
            <w:rStyle w:val="Hyperlink"/>
            <w:rFonts w:eastAsia="Calibri" w:cs="Calibri"/>
            <w:noProof/>
          </w:rPr>
          <w:t>Tabela 40. Aktivitete dhe fushata ndërgjegjësimi në lidhje me menaxhimin e mbeturinave në rajonin e Dukagjinit</w:t>
        </w:r>
        <w:r>
          <w:rPr>
            <w:noProof/>
            <w:webHidden/>
          </w:rPr>
          <w:tab/>
        </w:r>
        <w:r>
          <w:rPr>
            <w:noProof/>
            <w:webHidden/>
          </w:rPr>
          <w:fldChar w:fldCharType="begin"/>
        </w:r>
        <w:r>
          <w:rPr>
            <w:noProof/>
            <w:webHidden/>
          </w:rPr>
          <w:instrText xml:space="preserve"> PAGEREF _Toc197472225 \h </w:instrText>
        </w:r>
        <w:r>
          <w:rPr>
            <w:noProof/>
            <w:webHidden/>
          </w:rPr>
        </w:r>
        <w:r>
          <w:rPr>
            <w:noProof/>
            <w:webHidden/>
          </w:rPr>
          <w:fldChar w:fldCharType="separate"/>
        </w:r>
        <w:r>
          <w:rPr>
            <w:noProof/>
            <w:webHidden/>
          </w:rPr>
          <w:t>54</w:t>
        </w:r>
        <w:r>
          <w:rPr>
            <w:noProof/>
            <w:webHidden/>
          </w:rPr>
          <w:fldChar w:fldCharType="end"/>
        </w:r>
      </w:hyperlink>
    </w:p>
    <w:p w14:paraId="52FE4547" w14:textId="1A57E20A"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26" w:history="1">
        <w:r w:rsidRPr="008B3ACC">
          <w:rPr>
            <w:rStyle w:val="Hyperlink"/>
            <w:rFonts w:eastAsia="Calibri" w:cs="Calibri"/>
            <w:noProof/>
          </w:rPr>
          <w:t>Tabela 41. Analiza e mangësive të situatës ekzistuese për menaxhimin e mbeturinave</w:t>
        </w:r>
        <w:r>
          <w:rPr>
            <w:noProof/>
            <w:webHidden/>
          </w:rPr>
          <w:tab/>
        </w:r>
        <w:r>
          <w:rPr>
            <w:noProof/>
            <w:webHidden/>
          </w:rPr>
          <w:fldChar w:fldCharType="begin"/>
        </w:r>
        <w:r>
          <w:rPr>
            <w:noProof/>
            <w:webHidden/>
          </w:rPr>
          <w:instrText xml:space="preserve"> PAGEREF _Toc197472226 \h </w:instrText>
        </w:r>
        <w:r>
          <w:rPr>
            <w:noProof/>
            <w:webHidden/>
          </w:rPr>
        </w:r>
        <w:r>
          <w:rPr>
            <w:noProof/>
            <w:webHidden/>
          </w:rPr>
          <w:fldChar w:fldCharType="separate"/>
        </w:r>
        <w:r>
          <w:rPr>
            <w:noProof/>
            <w:webHidden/>
          </w:rPr>
          <w:t>55</w:t>
        </w:r>
        <w:r>
          <w:rPr>
            <w:noProof/>
            <w:webHidden/>
          </w:rPr>
          <w:fldChar w:fldCharType="end"/>
        </w:r>
      </w:hyperlink>
    </w:p>
    <w:p w14:paraId="7FB488EF" w14:textId="6C4CBF1E"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27" w:history="1">
        <w:r w:rsidRPr="008B3ACC">
          <w:rPr>
            <w:rStyle w:val="Hyperlink"/>
            <w:rFonts w:eastAsia="Calibri" w:cs="Calibri"/>
            <w:noProof/>
          </w:rPr>
          <w:t>Tabela 42. Objektivat dhe synimet për sistemin rajonal</w:t>
        </w:r>
        <w:r>
          <w:rPr>
            <w:noProof/>
            <w:webHidden/>
          </w:rPr>
          <w:tab/>
        </w:r>
        <w:r>
          <w:rPr>
            <w:noProof/>
            <w:webHidden/>
          </w:rPr>
          <w:fldChar w:fldCharType="begin"/>
        </w:r>
        <w:r>
          <w:rPr>
            <w:noProof/>
            <w:webHidden/>
          </w:rPr>
          <w:instrText xml:space="preserve"> PAGEREF _Toc197472227 \h </w:instrText>
        </w:r>
        <w:r>
          <w:rPr>
            <w:noProof/>
            <w:webHidden/>
          </w:rPr>
        </w:r>
        <w:r>
          <w:rPr>
            <w:noProof/>
            <w:webHidden/>
          </w:rPr>
          <w:fldChar w:fldCharType="separate"/>
        </w:r>
        <w:r>
          <w:rPr>
            <w:noProof/>
            <w:webHidden/>
          </w:rPr>
          <w:t>56</w:t>
        </w:r>
        <w:r>
          <w:rPr>
            <w:noProof/>
            <w:webHidden/>
          </w:rPr>
          <w:fldChar w:fldCharType="end"/>
        </w:r>
      </w:hyperlink>
    </w:p>
    <w:p w14:paraId="4BF6385A" w14:textId="1A7EB87E"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28" w:history="1">
        <w:r w:rsidRPr="008B3ACC">
          <w:rPr>
            <w:rStyle w:val="Hyperlink"/>
            <w:rFonts w:eastAsia="Calibri" w:cs="Calibri"/>
            <w:noProof/>
          </w:rPr>
          <w:t>Tabela 43. Krahasimi i sistemeve të ndryshme të para-grumbullimit</w:t>
        </w:r>
        <w:r>
          <w:rPr>
            <w:noProof/>
            <w:webHidden/>
          </w:rPr>
          <w:tab/>
        </w:r>
        <w:r>
          <w:rPr>
            <w:noProof/>
            <w:webHidden/>
          </w:rPr>
          <w:fldChar w:fldCharType="begin"/>
        </w:r>
        <w:r>
          <w:rPr>
            <w:noProof/>
            <w:webHidden/>
          </w:rPr>
          <w:instrText xml:space="preserve"> PAGEREF _Toc197472228 \h </w:instrText>
        </w:r>
        <w:r>
          <w:rPr>
            <w:noProof/>
            <w:webHidden/>
          </w:rPr>
        </w:r>
        <w:r>
          <w:rPr>
            <w:noProof/>
            <w:webHidden/>
          </w:rPr>
          <w:fldChar w:fldCharType="separate"/>
        </w:r>
        <w:r>
          <w:rPr>
            <w:noProof/>
            <w:webHidden/>
          </w:rPr>
          <w:t>63</w:t>
        </w:r>
        <w:r>
          <w:rPr>
            <w:noProof/>
            <w:webHidden/>
          </w:rPr>
          <w:fldChar w:fldCharType="end"/>
        </w:r>
      </w:hyperlink>
    </w:p>
    <w:p w14:paraId="3FDCB487" w14:textId="50DB7F1A"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29" w:history="1">
        <w:r w:rsidRPr="008B3ACC">
          <w:rPr>
            <w:rStyle w:val="Hyperlink"/>
            <w:rFonts w:eastAsia="Calibri" w:cs="Calibri"/>
            <w:noProof/>
            <w:lang w:val="en-GB"/>
          </w:rPr>
          <w:t>Tabela 44. Kostot për njësi për kontejnerët dhe automjetet për grumbullimin e mbeturinave</w:t>
        </w:r>
        <w:r>
          <w:rPr>
            <w:noProof/>
            <w:webHidden/>
          </w:rPr>
          <w:tab/>
        </w:r>
        <w:r>
          <w:rPr>
            <w:noProof/>
            <w:webHidden/>
          </w:rPr>
          <w:fldChar w:fldCharType="begin"/>
        </w:r>
        <w:r>
          <w:rPr>
            <w:noProof/>
            <w:webHidden/>
          </w:rPr>
          <w:instrText xml:space="preserve"> PAGEREF _Toc197472229 \h </w:instrText>
        </w:r>
        <w:r>
          <w:rPr>
            <w:noProof/>
            <w:webHidden/>
          </w:rPr>
        </w:r>
        <w:r>
          <w:rPr>
            <w:noProof/>
            <w:webHidden/>
          </w:rPr>
          <w:fldChar w:fldCharType="separate"/>
        </w:r>
        <w:r>
          <w:rPr>
            <w:noProof/>
            <w:webHidden/>
          </w:rPr>
          <w:t>70</w:t>
        </w:r>
        <w:r>
          <w:rPr>
            <w:noProof/>
            <w:webHidden/>
          </w:rPr>
          <w:fldChar w:fldCharType="end"/>
        </w:r>
      </w:hyperlink>
    </w:p>
    <w:p w14:paraId="11068519" w14:textId="693706FF"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30" w:history="1">
        <w:r w:rsidRPr="008B3ACC">
          <w:rPr>
            <w:rStyle w:val="Hyperlink"/>
            <w:rFonts w:eastAsia="Calibri" w:cs="Calibri"/>
            <w:noProof/>
            <w:lang w:val="en-GB"/>
          </w:rPr>
          <w:t>Tabela 45. Numri i nevojshëm i kontejnerëve dhe automjeteve grumbulluese</w:t>
        </w:r>
        <w:r>
          <w:rPr>
            <w:noProof/>
            <w:webHidden/>
          </w:rPr>
          <w:tab/>
        </w:r>
        <w:r>
          <w:rPr>
            <w:noProof/>
            <w:webHidden/>
          </w:rPr>
          <w:fldChar w:fldCharType="begin"/>
        </w:r>
        <w:r>
          <w:rPr>
            <w:noProof/>
            <w:webHidden/>
          </w:rPr>
          <w:instrText xml:space="preserve"> PAGEREF _Toc197472230 \h </w:instrText>
        </w:r>
        <w:r>
          <w:rPr>
            <w:noProof/>
            <w:webHidden/>
          </w:rPr>
        </w:r>
        <w:r>
          <w:rPr>
            <w:noProof/>
            <w:webHidden/>
          </w:rPr>
          <w:fldChar w:fldCharType="separate"/>
        </w:r>
        <w:r>
          <w:rPr>
            <w:noProof/>
            <w:webHidden/>
          </w:rPr>
          <w:t>71</w:t>
        </w:r>
        <w:r>
          <w:rPr>
            <w:noProof/>
            <w:webHidden/>
          </w:rPr>
          <w:fldChar w:fldCharType="end"/>
        </w:r>
      </w:hyperlink>
    </w:p>
    <w:p w14:paraId="422CD2B2" w14:textId="18CC90C5"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31" w:history="1">
        <w:r w:rsidRPr="008B3ACC">
          <w:rPr>
            <w:rStyle w:val="Hyperlink"/>
            <w:rFonts w:eastAsia="Calibri" w:cs="Calibri"/>
            <w:noProof/>
            <w:lang w:val="en-GB"/>
          </w:rPr>
          <w:t>Tabela 46. Vlerësimet e kostos për grumbullimin e mbeturinave të përziera komunale</w:t>
        </w:r>
        <w:r>
          <w:rPr>
            <w:noProof/>
            <w:webHidden/>
          </w:rPr>
          <w:tab/>
        </w:r>
        <w:r>
          <w:rPr>
            <w:noProof/>
            <w:webHidden/>
          </w:rPr>
          <w:fldChar w:fldCharType="begin"/>
        </w:r>
        <w:r>
          <w:rPr>
            <w:noProof/>
            <w:webHidden/>
          </w:rPr>
          <w:instrText xml:space="preserve"> PAGEREF _Toc197472231 \h </w:instrText>
        </w:r>
        <w:r>
          <w:rPr>
            <w:noProof/>
            <w:webHidden/>
          </w:rPr>
        </w:r>
        <w:r>
          <w:rPr>
            <w:noProof/>
            <w:webHidden/>
          </w:rPr>
          <w:fldChar w:fldCharType="separate"/>
        </w:r>
        <w:r>
          <w:rPr>
            <w:noProof/>
            <w:webHidden/>
          </w:rPr>
          <w:t>71</w:t>
        </w:r>
        <w:r>
          <w:rPr>
            <w:noProof/>
            <w:webHidden/>
          </w:rPr>
          <w:fldChar w:fldCharType="end"/>
        </w:r>
      </w:hyperlink>
    </w:p>
    <w:p w14:paraId="4C9BBC7F" w14:textId="76A46BE5"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32" w:history="1">
        <w:r w:rsidRPr="008B3ACC">
          <w:rPr>
            <w:rStyle w:val="Hyperlink"/>
            <w:rFonts w:eastAsia="Calibri" w:cs="Calibri"/>
            <w:noProof/>
            <w:lang w:val="en-GB"/>
          </w:rPr>
          <w:t>Tabela 47. Krahasimi i alternativave për transferimin e mbeturinave</w:t>
        </w:r>
        <w:r>
          <w:rPr>
            <w:noProof/>
            <w:webHidden/>
          </w:rPr>
          <w:tab/>
        </w:r>
        <w:r>
          <w:rPr>
            <w:noProof/>
            <w:webHidden/>
          </w:rPr>
          <w:fldChar w:fldCharType="begin"/>
        </w:r>
        <w:r>
          <w:rPr>
            <w:noProof/>
            <w:webHidden/>
          </w:rPr>
          <w:instrText xml:space="preserve"> PAGEREF _Toc197472232 \h </w:instrText>
        </w:r>
        <w:r>
          <w:rPr>
            <w:noProof/>
            <w:webHidden/>
          </w:rPr>
        </w:r>
        <w:r>
          <w:rPr>
            <w:noProof/>
            <w:webHidden/>
          </w:rPr>
          <w:fldChar w:fldCharType="separate"/>
        </w:r>
        <w:r>
          <w:rPr>
            <w:noProof/>
            <w:webHidden/>
          </w:rPr>
          <w:t>74</w:t>
        </w:r>
        <w:r>
          <w:rPr>
            <w:noProof/>
            <w:webHidden/>
          </w:rPr>
          <w:fldChar w:fldCharType="end"/>
        </w:r>
      </w:hyperlink>
    </w:p>
    <w:p w14:paraId="0D9B3912" w14:textId="3318176E"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33" w:history="1">
        <w:r w:rsidRPr="008B3ACC">
          <w:rPr>
            <w:rStyle w:val="Hyperlink"/>
            <w:rFonts w:eastAsia="Calibri" w:cs="Calibri"/>
            <w:noProof/>
            <w:lang w:val="en-GB"/>
          </w:rPr>
          <w:t xml:space="preserve">Tabela 48. Krahasimi i kostove të zbritura për njësi për grumbullimin dhe transferimin e mbeturinave për ton të mbeturinave të gjeneruara, </w:t>
        </w:r>
        <w:r w:rsidRPr="008B3ACC">
          <w:rPr>
            <w:rStyle w:val="Hyperlink"/>
            <w:rFonts w:ascii="Calibri" w:eastAsia="Calibri" w:hAnsi="Calibri" w:cs="Calibri"/>
            <w:noProof/>
            <w:lang w:val="en-GB"/>
          </w:rPr>
          <w:t xml:space="preserve">€ </w:t>
        </w:r>
        <w:r w:rsidRPr="008B3ACC">
          <w:rPr>
            <w:rStyle w:val="Hyperlink"/>
            <w:rFonts w:eastAsia="Calibri" w:cs="Calibri"/>
            <w:noProof/>
            <w:lang w:val="en-GB"/>
          </w:rPr>
          <w:t>/ton</w:t>
        </w:r>
        <w:r>
          <w:rPr>
            <w:noProof/>
            <w:webHidden/>
          </w:rPr>
          <w:tab/>
        </w:r>
        <w:r>
          <w:rPr>
            <w:noProof/>
            <w:webHidden/>
          </w:rPr>
          <w:fldChar w:fldCharType="begin"/>
        </w:r>
        <w:r>
          <w:rPr>
            <w:noProof/>
            <w:webHidden/>
          </w:rPr>
          <w:instrText xml:space="preserve"> PAGEREF _Toc197472233 \h </w:instrText>
        </w:r>
        <w:r>
          <w:rPr>
            <w:noProof/>
            <w:webHidden/>
          </w:rPr>
        </w:r>
        <w:r>
          <w:rPr>
            <w:noProof/>
            <w:webHidden/>
          </w:rPr>
          <w:fldChar w:fldCharType="separate"/>
        </w:r>
        <w:r>
          <w:rPr>
            <w:noProof/>
            <w:webHidden/>
          </w:rPr>
          <w:t>75</w:t>
        </w:r>
        <w:r>
          <w:rPr>
            <w:noProof/>
            <w:webHidden/>
          </w:rPr>
          <w:fldChar w:fldCharType="end"/>
        </w:r>
      </w:hyperlink>
    </w:p>
    <w:p w14:paraId="16E90E5B" w14:textId="15BDD51D"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34" w:history="1">
        <w:r w:rsidRPr="008B3ACC">
          <w:rPr>
            <w:rStyle w:val="Hyperlink"/>
            <w:rFonts w:eastAsia="Calibri" w:cs="Calibri"/>
            <w:noProof/>
            <w:lang w:val="en-GB"/>
          </w:rPr>
          <w:t>Tabela 49. Normat e supozuara të arritjes për fraksione të ndryshme të mbeturinave të riciklueshme</w:t>
        </w:r>
        <w:r>
          <w:rPr>
            <w:noProof/>
            <w:webHidden/>
          </w:rPr>
          <w:tab/>
        </w:r>
        <w:r>
          <w:rPr>
            <w:noProof/>
            <w:webHidden/>
          </w:rPr>
          <w:fldChar w:fldCharType="begin"/>
        </w:r>
        <w:r>
          <w:rPr>
            <w:noProof/>
            <w:webHidden/>
          </w:rPr>
          <w:instrText xml:space="preserve"> PAGEREF _Toc197472234 \h </w:instrText>
        </w:r>
        <w:r>
          <w:rPr>
            <w:noProof/>
            <w:webHidden/>
          </w:rPr>
        </w:r>
        <w:r>
          <w:rPr>
            <w:noProof/>
            <w:webHidden/>
          </w:rPr>
          <w:fldChar w:fldCharType="separate"/>
        </w:r>
        <w:r>
          <w:rPr>
            <w:noProof/>
            <w:webHidden/>
          </w:rPr>
          <w:t>78</w:t>
        </w:r>
        <w:r>
          <w:rPr>
            <w:noProof/>
            <w:webHidden/>
          </w:rPr>
          <w:fldChar w:fldCharType="end"/>
        </w:r>
      </w:hyperlink>
    </w:p>
    <w:p w14:paraId="05D86FFC" w14:textId="4E5A9D95"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35" w:history="1">
        <w:r w:rsidRPr="008B3ACC">
          <w:rPr>
            <w:rStyle w:val="Hyperlink"/>
            <w:rFonts w:eastAsia="Calibri" w:cs="Calibri"/>
            <w:noProof/>
            <w:lang w:val="en-GB"/>
          </w:rPr>
          <w:t>Tabela 50. Krahasimi i alternativave për grumbullimin bdaras të mbeturinave të riciklueshme</w:t>
        </w:r>
        <w:r>
          <w:rPr>
            <w:noProof/>
            <w:webHidden/>
          </w:rPr>
          <w:tab/>
        </w:r>
        <w:r>
          <w:rPr>
            <w:noProof/>
            <w:webHidden/>
          </w:rPr>
          <w:fldChar w:fldCharType="begin"/>
        </w:r>
        <w:r>
          <w:rPr>
            <w:noProof/>
            <w:webHidden/>
          </w:rPr>
          <w:instrText xml:space="preserve"> PAGEREF _Toc197472235 \h </w:instrText>
        </w:r>
        <w:r>
          <w:rPr>
            <w:noProof/>
            <w:webHidden/>
          </w:rPr>
        </w:r>
        <w:r>
          <w:rPr>
            <w:noProof/>
            <w:webHidden/>
          </w:rPr>
          <w:fldChar w:fldCharType="separate"/>
        </w:r>
        <w:r>
          <w:rPr>
            <w:noProof/>
            <w:webHidden/>
          </w:rPr>
          <w:t>80</w:t>
        </w:r>
        <w:r>
          <w:rPr>
            <w:noProof/>
            <w:webHidden/>
          </w:rPr>
          <w:fldChar w:fldCharType="end"/>
        </w:r>
      </w:hyperlink>
    </w:p>
    <w:p w14:paraId="5B4CCF7E" w14:textId="6E768C5A"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36" w:history="1">
        <w:r w:rsidRPr="008B3ACC">
          <w:rPr>
            <w:rStyle w:val="Hyperlink"/>
            <w:rFonts w:eastAsia="Calibri" w:cs="Calibri"/>
            <w:noProof/>
            <w:lang w:val="en-GB"/>
          </w:rPr>
          <w:t>Tabela 51. Avantazhet dhe disavantazhet e alternativave të klasifikimit</w:t>
        </w:r>
        <w:r>
          <w:rPr>
            <w:noProof/>
            <w:webHidden/>
          </w:rPr>
          <w:tab/>
        </w:r>
        <w:r>
          <w:rPr>
            <w:noProof/>
            <w:webHidden/>
          </w:rPr>
          <w:fldChar w:fldCharType="begin"/>
        </w:r>
        <w:r>
          <w:rPr>
            <w:noProof/>
            <w:webHidden/>
          </w:rPr>
          <w:instrText xml:space="preserve"> PAGEREF _Toc197472236 \h </w:instrText>
        </w:r>
        <w:r>
          <w:rPr>
            <w:noProof/>
            <w:webHidden/>
          </w:rPr>
        </w:r>
        <w:r>
          <w:rPr>
            <w:noProof/>
            <w:webHidden/>
          </w:rPr>
          <w:fldChar w:fldCharType="separate"/>
        </w:r>
        <w:r>
          <w:rPr>
            <w:noProof/>
            <w:webHidden/>
          </w:rPr>
          <w:t>82</w:t>
        </w:r>
        <w:r>
          <w:rPr>
            <w:noProof/>
            <w:webHidden/>
          </w:rPr>
          <w:fldChar w:fldCharType="end"/>
        </w:r>
      </w:hyperlink>
    </w:p>
    <w:p w14:paraId="2CC0F06A" w14:textId="5A186C28"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37" w:history="1">
        <w:r w:rsidRPr="008B3ACC">
          <w:rPr>
            <w:rStyle w:val="Hyperlink"/>
            <w:rFonts w:eastAsia="Calibri" w:cs="Calibri"/>
            <w:noProof/>
            <w:lang w:val="en-GB"/>
          </w:rPr>
          <w:t>Tabela 52. Çmimet e supozuara të tregut për mbeturinat e artikujve të riciklueshëm</w:t>
        </w:r>
        <w:r>
          <w:rPr>
            <w:noProof/>
            <w:webHidden/>
          </w:rPr>
          <w:tab/>
        </w:r>
        <w:r>
          <w:rPr>
            <w:noProof/>
            <w:webHidden/>
          </w:rPr>
          <w:fldChar w:fldCharType="begin"/>
        </w:r>
        <w:r>
          <w:rPr>
            <w:noProof/>
            <w:webHidden/>
          </w:rPr>
          <w:instrText xml:space="preserve"> PAGEREF _Toc197472237 \h </w:instrText>
        </w:r>
        <w:r>
          <w:rPr>
            <w:noProof/>
            <w:webHidden/>
          </w:rPr>
        </w:r>
        <w:r>
          <w:rPr>
            <w:noProof/>
            <w:webHidden/>
          </w:rPr>
          <w:fldChar w:fldCharType="separate"/>
        </w:r>
        <w:r>
          <w:rPr>
            <w:noProof/>
            <w:webHidden/>
          </w:rPr>
          <w:t>83</w:t>
        </w:r>
        <w:r>
          <w:rPr>
            <w:noProof/>
            <w:webHidden/>
          </w:rPr>
          <w:fldChar w:fldCharType="end"/>
        </w:r>
      </w:hyperlink>
    </w:p>
    <w:p w14:paraId="00D3CB9B" w14:textId="2DF378EF"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38" w:history="1">
        <w:r w:rsidRPr="008B3ACC">
          <w:rPr>
            <w:rStyle w:val="Hyperlink"/>
            <w:rFonts w:eastAsia="Calibri" w:cs="Calibri"/>
            <w:noProof/>
            <w:lang w:val="en-GB"/>
          </w:rPr>
          <w:t>Tabela 53. Vlerësimet e kostos për alternativa të ndryshme për klasifikimin e mbeturinave të riciklueshme të grumbulluara ndaras</w:t>
        </w:r>
        <w:r>
          <w:rPr>
            <w:noProof/>
            <w:webHidden/>
          </w:rPr>
          <w:tab/>
        </w:r>
        <w:r>
          <w:rPr>
            <w:noProof/>
            <w:webHidden/>
          </w:rPr>
          <w:fldChar w:fldCharType="begin"/>
        </w:r>
        <w:r>
          <w:rPr>
            <w:noProof/>
            <w:webHidden/>
          </w:rPr>
          <w:instrText xml:space="preserve"> PAGEREF _Toc197472238 \h </w:instrText>
        </w:r>
        <w:r>
          <w:rPr>
            <w:noProof/>
            <w:webHidden/>
          </w:rPr>
        </w:r>
        <w:r>
          <w:rPr>
            <w:noProof/>
            <w:webHidden/>
          </w:rPr>
          <w:fldChar w:fldCharType="separate"/>
        </w:r>
        <w:r>
          <w:rPr>
            <w:noProof/>
            <w:webHidden/>
          </w:rPr>
          <w:t>84</w:t>
        </w:r>
        <w:r>
          <w:rPr>
            <w:noProof/>
            <w:webHidden/>
          </w:rPr>
          <w:fldChar w:fldCharType="end"/>
        </w:r>
      </w:hyperlink>
    </w:p>
    <w:p w14:paraId="5836BC85" w14:textId="2A003DB8"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39" w:history="1">
        <w:r w:rsidRPr="008B3ACC">
          <w:rPr>
            <w:rStyle w:val="Hyperlink"/>
            <w:rFonts w:eastAsia="Calibri" w:cs="Calibri"/>
            <w:noProof/>
            <w:lang w:val="en-GB"/>
          </w:rPr>
          <w:t>Tabela 54. Teknologjitë e shndërrimit të mbeturinave në energji</w:t>
        </w:r>
        <w:r>
          <w:rPr>
            <w:noProof/>
            <w:webHidden/>
          </w:rPr>
          <w:tab/>
        </w:r>
        <w:r>
          <w:rPr>
            <w:noProof/>
            <w:webHidden/>
          </w:rPr>
          <w:fldChar w:fldCharType="begin"/>
        </w:r>
        <w:r>
          <w:rPr>
            <w:noProof/>
            <w:webHidden/>
          </w:rPr>
          <w:instrText xml:space="preserve"> PAGEREF _Toc197472239 \h </w:instrText>
        </w:r>
        <w:r>
          <w:rPr>
            <w:noProof/>
            <w:webHidden/>
          </w:rPr>
        </w:r>
        <w:r>
          <w:rPr>
            <w:noProof/>
            <w:webHidden/>
          </w:rPr>
          <w:fldChar w:fldCharType="separate"/>
        </w:r>
        <w:r>
          <w:rPr>
            <w:noProof/>
            <w:webHidden/>
          </w:rPr>
          <w:t>84</w:t>
        </w:r>
        <w:r>
          <w:rPr>
            <w:noProof/>
            <w:webHidden/>
          </w:rPr>
          <w:fldChar w:fldCharType="end"/>
        </w:r>
      </w:hyperlink>
    </w:p>
    <w:p w14:paraId="46EB1189" w14:textId="0FE99D8C"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40" w:history="1">
        <w:r w:rsidRPr="008B3ACC">
          <w:rPr>
            <w:rStyle w:val="Hyperlink"/>
            <w:rFonts w:eastAsia="Calibri" w:cs="Calibri"/>
            <w:noProof/>
            <w:lang w:val="en-GB"/>
          </w:rPr>
          <w:t>Tabela 55. Vlerësimet e kostos së investimit TMB</w:t>
        </w:r>
        <w:r>
          <w:rPr>
            <w:noProof/>
            <w:webHidden/>
          </w:rPr>
          <w:tab/>
        </w:r>
        <w:r>
          <w:rPr>
            <w:noProof/>
            <w:webHidden/>
          </w:rPr>
          <w:fldChar w:fldCharType="begin"/>
        </w:r>
        <w:r>
          <w:rPr>
            <w:noProof/>
            <w:webHidden/>
          </w:rPr>
          <w:instrText xml:space="preserve"> PAGEREF _Toc197472240 \h </w:instrText>
        </w:r>
        <w:r>
          <w:rPr>
            <w:noProof/>
            <w:webHidden/>
          </w:rPr>
        </w:r>
        <w:r>
          <w:rPr>
            <w:noProof/>
            <w:webHidden/>
          </w:rPr>
          <w:fldChar w:fldCharType="separate"/>
        </w:r>
        <w:r>
          <w:rPr>
            <w:noProof/>
            <w:webHidden/>
          </w:rPr>
          <w:t>87</w:t>
        </w:r>
        <w:r>
          <w:rPr>
            <w:noProof/>
            <w:webHidden/>
          </w:rPr>
          <w:fldChar w:fldCharType="end"/>
        </w:r>
      </w:hyperlink>
    </w:p>
    <w:p w14:paraId="430C8432" w14:textId="0E1D94AE"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41" w:history="1">
        <w:r w:rsidRPr="008B3ACC">
          <w:rPr>
            <w:rStyle w:val="Hyperlink"/>
            <w:rFonts w:eastAsia="Calibri" w:cs="Calibri"/>
            <w:noProof/>
            <w:lang w:val="en-GB"/>
          </w:rPr>
          <w:t>Tabela 56. Vlerësimet e kostove operacionale të instalimit të TMB</w:t>
        </w:r>
        <w:r>
          <w:rPr>
            <w:noProof/>
            <w:webHidden/>
          </w:rPr>
          <w:tab/>
        </w:r>
        <w:r>
          <w:rPr>
            <w:noProof/>
            <w:webHidden/>
          </w:rPr>
          <w:fldChar w:fldCharType="begin"/>
        </w:r>
        <w:r>
          <w:rPr>
            <w:noProof/>
            <w:webHidden/>
          </w:rPr>
          <w:instrText xml:space="preserve"> PAGEREF _Toc197472241 \h </w:instrText>
        </w:r>
        <w:r>
          <w:rPr>
            <w:noProof/>
            <w:webHidden/>
          </w:rPr>
        </w:r>
        <w:r>
          <w:rPr>
            <w:noProof/>
            <w:webHidden/>
          </w:rPr>
          <w:fldChar w:fldCharType="separate"/>
        </w:r>
        <w:r>
          <w:rPr>
            <w:noProof/>
            <w:webHidden/>
          </w:rPr>
          <w:t>87</w:t>
        </w:r>
        <w:r>
          <w:rPr>
            <w:noProof/>
            <w:webHidden/>
          </w:rPr>
          <w:fldChar w:fldCharType="end"/>
        </w:r>
      </w:hyperlink>
    </w:p>
    <w:p w14:paraId="52383A52" w14:textId="7E6A006D"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42" w:history="1">
        <w:r w:rsidRPr="008B3ACC">
          <w:rPr>
            <w:rStyle w:val="Hyperlink"/>
            <w:rFonts w:eastAsia="Calibri" w:cs="Calibri"/>
            <w:noProof/>
            <w:lang w:val="en-GB"/>
          </w:rPr>
          <w:t>Tabela 57. Krahasimi i skemave të ndryshme të grumbullimit të mbeturinave të kopshtit</w:t>
        </w:r>
        <w:r>
          <w:rPr>
            <w:noProof/>
            <w:webHidden/>
          </w:rPr>
          <w:tab/>
        </w:r>
        <w:r>
          <w:rPr>
            <w:noProof/>
            <w:webHidden/>
          </w:rPr>
          <w:fldChar w:fldCharType="begin"/>
        </w:r>
        <w:r>
          <w:rPr>
            <w:noProof/>
            <w:webHidden/>
          </w:rPr>
          <w:instrText xml:space="preserve"> PAGEREF _Toc197472242 \h </w:instrText>
        </w:r>
        <w:r>
          <w:rPr>
            <w:noProof/>
            <w:webHidden/>
          </w:rPr>
        </w:r>
        <w:r>
          <w:rPr>
            <w:noProof/>
            <w:webHidden/>
          </w:rPr>
          <w:fldChar w:fldCharType="separate"/>
        </w:r>
        <w:r>
          <w:rPr>
            <w:noProof/>
            <w:webHidden/>
          </w:rPr>
          <w:t>89</w:t>
        </w:r>
        <w:r>
          <w:rPr>
            <w:noProof/>
            <w:webHidden/>
          </w:rPr>
          <w:fldChar w:fldCharType="end"/>
        </w:r>
      </w:hyperlink>
    </w:p>
    <w:p w14:paraId="5222328E" w14:textId="0DA19373"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43" w:history="1">
        <w:r w:rsidRPr="008B3ACC">
          <w:rPr>
            <w:rStyle w:val="Hyperlink"/>
            <w:rFonts w:eastAsia="Calibri" w:cs="Calibri"/>
            <w:noProof/>
            <w:lang w:val="en-GB"/>
          </w:rPr>
          <w:t>Tabela 58. Karakteristikat kryesore dhe vlerësimet e kostove nëpër për kompostimin e mbeturinave të gjelbra në shtresa</w:t>
        </w:r>
        <w:r>
          <w:rPr>
            <w:noProof/>
            <w:webHidden/>
          </w:rPr>
          <w:tab/>
        </w:r>
        <w:r>
          <w:rPr>
            <w:noProof/>
            <w:webHidden/>
          </w:rPr>
          <w:fldChar w:fldCharType="begin"/>
        </w:r>
        <w:r>
          <w:rPr>
            <w:noProof/>
            <w:webHidden/>
          </w:rPr>
          <w:instrText xml:space="preserve"> PAGEREF _Toc197472243 \h </w:instrText>
        </w:r>
        <w:r>
          <w:rPr>
            <w:noProof/>
            <w:webHidden/>
          </w:rPr>
        </w:r>
        <w:r>
          <w:rPr>
            <w:noProof/>
            <w:webHidden/>
          </w:rPr>
          <w:fldChar w:fldCharType="separate"/>
        </w:r>
        <w:r>
          <w:rPr>
            <w:noProof/>
            <w:webHidden/>
          </w:rPr>
          <w:t>91</w:t>
        </w:r>
        <w:r>
          <w:rPr>
            <w:noProof/>
            <w:webHidden/>
          </w:rPr>
          <w:fldChar w:fldCharType="end"/>
        </w:r>
      </w:hyperlink>
    </w:p>
    <w:p w14:paraId="04FA5877" w14:textId="265224A2"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44" w:history="1">
        <w:r w:rsidRPr="008B3ACC">
          <w:rPr>
            <w:rStyle w:val="Hyperlink"/>
            <w:rFonts w:eastAsia="Calibri" w:cs="Calibri"/>
            <w:noProof/>
            <w:lang w:val="en-GB"/>
          </w:rPr>
          <w:t>Tabela 59. Krahasimi i kostos së alternativave për trajtimin e mbeturinave ushqimore të mbledhura ndaras</w:t>
        </w:r>
        <w:r>
          <w:rPr>
            <w:noProof/>
            <w:webHidden/>
          </w:rPr>
          <w:tab/>
        </w:r>
        <w:r>
          <w:rPr>
            <w:noProof/>
            <w:webHidden/>
          </w:rPr>
          <w:fldChar w:fldCharType="begin"/>
        </w:r>
        <w:r>
          <w:rPr>
            <w:noProof/>
            <w:webHidden/>
          </w:rPr>
          <w:instrText xml:space="preserve"> PAGEREF _Toc197472244 \h </w:instrText>
        </w:r>
        <w:r>
          <w:rPr>
            <w:noProof/>
            <w:webHidden/>
          </w:rPr>
        </w:r>
        <w:r>
          <w:rPr>
            <w:noProof/>
            <w:webHidden/>
          </w:rPr>
          <w:fldChar w:fldCharType="separate"/>
        </w:r>
        <w:r>
          <w:rPr>
            <w:noProof/>
            <w:webHidden/>
          </w:rPr>
          <w:t>92</w:t>
        </w:r>
        <w:r>
          <w:rPr>
            <w:noProof/>
            <w:webHidden/>
          </w:rPr>
          <w:fldChar w:fldCharType="end"/>
        </w:r>
      </w:hyperlink>
    </w:p>
    <w:p w14:paraId="13208FC5" w14:textId="23B81C63"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45" w:history="1">
        <w:r w:rsidRPr="008B3ACC">
          <w:rPr>
            <w:rStyle w:val="Hyperlink"/>
            <w:rFonts w:eastAsia="Calibri" w:cs="Calibri"/>
            <w:noProof/>
            <w:lang w:val="en-GB"/>
          </w:rPr>
          <w:t>Tabela 60. Vlerësimet e kostove të investimeve në deponi</w:t>
        </w:r>
        <w:r>
          <w:rPr>
            <w:noProof/>
            <w:webHidden/>
          </w:rPr>
          <w:tab/>
        </w:r>
        <w:r>
          <w:rPr>
            <w:noProof/>
            <w:webHidden/>
          </w:rPr>
          <w:fldChar w:fldCharType="begin"/>
        </w:r>
        <w:r>
          <w:rPr>
            <w:noProof/>
            <w:webHidden/>
          </w:rPr>
          <w:instrText xml:space="preserve"> PAGEREF _Toc197472245 \h </w:instrText>
        </w:r>
        <w:r>
          <w:rPr>
            <w:noProof/>
            <w:webHidden/>
          </w:rPr>
        </w:r>
        <w:r>
          <w:rPr>
            <w:noProof/>
            <w:webHidden/>
          </w:rPr>
          <w:fldChar w:fldCharType="separate"/>
        </w:r>
        <w:r>
          <w:rPr>
            <w:noProof/>
            <w:webHidden/>
          </w:rPr>
          <w:t>94</w:t>
        </w:r>
        <w:r>
          <w:rPr>
            <w:noProof/>
            <w:webHidden/>
          </w:rPr>
          <w:fldChar w:fldCharType="end"/>
        </w:r>
      </w:hyperlink>
    </w:p>
    <w:p w14:paraId="6338376E" w14:textId="649F3C4C"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46" w:history="1">
        <w:r w:rsidRPr="008B3ACC">
          <w:rPr>
            <w:rStyle w:val="Hyperlink"/>
            <w:rFonts w:eastAsia="Calibri" w:cs="Calibri"/>
            <w:noProof/>
            <w:lang w:val="en-GB"/>
          </w:rPr>
          <w:t>Tabela 61. Dispozitat për mbylljen e deponive ilegale, në EUR</w:t>
        </w:r>
        <w:r>
          <w:rPr>
            <w:noProof/>
            <w:webHidden/>
          </w:rPr>
          <w:tab/>
        </w:r>
        <w:r>
          <w:rPr>
            <w:noProof/>
            <w:webHidden/>
          </w:rPr>
          <w:fldChar w:fldCharType="begin"/>
        </w:r>
        <w:r>
          <w:rPr>
            <w:noProof/>
            <w:webHidden/>
          </w:rPr>
          <w:instrText xml:space="preserve"> PAGEREF _Toc197472246 \h </w:instrText>
        </w:r>
        <w:r>
          <w:rPr>
            <w:noProof/>
            <w:webHidden/>
          </w:rPr>
        </w:r>
        <w:r>
          <w:rPr>
            <w:noProof/>
            <w:webHidden/>
          </w:rPr>
          <w:fldChar w:fldCharType="separate"/>
        </w:r>
        <w:r>
          <w:rPr>
            <w:noProof/>
            <w:webHidden/>
          </w:rPr>
          <w:t>94</w:t>
        </w:r>
        <w:r>
          <w:rPr>
            <w:noProof/>
            <w:webHidden/>
          </w:rPr>
          <w:fldChar w:fldCharType="end"/>
        </w:r>
      </w:hyperlink>
    </w:p>
    <w:p w14:paraId="7EB36002" w14:textId="56C7D375"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47" w:history="1">
        <w:r w:rsidRPr="008B3ACC">
          <w:rPr>
            <w:rStyle w:val="Hyperlink"/>
            <w:rFonts w:eastAsia="Calibri" w:cs="Calibri"/>
            <w:noProof/>
            <w:lang w:val="en-GB"/>
          </w:rPr>
          <w:t>Tabela 62. Opsionet për sistemin e integruar të menaxhimit të mbeturinave komunale</w:t>
        </w:r>
        <w:r>
          <w:rPr>
            <w:noProof/>
            <w:webHidden/>
          </w:rPr>
          <w:tab/>
        </w:r>
        <w:r>
          <w:rPr>
            <w:noProof/>
            <w:webHidden/>
          </w:rPr>
          <w:fldChar w:fldCharType="begin"/>
        </w:r>
        <w:r>
          <w:rPr>
            <w:noProof/>
            <w:webHidden/>
          </w:rPr>
          <w:instrText xml:space="preserve"> PAGEREF _Toc197472247 \h </w:instrText>
        </w:r>
        <w:r>
          <w:rPr>
            <w:noProof/>
            <w:webHidden/>
          </w:rPr>
        </w:r>
        <w:r>
          <w:rPr>
            <w:noProof/>
            <w:webHidden/>
          </w:rPr>
          <w:fldChar w:fldCharType="separate"/>
        </w:r>
        <w:r>
          <w:rPr>
            <w:noProof/>
            <w:webHidden/>
          </w:rPr>
          <w:t>95</w:t>
        </w:r>
        <w:r>
          <w:rPr>
            <w:noProof/>
            <w:webHidden/>
          </w:rPr>
          <w:fldChar w:fldCharType="end"/>
        </w:r>
      </w:hyperlink>
    </w:p>
    <w:p w14:paraId="42771FE4" w14:textId="1B3BF357"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48" w:history="1">
        <w:r w:rsidRPr="008B3ACC">
          <w:rPr>
            <w:rStyle w:val="Hyperlink"/>
            <w:rFonts w:eastAsia="Calibri" w:cs="Calibri"/>
            <w:noProof/>
            <w:lang w:val="en-GB"/>
          </w:rPr>
          <w:t xml:space="preserve">Tabela 63. Vlera aktuale e kostove të investimit për skenarë të ndryshëm, mijë </w:t>
        </w:r>
        <w:r w:rsidRPr="008B3ACC">
          <w:rPr>
            <w:rStyle w:val="Hyperlink"/>
            <w:rFonts w:ascii="Calibri" w:eastAsia="Calibri" w:hAnsi="Calibri" w:cs="Calibri"/>
            <w:noProof/>
            <w:lang w:val="en-GB"/>
          </w:rPr>
          <w:t>€</w:t>
        </w:r>
        <w:r>
          <w:rPr>
            <w:noProof/>
            <w:webHidden/>
          </w:rPr>
          <w:tab/>
        </w:r>
        <w:r>
          <w:rPr>
            <w:noProof/>
            <w:webHidden/>
          </w:rPr>
          <w:fldChar w:fldCharType="begin"/>
        </w:r>
        <w:r>
          <w:rPr>
            <w:noProof/>
            <w:webHidden/>
          </w:rPr>
          <w:instrText xml:space="preserve"> PAGEREF _Toc197472248 \h </w:instrText>
        </w:r>
        <w:r>
          <w:rPr>
            <w:noProof/>
            <w:webHidden/>
          </w:rPr>
        </w:r>
        <w:r>
          <w:rPr>
            <w:noProof/>
            <w:webHidden/>
          </w:rPr>
          <w:fldChar w:fldCharType="separate"/>
        </w:r>
        <w:r>
          <w:rPr>
            <w:noProof/>
            <w:webHidden/>
          </w:rPr>
          <w:t>96</w:t>
        </w:r>
        <w:r>
          <w:rPr>
            <w:noProof/>
            <w:webHidden/>
          </w:rPr>
          <w:fldChar w:fldCharType="end"/>
        </w:r>
      </w:hyperlink>
    </w:p>
    <w:p w14:paraId="6F0F4EB5" w14:textId="10BA0F1F"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49" w:history="1">
        <w:r w:rsidRPr="008B3ACC">
          <w:rPr>
            <w:rStyle w:val="Hyperlink"/>
            <w:rFonts w:eastAsia="Calibri" w:cs="Calibri"/>
            <w:noProof/>
            <w:lang w:val="en-GB"/>
          </w:rPr>
          <w:t>Tabela 64. Kostot operative në vitin 2035 për skenarë të ndryshëm, mijë €</w:t>
        </w:r>
        <w:r>
          <w:rPr>
            <w:noProof/>
            <w:webHidden/>
          </w:rPr>
          <w:tab/>
        </w:r>
        <w:r>
          <w:rPr>
            <w:noProof/>
            <w:webHidden/>
          </w:rPr>
          <w:fldChar w:fldCharType="begin"/>
        </w:r>
        <w:r>
          <w:rPr>
            <w:noProof/>
            <w:webHidden/>
          </w:rPr>
          <w:instrText xml:space="preserve"> PAGEREF _Toc197472249 \h </w:instrText>
        </w:r>
        <w:r>
          <w:rPr>
            <w:noProof/>
            <w:webHidden/>
          </w:rPr>
        </w:r>
        <w:r>
          <w:rPr>
            <w:noProof/>
            <w:webHidden/>
          </w:rPr>
          <w:fldChar w:fldCharType="separate"/>
        </w:r>
        <w:r>
          <w:rPr>
            <w:noProof/>
            <w:webHidden/>
          </w:rPr>
          <w:t>97</w:t>
        </w:r>
        <w:r>
          <w:rPr>
            <w:noProof/>
            <w:webHidden/>
          </w:rPr>
          <w:fldChar w:fldCharType="end"/>
        </w:r>
      </w:hyperlink>
    </w:p>
    <w:p w14:paraId="394B70A3" w14:textId="17EA27FB"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50" w:history="1">
        <w:r w:rsidRPr="008B3ACC">
          <w:rPr>
            <w:rStyle w:val="Hyperlink"/>
            <w:rFonts w:eastAsia="Calibri" w:cs="Calibri"/>
            <w:noProof/>
            <w:lang w:val="en-GB"/>
          </w:rPr>
          <w:t>Tabela 65. Krahasimi i kostove të zbritura për njësi për ton mbeturinash të gjeneruara, për opsionet e ndryshme</w:t>
        </w:r>
        <w:r>
          <w:rPr>
            <w:noProof/>
            <w:webHidden/>
          </w:rPr>
          <w:tab/>
        </w:r>
        <w:r>
          <w:rPr>
            <w:noProof/>
            <w:webHidden/>
          </w:rPr>
          <w:fldChar w:fldCharType="begin"/>
        </w:r>
        <w:r>
          <w:rPr>
            <w:noProof/>
            <w:webHidden/>
          </w:rPr>
          <w:instrText xml:space="preserve"> PAGEREF _Toc197472250 \h </w:instrText>
        </w:r>
        <w:r>
          <w:rPr>
            <w:noProof/>
            <w:webHidden/>
          </w:rPr>
        </w:r>
        <w:r>
          <w:rPr>
            <w:noProof/>
            <w:webHidden/>
          </w:rPr>
          <w:fldChar w:fldCharType="separate"/>
        </w:r>
        <w:r>
          <w:rPr>
            <w:noProof/>
            <w:webHidden/>
          </w:rPr>
          <w:t>97</w:t>
        </w:r>
        <w:r>
          <w:rPr>
            <w:noProof/>
            <w:webHidden/>
          </w:rPr>
          <w:fldChar w:fldCharType="end"/>
        </w:r>
      </w:hyperlink>
    </w:p>
    <w:p w14:paraId="1E2CF2DC" w14:textId="4D7D0A0C"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51" w:history="1">
        <w:r w:rsidRPr="008B3ACC">
          <w:rPr>
            <w:rStyle w:val="Hyperlink"/>
            <w:rFonts w:eastAsia="Calibri" w:cs="Calibri"/>
            <w:noProof/>
            <w:lang w:val="en-GB"/>
          </w:rPr>
          <w:t>Tabela 66. Sasitë e MNRr-ve në Rajonin e Dukagjinit</w:t>
        </w:r>
        <w:r>
          <w:rPr>
            <w:noProof/>
            <w:webHidden/>
          </w:rPr>
          <w:tab/>
        </w:r>
        <w:r>
          <w:rPr>
            <w:noProof/>
            <w:webHidden/>
          </w:rPr>
          <w:fldChar w:fldCharType="begin"/>
        </w:r>
        <w:r>
          <w:rPr>
            <w:noProof/>
            <w:webHidden/>
          </w:rPr>
          <w:instrText xml:space="preserve"> PAGEREF _Toc197472251 \h </w:instrText>
        </w:r>
        <w:r>
          <w:rPr>
            <w:noProof/>
            <w:webHidden/>
          </w:rPr>
        </w:r>
        <w:r>
          <w:rPr>
            <w:noProof/>
            <w:webHidden/>
          </w:rPr>
          <w:fldChar w:fldCharType="separate"/>
        </w:r>
        <w:r>
          <w:rPr>
            <w:noProof/>
            <w:webHidden/>
          </w:rPr>
          <w:t>99</w:t>
        </w:r>
        <w:r>
          <w:rPr>
            <w:noProof/>
            <w:webHidden/>
          </w:rPr>
          <w:fldChar w:fldCharType="end"/>
        </w:r>
      </w:hyperlink>
    </w:p>
    <w:p w14:paraId="3D6DAD00" w14:textId="2194913A"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52" w:history="1">
        <w:r w:rsidRPr="008B3ACC">
          <w:rPr>
            <w:rStyle w:val="Hyperlink"/>
            <w:rFonts w:eastAsia="Calibri" w:cs="Calibri"/>
            <w:noProof/>
            <w:lang w:val="en-GB"/>
          </w:rPr>
          <w:t>Tabela 67. Pajisjet për grumbullim dhe transport të MNRr-ve</w:t>
        </w:r>
        <w:r>
          <w:rPr>
            <w:noProof/>
            <w:webHidden/>
          </w:rPr>
          <w:tab/>
        </w:r>
        <w:r>
          <w:rPr>
            <w:noProof/>
            <w:webHidden/>
          </w:rPr>
          <w:fldChar w:fldCharType="begin"/>
        </w:r>
        <w:r>
          <w:rPr>
            <w:noProof/>
            <w:webHidden/>
          </w:rPr>
          <w:instrText xml:space="preserve"> PAGEREF _Toc197472252 \h </w:instrText>
        </w:r>
        <w:r>
          <w:rPr>
            <w:noProof/>
            <w:webHidden/>
          </w:rPr>
        </w:r>
        <w:r>
          <w:rPr>
            <w:noProof/>
            <w:webHidden/>
          </w:rPr>
          <w:fldChar w:fldCharType="separate"/>
        </w:r>
        <w:r>
          <w:rPr>
            <w:noProof/>
            <w:webHidden/>
          </w:rPr>
          <w:t>100</w:t>
        </w:r>
        <w:r>
          <w:rPr>
            <w:noProof/>
            <w:webHidden/>
          </w:rPr>
          <w:fldChar w:fldCharType="end"/>
        </w:r>
      </w:hyperlink>
    </w:p>
    <w:p w14:paraId="3392B2FD" w14:textId="00696540"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53" w:history="1">
        <w:r w:rsidRPr="008B3ACC">
          <w:rPr>
            <w:rStyle w:val="Hyperlink"/>
            <w:rFonts w:eastAsia="Calibri" w:cs="Calibri"/>
            <w:noProof/>
            <w:lang w:val="en-GB"/>
          </w:rPr>
          <w:t>Tabela 68. Rrjeti i pikave të hedhjes</w:t>
        </w:r>
        <w:r>
          <w:rPr>
            <w:noProof/>
            <w:webHidden/>
          </w:rPr>
          <w:tab/>
        </w:r>
        <w:r>
          <w:rPr>
            <w:noProof/>
            <w:webHidden/>
          </w:rPr>
          <w:fldChar w:fldCharType="begin"/>
        </w:r>
        <w:r>
          <w:rPr>
            <w:noProof/>
            <w:webHidden/>
          </w:rPr>
          <w:instrText xml:space="preserve"> PAGEREF _Toc197472253 \h </w:instrText>
        </w:r>
        <w:r>
          <w:rPr>
            <w:noProof/>
            <w:webHidden/>
          </w:rPr>
        </w:r>
        <w:r>
          <w:rPr>
            <w:noProof/>
            <w:webHidden/>
          </w:rPr>
          <w:fldChar w:fldCharType="separate"/>
        </w:r>
        <w:r>
          <w:rPr>
            <w:noProof/>
            <w:webHidden/>
          </w:rPr>
          <w:t>100</w:t>
        </w:r>
        <w:r>
          <w:rPr>
            <w:noProof/>
            <w:webHidden/>
          </w:rPr>
          <w:fldChar w:fldCharType="end"/>
        </w:r>
      </w:hyperlink>
    </w:p>
    <w:p w14:paraId="1DE97385" w14:textId="39B5A870"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54" w:history="1">
        <w:r w:rsidRPr="008B3ACC">
          <w:rPr>
            <w:rStyle w:val="Hyperlink"/>
            <w:rFonts w:eastAsia="Calibri" w:cs="Calibri"/>
            <w:noProof/>
            <w:lang w:val="en-GB"/>
          </w:rPr>
          <w:t>Tabela 69. Kostot e investimit për menaxhimin e MNRr-ve</w:t>
        </w:r>
        <w:r>
          <w:rPr>
            <w:noProof/>
            <w:webHidden/>
          </w:rPr>
          <w:tab/>
        </w:r>
        <w:r>
          <w:rPr>
            <w:noProof/>
            <w:webHidden/>
          </w:rPr>
          <w:fldChar w:fldCharType="begin"/>
        </w:r>
        <w:r>
          <w:rPr>
            <w:noProof/>
            <w:webHidden/>
          </w:rPr>
          <w:instrText xml:space="preserve"> PAGEREF _Toc197472254 \h </w:instrText>
        </w:r>
        <w:r>
          <w:rPr>
            <w:noProof/>
            <w:webHidden/>
          </w:rPr>
        </w:r>
        <w:r>
          <w:rPr>
            <w:noProof/>
            <w:webHidden/>
          </w:rPr>
          <w:fldChar w:fldCharType="separate"/>
        </w:r>
        <w:r>
          <w:rPr>
            <w:noProof/>
            <w:webHidden/>
          </w:rPr>
          <w:t>101</w:t>
        </w:r>
        <w:r>
          <w:rPr>
            <w:noProof/>
            <w:webHidden/>
          </w:rPr>
          <w:fldChar w:fldCharType="end"/>
        </w:r>
      </w:hyperlink>
    </w:p>
    <w:p w14:paraId="20018677" w14:textId="0E8BBC85"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55" w:history="1">
        <w:r w:rsidRPr="008B3ACC">
          <w:rPr>
            <w:rStyle w:val="Hyperlink"/>
            <w:rFonts w:eastAsia="Calibri" w:cs="Calibri"/>
            <w:noProof/>
            <w:lang w:val="en-GB"/>
          </w:rPr>
          <w:t>Tabela 70. Avantazhet dhe disavantazhet e opsioneve për grumbullimin e mbeturinave</w:t>
        </w:r>
        <w:r>
          <w:rPr>
            <w:noProof/>
            <w:webHidden/>
          </w:rPr>
          <w:tab/>
        </w:r>
        <w:r>
          <w:rPr>
            <w:noProof/>
            <w:webHidden/>
          </w:rPr>
          <w:fldChar w:fldCharType="begin"/>
        </w:r>
        <w:r>
          <w:rPr>
            <w:noProof/>
            <w:webHidden/>
          </w:rPr>
          <w:instrText xml:space="preserve"> PAGEREF _Toc197472255 \h </w:instrText>
        </w:r>
        <w:r>
          <w:rPr>
            <w:noProof/>
            <w:webHidden/>
          </w:rPr>
        </w:r>
        <w:r>
          <w:rPr>
            <w:noProof/>
            <w:webHidden/>
          </w:rPr>
          <w:fldChar w:fldCharType="separate"/>
        </w:r>
        <w:r>
          <w:rPr>
            <w:noProof/>
            <w:webHidden/>
          </w:rPr>
          <w:t>105</w:t>
        </w:r>
        <w:r>
          <w:rPr>
            <w:noProof/>
            <w:webHidden/>
          </w:rPr>
          <w:fldChar w:fldCharType="end"/>
        </w:r>
      </w:hyperlink>
    </w:p>
    <w:p w14:paraId="75905234" w14:textId="647D7E7F"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56" w:history="1">
        <w:r w:rsidRPr="008B3ACC">
          <w:rPr>
            <w:rStyle w:val="Hyperlink"/>
            <w:rFonts w:eastAsia="Calibri" w:cs="Calibri"/>
            <w:noProof/>
            <w:lang w:val="en-GB"/>
          </w:rPr>
          <w:t>Tabela 71. Avantazhet dhe disavantazhet e opsioneve për transferimin e mbeturinave</w:t>
        </w:r>
        <w:r>
          <w:rPr>
            <w:noProof/>
            <w:webHidden/>
          </w:rPr>
          <w:tab/>
        </w:r>
        <w:r>
          <w:rPr>
            <w:noProof/>
            <w:webHidden/>
          </w:rPr>
          <w:fldChar w:fldCharType="begin"/>
        </w:r>
        <w:r>
          <w:rPr>
            <w:noProof/>
            <w:webHidden/>
          </w:rPr>
          <w:instrText xml:space="preserve"> PAGEREF _Toc197472256 \h </w:instrText>
        </w:r>
        <w:r>
          <w:rPr>
            <w:noProof/>
            <w:webHidden/>
          </w:rPr>
        </w:r>
        <w:r>
          <w:rPr>
            <w:noProof/>
            <w:webHidden/>
          </w:rPr>
          <w:fldChar w:fldCharType="separate"/>
        </w:r>
        <w:r>
          <w:rPr>
            <w:noProof/>
            <w:webHidden/>
          </w:rPr>
          <w:t>106</w:t>
        </w:r>
        <w:r>
          <w:rPr>
            <w:noProof/>
            <w:webHidden/>
          </w:rPr>
          <w:fldChar w:fldCharType="end"/>
        </w:r>
      </w:hyperlink>
    </w:p>
    <w:p w14:paraId="3CAE7FF7" w14:textId="291EBC4C"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57" w:history="1">
        <w:r w:rsidRPr="008B3ACC">
          <w:rPr>
            <w:rStyle w:val="Hyperlink"/>
            <w:rFonts w:eastAsia="Calibri" w:cs="Calibri"/>
            <w:noProof/>
            <w:lang w:val="en-GB"/>
          </w:rPr>
          <w:t>Tabela 72. Avantazhet dhe disavantazhet e opsioneve për kompostimin e mbeturinave të gjelbra të grumbulluara ndaras</w:t>
        </w:r>
        <w:r>
          <w:rPr>
            <w:noProof/>
            <w:webHidden/>
          </w:rPr>
          <w:tab/>
        </w:r>
        <w:r>
          <w:rPr>
            <w:noProof/>
            <w:webHidden/>
          </w:rPr>
          <w:fldChar w:fldCharType="begin"/>
        </w:r>
        <w:r>
          <w:rPr>
            <w:noProof/>
            <w:webHidden/>
          </w:rPr>
          <w:instrText xml:space="preserve"> PAGEREF _Toc197472257 \h </w:instrText>
        </w:r>
        <w:r>
          <w:rPr>
            <w:noProof/>
            <w:webHidden/>
          </w:rPr>
        </w:r>
        <w:r>
          <w:rPr>
            <w:noProof/>
            <w:webHidden/>
          </w:rPr>
          <w:fldChar w:fldCharType="separate"/>
        </w:r>
        <w:r>
          <w:rPr>
            <w:noProof/>
            <w:webHidden/>
          </w:rPr>
          <w:t>107</w:t>
        </w:r>
        <w:r>
          <w:rPr>
            <w:noProof/>
            <w:webHidden/>
          </w:rPr>
          <w:fldChar w:fldCharType="end"/>
        </w:r>
      </w:hyperlink>
    </w:p>
    <w:p w14:paraId="0D6FEFF0" w14:textId="424554BD"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58" w:history="1">
        <w:r w:rsidRPr="008B3ACC">
          <w:rPr>
            <w:rStyle w:val="Hyperlink"/>
            <w:rFonts w:eastAsia="Calibri" w:cs="Calibri"/>
            <w:noProof/>
            <w:lang w:val="en-GB"/>
          </w:rPr>
          <w:t>Tabela 73. Avantazhet dhe disavantazhet e opsioneve për rikuperimin e mbeturinave</w:t>
        </w:r>
        <w:r>
          <w:rPr>
            <w:noProof/>
            <w:webHidden/>
          </w:rPr>
          <w:tab/>
        </w:r>
        <w:r>
          <w:rPr>
            <w:noProof/>
            <w:webHidden/>
          </w:rPr>
          <w:fldChar w:fldCharType="begin"/>
        </w:r>
        <w:r>
          <w:rPr>
            <w:noProof/>
            <w:webHidden/>
          </w:rPr>
          <w:instrText xml:space="preserve"> PAGEREF _Toc197472258 \h </w:instrText>
        </w:r>
        <w:r>
          <w:rPr>
            <w:noProof/>
            <w:webHidden/>
          </w:rPr>
        </w:r>
        <w:r>
          <w:rPr>
            <w:noProof/>
            <w:webHidden/>
          </w:rPr>
          <w:fldChar w:fldCharType="separate"/>
        </w:r>
        <w:r>
          <w:rPr>
            <w:noProof/>
            <w:webHidden/>
          </w:rPr>
          <w:t>108</w:t>
        </w:r>
        <w:r>
          <w:rPr>
            <w:noProof/>
            <w:webHidden/>
          </w:rPr>
          <w:fldChar w:fldCharType="end"/>
        </w:r>
      </w:hyperlink>
    </w:p>
    <w:p w14:paraId="1A548F6D" w14:textId="4056E038"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59" w:history="1">
        <w:r w:rsidRPr="008B3ACC">
          <w:rPr>
            <w:rStyle w:val="Hyperlink"/>
            <w:rFonts w:eastAsia="Calibri" w:cs="Calibri"/>
            <w:noProof/>
            <w:lang w:val="en-GB"/>
          </w:rPr>
          <w:t>Tabela 74. Shpenzimet mesatare vjetore të familjeve, 2022</w:t>
        </w:r>
        <w:r>
          <w:rPr>
            <w:noProof/>
            <w:webHidden/>
          </w:rPr>
          <w:tab/>
        </w:r>
        <w:r>
          <w:rPr>
            <w:noProof/>
            <w:webHidden/>
          </w:rPr>
          <w:fldChar w:fldCharType="begin"/>
        </w:r>
        <w:r>
          <w:rPr>
            <w:noProof/>
            <w:webHidden/>
          </w:rPr>
          <w:instrText xml:space="preserve"> PAGEREF _Toc197472259 \h </w:instrText>
        </w:r>
        <w:r>
          <w:rPr>
            <w:noProof/>
            <w:webHidden/>
          </w:rPr>
        </w:r>
        <w:r>
          <w:rPr>
            <w:noProof/>
            <w:webHidden/>
          </w:rPr>
          <w:fldChar w:fldCharType="separate"/>
        </w:r>
        <w:r>
          <w:rPr>
            <w:noProof/>
            <w:webHidden/>
          </w:rPr>
          <w:t>109</w:t>
        </w:r>
        <w:r>
          <w:rPr>
            <w:noProof/>
            <w:webHidden/>
          </w:rPr>
          <w:fldChar w:fldCharType="end"/>
        </w:r>
      </w:hyperlink>
    </w:p>
    <w:p w14:paraId="390EF5C8" w14:textId="0310F9D5"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60" w:history="1">
        <w:r w:rsidRPr="008B3ACC">
          <w:rPr>
            <w:rStyle w:val="Hyperlink"/>
            <w:rFonts w:eastAsia="Calibri" w:cs="Calibri"/>
            <w:noProof/>
            <w:lang w:val="en-GB"/>
          </w:rPr>
          <w:t>Tabela 75. Parashikimi i përballueshmërisë së tarifave të mbeturinave, çmimet e vitit 2024</w:t>
        </w:r>
        <w:r>
          <w:rPr>
            <w:noProof/>
            <w:webHidden/>
          </w:rPr>
          <w:tab/>
        </w:r>
        <w:r>
          <w:rPr>
            <w:noProof/>
            <w:webHidden/>
          </w:rPr>
          <w:fldChar w:fldCharType="begin"/>
        </w:r>
        <w:r>
          <w:rPr>
            <w:noProof/>
            <w:webHidden/>
          </w:rPr>
          <w:instrText xml:space="preserve"> PAGEREF _Toc197472260 \h </w:instrText>
        </w:r>
        <w:r>
          <w:rPr>
            <w:noProof/>
            <w:webHidden/>
          </w:rPr>
        </w:r>
        <w:r>
          <w:rPr>
            <w:noProof/>
            <w:webHidden/>
          </w:rPr>
          <w:fldChar w:fldCharType="separate"/>
        </w:r>
        <w:r>
          <w:rPr>
            <w:noProof/>
            <w:webHidden/>
          </w:rPr>
          <w:t>110</w:t>
        </w:r>
        <w:r>
          <w:rPr>
            <w:noProof/>
            <w:webHidden/>
          </w:rPr>
          <w:fldChar w:fldCharType="end"/>
        </w:r>
      </w:hyperlink>
    </w:p>
    <w:p w14:paraId="0DF7C171" w14:textId="29ACC818"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61" w:history="1">
        <w:r w:rsidRPr="008B3ACC">
          <w:rPr>
            <w:rStyle w:val="Hyperlink"/>
            <w:rFonts w:eastAsia="Calibri" w:cs="Calibri"/>
            <w:noProof/>
            <w:lang w:val="en-GB"/>
          </w:rPr>
          <w:t>Tabela 76. Tarifa e kostos mesatare të rikuperimit drejt vitit 2035, çmimet e vitit 2024</w:t>
        </w:r>
        <w:r>
          <w:rPr>
            <w:noProof/>
            <w:webHidden/>
          </w:rPr>
          <w:tab/>
        </w:r>
        <w:r>
          <w:rPr>
            <w:noProof/>
            <w:webHidden/>
          </w:rPr>
          <w:fldChar w:fldCharType="begin"/>
        </w:r>
        <w:r>
          <w:rPr>
            <w:noProof/>
            <w:webHidden/>
          </w:rPr>
          <w:instrText xml:space="preserve"> PAGEREF _Toc197472261 \h </w:instrText>
        </w:r>
        <w:r>
          <w:rPr>
            <w:noProof/>
            <w:webHidden/>
          </w:rPr>
        </w:r>
        <w:r>
          <w:rPr>
            <w:noProof/>
            <w:webHidden/>
          </w:rPr>
          <w:fldChar w:fldCharType="separate"/>
        </w:r>
        <w:r>
          <w:rPr>
            <w:noProof/>
            <w:webHidden/>
          </w:rPr>
          <w:t>110</w:t>
        </w:r>
        <w:r>
          <w:rPr>
            <w:noProof/>
            <w:webHidden/>
          </w:rPr>
          <w:fldChar w:fldCharType="end"/>
        </w:r>
      </w:hyperlink>
    </w:p>
    <w:p w14:paraId="74C4BFF9" w14:textId="3F1627A6"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62" w:history="1">
        <w:r w:rsidRPr="008B3ACC">
          <w:rPr>
            <w:rStyle w:val="Hyperlink"/>
            <w:rFonts w:eastAsia="Calibri" w:cs="Calibri"/>
            <w:noProof/>
            <w:lang w:val="en-GB"/>
          </w:rPr>
          <w:t>Tabela 77. 2022, Pagesa aktuale për person</w:t>
        </w:r>
        <w:r>
          <w:rPr>
            <w:noProof/>
            <w:webHidden/>
          </w:rPr>
          <w:tab/>
        </w:r>
        <w:r>
          <w:rPr>
            <w:noProof/>
            <w:webHidden/>
          </w:rPr>
          <w:fldChar w:fldCharType="begin"/>
        </w:r>
        <w:r>
          <w:rPr>
            <w:noProof/>
            <w:webHidden/>
          </w:rPr>
          <w:instrText xml:space="preserve"> PAGEREF _Toc197472262 \h </w:instrText>
        </w:r>
        <w:r>
          <w:rPr>
            <w:noProof/>
            <w:webHidden/>
          </w:rPr>
        </w:r>
        <w:r>
          <w:rPr>
            <w:noProof/>
            <w:webHidden/>
          </w:rPr>
          <w:fldChar w:fldCharType="separate"/>
        </w:r>
        <w:r>
          <w:rPr>
            <w:noProof/>
            <w:webHidden/>
          </w:rPr>
          <w:t>111</w:t>
        </w:r>
        <w:r>
          <w:rPr>
            <w:noProof/>
            <w:webHidden/>
          </w:rPr>
          <w:fldChar w:fldCharType="end"/>
        </w:r>
      </w:hyperlink>
    </w:p>
    <w:p w14:paraId="3B05AEF1" w14:textId="54237675"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63" w:history="1">
        <w:r w:rsidRPr="008B3ACC">
          <w:rPr>
            <w:rStyle w:val="Hyperlink"/>
            <w:rFonts w:eastAsia="Calibri" w:cs="Calibri"/>
            <w:noProof/>
            <w:lang w:val="en-GB"/>
          </w:rPr>
          <w:t>Tabela 78. Tarifa e rikuperimit të kostos për mbeturinat e përziera, sipas komunave drejt vitit 2034</w:t>
        </w:r>
        <w:r>
          <w:rPr>
            <w:noProof/>
            <w:webHidden/>
          </w:rPr>
          <w:tab/>
        </w:r>
        <w:r>
          <w:rPr>
            <w:noProof/>
            <w:webHidden/>
          </w:rPr>
          <w:fldChar w:fldCharType="begin"/>
        </w:r>
        <w:r>
          <w:rPr>
            <w:noProof/>
            <w:webHidden/>
          </w:rPr>
          <w:instrText xml:space="preserve"> PAGEREF _Toc197472263 \h </w:instrText>
        </w:r>
        <w:r>
          <w:rPr>
            <w:noProof/>
            <w:webHidden/>
          </w:rPr>
        </w:r>
        <w:r>
          <w:rPr>
            <w:noProof/>
            <w:webHidden/>
          </w:rPr>
          <w:fldChar w:fldCharType="separate"/>
        </w:r>
        <w:r>
          <w:rPr>
            <w:noProof/>
            <w:webHidden/>
          </w:rPr>
          <w:t>111</w:t>
        </w:r>
        <w:r>
          <w:rPr>
            <w:noProof/>
            <w:webHidden/>
          </w:rPr>
          <w:fldChar w:fldCharType="end"/>
        </w:r>
      </w:hyperlink>
    </w:p>
    <w:p w14:paraId="64151436" w14:textId="2DF555A8"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64" w:history="1">
        <w:r w:rsidRPr="008B3ACC">
          <w:rPr>
            <w:rStyle w:val="Hyperlink"/>
            <w:rFonts w:eastAsia="Calibri" w:cs="Calibri"/>
            <w:noProof/>
            <w:lang w:val="en-GB"/>
          </w:rPr>
          <w:t xml:space="preserve">Tabela 79. </w:t>
        </w:r>
        <w:r w:rsidRPr="008B3ACC">
          <w:rPr>
            <w:rStyle w:val="Hyperlink"/>
            <w:rFonts w:eastAsia="Calibri" w:cs="Calibri"/>
            <w:noProof/>
            <w:lang w:val="sq-AL"/>
          </w:rPr>
          <w:t xml:space="preserve"> Kostoja e rikuperimit për mbeturinat e përziera me stacion transferi me ngjeshje, 2035</w:t>
        </w:r>
        <w:r>
          <w:rPr>
            <w:noProof/>
            <w:webHidden/>
          </w:rPr>
          <w:tab/>
        </w:r>
        <w:r>
          <w:rPr>
            <w:noProof/>
            <w:webHidden/>
          </w:rPr>
          <w:fldChar w:fldCharType="begin"/>
        </w:r>
        <w:r>
          <w:rPr>
            <w:noProof/>
            <w:webHidden/>
          </w:rPr>
          <w:instrText xml:space="preserve"> PAGEREF _Toc197472264 \h </w:instrText>
        </w:r>
        <w:r>
          <w:rPr>
            <w:noProof/>
            <w:webHidden/>
          </w:rPr>
        </w:r>
        <w:r>
          <w:rPr>
            <w:noProof/>
            <w:webHidden/>
          </w:rPr>
          <w:fldChar w:fldCharType="separate"/>
        </w:r>
        <w:r>
          <w:rPr>
            <w:noProof/>
            <w:webHidden/>
          </w:rPr>
          <w:t>112</w:t>
        </w:r>
        <w:r>
          <w:rPr>
            <w:noProof/>
            <w:webHidden/>
          </w:rPr>
          <w:fldChar w:fldCharType="end"/>
        </w:r>
      </w:hyperlink>
    </w:p>
    <w:p w14:paraId="17B55275" w14:textId="2F1B4ACA"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65" w:history="1">
        <w:r w:rsidRPr="008B3ACC">
          <w:rPr>
            <w:rStyle w:val="Hyperlink"/>
            <w:rFonts w:eastAsia="Calibri" w:cs="Calibri"/>
            <w:noProof/>
            <w:lang w:val="en-GB"/>
          </w:rPr>
          <w:t xml:space="preserve">Tabela 80. </w:t>
        </w:r>
        <w:r w:rsidRPr="008B3ACC">
          <w:rPr>
            <w:rStyle w:val="Hyperlink"/>
            <w:rFonts w:eastAsia="Calibri" w:cs="Calibri"/>
            <w:noProof/>
            <w:lang w:val="sq-AL"/>
          </w:rPr>
          <w:t xml:space="preserve"> Vlerësimi i ndikimeve të mundshme tek personat e cenueshëm dhe masat specifike për integrimin gjinor dhe përfshirjen sociale</w:t>
        </w:r>
        <w:r>
          <w:rPr>
            <w:noProof/>
            <w:webHidden/>
          </w:rPr>
          <w:tab/>
        </w:r>
        <w:r>
          <w:rPr>
            <w:noProof/>
            <w:webHidden/>
          </w:rPr>
          <w:fldChar w:fldCharType="begin"/>
        </w:r>
        <w:r>
          <w:rPr>
            <w:noProof/>
            <w:webHidden/>
          </w:rPr>
          <w:instrText xml:space="preserve"> PAGEREF _Toc197472265 \h </w:instrText>
        </w:r>
        <w:r>
          <w:rPr>
            <w:noProof/>
            <w:webHidden/>
          </w:rPr>
        </w:r>
        <w:r>
          <w:rPr>
            <w:noProof/>
            <w:webHidden/>
          </w:rPr>
          <w:fldChar w:fldCharType="separate"/>
        </w:r>
        <w:r>
          <w:rPr>
            <w:noProof/>
            <w:webHidden/>
          </w:rPr>
          <w:t>113</w:t>
        </w:r>
        <w:r>
          <w:rPr>
            <w:noProof/>
            <w:webHidden/>
          </w:rPr>
          <w:fldChar w:fldCharType="end"/>
        </w:r>
      </w:hyperlink>
    </w:p>
    <w:p w14:paraId="22290921" w14:textId="32A782B8"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66" w:history="1">
        <w:r w:rsidRPr="008B3ACC">
          <w:rPr>
            <w:rStyle w:val="Hyperlink"/>
            <w:rFonts w:eastAsia="Calibri" w:cs="Calibri"/>
            <w:noProof/>
            <w:lang w:val="en-GB"/>
          </w:rPr>
          <w:t>Tabela 81. Prezantimi i sistemit të preferuar</w:t>
        </w:r>
        <w:r>
          <w:rPr>
            <w:noProof/>
            <w:webHidden/>
          </w:rPr>
          <w:tab/>
        </w:r>
        <w:r>
          <w:rPr>
            <w:noProof/>
            <w:webHidden/>
          </w:rPr>
          <w:fldChar w:fldCharType="begin"/>
        </w:r>
        <w:r>
          <w:rPr>
            <w:noProof/>
            <w:webHidden/>
          </w:rPr>
          <w:instrText xml:space="preserve"> PAGEREF _Toc197472266 \h </w:instrText>
        </w:r>
        <w:r>
          <w:rPr>
            <w:noProof/>
            <w:webHidden/>
          </w:rPr>
        </w:r>
        <w:r>
          <w:rPr>
            <w:noProof/>
            <w:webHidden/>
          </w:rPr>
          <w:fldChar w:fldCharType="separate"/>
        </w:r>
        <w:r>
          <w:rPr>
            <w:noProof/>
            <w:webHidden/>
          </w:rPr>
          <w:t>115</w:t>
        </w:r>
        <w:r>
          <w:rPr>
            <w:noProof/>
            <w:webHidden/>
          </w:rPr>
          <w:fldChar w:fldCharType="end"/>
        </w:r>
      </w:hyperlink>
    </w:p>
    <w:p w14:paraId="1B4FFA6D" w14:textId="119DE1B0"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67" w:history="1">
        <w:r w:rsidRPr="008B3ACC">
          <w:rPr>
            <w:rStyle w:val="Hyperlink"/>
            <w:rFonts w:eastAsia="Calibri" w:cs="Calibri"/>
            <w:noProof/>
            <w:lang w:val="en-GB"/>
          </w:rPr>
          <w:t xml:space="preserve">Tabela 82. Kostot e zbritura për njësi për sistemin e integruar të menaxhimit të mbeturinave për ton mbeturina të gjeneruara, </w:t>
        </w:r>
        <w:r w:rsidRPr="008B3ACC">
          <w:rPr>
            <w:rStyle w:val="Hyperlink"/>
            <w:rFonts w:ascii="Calibri" w:eastAsia="Calibri" w:hAnsi="Calibri" w:cs="Calibri"/>
            <w:noProof/>
            <w:lang w:val="en-GB"/>
          </w:rPr>
          <w:t xml:space="preserve">€ </w:t>
        </w:r>
        <w:r w:rsidRPr="008B3ACC">
          <w:rPr>
            <w:rStyle w:val="Hyperlink"/>
            <w:rFonts w:eastAsia="Calibri" w:cs="Calibri"/>
            <w:noProof/>
            <w:lang w:val="en-GB"/>
          </w:rPr>
          <w:t>/ton</w:t>
        </w:r>
        <w:r>
          <w:rPr>
            <w:noProof/>
            <w:webHidden/>
          </w:rPr>
          <w:tab/>
        </w:r>
        <w:r>
          <w:rPr>
            <w:noProof/>
            <w:webHidden/>
          </w:rPr>
          <w:fldChar w:fldCharType="begin"/>
        </w:r>
        <w:r>
          <w:rPr>
            <w:noProof/>
            <w:webHidden/>
          </w:rPr>
          <w:instrText xml:space="preserve"> PAGEREF _Toc197472267 \h </w:instrText>
        </w:r>
        <w:r>
          <w:rPr>
            <w:noProof/>
            <w:webHidden/>
          </w:rPr>
        </w:r>
        <w:r>
          <w:rPr>
            <w:noProof/>
            <w:webHidden/>
          </w:rPr>
          <w:fldChar w:fldCharType="separate"/>
        </w:r>
        <w:r>
          <w:rPr>
            <w:noProof/>
            <w:webHidden/>
          </w:rPr>
          <w:t>121</w:t>
        </w:r>
        <w:r>
          <w:rPr>
            <w:noProof/>
            <w:webHidden/>
          </w:rPr>
          <w:fldChar w:fldCharType="end"/>
        </w:r>
      </w:hyperlink>
    </w:p>
    <w:p w14:paraId="6646ED5B" w14:textId="6881C152"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68" w:history="1">
        <w:r w:rsidRPr="008B3ACC">
          <w:rPr>
            <w:rStyle w:val="Hyperlink"/>
            <w:rFonts w:eastAsia="Calibri" w:cs="Calibri"/>
            <w:noProof/>
          </w:rPr>
          <w:t>Tabela 83. Transporti dhe transferimi i mbeturinave</w:t>
        </w:r>
        <w:r>
          <w:rPr>
            <w:noProof/>
            <w:webHidden/>
          </w:rPr>
          <w:tab/>
        </w:r>
        <w:r>
          <w:rPr>
            <w:noProof/>
            <w:webHidden/>
          </w:rPr>
          <w:fldChar w:fldCharType="begin"/>
        </w:r>
        <w:r>
          <w:rPr>
            <w:noProof/>
            <w:webHidden/>
          </w:rPr>
          <w:instrText xml:space="preserve"> PAGEREF _Toc197472268 \h </w:instrText>
        </w:r>
        <w:r>
          <w:rPr>
            <w:noProof/>
            <w:webHidden/>
          </w:rPr>
        </w:r>
        <w:r>
          <w:rPr>
            <w:noProof/>
            <w:webHidden/>
          </w:rPr>
          <w:fldChar w:fldCharType="separate"/>
        </w:r>
        <w:r>
          <w:rPr>
            <w:noProof/>
            <w:webHidden/>
          </w:rPr>
          <w:t>127</w:t>
        </w:r>
        <w:r>
          <w:rPr>
            <w:noProof/>
            <w:webHidden/>
          </w:rPr>
          <w:fldChar w:fldCharType="end"/>
        </w:r>
      </w:hyperlink>
    </w:p>
    <w:p w14:paraId="4A0C9A05" w14:textId="34BDF636"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69" w:history="1">
        <w:r w:rsidRPr="008B3ACC">
          <w:rPr>
            <w:rStyle w:val="Hyperlink"/>
            <w:rFonts w:eastAsia="Calibri" w:cs="Calibri"/>
            <w:noProof/>
          </w:rPr>
          <w:t>Tabela 84. Aktivitetet për zbatimin afatmesëm dhe afatgjatë, 2028-203</w:t>
        </w:r>
        <w:r w:rsidRPr="008B3ACC">
          <w:rPr>
            <w:rStyle w:val="Hyperlink"/>
            <w:rFonts w:eastAsia="Calibri" w:cs="Calibri"/>
            <w:noProof/>
            <w:lang w:val="bg-BG"/>
          </w:rPr>
          <w:t>5</w:t>
        </w:r>
        <w:r>
          <w:rPr>
            <w:noProof/>
            <w:webHidden/>
          </w:rPr>
          <w:tab/>
        </w:r>
        <w:r>
          <w:rPr>
            <w:noProof/>
            <w:webHidden/>
          </w:rPr>
          <w:fldChar w:fldCharType="begin"/>
        </w:r>
        <w:r>
          <w:rPr>
            <w:noProof/>
            <w:webHidden/>
          </w:rPr>
          <w:instrText xml:space="preserve"> PAGEREF _Toc197472269 \h </w:instrText>
        </w:r>
        <w:r>
          <w:rPr>
            <w:noProof/>
            <w:webHidden/>
          </w:rPr>
        </w:r>
        <w:r>
          <w:rPr>
            <w:noProof/>
            <w:webHidden/>
          </w:rPr>
          <w:fldChar w:fldCharType="separate"/>
        </w:r>
        <w:r>
          <w:rPr>
            <w:noProof/>
            <w:webHidden/>
          </w:rPr>
          <w:t>137</w:t>
        </w:r>
        <w:r>
          <w:rPr>
            <w:noProof/>
            <w:webHidden/>
          </w:rPr>
          <w:fldChar w:fldCharType="end"/>
        </w:r>
      </w:hyperlink>
    </w:p>
    <w:p w14:paraId="607D831D" w14:textId="7B6E7173"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70" w:history="1">
        <w:r w:rsidRPr="008B3ACC">
          <w:rPr>
            <w:rStyle w:val="Hyperlink"/>
            <w:rFonts w:eastAsia="Calibri" w:cs="Calibri"/>
            <w:noProof/>
          </w:rPr>
          <w:t>Tabela 85. Materialet e riciklueshme të graumbulluara ndaras nga komunat, ton, 2027-2035</w:t>
        </w:r>
        <w:r>
          <w:rPr>
            <w:noProof/>
            <w:webHidden/>
          </w:rPr>
          <w:tab/>
        </w:r>
        <w:r>
          <w:rPr>
            <w:noProof/>
            <w:webHidden/>
          </w:rPr>
          <w:fldChar w:fldCharType="begin"/>
        </w:r>
        <w:r>
          <w:rPr>
            <w:noProof/>
            <w:webHidden/>
          </w:rPr>
          <w:instrText xml:space="preserve"> PAGEREF _Toc197472270 \h </w:instrText>
        </w:r>
        <w:r>
          <w:rPr>
            <w:noProof/>
            <w:webHidden/>
          </w:rPr>
        </w:r>
        <w:r>
          <w:rPr>
            <w:noProof/>
            <w:webHidden/>
          </w:rPr>
          <w:fldChar w:fldCharType="separate"/>
        </w:r>
        <w:r>
          <w:rPr>
            <w:noProof/>
            <w:webHidden/>
          </w:rPr>
          <w:t>142</w:t>
        </w:r>
        <w:r>
          <w:rPr>
            <w:noProof/>
            <w:webHidden/>
          </w:rPr>
          <w:fldChar w:fldCharType="end"/>
        </w:r>
      </w:hyperlink>
    </w:p>
    <w:p w14:paraId="4A1BCC72" w14:textId="31CC961B"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71" w:history="1">
        <w:r w:rsidRPr="008B3ACC">
          <w:rPr>
            <w:rStyle w:val="Hyperlink"/>
            <w:rFonts w:eastAsia="Calibri" w:cs="Calibri"/>
            <w:noProof/>
          </w:rPr>
          <w:t>Tabela 86. Sasitë vjetore të mbeturinave të gjelbra të grumbulluara ndaras</w:t>
        </w:r>
        <w:r>
          <w:rPr>
            <w:noProof/>
            <w:webHidden/>
          </w:rPr>
          <w:tab/>
        </w:r>
        <w:r>
          <w:rPr>
            <w:noProof/>
            <w:webHidden/>
          </w:rPr>
          <w:fldChar w:fldCharType="begin"/>
        </w:r>
        <w:r>
          <w:rPr>
            <w:noProof/>
            <w:webHidden/>
          </w:rPr>
          <w:instrText xml:space="preserve"> PAGEREF _Toc197472271 \h </w:instrText>
        </w:r>
        <w:r>
          <w:rPr>
            <w:noProof/>
            <w:webHidden/>
          </w:rPr>
        </w:r>
        <w:r>
          <w:rPr>
            <w:noProof/>
            <w:webHidden/>
          </w:rPr>
          <w:fldChar w:fldCharType="separate"/>
        </w:r>
        <w:r>
          <w:rPr>
            <w:noProof/>
            <w:webHidden/>
          </w:rPr>
          <w:t>146</w:t>
        </w:r>
        <w:r>
          <w:rPr>
            <w:noProof/>
            <w:webHidden/>
          </w:rPr>
          <w:fldChar w:fldCharType="end"/>
        </w:r>
      </w:hyperlink>
    </w:p>
    <w:p w14:paraId="277F143F" w14:textId="5787AE4E"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72" w:history="1">
        <w:r w:rsidRPr="008B3ACC">
          <w:rPr>
            <w:rStyle w:val="Hyperlink"/>
            <w:rFonts w:eastAsia="Calibri" w:cs="Calibri"/>
            <w:noProof/>
          </w:rPr>
          <w:t>Tabela 87. Kostot investimit fillestar për kompostimin e mbeturinave të gjelbra</w:t>
        </w:r>
        <w:r>
          <w:rPr>
            <w:noProof/>
            <w:webHidden/>
          </w:rPr>
          <w:tab/>
        </w:r>
        <w:r>
          <w:rPr>
            <w:noProof/>
            <w:webHidden/>
          </w:rPr>
          <w:fldChar w:fldCharType="begin"/>
        </w:r>
        <w:r>
          <w:rPr>
            <w:noProof/>
            <w:webHidden/>
          </w:rPr>
          <w:instrText xml:space="preserve"> PAGEREF _Toc197472272 \h </w:instrText>
        </w:r>
        <w:r>
          <w:rPr>
            <w:noProof/>
            <w:webHidden/>
          </w:rPr>
        </w:r>
        <w:r>
          <w:rPr>
            <w:noProof/>
            <w:webHidden/>
          </w:rPr>
          <w:fldChar w:fldCharType="separate"/>
        </w:r>
        <w:r>
          <w:rPr>
            <w:noProof/>
            <w:webHidden/>
          </w:rPr>
          <w:t>146</w:t>
        </w:r>
        <w:r>
          <w:rPr>
            <w:noProof/>
            <w:webHidden/>
          </w:rPr>
          <w:fldChar w:fldCharType="end"/>
        </w:r>
      </w:hyperlink>
    </w:p>
    <w:p w14:paraId="51387EC4" w14:textId="5D9F06D8"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73" w:history="1">
        <w:r w:rsidRPr="008B3ACC">
          <w:rPr>
            <w:rStyle w:val="Hyperlink"/>
            <w:rFonts w:eastAsia="Calibri" w:cs="Calibri"/>
            <w:noProof/>
          </w:rPr>
          <w:t>Tabela 88. Kostot e vlerësuara operacionale dhe mirëmbajtjes për kompostimin e hapur palë palë</w:t>
        </w:r>
        <w:r>
          <w:rPr>
            <w:noProof/>
            <w:webHidden/>
          </w:rPr>
          <w:tab/>
        </w:r>
        <w:r>
          <w:rPr>
            <w:noProof/>
            <w:webHidden/>
          </w:rPr>
          <w:fldChar w:fldCharType="begin"/>
        </w:r>
        <w:r>
          <w:rPr>
            <w:noProof/>
            <w:webHidden/>
          </w:rPr>
          <w:instrText xml:space="preserve"> PAGEREF _Toc197472273 \h </w:instrText>
        </w:r>
        <w:r>
          <w:rPr>
            <w:noProof/>
            <w:webHidden/>
          </w:rPr>
        </w:r>
        <w:r>
          <w:rPr>
            <w:noProof/>
            <w:webHidden/>
          </w:rPr>
          <w:fldChar w:fldCharType="separate"/>
        </w:r>
        <w:r>
          <w:rPr>
            <w:noProof/>
            <w:webHidden/>
          </w:rPr>
          <w:t>146</w:t>
        </w:r>
        <w:r>
          <w:rPr>
            <w:noProof/>
            <w:webHidden/>
          </w:rPr>
          <w:fldChar w:fldCharType="end"/>
        </w:r>
      </w:hyperlink>
    </w:p>
    <w:p w14:paraId="7F6402C9" w14:textId="7BD3B05C"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74" w:history="1">
        <w:r w:rsidRPr="008B3ACC">
          <w:rPr>
            <w:rStyle w:val="Hyperlink"/>
            <w:rFonts w:eastAsia="Calibri" w:cs="Calibri"/>
            <w:noProof/>
          </w:rPr>
          <w:t>Tabela 89. Të hyrat potenciale nga shitja e kompostit</w:t>
        </w:r>
        <w:r>
          <w:rPr>
            <w:noProof/>
            <w:webHidden/>
          </w:rPr>
          <w:tab/>
        </w:r>
        <w:r>
          <w:rPr>
            <w:noProof/>
            <w:webHidden/>
          </w:rPr>
          <w:fldChar w:fldCharType="begin"/>
        </w:r>
        <w:r>
          <w:rPr>
            <w:noProof/>
            <w:webHidden/>
          </w:rPr>
          <w:instrText xml:space="preserve"> PAGEREF _Toc197472274 \h </w:instrText>
        </w:r>
        <w:r>
          <w:rPr>
            <w:noProof/>
            <w:webHidden/>
          </w:rPr>
        </w:r>
        <w:r>
          <w:rPr>
            <w:noProof/>
            <w:webHidden/>
          </w:rPr>
          <w:fldChar w:fldCharType="separate"/>
        </w:r>
        <w:r>
          <w:rPr>
            <w:noProof/>
            <w:webHidden/>
          </w:rPr>
          <w:t>147</w:t>
        </w:r>
        <w:r>
          <w:rPr>
            <w:noProof/>
            <w:webHidden/>
          </w:rPr>
          <w:fldChar w:fldCharType="end"/>
        </w:r>
      </w:hyperlink>
    </w:p>
    <w:p w14:paraId="3ACBD434" w14:textId="3E610C95"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75" w:history="1">
        <w:r w:rsidRPr="008B3ACC">
          <w:rPr>
            <w:rStyle w:val="Hyperlink"/>
            <w:rFonts w:eastAsia="Calibri" w:cs="Calibri"/>
            <w:noProof/>
          </w:rPr>
          <w:t>Tabela 90. Kostot vjetore që do të mbulohen nga tarifa e mbeturinave</w:t>
        </w:r>
        <w:r w:rsidRPr="008B3ACC">
          <w:rPr>
            <w:rStyle w:val="Hyperlink"/>
            <w:rFonts w:eastAsia="Calibri" w:cs="Calibri"/>
            <w:noProof/>
            <w:lang w:val="bg-BG"/>
          </w:rPr>
          <w:t xml:space="preserve">, </w:t>
        </w:r>
        <w:r w:rsidRPr="008B3ACC">
          <w:rPr>
            <w:rStyle w:val="Hyperlink"/>
            <w:rFonts w:eastAsia="Calibri" w:cs="Calibri"/>
            <w:noProof/>
            <w:lang w:val="en-GB"/>
          </w:rPr>
          <w:t>mijë euro</w:t>
        </w:r>
        <w:r>
          <w:rPr>
            <w:noProof/>
            <w:webHidden/>
          </w:rPr>
          <w:tab/>
        </w:r>
        <w:r>
          <w:rPr>
            <w:noProof/>
            <w:webHidden/>
          </w:rPr>
          <w:fldChar w:fldCharType="begin"/>
        </w:r>
        <w:r>
          <w:rPr>
            <w:noProof/>
            <w:webHidden/>
          </w:rPr>
          <w:instrText xml:space="preserve"> PAGEREF _Toc197472275 \h </w:instrText>
        </w:r>
        <w:r>
          <w:rPr>
            <w:noProof/>
            <w:webHidden/>
          </w:rPr>
        </w:r>
        <w:r>
          <w:rPr>
            <w:noProof/>
            <w:webHidden/>
          </w:rPr>
          <w:fldChar w:fldCharType="separate"/>
        </w:r>
        <w:r>
          <w:rPr>
            <w:noProof/>
            <w:webHidden/>
          </w:rPr>
          <w:t>147</w:t>
        </w:r>
        <w:r>
          <w:rPr>
            <w:noProof/>
            <w:webHidden/>
          </w:rPr>
          <w:fldChar w:fldCharType="end"/>
        </w:r>
      </w:hyperlink>
    </w:p>
    <w:p w14:paraId="38989A0B" w14:textId="3A396E15"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76" w:history="1">
        <w:r w:rsidRPr="008B3ACC">
          <w:rPr>
            <w:rStyle w:val="Hyperlink"/>
            <w:rFonts w:eastAsia="Calibri" w:cs="Calibri"/>
            <w:noProof/>
          </w:rPr>
          <w:t>Tabela 91. Kostot komunale dhe mbeturinat e gjelbra dhe ushqimore të kompostuara në shtëpi në zonat rurale</w:t>
        </w:r>
        <w:r>
          <w:rPr>
            <w:noProof/>
            <w:webHidden/>
          </w:rPr>
          <w:tab/>
        </w:r>
        <w:r>
          <w:rPr>
            <w:noProof/>
            <w:webHidden/>
          </w:rPr>
          <w:fldChar w:fldCharType="begin"/>
        </w:r>
        <w:r>
          <w:rPr>
            <w:noProof/>
            <w:webHidden/>
          </w:rPr>
          <w:instrText xml:space="preserve"> PAGEREF _Toc197472276 \h </w:instrText>
        </w:r>
        <w:r>
          <w:rPr>
            <w:noProof/>
            <w:webHidden/>
          </w:rPr>
        </w:r>
        <w:r>
          <w:rPr>
            <w:noProof/>
            <w:webHidden/>
          </w:rPr>
          <w:fldChar w:fldCharType="separate"/>
        </w:r>
        <w:r>
          <w:rPr>
            <w:noProof/>
            <w:webHidden/>
          </w:rPr>
          <w:t>148</w:t>
        </w:r>
        <w:r>
          <w:rPr>
            <w:noProof/>
            <w:webHidden/>
          </w:rPr>
          <w:fldChar w:fldCharType="end"/>
        </w:r>
      </w:hyperlink>
    </w:p>
    <w:p w14:paraId="515A78F4" w14:textId="6ACB4678"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77" w:history="1">
        <w:r w:rsidRPr="008B3ACC">
          <w:rPr>
            <w:rStyle w:val="Hyperlink"/>
            <w:rFonts w:eastAsia="Calibri" w:cs="Calibri"/>
            <w:noProof/>
          </w:rPr>
          <w:t>Tabela 92. Pajisjet e nevojshme për grumbullimin e mbeturinave të përziera 2027</w:t>
        </w:r>
        <w:r>
          <w:rPr>
            <w:noProof/>
            <w:webHidden/>
          </w:rPr>
          <w:tab/>
        </w:r>
        <w:r>
          <w:rPr>
            <w:noProof/>
            <w:webHidden/>
          </w:rPr>
          <w:fldChar w:fldCharType="begin"/>
        </w:r>
        <w:r>
          <w:rPr>
            <w:noProof/>
            <w:webHidden/>
          </w:rPr>
          <w:instrText xml:space="preserve"> PAGEREF _Toc197472277 \h </w:instrText>
        </w:r>
        <w:r>
          <w:rPr>
            <w:noProof/>
            <w:webHidden/>
          </w:rPr>
        </w:r>
        <w:r>
          <w:rPr>
            <w:noProof/>
            <w:webHidden/>
          </w:rPr>
          <w:fldChar w:fldCharType="separate"/>
        </w:r>
        <w:r>
          <w:rPr>
            <w:noProof/>
            <w:webHidden/>
          </w:rPr>
          <w:t>149</w:t>
        </w:r>
        <w:r>
          <w:rPr>
            <w:noProof/>
            <w:webHidden/>
          </w:rPr>
          <w:fldChar w:fldCharType="end"/>
        </w:r>
      </w:hyperlink>
    </w:p>
    <w:p w14:paraId="16DF0422" w14:textId="2A8B3D12"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78" w:history="1">
        <w:r w:rsidRPr="008B3ACC">
          <w:rPr>
            <w:rStyle w:val="Hyperlink"/>
            <w:rFonts w:eastAsia="Calibri" w:cs="Calibri"/>
            <w:noProof/>
          </w:rPr>
          <w:t>Tabela 93. Kostot investive në stacionet e transferit, mijë euro</w:t>
        </w:r>
        <w:r>
          <w:rPr>
            <w:noProof/>
            <w:webHidden/>
          </w:rPr>
          <w:tab/>
        </w:r>
        <w:r>
          <w:rPr>
            <w:noProof/>
            <w:webHidden/>
          </w:rPr>
          <w:fldChar w:fldCharType="begin"/>
        </w:r>
        <w:r>
          <w:rPr>
            <w:noProof/>
            <w:webHidden/>
          </w:rPr>
          <w:instrText xml:space="preserve"> PAGEREF _Toc197472278 \h </w:instrText>
        </w:r>
        <w:r>
          <w:rPr>
            <w:noProof/>
            <w:webHidden/>
          </w:rPr>
        </w:r>
        <w:r>
          <w:rPr>
            <w:noProof/>
            <w:webHidden/>
          </w:rPr>
          <w:fldChar w:fldCharType="separate"/>
        </w:r>
        <w:r>
          <w:rPr>
            <w:noProof/>
            <w:webHidden/>
          </w:rPr>
          <w:t>150</w:t>
        </w:r>
        <w:r>
          <w:rPr>
            <w:noProof/>
            <w:webHidden/>
          </w:rPr>
          <w:fldChar w:fldCharType="end"/>
        </w:r>
      </w:hyperlink>
    </w:p>
    <w:p w14:paraId="04AE3784" w14:textId="30442F00"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79" w:history="1">
        <w:r w:rsidRPr="008B3ACC">
          <w:rPr>
            <w:rStyle w:val="Hyperlink"/>
            <w:rFonts w:eastAsia="Calibri" w:cs="Calibri"/>
            <w:noProof/>
          </w:rPr>
          <w:t>Tabela 94. Kostot e grumbullimit të mbeturinave të përziera në Pejë, mijë euro</w:t>
        </w:r>
        <w:r>
          <w:rPr>
            <w:noProof/>
            <w:webHidden/>
          </w:rPr>
          <w:tab/>
        </w:r>
        <w:r>
          <w:rPr>
            <w:noProof/>
            <w:webHidden/>
          </w:rPr>
          <w:fldChar w:fldCharType="begin"/>
        </w:r>
        <w:r>
          <w:rPr>
            <w:noProof/>
            <w:webHidden/>
          </w:rPr>
          <w:instrText xml:space="preserve"> PAGEREF _Toc197472279 \h </w:instrText>
        </w:r>
        <w:r>
          <w:rPr>
            <w:noProof/>
            <w:webHidden/>
          </w:rPr>
        </w:r>
        <w:r>
          <w:rPr>
            <w:noProof/>
            <w:webHidden/>
          </w:rPr>
          <w:fldChar w:fldCharType="separate"/>
        </w:r>
        <w:r>
          <w:rPr>
            <w:noProof/>
            <w:webHidden/>
          </w:rPr>
          <w:t>150</w:t>
        </w:r>
        <w:r>
          <w:rPr>
            <w:noProof/>
            <w:webHidden/>
          </w:rPr>
          <w:fldChar w:fldCharType="end"/>
        </w:r>
      </w:hyperlink>
    </w:p>
    <w:p w14:paraId="2A94680B" w14:textId="7EE35D5A"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80" w:history="1">
        <w:r w:rsidRPr="008B3ACC">
          <w:rPr>
            <w:rStyle w:val="Hyperlink"/>
            <w:rFonts w:eastAsia="Calibri" w:cs="Calibri"/>
            <w:noProof/>
          </w:rPr>
          <w:t>Tabela 95. Kostot e grumbullimit dhe transferimit të mbeturinave të përziera në Istog, mijë euro</w:t>
        </w:r>
        <w:r>
          <w:rPr>
            <w:noProof/>
            <w:webHidden/>
          </w:rPr>
          <w:tab/>
        </w:r>
        <w:r>
          <w:rPr>
            <w:noProof/>
            <w:webHidden/>
          </w:rPr>
          <w:fldChar w:fldCharType="begin"/>
        </w:r>
        <w:r>
          <w:rPr>
            <w:noProof/>
            <w:webHidden/>
          </w:rPr>
          <w:instrText xml:space="preserve"> PAGEREF _Toc197472280 \h </w:instrText>
        </w:r>
        <w:r>
          <w:rPr>
            <w:noProof/>
            <w:webHidden/>
          </w:rPr>
        </w:r>
        <w:r>
          <w:rPr>
            <w:noProof/>
            <w:webHidden/>
          </w:rPr>
          <w:fldChar w:fldCharType="separate"/>
        </w:r>
        <w:r>
          <w:rPr>
            <w:noProof/>
            <w:webHidden/>
          </w:rPr>
          <w:t>150</w:t>
        </w:r>
        <w:r>
          <w:rPr>
            <w:noProof/>
            <w:webHidden/>
          </w:rPr>
          <w:fldChar w:fldCharType="end"/>
        </w:r>
      </w:hyperlink>
    </w:p>
    <w:p w14:paraId="1A684477" w14:textId="529CE2ED"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81" w:history="1">
        <w:r w:rsidRPr="008B3ACC">
          <w:rPr>
            <w:rStyle w:val="Hyperlink"/>
            <w:rFonts w:eastAsia="Calibri" w:cs="Calibri"/>
            <w:noProof/>
          </w:rPr>
          <w:t>Tabela 96. Kostot e grumbulllimit të mbeturinave të përziera në Klinë, mijë euro</w:t>
        </w:r>
        <w:r>
          <w:rPr>
            <w:noProof/>
            <w:webHidden/>
          </w:rPr>
          <w:tab/>
        </w:r>
        <w:r>
          <w:rPr>
            <w:noProof/>
            <w:webHidden/>
          </w:rPr>
          <w:fldChar w:fldCharType="begin"/>
        </w:r>
        <w:r>
          <w:rPr>
            <w:noProof/>
            <w:webHidden/>
          </w:rPr>
          <w:instrText xml:space="preserve"> PAGEREF _Toc197472281 \h </w:instrText>
        </w:r>
        <w:r>
          <w:rPr>
            <w:noProof/>
            <w:webHidden/>
          </w:rPr>
        </w:r>
        <w:r>
          <w:rPr>
            <w:noProof/>
            <w:webHidden/>
          </w:rPr>
          <w:fldChar w:fldCharType="separate"/>
        </w:r>
        <w:r>
          <w:rPr>
            <w:noProof/>
            <w:webHidden/>
          </w:rPr>
          <w:t>150</w:t>
        </w:r>
        <w:r>
          <w:rPr>
            <w:noProof/>
            <w:webHidden/>
          </w:rPr>
          <w:fldChar w:fldCharType="end"/>
        </w:r>
      </w:hyperlink>
    </w:p>
    <w:p w14:paraId="2D17543C" w14:textId="7C2D830C"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82" w:history="1">
        <w:r w:rsidRPr="008B3ACC">
          <w:rPr>
            <w:rStyle w:val="Hyperlink"/>
            <w:rFonts w:eastAsia="Calibri" w:cs="Calibri"/>
            <w:noProof/>
          </w:rPr>
          <w:t>Tabela 97. Kostot e grumbullimit dhe transferit të mbeturinave të përziera në Deçan, mijë euro</w:t>
        </w:r>
        <w:r>
          <w:rPr>
            <w:noProof/>
            <w:webHidden/>
          </w:rPr>
          <w:tab/>
        </w:r>
        <w:r>
          <w:rPr>
            <w:noProof/>
            <w:webHidden/>
          </w:rPr>
          <w:fldChar w:fldCharType="begin"/>
        </w:r>
        <w:r>
          <w:rPr>
            <w:noProof/>
            <w:webHidden/>
          </w:rPr>
          <w:instrText xml:space="preserve"> PAGEREF _Toc197472282 \h </w:instrText>
        </w:r>
        <w:r>
          <w:rPr>
            <w:noProof/>
            <w:webHidden/>
          </w:rPr>
        </w:r>
        <w:r>
          <w:rPr>
            <w:noProof/>
            <w:webHidden/>
          </w:rPr>
          <w:fldChar w:fldCharType="separate"/>
        </w:r>
        <w:r>
          <w:rPr>
            <w:noProof/>
            <w:webHidden/>
          </w:rPr>
          <w:t>151</w:t>
        </w:r>
        <w:r>
          <w:rPr>
            <w:noProof/>
            <w:webHidden/>
          </w:rPr>
          <w:fldChar w:fldCharType="end"/>
        </w:r>
      </w:hyperlink>
    </w:p>
    <w:p w14:paraId="730754D1" w14:textId="6B590980"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83" w:history="1">
        <w:r w:rsidRPr="008B3ACC">
          <w:rPr>
            <w:rStyle w:val="Hyperlink"/>
            <w:rFonts w:eastAsia="Calibri" w:cs="Calibri"/>
            <w:noProof/>
          </w:rPr>
          <w:t>Tabela 98. Kostot e brumbullimit dhe transferimit të mbeturinave të përziera në Junik, mijë euro</w:t>
        </w:r>
        <w:r>
          <w:rPr>
            <w:noProof/>
            <w:webHidden/>
          </w:rPr>
          <w:tab/>
        </w:r>
        <w:r>
          <w:rPr>
            <w:noProof/>
            <w:webHidden/>
          </w:rPr>
          <w:fldChar w:fldCharType="begin"/>
        </w:r>
        <w:r>
          <w:rPr>
            <w:noProof/>
            <w:webHidden/>
          </w:rPr>
          <w:instrText xml:space="preserve"> PAGEREF _Toc197472283 \h </w:instrText>
        </w:r>
        <w:r>
          <w:rPr>
            <w:noProof/>
            <w:webHidden/>
          </w:rPr>
        </w:r>
        <w:r>
          <w:rPr>
            <w:noProof/>
            <w:webHidden/>
          </w:rPr>
          <w:fldChar w:fldCharType="separate"/>
        </w:r>
        <w:r>
          <w:rPr>
            <w:noProof/>
            <w:webHidden/>
          </w:rPr>
          <w:t>151</w:t>
        </w:r>
        <w:r>
          <w:rPr>
            <w:noProof/>
            <w:webHidden/>
          </w:rPr>
          <w:fldChar w:fldCharType="end"/>
        </w:r>
      </w:hyperlink>
    </w:p>
    <w:p w14:paraId="7B4DB9A7" w14:textId="078998E0"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84" w:history="1">
        <w:r w:rsidRPr="008B3ACC">
          <w:rPr>
            <w:rStyle w:val="Hyperlink"/>
            <w:rFonts w:eastAsia="Calibri" w:cs="Calibri"/>
            <w:noProof/>
          </w:rPr>
          <w:t>Tabela 99. Sasitë e parashikuara të mbeturinave për deponi</w:t>
        </w:r>
        <w:r>
          <w:rPr>
            <w:noProof/>
            <w:webHidden/>
          </w:rPr>
          <w:tab/>
        </w:r>
        <w:r>
          <w:rPr>
            <w:noProof/>
            <w:webHidden/>
          </w:rPr>
          <w:fldChar w:fldCharType="begin"/>
        </w:r>
        <w:r>
          <w:rPr>
            <w:noProof/>
            <w:webHidden/>
          </w:rPr>
          <w:instrText xml:space="preserve"> PAGEREF _Toc197472284 \h </w:instrText>
        </w:r>
        <w:r>
          <w:rPr>
            <w:noProof/>
            <w:webHidden/>
          </w:rPr>
        </w:r>
        <w:r>
          <w:rPr>
            <w:noProof/>
            <w:webHidden/>
          </w:rPr>
          <w:fldChar w:fldCharType="separate"/>
        </w:r>
        <w:r>
          <w:rPr>
            <w:noProof/>
            <w:webHidden/>
          </w:rPr>
          <w:t>151</w:t>
        </w:r>
        <w:r>
          <w:rPr>
            <w:noProof/>
            <w:webHidden/>
          </w:rPr>
          <w:fldChar w:fldCharType="end"/>
        </w:r>
      </w:hyperlink>
    </w:p>
    <w:p w14:paraId="6FD832E0" w14:textId="0093CBDB"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85" w:history="1">
        <w:r w:rsidRPr="008B3ACC">
          <w:rPr>
            <w:rStyle w:val="Hyperlink"/>
            <w:rFonts w:eastAsia="Calibri" w:cs="Calibri"/>
            <w:noProof/>
          </w:rPr>
          <w:t>Tabela 100. Vlerësimet e kostove fillestare të investimit në deponi</w:t>
        </w:r>
        <w:r>
          <w:rPr>
            <w:noProof/>
            <w:webHidden/>
          </w:rPr>
          <w:tab/>
        </w:r>
        <w:r>
          <w:rPr>
            <w:noProof/>
            <w:webHidden/>
          </w:rPr>
          <w:fldChar w:fldCharType="begin"/>
        </w:r>
        <w:r>
          <w:rPr>
            <w:noProof/>
            <w:webHidden/>
          </w:rPr>
          <w:instrText xml:space="preserve"> PAGEREF _Toc197472285 \h </w:instrText>
        </w:r>
        <w:r>
          <w:rPr>
            <w:noProof/>
            <w:webHidden/>
          </w:rPr>
        </w:r>
        <w:r>
          <w:rPr>
            <w:noProof/>
            <w:webHidden/>
          </w:rPr>
          <w:fldChar w:fldCharType="separate"/>
        </w:r>
        <w:r>
          <w:rPr>
            <w:noProof/>
            <w:webHidden/>
          </w:rPr>
          <w:t>151</w:t>
        </w:r>
        <w:r>
          <w:rPr>
            <w:noProof/>
            <w:webHidden/>
          </w:rPr>
          <w:fldChar w:fldCharType="end"/>
        </w:r>
      </w:hyperlink>
    </w:p>
    <w:p w14:paraId="5424BB47" w14:textId="4FDAE86B"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86" w:history="1">
        <w:r w:rsidRPr="008B3ACC">
          <w:rPr>
            <w:rStyle w:val="Hyperlink"/>
            <w:rFonts w:eastAsia="Calibri" w:cs="Calibri"/>
            <w:noProof/>
          </w:rPr>
          <w:t>Tabela 101. Rrjedha e parasë në deponi, mijë euro</w:t>
        </w:r>
        <w:r>
          <w:rPr>
            <w:noProof/>
            <w:webHidden/>
          </w:rPr>
          <w:tab/>
        </w:r>
        <w:r>
          <w:rPr>
            <w:noProof/>
            <w:webHidden/>
          </w:rPr>
          <w:fldChar w:fldCharType="begin"/>
        </w:r>
        <w:r>
          <w:rPr>
            <w:noProof/>
            <w:webHidden/>
          </w:rPr>
          <w:instrText xml:space="preserve"> PAGEREF _Toc197472286 \h </w:instrText>
        </w:r>
        <w:r>
          <w:rPr>
            <w:noProof/>
            <w:webHidden/>
          </w:rPr>
        </w:r>
        <w:r>
          <w:rPr>
            <w:noProof/>
            <w:webHidden/>
          </w:rPr>
          <w:fldChar w:fldCharType="separate"/>
        </w:r>
        <w:r>
          <w:rPr>
            <w:noProof/>
            <w:webHidden/>
          </w:rPr>
          <w:t>153</w:t>
        </w:r>
        <w:r>
          <w:rPr>
            <w:noProof/>
            <w:webHidden/>
          </w:rPr>
          <w:fldChar w:fldCharType="end"/>
        </w:r>
      </w:hyperlink>
    </w:p>
    <w:p w14:paraId="20316F08" w14:textId="2E531C82"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87" w:history="1">
        <w:r w:rsidRPr="008B3ACC">
          <w:rPr>
            <w:rStyle w:val="Hyperlink"/>
            <w:rFonts w:eastAsia="Calibri" w:cs="Calibri"/>
            <w:noProof/>
          </w:rPr>
          <w:t>Tabela 102. Mbeturinat e pranuara për trajtim dhe rikuperim</w:t>
        </w:r>
        <w:r>
          <w:rPr>
            <w:noProof/>
            <w:webHidden/>
          </w:rPr>
          <w:tab/>
        </w:r>
        <w:r>
          <w:rPr>
            <w:noProof/>
            <w:webHidden/>
          </w:rPr>
          <w:fldChar w:fldCharType="begin"/>
        </w:r>
        <w:r>
          <w:rPr>
            <w:noProof/>
            <w:webHidden/>
          </w:rPr>
          <w:instrText xml:space="preserve"> PAGEREF _Toc197472287 \h </w:instrText>
        </w:r>
        <w:r>
          <w:rPr>
            <w:noProof/>
            <w:webHidden/>
          </w:rPr>
        </w:r>
        <w:r>
          <w:rPr>
            <w:noProof/>
            <w:webHidden/>
          </w:rPr>
          <w:fldChar w:fldCharType="separate"/>
        </w:r>
        <w:r>
          <w:rPr>
            <w:noProof/>
            <w:webHidden/>
          </w:rPr>
          <w:t>153</w:t>
        </w:r>
        <w:r>
          <w:rPr>
            <w:noProof/>
            <w:webHidden/>
          </w:rPr>
          <w:fldChar w:fldCharType="end"/>
        </w:r>
      </w:hyperlink>
    </w:p>
    <w:p w14:paraId="237D5063" w14:textId="1A2F9ED7"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88" w:history="1">
        <w:r w:rsidRPr="008B3ACC">
          <w:rPr>
            <w:rStyle w:val="Hyperlink"/>
            <w:rFonts w:eastAsia="Calibri" w:cs="Calibri"/>
            <w:noProof/>
          </w:rPr>
          <w:t>Tabela 103. Vlerësimet e kostos së investimit në TMB dhe në kontejnerë të specializuar</w:t>
        </w:r>
        <w:r>
          <w:rPr>
            <w:noProof/>
            <w:webHidden/>
          </w:rPr>
          <w:tab/>
        </w:r>
        <w:r>
          <w:rPr>
            <w:noProof/>
            <w:webHidden/>
          </w:rPr>
          <w:fldChar w:fldCharType="begin"/>
        </w:r>
        <w:r>
          <w:rPr>
            <w:noProof/>
            <w:webHidden/>
          </w:rPr>
          <w:instrText xml:space="preserve"> PAGEREF _Toc197472288 \h </w:instrText>
        </w:r>
        <w:r>
          <w:rPr>
            <w:noProof/>
            <w:webHidden/>
          </w:rPr>
        </w:r>
        <w:r>
          <w:rPr>
            <w:noProof/>
            <w:webHidden/>
          </w:rPr>
          <w:fldChar w:fldCharType="separate"/>
        </w:r>
        <w:r>
          <w:rPr>
            <w:noProof/>
            <w:webHidden/>
          </w:rPr>
          <w:t>154</w:t>
        </w:r>
        <w:r>
          <w:rPr>
            <w:noProof/>
            <w:webHidden/>
          </w:rPr>
          <w:fldChar w:fldCharType="end"/>
        </w:r>
      </w:hyperlink>
    </w:p>
    <w:p w14:paraId="1981AE93" w14:textId="4455BFF1"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89" w:history="1">
        <w:r w:rsidRPr="008B3ACC">
          <w:rPr>
            <w:rStyle w:val="Hyperlink"/>
            <w:rFonts w:eastAsia="Calibri" w:cs="Calibri"/>
            <w:noProof/>
          </w:rPr>
          <w:t>Tabela 104. Kostot operatcionale për TMB-së dhe kompostimit në kontejnerë të specializuar, 2032</w:t>
        </w:r>
        <w:r>
          <w:rPr>
            <w:noProof/>
            <w:webHidden/>
          </w:rPr>
          <w:tab/>
        </w:r>
        <w:r>
          <w:rPr>
            <w:noProof/>
            <w:webHidden/>
          </w:rPr>
          <w:fldChar w:fldCharType="begin"/>
        </w:r>
        <w:r>
          <w:rPr>
            <w:noProof/>
            <w:webHidden/>
          </w:rPr>
          <w:instrText xml:space="preserve"> PAGEREF _Toc197472289 \h </w:instrText>
        </w:r>
        <w:r>
          <w:rPr>
            <w:noProof/>
            <w:webHidden/>
          </w:rPr>
        </w:r>
        <w:r>
          <w:rPr>
            <w:noProof/>
            <w:webHidden/>
          </w:rPr>
          <w:fldChar w:fldCharType="separate"/>
        </w:r>
        <w:r>
          <w:rPr>
            <w:noProof/>
            <w:webHidden/>
          </w:rPr>
          <w:t>154</w:t>
        </w:r>
        <w:r>
          <w:rPr>
            <w:noProof/>
            <w:webHidden/>
          </w:rPr>
          <w:fldChar w:fldCharType="end"/>
        </w:r>
      </w:hyperlink>
    </w:p>
    <w:p w14:paraId="1F12F141" w14:textId="6CA8F0B9"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90" w:history="1">
        <w:r w:rsidRPr="008B3ACC">
          <w:rPr>
            <w:rStyle w:val="Hyperlink"/>
            <w:rFonts w:eastAsia="Calibri" w:cs="Calibri"/>
            <w:noProof/>
          </w:rPr>
          <w:t>Tabela 105. Balanca e përgjithshme/masës e impiantit TMB</w:t>
        </w:r>
        <w:r>
          <w:rPr>
            <w:noProof/>
            <w:webHidden/>
          </w:rPr>
          <w:tab/>
        </w:r>
        <w:r>
          <w:rPr>
            <w:noProof/>
            <w:webHidden/>
          </w:rPr>
          <w:fldChar w:fldCharType="begin"/>
        </w:r>
        <w:r>
          <w:rPr>
            <w:noProof/>
            <w:webHidden/>
          </w:rPr>
          <w:instrText xml:space="preserve"> PAGEREF _Toc197472290 \h </w:instrText>
        </w:r>
        <w:r>
          <w:rPr>
            <w:noProof/>
            <w:webHidden/>
          </w:rPr>
        </w:r>
        <w:r>
          <w:rPr>
            <w:noProof/>
            <w:webHidden/>
          </w:rPr>
          <w:fldChar w:fldCharType="separate"/>
        </w:r>
        <w:r>
          <w:rPr>
            <w:noProof/>
            <w:webHidden/>
          </w:rPr>
          <w:t>155</w:t>
        </w:r>
        <w:r>
          <w:rPr>
            <w:noProof/>
            <w:webHidden/>
          </w:rPr>
          <w:fldChar w:fldCharType="end"/>
        </w:r>
      </w:hyperlink>
    </w:p>
    <w:p w14:paraId="34BE18C4" w14:textId="680E7CB6"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91" w:history="1">
        <w:r w:rsidRPr="008B3ACC">
          <w:rPr>
            <w:rStyle w:val="Hyperlink"/>
            <w:rFonts w:eastAsia="Calibri" w:cs="Calibri"/>
            <w:noProof/>
          </w:rPr>
          <w:t>Tabela 106. Përmbledhja e kostove të rikuperimit dhe deponimit përfundimtar të mbeturinave, mijë euro</w:t>
        </w:r>
        <w:r>
          <w:rPr>
            <w:noProof/>
            <w:webHidden/>
          </w:rPr>
          <w:tab/>
        </w:r>
        <w:r>
          <w:rPr>
            <w:noProof/>
            <w:webHidden/>
          </w:rPr>
          <w:fldChar w:fldCharType="begin"/>
        </w:r>
        <w:r>
          <w:rPr>
            <w:noProof/>
            <w:webHidden/>
          </w:rPr>
          <w:instrText xml:space="preserve"> PAGEREF _Toc197472291 \h </w:instrText>
        </w:r>
        <w:r>
          <w:rPr>
            <w:noProof/>
            <w:webHidden/>
          </w:rPr>
        </w:r>
        <w:r>
          <w:rPr>
            <w:noProof/>
            <w:webHidden/>
          </w:rPr>
          <w:fldChar w:fldCharType="separate"/>
        </w:r>
        <w:r>
          <w:rPr>
            <w:noProof/>
            <w:webHidden/>
          </w:rPr>
          <w:t>155</w:t>
        </w:r>
        <w:r>
          <w:rPr>
            <w:noProof/>
            <w:webHidden/>
          </w:rPr>
          <w:fldChar w:fldCharType="end"/>
        </w:r>
      </w:hyperlink>
    </w:p>
    <w:p w14:paraId="7BC8DBFC" w14:textId="75264298"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92" w:history="1">
        <w:r w:rsidRPr="008B3ACC">
          <w:rPr>
            <w:rStyle w:val="Hyperlink"/>
            <w:rFonts w:eastAsia="Calibri" w:cs="Calibri"/>
            <w:noProof/>
          </w:rPr>
          <w:t>Tabela 107. Përmbledhje e planit afatgjatë të investimit, mijë euro</w:t>
        </w:r>
        <w:r>
          <w:rPr>
            <w:noProof/>
            <w:webHidden/>
          </w:rPr>
          <w:tab/>
        </w:r>
        <w:r>
          <w:rPr>
            <w:noProof/>
            <w:webHidden/>
          </w:rPr>
          <w:fldChar w:fldCharType="begin"/>
        </w:r>
        <w:r>
          <w:rPr>
            <w:noProof/>
            <w:webHidden/>
          </w:rPr>
          <w:instrText xml:space="preserve"> PAGEREF _Toc197472292 \h </w:instrText>
        </w:r>
        <w:r>
          <w:rPr>
            <w:noProof/>
            <w:webHidden/>
          </w:rPr>
        </w:r>
        <w:r>
          <w:rPr>
            <w:noProof/>
            <w:webHidden/>
          </w:rPr>
          <w:fldChar w:fldCharType="separate"/>
        </w:r>
        <w:r>
          <w:rPr>
            <w:noProof/>
            <w:webHidden/>
          </w:rPr>
          <w:t>156</w:t>
        </w:r>
        <w:r>
          <w:rPr>
            <w:noProof/>
            <w:webHidden/>
          </w:rPr>
          <w:fldChar w:fldCharType="end"/>
        </w:r>
      </w:hyperlink>
    </w:p>
    <w:p w14:paraId="63AC4902" w14:textId="0C794014"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93" w:history="1">
        <w:r w:rsidRPr="008B3ACC">
          <w:rPr>
            <w:rStyle w:val="Hyperlink"/>
            <w:rFonts w:eastAsia="Calibri" w:cs="Calibri"/>
            <w:noProof/>
          </w:rPr>
          <w:t>Tabela 108. Parashikimi i përballueshmërisë së tarifëave së mbeturinave, çmimet e vitit 2025</w:t>
        </w:r>
        <w:r>
          <w:rPr>
            <w:noProof/>
            <w:webHidden/>
          </w:rPr>
          <w:tab/>
        </w:r>
        <w:r>
          <w:rPr>
            <w:noProof/>
            <w:webHidden/>
          </w:rPr>
          <w:fldChar w:fldCharType="begin"/>
        </w:r>
        <w:r>
          <w:rPr>
            <w:noProof/>
            <w:webHidden/>
          </w:rPr>
          <w:instrText xml:space="preserve"> PAGEREF _Toc197472293 \h </w:instrText>
        </w:r>
        <w:r>
          <w:rPr>
            <w:noProof/>
            <w:webHidden/>
          </w:rPr>
        </w:r>
        <w:r>
          <w:rPr>
            <w:noProof/>
            <w:webHidden/>
          </w:rPr>
          <w:fldChar w:fldCharType="separate"/>
        </w:r>
        <w:r>
          <w:rPr>
            <w:noProof/>
            <w:webHidden/>
          </w:rPr>
          <w:t>157</w:t>
        </w:r>
        <w:r>
          <w:rPr>
            <w:noProof/>
            <w:webHidden/>
          </w:rPr>
          <w:fldChar w:fldCharType="end"/>
        </w:r>
      </w:hyperlink>
    </w:p>
    <w:p w14:paraId="6379B24F" w14:textId="0BE4E567"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94" w:history="1">
        <w:r w:rsidRPr="008B3ACC">
          <w:rPr>
            <w:rStyle w:val="Hyperlink"/>
            <w:rFonts w:eastAsia="Calibri" w:cs="Calibri"/>
            <w:noProof/>
          </w:rPr>
          <w:t>Tabela 109. Llogaritja e tarifës, komuna e Pejës, mijë euro</w:t>
        </w:r>
        <w:r>
          <w:rPr>
            <w:noProof/>
            <w:webHidden/>
          </w:rPr>
          <w:tab/>
        </w:r>
        <w:r>
          <w:rPr>
            <w:noProof/>
            <w:webHidden/>
          </w:rPr>
          <w:fldChar w:fldCharType="begin"/>
        </w:r>
        <w:r>
          <w:rPr>
            <w:noProof/>
            <w:webHidden/>
          </w:rPr>
          <w:instrText xml:space="preserve"> PAGEREF _Toc197472294 \h </w:instrText>
        </w:r>
        <w:r>
          <w:rPr>
            <w:noProof/>
            <w:webHidden/>
          </w:rPr>
        </w:r>
        <w:r>
          <w:rPr>
            <w:noProof/>
            <w:webHidden/>
          </w:rPr>
          <w:fldChar w:fldCharType="separate"/>
        </w:r>
        <w:r>
          <w:rPr>
            <w:noProof/>
            <w:webHidden/>
          </w:rPr>
          <w:t>157</w:t>
        </w:r>
        <w:r>
          <w:rPr>
            <w:noProof/>
            <w:webHidden/>
          </w:rPr>
          <w:fldChar w:fldCharType="end"/>
        </w:r>
      </w:hyperlink>
    </w:p>
    <w:p w14:paraId="4EBA5FB5" w14:textId="5B88C857"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95" w:history="1">
        <w:r w:rsidRPr="008B3ACC">
          <w:rPr>
            <w:rStyle w:val="Hyperlink"/>
            <w:rFonts w:eastAsia="Calibri" w:cs="Calibri"/>
            <w:noProof/>
          </w:rPr>
          <w:t>Tabela 110. Llogaritja e tarifës, komuna e Istogut, mijë euro</w:t>
        </w:r>
        <w:r>
          <w:rPr>
            <w:noProof/>
            <w:webHidden/>
          </w:rPr>
          <w:tab/>
        </w:r>
        <w:r>
          <w:rPr>
            <w:noProof/>
            <w:webHidden/>
          </w:rPr>
          <w:fldChar w:fldCharType="begin"/>
        </w:r>
        <w:r>
          <w:rPr>
            <w:noProof/>
            <w:webHidden/>
          </w:rPr>
          <w:instrText xml:space="preserve"> PAGEREF _Toc197472295 \h </w:instrText>
        </w:r>
        <w:r>
          <w:rPr>
            <w:noProof/>
            <w:webHidden/>
          </w:rPr>
        </w:r>
        <w:r>
          <w:rPr>
            <w:noProof/>
            <w:webHidden/>
          </w:rPr>
          <w:fldChar w:fldCharType="separate"/>
        </w:r>
        <w:r>
          <w:rPr>
            <w:noProof/>
            <w:webHidden/>
          </w:rPr>
          <w:t>158</w:t>
        </w:r>
        <w:r>
          <w:rPr>
            <w:noProof/>
            <w:webHidden/>
          </w:rPr>
          <w:fldChar w:fldCharType="end"/>
        </w:r>
      </w:hyperlink>
    </w:p>
    <w:p w14:paraId="5EF688E1" w14:textId="3F2A20B4"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96" w:history="1">
        <w:r w:rsidRPr="008B3ACC">
          <w:rPr>
            <w:rStyle w:val="Hyperlink"/>
            <w:rFonts w:eastAsia="Calibri" w:cs="Calibri"/>
            <w:noProof/>
          </w:rPr>
          <w:t>Tabela 111. Llogaritja e tarifës, komuna e Klinës, mijë euro</w:t>
        </w:r>
        <w:r>
          <w:rPr>
            <w:noProof/>
            <w:webHidden/>
          </w:rPr>
          <w:tab/>
        </w:r>
        <w:r>
          <w:rPr>
            <w:noProof/>
            <w:webHidden/>
          </w:rPr>
          <w:fldChar w:fldCharType="begin"/>
        </w:r>
        <w:r>
          <w:rPr>
            <w:noProof/>
            <w:webHidden/>
          </w:rPr>
          <w:instrText xml:space="preserve"> PAGEREF _Toc197472296 \h </w:instrText>
        </w:r>
        <w:r>
          <w:rPr>
            <w:noProof/>
            <w:webHidden/>
          </w:rPr>
        </w:r>
        <w:r>
          <w:rPr>
            <w:noProof/>
            <w:webHidden/>
          </w:rPr>
          <w:fldChar w:fldCharType="separate"/>
        </w:r>
        <w:r>
          <w:rPr>
            <w:noProof/>
            <w:webHidden/>
          </w:rPr>
          <w:t>159</w:t>
        </w:r>
        <w:r>
          <w:rPr>
            <w:noProof/>
            <w:webHidden/>
          </w:rPr>
          <w:fldChar w:fldCharType="end"/>
        </w:r>
      </w:hyperlink>
    </w:p>
    <w:p w14:paraId="32EE0FAF" w14:textId="7D2A8AB6"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97" w:history="1">
        <w:r w:rsidRPr="008B3ACC">
          <w:rPr>
            <w:rStyle w:val="Hyperlink"/>
            <w:rFonts w:eastAsia="Calibri" w:cs="Calibri"/>
            <w:noProof/>
          </w:rPr>
          <w:t>Tabela 112. Llogaritja e tarifës, komuna e Deçanit, mijë euro</w:t>
        </w:r>
        <w:r>
          <w:rPr>
            <w:noProof/>
            <w:webHidden/>
          </w:rPr>
          <w:tab/>
        </w:r>
        <w:r>
          <w:rPr>
            <w:noProof/>
            <w:webHidden/>
          </w:rPr>
          <w:fldChar w:fldCharType="begin"/>
        </w:r>
        <w:r>
          <w:rPr>
            <w:noProof/>
            <w:webHidden/>
          </w:rPr>
          <w:instrText xml:space="preserve"> PAGEREF _Toc197472297 \h </w:instrText>
        </w:r>
        <w:r>
          <w:rPr>
            <w:noProof/>
            <w:webHidden/>
          </w:rPr>
        </w:r>
        <w:r>
          <w:rPr>
            <w:noProof/>
            <w:webHidden/>
          </w:rPr>
          <w:fldChar w:fldCharType="separate"/>
        </w:r>
        <w:r>
          <w:rPr>
            <w:noProof/>
            <w:webHidden/>
          </w:rPr>
          <w:t>160</w:t>
        </w:r>
        <w:r>
          <w:rPr>
            <w:noProof/>
            <w:webHidden/>
          </w:rPr>
          <w:fldChar w:fldCharType="end"/>
        </w:r>
      </w:hyperlink>
    </w:p>
    <w:p w14:paraId="71DC6E49" w14:textId="47816171"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98" w:history="1">
        <w:r w:rsidRPr="008B3ACC">
          <w:rPr>
            <w:rStyle w:val="Hyperlink"/>
            <w:rFonts w:eastAsia="Calibri" w:cs="Calibri"/>
            <w:noProof/>
          </w:rPr>
          <w:t>Tabela 113. Llogaritja e tarifës, komuna e Junikut, mijë euro</w:t>
        </w:r>
        <w:r>
          <w:rPr>
            <w:noProof/>
            <w:webHidden/>
          </w:rPr>
          <w:tab/>
        </w:r>
        <w:r>
          <w:rPr>
            <w:noProof/>
            <w:webHidden/>
          </w:rPr>
          <w:fldChar w:fldCharType="begin"/>
        </w:r>
        <w:r>
          <w:rPr>
            <w:noProof/>
            <w:webHidden/>
          </w:rPr>
          <w:instrText xml:space="preserve"> PAGEREF _Toc197472298 \h </w:instrText>
        </w:r>
        <w:r>
          <w:rPr>
            <w:noProof/>
            <w:webHidden/>
          </w:rPr>
        </w:r>
        <w:r>
          <w:rPr>
            <w:noProof/>
            <w:webHidden/>
          </w:rPr>
          <w:fldChar w:fldCharType="separate"/>
        </w:r>
        <w:r>
          <w:rPr>
            <w:noProof/>
            <w:webHidden/>
          </w:rPr>
          <w:t>161</w:t>
        </w:r>
        <w:r>
          <w:rPr>
            <w:noProof/>
            <w:webHidden/>
          </w:rPr>
          <w:fldChar w:fldCharType="end"/>
        </w:r>
      </w:hyperlink>
    </w:p>
    <w:p w14:paraId="307FCBD3" w14:textId="69B32F6C"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299" w:history="1">
        <w:r w:rsidRPr="008B3ACC">
          <w:rPr>
            <w:rStyle w:val="Hyperlink"/>
            <w:rFonts w:eastAsia="Calibri" w:cs="Calibri"/>
            <w:noProof/>
          </w:rPr>
          <w:t>Tabela 114. Balanca e përgjithshme/masës së mbeturinave në komunën e Pejës</w:t>
        </w:r>
        <w:r>
          <w:rPr>
            <w:noProof/>
            <w:webHidden/>
          </w:rPr>
          <w:tab/>
        </w:r>
        <w:r>
          <w:rPr>
            <w:noProof/>
            <w:webHidden/>
          </w:rPr>
          <w:fldChar w:fldCharType="begin"/>
        </w:r>
        <w:r>
          <w:rPr>
            <w:noProof/>
            <w:webHidden/>
          </w:rPr>
          <w:instrText xml:space="preserve"> PAGEREF _Toc197472299 \h </w:instrText>
        </w:r>
        <w:r>
          <w:rPr>
            <w:noProof/>
            <w:webHidden/>
          </w:rPr>
        </w:r>
        <w:r>
          <w:rPr>
            <w:noProof/>
            <w:webHidden/>
          </w:rPr>
          <w:fldChar w:fldCharType="separate"/>
        </w:r>
        <w:r>
          <w:rPr>
            <w:noProof/>
            <w:webHidden/>
          </w:rPr>
          <w:t>164</w:t>
        </w:r>
        <w:r>
          <w:rPr>
            <w:noProof/>
            <w:webHidden/>
          </w:rPr>
          <w:fldChar w:fldCharType="end"/>
        </w:r>
      </w:hyperlink>
    </w:p>
    <w:p w14:paraId="31BB274F" w14:textId="69D9EA67"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00" w:history="1">
        <w:r w:rsidRPr="008B3ACC">
          <w:rPr>
            <w:rStyle w:val="Hyperlink"/>
            <w:rFonts w:eastAsia="Calibri" w:cs="Calibri"/>
            <w:noProof/>
          </w:rPr>
          <w:t>Tabela 115.  Balanca e përgjithshme/masës së mbeturinave në komunën e Istogut</w:t>
        </w:r>
        <w:r>
          <w:rPr>
            <w:noProof/>
            <w:webHidden/>
          </w:rPr>
          <w:tab/>
        </w:r>
        <w:r>
          <w:rPr>
            <w:noProof/>
            <w:webHidden/>
          </w:rPr>
          <w:fldChar w:fldCharType="begin"/>
        </w:r>
        <w:r>
          <w:rPr>
            <w:noProof/>
            <w:webHidden/>
          </w:rPr>
          <w:instrText xml:space="preserve"> PAGEREF _Toc197472300 \h </w:instrText>
        </w:r>
        <w:r>
          <w:rPr>
            <w:noProof/>
            <w:webHidden/>
          </w:rPr>
        </w:r>
        <w:r>
          <w:rPr>
            <w:noProof/>
            <w:webHidden/>
          </w:rPr>
          <w:fldChar w:fldCharType="separate"/>
        </w:r>
        <w:r>
          <w:rPr>
            <w:noProof/>
            <w:webHidden/>
          </w:rPr>
          <w:t>164</w:t>
        </w:r>
        <w:r>
          <w:rPr>
            <w:noProof/>
            <w:webHidden/>
          </w:rPr>
          <w:fldChar w:fldCharType="end"/>
        </w:r>
      </w:hyperlink>
    </w:p>
    <w:p w14:paraId="73DFCA60" w14:textId="7973BAB4"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01" w:history="1">
        <w:r w:rsidRPr="008B3ACC">
          <w:rPr>
            <w:rStyle w:val="Hyperlink"/>
            <w:rFonts w:eastAsia="Calibri" w:cs="Calibri"/>
            <w:noProof/>
          </w:rPr>
          <w:t>Tabela 116.  Balanca e përgjithshme/masës së mbeturinave në komunën e Klinës</w:t>
        </w:r>
        <w:r>
          <w:rPr>
            <w:noProof/>
            <w:webHidden/>
          </w:rPr>
          <w:tab/>
        </w:r>
        <w:r>
          <w:rPr>
            <w:noProof/>
            <w:webHidden/>
          </w:rPr>
          <w:fldChar w:fldCharType="begin"/>
        </w:r>
        <w:r>
          <w:rPr>
            <w:noProof/>
            <w:webHidden/>
          </w:rPr>
          <w:instrText xml:space="preserve"> PAGEREF _Toc197472301 \h </w:instrText>
        </w:r>
        <w:r>
          <w:rPr>
            <w:noProof/>
            <w:webHidden/>
          </w:rPr>
        </w:r>
        <w:r>
          <w:rPr>
            <w:noProof/>
            <w:webHidden/>
          </w:rPr>
          <w:fldChar w:fldCharType="separate"/>
        </w:r>
        <w:r>
          <w:rPr>
            <w:noProof/>
            <w:webHidden/>
          </w:rPr>
          <w:t>165</w:t>
        </w:r>
        <w:r>
          <w:rPr>
            <w:noProof/>
            <w:webHidden/>
          </w:rPr>
          <w:fldChar w:fldCharType="end"/>
        </w:r>
      </w:hyperlink>
    </w:p>
    <w:p w14:paraId="6B63CC6B" w14:textId="3F6FBB2B"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02" w:history="1">
        <w:r w:rsidRPr="008B3ACC">
          <w:rPr>
            <w:rStyle w:val="Hyperlink"/>
            <w:rFonts w:eastAsia="Calibri" w:cs="Calibri"/>
            <w:noProof/>
          </w:rPr>
          <w:t>Tabela 117.  Balanca e përgjithshme/masës së mbeturinave në komunën e Deçanit</w:t>
        </w:r>
        <w:r>
          <w:rPr>
            <w:noProof/>
            <w:webHidden/>
          </w:rPr>
          <w:tab/>
        </w:r>
        <w:r>
          <w:rPr>
            <w:noProof/>
            <w:webHidden/>
          </w:rPr>
          <w:fldChar w:fldCharType="begin"/>
        </w:r>
        <w:r>
          <w:rPr>
            <w:noProof/>
            <w:webHidden/>
          </w:rPr>
          <w:instrText xml:space="preserve"> PAGEREF _Toc197472302 \h </w:instrText>
        </w:r>
        <w:r>
          <w:rPr>
            <w:noProof/>
            <w:webHidden/>
          </w:rPr>
        </w:r>
        <w:r>
          <w:rPr>
            <w:noProof/>
            <w:webHidden/>
          </w:rPr>
          <w:fldChar w:fldCharType="separate"/>
        </w:r>
        <w:r>
          <w:rPr>
            <w:noProof/>
            <w:webHidden/>
          </w:rPr>
          <w:t>166</w:t>
        </w:r>
        <w:r>
          <w:rPr>
            <w:noProof/>
            <w:webHidden/>
          </w:rPr>
          <w:fldChar w:fldCharType="end"/>
        </w:r>
      </w:hyperlink>
    </w:p>
    <w:p w14:paraId="6EA61556" w14:textId="3F99DC05"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03" w:history="1">
        <w:r w:rsidRPr="008B3ACC">
          <w:rPr>
            <w:rStyle w:val="Hyperlink"/>
            <w:rFonts w:eastAsia="Calibri" w:cs="Calibri"/>
            <w:noProof/>
          </w:rPr>
          <w:t>Tabela 118.  Balanca e përgjithshme/masës së mbeturinave në komunën e Junikut</w:t>
        </w:r>
        <w:r>
          <w:rPr>
            <w:noProof/>
            <w:webHidden/>
          </w:rPr>
          <w:tab/>
        </w:r>
        <w:r>
          <w:rPr>
            <w:noProof/>
            <w:webHidden/>
          </w:rPr>
          <w:fldChar w:fldCharType="begin"/>
        </w:r>
        <w:r>
          <w:rPr>
            <w:noProof/>
            <w:webHidden/>
          </w:rPr>
          <w:instrText xml:space="preserve"> PAGEREF _Toc197472303 \h </w:instrText>
        </w:r>
        <w:r>
          <w:rPr>
            <w:noProof/>
            <w:webHidden/>
          </w:rPr>
        </w:r>
        <w:r>
          <w:rPr>
            <w:noProof/>
            <w:webHidden/>
          </w:rPr>
          <w:fldChar w:fldCharType="separate"/>
        </w:r>
        <w:r>
          <w:rPr>
            <w:noProof/>
            <w:webHidden/>
          </w:rPr>
          <w:t>166</w:t>
        </w:r>
        <w:r>
          <w:rPr>
            <w:noProof/>
            <w:webHidden/>
          </w:rPr>
          <w:fldChar w:fldCharType="end"/>
        </w:r>
      </w:hyperlink>
    </w:p>
    <w:p w14:paraId="2C243CA5" w14:textId="748D76CE" w:rsidR="00A60409" w:rsidRPr="00AF0235" w:rsidRDefault="00F24087" w:rsidP="00A60409">
      <w:pPr>
        <w:pStyle w:val="TableofFigures"/>
        <w:tabs>
          <w:tab w:val="right" w:leader="dot" w:pos="9016"/>
        </w:tabs>
      </w:pPr>
      <w:r>
        <w:fldChar w:fldCharType="end"/>
      </w:r>
    </w:p>
    <w:p w14:paraId="719BA9CD" w14:textId="62B30006" w:rsidR="00A60409" w:rsidRPr="00240FB6" w:rsidRDefault="00A60409" w:rsidP="00B00BA8">
      <w:pPr>
        <w:spacing w:before="360" w:after="120"/>
        <w:rPr>
          <w:rFonts w:ascii="Arial Narrow" w:hAnsi="Arial Narrow"/>
          <w:b/>
          <w:caps/>
          <w:color w:val="002060"/>
          <w:sz w:val="28"/>
          <w:szCs w:val="28"/>
        </w:rPr>
      </w:pPr>
      <w:r w:rsidRPr="00240FB6">
        <w:rPr>
          <w:rFonts w:ascii="Arial Narrow" w:hAnsi="Arial Narrow"/>
          <w:b/>
          <w:caps/>
          <w:color w:val="002060"/>
          <w:sz w:val="28"/>
          <w:szCs w:val="28"/>
        </w:rPr>
        <w:t>Lista e figurave</w:t>
      </w:r>
    </w:p>
    <w:p w14:paraId="739E387A" w14:textId="37F8A39F" w:rsidR="00E5352D" w:rsidRDefault="00F24087">
      <w:pPr>
        <w:pStyle w:val="TableofFigures"/>
        <w:tabs>
          <w:tab w:val="right" w:pos="9016"/>
        </w:tabs>
        <w:rPr>
          <w:rFonts w:asciiTheme="minorHAnsi" w:eastAsiaTheme="minorEastAsia" w:hAnsiTheme="minorHAnsi"/>
          <w:noProof/>
          <w:kern w:val="2"/>
          <w:sz w:val="24"/>
          <w:lang w:val="en-US"/>
          <w14:ligatures w14:val="standardContextual"/>
        </w:rPr>
      </w:pPr>
      <w:r>
        <w:fldChar w:fldCharType="begin"/>
      </w:r>
      <w:r>
        <w:instrText xml:space="preserve"> TOC \h \z \c "Figure" </w:instrText>
      </w:r>
      <w:r>
        <w:fldChar w:fldCharType="separate"/>
      </w:r>
      <w:hyperlink w:anchor="_Toc197472304" w:history="1">
        <w:r w:rsidR="00E5352D" w:rsidRPr="0098308A">
          <w:rPr>
            <w:rStyle w:val="Hyperlink"/>
            <w:rFonts w:eastAsia="Calibri" w:cs="Calibri"/>
            <w:noProof/>
          </w:rPr>
          <w:t>Figura 1 . Parashikimi i popullsisë për Rajonin e Dukagjinit, 2024-2035</w:t>
        </w:r>
        <w:r w:rsidR="00E5352D">
          <w:rPr>
            <w:noProof/>
            <w:webHidden/>
          </w:rPr>
          <w:tab/>
        </w:r>
        <w:r w:rsidR="00E5352D">
          <w:rPr>
            <w:noProof/>
            <w:webHidden/>
          </w:rPr>
          <w:fldChar w:fldCharType="begin"/>
        </w:r>
        <w:r w:rsidR="00E5352D">
          <w:rPr>
            <w:noProof/>
            <w:webHidden/>
          </w:rPr>
          <w:instrText xml:space="preserve"> PAGEREF _Toc197472304 \h </w:instrText>
        </w:r>
        <w:r w:rsidR="00E5352D">
          <w:rPr>
            <w:noProof/>
            <w:webHidden/>
          </w:rPr>
        </w:r>
        <w:r w:rsidR="00E5352D">
          <w:rPr>
            <w:noProof/>
            <w:webHidden/>
          </w:rPr>
          <w:fldChar w:fldCharType="separate"/>
        </w:r>
        <w:r w:rsidR="00E5352D">
          <w:rPr>
            <w:noProof/>
            <w:webHidden/>
          </w:rPr>
          <w:t>3</w:t>
        </w:r>
        <w:r w:rsidR="00E5352D">
          <w:rPr>
            <w:noProof/>
            <w:webHidden/>
          </w:rPr>
          <w:fldChar w:fldCharType="end"/>
        </w:r>
      </w:hyperlink>
    </w:p>
    <w:p w14:paraId="17E98E05" w14:textId="15962239"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05" w:history="1">
        <w:r w:rsidRPr="0098308A">
          <w:rPr>
            <w:rStyle w:val="Hyperlink"/>
            <w:rFonts w:eastAsia="Calibri" w:cs="Calibri"/>
            <w:noProof/>
          </w:rPr>
          <w:t>Figura 2. Parashikimi i gjenerimit të mbeturinave komunale, 2024-2035</w:t>
        </w:r>
        <w:r>
          <w:rPr>
            <w:noProof/>
            <w:webHidden/>
          </w:rPr>
          <w:tab/>
        </w:r>
        <w:r>
          <w:rPr>
            <w:noProof/>
            <w:webHidden/>
          </w:rPr>
          <w:fldChar w:fldCharType="begin"/>
        </w:r>
        <w:r>
          <w:rPr>
            <w:noProof/>
            <w:webHidden/>
          </w:rPr>
          <w:instrText xml:space="preserve"> PAGEREF _Toc197472305 \h </w:instrText>
        </w:r>
        <w:r>
          <w:rPr>
            <w:noProof/>
            <w:webHidden/>
          </w:rPr>
        </w:r>
        <w:r>
          <w:rPr>
            <w:noProof/>
            <w:webHidden/>
          </w:rPr>
          <w:fldChar w:fldCharType="separate"/>
        </w:r>
        <w:r>
          <w:rPr>
            <w:noProof/>
            <w:webHidden/>
          </w:rPr>
          <w:t>4</w:t>
        </w:r>
        <w:r>
          <w:rPr>
            <w:noProof/>
            <w:webHidden/>
          </w:rPr>
          <w:fldChar w:fldCharType="end"/>
        </w:r>
      </w:hyperlink>
    </w:p>
    <w:p w14:paraId="75FA064B" w14:textId="5C772FEC"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06" w:history="1">
        <w:r w:rsidRPr="0098308A">
          <w:rPr>
            <w:rStyle w:val="Hyperlink"/>
            <w:rFonts w:eastAsia="Calibri" w:cs="Calibri"/>
            <w:noProof/>
          </w:rPr>
          <w:t xml:space="preserve">Figura 3. </w:t>
        </w:r>
        <w:r w:rsidRPr="0098308A">
          <w:rPr>
            <w:rStyle w:val="Hyperlink"/>
            <w:rFonts w:eastAsia="Calibri" w:cs="Calibri"/>
            <w:noProof/>
            <w:lang w:val="sq-AL"/>
          </w:rPr>
          <w:t xml:space="preserve"> Vendndodhja e objekteve të parashikuara për menaxhimin e mbeturinave në ZMM</w:t>
        </w:r>
        <w:r>
          <w:rPr>
            <w:noProof/>
            <w:webHidden/>
          </w:rPr>
          <w:tab/>
        </w:r>
        <w:r>
          <w:rPr>
            <w:noProof/>
            <w:webHidden/>
          </w:rPr>
          <w:fldChar w:fldCharType="begin"/>
        </w:r>
        <w:r>
          <w:rPr>
            <w:noProof/>
            <w:webHidden/>
          </w:rPr>
          <w:instrText xml:space="preserve"> PAGEREF _Toc197472306 \h </w:instrText>
        </w:r>
        <w:r>
          <w:rPr>
            <w:noProof/>
            <w:webHidden/>
          </w:rPr>
        </w:r>
        <w:r>
          <w:rPr>
            <w:noProof/>
            <w:webHidden/>
          </w:rPr>
          <w:fldChar w:fldCharType="separate"/>
        </w:r>
        <w:r>
          <w:rPr>
            <w:noProof/>
            <w:webHidden/>
          </w:rPr>
          <w:t>7</w:t>
        </w:r>
        <w:r>
          <w:rPr>
            <w:noProof/>
            <w:webHidden/>
          </w:rPr>
          <w:fldChar w:fldCharType="end"/>
        </w:r>
      </w:hyperlink>
    </w:p>
    <w:p w14:paraId="13D05918" w14:textId="1968FBF7"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07" w:history="1">
        <w:r w:rsidRPr="0098308A">
          <w:rPr>
            <w:rStyle w:val="Hyperlink"/>
            <w:rFonts w:eastAsia="Calibri" w:cs="Calibri"/>
            <w:noProof/>
          </w:rPr>
          <w:t xml:space="preserve">Figura 4. </w:t>
        </w:r>
        <w:r w:rsidRPr="0098308A">
          <w:rPr>
            <w:rStyle w:val="Hyperlink"/>
            <w:rFonts w:eastAsia="Calibri" w:cs="Calibri"/>
            <w:noProof/>
            <w:lang w:val="sq-AL"/>
          </w:rPr>
          <w:t xml:space="preserve"> Kostot e investimit për operacionalizimin e menaxhimit të mbeturinave</w:t>
        </w:r>
        <w:r>
          <w:rPr>
            <w:noProof/>
            <w:webHidden/>
          </w:rPr>
          <w:tab/>
        </w:r>
        <w:r>
          <w:rPr>
            <w:noProof/>
            <w:webHidden/>
          </w:rPr>
          <w:fldChar w:fldCharType="begin"/>
        </w:r>
        <w:r>
          <w:rPr>
            <w:noProof/>
            <w:webHidden/>
          </w:rPr>
          <w:instrText xml:space="preserve"> PAGEREF _Toc197472307 \h </w:instrText>
        </w:r>
        <w:r>
          <w:rPr>
            <w:noProof/>
            <w:webHidden/>
          </w:rPr>
        </w:r>
        <w:r>
          <w:rPr>
            <w:noProof/>
            <w:webHidden/>
          </w:rPr>
          <w:fldChar w:fldCharType="separate"/>
        </w:r>
        <w:r>
          <w:rPr>
            <w:noProof/>
            <w:webHidden/>
          </w:rPr>
          <w:t>8</w:t>
        </w:r>
        <w:r>
          <w:rPr>
            <w:noProof/>
            <w:webHidden/>
          </w:rPr>
          <w:fldChar w:fldCharType="end"/>
        </w:r>
      </w:hyperlink>
    </w:p>
    <w:p w14:paraId="3AF6AC49" w14:textId="3A8BBDCE"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08" w:history="1">
        <w:r w:rsidRPr="0098308A">
          <w:rPr>
            <w:rStyle w:val="Hyperlink"/>
            <w:rFonts w:eastAsia="Calibri" w:cs="Calibri"/>
            <w:noProof/>
          </w:rPr>
          <w:t xml:space="preserve">Figura 5. </w:t>
        </w:r>
        <w:r w:rsidRPr="0098308A">
          <w:rPr>
            <w:rStyle w:val="Hyperlink"/>
            <w:rFonts w:eastAsia="Calibri" w:cs="Calibri"/>
            <w:noProof/>
            <w:lang w:val="sq-AL"/>
          </w:rPr>
          <w:t xml:space="preserve"> Kostot vjetore operacionale për operacionet e menaxhimit të mbeturinave</w:t>
        </w:r>
        <w:r>
          <w:rPr>
            <w:noProof/>
            <w:webHidden/>
          </w:rPr>
          <w:tab/>
        </w:r>
        <w:r>
          <w:rPr>
            <w:noProof/>
            <w:webHidden/>
          </w:rPr>
          <w:fldChar w:fldCharType="begin"/>
        </w:r>
        <w:r>
          <w:rPr>
            <w:noProof/>
            <w:webHidden/>
          </w:rPr>
          <w:instrText xml:space="preserve"> PAGEREF _Toc197472308 \h </w:instrText>
        </w:r>
        <w:r>
          <w:rPr>
            <w:noProof/>
            <w:webHidden/>
          </w:rPr>
        </w:r>
        <w:r>
          <w:rPr>
            <w:noProof/>
            <w:webHidden/>
          </w:rPr>
          <w:fldChar w:fldCharType="separate"/>
        </w:r>
        <w:r>
          <w:rPr>
            <w:noProof/>
            <w:webHidden/>
          </w:rPr>
          <w:t>9</w:t>
        </w:r>
        <w:r>
          <w:rPr>
            <w:noProof/>
            <w:webHidden/>
          </w:rPr>
          <w:fldChar w:fldCharType="end"/>
        </w:r>
      </w:hyperlink>
    </w:p>
    <w:p w14:paraId="243C39B3" w14:textId="00EE52A9"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09" w:history="1">
        <w:r w:rsidRPr="0098308A">
          <w:rPr>
            <w:rStyle w:val="Hyperlink"/>
            <w:rFonts w:eastAsia="Calibri" w:cs="Calibri"/>
            <w:noProof/>
          </w:rPr>
          <w:t xml:space="preserve">Figura 6. </w:t>
        </w:r>
        <w:r w:rsidRPr="0098308A">
          <w:rPr>
            <w:rStyle w:val="Hyperlink"/>
            <w:rFonts w:eastAsia="Calibri" w:cs="Calibri"/>
            <w:noProof/>
            <w:lang w:val="sq-AL"/>
          </w:rPr>
          <w:t xml:space="preserve"> Balanca e përgjithshme/masës e sistemit të propozuar të menaxhimit të mbeturinave</w:t>
        </w:r>
        <w:r>
          <w:rPr>
            <w:noProof/>
            <w:webHidden/>
          </w:rPr>
          <w:tab/>
        </w:r>
        <w:r>
          <w:rPr>
            <w:noProof/>
            <w:webHidden/>
          </w:rPr>
          <w:fldChar w:fldCharType="begin"/>
        </w:r>
        <w:r>
          <w:rPr>
            <w:noProof/>
            <w:webHidden/>
          </w:rPr>
          <w:instrText xml:space="preserve"> PAGEREF _Toc197472309 \h </w:instrText>
        </w:r>
        <w:r>
          <w:rPr>
            <w:noProof/>
            <w:webHidden/>
          </w:rPr>
        </w:r>
        <w:r>
          <w:rPr>
            <w:noProof/>
            <w:webHidden/>
          </w:rPr>
          <w:fldChar w:fldCharType="separate"/>
        </w:r>
        <w:r>
          <w:rPr>
            <w:noProof/>
            <w:webHidden/>
          </w:rPr>
          <w:t>10</w:t>
        </w:r>
        <w:r>
          <w:rPr>
            <w:noProof/>
            <w:webHidden/>
          </w:rPr>
          <w:fldChar w:fldCharType="end"/>
        </w:r>
      </w:hyperlink>
    </w:p>
    <w:p w14:paraId="357E3EF3" w14:textId="48E6B124"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10" w:history="1">
        <w:r w:rsidRPr="0098308A">
          <w:rPr>
            <w:rStyle w:val="Hyperlink"/>
            <w:rFonts w:eastAsia="Calibri" w:cs="Calibri"/>
            <w:noProof/>
          </w:rPr>
          <w:t>Figura 7. Bilanca e përgjithshme/masës e sistemit në vitin 2035</w:t>
        </w:r>
        <w:r>
          <w:rPr>
            <w:noProof/>
            <w:webHidden/>
          </w:rPr>
          <w:tab/>
        </w:r>
        <w:r>
          <w:rPr>
            <w:noProof/>
            <w:webHidden/>
          </w:rPr>
          <w:fldChar w:fldCharType="begin"/>
        </w:r>
        <w:r>
          <w:rPr>
            <w:noProof/>
            <w:webHidden/>
          </w:rPr>
          <w:instrText xml:space="preserve"> PAGEREF _Toc197472310 \h </w:instrText>
        </w:r>
        <w:r>
          <w:rPr>
            <w:noProof/>
            <w:webHidden/>
          </w:rPr>
        </w:r>
        <w:r>
          <w:rPr>
            <w:noProof/>
            <w:webHidden/>
          </w:rPr>
          <w:fldChar w:fldCharType="separate"/>
        </w:r>
        <w:r>
          <w:rPr>
            <w:noProof/>
            <w:webHidden/>
          </w:rPr>
          <w:t>11</w:t>
        </w:r>
        <w:r>
          <w:rPr>
            <w:noProof/>
            <w:webHidden/>
          </w:rPr>
          <w:fldChar w:fldCharType="end"/>
        </w:r>
      </w:hyperlink>
    </w:p>
    <w:p w14:paraId="4741CF96" w14:textId="4C8A69A5"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11" w:history="1">
        <w:r w:rsidRPr="0098308A">
          <w:rPr>
            <w:rStyle w:val="Hyperlink"/>
            <w:rFonts w:eastAsia="Calibri" w:cs="Calibri"/>
            <w:noProof/>
          </w:rPr>
          <w:t>Figura 9. Korniza institucionale për menaxhimin e mbeturinave në nivel nacional</w:t>
        </w:r>
        <w:r>
          <w:rPr>
            <w:noProof/>
            <w:webHidden/>
          </w:rPr>
          <w:tab/>
        </w:r>
        <w:r>
          <w:rPr>
            <w:noProof/>
            <w:webHidden/>
          </w:rPr>
          <w:fldChar w:fldCharType="begin"/>
        </w:r>
        <w:r>
          <w:rPr>
            <w:noProof/>
            <w:webHidden/>
          </w:rPr>
          <w:instrText xml:space="preserve"> PAGEREF _Toc197472311 \h </w:instrText>
        </w:r>
        <w:r>
          <w:rPr>
            <w:noProof/>
            <w:webHidden/>
          </w:rPr>
        </w:r>
        <w:r>
          <w:rPr>
            <w:noProof/>
            <w:webHidden/>
          </w:rPr>
          <w:fldChar w:fldCharType="separate"/>
        </w:r>
        <w:r>
          <w:rPr>
            <w:noProof/>
            <w:webHidden/>
          </w:rPr>
          <w:t>27</w:t>
        </w:r>
        <w:r>
          <w:rPr>
            <w:noProof/>
            <w:webHidden/>
          </w:rPr>
          <w:fldChar w:fldCharType="end"/>
        </w:r>
      </w:hyperlink>
    </w:p>
    <w:p w14:paraId="42C58921" w14:textId="322D2831"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12" w:history="1">
        <w:r w:rsidRPr="0098308A">
          <w:rPr>
            <w:rStyle w:val="Hyperlink"/>
            <w:rFonts w:eastAsia="Calibri" w:cs="Calibri"/>
            <w:noProof/>
          </w:rPr>
          <w:t>Figura 10. BPV për kokë banori sipas rajoneve dhe nivelit nacional, €, 2020 dhe 2021</w:t>
        </w:r>
        <w:r>
          <w:rPr>
            <w:noProof/>
            <w:webHidden/>
          </w:rPr>
          <w:tab/>
        </w:r>
        <w:r>
          <w:rPr>
            <w:noProof/>
            <w:webHidden/>
          </w:rPr>
          <w:fldChar w:fldCharType="begin"/>
        </w:r>
        <w:r>
          <w:rPr>
            <w:noProof/>
            <w:webHidden/>
          </w:rPr>
          <w:instrText xml:space="preserve"> PAGEREF _Toc197472312 \h </w:instrText>
        </w:r>
        <w:r>
          <w:rPr>
            <w:noProof/>
            <w:webHidden/>
          </w:rPr>
        </w:r>
        <w:r>
          <w:rPr>
            <w:noProof/>
            <w:webHidden/>
          </w:rPr>
          <w:fldChar w:fldCharType="separate"/>
        </w:r>
        <w:r>
          <w:rPr>
            <w:noProof/>
            <w:webHidden/>
          </w:rPr>
          <w:t>36</w:t>
        </w:r>
        <w:r>
          <w:rPr>
            <w:noProof/>
            <w:webHidden/>
          </w:rPr>
          <w:fldChar w:fldCharType="end"/>
        </w:r>
      </w:hyperlink>
    </w:p>
    <w:p w14:paraId="2F2A9673" w14:textId="010A846F"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13" w:history="1">
        <w:r w:rsidRPr="0098308A">
          <w:rPr>
            <w:rStyle w:val="Hyperlink"/>
            <w:rFonts w:eastAsia="Calibri" w:cs="Calibri"/>
            <w:noProof/>
          </w:rPr>
          <w:t>Figura 11. Struktura ekonomike e rajonit të Pejës, vlera bruto e shtuar sipas aktiviteteve kryesore ekonomike, 2021, burimi ASK</w:t>
        </w:r>
        <w:r>
          <w:rPr>
            <w:noProof/>
            <w:webHidden/>
          </w:rPr>
          <w:tab/>
        </w:r>
        <w:r>
          <w:rPr>
            <w:noProof/>
            <w:webHidden/>
          </w:rPr>
          <w:fldChar w:fldCharType="begin"/>
        </w:r>
        <w:r>
          <w:rPr>
            <w:noProof/>
            <w:webHidden/>
          </w:rPr>
          <w:instrText xml:space="preserve"> PAGEREF _Toc197472313 \h </w:instrText>
        </w:r>
        <w:r>
          <w:rPr>
            <w:noProof/>
            <w:webHidden/>
          </w:rPr>
        </w:r>
        <w:r>
          <w:rPr>
            <w:noProof/>
            <w:webHidden/>
          </w:rPr>
          <w:fldChar w:fldCharType="separate"/>
        </w:r>
        <w:r>
          <w:rPr>
            <w:noProof/>
            <w:webHidden/>
          </w:rPr>
          <w:t>37</w:t>
        </w:r>
        <w:r>
          <w:rPr>
            <w:noProof/>
            <w:webHidden/>
          </w:rPr>
          <w:fldChar w:fldCharType="end"/>
        </w:r>
      </w:hyperlink>
    </w:p>
    <w:p w14:paraId="0FDA7CFE" w14:textId="57083293"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14" w:history="1">
        <w:r w:rsidRPr="0098308A">
          <w:rPr>
            <w:rStyle w:val="Hyperlink"/>
            <w:rFonts w:eastAsia="Calibri" w:cs="Calibri"/>
            <w:noProof/>
          </w:rPr>
          <w:t>Figura 12. Shkalla e punësimit dhe papunësisë në Kosovë, 2018-2023, Burimi ASK</w:t>
        </w:r>
        <w:r>
          <w:rPr>
            <w:noProof/>
            <w:webHidden/>
          </w:rPr>
          <w:tab/>
        </w:r>
        <w:r>
          <w:rPr>
            <w:noProof/>
            <w:webHidden/>
          </w:rPr>
          <w:fldChar w:fldCharType="begin"/>
        </w:r>
        <w:r>
          <w:rPr>
            <w:noProof/>
            <w:webHidden/>
          </w:rPr>
          <w:instrText xml:space="preserve"> PAGEREF _Toc197472314 \h </w:instrText>
        </w:r>
        <w:r>
          <w:rPr>
            <w:noProof/>
            <w:webHidden/>
          </w:rPr>
        </w:r>
        <w:r>
          <w:rPr>
            <w:noProof/>
            <w:webHidden/>
          </w:rPr>
          <w:fldChar w:fldCharType="separate"/>
        </w:r>
        <w:r>
          <w:rPr>
            <w:noProof/>
            <w:webHidden/>
          </w:rPr>
          <w:t>38</w:t>
        </w:r>
        <w:r>
          <w:rPr>
            <w:noProof/>
            <w:webHidden/>
          </w:rPr>
          <w:fldChar w:fldCharType="end"/>
        </w:r>
      </w:hyperlink>
    </w:p>
    <w:p w14:paraId="4BF9CD20" w14:textId="77BEEC56"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15" w:history="1">
        <w:r w:rsidRPr="0098308A">
          <w:rPr>
            <w:rStyle w:val="Hyperlink"/>
            <w:rFonts w:eastAsia="Calibri" w:cs="Calibri"/>
            <w:noProof/>
          </w:rPr>
          <w:t>Figura 13. Numri i vizitorëve vendas dhe ndërkombëtarë dhe netët e kaluara</w:t>
        </w:r>
        <w:r>
          <w:rPr>
            <w:noProof/>
            <w:webHidden/>
          </w:rPr>
          <w:tab/>
        </w:r>
        <w:r>
          <w:rPr>
            <w:noProof/>
            <w:webHidden/>
          </w:rPr>
          <w:fldChar w:fldCharType="begin"/>
        </w:r>
        <w:r>
          <w:rPr>
            <w:noProof/>
            <w:webHidden/>
          </w:rPr>
          <w:instrText xml:space="preserve"> PAGEREF _Toc197472315 \h </w:instrText>
        </w:r>
        <w:r>
          <w:rPr>
            <w:noProof/>
            <w:webHidden/>
          </w:rPr>
        </w:r>
        <w:r>
          <w:rPr>
            <w:noProof/>
            <w:webHidden/>
          </w:rPr>
          <w:fldChar w:fldCharType="separate"/>
        </w:r>
        <w:r>
          <w:rPr>
            <w:noProof/>
            <w:webHidden/>
          </w:rPr>
          <w:t>39</w:t>
        </w:r>
        <w:r>
          <w:rPr>
            <w:noProof/>
            <w:webHidden/>
          </w:rPr>
          <w:fldChar w:fldCharType="end"/>
        </w:r>
      </w:hyperlink>
    </w:p>
    <w:p w14:paraId="493F2EF3" w14:textId="56949F0E"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16" w:history="1">
        <w:r w:rsidRPr="0098308A">
          <w:rPr>
            <w:rStyle w:val="Hyperlink"/>
            <w:rFonts w:eastAsia="Calibri" w:cs="Calibri"/>
            <w:noProof/>
          </w:rPr>
          <w:t>Figura 14. Përbërja e MKI-ve sa i përket potencialit për riciklim/rikuperim</w:t>
        </w:r>
        <w:r>
          <w:rPr>
            <w:noProof/>
            <w:webHidden/>
          </w:rPr>
          <w:tab/>
        </w:r>
        <w:r>
          <w:rPr>
            <w:noProof/>
            <w:webHidden/>
          </w:rPr>
          <w:fldChar w:fldCharType="begin"/>
        </w:r>
        <w:r>
          <w:rPr>
            <w:noProof/>
            <w:webHidden/>
          </w:rPr>
          <w:instrText xml:space="preserve"> PAGEREF _Toc197472316 \h </w:instrText>
        </w:r>
        <w:r>
          <w:rPr>
            <w:noProof/>
            <w:webHidden/>
          </w:rPr>
        </w:r>
        <w:r>
          <w:rPr>
            <w:noProof/>
            <w:webHidden/>
          </w:rPr>
          <w:fldChar w:fldCharType="separate"/>
        </w:r>
        <w:r>
          <w:rPr>
            <w:noProof/>
            <w:webHidden/>
          </w:rPr>
          <w:t>45</w:t>
        </w:r>
        <w:r>
          <w:rPr>
            <w:noProof/>
            <w:webHidden/>
          </w:rPr>
          <w:fldChar w:fldCharType="end"/>
        </w:r>
      </w:hyperlink>
    </w:p>
    <w:p w14:paraId="17F8F074" w14:textId="2FFFD714"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17" w:history="1">
        <w:r w:rsidRPr="0098308A">
          <w:rPr>
            <w:rStyle w:val="Hyperlink"/>
            <w:rFonts w:eastAsia="Calibri" w:cs="Calibri"/>
            <w:noProof/>
          </w:rPr>
          <w:t>Figura 15. Pamje e deponisë në Sverkë</w:t>
        </w:r>
        <w:r>
          <w:rPr>
            <w:noProof/>
            <w:webHidden/>
          </w:rPr>
          <w:tab/>
        </w:r>
        <w:r>
          <w:rPr>
            <w:noProof/>
            <w:webHidden/>
          </w:rPr>
          <w:fldChar w:fldCharType="begin"/>
        </w:r>
        <w:r>
          <w:rPr>
            <w:noProof/>
            <w:webHidden/>
          </w:rPr>
          <w:instrText xml:space="preserve"> PAGEREF _Toc197472317 \h </w:instrText>
        </w:r>
        <w:r>
          <w:rPr>
            <w:noProof/>
            <w:webHidden/>
          </w:rPr>
        </w:r>
        <w:r>
          <w:rPr>
            <w:noProof/>
            <w:webHidden/>
          </w:rPr>
          <w:fldChar w:fldCharType="separate"/>
        </w:r>
        <w:r>
          <w:rPr>
            <w:noProof/>
            <w:webHidden/>
          </w:rPr>
          <w:t>49</w:t>
        </w:r>
        <w:r>
          <w:rPr>
            <w:noProof/>
            <w:webHidden/>
          </w:rPr>
          <w:fldChar w:fldCharType="end"/>
        </w:r>
      </w:hyperlink>
    </w:p>
    <w:p w14:paraId="442D5341" w14:textId="1D3F128F"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18" w:history="1">
        <w:r w:rsidRPr="0098308A">
          <w:rPr>
            <w:rStyle w:val="Hyperlink"/>
            <w:rFonts w:eastAsia="Calibri" w:cs="Calibri"/>
            <w:noProof/>
          </w:rPr>
          <w:t>Figura 16 . Parashikimi i popullsisë për Rajonin e Dukagjinit, 2024-2035</w:t>
        </w:r>
        <w:r>
          <w:rPr>
            <w:noProof/>
            <w:webHidden/>
          </w:rPr>
          <w:tab/>
        </w:r>
        <w:r>
          <w:rPr>
            <w:noProof/>
            <w:webHidden/>
          </w:rPr>
          <w:fldChar w:fldCharType="begin"/>
        </w:r>
        <w:r>
          <w:rPr>
            <w:noProof/>
            <w:webHidden/>
          </w:rPr>
          <w:instrText xml:space="preserve"> PAGEREF _Toc197472318 \h </w:instrText>
        </w:r>
        <w:r>
          <w:rPr>
            <w:noProof/>
            <w:webHidden/>
          </w:rPr>
        </w:r>
        <w:r>
          <w:rPr>
            <w:noProof/>
            <w:webHidden/>
          </w:rPr>
          <w:fldChar w:fldCharType="separate"/>
        </w:r>
        <w:r>
          <w:rPr>
            <w:noProof/>
            <w:webHidden/>
          </w:rPr>
          <w:t>58</w:t>
        </w:r>
        <w:r>
          <w:rPr>
            <w:noProof/>
            <w:webHidden/>
          </w:rPr>
          <w:fldChar w:fldCharType="end"/>
        </w:r>
      </w:hyperlink>
    </w:p>
    <w:p w14:paraId="19DFB889" w14:textId="15510CED"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19" w:history="1">
        <w:r w:rsidRPr="0098308A">
          <w:rPr>
            <w:rStyle w:val="Hyperlink"/>
            <w:rFonts w:eastAsia="Calibri" w:cs="Calibri"/>
            <w:noProof/>
          </w:rPr>
          <w:t>Figura 17. Parashikimi i gjenerimit të mbeturinave komunale, 2024-2035</w:t>
        </w:r>
        <w:r>
          <w:rPr>
            <w:noProof/>
            <w:webHidden/>
          </w:rPr>
          <w:tab/>
        </w:r>
        <w:r>
          <w:rPr>
            <w:noProof/>
            <w:webHidden/>
          </w:rPr>
          <w:fldChar w:fldCharType="begin"/>
        </w:r>
        <w:r>
          <w:rPr>
            <w:noProof/>
            <w:webHidden/>
          </w:rPr>
          <w:instrText xml:space="preserve"> PAGEREF _Toc197472319 \h </w:instrText>
        </w:r>
        <w:r>
          <w:rPr>
            <w:noProof/>
            <w:webHidden/>
          </w:rPr>
        </w:r>
        <w:r>
          <w:rPr>
            <w:noProof/>
            <w:webHidden/>
          </w:rPr>
          <w:fldChar w:fldCharType="separate"/>
        </w:r>
        <w:r>
          <w:rPr>
            <w:noProof/>
            <w:webHidden/>
          </w:rPr>
          <w:t>59</w:t>
        </w:r>
        <w:r>
          <w:rPr>
            <w:noProof/>
            <w:webHidden/>
          </w:rPr>
          <w:fldChar w:fldCharType="end"/>
        </w:r>
      </w:hyperlink>
    </w:p>
    <w:p w14:paraId="36B72408" w14:textId="2BBF794A"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20" w:history="1">
        <w:r w:rsidRPr="0098308A">
          <w:rPr>
            <w:rStyle w:val="Hyperlink"/>
            <w:rFonts w:eastAsia="Calibri" w:cs="Calibri"/>
            <w:noProof/>
          </w:rPr>
          <w:t>Figura 18. Përbërja e mbeturinave komunale</w:t>
        </w:r>
        <w:r>
          <w:rPr>
            <w:noProof/>
            <w:webHidden/>
          </w:rPr>
          <w:tab/>
        </w:r>
        <w:r>
          <w:rPr>
            <w:noProof/>
            <w:webHidden/>
          </w:rPr>
          <w:fldChar w:fldCharType="begin"/>
        </w:r>
        <w:r>
          <w:rPr>
            <w:noProof/>
            <w:webHidden/>
          </w:rPr>
          <w:instrText xml:space="preserve"> PAGEREF _Toc197472320 \h </w:instrText>
        </w:r>
        <w:r>
          <w:rPr>
            <w:noProof/>
            <w:webHidden/>
          </w:rPr>
        </w:r>
        <w:r>
          <w:rPr>
            <w:noProof/>
            <w:webHidden/>
          </w:rPr>
          <w:fldChar w:fldCharType="separate"/>
        </w:r>
        <w:r>
          <w:rPr>
            <w:noProof/>
            <w:webHidden/>
          </w:rPr>
          <w:t>59</w:t>
        </w:r>
        <w:r>
          <w:rPr>
            <w:noProof/>
            <w:webHidden/>
          </w:rPr>
          <w:fldChar w:fldCharType="end"/>
        </w:r>
      </w:hyperlink>
    </w:p>
    <w:p w14:paraId="2AEE0C97" w14:textId="1BD2CE29"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21" w:history="1">
        <w:r w:rsidRPr="0098308A">
          <w:rPr>
            <w:rStyle w:val="Hyperlink"/>
            <w:rFonts w:eastAsia="Calibri" w:cs="Calibri"/>
            <w:noProof/>
          </w:rPr>
          <w:t>Figura 19. Stacioni i transferi me ngjeshje</w:t>
        </w:r>
        <w:r>
          <w:rPr>
            <w:noProof/>
            <w:webHidden/>
          </w:rPr>
          <w:tab/>
        </w:r>
        <w:r>
          <w:rPr>
            <w:noProof/>
            <w:webHidden/>
          </w:rPr>
          <w:fldChar w:fldCharType="begin"/>
        </w:r>
        <w:r>
          <w:rPr>
            <w:noProof/>
            <w:webHidden/>
          </w:rPr>
          <w:instrText xml:space="preserve"> PAGEREF _Toc197472321 \h </w:instrText>
        </w:r>
        <w:r>
          <w:rPr>
            <w:noProof/>
            <w:webHidden/>
          </w:rPr>
        </w:r>
        <w:r>
          <w:rPr>
            <w:noProof/>
            <w:webHidden/>
          </w:rPr>
          <w:fldChar w:fldCharType="separate"/>
        </w:r>
        <w:r>
          <w:rPr>
            <w:noProof/>
            <w:webHidden/>
          </w:rPr>
          <w:t>73</w:t>
        </w:r>
        <w:r>
          <w:rPr>
            <w:noProof/>
            <w:webHidden/>
          </w:rPr>
          <w:fldChar w:fldCharType="end"/>
        </w:r>
      </w:hyperlink>
    </w:p>
    <w:p w14:paraId="0965D3DA" w14:textId="3B68E2E8"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22" w:history="1">
        <w:r w:rsidRPr="0098308A">
          <w:rPr>
            <w:rStyle w:val="Hyperlink"/>
            <w:rFonts w:eastAsia="Calibri" w:cs="Calibri"/>
            <w:noProof/>
          </w:rPr>
          <w:t>Figura 20. Stacione transferi pa ngjeshje</w:t>
        </w:r>
        <w:r>
          <w:rPr>
            <w:noProof/>
            <w:webHidden/>
          </w:rPr>
          <w:tab/>
        </w:r>
        <w:r>
          <w:rPr>
            <w:noProof/>
            <w:webHidden/>
          </w:rPr>
          <w:fldChar w:fldCharType="begin"/>
        </w:r>
        <w:r>
          <w:rPr>
            <w:noProof/>
            <w:webHidden/>
          </w:rPr>
          <w:instrText xml:space="preserve"> PAGEREF _Toc197472322 \h </w:instrText>
        </w:r>
        <w:r>
          <w:rPr>
            <w:noProof/>
            <w:webHidden/>
          </w:rPr>
        </w:r>
        <w:r>
          <w:rPr>
            <w:noProof/>
            <w:webHidden/>
          </w:rPr>
          <w:fldChar w:fldCharType="separate"/>
        </w:r>
        <w:r>
          <w:rPr>
            <w:noProof/>
            <w:webHidden/>
          </w:rPr>
          <w:t>73</w:t>
        </w:r>
        <w:r>
          <w:rPr>
            <w:noProof/>
            <w:webHidden/>
          </w:rPr>
          <w:fldChar w:fldCharType="end"/>
        </w:r>
      </w:hyperlink>
    </w:p>
    <w:p w14:paraId="227D0141" w14:textId="4F66AC68"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23" w:history="1">
        <w:r w:rsidRPr="0098308A">
          <w:rPr>
            <w:rStyle w:val="Hyperlink"/>
            <w:rFonts w:eastAsia="Calibri" w:cs="Calibri"/>
            <w:noProof/>
          </w:rPr>
          <w:t>Figura 21. Ringarkimi nga automjeti mobil/satelitor (majtas) dhe ringarkimi në kontejnerin me ngjeshje (djathtas)</w:t>
        </w:r>
        <w:r>
          <w:rPr>
            <w:noProof/>
            <w:webHidden/>
          </w:rPr>
          <w:tab/>
        </w:r>
        <w:r>
          <w:rPr>
            <w:noProof/>
            <w:webHidden/>
          </w:rPr>
          <w:fldChar w:fldCharType="begin"/>
        </w:r>
        <w:r>
          <w:rPr>
            <w:noProof/>
            <w:webHidden/>
          </w:rPr>
          <w:instrText xml:space="preserve"> PAGEREF _Toc197472323 \h </w:instrText>
        </w:r>
        <w:r>
          <w:rPr>
            <w:noProof/>
            <w:webHidden/>
          </w:rPr>
        </w:r>
        <w:r>
          <w:rPr>
            <w:noProof/>
            <w:webHidden/>
          </w:rPr>
          <w:fldChar w:fldCharType="separate"/>
        </w:r>
        <w:r>
          <w:rPr>
            <w:noProof/>
            <w:webHidden/>
          </w:rPr>
          <w:t>76</w:t>
        </w:r>
        <w:r>
          <w:rPr>
            <w:noProof/>
            <w:webHidden/>
          </w:rPr>
          <w:fldChar w:fldCharType="end"/>
        </w:r>
      </w:hyperlink>
    </w:p>
    <w:p w14:paraId="30A5D0CA" w14:textId="52A46799"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24" w:history="1">
        <w:r w:rsidRPr="0098308A">
          <w:rPr>
            <w:rStyle w:val="Hyperlink"/>
            <w:rFonts w:eastAsia="Calibri" w:cs="Calibri"/>
            <w:noProof/>
          </w:rPr>
          <w:t>Figure 23. Lloje të ndryshme të sistemeve për sjelljen e mbeturinave</w:t>
        </w:r>
        <w:r>
          <w:rPr>
            <w:noProof/>
            <w:webHidden/>
          </w:rPr>
          <w:tab/>
        </w:r>
        <w:r>
          <w:rPr>
            <w:noProof/>
            <w:webHidden/>
          </w:rPr>
          <w:fldChar w:fldCharType="begin"/>
        </w:r>
        <w:r>
          <w:rPr>
            <w:noProof/>
            <w:webHidden/>
          </w:rPr>
          <w:instrText xml:space="preserve"> PAGEREF _Toc197472324 \h </w:instrText>
        </w:r>
        <w:r>
          <w:rPr>
            <w:noProof/>
            <w:webHidden/>
          </w:rPr>
        </w:r>
        <w:r>
          <w:rPr>
            <w:noProof/>
            <w:webHidden/>
          </w:rPr>
          <w:fldChar w:fldCharType="separate"/>
        </w:r>
        <w:r>
          <w:rPr>
            <w:noProof/>
            <w:webHidden/>
          </w:rPr>
          <w:t>77</w:t>
        </w:r>
        <w:r>
          <w:rPr>
            <w:noProof/>
            <w:webHidden/>
          </w:rPr>
          <w:fldChar w:fldCharType="end"/>
        </w:r>
      </w:hyperlink>
    </w:p>
    <w:p w14:paraId="6447955F" w14:textId="33C5AA16"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25" w:history="1">
        <w:r w:rsidRPr="0098308A">
          <w:rPr>
            <w:rStyle w:val="Hyperlink"/>
            <w:rFonts w:eastAsia="Calibri" w:cs="Calibri"/>
            <w:noProof/>
          </w:rPr>
          <w:t>Figura 24. Banorët të cilëve u ofrohen shërbime të grumbullimit ndaras të mbeturinave</w:t>
        </w:r>
        <w:r>
          <w:rPr>
            <w:noProof/>
            <w:webHidden/>
          </w:rPr>
          <w:tab/>
        </w:r>
        <w:r>
          <w:rPr>
            <w:noProof/>
            <w:webHidden/>
          </w:rPr>
          <w:fldChar w:fldCharType="begin"/>
        </w:r>
        <w:r>
          <w:rPr>
            <w:noProof/>
            <w:webHidden/>
          </w:rPr>
          <w:instrText xml:space="preserve"> PAGEREF _Toc197472325 \h </w:instrText>
        </w:r>
        <w:r>
          <w:rPr>
            <w:noProof/>
            <w:webHidden/>
          </w:rPr>
        </w:r>
        <w:r>
          <w:rPr>
            <w:noProof/>
            <w:webHidden/>
          </w:rPr>
          <w:fldChar w:fldCharType="separate"/>
        </w:r>
        <w:r>
          <w:rPr>
            <w:noProof/>
            <w:webHidden/>
          </w:rPr>
          <w:t>78</w:t>
        </w:r>
        <w:r>
          <w:rPr>
            <w:noProof/>
            <w:webHidden/>
          </w:rPr>
          <w:fldChar w:fldCharType="end"/>
        </w:r>
      </w:hyperlink>
    </w:p>
    <w:p w14:paraId="293A3BFF" w14:textId="118E1B19"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26" w:history="1">
        <w:r w:rsidRPr="0098308A">
          <w:rPr>
            <w:rStyle w:val="Hyperlink"/>
            <w:rFonts w:eastAsia="Calibri" w:cs="Calibri"/>
            <w:noProof/>
          </w:rPr>
          <w:t>Figura 25. Shembuj të TMB</w:t>
        </w:r>
        <w:r>
          <w:rPr>
            <w:noProof/>
            <w:webHidden/>
          </w:rPr>
          <w:tab/>
        </w:r>
        <w:r>
          <w:rPr>
            <w:noProof/>
            <w:webHidden/>
          </w:rPr>
          <w:fldChar w:fldCharType="begin"/>
        </w:r>
        <w:r>
          <w:rPr>
            <w:noProof/>
            <w:webHidden/>
          </w:rPr>
          <w:instrText xml:space="preserve"> PAGEREF _Toc197472326 \h </w:instrText>
        </w:r>
        <w:r>
          <w:rPr>
            <w:noProof/>
            <w:webHidden/>
          </w:rPr>
        </w:r>
        <w:r>
          <w:rPr>
            <w:noProof/>
            <w:webHidden/>
          </w:rPr>
          <w:fldChar w:fldCharType="separate"/>
        </w:r>
        <w:r>
          <w:rPr>
            <w:noProof/>
            <w:webHidden/>
          </w:rPr>
          <w:t>86</w:t>
        </w:r>
        <w:r>
          <w:rPr>
            <w:noProof/>
            <w:webHidden/>
          </w:rPr>
          <w:fldChar w:fldCharType="end"/>
        </w:r>
      </w:hyperlink>
    </w:p>
    <w:p w14:paraId="3A1C815A" w14:textId="01B2A70B"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27" w:history="1">
        <w:r w:rsidRPr="0098308A">
          <w:rPr>
            <w:rStyle w:val="Hyperlink"/>
            <w:rFonts w:eastAsia="Calibri" w:cs="Calibri"/>
            <w:noProof/>
          </w:rPr>
          <w:t>Figura 26. Sistemet e kompostimit</w:t>
        </w:r>
        <w:r>
          <w:rPr>
            <w:noProof/>
            <w:webHidden/>
          </w:rPr>
          <w:tab/>
        </w:r>
        <w:r>
          <w:rPr>
            <w:noProof/>
            <w:webHidden/>
          </w:rPr>
          <w:fldChar w:fldCharType="begin"/>
        </w:r>
        <w:r>
          <w:rPr>
            <w:noProof/>
            <w:webHidden/>
          </w:rPr>
          <w:instrText xml:space="preserve"> PAGEREF _Toc197472327 \h </w:instrText>
        </w:r>
        <w:r>
          <w:rPr>
            <w:noProof/>
            <w:webHidden/>
          </w:rPr>
        </w:r>
        <w:r>
          <w:rPr>
            <w:noProof/>
            <w:webHidden/>
          </w:rPr>
          <w:fldChar w:fldCharType="separate"/>
        </w:r>
        <w:r>
          <w:rPr>
            <w:noProof/>
            <w:webHidden/>
          </w:rPr>
          <w:t>88</w:t>
        </w:r>
        <w:r>
          <w:rPr>
            <w:noProof/>
            <w:webHidden/>
          </w:rPr>
          <w:fldChar w:fldCharType="end"/>
        </w:r>
      </w:hyperlink>
    </w:p>
    <w:p w14:paraId="729B19C2" w14:textId="1C5B4C35"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28" w:history="1">
        <w:r w:rsidRPr="0098308A">
          <w:rPr>
            <w:rStyle w:val="Hyperlink"/>
            <w:rFonts w:eastAsia="Calibri" w:cs="Calibri"/>
            <w:noProof/>
          </w:rPr>
          <w:t xml:space="preserve">Figure 27. </w:t>
        </w:r>
        <w:r w:rsidRPr="0098308A">
          <w:rPr>
            <w:rStyle w:val="Hyperlink"/>
            <w:rFonts w:eastAsia="Calibri" w:cs="Calibri"/>
            <w:noProof/>
            <w:lang w:val="en-GB"/>
          </w:rPr>
          <w:t>Shembull i një komposteri jo të kushtueshëm</w:t>
        </w:r>
        <w:r>
          <w:rPr>
            <w:noProof/>
            <w:webHidden/>
          </w:rPr>
          <w:tab/>
        </w:r>
        <w:r>
          <w:rPr>
            <w:noProof/>
            <w:webHidden/>
          </w:rPr>
          <w:fldChar w:fldCharType="begin"/>
        </w:r>
        <w:r>
          <w:rPr>
            <w:noProof/>
            <w:webHidden/>
          </w:rPr>
          <w:instrText xml:space="preserve"> PAGEREF _Toc197472328 \h </w:instrText>
        </w:r>
        <w:r>
          <w:rPr>
            <w:noProof/>
            <w:webHidden/>
          </w:rPr>
        </w:r>
        <w:r>
          <w:rPr>
            <w:noProof/>
            <w:webHidden/>
          </w:rPr>
          <w:fldChar w:fldCharType="separate"/>
        </w:r>
        <w:r>
          <w:rPr>
            <w:noProof/>
            <w:webHidden/>
          </w:rPr>
          <w:t>91</w:t>
        </w:r>
        <w:r>
          <w:rPr>
            <w:noProof/>
            <w:webHidden/>
          </w:rPr>
          <w:fldChar w:fldCharType="end"/>
        </w:r>
      </w:hyperlink>
    </w:p>
    <w:p w14:paraId="43380CEE" w14:textId="79E9E69A"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29" w:history="1">
        <w:r w:rsidRPr="0098308A">
          <w:rPr>
            <w:rStyle w:val="Hyperlink"/>
            <w:rFonts w:eastAsia="Calibri" w:cs="Calibri"/>
            <w:noProof/>
          </w:rPr>
          <w:t>Figure 28. Thërrmuesi për MNRr</w:t>
        </w:r>
        <w:r>
          <w:rPr>
            <w:noProof/>
            <w:webHidden/>
          </w:rPr>
          <w:tab/>
        </w:r>
        <w:r>
          <w:rPr>
            <w:noProof/>
            <w:webHidden/>
          </w:rPr>
          <w:fldChar w:fldCharType="begin"/>
        </w:r>
        <w:r>
          <w:rPr>
            <w:noProof/>
            <w:webHidden/>
          </w:rPr>
          <w:instrText xml:space="preserve"> PAGEREF _Toc197472329 \h </w:instrText>
        </w:r>
        <w:r>
          <w:rPr>
            <w:noProof/>
            <w:webHidden/>
          </w:rPr>
        </w:r>
        <w:r>
          <w:rPr>
            <w:noProof/>
            <w:webHidden/>
          </w:rPr>
          <w:fldChar w:fldCharType="separate"/>
        </w:r>
        <w:r>
          <w:rPr>
            <w:noProof/>
            <w:webHidden/>
          </w:rPr>
          <w:t>101</w:t>
        </w:r>
        <w:r>
          <w:rPr>
            <w:noProof/>
            <w:webHidden/>
          </w:rPr>
          <w:fldChar w:fldCharType="end"/>
        </w:r>
      </w:hyperlink>
    </w:p>
    <w:p w14:paraId="5854DE33" w14:textId="49AE945E"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30" w:history="1">
        <w:r w:rsidRPr="0098308A">
          <w:rPr>
            <w:rStyle w:val="Hyperlink"/>
            <w:rFonts w:eastAsia="Calibri" w:cs="Calibri"/>
            <w:noProof/>
          </w:rPr>
          <w:t>Figure 29. Pikë grumbullimi për mbeturinat e vëllimshme</w:t>
        </w:r>
        <w:r>
          <w:rPr>
            <w:noProof/>
            <w:webHidden/>
          </w:rPr>
          <w:tab/>
        </w:r>
        <w:r>
          <w:rPr>
            <w:noProof/>
            <w:webHidden/>
          </w:rPr>
          <w:fldChar w:fldCharType="begin"/>
        </w:r>
        <w:r>
          <w:rPr>
            <w:noProof/>
            <w:webHidden/>
          </w:rPr>
          <w:instrText xml:space="preserve"> PAGEREF _Toc197472330 \h </w:instrText>
        </w:r>
        <w:r>
          <w:rPr>
            <w:noProof/>
            <w:webHidden/>
          </w:rPr>
        </w:r>
        <w:r>
          <w:rPr>
            <w:noProof/>
            <w:webHidden/>
          </w:rPr>
          <w:fldChar w:fldCharType="separate"/>
        </w:r>
        <w:r>
          <w:rPr>
            <w:noProof/>
            <w:webHidden/>
          </w:rPr>
          <w:t>102</w:t>
        </w:r>
        <w:r>
          <w:rPr>
            <w:noProof/>
            <w:webHidden/>
          </w:rPr>
          <w:fldChar w:fldCharType="end"/>
        </w:r>
      </w:hyperlink>
    </w:p>
    <w:p w14:paraId="4ADD3F44" w14:textId="7ED12C1E"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31" w:history="1">
        <w:r w:rsidRPr="0098308A">
          <w:rPr>
            <w:rStyle w:val="Hyperlink"/>
            <w:rFonts w:eastAsia="Calibri" w:cs="Calibri"/>
            <w:noProof/>
          </w:rPr>
          <w:t>Figure 30. Oborr tipik riciklimi</w:t>
        </w:r>
        <w:r>
          <w:rPr>
            <w:noProof/>
            <w:webHidden/>
          </w:rPr>
          <w:tab/>
        </w:r>
        <w:r>
          <w:rPr>
            <w:noProof/>
            <w:webHidden/>
          </w:rPr>
          <w:fldChar w:fldCharType="begin"/>
        </w:r>
        <w:r>
          <w:rPr>
            <w:noProof/>
            <w:webHidden/>
          </w:rPr>
          <w:instrText xml:space="preserve"> PAGEREF _Toc197472331 \h </w:instrText>
        </w:r>
        <w:r>
          <w:rPr>
            <w:noProof/>
            <w:webHidden/>
          </w:rPr>
        </w:r>
        <w:r>
          <w:rPr>
            <w:noProof/>
            <w:webHidden/>
          </w:rPr>
          <w:fldChar w:fldCharType="separate"/>
        </w:r>
        <w:r>
          <w:rPr>
            <w:noProof/>
            <w:webHidden/>
          </w:rPr>
          <w:t>103</w:t>
        </w:r>
        <w:r>
          <w:rPr>
            <w:noProof/>
            <w:webHidden/>
          </w:rPr>
          <w:fldChar w:fldCharType="end"/>
        </w:r>
      </w:hyperlink>
    </w:p>
    <w:p w14:paraId="24D0ED65" w14:textId="0C4E0FF3"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32" w:history="1">
        <w:r w:rsidRPr="0098308A">
          <w:rPr>
            <w:rStyle w:val="Hyperlink"/>
            <w:rFonts w:eastAsia="Calibri" w:cs="Calibri"/>
            <w:noProof/>
          </w:rPr>
          <w:t>Figura 31. Vendndodhja e objekteve të parashikuara për menaxhimin e mbeturinave në WMZ</w:t>
        </w:r>
        <w:r>
          <w:rPr>
            <w:noProof/>
            <w:webHidden/>
          </w:rPr>
          <w:tab/>
        </w:r>
        <w:r>
          <w:rPr>
            <w:noProof/>
            <w:webHidden/>
          </w:rPr>
          <w:fldChar w:fldCharType="begin"/>
        </w:r>
        <w:r>
          <w:rPr>
            <w:noProof/>
            <w:webHidden/>
          </w:rPr>
          <w:instrText xml:space="preserve"> PAGEREF _Toc197472332 \h </w:instrText>
        </w:r>
        <w:r>
          <w:rPr>
            <w:noProof/>
            <w:webHidden/>
          </w:rPr>
        </w:r>
        <w:r>
          <w:rPr>
            <w:noProof/>
            <w:webHidden/>
          </w:rPr>
          <w:fldChar w:fldCharType="separate"/>
        </w:r>
        <w:r>
          <w:rPr>
            <w:noProof/>
            <w:webHidden/>
          </w:rPr>
          <w:t>117</w:t>
        </w:r>
        <w:r>
          <w:rPr>
            <w:noProof/>
            <w:webHidden/>
          </w:rPr>
          <w:fldChar w:fldCharType="end"/>
        </w:r>
      </w:hyperlink>
    </w:p>
    <w:p w14:paraId="7E2FFF6C" w14:textId="2F763603"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33" w:history="1">
        <w:r w:rsidRPr="0098308A">
          <w:rPr>
            <w:rStyle w:val="Hyperlink"/>
            <w:rFonts w:eastAsia="Calibri" w:cs="Calibri"/>
            <w:noProof/>
          </w:rPr>
          <w:t>Figura 32. Kostot e investimit për operacionalizimin e menaxhimit të mbeturinave</w:t>
        </w:r>
        <w:r>
          <w:rPr>
            <w:noProof/>
            <w:webHidden/>
          </w:rPr>
          <w:tab/>
        </w:r>
        <w:r>
          <w:rPr>
            <w:noProof/>
            <w:webHidden/>
          </w:rPr>
          <w:fldChar w:fldCharType="begin"/>
        </w:r>
        <w:r>
          <w:rPr>
            <w:noProof/>
            <w:webHidden/>
          </w:rPr>
          <w:instrText xml:space="preserve"> PAGEREF _Toc197472333 \h </w:instrText>
        </w:r>
        <w:r>
          <w:rPr>
            <w:noProof/>
            <w:webHidden/>
          </w:rPr>
        </w:r>
        <w:r>
          <w:rPr>
            <w:noProof/>
            <w:webHidden/>
          </w:rPr>
          <w:fldChar w:fldCharType="separate"/>
        </w:r>
        <w:r>
          <w:rPr>
            <w:noProof/>
            <w:webHidden/>
          </w:rPr>
          <w:t>118</w:t>
        </w:r>
        <w:r>
          <w:rPr>
            <w:noProof/>
            <w:webHidden/>
          </w:rPr>
          <w:fldChar w:fldCharType="end"/>
        </w:r>
      </w:hyperlink>
    </w:p>
    <w:p w14:paraId="1266DA3B" w14:textId="4627A1A9"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34" w:history="1">
        <w:r w:rsidRPr="0098308A">
          <w:rPr>
            <w:rStyle w:val="Hyperlink"/>
            <w:rFonts w:eastAsia="Calibri" w:cs="Calibri"/>
            <w:noProof/>
          </w:rPr>
          <w:t>Figura 33. Kostot vjetore operacionale për operacionet të menaxhimit të mbeturinave</w:t>
        </w:r>
        <w:r>
          <w:rPr>
            <w:noProof/>
            <w:webHidden/>
          </w:rPr>
          <w:tab/>
        </w:r>
        <w:r>
          <w:rPr>
            <w:noProof/>
            <w:webHidden/>
          </w:rPr>
          <w:fldChar w:fldCharType="begin"/>
        </w:r>
        <w:r>
          <w:rPr>
            <w:noProof/>
            <w:webHidden/>
          </w:rPr>
          <w:instrText xml:space="preserve"> PAGEREF _Toc197472334 \h </w:instrText>
        </w:r>
        <w:r>
          <w:rPr>
            <w:noProof/>
            <w:webHidden/>
          </w:rPr>
        </w:r>
        <w:r>
          <w:rPr>
            <w:noProof/>
            <w:webHidden/>
          </w:rPr>
          <w:fldChar w:fldCharType="separate"/>
        </w:r>
        <w:r>
          <w:rPr>
            <w:noProof/>
            <w:webHidden/>
          </w:rPr>
          <w:t>119</w:t>
        </w:r>
        <w:r>
          <w:rPr>
            <w:noProof/>
            <w:webHidden/>
          </w:rPr>
          <w:fldChar w:fldCharType="end"/>
        </w:r>
      </w:hyperlink>
    </w:p>
    <w:p w14:paraId="0ECED6FD" w14:textId="4DCFBEB0"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35" w:history="1">
        <w:r w:rsidRPr="0098308A">
          <w:rPr>
            <w:rStyle w:val="Hyperlink"/>
            <w:rFonts w:eastAsia="Calibri" w:cs="Calibri"/>
            <w:noProof/>
          </w:rPr>
          <w:t>Figura 34. Kostot vjetore për operacione të menaxhimit të mbeturinave</w:t>
        </w:r>
        <w:r>
          <w:rPr>
            <w:noProof/>
            <w:webHidden/>
          </w:rPr>
          <w:tab/>
        </w:r>
        <w:r>
          <w:rPr>
            <w:noProof/>
            <w:webHidden/>
          </w:rPr>
          <w:fldChar w:fldCharType="begin"/>
        </w:r>
        <w:r>
          <w:rPr>
            <w:noProof/>
            <w:webHidden/>
          </w:rPr>
          <w:instrText xml:space="preserve"> PAGEREF _Toc197472335 \h </w:instrText>
        </w:r>
        <w:r>
          <w:rPr>
            <w:noProof/>
            <w:webHidden/>
          </w:rPr>
        </w:r>
        <w:r>
          <w:rPr>
            <w:noProof/>
            <w:webHidden/>
          </w:rPr>
          <w:fldChar w:fldCharType="separate"/>
        </w:r>
        <w:r>
          <w:rPr>
            <w:noProof/>
            <w:webHidden/>
          </w:rPr>
          <w:t>120</w:t>
        </w:r>
        <w:r>
          <w:rPr>
            <w:noProof/>
            <w:webHidden/>
          </w:rPr>
          <w:fldChar w:fldCharType="end"/>
        </w:r>
      </w:hyperlink>
    </w:p>
    <w:p w14:paraId="301A5B50" w14:textId="10E21C8D"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36" w:history="1">
        <w:r w:rsidRPr="0098308A">
          <w:rPr>
            <w:rStyle w:val="Hyperlink"/>
            <w:rFonts w:eastAsia="Calibri" w:cs="Calibri"/>
            <w:noProof/>
          </w:rPr>
          <w:t>Figura 35. Kostot vjetore për llojin e kostos</w:t>
        </w:r>
        <w:r>
          <w:rPr>
            <w:noProof/>
            <w:webHidden/>
          </w:rPr>
          <w:tab/>
        </w:r>
        <w:r>
          <w:rPr>
            <w:noProof/>
            <w:webHidden/>
          </w:rPr>
          <w:fldChar w:fldCharType="begin"/>
        </w:r>
        <w:r>
          <w:rPr>
            <w:noProof/>
            <w:webHidden/>
          </w:rPr>
          <w:instrText xml:space="preserve"> PAGEREF _Toc197472336 \h </w:instrText>
        </w:r>
        <w:r>
          <w:rPr>
            <w:noProof/>
            <w:webHidden/>
          </w:rPr>
        </w:r>
        <w:r>
          <w:rPr>
            <w:noProof/>
            <w:webHidden/>
          </w:rPr>
          <w:fldChar w:fldCharType="separate"/>
        </w:r>
        <w:r>
          <w:rPr>
            <w:noProof/>
            <w:webHidden/>
          </w:rPr>
          <w:t>120</w:t>
        </w:r>
        <w:r>
          <w:rPr>
            <w:noProof/>
            <w:webHidden/>
          </w:rPr>
          <w:fldChar w:fldCharType="end"/>
        </w:r>
      </w:hyperlink>
    </w:p>
    <w:p w14:paraId="7E2DD6C3" w14:textId="3AF6327A"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37" w:history="1">
        <w:r w:rsidRPr="0098308A">
          <w:rPr>
            <w:rStyle w:val="Hyperlink"/>
            <w:rFonts w:eastAsia="Calibri" w:cs="Calibri"/>
            <w:noProof/>
          </w:rPr>
          <w:t>Figura 36. Kostot vjetore për njësi për ton mbeturina të gjeneruara</w:t>
        </w:r>
        <w:r>
          <w:rPr>
            <w:noProof/>
            <w:webHidden/>
          </w:rPr>
          <w:tab/>
        </w:r>
        <w:r>
          <w:rPr>
            <w:noProof/>
            <w:webHidden/>
          </w:rPr>
          <w:fldChar w:fldCharType="begin"/>
        </w:r>
        <w:r>
          <w:rPr>
            <w:noProof/>
            <w:webHidden/>
          </w:rPr>
          <w:instrText xml:space="preserve"> PAGEREF _Toc197472337 \h </w:instrText>
        </w:r>
        <w:r>
          <w:rPr>
            <w:noProof/>
            <w:webHidden/>
          </w:rPr>
        </w:r>
        <w:r>
          <w:rPr>
            <w:noProof/>
            <w:webHidden/>
          </w:rPr>
          <w:fldChar w:fldCharType="separate"/>
        </w:r>
        <w:r>
          <w:rPr>
            <w:noProof/>
            <w:webHidden/>
          </w:rPr>
          <w:t>121</w:t>
        </w:r>
        <w:r>
          <w:rPr>
            <w:noProof/>
            <w:webHidden/>
          </w:rPr>
          <w:fldChar w:fldCharType="end"/>
        </w:r>
      </w:hyperlink>
    </w:p>
    <w:p w14:paraId="3F94FAB7" w14:textId="3CA00354"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38" w:history="1">
        <w:r w:rsidRPr="0098308A">
          <w:rPr>
            <w:rStyle w:val="Hyperlink"/>
            <w:rFonts w:eastAsia="Calibri" w:cs="Calibri"/>
            <w:noProof/>
          </w:rPr>
          <w:t>Figura 37. Bilanca e përgjithshme/masës e sistemit të propozuar të menaxhimit të mbeturinave gjatë periudhës së planifikimit.</w:t>
        </w:r>
        <w:r>
          <w:rPr>
            <w:noProof/>
            <w:webHidden/>
          </w:rPr>
          <w:tab/>
        </w:r>
        <w:r>
          <w:rPr>
            <w:noProof/>
            <w:webHidden/>
          </w:rPr>
          <w:fldChar w:fldCharType="begin"/>
        </w:r>
        <w:r>
          <w:rPr>
            <w:noProof/>
            <w:webHidden/>
          </w:rPr>
          <w:instrText xml:space="preserve"> PAGEREF _Toc197472338 \h </w:instrText>
        </w:r>
        <w:r>
          <w:rPr>
            <w:noProof/>
            <w:webHidden/>
          </w:rPr>
        </w:r>
        <w:r>
          <w:rPr>
            <w:noProof/>
            <w:webHidden/>
          </w:rPr>
          <w:fldChar w:fldCharType="separate"/>
        </w:r>
        <w:r>
          <w:rPr>
            <w:noProof/>
            <w:webHidden/>
          </w:rPr>
          <w:t>123</w:t>
        </w:r>
        <w:r>
          <w:rPr>
            <w:noProof/>
            <w:webHidden/>
          </w:rPr>
          <w:fldChar w:fldCharType="end"/>
        </w:r>
      </w:hyperlink>
    </w:p>
    <w:p w14:paraId="51630C55" w14:textId="77357B60"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39" w:history="1">
        <w:r w:rsidRPr="0098308A">
          <w:rPr>
            <w:rStyle w:val="Hyperlink"/>
            <w:rFonts w:eastAsia="Calibri" w:cs="Calibri"/>
            <w:noProof/>
          </w:rPr>
          <w:t>Figura 38. Balanca e përgjithshme/masës e sistemit në vitin 2035</w:t>
        </w:r>
        <w:r>
          <w:rPr>
            <w:noProof/>
            <w:webHidden/>
          </w:rPr>
          <w:tab/>
        </w:r>
        <w:r>
          <w:rPr>
            <w:noProof/>
            <w:webHidden/>
          </w:rPr>
          <w:fldChar w:fldCharType="begin"/>
        </w:r>
        <w:r>
          <w:rPr>
            <w:noProof/>
            <w:webHidden/>
          </w:rPr>
          <w:instrText xml:space="preserve"> PAGEREF _Toc197472339 \h </w:instrText>
        </w:r>
        <w:r>
          <w:rPr>
            <w:noProof/>
            <w:webHidden/>
          </w:rPr>
        </w:r>
        <w:r>
          <w:rPr>
            <w:noProof/>
            <w:webHidden/>
          </w:rPr>
          <w:fldChar w:fldCharType="separate"/>
        </w:r>
        <w:r>
          <w:rPr>
            <w:noProof/>
            <w:webHidden/>
          </w:rPr>
          <w:t>123</w:t>
        </w:r>
        <w:r>
          <w:rPr>
            <w:noProof/>
            <w:webHidden/>
          </w:rPr>
          <w:fldChar w:fldCharType="end"/>
        </w:r>
      </w:hyperlink>
    </w:p>
    <w:p w14:paraId="5FDCE827" w14:textId="7A0552D8"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40" w:history="1">
        <w:r w:rsidRPr="0098308A">
          <w:rPr>
            <w:rStyle w:val="Hyperlink"/>
            <w:rFonts w:eastAsia="Calibri" w:cs="Calibri"/>
            <w:noProof/>
          </w:rPr>
          <w:t>Figura 39. Kostot e investimieve për grumbullimin ndaras të mbeturinave</w:t>
        </w:r>
        <w:r>
          <w:rPr>
            <w:noProof/>
            <w:webHidden/>
          </w:rPr>
          <w:tab/>
        </w:r>
        <w:r>
          <w:rPr>
            <w:noProof/>
            <w:webHidden/>
          </w:rPr>
          <w:fldChar w:fldCharType="begin"/>
        </w:r>
        <w:r>
          <w:rPr>
            <w:noProof/>
            <w:webHidden/>
          </w:rPr>
          <w:instrText xml:space="preserve"> PAGEREF _Toc197472340 \h </w:instrText>
        </w:r>
        <w:r>
          <w:rPr>
            <w:noProof/>
            <w:webHidden/>
          </w:rPr>
        </w:r>
        <w:r>
          <w:rPr>
            <w:noProof/>
            <w:webHidden/>
          </w:rPr>
          <w:fldChar w:fldCharType="separate"/>
        </w:r>
        <w:r>
          <w:rPr>
            <w:noProof/>
            <w:webHidden/>
          </w:rPr>
          <w:t>143</w:t>
        </w:r>
        <w:r>
          <w:rPr>
            <w:noProof/>
            <w:webHidden/>
          </w:rPr>
          <w:fldChar w:fldCharType="end"/>
        </w:r>
      </w:hyperlink>
    </w:p>
    <w:p w14:paraId="38C300C0" w14:textId="28CA8411"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41" w:history="1">
        <w:r w:rsidRPr="0098308A">
          <w:rPr>
            <w:rStyle w:val="Hyperlink"/>
            <w:rFonts w:eastAsia="Calibri" w:cs="Calibri"/>
            <w:noProof/>
          </w:rPr>
          <w:t>Figura 40. Kostot vjetore për grumbullimin ndaras, klasifikimin e materialeve të riciklueshme të grumbulluara ndaras dhe të hyrat nga shitjet e materialeve të riciklueshme</w:t>
        </w:r>
        <w:r>
          <w:rPr>
            <w:noProof/>
            <w:webHidden/>
          </w:rPr>
          <w:tab/>
        </w:r>
        <w:r>
          <w:rPr>
            <w:noProof/>
            <w:webHidden/>
          </w:rPr>
          <w:fldChar w:fldCharType="begin"/>
        </w:r>
        <w:r>
          <w:rPr>
            <w:noProof/>
            <w:webHidden/>
          </w:rPr>
          <w:instrText xml:space="preserve"> PAGEREF _Toc197472341 \h </w:instrText>
        </w:r>
        <w:r>
          <w:rPr>
            <w:noProof/>
            <w:webHidden/>
          </w:rPr>
        </w:r>
        <w:r>
          <w:rPr>
            <w:noProof/>
            <w:webHidden/>
          </w:rPr>
          <w:fldChar w:fldCharType="separate"/>
        </w:r>
        <w:r>
          <w:rPr>
            <w:noProof/>
            <w:webHidden/>
          </w:rPr>
          <w:t>145</w:t>
        </w:r>
        <w:r>
          <w:rPr>
            <w:noProof/>
            <w:webHidden/>
          </w:rPr>
          <w:fldChar w:fldCharType="end"/>
        </w:r>
      </w:hyperlink>
    </w:p>
    <w:p w14:paraId="2C00A4C3" w14:textId="71E2BE86"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42" w:history="1">
        <w:r w:rsidRPr="0098308A">
          <w:rPr>
            <w:rStyle w:val="Hyperlink"/>
            <w:rFonts w:eastAsia="Calibri" w:cs="Calibri"/>
            <w:noProof/>
          </w:rPr>
          <w:t>Figure 41. Impiant tipik kompostimi palë palë</w:t>
        </w:r>
        <w:r>
          <w:rPr>
            <w:noProof/>
            <w:webHidden/>
          </w:rPr>
          <w:tab/>
        </w:r>
        <w:r>
          <w:rPr>
            <w:noProof/>
            <w:webHidden/>
          </w:rPr>
          <w:fldChar w:fldCharType="begin"/>
        </w:r>
        <w:r>
          <w:rPr>
            <w:noProof/>
            <w:webHidden/>
          </w:rPr>
          <w:instrText xml:space="preserve"> PAGEREF _Toc197472342 \h </w:instrText>
        </w:r>
        <w:r>
          <w:rPr>
            <w:noProof/>
            <w:webHidden/>
          </w:rPr>
        </w:r>
        <w:r>
          <w:rPr>
            <w:noProof/>
            <w:webHidden/>
          </w:rPr>
          <w:fldChar w:fldCharType="separate"/>
        </w:r>
        <w:r>
          <w:rPr>
            <w:noProof/>
            <w:webHidden/>
          </w:rPr>
          <w:t>146</w:t>
        </w:r>
        <w:r>
          <w:rPr>
            <w:noProof/>
            <w:webHidden/>
          </w:rPr>
          <w:fldChar w:fldCharType="end"/>
        </w:r>
      </w:hyperlink>
    </w:p>
    <w:p w14:paraId="2FBD8C9B" w14:textId="7FA83E8B"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43" w:history="1">
        <w:r w:rsidRPr="0098308A">
          <w:rPr>
            <w:rStyle w:val="Hyperlink"/>
            <w:rFonts w:eastAsia="Calibri" w:cs="Calibri"/>
            <w:noProof/>
          </w:rPr>
          <w:t>Figura 42. Kostot vjetore operacionale në deponinë rajonale</w:t>
        </w:r>
        <w:r>
          <w:rPr>
            <w:noProof/>
            <w:webHidden/>
          </w:rPr>
          <w:tab/>
        </w:r>
        <w:r>
          <w:rPr>
            <w:noProof/>
            <w:webHidden/>
          </w:rPr>
          <w:fldChar w:fldCharType="begin"/>
        </w:r>
        <w:r>
          <w:rPr>
            <w:noProof/>
            <w:webHidden/>
          </w:rPr>
          <w:instrText xml:space="preserve"> PAGEREF _Toc197472343 \h </w:instrText>
        </w:r>
        <w:r>
          <w:rPr>
            <w:noProof/>
            <w:webHidden/>
          </w:rPr>
        </w:r>
        <w:r>
          <w:rPr>
            <w:noProof/>
            <w:webHidden/>
          </w:rPr>
          <w:fldChar w:fldCharType="separate"/>
        </w:r>
        <w:r>
          <w:rPr>
            <w:noProof/>
            <w:webHidden/>
          </w:rPr>
          <w:t>152</w:t>
        </w:r>
        <w:r>
          <w:rPr>
            <w:noProof/>
            <w:webHidden/>
          </w:rPr>
          <w:fldChar w:fldCharType="end"/>
        </w:r>
      </w:hyperlink>
    </w:p>
    <w:p w14:paraId="15C7DFE4" w14:textId="6E04EF8E"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44" w:history="1">
        <w:r w:rsidRPr="0098308A">
          <w:rPr>
            <w:rStyle w:val="Hyperlink"/>
            <w:rFonts w:eastAsia="Calibri" w:cs="Calibri"/>
            <w:noProof/>
          </w:rPr>
          <w:t>Figura 43.  Të hyrat e Pejës të parashikuara nga tarifat e amvisërisë në lidhje me përballueshmërinë</w:t>
        </w:r>
        <w:r>
          <w:rPr>
            <w:noProof/>
            <w:webHidden/>
          </w:rPr>
          <w:tab/>
        </w:r>
        <w:r>
          <w:rPr>
            <w:noProof/>
            <w:webHidden/>
          </w:rPr>
          <w:fldChar w:fldCharType="begin"/>
        </w:r>
        <w:r>
          <w:rPr>
            <w:noProof/>
            <w:webHidden/>
          </w:rPr>
          <w:instrText xml:space="preserve"> PAGEREF _Toc197472344 \h </w:instrText>
        </w:r>
        <w:r>
          <w:rPr>
            <w:noProof/>
            <w:webHidden/>
          </w:rPr>
        </w:r>
        <w:r>
          <w:rPr>
            <w:noProof/>
            <w:webHidden/>
          </w:rPr>
          <w:fldChar w:fldCharType="separate"/>
        </w:r>
        <w:r>
          <w:rPr>
            <w:noProof/>
            <w:webHidden/>
          </w:rPr>
          <w:t>158</w:t>
        </w:r>
        <w:r>
          <w:rPr>
            <w:noProof/>
            <w:webHidden/>
          </w:rPr>
          <w:fldChar w:fldCharType="end"/>
        </w:r>
      </w:hyperlink>
    </w:p>
    <w:p w14:paraId="2FE4EF8B" w14:textId="67013BF0"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45" w:history="1">
        <w:r w:rsidRPr="0098308A">
          <w:rPr>
            <w:rStyle w:val="Hyperlink"/>
            <w:rFonts w:eastAsia="Calibri" w:cs="Calibri"/>
            <w:noProof/>
          </w:rPr>
          <w:t>Figura 44.  Të hyrat e Istogut të parashikuara nga tarifat e amvisërisë në lidhje me përballueshmërinë</w:t>
        </w:r>
        <w:r>
          <w:rPr>
            <w:noProof/>
            <w:webHidden/>
          </w:rPr>
          <w:tab/>
        </w:r>
        <w:r>
          <w:rPr>
            <w:noProof/>
            <w:webHidden/>
          </w:rPr>
          <w:fldChar w:fldCharType="begin"/>
        </w:r>
        <w:r>
          <w:rPr>
            <w:noProof/>
            <w:webHidden/>
          </w:rPr>
          <w:instrText xml:space="preserve"> PAGEREF _Toc197472345 \h </w:instrText>
        </w:r>
        <w:r>
          <w:rPr>
            <w:noProof/>
            <w:webHidden/>
          </w:rPr>
        </w:r>
        <w:r>
          <w:rPr>
            <w:noProof/>
            <w:webHidden/>
          </w:rPr>
          <w:fldChar w:fldCharType="separate"/>
        </w:r>
        <w:r>
          <w:rPr>
            <w:noProof/>
            <w:webHidden/>
          </w:rPr>
          <w:t>159</w:t>
        </w:r>
        <w:r>
          <w:rPr>
            <w:noProof/>
            <w:webHidden/>
          </w:rPr>
          <w:fldChar w:fldCharType="end"/>
        </w:r>
      </w:hyperlink>
    </w:p>
    <w:p w14:paraId="7CC6666F" w14:textId="3ECA580A"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46" w:history="1">
        <w:r w:rsidRPr="0098308A">
          <w:rPr>
            <w:rStyle w:val="Hyperlink"/>
            <w:rFonts w:eastAsia="Calibri" w:cs="Calibri"/>
            <w:noProof/>
          </w:rPr>
          <w:t>Figura 45.  Të hyrat e Klinës të parashikuara nga tarifat e amvisërisë në lidhje me përballueshmërinë</w:t>
        </w:r>
        <w:r>
          <w:rPr>
            <w:noProof/>
            <w:webHidden/>
          </w:rPr>
          <w:tab/>
        </w:r>
        <w:r>
          <w:rPr>
            <w:noProof/>
            <w:webHidden/>
          </w:rPr>
          <w:fldChar w:fldCharType="begin"/>
        </w:r>
        <w:r>
          <w:rPr>
            <w:noProof/>
            <w:webHidden/>
          </w:rPr>
          <w:instrText xml:space="preserve"> PAGEREF _Toc197472346 \h </w:instrText>
        </w:r>
        <w:r>
          <w:rPr>
            <w:noProof/>
            <w:webHidden/>
          </w:rPr>
        </w:r>
        <w:r>
          <w:rPr>
            <w:noProof/>
            <w:webHidden/>
          </w:rPr>
          <w:fldChar w:fldCharType="separate"/>
        </w:r>
        <w:r>
          <w:rPr>
            <w:noProof/>
            <w:webHidden/>
          </w:rPr>
          <w:t>160</w:t>
        </w:r>
        <w:r>
          <w:rPr>
            <w:noProof/>
            <w:webHidden/>
          </w:rPr>
          <w:fldChar w:fldCharType="end"/>
        </w:r>
      </w:hyperlink>
    </w:p>
    <w:p w14:paraId="6254A057" w14:textId="59DE2A32"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47" w:history="1">
        <w:r w:rsidRPr="0098308A">
          <w:rPr>
            <w:rStyle w:val="Hyperlink"/>
            <w:rFonts w:eastAsia="Calibri" w:cs="Calibri"/>
            <w:noProof/>
          </w:rPr>
          <w:t>Figura 46.  Të hyrat e Deçanit të parashikuara nga tarifat e amvisërisë në lidhje me përballueshmërinë</w:t>
        </w:r>
        <w:r>
          <w:rPr>
            <w:noProof/>
            <w:webHidden/>
          </w:rPr>
          <w:tab/>
        </w:r>
        <w:r>
          <w:rPr>
            <w:noProof/>
            <w:webHidden/>
          </w:rPr>
          <w:fldChar w:fldCharType="begin"/>
        </w:r>
        <w:r>
          <w:rPr>
            <w:noProof/>
            <w:webHidden/>
          </w:rPr>
          <w:instrText xml:space="preserve"> PAGEREF _Toc197472347 \h </w:instrText>
        </w:r>
        <w:r>
          <w:rPr>
            <w:noProof/>
            <w:webHidden/>
          </w:rPr>
        </w:r>
        <w:r>
          <w:rPr>
            <w:noProof/>
            <w:webHidden/>
          </w:rPr>
          <w:fldChar w:fldCharType="separate"/>
        </w:r>
        <w:r>
          <w:rPr>
            <w:noProof/>
            <w:webHidden/>
          </w:rPr>
          <w:t>161</w:t>
        </w:r>
        <w:r>
          <w:rPr>
            <w:noProof/>
            <w:webHidden/>
          </w:rPr>
          <w:fldChar w:fldCharType="end"/>
        </w:r>
      </w:hyperlink>
    </w:p>
    <w:p w14:paraId="639818B9" w14:textId="08A4909D" w:rsidR="00E5352D" w:rsidRDefault="00E5352D">
      <w:pPr>
        <w:pStyle w:val="TableofFigures"/>
        <w:tabs>
          <w:tab w:val="right" w:pos="9016"/>
        </w:tabs>
        <w:rPr>
          <w:rFonts w:asciiTheme="minorHAnsi" w:eastAsiaTheme="minorEastAsia" w:hAnsiTheme="minorHAnsi"/>
          <w:noProof/>
          <w:kern w:val="2"/>
          <w:sz w:val="24"/>
          <w:lang w:val="en-US"/>
          <w14:ligatures w14:val="standardContextual"/>
        </w:rPr>
      </w:pPr>
      <w:hyperlink w:anchor="_Toc197472348" w:history="1">
        <w:r w:rsidRPr="0098308A">
          <w:rPr>
            <w:rStyle w:val="Hyperlink"/>
            <w:rFonts w:eastAsia="Calibri" w:cs="Calibri"/>
            <w:noProof/>
          </w:rPr>
          <w:t>Figura 47. Të hyrat e Junikut të parashikuara nga tarifat e amvisërisë në lidhje me përballueshmërinë</w:t>
        </w:r>
        <w:r>
          <w:rPr>
            <w:noProof/>
            <w:webHidden/>
          </w:rPr>
          <w:tab/>
        </w:r>
        <w:r>
          <w:rPr>
            <w:noProof/>
            <w:webHidden/>
          </w:rPr>
          <w:fldChar w:fldCharType="begin"/>
        </w:r>
        <w:r>
          <w:rPr>
            <w:noProof/>
            <w:webHidden/>
          </w:rPr>
          <w:instrText xml:space="preserve"> PAGEREF _Toc197472348 \h </w:instrText>
        </w:r>
        <w:r>
          <w:rPr>
            <w:noProof/>
            <w:webHidden/>
          </w:rPr>
        </w:r>
        <w:r>
          <w:rPr>
            <w:noProof/>
            <w:webHidden/>
          </w:rPr>
          <w:fldChar w:fldCharType="separate"/>
        </w:r>
        <w:r>
          <w:rPr>
            <w:noProof/>
            <w:webHidden/>
          </w:rPr>
          <w:t>162</w:t>
        </w:r>
        <w:r>
          <w:rPr>
            <w:noProof/>
            <w:webHidden/>
          </w:rPr>
          <w:fldChar w:fldCharType="end"/>
        </w:r>
      </w:hyperlink>
    </w:p>
    <w:p w14:paraId="545BFC27" w14:textId="5CF9595B" w:rsidR="00087EBF" w:rsidRPr="00AF0235" w:rsidRDefault="00F24087" w:rsidP="00087EBF">
      <w:r>
        <w:rPr>
          <w:rFonts w:ascii="Arial Narrow" w:eastAsiaTheme="minorHAnsi" w:hAnsi="Arial Narrow" w:cstheme="minorBidi"/>
          <w:sz w:val="20"/>
          <w:lang w:val="en-GB"/>
        </w:rPr>
        <w:fldChar w:fldCharType="end"/>
      </w:r>
    </w:p>
    <w:p w14:paraId="5F5BCEFF" w14:textId="7AC86B84" w:rsidR="00032CD8" w:rsidRPr="00240FB6" w:rsidRDefault="00032CD8" w:rsidP="00B00BA8">
      <w:pPr>
        <w:spacing w:before="360" w:after="120"/>
        <w:rPr>
          <w:rFonts w:ascii="Arial Narrow" w:hAnsi="Arial Narrow"/>
          <w:b/>
          <w:caps/>
          <w:color w:val="002060"/>
          <w:sz w:val="28"/>
          <w:szCs w:val="28"/>
        </w:rPr>
      </w:pPr>
      <w:r w:rsidRPr="00240FB6">
        <w:rPr>
          <w:rFonts w:ascii="Arial Narrow" w:hAnsi="Arial Narrow"/>
          <w:b/>
          <w:caps/>
          <w:color w:val="002060"/>
          <w:sz w:val="28"/>
          <w:szCs w:val="28"/>
        </w:rPr>
        <w:t>Lista e shkurtesave</w:t>
      </w:r>
    </w:p>
    <w:tbl>
      <w:tblPr>
        <w:tblStyle w:val="ValueAddBox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9"/>
        <w:gridCol w:w="7527"/>
      </w:tblGrid>
      <w:tr w:rsidR="00032CD8" w:rsidRPr="00240FB6" w14:paraId="4E83D588" w14:textId="77777777" w:rsidTr="00036961">
        <w:tc>
          <w:tcPr>
            <w:tcW w:w="1499" w:type="dxa"/>
          </w:tcPr>
          <w:p w14:paraId="6CB2B3D4" w14:textId="4BF3AD78" w:rsidR="0093755C" w:rsidRDefault="0093755C" w:rsidP="00E107EA">
            <w:pPr>
              <w:ind w:left="-112"/>
              <w:rPr>
                <w:rFonts w:ascii="Arial Narrow" w:hAnsi="Arial Narrow"/>
                <w:bCs/>
                <w:color w:val="002060"/>
                <w:sz w:val="20"/>
                <w:szCs w:val="20"/>
              </w:rPr>
            </w:pPr>
            <w:r>
              <w:rPr>
                <w:rFonts w:ascii="Arial Narrow" w:hAnsi="Arial Narrow"/>
                <w:bCs/>
                <w:color w:val="002060"/>
                <w:sz w:val="20"/>
                <w:szCs w:val="20"/>
              </w:rPr>
              <w:t>AMMK</w:t>
            </w:r>
          </w:p>
          <w:p w14:paraId="139C8FBB" w14:textId="717964E9" w:rsidR="0093755C" w:rsidRDefault="0093755C" w:rsidP="00E107EA">
            <w:pPr>
              <w:ind w:left="-112"/>
              <w:rPr>
                <w:rFonts w:ascii="Arial Narrow" w:hAnsi="Arial Narrow"/>
                <w:bCs/>
                <w:color w:val="002060"/>
                <w:sz w:val="20"/>
                <w:szCs w:val="20"/>
              </w:rPr>
            </w:pPr>
            <w:r>
              <w:rPr>
                <w:rFonts w:ascii="Arial Narrow" w:hAnsi="Arial Narrow"/>
                <w:bCs/>
                <w:color w:val="002060"/>
                <w:sz w:val="20"/>
                <w:szCs w:val="20"/>
              </w:rPr>
              <w:t>ASK</w:t>
            </w:r>
          </w:p>
          <w:p w14:paraId="68154D32" w14:textId="345F6006" w:rsidR="0093755C" w:rsidRDefault="0093755C" w:rsidP="00E107EA">
            <w:pPr>
              <w:ind w:left="-112"/>
              <w:rPr>
                <w:rFonts w:ascii="Arial Narrow" w:hAnsi="Arial Narrow"/>
                <w:bCs/>
                <w:color w:val="002060"/>
                <w:sz w:val="20"/>
                <w:szCs w:val="20"/>
              </w:rPr>
            </w:pPr>
            <w:r>
              <w:rPr>
                <w:rFonts w:ascii="Arial Narrow" w:hAnsi="Arial Narrow"/>
                <w:bCs/>
                <w:color w:val="002060"/>
                <w:sz w:val="20"/>
                <w:szCs w:val="20"/>
              </w:rPr>
              <w:t>BE</w:t>
            </w:r>
          </w:p>
          <w:p w14:paraId="314BF958" w14:textId="435373B3" w:rsidR="00A42996" w:rsidRDefault="00A42996" w:rsidP="00E107EA">
            <w:pPr>
              <w:ind w:left="-112"/>
              <w:rPr>
                <w:rFonts w:ascii="Arial Narrow" w:hAnsi="Arial Narrow"/>
                <w:bCs/>
                <w:color w:val="002060"/>
                <w:sz w:val="20"/>
                <w:szCs w:val="20"/>
              </w:rPr>
            </w:pPr>
            <w:r>
              <w:rPr>
                <w:rFonts w:ascii="Arial Narrow" w:hAnsi="Arial Narrow"/>
                <w:bCs/>
                <w:color w:val="002060"/>
                <w:sz w:val="20"/>
                <w:szCs w:val="20"/>
              </w:rPr>
              <w:t>BNK</w:t>
            </w:r>
          </w:p>
          <w:p w14:paraId="1CB0642E" w14:textId="7A2F61BC" w:rsidR="0093755C" w:rsidRDefault="0093755C" w:rsidP="00E107EA">
            <w:pPr>
              <w:ind w:left="-112"/>
              <w:rPr>
                <w:rFonts w:ascii="Arial Narrow" w:hAnsi="Arial Narrow"/>
                <w:bCs/>
                <w:color w:val="002060"/>
                <w:sz w:val="20"/>
                <w:szCs w:val="20"/>
              </w:rPr>
            </w:pPr>
            <w:r>
              <w:rPr>
                <w:rFonts w:ascii="Arial Narrow" w:hAnsi="Arial Narrow"/>
                <w:bCs/>
                <w:color w:val="002060"/>
                <w:sz w:val="20"/>
                <w:szCs w:val="20"/>
              </w:rPr>
              <w:t>BPV</w:t>
            </w:r>
          </w:p>
          <w:p w14:paraId="313F7DBD" w14:textId="6BC799C5" w:rsidR="009B7744" w:rsidRDefault="009B7744" w:rsidP="00E107EA">
            <w:pPr>
              <w:ind w:left="-112"/>
              <w:rPr>
                <w:rFonts w:ascii="Arial Narrow" w:hAnsi="Arial Narrow"/>
                <w:bCs/>
                <w:color w:val="002060"/>
                <w:sz w:val="20"/>
                <w:szCs w:val="20"/>
              </w:rPr>
            </w:pPr>
            <w:r w:rsidRPr="00B00BA8">
              <w:rPr>
                <w:rFonts w:ascii="Arial Narrow" w:hAnsi="Arial Narrow"/>
                <w:bCs/>
                <w:color w:val="002060"/>
                <w:sz w:val="20"/>
                <w:szCs w:val="20"/>
              </w:rPr>
              <w:t>DI</w:t>
            </w:r>
            <w:r>
              <w:rPr>
                <w:rFonts w:ascii="Arial Narrow" w:hAnsi="Arial Narrow"/>
                <w:bCs/>
                <w:color w:val="002060"/>
                <w:sz w:val="20"/>
                <w:szCs w:val="20"/>
              </w:rPr>
              <w:t>M</w:t>
            </w:r>
            <w:r w:rsidRPr="00B00BA8">
              <w:rPr>
                <w:rFonts w:ascii="Arial Narrow" w:hAnsi="Arial Narrow"/>
                <w:bCs/>
                <w:color w:val="002060"/>
                <w:sz w:val="20"/>
                <w:szCs w:val="20"/>
              </w:rPr>
              <w:t>N</w:t>
            </w:r>
            <w:r>
              <w:rPr>
                <w:rFonts w:ascii="Arial Narrow" w:hAnsi="Arial Narrow"/>
                <w:bCs/>
                <w:color w:val="002060"/>
                <w:sz w:val="20"/>
                <w:szCs w:val="20"/>
              </w:rPr>
              <w:t>UNI</w:t>
            </w:r>
          </w:p>
          <w:p w14:paraId="073C422A" w14:textId="2DEC5D87" w:rsidR="00A42996" w:rsidRDefault="00A42996" w:rsidP="00E107EA">
            <w:pPr>
              <w:ind w:left="-112"/>
              <w:rPr>
                <w:rFonts w:ascii="Arial Narrow" w:hAnsi="Arial Narrow"/>
                <w:bCs/>
                <w:color w:val="002060"/>
                <w:sz w:val="20"/>
                <w:szCs w:val="20"/>
              </w:rPr>
            </w:pPr>
            <w:r>
              <w:rPr>
                <w:rFonts w:ascii="Arial Narrow" w:hAnsi="Arial Narrow"/>
                <w:bCs/>
                <w:color w:val="002060"/>
                <w:sz w:val="20"/>
                <w:szCs w:val="20"/>
              </w:rPr>
              <w:t>EQ</w:t>
            </w:r>
          </w:p>
          <w:p w14:paraId="20D6FC9A" w14:textId="67A7920E" w:rsidR="009B7744" w:rsidRDefault="009B7744" w:rsidP="00E107EA">
            <w:pPr>
              <w:ind w:left="-112"/>
              <w:rPr>
                <w:rFonts w:ascii="Arial Narrow" w:hAnsi="Arial Narrow"/>
                <w:bCs/>
                <w:color w:val="002060"/>
                <w:sz w:val="20"/>
                <w:szCs w:val="20"/>
              </w:rPr>
            </w:pPr>
            <w:r>
              <w:rPr>
                <w:rFonts w:ascii="Arial Narrow" w:hAnsi="Arial Narrow"/>
                <w:bCs/>
                <w:color w:val="002060"/>
                <w:sz w:val="20"/>
                <w:szCs w:val="20"/>
              </w:rPr>
              <w:t>IKMM</w:t>
            </w:r>
          </w:p>
          <w:p w14:paraId="0369B36A" w14:textId="063D3087" w:rsidR="009B7744" w:rsidRDefault="009B7744" w:rsidP="00E107EA">
            <w:pPr>
              <w:ind w:left="-112"/>
              <w:rPr>
                <w:rFonts w:ascii="Arial Narrow" w:hAnsi="Arial Narrow"/>
                <w:bCs/>
                <w:color w:val="002060"/>
                <w:sz w:val="20"/>
                <w:szCs w:val="20"/>
              </w:rPr>
            </w:pPr>
            <w:r>
              <w:rPr>
                <w:rFonts w:ascii="Arial Narrow" w:hAnsi="Arial Narrow"/>
                <w:bCs/>
                <w:color w:val="002060"/>
                <w:sz w:val="20"/>
                <w:szCs w:val="20"/>
              </w:rPr>
              <w:t>IKSh</w:t>
            </w:r>
          </w:p>
          <w:p w14:paraId="434F1DE7" w14:textId="1A34E62D" w:rsidR="008A72DD" w:rsidRDefault="008A72DD" w:rsidP="00E107EA">
            <w:pPr>
              <w:ind w:left="-112"/>
              <w:rPr>
                <w:rFonts w:ascii="Arial Narrow" w:hAnsi="Arial Narrow"/>
                <w:bCs/>
                <w:color w:val="002060"/>
                <w:sz w:val="20"/>
                <w:szCs w:val="20"/>
              </w:rPr>
            </w:pPr>
            <w:r>
              <w:rPr>
                <w:rFonts w:ascii="Arial Narrow" w:hAnsi="Arial Narrow"/>
                <w:bCs/>
                <w:color w:val="002060"/>
                <w:sz w:val="20"/>
                <w:szCs w:val="20"/>
              </w:rPr>
              <w:t>ITUZ</w:t>
            </w:r>
          </w:p>
          <w:p w14:paraId="0A0484C3" w14:textId="11AD9486" w:rsidR="009B7744" w:rsidRDefault="009B7744" w:rsidP="00E107EA">
            <w:pPr>
              <w:ind w:left="-112"/>
              <w:rPr>
                <w:rFonts w:ascii="Arial Narrow" w:hAnsi="Arial Narrow"/>
                <w:bCs/>
                <w:color w:val="002060"/>
                <w:sz w:val="20"/>
                <w:szCs w:val="20"/>
              </w:rPr>
            </w:pPr>
            <w:r>
              <w:rPr>
                <w:rFonts w:ascii="Arial Narrow" w:hAnsi="Arial Narrow"/>
                <w:bCs/>
                <w:color w:val="002060"/>
                <w:sz w:val="20"/>
                <w:szCs w:val="20"/>
              </w:rPr>
              <w:t>KDM/RDF</w:t>
            </w:r>
          </w:p>
          <w:p w14:paraId="2DD77299" w14:textId="604ADEDA" w:rsidR="008A72DD" w:rsidRDefault="008A72DD" w:rsidP="00E107EA">
            <w:pPr>
              <w:ind w:left="-112"/>
              <w:rPr>
                <w:rFonts w:ascii="Arial Narrow" w:hAnsi="Arial Narrow"/>
                <w:bCs/>
                <w:color w:val="002060"/>
                <w:sz w:val="20"/>
                <w:szCs w:val="20"/>
              </w:rPr>
            </w:pPr>
            <w:r>
              <w:rPr>
                <w:rFonts w:ascii="Arial Narrow" w:hAnsi="Arial Narrow"/>
                <w:bCs/>
                <w:color w:val="002060"/>
                <w:sz w:val="20"/>
                <w:szCs w:val="20"/>
              </w:rPr>
              <w:t>KRM</w:t>
            </w:r>
          </w:p>
          <w:p w14:paraId="65E8E569" w14:textId="30BC0EBF" w:rsidR="009B7744" w:rsidRDefault="009B7744" w:rsidP="00E107EA">
            <w:pPr>
              <w:ind w:left="-112"/>
              <w:rPr>
                <w:rFonts w:ascii="Arial Narrow" w:hAnsi="Arial Narrow"/>
                <w:bCs/>
                <w:color w:val="002060"/>
                <w:sz w:val="20"/>
                <w:szCs w:val="20"/>
              </w:rPr>
            </w:pPr>
            <w:r>
              <w:rPr>
                <w:rFonts w:ascii="Arial Narrow" w:hAnsi="Arial Narrow"/>
                <w:bCs/>
                <w:color w:val="002060"/>
                <w:sz w:val="20"/>
                <w:szCs w:val="20"/>
              </w:rPr>
              <w:t>MAPL</w:t>
            </w:r>
          </w:p>
          <w:p w14:paraId="38B72881" w14:textId="516272D5" w:rsidR="009B7744" w:rsidRDefault="009B7744" w:rsidP="00E107EA">
            <w:pPr>
              <w:ind w:left="-112"/>
              <w:rPr>
                <w:rFonts w:ascii="Arial Narrow" w:hAnsi="Arial Narrow"/>
                <w:bCs/>
                <w:color w:val="002060"/>
                <w:sz w:val="20"/>
                <w:szCs w:val="20"/>
              </w:rPr>
            </w:pPr>
            <w:r>
              <w:rPr>
                <w:rFonts w:ascii="Arial Narrow" w:hAnsi="Arial Narrow"/>
                <w:bCs/>
                <w:color w:val="002060"/>
                <w:sz w:val="20"/>
                <w:szCs w:val="20"/>
              </w:rPr>
              <w:t>ME</w:t>
            </w:r>
          </w:p>
          <w:p w14:paraId="51C1F61E" w14:textId="78F434A0" w:rsidR="008A72DD" w:rsidRDefault="008A72DD" w:rsidP="00E107EA">
            <w:pPr>
              <w:ind w:left="-112"/>
              <w:rPr>
                <w:rFonts w:ascii="Arial Narrow" w:hAnsi="Arial Narrow"/>
                <w:bCs/>
                <w:color w:val="002060"/>
                <w:sz w:val="20"/>
                <w:szCs w:val="20"/>
              </w:rPr>
            </w:pPr>
            <w:r>
              <w:rPr>
                <w:rFonts w:ascii="Arial Narrow" w:hAnsi="Arial Narrow"/>
                <w:bCs/>
                <w:color w:val="002060"/>
                <w:sz w:val="20"/>
                <w:szCs w:val="20"/>
              </w:rPr>
              <w:t>MFPT</w:t>
            </w:r>
          </w:p>
          <w:p w14:paraId="07A6B36D" w14:textId="2A07D85F" w:rsidR="00032CD8" w:rsidRDefault="0093755C" w:rsidP="00E107EA">
            <w:pPr>
              <w:ind w:left="-112"/>
              <w:rPr>
                <w:rFonts w:ascii="Arial Narrow" w:hAnsi="Arial Narrow"/>
                <w:bCs/>
                <w:color w:val="002060"/>
                <w:sz w:val="20"/>
                <w:szCs w:val="20"/>
              </w:rPr>
            </w:pPr>
            <w:r>
              <w:rPr>
                <w:rFonts w:ascii="Arial Narrow" w:hAnsi="Arial Narrow"/>
                <w:bCs/>
                <w:color w:val="002060"/>
                <w:sz w:val="20"/>
                <w:szCs w:val="20"/>
              </w:rPr>
              <w:t>MKI/MSW</w:t>
            </w:r>
          </w:p>
          <w:p w14:paraId="0F0A968E" w14:textId="7BC129F6" w:rsidR="009B7744" w:rsidRDefault="009B7744" w:rsidP="00E107EA">
            <w:pPr>
              <w:ind w:left="-112"/>
              <w:rPr>
                <w:rFonts w:ascii="Arial Narrow" w:hAnsi="Arial Narrow"/>
                <w:bCs/>
                <w:color w:val="002060"/>
                <w:sz w:val="20"/>
                <w:szCs w:val="20"/>
              </w:rPr>
            </w:pPr>
            <w:r>
              <w:rPr>
                <w:rFonts w:ascii="Arial Narrow" w:hAnsi="Arial Narrow"/>
                <w:bCs/>
                <w:color w:val="002060"/>
                <w:sz w:val="20"/>
                <w:szCs w:val="20"/>
              </w:rPr>
              <w:t>MKSh</w:t>
            </w:r>
          </w:p>
          <w:p w14:paraId="30B055EF" w14:textId="77777777" w:rsidR="0093755C" w:rsidRDefault="0093755C" w:rsidP="00E107EA">
            <w:pPr>
              <w:ind w:left="-112"/>
              <w:rPr>
                <w:rFonts w:ascii="Arial Narrow" w:hAnsi="Arial Narrow"/>
                <w:bCs/>
                <w:color w:val="002060"/>
                <w:sz w:val="20"/>
                <w:szCs w:val="20"/>
              </w:rPr>
            </w:pPr>
            <w:r>
              <w:rPr>
                <w:rFonts w:ascii="Arial Narrow" w:hAnsi="Arial Narrow"/>
                <w:bCs/>
                <w:color w:val="002060"/>
                <w:sz w:val="20"/>
                <w:szCs w:val="20"/>
              </w:rPr>
              <w:t>MIM</w:t>
            </w:r>
          </w:p>
          <w:p w14:paraId="2A02F7EF" w14:textId="77777777" w:rsidR="0093755C" w:rsidRDefault="0093755C" w:rsidP="00E107EA">
            <w:pPr>
              <w:ind w:left="-112"/>
              <w:rPr>
                <w:rFonts w:ascii="Arial Narrow" w:hAnsi="Arial Narrow"/>
                <w:bCs/>
                <w:color w:val="002060"/>
                <w:sz w:val="20"/>
                <w:szCs w:val="20"/>
              </w:rPr>
            </w:pPr>
            <w:r>
              <w:rPr>
                <w:rFonts w:ascii="Arial Narrow" w:hAnsi="Arial Narrow"/>
                <w:bCs/>
                <w:color w:val="002060"/>
                <w:sz w:val="20"/>
                <w:szCs w:val="20"/>
              </w:rPr>
              <w:t>MMI</w:t>
            </w:r>
          </w:p>
          <w:p w14:paraId="770D9388" w14:textId="4E4AD9CF" w:rsidR="008A72DD" w:rsidRDefault="008A72DD" w:rsidP="00E107EA">
            <w:pPr>
              <w:ind w:left="-112"/>
              <w:rPr>
                <w:rFonts w:ascii="Arial Narrow" w:hAnsi="Arial Narrow"/>
                <w:bCs/>
                <w:color w:val="002060"/>
                <w:sz w:val="20"/>
                <w:szCs w:val="20"/>
              </w:rPr>
            </w:pPr>
            <w:r>
              <w:rPr>
                <w:rFonts w:ascii="Arial Narrow" w:hAnsi="Arial Narrow"/>
                <w:bCs/>
                <w:color w:val="002060"/>
                <w:sz w:val="20"/>
                <w:szCs w:val="20"/>
              </w:rPr>
              <w:t>MMPHI</w:t>
            </w:r>
          </w:p>
          <w:p w14:paraId="03699D8E" w14:textId="7D9E9568" w:rsidR="00A42996" w:rsidRDefault="00A42996" w:rsidP="00E107EA">
            <w:pPr>
              <w:ind w:left="-112"/>
              <w:rPr>
                <w:rFonts w:ascii="Arial Narrow" w:hAnsi="Arial Narrow"/>
                <w:bCs/>
                <w:color w:val="002060"/>
                <w:sz w:val="20"/>
                <w:szCs w:val="20"/>
              </w:rPr>
            </w:pPr>
            <w:r>
              <w:rPr>
                <w:rFonts w:ascii="Arial Narrow" w:hAnsi="Arial Narrow"/>
                <w:bCs/>
                <w:color w:val="002060"/>
                <w:sz w:val="20"/>
                <w:szCs w:val="20"/>
              </w:rPr>
              <w:t>MNRr/CDW</w:t>
            </w:r>
          </w:p>
          <w:p w14:paraId="58D4704B" w14:textId="77777777" w:rsidR="0093755C" w:rsidRDefault="0093755C" w:rsidP="00E107EA">
            <w:pPr>
              <w:ind w:left="-112"/>
              <w:rPr>
                <w:rFonts w:ascii="Arial Narrow" w:hAnsi="Arial Narrow"/>
                <w:bCs/>
                <w:color w:val="002060"/>
                <w:sz w:val="20"/>
                <w:szCs w:val="20"/>
              </w:rPr>
            </w:pPr>
            <w:r>
              <w:rPr>
                <w:rFonts w:ascii="Arial Narrow" w:hAnsi="Arial Narrow"/>
                <w:bCs/>
                <w:color w:val="002060"/>
                <w:sz w:val="20"/>
                <w:szCs w:val="20"/>
              </w:rPr>
              <w:t>MpE/WfE</w:t>
            </w:r>
          </w:p>
          <w:p w14:paraId="7B520CFD" w14:textId="77777777" w:rsidR="0093755C" w:rsidRDefault="00A42996" w:rsidP="00E107EA">
            <w:pPr>
              <w:ind w:left="-112"/>
              <w:rPr>
                <w:rFonts w:ascii="Arial Narrow" w:hAnsi="Arial Narrow"/>
                <w:bCs/>
                <w:color w:val="002060"/>
                <w:sz w:val="20"/>
                <w:szCs w:val="20"/>
              </w:rPr>
            </w:pPr>
            <w:r>
              <w:rPr>
                <w:rFonts w:ascii="Arial Narrow" w:hAnsi="Arial Narrow"/>
                <w:bCs/>
                <w:color w:val="002060"/>
                <w:sz w:val="20"/>
                <w:szCs w:val="20"/>
              </w:rPr>
              <w:t>NB/SAS</w:t>
            </w:r>
          </w:p>
          <w:p w14:paraId="34AECB1A" w14:textId="4705F1D6" w:rsidR="008A72DD" w:rsidRDefault="008A72DD" w:rsidP="00E107EA">
            <w:pPr>
              <w:ind w:left="-112"/>
              <w:rPr>
                <w:rFonts w:ascii="Arial Narrow" w:hAnsi="Arial Narrow"/>
                <w:bCs/>
                <w:color w:val="002060"/>
                <w:sz w:val="20"/>
                <w:szCs w:val="20"/>
              </w:rPr>
            </w:pPr>
            <w:r>
              <w:rPr>
                <w:rFonts w:ascii="Arial Narrow" w:hAnsi="Arial Narrow"/>
                <w:bCs/>
                <w:color w:val="002060"/>
                <w:sz w:val="20"/>
                <w:szCs w:val="20"/>
              </w:rPr>
              <w:t>NP</w:t>
            </w:r>
          </w:p>
          <w:p w14:paraId="340A0381" w14:textId="77777777" w:rsidR="00A42996" w:rsidRDefault="00A42996" w:rsidP="00E107EA">
            <w:pPr>
              <w:ind w:left="-112"/>
              <w:rPr>
                <w:rFonts w:ascii="Arial Narrow" w:hAnsi="Arial Narrow"/>
                <w:bCs/>
                <w:color w:val="002060"/>
                <w:sz w:val="20"/>
                <w:szCs w:val="20"/>
              </w:rPr>
            </w:pPr>
            <w:r>
              <w:rPr>
                <w:rFonts w:ascii="Arial Narrow" w:hAnsi="Arial Narrow"/>
                <w:bCs/>
                <w:color w:val="002060"/>
                <w:sz w:val="20"/>
                <w:szCs w:val="20"/>
              </w:rPr>
              <w:t>OPP/PRO</w:t>
            </w:r>
          </w:p>
          <w:p w14:paraId="7D97536D" w14:textId="77777777" w:rsidR="00A42996" w:rsidRDefault="00A42996" w:rsidP="00E107EA">
            <w:pPr>
              <w:ind w:left="-112"/>
              <w:rPr>
                <w:rFonts w:ascii="Arial Narrow" w:hAnsi="Arial Narrow"/>
                <w:bCs/>
                <w:color w:val="002060"/>
                <w:sz w:val="20"/>
                <w:szCs w:val="20"/>
              </w:rPr>
            </w:pPr>
            <w:r>
              <w:rPr>
                <w:rFonts w:ascii="Arial Narrow" w:hAnsi="Arial Narrow"/>
                <w:bCs/>
                <w:color w:val="002060"/>
                <w:sz w:val="20"/>
                <w:szCs w:val="20"/>
              </w:rPr>
              <w:t>OR/CAC</w:t>
            </w:r>
          </w:p>
          <w:p w14:paraId="75A0A40F" w14:textId="77777777" w:rsidR="00A42996" w:rsidRDefault="00A42996" w:rsidP="00E107EA">
            <w:pPr>
              <w:ind w:left="-112"/>
              <w:rPr>
                <w:rFonts w:ascii="Arial Narrow" w:hAnsi="Arial Narrow"/>
                <w:bCs/>
                <w:color w:val="002060"/>
                <w:sz w:val="20"/>
                <w:szCs w:val="20"/>
              </w:rPr>
            </w:pPr>
            <w:r>
              <w:rPr>
                <w:rFonts w:ascii="Arial Narrow" w:hAnsi="Arial Narrow"/>
                <w:bCs/>
                <w:color w:val="002060"/>
                <w:sz w:val="20"/>
                <w:szCs w:val="20"/>
              </w:rPr>
              <w:t>ORM/MRF</w:t>
            </w:r>
          </w:p>
          <w:p w14:paraId="4ADF2E6F" w14:textId="3F8EE771" w:rsidR="00A42996" w:rsidRDefault="00A42996" w:rsidP="00E107EA">
            <w:pPr>
              <w:ind w:left="-112"/>
              <w:rPr>
                <w:rFonts w:ascii="Arial Narrow" w:hAnsi="Arial Narrow"/>
                <w:bCs/>
                <w:color w:val="002060"/>
                <w:sz w:val="20"/>
                <w:szCs w:val="20"/>
              </w:rPr>
            </w:pPr>
            <w:r>
              <w:rPr>
                <w:rFonts w:ascii="Arial Narrow" w:hAnsi="Arial Narrow"/>
                <w:bCs/>
                <w:color w:val="002060"/>
                <w:sz w:val="20"/>
                <w:szCs w:val="20"/>
              </w:rPr>
              <w:lastRenderedPageBreak/>
              <w:t>PNj</w:t>
            </w:r>
          </w:p>
          <w:p w14:paraId="407EC6D8" w14:textId="10BC011A" w:rsidR="00A42996" w:rsidRDefault="00A42996" w:rsidP="00E107EA">
            <w:pPr>
              <w:ind w:left="-112"/>
              <w:rPr>
                <w:rFonts w:ascii="Arial Narrow" w:hAnsi="Arial Narrow"/>
                <w:bCs/>
                <w:color w:val="002060"/>
                <w:sz w:val="20"/>
                <w:szCs w:val="20"/>
              </w:rPr>
            </w:pPr>
            <w:r>
              <w:rPr>
                <w:rFonts w:ascii="Arial Narrow" w:hAnsi="Arial Narrow"/>
                <w:bCs/>
                <w:color w:val="002060"/>
                <w:sz w:val="20"/>
                <w:szCs w:val="20"/>
              </w:rPr>
              <w:t>PKMMNRr</w:t>
            </w:r>
          </w:p>
          <w:p w14:paraId="01D48CE3" w14:textId="699B2C08" w:rsidR="00A42996" w:rsidRDefault="00A42996" w:rsidP="00E107EA">
            <w:pPr>
              <w:ind w:left="-112"/>
              <w:rPr>
                <w:rFonts w:ascii="Arial Narrow" w:hAnsi="Arial Narrow"/>
                <w:bCs/>
                <w:color w:val="002060"/>
                <w:sz w:val="20"/>
                <w:szCs w:val="20"/>
              </w:rPr>
            </w:pPr>
            <w:r>
              <w:rPr>
                <w:rFonts w:ascii="Arial Narrow" w:hAnsi="Arial Narrow"/>
                <w:bCs/>
                <w:color w:val="002060"/>
                <w:sz w:val="20"/>
                <w:szCs w:val="20"/>
              </w:rPr>
              <w:t>PNMIM</w:t>
            </w:r>
          </w:p>
          <w:p w14:paraId="2F85D91E" w14:textId="2AAFAF35" w:rsidR="00A42996" w:rsidRDefault="009B7744" w:rsidP="00E107EA">
            <w:pPr>
              <w:ind w:left="-112"/>
              <w:rPr>
                <w:rFonts w:ascii="Arial Narrow" w:hAnsi="Arial Narrow"/>
                <w:bCs/>
                <w:color w:val="002060"/>
                <w:sz w:val="20"/>
                <w:szCs w:val="20"/>
              </w:rPr>
            </w:pPr>
            <w:r>
              <w:rPr>
                <w:rFonts w:ascii="Arial Narrow" w:hAnsi="Arial Narrow"/>
                <w:bCs/>
                <w:color w:val="002060"/>
                <w:sz w:val="20"/>
                <w:szCs w:val="20"/>
              </w:rPr>
              <w:t>SKMIM</w:t>
            </w:r>
          </w:p>
          <w:p w14:paraId="6AFDEE57" w14:textId="5A105C58" w:rsidR="009B7744" w:rsidRDefault="009B7744" w:rsidP="00E107EA">
            <w:pPr>
              <w:ind w:left="-112"/>
              <w:rPr>
                <w:rFonts w:ascii="Arial Narrow" w:hAnsi="Arial Narrow"/>
                <w:bCs/>
                <w:color w:val="002060"/>
                <w:sz w:val="20"/>
                <w:szCs w:val="20"/>
              </w:rPr>
            </w:pPr>
            <w:r>
              <w:rPr>
                <w:rFonts w:ascii="Arial Narrow" w:hAnsi="Arial Narrow"/>
                <w:bCs/>
                <w:color w:val="002060"/>
                <w:sz w:val="20"/>
                <w:szCs w:val="20"/>
              </w:rPr>
              <w:t>ST</w:t>
            </w:r>
          </w:p>
          <w:p w14:paraId="0E5AC469" w14:textId="2B6573DB" w:rsidR="009B7744" w:rsidRDefault="009B7744" w:rsidP="00E107EA">
            <w:pPr>
              <w:ind w:left="-112"/>
              <w:rPr>
                <w:rFonts w:ascii="Arial Narrow" w:hAnsi="Arial Narrow"/>
                <w:bCs/>
                <w:color w:val="002060"/>
                <w:sz w:val="20"/>
                <w:szCs w:val="20"/>
              </w:rPr>
            </w:pPr>
            <w:r>
              <w:rPr>
                <w:rFonts w:ascii="Arial Narrow" w:hAnsi="Arial Narrow"/>
                <w:bCs/>
                <w:color w:val="002060"/>
                <w:sz w:val="20"/>
                <w:szCs w:val="20"/>
              </w:rPr>
              <w:t>TMB/MBT</w:t>
            </w:r>
          </w:p>
          <w:p w14:paraId="2836BD38" w14:textId="5ABA67E1" w:rsidR="009B7744" w:rsidRDefault="009B7744" w:rsidP="00E107EA">
            <w:pPr>
              <w:ind w:left="-112"/>
              <w:rPr>
                <w:rFonts w:ascii="Arial Narrow" w:hAnsi="Arial Narrow"/>
                <w:bCs/>
                <w:color w:val="002060"/>
                <w:sz w:val="20"/>
                <w:szCs w:val="20"/>
              </w:rPr>
            </w:pPr>
            <w:r>
              <w:rPr>
                <w:rFonts w:ascii="Arial Narrow" w:hAnsi="Arial Narrow"/>
                <w:bCs/>
                <w:color w:val="002060"/>
                <w:sz w:val="20"/>
                <w:szCs w:val="20"/>
              </w:rPr>
              <w:t>ZMM</w:t>
            </w:r>
          </w:p>
          <w:p w14:paraId="78A7E9A5" w14:textId="77777777" w:rsidR="009B7744" w:rsidRDefault="009B7744" w:rsidP="00E107EA">
            <w:pPr>
              <w:ind w:left="-112"/>
              <w:rPr>
                <w:rFonts w:ascii="Arial Narrow" w:hAnsi="Arial Narrow"/>
                <w:bCs/>
                <w:color w:val="002060"/>
                <w:sz w:val="20"/>
                <w:szCs w:val="20"/>
              </w:rPr>
            </w:pPr>
          </w:p>
          <w:p w14:paraId="1854AB66" w14:textId="69B51EF1" w:rsidR="00A42996" w:rsidRPr="00B00BA8" w:rsidRDefault="00A42996" w:rsidP="008A72DD">
            <w:pPr>
              <w:ind w:left="-112"/>
              <w:rPr>
                <w:rFonts w:ascii="Arial Narrow" w:hAnsi="Arial Narrow"/>
                <w:bCs/>
                <w:color w:val="002060"/>
                <w:sz w:val="20"/>
                <w:szCs w:val="20"/>
              </w:rPr>
            </w:pPr>
          </w:p>
        </w:tc>
        <w:tc>
          <w:tcPr>
            <w:tcW w:w="7527" w:type="dxa"/>
            <w:tcBorders>
              <w:left w:val="nil"/>
            </w:tcBorders>
          </w:tcPr>
          <w:p w14:paraId="2736B043" w14:textId="2F38BB1B" w:rsidR="0093755C" w:rsidRDefault="0093755C" w:rsidP="00E107EA">
            <w:pPr>
              <w:rPr>
                <w:rFonts w:ascii="Arial Narrow" w:hAnsi="Arial Narrow"/>
                <w:sz w:val="20"/>
                <w:szCs w:val="20"/>
              </w:rPr>
            </w:pPr>
            <w:r>
              <w:rPr>
                <w:rFonts w:ascii="Arial Narrow" w:hAnsi="Arial Narrow"/>
                <w:sz w:val="20"/>
                <w:szCs w:val="20"/>
              </w:rPr>
              <w:lastRenderedPageBreak/>
              <w:t>Agjencia për Mbrojtjen e Mjedisit në Kosovë</w:t>
            </w:r>
          </w:p>
          <w:p w14:paraId="30BE3EE3" w14:textId="7E1251C8" w:rsidR="0093755C" w:rsidRDefault="0093755C" w:rsidP="00E107EA">
            <w:pPr>
              <w:rPr>
                <w:rFonts w:ascii="Arial Narrow" w:hAnsi="Arial Narrow"/>
                <w:sz w:val="20"/>
                <w:szCs w:val="20"/>
              </w:rPr>
            </w:pPr>
            <w:r>
              <w:rPr>
                <w:rFonts w:ascii="Arial Narrow" w:hAnsi="Arial Narrow"/>
                <w:sz w:val="20"/>
                <w:szCs w:val="20"/>
              </w:rPr>
              <w:t>Agjencia e Statistikave të Kosovës</w:t>
            </w:r>
          </w:p>
          <w:p w14:paraId="380E2A81" w14:textId="5ECCECB8" w:rsidR="0093755C" w:rsidRDefault="0093755C" w:rsidP="00E107EA">
            <w:pPr>
              <w:rPr>
                <w:rFonts w:ascii="Arial Narrow" w:hAnsi="Arial Narrow"/>
                <w:sz w:val="20"/>
                <w:szCs w:val="20"/>
              </w:rPr>
            </w:pPr>
            <w:r>
              <w:rPr>
                <w:rFonts w:ascii="Arial Narrow" w:hAnsi="Arial Narrow"/>
                <w:sz w:val="20"/>
                <w:szCs w:val="20"/>
              </w:rPr>
              <w:t>Bashkimi Evropian</w:t>
            </w:r>
          </w:p>
          <w:p w14:paraId="20248D7D" w14:textId="48A357EE" w:rsidR="00A42996" w:rsidRDefault="00A42996" w:rsidP="00E107EA">
            <w:pPr>
              <w:rPr>
                <w:rFonts w:ascii="Arial Narrow" w:hAnsi="Arial Narrow"/>
                <w:sz w:val="20"/>
                <w:szCs w:val="20"/>
              </w:rPr>
            </w:pPr>
            <w:r>
              <w:rPr>
                <w:rFonts w:ascii="Arial Narrow" w:hAnsi="Arial Narrow"/>
                <w:sz w:val="20"/>
                <w:szCs w:val="20"/>
              </w:rPr>
              <w:t>Bashkëpunimi Ndërkomunal</w:t>
            </w:r>
          </w:p>
          <w:p w14:paraId="5C7EBB7D" w14:textId="104FAFB7" w:rsidR="0093755C" w:rsidRDefault="0093755C" w:rsidP="00E107EA">
            <w:pPr>
              <w:rPr>
                <w:rFonts w:ascii="Arial Narrow" w:hAnsi="Arial Narrow"/>
                <w:sz w:val="20"/>
                <w:szCs w:val="20"/>
              </w:rPr>
            </w:pPr>
            <w:r>
              <w:rPr>
                <w:rFonts w:ascii="Arial Narrow" w:hAnsi="Arial Narrow"/>
                <w:sz w:val="20"/>
                <w:szCs w:val="20"/>
              </w:rPr>
              <w:t>Bruto Produkti Vendor</w:t>
            </w:r>
          </w:p>
          <w:p w14:paraId="67160237" w14:textId="7B03A84E" w:rsidR="009B7744" w:rsidRDefault="009B7744" w:rsidP="00E107EA">
            <w:pPr>
              <w:rPr>
                <w:rFonts w:ascii="Arial Narrow" w:hAnsi="Arial Narrow"/>
                <w:sz w:val="20"/>
                <w:szCs w:val="20"/>
              </w:rPr>
            </w:pPr>
            <w:r>
              <w:rPr>
                <w:rFonts w:ascii="Arial Narrow" w:hAnsi="Arial Narrow"/>
                <w:sz w:val="20"/>
                <w:szCs w:val="20"/>
              </w:rPr>
              <w:t>Departamenti për Inspektimin e Mjedisit, Natyrës, Ujërave, Ndërtimit dhe Infrastrukturës</w:t>
            </w:r>
          </w:p>
          <w:p w14:paraId="4F9A2D98" w14:textId="633D2082" w:rsidR="00A42996" w:rsidRDefault="00A42996" w:rsidP="00E107EA">
            <w:pPr>
              <w:rPr>
                <w:rFonts w:ascii="Arial Narrow" w:hAnsi="Arial Narrow"/>
                <w:sz w:val="20"/>
                <w:szCs w:val="20"/>
              </w:rPr>
            </w:pPr>
            <w:r>
              <w:rPr>
                <w:rFonts w:ascii="Arial Narrow" w:hAnsi="Arial Narrow"/>
                <w:sz w:val="20"/>
                <w:szCs w:val="20"/>
              </w:rPr>
              <w:t>Ekonomia Qarkore</w:t>
            </w:r>
          </w:p>
          <w:p w14:paraId="2F2ADEAB" w14:textId="473D2B87" w:rsidR="009B7744" w:rsidRDefault="009B7744" w:rsidP="00E107EA">
            <w:pPr>
              <w:rPr>
                <w:rFonts w:ascii="Arial Narrow" w:hAnsi="Arial Narrow"/>
                <w:sz w:val="20"/>
                <w:szCs w:val="20"/>
              </w:rPr>
            </w:pPr>
            <w:r>
              <w:rPr>
                <w:rFonts w:ascii="Arial Narrow" w:hAnsi="Arial Narrow"/>
                <w:sz w:val="20"/>
                <w:szCs w:val="20"/>
              </w:rPr>
              <w:t>Inspektoriati i Kosovës për Mbrojtjen e Mjedisit</w:t>
            </w:r>
          </w:p>
          <w:p w14:paraId="0BD3401F" w14:textId="0DDDFBEA" w:rsidR="009B7744" w:rsidRDefault="009B7744" w:rsidP="00E107EA">
            <w:pPr>
              <w:rPr>
                <w:rFonts w:ascii="Arial Narrow" w:hAnsi="Arial Narrow"/>
                <w:sz w:val="20"/>
                <w:szCs w:val="20"/>
              </w:rPr>
            </w:pPr>
            <w:r>
              <w:rPr>
                <w:rFonts w:ascii="Arial Narrow" w:hAnsi="Arial Narrow"/>
                <w:sz w:val="20"/>
                <w:szCs w:val="20"/>
              </w:rPr>
              <w:t>Institucionet e Kujdesit Shëndetësor</w:t>
            </w:r>
          </w:p>
          <w:p w14:paraId="1269D005" w14:textId="0D23EBE0" w:rsidR="008A72DD" w:rsidRDefault="008A72DD" w:rsidP="00E107EA">
            <w:pPr>
              <w:rPr>
                <w:rFonts w:ascii="Arial Narrow" w:hAnsi="Arial Narrow"/>
                <w:sz w:val="20"/>
                <w:szCs w:val="20"/>
              </w:rPr>
            </w:pPr>
            <w:r>
              <w:rPr>
                <w:rFonts w:ascii="Arial Narrow" w:hAnsi="Arial Narrow"/>
                <w:sz w:val="20"/>
                <w:szCs w:val="20"/>
              </w:rPr>
              <w:t>Impiant për Trajtimin e Ujërave të Zeza</w:t>
            </w:r>
          </w:p>
          <w:p w14:paraId="4AF8C102" w14:textId="7A6F1447" w:rsidR="009B7744" w:rsidRDefault="009B7744" w:rsidP="00E107EA">
            <w:pPr>
              <w:rPr>
                <w:rFonts w:ascii="Arial Narrow" w:hAnsi="Arial Narrow"/>
                <w:sz w:val="20"/>
                <w:szCs w:val="20"/>
              </w:rPr>
            </w:pPr>
            <w:r>
              <w:rPr>
                <w:rFonts w:ascii="Arial Narrow" w:hAnsi="Arial Narrow"/>
                <w:sz w:val="20"/>
                <w:szCs w:val="20"/>
              </w:rPr>
              <w:t>Karburante të Derivuara nga Mbeturinat</w:t>
            </w:r>
          </w:p>
          <w:p w14:paraId="40769942" w14:textId="1043898E" w:rsidR="008A72DD" w:rsidRDefault="008A72DD" w:rsidP="00E107EA">
            <w:pPr>
              <w:rPr>
                <w:rFonts w:ascii="Arial Narrow" w:hAnsi="Arial Narrow"/>
                <w:sz w:val="20"/>
                <w:szCs w:val="20"/>
              </w:rPr>
            </w:pPr>
            <w:r>
              <w:rPr>
                <w:rFonts w:ascii="Arial Narrow" w:hAnsi="Arial Narrow"/>
                <w:sz w:val="20"/>
                <w:szCs w:val="20"/>
              </w:rPr>
              <w:t>Kompania Rajonale e Mbeturinave</w:t>
            </w:r>
          </w:p>
          <w:p w14:paraId="290324D2" w14:textId="335434B4" w:rsidR="009B7744" w:rsidRDefault="009B7744" w:rsidP="00E107EA">
            <w:pPr>
              <w:rPr>
                <w:rFonts w:ascii="Arial Narrow" w:hAnsi="Arial Narrow"/>
                <w:sz w:val="20"/>
                <w:szCs w:val="20"/>
              </w:rPr>
            </w:pPr>
            <w:r>
              <w:rPr>
                <w:rFonts w:ascii="Arial Narrow" w:hAnsi="Arial Narrow"/>
                <w:sz w:val="20"/>
                <w:szCs w:val="20"/>
              </w:rPr>
              <w:t>Ministria e Administrimit të Pushtetit Lokal</w:t>
            </w:r>
          </w:p>
          <w:p w14:paraId="45FD3B9F" w14:textId="398E73F4" w:rsidR="009B7744" w:rsidRDefault="009B7744" w:rsidP="00E107EA">
            <w:pPr>
              <w:rPr>
                <w:rFonts w:ascii="Arial Narrow" w:hAnsi="Arial Narrow"/>
                <w:sz w:val="20"/>
                <w:szCs w:val="20"/>
              </w:rPr>
            </w:pPr>
            <w:r>
              <w:rPr>
                <w:rFonts w:ascii="Arial Narrow" w:hAnsi="Arial Narrow"/>
                <w:sz w:val="20"/>
                <w:szCs w:val="20"/>
              </w:rPr>
              <w:t>Ministria e Ekonomisë</w:t>
            </w:r>
          </w:p>
          <w:p w14:paraId="03C4E2AE" w14:textId="13A7FEAD" w:rsidR="008A72DD" w:rsidRDefault="008A72DD" w:rsidP="00E107EA">
            <w:pPr>
              <w:rPr>
                <w:rFonts w:ascii="Arial Narrow" w:hAnsi="Arial Narrow"/>
                <w:sz w:val="20"/>
                <w:szCs w:val="20"/>
              </w:rPr>
            </w:pPr>
            <w:r>
              <w:rPr>
                <w:rFonts w:ascii="Arial Narrow" w:hAnsi="Arial Narrow"/>
                <w:sz w:val="20"/>
                <w:szCs w:val="20"/>
              </w:rPr>
              <w:t>Ministria e Financave, Punës dhe Transfereve</w:t>
            </w:r>
          </w:p>
          <w:p w14:paraId="28BBE3E3" w14:textId="4B93E4FF" w:rsidR="0093755C" w:rsidRDefault="0093755C" w:rsidP="00E107EA">
            <w:pPr>
              <w:rPr>
                <w:rFonts w:ascii="Arial Narrow" w:hAnsi="Arial Narrow"/>
                <w:sz w:val="20"/>
                <w:szCs w:val="20"/>
              </w:rPr>
            </w:pPr>
            <w:r>
              <w:rPr>
                <w:rFonts w:ascii="Arial Narrow" w:hAnsi="Arial Narrow"/>
                <w:sz w:val="20"/>
                <w:szCs w:val="20"/>
              </w:rPr>
              <w:t>Mbeturina Komunale Inerte</w:t>
            </w:r>
          </w:p>
          <w:p w14:paraId="3E1662B8" w14:textId="520BD8A9" w:rsidR="009B7744" w:rsidRDefault="009B7744" w:rsidP="00E107EA">
            <w:pPr>
              <w:rPr>
                <w:rFonts w:ascii="Arial Narrow" w:hAnsi="Arial Narrow"/>
                <w:sz w:val="20"/>
                <w:szCs w:val="20"/>
              </w:rPr>
            </w:pPr>
            <w:r>
              <w:rPr>
                <w:rFonts w:ascii="Arial Narrow" w:hAnsi="Arial Narrow"/>
                <w:sz w:val="20"/>
                <w:szCs w:val="20"/>
              </w:rPr>
              <w:t>Mbeturinat e Kujdesit Shëndetësor</w:t>
            </w:r>
          </w:p>
          <w:p w14:paraId="2B3FB9D0" w14:textId="3C73B5E8" w:rsidR="0093755C" w:rsidRDefault="0093755C" w:rsidP="00E107EA">
            <w:pPr>
              <w:rPr>
                <w:rFonts w:ascii="Arial Narrow" w:hAnsi="Arial Narrow"/>
                <w:sz w:val="20"/>
                <w:szCs w:val="20"/>
              </w:rPr>
            </w:pPr>
            <w:r>
              <w:rPr>
                <w:rFonts w:ascii="Arial Narrow" w:hAnsi="Arial Narrow"/>
                <w:sz w:val="20"/>
                <w:szCs w:val="20"/>
              </w:rPr>
              <w:t>Menaxhim i Integruar i Mbeturinave</w:t>
            </w:r>
          </w:p>
          <w:p w14:paraId="027BCC0E" w14:textId="58687B99" w:rsidR="0093755C" w:rsidRDefault="0093755C" w:rsidP="00E107EA">
            <w:pPr>
              <w:rPr>
                <w:rFonts w:ascii="Arial Narrow" w:hAnsi="Arial Narrow"/>
                <w:sz w:val="20"/>
                <w:szCs w:val="20"/>
              </w:rPr>
            </w:pPr>
            <w:r>
              <w:rPr>
                <w:rFonts w:ascii="Arial Narrow" w:hAnsi="Arial Narrow"/>
                <w:sz w:val="20"/>
                <w:szCs w:val="20"/>
              </w:rPr>
              <w:t>Menaxhimi i Mbeturinave Inerte</w:t>
            </w:r>
          </w:p>
          <w:p w14:paraId="21CF15C0" w14:textId="521E037D" w:rsidR="008A72DD" w:rsidRDefault="008A72DD" w:rsidP="00E107EA">
            <w:pPr>
              <w:rPr>
                <w:rFonts w:ascii="Arial Narrow" w:hAnsi="Arial Narrow"/>
                <w:sz w:val="20"/>
                <w:szCs w:val="20"/>
              </w:rPr>
            </w:pPr>
            <w:r>
              <w:rPr>
                <w:rFonts w:ascii="Arial Narrow" w:hAnsi="Arial Narrow"/>
                <w:sz w:val="20"/>
                <w:szCs w:val="20"/>
              </w:rPr>
              <w:t>Ministria e Mjedisit, Planifikimit Hapësinor dhe Infrastrukturës</w:t>
            </w:r>
          </w:p>
          <w:p w14:paraId="3DD0B543" w14:textId="2892C653" w:rsidR="00A42996" w:rsidRDefault="00A42996" w:rsidP="00E107EA">
            <w:pPr>
              <w:rPr>
                <w:rFonts w:ascii="Arial Narrow" w:hAnsi="Arial Narrow"/>
                <w:sz w:val="20"/>
                <w:szCs w:val="20"/>
              </w:rPr>
            </w:pPr>
            <w:r>
              <w:rPr>
                <w:rFonts w:ascii="Arial Narrow" w:hAnsi="Arial Narrow"/>
                <w:sz w:val="20"/>
                <w:szCs w:val="20"/>
              </w:rPr>
              <w:t>Mbeturina të Ndërtimit dhe Rrënimit</w:t>
            </w:r>
          </w:p>
          <w:p w14:paraId="1BD39880" w14:textId="59982BAF" w:rsidR="0093755C" w:rsidRDefault="0093755C" w:rsidP="00E107EA">
            <w:pPr>
              <w:rPr>
                <w:rFonts w:ascii="Arial Narrow" w:hAnsi="Arial Narrow"/>
                <w:sz w:val="20"/>
                <w:szCs w:val="20"/>
              </w:rPr>
            </w:pPr>
            <w:r>
              <w:rPr>
                <w:rFonts w:ascii="Arial Narrow" w:hAnsi="Arial Narrow"/>
                <w:sz w:val="20"/>
                <w:szCs w:val="20"/>
              </w:rPr>
              <w:t>Mbeturina për Energji</w:t>
            </w:r>
          </w:p>
          <w:p w14:paraId="3283FA6B" w14:textId="772EE088" w:rsidR="0093755C" w:rsidRDefault="00A42996" w:rsidP="00E107EA">
            <w:pPr>
              <w:rPr>
                <w:rFonts w:ascii="Arial Narrow" w:hAnsi="Arial Narrow"/>
                <w:sz w:val="20"/>
                <w:szCs w:val="20"/>
              </w:rPr>
            </w:pPr>
            <w:r>
              <w:rPr>
                <w:rFonts w:ascii="Arial Narrow" w:hAnsi="Arial Narrow"/>
                <w:sz w:val="20"/>
                <w:szCs w:val="20"/>
              </w:rPr>
              <w:t>Ndarje në Burim</w:t>
            </w:r>
          </w:p>
          <w:p w14:paraId="1880D9BD" w14:textId="5022F4FE" w:rsidR="008A72DD" w:rsidRDefault="008A72DD" w:rsidP="00E107EA">
            <w:pPr>
              <w:rPr>
                <w:rFonts w:ascii="Arial Narrow" w:hAnsi="Arial Narrow"/>
                <w:sz w:val="20"/>
                <w:szCs w:val="20"/>
              </w:rPr>
            </w:pPr>
            <w:r>
              <w:rPr>
                <w:rFonts w:ascii="Arial Narrow" w:hAnsi="Arial Narrow"/>
                <w:sz w:val="20"/>
                <w:szCs w:val="20"/>
              </w:rPr>
              <w:t>Ndërmarrje Publike</w:t>
            </w:r>
          </w:p>
          <w:p w14:paraId="3B3F9F2E" w14:textId="4A1B6865" w:rsidR="00A42996" w:rsidRDefault="00A42996" w:rsidP="00E107EA">
            <w:pPr>
              <w:rPr>
                <w:rFonts w:ascii="Arial Narrow" w:hAnsi="Arial Narrow"/>
                <w:sz w:val="20"/>
                <w:szCs w:val="20"/>
              </w:rPr>
            </w:pPr>
            <w:r>
              <w:rPr>
                <w:rFonts w:ascii="Arial Narrow" w:hAnsi="Arial Narrow"/>
                <w:sz w:val="20"/>
                <w:szCs w:val="20"/>
              </w:rPr>
              <w:t>Organizata me Përgjegjësi të Zgjeruar</w:t>
            </w:r>
          </w:p>
          <w:p w14:paraId="1042922E" w14:textId="27A1969D" w:rsidR="00A42996" w:rsidRDefault="00A42996" w:rsidP="00E107EA">
            <w:pPr>
              <w:rPr>
                <w:rFonts w:ascii="Arial Narrow" w:hAnsi="Arial Narrow"/>
                <w:sz w:val="20"/>
                <w:szCs w:val="20"/>
              </w:rPr>
            </w:pPr>
            <w:r>
              <w:rPr>
                <w:rFonts w:ascii="Arial Narrow" w:hAnsi="Arial Narrow"/>
                <w:sz w:val="20"/>
                <w:szCs w:val="20"/>
              </w:rPr>
              <w:t>Oborr Riciklimi</w:t>
            </w:r>
          </w:p>
          <w:p w14:paraId="2BCD07E7" w14:textId="78F11E94" w:rsidR="00A42996" w:rsidRDefault="00A42996" w:rsidP="00E107EA">
            <w:pPr>
              <w:rPr>
                <w:rFonts w:ascii="Arial Narrow" w:hAnsi="Arial Narrow"/>
                <w:sz w:val="20"/>
                <w:szCs w:val="20"/>
              </w:rPr>
            </w:pPr>
            <w:r>
              <w:rPr>
                <w:rFonts w:ascii="Arial Narrow" w:hAnsi="Arial Narrow"/>
                <w:sz w:val="20"/>
                <w:szCs w:val="20"/>
              </w:rPr>
              <w:t>Objekte për Rikuperimin e Mbeturinave</w:t>
            </w:r>
          </w:p>
          <w:p w14:paraId="230A1102" w14:textId="0ED87208" w:rsidR="00A42996" w:rsidRDefault="00A42996" w:rsidP="00E107EA">
            <w:pPr>
              <w:rPr>
                <w:rFonts w:ascii="Arial Narrow" w:hAnsi="Arial Narrow"/>
                <w:sz w:val="20"/>
                <w:szCs w:val="20"/>
              </w:rPr>
            </w:pPr>
            <w:r>
              <w:rPr>
                <w:rFonts w:ascii="Arial Narrow" w:hAnsi="Arial Narrow"/>
                <w:sz w:val="20"/>
                <w:szCs w:val="20"/>
              </w:rPr>
              <w:lastRenderedPageBreak/>
              <w:t>Plastikë Njëpërdorimëshe</w:t>
            </w:r>
          </w:p>
          <w:p w14:paraId="01EBCB54" w14:textId="2830224C" w:rsidR="00A42996" w:rsidRDefault="00A42996" w:rsidP="00E107EA">
            <w:pPr>
              <w:rPr>
                <w:rFonts w:ascii="Arial Narrow" w:hAnsi="Arial Narrow"/>
                <w:sz w:val="20"/>
                <w:szCs w:val="20"/>
              </w:rPr>
            </w:pPr>
            <w:r>
              <w:rPr>
                <w:rFonts w:ascii="Arial Narrow" w:hAnsi="Arial Narrow"/>
                <w:sz w:val="20"/>
                <w:szCs w:val="20"/>
              </w:rPr>
              <w:t>Plani Kombëtar i Menaxhimit të Mbeturinave të Ndërtimit dhe Rrënimit</w:t>
            </w:r>
          </w:p>
          <w:p w14:paraId="00355015" w14:textId="56496832" w:rsidR="00A42996" w:rsidRDefault="00A42996" w:rsidP="00E107EA">
            <w:pPr>
              <w:rPr>
                <w:rFonts w:ascii="Arial Narrow" w:hAnsi="Arial Narrow"/>
                <w:sz w:val="20"/>
                <w:szCs w:val="20"/>
              </w:rPr>
            </w:pPr>
            <w:r>
              <w:rPr>
                <w:rFonts w:ascii="Arial Narrow" w:hAnsi="Arial Narrow"/>
                <w:sz w:val="20"/>
                <w:szCs w:val="20"/>
              </w:rPr>
              <w:t>Plani Ndërkomunal për Menaxhimin e Integruar të Mbeturinave</w:t>
            </w:r>
          </w:p>
          <w:p w14:paraId="011C4A55" w14:textId="2540BD3D" w:rsidR="00A42996" w:rsidRDefault="009B7744" w:rsidP="00E107EA">
            <w:pPr>
              <w:rPr>
                <w:rFonts w:ascii="Arial Narrow" w:hAnsi="Arial Narrow"/>
                <w:sz w:val="20"/>
                <w:szCs w:val="20"/>
              </w:rPr>
            </w:pPr>
            <w:r>
              <w:rPr>
                <w:rFonts w:ascii="Arial Narrow" w:hAnsi="Arial Narrow"/>
                <w:sz w:val="20"/>
                <w:szCs w:val="20"/>
              </w:rPr>
              <w:t>Strategjia e Kosovës për Menaxhimin e Integruar të Mbeturinave</w:t>
            </w:r>
          </w:p>
          <w:p w14:paraId="416F5B74" w14:textId="6DD11A28" w:rsidR="009B7744" w:rsidRDefault="009B7744" w:rsidP="00E107EA">
            <w:pPr>
              <w:rPr>
                <w:rFonts w:ascii="Arial Narrow" w:hAnsi="Arial Narrow"/>
                <w:sz w:val="20"/>
                <w:szCs w:val="20"/>
              </w:rPr>
            </w:pPr>
            <w:r>
              <w:rPr>
                <w:rFonts w:ascii="Arial Narrow" w:hAnsi="Arial Narrow"/>
                <w:sz w:val="20"/>
                <w:szCs w:val="20"/>
              </w:rPr>
              <w:t>Stacion Transferi</w:t>
            </w:r>
          </w:p>
          <w:p w14:paraId="3D71241A" w14:textId="33FA9956" w:rsidR="009B7744" w:rsidRDefault="009B7744" w:rsidP="00E107EA">
            <w:pPr>
              <w:rPr>
                <w:rFonts w:ascii="Arial Narrow" w:hAnsi="Arial Narrow"/>
                <w:sz w:val="20"/>
                <w:szCs w:val="20"/>
              </w:rPr>
            </w:pPr>
            <w:r>
              <w:rPr>
                <w:rFonts w:ascii="Arial Narrow" w:hAnsi="Arial Narrow"/>
                <w:sz w:val="20"/>
                <w:szCs w:val="20"/>
              </w:rPr>
              <w:t>Trajtimi Mekanik Biologjik</w:t>
            </w:r>
          </w:p>
          <w:p w14:paraId="4006579A" w14:textId="1647DDDD" w:rsidR="009B7744" w:rsidRDefault="009B7744" w:rsidP="00E107EA">
            <w:pPr>
              <w:rPr>
                <w:rFonts w:ascii="Arial Narrow" w:hAnsi="Arial Narrow"/>
                <w:sz w:val="20"/>
                <w:szCs w:val="20"/>
              </w:rPr>
            </w:pPr>
            <w:r>
              <w:rPr>
                <w:rFonts w:ascii="Arial Narrow" w:hAnsi="Arial Narrow"/>
                <w:sz w:val="20"/>
                <w:szCs w:val="20"/>
              </w:rPr>
              <w:t>Zona e Menaxhimit të Mbeturinave (Rajoni i Dukagjinit)</w:t>
            </w:r>
          </w:p>
          <w:p w14:paraId="034022CD" w14:textId="361CAFD7" w:rsidR="00032CD8" w:rsidRPr="00240FB6" w:rsidRDefault="00032CD8" w:rsidP="00E107EA">
            <w:pPr>
              <w:rPr>
                <w:rFonts w:ascii="Arial Narrow" w:hAnsi="Arial Narrow"/>
                <w:sz w:val="20"/>
                <w:szCs w:val="20"/>
              </w:rPr>
            </w:pPr>
          </w:p>
        </w:tc>
      </w:tr>
      <w:tr w:rsidR="00032CD8" w:rsidRPr="00240FB6" w14:paraId="0E2293D2" w14:textId="77777777" w:rsidTr="00036961">
        <w:tc>
          <w:tcPr>
            <w:tcW w:w="1499" w:type="dxa"/>
          </w:tcPr>
          <w:p w14:paraId="32A3B20E" w14:textId="05929F2E"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4CF27FED" w14:textId="64F1538B" w:rsidR="00032CD8" w:rsidRPr="00240FB6" w:rsidRDefault="00032CD8" w:rsidP="00E107EA">
            <w:pPr>
              <w:rPr>
                <w:rFonts w:ascii="Arial Narrow" w:hAnsi="Arial Narrow"/>
                <w:sz w:val="20"/>
                <w:szCs w:val="20"/>
              </w:rPr>
            </w:pPr>
          </w:p>
        </w:tc>
      </w:tr>
      <w:tr w:rsidR="00032CD8" w:rsidRPr="00240FB6" w14:paraId="56843362" w14:textId="77777777" w:rsidTr="00036961">
        <w:tc>
          <w:tcPr>
            <w:tcW w:w="1499" w:type="dxa"/>
          </w:tcPr>
          <w:p w14:paraId="5F8DA845" w14:textId="1FC8E743"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587D35C2" w14:textId="191EDF4E" w:rsidR="00032CD8" w:rsidRPr="00240FB6" w:rsidRDefault="00032CD8" w:rsidP="00E107EA">
            <w:pPr>
              <w:rPr>
                <w:rFonts w:ascii="Arial Narrow" w:hAnsi="Arial Narrow"/>
                <w:sz w:val="20"/>
                <w:szCs w:val="20"/>
              </w:rPr>
            </w:pPr>
          </w:p>
        </w:tc>
      </w:tr>
      <w:tr w:rsidR="00032CD8" w:rsidRPr="00240FB6" w14:paraId="7B11C69A" w14:textId="77777777" w:rsidTr="00036961">
        <w:tc>
          <w:tcPr>
            <w:tcW w:w="1499" w:type="dxa"/>
          </w:tcPr>
          <w:p w14:paraId="28B423A0" w14:textId="795CBB9F"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21C76F9E" w14:textId="506964B7" w:rsidR="00032CD8" w:rsidRPr="00240FB6" w:rsidRDefault="00032CD8" w:rsidP="00E107EA">
            <w:pPr>
              <w:rPr>
                <w:rFonts w:ascii="Arial Narrow" w:hAnsi="Arial Narrow"/>
                <w:sz w:val="20"/>
                <w:szCs w:val="20"/>
              </w:rPr>
            </w:pPr>
          </w:p>
        </w:tc>
      </w:tr>
      <w:tr w:rsidR="00032CD8" w:rsidRPr="00240FB6" w14:paraId="120B2042" w14:textId="77777777" w:rsidTr="00036961">
        <w:tc>
          <w:tcPr>
            <w:tcW w:w="1499" w:type="dxa"/>
          </w:tcPr>
          <w:p w14:paraId="24D84A3F" w14:textId="7596AB22"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18A521B7" w14:textId="76498EDA" w:rsidR="00032CD8" w:rsidRPr="00240FB6" w:rsidRDefault="00032CD8" w:rsidP="00E107EA">
            <w:pPr>
              <w:rPr>
                <w:rFonts w:ascii="Arial Narrow" w:hAnsi="Arial Narrow"/>
                <w:sz w:val="20"/>
                <w:szCs w:val="20"/>
              </w:rPr>
            </w:pPr>
          </w:p>
        </w:tc>
      </w:tr>
      <w:tr w:rsidR="00032CD8" w:rsidRPr="00240FB6" w14:paraId="4A10FD4F" w14:textId="77777777" w:rsidTr="00036961">
        <w:tc>
          <w:tcPr>
            <w:tcW w:w="1499" w:type="dxa"/>
          </w:tcPr>
          <w:p w14:paraId="4FE12EFC" w14:textId="6B2BD446" w:rsidR="0093755C" w:rsidRPr="00B00BA8" w:rsidRDefault="0093755C" w:rsidP="0093755C">
            <w:pPr>
              <w:rPr>
                <w:rFonts w:ascii="Arial Narrow" w:hAnsi="Arial Narrow"/>
                <w:bCs/>
                <w:color w:val="002060"/>
                <w:sz w:val="20"/>
                <w:szCs w:val="20"/>
              </w:rPr>
            </w:pPr>
          </w:p>
        </w:tc>
        <w:tc>
          <w:tcPr>
            <w:tcW w:w="7527" w:type="dxa"/>
            <w:tcBorders>
              <w:left w:val="nil"/>
            </w:tcBorders>
          </w:tcPr>
          <w:p w14:paraId="0CD45D6E" w14:textId="0B7B6C81" w:rsidR="00032CD8" w:rsidRPr="00240FB6" w:rsidRDefault="00032CD8" w:rsidP="00E107EA">
            <w:pPr>
              <w:rPr>
                <w:rFonts w:ascii="Arial Narrow" w:hAnsi="Arial Narrow"/>
                <w:sz w:val="20"/>
                <w:szCs w:val="20"/>
              </w:rPr>
            </w:pPr>
          </w:p>
        </w:tc>
      </w:tr>
      <w:tr w:rsidR="00032CD8" w:rsidRPr="00240FB6" w14:paraId="6549F2F7" w14:textId="77777777" w:rsidTr="00036961">
        <w:tc>
          <w:tcPr>
            <w:tcW w:w="1499" w:type="dxa"/>
          </w:tcPr>
          <w:p w14:paraId="08D289F5" w14:textId="3030389B"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10032FB5" w14:textId="7EFA413F" w:rsidR="00032CD8" w:rsidRPr="00240FB6" w:rsidRDefault="00032CD8" w:rsidP="00E107EA">
            <w:pPr>
              <w:rPr>
                <w:rFonts w:ascii="Arial Narrow" w:hAnsi="Arial Narrow"/>
                <w:sz w:val="20"/>
                <w:szCs w:val="20"/>
              </w:rPr>
            </w:pPr>
          </w:p>
        </w:tc>
      </w:tr>
      <w:tr w:rsidR="00032CD8" w:rsidRPr="00240FB6" w14:paraId="43CB1539" w14:textId="77777777" w:rsidTr="00036961">
        <w:tc>
          <w:tcPr>
            <w:tcW w:w="1499" w:type="dxa"/>
          </w:tcPr>
          <w:p w14:paraId="60FAE11E" w14:textId="44F85286"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139B319D" w14:textId="61A5F80F" w:rsidR="00032CD8" w:rsidRPr="00240FB6" w:rsidRDefault="00032CD8" w:rsidP="00E107EA">
            <w:pPr>
              <w:rPr>
                <w:rFonts w:ascii="Arial Narrow" w:hAnsi="Arial Narrow"/>
                <w:sz w:val="20"/>
                <w:szCs w:val="20"/>
              </w:rPr>
            </w:pPr>
          </w:p>
        </w:tc>
      </w:tr>
      <w:tr w:rsidR="00032CD8" w:rsidRPr="00240FB6" w14:paraId="77890E43" w14:textId="77777777" w:rsidTr="00036961">
        <w:tc>
          <w:tcPr>
            <w:tcW w:w="1499" w:type="dxa"/>
          </w:tcPr>
          <w:p w14:paraId="60FA0698" w14:textId="0582ABB6"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72DBDBB8" w14:textId="372A4020" w:rsidR="00032CD8" w:rsidRPr="00240FB6" w:rsidRDefault="00032CD8" w:rsidP="00E107EA">
            <w:pPr>
              <w:rPr>
                <w:rFonts w:ascii="Arial Narrow" w:hAnsi="Arial Narrow"/>
                <w:sz w:val="20"/>
                <w:szCs w:val="20"/>
              </w:rPr>
            </w:pPr>
          </w:p>
        </w:tc>
      </w:tr>
      <w:tr w:rsidR="00032CD8" w:rsidRPr="00240FB6" w14:paraId="75EEDA10" w14:textId="77777777" w:rsidTr="00036961">
        <w:tc>
          <w:tcPr>
            <w:tcW w:w="1499" w:type="dxa"/>
          </w:tcPr>
          <w:p w14:paraId="5FF51A3F" w14:textId="01020E1B"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58FCD11B" w14:textId="6AEADBF2" w:rsidR="00032CD8" w:rsidRPr="00240FB6" w:rsidRDefault="00032CD8" w:rsidP="00E107EA">
            <w:pPr>
              <w:rPr>
                <w:rFonts w:ascii="Arial Narrow" w:hAnsi="Arial Narrow"/>
                <w:sz w:val="20"/>
                <w:szCs w:val="20"/>
              </w:rPr>
            </w:pPr>
          </w:p>
        </w:tc>
      </w:tr>
      <w:tr w:rsidR="00032CD8" w:rsidRPr="00240FB6" w14:paraId="65C0ECC9" w14:textId="77777777" w:rsidTr="00036961">
        <w:tc>
          <w:tcPr>
            <w:tcW w:w="1499" w:type="dxa"/>
          </w:tcPr>
          <w:p w14:paraId="67308F2C" w14:textId="46E3E2FF"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4CF17276" w14:textId="4F04C853" w:rsidR="00032CD8" w:rsidRPr="00240FB6" w:rsidRDefault="00032CD8" w:rsidP="00E107EA">
            <w:pPr>
              <w:rPr>
                <w:rFonts w:ascii="Arial Narrow" w:hAnsi="Arial Narrow"/>
                <w:sz w:val="20"/>
                <w:szCs w:val="20"/>
              </w:rPr>
            </w:pPr>
          </w:p>
        </w:tc>
      </w:tr>
      <w:tr w:rsidR="00032CD8" w:rsidRPr="00240FB6" w14:paraId="1331A11F" w14:textId="77777777" w:rsidTr="00036961">
        <w:tc>
          <w:tcPr>
            <w:tcW w:w="1499" w:type="dxa"/>
          </w:tcPr>
          <w:p w14:paraId="3548C5A5" w14:textId="2F882B87"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43D310A0" w14:textId="05860A46" w:rsidR="00032CD8" w:rsidRPr="00240FB6" w:rsidRDefault="00032CD8" w:rsidP="00E107EA">
            <w:pPr>
              <w:rPr>
                <w:rFonts w:ascii="Arial Narrow" w:hAnsi="Arial Narrow"/>
                <w:sz w:val="20"/>
                <w:szCs w:val="20"/>
              </w:rPr>
            </w:pPr>
          </w:p>
        </w:tc>
      </w:tr>
      <w:tr w:rsidR="003B174B" w:rsidRPr="00240FB6" w14:paraId="58AED726" w14:textId="77777777" w:rsidTr="00036961">
        <w:tc>
          <w:tcPr>
            <w:tcW w:w="1499" w:type="dxa"/>
          </w:tcPr>
          <w:p w14:paraId="2C324DD3" w14:textId="15FAA5A6" w:rsidR="003B174B" w:rsidRPr="00B00BA8" w:rsidRDefault="003B174B" w:rsidP="00E107EA">
            <w:pPr>
              <w:ind w:left="-112"/>
              <w:rPr>
                <w:rFonts w:ascii="Arial Narrow" w:hAnsi="Arial Narrow"/>
                <w:bCs/>
                <w:color w:val="002060"/>
                <w:sz w:val="20"/>
                <w:szCs w:val="20"/>
              </w:rPr>
            </w:pPr>
          </w:p>
        </w:tc>
        <w:tc>
          <w:tcPr>
            <w:tcW w:w="7527" w:type="dxa"/>
            <w:tcBorders>
              <w:left w:val="nil"/>
            </w:tcBorders>
          </w:tcPr>
          <w:p w14:paraId="20E051CD" w14:textId="0244C50C" w:rsidR="003B174B" w:rsidRPr="00240FB6" w:rsidRDefault="003B174B" w:rsidP="00E107EA">
            <w:pPr>
              <w:rPr>
                <w:rFonts w:ascii="Arial Narrow" w:hAnsi="Arial Narrow"/>
                <w:sz w:val="20"/>
                <w:szCs w:val="20"/>
              </w:rPr>
            </w:pPr>
          </w:p>
        </w:tc>
      </w:tr>
      <w:tr w:rsidR="00032CD8" w:rsidRPr="00240FB6" w14:paraId="397F7FCB" w14:textId="77777777" w:rsidTr="00036961">
        <w:tc>
          <w:tcPr>
            <w:tcW w:w="1499" w:type="dxa"/>
          </w:tcPr>
          <w:p w14:paraId="71FED150" w14:textId="4BB18F58"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57B0ECF6" w14:textId="234817E1" w:rsidR="00032CD8" w:rsidRPr="00240FB6" w:rsidRDefault="00032CD8" w:rsidP="00E107EA">
            <w:pPr>
              <w:rPr>
                <w:rFonts w:ascii="Arial Narrow" w:hAnsi="Arial Narrow"/>
                <w:sz w:val="20"/>
                <w:szCs w:val="20"/>
              </w:rPr>
            </w:pPr>
          </w:p>
        </w:tc>
      </w:tr>
      <w:tr w:rsidR="00032CD8" w:rsidRPr="00240FB6" w14:paraId="226F85C7" w14:textId="77777777" w:rsidTr="00036961">
        <w:tc>
          <w:tcPr>
            <w:tcW w:w="1499" w:type="dxa"/>
          </w:tcPr>
          <w:p w14:paraId="6B567432" w14:textId="75D50C17"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6EB4A01E" w14:textId="093DC87E" w:rsidR="00032CD8" w:rsidRPr="00240FB6" w:rsidRDefault="00032CD8" w:rsidP="00E107EA">
            <w:pPr>
              <w:rPr>
                <w:rFonts w:ascii="Arial Narrow" w:hAnsi="Arial Narrow"/>
                <w:sz w:val="20"/>
                <w:szCs w:val="20"/>
              </w:rPr>
            </w:pPr>
          </w:p>
        </w:tc>
      </w:tr>
      <w:tr w:rsidR="003B174B" w:rsidRPr="00240FB6" w14:paraId="683BAE28" w14:textId="77777777" w:rsidTr="00036961">
        <w:tc>
          <w:tcPr>
            <w:tcW w:w="1499" w:type="dxa"/>
          </w:tcPr>
          <w:p w14:paraId="2390A14E" w14:textId="3C4A8CC0" w:rsidR="003B174B" w:rsidRPr="00B00BA8" w:rsidRDefault="003B174B" w:rsidP="00E107EA">
            <w:pPr>
              <w:ind w:left="-112"/>
              <w:rPr>
                <w:rFonts w:ascii="Arial Narrow" w:hAnsi="Arial Narrow"/>
                <w:bCs/>
                <w:color w:val="002060"/>
                <w:sz w:val="20"/>
                <w:szCs w:val="20"/>
              </w:rPr>
            </w:pPr>
          </w:p>
        </w:tc>
        <w:tc>
          <w:tcPr>
            <w:tcW w:w="7527" w:type="dxa"/>
            <w:tcBorders>
              <w:left w:val="nil"/>
            </w:tcBorders>
          </w:tcPr>
          <w:p w14:paraId="7E88FC15" w14:textId="22414040" w:rsidR="003B174B" w:rsidRPr="00240FB6" w:rsidRDefault="003B174B" w:rsidP="00E107EA">
            <w:pPr>
              <w:rPr>
                <w:rFonts w:ascii="Arial Narrow" w:hAnsi="Arial Narrow"/>
                <w:sz w:val="20"/>
                <w:szCs w:val="20"/>
              </w:rPr>
            </w:pPr>
          </w:p>
        </w:tc>
      </w:tr>
      <w:tr w:rsidR="00032CD8" w:rsidRPr="00240FB6" w14:paraId="249A2C77" w14:textId="77777777" w:rsidTr="00036961">
        <w:tc>
          <w:tcPr>
            <w:tcW w:w="1499" w:type="dxa"/>
          </w:tcPr>
          <w:p w14:paraId="2B6BE5E8" w14:textId="78F9F5F5"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655FBB1D" w14:textId="13066FC1" w:rsidR="00032CD8" w:rsidRPr="00240FB6" w:rsidRDefault="00032CD8" w:rsidP="00E107EA">
            <w:pPr>
              <w:rPr>
                <w:rFonts w:ascii="Arial Narrow" w:hAnsi="Arial Narrow"/>
                <w:sz w:val="20"/>
                <w:szCs w:val="20"/>
              </w:rPr>
            </w:pPr>
          </w:p>
        </w:tc>
      </w:tr>
      <w:tr w:rsidR="00032CD8" w:rsidRPr="00240FB6" w14:paraId="6181407C" w14:textId="77777777" w:rsidTr="00036961">
        <w:tc>
          <w:tcPr>
            <w:tcW w:w="1499" w:type="dxa"/>
          </w:tcPr>
          <w:p w14:paraId="49A89E68" w14:textId="2E371D97"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64D1D911" w14:textId="285DB6B6" w:rsidR="00032CD8" w:rsidRPr="00240FB6" w:rsidRDefault="00032CD8" w:rsidP="00E107EA">
            <w:pPr>
              <w:rPr>
                <w:rFonts w:ascii="Arial Narrow" w:hAnsi="Arial Narrow"/>
                <w:sz w:val="20"/>
                <w:szCs w:val="20"/>
              </w:rPr>
            </w:pPr>
          </w:p>
        </w:tc>
      </w:tr>
      <w:tr w:rsidR="003B174B" w:rsidRPr="00240FB6" w14:paraId="15AAE626" w14:textId="77777777" w:rsidTr="00036961">
        <w:tc>
          <w:tcPr>
            <w:tcW w:w="1499" w:type="dxa"/>
          </w:tcPr>
          <w:p w14:paraId="7D1E1E6A" w14:textId="53EA6278" w:rsidR="003B174B" w:rsidRPr="00B00BA8" w:rsidRDefault="003B174B" w:rsidP="00E107EA">
            <w:pPr>
              <w:ind w:left="-112"/>
              <w:rPr>
                <w:rFonts w:ascii="Arial Narrow" w:hAnsi="Arial Narrow"/>
                <w:bCs/>
                <w:color w:val="002060"/>
                <w:sz w:val="20"/>
                <w:szCs w:val="20"/>
              </w:rPr>
            </w:pPr>
          </w:p>
        </w:tc>
        <w:tc>
          <w:tcPr>
            <w:tcW w:w="7527" w:type="dxa"/>
            <w:tcBorders>
              <w:left w:val="nil"/>
            </w:tcBorders>
          </w:tcPr>
          <w:p w14:paraId="0781B289" w14:textId="1376E98C" w:rsidR="003B174B" w:rsidRPr="00240FB6" w:rsidRDefault="003B174B" w:rsidP="00E107EA">
            <w:pPr>
              <w:rPr>
                <w:rFonts w:ascii="Arial Narrow" w:hAnsi="Arial Narrow"/>
                <w:sz w:val="20"/>
                <w:szCs w:val="20"/>
              </w:rPr>
            </w:pPr>
          </w:p>
        </w:tc>
      </w:tr>
      <w:tr w:rsidR="00032CD8" w:rsidRPr="00240FB6" w14:paraId="2363D6EA" w14:textId="77777777" w:rsidTr="00036961">
        <w:tc>
          <w:tcPr>
            <w:tcW w:w="1499" w:type="dxa"/>
          </w:tcPr>
          <w:p w14:paraId="5FF182E6" w14:textId="17100750"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4F379BE1" w14:textId="61D081CA" w:rsidR="00032CD8" w:rsidRPr="00240FB6" w:rsidRDefault="00032CD8" w:rsidP="00E107EA">
            <w:pPr>
              <w:rPr>
                <w:rFonts w:ascii="Arial Narrow" w:hAnsi="Arial Narrow"/>
                <w:sz w:val="20"/>
                <w:szCs w:val="20"/>
              </w:rPr>
            </w:pPr>
          </w:p>
        </w:tc>
      </w:tr>
      <w:tr w:rsidR="00032CD8" w:rsidRPr="00240FB6" w14:paraId="6F1BD455" w14:textId="77777777" w:rsidTr="00036961">
        <w:tc>
          <w:tcPr>
            <w:tcW w:w="1499" w:type="dxa"/>
          </w:tcPr>
          <w:p w14:paraId="4838901F" w14:textId="4AD3E272"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3CFDC92F" w14:textId="5CF5553D" w:rsidR="00032CD8" w:rsidRPr="00240FB6" w:rsidRDefault="00032CD8" w:rsidP="00E107EA">
            <w:pPr>
              <w:rPr>
                <w:rFonts w:ascii="Arial Narrow" w:hAnsi="Arial Narrow"/>
                <w:sz w:val="20"/>
                <w:szCs w:val="20"/>
              </w:rPr>
            </w:pPr>
          </w:p>
        </w:tc>
      </w:tr>
      <w:tr w:rsidR="00032CD8" w:rsidRPr="00240FB6" w14:paraId="5E812283" w14:textId="77777777" w:rsidTr="00036961">
        <w:tc>
          <w:tcPr>
            <w:tcW w:w="1499" w:type="dxa"/>
          </w:tcPr>
          <w:p w14:paraId="19ADACEE" w14:textId="3378AAD8"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36CFD73D" w14:textId="3DA30EB9" w:rsidR="00032CD8" w:rsidRPr="00240FB6" w:rsidRDefault="00032CD8" w:rsidP="00E107EA">
            <w:pPr>
              <w:rPr>
                <w:rFonts w:ascii="Arial Narrow" w:hAnsi="Arial Narrow"/>
                <w:sz w:val="20"/>
                <w:szCs w:val="20"/>
              </w:rPr>
            </w:pPr>
          </w:p>
        </w:tc>
      </w:tr>
      <w:tr w:rsidR="00032CD8" w:rsidRPr="00240FB6" w14:paraId="4816825A" w14:textId="77777777" w:rsidTr="00036961">
        <w:tc>
          <w:tcPr>
            <w:tcW w:w="1499" w:type="dxa"/>
          </w:tcPr>
          <w:p w14:paraId="1B15F640" w14:textId="06ED10AD"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3494B5FD" w14:textId="373EFFEE" w:rsidR="00032CD8" w:rsidRPr="00240FB6" w:rsidRDefault="00032CD8" w:rsidP="00E107EA">
            <w:pPr>
              <w:rPr>
                <w:rFonts w:ascii="Arial Narrow" w:hAnsi="Arial Narrow"/>
                <w:sz w:val="20"/>
                <w:szCs w:val="20"/>
              </w:rPr>
            </w:pPr>
          </w:p>
        </w:tc>
      </w:tr>
      <w:tr w:rsidR="00032CD8" w:rsidRPr="00240FB6" w14:paraId="5709CCDC" w14:textId="77777777" w:rsidTr="00036961">
        <w:tc>
          <w:tcPr>
            <w:tcW w:w="1499" w:type="dxa"/>
          </w:tcPr>
          <w:p w14:paraId="22938F90" w14:textId="186E565A"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11F74B20" w14:textId="4FA56DB3" w:rsidR="00032CD8" w:rsidRPr="00240FB6" w:rsidRDefault="00032CD8" w:rsidP="00E107EA">
            <w:pPr>
              <w:rPr>
                <w:rFonts w:ascii="Arial Narrow" w:hAnsi="Arial Narrow"/>
                <w:sz w:val="20"/>
                <w:szCs w:val="20"/>
              </w:rPr>
            </w:pPr>
          </w:p>
        </w:tc>
      </w:tr>
      <w:tr w:rsidR="00032CD8" w:rsidRPr="00240FB6" w14:paraId="1709FA0E" w14:textId="77777777" w:rsidTr="00036961">
        <w:tc>
          <w:tcPr>
            <w:tcW w:w="1499" w:type="dxa"/>
          </w:tcPr>
          <w:p w14:paraId="2E0503A4" w14:textId="29234E20"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11697DC0" w14:textId="5BF38ADE" w:rsidR="00032CD8" w:rsidRPr="00240FB6" w:rsidRDefault="00032CD8" w:rsidP="00E107EA">
            <w:pPr>
              <w:rPr>
                <w:rFonts w:ascii="Arial Narrow" w:hAnsi="Arial Narrow"/>
                <w:sz w:val="20"/>
                <w:szCs w:val="20"/>
              </w:rPr>
            </w:pPr>
          </w:p>
        </w:tc>
      </w:tr>
      <w:tr w:rsidR="00032CD8" w:rsidRPr="00240FB6" w14:paraId="48B5974A" w14:textId="77777777" w:rsidTr="00036961">
        <w:tc>
          <w:tcPr>
            <w:tcW w:w="1499" w:type="dxa"/>
          </w:tcPr>
          <w:p w14:paraId="74CAB39D" w14:textId="1D70C01F"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1F5987A5" w14:textId="4A78F58B" w:rsidR="00032CD8" w:rsidRPr="00240FB6" w:rsidRDefault="00032CD8" w:rsidP="00E107EA">
            <w:pPr>
              <w:rPr>
                <w:rFonts w:ascii="Arial Narrow" w:hAnsi="Arial Narrow"/>
                <w:sz w:val="20"/>
                <w:szCs w:val="20"/>
              </w:rPr>
            </w:pPr>
          </w:p>
        </w:tc>
      </w:tr>
      <w:tr w:rsidR="00032CD8" w:rsidRPr="00240FB6" w14:paraId="1ACE414F" w14:textId="77777777" w:rsidTr="00036961">
        <w:tc>
          <w:tcPr>
            <w:tcW w:w="1499" w:type="dxa"/>
          </w:tcPr>
          <w:p w14:paraId="7979BD42" w14:textId="21875CE8"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4E5E82D7" w14:textId="09872AF3" w:rsidR="00032CD8" w:rsidRPr="00240FB6" w:rsidRDefault="00032CD8" w:rsidP="00E107EA">
            <w:pPr>
              <w:rPr>
                <w:rFonts w:ascii="Arial Narrow" w:hAnsi="Arial Narrow"/>
                <w:sz w:val="20"/>
                <w:szCs w:val="20"/>
              </w:rPr>
            </w:pPr>
          </w:p>
        </w:tc>
      </w:tr>
      <w:tr w:rsidR="00032CD8" w:rsidRPr="00240FB6" w14:paraId="23AB4A9C" w14:textId="77777777" w:rsidTr="00036961">
        <w:tc>
          <w:tcPr>
            <w:tcW w:w="1499" w:type="dxa"/>
          </w:tcPr>
          <w:p w14:paraId="75AC26F2" w14:textId="725B8090"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685F1B68" w14:textId="610405B3" w:rsidR="00032CD8" w:rsidRPr="00240FB6" w:rsidRDefault="00032CD8" w:rsidP="00E107EA">
            <w:pPr>
              <w:rPr>
                <w:rFonts w:ascii="Arial Narrow" w:hAnsi="Arial Narrow"/>
                <w:sz w:val="20"/>
                <w:szCs w:val="20"/>
              </w:rPr>
            </w:pPr>
          </w:p>
        </w:tc>
      </w:tr>
      <w:tr w:rsidR="00032CD8" w:rsidRPr="00240FB6" w14:paraId="7230CD38" w14:textId="77777777" w:rsidTr="00036961">
        <w:tc>
          <w:tcPr>
            <w:tcW w:w="1499" w:type="dxa"/>
          </w:tcPr>
          <w:p w14:paraId="7D5A16BD" w14:textId="6C202A64"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04274939" w14:textId="3B5FFAAA" w:rsidR="00032CD8" w:rsidRPr="00240FB6" w:rsidRDefault="00032CD8" w:rsidP="00E107EA">
            <w:pPr>
              <w:rPr>
                <w:rFonts w:ascii="Arial Narrow" w:hAnsi="Arial Narrow"/>
                <w:sz w:val="20"/>
                <w:szCs w:val="20"/>
              </w:rPr>
            </w:pPr>
          </w:p>
        </w:tc>
      </w:tr>
      <w:tr w:rsidR="00032CD8" w:rsidRPr="00240FB6" w14:paraId="774CBEB0" w14:textId="77777777" w:rsidTr="00036961">
        <w:tc>
          <w:tcPr>
            <w:tcW w:w="1499" w:type="dxa"/>
          </w:tcPr>
          <w:p w14:paraId="553DE26A" w14:textId="12958028"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4223ED20" w14:textId="290727FB" w:rsidR="00032CD8" w:rsidRPr="00240FB6" w:rsidRDefault="00032CD8" w:rsidP="00E107EA">
            <w:pPr>
              <w:rPr>
                <w:rFonts w:ascii="Arial Narrow" w:hAnsi="Arial Narrow"/>
                <w:sz w:val="20"/>
                <w:szCs w:val="20"/>
              </w:rPr>
            </w:pPr>
          </w:p>
        </w:tc>
      </w:tr>
      <w:tr w:rsidR="00032CD8" w:rsidRPr="00240FB6" w14:paraId="3976BC67" w14:textId="77777777" w:rsidTr="00036961">
        <w:tc>
          <w:tcPr>
            <w:tcW w:w="1499" w:type="dxa"/>
          </w:tcPr>
          <w:p w14:paraId="563C4C83" w14:textId="32163B02"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6250310D" w14:textId="0C624C4F" w:rsidR="00032CD8" w:rsidRPr="00240FB6" w:rsidRDefault="00032CD8" w:rsidP="00E107EA">
            <w:pPr>
              <w:rPr>
                <w:rFonts w:ascii="Arial Narrow" w:hAnsi="Arial Narrow"/>
                <w:sz w:val="20"/>
                <w:szCs w:val="20"/>
              </w:rPr>
            </w:pPr>
          </w:p>
        </w:tc>
      </w:tr>
      <w:tr w:rsidR="00032CD8" w:rsidRPr="00240FB6" w14:paraId="6CC469B2" w14:textId="77777777" w:rsidTr="00036961">
        <w:tc>
          <w:tcPr>
            <w:tcW w:w="1499" w:type="dxa"/>
          </w:tcPr>
          <w:p w14:paraId="1B269EDA" w14:textId="2071BCD0"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33A8C619" w14:textId="19E27A12" w:rsidR="00032CD8" w:rsidRPr="00240FB6" w:rsidRDefault="00032CD8" w:rsidP="00E107EA">
            <w:pPr>
              <w:rPr>
                <w:rFonts w:ascii="Arial Narrow" w:hAnsi="Arial Narrow"/>
                <w:sz w:val="20"/>
                <w:szCs w:val="20"/>
              </w:rPr>
            </w:pPr>
          </w:p>
        </w:tc>
      </w:tr>
      <w:tr w:rsidR="00032CD8" w:rsidRPr="00240FB6" w14:paraId="3DAE0F22" w14:textId="77777777" w:rsidTr="00036961">
        <w:tc>
          <w:tcPr>
            <w:tcW w:w="1499" w:type="dxa"/>
          </w:tcPr>
          <w:p w14:paraId="4617CFD8" w14:textId="348F7505"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1A8D66D1" w14:textId="46653AD9" w:rsidR="00032CD8" w:rsidRPr="00240FB6" w:rsidRDefault="00032CD8" w:rsidP="00E107EA">
            <w:pPr>
              <w:rPr>
                <w:rFonts w:ascii="Arial Narrow" w:hAnsi="Arial Narrow"/>
                <w:sz w:val="20"/>
                <w:szCs w:val="20"/>
              </w:rPr>
            </w:pPr>
          </w:p>
        </w:tc>
      </w:tr>
      <w:tr w:rsidR="00032CD8" w:rsidRPr="00240FB6" w14:paraId="627AD480" w14:textId="77777777" w:rsidTr="00036961">
        <w:tc>
          <w:tcPr>
            <w:tcW w:w="1499" w:type="dxa"/>
          </w:tcPr>
          <w:p w14:paraId="53D0A2C1" w14:textId="68EAFD94"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0600A9B2" w14:textId="7E8900A7" w:rsidR="00032CD8" w:rsidRPr="00240FB6" w:rsidRDefault="00032CD8" w:rsidP="00E107EA">
            <w:pPr>
              <w:rPr>
                <w:rFonts w:ascii="Arial Narrow" w:hAnsi="Arial Narrow"/>
                <w:sz w:val="20"/>
                <w:szCs w:val="20"/>
              </w:rPr>
            </w:pPr>
          </w:p>
        </w:tc>
      </w:tr>
      <w:tr w:rsidR="00032CD8" w:rsidRPr="0077111A" w14:paraId="37ACB4B7" w14:textId="77777777" w:rsidTr="00036961">
        <w:tc>
          <w:tcPr>
            <w:tcW w:w="1499" w:type="dxa"/>
          </w:tcPr>
          <w:p w14:paraId="4265EE98" w14:textId="4BB82A64"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5B7F249E" w14:textId="1A0EFACC" w:rsidR="00032CD8" w:rsidRPr="00FF7243" w:rsidRDefault="00032CD8" w:rsidP="00E107EA">
            <w:pPr>
              <w:rPr>
                <w:rFonts w:ascii="Arial Narrow" w:hAnsi="Arial Narrow"/>
                <w:sz w:val="20"/>
                <w:szCs w:val="20"/>
              </w:rPr>
            </w:pPr>
          </w:p>
        </w:tc>
      </w:tr>
      <w:tr w:rsidR="00032CD8" w:rsidRPr="00240FB6" w14:paraId="05A58FB0" w14:textId="77777777" w:rsidTr="00036961">
        <w:tc>
          <w:tcPr>
            <w:tcW w:w="1499" w:type="dxa"/>
          </w:tcPr>
          <w:p w14:paraId="12757FE8" w14:textId="58BCA234" w:rsidR="00032CD8" w:rsidRPr="00B00BA8" w:rsidRDefault="00032CD8" w:rsidP="00E107EA">
            <w:pPr>
              <w:ind w:left="-112"/>
              <w:rPr>
                <w:rFonts w:ascii="Arial Narrow" w:hAnsi="Arial Narrow"/>
                <w:bCs/>
                <w:color w:val="002060"/>
                <w:sz w:val="20"/>
                <w:szCs w:val="20"/>
              </w:rPr>
            </w:pPr>
          </w:p>
        </w:tc>
        <w:tc>
          <w:tcPr>
            <w:tcW w:w="7527" w:type="dxa"/>
            <w:tcBorders>
              <w:left w:val="nil"/>
            </w:tcBorders>
          </w:tcPr>
          <w:p w14:paraId="40B89E81" w14:textId="733F26B3" w:rsidR="00032CD8" w:rsidRPr="00240FB6" w:rsidRDefault="00032CD8" w:rsidP="00E107EA">
            <w:pPr>
              <w:rPr>
                <w:rFonts w:ascii="Arial Narrow" w:hAnsi="Arial Narrow"/>
                <w:sz w:val="20"/>
                <w:szCs w:val="20"/>
              </w:rPr>
            </w:pPr>
          </w:p>
        </w:tc>
      </w:tr>
    </w:tbl>
    <w:p w14:paraId="65FB68CA" w14:textId="3B27A965" w:rsidR="00A60409" w:rsidRPr="00AF0235" w:rsidRDefault="00A60409" w:rsidP="00087EBF"/>
    <w:p w14:paraId="385A7952" w14:textId="77777777" w:rsidR="00A60409" w:rsidRPr="00AF0235" w:rsidRDefault="00A60409" w:rsidP="00087EBF"/>
    <w:p w14:paraId="7C10D59C" w14:textId="77777777" w:rsidR="00260320" w:rsidRPr="00AF0235" w:rsidRDefault="00260320" w:rsidP="00087EBF"/>
    <w:p w14:paraId="1F96519F" w14:textId="77777777" w:rsidR="00260320" w:rsidRPr="00AF0235" w:rsidRDefault="00260320" w:rsidP="00087EBF"/>
    <w:p w14:paraId="1A9929ED" w14:textId="77777777" w:rsidR="00260320" w:rsidRPr="00AF0235" w:rsidRDefault="00260320" w:rsidP="00087EBF"/>
    <w:p w14:paraId="34CC31BC" w14:textId="77777777" w:rsidR="00260320" w:rsidRPr="00AF0235" w:rsidRDefault="00260320" w:rsidP="00087EBF"/>
    <w:p w14:paraId="7B9A625A" w14:textId="77777777" w:rsidR="00260320" w:rsidRPr="00AF0235" w:rsidRDefault="00260320" w:rsidP="00087EBF">
      <w:pPr>
        <w:sectPr w:rsidR="00260320" w:rsidRPr="00AF0235" w:rsidSect="005104D5">
          <w:headerReference w:type="default" r:id="rId22"/>
          <w:footerReference w:type="default" r:id="rId23"/>
          <w:pgSz w:w="11906" w:h="16838"/>
          <w:pgMar w:top="1440" w:right="1440" w:bottom="1440" w:left="1440" w:header="708" w:footer="708" w:gutter="0"/>
          <w:pgNumType w:fmt="lowerRoman"/>
          <w:cols w:space="708"/>
          <w:docGrid w:linePitch="360"/>
        </w:sectPr>
      </w:pPr>
    </w:p>
    <w:p w14:paraId="0E8417E8" w14:textId="794F7DFB" w:rsidR="006347D6" w:rsidRDefault="006347D6" w:rsidP="006347D6">
      <w:pPr>
        <w:pStyle w:val="Heading1"/>
        <w:numPr>
          <w:ilvl w:val="0"/>
          <w:numId w:val="0"/>
        </w:numPr>
      </w:pPr>
      <w:bookmarkStart w:id="1" w:name="_Toc197471941"/>
      <w:bookmarkStart w:id="2" w:name="_Toc153872091"/>
      <w:bookmarkStart w:id="3" w:name="_Toc170470791"/>
      <w:r>
        <w:lastRenderedPageBreak/>
        <w:t>Përmbledhje Ekzekutive</w:t>
      </w:r>
      <w:bookmarkEnd w:id="1"/>
    </w:p>
    <w:p w14:paraId="06B780B7" w14:textId="7ED9F574" w:rsidR="00C97DF3" w:rsidRPr="00C97DF3" w:rsidRDefault="00C97DF3" w:rsidP="00C97DF3">
      <w:pPr>
        <w:jc w:val="both"/>
        <w:rPr>
          <w:rFonts w:ascii="Arial Narrow" w:eastAsia="Calibri" w:hAnsi="Arial Narrow"/>
          <w:sz w:val="22"/>
          <w:szCs w:val="22"/>
        </w:rPr>
      </w:pPr>
      <w:r w:rsidRPr="00C97DF3">
        <w:rPr>
          <w:rFonts w:ascii="Arial Narrow" w:eastAsia="Calibri" w:hAnsi="Arial Narrow"/>
          <w:sz w:val="22"/>
          <w:szCs w:val="22"/>
        </w:rPr>
        <w:t>Plani Ndërkomunal i Menaxhimit të Integruar të Mbeturinave për rajonin e Dukagjinit synon të përmirësojë kushtet për ofrimin e shërbimeve publike dhe zhvillimin e ekonomive lokale në përputhje me kërkesat e BE-së, përmes promovimit të bashkëpunimit rajonal ndërkomunal dhe transferimit të njohurive midis sektorit publik, sektorit privat dhe shoqërisë civile. Ky plan synon gjithashtu t'u mundësojë autoriteteve lokale të përmirësojnë shërbimet komunale në përputhje me A</w:t>
      </w:r>
      <w:r w:rsidR="007E3561">
        <w:rPr>
          <w:rFonts w:ascii="Arial Narrow" w:eastAsia="Calibri" w:hAnsi="Arial Narrow"/>
          <w:sz w:val="22"/>
          <w:szCs w:val="22"/>
        </w:rPr>
        <w:t>g</w:t>
      </w:r>
      <w:r w:rsidR="00EC5D93">
        <w:rPr>
          <w:rFonts w:ascii="Arial Narrow" w:eastAsia="Calibri" w:hAnsi="Arial Narrow"/>
          <w:sz w:val="22"/>
          <w:szCs w:val="22"/>
        </w:rPr>
        <w:t>j</w:t>
      </w:r>
      <w:r w:rsidRPr="00C97DF3">
        <w:rPr>
          <w:rFonts w:ascii="Arial Narrow" w:eastAsia="Calibri" w:hAnsi="Arial Narrow"/>
          <w:sz w:val="22"/>
          <w:szCs w:val="22"/>
        </w:rPr>
        <w:t>endën e Gjelbër të BE-së për Ballkanin Perëndimor, duke kontribuar në arritjen e A</w:t>
      </w:r>
      <w:r w:rsidR="007E3561">
        <w:rPr>
          <w:rFonts w:ascii="Arial Narrow" w:eastAsia="Calibri" w:hAnsi="Arial Narrow"/>
          <w:sz w:val="22"/>
          <w:szCs w:val="22"/>
        </w:rPr>
        <w:t>g</w:t>
      </w:r>
      <w:r w:rsidR="00EC5D93">
        <w:rPr>
          <w:rFonts w:ascii="Arial Narrow" w:eastAsia="Calibri" w:hAnsi="Arial Narrow"/>
          <w:sz w:val="22"/>
          <w:szCs w:val="22"/>
        </w:rPr>
        <w:t>j</w:t>
      </w:r>
      <w:r w:rsidRPr="00C97DF3">
        <w:rPr>
          <w:rFonts w:ascii="Arial Narrow" w:eastAsia="Calibri" w:hAnsi="Arial Narrow"/>
          <w:sz w:val="22"/>
          <w:szCs w:val="22"/>
        </w:rPr>
        <w:t>endës 2030 dhe Objektivave të Zhvillimit të Qëndrueshëm.</w:t>
      </w:r>
    </w:p>
    <w:p w14:paraId="48D1A44D" w14:textId="77777777" w:rsidR="00C97DF3" w:rsidRPr="00C97DF3" w:rsidRDefault="00C97DF3" w:rsidP="00C97DF3">
      <w:pPr>
        <w:jc w:val="both"/>
        <w:rPr>
          <w:rFonts w:ascii="Arial Narrow" w:eastAsia="Calibri" w:hAnsi="Arial Narrow"/>
          <w:sz w:val="22"/>
          <w:szCs w:val="22"/>
        </w:rPr>
      </w:pPr>
    </w:p>
    <w:p w14:paraId="2D99042D" w14:textId="16E79D1C" w:rsidR="00C97DF3" w:rsidRPr="00C97DF3" w:rsidRDefault="00C97DF3" w:rsidP="00C97DF3">
      <w:pPr>
        <w:jc w:val="both"/>
        <w:rPr>
          <w:rFonts w:ascii="Arial Narrow" w:eastAsia="Calibri" w:hAnsi="Arial Narrow"/>
          <w:sz w:val="22"/>
          <w:szCs w:val="22"/>
        </w:rPr>
      </w:pPr>
      <w:r w:rsidRPr="00C97DF3">
        <w:rPr>
          <w:rFonts w:ascii="Arial Narrow" w:eastAsia="Calibri" w:hAnsi="Arial Narrow"/>
          <w:sz w:val="22"/>
          <w:szCs w:val="22"/>
        </w:rPr>
        <w:t xml:space="preserve">Më konkretisht, objektivi kryesor i planit është të sigurojë krijimin e praktikave më të mira mjedisore për menaxhimin e integruar të mbeturinave në Rajonin e Dukagjinit. Megjithatë, transformimi drejt një sistemi të integruar dhe </w:t>
      </w:r>
      <w:r w:rsidR="007E3561">
        <w:rPr>
          <w:rFonts w:ascii="Arial Narrow" w:eastAsia="Calibri" w:hAnsi="Arial Narrow"/>
          <w:sz w:val="22"/>
          <w:szCs w:val="22"/>
        </w:rPr>
        <w:t>qarkor</w:t>
      </w:r>
      <w:r w:rsidRPr="00C97DF3">
        <w:rPr>
          <w:rFonts w:ascii="Arial Narrow" w:eastAsia="Calibri" w:hAnsi="Arial Narrow"/>
          <w:sz w:val="22"/>
          <w:szCs w:val="22"/>
        </w:rPr>
        <w:t xml:space="preserve"> të menaxhimit të mbeturinave është sfidues </w:t>
      </w:r>
      <w:r w:rsidR="007E3561">
        <w:rPr>
          <w:rFonts w:ascii="Arial Narrow" w:eastAsia="Calibri" w:hAnsi="Arial Narrow"/>
          <w:sz w:val="22"/>
          <w:szCs w:val="22"/>
        </w:rPr>
        <w:t xml:space="preserve">për kokmunat individuale si në aspektin </w:t>
      </w:r>
      <w:r w:rsidRPr="00C97DF3">
        <w:rPr>
          <w:rFonts w:ascii="Arial Narrow" w:eastAsia="Calibri" w:hAnsi="Arial Narrow"/>
          <w:sz w:val="22"/>
          <w:szCs w:val="22"/>
        </w:rPr>
        <w:t>financiar</w:t>
      </w:r>
      <w:r w:rsidR="007E3561">
        <w:rPr>
          <w:rFonts w:ascii="Arial Narrow" w:eastAsia="Calibri" w:hAnsi="Arial Narrow"/>
          <w:sz w:val="22"/>
          <w:szCs w:val="22"/>
        </w:rPr>
        <w:t xml:space="preserve"> ashtu</w:t>
      </w:r>
      <w:r w:rsidRPr="00C97DF3">
        <w:rPr>
          <w:rFonts w:ascii="Arial Narrow" w:eastAsia="Calibri" w:hAnsi="Arial Narrow"/>
          <w:sz w:val="22"/>
          <w:szCs w:val="22"/>
        </w:rPr>
        <w:t xml:space="preserve"> </w:t>
      </w:r>
      <w:r w:rsidR="007E3561">
        <w:rPr>
          <w:rFonts w:ascii="Arial Narrow" w:eastAsia="Calibri" w:hAnsi="Arial Narrow"/>
          <w:sz w:val="22"/>
          <w:szCs w:val="22"/>
        </w:rPr>
        <w:t>e</w:t>
      </w:r>
      <w:r w:rsidRPr="00C97DF3">
        <w:rPr>
          <w:rFonts w:ascii="Arial Narrow" w:eastAsia="Calibri" w:hAnsi="Arial Narrow"/>
          <w:sz w:val="22"/>
          <w:szCs w:val="22"/>
        </w:rPr>
        <w:t>dhe teknik dhe kërkon një përpjekje të koordinuar midis komunave për të zhvilluar një sistem rajonal të menaxhimit të mbeturinave me kosto efektive dhe të përballueshme.</w:t>
      </w:r>
    </w:p>
    <w:p w14:paraId="624202E5" w14:textId="77777777" w:rsidR="00C97DF3" w:rsidRPr="00FF7243" w:rsidRDefault="00C97DF3" w:rsidP="00C97DF3">
      <w:pPr>
        <w:jc w:val="both"/>
        <w:rPr>
          <w:rFonts w:ascii="Arial Narrow" w:eastAsia="Calibri" w:hAnsi="Arial Narrow" w:cs="Calibri"/>
          <w:color w:val="000000"/>
          <w:sz w:val="22"/>
          <w:szCs w:val="22"/>
        </w:rPr>
      </w:pPr>
    </w:p>
    <w:p w14:paraId="1975EF26" w14:textId="40A80152" w:rsidR="00C97DF3" w:rsidRPr="00FF7243" w:rsidRDefault="00C97DF3" w:rsidP="00C97DF3">
      <w:pPr>
        <w:jc w:val="both"/>
        <w:rPr>
          <w:rFonts w:ascii="Arial Narrow" w:eastAsia="Calibri" w:hAnsi="Arial Narrow" w:cs="Calibri"/>
          <w:color w:val="000000"/>
          <w:sz w:val="22"/>
          <w:szCs w:val="22"/>
        </w:rPr>
      </w:pPr>
      <w:r w:rsidRPr="00FF7243">
        <w:rPr>
          <w:rFonts w:ascii="Arial Narrow" w:eastAsia="Calibri" w:hAnsi="Arial Narrow" w:cs="Calibri"/>
          <w:color w:val="000000"/>
          <w:sz w:val="22"/>
          <w:szCs w:val="22"/>
        </w:rPr>
        <w:t xml:space="preserve">Procesi i përgatitjes së këtij </w:t>
      </w:r>
      <w:r w:rsidR="007E3561" w:rsidRPr="00FF7243">
        <w:rPr>
          <w:rFonts w:ascii="Arial Narrow" w:eastAsia="Calibri" w:hAnsi="Arial Narrow" w:cs="Calibri"/>
          <w:color w:val="000000"/>
          <w:sz w:val="22"/>
          <w:szCs w:val="22"/>
        </w:rPr>
        <w:t>P</w:t>
      </w:r>
      <w:r w:rsidRPr="00FF7243">
        <w:rPr>
          <w:rFonts w:ascii="Arial Narrow" w:eastAsia="Calibri" w:hAnsi="Arial Narrow" w:cs="Calibri"/>
          <w:color w:val="000000"/>
          <w:sz w:val="22"/>
          <w:szCs w:val="22"/>
        </w:rPr>
        <w:t xml:space="preserve">lani </w:t>
      </w:r>
      <w:r w:rsidR="007E3561" w:rsidRPr="00FF7243">
        <w:rPr>
          <w:rFonts w:ascii="Arial Narrow" w:eastAsia="Calibri" w:hAnsi="Arial Narrow" w:cs="Calibri"/>
          <w:color w:val="000000"/>
          <w:sz w:val="22"/>
          <w:szCs w:val="22"/>
        </w:rPr>
        <w:t>Ndërkomunal për Menaxhimin e Integruar të Mbeturinave</w:t>
      </w:r>
      <w:r w:rsidRPr="00FF7243">
        <w:rPr>
          <w:rFonts w:ascii="Arial Narrow" w:eastAsia="Calibri" w:hAnsi="Arial Narrow" w:cs="Calibri"/>
          <w:color w:val="000000"/>
          <w:sz w:val="22"/>
          <w:szCs w:val="22"/>
        </w:rPr>
        <w:t xml:space="preserve"> </w:t>
      </w:r>
      <w:r w:rsidR="007E3561" w:rsidRPr="00FF7243">
        <w:rPr>
          <w:rFonts w:ascii="Arial Narrow" w:eastAsia="Calibri" w:hAnsi="Arial Narrow" w:cs="Calibri"/>
          <w:color w:val="000000"/>
          <w:sz w:val="22"/>
          <w:szCs w:val="22"/>
        </w:rPr>
        <w:t>(PNMIM</w:t>
      </w:r>
      <w:r w:rsidRPr="00FF7243">
        <w:rPr>
          <w:rFonts w:ascii="Arial Narrow" w:eastAsia="Calibri" w:hAnsi="Arial Narrow" w:cs="Calibri"/>
          <w:color w:val="000000"/>
          <w:sz w:val="22"/>
          <w:szCs w:val="22"/>
        </w:rPr>
        <w:t xml:space="preserve">) </w:t>
      </w:r>
      <w:r w:rsidR="007E3561" w:rsidRPr="00FF7243">
        <w:rPr>
          <w:rFonts w:ascii="Arial Narrow" w:eastAsia="Calibri" w:hAnsi="Arial Narrow" w:cs="Calibri"/>
          <w:color w:val="000000"/>
          <w:sz w:val="22"/>
          <w:szCs w:val="22"/>
        </w:rPr>
        <w:t xml:space="preserve">është </w:t>
      </w:r>
      <w:r w:rsidRPr="00FF7243">
        <w:rPr>
          <w:rFonts w:ascii="Arial Narrow" w:eastAsia="Calibri" w:hAnsi="Arial Narrow" w:cs="Calibri"/>
          <w:color w:val="000000"/>
          <w:sz w:val="22"/>
          <w:szCs w:val="22"/>
        </w:rPr>
        <w:t>mbikëqyr</w:t>
      </w:r>
      <w:r w:rsidR="007E3561" w:rsidRPr="00FF7243">
        <w:rPr>
          <w:rFonts w:ascii="Arial Narrow" w:eastAsia="Calibri" w:hAnsi="Arial Narrow" w:cs="Calibri"/>
          <w:color w:val="000000"/>
          <w:sz w:val="22"/>
          <w:szCs w:val="22"/>
        </w:rPr>
        <w:t>ur</w:t>
      </w:r>
      <w:r w:rsidRPr="00FF7243">
        <w:rPr>
          <w:rFonts w:ascii="Arial Narrow" w:eastAsia="Calibri" w:hAnsi="Arial Narrow" w:cs="Calibri"/>
          <w:color w:val="000000"/>
          <w:sz w:val="22"/>
          <w:szCs w:val="22"/>
        </w:rPr>
        <w:t xml:space="preserve"> në mënyrë aktive nga një Grup Teknik Pune, i përbërë nga përfaqësues</w:t>
      </w:r>
      <w:r w:rsidR="007E3561" w:rsidRPr="00FF7243">
        <w:rPr>
          <w:rFonts w:ascii="Arial Narrow" w:eastAsia="Calibri" w:hAnsi="Arial Narrow" w:cs="Calibri"/>
          <w:color w:val="000000"/>
          <w:sz w:val="22"/>
          <w:szCs w:val="22"/>
        </w:rPr>
        <w:t>it e komunave</w:t>
      </w:r>
      <w:r w:rsidRPr="00FF7243">
        <w:rPr>
          <w:rFonts w:ascii="Arial Narrow" w:eastAsia="Calibri" w:hAnsi="Arial Narrow" w:cs="Calibri"/>
          <w:color w:val="000000"/>
          <w:sz w:val="22"/>
          <w:szCs w:val="22"/>
        </w:rPr>
        <w:t xml:space="preserve"> </w:t>
      </w:r>
      <w:r w:rsidR="007E3561" w:rsidRPr="00FF7243">
        <w:rPr>
          <w:rFonts w:ascii="Arial Narrow" w:eastAsia="Calibri" w:hAnsi="Arial Narrow" w:cs="Calibri"/>
          <w:color w:val="000000"/>
          <w:sz w:val="22"/>
          <w:szCs w:val="22"/>
        </w:rPr>
        <w:t>të këtij rajoni</w:t>
      </w:r>
      <w:r w:rsidRPr="00FF7243">
        <w:rPr>
          <w:rFonts w:ascii="Arial Narrow" w:eastAsia="Calibri" w:hAnsi="Arial Narrow" w:cs="Calibri"/>
          <w:color w:val="000000"/>
          <w:sz w:val="22"/>
          <w:szCs w:val="22"/>
        </w:rPr>
        <w:t>. Procesi ka përfshirë një sërë prezantimesh nga një ekip konsulentësh</w:t>
      </w:r>
      <w:r w:rsidR="007E3561" w:rsidRPr="00FF7243">
        <w:rPr>
          <w:rFonts w:ascii="Arial Narrow" w:eastAsia="Calibri" w:hAnsi="Arial Narrow" w:cs="Calibri"/>
          <w:color w:val="000000"/>
          <w:sz w:val="22"/>
          <w:szCs w:val="22"/>
        </w:rPr>
        <w:t>,</w:t>
      </w:r>
      <w:r w:rsidRPr="00FF7243">
        <w:rPr>
          <w:rFonts w:ascii="Arial Narrow" w:eastAsia="Calibri" w:hAnsi="Arial Narrow" w:cs="Calibri"/>
          <w:color w:val="000000"/>
          <w:sz w:val="22"/>
          <w:szCs w:val="22"/>
        </w:rPr>
        <w:t xml:space="preserve"> në fazat kryesore</w:t>
      </w:r>
      <w:r w:rsidR="007E3561" w:rsidRPr="00FF7243">
        <w:rPr>
          <w:rFonts w:ascii="Arial Narrow" w:eastAsia="Calibri" w:hAnsi="Arial Narrow" w:cs="Calibri"/>
          <w:color w:val="000000"/>
          <w:sz w:val="22"/>
          <w:szCs w:val="22"/>
        </w:rPr>
        <w:t xml:space="preserve"> të procesit</w:t>
      </w:r>
      <w:r w:rsidRPr="00FF7243">
        <w:rPr>
          <w:rFonts w:ascii="Arial Narrow" w:eastAsia="Calibri" w:hAnsi="Arial Narrow" w:cs="Calibri"/>
          <w:color w:val="000000"/>
          <w:sz w:val="22"/>
          <w:szCs w:val="22"/>
        </w:rPr>
        <w:t xml:space="preserve">, duke përfshirë Studimin Bazë, Analizën e Opsioneve, Planin e Veprimit dhe </w:t>
      </w:r>
      <w:r w:rsidR="007E3561" w:rsidRPr="00FF7243">
        <w:rPr>
          <w:rFonts w:ascii="Arial Narrow" w:eastAsia="Calibri" w:hAnsi="Arial Narrow" w:cs="Calibri"/>
          <w:color w:val="000000"/>
          <w:sz w:val="22"/>
          <w:szCs w:val="22"/>
        </w:rPr>
        <w:t>PNMIM</w:t>
      </w:r>
      <w:r w:rsidRPr="00FF7243">
        <w:rPr>
          <w:rFonts w:ascii="Arial Narrow" w:eastAsia="Calibri" w:hAnsi="Arial Narrow" w:cs="Calibri"/>
          <w:color w:val="000000"/>
          <w:sz w:val="22"/>
          <w:szCs w:val="22"/>
        </w:rPr>
        <w:t xml:space="preserve"> përfundimtar. Diskutimet e zhvilluara dhe re</w:t>
      </w:r>
      <w:r w:rsidR="007E3561" w:rsidRPr="00FF7243">
        <w:rPr>
          <w:rFonts w:ascii="Arial Narrow" w:eastAsia="Calibri" w:hAnsi="Arial Narrow" w:cs="Calibri"/>
          <w:color w:val="000000"/>
          <w:sz w:val="22"/>
          <w:szCs w:val="22"/>
        </w:rPr>
        <w:t xml:space="preserve">fleksionet </w:t>
      </w:r>
      <w:r w:rsidRPr="00FF7243">
        <w:rPr>
          <w:rFonts w:ascii="Arial Narrow" w:eastAsia="Calibri" w:hAnsi="Arial Narrow" w:cs="Calibri"/>
          <w:color w:val="000000"/>
          <w:sz w:val="22"/>
          <w:szCs w:val="22"/>
        </w:rPr>
        <w:t xml:space="preserve">e marra </w:t>
      </w:r>
      <w:r w:rsidR="007E3561" w:rsidRPr="00FF7243">
        <w:rPr>
          <w:rFonts w:ascii="Arial Narrow" w:eastAsia="Calibri" w:hAnsi="Arial Narrow" w:cs="Calibri"/>
          <w:color w:val="000000"/>
          <w:sz w:val="22"/>
          <w:szCs w:val="22"/>
        </w:rPr>
        <w:t xml:space="preserve">në process </w:t>
      </w:r>
      <w:r w:rsidRPr="00FF7243">
        <w:rPr>
          <w:rFonts w:ascii="Arial Narrow" w:eastAsia="Calibri" w:hAnsi="Arial Narrow" w:cs="Calibri"/>
          <w:color w:val="000000"/>
          <w:sz w:val="22"/>
          <w:szCs w:val="22"/>
        </w:rPr>
        <w:t xml:space="preserve">mbi draft dokumentet kanë qenë </w:t>
      </w:r>
      <w:r w:rsidR="007E3561" w:rsidRPr="00FF7243">
        <w:rPr>
          <w:rFonts w:ascii="Arial Narrow" w:eastAsia="Calibri" w:hAnsi="Arial Narrow" w:cs="Calibri"/>
          <w:color w:val="000000"/>
          <w:sz w:val="22"/>
          <w:szCs w:val="22"/>
        </w:rPr>
        <w:t xml:space="preserve">shumë të </w:t>
      </w:r>
      <w:r w:rsidRPr="00FF7243">
        <w:rPr>
          <w:rFonts w:ascii="Arial Narrow" w:eastAsia="Calibri" w:hAnsi="Arial Narrow" w:cs="Calibri"/>
          <w:color w:val="000000"/>
          <w:sz w:val="22"/>
          <w:szCs w:val="22"/>
        </w:rPr>
        <w:t xml:space="preserve">çmueshme në sigurimin që ky </w:t>
      </w:r>
      <w:r w:rsidR="007E3561" w:rsidRPr="00FF7243">
        <w:rPr>
          <w:rFonts w:ascii="Arial Narrow" w:eastAsia="Calibri" w:hAnsi="Arial Narrow" w:cs="Calibri"/>
          <w:color w:val="000000"/>
          <w:sz w:val="22"/>
          <w:szCs w:val="22"/>
        </w:rPr>
        <w:t>PNMIM</w:t>
      </w:r>
      <w:r w:rsidRPr="00FF7243">
        <w:rPr>
          <w:rFonts w:ascii="Arial Narrow" w:eastAsia="Calibri" w:hAnsi="Arial Narrow" w:cs="Calibri"/>
          <w:color w:val="000000"/>
          <w:sz w:val="22"/>
          <w:szCs w:val="22"/>
        </w:rPr>
        <w:t xml:space="preserve"> të përfshijë masa që janë si teknikisht të </w:t>
      </w:r>
      <w:r w:rsidR="00247352" w:rsidRPr="00FF7243">
        <w:rPr>
          <w:rFonts w:ascii="Arial Narrow" w:eastAsia="Calibri" w:hAnsi="Arial Narrow" w:cs="Calibri"/>
          <w:color w:val="000000"/>
          <w:sz w:val="22"/>
          <w:szCs w:val="22"/>
        </w:rPr>
        <w:t xml:space="preserve">pranueshme </w:t>
      </w:r>
      <w:r w:rsidRPr="00FF7243">
        <w:rPr>
          <w:rFonts w:ascii="Arial Narrow" w:eastAsia="Calibri" w:hAnsi="Arial Narrow" w:cs="Calibri"/>
          <w:color w:val="000000"/>
          <w:sz w:val="22"/>
          <w:szCs w:val="22"/>
        </w:rPr>
        <w:t xml:space="preserve">ashtu edhe të mbështetura nga </w:t>
      </w:r>
      <w:r w:rsidR="00247352" w:rsidRPr="00FF7243">
        <w:rPr>
          <w:rFonts w:ascii="Arial Narrow" w:eastAsia="Calibri" w:hAnsi="Arial Narrow" w:cs="Calibri"/>
          <w:color w:val="000000"/>
          <w:sz w:val="22"/>
          <w:szCs w:val="22"/>
        </w:rPr>
        <w:t>komunat</w:t>
      </w:r>
      <w:r w:rsidRPr="00FF7243">
        <w:rPr>
          <w:rFonts w:ascii="Arial Narrow" w:eastAsia="Calibri" w:hAnsi="Arial Narrow" w:cs="Calibri"/>
          <w:color w:val="000000"/>
          <w:sz w:val="22"/>
          <w:szCs w:val="22"/>
        </w:rPr>
        <w:t xml:space="preserve"> partnere.</w:t>
      </w:r>
    </w:p>
    <w:p w14:paraId="5C64441E" w14:textId="77777777" w:rsidR="00C97DF3" w:rsidRPr="00FF7243" w:rsidRDefault="00C97DF3" w:rsidP="00C97DF3">
      <w:pPr>
        <w:jc w:val="both"/>
        <w:rPr>
          <w:rFonts w:ascii="Arial Narrow" w:eastAsia="Calibri" w:hAnsi="Arial Narrow" w:cs="Calibri"/>
          <w:color w:val="000000"/>
          <w:sz w:val="22"/>
          <w:szCs w:val="22"/>
        </w:rPr>
      </w:pPr>
    </w:p>
    <w:p w14:paraId="0D961F66" w14:textId="075B1657" w:rsidR="00C97DF3" w:rsidRPr="00C97DF3" w:rsidRDefault="00C97DF3" w:rsidP="00C97DF3">
      <w:pPr>
        <w:jc w:val="both"/>
        <w:rPr>
          <w:rFonts w:ascii="Arial Narrow" w:eastAsia="Calibri" w:hAnsi="Arial Narrow"/>
          <w:sz w:val="22"/>
          <w:szCs w:val="22"/>
        </w:rPr>
      </w:pPr>
      <w:r w:rsidRPr="00C97DF3">
        <w:rPr>
          <w:rFonts w:ascii="Arial Narrow" w:eastAsia="Calibri" w:hAnsi="Arial Narrow"/>
          <w:sz w:val="22"/>
          <w:szCs w:val="22"/>
        </w:rPr>
        <w:t xml:space="preserve">Strategjia </w:t>
      </w:r>
      <w:r w:rsidR="00247352">
        <w:rPr>
          <w:rFonts w:ascii="Arial Narrow" w:eastAsia="Calibri" w:hAnsi="Arial Narrow"/>
          <w:sz w:val="22"/>
          <w:szCs w:val="22"/>
        </w:rPr>
        <w:t xml:space="preserve">për Menaxhimin e </w:t>
      </w:r>
      <w:r w:rsidRPr="00C97DF3">
        <w:rPr>
          <w:rFonts w:ascii="Arial Narrow" w:eastAsia="Calibri" w:hAnsi="Arial Narrow"/>
          <w:sz w:val="22"/>
          <w:szCs w:val="22"/>
        </w:rPr>
        <w:t xml:space="preserve">Integruar </w:t>
      </w:r>
      <w:r w:rsidR="00247352">
        <w:rPr>
          <w:rFonts w:ascii="Arial Narrow" w:eastAsia="Calibri" w:hAnsi="Arial Narrow"/>
          <w:sz w:val="22"/>
          <w:szCs w:val="22"/>
        </w:rPr>
        <w:t>të</w:t>
      </w:r>
      <w:r w:rsidRPr="00C97DF3">
        <w:rPr>
          <w:rFonts w:ascii="Arial Narrow" w:eastAsia="Calibri" w:hAnsi="Arial Narrow"/>
          <w:sz w:val="22"/>
          <w:szCs w:val="22"/>
        </w:rPr>
        <w:t xml:space="preserve"> Mbeturinave në Kosovë (SK</w:t>
      </w:r>
      <w:r w:rsidR="00247352">
        <w:rPr>
          <w:rFonts w:ascii="Arial Narrow" w:eastAsia="Calibri" w:hAnsi="Arial Narrow"/>
          <w:sz w:val="22"/>
          <w:szCs w:val="22"/>
        </w:rPr>
        <w:t>MIM</w:t>
      </w:r>
      <w:r w:rsidRPr="00C97DF3">
        <w:rPr>
          <w:rFonts w:ascii="Arial Narrow" w:eastAsia="Calibri" w:hAnsi="Arial Narrow"/>
          <w:sz w:val="22"/>
          <w:szCs w:val="22"/>
        </w:rPr>
        <w:t xml:space="preserve">) është marrë plotësisht në konsideratë, veçanërisht pasi ajo lidhet me përgjegjësitë e komunave në menaxhimin e integruar të mbeturinave (MIM), nevojën për të përmbushur </w:t>
      </w:r>
      <w:r w:rsidR="00247352">
        <w:rPr>
          <w:rFonts w:ascii="Arial Narrow" w:eastAsia="Calibri" w:hAnsi="Arial Narrow"/>
          <w:sz w:val="22"/>
          <w:szCs w:val="22"/>
        </w:rPr>
        <w:t xml:space="preserve">në të ardhmen </w:t>
      </w:r>
      <w:r w:rsidRPr="00C97DF3">
        <w:rPr>
          <w:rFonts w:ascii="Arial Narrow" w:eastAsia="Calibri" w:hAnsi="Arial Narrow"/>
          <w:sz w:val="22"/>
          <w:szCs w:val="22"/>
        </w:rPr>
        <w:t xml:space="preserve">objektivat e riciklimit dhe </w:t>
      </w:r>
      <w:r w:rsidR="00247352">
        <w:rPr>
          <w:rFonts w:ascii="Arial Narrow" w:eastAsia="Calibri" w:hAnsi="Arial Narrow"/>
          <w:sz w:val="22"/>
          <w:szCs w:val="22"/>
        </w:rPr>
        <w:t>shkarkimit</w:t>
      </w:r>
      <w:r w:rsidRPr="00C97DF3">
        <w:rPr>
          <w:rFonts w:ascii="Arial Narrow" w:eastAsia="Calibri" w:hAnsi="Arial Narrow"/>
          <w:sz w:val="22"/>
          <w:szCs w:val="22"/>
        </w:rPr>
        <w:t xml:space="preserve"> </w:t>
      </w:r>
      <w:r w:rsidR="00247352">
        <w:rPr>
          <w:rFonts w:ascii="Arial Narrow" w:eastAsia="Calibri" w:hAnsi="Arial Narrow"/>
          <w:sz w:val="22"/>
          <w:szCs w:val="22"/>
        </w:rPr>
        <w:t>të</w:t>
      </w:r>
      <w:r w:rsidRPr="00C97DF3">
        <w:rPr>
          <w:rFonts w:ascii="Arial Narrow" w:eastAsia="Calibri" w:hAnsi="Arial Narrow"/>
          <w:sz w:val="22"/>
          <w:szCs w:val="22"/>
        </w:rPr>
        <w:t xml:space="preserve"> deponi</w:t>
      </w:r>
      <w:r w:rsidR="00247352">
        <w:rPr>
          <w:rFonts w:ascii="Arial Narrow" w:eastAsia="Calibri" w:hAnsi="Arial Narrow"/>
          <w:sz w:val="22"/>
          <w:szCs w:val="22"/>
        </w:rPr>
        <w:t>ve</w:t>
      </w:r>
      <w:r w:rsidRPr="00C97DF3">
        <w:rPr>
          <w:rFonts w:ascii="Arial Narrow" w:eastAsia="Calibri" w:hAnsi="Arial Narrow"/>
          <w:sz w:val="22"/>
          <w:szCs w:val="22"/>
        </w:rPr>
        <w:t xml:space="preserve">, si dhe nevojën për të </w:t>
      </w:r>
      <w:r w:rsidR="00247352">
        <w:rPr>
          <w:rFonts w:ascii="Arial Narrow" w:eastAsia="Calibri" w:hAnsi="Arial Narrow"/>
          <w:sz w:val="22"/>
          <w:szCs w:val="22"/>
        </w:rPr>
        <w:t>orientuar</w:t>
      </w:r>
      <w:r w:rsidRPr="00C97DF3">
        <w:rPr>
          <w:rFonts w:ascii="Arial Narrow" w:eastAsia="Calibri" w:hAnsi="Arial Narrow"/>
          <w:sz w:val="22"/>
          <w:szCs w:val="22"/>
        </w:rPr>
        <w:t xml:space="preserve"> investimet në objektet dhe shërbimet e menaxhimit </w:t>
      </w:r>
      <w:r w:rsidR="00247352">
        <w:rPr>
          <w:rFonts w:ascii="Arial Narrow" w:eastAsia="Calibri" w:hAnsi="Arial Narrow"/>
          <w:sz w:val="22"/>
          <w:szCs w:val="22"/>
        </w:rPr>
        <w:t>në</w:t>
      </w:r>
      <w:r w:rsidRPr="00C97DF3">
        <w:rPr>
          <w:rFonts w:ascii="Arial Narrow" w:eastAsia="Calibri" w:hAnsi="Arial Narrow"/>
          <w:sz w:val="22"/>
          <w:szCs w:val="22"/>
        </w:rPr>
        <w:t xml:space="preserve"> burim të mbeturinave, duke mbështetur një tranzicion drejt një ekonomie rrethore.</w:t>
      </w:r>
    </w:p>
    <w:p w14:paraId="533F4021" w14:textId="77777777" w:rsidR="00C97DF3" w:rsidRPr="00C97DF3" w:rsidRDefault="00C97DF3" w:rsidP="00C97DF3">
      <w:pPr>
        <w:jc w:val="both"/>
        <w:rPr>
          <w:rFonts w:ascii="Arial Narrow" w:eastAsia="Calibri" w:hAnsi="Arial Narrow"/>
          <w:sz w:val="22"/>
          <w:szCs w:val="22"/>
          <w:lang w:val="bg-BG"/>
        </w:rPr>
      </w:pPr>
    </w:p>
    <w:p w14:paraId="3C8C150B" w14:textId="31561A15" w:rsidR="00C97DF3" w:rsidRPr="00C97DF3" w:rsidRDefault="00C97DF3" w:rsidP="00C97DF3">
      <w:pPr>
        <w:jc w:val="both"/>
        <w:rPr>
          <w:rFonts w:ascii="Arial Narrow" w:eastAsia="Calibri" w:hAnsi="Arial Narrow"/>
          <w:b/>
          <w:bCs/>
          <w:sz w:val="22"/>
          <w:szCs w:val="22"/>
        </w:rPr>
      </w:pPr>
      <w:r w:rsidRPr="00C97DF3">
        <w:rPr>
          <w:rFonts w:ascii="Arial Narrow" w:eastAsia="Calibri" w:hAnsi="Arial Narrow"/>
          <w:b/>
          <w:bCs/>
          <w:sz w:val="22"/>
          <w:szCs w:val="22"/>
        </w:rPr>
        <w:t xml:space="preserve">Objektivat dhe synimet e </w:t>
      </w:r>
      <w:r w:rsidR="0030347F">
        <w:rPr>
          <w:rFonts w:ascii="Arial Narrow" w:eastAsia="Calibri" w:hAnsi="Arial Narrow"/>
          <w:b/>
          <w:bCs/>
          <w:sz w:val="22"/>
          <w:szCs w:val="22"/>
        </w:rPr>
        <w:t>PNMIM</w:t>
      </w:r>
    </w:p>
    <w:p w14:paraId="651025C7" w14:textId="5F738A90" w:rsidR="00C97DF3" w:rsidRPr="00C97DF3" w:rsidRDefault="00C97DF3" w:rsidP="00C97DF3">
      <w:pPr>
        <w:jc w:val="both"/>
        <w:rPr>
          <w:rFonts w:ascii="Arial Narrow" w:eastAsia="Calibri" w:hAnsi="Arial Narrow"/>
          <w:sz w:val="22"/>
          <w:szCs w:val="22"/>
        </w:rPr>
      </w:pPr>
      <w:r w:rsidRPr="00C97DF3">
        <w:rPr>
          <w:rFonts w:ascii="Arial Narrow" w:eastAsia="Calibri" w:hAnsi="Arial Narrow"/>
          <w:sz w:val="22"/>
          <w:szCs w:val="22"/>
        </w:rPr>
        <w:t xml:space="preserve">Tabela më poshtë paraqet objektivat dhe synimet për sistemin e menaxhimit të mbeturinave në Rajonin e Dukagjinit, në përputhje me dispozitat e </w:t>
      </w:r>
      <w:r w:rsidR="00DD5015">
        <w:rPr>
          <w:rFonts w:ascii="Arial Narrow" w:eastAsia="Calibri" w:hAnsi="Arial Narrow"/>
          <w:sz w:val="22"/>
          <w:szCs w:val="22"/>
        </w:rPr>
        <w:t>SKMIM</w:t>
      </w:r>
      <w:r w:rsidRPr="00C97DF3">
        <w:rPr>
          <w:rFonts w:ascii="Arial Narrow" w:eastAsia="Calibri" w:hAnsi="Arial Narrow"/>
          <w:sz w:val="22"/>
          <w:szCs w:val="22"/>
        </w:rPr>
        <w:t xml:space="preserve"> 2024-2035.</w:t>
      </w:r>
    </w:p>
    <w:p w14:paraId="37863AE1" w14:textId="77777777" w:rsidR="00C97DF3" w:rsidRPr="00C97DF3" w:rsidRDefault="00C97DF3" w:rsidP="00C97DF3">
      <w:pPr>
        <w:rPr>
          <w:rFonts w:ascii="Arial Narrow" w:hAnsi="Arial Narrow"/>
        </w:rPr>
      </w:pPr>
    </w:p>
    <w:p w14:paraId="338D9FAF" w14:textId="267EB1A3" w:rsidR="00C97DF3" w:rsidRPr="00C97DF3" w:rsidRDefault="00C97DF3" w:rsidP="00C97DF3">
      <w:pPr>
        <w:suppressAutoHyphens/>
        <w:rPr>
          <w:rFonts w:ascii="Arial Narrow" w:eastAsia="Calibri" w:hAnsi="Arial Narrow" w:cs="Calibri"/>
          <w:color w:val="1F497D"/>
          <w:sz w:val="20"/>
          <w:szCs w:val="20"/>
        </w:rPr>
      </w:pPr>
      <w:bookmarkStart w:id="4" w:name="_Toc197472186"/>
      <w:r w:rsidRPr="00C97DF3">
        <w:rPr>
          <w:rFonts w:ascii="Arial Narrow" w:eastAsia="Calibri" w:hAnsi="Arial Narrow" w:cs="Calibri"/>
          <w:color w:val="1F497D"/>
          <w:sz w:val="20"/>
          <w:szCs w:val="20"/>
        </w:rPr>
        <w:t xml:space="preserve">Tabela </w:t>
      </w:r>
      <w:r w:rsidRPr="00C97DF3">
        <w:rPr>
          <w:rFonts w:ascii="Arial Narrow" w:eastAsia="Calibri" w:hAnsi="Arial Narrow" w:cs="Calibri"/>
          <w:color w:val="1F497D"/>
          <w:sz w:val="20"/>
          <w:szCs w:val="20"/>
        </w:rPr>
        <w:fldChar w:fldCharType="begin"/>
      </w:r>
      <w:r w:rsidRPr="00C97DF3">
        <w:rPr>
          <w:rFonts w:ascii="Arial Narrow" w:eastAsia="Calibri" w:hAnsi="Arial Narrow" w:cs="Calibri"/>
          <w:color w:val="1F497D"/>
          <w:sz w:val="20"/>
          <w:szCs w:val="20"/>
        </w:rPr>
        <w:instrText xml:space="preserve"> SEQ Table \* ARABIC </w:instrText>
      </w:r>
      <w:r w:rsidRPr="00C97DF3">
        <w:rPr>
          <w:rFonts w:ascii="Arial Narrow" w:eastAsia="Calibri" w:hAnsi="Arial Narrow" w:cs="Calibri"/>
          <w:color w:val="1F497D"/>
          <w:sz w:val="20"/>
          <w:szCs w:val="20"/>
        </w:rPr>
        <w:fldChar w:fldCharType="separate"/>
      </w:r>
      <w:r>
        <w:rPr>
          <w:rFonts w:ascii="Arial Narrow" w:eastAsia="Calibri" w:hAnsi="Arial Narrow" w:cs="Calibri"/>
          <w:noProof/>
          <w:color w:val="1F497D"/>
          <w:sz w:val="20"/>
          <w:szCs w:val="20"/>
        </w:rPr>
        <w:t xml:space="preserve">1. </w:t>
      </w:r>
      <w:r w:rsidRPr="00C97DF3">
        <w:rPr>
          <w:rFonts w:ascii="Arial Narrow" w:eastAsia="Calibri" w:hAnsi="Arial Narrow" w:cs="Calibri"/>
          <w:color w:val="1F497D"/>
          <w:sz w:val="20"/>
          <w:szCs w:val="20"/>
        </w:rPr>
        <w:fldChar w:fldCharType="end"/>
      </w:r>
      <w:r w:rsidRPr="00C97DF3">
        <w:rPr>
          <w:rFonts w:ascii="Arial Narrow" w:eastAsia="Calibri" w:hAnsi="Arial Narrow" w:cs="Calibri"/>
          <w:color w:val="1F497D"/>
          <w:sz w:val="20"/>
          <w:szCs w:val="20"/>
        </w:rPr>
        <w:t>Objektivat dhe synimet për sistemin rajonal</w:t>
      </w:r>
      <w:bookmarkEnd w:id="4"/>
    </w:p>
    <w:tbl>
      <w:tblPr>
        <w:tblStyle w:val="TableGrid8"/>
        <w:tblW w:w="5000" w:type="pct"/>
        <w:tblLook w:val="01E0" w:firstRow="1" w:lastRow="1" w:firstColumn="1" w:lastColumn="1" w:noHBand="0" w:noVBand="0"/>
      </w:tblPr>
      <w:tblGrid>
        <w:gridCol w:w="2023"/>
        <w:gridCol w:w="3583"/>
        <w:gridCol w:w="1223"/>
        <w:gridCol w:w="1345"/>
        <w:gridCol w:w="1176"/>
      </w:tblGrid>
      <w:tr w:rsidR="00C97DF3" w:rsidRPr="00C97DF3" w14:paraId="353D39D1" w14:textId="77777777" w:rsidTr="008F1976">
        <w:trPr>
          <w:trHeight w:val="342"/>
          <w:tblHeader/>
        </w:trPr>
        <w:tc>
          <w:tcPr>
            <w:tcW w:w="1082" w:type="pct"/>
            <w:shd w:val="clear" w:color="auto" w:fill="365F91"/>
          </w:tcPr>
          <w:p w14:paraId="5B33BD29" w14:textId="77777777" w:rsidR="00C97DF3" w:rsidRPr="00C97DF3" w:rsidRDefault="00C97DF3" w:rsidP="00C97DF3">
            <w:pPr>
              <w:widowControl w:val="0"/>
              <w:autoSpaceDE w:val="0"/>
              <w:autoSpaceDN w:val="0"/>
              <w:ind w:left="575"/>
              <w:rPr>
                <w:rFonts w:ascii="Arial Narrow" w:eastAsia="Calibri" w:hAnsi="Arial Narrow" w:cs="Calibri"/>
                <w:b/>
                <w:sz w:val="20"/>
                <w:szCs w:val="20"/>
              </w:rPr>
            </w:pPr>
            <w:r w:rsidRPr="00C97DF3">
              <w:rPr>
                <w:rFonts w:ascii="Arial Narrow" w:eastAsia="Calibri" w:hAnsi="Arial Narrow" w:cs="Calibri"/>
                <w:b/>
                <w:color w:val="FFFFFF"/>
                <w:sz w:val="20"/>
                <w:szCs w:val="20"/>
              </w:rPr>
              <w:t>Objektivi</w:t>
            </w:r>
          </w:p>
        </w:tc>
        <w:tc>
          <w:tcPr>
            <w:tcW w:w="1916" w:type="pct"/>
            <w:shd w:val="clear" w:color="auto" w:fill="365F91"/>
          </w:tcPr>
          <w:p w14:paraId="6AECBDC3" w14:textId="77777777" w:rsidR="00C97DF3" w:rsidRPr="00C97DF3" w:rsidRDefault="00C97DF3" w:rsidP="00C97DF3">
            <w:pPr>
              <w:widowControl w:val="0"/>
              <w:autoSpaceDE w:val="0"/>
              <w:autoSpaceDN w:val="0"/>
              <w:ind w:left="124" w:right="42"/>
              <w:jc w:val="center"/>
              <w:rPr>
                <w:rFonts w:ascii="Arial Narrow" w:eastAsia="Calibri" w:hAnsi="Arial Narrow" w:cs="Calibri"/>
                <w:b/>
                <w:sz w:val="20"/>
                <w:szCs w:val="20"/>
              </w:rPr>
            </w:pPr>
            <w:r w:rsidRPr="00C97DF3">
              <w:rPr>
                <w:rFonts w:ascii="Arial Narrow" w:eastAsia="Calibri" w:hAnsi="Arial Narrow" w:cs="Calibri"/>
                <w:b/>
                <w:color w:val="FFFFFF"/>
                <w:sz w:val="20"/>
                <w:szCs w:val="20"/>
              </w:rPr>
              <w:t>Treguesi</w:t>
            </w:r>
          </w:p>
        </w:tc>
        <w:tc>
          <w:tcPr>
            <w:tcW w:w="654" w:type="pct"/>
            <w:shd w:val="clear" w:color="auto" w:fill="365F91"/>
          </w:tcPr>
          <w:p w14:paraId="1738C2F3" w14:textId="77777777" w:rsidR="00C97DF3" w:rsidRPr="00C97DF3" w:rsidRDefault="00C97DF3" w:rsidP="00C97DF3">
            <w:pPr>
              <w:widowControl w:val="0"/>
              <w:autoSpaceDE w:val="0"/>
              <w:autoSpaceDN w:val="0"/>
              <w:ind w:right="208"/>
              <w:jc w:val="right"/>
              <w:rPr>
                <w:rFonts w:ascii="Arial Narrow" w:eastAsia="Calibri" w:hAnsi="Arial Narrow" w:cs="Calibri"/>
                <w:b/>
                <w:sz w:val="20"/>
                <w:szCs w:val="20"/>
              </w:rPr>
            </w:pPr>
            <w:r w:rsidRPr="00C97DF3">
              <w:rPr>
                <w:rFonts w:ascii="Arial Narrow" w:eastAsia="Calibri" w:hAnsi="Arial Narrow" w:cs="Calibri"/>
                <w:b/>
                <w:color w:val="FFFFFF"/>
                <w:sz w:val="20"/>
                <w:szCs w:val="20"/>
              </w:rPr>
              <w:t>Baza</w:t>
            </w:r>
          </w:p>
        </w:tc>
        <w:tc>
          <w:tcPr>
            <w:tcW w:w="719" w:type="pct"/>
            <w:shd w:val="clear" w:color="auto" w:fill="365F91"/>
          </w:tcPr>
          <w:p w14:paraId="779BA756" w14:textId="6E97B038" w:rsidR="00C97DF3" w:rsidRPr="00C97DF3" w:rsidRDefault="00C97DF3" w:rsidP="00C97DF3">
            <w:pPr>
              <w:widowControl w:val="0"/>
              <w:autoSpaceDE w:val="0"/>
              <w:autoSpaceDN w:val="0"/>
              <w:ind w:left="400"/>
              <w:rPr>
                <w:rFonts w:ascii="Arial Narrow" w:eastAsia="Calibri" w:hAnsi="Arial Narrow" w:cs="Calibri"/>
                <w:b/>
                <w:sz w:val="20"/>
                <w:szCs w:val="20"/>
              </w:rPr>
            </w:pPr>
            <w:r w:rsidRPr="00C97DF3">
              <w:rPr>
                <w:rFonts w:ascii="Arial Narrow" w:eastAsia="Calibri" w:hAnsi="Arial Narrow" w:cs="Calibri"/>
                <w:b/>
                <w:color w:val="FFFFFF"/>
                <w:sz w:val="20"/>
                <w:szCs w:val="20"/>
              </w:rPr>
              <w:t>Objektiv</w:t>
            </w:r>
            <w:r w:rsidR="00DD5015">
              <w:rPr>
                <w:rFonts w:ascii="Arial Narrow" w:eastAsia="Calibri" w:hAnsi="Arial Narrow" w:cs="Calibri"/>
                <w:b/>
                <w:color w:val="FFFFFF"/>
                <w:sz w:val="20"/>
                <w:szCs w:val="20"/>
              </w:rPr>
              <w:t>i</w:t>
            </w:r>
          </w:p>
        </w:tc>
        <w:tc>
          <w:tcPr>
            <w:tcW w:w="629" w:type="pct"/>
            <w:shd w:val="clear" w:color="auto" w:fill="365F91"/>
          </w:tcPr>
          <w:p w14:paraId="296F7DE3" w14:textId="77777777" w:rsidR="00C97DF3" w:rsidRPr="00C97DF3" w:rsidRDefault="00C97DF3" w:rsidP="00C97DF3">
            <w:pPr>
              <w:widowControl w:val="0"/>
              <w:autoSpaceDE w:val="0"/>
              <w:autoSpaceDN w:val="0"/>
              <w:ind w:left="412"/>
              <w:rPr>
                <w:rFonts w:ascii="Arial Narrow" w:eastAsia="Calibri" w:hAnsi="Arial Narrow" w:cs="Calibri"/>
                <w:b/>
                <w:sz w:val="20"/>
                <w:szCs w:val="20"/>
              </w:rPr>
            </w:pPr>
            <w:r w:rsidRPr="00C97DF3">
              <w:rPr>
                <w:rFonts w:ascii="Arial Narrow" w:eastAsia="Calibri" w:hAnsi="Arial Narrow" w:cs="Calibri"/>
                <w:b/>
                <w:color w:val="FFFFFF"/>
                <w:sz w:val="20"/>
                <w:szCs w:val="20"/>
              </w:rPr>
              <w:t>Viti</w:t>
            </w:r>
          </w:p>
        </w:tc>
      </w:tr>
      <w:tr w:rsidR="00C97DF3" w:rsidRPr="00C97DF3" w14:paraId="51AD4336" w14:textId="77777777" w:rsidTr="008F1976">
        <w:trPr>
          <w:trHeight w:val="354"/>
        </w:trPr>
        <w:tc>
          <w:tcPr>
            <w:tcW w:w="1082" w:type="pct"/>
            <w:shd w:val="clear" w:color="auto" w:fill="365F91"/>
            <w:vAlign w:val="center"/>
          </w:tcPr>
          <w:p w14:paraId="08DFE44A" w14:textId="4ECE8F9A" w:rsidR="00C97DF3" w:rsidRPr="00C97DF3" w:rsidRDefault="00C97DF3" w:rsidP="00C97DF3">
            <w:pPr>
              <w:widowControl w:val="0"/>
              <w:autoSpaceDE w:val="0"/>
              <w:autoSpaceDN w:val="0"/>
              <w:ind w:right="289"/>
              <w:rPr>
                <w:rFonts w:ascii="Arial Narrow" w:eastAsia="Calibri" w:hAnsi="Arial Narrow" w:cs="Calibri"/>
                <w:sz w:val="20"/>
                <w:szCs w:val="20"/>
              </w:rPr>
            </w:pPr>
            <w:r w:rsidRPr="00C97DF3">
              <w:rPr>
                <w:rFonts w:ascii="Arial Narrow" w:eastAsia="Calibri" w:hAnsi="Arial Narrow" w:cs="Calibri"/>
                <w:color w:val="FFFFFF"/>
                <w:sz w:val="20"/>
                <w:szCs w:val="20"/>
              </w:rPr>
              <w:t xml:space="preserve">Rritja e shërbimit të </w:t>
            </w:r>
            <w:r w:rsidR="00DD5015">
              <w:rPr>
                <w:rFonts w:ascii="Arial Narrow" w:eastAsia="Calibri" w:hAnsi="Arial Narrow" w:cs="Calibri"/>
                <w:color w:val="FFFFFF"/>
                <w:sz w:val="20"/>
                <w:szCs w:val="20"/>
              </w:rPr>
              <w:t>grumbullimit</w:t>
            </w:r>
            <w:r w:rsidRPr="00C97DF3">
              <w:rPr>
                <w:rFonts w:ascii="Arial Narrow" w:eastAsia="Calibri" w:hAnsi="Arial Narrow" w:cs="Calibri"/>
                <w:color w:val="FFFFFF"/>
                <w:sz w:val="20"/>
                <w:szCs w:val="20"/>
              </w:rPr>
              <w:t xml:space="preserve"> </w:t>
            </w:r>
            <w:r w:rsidR="00DD5015">
              <w:rPr>
                <w:rFonts w:ascii="Arial Narrow" w:eastAsia="Calibri" w:hAnsi="Arial Narrow" w:cs="Calibri"/>
                <w:color w:val="FFFFFF"/>
                <w:sz w:val="20"/>
                <w:szCs w:val="20"/>
              </w:rPr>
              <w:t>t</w:t>
            </w:r>
            <w:r w:rsidRPr="00C97DF3">
              <w:rPr>
                <w:rFonts w:ascii="Arial Narrow" w:eastAsia="Calibri" w:hAnsi="Arial Narrow" w:cs="Calibri"/>
                <w:color w:val="FFFFFF"/>
                <w:sz w:val="20"/>
                <w:szCs w:val="20"/>
              </w:rPr>
              <w:t>ë mbeturinave</w:t>
            </w:r>
          </w:p>
        </w:tc>
        <w:tc>
          <w:tcPr>
            <w:tcW w:w="1916" w:type="pct"/>
            <w:vAlign w:val="center"/>
          </w:tcPr>
          <w:p w14:paraId="1045AACD" w14:textId="197B3E36" w:rsidR="00C97DF3" w:rsidRPr="00DD5015" w:rsidRDefault="00E30891" w:rsidP="00C97DF3">
            <w:pPr>
              <w:widowControl w:val="0"/>
              <w:autoSpaceDE w:val="0"/>
              <w:autoSpaceDN w:val="0"/>
              <w:ind w:right="123"/>
              <w:rPr>
                <w:rFonts w:ascii="Arial Narrow" w:eastAsia="Calibri" w:hAnsi="Arial Narrow" w:cs="Calibri"/>
                <w:spacing w:val="-47"/>
                <w:sz w:val="20"/>
                <w:szCs w:val="20"/>
              </w:rPr>
            </w:pPr>
            <w:r w:rsidRPr="00BE2534">
              <w:rPr>
                <w:rFonts w:ascii="Arial Narrow" w:eastAsia="Calibri" w:hAnsi="Arial Narrow" w:cs="Calibri"/>
                <w:sz w:val="20"/>
                <w:szCs w:val="20"/>
                <w:lang w:val="sq-AL"/>
              </w:rPr>
              <w:t xml:space="preserve">Përqindja e popullsisë së përgjithshme me         </w:t>
            </w:r>
            <w:r w:rsidRPr="00BE2534">
              <w:rPr>
                <w:rFonts w:ascii="Arial Narrow" w:eastAsia="Calibri" w:hAnsi="Arial Narrow" w:cs="Calibri"/>
                <w:spacing w:val="-47"/>
                <w:sz w:val="20"/>
                <w:szCs w:val="20"/>
                <w:lang w:val="sq-AL"/>
              </w:rPr>
              <w:t xml:space="preserve">   </w:t>
            </w:r>
            <w:r w:rsidRPr="00BE2534">
              <w:rPr>
                <w:rFonts w:ascii="Arial Narrow" w:eastAsia="Calibri" w:hAnsi="Arial Narrow" w:cs="Calibri"/>
                <w:sz w:val="20"/>
                <w:szCs w:val="20"/>
                <w:lang w:val="sq-AL"/>
              </w:rPr>
              <w:t>qasje adekuate dhe të rregullt</w:t>
            </w:r>
            <w:r w:rsidRPr="00BE2534">
              <w:rPr>
                <w:rFonts w:ascii="Arial Narrow" w:eastAsia="Calibri" w:hAnsi="Arial Narrow" w:cs="Calibri"/>
                <w:spacing w:val="1"/>
                <w:sz w:val="20"/>
                <w:szCs w:val="20"/>
                <w:lang w:val="sq-AL"/>
              </w:rPr>
              <w:t xml:space="preserve"> në shërbimet </w:t>
            </w:r>
            <w:r w:rsidRPr="00BE2534">
              <w:rPr>
                <w:rFonts w:ascii="Arial Narrow" w:eastAsia="Calibri" w:hAnsi="Arial Narrow" w:cs="Calibri"/>
                <w:sz w:val="20"/>
                <w:szCs w:val="20"/>
                <w:lang w:val="sq-AL"/>
              </w:rPr>
              <w:t>komunale</w:t>
            </w:r>
            <w:r w:rsidRPr="00BE2534">
              <w:rPr>
                <w:rFonts w:ascii="Arial Narrow" w:eastAsia="Calibri" w:hAnsi="Arial Narrow" w:cs="Calibri"/>
                <w:spacing w:val="-1"/>
                <w:sz w:val="20"/>
                <w:szCs w:val="20"/>
                <w:lang w:val="sq-AL"/>
              </w:rPr>
              <w:t xml:space="preserve"> të </w:t>
            </w:r>
            <w:r w:rsidRPr="00BE2534">
              <w:rPr>
                <w:rFonts w:ascii="Arial Narrow" w:eastAsia="Calibri" w:hAnsi="Arial Narrow" w:cs="Calibri"/>
                <w:sz w:val="20"/>
                <w:szCs w:val="20"/>
                <w:lang w:val="sq-AL"/>
              </w:rPr>
              <w:t>mbledhjes së mbeturinave</w:t>
            </w:r>
          </w:p>
        </w:tc>
        <w:tc>
          <w:tcPr>
            <w:tcW w:w="654" w:type="pct"/>
            <w:vAlign w:val="center"/>
          </w:tcPr>
          <w:p w14:paraId="5BB62BA0" w14:textId="77777777" w:rsidR="00C97DF3" w:rsidRPr="00C97DF3" w:rsidRDefault="00C97DF3" w:rsidP="00C97DF3">
            <w:pPr>
              <w:widowControl w:val="0"/>
              <w:autoSpaceDE w:val="0"/>
              <w:autoSpaceDN w:val="0"/>
              <w:ind w:left="393"/>
              <w:rPr>
                <w:rFonts w:ascii="Arial Narrow" w:eastAsia="Calibri" w:hAnsi="Arial Narrow" w:cs="Calibri"/>
                <w:sz w:val="20"/>
                <w:szCs w:val="20"/>
              </w:rPr>
            </w:pPr>
            <w:r w:rsidRPr="00C97DF3">
              <w:rPr>
                <w:rFonts w:ascii="Arial Narrow" w:eastAsia="Calibri" w:hAnsi="Arial Narrow" w:cs="Calibri"/>
                <w:sz w:val="20"/>
                <w:szCs w:val="20"/>
              </w:rPr>
              <w:t>99%</w:t>
            </w:r>
          </w:p>
        </w:tc>
        <w:tc>
          <w:tcPr>
            <w:tcW w:w="719" w:type="pct"/>
            <w:vAlign w:val="center"/>
          </w:tcPr>
          <w:p w14:paraId="76B478F5"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100%</w:t>
            </w:r>
          </w:p>
        </w:tc>
        <w:tc>
          <w:tcPr>
            <w:tcW w:w="629" w:type="pct"/>
            <w:vAlign w:val="center"/>
          </w:tcPr>
          <w:p w14:paraId="0491350F"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2026</w:t>
            </w:r>
          </w:p>
        </w:tc>
      </w:tr>
      <w:tr w:rsidR="00C97DF3" w:rsidRPr="00C97DF3" w14:paraId="4DE41A2D" w14:textId="77777777" w:rsidTr="008F1976">
        <w:trPr>
          <w:trHeight w:val="215"/>
        </w:trPr>
        <w:tc>
          <w:tcPr>
            <w:tcW w:w="1082" w:type="pct"/>
            <w:vMerge w:val="restart"/>
            <w:shd w:val="clear" w:color="auto" w:fill="365F91"/>
            <w:vAlign w:val="center"/>
          </w:tcPr>
          <w:p w14:paraId="7EF84262" w14:textId="77777777" w:rsidR="00C97DF3" w:rsidRPr="00C97DF3" w:rsidRDefault="00C97DF3" w:rsidP="00C97DF3">
            <w:pPr>
              <w:widowControl w:val="0"/>
              <w:autoSpaceDE w:val="0"/>
              <w:autoSpaceDN w:val="0"/>
              <w:ind w:right="257"/>
              <w:rPr>
                <w:rFonts w:ascii="Arial Narrow" w:eastAsia="Calibri" w:hAnsi="Arial Narrow" w:cs="Calibri"/>
                <w:sz w:val="20"/>
                <w:szCs w:val="20"/>
              </w:rPr>
            </w:pPr>
            <w:r w:rsidRPr="00C97DF3">
              <w:rPr>
                <w:rFonts w:ascii="Arial Narrow" w:eastAsia="Calibri" w:hAnsi="Arial Narrow" w:cs="Calibri"/>
                <w:color w:val="FFFFFF"/>
                <w:sz w:val="20"/>
                <w:szCs w:val="20"/>
              </w:rPr>
              <w:t>Rritja e riciklimit dhe rikuperimit të burimeve</w:t>
            </w:r>
          </w:p>
        </w:tc>
        <w:tc>
          <w:tcPr>
            <w:tcW w:w="1916" w:type="pct"/>
            <w:vMerge w:val="restart"/>
            <w:vAlign w:val="center"/>
          </w:tcPr>
          <w:p w14:paraId="1517ACA7" w14:textId="0F2F80A7" w:rsidR="00C97DF3" w:rsidRPr="00C97DF3" w:rsidRDefault="00E30891" w:rsidP="00C97DF3">
            <w:pPr>
              <w:widowControl w:val="0"/>
              <w:autoSpaceDE w:val="0"/>
              <w:autoSpaceDN w:val="0"/>
              <w:ind w:right="512"/>
              <w:rPr>
                <w:rFonts w:ascii="Arial Narrow" w:eastAsia="Calibri" w:hAnsi="Arial Narrow" w:cs="Calibri"/>
                <w:sz w:val="20"/>
                <w:szCs w:val="20"/>
              </w:rPr>
            </w:pPr>
            <w:r w:rsidRPr="00BE2534">
              <w:rPr>
                <w:rFonts w:ascii="Arial Narrow" w:eastAsia="Calibri" w:hAnsi="Arial Narrow" w:cs="Calibri"/>
                <w:sz w:val="20"/>
                <w:szCs w:val="20"/>
                <w:lang w:val="sq-AL"/>
              </w:rPr>
              <w:t>Mbeturinat komunale të gatshme për ripërdorim dhe riciklim</w:t>
            </w:r>
          </w:p>
        </w:tc>
        <w:tc>
          <w:tcPr>
            <w:tcW w:w="654" w:type="pct"/>
            <w:vMerge w:val="restart"/>
            <w:vAlign w:val="center"/>
          </w:tcPr>
          <w:p w14:paraId="484750AB" w14:textId="77777777" w:rsidR="00C97DF3" w:rsidRPr="00C97DF3" w:rsidRDefault="00C97DF3" w:rsidP="00C97DF3">
            <w:pPr>
              <w:widowControl w:val="0"/>
              <w:autoSpaceDE w:val="0"/>
              <w:autoSpaceDN w:val="0"/>
              <w:ind w:left="366"/>
              <w:rPr>
                <w:rFonts w:ascii="Arial Narrow" w:eastAsia="Calibri" w:hAnsi="Arial Narrow" w:cs="Calibri"/>
                <w:sz w:val="20"/>
                <w:szCs w:val="20"/>
              </w:rPr>
            </w:pPr>
            <w:r w:rsidRPr="00C97DF3">
              <w:rPr>
                <w:rFonts w:ascii="Arial Narrow" w:eastAsia="Calibri" w:hAnsi="Arial Narrow" w:cs="Calibri"/>
                <w:sz w:val="20"/>
                <w:szCs w:val="20"/>
              </w:rPr>
              <w:t>&lt;</w:t>
            </w:r>
            <w:r w:rsidRPr="00C97DF3">
              <w:rPr>
                <w:rFonts w:ascii="Arial Narrow" w:eastAsia="Calibri" w:hAnsi="Arial Narrow" w:cs="Calibri"/>
                <w:spacing w:val="-1"/>
                <w:sz w:val="20"/>
                <w:szCs w:val="20"/>
              </w:rPr>
              <w:t xml:space="preserve"> </w:t>
            </w:r>
            <w:r w:rsidRPr="00C97DF3">
              <w:rPr>
                <w:rFonts w:ascii="Arial Narrow" w:eastAsia="Calibri" w:hAnsi="Arial Narrow" w:cs="Calibri"/>
                <w:sz w:val="20"/>
                <w:szCs w:val="20"/>
              </w:rPr>
              <w:t>5%</w:t>
            </w:r>
          </w:p>
        </w:tc>
        <w:tc>
          <w:tcPr>
            <w:tcW w:w="719" w:type="pct"/>
            <w:vAlign w:val="center"/>
          </w:tcPr>
          <w:p w14:paraId="72EE8D54"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20%</w:t>
            </w:r>
          </w:p>
        </w:tc>
        <w:tc>
          <w:tcPr>
            <w:tcW w:w="629" w:type="pct"/>
            <w:vAlign w:val="center"/>
          </w:tcPr>
          <w:p w14:paraId="44B0CE38"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2030</w:t>
            </w:r>
          </w:p>
        </w:tc>
      </w:tr>
      <w:tr w:rsidR="00C97DF3" w:rsidRPr="00C97DF3" w14:paraId="7E663D30" w14:textId="77777777" w:rsidTr="008F1976">
        <w:trPr>
          <w:trHeight w:val="179"/>
        </w:trPr>
        <w:tc>
          <w:tcPr>
            <w:tcW w:w="1082" w:type="pct"/>
            <w:vMerge/>
            <w:shd w:val="clear" w:color="auto" w:fill="365F91"/>
            <w:vAlign w:val="center"/>
          </w:tcPr>
          <w:p w14:paraId="42CD1666"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50E13007"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654" w:type="pct"/>
            <w:vMerge/>
            <w:vAlign w:val="center"/>
          </w:tcPr>
          <w:p w14:paraId="69FC68BD" w14:textId="77777777" w:rsidR="00C97DF3" w:rsidRPr="00C97DF3" w:rsidRDefault="00C97DF3" w:rsidP="00C97DF3">
            <w:pPr>
              <w:widowControl w:val="0"/>
              <w:autoSpaceDE w:val="0"/>
              <w:autoSpaceDN w:val="0"/>
              <w:ind w:left="366"/>
              <w:jc w:val="center"/>
              <w:rPr>
                <w:rFonts w:ascii="Arial Narrow" w:eastAsia="Calibri" w:hAnsi="Arial Narrow" w:cs="Calibri"/>
                <w:sz w:val="20"/>
                <w:szCs w:val="20"/>
              </w:rPr>
            </w:pPr>
          </w:p>
        </w:tc>
        <w:tc>
          <w:tcPr>
            <w:tcW w:w="719" w:type="pct"/>
            <w:vAlign w:val="center"/>
          </w:tcPr>
          <w:p w14:paraId="134AFF97"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50%</w:t>
            </w:r>
          </w:p>
        </w:tc>
        <w:tc>
          <w:tcPr>
            <w:tcW w:w="629" w:type="pct"/>
            <w:vAlign w:val="center"/>
          </w:tcPr>
          <w:p w14:paraId="3F3C1108"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2035</w:t>
            </w:r>
          </w:p>
        </w:tc>
      </w:tr>
      <w:tr w:rsidR="00C97DF3" w:rsidRPr="00C97DF3" w14:paraId="64AF6300" w14:textId="77777777" w:rsidTr="008F1976">
        <w:trPr>
          <w:trHeight w:val="224"/>
        </w:trPr>
        <w:tc>
          <w:tcPr>
            <w:tcW w:w="1082" w:type="pct"/>
            <w:vMerge/>
            <w:shd w:val="clear" w:color="auto" w:fill="365F91"/>
            <w:vAlign w:val="center"/>
          </w:tcPr>
          <w:p w14:paraId="3346601C"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2DE1EDD0"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654" w:type="pct"/>
            <w:vMerge/>
            <w:vAlign w:val="center"/>
          </w:tcPr>
          <w:p w14:paraId="4F6CFDA8"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p>
        </w:tc>
        <w:tc>
          <w:tcPr>
            <w:tcW w:w="719" w:type="pct"/>
            <w:vAlign w:val="center"/>
          </w:tcPr>
          <w:p w14:paraId="234BFF9B"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60%</w:t>
            </w:r>
          </w:p>
        </w:tc>
        <w:tc>
          <w:tcPr>
            <w:tcW w:w="629" w:type="pct"/>
            <w:shd w:val="clear" w:color="auto" w:fill="auto"/>
            <w:vAlign w:val="center"/>
          </w:tcPr>
          <w:p w14:paraId="3599B487"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2045</w:t>
            </w:r>
          </w:p>
        </w:tc>
      </w:tr>
      <w:tr w:rsidR="00C97DF3" w:rsidRPr="00C97DF3" w14:paraId="47C19866" w14:textId="77777777" w:rsidTr="008F1976">
        <w:trPr>
          <w:trHeight w:val="134"/>
        </w:trPr>
        <w:tc>
          <w:tcPr>
            <w:tcW w:w="1082" w:type="pct"/>
            <w:vMerge/>
            <w:shd w:val="clear" w:color="auto" w:fill="365F91"/>
            <w:vAlign w:val="center"/>
          </w:tcPr>
          <w:p w14:paraId="3775ED8A"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restart"/>
            <w:vAlign w:val="center"/>
          </w:tcPr>
          <w:p w14:paraId="4226883F" w14:textId="0826E61C" w:rsidR="00C97DF3" w:rsidRPr="00C97DF3" w:rsidRDefault="00E30891" w:rsidP="00C97DF3">
            <w:pPr>
              <w:widowControl w:val="0"/>
              <w:autoSpaceDE w:val="0"/>
              <w:autoSpaceDN w:val="0"/>
              <w:ind w:right="165"/>
              <w:rPr>
                <w:rFonts w:ascii="Arial Narrow" w:eastAsia="Calibri" w:hAnsi="Arial Narrow" w:cs="Calibri"/>
                <w:sz w:val="20"/>
                <w:szCs w:val="20"/>
              </w:rPr>
            </w:pPr>
            <w:r w:rsidRPr="00BE2534">
              <w:rPr>
                <w:rFonts w:ascii="Arial Narrow" w:eastAsia="Calibri" w:hAnsi="Arial Narrow" w:cs="Calibri"/>
                <w:sz w:val="20"/>
                <w:szCs w:val="20"/>
                <w:lang w:val="sq-AL"/>
              </w:rPr>
              <w:t>Popullsia që i ofrohen shërbime të grumbullimit të ndarë të mbeturinave</w:t>
            </w:r>
          </w:p>
        </w:tc>
        <w:tc>
          <w:tcPr>
            <w:tcW w:w="654" w:type="pct"/>
            <w:vMerge w:val="restart"/>
            <w:vAlign w:val="center"/>
          </w:tcPr>
          <w:p w14:paraId="5B45ACCE"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p>
          <w:p w14:paraId="1B034576" w14:textId="77777777" w:rsidR="00C97DF3" w:rsidRPr="00C97DF3" w:rsidRDefault="00C97DF3" w:rsidP="00C97DF3">
            <w:pPr>
              <w:widowControl w:val="0"/>
              <w:autoSpaceDE w:val="0"/>
              <w:autoSpaceDN w:val="0"/>
              <w:ind w:left="89"/>
              <w:jc w:val="center"/>
              <w:rPr>
                <w:rFonts w:ascii="Arial Narrow" w:eastAsia="Calibri" w:hAnsi="Arial Narrow" w:cs="Calibri"/>
                <w:sz w:val="20"/>
                <w:szCs w:val="20"/>
              </w:rPr>
            </w:pPr>
            <w:r w:rsidRPr="00C97DF3">
              <w:rPr>
                <w:rFonts w:ascii="Arial Narrow" w:eastAsia="Calibri" w:hAnsi="Arial Narrow" w:cs="Calibri"/>
                <w:sz w:val="20"/>
                <w:szCs w:val="20"/>
              </w:rPr>
              <w:t>0%</w:t>
            </w:r>
          </w:p>
        </w:tc>
        <w:tc>
          <w:tcPr>
            <w:tcW w:w="719" w:type="pct"/>
            <w:vAlign w:val="center"/>
          </w:tcPr>
          <w:p w14:paraId="678C858C"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80%</w:t>
            </w:r>
          </w:p>
        </w:tc>
        <w:tc>
          <w:tcPr>
            <w:tcW w:w="629" w:type="pct"/>
            <w:vAlign w:val="center"/>
          </w:tcPr>
          <w:p w14:paraId="14EC4938"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2030</w:t>
            </w:r>
          </w:p>
        </w:tc>
      </w:tr>
      <w:tr w:rsidR="00C97DF3" w:rsidRPr="00C97DF3" w14:paraId="7077AFA3" w14:textId="77777777" w:rsidTr="008F1976">
        <w:trPr>
          <w:trHeight w:val="188"/>
        </w:trPr>
        <w:tc>
          <w:tcPr>
            <w:tcW w:w="1082" w:type="pct"/>
            <w:vMerge/>
            <w:shd w:val="clear" w:color="auto" w:fill="365F91"/>
            <w:vAlign w:val="center"/>
          </w:tcPr>
          <w:p w14:paraId="69005D97"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4E135035" w14:textId="77777777" w:rsidR="00C97DF3" w:rsidRPr="00C97DF3" w:rsidRDefault="00C97DF3" w:rsidP="00C97DF3">
            <w:pPr>
              <w:widowControl w:val="0"/>
              <w:autoSpaceDE w:val="0"/>
              <w:autoSpaceDN w:val="0"/>
              <w:ind w:left="138" w:right="165"/>
              <w:rPr>
                <w:rFonts w:ascii="Arial Narrow" w:eastAsia="Calibri" w:hAnsi="Arial Narrow" w:cs="Calibri"/>
                <w:sz w:val="20"/>
                <w:szCs w:val="20"/>
              </w:rPr>
            </w:pPr>
          </w:p>
        </w:tc>
        <w:tc>
          <w:tcPr>
            <w:tcW w:w="654" w:type="pct"/>
            <w:vMerge/>
            <w:vAlign w:val="center"/>
          </w:tcPr>
          <w:p w14:paraId="55F8DFBD"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p>
        </w:tc>
        <w:tc>
          <w:tcPr>
            <w:tcW w:w="719" w:type="pct"/>
            <w:vAlign w:val="center"/>
          </w:tcPr>
          <w:p w14:paraId="47AC315F"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90%</w:t>
            </w:r>
          </w:p>
        </w:tc>
        <w:tc>
          <w:tcPr>
            <w:tcW w:w="629" w:type="pct"/>
            <w:vAlign w:val="center"/>
          </w:tcPr>
          <w:p w14:paraId="33EEEFF1"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2035</w:t>
            </w:r>
          </w:p>
        </w:tc>
      </w:tr>
      <w:tr w:rsidR="00C97DF3" w:rsidRPr="00C97DF3" w14:paraId="349BEC3D" w14:textId="77777777" w:rsidTr="008F1976">
        <w:trPr>
          <w:trHeight w:val="251"/>
        </w:trPr>
        <w:tc>
          <w:tcPr>
            <w:tcW w:w="1082" w:type="pct"/>
            <w:vMerge/>
            <w:shd w:val="clear" w:color="auto" w:fill="365F91"/>
            <w:vAlign w:val="center"/>
          </w:tcPr>
          <w:p w14:paraId="3A99FE2C"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40B89E7F" w14:textId="77777777" w:rsidR="00C97DF3" w:rsidRPr="00C97DF3" w:rsidRDefault="00C97DF3" w:rsidP="00C97DF3">
            <w:pPr>
              <w:widowControl w:val="0"/>
              <w:autoSpaceDE w:val="0"/>
              <w:autoSpaceDN w:val="0"/>
              <w:ind w:left="138" w:right="165"/>
              <w:rPr>
                <w:rFonts w:ascii="Arial Narrow" w:eastAsia="Calibri" w:hAnsi="Arial Narrow" w:cs="Calibri"/>
                <w:sz w:val="20"/>
                <w:szCs w:val="20"/>
              </w:rPr>
            </w:pPr>
          </w:p>
        </w:tc>
        <w:tc>
          <w:tcPr>
            <w:tcW w:w="654" w:type="pct"/>
            <w:vMerge/>
            <w:vAlign w:val="center"/>
          </w:tcPr>
          <w:p w14:paraId="05A5570A"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p>
        </w:tc>
        <w:tc>
          <w:tcPr>
            <w:tcW w:w="719" w:type="pct"/>
            <w:vAlign w:val="center"/>
          </w:tcPr>
          <w:p w14:paraId="3308D980"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100%</w:t>
            </w:r>
          </w:p>
        </w:tc>
        <w:tc>
          <w:tcPr>
            <w:tcW w:w="629" w:type="pct"/>
            <w:shd w:val="clear" w:color="auto" w:fill="auto"/>
            <w:vAlign w:val="center"/>
          </w:tcPr>
          <w:p w14:paraId="758CC62F"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2045</w:t>
            </w:r>
          </w:p>
        </w:tc>
      </w:tr>
      <w:tr w:rsidR="00C97DF3" w:rsidRPr="00C97DF3" w14:paraId="3FC6B836" w14:textId="77777777" w:rsidTr="008F1976">
        <w:trPr>
          <w:trHeight w:val="98"/>
        </w:trPr>
        <w:tc>
          <w:tcPr>
            <w:tcW w:w="1082" w:type="pct"/>
            <w:vMerge/>
            <w:shd w:val="clear" w:color="auto" w:fill="365F91"/>
            <w:vAlign w:val="center"/>
          </w:tcPr>
          <w:p w14:paraId="5CC2C10A"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restart"/>
            <w:vAlign w:val="center"/>
          </w:tcPr>
          <w:p w14:paraId="36749784" w14:textId="4A59D81A" w:rsidR="00C97DF3" w:rsidRPr="00C97DF3" w:rsidRDefault="00C97DF3" w:rsidP="00C97DF3">
            <w:pPr>
              <w:widowControl w:val="0"/>
              <w:autoSpaceDE w:val="0"/>
              <w:autoSpaceDN w:val="0"/>
              <w:ind w:right="384"/>
              <w:rPr>
                <w:rFonts w:ascii="Arial Narrow" w:eastAsia="Calibri" w:hAnsi="Arial Narrow" w:cs="Calibri"/>
                <w:sz w:val="20"/>
                <w:szCs w:val="20"/>
              </w:rPr>
            </w:pPr>
            <w:r w:rsidRPr="00C97DF3">
              <w:rPr>
                <w:rFonts w:ascii="Arial Narrow" w:eastAsia="Calibri" w:hAnsi="Arial Narrow" w:cs="Calibri"/>
                <w:sz w:val="20"/>
                <w:szCs w:val="20"/>
              </w:rPr>
              <w:t>Rikuperimi i të gjitha mbet</w:t>
            </w:r>
            <w:r w:rsidR="00E30891">
              <w:rPr>
                <w:rFonts w:ascii="Arial Narrow" w:eastAsia="Calibri" w:hAnsi="Arial Narrow" w:cs="Calibri"/>
                <w:sz w:val="20"/>
                <w:szCs w:val="20"/>
              </w:rPr>
              <w:t>urinave</w:t>
            </w:r>
            <w:r w:rsidRPr="00C97DF3">
              <w:rPr>
                <w:rFonts w:ascii="Arial Narrow" w:eastAsia="Calibri" w:hAnsi="Arial Narrow" w:cs="Calibri"/>
                <w:sz w:val="20"/>
                <w:szCs w:val="20"/>
              </w:rPr>
              <w:t xml:space="preserve"> të </w:t>
            </w:r>
            <w:r w:rsidR="00E30891">
              <w:rPr>
                <w:rFonts w:ascii="Arial Narrow" w:eastAsia="Calibri" w:hAnsi="Arial Narrow" w:cs="Calibri"/>
                <w:sz w:val="20"/>
                <w:szCs w:val="20"/>
              </w:rPr>
              <w:t>ambalazhit</w:t>
            </w:r>
          </w:p>
        </w:tc>
        <w:tc>
          <w:tcPr>
            <w:tcW w:w="654" w:type="pct"/>
            <w:vMerge w:val="restart"/>
            <w:vAlign w:val="center"/>
          </w:tcPr>
          <w:p w14:paraId="31E57899" w14:textId="77777777" w:rsidR="00C97DF3" w:rsidRPr="00C97DF3" w:rsidRDefault="00C97DF3" w:rsidP="00C97DF3">
            <w:pPr>
              <w:widowControl w:val="0"/>
              <w:autoSpaceDE w:val="0"/>
              <w:autoSpaceDN w:val="0"/>
              <w:ind w:left="89"/>
              <w:jc w:val="center"/>
              <w:rPr>
                <w:rFonts w:ascii="Arial Narrow" w:eastAsia="Calibri" w:hAnsi="Arial Narrow" w:cs="Calibri"/>
                <w:sz w:val="20"/>
                <w:szCs w:val="20"/>
              </w:rPr>
            </w:pPr>
            <w:r w:rsidRPr="00C97DF3">
              <w:rPr>
                <w:rFonts w:ascii="Arial Narrow" w:eastAsia="Calibri" w:hAnsi="Arial Narrow" w:cs="Calibri"/>
                <w:sz w:val="20"/>
                <w:szCs w:val="20"/>
              </w:rPr>
              <w:t>&lt;</w:t>
            </w:r>
            <w:r w:rsidRPr="00C97DF3">
              <w:rPr>
                <w:rFonts w:ascii="Arial Narrow" w:eastAsia="Calibri" w:hAnsi="Arial Narrow" w:cs="Calibri"/>
                <w:spacing w:val="-1"/>
                <w:sz w:val="20"/>
                <w:szCs w:val="20"/>
              </w:rPr>
              <w:t xml:space="preserve"> </w:t>
            </w:r>
            <w:r w:rsidRPr="00C97DF3">
              <w:rPr>
                <w:rFonts w:ascii="Arial Narrow" w:eastAsia="Calibri" w:hAnsi="Arial Narrow" w:cs="Calibri"/>
                <w:sz w:val="20"/>
                <w:szCs w:val="20"/>
              </w:rPr>
              <w:t>5%</w:t>
            </w:r>
          </w:p>
        </w:tc>
        <w:tc>
          <w:tcPr>
            <w:tcW w:w="719" w:type="pct"/>
            <w:vAlign w:val="center"/>
          </w:tcPr>
          <w:p w14:paraId="4B5050A9"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45%</w:t>
            </w:r>
          </w:p>
        </w:tc>
        <w:tc>
          <w:tcPr>
            <w:tcW w:w="629" w:type="pct"/>
            <w:vAlign w:val="center"/>
          </w:tcPr>
          <w:p w14:paraId="63333D62"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2028</w:t>
            </w:r>
          </w:p>
        </w:tc>
      </w:tr>
      <w:tr w:rsidR="00C97DF3" w:rsidRPr="00C97DF3" w14:paraId="1D29112D" w14:textId="77777777" w:rsidTr="008F1976">
        <w:trPr>
          <w:trHeight w:val="60"/>
        </w:trPr>
        <w:tc>
          <w:tcPr>
            <w:tcW w:w="1082" w:type="pct"/>
            <w:vMerge/>
            <w:shd w:val="clear" w:color="auto" w:fill="365F91"/>
            <w:vAlign w:val="center"/>
          </w:tcPr>
          <w:p w14:paraId="4595C0C4"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1D10EE2E" w14:textId="77777777" w:rsidR="00C97DF3" w:rsidRPr="00C97DF3" w:rsidRDefault="00C97DF3" w:rsidP="00C97DF3">
            <w:pPr>
              <w:widowControl w:val="0"/>
              <w:autoSpaceDE w:val="0"/>
              <w:autoSpaceDN w:val="0"/>
              <w:ind w:left="138" w:right="384"/>
              <w:rPr>
                <w:rFonts w:ascii="Arial Narrow" w:eastAsia="Calibri" w:hAnsi="Arial Narrow" w:cs="Calibri"/>
                <w:sz w:val="20"/>
                <w:szCs w:val="20"/>
              </w:rPr>
            </w:pPr>
          </w:p>
        </w:tc>
        <w:tc>
          <w:tcPr>
            <w:tcW w:w="654" w:type="pct"/>
            <w:vMerge/>
            <w:vAlign w:val="center"/>
          </w:tcPr>
          <w:p w14:paraId="2D8E1F6C" w14:textId="77777777" w:rsidR="00C97DF3" w:rsidRPr="00C97DF3" w:rsidRDefault="00C97DF3" w:rsidP="00C97DF3">
            <w:pPr>
              <w:widowControl w:val="0"/>
              <w:autoSpaceDE w:val="0"/>
              <w:autoSpaceDN w:val="0"/>
              <w:ind w:left="89"/>
              <w:jc w:val="center"/>
              <w:rPr>
                <w:rFonts w:ascii="Arial Narrow" w:eastAsia="Calibri" w:hAnsi="Arial Narrow" w:cs="Calibri"/>
                <w:sz w:val="20"/>
                <w:szCs w:val="20"/>
              </w:rPr>
            </w:pPr>
          </w:p>
        </w:tc>
        <w:tc>
          <w:tcPr>
            <w:tcW w:w="719" w:type="pct"/>
            <w:vAlign w:val="center"/>
          </w:tcPr>
          <w:p w14:paraId="40583B5D"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60%</w:t>
            </w:r>
          </w:p>
        </w:tc>
        <w:tc>
          <w:tcPr>
            <w:tcW w:w="629" w:type="pct"/>
            <w:vAlign w:val="center"/>
          </w:tcPr>
          <w:p w14:paraId="13EA436B"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2030</w:t>
            </w:r>
          </w:p>
        </w:tc>
      </w:tr>
      <w:tr w:rsidR="00C97DF3" w:rsidRPr="00C97DF3" w14:paraId="6C717775" w14:textId="77777777" w:rsidTr="008F1976">
        <w:trPr>
          <w:trHeight w:val="80"/>
        </w:trPr>
        <w:tc>
          <w:tcPr>
            <w:tcW w:w="1082" w:type="pct"/>
            <w:vMerge/>
            <w:shd w:val="clear" w:color="auto" w:fill="365F91"/>
            <w:vAlign w:val="center"/>
          </w:tcPr>
          <w:p w14:paraId="4B84B2C1"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3CCA73ED" w14:textId="77777777" w:rsidR="00C97DF3" w:rsidRPr="00C97DF3" w:rsidRDefault="00C97DF3" w:rsidP="00C97DF3">
            <w:pPr>
              <w:widowControl w:val="0"/>
              <w:autoSpaceDE w:val="0"/>
              <w:autoSpaceDN w:val="0"/>
              <w:ind w:left="138" w:right="384"/>
              <w:rPr>
                <w:rFonts w:ascii="Arial Narrow" w:eastAsia="Calibri" w:hAnsi="Arial Narrow" w:cs="Calibri"/>
                <w:sz w:val="20"/>
                <w:szCs w:val="20"/>
              </w:rPr>
            </w:pPr>
          </w:p>
        </w:tc>
        <w:tc>
          <w:tcPr>
            <w:tcW w:w="654" w:type="pct"/>
            <w:vMerge/>
            <w:vAlign w:val="center"/>
          </w:tcPr>
          <w:p w14:paraId="3DCE0E75" w14:textId="77777777" w:rsidR="00C97DF3" w:rsidRPr="00C97DF3" w:rsidRDefault="00C97DF3" w:rsidP="00C97DF3">
            <w:pPr>
              <w:widowControl w:val="0"/>
              <w:autoSpaceDE w:val="0"/>
              <w:autoSpaceDN w:val="0"/>
              <w:ind w:left="89"/>
              <w:jc w:val="center"/>
              <w:rPr>
                <w:rFonts w:ascii="Arial Narrow" w:eastAsia="Calibri" w:hAnsi="Arial Narrow" w:cs="Calibri"/>
                <w:sz w:val="20"/>
                <w:szCs w:val="20"/>
              </w:rPr>
            </w:pPr>
          </w:p>
        </w:tc>
        <w:tc>
          <w:tcPr>
            <w:tcW w:w="719" w:type="pct"/>
            <w:vAlign w:val="center"/>
          </w:tcPr>
          <w:p w14:paraId="250D83A9"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70%</w:t>
            </w:r>
          </w:p>
        </w:tc>
        <w:tc>
          <w:tcPr>
            <w:tcW w:w="629" w:type="pct"/>
            <w:vAlign w:val="center"/>
          </w:tcPr>
          <w:p w14:paraId="1280A61E"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2035</w:t>
            </w:r>
          </w:p>
        </w:tc>
      </w:tr>
      <w:tr w:rsidR="00C97DF3" w:rsidRPr="00C97DF3" w14:paraId="7D12169B" w14:textId="77777777" w:rsidTr="008F1976">
        <w:trPr>
          <w:trHeight w:val="224"/>
        </w:trPr>
        <w:tc>
          <w:tcPr>
            <w:tcW w:w="1082" w:type="pct"/>
            <w:vMerge/>
            <w:shd w:val="clear" w:color="auto" w:fill="365F91"/>
            <w:vAlign w:val="center"/>
          </w:tcPr>
          <w:p w14:paraId="5800A3EF"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Align w:val="center"/>
          </w:tcPr>
          <w:p w14:paraId="2B9DFF56" w14:textId="7BD5A69C" w:rsidR="00C97DF3" w:rsidRPr="00C97DF3" w:rsidRDefault="00C97DF3" w:rsidP="00C97DF3">
            <w:pPr>
              <w:rPr>
                <w:rFonts w:ascii="Arial Narrow" w:eastAsia="Calibri" w:hAnsi="Arial Narrow" w:cs="Arial"/>
                <w:sz w:val="20"/>
                <w:szCs w:val="20"/>
              </w:rPr>
            </w:pPr>
            <w:r w:rsidRPr="00C97DF3">
              <w:rPr>
                <w:rFonts w:ascii="Arial Narrow" w:eastAsia="Calibri" w:hAnsi="Arial Narrow" w:cs="Arial"/>
                <w:sz w:val="20"/>
                <w:szCs w:val="20"/>
              </w:rPr>
              <w:t>Riciklimi i të gjitha mbet</w:t>
            </w:r>
            <w:r w:rsidR="00E30891">
              <w:rPr>
                <w:rFonts w:ascii="Arial Narrow" w:eastAsia="Calibri" w:hAnsi="Arial Narrow" w:cs="Arial"/>
                <w:sz w:val="20"/>
                <w:szCs w:val="20"/>
              </w:rPr>
              <w:t>urinave</w:t>
            </w:r>
            <w:r w:rsidRPr="00C97DF3">
              <w:rPr>
                <w:rFonts w:ascii="Arial Narrow" w:eastAsia="Calibri" w:hAnsi="Arial Narrow" w:cs="Arial"/>
                <w:sz w:val="20"/>
                <w:szCs w:val="20"/>
              </w:rPr>
              <w:t xml:space="preserve"> të </w:t>
            </w:r>
            <w:r w:rsidR="00E30891">
              <w:rPr>
                <w:rFonts w:ascii="Arial Narrow" w:eastAsia="Calibri" w:hAnsi="Arial Narrow" w:cs="Arial"/>
                <w:sz w:val="20"/>
                <w:szCs w:val="20"/>
              </w:rPr>
              <w:t>ambalazhit</w:t>
            </w:r>
            <w:r w:rsidRPr="00C97DF3">
              <w:rPr>
                <w:rFonts w:ascii="Arial Narrow" w:eastAsia="Calibri" w:hAnsi="Arial Narrow" w:cs="Arial"/>
                <w:sz w:val="20"/>
                <w:szCs w:val="20"/>
              </w:rPr>
              <w:t>, përfshirë:</w:t>
            </w:r>
          </w:p>
        </w:tc>
        <w:tc>
          <w:tcPr>
            <w:tcW w:w="654" w:type="pct"/>
            <w:vAlign w:val="center"/>
          </w:tcPr>
          <w:p w14:paraId="67595537" w14:textId="77777777" w:rsidR="00C97DF3" w:rsidRPr="00C97DF3" w:rsidRDefault="00C97DF3" w:rsidP="00C97DF3">
            <w:pPr>
              <w:widowControl w:val="0"/>
              <w:autoSpaceDE w:val="0"/>
              <w:autoSpaceDN w:val="0"/>
              <w:ind w:left="89"/>
              <w:jc w:val="center"/>
              <w:rPr>
                <w:rFonts w:ascii="Arial Narrow" w:eastAsia="Calibri" w:hAnsi="Arial Narrow" w:cs="Calibri"/>
                <w:sz w:val="20"/>
                <w:szCs w:val="20"/>
              </w:rPr>
            </w:pPr>
          </w:p>
        </w:tc>
        <w:tc>
          <w:tcPr>
            <w:tcW w:w="719" w:type="pct"/>
            <w:vAlign w:val="center"/>
          </w:tcPr>
          <w:p w14:paraId="69270A0D" w14:textId="77777777" w:rsidR="00C97DF3" w:rsidRPr="00C97DF3" w:rsidRDefault="00C97DF3" w:rsidP="00C97DF3">
            <w:pPr>
              <w:jc w:val="center"/>
              <w:rPr>
                <w:rFonts w:ascii="Arial Narrow" w:eastAsia="Calibri" w:hAnsi="Arial Narrow" w:cs="Calibri"/>
                <w:sz w:val="20"/>
                <w:szCs w:val="20"/>
              </w:rPr>
            </w:pPr>
          </w:p>
        </w:tc>
        <w:tc>
          <w:tcPr>
            <w:tcW w:w="629" w:type="pct"/>
            <w:vAlign w:val="center"/>
          </w:tcPr>
          <w:p w14:paraId="19B98438" w14:textId="77777777" w:rsidR="00C97DF3" w:rsidRPr="00C97DF3" w:rsidRDefault="00C97DF3" w:rsidP="00C97DF3">
            <w:pPr>
              <w:jc w:val="right"/>
              <w:rPr>
                <w:rFonts w:ascii="Arial Narrow" w:eastAsia="Calibri" w:hAnsi="Arial Narrow" w:cs="Calibri"/>
                <w:sz w:val="20"/>
                <w:szCs w:val="20"/>
              </w:rPr>
            </w:pPr>
          </w:p>
        </w:tc>
      </w:tr>
      <w:tr w:rsidR="00C97DF3" w:rsidRPr="00C97DF3" w14:paraId="513894BC" w14:textId="77777777" w:rsidTr="008F1976">
        <w:trPr>
          <w:trHeight w:val="60"/>
        </w:trPr>
        <w:tc>
          <w:tcPr>
            <w:tcW w:w="1082" w:type="pct"/>
            <w:vMerge/>
            <w:shd w:val="clear" w:color="auto" w:fill="365F91"/>
            <w:vAlign w:val="center"/>
          </w:tcPr>
          <w:p w14:paraId="39FA3657"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restart"/>
            <w:vAlign w:val="center"/>
          </w:tcPr>
          <w:p w14:paraId="4F036F29" w14:textId="77777777" w:rsidR="00C97DF3" w:rsidRPr="00C97DF3" w:rsidRDefault="00C97DF3" w:rsidP="00E30891">
            <w:pPr>
              <w:widowControl w:val="0"/>
              <w:autoSpaceDE w:val="0"/>
              <w:autoSpaceDN w:val="0"/>
              <w:ind w:left="138" w:right="106"/>
              <w:jc w:val="right"/>
              <w:rPr>
                <w:rFonts w:ascii="Arial Narrow" w:eastAsia="Calibri" w:hAnsi="Arial Narrow" w:cs="Calibri"/>
                <w:i/>
                <w:iCs/>
                <w:sz w:val="20"/>
                <w:szCs w:val="20"/>
              </w:rPr>
            </w:pPr>
            <w:r w:rsidRPr="00C97DF3">
              <w:rPr>
                <w:rFonts w:ascii="Arial Narrow" w:hAnsi="Arial Narrow" w:cs="Calibri"/>
                <w:i/>
                <w:iCs/>
                <w:sz w:val="20"/>
                <w:szCs w:val="20"/>
              </w:rPr>
              <w:t>Plastikë</w:t>
            </w:r>
          </w:p>
        </w:tc>
        <w:tc>
          <w:tcPr>
            <w:tcW w:w="654" w:type="pct"/>
            <w:vMerge w:val="restart"/>
            <w:vAlign w:val="center"/>
          </w:tcPr>
          <w:p w14:paraId="51CC63A4" w14:textId="77777777" w:rsidR="00C97DF3" w:rsidRPr="00C97DF3" w:rsidRDefault="00C97DF3" w:rsidP="00C97DF3">
            <w:pPr>
              <w:widowControl w:val="0"/>
              <w:autoSpaceDE w:val="0"/>
              <w:autoSpaceDN w:val="0"/>
              <w:ind w:left="89"/>
              <w:jc w:val="center"/>
              <w:rPr>
                <w:rFonts w:ascii="Arial Narrow" w:eastAsia="Calibri" w:hAnsi="Arial Narrow" w:cs="Calibri"/>
                <w:sz w:val="20"/>
                <w:szCs w:val="20"/>
              </w:rPr>
            </w:pPr>
            <w:r w:rsidRPr="00C97DF3">
              <w:rPr>
                <w:rFonts w:ascii="Arial Narrow" w:eastAsia="Calibri" w:hAnsi="Arial Narrow" w:cs="Calibri"/>
                <w:sz w:val="20"/>
                <w:szCs w:val="20"/>
              </w:rPr>
              <w:t>&lt;</w:t>
            </w:r>
            <w:r w:rsidRPr="00C97DF3">
              <w:rPr>
                <w:rFonts w:ascii="Arial Narrow" w:eastAsia="Calibri" w:hAnsi="Arial Narrow" w:cs="Calibri"/>
                <w:spacing w:val="-1"/>
                <w:sz w:val="20"/>
                <w:szCs w:val="20"/>
              </w:rPr>
              <w:t xml:space="preserve"> </w:t>
            </w:r>
            <w:r w:rsidRPr="00C97DF3">
              <w:rPr>
                <w:rFonts w:ascii="Arial Narrow" w:eastAsia="Calibri" w:hAnsi="Arial Narrow" w:cs="Calibri"/>
                <w:sz w:val="20"/>
                <w:szCs w:val="20"/>
              </w:rPr>
              <w:t>5%</w:t>
            </w:r>
          </w:p>
        </w:tc>
        <w:tc>
          <w:tcPr>
            <w:tcW w:w="719" w:type="pct"/>
          </w:tcPr>
          <w:p w14:paraId="29176C10"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22.5%</w:t>
            </w:r>
          </w:p>
        </w:tc>
        <w:tc>
          <w:tcPr>
            <w:tcW w:w="629" w:type="pct"/>
            <w:vAlign w:val="center"/>
          </w:tcPr>
          <w:p w14:paraId="0299615B"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2028</w:t>
            </w:r>
          </w:p>
        </w:tc>
      </w:tr>
      <w:tr w:rsidR="00C97DF3" w:rsidRPr="00C97DF3" w14:paraId="393B24A0" w14:textId="77777777" w:rsidTr="008F1976">
        <w:trPr>
          <w:trHeight w:val="60"/>
        </w:trPr>
        <w:tc>
          <w:tcPr>
            <w:tcW w:w="1082" w:type="pct"/>
            <w:vMerge/>
            <w:shd w:val="clear" w:color="auto" w:fill="365F91"/>
            <w:vAlign w:val="center"/>
          </w:tcPr>
          <w:p w14:paraId="02AEBE61"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04CA3DB3" w14:textId="77777777" w:rsidR="00C97DF3" w:rsidRPr="00C97DF3" w:rsidRDefault="00C97DF3" w:rsidP="00C97DF3">
            <w:pPr>
              <w:widowControl w:val="0"/>
              <w:autoSpaceDE w:val="0"/>
              <w:autoSpaceDN w:val="0"/>
              <w:ind w:left="138" w:right="106"/>
              <w:jc w:val="center"/>
              <w:rPr>
                <w:rFonts w:ascii="Arial Narrow" w:hAnsi="Arial Narrow" w:cs="Calibri"/>
                <w:i/>
                <w:iCs/>
                <w:sz w:val="20"/>
                <w:szCs w:val="20"/>
              </w:rPr>
            </w:pPr>
          </w:p>
        </w:tc>
        <w:tc>
          <w:tcPr>
            <w:tcW w:w="654" w:type="pct"/>
            <w:vMerge/>
            <w:vAlign w:val="center"/>
          </w:tcPr>
          <w:p w14:paraId="5DADA0D1" w14:textId="77777777" w:rsidR="00C97DF3" w:rsidRPr="00C97DF3" w:rsidRDefault="00C97DF3" w:rsidP="00C97DF3">
            <w:pPr>
              <w:widowControl w:val="0"/>
              <w:autoSpaceDE w:val="0"/>
              <w:autoSpaceDN w:val="0"/>
              <w:ind w:left="89"/>
              <w:jc w:val="center"/>
              <w:rPr>
                <w:rFonts w:ascii="Arial Narrow" w:eastAsia="Calibri" w:hAnsi="Arial Narrow" w:cs="Calibri"/>
                <w:sz w:val="20"/>
                <w:szCs w:val="20"/>
              </w:rPr>
            </w:pPr>
          </w:p>
        </w:tc>
        <w:tc>
          <w:tcPr>
            <w:tcW w:w="719" w:type="pct"/>
          </w:tcPr>
          <w:p w14:paraId="68FF69E0"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30%</w:t>
            </w:r>
          </w:p>
        </w:tc>
        <w:tc>
          <w:tcPr>
            <w:tcW w:w="629" w:type="pct"/>
            <w:vAlign w:val="center"/>
          </w:tcPr>
          <w:p w14:paraId="298D9FE0"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2030</w:t>
            </w:r>
          </w:p>
        </w:tc>
      </w:tr>
      <w:tr w:rsidR="00C97DF3" w:rsidRPr="00C97DF3" w14:paraId="245A27D9" w14:textId="77777777" w:rsidTr="008F1976">
        <w:trPr>
          <w:trHeight w:val="60"/>
        </w:trPr>
        <w:tc>
          <w:tcPr>
            <w:tcW w:w="1082" w:type="pct"/>
            <w:vMerge/>
            <w:shd w:val="clear" w:color="auto" w:fill="365F91"/>
            <w:vAlign w:val="center"/>
          </w:tcPr>
          <w:p w14:paraId="2CF8D635"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613E7F0D" w14:textId="77777777" w:rsidR="00C97DF3" w:rsidRPr="00C97DF3" w:rsidRDefault="00C97DF3" w:rsidP="00C97DF3">
            <w:pPr>
              <w:widowControl w:val="0"/>
              <w:autoSpaceDE w:val="0"/>
              <w:autoSpaceDN w:val="0"/>
              <w:ind w:left="138" w:right="106"/>
              <w:jc w:val="center"/>
              <w:rPr>
                <w:rFonts w:ascii="Arial Narrow" w:hAnsi="Arial Narrow" w:cs="Calibri"/>
                <w:i/>
                <w:iCs/>
                <w:sz w:val="20"/>
                <w:szCs w:val="20"/>
              </w:rPr>
            </w:pPr>
          </w:p>
        </w:tc>
        <w:tc>
          <w:tcPr>
            <w:tcW w:w="654" w:type="pct"/>
            <w:vMerge/>
            <w:vAlign w:val="center"/>
          </w:tcPr>
          <w:p w14:paraId="359D00B9" w14:textId="77777777" w:rsidR="00C97DF3" w:rsidRPr="00C97DF3" w:rsidRDefault="00C97DF3" w:rsidP="00C97DF3">
            <w:pPr>
              <w:widowControl w:val="0"/>
              <w:autoSpaceDE w:val="0"/>
              <w:autoSpaceDN w:val="0"/>
              <w:ind w:left="89"/>
              <w:jc w:val="center"/>
              <w:rPr>
                <w:rFonts w:ascii="Arial Narrow" w:eastAsia="Calibri" w:hAnsi="Arial Narrow" w:cs="Calibri"/>
                <w:sz w:val="20"/>
                <w:szCs w:val="20"/>
              </w:rPr>
            </w:pPr>
          </w:p>
        </w:tc>
        <w:tc>
          <w:tcPr>
            <w:tcW w:w="719" w:type="pct"/>
          </w:tcPr>
          <w:p w14:paraId="63317B5E"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50%</w:t>
            </w:r>
          </w:p>
        </w:tc>
        <w:tc>
          <w:tcPr>
            <w:tcW w:w="629" w:type="pct"/>
            <w:vAlign w:val="center"/>
          </w:tcPr>
          <w:p w14:paraId="7C56ADE5"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2035</w:t>
            </w:r>
          </w:p>
        </w:tc>
      </w:tr>
      <w:tr w:rsidR="00C97DF3" w:rsidRPr="00C97DF3" w14:paraId="6D30F9C3" w14:textId="77777777" w:rsidTr="008F1976">
        <w:trPr>
          <w:trHeight w:val="60"/>
        </w:trPr>
        <w:tc>
          <w:tcPr>
            <w:tcW w:w="1082" w:type="pct"/>
            <w:vMerge/>
            <w:shd w:val="clear" w:color="auto" w:fill="365F91"/>
            <w:vAlign w:val="center"/>
          </w:tcPr>
          <w:p w14:paraId="31B77AD6"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restart"/>
            <w:vAlign w:val="center"/>
          </w:tcPr>
          <w:p w14:paraId="66F036C3" w14:textId="77777777" w:rsidR="00C97DF3" w:rsidRPr="00C97DF3" w:rsidRDefault="00C97DF3" w:rsidP="00C97DF3">
            <w:pPr>
              <w:widowControl w:val="0"/>
              <w:autoSpaceDE w:val="0"/>
              <w:autoSpaceDN w:val="0"/>
              <w:ind w:left="138" w:right="264"/>
              <w:jc w:val="right"/>
              <w:rPr>
                <w:rFonts w:ascii="Arial Narrow" w:eastAsia="Calibri" w:hAnsi="Arial Narrow" w:cs="Calibri"/>
                <w:i/>
                <w:iCs/>
                <w:sz w:val="20"/>
                <w:szCs w:val="20"/>
              </w:rPr>
            </w:pPr>
            <w:r w:rsidRPr="00C97DF3">
              <w:rPr>
                <w:rFonts w:ascii="Arial Narrow" w:hAnsi="Arial Narrow" w:cs="Calibri"/>
                <w:i/>
                <w:iCs/>
                <w:sz w:val="20"/>
                <w:szCs w:val="20"/>
              </w:rPr>
              <w:t>Letër dhe karton</w:t>
            </w:r>
          </w:p>
        </w:tc>
        <w:tc>
          <w:tcPr>
            <w:tcW w:w="654" w:type="pct"/>
            <w:vMerge w:val="restart"/>
            <w:vAlign w:val="center"/>
          </w:tcPr>
          <w:p w14:paraId="2871BA92" w14:textId="77777777" w:rsidR="00C97DF3" w:rsidRPr="00C97DF3" w:rsidRDefault="00C97DF3" w:rsidP="00C97DF3">
            <w:pPr>
              <w:widowControl w:val="0"/>
              <w:autoSpaceDE w:val="0"/>
              <w:autoSpaceDN w:val="0"/>
              <w:ind w:left="89"/>
              <w:jc w:val="center"/>
              <w:rPr>
                <w:rFonts w:ascii="Arial Narrow" w:eastAsia="Calibri" w:hAnsi="Arial Narrow" w:cs="Calibri"/>
                <w:sz w:val="20"/>
                <w:szCs w:val="20"/>
              </w:rPr>
            </w:pPr>
            <w:r w:rsidRPr="00C97DF3">
              <w:rPr>
                <w:rFonts w:ascii="Arial Narrow" w:eastAsia="Calibri" w:hAnsi="Arial Narrow" w:cs="Calibri"/>
                <w:sz w:val="20"/>
                <w:szCs w:val="20"/>
              </w:rPr>
              <w:t>&lt;</w:t>
            </w:r>
            <w:r w:rsidRPr="00C97DF3">
              <w:rPr>
                <w:rFonts w:ascii="Arial Narrow" w:eastAsia="Calibri" w:hAnsi="Arial Narrow" w:cs="Calibri"/>
                <w:spacing w:val="-1"/>
                <w:sz w:val="20"/>
                <w:szCs w:val="20"/>
              </w:rPr>
              <w:t xml:space="preserve"> </w:t>
            </w:r>
            <w:r w:rsidRPr="00C97DF3">
              <w:rPr>
                <w:rFonts w:ascii="Arial Narrow" w:eastAsia="Calibri" w:hAnsi="Arial Narrow" w:cs="Calibri"/>
                <w:sz w:val="20"/>
                <w:szCs w:val="20"/>
              </w:rPr>
              <w:t>5%</w:t>
            </w:r>
          </w:p>
        </w:tc>
        <w:tc>
          <w:tcPr>
            <w:tcW w:w="719" w:type="pct"/>
          </w:tcPr>
          <w:p w14:paraId="2E0F43D0"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60%</w:t>
            </w:r>
          </w:p>
        </w:tc>
        <w:tc>
          <w:tcPr>
            <w:tcW w:w="629" w:type="pct"/>
            <w:vAlign w:val="center"/>
          </w:tcPr>
          <w:p w14:paraId="1AA95510"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2028</w:t>
            </w:r>
          </w:p>
        </w:tc>
      </w:tr>
      <w:tr w:rsidR="00C97DF3" w:rsidRPr="00C97DF3" w14:paraId="4A792FC2" w14:textId="77777777" w:rsidTr="008F1976">
        <w:trPr>
          <w:trHeight w:val="60"/>
        </w:trPr>
        <w:tc>
          <w:tcPr>
            <w:tcW w:w="1082" w:type="pct"/>
            <w:vMerge/>
            <w:shd w:val="clear" w:color="auto" w:fill="365F91"/>
            <w:vAlign w:val="center"/>
          </w:tcPr>
          <w:p w14:paraId="0AEA9B77"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655ACDD0" w14:textId="77777777" w:rsidR="00C97DF3" w:rsidRPr="00C97DF3" w:rsidRDefault="00C97DF3" w:rsidP="00C97DF3">
            <w:pPr>
              <w:widowControl w:val="0"/>
              <w:autoSpaceDE w:val="0"/>
              <w:autoSpaceDN w:val="0"/>
              <w:ind w:left="138" w:right="264"/>
              <w:jc w:val="right"/>
              <w:rPr>
                <w:rFonts w:ascii="Arial Narrow" w:hAnsi="Arial Narrow" w:cs="Calibri"/>
                <w:i/>
                <w:iCs/>
                <w:sz w:val="20"/>
                <w:szCs w:val="20"/>
              </w:rPr>
            </w:pPr>
          </w:p>
        </w:tc>
        <w:tc>
          <w:tcPr>
            <w:tcW w:w="654" w:type="pct"/>
            <w:vMerge/>
            <w:vAlign w:val="center"/>
          </w:tcPr>
          <w:p w14:paraId="67969D7F" w14:textId="77777777" w:rsidR="00C97DF3" w:rsidRPr="00C97DF3" w:rsidRDefault="00C97DF3" w:rsidP="00C97DF3">
            <w:pPr>
              <w:widowControl w:val="0"/>
              <w:autoSpaceDE w:val="0"/>
              <w:autoSpaceDN w:val="0"/>
              <w:ind w:left="89"/>
              <w:jc w:val="center"/>
              <w:rPr>
                <w:rFonts w:ascii="Arial Narrow" w:eastAsia="Calibri" w:hAnsi="Arial Narrow" w:cs="Calibri"/>
                <w:sz w:val="20"/>
                <w:szCs w:val="20"/>
              </w:rPr>
            </w:pPr>
          </w:p>
        </w:tc>
        <w:tc>
          <w:tcPr>
            <w:tcW w:w="719" w:type="pct"/>
          </w:tcPr>
          <w:p w14:paraId="1824F16C"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70%</w:t>
            </w:r>
          </w:p>
        </w:tc>
        <w:tc>
          <w:tcPr>
            <w:tcW w:w="629" w:type="pct"/>
            <w:vAlign w:val="center"/>
          </w:tcPr>
          <w:p w14:paraId="5C4E7F5E"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2030</w:t>
            </w:r>
          </w:p>
        </w:tc>
      </w:tr>
      <w:tr w:rsidR="00C97DF3" w:rsidRPr="00C97DF3" w14:paraId="69A4AE43" w14:textId="77777777" w:rsidTr="008F1976">
        <w:trPr>
          <w:trHeight w:val="60"/>
        </w:trPr>
        <w:tc>
          <w:tcPr>
            <w:tcW w:w="1082" w:type="pct"/>
            <w:vMerge/>
            <w:shd w:val="clear" w:color="auto" w:fill="365F91"/>
            <w:vAlign w:val="center"/>
          </w:tcPr>
          <w:p w14:paraId="262A13EC"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374B1489" w14:textId="77777777" w:rsidR="00C97DF3" w:rsidRPr="00C97DF3" w:rsidRDefault="00C97DF3" w:rsidP="00C97DF3">
            <w:pPr>
              <w:widowControl w:val="0"/>
              <w:autoSpaceDE w:val="0"/>
              <w:autoSpaceDN w:val="0"/>
              <w:ind w:left="138" w:right="264"/>
              <w:jc w:val="right"/>
              <w:rPr>
                <w:rFonts w:ascii="Arial Narrow" w:hAnsi="Arial Narrow" w:cs="Calibri"/>
                <w:i/>
                <w:iCs/>
                <w:sz w:val="20"/>
                <w:szCs w:val="20"/>
              </w:rPr>
            </w:pPr>
          </w:p>
        </w:tc>
        <w:tc>
          <w:tcPr>
            <w:tcW w:w="654" w:type="pct"/>
            <w:vMerge/>
            <w:vAlign w:val="center"/>
          </w:tcPr>
          <w:p w14:paraId="565F9067" w14:textId="77777777" w:rsidR="00C97DF3" w:rsidRPr="00C97DF3" w:rsidRDefault="00C97DF3" w:rsidP="00C97DF3">
            <w:pPr>
              <w:widowControl w:val="0"/>
              <w:autoSpaceDE w:val="0"/>
              <w:autoSpaceDN w:val="0"/>
              <w:ind w:left="89"/>
              <w:jc w:val="center"/>
              <w:rPr>
                <w:rFonts w:ascii="Arial Narrow" w:eastAsia="Calibri" w:hAnsi="Arial Narrow" w:cs="Calibri"/>
                <w:sz w:val="20"/>
                <w:szCs w:val="20"/>
              </w:rPr>
            </w:pPr>
          </w:p>
        </w:tc>
        <w:tc>
          <w:tcPr>
            <w:tcW w:w="719" w:type="pct"/>
          </w:tcPr>
          <w:p w14:paraId="2B33A7F2"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75%</w:t>
            </w:r>
          </w:p>
        </w:tc>
        <w:tc>
          <w:tcPr>
            <w:tcW w:w="629" w:type="pct"/>
            <w:vAlign w:val="center"/>
          </w:tcPr>
          <w:p w14:paraId="77BEB14C"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2035</w:t>
            </w:r>
          </w:p>
        </w:tc>
      </w:tr>
      <w:tr w:rsidR="00C97DF3" w:rsidRPr="00C97DF3" w14:paraId="58460A36" w14:textId="77777777" w:rsidTr="008F1976">
        <w:trPr>
          <w:trHeight w:val="60"/>
        </w:trPr>
        <w:tc>
          <w:tcPr>
            <w:tcW w:w="1082" w:type="pct"/>
            <w:vMerge/>
            <w:shd w:val="clear" w:color="auto" w:fill="365F91"/>
            <w:vAlign w:val="center"/>
          </w:tcPr>
          <w:p w14:paraId="6DBE31B4"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restart"/>
            <w:vAlign w:val="center"/>
          </w:tcPr>
          <w:p w14:paraId="3485BFC7" w14:textId="77777777" w:rsidR="00C97DF3" w:rsidRPr="00C97DF3" w:rsidRDefault="00C97DF3" w:rsidP="00C97DF3">
            <w:pPr>
              <w:widowControl w:val="0"/>
              <w:autoSpaceDE w:val="0"/>
              <w:autoSpaceDN w:val="0"/>
              <w:ind w:left="138" w:right="264"/>
              <w:jc w:val="right"/>
              <w:rPr>
                <w:rFonts w:ascii="Arial Narrow" w:eastAsia="Calibri" w:hAnsi="Arial Narrow" w:cs="Calibri"/>
                <w:i/>
                <w:iCs/>
                <w:sz w:val="20"/>
                <w:szCs w:val="20"/>
              </w:rPr>
            </w:pPr>
            <w:r w:rsidRPr="00C97DF3">
              <w:rPr>
                <w:rFonts w:ascii="Arial Narrow" w:hAnsi="Arial Narrow" w:cs="Calibri"/>
                <w:i/>
                <w:iCs/>
                <w:sz w:val="20"/>
                <w:szCs w:val="20"/>
              </w:rPr>
              <w:t>Qelqi</w:t>
            </w:r>
          </w:p>
        </w:tc>
        <w:tc>
          <w:tcPr>
            <w:tcW w:w="654" w:type="pct"/>
            <w:vMerge w:val="restart"/>
            <w:vAlign w:val="center"/>
          </w:tcPr>
          <w:p w14:paraId="0A1AF2AA"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r w:rsidRPr="00C97DF3">
              <w:rPr>
                <w:rFonts w:ascii="Arial Narrow" w:eastAsia="Calibri" w:hAnsi="Arial Narrow" w:cs="Calibri"/>
                <w:sz w:val="20"/>
                <w:szCs w:val="20"/>
              </w:rPr>
              <w:t>&lt;</w:t>
            </w:r>
            <w:r w:rsidRPr="00C97DF3">
              <w:rPr>
                <w:rFonts w:ascii="Arial Narrow" w:eastAsia="Calibri" w:hAnsi="Arial Narrow" w:cs="Calibri"/>
                <w:spacing w:val="-1"/>
                <w:sz w:val="20"/>
                <w:szCs w:val="20"/>
              </w:rPr>
              <w:t xml:space="preserve"> </w:t>
            </w:r>
            <w:r w:rsidRPr="00C97DF3">
              <w:rPr>
                <w:rFonts w:ascii="Arial Narrow" w:eastAsia="Calibri" w:hAnsi="Arial Narrow" w:cs="Calibri"/>
                <w:sz w:val="20"/>
                <w:szCs w:val="20"/>
              </w:rPr>
              <w:t>5%</w:t>
            </w:r>
          </w:p>
        </w:tc>
        <w:tc>
          <w:tcPr>
            <w:tcW w:w="719" w:type="pct"/>
            <w:vAlign w:val="center"/>
          </w:tcPr>
          <w:p w14:paraId="46DC0E2B"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30%</w:t>
            </w:r>
          </w:p>
        </w:tc>
        <w:tc>
          <w:tcPr>
            <w:tcW w:w="629" w:type="pct"/>
            <w:vAlign w:val="center"/>
          </w:tcPr>
          <w:p w14:paraId="03185A1F"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2028</w:t>
            </w:r>
          </w:p>
        </w:tc>
      </w:tr>
      <w:tr w:rsidR="00C97DF3" w:rsidRPr="00C97DF3" w14:paraId="78E5A9E6" w14:textId="77777777" w:rsidTr="008F1976">
        <w:trPr>
          <w:trHeight w:val="60"/>
        </w:trPr>
        <w:tc>
          <w:tcPr>
            <w:tcW w:w="1082" w:type="pct"/>
            <w:vMerge/>
            <w:shd w:val="clear" w:color="auto" w:fill="365F91"/>
            <w:vAlign w:val="center"/>
          </w:tcPr>
          <w:p w14:paraId="1202A73E"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0AD6B60A" w14:textId="77777777" w:rsidR="00C97DF3" w:rsidRPr="00C97DF3" w:rsidRDefault="00C97DF3" w:rsidP="00C97DF3">
            <w:pPr>
              <w:widowControl w:val="0"/>
              <w:autoSpaceDE w:val="0"/>
              <w:autoSpaceDN w:val="0"/>
              <w:ind w:left="138" w:right="264"/>
              <w:jc w:val="right"/>
              <w:rPr>
                <w:rFonts w:ascii="Arial Narrow" w:hAnsi="Arial Narrow" w:cs="Calibri"/>
                <w:i/>
                <w:iCs/>
                <w:sz w:val="20"/>
                <w:szCs w:val="20"/>
              </w:rPr>
            </w:pPr>
          </w:p>
        </w:tc>
        <w:tc>
          <w:tcPr>
            <w:tcW w:w="654" w:type="pct"/>
            <w:vMerge/>
            <w:vAlign w:val="center"/>
          </w:tcPr>
          <w:p w14:paraId="6A12602B"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p>
        </w:tc>
        <w:tc>
          <w:tcPr>
            <w:tcW w:w="719" w:type="pct"/>
          </w:tcPr>
          <w:p w14:paraId="5E0036D9"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50%</w:t>
            </w:r>
          </w:p>
        </w:tc>
        <w:tc>
          <w:tcPr>
            <w:tcW w:w="629" w:type="pct"/>
            <w:vAlign w:val="center"/>
          </w:tcPr>
          <w:p w14:paraId="49450BE2"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2030</w:t>
            </w:r>
          </w:p>
        </w:tc>
      </w:tr>
      <w:tr w:rsidR="00C97DF3" w:rsidRPr="00C97DF3" w14:paraId="0E00294B" w14:textId="77777777" w:rsidTr="008F1976">
        <w:trPr>
          <w:trHeight w:val="60"/>
        </w:trPr>
        <w:tc>
          <w:tcPr>
            <w:tcW w:w="1082" w:type="pct"/>
            <w:vMerge/>
            <w:shd w:val="clear" w:color="auto" w:fill="365F91"/>
            <w:vAlign w:val="center"/>
          </w:tcPr>
          <w:p w14:paraId="1DB3E3BA"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19342420" w14:textId="77777777" w:rsidR="00C97DF3" w:rsidRPr="00C97DF3" w:rsidRDefault="00C97DF3" w:rsidP="00C97DF3">
            <w:pPr>
              <w:widowControl w:val="0"/>
              <w:autoSpaceDE w:val="0"/>
              <w:autoSpaceDN w:val="0"/>
              <w:ind w:left="138" w:right="264"/>
              <w:jc w:val="right"/>
              <w:rPr>
                <w:rFonts w:ascii="Arial Narrow" w:hAnsi="Arial Narrow" w:cs="Calibri"/>
                <w:i/>
                <w:iCs/>
                <w:sz w:val="20"/>
                <w:szCs w:val="20"/>
              </w:rPr>
            </w:pPr>
          </w:p>
        </w:tc>
        <w:tc>
          <w:tcPr>
            <w:tcW w:w="654" w:type="pct"/>
            <w:vMerge/>
            <w:vAlign w:val="center"/>
          </w:tcPr>
          <w:p w14:paraId="005A9308"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p>
        </w:tc>
        <w:tc>
          <w:tcPr>
            <w:tcW w:w="719" w:type="pct"/>
          </w:tcPr>
          <w:p w14:paraId="2DC73E3F"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70%</w:t>
            </w:r>
          </w:p>
        </w:tc>
        <w:tc>
          <w:tcPr>
            <w:tcW w:w="629" w:type="pct"/>
            <w:vAlign w:val="center"/>
          </w:tcPr>
          <w:p w14:paraId="4FABD466"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2035</w:t>
            </w:r>
          </w:p>
        </w:tc>
      </w:tr>
      <w:tr w:rsidR="00C97DF3" w:rsidRPr="00C97DF3" w14:paraId="3D04C96C" w14:textId="77777777" w:rsidTr="008F1976">
        <w:trPr>
          <w:trHeight w:val="60"/>
        </w:trPr>
        <w:tc>
          <w:tcPr>
            <w:tcW w:w="1082" w:type="pct"/>
            <w:vMerge/>
            <w:shd w:val="clear" w:color="auto" w:fill="365F91"/>
            <w:vAlign w:val="center"/>
          </w:tcPr>
          <w:p w14:paraId="373CECBA"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restart"/>
            <w:vAlign w:val="center"/>
          </w:tcPr>
          <w:p w14:paraId="3752642D" w14:textId="77777777" w:rsidR="00C97DF3" w:rsidRPr="00C97DF3" w:rsidRDefault="00C97DF3" w:rsidP="00C97DF3">
            <w:pPr>
              <w:widowControl w:val="0"/>
              <w:autoSpaceDE w:val="0"/>
              <w:autoSpaceDN w:val="0"/>
              <w:ind w:left="138" w:right="264"/>
              <w:jc w:val="right"/>
              <w:rPr>
                <w:rFonts w:ascii="Arial Narrow" w:eastAsia="Calibri" w:hAnsi="Arial Narrow" w:cs="Calibri"/>
                <w:i/>
                <w:iCs/>
                <w:sz w:val="20"/>
                <w:szCs w:val="20"/>
              </w:rPr>
            </w:pPr>
            <w:r w:rsidRPr="00C97DF3">
              <w:rPr>
                <w:rFonts w:ascii="Arial Narrow" w:hAnsi="Arial Narrow" w:cs="Calibri"/>
                <w:i/>
                <w:iCs/>
                <w:sz w:val="20"/>
                <w:szCs w:val="20"/>
              </w:rPr>
              <w:t>Metalet me ngjyra</w:t>
            </w:r>
          </w:p>
        </w:tc>
        <w:tc>
          <w:tcPr>
            <w:tcW w:w="654" w:type="pct"/>
            <w:vMerge w:val="restart"/>
            <w:vAlign w:val="center"/>
          </w:tcPr>
          <w:p w14:paraId="6ED9EC8F"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r w:rsidRPr="00C97DF3">
              <w:rPr>
                <w:rFonts w:ascii="Arial Narrow" w:eastAsia="Calibri" w:hAnsi="Arial Narrow" w:cs="Calibri"/>
                <w:sz w:val="20"/>
                <w:szCs w:val="20"/>
              </w:rPr>
              <w:t>&lt;</w:t>
            </w:r>
            <w:r w:rsidRPr="00C97DF3">
              <w:rPr>
                <w:rFonts w:ascii="Arial Narrow" w:eastAsia="Calibri" w:hAnsi="Arial Narrow" w:cs="Calibri"/>
                <w:spacing w:val="-1"/>
                <w:sz w:val="20"/>
                <w:szCs w:val="20"/>
              </w:rPr>
              <w:t xml:space="preserve"> </w:t>
            </w:r>
            <w:r w:rsidRPr="00C97DF3">
              <w:rPr>
                <w:rFonts w:ascii="Arial Narrow" w:eastAsia="Calibri" w:hAnsi="Arial Narrow" w:cs="Calibri"/>
                <w:sz w:val="20"/>
                <w:szCs w:val="20"/>
              </w:rPr>
              <w:t>5%</w:t>
            </w:r>
          </w:p>
        </w:tc>
        <w:tc>
          <w:tcPr>
            <w:tcW w:w="719" w:type="pct"/>
          </w:tcPr>
          <w:p w14:paraId="39551E77"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30%</w:t>
            </w:r>
          </w:p>
        </w:tc>
        <w:tc>
          <w:tcPr>
            <w:tcW w:w="629" w:type="pct"/>
            <w:vAlign w:val="center"/>
          </w:tcPr>
          <w:p w14:paraId="117E8018"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2028</w:t>
            </w:r>
          </w:p>
        </w:tc>
      </w:tr>
      <w:tr w:rsidR="00C97DF3" w:rsidRPr="00C97DF3" w14:paraId="2B339328" w14:textId="77777777" w:rsidTr="008F1976">
        <w:trPr>
          <w:trHeight w:val="60"/>
        </w:trPr>
        <w:tc>
          <w:tcPr>
            <w:tcW w:w="1082" w:type="pct"/>
            <w:vMerge/>
            <w:shd w:val="clear" w:color="auto" w:fill="365F91"/>
            <w:vAlign w:val="center"/>
          </w:tcPr>
          <w:p w14:paraId="7BB0109E"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2C7A7C2E" w14:textId="77777777" w:rsidR="00C97DF3" w:rsidRPr="00C97DF3" w:rsidRDefault="00C97DF3" w:rsidP="00C97DF3">
            <w:pPr>
              <w:widowControl w:val="0"/>
              <w:autoSpaceDE w:val="0"/>
              <w:autoSpaceDN w:val="0"/>
              <w:ind w:left="138" w:right="264"/>
              <w:jc w:val="right"/>
              <w:rPr>
                <w:rFonts w:ascii="Arial Narrow" w:hAnsi="Arial Narrow" w:cs="Calibri"/>
                <w:i/>
                <w:iCs/>
                <w:sz w:val="20"/>
                <w:szCs w:val="20"/>
              </w:rPr>
            </w:pPr>
          </w:p>
        </w:tc>
        <w:tc>
          <w:tcPr>
            <w:tcW w:w="654" w:type="pct"/>
            <w:vMerge/>
            <w:vAlign w:val="center"/>
          </w:tcPr>
          <w:p w14:paraId="71FAB112"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p>
        </w:tc>
        <w:tc>
          <w:tcPr>
            <w:tcW w:w="719" w:type="pct"/>
          </w:tcPr>
          <w:p w14:paraId="396800DE"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50%</w:t>
            </w:r>
          </w:p>
        </w:tc>
        <w:tc>
          <w:tcPr>
            <w:tcW w:w="629" w:type="pct"/>
            <w:vAlign w:val="center"/>
          </w:tcPr>
          <w:p w14:paraId="65F60BE7"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2030</w:t>
            </w:r>
          </w:p>
        </w:tc>
      </w:tr>
      <w:tr w:rsidR="00C97DF3" w:rsidRPr="00C97DF3" w14:paraId="36D9BBBB" w14:textId="77777777" w:rsidTr="008F1976">
        <w:trPr>
          <w:trHeight w:val="60"/>
        </w:trPr>
        <w:tc>
          <w:tcPr>
            <w:tcW w:w="1082" w:type="pct"/>
            <w:vMerge/>
            <w:shd w:val="clear" w:color="auto" w:fill="365F91"/>
            <w:vAlign w:val="center"/>
          </w:tcPr>
          <w:p w14:paraId="74A13122"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66E6C9C1" w14:textId="77777777" w:rsidR="00C97DF3" w:rsidRPr="00C97DF3" w:rsidRDefault="00C97DF3" w:rsidP="00C97DF3">
            <w:pPr>
              <w:widowControl w:val="0"/>
              <w:autoSpaceDE w:val="0"/>
              <w:autoSpaceDN w:val="0"/>
              <w:ind w:left="138" w:right="264"/>
              <w:jc w:val="right"/>
              <w:rPr>
                <w:rFonts w:ascii="Arial Narrow" w:hAnsi="Arial Narrow" w:cs="Calibri"/>
                <w:i/>
                <w:iCs/>
                <w:sz w:val="20"/>
                <w:szCs w:val="20"/>
              </w:rPr>
            </w:pPr>
          </w:p>
        </w:tc>
        <w:tc>
          <w:tcPr>
            <w:tcW w:w="654" w:type="pct"/>
            <w:vMerge/>
            <w:vAlign w:val="center"/>
          </w:tcPr>
          <w:p w14:paraId="3ED6DA3D"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p>
        </w:tc>
        <w:tc>
          <w:tcPr>
            <w:tcW w:w="719" w:type="pct"/>
          </w:tcPr>
          <w:p w14:paraId="537F29EE"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70%</w:t>
            </w:r>
          </w:p>
        </w:tc>
        <w:tc>
          <w:tcPr>
            <w:tcW w:w="629" w:type="pct"/>
            <w:vAlign w:val="center"/>
          </w:tcPr>
          <w:p w14:paraId="50786C26"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2035</w:t>
            </w:r>
          </w:p>
        </w:tc>
      </w:tr>
      <w:tr w:rsidR="00C97DF3" w:rsidRPr="00C97DF3" w14:paraId="3C233ECD" w14:textId="77777777" w:rsidTr="008F1976">
        <w:trPr>
          <w:trHeight w:val="60"/>
        </w:trPr>
        <w:tc>
          <w:tcPr>
            <w:tcW w:w="1082" w:type="pct"/>
            <w:vMerge/>
            <w:shd w:val="clear" w:color="auto" w:fill="365F91"/>
            <w:vAlign w:val="center"/>
          </w:tcPr>
          <w:p w14:paraId="5A03CB2D"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restart"/>
            <w:vAlign w:val="center"/>
          </w:tcPr>
          <w:p w14:paraId="5E9659CF" w14:textId="24C76042" w:rsidR="00C97DF3" w:rsidRPr="00C97DF3" w:rsidRDefault="00C97DF3" w:rsidP="00C97DF3">
            <w:pPr>
              <w:widowControl w:val="0"/>
              <w:autoSpaceDE w:val="0"/>
              <w:autoSpaceDN w:val="0"/>
              <w:ind w:left="138" w:right="264"/>
              <w:jc w:val="right"/>
              <w:rPr>
                <w:rFonts w:ascii="Arial Narrow" w:eastAsia="Calibri" w:hAnsi="Arial Narrow" w:cs="Calibri"/>
                <w:i/>
                <w:iCs/>
                <w:sz w:val="20"/>
                <w:szCs w:val="20"/>
              </w:rPr>
            </w:pPr>
            <w:r w:rsidRPr="00C97DF3">
              <w:rPr>
                <w:rFonts w:ascii="Arial Narrow" w:hAnsi="Arial Narrow" w:cs="Calibri"/>
                <w:i/>
                <w:iCs/>
                <w:sz w:val="20"/>
                <w:szCs w:val="20"/>
              </w:rPr>
              <w:t>Alumin</w:t>
            </w:r>
          </w:p>
        </w:tc>
        <w:tc>
          <w:tcPr>
            <w:tcW w:w="654" w:type="pct"/>
            <w:vMerge w:val="restart"/>
            <w:vAlign w:val="center"/>
          </w:tcPr>
          <w:p w14:paraId="49003995"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r w:rsidRPr="00C97DF3">
              <w:rPr>
                <w:rFonts w:ascii="Arial Narrow" w:eastAsia="Calibri" w:hAnsi="Arial Narrow" w:cs="Calibri"/>
                <w:sz w:val="20"/>
                <w:szCs w:val="20"/>
              </w:rPr>
              <w:t>&lt;</w:t>
            </w:r>
            <w:r w:rsidRPr="00C97DF3">
              <w:rPr>
                <w:rFonts w:ascii="Arial Narrow" w:eastAsia="Calibri" w:hAnsi="Arial Narrow" w:cs="Calibri"/>
                <w:spacing w:val="-1"/>
                <w:sz w:val="20"/>
                <w:szCs w:val="20"/>
              </w:rPr>
              <w:t xml:space="preserve"> </w:t>
            </w:r>
            <w:r w:rsidRPr="00C97DF3">
              <w:rPr>
                <w:rFonts w:ascii="Arial Narrow" w:eastAsia="Calibri" w:hAnsi="Arial Narrow" w:cs="Calibri"/>
                <w:sz w:val="20"/>
                <w:szCs w:val="20"/>
              </w:rPr>
              <w:t>5%</w:t>
            </w:r>
          </w:p>
        </w:tc>
        <w:tc>
          <w:tcPr>
            <w:tcW w:w="719" w:type="pct"/>
          </w:tcPr>
          <w:p w14:paraId="28ADEBBC"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30%</w:t>
            </w:r>
          </w:p>
        </w:tc>
        <w:tc>
          <w:tcPr>
            <w:tcW w:w="629" w:type="pct"/>
            <w:vAlign w:val="center"/>
          </w:tcPr>
          <w:p w14:paraId="333966A3"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2028</w:t>
            </w:r>
          </w:p>
        </w:tc>
      </w:tr>
      <w:tr w:rsidR="00C97DF3" w:rsidRPr="00C97DF3" w14:paraId="3BDB32A1" w14:textId="77777777" w:rsidTr="008F1976">
        <w:trPr>
          <w:trHeight w:val="60"/>
        </w:trPr>
        <w:tc>
          <w:tcPr>
            <w:tcW w:w="1082" w:type="pct"/>
            <w:vMerge/>
            <w:shd w:val="clear" w:color="auto" w:fill="365F91"/>
            <w:vAlign w:val="center"/>
          </w:tcPr>
          <w:p w14:paraId="2F2D122B"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6F1ED156" w14:textId="77777777" w:rsidR="00C97DF3" w:rsidRPr="00C97DF3" w:rsidRDefault="00C97DF3" w:rsidP="00C97DF3">
            <w:pPr>
              <w:widowControl w:val="0"/>
              <w:autoSpaceDE w:val="0"/>
              <w:autoSpaceDN w:val="0"/>
              <w:ind w:left="138" w:right="264"/>
              <w:jc w:val="right"/>
              <w:rPr>
                <w:rFonts w:ascii="Arial Narrow" w:hAnsi="Arial Narrow" w:cs="Calibri"/>
                <w:i/>
                <w:iCs/>
                <w:sz w:val="20"/>
                <w:szCs w:val="20"/>
              </w:rPr>
            </w:pPr>
          </w:p>
        </w:tc>
        <w:tc>
          <w:tcPr>
            <w:tcW w:w="654" w:type="pct"/>
            <w:vMerge/>
            <w:vAlign w:val="center"/>
          </w:tcPr>
          <w:p w14:paraId="0C51C8A8"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p>
        </w:tc>
        <w:tc>
          <w:tcPr>
            <w:tcW w:w="719" w:type="pct"/>
          </w:tcPr>
          <w:p w14:paraId="388B849D"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40%</w:t>
            </w:r>
          </w:p>
        </w:tc>
        <w:tc>
          <w:tcPr>
            <w:tcW w:w="629" w:type="pct"/>
            <w:vAlign w:val="center"/>
          </w:tcPr>
          <w:p w14:paraId="5B6B3B9F"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2030</w:t>
            </w:r>
          </w:p>
        </w:tc>
      </w:tr>
      <w:tr w:rsidR="00C97DF3" w:rsidRPr="00C97DF3" w14:paraId="794CA0B1" w14:textId="77777777" w:rsidTr="008F1976">
        <w:trPr>
          <w:trHeight w:val="60"/>
        </w:trPr>
        <w:tc>
          <w:tcPr>
            <w:tcW w:w="1082" w:type="pct"/>
            <w:vMerge/>
            <w:shd w:val="clear" w:color="auto" w:fill="365F91"/>
            <w:vAlign w:val="center"/>
          </w:tcPr>
          <w:p w14:paraId="63322B98"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16BF4FA5" w14:textId="77777777" w:rsidR="00C97DF3" w:rsidRPr="00C97DF3" w:rsidRDefault="00C97DF3" w:rsidP="00C97DF3">
            <w:pPr>
              <w:widowControl w:val="0"/>
              <w:autoSpaceDE w:val="0"/>
              <w:autoSpaceDN w:val="0"/>
              <w:ind w:left="138" w:right="264"/>
              <w:jc w:val="right"/>
              <w:rPr>
                <w:rFonts w:ascii="Arial Narrow" w:hAnsi="Arial Narrow" w:cs="Calibri"/>
                <w:i/>
                <w:iCs/>
                <w:sz w:val="20"/>
                <w:szCs w:val="20"/>
              </w:rPr>
            </w:pPr>
          </w:p>
        </w:tc>
        <w:tc>
          <w:tcPr>
            <w:tcW w:w="654" w:type="pct"/>
            <w:vMerge/>
            <w:vAlign w:val="center"/>
          </w:tcPr>
          <w:p w14:paraId="445F3639"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p>
        </w:tc>
        <w:tc>
          <w:tcPr>
            <w:tcW w:w="719" w:type="pct"/>
          </w:tcPr>
          <w:p w14:paraId="13AFF4EA"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50%</w:t>
            </w:r>
          </w:p>
        </w:tc>
        <w:tc>
          <w:tcPr>
            <w:tcW w:w="629" w:type="pct"/>
            <w:vAlign w:val="center"/>
          </w:tcPr>
          <w:p w14:paraId="60535E11"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2035</w:t>
            </w:r>
          </w:p>
        </w:tc>
      </w:tr>
      <w:tr w:rsidR="00C97DF3" w:rsidRPr="00C97DF3" w14:paraId="63C4CE01" w14:textId="77777777" w:rsidTr="008F1976">
        <w:trPr>
          <w:trHeight w:val="60"/>
        </w:trPr>
        <w:tc>
          <w:tcPr>
            <w:tcW w:w="1082" w:type="pct"/>
            <w:vMerge/>
            <w:shd w:val="clear" w:color="auto" w:fill="365F91"/>
            <w:vAlign w:val="center"/>
          </w:tcPr>
          <w:p w14:paraId="0BBDA36F"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restart"/>
            <w:vAlign w:val="center"/>
          </w:tcPr>
          <w:p w14:paraId="053399FE" w14:textId="7FD6C6EC" w:rsidR="00C97DF3" w:rsidRPr="00C97DF3" w:rsidRDefault="00C97DF3" w:rsidP="00C97DF3">
            <w:pPr>
              <w:widowControl w:val="0"/>
              <w:autoSpaceDE w:val="0"/>
              <w:autoSpaceDN w:val="0"/>
              <w:ind w:left="138" w:right="264"/>
              <w:jc w:val="right"/>
              <w:rPr>
                <w:rFonts w:ascii="Arial Narrow" w:eastAsia="Calibri" w:hAnsi="Arial Narrow" w:cs="Calibri"/>
                <w:i/>
                <w:iCs/>
                <w:sz w:val="20"/>
                <w:szCs w:val="20"/>
              </w:rPr>
            </w:pPr>
            <w:r w:rsidRPr="00C97DF3">
              <w:rPr>
                <w:rFonts w:ascii="Arial Narrow" w:hAnsi="Arial Narrow" w:cs="Calibri"/>
                <w:i/>
                <w:iCs/>
                <w:sz w:val="20"/>
                <w:szCs w:val="20"/>
              </w:rPr>
              <w:t>Dru</w:t>
            </w:r>
          </w:p>
        </w:tc>
        <w:tc>
          <w:tcPr>
            <w:tcW w:w="654" w:type="pct"/>
            <w:vMerge w:val="restart"/>
            <w:vAlign w:val="center"/>
          </w:tcPr>
          <w:p w14:paraId="27A74F63"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r w:rsidRPr="00C97DF3">
              <w:rPr>
                <w:rFonts w:ascii="Arial Narrow" w:eastAsia="Calibri" w:hAnsi="Arial Narrow" w:cs="Calibri"/>
                <w:sz w:val="20"/>
                <w:szCs w:val="20"/>
              </w:rPr>
              <w:t>&lt;</w:t>
            </w:r>
            <w:r w:rsidRPr="00C97DF3">
              <w:rPr>
                <w:rFonts w:ascii="Arial Narrow" w:eastAsia="Calibri" w:hAnsi="Arial Narrow" w:cs="Calibri"/>
                <w:spacing w:val="-1"/>
                <w:sz w:val="20"/>
                <w:szCs w:val="20"/>
              </w:rPr>
              <w:t xml:space="preserve"> </w:t>
            </w:r>
            <w:r w:rsidRPr="00C97DF3">
              <w:rPr>
                <w:rFonts w:ascii="Arial Narrow" w:eastAsia="Calibri" w:hAnsi="Arial Narrow" w:cs="Calibri"/>
                <w:sz w:val="20"/>
                <w:szCs w:val="20"/>
              </w:rPr>
              <w:t>5%</w:t>
            </w:r>
          </w:p>
        </w:tc>
        <w:tc>
          <w:tcPr>
            <w:tcW w:w="719" w:type="pct"/>
          </w:tcPr>
          <w:p w14:paraId="589D3F96"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10%</w:t>
            </w:r>
          </w:p>
        </w:tc>
        <w:tc>
          <w:tcPr>
            <w:tcW w:w="629" w:type="pct"/>
            <w:vAlign w:val="center"/>
          </w:tcPr>
          <w:p w14:paraId="239D474B"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2028</w:t>
            </w:r>
          </w:p>
        </w:tc>
      </w:tr>
      <w:tr w:rsidR="00C97DF3" w:rsidRPr="00C97DF3" w14:paraId="0573D301" w14:textId="77777777" w:rsidTr="008F1976">
        <w:trPr>
          <w:trHeight w:val="60"/>
        </w:trPr>
        <w:tc>
          <w:tcPr>
            <w:tcW w:w="1082" w:type="pct"/>
            <w:vMerge/>
            <w:shd w:val="clear" w:color="auto" w:fill="365F91"/>
            <w:vAlign w:val="center"/>
          </w:tcPr>
          <w:p w14:paraId="101FDA54"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31077373" w14:textId="77777777" w:rsidR="00C97DF3" w:rsidRPr="00C97DF3" w:rsidRDefault="00C97DF3" w:rsidP="00C97DF3">
            <w:pPr>
              <w:widowControl w:val="0"/>
              <w:autoSpaceDE w:val="0"/>
              <w:autoSpaceDN w:val="0"/>
              <w:ind w:left="138" w:right="264"/>
              <w:jc w:val="right"/>
              <w:rPr>
                <w:rFonts w:ascii="Arial Narrow" w:hAnsi="Arial Narrow" w:cs="Calibri"/>
                <w:sz w:val="20"/>
                <w:szCs w:val="20"/>
              </w:rPr>
            </w:pPr>
          </w:p>
        </w:tc>
        <w:tc>
          <w:tcPr>
            <w:tcW w:w="654" w:type="pct"/>
            <w:vMerge/>
            <w:vAlign w:val="center"/>
          </w:tcPr>
          <w:p w14:paraId="05E4DFB1"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p>
        </w:tc>
        <w:tc>
          <w:tcPr>
            <w:tcW w:w="719" w:type="pct"/>
          </w:tcPr>
          <w:p w14:paraId="386645C5"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15%</w:t>
            </w:r>
          </w:p>
        </w:tc>
        <w:tc>
          <w:tcPr>
            <w:tcW w:w="629" w:type="pct"/>
            <w:vAlign w:val="center"/>
          </w:tcPr>
          <w:p w14:paraId="468F6072"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2030</w:t>
            </w:r>
          </w:p>
        </w:tc>
      </w:tr>
      <w:tr w:rsidR="00C97DF3" w:rsidRPr="00C97DF3" w14:paraId="4F5C7D30" w14:textId="77777777" w:rsidTr="008F1976">
        <w:trPr>
          <w:trHeight w:val="60"/>
        </w:trPr>
        <w:tc>
          <w:tcPr>
            <w:tcW w:w="1082" w:type="pct"/>
            <w:vMerge/>
            <w:shd w:val="clear" w:color="auto" w:fill="365F91"/>
            <w:vAlign w:val="center"/>
          </w:tcPr>
          <w:p w14:paraId="47727BD2"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0E04F272" w14:textId="77777777" w:rsidR="00C97DF3" w:rsidRPr="00C97DF3" w:rsidRDefault="00C97DF3" w:rsidP="00C97DF3">
            <w:pPr>
              <w:widowControl w:val="0"/>
              <w:autoSpaceDE w:val="0"/>
              <w:autoSpaceDN w:val="0"/>
              <w:ind w:left="138" w:right="264"/>
              <w:jc w:val="right"/>
              <w:rPr>
                <w:rFonts w:ascii="Arial Narrow" w:hAnsi="Arial Narrow" w:cs="Calibri"/>
                <w:sz w:val="20"/>
                <w:szCs w:val="20"/>
              </w:rPr>
            </w:pPr>
          </w:p>
        </w:tc>
        <w:tc>
          <w:tcPr>
            <w:tcW w:w="654" w:type="pct"/>
            <w:vMerge/>
            <w:vAlign w:val="center"/>
          </w:tcPr>
          <w:p w14:paraId="6ED5BA01"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p>
        </w:tc>
        <w:tc>
          <w:tcPr>
            <w:tcW w:w="719" w:type="pct"/>
          </w:tcPr>
          <w:p w14:paraId="184DBA37"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25%</w:t>
            </w:r>
          </w:p>
        </w:tc>
        <w:tc>
          <w:tcPr>
            <w:tcW w:w="629" w:type="pct"/>
            <w:vAlign w:val="center"/>
          </w:tcPr>
          <w:p w14:paraId="78EDA193"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2035</w:t>
            </w:r>
          </w:p>
        </w:tc>
      </w:tr>
      <w:tr w:rsidR="00C97DF3" w:rsidRPr="00C97DF3" w14:paraId="671A9C2A" w14:textId="77777777" w:rsidTr="008F1976">
        <w:trPr>
          <w:trHeight w:val="224"/>
        </w:trPr>
        <w:tc>
          <w:tcPr>
            <w:tcW w:w="1082" w:type="pct"/>
            <w:vMerge w:val="restart"/>
            <w:shd w:val="clear" w:color="auto" w:fill="365F91"/>
            <w:vAlign w:val="center"/>
          </w:tcPr>
          <w:p w14:paraId="2A3B6CC9" w14:textId="15338386" w:rsidR="00C97DF3" w:rsidRPr="00C97DF3" w:rsidRDefault="00E30891" w:rsidP="00C97DF3">
            <w:pPr>
              <w:widowControl w:val="0"/>
              <w:autoSpaceDE w:val="0"/>
              <w:autoSpaceDN w:val="0"/>
              <w:ind w:right="257"/>
              <w:rPr>
                <w:rFonts w:ascii="Arial Narrow" w:eastAsia="Calibri" w:hAnsi="Arial Narrow" w:cs="Calibri"/>
                <w:color w:val="FFFFFF"/>
                <w:sz w:val="20"/>
                <w:szCs w:val="20"/>
              </w:rPr>
            </w:pPr>
            <w:r w:rsidRPr="00BE2534">
              <w:rPr>
                <w:rFonts w:ascii="Arial Narrow" w:eastAsia="Calibri" w:hAnsi="Arial Narrow" w:cs="Calibri"/>
                <w:color w:val="FFFFFF"/>
                <w:sz w:val="20"/>
                <w:szCs w:val="20"/>
                <w:lang w:val="sq-AL"/>
              </w:rPr>
              <w:t>Të zvogëlohet varshmëria nga deponimi i mbeturinave</w:t>
            </w:r>
          </w:p>
        </w:tc>
        <w:tc>
          <w:tcPr>
            <w:tcW w:w="1916" w:type="pct"/>
            <w:vMerge w:val="restart"/>
            <w:vAlign w:val="center"/>
          </w:tcPr>
          <w:p w14:paraId="44C92666" w14:textId="77777777" w:rsidR="00C97DF3" w:rsidRPr="00C97DF3" w:rsidRDefault="00C97DF3" w:rsidP="00C97DF3">
            <w:pPr>
              <w:widowControl w:val="0"/>
              <w:autoSpaceDE w:val="0"/>
              <w:autoSpaceDN w:val="0"/>
              <w:ind w:left="138" w:right="264"/>
              <w:rPr>
                <w:rFonts w:ascii="Arial Narrow" w:eastAsia="Calibri" w:hAnsi="Arial Narrow" w:cs="Calibri"/>
                <w:sz w:val="20"/>
                <w:szCs w:val="20"/>
              </w:rPr>
            </w:pPr>
            <w:r w:rsidRPr="00C97DF3">
              <w:rPr>
                <w:rFonts w:ascii="Arial Narrow" w:eastAsia="Calibri" w:hAnsi="Arial Narrow" w:cs="Calibri"/>
                <w:sz w:val="20"/>
                <w:szCs w:val="20"/>
              </w:rPr>
              <w:t>Deponimi i mbeturinave komunale</w:t>
            </w:r>
          </w:p>
        </w:tc>
        <w:tc>
          <w:tcPr>
            <w:tcW w:w="654" w:type="pct"/>
            <w:vMerge w:val="restart"/>
            <w:vAlign w:val="center"/>
          </w:tcPr>
          <w:p w14:paraId="73D2E68D"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r w:rsidRPr="00C97DF3">
              <w:rPr>
                <w:rFonts w:ascii="Arial Narrow" w:eastAsia="Calibri" w:hAnsi="Arial Narrow" w:cs="Calibri"/>
                <w:sz w:val="20"/>
                <w:szCs w:val="20"/>
              </w:rPr>
              <w:t>&gt; 95%</w:t>
            </w:r>
          </w:p>
        </w:tc>
        <w:tc>
          <w:tcPr>
            <w:tcW w:w="719" w:type="pct"/>
          </w:tcPr>
          <w:p w14:paraId="7CE3A4B5"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&lt; 30%</w:t>
            </w:r>
          </w:p>
        </w:tc>
        <w:tc>
          <w:tcPr>
            <w:tcW w:w="629" w:type="pct"/>
            <w:vAlign w:val="center"/>
          </w:tcPr>
          <w:p w14:paraId="4432ACC3"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2035</w:t>
            </w:r>
          </w:p>
        </w:tc>
      </w:tr>
      <w:tr w:rsidR="00C97DF3" w:rsidRPr="00C97DF3" w14:paraId="62C66F79" w14:textId="77777777" w:rsidTr="008F1976">
        <w:trPr>
          <w:trHeight w:val="60"/>
        </w:trPr>
        <w:tc>
          <w:tcPr>
            <w:tcW w:w="1082" w:type="pct"/>
            <w:vMerge/>
            <w:shd w:val="clear" w:color="auto" w:fill="365F91"/>
            <w:vAlign w:val="center"/>
          </w:tcPr>
          <w:p w14:paraId="02E5E39C"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48597DCF" w14:textId="77777777" w:rsidR="00C97DF3" w:rsidRPr="00C97DF3" w:rsidRDefault="00C97DF3" w:rsidP="00C97DF3">
            <w:pPr>
              <w:widowControl w:val="0"/>
              <w:autoSpaceDE w:val="0"/>
              <w:autoSpaceDN w:val="0"/>
              <w:ind w:left="138" w:right="264"/>
              <w:rPr>
                <w:rFonts w:ascii="Arial Narrow" w:eastAsia="Calibri" w:hAnsi="Arial Narrow" w:cs="Calibri"/>
                <w:sz w:val="20"/>
                <w:szCs w:val="20"/>
              </w:rPr>
            </w:pPr>
          </w:p>
        </w:tc>
        <w:tc>
          <w:tcPr>
            <w:tcW w:w="654" w:type="pct"/>
            <w:vMerge/>
            <w:vAlign w:val="center"/>
          </w:tcPr>
          <w:p w14:paraId="2C3C5980"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p>
        </w:tc>
        <w:tc>
          <w:tcPr>
            <w:tcW w:w="719" w:type="pct"/>
          </w:tcPr>
          <w:p w14:paraId="2242522D"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&lt; 10%</w:t>
            </w:r>
          </w:p>
        </w:tc>
        <w:tc>
          <w:tcPr>
            <w:tcW w:w="629" w:type="pct"/>
            <w:vAlign w:val="center"/>
          </w:tcPr>
          <w:p w14:paraId="6557578B"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2045</w:t>
            </w:r>
          </w:p>
        </w:tc>
      </w:tr>
      <w:tr w:rsidR="00C97DF3" w:rsidRPr="00C97DF3" w14:paraId="3B952A8F" w14:textId="77777777" w:rsidTr="008F1976">
        <w:trPr>
          <w:trHeight w:val="60"/>
        </w:trPr>
        <w:tc>
          <w:tcPr>
            <w:tcW w:w="1082" w:type="pct"/>
            <w:vMerge/>
            <w:shd w:val="clear" w:color="auto" w:fill="365F91"/>
            <w:vAlign w:val="center"/>
          </w:tcPr>
          <w:p w14:paraId="71AF5816" w14:textId="77777777" w:rsidR="00C97DF3" w:rsidRPr="00C97DF3" w:rsidRDefault="00C97DF3" w:rsidP="00C97DF3">
            <w:pPr>
              <w:widowControl w:val="0"/>
              <w:autoSpaceDE w:val="0"/>
              <w:autoSpaceDN w:val="0"/>
              <w:rPr>
                <w:rFonts w:ascii="Arial Narrow" w:eastAsia="Calibri" w:hAnsi="Arial Narrow" w:cs="Arial"/>
                <w:sz w:val="20"/>
                <w:szCs w:val="20"/>
              </w:rPr>
            </w:pPr>
          </w:p>
        </w:tc>
        <w:tc>
          <w:tcPr>
            <w:tcW w:w="1916" w:type="pct"/>
            <w:vAlign w:val="center"/>
          </w:tcPr>
          <w:p w14:paraId="6ED329BE" w14:textId="77777777" w:rsidR="00C97DF3" w:rsidRPr="00C97DF3" w:rsidRDefault="00C97DF3" w:rsidP="00C97DF3">
            <w:pPr>
              <w:widowControl w:val="0"/>
              <w:autoSpaceDE w:val="0"/>
              <w:autoSpaceDN w:val="0"/>
              <w:ind w:left="138" w:right="264"/>
              <w:rPr>
                <w:rFonts w:ascii="Arial Narrow" w:eastAsia="Calibri" w:hAnsi="Arial Narrow" w:cs="Arial"/>
                <w:sz w:val="20"/>
                <w:szCs w:val="20"/>
              </w:rPr>
            </w:pPr>
            <w:r w:rsidRPr="00C97DF3">
              <w:rPr>
                <w:rFonts w:ascii="Arial Narrow" w:eastAsia="Calibri" w:hAnsi="Arial Narrow" w:cs="Arial"/>
                <w:sz w:val="20"/>
                <w:szCs w:val="20"/>
              </w:rPr>
              <w:t>Mbyllja e deponive komunale</w:t>
            </w:r>
          </w:p>
        </w:tc>
        <w:tc>
          <w:tcPr>
            <w:tcW w:w="654" w:type="pct"/>
            <w:vAlign w:val="center"/>
          </w:tcPr>
          <w:p w14:paraId="35F551A4" w14:textId="77777777" w:rsidR="00C97DF3" w:rsidRPr="00C97DF3" w:rsidRDefault="00C97DF3" w:rsidP="00C97DF3">
            <w:pPr>
              <w:widowControl w:val="0"/>
              <w:autoSpaceDE w:val="0"/>
              <w:autoSpaceDN w:val="0"/>
              <w:jc w:val="center"/>
              <w:rPr>
                <w:rFonts w:ascii="Arial Narrow" w:eastAsia="Calibri" w:hAnsi="Arial Narrow" w:cs="Arial"/>
                <w:sz w:val="20"/>
                <w:szCs w:val="20"/>
              </w:rPr>
            </w:pPr>
            <w:r w:rsidRPr="00C97DF3">
              <w:rPr>
                <w:rFonts w:ascii="Arial Narrow" w:eastAsia="Calibri" w:hAnsi="Arial Narrow" w:cs="Arial"/>
                <w:sz w:val="20"/>
                <w:szCs w:val="20"/>
              </w:rPr>
              <w:t>70</w:t>
            </w:r>
          </w:p>
        </w:tc>
        <w:tc>
          <w:tcPr>
            <w:tcW w:w="719" w:type="pct"/>
          </w:tcPr>
          <w:p w14:paraId="1F49BE8C" w14:textId="77777777" w:rsidR="00C97DF3" w:rsidRPr="00C97DF3" w:rsidRDefault="00C97DF3" w:rsidP="00C97DF3">
            <w:pPr>
              <w:jc w:val="center"/>
              <w:rPr>
                <w:rFonts w:ascii="Arial Narrow" w:eastAsia="Calibri" w:hAnsi="Arial Narrow" w:cs="Arial"/>
                <w:sz w:val="20"/>
                <w:szCs w:val="20"/>
              </w:rPr>
            </w:pPr>
            <w:r w:rsidRPr="00C97DF3">
              <w:rPr>
                <w:rFonts w:ascii="Arial Narrow" w:eastAsia="Calibri" w:hAnsi="Arial Narrow" w:cs="Arial"/>
                <w:sz w:val="20"/>
                <w:szCs w:val="20"/>
              </w:rPr>
              <w:t>0</w:t>
            </w:r>
          </w:p>
        </w:tc>
        <w:tc>
          <w:tcPr>
            <w:tcW w:w="629" w:type="pct"/>
            <w:vAlign w:val="center"/>
          </w:tcPr>
          <w:p w14:paraId="6B1FBCA6" w14:textId="77777777" w:rsidR="00C97DF3" w:rsidRPr="00C97DF3" w:rsidRDefault="00C97DF3" w:rsidP="00C97DF3">
            <w:pPr>
              <w:jc w:val="right"/>
              <w:rPr>
                <w:rFonts w:ascii="Arial Narrow" w:eastAsia="Calibri" w:hAnsi="Arial Narrow" w:cs="Arial"/>
                <w:sz w:val="20"/>
                <w:szCs w:val="20"/>
              </w:rPr>
            </w:pPr>
            <w:r w:rsidRPr="00C97DF3">
              <w:rPr>
                <w:rFonts w:ascii="Arial Narrow" w:eastAsia="Calibri" w:hAnsi="Arial Narrow" w:cs="Arial"/>
                <w:sz w:val="20"/>
                <w:szCs w:val="20"/>
              </w:rPr>
              <w:t>2028</w:t>
            </w:r>
          </w:p>
        </w:tc>
      </w:tr>
      <w:tr w:rsidR="00C97DF3" w:rsidRPr="00C97DF3" w14:paraId="3162BFD5" w14:textId="77777777" w:rsidTr="008F1976">
        <w:trPr>
          <w:trHeight w:val="206"/>
        </w:trPr>
        <w:tc>
          <w:tcPr>
            <w:tcW w:w="1082" w:type="pct"/>
            <w:vMerge w:val="restart"/>
            <w:shd w:val="clear" w:color="auto" w:fill="365F91"/>
            <w:vAlign w:val="center"/>
          </w:tcPr>
          <w:p w14:paraId="648E8C55" w14:textId="1839C575" w:rsidR="00C97DF3" w:rsidRPr="00C97DF3" w:rsidRDefault="00E30891" w:rsidP="00C97DF3">
            <w:pPr>
              <w:widowControl w:val="0"/>
              <w:autoSpaceDE w:val="0"/>
              <w:autoSpaceDN w:val="0"/>
              <w:ind w:right="257"/>
              <w:rPr>
                <w:rFonts w:ascii="Arial Narrow" w:eastAsia="Calibri" w:hAnsi="Arial Narrow" w:cs="Calibri"/>
                <w:color w:val="FFFFFF"/>
                <w:sz w:val="20"/>
                <w:szCs w:val="20"/>
              </w:rPr>
            </w:pPr>
            <w:r w:rsidRPr="00BE2534">
              <w:rPr>
                <w:rFonts w:ascii="Arial Narrow" w:eastAsia="Calibri" w:hAnsi="Arial Narrow" w:cs="Calibri"/>
                <w:color w:val="FFFFFF"/>
                <w:sz w:val="20"/>
                <w:szCs w:val="20"/>
                <w:lang w:val="sq-AL"/>
              </w:rPr>
              <w:t>Rritja e riciklimit dhe rikuperimit të mbeturinave të ndërtimit dhe rrënimit</w:t>
            </w:r>
          </w:p>
        </w:tc>
        <w:tc>
          <w:tcPr>
            <w:tcW w:w="1916" w:type="pct"/>
            <w:vMerge w:val="restart"/>
            <w:vAlign w:val="center"/>
          </w:tcPr>
          <w:p w14:paraId="4BAA97A8" w14:textId="5B768D8B" w:rsidR="00C97DF3" w:rsidRPr="00C97DF3" w:rsidRDefault="00C97DF3" w:rsidP="00C97DF3">
            <w:pPr>
              <w:widowControl w:val="0"/>
              <w:autoSpaceDE w:val="0"/>
              <w:autoSpaceDN w:val="0"/>
              <w:ind w:left="138" w:right="264"/>
              <w:rPr>
                <w:rFonts w:ascii="Arial Narrow" w:eastAsia="Calibri" w:hAnsi="Arial Narrow" w:cs="Calibri"/>
                <w:sz w:val="20"/>
                <w:szCs w:val="20"/>
              </w:rPr>
            </w:pPr>
            <w:r w:rsidRPr="00C97DF3">
              <w:rPr>
                <w:rFonts w:ascii="Arial Narrow" w:eastAsia="Calibri" w:hAnsi="Arial Narrow" w:cs="Calibri"/>
                <w:sz w:val="20"/>
                <w:szCs w:val="20"/>
              </w:rPr>
              <w:t xml:space="preserve">Ripërdorimi dhe riciklimi i </w:t>
            </w:r>
            <w:r w:rsidR="00E30891">
              <w:rPr>
                <w:rFonts w:ascii="Arial Narrow" w:eastAsia="Calibri" w:hAnsi="Arial Narrow" w:cs="Calibri"/>
                <w:sz w:val="20"/>
                <w:szCs w:val="20"/>
              </w:rPr>
              <w:t>MNRr</w:t>
            </w:r>
            <w:r w:rsidRPr="00C97DF3">
              <w:rPr>
                <w:rFonts w:ascii="Arial Narrow" w:eastAsia="Calibri" w:hAnsi="Arial Narrow" w:cs="Calibri"/>
                <w:sz w:val="20"/>
                <w:szCs w:val="20"/>
              </w:rPr>
              <w:t>-</w:t>
            </w:r>
            <w:r w:rsidR="00E30891">
              <w:rPr>
                <w:rFonts w:ascii="Arial Narrow" w:eastAsia="Calibri" w:hAnsi="Arial Narrow" w:cs="Calibri"/>
                <w:sz w:val="20"/>
                <w:szCs w:val="20"/>
              </w:rPr>
              <w:t>ve</w:t>
            </w:r>
          </w:p>
        </w:tc>
        <w:tc>
          <w:tcPr>
            <w:tcW w:w="654" w:type="pct"/>
            <w:vMerge w:val="restart"/>
            <w:vAlign w:val="center"/>
          </w:tcPr>
          <w:p w14:paraId="6A88EEC1"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r w:rsidRPr="00C97DF3">
              <w:rPr>
                <w:rFonts w:ascii="Arial Narrow" w:eastAsia="Calibri" w:hAnsi="Arial Narrow" w:cs="Calibri"/>
                <w:sz w:val="20"/>
                <w:szCs w:val="20"/>
              </w:rPr>
              <w:t>0%</w:t>
            </w:r>
          </w:p>
        </w:tc>
        <w:tc>
          <w:tcPr>
            <w:tcW w:w="719" w:type="pct"/>
          </w:tcPr>
          <w:p w14:paraId="223C6371"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40%</w:t>
            </w:r>
          </w:p>
        </w:tc>
        <w:tc>
          <w:tcPr>
            <w:tcW w:w="629" w:type="pct"/>
            <w:vAlign w:val="center"/>
          </w:tcPr>
          <w:p w14:paraId="01BFAD29"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2030</w:t>
            </w:r>
          </w:p>
        </w:tc>
      </w:tr>
      <w:tr w:rsidR="00C97DF3" w:rsidRPr="00C97DF3" w14:paraId="4675AE9D" w14:textId="77777777" w:rsidTr="008F1976">
        <w:trPr>
          <w:trHeight w:val="188"/>
        </w:trPr>
        <w:tc>
          <w:tcPr>
            <w:tcW w:w="1082" w:type="pct"/>
            <w:vMerge/>
            <w:shd w:val="clear" w:color="auto" w:fill="365F91"/>
            <w:vAlign w:val="center"/>
          </w:tcPr>
          <w:p w14:paraId="3466223A" w14:textId="77777777" w:rsidR="00C97DF3" w:rsidRPr="00C97DF3" w:rsidRDefault="00C97DF3" w:rsidP="00C97DF3">
            <w:pPr>
              <w:widowControl w:val="0"/>
              <w:autoSpaceDE w:val="0"/>
              <w:autoSpaceDN w:val="0"/>
              <w:rPr>
                <w:rFonts w:ascii="Arial Narrow" w:eastAsia="Calibri" w:hAnsi="Arial Narrow" w:cs="Calibri"/>
                <w:sz w:val="20"/>
                <w:szCs w:val="20"/>
              </w:rPr>
            </w:pPr>
          </w:p>
        </w:tc>
        <w:tc>
          <w:tcPr>
            <w:tcW w:w="1916" w:type="pct"/>
            <w:vMerge/>
            <w:vAlign w:val="center"/>
          </w:tcPr>
          <w:p w14:paraId="4D3BDF5D" w14:textId="77777777" w:rsidR="00C97DF3" w:rsidRPr="00C97DF3" w:rsidRDefault="00C97DF3" w:rsidP="00C97DF3">
            <w:pPr>
              <w:widowControl w:val="0"/>
              <w:autoSpaceDE w:val="0"/>
              <w:autoSpaceDN w:val="0"/>
              <w:ind w:left="138" w:right="264"/>
              <w:rPr>
                <w:rFonts w:ascii="Arial Narrow" w:eastAsia="Calibri" w:hAnsi="Arial Narrow" w:cs="Calibri"/>
                <w:sz w:val="20"/>
                <w:szCs w:val="20"/>
              </w:rPr>
            </w:pPr>
          </w:p>
        </w:tc>
        <w:tc>
          <w:tcPr>
            <w:tcW w:w="654" w:type="pct"/>
            <w:vMerge/>
            <w:vAlign w:val="center"/>
          </w:tcPr>
          <w:p w14:paraId="0CF4D9E4" w14:textId="77777777" w:rsidR="00C97DF3" w:rsidRPr="00C97DF3" w:rsidRDefault="00C97DF3" w:rsidP="00C97DF3">
            <w:pPr>
              <w:widowControl w:val="0"/>
              <w:autoSpaceDE w:val="0"/>
              <w:autoSpaceDN w:val="0"/>
              <w:jc w:val="center"/>
              <w:rPr>
                <w:rFonts w:ascii="Arial Narrow" w:eastAsia="Calibri" w:hAnsi="Arial Narrow" w:cs="Calibri"/>
                <w:sz w:val="20"/>
                <w:szCs w:val="20"/>
              </w:rPr>
            </w:pPr>
          </w:p>
        </w:tc>
        <w:tc>
          <w:tcPr>
            <w:tcW w:w="719" w:type="pct"/>
          </w:tcPr>
          <w:p w14:paraId="2857B0E8" w14:textId="77777777" w:rsidR="00C97DF3" w:rsidRPr="00C97DF3" w:rsidRDefault="00C97DF3" w:rsidP="00C97DF3">
            <w:pPr>
              <w:jc w:val="center"/>
              <w:rPr>
                <w:rFonts w:ascii="Arial Narrow" w:eastAsia="Calibri" w:hAnsi="Arial Narrow" w:cs="Calibri"/>
                <w:sz w:val="20"/>
                <w:szCs w:val="20"/>
              </w:rPr>
            </w:pPr>
            <w:r w:rsidRPr="00C97DF3">
              <w:rPr>
                <w:rFonts w:ascii="Arial Narrow" w:eastAsia="Calibri" w:hAnsi="Arial Narrow" w:cs="Calibri"/>
                <w:sz w:val="20"/>
                <w:szCs w:val="20"/>
              </w:rPr>
              <w:t>50%</w:t>
            </w:r>
          </w:p>
        </w:tc>
        <w:tc>
          <w:tcPr>
            <w:tcW w:w="629" w:type="pct"/>
            <w:vAlign w:val="center"/>
          </w:tcPr>
          <w:p w14:paraId="472A8D25" w14:textId="77777777" w:rsidR="00C97DF3" w:rsidRPr="00C97DF3" w:rsidRDefault="00C97DF3" w:rsidP="00C97DF3">
            <w:pPr>
              <w:jc w:val="right"/>
              <w:rPr>
                <w:rFonts w:ascii="Arial Narrow" w:eastAsia="Calibri" w:hAnsi="Arial Narrow" w:cs="Calibri"/>
                <w:sz w:val="20"/>
                <w:szCs w:val="20"/>
              </w:rPr>
            </w:pPr>
            <w:r w:rsidRPr="00C97DF3">
              <w:rPr>
                <w:rFonts w:ascii="Arial Narrow" w:eastAsia="Calibri" w:hAnsi="Arial Narrow" w:cs="Calibri"/>
                <w:sz w:val="20"/>
                <w:szCs w:val="20"/>
              </w:rPr>
              <w:t>2035</w:t>
            </w:r>
          </w:p>
        </w:tc>
      </w:tr>
      <w:tr w:rsidR="00C97DF3" w:rsidRPr="00C97DF3" w14:paraId="08FD9EF4" w14:textId="77777777" w:rsidTr="008F1976">
        <w:trPr>
          <w:trHeight w:val="60"/>
        </w:trPr>
        <w:tc>
          <w:tcPr>
            <w:tcW w:w="1082" w:type="pct"/>
            <w:vMerge/>
            <w:shd w:val="clear" w:color="auto" w:fill="365F91"/>
            <w:vAlign w:val="center"/>
          </w:tcPr>
          <w:p w14:paraId="2BB8A5A3" w14:textId="77777777" w:rsidR="00C97DF3" w:rsidRPr="00C97DF3" w:rsidRDefault="00C97DF3" w:rsidP="00C97DF3">
            <w:pPr>
              <w:widowControl w:val="0"/>
              <w:autoSpaceDE w:val="0"/>
              <w:autoSpaceDN w:val="0"/>
              <w:rPr>
                <w:rFonts w:ascii="Arial Narrow" w:eastAsia="Calibri" w:hAnsi="Arial Narrow" w:cs="Arial"/>
                <w:sz w:val="20"/>
                <w:szCs w:val="20"/>
              </w:rPr>
            </w:pPr>
          </w:p>
        </w:tc>
        <w:tc>
          <w:tcPr>
            <w:tcW w:w="1916" w:type="pct"/>
            <w:vMerge w:val="restart"/>
            <w:vAlign w:val="center"/>
          </w:tcPr>
          <w:p w14:paraId="65B72791" w14:textId="2120A72A" w:rsidR="00C97DF3" w:rsidRPr="00C97DF3" w:rsidRDefault="00C97DF3" w:rsidP="00C97DF3">
            <w:pPr>
              <w:widowControl w:val="0"/>
              <w:autoSpaceDE w:val="0"/>
              <w:autoSpaceDN w:val="0"/>
              <w:ind w:left="138" w:right="264"/>
              <w:rPr>
                <w:rFonts w:ascii="Arial Narrow" w:eastAsia="Calibri" w:hAnsi="Arial Narrow" w:cs="Arial"/>
                <w:sz w:val="20"/>
                <w:szCs w:val="20"/>
              </w:rPr>
            </w:pPr>
            <w:r w:rsidRPr="00C97DF3">
              <w:rPr>
                <w:rFonts w:ascii="Arial Narrow" w:eastAsia="Calibri" w:hAnsi="Arial Narrow" w:cs="Arial"/>
                <w:sz w:val="20"/>
                <w:szCs w:val="20"/>
              </w:rPr>
              <w:t xml:space="preserve">Ripërdorimi, riciklimi dhe rikuperimi i materialeve të tjera të </w:t>
            </w:r>
            <w:r w:rsidR="00E30891">
              <w:rPr>
                <w:rFonts w:ascii="Arial Narrow" w:eastAsia="Calibri" w:hAnsi="Arial Narrow" w:cs="Arial"/>
                <w:sz w:val="20"/>
                <w:szCs w:val="20"/>
              </w:rPr>
              <w:t>MNRr-ve</w:t>
            </w:r>
          </w:p>
        </w:tc>
        <w:tc>
          <w:tcPr>
            <w:tcW w:w="654" w:type="pct"/>
            <w:vMerge w:val="restart"/>
            <w:vAlign w:val="center"/>
          </w:tcPr>
          <w:p w14:paraId="3E75DF36" w14:textId="77777777" w:rsidR="00C97DF3" w:rsidRPr="00C97DF3" w:rsidRDefault="00C97DF3" w:rsidP="00C97DF3">
            <w:pPr>
              <w:widowControl w:val="0"/>
              <w:autoSpaceDE w:val="0"/>
              <w:autoSpaceDN w:val="0"/>
              <w:jc w:val="center"/>
              <w:rPr>
                <w:rFonts w:ascii="Arial Narrow" w:eastAsia="Calibri" w:hAnsi="Arial Narrow" w:cs="Arial"/>
                <w:sz w:val="20"/>
                <w:szCs w:val="20"/>
              </w:rPr>
            </w:pPr>
            <w:r w:rsidRPr="00C97DF3">
              <w:rPr>
                <w:rFonts w:ascii="Arial Narrow" w:eastAsia="Calibri" w:hAnsi="Arial Narrow" w:cs="Arial"/>
                <w:sz w:val="20"/>
                <w:szCs w:val="20"/>
              </w:rPr>
              <w:t>0%</w:t>
            </w:r>
          </w:p>
        </w:tc>
        <w:tc>
          <w:tcPr>
            <w:tcW w:w="719" w:type="pct"/>
          </w:tcPr>
          <w:p w14:paraId="4B00E5EB" w14:textId="77777777" w:rsidR="00C97DF3" w:rsidRPr="00C97DF3" w:rsidRDefault="00C97DF3" w:rsidP="00C97DF3">
            <w:pPr>
              <w:jc w:val="center"/>
              <w:rPr>
                <w:rFonts w:ascii="Arial Narrow" w:eastAsia="Calibri" w:hAnsi="Arial Narrow" w:cs="Arial"/>
                <w:sz w:val="20"/>
                <w:szCs w:val="20"/>
              </w:rPr>
            </w:pPr>
            <w:r w:rsidRPr="00C97DF3">
              <w:rPr>
                <w:rFonts w:ascii="Arial Narrow" w:eastAsia="Calibri" w:hAnsi="Arial Narrow" w:cs="Arial"/>
                <w:sz w:val="20"/>
                <w:szCs w:val="20"/>
              </w:rPr>
              <w:t>60%</w:t>
            </w:r>
          </w:p>
        </w:tc>
        <w:tc>
          <w:tcPr>
            <w:tcW w:w="629" w:type="pct"/>
            <w:vAlign w:val="center"/>
          </w:tcPr>
          <w:p w14:paraId="7C815743" w14:textId="77777777" w:rsidR="00C97DF3" w:rsidRPr="00C97DF3" w:rsidRDefault="00C97DF3" w:rsidP="00C97DF3">
            <w:pPr>
              <w:jc w:val="right"/>
              <w:rPr>
                <w:rFonts w:ascii="Arial Narrow" w:eastAsia="Calibri" w:hAnsi="Arial Narrow" w:cs="Arial"/>
                <w:sz w:val="20"/>
                <w:szCs w:val="20"/>
              </w:rPr>
            </w:pPr>
            <w:r w:rsidRPr="00C97DF3">
              <w:rPr>
                <w:rFonts w:ascii="Arial Narrow" w:eastAsia="Calibri" w:hAnsi="Arial Narrow" w:cs="Arial"/>
                <w:sz w:val="20"/>
                <w:szCs w:val="20"/>
              </w:rPr>
              <w:t>2030</w:t>
            </w:r>
          </w:p>
        </w:tc>
      </w:tr>
      <w:tr w:rsidR="00C97DF3" w:rsidRPr="00C97DF3" w14:paraId="4FDDA1E5" w14:textId="77777777" w:rsidTr="008F1976">
        <w:trPr>
          <w:trHeight w:val="60"/>
        </w:trPr>
        <w:tc>
          <w:tcPr>
            <w:tcW w:w="1082" w:type="pct"/>
            <w:vMerge/>
            <w:shd w:val="clear" w:color="auto" w:fill="365F91"/>
            <w:vAlign w:val="center"/>
          </w:tcPr>
          <w:p w14:paraId="04C7A2A1" w14:textId="77777777" w:rsidR="00C97DF3" w:rsidRPr="00C97DF3" w:rsidRDefault="00C97DF3" w:rsidP="00C97DF3">
            <w:pPr>
              <w:widowControl w:val="0"/>
              <w:autoSpaceDE w:val="0"/>
              <w:autoSpaceDN w:val="0"/>
              <w:rPr>
                <w:rFonts w:ascii="Arial Narrow" w:eastAsia="Calibri" w:hAnsi="Arial Narrow" w:cs="Arial"/>
                <w:sz w:val="20"/>
                <w:szCs w:val="20"/>
              </w:rPr>
            </w:pPr>
          </w:p>
        </w:tc>
        <w:tc>
          <w:tcPr>
            <w:tcW w:w="1916" w:type="pct"/>
            <w:vMerge/>
            <w:vAlign w:val="center"/>
          </w:tcPr>
          <w:p w14:paraId="79B69F80" w14:textId="77777777" w:rsidR="00C97DF3" w:rsidRPr="00C97DF3" w:rsidRDefault="00C97DF3" w:rsidP="00C97DF3">
            <w:pPr>
              <w:widowControl w:val="0"/>
              <w:autoSpaceDE w:val="0"/>
              <w:autoSpaceDN w:val="0"/>
              <w:ind w:left="138" w:right="264"/>
              <w:rPr>
                <w:rFonts w:ascii="Arial Narrow" w:eastAsia="Calibri" w:hAnsi="Arial Narrow" w:cs="Arial"/>
                <w:sz w:val="20"/>
                <w:szCs w:val="20"/>
              </w:rPr>
            </w:pPr>
          </w:p>
        </w:tc>
        <w:tc>
          <w:tcPr>
            <w:tcW w:w="654" w:type="pct"/>
            <w:vMerge/>
            <w:vAlign w:val="center"/>
          </w:tcPr>
          <w:p w14:paraId="6E11E75C" w14:textId="77777777" w:rsidR="00C97DF3" w:rsidRPr="00C97DF3" w:rsidRDefault="00C97DF3" w:rsidP="00C97DF3">
            <w:pPr>
              <w:widowControl w:val="0"/>
              <w:autoSpaceDE w:val="0"/>
              <w:autoSpaceDN w:val="0"/>
              <w:jc w:val="center"/>
              <w:rPr>
                <w:rFonts w:ascii="Arial Narrow" w:eastAsia="Calibri" w:hAnsi="Arial Narrow" w:cs="Arial"/>
                <w:sz w:val="20"/>
                <w:szCs w:val="20"/>
              </w:rPr>
            </w:pPr>
          </w:p>
        </w:tc>
        <w:tc>
          <w:tcPr>
            <w:tcW w:w="719" w:type="pct"/>
          </w:tcPr>
          <w:p w14:paraId="3FE5A9FC" w14:textId="77777777" w:rsidR="00C97DF3" w:rsidRPr="00C97DF3" w:rsidRDefault="00C97DF3" w:rsidP="00C97DF3">
            <w:pPr>
              <w:jc w:val="center"/>
              <w:rPr>
                <w:rFonts w:ascii="Arial Narrow" w:eastAsia="Calibri" w:hAnsi="Arial Narrow" w:cs="Arial"/>
                <w:sz w:val="20"/>
                <w:szCs w:val="20"/>
              </w:rPr>
            </w:pPr>
            <w:r w:rsidRPr="00C97DF3">
              <w:rPr>
                <w:rFonts w:ascii="Arial Narrow" w:eastAsia="Calibri" w:hAnsi="Arial Narrow" w:cs="Arial"/>
                <w:sz w:val="20"/>
                <w:szCs w:val="20"/>
              </w:rPr>
              <w:t>70%</w:t>
            </w:r>
          </w:p>
        </w:tc>
        <w:tc>
          <w:tcPr>
            <w:tcW w:w="629" w:type="pct"/>
            <w:vAlign w:val="center"/>
          </w:tcPr>
          <w:p w14:paraId="68B7023C" w14:textId="77777777" w:rsidR="00C97DF3" w:rsidRPr="00C97DF3" w:rsidRDefault="00C97DF3" w:rsidP="00C97DF3">
            <w:pPr>
              <w:jc w:val="right"/>
              <w:rPr>
                <w:rFonts w:ascii="Arial Narrow" w:eastAsia="Calibri" w:hAnsi="Arial Narrow" w:cs="Arial"/>
                <w:sz w:val="20"/>
                <w:szCs w:val="20"/>
              </w:rPr>
            </w:pPr>
            <w:r w:rsidRPr="00C97DF3">
              <w:rPr>
                <w:rFonts w:ascii="Arial Narrow" w:eastAsia="Calibri" w:hAnsi="Arial Narrow" w:cs="Arial"/>
                <w:sz w:val="20"/>
                <w:szCs w:val="20"/>
              </w:rPr>
              <w:t>2035</w:t>
            </w:r>
          </w:p>
        </w:tc>
      </w:tr>
    </w:tbl>
    <w:p w14:paraId="0498AFD4" w14:textId="77777777" w:rsidR="00C97DF3" w:rsidRPr="00C97DF3" w:rsidRDefault="00C97DF3" w:rsidP="00C97DF3">
      <w:pPr>
        <w:jc w:val="both"/>
        <w:rPr>
          <w:rFonts w:ascii="Arial Narrow" w:eastAsia="Calibri" w:hAnsi="Arial Narrow"/>
          <w:sz w:val="22"/>
          <w:szCs w:val="22"/>
        </w:rPr>
      </w:pPr>
    </w:p>
    <w:p w14:paraId="709DFF20" w14:textId="77777777" w:rsidR="00C97DF3" w:rsidRPr="00C97DF3" w:rsidRDefault="00C97DF3" w:rsidP="00C97DF3">
      <w:pPr>
        <w:jc w:val="both"/>
        <w:rPr>
          <w:rFonts w:ascii="Arial Narrow" w:eastAsia="Calibri" w:hAnsi="Arial Narrow"/>
          <w:b/>
          <w:bCs/>
          <w:sz w:val="22"/>
          <w:szCs w:val="22"/>
        </w:rPr>
      </w:pPr>
      <w:r w:rsidRPr="00C97DF3">
        <w:rPr>
          <w:rFonts w:ascii="Arial Narrow" w:eastAsia="Calibri" w:hAnsi="Arial Narrow"/>
          <w:b/>
          <w:bCs/>
          <w:sz w:val="22"/>
          <w:szCs w:val="22"/>
        </w:rPr>
        <w:t>Parashikimi i popullsisë dhe gjenerimit të mbeturinave</w:t>
      </w:r>
    </w:p>
    <w:p w14:paraId="44C83247" w14:textId="77777777" w:rsidR="00A610A4" w:rsidRPr="00BE2534" w:rsidRDefault="00A610A4" w:rsidP="00A610A4">
      <w:pPr>
        <w:rPr>
          <w:rFonts w:ascii="Arial Narrow" w:eastAsia="Calibri" w:hAnsi="Arial Narrow" w:cs="Calibri"/>
          <w:sz w:val="22"/>
          <w:szCs w:val="22"/>
          <w:lang w:val="sq-AL"/>
        </w:rPr>
      </w:pPr>
      <w:r w:rsidRPr="00BE2534">
        <w:rPr>
          <w:rFonts w:ascii="Arial Narrow" w:eastAsia="Calibri" w:hAnsi="Arial Narrow" w:cs="Calibri"/>
          <w:sz w:val="22"/>
          <w:szCs w:val="22"/>
          <w:lang w:val="sq-AL"/>
        </w:rPr>
        <w:t>Analiza e opsioneve është zhvilluar sipas parashikimeve të popullsisë dhe parashikimeve të gjenerimit të mbeturinave siç paraqitet në figurat e mëposhtme. Të dhënat e popullsisë bazohen në regjistrimin e fundit të popullsisë, publikuar në vitin 2024.</w:t>
      </w:r>
    </w:p>
    <w:p w14:paraId="660758EB" w14:textId="77777777" w:rsidR="00C97DF3" w:rsidRPr="00C97DF3" w:rsidRDefault="00C97DF3" w:rsidP="00C97DF3">
      <w:pPr>
        <w:rPr>
          <w:rFonts w:ascii="Arial Narrow" w:eastAsia="Calibri" w:hAnsi="Arial Narrow" w:cs="Calibri"/>
          <w:sz w:val="22"/>
          <w:szCs w:val="22"/>
        </w:rPr>
      </w:pPr>
    </w:p>
    <w:p w14:paraId="17914876" w14:textId="77777777" w:rsidR="00A610A4" w:rsidRDefault="00A610A4" w:rsidP="00C97DF3">
      <w:pPr>
        <w:pStyle w:val="Figure"/>
        <w:spacing w:before="0" w:after="0"/>
        <w:ind w:left="1411" w:hanging="1411"/>
        <w:rPr>
          <w:rFonts w:eastAsia="Calibri" w:cs="Calibri"/>
          <w:sz w:val="20"/>
          <w:szCs w:val="20"/>
        </w:rPr>
      </w:pPr>
      <w:r w:rsidRPr="00BE2534">
        <w:rPr>
          <w:rFonts w:eastAsia="Calibri" w:cs="Calibri"/>
          <w:noProof/>
          <w:sz w:val="22"/>
          <w:szCs w:val="22"/>
          <w:lang w:val="sq-AL"/>
        </w:rPr>
        <w:lastRenderedPageBreak/>
        <w:drawing>
          <wp:inline distT="0" distB="0" distL="0" distR="0" wp14:anchorId="4135D4EE" wp14:editId="28451C9C">
            <wp:extent cx="4438650" cy="3552825"/>
            <wp:effectExtent l="0" t="0" r="0" b="9525"/>
            <wp:docPr id="522004630" name="Chart 1">
              <a:extLst xmlns:a="http://schemas.openxmlformats.org/drawingml/2006/main">
                <a:ext uri="{FF2B5EF4-FFF2-40B4-BE49-F238E27FC236}">
                  <a16:creationId xmlns:a16="http://schemas.microsoft.com/office/drawing/2014/main" id="{2D57D669-3988-783B-D05C-3020D53B74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F59DC71" w14:textId="12A32363" w:rsidR="00C97DF3" w:rsidRPr="00C97DF3" w:rsidRDefault="00C97DF3" w:rsidP="00C97DF3">
      <w:pPr>
        <w:pStyle w:val="Figure"/>
        <w:spacing w:before="0" w:after="0"/>
        <w:ind w:left="1411" w:hanging="1411"/>
        <w:rPr>
          <w:rFonts w:eastAsia="Calibri" w:cs="Calibri"/>
          <w:sz w:val="20"/>
          <w:szCs w:val="20"/>
        </w:rPr>
      </w:pPr>
      <w:bookmarkStart w:id="5" w:name="_Toc197472304"/>
      <w:r w:rsidRPr="00C97DF3">
        <w:rPr>
          <w:rFonts w:eastAsia="Calibri" w:cs="Calibri"/>
          <w:sz w:val="20"/>
          <w:szCs w:val="20"/>
        </w:rPr>
        <w:t xml:space="preserve">Figura </w:t>
      </w:r>
      <w:r w:rsidRPr="00C97DF3">
        <w:rPr>
          <w:rFonts w:eastAsia="Calibri" w:cs="Calibri"/>
          <w:sz w:val="20"/>
          <w:szCs w:val="20"/>
        </w:rPr>
        <w:fldChar w:fldCharType="begin"/>
      </w:r>
      <w:r w:rsidRPr="00C97DF3">
        <w:rPr>
          <w:rFonts w:eastAsia="Calibri" w:cs="Calibri"/>
          <w:sz w:val="20"/>
          <w:szCs w:val="20"/>
        </w:rPr>
        <w:instrText xml:space="preserve"> SEQ Figure \* ARABIC </w:instrText>
      </w:r>
      <w:r w:rsidRPr="00C97DF3">
        <w:rPr>
          <w:rFonts w:eastAsia="Calibri" w:cs="Calibri"/>
          <w:sz w:val="20"/>
          <w:szCs w:val="20"/>
        </w:rPr>
        <w:fldChar w:fldCharType="separate"/>
      </w:r>
      <w:r>
        <w:rPr>
          <w:rFonts w:eastAsia="Calibri" w:cs="Calibri"/>
          <w:noProof/>
          <w:sz w:val="20"/>
          <w:szCs w:val="20"/>
        </w:rPr>
        <w:t xml:space="preserve">1 </w:t>
      </w:r>
      <w:r w:rsidRPr="00C97DF3">
        <w:rPr>
          <w:rFonts w:eastAsia="Calibri" w:cs="Calibri"/>
          <w:sz w:val="20"/>
          <w:szCs w:val="20"/>
        </w:rPr>
        <w:fldChar w:fldCharType="end"/>
      </w:r>
      <w:r w:rsidRPr="00C97DF3">
        <w:rPr>
          <w:rFonts w:eastAsia="Calibri" w:cs="Calibri"/>
          <w:sz w:val="20"/>
          <w:szCs w:val="20"/>
        </w:rPr>
        <w:t>. Parashikimi i popullsisë për Rajonin e Dukagjinit, 2024-2035</w:t>
      </w:r>
      <w:bookmarkEnd w:id="5"/>
    </w:p>
    <w:p w14:paraId="456ABB2F" w14:textId="77777777" w:rsidR="00C97DF3" w:rsidRPr="00C97DF3" w:rsidRDefault="00C97DF3" w:rsidP="00C97DF3">
      <w:pPr>
        <w:rPr>
          <w:rFonts w:ascii="Arial Narrow" w:eastAsia="Calibri" w:hAnsi="Arial Narrow" w:cs="Calibri"/>
          <w:sz w:val="22"/>
          <w:szCs w:val="22"/>
        </w:rPr>
      </w:pPr>
    </w:p>
    <w:p w14:paraId="10644B82" w14:textId="77777777" w:rsidR="00A610A4" w:rsidRPr="00BE2534" w:rsidRDefault="00A610A4" w:rsidP="00A610A4">
      <w:pPr>
        <w:rPr>
          <w:rFonts w:ascii="Arial Narrow" w:eastAsia="Calibri" w:hAnsi="Arial Narrow" w:cs="Calibri"/>
          <w:sz w:val="22"/>
          <w:szCs w:val="22"/>
          <w:lang w:val="sq-AL"/>
        </w:rPr>
      </w:pPr>
      <w:r w:rsidRPr="00BE2534">
        <w:rPr>
          <w:rFonts w:ascii="Arial Narrow" w:eastAsia="Calibri" w:hAnsi="Arial Narrow" w:cs="Calibri"/>
          <w:sz w:val="22"/>
          <w:szCs w:val="22"/>
          <w:lang w:val="sq-AL"/>
        </w:rPr>
        <w:t>Siç shihet nga diagrami i mësipërm, popullsia e rajonit të Dukagjinit pritet të zvogëlohet në mënyrë të pandjeshme në periudhën e planifikimit dhe të mbetet pak nën 180 mijë banorë.</w:t>
      </w:r>
    </w:p>
    <w:p w14:paraId="375FA6B5" w14:textId="77777777" w:rsidR="00C97DF3" w:rsidRPr="00C97DF3" w:rsidRDefault="00C97DF3" w:rsidP="00C97DF3">
      <w:pPr>
        <w:rPr>
          <w:rFonts w:ascii="Arial Narrow" w:eastAsia="Calibri" w:hAnsi="Arial Narrow" w:cs="Calibri"/>
          <w:sz w:val="22"/>
          <w:szCs w:val="22"/>
        </w:rPr>
      </w:pPr>
    </w:p>
    <w:p w14:paraId="6B8B3515" w14:textId="77777777" w:rsidR="00C97DF3" w:rsidRPr="00C97DF3" w:rsidRDefault="00C97DF3" w:rsidP="00C97DF3">
      <w:pPr>
        <w:rPr>
          <w:rFonts w:ascii="Arial Narrow" w:eastAsia="Calibri" w:hAnsi="Arial Narrow" w:cs="Calibri"/>
          <w:sz w:val="22"/>
          <w:szCs w:val="22"/>
        </w:rPr>
      </w:pPr>
      <w:r w:rsidRPr="00C97DF3">
        <w:rPr>
          <w:rFonts w:ascii="Arial Narrow" w:eastAsia="Calibri" w:hAnsi="Arial Narrow" w:cs="Calibri"/>
          <w:sz w:val="22"/>
          <w:szCs w:val="22"/>
        </w:rPr>
        <w:t>Figura më poshtë tregon një parashikim për sasitë e mbeturinave gjatë periudhës së planifikimit.</w:t>
      </w:r>
    </w:p>
    <w:p w14:paraId="568063D5" w14:textId="77777777" w:rsidR="00C97DF3" w:rsidRPr="00C97DF3" w:rsidRDefault="00C97DF3" w:rsidP="00C97DF3">
      <w:pPr>
        <w:rPr>
          <w:rFonts w:ascii="Arial Narrow" w:eastAsia="Calibri" w:hAnsi="Arial Narrow" w:cs="Calibri"/>
          <w:sz w:val="22"/>
          <w:szCs w:val="22"/>
        </w:rPr>
      </w:pPr>
    </w:p>
    <w:p w14:paraId="1682D04D" w14:textId="739F5D8E" w:rsidR="00C97DF3" w:rsidRPr="00C97DF3" w:rsidRDefault="00A610A4" w:rsidP="00C97DF3">
      <w:pPr>
        <w:jc w:val="center"/>
        <w:rPr>
          <w:rFonts w:ascii="Arial Narrow" w:eastAsia="Calibri" w:hAnsi="Arial Narrow" w:cs="Calibri"/>
          <w:sz w:val="22"/>
          <w:szCs w:val="22"/>
        </w:rPr>
      </w:pPr>
      <w:r w:rsidRPr="00BE2534">
        <w:rPr>
          <w:rFonts w:ascii="Arial Narrow" w:eastAsia="Calibri" w:hAnsi="Arial Narrow" w:cs="Calibri"/>
          <w:noProof/>
          <w:sz w:val="22"/>
          <w:szCs w:val="22"/>
          <w:lang w:val="sq-AL"/>
        </w:rPr>
        <w:lastRenderedPageBreak/>
        <w:drawing>
          <wp:inline distT="0" distB="0" distL="0" distR="0" wp14:anchorId="43D4FE35" wp14:editId="5D290733">
            <wp:extent cx="4057650" cy="3181350"/>
            <wp:effectExtent l="0" t="0" r="0" b="0"/>
            <wp:docPr id="1556260285" name="Chart 1">
              <a:extLst xmlns:a="http://schemas.openxmlformats.org/drawingml/2006/main">
                <a:ext uri="{FF2B5EF4-FFF2-40B4-BE49-F238E27FC236}">
                  <a16:creationId xmlns:a16="http://schemas.microsoft.com/office/drawing/2014/main" id="{C4B7860D-FAEB-ED37-E7BC-0496F3F0CB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37DDF5B" w14:textId="3000CE7B" w:rsidR="00C97DF3" w:rsidRPr="00C97DF3" w:rsidRDefault="00C97DF3" w:rsidP="00C97DF3">
      <w:pPr>
        <w:pStyle w:val="Figure"/>
        <w:spacing w:before="0" w:after="0"/>
        <w:ind w:left="1411" w:hanging="1411"/>
        <w:rPr>
          <w:rFonts w:eastAsia="Calibri" w:cs="Calibri"/>
          <w:sz w:val="20"/>
          <w:szCs w:val="20"/>
        </w:rPr>
      </w:pPr>
      <w:bookmarkStart w:id="6" w:name="_Toc197472305"/>
      <w:r w:rsidRPr="00C97DF3">
        <w:rPr>
          <w:rFonts w:eastAsia="Calibri" w:cs="Calibri"/>
          <w:sz w:val="20"/>
          <w:szCs w:val="20"/>
        </w:rPr>
        <w:t xml:space="preserve">Figura </w:t>
      </w:r>
      <w:r w:rsidRPr="00C97DF3">
        <w:rPr>
          <w:rFonts w:eastAsia="Calibri" w:cs="Calibri"/>
          <w:sz w:val="20"/>
          <w:szCs w:val="20"/>
        </w:rPr>
        <w:fldChar w:fldCharType="begin"/>
      </w:r>
      <w:r w:rsidRPr="00C97DF3">
        <w:rPr>
          <w:rFonts w:eastAsia="Calibri" w:cs="Calibri"/>
          <w:sz w:val="20"/>
          <w:szCs w:val="20"/>
        </w:rPr>
        <w:instrText xml:space="preserve"> SEQ Figure \* ARABIC </w:instrText>
      </w:r>
      <w:r w:rsidRPr="00C97DF3">
        <w:rPr>
          <w:rFonts w:eastAsia="Calibri" w:cs="Calibri"/>
          <w:sz w:val="20"/>
          <w:szCs w:val="20"/>
        </w:rPr>
        <w:fldChar w:fldCharType="separate"/>
      </w:r>
      <w:r>
        <w:rPr>
          <w:rFonts w:eastAsia="Calibri" w:cs="Calibri"/>
          <w:noProof/>
          <w:sz w:val="20"/>
          <w:szCs w:val="20"/>
        </w:rPr>
        <w:t xml:space="preserve">2. </w:t>
      </w:r>
      <w:r w:rsidRPr="00C97DF3">
        <w:rPr>
          <w:rFonts w:eastAsia="Calibri" w:cs="Calibri"/>
          <w:sz w:val="20"/>
          <w:szCs w:val="20"/>
        </w:rPr>
        <w:fldChar w:fldCharType="end"/>
      </w:r>
      <w:r w:rsidRPr="00C97DF3">
        <w:rPr>
          <w:rFonts w:eastAsia="Calibri" w:cs="Calibri"/>
          <w:sz w:val="20"/>
          <w:szCs w:val="20"/>
        </w:rPr>
        <w:t>Parashikimi i gjenerimit të mbet</w:t>
      </w:r>
      <w:r w:rsidR="00A610A4">
        <w:rPr>
          <w:rFonts w:eastAsia="Calibri" w:cs="Calibri"/>
          <w:sz w:val="20"/>
          <w:szCs w:val="20"/>
        </w:rPr>
        <w:t>urinave</w:t>
      </w:r>
      <w:r w:rsidRPr="00C97DF3">
        <w:rPr>
          <w:rFonts w:eastAsia="Calibri" w:cs="Calibri"/>
          <w:sz w:val="20"/>
          <w:szCs w:val="20"/>
        </w:rPr>
        <w:t xml:space="preserve"> komunale, 2024-2035</w:t>
      </w:r>
      <w:bookmarkEnd w:id="6"/>
    </w:p>
    <w:p w14:paraId="7EEE8789" w14:textId="77777777" w:rsidR="00C97DF3" w:rsidRPr="00C97DF3" w:rsidRDefault="00C97DF3" w:rsidP="00C97DF3">
      <w:pPr>
        <w:rPr>
          <w:rFonts w:ascii="Arial Narrow" w:hAnsi="Arial Narrow"/>
        </w:rPr>
      </w:pPr>
    </w:p>
    <w:p w14:paraId="5F8EAAEB" w14:textId="77777777" w:rsidR="00A610A4" w:rsidRPr="00BE2534" w:rsidRDefault="00A610A4" w:rsidP="00A610A4">
      <w:pPr>
        <w:rPr>
          <w:rFonts w:ascii="Arial Narrow" w:hAnsi="Arial Narrow"/>
          <w:lang w:val="sq-AL"/>
        </w:rPr>
      </w:pPr>
      <w:r w:rsidRPr="00BE2534">
        <w:rPr>
          <w:rFonts w:ascii="Arial Narrow" w:hAnsi="Arial Narrow"/>
          <w:lang w:val="sq-AL"/>
        </w:rPr>
        <w:t>Megjithëse popullsia e rajonit pritet të mbetet mjaft konstante, sasia e mbeturinave pritet të rritet me 7% në fund të periudhës së planifikimit dhe të arrijë në rreth 73,000 tonë në vitin 2035. Kjo vjen si pasojë e rritjes së pritshme të BPV-së gjatë kësaj periudhe.</w:t>
      </w:r>
    </w:p>
    <w:p w14:paraId="6E2BF74E" w14:textId="77777777" w:rsidR="00C97DF3" w:rsidRPr="00C97DF3" w:rsidRDefault="00C97DF3" w:rsidP="00C97DF3">
      <w:pPr>
        <w:jc w:val="both"/>
        <w:rPr>
          <w:rFonts w:ascii="Arial Narrow" w:eastAsia="Calibri" w:hAnsi="Arial Narrow"/>
          <w:sz w:val="22"/>
          <w:szCs w:val="22"/>
        </w:rPr>
      </w:pPr>
    </w:p>
    <w:p w14:paraId="27BB5FC7" w14:textId="111373D4" w:rsidR="00C97DF3" w:rsidRPr="00C97DF3" w:rsidRDefault="00C97DF3" w:rsidP="00C97DF3">
      <w:pPr>
        <w:jc w:val="both"/>
        <w:rPr>
          <w:rFonts w:ascii="Arial Narrow" w:eastAsia="Calibri" w:hAnsi="Arial Narrow"/>
          <w:b/>
          <w:bCs/>
          <w:sz w:val="22"/>
          <w:szCs w:val="22"/>
        </w:rPr>
      </w:pPr>
      <w:r w:rsidRPr="00C97DF3">
        <w:rPr>
          <w:rFonts w:ascii="Arial Narrow" w:eastAsia="Calibri" w:hAnsi="Arial Narrow"/>
          <w:b/>
          <w:bCs/>
          <w:sz w:val="22"/>
          <w:szCs w:val="22"/>
        </w:rPr>
        <w:t xml:space="preserve">Analiza e opsioneve dhe zhvillimi i </w:t>
      </w:r>
      <w:r w:rsidR="00362660">
        <w:rPr>
          <w:rFonts w:ascii="Arial Narrow" w:eastAsia="Calibri" w:hAnsi="Arial Narrow"/>
          <w:b/>
          <w:bCs/>
          <w:sz w:val="22"/>
          <w:szCs w:val="22"/>
        </w:rPr>
        <w:t>sistemit të rekomanduar</w:t>
      </w:r>
    </w:p>
    <w:p w14:paraId="5A561342" w14:textId="77777777" w:rsidR="00C97DF3" w:rsidRPr="00FF7243" w:rsidRDefault="00C97DF3" w:rsidP="00C97DF3">
      <w:pPr>
        <w:rPr>
          <w:rFonts w:ascii="Arial Narrow" w:hAnsi="Arial Narrow"/>
          <w:color w:val="000000"/>
          <w:sz w:val="22"/>
          <w:szCs w:val="22"/>
          <w:lang w:eastAsia="de-DE"/>
        </w:rPr>
      </w:pPr>
      <w:r w:rsidRPr="00FF7243">
        <w:rPr>
          <w:rFonts w:ascii="Arial Narrow" w:hAnsi="Arial Narrow"/>
          <w:color w:val="000000"/>
          <w:sz w:val="22"/>
          <w:szCs w:val="22"/>
          <w:lang w:eastAsia="de-DE"/>
        </w:rPr>
        <w:t>Janë vlerësuar opsionet, të cilat mbulojnë komponentët e mëposhtëm të sistemit:</w:t>
      </w:r>
    </w:p>
    <w:p w14:paraId="332DAD22" w14:textId="77777777" w:rsidR="00C97DF3" w:rsidRPr="00C97DF3" w:rsidRDefault="00C97DF3" w:rsidP="00C97DF3">
      <w:pPr>
        <w:numPr>
          <w:ilvl w:val="0"/>
          <w:numId w:val="41"/>
        </w:numPr>
        <w:spacing w:after="160" w:line="278" w:lineRule="auto"/>
        <w:contextualSpacing/>
        <w:rPr>
          <w:rFonts w:ascii="Arial Narrow" w:hAnsi="Arial Narrow"/>
          <w:color w:val="000000"/>
          <w:sz w:val="22"/>
          <w:szCs w:val="22"/>
          <w:lang w:val="en-GB" w:eastAsia="de-DE"/>
        </w:rPr>
      </w:pPr>
      <w:proofErr w:type="spellStart"/>
      <w:r w:rsidRPr="00C97DF3">
        <w:rPr>
          <w:rFonts w:ascii="Arial Narrow" w:hAnsi="Arial Narrow"/>
          <w:color w:val="000000"/>
          <w:sz w:val="22"/>
          <w:szCs w:val="22"/>
          <w:lang w:val="en-GB" w:eastAsia="de-DE"/>
        </w:rPr>
        <w:t>Parandalimi</w:t>
      </w:r>
      <w:proofErr w:type="spellEnd"/>
      <w:r w:rsidRPr="00C97DF3">
        <w:rPr>
          <w:rFonts w:ascii="Arial Narrow" w:hAnsi="Arial Narrow"/>
          <w:color w:val="000000"/>
          <w:sz w:val="22"/>
          <w:szCs w:val="22"/>
          <w:lang w:val="en-GB" w:eastAsia="de-DE"/>
        </w:rPr>
        <w:t xml:space="preserve"> i </w:t>
      </w:r>
      <w:proofErr w:type="spellStart"/>
      <w:r w:rsidRPr="00C97DF3">
        <w:rPr>
          <w:rFonts w:ascii="Arial Narrow" w:hAnsi="Arial Narrow"/>
          <w:color w:val="000000"/>
          <w:sz w:val="22"/>
          <w:szCs w:val="22"/>
          <w:lang w:val="en-GB" w:eastAsia="de-DE"/>
        </w:rPr>
        <w:t>mbeturinave</w:t>
      </w:r>
      <w:proofErr w:type="spellEnd"/>
    </w:p>
    <w:p w14:paraId="7A57C93D" w14:textId="7BD7C5A6" w:rsidR="00C97DF3" w:rsidRPr="00C97DF3" w:rsidRDefault="00C97DF3" w:rsidP="00C97DF3">
      <w:pPr>
        <w:numPr>
          <w:ilvl w:val="0"/>
          <w:numId w:val="41"/>
        </w:numPr>
        <w:spacing w:after="160" w:line="278" w:lineRule="auto"/>
        <w:contextualSpacing/>
        <w:rPr>
          <w:rFonts w:ascii="Arial Narrow" w:hAnsi="Arial Narrow"/>
          <w:color w:val="000000"/>
          <w:sz w:val="22"/>
          <w:szCs w:val="22"/>
          <w:lang w:val="en-GB" w:eastAsia="de-DE"/>
        </w:rPr>
      </w:pPr>
      <w:proofErr w:type="spellStart"/>
      <w:r w:rsidRPr="00C97DF3">
        <w:rPr>
          <w:rFonts w:ascii="Arial Narrow" w:hAnsi="Arial Narrow"/>
          <w:color w:val="000000"/>
          <w:sz w:val="22"/>
          <w:szCs w:val="22"/>
          <w:lang w:val="en-GB" w:eastAsia="de-DE"/>
        </w:rPr>
        <w:t>Mbledhja</w:t>
      </w:r>
      <w:proofErr w:type="spellEnd"/>
      <w:r w:rsidRPr="00C97DF3">
        <w:rPr>
          <w:rFonts w:ascii="Arial Narrow" w:hAnsi="Arial Narrow"/>
          <w:color w:val="000000"/>
          <w:sz w:val="22"/>
          <w:szCs w:val="22"/>
          <w:lang w:val="en-GB" w:eastAsia="de-DE"/>
        </w:rPr>
        <w:t xml:space="preserve"> e </w:t>
      </w:r>
      <w:proofErr w:type="spellStart"/>
      <w:r w:rsidRPr="00C97DF3">
        <w:rPr>
          <w:rFonts w:ascii="Arial Narrow" w:hAnsi="Arial Narrow"/>
          <w:color w:val="000000"/>
          <w:sz w:val="22"/>
          <w:szCs w:val="22"/>
          <w:lang w:val="en-GB" w:eastAsia="de-DE"/>
        </w:rPr>
        <w:t>mbeturinave</w:t>
      </w:r>
      <w:proofErr w:type="spellEnd"/>
    </w:p>
    <w:p w14:paraId="14D02BD7" w14:textId="77777777" w:rsidR="00C97DF3" w:rsidRPr="00C97DF3" w:rsidRDefault="00C97DF3" w:rsidP="00C97DF3">
      <w:pPr>
        <w:numPr>
          <w:ilvl w:val="0"/>
          <w:numId w:val="41"/>
        </w:numPr>
        <w:spacing w:after="160" w:line="278" w:lineRule="auto"/>
        <w:contextualSpacing/>
        <w:rPr>
          <w:rFonts w:ascii="Arial Narrow" w:hAnsi="Arial Narrow"/>
          <w:color w:val="000000"/>
          <w:sz w:val="22"/>
          <w:szCs w:val="22"/>
          <w:lang w:val="en-GB" w:eastAsia="de-DE"/>
        </w:rPr>
      </w:pPr>
      <w:proofErr w:type="spellStart"/>
      <w:r w:rsidRPr="00C97DF3">
        <w:rPr>
          <w:rFonts w:ascii="Arial Narrow" w:hAnsi="Arial Narrow"/>
          <w:color w:val="000000"/>
          <w:sz w:val="22"/>
          <w:szCs w:val="22"/>
          <w:lang w:val="en-GB" w:eastAsia="de-DE"/>
        </w:rPr>
        <w:t>Transporti</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dhe</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transferimi</w:t>
      </w:r>
      <w:proofErr w:type="spellEnd"/>
      <w:r w:rsidRPr="00C97DF3">
        <w:rPr>
          <w:rFonts w:ascii="Arial Narrow" w:hAnsi="Arial Narrow"/>
          <w:color w:val="000000"/>
          <w:sz w:val="22"/>
          <w:szCs w:val="22"/>
          <w:lang w:val="en-GB" w:eastAsia="de-DE"/>
        </w:rPr>
        <w:t xml:space="preserve"> i </w:t>
      </w:r>
      <w:proofErr w:type="spellStart"/>
      <w:r w:rsidRPr="00C97DF3">
        <w:rPr>
          <w:rFonts w:ascii="Arial Narrow" w:hAnsi="Arial Narrow"/>
          <w:color w:val="000000"/>
          <w:sz w:val="22"/>
          <w:szCs w:val="22"/>
          <w:lang w:val="en-GB" w:eastAsia="de-DE"/>
        </w:rPr>
        <w:t>mbeturinave</w:t>
      </w:r>
      <w:proofErr w:type="spellEnd"/>
    </w:p>
    <w:p w14:paraId="112E8231" w14:textId="3DDB1063" w:rsidR="00C97DF3" w:rsidRPr="00C97DF3" w:rsidRDefault="00C97DF3" w:rsidP="00C97DF3">
      <w:pPr>
        <w:numPr>
          <w:ilvl w:val="0"/>
          <w:numId w:val="41"/>
        </w:numPr>
        <w:spacing w:after="160" w:line="278" w:lineRule="auto"/>
        <w:contextualSpacing/>
        <w:rPr>
          <w:rFonts w:ascii="Arial Narrow" w:hAnsi="Arial Narrow"/>
          <w:color w:val="000000"/>
          <w:sz w:val="22"/>
          <w:szCs w:val="22"/>
          <w:lang w:val="en-GB" w:eastAsia="de-DE"/>
        </w:rPr>
      </w:pPr>
      <w:proofErr w:type="spellStart"/>
      <w:r w:rsidRPr="00C97DF3">
        <w:rPr>
          <w:rFonts w:ascii="Arial Narrow" w:hAnsi="Arial Narrow"/>
          <w:color w:val="000000"/>
          <w:sz w:val="22"/>
          <w:szCs w:val="22"/>
          <w:lang w:val="en-GB" w:eastAsia="de-DE"/>
        </w:rPr>
        <w:t>Mbledhja</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ndar</w:t>
      </w:r>
      <w:r w:rsidR="00362660">
        <w:rPr>
          <w:rFonts w:ascii="Arial Narrow" w:hAnsi="Arial Narrow"/>
          <w:color w:val="000000"/>
          <w:sz w:val="22"/>
          <w:szCs w:val="22"/>
          <w:lang w:val="en-GB" w:eastAsia="de-DE"/>
        </w:rPr>
        <w:t>as</w:t>
      </w:r>
      <w:proofErr w:type="spellEnd"/>
      <w:r w:rsidRPr="00C97DF3">
        <w:rPr>
          <w:rFonts w:ascii="Arial Narrow" w:hAnsi="Arial Narrow"/>
          <w:color w:val="000000"/>
          <w:sz w:val="22"/>
          <w:szCs w:val="22"/>
          <w:lang w:val="en-GB" w:eastAsia="de-DE"/>
        </w:rPr>
        <w:t xml:space="preserve"> e </w:t>
      </w:r>
      <w:proofErr w:type="spellStart"/>
      <w:r w:rsidRPr="00C97DF3">
        <w:rPr>
          <w:rFonts w:ascii="Arial Narrow" w:hAnsi="Arial Narrow"/>
          <w:color w:val="000000"/>
          <w:sz w:val="22"/>
          <w:szCs w:val="22"/>
          <w:lang w:val="en-GB" w:eastAsia="de-DE"/>
        </w:rPr>
        <w:t>mbeturinave</w:t>
      </w:r>
      <w:proofErr w:type="spellEnd"/>
    </w:p>
    <w:p w14:paraId="40455649" w14:textId="77777777" w:rsidR="00C97DF3" w:rsidRPr="00C97DF3" w:rsidRDefault="00C97DF3" w:rsidP="00C97DF3">
      <w:pPr>
        <w:numPr>
          <w:ilvl w:val="0"/>
          <w:numId w:val="41"/>
        </w:numPr>
        <w:spacing w:after="160" w:line="278" w:lineRule="auto"/>
        <w:contextualSpacing/>
        <w:rPr>
          <w:rFonts w:ascii="Arial Narrow" w:hAnsi="Arial Narrow"/>
          <w:color w:val="000000"/>
          <w:sz w:val="22"/>
          <w:szCs w:val="22"/>
          <w:lang w:val="en-GB" w:eastAsia="de-DE"/>
        </w:rPr>
      </w:pPr>
      <w:proofErr w:type="spellStart"/>
      <w:r w:rsidRPr="00C97DF3">
        <w:rPr>
          <w:rFonts w:ascii="Arial Narrow" w:hAnsi="Arial Narrow"/>
          <w:color w:val="000000"/>
          <w:sz w:val="22"/>
          <w:szCs w:val="22"/>
          <w:lang w:val="en-GB" w:eastAsia="de-DE"/>
        </w:rPr>
        <w:t>Riciklimi</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dhe</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rikuperimi</w:t>
      </w:r>
      <w:proofErr w:type="spellEnd"/>
      <w:r w:rsidRPr="00C97DF3">
        <w:rPr>
          <w:rFonts w:ascii="Arial Narrow" w:hAnsi="Arial Narrow"/>
          <w:color w:val="000000"/>
          <w:sz w:val="22"/>
          <w:szCs w:val="22"/>
          <w:lang w:val="en-GB" w:eastAsia="de-DE"/>
        </w:rPr>
        <w:t xml:space="preserve"> i </w:t>
      </w:r>
      <w:proofErr w:type="spellStart"/>
      <w:r w:rsidRPr="00C97DF3">
        <w:rPr>
          <w:rFonts w:ascii="Arial Narrow" w:hAnsi="Arial Narrow"/>
          <w:color w:val="000000"/>
          <w:sz w:val="22"/>
          <w:szCs w:val="22"/>
          <w:lang w:val="en-GB" w:eastAsia="de-DE"/>
        </w:rPr>
        <w:t>mbeturinave</w:t>
      </w:r>
      <w:proofErr w:type="spellEnd"/>
    </w:p>
    <w:p w14:paraId="3F0C091C" w14:textId="77777777" w:rsidR="00C97DF3" w:rsidRPr="00C97DF3" w:rsidRDefault="00C97DF3" w:rsidP="00C97DF3">
      <w:pPr>
        <w:numPr>
          <w:ilvl w:val="0"/>
          <w:numId w:val="41"/>
        </w:numPr>
        <w:spacing w:after="160" w:line="278" w:lineRule="auto"/>
        <w:contextualSpacing/>
        <w:rPr>
          <w:rFonts w:ascii="Arial Narrow" w:hAnsi="Arial Narrow"/>
          <w:color w:val="000000"/>
          <w:sz w:val="22"/>
          <w:szCs w:val="22"/>
          <w:lang w:val="en-GB" w:eastAsia="de-DE"/>
        </w:rPr>
      </w:pPr>
      <w:proofErr w:type="spellStart"/>
      <w:r w:rsidRPr="00C97DF3">
        <w:rPr>
          <w:rFonts w:ascii="Arial Narrow" w:hAnsi="Arial Narrow"/>
          <w:color w:val="000000"/>
          <w:sz w:val="22"/>
          <w:szCs w:val="22"/>
          <w:lang w:val="en-GB" w:eastAsia="de-DE"/>
        </w:rPr>
        <w:t>Deponimi</w:t>
      </w:r>
      <w:proofErr w:type="spellEnd"/>
      <w:r w:rsidRPr="00C97DF3">
        <w:rPr>
          <w:rFonts w:ascii="Arial Narrow" w:hAnsi="Arial Narrow"/>
          <w:color w:val="000000"/>
          <w:sz w:val="22"/>
          <w:szCs w:val="22"/>
          <w:lang w:val="en-GB" w:eastAsia="de-DE"/>
        </w:rPr>
        <w:t xml:space="preserve"> i </w:t>
      </w:r>
      <w:proofErr w:type="spellStart"/>
      <w:r w:rsidRPr="00C97DF3">
        <w:rPr>
          <w:rFonts w:ascii="Arial Narrow" w:hAnsi="Arial Narrow"/>
          <w:color w:val="000000"/>
          <w:sz w:val="22"/>
          <w:szCs w:val="22"/>
          <w:lang w:val="en-GB" w:eastAsia="de-DE"/>
        </w:rPr>
        <w:t>mbeturinave</w:t>
      </w:r>
      <w:proofErr w:type="spellEnd"/>
    </w:p>
    <w:p w14:paraId="4BC641CD" w14:textId="77777777" w:rsidR="00C97DF3" w:rsidRPr="00C97DF3" w:rsidRDefault="00C97DF3" w:rsidP="00C97DF3">
      <w:pPr>
        <w:numPr>
          <w:ilvl w:val="0"/>
          <w:numId w:val="41"/>
        </w:numPr>
        <w:spacing w:after="160" w:line="278" w:lineRule="auto"/>
        <w:contextualSpacing/>
        <w:rPr>
          <w:rFonts w:ascii="Arial Narrow" w:hAnsi="Arial Narrow"/>
          <w:color w:val="000000"/>
          <w:sz w:val="22"/>
          <w:szCs w:val="22"/>
          <w:lang w:val="en-GB" w:eastAsia="de-DE"/>
        </w:rPr>
      </w:pPr>
      <w:proofErr w:type="spellStart"/>
      <w:r w:rsidRPr="00C97DF3">
        <w:rPr>
          <w:rFonts w:ascii="Arial Narrow" w:hAnsi="Arial Narrow"/>
          <w:color w:val="000000"/>
          <w:sz w:val="22"/>
          <w:szCs w:val="22"/>
          <w:lang w:val="en-GB" w:eastAsia="de-DE"/>
        </w:rPr>
        <w:t>Marrëveshjet</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institucionale</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dhe</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organizative</w:t>
      </w:r>
      <w:proofErr w:type="spellEnd"/>
    </w:p>
    <w:p w14:paraId="0FD72C05" w14:textId="77777777" w:rsidR="00C97DF3" w:rsidRPr="00C97DF3" w:rsidRDefault="00C97DF3" w:rsidP="00C97DF3">
      <w:pPr>
        <w:rPr>
          <w:rFonts w:ascii="Arial Narrow" w:hAnsi="Arial Narrow"/>
          <w:color w:val="000000"/>
          <w:sz w:val="22"/>
          <w:szCs w:val="22"/>
          <w:lang w:val="en-GB" w:eastAsia="de-DE"/>
        </w:rPr>
      </w:pPr>
    </w:p>
    <w:p w14:paraId="4CC0676D" w14:textId="0D761E1D" w:rsidR="00C97DF3" w:rsidRPr="00C97DF3" w:rsidRDefault="00C97DF3" w:rsidP="00C97DF3">
      <w:pPr>
        <w:rPr>
          <w:rFonts w:ascii="Arial Narrow" w:hAnsi="Arial Narrow"/>
          <w:color w:val="000000"/>
          <w:sz w:val="22"/>
          <w:szCs w:val="22"/>
          <w:lang w:val="en-GB" w:eastAsia="de-DE"/>
        </w:rPr>
      </w:pPr>
      <w:r w:rsidRPr="00C97DF3">
        <w:rPr>
          <w:rFonts w:ascii="Arial Narrow" w:hAnsi="Arial Narrow"/>
          <w:color w:val="000000"/>
          <w:sz w:val="22"/>
          <w:szCs w:val="22"/>
          <w:lang w:val="en-GB" w:eastAsia="de-DE"/>
        </w:rPr>
        <w:t xml:space="preserve">Analiza e </w:t>
      </w:r>
      <w:proofErr w:type="spellStart"/>
      <w:r w:rsidRPr="00C97DF3">
        <w:rPr>
          <w:rFonts w:ascii="Arial Narrow" w:hAnsi="Arial Narrow"/>
          <w:color w:val="000000"/>
          <w:sz w:val="22"/>
          <w:szCs w:val="22"/>
          <w:lang w:val="en-GB" w:eastAsia="de-DE"/>
        </w:rPr>
        <w:t>opsioneve</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krahasoi</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skenarë</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të</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ndryshëm</w:t>
      </w:r>
      <w:proofErr w:type="spellEnd"/>
      <w:r w:rsidRPr="00C97DF3">
        <w:rPr>
          <w:rFonts w:ascii="Arial Narrow" w:hAnsi="Arial Narrow"/>
          <w:color w:val="000000"/>
          <w:sz w:val="22"/>
          <w:szCs w:val="22"/>
          <w:lang w:val="en-GB" w:eastAsia="de-DE"/>
        </w:rPr>
        <w:t xml:space="preserve"> me </w:t>
      </w:r>
      <w:proofErr w:type="spellStart"/>
      <w:r w:rsidRPr="00C97DF3">
        <w:rPr>
          <w:rFonts w:ascii="Arial Narrow" w:hAnsi="Arial Narrow"/>
          <w:color w:val="000000"/>
          <w:sz w:val="22"/>
          <w:szCs w:val="22"/>
          <w:lang w:val="en-GB" w:eastAsia="de-DE"/>
        </w:rPr>
        <w:t>qëllim</w:t>
      </w:r>
      <w:proofErr w:type="spellEnd"/>
      <w:r w:rsidRPr="00C97DF3">
        <w:rPr>
          <w:rFonts w:ascii="Arial Narrow" w:hAnsi="Arial Narrow"/>
          <w:color w:val="000000"/>
          <w:sz w:val="22"/>
          <w:szCs w:val="22"/>
          <w:lang w:val="en-GB" w:eastAsia="de-DE"/>
        </w:rPr>
        <w:t xml:space="preserve"> </w:t>
      </w:r>
      <w:proofErr w:type="spellStart"/>
      <w:r w:rsidR="00362660">
        <w:rPr>
          <w:rFonts w:ascii="Arial Narrow" w:hAnsi="Arial Narrow"/>
          <w:color w:val="000000"/>
          <w:sz w:val="22"/>
          <w:szCs w:val="22"/>
          <w:lang w:val="en-GB" w:eastAsia="de-DE"/>
        </w:rPr>
        <w:t>të</w:t>
      </w:r>
      <w:proofErr w:type="spellEnd"/>
      <w:r w:rsidR="00362660">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identifikimi</w:t>
      </w:r>
      <w:r w:rsidR="00362660">
        <w:rPr>
          <w:rFonts w:ascii="Arial Narrow" w:hAnsi="Arial Narrow"/>
          <w:color w:val="000000"/>
          <w:sz w:val="22"/>
          <w:szCs w:val="22"/>
          <w:lang w:val="en-GB" w:eastAsia="de-DE"/>
        </w:rPr>
        <w:t>t</w:t>
      </w:r>
      <w:proofErr w:type="spellEnd"/>
      <w:r w:rsidRPr="00C97DF3">
        <w:rPr>
          <w:rFonts w:ascii="Arial Narrow" w:hAnsi="Arial Narrow"/>
          <w:color w:val="000000"/>
          <w:sz w:val="22"/>
          <w:szCs w:val="22"/>
          <w:lang w:val="en-GB" w:eastAsia="de-DE"/>
        </w:rPr>
        <w:t xml:space="preserve"> </w:t>
      </w:r>
      <w:proofErr w:type="spellStart"/>
      <w:r w:rsidR="00362660">
        <w:rPr>
          <w:rFonts w:ascii="Arial Narrow" w:hAnsi="Arial Narrow"/>
          <w:color w:val="000000"/>
          <w:sz w:val="22"/>
          <w:szCs w:val="22"/>
          <w:lang w:val="en-GB" w:eastAsia="de-DE"/>
        </w:rPr>
        <w:t>të</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shkallës</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së</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mundshme</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të</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kostove</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dhe</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përfitimeve</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që</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mund</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të</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vijnë</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nga</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kët</w:t>
      </w:r>
      <w:r w:rsidR="00362660">
        <w:rPr>
          <w:rFonts w:ascii="Arial Narrow" w:hAnsi="Arial Narrow"/>
          <w:color w:val="000000"/>
          <w:sz w:val="22"/>
          <w:szCs w:val="22"/>
          <w:lang w:val="en-GB" w:eastAsia="de-DE"/>
        </w:rPr>
        <w:t>a</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skenarë</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të</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ndryshëm</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të</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riciklimit</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dhe</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trajtimit</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më</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intensiv</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në</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zonën</w:t>
      </w:r>
      <w:proofErr w:type="spellEnd"/>
      <w:r w:rsidRPr="00C97DF3">
        <w:rPr>
          <w:rFonts w:ascii="Arial Narrow" w:hAnsi="Arial Narrow"/>
          <w:color w:val="000000"/>
          <w:sz w:val="22"/>
          <w:szCs w:val="22"/>
          <w:lang w:val="en-GB" w:eastAsia="de-DE"/>
        </w:rPr>
        <w:t xml:space="preserve"> e </w:t>
      </w:r>
      <w:proofErr w:type="spellStart"/>
      <w:r w:rsidRPr="00C97DF3">
        <w:rPr>
          <w:rFonts w:ascii="Arial Narrow" w:hAnsi="Arial Narrow"/>
          <w:color w:val="000000"/>
          <w:sz w:val="22"/>
          <w:szCs w:val="22"/>
          <w:lang w:val="en-GB" w:eastAsia="de-DE"/>
        </w:rPr>
        <w:t>menaxhimit</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të</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mbet</w:t>
      </w:r>
      <w:r w:rsidR="00362660">
        <w:rPr>
          <w:rFonts w:ascii="Arial Narrow" w:hAnsi="Arial Narrow"/>
          <w:color w:val="000000"/>
          <w:sz w:val="22"/>
          <w:szCs w:val="22"/>
          <w:lang w:val="en-GB" w:eastAsia="de-DE"/>
        </w:rPr>
        <w:t>urinave</w:t>
      </w:r>
      <w:proofErr w:type="spellEnd"/>
      <w:r w:rsidRPr="00C97DF3">
        <w:rPr>
          <w:rFonts w:ascii="Arial Narrow" w:hAnsi="Arial Narrow"/>
          <w:color w:val="000000"/>
          <w:sz w:val="22"/>
          <w:szCs w:val="22"/>
          <w:lang w:val="en-GB" w:eastAsia="de-DE"/>
        </w:rPr>
        <w:t xml:space="preserve"> (ZMM).</w:t>
      </w:r>
    </w:p>
    <w:p w14:paraId="0C4C8F80" w14:textId="77777777" w:rsidR="00C97DF3" w:rsidRPr="00C97DF3" w:rsidRDefault="00C97DF3" w:rsidP="00C97DF3">
      <w:pPr>
        <w:rPr>
          <w:rFonts w:ascii="Arial Narrow" w:hAnsi="Arial Narrow"/>
          <w:color w:val="000000"/>
          <w:sz w:val="22"/>
          <w:szCs w:val="22"/>
          <w:lang w:val="en-GB" w:eastAsia="de-DE"/>
        </w:rPr>
      </w:pPr>
    </w:p>
    <w:p w14:paraId="7029DF3D" w14:textId="4303E2C1" w:rsidR="00C97DF3" w:rsidRPr="00C97DF3" w:rsidRDefault="00C97DF3" w:rsidP="00C97DF3">
      <w:pPr>
        <w:rPr>
          <w:rFonts w:ascii="Arial Narrow" w:hAnsi="Arial Narrow"/>
          <w:color w:val="000000"/>
          <w:sz w:val="22"/>
          <w:szCs w:val="22"/>
          <w:lang w:val="en-GB" w:eastAsia="de-DE"/>
        </w:rPr>
      </w:pPr>
      <w:proofErr w:type="spellStart"/>
      <w:r w:rsidRPr="00C97DF3">
        <w:rPr>
          <w:rFonts w:ascii="Arial Narrow" w:hAnsi="Arial Narrow"/>
          <w:color w:val="000000"/>
          <w:sz w:val="22"/>
          <w:szCs w:val="22"/>
          <w:lang w:val="en-GB" w:eastAsia="de-DE"/>
        </w:rPr>
        <w:t>Tabela</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më</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poshtë</w:t>
      </w:r>
      <w:proofErr w:type="spellEnd"/>
      <w:r w:rsidRPr="00C97DF3">
        <w:rPr>
          <w:rFonts w:ascii="Arial Narrow" w:hAnsi="Arial Narrow"/>
          <w:color w:val="000000"/>
          <w:sz w:val="22"/>
          <w:szCs w:val="22"/>
          <w:lang w:val="en-GB" w:eastAsia="de-DE"/>
        </w:rPr>
        <w:t xml:space="preserve"> </w:t>
      </w:r>
      <w:proofErr w:type="spellStart"/>
      <w:r w:rsidR="00362660">
        <w:rPr>
          <w:rFonts w:ascii="Arial Narrow" w:hAnsi="Arial Narrow"/>
          <w:color w:val="000000"/>
          <w:sz w:val="22"/>
          <w:szCs w:val="22"/>
          <w:lang w:val="en-GB" w:eastAsia="de-DE"/>
        </w:rPr>
        <w:t>paraqet</w:t>
      </w:r>
      <w:proofErr w:type="spellEnd"/>
      <w:r w:rsidR="00362660">
        <w:rPr>
          <w:rFonts w:ascii="Arial Narrow" w:hAnsi="Arial Narrow"/>
          <w:color w:val="000000"/>
          <w:sz w:val="22"/>
          <w:szCs w:val="22"/>
          <w:lang w:val="en-GB" w:eastAsia="de-DE"/>
        </w:rPr>
        <w:t xml:space="preserve"> </w:t>
      </w:r>
      <w:proofErr w:type="spellStart"/>
      <w:r w:rsidR="00362660">
        <w:rPr>
          <w:rFonts w:ascii="Arial Narrow" w:hAnsi="Arial Narrow"/>
          <w:color w:val="000000"/>
          <w:sz w:val="22"/>
          <w:szCs w:val="22"/>
          <w:lang w:val="en-GB" w:eastAsia="de-DE"/>
        </w:rPr>
        <w:t>një</w:t>
      </w:r>
      <w:proofErr w:type="spellEnd"/>
      <w:r w:rsidR="00362660">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përmbledh</w:t>
      </w:r>
      <w:r w:rsidR="00362660">
        <w:rPr>
          <w:rFonts w:ascii="Arial Narrow" w:hAnsi="Arial Narrow"/>
          <w:color w:val="000000"/>
          <w:sz w:val="22"/>
          <w:szCs w:val="22"/>
          <w:lang w:val="en-GB" w:eastAsia="de-DE"/>
        </w:rPr>
        <w:t>je</w:t>
      </w:r>
      <w:proofErr w:type="spellEnd"/>
      <w:r w:rsidR="00362660">
        <w:rPr>
          <w:rFonts w:ascii="Arial Narrow" w:hAnsi="Arial Narrow"/>
          <w:color w:val="000000"/>
          <w:sz w:val="22"/>
          <w:szCs w:val="22"/>
          <w:lang w:val="en-GB" w:eastAsia="de-DE"/>
        </w:rPr>
        <w:t xml:space="preserve"> </w:t>
      </w:r>
      <w:proofErr w:type="spellStart"/>
      <w:r w:rsidR="00362660">
        <w:rPr>
          <w:rFonts w:ascii="Arial Narrow" w:hAnsi="Arial Narrow"/>
          <w:color w:val="000000"/>
          <w:sz w:val="22"/>
          <w:szCs w:val="22"/>
          <w:lang w:val="en-GB" w:eastAsia="de-DE"/>
        </w:rPr>
        <w:t>të</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detaj</w:t>
      </w:r>
      <w:r w:rsidR="00362660">
        <w:rPr>
          <w:rFonts w:ascii="Arial Narrow" w:hAnsi="Arial Narrow"/>
          <w:color w:val="000000"/>
          <w:sz w:val="22"/>
          <w:szCs w:val="22"/>
          <w:lang w:val="en-GB" w:eastAsia="de-DE"/>
        </w:rPr>
        <w:t>uar</w:t>
      </w:r>
      <w:proofErr w:type="spellEnd"/>
      <w:r w:rsidRPr="00C97DF3">
        <w:rPr>
          <w:rFonts w:ascii="Arial Narrow" w:hAnsi="Arial Narrow"/>
          <w:color w:val="000000"/>
          <w:sz w:val="22"/>
          <w:szCs w:val="22"/>
          <w:lang w:val="en-GB" w:eastAsia="de-DE"/>
        </w:rPr>
        <w:t xml:space="preserve"> </w:t>
      </w:r>
      <w:proofErr w:type="spellStart"/>
      <w:r w:rsidR="00362660">
        <w:rPr>
          <w:rFonts w:ascii="Arial Narrow" w:hAnsi="Arial Narrow"/>
          <w:color w:val="000000"/>
          <w:sz w:val="22"/>
          <w:szCs w:val="22"/>
          <w:lang w:val="en-GB" w:eastAsia="de-DE"/>
        </w:rPr>
        <w:t>të</w:t>
      </w:r>
      <w:proofErr w:type="spellEnd"/>
      <w:r w:rsidR="00362660">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sistemi</w:t>
      </w:r>
      <w:r w:rsidR="00362660">
        <w:rPr>
          <w:rFonts w:ascii="Arial Narrow" w:hAnsi="Arial Narrow"/>
          <w:color w:val="000000"/>
          <w:sz w:val="22"/>
          <w:szCs w:val="22"/>
          <w:lang w:val="en-GB" w:eastAsia="de-DE"/>
        </w:rPr>
        <w:t>t</w:t>
      </w:r>
      <w:proofErr w:type="spellEnd"/>
      <w:r w:rsidRPr="00C97DF3">
        <w:rPr>
          <w:rFonts w:ascii="Arial Narrow" w:hAnsi="Arial Narrow"/>
          <w:color w:val="000000"/>
          <w:sz w:val="22"/>
          <w:szCs w:val="22"/>
          <w:lang w:val="en-GB" w:eastAsia="de-DE"/>
        </w:rPr>
        <w:t xml:space="preserve"> </w:t>
      </w:r>
      <w:proofErr w:type="spellStart"/>
      <w:r w:rsidR="00362660">
        <w:rPr>
          <w:rFonts w:ascii="Arial Narrow" w:hAnsi="Arial Narrow"/>
          <w:color w:val="000000"/>
          <w:sz w:val="22"/>
          <w:szCs w:val="22"/>
          <w:lang w:val="en-GB" w:eastAsia="de-DE"/>
        </w:rPr>
        <w:t>të</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preferuar</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për</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sistemin</w:t>
      </w:r>
      <w:proofErr w:type="spellEnd"/>
      <w:r w:rsidRPr="00C97DF3">
        <w:rPr>
          <w:rFonts w:ascii="Arial Narrow" w:hAnsi="Arial Narrow"/>
          <w:color w:val="000000"/>
          <w:sz w:val="22"/>
          <w:szCs w:val="22"/>
          <w:lang w:val="en-GB" w:eastAsia="de-DE"/>
        </w:rPr>
        <w:t xml:space="preserve"> e </w:t>
      </w:r>
      <w:proofErr w:type="spellStart"/>
      <w:r w:rsidRPr="00C97DF3">
        <w:rPr>
          <w:rFonts w:ascii="Arial Narrow" w:hAnsi="Arial Narrow"/>
          <w:color w:val="000000"/>
          <w:sz w:val="22"/>
          <w:szCs w:val="22"/>
          <w:lang w:val="en-GB" w:eastAsia="de-DE"/>
        </w:rPr>
        <w:t>integruar</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të</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menaxhimit</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të</w:t>
      </w:r>
      <w:proofErr w:type="spellEnd"/>
      <w:r w:rsidRPr="00C97DF3">
        <w:rPr>
          <w:rFonts w:ascii="Arial Narrow" w:hAnsi="Arial Narrow"/>
          <w:color w:val="000000"/>
          <w:sz w:val="22"/>
          <w:szCs w:val="22"/>
          <w:lang w:val="en-GB" w:eastAsia="de-DE"/>
        </w:rPr>
        <w:t xml:space="preserve"> </w:t>
      </w:r>
      <w:proofErr w:type="spellStart"/>
      <w:r w:rsidRPr="00C97DF3">
        <w:rPr>
          <w:rFonts w:ascii="Arial Narrow" w:hAnsi="Arial Narrow"/>
          <w:color w:val="000000"/>
          <w:sz w:val="22"/>
          <w:szCs w:val="22"/>
          <w:lang w:val="en-GB" w:eastAsia="de-DE"/>
        </w:rPr>
        <w:t>mbet</w:t>
      </w:r>
      <w:r w:rsidR="00362660">
        <w:rPr>
          <w:rFonts w:ascii="Arial Narrow" w:hAnsi="Arial Narrow"/>
          <w:color w:val="000000"/>
          <w:sz w:val="22"/>
          <w:szCs w:val="22"/>
          <w:lang w:val="en-GB" w:eastAsia="de-DE"/>
        </w:rPr>
        <w:t>urinave</w:t>
      </w:r>
      <w:proofErr w:type="spellEnd"/>
      <w:r w:rsidR="00362660">
        <w:rPr>
          <w:rFonts w:ascii="Arial Narrow" w:hAnsi="Arial Narrow"/>
          <w:color w:val="000000"/>
          <w:sz w:val="22"/>
          <w:szCs w:val="22"/>
          <w:lang w:val="en-GB" w:eastAsia="de-DE"/>
        </w:rPr>
        <w:t xml:space="preserve"> </w:t>
      </w:r>
      <w:proofErr w:type="spellStart"/>
      <w:r w:rsidR="00362660">
        <w:rPr>
          <w:rFonts w:ascii="Arial Narrow" w:hAnsi="Arial Narrow"/>
          <w:color w:val="000000"/>
          <w:sz w:val="22"/>
          <w:szCs w:val="22"/>
          <w:lang w:val="en-GB" w:eastAsia="de-DE"/>
        </w:rPr>
        <w:t>inerte</w:t>
      </w:r>
      <w:proofErr w:type="spellEnd"/>
      <w:r w:rsidRPr="00C97DF3">
        <w:rPr>
          <w:rFonts w:ascii="Arial Narrow" w:hAnsi="Arial Narrow"/>
          <w:color w:val="000000"/>
          <w:sz w:val="22"/>
          <w:szCs w:val="22"/>
          <w:lang w:val="en-GB" w:eastAsia="de-DE"/>
        </w:rPr>
        <w:t>.</w:t>
      </w:r>
    </w:p>
    <w:p w14:paraId="11661AC7" w14:textId="071EEB6C" w:rsidR="00362660" w:rsidRDefault="00362660">
      <w:pPr>
        <w:rPr>
          <w:rFonts w:ascii="Arial Narrow" w:hAnsi="Arial Narrow"/>
          <w:color w:val="000000"/>
          <w:sz w:val="22"/>
          <w:szCs w:val="22"/>
          <w:lang w:val="en-GB" w:eastAsia="de-DE"/>
        </w:rPr>
      </w:pPr>
      <w:r>
        <w:rPr>
          <w:rFonts w:ascii="Arial Narrow" w:hAnsi="Arial Narrow"/>
          <w:color w:val="000000"/>
          <w:sz w:val="22"/>
          <w:szCs w:val="22"/>
          <w:lang w:val="en-GB" w:eastAsia="de-DE"/>
        </w:rPr>
        <w:br w:type="page"/>
      </w:r>
    </w:p>
    <w:p w14:paraId="483A3187" w14:textId="77777777" w:rsidR="00C97DF3" w:rsidRPr="00C97DF3" w:rsidRDefault="00C97DF3" w:rsidP="00C97DF3">
      <w:pPr>
        <w:rPr>
          <w:rFonts w:ascii="Arial Narrow" w:hAnsi="Arial Narrow"/>
          <w:color w:val="000000"/>
          <w:sz w:val="22"/>
          <w:szCs w:val="22"/>
          <w:lang w:val="en-GB" w:eastAsia="de-DE"/>
        </w:rPr>
      </w:pPr>
    </w:p>
    <w:p w14:paraId="151E0243" w14:textId="194946E1" w:rsidR="00C97DF3" w:rsidRPr="00C97DF3" w:rsidRDefault="00C97DF3" w:rsidP="00C97DF3">
      <w:pPr>
        <w:suppressAutoHyphens/>
        <w:rPr>
          <w:rFonts w:ascii="Arial Narrow" w:eastAsia="Calibri" w:hAnsi="Arial Narrow" w:cs="Calibri"/>
          <w:color w:val="1F497D"/>
          <w:sz w:val="20"/>
          <w:szCs w:val="20"/>
        </w:rPr>
      </w:pPr>
      <w:bookmarkStart w:id="7" w:name="_Toc197472187"/>
      <w:r w:rsidRPr="004459AE">
        <w:rPr>
          <w:rFonts w:ascii="Arial Narrow" w:eastAsia="Calibri" w:hAnsi="Arial Narrow" w:cs="Calibri"/>
          <w:color w:val="1F497D"/>
          <w:sz w:val="20"/>
          <w:szCs w:val="20"/>
        </w:rPr>
        <w:t xml:space="preserve">Tabela </w:t>
      </w:r>
      <w:r w:rsidRPr="004459AE">
        <w:rPr>
          <w:rFonts w:ascii="Arial Narrow" w:eastAsia="Calibri" w:hAnsi="Arial Narrow" w:cs="Calibri"/>
          <w:color w:val="1F497D"/>
          <w:sz w:val="20"/>
          <w:szCs w:val="20"/>
        </w:rPr>
        <w:fldChar w:fldCharType="begin"/>
      </w:r>
      <w:r w:rsidRPr="004459AE">
        <w:rPr>
          <w:rFonts w:ascii="Arial Narrow" w:eastAsia="Calibri" w:hAnsi="Arial Narrow" w:cs="Calibri"/>
          <w:color w:val="1F497D"/>
          <w:sz w:val="20"/>
          <w:szCs w:val="20"/>
        </w:rPr>
        <w:instrText xml:space="preserve"> SEQ Table \* ARABIC </w:instrText>
      </w:r>
      <w:r w:rsidRPr="004459AE">
        <w:rPr>
          <w:rFonts w:ascii="Arial Narrow" w:eastAsia="Calibri" w:hAnsi="Arial Narrow" w:cs="Calibri"/>
          <w:color w:val="1F497D"/>
          <w:sz w:val="20"/>
          <w:szCs w:val="20"/>
        </w:rPr>
        <w:fldChar w:fldCharType="separate"/>
      </w:r>
      <w:r w:rsidRPr="004459AE">
        <w:rPr>
          <w:rFonts w:ascii="Arial Narrow" w:eastAsia="Calibri" w:hAnsi="Arial Narrow" w:cs="Calibri"/>
          <w:noProof/>
          <w:color w:val="1F497D"/>
          <w:sz w:val="20"/>
          <w:szCs w:val="20"/>
        </w:rPr>
        <w:t xml:space="preserve">2. </w:t>
      </w:r>
      <w:r w:rsidRPr="004459AE">
        <w:rPr>
          <w:rFonts w:ascii="Arial Narrow" w:eastAsia="Calibri" w:hAnsi="Arial Narrow" w:cs="Calibri"/>
          <w:color w:val="1F497D"/>
          <w:sz w:val="20"/>
          <w:szCs w:val="20"/>
        </w:rPr>
        <w:fldChar w:fldCharType="end"/>
      </w:r>
      <w:r w:rsidRPr="004459AE">
        <w:rPr>
          <w:rFonts w:ascii="Arial Narrow" w:eastAsia="Calibri" w:hAnsi="Arial Narrow" w:cs="Calibri"/>
          <w:color w:val="1F497D"/>
          <w:sz w:val="20"/>
          <w:szCs w:val="20"/>
        </w:rPr>
        <w:t>Prezantimi i sistemit të preferuar</w:t>
      </w:r>
      <w:bookmarkEnd w:id="7"/>
    </w:p>
    <w:tbl>
      <w:tblPr>
        <w:tblStyle w:val="TableGrid13"/>
        <w:tblW w:w="5000" w:type="pct"/>
        <w:tblLook w:val="04A0" w:firstRow="1" w:lastRow="0" w:firstColumn="1" w:lastColumn="0" w:noHBand="0" w:noVBand="1"/>
      </w:tblPr>
      <w:tblGrid>
        <w:gridCol w:w="2235"/>
        <w:gridCol w:w="2799"/>
        <w:gridCol w:w="2988"/>
        <w:gridCol w:w="1328"/>
      </w:tblGrid>
      <w:tr w:rsidR="00C97DF3" w:rsidRPr="00C97DF3" w14:paraId="70E19948" w14:textId="77777777" w:rsidTr="008F1976">
        <w:trPr>
          <w:tblHeader/>
        </w:trPr>
        <w:tc>
          <w:tcPr>
            <w:tcW w:w="1195" w:type="pct"/>
            <w:shd w:val="clear" w:color="auto" w:fill="365F91"/>
            <w:tcMar>
              <w:left w:w="58" w:type="dxa"/>
              <w:right w:w="58" w:type="dxa"/>
            </w:tcMar>
          </w:tcPr>
          <w:p w14:paraId="3B498022" w14:textId="77777777" w:rsidR="00C97DF3" w:rsidRPr="00C97DF3" w:rsidRDefault="00C97DF3" w:rsidP="00C97DF3">
            <w:pPr>
              <w:rPr>
                <w:rFonts w:ascii="Arial Narrow" w:hAnsi="Arial Narrow"/>
                <w:b/>
                <w:bCs/>
                <w:color w:val="FFFFFF"/>
              </w:rPr>
            </w:pPr>
            <w:r w:rsidRPr="00C97DF3">
              <w:rPr>
                <w:rFonts w:ascii="Arial Narrow" w:hAnsi="Arial Narrow"/>
                <w:b/>
                <w:bCs/>
                <w:color w:val="FFFFFF"/>
              </w:rPr>
              <w:t>Elementi i sistemit</w:t>
            </w:r>
          </w:p>
        </w:tc>
        <w:tc>
          <w:tcPr>
            <w:tcW w:w="1497" w:type="pct"/>
            <w:shd w:val="clear" w:color="auto" w:fill="365F91"/>
            <w:tcMar>
              <w:left w:w="58" w:type="dxa"/>
              <w:right w:w="58" w:type="dxa"/>
            </w:tcMar>
          </w:tcPr>
          <w:p w14:paraId="0DC5703F" w14:textId="77777777" w:rsidR="00C97DF3" w:rsidRPr="00C97DF3" w:rsidRDefault="00C97DF3" w:rsidP="00C97DF3">
            <w:pPr>
              <w:rPr>
                <w:rFonts w:ascii="Arial Narrow" w:hAnsi="Arial Narrow"/>
                <w:b/>
                <w:bCs/>
                <w:color w:val="FFFFFF"/>
              </w:rPr>
            </w:pPr>
            <w:r w:rsidRPr="00C97DF3">
              <w:rPr>
                <w:rFonts w:ascii="Arial Narrow" w:hAnsi="Arial Narrow"/>
                <w:b/>
                <w:bCs/>
                <w:color w:val="FFFFFF"/>
              </w:rPr>
              <w:t>Përshkrimi</w:t>
            </w:r>
          </w:p>
        </w:tc>
        <w:tc>
          <w:tcPr>
            <w:tcW w:w="1598" w:type="pct"/>
            <w:shd w:val="clear" w:color="auto" w:fill="365F91"/>
            <w:tcMar>
              <w:left w:w="58" w:type="dxa"/>
              <w:right w:w="58" w:type="dxa"/>
            </w:tcMar>
          </w:tcPr>
          <w:p w14:paraId="6A6FD6D5" w14:textId="77777777" w:rsidR="00C97DF3" w:rsidRPr="00C97DF3" w:rsidRDefault="00C97DF3" w:rsidP="00C97DF3">
            <w:pPr>
              <w:rPr>
                <w:rFonts w:ascii="Arial Narrow" w:hAnsi="Arial Narrow"/>
                <w:b/>
                <w:bCs/>
                <w:color w:val="FFFFFF"/>
              </w:rPr>
            </w:pPr>
            <w:r w:rsidRPr="00C97DF3">
              <w:rPr>
                <w:rFonts w:ascii="Arial Narrow" w:hAnsi="Arial Narrow"/>
                <w:b/>
                <w:bCs/>
                <w:color w:val="FFFFFF"/>
              </w:rPr>
              <w:t>Kapaciteti</w:t>
            </w:r>
          </w:p>
        </w:tc>
        <w:tc>
          <w:tcPr>
            <w:tcW w:w="710" w:type="pct"/>
            <w:shd w:val="clear" w:color="auto" w:fill="365F91"/>
            <w:tcMar>
              <w:left w:w="58" w:type="dxa"/>
              <w:right w:w="58" w:type="dxa"/>
            </w:tcMar>
          </w:tcPr>
          <w:p w14:paraId="5F91A130" w14:textId="77777777" w:rsidR="00C97DF3" w:rsidRPr="00C97DF3" w:rsidRDefault="00C97DF3" w:rsidP="00C97DF3">
            <w:pPr>
              <w:rPr>
                <w:rFonts w:ascii="Arial Narrow" w:hAnsi="Arial Narrow"/>
                <w:b/>
                <w:bCs/>
                <w:color w:val="FFFFFF"/>
              </w:rPr>
            </w:pPr>
            <w:r w:rsidRPr="00C97DF3">
              <w:rPr>
                <w:rFonts w:ascii="Arial Narrow" w:hAnsi="Arial Narrow"/>
                <w:b/>
                <w:bCs/>
                <w:color w:val="FFFFFF"/>
              </w:rPr>
              <w:t>Viti/periudha</w:t>
            </w:r>
          </w:p>
        </w:tc>
      </w:tr>
      <w:tr w:rsidR="004459AE" w:rsidRPr="00C97DF3" w14:paraId="4600E557" w14:textId="77777777" w:rsidTr="008F1976">
        <w:tc>
          <w:tcPr>
            <w:tcW w:w="1195" w:type="pct"/>
            <w:tcMar>
              <w:left w:w="58" w:type="dxa"/>
              <w:right w:w="58" w:type="dxa"/>
            </w:tcMar>
          </w:tcPr>
          <w:p w14:paraId="19C2601C" w14:textId="77777777" w:rsidR="004459AE" w:rsidRPr="00C97DF3" w:rsidRDefault="004459AE" w:rsidP="004459AE">
            <w:pPr>
              <w:spacing w:before="40" w:after="40"/>
              <w:rPr>
                <w:rFonts w:ascii="Arial Narrow" w:hAnsi="Arial Narrow"/>
                <w:color w:val="000000"/>
                <w:lang w:eastAsia="de-DE"/>
              </w:rPr>
            </w:pPr>
            <w:r w:rsidRPr="00C97DF3">
              <w:rPr>
                <w:rFonts w:ascii="Arial Narrow" w:hAnsi="Arial Narrow"/>
                <w:color w:val="000000"/>
                <w:lang w:eastAsia="de-DE"/>
              </w:rPr>
              <w:t>Parandalimi i mbeturinave</w:t>
            </w:r>
          </w:p>
        </w:tc>
        <w:tc>
          <w:tcPr>
            <w:tcW w:w="1497" w:type="pct"/>
            <w:tcMar>
              <w:left w:w="58" w:type="dxa"/>
              <w:right w:w="58" w:type="dxa"/>
            </w:tcMar>
          </w:tcPr>
          <w:p w14:paraId="371B9CA5" w14:textId="77777777" w:rsidR="004459AE" w:rsidRPr="00BE2534" w:rsidRDefault="004459AE" w:rsidP="004459AE">
            <w:pPr>
              <w:spacing w:before="40" w:after="40"/>
              <w:rPr>
                <w:rFonts w:ascii="Arial Narrow" w:hAnsi="Arial Narrow"/>
                <w:color w:val="000000"/>
                <w:lang w:val="sq-AL" w:eastAsia="de-DE"/>
              </w:rPr>
            </w:pPr>
            <w:r w:rsidRPr="00BE2534">
              <w:rPr>
                <w:rFonts w:ascii="Arial Narrow" w:hAnsi="Arial Narrow"/>
                <w:color w:val="000000"/>
                <w:lang w:val="sq-AL" w:eastAsia="de-DE"/>
              </w:rPr>
              <w:t>Zhvillimi dhe zbatimi i programeve të kompostimit shtëpiak</w:t>
            </w:r>
          </w:p>
          <w:p w14:paraId="3955240F" w14:textId="77777777" w:rsidR="004459AE" w:rsidRPr="00BE2534" w:rsidRDefault="004459AE" w:rsidP="004459AE">
            <w:pPr>
              <w:spacing w:before="40" w:after="40"/>
              <w:rPr>
                <w:rFonts w:ascii="Arial Narrow" w:hAnsi="Arial Narrow"/>
                <w:color w:val="000000"/>
                <w:lang w:val="sq-AL" w:eastAsia="de-DE"/>
              </w:rPr>
            </w:pPr>
            <w:r w:rsidRPr="00BE2534">
              <w:rPr>
                <w:rFonts w:ascii="Arial Narrow" w:hAnsi="Arial Narrow"/>
                <w:color w:val="000000"/>
                <w:lang w:val="sq-AL" w:eastAsia="de-DE"/>
              </w:rPr>
              <w:t>Miratimi i udhëzimeve për prokurimin e gjelbër publik</w:t>
            </w:r>
          </w:p>
          <w:p w14:paraId="12551D2F" w14:textId="77777777" w:rsidR="004459AE" w:rsidRPr="00BE2534" w:rsidRDefault="004459AE" w:rsidP="004459AE">
            <w:pPr>
              <w:spacing w:before="40" w:after="40"/>
              <w:rPr>
                <w:rFonts w:ascii="Arial Narrow" w:hAnsi="Arial Narrow"/>
                <w:color w:val="000000"/>
                <w:lang w:val="sq-AL" w:eastAsia="de-DE"/>
              </w:rPr>
            </w:pPr>
            <w:r w:rsidRPr="00BE2534">
              <w:rPr>
                <w:rFonts w:ascii="Arial Narrow" w:hAnsi="Arial Narrow"/>
                <w:color w:val="000000"/>
                <w:lang w:val="sq-AL" w:eastAsia="de-DE"/>
              </w:rPr>
              <w:t>Mbështetja e bizneseve lokale në zbatimin e masave për parandalimin e mbeturinave ushqimore</w:t>
            </w:r>
          </w:p>
          <w:p w14:paraId="5B76E6B3" w14:textId="664D3D5C" w:rsidR="004459AE" w:rsidRPr="00C97DF3" w:rsidRDefault="004459AE" w:rsidP="004459AE">
            <w:pPr>
              <w:spacing w:before="40" w:after="40"/>
              <w:rPr>
                <w:rFonts w:ascii="Arial Narrow" w:hAnsi="Arial Narrow"/>
                <w:color w:val="000000"/>
                <w:lang w:eastAsia="de-DE"/>
              </w:rPr>
            </w:pPr>
            <w:r w:rsidRPr="00BE2534">
              <w:rPr>
                <w:rFonts w:ascii="Arial Narrow" w:hAnsi="Arial Narrow"/>
                <w:color w:val="000000"/>
                <w:lang w:val="sq-AL" w:eastAsia="de-DE"/>
              </w:rPr>
              <w:t>Pjesëmarrja në nismat kombëtare për reduktimin e plastikës njëpërdorimshe</w:t>
            </w:r>
          </w:p>
        </w:tc>
        <w:tc>
          <w:tcPr>
            <w:tcW w:w="1598" w:type="pct"/>
            <w:tcMar>
              <w:left w:w="58" w:type="dxa"/>
              <w:right w:w="58" w:type="dxa"/>
            </w:tcMar>
          </w:tcPr>
          <w:p w14:paraId="7B7D419B" w14:textId="77777777" w:rsidR="004459AE" w:rsidRPr="00C97DF3" w:rsidRDefault="004459AE" w:rsidP="004459AE">
            <w:pPr>
              <w:numPr>
                <w:ilvl w:val="0"/>
                <w:numId w:val="9"/>
              </w:numPr>
              <w:spacing w:before="40" w:after="40"/>
              <w:ind w:left="176" w:hanging="141"/>
              <w:contextualSpacing/>
              <w:rPr>
                <w:rFonts w:ascii="Arial Narrow" w:hAnsi="Arial Narrow"/>
                <w:color w:val="000000"/>
                <w:lang w:eastAsia="de-DE"/>
              </w:rPr>
            </w:pPr>
            <w:r w:rsidRPr="00C97DF3">
              <w:rPr>
                <w:rFonts w:ascii="Arial Narrow" w:hAnsi="Arial Narrow"/>
                <w:color w:val="000000"/>
                <w:lang w:eastAsia="de-DE"/>
              </w:rPr>
              <w:t>n/a</w:t>
            </w:r>
          </w:p>
        </w:tc>
        <w:tc>
          <w:tcPr>
            <w:tcW w:w="710" w:type="pct"/>
            <w:tcMar>
              <w:left w:w="58" w:type="dxa"/>
              <w:right w:w="58" w:type="dxa"/>
            </w:tcMar>
          </w:tcPr>
          <w:p w14:paraId="0F4ADCAF" w14:textId="4A44433D" w:rsidR="004459AE" w:rsidRPr="00C97DF3" w:rsidRDefault="004459AE" w:rsidP="004459AE">
            <w:pPr>
              <w:spacing w:before="40" w:after="40"/>
              <w:contextualSpacing/>
              <w:rPr>
                <w:rFonts w:ascii="Arial Narrow" w:hAnsi="Arial Narrow"/>
                <w:color w:val="000000"/>
                <w:lang w:eastAsia="de-DE"/>
              </w:rPr>
            </w:pPr>
            <w:r w:rsidRPr="00BE2534">
              <w:rPr>
                <w:rFonts w:ascii="Arial Narrow" w:hAnsi="Arial Narrow"/>
                <w:color w:val="000000"/>
                <w:lang w:val="sq-AL" w:eastAsia="de-DE"/>
              </w:rPr>
              <w:t>Vazhdimisht</w:t>
            </w:r>
          </w:p>
        </w:tc>
      </w:tr>
      <w:tr w:rsidR="004459AE" w:rsidRPr="00C97DF3" w14:paraId="7ACE2FC0" w14:textId="77777777" w:rsidTr="008F1976">
        <w:tc>
          <w:tcPr>
            <w:tcW w:w="1195" w:type="pct"/>
            <w:tcMar>
              <w:left w:w="58" w:type="dxa"/>
              <w:right w:w="58" w:type="dxa"/>
            </w:tcMar>
          </w:tcPr>
          <w:p w14:paraId="2B6B0430" w14:textId="07EB88E8" w:rsidR="004459AE" w:rsidRPr="00C97DF3" w:rsidRDefault="004459AE" w:rsidP="004459AE">
            <w:pPr>
              <w:spacing w:before="40" w:after="40"/>
              <w:rPr>
                <w:rFonts w:ascii="Arial Narrow" w:hAnsi="Arial Narrow"/>
                <w:color w:val="000000"/>
                <w:lang w:eastAsia="de-DE"/>
              </w:rPr>
            </w:pPr>
            <w:r w:rsidRPr="00BE2534">
              <w:rPr>
                <w:rFonts w:ascii="Arial Narrow" w:hAnsi="Arial Narrow"/>
                <w:color w:val="000000"/>
                <w:lang w:val="sq-AL" w:eastAsia="de-DE"/>
              </w:rPr>
              <w:t>Grumbullimi i mbeturinave të përziera</w:t>
            </w:r>
          </w:p>
        </w:tc>
        <w:tc>
          <w:tcPr>
            <w:tcW w:w="1497" w:type="pct"/>
            <w:tcMar>
              <w:left w:w="58" w:type="dxa"/>
              <w:right w:w="58" w:type="dxa"/>
            </w:tcMar>
          </w:tcPr>
          <w:p w14:paraId="184B7F77" w14:textId="77777777" w:rsidR="004459AE" w:rsidRPr="00BE2534" w:rsidRDefault="004459AE" w:rsidP="004459AE">
            <w:pPr>
              <w:spacing w:before="40" w:after="40"/>
              <w:rPr>
                <w:rFonts w:ascii="Arial Narrow" w:hAnsi="Arial Narrow" w:cs="Arial"/>
                <w:color w:val="000000"/>
                <w:lang w:val="sq-AL" w:eastAsia="de-DE"/>
              </w:rPr>
            </w:pPr>
            <w:r w:rsidRPr="00BE2534">
              <w:rPr>
                <w:rFonts w:ascii="Arial Narrow" w:hAnsi="Arial Narrow" w:cs="Arial"/>
                <w:color w:val="000000"/>
                <w:lang w:val="sq-AL" w:eastAsia="de-DE"/>
              </w:rPr>
              <w:t>Shporta individuale plastike 120/240 l për shtëpi familjare</w:t>
            </w:r>
          </w:p>
          <w:p w14:paraId="7C5E021B" w14:textId="2365B2E7" w:rsidR="004459AE" w:rsidRPr="00FF7243" w:rsidRDefault="004459AE" w:rsidP="004459AE">
            <w:pPr>
              <w:spacing w:before="40" w:after="40"/>
              <w:rPr>
                <w:rFonts w:ascii="Arial Narrow" w:hAnsi="Arial Narrow" w:cs="Arial"/>
                <w:color w:val="000000"/>
                <w:lang w:eastAsia="de-DE"/>
              </w:rPr>
            </w:pPr>
            <w:r w:rsidRPr="00BE2534">
              <w:rPr>
                <w:rFonts w:ascii="Arial Narrow" w:hAnsi="Arial Narrow" w:cs="Arial"/>
                <w:color w:val="000000"/>
                <w:lang w:val="sq-AL" w:eastAsia="de-DE"/>
              </w:rPr>
              <w:t>Shporta plastike individuale 120/240 l ose kontejnerë 1.1 m³ për ndërtesa shumëkatëshe në zonat urbane</w:t>
            </w:r>
          </w:p>
        </w:tc>
        <w:tc>
          <w:tcPr>
            <w:tcW w:w="1598" w:type="pct"/>
            <w:tcMar>
              <w:left w:w="58" w:type="dxa"/>
              <w:right w:w="58" w:type="dxa"/>
            </w:tcMar>
          </w:tcPr>
          <w:p w14:paraId="2FDFB47E" w14:textId="77777777" w:rsidR="004459AE" w:rsidRPr="00BE2534" w:rsidRDefault="004459AE" w:rsidP="004459AE">
            <w:pPr>
              <w:numPr>
                <w:ilvl w:val="0"/>
                <w:numId w:val="9"/>
              </w:numPr>
              <w:spacing w:before="40" w:after="40"/>
              <w:ind w:left="176" w:hanging="141"/>
              <w:contextualSpacing/>
              <w:rPr>
                <w:rFonts w:ascii="Arial Narrow" w:hAnsi="Arial Narrow"/>
                <w:color w:val="000000"/>
                <w:lang w:val="sq-AL" w:eastAsia="de-DE"/>
              </w:rPr>
            </w:pPr>
            <w:r w:rsidRPr="00BE2534">
              <w:rPr>
                <w:rFonts w:ascii="Arial Narrow" w:hAnsi="Arial Narrow"/>
                <w:color w:val="000000"/>
                <w:lang w:val="sq-AL" w:eastAsia="de-DE"/>
              </w:rPr>
              <w:t>54,234 tonë mbeturina të përziera të mbledhura në vitin 2026</w:t>
            </w:r>
          </w:p>
          <w:p w14:paraId="00E34EC6" w14:textId="341C119A" w:rsidR="004459AE" w:rsidRPr="00C97DF3" w:rsidRDefault="004459AE" w:rsidP="004459AE">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37,644 ton të mbledhura në vitin 2035</w:t>
            </w:r>
          </w:p>
        </w:tc>
        <w:tc>
          <w:tcPr>
            <w:tcW w:w="710" w:type="pct"/>
            <w:tcMar>
              <w:left w:w="58" w:type="dxa"/>
              <w:right w:w="58" w:type="dxa"/>
            </w:tcMar>
          </w:tcPr>
          <w:p w14:paraId="2B51C3B8" w14:textId="1CF3EE98" w:rsidR="004459AE" w:rsidRPr="00C97DF3" w:rsidRDefault="004459AE" w:rsidP="004459AE">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Ndërrimi gradual i kontejnerëve dhe automjeteve grumbulluese</w:t>
            </w:r>
          </w:p>
        </w:tc>
      </w:tr>
      <w:tr w:rsidR="004459AE" w:rsidRPr="00C97DF3" w14:paraId="1AA2A6E8" w14:textId="77777777" w:rsidTr="008F1976">
        <w:tc>
          <w:tcPr>
            <w:tcW w:w="1195" w:type="pct"/>
            <w:tcMar>
              <w:left w:w="58" w:type="dxa"/>
              <w:right w:w="58" w:type="dxa"/>
            </w:tcMar>
          </w:tcPr>
          <w:p w14:paraId="530AD026" w14:textId="7A75D9B1" w:rsidR="004459AE" w:rsidRPr="00C97DF3" w:rsidRDefault="004459AE" w:rsidP="004459AE">
            <w:pPr>
              <w:spacing w:before="40" w:after="40"/>
              <w:rPr>
                <w:rFonts w:ascii="Arial Narrow" w:hAnsi="Arial Narrow"/>
                <w:color w:val="000000"/>
                <w:lang w:eastAsia="de-DE"/>
              </w:rPr>
            </w:pPr>
            <w:r w:rsidRPr="00BE2534">
              <w:rPr>
                <w:rFonts w:ascii="Arial Narrow" w:hAnsi="Arial Narrow"/>
                <w:color w:val="000000"/>
                <w:lang w:val="sq-AL" w:eastAsia="de-DE"/>
              </w:rPr>
              <w:t xml:space="preserve">Mbledhja </w:t>
            </w:r>
            <w:r>
              <w:rPr>
                <w:rFonts w:ascii="Arial Narrow" w:hAnsi="Arial Narrow"/>
                <w:color w:val="000000"/>
                <w:lang w:val="sq-AL" w:eastAsia="de-DE"/>
              </w:rPr>
              <w:t>ndaras</w:t>
            </w:r>
            <w:r w:rsidRPr="00BE2534">
              <w:rPr>
                <w:rFonts w:ascii="Arial Narrow" w:hAnsi="Arial Narrow"/>
                <w:color w:val="000000"/>
                <w:lang w:val="sq-AL" w:eastAsia="de-DE"/>
              </w:rPr>
              <w:t xml:space="preserve"> e mbeturinave</w:t>
            </w:r>
          </w:p>
        </w:tc>
        <w:tc>
          <w:tcPr>
            <w:tcW w:w="1497" w:type="pct"/>
            <w:tcMar>
              <w:left w:w="58" w:type="dxa"/>
              <w:right w:w="58" w:type="dxa"/>
            </w:tcMar>
          </w:tcPr>
          <w:p w14:paraId="64615E17" w14:textId="77777777" w:rsidR="004459AE" w:rsidRPr="00BE2534" w:rsidRDefault="004459AE" w:rsidP="004459AE">
            <w:pPr>
              <w:spacing w:before="40" w:after="40" w:line="240" w:lineRule="auto"/>
              <w:rPr>
                <w:rFonts w:ascii="Arial Narrow" w:hAnsi="Arial Narrow"/>
                <w:color w:val="000000"/>
                <w:lang w:val="sq-AL" w:eastAsia="de-DE"/>
              </w:rPr>
            </w:pPr>
            <w:r w:rsidRPr="00BE2534">
              <w:rPr>
                <w:rFonts w:ascii="Arial Narrow" w:hAnsi="Arial Narrow"/>
                <w:color w:val="000000"/>
                <w:lang w:val="sq-AL" w:eastAsia="de-DE"/>
              </w:rPr>
              <w:t>Shporta individuale plastike 120/240 l për grumbullimin e materialeve të riciklueshme,</w:t>
            </w:r>
          </w:p>
          <w:p w14:paraId="1040DE3D" w14:textId="06637F03" w:rsidR="004459AE" w:rsidRPr="00C97DF3" w:rsidRDefault="004459AE" w:rsidP="004459AE">
            <w:pPr>
              <w:spacing w:before="40" w:after="40"/>
              <w:rPr>
                <w:rFonts w:ascii="Arial Narrow" w:hAnsi="Arial Narrow"/>
                <w:color w:val="000000"/>
                <w:lang w:eastAsia="de-DE"/>
              </w:rPr>
            </w:pPr>
            <w:r w:rsidRPr="00BE2534">
              <w:rPr>
                <w:rFonts w:ascii="Arial Narrow" w:hAnsi="Arial Narrow"/>
                <w:color w:val="000000"/>
                <w:lang w:val="sq-AL" w:eastAsia="de-DE"/>
              </w:rPr>
              <w:t>Kontejnerë 1.1 - 1.5 m³ për grumbullimin e veçantë të qelqit</w:t>
            </w:r>
          </w:p>
        </w:tc>
        <w:tc>
          <w:tcPr>
            <w:tcW w:w="1598" w:type="pct"/>
            <w:tcMar>
              <w:left w:w="58" w:type="dxa"/>
              <w:right w:w="58" w:type="dxa"/>
            </w:tcMar>
          </w:tcPr>
          <w:p w14:paraId="1B8EDB70" w14:textId="77777777" w:rsidR="004459AE" w:rsidRPr="00BE2534" w:rsidRDefault="004459AE" w:rsidP="004459AE">
            <w:pPr>
              <w:numPr>
                <w:ilvl w:val="0"/>
                <w:numId w:val="9"/>
              </w:numPr>
              <w:spacing w:before="40" w:after="40" w:line="240" w:lineRule="auto"/>
              <w:ind w:left="176" w:hanging="141"/>
              <w:contextualSpacing/>
              <w:rPr>
                <w:rFonts w:ascii="Arial Narrow" w:hAnsi="Arial Narrow"/>
                <w:color w:val="000000"/>
                <w:lang w:val="sq-AL" w:eastAsia="de-DE"/>
              </w:rPr>
            </w:pPr>
            <w:r w:rsidRPr="00BE2534">
              <w:rPr>
                <w:rFonts w:ascii="Arial Narrow" w:hAnsi="Arial Narrow"/>
                <w:color w:val="000000"/>
                <w:lang w:val="sq-AL" w:eastAsia="de-DE"/>
              </w:rPr>
              <w:t>100% e banorëve në zonat urbane dhe 80% e banorëve në zonat rurale</w:t>
            </w:r>
          </w:p>
          <w:p w14:paraId="78CCE824" w14:textId="52851940" w:rsidR="004459AE" w:rsidRPr="00C97DF3" w:rsidRDefault="004459AE" w:rsidP="004459AE">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 xml:space="preserve">19,000 tonë mbeturina të mbledhura </w:t>
            </w:r>
            <w:r>
              <w:rPr>
                <w:rFonts w:ascii="Arial Narrow" w:hAnsi="Arial Narrow"/>
                <w:color w:val="000000"/>
                <w:lang w:val="sq-AL" w:eastAsia="de-DE"/>
              </w:rPr>
              <w:t>ndaras</w:t>
            </w:r>
            <w:r w:rsidRPr="00BE2534">
              <w:rPr>
                <w:rFonts w:ascii="Arial Narrow" w:hAnsi="Arial Narrow"/>
                <w:color w:val="000000"/>
                <w:lang w:val="sq-AL" w:eastAsia="de-DE"/>
              </w:rPr>
              <w:t xml:space="preserve"> më 2035</w:t>
            </w:r>
          </w:p>
        </w:tc>
        <w:tc>
          <w:tcPr>
            <w:tcW w:w="710" w:type="pct"/>
            <w:tcMar>
              <w:left w:w="58" w:type="dxa"/>
              <w:right w:w="58" w:type="dxa"/>
            </w:tcMar>
          </w:tcPr>
          <w:p w14:paraId="7B94164B" w14:textId="77777777" w:rsidR="004459AE" w:rsidRPr="00BE2534" w:rsidRDefault="004459AE" w:rsidP="004459AE">
            <w:pPr>
              <w:spacing w:before="40" w:after="40"/>
              <w:ind w:left="35"/>
              <w:contextualSpacing/>
              <w:rPr>
                <w:rFonts w:ascii="Arial Narrow" w:hAnsi="Arial Narrow"/>
                <w:color w:val="000000"/>
                <w:lang w:val="sq-AL" w:eastAsia="de-DE"/>
              </w:rPr>
            </w:pPr>
            <w:r w:rsidRPr="00BE2534">
              <w:rPr>
                <w:rFonts w:ascii="Arial Narrow" w:hAnsi="Arial Narrow"/>
                <w:color w:val="000000"/>
                <w:lang w:val="sq-AL" w:eastAsia="de-DE"/>
              </w:rPr>
              <w:t>2026 në zonat urbane</w:t>
            </w:r>
          </w:p>
          <w:p w14:paraId="65196774" w14:textId="7B28298A" w:rsidR="004459AE" w:rsidRPr="00C97DF3" w:rsidRDefault="004459AE" w:rsidP="004459AE">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2030 për zonat rurale</w:t>
            </w:r>
          </w:p>
        </w:tc>
      </w:tr>
      <w:tr w:rsidR="004459AE" w:rsidRPr="00C97DF3" w14:paraId="451FAA7B" w14:textId="77777777" w:rsidTr="008F1976">
        <w:tc>
          <w:tcPr>
            <w:tcW w:w="1195" w:type="pct"/>
            <w:tcMar>
              <w:left w:w="58" w:type="dxa"/>
              <w:right w:w="58" w:type="dxa"/>
            </w:tcMar>
          </w:tcPr>
          <w:p w14:paraId="6CE9DCFB" w14:textId="2089975F" w:rsidR="004459AE" w:rsidRPr="00C97DF3" w:rsidRDefault="004459AE" w:rsidP="004459AE">
            <w:pPr>
              <w:spacing w:before="40" w:after="40"/>
              <w:rPr>
                <w:rFonts w:ascii="Arial Narrow" w:hAnsi="Arial Narrow"/>
                <w:color w:val="000000"/>
                <w:lang w:eastAsia="de-DE"/>
              </w:rPr>
            </w:pPr>
            <w:r w:rsidRPr="00BE2534">
              <w:rPr>
                <w:rFonts w:ascii="Arial Narrow" w:hAnsi="Arial Narrow"/>
                <w:color w:val="000000"/>
                <w:lang w:val="sq-AL" w:eastAsia="de-DE"/>
              </w:rPr>
              <w:t>Oborret e Riciklimit (OR)</w:t>
            </w:r>
          </w:p>
        </w:tc>
        <w:tc>
          <w:tcPr>
            <w:tcW w:w="1497" w:type="pct"/>
            <w:tcMar>
              <w:left w:w="58" w:type="dxa"/>
              <w:right w:w="58" w:type="dxa"/>
            </w:tcMar>
          </w:tcPr>
          <w:p w14:paraId="62CF8D0E" w14:textId="3ED827FC" w:rsidR="004459AE" w:rsidRPr="00FF7243" w:rsidRDefault="004459AE" w:rsidP="004459AE">
            <w:pPr>
              <w:spacing w:before="40" w:after="40"/>
              <w:rPr>
                <w:rFonts w:ascii="Arial Narrow" w:hAnsi="Arial Narrow" w:cs="Arial"/>
                <w:color w:val="000000"/>
                <w:lang w:eastAsia="de-DE"/>
              </w:rPr>
            </w:pPr>
            <w:r w:rsidRPr="00BE2534">
              <w:rPr>
                <w:rFonts w:ascii="Arial Narrow" w:hAnsi="Arial Narrow" w:cs="Arial"/>
                <w:color w:val="000000"/>
                <w:lang w:val="sq-AL" w:eastAsia="de-DE"/>
              </w:rPr>
              <w:t>Do të krijohen 5 OR, një në secilën komunë</w:t>
            </w:r>
          </w:p>
        </w:tc>
        <w:tc>
          <w:tcPr>
            <w:tcW w:w="1598" w:type="pct"/>
            <w:tcMar>
              <w:left w:w="58" w:type="dxa"/>
              <w:right w:w="58" w:type="dxa"/>
            </w:tcMar>
          </w:tcPr>
          <w:p w14:paraId="05962C68" w14:textId="77777777" w:rsidR="004459AE" w:rsidRPr="00BE2534" w:rsidRDefault="004459AE" w:rsidP="004459AE">
            <w:pPr>
              <w:spacing w:before="40" w:after="40"/>
              <w:contextualSpacing/>
              <w:rPr>
                <w:rFonts w:ascii="Arial Narrow" w:hAnsi="Arial Narrow"/>
                <w:color w:val="000000"/>
                <w:lang w:val="sq-AL" w:eastAsia="de-DE"/>
              </w:rPr>
            </w:pPr>
            <w:r w:rsidRPr="00BE2534">
              <w:rPr>
                <w:rFonts w:ascii="Arial Narrow" w:hAnsi="Arial Narrow"/>
                <w:color w:val="000000"/>
                <w:lang w:val="sq-AL" w:eastAsia="de-DE"/>
              </w:rPr>
              <w:t>Fraksionet e mbeturinave që do të grumbullohen:</w:t>
            </w:r>
          </w:p>
          <w:p w14:paraId="6D3250DE" w14:textId="77777777" w:rsidR="004459AE" w:rsidRPr="00BE2534" w:rsidRDefault="004459AE" w:rsidP="004459AE">
            <w:pPr>
              <w:numPr>
                <w:ilvl w:val="0"/>
                <w:numId w:val="9"/>
              </w:numPr>
              <w:spacing w:before="40" w:after="40" w:line="240" w:lineRule="auto"/>
              <w:ind w:left="176" w:hanging="141"/>
              <w:contextualSpacing/>
              <w:rPr>
                <w:rFonts w:ascii="Arial Narrow" w:hAnsi="Arial Narrow"/>
                <w:color w:val="000000"/>
                <w:lang w:val="sq-AL" w:eastAsia="de-DE"/>
              </w:rPr>
            </w:pPr>
            <w:r w:rsidRPr="00BE2534">
              <w:rPr>
                <w:rFonts w:ascii="Arial Narrow" w:hAnsi="Arial Narrow"/>
                <w:color w:val="000000"/>
                <w:lang w:val="sq-AL" w:eastAsia="de-DE"/>
              </w:rPr>
              <w:t>Mbeturinat e vëllimshme</w:t>
            </w:r>
          </w:p>
          <w:p w14:paraId="3E55529A" w14:textId="77777777" w:rsidR="004459AE" w:rsidRPr="00BE2534" w:rsidRDefault="004459AE" w:rsidP="004459AE">
            <w:pPr>
              <w:numPr>
                <w:ilvl w:val="0"/>
                <w:numId w:val="9"/>
              </w:numPr>
              <w:spacing w:before="40" w:after="40" w:line="240" w:lineRule="auto"/>
              <w:ind w:left="176" w:hanging="141"/>
              <w:contextualSpacing/>
              <w:rPr>
                <w:rFonts w:ascii="Arial Narrow" w:hAnsi="Arial Narrow"/>
                <w:color w:val="000000"/>
                <w:lang w:val="sq-AL" w:eastAsia="de-DE"/>
              </w:rPr>
            </w:pPr>
            <w:r w:rsidRPr="00BE2534">
              <w:rPr>
                <w:rFonts w:ascii="Arial Narrow" w:hAnsi="Arial Narrow"/>
                <w:color w:val="000000"/>
                <w:lang w:val="sq-AL" w:eastAsia="de-DE"/>
              </w:rPr>
              <w:t>Mbeturinat e rrezikshme shtëpiake</w:t>
            </w:r>
          </w:p>
          <w:p w14:paraId="36B3869B" w14:textId="6A4EC4D2" w:rsidR="004459AE" w:rsidRPr="00C97DF3" w:rsidRDefault="004459AE" w:rsidP="004459AE">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Fraksionet e veçanta të mbeturinave</w:t>
            </w:r>
          </w:p>
        </w:tc>
        <w:tc>
          <w:tcPr>
            <w:tcW w:w="710" w:type="pct"/>
            <w:tcMar>
              <w:left w:w="58" w:type="dxa"/>
              <w:right w:w="58" w:type="dxa"/>
            </w:tcMar>
          </w:tcPr>
          <w:p w14:paraId="203FA813" w14:textId="6B2537AA" w:rsidR="004459AE" w:rsidRPr="00C97DF3" w:rsidRDefault="004459AE" w:rsidP="004459AE">
            <w:pPr>
              <w:spacing w:before="40" w:after="40"/>
              <w:contextualSpacing/>
              <w:rPr>
                <w:rFonts w:ascii="Arial Narrow" w:hAnsi="Arial Narrow"/>
                <w:color w:val="000000"/>
                <w:lang w:eastAsia="de-DE"/>
              </w:rPr>
            </w:pPr>
            <w:r w:rsidRPr="00BE2534">
              <w:rPr>
                <w:rFonts w:ascii="Arial Narrow" w:hAnsi="Arial Narrow"/>
                <w:color w:val="000000"/>
                <w:lang w:val="sq-AL" w:eastAsia="de-DE"/>
              </w:rPr>
              <w:t>2025</w:t>
            </w:r>
          </w:p>
        </w:tc>
      </w:tr>
      <w:tr w:rsidR="004459AE" w:rsidRPr="00C97DF3" w14:paraId="4BC5CEBF" w14:textId="77777777" w:rsidTr="008F1976">
        <w:tc>
          <w:tcPr>
            <w:tcW w:w="1195" w:type="pct"/>
            <w:tcMar>
              <w:left w:w="58" w:type="dxa"/>
              <w:right w:w="58" w:type="dxa"/>
            </w:tcMar>
          </w:tcPr>
          <w:p w14:paraId="6ADC18C2" w14:textId="62FE5454" w:rsidR="004459AE" w:rsidRPr="00C97DF3" w:rsidRDefault="004459AE" w:rsidP="004459AE">
            <w:pPr>
              <w:spacing w:before="40" w:after="40"/>
              <w:rPr>
                <w:rFonts w:ascii="Arial Narrow" w:hAnsi="Arial Narrow"/>
                <w:color w:val="000000"/>
                <w:lang w:eastAsia="de-DE"/>
              </w:rPr>
            </w:pPr>
            <w:r w:rsidRPr="00BE2534">
              <w:rPr>
                <w:rFonts w:ascii="Arial Narrow" w:hAnsi="Arial Narrow"/>
                <w:color w:val="000000"/>
                <w:lang w:val="sq-AL" w:eastAsia="de-DE"/>
              </w:rPr>
              <w:t>Transporti dhe transferimi</w:t>
            </w:r>
          </w:p>
        </w:tc>
        <w:tc>
          <w:tcPr>
            <w:tcW w:w="1497" w:type="pct"/>
            <w:tcMar>
              <w:left w:w="58" w:type="dxa"/>
              <w:right w:w="58" w:type="dxa"/>
            </w:tcMar>
          </w:tcPr>
          <w:p w14:paraId="18AEAFC8" w14:textId="651EE80C" w:rsidR="004459AE" w:rsidRPr="00C97DF3" w:rsidRDefault="004459AE" w:rsidP="004459AE">
            <w:pPr>
              <w:spacing w:before="40" w:after="40"/>
              <w:rPr>
                <w:rFonts w:ascii="Arial Narrow" w:hAnsi="Arial Narrow"/>
                <w:color w:val="000000"/>
                <w:lang w:eastAsia="de-DE"/>
              </w:rPr>
            </w:pPr>
            <w:r w:rsidRPr="00BE2534">
              <w:rPr>
                <w:rFonts w:ascii="Arial Narrow" w:hAnsi="Arial Narrow" w:cs="Arial"/>
                <w:color w:val="000000"/>
                <w:lang w:val="sq-AL" w:eastAsia="de-DE"/>
              </w:rPr>
              <w:t>Stacionet e transferit do të ngriten në Istog dhe Deçan</w:t>
            </w:r>
          </w:p>
        </w:tc>
        <w:tc>
          <w:tcPr>
            <w:tcW w:w="1598" w:type="pct"/>
            <w:tcMar>
              <w:left w:w="58" w:type="dxa"/>
              <w:right w:w="58" w:type="dxa"/>
            </w:tcMar>
          </w:tcPr>
          <w:p w14:paraId="6B578388" w14:textId="77777777" w:rsidR="004459AE" w:rsidRPr="00BE2534" w:rsidRDefault="004459AE" w:rsidP="004459AE">
            <w:pPr>
              <w:numPr>
                <w:ilvl w:val="0"/>
                <w:numId w:val="9"/>
              </w:numPr>
              <w:spacing w:before="40" w:after="40" w:line="240" w:lineRule="auto"/>
              <w:ind w:left="176" w:hanging="141"/>
              <w:contextualSpacing/>
              <w:rPr>
                <w:rFonts w:ascii="Arial Narrow" w:hAnsi="Arial Narrow"/>
                <w:color w:val="000000"/>
                <w:lang w:val="sq-AL" w:eastAsia="de-DE"/>
              </w:rPr>
            </w:pPr>
            <w:r w:rsidRPr="00BE2534">
              <w:rPr>
                <w:rFonts w:ascii="Arial Narrow" w:hAnsi="Arial Narrow"/>
                <w:color w:val="000000"/>
                <w:lang w:val="sq-AL" w:eastAsia="de-DE"/>
              </w:rPr>
              <w:t>Istog – kapacitet prej 9,700 tonë /vit</w:t>
            </w:r>
          </w:p>
          <w:p w14:paraId="3BC7A6BE" w14:textId="175DF0AB" w:rsidR="004459AE" w:rsidRPr="00C97DF3" w:rsidRDefault="004459AE" w:rsidP="004459AE">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Deçan – kapacitet prej 6,700 tonë/vit</w:t>
            </w:r>
          </w:p>
        </w:tc>
        <w:tc>
          <w:tcPr>
            <w:tcW w:w="710" w:type="pct"/>
            <w:tcMar>
              <w:left w:w="58" w:type="dxa"/>
              <w:right w:w="58" w:type="dxa"/>
            </w:tcMar>
          </w:tcPr>
          <w:p w14:paraId="7554A834" w14:textId="6E66F2D1" w:rsidR="004459AE" w:rsidRPr="00C97DF3" w:rsidRDefault="004459AE" w:rsidP="004459AE">
            <w:pPr>
              <w:spacing w:before="40" w:after="40"/>
              <w:contextualSpacing/>
              <w:rPr>
                <w:rFonts w:ascii="Arial Narrow" w:hAnsi="Arial Narrow"/>
                <w:color w:val="000000"/>
                <w:lang w:eastAsia="de-DE"/>
              </w:rPr>
            </w:pPr>
            <w:r w:rsidRPr="00BE2534">
              <w:rPr>
                <w:rFonts w:ascii="Arial Narrow" w:hAnsi="Arial Narrow"/>
                <w:color w:val="000000"/>
                <w:lang w:val="sq-AL" w:eastAsia="de-DE"/>
              </w:rPr>
              <w:t>2026</w:t>
            </w:r>
          </w:p>
        </w:tc>
      </w:tr>
      <w:tr w:rsidR="004459AE" w:rsidRPr="00C97DF3" w14:paraId="7C4BB104" w14:textId="77777777" w:rsidTr="008F1976">
        <w:tc>
          <w:tcPr>
            <w:tcW w:w="1195" w:type="pct"/>
            <w:tcMar>
              <w:left w:w="58" w:type="dxa"/>
              <w:right w:w="58" w:type="dxa"/>
            </w:tcMar>
          </w:tcPr>
          <w:p w14:paraId="7E9958F7" w14:textId="22E54DAD" w:rsidR="004459AE" w:rsidRPr="00C97DF3" w:rsidRDefault="004459AE" w:rsidP="004459AE">
            <w:pPr>
              <w:spacing w:before="40" w:after="40"/>
              <w:rPr>
                <w:rFonts w:ascii="Arial Narrow" w:hAnsi="Arial Narrow"/>
                <w:color w:val="000000"/>
                <w:lang w:eastAsia="de-DE"/>
              </w:rPr>
            </w:pPr>
            <w:r w:rsidRPr="00BE2534">
              <w:rPr>
                <w:rFonts w:ascii="Arial Narrow" w:hAnsi="Arial Narrow"/>
                <w:color w:val="000000"/>
                <w:lang w:val="sq-AL" w:eastAsia="de-DE"/>
              </w:rPr>
              <w:t>Klasifikimi i mbeturinave</w:t>
            </w:r>
          </w:p>
        </w:tc>
        <w:tc>
          <w:tcPr>
            <w:tcW w:w="1497" w:type="pct"/>
            <w:tcMar>
              <w:left w:w="58" w:type="dxa"/>
              <w:right w:w="58" w:type="dxa"/>
            </w:tcMar>
          </w:tcPr>
          <w:p w14:paraId="5BF6E4EE" w14:textId="568A5969" w:rsidR="004459AE" w:rsidRPr="00C97DF3" w:rsidRDefault="004459AE" w:rsidP="004459AE">
            <w:pPr>
              <w:spacing w:before="40" w:after="40"/>
              <w:rPr>
                <w:rFonts w:ascii="Arial Narrow" w:hAnsi="Arial Narrow"/>
                <w:color w:val="000000"/>
                <w:lang w:eastAsia="de-DE"/>
              </w:rPr>
            </w:pPr>
            <w:r w:rsidRPr="00BE2534">
              <w:rPr>
                <w:rFonts w:ascii="Arial Narrow" w:hAnsi="Arial Narrow" w:cs="Arial"/>
                <w:color w:val="000000"/>
                <w:lang w:val="sq-AL" w:eastAsia="de-DE"/>
              </w:rPr>
              <w:t xml:space="preserve">Një stacion klasifikimi për materialet e grumbulluara </w:t>
            </w:r>
            <w:r>
              <w:rPr>
                <w:rFonts w:ascii="Arial Narrow" w:hAnsi="Arial Narrow" w:cs="Arial"/>
                <w:color w:val="000000"/>
                <w:lang w:val="sq-AL" w:eastAsia="de-DE"/>
              </w:rPr>
              <w:t>ndaras</w:t>
            </w:r>
            <w:r w:rsidRPr="00BE2534">
              <w:rPr>
                <w:rFonts w:ascii="Arial Narrow" w:hAnsi="Arial Narrow" w:cs="Arial"/>
                <w:color w:val="000000"/>
                <w:lang w:val="sq-AL" w:eastAsia="de-DE"/>
              </w:rPr>
              <w:t xml:space="preserve"> do të ngritet në deponinë rajonale në Sferkë</w:t>
            </w:r>
          </w:p>
        </w:tc>
        <w:tc>
          <w:tcPr>
            <w:tcW w:w="1598" w:type="pct"/>
            <w:tcMar>
              <w:left w:w="58" w:type="dxa"/>
              <w:right w:w="58" w:type="dxa"/>
            </w:tcMar>
          </w:tcPr>
          <w:p w14:paraId="29B95933" w14:textId="30D0CE2B" w:rsidR="004459AE" w:rsidRPr="00C97DF3" w:rsidRDefault="004459AE" w:rsidP="004459AE">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 xml:space="preserve">Kapaciteti i objektit ORM – 21,000 tonë/vit të lëndëve të riciklueshme të mbledhura </w:t>
            </w:r>
            <w:r>
              <w:rPr>
                <w:rFonts w:ascii="Arial Narrow" w:hAnsi="Arial Narrow"/>
                <w:color w:val="000000"/>
                <w:lang w:val="sq-AL" w:eastAsia="de-DE"/>
              </w:rPr>
              <w:t>ndaras</w:t>
            </w:r>
          </w:p>
        </w:tc>
        <w:tc>
          <w:tcPr>
            <w:tcW w:w="710" w:type="pct"/>
            <w:tcMar>
              <w:left w:w="58" w:type="dxa"/>
              <w:right w:w="58" w:type="dxa"/>
            </w:tcMar>
          </w:tcPr>
          <w:p w14:paraId="469FD218" w14:textId="793CA0B6" w:rsidR="004459AE" w:rsidRPr="00C97DF3" w:rsidRDefault="004459AE" w:rsidP="004459AE">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2026</w:t>
            </w:r>
          </w:p>
        </w:tc>
      </w:tr>
      <w:tr w:rsidR="004459AE" w:rsidRPr="00C97DF3" w14:paraId="1ADB207E" w14:textId="77777777" w:rsidTr="008F1976">
        <w:tc>
          <w:tcPr>
            <w:tcW w:w="1195" w:type="pct"/>
            <w:tcBorders>
              <w:bottom w:val="nil"/>
            </w:tcBorders>
            <w:tcMar>
              <w:left w:w="58" w:type="dxa"/>
              <w:right w:w="58" w:type="dxa"/>
            </w:tcMar>
          </w:tcPr>
          <w:p w14:paraId="7ED2DF89" w14:textId="227DD175" w:rsidR="004459AE" w:rsidRPr="00C97DF3" w:rsidRDefault="004459AE" w:rsidP="004459AE">
            <w:pPr>
              <w:spacing w:before="40" w:after="40"/>
              <w:rPr>
                <w:rFonts w:ascii="Arial Narrow" w:hAnsi="Arial Narrow"/>
                <w:color w:val="000000"/>
                <w:lang w:eastAsia="de-DE"/>
              </w:rPr>
            </w:pPr>
            <w:r w:rsidRPr="00BE2534">
              <w:rPr>
                <w:rFonts w:ascii="Arial Narrow" w:hAnsi="Arial Narrow"/>
                <w:color w:val="000000"/>
                <w:lang w:val="sq-AL" w:eastAsia="de-DE"/>
              </w:rPr>
              <w:t>Kompostimi</w:t>
            </w:r>
          </w:p>
        </w:tc>
        <w:tc>
          <w:tcPr>
            <w:tcW w:w="1497" w:type="pct"/>
            <w:tcMar>
              <w:left w:w="58" w:type="dxa"/>
              <w:right w:w="58" w:type="dxa"/>
            </w:tcMar>
          </w:tcPr>
          <w:p w14:paraId="4FD932DF" w14:textId="77777777" w:rsidR="004459AE" w:rsidRPr="00BE2534" w:rsidRDefault="004459AE" w:rsidP="004459AE">
            <w:pPr>
              <w:spacing w:before="40" w:after="40" w:line="240" w:lineRule="auto"/>
              <w:rPr>
                <w:rFonts w:ascii="Arial Narrow" w:hAnsi="Arial Narrow"/>
                <w:color w:val="000000"/>
                <w:lang w:val="sq-AL" w:eastAsia="de-DE"/>
              </w:rPr>
            </w:pPr>
            <w:r w:rsidRPr="00BE2534">
              <w:rPr>
                <w:rFonts w:ascii="Arial Narrow" w:hAnsi="Arial Narrow"/>
                <w:color w:val="000000"/>
                <w:lang w:val="sq-AL" w:eastAsia="de-DE"/>
              </w:rPr>
              <w:t>Katër objekte kompostimi për mbeturinat e gjelbra të grumbulluara veçmas do të ngriten në komunat Pejë, Istog , Klinë dhe Deçan.</w:t>
            </w:r>
          </w:p>
          <w:p w14:paraId="5A8165C8" w14:textId="77777777" w:rsidR="004459AE" w:rsidRPr="00BE2534" w:rsidRDefault="004459AE" w:rsidP="004459AE">
            <w:pPr>
              <w:spacing w:before="40" w:after="40" w:line="240" w:lineRule="auto"/>
              <w:rPr>
                <w:rFonts w:ascii="Arial Narrow" w:hAnsi="Arial Narrow"/>
                <w:color w:val="000000"/>
                <w:lang w:val="sq-AL" w:eastAsia="de-DE"/>
              </w:rPr>
            </w:pPr>
            <w:r w:rsidRPr="00BE2534">
              <w:rPr>
                <w:rFonts w:ascii="Arial Narrow" w:hAnsi="Arial Narrow"/>
                <w:color w:val="000000"/>
                <w:lang w:val="sq-AL" w:eastAsia="de-DE"/>
              </w:rPr>
              <w:t>Kompostimi në Pejë do të organizohet në lokacion të përhershëm, ndërsa në komunat tjera do të zbatohet kompostimi i decentralizuar duke përdorur pajisje mobile.</w:t>
            </w:r>
          </w:p>
          <w:p w14:paraId="57A81990" w14:textId="77777777" w:rsidR="004459AE" w:rsidRPr="00C97DF3" w:rsidRDefault="004459AE" w:rsidP="004459AE">
            <w:pPr>
              <w:spacing w:before="40" w:after="40"/>
              <w:rPr>
                <w:rFonts w:ascii="Arial Narrow" w:hAnsi="Arial Narrow"/>
                <w:color w:val="000000"/>
                <w:lang w:eastAsia="de-DE"/>
              </w:rPr>
            </w:pPr>
          </w:p>
        </w:tc>
        <w:tc>
          <w:tcPr>
            <w:tcW w:w="1598" w:type="pct"/>
            <w:tcMar>
              <w:left w:w="58" w:type="dxa"/>
              <w:right w:w="58" w:type="dxa"/>
            </w:tcMar>
          </w:tcPr>
          <w:p w14:paraId="4BA97B44" w14:textId="77777777" w:rsidR="004459AE" w:rsidRPr="00BE2534" w:rsidRDefault="004459AE" w:rsidP="004459AE">
            <w:pPr>
              <w:numPr>
                <w:ilvl w:val="0"/>
                <w:numId w:val="9"/>
              </w:numPr>
              <w:spacing w:before="40" w:after="40" w:line="240" w:lineRule="auto"/>
              <w:ind w:left="176" w:hanging="141"/>
              <w:contextualSpacing/>
              <w:rPr>
                <w:rFonts w:ascii="Arial Narrow" w:hAnsi="Arial Narrow"/>
                <w:color w:val="000000"/>
                <w:lang w:val="sq-AL" w:eastAsia="de-DE"/>
              </w:rPr>
            </w:pPr>
            <w:r w:rsidRPr="00BE2534">
              <w:rPr>
                <w:rFonts w:ascii="Arial Narrow" w:hAnsi="Arial Narrow"/>
                <w:color w:val="000000"/>
                <w:lang w:val="sq-AL" w:eastAsia="de-DE"/>
              </w:rPr>
              <w:t>Objekti i kompostimit në Pejë – kapacitet prej 2,400 tonë/vit</w:t>
            </w:r>
          </w:p>
          <w:p w14:paraId="3FEACD53" w14:textId="77777777" w:rsidR="004459AE" w:rsidRPr="00BE2534" w:rsidRDefault="004459AE" w:rsidP="004459AE">
            <w:pPr>
              <w:numPr>
                <w:ilvl w:val="0"/>
                <w:numId w:val="9"/>
              </w:numPr>
              <w:spacing w:before="40" w:after="40" w:line="240" w:lineRule="auto"/>
              <w:ind w:left="176" w:hanging="141"/>
              <w:contextualSpacing/>
              <w:rPr>
                <w:rFonts w:ascii="Arial Narrow" w:hAnsi="Arial Narrow"/>
                <w:color w:val="000000"/>
                <w:lang w:val="sq-AL" w:eastAsia="de-DE"/>
              </w:rPr>
            </w:pPr>
            <w:r w:rsidRPr="00BE2534">
              <w:rPr>
                <w:rFonts w:ascii="Arial Narrow" w:hAnsi="Arial Narrow"/>
                <w:color w:val="000000"/>
                <w:lang w:val="sq-AL" w:eastAsia="de-DE"/>
              </w:rPr>
              <w:t>Objekti i kompostimit në Istog – kapacitet 600 tonë/vit</w:t>
            </w:r>
          </w:p>
          <w:p w14:paraId="2DD3B907" w14:textId="77777777" w:rsidR="004459AE" w:rsidRPr="00BE2534" w:rsidRDefault="004459AE" w:rsidP="004459AE">
            <w:pPr>
              <w:numPr>
                <w:ilvl w:val="0"/>
                <w:numId w:val="9"/>
              </w:numPr>
              <w:spacing w:before="40" w:after="40" w:line="240" w:lineRule="auto"/>
              <w:ind w:left="176" w:hanging="141"/>
              <w:contextualSpacing/>
              <w:rPr>
                <w:rFonts w:ascii="Arial Narrow" w:hAnsi="Arial Narrow"/>
                <w:color w:val="000000"/>
                <w:lang w:val="sq-AL" w:eastAsia="de-DE"/>
              </w:rPr>
            </w:pPr>
            <w:r w:rsidRPr="00BE2534">
              <w:rPr>
                <w:rFonts w:ascii="Arial Narrow" w:hAnsi="Arial Narrow"/>
                <w:color w:val="000000"/>
                <w:lang w:val="sq-AL" w:eastAsia="de-DE"/>
              </w:rPr>
              <w:t>Objekti i kompostimit në Klinë – kapacitet 600 tonë/vit</w:t>
            </w:r>
          </w:p>
          <w:p w14:paraId="06A0DFC6" w14:textId="2E6E0D26" w:rsidR="004459AE" w:rsidRPr="00C97DF3" w:rsidRDefault="004459AE" w:rsidP="004459AE">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Objekti i kompostimit në Deçan – kapacitet 550 tonë/vit</w:t>
            </w:r>
          </w:p>
        </w:tc>
        <w:tc>
          <w:tcPr>
            <w:tcW w:w="710" w:type="pct"/>
            <w:tcMar>
              <w:left w:w="58" w:type="dxa"/>
              <w:right w:w="58" w:type="dxa"/>
            </w:tcMar>
          </w:tcPr>
          <w:p w14:paraId="64B5506C" w14:textId="145ACF99" w:rsidR="004459AE" w:rsidRPr="00C97DF3" w:rsidRDefault="004459AE" w:rsidP="004459AE">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2026</w:t>
            </w:r>
          </w:p>
        </w:tc>
      </w:tr>
      <w:tr w:rsidR="004459AE" w:rsidRPr="00C97DF3" w14:paraId="7E11FF54" w14:textId="77777777" w:rsidTr="008F1976">
        <w:tc>
          <w:tcPr>
            <w:tcW w:w="1195" w:type="pct"/>
            <w:tcBorders>
              <w:top w:val="nil"/>
              <w:bottom w:val="single" w:sz="4" w:space="0" w:color="auto"/>
            </w:tcBorders>
            <w:tcMar>
              <w:left w:w="58" w:type="dxa"/>
              <w:right w:w="58" w:type="dxa"/>
            </w:tcMar>
          </w:tcPr>
          <w:p w14:paraId="637A52C5" w14:textId="77777777" w:rsidR="004459AE" w:rsidRPr="00C97DF3" w:rsidRDefault="004459AE" w:rsidP="004459AE">
            <w:pPr>
              <w:spacing w:before="40" w:after="40"/>
              <w:rPr>
                <w:rFonts w:ascii="Arial Narrow" w:hAnsi="Arial Narrow"/>
                <w:color w:val="000000"/>
                <w:lang w:eastAsia="de-DE"/>
              </w:rPr>
            </w:pPr>
          </w:p>
        </w:tc>
        <w:tc>
          <w:tcPr>
            <w:tcW w:w="1497" w:type="pct"/>
            <w:tcMar>
              <w:left w:w="58" w:type="dxa"/>
              <w:right w:w="58" w:type="dxa"/>
            </w:tcMar>
          </w:tcPr>
          <w:p w14:paraId="66C636F7" w14:textId="30E6E694" w:rsidR="004459AE" w:rsidRPr="00C97DF3" w:rsidRDefault="004459AE" w:rsidP="004459AE">
            <w:pPr>
              <w:spacing w:before="40" w:after="40"/>
              <w:rPr>
                <w:rFonts w:ascii="Arial Narrow" w:hAnsi="Arial Narrow"/>
                <w:color w:val="000000"/>
                <w:lang w:eastAsia="de-DE"/>
              </w:rPr>
            </w:pPr>
            <w:r w:rsidRPr="00BE2534">
              <w:rPr>
                <w:rFonts w:ascii="Arial Narrow" w:hAnsi="Arial Narrow"/>
                <w:color w:val="000000"/>
                <w:lang w:val="sq-AL" w:eastAsia="de-DE"/>
              </w:rPr>
              <w:t xml:space="preserve">Filiimi me </w:t>
            </w:r>
            <w:r>
              <w:rPr>
                <w:rFonts w:ascii="Arial Narrow" w:hAnsi="Arial Narrow"/>
                <w:color w:val="000000"/>
                <w:lang w:val="sq-AL" w:eastAsia="de-DE"/>
              </w:rPr>
              <w:t>k</w:t>
            </w:r>
            <w:r w:rsidRPr="00BE2534">
              <w:rPr>
                <w:rFonts w:ascii="Arial Narrow" w:hAnsi="Arial Narrow"/>
                <w:color w:val="000000"/>
                <w:lang w:val="sq-AL" w:eastAsia="de-DE"/>
              </w:rPr>
              <w:t>ompostimin shtëpiak në zonat rurale</w:t>
            </w:r>
          </w:p>
        </w:tc>
        <w:tc>
          <w:tcPr>
            <w:tcW w:w="1598" w:type="pct"/>
            <w:tcMar>
              <w:left w:w="58" w:type="dxa"/>
              <w:right w:w="58" w:type="dxa"/>
            </w:tcMar>
          </w:tcPr>
          <w:p w14:paraId="5D37950B" w14:textId="200EB7D9" w:rsidR="004459AE" w:rsidRPr="00C97DF3" w:rsidRDefault="004459AE" w:rsidP="004459AE">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n/a</w:t>
            </w:r>
          </w:p>
        </w:tc>
        <w:tc>
          <w:tcPr>
            <w:tcW w:w="710" w:type="pct"/>
            <w:tcMar>
              <w:left w:w="58" w:type="dxa"/>
              <w:right w:w="58" w:type="dxa"/>
            </w:tcMar>
          </w:tcPr>
          <w:p w14:paraId="385DB5BE" w14:textId="428FEE98" w:rsidR="004459AE" w:rsidRPr="00C97DF3" w:rsidRDefault="004459AE" w:rsidP="004459AE">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I perhershem</w:t>
            </w:r>
          </w:p>
        </w:tc>
      </w:tr>
      <w:tr w:rsidR="004459AE" w:rsidRPr="00C97DF3" w14:paraId="5D55DE81" w14:textId="77777777" w:rsidTr="008F1976">
        <w:tc>
          <w:tcPr>
            <w:tcW w:w="1195" w:type="pct"/>
            <w:tcBorders>
              <w:bottom w:val="nil"/>
            </w:tcBorders>
            <w:tcMar>
              <w:left w:w="58" w:type="dxa"/>
              <w:right w:w="58" w:type="dxa"/>
            </w:tcMar>
          </w:tcPr>
          <w:p w14:paraId="137D3A65" w14:textId="332CCD72" w:rsidR="004459AE" w:rsidRPr="00C97DF3" w:rsidRDefault="004459AE" w:rsidP="004459AE">
            <w:pPr>
              <w:spacing w:before="40" w:after="40"/>
              <w:rPr>
                <w:rFonts w:ascii="Arial Narrow" w:hAnsi="Arial Narrow"/>
                <w:color w:val="000000"/>
                <w:lang w:eastAsia="de-DE"/>
              </w:rPr>
            </w:pPr>
            <w:r w:rsidRPr="00BE2534">
              <w:rPr>
                <w:rFonts w:ascii="Arial Narrow" w:hAnsi="Arial Narrow"/>
                <w:color w:val="000000"/>
                <w:lang w:val="sq-AL" w:eastAsia="de-DE"/>
              </w:rPr>
              <w:t>Rikuperimi i mbeturinave</w:t>
            </w:r>
          </w:p>
        </w:tc>
        <w:tc>
          <w:tcPr>
            <w:tcW w:w="1497" w:type="pct"/>
            <w:tcMar>
              <w:left w:w="58" w:type="dxa"/>
              <w:right w:w="58" w:type="dxa"/>
            </w:tcMar>
          </w:tcPr>
          <w:p w14:paraId="4635F85A" w14:textId="1761608B" w:rsidR="004459AE" w:rsidRPr="00C97DF3" w:rsidRDefault="004459AE" w:rsidP="004459AE">
            <w:pPr>
              <w:spacing w:before="40" w:after="40"/>
              <w:rPr>
                <w:rFonts w:ascii="Arial Narrow" w:hAnsi="Arial Narrow"/>
                <w:color w:val="000000"/>
                <w:lang w:eastAsia="de-DE"/>
              </w:rPr>
            </w:pPr>
            <w:r w:rsidRPr="00BE2534">
              <w:rPr>
                <w:rFonts w:ascii="Arial Narrow" w:hAnsi="Arial Narrow"/>
                <w:color w:val="000000"/>
                <w:lang w:val="sq-AL" w:eastAsia="de-DE"/>
              </w:rPr>
              <w:t>Do të ngritet 1 impiant TMB i cili do të trajtojë mbeturinat e përziera komunale nga të pesë komunat</w:t>
            </w:r>
          </w:p>
        </w:tc>
        <w:tc>
          <w:tcPr>
            <w:tcW w:w="1598" w:type="pct"/>
            <w:tcMar>
              <w:left w:w="58" w:type="dxa"/>
              <w:right w:w="58" w:type="dxa"/>
            </w:tcMar>
          </w:tcPr>
          <w:p w14:paraId="51371C30" w14:textId="77777777" w:rsidR="004459AE" w:rsidRPr="00BE2534" w:rsidRDefault="004459AE" w:rsidP="004459AE">
            <w:pPr>
              <w:numPr>
                <w:ilvl w:val="0"/>
                <w:numId w:val="9"/>
              </w:numPr>
              <w:spacing w:before="40" w:after="40"/>
              <w:ind w:left="176" w:hanging="141"/>
              <w:contextualSpacing/>
              <w:rPr>
                <w:rFonts w:ascii="Arial Narrow" w:hAnsi="Arial Narrow"/>
                <w:color w:val="000000"/>
                <w:lang w:val="sq-AL" w:eastAsia="de-DE"/>
              </w:rPr>
            </w:pPr>
            <w:r w:rsidRPr="00BE2534">
              <w:rPr>
                <w:rFonts w:ascii="Arial Narrow" w:hAnsi="Arial Narrow"/>
                <w:color w:val="000000"/>
                <w:lang w:val="sq-AL" w:eastAsia="de-DE"/>
              </w:rPr>
              <w:t>Kapaciteti prej 40,000 tonë/ vit</w:t>
            </w:r>
          </w:p>
          <w:p w14:paraId="5D0DEE04" w14:textId="4A41340E" w:rsidR="004459AE" w:rsidRPr="00C97DF3" w:rsidRDefault="004459AE" w:rsidP="004459AE">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Prodhimi prej 12,000 tonë/vit KDM</w:t>
            </w:r>
          </w:p>
        </w:tc>
        <w:tc>
          <w:tcPr>
            <w:tcW w:w="710" w:type="pct"/>
            <w:tcMar>
              <w:left w:w="58" w:type="dxa"/>
              <w:right w:w="58" w:type="dxa"/>
            </w:tcMar>
          </w:tcPr>
          <w:p w14:paraId="7A71083C" w14:textId="63FD9552" w:rsidR="004459AE" w:rsidRPr="00C97DF3" w:rsidRDefault="004459AE" w:rsidP="004459AE">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2031</w:t>
            </w:r>
          </w:p>
        </w:tc>
      </w:tr>
      <w:tr w:rsidR="004459AE" w:rsidRPr="00C97DF3" w14:paraId="6D7897BA" w14:textId="77777777" w:rsidTr="008F1976">
        <w:tc>
          <w:tcPr>
            <w:tcW w:w="1195" w:type="pct"/>
            <w:tcBorders>
              <w:top w:val="nil"/>
            </w:tcBorders>
            <w:tcMar>
              <w:left w:w="58" w:type="dxa"/>
              <w:right w:w="58" w:type="dxa"/>
            </w:tcMar>
          </w:tcPr>
          <w:p w14:paraId="4245ECAE" w14:textId="77777777" w:rsidR="004459AE" w:rsidRPr="00C97DF3" w:rsidRDefault="004459AE" w:rsidP="004459AE">
            <w:pPr>
              <w:spacing w:before="40" w:after="40"/>
              <w:rPr>
                <w:rFonts w:ascii="Arial Narrow" w:hAnsi="Arial Narrow"/>
                <w:color w:val="000000"/>
                <w:lang w:eastAsia="de-DE"/>
              </w:rPr>
            </w:pPr>
          </w:p>
        </w:tc>
        <w:tc>
          <w:tcPr>
            <w:tcW w:w="1497" w:type="pct"/>
            <w:tcMar>
              <w:left w:w="58" w:type="dxa"/>
              <w:right w:w="58" w:type="dxa"/>
            </w:tcMar>
          </w:tcPr>
          <w:p w14:paraId="0F95A5AE" w14:textId="142BD3CD" w:rsidR="004459AE" w:rsidRPr="00C97DF3" w:rsidRDefault="004459AE" w:rsidP="004459AE">
            <w:pPr>
              <w:spacing w:before="40" w:after="40"/>
              <w:rPr>
                <w:rFonts w:ascii="Arial Narrow" w:hAnsi="Arial Narrow"/>
                <w:color w:val="000000"/>
                <w:lang w:eastAsia="de-DE"/>
              </w:rPr>
            </w:pPr>
            <w:r w:rsidRPr="00BE2534">
              <w:rPr>
                <w:rFonts w:ascii="Arial Narrow" w:hAnsi="Arial Narrow"/>
                <w:color w:val="000000"/>
                <w:lang w:val="sq-AL" w:eastAsia="de-DE"/>
              </w:rPr>
              <w:t>1 impiant kompostimi brenda kontonjerëve të specializuar do të ngritet</w:t>
            </w:r>
            <w:r w:rsidRPr="00BE2534">
              <w:rPr>
                <w:rStyle w:val="FootnoteReference"/>
                <w:rFonts w:ascii="Arial Narrow" w:hAnsi="Arial Narrow"/>
                <w:lang w:val="sq-AL" w:eastAsia="de-DE"/>
              </w:rPr>
              <w:footnoteReference w:id="2"/>
            </w:r>
            <w:r w:rsidRPr="00BE2534">
              <w:rPr>
                <w:rFonts w:ascii="Arial Narrow" w:hAnsi="Arial Narrow"/>
                <w:color w:val="000000"/>
                <w:lang w:val="sq-AL" w:eastAsia="de-DE"/>
              </w:rPr>
              <w:t>në hapësirën e impiantit TMB ose në objektin e kompostimit në Pejë</w:t>
            </w:r>
          </w:p>
        </w:tc>
        <w:tc>
          <w:tcPr>
            <w:tcW w:w="1598" w:type="pct"/>
            <w:tcMar>
              <w:left w:w="58" w:type="dxa"/>
              <w:right w:w="58" w:type="dxa"/>
            </w:tcMar>
          </w:tcPr>
          <w:p w14:paraId="7B01CF36" w14:textId="2C83E63D" w:rsidR="004459AE" w:rsidRPr="00C97DF3" w:rsidRDefault="004459AE" w:rsidP="004459AE">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Kapaciteti prej 3</w:t>
            </w:r>
            <w:r>
              <w:rPr>
                <w:rFonts w:ascii="Arial Narrow" w:hAnsi="Arial Narrow"/>
                <w:color w:val="000000"/>
                <w:lang w:val="sq-AL" w:eastAsia="de-DE"/>
              </w:rPr>
              <w:t>,</w:t>
            </w:r>
            <w:r w:rsidRPr="00BE2534">
              <w:rPr>
                <w:rFonts w:ascii="Arial Narrow" w:hAnsi="Arial Narrow"/>
                <w:color w:val="000000"/>
                <w:lang w:val="sq-AL" w:eastAsia="de-DE"/>
              </w:rPr>
              <w:t>500 tonë/vit</w:t>
            </w:r>
          </w:p>
        </w:tc>
        <w:tc>
          <w:tcPr>
            <w:tcW w:w="710" w:type="pct"/>
            <w:tcMar>
              <w:left w:w="58" w:type="dxa"/>
              <w:right w:w="58" w:type="dxa"/>
            </w:tcMar>
          </w:tcPr>
          <w:p w14:paraId="0F774401" w14:textId="23B6F5D6" w:rsidR="004459AE" w:rsidRPr="00C97DF3" w:rsidRDefault="004459AE" w:rsidP="004459AE">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2031</w:t>
            </w:r>
          </w:p>
        </w:tc>
      </w:tr>
      <w:tr w:rsidR="004459AE" w:rsidRPr="00C97DF3" w14:paraId="1896491B" w14:textId="77777777" w:rsidTr="008F1976">
        <w:tc>
          <w:tcPr>
            <w:tcW w:w="1195" w:type="pct"/>
            <w:tcBorders>
              <w:bottom w:val="single" w:sz="4" w:space="0" w:color="auto"/>
            </w:tcBorders>
            <w:tcMar>
              <w:left w:w="58" w:type="dxa"/>
              <w:right w:w="58" w:type="dxa"/>
            </w:tcMar>
          </w:tcPr>
          <w:p w14:paraId="4661B1B5" w14:textId="54B26CD0" w:rsidR="004459AE" w:rsidRPr="00C97DF3" w:rsidRDefault="004459AE" w:rsidP="004459AE">
            <w:pPr>
              <w:spacing w:before="40" w:after="40"/>
              <w:rPr>
                <w:rFonts w:ascii="Arial Narrow" w:hAnsi="Arial Narrow"/>
                <w:color w:val="000000"/>
                <w:lang w:eastAsia="de-DE"/>
              </w:rPr>
            </w:pPr>
            <w:r w:rsidRPr="00BE2534">
              <w:rPr>
                <w:rFonts w:ascii="Arial Narrow" w:hAnsi="Arial Narrow"/>
                <w:color w:val="000000"/>
                <w:lang w:val="sq-AL" w:eastAsia="de-DE"/>
              </w:rPr>
              <w:t>Deponimi i mbeturinave</w:t>
            </w:r>
          </w:p>
        </w:tc>
        <w:tc>
          <w:tcPr>
            <w:tcW w:w="1497" w:type="pct"/>
            <w:tcBorders>
              <w:bottom w:val="single" w:sz="4" w:space="0" w:color="auto"/>
            </w:tcBorders>
            <w:tcMar>
              <w:left w:w="58" w:type="dxa"/>
              <w:right w:w="58" w:type="dxa"/>
            </w:tcMar>
          </w:tcPr>
          <w:p w14:paraId="2CEB3F67" w14:textId="4FCAA82D" w:rsidR="004459AE" w:rsidRPr="00C97DF3" w:rsidRDefault="004459AE" w:rsidP="004459AE">
            <w:pPr>
              <w:spacing w:before="40" w:after="40"/>
              <w:rPr>
                <w:rFonts w:ascii="Arial Narrow" w:hAnsi="Arial Narrow"/>
                <w:color w:val="000000"/>
                <w:lang w:eastAsia="de-DE"/>
              </w:rPr>
            </w:pPr>
            <w:r w:rsidRPr="00BE2534">
              <w:rPr>
                <w:rFonts w:ascii="Arial Narrow" w:hAnsi="Arial Narrow"/>
                <w:color w:val="000000"/>
                <w:lang w:val="sq-AL" w:eastAsia="de-DE"/>
              </w:rPr>
              <w:t>Përmirësimi ildeponisë sanitare rajonale ekzistues për të gjithë ZMM</w:t>
            </w:r>
          </w:p>
        </w:tc>
        <w:tc>
          <w:tcPr>
            <w:tcW w:w="1598" w:type="pct"/>
            <w:tcMar>
              <w:left w:w="58" w:type="dxa"/>
              <w:right w:w="58" w:type="dxa"/>
            </w:tcMar>
          </w:tcPr>
          <w:p w14:paraId="57EC134E" w14:textId="20DCD621" w:rsidR="004459AE" w:rsidRPr="00C97DF3" w:rsidRDefault="004459AE" w:rsidP="004459AE">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Kapaciteti i deponisë prej rreth 475 mijë tonë</w:t>
            </w:r>
            <w:r w:rsidRPr="00BE2534">
              <w:rPr>
                <w:rStyle w:val="FootnoteReference"/>
                <w:lang w:val="sq-AL" w:eastAsia="de-DE"/>
              </w:rPr>
              <w:footnoteReference w:id="3"/>
            </w:r>
            <w:r>
              <w:rPr>
                <w:rFonts w:ascii="Arial Narrow" w:hAnsi="Arial Narrow"/>
                <w:color w:val="000000"/>
                <w:lang w:val="sq-AL" w:eastAsia="de-DE"/>
              </w:rPr>
              <w:t xml:space="preserve"> </w:t>
            </w:r>
            <w:r w:rsidRPr="00BE2534">
              <w:rPr>
                <w:rFonts w:ascii="Arial Narrow" w:hAnsi="Arial Narrow"/>
                <w:color w:val="000000"/>
                <w:lang w:val="sq-AL" w:eastAsia="de-DE"/>
              </w:rPr>
              <w:t>për një periudhë 20</w:t>
            </w:r>
            <w:r>
              <w:rPr>
                <w:rFonts w:ascii="Arial Narrow" w:hAnsi="Arial Narrow"/>
                <w:color w:val="000000"/>
                <w:lang w:val="sq-AL" w:eastAsia="de-DE"/>
              </w:rPr>
              <w:t xml:space="preserve"> </w:t>
            </w:r>
            <w:r w:rsidRPr="00BE2534">
              <w:rPr>
                <w:rFonts w:ascii="Arial Narrow" w:hAnsi="Arial Narrow"/>
                <w:color w:val="000000"/>
                <w:lang w:val="sq-AL" w:eastAsia="de-DE"/>
              </w:rPr>
              <w:t>vjeçare</w:t>
            </w:r>
          </w:p>
        </w:tc>
        <w:tc>
          <w:tcPr>
            <w:tcW w:w="710" w:type="pct"/>
            <w:tcMar>
              <w:left w:w="58" w:type="dxa"/>
              <w:right w:w="58" w:type="dxa"/>
            </w:tcMar>
          </w:tcPr>
          <w:p w14:paraId="16AD7CB7" w14:textId="7BAD6F20" w:rsidR="004459AE" w:rsidRPr="00C97DF3" w:rsidRDefault="004459AE" w:rsidP="004459AE">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2026 për qelinë e parë dhe infrastrukturën e përbashkët</w:t>
            </w:r>
          </w:p>
        </w:tc>
      </w:tr>
      <w:tr w:rsidR="004459AE" w:rsidRPr="00C97DF3" w14:paraId="01943D6E" w14:textId="77777777" w:rsidTr="008F1976">
        <w:tc>
          <w:tcPr>
            <w:tcW w:w="1195" w:type="pct"/>
            <w:tcBorders>
              <w:bottom w:val="nil"/>
            </w:tcBorders>
            <w:tcMar>
              <w:left w:w="58" w:type="dxa"/>
              <w:right w:w="58" w:type="dxa"/>
            </w:tcMar>
          </w:tcPr>
          <w:p w14:paraId="587F555E" w14:textId="1061ABED" w:rsidR="004459AE" w:rsidRPr="00C97DF3" w:rsidRDefault="004459AE" w:rsidP="004459AE">
            <w:pPr>
              <w:spacing w:before="40" w:after="40"/>
              <w:rPr>
                <w:rFonts w:ascii="Arial Narrow" w:hAnsi="Arial Narrow"/>
                <w:color w:val="000000"/>
                <w:lang w:eastAsia="de-DE"/>
              </w:rPr>
            </w:pPr>
            <w:r w:rsidRPr="00BE2534">
              <w:rPr>
                <w:rFonts w:ascii="Arial Narrow" w:hAnsi="Arial Narrow"/>
                <w:color w:val="000000"/>
                <w:lang w:val="sq-AL" w:eastAsia="de-DE"/>
              </w:rPr>
              <w:t>MNRr</w:t>
            </w:r>
          </w:p>
        </w:tc>
        <w:tc>
          <w:tcPr>
            <w:tcW w:w="1497" w:type="pct"/>
            <w:tcBorders>
              <w:bottom w:val="nil"/>
            </w:tcBorders>
            <w:tcMar>
              <w:left w:w="58" w:type="dxa"/>
              <w:right w:w="58" w:type="dxa"/>
            </w:tcMar>
          </w:tcPr>
          <w:p w14:paraId="27FAD8B5" w14:textId="2F2129B3" w:rsidR="004459AE" w:rsidRPr="00C97DF3" w:rsidRDefault="004459AE" w:rsidP="004459AE">
            <w:pPr>
              <w:spacing w:before="40" w:after="40"/>
              <w:rPr>
                <w:rFonts w:ascii="Arial Narrow" w:hAnsi="Arial Narrow"/>
                <w:color w:val="000000"/>
                <w:lang w:eastAsia="de-DE"/>
              </w:rPr>
            </w:pPr>
            <w:r w:rsidRPr="00BE2534">
              <w:rPr>
                <w:rFonts w:ascii="Arial Narrow" w:hAnsi="Arial Narrow"/>
                <w:color w:val="000000"/>
                <w:lang w:val="sq-AL" w:eastAsia="de-DE"/>
              </w:rPr>
              <w:t>Rrjeti i pikave të hedhjes</w:t>
            </w:r>
          </w:p>
        </w:tc>
        <w:tc>
          <w:tcPr>
            <w:tcW w:w="1598" w:type="pct"/>
            <w:tcMar>
              <w:left w:w="58" w:type="dxa"/>
              <w:right w:w="58" w:type="dxa"/>
            </w:tcMar>
          </w:tcPr>
          <w:p w14:paraId="5D585E43" w14:textId="6C4EA745" w:rsidR="004459AE" w:rsidRPr="00C97DF3" w:rsidRDefault="004459AE" w:rsidP="004459AE">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Pejë (që shërben edhe Deçanin dhe Junikun ) me kapacitet prej 5,400 m³/vit</w:t>
            </w:r>
          </w:p>
        </w:tc>
        <w:tc>
          <w:tcPr>
            <w:tcW w:w="710" w:type="pct"/>
            <w:tcMar>
              <w:left w:w="58" w:type="dxa"/>
              <w:right w:w="58" w:type="dxa"/>
            </w:tcMar>
          </w:tcPr>
          <w:p w14:paraId="22250742" w14:textId="1CAD6CA5" w:rsidR="004459AE" w:rsidRPr="00C97DF3" w:rsidRDefault="004459AE" w:rsidP="004459AE">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2025-2027</w:t>
            </w:r>
          </w:p>
        </w:tc>
      </w:tr>
      <w:tr w:rsidR="004459AE" w:rsidRPr="00C97DF3" w14:paraId="6AAD0EDD" w14:textId="77777777" w:rsidTr="008F1976">
        <w:tc>
          <w:tcPr>
            <w:tcW w:w="1195" w:type="pct"/>
            <w:tcBorders>
              <w:top w:val="nil"/>
              <w:bottom w:val="nil"/>
            </w:tcBorders>
            <w:tcMar>
              <w:left w:w="58" w:type="dxa"/>
              <w:right w:w="58" w:type="dxa"/>
            </w:tcMar>
          </w:tcPr>
          <w:p w14:paraId="2F055F42" w14:textId="77777777" w:rsidR="004459AE" w:rsidRPr="00C97DF3" w:rsidRDefault="004459AE" w:rsidP="004459AE">
            <w:pPr>
              <w:spacing w:before="40" w:after="40"/>
              <w:rPr>
                <w:rFonts w:ascii="Arial Narrow" w:hAnsi="Arial Narrow"/>
                <w:color w:val="000000"/>
                <w:lang w:eastAsia="de-DE"/>
              </w:rPr>
            </w:pPr>
          </w:p>
        </w:tc>
        <w:tc>
          <w:tcPr>
            <w:tcW w:w="1497" w:type="pct"/>
            <w:tcBorders>
              <w:top w:val="nil"/>
              <w:bottom w:val="nil"/>
            </w:tcBorders>
            <w:tcMar>
              <w:left w:w="58" w:type="dxa"/>
              <w:right w:w="58" w:type="dxa"/>
            </w:tcMar>
          </w:tcPr>
          <w:p w14:paraId="7C242697" w14:textId="77777777" w:rsidR="004459AE" w:rsidRPr="00C97DF3" w:rsidRDefault="004459AE" w:rsidP="004459AE">
            <w:pPr>
              <w:spacing w:before="40" w:after="40"/>
              <w:rPr>
                <w:rFonts w:ascii="Arial Narrow" w:hAnsi="Arial Narrow"/>
                <w:color w:val="000000"/>
                <w:lang w:eastAsia="de-DE"/>
              </w:rPr>
            </w:pPr>
          </w:p>
        </w:tc>
        <w:tc>
          <w:tcPr>
            <w:tcW w:w="1598" w:type="pct"/>
            <w:tcMar>
              <w:left w:w="58" w:type="dxa"/>
              <w:right w:w="58" w:type="dxa"/>
            </w:tcMar>
          </w:tcPr>
          <w:p w14:paraId="11E95C5E" w14:textId="28B4C96E" w:rsidR="004459AE" w:rsidRPr="00C97DF3" w:rsidRDefault="004459AE" w:rsidP="004459AE">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Istog - kapaciteti 2,900 m³/vit</w:t>
            </w:r>
          </w:p>
        </w:tc>
        <w:tc>
          <w:tcPr>
            <w:tcW w:w="710" w:type="pct"/>
            <w:tcMar>
              <w:left w:w="58" w:type="dxa"/>
              <w:right w:w="58" w:type="dxa"/>
            </w:tcMar>
          </w:tcPr>
          <w:p w14:paraId="4089346D" w14:textId="3297B55D" w:rsidR="004459AE" w:rsidRPr="00C97DF3" w:rsidRDefault="004459AE" w:rsidP="004459AE">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2025-2027</w:t>
            </w:r>
          </w:p>
        </w:tc>
      </w:tr>
      <w:tr w:rsidR="004459AE" w:rsidRPr="00C97DF3" w14:paraId="1F9F4267" w14:textId="77777777" w:rsidTr="008F1976">
        <w:tc>
          <w:tcPr>
            <w:tcW w:w="1195" w:type="pct"/>
            <w:tcBorders>
              <w:top w:val="nil"/>
              <w:bottom w:val="nil"/>
            </w:tcBorders>
            <w:tcMar>
              <w:left w:w="58" w:type="dxa"/>
              <w:right w:w="58" w:type="dxa"/>
            </w:tcMar>
          </w:tcPr>
          <w:p w14:paraId="0C202940" w14:textId="77777777" w:rsidR="004459AE" w:rsidRPr="00C97DF3" w:rsidRDefault="004459AE" w:rsidP="004459AE">
            <w:pPr>
              <w:spacing w:before="40" w:after="40"/>
              <w:rPr>
                <w:rFonts w:ascii="Arial Narrow" w:hAnsi="Arial Narrow"/>
                <w:color w:val="000000"/>
                <w:lang w:eastAsia="de-DE"/>
              </w:rPr>
            </w:pPr>
          </w:p>
        </w:tc>
        <w:tc>
          <w:tcPr>
            <w:tcW w:w="1497" w:type="pct"/>
            <w:tcBorders>
              <w:top w:val="nil"/>
              <w:bottom w:val="nil"/>
            </w:tcBorders>
            <w:tcMar>
              <w:left w:w="58" w:type="dxa"/>
              <w:right w:w="58" w:type="dxa"/>
            </w:tcMar>
          </w:tcPr>
          <w:p w14:paraId="48DB447B" w14:textId="77777777" w:rsidR="004459AE" w:rsidRPr="00C97DF3" w:rsidRDefault="004459AE" w:rsidP="004459AE">
            <w:pPr>
              <w:spacing w:before="40" w:after="40"/>
              <w:rPr>
                <w:rFonts w:ascii="Arial Narrow" w:hAnsi="Arial Narrow"/>
                <w:color w:val="000000"/>
                <w:lang w:eastAsia="de-DE"/>
              </w:rPr>
            </w:pPr>
          </w:p>
        </w:tc>
        <w:tc>
          <w:tcPr>
            <w:tcW w:w="1598" w:type="pct"/>
            <w:tcMar>
              <w:left w:w="58" w:type="dxa"/>
              <w:right w:w="58" w:type="dxa"/>
            </w:tcMar>
          </w:tcPr>
          <w:p w14:paraId="1EDF006C" w14:textId="32151211" w:rsidR="004459AE" w:rsidRPr="00C97DF3" w:rsidRDefault="004459AE" w:rsidP="004459AE">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Klinë - kapaciteti 2,400 m³/vit</w:t>
            </w:r>
          </w:p>
        </w:tc>
        <w:tc>
          <w:tcPr>
            <w:tcW w:w="710" w:type="pct"/>
            <w:tcMar>
              <w:left w:w="58" w:type="dxa"/>
              <w:right w:w="58" w:type="dxa"/>
            </w:tcMar>
          </w:tcPr>
          <w:p w14:paraId="6C1FEBA0" w14:textId="04EFA58A" w:rsidR="004459AE" w:rsidRPr="00C97DF3" w:rsidRDefault="004459AE" w:rsidP="004459AE">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2025-2027</w:t>
            </w:r>
          </w:p>
        </w:tc>
      </w:tr>
      <w:tr w:rsidR="004459AE" w:rsidRPr="00C97DF3" w14:paraId="30F835EB" w14:textId="77777777" w:rsidTr="008F1976">
        <w:tc>
          <w:tcPr>
            <w:tcW w:w="1195" w:type="pct"/>
            <w:tcBorders>
              <w:top w:val="nil"/>
              <w:bottom w:val="nil"/>
            </w:tcBorders>
            <w:tcMar>
              <w:left w:w="58" w:type="dxa"/>
              <w:right w:w="58" w:type="dxa"/>
            </w:tcMar>
          </w:tcPr>
          <w:p w14:paraId="3BC324D6" w14:textId="77777777" w:rsidR="004459AE" w:rsidRPr="00C97DF3" w:rsidRDefault="004459AE" w:rsidP="004459AE">
            <w:pPr>
              <w:spacing w:before="40" w:after="40"/>
              <w:rPr>
                <w:rFonts w:ascii="Arial Narrow" w:hAnsi="Arial Narrow"/>
                <w:color w:val="000000"/>
                <w:lang w:eastAsia="de-DE"/>
              </w:rPr>
            </w:pPr>
          </w:p>
        </w:tc>
        <w:tc>
          <w:tcPr>
            <w:tcW w:w="1497" w:type="pct"/>
            <w:tcBorders>
              <w:top w:val="nil"/>
              <w:bottom w:val="single" w:sz="4" w:space="0" w:color="auto"/>
            </w:tcBorders>
            <w:tcMar>
              <w:left w:w="58" w:type="dxa"/>
              <w:right w:w="58" w:type="dxa"/>
            </w:tcMar>
          </w:tcPr>
          <w:p w14:paraId="48690128" w14:textId="77777777" w:rsidR="004459AE" w:rsidRPr="00C97DF3" w:rsidRDefault="004459AE" w:rsidP="004459AE">
            <w:pPr>
              <w:spacing w:before="40" w:after="40"/>
              <w:rPr>
                <w:rFonts w:ascii="Arial Narrow" w:hAnsi="Arial Narrow"/>
                <w:color w:val="000000"/>
                <w:lang w:eastAsia="de-DE"/>
              </w:rPr>
            </w:pPr>
          </w:p>
        </w:tc>
        <w:tc>
          <w:tcPr>
            <w:tcW w:w="1598" w:type="pct"/>
            <w:tcMar>
              <w:left w:w="58" w:type="dxa"/>
              <w:right w:w="58" w:type="dxa"/>
            </w:tcMar>
          </w:tcPr>
          <w:p w14:paraId="7F5E2615" w14:textId="52E8F93D" w:rsidR="004459AE" w:rsidRPr="00C97DF3" w:rsidRDefault="004459AE" w:rsidP="004459AE">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Deçan (që shërben edhe Junikun ) me kapacitet 2,400 m³/vit</w:t>
            </w:r>
          </w:p>
        </w:tc>
        <w:tc>
          <w:tcPr>
            <w:tcW w:w="710" w:type="pct"/>
            <w:tcMar>
              <w:left w:w="58" w:type="dxa"/>
              <w:right w:w="58" w:type="dxa"/>
            </w:tcMar>
          </w:tcPr>
          <w:p w14:paraId="59E7E991" w14:textId="17DFFD42" w:rsidR="004459AE" w:rsidRPr="00C97DF3" w:rsidRDefault="004459AE" w:rsidP="004459AE">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2025-2027</w:t>
            </w:r>
          </w:p>
        </w:tc>
      </w:tr>
      <w:tr w:rsidR="004459AE" w:rsidRPr="00C97DF3" w14:paraId="05F198B4" w14:textId="77777777" w:rsidTr="008F1976">
        <w:tc>
          <w:tcPr>
            <w:tcW w:w="1195" w:type="pct"/>
            <w:tcBorders>
              <w:top w:val="nil"/>
              <w:bottom w:val="nil"/>
            </w:tcBorders>
            <w:tcMar>
              <w:left w:w="58" w:type="dxa"/>
              <w:right w:w="58" w:type="dxa"/>
            </w:tcMar>
          </w:tcPr>
          <w:p w14:paraId="3D3954D5" w14:textId="77777777" w:rsidR="004459AE" w:rsidRPr="00C97DF3" w:rsidRDefault="004459AE" w:rsidP="004459AE">
            <w:pPr>
              <w:spacing w:before="40" w:after="40"/>
              <w:rPr>
                <w:rFonts w:ascii="Arial Narrow" w:hAnsi="Arial Narrow"/>
                <w:color w:val="000000"/>
                <w:lang w:eastAsia="de-DE"/>
              </w:rPr>
            </w:pPr>
          </w:p>
        </w:tc>
        <w:tc>
          <w:tcPr>
            <w:tcW w:w="1497" w:type="pct"/>
            <w:tcBorders>
              <w:top w:val="single" w:sz="4" w:space="0" w:color="auto"/>
            </w:tcBorders>
            <w:tcMar>
              <w:left w:w="58" w:type="dxa"/>
              <w:right w:w="58" w:type="dxa"/>
            </w:tcMar>
          </w:tcPr>
          <w:p w14:paraId="5B784EC3" w14:textId="2D9FE597" w:rsidR="004459AE" w:rsidRPr="00C97DF3" w:rsidRDefault="004459AE" w:rsidP="004459AE">
            <w:pPr>
              <w:spacing w:before="40" w:after="40"/>
              <w:rPr>
                <w:rFonts w:ascii="Arial Narrow" w:hAnsi="Arial Narrow"/>
                <w:color w:val="000000"/>
                <w:lang w:val="bg-BG" w:eastAsia="de-DE"/>
              </w:rPr>
            </w:pPr>
            <w:r w:rsidRPr="00BE2534">
              <w:rPr>
                <w:rFonts w:ascii="Arial Narrow" w:hAnsi="Arial Narrow"/>
                <w:color w:val="000000"/>
                <w:lang w:val="sq-AL" w:eastAsia="de-DE"/>
              </w:rPr>
              <w:t>Një objekt riciklimi me një thërmues mobil</w:t>
            </w:r>
          </w:p>
        </w:tc>
        <w:tc>
          <w:tcPr>
            <w:tcW w:w="1598" w:type="pct"/>
            <w:tcMar>
              <w:left w:w="58" w:type="dxa"/>
              <w:right w:w="58" w:type="dxa"/>
            </w:tcMar>
          </w:tcPr>
          <w:p w14:paraId="31727172" w14:textId="6FFFD42B" w:rsidR="004459AE" w:rsidRPr="00C97DF3" w:rsidRDefault="004459AE" w:rsidP="004459AE">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Kapaciteti 12,800 m³/vit</w:t>
            </w:r>
          </w:p>
        </w:tc>
        <w:tc>
          <w:tcPr>
            <w:tcW w:w="710" w:type="pct"/>
            <w:tcMar>
              <w:left w:w="58" w:type="dxa"/>
              <w:right w:w="58" w:type="dxa"/>
            </w:tcMar>
          </w:tcPr>
          <w:p w14:paraId="0E76FDC1" w14:textId="4CB7D02E" w:rsidR="004459AE" w:rsidRPr="00C97DF3" w:rsidRDefault="004459AE" w:rsidP="004459AE">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2027</w:t>
            </w:r>
          </w:p>
        </w:tc>
      </w:tr>
      <w:tr w:rsidR="004459AE" w:rsidRPr="00C97DF3" w14:paraId="39CA7DAF" w14:textId="77777777" w:rsidTr="008F1976">
        <w:tc>
          <w:tcPr>
            <w:tcW w:w="1195" w:type="pct"/>
            <w:tcBorders>
              <w:top w:val="nil"/>
            </w:tcBorders>
            <w:tcMar>
              <w:left w:w="58" w:type="dxa"/>
              <w:right w:w="58" w:type="dxa"/>
            </w:tcMar>
          </w:tcPr>
          <w:p w14:paraId="207BDEB9" w14:textId="77777777" w:rsidR="004459AE" w:rsidRPr="00C97DF3" w:rsidRDefault="004459AE" w:rsidP="004459AE">
            <w:pPr>
              <w:spacing w:before="40" w:after="40"/>
              <w:rPr>
                <w:rFonts w:ascii="Arial Narrow" w:hAnsi="Arial Narrow"/>
                <w:color w:val="000000"/>
                <w:lang w:eastAsia="de-DE"/>
              </w:rPr>
            </w:pPr>
          </w:p>
        </w:tc>
        <w:tc>
          <w:tcPr>
            <w:tcW w:w="1497" w:type="pct"/>
            <w:tcMar>
              <w:left w:w="58" w:type="dxa"/>
              <w:right w:w="58" w:type="dxa"/>
            </w:tcMar>
          </w:tcPr>
          <w:p w14:paraId="4B1C34ED" w14:textId="7EE03A5A" w:rsidR="004459AE" w:rsidRPr="00C97DF3" w:rsidRDefault="004459AE" w:rsidP="004459AE">
            <w:pPr>
              <w:spacing w:before="40" w:after="40"/>
              <w:rPr>
                <w:rFonts w:ascii="Arial Narrow" w:hAnsi="Arial Narrow"/>
                <w:color w:val="000000"/>
                <w:lang w:eastAsia="de-DE"/>
              </w:rPr>
            </w:pPr>
            <w:r w:rsidRPr="00BE2534">
              <w:rPr>
                <w:rFonts w:ascii="Arial Narrow" w:hAnsi="Arial Narrow"/>
                <w:color w:val="000000"/>
                <w:lang w:val="sq-AL" w:eastAsia="de-DE"/>
              </w:rPr>
              <w:t>Një objekt deponimi</w:t>
            </w:r>
          </w:p>
        </w:tc>
        <w:tc>
          <w:tcPr>
            <w:tcW w:w="1598" w:type="pct"/>
            <w:tcMar>
              <w:left w:w="58" w:type="dxa"/>
              <w:right w:w="58" w:type="dxa"/>
            </w:tcMar>
          </w:tcPr>
          <w:p w14:paraId="14273A26" w14:textId="4E27A121" w:rsidR="004459AE" w:rsidRPr="00C97DF3" w:rsidRDefault="004459AE" w:rsidP="004459AE">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Kapaciteti 19,300 m³/vit</w:t>
            </w:r>
          </w:p>
        </w:tc>
        <w:tc>
          <w:tcPr>
            <w:tcW w:w="710" w:type="pct"/>
            <w:tcMar>
              <w:left w:w="58" w:type="dxa"/>
              <w:right w:w="58" w:type="dxa"/>
            </w:tcMar>
          </w:tcPr>
          <w:p w14:paraId="3FEE734F" w14:textId="54FEA4D2" w:rsidR="004459AE" w:rsidRPr="00C97DF3" w:rsidRDefault="004459AE" w:rsidP="004459AE">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2027</w:t>
            </w:r>
          </w:p>
        </w:tc>
      </w:tr>
    </w:tbl>
    <w:p w14:paraId="28447034" w14:textId="77777777" w:rsidR="00C97DF3" w:rsidRPr="00C97DF3" w:rsidRDefault="00C97DF3" w:rsidP="00C97DF3">
      <w:pPr>
        <w:rPr>
          <w:rFonts w:ascii="Arial Narrow" w:hAnsi="Arial Narrow"/>
          <w:color w:val="000000"/>
          <w:sz w:val="22"/>
          <w:szCs w:val="22"/>
          <w:lang w:val="en-GB" w:eastAsia="de-DE"/>
        </w:rPr>
      </w:pPr>
    </w:p>
    <w:p w14:paraId="4DF71D6F" w14:textId="77777777" w:rsidR="004459AE" w:rsidRDefault="004459AE" w:rsidP="00C97DF3">
      <w:pPr>
        <w:jc w:val="center"/>
        <w:rPr>
          <w:rFonts w:ascii="Arial Narrow" w:hAnsi="Arial Narrow"/>
          <w:color w:val="000000"/>
          <w:sz w:val="22"/>
          <w:szCs w:val="22"/>
          <w:lang w:val="sq-AL" w:eastAsia="de-DE"/>
        </w:rPr>
      </w:pPr>
      <w:r w:rsidRPr="00BE2534">
        <w:rPr>
          <w:rFonts w:ascii="Arial Narrow" w:hAnsi="Arial Narrow"/>
          <w:color w:val="000000"/>
          <w:sz w:val="22"/>
          <w:szCs w:val="22"/>
          <w:lang w:val="sq-AL" w:eastAsia="de-DE"/>
        </w:rPr>
        <w:t xml:space="preserve">Shifrat e mëposhtme paraqesin vendndodhjen e objekteve të parashikuara për menaxhimin e mbeturinave në ZMM </w:t>
      </w:r>
    </w:p>
    <w:p w14:paraId="0A7D68A0" w14:textId="2B12CFB3" w:rsidR="00C97DF3" w:rsidRPr="00C97DF3" w:rsidRDefault="00CA7306" w:rsidP="00C97DF3">
      <w:pPr>
        <w:jc w:val="center"/>
        <w:rPr>
          <w:rFonts w:ascii="Arial Narrow" w:hAnsi="Arial Narrow"/>
          <w:color w:val="000000"/>
          <w:sz w:val="22"/>
          <w:szCs w:val="22"/>
          <w:lang w:val="bg-BG" w:eastAsia="de-DE"/>
        </w:rPr>
      </w:pPr>
      <w:r>
        <w:rPr>
          <w:noProof/>
        </w:rPr>
        <w:lastRenderedPageBreak/>
        <w:drawing>
          <wp:inline distT="0" distB="0" distL="0" distR="0" wp14:anchorId="0BB6DE12" wp14:editId="071D48D5">
            <wp:extent cx="4320540" cy="3166203"/>
            <wp:effectExtent l="0" t="0" r="3810" b="0"/>
            <wp:docPr id="1988256827" name="Picture 1988256827" descr="A map of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256827" name="Picture 1988256827" descr="A map of different colored areas&#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7135" cy="3185693"/>
                    </a:xfrm>
                    <a:prstGeom prst="rect">
                      <a:avLst/>
                    </a:prstGeom>
                    <a:noFill/>
                    <a:ln>
                      <a:noFill/>
                    </a:ln>
                  </pic:spPr>
                </pic:pic>
              </a:graphicData>
            </a:graphic>
          </wp:inline>
        </w:drawing>
      </w:r>
    </w:p>
    <w:p w14:paraId="7D9A696E" w14:textId="4A6B5493" w:rsidR="004459AE" w:rsidRPr="00BE2534" w:rsidRDefault="00C97DF3" w:rsidP="004459AE">
      <w:pPr>
        <w:jc w:val="center"/>
        <w:rPr>
          <w:rFonts w:ascii="Arial Narrow" w:eastAsia="Calibri" w:hAnsi="Arial Narrow" w:cs="Calibri"/>
          <w:color w:val="1F497D"/>
          <w:sz w:val="22"/>
          <w:szCs w:val="22"/>
          <w:lang w:val="sq-AL"/>
        </w:rPr>
      </w:pPr>
      <w:bookmarkStart w:id="8" w:name="_Toc197472306"/>
      <w:r w:rsidRPr="00C97DF3">
        <w:rPr>
          <w:rFonts w:eastAsia="Calibri" w:cs="Calibri"/>
          <w:sz w:val="20"/>
          <w:szCs w:val="20"/>
        </w:rPr>
        <w:t xml:space="preserve">Figura </w:t>
      </w:r>
      <w:r w:rsidRPr="00C97DF3">
        <w:rPr>
          <w:rFonts w:eastAsia="Calibri" w:cs="Calibri"/>
          <w:sz w:val="20"/>
          <w:szCs w:val="20"/>
        </w:rPr>
        <w:fldChar w:fldCharType="begin"/>
      </w:r>
      <w:r w:rsidRPr="00C97DF3">
        <w:rPr>
          <w:rFonts w:eastAsia="Calibri" w:cs="Calibri"/>
          <w:sz w:val="20"/>
          <w:szCs w:val="20"/>
        </w:rPr>
        <w:instrText xml:space="preserve"> SEQ Figure \* ARABIC </w:instrText>
      </w:r>
      <w:r w:rsidRPr="00C97DF3">
        <w:rPr>
          <w:rFonts w:eastAsia="Calibri" w:cs="Calibri"/>
          <w:sz w:val="20"/>
          <w:szCs w:val="20"/>
        </w:rPr>
        <w:fldChar w:fldCharType="separate"/>
      </w:r>
      <w:r>
        <w:rPr>
          <w:rFonts w:eastAsia="Calibri" w:cs="Calibri"/>
          <w:noProof/>
          <w:sz w:val="20"/>
          <w:szCs w:val="20"/>
        </w:rPr>
        <w:t xml:space="preserve">3. </w:t>
      </w:r>
      <w:r w:rsidRPr="00C97DF3">
        <w:rPr>
          <w:rFonts w:eastAsia="Calibri" w:cs="Calibri"/>
          <w:sz w:val="20"/>
          <w:szCs w:val="20"/>
        </w:rPr>
        <w:fldChar w:fldCharType="end"/>
      </w:r>
      <w:r w:rsidR="004459AE" w:rsidRPr="004459AE">
        <w:rPr>
          <w:rFonts w:ascii="Arial Narrow" w:eastAsia="Calibri" w:hAnsi="Arial Narrow" w:cs="Calibri"/>
          <w:color w:val="1F497D"/>
          <w:sz w:val="22"/>
          <w:szCs w:val="22"/>
          <w:lang w:val="sq-AL"/>
        </w:rPr>
        <w:t xml:space="preserve"> </w:t>
      </w:r>
      <w:r w:rsidR="004459AE" w:rsidRPr="00BE2534">
        <w:rPr>
          <w:rFonts w:ascii="Arial Narrow" w:eastAsia="Calibri" w:hAnsi="Arial Narrow" w:cs="Calibri"/>
          <w:color w:val="1F497D"/>
          <w:sz w:val="22"/>
          <w:szCs w:val="22"/>
          <w:lang w:val="sq-AL"/>
        </w:rPr>
        <w:t>Vendndodhja e objekteve të parashikuara për menaxhimin e mbeturinave në ZMM</w:t>
      </w:r>
      <w:bookmarkEnd w:id="8"/>
    </w:p>
    <w:p w14:paraId="2B7C8026" w14:textId="77777777" w:rsidR="00C97DF3" w:rsidRPr="00FF7243" w:rsidRDefault="00C97DF3" w:rsidP="00C97DF3">
      <w:pPr>
        <w:rPr>
          <w:rFonts w:ascii="Arial Narrow" w:hAnsi="Arial Narrow"/>
          <w:color w:val="000000"/>
          <w:sz w:val="22"/>
          <w:szCs w:val="22"/>
          <w:lang w:val="bg-BG" w:eastAsia="de-DE"/>
        </w:rPr>
      </w:pPr>
    </w:p>
    <w:p w14:paraId="51106163" w14:textId="73C7CBCB" w:rsidR="00C97DF3" w:rsidRPr="00FF7243" w:rsidRDefault="00CA7306" w:rsidP="00CA7306">
      <w:pPr>
        <w:jc w:val="both"/>
        <w:rPr>
          <w:rFonts w:ascii="Arial Narrow" w:hAnsi="Arial Narrow"/>
          <w:color w:val="000000"/>
          <w:sz w:val="22"/>
          <w:szCs w:val="22"/>
          <w:lang w:val="bg-BG" w:eastAsia="de-DE"/>
        </w:rPr>
      </w:pPr>
      <w:r>
        <w:rPr>
          <w:rFonts w:ascii="Arial Narrow" w:hAnsi="Arial Narrow"/>
          <w:color w:val="000000"/>
          <w:sz w:val="22"/>
          <w:szCs w:val="22"/>
          <w:lang w:val="en-GB" w:eastAsia="de-DE"/>
        </w:rPr>
        <w:t>PNMIM</w:t>
      </w:r>
      <w:r w:rsidRPr="00FF7243">
        <w:rPr>
          <w:rFonts w:ascii="Arial Narrow" w:hAnsi="Arial Narrow"/>
          <w:color w:val="000000"/>
          <w:sz w:val="22"/>
          <w:szCs w:val="22"/>
          <w:lang w:val="bg-BG" w:eastAsia="de-DE"/>
        </w:rPr>
        <w:t xml:space="preserve"> </w:t>
      </w:r>
      <w:r>
        <w:rPr>
          <w:rFonts w:ascii="Arial Narrow" w:hAnsi="Arial Narrow"/>
          <w:color w:val="000000"/>
          <w:sz w:val="22"/>
          <w:szCs w:val="22"/>
          <w:lang w:val="en-GB" w:eastAsia="de-DE"/>
        </w:rPr>
        <w:t>gjithashtu</w:t>
      </w:r>
      <w:r w:rsidRPr="00FF7243">
        <w:rPr>
          <w:rFonts w:ascii="Arial Narrow" w:hAnsi="Arial Narrow"/>
          <w:color w:val="000000"/>
          <w:sz w:val="22"/>
          <w:szCs w:val="22"/>
          <w:lang w:val="bg-BG" w:eastAsia="de-DE"/>
        </w:rPr>
        <w:t xml:space="preserve"> </w:t>
      </w:r>
      <w:proofErr w:type="spellStart"/>
      <w:r w:rsidR="00C97DF3" w:rsidRPr="00C97DF3">
        <w:rPr>
          <w:rFonts w:ascii="Arial Narrow" w:hAnsi="Arial Narrow"/>
          <w:color w:val="000000"/>
          <w:sz w:val="22"/>
          <w:szCs w:val="22"/>
          <w:lang w:val="en-GB" w:eastAsia="de-DE"/>
        </w:rPr>
        <w:t>identifikon</w:t>
      </w:r>
      <w:proofErr w:type="spellEnd"/>
      <w:r w:rsidR="00C97DF3" w:rsidRPr="00FF7243">
        <w:rPr>
          <w:rFonts w:ascii="Arial Narrow" w:hAnsi="Arial Narrow"/>
          <w:color w:val="000000"/>
          <w:sz w:val="22"/>
          <w:szCs w:val="22"/>
          <w:lang w:val="bg-BG" w:eastAsia="de-DE"/>
        </w:rPr>
        <w:t xml:space="preserve"> </w:t>
      </w:r>
      <w:proofErr w:type="spellStart"/>
      <w:r w:rsidR="00C97DF3" w:rsidRPr="00C97DF3">
        <w:rPr>
          <w:rFonts w:ascii="Arial Narrow" w:hAnsi="Arial Narrow"/>
          <w:color w:val="000000"/>
          <w:sz w:val="22"/>
          <w:szCs w:val="22"/>
          <w:lang w:val="en-GB" w:eastAsia="de-DE"/>
        </w:rPr>
        <w:t>menaxhimin</w:t>
      </w:r>
      <w:proofErr w:type="spellEnd"/>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e</w:t>
      </w:r>
      <w:r w:rsidR="00C97DF3" w:rsidRPr="00FF7243">
        <w:rPr>
          <w:rFonts w:ascii="Arial Narrow" w:hAnsi="Arial Narrow"/>
          <w:color w:val="000000"/>
          <w:sz w:val="22"/>
          <w:szCs w:val="22"/>
          <w:lang w:val="bg-BG" w:eastAsia="de-DE"/>
        </w:rPr>
        <w:t xml:space="preserve"> </w:t>
      </w:r>
      <w:proofErr w:type="spellStart"/>
      <w:r w:rsidR="00C97DF3" w:rsidRPr="00C97DF3">
        <w:rPr>
          <w:rFonts w:ascii="Arial Narrow" w:hAnsi="Arial Narrow"/>
          <w:color w:val="000000"/>
          <w:sz w:val="22"/>
          <w:szCs w:val="22"/>
          <w:lang w:val="en-GB" w:eastAsia="de-DE"/>
        </w:rPr>
        <w:t>preferuar</w:t>
      </w:r>
      <w:proofErr w:type="spellEnd"/>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t</w:t>
      </w:r>
      <w:r w:rsidR="00C97DF3" w:rsidRPr="00FF7243">
        <w:rPr>
          <w:rFonts w:ascii="Arial Narrow" w:hAnsi="Arial Narrow"/>
          <w:color w:val="000000"/>
          <w:sz w:val="22"/>
          <w:szCs w:val="22"/>
          <w:lang w:val="bg-BG" w:eastAsia="de-DE"/>
        </w:rPr>
        <w:t xml:space="preserve">ë </w:t>
      </w:r>
      <w:proofErr w:type="spellStart"/>
      <w:r>
        <w:rPr>
          <w:rFonts w:ascii="Arial Narrow" w:hAnsi="Arial Narrow"/>
          <w:color w:val="000000"/>
          <w:sz w:val="22"/>
          <w:szCs w:val="22"/>
          <w:lang w:val="en-GB" w:eastAsia="de-DE"/>
        </w:rPr>
        <w:t>fraksioneve</w:t>
      </w:r>
      <w:proofErr w:type="spellEnd"/>
      <w:r w:rsidRPr="00FF7243">
        <w:rPr>
          <w:rFonts w:ascii="Arial Narrow" w:hAnsi="Arial Narrow"/>
          <w:color w:val="000000"/>
          <w:sz w:val="22"/>
          <w:szCs w:val="22"/>
          <w:lang w:val="bg-BG" w:eastAsia="de-DE"/>
        </w:rPr>
        <w:t xml:space="preserve"> </w:t>
      </w:r>
      <w:proofErr w:type="spellStart"/>
      <w:r w:rsidR="00C97DF3" w:rsidRPr="00C97DF3">
        <w:rPr>
          <w:rFonts w:ascii="Arial Narrow" w:hAnsi="Arial Narrow"/>
          <w:color w:val="000000"/>
          <w:sz w:val="22"/>
          <w:szCs w:val="22"/>
          <w:lang w:val="en-GB" w:eastAsia="de-DE"/>
        </w:rPr>
        <w:t>tjera</w:t>
      </w:r>
      <w:proofErr w:type="spellEnd"/>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t</w:t>
      </w:r>
      <w:r w:rsidR="00C97DF3" w:rsidRPr="00FF7243">
        <w:rPr>
          <w:rFonts w:ascii="Arial Narrow" w:hAnsi="Arial Narrow"/>
          <w:color w:val="000000"/>
          <w:sz w:val="22"/>
          <w:szCs w:val="22"/>
          <w:lang w:val="bg-BG" w:eastAsia="de-DE"/>
        </w:rPr>
        <w:t xml:space="preserve">ë </w:t>
      </w:r>
      <w:proofErr w:type="spellStart"/>
      <w:r w:rsidR="00C97DF3" w:rsidRPr="00C97DF3">
        <w:rPr>
          <w:rFonts w:ascii="Arial Narrow" w:hAnsi="Arial Narrow"/>
          <w:color w:val="000000"/>
          <w:sz w:val="22"/>
          <w:szCs w:val="22"/>
          <w:lang w:val="en-GB" w:eastAsia="de-DE"/>
        </w:rPr>
        <w:t>mbeturinave</w:t>
      </w:r>
      <w:proofErr w:type="spellEnd"/>
      <w:r w:rsidR="00C97DF3" w:rsidRPr="00FF7243">
        <w:rPr>
          <w:rFonts w:ascii="Arial Narrow" w:hAnsi="Arial Narrow"/>
          <w:color w:val="000000"/>
          <w:sz w:val="22"/>
          <w:szCs w:val="22"/>
          <w:lang w:val="bg-BG" w:eastAsia="de-DE"/>
        </w:rPr>
        <w:t xml:space="preserve">, </w:t>
      </w:r>
      <w:proofErr w:type="spellStart"/>
      <w:r w:rsidR="00C97DF3" w:rsidRPr="00C97DF3">
        <w:rPr>
          <w:rFonts w:ascii="Arial Narrow" w:hAnsi="Arial Narrow"/>
          <w:color w:val="000000"/>
          <w:sz w:val="22"/>
          <w:szCs w:val="22"/>
          <w:lang w:val="en-GB" w:eastAsia="de-DE"/>
        </w:rPr>
        <w:t>si</w:t>
      </w:r>
      <w:proofErr w:type="spellEnd"/>
      <w:r w:rsidR="00C97DF3" w:rsidRPr="00FF7243">
        <w:rPr>
          <w:rFonts w:ascii="Arial Narrow" w:hAnsi="Arial Narrow"/>
          <w:color w:val="000000"/>
          <w:sz w:val="22"/>
          <w:szCs w:val="22"/>
          <w:lang w:val="bg-BG" w:eastAsia="de-DE"/>
        </w:rPr>
        <w:t xml:space="preserve"> </w:t>
      </w:r>
      <w:proofErr w:type="spellStart"/>
      <w:r w:rsidR="00C97DF3" w:rsidRPr="00C97DF3">
        <w:rPr>
          <w:rFonts w:ascii="Arial Narrow" w:hAnsi="Arial Narrow"/>
          <w:color w:val="000000"/>
          <w:sz w:val="22"/>
          <w:szCs w:val="22"/>
          <w:lang w:val="en-GB" w:eastAsia="de-DE"/>
        </w:rPr>
        <w:t>mbeturinat</w:t>
      </w:r>
      <w:proofErr w:type="spellEnd"/>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e</w:t>
      </w:r>
      <w:r w:rsidR="00C97DF3" w:rsidRPr="00FF7243">
        <w:rPr>
          <w:rFonts w:ascii="Arial Narrow" w:hAnsi="Arial Narrow"/>
          <w:color w:val="000000"/>
          <w:sz w:val="22"/>
          <w:szCs w:val="22"/>
          <w:lang w:val="bg-BG" w:eastAsia="de-DE"/>
        </w:rPr>
        <w:t xml:space="preserve"> </w:t>
      </w:r>
      <w:r>
        <w:rPr>
          <w:rFonts w:ascii="Arial Narrow" w:hAnsi="Arial Narrow"/>
          <w:color w:val="000000"/>
          <w:sz w:val="22"/>
          <w:szCs w:val="22"/>
          <w:lang w:val="en-GB" w:eastAsia="de-DE"/>
        </w:rPr>
        <w:t>v</w:t>
      </w:r>
      <w:r w:rsidRPr="00FF7243">
        <w:rPr>
          <w:rFonts w:ascii="Arial Narrow" w:hAnsi="Arial Narrow"/>
          <w:color w:val="000000"/>
          <w:sz w:val="22"/>
          <w:szCs w:val="22"/>
          <w:lang w:val="bg-BG" w:eastAsia="de-DE"/>
        </w:rPr>
        <w:t>ë</w:t>
      </w:r>
      <w:proofErr w:type="spellStart"/>
      <w:r>
        <w:rPr>
          <w:rFonts w:ascii="Arial Narrow" w:hAnsi="Arial Narrow"/>
          <w:color w:val="000000"/>
          <w:sz w:val="22"/>
          <w:szCs w:val="22"/>
          <w:lang w:val="en-GB" w:eastAsia="de-DE"/>
        </w:rPr>
        <w:t>llimshme</w:t>
      </w:r>
      <w:proofErr w:type="spellEnd"/>
      <w:r w:rsidR="00C97DF3" w:rsidRPr="00FF7243">
        <w:rPr>
          <w:rFonts w:ascii="Arial Narrow" w:hAnsi="Arial Narrow"/>
          <w:color w:val="000000"/>
          <w:sz w:val="22"/>
          <w:szCs w:val="22"/>
          <w:lang w:val="bg-BG" w:eastAsia="de-DE"/>
        </w:rPr>
        <w:t xml:space="preserve">, </w:t>
      </w:r>
      <w:proofErr w:type="spellStart"/>
      <w:r w:rsidR="00C97DF3" w:rsidRPr="00C97DF3">
        <w:rPr>
          <w:rFonts w:ascii="Arial Narrow" w:hAnsi="Arial Narrow"/>
          <w:color w:val="000000"/>
          <w:sz w:val="22"/>
          <w:szCs w:val="22"/>
          <w:lang w:val="en-GB" w:eastAsia="de-DE"/>
        </w:rPr>
        <w:t>mbeturinat</w:t>
      </w:r>
      <w:proofErr w:type="spellEnd"/>
      <w:r w:rsidR="00C97DF3" w:rsidRPr="00FF7243">
        <w:rPr>
          <w:rFonts w:ascii="Arial Narrow" w:hAnsi="Arial Narrow"/>
          <w:color w:val="000000"/>
          <w:sz w:val="22"/>
          <w:szCs w:val="22"/>
          <w:lang w:val="bg-BG" w:eastAsia="de-DE"/>
        </w:rPr>
        <w:t xml:space="preserve"> </w:t>
      </w:r>
      <w:proofErr w:type="spellStart"/>
      <w:r w:rsidR="00C97DF3" w:rsidRPr="00C97DF3">
        <w:rPr>
          <w:rFonts w:ascii="Arial Narrow" w:hAnsi="Arial Narrow"/>
          <w:color w:val="000000"/>
          <w:sz w:val="22"/>
          <w:szCs w:val="22"/>
          <w:lang w:val="en-GB" w:eastAsia="de-DE"/>
        </w:rPr>
        <w:t>bujq</w:t>
      </w:r>
      <w:proofErr w:type="spellEnd"/>
      <w:r w:rsidR="00C97DF3" w:rsidRPr="00FF7243">
        <w:rPr>
          <w:rFonts w:ascii="Arial Narrow" w:hAnsi="Arial Narrow"/>
          <w:color w:val="000000"/>
          <w:sz w:val="22"/>
          <w:szCs w:val="22"/>
          <w:lang w:val="bg-BG" w:eastAsia="de-DE"/>
        </w:rPr>
        <w:t>ë</w:t>
      </w:r>
      <w:r w:rsidR="00C97DF3" w:rsidRPr="00C97DF3">
        <w:rPr>
          <w:rFonts w:ascii="Arial Narrow" w:hAnsi="Arial Narrow"/>
          <w:color w:val="000000"/>
          <w:sz w:val="22"/>
          <w:szCs w:val="22"/>
          <w:lang w:val="en-GB" w:eastAsia="de-DE"/>
        </w:rPr>
        <w:t>sore</w:t>
      </w:r>
      <w:r w:rsidR="00C97DF3" w:rsidRPr="00FF7243">
        <w:rPr>
          <w:rFonts w:ascii="Arial Narrow" w:hAnsi="Arial Narrow"/>
          <w:color w:val="000000"/>
          <w:sz w:val="22"/>
          <w:szCs w:val="22"/>
          <w:lang w:val="bg-BG" w:eastAsia="de-DE"/>
        </w:rPr>
        <w:t xml:space="preserve"> </w:t>
      </w:r>
      <w:proofErr w:type="spellStart"/>
      <w:r w:rsidR="00C97DF3" w:rsidRPr="00C97DF3">
        <w:rPr>
          <w:rFonts w:ascii="Arial Narrow" w:hAnsi="Arial Narrow"/>
          <w:color w:val="000000"/>
          <w:sz w:val="22"/>
          <w:szCs w:val="22"/>
          <w:lang w:val="en-GB" w:eastAsia="de-DE"/>
        </w:rPr>
        <w:t>dhe</w:t>
      </w:r>
      <w:proofErr w:type="spellEnd"/>
      <w:r w:rsidR="00C97DF3" w:rsidRPr="00FF7243">
        <w:rPr>
          <w:rFonts w:ascii="Arial Narrow" w:hAnsi="Arial Narrow"/>
          <w:color w:val="000000"/>
          <w:sz w:val="22"/>
          <w:szCs w:val="22"/>
          <w:lang w:val="bg-BG" w:eastAsia="de-DE"/>
        </w:rPr>
        <w:t xml:space="preserve"> </w:t>
      </w:r>
      <w:proofErr w:type="spellStart"/>
      <w:r>
        <w:rPr>
          <w:rFonts w:ascii="Arial Narrow" w:hAnsi="Arial Narrow"/>
          <w:color w:val="000000"/>
          <w:sz w:val="22"/>
          <w:szCs w:val="22"/>
          <w:lang w:val="en-GB" w:eastAsia="de-DE"/>
        </w:rPr>
        <w:t>fraksionet</w:t>
      </w:r>
      <w:proofErr w:type="spellEnd"/>
      <w:r w:rsidRPr="00FF7243">
        <w:rPr>
          <w:rFonts w:ascii="Arial Narrow" w:hAnsi="Arial Narrow"/>
          <w:color w:val="000000"/>
          <w:sz w:val="22"/>
          <w:szCs w:val="22"/>
          <w:lang w:val="bg-BG" w:eastAsia="de-DE"/>
        </w:rPr>
        <w:t xml:space="preserve"> </w:t>
      </w:r>
      <w:r>
        <w:rPr>
          <w:rFonts w:ascii="Arial Narrow" w:hAnsi="Arial Narrow"/>
          <w:color w:val="000000"/>
          <w:sz w:val="22"/>
          <w:szCs w:val="22"/>
          <w:lang w:val="en-GB" w:eastAsia="de-DE"/>
        </w:rPr>
        <w:t>e</w:t>
      </w:r>
      <w:r w:rsidRPr="00FF7243">
        <w:rPr>
          <w:rFonts w:ascii="Arial Narrow" w:hAnsi="Arial Narrow"/>
          <w:color w:val="000000"/>
          <w:sz w:val="22"/>
          <w:szCs w:val="22"/>
          <w:lang w:val="bg-BG" w:eastAsia="de-DE"/>
        </w:rPr>
        <w:t xml:space="preserve"> </w:t>
      </w:r>
      <w:proofErr w:type="spellStart"/>
      <w:r w:rsidR="00C97DF3" w:rsidRPr="00C97DF3">
        <w:rPr>
          <w:rFonts w:ascii="Arial Narrow" w:hAnsi="Arial Narrow"/>
          <w:color w:val="000000"/>
          <w:sz w:val="22"/>
          <w:szCs w:val="22"/>
          <w:lang w:val="en-GB" w:eastAsia="de-DE"/>
        </w:rPr>
        <w:t>ve</w:t>
      </w:r>
      <w:proofErr w:type="spellEnd"/>
      <w:r w:rsidR="00C97DF3" w:rsidRPr="00FF7243">
        <w:rPr>
          <w:rFonts w:ascii="Arial Narrow" w:hAnsi="Arial Narrow"/>
          <w:color w:val="000000"/>
          <w:sz w:val="22"/>
          <w:szCs w:val="22"/>
          <w:lang w:val="bg-BG" w:eastAsia="de-DE"/>
        </w:rPr>
        <w:t>ç</w:t>
      </w:r>
      <w:r w:rsidR="00C97DF3" w:rsidRPr="00C97DF3">
        <w:rPr>
          <w:rFonts w:ascii="Arial Narrow" w:hAnsi="Arial Narrow"/>
          <w:color w:val="000000"/>
          <w:sz w:val="22"/>
          <w:szCs w:val="22"/>
          <w:lang w:val="en-GB" w:eastAsia="de-DE"/>
        </w:rPr>
        <w:t>anta</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t</w:t>
      </w:r>
      <w:r w:rsidR="00C97DF3" w:rsidRPr="00FF7243">
        <w:rPr>
          <w:rFonts w:ascii="Arial Narrow" w:hAnsi="Arial Narrow"/>
          <w:color w:val="000000"/>
          <w:sz w:val="22"/>
          <w:szCs w:val="22"/>
          <w:lang w:val="bg-BG" w:eastAsia="de-DE"/>
        </w:rPr>
        <w:t xml:space="preserve">ë </w:t>
      </w:r>
      <w:proofErr w:type="spellStart"/>
      <w:r w:rsidR="00C97DF3" w:rsidRPr="00C97DF3">
        <w:rPr>
          <w:rFonts w:ascii="Arial Narrow" w:hAnsi="Arial Narrow"/>
          <w:color w:val="000000"/>
          <w:sz w:val="22"/>
          <w:szCs w:val="22"/>
          <w:lang w:val="en-GB" w:eastAsia="de-DE"/>
        </w:rPr>
        <w:t>mbeturinave</w:t>
      </w:r>
      <w:proofErr w:type="spellEnd"/>
      <w:r w:rsidRPr="00FF7243">
        <w:rPr>
          <w:rFonts w:ascii="Arial Narrow" w:hAnsi="Arial Narrow"/>
          <w:color w:val="000000"/>
          <w:sz w:val="22"/>
          <w:szCs w:val="22"/>
          <w:lang w:val="bg-BG" w:eastAsia="de-DE"/>
        </w:rPr>
        <w:t>,</w:t>
      </w:r>
      <w:r w:rsidR="00C97DF3" w:rsidRPr="00C97DF3">
        <w:rPr>
          <w:rFonts w:ascii="Aptos" w:eastAsia="Aptos" w:hAnsi="Aptos"/>
          <w:kern w:val="2"/>
          <w14:ligatures w14:val="standardContextual"/>
        </w:rPr>
        <w:t xml:space="preserve"> </w:t>
      </w:r>
      <w:r w:rsidR="00C97DF3" w:rsidRPr="00C97DF3">
        <w:rPr>
          <w:rFonts w:ascii="Arial Narrow" w:hAnsi="Arial Narrow"/>
          <w:color w:val="000000"/>
          <w:sz w:val="22"/>
          <w:szCs w:val="22"/>
          <w:lang w:val="en-GB" w:eastAsia="de-DE"/>
        </w:rPr>
        <w:t>Masat</w:t>
      </w:r>
      <w:r w:rsidR="00C97DF3" w:rsidRPr="00FF7243">
        <w:rPr>
          <w:rFonts w:ascii="Arial Narrow" w:hAnsi="Arial Narrow"/>
          <w:color w:val="000000"/>
          <w:sz w:val="22"/>
          <w:szCs w:val="22"/>
          <w:lang w:val="bg-BG" w:eastAsia="de-DE"/>
        </w:rPr>
        <w:t xml:space="preserve"> </w:t>
      </w:r>
      <w:proofErr w:type="spellStart"/>
      <w:r w:rsidR="00C97DF3" w:rsidRPr="00C97DF3">
        <w:rPr>
          <w:rFonts w:ascii="Arial Narrow" w:hAnsi="Arial Narrow"/>
          <w:color w:val="000000"/>
          <w:sz w:val="22"/>
          <w:szCs w:val="22"/>
          <w:lang w:val="en-GB" w:eastAsia="de-DE"/>
        </w:rPr>
        <w:t>fillestare</w:t>
      </w:r>
      <w:proofErr w:type="spellEnd"/>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p</w:t>
      </w:r>
      <w:r w:rsidR="00C97DF3" w:rsidRPr="00FF7243">
        <w:rPr>
          <w:rFonts w:ascii="Arial Narrow" w:hAnsi="Arial Narrow"/>
          <w:color w:val="000000"/>
          <w:sz w:val="22"/>
          <w:szCs w:val="22"/>
          <w:lang w:val="bg-BG" w:eastAsia="de-DE"/>
        </w:rPr>
        <w:t>ë</w:t>
      </w:r>
      <w:r w:rsidR="00C97DF3" w:rsidRPr="00C97DF3">
        <w:rPr>
          <w:rFonts w:ascii="Arial Narrow" w:hAnsi="Arial Narrow"/>
          <w:color w:val="000000"/>
          <w:sz w:val="22"/>
          <w:szCs w:val="22"/>
          <w:lang w:val="en-GB" w:eastAsia="de-DE"/>
        </w:rPr>
        <w:t>r</w:t>
      </w:r>
      <w:r w:rsidR="00C97DF3" w:rsidRPr="00FF7243">
        <w:rPr>
          <w:rFonts w:ascii="Arial Narrow" w:hAnsi="Arial Narrow"/>
          <w:color w:val="000000"/>
          <w:sz w:val="22"/>
          <w:szCs w:val="22"/>
          <w:lang w:val="bg-BG" w:eastAsia="de-DE"/>
        </w:rPr>
        <w:t xml:space="preserve"> </w:t>
      </w:r>
      <w:proofErr w:type="spellStart"/>
      <w:r w:rsidR="00C97DF3" w:rsidRPr="00C97DF3">
        <w:rPr>
          <w:rFonts w:ascii="Arial Narrow" w:hAnsi="Arial Narrow"/>
          <w:color w:val="000000"/>
          <w:sz w:val="22"/>
          <w:szCs w:val="22"/>
          <w:lang w:val="en-GB" w:eastAsia="de-DE"/>
        </w:rPr>
        <w:t>mbeturinat</w:t>
      </w:r>
      <w:proofErr w:type="spellEnd"/>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e</w:t>
      </w:r>
      <w:r w:rsidR="00C97DF3" w:rsidRPr="00FF7243">
        <w:rPr>
          <w:rFonts w:ascii="Arial Narrow" w:hAnsi="Arial Narrow"/>
          <w:color w:val="000000"/>
          <w:sz w:val="22"/>
          <w:szCs w:val="22"/>
          <w:lang w:val="bg-BG" w:eastAsia="de-DE"/>
        </w:rPr>
        <w:t xml:space="preserve"> </w:t>
      </w:r>
      <w:r>
        <w:rPr>
          <w:rFonts w:ascii="Arial Narrow" w:hAnsi="Arial Narrow"/>
          <w:color w:val="000000"/>
          <w:sz w:val="22"/>
          <w:szCs w:val="22"/>
          <w:lang w:val="en-GB" w:eastAsia="de-DE"/>
        </w:rPr>
        <w:t>v</w:t>
      </w:r>
      <w:r w:rsidRPr="00FF7243">
        <w:rPr>
          <w:rFonts w:ascii="Arial Narrow" w:hAnsi="Arial Narrow"/>
          <w:color w:val="000000"/>
          <w:sz w:val="22"/>
          <w:szCs w:val="22"/>
          <w:lang w:val="bg-BG" w:eastAsia="de-DE"/>
        </w:rPr>
        <w:t>ë</w:t>
      </w:r>
      <w:proofErr w:type="spellStart"/>
      <w:r>
        <w:rPr>
          <w:rFonts w:ascii="Arial Narrow" w:hAnsi="Arial Narrow"/>
          <w:color w:val="000000"/>
          <w:sz w:val="22"/>
          <w:szCs w:val="22"/>
          <w:lang w:val="en-GB" w:eastAsia="de-DE"/>
        </w:rPr>
        <w:t>llimshme</w:t>
      </w:r>
      <w:proofErr w:type="spellEnd"/>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do</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t</w:t>
      </w:r>
      <w:r w:rsidR="00C97DF3" w:rsidRPr="00FF7243">
        <w:rPr>
          <w:rFonts w:ascii="Arial Narrow" w:hAnsi="Arial Narrow"/>
          <w:color w:val="000000"/>
          <w:sz w:val="22"/>
          <w:szCs w:val="22"/>
          <w:lang w:val="bg-BG" w:eastAsia="de-DE"/>
        </w:rPr>
        <w:t xml:space="preserve">ë </w:t>
      </w:r>
      <w:r w:rsidR="00C97DF3" w:rsidRPr="00C97DF3">
        <w:rPr>
          <w:rFonts w:ascii="Arial Narrow" w:hAnsi="Arial Narrow"/>
          <w:color w:val="000000"/>
          <w:sz w:val="22"/>
          <w:szCs w:val="22"/>
          <w:lang w:val="en-GB" w:eastAsia="de-DE"/>
        </w:rPr>
        <w:t>p</w:t>
      </w:r>
      <w:r w:rsidR="00C97DF3" w:rsidRPr="00FF7243">
        <w:rPr>
          <w:rFonts w:ascii="Arial Narrow" w:hAnsi="Arial Narrow"/>
          <w:color w:val="000000"/>
          <w:sz w:val="22"/>
          <w:szCs w:val="22"/>
          <w:lang w:val="bg-BG" w:eastAsia="de-DE"/>
        </w:rPr>
        <w:t>ë</w:t>
      </w:r>
      <w:proofErr w:type="spellStart"/>
      <w:r w:rsidR="00C97DF3" w:rsidRPr="00C97DF3">
        <w:rPr>
          <w:rFonts w:ascii="Arial Narrow" w:hAnsi="Arial Narrow"/>
          <w:color w:val="000000"/>
          <w:sz w:val="22"/>
          <w:szCs w:val="22"/>
          <w:lang w:val="en-GB" w:eastAsia="de-DE"/>
        </w:rPr>
        <w:t>rqendrohen</w:t>
      </w:r>
      <w:proofErr w:type="spellEnd"/>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n</w:t>
      </w:r>
      <w:r w:rsidR="00C97DF3" w:rsidRPr="00FF7243">
        <w:rPr>
          <w:rFonts w:ascii="Arial Narrow" w:hAnsi="Arial Narrow"/>
          <w:color w:val="000000"/>
          <w:sz w:val="22"/>
          <w:szCs w:val="22"/>
          <w:lang w:val="bg-BG" w:eastAsia="de-DE"/>
        </w:rPr>
        <w:t xml:space="preserve">ë </w:t>
      </w:r>
      <w:proofErr w:type="spellStart"/>
      <w:r w:rsidR="00C97DF3" w:rsidRPr="00C97DF3">
        <w:rPr>
          <w:rFonts w:ascii="Arial Narrow" w:hAnsi="Arial Narrow"/>
          <w:color w:val="000000"/>
          <w:sz w:val="22"/>
          <w:szCs w:val="22"/>
          <w:lang w:val="en-GB" w:eastAsia="de-DE"/>
        </w:rPr>
        <w:t>sh</w:t>
      </w:r>
      <w:proofErr w:type="spellEnd"/>
      <w:r w:rsidR="00C97DF3" w:rsidRPr="00FF7243">
        <w:rPr>
          <w:rFonts w:ascii="Arial Narrow" w:hAnsi="Arial Narrow"/>
          <w:color w:val="000000"/>
          <w:sz w:val="22"/>
          <w:szCs w:val="22"/>
          <w:lang w:val="bg-BG" w:eastAsia="de-DE"/>
        </w:rPr>
        <w:t>ë</w:t>
      </w:r>
      <w:proofErr w:type="spellStart"/>
      <w:r w:rsidR="00C97DF3" w:rsidRPr="00C97DF3">
        <w:rPr>
          <w:rFonts w:ascii="Arial Narrow" w:hAnsi="Arial Narrow"/>
          <w:color w:val="000000"/>
          <w:sz w:val="22"/>
          <w:szCs w:val="22"/>
          <w:lang w:val="en-GB" w:eastAsia="de-DE"/>
        </w:rPr>
        <w:t>rbimin</w:t>
      </w:r>
      <w:proofErr w:type="spellEnd"/>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e</w:t>
      </w:r>
      <w:r w:rsidR="00C97DF3" w:rsidRPr="00FF7243">
        <w:rPr>
          <w:rFonts w:ascii="Arial Narrow" w:hAnsi="Arial Narrow"/>
          <w:color w:val="000000"/>
          <w:sz w:val="22"/>
          <w:szCs w:val="22"/>
          <w:lang w:val="bg-BG" w:eastAsia="de-DE"/>
        </w:rPr>
        <w:t xml:space="preserve"> </w:t>
      </w:r>
      <w:proofErr w:type="spellStart"/>
      <w:r w:rsidR="00C97DF3" w:rsidRPr="00C97DF3">
        <w:rPr>
          <w:rFonts w:ascii="Arial Narrow" w:hAnsi="Arial Narrow"/>
          <w:color w:val="000000"/>
          <w:sz w:val="22"/>
          <w:szCs w:val="22"/>
          <w:lang w:val="en-GB" w:eastAsia="de-DE"/>
        </w:rPr>
        <w:t>grumbullimit</w:t>
      </w:r>
      <w:proofErr w:type="spellEnd"/>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t</w:t>
      </w:r>
      <w:r w:rsidR="00C97DF3" w:rsidRPr="00FF7243">
        <w:rPr>
          <w:rFonts w:ascii="Arial Narrow" w:hAnsi="Arial Narrow"/>
          <w:color w:val="000000"/>
          <w:sz w:val="22"/>
          <w:szCs w:val="22"/>
          <w:lang w:val="bg-BG" w:eastAsia="de-DE"/>
        </w:rPr>
        <w:t xml:space="preserve">ë </w:t>
      </w:r>
      <w:proofErr w:type="spellStart"/>
      <w:r w:rsidR="00C97DF3" w:rsidRPr="00C97DF3">
        <w:rPr>
          <w:rFonts w:ascii="Arial Narrow" w:hAnsi="Arial Narrow"/>
          <w:color w:val="000000"/>
          <w:sz w:val="22"/>
          <w:szCs w:val="22"/>
          <w:lang w:val="en-GB" w:eastAsia="de-DE"/>
        </w:rPr>
        <w:t>planifikuar</w:t>
      </w:r>
      <w:proofErr w:type="spellEnd"/>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t</w:t>
      </w:r>
      <w:r w:rsidR="00C97DF3" w:rsidRPr="00FF7243">
        <w:rPr>
          <w:rFonts w:ascii="Arial Narrow" w:hAnsi="Arial Narrow"/>
          <w:color w:val="000000"/>
          <w:sz w:val="22"/>
          <w:szCs w:val="22"/>
          <w:lang w:val="bg-BG" w:eastAsia="de-DE"/>
        </w:rPr>
        <w:t xml:space="preserve">ë </w:t>
      </w:r>
      <w:proofErr w:type="spellStart"/>
      <w:r w:rsidR="00C97DF3" w:rsidRPr="00C97DF3">
        <w:rPr>
          <w:rFonts w:ascii="Arial Narrow" w:hAnsi="Arial Narrow"/>
          <w:color w:val="000000"/>
          <w:sz w:val="22"/>
          <w:szCs w:val="22"/>
          <w:lang w:val="en-GB" w:eastAsia="de-DE"/>
        </w:rPr>
        <w:t>organizuar</w:t>
      </w:r>
      <w:proofErr w:type="spellEnd"/>
      <w:r w:rsidR="00C97DF3" w:rsidRPr="00FF7243">
        <w:rPr>
          <w:rFonts w:ascii="Arial Narrow" w:hAnsi="Arial Narrow"/>
          <w:color w:val="000000"/>
          <w:sz w:val="22"/>
          <w:szCs w:val="22"/>
          <w:lang w:val="bg-BG" w:eastAsia="de-DE"/>
        </w:rPr>
        <w:t xml:space="preserve"> </w:t>
      </w:r>
      <w:proofErr w:type="spellStart"/>
      <w:r w:rsidR="00C97DF3" w:rsidRPr="00C97DF3">
        <w:rPr>
          <w:rFonts w:ascii="Arial Narrow" w:hAnsi="Arial Narrow"/>
          <w:color w:val="000000"/>
          <w:sz w:val="22"/>
          <w:szCs w:val="22"/>
          <w:lang w:val="en-GB" w:eastAsia="de-DE"/>
        </w:rPr>
        <w:t>nga</w:t>
      </w:r>
      <w:proofErr w:type="spellEnd"/>
      <w:r w:rsidR="00C97DF3" w:rsidRPr="00FF7243">
        <w:rPr>
          <w:rFonts w:ascii="Arial Narrow" w:hAnsi="Arial Narrow"/>
          <w:color w:val="000000"/>
          <w:sz w:val="22"/>
          <w:szCs w:val="22"/>
          <w:lang w:val="bg-BG" w:eastAsia="de-DE"/>
        </w:rPr>
        <w:t xml:space="preserve"> </w:t>
      </w:r>
      <w:proofErr w:type="spellStart"/>
      <w:r w:rsidR="00364281">
        <w:rPr>
          <w:rFonts w:ascii="Arial Narrow" w:hAnsi="Arial Narrow"/>
          <w:color w:val="000000"/>
          <w:sz w:val="22"/>
          <w:szCs w:val="22"/>
          <w:lang w:val="en-GB" w:eastAsia="de-DE"/>
        </w:rPr>
        <w:t>komunat</w:t>
      </w:r>
      <w:proofErr w:type="spellEnd"/>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P</w:t>
      </w:r>
      <w:r w:rsidR="00C97DF3" w:rsidRPr="00FF7243">
        <w:rPr>
          <w:rFonts w:ascii="Arial Narrow" w:hAnsi="Arial Narrow"/>
          <w:color w:val="000000"/>
          <w:sz w:val="22"/>
          <w:szCs w:val="22"/>
          <w:lang w:val="bg-BG" w:eastAsia="de-DE"/>
        </w:rPr>
        <w:t>ë</w:t>
      </w:r>
      <w:proofErr w:type="spellStart"/>
      <w:r w:rsidR="00C97DF3" w:rsidRPr="00C97DF3">
        <w:rPr>
          <w:rFonts w:ascii="Arial Narrow" w:hAnsi="Arial Narrow"/>
          <w:color w:val="000000"/>
          <w:sz w:val="22"/>
          <w:szCs w:val="22"/>
          <w:lang w:val="en-GB" w:eastAsia="de-DE"/>
        </w:rPr>
        <w:t>rve</w:t>
      </w:r>
      <w:proofErr w:type="spellEnd"/>
      <w:r w:rsidR="00C97DF3" w:rsidRPr="00FF7243">
        <w:rPr>
          <w:rFonts w:ascii="Arial Narrow" w:hAnsi="Arial Narrow"/>
          <w:color w:val="000000"/>
          <w:sz w:val="22"/>
          <w:szCs w:val="22"/>
          <w:lang w:val="bg-BG" w:eastAsia="de-DE"/>
        </w:rPr>
        <w:t xml:space="preserve">ç </w:t>
      </w:r>
      <w:r w:rsidR="00C97DF3" w:rsidRPr="00C97DF3">
        <w:rPr>
          <w:rFonts w:ascii="Arial Narrow" w:hAnsi="Arial Narrow"/>
          <w:color w:val="000000"/>
          <w:sz w:val="22"/>
          <w:szCs w:val="22"/>
          <w:lang w:val="en-GB" w:eastAsia="de-DE"/>
        </w:rPr>
        <w:t>k</w:t>
      </w:r>
      <w:r w:rsidR="00C97DF3" w:rsidRPr="00FF7243">
        <w:rPr>
          <w:rFonts w:ascii="Arial Narrow" w:hAnsi="Arial Narrow"/>
          <w:color w:val="000000"/>
          <w:sz w:val="22"/>
          <w:szCs w:val="22"/>
          <w:lang w:val="bg-BG" w:eastAsia="de-DE"/>
        </w:rPr>
        <w:t>ë</w:t>
      </w:r>
      <w:proofErr w:type="spellStart"/>
      <w:r w:rsidR="00C97DF3" w:rsidRPr="00C97DF3">
        <w:rPr>
          <w:rFonts w:ascii="Arial Narrow" w:hAnsi="Arial Narrow"/>
          <w:color w:val="000000"/>
          <w:sz w:val="22"/>
          <w:szCs w:val="22"/>
          <w:lang w:val="en-GB" w:eastAsia="de-DE"/>
        </w:rPr>
        <w:t>saj</w:t>
      </w:r>
      <w:proofErr w:type="spellEnd"/>
      <w:r w:rsidR="00C97DF3" w:rsidRPr="00FF7243">
        <w:rPr>
          <w:rFonts w:ascii="Arial Narrow" w:hAnsi="Arial Narrow"/>
          <w:color w:val="000000"/>
          <w:sz w:val="22"/>
          <w:szCs w:val="22"/>
          <w:lang w:val="bg-BG" w:eastAsia="de-DE"/>
        </w:rPr>
        <w:t xml:space="preserve">, </w:t>
      </w:r>
      <w:proofErr w:type="spellStart"/>
      <w:r w:rsidR="00C97DF3" w:rsidRPr="00C97DF3">
        <w:rPr>
          <w:rFonts w:ascii="Arial Narrow" w:hAnsi="Arial Narrow"/>
          <w:color w:val="000000"/>
          <w:sz w:val="22"/>
          <w:szCs w:val="22"/>
          <w:lang w:val="en-GB" w:eastAsia="de-DE"/>
        </w:rPr>
        <w:t>familjeve</w:t>
      </w:r>
      <w:proofErr w:type="spellEnd"/>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do</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t</w:t>
      </w:r>
      <w:r w:rsidR="00C97DF3" w:rsidRPr="00FF7243">
        <w:rPr>
          <w:rFonts w:ascii="Arial Narrow" w:hAnsi="Arial Narrow"/>
          <w:color w:val="000000"/>
          <w:sz w:val="22"/>
          <w:szCs w:val="22"/>
          <w:lang w:val="bg-BG" w:eastAsia="de-DE"/>
        </w:rPr>
        <w:t>'</w:t>
      </w:r>
      <w:r w:rsidR="00C97DF3" w:rsidRPr="00C97DF3">
        <w:rPr>
          <w:rFonts w:ascii="Arial Narrow" w:hAnsi="Arial Narrow"/>
          <w:color w:val="000000"/>
          <w:sz w:val="22"/>
          <w:szCs w:val="22"/>
          <w:lang w:val="en-GB" w:eastAsia="de-DE"/>
        </w:rPr>
        <w:t>u</w:t>
      </w:r>
      <w:r w:rsidR="00C97DF3" w:rsidRPr="00FF7243">
        <w:rPr>
          <w:rFonts w:ascii="Arial Narrow" w:hAnsi="Arial Narrow"/>
          <w:color w:val="000000"/>
          <w:sz w:val="22"/>
          <w:szCs w:val="22"/>
          <w:lang w:val="bg-BG" w:eastAsia="de-DE"/>
        </w:rPr>
        <w:t xml:space="preserve"> </w:t>
      </w:r>
      <w:proofErr w:type="spellStart"/>
      <w:r w:rsidR="00C97DF3" w:rsidRPr="00C97DF3">
        <w:rPr>
          <w:rFonts w:ascii="Arial Narrow" w:hAnsi="Arial Narrow"/>
          <w:color w:val="000000"/>
          <w:sz w:val="22"/>
          <w:szCs w:val="22"/>
          <w:lang w:val="en-GB" w:eastAsia="de-DE"/>
        </w:rPr>
        <w:t>ofrohet</w:t>
      </w:r>
      <w:proofErr w:type="spellEnd"/>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gjithashtu</w:t>
      </w:r>
      <w:r w:rsidR="00C97DF3" w:rsidRPr="00FF7243">
        <w:rPr>
          <w:rFonts w:ascii="Arial Narrow" w:hAnsi="Arial Narrow"/>
          <w:color w:val="000000"/>
          <w:sz w:val="22"/>
          <w:szCs w:val="22"/>
          <w:lang w:val="bg-BG" w:eastAsia="de-DE"/>
        </w:rPr>
        <w:t xml:space="preserve"> </w:t>
      </w:r>
      <w:proofErr w:type="spellStart"/>
      <w:r w:rsidR="00C97DF3" w:rsidRPr="00C97DF3">
        <w:rPr>
          <w:rFonts w:ascii="Arial Narrow" w:hAnsi="Arial Narrow"/>
          <w:color w:val="000000"/>
          <w:sz w:val="22"/>
          <w:szCs w:val="22"/>
          <w:lang w:val="en-GB" w:eastAsia="de-DE"/>
        </w:rPr>
        <w:t>mund</w:t>
      </w:r>
      <w:proofErr w:type="spellEnd"/>
      <w:r w:rsidR="00C97DF3" w:rsidRPr="00FF7243">
        <w:rPr>
          <w:rFonts w:ascii="Arial Narrow" w:hAnsi="Arial Narrow"/>
          <w:color w:val="000000"/>
          <w:sz w:val="22"/>
          <w:szCs w:val="22"/>
          <w:lang w:val="bg-BG" w:eastAsia="de-DE"/>
        </w:rPr>
        <w:t>ë</w:t>
      </w:r>
      <w:proofErr w:type="spellStart"/>
      <w:r w:rsidR="00C97DF3" w:rsidRPr="00C97DF3">
        <w:rPr>
          <w:rFonts w:ascii="Arial Narrow" w:hAnsi="Arial Narrow"/>
          <w:color w:val="000000"/>
          <w:sz w:val="22"/>
          <w:szCs w:val="22"/>
          <w:lang w:val="en-GB" w:eastAsia="de-DE"/>
        </w:rPr>
        <w:t>sia</w:t>
      </w:r>
      <w:proofErr w:type="spellEnd"/>
      <w:r w:rsidR="00C97DF3"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q</w:t>
      </w:r>
      <w:r w:rsidR="00364281" w:rsidRPr="00FF7243">
        <w:rPr>
          <w:rFonts w:ascii="Arial Narrow" w:hAnsi="Arial Narrow"/>
          <w:color w:val="000000"/>
          <w:sz w:val="22"/>
          <w:szCs w:val="22"/>
          <w:lang w:val="bg-BG" w:eastAsia="de-DE"/>
        </w:rPr>
        <w:t xml:space="preserve">ë </w:t>
      </w:r>
      <w:proofErr w:type="spellStart"/>
      <w:r w:rsidR="00364281">
        <w:rPr>
          <w:rFonts w:ascii="Arial Narrow" w:hAnsi="Arial Narrow"/>
          <w:color w:val="000000"/>
          <w:sz w:val="22"/>
          <w:szCs w:val="22"/>
          <w:lang w:val="en-GB" w:eastAsia="de-DE"/>
        </w:rPr>
        <w:t>mbeturinat</w:t>
      </w:r>
      <w:proofErr w:type="spellEnd"/>
      <w:r w:rsidR="00364281"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e</w:t>
      </w:r>
      <w:r w:rsidR="00364281"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tyre</w:t>
      </w:r>
      <w:r w:rsidR="00364281"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t</w:t>
      </w:r>
      <w:r w:rsidR="00364281" w:rsidRPr="00FF7243">
        <w:rPr>
          <w:rFonts w:ascii="Arial Narrow" w:hAnsi="Arial Narrow"/>
          <w:color w:val="000000"/>
          <w:sz w:val="22"/>
          <w:szCs w:val="22"/>
          <w:lang w:val="bg-BG" w:eastAsia="de-DE"/>
        </w:rPr>
        <w:t xml:space="preserve">ë </w:t>
      </w:r>
      <w:r w:rsidR="00364281">
        <w:rPr>
          <w:rFonts w:ascii="Arial Narrow" w:hAnsi="Arial Narrow"/>
          <w:color w:val="000000"/>
          <w:sz w:val="22"/>
          <w:szCs w:val="22"/>
          <w:lang w:val="en-GB" w:eastAsia="de-DE"/>
        </w:rPr>
        <w:t>v</w:t>
      </w:r>
      <w:r w:rsidR="00364281" w:rsidRPr="00FF7243">
        <w:rPr>
          <w:rFonts w:ascii="Arial Narrow" w:hAnsi="Arial Narrow"/>
          <w:color w:val="000000"/>
          <w:sz w:val="22"/>
          <w:szCs w:val="22"/>
          <w:lang w:val="bg-BG" w:eastAsia="de-DE"/>
        </w:rPr>
        <w:t>ë</w:t>
      </w:r>
      <w:proofErr w:type="spellStart"/>
      <w:r w:rsidR="00364281">
        <w:rPr>
          <w:rFonts w:ascii="Arial Narrow" w:hAnsi="Arial Narrow"/>
          <w:color w:val="000000"/>
          <w:sz w:val="22"/>
          <w:szCs w:val="22"/>
          <w:lang w:val="en-GB" w:eastAsia="de-DE"/>
        </w:rPr>
        <w:t>llimshme</w:t>
      </w:r>
      <w:proofErr w:type="spellEnd"/>
      <w:r w:rsidR="00364281"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t</w:t>
      </w:r>
      <w:r w:rsidR="00364281" w:rsidRPr="00FF7243">
        <w:rPr>
          <w:rFonts w:ascii="Arial Narrow" w:hAnsi="Arial Narrow"/>
          <w:color w:val="000000"/>
          <w:sz w:val="22"/>
          <w:szCs w:val="22"/>
          <w:lang w:val="bg-BG" w:eastAsia="de-DE"/>
        </w:rPr>
        <w:t>’</w:t>
      </w:r>
      <w:r w:rsidR="00364281">
        <w:rPr>
          <w:rFonts w:ascii="Arial Narrow" w:hAnsi="Arial Narrow"/>
          <w:color w:val="000000"/>
          <w:sz w:val="22"/>
          <w:szCs w:val="22"/>
          <w:lang w:val="en-GB" w:eastAsia="de-DE"/>
        </w:rPr>
        <w:t>I</w:t>
      </w:r>
      <w:r w:rsidR="00364281"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d</w:t>
      </w:r>
      <w:r w:rsidR="00364281" w:rsidRPr="00FF7243">
        <w:rPr>
          <w:rFonts w:ascii="Arial Narrow" w:hAnsi="Arial Narrow"/>
          <w:color w:val="000000"/>
          <w:sz w:val="22"/>
          <w:szCs w:val="22"/>
          <w:lang w:val="bg-BG" w:eastAsia="de-DE"/>
        </w:rPr>
        <w:t>ë</w:t>
      </w:r>
      <w:proofErr w:type="spellStart"/>
      <w:r w:rsidR="00364281">
        <w:rPr>
          <w:rFonts w:ascii="Arial Narrow" w:hAnsi="Arial Narrow"/>
          <w:color w:val="000000"/>
          <w:sz w:val="22"/>
          <w:szCs w:val="22"/>
          <w:lang w:val="en-GB" w:eastAsia="de-DE"/>
        </w:rPr>
        <w:t>rgojn</w:t>
      </w:r>
      <w:proofErr w:type="spellEnd"/>
      <w:r w:rsidR="00364281" w:rsidRPr="00FF7243">
        <w:rPr>
          <w:rFonts w:ascii="Arial Narrow" w:hAnsi="Arial Narrow"/>
          <w:color w:val="000000"/>
          <w:sz w:val="22"/>
          <w:szCs w:val="22"/>
          <w:lang w:val="bg-BG" w:eastAsia="de-DE"/>
        </w:rPr>
        <w:t xml:space="preserve">ë </w:t>
      </w:r>
      <w:r w:rsidR="00364281">
        <w:rPr>
          <w:rFonts w:ascii="Arial Narrow" w:hAnsi="Arial Narrow"/>
          <w:color w:val="000000"/>
          <w:sz w:val="22"/>
          <w:szCs w:val="22"/>
          <w:lang w:val="en-GB" w:eastAsia="de-DE"/>
        </w:rPr>
        <w:t>n</w:t>
      </w:r>
      <w:r w:rsidR="00364281" w:rsidRPr="00FF7243">
        <w:rPr>
          <w:rFonts w:ascii="Arial Narrow" w:hAnsi="Arial Narrow"/>
          <w:color w:val="000000"/>
          <w:sz w:val="22"/>
          <w:szCs w:val="22"/>
          <w:lang w:val="bg-BG" w:eastAsia="de-DE"/>
        </w:rPr>
        <w:t xml:space="preserve">ë </w:t>
      </w:r>
      <w:proofErr w:type="spellStart"/>
      <w:r w:rsidR="00364281">
        <w:rPr>
          <w:rFonts w:ascii="Arial Narrow" w:hAnsi="Arial Narrow"/>
          <w:color w:val="000000"/>
          <w:sz w:val="22"/>
          <w:szCs w:val="22"/>
          <w:lang w:val="en-GB" w:eastAsia="de-DE"/>
        </w:rPr>
        <w:t>oborret</w:t>
      </w:r>
      <w:proofErr w:type="spellEnd"/>
      <w:r w:rsidR="00364281"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e</w:t>
      </w:r>
      <w:r w:rsidR="00364281" w:rsidRPr="00FF7243">
        <w:rPr>
          <w:rFonts w:ascii="Arial Narrow" w:hAnsi="Arial Narrow"/>
          <w:color w:val="000000"/>
          <w:sz w:val="22"/>
          <w:szCs w:val="22"/>
          <w:lang w:val="bg-BG" w:eastAsia="de-DE"/>
        </w:rPr>
        <w:t xml:space="preserve"> </w:t>
      </w:r>
      <w:proofErr w:type="spellStart"/>
      <w:r w:rsidR="00364281">
        <w:rPr>
          <w:rFonts w:ascii="Arial Narrow" w:hAnsi="Arial Narrow"/>
          <w:color w:val="000000"/>
          <w:sz w:val="22"/>
          <w:szCs w:val="22"/>
          <w:lang w:val="en-GB" w:eastAsia="de-DE"/>
        </w:rPr>
        <w:t>centralizuara</w:t>
      </w:r>
      <w:proofErr w:type="spellEnd"/>
      <w:r w:rsidR="00364281"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t</w:t>
      </w:r>
      <w:r w:rsidR="00364281" w:rsidRPr="00FF7243">
        <w:rPr>
          <w:rFonts w:ascii="Arial Narrow" w:hAnsi="Arial Narrow"/>
          <w:color w:val="000000"/>
          <w:sz w:val="22"/>
          <w:szCs w:val="22"/>
          <w:lang w:val="bg-BG" w:eastAsia="de-DE"/>
        </w:rPr>
        <w:t xml:space="preserve">ë </w:t>
      </w:r>
      <w:proofErr w:type="spellStart"/>
      <w:r w:rsidR="00364281">
        <w:rPr>
          <w:rFonts w:ascii="Arial Narrow" w:hAnsi="Arial Narrow"/>
          <w:color w:val="000000"/>
          <w:sz w:val="22"/>
          <w:szCs w:val="22"/>
          <w:lang w:val="en-GB" w:eastAsia="de-DE"/>
        </w:rPr>
        <w:t>riciklimit</w:t>
      </w:r>
      <w:proofErr w:type="spellEnd"/>
      <w:r w:rsidR="00C97DF3" w:rsidRPr="00FF7243">
        <w:rPr>
          <w:rFonts w:ascii="Arial Narrow" w:hAnsi="Arial Narrow"/>
          <w:color w:val="000000"/>
          <w:sz w:val="22"/>
          <w:szCs w:val="22"/>
          <w:lang w:val="bg-BG" w:eastAsia="de-DE"/>
        </w:rPr>
        <w:t xml:space="preserve">. </w:t>
      </w:r>
      <w:proofErr w:type="spellStart"/>
      <w:r w:rsidR="00C97DF3" w:rsidRPr="00C97DF3">
        <w:rPr>
          <w:rFonts w:ascii="Arial Narrow" w:hAnsi="Arial Narrow"/>
          <w:color w:val="000000"/>
          <w:sz w:val="22"/>
          <w:szCs w:val="22"/>
          <w:lang w:val="en-GB" w:eastAsia="de-DE"/>
        </w:rPr>
        <w:t>Lidhur</w:t>
      </w:r>
      <w:proofErr w:type="spellEnd"/>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me</w:t>
      </w:r>
      <w:r w:rsidR="00C97DF3" w:rsidRPr="00FF7243">
        <w:rPr>
          <w:rFonts w:ascii="Arial Narrow" w:hAnsi="Arial Narrow"/>
          <w:color w:val="000000"/>
          <w:sz w:val="22"/>
          <w:szCs w:val="22"/>
          <w:lang w:val="bg-BG" w:eastAsia="de-DE"/>
        </w:rPr>
        <w:t xml:space="preserve"> </w:t>
      </w:r>
      <w:proofErr w:type="spellStart"/>
      <w:r w:rsidR="00C97DF3" w:rsidRPr="00C97DF3">
        <w:rPr>
          <w:rFonts w:ascii="Arial Narrow" w:hAnsi="Arial Narrow"/>
          <w:color w:val="000000"/>
          <w:sz w:val="22"/>
          <w:szCs w:val="22"/>
          <w:lang w:val="en-GB" w:eastAsia="de-DE"/>
        </w:rPr>
        <w:t>mbeturinat</w:t>
      </w:r>
      <w:proofErr w:type="spellEnd"/>
      <w:r w:rsidR="00C97DF3" w:rsidRPr="00FF7243">
        <w:rPr>
          <w:rFonts w:ascii="Arial Narrow" w:hAnsi="Arial Narrow"/>
          <w:color w:val="000000"/>
          <w:sz w:val="22"/>
          <w:szCs w:val="22"/>
          <w:lang w:val="bg-BG" w:eastAsia="de-DE"/>
        </w:rPr>
        <w:t xml:space="preserve"> </w:t>
      </w:r>
      <w:proofErr w:type="spellStart"/>
      <w:r w:rsidR="00C97DF3" w:rsidRPr="00C97DF3">
        <w:rPr>
          <w:rFonts w:ascii="Arial Narrow" w:hAnsi="Arial Narrow"/>
          <w:color w:val="000000"/>
          <w:sz w:val="22"/>
          <w:szCs w:val="22"/>
          <w:lang w:val="en-GB" w:eastAsia="de-DE"/>
        </w:rPr>
        <w:t>bujq</w:t>
      </w:r>
      <w:proofErr w:type="spellEnd"/>
      <w:r w:rsidR="00C97DF3" w:rsidRPr="00FF7243">
        <w:rPr>
          <w:rFonts w:ascii="Arial Narrow" w:hAnsi="Arial Narrow"/>
          <w:color w:val="000000"/>
          <w:sz w:val="22"/>
          <w:szCs w:val="22"/>
          <w:lang w:val="bg-BG" w:eastAsia="de-DE"/>
        </w:rPr>
        <w:t>ë</w:t>
      </w:r>
      <w:r w:rsidR="00C97DF3" w:rsidRPr="00C97DF3">
        <w:rPr>
          <w:rFonts w:ascii="Arial Narrow" w:hAnsi="Arial Narrow"/>
          <w:color w:val="000000"/>
          <w:sz w:val="22"/>
          <w:szCs w:val="22"/>
          <w:lang w:val="en-GB" w:eastAsia="de-DE"/>
        </w:rPr>
        <w:t>sore</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do</w:t>
      </w:r>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t</w:t>
      </w:r>
      <w:r w:rsidR="00C97DF3" w:rsidRPr="00FF7243">
        <w:rPr>
          <w:rFonts w:ascii="Arial Narrow" w:hAnsi="Arial Narrow"/>
          <w:color w:val="000000"/>
          <w:sz w:val="22"/>
          <w:szCs w:val="22"/>
          <w:lang w:val="bg-BG" w:eastAsia="de-DE"/>
        </w:rPr>
        <w:t xml:space="preserve">ë </w:t>
      </w:r>
      <w:proofErr w:type="spellStart"/>
      <w:r w:rsidR="00C97DF3" w:rsidRPr="00C97DF3">
        <w:rPr>
          <w:rFonts w:ascii="Arial Narrow" w:hAnsi="Arial Narrow"/>
          <w:color w:val="000000"/>
          <w:sz w:val="22"/>
          <w:szCs w:val="22"/>
          <w:lang w:val="en-GB" w:eastAsia="de-DE"/>
        </w:rPr>
        <w:t>zhvillohen</w:t>
      </w:r>
      <w:proofErr w:type="spellEnd"/>
      <w:r w:rsidR="00C97DF3" w:rsidRPr="00FF7243">
        <w:rPr>
          <w:rFonts w:ascii="Arial Narrow" w:hAnsi="Arial Narrow"/>
          <w:color w:val="000000"/>
          <w:sz w:val="22"/>
          <w:szCs w:val="22"/>
          <w:lang w:val="bg-BG" w:eastAsia="de-DE"/>
        </w:rPr>
        <w:t xml:space="preserve"> </w:t>
      </w:r>
      <w:proofErr w:type="spellStart"/>
      <w:r w:rsidR="00C97DF3" w:rsidRPr="00C97DF3">
        <w:rPr>
          <w:rFonts w:ascii="Arial Narrow" w:hAnsi="Arial Narrow"/>
          <w:color w:val="000000"/>
          <w:sz w:val="22"/>
          <w:szCs w:val="22"/>
          <w:lang w:val="en-GB" w:eastAsia="de-DE"/>
        </w:rPr>
        <w:t>udh</w:t>
      </w:r>
      <w:proofErr w:type="spellEnd"/>
      <w:r w:rsidR="00C97DF3" w:rsidRPr="00FF7243">
        <w:rPr>
          <w:rFonts w:ascii="Arial Narrow" w:hAnsi="Arial Narrow"/>
          <w:color w:val="000000"/>
          <w:sz w:val="22"/>
          <w:szCs w:val="22"/>
          <w:lang w:val="bg-BG" w:eastAsia="de-DE"/>
        </w:rPr>
        <w:t>ë</w:t>
      </w:r>
      <w:proofErr w:type="spellStart"/>
      <w:r w:rsidR="00C97DF3" w:rsidRPr="00C97DF3">
        <w:rPr>
          <w:rFonts w:ascii="Arial Narrow" w:hAnsi="Arial Narrow"/>
          <w:color w:val="000000"/>
          <w:sz w:val="22"/>
          <w:szCs w:val="22"/>
          <w:lang w:val="en-GB" w:eastAsia="de-DE"/>
        </w:rPr>
        <w:t>z</w:t>
      </w:r>
      <w:r w:rsidR="00364281">
        <w:rPr>
          <w:rFonts w:ascii="Arial Narrow" w:hAnsi="Arial Narrow"/>
          <w:color w:val="000000"/>
          <w:sz w:val="22"/>
          <w:szCs w:val="22"/>
          <w:lang w:val="en-GB" w:eastAsia="de-DE"/>
        </w:rPr>
        <w:t>uesit</w:t>
      </w:r>
      <w:proofErr w:type="spellEnd"/>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p</w:t>
      </w:r>
      <w:r w:rsidR="00C97DF3" w:rsidRPr="00FF7243">
        <w:rPr>
          <w:rFonts w:ascii="Arial Narrow" w:hAnsi="Arial Narrow"/>
          <w:color w:val="000000"/>
          <w:sz w:val="22"/>
          <w:szCs w:val="22"/>
          <w:lang w:val="bg-BG" w:eastAsia="de-DE"/>
        </w:rPr>
        <w:t>ë</w:t>
      </w:r>
      <w:r w:rsidR="00C97DF3" w:rsidRPr="00C97DF3">
        <w:rPr>
          <w:rFonts w:ascii="Arial Narrow" w:hAnsi="Arial Narrow"/>
          <w:color w:val="000000"/>
          <w:sz w:val="22"/>
          <w:szCs w:val="22"/>
          <w:lang w:val="en-GB" w:eastAsia="de-DE"/>
        </w:rPr>
        <w:t>r</w:t>
      </w:r>
      <w:r w:rsidR="00C97DF3" w:rsidRPr="00FF7243">
        <w:rPr>
          <w:rFonts w:ascii="Arial Narrow" w:hAnsi="Arial Narrow"/>
          <w:color w:val="000000"/>
          <w:sz w:val="22"/>
          <w:szCs w:val="22"/>
          <w:lang w:val="bg-BG" w:eastAsia="de-DE"/>
        </w:rPr>
        <w:t xml:space="preserve"> </w:t>
      </w:r>
      <w:proofErr w:type="spellStart"/>
      <w:r w:rsidR="00C97DF3" w:rsidRPr="00C97DF3">
        <w:rPr>
          <w:rFonts w:ascii="Arial Narrow" w:hAnsi="Arial Narrow"/>
          <w:color w:val="000000"/>
          <w:sz w:val="22"/>
          <w:szCs w:val="22"/>
          <w:lang w:val="en-GB" w:eastAsia="de-DE"/>
        </w:rPr>
        <w:t>ruajtjen</w:t>
      </w:r>
      <w:proofErr w:type="spellEnd"/>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e</w:t>
      </w:r>
      <w:r w:rsidR="00C97DF3" w:rsidRPr="00FF7243">
        <w:rPr>
          <w:rFonts w:ascii="Arial Narrow" w:hAnsi="Arial Narrow"/>
          <w:color w:val="000000"/>
          <w:sz w:val="22"/>
          <w:szCs w:val="22"/>
          <w:lang w:val="bg-BG" w:eastAsia="de-DE"/>
        </w:rPr>
        <w:t xml:space="preserve"> </w:t>
      </w:r>
      <w:proofErr w:type="spellStart"/>
      <w:r w:rsidR="00C97DF3" w:rsidRPr="00C97DF3">
        <w:rPr>
          <w:rFonts w:ascii="Arial Narrow" w:hAnsi="Arial Narrow"/>
          <w:color w:val="000000"/>
          <w:sz w:val="22"/>
          <w:szCs w:val="22"/>
          <w:lang w:val="en-GB" w:eastAsia="de-DE"/>
        </w:rPr>
        <w:t>plehut</w:t>
      </w:r>
      <w:proofErr w:type="spellEnd"/>
      <w:r w:rsidR="00C97DF3" w:rsidRPr="00FF7243">
        <w:rPr>
          <w:rFonts w:ascii="Arial Narrow" w:hAnsi="Arial Narrow"/>
          <w:color w:val="000000"/>
          <w:sz w:val="22"/>
          <w:szCs w:val="22"/>
          <w:lang w:val="bg-BG" w:eastAsia="de-DE"/>
        </w:rPr>
        <w:t xml:space="preserve"> </w:t>
      </w:r>
      <w:proofErr w:type="spellStart"/>
      <w:r w:rsidR="00C97DF3" w:rsidRPr="00C97DF3">
        <w:rPr>
          <w:rFonts w:ascii="Arial Narrow" w:hAnsi="Arial Narrow"/>
          <w:color w:val="000000"/>
          <w:sz w:val="22"/>
          <w:szCs w:val="22"/>
          <w:lang w:val="en-GB" w:eastAsia="de-DE"/>
        </w:rPr>
        <w:t>organik</w:t>
      </w:r>
      <w:proofErr w:type="spellEnd"/>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n</w:t>
      </w:r>
      <w:r w:rsidR="00C97DF3" w:rsidRPr="00FF7243">
        <w:rPr>
          <w:rFonts w:ascii="Arial Narrow" w:hAnsi="Arial Narrow"/>
          <w:color w:val="000000"/>
          <w:sz w:val="22"/>
          <w:szCs w:val="22"/>
          <w:lang w:val="bg-BG" w:eastAsia="de-DE"/>
        </w:rPr>
        <w:t xml:space="preserve">ë </w:t>
      </w:r>
      <w:proofErr w:type="spellStart"/>
      <w:r w:rsidR="00C97DF3" w:rsidRPr="00C97DF3">
        <w:rPr>
          <w:rFonts w:ascii="Arial Narrow" w:hAnsi="Arial Narrow"/>
          <w:color w:val="000000"/>
          <w:sz w:val="22"/>
          <w:szCs w:val="22"/>
          <w:lang w:val="en-GB" w:eastAsia="de-DE"/>
        </w:rPr>
        <w:t>ferm</w:t>
      </w:r>
      <w:proofErr w:type="spellEnd"/>
      <w:r w:rsidR="00C97DF3" w:rsidRPr="00FF7243">
        <w:rPr>
          <w:rFonts w:ascii="Arial Narrow" w:hAnsi="Arial Narrow"/>
          <w:color w:val="000000"/>
          <w:sz w:val="22"/>
          <w:szCs w:val="22"/>
          <w:lang w:val="bg-BG" w:eastAsia="de-DE"/>
        </w:rPr>
        <w:t xml:space="preserve">ë, </w:t>
      </w:r>
      <w:proofErr w:type="spellStart"/>
      <w:r w:rsidR="00C97DF3" w:rsidRPr="00C97DF3">
        <w:rPr>
          <w:rFonts w:ascii="Arial Narrow" w:hAnsi="Arial Narrow"/>
          <w:color w:val="000000"/>
          <w:sz w:val="22"/>
          <w:szCs w:val="22"/>
          <w:lang w:val="en-GB" w:eastAsia="de-DE"/>
        </w:rPr>
        <w:t>kompostimin</w:t>
      </w:r>
      <w:proofErr w:type="spellEnd"/>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e</w:t>
      </w:r>
      <w:r w:rsidR="00C97DF3" w:rsidRPr="00FF7243">
        <w:rPr>
          <w:rFonts w:ascii="Arial Narrow" w:hAnsi="Arial Narrow"/>
          <w:color w:val="000000"/>
          <w:sz w:val="22"/>
          <w:szCs w:val="22"/>
          <w:lang w:val="bg-BG" w:eastAsia="de-DE"/>
        </w:rPr>
        <w:t xml:space="preserve"> </w:t>
      </w:r>
      <w:proofErr w:type="spellStart"/>
      <w:r w:rsidR="00C97DF3" w:rsidRPr="00C97DF3">
        <w:rPr>
          <w:rFonts w:ascii="Arial Narrow" w:hAnsi="Arial Narrow"/>
          <w:color w:val="000000"/>
          <w:sz w:val="22"/>
          <w:szCs w:val="22"/>
          <w:lang w:val="en-GB" w:eastAsia="de-DE"/>
        </w:rPr>
        <w:t>mbeturinave</w:t>
      </w:r>
      <w:proofErr w:type="spellEnd"/>
      <w:r w:rsidR="00C97DF3" w:rsidRPr="00FF7243">
        <w:rPr>
          <w:rFonts w:ascii="Arial Narrow" w:hAnsi="Arial Narrow"/>
          <w:color w:val="000000"/>
          <w:sz w:val="22"/>
          <w:szCs w:val="22"/>
          <w:lang w:val="bg-BG" w:eastAsia="de-DE"/>
        </w:rPr>
        <w:t xml:space="preserve"> </w:t>
      </w:r>
      <w:proofErr w:type="spellStart"/>
      <w:r w:rsidR="00C97DF3" w:rsidRPr="00C97DF3">
        <w:rPr>
          <w:rFonts w:ascii="Arial Narrow" w:hAnsi="Arial Narrow"/>
          <w:color w:val="000000"/>
          <w:sz w:val="22"/>
          <w:szCs w:val="22"/>
          <w:lang w:val="en-GB" w:eastAsia="de-DE"/>
        </w:rPr>
        <w:t>bujq</w:t>
      </w:r>
      <w:proofErr w:type="spellEnd"/>
      <w:r w:rsidR="00C97DF3" w:rsidRPr="00FF7243">
        <w:rPr>
          <w:rFonts w:ascii="Arial Narrow" w:hAnsi="Arial Narrow"/>
          <w:color w:val="000000"/>
          <w:sz w:val="22"/>
          <w:szCs w:val="22"/>
          <w:lang w:val="bg-BG" w:eastAsia="de-DE"/>
        </w:rPr>
        <w:t>ë</w:t>
      </w:r>
      <w:r w:rsidR="00C97DF3" w:rsidRPr="00C97DF3">
        <w:rPr>
          <w:rFonts w:ascii="Arial Narrow" w:hAnsi="Arial Narrow"/>
          <w:color w:val="000000"/>
          <w:sz w:val="22"/>
          <w:szCs w:val="22"/>
          <w:lang w:val="en-GB" w:eastAsia="de-DE"/>
        </w:rPr>
        <w:t>sore</w:t>
      </w:r>
      <w:r w:rsidR="00C97DF3" w:rsidRPr="00FF7243">
        <w:rPr>
          <w:rFonts w:ascii="Arial Narrow" w:hAnsi="Arial Narrow"/>
          <w:color w:val="000000"/>
          <w:sz w:val="22"/>
          <w:szCs w:val="22"/>
          <w:lang w:val="bg-BG" w:eastAsia="de-DE"/>
        </w:rPr>
        <w:t xml:space="preserve"> </w:t>
      </w:r>
      <w:proofErr w:type="spellStart"/>
      <w:r w:rsidR="00C97DF3" w:rsidRPr="00C97DF3">
        <w:rPr>
          <w:rFonts w:ascii="Arial Narrow" w:hAnsi="Arial Narrow"/>
          <w:color w:val="000000"/>
          <w:sz w:val="22"/>
          <w:szCs w:val="22"/>
          <w:lang w:val="en-GB" w:eastAsia="de-DE"/>
        </w:rPr>
        <w:t>dhe</w:t>
      </w:r>
      <w:proofErr w:type="spellEnd"/>
      <w:r w:rsidR="00C97DF3" w:rsidRPr="00FF7243">
        <w:rPr>
          <w:rFonts w:ascii="Arial Narrow" w:hAnsi="Arial Narrow"/>
          <w:color w:val="000000"/>
          <w:sz w:val="22"/>
          <w:szCs w:val="22"/>
          <w:lang w:val="bg-BG" w:eastAsia="de-DE"/>
        </w:rPr>
        <w:t xml:space="preserve"> </w:t>
      </w:r>
      <w:proofErr w:type="spellStart"/>
      <w:r w:rsidR="00C97DF3" w:rsidRPr="00C97DF3">
        <w:rPr>
          <w:rFonts w:ascii="Arial Narrow" w:hAnsi="Arial Narrow"/>
          <w:color w:val="000000"/>
          <w:sz w:val="22"/>
          <w:szCs w:val="22"/>
          <w:lang w:val="en-GB" w:eastAsia="de-DE"/>
        </w:rPr>
        <w:t>rikuperimin</w:t>
      </w:r>
      <w:proofErr w:type="spellEnd"/>
      <w:r w:rsidR="00C97DF3" w:rsidRPr="00FF7243">
        <w:rPr>
          <w:rFonts w:ascii="Arial Narrow" w:hAnsi="Arial Narrow"/>
          <w:color w:val="000000"/>
          <w:sz w:val="22"/>
          <w:szCs w:val="22"/>
          <w:lang w:val="bg-BG" w:eastAsia="de-DE"/>
        </w:rPr>
        <w:t xml:space="preserve"> </w:t>
      </w:r>
      <w:r w:rsidR="00C97DF3" w:rsidRPr="00C97DF3">
        <w:rPr>
          <w:rFonts w:ascii="Arial Narrow" w:hAnsi="Arial Narrow"/>
          <w:color w:val="000000"/>
          <w:sz w:val="22"/>
          <w:szCs w:val="22"/>
          <w:lang w:val="en-GB" w:eastAsia="de-DE"/>
        </w:rPr>
        <w:t>e</w:t>
      </w:r>
      <w:r w:rsidR="00C97DF3" w:rsidRPr="00FF7243">
        <w:rPr>
          <w:rFonts w:ascii="Arial Narrow" w:hAnsi="Arial Narrow"/>
          <w:color w:val="000000"/>
          <w:sz w:val="22"/>
          <w:szCs w:val="22"/>
          <w:lang w:val="bg-BG" w:eastAsia="de-DE"/>
        </w:rPr>
        <w:t xml:space="preserve"> </w:t>
      </w:r>
      <w:proofErr w:type="spellStart"/>
      <w:r w:rsidR="00C97DF3" w:rsidRPr="00C97DF3">
        <w:rPr>
          <w:rFonts w:ascii="Arial Narrow" w:hAnsi="Arial Narrow"/>
          <w:color w:val="000000"/>
          <w:sz w:val="22"/>
          <w:szCs w:val="22"/>
          <w:lang w:val="en-GB" w:eastAsia="de-DE"/>
        </w:rPr>
        <w:t>energjis</w:t>
      </w:r>
      <w:proofErr w:type="spellEnd"/>
      <w:r w:rsidR="00C97DF3" w:rsidRPr="00FF7243">
        <w:rPr>
          <w:rFonts w:ascii="Arial Narrow" w:hAnsi="Arial Narrow"/>
          <w:color w:val="000000"/>
          <w:sz w:val="22"/>
          <w:szCs w:val="22"/>
          <w:lang w:val="bg-BG" w:eastAsia="de-DE"/>
        </w:rPr>
        <w:t xml:space="preserve">ë </w:t>
      </w:r>
      <w:proofErr w:type="spellStart"/>
      <w:r w:rsidR="00C97DF3" w:rsidRPr="00C97DF3">
        <w:rPr>
          <w:rFonts w:ascii="Arial Narrow" w:hAnsi="Arial Narrow"/>
          <w:color w:val="000000"/>
          <w:sz w:val="22"/>
          <w:szCs w:val="22"/>
          <w:lang w:val="en-GB" w:eastAsia="de-DE"/>
        </w:rPr>
        <w:t>nga</w:t>
      </w:r>
      <w:proofErr w:type="spellEnd"/>
      <w:r w:rsidR="00C97DF3" w:rsidRPr="00FF7243">
        <w:rPr>
          <w:rFonts w:ascii="Arial Narrow" w:hAnsi="Arial Narrow"/>
          <w:color w:val="000000"/>
          <w:sz w:val="22"/>
          <w:szCs w:val="22"/>
          <w:lang w:val="bg-BG" w:eastAsia="de-DE"/>
        </w:rPr>
        <w:t xml:space="preserve"> </w:t>
      </w:r>
      <w:proofErr w:type="spellStart"/>
      <w:r w:rsidR="00C97DF3" w:rsidRPr="00C97DF3">
        <w:rPr>
          <w:rFonts w:ascii="Arial Narrow" w:hAnsi="Arial Narrow"/>
          <w:color w:val="000000"/>
          <w:sz w:val="22"/>
          <w:szCs w:val="22"/>
          <w:lang w:val="en-GB" w:eastAsia="de-DE"/>
        </w:rPr>
        <w:t>biomasa</w:t>
      </w:r>
      <w:proofErr w:type="spellEnd"/>
      <w:r w:rsidR="00C97DF3" w:rsidRPr="00FF7243">
        <w:rPr>
          <w:rFonts w:ascii="Arial Narrow" w:hAnsi="Arial Narrow"/>
          <w:color w:val="000000"/>
          <w:sz w:val="22"/>
          <w:szCs w:val="22"/>
          <w:lang w:val="bg-BG" w:eastAsia="de-DE"/>
        </w:rPr>
        <w:t>.</w:t>
      </w:r>
    </w:p>
    <w:p w14:paraId="7C74F56B" w14:textId="77777777" w:rsidR="00C97DF3" w:rsidRPr="00FF7243" w:rsidRDefault="00C97DF3" w:rsidP="00C97DF3">
      <w:pPr>
        <w:rPr>
          <w:rFonts w:ascii="Arial Narrow" w:hAnsi="Arial Narrow"/>
          <w:color w:val="000000"/>
          <w:sz w:val="22"/>
          <w:szCs w:val="22"/>
          <w:lang w:val="bg-BG" w:eastAsia="de-DE"/>
        </w:rPr>
      </w:pPr>
    </w:p>
    <w:p w14:paraId="2DF7FDA3" w14:textId="22A18F78" w:rsidR="00C97DF3" w:rsidRPr="00C97DF3" w:rsidRDefault="00C97DF3" w:rsidP="00CA7306">
      <w:pPr>
        <w:jc w:val="both"/>
        <w:rPr>
          <w:rFonts w:ascii="Arial Narrow" w:eastAsia="Calibri" w:hAnsi="Arial Narrow"/>
          <w:sz w:val="22"/>
          <w:szCs w:val="22"/>
        </w:rPr>
      </w:pPr>
      <w:r w:rsidRPr="00C97DF3">
        <w:rPr>
          <w:rFonts w:ascii="Arial Narrow" w:hAnsi="Arial Narrow"/>
          <w:color w:val="000000"/>
          <w:sz w:val="22"/>
          <w:szCs w:val="22"/>
          <w:lang w:val="en-GB" w:eastAsia="de-DE"/>
        </w:rPr>
        <w:t>Pasi</w:t>
      </w:r>
      <w:r w:rsidRPr="00FF7243">
        <w:rPr>
          <w:rFonts w:ascii="Arial Narrow" w:hAnsi="Arial Narrow"/>
          <w:color w:val="000000"/>
          <w:sz w:val="22"/>
          <w:szCs w:val="22"/>
          <w:lang w:val="bg-BG" w:eastAsia="de-DE"/>
        </w:rPr>
        <w:t xml:space="preserve"> </w:t>
      </w:r>
      <w:proofErr w:type="spellStart"/>
      <w:r w:rsidRPr="00C97DF3">
        <w:rPr>
          <w:rFonts w:ascii="Arial Narrow" w:hAnsi="Arial Narrow"/>
          <w:color w:val="000000"/>
          <w:sz w:val="22"/>
          <w:szCs w:val="22"/>
          <w:lang w:val="en-GB" w:eastAsia="de-DE"/>
        </w:rPr>
        <w:t>skemat</w:t>
      </w:r>
      <w:proofErr w:type="spellEnd"/>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e</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P</w:t>
      </w:r>
      <w:r w:rsidRPr="00FF7243">
        <w:rPr>
          <w:rFonts w:ascii="Arial Narrow" w:hAnsi="Arial Narrow"/>
          <w:color w:val="000000"/>
          <w:sz w:val="22"/>
          <w:szCs w:val="22"/>
          <w:lang w:val="bg-BG" w:eastAsia="de-DE"/>
        </w:rPr>
        <w:t>ë</w:t>
      </w:r>
      <w:proofErr w:type="spellStart"/>
      <w:r w:rsidRPr="00C97DF3">
        <w:rPr>
          <w:rFonts w:ascii="Arial Narrow" w:hAnsi="Arial Narrow"/>
          <w:color w:val="000000"/>
          <w:sz w:val="22"/>
          <w:szCs w:val="22"/>
          <w:lang w:val="en-GB" w:eastAsia="de-DE"/>
        </w:rPr>
        <w:t>rgjegj</w:t>
      </w:r>
      <w:proofErr w:type="spellEnd"/>
      <w:r w:rsidRPr="00FF7243">
        <w:rPr>
          <w:rFonts w:ascii="Arial Narrow" w:hAnsi="Arial Narrow"/>
          <w:color w:val="000000"/>
          <w:sz w:val="22"/>
          <w:szCs w:val="22"/>
          <w:lang w:val="bg-BG" w:eastAsia="de-DE"/>
        </w:rPr>
        <w:t>ë</w:t>
      </w:r>
      <w:r w:rsidRPr="00C97DF3">
        <w:rPr>
          <w:rFonts w:ascii="Arial Narrow" w:hAnsi="Arial Narrow"/>
          <w:color w:val="000000"/>
          <w:sz w:val="22"/>
          <w:szCs w:val="22"/>
          <w:lang w:val="en-GB" w:eastAsia="de-DE"/>
        </w:rPr>
        <w:t>sis</w:t>
      </w:r>
      <w:r w:rsidRPr="00FF7243">
        <w:rPr>
          <w:rFonts w:ascii="Arial Narrow" w:hAnsi="Arial Narrow"/>
          <w:color w:val="000000"/>
          <w:sz w:val="22"/>
          <w:szCs w:val="22"/>
          <w:lang w:val="bg-BG" w:eastAsia="de-DE"/>
        </w:rPr>
        <w:t xml:space="preserve">ë </w:t>
      </w:r>
      <w:r w:rsidRPr="00C97DF3">
        <w:rPr>
          <w:rFonts w:ascii="Arial Narrow" w:hAnsi="Arial Narrow"/>
          <w:color w:val="000000"/>
          <w:sz w:val="22"/>
          <w:szCs w:val="22"/>
          <w:lang w:val="en-GB" w:eastAsia="de-DE"/>
        </w:rPr>
        <w:t>s</w:t>
      </w:r>
      <w:r w:rsidRPr="00FF7243">
        <w:rPr>
          <w:rFonts w:ascii="Arial Narrow" w:hAnsi="Arial Narrow"/>
          <w:color w:val="000000"/>
          <w:sz w:val="22"/>
          <w:szCs w:val="22"/>
          <w:lang w:val="bg-BG" w:eastAsia="de-DE"/>
        </w:rPr>
        <w:t xml:space="preserve">ë </w:t>
      </w:r>
      <w:proofErr w:type="spellStart"/>
      <w:r w:rsidRPr="00C97DF3">
        <w:rPr>
          <w:rFonts w:ascii="Arial Narrow" w:hAnsi="Arial Narrow"/>
          <w:color w:val="000000"/>
          <w:sz w:val="22"/>
          <w:szCs w:val="22"/>
          <w:lang w:val="en-GB" w:eastAsia="de-DE"/>
        </w:rPr>
        <w:t>Zgjeruar</w:t>
      </w:r>
      <w:proofErr w:type="spellEnd"/>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ë </w:t>
      </w:r>
      <w:proofErr w:type="spellStart"/>
      <w:r w:rsidRPr="00C97DF3">
        <w:rPr>
          <w:rFonts w:ascii="Arial Narrow" w:hAnsi="Arial Narrow"/>
          <w:color w:val="000000"/>
          <w:sz w:val="22"/>
          <w:szCs w:val="22"/>
          <w:lang w:val="en-GB" w:eastAsia="de-DE"/>
        </w:rPr>
        <w:t>Prodhuesit</w:t>
      </w:r>
      <w:proofErr w:type="spellEnd"/>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PZP</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ë </w:t>
      </w:r>
      <w:proofErr w:type="spellStart"/>
      <w:r w:rsidR="00364281">
        <w:rPr>
          <w:rFonts w:ascii="Arial Narrow" w:hAnsi="Arial Narrow"/>
          <w:color w:val="000000"/>
          <w:sz w:val="22"/>
          <w:szCs w:val="22"/>
          <w:lang w:val="en-GB" w:eastAsia="de-DE"/>
        </w:rPr>
        <w:t>funksionalizohen</w:t>
      </w:r>
      <w:proofErr w:type="spellEnd"/>
      <w:r w:rsidR="00364281"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plot</w:t>
      </w:r>
      <w:r w:rsidRPr="00FF7243">
        <w:rPr>
          <w:rFonts w:ascii="Arial Narrow" w:hAnsi="Arial Narrow"/>
          <w:color w:val="000000"/>
          <w:sz w:val="22"/>
          <w:szCs w:val="22"/>
          <w:lang w:val="bg-BG" w:eastAsia="de-DE"/>
        </w:rPr>
        <w:t>ë</w:t>
      </w:r>
      <w:proofErr w:type="spellStart"/>
      <w:r w:rsidRPr="00C97DF3">
        <w:rPr>
          <w:rFonts w:ascii="Arial Narrow" w:hAnsi="Arial Narrow"/>
          <w:color w:val="000000"/>
          <w:sz w:val="22"/>
          <w:szCs w:val="22"/>
          <w:lang w:val="en-GB" w:eastAsia="de-DE"/>
        </w:rPr>
        <w:t>sisht</w:t>
      </w:r>
      <w:proofErr w:type="spellEnd"/>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n</w:t>
      </w:r>
      <w:r w:rsidRPr="00FF7243">
        <w:rPr>
          <w:rFonts w:ascii="Arial Narrow" w:hAnsi="Arial Narrow"/>
          <w:color w:val="000000"/>
          <w:sz w:val="22"/>
          <w:szCs w:val="22"/>
          <w:lang w:val="bg-BG" w:eastAsia="de-DE"/>
        </w:rPr>
        <w:t xml:space="preserve">ë </w:t>
      </w:r>
      <w:r w:rsidRPr="00C97DF3">
        <w:rPr>
          <w:rFonts w:ascii="Arial Narrow" w:hAnsi="Arial Narrow"/>
          <w:color w:val="000000"/>
          <w:sz w:val="22"/>
          <w:szCs w:val="22"/>
          <w:lang w:val="en-GB" w:eastAsia="de-DE"/>
        </w:rPr>
        <w:t>vend</w:t>
      </w:r>
      <w:r w:rsidRPr="00FF7243">
        <w:rPr>
          <w:rFonts w:ascii="Arial Narrow" w:hAnsi="Arial Narrow"/>
          <w:color w:val="000000"/>
          <w:sz w:val="22"/>
          <w:szCs w:val="22"/>
          <w:lang w:val="bg-BG" w:eastAsia="de-DE"/>
        </w:rPr>
        <w:t xml:space="preserve">, </w:t>
      </w:r>
      <w:proofErr w:type="spellStart"/>
      <w:r w:rsidR="00364281">
        <w:rPr>
          <w:rFonts w:ascii="Arial Narrow" w:hAnsi="Arial Narrow"/>
          <w:color w:val="000000"/>
          <w:sz w:val="22"/>
          <w:szCs w:val="22"/>
          <w:lang w:val="en-GB" w:eastAsia="de-DE"/>
        </w:rPr>
        <w:t>komunat</w:t>
      </w:r>
      <w:proofErr w:type="spellEnd"/>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n</w:t>
      </w:r>
      <w:r w:rsidRPr="00FF7243">
        <w:rPr>
          <w:rFonts w:ascii="Arial Narrow" w:hAnsi="Arial Narrow"/>
          <w:color w:val="000000"/>
          <w:sz w:val="22"/>
          <w:szCs w:val="22"/>
          <w:lang w:val="bg-BG" w:eastAsia="de-DE"/>
        </w:rPr>
        <w:t xml:space="preserve">ë </w:t>
      </w:r>
      <w:r w:rsidRPr="00C97DF3">
        <w:rPr>
          <w:rFonts w:ascii="Arial Narrow" w:hAnsi="Arial Narrow"/>
          <w:color w:val="000000"/>
          <w:sz w:val="22"/>
          <w:szCs w:val="22"/>
          <w:lang w:val="en-GB" w:eastAsia="de-DE"/>
        </w:rPr>
        <w:t>ZM</w:t>
      </w:r>
      <w:r w:rsidR="00364281">
        <w:rPr>
          <w:rFonts w:ascii="Arial Narrow" w:hAnsi="Arial Narrow"/>
          <w:color w:val="000000"/>
          <w:sz w:val="22"/>
          <w:szCs w:val="22"/>
          <w:lang w:val="en-GB" w:eastAsia="de-DE"/>
        </w:rPr>
        <w:t>M</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do</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ë </w:t>
      </w:r>
      <w:proofErr w:type="spellStart"/>
      <w:r w:rsidRPr="00C97DF3">
        <w:rPr>
          <w:rFonts w:ascii="Arial Narrow" w:hAnsi="Arial Narrow"/>
          <w:color w:val="000000"/>
          <w:sz w:val="22"/>
          <w:szCs w:val="22"/>
          <w:lang w:val="en-GB" w:eastAsia="de-DE"/>
        </w:rPr>
        <w:t>lidhin</w:t>
      </w:r>
      <w:proofErr w:type="spellEnd"/>
      <w:r w:rsidRPr="00FF7243">
        <w:rPr>
          <w:rFonts w:ascii="Arial Narrow" w:hAnsi="Arial Narrow"/>
          <w:color w:val="000000"/>
          <w:sz w:val="22"/>
          <w:szCs w:val="22"/>
          <w:lang w:val="bg-BG" w:eastAsia="de-DE"/>
        </w:rPr>
        <w:t xml:space="preserve"> </w:t>
      </w:r>
      <w:proofErr w:type="spellStart"/>
      <w:r w:rsidRPr="00C97DF3">
        <w:rPr>
          <w:rFonts w:ascii="Arial Narrow" w:hAnsi="Arial Narrow"/>
          <w:color w:val="000000"/>
          <w:sz w:val="22"/>
          <w:szCs w:val="22"/>
          <w:lang w:val="en-GB" w:eastAsia="de-DE"/>
        </w:rPr>
        <w:t>kontrata</w:t>
      </w:r>
      <w:proofErr w:type="spellEnd"/>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me</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operator</w:t>
      </w:r>
      <w:r w:rsidRPr="00FF7243">
        <w:rPr>
          <w:rFonts w:ascii="Arial Narrow" w:hAnsi="Arial Narrow"/>
          <w:color w:val="000000"/>
          <w:sz w:val="22"/>
          <w:szCs w:val="22"/>
          <w:lang w:val="bg-BG" w:eastAsia="de-DE"/>
        </w:rPr>
        <w:t>ë</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e</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PZP</w:t>
      </w:r>
      <w:r w:rsidR="00364281" w:rsidRPr="00FF7243">
        <w:rPr>
          <w:rFonts w:ascii="Arial Narrow" w:hAnsi="Arial Narrow"/>
          <w:color w:val="000000"/>
          <w:sz w:val="22"/>
          <w:szCs w:val="22"/>
          <w:lang w:val="bg-BG" w:eastAsia="de-DE"/>
        </w:rPr>
        <w:t>-</w:t>
      </w:r>
      <w:r w:rsidR="00364281">
        <w:rPr>
          <w:rFonts w:ascii="Arial Narrow" w:hAnsi="Arial Narrow"/>
          <w:color w:val="000000"/>
          <w:sz w:val="22"/>
          <w:szCs w:val="22"/>
          <w:lang w:val="en-GB" w:eastAsia="de-DE"/>
        </w:rPr>
        <w:t>s</w:t>
      </w:r>
      <w:r w:rsidR="00364281" w:rsidRPr="00FF7243">
        <w:rPr>
          <w:rFonts w:ascii="Arial Narrow" w:hAnsi="Arial Narrow"/>
          <w:color w:val="000000"/>
          <w:sz w:val="22"/>
          <w:szCs w:val="22"/>
          <w:lang w:val="bg-BG" w:eastAsia="de-DE"/>
        </w:rPr>
        <w:t>ë</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p</w:t>
      </w:r>
      <w:r w:rsidRPr="00FF7243">
        <w:rPr>
          <w:rFonts w:ascii="Arial Narrow" w:hAnsi="Arial Narrow"/>
          <w:color w:val="000000"/>
          <w:sz w:val="22"/>
          <w:szCs w:val="22"/>
          <w:lang w:val="bg-BG" w:eastAsia="de-DE"/>
        </w:rPr>
        <w:t>ë</w:t>
      </w:r>
      <w:r w:rsidRPr="00C97DF3">
        <w:rPr>
          <w:rFonts w:ascii="Arial Narrow" w:hAnsi="Arial Narrow"/>
          <w:color w:val="000000"/>
          <w:sz w:val="22"/>
          <w:szCs w:val="22"/>
          <w:lang w:val="en-GB" w:eastAsia="de-DE"/>
        </w:rPr>
        <w:t>r</w:t>
      </w:r>
      <w:r w:rsidRPr="00FF7243">
        <w:rPr>
          <w:rFonts w:ascii="Arial Narrow" w:hAnsi="Arial Narrow"/>
          <w:color w:val="000000"/>
          <w:sz w:val="22"/>
          <w:szCs w:val="22"/>
          <w:lang w:val="bg-BG" w:eastAsia="de-DE"/>
        </w:rPr>
        <w:t xml:space="preserve"> </w:t>
      </w:r>
      <w:proofErr w:type="spellStart"/>
      <w:r w:rsidRPr="00C97DF3">
        <w:rPr>
          <w:rFonts w:ascii="Arial Narrow" w:hAnsi="Arial Narrow"/>
          <w:color w:val="000000"/>
          <w:sz w:val="22"/>
          <w:szCs w:val="22"/>
          <w:lang w:val="en-GB" w:eastAsia="de-DE"/>
        </w:rPr>
        <w:t>mbledhjen</w:t>
      </w:r>
      <w:proofErr w:type="spellEnd"/>
      <w:r w:rsidRPr="00FF7243">
        <w:rPr>
          <w:rFonts w:ascii="Arial Narrow" w:hAnsi="Arial Narrow"/>
          <w:color w:val="000000"/>
          <w:sz w:val="22"/>
          <w:szCs w:val="22"/>
          <w:lang w:val="bg-BG" w:eastAsia="de-DE"/>
        </w:rPr>
        <w:t xml:space="preserve"> </w:t>
      </w:r>
      <w:proofErr w:type="spellStart"/>
      <w:r w:rsidRPr="00C97DF3">
        <w:rPr>
          <w:rFonts w:ascii="Arial Narrow" w:hAnsi="Arial Narrow"/>
          <w:color w:val="000000"/>
          <w:sz w:val="22"/>
          <w:szCs w:val="22"/>
          <w:lang w:val="en-GB" w:eastAsia="de-DE"/>
        </w:rPr>
        <w:t>ndar</w:t>
      </w:r>
      <w:r w:rsidR="00364281">
        <w:rPr>
          <w:rFonts w:ascii="Arial Narrow" w:hAnsi="Arial Narrow"/>
          <w:color w:val="000000"/>
          <w:sz w:val="22"/>
          <w:szCs w:val="22"/>
          <w:lang w:val="en-GB" w:eastAsia="de-DE"/>
        </w:rPr>
        <w:t>as</w:t>
      </w:r>
      <w:proofErr w:type="spellEnd"/>
      <w:r w:rsidR="00364281"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ë </w:t>
      </w:r>
      <w:proofErr w:type="spellStart"/>
      <w:r w:rsidR="00364281">
        <w:rPr>
          <w:rFonts w:ascii="Arial Narrow" w:hAnsi="Arial Narrow"/>
          <w:color w:val="000000"/>
          <w:sz w:val="22"/>
          <w:szCs w:val="22"/>
          <w:lang w:val="en-GB" w:eastAsia="de-DE"/>
        </w:rPr>
        <w:t>fraksioneve</w:t>
      </w:r>
      <w:proofErr w:type="spellEnd"/>
      <w:r w:rsidR="00364281" w:rsidRPr="00FF7243">
        <w:rPr>
          <w:rFonts w:ascii="Arial Narrow" w:hAnsi="Arial Narrow"/>
          <w:color w:val="000000"/>
          <w:sz w:val="22"/>
          <w:szCs w:val="22"/>
          <w:lang w:val="bg-BG" w:eastAsia="de-DE"/>
        </w:rPr>
        <w:t xml:space="preserve"> </w:t>
      </w:r>
      <w:proofErr w:type="spellStart"/>
      <w:r w:rsidRPr="00C97DF3">
        <w:rPr>
          <w:rFonts w:ascii="Arial Narrow" w:hAnsi="Arial Narrow"/>
          <w:color w:val="000000"/>
          <w:sz w:val="22"/>
          <w:szCs w:val="22"/>
          <w:lang w:val="en-GB" w:eastAsia="de-DE"/>
        </w:rPr>
        <w:t>specifike</w:t>
      </w:r>
      <w:proofErr w:type="spellEnd"/>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ë </w:t>
      </w:r>
      <w:proofErr w:type="spellStart"/>
      <w:r w:rsidRPr="00C97DF3">
        <w:rPr>
          <w:rFonts w:ascii="Arial Narrow" w:hAnsi="Arial Narrow"/>
          <w:color w:val="000000"/>
          <w:sz w:val="22"/>
          <w:szCs w:val="22"/>
          <w:lang w:val="en-GB" w:eastAsia="de-DE"/>
        </w:rPr>
        <w:t>mbet</w:t>
      </w:r>
      <w:r w:rsidR="00364281">
        <w:rPr>
          <w:rFonts w:ascii="Arial Narrow" w:hAnsi="Arial Narrow"/>
          <w:color w:val="000000"/>
          <w:sz w:val="22"/>
          <w:szCs w:val="22"/>
          <w:lang w:val="en-GB" w:eastAsia="de-DE"/>
        </w:rPr>
        <w:t>urinave</w:t>
      </w:r>
      <w:proofErr w:type="spellEnd"/>
      <w:r w:rsidRPr="00FF7243">
        <w:rPr>
          <w:rFonts w:ascii="Arial Narrow" w:hAnsi="Arial Narrow"/>
          <w:color w:val="000000"/>
          <w:sz w:val="22"/>
          <w:szCs w:val="22"/>
          <w:lang w:val="bg-BG" w:eastAsia="de-DE"/>
        </w:rPr>
        <w:t xml:space="preserve">, </w:t>
      </w:r>
      <w:proofErr w:type="spellStart"/>
      <w:r w:rsidRPr="00C97DF3">
        <w:rPr>
          <w:rFonts w:ascii="Arial Narrow" w:hAnsi="Arial Narrow"/>
          <w:color w:val="000000"/>
          <w:sz w:val="22"/>
          <w:szCs w:val="22"/>
          <w:lang w:val="en-GB" w:eastAsia="de-DE"/>
        </w:rPr>
        <w:t>si</w:t>
      </w:r>
      <w:proofErr w:type="spellEnd"/>
      <w:r w:rsidRPr="00FF7243">
        <w:rPr>
          <w:rFonts w:ascii="Arial Narrow" w:hAnsi="Arial Narrow"/>
          <w:color w:val="000000"/>
          <w:sz w:val="22"/>
          <w:szCs w:val="22"/>
          <w:lang w:val="bg-BG" w:eastAsia="de-DE"/>
        </w:rPr>
        <w:t xml:space="preserve"> </w:t>
      </w:r>
      <w:proofErr w:type="spellStart"/>
      <w:r w:rsidRPr="00C97DF3">
        <w:rPr>
          <w:rFonts w:ascii="Arial Narrow" w:hAnsi="Arial Narrow"/>
          <w:color w:val="000000"/>
          <w:sz w:val="22"/>
          <w:szCs w:val="22"/>
          <w:lang w:val="en-GB" w:eastAsia="de-DE"/>
        </w:rPr>
        <w:t>mbeturinat</w:t>
      </w:r>
      <w:proofErr w:type="spellEnd"/>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e</w:t>
      </w:r>
      <w:r w:rsidRPr="00FF7243">
        <w:rPr>
          <w:rFonts w:ascii="Arial Narrow" w:hAnsi="Arial Narrow"/>
          <w:color w:val="000000"/>
          <w:sz w:val="22"/>
          <w:szCs w:val="22"/>
          <w:lang w:val="bg-BG" w:eastAsia="de-DE"/>
        </w:rPr>
        <w:t xml:space="preserve"> </w:t>
      </w:r>
      <w:proofErr w:type="spellStart"/>
      <w:r w:rsidRPr="00C97DF3">
        <w:rPr>
          <w:rFonts w:ascii="Arial Narrow" w:hAnsi="Arial Narrow"/>
          <w:color w:val="000000"/>
          <w:sz w:val="22"/>
          <w:szCs w:val="22"/>
          <w:lang w:val="en-GB" w:eastAsia="de-DE"/>
        </w:rPr>
        <w:t>pajisjeve</w:t>
      </w:r>
      <w:proofErr w:type="spellEnd"/>
      <w:r w:rsidRPr="00FF7243">
        <w:rPr>
          <w:rFonts w:ascii="Arial Narrow" w:hAnsi="Arial Narrow"/>
          <w:color w:val="000000"/>
          <w:sz w:val="22"/>
          <w:szCs w:val="22"/>
          <w:lang w:val="bg-BG" w:eastAsia="de-DE"/>
        </w:rPr>
        <w:t xml:space="preserve"> </w:t>
      </w:r>
      <w:proofErr w:type="spellStart"/>
      <w:r w:rsidRPr="00C97DF3">
        <w:rPr>
          <w:rFonts w:ascii="Arial Narrow" w:hAnsi="Arial Narrow"/>
          <w:color w:val="000000"/>
          <w:sz w:val="22"/>
          <w:szCs w:val="22"/>
          <w:lang w:val="en-GB" w:eastAsia="de-DE"/>
        </w:rPr>
        <w:t>elektrike</w:t>
      </w:r>
      <w:proofErr w:type="spellEnd"/>
      <w:r w:rsidRPr="00FF7243">
        <w:rPr>
          <w:rFonts w:ascii="Arial Narrow" w:hAnsi="Arial Narrow"/>
          <w:color w:val="000000"/>
          <w:sz w:val="22"/>
          <w:szCs w:val="22"/>
          <w:lang w:val="bg-BG" w:eastAsia="de-DE"/>
        </w:rPr>
        <w:t xml:space="preserve"> </w:t>
      </w:r>
      <w:proofErr w:type="spellStart"/>
      <w:r w:rsidRPr="00C97DF3">
        <w:rPr>
          <w:rFonts w:ascii="Arial Narrow" w:hAnsi="Arial Narrow"/>
          <w:color w:val="000000"/>
          <w:sz w:val="22"/>
          <w:szCs w:val="22"/>
          <w:lang w:val="en-GB" w:eastAsia="de-DE"/>
        </w:rPr>
        <w:t>dhe</w:t>
      </w:r>
      <w:proofErr w:type="spellEnd"/>
      <w:r w:rsidRPr="00FF7243">
        <w:rPr>
          <w:rFonts w:ascii="Arial Narrow" w:hAnsi="Arial Narrow"/>
          <w:color w:val="000000"/>
          <w:sz w:val="22"/>
          <w:szCs w:val="22"/>
          <w:lang w:val="bg-BG" w:eastAsia="de-DE"/>
        </w:rPr>
        <w:t xml:space="preserve"> </w:t>
      </w:r>
      <w:proofErr w:type="spellStart"/>
      <w:r w:rsidRPr="00C97DF3">
        <w:rPr>
          <w:rFonts w:ascii="Arial Narrow" w:hAnsi="Arial Narrow"/>
          <w:color w:val="000000"/>
          <w:sz w:val="22"/>
          <w:szCs w:val="22"/>
          <w:lang w:val="en-GB" w:eastAsia="de-DE"/>
        </w:rPr>
        <w:t>elektronike</w:t>
      </w:r>
      <w:proofErr w:type="spellEnd"/>
      <w:r w:rsidRPr="00FF7243">
        <w:rPr>
          <w:rFonts w:ascii="Arial Narrow" w:hAnsi="Arial Narrow"/>
          <w:color w:val="000000"/>
          <w:sz w:val="22"/>
          <w:szCs w:val="22"/>
          <w:lang w:val="bg-BG" w:eastAsia="de-DE"/>
        </w:rPr>
        <w:t xml:space="preserve">, </w:t>
      </w:r>
      <w:proofErr w:type="spellStart"/>
      <w:r w:rsidRPr="00C97DF3">
        <w:rPr>
          <w:rFonts w:ascii="Arial Narrow" w:hAnsi="Arial Narrow"/>
          <w:color w:val="000000"/>
          <w:sz w:val="22"/>
          <w:szCs w:val="22"/>
          <w:lang w:val="en-GB" w:eastAsia="de-DE"/>
        </w:rPr>
        <w:t>vajrat</w:t>
      </w:r>
      <w:proofErr w:type="spellEnd"/>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e</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p</w:t>
      </w:r>
      <w:r w:rsidRPr="00FF7243">
        <w:rPr>
          <w:rFonts w:ascii="Arial Narrow" w:hAnsi="Arial Narrow"/>
          <w:color w:val="000000"/>
          <w:sz w:val="22"/>
          <w:szCs w:val="22"/>
          <w:lang w:val="bg-BG" w:eastAsia="de-DE"/>
        </w:rPr>
        <w:t>ë</w:t>
      </w:r>
      <w:proofErr w:type="spellStart"/>
      <w:r w:rsidRPr="00C97DF3">
        <w:rPr>
          <w:rFonts w:ascii="Arial Narrow" w:hAnsi="Arial Narrow"/>
          <w:color w:val="000000"/>
          <w:sz w:val="22"/>
          <w:szCs w:val="22"/>
          <w:lang w:val="en-GB" w:eastAsia="de-DE"/>
        </w:rPr>
        <w:t>rdorura</w:t>
      </w:r>
      <w:proofErr w:type="spellEnd"/>
      <w:r w:rsidRPr="00FF7243">
        <w:rPr>
          <w:rFonts w:ascii="Arial Narrow" w:hAnsi="Arial Narrow"/>
          <w:color w:val="000000"/>
          <w:sz w:val="22"/>
          <w:szCs w:val="22"/>
          <w:lang w:val="bg-BG" w:eastAsia="de-DE"/>
        </w:rPr>
        <w:t xml:space="preserve">, </w:t>
      </w:r>
      <w:proofErr w:type="spellStart"/>
      <w:r w:rsidRPr="00C97DF3">
        <w:rPr>
          <w:rFonts w:ascii="Arial Narrow" w:hAnsi="Arial Narrow"/>
          <w:color w:val="000000"/>
          <w:sz w:val="22"/>
          <w:szCs w:val="22"/>
          <w:lang w:val="en-GB" w:eastAsia="de-DE"/>
        </w:rPr>
        <w:t>automjetet</w:t>
      </w:r>
      <w:proofErr w:type="spellEnd"/>
      <w:r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e</w:t>
      </w:r>
      <w:r w:rsidR="00364281" w:rsidRPr="00FF7243">
        <w:rPr>
          <w:rFonts w:ascii="Arial Narrow" w:hAnsi="Arial Narrow"/>
          <w:color w:val="000000"/>
          <w:sz w:val="22"/>
          <w:szCs w:val="22"/>
          <w:lang w:val="bg-BG" w:eastAsia="de-DE"/>
        </w:rPr>
        <w:t xml:space="preserve"> </w:t>
      </w:r>
      <w:proofErr w:type="spellStart"/>
      <w:r w:rsidR="00364281">
        <w:rPr>
          <w:rFonts w:ascii="Arial Narrow" w:hAnsi="Arial Narrow"/>
          <w:color w:val="000000"/>
          <w:sz w:val="22"/>
          <w:szCs w:val="22"/>
          <w:lang w:val="en-GB" w:eastAsia="de-DE"/>
        </w:rPr>
        <w:t>hedhura</w:t>
      </w:r>
      <w:proofErr w:type="spellEnd"/>
      <w:r w:rsidR="00364281" w:rsidRPr="00FF7243">
        <w:rPr>
          <w:rFonts w:ascii="Arial Narrow" w:hAnsi="Arial Narrow"/>
          <w:color w:val="000000"/>
          <w:sz w:val="22"/>
          <w:szCs w:val="22"/>
          <w:lang w:val="bg-BG" w:eastAsia="de-DE"/>
        </w:rPr>
        <w:t xml:space="preserve"> </w:t>
      </w:r>
      <w:proofErr w:type="spellStart"/>
      <w:r w:rsidR="00364281">
        <w:rPr>
          <w:rFonts w:ascii="Arial Narrow" w:hAnsi="Arial Narrow"/>
          <w:color w:val="000000"/>
          <w:sz w:val="22"/>
          <w:szCs w:val="22"/>
          <w:lang w:val="en-GB" w:eastAsia="de-DE"/>
        </w:rPr>
        <w:t>dhe</w:t>
      </w:r>
      <w:proofErr w:type="spellEnd"/>
      <w:r w:rsidR="00364281" w:rsidRPr="00FF7243">
        <w:rPr>
          <w:rFonts w:ascii="Arial Narrow" w:hAnsi="Arial Narrow"/>
          <w:color w:val="000000"/>
          <w:sz w:val="22"/>
          <w:szCs w:val="22"/>
          <w:lang w:val="bg-BG" w:eastAsia="de-DE"/>
        </w:rPr>
        <w:t xml:space="preserve"> </w:t>
      </w:r>
      <w:proofErr w:type="spellStart"/>
      <w:r w:rsidR="00364281">
        <w:rPr>
          <w:rFonts w:ascii="Arial Narrow" w:hAnsi="Arial Narrow"/>
          <w:color w:val="000000"/>
          <w:sz w:val="22"/>
          <w:szCs w:val="22"/>
          <w:lang w:val="en-GB" w:eastAsia="de-DE"/>
        </w:rPr>
        <w:t>mbeturinat</w:t>
      </w:r>
      <w:proofErr w:type="spellEnd"/>
      <w:r w:rsidR="00364281"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e</w:t>
      </w:r>
      <w:r w:rsidR="00364281"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tyre</w:t>
      </w:r>
      <w:r w:rsidRPr="00FF7243">
        <w:rPr>
          <w:rFonts w:ascii="Arial Narrow" w:hAnsi="Arial Narrow"/>
          <w:color w:val="000000"/>
          <w:sz w:val="22"/>
          <w:szCs w:val="22"/>
          <w:lang w:val="bg-BG" w:eastAsia="de-DE"/>
        </w:rPr>
        <w:t xml:space="preserve">, </w:t>
      </w:r>
      <w:proofErr w:type="spellStart"/>
      <w:r w:rsidRPr="00C97DF3">
        <w:rPr>
          <w:rFonts w:ascii="Arial Narrow" w:hAnsi="Arial Narrow"/>
          <w:color w:val="000000"/>
          <w:sz w:val="22"/>
          <w:szCs w:val="22"/>
          <w:lang w:val="en-GB" w:eastAsia="de-DE"/>
        </w:rPr>
        <w:t>baterit</w:t>
      </w:r>
      <w:proofErr w:type="spellEnd"/>
      <w:r w:rsidRPr="00FF7243">
        <w:rPr>
          <w:rFonts w:ascii="Arial Narrow" w:hAnsi="Arial Narrow"/>
          <w:color w:val="000000"/>
          <w:sz w:val="22"/>
          <w:szCs w:val="22"/>
          <w:lang w:val="bg-BG" w:eastAsia="de-DE"/>
        </w:rPr>
        <w:t xml:space="preserve">ë </w:t>
      </w:r>
      <w:proofErr w:type="spellStart"/>
      <w:r w:rsidRPr="00C97DF3">
        <w:rPr>
          <w:rFonts w:ascii="Arial Narrow" w:hAnsi="Arial Narrow"/>
          <w:color w:val="000000"/>
          <w:sz w:val="22"/>
          <w:szCs w:val="22"/>
          <w:lang w:val="en-GB" w:eastAsia="de-DE"/>
        </w:rPr>
        <w:t>dhe</w:t>
      </w:r>
      <w:proofErr w:type="spellEnd"/>
      <w:r w:rsidRPr="00FF7243">
        <w:rPr>
          <w:rFonts w:ascii="Arial Narrow" w:hAnsi="Arial Narrow"/>
          <w:color w:val="000000"/>
          <w:sz w:val="22"/>
          <w:szCs w:val="22"/>
          <w:lang w:val="bg-BG" w:eastAsia="de-DE"/>
        </w:rPr>
        <w:t xml:space="preserve"> </w:t>
      </w:r>
      <w:proofErr w:type="spellStart"/>
      <w:r w:rsidRPr="00C97DF3">
        <w:rPr>
          <w:rFonts w:ascii="Arial Narrow" w:hAnsi="Arial Narrow"/>
          <w:color w:val="000000"/>
          <w:sz w:val="22"/>
          <w:szCs w:val="22"/>
          <w:lang w:val="en-GB" w:eastAsia="de-DE"/>
        </w:rPr>
        <w:t>akumulator</w:t>
      </w:r>
      <w:proofErr w:type="spellEnd"/>
      <w:r w:rsidRPr="00FF7243">
        <w:rPr>
          <w:rFonts w:ascii="Arial Narrow" w:hAnsi="Arial Narrow"/>
          <w:color w:val="000000"/>
          <w:sz w:val="22"/>
          <w:szCs w:val="22"/>
          <w:lang w:val="bg-BG" w:eastAsia="de-DE"/>
        </w:rPr>
        <w:t>ë</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e</w:t>
      </w:r>
      <w:r w:rsidRPr="00FF7243">
        <w:rPr>
          <w:rFonts w:ascii="Arial Narrow" w:hAnsi="Arial Narrow"/>
          <w:color w:val="000000"/>
          <w:sz w:val="22"/>
          <w:szCs w:val="22"/>
          <w:lang w:val="bg-BG" w:eastAsia="de-DE"/>
        </w:rPr>
        <w:t xml:space="preserve"> </w:t>
      </w:r>
      <w:proofErr w:type="spellStart"/>
      <w:r w:rsidRPr="00C97DF3">
        <w:rPr>
          <w:rFonts w:ascii="Arial Narrow" w:hAnsi="Arial Narrow"/>
          <w:color w:val="000000"/>
          <w:sz w:val="22"/>
          <w:szCs w:val="22"/>
          <w:lang w:val="en-GB" w:eastAsia="de-DE"/>
        </w:rPr>
        <w:t>harxhuar</w:t>
      </w:r>
      <w:proofErr w:type="spellEnd"/>
      <w:r w:rsidRPr="00FF7243">
        <w:rPr>
          <w:rFonts w:ascii="Arial Narrow" w:hAnsi="Arial Narrow"/>
          <w:color w:val="000000"/>
          <w:sz w:val="22"/>
          <w:szCs w:val="22"/>
          <w:lang w:val="bg-BG" w:eastAsia="de-DE"/>
        </w:rPr>
        <w:t xml:space="preserve"> </w:t>
      </w:r>
      <w:proofErr w:type="spellStart"/>
      <w:r w:rsidRPr="00C97DF3">
        <w:rPr>
          <w:rFonts w:ascii="Arial Narrow" w:hAnsi="Arial Narrow"/>
          <w:color w:val="000000"/>
          <w:sz w:val="22"/>
          <w:szCs w:val="22"/>
          <w:lang w:val="en-GB" w:eastAsia="de-DE"/>
        </w:rPr>
        <w:t>dhe</w:t>
      </w:r>
      <w:proofErr w:type="spellEnd"/>
      <w:r w:rsidRPr="00FF7243">
        <w:rPr>
          <w:rFonts w:ascii="Arial Narrow" w:hAnsi="Arial Narrow"/>
          <w:color w:val="000000"/>
          <w:sz w:val="22"/>
          <w:szCs w:val="22"/>
          <w:lang w:val="bg-BG" w:eastAsia="de-DE"/>
        </w:rPr>
        <w:t xml:space="preserve"> </w:t>
      </w:r>
      <w:proofErr w:type="spellStart"/>
      <w:r w:rsidRPr="00C97DF3">
        <w:rPr>
          <w:rFonts w:ascii="Arial Narrow" w:hAnsi="Arial Narrow"/>
          <w:color w:val="000000"/>
          <w:sz w:val="22"/>
          <w:szCs w:val="22"/>
          <w:lang w:val="en-GB" w:eastAsia="de-DE"/>
        </w:rPr>
        <w:t>gomat</w:t>
      </w:r>
      <w:proofErr w:type="spellEnd"/>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e</w:t>
      </w:r>
      <w:r w:rsidRPr="00FF7243">
        <w:rPr>
          <w:rFonts w:ascii="Arial Narrow" w:hAnsi="Arial Narrow"/>
          <w:color w:val="000000"/>
          <w:sz w:val="22"/>
          <w:szCs w:val="22"/>
          <w:lang w:val="bg-BG" w:eastAsia="de-DE"/>
        </w:rPr>
        <w:t xml:space="preserve"> </w:t>
      </w:r>
      <w:proofErr w:type="spellStart"/>
      <w:r w:rsidR="00364281">
        <w:rPr>
          <w:rFonts w:ascii="Arial Narrow" w:hAnsi="Arial Narrow"/>
          <w:color w:val="000000"/>
          <w:sz w:val="22"/>
          <w:szCs w:val="22"/>
          <w:lang w:val="en-GB" w:eastAsia="de-DE"/>
        </w:rPr>
        <w:t>shpenzuara</w:t>
      </w:r>
      <w:proofErr w:type="spellEnd"/>
      <w:r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Amvis</w:t>
      </w:r>
      <w:r w:rsidR="00364281" w:rsidRPr="00FF7243">
        <w:rPr>
          <w:rFonts w:ascii="Arial Narrow" w:hAnsi="Arial Narrow"/>
          <w:color w:val="000000"/>
          <w:sz w:val="22"/>
          <w:szCs w:val="22"/>
          <w:lang w:val="bg-BG" w:eastAsia="de-DE"/>
        </w:rPr>
        <w:t>ë</w:t>
      </w:r>
      <w:proofErr w:type="spellStart"/>
      <w:r w:rsidR="00364281">
        <w:rPr>
          <w:rFonts w:ascii="Arial Narrow" w:hAnsi="Arial Narrow"/>
          <w:color w:val="000000"/>
          <w:sz w:val="22"/>
          <w:szCs w:val="22"/>
          <w:lang w:val="en-GB" w:eastAsia="de-DE"/>
        </w:rPr>
        <w:t>rit</w:t>
      </w:r>
      <w:proofErr w:type="spellEnd"/>
      <w:r w:rsidR="00364281" w:rsidRPr="00FF7243">
        <w:rPr>
          <w:rFonts w:ascii="Arial Narrow" w:hAnsi="Arial Narrow"/>
          <w:color w:val="000000"/>
          <w:sz w:val="22"/>
          <w:szCs w:val="22"/>
          <w:lang w:val="bg-BG" w:eastAsia="de-DE"/>
        </w:rPr>
        <w:t>ë</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do</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ë </w:t>
      </w:r>
      <w:proofErr w:type="spellStart"/>
      <w:r w:rsidRPr="00C97DF3">
        <w:rPr>
          <w:rFonts w:ascii="Arial Narrow" w:hAnsi="Arial Narrow"/>
          <w:color w:val="000000"/>
          <w:sz w:val="22"/>
          <w:szCs w:val="22"/>
          <w:lang w:val="en-GB" w:eastAsia="de-DE"/>
        </w:rPr>
        <w:t>lejohen</w:t>
      </w:r>
      <w:proofErr w:type="spellEnd"/>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ë </w:t>
      </w:r>
      <w:proofErr w:type="spellStart"/>
      <w:r w:rsidRPr="00C97DF3">
        <w:rPr>
          <w:rFonts w:ascii="Arial Narrow" w:hAnsi="Arial Narrow"/>
          <w:color w:val="000000"/>
          <w:sz w:val="22"/>
          <w:szCs w:val="22"/>
          <w:lang w:val="en-GB" w:eastAsia="de-DE"/>
        </w:rPr>
        <w:t>hedhin</w:t>
      </w:r>
      <w:proofErr w:type="spellEnd"/>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n</w:t>
      </w:r>
      <w:r w:rsidRPr="00FF7243">
        <w:rPr>
          <w:rFonts w:ascii="Arial Narrow" w:hAnsi="Arial Narrow"/>
          <w:color w:val="000000"/>
          <w:sz w:val="22"/>
          <w:szCs w:val="22"/>
          <w:lang w:val="bg-BG" w:eastAsia="de-DE"/>
        </w:rPr>
        <w:t xml:space="preserve">ë </w:t>
      </w:r>
      <w:proofErr w:type="spellStart"/>
      <w:r w:rsidR="00364281">
        <w:rPr>
          <w:rFonts w:ascii="Arial Narrow" w:hAnsi="Arial Narrow"/>
          <w:color w:val="000000"/>
          <w:sz w:val="22"/>
          <w:szCs w:val="22"/>
          <w:lang w:val="en-GB" w:eastAsia="de-DE"/>
        </w:rPr>
        <w:t>oborret</w:t>
      </w:r>
      <w:proofErr w:type="spellEnd"/>
      <w:r w:rsidR="00364281"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e</w:t>
      </w:r>
      <w:r w:rsidR="00364281" w:rsidRPr="00FF7243">
        <w:rPr>
          <w:rFonts w:ascii="Arial Narrow" w:hAnsi="Arial Narrow"/>
          <w:color w:val="000000"/>
          <w:sz w:val="22"/>
          <w:szCs w:val="22"/>
          <w:lang w:val="bg-BG" w:eastAsia="de-DE"/>
        </w:rPr>
        <w:t xml:space="preserve"> </w:t>
      </w:r>
      <w:proofErr w:type="spellStart"/>
      <w:r w:rsidR="00364281">
        <w:rPr>
          <w:rFonts w:ascii="Arial Narrow" w:hAnsi="Arial Narrow"/>
          <w:color w:val="000000"/>
          <w:sz w:val="22"/>
          <w:szCs w:val="22"/>
          <w:lang w:val="en-GB" w:eastAsia="de-DE"/>
        </w:rPr>
        <w:t>riciklimit</w:t>
      </w:r>
      <w:proofErr w:type="spellEnd"/>
      <w:r w:rsidRPr="00FF7243">
        <w:rPr>
          <w:rFonts w:ascii="Arial Narrow" w:hAnsi="Arial Narrow"/>
          <w:color w:val="000000"/>
          <w:sz w:val="22"/>
          <w:szCs w:val="22"/>
          <w:lang w:val="bg-BG" w:eastAsia="de-DE"/>
        </w:rPr>
        <w:t xml:space="preserve"> </w:t>
      </w:r>
      <w:proofErr w:type="spellStart"/>
      <w:r w:rsidRPr="00C97DF3">
        <w:rPr>
          <w:rFonts w:ascii="Arial Narrow" w:hAnsi="Arial Narrow"/>
          <w:color w:val="000000"/>
          <w:sz w:val="22"/>
          <w:szCs w:val="22"/>
          <w:lang w:val="en-GB" w:eastAsia="de-DE"/>
        </w:rPr>
        <w:t>fraksione</w:t>
      </w:r>
      <w:proofErr w:type="spellEnd"/>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ë </w:t>
      </w:r>
      <w:proofErr w:type="spellStart"/>
      <w:r w:rsidRPr="00C97DF3">
        <w:rPr>
          <w:rFonts w:ascii="Arial Narrow" w:hAnsi="Arial Narrow"/>
          <w:color w:val="000000"/>
          <w:sz w:val="22"/>
          <w:szCs w:val="22"/>
          <w:lang w:val="en-GB" w:eastAsia="de-DE"/>
        </w:rPr>
        <w:t>ndryshme</w:t>
      </w:r>
      <w:proofErr w:type="spellEnd"/>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ë </w:t>
      </w:r>
      <w:proofErr w:type="spellStart"/>
      <w:r w:rsidR="00364281">
        <w:rPr>
          <w:rFonts w:ascii="Arial Narrow" w:hAnsi="Arial Narrow"/>
          <w:color w:val="000000"/>
          <w:sz w:val="22"/>
          <w:szCs w:val="22"/>
          <w:lang w:val="en-GB" w:eastAsia="de-DE"/>
        </w:rPr>
        <w:t>grumbulluara</w:t>
      </w:r>
      <w:proofErr w:type="spellEnd"/>
      <w:r w:rsidR="00364281" w:rsidRPr="00FF7243">
        <w:rPr>
          <w:rFonts w:ascii="Arial Narrow" w:hAnsi="Arial Narrow"/>
          <w:color w:val="000000"/>
          <w:sz w:val="22"/>
          <w:szCs w:val="22"/>
          <w:lang w:val="bg-BG" w:eastAsia="de-DE"/>
        </w:rPr>
        <w:t xml:space="preserve"> </w:t>
      </w:r>
      <w:proofErr w:type="spellStart"/>
      <w:r w:rsidR="00364281">
        <w:rPr>
          <w:rFonts w:ascii="Arial Narrow" w:hAnsi="Arial Narrow"/>
          <w:color w:val="000000"/>
          <w:sz w:val="22"/>
          <w:szCs w:val="22"/>
          <w:lang w:val="en-GB" w:eastAsia="de-DE"/>
        </w:rPr>
        <w:t>ndaras</w:t>
      </w:r>
      <w:proofErr w:type="spellEnd"/>
      <w:r w:rsidRPr="00FF7243">
        <w:rPr>
          <w:rFonts w:ascii="Arial Narrow" w:hAnsi="Arial Narrow"/>
          <w:color w:val="000000"/>
          <w:sz w:val="22"/>
          <w:szCs w:val="22"/>
          <w:lang w:val="bg-BG" w:eastAsia="de-DE"/>
        </w:rPr>
        <w:t xml:space="preserve">, </w:t>
      </w:r>
      <w:proofErr w:type="spellStart"/>
      <w:r w:rsidRPr="00C97DF3">
        <w:rPr>
          <w:rFonts w:ascii="Arial Narrow" w:hAnsi="Arial Narrow"/>
          <w:color w:val="000000"/>
          <w:sz w:val="22"/>
          <w:szCs w:val="22"/>
          <w:lang w:val="en-GB" w:eastAsia="de-DE"/>
        </w:rPr>
        <w:t>si</w:t>
      </w:r>
      <w:proofErr w:type="spellEnd"/>
      <w:r w:rsidRPr="00FF7243">
        <w:rPr>
          <w:rFonts w:ascii="Arial Narrow" w:hAnsi="Arial Narrow"/>
          <w:color w:val="000000"/>
          <w:sz w:val="22"/>
          <w:szCs w:val="22"/>
          <w:lang w:val="bg-BG" w:eastAsia="de-DE"/>
        </w:rPr>
        <w:t xml:space="preserve"> </w:t>
      </w:r>
      <w:proofErr w:type="spellStart"/>
      <w:r w:rsidRPr="00C97DF3">
        <w:rPr>
          <w:rFonts w:ascii="Arial Narrow" w:hAnsi="Arial Narrow"/>
          <w:color w:val="000000"/>
          <w:sz w:val="22"/>
          <w:szCs w:val="22"/>
          <w:lang w:val="en-GB" w:eastAsia="de-DE"/>
        </w:rPr>
        <w:t>lloje</w:t>
      </w:r>
      <w:proofErr w:type="spellEnd"/>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ë </w:t>
      </w:r>
      <w:proofErr w:type="spellStart"/>
      <w:r w:rsidRPr="00C97DF3">
        <w:rPr>
          <w:rFonts w:ascii="Arial Narrow" w:hAnsi="Arial Narrow"/>
          <w:color w:val="000000"/>
          <w:sz w:val="22"/>
          <w:szCs w:val="22"/>
          <w:lang w:val="en-GB" w:eastAsia="de-DE"/>
        </w:rPr>
        <w:t>ndryshme</w:t>
      </w:r>
      <w:proofErr w:type="spellEnd"/>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ë </w:t>
      </w:r>
      <w:proofErr w:type="spellStart"/>
      <w:r w:rsidRPr="00C97DF3">
        <w:rPr>
          <w:rFonts w:ascii="Arial Narrow" w:hAnsi="Arial Narrow"/>
          <w:color w:val="000000"/>
          <w:sz w:val="22"/>
          <w:szCs w:val="22"/>
          <w:lang w:val="en-GB" w:eastAsia="de-DE"/>
        </w:rPr>
        <w:t>mbet</w:t>
      </w:r>
      <w:r w:rsidR="00364281">
        <w:rPr>
          <w:rFonts w:ascii="Arial Narrow" w:hAnsi="Arial Narrow"/>
          <w:color w:val="000000"/>
          <w:sz w:val="22"/>
          <w:szCs w:val="22"/>
          <w:lang w:val="en-GB" w:eastAsia="de-DE"/>
        </w:rPr>
        <w:t>urinave</w:t>
      </w:r>
      <w:proofErr w:type="spellEnd"/>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ë </w:t>
      </w:r>
      <w:proofErr w:type="spellStart"/>
      <w:r w:rsidRPr="00C97DF3">
        <w:rPr>
          <w:rFonts w:ascii="Arial Narrow" w:hAnsi="Arial Narrow"/>
          <w:color w:val="000000"/>
          <w:sz w:val="22"/>
          <w:szCs w:val="22"/>
          <w:lang w:val="en-GB" w:eastAsia="de-DE"/>
        </w:rPr>
        <w:t>riciklueshme</w:t>
      </w:r>
      <w:proofErr w:type="spellEnd"/>
      <w:r w:rsidRPr="00FF7243">
        <w:rPr>
          <w:rFonts w:ascii="Arial Narrow" w:hAnsi="Arial Narrow"/>
          <w:color w:val="000000"/>
          <w:sz w:val="22"/>
          <w:szCs w:val="22"/>
          <w:lang w:val="bg-BG" w:eastAsia="de-DE"/>
        </w:rPr>
        <w:t xml:space="preserve">, </w:t>
      </w:r>
      <w:proofErr w:type="spellStart"/>
      <w:r w:rsidRPr="00C97DF3">
        <w:rPr>
          <w:rFonts w:ascii="Arial Narrow" w:hAnsi="Arial Narrow"/>
          <w:color w:val="000000"/>
          <w:sz w:val="22"/>
          <w:szCs w:val="22"/>
          <w:lang w:val="en-GB" w:eastAsia="de-DE"/>
        </w:rPr>
        <w:t>mbet</w:t>
      </w:r>
      <w:r w:rsidR="00364281">
        <w:rPr>
          <w:rFonts w:ascii="Arial Narrow" w:hAnsi="Arial Narrow"/>
          <w:color w:val="000000"/>
          <w:sz w:val="22"/>
          <w:szCs w:val="22"/>
          <w:lang w:val="en-GB" w:eastAsia="de-DE"/>
        </w:rPr>
        <w:t>urina</w:t>
      </w:r>
      <w:proofErr w:type="spellEnd"/>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ë </w:t>
      </w:r>
      <w:proofErr w:type="spellStart"/>
      <w:r w:rsidRPr="00C97DF3">
        <w:rPr>
          <w:rFonts w:ascii="Arial Narrow" w:hAnsi="Arial Narrow"/>
          <w:color w:val="000000"/>
          <w:sz w:val="22"/>
          <w:szCs w:val="22"/>
          <w:lang w:val="en-GB" w:eastAsia="de-DE"/>
        </w:rPr>
        <w:t>gjelbra</w:t>
      </w:r>
      <w:proofErr w:type="spellEnd"/>
      <w:r w:rsidRPr="00FF7243">
        <w:rPr>
          <w:rFonts w:ascii="Arial Narrow" w:hAnsi="Arial Narrow"/>
          <w:color w:val="000000"/>
          <w:sz w:val="22"/>
          <w:szCs w:val="22"/>
          <w:lang w:val="bg-BG" w:eastAsia="de-DE"/>
        </w:rPr>
        <w:t xml:space="preserve">, </w:t>
      </w:r>
      <w:proofErr w:type="spellStart"/>
      <w:r w:rsidRPr="00C97DF3">
        <w:rPr>
          <w:rFonts w:ascii="Arial Narrow" w:hAnsi="Arial Narrow"/>
          <w:color w:val="000000"/>
          <w:sz w:val="22"/>
          <w:szCs w:val="22"/>
          <w:lang w:val="en-GB" w:eastAsia="de-DE"/>
        </w:rPr>
        <w:t>mbet</w:t>
      </w:r>
      <w:r w:rsidR="00364281">
        <w:rPr>
          <w:rFonts w:ascii="Arial Narrow" w:hAnsi="Arial Narrow"/>
          <w:color w:val="000000"/>
          <w:sz w:val="22"/>
          <w:szCs w:val="22"/>
          <w:lang w:val="en-GB" w:eastAsia="de-DE"/>
        </w:rPr>
        <w:t>urina</w:t>
      </w:r>
      <w:proofErr w:type="spellEnd"/>
      <w:r w:rsidR="00364281"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t</w:t>
      </w:r>
      <w:r w:rsidR="00364281" w:rsidRPr="00FF7243">
        <w:rPr>
          <w:rFonts w:ascii="Arial Narrow" w:hAnsi="Arial Narrow"/>
          <w:color w:val="000000"/>
          <w:sz w:val="22"/>
          <w:szCs w:val="22"/>
          <w:lang w:val="bg-BG" w:eastAsia="de-DE"/>
        </w:rPr>
        <w:t xml:space="preserve">ë </w:t>
      </w:r>
      <w:r w:rsidR="00364281">
        <w:rPr>
          <w:rFonts w:ascii="Arial Narrow" w:hAnsi="Arial Narrow"/>
          <w:color w:val="000000"/>
          <w:sz w:val="22"/>
          <w:szCs w:val="22"/>
          <w:lang w:val="en-GB" w:eastAsia="de-DE"/>
        </w:rPr>
        <w:t>v</w:t>
      </w:r>
      <w:r w:rsidR="00364281" w:rsidRPr="00FF7243">
        <w:rPr>
          <w:rFonts w:ascii="Arial Narrow" w:hAnsi="Arial Narrow"/>
          <w:color w:val="000000"/>
          <w:sz w:val="22"/>
          <w:szCs w:val="22"/>
          <w:lang w:val="bg-BG" w:eastAsia="de-DE"/>
        </w:rPr>
        <w:t>ë</w:t>
      </w:r>
      <w:proofErr w:type="spellStart"/>
      <w:r w:rsidR="00364281">
        <w:rPr>
          <w:rFonts w:ascii="Arial Narrow" w:hAnsi="Arial Narrow"/>
          <w:color w:val="000000"/>
          <w:sz w:val="22"/>
          <w:szCs w:val="22"/>
          <w:lang w:val="en-GB" w:eastAsia="de-DE"/>
        </w:rPr>
        <w:t>llimshme</w:t>
      </w:r>
      <w:proofErr w:type="spellEnd"/>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vajra</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ë </w:t>
      </w:r>
      <w:r w:rsidRPr="00C97DF3">
        <w:rPr>
          <w:rFonts w:ascii="Arial Narrow" w:hAnsi="Arial Narrow"/>
          <w:color w:val="000000"/>
          <w:sz w:val="22"/>
          <w:szCs w:val="22"/>
          <w:lang w:val="en-GB" w:eastAsia="de-DE"/>
        </w:rPr>
        <w:t>p</w:t>
      </w:r>
      <w:r w:rsidRPr="00FF7243">
        <w:rPr>
          <w:rFonts w:ascii="Arial Narrow" w:hAnsi="Arial Narrow"/>
          <w:color w:val="000000"/>
          <w:sz w:val="22"/>
          <w:szCs w:val="22"/>
          <w:lang w:val="bg-BG" w:eastAsia="de-DE"/>
        </w:rPr>
        <w:t>ë</w:t>
      </w:r>
      <w:proofErr w:type="spellStart"/>
      <w:r w:rsidRPr="00C97DF3">
        <w:rPr>
          <w:rFonts w:ascii="Arial Narrow" w:hAnsi="Arial Narrow"/>
          <w:color w:val="000000"/>
          <w:sz w:val="22"/>
          <w:szCs w:val="22"/>
          <w:lang w:val="en-GB" w:eastAsia="de-DE"/>
        </w:rPr>
        <w:t>rdorur</w:t>
      </w:r>
      <w:r w:rsidR="00364281">
        <w:rPr>
          <w:rFonts w:ascii="Arial Narrow" w:hAnsi="Arial Narrow"/>
          <w:color w:val="000000"/>
          <w:sz w:val="22"/>
          <w:szCs w:val="22"/>
          <w:lang w:val="en-GB" w:eastAsia="de-DE"/>
        </w:rPr>
        <w:t>a</w:t>
      </w:r>
      <w:proofErr w:type="spellEnd"/>
      <w:r w:rsidRPr="00FF7243">
        <w:rPr>
          <w:rFonts w:ascii="Arial Narrow" w:hAnsi="Arial Narrow"/>
          <w:color w:val="000000"/>
          <w:sz w:val="22"/>
          <w:szCs w:val="22"/>
          <w:lang w:val="bg-BG" w:eastAsia="de-DE"/>
        </w:rPr>
        <w:t xml:space="preserve">, </w:t>
      </w:r>
      <w:proofErr w:type="spellStart"/>
      <w:r w:rsidRPr="00C97DF3">
        <w:rPr>
          <w:rFonts w:ascii="Arial Narrow" w:hAnsi="Arial Narrow"/>
          <w:color w:val="000000"/>
          <w:sz w:val="22"/>
          <w:szCs w:val="22"/>
          <w:lang w:val="en-GB" w:eastAsia="de-DE"/>
        </w:rPr>
        <w:t>lloje</w:t>
      </w:r>
      <w:proofErr w:type="spellEnd"/>
      <w:r w:rsidRPr="00FF7243">
        <w:rPr>
          <w:rFonts w:ascii="Arial Narrow" w:hAnsi="Arial Narrow"/>
          <w:color w:val="000000"/>
          <w:sz w:val="22"/>
          <w:szCs w:val="22"/>
          <w:lang w:val="bg-BG" w:eastAsia="de-DE"/>
        </w:rPr>
        <w:t xml:space="preserve"> </w:t>
      </w:r>
      <w:proofErr w:type="spellStart"/>
      <w:r w:rsidRPr="00C97DF3">
        <w:rPr>
          <w:rFonts w:ascii="Arial Narrow" w:hAnsi="Arial Narrow"/>
          <w:color w:val="000000"/>
          <w:sz w:val="22"/>
          <w:szCs w:val="22"/>
          <w:lang w:val="en-GB" w:eastAsia="de-DE"/>
        </w:rPr>
        <w:t>specifike</w:t>
      </w:r>
      <w:proofErr w:type="spellEnd"/>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ë </w:t>
      </w:r>
      <w:proofErr w:type="spellStart"/>
      <w:r w:rsidRPr="00C97DF3">
        <w:rPr>
          <w:rFonts w:ascii="Arial Narrow" w:hAnsi="Arial Narrow"/>
          <w:color w:val="000000"/>
          <w:sz w:val="22"/>
          <w:szCs w:val="22"/>
          <w:lang w:val="en-GB" w:eastAsia="de-DE"/>
        </w:rPr>
        <w:t>mbet</w:t>
      </w:r>
      <w:r w:rsidR="00364281">
        <w:rPr>
          <w:rFonts w:ascii="Arial Narrow" w:hAnsi="Arial Narrow"/>
          <w:color w:val="000000"/>
          <w:sz w:val="22"/>
          <w:szCs w:val="22"/>
          <w:lang w:val="en-GB" w:eastAsia="de-DE"/>
        </w:rPr>
        <w:t>urinave</w:t>
      </w:r>
      <w:proofErr w:type="spellEnd"/>
      <w:r w:rsidR="00364281"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t</w:t>
      </w:r>
      <w:r w:rsidR="00364281" w:rsidRPr="00FF7243">
        <w:rPr>
          <w:rFonts w:ascii="Arial Narrow" w:hAnsi="Arial Narrow"/>
          <w:color w:val="000000"/>
          <w:sz w:val="22"/>
          <w:szCs w:val="22"/>
          <w:lang w:val="bg-BG" w:eastAsia="de-DE"/>
        </w:rPr>
        <w:t xml:space="preserve">ë </w:t>
      </w:r>
      <w:proofErr w:type="spellStart"/>
      <w:r w:rsidRPr="00C97DF3">
        <w:rPr>
          <w:rFonts w:ascii="Arial Narrow" w:hAnsi="Arial Narrow"/>
          <w:color w:val="000000"/>
          <w:sz w:val="22"/>
          <w:szCs w:val="22"/>
          <w:lang w:val="en-GB" w:eastAsia="de-DE"/>
        </w:rPr>
        <w:t>nd</w:t>
      </w:r>
      <w:proofErr w:type="spellEnd"/>
      <w:r w:rsidRPr="00FF7243">
        <w:rPr>
          <w:rFonts w:ascii="Arial Narrow" w:hAnsi="Arial Narrow"/>
          <w:color w:val="000000"/>
          <w:sz w:val="22"/>
          <w:szCs w:val="22"/>
          <w:lang w:val="bg-BG" w:eastAsia="de-DE"/>
        </w:rPr>
        <w:t>ë</w:t>
      </w:r>
      <w:proofErr w:type="spellStart"/>
      <w:r w:rsidRPr="00C97DF3">
        <w:rPr>
          <w:rFonts w:ascii="Arial Narrow" w:hAnsi="Arial Narrow"/>
          <w:color w:val="000000"/>
          <w:sz w:val="22"/>
          <w:szCs w:val="22"/>
          <w:lang w:val="en-GB" w:eastAsia="de-DE"/>
        </w:rPr>
        <w:t>rtimit</w:t>
      </w:r>
      <w:proofErr w:type="spellEnd"/>
      <w:r w:rsidRPr="00FF7243">
        <w:rPr>
          <w:rFonts w:ascii="Arial Narrow" w:hAnsi="Arial Narrow"/>
          <w:color w:val="000000"/>
          <w:sz w:val="22"/>
          <w:szCs w:val="22"/>
          <w:lang w:val="bg-BG" w:eastAsia="de-DE"/>
        </w:rPr>
        <w:t xml:space="preserve"> </w:t>
      </w:r>
      <w:proofErr w:type="spellStart"/>
      <w:r w:rsidRPr="00C97DF3">
        <w:rPr>
          <w:rFonts w:ascii="Arial Narrow" w:hAnsi="Arial Narrow"/>
          <w:color w:val="000000"/>
          <w:sz w:val="22"/>
          <w:szCs w:val="22"/>
          <w:lang w:val="en-GB" w:eastAsia="de-DE"/>
        </w:rPr>
        <w:t>dhe</w:t>
      </w:r>
      <w:proofErr w:type="spellEnd"/>
      <w:r w:rsidRPr="00FF7243">
        <w:rPr>
          <w:rFonts w:ascii="Arial Narrow" w:hAnsi="Arial Narrow"/>
          <w:color w:val="000000"/>
          <w:sz w:val="22"/>
          <w:szCs w:val="22"/>
          <w:lang w:val="bg-BG" w:eastAsia="de-DE"/>
        </w:rPr>
        <w:t xml:space="preserve"> </w:t>
      </w:r>
      <w:proofErr w:type="spellStart"/>
      <w:r w:rsidR="00364281">
        <w:rPr>
          <w:rFonts w:ascii="Arial Narrow" w:hAnsi="Arial Narrow"/>
          <w:color w:val="000000"/>
          <w:sz w:val="22"/>
          <w:szCs w:val="22"/>
          <w:lang w:val="en-GB" w:eastAsia="de-DE"/>
        </w:rPr>
        <w:t>rr</w:t>
      </w:r>
      <w:proofErr w:type="spellEnd"/>
      <w:r w:rsidR="00364281" w:rsidRPr="00FF7243">
        <w:rPr>
          <w:rFonts w:ascii="Arial Narrow" w:hAnsi="Arial Narrow"/>
          <w:color w:val="000000"/>
          <w:sz w:val="22"/>
          <w:szCs w:val="22"/>
          <w:lang w:val="bg-BG" w:eastAsia="de-DE"/>
        </w:rPr>
        <w:t>ë</w:t>
      </w:r>
      <w:proofErr w:type="spellStart"/>
      <w:r w:rsidR="00364281">
        <w:rPr>
          <w:rFonts w:ascii="Arial Narrow" w:hAnsi="Arial Narrow"/>
          <w:color w:val="000000"/>
          <w:sz w:val="22"/>
          <w:szCs w:val="22"/>
          <w:lang w:val="en-GB" w:eastAsia="de-DE"/>
        </w:rPr>
        <w:t>nimit</w:t>
      </w:r>
      <w:proofErr w:type="spellEnd"/>
      <w:r w:rsidRPr="00FF7243">
        <w:rPr>
          <w:rFonts w:ascii="Arial Narrow" w:hAnsi="Arial Narrow"/>
          <w:color w:val="000000"/>
          <w:sz w:val="22"/>
          <w:szCs w:val="22"/>
          <w:lang w:val="bg-BG" w:eastAsia="de-DE"/>
        </w:rPr>
        <w:t xml:space="preserve">. </w:t>
      </w:r>
      <w:proofErr w:type="spellStart"/>
      <w:r w:rsidR="00364281">
        <w:rPr>
          <w:rFonts w:ascii="Arial Narrow" w:hAnsi="Arial Narrow"/>
          <w:color w:val="000000"/>
          <w:sz w:val="22"/>
          <w:szCs w:val="22"/>
          <w:lang w:val="en-GB" w:eastAsia="de-DE"/>
        </w:rPr>
        <w:t>Oborret</w:t>
      </w:r>
      <w:proofErr w:type="spellEnd"/>
      <w:r w:rsidR="00364281" w:rsidRPr="00FF7243">
        <w:rPr>
          <w:rFonts w:ascii="Arial Narrow" w:hAnsi="Arial Narrow"/>
          <w:color w:val="000000"/>
          <w:sz w:val="22"/>
          <w:szCs w:val="22"/>
          <w:lang w:val="bg-BG" w:eastAsia="de-DE"/>
        </w:rPr>
        <w:t xml:space="preserve"> </w:t>
      </w:r>
      <w:r w:rsidR="00364281">
        <w:rPr>
          <w:rFonts w:ascii="Arial Narrow" w:hAnsi="Arial Narrow"/>
          <w:color w:val="000000"/>
          <w:sz w:val="22"/>
          <w:szCs w:val="22"/>
          <w:lang w:val="en-GB" w:eastAsia="de-DE"/>
        </w:rPr>
        <w:t>e</w:t>
      </w:r>
      <w:r w:rsidR="00364281" w:rsidRPr="00FF7243">
        <w:rPr>
          <w:rFonts w:ascii="Arial Narrow" w:hAnsi="Arial Narrow"/>
          <w:color w:val="000000"/>
          <w:sz w:val="22"/>
          <w:szCs w:val="22"/>
          <w:lang w:val="bg-BG" w:eastAsia="de-DE"/>
        </w:rPr>
        <w:t xml:space="preserve"> </w:t>
      </w:r>
      <w:proofErr w:type="spellStart"/>
      <w:r w:rsidR="00364281">
        <w:rPr>
          <w:rFonts w:ascii="Arial Narrow" w:hAnsi="Arial Narrow"/>
          <w:color w:val="000000"/>
          <w:sz w:val="22"/>
          <w:szCs w:val="22"/>
          <w:lang w:val="en-GB" w:eastAsia="de-DE"/>
        </w:rPr>
        <w:t>riciklimit</w:t>
      </w:r>
      <w:proofErr w:type="spellEnd"/>
      <w:r w:rsidR="00364281"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do</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ë </w:t>
      </w:r>
      <w:proofErr w:type="spellStart"/>
      <w:r w:rsidRPr="00C97DF3">
        <w:rPr>
          <w:rFonts w:ascii="Arial Narrow" w:hAnsi="Arial Narrow"/>
          <w:color w:val="000000"/>
          <w:sz w:val="22"/>
          <w:szCs w:val="22"/>
          <w:lang w:val="en-GB" w:eastAsia="de-DE"/>
        </w:rPr>
        <w:t>jen</w:t>
      </w:r>
      <w:proofErr w:type="spellEnd"/>
      <w:r w:rsidRPr="00FF7243">
        <w:rPr>
          <w:rFonts w:ascii="Arial Narrow" w:hAnsi="Arial Narrow"/>
          <w:color w:val="000000"/>
          <w:sz w:val="22"/>
          <w:szCs w:val="22"/>
          <w:lang w:val="bg-BG" w:eastAsia="de-DE"/>
        </w:rPr>
        <w:t xml:space="preserve">ë </w:t>
      </w:r>
      <w:r w:rsidRPr="00C97DF3">
        <w:rPr>
          <w:rFonts w:ascii="Arial Narrow" w:hAnsi="Arial Narrow"/>
          <w:color w:val="000000"/>
          <w:sz w:val="22"/>
          <w:szCs w:val="22"/>
          <w:lang w:val="en-GB" w:eastAsia="de-DE"/>
        </w:rPr>
        <w:t>gjithashtu</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ë </w:t>
      </w:r>
      <w:proofErr w:type="spellStart"/>
      <w:r w:rsidRPr="00C97DF3">
        <w:rPr>
          <w:rFonts w:ascii="Arial Narrow" w:hAnsi="Arial Narrow"/>
          <w:color w:val="000000"/>
          <w:sz w:val="22"/>
          <w:szCs w:val="22"/>
          <w:lang w:val="en-GB" w:eastAsia="de-DE"/>
        </w:rPr>
        <w:t>pajisura</w:t>
      </w:r>
      <w:proofErr w:type="spellEnd"/>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p</w:t>
      </w:r>
      <w:r w:rsidRPr="00FF7243">
        <w:rPr>
          <w:rFonts w:ascii="Arial Narrow" w:hAnsi="Arial Narrow"/>
          <w:color w:val="000000"/>
          <w:sz w:val="22"/>
          <w:szCs w:val="22"/>
          <w:lang w:val="bg-BG" w:eastAsia="de-DE"/>
        </w:rPr>
        <w:t>ë</w:t>
      </w:r>
      <w:r w:rsidRPr="00C97DF3">
        <w:rPr>
          <w:rFonts w:ascii="Arial Narrow" w:hAnsi="Arial Narrow"/>
          <w:color w:val="000000"/>
          <w:sz w:val="22"/>
          <w:szCs w:val="22"/>
          <w:lang w:val="en-GB" w:eastAsia="de-DE"/>
        </w:rPr>
        <w:t>r</w:t>
      </w:r>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t</w:t>
      </w:r>
      <w:r w:rsidRPr="00FF7243">
        <w:rPr>
          <w:rFonts w:ascii="Arial Narrow" w:hAnsi="Arial Narrow"/>
          <w:color w:val="000000"/>
          <w:sz w:val="22"/>
          <w:szCs w:val="22"/>
          <w:lang w:val="bg-BG" w:eastAsia="de-DE"/>
        </w:rPr>
        <w:t xml:space="preserve">ë </w:t>
      </w:r>
      <w:proofErr w:type="spellStart"/>
      <w:r w:rsidRPr="00C97DF3">
        <w:rPr>
          <w:rFonts w:ascii="Arial Narrow" w:hAnsi="Arial Narrow"/>
          <w:color w:val="000000"/>
          <w:sz w:val="22"/>
          <w:szCs w:val="22"/>
          <w:lang w:val="en-GB" w:eastAsia="de-DE"/>
        </w:rPr>
        <w:t>mbledhur</w:t>
      </w:r>
      <w:proofErr w:type="spellEnd"/>
      <w:r w:rsidRPr="00FF7243">
        <w:rPr>
          <w:rFonts w:ascii="Arial Narrow" w:hAnsi="Arial Narrow"/>
          <w:color w:val="000000"/>
          <w:sz w:val="22"/>
          <w:szCs w:val="22"/>
          <w:lang w:val="bg-BG" w:eastAsia="de-DE"/>
        </w:rPr>
        <w:t xml:space="preserve"> </w:t>
      </w:r>
      <w:proofErr w:type="spellStart"/>
      <w:r w:rsidRPr="00C97DF3">
        <w:rPr>
          <w:rFonts w:ascii="Arial Narrow" w:hAnsi="Arial Narrow"/>
          <w:color w:val="000000"/>
          <w:sz w:val="22"/>
          <w:szCs w:val="22"/>
          <w:lang w:val="en-GB" w:eastAsia="de-DE"/>
        </w:rPr>
        <w:t>mbet</w:t>
      </w:r>
      <w:r w:rsidR="00BA2830">
        <w:rPr>
          <w:rFonts w:ascii="Arial Narrow" w:hAnsi="Arial Narrow"/>
          <w:color w:val="000000"/>
          <w:sz w:val="22"/>
          <w:szCs w:val="22"/>
          <w:lang w:val="en-GB" w:eastAsia="de-DE"/>
        </w:rPr>
        <w:t>urnat</w:t>
      </w:r>
      <w:proofErr w:type="spellEnd"/>
      <w:r w:rsidRPr="00FF7243">
        <w:rPr>
          <w:rFonts w:ascii="Arial Narrow" w:hAnsi="Arial Narrow"/>
          <w:color w:val="000000"/>
          <w:sz w:val="22"/>
          <w:szCs w:val="22"/>
          <w:lang w:val="bg-BG" w:eastAsia="de-DE"/>
        </w:rPr>
        <w:t xml:space="preserve"> </w:t>
      </w:r>
      <w:r w:rsidRPr="00C97DF3">
        <w:rPr>
          <w:rFonts w:ascii="Arial Narrow" w:hAnsi="Arial Narrow"/>
          <w:color w:val="000000"/>
          <w:sz w:val="22"/>
          <w:szCs w:val="22"/>
          <w:lang w:val="en-GB" w:eastAsia="de-DE"/>
        </w:rPr>
        <w:t>e</w:t>
      </w:r>
      <w:r w:rsidRPr="00FF7243">
        <w:rPr>
          <w:rFonts w:ascii="Arial Narrow" w:hAnsi="Arial Narrow"/>
          <w:color w:val="000000"/>
          <w:sz w:val="22"/>
          <w:szCs w:val="22"/>
          <w:lang w:val="bg-BG" w:eastAsia="de-DE"/>
        </w:rPr>
        <w:t xml:space="preserve"> </w:t>
      </w:r>
      <w:proofErr w:type="spellStart"/>
      <w:r w:rsidRPr="00C97DF3">
        <w:rPr>
          <w:rFonts w:ascii="Arial Narrow" w:hAnsi="Arial Narrow"/>
          <w:color w:val="000000"/>
          <w:sz w:val="22"/>
          <w:szCs w:val="22"/>
          <w:lang w:val="en-GB" w:eastAsia="de-DE"/>
        </w:rPr>
        <w:t>rrezikshme</w:t>
      </w:r>
      <w:proofErr w:type="spellEnd"/>
      <w:r w:rsidRPr="00FF7243">
        <w:rPr>
          <w:rFonts w:ascii="Arial Narrow" w:hAnsi="Arial Narrow"/>
          <w:color w:val="000000"/>
          <w:sz w:val="22"/>
          <w:szCs w:val="22"/>
          <w:lang w:val="bg-BG" w:eastAsia="de-DE"/>
        </w:rPr>
        <w:t xml:space="preserve"> </w:t>
      </w:r>
      <w:proofErr w:type="spellStart"/>
      <w:r w:rsidRPr="00C97DF3">
        <w:rPr>
          <w:rFonts w:ascii="Arial Narrow" w:hAnsi="Arial Narrow"/>
          <w:color w:val="000000"/>
          <w:sz w:val="22"/>
          <w:szCs w:val="22"/>
          <w:lang w:val="en-GB" w:eastAsia="de-DE"/>
        </w:rPr>
        <w:t>sht</w:t>
      </w:r>
      <w:proofErr w:type="spellEnd"/>
      <w:r w:rsidRPr="00FF7243">
        <w:rPr>
          <w:rFonts w:ascii="Arial Narrow" w:hAnsi="Arial Narrow"/>
          <w:color w:val="000000"/>
          <w:sz w:val="22"/>
          <w:szCs w:val="22"/>
          <w:lang w:val="bg-BG" w:eastAsia="de-DE"/>
        </w:rPr>
        <w:t>ë</w:t>
      </w:r>
      <w:proofErr w:type="spellStart"/>
      <w:r w:rsidRPr="00C97DF3">
        <w:rPr>
          <w:rFonts w:ascii="Arial Narrow" w:hAnsi="Arial Narrow"/>
          <w:color w:val="000000"/>
          <w:sz w:val="22"/>
          <w:szCs w:val="22"/>
          <w:lang w:val="en-GB" w:eastAsia="de-DE"/>
        </w:rPr>
        <w:t>piake</w:t>
      </w:r>
      <w:proofErr w:type="spellEnd"/>
      <w:r w:rsidRPr="00FF7243">
        <w:rPr>
          <w:rFonts w:ascii="Arial Narrow" w:hAnsi="Arial Narrow"/>
          <w:color w:val="000000"/>
          <w:sz w:val="22"/>
          <w:szCs w:val="22"/>
          <w:lang w:val="bg-BG" w:eastAsia="de-DE"/>
        </w:rPr>
        <w:t>.</w:t>
      </w:r>
    </w:p>
    <w:p w14:paraId="1DCA221F" w14:textId="77777777" w:rsidR="00C97DF3" w:rsidRPr="00C97DF3" w:rsidRDefault="00C97DF3" w:rsidP="00C97DF3">
      <w:pPr>
        <w:jc w:val="both"/>
        <w:rPr>
          <w:rFonts w:ascii="Arial Narrow" w:eastAsia="Calibri" w:hAnsi="Arial Narrow"/>
          <w:sz w:val="22"/>
          <w:szCs w:val="22"/>
        </w:rPr>
      </w:pPr>
    </w:p>
    <w:p w14:paraId="6E8BB2CF" w14:textId="782CE347" w:rsidR="00C97DF3" w:rsidRPr="00C97DF3" w:rsidRDefault="00C97DF3" w:rsidP="00C97DF3">
      <w:pPr>
        <w:jc w:val="both"/>
        <w:rPr>
          <w:rFonts w:ascii="Arial Narrow" w:eastAsia="Calibri" w:hAnsi="Arial Narrow"/>
          <w:sz w:val="22"/>
          <w:szCs w:val="22"/>
        </w:rPr>
      </w:pPr>
      <w:r w:rsidRPr="00C97DF3">
        <w:rPr>
          <w:rFonts w:ascii="Arial Narrow" w:eastAsia="Calibri" w:hAnsi="Arial Narrow"/>
          <w:sz w:val="22"/>
          <w:szCs w:val="22"/>
        </w:rPr>
        <w:t xml:space="preserve">Çdo </w:t>
      </w:r>
      <w:r w:rsidR="00BA2830">
        <w:rPr>
          <w:rFonts w:ascii="Arial Narrow" w:eastAsia="Calibri" w:hAnsi="Arial Narrow"/>
          <w:sz w:val="22"/>
          <w:szCs w:val="22"/>
        </w:rPr>
        <w:t>komunë</w:t>
      </w:r>
      <w:r w:rsidRPr="00C97DF3">
        <w:rPr>
          <w:rFonts w:ascii="Arial Narrow" w:eastAsia="Calibri" w:hAnsi="Arial Narrow"/>
          <w:sz w:val="22"/>
          <w:szCs w:val="22"/>
        </w:rPr>
        <w:t xml:space="preserve"> do të jetë përgjegjëse për rritjen e ndërgjegjësimit të banorëve të saj në lidhje me kërkesat dhe detyrimet e menaxhimit të mbet</w:t>
      </w:r>
      <w:r w:rsidR="00BA2830">
        <w:rPr>
          <w:rFonts w:ascii="Arial Narrow" w:eastAsia="Calibri" w:hAnsi="Arial Narrow"/>
          <w:sz w:val="22"/>
          <w:szCs w:val="22"/>
        </w:rPr>
        <w:t>urinave</w:t>
      </w:r>
      <w:r w:rsidRPr="00C97DF3">
        <w:rPr>
          <w:rFonts w:ascii="Arial Narrow" w:eastAsia="Calibri" w:hAnsi="Arial Narrow"/>
          <w:sz w:val="22"/>
          <w:szCs w:val="22"/>
        </w:rPr>
        <w:t xml:space="preserve"> dhe për rritjen e pjesëmarrjes së publikut në programet e ardhshme të </w:t>
      </w:r>
      <w:r w:rsidR="00BA2830">
        <w:rPr>
          <w:rFonts w:ascii="Arial Narrow" w:eastAsia="Calibri" w:hAnsi="Arial Narrow"/>
          <w:sz w:val="22"/>
          <w:szCs w:val="22"/>
        </w:rPr>
        <w:t>grumbullimit ndaras</w:t>
      </w:r>
      <w:r w:rsidRPr="00C97DF3">
        <w:rPr>
          <w:rFonts w:ascii="Arial Narrow" w:eastAsia="Calibri" w:hAnsi="Arial Narrow"/>
          <w:sz w:val="22"/>
          <w:szCs w:val="22"/>
        </w:rPr>
        <w:t xml:space="preserve"> dhe </w:t>
      </w:r>
      <w:r w:rsidR="00BA2830">
        <w:rPr>
          <w:rFonts w:ascii="Arial Narrow" w:eastAsia="Calibri" w:hAnsi="Arial Narrow"/>
          <w:sz w:val="22"/>
          <w:szCs w:val="22"/>
        </w:rPr>
        <w:t xml:space="preserve">të </w:t>
      </w:r>
      <w:r w:rsidRPr="00C97DF3">
        <w:rPr>
          <w:rFonts w:ascii="Arial Narrow" w:eastAsia="Calibri" w:hAnsi="Arial Narrow"/>
          <w:sz w:val="22"/>
          <w:szCs w:val="22"/>
        </w:rPr>
        <w:t>kompostimit shtëpi</w:t>
      </w:r>
      <w:r w:rsidR="00BA2830">
        <w:rPr>
          <w:rFonts w:ascii="Arial Narrow" w:eastAsia="Calibri" w:hAnsi="Arial Narrow"/>
          <w:sz w:val="22"/>
          <w:szCs w:val="22"/>
        </w:rPr>
        <w:t>ak</w:t>
      </w:r>
      <w:r w:rsidRPr="00C97DF3">
        <w:rPr>
          <w:rFonts w:ascii="Arial Narrow" w:eastAsia="Calibri" w:hAnsi="Arial Narrow"/>
          <w:sz w:val="22"/>
          <w:szCs w:val="22"/>
        </w:rPr>
        <w:t>.</w:t>
      </w:r>
    </w:p>
    <w:p w14:paraId="0057AE35" w14:textId="77777777" w:rsidR="00C97DF3" w:rsidRPr="00C97DF3" w:rsidRDefault="00C97DF3" w:rsidP="00C97DF3">
      <w:pPr>
        <w:jc w:val="both"/>
        <w:rPr>
          <w:rFonts w:ascii="Arial Narrow" w:eastAsia="Calibri" w:hAnsi="Arial Narrow"/>
          <w:sz w:val="22"/>
          <w:szCs w:val="22"/>
        </w:rPr>
      </w:pPr>
    </w:p>
    <w:p w14:paraId="3EC2D63C" w14:textId="77777777" w:rsidR="00C97DF3" w:rsidRPr="00C97DF3" w:rsidRDefault="00C97DF3" w:rsidP="00C97DF3">
      <w:pPr>
        <w:jc w:val="both"/>
        <w:rPr>
          <w:rFonts w:ascii="Arial Narrow" w:eastAsia="Calibri" w:hAnsi="Arial Narrow"/>
          <w:b/>
          <w:bCs/>
          <w:sz w:val="22"/>
          <w:szCs w:val="22"/>
        </w:rPr>
      </w:pPr>
      <w:r w:rsidRPr="00C97DF3">
        <w:rPr>
          <w:rFonts w:ascii="Arial Narrow" w:eastAsia="Calibri" w:hAnsi="Arial Narrow"/>
          <w:b/>
          <w:bCs/>
          <w:sz w:val="22"/>
          <w:szCs w:val="22"/>
        </w:rPr>
        <w:t>Kostot dhe financimi i menaxhimit të mbeturinave</w:t>
      </w:r>
    </w:p>
    <w:p w14:paraId="53A1915E" w14:textId="77777777" w:rsidR="00C97DF3" w:rsidRPr="00C97DF3" w:rsidRDefault="00C97DF3" w:rsidP="00C97DF3">
      <w:pPr>
        <w:jc w:val="both"/>
        <w:rPr>
          <w:rFonts w:ascii="Arial Narrow" w:eastAsia="Calibri" w:hAnsi="Arial Narrow"/>
          <w:sz w:val="22"/>
          <w:szCs w:val="22"/>
        </w:rPr>
      </w:pPr>
      <w:r w:rsidRPr="00C97DF3">
        <w:rPr>
          <w:rFonts w:ascii="Arial Narrow" w:eastAsia="Calibri" w:hAnsi="Arial Narrow"/>
          <w:sz w:val="22"/>
          <w:szCs w:val="22"/>
        </w:rPr>
        <w:t>Kostot e investimit gjatë periudhës së planifikimit vlerësohen në 54.6 milionë €, duke përfshirë kostot për zëvendësimin e aseteve.</w:t>
      </w:r>
    </w:p>
    <w:p w14:paraId="785295A4" w14:textId="77777777" w:rsidR="00C97DF3" w:rsidRPr="00C97DF3" w:rsidRDefault="00C97DF3" w:rsidP="00C97DF3">
      <w:pPr>
        <w:jc w:val="both"/>
        <w:rPr>
          <w:rFonts w:ascii="Arial Narrow" w:eastAsia="Calibri" w:hAnsi="Arial Narrow"/>
          <w:sz w:val="22"/>
          <w:szCs w:val="22"/>
        </w:rPr>
      </w:pPr>
    </w:p>
    <w:p w14:paraId="1343B442" w14:textId="5D4D02D9" w:rsidR="00C97DF3" w:rsidRPr="00C97DF3" w:rsidRDefault="00237100" w:rsidP="00C97DF3">
      <w:pPr>
        <w:jc w:val="center"/>
        <w:rPr>
          <w:rFonts w:ascii="Arial Narrow" w:eastAsia="Calibri" w:hAnsi="Arial Narrow"/>
          <w:sz w:val="22"/>
          <w:szCs w:val="22"/>
        </w:rPr>
      </w:pPr>
      <w:r>
        <w:rPr>
          <w:noProof/>
        </w:rPr>
        <w:lastRenderedPageBreak/>
        <w:drawing>
          <wp:inline distT="0" distB="0" distL="0" distR="0" wp14:anchorId="6E733870" wp14:editId="67A866FF">
            <wp:extent cx="5223510" cy="2865755"/>
            <wp:effectExtent l="0" t="0" r="15240" b="10795"/>
            <wp:docPr id="1716625499" name="Chart 1">
              <a:extLst xmlns:a="http://schemas.openxmlformats.org/drawingml/2006/main">
                <a:ext uri="{FF2B5EF4-FFF2-40B4-BE49-F238E27FC236}">
                  <a16:creationId xmlns:a16="http://schemas.microsoft.com/office/drawing/2014/main" id="{A54B7892-7707-0A26-C258-328500AB41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7670F3C" w14:textId="77777777" w:rsidR="00C97DF3" w:rsidRPr="00C97DF3" w:rsidRDefault="00C97DF3" w:rsidP="00C97DF3">
      <w:pPr>
        <w:jc w:val="center"/>
        <w:rPr>
          <w:rFonts w:ascii="Arial Narrow" w:eastAsia="Calibri" w:hAnsi="Arial Narrow"/>
          <w:sz w:val="16"/>
          <w:szCs w:val="16"/>
        </w:rPr>
      </w:pPr>
    </w:p>
    <w:p w14:paraId="0B161C27" w14:textId="75CCCC5E" w:rsidR="00C97DF3" w:rsidRDefault="00C97DF3" w:rsidP="00FD71F8">
      <w:pPr>
        <w:pStyle w:val="Figure"/>
        <w:spacing w:before="0" w:after="0"/>
        <w:ind w:left="1411" w:hanging="1411"/>
        <w:rPr>
          <w:rFonts w:eastAsia="Calibri" w:cs="Calibri"/>
          <w:color w:val="1F497D"/>
          <w:sz w:val="22"/>
          <w:szCs w:val="22"/>
          <w:lang w:val="sq-AL"/>
        </w:rPr>
      </w:pPr>
      <w:bookmarkStart w:id="9" w:name="_Toc197472307"/>
      <w:r w:rsidRPr="00C97DF3">
        <w:rPr>
          <w:rFonts w:eastAsia="Calibri" w:cs="Calibri"/>
          <w:sz w:val="20"/>
          <w:szCs w:val="20"/>
        </w:rPr>
        <w:t xml:space="preserve">Figura </w:t>
      </w:r>
      <w:r w:rsidRPr="00C97DF3">
        <w:rPr>
          <w:rFonts w:eastAsia="Calibri" w:cs="Calibri"/>
          <w:sz w:val="20"/>
          <w:szCs w:val="20"/>
        </w:rPr>
        <w:fldChar w:fldCharType="begin"/>
      </w:r>
      <w:r w:rsidRPr="00C97DF3">
        <w:rPr>
          <w:rFonts w:eastAsia="Calibri" w:cs="Calibri"/>
          <w:sz w:val="20"/>
          <w:szCs w:val="20"/>
        </w:rPr>
        <w:instrText xml:space="preserve"> SEQ Figure \* ARABIC </w:instrText>
      </w:r>
      <w:r w:rsidRPr="00C97DF3">
        <w:rPr>
          <w:rFonts w:eastAsia="Calibri" w:cs="Calibri"/>
          <w:sz w:val="20"/>
          <w:szCs w:val="20"/>
        </w:rPr>
        <w:fldChar w:fldCharType="separate"/>
      </w:r>
      <w:r>
        <w:rPr>
          <w:rFonts w:eastAsia="Calibri" w:cs="Calibri"/>
          <w:noProof/>
          <w:sz w:val="20"/>
          <w:szCs w:val="20"/>
        </w:rPr>
        <w:t xml:space="preserve">4. </w:t>
      </w:r>
      <w:r w:rsidRPr="00C97DF3">
        <w:rPr>
          <w:rFonts w:eastAsia="Calibri" w:cs="Calibri"/>
          <w:sz w:val="20"/>
          <w:szCs w:val="20"/>
        </w:rPr>
        <w:fldChar w:fldCharType="end"/>
      </w:r>
      <w:r w:rsidR="00FD71F8" w:rsidRPr="00FD71F8">
        <w:rPr>
          <w:rFonts w:eastAsia="Calibri" w:cs="Calibri"/>
          <w:color w:val="1F497D"/>
          <w:sz w:val="22"/>
          <w:szCs w:val="22"/>
          <w:lang w:val="sq-AL"/>
        </w:rPr>
        <w:t xml:space="preserve"> </w:t>
      </w:r>
      <w:r w:rsidR="00FD71F8" w:rsidRPr="00BE2534">
        <w:rPr>
          <w:rFonts w:eastAsia="Calibri" w:cs="Calibri"/>
          <w:color w:val="1F497D"/>
          <w:sz w:val="22"/>
          <w:szCs w:val="22"/>
          <w:lang w:val="sq-AL"/>
        </w:rPr>
        <w:t>Kostot e investimit për operacionalizimi</w:t>
      </w:r>
      <w:r w:rsidR="00FD71F8">
        <w:rPr>
          <w:rFonts w:eastAsia="Calibri" w:cs="Calibri"/>
          <w:color w:val="1F497D"/>
          <w:sz w:val="22"/>
          <w:szCs w:val="22"/>
          <w:lang w:val="sq-AL"/>
        </w:rPr>
        <w:t>n</w:t>
      </w:r>
      <w:r w:rsidR="00FD71F8" w:rsidRPr="00BE2534">
        <w:rPr>
          <w:rFonts w:eastAsia="Calibri" w:cs="Calibri"/>
          <w:color w:val="1F497D"/>
          <w:sz w:val="22"/>
          <w:szCs w:val="22"/>
          <w:lang w:val="sq-AL"/>
        </w:rPr>
        <w:t xml:space="preserve"> e menaxhimit të mbeturinave</w:t>
      </w:r>
      <w:bookmarkEnd w:id="9"/>
    </w:p>
    <w:p w14:paraId="2D3DF275" w14:textId="77777777" w:rsidR="00FD71F8" w:rsidRDefault="00FD71F8" w:rsidP="00FD71F8">
      <w:pPr>
        <w:pStyle w:val="Figure"/>
        <w:spacing w:before="0" w:after="0"/>
        <w:ind w:left="1411" w:hanging="1411"/>
        <w:rPr>
          <w:rFonts w:eastAsia="Calibri"/>
          <w:sz w:val="22"/>
          <w:szCs w:val="22"/>
        </w:rPr>
      </w:pPr>
    </w:p>
    <w:p w14:paraId="5C3F8E64" w14:textId="77777777" w:rsidR="00FD71F8" w:rsidRPr="00BE2534" w:rsidRDefault="00FD71F8" w:rsidP="00FD71F8">
      <w:pPr>
        <w:rPr>
          <w:rFonts w:ascii="Arial Narrow" w:hAnsi="Arial Narrow"/>
          <w:sz w:val="22"/>
          <w:szCs w:val="22"/>
          <w:lang w:val="sq-AL"/>
        </w:rPr>
      </w:pPr>
      <w:r w:rsidRPr="00BE2534">
        <w:rPr>
          <w:rFonts w:ascii="Arial Narrow" w:hAnsi="Arial Narrow"/>
          <w:sz w:val="22"/>
          <w:szCs w:val="22"/>
          <w:lang w:val="sq-AL"/>
        </w:rPr>
        <w:t xml:space="preserve">Kostot vjetore të operacionale pritet të rriten me ndërtimin e deponisë së re dhe me filimin e grumbullimit </w:t>
      </w:r>
      <w:r>
        <w:rPr>
          <w:rFonts w:ascii="Arial Narrow" w:hAnsi="Arial Narrow"/>
          <w:sz w:val="22"/>
          <w:szCs w:val="22"/>
          <w:lang w:val="sq-AL"/>
        </w:rPr>
        <w:t>ndaras</w:t>
      </w:r>
      <w:r w:rsidRPr="00BE2534">
        <w:rPr>
          <w:rFonts w:ascii="Arial Narrow" w:hAnsi="Arial Narrow"/>
          <w:sz w:val="22"/>
          <w:szCs w:val="22"/>
          <w:lang w:val="sq-AL"/>
        </w:rPr>
        <w:t xml:space="preserve"> të mbeturinave të riciklueshme dhe kompostimit të mbeturinave të gjelbra, nga 5.3 milionë </w:t>
      </w:r>
      <w:r w:rsidRPr="00BE2534">
        <w:rPr>
          <w:rFonts w:ascii="Arial Narrow" w:hAnsi="Arial Narrow" w:cs="Calibri"/>
          <w:sz w:val="22"/>
          <w:szCs w:val="22"/>
          <w:lang w:val="sq-AL"/>
        </w:rPr>
        <w:t xml:space="preserve">€ </w:t>
      </w:r>
      <w:r w:rsidRPr="00BE2534">
        <w:rPr>
          <w:rFonts w:ascii="Arial Narrow" w:hAnsi="Arial Narrow"/>
          <w:sz w:val="22"/>
          <w:szCs w:val="22"/>
          <w:lang w:val="sq-AL"/>
        </w:rPr>
        <w:t xml:space="preserve">në 2026 në 7.8 milionë </w:t>
      </w:r>
      <w:r w:rsidRPr="00BE2534">
        <w:rPr>
          <w:rFonts w:ascii="Arial Narrow" w:hAnsi="Arial Narrow" w:cs="Calibri"/>
          <w:sz w:val="22"/>
          <w:szCs w:val="22"/>
          <w:lang w:val="sq-AL"/>
        </w:rPr>
        <w:t xml:space="preserve">€ </w:t>
      </w:r>
      <w:r w:rsidRPr="00BE2534">
        <w:rPr>
          <w:rFonts w:ascii="Arial Narrow" w:hAnsi="Arial Narrow"/>
          <w:sz w:val="22"/>
          <w:szCs w:val="22"/>
          <w:lang w:val="sq-AL"/>
        </w:rPr>
        <w:t xml:space="preserve">në 2031 kur priten të funksionalizohen impianti TMB si dhe grumbullimi </w:t>
      </w:r>
      <w:r>
        <w:rPr>
          <w:rFonts w:ascii="Arial Narrow" w:hAnsi="Arial Narrow"/>
          <w:sz w:val="22"/>
          <w:szCs w:val="22"/>
          <w:lang w:val="sq-AL"/>
        </w:rPr>
        <w:t>ndaras</w:t>
      </w:r>
      <w:r w:rsidRPr="00BE2534">
        <w:rPr>
          <w:rFonts w:ascii="Arial Narrow" w:hAnsi="Arial Narrow"/>
          <w:sz w:val="22"/>
          <w:szCs w:val="22"/>
          <w:lang w:val="sq-AL"/>
        </w:rPr>
        <w:t xml:space="preserve"> i mbeturinave ushqimore.</w:t>
      </w:r>
    </w:p>
    <w:p w14:paraId="26F17A66" w14:textId="32256BA1" w:rsidR="00C97DF3" w:rsidRDefault="00C97DF3" w:rsidP="00C97DF3">
      <w:pPr>
        <w:rPr>
          <w:rFonts w:ascii="Aptos" w:eastAsia="Aptos" w:hAnsi="Aptos"/>
          <w:noProof/>
          <w:kern w:val="2"/>
          <w14:ligatures w14:val="standardContextual"/>
        </w:rPr>
      </w:pPr>
    </w:p>
    <w:p w14:paraId="4646DCBE" w14:textId="53A66BE7" w:rsidR="009F6482" w:rsidRPr="00C97DF3" w:rsidRDefault="00FA181E" w:rsidP="00FA181E">
      <w:pPr>
        <w:jc w:val="center"/>
        <w:rPr>
          <w:rFonts w:ascii="Arial Narrow" w:hAnsi="Arial Narrow"/>
        </w:rPr>
      </w:pPr>
      <w:r>
        <w:rPr>
          <w:noProof/>
        </w:rPr>
        <w:lastRenderedPageBreak/>
        <w:drawing>
          <wp:inline distT="0" distB="0" distL="0" distR="0" wp14:anchorId="328661FF" wp14:editId="686A4EBF">
            <wp:extent cx="4784063" cy="4458512"/>
            <wp:effectExtent l="0" t="0" r="17145" b="18415"/>
            <wp:docPr id="735945899" name="Chart 1">
              <a:extLst xmlns:a="http://schemas.openxmlformats.org/drawingml/2006/main">
                <a:ext uri="{FF2B5EF4-FFF2-40B4-BE49-F238E27FC236}">
                  <a16:creationId xmlns:a16="http://schemas.microsoft.com/office/drawing/2014/main" id="{CA3FD248-5076-4587-96BA-FA41401636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8F15DD2" w14:textId="149AAD9E" w:rsidR="00C97DF3" w:rsidRPr="00C97DF3" w:rsidRDefault="00C97DF3" w:rsidP="00C97DF3">
      <w:pPr>
        <w:rPr>
          <w:rFonts w:ascii="Arial Narrow" w:hAnsi="Arial Narrow"/>
        </w:rPr>
      </w:pPr>
    </w:p>
    <w:p w14:paraId="7EA4C5C7" w14:textId="61AA5356" w:rsidR="009F6482" w:rsidRPr="009F6482" w:rsidRDefault="00C97DF3" w:rsidP="009F6482">
      <w:pPr>
        <w:jc w:val="center"/>
        <w:rPr>
          <w:rFonts w:ascii="Arial Narrow" w:eastAsia="Calibri" w:hAnsi="Arial Narrow" w:cs="Calibri"/>
          <w:color w:val="1F497D"/>
          <w:sz w:val="20"/>
          <w:szCs w:val="20"/>
          <w:lang w:val="sq-AL"/>
        </w:rPr>
      </w:pPr>
      <w:bookmarkStart w:id="10" w:name="_Toc197472308"/>
      <w:r w:rsidRPr="009F6482">
        <w:rPr>
          <w:rFonts w:ascii="Arial Narrow" w:eastAsia="Calibri" w:hAnsi="Arial Narrow" w:cs="Calibri"/>
          <w:sz w:val="20"/>
          <w:szCs w:val="20"/>
        </w:rPr>
        <w:t xml:space="preserve">Figura </w:t>
      </w:r>
      <w:r w:rsidRPr="009F6482">
        <w:rPr>
          <w:rFonts w:ascii="Arial Narrow" w:eastAsia="Calibri" w:hAnsi="Arial Narrow" w:cs="Calibri"/>
          <w:sz w:val="20"/>
          <w:szCs w:val="20"/>
        </w:rPr>
        <w:fldChar w:fldCharType="begin"/>
      </w:r>
      <w:r w:rsidRPr="009F6482">
        <w:rPr>
          <w:rFonts w:ascii="Arial Narrow" w:eastAsia="Calibri" w:hAnsi="Arial Narrow" w:cs="Calibri"/>
          <w:sz w:val="20"/>
          <w:szCs w:val="20"/>
        </w:rPr>
        <w:instrText xml:space="preserve"> SEQ Figure \* ARABIC </w:instrText>
      </w:r>
      <w:r w:rsidRPr="009F6482">
        <w:rPr>
          <w:rFonts w:ascii="Arial Narrow" w:eastAsia="Calibri" w:hAnsi="Arial Narrow" w:cs="Calibri"/>
          <w:sz w:val="20"/>
          <w:szCs w:val="20"/>
        </w:rPr>
        <w:fldChar w:fldCharType="separate"/>
      </w:r>
      <w:r w:rsidRPr="009F6482">
        <w:rPr>
          <w:rFonts w:ascii="Arial Narrow" w:eastAsia="Calibri" w:hAnsi="Arial Narrow" w:cs="Calibri"/>
          <w:noProof/>
          <w:sz w:val="20"/>
          <w:szCs w:val="20"/>
        </w:rPr>
        <w:t xml:space="preserve">5. </w:t>
      </w:r>
      <w:r w:rsidRPr="009F6482">
        <w:rPr>
          <w:rFonts w:ascii="Arial Narrow" w:eastAsia="Calibri" w:hAnsi="Arial Narrow" w:cs="Calibri"/>
          <w:sz w:val="20"/>
          <w:szCs w:val="20"/>
        </w:rPr>
        <w:fldChar w:fldCharType="end"/>
      </w:r>
      <w:r w:rsidR="009F6482" w:rsidRPr="009F6482">
        <w:rPr>
          <w:rFonts w:ascii="Arial Narrow" w:eastAsia="Calibri" w:hAnsi="Arial Narrow" w:cs="Calibri"/>
          <w:color w:val="1F497D"/>
          <w:sz w:val="20"/>
          <w:szCs w:val="20"/>
          <w:lang w:val="sq-AL"/>
        </w:rPr>
        <w:t xml:space="preserve"> Kostot vjetore operacionale për operacionet e menaxhimit të mbeturinave</w:t>
      </w:r>
      <w:bookmarkEnd w:id="10"/>
    </w:p>
    <w:p w14:paraId="1325EDB3" w14:textId="12444F7E" w:rsidR="00C97DF3" w:rsidRPr="00C97DF3" w:rsidRDefault="00C97DF3" w:rsidP="00C97DF3">
      <w:pPr>
        <w:pStyle w:val="Figure"/>
        <w:spacing w:before="0" w:after="0"/>
        <w:ind w:left="1411" w:hanging="1411"/>
        <w:rPr>
          <w:rFonts w:eastAsia="Calibri" w:cs="Calibri"/>
          <w:sz w:val="20"/>
          <w:szCs w:val="20"/>
        </w:rPr>
      </w:pPr>
    </w:p>
    <w:p w14:paraId="311CA2E0" w14:textId="77777777" w:rsidR="00C97DF3" w:rsidRPr="00C97DF3" w:rsidRDefault="00C97DF3" w:rsidP="00C97DF3">
      <w:pPr>
        <w:rPr>
          <w:rFonts w:ascii="Arial Narrow" w:hAnsi="Arial Narrow"/>
        </w:rPr>
      </w:pPr>
    </w:p>
    <w:p w14:paraId="32A143B7" w14:textId="401172EA" w:rsidR="00C97DF3" w:rsidRPr="00C97DF3" w:rsidRDefault="00C97DF3" w:rsidP="00C97DF3">
      <w:pPr>
        <w:rPr>
          <w:rFonts w:ascii="Arial Narrow" w:hAnsi="Arial Narrow"/>
          <w:sz w:val="22"/>
          <w:szCs w:val="22"/>
        </w:rPr>
      </w:pPr>
      <w:r w:rsidRPr="00C97DF3">
        <w:rPr>
          <w:rFonts w:ascii="Arial Narrow" w:hAnsi="Arial Narrow"/>
          <w:sz w:val="22"/>
          <w:szCs w:val="22"/>
        </w:rPr>
        <w:t xml:space="preserve">Tabela më poshtë përmbledh investimet e vlerësuara për masat e planifikuara për periudhën </w:t>
      </w:r>
      <w:r w:rsidR="00072324" w:rsidRPr="00C97DF3">
        <w:rPr>
          <w:rFonts w:ascii="Arial Narrow" w:hAnsi="Arial Narrow"/>
          <w:sz w:val="22"/>
          <w:szCs w:val="22"/>
        </w:rPr>
        <w:t>202</w:t>
      </w:r>
      <w:r w:rsidR="00072324">
        <w:rPr>
          <w:rFonts w:ascii="Arial Narrow" w:hAnsi="Arial Narrow"/>
          <w:sz w:val="22"/>
          <w:szCs w:val="22"/>
          <w:lang w:val="bg-BG"/>
        </w:rPr>
        <w:t>6</w:t>
      </w:r>
      <w:r w:rsidRPr="00C97DF3">
        <w:rPr>
          <w:rFonts w:ascii="Arial Narrow" w:hAnsi="Arial Narrow"/>
          <w:sz w:val="22"/>
          <w:szCs w:val="22"/>
        </w:rPr>
        <w:t xml:space="preserve">-2031 në Zonën e Menaxhimit të </w:t>
      </w:r>
      <w:r w:rsidR="009F6482">
        <w:rPr>
          <w:rFonts w:ascii="Arial Narrow" w:hAnsi="Arial Narrow"/>
          <w:sz w:val="22"/>
          <w:szCs w:val="22"/>
        </w:rPr>
        <w:t>Mbeturinave</w:t>
      </w:r>
      <w:r w:rsidRPr="00C97DF3">
        <w:rPr>
          <w:rFonts w:ascii="Arial Narrow" w:hAnsi="Arial Narrow"/>
          <w:sz w:val="22"/>
          <w:szCs w:val="22"/>
        </w:rPr>
        <w:t xml:space="preserve"> (ZM</w:t>
      </w:r>
      <w:r w:rsidR="009F6482">
        <w:rPr>
          <w:rFonts w:ascii="Arial Narrow" w:hAnsi="Arial Narrow"/>
          <w:sz w:val="22"/>
          <w:szCs w:val="22"/>
        </w:rPr>
        <w:t>M</w:t>
      </w:r>
      <w:r w:rsidRPr="00C97DF3">
        <w:rPr>
          <w:rFonts w:ascii="Arial Narrow" w:hAnsi="Arial Narrow"/>
          <w:sz w:val="22"/>
          <w:szCs w:val="22"/>
        </w:rPr>
        <w:t>):</w:t>
      </w:r>
    </w:p>
    <w:p w14:paraId="6FAFA33C" w14:textId="77777777" w:rsidR="00C97DF3" w:rsidRPr="00C97DF3" w:rsidRDefault="00C97DF3" w:rsidP="00C97DF3">
      <w:pPr>
        <w:rPr>
          <w:rFonts w:ascii="Arial Narrow" w:hAnsi="Arial Narrow"/>
          <w:sz w:val="22"/>
          <w:szCs w:val="22"/>
        </w:rPr>
      </w:pPr>
    </w:p>
    <w:p w14:paraId="40163A3F" w14:textId="6C3CC857" w:rsidR="00C97DF3" w:rsidRPr="00C97DF3" w:rsidRDefault="00C97DF3" w:rsidP="00C97DF3">
      <w:pPr>
        <w:suppressAutoHyphens/>
        <w:rPr>
          <w:rFonts w:ascii="Arial Narrow" w:eastAsia="Calibri" w:hAnsi="Arial Narrow" w:cs="Calibri"/>
          <w:color w:val="1F497D"/>
          <w:sz w:val="20"/>
          <w:szCs w:val="20"/>
        </w:rPr>
      </w:pPr>
      <w:bookmarkStart w:id="11" w:name="_Toc197472188"/>
      <w:r w:rsidRPr="00C97DF3">
        <w:rPr>
          <w:rFonts w:ascii="Arial Narrow" w:eastAsia="Calibri" w:hAnsi="Arial Narrow" w:cs="Calibri"/>
          <w:color w:val="1F497D"/>
          <w:sz w:val="20"/>
          <w:szCs w:val="20"/>
        </w:rPr>
        <w:t xml:space="preserve">Tabela </w:t>
      </w:r>
      <w:r w:rsidRPr="00C97DF3">
        <w:rPr>
          <w:rFonts w:ascii="Arial Narrow" w:eastAsia="Calibri" w:hAnsi="Arial Narrow" w:cs="Calibri"/>
          <w:color w:val="1F497D"/>
          <w:sz w:val="20"/>
          <w:szCs w:val="20"/>
        </w:rPr>
        <w:fldChar w:fldCharType="begin"/>
      </w:r>
      <w:r w:rsidRPr="00C97DF3">
        <w:rPr>
          <w:rFonts w:ascii="Arial Narrow" w:eastAsia="Calibri" w:hAnsi="Arial Narrow" w:cs="Calibri"/>
          <w:color w:val="1F497D"/>
          <w:sz w:val="20"/>
          <w:szCs w:val="20"/>
        </w:rPr>
        <w:instrText xml:space="preserve"> SEQ Table \* ARABIC </w:instrText>
      </w:r>
      <w:r w:rsidRPr="00C97DF3">
        <w:rPr>
          <w:rFonts w:ascii="Arial Narrow" w:eastAsia="Calibri" w:hAnsi="Arial Narrow" w:cs="Calibri"/>
          <w:color w:val="1F497D"/>
          <w:sz w:val="20"/>
          <w:szCs w:val="20"/>
        </w:rPr>
        <w:fldChar w:fldCharType="separate"/>
      </w:r>
      <w:r>
        <w:rPr>
          <w:rFonts w:ascii="Arial Narrow" w:eastAsia="Calibri" w:hAnsi="Arial Narrow" w:cs="Calibri"/>
          <w:noProof/>
          <w:color w:val="1F497D"/>
          <w:sz w:val="20"/>
          <w:szCs w:val="20"/>
        </w:rPr>
        <w:t xml:space="preserve">3. </w:t>
      </w:r>
      <w:r w:rsidRPr="00C97DF3">
        <w:rPr>
          <w:rFonts w:ascii="Arial Narrow" w:eastAsia="Calibri" w:hAnsi="Arial Narrow" w:cs="Calibri"/>
          <w:color w:val="1F497D"/>
          <w:sz w:val="20"/>
          <w:szCs w:val="20"/>
        </w:rPr>
        <w:fldChar w:fldCharType="end"/>
      </w:r>
      <w:r w:rsidRPr="00C97DF3">
        <w:rPr>
          <w:rFonts w:ascii="Arial Narrow" w:eastAsia="Calibri" w:hAnsi="Arial Narrow" w:cs="Calibri"/>
          <w:color w:val="1F497D"/>
          <w:sz w:val="20"/>
          <w:szCs w:val="20"/>
        </w:rPr>
        <w:t>Përmbledhje e planit të investimeve afatgjatë, mijë euro</w:t>
      </w:r>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5"/>
        <w:gridCol w:w="855"/>
        <w:gridCol w:w="689"/>
        <w:gridCol w:w="689"/>
        <w:gridCol w:w="689"/>
        <w:gridCol w:w="692"/>
        <w:gridCol w:w="771"/>
        <w:gridCol w:w="910"/>
      </w:tblGrid>
      <w:tr w:rsidR="00C97DF3" w:rsidRPr="00C97DF3" w14:paraId="2329935D" w14:textId="77777777" w:rsidTr="009F6482">
        <w:trPr>
          <w:trHeight w:val="220"/>
          <w:tblHeader/>
        </w:trPr>
        <w:tc>
          <w:tcPr>
            <w:tcW w:w="1866" w:type="pct"/>
            <w:shd w:val="clear" w:color="auto" w:fill="365F91"/>
            <w:noWrap/>
            <w:vAlign w:val="bottom"/>
            <w:hideMark/>
          </w:tcPr>
          <w:p w14:paraId="2FC549B2" w14:textId="77777777" w:rsidR="00C97DF3" w:rsidRPr="00FF7243" w:rsidRDefault="00C97DF3" w:rsidP="00C97DF3">
            <w:pPr>
              <w:rPr>
                <w:rFonts w:ascii="Arial Narrow" w:hAnsi="Arial Narrow"/>
                <w:color w:val="FFFFFF"/>
                <w:sz w:val="20"/>
                <w:szCs w:val="20"/>
                <w:lang w:eastAsia="en-GB"/>
              </w:rPr>
            </w:pPr>
          </w:p>
        </w:tc>
        <w:tc>
          <w:tcPr>
            <w:tcW w:w="501" w:type="pct"/>
            <w:shd w:val="clear" w:color="auto" w:fill="365F91"/>
            <w:noWrap/>
            <w:vAlign w:val="center"/>
            <w:hideMark/>
          </w:tcPr>
          <w:p w14:paraId="3EA8FE17" w14:textId="77777777" w:rsidR="00C97DF3" w:rsidRPr="00C97DF3" w:rsidRDefault="00C97DF3" w:rsidP="00C97DF3">
            <w:pPr>
              <w:jc w:val="right"/>
              <w:rPr>
                <w:rFonts w:ascii="Arial Narrow" w:hAnsi="Arial Narrow" w:cs="Calibri"/>
                <w:b/>
                <w:bCs/>
                <w:color w:val="FFFFFF"/>
                <w:sz w:val="20"/>
                <w:szCs w:val="20"/>
                <w:lang w:val="en-GB" w:eastAsia="en-GB"/>
              </w:rPr>
            </w:pPr>
            <w:r w:rsidRPr="00C97DF3">
              <w:rPr>
                <w:rFonts w:ascii="Arial Narrow" w:hAnsi="Arial Narrow" w:cs="Calibri"/>
                <w:b/>
                <w:bCs/>
                <w:color w:val="FFFFFF"/>
                <w:sz w:val="20"/>
                <w:szCs w:val="20"/>
                <w:lang w:val="en-GB" w:eastAsia="en-GB"/>
              </w:rPr>
              <w:t>2026</w:t>
            </w:r>
          </w:p>
        </w:tc>
        <w:tc>
          <w:tcPr>
            <w:tcW w:w="412" w:type="pct"/>
            <w:shd w:val="clear" w:color="auto" w:fill="365F91"/>
            <w:noWrap/>
            <w:vAlign w:val="center"/>
            <w:hideMark/>
          </w:tcPr>
          <w:p w14:paraId="74289CAE" w14:textId="77777777" w:rsidR="00C97DF3" w:rsidRPr="00C97DF3" w:rsidRDefault="00C97DF3" w:rsidP="00C97DF3">
            <w:pPr>
              <w:jc w:val="right"/>
              <w:rPr>
                <w:rFonts w:ascii="Arial Narrow" w:hAnsi="Arial Narrow" w:cs="Calibri"/>
                <w:b/>
                <w:bCs/>
                <w:color w:val="FFFFFF"/>
                <w:sz w:val="20"/>
                <w:szCs w:val="20"/>
                <w:lang w:val="en-GB" w:eastAsia="en-GB"/>
              </w:rPr>
            </w:pPr>
            <w:r w:rsidRPr="00C97DF3">
              <w:rPr>
                <w:rFonts w:ascii="Arial Narrow" w:hAnsi="Arial Narrow" w:cs="Calibri"/>
                <w:b/>
                <w:bCs/>
                <w:color w:val="FFFFFF"/>
                <w:sz w:val="20"/>
                <w:szCs w:val="20"/>
                <w:lang w:val="en-GB" w:eastAsia="en-GB"/>
              </w:rPr>
              <w:t>2027</w:t>
            </w:r>
          </w:p>
        </w:tc>
        <w:tc>
          <w:tcPr>
            <w:tcW w:w="412" w:type="pct"/>
            <w:shd w:val="clear" w:color="auto" w:fill="365F91"/>
            <w:noWrap/>
            <w:vAlign w:val="center"/>
            <w:hideMark/>
          </w:tcPr>
          <w:p w14:paraId="550FC7BB" w14:textId="77777777" w:rsidR="00C97DF3" w:rsidRPr="00C97DF3" w:rsidRDefault="00C97DF3" w:rsidP="00C97DF3">
            <w:pPr>
              <w:jc w:val="right"/>
              <w:rPr>
                <w:rFonts w:ascii="Arial Narrow" w:hAnsi="Arial Narrow" w:cs="Calibri"/>
                <w:b/>
                <w:bCs/>
                <w:color w:val="FFFFFF"/>
                <w:sz w:val="20"/>
                <w:szCs w:val="20"/>
                <w:lang w:val="en-GB" w:eastAsia="en-GB"/>
              </w:rPr>
            </w:pPr>
            <w:r w:rsidRPr="00C97DF3">
              <w:rPr>
                <w:rFonts w:ascii="Arial Narrow" w:hAnsi="Arial Narrow" w:cs="Calibri"/>
                <w:b/>
                <w:bCs/>
                <w:color w:val="FFFFFF"/>
                <w:sz w:val="20"/>
                <w:szCs w:val="20"/>
                <w:lang w:val="en-GB" w:eastAsia="en-GB"/>
              </w:rPr>
              <w:t>2028</w:t>
            </w:r>
          </w:p>
        </w:tc>
        <w:tc>
          <w:tcPr>
            <w:tcW w:w="412" w:type="pct"/>
            <w:shd w:val="clear" w:color="auto" w:fill="365F91"/>
            <w:noWrap/>
            <w:vAlign w:val="center"/>
            <w:hideMark/>
          </w:tcPr>
          <w:p w14:paraId="596E28F9" w14:textId="77777777" w:rsidR="00C97DF3" w:rsidRPr="00C97DF3" w:rsidRDefault="00C97DF3" w:rsidP="00C97DF3">
            <w:pPr>
              <w:jc w:val="right"/>
              <w:rPr>
                <w:rFonts w:ascii="Arial Narrow" w:hAnsi="Arial Narrow" w:cs="Calibri"/>
                <w:b/>
                <w:bCs/>
                <w:color w:val="FFFFFF"/>
                <w:sz w:val="20"/>
                <w:szCs w:val="20"/>
                <w:lang w:val="en-GB" w:eastAsia="en-GB"/>
              </w:rPr>
            </w:pPr>
            <w:r w:rsidRPr="00C97DF3">
              <w:rPr>
                <w:rFonts w:ascii="Arial Narrow" w:hAnsi="Arial Narrow" w:cs="Calibri"/>
                <w:b/>
                <w:bCs/>
                <w:color w:val="FFFFFF"/>
                <w:sz w:val="20"/>
                <w:szCs w:val="20"/>
                <w:lang w:val="en-GB" w:eastAsia="en-GB"/>
              </w:rPr>
              <w:t>2029</w:t>
            </w:r>
          </w:p>
        </w:tc>
        <w:tc>
          <w:tcPr>
            <w:tcW w:w="413" w:type="pct"/>
            <w:shd w:val="clear" w:color="auto" w:fill="365F91"/>
            <w:noWrap/>
            <w:vAlign w:val="center"/>
            <w:hideMark/>
          </w:tcPr>
          <w:p w14:paraId="7226C2B4" w14:textId="77777777" w:rsidR="00C97DF3" w:rsidRPr="00C97DF3" w:rsidRDefault="00C97DF3" w:rsidP="00C97DF3">
            <w:pPr>
              <w:jc w:val="right"/>
              <w:rPr>
                <w:rFonts w:ascii="Arial Narrow" w:hAnsi="Arial Narrow" w:cs="Calibri"/>
                <w:b/>
                <w:bCs/>
                <w:color w:val="FFFFFF"/>
                <w:sz w:val="20"/>
                <w:szCs w:val="20"/>
                <w:lang w:val="en-GB" w:eastAsia="en-GB"/>
              </w:rPr>
            </w:pPr>
            <w:r w:rsidRPr="00C97DF3">
              <w:rPr>
                <w:rFonts w:ascii="Arial Narrow" w:hAnsi="Arial Narrow" w:cs="Calibri"/>
                <w:b/>
                <w:bCs/>
                <w:color w:val="FFFFFF"/>
                <w:sz w:val="20"/>
                <w:szCs w:val="20"/>
                <w:lang w:val="en-GB" w:eastAsia="en-GB"/>
              </w:rPr>
              <w:t>2030</w:t>
            </w:r>
          </w:p>
        </w:tc>
        <w:tc>
          <w:tcPr>
            <w:tcW w:w="455" w:type="pct"/>
            <w:shd w:val="clear" w:color="auto" w:fill="365F91"/>
            <w:noWrap/>
            <w:vAlign w:val="center"/>
            <w:hideMark/>
          </w:tcPr>
          <w:p w14:paraId="540862F5" w14:textId="77777777" w:rsidR="00C97DF3" w:rsidRPr="00C97DF3" w:rsidRDefault="00C97DF3" w:rsidP="00C97DF3">
            <w:pPr>
              <w:jc w:val="right"/>
              <w:rPr>
                <w:rFonts w:ascii="Arial Narrow" w:hAnsi="Arial Narrow" w:cs="Calibri"/>
                <w:b/>
                <w:bCs/>
                <w:color w:val="FFFFFF"/>
                <w:sz w:val="20"/>
                <w:szCs w:val="20"/>
                <w:lang w:val="en-GB" w:eastAsia="en-GB"/>
              </w:rPr>
            </w:pPr>
            <w:r w:rsidRPr="00C97DF3">
              <w:rPr>
                <w:rFonts w:ascii="Arial Narrow" w:hAnsi="Arial Narrow" w:cs="Calibri"/>
                <w:b/>
                <w:bCs/>
                <w:color w:val="FFFFFF"/>
                <w:sz w:val="20"/>
                <w:szCs w:val="20"/>
                <w:lang w:val="en-GB" w:eastAsia="en-GB"/>
              </w:rPr>
              <w:t>2031</w:t>
            </w:r>
          </w:p>
        </w:tc>
        <w:tc>
          <w:tcPr>
            <w:tcW w:w="530" w:type="pct"/>
            <w:shd w:val="clear" w:color="auto" w:fill="365F91"/>
            <w:noWrap/>
            <w:vAlign w:val="center"/>
            <w:hideMark/>
          </w:tcPr>
          <w:p w14:paraId="60C93CAD" w14:textId="77777777" w:rsidR="00C97DF3" w:rsidRPr="00C97DF3" w:rsidRDefault="00C97DF3" w:rsidP="00C97DF3">
            <w:pPr>
              <w:rPr>
                <w:rFonts w:ascii="Arial Narrow" w:hAnsi="Arial Narrow" w:cs="Calibri"/>
                <w:b/>
                <w:bCs/>
                <w:color w:val="FFFFFF"/>
                <w:sz w:val="20"/>
                <w:szCs w:val="20"/>
                <w:lang w:val="en-GB" w:eastAsia="en-GB"/>
              </w:rPr>
            </w:pPr>
            <w:proofErr w:type="spellStart"/>
            <w:r w:rsidRPr="00C97DF3">
              <w:rPr>
                <w:rFonts w:ascii="Arial Narrow" w:hAnsi="Arial Narrow" w:cs="Calibri"/>
                <w:b/>
                <w:bCs/>
                <w:color w:val="FFFFFF"/>
                <w:sz w:val="20"/>
                <w:szCs w:val="20"/>
                <w:lang w:val="en-GB" w:eastAsia="en-GB"/>
              </w:rPr>
              <w:t>Burimi</w:t>
            </w:r>
            <w:proofErr w:type="spellEnd"/>
          </w:p>
        </w:tc>
      </w:tr>
      <w:tr w:rsidR="00C97DF3" w:rsidRPr="00C97DF3" w14:paraId="5019F518" w14:textId="77777777" w:rsidTr="009F6482">
        <w:trPr>
          <w:trHeight w:val="210"/>
        </w:trPr>
        <w:tc>
          <w:tcPr>
            <w:tcW w:w="1866" w:type="pct"/>
            <w:shd w:val="clear" w:color="auto" w:fill="auto"/>
            <w:noWrap/>
            <w:vAlign w:val="bottom"/>
            <w:hideMark/>
          </w:tcPr>
          <w:p w14:paraId="0D071A73" w14:textId="77777777" w:rsidR="00C97DF3" w:rsidRPr="00C97DF3" w:rsidRDefault="00C97DF3" w:rsidP="00C97DF3">
            <w:pPr>
              <w:rPr>
                <w:rFonts w:ascii="Arial Narrow" w:hAnsi="Arial Narrow" w:cs="Calibri"/>
                <w:b/>
                <w:bCs/>
                <w:color w:val="333F4F"/>
                <w:sz w:val="20"/>
                <w:szCs w:val="20"/>
                <w:lang w:val="en-GB" w:eastAsia="en-GB"/>
              </w:rPr>
            </w:pPr>
          </w:p>
        </w:tc>
        <w:tc>
          <w:tcPr>
            <w:tcW w:w="501" w:type="pct"/>
            <w:shd w:val="clear" w:color="auto" w:fill="auto"/>
            <w:noWrap/>
            <w:vAlign w:val="center"/>
            <w:hideMark/>
          </w:tcPr>
          <w:p w14:paraId="648E6213" w14:textId="77777777" w:rsidR="00C97DF3" w:rsidRPr="00C97DF3" w:rsidRDefault="00C97DF3" w:rsidP="00C97DF3">
            <w:pPr>
              <w:rPr>
                <w:rFonts w:ascii="Arial Narrow" w:hAnsi="Arial Narrow" w:cs="Calibri"/>
                <w:b/>
                <w:bCs/>
                <w:color w:val="333F4F"/>
                <w:sz w:val="20"/>
                <w:szCs w:val="20"/>
                <w:lang w:val="en-GB" w:eastAsia="en-GB"/>
              </w:rPr>
            </w:pPr>
            <w:proofErr w:type="spellStart"/>
            <w:r w:rsidRPr="00C97DF3">
              <w:rPr>
                <w:rFonts w:ascii="Arial Narrow" w:hAnsi="Arial Narrow" w:cs="Calibri"/>
                <w:b/>
                <w:bCs/>
                <w:color w:val="333F4F"/>
                <w:sz w:val="20"/>
                <w:szCs w:val="20"/>
                <w:lang w:val="en-GB" w:eastAsia="en-GB"/>
              </w:rPr>
              <w:t>Faza</w:t>
            </w:r>
            <w:proofErr w:type="spellEnd"/>
            <w:r w:rsidRPr="00C97DF3">
              <w:rPr>
                <w:rFonts w:ascii="Arial Narrow" w:hAnsi="Arial Narrow" w:cs="Calibri"/>
                <w:b/>
                <w:bCs/>
                <w:color w:val="333F4F"/>
                <w:sz w:val="20"/>
                <w:szCs w:val="20"/>
                <w:lang w:val="en-GB" w:eastAsia="en-GB"/>
              </w:rPr>
              <w:t xml:space="preserve"> I</w:t>
            </w:r>
          </w:p>
        </w:tc>
        <w:tc>
          <w:tcPr>
            <w:tcW w:w="412" w:type="pct"/>
            <w:shd w:val="clear" w:color="auto" w:fill="auto"/>
            <w:noWrap/>
            <w:vAlign w:val="center"/>
            <w:hideMark/>
          </w:tcPr>
          <w:p w14:paraId="45556ADD" w14:textId="77777777" w:rsidR="00C97DF3" w:rsidRPr="00C97DF3" w:rsidRDefault="00C97DF3" w:rsidP="00C97DF3">
            <w:pPr>
              <w:rPr>
                <w:rFonts w:ascii="Arial Narrow" w:hAnsi="Arial Narrow"/>
                <w:sz w:val="20"/>
                <w:szCs w:val="20"/>
                <w:lang w:val="en-GB" w:eastAsia="en-GB"/>
              </w:rPr>
            </w:pPr>
          </w:p>
        </w:tc>
        <w:tc>
          <w:tcPr>
            <w:tcW w:w="412" w:type="pct"/>
            <w:shd w:val="clear" w:color="auto" w:fill="auto"/>
            <w:noWrap/>
            <w:vAlign w:val="center"/>
            <w:hideMark/>
          </w:tcPr>
          <w:p w14:paraId="78F172B4" w14:textId="77777777" w:rsidR="00C97DF3" w:rsidRPr="00C97DF3" w:rsidRDefault="00C97DF3" w:rsidP="00C97DF3">
            <w:pPr>
              <w:rPr>
                <w:rFonts w:ascii="Arial Narrow" w:hAnsi="Arial Narrow"/>
                <w:sz w:val="20"/>
                <w:szCs w:val="20"/>
                <w:lang w:val="en-GB" w:eastAsia="en-GB"/>
              </w:rPr>
            </w:pPr>
          </w:p>
        </w:tc>
        <w:tc>
          <w:tcPr>
            <w:tcW w:w="412" w:type="pct"/>
            <w:shd w:val="clear" w:color="auto" w:fill="auto"/>
            <w:noWrap/>
            <w:vAlign w:val="center"/>
            <w:hideMark/>
          </w:tcPr>
          <w:p w14:paraId="61CA5C19" w14:textId="77777777" w:rsidR="00C97DF3" w:rsidRPr="00C97DF3" w:rsidRDefault="00C97DF3" w:rsidP="00C97DF3">
            <w:pPr>
              <w:rPr>
                <w:rFonts w:ascii="Arial Narrow" w:hAnsi="Arial Narrow"/>
                <w:sz w:val="20"/>
                <w:szCs w:val="20"/>
                <w:lang w:val="en-GB" w:eastAsia="en-GB"/>
              </w:rPr>
            </w:pPr>
          </w:p>
        </w:tc>
        <w:tc>
          <w:tcPr>
            <w:tcW w:w="413" w:type="pct"/>
            <w:shd w:val="clear" w:color="auto" w:fill="auto"/>
            <w:noWrap/>
            <w:vAlign w:val="center"/>
            <w:hideMark/>
          </w:tcPr>
          <w:p w14:paraId="2B3C1CE6" w14:textId="77777777" w:rsidR="00C97DF3" w:rsidRPr="00C97DF3" w:rsidRDefault="00C97DF3" w:rsidP="00C97DF3">
            <w:pPr>
              <w:rPr>
                <w:rFonts w:ascii="Arial Narrow" w:hAnsi="Arial Narrow"/>
                <w:sz w:val="20"/>
                <w:szCs w:val="20"/>
                <w:lang w:val="en-GB" w:eastAsia="en-GB"/>
              </w:rPr>
            </w:pPr>
          </w:p>
        </w:tc>
        <w:tc>
          <w:tcPr>
            <w:tcW w:w="455" w:type="pct"/>
            <w:shd w:val="clear" w:color="auto" w:fill="auto"/>
            <w:noWrap/>
            <w:vAlign w:val="center"/>
            <w:hideMark/>
          </w:tcPr>
          <w:p w14:paraId="3C2D7A06" w14:textId="77777777" w:rsidR="00C97DF3" w:rsidRPr="00C97DF3" w:rsidRDefault="00C97DF3" w:rsidP="00C97DF3">
            <w:pPr>
              <w:rPr>
                <w:rFonts w:ascii="Arial Narrow" w:hAnsi="Arial Narrow"/>
                <w:sz w:val="20"/>
                <w:szCs w:val="20"/>
                <w:lang w:val="en-GB" w:eastAsia="en-GB"/>
              </w:rPr>
            </w:pPr>
            <w:proofErr w:type="spellStart"/>
            <w:r w:rsidRPr="00C97DF3">
              <w:rPr>
                <w:rFonts w:ascii="Arial Narrow" w:hAnsi="Arial Narrow" w:cs="Calibri"/>
                <w:b/>
                <w:bCs/>
                <w:color w:val="333F4F"/>
                <w:sz w:val="20"/>
                <w:szCs w:val="20"/>
                <w:lang w:val="en-GB" w:eastAsia="en-GB"/>
              </w:rPr>
              <w:t>Faza</w:t>
            </w:r>
            <w:proofErr w:type="spellEnd"/>
            <w:r w:rsidRPr="00C97DF3">
              <w:rPr>
                <w:rFonts w:ascii="Arial Narrow" w:hAnsi="Arial Narrow" w:cs="Calibri"/>
                <w:b/>
                <w:bCs/>
                <w:color w:val="333F4F"/>
                <w:sz w:val="20"/>
                <w:szCs w:val="20"/>
                <w:lang w:val="en-GB" w:eastAsia="en-GB"/>
              </w:rPr>
              <w:t xml:space="preserve"> II</w:t>
            </w:r>
          </w:p>
        </w:tc>
        <w:tc>
          <w:tcPr>
            <w:tcW w:w="530" w:type="pct"/>
            <w:shd w:val="clear" w:color="auto" w:fill="auto"/>
            <w:noWrap/>
            <w:vAlign w:val="center"/>
            <w:hideMark/>
          </w:tcPr>
          <w:p w14:paraId="37AF032F" w14:textId="77777777" w:rsidR="00C97DF3" w:rsidRPr="00C97DF3" w:rsidRDefault="00C97DF3" w:rsidP="00C97DF3">
            <w:pPr>
              <w:rPr>
                <w:rFonts w:ascii="Arial Narrow" w:hAnsi="Arial Narrow" w:cs="Calibri"/>
                <w:b/>
                <w:bCs/>
                <w:color w:val="333F4F"/>
                <w:sz w:val="20"/>
                <w:szCs w:val="20"/>
                <w:lang w:val="en-GB" w:eastAsia="en-GB"/>
              </w:rPr>
            </w:pPr>
            <w:r w:rsidRPr="00C97DF3">
              <w:rPr>
                <w:rFonts w:ascii="Arial Narrow" w:hAnsi="Arial Narrow" w:cs="Calibri"/>
                <w:b/>
                <w:bCs/>
                <w:color w:val="333F4F"/>
                <w:sz w:val="20"/>
                <w:szCs w:val="20"/>
                <w:lang w:val="en-GB" w:eastAsia="en-GB"/>
              </w:rPr>
              <w:t> </w:t>
            </w:r>
          </w:p>
        </w:tc>
      </w:tr>
      <w:tr w:rsidR="009F6482" w:rsidRPr="00C97DF3" w14:paraId="46EB32FC" w14:textId="77777777" w:rsidTr="009F6482">
        <w:trPr>
          <w:trHeight w:val="220"/>
        </w:trPr>
        <w:tc>
          <w:tcPr>
            <w:tcW w:w="1866" w:type="pct"/>
            <w:shd w:val="clear" w:color="auto" w:fill="auto"/>
            <w:noWrap/>
            <w:vAlign w:val="bottom"/>
            <w:hideMark/>
          </w:tcPr>
          <w:p w14:paraId="0673DD13" w14:textId="77777777" w:rsidR="009F6482" w:rsidRPr="00FF7243" w:rsidRDefault="009F6482" w:rsidP="009F6482">
            <w:pPr>
              <w:rPr>
                <w:rFonts w:ascii="Arial Narrow" w:hAnsi="Arial Narrow" w:cs="Calibri"/>
                <w:color w:val="000000"/>
                <w:sz w:val="20"/>
                <w:szCs w:val="20"/>
                <w:lang w:val="es-ES" w:eastAsia="en-GB"/>
              </w:rPr>
            </w:pPr>
            <w:proofErr w:type="spellStart"/>
            <w:r w:rsidRPr="00FF7243">
              <w:rPr>
                <w:rFonts w:ascii="Arial Narrow" w:hAnsi="Arial Narrow" w:cs="Calibri"/>
                <w:color w:val="000000"/>
                <w:sz w:val="20"/>
                <w:szCs w:val="20"/>
                <w:lang w:val="es-ES" w:eastAsia="en-GB"/>
              </w:rPr>
              <w:t>Pajisjet</w:t>
            </w:r>
            <w:proofErr w:type="spellEnd"/>
            <w:r w:rsidRPr="00FF7243">
              <w:rPr>
                <w:rFonts w:ascii="Arial Narrow" w:hAnsi="Arial Narrow" w:cs="Calibri"/>
                <w:color w:val="000000"/>
                <w:sz w:val="20"/>
                <w:szCs w:val="20"/>
                <w:lang w:val="es-ES" w:eastAsia="en-GB"/>
              </w:rPr>
              <w:t xml:space="preserve"> e </w:t>
            </w:r>
            <w:proofErr w:type="spellStart"/>
            <w:r w:rsidRPr="00FF7243">
              <w:rPr>
                <w:rFonts w:ascii="Arial Narrow" w:hAnsi="Arial Narrow" w:cs="Calibri"/>
                <w:color w:val="000000"/>
                <w:sz w:val="20"/>
                <w:szCs w:val="20"/>
                <w:lang w:val="es-ES" w:eastAsia="en-GB"/>
              </w:rPr>
              <w:t>grumbullimit</w:t>
            </w:r>
            <w:proofErr w:type="spellEnd"/>
            <w:r w:rsidRPr="00FF7243">
              <w:rPr>
                <w:rFonts w:ascii="Arial Narrow" w:hAnsi="Arial Narrow" w:cs="Calibri"/>
                <w:color w:val="000000"/>
                <w:sz w:val="20"/>
                <w:szCs w:val="20"/>
                <w:lang w:val="es-ES" w:eastAsia="en-GB"/>
              </w:rPr>
              <w:t xml:space="preserve"> </w:t>
            </w:r>
            <w:proofErr w:type="spellStart"/>
            <w:r w:rsidRPr="00FF7243">
              <w:rPr>
                <w:rFonts w:ascii="Arial Narrow" w:hAnsi="Arial Narrow" w:cs="Calibri"/>
                <w:color w:val="000000"/>
                <w:sz w:val="20"/>
                <w:szCs w:val="20"/>
                <w:lang w:val="es-ES" w:eastAsia="en-GB"/>
              </w:rPr>
              <w:t>ndaras</w:t>
            </w:r>
            <w:proofErr w:type="spellEnd"/>
            <w:r w:rsidRPr="00FF7243">
              <w:rPr>
                <w:rFonts w:ascii="Arial Narrow" w:hAnsi="Arial Narrow" w:cs="Calibri"/>
                <w:color w:val="000000"/>
                <w:sz w:val="20"/>
                <w:szCs w:val="20"/>
                <w:lang w:val="es-ES" w:eastAsia="en-GB"/>
              </w:rPr>
              <w:t xml:space="preserve"> </w:t>
            </w:r>
            <w:proofErr w:type="spellStart"/>
            <w:r w:rsidRPr="00FF7243">
              <w:rPr>
                <w:rFonts w:ascii="Arial Narrow" w:hAnsi="Arial Narrow" w:cs="Calibri"/>
                <w:color w:val="000000"/>
                <w:sz w:val="20"/>
                <w:szCs w:val="20"/>
                <w:lang w:val="es-ES" w:eastAsia="en-GB"/>
              </w:rPr>
              <w:t>të</w:t>
            </w:r>
            <w:proofErr w:type="spellEnd"/>
            <w:r w:rsidRPr="00FF7243">
              <w:rPr>
                <w:rFonts w:ascii="Arial Narrow" w:hAnsi="Arial Narrow" w:cs="Calibri"/>
                <w:color w:val="000000"/>
                <w:sz w:val="20"/>
                <w:szCs w:val="20"/>
                <w:lang w:val="es-ES" w:eastAsia="en-GB"/>
              </w:rPr>
              <w:t xml:space="preserve"> </w:t>
            </w:r>
            <w:proofErr w:type="spellStart"/>
            <w:r w:rsidRPr="00FF7243">
              <w:rPr>
                <w:rFonts w:ascii="Arial Narrow" w:hAnsi="Arial Narrow" w:cs="Calibri"/>
                <w:color w:val="000000"/>
                <w:sz w:val="20"/>
                <w:szCs w:val="20"/>
                <w:lang w:val="es-ES" w:eastAsia="en-GB"/>
              </w:rPr>
              <w:t>mbeturinave</w:t>
            </w:r>
            <w:proofErr w:type="spellEnd"/>
          </w:p>
          <w:p w14:paraId="3BC5758D" w14:textId="25F4DFF2"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xml:space="preserve">&amp; </w:t>
            </w:r>
            <w:proofErr w:type="spellStart"/>
            <w:r w:rsidRPr="00EA6DA5">
              <w:rPr>
                <w:rFonts w:ascii="Arial Narrow" w:hAnsi="Arial Narrow" w:cs="Calibri"/>
                <w:color w:val="000000"/>
                <w:sz w:val="20"/>
                <w:szCs w:val="20"/>
                <w:lang w:val="en-GB" w:eastAsia="en-GB"/>
              </w:rPr>
              <w:t>objekti</w:t>
            </w:r>
            <w:proofErr w:type="spellEnd"/>
            <w:r w:rsidRPr="00EA6DA5">
              <w:rPr>
                <w:rFonts w:ascii="Arial Narrow" w:hAnsi="Arial Narrow" w:cs="Calibri"/>
                <w:color w:val="000000"/>
                <w:sz w:val="20"/>
                <w:szCs w:val="20"/>
                <w:lang w:val="en-GB" w:eastAsia="en-GB"/>
              </w:rPr>
              <w:t xml:space="preserve"> i </w:t>
            </w:r>
            <w:proofErr w:type="spellStart"/>
            <w:r w:rsidRPr="00EA6DA5">
              <w:rPr>
                <w:rFonts w:ascii="Arial Narrow" w:hAnsi="Arial Narrow" w:cs="Calibri"/>
                <w:color w:val="000000"/>
                <w:sz w:val="20"/>
                <w:szCs w:val="20"/>
                <w:lang w:val="en-GB" w:eastAsia="en-GB"/>
              </w:rPr>
              <w:t>klasifikimit</w:t>
            </w:r>
            <w:proofErr w:type="spellEnd"/>
          </w:p>
        </w:tc>
        <w:tc>
          <w:tcPr>
            <w:tcW w:w="501" w:type="pct"/>
            <w:shd w:val="clear" w:color="auto" w:fill="auto"/>
            <w:noWrap/>
            <w:vAlign w:val="center"/>
            <w:hideMark/>
          </w:tcPr>
          <w:p w14:paraId="213B74B9" w14:textId="39C0059E" w:rsidR="009F6482" w:rsidRPr="00EA6DA5" w:rsidRDefault="009F6482" w:rsidP="009F6482">
            <w:pPr>
              <w:rPr>
                <w:rFonts w:ascii="Arial Narrow" w:hAnsi="Arial Narrow" w:cs="Calibri"/>
                <w:color w:val="333F4F"/>
                <w:sz w:val="20"/>
                <w:szCs w:val="20"/>
                <w:lang w:val="en-GB" w:eastAsia="en-GB"/>
              </w:rPr>
            </w:pPr>
            <w:r w:rsidRPr="00EA6DA5">
              <w:rPr>
                <w:rFonts w:ascii="Arial Narrow" w:hAnsi="Arial Narrow" w:cs="Calibri"/>
                <w:color w:val="333F4F"/>
                <w:sz w:val="20"/>
                <w:szCs w:val="20"/>
                <w:lang w:val="en-GB" w:eastAsia="en-GB"/>
              </w:rPr>
              <w:t>1,575</w:t>
            </w:r>
          </w:p>
        </w:tc>
        <w:tc>
          <w:tcPr>
            <w:tcW w:w="412" w:type="pct"/>
            <w:shd w:val="clear" w:color="auto" w:fill="auto"/>
            <w:noWrap/>
            <w:vAlign w:val="center"/>
            <w:hideMark/>
          </w:tcPr>
          <w:p w14:paraId="00F9902A" w14:textId="3A4728EB" w:rsidR="009F6482" w:rsidRPr="00EA6DA5" w:rsidRDefault="009F6482" w:rsidP="009F6482">
            <w:pPr>
              <w:jc w:val="right"/>
              <w:rPr>
                <w:rFonts w:ascii="Arial Narrow" w:hAnsi="Arial Narrow" w:cs="Calibri"/>
                <w:color w:val="333F4F"/>
                <w:sz w:val="20"/>
                <w:szCs w:val="20"/>
                <w:lang w:val="en-GB" w:eastAsia="en-GB"/>
              </w:rPr>
            </w:pPr>
            <w:r w:rsidRPr="00EA6DA5">
              <w:rPr>
                <w:rFonts w:ascii="Arial Narrow" w:hAnsi="Arial Narrow" w:cs="Calibri"/>
                <w:color w:val="333F4F"/>
                <w:sz w:val="20"/>
                <w:szCs w:val="20"/>
                <w:lang w:val="en-GB" w:eastAsia="en-GB"/>
              </w:rPr>
              <w:t>2,855</w:t>
            </w:r>
          </w:p>
        </w:tc>
        <w:tc>
          <w:tcPr>
            <w:tcW w:w="412" w:type="pct"/>
            <w:shd w:val="clear" w:color="auto" w:fill="auto"/>
            <w:noWrap/>
            <w:vAlign w:val="center"/>
            <w:hideMark/>
          </w:tcPr>
          <w:p w14:paraId="011C3C28" w14:textId="3FED847F" w:rsidR="009F6482" w:rsidRPr="00EA6DA5" w:rsidRDefault="009F6482" w:rsidP="009F6482">
            <w:pPr>
              <w:jc w:val="right"/>
              <w:rPr>
                <w:rFonts w:ascii="Arial Narrow" w:hAnsi="Arial Narrow" w:cs="Calibri"/>
                <w:color w:val="333F4F"/>
                <w:sz w:val="20"/>
                <w:szCs w:val="20"/>
                <w:lang w:val="en-GB" w:eastAsia="en-GB"/>
              </w:rPr>
            </w:pPr>
            <w:r w:rsidRPr="00EA6DA5">
              <w:rPr>
                <w:rFonts w:ascii="Arial Narrow" w:hAnsi="Arial Narrow" w:cs="Calibri"/>
                <w:color w:val="333F4F"/>
                <w:sz w:val="20"/>
                <w:szCs w:val="20"/>
                <w:lang w:val="en-GB" w:eastAsia="en-GB"/>
              </w:rPr>
              <w:t>567</w:t>
            </w:r>
          </w:p>
        </w:tc>
        <w:tc>
          <w:tcPr>
            <w:tcW w:w="412" w:type="pct"/>
            <w:shd w:val="clear" w:color="auto" w:fill="auto"/>
            <w:noWrap/>
            <w:vAlign w:val="center"/>
            <w:hideMark/>
          </w:tcPr>
          <w:p w14:paraId="333C740B" w14:textId="39F25FEC" w:rsidR="009F6482" w:rsidRPr="00EA6DA5" w:rsidRDefault="009F6482" w:rsidP="009F6482">
            <w:pPr>
              <w:jc w:val="right"/>
              <w:rPr>
                <w:rFonts w:ascii="Arial Narrow" w:hAnsi="Arial Narrow" w:cs="Calibri"/>
                <w:color w:val="333F4F"/>
                <w:sz w:val="20"/>
                <w:szCs w:val="20"/>
                <w:lang w:val="en-GB" w:eastAsia="en-GB"/>
              </w:rPr>
            </w:pPr>
            <w:r w:rsidRPr="00EA6DA5">
              <w:rPr>
                <w:rFonts w:ascii="Arial Narrow" w:hAnsi="Arial Narrow" w:cs="Calibri"/>
                <w:color w:val="333F4F"/>
                <w:sz w:val="20"/>
                <w:szCs w:val="20"/>
                <w:lang w:val="en-GB" w:eastAsia="en-GB"/>
              </w:rPr>
              <w:t>570</w:t>
            </w:r>
          </w:p>
        </w:tc>
        <w:tc>
          <w:tcPr>
            <w:tcW w:w="413" w:type="pct"/>
            <w:shd w:val="clear" w:color="auto" w:fill="auto"/>
            <w:noWrap/>
            <w:vAlign w:val="center"/>
            <w:hideMark/>
          </w:tcPr>
          <w:p w14:paraId="313CA119" w14:textId="7479E87C" w:rsidR="009F6482" w:rsidRPr="00EA6DA5" w:rsidRDefault="009F6482" w:rsidP="009F6482">
            <w:pPr>
              <w:jc w:val="right"/>
              <w:rPr>
                <w:rFonts w:ascii="Arial Narrow" w:hAnsi="Arial Narrow" w:cs="Calibri"/>
                <w:color w:val="333F4F"/>
                <w:sz w:val="20"/>
                <w:szCs w:val="20"/>
                <w:lang w:val="en-GB" w:eastAsia="en-GB"/>
              </w:rPr>
            </w:pPr>
            <w:r w:rsidRPr="00EA6DA5">
              <w:rPr>
                <w:rFonts w:ascii="Arial Narrow" w:hAnsi="Arial Narrow" w:cs="Calibri"/>
                <w:color w:val="333F4F"/>
                <w:sz w:val="20"/>
                <w:szCs w:val="20"/>
                <w:lang w:val="en-GB" w:eastAsia="en-GB"/>
              </w:rPr>
              <w:t>397</w:t>
            </w:r>
          </w:p>
        </w:tc>
        <w:tc>
          <w:tcPr>
            <w:tcW w:w="455" w:type="pct"/>
            <w:shd w:val="clear" w:color="auto" w:fill="auto"/>
            <w:noWrap/>
            <w:vAlign w:val="center"/>
            <w:hideMark/>
          </w:tcPr>
          <w:p w14:paraId="7DFD1821" w14:textId="30C0FC9A" w:rsidR="009F6482" w:rsidRPr="00EA6DA5" w:rsidRDefault="009F6482" w:rsidP="009F6482">
            <w:pPr>
              <w:jc w:val="right"/>
              <w:rPr>
                <w:rFonts w:ascii="Arial Narrow" w:hAnsi="Arial Narrow" w:cs="Calibri"/>
                <w:color w:val="333F4F"/>
                <w:sz w:val="20"/>
                <w:szCs w:val="20"/>
                <w:lang w:val="en-GB" w:eastAsia="en-GB"/>
              </w:rPr>
            </w:pPr>
            <w:r w:rsidRPr="00EA6DA5">
              <w:rPr>
                <w:rFonts w:ascii="Arial Narrow" w:hAnsi="Arial Narrow" w:cs="Calibri"/>
                <w:color w:val="333F4F"/>
                <w:sz w:val="20"/>
                <w:szCs w:val="20"/>
                <w:lang w:val="en-GB" w:eastAsia="en-GB"/>
              </w:rPr>
              <w:t>444</w:t>
            </w:r>
          </w:p>
        </w:tc>
        <w:tc>
          <w:tcPr>
            <w:tcW w:w="530" w:type="pct"/>
            <w:shd w:val="clear" w:color="auto" w:fill="auto"/>
            <w:noWrap/>
            <w:vAlign w:val="center"/>
            <w:hideMark/>
          </w:tcPr>
          <w:p w14:paraId="71939C97" w14:textId="11D8471E" w:rsidR="009F6482" w:rsidRPr="00EA6DA5" w:rsidRDefault="009F6482" w:rsidP="009F6482">
            <w:pPr>
              <w:rPr>
                <w:rFonts w:ascii="Arial Narrow" w:hAnsi="Arial Narrow" w:cs="Calibri"/>
                <w:b/>
                <w:bCs/>
                <w:color w:val="333F4F"/>
                <w:sz w:val="20"/>
                <w:szCs w:val="20"/>
                <w:lang w:val="en-GB" w:eastAsia="en-GB"/>
              </w:rPr>
            </w:pPr>
            <w:r w:rsidRPr="00EA6DA5">
              <w:rPr>
                <w:rFonts w:ascii="Arial Narrow" w:hAnsi="Arial Narrow" w:cs="Calibri"/>
                <w:b/>
                <w:bCs/>
                <w:color w:val="333F4F"/>
                <w:sz w:val="20"/>
                <w:szCs w:val="20"/>
                <w:lang w:val="en-GB" w:eastAsia="en-GB"/>
              </w:rPr>
              <w:t>PZP</w:t>
            </w:r>
          </w:p>
        </w:tc>
      </w:tr>
      <w:tr w:rsidR="009F6482" w:rsidRPr="00C97DF3" w14:paraId="503BCD5B" w14:textId="77777777" w:rsidTr="009F6482">
        <w:trPr>
          <w:trHeight w:val="210"/>
        </w:trPr>
        <w:tc>
          <w:tcPr>
            <w:tcW w:w="1866" w:type="pct"/>
            <w:shd w:val="clear" w:color="auto" w:fill="auto"/>
            <w:noWrap/>
            <w:vAlign w:val="bottom"/>
            <w:hideMark/>
          </w:tcPr>
          <w:p w14:paraId="480FB734" w14:textId="26FE122B"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OR-</w:t>
            </w:r>
            <w:proofErr w:type="spellStart"/>
            <w:r w:rsidRPr="00EA6DA5">
              <w:rPr>
                <w:rFonts w:ascii="Arial Narrow" w:hAnsi="Arial Narrow" w:cs="Calibri"/>
                <w:color w:val="000000"/>
                <w:sz w:val="20"/>
                <w:szCs w:val="20"/>
                <w:lang w:val="en-GB" w:eastAsia="en-GB"/>
              </w:rPr>
              <w:t>të</w:t>
            </w:r>
            <w:proofErr w:type="spellEnd"/>
          </w:p>
        </w:tc>
        <w:tc>
          <w:tcPr>
            <w:tcW w:w="501" w:type="pct"/>
            <w:shd w:val="clear" w:color="auto" w:fill="auto"/>
            <w:noWrap/>
            <w:vAlign w:val="center"/>
            <w:hideMark/>
          </w:tcPr>
          <w:p w14:paraId="1DF40E93" w14:textId="6A5CC051" w:rsidR="009F6482" w:rsidRPr="00EA6DA5" w:rsidRDefault="009F6482" w:rsidP="009F6482">
            <w:pPr>
              <w:jc w:val="right"/>
              <w:rPr>
                <w:rFonts w:ascii="Arial Narrow" w:hAnsi="Arial Narrow" w:cs="Calibri"/>
                <w:color w:val="333F4F"/>
                <w:sz w:val="20"/>
                <w:szCs w:val="20"/>
                <w:lang w:val="en-GB" w:eastAsia="en-GB"/>
              </w:rPr>
            </w:pPr>
            <w:r w:rsidRPr="00EA6DA5">
              <w:rPr>
                <w:rFonts w:ascii="Arial Narrow" w:hAnsi="Arial Narrow" w:cs="Calibri"/>
                <w:color w:val="333F4F"/>
                <w:sz w:val="20"/>
                <w:szCs w:val="20"/>
                <w:lang w:val="en-GB" w:eastAsia="en-GB"/>
              </w:rPr>
              <w:t>800</w:t>
            </w:r>
          </w:p>
        </w:tc>
        <w:tc>
          <w:tcPr>
            <w:tcW w:w="412" w:type="pct"/>
            <w:shd w:val="clear" w:color="auto" w:fill="auto"/>
            <w:noWrap/>
            <w:vAlign w:val="center"/>
            <w:hideMark/>
          </w:tcPr>
          <w:p w14:paraId="36DFD839" w14:textId="687C06A5" w:rsidR="009F6482" w:rsidRPr="00EA6DA5" w:rsidRDefault="009F6482" w:rsidP="009F6482">
            <w:pPr>
              <w:rPr>
                <w:rFonts w:ascii="Arial Narrow" w:hAnsi="Arial Narrow" w:cs="Calibri"/>
                <w:color w:val="333F4F"/>
                <w:sz w:val="20"/>
                <w:szCs w:val="20"/>
                <w:lang w:val="en-GB" w:eastAsia="en-GB"/>
              </w:rPr>
            </w:pPr>
            <w:r w:rsidRPr="00EA6DA5">
              <w:rPr>
                <w:rFonts w:ascii="Arial Narrow" w:hAnsi="Arial Narrow" w:cs="Calibri"/>
                <w:color w:val="333F4F"/>
                <w:sz w:val="20"/>
                <w:szCs w:val="20"/>
                <w:lang w:val="en-GB" w:eastAsia="en-GB"/>
              </w:rPr>
              <w:t> </w:t>
            </w:r>
          </w:p>
        </w:tc>
        <w:tc>
          <w:tcPr>
            <w:tcW w:w="412" w:type="pct"/>
            <w:shd w:val="clear" w:color="auto" w:fill="auto"/>
            <w:noWrap/>
            <w:vAlign w:val="center"/>
            <w:hideMark/>
          </w:tcPr>
          <w:p w14:paraId="4476CCBC" w14:textId="22351E85" w:rsidR="009F6482" w:rsidRPr="00EA6DA5" w:rsidRDefault="009F6482" w:rsidP="009F6482">
            <w:pPr>
              <w:rPr>
                <w:rFonts w:ascii="Arial Narrow" w:hAnsi="Arial Narrow" w:cs="Calibri"/>
                <w:color w:val="333F4F"/>
                <w:sz w:val="20"/>
                <w:szCs w:val="20"/>
                <w:lang w:val="en-GB" w:eastAsia="en-GB"/>
              </w:rPr>
            </w:pPr>
            <w:r w:rsidRPr="00EA6DA5">
              <w:rPr>
                <w:rFonts w:ascii="Arial Narrow" w:hAnsi="Arial Narrow" w:cs="Calibri"/>
                <w:color w:val="333F4F"/>
                <w:sz w:val="20"/>
                <w:szCs w:val="20"/>
                <w:lang w:val="en-GB" w:eastAsia="en-GB"/>
              </w:rPr>
              <w:t> </w:t>
            </w:r>
          </w:p>
        </w:tc>
        <w:tc>
          <w:tcPr>
            <w:tcW w:w="412" w:type="pct"/>
            <w:shd w:val="clear" w:color="auto" w:fill="auto"/>
            <w:noWrap/>
            <w:vAlign w:val="center"/>
            <w:hideMark/>
          </w:tcPr>
          <w:p w14:paraId="1C9933D2" w14:textId="44A932B1" w:rsidR="009F6482" w:rsidRPr="00EA6DA5" w:rsidRDefault="009F6482" w:rsidP="009F6482">
            <w:pPr>
              <w:rPr>
                <w:rFonts w:ascii="Arial Narrow" w:hAnsi="Arial Narrow" w:cs="Calibri"/>
                <w:color w:val="333F4F"/>
                <w:sz w:val="20"/>
                <w:szCs w:val="20"/>
                <w:lang w:val="en-GB" w:eastAsia="en-GB"/>
              </w:rPr>
            </w:pPr>
            <w:r w:rsidRPr="00EA6DA5">
              <w:rPr>
                <w:rFonts w:ascii="Arial Narrow" w:hAnsi="Arial Narrow" w:cs="Calibri"/>
                <w:color w:val="333F4F"/>
                <w:sz w:val="20"/>
                <w:szCs w:val="20"/>
                <w:lang w:val="en-GB" w:eastAsia="en-GB"/>
              </w:rPr>
              <w:t> </w:t>
            </w:r>
          </w:p>
        </w:tc>
        <w:tc>
          <w:tcPr>
            <w:tcW w:w="413" w:type="pct"/>
            <w:shd w:val="clear" w:color="auto" w:fill="auto"/>
            <w:noWrap/>
            <w:vAlign w:val="center"/>
            <w:hideMark/>
          </w:tcPr>
          <w:p w14:paraId="3C65CBDE" w14:textId="7111DC5E" w:rsidR="009F6482" w:rsidRPr="00EA6DA5" w:rsidRDefault="009F6482" w:rsidP="009F6482">
            <w:pPr>
              <w:rPr>
                <w:rFonts w:ascii="Arial Narrow" w:hAnsi="Arial Narrow" w:cs="Calibri"/>
                <w:color w:val="333F4F"/>
                <w:sz w:val="20"/>
                <w:szCs w:val="20"/>
                <w:lang w:val="en-GB" w:eastAsia="en-GB"/>
              </w:rPr>
            </w:pPr>
            <w:r w:rsidRPr="00EA6DA5">
              <w:rPr>
                <w:rFonts w:ascii="Arial Narrow" w:hAnsi="Arial Narrow" w:cs="Calibri"/>
                <w:color w:val="333F4F"/>
                <w:sz w:val="20"/>
                <w:szCs w:val="20"/>
                <w:lang w:val="en-GB" w:eastAsia="en-GB"/>
              </w:rPr>
              <w:t> </w:t>
            </w:r>
          </w:p>
        </w:tc>
        <w:tc>
          <w:tcPr>
            <w:tcW w:w="455" w:type="pct"/>
            <w:shd w:val="clear" w:color="auto" w:fill="auto"/>
            <w:noWrap/>
            <w:vAlign w:val="center"/>
            <w:hideMark/>
          </w:tcPr>
          <w:p w14:paraId="284ACF8D" w14:textId="13A148B4" w:rsidR="009F6482" w:rsidRPr="00EA6DA5" w:rsidRDefault="009F6482" w:rsidP="009F6482">
            <w:pPr>
              <w:rPr>
                <w:rFonts w:ascii="Arial Narrow" w:hAnsi="Arial Narrow" w:cs="Calibri"/>
                <w:color w:val="333F4F"/>
                <w:sz w:val="20"/>
                <w:szCs w:val="20"/>
                <w:lang w:val="en-GB" w:eastAsia="en-GB"/>
              </w:rPr>
            </w:pPr>
            <w:r w:rsidRPr="00EA6DA5">
              <w:rPr>
                <w:rFonts w:ascii="Arial Narrow" w:hAnsi="Arial Narrow" w:cs="Calibri"/>
                <w:color w:val="333F4F"/>
                <w:sz w:val="20"/>
                <w:szCs w:val="20"/>
                <w:lang w:val="en-GB" w:eastAsia="en-GB"/>
              </w:rPr>
              <w:t> </w:t>
            </w:r>
          </w:p>
        </w:tc>
        <w:tc>
          <w:tcPr>
            <w:tcW w:w="530" w:type="pct"/>
            <w:shd w:val="clear" w:color="auto" w:fill="auto"/>
            <w:noWrap/>
            <w:vAlign w:val="bottom"/>
            <w:hideMark/>
          </w:tcPr>
          <w:p w14:paraId="59092E23" w14:textId="121F60D9"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grant</w:t>
            </w:r>
          </w:p>
        </w:tc>
      </w:tr>
      <w:tr w:rsidR="009F6482" w:rsidRPr="00C97DF3" w14:paraId="771A224B" w14:textId="77777777" w:rsidTr="009F6482">
        <w:trPr>
          <w:trHeight w:val="210"/>
        </w:trPr>
        <w:tc>
          <w:tcPr>
            <w:tcW w:w="1866" w:type="pct"/>
            <w:shd w:val="clear" w:color="auto" w:fill="auto"/>
            <w:noWrap/>
            <w:vAlign w:val="bottom"/>
            <w:hideMark/>
          </w:tcPr>
          <w:p w14:paraId="2141F154" w14:textId="34588BE2" w:rsidR="009F6482" w:rsidRPr="00EA6DA5" w:rsidRDefault="009F6482" w:rsidP="009F6482">
            <w:pPr>
              <w:rPr>
                <w:rFonts w:ascii="Arial Narrow" w:hAnsi="Arial Narrow" w:cs="Calibri"/>
                <w:color w:val="000000"/>
                <w:sz w:val="20"/>
                <w:szCs w:val="20"/>
                <w:lang w:val="en-GB" w:eastAsia="en-GB"/>
              </w:rPr>
            </w:pPr>
            <w:proofErr w:type="spellStart"/>
            <w:r w:rsidRPr="00EA6DA5">
              <w:rPr>
                <w:rFonts w:ascii="Arial Narrow" w:hAnsi="Arial Narrow" w:cs="Calibri"/>
                <w:color w:val="000000"/>
                <w:sz w:val="20"/>
                <w:szCs w:val="20"/>
                <w:lang w:val="en-GB" w:eastAsia="en-GB"/>
              </w:rPr>
              <w:t>Objekti</w:t>
            </w:r>
            <w:proofErr w:type="spellEnd"/>
            <w:r w:rsidRPr="00EA6DA5">
              <w:rPr>
                <w:rFonts w:ascii="Arial Narrow" w:hAnsi="Arial Narrow" w:cs="Calibri"/>
                <w:color w:val="000000"/>
                <w:sz w:val="20"/>
                <w:szCs w:val="20"/>
                <w:lang w:val="en-GB" w:eastAsia="en-GB"/>
              </w:rPr>
              <w:t xml:space="preserve"> i </w:t>
            </w:r>
            <w:proofErr w:type="spellStart"/>
            <w:r w:rsidRPr="00EA6DA5">
              <w:rPr>
                <w:rFonts w:ascii="Arial Narrow" w:hAnsi="Arial Narrow" w:cs="Calibri"/>
                <w:color w:val="000000"/>
                <w:sz w:val="20"/>
                <w:szCs w:val="20"/>
                <w:lang w:val="en-GB" w:eastAsia="en-GB"/>
              </w:rPr>
              <w:t>kompostimit</w:t>
            </w:r>
            <w:proofErr w:type="spellEnd"/>
            <w:r w:rsidRPr="00EA6DA5">
              <w:rPr>
                <w:rFonts w:ascii="Arial Narrow" w:hAnsi="Arial Narrow" w:cs="Calibri"/>
                <w:color w:val="000000"/>
                <w:sz w:val="20"/>
                <w:szCs w:val="20"/>
                <w:lang w:val="en-GB" w:eastAsia="en-GB"/>
              </w:rPr>
              <w:t xml:space="preserve"> </w:t>
            </w:r>
            <w:proofErr w:type="spellStart"/>
            <w:r w:rsidRPr="00EA6DA5">
              <w:rPr>
                <w:rFonts w:ascii="Arial Narrow" w:hAnsi="Arial Narrow" w:cs="Calibri"/>
                <w:color w:val="000000"/>
                <w:sz w:val="20"/>
                <w:szCs w:val="20"/>
                <w:lang w:val="en-GB" w:eastAsia="en-GB"/>
              </w:rPr>
              <w:t>në</w:t>
            </w:r>
            <w:proofErr w:type="spellEnd"/>
            <w:r w:rsidRPr="00EA6DA5">
              <w:rPr>
                <w:rFonts w:ascii="Arial Narrow" w:hAnsi="Arial Narrow" w:cs="Calibri"/>
                <w:color w:val="000000"/>
                <w:sz w:val="20"/>
                <w:szCs w:val="20"/>
                <w:lang w:val="en-GB" w:eastAsia="en-GB"/>
              </w:rPr>
              <w:t xml:space="preserve"> </w:t>
            </w:r>
            <w:proofErr w:type="spellStart"/>
            <w:r w:rsidRPr="00EA6DA5">
              <w:rPr>
                <w:rFonts w:ascii="Arial Narrow" w:hAnsi="Arial Narrow" w:cs="Calibri"/>
                <w:color w:val="000000"/>
                <w:sz w:val="20"/>
                <w:szCs w:val="20"/>
                <w:lang w:val="en-GB" w:eastAsia="en-GB"/>
              </w:rPr>
              <w:t>Pejë</w:t>
            </w:r>
            <w:proofErr w:type="spellEnd"/>
          </w:p>
        </w:tc>
        <w:tc>
          <w:tcPr>
            <w:tcW w:w="501" w:type="pct"/>
            <w:shd w:val="clear" w:color="auto" w:fill="auto"/>
            <w:noWrap/>
            <w:vAlign w:val="bottom"/>
            <w:hideMark/>
          </w:tcPr>
          <w:p w14:paraId="79D3F21D" w14:textId="14DF8B1A"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912</w:t>
            </w:r>
          </w:p>
        </w:tc>
        <w:tc>
          <w:tcPr>
            <w:tcW w:w="412" w:type="pct"/>
            <w:shd w:val="clear" w:color="auto" w:fill="auto"/>
            <w:noWrap/>
            <w:vAlign w:val="bottom"/>
            <w:hideMark/>
          </w:tcPr>
          <w:p w14:paraId="52FC3121" w14:textId="07C83779"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2" w:type="pct"/>
            <w:shd w:val="clear" w:color="auto" w:fill="auto"/>
            <w:noWrap/>
            <w:vAlign w:val="bottom"/>
            <w:hideMark/>
          </w:tcPr>
          <w:p w14:paraId="2FF59CBA" w14:textId="7DCE6EBA"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2" w:type="pct"/>
            <w:shd w:val="clear" w:color="auto" w:fill="auto"/>
            <w:noWrap/>
            <w:vAlign w:val="bottom"/>
            <w:hideMark/>
          </w:tcPr>
          <w:p w14:paraId="7C8A47F6" w14:textId="49DB0517"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3" w:type="pct"/>
            <w:shd w:val="clear" w:color="auto" w:fill="auto"/>
            <w:noWrap/>
            <w:vAlign w:val="bottom"/>
            <w:hideMark/>
          </w:tcPr>
          <w:p w14:paraId="5FF791A4" w14:textId="43BC722F"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55" w:type="pct"/>
            <w:shd w:val="clear" w:color="auto" w:fill="auto"/>
            <w:noWrap/>
            <w:vAlign w:val="bottom"/>
            <w:hideMark/>
          </w:tcPr>
          <w:p w14:paraId="379B225C" w14:textId="42A63593"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530" w:type="pct"/>
            <w:shd w:val="clear" w:color="auto" w:fill="auto"/>
            <w:noWrap/>
            <w:vAlign w:val="bottom"/>
            <w:hideMark/>
          </w:tcPr>
          <w:p w14:paraId="5581FED5" w14:textId="3B241B0A"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grant</w:t>
            </w:r>
          </w:p>
        </w:tc>
      </w:tr>
      <w:tr w:rsidR="009F6482" w:rsidRPr="00C97DF3" w14:paraId="64786B4A" w14:textId="77777777" w:rsidTr="009F6482">
        <w:trPr>
          <w:trHeight w:val="210"/>
        </w:trPr>
        <w:tc>
          <w:tcPr>
            <w:tcW w:w="1866" w:type="pct"/>
            <w:shd w:val="clear" w:color="auto" w:fill="auto"/>
            <w:noWrap/>
            <w:vAlign w:val="bottom"/>
            <w:hideMark/>
          </w:tcPr>
          <w:p w14:paraId="40A28D2F" w14:textId="498C2164" w:rsidR="009F6482" w:rsidRPr="00FF7243" w:rsidRDefault="009F6482" w:rsidP="009F6482">
            <w:pPr>
              <w:rPr>
                <w:rFonts w:ascii="Arial Narrow" w:hAnsi="Arial Narrow" w:cs="Calibri"/>
                <w:color w:val="000000"/>
                <w:sz w:val="20"/>
                <w:szCs w:val="20"/>
                <w:lang w:eastAsia="en-GB"/>
              </w:rPr>
            </w:pPr>
            <w:r w:rsidRPr="00FF7243">
              <w:rPr>
                <w:rFonts w:ascii="Arial Narrow" w:hAnsi="Arial Narrow" w:cs="Calibri"/>
                <w:color w:val="000000"/>
                <w:sz w:val="20"/>
                <w:szCs w:val="20"/>
                <w:lang w:eastAsia="en-GB"/>
              </w:rPr>
              <w:t>Pajisjet për kompostim në Istog, Klinë, Deçan</w:t>
            </w:r>
          </w:p>
        </w:tc>
        <w:tc>
          <w:tcPr>
            <w:tcW w:w="501" w:type="pct"/>
            <w:shd w:val="clear" w:color="auto" w:fill="auto"/>
            <w:noWrap/>
            <w:vAlign w:val="bottom"/>
            <w:hideMark/>
          </w:tcPr>
          <w:p w14:paraId="370F1A51" w14:textId="6A67D27F"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702</w:t>
            </w:r>
          </w:p>
        </w:tc>
        <w:tc>
          <w:tcPr>
            <w:tcW w:w="412" w:type="pct"/>
            <w:shd w:val="clear" w:color="auto" w:fill="auto"/>
            <w:noWrap/>
            <w:vAlign w:val="bottom"/>
            <w:hideMark/>
          </w:tcPr>
          <w:p w14:paraId="597171E3" w14:textId="120298C1"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2" w:type="pct"/>
            <w:shd w:val="clear" w:color="auto" w:fill="auto"/>
            <w:noWrap/>
            <w:vAlign w:val="bottom"/>
            <w:hideMark/>
          </w:tcPr>
          <w:p w14:paraId="702AF0D9" w14:textId="1BA21E9A"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2" w:type="pct"/>
            <w:shd w:val="clear" w:color="auto" w:fill="auto"/>
            <w:noWrap/>
            <w:vAlign w:val="bottom"/>
            <w:hideMark/>
          </w:tcPr>
          <w:p w14:paraId="3A669770" w14:textId="0C0D0ECA"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3" w:type="pct"/>
            <w:shd w:val="clear" w:color="auto" w:fill="auto"/>
            <w:noWrap/>
            <w:vAlign w:val="bottom"/>
            <w:hideMark/>
          </w:tcPr>
          <w:p w14:paraId="0CCC7F07" w14:textId="64BFF025"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55" w:type="pct"/>
            <w:shd w:val="clear" w:color="auto" w:fill="auto"/>
            <w:noWrap/>
            <w:vAlign w:val="bottom"/>
            <w:hideMark/>
          </w:tcPr>
          <w:p w14:paraId="1C31F321" w14:textId="0EEC0BB0"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530" w:type="pct"/>
            <w:shd w:val="clear" w:color="auto" w:fill="auto"/>
            <w:noWrap/>
            <w:vAlign w:val="bottom"/>
            <w:hideMark/>
          </w:tcPr>
          <w:p w14:paraId="43490CAF" w14:textId="768B730E"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grant</w:t>
            </w:r>
          </w:p>
        </w:tc>
      </w:tr>
      <w:tr w:rsidR="009F6482" w:rsidRPr="00C97DF3" w14:paraId="0153EC56" w14:textId="77777777" w:rsidTr="009F6482">
        <w:trPr>
          <w:trHeight w:val="210"/>
        </w:trPr>
        <w:tc>
          <w:tcPr>
            <w:tcW w:w="1866" w:type="pct"/>
            <w:shd w:val="clear" w:color="auto" w:fill="auto"/>
            <w:noWrap/>
            <w:vAlign w:val="bottom"/>
            <w:hideMark/>
          </w:tcPr>
          <w:p w14:paraId="7AB8EE4A" w14:textId="003E5930" w:rsidR="009F6482" w:rsidRPr="00EA6DA5" w:rsidRDefault="009F6482" w:rsidP="009F6482">
            <w:pPr>
              <w:rPr>
                <w:rFonts w:ascii="Arial Narrow" w:hAnsi="Arial Narrow" w:cs="Calibri"/>
                <w:color w:val="000000"/>
                <w:sz w:val="20"/>
                <w:szCs w:val="20"/>
                <w:lang w:val="en-GB" w:eastAsia="en-GB"/>
              </w:rPr>
            </w:pPr>
            <w:proofErr w:type="spellStart"/>
            <w:r w:rsidRPr="00EA6DA5">
              <w:rPr>
                <w:rFonts w:ascii="Arial Narrow" w:hAnsi="Arial Narrow" w:cs="Calibri"/>
                <w:color w:val="000000"/>
                <w:sz w:val="20"/>
                <w:szCs w:val="20"/>
                <w:lang w:val="en-GB" w:eastAsia="en-GB"/>
              </w:rPr>
              <w:t>Stacioni</w:t>
            </w:r>
            <w:proofErr w:type="spellEnd"/>
            <w:r w:rsidRPr="00EA6DA5">
              <w:rPr>
                <w:rFonts w:ascii="Arial Narrow" w:hAnsi="Arial Narrow" w:cs="Calibri"/>
                <w:color w:val="000000"/>
                <w:sz w:val="20"/>
                <w:szCs w:val="20"/>
                <w:lang w:val="en-GB" w:eastAsia="en-GB"/>
              </w:rPr>
              <w:t xml:space="preserve"> i </w:t>
            </w:r>
            <w:proofErr w:type="spellStart"/>
            <w:r w:rsidRPr="00EA6DA5">
              <w:rPr>
                <w:rFonts w:ascii="Arial Narrow" w:hAnsi="Arial Narrow" w:cs="Calibri"/>
                <w:color w:val="000000"/>
                <w:sz w:val="20"/>
                <w:szCs w:val="20"/>
                <w:lang w:val="en-GB" w:eastAsia="en-GB"/>
              </w:rPr>
              <w:t>Transferit</w:t>
            </w:r>
            <w:proofErr w:type="spellEnd"/>
            <w:r w:rsidRPr="00EA6DA5">
              <w:rPr>
                <w:rFonts w:ascii="Arial Narrow" w:hAnsi="Arial Narrow" w:cs="Calibri"/>
                <w:color w:val="000000"/>
                <w:sz w:val="20"/>
                <w:szCs w:val="20"/>
                <w:lang w:val="en-GB" w:eastAsia="en-GB"/>
              </w:rPr>
              <w:t xml:space="preserve"> </w:t>
            </w:r>
            <w:proofErr w:type="spellStart"/>
            <w:r w:rsidRPr="00EA6DA5">
              <w:rPr>
                <w:rFonts w:ascii="Arial Narrow" w:hAnsi="Arial Narrow" w:cs="Calibri"/>
                <w:color w:val="000000"/>
                <w:sz w:val="20"/>
                <w:szCs w:val="20"/>
                <w:lang w:val="en-GB" w:eastAsia="en-GB"/>
              </w:rPr>
              <w:t>Istog</w:t>
            </w:r>
            <w:proofErr w:type="spellEnd"/>
          </w:p>
        </w:tc>
        <w:tc>
          <w:tcPr>
            <w:tcW w:w="501" w:type="pct"/>
            <w:shd w:val="clear" w:color="auto" w:fill="auto"/>
            <w:noWrap/>
            <w:vAlign w:val="bottom"/>
            <w:hideMark/>
          </w:tcPr>
          <w:p w14:paraId="239A891E" w14:textId="0474BCFD"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575</w:t>
            </w:r>
          </w:p>
        </w:tc>
        <w:tc>
          <w:tcPr>
            <w:tcW w:w="412" w:type="pct"/>
            <w:shd w:val="clear" w:color="auto" w:fill="auto"/>
            <w:noWrap/>
            <w:vAlign w:val="bottom"/>
            <w:hideMark/>
          </w:tcPr>
          <w:p w14:paraId="7A8AFDAA" w14:textId="70ED1BE5"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119</w:t>
            </w:r>
          </w:p>
        </w:tc>
        <w:tc>
          <w:tcPr>
            <w:tcW w:w="412" w:type="pct"/>
            <w:shd w:val="clear" w:color="auto" w:fill="auto"/>
            <w:noWrap/>
            <w:vAlign w:val="bottom"/>
            <w:hideMark/>
          </w:tcPr>
          <w:p w14:paraId="413264AF" w14:textId="5B7D2AAE"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2" w:type="pct"/>
            <w:shd w:val="clear" w:color="auto" w:fill="auto"/>
            <w:noWrap/>
            <w:vAlign w:val="bottom"/>
            <w:hideMark/>
          </w:tcPr>
          <w:p w14:paraId="454D6637" w14:textId="56604C96"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3" w:type="pct"/>
            <w:shd w:val="clear" w:color="auto" w:fill="auto"/>
            <w:noWrap/>
            <w:vAlign w:val="bottom"/>
            <w:hideMark/>
          </w:tcPr>
          <w:p w14:paraId="45572140" w14:textId="559CE1D7"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55" w:type="pct"/>
            <w:shd w:val="clear" w:color="auto" w:fill="auto"/>
            <w:noWrap/>
            <w:vAlign w:val="bottom"/>
            <w:hideMark/>
          </w:tcPr>
          <w:p w14:paraId="3AA362DA" w14:textId="152EE247"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530" w:type="pct"/>
            <w:shd w:val="clear" w:color="auto" w:fill="auto"/>
            <w:noWrap/>
            <w:vAlign w:val="bottom"/>
            <w:hideMark/>
          </w:tcPr>
          <w:p w14:paraId="29140D6E" w14:textId="47A0A4AB"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grant</w:t>
            </w:r>
          </w:p>
        </w:tc>
      </w:tr>
      <w:tr w:rsidR="009F6482" w:rsidRPr="00C97DF3" w14:paraId="584FD249" w14:textId="77777777" w:rsidTr="009F6482">
        <w:trPr>
          <w:trHeight w:val="210"/>
        </w:trPr>
        <w:tc>
          <w:tcPr>
            <w:tcW w:w="1866" w:type="pct"/>
            <w:shd w:val="clear" w:color="auto" w:fill="auto"/>
            <w:noWrap/>
            <w:vAlign w:val="bottom"/>
            <w:hideMark/>
          </w:tcPr>
          <w:p w14:paraId="0B9E5BA3" w14:textId="5F3CB4B6" w:rsidR="009F6482" w:rsidRPr="00EA6DA5" w:rsidRDefault="009F6482" w:rsidP="009F6482">
            <w:pPr>
              <w:rPr>
                <w:rFonts w:ascii="Arial Narrow" w:hAnsi="Arial Narrow" w:cs="Calibri"/>
                <w:color w:val="000000"/>
                <w:sz w:val="20"/>
                <w:szCs w:val="20"/>
                <w:lang w:val="en-GB" w:eastAsia="en-GB"/>
              </w:rPr>
            </w:pPr>
            <w:proofErr w:type="spellStart"/>
            <w:r w:rsidRPr="00EA6DA5">
              <w:rPr>
                <w:rFonts w:ascii="Arial Narrow" w:hAnsi="Arial Narrow" w:cs="Calibri"/>
                <w:color w:val="000000"/>
                <w:sz w:val="20"/>
                <w:szCs w:val="20"/>
                <w:lang w:val="en-GB" w:eastAsia="en-GB"/>
              </w:rPr>
              <w:t>Stacioni</w:t>
            </w:r>
            <w:proofErr w:type="spellEnd"/>
            <w:r w:rsidRPr="00EA6DA5">
              <w:rPr>
                <w:rFonts w:ascii="Arial Narrow" w:hAnsi="Arial Narrow" w:cs="Calibri"/>
                <w:color w:val="000000"/>
                <w:sz w:val="20"/>
                <w:szCs w:val="20"/>
                <w:lang w:val="en-GB" w:eastAsia="en-GB"/>
              </w:rPr>
              <w:t xml:space="preserve"> i </w:t>
            </w:r>
            <w:proofErr w:type="spellStart"/>
            <w:r w:rsidRPr="00EA6DA5">
              <w:rPr>
                <w:rFonts w:ascii="Arial Narrow" w:hAnsi="Arial Narrow" w:cs="Calibri"/>
                <w:color w:val="000000"/>
                <w:sz w:val="20"/>
                <w:szCs w:val="20"/>
                <w:lang w:val="en-GB" w:eastAsia="en-GB"/>
              </w:rPr>
              <w:t>Transferit</w:t>
            </w:r>
            <w:proofErr w:type="spellEnd"/>
            <w:r w:rsidRPr="00EA6DA5">
              <w:rPr>
                <w:rFonts w:ascii="Arial Narrow" w:hAnsi="Arial Narrow" w:cs="Calibri"/>
                <w:color w:val="000000"/>
                <w:sz w:val="20"/>
                <w:szCs w:val="20"/>
                <w:lang w:val="en-GB" w:eastAsia="en-GB"/>
              </w:rPr>
              <w:t xml:space="preserve"> </w:t>
            </w:r>
            <w:proofErr w:type="spellStart"/>
            <w:r w:rsidRPr="00EA6DA5">
              <w:rPr>
                <w:rFonts w:ascii="Arial Narrow" w:hAnsi="Arial Narrow" w:cs="Calibri"/>
                <w:color w:val="000000"/>
                <w:sz w:val="20"/>
                <w:szCs w:val="20"/>
                <w:lang w:val="en-GB" w:eastAsia="en-GB"/>
              </w:rPr>
              <w:t>Deçan</w:t>
            </w:r>
            <w:proofErr w:type="spellEnd"/>
          </w:p>
        </w:tc>
        <w:tc>
          <w:tcPr>
            <w:tcW w:w="501" w:type="pct"/>
            <w:shd w:val="clear" w:color="auto" w:fill="auto"/>
            <w:noWrap/>
            <w:vAlign w:val="bottom"/>
            <w:hideMark/>
          </w:tcPr>
          <w:p w14:paraId="552E3F20" w14:textId="53E2FD88"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607</w:t>
            </w:r>
          </w:p>
        </w:tc>
        <w:tc>
          <w:tcPr>
            <w:tcW w:w="412" w:type="pct"/>
            <w:shd w:val="clear" w:color="auto" w:fill="auto"/>
            <w:noWrap/>
            <w:vAlign w:val="bottom"/>
            <w:hideMark/>
          </w:tcPr>
          <w:p w14:paraId="6A389BD5" w14:textId="1D89ECEB"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119</w:t>
            </w:r>
          </w:p>
        </w:tc>
        <w:tc>
          <w:tcPr>
            <w:tcW w:w="412" w:type="pct"/>
            <w:shd w:val="clear" w:color="auto" w:fill="auto"/>
            <w:noWrap/>
            <w:vAlign w:val="bottom"/>
            <w:hideMark/>
          </w:tcPr>
          <w:p w14:paraId="18BF1D70" w14:textId="33220A1F"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2" w:type="pct"/>
            <w:shd w:val="clear" w:color="auto" w:fill="auto"/>
            <w:noWrap/>
            <w:vAlign w:val="bottom"/>
            <w:hideMark/>
          </w:tcPr>
          <w:p w14:paraId="76D90A1B" w14:textId="46CEEF34"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3" w:type="pct"/>
            <w:shd w:val="clear" w:color="auto" w:fill="auto"/>
            <w:noWrap/>
            <w:vAlign w:val="bottom"/>
            <w:hideMark/>
          </w:tcPr>
          <w:p w14:paraId="7F65A564" w14:textId="316318D0"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55" w:type="pct"/>
            <w:shd w:val="clear" w:color="auto" w:fill="auto"/>
            <w:noWrap/>
            <w:vAlign w:val="bottom"/>
            <w:hideMark/>
          </w:tcPr>
          <w:p w14:paraId="7986E9A2" w14:textId="5B32A085"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530" w:type="pct"/>
            <w:shd w:val="clear" w:color="auto" w:fill="auto"/>
            <w:noWrap/>
            <w:vAlign w:val="bottom"/>
            <w:hideMark/>
          </w:tcPr>
          <w:p w14:paraId="47BDD2E1" w14:textId="2EC4959E"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grant</w:t>
            </w:r>
          </w:p>
        </w:tc>
      </w:tr>
      <w:tr w:rsidR="009F6482" w:rsidRPr="00C97DF3" w14:paraId="6B6160FD" w14:textId="77777777" w:rsidTr="009F6482">
        <w:trPr>
          <w:trHeight w:val="210"/>
        </w:trPr>
        <w:tc>
          <w:tcPr>
            <w:tcW w:w="1866" w:type="pct"/>
            <w:shd w:val="clear" w:color="auto" w:fill="auto"/>
            <w:noWrap/>
            <w:vAlign w:val="bottom"/>
            <w:hideMark/>
          </w:tcPr>
          <w:p w14:paraId="09431E7A" w14:textId="67D3486F" w:rsidR="009F6482" w:rsidRPr="00EA6DA5" w:rsidRDefault="009F6482" w:rsidP="009F6482">
            <w:pPr>
              <w:rPr>
                <w:rFonts w:ascii="Arial Narrow" w:hAnsi="Arial Narrow" w:cs="Calibri"/>
                <w:color w:val="000000"/>
                <w:sz w:val="20"/>
                <w:szCs w:val="20"/>
                <w:lang w:val="en-GB" w:eastAsia="en-GB"/>
              </w:rPr>
            </w:pPr>
            <w:proofErr w:type="spellStart"/>
            <w:r w:rsidRPr="00EA6DA5">
              <w:rPr>
                <w:rFonts w:ascii="Arial Narrow" w:hAnsi="Arial Narrow" w:cs="Calibri"/>
                <w:color w:val="000000"/>
                <w:sz w:val="20"/>
                <w:szCs w:val="20"/>
                <w:lang w:val="en-GB" w:eastAsia="en-GB"/>
              </w:rPr>
              <w:t>Deponia</w:t>
            </w:r>
            <w:proofErr w:type="spellEnd"/>
            <w:r w:rsidRPr="00EA6DA5">
              <w:rPr>
                <w:rFonts w:ascii="Arial Narrow" w:hAnsi="Arial Narrow" w:cs="Calibri"/>
                <w:color w:val="000000"/>
                <w:sz w:val="20"/>
                <w:szCs w:val="20"/>
                <w:lang w:val="en-GB" w:eastAsia="en-GB"/>
              </w:rPr>
              <w:t xml:space="preserve"> </w:t>
            </w:r>
            <w:proofErr w:type="spellStart"/>
            <w:r w:rsidRPr="00EA6DA5">
              <w:rPr>
                <w:rFonts w:ascii="Arial Narrow" w:hAnsi="Arial Narrow" w:cs="Calibri"/>
                <w:color w:val="000000"/>
                <w:sz w:val="20"/>
                <w:szCs w:val="20"/>
                <w:lang w:val="en-GB" w:eastAsia="en-GB"/>
              </w:rPr>
              <w:t>rajonale</w:t>
            </w:r>
            <w:proofErr w:type="spellEnd"/>
          </w:p>
        </w:tc>
        <w:tc>
          <w:tcPr>
            <w:tcW w:w="501" w:type="pct"/>
            <w:shd w:val="clear" w:color="auto" w:fill="auto"/>
            <w:noWrap/>
            <w:vAlign w:val="bottom"/>
            <w:hideMark/>
          </w:tcPr>
          <w:p w14:paraId="6EF4EDA2" w14:textId="12D17C2B"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10,248</w:t>
            </w:r>
          </w:p>
        </w:tc>
        <w:tc>
          <w:tcPr>
            <w:tcW w:w="412" w:type="pct"/>
            <w:shd w:val="clear" w:color="auto" w:fill="auto"/>
            <w:noWrap/>
            <w:vAlign w:val="bottom"/>
            <w:hideMark/>
          </w:tcPr>
          <w:p w14:paraId="454D4C59" w14:textId="3C751326"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2" w:type="pct"/>
            <w:shd w:val="clear" w:color="auto" w:fill="auto"/>
            <w:noWrap/>
            <w:vAlign w:val="bottom"/>
            <w:hideMark/>
          </w:tcPr>
          <w:p w14:paraId="4176CCC5" w14:textId="467F69B7"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2" w:type="pct"/>
            <w:shd w:val="clear" w:color="auto" w:fill="auto"/>
            <w:noWrap/>
            <w:vAlign w:val="bottom"/>
            <w:hideMark/>
          </w:tcPr>
          <w:p w14:paraId="059A84A0" w14:textId="354DF338"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3" w:type="pct"/>
            <w:shd w:val="clear" w:color="auto" w:fill="auto"/>
            <w:noWrap/>
            <w:vAlign w:val="bottom"/>
            <w:hideMark/>
          </w:tcPr>
          <w:p w14:paraId="13DEA68D" w14:textId="4C71EF8E"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55" w:type="pct"/>
            <w:shd w:val="clear" w:color="auto" w:fill="auto"/>
            <w:noWrap/>
            <w:vAlign w:val="bottom"/>
            <w:hideMark/>
          </w:tcPr>
          <w:p w14:paraId="5FA81A14" w14:textId="7E252AAD"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1,458</w:t>
            </w:r>
          </w:p>
        </w:tc>
        <w:tc>
          <w:tcPr>
            <w:tcW w:w="530" w:type="pct"/>
            <w:shd w:val="clear" w:color="auto" w:fill="auto"/>
            <w:noWrap/>
            <w:vAlign w:val="bottom"/>
            <w:hideMark/>
          </w:tcPr>
          <w:p w14:paraId="4EFD6D92" w14:textId="10181CE8"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grant/</w:t>
            </w:r>
            <w:proofErr w:type="spellStart"/>
            <w:r w:rsidRPr="00EA6DA5">
              <w:rPr>
                <w:rFonts w:ascii="Arial Narrow" w:hAnsi="Arial Narrow" w:cs="Calibri"/>
                <w:color w:val="000000"/>
                <w:sz w:val="20"/>
                <w:szCs w:val="20"/>
                <w:lang w:val="en-GB" w:eastAsia="en-GB"/>
              </w:rPr>
              <w:t>hua</w:t>
            </w:r>
            <w:proofErr w:type="spellEnd"/>
          </w:p>
        </w:tc>
      </w:tr>
      <w:tr w:rsidR="009F6482" w:rsidRPr="00C97DF3" w14:paraId="57C5F610" w14:textId="77777777" w:rsidTr="009F6482">
        <w:trPr>
          <w:trHeight w:val="210"/>
        </w:trPr>
        <w:tc>
          <w:tcPr>
            <w:tcW w:w="1866" w:type="pct"/>
            <w:shd w:val="clear" w:color="auto" w:fill="auto"/>
            <w:noWrap/>
            <w:vAlign w:val="bottom"/>
            <w:hideMark/>
          </w:tcPr>
          <w:p w14:paraId="11D2B9C8" w14:textId="58DA7019"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xml:space="preserve">TMB </w:t>
            </w:r>
            <w:proofErr w:type="spellStart"/>
            <w:r w:rsidRPr="00EA6DA5">
              <w:rPr>
                <w:rFonts w:ascii="Arial Narrow" w:hAnsi="Arial Narrow" w:cs="Calibri"/>
                <w:color w:val="000000"/>
                <w:sz w:val="20"/>
                <w:szCs w:val="20"/>
                <w:lang w:val="en-GB" w:eastAsia="en-GB"/>
              </w:rPr>
              <w:t>rajonale</w:t>
            </w:r>
            <w:proofErr w:type="spellEnd"/>
          </w:p>
        </w:tc>
        <w:tc>
          <w:tcPr>
            <w:tcW w:w="501" w:type="pct"/>
            <w:shd w:val="clear" w:color="auto" w:fill="auto"/>
            <w:noWrap/>
            <w:vAlign w:val="bottom"/>
            <w:hideMark/>
          </w:tcPr>
          <w:p w14:paraId="5C2DE879" w14:textId="01383D8C"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2" w:type="pct"/>
            <w:shd w:val="clear" w:color="auto" w:fill="auto"/>
            <w:noWrap/>
            <w:vAlign w:val="bottom"/>
            <w:hideMark/>
          </w:tcPr>
          <w:p w14:paraId="683C5A59" w14:textId="7080B0C3"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2" w:type="pct"/>
            <w:shd w:val="clear" w:color="auto" w:fill="auto"/>
            <w:noWrap/>
            <w:vAlign w:val="bottom"/>
            <w:hideMark/>
          </w:tcPr>
          <w:p w14:paraId="6E62F3DA" w14:textId="625FD8FD"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2" w:type="pct"/>
            <w:shd w:val="clear" w:color="auto" w:fill="auto"/>
            <w:noWrap/>
            <w:vAlign w:val="bottom"/>
            <w:hideMark/>
          </w:tcPr>
          <w:p w14:paraId="6531E522" w14:textId="30390469"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3" w:type="pct"/>
            <w:shd w:val="clear" w:color="auto" w:fill="auto"/>
            <w:noWrap/>
            <w:vAlign w:val="bottom"/>
            <w:hideMark/>
          </w:tcPr>
          <w:p w14:paraId="46303BC4" w14:textId="21E6CBAE"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55" w:type="pct"/>
            <w:shd w:val="clear" w:color="auto" w:fill="auto"/>
            <w:noWrap/>
            <w:vAlign w:val="bottom"/>
            <w:hideMark/>
          </w:tcPr>
          <w:p w14:paraId="4371B60E" w14:textId="33870226"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15,254</w:t>
            </w:r>
          </w:p>
        </w:tc>
        <w:tc>
          <w:tcPr>
            <w:tcW w:w="530" w:type="pct"/>
            <w:shd w:val="clear" w:color="auto" w:fill="auto"/>
            <w:noWrap/>
            <w:vAlign w:val="bottom"/>
            <w:hideMark/>
          </w:tcPr>
          <w:p w14:paraId="7C62077B" w14:textId="5123FAEE"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grant</w:t>
            </w:r>
          </w:p>
        </w:tc>
      </w:tr>
      <w:tr w:rsidR="009F6482" w:rsidRPr="00C97DF3" w14:paraId="235F6446" w14:textId="77777777" w:rsidTr="009F6482">
        <w:trPr>
          <w:trHeight w:val="210"/>
        </w:trPr>
        <w:tc>
          <w:tcPr>
            <w:tcW w:w="1866" w:type="pct"/>
            <w:shd w:val="clear" w:color="auto" w:fill="auto"/>
            <w:noWrap/>
            <w:vAlign w:val="bottom"/>
            <w:hideMark/>
          </w:tcPr>
          <w:p w14:paraId="607DB1BB" w14:textId="7D889275" w:rsidR="009F6482" w:rsidRPr="00EA6DA5" w:rsidRDefault="009F6482" w:rsidP="009F6482">
            <w:pPr>
              <w:rPr>
                <w:rFonts w:ascii="Arial Narrow" w:hAnsi="Arial Narrow" w:cs="Calibri"/>
                <w:color w:val="000000"/>
                <w:sz w:val="20"/>
                <w:szCs w:val="20"/>
                <w:lang w:val="en-GB" w:eastAsia="en-GB"/>
              </w:rPr>
            </w:pPr>
            <w:proofErr w:type="spellStart"/>
            <w:r w:rsidRPr="00EA6DA5">
              <w:rPr>
                <w:rFonts w:ascii="Arial Narrow" w:hAnsi="Arial Narrow" w:cs="Calibri"/>
                <w:color w:val="000000"/>
                <w:sz w:val="20"/>
                <w:szCs w:val="20"/>
                <w:lang w:val="en-GB" w:eastAsia="en-GB"/>
              </w:rPr>
              <w:t>Objekti</w:t>
            </w:r>
            <w:proofErr w:type="spellEnd"/>
            <w:r w:rsidRPr="00EA6DA5">
              <w:rPr>
                <w:rFonts w:ascii="Arial Narrow" w:hAnsi="Arial Narrow" w:cs="Calibri"/>
                <w:color w:val="000000"/>
                <w:sz w:val="20"/>
                <w:szCs w:val="20"/>
                <w:lang w:val="en-GB" w:eastAsia="en-GB"/>
              </w:rPr>
              <w:t xml:space="preserve"> </w:t>
            </w:r>
            <w:proofErr w:type="spellStart"/>
            <w:r w:rsidRPr="00EA6DA5">
              <w:rPr>
                <w:rFonts w:ascii="Arial Narrow" w:hAnsi="Arial Narrow" w:cs="Calibri"/>
                <w:color w:val="000000"/>
                <w:sz w:val="20"/>
                <w:szCs w:val="20"/>
                <w:lang w:val="en-GB" w:eastAsia="en-GB"/>
              </w:rPr>
              <w:t>rajonal</w:t>
            </w:r>
            <w:proofErr w:type="spellEnd"/>
            <w:r w:rsidRPr="00EA6DA5">
              <w:rPr>
                <w:rFonts w:ascii="Arial Narrow" w:hAnsi="Arial Narrow" w:cs="Calibri"/>
                <w:color w:val="000000"/>
                <w:sz w:val="20"/>
                <w:szCs w:val="20"/>
                <w:lang w:val="en-GB" w:eastAsia="en-GB"/>
              </w:rPr>
              <w:t xml:space="preserve"> i </w:t>
            </w:r>
            <w:proofErr w:type="spellStart"/>
            <w:r w:rsidRPr="00EA6DA5">
              <w:rPr>
                <w:rFonts w:ascii="Arial Narrow" w:hAnsi="Arial Narrow" w:cs="Calibri"/>
                <w:color w:val="000000"/>
                <w:sz w:val="20"/>
                <w:szCs w:val="20"/>
                <w:lang w:val="en-GB" w:eastAsia="en-GB"/>
              </w:rPr>
              <w:t>trajtimit</w:t>
            </w:r>
            <w:proofErr w:type="spellEnd"/>
            <w:r w:rsidRPr="00EA6DA5">
              <w:rPr>
                <w:rFonts w:ascii="Arial Narrow" w:hAnsi="Arial Narrow" w:cs="Calibri"/>
                <w:color w:val="000000"/>
                <w:sz w:val="20"/>
                <w:szCs w:val="20"/>
                <w:lang w:val="en-GB" w:eastAsia="en-GB"/>
              </w:rPr>
              <w:t xml:space="preserve"> </w:t>
            </w:r>
            <w:proofErr w:type="spellStart"/>
            <w:r w:rsidRPr="00EA6DA5">
              <w:rPr>
                <w:rFonts w:ascii="Arial Narrow" w:hAnsi="Arial Narrow" w:cs="Calibri"/>
                <w:color w:val="000000"/>
                <w:sz w:val="20"/>
                <w:szCs w:val="20"/>
                <w:lang w:val="en-GB" w:eastAsia="en-GB"/>
              </w:rPr>
              <w:t>në</w:t>
            </w:r>
            <w:proofErr w:type="spellEnd"/>
            <w:r w:rsidRPr="00EA6DA5">
              <w:rPr>
                <w:rFonts w:ascii="Arial Narrow" w:hAnsi="Arial Narrow" w:cs="Calibri"/>
                <w:color w:val="000000"/>
                <w:sz w:val="20"/>
                <w:szCs w:val="20"/>
                <w:lang w:val="en-GB" w:eastAsia="en-GB"/>
              </w:rPr>
              <w:t xml:space="preserve"> </w:t>
            </w:r>
            <w:proofErr w:type="spellStart"/>
            <w:r w:rsidRPr="00EA6DA5">
              <w:rPr>
                <w:rFonts w:ascii="Arial Narrow" w:hAnsi="Arial Narrow" w:cs="Calibri"/>
                <w:color w:val="000000"/>
                <w:sz w:val="20"/>
                <w:szCs w:val="20"/>
                <w:lang w:val="en-GB" w:eastAsia="en-GB"/>
              </w:rPr>
              <w:t>kontejnerë</w:t>
            </w:r>
            <w:proofErr w:type="spellEnd"/>
            <w:r w:rsidRPr="00EA6DA5">
              <w:rPr>
                <w:rFonts w:ascii="Arial Narrow" w:hAnsi="Arial Narrow" w:cs="Calibri"/>
                <w:color w:val="000000"/>
                <w:sz w:val="20"/>
                <w:szCs w:val="20"/>
                <w:lang w:val="en-GB" w:eastAsia="en-GB"/>
              </w:rPr>
              <w:t xml:space="preserve"> </w:t>
            </w:r>
            <w:proofErr w:type="spellStart"/>
            <w:r w:rsidRPr="00EA6DA5">
              <w:rPr>
                <w:rFonts w:ascii="Arial Narrow" w:hAnsi="Arial Narrow" w:cs="Calibri"/>
                <w:color w:val="000000"/>
                <w:sz w:val="20"/>
                <w:szCs w:val="20"/>
                <w:lang w:val="en-GB" w:eastAsia="en-GB"/>
              </w:rPr>
              <w:t>të</w:t>
            </w:r>
            <w:proofErr w:type="spellEnd"/>
            <w:r w:rsidRPr="00EA6DA5">
              <w:rPr>
                <w:rFonts w:ascii="Arial Narrow" w:hAnsi="Arial Narrow" w:cs="Calibri"/>
                <w:color w:val="000000"/>
                <w:sz w:val="20"/>
                <w:szCs w:val="20"/>
                <w:lang w:val="en-GB" w:eastAsia="en-GB"/>
              </w:rPr>
              <w:t xml:space="preserve"> </w:t>
            </w:r>
            <w:proofErr w:type="spellStart"/>
            <w:r w:rsidRPr="00EA6DA5">
              <w:rPr>
                <w:rFonts w:ascii="Arial Narrow" w:hAnsi="Arial Narrow" w:cs="Calibri"/>
                <w:color w:val="000000"/>
                <w:sz w:val="20"/>
                <w:szCs w:val="20"/>
                <w:lang w:val="en-GB" w:eastAsia="en-GB"/>
              </w:rPr>
              <w:t>specializuar</w:t>
            </w:r>
            <w:proofErr w:type="spellEnd"/>
          </w:p>
        </w:tc>
        <w:tc>
          <w:tcPr>
            <w:tcW w:w="501" w:type="pct"/>
            <w:shd w:val="clear" w:color="auto" w:fill="auto"/>
            <w:noWrap/>
            <w:vAlign w:val="bottom"/>
            <w:hideMark/>
          </w:tcPr>
          <w:p w14:paraId="51183EAE" w14:textId="4C3DE07D"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2" w:type="pct"/>
            <w:shd w:val="clear" w:color="auto" w:fill="auto"/>
            <w:noWrap/>
            <w:vAlign w:val="bottom"/>
            <w:hideMark/>
          </w:tcPr>
          <w:p w14:paraId="2A297AB2" w14:textId="500730E8"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2" w:type="pct"/>
            <w:shd w:val="clear" w:color="auto" w:fill="auto"/>
            <w:noWrap/>
            <w:vAlign w:val="bottom"/>
            <w:hideMark/>
          </w:tcPr>
          <w:p w14:paraId="1454BE35" w14:textId="7FB01AE6"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2" w:type="pct"/>
            <w:shd w:val="clear" w:color="auto" w:fill="auto"/>
            <w:noWrap/>
            <w:vAlign w:val="bottom"/>
            <w:hideMark/>
          </w:tcPr>
          <w:p w14:paraId="1211ABEE" w14:textId="2F2CE462"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13" w:type="pct"/>
            <w:shd w:val="clear" w:color="auto" w:fill="auto"/>
            <w:noWrap/>
            <w:vAlign w:val="bottom"/>
            <w:hideMark/>
          </w:tcPr>
          <w:p w14:paraId="4AFD9789" w14:textId="5377FBB3"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 </w:t>
            </w:r>
          </w:p>
        </w:tc>
        <w:tc>
          <w:tcPr>
            <w:tcW w:w="455" w:type="pct"/>
            <w:shd w:val="clear" w:color="auto" w:fill="auto"/>
            <w:noWrap/>
            <w:vAlign w:val="bottom"/>
            <w:hideMark/>
          </w:tcPr>
          <w:p w14:paraId="7DAB46F2" w14:textId="3E2CCAA0"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3,897</w:t>
            </w:r>
          </w:p>
        </w:tc>
        <w:tc>
          <w:tcPr>
            <w:tcW w:w="530" w:type="pct"/>
            <w:shd w:val="clear" w:color="auto" w:fill="auto"/>
            <w:noWrap/>
            <w:vAlign w:val="bottom"/>
            <w:hideMark/>
          </w:tcPr>
          <w:p w14:paraId="2ECDAC80" w14:textId="03B31EA0" w:rsidR="009F6482" w:rsidRPr="00EA6DA5" w:rsidRDefault="009F6482" w:rsidP="009F6482">
            <w:pPr>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grant</w:t>
            </w:r>
          </w:p>
        </w:tc>
      </w:tr>
      <w:tr w:rsidR="009F6482" w:rsidRPr="00C97DF3" w14:paraId="06D8BFAF" w14:textId="77777777" w:rsidTr="009F6482">
        <w:trPr>
          <w:trHeight w:val="210"/>
        </w:trPr>
        <w:tc>
          <w:tcPr>
            <w:tcW w:w="1866" w:type="pct"/>
            <w:shd w:val="clear" w:color="auto" w:fill="auto"/>
            <w:noWrap/>
            <w:vAlign w:val="bottom"/>
            <w:hideMark/>
          </w:tcPr>
          <w:p w14:paraId="1D9686A2" w14:textId="7234D25C" w:rsidR="009F6482" w:rsidRPr="00EA6DA5" w:rsidRDefault="009F6482" w:rsidP="009F6482">
            <w:pPr>
              <w:rPr>
                <w:rFonts w:ascii="Arial Narrow" w:hAnsi="Arial Narrow" w:cs="Calibri"/>
                <w:color w:val="000000"/>
                <w:sz w:val="20"/>
                <w:szCs w:val="20"/>
                <w:lang w:val="en-GB" w:eastAsia="en-GB"/>
              </w:rPr>
            </w:pPr>
            <w:proofErr w:type="spellStart"/>
            <w:r w:rsidRPr="00EA6DA5">
              <w:rPr>
                <w:rFonts w:ascii="Arial Narrow" w:hAnsi="Arial Narrow" w:cs="Calibri"/>
                <w:color w:val="000000"/>
                <w:sz w:val="20"/>
                <w:szCs w:val="20"/>
                <w:lang w:val="en-GB" w:eastAsia="en-GB"/>
              </w:rPr>
              <w:t>Gjithsej</w:t>
            </w:r>
            <w:proofErr w:type="spellEnd"/>
          </w:p>
        </w:tc>
        <w:tc>
          <w:tcPr>
            <w:tcW w:w="501" w:type="pct"/>
            <w:shd w:val="clear" w:color="auto" w:fill="auto"/>
            <w:noWrap/>
            <w:vAlign w:val="bottom"/>
            <w:hideMark/>
          </w:tcPr>
          <w:p w14:paraId="32B7A6FB" w14:textId="474406C5"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15,419</w:t>
            </w:r>
          </w:p>
        </w:tc>
        <w:tc>
          <w:tcPr>
            <w:tcW w:w="412" w:type="pct"/>
            <w:shd w:val="clear" w:color="auto" w:fill="auto"/>
            <w:noWrap/>
            <w:vAlign w:val="bottom"/>
            <w:hideMark/>
          </w:tcPr>
          <w:p w14:paraId="4A8DB284" w14:textId="6A71A073"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3,093</w:t>
            </w:r>
          </w:p>
        </w:tc>
        <w:tc>
          <w:tcPr>
            <w:tcW w:w="412" w:type="pct"/>
            <w:shd w:val="clear" w:color="auto" w:fill="auto"/>
            <w:noWrap/>
            <w:vAlign w:val="bottom"/>
            <w:hideMark/>
          </w:tcPr>
          <w:p w14:paraId="390648CC" w14:textId="48353EA2"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567</w:t>
            </w:r>
          </w:p>
        </w:tc>
        <w:tc>
          <w:tcPr>
            <w:tcW w:w="412" w:type="pct"/>
            <w:shd w:val="clear" w:color="auto" w:fill="auto"/>
            <w:noWrap/>
            <w:vAlign w:val="bottom"/>
            <w:hideMark/>
          </w:tcPr>
          <w:p w14:paraId="41238197" w14:textId="3ADB3E49"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570</w:t>
            </w:r>
          </w:p>
        </w:tc>
        <w:tc>
          <w:tcPr>
            <w:tcW w:w="413" w:type="pct"/>
            <w:shd w:val="clear" w:color="auto" w:fill="auto"/>
            <w:noWrap/>
            <w:vAlign w:val="bottom"/>
            <w:hideMark/>
          </w:tcPr>
          <w:p w14:paraId="0A2F62A3" w14:textId="50B2DEF0"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397</w:t>
            </w:r>
          </w:p>
        </w:tc>
        <w:tc>
          <w:tcPr>
            <w:tcW w:w="455" w:type="pct"/>
            <w:shd w:val="clear" w:color="auto" w:fill="auto"/>
            <w:noWrap/>
            <w:vAlign w:val="bottom"/>
            <w:hideMark/>
          </w:tcPr>
          <w:p w14:paraId="56E7C674" w14:textId="46852075"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21,053</w:t>
            </w:r>
          </w:p>
        </w:tc>
        <w:tc>
          <w:tcPr>
            <w:tcW w:w="530" w:type="pct"/>
            <w:shd w:val="clear" w:color="auto" w:fill="auto"/>
            <w:noWrap/>
            <w:vAlign w:val="bottom"/>
            <w:hideMark/>
          </w:tcPr>
          <w:p w14:paraId="14B535AC" w14:textId="77777777" w:rsidR="009F6482" w:rsidRPr="00EA6DA5" w:rsidRDefault="009F6482" w:rsidP="009F6482">
            <w:pPr>
              <w:jc w:val="right"/>
              <w:rPr>
                <w:rFonts w:ascii="Arial Narrow" w:hAnsi="Arial Narrow" w:cs="Calibri"/>
                <w:color w:val="000000"/>
                <w:sz w:val="20"/>
                <w:szCs w:val="20"/>
                <w:lang w:val="en-GB" w:eastAsia="en-GB"/>
              </w:rPr>
            </w:pPr>
          </w:p>
        </w:tc>
      </w:tr>
      <w:tr w:rsidR="009F6482" w:rsidRPr="00C97DF3" w14:paraId="126950F3" w14:textId="77777777" w:rsidTr="009F6482">
        <w:trPr>
          <w:trHeight w:val="210"/>
        </w:trPr>
        <w:tc>
          <w:tcPr>
            <w:tcW w:w="1866" w:type="pct"/>
            <w:shd w:val="clear" w:color="auto" w:fill="auto"/>
            <w:noWrap/>
            <w:vAlign w:val="bottom"/>
            <w:hideMark/>
          </w:tcPr>
          <w:p w14:paraId="443E58E4" w14:textId="7EE13B1F" w:rsidR="009F6482" w:rsidRPr="00EA6DA5" w:rsidRDefault="009F6482" w:rsidP="009F6482">
            <w:pPr>
              <w:rPr>
                <w:rFonts w:ascii="Arial Narrow" w:hAnsi="Arial Narrow" w:cs="Calibri"/>
                <w:color w:val="000000"/>
                <w:sz w:val="20"/>
                <w:szCs w:val="20"/>
                <w:lang w:val="en-GB" w:eastAsia="en-GB"/>
              </w:rPr>
            </w:pPr>
            <w:proofErr w:type="spellStart"/>
            <w:r w:rsidRPr="00EA6DA5">
              <w:rPr>
                <w:rFonts w:ascii="Arial Narrow" w:hAnsi="Arial Narrow" w:cs="Calibri"/>
                <w:color w:val="000000"/>
                <w:sz w:val="20"/>
                <w:szCs w:val="20"/>
                <w:lang w:val="en-GB" w:eastAsia="en-GB"/>
              </w:rPr>
              <w:lastRenderedPageBreak/>
              <w:t>Totali</w:t>
            </w:r>
            <w:proofErr w:type="spellEnd"/>
            <w:r w:rsidRPr="00EA6DA5">
              <w:rPr>
                <w:rFonts w:ascii="Arial Narrow" w:hAnsi="Arial Narrow" w:cs="Calibri"/>
                <w:color w:val="000000"/>
                <w:sz w:val="20"/>
                <w:szCs w:val="20"/>
                <w:lang w:val="en-GB" w:eastAsia="en-GB"/>
              </w:rPr>
              <w:t xml:space="preserve">, pa </w:t>
            </w:r>
            <w:proofErr w:type="spellStart"/>
            <w:r w:rsidRPr="00EA6DA5">
              <w:rPr>
                <w:rFonts w:ascii="Arial Narrow" w:hAnsi="Arial Narrow" w:cs="Calibri"/>
                <w:color w:val="000000"/>
                <w:sz w:val="20"/>
                <w:szCs w:val="20"/>
                <w:lang w:val="en-GB" w:eastAsia="en-GB"/>
              </w:rPr>
              <w:t>investimet</w:t>
            </w:r>
            <w:proofErr w:type="spellEnd"/>
            <w:r w:rsidRPr="00EA6DA5">
              <w:rPr>
                <w:rFonts w:ascii="Arial Narrow" w:hAnsi="Arial Narrow" w:cs="Calibri"/>
                <w:color w:val="000000"/>
                <w:sz w:val="20"/>
                <w:szCs w:val="20"/>
                <w:lang w:val="en-GB" w:eastAsia="en-GB"/>
              </w:rPr>
              <w:t xml:space="preserve"> </w:t>
            </w:r>
            <w:proofErr w:type="spellStart"/>
            <w:r w:rsidRPr="00EA6DA5">
              <w:rPr>
                <w:rFonts w:ascii="Arial Narrow" w:hAnsi="Arial Narrow" w:cs="Calibri"/>
                <w:color w:val="000000"/>
                <w:sz w:val="20"/>
                <w:szCs w:val="20"/>
                <w:lang w:val="en-GB" w:eastAsia="en-GB"/>
              </w:rPr>
              <w:t>nga</w:t>
            </w:r>
            <w:proofErr w:type="spellEnd"/>
            <w:r w:rsidRPr="00EA6DA5">
              <w:rPr>
                <w:rFonts w:ascii="Arial Narrow" w:hAnsi="Arial Narrow" w:cs="Calibri"/>
                <w:color w:val="000000"/>
                <w:sz w:val="20"/>
                <w:szCs w:val="20"/>
                <w:lang w:val="en-GB" w:eastAsia="en-GB"/>
              </w:rPr>
              <w:t xml:space="preserve"> </w:t>
            </w:r>
            <w:proofErr w:type="spellStart"/>
            <w:r w:rsidRPr="00EA6DA5">
              <w:rPr>
                <w:rFonts w:ascii="Arial Narrow" w:hAnsi="Arial Narrow" w:cs="Calibri"/>
                <w:color w:val="000000"/>
                <w:sz w:val="20"/>
                <w:szCs w:val="20"/>
                <w:lang w:val="en-GB" w:eastAsia="en-GB"/>
              </w:rPr>
              <w:t>skema</w:t>
            </w:r>
            <w:proofErr w:type="spellEnd"/>
            <w:r w:rsidRPr="00EA6DA5">
              <w:rPr>
                <w:rFonts w:ascii="Arial Narrow" w:hAnsi="Arial Narrow" w:cs="Calibri"/>
                <w:color w:val="000000"/>
                <w:sz w:val="20"/>
                <w:szCs w:val="20"/>
                <w:lang w:val="en-GB" w:eastAsia="en-GB"/>
              </w:rPr>
              <w:t xml:space="preserve"> PZP</w:t>
            </w:r>
          </w:p>
        </w:tc>
        <w:tc>
          <w:tcPr>
            <w:tcW w:w="501" w:type="pct"/>
            <w:shd w:val="clear" w:color="auto" w:fill="auto"/>
            <w:noWrap/>
            <w:vAlign w:val="bottom"/>
            <w:hideMark/>
          </w:tcPr>
          <w:p w14:paraId="26E50523" w14:textId="78E807F1"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13,844</w:t>
            </w:r>
          </w:p>
        </w:tc>
        <w:tc>
          <w:tcPr>
            <w:tcW w:w="412" w:type="pct"/>
            <w:shd w:val="clear" w:color="auto" w:fill="auto"/>
            <w:noWrap/>
            <w:vAlign w:val="bottom"/>
            <w:hideMark/>
          </w:tcPr>
          <w:p w14:paraId="3B02CF2E" w14:textId="3BFDD68C"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238</w:t>
            </w:r>
          </w:p>
        </w:tc>
        <w:tc>
          <w:tcPr>
            <w:tcW w:w="412" w:type="pct"/>
            <w:shd w:val="clear" w:color="auto" w:fill="auto"/>
            <w:noWrap/>
            <w:vAlign w:val="bottom"/>
            <w:hideMark/>
          </w:tcPr>
          <w:p w14:paraId="75D2EBC7" w14:textId="24BC4B27"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0</w:t>
            </w:r>
          </w:p>
        </w:tc>
        <w:tc>
          <w:tcPr>
            <w:tcW w:w="412" w:type="pct"/>
            <w:shd w:val="clear" w:color="auto" w:fill="auto"/>
            <w:noWrap/>
            <w:vAlign w:val="bottom"/>
            <w:hideMark/>
          </w:tcPr>
          <w:p w14:paraId="37AC29DA" w14:textId="054C047E"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0</w:t>
            </w:r>
          </w:p>
        </w:tc>
        <w:tc>
          <w:tcPr>
            <w:tcW w:w="413" w:type="pct"/>
            <w:shd w:val="clear" w:color="auto" w:fill="auto"/>
            <w:noWrap/>
            <w:vAlign w:val="bottom"/>
            <w:hideMark/>
          </w:tcPr>
          <w:p w14:paraId="62CE7413" w14:textId="6853B94D"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0</w:t>
            </w:r>
          </w:p>
        </w:tc>
        <w:tc>
          <w:tcPr>
            <w:tcW w:w="455" w:type="pct"/>
            <w:shd w:val="clear" w:color="auto" w:fill="auto"/>
            <w:noWrap/>
            <w:vAlign w:val="bottom"/>
            <w:hideMark/>
          </w:tcPr>
          <w:p w14:paraId="2547DB9D" w14:textId="5494D801" w:rsidR="009F6482" w:rsidRPr="00EA6DA5" w:rsidRDefault="009F6482" w:rsidP="009F6482">
            <w:pPr>
              <w:jc w:val="right"/>
              <w:rPr>
                <w:rFonts w:ascii="Arial Narrow" w:hAnsi="Arial Narrow" w:cs="Calibri"/>
                <w:color w:val="000000"/>
                <w:sz w:val="20"/>
                <w:szCs w:val="20"/>
                <w:lang w:val="en-GB" w:eastAsia="en-GB"/>
              </w:rPr>
            </w:pPr>
            <w:r w:rsidRPr="00EA6DA5">
              <w:rPr>
                <w:rFonts w:ascii="Arial Narrow" w:hAnsi="Arial Narrow" w:cs="Calibri"/>
                <w:color w:val="000000"/>
                <w:sz w:val="20"/>
                <w:szCs w:val="20"/>
                <w:lang w:val="en-GB" w:eastAsia="en-GB"/>
              </w:rPr>
              <w:t>20,609</w:t>
            </w:r>
          </w:p>
        </w:tc>
        <w:tc>
          <w:tcPr>
            <w:tcW w:w="530" w:type="pct"/>
            <w:shd w:val="clear" w:color="auto" w:fill="auto"/>
            <w:noWrap/>
            <w:vAlign w:val="bottom"/>
            <w:hideMark/>
          </w:tcPr>
          <w:p w14:paraId="50C0E04A" w14:textId="77777777" w:rsidR="009F6482" w:rsidRPr="00EA6DA5" w:rsidRDefault="009F6482" w:rsidP="009F6482">
            <w:pPr>
              <w:jc w:val="right"/>
              <w:rPr>
                <w:rFonts w:ascii="Arial Narrow" w:hAnsi="Arial Narrow" w:cs="Calibri"/>
                <w:color w:val="000000"/>
                <w:sz w:val="20"/>
                <w:szCs w:val="20"/>
                <w:lang w:val="en-GB" w:eastAsia="en-GB"/>
              </w:rPr>
            </w:pPr>
          </w:p>
        </w:tc>
      </w:tr>
    </w:tbl>
    <w:p w14:paraId="6D533A7D" w14:textId="77777777" w:rsidR="00C97DF3" w:rsidRPr="00EA6DA5" w:rsidRDefault="00C97DF3" w:rsidP="00C97DF3">
      <w:pPr>
        <w:rPr>
          <w:rFonts w:ascii="Arial Narrow" w:hAnsi="Arial Narrow"/>
          <w:sz w:val="22"/>
          <w:szCs w:val="22"/>
        </w:rPr>
      </w:pPr>
    </w:p>
    <w:p w14:paraId="62165E03" w14:textId="77777777" w:rsidR="00EA6DA5" w:rsidRPr="00EA6DA5" w:rsidRDefault="00EA6DA5" w:rsidP="00EA6DA5">
      <w:pPr>
        <w:jc w:val="both"/>
        <w:rPr>
          <w:rFonts w:ascii="Arial Narrow" w:hAnsi="Arial Narrow"/>
          <w:sz w:val="22"/>
          <w:szCs w:val="22"/>
        </w:rPr>
      </w:pPr>
      <w:r w:rsidRPr="00EA6DA5">
        <w:rPr>
          <w:rFonts w:ascii="Arial Narrow" w:hAnsi="Arial Narrow"/>
          <w:sz w:val="22"/>
          <w:szCs w:val="22"/>
        </w:rPr>
        <w:t>Investimi total për periudhën arrin në 41 milionë euro, 6.4 milionë euro do të sigurohen nga skema PZP. Kredia është konsideruar për ndërtimin e qelisë së dytë të deponisë. Për pjesën tjetër të investimit do të kërkohet financim me grante, nga të cilat 14 milionë euro për fazën e parë dhe 19 milionë euro për fazën e dytë.</w:t>
      </w:r>
    </w:p>
    <w:p w14:paraId="37AC47D3" w14:textId="77777777" w:rsidR="00C97DF3" w:rsidRPr="00EA6DA5" w:rsidRDefault="00C97DF3" w:rsidP="00C97DF3">
      <w:pPr>
        <w:jc w:val="both"/>
        <w:rPr>
          <w:rFonts w:ascii="Arial Narrow" w:eastAsia="Calibri" w:hAnsi="Arial Narrow"/>
          <w:sz w:val="22"/>
          <w:szCs w:val="22"/>
        </w:rPr>
      </w:pPr>
    </w:p>
    <w:p w14:paraId="674C2AD6" w14:textId="77777777" w:rsidR="00C97DF3" w:rsidRPr="00C97DF3" w:rsidRDefault="00C97DF3" w:rsidP="00C97DF3">
      <w:pPr>
        <w:jc w:val="both"/>
        <w:rPr>
          <w:rFonts w:ascii="Arial Narrow" w:eastAsia="Calibri" w:hAnsi="Arial Narrow"/>
          <w:sz w:val="22"/>
          <w:szCs w:val="22"/>
        </w:rPr>
      </w:pPr>
      <w:r w:rsidRPr="00EA6DA5">
        <w:rPr>
          <w:rFonts w:ascii="Arial Narrow" w:eastAsia="Calibri" w:hAnsi="Arial Narrow"/>
          <w:sz w:val="22"/>
          <w:szCs w:val="22"/>
        </w:rPr>
        <w:t>Masat e planifikuara</w:t>
      </w:r>
      <w:r w:rsidRPr="00C97DF3">
        <w:rPr>
          <w:rFonts w:ascii="Arial Narrow" w:eastAsia="Calibri" w:hAnsi="Arial Narrow"/>
          <w:sz w:val="22"/>
          <w:szCs w:val="22"/>
        </w:rPr>
        <w:t xml:space="preserve"> janë të përballueshme nën supozimin se financimi fillestar i grantit të kapitalit për të gjitha komunat do të sigurohet. Tarifa mesatare mujore në secilën komunë për një familje prej 4 personash është vlerësuar për vitin 2027 (me çmimet e vitit 2025) dhe paraqitet në tabelën vijuese.</w:t>
      </w:r>
    </w:p>
    <w:p w14:paraId="701454FE" w14:textId="77777777" w:rsidR="00C97DF3" w:rsidRPr="00C97DF3" w:rsidRDefault="00C97DF3" w:rsidP="00C97DF3">
      <w:pPr>
        <w:jc w:val="both"/>
        <w:rPr>
          <w:rFonts w:ascii="Arial Narrow" w:eastAsia="Calibri" w:hAnsi="Arial Narrow"/>
          <w:sz w:val="22"/>
          <w:szCs w:val="22"/>
        </w:rPr>
      </w:pPr>
    </w:p>
    <w:p w14:paraId="570D7AC6" w14:textId="1BF02EEB" w:rsidR="00C97DF3" w:rsidRPr="00C97DF3" w:rsidRDefault="00C97DF3" w:rsidP="00C97DF3">
      <w:pPr>
        <w:suppressAutoHyphens/>
        <w:rPr>
          <w:rFonts w:ascii="Arial Narrow" w:eastAsia="Calibri" w:hAnsi="Arial Narrow" w:cs="Calibri"/>
          <w:color w:val="1F497D"/>
          <w:sz w:val="20"/>
          <w:szCs w:val="20"/>
        </w:rPr>
      </w:pPr>
      <w:bookmarkStart w:id="12" w:name="_Toc197472189"/>
      <w:r w:rsidRPr="00C97DF3">
        <w:rPr>
          <w:rFonts w:ascii="Arial Narrow" w:eastAsia="Calibri" w:hAnsi="Arial Narrow" w:cs="Calibri"/>
          <w:color w:val="1F497D"/>
          <w:sz w:val="20"/>
          <w:szCs w:val="20"/>
        </w:rPr>
        <w:t xml:space="preserve">Tabela </w:t>
      </w:r>
      <w:r w:rsidRPr="00C97DF3">
        <w:rPr>
          <w:rFonts w:ascii="Arial Narrow" w:eastAsia="Calibri" w:hAnsi="Arial Narrow" w:cs="Calibri"/>
          <w:color w:val="1F497D"/>
          <w:sz w:val="20"/>
          <w:szCs w:val="20"/>
        </w:rPr>
        <w:fldChar w:fldCharType="begin"/>
      </w:r>
      <w:r w:rsidRPr="00C97DF3">
        <w:rPr>
          <w:rFonts w:ascii="Arial Narrow" w:eastAsia="Calibri" w:hAnsi="Arial Narrow" w:cs="Calibri"/>
          <w:color w:val="1F497D"/>
          <w:sz w:val="20"/>
          <w:szCs w:val="20"/>
        </w:rPr>
        <w:instrText xml:space="preserve"> SEQ Table \* ARABIC </w:instrText>
      </w:r>
      <w:r w:rsidRPr="00C97DF3">
        <w:rPr>
          <w:rFonts w:ascii="Arial Narrow" w:eastAsia="Calibri" w:hAnsi="Arial Narrow" w:cs="Calibri"/>
          <w:color w:val="1F497D"/>
          <w:sz w:val="20"/>
          <w:szCs w:val="20"/>
        </w:rPr>
        <w:fldChar w:fldCharType="separate"/>
      </w:r>
      <w:r w:rsidRPr="00C97DF3">
        <w:rPr>
          <w:rFonts w:ascii="Arial Narrow" w:eastAsia="Calibri" w:hAnsi="Arial Narrow" w:cs="Calibri"/>
          <w:color w:val="1F497D"/>
          <w:sz w:val="20"/>
          <w:szCs w:val="20"/>
        </w:rPr>
        <w:t xml:space="preserve">4. </w:t>
      </w:r>
      <w:r w:rsidRPr="00C97DF3">
        <w:rPr>
          <w:rFonts w:ascii="Arial Narrow" w:eastAsia="Calibri" w:hAnsi="Arial Narrow" w:cs="Calibri"/>
          <w:color w:val="1F497D"/>
          <w:sz w:val="20"/>
          <w:szCs w:val="20"/>
        </w:rPr>
        <w:fldChar w:fldCharType="end"/>
      </w:r>
      <w:r w:rsidRPr="00C97DF3">
        <w:rPr>
          <w:rFonts w:ascii="Arial Narrow" w:eastAsia="Calibri" w:hAnsi="Arial Narrow" w:cs="Calibri"/>
          <w:color w:val="1F497D"/>
          <w:sz w:val="20"/>
          <w:szCs w:val="20"/>
        </w:rPr>
        <w:t>Tarifat mujore të</w:t>
      </w:r>
      <w:r w:rsidR="00EA6DA5">
        <w:rPr>
          <w:rFonts w:ascii="Arial Narrow" w:eastAsia="Calibri" w:hAnsi="Arial Narrow" w:cs="Calibri"/>
          <w:color w:val="1F497D"/>
          <w:sz w:val="20"/>
          <w:szCs w:val="20"/>
        </w:rPr>
        <w:t xml:space="preserve"> amvisërisë</w:t>
      </w:r>
      <w:r w:rsidRPr="00C97DF3">
        <w:rPr>
          <w:rFonts w:ascii="Arial Narrow" w:eastAsia="Calibri" w:hAnsi="Arial Narrow" w:cs="Calibri"/>
          <w:color w:val="1F497D"/>
          <w:sz w:val="20"/>
          <w:szCs w:val="20"/>
        </w:rPr>
        <w:t xml:space="preserve"> në vitin 2027</w:t>
      </w:r>
      <w:bookmarkEnd w:id="12"/>
    </w:p>
    <w:tbl>
      <w:tblPr>
        <w:tblStyle w:val="TableGrid8"/>
        <w:tblW w:w="5000" w:type="pct"/>
        <w:tblLook w:val="0420" w:firstRow="1" w:lastRow="0" w:firstColumn="0" w:lastColumn="0" w:noHBand="0" w:noVBand="1"/>
      </w:tblPr>
      <w:tblGrid>
        <w:gridCol w:w="3552"/>
        <w:gridCol w:w="1160"/>
        <w:gridCol w:w="1160"/>
        <w:gridCol w:w="1160"/>
        <w:gridCol w:w="1159"/>
        <w:gridCol w:w="1159"/>
      </w:tblGrid>
      <w:tr w:rsidR="00C97DF3" w:rsidRPr="00C97DF3" w14:paraId="63DE50CA" w14:textId="77777777" w:rsidTr="008F1976">
        <w:trPr>
          <w:trHeight w:val="224"/>
        </w:trPr>
        <w:tc>
          <w:tcPr>
            <w:tcW w:w="1899" w:type="pct"/>
            <w:shd w:val="clear" w:color="auto" w:fill="365F91"/>
            <w:hideMark/>
          </w:tcPr>
          <w:p w14:paraId="3B2BEA5A" w14:textId="47B69F3B" w:rsidR="00C97DF3" w:rsidRPr="00C97DF3" w:rsidRDefault="008A72DD" w:rsidP="00C97DF3">
            <w:pPr>
              <w:spacing w:before="60" w:after="60"/>
              <w:rPr>
                <w:rFonts w:ascii="Arial Narrow" w:hAnsi="Arial Narrow"/>
                <w:color w:val="FFFFFF"/>
                <w:sz w:val="20"/>
                <w:szCs w:val="20"/>
              </w:rPr>
            </w:pPr>
            <w:r>
              <w:rPr>
                <w:rFonts w:ascii="Arial Narrow" w:hAnsi="Arial Narrow"/>
                <w:color w:val="FFFFFF"/>
                <w:sz w:val="20"/>
                <w:szCs w:val="20"/>
              </w:rPr>
              <w:t>Komuna</w:t>
            </w:r>
          </w:p>
        </w:tc>
        <w:tc>
          <w:tcPr>
            <w:tcW w:w="620" w:type="pct"/>
            <w:shd w:val="clear" w:color="auto" w:fill="365F91"/>
            <w:hideMark/>
          </w:tcPr>
          <w:p w14:paraId="1ECA522B" w14:textId="77777777" w:rsidR="00C97DF3" w:rsidRPr="00C97DF3" w:rsidRDefault="00C97DF3" w:rsidP="00C97DF3">
            <w:pPr>
              <w:spacing w:before="60" w:after="60"/>
              <w:jc w:val="center"/>
              <w:rPr>
                <w:rFonts w:ascii="Arial Narrow" w:hAnsi="Arial Narrow" w:cs="Arial"/>
                <w:color w:val="FFFFFF"/>
                <w:sz w:val="20"/>
                <w:szCs w:val="20"/>
              </w:rPr>
            </w:pPr>
            <w:proofErr w:type="spellStart"/>
            <w:r w:rsidRPr="00C97DF3">
              <w:rPr>
                <w:rFonts w:ascii="Arial Narrow" w:hAnsi="Arial Narrow" w:cs="Calibri"/>
                <w:b/>
                <w:bCs/>
                <w:color w:val="FFFFFF"/>
                <w:kern w:val="24"/>
                <w:sz w:val="20"/>
                <w:szCs w:val="20"/>
                <w:lang w:val="en-GB"/>
              </w:rPr>
              <w:t>Pejë</w:t>
            </w:r>
            <w:proofErr w:type="spellEnd"/>
          </w:p>
        </w:tc>
        <w:tc>
          <w:tcPr>
            <w:tcW w:w="620" w:type="pct"/>
            <w:shd w:val="clear" w:color="auto" w:fill="365F91"/>
            <w:hideMark/>
          </w:tcPr>
          <w:p w14:paraId="52BEFC6F" w14:textId="77777777" w:rsidR="00C97DF3" w:rsidRPr="00C97DF3" w:rsidRDefault="00C97DF3" w:rsidP="00C97DF3">
            <w:pPr>
              <w:spacing w:before="60" w:after="60"/>
              <w:jc w:val="center"/>
              <w:rPr>
                <w:rFonts w:ascii="Arial Narrow" w:hAnsi="Arial Narrow" w:cs="Arial"/>
                <w:color w:val="FFFFFF"/>
                <w:sz w:val="20"/>
                <w:szCs w:val="20"/>
              </w:rPr>
            </w:pPr>
            <w:proofErr w:type="spellStart"/>
            <w:r w:rsidRPr="00C97DF3">
              <w:rPr>
                <w:rFonts w:ascii="Arial Narrow" w:hAnsi="Arial Narrow" w:cs="Calibri"/>
                <w:b/>
                <w:bCs/>
                <w:color w:val="FFFFFF"/>
                <w:kern w:val="24"/>
                <w:sz w:val="20"/>
                <w:szCs w:val="20"/>
                <w:lang w:val="en-GB"/>
              </w:rPr>
              <w:t>Istog</w:t>
            </w:r>
            <w:proofErr w:type="spellEnd"/>
          </w:p>
        </w:tc>
        <w:tc>
          <w:tcPr>
            <w:tcW w:w="620" w:type="pct"/>
            <w:shd w:val="clear" w:color="auto" w:fill="365F91"/>
            <w:hideMark/>
          </w:tcPr>
          <w:p w14:paraId="03E70CBD" w14:textId="0D5BFE42" w:rsidR="00C97DF3" w:rsidRPr="00C97DF3" w:rsidRDefault="00C97DF3" w:rsidP="00C97DF3">
            <w:pPr>
              <w:spacing w:before="60" w:after="60"/>
              <w:jc w:val="center"/>
              <w:rPr>
                <w:rFonts w:ascii="Arial Narrow" w:hAnsi="Arial Narrow" w:cs="Arial"/>
                <w:color w:val="FFFFFF"/>
                <w:sz w:val="20"/>
                <w:szCs w:val="20"/>
              </w:rPr>
            </w:pPr>
            <w:proofErr w:type="spellStart"/>
            <w:r w:rsidRPr="00C97DF3">
              <w:rPr>
                <w:rFonts w:ascii="Arial Narrow" w:hAnsi="Arial Narrow" w:cs="Calibri"/>
                <w:b/>
                <w:bCs/>
                <w:color w:val="FFFFFF"/>
                <w:kern w:val="24"/>
                <w:sz w:val="20"/>
                <w:szCs w:val="20"/>
                <w:lang w:val="en-GB"/>
              </w:rPr>
              <w:t>Klin</w:t>
            </w:r>
            <w:r w:rsidR="00257B9B">
              <w:rPr>
                <w:rFonts w:ascii="Arial Narrow" w:hAnsi="Arial Narrow" w:cs="Calibri"/>
                <w:b/>
                <w:bCs/>
                <w:color w:val="FFFFFF"/>
                <w:kern w:val="24"/>
                <w:sz w:val="20"/>
                <w:szCs w:val="20"/>
                <w:lang w:val="en-GB"/>
              </w:rPr>
              <w:t>ë</w:t>
            </w:r>
            <w:proofErr w:type="spellEnd"/>
          </w:p>
        </w:tc>
        <w:tc>
          <w:tcPr>
            <w:tcW w:w="620" w:type="pct"/>
            <w:shd w:val="clear" w:color="auto" w:fill="365F91"/>
            <w:hideMark/>
          </w:tcPr>
          <w:p w14:paraId="51E05D0A" w14:textId="36BF99D7" w:rsidR="00C97DF3" w:rsidRPr="00C97DF3" w:rsidRDefault="00C97DF3" w:rsidP="00C97DF3">
            <w:pPr>
              <w:spacing w:before="60" w:after="60"/>
              <w:jc w:val="center"/>
              <w:rPr>
                <w:rFonts w:ascii="Arial Narrow" w:hAnsi="Arial Narrow" w:cs="Arial"/>
                <w:color w:val="FFFFFF"/>
                <w:sz w:val="20"/>
                <w:szCs w:val="20"/>
              </w:rPr>
            </w:pPr>
            <w:proofErr w:type="spellStart"/>
            <w:r w:rsidRPr="00C97DF3">
              <w:rPr>
                <w:rFonts w:ascii="Arial Narrow" w:hAnsi="Arial Narrow" w:cs="Calibri"/>
                <w:b/>
                <w:bCs/>
                <w:color w:val="FFFFFF"/>
                <w:kern w:val="24"/>
                <w:sz w:val="20"/>
                <w:szCs w:val="20"/>
                <w:lang w:val="en-GB"/>
              </w:rPr>
              <w:t>De</w:t>
            </w:r>
            <w:r w:rsidR="00257B9B">
              <w:rPr>
                <w:rFonts w:ascii="Arial Narrow" w:hAnsi="Arial Narrow" w:cs="Calibri"/>
                <w:b/>
                <w:bCs/>
                <w:color w:val="FFFFFF"/>
                <w:kern w:val="24"/>
                <w:sz w:val="20"/>
                <w:szCs w:val="20"/>
                <w:lang w:val="en-GB"/>
              </w:rPr>
              <w:t>ç</w:t>
            </w:r>
            <w:r w:rsidRPr="00C97DF3">
              <w:rPr>
                <w:rFonts w:ascii="Arial Narrow" w:hAnsi="Arial Narrow" w:cs="Calibri"/>
                <w:b/>
                <w:bCs/>
                <w:color w:val="FFFFFF"/>
                <w:kern w:val="24"/>
                <w:sz w:val="20"/>
                <w:szCs w:val="20"/>
                <w:lang w:val="en-GB"/>
              </w:rPr>
              <w:t>an</w:t>
            </w:r>
            <w:proofErr w:type="spellEnd"/>
          </w:p>
        </w:tc>
        <w:tc>
          <w:tcPr>
            <w:tcW w:w="620" w:type="pct"/>
            <w:shd w:val="clear" w:color="auto" w:fill="365F91"/>
            <w:hideMark/>
          </w:tcPr>
          <w:p w14:paraId="275E332F" w14:textId="77777777" w:rsidR="00C97DF3" w:rsidRPr="00C97DF3" w:rsidRDefault="00C97DF3" w:rsidP="00C97DF3">
            <w:pPr>
              <w:spacing w:before="60" w:after="60"/>
              <w:jc w:val="center"/>
              <w:rPr>
                <w:rFonts w:ascii="Arial Narrow" w:hAnsi="Arial Narrow" w:cs="Arial"/>
                <w:color w:val="FFFFFF"/>
                <w:sz w:val="20"/>
                <w:szCs w:val="20"/>
              </w:rPr>
            </w:pPr>
            <w:proofErr w:type="spellStart"/>
            <w:r w:rsidRPr="00C97DF3">
              <w:rPr>
                <w:rFonts w:ascii="Arial Narrow" w:hAnsi="Arial Narrow" w:cs="Calibri"/>
                <w:b/>
                <w:bCs/>
                <w:color w:val="FFFFFF"/>
                <w:kern w:val="24"/>
                <w:sz w:val="20"/>
                <w:szCs w:val="20"/>
                <w:lang w:val="en-GB"/>
              </w:rPr>
              <w:t>Junik</w:t>
            </w:r>
            <w:proofErr w:type="spellEnd"/>
          </w:p>
        </w:tc>
      </w:tr>
      <w:tr w:rsidR="00C97DF3" w:rsidRPr="00C97DF3" w14:paraId="7951B76F" w14:textId="77777777" w:rsidTr="008F1976">
        <w:trPr>
          <w:trHeight w:val="161"/>
        </w:trPr>
        <w:tc>
          <w:tcPr>
            <w:tcW w:w="1899" w:type="pct"/>
            <w:hideMark/>
          </w:tcPr>
          <w:p w14:paraId="62CE307E" w14:textId="51EF2B45" w:rsidR="00C97DF3" w:rsidRPr="00C97DF3" w:rsidRDefault="00C97DF3" w:rsidP="00C97DF3">
            <w:pPr>
              <w:spacing w:before="60" w:after="60"/>
              <w:rPr>
                <w:rFonts w:ascii="Arial Narrow" w:hAnsi="Arial Narrow" w:cs="Arial"/>
                <w:sz w:val="20"/>
                <w:szCs w:val="20"/>
              </w:rPr>
            </w:pPr>
            <w:r w:rsidRPr="00FF7243">
              <w:rPr>
                <w:rFonts w:ascii="Arial Narrow" w:hAnsi="Arial Narrow" w:cs="Calibri"/>
                <w:color w:val="000000"/>
                <w:kern w:val="24"/>
                <w:sz w:val="20"/>
                <w:szCs w:val="20"/>
                <w:lang w:val="es-ES"/>
              </w:rPr>
              <w:t xml:space="preserve">Tarifa </w:t>
            </w:r>
            <w:proofErr w:type="spellStart"/>
            <w:r w:rsidRPr="00FF7243">
              <w:rPr>
                <w:rFonts w:ascii="Arial Narrow" w:hAnsi="Arial Narrow" w:cs="Calibri"/>
                <w:color w:val="000000"/>
                <w:kern w:val="24"/>
                <w:sz w:val="20"/>
                <w:szCs w:val="20"/>
                <w:lang w:val="es-ES"/>
              </w:rPr>
              <w:t>mesatare</w:t>
            </w:r>
            <w:proofErr w:type="spellEnd"/>
            <w:r w:rsidRPr="00FF7243">
              <w:rPr>
                <w:rFonts w:ascii="Arial Narrow" w:hAnsi="Arial Narrow" w:cs="Calibri"/>
                <w:color w:val="000000"/>
                <w:kern w:val="24"/>
                <w:sz w:val="20"/>
                <w:szCs w:val="20"/>
                <w:lang w:val="es-ES"/>
              </w:rPr>
              <w:t xml:space="preserve"> </w:t>
            </w:r>
            <w:proofErr w:type="spellStart"/>
            <w:r w:rsidRPr="00FF7243">
              <w:rPr>
                <w:rFonts w:ascii="Arial Narrow" w:hAnsi="Arial Narrow" w:cs="Calibri"/>
                <w:color w:val="000000"/>
                <w:kern w:val="24"/>
                <w:sz w:val="20"/>
                <w:szCs w:val="20"/>
                <w:lang w:val="es-ES"/>
              </w:rPr>
              <w:t>mujore</w:t>
            </w:r>
            <w:proofErr w:type="spellEnd"/>
            <w:r w:rsidRPr="00FF7243">
              <w:rPr>
                <w:rFonts w:ascii="Arial Narrow" w:hAnsi="Arial Narrow" w:cs="Calibri"/>
                <w:color w:val="000000"/>
                <w:kern w:val="24"/>
                <w:sz w:val="20"/>
                <w:szCs w:val="20"/>
                <w:lang w:val="es-ES"/>
              </w:rPr>
              <w:t xml:space="preserve"> </w:t>
            </w:r>
            <w:proofErr w:type="spellStart"/>
            <w:r w:rsidR="00EA6DA5" w:rsidRPr="00FF7243">
              <w:rPr>
                <w:rFonts w:ascii="Arial Narrow" w:hAnsi="Arial Narrow" w:cs="Calibri"/>
                <w:color w:val="000000"/>
                <w:kern w:val="24"/>
                <w:sz w:val="20"/>
                <w:szCs w:val="20"/>
                <w:lang w:val="es-ES"/>
              </w:rPr>
              <w:t>për</w:t>
            </w:r>
            <w:proofErr w:type="spellEnd"/>
            <w:r w:rsidR="00EA6DA5" w:rsidRPr="00FF7243">
              <w:rPr>
                <w:rFonts w:ascii="Arial Narrow" w:hAnsi="Arial Narrow" w:cs="Calibri"/>
                <w:color w:val="000000"/>
                <w:kern w:val="24"/>
                <w:sz w:val="20"/>
                <w:szCs w:val="20"/>
                <w:lang w:val="es-ES"/>
              </w:rPr>
              <w:t xml:space="preserve"> </w:t>
            </w:r>
            <w:proofErr w:type="spellStart"/>
            <w:r w:rsidR="00EA6DA5" w:rsidRPr="00FF7243">
              <w:rPr>
                <w:rFonts w:ascii="Arial Narrow" w:hAnsi="Arial Narrow" w:cs="Calibri"/>
                <w:color w:val="000000"/>
                <w:kern w:val="24"/>
                <w:sz w:val="20"/>
                <w:szCs w:val="20"/>
                <w:lang w:val="es-ES"/>
              </w:rPr>
              <w:t>amvisëri</w:t>
            </w:r>
            <w:proofErr w:type="spellEnd"/>
          </w:p>
        </w:tc>
        <w:tc>
          <w:tcPr>
            <w:tcW w:w="620" w:type="pct"/>
            <w:hideMark/>
          </w:tcPr>
          <w:p w14:paraId="1B274D2F" w14:textId="77777777" w:rsidR="00C97DF3" w:rsidRPr="00C97DF3" w:rsidRDefault="00C97DF3" w:rsidP="00C97DF3">
            <w:pPr>
              <w:spacing w:before="60" w:after="60"/>
              <w:jc w:val="center"/>
              <w:rPr>
                <w:rFonts w:ascii="Arial Narrow" w:hAnsi="Arial Narrow" w:cs="Arial"/>
                <w:sz w:val="20"/>
                <w:szCs w:val="20"/>
              </w:rPr>
            </w:pPr>
            <w:r w:rsidRPr="00C97DF3">
              <w:rPr>
                <w:rFonts w:ascii="Arial Narrow" w:hAnsi="Arial Narrow" w:cs="Calibri"/>
                <w:color w:val="000000"/>
                <w:kern w:val="24"/>
                <w:sz w:val="20"/>
                <w:szCs w:val="20"/>
                <w:lang w:val="en-GB"/>
              </w:rPr>
              <w:t>8 €</w:t>
            </w:r>
          </w:p>
        </w:tc>
        <w:tc>
          <w:tcPr>
            <w:tcW w:w="620" w:type="pct"/>
            <w:hideMark/>
          </w:tcPr>
          <w:p w14:paraId="4DC8BDC5" w14:textId="77777777" w:rsidR="00C97DF3" w:rsidRPr="00C97DF3" w:rsidRDefault="00C97DF3" w:rsidP="00C97DF3">
            <w:pPr>
              <w:spacing w:before="60" w:after="60"/>
              <w:jc w:val="center"/>
              <w:rPr>
                <w:rFonts w:ascii="Arial Narrow" w:hAnsi="Arial Narrow" w:cs="Arial"/>
                <w:sz w:val="20"/>
                <w:szCs w:val="20"/>
              </w:rPr>
            </w:pPr>
            <w:r w:rsidRPr="00C97DF3">
              <w:rPr>
                <w:rFonts w:ascii="Arial Narrow" w:hAnsi="Arial Narrow" w:cs="Calibri"/>
                <w:color w:val="000000"/>
                <w:kern w:val="24"/>
                <w:sz w:val="20"/>
                <w:szCs w:val="20"/>
                <w:lang w:val="en-GB"/>
              </w:rPr>
              <w:t>8 €</w:t>
            </w:r>
          </w:p>
        </w:tc>
        <w:tc>
          <w:tcPr>
            <w:tcW w:w="620" w:type="pct"/>
            <w:hideMark/>
          </w:tcPr>
          <w:p w14:paraId="2925032A" w14:textId="77777777" w:rsidR="00C97DF3" w:rsidRPr="00C97DF3" w:rsidRDefault="00C97DF3" w:rsidP="00C97DF3">
            <w:pPr>
              <w:spacing w:before="60" w:after="60"/>
              <w:jc w:val="center"/>
              <w:rPr>
                <w:rFonts w:ascii="Arial Narrow" w:hAnsi="Arial Narrow" w:cs="Arial"/>
                <w:sz w:val="20"/>
                <w:szCs w:val="20"/>
              </w:rPr>
            </w:pPr>
            <w:r w:rsidRPr="00C97DF3">
              <w:rPr>
                <w:rFonts w:ascii="Arial Narrow" w:hAnsi="Arial Narrow" w:cs="Calibri"/>
                <w:color w:val="000000"/>
                <w:kern w:val="24"/>
                <w:sz w:val="20"/>
                <w:szCs w:val="20"/>
                <w:lang w:val="en-GB"/>
              </w:rPr>
              <w:t>7.6 €</w:t>
            </w:r>
          </w:p>
        </w:tc>
        <w:tc>
          <w:tcPr>
            <w:tcW w:w="620" w:type="pct"/>
            <w:hideMark/>
          </w:tcPr>
          <w:p w14:paraId="0BF71882" w14:textId="77777777" w:rsidR="00C97DF3" w:rsidRPr="00C97DF3" w:rsidRDefault="00C97DF3" w:rsidP="00C97DF3">
            <w:pPr>
              <w:spacing w:before="60" w:after="60"/>
              <w:jc w:val="center"/>
              <w:rPr>
                <w:rFonts w:ascii="Arial Narrow" w:hAnsi="Arial Narrow" w:cs="Arial"/>
                <w:sz w:val="20"/>
                <w:szCs w:val="20"/>
              </w:rPr>
            </w:pPr>
            <w:r w:rsidRPr="00C97DF3">
              <w:rPr>
                <w:rFonts w:ascii="Arial Narrow" w:hAnsi="Arial Narrow" w:cs="Calibri"/>
                <w:color w:val="000000"/>
                <w:kern w:val="24"/>
                <w:sz w:val="20"/>
                <w:szCs w:val="20"/>
                <w:lang w:val="en-GB"/>
              </w:rPr>
              <w:t>6.6 €</w:t>
            </w:r>
          </w:p>
        </w:tc>
        <w:tc>
          <w:tcPr>
            <w:tcW w:w="620" w:type="pct"/>
            <w:hideMark/>
          </w:tcPr>
          <w:p w14:paraId="2173FA30" w14:textId="77777777" w:rsidR="00C97DF3" w:rsidRPr="00C97DF3" w:rsidRDefault="00C97DF3" w:rsidP="00C97DF3">
            <w:pPr>
              <w:spacing w:before="60" w:after="60"/>
              <w:jc w:val="center"/>
              <w:rPr>
                <w:rFonts w:ascii="Arial Narrow" w:hAnsi="Arial Narrow" w:cs="Arial"/>
                <w:sz w:val="20"/>
                <w:szCs w:val="20"/>
              </w:rPr>
            </w:pPr>
            <w:r w:rsidRPr="00C97DF3">
              <w:rPr>
                <w:rFonts w:ascii="Arial Narrow" w:hAnsi="Arial Narrow" w:cs="Calibri"/>
                <w:color w:val="000000"/>
                <w:kern w:val="24"/>
                <w:sz w:val="20"/>
                <w:szCs w:val="20"/>
                <w:lang w:val="en-GB"/>
              </w:rPr>
              <w:t>5.7 €</w:t>
            </w:r>
          </w:p>
        </w:tc>
      </w:tr>
    </w:tbl>
    <w:p w14:paraId="4EF71FC6" w14:textId="77777777" w:rsidR="00C97DF3" w:rsidRPr="00C97DF3" w:rsidRDefault="00C97DF3" w:rsidP="00C97DF3">
      <w:pPr>
        <w:jc w:val="both"/>
        <w:rPr>
          <w:rFonts w:ascii="Arial Narrow" w:eastAsia="Calibri" w:hAnsi="Arial Narrow"/>
          <w:sz w:val="22"/>
          <w:szCs w:val="22"/>
        </w:rPr>
      </w:pPr>
    </w:p>
    <w:p w14:paraId="4801EEB9" w14:textId="77777777" w:rsidR="00257B9B" w:rsidRDefault="00257B9B" w:rsidP="00C97DF3">
      <w:pPr>
        <w:jc w:val="both"/>
        <w:rPr>
          <w:rFonts w:ascii="Arial Narrow" w:eastAsia="Calibri" w:hAnsi="Arial Narrow"/>
          <w:b/>
          <w:bCs/>
          <w:sz w:val="22"/>
          <w:szCs w:val="22"/>
        </w:rPr>
      </w:pPr>
    </w:p>
    <w:p w14:paraId="798AD1E8" w14:textId="6B1CB969" w:rsidR="00C97DF3" w:rsidRPr="00C97DF3" w:rsidRDefault="00C97DF3" w:rsidP="00C97DF3">
      <w:pPr>
        <w:jc w:val="both"/>
        <w:rPr>
          <w:rFonts w:ascii="Arial Narrow" w:eastAsia="Calibri" w:hAnsi="Arial Narrow"/>
          <w:b/>
          <w:bCs/>
          <w:sz w:val="22"/>
          <w:szCs w:val="22"/>
        </w:rPr>
      </w:pPr>
      <w:r w:rsidRPr="00C97DF3">
        <w:rPr>
          <w:rFonts w:ascii="Arial Narrow" w:eastAsia="Calibri" w:hAnsi="Arial Narrow"/>
          <w:b/>
          <w:bCs/>
          <w:sz w:val="22"/>
          <w:szCs w:val="22"/>
        </w:rPr>
        <w:t>Rrjedha e mbeturinave dhe bilanc</w:t>
      </w:r>
      <w:r w:rsidR="00257B9B">
        <w:rPr>
          <w:rFonts w:ascii="Arial Narrow" w:eastAsia="Calibri" w:hAnsi="Arial Narrow"/>
          <w:b/>
          <w:bCs/>
          <w:sz w:val="22"/>
          <w:szCs w:val="22"/>
        </w:rPr>
        <w:t>a</w:t>
      </w:r>
      <w:r w:rsidRPr="00C97DF3">
        <w:rPr>
          <w:rFonts w:ascii="Arial Narrow" w:eastAsia="Calibri" w:hAnsi="Arial Narrow"/>
          <w:b/>
          <w:bCs/>
          <w:sz w:val="22"/>
          <w:szCs w:val="22"/>
        </w:rPr>
        <w:t xml:space="preserve"> </w:t>
      </w:r>
      <w:r w:rsidR="00257B9B">
        <w:rPr>
          <w:rFonts w:ascii="Arial Narrow" w:eastAsia="Calibri" w:hAnsi="Arial Narrow"/>
          <w:b/>
          <w:bCs/>
          <w:sz w:val="22"/>
          <w:szCs w:val="22"/>
        </w:rPr>
        <w:t>e përgjithshme/</w:t>
      </w:r>
      <w:r w:rsidRPr="00C97DF3">
        <w:rPr>
          <w:rFonts w:ascii="Arial Narrow" w:eastAsia="Calibri" w:hAnsi="Arial Narrow"/>
          <w:b/>
          <w:bCs/>
          <w:sz w:val="22"/>
          <w:szCs w:val="22"/>
        </w:rPr>
        <w:t>masiv</w:t>
      </w:r>
      <w:r w:rsidR="00257B9B">
        <w:rPr>
          <w:rFonts w:ascii="Arial Narrow" w:eastAsia="Calibri" w:hAnsi="Arial Narrow"/>
          <w:b/>
          <w:bCs/>
          <w:sz w:val="22"/>
          <w:szCs w:val="22"/>
        </w:rPr>
        <w:t>e</w:t>
      </w:r>
      <w:r w:rsidRPr="00C97DF3">
        <w:rPr>
          <w:rFonts w:ascii="Arial Narrow" w:eastAsia="Calibri" w:hAnsi="Arial Narrow"/>
          <w:b/>
          <w:bCs/>
          <w:sz w:val="22"/>
          <w:szCs w:val="22"/>
        </w:rPr>
        <w:t xml:space="preserve"> </w:t>
      </w:r>
      <w:r w:rsidR="00257B9B">
        <w:rPr>
          <w:rFonts w:ascii="Arial Narrow" w:eastAsia="Calibri" w:hAnsi="Arial Narrow"/>
          <w:b/>
          <w:bCs/>
          <w:sz w:val="22"/>
          <w:szCs w:val="22"/>
        </w:rPr>
        <w:t>e</w:t>
      </w:r>
      <w:r w:rsidRPr="00C97DF3">
        <w:rPr>
          <w:rFonts w:ascii="Arial Narrow" w:eastAsia="Calibri" w:hAnsi="Arial Narrow"/>
          <w:b/>
          <w:bCs/>
          <w:sz w:val="22"/>
          <w:szCs w:val="22"/>
        </w:rPr>
        <w:t xml:space="preserve"> sistemit të rekomanduar</w:t>
      </w:r>
    </w:p>
    <w:p w14:paraId="09504695" w14:textId="77777777" w:rsidR="00257B9B" w:rsidRDefault="00257B9B" w:rsidP="00257B9B">
      <w:pPr>
        <w:rPr>
          <w:rFonts w:ascii="Arial Narrow" w:hAnsi="Arial Narrow"/>
          <w:color w:val="000000"/>
          <w:sz w:val="22"/>
          <w:szCs w:val="22"/>
          <w:lang w:val="sq-AL" w:eastAsia="de-DE"/>
        </w:rPr>
      </w:pPr>
    </w:p>
    <w:p w14:paraId="4ADE0FE9" w14:textId="0BB18A9E" w:rsidR="00257B9B" w:rsidRPr="00BE2534" w:rsidRDefault="00257B9B" w:rsidP="00257B9B">
      <w:pPr>
        <w:rPr>
          <w:rFonts w:ascii="Arial Narrow" w:hAnsi="Arial Narrow"/>
          <w:color w:val="000000"/>
          <w:sz w:val="22"/>
          <w:szCs w:val="22"/>
          <w:lang w:val="sq-AL" w:eastAsia="de-DE"/>
        </w:rPr>
      </w:pPr>
      <w:r w:rsidRPr="00BE2534">
        <w:rPr>
          <w:rFonts w:ascii="Arial Narrow" w:hAnsi="Arial Narrow"/>
          <w:color w:val="000000"/>
          <w:sz w:val="22"/>
          <w:szCs w:val="22"/>
          <w:lang w:val="sq-AL" w:eastAsia="de-DE"/>
        </w:rPr>
        <w:t>Shifrat e mëposhtme tregojnë balancën e përgjithshme</w:t>
      </w:r>
      <w:r w:rsidR="006146D0">
        <w:rPr>
          <w:rFonts w:ascii="Arial Narrow" w:hAnsi="Arial Narrow"/>
          <w:color w:val="000000"/>
          <w:sz w:val="22"/>
          <w:szCs w:val="22"/>
          <w:lang w:val="sq-AL" w:eastAsia="de-DE"/>
        </w:rPr>
        <w:t>/masës</w:t>
      </w:r>
      <w:r w:rsidRPr="00BE2534">
        <w:rPr>
          <w:rFonts w:ascii="Arial Narrow" w:hAnsi="Arial Narrow"/>
          <w:color w:val="000000"/>
          <w:sz w:val="22"/>
          <w:szCs w:val="22"/>
          <w:lang w:val="sq-AL" w:eastAsia="de-DE"/>
        </w:rPr>
        <w:t xml:space="preserve"> të sasive të mbeturinave për periudhën e planifikimit dhe për referencën e vitit të kaluar (2035).</w:t>
      </w:r>
    </w:p>
    <w:p w14:paraId="5290B4F0" w14:textId="77777777" w:rsidR="00C97DF3" w:rsidRPr="00FF7243" w:rsidRDefault="00C97DF3" w:rsidP="00C97DF3">
      <w:pPr>
        <w:rPr>
          <w:rFonts w:ascii="Arial Narrow" w:hAnsi="Arial Narrow"/>
          <w:color w:val="000000"/>
          <w:sz w:val="22"/>
          <w:szCs w:val="22"/>
          <w:lang w:val="sq-AL" w:eastAsia="de-DE"/>
        </w:rPr>
      </w:pPr>
    </w:p>
    <w:p w14:paraId="6B8F1735" w14:textId="66395F68" w:rsidR="00C97DF3" w:rsidRPr="00C97DF3" w:rsidRDefault="006146D0" w:rsidP="00C97DF3">
      <w:pPr>
        <w:jc w:val="center"/>
        <w:rPr>
          <w:rFonts w:ascii="Arial Narrow" w:hAnsi="Arial Narrow"/>
          <w:color w:val="000000"/>
          <w:sz w:val="22"/>
          <w:szCs w:val="22"/>
          <w:lang w:val="en-GB" w:eastAsia="de-DE"/>
        </w:rPr>
      </w:pPr>
      <w:r>
        <w:rPr>
          <w:noProof/>
        </w:rPr>
        <w:drawing>
          <wp:inline distT="0" distB="0" distL="0" distR="0" wp14:anchorId="420DF445" wp14:editId="135A56D1">
            <wp:extent cx="5110687" cy="3841102"/>
            <wp:effectExtent l="0" t="0" r="13970" b="7620"/>
            <wp:docPr id="1431967091" name="Chart 1">
              <a:extLst xmlns:a="http://schemas.openxmlformats.org/drawingml/2006/main">
                <a:ext uri="{FF2B5EF4-FFF2-40B4-BE49-F238E27FC236}">
                  <a16:creationId xmlns:a16="http://schemas.microsoft.com/office/drawing/2014/main" id="{F6526070-9337-4F84-9FD9-1E6A6AE6F5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8F1498F" w14:textId="5F213157" w:rsidR="00257B9B" w:rsidRPr="00257B9B" w:rsidRDefault="00C97DF3" w:rsidP="00257B9B">
      <w:pPr>
        <w:jc w:val="center"/>
        <w:rPr>
          <w:rFonts w:ascii="Arial Narrow" w:eastAsia="Calibri" w:hAnsi="Arial Narrow" w:cs="Calibri"/>
          <w:color w:val="1F497D"/>
          <w:sz w:val="20"/>
          <w:szCs w:val="20"/>
          <w:lang w:val="sq-AL"/>
        </w:rPr>
      </w:pPr>
      <w:bookmarkStart w:id="13" w:name="_Toc197472309"/>
      <w:r w:rsidRPr="00457786">
        <w:rPr>
          <w:rFonts w:ascii="Arial Narrow" w:eastAsia="Calibri" w:hAnsi="Arial Narrow" w:cs="Calibri"/>
          <w:sz w:val="20"/>
          <w:szCs w:val="20"/>
        </w:rPr>
        <w:t xml:space="preserve">Figura </w:t>
      </w:r>
      <w:r w:rsidRPr="00457786">
        <w:rPr>
          <w:rFonts w:ascii="Arial Narrow" w:eastAsia="Calibri" w:hAnsi="Arial Narrow" w:cs="Calibri"/>
          <w:sz w:val="20"/>
          <w:szCs w:val="20"/>
        </w:rPr>
        <w:fldChar w:fldCharType="begin"/>
      </w:r>
      <w:r w:rsidRPr="00457786">
        <w:rPr>
          <w:rFonts w:ascii="Arial Narrow" w:eastAsia="Calibri" w:hAnsi="Arial Narrow" w:cs="Calibri"/>
          <w:sz w:val="20"/>
          <w:szCs w:val="20"/>
        </w:rPr>
        <w:instrText xml:space="preserve"> SEQ Figure \* ARABIC </w:instrText>
      </w:r>
      <w:r w:rsidRPr="00457786">
        <w:rPr>
          <w:rFonts w:ascii="Arial Narrow" w:eastAsia="Calibri" w:hAnsi="Arial Narrow" w:cs="Calibri"/>
          <w:sz w:val="20"/>
          <w:szCs w:val="20"/>
        </w:rPr>
        <w:fldChar w:fldCharType="separate"/>
      </w:r>
      <w:r w:rsidRPr="00457786">
        <w:rPr>
          <w:rFonts w:ascii="Arial Narrow" w:eastAsia="Calibri" w:hAnsi="Arial Narrow" w:cs="Calibri"/>
          <w:noProof/>
          <w:sz w:val="20"/>
          <w:szCs w:val="20"/>
        </w:rPr>
        <w:t xml:space="preserve">6. </w:t>
      </w:r>
      <w:r w:rsidRPr="00457786">
        <w:rPr>
          <w:rFonts w:ascii="Arial Narrow" w:eastAsia="Calibri" w:hAnsi="Arial Narrow" w:cs="Calibri"/>
          <w:sz w:val="20"/>
          <w:szCs w:val="20"/>
        </w:rPr>
        <w:fldChar w:fldCharType="end"/>
      </w:r>
      <w:r w:rsidR="00257B9B" w:rsidRPr="00257B9B">
        <w:rPr>
          <w:rFonts w:ascii="Arial Narrow" w:eastAsia="Calibri" w:hAnsi="Arial Narrow" w:cs="Calibri"/>
          <w:color w:val="1F497D"/>
          <w:sz w:val="20"/>
          <w:szCs w:val="20"/>
          <w:lang w:val="sq-AL"/>
        </w:rPr>
        <w:t xml:space="preserve"> Balanca e përgjithshm</w:t>
      </w:r>
      <w:r w:rsidR="00257B9B">
        <w:rPr>
          <w:rFonts w:ascii="Arial Narrow" w:eastAsia="Calibri" w:hAnsi="Arial Narrow" w:cs="Calibri"/>
          <w:color w:val="1F497D"/>
          <w:sz w:val="20"/>
          <w:szCs w:val="20"/>
          <w:lang w:val="sq-AL"/>
        </w:rPr>
        <w:t>e/mas</w:t>
      </w:r>
      <w:r w:rsidR="006146D0">
        <w:rPr>
          <w:rFonts w:ascii="Arial Narrow" w:eastAsia="Calibri" w:hAnsi="Arial Narrow" w:cs="Calibri"/>
          <w:color w:val="1F497D"/>
          <w:sz w:val="20"/>
          <w:szCs w:val="20"/>
          <w:lang w:val="sq-AL"/>
        </w:rPr>
        <w:t>ës</w:t>
      </w:r>
      <w:r w:rsidR="00257B9B">
        <w:rPr>
          <w:rFonts w:ascii="Arial Narrow" w:eastAsia="Calibri" w:hAnsi="Arial Narrow" w:cs="Calibri"/>
          <w:color w:val="1F497D"/>
          <w:sz w:val="20"/>
          <w:szCs w:val="20"/>
          <w:lang w:val="sq-AL"/>
        </w:rPr>
        <w:t xml:space="preserve"> e</w:t>
      </w:r>
      <w:r w:rsidR="00257B9B" w:rsidRPr="00257B9B">
        <w:rPr>
          <w:rFonts w:ascii="Arial Narrow" w:eastAsia="Calibri" w:hAnsi="Arial Narrow" w:cs="Calibri"/>
          <w:color w:val="1F497D"/>
          <w:sz w:val="20"/>
          <w:szCs w:val="20"/>
          <w:lang w:val="sq-AL"/>
        </w:rPr>
        <w:t xml:space="preserve"> sistemit të propozuar të menaxhimit të mbeturinave</w:t>
      </w:r>
      <w:bookmarkEnd w:id="13"/>
    </w:p>
    <w:p w14:paraId="49F021C9" w14:textId="5B9FDF12" w:rsidR="00C97DF3" w:rsidRPr="00257B9B" w:rsidRDefault="00257B9B" w:rsidP="00257B9B">
      <w:pPr>
        <w:pStyle w:val="Figure"/>
        <w:spacing w:before="0" w:after="0"/>
        <w:ind w:left="1411" w:hanging="1411"/>
        <w:rPr>
          <w:color w:val="000000"/>
          <w:sz w:val="20"/>
          <w:szCs w:val="20"/>
          <w:lang w:val="en-GB" w:eastAsia="de-DE"/>
        </w:rPr>
      </w:pPr>
      <w:r w:rsidRPr="00257B9B">
        <w:rPr>
          <w:rFonts w:eastAsia="Calibri" w:cs="Calibri"/>
          <w:color w:val="1F497D"/>
          <w:sz w:val="20"/>
          <w:szCs w:val="20"/>
          <w:lang w:val="sq-AL"/>
        </w:rPr>
        <w:t xml:space="preserve"> gjatë periudhës së planifikimit</w:t>
      </w:r>
    </w:p>
    <w:p w14:paraId="1C4CF9FB" w14:textId="1B716135" w:rsidR="00C97DF3" w:rsidRPr="00C97DF3" w:rsidRDefault="00257B9B" w:rsidP="00C97DF3">
      <w:pPr>
        <w:jc w:val="center"/>
        <w:rPr>
          <w:rFonts w:ascii="Arial Narrow" w:hAnsi="Arial Narrow"/>
          <w:noProof/>
          <w:color w:val="000000"/>
          <w:sz w:val="22"/>
          <w:szCs w:val="22"/>
          <w:lang w:eastAsia="de-DE"/>
        </w:rPr>
      </w:pPr>
      <w:r>
        <w:rPr>
          <w:noProof/>
          <w:lang w:val="en-GB"/>
        </w:rPr>
        <w:lastRenderedPageBreak/>
        <w:drawing>
          <wp:inline distT="0" distB="0" distL="0" distR="0" wp14:anchorId="67AAF236" wp14:editId="312327AD">
            <wp:extent cx="5943600" cy="3468046"/>
            <wp:effectExtent l="0" t="0" r="0" b="0"/>
            <wp:docPr id="5706698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5943600" cy="3468046"/>
                    </a:xfrm>
                    <a:prstGeom prst="rect">
                      <a:avLst/>
                    </a:prstGeom>
                    <a:noFill/>
                    <a:ln>
                      <a:noFill/>
                    </a:ln>
                  </pic:spPr>
                </pic:pic>
              </a:graphicData>
            </a:graphic>
          </wp:inline>
        </w:drawing>
      </w:r>
    </w:p>
    <w:p w14:paraId="501EE37B" w14:textId="4DDCA1EE" w:rsidR="00C97DF3" w:rsidRPr="00C97DF3" w:rsidRDefault="00C97DF3" w:rsidP="00C97DF3">
      <w:pPr>
        <w:pStyle w:val="Figure"/>
        <w:spacing w:before="0" w:after="0"/>
        <w:ind w:left="1411" w:hanging="1411"/>
        <w:rPr>
          <w:rFonts w:eastAsia="Calibri" w:cs="Calibri"/>
          <w:sz w:val="20"/>
          <w:szCs w:val="20"/>
        </w:rPr>
      </w:pPr>
      <w:bookmarkStart w:id="14" w:name="_Toc197472310"/>
      <w:r w:rsidRPr="00C97DF3">
        <w:rPr>
          <w:rFonts w:eastAsia="Calibri" w:cs="Calibri"/>
          <w:sz w:val="20"/>
          <w:szCs w:val="20"/>
        </w:rPr>
        <w:t xml:space="preserve">Figura </w:t>
      </w:r>
      <w:r w:rsidRPr="00C97DF3">
        <w:rPr>
          <w:rFonts w:eastAsia="Calibri" w:cs="Calibri"/>
          <w:sz w:val="20"/>
          <w:szCs w:val="20"/>
        </w:rPr>
        <w:fldChar w:fldCharType="begin"/>
      </w:r>
      <w:r w:rsidRPr="00C97DF3">
        <w:rPr>
          <w:rFonts w:eastAsia="Calibri" w:cs="Calibri"/>
          <w:sz w:val="20"/>
          <w:szCs w:val="20"/>
        </w:rPr>
        <w:instrText xml:space="preserve"> SEQ Figure \* ARABIC </w:instrText>
      </w:r>
      <w:r w:rsidRPr="00C97DF3">
        <w:rPr>
          <w:rFonts w:eastAsia="Calibri" w:cs="Calibri"/>
          <w:sz w:val="20"/>
          <w:szCs w:val="20"/>
        </w:rPr>
        <w:fldChar w:fldCharType="separate"/>
      </w:r>
      <w:r w:rsidRPr="00C97DF3">
        <w:rPr>
          <w:rFonts w:eastAsia="Calibri" w:cs="Calibri"/>
          <w:sz w:val="20"/>
          <w:szCs w:val="20"/>
        </w:rPr>
        <w:t xml:space="preserve">7. </w:t>
      </w:r>
      <w:r w:rsidRPr="00C97DF3">
        <w:rPr>
          <w:rFonts w:eastAsia="Calibri" w:cs="Calibri"/>
          <w:sz w:val="20"/>
          <w:szCs w:val="20"/>
        </w:rPr>
        <w:fldChar w:fldCharType="end"/>
      </w:r>
      <w:r w:rsidRPr="00C97DF3">
        <w:rPr>
          <w:rFonts w:eastAsia="Calibri" w:cs="Calibri"/>
          <w:sz w:val="20"/>
          <w:szCs w:val="20"/>
        </w:rPr>
        <w:t>Bilanc</w:t>
      </w:r>
      <w:r w:rsidR="00257B9B">
        <w:rPr>
          <w:rFonts w:eastAsia="Calibri" w:cs="Calibri"/>
          <w:sz w:val="20"/>
          <w:szCs w:val="20"/>
        </w:rPr>
        <w:t>a</w:t>
      </w:r>
      <w:r w:rsidRPr="00C97DF3">
        <w:rPr>
          <w:rFonts w:eastAsia="Calibri" w:cs="Calibri"/>
          <w:sz w:val="20"/>
          <w:szCs w:val="20"/>
        </w:rPr>
        <w:t xml:space="preserve"> </w:t>
      </w:r>
      <w:r w:rsidR="00257B9B">
        <w:rPr>
          <w:rFonts w:eastAsia="Calibri" w:cs="Calibri"/>
          <w:sz w:val="20"/>
          <w:szCs w:val="20"/>
        </w:rPr>
        <w:t>e përgjithshme/</w:t>
      </w:r>
      <w:r w:rsidRPr="00C97DF3">
        <w:rPr>
          <w:rFonts w:eastAsia="Calibri" w:cs="Calibri"/>
          <w:sz w:val="20"/>
          <w:szCs w:val="20"/>
        </w:rPr>
        <w:t>mas</w:t>
      </w:r>
      <w:r w:rsidR="00457786">
        <w:rPr>
          <w:rFonts w:eastAsia="Calibri" w:cs="Calibri"/>
          <w:sz w:val="20"/>
          <w:szCs w:val="20"/>
        </w:rPr>
        <w:t>ës</w:t>
      </w:r>
      <w:r w:rsidRPr="00C97DF3">
        <w:rPr>
          <w:rFonts w:eastAsia="Calibri" w:cs="Calibri"/>
          <w:sz w:val="20"/>
          <w:szCs w:val="20"/>
        </w:rPr>
        <w:t xml:space="preserve"> </w:t>
      </w:r>
      <w:r w:rsidR="00257B9B">
        <w:rPr>
          <w:rFonts w:eastAsia="Calibri" w:cs="Calibri"/>
          <w:sz w:val="20"/>
          <w:szCs w:val="20"/>
        </w:rPr>
        <w:t>e</w:t>
      </w:r>
      <w:r w:rsidRPr="00C97DF3">
        <w:rPr>
          <w:rFonts w:eastAsia="Calibri" w:cs="Calibri"/>
          <w:sz w:val="20"/>
          <w:szCs w:val="20"/>
        </w:rPr>
        <w:t xml:space="preserve"> sistemit në vitin 2035</w:t>
      </w:r>
      <w:bookmarkEnd w:id="14"/>
    </w:p>
    <w:p w14:paraId="4C09C298" w14:textId="77777777" w:rsidR="00C97DF3" w:rsidRPr="00FF7243" w:rsidRDefault="00C97DF3" w:rsidP="00C97DF3">
      <w:pPr>
        <w:rPr>
          <w:rFonts w:ascii="Arial Narrow" w:hAnsi="Arial Narrow"/>
          <w:color w:val="000000"/>
          <w:sz w:val="22"/>
          <w:szCs w:val="22"/>
          <w:lang w:val="es-ES" w:eastAsia="de-DE"/>
        </w:rPr>
      </w:pPr>
    </w:p>
    <w:p w14:paraId="38743EAF" w14:textId="68DC8A6A" w:rsidR="00293D24" w:rsidRPr="00BE2534" w:rsidRDefault="00293D24" w:rsidP="00293D24">
      <w:pPr>
        <w:rPr>
          <w:rFonts w:ascii="Arial Narrow" w:hAnsi="Arial Narrow"/>
          <w:color w:val="000000"/>
          <w:sz w:val="22"/>
          <w:szCs w:val="22"/>
          <w:lang w:val="sq-AL" w:eastAsia="de-DE"/>
        </w:rPr>
      </w:pPr>
      <w:r w:rsidRPr="00BE2534">
        <w:rPr>
          <w:rFonts w:ascii="Arial Narrow" w:hAnsi="Arial Narrow"/>
          <w:color w:val="000000"/>
          <w:sz w:val="22"/>
          <w:szCs w:val="22"/>
          <w:lang w:val="sq-AL" w:eastAsia="de-DE"/>
        </w:rPr>
        <w:t>B</w:t>
      </w:r>
      <w:r>
        <w:rPr>
          <w:rFonts w:ascii="Arial Narrow" w:hAnsi="Arial Narrow"/>
          <w:color w:val="000000"/>
          <w:sz w:val="22"/>
          <w:szCs w:val="22"/>
          <w:lang w:val="sq-AL" w:eastAsia="de-DE"/>
        </w:rPr>
        <w:t xml:space="preserve">alanca e </w:t>
      </w:r>
      <w:r w:rsidRPr="00BE2534">
        <w:rPr>
          <w:rFonts w:ascii="Arial Narrow" w:hAnsi="Arial Narrow"/>
          <w:color w:val="000000"/>
          <w:sz w:val="22"/>
          <w:szCs w:val="22"/>
          <w:lang w:val="sq-AL" w:eastAsia="de-DE"/>
        </w:rPr>
        <w:t>përgjithsh</w:t>
      </w:r>
      <w:r>
        <w:rPr>
          <w:rFonts w:ascii="Arial Narrow" w:hAnsi="Arial Narrow"/>
          <w:color w:val="000000"/>
          <w:sz w:val="22"/>
          <w:szCs w:val="22"/>
          <w:lang w:val="sq-AL" w:eastAsia="de-DE"/>
        </w:rPr>
        <w:t>me/mas</w:t>
      </w:r>
      <w:r w:rsidR="00457786">
        <w:rPr>
          <w:rFonts w:ascii="Arial Narrow" w:hAnsi="Arial Narrow"/>
          <w:color w:val="000000"/>
          <w:sz w:val="22"/>
          <w:szCs w:val="22"/>
          <w:lang w:val="sq-AL" w:eastAsia="de-DE"/>
        </w:rPr>
        <w:t>ës</w:t>
      </w:r>
      <w:r w:rsidRPr="00BE2534">
        <w:rPr>
          <w:rFonts w:ascii="Arial Narrow" w:hAnsi="Arial Narrow"/>
          <w:color w:val="000000"/>
          <w:sz w:val="22"/>
          <w:szCs w:val="22"/>
          <w:lang w:val="sq-AL" w:eastAsia="de-DE"/>
        </w:rPr>
        <w:t xml:space="preserve"> tregon se në vitin 2035 do të arrihet një shkallë riciklimi 50.1% për peshën e mbeturinave të gjeneruara komunale ndërsa sasia e mbeturinave komunale të deponuara do të reduktohet në 17.8%.</w:t>
      </w:r>
    </w:p>
    <w:p w14:paraId="6822D09A" w14:textId="77777777" w:rsidR="00C97DF3" w:rsidRPr="00C97DF3" w:rsidRDefault="00C97DF3" w:rsidP="00C97DF3">
      <w:pPr>
        <w:jc w:val="both"/>
        <w:rPr>
          <w:rFonts w:ascii="Arial Narrow" w:eastAsia="Calibri" w:hAnsi="Arial Narrow"/>
          <w:sz w:val="22"/>
          <w:szCs w:val="22"/>
        </w:rPr>
      </w:pPr>
    </w:p>
    <w:p w14:paraId="1AA98189" w14:textId="77777777" w:rsidR="00C97DF3" w:rsidRPr="00C97DF3" w:rsidRDefault="00C97DF3" w:rsidP="00C97DF3">
      <w:pPr>
        <w:jc w:val="both"/>
        <w:rPr>
          <w:rFonts w:ascii="Arial Narrow" w:eastAsia="Calibri" w:hAnsi="Arial Narrow"/>
          <w:b/>
          <w:bCs/>
          <w:sz w:val="22"/>
          <w:szCs w:val="22"/>
        </w:rPr>
      </w:pPr>
      <w:r w:rsidRPr="00C97DF3">
        <w:rPr>
          <w:rFonts w:ascii="Arial Narrow" w:eastAsia="Calibri" w:hAnsi="Arial Narrow"/>
          <w:b/>
          <w:bCs/>
          <w:sz w:val="22"/>
          <w:szCs w:val="22"/>
        </w:rPr>
        <w:t>Plani i Veprimit</w:t>
      </w:r>
    </w:p>
    <w:p w14:paraId="73DB1339" w14:textId="4934FC8B" w:rsidR="00C97DF3" w:rsidRPr="00293D24" w:rsidRDefault="00C97DF3" w:rsidP="00293D24">
      <w:pPr>
        <w:jc w:val="both"/>
        <w:rPr>
          <w:rFonts w:ascii="Arial Narrow" w:eastAsia="Calibri" w:hAnsi="Arial Narrow"/>
          <w:sz w:val="22"/>
          <w:szCs w:val="22"/>
        </w:rPr>
      </w:pPr>
      <w:r w:rsidRPr="00C97DF3">
        <w:rPr>
          <w:rFonts w:ascii="Arial Narrow" w:eastAsia="Calibri" w:hAnsi="Arial Narrow"/>
          <w:sz w:val="22"/>
          <w:szCs w:val="22"/>
        </w:rPr>
        <w:t xml:space="preserve">Një Plan Veprimi përcakton veprimet prioritare të nevojshme për zbatimin e masave të parashikuara, duke mbuluar të gjitha </w:t>
      </w:r>
      <w:r w:rsidR="00293D24">
        <w:rPr>
          <w:rFonts w:ascii="Arial Narrow" w:eastAsia="Calibri" w:hAnsi="Arial Narrow"/>
          <w:sz w:val="22"/>
          <w:szCs w:val="22"/>
        </w:rPr>
        <w:t>fraksionet me prioritet</w:t>
      </w:r>
      <w:r w:rsidRPr="00C97DF3">
        <w:rPr>
          <w:rFonts w:ascii="Arial Narrow" w:eastAsia="Calibri" w:hAnsi="Arial Narrow"/>
          <w:sz w:val="22"/>
          <w:szCs w:val="22"/>
        </w:rPr>
        <w:t xml:space="preserve"> të mbet</w:t>
      </w:r>
      <w:r w:rsidR="00293D24">
        <w:rPr>
          <w:rFonts w:ascii="Arial Narrow" w:eastAsia="Calibri" w:hAnsi="Arial Narrow"/>
          <w:sz w:val="22"/>
          <w:szCs w:val="22"/>
        </w:rPr>
        <w:t>urinave</w:t>
      </w:r>
      <w:r w:rsidRPr="00C97DF3">
        <w:rPr>
          <w:rFonts w:ascii="Arial Narrow" w:eastAsia="Calibri" w:hAnsi="Arial Narrow"/>
          <w:sz w:val="22"/>
          <w:szCs w:val="22"/>
        </w:rPr>
        <w:t xml:space="preserve">, buxhetin e nevojshëm për secilin aktivitet, burimin e financimit, </w:t>
      </w:r>
      <w:r w:rsidRPr="00293D24">
        <w:rPr>
          <w:rFonts w:ascii="Arial Narrow" w:eastAsia="Calibri" w:hAnsi="Arial Narrow"/>
          <w:sz w:val="22"/>
          <w:szCs w:val="22"/>
        </w:rPr>
        <w:t>përgjegjësitë për zbatim dhe treguesit e performancës. Plani i Veprimit do të përditësohet sipas nevojës dhe në varësi të progresit të zbatimit të aktiviteteve.</w:t>
      </w:r>
    </w:p>
    <w:p w14:paraId="367D6339" w14:textId="77777777" w:rsidR="00C97DF3" w:rsidRPr="00293D24" w:rsidRDefault="00C97DF3" w:rsidP="00293D24">
      <w:pPr>
        <w:jc w:val="both"/>
        <w:rPr>
          <w:rFonts w:ascii="Arial Narrow" w:eastAsia="Calibri" w:hAnsi="Arial Narrow"/>
          <w:sz w:val="22"/>
          <w:szCs w:val="22"/>
        </w:rPr>
      </w:pPr>
    </w:p>
    <w:p w14:paraId="14879321" w14:textId="77777777" w:rsidR="00293D24" w:rsidRPr="00293D24" w:rsidRDefault="00293D24" w:rsidP="00293D24">
      <w:pPr>
        <w:suppressAutoHyphens/>
        <w:jc w:val="both"/>
        <w:rPr>
          <w:rFonts w:ascii="Arial Narrow" w:eastAsia="Calibri" w:hAnsi="Arial Narrow" w:cs="Calibri"/>
          <w:sz w:val="22"/>
          <w:szCs w:val="22"/>
        </w:rPr>
      </w:pPr>
      <w:r w:rsidRPr="00293D24">
        <w:rPr>
          <w:rFonts w:ascii="Arial Narrow" w:eastAsia="Calibri" w:hAnsi="Arial Narrow" w:cs="Calibri"/>
          <w:sz w:val="22"/>
          <w:szCs w:val="22"/>
        </w:rPr>
        <w:t>Plani i Veprimit përmban aktivitete të cilat do të jenë përgjegjësi individuale e komunave dhe si të tilla të ndërlidhen me ngritjen e objekteve rajonale për menaxhimin e mbeturinave dhe rrjedhimisht do të jenë përgjegjësi e të gjitha komunave.</w:t>
      </w:r>
    </w:p>
    <w:p w14:paraId="575CCF1D" w14:textId="77777777" w:rsidR="00C97DF3" w:rsidRPr="00293D24" w:rsidRDefault="00C97DF3" w:rsidP="00293D24">
      <w:pPr>
        <w:suppressAutoHyphens/>
        <w:jc w:val="both"/>
        <w:rPr>
          <w:rFonts w:ascii="Arial Narrow" w:eastAsia="Calibri" w:hAnsi="Arial Narrow" w:cs="Calibri"/>
          <w:sz w:val="22"/>
          <w:szCs w:val="22"/>
        </w:rPr>
      </w:pPr>
    </w:p>
    <w:p w14:paraId="44E2212D" w14:textId="77777777" w:rsidR="00293D24" w:rsidRPr="00293D24" w:rsidRDefault="00293D24" w:rsidP="00293D24">
      <w:pPr>
        <w:suppressAutoHyphens/>
        <w:rPr>
          <w:rFonts w:ascii="Arial Narrow" w:eastAsia="Calibri" w:hAnsi="Arial Narrow" w:cs="Calibri"/>
          <w:sz w:val="22"/>
          <w:szCs w:val="22"/>
        </w:rPr>
      </w:pPr>
      <w:r w:rsidRPr="00293D24">
        <w:rPr>
          <w:rFonts w:ascii="Arial Narrow" w:eastAsia="Calibri" w:hAnsi="Arial Narrow" w:cs="Calibri"/>
          <w:sz w:val="22"/>
          <w:szCs w:val="22"/>
        </w:rPr>
        <w:t xml:space="preserve">Më poshtë janë renditur aktivitetet kryesore të cilat do të jenë përgjegjësi e </w:t>
      </w:r>
      <w:r w:rsidRPr="00293D24">
        <w:rPr>
          <w:rFonts w:ascii="Arial Narrow" w:eastAsia="Calibri" w:hAnsi="Arial Narrow" w:cs="Calibri"/>
          <w:sz w:val="22"/>
          <w:szCs w:val="22"/>
          <w:u w:val="single"/>
        </w:rPr>
        <w:t xml:space="preserve">komunave individuale </w:t>
      </w:r>
      <w:r w:rsidRPr="00293D24">
        <w:rPr>
          <w:rFonts w:ascii="Arial Narrow" w:eastAsia="Calibri" w:hAnsi="Arial Narrow" w:cs="Calibri"/>
          <w:sz w:val="22"/>
          <w:szCs w:val="22"/>
        </w:rPr>
        <w:t>:</w:t>
      </w:r>
    </w:p>
    <w:p w14:paraId="321FA3A6" w14:textId="77777777" w:rsidR="00293D24" w:rsidRPr="00293D24" w:rsidRDefault="00293D24" w:rsidP="00293D24">
      <w:pPr>
        <w:pStyle w:val="ListParagraph"/>
        <w:numPr>
          <w:ilvl w:val="0"/>
          <w:numId w:val="31"/>
        </w:numPr>
        <w:suppressAutoHyphens/>
        <w:rPr>
          <w:rFonts w:eastAsia="Calibri" w:cs="Calibri"/>
          <w:sz w:val="22"/>
          <w:szCs w:val="22"/>
        </w:rPr>
      </w:pPr>
      <w:r w:rsidRPr="00293D24">
        <w:rPr>
          <w:rFonts w:eastAsia="Calibri" w:cs="Calibri"/>
          <w:sz w:val="22"/>
          <w:szCs w:val="22"/>
        </w:rPr>
        <w:t>Masat për parandalimin e mbeturinave (të 5 komunat)</w:t>
      </w:r>
    </w:p>
    <w:p w14:paraId="02D5EB27" w14:textId="4CE8EAD1" w:rsidR="00293D24" w:rsidRPr="00293D24" w:rsidRDefault="00293D24" w:rsidP="00293D24">
      <w:pPr>
        <w:pStyle w:val="ListParagraph"/>
        <w:numPr>
          <w:ilvl w:val="0"/>
          <w:numId w:val="31"/>
        </w:numPr>
        <w:suppressAutoHyphens/>
        <w:rPr>
          <w:rFonts w:eastAsia="Calibri" w:cs="Calibri"/>
          <w:sz w:val="22"/>
          <w:szCs w:val="22"/>
        </w:rPr>
      </w:pPr>
      <w:r w:rsidRPr="00293D24">
        <w:rPr>
          <w:rFonts w:eastAsia="Calibri" w:cs="Calibri"/>
          <w:sz w:val="22"/>
          <w:szCs w:val="22"/>
        </w:rPr>
        <w:t xml:space="preserve">Të fillohet me grumbullimin </w:t>
      </w:r>
      <w:r w:rsidR="008A72DD">
        <w:rPr>
          <w:rFonts w:eastAsia="Calibri" w:cs="Calibri"/>
          <w:sz w:val="22"/>
          <w:szCs w:val="22"/>
        </w:rPr>
        <w:t>ndaras</w:t>
      </w:r>
      <w:r w:rsidRPr="00293D24">
        <w:rPr>
          <w:rFonts w:eastAsia="Calibri" w:cs="Calibri"/>
          <w:sz w:val="22"/>
          <w:szCs w:val="22"/>
        </w:rPr>
        <w:t xml:space="preserve"> të mbeturinave të riciklueshme të thata (të 5 komunat)</w:t>
      </w:r>
    </w:p>
    <w:p w14:paraId="63AAF475" w14:textId="77777777" w:rsidR="00293D24" w:rsidRPr="00293D24" w:rsidRDefault="00293D24" w:rsidP="00293D24">
      <w:pPr>
        <w:pStyle w:val="ListParagraph"/>
        <w:numPr>
          <w:ilvl w:val="0"/>
          <w:numId w:val="31"/>
        </w:numPr>
        <w:suppressAutoHyphens/>
        <w:rPr>
          <w:rFonts w:eastAsia="Calibri" w:cs="Calibri"/>
          <w:sz w:val="22"/>
          <w:szCs w:val="22"/>
        </w:rPr>
      </w:pPr>
      <w:r w:rsidRPr="00293D24">
        <w:rPr>
          <w:rFonts w:eastAsia="Calibri" w:cs="Calibri"/>
          <w:sz w:val="22"/>
          <w:szCs w:val="22"/>
        </w:rPr>
        <w:t>Ngritja e oborreve të riciklimit (të 5 komunat)</w:t>
      </w:r>
    </w:p>
    <w:p w14:paraId="30711CAD" w14:textId="77777777" w:rsidR="00293D24" w:rsidRPr="00293D24" w:rsidRDefault="00293D24" w:rsidP="00293D24">
      <w:pPr>
        <w:pStyle w:val="ListParagraph"/>
        <w:numPr>
          <w:ilvl w:val="0"/>
          <w:numId w:val="31"/>
        </w:numPr>
        <w:suppressAutoHyphens/>
        <w:rPr>
          <w:rFonts w:eastAsia="Calibri" w:cs="Calibri"/>
          <w:sz w:val="22"/>
          <w:szCs w:val="22"/>
        </w:rPr>
      </w:pPr>
      <w:r w:rsidRPr="00293D24">
        <w:rPr>
          <w:rFonts w:eastAsia="Calibri" w:cs="Calibri"/>
          <w:sz w:val="22"/>
          <w:szCs w:val="22"/>
        </w:rPr>
        <w:t>Krijimi i dy stacioneve të transferit (për komunën e Istogut dhe Deçanit)</w:t>
      </w:r>
    </w:p>
    <w:p w14:paraId="7E65E01A" w14:textId="39D9A836" w:rsidR="00293D24" w:rsidRPr="00293D24" w:rsidRDefault="00293D24" w:rsidP="00293D24">
      <w:pPr>
        <w:pStyle w:val="ListParagraph"/>
        <w:numPr>
          <w:ilvl w:val="0"/>
          <w:numId w:val="31"/>
        </w:numPr>
        <w:suppressAutoHyphens/>
        <w:rPr>
          <w:rFonts w:eastAsia="Calibri" w:cs="Calibri"/>
          <w:sz w:val="22"/>
          <w:szCs w:val="22"/>
        </w:rPr>
      </w:pPr>
      <w:r w:rsidRPr="00293D24">
        <w:rPr>
          <w:rFonts w:eastAsia="Calibri" w:cs="Calibri"/>
          <w:sz w:val="22"/>
          <w:szCs w:val="22"/>
        </w:rPr>
        <w:t xml:space="preserve">Krijimi i një objekti kompostimi për mbeturinat e gjelbra të grumbulluara </w:t>
      </w:r>
      <w:r w:rsidR="008A72DD">
        <w:rPr>
          <w:rFonts w:eastAsia="Calibri" w:cs="Calibri"/>
          <w:sz w:val="22"/>
          <w:szCs w:val="22"/>
        </w:rPr>
        <w:t>ndaras</w:t>
      </w:r>
      <w:r w:rsidRPr="00293D24">
        <w:rPr>
          <w:rFonts w:eastAsia="Calibri" w:cs="Calibri"/>
          <w:sz w:val="22"/>
          <w:szCs w:val="22"/>
        </w:rPr>
        <w:t xml:space="preserve"> (në komunën e Pejës) dhe zbatimi i kompostimit të decentralizuar të mbeturinave të gjelbra duke përdorur pajisje mobile në komunat Istog, Klinë, Deçan dhe Junik.</w:t>
      </w:r>
    </w:p>
    <w:p w14:paraId="25533BAF" w14:textId="77777777" w:rsidR="00293D24" w:rsidRPr="00293D24" w:rsidRDefault="00293D24" w:rsidP="00293D24">
      <w:pPr>
        <w:pStyle w:val="ListParagraph"/>
        <w:numPr>
          <w:ilvl w:val="0"/>
          <w:numId w:val="31"/>
        </w:numPr>
        <w:suppressAutoHyphens/>
        <w:rPr>
          <w:rFonts w:eastAsia="Calibri" w:cs="Calibri"/>
          <w:sz w:val="22"/>
          <w:szCs w:val="22"/>
        </w:rPr>
      </w:pPr>
      <w:r w:rsidRPr="00293D24">
        <w:rPr>
          <w:rFonts w:eastAsia="Calibri" w:cs="Calibri"/>
          <w:sz w:val="22"/>
          <w:szCs w:val="22"/>
        </w:rPr>
        <w:t>Të fillohet me kompostimin shtëpiak në zonat rurale (të 5 komunat)</w:t>
      </w:r>
    </w:p>
    <w:p w14:paraId="05257455" w14:textId="77777777" w:rsidR="00293D24" w:rsidRPr="00293D24" w:rsidRDefault="00293D24" w:rsidP="00293D24">
      <w:pPr>
        <w:pStyle w:val="ListParagraph"/>
        <w:numPr>
          <w:ilvl w:val="0"/>
          <w:numId w:val="31"/>
        </w:numPr>
        <w:suppressAutoHyphens/>
        <w:rPr>
          <w:rFonts w:eastAsia="Calibri" w:cs="Calibri"/>
          <w:sz w:val="22"/>
          <w:szCs w:val="22"/>
        </w:rPr>
      </w:pPr>
      <w:r w:rsidRPr="00293D24">
        <w:rPr>
          <w:rFonts w:eastAsia="Calibri" w:cs="Calibri"/>
          <w:sz w:val="22"/>
          <w:szCs w:val="22"/>
        </w:rPr>
        <w:lastRenderedPageBreak/>
        <w:t>Krijimi i katër pikave të hedhjes së mbeturinave nga ndërtimi dhe rrënimi (në komunat Pejë, Istog, Klinë dhe Deçan)</w:t>
      </w:r>
    </w:p>
    <w:p w14:paraId="73563B0E" w14:textId="77777777" w:rsidR="00C97DF3" w:rsidRPr="00293D24" w:rsidRDefault="00C97DF3" w:rsidP="00C97DF3">
      <w:pPr>
        <w:suppressAutoHyphens/>
        <w:rPr>
          <w:rFonts w:ascii="Arial Narrow" w:eastAsia="Calibri" w:hAnsi="Arial Narrow" w:cs="Calibri"/>
          <w:sz w:val="22"/>
          <w:szCs w:val="22"/>
        </w:rPr>
      </w:pPr>
    </w:p>
    <w:p w14:paraId="4D2A2A2A" w14:textId="77777777" w:rsidR="00293D24" w:rsidRPr="00293D24" w:rsidRDefault="00293D24" w:rsidP="00293D24">
      <w:pPr>
        <w:suppressAutoHyphens/>
        <w:rPr>
          <w:rFonts w:ascii="Arial Narrow" w:eastAsia="Calibri" w:hAnsi="Arial Narrow" w:cs="Calibri"/>
          <w:sz w:val="22"/>
          <w:szCs w:val="22"/>
        </w:rPr>
      </w:pPr>
      <w:r w:rsidRPr="00293D24">
        <w:rPr>
          <w:rFonts w:ascii="Arial Narrow" w:eastAsia="Calibri" w:hAnsi="Arial Narrow" w:cs="Calibri"/>
          <w:sz w:val="22"/>
          <w:szCs w:val="22"/>
        </w:rPr>
        <w:t xml:space="preserve">Lista e mëposhtme tregon aktivitetet kryesore që do të zbatohen në </w:t>
      </w:r>
      <w:r w:rsidRPr="00293D24">
        <w:rPr>
          <w:rFonts w:ascii="Arial Narrow" w:eastAsia="Calibri" w:hAnsi="Arial Narrow" w:cs="Calibri"/>
          <w:sz w:val="22"/>
          <w:szCs w:val="22"/>
          <w:u w:val="single"/>
        </w:rPr>
        <w:t xml:space="preserve">nivel rajonal </w:t>
      </w:r>
      <w:r w:rsidRPr="00293D24">
        <w:rPr>
          <w:rFonts w:ascii="Arial Narrow" w:eastAsia="Calibri" w:hAnsi="Arial Narrow" w:cs="Calibri"/>
          <w:sz w:val="22"/>
          <w:szCs w:val="22"/>
        </w:rPr>
        <w:t>:</w:t>
      </w:r>
    </w:p>
    <w:p w14:paraId="65A07555" w14:textId="77777777" w:rsidR="00293D24" w:rsidRPr="00293D24" w:rsidRDefault="00293D24" w:rsidP="00293D24">
      <w:pPr>
        <w:pStyle w:val="ListParagraph"/>
        <w:numPr>
          <w:ilvl w:val="0"/>
          <w:numId w:val="32"/>
        </w:numPr>
        <w:suppressAutoHyphens/>
        <w:rPr>
          <w:rFonts w:eastAsia="Calibri" w:cs="Calibri"/>
          <w:sz w:val="22"/>
          <w:szCs w:val="22"/>
        </w:rPr>
      </w:pPr>
      <w:r w:rsidRPr="00293D24">
        <w:rPr>
          <w:rFonts w:eastAsia="Calibri" w:cs="Calibri"/>
          <w:sz w:val="22"/>
          <w:szCs w:val="22"/>
        </w:rPr>
        <w:t>Përmirësimi i deponisë sanitare rajonale ekzistuese</w:t>
      </w:r>
    </w:p>
    <w:p w14:paraId="57C2232E" w14:textId="593CA404" w:rsidR="00293D24" w:rsidRPr="00293D24" w:rsidRDefault="00293D24" w:rsidP="00293D24">
      <w:pPr>
        <w:pStyle w:val="ListParagraph"/>
        <w:numPr>
          <w:ilvl w:val="0"/>
          <w:numId w:val="32"/>
        </w:numPr>
        <w:suppressAutoHyphens/>
        <w:rPr>
          <w:rFonts w:eastAsia="Calibri" w:cs="Calibri"/>
          <w:sz w:val="22"/>
          <w:szCs w:val="22"/>
        </w:rPr>
      </w:pPr>
      <w:r w:rsidRPr="00293D24">
        <w:rPr>
          <w:rFonts w:eastAsia="Calibri" w:cs="Calibri"/>
          <w:sz w:val="22"/>
          <w:szCs w:val="22"/>
        </w:rPr>
        <w:t xml:space="preserve">Krijimi i një objekti klasifikimi për mbeturinave të riciklueshme të grumbulluara </w:t>
      </w:r>
      <w:r w:rsidR="008A72DD">
        <w:rPr>
          <w:rFonts w:eastAsia="Calibri" w:cs="Calibri"/>
          <w:sz w:val="22"/>
          <w:szCs w:val="22"/>
        </w:rPr>
        <w:t>ndaras</w:t>
      </w:r>
    </w:p>
    <w:p w14:paraId="4DCC8BBA" w14:textId="77777777" w:rsidR="00293D24" w:rsidRPr="00293D24" w:rsidRDefault="00293D24" w:rsidP="00293D24">
      <w:pPr>
        <w:pStyle w:val="ListParagraph"/>
        <w:numPr>
          <w:ilvl w:val="0"/>
          <w:numId w:val="32"/>
        </w:numPr>
        <w:suppressAutoHyphens/>
        <w:rPr>
          <w:rFonts w:eastAsia="Calibri" w:cs="Calibri"/>
          <w:sz w:val="22"/>
          <w:szCs w:val="22"/>
        </w:rPr>
      </w:pPr>
      <w:r w:rsidRPr="00293D24">
        <w:rPr>
          <w:rFonts w:eastAsia="Calibri" w:cs="Calibri"/>
          <w:sz w:val="22"/>
          <w:szCs w:val="22"/>
        </w:rPr>
        <w:t>Ngritja e një impianti TMB për trajtimin e mbeturinave të përziera komunale</w:t>
      </w:r>
    </w:p>
    <w:p w14:paraId="3B194D9D" w14:textId="77777777" w:rsidR="00293D24" w:rsidRPr="00293D24" w:rsidRDefault="00293D24" w:rsidP="00293D24">
      <w:pPr>
        <w:pStyle w:val="ListParagraph"/>
        <w:numPr>
          <w:ilvl w:val="0"/>
          <w:numId w:val="32"/>
        </w:numPr>
        <w:suppressAutoHyphens/>
        <w:rPr>
          <w:rFonts w:eastAsia="Calibri" w:cs="Calibri"/>
          <w:sz w:val="22"/>
          <w:szCs w:val="22"/>
        </w:rPr>
      </w:pPr>
      <w:r w:rsidRPr="00293D24">
        <w:rPr>
          <w:rFonts w:eastAsia="Calibri" w:cs="Calibri"/>
          <w:sz w:val="22"/>
          <w:szCs w:val="22"/>
        </w:rPr>
        <w:t>Ngritja e një impianti për trajtimin e mbeturinave organike (kompostimi në kontenjerë të specializuar ose impiant të tretjes anaerobe)</w:t>
      </w:r>
    </w:p>
    <w:p w14:paraId="54C36137" w14:textId="77777777" w:rsidR="00293D24" w:rsidRPr="00293D24" w:rsidRDefault="00293D24" w:rsidP="00293D24">
      <w:pPr>
        <w:pStyle w:val="ListParagraph"/>
        <w:numPr>
          <w:ilvl w:val="0"/>
          <w:numId w:val="32"/>
        </w:numPr>
        <w:suppressAutoHyphens/>
        <w:rPr>
          <w:rFonts w:eastAsia="Calibri" w:cs="Calibri"/>
          <w:sz w:val="22"/>
          <w:szCs w:val="22"/>
        </w:rPr>
      </w:pPr>
      <w:r w:rsidRPr="00293D24">
        <w:rPr>
          <w:rFonts w:eastAsia="Calibri" w:cs="Calibri"/>
          <w:sz w:val="22"/>
          <w:szCs w:val="22"/>
        </w:rPr>
        <w:t>Ngritja e një objekti riciklimi për mbeturinat e ndërtimit dhe rrënimit</w:t>
      </w:r>
    </w:p>
    <w:p w14:paraId="66756B5F" w14:textId="77777777" w:rsidR="00293D24" w:rsidRPr="00293D24" w:rsidRDefault="00293D24" w:rsidP="00293D24">
      <w:pPr>
        <w:pStyle w:val="ListParagraph"/>
        <w:numPr>
          <w:ilvl w:val="0"/>
          <w:numId w:val="32"/>
        </w:numPr>
        <w:suppressAutoHyphens/>
        <w:rPr>
          <w:rFonts w:eastAsia="Calibri" w:cs="Calibri"/>
          <w:sz w:val="22"/>
          <w:szCs w:val="22"/>
        </w:rPr>
      </w:pPr>
      <w:r w:rsidRPr="00293D24">
        <w:rPr>
          <w:rFonts w:eastAsia="Calibri" w:cs="Calibri"/>
          <w:sz w:val="22"/>
          <w:szCs w:val="22"/>
        </w:rPr>
        <w:t>Ngritja e një venddeponimi për mbeturinat e ndërtimit dhe rrënimit</w:t>
      </w:r>
    </w:p>
    <w:p w14:paraId="365B84DB" w14:textId="77777777" w:rsidR="00C97DF3" w:rsidRPr="00293D24" w:rsidRDefault="00C97DF3" w:rsidP="00C97DF3">
      <w:pPr>
        <w:jc w:val="both"/>
        <w:rPr>
          <w:rFonts w:ascii="Arial Narrow" w:eastAsia="Calibri" w:hAnsi="Arial Narrow"/>
          <w:sz w:val="22"/>
          <w:szCs w:val="22"/>
        </w:rPr>
      </w:pPr>
    </w:p>
    <w:p w14:paraId="7004A910" w14:textId="360C9411" w:rsidR="00C97DF3" w:rsidRPr="00C97DF3" w:rsidRDefault="00C97DF3" w:rsidP="00C97DF3">
      <w:pPr>
        <w:jc w:val="both"/>
        <w:rPr>
          <w:rFonts w:ascii="Arial Narrow" w:eastAsia="Calibri" w:hAnsi="Arial Narrow"/>
          <w:sz w:val="22"/>
          <w:szCs w:val="22"/>
        </w:rPr>
      </w:pPr>
      <w:r w:rsidRPr="00C97DF3">
        <w:rPr>
          <w:rFonts w:ascii="Arial Narrow" w:eastAsia="Calibri" w:hAnsi="Arial Narrow"/>
          <w:sz w:val="22"/>
          <w:szCs w:val="22"/>
        </w:rPr>
        <w:t xml:space="preserve">Aktivitetet e parashikuara për vitet e para të zbatimit synojnë adresimin e problemeve dhe mangësive më urgjente për periudhën 2025-2027. Aktivitetet e parashikuara për zbatim afatmesëm (për periudhën 2028-2035) </w:t>
      </w:r>
      <w:r w:rsidR="003E33D7">
        <w:rPr>
          <w:rFonts w:ascii="Arial Narrow" w:eastAsia="Calibri" w:hAnsi="Arial Narrow"/>
          <w:sz w:val="22"/>
          <w:szCs w:val="22"/>
        </w:rPr>
        <w:t>synohet të ngriten</w:t>
      </w:r>
      <w:r w:rsidRPr="00C97DF3">
        <w:rPr>
          <w:rFonts w:ascii="Arial Narrow" w:eastAsia="Calibri" w:hAnsi="Arial Narrow"/>
          <w:sz w:val="22"/>
          <w:szCs w:val="22"/>
        </w:rPr>
        <w:t xml:space="preserve"> mbi veprimet afatshkurtra </w:t>
      </w:r>
      <w:r w:rsidR="003E33D7">
        <w:rPr>
          <w:rFonts w:ascii="Arial Narrow" w:eastAsia="Calibri" w:hAnsi="Arial Narrow"/>
          <w:sz w:val="22"/>
          <w:szCs w:val="22"/>
        </w:rPr>
        <w:t xml:space="preserve">me qëllim të </w:t>
      </w:r>
      <w:r w:rsidRPr="00C97DF3">
        <w:rPr>
          <w:rFonts w:ascii="Arial Narrow" w:eastAsia="Calibri" w:hAnsi="Arial Narrow"/>
          <w:sz w:val="22"/>
          <w:szCs w:val="22"/>
        </w:rPr>
        <w:t>krijimi</w:t>
      </w:r>
      <w:r w:rsidR="003E33D7">
        <w:rPr>
          <w:rFonts w:ascii="Arial Narrow" w:eastAsia="Calibri" w:hAnsi="Arial Narrow"/>
          <w:sz w:val="22"/>
          <w:szCs w:val="22"/>
        </w:rPr>
        <w:t>t të</w:t>
      </w:r>
      <w:r w:rsidRPr="00C97DF3">
        <w:rPr>
          <w:rFonts w:ascii="Arial Narrow" w:eastAsia="Calibri" w:hAnsi="Arial Narrow"/>
          <w:sz w:val="22"/>
          <w:szCs w:val="22"/>
        </w:rPr>
        <w:t xml:space="preserve"> një sistemi të integruar ndërkomunal të menaxhimit të mbet</w:t>
      </w:r>
      <w:r w:rsidR="003E33D7">
        <w:rPr>
          <w:rFonts w:ascii="Arial Narrow" w:eastAsia="Calibri" w:hAnsi="Arial Narrow"/>
          <w:sz w:val="22"/>
          <w:szCs w:val="22"/>
        </w:rPr>
        <w:t>urinave</w:t>
      </w:r>
      <w:r w:rsidRPr="00C97DF3">
        <w:rPr>
          <w:rFonts w:ascii="Arial Narrow" w:eastAsia="Calibri" w:hAnsi="Arial Narrow"/>
          <w:sz w:val="22"/>
          <w:szCs w:val="22"/>
        </w:rPr>
        <w:t>, duke i mundësuar komunave të arrijnë objektivat e vendosura për vitin 2035.</w:t>
      </w:r>
    </w:p>
    <w:p w14:paraId="2DDB7F9D" w14:textId="77777777" w:rsidR="006347D6" w:rsidRPr="006347D6" w:rsidRDefault="006347D6" w:rsidP="006347D6">
      <w:pPr>
        <w:pStyle w:val="Paragraph"/>
        <w:rPr>
          <w:rFonts w:eastAsia="Calibri"/>
        </w:rPr>
      </w:pPr>
    </w:p>
    <w:p w14:paraId="3C284611" w14:textId="77777777" w:rsidR="006347D6" w:rsidRDefault="006347D6">
      <w:pPr>
        <w:rPr>
          <w:rFonts w:ascii="Arial Narrow" w:eastAsiaTheme="majorEastAsia" w:hAnsi="Arial Narrow" w:cstheme="majorBidi"/>
          <w:b/>
          <w:bCs/>
          <w:caps/>
          <w:color w:val="002060"/>
          <w:spacing w:val="20"/>
          <w:sz w:val="28"/>
          <w:szCs w:val="28"/>
        </w:rPr>
      </w:pPr>
      <w:r>
        <w:br w:type="page"/>
      </w:r>
    </w:p>
    <w:p w14:paraId="01AF299E" w14:textId="4B4549AD" w:rsidR="00032CD8" w:rsidRPr="00AF0235" w:rsidRDefault="00032CD8" w:rsidP="00032CD8">
      <w:pPr>
        <w:pStyle w:val="Heading1"/>
        <w:ind w:left="1134" w:hanging="1134"/>
      </w:pPr>
      <w:bookmarkStart w:id="15" w:name="_Toc197471942"/>
      <w:r w:rsidRPr="00AF0235">
        <w:lastRenderedPageBreak/>
        <w:t>Sfondi</w:t>
      </w:r>
      <w:bookmarkEnd w:id="2"/>
      <w:bookmarkEnd w:id="3"/>
      <w:bookmarkEnd w:id="15"/>
    </w:p>
    <w:p w14:paraId="37DC449A" w14:textId="0107D180" w:rsidR="00032CD8" w:rsidRPr="00AF0235" w:rsidRDefault="00032CD8" w:rsidP="002254E8">
      <w:pPr>
        <w:pStyle w:val="Heading2"/>
      </w:pPr>
      <w:bookmarkStart w:id="16" w:name="_Toc153872092"/>
      <w:bookmarkStart w:id="17" w:name="_Toc170470792"/>
      <w:bookmarkStart w:id="18" w:name="_Toc197471943"/>
      <w:bookmarkStart w:id="19" w:name="_Toc140079007"/>
      <w:r w:rsidRPr="00AF0235">
        <w:t xml:space="preserve">Objektivi i Përgjithshëm i Planit Ndërkomunal </w:t>
      </w:r>
      <w:r w:rsidR="00457786">
        <w:t>për</w:t>
      </w:r>
      <w:r w:rsidRPr="00AF0235">
        <w:t xml:space="preserve"> Menaxhimi</w:t>
      </w:r>
      <w:r w:rsidR="00457786">
        <w:t>n e</w:t>
      </w:r>
      <w:r w:rsidRPr="00AF0235">
        <w:t xml:space="preserve"> Integruar të Mbeturinave</w:t>
      </w:r>
      <w:bookmarkEnd w:id="16"/>
      <w:bookmarkEnd w:id="17"/>
      <w:bookmarkEnd w:id="18"/>
    </w:p>
    <w:p w14:paraId="21E6CEA0" w14:textId="77777777" w:rsidR="003E33D7" w:rsidRDefault="003E33D7" w:rsidP="003E33D7">
      <w:pPr>
        <w:pStyle w:val="Paragraph"/>
        <w:rPr>
          <w:lang w:val="sq-AL"/>
        </w:rPr>
      </w:pPr>
      <w:bookmarkStart w:id="20" w:name="_Toc153872093"/>
      <w:bookmarkStart w:id="21" w:name="_Toc170470793"/>
      <w:r>
        <w:rPr>
          <w:lang w:val="sq-AL"/>
        </w:rPr>
        <w:t>Plani Ndërkomunal për Menaxhimin e Integruar të Mbeturinave për rajonin e Dukagjinit synon të përmirësojë kushtet për ofrimin e shërbimeve publike dhe zhvillimin e ekonomive lokale në përputhje me kërkesat e BE-së, përmes promovimit të bashkëpunimit ndërkomunal rajonal dhe transferimit të njohurive ndërmjet sektorit publik, sektorit privat dhe shoqërisë civile. Ky plan synon gjithashtu të mundësojë që autoritetet lokale të përmirësojnë shërbimet komunale në përputhje me Agjendën e Gjelbër të BE-së për Ballkanin Perëndimor, duke kontribuar në arritjen e Agjendës 2030 dhe të Objektivave të Zhvillimit të Qëndrueshëm.</w:t>
      </w:r>
    </w:p>
    <w:p w14:paraId="2E919EE0" w14:textId="77777777" w:rsidR="003E33D7" w:rsidRDefault="003E33D7" w:rsidP="003E33D7">
      <w:pPr>
        <w:pStyle w:val="Paragraph"/>
        <w:rPr>
          <w:rFonts w:eastAsia="Calibri"/>
          <w:lang w:val="sq-AL"/>
        </w:rPr>
      </w:pPr>
      <w:r>
        <w:rPr>
          <w:rFonts w:eastAsia="Calibri"/>
          <w:lang w:val="sq-AL"/>
        </w:rPr>
        <w:t>Më konkretisht, objektivi primar i planit është të sigurojë vendosjen e praktikave më të mira mjedisore për menaxhimin e integruar të mbeturinave në Rajonin e Dukagjinit. Transformimi drejt sistemit qarkor dhe të integruar të menaxhimit të mbeturinave, megjithatë, është financiarisht dhe teknikisht sfidues për komunat veç e veç dhe kërkon një përpjekje të koordinuar ndërmjet komunave për të zhvilluar një sistem rajonal të menaxhimit të mbeturinave me kosto efikase dhe të përballueshme.</w:t>
      </w:r>
    </w:p>
    <w:p w14:paraId="2388CD8B" w14:textId="77777777" w:rsidR="003E33D7" w:rsidRDefault="003E33D7" w:rsidP="003E33D7">
      <w:pPr>
        <w:pStyle w:val="Paragraph"/>
        <w:rPr>
          <w:rFonts w:eastAsia="Calibri"/>
          <w:lang w:val="sq-AL"/>
        </w:rPr>
      </w:pPr>
      <w:r>
        <w:rPr>
          <w:rFonts w:eastAsia="Calibri"/>
          <w:lang w:val="sq-AL"/>
        </w:rPr>
        <w:t xml:space="preserve">Qëllimi i Planit Ndërkomunal për Menaxhimin e Integruar të Mbeturinave është të përcaktojë status quo-në e menaxhimit të mbeturinave dhe të identifikojë masat për përmirësimin e menaxhimit të mbeturinave në Rajonin e Dukagjinit. Objektivi i këtijj </w:t>
      </w:r>
      <w:r>
        <w:rPr>
          <w:bCs/>
          <w:color w:val="002060"/>
          <w:lang w:val="sq-AL"/>
        </w:rPr>
        <w:t>PNMIM/</w:t>
      </w:r>
      <w:r>
        <w:rPr>
          <w:rFonts w:eastAsia="Calibri"/>
          <w:lang w:val="sq-AL"/>
        </w:rPr>
        <w:t>IIWMP është të paraqesë një vizion të menaxhimit të mbeturinave për vitet në vijim.</w:t>
      </w:r>
    </w:p>
    <w:p w14:paraId="524222FD" w14:textId="77777777" w:rsidR="003E33D7" w:rsidRDefault="003E33D7" w:rsidP="003E33D7">
      <w:pPr>
        <w:pStyle w:val="Paragraph"/>
        <w:rPr>
          <w:rFonts w:eastAsia="Calibri"/>
          <w:lang w:val="sq-AL"/>
        </w:rPr>
      </w:pPr>
      <w:r>
        <w:rPr>
          <w:rFonts w:eastAsia="Calibri"/>
          <w:lang w:val="sq-AL"/>
        </w:rPr>
        <w:t>Plani Ndërkomunal për Menaxhimin e Integruar të Mbeturinave (PNMIM/IIWMP) për rajonin është zhvilluar në përputhje me objektivat shtetërore për menaxhimin e mbeturinave dhe i udhëhequr nga masat e parapara për rajonin në Strategjinë e Kosovës për Menaxhimin e Integruar të Mbeturinave 2024-2035 dhe Planin e Veprimit 2024-2026 (SKMIM/KIWMS).</w:t>
      </w:r>
    </w:p>
    <w:p w14:paraId="5B92EDAF" w14:textId="705B2F99" w:rsidR="00032CD8" w:rsidRPr="00AF0235" w:rsidRDefault="00032CD8" w:rsidP="002254E8">
      <w:pPr>
        <w:pStyle w:val="Heading2"/>
      </w:pPr>
      <w:bookmarkStart w:id="22" w:name="_Toc197471944"/>
      <w:r w:rsidRPr="00AF0235">
        <w:t>K</w:t>
      </w:r>
      <w:r w:rsidR="003E33D7">
        <w:t>uadri</w:t>
      </w:r>
      <w:r w:rsidRPr="00AF0235">
        <w:t xml:space="preserve"> </w:t>
      </w:r>
      <w:r w:rsidR="003E33D7">
        <w:t>l</w:t>
      </w:r>
      <w:r w:rsidRPr="00AF0235">
        <w:t xml:space="preserve">igjor dhe </w:t>
      </w:r>
      <w:r w:rsidR="003E33D7">
        <w:t>r</w:t>
      </w:r>
      <w:r w:rsidRPr="00AF0235">
        <w:t>regullator</w:t>
      </w:r>
      <w:bookmarkEnd w:id="20"/>
      <w:bookmarkEnd w:id="21"/>
      <w:bookmarkEnd w:id="22"/>
    </w:p>
    <w:p w14:paraId="2EB52AFE" w14:textId="77777777" w:rsidR="00032CD8" w:rsidRPr="00C21444" w:rsidRDefault="00032CD8" w:rsidP="002254E8">
      <w:pPr>
        <w:pStyle w:val="Heading3"/>
      </w:pPr>
      <w:bookmarkStart w:id="23" w:name="_Toc153872094"/>
      <w:bookmarkStart w:id="24" w:name="_Toc170470794"/>
      <w:bookmarkStart w:id="25" w:name="_Toc197471945"/>
      <w:r w:rsidRPr="00C21444">
        <w:t>Politikat dhe Direktivat e BE-së</w:t>
      </w:r>
      <w:bookmarkEnd w:id="23"/>
      <w:bookmarkEnd w:id="24"/>
      <w:bookmarkEnd w:id="25"/>
    </w:p>
    <w:p w14:paraId="625B9146" w14:textId="77777777" w:rsidR="003E33D7" w:rsidRPr="003E33D7" w:rsidRDefault="003E33D7" w:rsidP="003E33D7">
      <w:pPr>
        <w:pStyle w:val="Paragraph"/>
        <w:spacing w:after="0"/>
        <w:rPr>
          <w:rFonts w:eastAsia="Calibri"/>
          <w:lang w:val="sq-AL"/>
        </w:rPr>
      </w:pPr>
      <w:bookmarkStart w:id="26" w:name="_Toc153872095"/>
      <w:bookmarkStart w:id="27" w:name="_Toc170470795"/>
      <w:r w:rsidRPr="003E33D7">
        <w:rPr>
          <w:rFonts w:eastAsia="Calibri"/>
          <w:lang w:val="sq-AL"/>
        </w:rPr>
        <w:t>Legjislacioni i BE-së për menaxhimin e mbeturinave përbëhet nga aktet kryesore të mëposhtme:</w:t>
      </w:r>
    </w:p>
    <w:p w14:paraId="6DE119FF" w14:textId="77777777" w:rsidR="003E33D7" w:rsidRPr="003E33D7" w:rsidRDefault="003E33D7" w:rsidP="003E33D7">
      <w:pPr>
        <w:pStyle w:val="Paragraph"/>
        <w:numPr>
          <w:ilvl w:val="0"/>
          <w:numId w:val="42"/>
        </w:numPr>
        <w:spacing w:after="0"/>
        <w:rPr>
          <w:rFonts w:eastAsia="Calibri"/>
          <w:lang w:val="sq-AL"/>
        </w:rPr>
      </w:pPr>
      <w:r w:rsidRPr="003E33D7">
        <w:rPr>
          <w:rFonts w:eastAsia="Calibri"/>
          <w:lang w:val="sq-AL"/>
        </w:rPr>
        <w:t>Direktiva Kuadër për Mbeturpnat (Direktiva 2008/98/KE)</w:t>
      </w:r>
    </w:p>
    <w:p w14:paraId="6FAF373B" w14:textId="77777777" w:rsidR="003E33D7" w:rsidRPr="003E33D7" w:rsidRDefault="003E33D7" w:rsidP="003E33D7">
      <w:pPr>
        <w:pStyle w:val="Paragraph"/>
        <w:numPr>
          <w:ilvl w:val="0"/>
          <w:numId w:val="42"/>
        </w:numPr>
        <w:spacing w:after="0"/>
        <w:rPr>
          <w:rFonts w:eastAsia="Calibri"/>
          <w:lang w:val="sq-AL"/>
        </w:rPr>
      </w:pPr>
      <w:r w:rsidRPr="003E33D7">
        <w:rPr>
          <w:rFonts w:eastAsia="Calibri"/>
          <w:lang w:val="sq-AL"/>
        </w:rPr>
        <w:t>Direktiva 94/62/KE për paketimin dhe mbeturinat e paketimit</w:t>
      </w:r>
    </w:p>
    <w:p w14:paraId="2FE6CC58" w14:textId="77777777" w:rsidR="003E33D7" w:rsidRPr="003E33D7" w:rsidRDefault="003E33D7" w:rsidP="003E33D7">
      <w:pPr>
        <w:pStyle w:val="Paragraph"/>
        <w:numPr>
          <w:ilvl w:val="0"/>
          <w:numId w:val="42"/>
        </w:numPr>
        <w:spacing w:after="0"/>
        <w:rPr>
          <w:rFonts w:eastAsia="Calibri"/>
          <w:lang w:val="sq-AL"/>
        </w:rPr>
      </w:pPr>
      <w:r w:rsidRPr="003E33D7">
        <w:rPr>
          <w:rFonts w:eastAsia="Calibri"/>
          <w:lang w:val="sq-AL"/>
        </w:rPr>
        <w:t>Direktiva 1999/31/KE për vendgrumbullimin e mbeturinave</w:t>
      </w:r>
    </w:p>
    <w:p w14:paraId="443A13D3" w14:textId="77777777" w:rsidR="003E33D7" w:rsidRPr="003E33D7" w:rsidRDefault="003E33D7" w:rsidP="003E33D7">
      <w:pPr>
        <w:pStyle w:val="Paragraph"/>
        <w:numPr>
          <w:ilvl w:val="0"/>
          <w:numId w:val="42"/>
        </w:numPr>
        <w:spacing w:after="0"/>
        <w:rPr>
          <w:rFonts w:eastAsia="Calibri"/>
          <w:lang w:val="sq-AL"/>
        </w:rPr>
      </w:pPr>
      <w:r w:rsidRPr="003E33D7">
        <w:rPr>
          <w:rFonts w:eastAsia="Calibri"/>
          <w:lang w:val="sq-AL"/>
        </w:rPr>
        <w:t>Direktiva (BE) 2019/904 për reduktimin e ndikimit të disa produkteve plastike në mjedis</w:t>
      </w:r>
    </w:p>
    <w:p w14:paraId="031766EA" w14:textId="77777777" w:rsidR="003E33D7" w:rsidRPr="003E33D7" w:rsidRDefault="003E33D7" w:rsidP="003E33D7">
      <w:pPr>
        <w:pStyle w:val="Paragraph"/>
        <w:numPr>
          <w:ilvl w:val="0"/>
          <w:numId w:val="42"/>
        </w:numPr>
        <w:spacing w:after="0"/>
        <w:rPr>
          <w:rFonts w:eastAsia="Calibri"/>
          <w:lang w:val="sq-AL"/>
        </w:rPr>
      </w:pPr>
      <w:r w:rsidRPr="003E33D7">
        <w:rPr>
          <w:rFonts w:eastAsia="Calibri"/>
          <w:lang w:val="sq-AL"/>
        </w:rPr>
        <w:t>Direktiva 2012/19/BE për mbeturinat nga pajisjeve elektrike dhe elektronike (MPEE/WEEE)</w:t>
      </w:r>
    </w:p>
    <w:p w14:paraId="33D3C9A5" w14:textId="77777777" w:rsidR="003E33D7" w:rsidRPr="003E33D7" w:rsidRDefault="003E33D7" w:rsidP="003E33D7">
      <w:pPr>
        <w:pStyle w:val="Paragraph"/>
        <w:numPr>
          <w:ilvl w:val="0"/>
          <w:numId w:val="42"/>
        </w:numPr>
        <w:spacing w:after="0"/>
        <w:rPr>
          <w:rFonts w:eastAsia="Calibri"/>
          <w:lang w:val="sq-AL"/>
        </w:rPr>
      </w:pPr>
      <w:r w:rsidRPr="003E33D7">
        <w:rPr>
          <w:rFonts w:eastAsia="Calibri"/>
          <w:lang w:val="sq-AL"/>
        </w:rPr>
        <w:t>Direktiva 2011/65/BE për kufizimin e përdorimit të substancave të caktuara të rrezikshme në pajisjet elektrike dhe elektronike</w:t>
      </w:r>
    </w:p>
    <w:p w14:paraId="5EEB7FFB" w14:textId="77777777" w:rsidR="003E33D7" w:rsidRPr="003E33D7" w:rsidRDefault="003E33D7" w:rsidP="003E33D7">
      <w:pPr>
        <w:pStyle w:val="Paragraph"/>
        <w:numPr>
          <w:ilvl w:val="0"/>
          <w:numId w:val="42"/>
        </w:numPr>
        <w:spacing w:after="0"/>
        <w:rPr>
          <w:rFonts w:eastAsia="Calibri"/>
          <w:lang w:val="sq-AL"/>
        </w:rPr>
      </w:pPr>
      <w:r w:rsidRPr="003E33D7">
        <w:rPr>
          <w:rFonts w:eastAsia="Calibri"/>
          <w:lang w:val="sq-AL"/>
        </w:rPr>
        <w:t>Direktiva 2006/66/KE për bateritë dhe akumulatorët dhe mbeturinat e baterive dhe akumulatorët</w:t>
      </w:r>
    </w:p>
    <w:p w14:paraId="0B99A424" w14:textId="77777777" w:rsidR="003E33D7" w:rsidRPr="003E33D7" w:rsidRDefault="003E33D7" w:rsidP="003E33D7">
      <w:pPr>
        <w:pStyle w:val="Paragraph"/>
        <w:numPr>
          <w:ilvl w:val="0"/>
          <w:numId w:val="42"/>
        </w:numPr>
        <w:spacing w:after="0"/>
        <w:rPr>
          <w:rFonts w:eastAsia="Calibri"/>
          <w:lang w:val="sq-AL"/>
        </w:rPr>
      </w:pPr>
      <w:r w:rsidRPr="003E33D7">
        <w:rPr>
          <w:rFonts w:eastAsia="Calibri"/>
          <w:lang w:val="sq-AL"/>
        </w:rPr>
        <w:t>Direktiva 2000/53/KE për automjetet mbeturinë</w:t>
      </w:r>
    </w:p>
    <w:p w14:paraId="203AB865" w14:textId="77777777" w:rsidR="003E33D7" w:rsidRPr="003E33D7" w:rsidRDefault="003E33D7" w:rsidP="003E33D7">
      <w:pPr>
        <w:pStyle w:val="Paragraph"/>
        <w:numPr>
          <w:ilvl w:val="0"/>
          <w:numId w:val="42"/>
        </w:numPr>
        <w:spacing w:after="0"/>
        <w:rPr>
          <w:rFonts w:eastAsia="Calibri"/>
          <w:lang w:val="sq-AL"/>
        </w:rPr>
      </w:pPr>
      <w:r w:rsidRPr="003E33D7">
        <w:rPr>
          <w:rFonts w:eastAsia="Calibri"/>
          <w:lang w:val="sq-AL"/>
        </w:rPr>
        <w:t>Direktiva 2010/75/BE mbi emetimet industriale</w:t>
      </w:r>
    </w:p>
    <w:p w14:paraId="07C0C0D4" w14:textId="77777777" w:rsidR="003E33D7" w:rsidRPr="003E33D7" w:rsidRDefault="003E33D7" w:rsidP="003E33D7">
      <w:pPr>
        <w:pStyle w:val="Paragraph"/>
        <w:numPr>
          <w:ilvl w:val="0"/>
          <w:numId w:val="42"/>
        </w:numPr>
        <w:spacing w:after="0"/>
        <w:rPr>
          <w:rFonts w:eastAsia="Calibri"/>
          <w:lang w:val="sq-AL"/>
        </w:rPr>
      </w:pPr>
      <w:r w:rsidRPr="003E33D7">
        <w:rPr>
          <w:rFonts w:eastAsia="Calibri"/>
          <w:lang w:val="sq-AL"/>
        </w:rPr>
        <w:t>Direktiva 96/59/KE deponimi i bifenileve të poliklorinuara dhe terfenileve të poliklorinuara  (PCB/PCTs)</w:t>
      </w:r>
    </w:p>
    <w:p w14:paraId="08B23918" w14:textId="77777777" w:rsidR="003E33D7" w:rsidRPr="003E33D7" w:rsidRDefault="003E33D7" w:rsidP="003E33D7">
      <w:pPr>
        <w:pStyle w:val="Paragraph"/>
        <w:numPr>
          <w:ilvl w:val="0"/>
          <w:numId w:val="42"/>
        </w:numPr>
        <w:spacing w:after="0"/>
        <w:rPr>
          <w:rFonts w:eastAsia="Calibri"/>
          <w:lang w:val="sq-AL"/>
        </w:rPr>
      </w:pPr>
      <w:r w:rsidRPr="003E33D7">
        <w:rPr>
          <w:rFonts w:eastAsia="Calibri"/>
          <w:lang w:val="sq-AL"/>
        </w:rPr>
        <w:t>Rregullorja (KE) Nr. 2150/2002 për statistikat e mbeturinave të BE-së</w:t>
      </w:r>
    </w:p>
    <w:p w14:paraId="38450A69" w14:textId="46BE687D" w:rsidR="003E33D7" w:rsidRDefault="003E33D7" w:rsidP="003E33D7">
      <w:pPr>
        <w:pStyle w:val="Paragraph"/>
        <w:numPr>
          <w:ilvl w:val="0"/>
          <w:numId w:val="42"/>
        </w:numPr>
        <w:spacing w:after="0"/>
        <w:rPr>
          <w:rFonts w:eastAsia="Calibri"/>
          <w:lang w:val="sq-AL"/>
        </w:rPr>
      </w:pPr>
      <w:bookmarkStart w:id="28" w:name="_Hlk144976389"/>
      <w:r w:rsidRPr="003E33D7">
        <w:rPr>
          <w:rFonts w:eastAsia="Calibri"/>
          <w:lang w:val="sq-AL"/>
        </w:rPr>
        <w:t>R</w:t>
      </w:r>
      <w:r>
        <w:rPr>
          <w:rFonts w:eastAsia="Calibri"/>
          <w:lang w:val="sq-AL"/>
        </w:rPr>
        <w:t>r</w:t>
      </w:r>
      <w:r w:rsidRPr="003E33D7">
        <w:rPr>
          <w:rFonts w:eastAsia="Calibri"/>
          <w:lang w:val="sq-AL"/>
        </w:rPr>
        <w:t>egul</w:t>
      </w:r>
      <w:r>
        <w:rPr>
          <w:rFonts w:eastAsia="Calibri"/>
          <w:lang w:val="sq-AL"/>
        </w:rPr>
        <w:t>lorja</w:t>
      </w:r>
      <w:r w:rsidRPr="003E33D7">
        <w:rPr>
          <w:rFonts w:eastAsia="Calibri"/>
          <w:lang w:val="sq-AL"/>
        </w:rPr>
        <w:t xml:space="preserve"> No 1013/2006 për dërgesat e mbeturinave</w:t>
      </w:r>
      <w:bookmarkEnd w:id="28"/>
    </w:p>
    <w:p w14:paraId="344239FD" w14:textId="77777777" w:rsidR="003E33D7" w:rsidRPr="003E33D7" w:rsidRDefault="003E33D7" w:rsidP="003E33D7">
      <w:pPr>
        <w:pStyle w:val="Paragraph"/>
        <w:spacing w:after="0"/>
        <w:rPr>
          <w:rFonts w:eastAsia="Calibri"/>
          <w:lang w:val="sq-AL"/>
        </w:rPr>
      </w:pPr>
    </w:p>
    <w:p w14:paraId="12552E31" w14:textId="77777777" w:rsidR="003E33D7" w:rsidRDefault="003E33D7" w:rsidP="003E33D7">
      <w:pPr>
        <w:rPr>
          <w:rFonts w:ascii="Arial Narrow" w:eastAsia="Calibri" w:hAnsi="Arial Narrow"/>
          <w:color w:val="000000" w:themeColor="text1"/>
          <w:sz w:val="22"/>
          <w:szCs w:val="22"/>
          <w:lang w:val="sq-AL"/>
        </w:rPr>
      </w:pPr>
      <w:r w:rsidRPr="003E33D7">
        <w:rPr>
          <w:rFonts w:ascii="Arial Narrow" w:eastAsia="Calibri" w:hAnsi="Arial Narrow"/>
          <w:b/>
          <w:bCs/>
          <w:color w:val="000000" w:themeColor="text1"/>
          <w:sz w:val="22"/>
          <w:szCs w:val="22"/>
          <w:lang w:val="sq-AL"/>
        </w:rPr>
        <w:t>Direktiva 2008/98/KE për mbeturinat</w:t>
      </w:r>
      <w:r w:rsidRPr="003E33D7">
        <w:rPr>
          <w:rFonts w:ascii="Arial Narrow" w:eastAsia="Calibri" w:hAnsi="Arial Narrow"/>
          <w:color w:val="000000" w:themeColor="text1"/>
          <w:sz w:val="22"/>
          <w:szCs w:val="22"/>
          <w:lang w:val="sq-AL"/>
        </w:rPr>
        <w:t xml:space="preserve"> (Direktiva Kuadër për Mbeturinat). Kjo krijon kuadrin ligjor për menaxhimin e mbeturinave në Bashkimin Evropian. Direktiva përcakton hierarkinë e mëposhtme të aktiviteteve për menaxhimin e mbeturinave:</w:t>
      </w:r>
    </w:p>
    <w:p w14:paraId="3156C058" w14:textId="77777777" w:rsidR="00FC2BA4" w:rsidRDefault="00FC2BA4" w:rsidP="003E33D7">
      <w:pPr>
        <w:rPr>
          <w:rFonts w:ascii="Arial Narrow" w:eastAsia="Calibri" w:hAnsi="Arial Narrow"/>
          <w:color w:val="000000" w:themeColor="text1"/>
          <w:sz w:val="22"/>
          <w:szCs w:val="22"/>
          <w:lang w:val="sq-AL"/>
        </w:rPr>
      </w:pPr>
    </w:p>
    <w:p w14:paraId="5686C1E4" w14:textId="77777777" w:rsidR="00FC2BA4" w:rsidRDefault="00FC2BA4" w:rsidP="003E33D7">
      <w:pPr>
        <w:rPr>
          <w:rFonts w:ascii="Arial Narrow" w:eastAsia="Calibri" w:hAnsi="Arial Narrow"/>
          <w:color w:val="000000" w:themeColor="text1"/>
          <w:sz w:val="22"/>
          <w:szCs w:val="22"/>
          <w:lang w:val="sq-AL"/>
        </w:rPr>
      </w:pPr>
    </w:p>
    <w:p w14:paraId="3564F726" w14:textId="49CB96FF" w:rsidR="00FC2BA4" w:rsidRDefault="00FC2BA4" w:rsidP="00FC2BA4">
      <w:pPr>
        <w:jc w:val="center"/>
        <w:rPr>
          <w:rFonts w:ascii="Arial Narrow" w:eastAsia="Calibri" w:hAnsi="Arial Narrow"/>
          <w:color w:val="000000" w:themeColor="text1"/>
          <w:sz w:val="22"/>
          <w:szCs w:val="22"/>
          <w:lang w:val="sq-AL"/>
        </w:rPr>
      </w:pPr>
      <w:r>
        <w:rPr>
          <w:rFonts w:ascii="Arial Narrow" w:eastAsia="Calibri" w:hAnsi="Arial Narrow"/>
          <w:noProof/>
          <w:color w:val="000000" w:themeColor="text1"/>
          <w:sz w:val="22"/>
          <w:szCs w:val="22"/>
          <w:lang w:val="sq-AL"/>
        </w:rPr>
        <w:drawing>
          <wp:inline distT="0" distB="0" distL="0" distR="0" wp14:anchorId="226C8676" wp14:editId="0F0E7A7F">
            <wp:extent cx="3398520" cy="2265680"/>
            <wp:effectExtent l="0" t="0" r="0" b="1270"/>
            <wp:docPr id="4510692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69270" name="Picture 451069270"/>
                    <pic:cNvPicPr/>
                  </pic:nvPicPr>
                  <pic:blipFill>
                    <a:blip r:embed="rId32"/>
                    <a:stretch>
                      <a:fillRect/>
                    </a:stretch>
                  </pic:blipFill>
                  <pic:spPr>
                    <a:xfrm>
                      <a:off x="0" y="0"/>
                      <a:ext cx="3398520" cy="2265680"/>
                    </a:xfrm>
                    <a:prstGeom prst="rect">
                      <a:avLst/>
                    </a:prstGeom>
                  </pic:spPr>
                </pic:pic>
              </a:graphicData>
            </a:graphic>
          </wp:inline>
        </w:drawing>
      </w:r>
    </w:p>
    <w:p w14:paraId="0CFEE619" w14:textId="0B43AC05" w:rsidR="009E5D77" w:rsidRDefault="009E5D77" w:rsidP="002254E8">
      <w:pPr>
        <w:pStyle w:val="Figure"/>
        <w:rPr>
          <w:rFonts w:eastAsia="Calibri"/>
          <w:sz w:val="20"/>
          <w:szCs w:val="20"/>
        </w:rPr>
      </w:pPr>
      <w:bookmarkStart w:id="29" w:name="_Toc153872207"/>
      <w:bookmarkStart w:id="30" w:name="_Toc153983520"/>
      <w:bookmarkStart w:id="31" w:name="_Toc153984022"/>
      <w:r w:rsidRPr="006347D6">
        <w:rPr>
          <w:rFonts w:eastAsia="Calibri" w:cs="Calibri"/>
          <w:sz w:val="20"/>
          <w:szCs w:val="20"/>
        </w:rPr>
        <w:t xml:space="preserve">Figura </w:t>
      </w:r>
      <w:bookmarkEnd w:id="29"/>
      <w:bookmarkEnd w:id="30"/>
      <w:bookmarkEnd w:id="31"/>
      <w:r w:rsidR="00C73296">
        <w:rPr>
          <w:rFonts w:eastAsia="Calibri" w:cs="Calibri"/>
          <w:sz w:val="20"/>
          <w:szCs w:val="20"/>
        </w:rPr>
        <w:t xml:space="preserve">8. </w:t>
      </w:r>
      <w:r w:rsidR="00C73296" w:rsidRPr="00C73296">
        <w:rPr>
          <w:rFonts w:eastAsia="Calibri" w:cs="Calibri"/>
          <w:sz w:val="20"/>
          <w:szCs w:val="20"/>
          <w:lang w:val="sq-AL"/>
        </w:rPr>
        <w:t>Hierarkia e mbeturinave siç përshkruhet në DKM/WFD</w:t>
      </w:r>
    </w:p>
    <w:p w14:paraId="63367C39" w14:textId="77777777" w:rsidR="00C73296" w:rsidRPr="006347D6" w:rsidRDefault="00C73296" w:rsidP="002254E8">
      <w:pPr>
        <w:pStyle w:val="Figure"/>
        <w:rPr>
          <w:rFonts w:eastAsia="Calibri"/>
          <w:sz w:val="20"/>
          <w:szCs w:val="20"/>
        </w:rPr>
      </w:pPr>
    </w:p>
    <w:p w14:paraId="29CDF4DF" w14:textId="46C891F5" w:rsidR="009E5D77" w:rsidRPr="00603FA1" w:rsidRDefault="009E5D77" w:rsidP="00B1488D">
      <w:pPr>
        <w:pStyle w:val="Paragraph"/>
        <w:spacing w:after="0"/>
        <w:rPr>
          <w:rFonts w:eastAsia="Calibri"/>
        </w:rPr>
      </w:pPr>
      <w:r w:rsidRPr="00AF0235">
        <w:rPr>
          <w:rFonts w:eastAsia="Calibri"/>
        </w:rPr>
        <w:t>Ai konfirmon parimin 'ndotësi paguan', sipas të cilit prodhuesi fillestar i mbet</w:t>
      </w:r>
      <w:r w:rsidR="008A72DD">
        <w:rPr>
          <w:rFonts w:eastAsia="Calibri"/>
        </w:rPr>
        <w:t>urinave</w:t>
      </w:r>
      <w:r w:rsidRPr="00AF0235">
        <w:rPr>
          <w:rFonts w:eastAsia="Calibri"/>
        </w:rPr>
        <w:t xml:space="preserve"> duhet të paguajë për kostot e menaxhimit të mbet</w:t>
      </w:r>
      <w:r w:rsidR="0030347F">
        <w:rPr>
          <w:rFonts w:eastAsia="Calibri"/>
        </w:rPr>
        <w:t>urinave</w:t>
      </w:r>
      <w:r w:rsidRPr="00AF0235">
        <w:rPr>
          <w:rFonts w:eastAsia="Calibri"/>
        </w:rPr>
        <w:t>. Ai prezanton konceptin e 'përgjegjësisë së zgjeruar të prodhuesit', sipas të cilit prodhuesit e produkteve mbajnë përgjegjësi financiare ose përgjegjësi financiare dhe organizative për menaxhimin e fazës së mbet</w:t>
      </w:r>
      <w:r w:rsidR="0030347F">
        <w:rPr>
          <w:rFonts w:eastAsia="Calibri"/>
        </w:rPr>
        <w:t>urinave</w:t>
      </w:r>
      <w:r w:rsidRPr="00AF0235">
        <w:rPr>
          <w:rFonts w:eastAsia="Calibri"/>
        </w:rPr>
        <w:t xml:space="preserve"> të ciklit jetësor të një produkti </w:t>
      </w:r>
      <w:r w:rsidRPr="00AF0235">
        <w:rPr>
          <w:rFonts w:eastAsia="Calibri"/>
          <w:lang w:val="bg-BG"/>
        </w:rPr>
        <w:t>.</w:t>
      </w:r>
    </w:p>
    <w:p w14:paraId="0AE10BD4" w14:textId="77777777" w:rsidR="00B1488D" w:rsidRPr="00603FA1" w:rsidRDefault="00B1488D" w:rsidP="00B1488D">
      <w:pPr>
        <w:pStyle w:val="Paragraph"/>
        <w:spacing w:after="0"/>
        <w:rPr>
          <w:rFonts w:eastAsia="Calibri"/>
        </w:rPr>
      </w:pPr>
    </w:p>
    <w:p w14:paraId="41C50935" w14:textId="7D70FE62" w:rsidR="009E5D77" w:rsidRDefault="009E5D77" w:rsidP="00B1488D">
      <w:pPr>
        <w:pStyle w:val="Paragraph"/>
        <w:spacing w:after="0"/>
        <w:rPr>
          <w:rFonts w:eastAsia="Calibri"/>
        </w:rPr>
      </w:pPr>
      <w:r w:rsidRPr="00AF0235">
        <w:rPr>
          <w:rFonts w:eastAsia="Calibri"/>
        </w:rPr>
        <w:t>Direktiva përmban gjithashtu dispozitat kryesore të mëposhtme:</w:t>
      </w:r>
    </w:p>
    <w:p w14:paraId="3EFF16C3" w14:textId="77777777" w:rsidR="009E5D77" w:rsidRPr="00AF0235" w:rsidRDefault="009E5D77" w:rsidP="00B1488D">
      <w:pPr>
        <w:pStyle w:val="Bullet"/>
        <w:spacing w:after="0"/>
      </w:pPr>
      <w:r w:rsidRPr="00AF0235">
        <w:t>Menaxhimi i mbeturinave duhet të kryhet pa asnjë rrezik për ujin, ajrin, tokën, bimët ose kafshët, pa shkaktuar shqetësime përmes zhurmës ose aromave, ose pa dëmtuar fshatin ose vendet me interes të veçantë.</w:t>
      </w:r>
    </w:p>
    <w:p w14:paraId="5B190EE1" w14:textId="77777777" w:rsidR="009E5D77" w:rsidRPr="00AF0235" w:rsidRDefault="009E5D77" w:rsidP="00B1488D">
      <w:pPr>
        <w:pStyle w:val="Bullet"/>
        <w:spacing w:after="0"/>
      </w:pPr>
      <w:r w:rsidRPr="00AF0235">
        <w:t>Prodhuesit ose mbajtësit e mbeturinave duhet t'i trajtojnë ato vetë ose t'ia lënë ato një operatori të njohur zyrtarisht. Të dyja kërkojnë leje dhe inspektohen periodikisht.</w:t>
      </w:r>
    </w:p>
    <w:p w14:paraId="6B5CB7FC" w14:textId="77777777" w:rsidR="009E5D77" w:rsidRPr="00AF0235" w:rsidRDefault="009E5D77" w:rsidP="00B1488D">
      <w:pPr>
        <w:pStyle w:val="Bullet"/>
        <w:spacing w:after="0"/>
      </w:pPr>
      <w:r w:rsidRPr="00AF0235">
        <w:t>Autoritetet kombëtare kompetente duhet të hartojnë plane për menaxhimin e mbeturinave dhe programe për parandalimin e mbeturinave.</w:t>
      </w:r>
    </w:p>
    <w:p w14:paraId="5F0B2E1D" w14:textId="5BE72457" w:rsidR="009E5D77" w:rsidRPr="00AF0235" w:rsidRDefault="009E5D77" w:rsidP="00B1488D">
      <w:pPr>
        <w:pStyle w:val="Bullet"/>
        <w:spacing w:after="0"/>
      </w:pPr>
      <w:r w:rsidRPr="00AF0235">
        <w:t>Kushte të veçanta zbatohen për mbet</w:t>
      </w:r>
      <w:r w:rsidR="0030347F">
        <w:t>urinat</w:t>
      </w:r>
      <w:r w:rsidRPr="00AF0235">
        <w:t xml:space="preserve"> e rrezikshme, vajrat e përdorur dhe mbet</w:t>
      </w:r>
      <w:r w:rsidR="0030347F">
        <w:t>urina organike</w:t>
      </w:r>
      <w:r w:rsidRPr="00AF0235">
        <w:t>.</w:t>
      </w:r>
    </w:p>
    <w:p w14:paraId="4AF4FA35" w14:textId="77777777" w:rsidR="009E5D77" w:rsidRPr="00AF0235" w:rsidRDefault="009E5D77" w:rsidP="00B1488D">
      <w:pPr>
        <w:pStyle w:val="Bullet"/>
        <w:spacing w:after="0"/>
      </w:pPr>
      <w:r w:rsidRPr="00AF0235">
        <w:t xml:space="preserve">Ai prezanton objektivat e riciklimit dhe rikuperimit që duhen arritur deri në vitin </w:t>
      </w:r>
      <w:r w:rsidRPr="009521A3">
        <w:t>2020</w:t>
      </w:r>
      <w:r w:rsidRPr="00AF0235">
        <w:t xml:space="preserve"> për mbeturinat shtëpiake (50%) dhe mbeturinat e ndërtimit dhe prishjes (70%).</w:t>
      </w:r>
    </w:p>
    <w:p w14:paraId="49281459" w14:textId="77777777" w:rsidR="00B1488D" w:rsidRDefault="00B1488D" w:rsidP="00B1488D">
      <w:pPr>
        <w:pStyle w:val="Paragraph"/>
        <w:spacing w:after="0"/>
        <w:rPr>
          <w:rFonts w:eastAsia="Calibri"/>
        </w:rPr>
      </w:pPr>
    </w:p>
    <w:p w14:paraId="44C4523A" w14:textId="324982B4" w:rsidR="009E5D77" w:rsidRDefault="009E5D77" w:rsidP="00B1488D">
      <w:pPr>
        <w:pStyle w:val="Paragraph"/>
        <w:spacing w:after="0"/>
        <w:rPr>
          <w:rFonts w:eastAsia="Calibri"/>
        </w:rPr>
      </w:pPr>
      <w:r w:rsidRPr="00AF0235">
        <w:rPr>
          <w:rFonts w:eastAsia="Calibri"/>
        </w:rPr>
        <w:t>Si pjesë e një pakete masash mbi ekonominë rrethore, Direktiva (BE) 2018/851 ndryshon Direktivën 2008/98/KE. Ajo përcakton kërkesat minimale operative për skemat e përgjegjësisë së zgjeruar të prodhuesit. Këto mund të përfshijnë gjithashtu përgjegjësinë organizative dhe një përgjegjësi për të kontribuar në parandalimin e mbeturinave dhe në ripërdorshmërinë dhe riciklueshmërinë e produkteve. Ajo forcon rregullat mbi parandalimin e mbeturinave.</w:t>
      </w:r>
    </w:p>
    <w:p w14:paraId="4A31CAD0" w14:textId="77777777" w:rsidR="00B1488D" w:rsidRPr="00AF0235" w:rsidRDefault="00B1488D" w:rsidP="00B1488D">
      <w:pPr>
        <w:pStyle w:val="Paragraph"/>
        <w:spacing w:after="0"/>
        <w:rPr>
          <w:rFonts w:eastAsia="Calibri"/>
        </w:rPr>
      </w:pPr>
    </w:p>
    <w:p w14:paraId="510EAD18" w14:textId="77777777" w:rsidR="000068E5" w:rsidRDefault="000068E5" w:rsidP="000068E5">
      <w:pPr>
        <w:pStyle w:val="Bullet"/>
        <w:numPr>
          <w:ilvl w:val="0"/>
          <w:numId w:val="0"/>
        </w:numPr>
        <w:rPr>
          <w:lang w:val="sq-AL"/>
        </w:rPr>
      </w:pPr>
      <w:r>
        <w:rPr>
          <w:lang w:val="sq-AL"/>
        </w:rPr>
        <w:t>Direktiva gjithashtu vendos objektiva të reja për riciklimin e mbeturinave komunale:</w:t>
      </w:r>
    </w:p>
    <w:p w14:paraId="3A8F45CF" w14:textId="54EC618B" w:rsidR="000068E5" w:rsidRPr="000068E5" w:rsidRDefault="000068E5" w:rsidP="000068E5">
      <w:pPr>
        <w:pStyle w:val="Paragraph"/>
        <w:numPr>
          <w:ilvl w:val="0"/>
          <w:numId w:val="43"/>
        </w:numPr>
        <w:spacing w:after="0"/>
        <w:rPr>
          <w:rFonts w:eastAsiaTheme="minorHAnsi" w:cstheme="minorBidi"/>
          <w:lang w:val="sq-AL"/>
        </w:rPr>
      </w:pPr>
      <w:r>
        <w:rPr>
          <w:rFonts w:eastAsiaTheme="minorHAnsi" w:cstheme="minorBidi"/>
          <w:lang w:val="sq-AL"/>
        </w:rPr>
        <w:t>D</w:t>
      </w:r>
      <w:r w:rsidRPr="000068E5">
        <w:rPr>
          <w:rFonts w:eastAsiaTheme="minorHAnsi" w:cstheme="minorBidi"/>
          <w:lang w:val="sq-AL"/>
        </w:rPr>
        <w:t>eri në vitin 2025, të paktën 55% e mbeturinave urbane sipas peshës do të duhet të riciklohen. Ky objektiv do të rritet në 60% deri në vitin 2030 dhe në 65% deri në vitin 2035.</w:t>
      </w:r>
    </w:p>
    <w:p w14:paraId="2575DD4F" w14:textId="77777777" w:rsidR="000068E5" w:rsidRPr="000068E5" w:rsidRDefault="000068E5" w:rsidP="000068E5">
      <w:pPr>
        <w:pStyle w:val="Paragraph"/>
        <w:numPr>
          <w:ilvl w:val="0"/>
          <w:numId w:val="43"/>
        </w:numPr>
        <w:spacing w:after="0"/>
        <w:rPr>
          <w:rFonts w:eastAsiaTheme="minorHAnsi" w:cstheme="minorBidi"/>
          <w:lang w:val="sq-AL"/>
        </w:rPr>
      </w:pPr>
      <w:r w:rsidRPr="000068E5">
        <w:rPr>
          <w:rFonts w:eastAsiaTheme="minorHAnsi" w:cstheme="minorBidi"/>
          <w:lang w:val="sq-AL"/>
        </w:rPr>
        <w:t>Shtetet Anëtare duhet:</w:t>
      </w:r>
    </w:p>
    <w:p w14:paraId="35B7E1A3" w14:textId="77777777" w:rsidR="000068E5" w:rsidRPr="000068E5" w:rsidRDefault="000068E5" w:rsidP="000068E5">
      <w:pPr>
        <w:pStyle w:val="Paragraph"/>
        <w:numPr>
          <w:ilvl w:val="0"/>
          <w:numId w:val="44"/>
        </w:numPr>
        <w:spacing w:after="0"/>
        <w:rPr>
          <w:rFonts w:eastAsiaTheme="minorHAnsi" w:cstheme="minorBidi"/>
          <w:lang w:val="sq-AL"/>
        </w:rPr>
      </w:pPr>
      <w:r w:rsidRPr="000068E5">
        <w:rPr>
          <w:rFonts w:eastAsiaTheme="minorHAnsi" w:cstheme="minorBidi"/>
          <w:lang w:val="sq-AL"/>
        </w:rPr>
        <w:t>të vendosin, deri më 1 janar 2025, një grumbullim të veçantë të tekstileve dhe mbeturinave të rrezikshme të krijuara nga familjet;</w:t>
      </w:r>
    </w:p>
    <w:p w14:paraId="6A57FE0F" w14:textId="77777777" w:rsidR="000068E5" w:rsidRPr="000068E5" w:rsidRDefault="000068E5" w:rsidP="000068E5">
      <w:pPr>
        <w:pStyle w:val="Paragraph"/>
        <w:numPr>
          <w:ilvl w:val="0"/>
          <w:numId w:val="44"/>
        </w:numPr>
        <w:spacing w:after="0"/>
        <w:rPr>
          <w:rFonts w:eastAsiaTheme="minorHAnsi" w:cstheme="minorBidi"/>
          <w:lang w:val="sq-AL"/>
        </w:rPr>
      </w:pPr>
      <w:r w:rsidRPr="000068E5">
        <w:rPr>
          <w:rFonts w:eastAsiaTheme="minorHAnsi" w:cstheme="minorBidi"/>
          <w:lang w:val="sq-AL"/>
        </w:rPr>
        <w:lastRenderedPageBreak/>
        <w:t>të sigurojnë që deri më 31 dhjetor 2023, mbeturinat biologjike të mblidhen veçmas ose të riciklohen në burim (për shembull, përmes kompostimit).</w:t>
      </w:r>
    </w:p>
    <w:p w14:paraId="39E9C4EC" w14:textId="77777777" w:rsidR="00B1488D" w:rsidRDefault="00B1488D" w:rsidP="00B1488D">
      <w:pPr>
        <w:pStyle w:val="Paragraph"/>
        <w:spacing w:after="0"/>
        <w:rPr>
          <w:rFonts w:eastAsia="Calibri"/>
        </w:rPr>
      </w:pPr>
    </w:p>
    <w:p w14:paraId="774E7C7C" w14:textId="77777777" w:rsidR="000068E5" w:rsidRPr="000068E5" w:rsidRDefault="000068E5" w:rsidP="000068E5">
      <w:pPr>
        <w:pStyle w:val="Paragraph"/>
        <w:spacing w:after="0"/>
        <w:rPr>
          <w:rFonts w:eastAsia="Calibri"/>
          <w:lang w:val="sq-AL"/>
        </w:rPr>
      </w:pPr>
      <w:r w:rsidRPr="000068E5">
        <w:rPr>
          <w:rFonts w:eastAsia="Calibri"/>
          <w:lang w:val="sq-AL"/>
        </w:rPr>
        <w:t>Direktiva thekson gjithashtu shembuj të stimujve për të aplikuar hierarkinë e mbeturinave, të tilla si tarifat e deponimit dhe asgjësimit me djegie si dhe skemat e pagesës sipas sasisë së hedhur.</w:t>
      </w:r>
    </w:p>
    <w:p w14:paraId="6BDC516B" w14:textId="77777777" w:rsidR="00B1488D" w:rsidRPr="00AF0235" w:rsidRDefault="00B1488D" w:rsidP="00B1488D">
      <w:pPr>
        <w:pStyle w:val="Paragraph"/>
        <w:spacing w:after="0"/>
        <w:rPr>
          <w:rFonts w:eastAsia="Calibri"/>
        </w:rPr>
      </w:pPr>
    </w:p>
    <w:p w14:paraId="6A993478" w14:textId="77777777" w:rsidR="000068E5" w:rsidRPr="000068E5" w:rsidRDefault="000068E5" w:rsidP="000068E5">
      <w:pPr>
        <w:pStyle w:val="Paragraph"/>
        <w:spacing w:after="0"/>
        <w:rPr>
          <w:rFonts w:eastAsia="Calibri"/>
          <w:lang w:val="sq-AL"/>
        </w:rPr>
      </w:pPr>
      <w:r w:rsidRPr="000068E5">
        <w:rPr>
          <w:rFonts w:eastAsia="Calibri"/>
          <w:b/>
          <w:bCs/>
          <w:lang w:val="sq-AL"/>
        </w:rPr>
        <w:t>Direktiva 94/62/EC për paketimin dhe mbeturinat e paketimit.</w:t>
      </w:r>
      <w:r w:rsidRPr="000068E5">
        <w:rPr>
          <w:rFonts w:eastAsia="Calibri"/>
          <w:lang w:val="sq-AL"/>
        </w:rPr>
        <w:t xml:space="preserve"> Ajo përcakton rregullat e BE-së për menaxhimin e paketimit dhe mbeturinat e paketimit. Synon harmonizimin e masave kombëtare në lidhje me menaxhimin e ambalazheve dhe mbeturinave të paketimit dhe përmirësimin e cilësisë së mjedisit duke parandaluar dhe reduktuar ndikimin e ambalazheve dhe mbeturinave të paketimit në mjedis.</w:t>
      </w:r>
    </w:p>
    <w:p w14:paraId="78FB8558" w14:textId="77777777" w:rsidR="000068E5" w:rsidRDefault="000068E5" w:rsidP="000068E5">
      <w:pPr>
        <w:pStyle w:val="Paragraph"/>
        <w:spacing w:after="0"/>
        <w:rPr>
          <w:rFonts w:eastAsia="Calibri"/>
          <w:lang w:val="sq-AL"/>
        </w:rPr>
      </w:pPr>
    </w:p>
    <w:p w14:paraId="127EDDB3" w14:textId="47B4AA71" w:rsidR="000068E5" w:rsidRPr="000068E5" w:rsidRDefault="000068E5" w:rsidP="000068E5">
      <w:pPr>
        <w:pStyle w:val="Paragraph"/>
        <w:spacing w:after="0"/>
        <w:rPr>
          <w:rFonts w:eastAsia="Calibri"/>
          <w:lang w:val="sq-AL"/>
        </w:rPr>
      </w:pPr>
      <w:r w:rsidRPr="000068E5">
        <w:rPr>
          <w:rFonts w:eastAsia="Calibri"/>
          <w:lang w:val="sq-AL"/>
        </w:rPr>
        <w:t>Vendet e BE-së duhet gjithashtu të marrin masat e nevojshme për të përmbushur objektivat e riciklimit, të cilat ndryshojnë në varësi të materialit të paketimit. Për këtë qëllim, ata duhet të zbatojnë rregullat e reja të llogaritjes për raportimin mbi objektivat e reja të riciklimit që duhet të arrihen deri në vitin 2025 dhe 2030.</w:t>
      </w:r>
    </w:p>
    <w:p w14:paraId="3CA051FB" w14:textId="77777777" w:rsidR="000068E5" w:rsidRDefault="000068E5" w:rsidP="000068E5">
      <w:pPr>
        <w:pStyle w:val="Paragraph"/>
        <w:spacing w:after="0"/>
        <w:rPr>
          <w:rFonts w:eastAsia="Calibri"/>
          <w:lang w:val="sq-AL"/>
        </w:rPr>
      </w:pPr>
    </w:p>
    <w:p w14:paraId="280BEA67" w14:textId="64376811" w:rsidR="000068E5" w:rsidRPr="000068E5" w:rsidRDefault="000068E5" w:rsidP="000068E5">
      <w:pPr>
        <w:pStyle w:val="Paragraph"/>
        <w:spacing w:after="0"/>
        <w:rPr>
          <w:rFonts w:eastAsia="Calibri"/>
          <w:lang w:val="sq-AL"/>
        </w:rPr>
      </w:pPr>
      <w:r w:rsidRPr="000068E5">
        <w:rPr>
          <w:rFonts w:eastAsia="Calibri"/>
          <w:lang w:val="sq-AL"/>
        </w:rPr>
        <w:t>Deri më 31 dhjetor 2025, të paktën 65% e sasisë së të gjitha mbeturinave të paketimit duhet të riciklohen. Deri më 31 dhjetor 2030, të paktën 70% e sasisë së të gjitha mbeturinave të paketimit duhet të riciklohen.</w:t>
      </w:r>
    </w:p>
    <w:p w14:paraId="29DC202F" w14:textId="77777777" w:rsidR="00B1488D" w:rsidRPr="000068E5" w:rsidRDefault="00B1488D" w:rsidP="00B1488D">
      <w:pPr>
        <w:pStyle w:val="Paragraph"/>
        <w:spacing w:after="0"/>
        <w:rPr>
          <w:rFonts w:eastAsia="Calibri"/>
        </w:rPr>
      </w:pPr>
    </w:p>
    <w:p w14:paraId="714B7945" w14:textId="77777777" w:rsidR="000068E5" w:rsidRPr="000068E5" w:rsidRDefault="000068E5" w:rsidP="000068E5">
      <w:pPr>
        <w:pStyle w:val="Paragraph"/>
        <w:spacing w:after="0"/>
        <w:rPr>
          <w:rFonts w:eastAsia="Calibri"/>
          <w:lang w:val="sq-AL"/>
        </w:rPr>
      </w:pPr>
      <w:r w:rsidRPr="000068E5">
        <w:rPr>
          <w:rFonts w:eastAsia="Calibri"/>
          <w:b/>
          <w:bCs/>
          <w:lang w:val="sq-AL"/>
        </w:rPr>
        <w:t>Direktiva 1999/31/EC për vendgrumbullimin e mbetuirnave.</w:t>
      </w:r>
      <w:r w:rsidRPr="000068E5">
        <w:rPr>
          <w:rFonts w:eastAsia="Calibri"/>
          <w:lang w:val="sq-AL"/>
        </w:rPr>
        <w:t xml:space="preserve"> Direktiva synon të parandalojë, ose të zvogëlojë sa më shumë që të jetë e mundur, çdo ndikim negativ nga deponia në ujërat sipërfaqësore, ujërat nëntokësore, tokën, ajrin ose shëndetin e njerëzve. Ajo e bën këtë duke futur kërkesa të rrepta teknike. Deponitë ndahen në 3 kategori: deponi për mbetuirna të rrezikshme; deponi për mbetuirna jo të rrezikshme; dhe deponi për mbetuirna inerte (mbeturinat të cilat nuk do të dekompozohen apo digjen, si zhavorri, rëra dhe gurët).</w:t>
      </w:r>
    </w:p>
    <w:p w14:paraId="1D3C0E41" w14:textId="77777777" w:rsidR="000068E5" w:rsidRDefault="000068E5" w:rsidP="000068E5">
      <w:pPr>
        <w:pStyle w:val="Paragraph"/>
        <w:spacing w:after="0"/>
        <w:rPr>
          <w:rFonts w:eastAsia="Calibri"/>
          <w:lang w:val="sq-AL"/>
        </w:rPr>
      </w:pPr>
    </w:p>
    <w:p w14:paraId="777837E3" w14:textId="50886FF6" w:rsidR="000068E5" w:rsidRPr="000068E5" w:rsidRDefault="000068E5" w:rsidP="000068E5">
      <w:pPr>
        <w:pStyle w:val="Paragraph"/>
        <w:spacing w:after="0"/>
        <w:rPr>
          <w:rFonts w:eastAsia="Calibri"/>
          <w:lang w:val="sq-AL"/>
        </w:rPr>
      </w:pPr>
      <w:r w:rsidRPr="000068E5">
        <w:rPr>
          <w:rFonts w:eastAsia="Calibri"/>
          <w:lang w:val="sq-AL"/>
        </w:rPr>
        <w:t>Vendet e BE-së duhet të zbatojnë strategji kombëtare për të reduktuar në mënyrë progresive sasinë e mbetuirnave të biodegradueshme të dërguara në deponi. Objektet e deponive nuk mund të pranojnë goma të përdorura ose mbetuirna të lëngshme, të ndezshme, shpërthyese ose gërryese, ose ato nga spitalet dhe praktikat mjekësore dhe veterinare. Vetëm mbeturinat që janë trajtuar mund të deponohen.</w:t>
      </w:r>
    </w:p>
    <w:p w14:paraId="25A0033A" w14:textId="77777777" w:rsidR="00B1488D" w:rsidRPr="000068E5" w:rsidRDefault="00B1488D" w:rsidP="00B1488D">
      <w:pPr>
        <w:pStyle w:val="Paragraph"/>
        <w:spacing w:after="0"/>
        <w:rPr>
          <w:rFonts w:eastAsia="Calibri"/>
        </w:rPr>
      </w:pPr>
    </w:p>
    <w:p w14:paraId="7871EDD9" w14:textId="77777777" w:rsidR="000068E5" w:rsidRPr="000068E5" w:rsidRDefault="000068E5" w:rsidP="000068E5">
      <w:pPr>
        <w:pStyle w:val="Paragraph"/>
        <w:spacing w:after="0"/>
        <w:rPr>
          <w:rFonts w:eastAsia="Calibri"/>
          <w:lang w:val="sq-AL"/>
        </w:rPr>
      </w:pPr>
      <w:r w:rsidRPr="000068E5">
        <w:rPr>
          <w:rFonts w:eastAsia="Calibri"/>
          <w:b/>
          <w:bCs/>
          <w:lang w:val="sq-AL"/>
        </w:rPr>
        <w:t>Direktiva (BE) 2019/904 për reduktimin e ndikimit të disa produkteve plastike në mjedis.</w:t>
      </w:r>
      <w:r w:rsidRPr="000068E5">
        <w:rPr>
          <w:rFonts w:eastAsia="Calibri"/>
          <w:lang w:val="sq-AL"/>
        </w:rPr>
        <w:t xml:space="preserve"> Direktiva synon të parandalojë dhe zvogëlojë ndikimin e produkteve të caktuara plastike në mjedis dhe të promovojë një tranzicion drejt një ekonomie qarkore në të gjithë Bashkimin Evropian (BE) duke futur një kombinim masash të përshtatura për produktet e mbuluara nga direktiva, në veçanti duke siguruar që produktet plastike njëpërdorimshe(PNjP/SUP), për të cilat ekzistojnë alternativa më të qëndrueshme dhe të përballueshme, nuk mund të vendosen në treg. Ajo ofron strategjinë e BE-së për plastikën, një element i rëndësishëm në lëvizjen e BE-së drejt një ekonomie qarkore.</w:t>
      </w:r>
    </w:p>
    <w:p w14:paraId="0AF42060" w14:textId="77777777" w:rsidR="00B1488D" w:rsidRPr="000068E5" w:rsidRDefault="00B1488D" w:rsidP="00B1488D">
      <w:pPr>
        <w:pStyle w:val="Paragraph"/>
        <w:spacing w:after="0"/>
        <w:rPr>
          <w:rFonts w:eastAsia="Calibri"/>
        </w:rPr>
      </w:pPr>
    </w:p>
    <w:p w14:paraId="5992B684" w14:textId="77777777" w:rsidR="000068E5" w:rsidRPr="000068E5" w:rsidRDefault="000068E5" w:rsidP="000068E5">
      <w:pPr>
        <w:pStyle w:val="Paragraph"/>
        <w:spacing w:after="0"/>
        <w:rPr>
          <w:rFonts w:eastAsia="Calibri"/>
          <w:lang w:val="sq-AL"/>
        </w:rPr>
      </w:pPr>
      <w:r w:rsidRPr="000068E5">
        <w:rPr>
          <w:rFonts w:eastAsia="Calibri"/>
          <w:b/>
          <w:bCs/>
          <w:lang w:val="sq-AL"/>
        </w:rPr>
        <w:t xml:space="preserve">Direktiva 2012/19/BE për mbeturinat e pajisjeve elektrike dhe elektronike (MPEE/WEEE). </w:t>
      </w:r>
      <w:r w:rsidRPr="000068E5">
        <w:rPr>
          <w:rFonts w:eastAsia="Calibri"/>
          <w:lang w:val="sq-AL"/>
        </w:rPr>
        <w:t>Direktiva synon të mbrojë mjedisin dhe shëndetin e njeriut duke inkurajuar prodhimin dhe konsumin e qëndrueshëm. Kjo bëhet duke parandaluar krijimin e mbeturinave nga pajisjet elektrike dhe elektronike (MPEE/WEEE), duke promovuar ripërdorimin, riciklimin dhe mënyra tjera të rikuperimit të mbeturinave nga pajisjet elektrike dhe elektronike (PEE/EEE), dhe duke mbështetur përdorimin efikas të burimeve dhe rikuperimin e lëndëve të para të vlefshme dytësore.</w:t>
      </w:r>
    </w:p>
    <w:p w14:paraId="30FACFEB" w14:textId="77777777" w:rsidR="00B1488D" w:rsidRPr="00AF0235" w:rsidRDefault="00B1488D" w:rsidP="00B1488D">
      <w:pPr>
        <w:pStyle w:val="Paragraph"/>
        <w:spacing w:after="0"/>
        <w:rPr>
          <w:rFonts w:eastAsia="Calibri"/>
        </w:rPr>
      </w:pPr>
    </w:p>
    <w:p w14:paraId="48EA6167" w14:textId="77777777" w:rsidR="000068E5" w:rsidRPr="000068E5" w:rsidRDefault="000068E5" w:rsidP="000068E5">
      <w:pPr>
        <w:pStyle w:val="Paragraph"/>
        <w:spacing w:after="0"/>
        <w:rPr>
          <w:rFonts w:eastAsia="Calibri"/>
          <w:lang w:val="sq-AL"/>
        </w:rPr>
      </w:pPr>
      <w:r w:rsidRPr="000068E5">
        <w:rPr>
          <w:rFonts w:eastAsia="Calibri"/>
          <w:b/>
          <w:bCs/>
          <w:lang w:val="sq-AL"/>
        </w:rPr>
        <w:t xml:space="preserve">Direktiva 2011/65/BE — kufizim i përdorimit të substancave të caktuara të rrezikshme nga pajisjet elektrike dhe elektronike. </w:t>
      </w:r>
      <w:r w:rsidRPr="000068E5">
        <w:rPr>
          <w:rFonts w:eastAsia="Calibri"/>
          <w:lang w:val="sq-AL"/>
        </w:rPr>
        <w:t>Direktiva forcon rregullat ekzistuese për përdorimin e substancave të rrezikshme, si plumbi, zhiva dhe kadmiumi, në pajisjet elektrike dhe elektronike (PEE/EEE) për të mbrojtur shëndetin e njeriut dhe mjedisin, në veçanti duke mundësuar rikuperimin dhe trajtimin e mbeturinave nga PEE/EEE. Kjo përditëson Direktivën 2002/95/KE e cila kufizoi përdorimin e substancave të caktuara të rrezikshme nga PEE/EEE, ndër të tjera, duke zgjeruar kufizimet në përdorimin e substancave të rrezikshme në një gamë më të gjerë të PEE/EEE.</w:t>
      </w:r>
    </w:p>
    <w:p w14:paraId="2B1C07F8" w14:textId="77777777" w:rsidR="00B1488D" w:rsidRPr="00AF0235" w:rsidRDefault="00B1488D" w:rsidP="00B1488D">
      <w:pPr>
        <w:pStyle w:val="Paragraph"/>
        <w:spacing w:after="0"/>
        <w:rPr>
          <w:rFonts w:eastAsia="Calibri"/>
        </w:rPr>
      </w:pPr>
    </w:p>
    <w:p w14:paraId="3A1C7ACD" w14:textId="77777777" w:rsidR="00631ABA" w:rsidRPr="00631ABA" w:rsidRDefault="00631ABA" w:rsidP="00631ABA">
      <w:pPr>
        <w:pStyle w:val="Paragraph"/>
        <w:spacing w:after="0"/>
        <w:rPr>
          <w:rFonts w:eastAsia="Calibri"/>
          <w:lang w:val="sq-AL"/>
        </w:rPr>
      </w:pPr>
      <w:r w:rsidRPr="00631ABA">
        <w:rPr>
          <w:rFonts w:eastAsia="Calibri"/>
          <w:b/>
          <w:bCs/>
          <w:lang w:val="sq-AL"/>
        </w:rPr>
        <w:t xml:space="preserve">Direktiva 2006/66/KE për bateritë dhe akumulatorët dhe mbeturinat e baterive dhe akumulatorëve. </w:t>
      </w:r>
      <w:r w:rsidRPr="00631ABA">
        <w:rPr>
          <w:rFonts w:eastAsia="Calibri"/>
          <w:lang w:val="sq-AL"/>
        </w:rPr>
        <w:t>Direktiva ndalon vendosjen në treg të disa baterive (ose akumulatorëve) me përmbajtje merkuri ose kadmiumi mbi një prag të dakorduar. Ajo promovon një shkallë të lartë të grumbullimit dhe riciklimit të baterive mbeturinë dhe përmirësimin e performancës mjedisore të të gjithë të përfshirëve në ciklin e jetës së baterive, duke përfshirë riciklimin dhe deponimin e tyre. Qëllimi është të zvogëlohet sasia e substancave të rrezikshme – në veçanti, merkurit, kadmiumit dhe plumbit – të hedhura në mjedis; kjo duhet bërë duke reduktuar përdorimin e këtyre substancave në bateri dhe duke trajtuar dhe ripërdorur sasitë që përdoren.</w:t>
      </w:r>
    </w:p>
    <w:p w14:paraId="2EDA5AE4" w14:textId="77777777" w:rsidR="000068E5" w:rsidRPr="00AF0235" w:rsidRDefault="000068E5" w:rsidP="00B1488D">
      <w:pPr>
        <w:pStyle w:val="Paragraph"/>
        <w:spacing w:after="0"/>
        <w:rPr>
          <w:rFonts w:eastAsia="Calibri"/>
        </w:rPr>
      </w:pPr>
    </w:p>
    <w:p w14:paraId="68FF9487" w14:textId="51B25513" w:rsidR="00631ABA" w:rsidRPr="00631ABA" w:rsidRDefault="00631ABA" w:rsidP="00631ABA">
      <w:pPr>
        <w:pStyle w:val="Paragraph"/>
        <w:spacing w:after="0"/>
        <w:rPr>
          <w:rFonts w:eastAsia="Calibri"/>
          <w:lang w:val="sq-AL"/>
        </w:rPr>
      </w:pPr>
      <w:bookmarkStart w:id="32" w:name="_Hlk142641921"/>
      <w:r w:rsidRPr="00631ABA">
        <w:rPr>
          <w:rFonts w:eastAsia="Calibri"/>
          <w:b/>
          <w:bCs/>
          <w:lang w:val="sq-AL"/>
        </w:rPr>
        <w:t xml:space="preserve">Direktiva 2000/53/KE për automjetet </w:t>
      </w:r>
      <w:r>
        <w:rPr>
          <w:rFonts w:eastAsia="Calibri"/>
          <w:b/>
          <w:bCs/>
          <w:lang w:val="sq-AL"/>
        </w:rPr>
        <w:t xml:space="preserve">e hedhura dhe </w:t>
      </w:r>
      <w:r w:rsidRPr="00631ABA">
        <w:rPr>
          <w:rFonts w:eastAsia="Calibri"/>
          <w:b/>
          <w:bCs/>
          <w:lang w:val="sq-AL"/>
        </w:rPr>
        <w:t>mbeturin</w:t>
      </w:r>
      <w:r>
        <w:rPr>
          <w:rFonts w:eastAsia="Calibri"/>
          <w:b/>
          <w:bCs/>
          <w:lang w:val="de-DE"/>
        </w:rPr>
        <w:t xml:space="preserve">at e </w:t>
      </w:r>
      <w:proofErr w:type="spellStart"/>
      <w:r>
        <w:rPr>
          <w:rFonts w:eastAsia="Calibri"/>
          <w:b/>
          <w:bCs/>
          <w:lang w:val="de-DE"/>
        </w:rPr>
        <w:t>tyre</w:t>
      </w:r>
      <w:proofErr w:type="spellEnd"/>
      <w:r w:rsidRPr="00631ABA">
        <w:rPr>
          <w:rFonts w:eastAsia="Calibri"/>
          <w:b/>
          <w:bCs/>
          <w:lang w:val="sq-AL"/>
        </w:rPr>
        <w:t xml:space="preserve">. </w:t>
      </w:r>
      <w:r w:rsidRPr="00631ABA">
        <w:rPr>
          <w:rFonts w:eastAsia="Calibri"/>
          <w:lang w:val="sq-AL"/>
        </w:rPr>
        <w:t>Direktiva përcakton masat për të parandaluar dhe kufizuar mbeturinat nga automjetet mbeturinë (AM/ELV) dhe përbërësit e tyre duke siguruar ripërdorimin, riciklimin dhe rikuperimin e tyre. Ajo synon gjithashtu të përmirësojë performancën mjedisore të të gjithë operatorëve ekonomikë të përfshirë në ciklin e jetës së automjeteve. Gjatë projektimit dhe prodhimit të produkteve të tyre, prodhuesit e automjeteve dhe pajisjeve përcjellëse duhet të marrin parasysh çmontimin, ripërdorimin dhe rikuperimin e automjeteve. Ata duhet të sigurojnë që automjetet e reja janë:</w:t>
      </w:r>
    </w:p>
    <w:p w14:paraId="2FF1FE6C" w14:textId="77777777" w:rsidR="00631ABA" w:rsidRPr="00631ABA" w:rsidRDefault="00631ABA" w:rsidP="00631ABA">
      <w:pPr>
        <w:pStyle w:val="Paragraph"/>
        <w:numPr>
          <w:ilvl w:val="0"/>
          <w:numId w:val="45"/>
        </w:numPr>
        <w:spacing w:after="0"/>
        <w:rPr>
          <w:rFonts w:eastAsia="Calibri"/>
          <w:lang w:val="sq-AL"/>
        </w:rPr>
      </w:pPr>
      <w:r w:rsidRPr="00631ABA">
        <w:rPr>
          <w:rFonts w:eastAsia="Calibri"/>
          <w:lang w:val="sq-AL"/>
        </w:rPr>
        <w:t>të ripërdorshme dhe/ose të riciklueshme në një minimum prej 85% të peshës për automjet</w:t>
      </w:r>
    </w:p>
    <w:p w14:paraId="71BA46FA" w14:textId="77777777" w:rsidR="00631ABA" w:rsidRPr="00631ABA" w:rsidRDefault="00631ABA" w:rsidP="00631ABA">
      <w:pPr>
        <w:pStyle w:val="Paragraph"/>
        <w:numPr>
          <w:ilvl w:val="0"/>
          <w:numId w:val="45"/>
        </w:numPr>
        <w:spacing w:after="0"/>
        <w:rPr>
          <w:rFonts w:eastAsia="Calibri"/>
          <w:lang w:val="sq-AL"/>
        </w:rPr>
      </w:pPr>
      <w:r w:rsidRPr="00631ABA">
        <w:rPr>
          <w:rFonts w:eastAsia="Calibri"/>
          <w:lang w:val="sq-AL"/>
        </w:rPr>
        <w:t>të ripërdorshme dhe/ose të rikuperueshme në një minimum prej 95% të peshës për automjet.</w:t>
      </w:r>
    </w:p>
    <w:p w14:paraId="28BE5DBE" w14:textId="77777777" w:rsidR="00B1488D" w:rsidRPr="00603FA1" w:rsidRDefault="00B1488D" w:rsidP="00B1488D">
      <w:pPr>
        <w:pStyle w:val="Paragraph"/>
        <w:spacing w:after="0"/>
        <w:rPr>
          <w:rFonts w:eastAsia="Calibri"/>
          <w:b/>
          <w:bCs/>
          <w:lang w:val="sq-AL"/>
        </w:rPr>
      </w:pPr>
    </w:p>
    <w:bookmarkEnd w:id="32"/>
    <w:p w14:paraId="54FEF469" w14:textId="77777777" w:rsidR="00631ABA" w:rsidRPr="00631ABA" w:rsidRDefault="00631ABA" w:rsidP="00631ABA">
      <w:pPr>
        <w:pStyle w:val="Paragraph"/>
        <w:spacing w:after="0"/>
        <w:rPr>
          <w:rFonts w:eastAsia="Calibri"/>
          <w:b/>
          <w:bCs/>
          <w:lang w:val="sq-AL"/>
        </w:rPr>
      </w:pPr>
      <w:r w:rsidRPr="00631ABA">
        <w:rPr>
          <w:rFonts w:eastAsia="Calibri"/>
          <w:b/>
          <w:bCs/>
          <w:lang w:val="sq-AL"/>
        </w:rPr>
        <w:t xml:space="preserve">Direktiva 2010/75/BE mbi emetimet industriale. </w:t>
      </w:r>
      <w:r w:rsidRPr="00631ABA">
        <w:rPr>
          <w:rFonts w:eastAsia="Calibri"/>
          <w:lang w:val="sq-AL"/>
        </w:rPr>
        <w:t>Direktiva përcakton rregulla për të parandaluar ose, kur kjo nuk është praktike, për të reduktuar emetimet industriale në ajër, ujë dhe tokë dhe për të parandaluar gjenerimin e mbeturinave, në mënyrë që të arrihet një nivel i lartë i mbrojtjes së mjedisit. Të gjitha instalimet e mbuluara nga direktiva duhet të parandalojnë dhe zvogëlojnë ndotjen duke aplikuar teknikat më të mira të disponueshme (AMD/BAT) dhe të adresojnë përdorimin efikas të energjisë, parandalimin dhe menaxhimin e mbeturinave dhe masat për të parandaluar aksidentet dhe për të kufizuar pasojat e tyre.</w:t>
      </w:r>
    </w:p>
    <w:p w14:paraId="0615439E" w14:textId="77777777" w:rsidR="00B1488D" w:rsidRPr="00AF0235" w:rsidRDefault="00B1488D" w:rsidP="00B1488D">
      <w:pPr>
        <w:pStyle w:val="Paragraph"/>
        <w:spacing w:after="0"/>
        <w:rPr>
          <w:rFonts w:eastAsia="Calibri"/>
        </w:rPr>
      </w:pPr>
    </w:p>
    <w:p w14:paraId="4BD6E725" w14:textId="6929D5F2" w:rsidR="00631ABA" w:rsidRPr="00631ABA" w:rsidRDefault="00631ABA" w:rsidP="00631ABA">
      <w:pPr>
        <w:pStyle w:val="Paragraph"/>
        <w:spacing w:after="0"/>
        <w:rPr>
          <w:rFonts w:eastAsia="Calibri"/>
          <w:b/>
          <w:bCs/>
          <w:lang w:val="sq-AL"/>
        </w:rPr>
      </w:pPr>
      <w:r w:rsidRPr="00631ABA">
        <w:rPr>
          <w:rFonts w:eastAsia="Calibri"/>
          <w:b/>
          <w:bCs/>
          <w:lang w:val="sq-AL"/>
        </w:rPr>
        <w:t xml:space="preserve">Direktiva 96/59/KE - asgjësimi i bifenileve të poliklorinuara dhe terfenileve të poliklorinuara (PCB/PCTs). </w:t>
      </w:r>
      <w:r w:rsidRPr="00631ABA">
        <w:rPr>
          <w:rFonts w:eastAsia="Calibri"/>
          <w:lang w:val="sq-AL"/>
        </w:rPr>
        <w:t xml:space="preserve">Direktiva harmonizon ligjin për </w:t>
      </w:r>
      <w:r>
        <w:rPr>
          <w:rFonts w:eastAsia="Calibri"/>
          <w:lang w:val="sq-AL"/>
        </w:rPr>
        <w:t>deponimin/</w:t>
      </w:r>
      <w:r w:rsidRPr="00631ABA">
        <w:rPr>
          <w:rFonts w:eastAsia="Calibri"/>
          <w:lang w:val="sq-AL"/>
        </w:rPr>
        <w:t xml:space="preserve">asgjësimin e bifenileve të poliklorinuara dhe terfenileve të poliklorinuara (PCB/PCTs) dhe dekontaminimin ose </w:t>
      </w:r>
      <w:r>
        <w:rPr>
          <w:rFonts w:eastAsia="Calibri"/>
          <w:lang w:val="sq-AL"/>
        </w:rPr>
        <w:t>deponimin/</w:t>
      </w:r>
      <w:r w:rsidRPr="00631ABA">
        <w:rPr>
          <w:rFonts w:eastAsia="Calibri"/>
          <w:lang w:val="sq-AL"/>
        </w:rPr>
        <w:t>asgjësimin e pajisjeve që i përmbajnë ato.</w:t>
      </w:r>
    </w:p>
    <w:p w14:paraId="52F9279E" w14:textId="77777777" w:rsidR="00B1488D" w:rsidRPr="00AF0235" w:rsidRDefault="00B1488D" w:rsidP="00B1488D">
      <w:pPr>
        <w:pStyle w:val="Paragraph"/>
        <w:spacing w:after="0"/>
        <w:rPr>
          <w:rFonts w:eastAsia="Calibri"/>
        </w:rPr>
      </w:pPr>
    </w:p>
    <w:p w14:paraId="4FD88B4B" w14:textId="4147A91F" w:rsidR="00631ABA" w:rsidRPr="00631ABA" w:rsidRDefault="00631ABA" w:rsidP="00631ABA">
      <w:pPr>
        <w:pStyle w:val="Paragraph"/>
        <w:spacing w:after="0"/>
        <w:rPr>
          <w:rFonts w:eastAsia="Calibri"/>
          <w:lang w:val="sq-AL"/>
        </w:rPr>
      </w:pPr>
      <w:r w:rsidRPr="00631ABA">
        <w:rPr>
          <w:rFonts w:eastAsia="Calibri"/>
          <w:b/>
          <w:bCs/>
          <w:lang w:val="sq-AL"/>
        </w:rPr>
        <w:t xml:space="preserve">Rregullorja </w:t>
      </w:r>
      <w:r>
        <w:rPr>
          <w:rFonts w:eastAsia="Calibri"/>
          <w:b/>
          <w:bCs/>
          <w:lang w:val="sq-AL"/>
        </w:rPr>
        <w:t>(</w:t>
      </w:r>
      <w:r w:rsidRPr="00631ABA">
        <w:rPr>
          <w:rFonts w:eastAsia="Calibri"/>
          <w:b/>
          <w:bCs/>
          <w:lang w:val="sq-AL"/>
        </w:rPr>
        <w:t>KE</w:t>
      </w:r>
      <w:r>
        <w:rPr>
          <w:rFonts w:eastAsia="Calibri"/>
          <w:b/>
          <w:bCs/>
          <w:lang w:val="sq-AL"/>
        </w:rPr>
        <w:t>)</w:t>
      </w:r>
      <w:r w:rsidRPr="00631ABA">
        <w:rPr>
          <w:rFonts w:eastAsia="Calibri"/>
          <w:b/>
          <w:bCs/>
          <w:lang w:val="sq-AL"/>
        </w:rPr>
        <w:t xml:space="preserve"> Nr. 2150/2002 mbi statistikat të BE për mbeturina. </w:t>
      </w:r>
      <w:r w:rsidRPr="00631ABA">
        <w:rPr>
          <w:rFonts w:eastAsia="Calibri"/>
          <w:lang w:val="sq-AL"/>
        </w:rPr>
        <w:t xml:space="preserve">Ky ligj i Bashkimit Evropian (BE) lejon mbledhjen e të dhënave të rregullta dhe të krahasueshme për mbeturinat në vendet e BE-së dhe transmetimin e tyre në Eurostat, zyrën e statistikave të BE-së. Statistikat e mbledhura </w:t>
      </w:r>
      <w:r>
        <w:rPr>
          <w:rFonts w:eastAsia="Calibri"/>
          <w:lang w:val="sq-AL"/>
        </w:rPr>
        <w:t xml:space="preserve">mundësojnë mpnitorimin dhe vlerësimin e </w:t>
      </w:r>
      <w:r w:rsidRPr="00631ABA">
        <w:rPr>
          <w:rFonts w:eastAsia="Calibri"/>
          <w:lang w:val="sq-AL"/>
        </w:rPr>
        <w:t>zbatimi</w:t>
      </w:r>
      <w:r>
        <w:rPr>
          <w:rFonts w:eastAsia="Calibri"/>
          <w:lang w:val="sq-AL"/>
        </w:rPr>
        <w:t>t</w:t>
      </w:r>
      <w:r w:rsidRPr="00631ABA">
        <w:rPr>
          <w:rFonts w:eastAsia="Calibri"/>
          <w:lang w:val="sq-AL"/>
        </w:rPr>
        <w:t xml:space="preserve"> </w:t>
      </w:r>
      <w:r>
        <w:rPr>
          <w:rFonts w:eastAsia="Calibri"/>
          <w:lang w:val="sq-AL"/>
        </w:rPr>
        <w:t>të</w:t>
      </w:r>
      <w:r w:rsidRPr="00631ABA">
        <w:rPr>
          <w:rFonts w:eastAsia="Calibri"/>
          <w:lang w:val="sq-AL"/>
        </w:rPr>
        <w:t xml:space="preserve"> politik</w:t>
      </w:r>
      <w:r>
        <w:rPr>
          <w:rFonts w:eastAsia="Calibri"/>
          <w:lang w:val="sq-AL"/>
        </w:rPr>
        <w:t>ave</w:t>
      </w:r>
      <w:r w:rsidRPr="00631ABA">
        <w:rPr>
          <w:rFonts w:eastAsia="Calibri"/>
          <w:lang w:val="sq-AL"/>
        </w:rPr>
        <w:t xml:space="preserve"> </w:t>
      </w:r>
      <w:r>
        <w:rPr>
          <w:rFonts w:eastAsia="Calibri"/>
          <w:lang w:val="sq-AL"/>
        </w:rPr>
        <w:t>t</w:t>
      </w:r>
      <w:r w:rsidRPr="00631ABA">
        <w:rPr>
          <w:rFonts w:eastAsia="Calibri"/>
          <w:lang w:val="sq-AL"/>
        </w:rPr>
        <w:t>ë BE-së.</w:t>
      </w:r>
    </w:p>
    <w:p w14:paraId="1373A3F9" w14:textId="77777777" w:rsidR="00B1488D" w:rsidRPr="00AF0235" w:rsidRDefault="00B1488D" w:rsidP="00B1488D">
      <w:pPr>
        <w:pStyle w:val="Paragraph"/>
        <w:spacing w:after="0"/>
        <w:rPr>
          <w:rFonts w:eastAsia="Calibri"/>
        </w:rPr>
      </w:pPr>
    </w:p>
    <w:p w14:paraId="2F02144F" w14:textId="09175181" w:rsidR="00631ABA" w:rsidRDefault="00631ABA" w:rsidP="00631ABA">
      <w:pPr>
        <w:pStyle w:val="Paragraph"/>
        <w:rPr>
          <w:rFonts w:eastAsia="Calibri"/>
          <w:lang w:val="sq-AL"/>
        </w:rPr>
      </w:pPr>
      <w:r>
        <w:rPr>
          <w:rFonts w:eastAsia="Calibri"/>
          <w:b/>
          <w:bCs/>
          <w:lang w:val="sq-AL"/>
        </w:rPr>
        <w:t>Rregullorja (KE) Nr. 1013/2006 e Parlamentit Evropian dhe e Këshillit e datës 14 qershor 2006 mbi dërgesat e mbeturinave</w:t>
      </w:r>
      <w:r>
        <w:rPr>
          <w:rFonts w:eastAsia="Calibri"/>
          <w:lang w:val="sq-AL"/>
        </w:rPr>
        <w:t>. Rregullorja përcakton rregullat për kontrollin e dërgesave të mbeturinave në mënyrë që të përmirësohet mbrojtja e mjedisit. Ajo gjithashtu përfshin dispozitat e Konventës së Bazelit dhe rishikimin e vendimit të OECD-së të vitit 2001 për kontrollin e lëvizjeve ndërkufitare të mbeturinave të destinuara për operacione rikuperimi (d.m.th. kur një mbeturinë përpunohet për të rikuperuar një produkt të përdorshëm ose konvertohet në lëndë djegëse) në ligjin e BE-së.</w:t>
      </w:r>
    </w:p>
    <w:p w14:paraId="569170C2" w14:textId="68E025D5" w:rsidR="00032CD8" w:rsidRPr="00AF0235" w:rsidRDefault="00032CD8" w:rsidP="002254E8">
      <w:pPr>
        <w:pStyle w:val="Heading3"/>
      </w:pPr>
      <w:bookmarkStart w:id="33" w:name="_Toc197471946"/>
      <w:r w:rsidRPr="00AF0235">
        <w:t xml:space="preserve">Legjislacioni </w:t>
      </w:r>
      <w:r w:rsidR="00631ABA">
        <w:t>Nacional</w:t>
      </w:r>
      <w:r w:rsidRPr="00AF0235">
        <w:t xml:space="preserve"> për Menaxhimin e Mbet</w:t>
      </w:r>
      <w:r w:rsidR="00631ABA">
        <w:t>urinave</w:t>
      </w:r>
      <w:bookmarkEnd w:id="26"/>
      <w:bookmarkEnd w:id="27"/>
      <w:bookmarkEnd w:id="33"/>
    </w:p>
    <w:p w14:paraId="62C543D2" w14:textId="77777777" w:rsidR="00B804CB" w:rsidRPr="00603FA1" w:rsidRDefault="00B804CB" w:rsidP="00B804CB">
      <w:pPr>
        <w:pStyle w:val="Paragraph"/>
        <w:rPr>
          <w:rFonts w:eastAsia="Calibri"/>
        </w:rPr>
      </w:pPr>
      <w:bookmarkStart w:id="34" w:name="_Toc170470796"/>
      <w:r w:rsidRPr="00603FA1">
        <w:rPr>
          <w:rFonts w:eastAsia="Calibri"/>
        </w:rPr>
        <w:t>Në Kosovë, korniza ligjore për menaxhimin e mbeturinave është ndërtuar në mënyrë të strukturuar dhe të qëndrueshme. Në nivelin më të lartë juridik, Kushtetuta e Republikës së Kosovës parashikon parimet themelore për mbrojtjen e mjedisit, të cilat konkretizohen më tej përmes ligjeve dhe akteve nënligjore përkatëse.</w:t>
      </w:r>
    </w:p>
    <w:p w14:paraId="44C7BA96" w14:textId="77777777" w:rsidR="00B804CB" w:rsidRPr="00603FA1" w:rsidRDefault="00B804CB" w:rsidP="00B804CB">
      <w:pPr>
        <w:pStyle w:val="Paragraph"/>
        <w:rPr>
          <w:rFonts w:eastAsia="Calibri"/>
        </w:rPr>
      </w:pPr>
      <w:r w:rsidRPr="00603FA1">
        <w:rPr>
          <w:rFonts w:eastAsia="Calibri"/>
        </w:rPr>
        <w:t xml:space="preserve">Në këtë kontekst, Ligji Nr. 04/L-060 për Mbeturinat (Ligji për Mbeturinat) përbën bazën kryesore ligjore për rregullimin e këtij sektori. Ky ligj është ndryshuar dhe plotësuar me Ligjin Nr. 08/L-071, duke e bërë atë më të përshtatshëm me </w:t>
      </w:r>
      <w:r w:rsidRPr="00603FA1">
        <w:rPr>
          <w:rFonts w:eastAsia="Calibri"/>
        </w:rPr>
        <w:lastRenderedPageBreak/>
        <w:t>kërkesat aktuale dhe standardet ndërkombëtare, përfshirë ato të Bashkimit Evropian. Kjo kornizë ligjore është gjithëpërfshirëse dhe përcakton qartë parimet, përgjegjësitë institucionale dhe mekanizmat për menaxhimin e mbeturinave.</w:t>
      </w:r>
    </w:p>
    <w:p w14:paraId="6C8BD67E" w14:textId="3E919517" w:rsidR="00B804CB" w:rsidRDefault="00B804CB" w:rsidP="00B804CB">
      <w:pPr>
        <w:pStyle w:val="Paragraph"/>
        <w:rPr>
          <w:rFonts w:eastAsia="Calibri"/>
          <w:lang w:val="sq-AL"/>
        </w:rPr>
      </w:pPr>
      <w:r w:rsidRPr="00603FA1">
        <w:rPr>
          <w:rFonts w:eastAsia="Calibri"/>
        </w:rPr>
        <w:t>Përveç legjislacionit primar, janë miratuar edhe një sërë aktesh nënligjore (legjislacion dytësor), të cilat ndihmojnë në zbatimin praktik të ligjit dhe mbulimin e aspekteve specifike të menaxhimit të mbeturinave. Seksionet në vijim do të ofrojnë një përmbledhje të legjislacionit primar dhe sekondar, si dhe një pasqyrë të procesit të transpozimit të direktivave të Bashkimit Evropian në kornizën ligjore të Kosovës për menaxhimin e mbeturinave.</w:t>
      </w:r>
    </w:p>
    <w:p w14:paraId="1572A32B" w14:textId="7A36247C" w:rsidR="005F62F3" w:rsidRPr="003B6A62" w:rsidRDefault="00032CD8" w:rsidP="003B6A62">
      <w:pPr>
        <w:pStyle w:val="Heading4"/>
      </w:pPr>
      <w:bookmarkStart w:id="35" w:name="_Toc197471947"/>
      <w:r w:rsidRPr="003B6A62">
        <w:t>Legjislacioni p</w:t>
      </w:r>
      <w:r w:rsidR="00631ABA">
        <w:t>rimar</w:t>
      </w:r>
      <w:bookmarkEnd w:id="34"/>
      <w:bookmarkEnd w:id="35"/>
    </w:p>
    <w:p w14:paraId="332BC6B4" w14:textId="77777777" w:rsidR="00604DA9" w:rsidRDefault="00604DA9" w:rsidP="00604DA9">
      <w:pPr>
        <w:pStyle w:val="Paragraph"/>
        <w:rPr>
          <w:lang w:val="sq-AL"/>
        </w:rPr>
      </w:pPr>
      <w:r>
        <w:rPr>
          <w:b/>
          <w:bCs/>
          <w:lang w:val="sq-AL"/>
        </w:rPr>
        <w:t>Kushtetuta e Republikës së Kosovës</w:t>
      </w:r>
      <w:r>
        <w:rPr>
          <w:lang w:val="sq-AL"/>
        </w:rPr>
        <w:t>. Kushtetuta</w:t>
      </w:r>
      <w:r>
        <w:rPr>
          <w:rStyle w:val="FootnoteReference"/>
          <w:rFonts w:ascii="Times New Roman" w:eastAsia="Calibri" w:hAnsi="Times New Roman"/>
          <w:bCs/>
          <w:kern w:val="2"/>
          <w:lang w:val="sq-AL"/>
          <w14:ligatures w14:val="standardContextual"/>
        </w:rPr>
        <w:footnoteReference w:id="4"/>
      </w:r>
      <w:r>
        <w:rPr>
          <w:lang w:val="sq-AL"/>
        </w:rPr>
        <w:t xml:space="preserve">, në nenin 7 [Vlerat], paragrafi 1, përcakton se: “Rendi kushtetues i Republikës së Kosovës bazohet në parimet e lirisë, paqes, demokracisë, barazisë, respektimit të të drejtave dhe lirive të njeriut dhe sundimit të ligjit, mosdiskriminimit, të drejtës së pronës, </w:t>
      </w:r>
      <w:r>
        <w:rPr>
          <w:b/>
          <w:bCs/>
          <w:lang w:val="sq-AL"/>
        </w:rPr>
        <w:t>mbrojtjes së mjedisit</w:t>
      </w:r>
      <w:r>
        <w:rPr>
          <w:lang w:val="sq-AL"/>
        </w:rPr>
        <w:t>, drejtësisë sociale, pluralizmit, ndarjes së pushteteve shtetërore dhe ekonomisë së tregut”. Gjithashtu, Kushtetuta në nenin 52 [Përgjegjësia për Mjedisin e Jetës], përcakton se:</w:t>
      </w:r>
    </w:p>
    <w:p w14:paraId="48F3CDCA" w14:textId="77777777" w:rsidR="00604DA9" w:rsidRPr="008E5677" w:rsidRDefault="00604DA9" w:rsidP="00604DA9">
      <w:pPr>
        <w:pStyle w:val="Bullet"/>
        <w:rPr>
          <w:lang w:val="sq-AL"/>
        </w:rPr>
      </w:pPr>
      <w:r>
        <w:rPr>
          <w:rFonts w:eastAsia="Calibri"/>
          <w:b/>
          <w:kern w:val="2"/>
          <w:lang w:val="sq-AL"/>
          <w14:ligatures w14:val="standardContextual"/>
        </w:rPr>
        <w:t>“</w:t>
      </w:r>
      <w:r w:rsidRPr="008E5677">
        <w:rPr>
          <w:rFonts w:eastAsia="Calibri"/>
          <w:b/>
          <w:kern w:val="2"/>
          <w:lang w:val="sq-AL"/>
          <w14:ligatures w14:val="standardContextual"/>
        </w:rPr>
        <w:t>1. Natyra dhe biodiversiteti, mjedisi</w:t>
      </w:r>
      <w:r w:rsidRPr="008E5677">
        <w:rPr>
          <w:rFonts w:eastAsia="Calibri"/>
          <w:bCs/>
          <w:kern w:val="2"/>
          <w:lang w:val="sq-AL"/>
          <w14:ligatures w14:val="standardContextual"/>
        </w:rPr>
        <w:t xml:space="preserve"> dhe trashëgimia kombëtare janë përgjegjësi e të gjithëve.</w:t>
      </w:r>
    </w:p>
    <w:p w14:paraId="4C2A94ED" w14:textId="77777777" w:rsidR="00604DA9" w:rsidRPr="008E5677" w:rsidRDefault="00604DA9" w:rsidP="00604DA9">
      <w:pPr>
        <w:pStyle w:val="Bullet"/>
        <w:rPr>
          <w:rFonts w:eastAsia="Calibri"/>
          <w:bCs/>
          <w:kern w:val="2"/>
          <w:lang w:val="sq-AL"/>
          <w14:ligatures w14:val="standardContextual"/>
        </w:rPr>
      </w:pPr>
      <w:r w:rsidRPr="008E5677">
        <w:rPr>
          <w:lang w:val="sq-AL"/>
        </w:rPr>
        <w:t xml:space="preserve">2. Secilit duhet t'i jepet mundësia për t'u dëgjuar nga institucionet publike dhe për t'u marrë parasysh mendimet e tyre për çështje që ndikojnë në </w:t>
      </w:r>
      <w:r w:rsidRPr="008E5677">
        <w:rPr>
          <w:b/>
          <w:bCs/>
          <w:lang w:val="sq-AL"/>
        </w:rPr>
        <w:t>mjedisin</w:t>
      </w:r>
      <w:r w:rsidRPr="008E5677">
        <w:rPr>
          <w:lang w:val="sq-AL"/>
        </w:rPr>
        <w:t xml:space="preserve"> ku ai jeton.</w:t>
      </w:r>
    </w:p>
    <w:p w14:paraId="18A01A12" w14:textId="77777777" w:rsidR="00604DA9" w:rsidRPr="0028630B" w:rsidRDefault="00604DA9" w:rsidP="00604DA9">
      <w:pPr>
        <w:pStyle w:val="Bullet"/>
        <w:rPr>
          <w:rFonts w:eastAsia="Calibri"/>
          <w:bCs/>
          <w:kern w:val="2"/>
          <w:lang w:val="sq-AL"/>
          <w14:ligatures w14:val="standardContextual"/>
        </w:rPr>
      </w:pPr>
      <w:r w:rsidRPr="008E5677">
        <w:rPr>
          <w:lang w:val="sq-AL"/>
        </w:rPr>
        <w:t>3. Ndikimi në mjedis merret parasysh nga institucionet publike në proceset e tyre vendimmarrëse”.</w:t>
      </w:r>
    </w:p>
    <w:p w14:paraId="7921D0A6" w14:textId="77777777" w:rsidR="00B1488D" w:rsidRDefault="00B1488D" w:rsidP="00B1488D">
      <w:pPr>
        <w:pStyle w:val="Paragraph"/>
        <w:spacing w:after="0"/>
        <w:rPr>
          <w:rFonts w:eastAsia="Calibri"/>
          <w:b/>
          <w:bCs/>
          <w:kern w:val="2"/>
          <w14:ligatures w14:val="standardContextual"/>
        </w:rPr>
      </w:pPr>
    </w:p>
    <w:p w14:paraId="75A8421C" w14:textId="77777777" w:rsidR="00604DA9" w:rsidRPr="008D2D8C" w:rsidRDefault="00604DA9" w:rsidP="00604DA9">
      <w:pPr>
        <w:pStyle w:val="Paragraph"/>
        <w:rPr>
          <w:rFonts w:eastAsia="Calibri"/>
          <w:kern w:val="2"/>
          <w:lang w:val="sq-AL"/>
          <w14:ligatures w14:val="standardContextual"/>
        </w:rPr>
      </w:pPr>
      <w:r w:rsidRPr="008E5677">
        <w:rPr>
          <w:rFonts w:eastAsia="Calibri"/>
          <w:b/>
          <w:bCs/>
          <w:kern w:val="2"/>
          <w:lang w:val="sq-AL"/>
          <w14:ligatures w14:val="standardContextual"/>
        </w:rPr>
        <w:t>Ligji nr. 04/L-060 për mbeturinat</w:t>
      </w:r>
      <w:r w:rsidRPr="008E5677">
        <w:rPr>
          <w:rFonts w:eastAsia="Calibri"/>
          <w:kern w:val="2"/>
          <w:lang w:val="sq-AL"/>
          <w14:ligatures w14:val="standardContextual"/>
        </w:rPr>
        <w:t>. Ligji për Mbet</w:t>
      </w:r>
      <w:r>
        <w:rPr>
          <w:rFonts w:eastAsia="Calibri"/>
          <w:kern w:val="2"/>
          <w:lang w:val="sq-AL"/>
          <w14:ligatures w14:val="standardContextual"/>
        </w:rPr>
        <w:t>urina</w:t>
      </w:r>
      <w:r>
        <w:rPr>
          <w:rStyle w:val="FootnoteReference"/>
          <w:rFonts w:eastAsia="Calibri"/>
          <w:kern w:val="2"/>
          <w:lang w:val="sq-AL"/>
          <w14:ligatures w14:val="standardContextual"/>
        </w:rPr>
        <w:footnoteReference w:id="5"/>
      </w:r>
      <w:r w:rsidRPr="008E5677">
        <w:rPr>
          <w:rFonts w:eastAsia="Calibri"/>
          <w:kern w:val="2"/>
          <w:lang w:val="sq-AL"/>
          <w14:ligatures w14:val="standardContextual"/>
        </w:rPr>
        <w:t xml:space="preserve"> parashikon dhe përcakton parimet për mbrojtjen e mjedisit dhe përcakton rolet dhe përgjegjësitë e organeve të administratës shtetërore në nivel qendror dhe </w:t>
      </w:r>
      <w:r>
        <w:rPr>
          <w:rFonts w:eastAsia="Calibri"/>
          <w:kern w:val="2"/>
          <w:lang w:val="sq-AL"/>
          <w14:ligatures w14:val="standardContextual"/>
        </w:rPr>
        <w:t>lokal</w:t>
      </w:r>
      <w:r w:rsidRPr="008E5677">
        <w:rPr>
          <w:rFonts w:eastAsia="Calibri"/>
          <w:kern w:val="2"/>
          <w:lang w:val="sq-AL"/>
          <w14:ligatures w14:val="standardContextual"/>
        </w:rPr>
        <w:t>, si dhe licencimin e operatorëve, personave juridikë dhe fizikë, për menaxhimin e mbet</w:t>
      </w:r>
      <w:r>
        <w:rPr>
          <w:rFonts w:eastAsia="Calibri"/>
          <w:kern w:val="2"/>
          <w:lang w:val="sq-AL"/>
          <w14:ligatures w14:val="standardContextual"/>
        </w:rPr>
        <w:t>urinave</w:t>
      </w:r>
      <w:r w:rsidRPr="008E5677">
        <w:rPr>
          <w:rFonts w:eastAsia="Calibri"/>
          <w:kern w:val="2"/>
          <w:lang w:val="sq-AL"/>
          <w14:ligatures w14:val="standardContextual"/>
        </w:rPr>
        <w:t>. Ligji për Mbet</w:t>
      </w:r>
      <w:r>
        <w:rPr>
          <w:rFonts w:eastAsia="Calibri"/>
          <w:kern w:val="2"/>
          <w:lang w:val="sq-AL"/>
          <w14:ligatures w14:val="standardContextual"/>
        </w:rPr>
        <w:t>urina</w:t>
      </w:r>
      <w:r w:rsidRPr="008E5677">
        <w:rPr>
          <w:rFonts w:eastAsia="Calibri"/>
          <w:kern w:val="2"/>
          <w:lang w:val="sq-AL"/>
          <w14:ligatures w14:val="standardContextual"/>
        </w:rPr>
        <w:t xml:space="preserve"> përcakton dhe rregullon parimet dhe objektivat për menaxhimin e mbet</w:t>
      </w:r>
      <w:r>
        <w:rPr>
          <w:rFonts w:eastAsia="Calibri"/>
          <w:kern w:val="2"/>
          <w:lang w:val="sq-AL"/>
          <w14:ligatures w14:val="standardContextual"/>
        </w:rPr>
        <w:t>urinave</w:t>
      </w:r>
      <w:r w:rsidRPr="008E5677">
        <w:rPr>
          <w:rFonts w:eastAsia="Calibri"/>
          <w:kern w:val="2"/>
          <w:lang w:val="sq-AL"/>
          <w14:ligatures w14:val="standardContextual"/>
        </w:rPr>
        <w:t>, strategjitë, planet dhe programet për menaxhimin e mbet</w:t>
      </w:r>
      <w:r>
        <w:rPr>
          <w:rFonts w:eastAsia="Calibri"/>
          <w:kern w:val="2"/>
          <w:lang w:val="sq-AL"/>
          <w14:ligatures w14:val="standardContextual"/>
        </w:rPr>
        <w:t>urinave</w:t>
      </w:r>
      <w:r w:rsidRPr="008E5677">
        <w:rPr>
          <w:rFonts w:eastAsia="Calibri"/>
          <w:kern w:val="2"/>
          <w:lang w:val="sq-AL"/>
          <w14:ligatures w14:val="standardContextual"/>
        </w:rPr>
        <w:t>, të drejtat dhe detyrimet e personave juridikë dhe fizikë në lidhje me menaxhimin e mbet</w:t>
      </w:r>
      <w:r>
        <w:rPr>
          <w:rFonts w:eastAsia="Calibri"/>
          <w:kern w:val="2"/>
          <w:lang w:val="sq-AL"/>
          <w14:ligatures w14:val="standardContextual"/>
        </w:rPr>
        <w:t>urinave</w:t>
      </w:r>
      <w:r w:rsidRPr="008E5677">
        <w:rPr>
          <w:rFonts w:eastAsia="Calibri"/>
          <w:kern w:val="2"/>
          <w:lang w:val="sq-AL"/>
          <w14:ligatures w14:val="standardContextual"/>
        </w:rPr>
        <w:t>, mënyrën dhe kushtet në të cilat mund të bëhet grumbullimi, transporti, ripërdorimi, trajtimi, ruajtj</w:t>
      </w:r>
      <w:r>
        <w:rPr>
          <w:rFonts w:eastAsia="Calibri"/>
          <w:kern w:val="2"/>
          <w:lang w:val="sq-AL"/>
          <w14:ligatures w14:val="standardContextual"/>
        </w:rPr>
        <w:t>a</w:t>
      </w:r>
      <w:r w:rsidRPr="008E5677">
        <w:rPr>
          <w:rFonts w:eastAsia="Calibri"/>
          <w:kern w:val="2"/>
          <w:lang w:val="sq-AL"/>
          <w14:ligatures w14:val="standardContextual"/>
        </w:rPr>
        <w:t xml:space="preserve">, përpunimi dhe asgjësimi </w:t>
      </w:r>
      <w:r>
        <w:rPr>
          <w:rFonts w:eastAsia="Calibri"/>
          <w:kern w:val="2"/>
          <w:lang w:val="sq-AL"/>
          <w14:ligatures w14:val="standardContextual"/>
        </w:rPr>
        <w:t>i</w:t>
      </w:r>
      <w:r w:rsidRPr="008E5677">
        <w:rPr>
          <w:rFonts w:eastAsia="Calibri"/>
          <w:kern w:val="2"/>
          <w:lang w:val="sq-AL"/>
          <w14:ligatures w14:val="standardContextual"/>
        </w:rPr>
        <w:t xml:space="preserve"> mbet</w:t>
      </w:r>
      <w:r>
        <w:rPr>
          <w:rFonts w:eastAsia="Calibri"/>
          <w:kern w:val="2"/>
          <w:lang w:val="sq-AL"/>
          <w14:ligatures w14:val="standardContextual"/>
        </w:rPr>
        <w:t>urinave</w:t>
      </w:r>
      <w:r w:rsidRPr="008E5677">
        <w:rPr>
          <w:rFonts w:eastAsia="Calibri"/>
          <w:kern w:val="2"/>
          <w:lang w:val="sq-AL"/>
          <w14:ligatures w14:val="standardContextual"/>
        </w:rPr>
        <w:t>, importin, eksportin dhe tranzitin e mbet</w:t>
      </w:r>
      <w:r>
        <w:rPr>
          <w:rFonts w:eastAsia="Calibri"/>
          <w:kern w:val="2"/>
          <w:lang w:val="sq-AL"/>
          <w14:ligatures w14:val="standardContextual"/>
        </w:rPr>
        <w:t>urinave</w:t>
      </w:r>
      <w:r w:rsidRPr="008E5677">
        <w:rPr>
          <w:rFonts w:eastAsia="Calibri"/>
          <w:kern w:val="2"/>
          <w:lang w:val="sq-AL"/>
          <w14:ligatures w14:val="standardContextual"/>
        </w:rPr>
        <w:t>, krijimin e sistemit të informacionit, si dhe financimin dhe mbikëqyrjen e menaxhimit të mbet</w:t>
      </w:r>
      <w:r>
        <w:rPr>
          <w:rFonts w:eastAsia="Calibri"/>
          <w:kern w:val="2"/>
          <w:lang w:val="sq-AL"/>
          <w14:ligatures w14:val="standardContextual"/>
        </w:rPr>
        <w:t>urinave</w:t>
      </w:r>
      <w:r w:rsidRPr="008E5677">
        <w:rPr>
          <w:rFonts w:eastAsia="Calibri"/>
          <w:kern w:val="2"/>
          <w:lang w:val="sq-AL"/>
          <w14:ligatures w14:val="standardContextual"/>
        </w:rPr>
        <w:t>.</w:t>
      </w:r>
    </w:p>
    <w:p w14:paraId="52FD137F" w14:textId="77777777" w:rsidR="00604DA9" w:rsidRDefault="00604DA9" w:rsidP="00604DA9">
      <w:pPr>
        <w:pStyle w:val="Paragraph"/>
        <w:rPr>
          <w:rFonts w:eastAsia="Calibri"/>
          <w:lang w:val="sq-AL"/>
        </w:rPr>
      </w:pPr>
      <w:r w:rsidRPr="008E5677">
        <w:rPr>
          <w:rFonts w:eastAsia="Calibri"/>
          <w:lang w:val="sq-AL"/>
        </w:rPr>
        <w:t>Ligji përcakton menaxhimin e mbeturinave të pajisjeve elektrike dhe elektronike, dispozita</w:t>
      </w:r>
      <w:r>
        <w:rPr>
          <w:rFonts w:eastAsia="Calibri"/>
          <w:lang w:val="sq-AL"/>
        </w:rPr>
        <w:t>t</w:t>
      </w:r>
      <w:r w:rsidRPr="008E5677">
        <w:rPr>
          <w:rFonts w:eastAsia="Calibri"/>
          <w:lang w:val="sq-AL"/>
        </w:rPr>
        <w:t xml:space="preserve"> për menaxhimin e mbeturinave të baterive dhe akumulatorëve, si dhe ka dispozita</w:t>
      </w:r>
      <w:r>
        <w:rPr>
          <w:rFonts w:eastAsia="Calibri"/>
          <w:lang w:val="sq-AL"/>
        </w:rPr>
        <w:t>t</w:t>
      </w:r>
      <w:r w:rsidRPr="008E5677">
        <w:rPr>
          <w:rFonts w:eastAsia="Calibri"/>
          <w:lang w:val="sq-AL"/>
        </w:rPr>
        <w:t xml:space="preserve"> që lidhen me përgjegjësinë e zgjeruar të prodhuesve për menaxhimin e mbeturinave të produkteve të tyre. Ligji </w:t>
      </w:r>
      <w:r>
        <w:rPr>
          <w:rFonts w:eastAsia="Calibri"/>
          <w:lang w:val="sq-AL"/>
        </w:rPr>
        <w:t>për</w:t>
      </w:r>
      <w:r w:rsidRPr="008E5677">
        <w:rPr>
          <w:rFonts w:eastAsia="Calibri"/>
          <w:lang w:val="sq-AL"/>
        </w:rPr>
        <w:t xml:space="preserve"> Mbet</w:t>
      </w:r>
      <w:r>
        <w:rPr>
          <w:rFonts w:eastAsia="Calibri"/>
          <w:lang w:val="sq-AL"/>
        </w:rPr>
        <w:t>urina</w:t>
      </w:r>
      <w:r w:rsidRPr="008E5677">
        <w:rPr>
          <w:rFonts w:eastAsia="Calibri"/>
          <w:lang w:val="sq-AL"/>
        </w:rPr>
        <w:t xml:space="preserve"> prezanton dispozita për mbet</w:t>
      </w:r>
      <w:r>
        <w:rPr>
          <w:rFonts w:eastAsia="Calibri"/>
          <w:lang w:val="sq-AL"/>
        </w:rPr>
        <w:t>urinat</w:t>
      </w:r>
      <w:r w:rsidRPr="008E5677">
        <w:rPr>
          <w:rFonts w:eastAsia="Calibri"/>
          <w:lang w:val="sq-AL"/>
        </w:rPr>
        <w:t xml:space="preserve"> e vajrave dhe </w:t>
      </w:r>
      <w:r>
        <w:rPr>
          <w:rFonts w:eastAsia="Calibri"/>
          <w:lang w:val="sq-AL"/>
        </w:rPr>
        <w:t>fraksioneve</w:t>
      </w:r>
      <w:r w:rsidRPr="008E5677">
        <w:rPr>
          <w:rFonts w:eastAsia="Calibri"/>
          <w:lang w:val="sq-AL"/>
        </w:rPr>
        <w:t xml:space="preserve"> tjera të mbet</w:t>
      </w:r>
      <w:r>
        <w:rPr>
          <w:rFonts w:eastAsia="Calibri"/>
          <w:lang w:val="sq-AL"/>
        </w:rPr>
        <w:t>urinave</w:t>
      </w:r>
      <w:r w:rsidRPr="008E5677">
        <w:rPr>
          <w:rFonts w:eastAsia="Calibri"/>
          <w:lang w:val="sq-AL"/>
        </w:rPr>
        <w:t xml:space="preserve"> në lidhje me sistemin e zgjeruar të përgjegjësisë së prodhuesit, si dhe zgjidhje të reja ligjore për katër </w:t>
      </w:r>
      <w:r>
        <w:rPr>
          <w:rFonts w:eastAsia="Calibri"/>
          <w:lang w:val="sq-AL"/>
        </w:rPr>
        <w:t>fushat</w:t>
      </w:r>
      <w:r w:rsidRPr="008E5677">
        <w:rPr>
          <w:rFonts w:eastAsia="Calibri"/>
          <w:lang w:val="sq-AL"/>
        </w:rPr>
        <w:t xml:space="preserve"> e reja. Megjithatë, </w:t>
      </w:r>
      <w:r>
        <w:rPr>
          <w:rFonts w:eastAsia="Calibri"/>
          <w:lang w:val="sq-AL"/>
        </w:rPr>
        <w:t xml:space="preserve">kushtet e kërkuara </w:t>
      </w:r>
      <w:r w:rsidRPr="008E5677">
        <w:rPr>
          <w:rFonts w:eastAsia="Calibri"/>
          <w:lang w:val="sq-AL"/>
        </w:rPr>
        <w:t xml:space="preserve">minimale për skemat e përgjegjësisë së zgjeruar të prodhuesit </w:t>
      </w:r>
      <w:r>
        <w:rPr>
          <w:rFonts w:eastAsia="Calibri"/>
          <w:lang w:val="sq-AL"/>
        </w:rPr>
        <w:t xml:space="preserve">ende </w:t>
      </w:r>
      <w:r w:rsidRPr="008E5677">
        <w:rPr>
          <w:rFonts w:eastAsia="Calibri"/>
          <w:lang w:val="sq-AL"/>
        </w:rPr>
        <w:t xml:space="preserve">nuk janë përcaktuar. Gjithashtu, procedura e lejes për organizatat që zbatojnë obligimet e zgjeruara të përgjegjësisë së prodhuesit në emër të prodhuesve të produkteve nuk janë të përcaktuara me ligj. </w:t>
      </w:r>
    </w:p>
    <w:p w14:paraId="51E1DB8F" w14:textId="77777777" w:rsidR="00604DA9" w:rsidRPr="008D2D8C" w:rsidRDefault="00604DA9" w:rsidP="00604DA9">
      <w:pPr>
        <w:pStyle w:val="Paragraph"/>
        <w:rPr>
          <w:rFonts w:eastAsia="Calibri"/>
          <w:lang w:val="sq-AL"/>
        </w:rPr>
      </w:pPr>
      <w:r w:rsidRPr="005D6289">
        <w:rPr>
          <w:rFonts w:eastAsia="Calibri"/>
          <w:b/>
          <w:bCs/>
          <w:lang w:val="sq-AL"/>
        </w:rPr>
        <w:t>Një koncept dokument</w:t>
      </w:r>
      <w:r w:rsidRPr="008E5677">
        <w:rPr>
          <w:rFonts w:eastAsia="Calibri"/>
          <w:lang w:val="sq-AL"/>
        </w:rPr>
        <w:t xml:space="preserve"> është përgatitur nga Ministria e Mjedisit, Planifikimit Hapësinor dhe Infrastrukturës (M</w:t>
      </w:r>
      <w:r>
        <w:rPr>
          <w:rFonts w:eastAsia="Calibri"/>
          <w:lang w:val="sq-AL"/>
        </w:rPr>
        <w:t>MPHIP</w:t>
      </w:r>
      <w:r w:rsidRPr="008E5677">
        <w:rPr>
          <w:rFonts w:eastAsia="Calibri"/>
          <w:lang w:val="sq-AL"/>
        </w:rPr>
        <w:t>). Qëllimi i këtij Koncept Dokumenti është të ofrojë një analizë gjithëpërfshirëse të politikave dhe legjislacionit në fushën e menaxhimit të mbet</w:t>
      </w:r>
      <w:r>
        <w:rPr>
          <w:rFonts w:eastAsia="Calibri"/>
          <w:lang w:val="sq-AL"/>
        </w:rPr>
        <w:t>urinave</w:t>
      </w:r>
      <w:r w:rsidRPr="008E5677">
        <w:rPr>
          <w:rFonts w:eastAsia="Calibri"/>
          <w:lang w:val="sq-AL"/>
        </w:rPr>
        <w:t xml:space="preserve"> si dhe të analizojë opsionet për përmirësimin e legjislacionit dhe të rekomandojë opsionin e preferuar. Për më tepër, Koncept Dokumenti përshkruan objektivat dhe veprimet konkrete për të përmirësuar sistemin e menaxhimit të mbet</w:t>
      </w:r>
      <w:r>
        <w:rPr>
          <w:rFonts w:eastAsia="Calibri"/>
          <w:lang w:val="sq-AL"/>
        </w:rPr>
        <w:t>urinave</w:t>
      </w:r>
      <w:r w:rsidRPr="008E5677">
        <w:rPr>
          <w:rFonts w:eastAsia="Calibri"/>
          <w:lang w:val="sq-AL"/>
        </w:rPr>
        <w:t>. Një nga rekomandimet kryesore të Koncept Dokumentit është që kuadri ligjor në fushën e menaxhimit të mbet</w:t>
      </w:r>
      <w:r>
        <w:rPr>
          <w:rFonts w:eastAsia="Calibri"/>
          <w:lang w:val="sq-AL"/>
        </w:rPr>
        <w:t>urinave</w:t>
      </w:r>
      <w:r w:rsidRPr="008E5677">
        <w:rPr>
          <w:rFonts w:eastAsia="Calibri"/>
          <w:lang w:val="sq-AL"/>
        </w:rPr>
        <w:t xml:space="preserve"> të përmirësohet dhe të miratohet një ligj i ri për mbet</w:t>
      </w:r>
      <w:r>
        <w:rPr>
          <w:rFonts w:eastAsia="Calibri"/>
          <w:lang w:val="sq-AL"/>
        </w:rPr>
        <w:t>uirna</w:t>
      </w:r>
      <w:r w:rsidRPr="008E5677">
        <w:rPr>
          <w:rFonts w:eastAsia="Calibri"/>
          <w:lang w:val="sq-AL"/>
        </w:rPr>
        <w:t>. Koncept Dokumenti është në pritje të miratimit nga Qeveria.</w:t>
      </w:r>
    </w:p>
    <w:p w14:paraId="60B0D06B" w14:textId="77777777" w:rsidR="00604DA9" w:rsidRDefault="00604DA9" w:rsidP="00604DA9">
      <w:pPr>
        <w:pStyle w:val="Paragraph"/>
        <w:rPr>
          <w:rFonts w:eastAsia="Calibri"/>
          <w:lang w:val="sq-AL"/>
        </w:rPr>
      </w:pPr>
      <w:r w:rsidRPr="005D6289">
        <w:rPr>
          <w:rFonts w:eastAsia="Calibri"/>
          <w:lang w:val="sq-AL"/>
        </w:rPr>
        <w:lastRenderedPageBreak/>
        <w:t>Ligje tjera që kanë efekt në rregullimin e sektorit të menaxhimit të mbet</w:t>
      </w:r>
      <w:r>
        <w:rPr>
          <w:rFonts w:eastAsia="Calibri"/>
          <w:lang w:val="sq-AL"/>
        </w:rPr>
        <w:t>urinave</w:t>
      </w:r>
      <w:r w:rsidRPr="005D6289">
        <w:rPr>
          <w:rFonts w:eastAsia="Calibri"/>
          <w:lang w:val="sq-AL"/>
        </w:rPr>
        <w:t xml:space="preserve"> përfshijnë:</w:t>
      </w:r>
    </w:p>
    <w:p w14:paraId="0F905D11" w14:textId="77777777" w:rsidR="00604DA9" w:rsidRPr="008D2D8C" w:rsidRDefault="00604DA9" w:rsidP="00604DA9">
      <w:pPr>
        <w:pStyle w:val="Paragraph"/>
        <w:rPr>
          <w:rFonts w:eastAsia="Calibri"/>
          <w:lang w:val="sq-AL"/>
        </w:rPr>
      </w:pPr>
      <w:r w:rsidRPr="005D6289">
        <w:rPr>
          <w:rFonts w:eastAsia="Calibri"/>
          <w:b/>
          <w:bCs/>
          <w:lang w:val="sq-AL"/>
        </w:rPr>
        <w:t>Ligji Nr. 03/L-025 për Mbrojtjen e Mjedisit</w:t>
      </w:r>
      <w:r w:rsidRPr="005D6289">
        <w:rPr>
          <w:rFonts w:eastAsia="Calibri"/>
          <w:lang w:val="sq-AL"/>
        </w:rPr>
        <w:t>. Ligji parashikon që objektet e trajtimit dhe depozitimit të mbet</w:t>
      </w:r>
      <w:r>
        <w:rPr>
          <w:rFonts w:eastAsia="Calibri"/>
          <w:lang w:val="sq-AL"/>
        </w:rPr>
        <w:t>uirnave</w:t>
      </w:r>
      <w:r w:rsidRPr="005D6289">
        <w:rPr>
          <w:rFonts w:eastAsia="Calibri"/>
          <w:lang w:val="sq-AL"/>
        </w:rPr>
        <w:t xml:space="preserve"> të vendosen në vende që sigurojnë mbrojtje të plotë të mjedisit. Ligji kërkon që funksionimi i impianteve dhe aktiviteteve që mund të kenë ndikim negativ në shëndetin e njeriut dhe mjedisin duhet të kërkojnë licencë të integruar. Ligji parashikon gjithashtu kërkesat për lejet mjedisore për të gjitha objektet, instalimet dhe makineritë e ndërtuara që i janë nënshtruar Vlerësimit të Ndikimit në Mjedis. Komunat janë gjithashtu të autorizuara të lëshojnë leje mjedisore komunale.</w:t>
      </w:r>
    </w:p>
    <w:p w14:paraId="5069ABC8" w14:textId="77777777" w:rsidR="00B1488D" w:rsidRPr="00AF0235" w:rsidRDefault="00B1488D" w:rsidP="00B1488D">
      <w:pPr>
        <w:pStyle w:val="Paragraph"/>
        <w:spacing w:after="0"/>
        <w:rPr>
          <w:rFonts w:eastAsia="Calibri"/>
        </w:rPr>
      </w:pPr>
    </w:p>
    <w:p w14:paraId="7C764846" w14:textId="77777777" w:rsidR="00604DA9" w:rsidRPr="008D2D8C" w:rsidRDefault="00604DA9" w:rsidP="00604DA9">
      <w:pPr>
        <w:pStyle w:val="Paragraph"/>
        <w:rPr>
          <w:rFonts w:eastAsia="Calibri"/>
          <w:lang w:val="sq-AL"/>
        </w:rPr>
      </w:pPr>
      <w:r w:rsidRPr="005D6289">
        <w:rPr>
          <w:rFonts w:eastAsia="Calibri"/>
          <w:b/>
          <w:bCs/>
          <w:lang w:val="sq-AL"/>
        </w:rPr>
        <w:t>Ligji Nr. 08/L-181 për Vlerësimin e Ndikimit në Mjedis</w:t>
      </w:r>
      <w:r w:rsidRPr="005D6289">
        <w:rPr>
          <w:rFonts w:eastAsia="Calibri"/>
          <w:lang w:val="sq-AL"/>
        </w:rPr>
        <w:t>. Qëllimi i këtij ligji është: (i) të sigurojë një nivel të lartë të mbrojtjes së mjedisit nëpërmjet parandalimit të dëmeve dhe efekteve negative në mjedis të projekteve publike ose private; (ii) të përcaktojë rregullat dhe procedurat për identifikimin dhe vlerësimin e ndikimeve të projekteve dhe aktiviteteve në mjedis, për të siguruar parandalimin ose reduktimin e ndikimeve negative të projekteve të propozuara publike dhe private; dhe (iii) garantimin e procesit gjithëpërfshirës dhe të hapur të vendimmarrjes nëpërmjet përcaktimit të rregullave dhe procedurave administrative, gjatë procesit të vendimmarrjes për marrjen e pëlqimit mjedisor.</w:t>
      </w:r>
    </w:p>
    <w:p w14:paraId="60BFAD46" w14:textId="77777777" w:rsidR="00604DA9" w:rsidRPr="008D2D8C" w:rsidRDefault="00604DA9" w:rsidP="00604DA9">
      <w:pPr>
        <w:pStyle w:val="Paragraph"/>
        <w:rPr>
          <w:rFonts w:eastAsia="Calibri"/>
          <w:lang w:val="sq-AL"/>
        </w:rPr>
      </w:pPr>
      <w:r w:rsidRPr="00FF7A11">
        <w:rPr>
          <w:rFonts w:eastAsia="Calibri"/>
          <w:lang w:val="sq-AL"/>
        </w:rPr>
        <w:t>Ligji është pjesërisht në përputhje me Direktivën 2014/52/BE të Parlamentit Evropian dhe Këshillit të datës 16 prill 2014 e cila ndryshon Direktivën 2011/92/BE për vlerësimin e ndikimit mjedisor të projekteve të caktuara publike dhe private.</w:t>
      </w:r>
    </w:p>
    <w:p w14:paraId="77150539" w14:textId="77777777" w:rsidR="00604DA9" w:rsidRPr="00AF0235" w:rsidRDefault="00604DA9" w:rsidP="00B1488D">
      <w:pPr>
        <w:pStyle w:val="Paragraph"/>
        <w:spacing w:after="0"/>
        <w:rPr>
          <w:rFonts w:eastAsia="Calibri"/>
        </w:rPr>
      </w:pPr>
    </w:p>
    <w:p w14:paraId="2E0EDBE4" w14:textId="2DDAE115" w:rsidR="00B1488D" w:rsidRDefault="00604DA9" w:rsidP="00B1488D">
      <w:pPr>
        <w:pStyle w:val="Paragraph"/>
        <w:spacing w:after="0"/>
        <w:rPr>
          <w:lang w:val="sq-AL"/>
        </w:rPr>
      </w:pPr>
      <w:r w:rsidRPr="00FF7A11">
        <w:rPr>
          <w:b/>
          <w:bCs/>
          <w:lang w:val="sq-AL"/>
        </w:rPr>
        <w:t>Ligji Nr. 08/L-145 për Parandalimin dhe Kontrollin e Integruar të Ndotjes</w:t>
      </w:r>
      <w:r w:rsidRPr="00FF7A11">
        <w:rPr>
          <w:lang w:val="sq-AL"/>
        </w:rPr>
        <w:t xml:space="preserve">. Ky ligj synon të përcaktojë kompetencat, procedurat dhe përgjegjësitë e institucioneve për pajisjen me leje të impianteve, mbikëqyrjen inspektuese, si dhe detyrimet e operatorëve, në lidhje me parandalimin dhe kontrollin e integruar të ndotjes nga aktivitete të ndryshme industriale, për të arritur një nivel </w:t>
      </w:r>
      <w:r>
        <w:rPr>
          <w:lang w:val="sq-AL"/>
        </w:rPr>
        <w:t>të</w:t>
      </w:r>
      <w:r w:rsidRPr="00FF7A11">
        <w:rPr>
          <w:lang w:val="sq-AL"/>
        </w:rPr>
        <w:t xml:space="preserve"> lartë </w:t>
      </w:r>
      <w:r>
        <w:rPr>
          <w:lang w:val="sq-AL"/>
        </w:rPr>
        <w:t>të</w:t>
      </w:r>
      <w:r w:rsidRPr="00FF7A11">
        <w:rPr>
          <w:lang w:val="sq-AL"/>
        </w:rPr>
        <w:t xml:space="preserve"> mbrojtjes së mjedisit. Ky ligj është pjesërisht në përputhje me Direktivën 2010/75/BE, për shkarkimet industriale (parandalimi dhe kontrolli i integruar i ndotjes)</w:t>
      </w:r>
      <w:r>
        <w:rPr>
          <w:lang w:val="sq-AL"/>
        </w:rPr>
        <w:t>.</w:t>
      </w:r>
    </w:p>
    <w:p w14:paraId="33D2823B" w14:textId="77777777" w:rsidR="00604DA9" w:rsidRPr="00AF0235" w:rsidRDefault="00604DA9" w:rsidP="00B1488D">
      <w:pPr>
        <w:pStyle w:val="Paragraph"/>
        <w:spacing w:after="0"/>
      </w:pPr>
    </w:p>
    <w:p w14:paraId="3569E864" w14:textId="77777777" w:rsidR="00604DA9" w:rsidRPr="008D2D8C" w:rsidRDefault="00604DA9" w:rsidP="00604DA9">
      <w:pPr>
        <w:pStyle w:val="Paragraph"/>
        <w:rPr>
          <w:lang w:val="sq-AL"/>
        </w:rPr>
      </w:pPr>
      <w:r w:rsidRPr="00E06A05">
        <w:rPr>
          <w:b/>
          <w:bCs/>
          <w:lang w:val="sq-AL"/>
        </w:rPr>
        <w:t>Ligji nr.03/L–233 për Mbrojtjen e Natyrës</w:t>
      </w:r>
      <w:r w:rsidRPr="00E06A05">
        <w:rPr>
          <w:lang w:val="sq-AL"/>
        </w:rPr>
        <w:t>. Ligji përcakton një sistem për mbrojtjen dhe ruajtjen e përgjithshme të natyrës dhe vlerave të saj. Natyra në kuptimin e Ligjit përfaqëson të gjithë diversitetin biologjik dhe peizazhor. Natyra dhe trashëgimia natyrore janë me interes për Republikën e Kosovës dhe kanë mbrojtje të veçantë.</w:t>
      </w:r>
    </w:p>
    <w:p w14:paraId="2A37EEB1" w14:textId="77777777" w:rsidR="00604DA9" w:rsidRPr="008D2D8C" w:rsidRDefault="00604DA9" w:rsidP="00604DA9">
      <w:pPr>
        <w:pStyle w:val="Paragraph"/>
        <w:rPr>
          <w:i/>
          <w:lang w:val="sq-AL"/>
        </w:rPr>
      </w:pPr>
      <w:r w:rsidRPr="00E06A05">
        <w:rPr>
          <w:b/>
          <w:bCs/>
          <w:i/>
          <w:lang w:val="sq-AL"/>
        </w:rPr>
        <w:t>Ligji № 03/L-040 për Vetëqeverisjen Lokale</w:t>
      </w:r>
      <w:r w:rsidRPr="00E06A05">
        <w:rPr>
          <w:i/>
          <w:lang w:val="sq-AL"/>
        </w:rPr>
        <w:t xml:space="preserve">. Ligji vendos bazën ligjore për një sistem të qëndrueshëm të vetëqeverisjes lokale në Kosovë. Ligji gjithashtu përcakton statusin juridik të komunave, kompetencat e tyre dhe parimet e përgjithshme të financave komunale, organizimin dhe funksionimin e organeve komunale, aranzhimet ndërkomunale dhe bashkëpunimin ndërkomunal duke përfshirë bashkëpunimin ndërkufitar dhe marrëdhëniet </w:t>
      </w:r>
      <w:r>
        <w:rPr>
          <w:i/>
          <w:lang w:val="sq-AL"/>
        </w:rPr>
        <w:t xml:space="preserve">midis komunave dhe </w:t>
      </w:r>
      <w:r w:rsidRPr="00E06A05">
        <w:rPr>
          <w:i/>
          <w:lang w:val="sq-AL"/>
        </w:rPr>
        <w:t>ndërmjet komunave dhe pushteti</w:t>
      </w:r>
      <w:r>
        <w:rPr>
          <w:i/>
          <w:lang w:val="sq-AL"/>
        </w:rPr>
        <w:t>t</w:t>
      </w:r>
      <w:r w:rsidRPr="00E06A05">
        <w:rPr>
          <w:i/>
          <w:lang w:val="sq-AL"/>
        </w:rPr>
        <w:t xml:space="preserve"> qendror. Për më tepër, neni 17, kompetencat veta</w:t>
      </w:r>
      <w:r>
        <w:rPr>
          <w:i/>
          <w:lang w:val="sq-AL"/>
        </w:rPr>
        <w:t>nake</w:t>
      </w:r>
      <w:r w:rsidRPr="00E06A05">
        <w:rPr>
          <w:i/>
          <w:lang w:val="sq-AL"/>
        </w:rPr>
        <w:t>, paragrafi 17.1, përcakton se: “Komunat kanë kompetenca të plota dhe ekskluzive, për aq sa kanë të bëjnë me interesin lokal, duke respektuar standardet e përcaktuara në legjislacionin në fuqi në fushat e mëposhtme: ……</w:t>
      </w:r>
    </w:p>
    <w:p w14:paraId="3ECCD098" w14:textId="77777777" w:rsidR="00604DA9" w:rsidRPr="00E06A05" w:rsidRDefault="00604DA9" w:rsidP="00604DA9">
      <w:pPr>
        <w:pStyle w:val="Bullet"/>
        <w:rPr>
          <w:lang w:val="sq-AL"/>
        </w:rPr>
      </w:pPr>
      <w:r w:rsidRPr="00E06A05">
        <w:rPr>
          <w:lang w:val="sq-AL"/>
        </w:rPr>
        <w:t>e</w:t>
      </w:r>
      <w:r w:rsidRPr="00E06A05">
        <w:rPr>
          <w:i/>
          <w:iCs/>
          <w:lang w:val="sq-AL"/>
        </w:rPr>
        <w:t>) mbrojtjen lokale të mjedisit;</w:t>
      </w:r>
    </w:p>
    <w:p w14:paraId="526B3E52" w14:textId="77777777" w:rsidR="00604DA9" w:rsidRPr="00E06A05" w:rsidRDefault="00604DA9" w:rsidP="00604DA9">
      <w:pPr>
        <w:pStyle w:val="Bullet"/>
        <w:rPr>
          <w:lang w:val="sq-AL"/>
        </w:rPr>
      </w:pPr>
      <w:r>
        <w:rPr>
          <w:lang w:val="sq-AL"/>
        </w:rPr>
        <w:t xml:space="preserve">f) </w:t>
      </w:r>
      <w:r w:rsidRPr="00E06A05">
        <w:rPr>
          <w:i/>
          <w:iCs/>
          <w:lang w:val="sq-AL"/>
        </w:rPr>
        <w:t>ofrimi</w:t>
      </w:r>
      <w:r>
        <w:rPr>
          <w:i/>
          <w:iCs/>
          <w:lang w:val="sq-AL"/>
        </w:rPr>
        <w:t>n</w:t>
      </w:r>
      <w:r w:rsidRPr="00E06A05">
        <w:rPr>
          <w:i/>
          <w:iCs/>
          <w:lang w:val="sq-AL"/>
        </w:rPr>
        <w:t xml:space="preserve"> dhe mirëmbajtj</w:t>
      </w:r>
      <w:r>
        <w:rPr>
          <w:i/>
          <w:iCs/>
          <w:lang w:val="sq-AL"/>
        </w:rPr>
        <w:t>en</w:t>
      </w:r>
      <w:r w:rsidRPr="00E06A05">
        <w:rPr>
          <w:i/>
          <w:iCs/>
          <w:lang w:val="sq-AL"/>
        </w:rPr>
        <w:t xml:space="preserve"> e shërbimeve publike, duke përfshirë furnizimin me ujë, kanalizimet dh</w:t>
      </w:r>
      <w:r>
        <w:rPr>
          <w:i/>
          <w:iCs/>
          <w:lang w:val="sq-AL"/>
        </w:rPr>
        <w:t>e</w:t>
      </w:r>
      <w:r w:rsidRPr="00E06A05">
        <w:rPr>
          <w:i/>
          <w:iCs/>
          <w:lang w:val="sq-AL"/>
        </w:rPr>
        <w:t>, trajtimin e ujërave të zeza, menaxhimin e mbet</w:t>
      </w:r>
      <w:r>
        <w:rPr>
          <w:i/>
          <w:iCs/>
          <w:lang w:val="sq-AL"/>
        </w:rPr>
        <w:t>urinave</w:t>
      </w:r>
      <w:r w:rsidRPr="00E06A05">
        <w:rPr>
          <w:i/>
          <w:iCs/>
          <w:lang w:val="sq-AL"/>
        </w:rPr>
        <w:t>, rrugë</w:t>
      </w:r>
      <w:r>
        <w:rPr>
          <w:i/>
          <w:iCs/>
          <w:lang w:val="sq-AL"/>
        </w:rPr>
        <w:t>ve</w:t>
      </w:r>
      <w:r w:rsidRPr="00E06A05">
        <w:rPr>
          <w:i/>
          <w:iCs/>
          <w:lang w:val="sq-AL"/>
        </w:rPr>
        <w:t xml:space="preserve"> lokale, transportin lokal dhe skemat e ngrohjes lokale”.</w:t>
      </w:r>
    </w:p>
    <w:p w14:paraId="7C5A9AED" w14:textId="77777777" w:rsidR="00B1488D" w:rsidRDefault="00B1488D" w:rsidP="00B1488D">
      <w:pPr>
        <w:pStyle w:val="Paragraph"/>
        <w:spacing w:after="0"/>
        <w:rPr>
          <w:rFonts w:eastAsia="Calibri"/>
          <w:b/>
          <w:bCs/>
          <w:kern w:val="2"/>
          <w14:ligatures w14:val="standardContextual"/>
        </w:rPr>
      </w:pPr>
    </w:p>
    <w:p w14:paraId="1C40C477" w14:textId="77777777" w:rsidR="00604DA9" w:rsidRPr="008D2D8C" w:rsidRDefault="00604DA9" w:rsidP="00604DA9">
      <w:pPr>
        <w:pStyle w:val="Paragraph"/>
        <w:spacing w:before="120"/>
        <w:rPr>
          <w:lang w:val="sq-AL"/>
        </w:rPr>
      </w:pPr>
      <w:r w:rsidRPr="00E06A05">
        <w:rPr>
          <w:b/>
          <w:bCs/>
          <w:lang w:val="sq-AL"/>
        </w:rPr>
        <w:t>Ligji № 03/L-087 për Ndërmarrjet Publike</w:t>
      </w:r>
      <w:r w:rsidRPr="008D2D8C">
        <w:rPr>
          <w:rFonts w:eastAsia="Calibri"/>
          <w:kern w:val="2"/>
          <w:vertAlign w:val="superscript"/>
          <w:lang w:val="sq-AL"/>
          <w14:ligatures w14:val="standardContextual"/>
        </w:rPr>
        <w:footnoteReference w:id="6"/>
      </w:r>
      <w:r w:rsidRPr="00E06A05">
        <w:rPr>
          <w:lang w:val="sq-AL"/>
        </w:rPr>
        <w:t xml:space="preserve">. Ligji ofron një kornizë ligjore për pronësinë e Ndërmarrjeve </w:t>
      </w:r>
      <w:r w:rsidRPr="00C81EFC">
        <w:rPr>
          <w:lang w:val="sq-AL"/>
        </w:rPr>
        <w:t>Publike (NP)</w:t>
      </w:r>
      <w:r w:rsidRPr="00E06A05">
        <w:rPr>
          <w:lang w:val="sq-AL"/>
        </w:rPr>
        <w:t xml:space="preserve"> dhe për qeverisjen e tyre në përputhje me parimet e njohura ndërkombëtarisht të qeverisjes korporative për ndërmarrjet në pronësi publike. Për sa i përket pronësisë, Ligji bën dallimin ndërmjet NP-ve qendrore (në pronësi të qeverisë </w:t>
      </w:r>
      <w:r w:rsidRPr="00E06A05">
        <w:rPr>
          <w:lang w:val="sq-AL"/>
        </w:rPr>
        <w:lastRenderedPageBreak/>
        <w:t>qendrore) dhe NP-ve lokale (në pronësi të komunave). Nëse një ndërmarrje ofron shërbime të grumbullimit të mbeturinave për më pak se tre komuna, ajo do të jetë NP Lokale, përndryshe do të jetë NP Qendrore.</w:t>
      </w:r>
    </w:p>
    <w:p w14:paraId="7BBDD3A2" w14:textId="77777777" w:rsidR="00604DA9" w:rsidRPr="008D2D8C" w:rsidRDefault="00604DA9" w:rsidP="00604DA9">
      <w:pPr>
        <w:pStyle w:val="Paragraph"/>
        <w:rPr>
          <w:lang w:val="sq-AL"/>
        </w:rPr>
      </w:pPr>
      <w:r w:rsidRPr="00E06A05">
        <w:rPr>
          <w:lang w:val="sq-AL"/>
        </w:rPr>
        <w:t xml:space="preserve">Komunat, përmes kuvendeve komunale, caktojnë një Komitet të </w:t>
      </w:r>
      <w:r>
        <w:rPr>
          <w:lang w:val="sq-AL"/>
        </w:rPr>
        <w:t>palëve të interesit</w:t>
      </w:r>
      <w:r w:rsidRPr="00E06A05">
        <w:rPr>
          <w:lang w:val="sq-AL"/>
        </w:rPr>
        <w:t xml:space="preserve"> prej 3 anëtarësh, </w:t>
      </w:r>
      <w:r>
        <w:rPr>
          <w:lang w:val="sq-AL"/>
        </w:rPr>
        <w:t xml:space="preserve">organ </w:t>
      </w:r>
      <w:r w:rsidRPr="00E06A05">
        <w:rPr>
          <w:lang w:val="sq-AL"/>
        </w:rPr>
        <w:t>i cili mbikëqyr</w:t>
      </w:r>
      <w:r>
        <w:rPr>
          <w:lang w:val="sq-AL"/>
        </w:rPr>
        <w:t>ë</w:t>
      </w:r>
      <w:r w:rsidRPr="00E06A05">
        <w:rPr>
          <w:lang w:val="sq-AL"/>
        </w:rPr>
        <w:t xml:space="preserve"> ndërmarrjen, zgjedh bordin e drejtorëve dhe i raporton pronarit (në këtë rast, kuvendet komunale përkatëse). Bordi i drejtorëve është organi vendimmarrës që zgjedh kryeshefin ekzekutiv të ndërmarrjes. Anëtarët e bordit zgjidhen në përputhje me pasurinë</w:t>
      </w:r>
      <w:r>
        <w:rPr>
          <w:lang w:val="sq-AL"/>
        </w:rPr>
        <w:t>/asetet</w:t>
      </w:r>
      <w:r w:rsidRPr="00E06A05">
        <w:rPr>
          <w:lang w:val="sq-AL"/>
        </w:rPr>
        <w:t xml:space="preserve"> që posedon secila komunë.</w:t>
      </w:r>
    </w:p>
    <w:p w14:paraId="37BD8AE3" w14:textId="77777777" w:rsidR="00B1488D" w:rsidRPr="00AF0235" w:rsidRDefault="00B1488D" w:rsidP="00B1488D">
      <w:pPr>
        <w:pStyle w:val="Paragraph"/>
        <w:spacing w:after="0"/>
      </w:pPr>
    </w:p>
    <w:p w14:paraId="32A4623B" w14:textId="77777777" w:rsidR="00604DA9" w:rsidRPr="008D2D8C" w:rsidRDefault="00604DA9" w:rsidP="00604DA9">
      <w:pPr>
        <w:pStyle w:val="Paragraph"/>
        <w:rPr>
          <w:lang w:val="sq-AL"/>
        </w:rPr>
      </w:pPr>
      <w:r w:rsidRPr="00E06A05">
        <w:rPr>
          <w:b/>
          <w:bCs/>
          <w:lang w:val="sq-AL"/>
        </w:rPr>
        <w:t>Ligji № 04/L-042 për Prokurimin Publik në Republikën e Kosovës</w:t>
      </w:r>
      <w:r w:rsidRPr="008D2D8C">
        <w:rPr>
          <w:rFonts w:eastAsia="Calibri"/>
          <w:kern w:val="2"/>
          <w:vertAlign w:val="superscript"/>
          <w:lang w:val="sq-AL"/>
          <w14:ligatures w14:val="standardContextual"/>
        </w:rPr>
        <w:footnoteReference w:id="7"/>
      </w:r>
      <w:r w:rsidRPr="00E06A05">
        <w:rPr>
          <w:lang w:val="sq-AL"/>
        </w:rPr>
        <w:t xml:space="preserve">. Qëllimi i ligjit është të sigurojë përdorimin sa më efikas, me kosto efektive, transparente dhe të drejtë të fondeve publike, burimeve publike dhe çdo fondi dhe burimi tjetër të autoriteteve kontraktuese në Kosovë duke përcaktuar </w:t>
      </w:r>
      <w:r>
        <w:rPr>
          <w:lang w:val="sq-AL"/>
        </w:rPr>
        <w:t xml:space="preserve">kushtet e </w:t>
      </w:r>
      <w:r w:rsidRPr="00E06A05">
        <w:rPr>
          <w:lang w:val="sq-AL"/>
        </w:rPr>
        <w:t>kërk</w:t>
      </w:r>
      <w:r>
        <w:rPr>
          <w:lang w:val="sq-AL"/>
        </w:rPr>
        <w:t>uara</w:t>
      </w:r>
      <w:r w:rsidRPr="00E06A05">
        <w:rPr>
          <w:lang w:val="sq-AL"/>
        </w:rPr>
        <w:t xml:space="preserve"> dhe rregullat që do të respektohen, procedurat që do të ndiqen, të drejtat që do të respektohen dhe detyrimet që do të </w:t>
      </w:r>
      <w:r>
        <w:rPr>
          <w:lang w:val="sq-AL"/>
        </w:rPr>
        <w:t>realizohen</w:t>
      </w:r>
      <w:r w:rsidRPr="00E06A05">
        <w:rPr>
          <w:lang w:val="sq-AL"/>
        </w:rPr>
        <w:t xml:space="preserve"> nga personat, operatorët ekonomikë, sipërmarrjet, autoritetet kontraktore, koncesionarët e punimeve dhe organet publike që kryejnë, ose përfshihen, marrin pjesë ose interesohen në një aktivitet prokurimi që përfshin ose </w:t>
      </w:r>
      <w:r>
        <w:rPr>
          <w:lang w:val="sq-AL"/>
        </w:rPr>
        <w:t>ndërlidhen</w:t>
      </w:r>
      <w:r w:rsidRPr="00E06A05">
        <w:rPr>
          <w:lang w:val="sq-AL"/>
        </w:rPr>
        <w:t xml:space="preserve"> me përdorimin e këtyre fondeve dhe/ose burimeve. Prandaj, blerja e çdo </w:t>
      </w:r>
      <w:r>
        <w:rPr>
          <w:lang w:val="sq-AL"/>
        </w:rPr>
        <w:t xml:space="preserve">malli apo </w:t>
      </w:r>
      <w:r w:rsidRPr="00E06A05">
        <w:rPr>
          <w:lang w:val="sq-AL"/>
        </w:rPr>
        <w:t>shërbimi për menaxhimin e mbet</w:t>
      </w:r>
      <w:r>
        <w:rPr>
          <w:lang w:val="sq-AL"/>
        </w:rPr>
        <w:t>urinave</w:t>
      </w:r>
      <w:r w:rsidRPr="00E06A05">
        <w:rPr>
          <w:lang w:val="sq-AL"/>
        </w:rPr>
        <w:t xml:space="preserve"> duhet të ndjekë procedurat e përcaktuara në këtë ligj.</w:t>
      </w:r>
    </w:p>
    <w:p w14:paraId="10FC639C" w14:textId="77777777" w:rsidR="00604DA9" w:rsidRPr="008D2D8C" w:rsidRDefault="00604DA9" w:rsidP="00604DA9">
      <w:pPr>
        <w:pStyle w:val="Paragraph"/>
        <w:rPr>
          <w:lang w:val="sq-AL"/>
        </w:rPr>
      </w:pPr>
      <w:r w:rsidRPr="00E06A05">
        <w:rPr>
          <w:b/>
          <w:bCs/>
          <w:lang w:val="sq-AL"/>
        </w:rPr>
        <w:t>Ligji № 04/L-045 për Partneritetin Publiko-Privat</w:t>
      </w:r>
      <w:r w:rsidRPr="00E06A05">
        <w:rPr>
          <w:lang w:val="sq-AL"/>
        </w:rPr>
        <w:t>. Qëllimi i ligjit është të krijojë kuadrin ligjor për Partneritetet Publiko-Privat</w:t>
      </w:r>
      <w:r>
        <w:rPr>
          <w:lang w:val="sq-AL"/>
        </w:rPr>
        <w:t>e</w:t>
      </w:r>
      <w:r w:rsidRPr="00E06A05">
        <w:rPr>
          <w:lang w:val="sq-AL"/>
        </w:rPr>
        <w:t>, duke përfshirë procedurat për dhënien e Partneritetit Publik</w:t>
      </w:r>
      <w:r>
        <w:rPr>
          <w:lang w:val="sq-AL"/>
        </w:rPr>
        <w:t>o</w:t>
      </w:r>
      <w:r w:rsidRPr="00E06A05">
        <w:rPr>
          <w:lang w:val="sq-AL"/>
        </w:rPr>
        <w:t>-Privat, përmbajtjen dhe strukturën e një Marrëveshjeje të Partneritetit Publik</w:t>
      </w:r>
      <w:r>
        <w:rPr>
          <w:lang w:val="sq-AL"/>
        </w:rPr>
        <w:t>o</w:t>
      </w:r>
      <w:r w:rsidRPr="00E06A05">
        <w:rPr>
          <w:lang w:val="sq-AL"/>
        </w:rPr>
        <w:t>-Privat dhe kuadrin institucional përgjegjës për menaxhimin dhe zhvillimi</w:t>
      </w:r>
      <w:r>
        <w:rPr>
          <w:lang w:val="sq-AL"/>
        </w:rPr>
        <w:t>n e</w:t>
      </w:r>
      <w:r w:rsidRPr="00E06A05">
        <w:rPr>
          <w:lang w:val="sq-AL"/>
        </w:rPr>
        <w:t xml:space="preserve"> Partneriteteve Publiko-Privat</w:t>
      </w:r>
      <w:r>
        <w:rPr>
          <w:lang w:val="sq-AL"/>
        </w:rPr>
        <w:t>e</w:t>
      </w:r>
      <w:r w:rsidRPr="00E06A05">
        <w:rPr>
          <w:lang w:val="sq-AL"/>
        </w:rPr>
        <w:t xml:space="preserve"> në Republikën e Kosovës. Dispozitat në ligj rregullojnë Partneritetin Publik</w:t>
      </w:r>
      <w:r>
        <w:rPr>
          <w:lang w:val="sq-AL"/>
        </w:rPr>
        <w:t>o</w:t>
      </w:r>
      <w:r w:rsidRPr="00E06A05">
        <w:rPr>
          <w:lang w:val="sq-AL"/>
        </w:rPr>
        <w:t>-Privat për ofrimin e shërbimeve publike dhe/ose infrastrukturës publike në të gjithë sektorët ekonomikë dhe socialë, duke përfshirë, por pa u kufizuar, në: “...</w:t>
      </w:r>
      <w:r w:rsidRPr="00E06A05">
        <w:rPr>
          <w:b/>
          <w:bCs/>
          <w:lang w:val="sq-AL"/>
        </w:rPr>
        <w:t xml:space="preserve">grumbullimin, </w:t>
      </w:r>
      <w:r>
        <w:rPr>
          <w:b/>
          <w:bCs/>
          <w:lang w:val="sq-AL"/>
        </w:rPr>
        <w:t>deponimin</w:t>
      </w:r>
      <w:r w:rsidRPr="00E06A05">
        <w:rPr>
          <w:b/>
          <w:bCs/>
          <w:lang w:val="sq-AL"/>
        </w:rPr>
        <w:t>, riciklimin dhe menaxhimin e mbet</w:t>
      </w:r>
      <w:r>
        <w:rPr>
          <w:b/>
          <w:bCs/>
          <w:lang w:val="sq-AL"/>
        </w:rPr>
        <w:t>urinave</w:t>
      </w:r>
      <w:r w:rsidRPr="00E06A05">
        <w:rPr>
          <w:lang w:val="sq-AL"/>
        </w:rPr>
        <w:t>“.</w:t>
      </w:r>
    </w:p>
    <w:p w14:paraId="5612B9FA" w14:textId="77777777" w:rsidR="00604DA9" w:rsidRPr="008D2D8C" w:rsidRDefault="00604DA9" w:rsidP="00604DA9">
      <w:pPr>
        <w:pStyle w:val="Paragraph"/>
        <w:rPr>
          <w:rFonts w:eastAsia="Calibri"/>
          <w:lang w:val="sq-AL"/>
        </w:rPr>
      </w:pPr>
      <w:bookmarkStart w:id="36" w:name="_Toc170470797"/>
      <w:r w:rsidRPr="00E06A05">
        <w:rPr>
          <w:rFonts w:eastAsia="Calibri"/>
          <w:b/>
          <w:bCs/>
          <w:lang w:val="sq-AL"/>
        </w:rPr>
        <w:t>Ligji № 04/L-197 për Kimikatet</w:t>
      </w:r>
      <w:r w:rsidRPr="008D2D8C">
        <w:rPr>
          <w:rFonts w:eastAsia="Calibri"/>
          <w:b/>
          <w:bCs/>
          <w:kern w:val="2"/>
          <w:vertAlign w:val="superscript"/>
          <w:lang w:val="sq-AL"/>
          <w14:ligatures w14:val="standardContextual"/>
        </w:rPr>
        <w:footnoteReference w:id="8"/>
      </w:r>
      <w:r w:rsidRPr="00E06A05">
        <w:rPr>
          <w:rFonts w:eastAsia="Calibri"/>
          <w:lang w:val="sq-AL"/>
        </w:rPr>
        <w:t>. Qëllimi i ligjit është të përcaktojë kushtet për vendosjen në treg të substancave të rrezikshme, procedurën për marrjen e lejes së kimikateve, kushtet për klasifikimin, etiketimin, paketimin, importin e kimikateve të rrezikshme, përgjegjësitë e autoritetit kompetent për zbatimin, kontrollin, raportimin dhe monitorimin e ligjit si dhe administrimin, mbikëqyrjen dhe kontrollin e detergjent</w:t>
      </w:r>
      <w:r>
        <w:rPr>
          <w:rFonts w:eastAsia="Calibri"/>
          <w:lang w:val="sq-AL"/>
        </w:rPr>
        <w:t>ë</w:t>
      </w:r>
      <w:r w:rsidRPr="00E06A05">
        <w:rPr>
          <w:rFonts w:eastAsia="Calibri"/>
          <w:lang w:val="sq-AL"/>
        </w:rPr>
        <w:t>ve.</w:t>
      </w:r>
    </w:p>
    <w:p w14:paraId="2D51820C" w14:textId="41254393" w:rsidR="00032CD8" w:rsidRPr="00AF0235" w:rsidRDefault="006146D0" w:rsidP="003B6A62">
      <w:pPr>
        <w:pStyle w:val="Heading4"/>
      </w:pPr>
      <w:bookmarkStart w:id="37" w:name="_Toc197471948"/>
      <w:r>
        <w:t>Aktet Nënligjore</w:t>
      </w:r>
      <w:bookmarkEnd w:id="36"/>
      <w:bookmarkEnd w:id="37"/>
    </w:p>
    <w:p w14:paraId="10E65225" w14:textId="77777777" w:rsidR="00417EE8" w:rsidRPr="008D2D8C" w:rsidRDefault="00417EE8" w:rsidP="00417EE8">
      <w:pPr>
        <w:pStyle w:val="Paragraph"/>
        <w:rPr>
          <w:rFonts w:eastAsia="Calibri"/>
          <w:lang w:val="sq-AL"/>
        </w:rPr>
      </w:pPr>
      <w:r w:rsidRPr="00E06A05">
        <w:rPr>
          <w:rFonts w:eastAsia="Calibri"/>
          <w:b/>
          <w:bCs/>
          <w:lang w:val="sq-AL"/>
        </w:rPr>
        <w:t xml:space="preserve">Udhëzimi Administrativ </w:t>
      </w:r>
      <w:r w:rsidRPr="00B87567">
        <w:rPr>
          <w:rFonts w:eastAsia="Calibri"/>
          <w:b/>
          <w:bCs/>
          <w:lang w:val="sq-AL"/>
        </w:rPr>
        <w:t>(QRK)</w:t>
      </w:r>
      <w:r w:rsidRPr="00E06A05">
        <w:rPr>
          <w:rFonts w:eastAsia="Calibri"/>
          <w:b/>
          <w:bCs/>
          <w:lang w:val="sq-AL"/>
        </w:rPr>
        <w:t xml:space="preserve"> № 08/2017 për menaxhimin e deponisë së mbeturinave</w:t>
      </w:r>
      <w:r w:rsidRPr="00E06A05">
        <w:rPr>
          <w:rFonts w:eastAsia="Calibri"/>
          <w:lang w:val="sq-AL"/>
        </w:rPr>
        <w:t xml:space="preserve">. </w:t>
      </w:r>
      <w:r w:rsidRPr="00B87567">
        <w:rPr>
          <w:rFonts w:eastAsia="Calibri"/>
          <w:lang w:val="sq-AL"/>
        </w:rPr>
        <w:t>UA</w:t>
      </w:r>
      <w:r w:rsidRPr="00E06A05">
        <w:rPr>
          <w:rFonts w:eastAsia="Calibri"/>
          <w:lang w:val="sq-AL"/>
        </w:rPr>
        <w:t xml:space="preserve"> rregullon llojin e mbet</w:t>
      </w:r>
      <w:r>
        <w:rPr>
          <w:rFonts w:eastAsia="Calibri"/>
          <w:lang w:val="sq-AL"/>
        </w:rPr>
        <w:t>urinave</w:t>
      </w:r>
      <w:r w:rsidRPr="00E06A05">
        <w:rPr>
          <w:rFonts w:eastAsia="Calibri"/>
          <w:lang w:val="sq-AL"/>
        </w:rPr>
        <w:t xml:space="preserve"> të pranuara në </w:t>
      </w:r>
      <w:r>
        <w:rPr>
          <w:rFonts w:eastAsia="Calibri"/>
          <w:lang w:val="sq-AL"/>
        </w:rPr>
        <w:t>deponi</w:t>
      </w:r>
      <w:r w:rsidRPr="00E06A05">
        <w:rPr>
          <w:rFonts w:eastAsia="Calibri"/>
          <w:lang w:val="sq-AL"/>
        </w:rPr>
        <w:t xml:space="preserve"> dhe menaxhimin e tyre. Ndër dispozitat e tjera, ai përcakton gjithashtu:</w:t>
      </w:r>
    </w:p>
    <w:p w14:paraId="6EEA040B" w14:textId="77777777" w:rsidR="00417EE8" w:rsidRDefault="00417EE8" w:rsidP="00417EE8">
      <w:pPr>
        <w:pStyle w:val="Bullet"/>
        <w:rPr>
          <w:lang w:val="sq-AL"/>
        </w:rPr>
      </w:pPr>
      <w:r w:rsidRPr="00F2574A">
        <w:rPr>
          <w:lang w:val="sq-AL"/>
        </w:rPr>
        <w:t xml:space="preserve">Klasa të ndryshme të </w:t>
      </w:r>
      <w:r>
        <w:rPr>
          <w:lang w:val="sq-AL"/>
        </w:rPr>
        <w:t>deponive</w:t>
      </w:r>
    </w:p>
    <w:p w14:paraId="22AA1974" w14:textId="77777777" w:rsidR="00417EE8" w:rsidRDefault="00417EE8" w:rsidP="00417EE8">
      <w:pPr>
        <w:pStyle w:val="Bullet"/>
        <w:rPr>
          <w:lang w:val="sq-AL"/>
        </w:rPr>
      </w:pPr>
      <w:r w:rsidRPr="00F2574A">
        <w:rPr>
          <w:lang w:val="sq-AL"/>
        </w:rPr>
        <w:t xml:space="preserve">Detyrimet e operatorit të </w:t>
      </w:r>
      <w:r>
        <w:rPr>
          <w:lang w:val="sq-AL"/>
        </w:rPr>
        <w:t>deponive</w:t>
      </w:r>
    </w:p>
    <w:p w14:paraId="729F2991" w14:textId="77777777" w:rsidR="00417EE8" w:rsidRDefault="00417EE8" w:rsidP="00417EE8">
      <w:pPr>
        <w:pStyle w:val="Bullet"/>
        <w:rPr>
          <w:lang w:val="sq-AL"/>
        </w:rPr>
      </w:pPr>
      <w:r w:rsidRPr="00F2574A">
        <w:rPr>
          <w:lang w:val="sq-AL"/>
        </w:rPr>
        <w:t>Kushti</w:t>
      </w:r>
      <w:r>
        <w:rPr>
          <w:lang w:val="sq-AL"/>
        </w:rPr>
        <w:t>n</w:t>
      </w:r>
      <w:r w:rsidRPr="00F2574A">
        <w:rPr>
          <w:lang w:val="sq-AL"/>
        </w:rPr>
        <w:t xml:space="preserve"> që </w:t>
      </w:r>
      <w:r>
        <w:rPr>
          <w:lang w:val="sq-AL"/>
        </w:rPr>
        <w:t>deponitë</w:t>
      </w:r>
      <w:r w:rsidRPr="00F2574A">
        <w:rPr>
          <w:lang w:val="sq-AL"/>
        </w:rPr>
        <w:t xml:space="preserve"> duhet të opero</w:t>
      </w:r>
      <w:r>
        <w:rPr>
          <w:lang w:val="sq-AL"/>
        </w:rPr>
        <w:t>jnë</w:t>
      </w:r>
      <w:r w:rsidRPr="00F2574A">
        <w:rPr>
          <w:lang w:val="sq-AL"/>
        </w:rPr>
        <w:t xml:space="preserve"> në bazë të planeve të menaxhimit të </w:t>
      </w:r>
      <w:r>
        <w:rPr>
          <w:lang w:val="sq-AL"/>
        </w:rPr>
        <w:t>deponive</w:t>
      </w:r>
      <w:r w:rsidRPr="00F2574A">
        <w:rPr>
          <w:lang w:val="sq-AL"/>
        </w:rPr>
        <w:t xml:space="preserve"> dhe dispozitave se çfarë duhet të përfshijë një impiant i menaxhimit të </w:t>
      </w:r>
      <w:r>
        <w:rPr>
          <w:lang w:val="sq-AL"/>
        </w:rPr>
        <w:t>deponive</w:t>
      </w:r>
    </w:p>
    <w:p w14:paraId="5F0A82E1" w14:textId="77777777" w:rsidR="00417EE8" w:rsidRPr="008D2D8C" w:rsidRDefault="00417EE8" w:rsidP="00417EE8">
      <w:pPr>
        <w:pStyle w:val="Bullet"/>
        <w:rPr>
          <w:lang w:val="sq-AL"/>
        </w:rPr>
      </w:pPr>
      <w:r w:rsidRPr="00F2574A">
        <w:rPr>
          <w:lang w:val="sq-AL"/>
        </w:rPr>
        <w:t>Procedurat e pranimit të mbet</w:t>
      </w:r>
      <w:r>
        <w:rPr>
          <w:lang w:val="sq-AL"/>
        </w:rPr>
        <w:t>urinave</w:t>
      </w:r>
      <w:r w:rsidRPr="00F2574A">
        <w:rPr>
          <w:lang w:val="sq-AL"/>
        </w:rPr>
        <w:t xml:space="preserve"> të mbet</w:t>
      </w:r>
      <w:r>
        <w:rPr>
          <w:lang w:val="sq-AL"/>
        </w:rPr>
        <w:t>urinave</w:t>
      </w:r>
      <w:r w:rsidRPr="00F2574A">
        <w:rPr>
          <w:lang w:val="sq-AL"/>
        </w:rPr>
        <w:t xml:space="preserve"> në </w:t>
      </w:r>
      <w:r>
        <w:rPr>
          <w:lang w:val="sq-AL"/>
        </w:rPr>
        <w:t>deponi</w:t>
      </w:r>
      <w:r w:rsidRPr="008D2D8C">
        <w:rPr>
          <w:lang w:val="sq-AL"/>
        </w:rPr>
        <w:tab/>
      </w:r>
    </w:p>
    <w:p w14:paraId="314BDE76" w14:textId="77777777" w:rsidR="00417EE8" w:rsidRDefault="00417EE8" w:rsidP="00417EE8">
      <w:pPr>
        <w:pStyle w:val="Bullet"/>
        <w:rPr>
          <w:lang w:val="sq-AL"/>
        </w:rPr>
      </w:pPr>
      <w:r w:rsidRPr="00F2574A">
        <w:rPr>
          <w:lang w:val="sq-AL"/>
        </w:rPr>
        <w:t>Masat e kontrollit të mjedisit</w:t>
      </w:r>
    </w:p>
    <w:p w14:paraId="46A21DD9" w14:textId="77777777" w:rsidR="00417EE8" w:rsidRPr="00F2574A" w:rsidRDefault="00417EE8" w:rsidP="00417EE8">
      <w:pPr>
        <w:pStyle w:val="Bullet"/>
        <w:rPr>
          <w:lang w:val="sq-AL"/>
        </w:rPr>
      </w:pPr>
      <w:r w:rsidRPr="00F2574A">
        <w:rPr>
          <w:lang w:val="sq-AL"/>
        </w:rPr>
        <w:t xml:space="preserve">Masat për mbylljen e </w:t>
      </w:r>
      <w:r>
        <w:rPr>
          <w:lang w:val="sq-AL"/>
        </w:rPr>
        <w:t>deponisë</w:t>
      </w:r>
      <w:r w:rsidRPr="00F2574A">
        <w:rPr>
          <w:lang w:val="sq-AL"/>
        </w:rPr>
        <w:t xml:space="preserve"> dhe kujdesin pasues</w:t>
      </w:r>
    </w:p>
    <w:p w14:paraId="6F7C6F67" w14:textId="77777777" w:rsidR="00B1488D" w:rsidRDefault="00B1488D" w:rsidP="00B1488D">
      <w:pPr>
        <w:pStyle w:val="Paragraph"/>
        <w:spacing w:after="0"/>
        <w:rPr>
          <w:b/>
          <w:bCs/>
        </w:rPr>
      </w:pPr>
    </w:p>
    <w:p w14:paraId="42F43E16" w14:textId="77777777" w:rsidR="00417EE8" w:rsidRPr="008D2D8C" w:rsidRDefault="00417EE8" w:rsidP="00417EE8">
      <w:pPr>
        <w:pStyle w:val="Paragraph"/>
        <w:spacing w:before="120"/>
        <w:rPr>
          <w:lang w:val="sq-AL"/>
        </w:rPr>
      </w:pPr>
      <w:r w:rsidRPr="00F2574A">
        <w:rPr>
          <w:b/>
          <w:bCs/>
          <w:lang w:val="sq-AL"/>
        </w:rPr>
        <w:t xml:space="preserve">Udhëzimi Administrativ </w:t>
      </w:r>
      <w:r>
        <w:rPr>
          <w:b/>
          <w:bCs/>
          <w:lang w:val="sq-AL"/>
        </w:rPr>
        <w:t>MMPHI</w:t>
      </w:r>
      <w:r w:rsidRPr="00F2574A">
        <w:rPr>
          <w:b/>
          <w:bCs/>
          <w:lang w:val="sq-AL"/>
        </w:rPr>
        <w:t xml:space="preserve"> Nr.02/2024</w:t>
      </w:r>
      <w:r w:rsidRPr="00F2574A">
        <w:rPr>
          <w:lang w:val="sq-AL"/>
        </w:rPr>
        <w:t xml:space="preserve"> Për përcaktimin e kushteve, kritereve dhe procedurave për dhënien e lejeve për import, eksport dhe tran</w:t>
      </w:r>
      <w:r>
        <w:rPr>
          <w:lang w:val="sq-AL"/>
        </w:rPr>
        <w:t>z</w:t>
      </w:r>
      <w:r w:rsidRPr="00F2574A">
        <w:rPr>
          <w:lang w:val="sq-AL"/>
        </w:rPr>
        <w:t xml:space="preserve">it të mbeturinave. Qëllimi i këtij Udhëzimi Administrativ është përcaktimi i kushteve, </w:t>
      </w:r>
      <w:r w:rsidRPr="00F2574A">
        <w:rPr>
          <w:lang w:val="sq-AL"/>
        </w:rPr>
        <w:lastRenderedPageBreak/>
        <w:t>kritereve dhe procedurave për dhënien e lejeve për eksport, import dhe tran</w:t>
      </w:r>
      <w:r>
        <w:rPr>
          <w:lang w:val="sq-AL"/>
        </w:rPr>
        <w:t>z</w:t>
      </w:r>
      <w:r w:rsidRPr="00F2574A">
        <w:rPr>
          <w:lang w:val="sq-AL"/>
        </w:rPr>
        <w:t>it të mbeturinave në Republikën e Kosovës, si dhe mbikëqyrjen e lëvizjes ndërkufitare të mbeturinave. Ky Udhëzim Administrativ është pjesërisht në përputhje me Rregulloren (KE) Nr. 1013/2006 të Parlamentit Evropian dhe Këshillit të datës 14 qershor 2006, për lëvizjen ndërkufitare të mbet</w:t>
      </w:r>
      <w:r>
        <w:rPr>
          <w:lang w:val="sq-AL"/>
        </w:rPr>
        <w:t>urinave</w:t>
      </w:r>
      <w:r w:rsidRPr="00F2574A">
        <w:rPr>
          <w:lang w:val="sq-AL"/>
        </w:rPr>
        <w:t>.</w:t>
      </w:r>
    </w:p>
    <w:p w14:paraId="2C667577" w14:textId="77777777" w:rsidR="00417EE8" w:rsidRPr="008D2D8C" w:rsidRDefault="00417EE8" w:rsidP="00417EE8">
      <w:pPr>
        <w:pStyle w:val="Paragraph"/>
        <w:rPr>
          <w:lang w:val="sq-AL"/>
        </w:rPr>
      </w:pPr>
      <w:r w:rsidRPr="00F2574A">
        <w:rPr>
          <w:b/>
          <w:bCs/>
          <w:lang w:val="sq-AL"/>
        </w:rPr>
        <w:t xml:space="preserve">Udhëzimi Administrativ </w:t>
      </w:r>
      <w:r>
        <w:rPr>
          <w:b/>
          <w:bCs/>
          <w:lang w:val="sq-AL"/>
        </w:rPr>
        <w:t>MMPHI</w:t>
      </w:r>
      <w:r w:rsidRPr="00F2574A">
        <w:rPr>
          <w:b/>
          <w:bCs/>
          <w:lang w:val="sq-AL"/>
        </w:rPr>
        <w:t xml:space="preserve"> Nr.03/2024 Për Kriteret e Përzgjedhjes së </w:t>
      </w:r>
      <w:r>
        <w:rPr>
          <w:b/>
          <w:bCs/>
          <w:lang w:val="sq-AL"/>
        </w:rPr>
        <w:t>Lokacioneve</w:t>
      </w:r>
      <w:r w:rsidRPr="00F2574A">
        <w:rPr>
          <w:b/>
          <w:bCs/>
          <w:lang w:val="sq-AL"/>
        </w:rPr>
        <w:t xml:space="preserve"> të Deponive dhe Kushtet Teknike të tyre </w:t>
      </w:r>
      <w:r>
        <w:rPr>
          <w:b/>
          <w:bCs/>
          <w:lang w:val="sq-AL"/>
        </w:rPr>
        <w:t>s</w:t>
      </w:r>
      <w:r w:rsidRPr="00F2574A">
        <w:rPr>
          <w:b/>
          <w:bCs/>
          <w:lang w:val="sq-AL"/>
        </w:rPr>
        <w:t xml:space="preserve">ipas </w:t>
      </w:r>
      <w:r>
        <w:rPr>
          <w:b/>
          <w:bCs/>
          <w:lang w:val="sq-AL"/>
        </w:rPr>
        <w:t>d</w:t>
      </w:r>
      <w:r w:rsidRPr="00F2574A">
        <w:rPr>
          <w:b/>
          <w:bCs/>
          <w:lang w:val="sq-AL"/>
        </w:rPr>
        <w:t>estinacionit të tyre</w:t>
      </w:r>
      <w:r w:rsidRPr="00F2574A">
        <w:rPr>
          <w:lang w:val="sq-AL"/>
        </w:rPr>
        <w:t xml:space="preserve">. Ky Udhëzim Administrativ synon të përcaktojë kriteret për përzgjedhjen e vendndodhjes së </w:t>
      </w:r>
      <w:r>
        <w:rPr>
          <w:lang w:val="sq-AL"/>
        </w:rPr>
        <w:t>deponisë</w:t>
      </w:r>
      <w:r w:rsidRPr="00F2574A">
        <w:rPr>
          <w:lang w:val="sq-AL"/>
        </w:rPr>
        <w:t xml:space="preserve"> dhe kushtet teknike sipas destinacionit të tyre, qofshin ato të rrezikshme, jo të rrezikshme apo inerte. Ky Udhëzim Administrativ është pjesërisht në përputhje me Direktivën e Këshillit 1999/31/EC e datës 26 prill 1999 për deponinë e mbeturinave.</w:t>
      </w:r>
    </w:p>
    <w:p w14:paraId="75DC646D" w14:textId="4ECF9158" w:rsidR="00417EE8" w:rsidRPr="00F2574A" w:rsidRDefault="00417EE8" w:rsidP="00417EE8">
      <w:pPr>
        <w:pStyle w:val="Paragraph"/>
        <w:rPr>
          <w:rFonts w:eastAsia="Calibri"/>
          <w:kern w:val="2"/>
          <w:lang w:val="sq-AL"/>
          <w14:ligatures w14:val="standardContextual"/>
        </w:rPr>
      </w:pPr>
      <w:r w:rsidRPr="00F2574A">
        <w:rPr>
          <w:rFonts w:eastAsia="Calibri"/>
          <w:b/>
          <w:bCs/>
          <w:kern w:val="2"/>
          <w:lang w:val="sq-AL"/>
          <w14:ligatures w14:val="standardContextual"/>
        </w:rPr>
        <w:t xml:space="preserve">Udhëzimi Administrativ (QRK) Nr. 07/2023 për </w:t>
      </w:r>
      <w:r w:rsidR="00111A21">
        <w:rPr>
          <w:rFonts w:eastAsia="Calibri"/>
          <w:b/>
          <w:bCs/>
          <w:kern w:val="2"/>
          <w:lang w:val="sq-AL"/>
          <w14:ligatures w14:val="standardContextual"/>
        </w:rPr>
        <w:t>Ambalazhin</w:t>
      </w:r>
      <w:r w:rsidRPr="00F2574A">
        <w:rPr>
          <w:rFonts w:eastAsia="Calibri"/>
          <w:b/>
          <w:bCs/>
          <w:kern w:val="2"/>
          <w:lang w:val="sq-AL"/>
          <w14:ligatures w14:val="standardContextual"/>
        </w:rPr>
        <w:t xml:space="preserve"> dhe Mbeturinat nga Paketimi</w:t>
      </w:r>
      <w:r w:rsidRPr="00F2574A">
        <w:rPr>
          <w:rFonts w:eastAsia="Calibri"/>
          <w:kern w:val="2"/>
          <w:lang w:val="sq-AL"/>
          <w14:ligatures w14:val="standardContextual"/>
        </w:rPr>
        <w:t xml:space="preserve">. Ky Udhëzim Administrativ synon të përcaktojë kushtet, procedurat, përgjegjësitë dhe detyrimet për prodhuesit, importuesit, shitësit dhe palët e tjera, për menaxhimin e </w:t>
      </w:r>
      <w:r w:rsidR="00111A21">
        <w:rPr>
          <w:rFonts w:eastAsia="Calibri"/>
          <w:kern w:val="2"/>
          <w:lang w:val="sq-AL"/>
          <w14:ligatures w14:val="standardContextual"/>
        </w:rPr>
        <w:t>ambalazhit</w:t>
      </w:r>
      <w:r w:rsidRPr="00F2574A">
        <w:rPr>
          <w:rFonts w:eastAsia="Calibri"/>
          <w:kern w:val="2"/>
          <w:lang w:val="sq-AL"/>
          <w14:ligatures w14:val="standardContextual"/>
        </w:rPr>
        <w:t xml:space="preserve"> dhe mbet</w:t>
      </w:r>
      <w:r>
        <w:rPr>
          <w:rFonts w:eastAsia="Calibri"/>
          <w:kern w:val="2"/>
          <w:lang w:val="sq-AL"/>
          <w14:ligatures w14:val="standardContextual"/>
        </w:rPr>
        <w:t>urinave</w:t>
      </w:r>
      <w:r w:rsidRPr="00F2574A">
        <w:rPr>
          <w:rFonts w:eastAsia="Calibri"/>
          <w:kern w:val="2"/>
          <w:lang w:val="sq-AL"/>
          <w14:ligatures w14:val="standardContextual"/>
        </w:rPr>
        <w:t xml:space="preserve"> të paketimit.</w:t>
      </w:r>
    </w:p>
    <w:p w14:paraId="3C777ED3" w14:textId="77777777" w:rsidR="00417EE8" w:rsidRPr="00F2574A" w:rsidRDefault="00417EE8" w:rsidP="00417EE8">
      <w:pPr>
        <w:pStyle w:val="Paragraph"/>
        <w:rPr>
          <w:rFonts w:eastAsia="Calibri" w:cs="Calibri"/>
          <w:bCs/>
          <w:iCs/>
          <w:kern w:val="2"/>
          <w:lang w:val="sq-AL"/>
          <w14:ligatures w14:val="standardContextual"/>
        </w:rPr>
      </w:pPr>
      <w:r w:rsidRPr="00F2574A">
        <w:rPr>
          <w:rFonts w:eastAsia="Calibri" w:cs="Calibri"/>
          <w:b/>
          <w:iCs/>
          <w:kern w:val="2"/>
          <w:lang w:val="sq-AL"/>
          <w14:ligatures w14:val="standardContextual"/>
        </w:rPr>
        <w:t xml:space="preserve">Udhëzimi Administrativ MMPH - Nr. 07/2015 për Menaxhimin e Mbeturinave nga Ndërtimi dhe Demolimi i Objekteve të Ndërtimit. </w:t>
      </w:r>
      <w:r w:rsidRPr="00F2574A">
        <w:rPr>
          <w:rFonts w:eastAsia="Calibri" w:cs="Calibri"/>
          <w:bCs/>
          <w:iCs/>
          <w:kern w:val="2"/>
          <w:lang w:val="sq-AL"/>
          <w14:ligatures w14:val="standardContextual"/>
        </w:rPr>
        <w:t>Udhëzimi Administrativ përcakton kushtet dhe masat për mbrojtjen e mjedisit nga ndotja, nga mbeturinat ndërtimore dhe rrënimi i objekteve ndërtimore, si dhe përcakton kushtet dhe mënyrën e largimit të tyre brenda territorit të komunës.</w:t>
      </w:r>
    </w:p>
    <w:p w14:paraId="18C9DA27" w14:textId="77777777" w:rsidR="00417EE8" w:rsidRPr="008D2D8C" w:rsidRDefault="00417EE8" w:rsidP="00417EE8">
      <w:pPr>
        <w:pStyle w:val="Paragraph"/>
        <w:rPr>
          <w:rFonts w:eastAsia="Calibri" w:cs="Calibri"/>
          <w:iCs/>
          <w:kern w:val="2"/>
          <w:lang w:val="sq-AL"/>
          <w14:ligatures w14:val="standardContextual"/>
        </w:rPr>
      </w:pPr>
      <w:r w:rsidRPr="007800E2">
        <w:rPr>
          <w:rFonts w:eastAsia="Calibri" w:cs="Calibri"/>
          <w:b/>
          <w:bCs/>
          <w:iCs/>
          <w:kern w:val="2"/>
          <w:lang w:val="sq-AL"/>
          <w14:ligatures w14:val="standardContextual"/>
        </w:rPr>
        <w:t>Udhëzimi Administrativ Nr. 01/2020 për Menaxhimin e Mbet</w:t>
      </w:r>
      <w:r>
        <w:rPr>
          <w:rFonts w:eastAsia="Calibri" w:cs="Calibri"/>
          <w:b/>
          <w:bCs/>
          <w:iCs/>
          <w:kern w:val="2"/>
          <w:lang w:val="sq-AL"/>
          <w14:ligatures w14:val="standardContextual"/>
        </w:rPr>
        <w:t>urinave</w:t>
      </w:r>
      <w:r w:rsidRPr="007800E2">
        <w:rPr>
          <w:rFonts w:eastAsia="Calibri" w:cs="Calibri"/>
          <w:b/>
          <w:bCs/>
          <w:iCs/>
          <w:kern w:val="2"/>
          <w:lang w:val="sq-AL"/>
          <w14:ligatures w14:val="standardContextual"/>
        </w:rPr>
        <w:t xml:space="preserve"> që Përmbajnë Asbest</w:t>
      </w:r>
      <w:r w:rsidRPr="007800E2">
        <w:rPr>
          <w:rFonts w:eastAsia="Calibri" w:cs="Calibri"/>
          <w:iCs/>
          <w:kern w:val="2"/>
          <w:lang w:val="sq-AL"/>
          <w14:ligatures w14:val="standardContextual"/>
        </w:rPr>
        <w:t xml:space="preserve">. Udhëzimi Administrativ përcakton masat e nevojshme për menaxhimin dhe zvogëlimin e ndikimit negativ të mbeturinave që përmbajnë azbest, duke përfshirë: </w:t>
      </w:r>
      <w:r>
        <w:rPr>
          <w:rFonts w:eastAsia="Calibri" w:cs="Calibri"/>
          <w:iCs/>
          <w:kern w:val="2"/>
          <w:lang w:val="sq-AL"/>
          <w14:ligatures w14:val="standardContextual"/>
        </w:rPr>
        <w:t>mbledhjen</w:t>
      </w:r>
      <w:r w:rsidRPr="007800E2">
        <w:rPr>
          <w:rFonts w:eastAsia="Calibri" w:cs="Calibri"/>
          <w:iCs/>
          <w:kern w:val="2"/>
          <w:lang w:val="sq-AL"/>
          <w14:ligatures w14:val="standardContextual"/>
        </w:rPr>
        <w:t>, paketimin, grumbullimin, ruajtjen, transportimin, përpunimin, trajtimin dhe deponimin e mbeturinave që përmbajnë azbest.</w:t>
      </w:r>
    </w:p>
    <w:p w14:paraId="67753A21" w14:textId="77777777" w:rsidR="00417EE8" w:rsidRPr="007800E2" w:rsidRDefault="00417EE8" w:rsidP="00417EE8">
      <w:pPr>
        <w:pStyle w:val="Paragraph"/>
        <w:rPr>
          <w:rFonts w:eastAsia="Calibri" w:cs="Calibri"/>
          <w:bCs/>
          <w:iCs/>
          <w:kern w:val="2"/>
          <w:lang w:val="sq-AL"/>
          <w14:ligatures w14:val="standardContextual"/>
        </w:rPr>
      </w:pPr>
      <w:r w:rsidRPr="007800E2">
        <w:rPr>
          <w:rFonts w:eastAsia="Calibri" w:cs="Calibri"/>
          <w:b/>
          <w:iCs/>
          <w:kern w:val="2"/>
          <w:lang w:val="sq-AL"/>
          <w14:ligatures w14:val="standardContextual"/>
        </w:rPr>
        <w:t>Udhëzimi Administrativ MMPH - Nr. 15/2015 për Menaxhimin e Mbeturinave nga Tubat fluoreshente që përmbajnë merkur</w:t>
      </w:r>
      <w:r w:rsidRPr="007800E2">
        <w:rPr>
          <w:rFonts w:eastAsia="Calibri" w:cs="Calibri"/>
          <w:bCs/>
          <w:iCs/>
          <w:kern w:val="2"/>
          <w:lang w:val="sq-AL"/>
          <w14:ligatures w14:val="standardContextual"/>
        </w:rPr>
        <w:t xml:space="preserve">. Udhëzimi Administrativ përcakton kushtet dhe masat për mbrojtjen e mjedisit dhe shëndetit të njerëzve nga ndotja </w:t>
      </w:r>
      <w:r>
        <w:rPr>
          <w:rFonts w:eastAsia="Calibri" w:cs="Calibri"/>
          <w:bCs/>
          <w:iCs/>
          <w:kern w:val="2"/>
          <w:lang w:val="sq-AL"/>
          <w14:ligatures w14:val="standardContextual"/>
        </w:rPr>
        <w:t>nga</w:t>
      </w:r>
      <w:r w:rsidRPr="007800E2">
        <w:rPr>
          <w:rFonts w:eastAsia="Calibri" w:cs="Calibri"/>
          <w:bCs/>
          <w:iCs/>
          <w:kern w:val="2"/>
          <w:lang w:val="sq-AL"/>
          <w14:ligatures w14:val="standardContextual"/>
        </w:rPr>
        <w:t xml:space="preserve"> mbet</w:t>
      </w:r>
      <w:r>
        <w:rPr>
          <w:rFonts w:eastAsia="Calibri" w:cs="Calibri"/>
          <w:bCs/>
          <w:iCs/>
          <w:kern w:val="2"/>
          <w:lang w:val="sq-AL"/>
          <w14:ligatures w14:val="standardContextual"/>
        </w:rPr>
        <w:t>urinat</w:t>
      </w:r>
      <w:r w:rsidRPr="007800E2">
        <w:rPr>
          <w:rFonts w:eastAsia="Calibri" w:cs="Calibri"/>
          <w:bCs/>
          <w:iCs/>
          <w:kern w:val="2"/>
          <w:lang w:val="sq-AL"/>
          <w14:ligatures w14:val="standardContextual"/>
        </w:rPr>
        <w:t xml:space="preserve"> e tubacioneve fluoreshente, si dhe zbatimin dhe funksionimin e një sistemi mjedisor të përshtatshëm dhe të qëndrueshëm për parandalimin dhe kufizimin e ndikimeve negative në mjedis dhe </w:t>
      </w:r>
      <w:r>
        <w:rPr>
          <w:rFonts w:eastAsia="Calibri" w:cs="Calibri"/>
          <w:bCs/>
          <w:iCs/>
          <w:kern w:val="2"/>
          <w:lang w:val="sq-AL"/>
          <w14:ligatures w14:val="standardContextual"/>
        </w:rPr>
        <w:t xml:space="preserve">në </w:t>
      </w:r>
      <w:r w:rsidRPr="007800E2">
        <w:rPr>
          <w:rFonts w:eastAsia="Calibri" w:cs="Calibri"/>
          <w:bCs/>
          <w:iCs/>
          <w:kern w:val="2"/>
          <w:lang w:val="sq-AL"/>
          <w14:ligatures w14:val="standardContextual"/>
        </w:rPr>
        <w:t>jet</w:t>
      </w:r>
      <w:r>
        <w:rPr>
          <w:rFonts w:eastAsia="Calibri" w:cs="Calibri"/>
          <w:bCs/>
          <w:iCs/>
          <w:kern w:val="2"/>
          <w:lang w:val="sq-AL"/>
          <w14:ligatures w14:val="standardContextual"/>
        </w:rPr>
        <w:t>ën</w:t>
      </w:r>
      <w:r w:rsidRPr="007800E2">
        <w:rPr>
          <w:rFonts w:eastAsia="Calibri" w:cs="Calibri"/>
          <w:bCs/>
          <w:iCs/>
          <w:kern w:val="2"/>
          <w:lang w:val="sq-AL"/>
          <w14:ligatures w14:val="standardContextual"/>
        </w:rPr>
        <w:t xml:space="preserve"> e njeriut në përgjithësi </w:t>
      </w:r>
      <w:r>
        <w:rPr>
          <w:rFonts w:eastAsia="Calibri" w:cs="Calibri"/>
          <w:bCs/>
          <w:iCs/>
          <w:kern w:val="2"/>
          <w:lang w:val="sq-AL"/>
          <w14:ligatures w14:val="standardContextual"/>
        </w:rPr>
        <w:t>të</w:t>
      </w:r>
      <w:r w:rsidRPr="007800E2">
        <w:rPr>
          <w:rFonts w:eastAsia="Calibri" w:cs="Calibri"/>
          <w:bCs/>
          <w:iCs/>
          <w:kern w:val="2"/>
          <w:lang w:val="sq-AL"/>
          <w14:ligatures w14:val="standardContextual"/>
        </w:rPr>
        <w:t xml:space="preserve"> tubave fluoreshente që përmbajnë merkur. Gjithashtu, ky Udhëzim Administrativ përcakton rregullat, kushtet dhe kërkesat për menaxhimin dhe kontrollin e aktiviteteve që kanë të bëjnë me grumbullimin, trajtimin, ruajtjen dhe transportimin e tubave fluoreshente që përmbajnë merkur.</w:t>
      </w:r>
    </w:p>
    <w:p w14:paraId="250707C4" w14:textId="77777777" w:rsidR="00417EE8" w:rsidRPr="007800E2" w:rsidRDefault="00417EE8" w:rsidP="00417EE8">
      <w:pPr>
        <w:pStyle w:val="Paragraph"/>
        <w:rPr>
          <w:rFonts w:eastAsia="Calibri" w:cs="Calibri"/>
          <w:bCs/>
          <w:iCs/>
          <w:kern w:val="2"/>
          <w:lang w:val="sq-AL"/>
          <w14:ligatures w14:val="standardContextual"/>
        </w:rPr>
      </w:pPr>
      <w:r w:rsidRPr="007800E2">
        <w:rPr>
          <w:rFonts w:eastAsia="Calibri" w:cs="Calibri"/>
          <w:b/>
          <w:iCs/>
          <w:kern w:val="2"/>
          <w:lang w:val="sq-AL"/>
          <w14:ligatures w14:val="standardContextual"/>
        </w:rPr>
        <w:t>Udhëzimi Administrativ MMPH – Nr. 25/2014 për menaxhimin e mbeturinave nga pajisjet elektrike dhe elektronike dhe kufizimin e përdorimit të substancave të rrezikshme në pajisjet elektrike dhe elektronike</w:t>
      </w:r>
      <w:r w:rsidRPr="007800E2">
        <w:rPr>
          <w:rFonts w:eastAsia="Calibri" w:cs="Calibri"/>
          <w:bCs/>
          <w:iCs/>
          <w:kern w:val="2"/>
          <w:lang w:val="sq-AL"/>
          <w14:ligatures w14:val="standardContextual"/>
        </w:rPr>
        <w:t xml:space="preserve">. Udhëzimi Administrativ synon të përcaktojë detyrimet dhe kushtet për </w:t>
      </w:r>
      <w:r>
        <w:rPr>
          <w:rFonts w:eastAsia="Calibri" w:cs="Calibri"/>
          <w:bCs/>
          <w:iCs/>
          <w:kern w:val="2"/>
          <w:lang w:val="sq-AL"/>
          <w14:ligatures w14:val="standardContextual"/>
        </w:rPr>
        <w:t>mbledhjen</w:t>
      </w:r>
      <w:r w:rsidRPr="007800E2">
        <w:rPr>
          <w:rFonts w:eastAsia="Calibri" w:cs="Calibri"/>
          <w:bCs/>
          <w:iCs/>
          <w:kern w:val="2"/>
          <w:lang w:val="sq-AL"/>
          <w14:ligatures w14:val="standardContextual"/>
        </w:rPr>
        <w:t>, grumbullimin, ruajtjen, përpunimin, transportimin, ripërdorimin, trajtimin, ruajtjen dhe mënyrën e menaxhimit të mbet</w:t>
      </w:r>
      <w:r>
        <w:rPr>
          <w:rFonts w:eastAsia="Calibri" w:cs="Calibri"/>
          <w:bCs/>
          <w:iCs/>
          <w:kern w:val="2"/>
          <w:lang w:val="sq-AL"/>
          <w14:ligatures w14:val="standardContextual"/>
        </w:rPr>
        <w:t>uirnave</w:t>
      </w:r>
      <w:r w:rsidRPr="007800E2">
        <w:rPr>
          <w:rFonts w:eastAsia="Calibri" w:cs="Calibri"/>
          <w:bCs/>
          <w:iCs/>
          <w:kern w:val="2"/>
          <w:lang w:val="sq-AL"/>
          <w14:ligatures w14:val="standardContextual"/>
        </w:rPr>
        <w:t xml:space="preserve"> nga pajisjet elektrike dhe elektronike, list</w:t>
      </w:r>
      <w:r>
        <w:rPr>
          <w:rFonts w:eastAsia="Calibri" w:cs="Calibri"/>
          <w:bCs/>
          <w:iCs/>
          <w:kern w:val="2"/>
          <w:lang w:val="sq-AL"/>
          <w14:ligatures w14:val="standardContextual"/>
        </w:rPr>
        <w:t>a</w:t>
      </w:r>
      <w:r w:rsidRPr="007800E2">
        <w:rPr>
          <w:rFonts w:eastAsia="Calibri" w:cs="Calibri"/>
          <w:bCs/>
          <w:iCs/>
          <w:kern w:val="2"/>
          <w:lang w:val="sq-AL"/>
          <w14:ligatures w14:val="standardContextual"/>
        </w:rPr>
        <w:t xml:space="preserve"> e pajisjeve elektrike dhe elektronike (Shtojca I, II, III dhe IV). Gjithashtu, ky UA përcakton masat për ndalimin ose kufizimin e përdorimit të produkteve që përmbajnë përbërës të dëmshëm për të parandaluar ose reduktuar efektet negative në mjedis dhe shëndetin e njeriut nga mbet</w:t>
      </w:r>
      <w:r>
        <w:rPr>
          <w:rFonts w:eastAsia="Calibri" w:cs="Calibri"/>
          <w:bCs/>
          <w:iCs/>
          <w:kern w:val="2"/>
          <w:lang w:val="sq-AL"/>
          <w14:ligatures w14:val="standardContextual"/>
        </w:rPr>
        <w:t>urinat nga</w:t>
      </w:r>
      <w:r w:rsidRPr="007800E2">
        <w:rPr>
          <w:rFonts w:eastAsia="Calibri" w:cs="Calibri"/>
          <w:bCs/>
          <w:iCs/>
          <w:kern w:val="2"/>
          <w:lang w:val="sq-AL"/>
          <w14:ligatures w14:val="standardContextual"/>
        </w:rPr>
        <w:t xml:space="preserve"> pajisjeve elektrike dhe elektronike, si dhe kufizimin e përdorimit të substancave të rrezikshme në pajisje</w:t>
      </w:r>
      <w:r>
        <w:rPr>
          <w:rFonts w:eastAsia="Calibri" w:cs="Calibri"/>
          <w:bCs/>
          <w:iCs/>
          <w:kern w:val="2"/>
          <w:lang w:val="sq-AL"/>
          <w14:ligatures w14:val="standardContextual"/>
        </w:rPr>
        <w:t>t</w:t>
      </w:r>
      <w:r w:rsidRPr="007800E2">
        <w:rPr>
          <w:rFonts w:eastAsia="Calibri" w:cs="Calibri"/>
          <w:bCs/>
          <w:iCs/>
          <w:kern w:val="2"/>
          <w:lang w:val="sq-AL"/>
          <w14:ligatures w14:val="standardContextual"/>
        </w:rPr>
        <w:t xml:space="preserve"> elektrike dhe elektronike.</w:t>
      </w:r>
    </w:p>
    <w:p w14:paraId="62C03797" w14:textId="77777777" w:rsidR="00417EE8" w:rsidRPr="007800E2" w:rsidRDefault="00417EE8" w:rsidP="00417EE8">
      <w:pPr>
        <w:pStyle w:val="Paragraph"/>
        <w:rPr>
          <w:rFonts w:eastAsia="Calibri"/>
          <w:bCs/>
          <w:lang w:val="sq-AL"/>
        </w:rPr>
      </w:pPr>
      <w:r w:rsidRPr="007800E2">
        <w:rPr>
          <w:rFonts w:eastAsia="Calibri"/>
          <w:b/>
          <w:lang w:val="sq-AL"/>
        </w:rPr>
        <w:t xml:space="preserve">Udhëzimi Administrativ MMPH -Nr.26/2014 për Menaxhimin e Mbeturinave nga Bateritë dhe </w:t>
      </w:r>
      <w:r>
        <w:rPr>
          <w:rFonts w:eastAsia="Calibri"/>
          <w:b/>
          <w:lang w:val="sq-AL"/>
        </w:rPr>
        <w:t>Akumulatorët</w:t>
      </w:r>
      <w:r w:rsidRPr="007800E2">
        <w:rPr>
          <w:rFonts w:eastAsia="Calibri"/>
          <w:bCs/>
          <w:lang w:val="sq-AL"/>
        </w:rPr>
        <w:t xml:space="preserve">. Udhëzimi Administrativ synon të përcaktojë rregullat, detyrimet dhe kushtet për parandalimin ose zvogëlimin e efekteve negative në mjedis dhe shëndetin e njeriut, mënyrën dhe kërkesën mjedisore për prodhimin, vendosjen në treg, grumbullimin, ruajtjen, përpunimin, riciklimin, trajtimin dhe </w:t>
      </w:r>
      <w:r>
        <w:rPr>
          <w:rFonts w:eastAsia="Calibri"/>
          <w:bCs/>
          <w:lang w:val="sq-AL"/>
        </w:rPr>
        <w:t>deponimin e baterive dhe akumulatorëve mbeturinë</w:t>
      </w:r>
      <w:r w:rsidRPr="007800E2">
        <w:rPr>
          <w:rFonts w:eastAsia="Calibri"/>
          <w:bCs/>
          <w:lang w:val="sq-AL"/>
        </w:rPr>
        <w:t>. Gjithashtu, kjo UA përcakton masat për ndalimin ose kufizimin e përdorimit të produkteve që përmbajnë përbërës të dëmshëm, si dhe kufizimin e vendosjes në treg të baterive dhe akumulatorëve që përmbajnë lëndë të rrezikshme.</w:t>
      </w:r>
    </w:p>
    <w:p w14:paraId="78FEFCD5" w14:textId="77777777" w:rsidR="00417EE8" w:rsidRPr="008D2D8C" w:rsidRDefault="00417EE8" w:rsidP="00417EE8">
      <w:pPr>
        <w:pStyle w:val="Paragraph"/>
        <w:rPr>
          <w:rFonts w:eastAsia="Calibri"/>
          <w:b/>
          <w:lang w:val="sq-AL"/>
        </w:rPr>
      </w:pPr>
      <w:r w:rsidRPr="007800E2">
        <w:rPr>
          <w:rFonts w:eastAsia="Calibri"/>
          <w:b/>
          <w:lang w:val="sq-AL"/>
        </w:rPr>
        <w:t xml:space="preserve">Udhëzimi Administrativ Nr. 05/2013 për Menaxhimin e Vajrave të Përdorura dhe </w:t>
      </w:r>
      <w:r>
        <w:rPr>
          <w:rFonts w:eastAsia="Calibri"/>
          <w:b/>
          <w:lang w:val="sq-AL"/>
        </w:rPr>
        <w:t>Vajrave Mbeturinë</w:t>
      </w:r>
      <w:r w:rsidRPr="007800E2">
        <w:rPr>
          <w:rFonts w:eastAsia="Calibri"/>
          <w:b/>
          <w:lang w:val="sq-AL"/>
        </w:rPr>
        <w:t>.</w:t>
      </w:r>
      <w:r w:rsidRPr="007800E2">
        <w:rPr>
          <w:rFonts w:eastAsia="Calibri"/>
          <w:bCs/>
          <w:lang w:val="sq-AL"/>
        </w:rPr>
        <w:t xml:space="preserve"> Udhëzimi Administrativ synon të mbrojë mjedisin dhe shëndetin e njerëzve nga ndotja nga vajrat e përdorura dhe </w:t>
      </w:r>
      <w:r>
        <w:rPr>
          <w:rFonts w:eastAsia="Calibri"/>
          <w:bCs/>
          <w:lang w:val="sq-AL"/>
        </w:rPr>
        <w:t>vajrat mbeturinë</w:t>
      </w:r>
      <w:r w:rsidRPr="007800E2">
        <w:rPr>
          <w:rFonts w:eastAsia="Calibri"/>
          <w:bCs/>
          <w:lang w:val="sq-AL"/>
        </w:rPr>
        <w:t xml:space="preserve">, si dhe të mundësojë ngritjen dhe funksionimin e sistemit të përshtatshëm dhe të sigurt për mjedisin për </w:t>
      </w:r>
      <w:r w:rsidRPr="007800E2">
        <w:rPr>
          <w:rFonts w:eastAsia="Calibri"/>
          <w:bCs/>
          <w:lang w:val="sq-AL"/>
        </w:rPr>
        <w:lastRenderedPageBreak/>
        <w:t xml:space="preserve">menaxhimin dhe kontrollin e vajrave të përdorur dhe </w:t>
      </w:r>
      <w:r>
        <w:rPr>
          <w:rFonts w:eastAsia="Calibri"/>
          <w:bCs/>
          <w:lang w:val="sq-AL"/>
        </w:rPr>
        <w:t>vajrave mbeturinë</w:t>
      </w:r>
      <w:r w:rsidRPr="007800E2">
        <w:rPr>
          <w:rFonts w:eastAsia="Calibri"/>
          <w:bCs/>
          <w:lang w:val="sq-AL"/>
        </w:rPr>
        <w:t xml:space="preserve">, duke parandaluar reduktimin dhe kufizimin e ndotjes së ujit, tokës dhe ajrit, nëpërmjet përcaktimit të kushteve për grumbullimin, transportimin, ripërdorimin dhe ruajtjen e vajrave të përdorura dhe </w:t>
      </w:r>
      <w:r>
        <w:rPr>
          <w:rFonts w:eastAsia="Calibri"/>
          <w:bCs/>
          <w:lang w:val="sq-AL"/>
        </w:rPr>
        <w:t>vajrave mbeturinë</w:t>
      </w:r>
      <w:r w:rsidRPr="007800E2">
        <w:rPr>
          <w:rFonts w:eastAsia="Calibri"/>
          <w:bCs/>
          <w:lang w:val="sq-AL"/>
        </w:rPr>
        <w:t>.</w:t>
      </w:r>
    </w:p>
    <w:p w14:paraId="20C8DA21" w14:textId="77777777" w:rsidR="00417EE8" w:rsidRPr="008D2D8C" w:rsidRDefault="00417EE8" w:rsidP="00417EE8">
      <w:pPr>
        <w:pStyle w:val="Paragraph"/>
        <w:rPr>
          <w:rFonts w:eastAsia="Calibri"/>
          <w:b/>
          <w:lang w:val="sq-AL"/>
        </w:rPr>
      </w:pPr>
      <w:r w:rsidRPr="007800E2">
        <w:rPr>
          <w:rFonts w:eastAsia="Calibri"/>
          <w:b/>
          <w:lang w:val="sq-AL"/>
        </w:rPr>
        <w:t xml:space="preserve">Udhëzimi Administrativ Nr. 19/2012 për Menaxhimin e </w:t>
      </w:r>
      <w:r>
        <w:rPr>
          <w:rFonts w:eastAsia="Calibri"/>
          <w:b/>
          <w:lang w:val="sq-AL"/>
        </w:rPr>
        <w:t xml:space="preserve">Automjeteve Mbeturinë dhe </w:t>
      </w:r>
      <w:r w:rsidRPr="007800E2">
        <w:rPr>
          <w:rFonts w:eastAsia="Calibri"/>
          <w:b/>
          <w:lang w:val="sq-AL"/>
        </w:rPr>
        <w:t xml:space="preserve"> dhe Përbërësve të tyre.</w:t>
      </w:r>
      <w:r w:rsidRPr="007800E2">
        <w:rPr>
          <w:rFonts w:eastAsia="Calibri"/>
          <w:bCs/>
          <w:lang w:val="sq-AL"/>
        </w:rPr>
        <w:t xml:space="preserve"> Udhëzimi Administrativ synon parandalimin dhe uljen e ndotjes së mjedisit nga automjetet  mbeturin</w:t>
      </w:r>
      <w:r>
        <w:rPr>
          <w:rFonts w:eastAsia="Calibri"/>
          <w:bCs/>
          <w:lang w:val="sq-AL"/>
        </w:rPr>
        <w:t>ë</w:t>
      </w:r>
      <w:r w:rsidRPr="007800E2">
        <w:rPr>
          <w:rFonts w:eastAsia="Calibri"/>
          <w:bCs/>
          <w:lang w:val="sq-AL"/>
        </w:rPr>
        <w:t xml:space="preserve"> dhe përbërësit e tyre, duke arritur një nivel të lartë përdorimi, riciklimi, vendosja e kushteve të përshtatshme për ruajtjen, grumbullimin, klasifikimin, trajtimin dhe forma të tjera të përpunimit të </w:t>
      </w:r>
      <w:r>
        <w:rPr>
          <w:rFonts w:eastAsia="Calibri"/>
          <w:bCs/>
          <w:lang w:val="sq-AL"/>
        </w:rPr>
        <w:t>auto</w:t>
      </w:r>
      <w:r w:rsidRPr="007800E2">
        <w:rPr>
          <w:rFonts w:eastAsia="Calibri"/>
          <w:bCs/>
          <w:lang w:val="sq-AL"/>
        </w:rPr>
        <w:t>mjeteve mbet</w:t>
      </w:r>
      <w:r>
        <w:rPr>
          <w:rFonts w:eastAsia="Calibri"/>
          <w:bCs/>
          <w:lang w:val="sq-AL"/>
        </w:rPr>
        <w:t>urinë</w:t>
      </w:r>
      <w:r w:rsidRPr="007800E2">
        <w:rPr>
          <w:rFonts w:eastAsia="Calibri"/>
          <w:bCs/>
          <w:lang w:val="sq-AL"/>
        </w:rPr>
        <w:t xml:space="preserve"> dhe përbërësve të tyre. Gjithashtu, </w:t>
      </w:r>
      <w:r>
        <w:rPr>
          <w:rFonts w:eastAsia="Calibri"/>
          <w:bCs/>
          <w:lang w:val="sq-AL"/>
        </w:rPr>
        <w:t>ky</w:t>
      </w:r>
      <w:r w:rsidRPr="007800E2">
        <w:rPr>
          <w:rFonts w:eastAsia="Calibri"/>
          <w:bCs/>
          <w:lang w:val="sq-AL"/>
        </w:rPr>
        <w:t xml:space="preserve"> </w:t>
      </w:r>
      <w:r>
        <w:rPr>
          <w:rFonts w:eastAsia="Calibri"/>
          <w:bCs/>
          <w:lang w:val="sq-AL"/>
        </w:rPr>
        <w:t>U</w:t>
      </w:r>
      <w:r w:rsidRPr="007800E2">
        <w:rPr>
          <w:rFonts w:eastAsia="Calibri"/>
          <w:bCs/>
          <w:lang w:val="sq-AL"/>
        </w:rPr>
        <w:t xml:space="preserve">A krijon sistemin e grumbullimit, transportit dhe trajtimit të </w:t>
      </w:r>
      <w:r>
        <w:rPr>
          <w:rFonts w:eastAsia="Calibri"/>
          <w:bCs/>
          <w:lang w:val="sq-AL"/>
        </w:rPr>
        <w:t>auto</w:t>
      </w:r>
      <w:r w:rsidRPr="007800E2">
        <w:rPr>
          <w:rFonts w:eastAsia="Calibri"/>
          <w:bCs/>
          <w:lang w:val="sq-AL"/>
        </w:rPr>
        <w:t>mjeteve mbet</w:t>
      </w:r>
      <w:r>
        <w:rPr>
          <w:rFonts w:eastAsia="Calibri"/>
          <w:bCs/>
          <w:lang w:val="sq-AL"/>
        </w:rPr>
        <w:t>urinë</w:t>
      </w:r>
      <w:r w:rsidRPr="007800E2">
        <w:rPr>
          <w:rFonts w:eastAsia="Calibri"/>
          <w:bCs/>
          <w:lang w:val="sq-AL"/>
        </w:rPr>
        <w:t xml:space="preserve">, si dhe operatorëve ekonomikë që merren me këtë aktivitet me qëllim </w:t>
      </w:r>
      <w:r>
        <w:rPr>
          <w:rFonts w:eastAsia="Calibri"/>
          <w:bCs/>
          <w:lang w:val="sq-AL"/>
        </w:rPr>
        <w:t xml:space="preserve">të </w:t>
      </w:r>
      <w:r w:rsidRPr="007800E2">
        <w:rPr>
          <w:rFonts w:eastAsia="Calibri"/>
          <w:bCs/>
          <w:lang w:val="sq-AL"/>
        </w:rPr>
        <w:t>mbrojtje</w:t>
      </w:r>
      <w:r>
        <w:rPr>
          <w:rFonts w:eastAsia="Calibri"/>
          <w:bCs/>
          <w:lang w:val="sq-AL"/>
        </w:rPr>
        <w:t>s</w:t>
      </w:r>
      <w:r w:rsidRPr="007800E2">
        <w:rPr>
          <w:rFonts w:eastAsia="Calibri"/>
          <w:bCs/>
          <w:lang w:val="sq-AL"/>
        </w:rPr>
        <w:t xml:space="preserve"> </w:t>
      </w:r>
      <w:r>
        <w:rPr>
          <w:rFonts w:eastAsia="Calibri"/>
          <w:bCs/>
          <w:lang w:val="sq-AL"/>
        </w:rPr>
        <w:t>së</w:t>
      </w:r>
      <w:r w:rsidRPr="007800E2">
        <w:rPr>
          <w:rFonts w:eastAsia="Calibri"/>
          <w:bCs/>
          <w:lang w:val="sq-AL"/>
        </w:rPr>
        <w:t xml:space="preserve"> mjedisit.</w:t>
      </w:r>
    </w:p>
    <w:p w14:paraId="5464EB05" w14:textId="77777777" w:rsidR="00417EE8" w:rsidRPr="008D2D8C" w:rsidRDefault="00417EE8" w:rsidP="00417EE8">
      <w:pPr>
        <w:pStyle w:val="Paragraph"/>
        <w:rPr>
          <w:rFonts w:eastAsia="Calibri"/>
          <w:lang w:val="sq-AL"/>
        </w:rPr>
      </w:pPr>
      <w:r w:rsidRPr="007800E2">
        <w:rPr>
          <w:rFonts w:eastAsia="Calibri"/>
          <w:lang w:val="sq-AL"/>
        </w:rPr>
        <w:t xml:space="preserve">Udhëzimi Administrativ Nr. 23/2012 për Menaxhimin e Gomave </w:t>
      </w:r>
      <w:r>
        <w:rPr>
          <w:rFonts w:eastAsia="Calibri"/>
          <w:lang w:val="sq-AL"/>
        </w:rPr>
        <w:t xml:space="preserve">jashtë përdorimit dhe </w:t>
      </w:r>
      <w:r w:rsidRPr="007800E2">
        <w:rPr>
          <w:rFonts w:eastAsia="Calibri"/>
          <w:lang w:val="sq-AL"/>
        </w:rPr>
        <w:t>dhe Mbet</w:t>
      </w:r>
      <w:r>
        <w:rPr>
          <w:rFonts w:eastAsia="Calibri"/>
          <w:lang w:val="sq-AL"/>
        </w:rPr>
        <w:t>urinave</w:t>
      </w:r>
      <w:r w:rsidRPr="007800E2">
        <w:rPr>
          <w:rFonts w:eastAsia="Calibri"/>
          <w:lang w:val="sq-AL"/>
        </w:rPr>
        <w:t xml:space="preserve"> të Gomës . Udhëzimi Administrativ ka për qëllim:</w:t>
      </w:r>
    </w:p>
    <w:p w14:paraId="3E990026" w14:textId="77777777" w:rsidR="00417EE8" w:rsidRDefault="00417EE8" w:rsidP="00417EE8">
      <w:pPr>
        <w:pStyle w:val="Bullet"/>
        <w:rPr>
          <w:lang w:val="sq-AL"/>
        </w:rPr>
      </w:pPr>
      <w:r w:rsidRPr="007800E2">
        <w:rPr>
          <w:lang w:val="sq-AL"/>
        </w:rPr>
        <w:t>parandalimi dhe reduktimi i ndotjes së mjedisit nga gomat e përdorura dhe mbet</w:t>
      </w:r>
      <w:r>
        <w:rPr>
          <w:lang w:val="sq-AL"/>
        </w:rPr>
        <w:t>uirnat</w:t>
      </w:r>
      <w:r w:rsidRPr="007800E2">
        <w:rPr>
          <w:lang w:val="sq-AL"/>
        </w:rPr>
        <w:t xml:space="preserve"> e gomave</w:t>
      </w:r>
    </w:p>
    <w:p w14:paraId="0EA789C6" w14:textId="77777777" w:rsidR="00417EE8" w:rsidRDefault="00417EE8" w:rsidP="00417EE8">
      <w:pPr>
        <w:pStyle w:val="Bullet"/>
        <w:rPr>
          <w:lang w:val="sq-AL"/>
        </w:rPr>
      </w:pPr>
      <w:r w:rsidRPr="007800E2">
        <w:rPr>
          <w:lang w:val="sq-AL"/>
        </w:rPr>
        <w:t>rritja e nivelit të ripërdorimit të gomave dhe mbet</w:t>
      </w:r>
      <w:r>
        <w:rPr>
          <w:lang w:val="sq-AL"/>
        </w:rPr>
        <w:t>uirnave</w:t>
      </w:r>
      <w:r w:rsidRPr="007800E2">
        <w:rPr>
          <w:lang w:val="sq-AL"/>
        </w:rPr>
        <w:t xml:space="preserve"> të gom</w:t>
      </w:r>
      <w:r>
        <w:rPr>
          <w:lang w:val="sq-AL"/>
        </w:rPr>
        <w:t>ave jashtë përdotimit</w:t>
      </w:r>
      <w:r w:rsidRPr="007800E2">
        <w:rPr>
          <w:lang w:val="sq-AL"/>
        </w:rPr>
        <w:t>; riciklimi i gomave të përdorura dhe mbet</w:t>
      </w:r>
      <w:r>
        <w:rPr>
          <w:lang w:val="sq-AL"/>
        </w:rPr>
        <w:t>uirnave</w:t>
      </w:r>
      <w:r w:rsidRPr="007800E2">
        <w:rPr>
          <w:lang w:val="sq-AL"/>
        </w:rPr>
        <w:t xml:space="preserve"> të gomës</w:t>
      </w:r>
    </w:p>
    <w:p w14:paraId="4C5D2DD9" w14:textId="77777777" w:rsidR="00417EE8" w:rsidRDefault="00417EE8" w:rsidP="00417EE8">
      <w:pPr>
        <w:pStyle w:val="Bullet"/>
        <w:rPr>
          <w:lang w:val="sq-AL"/>
        </w:rPr>
      </w:pPr>
      <w:r w:rsidRPr="007800E2">
        <w:rPr>
          <w:lang w:val="sq-AL"/>
        </w:rPr>
        <w:t xml:space="preserve">krijimi i sistemit të informacionit për grumbullimin, transportimin dhe trajtimin e gomave </w:t>
      </w:r>
      <w:r>
        <w:rPr>
          <w:lang w:val="sq-AL"/>
        </w:rPr>
        <w:t xml:space="preserve">jashtë përdorimit </w:t>
      </w:r>
      <w:r w:rsidRPr="007800E2">
        <w:rPr>
          <w:lang w:val="sq-AL"/>
        </w:rPr>
        <w:t>dhe mbet</w:t>
      </w:r>
      <w:r>
        <w:rPr>
          <w:lang w:val="sq-AL"/>
        </w:rPr>
        <w:t>urinave</w:t>
      </w:r>
      <w:r w:rsidRPr="007800E2">
        <w:rPr>
          <w:lang w:val="sq-AL"/>
        </w:rPr>
        <w:t xml:space="preserve"> të gomave.</w:t>
      </w:r>
    </w:p>
    <w:p w14:paraId="46F9AF57" w14:textId="77777777" w:rsidR="00417EE8" w:rsidRPr="007800E2" w:rsidRDefault="00417EE8" w:rsidP="00417EE8">
      <w:pPr>
        <w:pStyle w:val="Bullet"/>
        <w:numPr>
          <w:ilvl w:val="0"/>
          <w:numId w:val="0"/>
        </w:numPr>
        <w:ind w:left="1135"/>
        <w:rPr>
          <w:lang w:val="sq-AL"/>
        </w:rPr>
      </w:pPr>
    </w:p>
    <w:p w14:paraId="6A5E1D23" w14:textId="77777777" w:rsidR="00417EE8" w:rsidRPr="008D2D8C" w:rsidRDefault="00417EE8" w:rsidP="00417EE8">
      <w:pPr>
        <w:pStyle w:val="Paragraph"/>
        <w:rPr>
          <w:rFonts w:eastAsia="Calibri"/>
          <w:b/>
          <w:lang w:val="sq-AL"/>
        </w:rPr>
      </w:pPr>
      <w:r w:rsidRPr="007800E2">
        <w:rPr>
          <w:rFonts w:eastAsia="Calibri"/>
          <w:b/>
          <w:lang w:val="sq-AL"/>
        </w:rPr>
        <w:t>Udhëzimi Administrativ MMPH - Nr. 20/2014 për Menaxhimin e Mbeturinave të Biodegradueshme.</w:t>
      </w:r>
      <w:r w:rsidRPr="007800E2">
        <w:rPr>
          <w:rFonts w:eastAsia="Calibri"/>
          <w:bCs/>
          <w:lang w:val="sq-AL"/>
        </w:rPr>
        <w:t xml:space="preserve"> Udhëzimi Administrativ synon të merret me mbrojtjen e mjedisit nga mbet</w:t>
      </w:r>
      <w:r>
        <w:rPr>
          <w:rFonts w:eastAsia="Calibri"/>
          <w:bCs/>
          <w:lang w:val="sq-AL"/>
        </w:rPr>
        <w:t xml:space="preserve">urinat </w:t>
      </w:r>
      <w:r w:rsidRPr="007800E2">
        <w:rPr>
          <w:rFonts w:eastAsia="Calibri"/>
          <w:bCs/>
          <w:lang w:val="sq-AL"/>
        </w:rPr>
        <w:t xml:space="preserve">e biodegradueshme, të krijojë një sistem për grumbullimin dhe trajtimin e </w:t>
      </w:r>
      <w:r>
        <w:rPr>
          <w:rFonts w:eastAsia="Calibri"/>
          <w:bCs/>
          <w:lang w:val="sq-AL"/>
        </w:rPr>
        <w:t>tyre</w:t>
      </w:r>
      <w:r w:rsidRPr="007800E2">
        <w:rPr>
          <w:rFonts w:eastAsia="Calibri"/>
          <w:bCs/>
          <w:lang w:val="sq-AL"/>
        </w:rPr>
        <w:t>, si dhe të përcaktojë të drejtat dhe detyrimet e operatorëve dhe personave që merren me trajtimin e këtyre mbet</w:t>
      </w:r>
      <w:r>
        <w:rPr>
          <w:rFonts w:eastAsia="Calibri"/>
          <w:bCs/>
          <w:lang w:val="sq-AL"/>
        </w:rPr>
        <w:t>urinave</w:t>
      </w:r>
      <w:r w:rsidRPr="007800E2">
        <w:rPr>
          <w:rFonts w:eastAsia="Calibri"/>
          <w:bCs/>
          <w:lang w:val="sq-AL"/>
        </w:rPr>
        <w:t>.</w:t>
      </w:r>
    </w:p>
    <w:p w14:paraId="19439FF0" w14:textId="77777777" w:rsidR="00417EE8" w:rsidRPr="008D2D8C" w:rsidRDefault="00417EE8" w:rsidP="00417EE8">
      <w:pPr>
        <w:pStyle w:val="Paragraph"/>
        <w:rPr>
          <w:rFonts w:eastAsia="Calibri"/>
          <w:b/>
          <w:lang w:val="sq-AL"/>
        </w:rPr>
      </w:pPr>
      <w:r w:rsidRPr="007800E2">
        <w:rPr>
          <w:rFonts w:eastAsia="Calibri"/>
          <w:b/>
          <w:lang w:val="sq-AL"/>
        </w:rPr>
        <w:t>Udhëzimi Administrativ (QRK) - Nr. 03/2021 për Menaxhimin e Mbet</w:t>
      </w:r>
      <w:r>
        <w:rPr>
          <w:rFonts w:eastAsia="Calibri"/>
          <w:b/>
          <w:lang w:val="sq-AL"/>
        </w:rPr>
        <w:t>urinave</w:t>
      </w:r>
      <w:r w:rsidRPr="007800E2">
        <w:rPr>
          <w:rFonts w:eastAsia="Calibri"/>
          <w:b/>
          <w:lang w:val="sq-AL"/>
        </w:rPr>
        <w:t xml:space="preserve"> të Rrezikshme. </w:t>
      </w:r>
      <w:r w:rsidRPr="007800E2">
        <w:rPr>
          <w:rFonts w:eastAsia="Calibri"/>
          <w:bCs/>
          <w:lang w:val="sq-AL"/>
        </w:rPr>
        <w:t xml:space="preserve">Udhëzimi Administrativ përcakton rregullat për grumbullimin, klasifikimin, ruajtjen, transportimin, </w:t>
      </w:r>
      <w:r>
        <w:rPr>
          <w:rFonts w:eastAsia="Calibri"/>
          <w:bCs/>
          <w:lang w:val="sq-AL"/>
        </w:rPr>
        <w:t xml:space="preserve">si dhe </w:t>
      </w:r>
      <w:r w:rsidRPr="007800E2">
        <w:rPr>
          <w:rFonts w:eastAsia="Calibri"/>
          <w:bCs/>
          <w:lang w:val="sq-AL"/>
        </w:rPr>
        <w:t>ruajtjen dhe paketimin e mbet</w:t>
      </w:r>
      <w:r>
        <w:rPr>
          <w:rFonts w:eastAsia="Calibri"/>
          <w:bCs/>
          <w:lang w:val="sq-AL"/>
        </w:rPr>
        <w:t>urinave</w:t>
      </w:r>
      <w:r w:rsidRPr="007800E2">
        <w:rPr>
          <w:rFonts w:eastAsia="Calibri"/>
          <w:bCs/>
          <w:lang w:val="sq-AL"/>
        </w:rPr>
        <w:t xml:space="preserve"> të rrezikshme.</w:t>
      </w:r>
    </w:p>
    <w:p w14:paraId="6C6AFC39" w14:textId="77777777" w:rsidR="00417EE8" w:rsidRPr="008D2D8C" w:rsidRDefault="00417EE8" w:rsidP="00417EE8">
      <w:pPr>
        <w:pStyle w:val="Paragraph"/>
        <w:rPr>
          <w:rFonts w:eastAsia="Calibri"/>
          <w:b/>
          <w:lang w:val="sq-AL"/>
        </w:rPr>
      </w:pPr>
      <w:r w:rsidRPr="007800E2">
        <w:rPr>
          <w:rFonts w:eastAsia="Calibri"/>
          <w:b/>
          <w:lang w:val="sq-AL"/>
        </w:rPr>
        <w:t xml:space="preserve">Udhëzimi Administrativ MMPH - Nr. 10/2015 për trajtimin e mbeturinave nga produktet medicinale. </w:t>
      </w:r>
      <w:r w:rsidRPr="007800E2">
        <w:rPr>
          <w:rFonts w:eastAsia="Calibri"/>
          <w:bCs/>
          <w:lang w:val="sq-AL"/>
        </w:rPr>
        <w:t xml:space="preserve">Udhëzimi Administrativ përcakton kushtet dhe masat për mbrojtjen e mjedisit dhe shëndetit të njerëzve nga ndotja </w:t>
      </w:r>
      <w:r>
        <w:rPr>
          <w:rFonts w:eastAsia="Calibri"/>
          <w:bCs/>
          <w:lang w:val="sq-AL"/>
        </w:rPr>
        <w:t>nga</w:t>
      </w:r>
      <w:r w:rsidRPr="007800E2">
        <w:rPr>
          <w:rFonts w:eastAsia="Calibri"/>
          <w:bCs/>
          <w:lang w:val="sq-AL"/>
        </w:rPr>
        <w:t xml:space="preserve"> mbeturinat e produkteve medicinale, si dhe përcakton kushtet për dhënien e këshillave dhe udhëzimeve për trajtimin e sigurt të </w:t>
      </w:r>
      <w:r>
        <w:rPr>
          <w:rFonts w:eastAsia="Calibri"/>
          <w:bCs/>
          <w:lang w:val="sq-AL"/>
        </w:rPr>
        <w:t xml:space="preserve">këtyre </w:t>
      </w:r>
      <w:r w:rsidRPr="007800E2">
        <w:rPr>
          <w:rFonts w:eastAsia="Calibri"/>
          <w:bCs/>
          <w:lang w:val="sq-AL"/>
        </w:rPr>
        <w:t>mbet</w:t>
      </w:r>
      <w:r>
        <w:rPr>
          <w:rFonts w:eastAsia="Calibri"/>
          <w:bCs/>
          <w:lang w:val="sq-AL"/>
        </w:rPr>
        <w:t>urinave</w:t>
      </w:r>
      <w:r w:rsidRPr="007800E2">
        <w:rPr>
          <w:rFonts w:eastAsia="Calibri"/>
          <w:bCs/>
          <w:lang w:val="sq-AL"/>
        </w:rPr>
        <w:t xml:space="preserve">, si dhe përcakton kompetencat dhe përgjegjësitë për </w:t>
      </w:r>
      <w:r>
        <w:rPr>
          <w:rFonts w:eastAsia="Calibri"/>
          <w:bCs/>
          <w:lang w:val="sq-AL"/>
        </w:rPr>
        <w:t>menaxhimin e tyre</w:t>
      </w:r>
      <w:r w:rsidRPr="007800E2">
        <w:rPr>
          <w:rFonts w:eastAsia="Calibri"/>
          <w:bCs/>
          <w:lang w:val="sq-AL"/>
        </w:rPr>
        <w:t>.</w:t>
      </w:r>
    </w:p>
    <w:p w14:paraId="20CE4434" w14:textId="77777777" w:rsidR="00417EE8" w:rsidRPr="008D2D8C" w:rsidRDefault="00417EE8" w:rsidP="00417EE8">
      <w:pPr>
        <w:pStyle w:val="Paragraph"/>
        <w:rPr>
          <w:rFonts w:eastAsia="Calibri"/>
          <w:b/>
          <w:lang w:val="sq-AL"/>
        </w:rPr>
      </w:pPr>
      <w:r w:rsidRPr="007800E2">
        <w:rPr>
          <w:rFonts w:eastAsia="Calibri"/>
          <w:b/>
          <w:lang w:val="sq-AL"/>
        </w:rPr>
        <w:t xml:space="preserve">Udhëzimi Administrativ nr. 07/2014 për kompetencat e pronarit, prodhuesit dhe importuesit të produktit të mbeturinave. </w:t>
      </w:r>
      <w:r w:rsidRPr="007800E2">
        <w:rPr>
          <w:rFonts w:eastAsia="Calibri"/>
          <w:bCs/>
          <w:lang w:val="sq-AL"/>
        </w:rPr>
        <w:t>Udhëzimi Administrativ përcakton detyrimet, kushtet dhe masat për trajtimin e mbeturinave dhe shfrytëzimin sa më të mirë të lëndëve të para, zvogëlimin e sasisë së mbeturinave, kursimin e burimeve natyrore dhe shfrytëzimin e energjisë. Gjithashtu, ky Udhëzim Administrativ përcakton të drejtat dhe detyrimet e të gjithë aktorëve që merren me trajtimin e mbeturinave, qofshin prodhues</w:t>
      </w:r>
      <w:r>
        <w:rPr>
          <w:rFonts w:eastAsia="Calibri"/>
          <w:bCs/>
          <w:lang w:val="sq-AL"/>
        </w:rPr>
        <w:t>ë</w:t>
      </w:r>
      <w:r w:rsidRPr="007800E2">
        <w:rPr>
          <w:rFonts w:eastAsia="Calibri"/>
          <w:bCs/>
          <w:lang w:val="sq-AL"/>
        </w:rPr>
        <w:t>, importues</w:t>
      </w:r>
      <w:r>
        <w:rPr>
          <w:rFonts w:eastAsia="Calibri"/>
          <w:bCs/>
          <w:lang w:val="sq-AL"/>
        </w:rPr>
        <w:t>ë</w:t>
      </w:r>
      <w:r w:rsidRPr="007800E2">
        <w:rPr>
          <w:rFonts w:eastAsia="Calibri"/>
          <w:bCs/>
          <w:lang w:val="sq-AL"/>
        </w:rPr>
        <w:t>, operatorë ekonomikë, persona fizikë apo juridikë, si dhe mbikëqyrjen dhe monitorimin e trajtimit të mbeturinave.</w:t>
      </w:r>
    </w:p>
    <w:p w14:paraId="57D90BCD" w14:textId="77777777" w:rsidR="00417EE8" w:rsidRPr="008D2D8C" w:rsidRDefault="00417EE8" w:rsidP="00417EE8">
      <w:pPr>
        <w:pStyle w:val="Paragraph"/>
        <w:rPr>
          <w:rFonts w:eastAsia="Calibri"/>
          <w:b/>
          <w:lang w:val="sq-AL"/>
        </w:rPr>
      </w:pPr>
      <w:r w:rsidRPr="007800E2">
        <w:rPr>
          <w:rFonts w:eastAsia="Calibri"/>
          <w:b/>
          <w:lang w:val="sq-AL"/>
        </w:rPr>
        <w:t>Udhëzimi Administrativ MMPH - Nr. 21/2014 për Menaxhimin e Mbet</w:t>
      </w:r>
      <w:r>
        <w:rPr>
          <w:rFonts w:eastAsia="Calibri"/>
          <w:b/>
          <w:lang w:val="sq-AL"/>
        </w:rPr>
        <w:t>urinave</w:t>
      </w:r>
      <w:r w:rsidRPr="007800E2">
        <w:rPr>
          <w:rFonts w:eastAsia="Calibri"/>
          <w:b/>
          <w:lang w:val="sq-AL"/>
        </w:rPr>
        <w:t xml:space="preserve"> nga Industria </w:t>
      </w:r>
      <w:r>
        <w:rPr>
          <w:rFonts w:eastAsia="Calibri"/>
          <w:b/>
          <w:lang w:val="sq-AL"/>
        </w:rPr>
        <w:t>Ekstraktive</w:t>
      </w:r>
      <w:r w:rsidRPr="007800E2">
        <w:rPr>
          <w:rFonts w:eastAsia="Calibri"/>
          <w:b/>
          <w:lang w:val="sq-AL"/>
        </w:rPr>
        <w:t xml:space="preserve"> dhe Minerare.</w:t>
      </w:r>
      <w:r w:rsidRPr="007800E2">
        <w:rPr>
          <w:rFonts w:eastAsia="Calibri"/>
          <w:bCs/>
          <w:lang w:val="sq-AL"/>
        </w:rPr>
        <w:t xml:space="preserve"> Udhëzimi Administrativ synon të përcaktojë masat, procedurat dhe udhëzimet, si dhe menaxhimin e mbet</w:t>
      </w:r>
      <w:r>
        <w:rPr>
          <w:rFonts w:eastAsia="Calibri"/>
          <w:bCs/>
          <w:lang w:val="sq-AL"/>
        </w:rPr>
        <w:t>urinave</w:t>
      </w:r>
      <w:r w:rsidRPr="007800E2">
        <w:rPr>
          <w:rFonts w:eastAsia="Calibri"/>
          <w:bCs/>
          <w:lang w:val="sq-AL"/>
        </w:rPr>
        <w:t xml:space="preserve"> që rrjedhin nga kërkimi, shfrytëzimi, trajtimi, ruajtja e burimeve minerale të krijuara nga puna në grup në objekte dhe pajisje </w:t>
      </w:r>
      <w:r>
        <w:rPr>
          <w:rFonts w:eastAsia="Calibri"/>
          <w:bCs/>
          <w:lang w:val="sq-AL"/>
        </w:rPr>
        <w:t xml:space="preserve">si </w:t>
      </w:r>
      <w:r w:rsidRPr="007800E2">
        <w:rPr>
          <w:rFonts w:eastAsia="Calibri"/>
          <w:bCs/>
          <w:lang w:val="sq-AL"/>
        </w:rPr>
        <w:t>dhe të parandalojë ose reduktojë efektet negative në mjedis, veçanërisht mbi ujin, ajrin, tokën, florën, faunën dhe peizazhin, si dhe çdo gjë që rrezikon shëndetin e njeriut, si rezultat i administrimit të mbet</w:t>
      </w:r>
      <w:r>
        <w:rPr>
          <w:rFonts w:eastAsia="Calibri"/>
          <w:bCs/>
          <w:lang w:val="sq-AL"/>
        </w:rPr>
        <w:t>urinave</w:t>
      </w:r>
      <w:r w:rsidRPr="007800E2">
        <w:rPr>
          <w:rFonts w:eastAsia="Calibri"/>
          <w:bCs/>
          <w:lang w:val="sq-AL"/>
        </w:rPr>
        <w:t xml:space="preserve"> nga industria </w:t>
      </w:r>
      <w:r>
        <w:rPr>
          <w:rFonts w:eastAsia="Calibri"/>
          <w:bCs/>
          <w:lang w:val="sq-AL"/>
        </w:rPr>
        <w:t>ekstraktive</w:t>
      </w:r>
      <w:r w:rsidRPr="007800E2">
        <w:rPr>
          <w:rFonts w:eastAsia="Calibri"/>
          <w:bCs/>
          <w:lang w:val="sq-AL"/>
        </w:rPr>
        <w:t xml:space="preserve"> dhe minerare.</w:t>
      </w:r>
    </w:p>
    <w:p w14:paraId="12385F82" w14:textId="77777777" w:rsidR="00417EE8" w:rsidRPr="008D2D8C" w:rsidRDefault="00417EE8" w:rsidP="00417EE8">
      <w:pPr>
        <w:pStyle w:val="Paragraph"/>
        <w:rPr>
          <w:rFonts w:eastAsia="Calibri"/>
          <w:lang w:val="sq-AL"/>
        </w:rPr>
      </w:pPr>
      <w:r w:rsidRPr="007800E2">
        <w:rPr>
          <w:rFonts w:eastAsia="Calibri"/>
          <w:b/>
          <w:bCs/>
          <w:lang w:val="sq-AL"/>
        </w:rPr>
        <w:t>Udhëzimi Administrativ MMPH - Nr. 29/2014 për Menaxhimin e L</w:t>
      </w:r>
      <w:r>
        <w:rPr>
          <w:rFonts w:eastAsia="Calibri"/>
          <w:b/>
          <w:bCs/>
          <w:lang w:val="sq-AL"/>
        </w:rPr>
        <w:t>ymit</w:t>
      </w:r>
      <w:r w:rsidRPr="007800E2">
        <w:rPr>
          <w:rFonts w:eastAsia="Calibri"/>
          <w:b/>
          <w:bCs/>
          <w:lang w:val="sq-AL"/>
        </w:rPr>
        <w:t xml:space="preserve"> nga Trajtimi i Ujërave Ndotës</w:t>
      </w:r>
      <w:r w:rsidRPr="007800E2">
        <w:rPr>
          <w:rFonts w:eastAsia="Calibri"/>
          <w:lang w:val="sq-AL"/>
        </w:rPr>
        <w:t xml:space="preserve">. Udhëzimi Administrativ ka për qëllim menaxhimin e mbeturinave të </w:t>
      </w:r>
      <w:r>
        <w:rPr>
          <w:rFonts w:eastAsia="Calibri"/>
          <w:lang w:val="sq-AL"/>
        </w:rPr>
        <w:t>lymit</w:t>
      </w:r>
      <w:r w:rsidRPr="007800E2">
        <w:rPr>
          <w:rFonts w:eastAsia="Calibri"/>
          <w:lang w:val="sq-AL"/>
        </w:rPr>
        <w:t xml:space="preserve"> nga trajtimi i ujërave, duke përcaktuar kushtet dhe kriteret për përdorimin e mbet</w:t>
      </w:r>
      <w:r>
        <w:rPr>
          <w:rFonts w:eastAsia="Calibri"/>
          <w:lang w:val="sq-AL"/>
        </w:rPr>
        <w:t>urinave</w:t>
      </w:r>
      <w:r w:rsidRPr="007800E2">
        <w:rPr>
          <w:rFonts w:eastAsia="Calibri"/>
          <w:lang w:val="sq-AL"/>
        </w:rPr>
        <w:t xml:space="preserve"> nga </w:t>
      </w:r>
      <w:r>
        <w:rPr>
          <w:rFonts w:eastAsia="Calibri"/>
          <w:lang w:val="sq-AL"/>
        </w:rPr>
        <w:t>lymi</w:t>
      </w:r>
      <w:r w:rsidRPr="007800E2">
        <w:rPr>
          <w:rFonts w:eastAsia="Calibri"/>
          <w:lang w:val="sq-AL"/>
        </w:rPr>
        <w:t xml:space="preserve"> </w:t>
      </w:r>
      <w:r>
        <w:rPr>
          <w:rFonts w:eastAsia="Calibri"/>
          <w:lang w:val="sq-AL"/>
        </w:rPr>
        <w:t>i ujërave</w:t>
      </w:r>
      <w:r w:rsidRPr="007800E2">
        <w:rPr>
          <w:rFonts w:eastAsia="Calibri"/>
          <w:lang w:val="sq-AL"/>
        </w:rPr>
        <w:t xml:space="preserve">t të trajtuar, metodat e shqyrtimit të tyre, kushtet për lejimin e </w:t>
      </w:r>
      <w:r w:rsidRPr="007800E2">
        <w:rPr>
          <w:rFonts w:eastAsia="Calibri"/>
          <w:lang w:val="sq-AL"/>
        </w:rPr>
        <w:lastRenderedPageBreak/>
        <w:t>përdorimit të tyre, kushtet që duhe</w:t>
      </w:r>
      <w:r>
        <w:rPr>
          <w:rFonts w:eastAsia="Calibri"/>
          <w:lang w:val="sq-AL"/>
        </w:rPr>
        <w:t>t</w:t>
      </w:r>
      <w:r w:rsidRPr="007800E2">
        <w:rPr>
          <w:rFonts w:eastAsia="Calibri"/>
          <w:lang w:val="sq-AL"/>
        </w:rPr>
        <w:t xml:space="preserve"> </w:t>
      </w:r>
      <w:r>
        <w:rPr>
          <w:rFonts w:eastAsia="Calibri"/>
          <w:lang w:val="sq-AL"/>
        </w:rPr>
        <w:t>plot[soj[</w:t>
      </w:r>
      <w:r w:rsidRPr="007800E2">
        <w:rPr>
          <w:rFonts w:eastAsia="Calibri"/>
          <w:lang w:val="sq-AL"/>
        </w:rPr>
        <w:t xml:space="preserve"> toka në të cil</w:t>
      </w:r>
      <w:r>
        <w:rPr>
          <w:rFonts w:eastAsia="Calibri"/>
          <w:lang w:val="sq-AL"/>
        </w:rPr>
        <w:t>ën</w:t>
      </w:r>
      <w:r w:rsidRPr="007800E2">
        <w:rPr>
          <w:rFonts w:eastAsia="Calibri"/>
          <w:lang w:val="sq-AL"/>
        </w:rPr>
        <w:t xml:space="preserve"> përdoret uji (vetëm në bujqësi brenda vlerave të caktuara), si dhe kushtet në të cilat duhet të trajtohen dhe depozitohen këto mbet</w:t>
      </w:r>
      <w:r>
        <w:rPr>
          <w:rFonts w:eastAsia="Calibri"/>
          <w:lang w:val="sq-AL"/>
        </w:rPr>
        <w:t>urina</w:t>
      </w:r>
      <w:r w:rsidRPr="007800E2">
        <w:rPr>
          <w:rFonts w:eastAsia="Calibri"/>
          <w:lang w:val="sq-AL"/>
        </w:rPr>
        <w:t xml:space="preserve">. Gjithashtu, ky UA përcakton masat për ndalimin ose kufizimin e përdorimit të </w:t>
      </w:r>
      <w:r>
        <w:rPr>
          <w:rFonts w:eastAsia="Calibri"/>
          <w:lang w:val="sq-AL"/>
        </w:rPr>
        <w:t>lymit</w:t>
      </w:r>
      <w:r w:rsidRPr="007800E2">
        <w:rPr>
          <w:rFonts w:eastAsia="Calibri"/>
          <w:lang w:val="sq-AL"/>
        </w:rPr>
        <w:t xml:space="preserve"> përtej kufijve të caktuar, për të parandaluar ose reduktuar efektet negative në mjedis dhe </w:t>
      </w:r>
      <w:r>
        <w:rPr>
          <w:rFonts w:eastAsia="Calibri"/>
          <w:lang w:val="sq-AL"/>
        </w:rPr>
        <w:t xml:space="preserve">në </w:t>
      </w:r>
      <w:r w:rsidRPr="007800E2">
        <w:rPr>
          <w:rFonts w:eastAsia="Calibri"/>
          <w:lang w:val="sq-AL"/>
        </w:rPr>
        <w:t>shëndetin e njeriut nga mbet</w:t>
      </w:r>
      <w:r>
        <w:rPr>
          <w:rFonts w:eastAsia="Calibri"/>
          <w:lang w:val="sq-AL"/>
        </w:rPr>
        <w:t>urinat</w:t>
      </w:r>
      <w:r w:rsidRPr="007800E2">
        <w:rPr>
          <w:rFonts w:eastAsia="Calibri"/>
          <w:lang w:val="sq-AL"/>
        </w:rPr>
        <w:t xml:space="preserve"> e </w:t>
      </w:r>
      <w:r>
        <w:rPr>
          <w:rFonts w:eastAsia="Calibri"/>
          <w:lang w:val="sq-AL"/>
        </w:rPr>
        <w:t>lymit</w:t>
      </w:r>
      <w:r w:rsidRPr="007800E2">
        <w:rPr>
          <w:rFonts w:eastAsia="Calibri"/>
          <w:lang w:val="sq-AL"/>
        </w:rPr>
        <w:t xml:space="preserve"> gjatë përdorimit bujqësor.</w:t>
      </w:r>
    </w:p>
    <w:p w14:paraId="0AA94C8F" w14:textId="77777777" w:rsidR="00417EE8" w:rsidRPr="008D2D8C" w:rsidRDefault="00417EE8" w:rsidP="00417EE8">
      <w:pPr>
        <w:pStyle w:val="Paragraph"/>
        <w:rPr>
          <w:rFonts w:eastAsia="Calibri"/>
          <w:bCs/>
          <w:lang w:val="sq-AL"/>
        </w:rPr>
      </w:pPr>
      <w:r w:rsidRPr="007800E2">
        <w:rPr>
          <w:rFonts w:eastAsia="Calibri"/>
          <w:b/>
          <w:lang w:val="sq-AL"/>
        </w:rPr>
        <w:t xml:space="preserve">Udhëzimi Administrativ </w:t>
      </w:r>
      <w:r>
        <w:rPr>
          <w:rFonts w:eastAsia="Calibri"/>
          <w:b/>
          <w:lang w:val="sq-AL"/>
        </w:rPr>
        <w:t>MMPHI</w:t>
      </w:r>
      <w:r w:rsidRPr="007800E2">
        <w:rPr>
          <w:rFonts w:eastAsia="Calibri"/>
          <w:b/>
          <w:lang w:val="sq-AL"/>
        </w:rPr>
        <w:t xml:space="preserve"> NR.02/2024 për përcaktimin e kushteve, kritereve dhe procedurave për dhënien e lejeve për import, eksport dhe tran</w:t>
      </w:r>
      <w:r>
        <w:rPr>
          <w:rFonts w:eastAsia="Calibri"/>
          <w:b/>
          <w:lang w:val="sq-AL"/>
        </w:rPr>
        <w:t>z</w:t>
      </w:r>
      <w:r w:rsidRPr="007800E2">
        <w:rPr>
          <w:rFonts w:eastAsia="Calibri"/>
          <w:b/>
          <w:lang w:val="sq-AL"/>
        </w:rPr>
        <w:t>it të mbeturinave. A</w:t>
      </w:r>
      <w:r>
        <w:rPr>
          <w:rFonts w:eastAsia="Calibri"/>
          <w:b/>
          <w:lang w:val="sq-AL"/>
        </w:rPr>
        <w:t>i</w:t>
      </w:r>
      <w:r w:rsidRPr="007800E2">
        <w:rPr>
          <w:rFonts w:eastAsia="Calibri"/>
          <w:b/>
          <w:lang w:val="sq-AL"/>
        </w:rPr>
        <w:t xml:space="preserve"> përcakton kushtet dhe procedurat për dhënien e lejeve për import, eksport dhe tran</w:t>
      </w:r>
      <w:r>
        <w:rPr>
          <w:rFonts w:eastAsia="Calibri"/>
          <w:b/>
          <w:lang w:val="sq-AL"/>
        </w:rPr>
        <w:t>z</w:t>
      </w:r>
      <w:r w:rsidRPr="007800E2">
        <w:rPr>
          <w:rFonts w:eastAsia="Calibri"/>
          <w:b/>
          <w:lang w:val="sq-AL"/>
        </w:rPr>
        <w:t>it të mbeturinave në Republikën e Kosovës</w:t>
      </w:r>
      <w:r w:rsidRPr="007800E2">
        <w:rPr>
          <w:rFonts w:eastAsia="Calibri"/>
          <w:bCs/>
          <w:lang w:val="sq-AL"/>
        </w:rPr>
        <w:t>. Gjithashtu, ky Udhëzim Administrativ rregullon procedurat për mbikëqyrjen e lëvizjes ndërkufitare të mbeturinave në vendkalimet kufitare që kanë të bëjnë me lëvizjen e mbeturinave në Republikën e Kosovës.</w:t>
      </w:r>
    </w:p>
    <w:p w14:paraId="4242B0BD" w14:textId="77777777" w:rsidR="006379F2" w:rsidRPr="008D2D8C" w:rsidRDefault="006379F2" w:rsidP="006379F2">
      <w:pPr>
        <w:pStyle w:val="Paragraph"/>
        <w:rPr>
          <w:rFonts w:eastAsia="Calibri"/>
          <w:lang w:val="sq-AL"/>
        </w:rPr>
      </w:pPr>
      <w:r w:rsidRPr="007800E2">
        <w:rPr>
          <w:rFonts w:eastAsia="Calibri"/>
          <w:b/>
          <w:bCs/>
          <w:lang w:val="sq-AL"/>
        </w:rPr>
        <w:t>Udhëzimi Administrativ (MMPH) - Nr. 02/2017 për Listën e Kategorive të Mbeturinave të Rrezikshme sipas Prejardhjes</w:t>
      </w:r>
      <w:r w:rsidRPr="007800E2">
        <w:rPr>
          <w:rFonts w:eastAsia="Calibri"/>
          <w:lang w:val="sq-AL"/>
        </w:rPr>
        <w:t>. Udhëzimi Administrativ përcakton dhe udhëzon personat juridikë dhe fizikë për mënyrën e Listës së kategorisë së mbeturinave të rrezikshme sipas origjinës, e cila është pjesë përbërëse e Konventës së Bazelit dhe Ligjit për Mbeturina të Republikës së Kosovës.</w:t>
      </w:r>
    </w:p>
    <w:p w14:paraId="5ED3739B" w14:textId="77777777" w:rsidR="006379F2" w:rsidRPr="008D2D8C" w:rsidRDefault="006379F2" w:rsidP="006379F2">
      <w:pPr>
        <w:pStyle w:val="Paragraph"/>
        <w:rPr>
          <w:rFonts w:eastAsia="Calibri"/>
          <w:b/>
          <w:lang w:val="sq-AL"/>
        </w:rPr>
      </w:pPr>
      <w:r w:rsidRPr="007800E2">
        <w:rPr>
          <w:rFonts w:eastAsia="Calibri"/>
          <w:b/>
          <w:lang w:val="sq-AL"/>
        </w:rPr>
        <w:t>Udhëzimi Administrativ (MMPH) - Nr. 14/2017 për Mbet</w:t>
      </w:r>
      <w:r>
        <w:rPr>
          <w:rFonts w:eastAsia="Calibri"/>
          <w:b/>
          <w:lang w:val="sq-AL"/>
        </w:rPr>
        <w:t>urinat</w:t>
      </w:r>
      <w:r w:rsidRPr="007800E2">
        <w:rPr>
          <w:rFonts w:eastAsia="Calibri"/>
          <w:b/>
          <w:lang w:val="sq-AL"/>
        </w:rPr>
        <w:t xml:space="preserve"> që përmbajnë </w:t>
      </w:r>
      <w:r>
        <w:rPr>
          <w:rFonts w:eastAsia="Calibri"/>
          <w:b/>
          <w:lang w:val="sq-AL"/>
        </w:rPr>
        <w:t>Ndotës Organik të Qëndrueshëm</w:t>
      </w:r>
      <w:r w:rsidRPr="007800E2">
        <w:rPr>
          <w:rFonts w:eastAsia="Calibri"/>
          <w:b/>
          <w:lang w:val="sq-AL"/>
        </w:rPr>
        <w:t xml:space="preserve">. </w:t>
      </w:r>
      <w:r w:rsidRPr="007800E2">
        <w:rPr>
          <w:rFonts w:eastAsia="Calibri"/>
          <w:bCs/>
          <w:lang w:val="sq-AL"/>
        </w:rPr>
        <w:t>Udhëzimi Administrativ synon të mbrojë mjedisin dhe shëndetin e njerëzve nga mbet</w:t>
      </w:r>
      <w:r>
        <w:rPr>
          <w:rFonts w:eastAsia="Calibri"/>
          <w:bCs/>
          <w:lang w:val="sq-AL"/>
        </w:rPr>
        <w:t>urinat</w:t>
      </w:r>
      <w:r w:rsidRPr="007800E2">
        <w:rPr>
          <w:rFonts w:eastAsia="Calibri"/>
          <w:bCs/>
          <w:lang w:val="sq-AL"/>
        </w:rPr>
        <w:t xml:space="preserve"> që përmbajnë </w:t>
      </w:r>
      <w:r>
        <w:rPr>
          <w:rFonts w:eastAsia="Calibri"/>
          <w:bCs/>
          <w:lang w:val="sq-AL"/>
        </w:rPr>
        <w:t>Materie me Ndotës Organik të Qëndrueshëm</w:t>
      </w:r>
      <w:r w:rsidRPr="007800E2">
        <w:rPr>
          <w:rFonts w:eastAsia="Calibri"/>
          <w:bCs/>
          <w:lang w:val="sq-AL"/>
        </w:rPr>
        <w:t xml:space="preserve"> (</w:t>
      </w:r>
      <w:r>
        <w:rPr>
          <w:rFonts w:eastAsia="Calibri"/>
          <w:bCs/>
          <w:lang w:val="sq-AL"/>
        </w:rPr>
        <w:t>MNOQ</w:t>
      </w:r>
      <w:r w:rsidRPr="007800E2">
        <w:rPr>
          <w:rFonts w:eastAsia="Calibri"/>
          <w:bCs/>
          <w:lang w:val="sq-AL"/>
        </w:rPr>
        <w:t>), duke kufizuar dhe ndaluar prodhimin, vendosjen në treg dhe përdorimin e materialeve që përmbajnë NOQ me qëllim minimizimin dhe eliminimin e këtyre çështjeve. Gjithashtu, ky Udhëzim Administrativ rregullon mënyrat dhe procedurat e menaxhimit të mbet</w:t>
      </w:r>
      <w:r>
        <w:rPr>
          <w:rFonts w:eastAsia="Calibri"/>
          <w:bCs/>
          <w:lang w:val="sq-AL"/>
        </w:rPr>
        <w:t>urinave</w:t>
      </w:r>
      <w:r w:rsidRPr="007800E2">
        <w:rPr>
          <w:rFonts w:eastAsia="Calibri"/>
          <w:bCs/>
          <w:lang w:val="sq-AL"/>
        </w:rPr>
        <w:t xml:space="preserve"> me NOQ, vlerat kufitare dhe përqendrimet e NOQ-ve, në lidhje me mbet</w:t>
      </w:r>
      <w:r>
        <w:rPr>
          <w:rFonts w:eastAsia="Calibri"/>
          <w:bCs/>
          <w:lang w:val="sq-AL"/>
        </w:rPr>
        <w:t>urinat</w:t>
      </w:r>
      <w:r w:rsidRPr="007800E2">
        <w:rPr>
          <w:rFonts w:eastAsia="Calibri"/>
          <w:bCs/>
          <w:lang w:val="sq-AL"/>
        </w:rPr>
        <w:t xml:space="preserve"> që përmbajnë ose janë të kontaminuara me NOQ, si më poshtë:</w:t>
      </w:r>
    </w:p>
    <w:p w14:paraId="7106DAFF" w14:textId="77777777" w:rsidR="006379F2" w:rsidRDefault="006379F2" w:rsidP="006379F2">
      <w:pPr>
        <w:pStyle w:val="Bullet"/>
        <w:rPr>
          <w:lang w:val="sq-AL"/>
        </w:rPr>
      </w:pPr>
      <w:r w:rsidRPr="007800E2">
        <w:rPr>
          <w:lang w:val="sq-AL"/>
        </w:rPr>
        <w:t>Mbet</w:t>
      </w:r>
      <w:r>
        <w:rPr>
          <w:lang w:val="sq-AL"/>
        </w:rPr>
        <w:t>urinat</w:t>
      </w:r>
      <w:r w:rsidRPr="007800E2">
        <w:rPr>
          <w:lang w:val="sq-AL"/>
        </w:rPr>
        <w:t xml:space="preserve"> nga pajisjet elektrike dhe elektronike që përmbajnë bifenile të poliklorinuara që përmbajnë NOQ dhe vajra</w:t>
      </w:r>
      <w:r>
        <w:rPr>
          <w:lang w:val="sq-AL"/>
        </w:rPr>
        <w:t>t mbeturinë</w:t>
      </w:r>
      <w:r w:rsidRPr="007800E2">
        <w:rPr>
          <w:lang w:val="sq-AL"/>
        </w:rPr>
        <w:t xml:space="preserve"> që përmbajnë PCB;</w:t>
      </w:r>
    </w:p>
    <w:p w14:paraId="2F0C52BD" w14:textId="77777777" w:rsidR="006379F2" w:rsidRDefault="006379F2" w:rsidP="006379F2">
      <w:pPr>
        <w:pStyle w:val="Bullet"/>
        <w:rPr>
          <w:lang w:val="sq-AL"/>
        </w:rPr>
      </w:pPr>
      <w:r w:rsidRPr="007800E2">
        <w:rPr>
          <w:lang w:val="sq-AL"/>
        </w:rPr>
        <w:t>Mbetj</w:t>
      </w:r>
      <w:r>
        <w:rPr>
          <w:lang w:val="sq-AL"/>
        </w:rPr>
        <w:t xml:space="preserve">urinat </w:t>
      </w:r>
      <w:r w:rsidRPr="007800E2">
        <w:rPr>
          <w:lang w:val="sq-AL"/>
        </w:rPr>
        <w:t>e ndërtimit që përmbajnë NOQ dhe PCB, duke përfshirë materialet e kontaminuara me NOQ ose PCB;</w:t>
      </w:r>
    </w:p>
    <w:p w14:paraId="06CED7EF" w14:textId="77777777" w:rsidR="006379F2" w:rsidRDefault="006379F2" w:rsidP="006379F2">
      <w:pPr>
        <w:pStyle w:val="Bullet"/>
        <w:rPr>
          <w:lang w:val="sq-AL"/>
        </w:rPr>
      </w:pPr>
      <w:r w:rsidRPr="007800E2">
        <w:rPr>
          <w:lang w:val="sq-AL"/>
        </w:rPr>
        <w:t>Mbet</w:t>
      </w:r>
      <w:r>
        <w:rPr>
          <w:lang w:val="sq-AL"/>
        </w:rPr>
        <w:t>urinat</w:t>
      </w:r>
      <w:r w:rsidRPr="007800E2">
        <w:rPr>
          <w:lang w:val="sq-AL"/>
        </w:rPr>
        <w:t xml:space="preserve"> nga pesticidet që përmbajnë substanca </w:t>
      </w:r>
      <w:r>
        <w:rPr>
          <w:lang w:val="sq-AL"/>
        </w:rPr>
        <w:t>NOQ</w:t>
      </w:r>
      <w:r w:rsidRPr="007800E2">
        <w:rPr>
          <w:lang w:val="sq-AL"/>
        </w:rPr>
        <w:t>;</w:t>
      </w:r>
    </w:p>
    <w:p w14:paraId="483E92F0" w14:textId="77777777" w:rsidR="006379F2" w:rsidRPr="007800E2" w:rsidRDefault="006379F2" w:rsidP="006379F2">
      <w:pPr>
        <w:pStyle w:val="Bullet"/>
        <w:rPr>
          <w:lang w:val="sq-AL"/>
        </w:rPr>
      </w:pPr>
      <w:r w:rsidRPr="007800E2">
        <w:rPr>
          <w:lang w:val="sq-AL"/>
        </w:rPr>
        <w:t>Mbet</w:t>
      </w:r>
      <w:r>
        <w:rPr>
          <w:lang w:val="sq-AL"/>
        </w:rPr>
        <w:t>uirnat</w:t>
      </w:r>
      <w:r w:rsidRPr="007800E2">
        <w:rPr>
          <w:lang w:val="sq-AL"/>
        </w:rPr>
        <w:t xml:space="preserve"> e kontaminuara gjatë prodhimit të materialeve që përmbajnë NO</w:t>
      </w:r>
      <w:r>
        <w:rPr>
          <w:lang w:val="sq-AL"/>
        </w:rPr>
        <w:t>Q</w:t>
      </w:r>
      <w:r w:rsidRPr="007800E2">
        <w:rPr>
          <w:lang w:val="sq-AL"/>
        </w:rPr>
        <w:t>.</w:t>
      </w:r>
    </w:p>
    <w:p w14:paraId="5156BEA4" w14:textId="77777777" w:rsidR="00D30B72" w:rsidRPr="00AF0235" w:rsidRDefault="00D30B72" w:rsidP="00B1488D">
      <w:pPr>
        <w:ind w:left="1080"/>
        <w:contextualSpacing/>
        <w:rPr>
          <w:rFonts w:eastAsia="Calibri" w:cs="Calibri"/>
          <w:iCs/>
          <w:color w:val="000000"/>
          <w:kern w:val="2"/>
          <w:sz w:val="22"/>
          <w:szCs w:val="22"/>
          <w14:ligatures w14:val="standardContextual"/>
        </w:rPr>
      </w:pPr>
    </w:p>
    <w:p w14:paraId="48413C96" w14:textId="77777777" w:rsidR="006379F2" w:rsidRPr="008D2D8C" w:rsidRDefault="006379F2" w:rsidP="006379F2">
      <w:pPr>
        <w:pStyle w:val="Paragraph"/>
        <w:rPr>
          <w:rFonts w:eastAsia="Calibri"/>
          <w:b/>
          <w:lang w:val="sq-AL"/>
        </w:rPr>
      </w:pPr>
      <w:bookmarkStart w:id="38" w:name="_Hlk197122745"/>
      <w:r w:rsidRPr="007800E2">
        <w:rPr>
          <w:rFonts w:eastAsia="Calibri"/>
          <w:b/>
          <w:lang w:val="sq-AL"/>
        </w:rPr>
        <w:t>Udhëzimi Administrativ MMPH</w:t>
      </w:r>
      <w:r>
        <w:rPr>
          <w:rFonts w:eastAsia="Calibri"/>
          <w:b/>
          <w:lang w:val="sq-AL"/>
        </w:rPr>
        <w:t>I</w:t>
      </w:r>
      <w:r w:rsidRPr="007800E2">
        <w:rPr>
          <w:rFonts w:eastAsia="Calibri"/>
          <w:b/>
          <w:lang w:val="sq-AL"/>
        </w:rPr>
        <w:t xml:space="preserve"> - Nr. 01/2015 për Listën e mbeturinave të OECD.</w:t>
      </w:r>
      <w:r w:rsidRPr="007800E2">
        <w:rPr>
          <w:rFonts w:eastAsia="Calibri"/>
          <w:bCs/>
          <w:lang w:val="sq-AL"/>
        </w:rPr>
        <w:t xml:space="preserve"> Udhëzimi Administrativ merr parasysh dhe udhëzon përdorimin e Listës </w:t>
      </w:r>
      <w:r>
        <w:rPr>
          <w:rFonts w:eastAsia="Calibri"/>
          <w:bCs/>
          <w:lang w:val="sq-AL"/>
        </w:rPr>
        <w:t>e OECD-së për</w:t>
      </w:r>
      <w:r w:rsidRPr="007800E2">
        <w:rPr>
          <w:rFonts w:eastAsia="Calibri"/>
          <w:bCs/>
          <w:lang w:val="sq-AL"/>
        </w:rPr>
        <w:t xml:space="preserve"> Mbet</w:t>
      </w:r>
      <w:r>
        <w:rPr>
          <w:rFonts w:eastAsia="Calibri"/>
          <w:bCs/>
          <w:lang w:val="sq-AL"/>
        </w:rPr>
        <w:t>urinat</w:t>
      </w:r>
      <w:r w:rsidRPr="007800E2">
        <w:rPr>
          <w:rFonts w:eastAsia="Calibri"/>
          <w:bCs/>
          <w:lang w:val="sq-AL"/>
        </w:rPr>
        <w:t>, Lista</w:t>
      </w:r>
      <w:r>
        <w:rPr>
          <w:rFonts w:eastAsia="Calibri"/>
          <w:bCs/>
          <w:lang w:val="sq-AL"/>
        </w:rPr>
        <w:t>t</w:t>
      </w:r>
      <w:r w:rsidRPr="007800E2">
        <w:rPr>
          <w:rFonts w:eastAsia="Calibri"/>
          <w:bCs/>
          <w:lang w:val="sq-AL"/>
        </w:rPr>
        <w:t xml:space="preserve"> </w:t>
      </w:r>
      <w:r>
        <w:rPr>
          <w:rFonts w:eastAsia="Calibri"/>
          <w:bCs/>
          <w:lang w:val="sq-AL"/>
        </w:rPr>
        <w:t>e</w:t>
      </w:r>
      <w:r w:rsidRPr="007800E2">
        <w:rPr>
          <w:rFonts w:eastAsia="Calibri"/>
          <w:bCs/>
          <w:lang w:val="sq-AL"/>
        </w:rPr>
        <w:t xml:space="preserve"> Legjislacionit të</w:t>
      </w:r>
      <w:r>
        <w:rPr>
          <w:rFonts w:eastAsia="Calibri"/>
          <w:bCs/>
          <w:lang w:val="sq-AL"/>
        </w:rPr>
        <w:t xml:space="preserve"> BE-së për</w:t>
      </w:r>
      <w:r w:rsidRPr="007800E2">
        <w:rPr>
          <w:rFonts w:eastAsia="Calibri"/>
          <w:bCs/>
          <w:lang w:val="sq-AL"/>
        </w:rPr>
        <w:t xml:space="preserve"> Mbet</w:t>
      </w:r>
      <w:r>
        <w:rPr>
          <w:rFonts w:eastAsia="Calibri"/>
          <w:bCs/>
          <w:lang w:val="sq-AL"/>
        </w:rPr>
        <w:t>urinat</w:t>
      </w:r>
      <w:r w:rsidRPr="007800E2">
        <w:rPr>
          <w:rFonts w:eastAsia="Calibri"/>
          <w:bCs/>
          <w:lang w:val="sq-AL"/>
        </w:rPr>
        <w:t>, si dhe Listë</w:t>
      </w:r>
      <w:r>
        <w:rPr>
          <w:rFonts w:eastAsia="Calibri"/>
          <w:bCs/>
          <w:lang w:val="sq-AL"/>
        </w:rPr>
        <w:t>n</w:t>
      </w:r>
      <w:r w:rsidRPr="007800E2">
        <w:rPr>
          <w:rFonts w:eastAsia="Calibri"/>
          <w:bCs/>
          <w:lang w:val="sq-AL"/>
        </w:rPr>
        <w:t xml:space="preserve">  </w:t>
      </w:r>
      <w:r>
        <w:rPr>
          <w:rFonts w:eastAsia="Calibri"/>
          <w:bCs/>
          <w:lang w:val="sq-AL"/>
        </w:rPr>
        <w:t>e</w:t>
      </w:r>
      <w:r w:rsidRPr="007800E2">
        <w:rPr>
          <w:rFonts w:eastAsia="Calibri"/>
          <w:bCs/>
          <w:lang w:val="sq-AL"/>
        </w:rPr>
        <w:t xml:space="preserve"> Konventës së Bazelit</w:t>
      </w:r>
      <w:r>
        <w:rPr>
          <w:rFonts w:eastAsia="Calibri"/>
          <w:bCs/>
          <w:lang w:val="sq-AL"/>
        </w:rPr>
        <w:t xml:space="preserve"> për Mbeturinat</w:t>
      </w:r>
      <w:r w:rsidRPr="007800E2">
        <w:rPr>
          <w:rFonts w:eastAsia="Calibri"/>
          <w:bCs/>
          <w:lang w:val="sq-AL"/>
        </w:rPr>
        <w:t>, të cilat janë pjesë përbërëse e Ligjit për Mbet</w:t>
      </w:r>
      <w:r>
        <w:rPr>
          <w:rFonts w:eastAsia="Calibri"/>
          <w:bCs/>
          <w:lang w:val="sq-AL"/>
        </w:rPr>
        <w:t>urina</w:t>
      </w:r>
      <w:r w:rsidRPr="007800E2">
        <w:rPr>
          <w:rFonts w:eastAsia="Calibri"/>
          <w:bCs/>
          <w:lang w:val="sq-AL"/>
        </w:rPr>
        <w:t xml:space="preserve"> dhe akteve nënligjore të nxjerra në zbatim të tij.</w:t>
      </w:r>
    </w:p>
    <w:bookmarkEnd w:id="38"/>
    <w:p w14:paraId="58F970A5" w14:textId="77777777" w:rsidR="00D30B72" w:rsidRDefault="00D30B72" w:rsidP="00B1488D">
      <w:pPr>
        <w:pStyle w:val="Paragraph"/>
        <w:spacing w:after="0"/>
        <w:rPr>
          <w:rFonts w:eastAsia="Calibri"/>
        </w:rPr>
      </w:pPr>
      <w:r w:rsidRPr="00AF0235">
        <w:rPr>
          <w:rFonts w:eastAsia="Calibri"/>
          <w:b/>
        </w:rPr>
        <w:t xml:space="preserve">Udhëzim Administrativ MMPH - Nr. 05/2015 për Menaxhimin e Bifenileve dhe Trefenileve të Poliklorinuara dhe Mbeturinave të PCB-ve dhe PCT-ve. </w:t>
      </w:r>
      <w:r w:rsidRPr="00AF0235">
        <w:rPr>
          <w:rFonts w:eastAsia="Calibri"/>
        </w:rPr>
        <w:t>Udhëzimi Administrativ përcakton kushtet e nevojshme për mbledhjen, ruajtjen, trajtimin dhe kontrollin e bifenileve të poliklorinuara (PCB) dhe trifenileve të poliklorinuara (PCT) në materialet dhe mbeturinat e pajisjeve, në mënyrë që të mos rrezikohet shëndeti i njeriut dhe mjedisi.</w:t>
      </w:r>
    </w:p>
    <w:p w14:paraId="458EB283" w14:textId="77777777" w:rsidR="00B1488D" w:rsidRPr="00AF0235" w:rsidRDefault="00B1488D" w:rsidP="00B1488D">
      <w:pPr>
        <w:pStyle w:val="Paragraph"/>
        <w:spacing w:after="0"/>
        <w:rPr>
          <w:rFonts w:eastAsia="Calibri"/>
          <w:b/>
        </w:rPr>
      </w:pPr>
    </w:p>
    <w:p w14:paraId="12BE4339" w14:textId="77777777" w:rsidR="006379F2" w:rsidRPr="008D2D8C" w:rsidRDefault="006379F2" w:rsidP="006379F2">
      <w:pPr>
        <w:pStyle w:val="Paragraph"/>
        <w:rPr>
          <w:rFonts w:eastAsia="Calibri"/>
          <w:lang w:val="sq-AL"/>
        </w:rPr>
      </w:pPr>
      <w:r w:rsidRPr="00CB148B">
        <w:rPr>
          <w:rFonts w:eastAsia="Calibri"/>
          <w:b/>
          <w:bCs/>
          <w:lang w:val="sq-AL"/>
        </w:rPr>
        <w:t>Udhëzimi Administrativ Nr. 13/2013 për Katalogun Shtetëror të Mbet</w:t>
      </w:r>
      <w:r>
        <w:rPr>
          <w:rFonts w:eastAsia="Calibri"/>
          <w:b/>
          <w:bCs/>
          <w:lang w:val="sq-AL"/>
        </w:rPr>
        <w:t>urinave</w:t>
      </w:r>
      <w:r w:rsidRPr="00CB148B">
        <w:rPr>
          <w:rFonts w:eastAsia="Calibri"/>
          <w:lang w:val="sq-AL"/>
        </w:rPr>
        <w:t xml:space="preserve">. Udhëzimi Administrativ synon të udhëzojë personat fizikë dhe juridikë për përdorimin e Katalogut Shtetëror të Mbeturinave, harmonizimin e </w:t>
      </w:r>
      <w:r>
        <w:rPr>
          <w:rFonts w:eastAsia="Calibri"/>
          <w:lang w:val="sq-AL"/>
        </w:rPr>
        <w:t>tij</w:t>
      </w:r>
      <w:r w:rsidRPr="00CB148B">
        <w:rPr>
          <w:rFonts w:eastAsia="Calibri"/>
          <w:lang w:val="sq-AL"/>
        </w:rPr>
        <w:t xml:space="preserve"> me Katalogun Evropian të Mbet</w:t>
      </w:r>
      <w:r>
        <w:rPr>
          <w:rFonts w:eastAsia="Calibri"/>
          <w:lang w:val="sq-AL"/>
        </w:rPr>
        <w:t>urinave</w:t>
      </w:r>
      <w:r w:rsidRPr="00CB148B">
        <w:rPr>
          <w:rFonts w:eastAsia="Calibri"/>
          <w:lang w:val="sq-AL"/>
        </w:rPr>
        <w:t xml:space="preserve"> dhe kategorizimin e mbet</w:t>
      </w:r>
      <w:r>
        <w:rPr>
          <w:rFonts w:eastAsia="Calibri"/>
          <w:lang w:val="sq-AL"/>
        </w:rPr>
        <w:t>urinave</w:t>
      </w:r>
      <w:r w:rsidRPr="00CB148B">
        <w:rPr>
          <w:rFonts w:eastAsia="Calibri"/>
          <w:lang w:val="sq-AL"/>
        </w:rPr>
        <w:t xml:space="preserve"> sipas llojeve në Shtojcën I të këtij UA. Katalogu i mbet</w:t>
      </w:r>
      <w:r>
        <w:rPr>
          <w:rFonts w:eastAsia="Calibri"/>
          <w:lang w:val="sq-AL"/>
        </w:rPr>
        <w:t>urinave</w:t>
      </w:r>
      <w:r w:rsidRPr="00CB148B">
        <w:rPr>
          <w:rFonts w:eastAsia="Calibri"/>
          <w:lang w:val="sq-AL"/>
        </w:rPr>
        <w:t xml:space="preserve"> është një listë që përfshin të gjitha mbet</w:t>
      </w:r>
      <w:r>
        <w:rPr>
          <w:rFonts w:eastAsia="Calibri"/>
          <w:lang w:val="sq-AL"/>
        </w:rPr>
        <w:t>urinat</w:t>
      </w:r>
      <w:r w:rsidRPr="00CB148B">
        <w:rPr>
          <w:rFonts w:eastAsia="Calibri"/>
          <w:lang w:val="sq-AL"/>
        </w:rPr>
        <w:t xml:space="preserve"> e rrezikshme, jo të rrezikshme dhe inerte, sipas të cilave mbet</w:t>
      </w:r>
      <w:r>
        <w:rPr>
          <w:rFonts w:eastAsia="Calibri"/>
          <w:lang w:val="sq-AL"/>
        </w:rPr>
        <w:t>urinat</w:t>
      </w:r>
      <w:r w:rsidRPr="00CB148B">
        <w:rPr>
          <w:rFonts w:eastAsia="Calibri"/>
          <w:lang w:val="sq-AL"/>
        </w:rPr>
        <w:t xml:space="preserve"> klasifikohen duke i shënuar me numra të caktuar.</w:t>
      </w:r>
    </w:p>
    <w:p w14:paraId="0FE1CAE0" w14:textId="77777777" w:rsidR="006379F2" w:rsidRPr="008D2D8C" w:rsidRDefault="006379F2" w:rsidP="006379F2">
      <w:pPr>
        <w:pStyle w:val="Paragraph"/>
        <w:rPr>
          <w:rFonts w:eastAsia="Calibri"/>
          <w:b/>
          <w:lang w:val="sq-AL"/>
        </w:rPr>
      </w:pPr>
      <w:r w:rsidRPr="00CB148B">
        <w:rPr>
          <w:rFonts w:eastAsia="Calibri"/>
          <w:b/>
          <w:lang w:val="sq-AL"/>
        </w:rPr>
        <w:t xml:space="preserve">Udhëzimi Administrativ Nr. 16/2013 për vlerat kufitare të përqendrimeve për komponentët e rrezikshëm në mbeturina. </w:t>
      </w:r>
      <w:r w:rsidRPr="00CB148B">
        <w:rPr>
          <w:rFonts w:eastAsia="Calibri"/>
          <w:bCs/>
          <w:lang w:val="sq-AL"/>
        </w:rPr>
        <w:t>Udhëzimi Administrativ synon klasifikimin e mbet</w:t>
      </w:r>
      <w:r>
        <w:rPr>
          <w:rFonts w:eastAsia="Calibri"/>
          <w:bCs/>
          <w:lang w:val="sq-AL"/>
        </w:rPr>
        <w:t>urinave</w:t>
      </w:r>
      <w:r w:rsidRPr="00CB148B">
        <w:rPr>
          <w:rFonts w:eastAsia="Calibri"/>
          <w:bCs/>
          <w:lang w:val="sq-AL"/>
        </w:rPr>
        <w:t xml:space="preserve"> dhe vlerat kufitare të përqendrimit për komponentët e rrezikshëm në mbet</w:t>
      </w:r>
      <w:r>
        <w:rPr>
          <w:rFonts w:eastAsia="Calibri"/>
          <w:bCs/>
          <w:lang w:val="sq-AL"/>
        </w:rPr>
        <w:t>urina</w:t>
      </w:r>
      <w:r w:rsidRPr="00CB148B">
        <w:rPr>
          <w:rFonts w:eastAsia="Calibri"/>
          <w:bCs/>
          <w:lang w:val="sq-AL"/>
        </w:rPr>
        <w:t>, në bazë të të cilave përcaktohen karakteristikat e mbet</w:t>
      </w:r>
      <w:r>
        <w:rPr>
          <w:rFonts w:eastAsia="Calibri"/>
          <w:bCs/>
          <w:lang w:val="sq-AL"/>
        </w:rPr>
        <w:t>urinave</w:t>
      </w:r>
      <w:r w:rsidRPr="00CB148B">
        <w:rPr>
          <w:rFonts w:eastAsia="Calibri"/>
          <w:bCs/>
          <w:lang w:val="sq-AL"/>
        </w:rPr>
        <w:t>, sipas shtojcave të përcaktuara në këtë UA.</w:t>
      </w:r>
    </w:p>
    <w:p w14:paraId="2E70039F" w14:textId="77777777" w:rsidR="006379F2" w:rsidRPr="008D2D8C" w:rsidRDefault="006379F2" w:rsidP="006379F2">
      <w:pPr>
        <w:pStyle w:val="Paragraph"/>
        <w:rPr>
          <w:rFonts w:eastAsia="Calibri"/>
          <w:lang w:val="sq-AL"/>
        </w:rPr>
      </w:pPr>
      <w:bookmarkStart w:id="39" w:name="_Toc170470798"/>
      <w:r w:rsidRPr="00CB148B">
        <w:rPr>
          <w:rFonts w:eastAsia="Calibri"/>
          <w:b/>
          <w:bCs/>
          <w:lang w:val="sq-AL"/>
        </w:rPr>
        <w:lastRenderedPageBreak/>
        <w:t>Udhëzimi Administrativ (MMPH) Nr. 22/2013 për Menaxhimin e Mbet</w:t>
      </w:r>
      <w:r>
        <w:rPr>
          <w:rFonts w:eastAsia="Calibri"/>
          <w:b/>
          <w:bCs/>
          <w:lang w:val="sq-AL"/>
        </w:rPr>
        <w:t>urinave</w:t>
      </w:r>
      <w:r w:rsidRPr="00CB148B">
        <w:rPr>
          <w:rFonts w:eastAsia="Calibri"/>
          <w:b/>
          <w:bCs/>
          <w:lang w:val="sq-AL"/>
        </w:rPr>
        <w:t xml:space="preserve"> </w:t>
      </w:r>
      <w:r>
        <w:rPr>
          <w:rFonts w:eastAsia="Calibri"/>
          <w:b/>
          <w:bCs/>
          <w:lang w:val="sq-AL"/>
        </w:rPr>
        <w:t xml:space="preserve">nga Produktet </w:t>
      </w:r>
      <w:r w:rsidRPr="00CB148B">
        <w:rPr>
          <w:rFonts w:eastAsia="Calibri"/>
          <w:b/>
          <w:bCs/>
          <w:lang w:val="sq-AL"/>
        </w:rPr>
        <w:t xml:space="preserve">Medicinale </w:t>
      </w:r>
      <w:r>
        <w:rPr>
          <w:rFonts w:eastAsia="Calibri"/>
          <w:b/>
          <w:bCs/>
          <w:lang w:val="sq-AL"/>
        </w:rPr>
        <w:t>Humane</w:t>
      </w:r>
      <w:r w:rsidRPr="00CB148B">
        <w:rPr>
          <w:rFonts w:eastAsia="Calibri"/>
          <w:b/>
          <w:bCs/>
          <w:lang w:val="sq-AL"/>
        </w:rPr>
        <w:t xml:space="preserve"> dhe Veterinare</w:t>
      </w:r>
      <w:r w:rsidRPr="00CB148B">
        <w:rPr>
          <w:rFonts w:eastAsia="Calibri"/>
          <w:lang w:val="sq-AL"/>
        </w:rPr>
        <w:t>. Udhëzimi Administrativ synon mbrojtjen e mjedisit dhe shëndetit të njerëzve nga kontaminimi me mbet</w:t>
      </w:r>
      <w:r>
        <w:rPr>
          <w:rFonts w:eastAsia="Calibri"/>
          <w:lang w:val="sq-AL"/>
        </w:rPr>
        <w:t>urina të produkteve</w:t>
      </w:r>
      <w:r w:rsidRPr="00CB148B">
        <w:rPr>
          <w:rFonts w:eastAsia="Calibri"/>
          <w:lang w:val="sq-AL"/>
        </w:rPr>
        <w:t xml:space="preserve"> </w:t>
      </w:r>
      <w:r>
        <w:rPr>
          <w:rFonts w:eastAsia="Calibri"/>
          <w:lang w:val="sq-AL"/>
        </w:rPr>
        <w:t>medicinale,</w:t>
      </w:r>
      <w:r w:rsidRPr="00CB148B">
        <w:rPr>
          <w:rFonts w:eastAsia="Calibri"/>
          <w:lang w:val="sq-AL"/>
        </w:rPr>
        <w:t xml:space="preserve"> </w:t>
      </w:r>
      <w:r>
        <w:rPr>
          <w:rFonts w:eastAsia="Calibri"/>
          <w:lang w:val="sq-AL"/>
        </w:rPr>
        <w:t>humane</w:t>
      </w:r>
      <w:r w:rsidRPr="00CB148B">
        <w:rPr>
          <w:rFonts w:eastAsia="Calibri"/>
          <w:lang w:val="sq-AL"/>
        </w:rPr>
        <w:t xml:space="preserve"> dhe veterinare, si dhe të përcaktojë kompetencat dhe përgjegjësitë si dhe ngritjen e sistemit të duhur për grumbullimin, trajtimin, paketimin, ruajtjen, </w:t>
      </w:r>
      <w:r>
        <w:rPr>
          <w:rFonts w:eastAsia="Calibri"/>
          <w:lang w:val="sq-AL"/>
        </w:rPr>
        <w:t>deponimin</w:t>
      </w:r>
      <w:r w:rsidRPr="00CB148B">
        <w:rPr>
          <w:rFonts w:eastAsia="Calibri"/>
          <w:lang w:val="sq-AL"/>
        </w:rPr>
        <w:t xml:space="preserve"> dhe transporti</w:t>
      </w:r>
      <w:r>
        <w:rPr>
          <w:rFonts w:eastAsia="Calibri"/>
          <w:lang w:val="sq-AL"/>
        </w:rPr>
        <w:t>min</w:t>
      </w:r>
      <w:r w:rsidRPr="00CB148B">
        <w:rPr>
          <w:rFonts w:eastAsia="Calibri"/>
          <w:lang w:val="sq-AL"/>
        </w:rPr>
        <w:t xml:space="preserve"> </w:t>
      </w:r>
      <w:r>
        <w:rPr>
          <w:rFonts w:eastAsia="Calibri"/>
          <w:lang w:val="sq-AL"/>
        </w:rPr>
        <w:t>e</w:t>
      </w:r>
      <w:r w:rsidRPr="00CB148B">
        <w:rPr>
          <w:rFonts w:eastAsia="Calibri"/>
          <w:lang w:val="sq-AL"/>
        </w:rPr>
        <w:t xml:space="preserve"> mbet</w:t>
      </w:r>
      <w:r>
        <w:rPr>
          <w:rFonts w:eastAsia="Calibri"/>
          <w:lang w:val="sq-AL"/>
        </w:rPr>
        <w:t>urivae</w:t>
      </w:r>
      <w:r w:rsidRPr="00CB148B">
        <w:rPr>
          <w:rFonts w:eastAsia="Calibri"/>
          <w:lang w:val="sq-AL"/>
        </w:rPr>
        <w:t xml:space="preserve"> </w:t>
      </w:r>
      <w:r>
        <w:rPr>
          <w:rFonts w:eastAsia="Calibri"/>
          <w:lang w:val="sq-AL"/>
        </w:rPr>
        <w:t xml:space="preserve">Medicinale, humane </w:t>
      </w:r>
      <w:r w:rsidRPr="00CB148B">
        <w:rPr>
          <w:rFonts w:eastAsia="Calibri"/>
          <w:lang w:val="sq-AL"/>
        </w:rPr>
        <w:t>dhe veterinare me qëllim të mbrojtjes së shëndetit publik dhe mjedisit.</w:t>
      </w:r>
    </w:p>
    <w:p w14:paraId="4A2D7B29" w14:textId="77777777" w:rsidR="006379F2" w:rsidRPr="008D2D8C" w:rsidRDefault="006379F2" w:rsidP="006379F2">
      <w:pPr>
        <w:pStyle w:val="Heading4"/>
        <w:rPr>
          <w:lang w:val="sq-AL"/>
        </w:rPr>
      </w:pPr>
      <w:bookmarkStart w:id="40" w:name="_Toc181338252"/>
      <w:bookmarkStart w:id="41" w:name="_Toc197471949"/>
      <w:bookmarkEnd w:id="39"/>
      <w:r w:rsidRPr="00CB148B">
        <w:rPr>
          <w:lang w:val="sq-AL"/>
        </w:rPr>
        <w:t>Transpozimi i kornizës ligjore të BE-së për menaxhimin e mbeturinave në kornizën ligjore të Kosovës</w:t>
      </w:r>
      <w:bookmarkEnd w:id="40"/>
      <w:bookmarkEnd w:id="41"/>
    </w:p>
    <w:p w14:paraId="404580A0" w14:textId="77777777" w:rsidR="006379F2" w:rsidRPr="008D2D8C" w:rsidRDefault="006379F2" w:rsidP="006379F2">
      <w:pPr>
        <w:pStyle w:val="Paragraph"/>
        <w:rPr>
          <w:rFonts w:eastAsia="Calibri"/>
          <w:lang w:val="sq-AL"/>
        </w:rPr>
      </w:pPr>
      <w:bookmarkStart w:id="42" w:name="_Toc143954714"/>
      <w:bookmarkStart w:id="43" w:name="_Toc153872144"/>
      <w:bookmarkStart w:id="44" w:name="_Toc153983542"/>
      <w:r w:rsidRPr="00CB148B">
        <w:rPr>
          <w:rFonts w:eastAsia="Calibri"/>
          <w:lang w:val="sq-AL"/>
        </w:rPr>
        <w:t>Tabela e mëposhtme tregon direktivat kryesore për menaxhimin e mbet</w:t>
      </w:r>
      <w:r>
        <w:rPr>
          <w:rFonts w:eastAsia="Calibri"/>
          <w:lang w:val="sq-AL"/>
        </w:rPr>
        <w:t>uirnave</w:t>
      </w:r>
      <w:r w:rsidRPr="00CB148B">
        <w:rPr>
          <w:rFonts w:eastAsia="Calibri"/>
          <w:lang w:val="sq-AL"/>
        </w:rPr>
        <w:t xml:space="preserve"> në nivel të BE-së dhe aktet përkatëse legjislative </w:t>
      </w:r>
      <w:r>
        <w:rPr>
          <w:rFonts w:eastAsia="Calibri"/>
          <w:lang w:val="sq-AL"/>
        </w:rPr>
        <w:t>primare</w:t>
      </w:r>
      <w:r w:rsidRPr="00CB148B">
        <w:rPr>
          <w:rFonts w:eastAsia="Calibri"/>
          <w:lang w:val="sq-AL"/>
        </w:rPr>
        <w:t xml:space="preserve"> dhe </w:t>
      </w:r>
      <w:r>
        <w:rPr>
          <w:rFonts w:eastAsia="Calibri"/>
          <w:lang w:val="sq-AL"/>
        </w:rPr>
        <w:t>sekondare</w:t>
      </w:r>
      <w:r w:rsidRPr="00CB148B">
        <w:rPr>
          <w:rFonts w:eastAsia="Calibri"/>
          <w:lang w:val="sq-AL"/>
        </w:rPr>
        <w:t xml:space="preserve"> të miratuara në nivel </w:t>
      </w:r>
      <w:r>
        <w:rPr>
          <w:rFonts w:eastAsia="Calibri"/>
          <w:lang w:val="sq-AL"/>
        </w:rPr>
        <w:t>nacional</w:t>
      </w:r>
      <w:r w:rsidRPr="00CB148B">
        <w:rPr>
          <w:rFonts w:eastAsia="Calibri"/>
          <w:lang w:val="sq-AL"/>
        </w:rPr>
        <w:t>.</w:t>
      </w:r>
    </w:p>
    <w:p w14:paraId="646B6410" w14:textId="43006AC5" w:rsidR="00F45EBF" w:rsidRPr="007F50ED" w:rsidRDefault="00F45EBF" w:rsidP="007F50ED">
      <w:pPr>
        <w:suppressAutoHyphens/>
        <w:rPr>
          <w:rFonts w:ascii="Arial Narrow" w:eastAsia="Calibri" w:hAnsi="Arial Narrow" w:cs="Calibri"/>
          <w:color w:val="1F497D"/>
          <w:sz w:val="20"/>
          <w:szCs w:val="20"/>
        </w:rPr>
      </w:pPr>
      <w:bookmarkStart w:id="45" w:name="_Toc197472190"/>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5.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Transpozimi i kornizës ligjore të BE-së për menaxhimin e mbeturinave në kornizën ligjore të Kosovës</w:t>
      </w:r>
      <w:bookmarkEnd w:id="42"/>
      <w:bookmarkEnd w:id="43"/>
      <w:bookmarkEnd w:id="44"/>
      <w:bookmarkEnd w:id="45"/>
    </w:p>
    <w:tbl>
      <w:tblPr>
        <w:tblStyle w:val="TableGrid10"/>
        <w:tblW w:w="0" w:type="auto"/>
        <w:tblLook w:val="04A0" w:firstRow="1" w:lastRow="0" w:firstColumn="1" w:lastColumn="0" w:noHBand="0" w:noVBand="1"/>
      </w:tblPr>
      <w:tblGrid>
        <w:gridCol w:w="3595"/>
        <w:gridCol w:w="5755"/>
      </w:tblGrid>
      <w:tr w:rsidR="00F45EBF" w:rsidRPr="006C0E7D" w14:paraId="70DAE7AD" w14:textId="77777777" w:rsidTr="006347D6">
        <w:trPr>
          <w:tblHeader/>
        </w:trPr>
        <w:tc>
          <w:tcPr>
            <w:tcW w:w="3595" w:type="dxa"/>
            <w:shd w:val="clear" w:color="auto" w:fill="365F91"/>
          </w:tcPr>
          <w:p w14:paraId="06EAA710" w14:textId="77777777" w:rsidR="00F45EBF" w:rsidRPr="006C0E7D" w:rsidRDefault="00F45EBF" w:rsidP="004408AA">
            <w:pPr>
              <w:rPr>
                <w:rFonts w:ascii="Arial Narrow" w:hAnsi="Arial Narrow"/>
                <w:b/>
                <w:bCs/>
                <w:color w:val="FFFFFF"/>
                <w:sz w:val="20"/>
                <w:szCs w:val="20"/>
              </w:rPr>
            </w:pPr>
            <w:r w:rsidRPr="006C0E7D">
              <w:rPr>
                <w:rFonts w:ascii="Arial Narrow" w:hAnsi="Arial Narrow"/>
                <w:b/>
                <w:bCs/>
                <w:color w:val="FFFFFF"/>
                <w:sz w:val="20"/>
                <w:szCs w:val="20"/>
              </w:rPr>
              <w:t>Aktet ligjore të BE-së në menaxhimin e mbeturinave</w:t>
            </w:r>
          </w:p>
        </w:tc>
        <w:tc>
          <w:tcPr>
            <w:tcW w:w="5755" w:type="dxa"/>
            <w:shd w:val="clear" w:color="auto" w:fill="365F91"/>
          </w:tcPr>
          <w:p w14:paraId="7317BDD7" w14:textId="77777777" w:rsidR="00F45EBF" w:rsidRPr="006C0E7D" w:rsidRDefault="00F45EBF" w:rsidP="004408AA">
            <w:pPr>
              <w:rPr>
                <w:rFonts w:ascii="Arial Narrow" w:hAnsi="Arial Narrow"/>
                <w:b/>
                <w:bCs/>
                <w:color w:val="FFFFFF"/>
                <w:sz w:val="20"/>
                <w:szCs w:val="20"/>
              </w:rPr>
            </w:pPr>
            <w:r w:rsidRPr="006C0E7D">
              <w:rPr>
                <w:rFonts w:ascii="Arial Narrow" w:hAnsi="Arial Narrow"/>
                <w:b/>
                <w:bCs/>
                <w:color w:val="FFFFFF"/>
                <w:sz w:val="20"/>
                <w:szCs w:val="20"/>
              </w:rPr>
              <w:t>Transpozimi në kornizën ligjore të Kosovës</w:t>
            </w:r>
          </w:p>
        </w:tc>
      </w:tr>
      <w:tr w:rsidR="00F45EBF" w:rsidRPr="006C0E7D" w14:paraId="6ED2DD75" w14:textId="77777777" w:rsidTr="004408AA">
        <w:tc>
          <w:tcPr>
            <w:tcW w:w="3595" w:type="dxa"/>
            <w:shd w:val="clear" w:color="auto" w:fill="auto"/>
          </w:tcPr>
          <w:p w14:paraId="18F6BA62" w14:textId="156996C1" w:rsidR="00F45EBF" w:rsidRPr="006C0E7D" w:rsidRDefault="00F45EBF" w:rsidP="004408AA">
            <w:pPr>
              <w:rPr>
                <w:rFonts w:ascii="Arial Narrow" w:hAnsi="Arial Narrow"/>
                <w:sz w:val="20"/>
                <w:szCs w:val="20"/>
              </w:rPr>
            </w:pPr>
            <w:r w:rsidRPr="006C0E7D">
              <w:rPr>
                <w:rFonts w:ascii="Arial Narrow" w:hAnsi="Arial Narrow"/>
                <w:sz w:val="20"/>
                <w:szCs w:val="20"/>
              </w:rPr>
              <w:t xml:space="preserve">Direktiva 2008/98/KE për mbeturinat dhe shfuqizimi </w:t>
            </w:r>
            <w:r w:rsidR="006379F2">
              <w:rPr>
                <w:rFonts w:ascii="Arial Narrow" w:hAnsi="Arial Narrow"/>
                <w:sz w:val="20"/>
                <w:szCs w:val="20"/>
              </w:rPr>
              <w:t>i</w:t>
            </w:r>
            <w:r w:rsidRPr="006C0E7D">
              <w:rPr>
                <w:rFonts w:ascii="Arial Narrow" w:hAnsi="Arial Narrow"/>
                <w:sz w:val="20"/>
                <w:szCs w:val="20"/>
              </w:rPr>
              <w:t xml:space="preserve"> disa direktivave</w:t>
            </w:r>
          </w:p>
          <w:p w14:paraId="4C58EFAF" w14:textId="2474D77E" w:rsidR="00F45EBF" w:rsidRPr="006C0E7D" w:rsidRDefault="00F45EBF" w:rsidP="004408AA">
            <w:pPr>
              <w:rPr>
                <w:rFonts w:ascii="Arial Narrow" w:hAnsi="Arial Narrow"/>
                <w:sz w:val="20"/>
                <w:szCs w:val="20"/>
              </w:rPr>
            </w:pPr>
            <w:r w:rsidRPr="006C0E7D">
              <w:rPr>
                <w:rFonts w:ascii="Arial Narrow" w:hAnsi="Arial Narrow"/>
                <w:sz w:val="20"/>
                <w:szCs w:val="20"/>
              </w:rPr>
              <w:t xml:space="preserve">Ndryshuar </w:t>
            </w:r>
            <w:r w:rsidR="006379F2">
              <w:rPr>
                <w:rFonts w:ascii="Arial Narrow" w:hAnsi="Arial Narrow"/>
                <w:sz w:val="20"/>
                <w:szCs w:val="20"/>
              </w:rPr>
              <w:t>me</w:t>
            </w:r>
            <w:r w:rsidRPr="006C0E7D">
              <w:rPr>
                <w:rFonts w:ascii="Arial Narrow" w:hAnsi="Arial Narrow"/>
                <w:sz w:val="20"/>
                <w:szCs w:val="20"/>
              </w:rPr>
              <w:t xml:space="preserve"> Direktiv</w:t>
            </w:r>
            <w:r w:rsidR="006379F2">
              <w:rPr>
                <w:rFonts w:ascii="Arial Narrow" w:hAnsi="Arial Narrow"/>
                <w:sz w:val="20"/>
                <w:szCs w:val="20"/>
              </w:rPr>
              <w:t>ën</w:t>
            </w:r>
            <w:r w:rsidRPr="006C0E7D">
              <w:rPr>
                <w:rFonts w:ascii="Arial Narrow" w:hAnsi="Arial Narrow"/>
                <w:sz w:val="20"/>
                <w:szCs w:val="20"/>
              </w:rPr>
              <w:t xml:space="preserve"> (BE) 2018/851</w:t>
            </w:r>
          </w:p>
        </w:tc>
        <w:tc>
          <w:tcPr>
            <w:tcW w:w="5755" w:type="dxa"/>
            <w:shd w:val="clear" w:color="auto" w:fill="auto"/>
          </w:tcPr>
          <w:p w14:paraId="0AEFDB41" w14:textId="77777777" w:rsidR="00F45EBF" w:rsidRPr="006C0E7D" w:rsidRDefault="00F45EBF" w:rsidP="004408AA">
            <w:pPr>
              <w:rPr>
                <w:rFonts w:ascii="Arial Narrow" w:hAnsi="Arial Narrow"/>
                <w:sz w:val="20"/>
                <w:szCs w:val="20"/>
              </w:rPr>
            </w:pPr>
            <w:r w:rsidRPr="006C0E7D">
              <w:rPr>
                <w:rFonts w:ascii="Arial Narrow" w:hAnsi="Arial Narrow"/>
                <w:sz w:val="20"/>
                <w:szCs w:val="20"/>
              </w:rPr>
              <w:t>Ligji nr. 04/L-060 për mbeturinat</w:t>
            </w:r>
          </w:p>
          <w:p w14:paraId="2EBAF573" w14:textId="77777777" w:rsidR="00F45EBF" w:rsidRPr="006C0E7D" w:rsidRDefault="00F45EBF" w:rsidP="004408AA">
            <w:pPr>
              <w:rPr>
                <w:rFonts w:ascii="Arial Narrow" w:hAnsi="Arial Narrow"/>
                <w:sz w:val="20"/>
                <w:szCs w:val="20"/>
              </w:rPr>
            </w:pPr>
            <w:r w:rsidRPr="006C0E7D">
              <w:rPr>
                <w:rFonts w:ascii="Arial Narrow" w:hAnsi="Arial Narrow"/>
                <w:sz w:val="20"/>
                <w:szCs w:val="20"/>
              </w:rPr>
              <w:t>Ligji nr. 08/l-071 që ndryshon dhe plotëson Ligjin nr. 04/l-060 për mbeturinat</w:t>
            </w:r>
          </w:p>
          <w:p w14:paraId="55671664" w14:textId="77777777" w:rsidR="00F45EBF" w:rsidRPr="006C0E7D" w:rsidRDefault="00F45EBF" w:rsidP="004408AA">
            <w:pPr>
              <w:rPr>
                <w:rFonts w:ascii="Arial Narrow" w:hAnsi="Arial Narrow"/>
                <w:sz w:val="20"/>
                <w:szCs w:val="20"/>
              </w:rPr>
            </w:pPr>
            <w:r w:rsidRPr="006C0E7D">
              <w:rPr>
                <w:rFonts w:ascii="Arial Narrow" w:hAnsi="Arial Narrow"/>
                <w:sz w:val="20"/>
                <w:szCs w:val="20"/>
              </w:rPr>
              <w:t>Ligji nr. 03/l-025 për mbrojtjen e mjedisit</w:t>
            </w:r>
          </w:p>
        </w:tc>
      </w:tr>
      <w:tr w:rsidR="00F45EBF" w:rsidRPr="006C0E7D" w14:paraId="02B4FD9F" w14:textId="77777777" w:rsidTr="004A40AC">
        <w:tc>
          <w:tcPr>
            <w:tcW w:w="3595" w:type="dxa"/>
          </w:tcPr>
          <w:p w14:paraId="2A86B742" w14:textId="5D19343F" w:rsidR="00F45EBF" w:rsidRPr="006C0E7D" w:rsidRDefault="00F45EBF" w:rsidP="004408AA">
            <w:pPr>
              <w:rPr>
                <w:rFonts w:ascii="Arial Narrow" w:hAnsi="Arial Narrow"/>
                <w:sz w:val="20"/>
                <w:szCs w:val="20"/>
              </w:rPr>
            </w:pPr>
            <w:r w:rsidRPr="006C0E7D">
              <w:rPr>
                <w:rFonts w:ascii="Arial Narrow" w:hAnsi="Arial Narrow"/>
                <w:sz w:val="20"/>
                <w:szCs w:val="20"/>
              </w:rPr>
              <w:t xml:space="preserve">Direktiva 1999/31/KE </w:t>
            </w:r>
            <w:r w:rsidR="006379F2">
              <w:rPr>
                <w:rFonts w:ascii="Arial Narrow" w:hAnsi="Arial Narrow"/>
                <w:sz w:val="20"/>
                <w:szCs w:val="20"/>
              </w:rPr>
              <w:t>për</w:t>
            </w:r>
            <w:r w:rsidRPr="006C0E7D">
              <w:rPr>
                <w:rFonts w:ascii="Arial Narrow" w:hAnsi="Arial Narrow"/>
                <w:sz w:val="20"/>
                <w:szCs w:val="20"/>
              </w:rPr>
              <w:t xml:space="preserve"> deponinë e mbeturinave</w:t>
            </w:r>
          </w:p>
        </w:tc>
        <w:tc>
          <w:tcPr>
            <w:tcW w:w="5755" w:type="dxa"/>
          </w:tcPr>
          <w:p w14:paraId="0D312C3B" w14:textId="77777777" w:rsidR="00F45EBF" w:rsidRPr="006C0E7D" w:rsidRDefault="00F45EBF" w:rsidP="004408AA">
            <w:pPr>
              <w:rPr>
                <w:rFonts w:ascii="Arial Narrow" w:hAnsi="Arial Narrow"/>
                <w:sz w:val="20"/>
                <w:szCs w:val="20"/>
              </w:rPr>
            </w:pPr>
            <w:r w:rsidRPr="006C0E7D">
              <w:rPr>
                <w:rFonts w:ascii="Arial Narrow" w:hAnsi="Arial Narrow"/>
                <w:sz w:val="20"/>
                <w:szCs w:val="20"/>
              </w:rPr>
              <w:t>Ligji nr. 04/L-060 për mbeturinat</w:t>
            </w:r>
          </w:p>
          <w:p w14:paraId="327A9153" w14:textId="77777777" w:rsidR="00F45EBF" w:rsidRPr="006C0E7D" w:rsidRDefault="00F45EBF" w:rsidP="004408AA">
            <w:pPr>
              <w:rPr>
                <w:rFonts w:ascii="Arial Narrow" w:hAnsi="Arial Narrow"/>
                <w:sz w:val="20"/>
                <w:szCs w:val="20"/>
              </w:rPr>
            </w:pPr>
            <w:r w:rsidRPr="006C0E7D">
              <w:rPr>
                <w:rFonts w:ascii="Arial Narrow" w:hAnsi="Arial Narrow"/>
                <w:sz w:val="20"/>
                <w:szCs w:val="20"/>
              </w:rPr>
              <w:t>Ligji nr. 08/l-071 që ndryshon dhe plotëson Ligjin nr. 04/l-060 për mbeturinat</w:t>
            </w:r>
          </w:p>
          <w:p w14:paraId="2325F858" w14:textId="77777777" w:rsidR="00F45EBF" w:rsidRPr="006C0E7D" w:rsidRDefault="00F45EBF" w:rsidP="004408AA">
            <w:pPr>
              <w:rPr>
                <w:rFonts w:ascii="Arial Narrow" w:hAnsi="Arial Narrow"/>
                <w:sz w:val="20"/>
                <w:szCs w:val="20"/>
              </w:rPr>
            </w:pPr>
            <w:r w:rsidRPr="006C0E7D">
              <w:rPr>
                <w:rFonts w:ascii="Arial Narrow" w:hAnsi="Arial Narrow"/>
                <w:sz w:val="20"/>
                <w:szCs w:val="20"/>
              </w:rPr>
              <w:t>Udhëzimi Administrativ Nr. 08/2017 për menaxhimin e deponive të mbeturinave</w:t>
            </w:r>
          </w:p>
        </w:tc>
      </w:tr>
      <w:tr w:rsidR="00F45EBF" w:rsidRPr="006C0E7D" w14:paraId="11535FC9" w14:textId="77777777" w:rsidTr="004A40AC">
        <w:tc>
          <w:tcPr>
            <w:tcW w:w="3595" w:type="dxa"/>
          </w:tcPr>
          <w:p w14:paraId="74727255" w14:textId="131B46D5" w:rsidR="00F45EBF" w:rsidRPr="00603FA1" w:rsidRDefault="00F45EBF" w:rsidP="004408AA">
            <w:pPr>
              <w:rPr>
                <w:rFonts w:ascii="Arial Narrow" w:hAnsi="Arial Narrow"/>
                <w:sz w:val="20"/>
                <w:szCs w:val="20"/>
                <w:lang w:val="en-US"/>
              </w:rPr>
            </w:pPr>
            <w:proofErr w:type="spellStart"/>
            <w:r w:rsidRPr="00603FA1">
              <w:rPr>
                <w:rFonts w:ascii="Arial Narrow" w:hAnsi="Arial Narrow"/>
                <w:sz w:val="20"/>
                <w:szCs w:val="20"/>
                <w:lang w:val="en-US"/>
              </w:rPr>
              <w:t>Direktiva</w:t>
            </w:r>
            <w:proofErr w:type="spellEnd"/>
            <w:r w:rsidRPr="00603FA1">
              <w:rPr>
                <w:rFonts w:ascii="Arial Narrow" w:hAnsi="Arial Narrow"/>
                <w:sz w:val="20"/>
                <w:szCs w:val="20"/>
                <w:lang w:val="en-US"/>
              </w:rPr>
              <w:t xml:space="preserve"> 2010/75/BE </w:t>
            </w:r>
            <w:proofErr w:type="spellStart"/>
            <w:r w:rsidR="006379F2" w:rsidRPr="00603FA1">
              <w:rPr>
                <w:rFonts w:ascii="Arial Narrow" w:hAnsi="Arial Narrow"/>
                <w:sz w:val="20"/>
                <w:szCs w:val="20"/>
                <w:lang w:val="en-US"/>
              </w:rPr>
              <w:t>për</w:t>
            </w:r>
            <w:proofErr w:type="spellEnd"/>
            <w:r w:rsidR="006379F2" w:rsidRPr="00603FA1">
              <w:rPr>
                <w:rFonts w:ascii="Arial Narrow" w:hAnsi="Arial Narrow"/>
                <w:sz w:val="20"/>
                <w:szCs w:val="20"/>
                <w:lang w:val="en-US"/>
              </w:rPr>
              <w:t xml:space="preserve"> </w:t>
            </w:r>
            <w:proofErr w:type="spellStart"/>
            <w:r w:rsidRPr="00603FA1">
              <w:rPr>
                <w:rFonts w:ascii="Arial Narrow" w:hAnsi="Arial Narrow"/>
                <w:sz w:val="20"/>
                <w:szCs w:val="20"/>
                <w:lang w:val="en-US"/>
              </w:rPr>
              <w:t>emetimet</w:t>
            </w:r>
            <w:proofErr w:type="spellEnd"/>
            <w:r w:rsidRPr="00603FA1">
              <w:rPr>
                <w:rFonts w:ascii="Arial Narrow" w:hAnsi="Arial Narrow"/>
                <w:sz w:val="20"/>
                <w:szCs w:val="20"/>
                <w:lang w:val="en-US"/>
              </w:rPr>
              <w:t xml:space="preserve"> </w:t>
            </w:r>
            <w:proofErr w:type="spellStart"/>
            <w:r w:rsidRPr="00603FA1">
              <w:rPr>
                <w:rFonts w:ascii="Arial Narrow" w:hAnsi="Arial Narrow"/>
                <w:sz w:val="20"/>
                <w:szCs w:val="20"/>
                <w:lang w:val="en-US"/>
              </w:rPr>
              <w:t>industriale</w:t>
            </w:r>
            <w:proofErr w:type="spellEnd"/>
          </w:p>
        </w:tc>
        <w:tc>
          <w:tcPr>
            <w:tcW w:w="5755" w:type="dxa"/>
          </w:tcPr>
          <w:p w14:paraId="65992236" w14:textId="77777777" w:rsidR="00F45EBF" w:rsidRPr="006C0E7D" w:rsidRDefault="00F45EBF" w:rsidP="004408AA">
            <w:pPr>
              <w:rPr>
                <w:rFonts w:ascii="Arial Narrow" w:hAnsi="Arial Narrow"/>
                <w:sz w:val="20"/>
                <w:szCs w:val="20"/>
              </w:rPr>
            </w:pPr>
            <w:r w:rsidRPr="006C0E7D">
              <w:rPr>
                <w:rFonts w:ascii="Arial Narrow" w:hAnsi="Arial Narrow"/>
                <w:sz w:val="20"/>
                <w:szCs w:val="20"/>
              </w:rPr>
              <w:t>Ligji nr. 03/L-025 për mbrojtjen e mjedisit</w:t>
            </w:r>
          </w:p>
          <w:p w14:paraId="3EC261C9" w14:textId="0D3704AD" w:rsidR="00F45EBF" w:rsidRPr="006C0E7D" w:rsidRDefault="00F45EBF" w:rsidP="004408AA">
            <w:pPr>
              <w:rPr>
                <w:rFonts w:ascii="Arial Narrow" w:hAnsi="Arial Narrow"/>
                <w:sz w:val="20"/>
                <w:szCs w:val="20"/>
              </w:rPr>
            </w:pPr>
            <w:r w:rsidRPr="006C0E7D">
              <w:rPr>
                <w:rFonts w:ascii="Arial Narrow" w:hAnsi="Arial Narrow"/>
                <w:sz w:val="20"/>
                <w:szCs w:val="20"/>
              </w:rPr>
              <w:t xml:space="preserve">Udhëzim Administrativ Nr. 11/2018 </w:t>
            </w:r>
            <w:r w:rsidR="00EF5F3B">
              <w:rPr>
                <w:rFonts w:ascii="Arial Narrow" w:hAnsi="Arial Narrow"/>
                <w:sz w:val="20"/>
                <w:szCs w:val="20"/>
              </w:rPr>
              <w:t>për</w:t>
            </w:r>
            <w:r w:rsidRPr="006C0E7D">
              <w:rPr>
                <w:rFonts w:ascii="Arial Narrow" w:hAnsi="Arial Narrow"/>
                <w:sz w:val="20"/>
                <w:szCs w:val="20"/>
              </w:rPr>
              <w:t xml:space="preserve"> vlerat kufitare të emetimeve të ndotësve në tokë</w:t>
            </w:r>
          </w:p>
          <w:p w14:paraId="422E32A3" w14:textId="0608F3BE" w:rsidR="00F45EBF" w:rsidRPr="006C0E7D" w:rsidRDefault="00F45EBF" w:rsidP="004408AA">
            <w:pPr>
              <w:rPr>
                <w:rFonts w:ascii="Arial Narrow" w:hAnsi="Arial Narrow"/>
                <w:sz w:val="20"/>
                <w:szCs w:val="20"/>
              </w:rPr>
            </w:pPr>
            <w:r w:rsidRPr="006C0E7D">
              <w:rPr>
                <w:rFonts w:ascii="Arial Narrow" w:hAnsi="Arial Narrow"/>
                <w:sz w:val="20"/>
                <w:szCs w:val="20"/>
              </w:rPr>
              <w:t xml:space="preserve">Udhëzimi Administrativ Nr. 02/2009 </w:t>
            </w:r>
            <w:r w:rsidR="00EF5F3B">
              <w:rPr>
                <w:rFonts w:ascii="Arial Narrow" w:hAnsi="Arial Narrow"/>
                <w:sz w:val="20"/>
                <w:szCs w:val="20"/>
              </w:rPr>
              <w:t>për</w:t>
            </w:r>
            <w:r w:rsidRPr="006C0E7D">
              <w:rPr>
                <w:rFonts w:ascii="Arial Narrow" w:hAnsi="Arial Narrow"/>
                <w:sz w:val="20"/>
                <w:szCs w:val="20"/>
              </w:rPr>
              <w:t xml:space="preserve"> nivelet maksimale të lejuara të shkarkimit dhe shpërndarjes së ndotësve në tokë</w:t>
            </w:r>
          </w:p>
          <w:p w14:paraId="01597029" w14:textId="207B852F" w:rsidR="00F45EBF" w:rsidRPr="006C0E7D" w:rsidRDefault="00F45EBF" w:rsidP="004408AA">
            <w:pPr>
              <w:rPr>
                <w:rFonts w:ascii="Arial Narrow" w:hAnsi="Arial Narrow"/>
                <w:sz w:val="20"/>
                <w:szCs w:val="20"/>
              </w:rPr>
            </w:pPr>
            <w:r w:rsidRPr="006C0E7D">
              <w:rPr>
                <w:rFonts w:ascii="Arial Narrow" w:hAnsi="Arial Narrow"/>
                <w:sz w:val="20"/>
                <w:szCs w:val="20"/>
              </w:rPr>
              <w:t>Udhëzimi Administrativ Nr. 04/2022 për leje mjedisore</w:t>
            </w:r>
          </w:p>
          <w:p w14:paraId="5F30794F" w14:textId="77777777" w:rsidR="00F45EBF" w:rsidRPr="006C0E7D" w:rsidRDefault="00F45EBF" w:rsidP="004408AA">
            <w:pPr>
              <w:rPr>
                <w:rFonts w:ascii="Arial Narrow" w:hAnsi="Arial Narrow"/>
                <w:sz w:val="20"/>
                <w:szCs w:val="20"/>
              </w:rPr>
            </w:pPr>
            <w:r w:rsidRPr="006C0E7D">
              <w:rPr>
                <w:rFonts w:ascii="Arial Narrow" w:hAnsi="Arial Narrow"/>
                <w:sz w:val="20"/>
                <w:szCs w:val="20"/>
              </w:rPr>
              <w:t>Udhëzimi Administrativ Nr. 03/2022 për ndryshimin dhe plotësimin e udhëzimit administrativ (mea) Nr. 01/2021 për autorizimin mjedisor</w:t>
            </w:r>
          </w:p>
          <w:p w14:paraId="61AAB02D" w14:textId="77777777" w:rsidR="00F45EBF" w:rsidRPr="006C0E7D" w:rsidRDefault="00F45EBF" w:rsidP="004408AA">
            <w:pPr>
              <w:rPr>
                <w:rFonts w:ascii="Arial Narrow" w:hAnsi="Arial Narrow"/>
                <w:sz w:val="20"/>
                <w:szCs w:val="20"/>
              </w:rPr>
            </w:pPr>
            <w:r w:rsidRPr="006C0E7D">
              <w:rPr>
                <w:rFonts w:ascii="Arial Narrow" w:hAnsi="Arial Narrow"/>
                <w:sz w:val="20"/>
                <w:szCs w:val="20"/>
              </w:rPr>
              <w:t>Udhëzimi Administrativ Nr. 04/2018 për parandalimin e aksidenteve të mëdha që përfshijnë substanca të rrezikshme</w:t>
            </w:r>
          </w:p>
          <w:p w14:paraId="6C35A9E7" w14:textId="77777777" w:rsidR="00F45EBF" w:rsidRPr="006C0E7D" w:rsidRDefault="00F45EBF" w:rsidP="004408AA">
            <w:pPr>
              <w:rPr>
                <w:rFonts w:ascii="Arial Narrow" w:hAnsi="Arial Narrow"/>
                <w:sz w:val="20"/>
                <w:szCs w:val="20"/>
              </w:rPr>
            </w:pPr>
            <w:r w:rsidRPr="006C0E7D">
              <w:rPr>
                <w:rFonts w:ascii="Arial Narrow" w:hAnsi="Arial Narrow"/>
                <w:sz w:val="20"/>
                <w:szCs w:val="20"/>
              </w:rPr>
              <w:t>Udhëzimi Administrativ Nr. 07/2017 për lejet mjedisore</w:t>
            </w:r>
          </w:p>
          <w:p w14:paraId="61C3F0E9" w14:textId="77777777" w:rsidR="00F45EBF" w:rsidRPr="006C0E7D" w:rsidRDefault="00F45EBF" w:rsidP="004408AA">
            <w:pPr>
              <w:rPr>
                <w:rFonts w:ascii="Arial Narrow" w:hAnsi="Arial Narrow"/>
                <w:sz w:val="20"/>
                <w:szCs w:val="20"/>
              </w:rPr>
            </w:pPr>
            <w:r w:rsidRPr="006C0E7D">
              <w:rPr>
                <w:rFonts w:ascii="Arial Narrow" w:hAnsi="Arial Narrow"/>
                <w:sz w:val="20"/>
                <w:szCs w:val="20"/>
              </w:rPr>
              <w:t>Udhëzimi Administrativ Nr. 01/2017 për dhënien e lejes mjedisore komunale</w:t>
            </w:r>
          </w:p>
          <w:p w14:paraId="34FE0D5C" w14:textId="77777777" w:rsidR="00F45EBF" w:rsidRPr="006C0E7D" w:rsidRDefault="00F45EBF" w:rsidP="004408AA">
            <w:pPr>
              <w:rPr>
                <w:rFonts w:ascii="Arial Narrow" w:hAnsi="Arial Narrow"/>
                <w:sz w:val="20"/>
                <w:szCs w:val="20"/>
              </w:rPr>
            </w:pPr>
            <w:r w:rsidRPr="006C0E7D">
              <w:rPr>
                <w:rFonts w:ascii="Arial Narrow" w:hAnsi="Arial Narrow"/>
                <w:sz w:val="20"/>
                <w:szCs w:val="20"/>
              </w:rPr>
              <w:t>Udhëzimi Administrativ Nr. 17/2013 për regjistrin e shkarkimeve të ndotësve në mjedis;</w:t>
            </w:r>
          </w:p>
        </w:tc>
      </w:tr>
      <w:tr w:rsidR="00F45EBF" w:rsidRPr="006C0E7D" w14:paraId="171E1A71" w14:textId="77777777" w:rsidTr="004A40AC">
        <w:tc>
          <w:tcPr>
            <w:tcW w:w="3595" w:type="dxa"/>
          </w:tcPr>
          <w:p w14:paraId="468E61EF" w14:textId="6FA87CE8" w:rsidR="00F45EBF" w:rsidRPr="006C0E7D" w:rsidRDefault="00F45EBF" w:rsidP="004408AA">
            <w:pPr>
              <w:rPr>
                <w:rFonts w:ascii="Arial Narrow" w:hAnsi="Arial Narrow"/>
                <w:sz w:val="20"/>
                <w:szCs w:val="20"/>
              </w:rPr>
            </w:pPr>
            <w:r w:rsidRPr="006C0E7D">
              <w:rPr>
                <w:rFonts w:ascii="Arial Narrow" w:hAnsi="Arial Narrow"/>
                <w:sz w:val="20"/>
                <w:szCs w:val="20"/>
              </w:rPr>
              <w:t xml:space="preserve">Direktiva 94/62/KE </w:t>
            </w:r>
            <w:r w:rsidR="00EF5F3B">
              <w:rPr>
                <w:rFonts w:ascii="Arial Narrow" w:hAnsi="Arial Narrow"/>
                <w:sz w:val="20"/>
                <w:szCs w:val="20"/>
              </w:rPr>
              <w:t>për</w:t>
            </w:r>
            <w:r w:rsidRPr="006C0E7D">
              <w:rPr>
                <w:rFonts w:ascii="Arial Narrow" w:hAnsi="Arial Narrow"/>
                <w:sz w:val="20"/>
                <w:szCs w:val="20"/>
              </w:rPr>
              <w:t xml:space="preserve"> </w:t>
            </w:r>
            <w:r w:rsidR="00EF5F3B">
              <w:rPr>
                <w:rFonts w:ascii="Arial Narrow" w:hAnsi="Arial Narrow"/>
                <w:sz w:val="20"/>
                <w:szCs w:val="20"/>
              </w:rPr>
              <w:t>ambalazhin</w:t>
            </w:r>
            <w:r w:rsidRPr="006C0E7D">
              <w:rPr>
                <w:rFonts w:ascii="Arial Narrow" w:hAnsi="Arial Narrow"/>
                <w:sz w:val="20"/>
                <w:szCs w:val="20"/>
              </w:rPr>
              <w:t xml:space="preserve"> dhe mbet</w:t>
            </w:r>
            <w:r w:rsidR="00EF5F3B">
              <w:rPr>
                <w:rFonts w:ascii="Arial Narrow" w:hAnsi="Arial Narrow"/>
                <w:sz w:val="20"/>
                <w:szCs w:val="20"/>
              </w:rPr>
              <w:t xml:space="preserve">urinat </w:t>
            </w:r>
            <w:r w:rsidRPr="006C0E7D">
              <w:rPr>
                <w:rFonts w:ascii="Arial Narrow" w:hAnsi="Arial Narrow"/>
                <w:sz w:val="20"/>
                <w:szCs w:val="20"/>
              </w:rPr>
              <w:t xml:space="preserve">e </w:t>
            </w:r>
            <w:r w:rsidR="00EF5F3B">
              <w:rPr>
                <w:rFonts w:ascii="Arial Narrow" w:hAnsi="Arial Narrow"/>
                <w:sz w:val="20"/>
                <w:szCs w:val="20"/>
              </w:rPr>
              <w:t>ambalazhit</w:t>
            </w:r>
          </w:p>
        </w:tc>
        <w:tc>
          <w:tcPr>
            <w:tcW w:w="5755" w:type="dxa"/>
          </w:tcPr>
          <w:p w14:paraId="5F4FE557" w14:textId="7D728E7D" w:rsidR="00F45EBF" w:rsidRPr="006C0E7D" w:rsidRDefault="00F45EBF" w:rsidP="004408AA">
            <w:pPr>
              <w:tabs>
                <w:tab w:val="left" w:pos="893"/>
              </w:tabs>
              <w:rPr>
                <w:rFonts w:ascii="Arial Narrow" w:hAnsi="Arial Narrow"/>
                <w:sz w:val="20"/>
                <w:szCs w:val="20"/>
              </w:rPr>
            </w:pPr>
            <w:r w:rsidRPr="006C0E7D">
              <w:rPr>
                <w:rFonts w:ascii="Arial Narrow" w:hAnsi="Arial Narrow"/>
                <w:sz w:val="20"/>
                <w:szCs w:val="20"/>
              </w:rPr>
              <w:t xml:space="preserve">Udhëzim Administrativ (QRK) Nr. 07/2023 </w:t>
            </w:r>
            <w:r w:rsidR="00EF5F3B">
              <w:rPr>
                <w:rFonts w:ascii="Arial Narrow" w:hAnsi="Arial Narrow"/>
                <w:sz w:val="20"/>
                <w:szCs w:val="20"/>
              </w:rPr>
              <w:t>p</w:t>
            </w:r>
            <w:r w:rsidRPr="006C0E7D">
              <w:rPr>
                <w:rFonts w:ascii="Arial Narrow" w:hAnsi="Arial Narrow"/>
                <w:sz w:val="20"/>
                <w:szCs w:val="20"/>
              </w:rPr>
              <w:t xml:space="preserve">ër </w:t>
            </w:r>
            <w:r w:rsidR="00EF5F3B">
              <w:rPr>
                <w:rFonts w:ascii="Arial Narrow" w:hAnsi="Arial Narrow"/>
                <w:sz w:val="20"/>
                <w:szCs w:val="20"/>
              </w:rPr>
              <w:t>ambalazhin dhe m</w:t>
            </w:r>
            <w:r w:rsidRPr="006C0E7D">
              <w:rPr>
                <w:rFonts w:ascii="Arial Narrow" w:hAnsi="Arial Narrow"/>
                <w:sz w:val="20"/>
                <w:szCs w:val="20"/>
              </w:rPr>
              <w:t>beturinat e a</w:t>
            </w:r>
            <w:r w:rsidR="00EF5F3B">
              <w:rPr>
                <w:rFonts w:ascii="Arial Narrow" w:hAnsi="Arial Narrow"/>
                <w:sz w:val="20"/>
                <w:szCs w:val="20"/>
              </w:rPr>
              <w:t>mbalazhit</w:t>
            </w:r>
          </w:p>
        </w:tc>
      </w:tr>
      <w:tr w:rsidR="00F45EBF" w:rsidRPr="006C0E7D" w14:paraId="40EFECF3" w14:textId="77777777" w:rsidTr="004A40AC">
        <w:tc>
          <w:tcPr>
            <w:tcW w:w="3595" w:type="dxa"/>
          </w:tcPr>
          <w:p w14:paraId="78E920BD" w14:textId="4EC20493" w:rsidR="00F45EBF" w:rsidRPr="006C0E7D" w:rsidRDefault="00F45EBF" w:rsidP="004408AA">
            <w:pPr>
              <w:rPr>
                <w:rFonts w:ascii="Arial Narrow" w:hAnsi="Arial Narrow"/>
                <w:sz w:val="20"/>
                <w:szCs w:val="20"/>
              </w:rPr>
            </w:pPr>
            <w:r w:rsidRPr="006C0E7D">
              <w:rPr>
                <w:rFonts w:ascii="Arial Narrow" w:hAnsi="Arial Narrow"/>
                <w:sz w:val="20"/>
                <w:szCs w:val="20"/>
              </w:rPr>
              <w:t xml:space="preserve">Direktiva (BE) 2019/904 për </w:t>
            </w:r>
            <w:r w:rsidR="00EF5F3B">
              <w:rPr>
                <w:rFonts w:ascii="Arial Narrow" w:hAnsi="Arial Narrow"/>
                <w:sz w:val="20"/>
                <w:szCs w:val="20"/>
              </w:rPr>
              <w:t>reduktimin</w:t>
            </w:r>
            <w:r w:rsidRPr="006C0E7D">
              <w:rPr>
                <w:rFonts w:ascii="Arial Narrow" w:hAnsi="Arial Narrow"/>
                <w:sz w:val="20"/>
                <w:szCs w:val="20"/>
              </w:rPr>
              <w:t xml:space="preserve"> e ndikimi</w:t>
            </w:r>
            <w:r w:rsidR="00EF5F3B">
              <w:rPr>
                <w:rFonts w:ascii="Arial Narrow" w:hAnsi="Arial Narrow"/>
                <w:sz w:val="20"/>
                <w:szCs w:val="20"/>
              </w:rPr>
              <w:t xml:space="preserve">t të </w:t>
            </w:r>
            <w:r w:rsidRPr="006C0E7D">
              <w:rPr>
                <w:rFonts w:ascii="Arial Narrow" w:hAnsi="Arial Narrow"/>
                <w:sz w:val="20"/>
                <w:szCs w:val="20"/>
              </w:rPr>
              <w:t xml:space="preserve">produkteve </w:t>
            </w:r>
            <w:r w:rsidR="00EF5F3B">
              <w:rPr>
                <w:rFonts w:ascii="Arial Narrow" w:hAnsi="Arial Narrow"/>
                <w:sz w:val="20"/>
                <w:szCs w:val="20"/>
              </w:rPr>
              <w:t xml:space="preserve">të caktuara </w:t>
            </w:r>
            <w:r w:rsidRPr="006C0E7D">
              <w:rPr>
                <w:rFonts w:ascii="Arial Narrow" w:hAnsi="Arial Narrow"/>
                <w:sz w:val="20"/>
                <w:szCs w:val="20"/>
              </w:rPr>
              <w:t>plastike në mjedis</w:t>
            </w:r>
          </w:p>
        </w:tc>
        <w:tc>
          <w:tcPr>
            <w:tcW w:w="5755" w:type="dxa"/>
          </w:tcPr>
          <w:p w14:paraId="2299DBA3" w14:textId="77777777" w:rsidR="00F45EBF" w:rsidRPr="006C0E7D" w:rsidRDefault="00F45EBF" w:rsidP="004408AA">
            <w:pPr>
              <w:rPr>
                <w:rFonts w:ascii="Arial Narrow" w:hAnsi="Arial Narrow"/>
                <w:sz w:val="20"/>
                <w:szCs w:val="20"/>
              </w:rPr>
            </w:pPr>
            <w:r w:rsidRPr="006C0E7D">
              <w:rPr>
                <w:rFonts w:ascii="Arial Narrow" w:hAnsi="Arial Narrow"/>
                <w:sz w:val="20"/>
                <w:szCs w:val="20"/>
              </w:rPr>
              <w:t>Ligji nr. 04/L-060 për mbeturinat dhe Ligji nr. 08/L-071 për ndryshimin dhe plotësimin e Ligjit nr. 04/L-060 për mbeturinat</w:t>
            </w:r>
          </w:p>
          <w:p w14:paraId="038BC221" w14:textId="6C30C9B0" w:rsidR="00F45EBF" w:rsidRPr="006C0E7D" w:rsidRDefault="00F45EBF" w:rsidP="004408AA">
            <w:pPr>
              <w:rPr>
                <w:rFonts w:ascii="Arial Narrow" w:hAnsi="Arial Narrow"/>
                <w:sz w:val="20"/>
                <w:szCs w:val="20"/>
              </w:rPr>
            </w:pPr>
          </w:p>
          <w:p w14:paraId="23A30B29" w14:textId="520211D3" w:rsidR="00F45EBF" w:rsidRPr="006C0E7D" w:rsidRDefault="00F45EBF" w:rsidP="004408AA">
            <w:pPr>
              <w:rPr>
                <w:rFonts w:ascii="Arial Narrow" w:hAnsi="Arial Narrow"/>
                <w:sz w:val="20"/>
                <w:szCs w:val="20"/>
              </w:rPr>
            </w:pPr>
            <w:r w:rsidRPr="006C0E7D">
              <w:rPr>
                <w:rFonts w:ascii="Arial Narrow" w:hAnsi="Arial Narrow"/>
                <w:sz w:val="20"/>
                <w:szCs w:val="20"/>
              </w:rPr>
              <w:t xml:space="preserve">Udhëzim Administrativ (QRK) Nr. 07/2023 </w:t>
            </w:r>
            <w:r w:rsidR="00EF5F3B">
              <w:rPr>
                <w:rFonts w:ascii="Arial Narrow" w:hAnsi="Arial Narrow"/>
                <w:sz w:val="20"/>
                <w:szCs w:val="20"/>
              </w:rPr>
              <w:t xml:space="preserve">për ambalazhin </w:t>
            </w:r>
            <w:r w:rsidRPr="006C0E7D">
              <w:rPr>
                <w:rFonts w:ascii="Arial Narrow" w:hAnsi="Arial Narrow"/>
                <w:sz w:val="20"/>
                <w:szCs w:val="20"/>
              </w:rPr>
              <w:t xml:space="preserve">dhe </w:t>
            </w:r>
            <w:r w:rsidR="00EF5F3B">
              <w:rPr>
                <w:rFonts w:ascii="Arial Narrow" w:hAnsi="Arial Narrow"/>
                <w:sz w:val="20"/>
                <w:szCs w:val="20"/>
              </w:rPr>
              <w:t>m</w:t>
            </w:r>
            <w:r w:rsidRPr="006C0E7D">
              <w:rPr>
                <w:rFonts w:ascii="Arial Narrow" w:hAnsi="Arial Narrow"/>
                <w:sz w:val="20"/>
                <w:szCs w:val="20"/>
              </w:rPr>
              <w:t xml:space="preserve">beturinat e </w:t>
            </w:r>
            <w:r w:rsidR="00EF5F3B">
              <w:rPr>
                <w:rFonts w:ascii="Arial Narrow" w:hAnsi="Arial Narrow"/>
                <w:sz w:val="20"/>
                <w:szCs w:val="20"/>
              </w:rPr>
              <w:t>ambalazhit</w:t>
            </w:r>
            <w:r w:rsidRPr="006C0E7D">
              <w:rPr>
                <w:rFonts w:ascii="Arial Narrow" w:hAnsi="Arial Narrow"/>
                <w:sz w:val="20"/>
                <w:szCs w:val="20"/>
              </w:rPr>
              <w:t xml:space="preserve"> (Nenet 6, 7, 8 dhe 42).</w:t>
            </w:r>
          </w:p>
        </w:tc>
      </w:tr>
      <w:tr w:rsidR="00EF5F3B" w:rsidRPr="006C0E7D" w14:paraId="2845E2DB" w14:textId="77777777" w:rsidTr="004A40AC">
        <w:tc>
          <w:tcPr>
            <w:tcW w:w="3595" w:type="dxa"/>
          </w:tcPr>
          <w:p w14:paraId="4F6203F0" w14:textId="25E51191" w:rsidR="00EF5F3B" w:rsidRPr="006C0E7D" w:rsidRDefault="00EF5F3B" w:rsidP="00EF5F3B">
            <w:pPr>
              <w:rPr>
                <w:rFonts w:ascii="Arial Narrow" w:hAnsi="Arial Narrow"/>
                <w:sz w:val="20"/>
                <w:szCs w:val="20"/>
              </w:rPr>
            </w:pPr>
            <w:r w:rsidRPr="00CB148B">
              <w:rPr>
                <w:rFonts w:ascii="Arial Narrow" w:hAnsi="Arial Narrow"/>
                <w:sz w:val="20"/>
                <w:szCs w:val="20"/>
                <w:lang w:val="sq-AL"/>
              </w:rPr>
              <w:t>Direktiva 96/59/</w:t>
            </w:r>
            <w:r>
              <w:rPr>
                <w:rFonts w:ascii="Arial Narrow" w:hAnsi="Arial Narrow"/>
                <w:sz w:val="20"/>
                <w:szCs w:val="20"/>
                <w:lang w:val="sq-AL"/>
              </w:rPr>
              <w:t>KE</w:t>
            </w:r>
            <w:r w:rsidRPr="00CB148B">
              <w:rPr>
                <w:rFonts w:ascii="Arial Narrow" w:hAnsi="Arial Narrow"/>
                <w:sz w:val="20"/>
                <w:szCs w:val="20"/>
                <w:lang w:val="sq-AL"/>
              </w:rPr>
              <w:t xml:space="preserve"> - asgjësimi i bifenileve të poliklorinuara dhe terfenileve të poliklorinuara (PCB/PCTs)</w:t>
            </w:r>
          </w:p>
        </w:tc>
        <w:tc>
          <w:tcPr>
            <w:tcW w:w="5755" w:type="dxa"/>
          </w:tcPr>
          <w:p w14:paraId="7E3DE9F9" w14:textId="23F62ED0" w:rsidR="00EF5F3B" w:rsidRPr="006C0E7D" w:rsidRDefault="00EF5F3B" w:rsidP="00EF5F3B">
            <w:pPr>
              <w:rPr>
                <w:rFonts w:ascii="Arial Narrow" w:hAnsi="Arial Narrow"/>
                <w:sz w:val="20"/>
                <w:szCs w:val="20"/>
              </w:rPr>
            </w:pPr>
            <w:r w:rsidRPr="00CB148B">
              <w:rPr>
                <w:rFonts w:ascii="Arial Narrow" w:hAnsi="Arial Narrow"/>
                <w:sz w:val="20"/>
                <w:szCs w:val="20"/>
                <w:lang w:val="sq-AL"/>
              </w:rPr>
              <w:t>Udhëzimi Administrativ №. 05/2015 Për menaxhimin e bifenileve dhe trifenileve të poliklorinuara dhe mbet</w:t>
            </w:r>
            <w:r>
              <w:rPr>
                <w:rFonts w:ascii="Arial Narrow" w:hAnsi="Arial Narrow"/>
                <w:sz w:val="20"/>
                <w:szCs w:val="20"/>
                <w:lang w:val="sq-AL"/>
              </w:rPr>
              <w:t>urinave</w:t>
            </w:r>
            <w:r w:rsidRPr="00CB148B">
              <w:rPr>
                <w:rFonts w:ascii="Arial Narrow" w:hAnsi="Arial Narrow"/>
                <w:sz w:val="20"/>
                <w:szCs w:val="20"/>
                <w:lang w:val="sq-AL"/>
              </w:rPr>
              <w:t xml:space="preserve"> </w:t>
            </w:r>
            <w:r>
              <w:rPr>
                <w:rFonts w:ascii="Arial Narrow" w:hAnsi="Arial Narrow"/>
                <w:sz w:val="20"/>
                <w:szCs w:val="20"/>
                <w:lang w:val="sq-AL"/>
              </w:rPr>
              <w:t xml:space="preserve">me </w:t>
            </w:r>
            <w:r w:rsidRPr="00CB148B">
              <w:rPr>
                <w:rFonts w:ascii="Arial Narrow" w:hAnsi="Arial Narrow"/>
                <w:sz w:val="20"/>
                <w:szCs w:val="20"/>
                <w:lang w:val="sq-AL"/>
              </w:rPr>
              <w:t>PCB dhe PCT</w:t>
            </w:r>
          </w:p>
        </w:tc>
      </w:tr>
      <w:tr w:rsidR="00EF5F3B" w:rsidRPr="006C0E7D" w14:paraId="71EF6D01" w14:textId="77777777" w:rsidTr="004A40AC">
        <w:tc>
          <w:tcPr>
            <w:tcW w:w="3595" w:type="dxa"/>
          </w:tcPr>
          <w:p w14:paraId="1C1CA688" w14:textId="5D7D5943" w:rsidR="00EF5F3B" w:rsidRPr="006C0E7D" w:rsidRDefault="00EF5F3B" w:rsidP="00EF5F3B">
            <w:pPr>
              <w:rPr>
                <w:rFonts w:ascii="Arial Narrow" w:hAnsi="Arial Narrow"/>
                <w:sz w:val="20"/>
                <w:szCs w:val="20"/>
              </w:rPr>
            </w:pPr>
            <w:r w:rsidRPr="00CB148B">
              <w:rPr>
                <w:rFonts w:ascii="Arial Narrow" w:hAnsi="Arial Narrow"/>
                <w:sz w:val="20"/>
                <w:szCs w:val="20"/>
                <w:lang w:val="sq-AL"/>
              </w:rPr>
              <w:t xml:space="preserve">Direktiva 2006/66/EC për bateritë dhe akumulatorët dhe </w:t>
            </w:r>
            <w:r>
              <w:rPr>
                <w:rFonts w:ascii="Arial Narrow" w:hAnsi="Arial Narrow"/>
                <w:sz w:val="20"/>
                <w:szCs w:val="20"/>
                <w:lang w:val="sq-AL"/>
              </w:rPr>
              <w:t xml:space="preserve">menaxhimin e </w:t>
            </w:r>
            <w:r w:rsidRPr="00CB148B">
              <w:rPr>
                <w:rFonts w:ascii="Arial Narrow" w:hAnsi="Arial Narrow"/>
                <w:sz w:val="20"/>
                <w:szCs w:val="20"/>
                <w:lang w:val="sq-AL"/>
              </w:rPr>
              <w:t>mbeturina</w:t>
            </w:r>
            <w:r>
              <w:rPr>
                <w:rFonts w:ascii="Arial Narrow" w:hAnsi="Arial Narrow"/>
                <w:sz w:val="20"/>
                <w:szCs w:val="20"/>
                <w:lang w:val="sq-AL"/>
              </w:rPr>
              <w:t>ve</w:t>
            </w:r>
            <w:r w:rsidRPr="00CB148B">
              <w:rPr>
                <w:rFonts w:ascii="Arial Narrow" w:hAnsi="Arial Narrow"/>
                <w:sz w:val="20"/>
                <w:szCs w:val="20"/>
                <w:lang w:val="sq-AL"/>
              </w:rPr>
              <w:t xml:space="preserve"> </w:t>
            </w:r>
            <w:r>
              <w:rPr>
                <w:rFonts w:ascii="Arial Narrow" w:hAnsi="Arial Narrow"/>
                <w:sz w:val="20"/>
                <w:szCs w:val="20"/>
                <w:lang w:val="sq-AL"/>
              </w:rPr>
              <w:t>nga</w:t>
            </w:r>
            <w:r w:rsidRPr="00CB148B">
              <w:rPr>
                <w:rFonts w:ascii="Arial Narrow" w:hAnsi="Arial Narrow"/>
                <w:sz w:val="20"/>
                <w:szCs w:val="20"/>
                <w:lang w:val="sq-AL"/>
              </w:rPr>
              <w:t xml:space="preserve"> bateri</w:t>
            </w:r>
            <w:r>
              <w:rPr>
                <w:rFonts w:ascii="Arial Narrow" w:hAnsi="Arial Narrow"/>
                <w:sz w:val="20"/>
                <w:szCs w:val="20"/>
                <w:lang w:val="sq-AL"/>
              </w:rPr>
              <w:t>të</w:t>
            </w:r>
            <w:r w:rsidRPr="00CB148B">
              <w:rPr>
                <w:rFonts w:ascii="Arial Narrow" w:hAnsi="Arial Narrow"/>
                <w:sz w:val="20"/>
                <w:szCs w:val="20"/>
                <w:lang w:val="sq-AL"/>
              </w:rPr>
              <w:t xml:space="preserve"> dhe akumulatorët</w:t>
            </w:r>
          </w:p>
        </w:tc>
        <w:tc>
          <w:tcPr>
            <w:tcW w:w="5755" w:type="dxa"/>
          </w:tcPr>
          <w:p w14:paraId="122D6103" w14:textId="33143799" w:rsidR="00EF5F3B" w:rsidRPr="006C0E7D" w:rsidRDefault="00EF5F3B" w:rsidP="00EF5F3B">
            <w:pPr>
              <w:rPr>
                <w:rFonts w:ascii="Arial Narrow" w:hAnsi="Arial Narrow"/>
                <w:sz w:val="20"/>
                <w:szCs w:val="20"/>
              </w:rPr>
            </w:pPr>
            <w:r w:rsidRPr="00CB148B">
              <w:rPr>
                <w:rFonts w:ascii="Arial Narrow" w:hAnsi="Arial Narrow"/>
                <w:sz w:val="20"/>
                <w:szCs w:val="20"/>
                <w:lang w:val="sq-AL"/>
              </w:rPr>
              <w:t>Udhëzimi Administrativ №. 26/2014 për mbeturinat nga bateritë dhe akumulatorët e shpenzuar;</w:t>
            </w:r>
          </w:p>
        </w:tc>
      </w:tr>
      <w:tr w:rsidR="00EF5F3B" w:rsidRPr="006C0E7D" w14:paraId="11B5EEFC" w14:textId="77777777" w:rsidTr="004A40AC">
        <w:tc>
          <w:tcPr>
            <w:tcW w:w="3595" w:type="dxa"/>
          </w:tcPr>
          <w:p w14:paraId="0935B30E" w14:textId="7A06B21D" w:rsidR="00EF5F3B" w:rsidRPr="006C0E7D" w:rsidRDefault="00EF5F3B" w:rsidP="00EF5F3B">
            <w:pPr>
              <w:rPr>
                <w:rFonts w:ascii="Arial Narrow" w:hAnsi="Arial Narrow"/>
                <w:sz w:val="20"/>
                <w:szCs w:val="20"/>
              </w:rPr>
            </w:pPr>
            <w:r w:rsidRPr="00CB148B">
              <w:rPr>
                <w:rFonts w:ascii="Arial Narrow" w:hAnsi="Arial Narrow"/>
                <w:sz w:val="20"/>
                <w:szCs w:val="20"/>
                <w:lang w:val="sq-AL"/>
              </w:rPr>
              <w:t>Direktiva 2012/19/BE për mbet</w:t>
            </w:r>
            <w:r>
              <w:rPr>
                <w:rFonts w:ascii="Arial Narrow" w:hAnsi="Arial Narrow"/>
                <w:sz w:val="20"/>
                <w:szCs w:val="20"/>
                <w:lang w:val="sq-AL"/>
              </w:rPr>
              <w:t>urinat</w:t>
            </w:r>
            <w:r w:rsidRPr="00CB148B">
              <w:rPr>
                <w:rFonts w:ascii="Arial Narrow" w:hAnsi="Arial Narrow"/>
                <w:sz w:val="20"/>
                <w:szCs w:val="20"/>
                <w:lang w:val="sq-AL"/>
              </w:rPr>
              <w:t xml:space="preserve"> e pajisjeve elektrike dhe elektronike</w:t>
            </w:r>
          </w:p>
        </w:tc>
        <w:tc>
          <w:tcPr>
            <w:tcW w:w="5755" w:type="dxa"/>
          </w:tcPr>
          <w:p w14:paraId="6C22E4F1" w14:textId="12659C15" w:rsidR="00EF5F3B" w:rsidRPr="006C0E7D" w:rsidRDefault="00EF5F3B" w:rsidP="00EF5F3B">
            <w:pPr>
              <w:rPr>
                <w:rFonts w:ascii="Arial Narrow" w:hAnsi="Arial Narrow"/>
                <w:sz w:val="20"/>
                <w:szCs w:val="20"/>
              </w:rPr>
            </w:pPr>
            <w:r w:rsidRPr="00CB148B">
              <w:rPr>
                <w:rFonts w:ascii="Arial Narrow" w:hAnsi="Arial Narrow"/>
                <w:sz w:val="20"/>
                <w:szCs w:val="20"/>
                <w:lang w:val="sq-AL"/>
              </w:rPr>
              <w:t>Udhëzimi Administrativ №. 25/2014 për menaxhimin e mbeturinave nga pajisjet elektrike dhe elektronike</w:t>
            </w:r>
          </w:p>
        </w:tc>
      </w:tr>
      <w:tr w:rsidR="00EF5F3B" w:rsidRPr="006C0E7D" w14:paraId="0C1CD405" w14:textId="77777777" w:rsidTr="004A40AC">
        <w:tc>
          <w:tcPr>
            <w:tcW w:w="3595" w:type="dxa"/>
          </w:tcPr>
          <w:p w14:paraId="0B9DEFB9" w14:textId="5344D5AA" w:rsidR="00EF5F3B" w:rsidRPr="006C0E7D" w:rsidRDefault="00EF5F3B" w:rsidP="00EF5F3B">
            <w:pPr>
              <w:rPr>
                <w:rFonts w:ascii="Arial Narrow" w:hAnsi="Arial Narrow"/>
                <w:sz w:val="20"/>
                <w:szCs w:val="20"/>
              </w:rPr>
            </w:pPr>
            <w:r w:rsidRPr="00CB148B">
              <w:rPr>
                <w:rFonts w:ascii="Arial Narrow" w:hAnsi="Arial Narrow"/>
                <w:sz w:val="20"/>
                <w:szCs w:val="20"/>
                <w:lang w:val="sq-AL"/>
              </w:rPr>
              <w:lastRenderedPageBreak/>
              <w:t xml:space="preserve">Direktiva 2000/53/EC për automjetet </w:t>
            </w:r>
            <w:r>
              <w:rPr>
                <w:rFonts w:ascii="Arial Narrow" w:hAnsi="Arial Narrow"/>
                <w:sz w:val="20"/>
                <w:szCs w:val="20"/>
                <w:lang w:val="sq-AL"/>
              </w:rPr>
              <w:t>mbeturinë</w:t>
            </w:r>
          </w:p>
        </w:tc>
        <w:tc>
          <w:tcPr>
            <w:tcW w:w="5755" w:type="dxa"/>
          </w:tcPr>
          <w:p w14:paraId="47772EB1" w14:textId="77777777" w:rsidR="00EF5F3B" w:rsidRPr="00CB148B" w:rsidRDefault="00EF5F3B" w:rsidP="00EF5F3B">
            <w:pPr>
              <w:rPr>
                <w:rFonts w:ascii="Arial Narrow" w:hAnsi="Arial Narrow"/>
                <w:sz w:val="20"/>
                <w:szCs w:val="20"/>
                <w:lang w:val="sq-AL"/>
              </w:rPr>
            </w:pPr>
            <w:r w:rsidRPr="00CB148B">
              <w:rPr>
                <w:rFonts w:ascii="Arial Narrow" w:hAnsi="Arial Narrow"/>
                <w:sz w:val="20"/>
                <w:szCs w:val="20"/>
                <w:lang w:val="sq-AL"/>
              </w:rPr>
              <w:t>Udhëzimi Administrativ №. 19/2012 për menaxhimin e automjeteve  mbeturin</w:t>
            </w:r>
            <w:r>
              <w:rPr>
                <w:rFonts w:ascii="Arial Narrow" w:hAnsi="Arial Narrow"/>
                <w:sz w:val="20"/>
                <w:szCs w:val="20"/>
                <w:lang w:val="sq-AL"/>
              </w:rPr>
              <w:t>[</w:t>
            </w:r>
            <w:r w:rsidRPr="00CB148B">
              <w:rPr>
                <w:rFonts w:ascii="Arial Narrow" w:hAnsi="Arial Narrow"/>
                <w:sz w:val="20"/>
                <w:szCs w:val="20"/>
                <w:lang w:val="sq-AL"/>
              </w:rPr>
              <w:t xml:space="preserve"> dhe komponent</w:t>
            </w:r>
            <w:r>
              <w:rPr>
                <w:rFonts w:ascii="Arial Narrow" w:hAnsi="Arial Narrow"/>
                <w:sz w:val="20"/>
                <w:szCs w:val="20"/>
                <w:lang w:val="sq-AL"/>
              </w:rPr>
              <w:t>et</w:t>
            </w:r>
            <w:r w:rsidRPr="00CB148B">
              <w:rPr>
                <w:rFonts w:ascii="Arial Narrow" w:hAnsi="Arial Narrow"/>
                <w:sz w:val="20"/>
                <w:szCs w:val="20"/>
                <w:lang w:val="sq-AL"/>
              </w:rPr>
              <w:t xml:space="preserve"> </w:t>
            </w:r>
            <w:r>
              <w:rPr>
                <w:rFonts w:ascii="Arial Narrow" w:hAnsi="Arial Narrow"/>
                <w:sz w:val="20"/>
                <w:szCs w:val="20"/>
                <w:lang w:val="sq-AL"/>
              </w:rPr>
              <w:t>e</w:t>
            </w:r>
            <w:r w:rsidRPr="00CB148B">
              <w:rPr>
                <w:rFonts w:ascii="Arial Narrow" w:hAnsi="Arial Narrow"/>
                <w:sz w:val="20"/>
                <w:szCs w:val="20"/>
                <w:lang w:val="sq-AL"/>
              </w:rPr>
              <w:t xml:space="preserve"> tyre shfuqizon: Udhëzimin Administrativ -№. 02/2009 për administrimin e automjeteve të deponuara dhe mbet</w:t>
            </w:r>
            <w:r>
              <w:rPr>
                <w:rFonts w:ascii="Arial Narrow" w:hAnsi="Arial Narrow"/>
                <w:sz w:val="20"/>
                <w:szCs w:val="20"/>
                <w:lang w:val="sq-AL"/>
              </w:rPr>
              <w:t>urinate</w:t>
            </w:r>
            <w:r w:rsidRPr="00CB148B">
              <w:rPr>
                <w:rFonts w:ascii="Arial Narrow" w:hAnsi="Arial Narrow"/>
                <w:sz w:val="20"/>
                <w:szCs w:val="20"/>
                <w:lang w:val="sq-AL"/>
              </w:rPr>
              <w:t xml:space="preserve"> tyre</w:t>
            </w:r>
          </w:p>
          <w:p w14:paraId="0431F8A7" w14:textId="54EC1247" w:rsidR="00EF5F3B" w:rsidRPr="006C0E7D" w:rsidRDefault="00EF5F3B" w:rsidP="00EF5F3B">
            <w:pPr>
              <w:rPr>
                <w:rFonts w:ascii="Arial Narrow" w:hAnsi="Arial Narrow"/>
                <w:sz w:val="20"/>
                <w:szCs w:val="20"/>
              </w:rPr>
            </w:pPr>
            <w:r w:rsidRPr="00CB148B">
              <w:rPr>
                <w:rFonts w:ascii="Arial Narrow" w:hAnsi="Arial Narrow"/>
                <w:sz w:val="20"/>
                <w:szCs w:val="20"/>
                <w:lang w:val="sq-AL"/>
              </w:rPr>
              <w:t xml:space="preserve">Udhëzimi Administrativ №. 05/2013 për menaxhimin e vajrave të përdorura dhe </w:t>
            </w:r>
            <w:r>
              <w:rPr>
                <w:rFonts w:ascii="Arial Narrow" w:hAnsi="Arial Narrow"/>
                <w:sz w:val="20"/>
                <w:szCs w:val="20"/>
                <w:lang w:val="sq-AL"/>
              </w:rPr>
              <w:t xml:space="preserve">mbeturinave me </w:t>
            </w:r>
            <w:r w:rsidRPr="00CB148B">
              <w:rPr>
                <w:rFonts w:ascii="Arial Narrow" w:hAnsi="Arial Narrow"/>
                <w:sz w:val="20"/>
                <w:szCs w:val="20"/>
                <w:lang w:val="sq-AL"/>
              </w:rPr>
              <w:t>vaj</w:t>
            </w:r>
            <w:r>
              <w:rPr>
                <w:rFonts w:ascii="Arial Narrow" w:hAnsi="Arial Narrow"/>
                <w:sz w:val="20"/>
                <w:szCs w:val="20"/>
                <w:lang w:val="sq-AL"/>
              </w:rPr>
              <w:t>ra</w:t>
            </w:r>
          </w:p>
        </w:tc>
      </w:tr>
      <w:tr w:rsidR="00EF5F3B" w:rsidRPr="006C0E7D" w14:paraId="113DCA22" w14:textId="77777777" w:rsidTr="004A40AC">
        <w:tc>
          <w:tcPr>
            <w:tcW w:w="3595" w:type="dxa"/>
          </w:tcPr>
          <w:p w14:paraId="48FE83E1" w14:textId="2D29E12F" w:rsidR="00EF5F3B" w:rsidRPr="006C0E7D" w:rsidRDefault="00EF5F3B" w:rsidP="00EF5F3B">
            <w:pPr>
              <w:rPr>
                <w:rFonts w:ascii="Arial Narrow" w:hAnsi="Arial Narrow"/>
                <w:sz w:val="20"/>
                <w:szCs w:val="20"/>
              </w:rPr>
            </w:pPr>
            <w:r w:rsidRPr="00CB148B">
              <w:rPr>
                <w:rFonts w:ascii="Arial Narrow" w:hAnsi="Arial Narrow"/>
                <w:sz w:val="20"/>
                <w:szCs w:val="20"/>
                <w:lang w:val="sq-AL"/>
              </w:rPr>
              <w:t>Direktiva 91/271/EEC – Trajtimi i ujërave të zeza urbane</w:t>
            </w:r>
          </w:p>
        </w:tc>
        <w:tc>
          <w:tcPr>
            <w:tcW w:w="5755" w:type="dxa"/>
          </w:tcPr>
          <w:p w14:paraId="203E595C" w14:textId="77777777" w:rsidR="00EF5F3B" w:rsidRPr="00CB148B" w:rsidRDefault="00EF5F3B" w:rsidP="00EF5F3B">
            <w:pPr>
              <w:rPr>
                <w:rFonts w:ascii="Arial Narrow" w:hAnsi="Arial Narrow"/>
                <w:sz w:val="20"/>
                <w:szCs w:val="20"/>
                <w:lang w:val="sq-AL"/>
              </w:rPr>
            </w:pPr>
            <w:r w:rsidRPr="00CB148B">
              <w:rPr>
                <w:rFonts w:ascii="Arial Narrow" w:hAnsi="Arial Narrow"/>
                <w:sz w:val="20"/>
                <w:szCs w:val="20"/>
                <w:lang w:val="sq-AL"/>
              </w:rPr>
              <w:t>LIGJI №. 04/L-147 për ujërat e Kosovës</w:t>
            </w:r>
          </w:p>
          <w:p w14:paraId="59DD1364" w14:textId="12F6F45E" w:rsidR="00EF5F3B" w:rsidRPr="006C0E7D" w:rsidRDefault="00EF5F3B" w:rsidP="00EF5F3B">
            <w:pPr>
              <w:rPr>
                <w:rFonts w:ascii="Arial Narrow" w:hAnsi="Arial Narrow"/>
                <w:sz w:val="20"/>
                <w:szCs w:val="20"/>
              </w:rPr>
            </w:pPr>
            <w:r w:rsidRPr="00CB148B">
              <w:rPr>
                <w:rFonts w:ascii="Arial Narrow" w:hAnsi="Arial Narrow"/>
                <w:sz w:val="20"/>
                <w:szCs w:val="20"/>
                <w:lang w:val="sq-AL"/>
              </w:rPr>
              <w:t>Udhëzimi Administrativ №. 02/2022 për kushtet, metodat, parametrat dhe vlerat kufizuese të shkarkimit të ujërave të ndotura në rrjetin publik të kanalizimit dhe në trupin ujor</w:t>
            </w:r>
          </w:p>
        </w:tc>
      </w:tr>
      <w:tr w:rsidR="00EF5F3B" w:rsidRPr="006C0E7D" w14:paraId="112EB886" w14:textId="77777777" w:rsidTr="004A40AC">
        <w:tc>
          <w:tcPr>
            <w:tcW w:w="3595" w:type="dxa"/>
          </w:tcPr>
          <w:p w14:paraId="0A8035EC" w14:textId="34D6E200" w:rsidR="00EF5F3B" w:rsidRPr="006C0E7D" w:rsidRDefault="00EF5F3B" w:rsidP="00EF5F3B">
            <w:pPr>
              <w:rPr>
                <w:rFonts w:ascii="Arial Narrow" w:hAnsi="Arial Narrow"/>
                <w:sz w:val="20"/>
                <w:szCs w:val="20"/>
              </w:rPr>
            </w:pPr>
            <w:r w:rsidRPr="00CB148B">
              <w:rPr>
                <w:rFonts w:ascii="Arial Narrow" w:hAnsi="Arial Narrow"/>
                <w:sz w:val="20"/>
                <w:szCs w:val="20"/>
                <w:lang w:val="sq-AL"/>
              </w:rPr>
              <w:t>Rregullorja Nr. 1013/2006 për dërgesat e mbeturinave</w:t>
            </w:r>
          </w:p>
        </w:tc>
        <w:tc>
          <w:tcPr>
            <w:tcW w:w="5755" w:type="dxa"/>
          </w:tcPr>
          <w:p w14:paraId="73A161B8" w14:textId="132718BE" w:rsidR="00EF5F3B" w:rsidRPr="006C0E7D" w:rsidRDefault="00EF5F3B" w:rsidP="00EF5F3B">
            <w:pPr>
              <w:rPr>
                <w:rFonts w:ascii="Arial Narrow" w:hAnsi="Arial Narrow"/>
                <w:sz w:val="20"/>
                <w:szCs w:val="20"/>
              </w:rPr>
            </w:pPr>
            <w:r w:rsidRPr="00CB148B">
              <w:rPr>
                <w:rFonts w:ascii="Arial Narrow" w:hAnsi="Arial Narrow"/>
                <w:sz w:val="20"/>
                <w:szCs w:val="20"/>
                <w:lang w:val="sq-AL"/>
              </w:rPr>
              <w:t xml:space="preserve">Udhëzimi Administrativ </w:t>
            </w:r>
            <w:r>
              <w:rPr>
                <w:rFonts w:ascii="Arial Narrow" w:hAnsi="Arial Narrow"/>
                <w:sz w:val="20"/>
                <w:szCs w:val="20"/>
                <w:lang w:val="sq-AL"/>
              </w:rPr>
              <w:t>MMPHI</w:t>
            </w:r>
            <w:r w:rsidRPr="00CB148B">
              <w:rPr>
                <w:rFonts w:ascii="Arial Narrow" w:hAnsi="Arial Narrow"/>
                <w:sz w:val="20"/>
                <w:szCs w:val="20"/>
                <w:lang w:val="sq-AL"/>
              </w:rPr>
              <w:t xml:space="preserve"> Nr.02/2024 për përcaktimin e kushteve, kritereve dhe procedurave për dhënien e lejeve për import, eksport dhe tran</w:t>
            </w:r>
            <w:r>
              <w:rPr>
                <w:rFonts w:ascii="Arial Narrow" w:hAnsi="Arial Narrow"/>
                <w:sz w:val="20"/>
                <w:szCs w:val="20"/>
                <w:lang w:val="sq-AL"/>
              </w:rPr>
              <w:t>z</w:t>
            </w:r>
            <w:r w:rsidRPr="00CB148B">
              <w:rPr>
                <w:rFonts w:ascii="Arial Narrow" w:hAnsi="Arial Narrow"/>
                <w:sz w:val="20"/>
                <w:szCs w:val="20"/>
                <w:lang w:val="sq-AL"/>
              </w:rPr>
              <w:t>it të mbeturinave.</w:t>
            </w:r>
          </w:p>
        </w:tc>
      </w:tr>
    </w:tbl>
    <w:p w14:paraId="55B2A44F" w14:textId="77777777" w:rsidR="00F45EBF" w:rsidRDefault="00F45EBF" w:rsidP="00032CD8">
      <w:pPr>
        <w:rPr>
          <w:rFonts w:eastAsia="Calibri" w:cs="Calibri"/>
          <w:sz w:val="22"/>
          <w:szCs w:val="22"/>
        </w:rPr>
      </w:pPr>
    </w:p>
    <w:p w14:paraId="65122825" w14:textId="77777777" w:rsidR="00EF5F3B" w:rsidRDefault="00EF5F3B" w:rsidP="00EF5F3B">
      <w:pPr>
        <w:pStyle w:val="Paragraph"/>
        <w:rPr>
          <w:rFonts w:eastAsia="Calibri"/>
          <w:lang w:val="sq-AL"/>
        </w:rPr>
      </w:pPr>
      <w:bookmarkStart w:id="46" w:name="_Toc140050134"/>
      <w:bookmarkStart w:id="47" w:name="_Toc153872096"/>
      <w:bookmarkStart w:id="48" w:name="_Toc170470799"/>
      <w:r w:rsidRPr="00CB148B">
        <w:rPr>
          <w:rFonts w:eastAsia="Calibri"/>
          <w:lang w:val="sq-AL"/>
        </w:rPr>
        <w:t xml:space="preserve">Harmonizimi i kornizës ligjore të Republikës së Kosovës me acquis të BE-së ka qenë synim i vazhdueshëm i politikës së Qeverisë së Kosovës. Megjithatë, ka ende boshllëqe të rëndësishme në kuadrin ligjor ekzistues, të cilat duhet të adresohen për zbatimin e politikës </w:t>
      </w:r>
      <w:r>
        <w:rPr>
          <w:rFonts w:eastAsia="Calibri"/>
          <w:lang w:val="sq-AL"/>
        </w:rPr>
        <w:t>nacionale</w:t>
      </w:r>
      <w:r w:rsidRPr="00CB148B">
        <w:rPr>
          <w:rFonts w:eastAsia="Calibri"/>
          <w:lang w:val="sq-AL"/>
        </w:rPr>
        <w:t xml:space="preserve"> të menaxhimit të mbet</w:t>
      </w:r>
      <w:r>
        <w:rPr>
          <w:rFonts w:eastAsia="Calibri"/>
          <w:lang w:val="sq-AL"/>
        </w:rPr>
        <w:t>urinave</w:t>
      </w:r>
      <w:r w:rsidRPr="00CB148B">
        <w:rPr>
          <w:rFonts w:eastAsia="Calibri"/>
          <w:lang w:val="sq-AL"/>
        </w:rPr>
        <w:t xml:space="preserve">, siç përshkruhet në </w:t>
      </w:r>
      <w:r>
        <w:rPr>
          <w:rFonts w:eastAsia="Calibri"/>
          <w:lang w:val="sq-AL"/>
        </w:rPr>
        <w:t>SKMIM</w:t>
      </w:r>
      <w:r w:rsidRPr="00CB148B">
        <w:rPr>
          <w:rFonts w:eastAsia="Calibri"/>
          <w:lang w:val="sq-AL"/>
        </w:rPr>
        <w:t xml:space="preserve"> </w:t>
      </w:r>
      <w:r>
        <w:rPr>
          <w:rFonts w:eastAsia="Calibri"/>
          <w:lang w:val="sq-AL"/>
        </w:rPr>
        <w:t>e</w:t>
      </w:r>
      <w:r w:rsidRPr="00CB148B">
        <w:rPr>
          <w:rFonts w:eastAsia="Calibri"/>
          <w:lang w:val="sq-AL"/>
        </w:rPr>
        <w:t xml:space="preserve"> rishikuar.</w:t>
      </w:r>
    </w:p>
    <w:p w14:paraId="37F35332" w14:textId="77777777" w:rsidR="006146D0" w:rsidRPr="008D2D8C" w:rsidRDefault="006146D0" w:rsidP="00EF5F3B">
      <w:pPr>
        <w:pStyle w:val="Paragraph"/>
        <w:rPr>
          <w:rFonts w:eastAsia="Calibri"/>
          <w:lang w:val="sq-AL"/>
        </w:rPr>
      </w:pPr>
    </w:p>
    <w:p w14:paraId="32CF877E" w14:textId="1BA9E332" w:rsidR="00032CD8" w:rsidRDefault="00032CD8" w:rsidP="002254E8">
      <w:pPr>
        <w:pStyle w:val="Heading2"/>
      </w:pPr>
      <w:bookmarkStart w:id="49" w:name="_Toc197471950"/>
      <w:r w:rsidRPr="00AF0235">
        <w:t>Korniza institucionale dhe organizative</w:t>
      </w:r>
      <w:bookmarkEnd w:id="46"/>
      <w:bookmarkEnd w:id="47"/>
      <w:bookmarkEnd w:id="48"/>
      <w:bookmarkEnd w:id="49"/>
    </w:p>
    <w:p w14:paraId="5E8DAB0A" w14:textId="1C1EE246" w:rsidR="00032CD8" w:rsidRPr="00C21444" w:rsidRDefault="00032CD8" w:rsidP="002254E8">
      <w:pPr>
        <w:pStyle w:val="Heading3"/>
      </w:pPr>
      <w:bookmarkStart w:id="50" w:name="_Toc153872097"/>
      <w:bookmarkStart w:id="51" w:name="_Toc170470800"/>
      <w:bookmarkStart w:id="52" w:name="_Toc197471951"/>
      <w:r w:rsidRPr="00C21444">
        <w:t>Nivel</w:t>
      </w:r>
      <w:r w:rsidR="006146D0">
        <w:t xml:space="preserve">i </w:t>
      </w:r>
      <w:r w:rsidR="00B22104">
        <w:t>nacional</w:t>
      </w:r>
      <w:bookmarkEnd w:id="50"/>
      <w:bookmarkEnd w:id="51"/>
      <w:bookmarkEnd w:id="52"/>
    </w:p>
    <w:p w14:paraId="469BE27E" w14:textId="607A026E" w:rsidR="00F45EBF" w:rsidRPr="00AF0235" w:rsidRDefault="00F45EBF" w:rsidP="00B1488D">
      <w:pPr>
        <w:pStyle w:val="High"/>
      </w:pPr>
      <w:bookmarkStart w:id="53" w:name="_Toc140050136"/>
      <w:r w:rsidRPr="00AF0235">
        <w:t>M</w:t>
      </w:r>
      <w:r w:rsidR="00B22104">
        <w:t>MPHI</w:t>
      </w:r>
    </w:p>
    <w:p w14:paraId="731073E3" w14:textId="77777777" w:rsidR="00B22104" w:rsidRPr="008D2D8C" w:rsidRDefault="00B22104" w:rsidP="00B22104">
      <w:pPr>
        <w:pStyle w:val="Paragraph"/>
        <w:rPr>
          <w:rFonts w:eastAsia="Calibri"/>
          <w:lang w:val="sq-AL"/>
        </w:rPr>
      </w:pPr>
      <w:r w:rsidRPr="00CB148B">
        <w:rPr>
          <w:rFonts w:eastAsia="Calibri"/>
          <w:lang w:val="sq-AL"/>
        </w:rPr>
        <w:t xml:space="preserve">Sipas Ligjit për Mbeturina, institucioni kryesor </w:t>
      </w:r>
      <w:r>
        <w:rPr>
          <w:rFonts w:eastAsia="Calibri"/>
          <w:lang w:val="sq-AL"/>
        </w:rPr>
        <w:t>nacional</w:t>
      </w:r>
      <w:r w:rsidRPr="00CB148B">
        <w:rPr>
          <w:rFonts w:eastAsia="Calibri"/>
          <w:lang w:val="sq-AL"/>
        </w:rPr>
        <w:t xml:space="preserve"> përgjegjës për mbeturinat është Ministria e Mjedisit, Planifikimit Hapësinor dhe Infrastrukturës. Neni 14 i Ligjit për Mbeturina përcakton kompetencat e M</w:t>
      </w:r>
      <w:r>
        <w:rPr>
          <w:rFonts w:eastAsia="Calibri"/>
          <w:lang w:val="sq-AL"/>
        </w:rPr>
        <w:t>MPH</w:t>
      </w:r>
      <w:r w:rsidRPr="00CB148B">
        <w:rPr>
          <w:rFonts w:eastAsia="Calibri"/>
          <w:lang w:val="sq-AL"/>
        </w:rPr>
        <w:t>I-së. Disa nga kompetencat kryesore janë:</w:t>
      </w:r>
    </w:p>
    <w:p w14:paraId="593AC2E6" w14:textId="77777777" w:rsidR="00B22104" w:rsidRDefault="00B22104" w:rsidP="00B22104">
      <w:pPr>
        <w:pStyle w:val="Bullet"/>
        <w:rPr>
          <w:lang w:val="sq-AL"/>
        </w:rPr>
      </w:pPr>
      <w:r w:rsidRPr="00CB148B">
        <w:rPr>
          <w:lang w:val="sq-AL"/>
        </w:rPr>
        <w:t>Përcaktimi i politikave të përgjithshme, hartimi i Strategjisë, ligjet që rregullojnë menaxhimin e mbet</w:t>
      </w:r>
      <w:r>
        <w:rPr>
          <w:lang w:val="sq-AL"/>
        </w:rPr>
        <w:t>urinave</w:t>
      </w:r>
      <w:r w:rsidRPr="00CB148B">
        <w:rPr>
          <w:lang w:val="sq-AL"/>
        </w:rPr>
        <w:t>.</w:t>
      </w:r>
    </w:p>
    <w:p w14:paraId="3E53E013" w14:textId="77777777" w:rsidR="00B22104" w:rsidRDefault="00B22104" w:rsidP="00B22104">
      <w:pPr>
        <w:pStyle w:val="Bullet"/>
        <w:rPr>
          <w:lang w:val="sq-AL"/>
        </w:rPr>
      </w:pPr>
      <w:r w:rsidRPr="00CB148B">
        <w:rPr>
          <w:lang w:val="sq-AL"/>
        </w:rPr>
        <w:t>Rregullimi i sektorit të mbet</w:t>
      </w:r>
      <w:r>
        <w:rPr>
          <w:lang w:val="sq-AL"/>
        </w:rPr>
        <w:t>urinave</w:t>
      </w:r>
      <w:r w:rsidRPr="00CB148B">
        <w:rPr>
          <w:lang w:val="sq-AL"/>
        </w:rPr>
        <w:t>.</w:t>
      </w:r>
    </w:p>
    <w:p w14:paraId="32C80FAC" w14:textId="77777777" w:rsidR="00B22104" w:rsidRDefault="00B22104" w:rsidP="00B22104">
      <w:pPr>
        <w:pStyle w:val="Bullet"/>
        <w:rPr>
          <w:lang w:val="sq-AL"/>
        </w:rPr>
      </w:pPr>
      <w:r w:rsidRPr="00CB148B">
        <w:rPr>
          <w:lang w:val="sq-AL"/>
        </w:rPr>
        <w:t>Hartimi i planit të veprimit për menaxhimin e mbet</w:t>
      </w:r>
      <w:r>
        <w:rPr>
          <w:lang w:val="sq-AL"/>
        </w:rPr>
        <w:t>urinave</w:t>
      </w:r>
      <w:r w:rsidRPr="00CB148B">
        <w:rPr>
          <w:lang w:val="sq-AL"/>
        </w:rPr>
        <w:t>.</w:t>
      </w:r>
    </w:p>
    <w:p w14:paraId="400DF9FF" w14:textId="77777777" w:rsidR="00B22104" w:rsidRDefault="00B22104" w:rsidP="00B22104">
      <w:pPr>
        <w:pStyle w:val="Bullet"/>
        <w:rPr>
          <w:lang w:val="sq-AL"/>
        </w:rPr>
      </w:pPr>
      <w:r w:rsidRPr="004B541B">
        <w:rPr>
          <w:lang w:val="sq-AL"/>
        </w:rPr>
        <w:t>Zbat</w:t>
      </w:r>
      <w:r>
        <w:rPr>
          <w:lang w:val="sq-AL"/>
        </w:rPr>
        <w:t>imi</w:t>
      </w:r>
      <w:r w:rsidRPr="004B541B">
        <w:rPr>
          <w:lang w:val="sq-AL"/>
        </w:rPr>
        <w:t xml:space="preserve"> strategji</w:t>
      </w:r>
      <w:r>
        <w:rPr>
          <w:lang w:val="sq-AL"/>
        </w:rPr>
        <w:t>s</w:t>
      </w:r>
      <w:r w:rsidRPr="004B541B">
        <w:rPr>
          <w:lang w:val="sq-AL"/>
        </w:rPr>
        <w:t>ë dhe plani</w:t>
      </w:r>
      <w:r>
        <w:rPr>
          <w:lang w:val="sq-AL"/>
        </w:rPr>
        <w:t>t</w:t>
      </w:r>
      <w:r w:rsidRPr="004B541B">
        <w:rPr>
          <w:lang w:val="sq-AL"/>
        </w:rPr>
        <w:t>.</w:t>
      </w:r>
    </w:p>
    <w:p w14:paraId="733C9489" w14:textId="77777777" w:rsidR="00B22104" w:rsidRDefault="00B22104" w:rsidP="00B22104">
      <w:pPr>
        <w:pStyle w:val="Bullet"/>
        <w:rPr>
          <w:lang w:val="sq-AL"/>
        </w:rPr>
      </w:pPr>
      <w:r w:rsidRPr="004B541B">
        <w:rPr>
          <w:lang w:val="sq-AL"/>
        </w:rPr>
        <w:t>Lëshimi i lejeve përkatëse dhe mbajtja e dëshmive në regjistrin e lejeve.</w:t>
      </w:r>
    </w:p>
    <w:p w14:paraId="761B30FF" w14:textId="77777777" w:rsidR="00B22104" w:rsidRDefault="00B22104" w:rsidP="00B22104">
      <w:pPr>
        <w:pStyle w:val="Bullet"/>
        <w:rPr>
          <w:lang w:val="sq-AL"/>
        </w:rPr>
      </w:pPr>
      <w:r w:rsidRPr="004B541B">
        <w:rPr>
          <w:lang w:val="sq-AL"/>
        </w:rPr>
        <w:t>Lëshimi i lejeve për import, eksport dhe tranzit të mbet</w:t>
      </w:r>
      <w:r>
        <w:rPr>
          <w:lang w:val="sq-AL"/>
        </w:rPr>
        <w:t>zurinave</w:t>
      </w:r>
      <w:r w:rsidRPr="004B541B">
        <w:rPr>
          <w:lang w:val="sq-AL"/>
        </w:rPr>
        <w:t>.</w:t>
      </w:r>
    </w:p>
    <w:p w14:paraId="0C338FC4" w14:textId="77777777" w:rsidR="00B22104" w:rsidRDefault="00B22104" w:rsidP="00B22104">
      <w:pPr>
        <w:pStyle w:val="Bullet"/>
        <w:rPr>
          <w:lang w:val="sq-AL"/>
        </w:rPr>
      </w:pPr>
      <w:r w:rsidRPr="004B541B">
        <w:rPr>
          <w:lang w:val="sq-AL"/>
        </w:rPr>
        <w:t>Krijimi i bazave të të dhënave dhe sistemit të informacionit për menaxhimin e mbet</w:t>
      </w:r>
      <w:r>
        <w:rPr>
          <w:lang w:val="sq-AL"/>
        </w:rPr>
        <w:t>urinave</w:t>
      </w:r>
      <w:r w:rsidRPr="004B541B">
        <w:rPr>
          <w:lang w:val="sq-AL"/>
        </w:rPr>
        <w:t xml:space="preserve"> nga Agjencia për Mbrojtjen e Mjedisit.</w:t>
      </w:r>
    </w:p>
    <w:p w14:paraId="311EFFB0" w14:textId="77777777" w:rsidR="00B22104" w:rsidRDefault="00B22104" w:rsidP="00B22104">
      <w:pPr>
        <w:pStyle w:val="Bullet"/>
        <w:rPr>
          <w:lang w:val="sq-AL"/>
        </w:rPr>
      </w:pPr>
      <w:r w:rsidRPr="004B541B">
        <w:rPr>
          <w:lang w:val="sq-AL"/>
        </w:rPr>
        <w:t>Përpilimi i raporteve për menaxhimin e mbeturinave në Republikën e Kosovës nga Agjencia për Mbrojtjen e Mjedisit.</w:t>
      </w:r>
    </w:p>
    <w:p w14:paraId="0D43C03B" w14:textId="77777777" w:rsidR="00B22104" w:rsidRDefault="00B22104" w:rsidP="00B22104">
      <w:pPr>
        <w:pStyle w:val="Bullet"/>
        <w:rPr>
          <w:lang w:val="sq-AL"/>
        </w:rPr>
      </w:pPr>
      <w:r w:rsidRPr="004B541B">
        <w:rPr>
          <w:lang w:val="sq-AL"/>
        </w:rPr>
        <w:t>Zbatimi i marrëveshjeve në sferën e bashkëpunimit ndërkombëtar për menaxhimin e mbeturinave.</w:t>
      </w:r>
    </w:p>
    <w:p w14:paraId="7B32613C" w14:textId="77777777" w:rsidR="00B22104" w:rsidRDefault="00B22104" w:rsidP="00B22104">
      <w:pPr>
        <w:pStyle w:val="Bullet"/>
        <w:rPr>
          <w:lang w:val="sq-AL"/>
        </w:rPr>
      </w:pPr>
      <w:r w:rsidRPr="004B541B">
        <w:rPr>
          <w:lang w:val="sq-AL"/>
        </w:rPr>
        <w:t>Zbatimi i masave të nevojshme për të siguruar menaxhimin e mbet</w:t>
      </w:r>
      <w:r>
        <w:rPr>
          <w:lang w:val="sq-AL"/>
        </w:rPr>
        <w:t>urinave</w:t>
      </w:r>
      <w:r w:rsidRPr="004B541B">
        <w:rPr>
          <w:lang w:val="sq-AL"/>
        </w:rPr>
        <w:t xml:space="preserve"> në objektet e pajisura me lejet përkatëse mjedisore.</w:t>
      </w:r>
    </w:p>
    <w:p w14:paraId="56C937C7" w14:textId="77777777" w:rsidR="00B22104" w:rsidRDefault="00B22104" w:rsidP="00B22104">
      <w:pPr>
        <w:pStyle w:val="Bullet"/>
        <w:rPr>
          <w:lang w:val="sq-AL"/>
        </w:rPr>
      </w:pPr>
      <w:r w:rsidRPr="004B541B">
        <w:rPr>
          <w:lang w:val="sq-AL"/>
        </w:rPr>
        <w:t>Mbul</w:t>
      </w:r>
      <w:r>
        <w:rPr>
          <w:lang w:val="sq-AL"/>
        </w:rPr>
        <w:t>imi</w:t>
      </w:r>
      <w:r w:rsidRPr="004B541B">
        <w:rPr>
          <w:lang w:val="sq-AL"/>
        </w:rPr>
        <w:t xml:space="preserve"> </w:t>
      </w:r>
      <w:r>
        <w:rPr>
          <w:lang w:val="sq-AL"/>
        </w:rPr>
        <w:t xml:space="preserve">i </w:t>
      </w:r>
      <w:r w:rsidRPr="004B541B">
        <w:rPr>
          <w:lang w:val="sq-AL"/>
        </w:rPr>
        <w:t>shpenzime</w:t>
      </w:r>
      <w:r>
        <w:rPr>
          <w:lang w:val="sq-AL"/>
        </w:rPr>
        <w:t>ve</w:t>
      </w:r>
      <w:r w:rsidRPr="004B541B">
        <w:rPr>
          <w:lang w:val="sq-AL"/>
        </w:rPr>
        <w:t xml:space="preserve"> administrative dhe shpenzime</w:t>
      </w:r>
      <w:r>
        <w:rPr>
          <w:lang w:val="sq-AL"/>
        </w:rPr>
        <w:t>ve</w:t>
      </w:r>
      <w:r w:rsidRPr="004B541B">
        <w:rPr>
          <w:lang w:val="sq-AL"/>
        </w:rPr>
        <w:t xml:space="preserve"> për menaxhimin e mbet</w:t>
      </w:r>
      <w:r>
        <w:rPr>
          <w:lang w:val="sq-AL"/>
        </w:rPr>
        <w:t>urinave</w:t>
      </w:r>
      <w:r w:rsidRPr="004B541B">
        <w:rPr>
          <w:lang w:val="sq-AL"/>
        </w:rPr>
        <w:t xml:space="preserve"> të rrezikshme dhe mbet</w:t>
      </w:r>
      <w:r>
        <w:rPr>
          <w:lang w:val="sq-AL"/>
        </w:rPr>
        <w:t>uirnave</w:t>
      </w:r>
      <w:r w:rsidRPr="004B541B">
        <w:rPr>
          <w:lang w:val="sq-AL"/>
        </w:rPr>
        <w:t xml:space="preserve"> tjera që nuk janë nën juridiksionin e komunës dhe pronari i të cilave nuk dihet.</w:t>
      </w:r>
    </w:p>
    <w:p w14:paraId="006DA63D" w14:textId="77777777" w:rsidR="00B22104" w:rsidRPr="004B541B" w:rsidRDefault="00B22104" w:rsidP="00B22104">
      <w:pPr>
        <w:pStyle w:val="Bullet"/>
        <w:rPr>
          <w:lang w:val="sq-AL"/>
        </w:rPr>
      </w:pPr>
      <w:r w:rsidRPr="004B541B">
        <w:rPr>
          <w:lang w:val="sq-AL"/>
        </w:rPr>
        <w:t xml:space="preserve">Të marrë pjesë në hartimin e dispozitave ligjore për ruajtjen dhe </w:t>
      </w:r>
      <w:r>
        <w:rPr>
          <w:lang w:val="sq-AL"/>
        </w:rPr>
        <w:t>deponimin</w:t>
      </w:r>
      <w:r w:rsidRPr="004B541B">
        <w:rPr>
          <w:lang w:val="sq-AL"/>
        </w:rPr>
        <w:t xml:space="preserve"> e mbet</w:t>
      </w:r>
      <w:r>
        <w:rPr>
          <w:lang w:val="sq-AL"/>
        </w:rPr>
        <w:t>urinave</w:t>
      </w:r>
      <w:r w:rsidRPr="004B541B">
        <w:rPr>
          <w:lang w:val="sq-AL"/>
        </w:rPr>
        <w:t xml:space="preserve"> të bimëve narkotike dhe substancave narkotike të sekuestruara, në bashkëpunim me institucionet kompetente.</w:t>
      </w:r>
    </w:p>
    <w:p w14:paraId="45159253" w14:textId="77777777" w:rsidR="00F45EBF" w:rsidRPr="00AF0235" w:rsidRDefault="00F45EBF" w:rsidP="00B1488D">
      <w:pPr>
        <w:rPr>
          <w:rFonts w:eastAsia="Calibri" w:cs="Calibri"/>
          <w:kern w:val="2"/>
          <w:sz w:val="22"/>
          <w:szCs w:val="22"/>
          <w14:ligatures w14:val="standardContextual"/>
        </w:rPr>
      </w:pPr>
    </w:p>
    <w:p w14:paraId="2A7DF80F" w14:textId="77777777" w:rsidR="00B22104" w:rsidRPr="008D2D8C" w:rsidRDefault="00B22104" w:rsidP="00B22104">
      <w:pPr>
        <w:pStyle w:val="Paragraph"/>
        <w:rPr>
          <w:rFonts w:eastAsia="Calibri"/>
          <w:lang w:val="sq-AL"/>
        </w:rPr>
      </w:pPr>
      <w:r w:rsidRPr="004B541B">
        <w:rPr>
          <w:rFonts w:eastAsia="Calibri"/>
          <w:lang w:val="sq-AL"/>
        </w:rPr>
        <w:t>Strategjia e Kosovës për Menaxhimin e Integruar të Mbeturinave 2024-2035 dhe Plani i Veprimit 2024-2026 është dokumenti kryesor i planifikimit i hartuar nga M</w:t>
      </w:r>
      <w:r>
        <w:rPr>
          <w:rFonts w:eastAsia="Calibri"/>
          <w:lang w:val="sq-AL"/>
        </w:rPr>
        <w:t>MPHI</w:t>
      </w:r>
      <w:r w:rsidRPr="004B541B">
        <w:rPr>
          <w:rFonts w:eastAsia="Calibri"/>
          <w:lang w:val="sq-AL"/>
        </w:rPr>
        <w:t>, i cili ofron udhëzim strategjik për zhvillimin e sektorit të menaxhimit të mbeturinave, duke përfshirë investimet prioritare dhe caktimin e përgjegjësive.</w:t>
      </w:r>
    </w:p>
    <w:p w14:paraId="4B1EFF66" w14:textId="77777777" w:rsidR="00B1488D" w:rsidRPr="00AF0235" w:rsidRDefault="00B1488D" w:rsidP="00B1488D">
      <w:pPr>
        <w:pStyle w:val="Paragraph"/>
        <w:spacing w:after="0"/>
        <w:rPr>
          <w:rFonts w:eastAsia="Calibri"/>
        </w:rPr>
      </w:pPr>
    </w:p>
    <w:p w14:paraId="50B2FD4B" w14:textId="77777777" w:rsidR="00B22104" w:rsidRPr="004B541B" w:rsidRDefault="00B22104" w:rsidP="00B22104">
      <w:pPr>
        <w:pStyle w:val="Paragraph"/>
        <w:rPr>
          <w:rFonts w:eastAsia="Calibri"/>
          <w:lang w:val="sq-AL"/>
        </w:rPr>
      </w:pPr>
      <w:r w:rsidRPr="004B541B">
        <w:rPr>
          <w:rFonts w:eastAsia="Calibri"/>
          <w:lang w:val="sq-AL"/>
        </w:rPr>
        <w:t>M</w:t>
      </w:r>
      <w:r>
        <w:rPr>
          <w:rFonts w:eastAsia="Calibri"/>
          <w:lang w:val="sq-AL"/>
        </w:rPr>
        <w:t>MPHI</w:t>
      </w:r>
      <w:r w:rsidRPr="004B541B">
        <w:rPr>
          <w:rFonts w:eastAsia="Calibri"/>
          <w:lang w:val="sq-AL"/>
        </w:rPr>
        <w:t xml:space="preserve"> ka autoritetin të zbatojë parimin ndotësi paguan për prodhuesit dhe mbajtësit e mbet</w:t>
      </w:r>
      <w:r>
        <w:rPr>
          <w:rFonts w:eastAsia="Calibri"/>
          <w:lang w:val="sq-AL"/>
        </w:rPr>
        <w:t>urinave</w:t>
      </w:r>
      <w:r w:rsidRPr="004B541B">
        <w:rPr>
          <w:rFonts w:eastAsia="Calibri"/>
          <w:lang w:val="sq-AL"/>
        </w:rPr>
        <w:t>, si dhe për të zbatuar politikat dhe instrumentet ekonomike si ndalim</w:t>
      </w:r>
      <w:r>
        <w:rPr>
          <w:rFonts w:eastAsia="Calibri"/>
          <w:lang w:val="sq-AL"/>
        </w:rPr>
        <w:t>in</w:t>
      </w:r>
      <w:r w:rsidRPr="004B541B">
        <w:rPr>
          <w:rFonts w:eastAsia="Calibri"/>
          <w:lang w:val="sq-AL"/>
        </w:rPr>
        <w:t xml:space="preserve"> e </w:t>
      </w:r>
      <w:r>
        <w:rPr>
          <w:rFonts w:eastAsia="Calibri"/>
          <w:lang w:val="sq-AL"/>
        </w:rPr>
        <w:t xml:space="preserve">ambalazhit </w:t>
      </w:r>
      <w:r w:rsidRPr="004B541B">
        <w:rPr>
          <w:rFonts w:eastAsia="Calibri"/>
          <w:lang w:val="sq-AL"/>
        </w:rPr>
        <w:t xml:space="preserve"> për një përdorim, kufizimet në depozitimin e mbet</w:t>
      </w:r>
      <w:r>
        <w:rPr>
          <w:rFonts w:eastAsia="Calibri"/>
          <w:lang w:val="sq-AL"/>
        </w:rPr>
        <w:t>urinave</w:t>
      </w:r>
      <w:r w:rsidRPr="004B541B">
        <w:rPr>
          <w:rFonts w:eastAsia="Calibri"/>
          <w:lang w:val="sq-AL"/>
        </w:rPr>
        <w:t xml:space="preserve">, taksat </w:t>
      </w:r>
      <w:r>
        <w:rPr>
          <w:rFonts w:eastAsia="Calibri"/>
          <w:lang w:val="sq-AL"/>
        </w:rPr>
        <w:t>për</w:t>
      </w:r>
      <w:r w:rsidRPr="004B541B">
        <w:rPr>
          <w:rFonts w:eastAsia="Calibri"/>
          <w:lang w:val="sq-AL"/>
        </w:rPr>
        <w:t xml:space="preserve"> </w:t>
      </w:r>
      <w:r>
        <w:rPr>
          <w:rFonts w:eastAsia="Calibri"/>
          <w:lang w:val="sq-AL"/>
        </w:rPr>
        <w:t>ambalazhin</w:t>
      </w:r>
      <w:r w:rsidRPr="004B541B">
        <w:rPr>
          <w:rFonts w:eastAsia="Calibri"/>
          <w:lang w:val="sq-AL"/>
        </w:rPr>
        <w:t xml:space="preserve"> etj. </w:t>
      </w:r>
      <w:r>
        <w:rPr>
          <w:rFonts w:eastAsia="Calibri"/>
          <w:lang w:val="sq-AL"/>
        </w:rPr>
        <w:t xml:space="preserve">MMPHI është autoriteti përgjegjës </w:t>
      </w:r>
      <w:r w:rsidRPr="004B541B">
        <w:rPr>
          <w:rFonts w:eastAsia="Calibri"/>
          <w:lang w:val="sq-AL"/>
        </w:rPr>
        <w:t>për të krijuar fondin mjedisor, taksat e produkteve dhe burimeve etj.</w:t>
      </w:r>
    </w:p>
    <w:p w14:paraId="7DAC0B65" w14:textId="77777777" w:rsidR="00B22104" w:rsidRPr="004B541B" w:rsidRDefault="00B22104" w:rsidP="00B22104">
      <w:pPr>
        <w:pStyle w:val="Paragraph"/>
        <w:rPr>
          <w:rFonts w:eastAsia="Calibri"/>
          <w:lang w:val="sq-AL"/>
        </w:rPr>
      </w:pPr>
      <w:r w:rsidRPr="004B541B">
        <w:rPr>
          <w:rFonts w:eastAsia="Calibri"/>
          <w:lang w:val="sq-AL"/>
        </w:rPr>
        <w:t>M</w:t>
      </w:r>
      <w:r>
        <w:rPr>
          <w:rFonts w:eastAsia="Calibri"/>
          <w:lang w:val="sq-AL"/>
        </w:rPr>
        <w:t>MPHI</w:t>
      </w:r>
      <w:r w:rsidRPr="004B541B">
        <w:rPr>
          <w:rFonts w:eastAsia="Calibri"/>
          <w:lang w:val="sq-AL"/>
        </w:rPr>
        <w:t xml:space="preserve"> është institucioni përgjegjës për zbatimin e skemave të përgjegjësisë së zgjeruar të prodhuesit </w:t>
      </w:r>
      <w:r>
        <w:rPr>
          <w:rFonts w:eastAsia="Calibri"/>
          <w:lang w:val="sq-AL"/>
        </w:rPr>
        <w:t>(PZP)</w:t>
      </w:r>
      <w:r w:rsidRPr="004B541B">
        <w:rPr>
          <w:rFonts w:eastAsia="Calibri"/>
          <w:lang w:val="sq-AL"/>
        </w:rPr>
        <w:t xml:space="preserve"> për të siguruar që prodhuesit e produkteve të mbajnë përgjegjësi financiare ose përgjegjësi financiare dhe organizative për menaxhimin e fazës së mbet</w:t>
      </w:r>
      <w:r>
        <w:rPr>
          <w:rFonts w:eastAsia="Calibri"/>
          <w:lang w:val="sq-AL"/>
        </w:rPr>
        <w:t>urinave</w:t>
      </w:r>
      <w:r w:rsidRPr="004B541B">
        <w:rPr>
          <w:rFonts w:eastAsia="Calibri"/>
          <w:lang w:val="sq-AL"/>
        </w:rPr>
        <w:t xml:space="preserve"> të ciklit jetësor të një produkti.</w:t>
      </w:r>
    </w:p>
    <w:p w14:paraId="4C3E2A23" w14:textId="77777777" w:rsidR="00B22104" w:rsidRPr="008D2D8C" w:rsidRDefault="00B22104" w:rsidP="00B22104">
      <w:pPr>
        <w:pStyle w:val="Paragraph"/>
        <w:rPr>
          <w:rFonts w:eastAsia="Calibri"/>
          <w:lang w:val="sq-AL"/>
        </w:rPr>
      </w:pPr>
      <w:r w:rsidRPr="004B541B">
        <w:rPr>
          <w:rFonts w:eastAsia="Calibri"/>
          <w:lang w:val="sq-AL"/>
        </w:rPr>
        <w:t>M</w:t>
      </w:r>
      <w:r>
        <w:rPr>
          <w:rFonts w:eastAsia="Calibri"/>
          <w:lang w:val="sq-AL"/>
        </w:rPr>
        <w:t>MPHI</w:t>
      </w:r>
      <w:r w:rsidRPr="004B541B">
        <w:rPr>
          <w:rFonts w:eastAsia="Calibri"/>
          <w:lang w:val="sq-AL"/>
        </w:rPr>
        <w:t xml:space="preserve"> është gjithashtu autoriteti licencues dhe lejues për operatorët e mbeturinave që merren me menaxhimin e mbet</w:t>
      </w:r>
      <w:r>
        <w:rPr>
          <w:rFonts w:eastAsia="Calibri"/>
          <w:lang w:val="sq-AL"/>
        </w:rPr>
        <w:t>urinave</w:t>
      </w:r>
      <w:r w:rsidRPr="004B541B">
        <w:rPr>
          <w:rFonts w:eastAsia="Calibri"/>
          <w:lang w:val="sq-AL"/>
        </w:rPr>
        <w:t xml:space="preserve"> komunale. M</w:t>
      </w:r>
      <w:r>
        <w:rPr>
          <w:rFonts w:eastAsia="Calibri"/>
          <w:lang w:val="sq-AL"/>
        </w:rPr>
        <w:t>MPH</w:t>
      </w:r>
      <w:r w:rsidRPr="004B541B">
        <w:rPr>
          <w:rFonts w:eastAsia="Calibri"/>
          <w:lang w:val="sq-AL"/>
        </w:rPr>
        <w:t>I gjithashtu lëshon licenca për operatorët që merren me mbet</w:t>
      </w:r>
      <w:r>
        <w:rPr>
          <w:rFonts w:eastAsia="Calibri"/>
          <w:lang w:val="sq-AL"/>
        </w:rPr>
        <w:t>urinat</w:t>
      </w:r>
      <w:r w:rsidRPr="004B541B">
        <w:rPr>
          <w:rFonts w:eastAsia="Calibri"/>
          <w:lang w:val="sq-AL"/>
        </w:rPr>
        <w:t xml:space="preserve"> e ndërtimit dhe </w:t>
      </w:r>
      <w:r>
        <w:rPr>
          <w:rFonts w:eastAsia="Calibri"/>
          <w:lang w:val="sq-AL"/>
        </w:rPr>
        <w:t>demolimit</w:t>
      </w:r>
      <w:r w:rsidRPr="004B541B">
        <w:rPr>
          <w:rFonts w:eastAsia="Calibri"/>
          <w:lang w:val="sq-AL"/>
        </w:rPr>
        <w:t xml:space="preserve"> </w:t>
      </w:r>
      <w:r>
        <w:rPr>
          <w:rFonts w:eastAsia="Calibri"/>
          <w:lang w:val="sq-AL"/>
        </w:rPr>
        <w:t>(MND) të objekteve ndërtimore</w:t>
      </w:r>
      <w:r w:rsidRPr="004B541B">
        <w:rPr>
          <w:rFonts w:eastAsia="Calibri"/>
          <w:lang w:val="sq-AL"/>
        </w:rPr>
        <w:t xml:space="preserve">, automjetet </w:t>
      </w:r>
      <w:r>
        <w:rPr>
          <w:rFonts w:eastAsia="Calibri"/>
          <w:lang w:val="sq-AL"/>
        </w:rPr>
        <w:t>mbeturinë</w:t>
      </w:r>
      <w:r w:rsidRPr="004B541B">
        <w:rPr>
          <w:rFonts w:eastAsia="Calibri"/>
          <w:lang w:val="sq-AL"/>
        </w:rPr>
        <w:t>, vajrat e përdorura, gomat e hedhura, mbet</w:t>
      </w:r>
      <w:r>
        <w:rPr>
          <w:rFonts w:eastAsia="Calibri"/>
          <w:lang w:val="sq-AL"/>
        </w:rPr>
        <w:t>urinat</w:t>
      </w:r>
      <w:r w:rsidRPr="004B541B">
        <w:rPr>
          <w:rFonts w:eastAsia="Calibri"/>
          <w:lang w:val="sq-AL"/>
        </w:rPr>
        <w:t xml:space="preserve"> e pajisjeve elektrike dhe elektronike, a</w:t>
      </w:r>
      <w:r>
        <w:rPr>
          <w:rFonts w:eastAsia="Calibri"/>
          <w:lang w:val="sq-AL"/>
        </w:rPr>
        <w:t>z</w:t>
      </w:r>
      <w:r w:rsidRPr="004B541B">
        <w:rPr>
          <w:rFonts w:eastAsia="Calibri"/>
          <w:lang w:val="sq-AL"/>
        </w:rPr>
        <w:t>bestin, bateritë dhe llambat fluoreshente. M</w:t>
      </w:r>
      <w:r>
        <w:rPr>
          <w:rFonts w:eastAsia="Calibri"/>
          <w:lang w:val="sq-AL"/>
        </w:rPr>
        <w:t>MPHI</w:t>
      </w:r>
      <w:r w:rsidRPr="004B541B">
        <w:rPr>
          <w:rFonts w:eastAsia="Calibri"/>
          <w:lang w:val="sq-AL"/>
        </w:rPr>
        <w:t xml:space="preserve"> lëshon licenca edhe për importuesit dhe eksportuesit e mbeturinave.</w:t>
      </w:r>
    </w:p>
    <w:p w14:paraId="51ECBE16" w14:textId="77777777" w:rsidR="00B1488D" w:rsidRPr="00AF0235" w:rsidRDefault="00B1488D" w:rsidP="00B1488D">
      <w:pPr>
        <w:pStyle w:val="Paragraph"/>
        <w:spacing w:after="0"/>
        <w:rPr>
          <w:rFonts w:eastAsia="Calibri"/>
        </w:rPr>
      </w:pPr>
    </w:p>
    <w:p w14:paraId="0D32D9EE" w14:textId="77777777" w:rsidR="00B22104" w:rsidRPr="004B541B" w:rsidRDefault="00B22104" w:rsidP="00B22104">
      <w:pPr>
        <w:pStyle w:val="Paragraph"/>
        <w:rPr>
          <w:rFonts w:eastAsia="Calibri"/>
          <w:lang w:val="sq-AL"/>
        </w:rPr>
      </w:pPr>
      <w:r w:rsidRPr="004B541B">
        <w:rPr>
          <w:rFonts w:eastAsia="Calibri"/>
          <w:lang w:val="sq-AL"/>
        </w:rPr>
        <w:t>Përveç këtyre funksioneve, M</w:t>
      </w:r>
      <w:r>
        <w:rPr>
          <w:rFonts w:eastAsia="Calibri"/>
          <w:lang w:val="sq-AL"/>
        </w:rPr>
        <w:t>MPHI</w:t>
      </w:r>
      <w:r w:rsidRPr="004B541B">
        <w:rPr>
          <w:rFonts w:eastAsia="Calibri"/>
          <w:lang w:val="sq-AL"/>
        </w:rPr>
        <w:t xml:space="preserve"> koordinon menaxhimin e llojeve specifike të mbet</w:t>
      </w:r>
      <w:r>
        <w:rPr>
          <w:rFonts w:eastAsia="Calibri"/>
          <w:lang w:val="sq-AL"/>
        </w:rPr>
        <w:t>urinave</w:t>
      </w:r>
      <w:r w:rsidRPr="004B541B">
        <w:rPr>
          <w:rFonts w:eastAsia="Calibri"/>
          <w:lang w:val="sq-AL"/>
        </w:rPr>
        <w:t xml:space="preserve"> me ministritë e tjera: mbet</w:t>
      </w:r>
      <w:r>
        <w:rPr>
          <w:rFonts w:eastAsia="Calibri"/>
          <w:lang w:val="sq-AL"/>
        </w:rPr>
        <w:t>urinat</w:t>
      </w:r>
      <w:r w:rsidRPr="004B541B">
        <w:rPr>
          <w:rFonts w:eastAsia="Calibri"/>
          <w:lang w:val="sq-AL"/>
        </w:rPr>
        <w:t xml:space="preserve"> </w:t>
      </w:r>
      <w:r>
        <w:rPr>
          <w:rFonts w:eastAsia="Calibri"/>
          <w:lang w:val="sq-AL"/>
        </w:rPr>
        <w:t>medicinale</w:t>
      </w:r>
      <w:r w:rsidRPr="004B541B">
        <w:rPr>
          <w:rFonts w:eastAsia="Calibri"/>
          <w:lang w:val="sq-AL"/>
        </w:rPr>
        <w:t xml:space="preserve"> me Ministrinë e Shëndetësisë, mbet</w:t>
      </w:r>
      <w:r>
        <w:rPr>
          <w:rFonts w:eastAsia="Calibri"/>
          <w:lang w:val="sq-AL"/>
        </w:rPr>
        <w:t>urinat</w:t>
      </w:r>
      <w:r w:rsidRPr="004B541B">
        <w:rPr>
          <w:rFonts w:eastAsia="Calibri"/>
          <w:lang w:val="sq-AL"/>
        </w:rPr>
        <w:t xml:space="preserve"> bujqësore me Ministrinë e Bujqësisë, mbet</w:t>
      </w:r>
      <w:r>
        <w:rPr>
          <w:rFonts w:eastAsia="Calibri"/>
          <w:lang w:val="sq-AL"/>
        </w:rPr>
        <w:t>urinat</w:t>
      </w:r>
      <w:r w:rsidRPr="004B541B">
        <w:rPr>
          <w:rFonts w:eastAsia="Calibri"/>
          <w:lang w:val="sq-AL"/>
        </w:rPr>
        <w:t xml:space="preserve"> industriale me Ministrinë e Tregtisë, </w:t>
      </w:r>
      <w:r>
        <w:rPr>
          <w:rFonts w:eastAsia="Calibri"/>
          <w:lang w:val="sq-AL"/>
        </w:rPr>
        <w:t>deponimin</w:t>
      </w:r>
      <w:r w:rsidRPr="004B541B">
        <w:rPr>
          <w:rFonts w:eastAsia="Calibri"/>
          <w:lang w:val="sq-AL"/>
        </w:rPr>
        <w:t xml:space="preserve"> e mbet</w:t>
      </w:r>
      <w:r>
        <w:rPr>
          <w:rFonts w:eastAsia="Calibri"/>
          <w:lang w:val="sq-AL"/>
        </w:rPr>
        <w:t>urinave</w:t>
      </w:r>
      <w:r w:rsidRPr="004B541B">
        <w:rPr>
          <w:rFonts w:eastAsia="Calibri"/>
          <w:lang w:val="sq-AL"/>
        </w:rPr>
        <w:t xml:space="preserve"> – me Ministrinë e Zhvillimit Ekonomik.</w:t>
      </w:r>
    </w:p>
    <w:p w14:paraId="72DF3867" w14:textId="77777777" w:rsidR="00B22104" w:rsidRPr="008D2D8C" w:rsidRDefault="00B22104" w:rsidP="00B22104">
      <w:pPr>
        <w:pStyle w:val="Paragraph"/>
        <w:rPr>
          <w:rFonts w:eastAsia="Calibri"/>
          <w:lang w:val="sq-AL"/>
        </w:rPr>
      </w:pPr>
      <w:r w:rsidRPr="004B541B">
        <w:rPr>
          <w:rFonts w:eastAsia="Calibri"/>
          <w:lang w:val="sq-AL"/>
        </w:rPr>
        <w:t>M</w:t>
      </w:r>
      <w:r>
        <w:rPr>
          <w:rFonts w:eastAsia="Calibri"/>
          <w:lang w:val="sq-AL"/>
        </w:rPr>
        <w:t>MPHI</w:t>
      </w:r>
      <w:r w:rsidRPr="004B541B">
        <w:rPr>
          <w:rFonts w:eastAsia="Calibri"/>
          <w:lang w:val="sq-AL"/>
        </w:rPr>
        <w:t xml:space="preserve"> përbëhet nga gjashtë departamente kryesore. Menaxhimi i mbet</w:t>
      </w:r>
      <w:r>
        <w:rPr>
          <w:rFonts w:eastAsia="Calibri"/>
          <w:lang w:val="sq-AL"/>
        </w:rPr>
        <w:t>urinave</w:t>
      </w:r>
      <w:r w:rsidRPr="004B541B">
        <w:rPr>
          <w:rFonts w:eastAsia="Calibri"/>
          <w:lang w:val="sq-AL"/>
        </w:rPr>
        <w:t xml:space="preserve"> bie në përgjegjësinë e Departamentit të Mbrojtjes së Mjedisit. Vetë Departamenti përbëhet nga 4 Divizione; Divizioni i Mbet</w:t>
      </w:r>
      <w:r>
        <w:rPr>
          <w:rFonts w:eastAsia="Calibri"/>
          <w:lang w:val="sq-AL"/>
        </w:rPr>
        <w:t>urinave</w:t>
      </w:r>
      <w:r w:rsidRPr="004B541B">
        <w:rPr>
          <w:rFonts w:eastAsia="Calibri"/>
          <w:lang w:val="sq-AL"/>
        </w:rPr>
        <w:t xml:space="preserve"> dhe Kimikateve </w:t>
      </w:r>
      <w:r>
        <w:rPr>
          <w:rFonts w:eastAsia="Calibri"/>
          <w:lang w:val="sq-AL"/>
        </w:rPr>
        <w:t>(DMK)</w:t>
      </w:r>
      <w:r w:rsidRPr="004B541B">
        <w:rPr>
          <w:rFonts w:eastAsia="Calibri"/>
          <w:lang w:val="sq-AL"/>
        </w:rPr>
        <w:t xml:space="preserve"> është Divizioni përgjegjës direkt për funksionet e mandatuara.</w:t>
      </w:r>
    </w:p>
    <w:p w14:paraId="71DE9C40" w14:textId="77777777" w:rsidR="00B1488D" w:rsidRPr="00AF0235" w:rsidRDefault="00B1488D" w:rsidP="00B1488D">
      <w:pPr>
        <w:pStyle w:val="Paragraph"/>
        <w:spacing w:after="0"/>
        <w:rPr>
          <w:rFonts w:eastAsia="Calibri"/>
        </w:rPr>
      </w:pPr>
    </w:p>
    <w:p w14:paraId="7B8866CA" w14:textId="450E3E32" w:rsidR="00F45EBF" w:rsidRPr="004408AA" w:rsidRDefault="00B22104" w:rsidP="00B1488D">
      <w:pPr>
        <w:pStyle w:val="High"/>
      </w:pPr>
      <w:r>
        <w:t>AMMK</w:t>
      </w:r>
      <w:r w:rsidR="00F45EBF" w:rsidRPr="004408AA">
        <w:t xml:space="preserve"> dhe </w:t>
      </w:r>
      <w:r>
        <w:t>IMMK</w:t>
      </w:r>
    </w:p>
    <w:p w14:paraId="3ADC5F20" w14:textId="65CD5FAD" w:rsidR="00F45EBF" w:rsidRDefault="00F45EBF" w:rsidP="00B1488D">
      <w:pPr>
        <w:pStyle w:val="Paragraph"/>
        <w:spacing w:after="0"/>
        <w:rPr>
          <w:rFonts w:eastAsia="Calibri"/>
        </w:rPr>
      </w:pPr>
      <w:r w:rsidRPr="00AF0235">
        <w:rPr>
          <w:rFonts w:eastAsia="Calibri"/>
        </w:rPr>
        <w:t xml:space="preserve">Agjencia </w:t>
      </w:r>
      <w:r w:rsidR="00B22104">
        <w:rPr>
          <w:rFonts w:eastAsia="Calibri"/>
        </w:rPr>
        <w:t>pë</w:t>
      </w:r>
      <w:r w:rsidRPr="00AF0235">
        <w:rPr>
          <w:rFonts w:eastAsia="Calibri"/>
        </w:rPr>
        <w:t xml:space="preserve"> Mbrojtje</w:t>
      </w:r>
      <w:r w:rsidR="00B22104">
        <w:rPr>
          <w:rFonts w:eastAsia="Calibri"/>
        </w:rPr>
        <w:t>n</w:t>
      </w:r>
      <w:r w:rsidRPr="00AF0235">
        <w:rPr>
          <w:rFonts w:eastAsia="Calibri"/>
        </w:rPr>
        <w:t xml:space="preserve"> </w:t>
      </w:r>
      <w:r w:rsidR="00B22104">
        <w:rPr>
          <w:rFonts w:eastAsia="Calibri"/>
        </w:rPr>
        <w:t>e</w:t>
      </w:r>
      <w:r w:rsidRPr="00AF0235">
        <w:rPr>
          <w:rFonts w:eastAsia="Calibri"/>
        </w:rPr>
        <w:t xml:space="preserve"> Mjedisit </w:t>
      </w:r>
      <w:r w:rsidR="00B22104">
        <w:rPr>
          <w:rFonts w:eastAsia="Calibri"/>
        </w:rPr>
        <w:t>n</w:t>
      </w:r>
      <w:r w:rsidRPr="00AF0235">
        <w:rPr>
          <w:rFonts w:eastAsia="Calibri"/>
        </w:rPr>
        <w:t>ë Kosovës (AMMK), e themeluar brenda M</w:t>
      </w:r>
      <w:r w:rsidR="00394323">
        <w:rPr>
          <w:rFonts w:eastAsia="Calibri"/>
        </w:rPr>
        <w:t>MPHI</w:t>
      </w:r>
      <w:r w:rsidRPr="00AF0235">
        <w:rPr>
          <w:rFonts w:eastAsia="Calibri"/>
        </w:rPr>
        <w:t xml:space="preserve"> siguron monitorimin dhe raportimin e ligjit për mbeturinat. Inspektorati </w:t>
      </w:r>
      <w:r w:rsidR="00B22104">
        <w:rPr>
          <w:rFonts w:eastAsia="Calibri"/>
        </w:rPr>
        <w:t xml:space="preserve">për </w:t>
      </w:r>
      <w:r w:rsidRPr="00AF0235">
        <w:rPr>
          <w:rFonts w:eastAsia="Calibri"/>
        </w:rPr>
        <w:t>Mbrojtje</w:t>
      </w:r>
      <w:r w:rsidR="00B22104">
        <w:rPr>
          <w:rFonts w:eastAsia="Calibri"/>
        </w:rPr>
        <w:t>n e</w:t>
      </w:r>
      <w:r w:rsidRPr="00AF0235">
        <w:rPr>
          <w:rFonts w:eastAsia="Calibri"/>
        </w:rPr>
        <w:t xml:space="preserve"> Mjedisit </w:t>
      </w:r>
      <w:r w:rsidR="00B22104">
        <w:rPr>
          <w:rFonts w:eastAsia="Calibri"/>
        </w:rPr>
        <w:t xml:space="preserve">në Kosovë </w:t>
      </w:r>
      <w:r w:rsidRPr="00AF0235">
        <w:rPr>
          <w:rFonts w:eastAsia="Calibri"/>
        </w:rPr>
        <w:t>(</w:t>
      </w:r>
      <w:r w:rsidR="00B22104">
        <w:rPr>
          <w:rFonts w:eastAsia="Calibri"/>
        </w:rPr>
        <w:t>I</w:t>
      </w:r>
      <w:r w:rsidRPr="00AF0235">
        <w:rPr>
          <w:rFonts w:eastAsia="Calibri"/>
        </w:rPr>
        <w:t>MMK) është organi ekzekutiv vartës i M</w:t>
      </w:r>
      <w:r w:rsidR="00394323">
        <w:rPr>
          <w:rFonts w:eastAsia="Calibri"/>
        </w:rPr>
        <w:t xml:space="preserve">MPHI </w:t>
      </w:r>
      <w:r w:rsidRPr="00AF0235">
        <w:rPr>
          <w:rFonts w:eastAsia="Calibri"/>
        </w:rPr>
        <w:t>që siguron mbikëqyrjen dhe kontrollin e operacioneve të mbeturinave dhe ndotjes mjedisore. AMMK është organi kombëtar për mbledhjen dhe përpunimin e të dhënave për mbeturinat dhe është përgjegjës për krijimin dhe mirëmbajtjen e bazës së të dhënave për menaxhimin e mbeturinave dhe për përpilimin e raporteve mbi mbeturinat.</w:t>
      </w:r>
    </w:p>
    <w:p w14:paraId="6E954EC8" w14:textId="77777777" w:rsidR="00B1488D" w:rsidRPr="00AF0235" w:rsidRDefault="00B1488D" w:rsidP="00B1488D">
      <w:pPr>
        <w:pStyle w:val="Paragraph"/>
        <w:spacing w:after="0"/>
        <w:rPr>
          <w:rFonts w:eastAsia="Calibri"/>
        </w:rPr>
      </w:pPr>
    </w:p>
    <w:p w14:paraId="468FEC1F" w14:textId="77777777" w:rsidR="00394323" w:rsidRPr="008D2D8C" w:rsidRDefault="00394323" w:rsidP="00394323">
      <w:pPr>
        <w:pStyle w:val="Paragraph"/>
        <w:rPr>
          <w:rFonts w:eastAsia="Calibri"/>
          <w:lang w:val="sq-AL"/>
        </w:rPr>
      </w:pPr>
      <w:r w:rsidRPr="00C81EFC">
        <w:rPr>
          <w:rFonts w:eastAsia="Calibri"/>
          <w:lang w:val="sq-AL"/>
        </w:rPr>
        <w:t xml:space="preserve">Inspektorati për Mbrojtjen e Mjedisit të Kosovës </w:t>
      </w:r>
      <w:r w:rsidRPr="004B541B">
        <w:rPr>
          <w:rFonts w:eastAsia="Calibri"/>
          <w:lang w:val="sq-AL"/>
        </w:rPr>
        <w:t>është organ ekzekutiv vartës i M</w:t>
      </w:r>
      <w:r>
        <w:rPr>
          <w:rFonts w:eastAsia="Calibri"/>
          <w:lang w:val="sq-AL"/>
        </w:rPr>
        <w:t>MPH</w:t>
      </w:r>
      <w:r w:rsidRPr="004B541B">
        <w:rPr>
          <w:rFonts w:eastAsia="Calibri"/>
          <w:lang w:val="sq-AL"/>
        </w:rPr>
        <w:t xml:space="preserve">I </w:t>
      </w:r>
      <w:r>
        <w:rPr>
          <w:rFonts w:eastAsia="Calibri"/>
          <w:lang w:val="sq-AL"/>
        </w:rPr>
        <w:t xml:space="preserve">që, si </w:t>
      </w:r>
      <w:r w:rsidRPr="004B541B">
        <w:rPr>
          <w:rFonts w:eastAsia="Calibri"/>
          <w:lang w:val="sq-AL"/>
        </w:rPr>
        <w:t>i vetëm dhe/ose në bashkëpunim me inspektoriatet komunale</w:t>
      </w:r>
      <w:r>
        <w:rPr>
          <w:rFonts w:eastAsia="Calibri"/>
          <w:lang w:val="sq-AL"/>
        </w:rPr>
        <w:t xml:space="preserve">, </w:t>
      </w:r>
      <w:r w:rsidRPr="004B541B">
        <w:rPr>
          <w:rFonts w:eastAsia="Calibri"/>
          <w:lang w:val="sq-AL"/>
        </w:rPr>
        <w:t>siguron mbikëqyrjen dhe kontrollin e operimit të mbeturinave dhe ndotjes së mjedisit, dhe mbikëqyr</w:t>
      </w:r>
      <w:r>
        <w:rPr>
          <w:rFonts w:eastAsia="Calibri"/>
          <w:lang w:val="sq-AL"/>
        </w:rPr>
        <w:t>ë</w:t>
      </w:r>
      <w:r w:rsidRPr="004B541B">
        <w:rPr>
          <w:rFonts w:eastAsia="Calibri"/>
          <w:lang w:val="sq-AL"/>
        </w:rPr>
        <w:t xml:space="preserve"> zbatimin e ligjit dhe akteve nënligjore për mbeturinat dhe aktivitetet e menaxhimit të mbeturinave.</w:t>
      </w:r>
    </w:p>
    <w:p w14:paraId="46766D8B" w14:textId="77777777" w:rsidR="00394323" w:rsidRDefault="00394323" w:rsidP="00B1488D">
      <w:pPr>
        <w:pStyle w:val="High"/>
      </w:pPr>
    </w:p>
    <w:p w14:paraId="7498B6A5" w14:textId="485537D3" w:rsidR="00F45EBF" w:rsidRPr="00AF0235" w:rsidRDefault="00F45EBF" w:rsidP="00B1488D">
      <w:pPr>
        <w:pStyle w:val="High"/>
      </w:pPr>
      <w:r w:rsidRPr="00AF0235">
        <w:t>Ministritë tjera</w:t>
      </w:r>
    </w:p>
    <w:p w14:paraId="47590087" w14:textId="77777777" w:rsidR="00394323" w:rsidRPr="008D2D8C" w:rsidRDefault="00394323" w:rsidP="00394323">
      <w:pPr>
        <w:pStyle w:val="Paragraph"/>
        <w:rPr>
          <w:rFonts w:eastAsia="Calibri"/>
          <w:lang w:val="sq-AL"/>
        </w:rPr>
      </w:pPr>
      <w:r w:rsidRPr="004B541B">
        <w:rPr>
          <w:rFonts w:eastAsia="Calibri"/>
          <w:lang w:val="sq-AL"/>
        </w:rPr>
        <w:t xml:space="preserve">Ministria e </w:t>
      </w:r>
      <w:r w:rsidRPr="00C81EFC">
        <w:rPr>
          <w:rFonts w:eastAsia="Calibri"/>
          <w:lang w:val="sq-AL"/>
        </w:rPr>
        <w:t>Ekonomisë (ME) është</w:t>
      </w:r>
      <w:r w:rsidRPr="004B541B">
        <w:rPr>
          <w:rFonts w:eastAsia="Calibri"/>
          <w:lang w:val="sq-AL"/>
        </w:rPr>
        <w:t xml:space="preserve"> përgjegjëse për Ndërmarrjet Publike Qendrore, siç është Kompania për Menaxhimin e Deponive </w:t>
      </w:r>
      <w:r>
        <w:rPr>
          <w:rFonts w:eastAsia="Calibri"/>
          <w:lang w:val="sq-AL"/>
        </w:rPr>
        <w:t>në Kosovë (KMDK),</w:t>
      </w:r>
      <w:r w:rsidRPr="004B541B">
        <w:rPr>
          <w:rFonts w:eastAsia="Calibri"/>
          <w:lang w:val="sq-AL"/>
        </w:rPr>
        <w:t xml:space="preserve"> duke emëruar bordin e saj të drejtorëve, duke miratuar planin e saj të biznesit dhe duke kontrolluar performancën e përgjithshme të </w:t>
      </w:r>
      <w:r>
        <w:rPr>
          <w:rFonts w:eastAsia="Calibri"/>
          <w:lang w:val="sq-AL"/>
        </w:rPr>
        <w:t>KMDK-së</w:t>
      </w:r>
      <w:r w:rsidRPr="004B541B">
        <w:rPr>
          <w:rFonts w:eastAsia="Calibri"/>
          <w:lang w:val="sq-AL"/>
        </w:rPr>
        <w:t>. Gjithashtu</w:t>
      </w:r>
      <w:r w:rsidRPr="00781F25">
        <w:rPr>
          <w:rFonts w:eastAsia="Calibri"/>
          <w:lang w:val="sq-AL"/>
        </w:rPr>
        <w:t xml:space="preserve">, </w:t>
      </w:r>
      <w:r w:rsidRPr="00970FE9">
        <w:rPr>
          <w:rFonts w:eastAsia="Calibri"/>
          <w:lang w:val="sq-AL"/>
        </w:rPr>
        <w:t>ME</w:t>
      </w:r>
      <w:r w:rsidRPr="004B541B">
        <w:rPr>
          <w:rFonts w:eastAsia="Calibri"/>
          <w:lang w:val="sq-AL"/>
        </w:rPr>
        <w:t xml:space="preserve"> cakton tarifën e portës për </w:t>
      </w:r>
      <w:r>
        <w:rPr>
          <w:rFonts w:eastAsia="Calibri"/>
          <w:lang w:val="sq-AL"/>
        </w:rPr>
        <w:t xml:space="preserve">deponimin </w:t>
      </w:r>
      <w:r w:rsidRPr="004B541B">
        <w:rPr>
          <w:rFonts w:eastAsia="Calibri"/>
          <w:lang w:val="sq-AL"/>
        </w:rPr>
        <w:t>e mbet</w:t>
      </w:r>
      <w:r>
        <w:rPr>
          <w:rFonts w:eastAsia="Calibri"/>
          <w:lang w:val="sq-AL"/>
        </w:rPr>
        <w:t>urinave</w:t>
      </w:r>
      <w:r w:rsidRPr="004B541B">
        <w:rPr>
          <w:rFonts w:eastAsia="Calibri"/>
          <w:lang w:val="sq-AL"/>
        </w:rPr>
        <w:t xml:space="preserve"> komunale në deponitë e menaxhuara nga </w:t>
      </w:r>
      <w:r>
        <w:rPr>
          <w:rFonts w:eastAsia="Calibri"/>
          <w:lang w:val="sq-AL"/>
        </w:rPr>
        <w:t>KMDK</w:t>
      </w:r>
      <w:r w:rsidRPr="004B541B">
        <w:rPr>
          <w:rFonts w:eastAsia="Calibri"/>
          <w:lang w:val="sq-AL"/>
        </w:rPr>
        <w:t>.</w:t>
      </w:r>
    </w:p>
    <w:p w14:paraId="3C760DFD" w14:textId="77777777" w:rsidR="00394323" w:rsidRPr="008D2D8C" w:rsidRDefault="00394323" w:rsidP="00394323">
      <w:pPr>
        <w:pStyle w:val="Paragraph"/>
        <w:rPr>
          <w:rFonts w:eastAsia="Calibri"/>
          <w:lang w:val="sq-AL"/>
        </w:rPr>
      </w:pPr>
      <w:r w:rsidRPr="004B541B">
        <w:rPr>
          <w:rFonts w:eastAsia="Calibri"/>
          <w:lang w:val="sq-AL"/>
        </w:rPr>
        <w:t>Ministria e Financave është ministria e linjës përgjegjëse për procesin e planifikimit dhe buxhetimit të Kosovës. Në kontekstin e vendit, buxheti qendror siguron një pjesë të konsiderueshme të buxhetit të komunave të Kosovës.</w:t>
      </w:r>
    </w:p>
    <w:p w14:paraId="18037FAD" w14:textId="77777777" w:rsidR="00394323" w:rsidRPr="008D2D8C" w:rsidRDefault="00394323" w:rsidP="00394323">
      <w:pPr>
        <w:pStyle w:val="Paragraph"/>
        <w:rPr>
          <w:rFonts w:eastAsia="Calibri"/>
          <w:lang w:val="sq-AL"/>
        </w:rPr>
      </w:pPr>
      <w:r w:rsidRPr="00A56378">
        <w:rPr>
          <w:rFonts w:eastAsia="Calibri"/>
          <w:lang w:val="sq-AL"/>
        </w:rPr>
        <w:lastRenderedPageBreak/>
        <w:t xml:space="preserve">Roli i Ministrisë së </w:t>
      </w:r>
      <w:r>
        <w:rPr>
          <w:rFonts w:eastAsia="Calibri"/>
          <w:lang w:val="sq-AL"/>
        </w:rPr>
        <w:t>Adminjstrimit të Pushtetit Lokal</w:t>
      </w:r>
      <w:r w:rsidRPr="00A56378">
        <w:rPr>
          <w:rFonts w:eastAsia="Calibri"/>
          <w:lang w:val="sq-AL"/>
        </w:rPr>
        <w:t xml:space="preserve"> </w:t>
      </w:r>
      <w:r>
        <w:rPr>
          <w:rFonts w:eastAsia="Calibri"/>
          <w:lang w:val="sq-AL"/>
        </w:rPr>
        <w:t>(MAPL)</w:t>
      </w:r>
      <w:r w:rsidRPr="00A56378">
        <w:rPr>
          <w:rFonts w:eastAsia="Calibri"/>
          <w:lang w:val="sq-AL"/>
        </w:rPr>
        <w:t xml:space="preserve"> është të rrisë autonominë lokale dhe të forcojë aftësinë e komunave për të ofruar shërbime me kosto efektive për qytetarët. </w:t>
      </w:r>
      <w:r>
        <w:rPr>
          <w:rFonts w:eastAsia="Calibri"/>
          <w:lang w:val="sq-AL"/>
        </w:rPr>
        <w:t>MAPL</w:t>
      </w:r>
      <w:r w:rsidRPr="00A56378">
        <w:rPr>
          <w:rFonts w:eastAsia="Calibri"/>
          <w:lang w:val="sq-AL"/>
        </w:rPr>
        <w:t xml:space="preserve"> mbështet komunat në forma të ndryshme duke përfshirë grantin për garën për mjedis të pastër.</w:t>
      </w:r>
    </w:p>
    <w:p w14:paraId="54E8E578" w14:textId="77777777" w:rsidR="00B1488D" w:rsidRPr="00AF0235" w:rsidRDefault="00B1488D" w:rsidP="00B1488D">
      <w:pPr>
        <w:pStyle w:val="Paragraph"/>
        <w:spacing w:after="0"/>
        <w:rPr>
          <w:rFonts w:eastAsia="Calibri"/>
        </w:rPr>
      </w:pPr>
    </w:p>
    <w:p w14:paraId="4CEFBBF0" w14:textId="77777777" w:rsidR="00394323" w:rsidRDefault="00F45EBF" w:rsidP="00B1488D">
      <w:pPr>
        <w:pStyle w:val="Paragraph"/>
        <w:spacing w:after="0"/>
        <w:rPr>
          <w:rFonts w:eastAsia="Calibri"/>
        </w:rPr>
      </w:pPr>
      <w:r w:rsidRPr="00AF0235">
        <w:rPr>
          <w:rFonts w:eastAsia="Calibri"/>
          <w:bCs/>
        </w:rPr>
        <w:t>Sipas dispozitave të Ligjit për Mbeturina, Dogana e Republikës së Kosovës kryen kontrolle, regjistron dhe mbikëqyr</w:t>
      </w:r>
      <w:r w:rsidR="00394323">
        <w:rPr>
          <w:rFonts w:eastAsia="Calibri"/>
          <w:bCs/>
        </w:rPr>
        <w:t>ë</w:t>
      </w:r>
      <w:r w:rsidRPr="00AF0235">
        <w:rPr>
          <w:rFonts w:eastAsia="Calibri"/>
          <w:bCs/>
        </w:rPr>
        <w:t xml:space="preserve"> importin, eksportin dhe tranzitin e mbeturinave, mban </w:t>
      </w:r>
      <w:r w:rsidR="00394323">
        <w:rPr>
          <w:rFonts w:eastAsia="Calibri"/>
          <w:bCs/>
        </w:rPr>
        <w:t>evidencë të</w:t>
      </w:r>
      <w:r w:rsidRPr="00AF0235">
        <w:rPr>
          <w:rFonts w:eastAsia="Calibri"/>
          <w:bCs/>
        </w:rPr>
        <w:t xml:space="preserve"> shkeljeve doganore </w:t>
      </w:r>
      <w:r w:rsidRPr="00AF0235">
        <w:rPr>
          <w:rFonts w:eastAsia="Calibri"/>
        </w:rPr>
        <w:t>dhe bashkëpunon me MMPH</w:t>
      </w:r>
      <w:r w:rsidR="00394323">
        <w:rPr>
          <w:rFonts w:eastAsia="Calibri"/>
        </w:rPr>
        <w:t>I.</w:t>
      </w:r>
    </w:p>
    <w:p w14:paraId="2848F97D" w14:textId="77777777" w:rsidR="00394323" w:rsidRDefault="00394323" w:rsidP="00B1488D">
      <w:pPr>
        <w:pStyle w:val="Paragraph"/>
        <w:spacing w:after="0"/>
        <w:rPr>
          <w:rFonts w:eastAsia="Calibri"/>
        </w:rPr>
      </w:pPr>
    </w:p>
    <w:p w14:paraId="5BD95575" w14:textId="06398E4E" w:rsidR="00F45EBF" w:rsidRPr="00603FA1" w:rsidRDefault="00394323" w:rsidP="00B1488D">
      <w:pPr>
        <w:pStyle w:val="Paragraph"/>
        <w:spacing w:after="0"/>
      </w:pPr>
      <w:r>
        <w:rPr>
          <w:rFonts w:eastAsia="Calibri"/>
        </w:rPr>
        <w:t xml:space="preserve">Objektet e </w:t>
      </w:r>
      <w:r w:rsidR="00F45EBF" w:rsidRPr="00603FA1">
        <w:t>trajtimit të mbeturinave, stacionet e transferit dhe deponitë/vend</w:t>
      </w:r>
      <w:r w:rsidRPr="00603FA1">
        <w:t>depozitimet e</w:t>
      </w:r>
      <w:r w:rsidR="00F45EBF" w:rsidRPr="00603FA1">
        <w:t xml:space="preserve"> mbeturinave menaxhohen në nivel qendror.</w:t>
      </w:r>
    </w:p>
    <w:p w14:paraId="3BB05D45" w14:textId="66D044C4" w:rsidR="00F45EBF" w:rsidRPr="000E699D" w:rsidRDefault="00F45EBF" w:rsidP="00B1488D">
      <w:pPr>
        <w:pStyle w:val="Bullet"/>
        <w:spacing w:after="0"/>
      </w:pPr>
      <w:r w:rsidRPr="000E699D">
        <w:t xml:space="preserve">Kompania </w:t>
      </w:r>
      <w:r w:rsidR="00394323">
        <w:t>për</w:t>
      </w:r>
      <w:r w:rsidRPr="000E699D">
        <w:t xml:space="preserve"> Menaxhimi</w:t>
      </w:r>
      <w:r w:rsidR="00394323">
        <w:t>n e</w:t>
      </w:r>
      <w:r w:rsidRPr="000E699D">
        <w:t xml:space="preserve"> Deponive </w:t>
      </w:r>
      <w:r w:rsidR="0046203B">
        <w:t>n</w:t>
      </w:r>
      <w:r w:rsidRPr="000E699D">
        <w:t>ë Kosovës (K</w:t>
      </w:r>
      <w:r w:rsidR="0046203B">
        <w:t>MDK</w:t>
      </w:r>
      <w:r w:rsidRPr="000E699D">
        <w:t>) menaxhon deponitë rajonale dhe stacionet e transferit</w:t>
      </w:r>
    </w:p>
    <w:p w14:paraId="77F6EBE4" w14:textId="1AD7F63E" w:rsidR="00F45EBF" w:rsidRPr="000E699D" w:rsidRDefault="00F45EBF" w:rsidP="00B1488D">
      <w:pPr>
        <w:pStyle w:val="Bullet"/>
        <w:spacing w:after="0"/>
      </w:pPr>
      <w:r w:rsidRPr="000E699D">
        <w:t xml:space="preserve">Agjencia </w:t>
      </w:r>
      <w:r w:rsidR="0046203B">
        <w:t xml:space="preserve">e Ushqimit dhe </w:t>
      </w:r>
      <w:r w:rsidRPr="000E699D">
        <w:t>Veterinar</w:t>
      </w:r>
      <w:r w:rsidR="0046203B">
        <w:t xml:space="preserve">isë </w:t>
      </w:r>
      <w:r w:rsidRPr="000E699D">
        <w:t>e Kosovës (AU</w:t>
      </w:r>
      <w:r w:rsidR="0046203B">
        <w:t>VK</w:t>
      </w:r>
      <w:r w:rsidRPr="000E699D">
        <w:t xml:space="preserve">) menaxhon </w:t>
      </w:r>
      <w:r w:rsidR="0046203B">
        <w:t xml:space="preserve">objektin </w:t>
      </w:r>
      <w:r w:rsidRPr="000E699D">
        <w:t>e trajtimit të mbeturinave nga përpunimi i kafshëve.</w:t>
      </w:r>
    </w:p>
    <w:p w14:paraId="56C48323" w14:textId="41B8291C" w:rsidR="00F45EBF" w:rsidRPr="000E699D" w:rsidRDefault="00F45EBF" w:rsidP="00B1488D">
      <w:pPr>
        <w:pStyle w:val="Bullet"/>
        <w:spacing w:after="0"/>
      </w:pPr>
      <w:r w:rsidRPr="000E699D">
        <w:t xml:space="preserve">Ministria e Shëndetësisë menaxhon </w:t>
      </w:r>
      <w:r w:rsidR="0046203B">
        <w:t>objektet</w:t>
      </w:r>
      <w:r w:rsidRPr="000E699D">
        <w:t xml:space="preserve"> e trajtimit </w:t>
      </w:r>
      <w:r w:rsidR="0046203B">
        <w:t>të mbeturinave të</w:t>
      </w:r>
      <w:r w:rsidRPr="000E699D">
        <w:t xml:space="preserve"> rrezikshme të kujdesit shëndetësor në spitalet rajonale.</w:t>
      </w:r>
    </w:p>
    <w:p w14:paraId="3FE830AE" w14:textId="77777777" w:rsidR="00F45EBF" w:rsidRDefault="00F45EBF" w:rsidP="00B1488D">
      <w:pPr>
        <w:rPr>
          <w:rFonts w:eastAsia="Calibri" w:cs="Calibri"/>
          <w:kern w:val="2"/>
          <w:sz w:val="22"/>
          <w:szCs w:val="22"/>
          <w14:ligatures w14:val="standardContextual"/>
        </w:rPr>
      </w:pPr>
    </w:p>
    <w:p w14:paraId="13F1A283" w14:textId="083828C9" w:rsidR="00032CD8" w:rsidRPr="00AF0235" w:rsidRDefault="00F45EBF" w:rsidP="00B1488D">
      <w:pPr>
        <w:pStyle w:val="Paragraph"/>
        <w:spacing w:after="0"/>
        <w:rPr>
          <w:rFonts w:eastAsia="Calibri"/>
        </w:rPr>
      </w:pPr>
      <w:r w:rsidRPr="00AF0235">
        <w:rPr>
          <w:rFonts w:eastAsia="Calibri"/>
        </w:rPr>
        <w:t>Institucionet kryesore publike të përfshira në menaxhimin e mbet</w:t>
      </w:r>
      <w:r w:rsidR="0046203B">
        <w:rPr>
          <w:rFonts w:eastAsia="Calibri"/>
        </w:rPr>
        <w:t>urinave</w:t>
      </w:r>
      <w:r w:rsidRPr="00AF0235">
        <w:rPr>
          <w:rFonts w:eastAsia="Calibri"/>
        </w:rPr>
        <w:t xml:space="preserve"> në nivel </w:t>
      </w:r>
      <w:r w:rsidR="0046203B">
        <w:rPr>
          <w:rFonts w:eastAsia="Calibri"/>
        </w:rPr>
        <w:t>nacional</w:t>
      </w:r>
      <w:r w:rsidRPr="00AF0235">
        <w:rPr>
          <w:rFonts w:eastAsia="Calibri"/>
        </w:rPr>
        <w:t xml:space="preserve"> paraqiten në Figurën 1 më poshtë:</w:t>
      </w:r>
    </w:p>
    <w:p w14:paraId="37F43C7B" w14:textId="77777777" w:rsidR="00032CD8" w:rsidRPr="00AF0235" w:rsidRDefault="00032CD8" w:rsidP="00032CD8">
      <w:pPr>
        <w:rPr>
          <w:rFonts w:eastAsia="Calibri" w:cs="Calibri"/>
          <w:kern w:val="2"/>
          <w:sz w:val="22"/>
          <w:szCs w:val="22"/>
          <w14:ligatures w14:val="standardContextual"/>
        </w:rPr>
        <w:sectPr w:rsidR="00032CD8" w:rsidRPr="00AF0235" w:rsidSect="00262994">
          <w:headerReference w:type="default" r:id="rId33"/>
          <w:footerReference w:type="default" r:id="rId34"/>
          <w:headerReference w:type="first" r:id="rId35"/>
          <w:footerReference w:type="first" r:id="rId36"/>
          <w:pgSz w:w="12240" w:h="15840"/>
          <w:pgMar w:top="1440" w:right="1440" w:bottom="1440" w:left="1440" w:header="720" w:footer="720" w:gutter="0"/>
          <w:pgNumType w:start="1"/>
          <w:cols w:space="720"/>
          <w:titlePg/>
          <w:docGrid w:linePitch="299"/>
        </w:sectPr>
      </w:pPr>
    </w:p>
    <w:p w14:paraId="2FC0F9B3" w14:textId="1ADE28D6" w:rsidR="00032CD8" w:rsidRPr="00AF0235" w:rsidRDefault="0046203B" w:rsidP="00032CD8">
      <w:pPr>
        <w:rPr>
          <w:rFonts w:eastAsia="Calibri" w:cs="Calibri"/>
          <w:kern w:val="2"/>
          <w:sz w:val="22"/>
          <w:szCs w:val="22"/>
          <w14:ligatures w14:val="standardContextual"/>
        </w:rPr>
      </w:pPr>
      <w:r w:rsidRPr="008D2D8C">
        <w:rPr>
          <w:rFonts w:eastAsia="Calibri" w:cs="Calibri"/>
          <w:noProof/>
          <w:kern w:val="2"/>
          <w:sz w:val="22"/>
          <w:szCs w:val="22"/>
          <w:lang w:val="sq-AL"/>
          <w14:ligatures w14:val="standardContextual"/>
        </w:rPr>
        <w:lastRenderedPageBreak/>
        <w:drawing>
          <wp:inline distT="0" distB="0" distL="0" distR="0" wp14:anchorId="57D1693D" wp14:editId="29CD5CE9">
            <wp:extent cx="8229600" cy="4573905"/>
            <wp:effectExtent l="0" t="0" r="0" b="0"/>
            <wp:docPr id="1955761809" name="Diagram 19557618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193818A7" w14:textId="7EE6DCDE" w:rsidR="00032CD8" w:rsidRPr="006347D6" w:rsidRDefault="00032CD8" w:rsidP="00A4168A">
      <w:pPr>
        <w:pStyle w:val="Figure"/>
        <w:rPr>
          <w:rFonts w:eastAsia="Calibri" w:cs="Calibri"/>
          <w:sz w:val="20"/>
          <w:szCs w:val="20"/>
        </w:rPr>
      </w:pPr>
      <w:bookmarkStart w:id="54" w:name="_Toc153872208"/>
      <w:bookmarkStart w:id="55" w:name="_Toc153983521"/>
      <w:bookmarkStart w:id="56" w:name="_Toc197472311"/>
      <w:r w:rsidRPr="006347D6">
        <w:rPr>
          <w:rFonts w:eastAsia="Calibri" w:cs="Calibri"/>
          <w:sz w:val="20"/>
          <w:szCs w:val="20"/>
        </w:rPr>
        <w:t xml:space="preserve">Figura </w:t>
      </w:r>
      <w:r w:rsidRPr="006347D6">
        <w:rPr>
          <w:rFonts w:eastAsia="Calibri" w:cs="Calibri"/>
          <w:sz w:val="20"/>
          <w:szCs w:val="20"/>
        </w:rPr>
        <w:fldChar w:fldCharType="begin"/>
      </w:r>
      <w:r w:rsidRPr="006347D6">
        <w:rPr>
          <w:rFonts w:eastAsia="Calibri" w:cs="Calibri"/>
          <w:sz w:val="20"/>
          <w:szCs w:val="20"/>
        </w:rPr>
        <w:instrText xml:space="preserve"> SEQ Figure \* ARABIC </w:instrText>
      </w:r>
      <w:r w:rsidRPr="006347D6">
        <w:rPr>
          <w:rFonts w:eastAsia="Calibri" w:cs="Calibri"/>
          <w:sz w:val="20"/>
          <w:szCs w:val="20"/>
        </w:rPr>
        <w:fldChar w:fldCharType="separate"/>
      </w:r>
      <w:r w:rsidR="00C97DF3">
        <w:rPr>
          <w:rFonts w:eastAsia="Calibri" w:cs="Calibri"/>
          <w:noProof/>
          <w:sz w:val="20"/>
          <w:szCs w:val="20"/>
        </w:rPr>
        <w:t xml:space="preserve">9. </w:t>
      </w:r>
      <w:r w:rsidRPr="006347D6">
        <w:rPr>
          <w:rFonts w:eastAsia="Calibri" w:cs="Calibri"/>
          <w:sz w:val="20"/>
          <w:szCs w:val="20"/>
        </w:rPr>
        <w:fldChar w:fldCharType="end"/>
      </w:r>
      <w:r w:rsidRPr="006347D6">
        <w:rPr>
          <w:rFonts w:eastAsia="Calibri" w:cs="Calibri"/>
          <w:sz w:val="20"/>
          <w:szCs w:val="20"/>
        </w:rPr>
        <w:t>Korniza institucionale për menaxhimin e mbet</w:t>
      </w:r>
      <w:r w:rsidR="0046203B">
        <w:rPr>
          <w:rFonts w:eastAsia="Calibri" w:cs="Calibri"/>
          <w:sz w:val="20"/>
          <w:szCs w:val="20"/>
        </w:rPr>
        <w:t>urinave</w:t>
      </w:r>
      <w:r w:rsidRPr="006347D6">
        <w:rPr>
          <w:rFonts w:eastAsia="Calibri" w:cs="Calibri"/>
          <w:sz w:val="20"/>
          <w:szCs w:val="20"/>
        </w:rPr>
        <w:t xml:space="preserve"> në nivel </w:t>
      </w:r>
      <w:r w:rsidR="0046203B">
        <w:rPr>
          <w:rFonts w:eastAsia="Calibri" w:cs="Calibri"/>
          <w:sz w:val="20"/>
          <w:szCs w:val="20"/>
        </w:rPr>
        <w:t>nacional</w:t>
      </w:r>
      <w:bookmarkEnd w:id="54"/>
      <w:bookmarkEnd w:id="55"/>
      <w:bookmarkEnd w:id="56"/>
    </w:p>
    <w:p w14:paraId="1816833B" w14:textId="77777777" w:rsidR="00032CD8" w:rsidRPr="00AF0235" w:rsidRDefault="00032CD8" w:rsidP="00032CD8">
      <w:pPr>
        <w:rPr>
          <w:rFonts w:eastAsia="Calibri" w:cs="Calibri"/>
          <w:kern w:val="2"/>
          <w:sz w:val="22"/>
          <w:szCs w:val="22"/>
          <w14:ligatures w14:val="standardContextual"/>
        </w:rPr>
      </w:pPr>
    </w:p>
    <w:p w14:paraId="32B529A1" w14:textId="77777777" w:rsidR="00032CD8" w:rsidRPr="00AF0235" w:rsidRDefault="00032CD8" w:rsidP="00032CD8">
      <w:pPr>
        <w:spacing w:after="160" w:line="259" w:lineRule="auto"/>
        <w:rPr>
          <w:rFonts w:eastAsia="Calibri" w:cs="Calibri"/>
          <w:color w:val="1E4D78"/>
          <w:sz w:val="22"/>
          <w:szCs w:val="22"/>
        </w:rPr>
      </w:pPr>
      <w:r w:rsidRPr="00AF0235">
        <w:rPr>
          <w:rFonts w:eastAsia="Calibri" w:cs="Calibri"/>
          <w:sz w:val="22"/>
          <w:szCs w:val="22"/>
        </w:rPr>
        <w:br w:type="page"/>
      </w:r>
    </w:p>
    <w:p w14:paraId="6B0ACBFE" w14:textId="77777777" w:rsidR="00032CD8" w:rsidRPr="00AF0235" w:rsidRDefault="00032CD8" w:rsidP="0059507F">
      <w:pPr>
        <w:keepNext/>
        <w:keepLines/>
        <w:numPr>
          <w:ilvl w:val="2"/>
          <w:numId w:val="5"/>
        </w:numPr>
        <w:tabs>
          <w:tab w:val="left" w:pos="1260"/>
        </w:tabs>
        <w:spacing w:before="40" w:after="160" w:line="259" w:lineRule="auto"/>
        <w:outlineLvl w:val="2"/>
        <w:rPr>
          <w:rFonts w:eastAsia="Calibri" w:cs="Calibri"/>
          <w:color w:val="1E4D78"/>
          <w:sz w:val="22"/>
          <w:szCs w:val="22"/>
        </w:rPr>
        <w:sectPr w:rsidR="00032CD8" w:rsidRPr="00AF0235" w:rsidSect="00032CD8">
          <w:headerReference w:type="first" r:id="rId42"/>
          <w:footerReference w:type="first" r:id="rId43"/>
          <w:pgSz w:w="15840" w:h="12240" w:orient="landscape"/>
          <w:pgMar w:top="1440" w:right="1440" w:bottom="1440" w:left="1440" w:header="720" w:footer="720" w:gutter="0"/>
          <w:cols w:space="720"/>
          <w:titlePg/>
          <w:docGrid w:linePitch="299"/>
        </w:sectPr>
      </w:pPr>
    </w:p>
    <w:p w14:paraId="1840CC8E" w14:textId="14DA0500" w:rsidR="00032CD8" w:rsidRPr="00C21444" w:rsidRDefault="00032CD8" w:rsidP="002254E8">
      <w:pPr>
        <w:pStyle w:val="Heading3"/>
      </w:pPr>
      <w:bookmarkStart w:id="57" w:name="_Toc153872098"/>
      <w:bookmarkStart w:id="58" w:name="_Toc170470801"/>
      <w:bookmarkStart w:id="59" w:name="_Toc197471952"/>
      <w:r w:rsidRPr="00C21444">
        <w:lastRenderedPageBreak/>
        <w:t>Nivel</w:t>
      </w:r>
      <w:r w:rsidR="00BD1DCE">
        <w:t>i</w:t>
      </w:r>
      <w:r w:rsidRPr="00C21444">
        <w:t xml:space="preserve"> lokal</w:t>
      </w:r>
      <w:bookmarkEnd w:id="57"/>
      <w:bookmarkEnd w:id="58"/>
      <w:bookmarkEnd w:id="59"/>
    </w:p>
    <w:bookmarkEnd w:id="53"/>
    <w:p w14:paraId="770EDCFD" w14:textId="77777777" w:rsidR="00F45EBF" w:rsidRDefault="00F45EBF" w:rsidP="00A4168A">
      <w:pPr>
        <w:pStyle w:val="High"/>
        <w:rPr>
          <w:lang w:val="en"/>
        </w:rPr>
      </w:pPr>
      <w:proofErr w:type="spellStart"/>
      <w:r w:rsidRPr="00AF0235">
        <w:rPr>
          <w:lang w:val="en"/>
        </w:rPr>
        <w:t>Përgjegjësitë</w:t>
      </w:r>
      <w:proofErr w:type="spellEnd"/>
      <w:r w:rsidRPr="00AF0235">
        <w:rPr>
          <w:lang w:val="en"/>
        </w:rPr>
        <w:t xml:space="preserve"> </w:t>
      </w:r>
      <w:proofErr w:type="spellStart"/>
      <w:r w:rsidRPr="00AF0235">
        <w:rPr>
          <w:lang w:val="en"/>
        </w:rPr>
        <w:t>komunale</w:t>
      </w:r>
      <w:proofErr w:type="spellEnd"/>
    </w:p>
    <w:p w14:paraId="7007758A" w14:textId="77777777" w:rsidR="005E7926" w:rsidRPr="00AF0235" w:rsidRDefault="005E7926" w:rsidP="00A4168A">
      <w:pPr>
        <w:pStyle w:val="High"/>
        <w:rPr>
          <w:lang w:val="en"/>
        </w:rPr>
      </w:pPr>
    </w:p>
    <w:p w14:paraId="2021E00F" w14:textId="77777777" w:rsidR="005E7926" w:rsidRPr="008D2D8C" w:rsidRDefault="005E7926" w:rsidP="005E7926">
      <w:pPr>
        <w:pStyle w:val="Paragraph"/>
        <w:rPr>
          <w:rFonts w:eastAsia="Calibri"/>
          <w:lang w:val="sq-AL"/>
        </w:rPr>
      </w:pPr>
      <w:r w:rsidRPr="00141225">
        <w:rPr>
          <w:rFonts w:eastAsia="Calibri"/>
          <w:lang w:val="sq-AL"/>
        </w:rPr>
        <w:t>Në përputhje me nenin 17 të LIGJIT NR. 03/L-040 PËR VETËQEVERISJEN LOKALE</w:t>
      </w:r>
      <w:r>
        <w:rPr>
          <w:rFonts w:eastAsia="Calibri"/>
          <w:lang w:val="sq-AL"/>
        </w:rPr>
        <w:t>,</w:t>
      </w:r>
      <w:r w:rsidRPr="00141225">
        <w:rPr>
          <w:rFonts w:eastAsia="Calibri"/>
          <w:lang w:val="sq-AL"/>
        </w:rPr>
        <w:t xml:space="preserve"> cikli i plotë i menaxhimit të mbeturinave komunale është përgjegjësi e Komunave.</w:t>
      </w:r>
    </w:p>
    <w:p w14:paraId="6FBDBCA7" w14:textId="77777777" w:rsidR="005E7926" w:rsidRDefault="005E7926" w:rsidP="005E7926">
      <w:pPr>
        <w:pStyle w:val="Paragraph"/>
        <w:rPr>
          <w:rFonts w:eastAsia="Calibri"/>
          <w:lang w:val="sq-AL"/>
        </w:rPr>
      </w:pPr>
      <w:r w:rsidRPr="00141225">
        <w:rPr>
          <w:rFonts w:eastAsia="Calibri"/>
          <w:lang w:val="sq-AL"/>
        </w:rPr>
        <w:t xml:space="preserve">Sipas Ligjit për mbeturina, komunat janë përgjegjëse për ngritjen e sistemit të menaxhimit të mbeturinave në përputhje me parimin e hierarkisë së menaxhimit të mbeturinave në territorin e tyre dhe për zhvillimin e planeve komunale për menaxhimin e mbeturinave të harmonizuara me planin </w:t>
      </w:r>
      <w:r>
        <w:rPr>
          <w:rFonts w:eastAsia="Calibri"/>
          <w:lang w:val="sq-AL"/>
        </w:rPr>
        <w:t>nacional</w:t>
      </w:r>
      <w:r w:rsidRPr="00141225">
        <w:rPr>
          <w:rFonts w:eastAsia="Calibri"/>
          <w:lang w:val="sq-AL"/>
        </w:rPr>
        <w:t xml:space="preserve"> për menaxhimin e mbeturinave. Për sa i përket </w:t>
      </w:r>
      <w:r>
        <w:rPr>
          <w:rFonts w:eastAsia="Calibri"/>
          <w:lang w:val="sq-AL"/>
        </w:rPr>
        <w:t>fraksioneve</w:t>
      </w:r>
      <w:r w:rsidRPr="00141225">
        <w:rPr>
          <w:rFonts w:eastAsia="Calibri"/>
          <w:lang w:val="sq-AL"/>
        </w:rPr>
        <w:t xml:space="preserve"> të mbet</w:t>
      </w:r>
      <w:r>
        <w:rPr>
          <w:rFonts w:eastAsia="Calibri"/>
          <w:lang w:val="sq-AL"/>
        </w:rPr>
        <w:t>urinave</w:t>
      </w:r>
      <w:r w:rsidRPr="00141225">
        <w:rPr>
          <w:rFonts w:eastAsia="Calibri"/>
          <w:lang w:val="sq-AL"/>
        </w:rPr>
        <w:t>, ato janë përgjegjëse për mbet</w:t>
      </w:r>
      <w:r>
        <w:rPr>
          <w:rFonts w:eastAsia="Calibri"/>
          <w:lang w:val="sq-AL"/>
        </w:rPr>
        <w:t>urinat</w:t>
      </w:r>
      <w:r w:rsidRPr="00141225">
        <w:rPr>
          <w:rFonts w:eastAsia="Calibri"/>
          <w:lang w:val="sq-AL"/>
        </w:rPr>
        <w:t xml:space="preserve"> e ngurta komunale (përfshirë mbet</w:t>
      </w:r>
      <w:r>
        <w:rPr>
          <w:rFonts w:eastAsia="Calibri"/>
          <w:lang w:val="sq-AL"/>
        </w:rPr>
        <w:t>urinat</w:t>
      </w:r>
      <w:r w:rsidRPr="00141225">
        <w:rPr>
          <w:rFonts w:eastAsia="Calibri"/>
          <w:lang w:val="sq-AL"/>
        </w:rPr>
        <w:t xml:space="preserve"> shtëpiake, komerciale dhe ato të </w:t>
      </w:r>
      <w:r>
        <w:rPr>
          <w:rFonts w:eastAsia="Calibri"/>
          <w:lang w:val="sq-AL"/>
        </w:rPr>
        <w:t>vëllimshme</w:t>
      </w:r>
      <w:r w:rsidRPr="00141225">
        <w:rPr>
          <w:rFonts w:eastAsia="Calibri"/>
          <w:lang w:val="sq-AL"/>
        </w:rPr>
        <w:t xml:space="preserve">) dhe </w:t>
      </w:r>
      <w:r>
        <w:rPr>
          <w:rFonts w:eastAsia="Calibri"/>
          <w:lang w:val="sq-AL"/>
        </w:rPr>
        <w:t>MND</w:t>
      </w:r>
      <w:r w:rsidRPr="00141225">
        <w:rPr>
          <w:rFonts w:eastAsia="Calibri"/>
          <w:lang w:val="sq-AL"/>
        </w:rPr>
        <w:t>.</w:t>
      </w:r>
    </w:p>
    <w:p w14:paraId="5CFB3340" w14:textId="77777777" w:rsidR="005E7926" w:rsidRPr="008D2D8C" w:rsidRDefault="005E7926" w:rsidP="005E7926">
      <w:pPr>
        <w:pStyle w:val="Paragraph"/>
        <w:rPr>
          <w:rFonts w:eastAsia="Calibri"/>
          <w:lang w:val="sq-AL"/>
        </w:rPr>
      </w:pPr>
      <w:r w:rsidRPr="00E97248">
        <w:rPr>
          <w:rFonts w:eastAsia="Calibri"/>
          <w:lang w:val="sq-AL"/>
        </w:rPr>
        <w:t xml:space="preserve">Nga komunat kërkohet të përcaktojnë tarifat </w:t>
      </w:r>
      <w:r>
        <w:rPr>
          <w:rFonts w:eastAsia="Calibri"/>
          <w:lang w:val="sq-AL"/>
        </w:rPr>
        <w:t>për</w:t>
      </w:r>
      <w:r w:rsidRPr="00E97248">
        <w:rPr>
          <w:rFonts w:eastAsia="Calibri"/>
          <w:lang w:val="sq-AL"/>
        </w:rPr>
        <w:t xml:space="preserve"> mbeturina dhe mënyrën e grumbullimit të </w:t>
      </w:r>
      <w:r>
        <w:rPr>
          <w:rFonts w:eastAsia="Calibri"/>
          <w:lang w:val="sq-AL"/>
        </w:rPr>
        <w:t>të hyrave</w:t>
      </w:r>
      <w:r w:rsidRPr="00E97248">
        <w:rPr>
          <w:rFonts w:eastAsia="Calibri"/>
          <w:lang w:val="sq-AL"/>
        </w:rPr>
        <w:t xml:space="preserve"> për shërbimet komunale; për të mbledhur, dokumentuar dhe raportuar të dhëna për sasitë e mbet</w:t>
      </w:r>
      <w:r>
        <w:rPr>
          <w:rFonts w:eastAsia="Calibri"/>
          <w:lang w:val="sq-AL"/>
        </w:rPr>
        <w:t>urinave</w:t>
      </w:r>
      <w:r w:rsidRPr="00E97248">
        <w:rPr>
          <w:rFonts w:eastAsia="Calibri"/>
          <w:lang w:val="sq-AL"/>
        </w:rPr>
        <w:t>; të inspektojë zbatimin e ligjit në bashkëpunim me inspektor</w:t>
      </w:r>
      <w:r>
        <w:rPr>
          <w:rFonts w:eastAsia="Calibri"/>
          <w:lang w:val="sq-AL"/>
        </w:rPr>
        <w:t>i</w:t>
      </w:r>
      <w:r w:rsidRPr="00E97248">
        <w:rPr>
          <w:rFonts w:eastAsia="Calibri"/>
          <w:lang w:val="sq-AL"/>
        </w:rPr>
        <w:t>atin e mjedisit; për të monitoruar dhe pastruar mbet</w:t>
      </w:r>
      <w:r>
        <w:rPr>
          <w:rFonts w:eastAsia="Calibri"/>
          <w:lang w:val="sq-AL"/>
        </w:rPr>
        <w:t>urinat</w:t>
      </w:r>
      <w:r w:rsidRPr="00E97248">
        <w:rPr>
          <w:rFonts w:eastAsia="Calibri"/>
          <w:lang w:val="sq-AL"/>
        </w:rPr>
        <w:t xml:space="preserve"> historike dhe për të parandaluar hedhjen e paligjshme të mbet</w:t>
      </w:r>
      <w:r>
        <w:rPr>
          <w:rFonts w:eastAsia="Calibri"/>
          <w:lang w:val="sq-AL"/>
        </w:rPr>
        <w:t>urinave</w:t>
      </w:r>
      <w:r w:rsidRPr="00E97248">
        <w:rPr>
          <w:rFonts w:eastAsia="Calibri"/>
          <w:lang w:val="sq-AL"/>
        </w:rPr>
        <w:t xml:space="preserve">. Komunat caktojnë edhe tarifat për </w:t>
      </w:r>
      <w:r>
        <w:rPr>
          <w:rFonts w:eastAsia="Calibri"/>
          <w:lang w:val="sq-AL"/>
        </w:rPr>
        <w:t>deponimin</w:t>
      </w:r>
      <w:r w:rsidRPr="00E97248">
        <w:rPr>
          <w:rFonts w:eastAsia="Calibri"/>
          <w:lang w:val="sq-AL"/>
        </w:rPr>
        <w:t xml:space="preserve"> e mbeturinave në ato objekte që janë pasuri e komunës.</w:t>
      </w:r>
    </w:p>
    <w:p w14:paraId="2BE9FD56" w14:textId="77777777" w:rsidR="005E7926" w:rsidRPr="008D2D8C" w:rsidRDefault="005E7926" w:rsidP="005E7926">
      <w:pPr>
        <w:pStyle w:val="Paragraph"/>
        <w:rPr>
          <w:rFonts w:eastAsia="Calibri"/>
          <w:lang w:val="sq-AL"/>
        </w:rPr>
      </w:pPr>
      <w:r>
        <w:rPr>
          <w:rFonts w:eastAsia="Calibri"/>
          <w:lang w:val="sq-AL"/>
        </w:rPr>
        <w:t>Komunat</w:t>
      </w:r>
      <w:r w:rsidRPr="00E97248">
        <w:rPr>
          <w:rFonts w:eastAsia="Calibri"/>
          <w:lang w:val="sq-AL"/>
        </w:rPr>
        <w:t xml:space="preserve"> mund të ofrojnë shërbime të grumbullimit të mbet</w:t>
      </w:r>
      <w:r>
        <w:rPr>
          <w:rFonts w:eastAsia="Calibri"/>
          <w:lang w:val="sq-AL"/>
        </w:rPr>
        <w:t>urinave</w:t>
      </w:r>
      <w:r w:rsidRPr="00E97248">
        <w:rPr>
          <w:rFonts w:eastAsia="Calibri"/>
          <w:lang w:val="sq-AL"/>
        </w:rPr>
        <w:t xml:space="preserve"> përmes një sërë modelesh operat</w:t>
      </w:r>
      <w:r>
        <w:rPr>
          <w:rFonts w:eastAsia="Calibri"/>
          <w:lang w:val="sq-AL"/>
        </w:rPr>
        <w:t>ive</w:t>
      </w:r>
      <w:r w:rsidRPr="00E97248">
        <w:rPr>
          <w:rFonts w:eastAsia="Calibri"/>
          <w:lang w:val="sq-AL"/>
        </w:rPr>
        <w:t>, duke përfshirë kontraktimin e brendshëm, kontraktimin e ndërmarrjeve publike, kontraktimin e kompanive private nëpërmjet Tender</w:t>
      </w:r>
      <w:r>
        <w:rPr>
          <w:rFonts w:eastAsia="Calibri"/>
          <w:lang w:val="sq-AL"/>
        </w:rPr>
        <w:t>ëve të</w:t>
      </w:r>
      <w:r w:rsidRPr="00E97248">
        <w:rPr>
          <w:rFonts w:eastAsia="Calibri"/>
          <w:lang w:val="sq-AL"/>
        </w:rPr>
        <w:t xml:space="preserve"> hapur, partneritet publik privat (PPP) ose mënyra të tjera.</w:t>
      </w:r>
    </w:p>
    <w:p w14:paraId="7F5BEC8E" w14:textId="734F79E2" w:rsidR="00F45EBF" w:rsidRPr="00AF0235" w:rsidRDefault="005E7926" w:rsidP="00B1488D">
      <w:pPr>
        <w:pStyle w:val="Paragraph"/>
        <w:spacing w:after="0"/>
        <w:rPr>
          <w:rFonts w:eastAsia="Calibri"/>
        </w:rPr>
      </w:pPr>
      <w:r w:rsidRPr="00E97248">
        <w:rPr>
          <w:rFonts w:eastAsia="Calibri"/>
          <w:lang w:val="sq-AL"/>
        </w:rPr>
        <w:t xml:space="preserve">Udhëzimet specifike administrative vendosin obligime specifike ndaj Komunave për të organizuar grumbullimin, ruajtjen dhe transferimin e mbeturinave, vetëm ose në bashkëpunim me sektorin e biznesit. Udhëzimet administrative që u delegojnë më shumë kompetenca komunave </w:t>
      </w:r>
      <w:r w:rsidR="00F45EBF" w:rsidRPr="00AF0235">
        <w:rPr>
          <w:rFonts w:eastAsia="Calibri"/>
        </w:rPr>
        <w:t>janë:</w:t>
      </w:r>
    </w:p>
    <w:p w14:paraId="048F1015" w14:textId="4E19A85B" w:rsidR="00F45EBF" w:rsidRPr="00AF0235" w:rsidRDefault="00F45EBF" w:rsidP="00B1488D">
      <w:pPr>
        <w:pStyle w:val="Bullet"/>
        <w:spacing w:after="0"/>
      </w:pPr>
      <w:r w:rsidRPr="00AF0235">
        <w:t>Udhëzim Administrativ (MEA) nr. 01/2020 për menaxhimin e mbeturinave që përmbajnë azbest</w:t>
      </w:r>
      <w:r w:rsidR="005E7926">
        <w:t>.</w:t>
      </w:r>
    </w:p>
    <w:p w14:paraId="7F6898EB" w14:textId="361B3DAB" w:rsidR="00F45EBF" w:rsidRPr="00AF0235" w:rsidRDefault="00F45EBF" w:rsidP="00B1488D">
      <w:pPr>
        <w:pStyle w:val="Bullet"/>
        <w:spacing w:after="0"/>
      </w:pPr>
      <w:r w:rsidRPr="00AF0235">
        <w:t xml:space="preserve">Udhëzim Administrativ MMPH - nr. 06/2018 për ndëshkimet me gjoba </w:t>
      </w:r>
      <w:r w:rsidR="005E7926">
        <w:t>mandatare,</w:t>
      </w:r>
    </w:p>
    <w:p w14:paraId="6ABF5E6A" w14:textId="1DFC6A84" w:rsidR="00F45EBF" w:rsidRPr="00AF0235" w:rsidRDefault="00F45EBF" w:rsidP="00B1488D">
      <w:pPr>
        <w:pStyle w:val="Bullet"/>
        <w:spacing w:after="0"/>
      </w:pPr>
      <w:r w:rsidRPr="00AF0235">
        <w:t xml:space="preserve">Udhëzim Administrativ MEPH - nr. 07/2015 për menaxhimin e mbeturinave nga ndërtimi dhe </w:t>
      </w:r>
      <w:r w:rsidR="005E7926">
        <w:t>rrënimi i</w:t>
      </w:r>
      <w:r w:rsidRPr="00AF0235">
        <w:t xml:space="preserve"> objekteve ndërtimore</w:t>
      </w:r>
      <w:r w:rsidR="005E7926">
        <w:t>.</w:t>
      </w:r>
    </w:p>
    <w:p w14:paraId="55869C10" w14:textId="77777777" w:rsidR="00B1488D" w:rsidRDefault="00B1488D" w:rsidP="00B1488D">
      <w:pPr>
        <w:pStyle w:val="Paragraph"/>
        <w:spacing w:after="0"/>
        <w:rPr>
          <w:rFonts w:eastAsia="Calibri"/>
        </w:rPr>
      </w:pPr>
    </w:p>
    <w:p w14:paraId="4A95E9D7" w14:textId="1EE63758" w:rsidR="00F45EBF" w:rsidRPr="00AF0235" w:rsidRDefault="00B1488D" w:rsidP="00B1488D">
      <w:pPr>
        <w:pStyle w:val="Paragraph"/>
        <w:spacing w:after="0"/>
        <w:rPr>
          <w:rFonts w:eastAsia="Calibri"/>
        </w:rPr>
      </w:pPr>
      <w:r>
        <w:rPr>
          <w:rFonts w:eastAsia="Calibri"/>
        </w:rPr>
        <w:t>Gjithashtu, udhëzime të tjera administrative u delegojnë përgjegjësi të caktuara komunave.</w:t>
      </w:r>
    </w:p>
    <w:p w14:paraId="0D824DDE" w14:textId="77777777" w:rsidR="00B1488D" w:rsidRDefault="00B1488D" w:rsidP="00B1488D">
      <w:pPr>
        <w:pStyle w:val="Paragraph"/>
        <w:spacing w:after="0"/>
        <w:rPr>
          <w:rFonts w:eastAsia="Calibri"/>
        </w:rPr>
      </w:pPr>
    </w:p>
    <w:p w14:paraId="3E8756D2" w14:textId="00E5DE00" w:rsidR="00F45EBF" w:rsidRDefault="00F45EBF" w:rsidP="00B1488D">
      <w:pPr>
        <w:pStyle w:val="Paragraph"/>
        <w:spacing w:after="0"/>
        <w:rPr>
          <w:rFonts w:eastAsia="Calibri"/>
        </w:rPr>
      </w:pPr>
      <w:r w:rsidRPr="00AF0235">
        <w:rPr>
          <w:rFonts w:eastAsia="Calibri"/>
        </w:rPr>
        <w:t>Për qëllime të përmirësimit të menaxhimit të mbeturinave, dy ose më shumë komuna mund të hyjnë në marrëveshje dhe të krijojnë një bashkëpunim ndërkomunal, Duke marrë parasysh që Ligji Nr. 04/L-060 për Mbeturinat, i ndryshuar dhe plotësuar me Ligjin Nr. 08/L-071, Ligjin Nr. 03/L-040 për Vetëqeverisjen Lokale dhe Ligjin Nr. 04/L-010 për Bashkëpunimin Ndërkomunal ofrojnë bazën ligjore për zhvillimin e planeve të përbashkëta komunale dhe për bashkëpunimin ndërkomunal, duke përfshirë marrëveshjen për bashkëpunimin ndërkomunal (Neni 8 i Ligjit për Bashkëpunimin Ndërkomunal);</w:t>
      </w:r>
    </w:p>
    <w:p w14:paraId="0C9FCE1D" w14:textId="77777777" w:rsidR="00B1488D" w:rsidRPr="00AF0235" w:rsidRDefault="00B1488D" w:rsidP="00B1488D">
      <w:pPr>
        <w:pStyle w:val="Paragraph"/>
        <w:spacing w:after="0"/>
        <w:rPr>
          <w:rFonts w:eastAsia="Calibri"/>
        </w:rPr>
      </w:pPr>
    </w:p>
    <w:p w14:paraId="393AE921" w14:textId="77777777" w:rsidR="00F45EBF" w:rsidRPr="00AF0235" w:rsidRDefault="00F45EBF" w:rsidP="00B1488D">
      <w:pPr>
        <w:pStyle w:val="High"/>
      </w:pPr>
      <w:r w:rsidRPr="00AF0235">
        <w:t>Kompetencat e komunave në përputhje me Ligjin për Mbeturinat përfshijnë:</w:t>
      </w:r>
    </w:p>
    <w:p w14:paraId="5802D296" w14:textId="6A7045BA" w:rsidR="00F45EBF" w:rsidRPr="00AF0235" w:rsidRDefault="00F45EBF" w:rsidP="00B1488D">
      <w:pPr>
        <w:pStyle w:val="Bullet"/>
        <w:spacing w:after="0"/>
      </w:pPr>
      <w:r w:rsidRPr="00AF0235">
        <w:t xml:space="preserve">Krijimi i një sistemi për menaxhimin e mbeturinave bazuar në parimin e hierarkisë për menaxhimin e mbeturinave për territorin e tyre, hartimi i një plani </w:t>
      </w:r>
      <w:r w:rsidR="005E7926">
        <w:t xml:space="preserve">të </w:t>
      </w:r>
      <w:r w:rsidRPr="00AF0235">
        <w:t>veprimi</w:t>
      </w:r>
      <w:r w:rsidR="005E7926">
        <w:t>t</w:t>
      </w:r>
      <w:r w:rsidRPr="00AF0235">
        <w:t xml:space="preserve"> lokal për menaxhimin e mbeturinave dhe krijimi i kushteve për zbatimin e tij;</w:t>
      </w:r>
    </w:p>
    <w:p w14:paraId="7F559962" w14:textId="77777777" w:rsidR="00F45EBF" w:rsidRPr="00AF0235" w:rsidRDefault="00F45EBF" w:rsidP="00B1488D">
      <w:pPr>
        <w:pStyle w:val="Bullet"/>
        <w:spacing w:after="0"/>
      </w:pPr>
      <w:r w:rsidRPr="00AF0235">
        <w:t>Përgjegjës për Planin Komunal për Menaxhimin e Mbeturinave (5 vjet), i cili parashikon masa konkrete për sektorin së bashku me burimet financiare dhe zbatimin e tij;</w:t>
      </w:r>
    </w:p>
    <w:p w14:paraId="11EA3D17" w14:textId="6AD907FF" w:rsidR="00F45EBF" w:rsidRPr="00AF0235" w:rsidRDefault="00F45EBF" w:rsidP="00B1488D">
      <w:pPr>
        <w:pStyle w:val="Bullet"/>
        <w:spacing w:after="0"/>
      </w:pPr>
      <w:r w:rsidRPr="00AF0235">
        <w:t>Nxjerr Rregulloren Komunale për Menaxhimin e Mbeturinave (akt</w:t>
      </w:r>
      <w:r w:rsidR="005E7926">
        <w:t>e</w:t>
      </w:r>
      <w:r w:rsidRPr="00AF0235">
        <w:t xml:space="preserve"> nënligjor</w:t>
      </w:r>
      <w:r w:rsidR="005E7926">
        <w:t>e</w:t>
      </w:r>
      <w:r w:rsidRPr="00AF0235">
        <w:t xml:space="preserve"> që e kanë shumica e komunave), me këtë rregullore, përcaktohen tarifat dhe shërbimet për familjet rezidente, jorezidentët (turistët), bizneset, institucionet dhe kontratat e veçanta për shërbimet. Kjo rregullore përcakton mënyrën e shërbimit, itineraret, shërbimin sipas zonave, përcakton tarifën e depo</w:t>
      </w:r>
      <w:r w:rsidR="005E7926">
        <w:t>nimit</w:t>
      </w:r>
      <w:r w:rsidRPr="00AF0235">
        <w:t xml:space="preserve"> (në ato depo ku pronare është komuna), rregullon procedurën për përzgjedhjen e mosmarrëveshjeve midis ofruesve të shërbimeve dhe klientëve, etj.</w:t>
      </w:r>
    </w:p>
    <w:p w14:paraId="623651D4" w14:textId="77777777" w:rsidR="00F45EBF" w:rsidRPr="00AF0235" w:rsidRDefault="00F45EBF" w:rsidP="00B1488D">
      <w:pPr>
        <w:pStyle w:val="Bullet"/>
        <w:spacing w:after="0"/>
      </w:pPr>
      <w:r w:rsidRPr="00AF0235">
        <w:lastRenderedPageBreak/>
        <w:t>Hartimi i raportit vjetor për menaxhimin e mbeturinave. Raporti vjetor duhet t'i dorëzohet Ministrisë së Mjedisit dhe Planifikimit Hapësinor;</w:t>
      </w:r>
    </w:p>
    <w:p w14:paraId="58EE0DE0" w14:textId="77777777" w:rsidR="00F45EBF" w:rsidRPr="00AF0235" w:rsidRDefault="00F45EBF" w:rsidP="00B1488D">
      <w:pPr>
        <w:pStyle w:val="Bullet"/>
        <w:spacing w:after="0"/>
      </w:pPr>
      <w:r w:rsidRPr="00AF0235">
        <w:t>Rregullimi i përgjegjësive dhe detyrimeve për kryerjen e shërbimeve për menaxhimin e mbeturinave, zbatimin e tyre, organizimin dhe menaxhimin e mbeturinave në territorin e tyre;</w:t>
      </w:r>
    </w:p>
    <w:p w14:paraId="3F973EBD" w14:textId="2CA91A21" w:rsidR="00F45EBF" w:rsidRPr="00AF0235" w:rsidRDefault="00F45EBF" w:rsidP="00B1488D">
      <w:pPr>
        <w:pStyle w:val="Bullet"/>
        <w:spacing w:after="0"/>
      </w:pPr>
      <w:r w:rsidRPr="00AF0235">
        <w:t xml:space="preserve">Mirëmbajtja dhe kujdesi për sistemin e informimit dhe raportimit publik për kryerjen e punëve të përcaktuara </w:t>
      </w:r>
      <w:r w:rsidR="005E7926">
        <w:t>me këtë</w:t>
      </w:r>
      <w:r w:rsidRPr="00AF0235">
        <w:t xml:space="preserve"> ligj, si dhe aktet tjera ligjore për menaxhimin e mbeturinave;</w:t>
      </w:r>
    </w:p>
    <w:p w14:paraId="284EB5DF" w14:textId="6A5ED279" w:rsidR="00F45EBF" w:rsidRPr="00AF0235" w:rsidRDefault="00F45EBF" w:rsidP="00B1488D">
      <w:pPr>
        <w:pStyle w:val="Bullet"/>
        <w:spacing w:after="0"/>
      </w:pPr>
      <w:r w:rsidRPr="00AF0235">
        <w:t>Zbatimi i procedurave të prokurimit, përzgjedhja e personave të licencuar për mbledhjen, grumbullimin, ruajtjen dhe transportimin e mbet</w:t>
      </w:r>
      <w:r w:rsidR="00F53B97">
        <w:t>urinave</w:t>
      </w:r>
      <w:r w:rsidRPr="00AF0235">
        <w:t xml:space="preserve">: inerte, komunale, </w:t>
      </w:r>
      <w:r w:rsidR="00F53B97">
        <w:t>komerciale</w:t>
      </w:r>
      <w:r w:rsidRPr="00AF0235">
        <w:t xml:space="preserve">, të </w:t>
      </w:r>
      <w:r w:rsidR="00F53B97">
        <w:t>vëllimshme</w:t>
      </w:r>
      <w:r w:rsidRPr="00AF0235">
        <w:t>, si dhe mbet</w:t>
      </w:r>
      <w:r w:rsidR="00F53B97">
        <w:t>urinat</w:t>
      </w:r>
      <w:r w:rsidRPr="00AF0235">
        <w:t xml:space="preserve"> nga ndërtimi dhe </w:t>
      </w:r>
      <w:r w:rsidR="00F53B97">
        <w:t>rrënimi</w:t>
      </w:r>
      <w:r w:rsidRPr="00AF0235">
        <w:t xml:space="preserve"> </w:t>
      </w:r>
      <w:r w:rsidR="00F53B97">
        <w:t>i</w:t>
      </w:r>
      <w:r w:rsidRPr="00AF0235">
        <w:t xml:space="preserve"> objekteve ndërtimore brenda territorit të tyre;</w:t>
      </w:r>
    </w:p>
    <w:p w14:paraId="6EA4045A" w14:textId="23A46C98" w:rsidR="00F45EBF" w:rsidRPr="00AF0235" w:rsidRDefault="00F53B97" w:rsidP="00B1488D">
      <w:pPr>
        <w:pStyle w:val="Bullet"/>
        <w:spacing w:after="0"/>
      </w:pPr>
      <w:r>
        <w:t>Përc</w:t>
      </w:r>
      <w:r w:rsidR="00F45EBF" w:rsidRPr="00AF0235">
        <w:t>aktimi i tarifave dhe mënyr</w:t>
      </w:r>
      <w:r>
        <w:t>ës</w:t>
      </w:r>
      <w:r w:rsidR="00F45EBF" w:rsidRPr="00AF0235">
        <w:t xml:space="preserve"> </w:t>
      </w:r>
      <w:r>
        <w:t>së</w:t>
      </w:r>
      <w:r w:rsidR="00F45EBF" w:rsidRPr="00AF0235">
        <w:t xml:space="preserve"> mbledhjes së mjeteve financiare për shërbimet komunale;</w:t>
      </w:r>
    </w:p>
    <w:p w14:paraId="2547D075" w14:textId="77777777" w:rsidR="00F45EBF" w:rsidRPr="00AF0235" w:rsidRDefault="00F45EBF" w:rsidP="00B1488D">
      <w:pPr>
        <w:pStyle w:val="Bullet"/>
        <w:spacing w:after="0"/>
      </w:pPr>
      <w:r w:rsidRPr="00AF0235">
        <w:t>Identifikimi i vendeve të ndotura në territorin e tyre, hartimi i projekteve për sanimin e tyre me shënime mbi vendndodhjen, karakteristikat gjeometrike hapësinore, llojin e ndotjes, sasinë e mbeturinave, afatet për përmirësimin e gjendjes dhe shënime të tjera të rëndësishme për realizimin e projekteve.</w:t>
      </w:r>
    </w:p>
    <w:p w14:paraId="4F14D160" w14:textId="565F0BD5" w:rsidR="00F45EBF" w:rsidRPr="00AF0235" w:rsidRDefault="00F45EBF" w:rsidP="00B1488D">
      <w:pPr>
        <w:pStyle w:val="Bullet"/>
        <w:spacing w:after="0"/>
      </w:pPr>
      <w:r w:rsidRPr="00AF0235">
        <w:t xml:space="preserve">Ligji për Mbeturinat, si </w:t>
      </w:r>
      <w:r w:rsidR="00F53B97">
        <w:t>‘</w:t>
      </w:r>
      <w:r w:rsidRPr="00AF0235">
        <w:t>lex specialis</w:t>
      </w:r>
      <w:r w:rsidR="00F53B97">
        <w:t>’</w:t>
      </w:r>
      <w:r w:rsidRPr="00AF0235">
        <w:t xml:space="preserve">, parashikon shprehimisht se komunat kanë përgjegjësi dhe detyra për të zbatuar dispozitat e ligjit, duke përfshirë, ndër të tjera, zbatimin e procedurave të prokurimit, përzgjedhjen e personave të licencuar për mbledhjen, ruajtjen dhe transportimin e mbeturinave: inerte, komunale, </w:t>
      </w:r>
      <w:r w:rsidR="00F53B97">
        <w:t>komerciale</w:t>
      </w:r>
      <w:r w:rsidRPr="00AF0235">
        <w:t xml:space="preserve">, të </w:t>
      </w:r>
      <w:r w:rsidR="00F53B97">
        <w:t>vëllimshme</w:t>
      </w:r>
      <w:r w:rsidRPr="00AF0235">
        <w:t xml:space="preserve"> dhe mbeturinat nga ndërtimi dhe </w:t>
      </w:r>
      <w:r w:rsidR="00F53B97">
        <w:t>rrënimi i</w:t>
      </w:r>
      <w:r w:rsidRPr="00AF0235">
        <w:t xml:space="preserve"> objekteve ndërtimore brenda territorit të tyre. 1 Neni 17.</w:t>
      </w:r>
    </w:p>
    <w:p w14:paraId="6CB1248B" w14:textId="422606D3" w:rsidR="00F45EBF" w:rsidRPr="00AF0235" w:rsidRDefault="00F45EBF" w:rsidP="00B1488D">
      <w:pPr>
        <w:pStyle w:val="Bullet"/>
        <w:spacing w:after="0"/>
      </w:pPr>
      <w:r w:rsidRPr="00AF0235">
        <w:t>Përcakt</w:t>
      </w:r>
      <w:r w:rsidR="00F53B97">
        <w:t>imi i</w:t>
      </w:r>
      <w:r w:rsidRPr="00AF0235">
        <w:t xml:space="preserve"> </w:t>
      </w:r>
      <w:r w:rsidR="00F53B97">
        <w:t xml:space="preserve">lokacioneve për deponimin e </w:t>
      </w:r>
      <w:r w:rsidRPr="00AF0235">
        <w:t>mbeturinave, vend</w:t>
      </w:r>
      <w:r w:rsidR="00F53B97">
        <w:t xml:space="preserve">ndodhjet e </w:t>
      </w:r>
      <w:r w:rsidRPr="00AF0235">
        <w:t>pikave të grumbullimit të mbeturinave, llojin e shërbimit, harton Planin Operacional të shërbimeve.</w:t>
      </w:r>
    </w:p>
    <w:p w14:paraId="62D3CC13" w14:textId="17662234" w:rsidR="00F45EBF" w:rsidRPr="00AF0235" w:rsidRDefault="00F45EBF" w:rsidP="00B1488D">
      <w:pPr>
        <w:pStyle w:val="Bullet"/>
        <w:spacing w:after="0"/>
      </w:pPr>
      <w:r w:rsidRPr="00AF0235">
        <w:t>Përcakt</w:t>
      </w:r>
      <w:r w:rsidR="00F53B97">
        <w:t xml:space="preserve">imi i </w:t>
      </w:r>
      <w:r w:rsidRPr="00AF0235">
        <w:t>m</w:t>
      </w:r>
      <w:r w:rsidR="00F53B97">
        <w:t>ënyrës së</w:t>
      </w:r>
      <w:r w:rsidRPr="00AF0235">
        <w:t xml:space="preserve"> menaxhimit të mbet</w:t>
      </w:r>
      <w:r w:rsidR="00F53B97">
        <w:t>urinave inerte</w:t>
      </w:r>
      <w:r w:rsidRPr="00AF0235">
        <w:t xml:space="preserve">, </w:t>
      </w:r>
      <w:r w:rsidR="00F53B97">
        <w:t>demolimi i konstruksioneve nëdrtimore</w:t>
      </w:r>
      <w:r w:rsidRPr="00AF0235">
        <w:t xml:space="preserve"> dhe përcakton vendndodhjen për </w:t>
      </w:r>
      <w:r w:rsidR="00F53B97">
        <w:t>deponim</w:t>
      </w:r>
      <w:r w:rsidRPr="00AF0235">
        <w:t>.</w:t>
      </w:r>
    </w:p>
    <w:p w14:paraId="7248DE2D" w14:textId="4D6E1325" w:rsidR="00F45EBF" w:rsidRPr="00AF0235" w:rsidRDefault="00F53B97" w:rsidP="00B1488D">
      <w:pPr>
        <w:pStyle w:val="Bullet"/>
        <w:spacing w:after="0"/>
      </w:pPr>
      <w:r>
        <w:t>Janë</w:t>
      </w:r>
      <w:r w:rsidR="00F45EBF" w:rsidRPr="00AF0235">
        <w:t xml:space="preserve"> përgjegjëse për trajtimin sekondar të mbeturinave (ndarja e mbeturinave në burim dhe procesi i riciklimit).</w:t>
      </w:r>
    </w:p>
    <w:p w14:paraId="7080460D" w14:textId="77777777" w:rsidR="00F45EBF" w:rsidRPr="00603FA1" w:rsidRDefault="00F45EBF" w:rsidP="00B1488D">
      <w:pPr>
        <w:rPr>
          <w:rFonts w:eastAsia="Calibri" w:cs="Calibri"/>
          <w:sz w:val="22"/>
          <w:szCs w:val="22"/>
        </w:rPr>
      </w:pPr>
    </w:p>
    <w:p w14:paraId="39F64E35" w14:textId="77777777" w:rsidR="00F45EBF" w:rsidRDefault="00F45EBF" w:rsidP="00B1488D">
      <w:pPr>
        <w:pStyle w:val="Paragraph"/>
        <w:spacing w:after="0"/>
      </w:pPr>
      <w:r w:rsidRPr="000E699D">
        <w:t>Rolet dhe përgjegjësitë e organeve komunale në menaxhimin e mbeturinave paraqiten si më poshtë:</w:t>
      </w:r>
    </w:p>
    <w:p w14:paraId="0E725A58" w14:textId="77777777" w:rsidR="006911A2" w:rsidRPr="000E699D" w:rsidRDefault="006911A2" w:rsidP="00B1488D">
      <w:pPr>
        <w:pStyle w:val="Paragraph"/>
        <w:spacing w:after="0"/>
        <w:rPr>
          <w:lang w:val="sq-AL"/>
        </w:rPr>
      </w:pPr>
    </w:p>
    <w:p w14:paraId="39232C2F" w14:textId="0D05BF4C" w:rsidR="00F45EBF" w:rsidRPr="00F45EBF" w:rsidRDefault="00F45EBF" w:rsidP="00B1488D">
      <w:pPr>
        <w:pStyle w:val="Bullet"/>
        <w:spacing w:after="0"/>
      </w:pPr>
      <w:r w:rsidRPr="00F45EBF">
        <w:t>Drejtoria për Shërbime Publike, Mbrojtje dhe Shpëtim - është përgjegjëse për menaxhimin e mbeturinave.</w:t>
      </w:r>
    </w:p>
    <w:p w14:paraId="1562D441" w14:textId="685C3591" w:rsidR="00F45EBF" w:rsidRPr="00F45EBF" w:rsidRDefault="00F45EBF" w:rsidP="00B1488D">
      <w:pPr>
        <w:pStyle w:val="Bullet"/>
        <w:spacing w:after="0"/>
      </w:pPr>
      <w:r w:rsidRPr="00F45EBF">
        <w:t xml:space="preserve">Drejtoria për Buxhet dhe Financa - është përgjegjëse për propozimin e taksave, tarifave dhe </w:t>
      </w:r>
      <w:r w:rsidR="006911A2">
        <w:t>ngarkesave</w:t>
      </w:r>
      <w:r w:rsidRPr="00F45EBF">
        <w:t xml:space="preserve"> tjera komunale, si dhe për përfshirjen e tyre.</w:t>
      </w:r>
    </w:p>
    <w:p w14:paraId="11D41964" w14:textId="77777777" w:rsidR="00B1488D" w:rsidRDefault="00B1488D" w:rsidP="00B1488D">
      <w:pPr>
        <w:pStyle w:val="Paragraph"/>
        <w:spacing w:after="0"/>
      </w:pPr>
    </w:p>
    <w:p w14:paraId="349DFF14" w14:textId="0BFEA95E" w:rsidR="00F45EBF" w:rsidRPr="000A73BC" w:rsidRDefault="00F45EBF" w:rsidP="00B1488D">
      <w:pPr>
        <w:pStyle w:val="Paragraph"/>
        <w:spacing w:after="0"/>
        <w:rPr>
          <w:lang w:val="bg-BG"/>
        </w:rPr>
      </w:pPr>
      <w:r w:rsidRPr="000E699D">
        <w:t xml:space="preserve">Çdo </w:t>
      </w:r>
      <w:r w:rsidR="006911A2">
        <w:t>komunë</w:t>
      </w:r>
      <w:r w:rsidRPr="000E699D">
        <w:t xml:space="preserve"> ka personelin e vet të caktuar për menaxhimin e mbeturinave.</w:t>
      </w:r>
    </w:p>
    <w:p w14:paraId="396EA144" w14:textId="199E0DE2" w:rsidR="00032CD8" w:rsidRPr="004F52BC" w:rsidRDefault="00032CD8" w:rsidP="002254E8">
      <w:pPr>
        <w:pStyle w:val="Heading2"/>
      </w:pPr>
      <w:bookmarkStart w:id="60" w:name="_Toc153872099"/>
      <w:bookmarkStart w:id="61" w:name="_Toc170470802"/>
      <w:bookmarkStart w:id="62" w:name="_Toc197471953"/>
      <w:r w:rsidRPr="004F52BC">
        <w:t xml:space="preserve">Strategjia e </w:t>
      </w:r>
      <w:r w:rsidR="006911A2">
        <w:t xml:space="preserve">Kosovës për </w:t>
      </w:r>
      <w:r w:rsidRPr="004F52BC">
        <w:t>Menaxhimi</w:t>
      </w:r>
      <w:r w:rsidR="006911A2">
        <w:t xml:space="preserve">n e Integruar </w:t>
      </w:r>
      <w:r w:rsidRPr="004F52BC">
        <w:t>të Mbeturinave</w:t>
      </w:r>
      <w:bookmarkEnd w:id="60"/>
      <w:bookmarkEnd w:id="61"/>
      <w:bookmarkEnd w:id="62"/>
    </w:p>
    <w:p w14:paraId="682EC1E3" w14:textId="77777777" w:rsidR="006911A2" w:rsidRPr="008D2D8C" w:rsidRDefault="006911A2" w:rsidP="006911A2">
      <w:pPr>
        <w:pStyle w:val="Paragraph"/>
        <w:rPr>
          <w:rFonts w:eastAsia="Calibri"/>
          <w:lang w:val="sq-AL"/>
        </w:rPr>
      </w:pPr>
      <w:r w:rsidRPr="001F1265">
        <w:rPr>
          <w:rFonts w:eastAsia="Calibri"/>
          <w:lang w:val="sq-AL"/>
        </w:rPr>
        <w:t>Dokumenti kryesor strategjik i zhvilluar nga MMPHI është Strategjia e Kosovës për Menaxhimin e Integruar të Mbeturinave 2024-2035 dhe Plani i Veprimit 2024-2026. Ai përcakton objektiva strategjikë, objektiva specifikë, objektiva dhe tregues për menaxhimin e mbet</w:t>
      </w:r>
      <w:r>
        <w:rPr>
          <w:rFonts w:eastAsia="Calibri"/>
          <w:lang w:val="sq-AL"/>
        </w:rPr>
        <w:t>turinave</w:t>
      </w:r>
      <w:r w:rsidRPr="001F1265">
        <w:rPr>
          <w:rFonts w:eastAsia="Calibri"/>
          <w:lang w:val="sq-AL"/>
        </w:rPr>
        <w:t xml:space="preserve"> të </w:t>
      </w:r>
      <w:r>
        <w:rPr>
          <w:rFonts w:eastAsia="Calibri"/>
          <w:lang w:val="sq-AL"/>
        </w:rPr>
        <w:t>fraksioneve</w:t>
      </w:r>
      <w:r w:rsidRPr="001F1265">
        <w:rPr>
          <w:rFonts w:eastAsia="Calibri"/>
          <w:lang w:val="sq-AL"/>
        </w:rPr>
        <w:t xml:space="preserve"> të ndryshme të mbet</w:t>
      </w:r>
      <w:r>
        <w:rPr>
          <w:rFonts w:eastAsia="Calibri"/>
          <w:lang w:val="sq-AL"/>
        </w:rPr>
        <w:t>urinave</w:t>
      </w:r>
      <w:r w:rsidRPr="001F1265">
        <w:rPr>
          <w:rFonts w:eastAsia="Calibri"/>
          <w:lang w:val="sq-AL"/>
        </w:rPr>
        <w:t>. Strategjia synon të çojë përpara përmirësime të mëdha në sektorin e menaxhimit të mbet</w:t>
      </w:r>
      <w:r>
        <w:rPr>
          <w:rFonts w:eastAsia="Calibri"/>
          <w:lang w:val="sq-AL"/>
        </w:rPr>
        <w:t>urinave</w:t>
      </w:r>
      <w:r w:rsidRPr="001F1265">
        <w:rPr>
          <w:rFonts w:eastAsia="Calibri"/>
          <w:lang w:val="sq-AL"/>
        </w:rPr>
        <w:t xml:space="preserve"> duke vendosur dhe realizuar katër objektiva strategjikë.</w:t>
      </w:r>
    </w:p>
    <w:p w14:paraId="64D11095" w14:textId="0BF8FB22" w:rsidR="006911A2" w:rsidRPr="008D2D8C" w:rsidRDefault="006911A2" w:rsidP="006911A2">
      <w:pPr>
        <w:pStyle w:val="Paragraph"/>
        <w:rPr>
          <w:rFonts w:eastAsia="Calibri"/>
          <w:lang w:val="sq-AL"/>
        </w:rPr>
      </w:pPr>
      <w:r w:rsidRPr="001F1265">
        <w:rPr>
          <w:rFonts w:eastAsia="Calibri"/>
          <w:lang w:val="sq-AL"/>
        </w:rPr>
        <w:t>Ndërsa Ligji për Mbet</w:t>
      </w:r>
      <w:r>
        <w:rPr>
          <w:rFonts w:eastAsia="Calibri"/>
          <w:lang w:val="sq-AL"/>
        </w:rPr>
        <w:t>urina</w:t>
      </w:r>
      <w:r w:rsidRPr="001F1265">
        <w:rPr>
          <w:rFonts w:eastAsia="Calibri"/>
          <w:lang w:val="sq-AL"/>
        </w:rPr>
        <w:t xml:space="preserve"> përcakton kornizën për krijimin e një Përgjegjësie të Zgjeruar të Prodhuesit (</w:t>
      </w:r>
      <w:r>
        <w:rPr>
          <w:rFonts w:eastAsia="Calibri"/>
          <w:lang w:val="sq-AL"/>
        </w:rPr>
        <w:t>PZP/</w:t>
      </w:r>
      <w:r w:rsidRPr="001F1265">
        <w:rPr>
          <w:rFonts w:eastAsia="Calibri"/>
          <w:lang w:val="sq-AL"/>
        </w:rPr>
        <w:t>EPR)</w:t>
      </w:r>
      <w:r>
        <w:rPr>
          <w:rStyle w:val="FootnoteReference"/>
          <w:rFonts w:eastAsia="Calibri"/>
          <w:lang w:val="sq-AL"/>
        </w:rPr>
        <w:footnoteReference w:id="9"/>
      </w:r>
      <w:r w:rsidRPr="001F1265">
        <w:rPr>
          <w:rFonts w:eastAsia="Calibri"/>
          <w:lang w:val="sq-AL"/>
        </w:rPr>
        <w:t xml:space="preserve">, </w:t>
      </w:r>
      <w:r>
        <w:rPr>
          <w:rFonts w:eastAsia="Calibri"/>
          <w:lang w:val="sq-AL"/>
        </w:rPr>
        <w:t>SKMIM</w:t>
      </w:r>
      <w:r w:rsidRPr="001F1265">
        <w:rPr>
          <w:rFonts w:eastAsia="Calibri"/>
          <w:lang w:val="sq-AL"/>
        </w:rPr>
        <w:t xml:space="preserve"> identifikon katër produkte/materiale prioritare për të cilat duhet të organizohen skema të ndryshme </w:t>
      </w:r>
      <w:r>
        <w:rPr>
          <w:rFonts w:eastAsia="Calibri"/>
          <w:lang w:val="sq-AL"/>
        </w:rPr>
        <w:t>të PZP-së</w:t>
      </w:r>
      <w:r w:rsidRPr="001F1265">
        <w:rPr>
          <w:rFonts w:eastAsia="Calibri"/>
          <w:lang w:val="sq-AL"/>
        </w:rPr>
        <w:t>. Në Strategji është vendosur një objektiv që deri në vitin 2024, mbet</w:t>
      </w:r>
      <w:r>
        <w:rPr>
          <w:rFonts w:eastAsia="Calibri"/>
          <w:lang w:val="sq-AL"/>
        </w:rPr>
        <w:t>urinat</w:t>
      </w:r>
      <w:r w:rsidRPr="001F1265">
        <w:rPr>
          <w:rFonts w:eastAsia="Calibri"/>
          <w:lang w:val="sq-AL"/>
        </w:rPr>
        <w:t xml:space="preserve"> </w:t>
      </w:r>
      <w:r>
        <w:rPr>
          <w:rFonts w:eastAsia="Calibri"/>
          <w:lang w:val="sq-AL"/>
        </w:rPr>
        <w:t>nga</w:t>
      </w:r>
      <w:r w:rsidRPr="001F1265">
        <w:rPr>
          <w:rFonts w:eastAsia="Calibri"/>
          <w:lang w:val="sq-AL"/>
        </w:rPr>
        <w:t xml:space="preserve"> pajisjeve elektrike dhe elektronike (</w:t>
      </w:r>
      <w:r>
        <w:rPr>
          <w:rFonts w:eastAsia="Calibri"/>
          <w:lang w:val="sq-AL"/>
        </w:rPr>
        <w:t>MPEE</w:t>
      </w:r>
      <w:r w:rsidRPr="001F1265">
        <w:rPr>
          <w:rFonts w:eastAsia="Calibri"/>
          <w:lang w:val="sq-AL"/>
        </w:rPr>
        <w:t xml:space="preserve">), bateritë, automjetet </w:t>
      </w:r>
      <w:r>
        <w:rPr>
          <w:rFonts w:eastAsia="Calibri"/>
          <w:lang w:val="sq-AL"/>
        </w:rPr>
        <w:t>mbeturinë</w:t>
      </w:r>
      <w:r w:rsidRPr="001F1265">
        <w:rPr>
          <w:rFonts w:eastAsia="Calibri"/>
          <w:lang w:val="sq-AL"/>
        </w:rPr>
        <w:t xml:space="preserve"> (</w:t>
      </w:r>
      <w:r>
        <w:rPr>
          <w:rFonts w:eastAsia="Calibri"/>
          <w:lang w:val="sq-AL"/>
        </w:rPr>
        <w:t>AM</w:t>
      </w:r>
      <w:r w:rsidRPr="001F1265">
        <w:rPr>
          <w:rFonts w:eastAsia="Calibri"/>
          <w:lang w:val="sq-AL"/>
        </w:rPr>
        <w:t>) dhe mbet</w:t>
      </w:r>
      <w:r>
        <w:rPr>
          <w:rFonts w:eastAsia="Calibri"/>
          <w:lang w:val="sq-AL"/>
        </w:rPr>
        <w:t>urinat</w:t>
      </w:r>
      <w:r w:rsidRPr="001F1265">
        <w:rPr>
          <w:rFonts w:eastAsia="Calibri"/>
          <w:lang w:val="sq-AL"/>
        </w:rPr>
        <w:t xml:space="preserve"> e vajrave të mbulohen nga skemat </w:t>
      </w:r>
      <w:r>
        <w:rPr>
          <w:rFonts w:eastAsia="Calibri"/>
          <w:lang w:val="sq-AL"/>
        </w:rPr>
        <w:t>PZP</w:t>
      </w:r>
      <w:r w:rsidRPr="001F1265">
        <w:rPr>
          <w:rFonts w:eastAsia="Calibri"/>
          <w:lang w:val="sq-AL"/>
        </w:rPr>
        <w:t>.</w:t>
      </w:r>
    </w:p>
    <w:p w14:paraId="46182DCE" w14:textId="7FAD696D" w:rsidR="006911A2" w:rsidRDefault="006911A2" w:rsidP="00F31D8F">
      <w:pPr>
        <w:pStyle w:val="Paragraph"/>
        <w:spacing w:after="0"/>
        <w:rPr>
          <w:rFonts w:eastAsia="Calibri"/>
          <w:lang w:val="sq-AL"/>
        </w:rPr>
      </w:pPr>
      <w:r w:rsidRPr="001F1265">
        <w:rPr>
          <w:rFonts w:eastAsia="Calibri"/>
          <w:lang w:val="sq-AL"/>
        </w:rPr>
        <w:lastRenderedPageBreak/>
        <w:t>Kosova ka objektiv që të arrijë një pajtueshmëri afatgjat</w:t>
      </w:r>
      <w:r>
        <w:rPr>
          <w:rFonts w:eastAsia="Calibri"/>
          <w:lang w:val="sq-AL"/>
        </w:rPr>
        <w:t>e</w:t>
      </w:r>
      <w:r w:rsidRPr="001F1265">
        <w:rPr>
          <w:rFonts w:eastAsia="Calibri"/>
          <w:lang w:val="sq-AL"/>
        </w:rPr>
        <w:t xml:space="preserve"> me kërkesat e BE-së në sektorin e menaxhimit të mbeturinave. Përkatësisht, objektivat për përgatitjen për ripërdorim dhe riciklim të mbet</w:t>
      </w:r>
      <w:r>
        <w:rPr>
          <w:rFonts w:eastAsia="Calibri"/>
          <w:lang w:val="sq-AL"/>
        </w:rPr>
        <w:t>urinave</w:t>
      </w:r>
      <w:r w:rsidRPr="001F1265">
        <w:rPr>
          <w:rFonts w:eastAsia="Calibri"/>
          <w:lang w:val="sq-AL"/>
        </w:rPr>
        <w:t xml:space="preserve"> komunale, devijimin e deponive dhe objektivat për </w:t>
      </w:r>
      <w:r>
        <w:rPr>
          <w:rFonts w:eastAsia="Calibri"/>
          <w:lang w:val="sq-AL"/>
        </w:rPr>
        <w:t>fraksionet</w:t>
      </w:r>
      <w:r w:rsidRPr="001F1265">
        <w:rPr>
          <w:rFonts w:eastAsia="Calibri"/>
          <w:lang w:val="sq-AL"/>
        </w:rPr>
        <w:t xml:space="preserve"> specifike të mbet</w:t>
      </w:r>
      <w:r>
        <w:rPr>
          <w:rFonts w:eastAsia="Calibri"/>
          <w:lang w:val="sq-AL"/>
        </w:rPr>
        <w:t>urinave</w:t>
      </w:r>
      <w:r w:rsidRPr="001F1265">
        <w:rPr>
          <w:rFonts w:eastAsia="Calibri"/>
          <w:lang w:val="sq-AL"/>
        </w:rPr>
        <w:t xml:space="preserve"> të përcaktuara në </w:t>
      </w:r>
      <w:r>
        <w:rPr>
          <w:rFonts w:eastAsia="Calibri"/>
          <w:lang w:val="sq-AL"/>
        </w:rPr>
        <w:t>SKMIM</w:t>
      </w:r>
      <w:r w:rsidRPr="001F1265">
        <w:rPr>
          <w:rFonts w:eastAsia="Calibri"/>
          <w:lang w:val="sq-AL"/>
        </w:rPr>
        <w:t xml:space="preserve"> janë formuluar në përputhje me Direktivën Kornizë të Mbet</w:t>
      </w:r>
      <w:r>
        <w:rPr>
          <w:rFonts w:eastAsia="Calibri"/>
          <w:lang w:val="sq-AL"/>
        </w:rPr>
        <w:t>urinave.</w:t>
      </w:r>
      <w:r w:rsidR="00F31D8F">
        <w:rPr>
          <w:rFonts w:eastAsia="Calibri"/>
          <w:lang w:val="sq-AL"/>
        </w:rPr>
        <w:t xml:space="preserve"> </w:t>
      </w:r>
      <w:r w:rsidRPr="001F1265">
        <w:rPr>
          <w:rFonts w:eastAsia="Calibri"/>
          <w:lang w:val="sq-AL"/>
        </w:rPr>
        <w:t xml:space="preserve">Objektivat e vendosura në nivel </w:t>
      </w:r>
      <w:r>
        <w:rPr>
          <w:rFonts w:eastAsia="Calibri"/>
          <w:lang w:val="sq-AL"/>
        </w:rPr>
        <w:t>nacional</w:t>
      </w:r>
      <w:r w:rsidRPr="001F1265">
        <w:rPr>
          <w:rFonts w:eastAsia="Calibri"/>
          <w:lang w:val="sq-AL"/>
        </w:rPr>
        <w:t xml:space="preserve"> duhet të transpozohen në planet </w:t>
      </w:r>
      <w:r w:rsidR="00F31D8F">
        <w:rPr>
          <w:rFonts w:eastAsia="Calibri"/>
          <w:lang w:val="sq-AL"/>
        </w:rPr>
        <w:t>ndërkomunale për m</w:t>
      </w:r>
      <w:r w:rsidRPr="001F1265">
        <w:rPr>
          <w:rFonts w:eastAsia="Calibri"/>
          <w:lang w:val="sq-AL"/>
        </w:rPr>
        <w:t>enaxhimi</w:t>
      </w:r>
      <w:r w:rsidR="00F31D8F">
        <w:rPr>
          <w:rFonts w:eastAsia="Calibri"/>
          <w:lang w:val="sq-AL"/>
        </w:rPr>
        <w:t xml:space="preserve">n e </w:t>
      </w:r>
      <w:r w:rsidRPr="001F1265">
        <w:rPr>
          <w:rFonts w:eastAsia="Calibri"/>
          <w:lang w:val="sq-AL"/>
        </w:rPr>
        <w:t>integruar të mbet</w:t>
      </w:r>
      <w:r>
        <w:rPr>
          <w:rFonts w:eastAsia="Calibri"/>
          <w:lang w:val="sq-AL"/>
        </w:rPr>
        <w:t>urinave</w:t>
      </w:r>
      <w:r w:rsidRPr="001F1265">
        <w:rPr>
          <w:rFonts w:eastAsia="Calibri"/>
          <w:lang w:val="sq-AL"/>
        </w:rPr>
        <w:t>. Disa nga objektivat shkojnë përtej afatit kohor të kë</w:t>
      </w:r>
      <w:r>
        <w:rPr>
          <w:rFonts w:eastAsia="Calibri"/>
          <w:lang w:val="sq-AL"/>
        </w:rPr>
        <w:t>tij</w:t>
      </w:r>
      <w:r w:rsidRPr="001F1265">
        <w:rPr>
          <w:rFonts w:eastAsia="Calibri"/>
          <w:lang w:val="sq-AL"/>
        </w:rPr>
        <w:t xml:space="preserve"> </w:t>
      </w:r>
      <w:r>
        <w:rPr>
          <w:rFonts w:eastAsia="Calibri"/>
          <w:lang w:val="sq-AL"/>
        </w:rPr>
        <w:t>PNMIM/</w:t>
      </w:r>
      <w:r w:rsidRPr="001F1265">
        <w:rPr>
          <w:rFonts w:eastAsia="Calibri"/>
          <w:lang w:val="sq-AL"/>
        </w:rPr>
        <w:t xml:space="preserve">IIWMP, por </w:t>
      </w:r>
      <w:r w:rsidR="00F31D8F">
        <w:rPr>
          <w:rFonts w:eastAsia="Calibri"/>
          <w:lang w:val="sq-AL"/>
        </w:rPr>
        <w:t xml:space="preserve">që atë të arrihen </w:t>
      </w:r>
      <w:r w:rsidRPr="001F1265">
        <w:rPr>
          <w:rFonts w:eastAsia="Calibri"/>
          <w:lang w:val="sq-AL"/>
        </w:rPr>
        <w:t>kërko</w:t>
      </w:r>
      <w:r w:rsidR="00F31D8F">
        <w:rPr>
          <w:rFonts w:eastAsia="Calibri"/>
          <w:lang w:val="sq-AL"/>
        </w:rPr>
        <w:t>het</w:t>
      </w:r>
      <w:r w:rsidRPr="001F1265">
        <w:rPr>
          <w:rFonts w:eastAsia="Calibri"/>
          <w:lang w:val="sq-AL"/>
        </w:rPr>
        <w:t xml:space="preserve"> </w:t>
      </w:r>
      <w:r w:rsidR="00F31D8F">
        <w:rPr>
          <w:rFonts w:eastAsia="Calibri"/>
          <w:lang w:val="sq-AL"/>
        </w:rPr>
        <w:t>ndë</w:t>
      </w:r>
      <w:r w:rsidRPr="001F1265">
        <w:rPr>
          <w:rFonts w:eastAsia="Calibri"/>
          <w:lang w:val="sq-AL"/>
        </w:rPr>
        <w:t>marrj</w:t>
      </w:r>
      <w:r w:rsidR="00F31D8F">
        <w:rPr>
          <w:rFonts w:eastAsia="Calibri"/>
          <w:lang w:val="sq-AL"/>
        </w:rPr>
        <w:t>s</w:t>
      </w:r>
      <w:r w:rsidRPr="001F1265">
        <w:rPr>
          <w:rFonts w:eastAsia="Calibri"/>
          <w:lang w:val="sq-AL"/>
        </w:rPr>
        <w:t xml:space="preserve"> e masave në periudhën deri në vitin 2030.</w:t>
      </w:r>
    </w:p>
    <w:p w14:paraId="5665B87E" w14:textId="77777777" w:rsidR="00B1488D" w:rsidRPr="00AF0235" w:rsidRDefault="00B1488D" w:rsidP="00B1488D">
      <w:pPr>
        <w:pStyle w:val="Paragraph"/>
        <w:spacing w:after="0"/>
        <w:rPr>
          <w:rFonts w:eastAsia="Calibri"/>
        </w:rPr>
      </w:pPr>
    </w:p>
    <w:p w14:paraId="41C58D20" w14:textId="345925ED" w:rsidR="00014BCD" w:rsidRDefault="00014BCD" w:rsidP="00B1488D">
      <w:pPr>
        <w:pStyle w:val="Paragraph"/>
        <w:spacing w:after="0"/>
        <w:rPr>
          <w:rFonts w:eastAsia="Calibri"/>
        </w:rPr>
      </w:pPr>
      <w:r w:rsidRPr="004F52BC">
        <w:rPr>
          <w:rFonts w:eastAsia="Calibri"/>
        </w:rPr>
        <w:t xml:space="preserve">Objektivat e menaxhimit të mbeturinave, siç janë identifikuar në </w:t>
      </w:r>
      <w:r w:rsidR="00F31D8F">
        <w:rPr>
          <w:rFonts w:eastAsia="Calibri"/>
        </w:rPr>
        <w:t>SKMIMI</w:t>
      </w:r>
      <w:r w:rsidRPr="004F52BC">
        <w:rPr>
          <w:rFonts w:eastAsia="Calibri"/>
        </w:rPr>
        <w:t>, paraqiten në tabelat më poshtë.</w:t>
      </w:r>
    </w:p>
    <w:p w14:paraId="6586D8A6" w14:textId="77777777" w:rsidR="00B1488D" w:rsidRPr="00AF0235" w:rsidRDefault="00B1488D" w:rsidP="00B1488D">
      <w:pPr>
        <w:pStyle w:val="Paragraph"/>
        <w:spacing w:after="0"/>
        <w:rPr>
          <w:rFonts w:eastAsia="Calibri"/>
          <w:kern w:val="2"/>
          <w14:ligatures w14:val="standardContextual"/>
        </w:rPr>
      </w:pPr>
    </w:p>
    <w:p w14:paraId="3E939467" w14:textId="201A94F8" w:rsidR="00014BCD" w:rsidRPr="007F50ED" w:rsidRDefault="00014BCD" w:rsidP="007F50ED">
      <w:pPr>
        <w:suppressAutoHyphens/>
        <w:rPr>
          <w:rFonts w:ascii="Arial Narrow" w:eastAsia="Calibri" w:hAnsi="Arial Narrow" w:cs="Calibri"/>
          <w:color w:val="1F497D"/>
          <w:sz w:val="20"/>
          <w:szCs w:val="20"/>
        </w:rPr>
      </w:pPr>
      <w:bookmarkStart w:id="63" w:name="_Toc148879374"/>
      <w:bookmarkStart w:id="64" w:name="_Toc149729909"/>
      <w:bookmarkStart w:id="65" w:name="_Toc153872147"/>
      <w:bookmarkStart w:id="66" w:name="_Toc153983545"/>
      <w:bookmarkStart w:id="67" w:name="_Toc197472191"/>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6.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 xml:space="preserve">Përgatitja për </w:t>
      </w:r>
      <w:r w:rsidR="00F31D8F">
        <w:rPr>
          <w:rFonts w:ascii="Arial Narrow" w:eastAsia="Calibri" w:hAnsi="Arial Narrow" w:cs="Calibri"/>
          <w:color w:val="1F497D"/>
          <w:sz w:val="20"/>
          <w:szCs w:val="20"/>
        </w:rPr>
        <w:t xml:space="preserve">objektivat e </w:t>
      </w:r>
      <w:r w:rsidRPr="007F50ED">
        <w:rPr>
          <w:rFonts w:ascii="Arial Narrow" w:eastAsia="Calibri" w:hAnsi="Arial Narrow" w:cs="Calibri"/>
          <w:color w:val="1F497D"/>
          <w:sz w:val="20"/>
          <w:szCs w:val="20"/>
        </w:rPr>
        <w:t>ripërdorim</w:t>
      </w:r>
      <w:r w:rsidR="00F31D8F">
        <w:rPr>
          <w:rFonts w:ascii="Arial Narrow" w:eastAsia="Calibri" w:hAnsi="Arial Narrow" w:cs="Calibri"/>
          <w:color w:val="1F497D"/>
          <w:sz w:val="20"/>
          <w:szCs w:val="20"/>
        </w:rPr>
        <w:t>it</w:t>
      </w:r>
      <w:r w:rsidRPr="007F50ED">
        <w:rPr>
          <w:rFonts w:ascii="Arial Narrow" w:eastAsia="Calibri" w:hAnsi="Arial Narrow" w:cs="Calibri"/>
          <w:color w:val="1F497D"/>
          <w:sz w:val="20"/>
          <w:szCs w:val="20"/>
        </w:rPr>
        <w:t xml:space="preserve"> </w:t>
      </w:r>
      <w:r w:rsidR="00F31D8F">
        <w:rPr>
          <w:rFonts w:ascii="Arial Narrow" w:eastAsia="Calibri" w:hAnsi="Arial Narrow" w:cs="Calibri"/>
          <w:color w:val="1F497D"/>
          <w:sz w:val="20"/>
          <w:szCs w:val="20"/>
        </w:rPr>
        <w:t>dh</w:t>
      </w:r>
      <w:r w:rsidRPr="007F50ED">
        <w:rPr>
          <w:rFonts w:ascii="Arial Narrow" w:eastAsia="Calibri" w:hAnsi="Arial Narrow" w:cs="Calibri"/>
          <w:color w:val="1F497D"/>
          <w:sz w:val="20"/>
          <w:szCs w:val="20"/>
        </w:rPr>
        <w:t>e riciklimit të mbet</w:t>
      </w:r>
      <w:r w:rsidR="00F31D8F">
        <w:rPr>
          <w:rFonts w:ascii="Arial Narrow" w:eastAsia="Calibri" w:hAnsi="Arial Narrow" w:cs="Calibri"/>
          <w:color w:val="1F497D"/>
          <w:sz w:val="20"/>
          <w:szCs w:val="20"/>
        </w:rPr>
        <w:t>urinave</w:t>
      </w:r>
      <w:r w:rsidRPr="007F50ED">
        <w:rPr>
          <w:rFonts w:ascii="Arial Narrow" w:eastAsia="Calibri" w:hAnsi="Arial Narrow" w:cs="Calibri"/>
          <w:color w:val="1F497D"/>
          <w:sz w:val="20"/>
          <w:szCs w:val="20"/>
        </w:rPr>
        <w:t xml:space="preserve"> komunale</w:t>
      </w:r>
      <w:bookmarkEnd w:id="63"/>
      <w:bookmarkEnd w:id="64"/>
      <w:bookmarkEnd w:id="65"/>
      <w:bookmarkEnd w:id="66"/>
      <w:bookmarkEnd w:id="67"/>
    </w:p>
    <w:tbl>
      <w:tblPr>
        <w:tblStyle w:val="TableGrid11"/>
        <w:tblW w:w="5000" w:type="pct"/>
        <w:tblLook w:val="04A0" w:firstRow="1" w:lastRow="0" w:firstColumn="1" w:lastColumn="0" w:noHBand="0" w:noVBand="1"/>
      </w:tblPr>
      <w:tblGrid>
        <w:gridCol w:w="4460"/>
        <w:gridCol w:w="1519"/>
        <w:gridCol w:w="1519"/>
        <w:gridCol w:w="1518"/>
      </w:tblGrid>
      <w:tr w:rsidR="00014BCD" w:rsidRPr="00580B24" w14:paraId="6AD3E8E8" w14:textId="77777777" w:rsidTr="006347D6">
        <w:trPr>
          <w:trHeight w:val="287"/>
        </w:trPr>
        <w:tc>
          <w:tcPr>
            <w:tcW w:w="2473" w:type="pct"/>
            <w:shd w:val="clear" w:color="auto" w:fill="365F91"/>
            <w:hideMark/>
          </w:tcPr>
          <w:p w14:paraId="3EB115A6" w14:textId="678D74F1" w:rsidR="00014BCD" w:rsidRPr="00580B24" w:rsidRDefault="00014BCD" w:rsidP="00580B24">
            <w:pPr>
              <w:rPr>
                <w:rFonts w:ascii="Arial Narrow" w:hAnsi="Arial Narrow"/>
                <w:b/>
                <w:bCs/>
                <w:color w:val="FFFFFF"/>
                <w:sz w:val="20"/>
                <w:szCs w:val="20"/>
              </w:rPr>
            </w:pPr>
            <w:r w:rsidRPr="00580B24">
              <w:rPr>
                <w:rFonts w:ascii="Arial Narrow" w:hAnsi="Arial Narrow"/>
                <w:b/>
                <w:bCs/>
                <w:color w:val="FFFFFF"/>
                <w:sz w:val="20"/>
                <w:szCs w:val="20"/>
              </w:rPr>
              <w:t>Objektiv</w:t>
            </w:r>
            <w:r w:rsidR="00F31D8F">
              <w:rPr>
                <w:rFonts w:ascii="Arial Narrow" w:hAnsi="Arial Narrow"/>
                <w:b/>
                <w:bCs/>
                <w:color w:val="FFFFFF"/>
                <w:sz w:val="20"/>
                <w:szCs w:val="20"/>
              </w:rPr>
              <w:t>i</w:t>
            </w:r>
          </w:p>
        </w:tc>
        <w:tc>
          <w:tcPr>
            <w:tcW w:w="842" w:type="pct"/>
            <w:shd w:val="clear" w:color="auto" w:fill="365F91"/>
            <w:hideMark/>
          </w:tcPr>
          <w:p w14:paraId="2A98602A" w14:textId="77777777" w:rsidR="00014BCD" w:rsidRPr="00580B24" w:rsidRDefault="00014BCD" w:rsidP="00580B24">
            <w:pPr>
              <w:rPr>
                <w:rFonts w:ascii="Arial Narrow" w:hAnsi="Arial Narrow"/>
                <w:b/>
                <w:bCs/>
                <w:color w:val="FFFFFF"/>
                <w:sz w:val="20"/>
                <w:szCs w:val="20"/>
              </w:rPr>
            </w:pPr>
            <w:r w:rsidRPr="00580B24">
              <w:rPr>
                <w:rFonts w:ascii="Arial Narrow" w:hAnsi="Arial Narrow"/>
                <w:b/>
                <w:bCs/>
                <w:color w:val="FFFFFF"/>
                <w:sz w:val="20"/>
                <w:szCs w:val="20"/>
              </w:rPr>
              <w:t>Deri në vitin 2030</w:t>
            </w:r>
          </w:p>
        </w:tc>
        <w:tc>
          <w:tcPr>
            <w:tcW w:w="842" w:type="pct"/>
            <w:shd w:val="clear" w:color="auto" w:fill="365F91"/>
            <w:hideMark/>
          </w:tcPr>
          <w:p w14:paraId="32AE0373" w14:textId="77777777" w:rsidR="00014BCD" w:rsidRPr="00580B24" w:rsidRDefault="00014BCD" w:rsidP="00580B24">
            <w:pPr>
              <w:rPr>
                <w:rFonts w:ascii="Arial Narrow" w:hAnsi="Arial Narrow"/>
                <w:b/>
                <w:bCs/>
                <w:color w:val="FFFFFF"/>
                <w:sz w:val="20"/>
                <w:szCs w:val="20"/>
              </w:rPr>
            </w:pPr>
            <w:r w:rsidRPr="00580B24">
              <w:rPr>
                <w:rFonts w:ascii="Arial Narrow" w:hAnsi="Arial Narrow"/>
                <w:b/>
                <w:bCs/>
                <w:color w:val="FFFFFF"/>
                <w:sz w:val="20"/>
                <w:szCs w:val="20"/>
              </w:rPr>
              <w:t>Deri në vitin 2035</w:t>
            </w:r>
          </w:p>
        </w:tc>
        <w:tc>
          <w:tcPr>
            <w:tcW w:w="842" w:type="pct"/>
            <w:shd w:val="clear" w:color="auto" w:fill="365F91"/>
          </w:tcPr>
          <w:p w14:paraId="58C72499" w14:textId="77777777" w:rsidR="00014BCD" w:rsidRPr="00580B24" w:rsidRDefault="00014BCD" w:rsidP="00580B24">
            <w:pPr>
              <w:rPr>
                <w:rFonts w:ascii="Arial Narrow" w:hAnsi="Arial Narrow"/>
                <w:b/>
                <w:bCs/>
                <w:color w:val="FFFFFF"/>
                <w:sz w:val="20"/>
                <w:szCs w:val="20"/>
              </w:rPr>
            </w:pPr>
            <w:r w:rsidRPr="00580B24">
              <w:rPr>
                <w:rFonts w:ascii="Arial Narrow" w:hAnsi="Arial Narrow"/>
                <w:b/>
                <w:bCs/>
                <w:color w:val="FFFFFF"/>
                <w:sz w:val="20"/>
                <w:szCs w:val="20"/>
              </w:rPr>
              <w:t>Deri në vitin 2045</w:t>
            </w:r>
          </w:p>
        </w:tc>
      </w:tr>
      <w:tr w:rsidR="00014BCD" w:rsidRPr="00580B24" w14:paraId="568ED34B" w14:textId="77777777" w:rsidTr="004A40AC">
        <w:trPr>
          <w:trHeight w:val="377"/>
        </w:trPr>
        <w:tc>
          <w:tcPr>
            <w:tcW w:w="2473" w:type="pct"/>
            <w:hideMark/>
          </w:tcPr>
          <w:p w14:paraId="5E9AF8A0" w14:textId="76C19661" w:rsidR="00014BCD" w:rsidRPr="00580B24" w:rsidRDefault="00F31D8F" w:rsidP="00580B24">
            <w:pPr>
              <w:rPr>
                <w:rFonts w:ascii="Arial Narrow" w:hAnsi="Arial Narrow"/>
                <w:sz w:val="20"/>
                <w:szCs w:val="20"/>
              </w:rPr>
            </w:pPr>
            <w:r w:rsidRPr="00441155">
              <w:rPr>
                <w:rFonts w:ascii="Arial Narrow" w:hAnsi="Arial Narrow"/>
                <w:sz w:val="20"/>
                <w:szCs w:val="20"/>
                <w:lang w:val="sq-AL"/>
              </w:rPr>
              <w:t>Mbet</w:t>
            </w:r>
            <w:r>
              <w:rPr>
                <w:rFonts w:ascii="Arial Narrow" w:hAnsi="Arial Narrow"/>
                <w:sz w:val="20"/>
                <w:szCs w:val="20"/>
                <w:lang w:val="sq-AL"/>
              </w:rPr>
              <w:t>urinat</w:t>
            </w:r>
            <w:r w:rsidRPr="00441155">
              <w:rPr>
                <w:rFonts w:ascii="Arial Narrow" w:hAnsi="Arial Narrow"/>
                <w:sz w:val="20"/>
                <w:szCs w:val="20"/>
                <w:lang w:val="sq-AL"/>
              </w:rPr>
              <w:t xml:space="preserve"> komunale të përgatitura për ripërdorim dhe riciklim</w:t>
            </w:r>
          </w:p>
        </w:tc>
        <w:tc>
          <w:tcPr>
            <w:tcW w:w="842" w:type="pct"/>
            <w:hideMark/>
          </w:tcPr>
          <w:p w14:paraId="7A410523" w14:textId="77777777" w:rsidR="00014BCD" w:rsidRPr="00580B24" w:rsidRDefault="00014BCD" w:rsidP="00580B24">
            <w:pPr>
              <w:rPr>
                <w:rFonts w:ascii="Arial Narrow" w:hAnsi="Arial Narrow"/>
                <w:sz w:val="20"/>
                <w:szCs w:val="20"/>
              </w:rPr>
            </w:pPr>
            <w:r w:rsidRPr="00580B24">
              <w:rPr>
                <w:rFonts w:ascii="Arial Narrow" w:hAnsi="Arial Narrow"/>
                <w:sz w:val="20"/>
                <w:szCs w:val="20"/>
              </w:rPr>
              <w:t>20%</w:t>
            </w:r>
          </w:p>
        </w:tc>
        <w:tc>
          <w:tcPr>
            <w:tcW w:w="842" w:type="pct"/>
            <w:hideMark/>
          </w:tcPr>
          <w:p w14:paraId="2B6F08F3" w14:textId="77777777" w:rsidR="00014BCD" w:rsidRPr="00580B24" w:rsidRDefault="00014BCD" w:rsidP="00580B24">
            <w:pPr>
              <w:rPr>
                <w:rFonts w:ascii="Arial Narrow" w:hAnsi="Arial Narrow"/>
                <w:sz w:val="20"/>
                <w:szCs w:val="20"/>
              </w:rPr>
            </w:pPr>
            <w:r w:rsidRPr="00580B24">
              <w:rPr>
                <w:rFonts w:ascii="Arial Narrow" w:hAnsi="Arial Narrow"/>
                <w:sz w:val="20"/>
                <w:szCs w:val="20"/>
              </w:rPr>
              <w:t>50%</w:t>
            </w:r>
          </w:p>
        </w:tc>
        <w:tc>
          <w:tcPr>
            <w:tcW w:w="842" w:type="pct"/>
          </w:tcPr>
          <w:p w14:paraId="5DB72838" w14:textId="77777777" w:rsidR="00014BCD" w:rsidRPr="00580B24" w:rsidRDefault="00014BCD" w:rsidP="00580B24">
            <w:pPr>
              <w:rPr>
                <w:rFonts w:ascii="Arial Narrow" w:hAnsi="Arial Narrow"/>
                <w:sz w:val="20"/>
                <w:szCs w:val="20"/>
              </w:rPr>
            </w:pPr>
            <w:r w:rsidRPr="00580B24">
              <w:rPr>
                <w:rFonts w:ascii="Arial Narrow" w:hAnsi="Arial Narrow"/>
                <w:sz w:val="20"/>
                <w:szCs w:val="20"/>
              </w:rPr>
              <w:t>60%</w:t>
            </w:r>
          </w:p>
        </w:tc>
      </w:tr>
      <w:tr w:rsidR="00014BCD" w:rsidRPr="00580B24" w14:paraId="79EDAF24" w14:textId="77777777" w:rsidTr="004A40AC">
        <w:trPr>
          <w:trHeight w:val="269"/>
        </w:trPr>
        <w:tc>
          <w:tcPr>
            <w:tcW w:w="2473" w:type="pct"/>
            <w:hideMark/>
          </w:tcPr>
          <w:p w14:paraId="404CD41D" w14:textId="3AAE04FF" w:rsidR="00014BCD" w:rsidRPr="00580B24" w:rsidRDefault="00F31D8F" w:rsidP="00580B24">
            <w:pPr>
              <w:rPr>
                <w:rFonts w:ascii="Arial Narrow" w:hAnsi="Arial Narrow"/>
                <w:sz w:val="20"/>
                <w:szCs w:val="20"/>
              </w:rPr>
            </w:pPr>
            <w:r w:rsidRPr="00441155">
              <w:rPr>
                <w:rFonts w:ascii="Arial Narrow" w:hAnsi="Arial Narrow"/>
                <w:sz w:val="20"/>
                <w:szCs w:val="20"/>
                <w:lang w:val="sq-AL"/>
              </w:rPr>
              <w:t>Deponimi i mbet</w:t>
            </w:r>
            <w:r>
              <w:rPr>
                <w:rFonts w:ascii="Arial Narrow" w:hAnsi="Arial Narrow"/>
                <w:sz w:val="20"/>
                <w:szCs w:val="20"/>
                <w:lang w:val="sq-AL"/>
              </w:rPr>
              <w:t>urinave</w:t>
            </w:r>
            <w:r w:rsidRPr="00441155">
              <w:rPr>
                <w:rFonts w:ascii="Arial Narrow" w:hAnsi="Arial Narrow"/>
                <w:sz w:val="20"/>
                <w:szCs w:val="20"/>
                <w:lang w:val="sq-AL"/>
              </w:rPr>
              <w:t xml:space="preserve"> komunale</w:t>
            </w:r>
          </w:p>
        </w:tc>
        <w:tc>
          <w:tcPr>
            <w:tcW w:w="842" w:type="pct"/>
            <w:hideMark/>
          </w:tcPr>
          <w:p w14:paraId="5E723DA4" w14:textId="77777777" w:rsidR="00014BCD" w:rsidRPr="00580B24" w:rsidRDefault="00014BCD" w:rsidP="00580B24">
            <w:pPr>
              <w:rPr>
                <w:rFonts w:ascii="Arial Narrow" w:hAnsi="Arial Narrow"/>
                <w:sz w:val="20"/>
                <w:szCs w:val="20"/>
              </w:rPr>
            </w:pPr>
            <w:r w:rsidRPr="00580B24">
              <w:rPr>
                <w:rFonts w:ascii="Arial Narrow" w:hAnsi="Arial Narrow"/>
                <w:sz w:val="20"/>
                <w:szCs w:val="20"/>
              </w:rPr>
              <w:t> </w:t>
            </w:r>
          </w:p>
        </w:tc>
        <w:tc>
          <w:tcPr>
            <w:tcW w:w="842" w:type="pct"/>
            <w:hideMark/>
          </w:tcPr>
          <w:p w14:paraId="5FB3A600" w14:textId="77777777" w:rsidR="00014BCD" w:rsidRPr="00580B24" w:rsidRDefault="00014BCD" w:rsidP="00580B24">
            <w:pPr>
              <w:rPr>
                <w:rFonts w:ascii="Arial Narrow" w:hAnsi="Arial Narrow"/>
                <w:sz w:val="20"/>
                <w:szCs w:val="20"/>
              </w:rPr>
            </w:pPr>
            <w:r w:rsidRPr="00580B24">
              <w:rPr>
                <w:rFonts w:ascii="Arial Narrow" w:hAnsi="Arial Narrow"/>
                <w:sz w:val="20"/>
                <w:szCs w:val="20"/>
              </w:rPr>
              <w:t>&lt; 30%</w:t>
            </w:r>
          </w:p>
        </w:tc>
        <w:tc>
          <w:tcPr>
            <w:tcW w:w="842" w:type="pct"/>
          </w:tcPr>
          <w:p w14:paraId="09F43DA6" w14:textId="77777777" w:rsidR="00014BCD" w:rsidRPr="00580B24" w:rsidRDefault="00014BCD" w:rsidP="00580B24">
            <w:pPr>
              <w:rPr>
                <w:rFonts w:ascii="Arial Narrow" w:hAnsi="Arial Narrow"/>
                <w:sz w:val="20"/>
                <w:szCs w:val="20"/>
              </w:rPr>
            </w:pPr>
            <w:r w:rsidRPr="00580B24">
              <w:rPr>
                <w:rFonts w:ascii="Arial Narrow" w:hAnsi="Arial Narrow"/>
                <w:sz w:val="20"/>
                <w:szCs w:val="20"/>
              </w:rPr>
              <w:t>&lt; 10%</w:t>
            </w:r>
          </w:p>
        </w:tc>
      </w:tr>
      <w:tr w:rsidR="00014BCD" w:rsidRPr="00580B24" w14:paraId="7458C8ED" w14:textId="77777777" w:rsidTr="004A40AC">
        <w:trPr>
          <w:trHeight w:val="350"/>
        </w:trPr>
        <w:tc>
          <w:tcPr>
            <w:tcW w:w="2473" w:type="pct"/>
            <w:hideMark/>
          </w:tcPr>
          <w:p w14:paraId="2E64EDDE" w14:textId="49572598" w:rsidR="00014BCD" w:rsidRPr="00580B24" w:rsidRDefault="00F31D8F" w:rsidP="00580B24">
            <w:pPr>
              <w:rPr>
                <w:rFonts w:ascii="Arial Narrow" w:hAnsi="Arial Narrow"/>
                <w:sz w:val="20"/>
                <w:szCs w:val="20"/>
              </w:rPr>
            </w:pPr>
            <w:r w:rsidRPr="00441155">
              <w:rPr>
                <w:rFonts w:ascii="Arial Narrow" w:hAnsi="Arial Narrow"/>
                <w:sz w:val="20"/>
                <w:szCs w:val="20"/>
                <w:lang w:val="sq-AL"/>
              </w:rPr>
              <w:t>Popull</w:t>
            </w:r>
            <w:r>
              <w:rPr>
                <w:rFonts w:ascii="Arial Narrow" w:hAnsi="Arial Narrow"/>
                <w:sz w:val="20"/>
                <w:szCs w:val="20"/>
                <w:lang w:val="sq-AL"/>
              </w:rPr>
              <w:t>ata</w:t>
            </w:r>
            <w:r w:rsidRPr="00441155">
              <w:rPr>
                <w:rFonts w:ascii="Arial Narrow" w:hAnsi="Arial Narrow"/>
                <w:sz w:val="20"/>
                <w:szCs w:val="20"/>
                <w:lang w:val="sq-AL"/>
              </w:rPr>
              <w:t xml:space="preserve"> pajiset me shërbime të veçanta të grumbullimit të mbet</w:t>
            </w:r>
            <w:r>
              <w:rPr>
                <w:rFonts w:ascii="Arial Narrow" w:hAnsi="Arial Narrow"/>
                <w:sz w:val="20"/>
                <w:szCs w:val="20"/>
                <w:lang w:val="sq-AL"/>
              </w:rPr>
              <w:t>urinave</w:t>
            </w:r>
          </w:p>
        </w:tc>
        <w:tc>
          <w:tcPr>
            <w:tcW w:w="842" w:type="pct"/>
            <w:hideMark/>
          </w:tcPr>
          <w:p w14:paraId="710625CD" w14:textId="77777777" w:rsidR="00014BCD" w:rsidRPr="00580B24" w:rsidRDefault="00014BCD" w:rsidP="00580B24">
            <w:pPr>
              <w:rPr>
                <w:rFonts w:ascii="Arial Narrow" w:hAnsi="Arial Narrow"/>
                <w:sz w:val="20"/>
                <w:szCs w:val="20"/>
              </w:rPr>
            </w:pPr>
            <w:r w:rsidRPr="00580B24">
              <w:rPr>
                <w:rFonts w:ascii="Arial Narrow" w:hAnsi="Arial Narrow"/>
                <w:sz w:val="20"/>
                <w:szCs w:val="20"/>
              </w:rPr>
              <w:t>80%</w:t>
            </w:r>
          </w:p>
        </w:tc>
        <w:tc>
          <w:tcPr>
            <w:tcW w:w="842" w:type="pct"/>
            <w:hideMark/>
          </w:tcPr>
          <w:p w14:paraId="13E5269B" w14:textId="77777777" w:rsidR="00014BCD" w:rsidRPr="00580B24" w:rsidRDefault="00014BCD" w:rsidP="00580B24">
            <w:pPr>
              <w:rPr>
                <w:rFonts w:ascii="Arial Narrow" w:hAnsi="Arial Narrow"/>
                <w:sz w:val="20"/>
                <w:szCs w:val="20"/>
              </w:rPr>
            </w:pPr>
            <w:r w:rsidRPr="00580B24">
              <w:rPr>
                <w:rFonts w:ascii="Arial Narrow" w:hAnsi="Arial Narrow"/>
                <w:sz w:val="20"/>
                <w:szCs w:val="20"/>
              </w:rPr>
              <w:t>90%</w:t>
            </w:r>
          </w:p>
        </w:tc>
        <w:tc>
          <w:tcPr>
            <w:tcW w:w="842" w:type="pct"/>
          </w:tcPr>
          <w:p w14:paraId="5906C8F8" w14:textId="77777777" w:rsidR="00014BCD" w:rsidRPr="00580B24" w:rsidRDefault="00014BCD" w:rsidP="00580B24">
            <w:pPr>
              <w:rPr>
                <w:rFonts w:ascii="Arial Narrow" w:hAnsi="Arial Narrow"/>
                <w:sz w:val="20"/>
                <w:szCs w:val="20"/>
              </w:rPr>
            </w:pPr>
            <w:r w:rsidRPr="00580B24">
              <w:rPr>
                <w:rFonts w:ascii="Arial Narrow" w:hAnsi="Arial Narrow"/>
                <w:sz w:val="20"/>
                <w:szCs w:val="20"/>
              </w:rPr>
              <w:t>100%</w:t>
            </w:r>
          </w:p>
        </w:tc>
      </w:tr>
    </w:tbl>
    <w:p w14:paraId="09E1D879" w14:textId="77777777" w:rsidR="007F50ED" w:rsidRDefault="007F50ED" w:rsidP="007F50ED">
      <w:pPr>
        <w:suppressAutoHyphens/>
        <w:rPr>
          <w:rFonts w:ascii="Arial Narrow" w:eastAsia="Calibri" w:hAnsi="Arial Narrow" w:cs="Calibri"/>
          <w:color w:val="1F497D"/>
          <w:sz w:val="20"/>
          <w:szCs w:val="20"/>
        </w:rPr>
      </w:pPr>
      <w:bookmarkStart w:id="68" w:name="_Toc148879375"/>
      <w:bookmarkStart w:id="69" w:name="_Toc149729910"/>
      <w:bookmarkStart w:id="70" w:name="_Toc153872148"/>
      <w:bookmarkStart w:id="71" w:name="_Toc153983546"/>
    </w:p>
    <w:p w14:paraId="4D26124A" w14:textId="28BFB8FA" w:rsidR="00014BCD" w:rsidRPr="007F50ED" w:rsidRDefault="00014BCD" w:rsidP="007F50ED">
      <w:pPr>
        <w:suppressAutoHyphens/>
        <w:rPr>
          <w:rFonts w:ascii="Arial Narrow" w:eastAsia="Calibri" w:hAnsi="Arial Narrow" w:cs="Calibri"/>
          <w:color w:val="1F497D"/>
          <w:sz w:val="20"/>
          <w:szCs w:val="20"/>
        </w:rPr>
      </w:pPr>
      <w:bookmarkStart w:id="72" w:name="_Toc197472192"/>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7.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 xml:space="preserve">Objektivat për </w:t>
      </w:r>
      <w:r w:rsidR="00F31D8F">
        <w:rPr>
          <w:rFonts w:ascii="Arial Narrow" w:eastAsia="Calibri" w:hAnsi="Arial Narrow" w:cs="Calibri"/>
          <w:color w:val="1F497D"/>
          <w:sz w:val="20"/>
          <w:szCs w:val="20"/>
        </w:rPr>
        <w:t>fraksionet e veçanta të mbeturinave</w:t>
      </w:r>
      <w:bookmarkEnd w:id="68"/>
      <w:bookmarkEnd w:id="69"/>
      <w:bookmarkEnd w:id="70"/>
      <w:bookmarkEnd w:id="71"/>
      <w:bookmarkEnd w:id="72"/>
    </w:p>
    <w:tbl>
      <w:tblPr>
        <w:tblStyle w:val="TableGrid11"/>
        <w:tblW w:w="5000" w:type="pct"/>
        <w:tblLook w:val="04A0" w:firstRow="1" w:lastRow="0" w:firstColumn="1" w:lastColumn="0" w:noHBand="0" w:noVBand="1"/>
      </w:tblPr>
      <w:tblGrid>
        <w:gridCol w:w="4460"/>
        <w:gridCol w:w="1519"/>
        <w:gridCol w:w="1519"/>
        <w:gridCol w:w="1518"/>
      </w:tblGrid>
      <w:tr w:rsidR="00014BCD" w:rsidRPr="00580B24" w14:paraId="41DDB529" w14:textId="77777777" w:rsidTr="006347D6">
        <w:trPr>
          <w:trHeight w:val="368"/>
          <w:tblHeader/>
        </w:trPr>
        <w:tc>
          <w:tcPr>
            <w:tcW w:w="2473" w:type="pct"/>
            <w:shd w:val="clear" w:color="auto" w:fill="365F91"/>
            <w:hideMark/>
          </w:tcPr>
          <w:p w14:paraId="48986D9C" w14:textId="5826DA89" w:rsidR="00014BCD" w:rsidRPr="00580B24" w:rsidRDefault="00014BCD" w:rsidP="00580B24">
            <w:pPr>
              <w:rPr>
                <w:rFonts w:ascii="Arial Narrow" w:hAnsi="Arial Narrow"/>
                <w:color w:val="FFFFFF"/>
                <w:sz w:val="20"/>
                <w:szCs w:val="20"/>
              </w:rPr>
            </w:pPr>
            <w:r w:rsidRPr="00580B24">
              <w:rPr>
                <w:rFonts w:ascii="Arial Narrow" w:hAnsi="Arial Narrow"/>
                <w:color w:val="FFFFFF"/>
                <w:sz w:val="20"/>
                <w:szCs w:val="20"/>
              </w:rPr>
              <w:t>Lloji i mbetj</w:t>
            </w:r>
            <w:r w:rsidR="00A87A0D">
              <w:rPr>
                <w:rFonts w:ascii="Arial Narrow" w:hAnsi="Arial Narrow"/>
                <w:color w:val="FFFFFF"/>
                <w:sz w:val="20"/>
                <w:szCs w:val="20"/>
              </w:rPr>
              <w:t>urinave të ambalazhit</w:t>
            </w:r>
          </w:p>
        </w:tc>
        <w:tc>
          <w:tcPr>
            <w:tcW w:w="842" w:type="pct"/>
            <w:shd w:val="clear" w:color="auto" w:fill="365F91"/>
          </w:tcPr>
          <w:p w14:paraId="1AB1D383" w14:textId="77777777" w:rsidR="00014BCD" w:rsidRPr="00580B24" w:rsidRDefault="00014BCD" w:rsidP="00580B24">
            <w:pPr>
              <w:jc w:val="center"/>
              <w:rPr>
                <w:rFonts w:ascii="Arial Narrow" w:hAnsi="Arial Narrow"/>
                <w:color w:val="FFFFFF"/>
                <w:sz w:val="20"/>
                <w:szCs w:val="20"/>
              </w:rPr>
            </w:pPr>
            <w:r w:rsidRPr="00580B24">
              <w:rPr>
                <w:rFonts w:ascii="Arial Narrow" w:hAnsi="Arial Narrow"/>
                <w:color w:val="FFFFFF"/>
                <w:sz w:val="20"/>
                <w:szCs w:val="20"/>
              </w:rPr>
              <w:t>Deri në vitin 2028</w:t>
            </w:r>
          </w:p>
        </w:tc>
        <w:tc>
          <w:tcPr>
            <w:tcW w:w="842" w:type="pct"/>
            <w:shd w:val="clear" w:color="auto" w:fill="365F91"/>
            <w:hideMark/>
          </w:tcPr>
          <w:p w14:paraId="330C1A43" w14:textId="77777777" w:rsidR="00014BCD" w:rsidRPr="00580B24" w:rsidRDefault="00014BCD" w:rsidP="00580B24">
            <w:pPr>
              <w:jc w:val="center"/>
              <w:rPr>
                <w:rFonts w:ascii="Arial Narrow" w:hAnsi="Arial Narrow"/>
                <w:color w:val="FFFFFF"/>
                <w:sz w:val="20"/>
                <w:szCs w:val="20"/>
              </w:rPr>
            </w:pPr>
            <w:r w:rsidRPr="00580B24">
              <w:rPr>
                <w:rFonts w:ascii="Arial Narrow" w:hAnsi="Arial Narrow"/>
                <w:color w:val="FFFFFF"/>
                <w:sz w:val="20"/>
                <w:szCs w:val="20"/>
              </w:rPr>
              <w:t>Deri në vitin 2030</w:t>
            </w:r>
          </w:p>
        </w:tc>
        <w:tc>
          <w:tcPr>
            <w:tcW w:w="842" w:type="pct"/>
            <w:shd w:val="clear" w:color="auto" w:fill="365F91"/>
            <w:hideMark/>
          </w:tcPr>
          <w:p w14:paraId="725855BA" w14:textId="77777777" w:rsidR="00014BCD" w:rsidRPr="00580B24" w:rsidRDefault="00014BCD" w:rsidP="00580B24">
            <w:pPr>
              <w:jc w:val="center"/>
              <w:rPr>
                <w:rFonts w:ascii="Arial Narrow" w:hAnsi="Arial Narrow"/>
                <w:color w:val="FFFFFF"/>
                <w:sz w:val="20"/>
                <w:szCs w:val="20"/>
              </w:rPr>
            </w:pPr>
            <w:r w:rsidRPr="00580B24">
              <w:rPr>
                <w:rFonts w:ascii="Arial Narrow" w:hAnsi="Arial Narrow"/>
                <w:color w:val="FFFFFF"/>
                <w:sz w:val="20"/>
                <w:szCs w:val="20"/>
              </w:rPr>
              <w:t>Deri në vitin 2035</w:t>
            </w:r>
          </w:p>
        </w:tc>
      </w:tr>
      <w:tr w:rsidR="00A87A0D" w:rsidRPr="00580B24" w14:paraId="046F2599" w14:textId="77777777" w:rsidTr="00014BCD">
        <w:trPr>
          <w:trHeight w:val="197"/>
        </w:trPr>
        <w:tc>
          <w:tcPr>
            <w:tcW w:w="2473" w:type="pct"/>
          </w:tcPr>
          <w:p w14:paraId="717BB1A5" w14:textId="5F1B7868" w:rsidR="00A87A0D" w:rsidRPr="00580B24" w:rsidRDefault="00A87A0D" w:rsidP="00A87A0D">
            <w:pPr>
              <w:rPr>
                <w:rFonts w:ascii="Arial Narrow" w:hAnsi="Arial Narrow"/>
                <w:sz w:val="20"/>
                <w:szCs w:val="20"/>
              </w:rPr>
            </w:pPr>
            <w:r w:rsidRPr="008C3F3A">
              <w:rPr>
                <w:rFonts w:ascii="Arial Narrow" w:hAnsi="Arial Narrow"/>
                <w:sz w:val="20"/>
                <w:szCs w:val="20"/>
                <w:lang w:val="sq-AL"/>
              </w:rPr>
              <w:t>Rikuperimi i të gjitha mbetj</w:t>
            </w:r>
            <w:r>
              <w:rPr>
                <w:rFonts w:ascii="Arial Narrow" w:hAnsi="Arial Narrow"/>
                <w:sz w:val="20"/>
                <w:szCs w:val="20"/>
                <w:lang w:val="sq-AL"/>
              </w:rPr>
              <w:t>urinave të ambalazhit</w:t>
            </w:r>
          </w:p>
        </w:tc>
        <w:tc>
          <w:tcPr>
            <w:tcW w:w="842" w:type="pct"/>
          </w:tcPr>
          <w:p w14:paraId="315AF949"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45%</w:t>
            </w:r>
          </w:p>
        </w:tc>
        <w:tc>
          <w:tcPr>
            <w:tcW w:w="842" w:type="pct"/>
          </w:tcPr>
          <w:p w14:paraId="0A1A2031"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60%</w:t>
            </w:r>
          </w:p>
        </w:tc>
        <w:tc>
          <w:tcPr>
            <w:tcW w:w="842" w:type="pct"/>
          </w:tcPr>
          <w:p w14:paraId="2751B3E5"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70%</w:t>
            </w:r>
          </w:p>
        </w:tc>
      </w:tr>
      <w:tr w:rsidR="00A87A0D" w:rsidRPr="00580B24" w14:paraId="382BC3F1" w14:textId="77777777" w:rsidTr="00014BCD">
        <w:trPr>
          <w:trHeight w:val="134"/>
        </w:trPr>
        <w:tc>
          <w:tcPr>
            <w:tcW w:w="2473" w:type="pct"/>
            <w:hideMark/>
          </w:tcPr>
          <w:p w14:paraId="3702040C" w14:textId="2B6975EC" w:rsidR="00A87A0D" w:rsidRPr="00580B24" w:rsidRDefault="00A87A0D" w:rsidP="00A87A0D">
            <w:pPr>
              <w:rPr>
                <w:rFonts w:ascii="Arial Narrow" w:hAnsi="Arial Narrow"/>
                <w:sz w:val="20"/>
                <w:szCs w:val="20"/>
              </w:rPr>
            </w:pPr>
            <w:r w:rsidRPr="008C3F3A">
              <w:rPr>
                <w:rFonts w:ascii="Arial Narrow" w:hAnsi="Arial Narrow"/>
                <w:sz w:val="20"/>
                <w:szCs w:val="20"/>
                <w:lang w:val="sq-AL"/>
              </w:rPr>
              <w:t>Riciklimi i të gjitha mbet</w:t>
            </w:r>
            <w:r>
              <w:rPr>
                <w:rFonts w:ascii="Arial Narrow" w:hAnsi="Arial Narrow"/>
                <w:sz w:val="20"/>
                <w:szCs w:val="20"/>
                <w:lang w:val="sq-AL"/>
              </w:rPr>
              <w:t>urinave të ambalazhit</w:t>
            </w:r>
            <w:r w:rsidRPr="008C3F3A">
              <w:rPr>
                <w:rFonts w:ascii="Arial Narrow" w:hAnsi="Arial Narrow"/>
                <w:sz w:val="20"/>
                <w:szCs w:val="20"/>
                <w:lang w:val="sq-AL"/>
              </w:rPr>
              <w:t>, duke përfshirë</w:t>
            </w:r>
          </w:p>
        </w:tc>
        <w:tc>
          <w:tcPr>
            <w:tcW w:w="842" w:type="pct"/>
          </w:tcPr>
          <w:p w14:paraId="6362134E"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40%</w:t>
            </w:r>
          </w:p>
        </w:tc>
        <w:tc>
          <w:tcPr>
            <w:tcW w:w="842" w:type="pct"/>
          </w:tcPr>
          <w:p w14:paraId="448B7419"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55%</w:t>
            </w:r>
          </w:p>
        </w:tc>
        <w:tc>
          <w:tcPr>
            <w:tcW w:w="842" w:type="pct"/>
            <w:hideMark/>
          </w:tcPr>
          <w:p w14:paraId="34F1B7FA"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65%</w:t>
            </w:r>
          </w:p>
        </w:tc>
      </w:tr>
      <w:tr w:rsidR="00A87A0D" w:rsidRPr="00580B24" w14:paraId="3FA32965" w14:textId="77777777" w:rsidTr="00014BCD">
        <w:trPr>
          <w:trHeight w:val="80"/>
        </w:trPr>
        <w:tc>
          <w:tcPr>
            <w:tcW w:w="2473" w:type="pct"/>
            <w:hideMark/>
          </w:tcPr>
          <w:p w14:paraId="0208D164" w14:textId="5FCDD345" w:rsidR="00A87A0D" w:rsidRPr="00580B24" w:rsidRDefault="00A87A0D" w:rsidP="00A87A0D">
            <w:pPr>
              <w:jc w:val="right"/>
              <w:rPr>
                <w:rFonts w:ascii="Arial Narrow" w:hAnsi="Arial Narrow"/>
                <w:sz w:val="20"/>
                <w:szCs w:val="20"/>
              </w:rPr>
            </w:pPr>
            <w:r>
              <w:rPr>
                <w:rFonts w:ascii="Arial Narrow" w:hAnsi="Arial Narrow"/>
                <w:sz w:val="20"/>
                <w:szCs w:val="20"/>
                <w:lang w:val="sq-AL"/>
              </w:rPr>
              <w:t>Plastikë</w:t>
            </w:r>
            <w:r w:rsidRPr="008D2D8C">
              <w:rPr>
                <w:rFonts w:ascii="Arial Narrow" w:hAnsi="Arial Narrow"/>
                <w:sz w:val="20"/>
                <w:szCs w:val="20"/>
                <w:lang w:val="sq-AL"/>
              </w:rPr>
              <w:t xml:space="preserve">    </w:t>
            </w:r>
          </w:p>
        </w:tc>
        <w:tc>
          <w:tcPr>
            <w:tcW w:w="842" w:type="pct"/>
          </w:tcPr>
          <w:p w14:paraId="27559ED4"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22.5%</w:t>
            </w:r>
          </w:p>
        </w:tc>
        <w:tc>
          <w:tcPr>
            <w:tcW w:w="842" w:type="pct"/>
          </w:tcPr>
          <w:p w14:paraId="1ABAF905"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30%</w:t>
            </w:r>
          </w:p>
        </w:tc>
        <w:tc>
          <w:tcPr>
            <w:tcW w:w="842" w:type="pct"/>
            <w:hideMark/>
          </w:tcPr>
          <w:p w14:paraId="11F002AC"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50%</w:t>
            </w:r>
          </w:p>
        </w:tc>
      </w:tr>
      <w:tr w:rsidR="00A87A0D" w:rsidRPr="00580B24" w14:paraId="087CDDF1" w14:textId="77777777" w:rsidTr="00014BCD">
        <w:trPr>
          <w:trHeight w:val="107"/>
        </w:trPr>
        <w:tc>
          <w:tcPr>
            <w:tcW w:w="2473" w:type="pct"/>
            <w:hideMark/>
          </w:tcPr>
          <w:p w14:paraId="7177E845" w14:textId="02CC5B07" w:rsidR="00A87A0D" w:rsidRPr="00580B24" w:rsidRDefault="00A87A0D" w:rsidP="00A87A0D">
            <w:pPr>
              <w:jc w:val="right"/>
              <w:rPr>
                <w:rFonts w:ascii="Arial Narrow" w:hAnsi="Arial Narrow"/>
                <w:sz w:val="20"/>
                <w:szCs w:val="20"/>
              </w:rPr>
            </w:pPr>
            <w:r>
              <w:rPr>
                <w:rFonts w:ascii="Arial Narrow" w:hAnsi="Arial Narrow"/>
                <w:sz w:val="20"/>
                <w:szCs w:val="20"/>
                <w:lang w:val="sq-AL"/>
              </w:rPr>
              <w:t>Letër dhe karton</w:t>
            </w:r>
            <w:r w:rsidRPr="008D2D8C">
              <w:rPr>
                <w:rFonts w:ascii="Arial Narrow" w:hAnsi="Arial Narrow"/>
                <w:sz w:val="20"/>
                <w:szCs w:val="20"/>
                <w:lang w:val="sq-AL"/>
              </w:rPr>
              <w:t xml:space="preserve">  </w:t>
            </w:r>
          </w:p>
        </w:tc>
        <w:tc>
          <w:tcPr>
            <w:tcW w:w="842" w:type="pct"/>
          </w:tcPr>
          <w:p w14:paraId="2016A471"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60%</w:t>
            </w:r>
          </w:p>
        </w:tc>
        <w:tc>
          <w:tcPr>
            <w:tcW w:w="842" w:type="pct"/>
          </w:tcPr>
          <w:p w14:paraId="1FAF42D1"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70%</w:t>
            </w:r>
          </w:p>
        </w:tc>
        <w:tc>
          <w:tcPr>
            <w:tcW w:w="842" w:type="pct"/>
            <w:hideMark/>
          </w:tcPr>
          <w:p w14:paraId="21A31582"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75%</w:t>
            </w:r>
          </w:p>
        </w:tc>
      </w:tr>
      <w:tr w:rsidR="00A87A0D" w:rsidRPr="00580B24" w14:paraId="7DB3D69B" w14:textId="77777777" w:rsidTr="00014BCD">
        <w:trPr>
          <w:trHeight w:val="224"/>
        </w:trPr>
        <w:tc>
          <w:tcPr>
            <w:tcW w:w="2473" w:type="pct"/>
            <w:hideMark/>
          </w:tcPr>
          <w:p w14:paraId="395B257E" w14:textId="714E378E" w:rsidR="00A87A0D" w:rsidRPr="00580B24" w:rsidRDefault="00A87A0D" w:rsidP="00A87A0D">
            <w:pPr>
              <w:jc w:val="right"/>
              <w:rPr>
                <w:rFonts w:ascii="Arial Narrow" w:hAnsi="Arial Narrow"/>
                <w:sz w:val="20"/>
                <w:szCs w:val="20"/>
              </w:rPr>
            </w:pPr>
            <w:r>
              <w:rPr>
                <w:rFonts w:ascii="Arial Narrow" w:hAnsi="Arial Narrow"/>
                <w:sz w:val="20"/>
                <w:szCs w:val="20"/>
                <w:lang w:val="sq-AL"/>
              </w:rPr>
              <w:t>Xham</w:t>
            </w:r>
            <w:r w:rsidRPr="008D2D8C">
              <w:rPr>
                <w:rFonts w:ascii="Arial Narrow" w:hAnsi="Arial Narrow"/>
                <w:sz w:val="20"/>
                <w:szCs w:val="20"/>
                <w:lang w:val="sq-AL"/>
              </w:rPr>
              <w:t xml:space="preserve"> </w:t>
            </w:r>
          </w:p>
        </w:tc>
        <w:tc>
          <w:tcPr>
            <w:tcW w:w="842" w:type="pct"/>
          </w:tcPr>
          <w:p w14:paraId="78BA1C6D"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30%</w:t>
            </w:r>
          </w:p>
        </w:tc>
        <w:tc>
          <w:tcPr>
            <w:tcW w:w="842" w:type="pct"/>
          </w:tcPr>
          <w:p w14:paraId="16E170A5"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50%</w:t>
            </w:r>
          </w:p>
        </w:tc>
        <w:tc>
          <w:tcPr>
            <w:tcW w:w="842" w:type="pct"/>
            <w:hideMark/>
          </w:tcPr>
          <w:p w14:paraId="61AB24E9"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70%</w:t>
            </w:r>
          </w:p>
        </w:tc>
      </w:tr>
      <w:tr w:rsidR="00A87A0D" w:rsidRPr="00580B24" w14:paraId="4FB7811B" w14:textId="77777777" w:rsidTr="00014BCD">
        <w:trPr>
          <w:trHeight w:val="170"/>
        </w:trPr>
        <w:tc>
          <w:tcPr>
            <w:tcW w:w="2473" w:type="pct"/>
            <w:hideMark/>
          </w:tcPr>
          <w:p w14:paraId="773D01F3" w14:textId="4A4CDB37" w:rsidR="00A87A0D" w:rsidRPr="00580B24" w:rsidRDefault="00A87A0D" w:rsidP="00A87A0D">
            <w:pPr>
              <w:jc w:val="right"/>
              <w:rPr>
                <w:rFonts w:ascii="Arial Narrow" w:hAnsi="Arial Narrow"/>
                <w:sz w:val="20"/>
                <w:szCs w:val="20"/>
              </w:rPr>
            </w:pPr>
            <w:r w:rsidRPr="008C3F3A">
              <w:rPr>
                <w:rFonts w:ascii="Arial Narrow" w:hAnsi="Arial Narrow"/>
                <w:sz w:val="20"/>
                <w:szCs w:val="20"/>
                <w:lang w:val="sq-AL"/>
              </w:rPr>
              <w:t>Metalet me ngjyra</w:t>
            </w:r>
          </w:p>
        </w:tc>
        <w:tc>
          <w:tcPr>
            <w:tcW w:w="842" w:type="pct"/>
          </w:tcPr>
          <w:p w14:paraId="7A80BB0A"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30%</w:t>
            </w:r>
          </w:p>
        </w:tc>
        <w:tc>
          <w:tcPr>
            <w:tcW w:w="842" w:type="pct"/>
          </w:tcPr>
          <w:p w14:paraId="379460E6"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50%</w:t>
            </w:r>
          </w:p>
        </w:tc>
        <w:tc>
          <w:tcPr>
            <w:tcW w:w="842" w:type="pct"/>
            <w:hideMark/>
          </w:tcPr>
          <w:p w14:paraId="5256318B"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70%</w:t>
            </w:r>
          </w:p>
        </w:tc>
      </w:tr>
      <w:tr w:rsidR="00A87A0D" w:rsidRPr="00580B24" w14:paraId="5A026B6B" w14:textId="77777777" w:rsidTr="00014BCD">
        <w:trPr>
          <w:trHeight w:val="46"/>
        </w:trPr>
        <w:tc>
          <w:tcPr>
            <w:tcW w:w="2473" w:type="pct"/>
            <w:hideMark/>
          </w:tcPr>
          <w:p w14:paraId="4DE0B9F5" w14:textId="0F6E53A0" w:rsidR="00A87A0D" w:rsidRPr="00580B24" w:rsidRDefault="00A87A0D" w:rsidP="00A87A0D">
            <w:pPr>
              <w:jc w:val="right"/>
              <w:rPr>
                <w:rFonts w:ascii="Arial Narrow" w:hAnsi="Arial Narrow"/>
                <w:sz w:val="20"/>
                <w:szCs w:val="20"/>
              </w:rPr>
            </w:pPr>
            <w:r>
              <w:rPr>
                <w:rFonts w:ascii="Arial Narrow" w:hAnsi="Arial Narrow"/>
                <w:sz w:val="20"/>
                <w:szCs w:val="20"/>
                <w:lang w:val="sq-AL"/>
              </w:rPr>
              <w:t>Alumin</w:t>
            </w:r>
          </w:p>
        </w:tc>
        <w:tc>
          <w:tcPr>
            <w:tcW w:w="842" w:type="pct"/>
          </w:tcPr>
          <w:p w14:paraId="414ABAFB"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30%</w:t>
            </w:r>
          </w:p>
        </w:tc>
        <w:tc>
          <w:tcPr>
            <w:tcW w:w="842" w:type="pct"/>
          </w:tcPr>
          <w:p w14:paraId="6AF3F3E4"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40%</w:t>
            </w:r>
          </w:p>
        </w:tc>
        <w:tc>
          <w:tcPr>
            <w:tcW w:w="842" w:type="pct"/>
            <w:hideMark/>
          </w:tcPr>
          <w:p w14:paraId="2BE06153"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50%</w:t>
            </w:r>
          </w:p>
        </w:tc>
      </w:tr>
      <w:tr w:rsidR="00A87A0D" w:rsidRPr="00580B24" w14:paraId="387948A9" w14:textId="77777777" w:rsidTr="00014BCD">
        <w:trPr>
          <w:trHeight w:val="143"/>
        </w:trPr>
        <w:tc>
          <w:tcPr>
            <w:tcW w:w="2473" w:type="pct"/>
            <w:hideMark/>
          </w:tcPr>
          <w:p w14:paraId="29DFBF8A" w14:textId="65E8A22E" w:rsidR="00A87A0D" w:rsidRPr="00580B24" w:rsidRDefault="00A87A0D" w:rsidP="00A87A0D">
            <w:pPr>
              <w:jc w:val="right"/>
              <w:rPr>
                <w:rFonts w:ascii="Arial Narrow" w:hAnsi="Arial Narrow"/>
                <w:sz w:val="20"/>
                <w:szCs w:val="20"/>
              </w:rPr>
            </w:pPr>
            <w:r>
              <w:rPr>
                <w:rFonts w:ascii="Arial Narrow" w:hAnsi="Arial Narrow"/>
                <w:sz w:val="20"/>
                <w:szCs w:val="20"/>
                <w:lang w:val="sq-AL"/>
              </w:rPr>
              <w:t>Dru</w:t>
            </w:r>
          </w:p>
        </w:tc>
        <w:tc>
          <w:tcPr>
            <w:tcW w:w="842" w:type="pct"/>
          </w:tcPr>
          <w:p w14:paraId="07C3D88B"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10%</w:t>
            </w:r>
          </w:p>
        </w:tc>
        <w:tc>
          <w:tcPr>
            <w:tcW w:w="842" w:type="pct"/>
          </w:tcPr>
          <w:p w14:paraId="7F5703F1"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15%</w:t>
            </w:r>
          </w:p>
        </w:tc>
        <w:tc>
          <w:tcPr>
            <w:tcW w:w="842" w:type="pct"/>
            <w:hideMark/>
          </w:tcPr>
          <w:p w14:paraId="483F1E46" w14:textId="77777777" w:rsidR="00A87A0D" w:rsidRPr="00580B24" w:rsidRDefault="00A87A0D" w:rsidP="00A87A0D">
            <w:pPr>
              <w:jc w:val="center"/>
              <w:rPr>
                <w:rFonts w:ascii="Arial Narrow" w:hAnsi="Arial Narrow"/>
                <w:sz w:val="20"/>
                <w:szCs w:val="20"/>
              </w:rPr>
            </w:pPr>
            <w:r w:rsidRPr="00580B24">
              <w:rPr>
                <w:rFonts w:ascii="Arial Narrow" w:hAnsi="Arial Narrow"/>
                <w:sz w:val="20"/>
                <w:szCs w:val="20"/>
              </w:rPr>
              <w:t>25%</w:t>
            </w:r>
          </w:p>
        </w:tc>
      </w:tr>
    </w:tbl>
    <w:p w14:paraId="2288BF7C" w14:textId="77777777" w:rsidR="007F50ED" w:rsidRDefault="007F50ED" w:rsidP="007F50ED">
      <w:pPr>
        <w:suppressAutoHyphens/>
        <w:rPr>
          <w:rFonts w:ascii="Arial Narrow" w:eastAsia="Calibri" w:hAnsi="Arial Narrow" w:cs="Calibri"/>
          <w:color w:val="1F497D"/>
          <w:sz w:val="20"/>
          <w:szCs w:val="20"/>
        </w:rPr>
      </w:pPr>
      <w:bookmarkStart w:id="73" w:name="_Toc148879376"/>
      <w:bookmarkStart w:id="74" w:name="_Toc149729911"/>
      <w:bookmarkStart w:id="75" w:name="_Toc153872149"/>
      <w:bookmarkStart w:id="76" w:name="_Toc153983547"/>
    </w:p>
    <w:p w14:paraId="388B786E" w14:textId="0A18BEC9" w:rsidR="00014BCD" w:rsidRPr="007F50ED" w:rsidRDefault="00014BCD" w:rsidP="007F50ED">
      <w:pPr>
        <w:suppressAutoHyphens/>
        <w:rPr>
          <w:rFonts w:ascii="Arial Narrow" w:eastAsia="Calibri" w:hAnsi="Arial Narrow" w:cs="Calibri"/>
          <w:color w:val="1F497D"/>
          <w:sz w:val="20"/>
          <w:szCs w:val="20"/>
        </w:rPr>
      </w:pPr>
      <w:bookmarkStart w:id="77" w:name="_Toc197472193"/>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8.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Objektivat e riciklimit për mbet</w:t>
      </w:r>
      <w:r w:rsidR="00A87A0D">
        <w:rPr>
          <w:rFonts w:ascii="Arial Narrow" w:eastAsia="Calibri" w:hAnsi="Arial Narrow" w:cs="Calibri"/>
          <w:color w:val="1F497D"/>
          <w:sz w:val="20"/>
          <w:szCs w:val="20"/>
        </w:rPr>
        <w:t xml:space="preserve">urinat e </w:t>
      </w:r>
      <w:r w:rsidRPr="007F50ED">
        <w:rPr>
          <w:rFonts w:ascii="Arial Narrow" w:eastAsia="Calibri" w:hAnsi="Arial Narrow" w:cs="Calibri"/>
          <w:color w:val="1F497D"/>
          <w:sz w:val="20"/>
          <w:szCs w:val="20"/>
        </w:rPr>
        <w:t xml:space="preserve">ndërtimit dhe </w:t>
      </w:r>
      <w:r w:rsidR="00A87A0D">
        <w:rPr>
          <w:rFonts w:ascii="Arial Narrow" w:eastAsia="Calibri" w:hAnsi="Arial Narrow" w:cs="Calibri"/>
          <w:color w:val="1F497D"/>
          <w:sz w:val="20"/>
          <w:szCs w:val="20"/>
        </w:rPr>
        <w:t>rrënimit</w:t>
      </w:r>
      <w:bookmarkStart w:id="78" w:name="_Hlk152060539"/>
      <w:bookmarkEnd w:id="73"/>
      <w:bookmarkEnd w:id="74"/>
      <w:bookmarkEnd w:id="75"/>
      <w:bookmarkEnd w:id="76"/>
      <w:bookmarkEnd w:id="77"/>
    </w:p>
    <w:tbl>
      <w:tblPr>
        <w:tblStyle w:val="TableGrid11"/>
        <w:tblW w:w="5000" w:type="pct"/>
        <w:tblLook w:val="04A0" w:firstRow="1" w:lastRow="0" w:firstColumn="1" w:lastColumn="0" w:noHBand="0" w:noVBand="1"/>
      </w:tblPr>
      <w:tblGrid>
        <w:gridCol w:w="5362"/>
        <w:gridCol w:w="1827"/>
        <w:gridCol w:w="1827"/>
      </w:tblGrid>
      <w:tr w:rsidR="00014BCD" w:rsidRPr="00F90D8F" w14:paraId="169D2B77" w14:textId="77777777" w:rsidTr="006347D6">
        <w:trPr>
          <w:trHeight w:val="80"/>
        </w:trPr>
        <w:tc>
          <w:tcPr>
            <w:tcW w:w="2974" w:type="pct"/>
            <w:shd w:val="clear" w:color="auto" w:fill="365F91"/>
            <w:hideMark/>
          </w:tcPr>
          <w:p w14:paraId="5997F4C4" w14:textId="725BE0F6" w:rsidR="00014BCD" w:rsidRPr="00F90D8F" w:rsidRDefault="00014BCD" w:rsidP="00580B24">
            <w:pPr>
              <w:rPr>
                <w:rFonts w:ascii="Arial Narrow" w:hAnsi="Arial Narrow"/>
                <w:b/>
                <w:bCs/>
                <w:color w:val="FFFFFF"/>
                <w:sz w:val="20"/>
                <w:szCs w:val="20"/>
              </w:rPr>
            </w:pPr>
            <w:r w:rsidRPr="00F90D8F">
              <w:rPr>
                <w:rFonts w:ascii="Arial Narrow" w:hAnsi="Arial Narrow"/>
                <w:b/>
                <w:bCs/>
                <w:color w:val="FFFFFF"/>
                <w:sz w:val="20"/>
                <w:szCs w:val="20"/>
              </w:rPr>
              <w:t>Objektiv</w:t>
            </w:r>
            <w:r w:rsidR="00A87A0D">
              <w:rPr>
                <w:rFonts w:ascii="Arial Narrow" w:hAnsi="Arial Narrow"/>
                <w:b/>
                <w:bCs/>
                <w:color w:val="FFFFFF"/>
                <w:sz w:val="20"/>
                <w:szCs w:val="20"/>
              </w:rPr>
              <w:t>i</w:t>
            </w:r>
          </w:p>
        </w:tc>
        <w:tc>
          <w:tcPr>
            <w:tcW w:w="1013" w:type="pct"/>
            <w:shd w:val="clear" w:color="auto" w:fill="365F91"/>
            <w:hideMark/>
          </w:tcPr>
          <w:p w14:paraId="3595F71E" w14:textId="77777777" w:rsidR="00014BCD" w:rsidRPr="00F90D8F" w:rsidRDefault="00014BCD" w:rsidP="00580B24">
            <w:pPr>
              <w:rPr>
                <w:rFonts w:ascii="Arial Narrow" w:hAnsi="Arial Narrow"/>
                <w:b/>
                <w:bCs/>
                <w:color w:val="FFFFFF"/>
                <w:sz w:val="20"/>
                <w:szCs w:val="20"/>
              </w:rPr>
            </w:pPr>
            <w:r w:rsidRPr="00F90D8F">
              <w:rPr>
                <w:rFonts w:ascii="Arial Narrow" w:hAnsi="Arial Narrow"/>
                <w:b/>
                <w:bCs/>
                <w:color w:val="FFFFFF"/>
                <w:sz w:val="20"/>
                <w:szCs w:val="20"/>
              </w:rPr>
              <w:t>Deri në vitin 2030</w:t>
            </w:r>
          </w:p>
        </w:tc>
        <w:tc>
          <w:tcPr>
            <w:tcW w:w="1013" w:type="pct"/>
            <w:shd w:val="clear" w:color="auto" w:fill="365F91"/>
            <w:hideMark/>
          </w:tcPr>
          <w:p w14:paraId="553613A9" w14:textId="77777777" w:rsidR="00014BCD" w:rsidRPr="00F90D8F" w:rsidRDefault="00014BCD" w:rsidP="00580B24">
            <w:pPr>
              <w:rPr>
                <w:rFonts w:ascii="Arial Narrow" w:hAnsi="Arial Narrow"/>
                <w:b/>
                <w:bCs/>
                <w:color w:val="FFFFFF"/>
                <w:sz w:val="20"/>
                <w:szCs w:val="20"/>
              </w:rPr>
            </w:pPr>
            <w:r w:rsidRPr="00F90D8F">
              <w:rPr>
                <w:rFonts w:ascii="Arial Narrow" w:hAnsi="Arial Narrow"/>
                <w:b/>
                <w:bCs/>
                <w:color w:val="FFFFFF"/>
                <w:sz w:val="20"/>
                <w:szCs w:val="20"/>
              </w:rPr>
              <w:t>Deri në vitin 2035</w:t>
            </w:r>
          </w:p>
        </w:tc>
      </w:tr>
      <w:tr w:rsidR="00014BCD" w:rsidRPr="00F90D8F" w14:paraId="15FAC413" w14:textId="77777777" w:rsidTr="004A40AC">
        <w:trPr>
          <w:trHeight w:val="224"/>
        </w:trPr>
        <w:tc>
          <w:tcPr>
            <w:tcW w:w="2974" w:type="pct"/>
            <w:hideMark/>
          </w:tcPr>
          <w:p w14:paraId="26992B61" w14:textId="72126331" w:rsidR="00014BCD" w:rsidRPr="00F90D8F" w:rsidRDefault="00014BCD" w:rsidP="00580B24">
            <w:pPr>
              <w:rPr>
                <w:rFonts w:ascii="Arial Narrow" w:hAnsi="Arial Narrow"/>
                <w:sz w:val="20"/>
                <w:szCs w:val="20"/>
              </w:rPr>
            </w:pPr>
            <w:r w:rsidRPr="00F90D8F">
              <w:rPr>
                <w:rFonts w:ascii="Arial Narrow" w:hAnsi="Arial Narrow" w:cs="Cambria"/>
                <w:sz w:val="20"/>
                <w:szCs w:val="20"/>
              </w:rPr>
              <w:t xml:space="preserve">Ripërdorimi dhe riciklimi i </w:t>
            </w:r>
            <w:r w:rsidR="00A87A0D">
              <w:rPr>
                <w:rFonts w:ascii="Arial Narrow" w:hAnsi="Arial Narrow" w:cs="Cambria"/>
                <w:sz w:val="20"/>
                <w:szCs w:val="20"/>
              </w:rPr>
              <w:t>MNRr-ve</w:t>
            </w:r>
          </w:p>
        </w:tc>
        <w:tc>
          <w:tcPr>
            <w:tcW w:w="1013" w:type="pct"/>
            <w:hideMark/>
          </w:tcPr>
          <w:p w14:paraId="5D21F616" w14:textId="77777777" w:rsidR="00014BCD" w:rsidRPr="00F90D8F" w:rsidRDefault="00014BCD" w:rsidP="00580B24">
            <w:pPr>
              <w:rPr>
                <w:rFonts w:ascii="Arial Narrow" w:hAnsi="Arial Narrow"/>
                <w:sz w:val="20"/>
                <w:szCs w:val="20"/>
              </w:rPr>
            </w:pPr>
            <w:r w:rsidRPr="00F90D8F">
              <w:rPr>
                <w:rFonts w:ascii="Arial Narrow" w:hAnsi="Arial Narrow" w:cs="Cambria"/>
                <w:sz w:val="20"/>
                <w:szCs w:val="20"/>
              </w:rPr>
              <w:t>40%</w:t>
            </w:r>
          </w:p>
        </w:tc>
        <w:tc>
          <w:tcPr>
            <w:tcW w:w="1013" w:type="pct"/>
            <w:hideMark/>
          </w:tcPr>
          <w:p w14:paraId="7AEA9FA0" w14:textId="77777777" w:rsidR="00014BCD" w:rsidRPr="00F90D8F" w:rsidRDefault="00014BCD" w:rsidP="00580B24">
            <w:pPr>
              <w:rPr>
                <w:rFonts w:ascii="Arial Narrow" w:hAnsi="Arial Narrow"/>
                <w:sz w:val="20"/>
                <w:szCs w:val="20"/>
              </w:rPr>
            </w:pPr>
            <w:r w:rsidRPr="00F90D8F">
              <w:rPr>
                <w:rFonts w:ascii="Arial Narrow" w:hAnsi="Arial Narrow" w:cs="Cambria"/>
                <w:sz w:val="20"/>
                <w:szCs w:val="20"/>
              </w:rPr>
              <w:t>50%</w:t>
            </w:r>
          </w:p>
        </w:tc>
      </w:tr>
      <w:tr w:rsidR="00014BCD" w:rsidRPr="00F90D8F" w14:paraId="008DB3B1" w14:textId="77777777" w:rsidTr="004A40AC">
        <w:trPr>
          <w:trHeight w:val="224"/>
        </w:trPr>
        <w:tc>
          <w:tcPr>
            <w:tcW w:w="2974" w:type="pct"/>
          </w:tcPr>
          <w:p w14:paraId="5040C59F" w14:textId="3278643D" w:rsidR="00014BCD" w:rsidRPr="00F90D8F" w:rsidRDefault="00014BCD" w:rsidP="00580B24">
            <w:pPr>
              <w:rPr>
                <w:rFonts w:ascii="Arial Narrow" w:hAnsi="Arial Narrow"/>
                <w:sz w:val="20"/>
                <w:szCs w:val="20"/>
              </w:rPr>
            </w:pPr>
            <w:r w:rsidRPr="00F90D8F">
              <w:rPr>
                <w:rFonts w:ascii="Arial Narrow" w:hAnsi="Arial Narrow" w:cs="Cambria"/>
                <w:sz w:val="20"/>
                <w:szCs w:val="20"/>
              </w:rPr>
              <w:t xml:space="preserve">Ripërdorimi, riciklimi dhe rikuperimi i materialeve të tjera të </w:t>
            </w:r>
            <w:r w:rsidR="00A87A0D">
              <w:rPr>
                <w:rFonts w:ascii="Arial Narrow" w:hAnsi="Arial Narrow" w:cs="Cambria"/>
                <w:sz w:val="20"/>
                <w:szCs w:val="20"/>
              </w:rPr>
              <w:t>MNRr-ve</w:t>
            </w:r>
          </w:p>
        </w:tc>
        <w:tc>
          <w:tcPr>
            <w:tcW w:w="1013" w:type="pct"/>
          </w:tcPr>
          <w:p w14:paraId="5FEA51DB" w14:textId="77777777" w:rsidR="00014BCD" w:rsidRPr="00F90D8F" w:rsidRDefault="00014BCD" w:rsidP="00580B24">
            <w:pPr>
              <w:rPr>
                <w:rFonts w:ascii="Arial Narrow" w:hAnsi="Arial Narrow"/>
                <w:sz w:val="20"/>
                <w:szCs w:val="20"/>
              </w:rPr>
            </w:pPr>
            <w:r w:rsidRPr="00F90D8F">
              <w:rPr>
                <w:rFonts w:ascii="Arial Narrow" w:hAnsi="Arial Narrow" w:cs="Cambria"/>
                <w:sz w:val="20"/>
                <w:szCs w:val="20"/>
              </w:rPr>
              <w:t>60%</w:t>
            </w:r>
          </w:p>
        </w:tc>
        <w:tc>
          <w:tcPr>
            <w:tcW w:w="1013" w:type="pct"/>
          </w:tcPr>
          <w:p w14:paraId="3B532A62" w14:textId="77777777" w:rsidR="00014BCD" w:rsidRPr="00F90D8F" w:rsidRDefault="00014BCD" w:rsidP="00580B24">
            <w:pPr>
              <w:rPr>
                <w:rFonts w:ascii="Arial Narrow" w:hAnsi="Arial Narrow"/>
                <w:sz w:val="20"/>
                <w:szCs w:val="20"/>
              </w:rPr>
            </w:pPr>
            <w:r w:rsidRPr="00F90D8F">
              <w:rPr>
                <w:rFonts w:ascii="Arial Narrow" w:hAnsi="Arial Narrow" w:cs="Cambria"/>
                <w:sz w:val="20"/>
                <w:szCs w:val="20"/>
              </w:rPr>
              <w:t>70%</w:t>
            </w:r>
          </w:p>
        </w:tc>
      </w:tr>
    </w:tbl>
    <w:p w14:paraId="5FA30EB9" w14:textId="017E4B76" w:rsidR="00032CD8" w:rsidRPr="00AF0235" w:rsidRDefault="00032CD8" w:rsidP="007973B8">
      <w:pPr>
        <w:pStyle w:val="Heading3"/>
      </w:pPr>
      <w:bookmarkStart w:id="79" w:name="_Toc153872100"/>
      <w:bookmarkStart w:id="80" w:name="_Toc170470803"/>
      <w:bookmarkStart w:id="81" w:name="_Toc197471954"/>
      <w:bookmarkEnd w:id="78"/>
      <w:r w:rsidRPr="00AF0235">
        <w:t xml:space="preserve">Planet </w:t>
      </w:r>
      <w:r w:rsidR="006146D0">
        <w:t>për</w:t>
      </w:r>
      <w:r w:rsidRPr="00AF0235">
        <w:t xml:space="preserve"> Menaxhimi</w:t>
      </w:r>
      <w:r w:rsidR="006146D0">
        <w:t>m e</w:t>
      </w:r>
      <w:r w:rsidRPr="00AF0235">
        <w:t xml:space="preserve"> Mbeturinave </w:t>
      </w:r>
      <w:r w:rsidR="000D0853">
        <w:t>Komunale Inerte</w:t>
      </w:r>
      <w:bookmarkEnd w:id="79"/>
      <w:bookmarkEnd w:id="80"/>
      <w:bookmarkEnd w:id="81"/>
    </w:p>
    <w:p w14:paraId="6E01C917" w14:textId="408BF2EC" w:rsidR="00032CD8" w:rsidRPr="00AF0235" w:rsidRDefault="00032CD8" w:rsidP="00B1488D">
      <w:pPr>
        <w:pStyle w:val="Paragraph"/>
        <w:spacing w:after="0"/>
        <w:rPr>
          <w:rFonts w:eastAsia="Calibri"/>
        </w:rPr>
      </w:pPr>
      <w:r w:rsidRPr="00AF0235">
        <w:rPr>
          <w:rFonts w:eastAsia="Calibri"/>
        </w:rPr>
        <w:t xml:space="preserve">Tabela më poshtë paraqet masat kryesore të parashikuara në planet </w:t>
      </w:r>
      <w:r w:rsidR="00B35AB5">
        <w:rPr>
          <w:rFonts w:eastAsia="Calibri"/>
        </w:rPr>
        <w:t>komunale për</w:t>
      </w:r>
      <w:r w:rsidRPr="00AF0235">
        <w:rPr>
          <w:rFonts w:eastAsia="Calibri"/>
        </w:rPr>
        <w:t xml:space="preserve"> menaxhimi</w:t>
      </w:r>
      <w:r w:rsidR="00B35AB5">
        <w:rPr>
          <w:rFonts w:eastAsia="Calibri"/>
        </w:rPr>
        <w:t>n e</w:t>
      </w:r>
      <w:r w:rsidRPr="00AF0235">
        <w:rPr>
          <w:rFonts w:eastAsia="Calibri"/>
        </w:rPr>
        <w:t xml:space="preserve"> mbet</w:t>
      </w:r>
      <w:r w:rsidR="00B35AB5">
        <w:rPr>
          <w:rFonts w:eastAsia="Calibri"/>
        </w:rPr>
        <w:t>urinave</w:t>
      </w:r>
      <w:r w:rsidRPr="00AF0235">
        <w:rPr>
          <w:rFonts w:eastAsia="Calibri"/>
        </w:rPr>
        <w:t>.</w:t>
      </w:r>
    </w:p>
    <w:p w14:paraId="329F6B07" w14:textId="77777777" w:rsidR="007F50ED" w:rsidRDefault="007F50ED" w:rsidP="007F50ED">
      <w:pPr>
        <w:suppressAutoHyphens/>
        <w:rPr>
          <w:rFonts w:ascii="Arial Narrow" w:eastAsia="Calibri" w:hAnsi="Arial Narrow" w:cs="Calibri"/>
          <w:color w:val="1F497D"/>
          <w:sz w:val="20"/>
          <w:szCs w:val="20"/>
        </w:rPr>
      </w:pPr>
      <w:bookmarkStart w:id="82" w:name="_Toc153872150"/>
    </w:p>
    <w:p w14:paraId="080A43C1" w14:textId="2165FF53" w:rsidR="00032CD8" w:rsidRPr="007F50ED" w:rsidRDefault="00032CD8" w:rsidP="007F50ED">
      <w:pPr>
        <w:suppressAutoHyphens/>
        <w:rPr>
          <w:rFonts w:ascii="Arial Narrow" w:eastAsia="Calibri" w:hAnsi="Arial Narrow" w:cs="Calibri"/>
          <w:color w:val="1F497D"/>
          <w:sz w:val="20"/>
          <w:szCs w:val="20"/>
        </w:rPr>
      </w:pPr>
      <w:bookmarkStart w:id="83" w:name="_Toc197472194"/>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9.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Masat e para</w:t>
      </w:r>
      <w:r w:rsidR="00B35AB5">
        <w:rPr>
          <w:rFonts w:ascii="Arial Narrow" w:eastAsia="Calibri" w:hAnsi="Arial Narrow" w:cs="Calibri"/>
          <w:color w:val="1F497D"/>
          <w:sz w:val="20"/>
          <w:szCs w:val="20"/>
        </w:rPr>
        <w:t xml:space="preserve">para </w:t>
      </w:r>
      <w:r w:rsidRPr="007F50ED">
        <w:rPr>
          <w:rFonts w:ascii="Arial Narrow" w:eastAsia="Calibri" w:hAnsi="Arial Narrow" w:cs="Calibri"/>
          <w:color w:val="1F497D"/>
          <w:sz w:val="20"/>
          <w:szCs w:val="20"/>
        </w:rPr>
        <w:t xml:space="preserve">në planet </w:t>
      </w:r>
      <w:r w:rsidR="00B35AB5">
        <w:rPr>
          <w:rFonts w:ascii="Arial Narrow" w:eastAsia="Calibri" w:hAnsi="Arial Narrow" w:cs="Calibri"/>
          <w:color w:val="1F497D"/>
          <w:sz w:val="20"/>
          <w:szCs w:val="20"/>
        </w:rPr>
        <w:t xml:space="preserve">komunale për </w:t>
      </w:r>
      <w:r w:rsidRPr="007F50ED">
        <w:rPr>
          <w:rFonts w:ascii="Arial Narrow" w:eastAsia="Calibri" w:hAnsi="Arial Narrow" w:cs="Calibri"/>
          <w:color w:val="1F497D"/>
          <w:sz w:val="20"/>
          <w:szCs w:val="20"/>
        </w:rPr>
        <w:t>menaxhimi</w:t>
      </w:r>
      <w:r w:rsidR="00B35AB5">
        <w:rPr>
          <w:rFonts w:ascii="Arial Narrow" w:eastAsia="Calibri" w:hAnsi="Arial Narrow" w:cs="Calibri"/>
          <w:color w:val="1F497D"/>
          <w:sz w:val="20"/>
          <w:szCs w:val="20"/>
        </w:rPr>
        <w:t>n e</w:t>
      </w:r>
      <w:r w:rsidRPr="007F50ED">
        <w:rPr>
          <w:rFonts w:ascii="Arial Narrow" w:eastAsia="Calibri" w:hAnsi="Arial Narrow" w:cs="Calibri"/>
          <w:color w:val="1F497D"/>
          <w:sz w:val="20"/>
          <w:szCs w:val="20"/>
        </w:rPr>
        <w:t xml:space="preserve"> mbet</w:t>
      </w:r>
      <w:r w:rsidR="00B35AB5">
        <w:rPr>
          <w:rFonts w:ascii="Arial Narrow" w:eastAsia="Calibri" w:hAnsi="Arial Narrow" w:cs="Calibri"/>
          <w:color w:val="1F497D"/>
          <w:sz w:val="20"/>
          <w:szCs w:val="20"/>
        </w:rPr>
        <w:t>urinave</w:t>
      </w:r>
      <w:bookmarkEnd w:id="82"/>
      <w:bookmarkEnd w:id="83"/>
    </w:p>
    <w:tbl>
      <w:tblPr>
        <w:tblStyle w:val="ValueAddBox2"/>
        <w:tblW w:w="0" w:type="auto"/>
        <w:tblLook w:val="04A0" w:firstRow="1" w:lastRow="0" w:firstColumn="1" w:lastColumn="0" w:noHBand="0" w:noVBand="1"/>
      </w:tblPr>
      <w:tblGrid>
        <w:gridCol w:w="1557"/>
        <w:gridCol w:w="1486"/>
        <w:gridCol w:w="1817"/>
        <w:gridCol w:w="2103"/>
        <w:gridCol w:w="2053"/>
      </w:tblGrid>
      <w:tr w:rsidR="00014BCD" w:rsidRPr="00580B24" w14:paraId="6CE226E6" w14:textId="77777777" w:rsidTr="006347D6">
        <w:trPr>
          <w:tblHeader/>
        </w:trPr>
        <w:tc>
          <w:tcPr>
            <w:tcW w:w="1557" w:type="dxa"/>
            <w:shd w:val="clear" w:color="auto" w:fill="365F91"/>
          </w:tcPr>
          <w:p w14:paraId="1FBA7266" w14:textId="0B72369B" w:rsidR="00014BCD" w:rsidRPr="00580B24" w:rsidRDefault="008A72DD" w:rsidP="00580B24">
            <w:pPr>
              <w:rPr>
                <w:rFonts w:ascii="Arial Narrow" w:hAnsi="Arial Narrow"/>
                <w:b/>
                <w:bCs/>
                <w:color w:val="FFFFFF"/>
                <w:sz w:val="20"/>
                <w:szCs w:val="20"/>
              </w:rPr>
            </w:pPr>
            <w:bookmarkStart w:id="84" w:name="_Hlk151714223"/>
            <w:bookmarkStart w:id="85" w:name="_Toc135379369"/>
            <w:bookmarkStart w:id="86" w:name="_Toc1159931671"/>
            <w:bookmarkStart w:id="87" w:name="_Hlk151222841"/>
            <w:r>
              <w:rPr>
                <w:rFonts w:ascii="Arial Narrow" w:hAnsi="Arial Narrow"/>
                <w:b/>
                <w:bCs/>
                <w:color w:val="FFFFFF"/>
                <w:sz w:val="20"/>
                <w:szCs w:val="20"/>
              </w:rPr>
              <w:t>Komuna</w:t>
            </w:r>
          </w:p>
        </w:tc>
        <w:tc>
          <w:tcPr>
            <w:tcW w:w="1486" w:type="dxa"/>
            <w:shd w:val="clear" w:color="auto" w:fill="365F91"/>
          </w:tcPr>
          <w:p w14:paraId="4EC3839A" w14:textId="77777777" w:rsidR="00014BCD" w:rsidRPr="00580B24" w:rsidRDefault="00014BCD" w:rsidP="00580B24">
            <w:pPr>
              <w:jc w:val="center"/>
              <w:rPr>
                <w:rFonts w:ascii="Arial Narrow" w:hAnsi="Arial Narrow"/>
                <w:b/>
                <w:bCs/>
                <w:color w:val="FFFFFF"/>
                <w:sz w:val="20"/>
                <w:szCs w:val="20"/>
              </w:rPr>
            </w:pPr>
            <w:r w:rsidRPr="00580B24">
              <w:rPr>
                <w:rFonts w:ascii="Arial Narrow" w:hAnsi="Arial Narrow"/>
                <w:b/>
                <w:bCs/>
                <w:color w:val="FFFFFF"/>
                <w:sz w:val="20"/>
                <w:szCs w:val="20"/>
              </w:rPr>
              <w:t>Statusi i planit dhe afati kohor</w:t>
            </w:r>
          </w:p>
        </w:tc>
        <w:tc>
          <w:tcPr>
            <w:tcW w:w="1817" w:type="dxa"/>
            <w:shd w:val="clear" w:color="auto" w:fill="365F91"/>
          </w:tcPr>
          <w:p w14:paraId="3D9C8EE6" w14:textId="77777777" w:rsidR="00014BCD" w:rsidRPr="00580B24" w:rsidRDefault="00014BCD" w:rsidP="00580B24">
            <w:pPr>
              <w:jc w:val="center"/>
              <w:rPr>
                <w:rFonts w:ascii="Arial Narrow" w:hAnsi="Arial Narrow"/>
                <w:b/>
                <w:bCs/>
                <w:color w:val="FFFFFF"/>
                <w:sz w:val="20"/>
                <w:szCs w:val="20"/>
              </w:rPr>
            </w:pPr>
            <w:r w:rsidRPr="00580B24">
              <w:rPr>
                <w:rFonts w:ascii="Arial Narrow" w:hAnsi="Arial Narrow"/>
                <w:b/>
                <w:bCs/>
                <w:color w:val="FFFFFF"/>
                <w:sz w:val="20"/>
                <w:szCs w:val="20"/>
              </w:rPr>
              <w:t>Parandalimi</w:t>
            </w:r>
          </w:p>
        </w:tc>
        <w:tc>
          <w:tcPr>
            <w:tcW w:w="2103" w:type="dxa"/>
            <w:shd w:val="clear" w:color="auto" w:fill="365F91"/>
          </w:tcPr>
          <w:p w14:paraId="3A22F33C" w14:textId="77777777" w:rsidR="00014BCD" w:rsidRPr="00580B24" w:rsidRDefault="00014BCD" w:rsidP="00580B24">
            <w:pPr>
              <w:jc w:val="center"/>
              <w:rPr>
                <w:rFonts w:ascii="Arial Narrow" w:hAnsi="Arial Narrow"/>
                <w:b/>
                <w:bCs/>
                <w:color w:val="FFFFFF"/>
                <w:sz w:val="20"/>
                <w:szCs w:val="20"/>
              </w:rPr>
            </w:pPr>
            <w:r w:rsidRPr="00580B24">
              <w:rPr>
                <w:rFonts w:ascii="Arial Narrow" w:hAnsi="Arial Narrow"/>
                <w:b/>
                <w:bCs/>
                <w:color w:val="FFFFFF"/>
                <w:sz w:val="20"/>
                <w:szCs w:val="20"/>
              </w:rPr>
              <w:t>Riciklim dhe Rimëkëmbje</w:t>
            </w:r>
          </w:p>
        </w:tc>
        <w:tc>
          <w:tcPr>
            <w:tcW w:w="2053" w:type="dxa"/>
            <w:shd w:val="clear" w:color="auto" w:fill="365F91"/>
          </w:tcPr>
          <w:p w14:paraId="69DA0AED" w14:textId="77777777" w:rsidR="00014BCD" w:rsidRPr="00580B24" w:rsidRDefault="00014BCD" w:rsidP="00580B24">
            <w:pPr>
              <w:jc w:val="center"/>
              <w:rPr>
                <w:rFonts w:ascii="Arial Narrow" w:hAnsi="Arial Narrow"/>
                <w:b/>
                <w:bCs/>
                <w:color w:val="FFFFFF"/>
                <w:sz w:val="20"/>
                <w:szCs w:val="20"/>
              </w:rPr>
            </w:pPr>
            <w:r w:rsidRPr="00580B24">
              <w:rPr>
                <w:rFonts w:ascii="Arial Narrow" w:hAnsi="Arial Narrow"/>
                <w:b/>
                <w:bCs/>
                <w:color w:val="FFFFFF"/>
                <w:sz w:val="20"/>
                <w:szCs w:val="20"/>
              </w:rPr>
              <w:t>Masa të tjera</w:t>
            </w:r>
          </w:p>
        </w:tc>
      </w:tr>
      <w:tr w:rsidR="00B35AB5" w:rsidRPr="00580B24" w14:paraId="1B692098" w14:textId="77777777" w:rsidTr="004A40AC">
        <w:tc>
          <w:tcPr>
            <w:tcW w:w="1557" w:type="dxa"/>
          </w:tcPr>
          <w:p w14:paraId="3AFB289C" w14:textId="544F7144" w:rsidR="00B35AB5" w:rsidRPr="00580B24" w:rsidRDefault="00B35AB5" w:rsidP="00B35AB5">
            <w:pPr>
              <w:rPr>
                <w:rFonts w:ascii="Arial Narrow" w:hAnsi="Arial Narrow"/>
                <w:sz w:val="20"/>
                <w:szCs w:val="20"/>
              </w:rPr>
            </w:pPr>
            <w:r w:rsidRPr="00580B24">
              <w:rPr>
                <w:rFonts w:ascii="Arial Narrow" w:hAnsi="Arial Narrow"/>
                <w:sz w:val="20"/>
                <w:szCs w:val="20"/>
              </w:rPr>
              <w:t>Pejë</w:t>
            </w:r>
          </w:p>
        </w:tc>
        <w:tc>
          <w:tcPr>
            <w:tcW w:w="1486" w:type="dxa"/>
          </w:tcPr>
          <w:p w14:paraId="49AA59E5" w14:textId="77777777" w:rsidR="00B35AB5" w:rsidRPr="008D2D8C" w:rsidRDefault="00B35AB5" w:rsidP="00B35AB5">
            <w:pPr>
              <w:rPr>
                <w:rFonts w:ascii="Arial Narrow" w:hAnsi="Arial Narrow"/>
                <w:sz w:val="20"/>
                <w:szCs w:val="20"/>
                <w:lang w:val="sq-AL"/>
              </w:rPr>
            </w:pPr>
            <w:r w:rsidRPr="008D2D8C">
              <w:rPr>
                <w:rFonts w:ascii="Arial Narrow" w:hAnsi="Arial Narrow"/>
                <w:sz w:val="20"/>
                <w:szCs w:val="20"/>
                <w:lang w:val="sq-AL"/>
              </w:rPr>
              <w:t>Adopt</w:t>
            </w:r>
            <w:r>
              <w:rPr>
                <w:rFonts w:ascii="Arial Narrow" w:hAnsi="Arial Narrow"/>
                <w:sz w:val="20"/>
                <w:szCs w:val="20"/>
                <w:lang w:val="sq-AL"/>
              </w:rPr>
              <w:t>uar</w:t>
            </w:r>
          </w:p>
          <w:p w14:paraId="27478CD8" w14:textId="77777777" w:rsidR="00B35AB5" w:rsidRPr="008D2D8C" w:rsidRDefault="00B35AB5" w:rsidP="00B35AB5">
            <w:pPr>
              <w:rPr>
                <w:rFonts w:ascii="Arial Narrow" w:hAnsi="Arial Narrow"/>
                <w:sz w:val="20"/>
                <w:szCs w:val="20"/>
                <w:lang w:val="sq-AL"/>
              </w:rPr>
            </w:pPr>
          </w:p>
          <w:p w14:paraId="3C121D4C" w14:textId="7EF30E76" w:rsidR="00B35AB5" w:rsidRPr="00580B24" w:rsidRDefault="00B35AB5" w:rsidP="00B35AB5">
            <w:pPr>
              <w:rPr>
                <w:rFonts w:ascii="Arial Narrow" w:hAnsi="Arial Narrow"/>
                <w:sz w:val="20"/>
                <w:szCs w:val="20"/>
              </w:rPr>
            </w:pPr>
            <w:r w:rsidRPr="008D2D8C">
              <w:rPr>
                <w:rFonts w:ascii="Arial Narrow" w:hAnsi="Arial Narrow"/>
                <w:sz w:val="20"/>
                <w:szCs w:val="20"/>
                <w:lang w:val="sq-AL"/>
              </w:rPr>
              <w:t>2023-2027</w:t>
            </w:r>
          </w:p>
        </w:tc>
        <w:tc>
          <w:tcPr>
            <w:tcW w:w="1817" w:type="dxa"/>
          </w:tcPr>
          <w:p w14:paraId="112A8E6F" w14:textId="77777777" w:rsidR="00B35AB5" w:rsidRPr="008C3F3A" w:rsidRDefault="00B35AB5" w:rsidP="00B35AB5">
            <w:pPr>
              <w:rPr>
                <w:rFonts w:ascii="Arial Narrow" w:hAnsi="Arial Narrow"/>
                <w:sz w:val="20"/>
                <w:szCs w:val="20"/>
                <w:lang w:val="sq-AL"/>
              </w:rPr>
            </w:pPr>
            <w:r w:rsidRPr="008C3F3A">
              <w:rPr>
                <w:rFonts w:ascii="Arial Narrow" w:hAnsi="Arial Narrow"/>
                <w:sz w:val="20"/>
                <w:szCs w:val="20"/>
                <w:lang w:val="sq-AL"/>
              </w:rPr>
              <w:t>Aplikimi i tarifave të pagesës në vitin 2025</w:t>
            </w:r>
          </w:p>
          <w:p w14:paraId="28A6E954" w14:textId="77777777" w:rsidR="00B35AB5" w:rsidRPr="008C3F3A" w:rsidRDefault="00B35AB5" w:rsidP="00B35AB5">
            <w:pPr>
              <w:rPr>
                <w:rFonts w:ascii="Arial Narrow" w:hAnsi="Arial Narrow"/>
                <w:sz w:val="20"/>
                <w:szCs w:val="20"/>
                <w:lang w:val="sq-AL"/>
              </w:rPr>
            </w:pPr>
            <w:r w:rsidRPr="008C3F3A">
              <w:rPr>
                <w:rFonts w:ascii="Arial Narrow" w:hAnsi="Arial Narrow"/>
                <w:sz w:val="20"/>
                <w:szCs w:val="20"/>
                <w:lang w:val="sq-AL"/>
              </w:rPr>
              <w:t>Futja e stimujve financiarë për bizneset</w:t>
            </w:r>
          </w:p>
          <w:p w14:paraId="26520D6A" w14:textId="77777777" w:rsidR="00B35AB5" w:rsidRPr="008C3F3A" w:rsidRDefault="00B35AB5" w:rsidP="00B35AB5">
            <w:pPr>
              <w:rPr>
                <w:rFonts w:ascii="Arial Narrow" w:hAnsi="Arial Narrow"/>
                <w:sz w:val="20"/>
                <w:szCs w:val="20"/>
                <w:lang w:val="sq-AL"/>
              </w:rPr>
            </w:pPr>
            <w:r w:rsidRPr="008C3F3A">
              <w:rPr>
                <w:rFonts w:ascii="Arial Narrow" w:hAnsi="Arial Narrow"/>
                <w:sz w:val="20"/>
                <w:szCs w:val="20"/>
                <w:lang w:val="sq-AL"/>
              </w:rPr>
              <w:t>Shpërndarja e 250 kompostatorëve shtëpiak çdo vit për familjet dhe bizneset (në varësi të interesit)</w:t>
            </w:r>
          </w:p>
          <w:p w14:paraId="18B7D1BF" w14:textId="34D96371" w:rsidR="00B35AB5" w:rsidRPr="00580B24" w:rsidRDefault="00B35AB5" w:rsidP="00B35AB5">
            <w:pPr>
              <w:rPr>
                <w:rFonts w:ascii="Arial Narrow" w:hAnsi="Arial Narrow"/>
                <w:sz w:val="20"/>
                <w:szCs w:val="20"/>
              </w:rPr>
            </w:pPr>
            <w:r w:rsidRPr="008C3F3A">
              <w:rPr>
                <w:rFonts w:ascii="Arial Narrow" w:hAnsi="Arial Narrow"/>
                <w:sz w:val="20"/>
                <w:szCs w:val="20"/>
                <w:lang w:val="sq-AL"/>
              </w:rPr>
              <w:lastRenderedPageBreak/>
              <w:t>Fushata ndërgjegjësuese publike për parandalimin e mbet</w:t>
            </w:r>
            <w:r>
              <w:rPr>
                <w:rFonts w:ascii="Arial Narrow" w:hAnsi="Arial Narrow"/>
                <w:sz w:val="20"/>
                <w:szCs w:val="20"/>
                <w:lang w:val="sq-AL"/>
              </w:rPr>
              <w:t>urinave</w:t>
            </w:r>
          </w:p>
        </w:tc>
        <w:tc>
          <w:tcPr>
            <w:tcW w:w="2103" w:type="dxa"/>
          </w:tcPr>
          <w:p w14:paraId="36DE88E3" w14:textId="77777777" w:rsidR="00B35AB5" w:rsidRPr="008C3F3A" w:rsidRDefault="00B35AB5" w:rsidP="00B35AB5">
            <w:pPr>
              <w:rPr>
                <w:rFonts w:ascii="Arial Narrow" w:hAnsi="Arial Narrow"/>
                <w:sz w:val="20"/>
                <w:szCs w:val="20"/>
                <w:lang w:val="sq-AL"/>
              </w:rPr>
            </w:pPr>
            <w:r w:rsidRPr="008C3F3A">
              <w:rPr>
                <w:rFonts w:ascii="Arial Narrow" w:hAnsi="Arial Narrow"/>
                <w:sz w:val="20"/>
                <w:szCs w:val="20"/>
                <w:lang w:val="sq-AL"/>
              </w:rPr>
              <w:lastRenderedPageBreak/>
              <w:t>Futja e sistemit të ndarjes së burimit</w:t>
            </w:r>
          </w:p>
          <w:p w14:paraId="12362DE1" w14:textId="77777777" w:rsidR="00B35AB5" w:rsidRPr="008C3F3A" w:rsidRDefault="00B35AB5" w:rsidP="00B35AB5">
            <w:pPr>
              <w:rPr>
                <w:rFonts w:ascii="Arial Narrow" w:hAnsi="Arial Narrow"/>
                <w:sz w:val="20"/>
                <w:szCs w:val="20"/>
                <w:lang w:val="sq-AL"/>
              </w:rPr>
            </w:pPr>
            <w:r w:rsidRPr="008C3F3A">
              <w:rPr>
                <w:rFonts w:ascii="Arial Narrow" w:hAnsi="Arial Narrow"/>
                <w:sz w:val="20"/>
                <w:szCs w:val="20"/>
                <w:lang w:val="sq-AL"/>
              </w:rPr>
              <w:t>Riciklimi i mbet</w:t>
            </w:r>
            <w:r>
              <w:rPr>
                <w:rFonts w:ascii="Arial Narrow" w:hAnsi="Arial Narrow"/>
                <w:sz w:val="20"/>
                <w:szCs w:val="20"/>
                <w:lang w:val="sq-AL"/>
              </w:rPr>
              <w:t>urinave</w:t>
            </w:r>
            <w:r w:rsidRPr="008C3F3A">
              <w:rPr>
                <w:rFonts w:ascii="Arial Narrow" w:hAnsi="Arial Narrow"/>
                <w:sz w:val="20"/>
                <w:szCs w:val="20"/>
                <w:lang w:val="sq-AL"/>
              </w:rPr>
              <w:t xml:space="preserve"> të biodegradueshme</w:t>
            </w:r>
          </w:p>
          <w:p w14:paraId="438ADA2B" w14:textId="77777777" w:rsidR="00B35AB5" w:rsidRPr="008C3F3A" w:rsidRDefault="00B35AB5" w:rsidP="00B35AB5">
            <w:pPr>
              <w:rPr>
                <w:rFonts w:ascii="Arial Narrow" w:hAnsi="Arial Narrow"/>
                <w:sz w:val="20"/>
                <w:szCs w:val="20"/>
                <w:lang w:val="sq-AL"/>
              </w:rPr>
            </w:pPr>
            <w:r w:rsidRPr="008C3F3A">
              <w:rPr>
                <w:rFonts w:ascii="Arial Narrow" w:hAnsi="Arial Narrow"/>
                <w:sz w:val="20"/>
                <w:szCs w:val="20"/>
                <w:lang w:val="sq-AL"/>
              </w:rPr>
              <w:t xml:space="preserve">Krijimi i qendrës së ripërdorimit për </w:t>
            </w:r>
            <w:r>
              <w:rPr>
                <w:rFonts w:ascii="Arial Narrow" w:hAnsi="Arial Narrow"/>
                <w:sz w:val="20"/>
                <w:szCs w:val="20"/>
                <w:lang w:val="sq-AL"/>
              </w:rPr>
              <w:t>mbeturinat e vëllimshme dhe fraksionet specifike.</w:t>
            </w:r>
          </w:p>
          <w:p w14:paraId="40E07DC3" w14:textId="77777777" w:rsidR="00B35AB5" w:rsidRPr="008C3F3A" w:rsidRDefault="00B35AB5" w:rsidP="00B35AB5">
            <w:pPr>
              <w:rPr>
                <w:rFonts w:ascii="Arial Narrow" w:hAnsi="Arial Narrow"/>
                <w:sz w:val="20"/>
                <w:szCs w:val="20"/>
                <w:lang w:val="sq-AL"/>
              </w:rPr>
            </w:pPr>
            <w:r w:rsidRPr="008C3F3A">
              <w:rPr>
                <w:rFonts w:ascii="Arial Narrow" w:hAnsi="Arial Narrow"/>
                <w:sz w:val="20"/>
                <w:szCs w:val="20"/>
                <w:lang w:val="sq-AL"/>
              </w:rPr>
              <w:t>Ngritja e qendrës së riciklimit të mbet</w:t>
            </w:r>
            <w:r>
              <w:rPr>
                <w:rFonts w:ascii="Arial Narrow" w:hAnsi="Arial Narrow"/>
                <w:sz w:val="20"/>
                <w:szCs w:val="20"/>
                <w:lang w:val="sq-AL"/>
              </w:rPr>
              <w:t>urinave</w:t>
            </w:r>
            <w:r w:rsidRPr="008C3F3A">
              <w:rPr>
                <w:rFonts w:ascii="Arial Narrow" w:hAnsi="Arial Narrow"/>
                <w:sz w:val="20"/>
                <w:szCs w:val="20"/>
                <w:lang w:val="sq-AL"/>
              </w:rPr>
              <w:t xml:space="preserve"> </w:t>
            </w:r>
            <w:r w:rsidRPr="008C3F3A">
              <w:rPr>
                <w:rFonts w:ascii="Arial Narrow" w:hAnsi="Arial Narrow"/>
                <w:sz w:val="20"/>
                <w:szCs w:val="20"/>
                <w:lang w:val="sq-AL"/>
              </w:rPr>
              <w:lastRenderedPageBreak/>
              <w:t xml:space="preserve">të ndërtimit dhe </w:t>
            </w:r>
            <w:r>
              <w:rPr>
                <w:rFonts w:ascii="Arial Narrow" w:hAnsi="Arial Narrow"/>
                <w:sz w:val="20"/>
                <w:szCs w:val="20"/>
                <w:lang w:val="sq-AL"/>
              </w:rPr>
              <w:t>demolimit.</w:t>
            </w:r>
          </w:p>
          <w:p w14:paraId="44E0F8A8" w14:textId="7F456905" w:rsidR="00B35AB5" w:rsidRPr="00580B24" w:rsidRDefault="00B35AB5" w:rsidP="00B35AB5">
            <w:pPr>
              <w:rPr>
                <w:rFonts w:ascii="Arial Narrow" w:hAnsi="Arial Narrow"/>
                <w:sz w:val="20"/>
                <w:szCs w:val="20"/>
              </w:rPr>
            </w:pPr>
            <w:r w:rsidRPr="008C3F3A">
              <w:rPr>
                <w:rFonts w:ascii="Arial Narrow" w:hAnsi="Arial Narrow"/>
                <w:sz w:val="20"/>
                <w:szCs w:val="20"/>
                <w:lang w:val="sq-AL"/>
              </w:rPr>
              <w:t>Aktivitete ndërgjegjësuese për ripërdorimin dhe riciklimin</w:t>
            </w:r>
          </w:p>
        </w:tc>
        <w:tc>
          <w:tcPr>
            <w:tcW w:w="2053" w:type="dxa"/>
          </w:tcPr>
          <w:p w14:paraId="7A071FCA" w14:textId="77777777" w:rsidR="00B35AB5" w:rsidRPr="008C3F3A" w:rsidRDefault="00B35AB5" w:rsidP="00B35AB5">
            <w:pPr>
              <w:rPr>
                <w:rFonts w:ascii="Arial Narrow" w:hAnsi="Arial Narrow"/>
                <w:sz w:val="20"/>
                <w:szCs w:val="20"/>
                <w:lang w:val="sq-AL"/>
              </w:rPr>
            </w:pPr>
            <w:r w:rsidRPr="008C3F3A">
              <w:rPr>
                <w:rFonts w:ascii="Arial Narrow" w:hAnsi="Arial Narrow"/>
                <w:sz w:val="20"/>
                <w:szCs w:val="20"/>
                <w:lang w:val="sq-AL"/>
              </w:rPr>
              <w:lastRenderedPageBreak/>
              <w:t>Di</w:t>
            </w:r>
            <w:r>
              <w:rPr>
                <w:rFonts w:ascii="Arial Narrow" w:hAnsi="Arial Narrow"/>
                <w:sz w:val="20"/>
                <w:szCs w:val="20"/>
                <w:lang w:val="sq-AL"/>
              </w:rPr>
              <w:t>gj</w:t>
            </w:r>
            <w:r w:rsidRPr="008C3F3A">
              <w:rPr>
                <w:rFonts w:ascii="Arial Narrow" w:hAnsi="Arial Narrow"/>
                <w:sz w:val="20"/>
                <w:szCs w:val="20"/>
                <w:lang w:val="sq-AL"/>
              </w:rPr>
              <w:t>italizimi i shërbimit të grumbullimit të mbet</w:t>
            </w:r>
            <w:r>
              <w:rPr>
                <w:rFonts w:ascii="Arial Narrow" w:hAnsi="Arial Narrow"/>
                <w:sz w:val="20"/>
                <w:szCs w:val="20"/>
                <w:lang w:val="sq-AL"/>
              </w:rPr>
              <w:t>urinave.</w:t>
            </w:r>
          </w:p>
          <w:p w14:paraId="7E5B7360" w14:textId="77777777" w:rsidR="00B35AB5" w:rsidRPr="008C3F3A" w:rsidRDefault="00B35AB5" w:rsidP="00B35AB5">
            <w:pPr>
              <w:rPr>
                <w:rFonts w:ascii="Arial Narrow" w:hAnsi="Arial Narrow"/>
                <w:sz w:val="20"/>
                <w:szCs w:val="20"/>
                <w:lang w:val="sq-AL"/>
              </w:rPr>
            </w:pPr>
            <w:r w:rsidRPr="008C3F3A">
              <w:rPr>
                <w:rFonts w:ascii="Arial Narrow" w:hAnsi="Arial Narrow"/>
                <w:sz w:val="20"/>
                <w:szCs w:val="20"/>
                <w:lang w:val="sq-AL"/>
              </w:rPr>
              <w:t xml:space="preserve">Përmirësimi i </w:t>
            </w:r>
            <w:r>
              <w:rPr>
                <w:rFonts w:ascii="Arial Narrow" w:hAnsi="Arial Narrow"/>
                <w:sz w:val="20"/>
                <w:szCs w:val="20"/>
                <w:lang w:val="sq-AL"/>
              </w:rPr>
              <w:t>deponisë</w:t>
            </w:r>
            <w:r w:rsidRPr="008C3F3A">
              <w:rPr>
                <w:rFonts w:ascii="Arial Narrow" w:hAnsi="Arial Narrow"/>
                <w:sz w:val="20"/>
                <w:szCs w:val="20"/>
                <w:lang w:val="sq-AL"/>
              </w:rPr>
              <w:t xml:space="preserve"> ekzistues</w:t>
            </w:r>
            <w:r>
              <w:rPr>
                <w:rFonts w:ascii="Arial Narrow" w:hAnsi="Arial Narrow"/>
                <w:sz w:val="20"/>
                <w:szCs w:val="20"/>
                <w:lang w:val="sq-AL"/>
              </w:rPr>
              <w:t>e.</w:t>
            </w:r>
          </w:p>
          <w:p w14:paraId="50DBCD8B" w14:textId="156638C4" w:rsidR="00B35AB5" w:rsidRPr="00580B24" w:rsidRDefault="00B35AB5" w:rsidP="00B35AB5">
            <w:pPr>
              <w:rPr>
                <w:rFonts w:ascii="Arial Narrow" w:hAnsi="Arial Narrow"/>
                <w:sz w:val="20"/>
                <w:szCs w:val="20"/>
              </w:rPr>
            </w:pPr>
            <w:r w:rsidRPr="008C3F3A">
              <w:rPr>
                <w:rFonts w:ascii="Arial Narrow" w:hAnsi="Arial Narrow"/>
                <w:sz w:val="20"/>
                <w:szCs w:val="20"/>
                <w:lang w:val="sq-AL"/>
              </w:rPr>
              <w:t xml:space="preserve">Forcimi i kapaciteteve institucionale të </w:t>
            </w:r>
            <w:r>
              <w:rPr>
                <w:rFonts w:ascii="Arial Narrow" w:hAnsi="Arial Narrow"/>
                <w:sz w:val="20"/>
                <w:szCs w:val="20"/>
                <w:lang w:val="sq-AL"/>
              </w:rPr>
              <w:t>komunës</w:t>
            </w:r>
          </w:p>
        </w:tc>
      </w:tr>
      <w:tr w:rsidR="00B35AB5" w:rsidRPr="00580B24" w14:paraId="572FA9FA" w14:textId="77777777" w:rsidTr="004A40AC">
        <w:tc>
          <w:tcPr>
            <w:tcW w:w="1557" w:type="dxa"/>
          </w:tcPr>
          <w:p w14:paraId="2B142B8E" w14:textId="77777777" w:rsidR="00B35AB5" w:rsidRPr="00580B24" w:rsidRDefault="00B35AB5" w:rsidP="00B35AB5">
            <w:pPr>
              <w:rPr>
                <w:rFonts w:ascii="Arial Narrow" w:hAnsi="Arial Narrow"/>
                <w:sz w:val="20"/>
                <w:szCs w:val="20"/>
              </w:rPr>
            </w:pPr>
            <w:r w:rsidRPr="00580B24">
              <w:rPr>
                <w:rFonts w:ascii="Arial Narrow" w:hAnsi="Arial Narrow"/>
                <w:sz w:val="20"/>
                <w:szCs w:val="20"/>
              </w:rPr>
              <w:t>Istog</w:t>
            </w:r>
          </w:p>
        </w:tc>
        <w:tc>
          <w:tcPr>
            <w:tcW w:w="1486" w:type="dxa"/>
          </w:tcPr>
          <w:p w14:paraId="463E3A33" w14:textId="77777777" w:rsidR="00B35AB5" w:rsidRPr="008D2D8C" w:rsidRDefault="00B35AB5" w:rsidP="00B35AB5">
            <w:pPr>
              <w:rPr>
                <w:rFonts w:ascii="Arial Narrow" w:hAnsi="Arial Narrow"/>
                <w:sz w:val="20"/>
                <w:szCs w:val="20"/>
                <w:lang w:val="sq-AL"/>
              </w:rPr>
            </w:pPr>
            <w:r>
              <w:rPr>
                <w:rFonts w:ascii="Arial Narrow" w:hAnsi="Arial Narrow"/>
                <w:sz w:val="20"/>
                <w:szCs w:val="20"/>
                <w:lang w:val="sq-AL"/>
              </w:rPr>
              <w:t>Adoptuar</w:t>
            </w:r>
          </w:p>
          <w:p w14:paraId="5C4B94DC" w14:textId="77777777" w:rsidR="00B35AB5" w:rsidRPr="008D2D8C" w:rsidRDefault="00B35AB5" w:rsidP="00B35AB5">
            <w:pPr>
              <w:rPr>
                <w:rFonts w:ascii="Arial Narrow" w:hAnsi="Arial Narrow"/>
                <w:sz w:val="20"/>
                <w:szCs w:val="20"/>
                <w:lang w:val="sq-AL"/>
              </w:rPr>
            </w:pPr>
          </w:p>
          <w:p w14:paraId="5A9AB00F" w14:textId="77777777" w:rsidR="00B35AB5" w:rsidRPr="008D2D8C" w:rsidRDefault="00B35AB5" w:rsidP="00B35AB5">
            <w:pPr>
              <w:rPr>
                <w:rFonts w:ascii="Arial Narrow" w:hAnsi="Arial Narrow"/>
                <w:sz w:val="20"/>
                <w:szCs w:val="20"/>
                <w:lang w:val="sq-AL"/>
              </w:rPr>
            </w:pPr>
            <w:r w:rsidRPr="008D2D8C">
              <w:rPr>
                <w:rFonts w:ascii="Arial Narrow" w:hAnsi="Arial Narrow"/>
                <w:sz w:val="20"/>
                <w:szCs w:val="20"/>
                <w:lang w:val="sq-AL"/>
              </w:rPr>
              <w:t>2023-2027</w:t>
            </w:r>
          </w:p>
          <w:p w14:paraId="7B611E1D" w14:textId="77777777" w:rsidR="00B35AB5" w:rsidRPr="008D2D8C" w:rsidRDefault="00B35AB5" w:rsidP="00B35AB5">
            <w:pPr>
              <w:rPr>
                <w:rFonts w:ascii="Arial Narrow" w:hAnsi="Arial Narrow"/>
                <w:sz w:val="20"/>
                <w:szCs w:val="20"/>
                <w:lang w:val="sq-AL"/>
              </w:rPr>
            </w:pPr>
          </w:p>
          <w:p w14:paraId="7B7031BD" w14:textId="4E74DE78" w:rsidR="00B35AB5" w:rsidRPr="00580B24" w:rsidRDefault="00B35AB5" w:rsidP="00B35AB5">
            <w:pPr>
              <w:rPr>
                <w:rFonts w:ascii="Arial Narrow" w:hAnsi="Arial Narrow"/>
                <w:sz w:val="20"/>
                <w:szCs w:val="20"/>
              </w:rPr>
            </w:pPr>
          </w:p>
        </w:tc>
        <w:tc>
          <w:tcPr>
            <w:tcW w:w="1817" w:type="dxa"/>
          </w:tcPr>
          <w:p w14:paraId="798D7794"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Ndërgjegjësimi i qytetarëve për parandalimin e mbet</w:t>
            </w:r>
            <w:r>
              <w:rPr>
                <w:rFonts w:ascii="Arial Narrow" w:hAnsi="Arial Narrow"/>
                <w:sz w:val="20"/>
                <w:szCs w:val="20"/>
                <w:lang w:val="sq-AL"/>
              </w:rPr>
              <w:t>urinave.</w:t>
            </w:r>
          </w:p>
          <w:p w14:paraId="4331526A"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Riorganizimi i shërbimit për të mundësuar matjen e mbet</w:t>
            </w:r>
            <w:r>
              <w:rPr>
                <w:rFonts w:ascii="Arial Narrow" w:hAnsi="Arial Narrow"/>
                <w:sz w:val="20"/>
                <w:szCs w:val="20"/>
                <w:lang w:val="sq-AL"/>
              </w:rPr>
              <w:t>urinave</w:t>
            </w:r>
            <w:r w:rsidRPr="00CE0381">
              <w:rPr>
                <w:rFonts w:ascii="Arial Narrow" w:hAnsi="Arial Narrow"/>
                <w:sz w:val="20"/>
                <w:szCs w:val="20"/>
                <w:lang w:val="sq-AL"/>
              </w:rPr>
              <w:t xml:space="preserve"> të grumbulluara</w:t>
            </w:r>
          </w:p>
          <w:p w14:paraId="2FA30EA2" w14:textId="56338AD7" w:rsidR="00B35AB5" w:rsidRPr="00580B24" w:rsidRDefault="00B35AB5" w:rsidP="00B35AB5">
            <w:pPr>
              <w:rPr>
                <w:rFonts w:ascii="Arial Narrow" w:hAnsi="Arial Narrow"/>
                <w:sz w:val="20"/>
                <w:szCs w:val="20"/>
              </w:rPr>
            </w:pPr>
            <w:r w:rsidRPr="00CE0381">
              <w:rPr>
                <w:rFonts w:ascii="Arial Narrow" w:hAnsi="Arial Narrow"/>
                <w:sz w:val="20"/>
                <w:szCs w:val="20"/>
                <w:lang w:val="sq-AL"/>
              </w:rPr>
              <w:t>Shpërndarja e 120 kompostatorëve shtëpiak për familjet dhe bizneset</w:t>
            </w:r>
            <w:r>
              <w:rPr>
                <w:rFonts w:ascii="Arial Narrow" w:hAnsi="Arial Narrow"/>
                <w:sz w:val="20"/>
                <w:szCs w:val="20"/>
                <w:lang w:val="sq-AL"/>
              </w:rPr>
              <w:t>,</w:t>
            </w:r>
            <w:r w:rsidRPr="00CE0381">
              <w:rPr>
                <w:rFonts w:ascii="Arial Narrow" w:hAnsi="Arial Narrow"/>
                <w:sz w:val="20"/>
                <w:szCs w:val="20"/>
                <w:lang w:val="sq-AL"/>
              </w:rPr>
              <w:t xml:space="preserve"> çdo vit për periudhën 2024-2027</w:t>
            </w:r>
            <w:r>
              <w:rPr>
                <w:rFonts w:ascii="Arial Narrow" w:hAnsi="Arial Narrow"/>
                <w:sz w:val="20"/>
                <w:szCs w:val="20"/>
                <w:lang w:val="sq-AL"/>
              </w:rPr>
              <w:t>,</w:t>
            </w:r>
          </w:p>
        </w:tc>
        <w:tc>
          <w:tcPr>
            <w:tcW w:w="2103" w:type="dxa"/>
          </w:tcPr>
          <w:p w14:paraId="60608F31"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Zgjerimi i mbulimit me shërbimin e ndarjes së mbet</w:t>
            </w:r>
            <w:r>
              <w:rPr>
                <w:rFonts w:ascii="Arial Narrow" w:hAnsi="Arial Narrow"/>
                <w:sz w:val="20"/>
                <w:szCs w:val="20"/>
                <w:lang w:val="sq-AL"/>
              </w:rPr>
              <w:t>urinave</w:t>
            </w:r>
            <w:r w:rsidRPr="00CE0381">
              <w:rPr>
                <w:rFonts w:ascii="Arial Narrow" w:hAnsi="Arial Narrow"/>
                <w:sz w:val="20"/>
                <w:szCs w:val="20"/>
                <w:lang w:val="sq-AL"/>
              </w:rPr>
              <w:t xml:space="preserve"> në burim</w:t>
            </w:r>
          </w:p>
          <w:p w14:paraId="73622F80"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Riciklimi i mbet</w:t>
            </w:r>
            <w:r>
              <w:rPr>
                <w:rFonts w:ascii="Arial Narrow" w:hAnsi="Arial Narrow"/>
                <w:sz w:val="20"/>
                <w:szCs w:val="20"/>
                <w:lang w:val="sq-AL"/>
              </w:rPr>
              <w:t>urinave</w:t>
            </w:r>
            <w:r w:rsidRPr="00CE0381">
              <w:rPr>
                <w:rFonts w:ascii="Arial Narrow" w:hAnsi="Arial Narrow"/>
                <w:sz w:val="20"/>
                <w:szCs w:val="20"/>
                <w:lang w:val="sq-AL"/>
              </w:rPr>
              <w:t xml:space="preserve"> të riciklueshme jo të degradueshme</w:t>
            </w:r>
          </w:p>
          <w:p w14:paraId="7CB1648A" w14:textId="18C54680" w:rsidR="00B35AB5" w:rsidRPr="00580B24" w:rsidRDefault="00B35AB5" w:rsidP="00B35AB5">
            <w:pPr>
              <w:rPr>
                <w:rFonts w:ascii="Arial Narrow" w:hAnsi="Arial Narrow"/>
                <w:sz w:val="20"/>
                <w:szCs w:val="20"/>
              </w:rPr>
            </w:pPr>
            <w:r w:rsidRPr="00CE0381">
              <w:rPr>
                <w:rFonts w:ascii="Arial Narrow" w:hAnsi="Arial Narrow"/>
                <w:sz w:val="20"/>
                <w:szCs w:val="20"/>
                <w:lang w:val="sq-AL"/>
              </w:rPr>
              <w:t>Riciklimi i mbet</w:t>
            </w:r>
            <w:r>
              <w:rPr>
                <w:rFonts w:ascii="Arial Narrow" w:hAnsi="Arial Narrow"/>
                <w:sz w:val="20"/>
                <w:szCs w:val="20"/>
                <w:lang w:val="sq-AL"/>
              </w:rPr>
              <w:t>urinave</w:t>
            </w:r>
            <w:r w:rsidRPr="00CE0381">
              <w:rPr>
                <w:rFonts w:ascii="Arial Narrow" w:hAnsi="Arial Narrow"/>
                <w:sz w:val="20"/>
                <w:szCs w:val="20"/>
                <w:lang w:val="sq-AL"/>
              </w:rPr>
              <w:t xml:space="preserve"> të bio-degradueshme</w:t>
            </w:r>
            <w:r>
              <w:rPr>
                <w:rFonts w:ascii="Arial Narrow" w:hAnsi="Arial Narrow"/>
                <w:sz w:val="20"/>
                <w:szCs w:val="20"/>
                <w:lang w:val="sq-AL"/>
              </w:rPr>
              <w:t>.</w:t>
            </w:r>
          </w:p>
        </w:tc>
        <w:tc>
          <w:tcPr>
            <w:tcW w:w="2053" w:type="dxa"/>
          </w:tcPr>
          <w:p w14:paraId="05206014"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Zgjerimi i mbulimit me shërbimin e ndarjes së mbet</w:t>
            </w:r>
            <w:r>
              <w:rPr>
                <w:rFonts w:ascii="Arial Narrow" w:hAnsi="Arial Narrow"/>
                <w:sz w:val="20"/>
                <w:szCs w:val="20"/>
                <w:lang w:val="sq-AL"/>
              </w:rPr>
              <w:t>urinave</w:t>
            </w:r>
            <w:r w:rsidRPr="00CE0381">
              <w:rPr>
                <w:rFonts w:ascii="Arial Narrow" w:hAnsi="Arial Narrow"/>
                <w:sz w:val="20"/>
                <w:szCs w:val="20"/>
                <w:lang w:val="sq-AL"/>
              </w:rPr>
              <w:t xml:space="preserve"> në burim</w:t>
            </w:r>
          </w:p>
          <w:p w14:paraId="46129AFC"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Riciklimi i mbet</w:t>
            </w:r>
            <w:r>
              <w:rPr>
                <w:rFonts w:ascii="Arial Narrow" w:hAnsi="Arial Narrow"/>
                <w:sz w:val="20"/>
                <w:szCs w:val="20"/>
                <w:lang w:val="sq-AL"/>
              </w:rPr>
              <w:t>urinave</w:t>
            </w:r>
            <w:r w:rsidRPr="00CE0381">
              <w:rPr>
                <w:rFonts w:ascii="Arial Narrow" w:hAnsi="Arial Narrow"/>
                <w:sz w:val="20"/>
                <w:szCs w:val="20"/>
                <w:lang w:val="sq-AL"/>
              </w:rPr>
              <w:t xml:space="preserve"> të riciklueshme jo të degradueshme</w:t>
            </w:r>
          </w:p>
          <w:p w14:paraId="1561776F" w14:textId="52D08678" w:rsidR="00B35AB5" w:rsidRPr="00580B24" w:rsidRDefault="00B35AB5" w:rsidP="00B35AB5">
            <w:pPr>
              <w:rPr>
                <w:rFonts w:ascii="Arial Narrow" w:hAnsi="Arial Narrow"/>
                <w:sz w:val="20"/>
                <w:szCs w:val="20"/>
              </w:rPr>
            </w:pPr>
            <w:r w:rsidRPr="00CE0381">
              <w:rPr>
                <w:rFonts w:ascii="Arial Narrow" w:hAnsi="Arial Narrow"/>
                <w:sz w:val="20"/>
                <w:szCs w:val="20"/>
                <w:lang w:val="sq-AL"/>
              </w:rPr>
              <w:t>Riciklimi i mbet</w:t>
            </w:r>
            <w:r>
              <w:rPr>
                <w:rFonts w:ascii="Arial Narrow" w:hAnsi="Arial Narrow"/>
                <w:sz w:val="20"/>
                <w:szCs w:val="20"/>
                <w:lang w:val="sq-AL"/>
              </w:rPr>
              <w:t>urinave</w:t>
            </w:r>
            <w:r w:rsidRPr="00CE0381">
              <w:rPr>
                <w:rFonts w:ascii="Arial Narrow" w:hAnsi="Arial Narrow"/>
                <w:sz w:val="20"/>
                <w:szCs w:val="20"/>
                <w:lang w:val="sq-AL"/>
              </w:rPr>
              <w:t xml:space="preserve"> të bio-degradueshme</w:t>
            </w:r>
            <w:r>
              <w:rPr>
                <w:rFonts w:ascii="Arial Narrow" w:hAnsi="Arial Narrow"/>
                <w:sz w:val="20"/>
                <w:szCs w:val="20"/>
                <w:lang w:val="sq-AL"/>
              </w:rPr>
              <w:t>.</w:t>
            </w:r>
          </w:p>
        </w:tc>
      </w:tr>
      <w:tr w:rsidR="00B35AB5" w:rsidRPr="00580B24" w14:paraId="2840283C" w14:textId="77777777" w:rsidTr="004A40AC">
        <w:tc>
          <w:tcPr>
            <w:tcW w:w="1557" w:type="dxa"/>
          </w:tcPr>
          <w:p w14:paraId="5A98AEB1" w14:textId="57050F51" w:rsidR="00B35AB5" w:rsidRPr="00580B24" w:rsidRDefault="00B35AB5" w:rsidP="00B35AB5">
            <w:pPr>
              <w:rPr>
                <w:rFonts w:ascii="Arial Narrow" w:hAnsi="Arial Narrow"/>
                <w:sz w:val="20"/>
                <w:szCs w:val="20"/>
              </w:rPr>
            </w:pPr>
            <w:r w:rsidRPr="00580B24">
              <w:rPr>
                <w:rFonts w:ascii="Arial Narrow" w:hAnsi="Arial Narrow"/>
                <w:sz w:val="20"/>
                <w:szCs w:val="20"/>
              </w:rPr>
              <w:t>Klinë</w:t>
            </w:r>
          </w:p>
        </w:tc>
        <w:tc>
          <w:tcPr>
            <w:tcW w:w="1486" w:type="dxa"/>
          </w:tcPr>
          <w:p w14:paraId="06D2EBF5" w14:textId="77777777" w:rsidR="00B35AB5" w:rsidRPr="008D2D8C" w:rsidRDefault="00B35AB5" w:rsidP="00B35AB5">
            <w:pPr>
              <w:rPr>
                <w:rFonts w:ascii="Arial Narrow" w:hAnsi="Arial Narrow"/>
                <w:sz w:val="20"/>
                <w:szCs w:val="20"/>
                <w:lang w:val="sq-AL"/>
              </w:rPr>
            </w:pPr>
            <w:r>
              <w:rPr>
                <w:rFonts w:ascii="Arial Narrow" w:hAnsi="Arial Narrow"/>
                <w:sz w:val="20"/>
                <w:szCs w:val="20"/>
                <w:lang w:val="sq-AL"/>
              </w:rPr>
              <w:t>Adoptuar</w:t>
            </w:r>
            <w:r w:rsidRPr="008D2D8C">
              <w:rPr>
                <w:rFonts w:ascii="Arial Narrow" w:hAnsi="Arial Narrow"/>
                <w:sz w:val="20"/>
                <w:szCs w:val="20"/>
                <w:lang w:val="sq-AL"/>
              </w:rPr>
              <w:t xml:space="preserve"> </w:t>
            </w:r>
          </w:p>
          <w:p w14:paraId="64B2DBFC" w14:textId="77777777" w:rsidR="00B35AB5" w:rsidRPr="008D2D8C" w:rsidRDefault="00B35AB5" w:rsidP="00B35AB5">
            <w:pPr>
              <w:rPr>
                <w:rFonts w:ascii="Arial Narrow" w:hAnsi="Arial Narrow"/>
                <w:sz w:val="20"/>
                <w:szCs w:val="20"/>
                <w:lang w:val="sq-AL"/>
              </w:rPr>
            </w:pPr>
          </w:p>
          <w:p w14:paraId="5CA6AD0B" w14:textId="3CAE456A" w:rsidR="00B35AB5" w:rsidRPr="00580B24" w:rsidRDefault="00B35AB5" w:rsidP="00B35AB5">
            <w:pPr>
              <w:rPr>
                <w:rFonts w:ascii="Arial Narrow" w:hAnsi="Arial Narrow"/>
                <w:sz w:val="20"/>
                <w:szCs w:val="20"/>
              </w:rPr>
            </w:pPr>
            <w:r w:rsidRPr="008D2D8C">
              <w:rPr>
                <w:rFonts w:ascii="Arial Narrow" w:hAnsi="Arial Narrow"/>
                <w:sz w:val="20"/>
                <w:szCs w:val="20"/>
                <w:lang w:val="sq-AL"/>
              </w:rPr>
              <w:t>2023-2027</w:t>
            </w:r>
          </w:p>
        </w:tc>
        <w:tc>
          <w:tcPr>
            <w:tcW w:w="1817" w:type="dxa"/>
          </w:tcPr>
          <w:p w14:paraId="7E15A515" w14:textId="77777777" w:rsidR="00B35AB5" w:rsidRPr="00CE0381" w:rsidRDefault="00B35AB5" w:rsidP="00B35AB5">
            <w:pPr>
              <w:rPr>
                <w:rFonts w:ascii="Arial Narrow" w:hAnsi="Arial Narrow"/>
                <w:sz w:val="20"/>
                <w:szCs w:val="20"/>
                <w:lang w:val="sq-AL"/>
              </w:rPr>
            </w:pPr>
            <w:r>
              <w:rPr>
                <w:rFonts w:ascii="Arial Narrow" w:hAnsi="Arial Narrow"/>
                <w:sz w:val="20"/>
                <w:szCs w:val="20"/>
                <w:lang w:val="sq-AL"/>
              </w:rPr>
              <w:t xml:space="preserve">Fokusimi </w:t>
            </w:r>
            <w:r w:rsidRPr="00CE0381">
              <w:rPr>
                <w:rFonts w:ascii="Arial Narrow" w:hAnsi="Arial Narrow"/>
                <w:sz w:val="20"/>
                <w:szCs w:val="20"/>
                <w:lang w:val="sq-AL"/>
              </w:rPr>
              <w:t>në reduktimin dhe minimizimin e gjenerimit të mbet</w:t>
            </w:r>
            <w:r>
              <w:rPr>
                <w:rFonts w:ascii="Arial Narrow" w:hAnsi="Arial Narrow"/>
                <w:sz w:val="20"/>
                <w:szCs w:val="20"/>
                <w:lang w:val="sq-AL"/>
              </w:rPr>
              <w:t>urinave</w:t>
            </w:r>
            <w:r w:rsidRPr="00CE0381">
              <w:rPr>
                <w:rFonts w:ascii="Arial Narrow" w:hAnsi="Arial Narrow"/>
                <w:sz w:val="20"/>
                <w:szCs w:val="20"/>
                <w:lang w:val="sq-AL"/>
              </w:rPr>
              <w:t>.</w:t>
            </w:r>
          </w:p>
          <w:p w14:paraId="1F6B1543"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 xml:space="preserve">Promovimi i ripërdorimit të materialeve përpara </w:t>
            </w:r>
            <w:r>
              <w:rPr>
                <w:rFonts w:ascii="Arial Narrow" w:hAnsi="Arial Narrow"/>
                <w:sz w:val="20"/>
                <w:szCs w:val="20"/>
                <w:lang w:val="sq-AL"/>
              </w:rPr>
              <w:t>se të hudhen</w:t>
            </w:r>
            <w:r w:rsidRPr="00CE0381">
              <w:rPr>
                <w:rFonts w:ascii="Arial Narrow" w:hAnsi="Arial Narrow"/>
                <w:sz w:val="20"/>
                <w:szCs w:val="20"/>
                <w:lang w:val="sq-AL"/>
              </w:rPr>
              <w:t>.</w:t>
            </w:r>
          </w:p>
          <w:p w14:paraId="6A1B5DEA"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Zbatimi i nismave dhe programeve të riciklimit për të rritur normat e riciklimit dhe rikuperimin e burimeve.</w:t>
            </w:r>
          </w:p>
          <w:p w14:paraId="5CDFB146" w14:textId="36EECB27" w:rsidR="00B35AB5" w:rsidRPr="00580B24" w:rsidRDefault="00B35AB5" w:rsidP="00B35AB5">
            <w:pPr>
              <w:rPr>
                <w:rFonts w:ascii="Arial Narrow" w:hAnsi="Arial Narrow"/>
                <w:sz w:val="20"/>
                <w:szCs w:val="20"/>
              </w:rPr>
            </w:pPr>
            <w:r w:rsidRPr="00CE0381">
              <w:rPr>
                <w:rFonts w:ascii="Arial Narrow" w:hAnsi="Arial Narrow"/>
                <w:sz w:val="20"/>
                <w:szCs w:val="20"/>
                <w:lang w:val="sq-AL"/>
              </w:rPr>
              <w:t>Shpërndarja e kompostatorëve nëpër amvisëri dhe restorante.</w:t>
            </w:r>
          </w:p>
        </w:tc>
        <w:tc>
          <w:tcPr>
            <w:tcW w:w="2103" w:type="dxa"/>
          </w:tcPr>
          <w:p w14:paraId="15789B40"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 xml:space="preserve">Futja e sistemit të ndarjes </w:t>
            </w:r>
            <w:r>
              <w:rPr>
                <w:rFonts w:ascii="Arial Narrow" w:hAnsi="Arial Narrow"/>
                <w:sz w:val="20"/>
                <w:szCs w:val="20"/>
                <w:lang w:val="sq-AL"/>
              </w:rPr>
              <w:t>n</w:t>
            </w:r>
            <w:r w:rsidRPr="00CE0381">
              <w:rPr>
                <w:rFonts w:ascii="Arial Narrow" w:hAnsi="Arial Narrow"/>
                <w:sz w:val="20"/>
                <w:szCs w:val="20"/>
                <w:lang w:val="sq-AL"/>
              </w:rPr>
              <w:t>ë burim</w:t>
            </w:r>
          </w:p>
          <w:p w14:paraId="4EE8B5E7"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Ndërtimi i oborrit të ricikl</w:t>
            </w:r>
            <w:r>
              <w:rPr>
                <w:rFonts w:ascii="Arial Narrow" w:hAnsi="Arial Narrow"/>
                <w:sz w:val="20"/>
                <w:szCs w:val="20"/>
                <w:lang w:val="sq-AL"/>
              </w:rPr>
              <w:t>imit</w:t>
            </w:r>
            <w:r w:rsidRPr="00CE0381">
              <w:rPr>
                <w:rFonts w:ascii="Arial Narrow" w:hAnsi="Arial Narrow"/>
                <w:sz w:val="20"/>
                <w:szCs w:val="20"/>
                <w:lang w:val="sq-AL"/>
              </w:rPr>
              <w:t xml:space="preserve"> për klasifikimin dhe ngjeshjen e mbet</w:t>
            </w:r>
            <w:r>
              <w:rPr>
                <w:rFonts w:ascii="Arial Narrow" w:hAnsi="Arial Narrow"/>
                <w:sz w:val="20"/>
                <w:szCs w:val="20"/>
                <w:lang w:val="sq-AL"/>
              </w:rPr>
              <w:t>urinave</w:t>
            </w:r>
            <w:r w:rsidRPr="00CE0381">
              <w:rPr>
                <w:rFonts w:ascii="Arial Narrow" w:hAnsi="Arial Narrow"/>
                <w:sz w:val="20"/>
                <w:szCs w:val="20"/>
                <w:lang w:val="sq-AL"/>
              </w:rPr>
              <w:t xml:space="preserve"> që do t'u shiten ricikluesve përfundimtarë</w:t>
            </w:r>
            <w:r>
              <w:rPr>
                <w:rFonts w:ascii="Arial Narrow" w:hAnsi="Arial Narrow"/>
                <w:sz w:val="20"/>
                <w:szCs w:val="20"/>
                <w:lang w:val="sq-AL"/>
              </w:rPr>
              <w:t>.</w:t>
            </w:r>
          </w:p>
          <w:p w14:paraId="4ABD77F1" w14:textId="50972C9E" w:rsidR="00B35AB5" w:rsidRPr="00580B24" w:rsidRDefault="00B35AB5" w:rsidP="00B35AB5">
            <w:pPr>
              <w:rPr>
                <w:rFonts w:ascii="Arial Narrow" w:hAnsi="Arial Narrow"/>
                <w:sz w:val="20"/>
                <w:szCs w:val="20"/>
              </w:rPr>
            </w:pPr>
            <w:r w:rsidRPr="00CE0381">
              <w:rPr>
                <w:rFonts w:ascii="Arial Narrow" w:hAnsi="Arial Narrow"/>
                <w:sz w:val="20"/>
                <w:szCs w:val="20"/>
                <w:lang w:val="sq-AL"/>
              </w:rPr>
              <w:t>Kontraktimi i operatorëve të licencuar për grumbullimin dhe transportimin e mbet</w:t>
            </w:r>
            <w:r>
              <w:rPr>
                <w:rFonts w:ascii="Arial Narrow" w:hAnsi="Arial Narrow"/>
                <w:sz w:val="20"/>
                <w:szCs w:val="20"/>
                <w:lang w:val="sq-AL"/>
              </w:rPr>
              <w:t>urinave</w:t>
            </w:r>
            <w:r w:rsidRPr="00CE0381">
              <w:rPr>
                <w:rFonts w:ascii="Arial Narrow" w:hAnsi="Arial Narrow"/>
                <w:sz w:val="20"/>
                <w:szCs w:val="20"/>
                <w:lang w:val="sq-AL"/>
              </w:rPr>
              <w:t xml:space="preserve"> të riciklueshme.</w:t>
            </w:r>
          </w:p>
        </w:tc>
        <w:tc>
          <w:tcPr>
            <w:tcW w:w="2053" w:type="dxa"/>
          </w:tcPr>
          <w:p w14:paraId="1BA654E9"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Rritja e ndërgjegjësimit të publikut për ndarjen e mbet</w:t>
            </w:r>
            <w:r>
              <w:rPr>
                <w:rFonts w:ascii="Arial Narrow" w:hAnsi="Arial Narrow"/>
                <w:sz w:val="20"/>
                <w:szCs w:val="20"/>
                <w:lang w:val="sq-AL"/>
              </w:rPr>
              <w:t>urinave</w:t>
            </w:r>
            <w:r w:rsidRPr="00CE0381">
              <w:rPr>
                <w:rFonts w:ascii="Arial Narrow" w:hAnsi="Arial Narrow"/>
                <w:sz w:val="20"/>
                <w:szCs w:val="20"/>
                <w:lang w:val="sq-AL"/>
              </w:rPr>
              <w:t xml:space="preserve"> përmes programeve.</w:t>
            </w:r>
          </w:p>
          <w:p w14:paraId="5714268A"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 xml:space="preserve">Promovimi i Ripërdorimit të materialeve përpara </w:t>
            </w:r>
            <w:r>
              <w:rPr>
                <w:rFonts w:ascii="Arial Narrow" w:hAnsi="Arial Narrow"/>
                <w:sz w:val="20"/>
                <w:szCs w:val="20"/>
                <w:lang w:val="sq-AL"/>
              </w:rPr>
              <w:t>hudhjes/deponimit</w:t>
            </w:r>
            <w:r w:rsidRPr="00CE0381">
              <w:rPr>
                <w:rFonts w:ascii="Arial Narrow" w:hAnsi="Arial Narrow"/>
                <w:sz w:val="20"/>
                <w:szCs w:val="20"/>
                <w:lang w:val="sq-AL"/>
              </w:rPr>
              <w:t>.</w:t>
            </w:r>
          </w:p>
          <w:p w14:paraId="3B17694E"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 xml:space="preserve">Përmirësimi i </w:t>
            </w:r>
            <w:r>
              <w:rPr>
                <w:rFonts w:ascii="Arial Narrow" w:hAnsi="Arial Narrow"/>
                <w:sz w:val="20"/>
                <w:szCs w:val="20"/>
                <w:lang w:val="sq-AL"/>
              </w:rPr>
              <w:t>deponisë</w:t>
            </w:r>
            <w:r w:rsidRPr="00CE0381">
              <w:rPr>
                <w:rFonts w:ascii="Arial Narrow" w:hAnsi="Arial Narrow"/>
                <w:sz w:val="20"/>
                <w:szCs w:val="20"/>
                <w:lang w:val="sq-AL"/>
              </w:rPr>
              <w:t xml:space="preserve"> ekzistues</w:t>
            </w:r>
            <w:r>
              <w:rPr>
                <w:rFonts w:ascii="Arial Narrow" w:hAnsi="Arial Narrow"/>
                <w:sz w:val="20"/>
                <w:szCs w:val="20"/>
                <w:lang w:val="sq-AL"/>
              </w:rPr>
              <w:t>e.</w:t>
            </w:r>
          </w:p>
          <w:p w14:paraId="4C7E66F2" w14:textId="0C2FA1C4" w:rsidR="00B35AB5" w:rsidRPr="00580B24" w:rsidRDefault="00B35AB5" w:rsidP="00B35AB5">
            <w:pPr>
              <w:rPr>
                <w:rFonts w:ascii="Arial Narrow" w:hAnsi="Arial Narrow"/>
                <w:sz w:val="20"/>
                <w:szCs w:val="20"/>
              </w:rPr>
            </w:pPr>
            <w:r w:rsidRPr="00CE0381">
              <w:rPr>
                <w:rFonts w:ascii="Arial Narrow" w:hAnsi="Arial Narrow"/>
                <w:sz w:val="20"/>
                <w:szCs w:val="20"/>
                <w:lang w:val="sq-AL"/>
              </w:rPr>
              <w:t xml:space="preserve">Forcimi i kapaciteteve institucionale të </w:t>
            </w:r>
            <w:r>
              <w:rPr>
                <w:rFonts w:ascii="Arial Narrow" w:hAnsi="Arial Narrow"/>
                <w:sz w:val="20"/>
                <w:szCs w:val="20"/>
                <w:lang w:val="sq-AL"/>
              </w:rPr>
              <w:t>komunës</w:t>
            </w:r>
          </w:p>
        </w:tc>
      </w:tr>
      <w:tr w:rsidR="00B35AB5" w:rsidRPr="00580B24" w14:paraId="6CB21FAA" w14:textId="77777777" w:rsidTr="004A40AC">
        <w:tc>
          <w:tcPr>
            <w:tcW w:w="1557" w:type="dxa"/>
          </w:tcPr>
          <w:p w14:paraId="405442DD" w14:textId="376F0BF5" w:rsidR="00B35AB5" w:rsidRPr="00580B24" w:rsidRDefault="00B35AB5" w:rsidP="00B35AB5">
            <w:pPr>
              <w:rPr>
                <w:rFonts w:ascii="Arial Narrow" w:hAnsi="Arial Narrow"/>
                <w:sz w:val="20"/>
                <w:szCs w:val="20"/>
              </w:rPr>
            </w:pPr>
            <w:r w:rsidRPr="00580B24">
              <w:rPr>
                <w:rFonts w:ascii="Arial Narrow" w:hAnsi="Arial Narrow"/>
                <w:sz w:val="20"/>
                <w:szCs w:val="20"/>
              </w:rPr>
              <w:t>Deçan</w:t>
            </w:r>
          </w:p>
        </w:tc>
        <w:tc>
          <w:tcPr>
            <w:tcW w:w="1486" w:type="dxa"/>
          </w:tcPr>
          <w:p w14:paraId="03CCA3CA" w14:textId="77777777" w:rsidR="00B35AB5" w:rsidRPr="008D2D8C" w:rsidRDefault="00B35AB5" w:rsidP="00B35AB5">
            <w:pPr>
              <w:rPr>
                <w:rFonts w:ascii="Arial Narrow" w:hAnsi="Arial Narrow"/>
                <w:sz w:val="20"/>
                <w:szCs w:val="20"/>
                <w:lang w:val="sq-AL"/>
              </w:rPr>
            </w:pPr>
            <w:r w:rsidRPr="008D2D8C">
              <w:rPr>
                <w:rFonts w:ascii="Arial Narrow" w:hAnsi="Arial Narrow"/>
                <w:sz w:val="20"/>
                <w:szCs w:val="20"/>
                <w:lang w:val="sq-AL"/>
              </w:rPr>
              <w:t>A</w:t>
            </w:r>
            <w:r>
              <w:rPr>
                <w:rFonts w:ascii="Arial Narrow" w:hAnsi="Arial Narrow"/>
                <w:sz w:val="20"/>
                <w:szCs w:val="20"/>
                <w:lang w:val="sq-AL"/>
              </w:rPr>
              <w:t>doptuar</w:t>
            </w:r>
          </w:p>
          <w:p w14:paraId="5CB41FD3" w14:textId="77777777" w:rsidR="00B35AB5" w:rsidRPr="008D2D8C" w:rsidRDefault="00B35AB5" w:rsidP="00B35AB5">
            <w:pPr>
              <w:rPr>
                <w:rFonts w:ascii="Arial Narrow" w:hAnsi="Arial Narrow"/>
                <w:sz w:val="20"/>
                <w:szCs w:val="20"/>
                <w:lang w:val="sq-AL"/>
              </w:rPr>
            </w:pPr>
          </w:p>
          <w:p w14:paraId="076B2400" w14:textId="0535B846" w:rsidR="00B35AB5" w:rsidRPr="00580B24" w:rsidRDefault="00B35AB5" w:rsidP="00B35AB5">
            <w:pPr>
              <w:rPr>
                <w:rFonts w:ascii="Arial Narrow" w:hAnsi="Arial Narrow"/>
                <w:sz w:val="20"/>
                <w:szCs w:val="20"/>
              </w:rPr>
            </w:pPr>
            <w:r w:rsidRPr="008D2D8C">
              <w:rPr>
                <w:rFonts w:ascii="Arial Narrow" w:hAnsi="Arial Narrow"/>
                <w:sz w:val="20"/>
                <w:szCs w:val="20"/>
                <w:lang w:val="sq-AL"/>
              </w:rPr>
              <w:t>2023-2027</w:t>
            </w:r>
          </w:p>
        </w:tc>
        <w:tc>
          <w:tcPr>
            <w:tcW w:w="1817" w:type="dxa"/>
          </w:tcPr>
          <w:p w14:paraId="6B9EFF81"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Ristrukturimi i grumbullimit të mbet</w:t>
            </w:r>
            <w:r>
              <w:rPr>
                <w:rFonts w:ascii="Arial Narrow" w:hAnsi="Arial Narrow"/>
                <w:sz w:val="20"/>
                <w:szCs w:val="20"/>
                <w:lang w:val="sq-AL"/>
              </w:rPr>
              <w:t>uirnave</w:t>
            </w:r>
            <w:r w:rsidRPr="00CE0381">
              <w:rPr>
                <w:rFonts w:ascii="Arial Narrow" w:hAnsi="Arial Narrow"/>
                <w:sz w:val="20"/>
                <w:szCs w:val="20"/>
                <w:lang w:val="sq-AL"/>
              </w:rPr>
              <w:t xml:space="preserve"> për të përmirësuar efikasitetin dhe efektivitetin në menaxhimin e mbet</w:t>
            </w:r>
            <w:r>
              <w:rPr>
                <w:rFonts w:ascii="Arial Narrow" w:hAnsi="Arial Narrow"/>
                <w:sz w:val="20"/>
                <w:szCs w:val="20"/>
                <w:lang w:val="sq-AL"/>
              </w:rPr>
              <w:t>urinave</w:t>
            </w:r>
          </w:p>
          <w:p w14:paraId="4DBCDC7E"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Vendosja e tarifave bazuar në vëllimin e mbet</w:t>
            </w:r>
            <w:r>
              <w:rPr>
                <w:rFonts w:ascii="Arial Narrow" w:hAnsi="Arial Narrow"/>
                <w:sz w:val="20"/>
                <w:szCs w:val="20"/>
                <w:lang w:val="sq-AL"/>
              </w:rPr>
              <w:t>urinave</w:t>
            </w:r>
            <w:r w:rsidRPr="00CE0381">
              <w:rPr>
                <w:rFonts w:ascii="Arial Narrow" w:hAnsi="Arial Narrow"/>
                <w:sz w:val="20"/>
                <w:szCs w:val="20"/>
                <w:lang w:val="sq-AL"/>
              </w:rPr>
              <w:t xml:space="preserve"> të gjeneruara për të inkurajuar reduktimin e mbet</w:t>
            </w:r>
            <w:r>
              <w:rPr>
                <w:rFonts w:ascii="Arial Narrow" w:hAnsi="Arial Narrow"/>
                <w:sz w:val="20"/>
                <w:szCs w:val="20"/>
                <w:lang w:val="sq-AL"/>
              </w:rPr>
              <w:t>urinave.</w:t>
            </w:r>
          </w:p>
          <w:p w14:paraId="799FE40D" w14:textId="6163A583" w:rsidR="00B35AB5" w:rsidRPr="00580B24" w:rsidRDefault="00B35AB5" w:rsidP="00B35AB5">
            <w:pPr>
              <w:rPr>
                <w:rFonts w:ascii="Arial Narrow" w:hAnsi="Arial Narrow"/>
                <w:sz w:val="20"/>
                <w:szCs w:val="20"/>
              </w:rPr>
            </w:pPr>
            <w:r w:rsidRPr="00CE0381">
              <w:rPr>
                <w:rFonts w:ascii="Arial Narrow" w:hAnsi="Arial Narrow"/>
                <w:sz w:val="20"/>
                <w:szCs w:val="20"/>
                <w:lang w:val="sq-AL"/>
              </w:rPr>
              <w:lastRenderedPageBreak/>
              <w:t>Sigurimi i kompostuesve për familjet për të promovuar kompostimin dhe reduktimin e mbet</w:t>
            </w:r>
            <w:r>
              <w:rPr>
                <w:rFonts w:ascii="Arial Narrow" w:hAnsi="Arial Narrow"/>
                <w:sz w:val="20"/>
                <w:szCs w:val="20"/>
                <w:lang w:val="sq-AL"/>
              </w:rPr>
              <w:t>urinave</w:t>
            </w:r>
            <w:r w:rsidRPr="00CE0381">
              <w:rPr>
                <w:rFonts w:ascii="Arial Narrow" w:hAnsi="Arial Narrow"/>
                <w:sz w:val="20"/>
                <w:szCs w:val="20"/>
                <w:lang w:val="sq-AL"/>
              </w:rPr>
              <w:t xml:space="preserve"> organike</w:t>
            </w:r>
          </w:p>
        </w:tc>
        <w:tc>
          <w:tcPr>
            <w:tcW w:w="2103" w:type="dxa"/>
          </w:tcPr>
          <w:p w14:paraId="6F417B34"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lastRenderedPageBreak/>
              <w:t xml:space="preserve">Futja e sistemit të ndarjes </w:t>
            </w:r>
            <w:r>
              <w:rPr>
                <w:rFonts w:ascii="Arial Narrow" w:hAnsi="Arial Narrow"/>
                <w:sz w:val="20"/>
                <w:szCs w:val="20"/>
                <w:lang w:val="sq-AL"/>
              </w:rPr>
              <w:t>n</w:t>
            </w:r>
            <w:r w:rsidRPr="00CE0381">
              <w:rPr>
                <w:rFonts w:ascii="Arial Narrow" w:hAnsi="Arial Narrow"/>
                <w:sz w:val="20"/>
                <w:szCs w:val="20"/>
                <w:lang w:val="sq-AL"/>
              </w:rPr>
              <w:t>ë burim</w:t>
            </w:r>
            <w:r>
              <w:rPr>
                <w:rFonts w:ascii="Arial Narrow" w:hAnsi="Arial Narrow"/>
                <w:sz w:val="20"/>
                <w:szCs w:val="20"/>
                <w:lang w:val="sq-AL"/>
              </w:rPr>
              <w:t>.</w:t>
            </w:r>
          </w:p>
          <w:p w14:paraId="3E2063FD"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Krijimi i objekteve për klasifikimin e materialeve të riciklueshme</w:t>
            </w:r>
          </w:p>
          <w:p w14:paraId="7BA8C28A"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Përmirësimi i infrastrukturës për grumbullimin dhe transportin e lëndëve të riciklueshme</w:t>
            </w:r>
          </w:p>
          <w:p w14:paraId="143C1BFA"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Zbatimi i fushatave ndërgjegjësuese për rritjen e pjesëmarrjes së publikut në programet e riciklimit.</w:t>
            </w:r>
          </w:p>
          <w:p w14:paraId="101ED227" w14:textId="6109F267" w:rsidR="00B35AB5" w:rsidRPr="00580B24" w:rsidRDefault="00B35AB5" w:rsidP="00B35AB5">
            <w:pPr>
              <w:rPr>
                <w:rFonts w:ascii="Arial Narrow" w:hAnsi="Arial Narrow"/>
                <w:sz w:val="20"/>
                <w:szCs w:val="20"/>
              </w:rPr>
            </w:pPr>
            <w:r w:rsidRPr="00CE0381">
              <w:rPr>
                <w:rFonts w:ascii="Arial Narrow" w:hAnsi="Arial Narrow"/>
                <w:sz w:val="20"/>
                <w:szCs w:val="20"/>
                <w:lang w:val="sq-AL"/>
              </w:rPr>
              <w:lastRenderedPageBreak/>
              <w:t>Krijimi i partneriteteve me kompanitë e riciklimit për të lehtësuar ri</w:t>
            </w:r>
            <w:r>
              <w:rPr>
                <w:rFonts w:ascii="Arial Narrow" w:hAnsi="Arial Narrow"/>
                <w:sz w:val="20"/>
                <w:szCs w:val="20"/>
                <w:lang w:val="sq-AL"/>
              </w:rPr>
              <w:t>përdorimin</w:t>
            </w:r>
            <w:r w:rsidRPr="00CE0381">
              <w:rPr>
                <w:rFonts w:ascii="Arial Narrow" w:hAnsi="Arial Narrow"/>
                <w:sz w:val="20"/>
                <w:szCs w:val="20"/>
                <w:lang w:val="sq-AL"/>
              </w:rPr>
              <w:t xml:space="preserve"> e material</w:t>
            </w:r>
            <w:r>
              <w:rPr>
                <w:rFonts w:ascii="Arial Narrow" w:hAnsi="Arial Narrow"/>
                <w:sz w:val="20"/>
                <w:szCs w:val="20"/>
                <w:lang w:val="sq-AL"/>
              </w:rPr>
              <w:t>eve</w:t>
            </w:r>
          </w:p>
        </w:tc>
        <w:tc>
          <w:tcPr>
            <w:tcW w:w="2053" w:type="dxa"/>
          </w:tcPr>
          <w:p w14:paraId="3E1C579B"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lastRenderedPageBreak/>
              <w:t>Krijimi i një fondi të dedikuar për të mbështetur projektet e vazhdueshme të menaxhimit të mbet</w:t>
            </w:r>
            <w:r>
              <w:rPr>
                <w:rFonts w:ascii="Arial Narrow" w:hAnsi="Arial Narrow"/>
                <w:sz w:val="20"/>
                <w:szCs w:val="20"/>
                <w:lang w:val="sq-AL"/>
              </w:rPr>
              <w:t>urinave.</w:t>
            </w:r>
          </w:p>
          <w:p w14:paraId="6059A76E"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Rritja e inspektimeve dhe gjobave për mosrespektim të rregulloreve për menaxhimin e mbet</w:t>
            </w:r>
            <w:r>
              <w:rPr>
                <w:rFonts w:ascii="Arial Narrow" w:hAnsi="Arial Narrow"/>
                <w:sz w:val="20"/>
                <w:szCs w:val="20"/>
                <w:lang w:val="sq-AL"/>
              </w:rPr>
              <w:t>urinave.</w:t>
            </w:r>
          </w:p>
          <w:p w14:paraId="72EC4223" w14:textId="6A7903CB" w:rsidR="00B35AB5" w:rsidRPr="00580B24" w:rsidRDefault="00B35AB5" w:rsidP="00B35AB5">
            <w:pPr>
              <w:rPr>
                <w:rFonts w:ascii="Arial Narrow" w:hAnsi="Arial Narrow"/>
                <w:sz w:val="20"/>
                <w:szCs w:val="20"/>
              </w:rPr>
            </w:pPr>
            <w:r w:rsidRPr="00CE0381">
              <w:rPr>
                <w:rFonts w:ascii="Arial Narrow" w:hAnsi="Arial Narrow"/>
                <w:sz w:val="20"/>
                <w:szCs w:val="20"/>
                <w:lang w:val="sq-AL"/>
              </w:rPr>
              <w:t>Shtrirja e shërbimeve të grumbullimit të mbet</w:t>
            </w:r>
            <w:r>
              <w:rPr>
                <w:rFonts w:ascii="Arial Narrow" w:hAnsi="Arial Narrow"/>
                <w:sz w:val="20"/>
                <w:szCs w:val="20"/>
                <w:lang w:val="sq-AL"/>
              </w:rPr>
              <w:t>urinave</w:t>
            </w:r>
            <w:r w:rsidRPr="00CE0381">
              <w:rPr>
                <w:rFonts w:ascii="Arial Narrow" w:hAnsi="Arial Narrow"/>
                <w:sz w:val="20"/>
                <w:szCs w:val="20"/>
                <w:lang w:val="sq-AL"/>
              </w:rPr>
              <w:t xml:space="preserve"> në zonat </w:t>
            </w:r>
            <w:r w:rsidRPr="00CE0381">
              <w:rPr>
                <w:rFonts w:ascii="Arial Narrow" w:hAnsi="Arial Narrow"/>
                <w:sz w:val="20"/>
                <w:szCs w:val="20"/>
                <w:lang w:val="sq-AL"/>
              </w:rPr>
              <w:lastRenderedPageBreak/>
              <w:t>rurale të pashërbyera për të siguruar mbulim gjithëpërfshirës në të gjithë komunën.</w:t>
            </w:r>
          </w:p>
        </w:tc>
      </w:tr>
      <w:tr w:rsidR="00B35AB5" w:rsidRPr="00580B24" w14:paraId="413C9CFD" w14:textId="77777777" w:rsidTr="004A40AC">
        <w:tc>
          <w:tcPr>
            <w:tcW w:w="1557" w:type="dxa"/>
          </w:tcPr>
          <w:p w14:paraId="0875ACC8" w14:textId="77777777" w:rsidR="00B35AB5" w:rsidRPr="00580B24" w:rsidRDefault="00B35AB5" w:rsidP="00B35AB5">
            <w:pPr>
              <w:rPr>
                <w:rFonts w:ascii="Arial Narrow" w:hAnsi="Arial Narrow"/>
                <w:sz w:val="20"/>
                <w:szCs w:val="20"/>
              </w:rPr>
            </w:pPr>
            <w:r w:rsidRPr="00580B24">
              <w:rPr>
                <w:rFonts w:ascii="Arial Narrow" w:hAnsi="Arial Narrow"/>
                <w:sz w:val="20"/>
                <w:szCs w:val="20"/>
              </w:rPr>
              <w:lastRenderedPageBreak/>
              <w:t>Junik</w:t>
            </w:r>
          </w:p>
        </w:tc>
        <w:tc>
          <w:tcPr>
            <w:tcW w:w="1486" w:type="dxa"/>
          </w:tcPr>
          <w:p w14:paraId="03255B2F" w14:textId="77777777" w:rsidR="00B35AB5" w:rsidRPr="008D2D8C" w:rsidRDefault="00B35AB5" w:rsidP="00B35AB5">
            <w:pPr>
              <w:rPr>
                <w:rFonts w:ascii="Arial Narrow" w:hAnsi="Arial Narrow"/>
                <w:sz w:val="20"/>
                <w:szCs w:val="20"/>
                <w:lang w:val="sq-AL"/>
              </w:rPr>
            </w:pPr>
            <w:r>
              <w:rPr>
                <w:rFonts w:ascii="Arial Narrow" w:hAnsi="Arial Narrow"/>
                <w:sz w:val="20"/>
                <w:szCs w:val="20"/>
                <w:lang w:val="sq-AL"/>
              </w:rPr>
              <w:t>Adoptuar</w:t>
            </w:r>
          </w:p>
          <w:p w14:paraId="4B27C934" w14:textId="77777777" w:rsidR="00B35AB5" w:rsidRPr="008D2D8C" w:rsidRDefault="00B35AB5" w:rsidP="00B35AB5">
            <w:pPr>
              <w:rPr>
                <w:rFonts w:ascii="Arial Narrow" w:hAnsi="Arial Narrow"/>
                <w:sz w:val="20"/>
                <w:szCs w:val="20"/>
                <w:lang w:val="sq-AL"/>
              </w:rPr>
            </w:pPr>
          </w:p>
          <w:p w14:paraId="68BEDA7F" w14:textId="505EB366" w:rsidR="00B35AB5" w:rsidRPr="00580B24" w:rsidRDefault="00B35AB5" w:rsidP="00B35AB5">
            <w:pPr>
              <w:rPr>
                <w:rFonts w:ascii="Arial Narrow" w:hAnsi="Arial Narrow"/>
                <w:sz w:val="20"/>
                <w:szCs w:val="20"/>
              </w:rPr>
            </w:pPr>
            <w:r w:rsidRPr="008D2D8C">
              <w:rPr>
                <w:rFonts w:ascii="Arial Narrow" w:hAnsi="Arial Narrow"/>
                <w:sz w:val="20"/>
                <w:szCs w:val="20"/>
                <w:lang w:val="sq-AL"/>
              </w:rPr>
              <w:t>2020-2025</w:t>
            </w:r>
          </w:p>
        </w:tc>
        <w:tc>
          <w:tcPr>
            <w:tcW w:w="1817" w:type="dxa"/>
          </w:tcPr>
          <w:p w14:paraId="5C1522ED"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 xml:space="preserve">Edukimi </w:t>
            </w:r>
            <w:r>
              <w:rPr>
                <w:rFonts w:ascii="Arial Narrow" w:hAnsi="Arial Narrow"/>
                <w:sz w:val="20"/>
                <w:szCs w:val="20"/>
                <w:lang w:val="sq-AL"/>
              </w:rPr>
              <w:t>npër</w:t>
            </w:r>
            <w:r w:rsidRPr="00CE0381">
              <w:rPr>
                <w:rFonts w:ascii="Arial Narrow" w:hAnsi="Arial Narrow"/>
                <w:sz w:val="20"/>
                <w:szCs w:val="20"/>
                <w:lang w:val="sq-AL"/>
              </w:rPr>
              <w:t xml:space="preserve"> shkolla dhe qendra komunitare mbi teknikat e reduktimit të mbet</w:t>
            </w:r>
            <w:r>
              <w:rPr>
                <w:rFonts w:ascii="Arial Narrow" w:hAnsi="Arial Narrow"/>
                <w:sz w:val="20"/>
                <w:szCs w:val="20"/>
                <w:lang w:val="sq-AL"/>
              </w:rPr>
              <w:t>urinave.</w:t>
            </w:r>
          </w:p>
          <w:p w14:paraId="31E9B3E4"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Redukt</w:t>
            </w:r>
            <w:r>
              <w:rPr>
                <w:rFonts w:ascii="Arial Narrow" w:hAnsi="Arial Narrow"/>
                <w:sz w:val="20"/>
                <w:szCs w:val="20"/>
                <w:lang w:val="sq-AL"/>
              </w:rPr>
              <w:t>imi</w:t>
            </w:r>
            <w:r w:rsidRPr="00CE0381">
              <w:rPr>
                <w:rFonts w:ascii="Arial Narrow" w:hAnsi="Arial Narrow"/>
                <w:sz w:val="20"/>
                <w:szCs w:val="20"/>
                <w:lang w:val="sq-AL"/>
              </w:rPr>
              <w:t xml:space="preserve"> </w:t>
            </w:r>
            <w:r>
              <w:rPr>
                <w:rFonts w:ascii="Arial Narrow" w:hAnsi="Arial Narrow"/>
                <w:sz w:val="20"/>
                <w:szCs w:val="20"/>
                <w:lang w:val="sq-AL"/>
              </w:rPr>
              <w:t xml:space="preserve">i </w:t>
            </w:r>
            <w:r w:rsidRPr="00CE0381">
              <w:rPr>
                <w:rFonts w:ascii="Arial Narrow" w:hAnsi="Arial Narrow"/>
                <w:sz w:val="20"/>
                <w:szCs w:val="20"/>
                <w:lang w:val="sq-AL"/>
              </w:rPr>
              <w:t>gjenerimi</w:t>
            </w:r>
            <w:r>
              <w:rPr>
                <w:rFonts w:ascii="Arial Narrow" w:hAnsi="Arial Narrow"/>
                <w:sz w:val="20"/>
                <w:szCs w:val="20"/>
                <w:lang w:val="sq-AL"/>
              </w:rPr>
              <w:t>t</w:t>
            </w:r>
            <w:r w:rsidRPr="00CE0381">
              <w:rPr>
                <w:rFonts w:ascii="Arial Narrow" w:hAnsi="Arial Narrow"/>
                <w:sz w:val="20"/>
                <w:szCs w:val="20"/>
                <w:lang w:val="sq-AL"/>
              </w:rPr>
              <w:t xml:space="preserve"> </w:t>
            </w:r>
            <w:r>
              <w:rPr>
                <w:rFonts w:ascii="Arial Narrow" w:hAnsi="Arial Narrow"/>
                <w:sz w:val="20"/>
                <w:szCs w:val="20"/>
                <w:lang w:val="sq-AL"/>
              </w:rPr>
              <w:t>të</w:t>
            </w:r>
            <w:r w:rsidRPr="00CE0381">
              <w:rPr>
                <w:rFonts w:ascii="Arial Narrow" w:hAnsi="Arial Narrow"/>
                <w:sz w:val="20"/>
                <w:szCs w:val="20"/>
                <w:lang w:val="sq-AL"/>
              </w:rPr>
              <w:t xml:space="preserve"> mbet</w:t>
            </w:r>
            <w:r>
              <w:rPr>
                <w:rFonts w:ascii="Arial Narrow" w:hAnsi="Arial Narrow"/>
                <w:sz w:val="20"/>
                <w:szCs w:val="20"/>
                <w:lang w:val="sq-AL"/>
              </w:rPr>
              <w:t>urinave</w:t>
            </w:r>
            <w:r w:rsidRPr="00CE0381">
              <w:rPr>
                <w:rFonts w:ascii="Arial Narrow" w:hAnsi="Arial Narrow"/>
                <w:sz w:val="20"/>
                <w:szCs w:val="20"/>
                <w:lang w:val="sq-AL"/>
              </w:rPr>
              <w:t xml:space="preserve"> në burim duke </w:t>
            </w:r>
            <w:r>
              <w:rPr>
                <w:rFonts w:ascii="Arial Narrow" w:hAnsi="Arial Narrow"/>
                <w:sz w:val="20"/>
                <w:szCs w:val="20"/>
                <w:lang w:val="sq-AL"/>
              </w:rPr>
              <w:t>imponuar</w:t>
            </w:r>
            <w:r w:rsidRPr="00CE0381">
              <w:rPr>
                <w:rFonts w:ascii="Arial Narrow" w:hAnsi="Arial Narrow"/>
                <w:sz w:val="20"/>
                <w:szCs w:val="20"/>
                <w:lang w:val="sq-AL"/>
              </w:rPr>
              <w:t xml:space="preserve"> rregulloret për bizneset dhe institucionet publike</w:t>
            </w:r>
          </w:p>
          <w:p w14:paraId="4B8C7DE3" w14:textId="6DA70AD7" w:rsidR="00B35AB5" w:rsidRPr="00580B24" w:rsidRDefault="00B35AB5" w:rsidP="00B35AB5">
            <w:pPr>
              <w:rPr>
                <w:rFonts w:ascii="Arial Narrow" w:hAnsi="Arial Narrow"/>
                <w:sz w:val="20"/>
                <w:szCs w:val="20"/>
              </w:rPr>
            </w:pPr>
            <w:r w:rsidRPr="00CE0381">
              <w:rPr>
                <w:rFonts w:ascii="Arial Narrow" w:hAnsi="Arial Narrow"/>
                <w:sz w:val="20"/>
                <w:szCs w:val="20"/>
                <w:lang w:val="sq-AL"/>
              </w:rPr>
              <w:t>Shpërndarja e 100 kompostuesve shtëpiak</w:t>
            </w:r>
          </w:p>
        </w:tc>
        <w:tc>
          <w:tcPr>
            <w:tcW w:w="2103" w:type="dxa"/>
          </w:tcPr>
          <w:p w14:paraId="1028686B"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Kontraktimi i operatorëve të licencuar për grumbullimin dhe transportin e materialeve të riciklueshme</w:t>
            </w:r>
            <w:r>
              <w:rPr>
                <w:rFonts w:ascii="Arial Narrow" w:hAnsi="Arial Narrow"/>
                <w:sz w:val="20"/>
                <w:szCs w:val="20"/>
                <w:lang w:val="sq-AL"/>
              </w:rPr>
              <w:t>.</w:t>
            </w:r>
          </w:p>
          <w:p w14:paraId="793A7B94"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Zbatimi i sistemeve të grumbullimit të veçantë për lloje të ndryshme të materialeve të riciklueshme</w:t>
            </w:r>
            <w:r>
              <w:rPr>
                <w:rFonts w:ascii="Arial Narrow" w:hAnsi="Arial Narrow"/>
                <w:sz w:val="20"/>
                <w:szCs w:val="20"/>
                <w:lang w:val="sq-AL"/>
              </w:rPr>
              <w:t>.</w:t>
            </w:r>
          </w:p>
          <w:p w14:paraId="1D5AC1FF" w14:textId="53A3CB22" w:rsidR="00B35AB5" w:rsidRPr="00580B24" w:rsidRDefault="00B35AB5" w:rsidP="00B35AB5">
            <w:pPr>
              <w:rPr>
                <w:rFonts w:ascii="Arial Narrow" w:hAnsi="Arial Narrow"/>
                <w:sz w:val="20"/>
                <w:szCs w:val="20"/>
              </w:rPr>
            </w:pPr>
            <w:r w:rsidRPr="00CE0381">
              <w:rPr>
                <w:rFonts w:ascii="Arial Narrow" w:hAnsi="Arial Narrow"/>
                <w:sz w:val="20"/>
                <w:szCs w:val="20"/>
                <w:lang w:val="sq-AL"/>
              </w:rPr>
              <w:t>Sigurimi i stimujve për familjet dhe bizneset që marrin pjesë aktive në programet e riciklimit</w:t>
            </w:r>
          </w:p>
        </w:tc>
        <w:tc>
          <w:tcPr>
            <w:tcW w:w="2053" w:type="dxa"/>
          </w:tcPr>
          <w:p w14:paraId="2B34917D" w14:textId="77777777" w:rsidR="00B35AB5" w:rsidRPr="00CE0381" w:rsidRDefault="00B35AB5" w:rsidP="00B35AB5">
            <w:pPr>
              <w:rPr>
                <w:rFonts w:ascii="Arial Narrow" w:hAnsi="Arial Narrow"/>
                <w:sz w:val="20"/>
                <w:szCs w:val="20"/>
                <w:lang w:val="sq-AL"/>
              </w:rPr>
            </w:pPr>
            <w:r w:rsidRPr="00CE0381">
              <w:rPr>
                <w:rFonts w:ascii="Arial Narrow" w:hAnsi="Arial Narrow"/>
                <w:sz w:val="20"/>
                <w:szCs w:val="20"/>
                <w:lang w:val="sq-AL"/>
              </w:rPr>
              <w:t>Pastrimi dhe rregullimi i venddepozitimeve të paligjshme për të reduktuar rreziqet mjedisore</w:t>
            </w:r>
            <w:r>
              <w:rPr>
                <w:rFonts w:ascii="Arial Narrow" w:hAnsi="Arial Narrow"/>
                <w:sz w:val="20"/>
                <w:szCs w:val="20"/>
                <w:lang w:val="sq-AL"/>
              </w:rPr>
              <w:t>.</w:t>
            </w:r>
          </w:p>
          <w:p w14:paraId="1C09DBA9" w14:textId="1ABE2614" w:rsidR="00B35AB5" w:rsidRPr="00580B24" w:rsidRDefault="00B35AB5" w:rsidP="00B35AB5">
            <w:pPr>
              <w:rPr>
                <w:rFonts w:ascii="Arial Narrow" w:hAnsi="Arial Narrow"/>
                <w:sz w:val="20"/>
                <w:szCs w:val="20"/>
              </w:rPr>
            </w:pPr>
            <w:r w:rsidRPr="00CE0381">
              <w:rPr>
                <w:rFonts w:ascii="Arial Narrow" w:hAnsi="Arial Narrow"/>
                <w:sz w:val="20"/>
                <w:szCs w:val="20"/>
                <w:lang w:val="sq-AL"/>
              </w:rPr>
              <w:t xml:space="preserve">Zbatimi i strategjive për optimizimin e kostos së shërbimeve dhe rritjen e të </w:t>
            </w:r>
            <w:r>
              <w:rPr>
                <w:rFonts w:ascii="Arial Narrow" w:hAnsi="Arial Narrow"/>
                <w:sz w:val="20"/>
                <w:szCs w:val="20"/>
                <w:lang w:val="sq-AL"/>
              </w:rPr>
              <w:t>hyrave</w:t>
            </w:r>
            <w:r w:rsidRPr="00CE0381">
              <w:rPr>
                <w:rFonts w:ascii="Arial Narrow" w:hAnsi="Arial Narrow"/>
                <w:sz w:val="20"/>
                <w:szCs w:val="20"/>
                <w:lang w:val="sq-AL"/>
              </w:rPr>
              <w:t xml:space="preserve"> përmes tarifave të menaxhimit të mbet</w:t>
            </w:r>
            <w:r>
              <w:rPr>
                <w:rFonts w:ascii="Arial Narrow" w:hAnsi="Arial Narrow"/>
                <w:sz w:val="20"/>
                <w:szCs w:val="20"/>
                <w:lang w:val="sq-AL"/>
              </w:rPr>
              <w:t>urinave.</w:t>
            </w:r>
          </w:p>
        </w:tc>
      </w:tr>
      <w:bookmarkEnd w:id="84"/>
    </w:tbl>
    <w:p w14:paraId="60747032" w14:textId="77777777" w:rsidR="00032CD8" w:rsidRDefault="00032CD8" w:rsidP="0002535E">
      <w:pPr>
        <w:rPr>
          <w:rFonts w:eastAsia="Calibri" w:cs="Calibri"/>
          <w:sz w:val="22"/>
          <w:szCs w:val="22"/>
        </w:rPr>
      </w:pPr>
    </w:p>
    <w:p w14:paraId="02744A3D" w14:textId="77777777" w:rsidR="00B35AB5" w:rsidRDefault="00B35AB5">
      <w:pPr>
        <w:rPr>
          <w:rFonts w:ascii="Arial Narrow" w:eastAsiaTheme="majorEastAsia" w:hAnsi="Arial Narrow" w:cstheme="majorBidi"/>
          <w:b/>
          <w:bCs/>
          <w:caps/>
          <w:color w:val="002060"/>
          <w:spacing w:val="20"/>
          <w:sz w:val="28"/>
          <w:szCs w:val="28"/>
        </w:rPr>
      </w:pPr>
      <w:bookmarkStart w:id="88" w:name="_Toc153872101"/>
      <w:bookmarkStart w:id="89" w:name="_Toc170470805"/>
      <w:r>
        <w:br w:type="page"/>
      </w:r>
    </w:p>
    <w:p w14:paraId="3863629F" w14:textId="0BC7938D" w:rsidR="00032CD8" w:rsidRDefault="00032CD8" w:rsidP="003B59A0">
      <w:pPr>
        <w:pStyle w:val="Heading1"/>
        <w:ind w:left="1134" w:hanging="1134"/>
      </w:pPr>
      <w:bookmarkStart w:id="90" w:name="_Toc197471955"/>
      <w:r w:rsidRPr="00AF0235">
        <w:lastRenderedPageBreak/>
        <w:t>Përshkrimi i Rajoneve</w:t>
      </w:r>
      <w:bookmarkEnd w:id="85"/>
      <w:bookmarkEnd w:id="86"/>
      <w:bookmarkEnd w:id="88"/>
      <w:bookmarkEnd w:id="89"/>
      <w:bookmarkEnd w:id="90"/>
    </w:p>
    <w:p w14:paraId="2D55A74F" w14:textId="0EC7EC03" w:rsidR="00032CD8" w:rsidRPr="00AF0235" w:rsidRDefault="00032CD8" w:rsidP="002254E8">
      <w:pPr>
        <w:pStyle w:val="Heading2"/>
      </w:pPr>
      <w:bookmarkStart w:id="91" w:name="_Toc153872102"/>
      <w:bookmarkStart w:id="92" w:name="_Toc170470806"/>
      <w:bookmarkStart w:id="93" w:name="_Toc197471956"/>
      <w:r w:rsidRPr="00AF0235">
        <w:t>Karakteristikat fiziko-gjeografike</w:t>
      </w:r>
      <w:bookmarkEnd w:id="91"/>
      <w:bookmarkEnd w:id="92"/>
      <w:bookmarkEnd w:id="93"/>
      <w:r w:rsidRPr="00AF0235">
        <w:t xml:space="preserve"> </w:t>
      </w:r>
    </w:p>
    <w:p w14:paraId="4A003EEA" w14:textId="77777777" w:rsidR="00032CD8" w:rsidRPr="00C21444" w:rsidRDefault="00032CD8" w:rsidP="002254E8">
      <w:pPr>
        <w:pStyle w:val="Heading3"/>
      </w:pPr>
      <w:bookmarkStart w:id="94" w:name="_Toc135379370"/>
      <w:bookmarkStart w:id="95" w:name="_Toc1925637803"/>
      <w:bookmarkStart w:id="96" w:name="_Toc153872103"/>
      <w:bookmarkStart w:id="97" w:name="_Toc170470807"/>
      <w:bookmarkStart w:id="98" w:name="_Toc197471957"/>
      <w:r w:rsidRPr="00C21444">
        <w:t>Vendndodhja Gjeografike</w:t>
      </w:r>
      <w:bookmarkEnd w:id="94"/>
      <w:bookmarkEnd w:id="95"/>
      <w:bookmarkEnd w:id="96"/>
      <w:bookmarkEnd w:id="97"/>
      <w:bookmarkEnd w:id="98"/>
    </w:p>
    <w:p w14:paraId="49741C70" w14:textId="77777777" w:rsidR="00B35AB5" w:rsidRPr="00CE0381" w:rsidRDefault="00B35AB5" w:rsidP="00B35AB5">
      <w:pPr>
        <w:pStyle w:val="Paragraph"/>
        <w:rPr>
          <w:rFonts w:eastAsia="Arial"/>
          <w:lang w:val="sq-AL"/>
        </w:rPr>
      </w:pPr>
      <w:bookmarkStart w:id="99" w:name="_Toc135379371"/>
      <w:bookmarkStart w:id="100" w:name="_Toc452725053"/>
      <w:bookmarkStart w:id="101" w:name="_Toc153872104"/>
      <w:bookmarkStart w:id="102" w:name="_Toc170470808"/>
      <w:r w:rsidRPr="00CE0381">
        <w:rPr>
          <w:rFonts w:eastAsia="Arial"/>
          <w:lang w:val="sq-AL"/>
        </w:rPr>
        <w:t>Rajoni i Pejës ndodhet në pjesën veriperëndimore të Kosovës, në kufi me Malin e Zi dhe Shqipërinë. Përfshin një sipërfaqe të përgjithshme prej 1,808.67 km² dhe përfshin 5 komuna: Pejën, Deçanin, Istogun, Klinën dhe Junikun. Rajoni shtrihet përgjatë fushës aluviale të lumit Lumbardhi në Pejë, në hyrje të grykës së Rugovës, një zonë malore, majat e së cilës formojnë një kurorë të lartë, duke përfshirë Kopranikun (2460m), Zhlebin (2352m), Hajlën (2460m), Mokrën (1932m), Guri i Verdhë (2522m), e të tjera.</w:t>
      </w:r>
    </w:p>
    <w:p w14:paraId="0673BEB8" w14:textId="77777777" w:rsidR="00B35AB5" w:rsidRPr="008D2D8C" w:rsidRDefault="00B35AB5" w:rsidP="00B35AB5">
      <w:pPr>
        <w:pStyle w:val="Paragraph"/>
        <w:rPr>
          <w:rFonts w:eastAsia="Arial"/>
          <w:lang w:val="sq-AL"/>
        </w:rPr>
      </w:pPr>
      <w:r w:rsidRPr="00CE0381">
        <w:rPr>
          <w:rFonts w:eastAsia="Arial"/>
          <w:lang w:val="sq-AL"/>
        </w:rPr>
        <w:t>Pozita gjeografike e Pejës, së bashku me pasuritë e saj të pasura natyrore dhe trashëgiminë kulturore, e bën atë një zonë jetike jo vetëm brenda Kosovës, por edhe si një lidhje me Ballkanin Perëndimor dhe kontekstin më të gjerë evropian.</w:t>
      </w:r>
    </w:p>
    <w:p w14:paraId="73DBDF71" w14:textId="77777777" w:rsidR="00032CD8" w:rsidRPr="00C21444" w:rsidRDefault="00032CD8" w:rsidP="002254E8">
      <w:pPr>
        <w:pStyle w:val="Heading3"/>
      </w:pPr>
      <w:bookmarkStart w:id="103" w:name="_Toc197471958"/>
      <w:r w:rsidRPr="00C21444">
        <w:t>Klima</w:t>
      </w:r>
      <w:bookmarkEnd w:id="99"/>
      <w:bookmarkEnd w:id="100"/>
      <w:bookmarkEnd w:id="101"/>
      <w:bookmarkEnd w:id="102"/>
      <w:bookmarkEnd w:id="103"/>
    </w:p>
    <w:p w14:paraId="4BC1F197" w14:textId="35348F5B" w:rsidR="00B35AB5" w:rsidRPr="00CE0381" w:rsidRDefault="00B35AB5" w:rsidP="00B35AB5">
      <w:pPr>
        <w:pStyle w:val="Paragraph"/>
        <w:rPr>
          <w:rFonts w:eastAsia="Arial"/>
          <w:lang w:val="sq-AL"/>
        </w:rPr>
      </w:pPr>
      <w:bookmarkStart w:id="104" w:name="_Toc135379372"/>
      <w:bookmarkStart w:id="105" w:name="_Toc1546940501"/>
      <w:bookmarkStart w:id="106" w:name="_Toc153872105"/>
      <w:bookmarkStart w:id="107" w:name="_Toc170470809"/>
      <w:r w:rsidRPr="00CE0381">
        <w:rPr>
          <w:rFonts w:eastAsia="Arial"/>
          <w:lang w:val="sq-AL"/>
        </w:rPr>
        <w:t xml:space="preserve">Klima në rajonin e Pejës është kontinentale, e karakterizuar nga një ndryshim i klimës në komunat e saj për shkak të veçorive të ndryshme gjeografike. Rajoni përjeton katër stinë të dallueshme, me verë të ngrohtë ku temperaturat mesatare janë rreth 19.7°C në gusht dhe dimra të ftohtë me një mesatare prej -1.9°C në janar. Komunat si Deçani dhe Istogu ndajnë modele të ngjashme të motit me reshje pak më të larta vjetore, përkatësisht rreth 1100 mm dhe 950 mm, për shkak të afërsisë së tyre me malet. Klina dhe Juniku përjetojnë klimë të moderuar me verë pak më të ngrohtë. Në përgjithësi, rajoni </w:t>
      </w:r>
      <w:r>
        <w:rPr>
          <w:rFonts w:eastAsia="Arial"/>
          <w:lang w:val="sq-AL"/>
        </w:rPr>
        <w:t>ka</w:t>
      </w:r>
      <w:r w:rsidRPr="00CE0381">
        <w:rPr>
          <w:rFonts w:eastAsia="Arial"/>
          <w:lang w:val="sq-AL"/>
        </w:rPr>
        <w:t xml:space="preserve"> rreth 1</w:t>
      </w:r>
      <w:r>
        <w:rPr>
          <w:rFonts w:eastAsia="Arial"/>
          <w:lang w:val="sq-AL"/>
        </w:rPr>
        <w:t>,</w:t>
      </w:r>
      <w:r w:rsidRPr="00CE0381">
        <w:rPr>
          <w:rFonts w:eastAsia="Arial"/>
          <w:lang w:val="sq-AL"/>
        </w:rPr>
        <w:t xml:space="preserve">000 mm reshje në vit, ku muaji nëntor është muaji më i lagësht dhe gushti më i thati. Peja dhe zonat përreth gëzojnë </w:t>
      </w:r>
      <w:r w:rsidRPr="009521A3">
        <w:rPr>
          <w:rFonts w:eastAsia="Arial"/>
          <w:lang w:val="sq-AL"/>
        </w:rPr>
        <w:t xml:space="preserve">rreth </w:t>
      </w:r>
      <w:r w:rsidR="009521A3" w:rsidRPr="009521A3">
        <w:rPr>
          <w:rFonts w:eastAsia="Arial"/>
          <w:lang w:val="sq-AL"/>
        </w:rPr>
        <w:t>8</w:t>
      </w:r>
      <w:r w:rsidRPr="009521A3">
        <w:rPr>
          <w:rFonts w:eastAsia="Arial"/>
          <w:lang w:val="sq-AL"/>
        </w:rPr>
        <w:t>5 orë diell në muaj, duke</w:t>
      </w:r>
      <w:r w:rsidRPr="00CE0381">
        <w:rPr>
          <w:rFonts w:eastAsia="Arial"/>
          <w:lang w:val="sq-AL"/>
        </w:rPr>
        <w:t xml:space="preserve"> mbështetur një sërë aktivitetesh në natyrë dhe biodiversitet të pasur.</w:t>
      </w:r>
    </w:p>
    <w:p w14:paraId="73EF0D77" w14:textId="77777777" w:rsidR="00032CD8" w:rsidRPr="00C21444" w:rsidRDefault="00032CD8" w:rsidP="002254E8">
      <w:pPr>
        <w:pStyle w:val="Heading3"/>
      </w:pPr>
      <w:bookmarkStart w:id="108" w:name="_Toc197471959"/>
      <w:r w:rsidRPr="00C21444">
        <w:t>Kushtet Fizike</w:t>
      </w:r>
      <w:bookmarkEnd w:id="104"/>
      <w:bookmarkEnd w:id="105"/>
      <w:bookmarkEnd w:id="106"/>
      <w:bookmarkEnd w:id="107"/>
      <w:bookmarkEnd w:id="108"/>
    </w:p>
    <w:p w14:paraId="2718DBF9" w14:textId="77777777" w:rsidR="00B35AB5" w:rsidRPr="00CE0381" w:rsidRDefault="00B35AB5" w:rsidP="00B35AB5">
      <w:pPr>
        <w:pStyle w:val="Paragraph"/>
        <w:rPr>
          <w:rFonts w:eastAsia="Calibri"/>
          <w:lang w:val="sq-AL"/>
        </w:rPr>
      </w:pPr>
      <w:bookmarkStart w:id="109" w:name="_Toc135379373"/>
      <w:bookmarkStart w:id="110" w:name="_Toc271125216"/>
      <w:bookmarkStart w:id="111" w:name="_Toc153872106"/>
      <w:bookmarkStart w:id="112" w:name="_Toc170470810"/>
      <w:r w:rsidRPr="00CE0381">
        <w:rPr>
          <w:rFonts w:eastAsia="Calibri"/>
          <w:lang w:val="sq-AL"/>
        </w:rPr>
        <w:t xml:space="preserve">Rajoni i Pejës karakterizohet nga formacione të ndryshme gjeologjike dhe </w:t>
      </w:r>
      <w:r>
        <w:rPr>
          <w:rFonts w:eastAsia="Calibri"/>
          <w:lang w:val="sq-AL"/>
        </w:rPr>
        <w:t xml:space="preserve">llojllojshmëri të </w:t>
      </w:r>
      <w:r w:rsidRPr="00CE0381">
        <w:rPr>
          <w:rFonts w:eastAsia="Calibri"/>
          <w:lang w:val="sq-AL"/>
        </w:rPr>
        <w:t>përdorim</w:t>
      </w:r>
      <w:r>
        <w:rPr>
          <w:rFonts w:eastAsia="Calibri"/>
          <w:lang w:val="sq-AL"/>
        </w:rPr>
        <w:t>it</w:t>
      </w:r>
      <w:r w:rsidRPr="00CE0381">
        <w:rPr>
          <w:rFonts w:eastAsia="Calibri"/>
          <w:lang w:val="sq-AL"/>
        </w:rPr>
        <w:t xml:space="preserve"> të tokës. Formacione të spikatura shkëmbore gjenden veçanërisht në pjesët veriore dhe perëndimore pranë zonave malore. Luginat pjellore, veçanërisht ato përgjatë lumenjve Bistrica e Pejës dhe Drinit të Bardhë, mbështesin një sërë aktivitetesh bujqësore, duke përfshirë kultivimin e kulturave të ndryshme. Rajoni është gjithashtu i pasur me burime ujore, me lumenj të shumtë </w:t>
      </w:r>
      <w:r>
        <w:rPr>
          <w:rFonts w:eastAsia="Calibri"/>
          <w:lang w:val="sq-AL"/>
        </w:rPr>
        <w:t xml:space="preserve">e </w:t>
      </w:r>
      <w:r w:rsidRPr="00CE0381">
        <w:rPr>
          <w:rFonts w:eastAsia="Calibri"/>
          <w:lang w:val="sq-AL"/>
        </w:rPr>
        <w:t xml:space="preserve">të rrjedhshëm, burime natyrore dhe liqene artificiale. Kanioni i Rugovës, një tipar i rëndësishëm gjeografik, është </w:t>
      </w:r>
      <w:r>
        <w:rPr>
          <w:rFonts w:eastAsia="Calibri"/>
          <w:lang w:val="sq-AL"/>
        </w:rPr>
        <w:t>i njohur</w:t>
      </w:r>
      <w:r w:rsidRPr="00CE0381">
        <w:rPr>
          <w:rFonts w:eastAsia="Calibri"/>
          <w:lang w:val="sq-AL"/>
        </w:rPr>
        <w:t xml:space="preserve"> për bukurinë e tij piktoreske dhe ujërat e rrjedhshëm. Pellgjet kryesore të ujit që ushqejnë lumenjtë Bistrica e Pejës dhe Drini i Bardhë kontribuojnë në mënyrë të konsiderueshme në rezervat ujore të zonës, duke mbështetur nevojat për ujë të pijshëm dhe ujitje.</w:t>
      </w:r>
    </w:p>
    <w:p w14:paraId="7FBBA3B7" w14:textId="77777777" w:rsidR="00B35AB5" w:rsidRPr="008D2D8C" w:rsidRDefault="00B35AB5" w:rsidP="00B35AB5">
      <w:pPr>
        <w:pStyle w:val="Paragraph"/>
        <w:rPr>
          <w:rFonts w:eastAsia="Calibri"/>
          <w:lang w:val="sq-AL"/>
        </w:rPr>
      </w:pPr>
      <w:r w:rsidRPr="00CE0381">
        <w:rPr>
          <w:rFonts w:eastAsia="Calibri"/>
          <w:lang w:val="sq-AL"/>
        </w:rPr>
        <w:t>Diversiteti gjeologjik i Pejës shtrihet në peizazhet e tij të larmishme, nga luginat pjellore të lumenjve deri te terrenet e thyer</w:t>
      </w:r>
      <w:r>
        <w:rPr>
          <w:rFonts w:eastAsia="Calibri"/>
          <w:lang w:val="sq-AL"/>
        </w:rPr>
        <w:t>a</w:t>
      </w:r>
      <w:r w:rsidRPr="00CE0381">
        <w:rPr>
          <w:rFonts w:eastAsia="Calibri"/>
          <w:lang w:val="sq-AL"/>
        </w:rPr>
        <w:t xml:space="preserve"> malore. Ky variacion mbështet lloje të ndryshme të vegjetacionit dhe përdorimit të tokës, me zonat e pyllëzuara, tokat bujqësore dhe vendbanimet urbane që bashkëjetojnë. Prania e veçorive të rëndësishme natyrore si burimi i Drinit në Radavc dhe shpellat dhe kanionet e ndryshme në Luginën e Rugovës rrit vlerën ekologjike dhe turistike të rajonit. Vendndodhja strategjike e Pejës, pranë kufijve me Malin e Zi dhe Shqipërinë, së bashku me pasuritë e </w:t>
      </w:r>
      <w:r>
        <w:rPr>
          <w:rFonts w:eastAsia="Calibri"/>
          <w:lang w:val="sq-AL"/>
        </w:rPr>
        <w:t>mëdha</w:t>
      </w:r>
      <w:r w:rsidRPr="00CE0381">
        <w:rPr>
          <w:rFonts w:eastAsia="Calibri"/>
          <w:lang w:val="sq-AL"/>
        </w:rPr>
        <w:t xml:space="preserve"> natyrore, e bë</w:t>
      </w:r>
      <w:r>
        <w:rPr>
          <w:rFonts w:eastAsia="Calibri"/>
          <w:lang w:val="sq-AL"/>
        </w:rPr>
        <w:t>j</w:t>
      </w:r>
      <w:r w:rsidRPr="00CE0381">
        <w:rPr>
          <w:rFonts w:eastAsia="Calibri"/>
          <w:lang w:val="sq-AL"/>
        </w:rPr>
        <w:t>n</w:t>
      </w:r>
      <w:r>
        <w:rPr>
          <w:rFonts w:eastAsia="Calibri"/>
          <w:lang w:val="sq-AL"/>
        </w:rPr>
        <w:t>ë</w:t>
      </w:r>
      <w:r w:rsidRPr="00CE0381">
        <w:rPr>
          <w:rFonts w:eastAsia="Calibri"/>
          <w:lang w:val="sq-AL"/>
        </w:rPr>
        <w:t xml:space="preserve"> atë një rajon me rëndësi ekonomike dhe ekologjike.</w:t>
      </w:r>
    </w:p>
    <w:p w14:paraId="0F39D288" w14:textId="77777777" w:rsidR="00032CD8" w:rsidRPr="00C21444" w:rsidRDefault="00032CD8" w:rsidP="002254E8">
      <w:pPr>
        <w:pStyle w:val="Heading3"/>
      </w:pPr>
      <w:bookmarkStart w:id="113" w:name="_Toc197471960"/>
      <w:r w:rsidRPr="00C21444">
        <w:t>Rreziqet Natyrore</w:t>
      </w:r>
      <w:bookmarkEnd w:id="109"/>
      <w:bookmarkEnd w:id="110"/>
      <w:bookmarkEnd w:id="111"/>
      <w:bookmarkEnd w:id="112"/>
      <w:bookmarkEnd w:id="113"/>
    </w:p>
    <w:p w14:paraId="481E1090" w14:textId="77777777" w:rsidR="00B35AB5" w:rsidRPr="008D2D8C" w:rsidRDefault="00B35AB5" w:rsidP="00B35AB5">
      <w:pPr>
        <w:pStyle w:val="Paragraph"/>
        <w:rPr>
          <w:rFonts w:eastAsia="Calibri"/>
          <w:lang w:val="sq-AL"/>
        </w:rPr>
      </w:pPr>
      <w:bookmarkStart w:id="114" w:name="_Toc135379374"/>
      <w:bookmarkStart w:id="115" w:name="_Toc2098355580"/>
      <w:bookmarkStart w:id="116" w:name="_Toc153872107"/>
      <w:bookmarkStart w:id="117" w:name="_Toc170470811"/>
      <w:r w:rsidRPr="00CE0381">
        <w:rPr>
          <w:rFonts w:eastAsia="Calibri"/>
          <w:lang w:val="sq-AL"/>
        </w:rPr>
        <w:t xml:space="preserve">Rajoni i Pejës përballet me disa rreziqe natyrore për shkak të terrenit malor dhe kushteve gjeologjike. Tërmetet janë një rrezik i madh, pasi Kosova shtrihet në një zonë aktive sizmike (tektonike), duke rritur mundësinë e aktiviteteve sizmike që mund të dëmtojnë infrastrukturën dhe të paraqesin rreziqe sigurie. Për më tepër, zona është e prirur ndaj rrëshqitjeve të dheut, veçanërisht gjatë reshjeve të dendura ose shkrirjes së shpejtë të borës, të cilat mund të pengojnë transportin dhe të kërcënojnë vendbanimet. Përmbytjet janë një tjetër rrezik, veçanërisht në luginat pjellore përgjatë lumenjve Bistrica e Pejës dhe Drinit të Bardhë, ku reshjet e tepërta mund të çojnë në </w:t>
      </w:r>
      <w:r w:rsidRPr="00CE0381">
        <w:rPr>
          <w:rFonts w:eastAsia="Calibri"/>
          <w:lang w:val="sq-AL"/>
        </w:rPr>
        <w:lastRenderedPageBreak/>
        <w:t xml:space="preserve">derdhje të lumenjve, duke prekur tokat bujqësore dhe zonat e banuara. Këto rreziqe natyrore kërkojnë strategji efektive të menaxhimit dhe </w:t>
      </w:r>
      <w:r>
        <w:rPr>
          <w:rFonts w:eastAsia="Calibri"/>
          <w:lang w:val="sq-AL"/>
        </w:rPr>
        <w:t>zvogëlimit</w:t>
      </w:r>
      <w:r w:rsidRPr="00CE0381">
        <w:rPr>
          <w:rFonts w:eastAsia="Calibri"/>
          <w:lang w:val="sq-AL"/>
        </w:rPr>
        <w:t xml:space="preserve"> </w:t>
      </w:r>
      <w:r>
        <w:rPr>
          <w:rFonts w:eastAsia="Calibri"/>
          <w:lang w:val="sq-AL"/>
        </w:rPr>
        <w:t>t</w:t>
      </w:r>
      <w:r w:rsidRPr="00CE0381">
        <w:rPr>
          <w:rFonts w:eastAsia="Calibri"/>
          <w:lang w:val="sq-AL"/>
        </w:rPr>
        <w:t>ë fatkeqësive për të mbrojtur rajonin dhe banorët e tij.</w:t>
      </w:r>
    </w:p>
    <w:p w14:paraId="0DFCD2B5" w14:textId="77777777" w:rsidR="00032CD8" w:rsidRPr="00C21444" w:rsidRDefault="00032CD8" w:rsidP="002254E8">
      <w:pPr>
        <w:pStyle w:val="Heading3"/>
      </w:pPr>
      <w:bookmarkStart w:id="118" w:name="_Toc197471961"/>
      <w:r w:rsidRPr="00C21444">
        <w:t>Përdorimi i Tokës</w:t>
      </w:r>
      <w:bookmarkEnd w:id="114"/>
      <w:bookmarkEnd w:id="115"/>
      <w:bookmarkEnd w:id="116"/>
      <w:bookmarkEnd w:id="117"/>
      <w:bookmarkEnd w:id="118"/>
    </w:p>
    <w:p w14:paraId="5A4B83C0" w14:textId="77777777" w:rsidR="00B35AB5" w:rsidRPr="00CE0381" w:rsidRDefault="00B35AB5" w:rsidP="00B35AB5">
      <w:pPr>
        <w:pStyle w:val="Paragraph"/>
        <w:rPr>
          <w:rFonts w:eastAsia="Calibri"/>
          <w:lang w:val="sq-AL"/>
        </w:rPr>
      </w:pPr>
      <w:bookmarkStart w:id="119" w:name="_Toc135379376"/>
      <w:bookmarkStart w:id="120" w:name="_Toc465764420"/>
      <w:bookmarkStart w:id="121" w:name="_Toc153872108"/>
      <w:bookmarkStart w:id="122" w:name="_Toc170470812"/>
      <w:r w:rsidRPr="00CE0381">
        <w:rPr>
          <w:rFonts w:eastAsia="Calibri"/>
          <w:lang w:val="sq-AL"/>
        </w:rPr>
        <w:t xml:space="preserve">Bujqësia luan një rol vendimtar në zhvillimin lokal të rajonit të Pejës. Luginat pjellore, veçanërisht përgjatë lumenjve Bistrica e Pejës dhe Drinit të Bardhë, përdoren kryesisht për rritjen e të korrave dhe blegtorinë. Të lashtat e zakonshme përfshijnë grurin, misrin dhe perime të ndryshme. Blegtoria, veçanërisht gjedhët dhe dhentë, është </w:t>
      </w:r>
      <w:r>
        <w:rPr>
          <w:rFonts w:eastAsia="Calibri"/>
          <w:lang w:val="sq-AL"/>
        </w:rPr>
        <w:t>domethënëse</w:t>
      </w:r>
      <w:r w:rsidRPr="00CE0381">
        <w:rPr>
          <w:rFonts w:eastAsia="Calibri"/>
          <w:lang w:val="sq-AL"/>
        </w:rPr>
        <w:t>, ku bletaria gjithashtu shfaqet si një aktivitet i rëndësishëm, duke kontribuar në prodhimin e mjaltit dhe produkteve të tjera të lidhura me bletët. Peizazhi i larmishëm i rajonit mbështet aktivitete të shumta ekonomike, ku turizmi është një kontribuues i madh për shkak të atraksioneve si Lugina e Rugovës, e cila ofron shëtitje, ski</w:t>
      </w:r>
      <w:r>
        <w:rPr>
          <w:rFonts w:eastAsia="Calibri"/>
          <w:lang w:val="sq-AL"/>
        </w:rPr>
        <w:t>jim</w:t>
      </w:r>
      <w:r w:rsidRPr="00CE0381">
        <w:rPr>
          <w:rFonts w:eastAsia="Calibri"/>
          <w:lang w:val="sq-AL"/>
        </w:rPr>
        <w:t xml:space="preserve"> dhe aktivitete të tjera në natyrë. Resurset e pasura natyrore të Pejës plotësohen nga prodhim</w:t>
      </w:r>
      <w:r>
        <w:rPr>
          <w:rFonts w:eastAsia="Calibri"/>
          <w:lang w:val="sq-AL"/>
        </w:rPr>
        <w:t>et</w:t>
      </w:r>
      <w:r w:rsidRPr="00CE0381">
        <w:rPr>
          <w:rFonts w:eastAsia="Calibri"/>
          <w:lang w:val="sq-AL"/>
        </w:rPr>
        <w:t xml:space="preserve"> bujqësor</w:t>
      </w:r>
      <w:r>
        <w:rPr>
          <w:rFonts w:eastAsia="Calibri"/>
          <w:lang w:val="sq-AL"/>
        </w:rPr>
        <w:t>e</w:t>
      </w:r>
      <w:r w:rsidRPr="00CE0381">
        <w:rPr>
          <w:rFonts w:eastAsia="Calibri"/>
          <w:lang w:val="sq-AL"/>
        </w:rPr>
        <w:t>, duke e bërë atë një zonë jetike për zhvillimin lokal.</w:t>
      </w:r>
    </w:p>
    <w:p w14:paraId="1E0A44D4" w14:textId="77777777" w:rsidR="00B35AB5" w:rsidRPr="00CE0381" w:rsidRDefault="00B35AB5" w:rsidP="00B35AB5">
      <w:pPr>
        <w:pStyle w:val="Paragraph"/>
        <w:rPr>
          <w:rFonts w:eastAsia="Calibri"/>
          <w:lang w:val="sq-AL"/>
        </w:rPr>
      </w:pPr>
      <w:r w:rsidRPr="00CE0381">
        <w:rPr>
          <w:rFonts w:eastAsia="Calibri"/>
          <w:lang w:val="sq-AL"/>
        </w:rPr>
        <w:t xml:space="preserve">Peja është gjithashtu </w:t>
      </w:r>
      <w:r>
        <w:rPr>
          <w:rFonts w:eastAsia="Calibri"/>
          <w:lang w:val="sq-AL"/>
        </w:rPr>
        <w:t>e njohur</w:t>
      </w:r>
      <w:r w:rsidRPr="00CE0381">
        <w:rPr>
          <w:rFonts w:eastAsia="Calibri"/>
          <w:lang w:val="sq-AL"/>
        </w:rPr>
        <w:t xml:space="preserve"> për pylltarinë dhe pasuritë e saj minerale. Zonat e gjera të pyllëzuara ofrojnë lëndë drusore dhe dru zjarri, ndërsa pasuria minerale e rajonit përfshin depozita plumbi, zinku dhe argjendi, megjithëse aktivitetet minerare kanë ndikuar historikisht në mjedis. Përveç kësaj, zona është e njohur për pikat e saj turistike kulturore dhe natyrore, si burimi i Drinit në Radavc dhe kanioni i Rugovës. Përafërsisht 60% e popullsisë së Pejës jeton në zonat rurale, duke u angazhuar në bujqësi, pylltari dhe aktivitete të ngjashme. Ky angazhim rural, i kombinuar me florën e pasur dhe klimën e favorshme të rajonit, mbështet kultivimin e frutave të malit dhe bimëve mjekësore, duke i dhënë dimensione të mëtejshme ekonomisë lokale. Peizazhi i larmishëm, nga luginat pjellore deri te terrenet e thyera malore, gjithashtu mbështet lloje të ndryshme të vegjetacionit dhe përdorimit të tokës, duke rritur vlerën ekologjike dhe turistike të Pejës.</w:t>
      </w:r>
    </w:p>
    <w:p w14:paraId="0BA69DED" w14:textId="77777777" w:rsidR="00032CD8" w:rsidRPr="00C21444" w:rsidRDefault="00032CD8" w:rsidP="002254E8">
      <w:pPr>
        <w:pStyle w:val="Heading3"/>
      </w:pPr>
      <w:bookmarkStart w:id="123" w:name="_Toc197471962"/>
      <w:r w:rsidRPr="00C21444">
        <w:t>Zonat e Mbrojtura</w:t>
      </w:r>
      <w:bookmarkEnd w:id="119"/>
      <w:bookmarkEnd w:id="120"/>
      <w:bookmarkEnd w:id="121"/>
      <w:bookmarkEnd w:id="122"/>
      <w:bookmarkEnd w:id="123"/>
      <w:r w:rsidRPr="00C21444">
        <w:t xml:space="preserve"> </w:t>
      </w:r>
    </w:p>
    <w:p w14:paraId="1205382F" w14:textId="62FFB880" w:rsidR="00032CD8" w:rsidRDefault="004F5CC3" w:rsidP="00580B24">
      <w:pPr>
        <w:pStyle w:val="Paragraph"/>
        <w:rPr>
          <w:rFonts w:eastAsia="Calibri"/>
        </w:rPr>
      </w:pPr>
      <w:r w:rsidRPr="00014BCD">
        <w:rPr>
          <w:rFonts w:eastAsia="Calibri"/>
        </w:rPr>
        <w:t>Tabela më poshtë paraqet zonat e mbrojtura në territorin e pesë komunave.</w:t>
      </w:r>
    </w:p>
    <w:p w14:paraId="74772DBC" w14:textId="6F958AB5" w:rsidR="004F5CC3" w:rsidRPr="007F50ED" w:rsidRDefault="007A7675" w:rsidP="007F50ED">
      <w:pPr>
        <w:suppressAutoHyphens/>
        <w:rPr>
          <w:rFonts w:ascii="Arial Narrow" w:eastAsia="Calibri" w:hAnsi="Arial Narrow" w:cs="Calibri"/>
          <w:color w:val="1F497D"/>
          <w:sz w:val="20"/>
          <w:szCs w:val="20"/>
        </w:rPr>
      </w:pPr>
      <w:bookmarkStart w:id="124" w:name="_Toc197472195"/>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10.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Zonat e mbrojtura në rajon</w:t>
      </w:r>
      <w:bookmarkEnd w:id="124"/>
    </w:p>
    <w:tbl>
      <w:tblPr>
        <w:tblW w:w="5000" w:type="pct"/>
        <w:jc w:val="center"/>
        <w:tblLook w:val="01E0" w:firstRow="1" w:lastRow="1" w:firstColumn="1" w:lastColumn="1" w:noHBand="0" w:noVBand="0"/>
      </w:tblPr>
      <w:tblGrid>
        <w:gridCol w:w="836"/>
        <w:gridCol w:w="1310"/>
        <w:gridCol w:w="188"/>
        <w:gridCol w:w="1104"/>
        <w:gridCol w:w="318"/>
        <w:gridCol w:w="691"/>
        <w:gridCol w:w="11"/>
        <w:gridCol w:w="962"/>
        <w:gridCol w:w="978"/>
        <w:gridCol w:w="2608"/>
      </w:tblGrid>
      <w:tr w:rsidR="00580B24" w:rsidRPr="003A4C9D" w14:paraId="5D5FB698" w14:textId="77777777" w:rsidTr="006347D6">
        <w:trPr>
          <w:trHeight w:val="227"/>
          <w:tblHeader/>
          <w:jc w:val="center"/>
        </w:trPr>
        <w:tc>
          <w:tcPr>
            <w:tcW w:w="500" w:type="pct"/>
            <w:tcBorders>
              <w:top w:val="single" w:sz="8" w:space="0" w:color="000000"/>
              <w:left w:val="single" w:sz="8" w:space="0" w:color="000000"/>
              <w:bottom w:val="single" w:sz="8" w:space="0" w:color="000000"/>
              <w:right w:val="single" w:sz="8" w:space="0" w:color="000000"/>
            </w:tcBorders>
            <w:shd w:val="clear" w:color="auto" w:fill="365F91"/>
          </w:tcPr>
          <w:p w14:paraId="40FE4ED2" w14:textId="77777777" w:rsidR="004F5CC3" w:rsidRPr="003A4C9D" w:rsidRDefault="004F5CC3" w:rsidP="00580B24">
            <w:pPr>
              <w:rPr>
                <w:rFonts w:ascii="Arial Narrow" w:hAnsi="Arial Narrow"/>
                <w:color w:val="FFFFFF" w:themeColor="background1"/>
                <w:sz w:val="20"/>
                <w:szCs w:val="20"/>
              </w:rPr>
            </w:pPr>
            <w:r w:rsidRPr="003A4C9D">
              <w:rPr>
                <w:rFonts w:ascii="Arial Narrow" w:hAnsi="Arial Narrow"/>
                <w:b/>
                <w:color w:val="FFFFFF" w:themeColor="background1"/>
                <w:sz w:val="20"/>
                <w:szCs w:val="20"/>
              </w:rPr>
              <w:t>Kodi</w:t>
            </w:r>
          </w:p>
        </w:tc>
        <w:tc>
          <w:tcPr>
            <w:tcW w:w="708" w:type="pct"/>
            <w:tcBorders>
              <w:top w:val="single" w:sz="8" w:space="0" w:color="000000"/>
              <w:left w:val="single" w:sz="8" w:space="0" w:color="000000"/>
              <w:bottom w:val="single" w:sz="8" w:space="0" w:color="000000"/>
              <w:right w:val="single" w:sz="8" w:space="0" w:color="000000"/>
            </w:tcBorders>
            <w:shd w:val="clear" w:color="auto" w:fill="365F91"/>
          </w:tcPr>
          <w:p w14:paraId="7722A55A" w14:textId="77777777" w:rsidR="004F5CC3" w:rsidRPr="003A4C9D" w:rsidRDefault="004F5CC3" w:rsidP="00580B24">
            <w:pPr>
              <w:rPr>
                <w:rFonts w:ascii="Arial Narrow" w:hAnsi="Arial Narrow"/>
                <w:color w:val="FFFFFF" w:themeColor="background1"/>
                <w:sz w:val="20"/>
                <w:szCs w:val="20"/>
              </w:rPr>
            </w:pPr>
            <w:r w:rsidRPr="003A4C9D">
              <w:rPr>
                <w:rFonts w:ascii="Arial Narrow" w:hAnsi="Arial Narrow"/>
                <w:b/>
                <w:color w:val="FFFFFF" w:themeColor="background1"/>
                <w:sz w:val="20"/>
                <w:szCs w:val="20"/>
              </w:rPr>
              <w:t>Emri i zonës/objektit</w:t>
            </w:r>
          </w:p>
        </w:tc>
        <w:tc>
          <w:tcPr>
            <w:tcW w:w="642" w:type="pct"/>
            <w:gridSpan w:val="2"/>
            <w:tcBorders>
              <w:top w:val="single" w:sz="8" w:space="0" w:color="000000"/>
              <w:left w:val="single" w:sz="8" w:space="0" w:color="000000"/>
              <w:bottom w:val="single" w:sz="8" w:space="0" w:color="000000"/>
              <w:right w:val="single" w:sz="8" w:space="0" w:color="000000"/>
            </w:tcBorders>
            <w:shd w:val="clear" w:color="auto" w:fill="365F91"/>
          </w:tcPr>
          <w:p w14:paraId="072E7073" w14:textId="3C2F5E45" w:rsidR="004F5CC3" w:rsidRPr="003A4C9D" w:rsidRDefault="00B35AB5" w:rsidP="00580B24">
            <w:pPr>
              <w:rPr>
                <w:rFonts w:ascii="Arial Narrow" w:hAnsi="Arial Narrow"/>
                <w:b/>
                <w:color w:val="FFFFFF" w:themeColor="background1"/>
                <w:sz w:val="20"/>
                <w:szCs w:val="20"/>
              </w:rPr>
            </w:pPr>
            <w:r>
              <w:rPr>
                <w:rFonts w:ascii="Arial Narrow" w:hAnsi="Arial Narrow"/>
                <w:b/>
                <w:color w:val="FFFFFF" w:themeColor="background1"/>
                <w:sz w:val="20"/>
                <w:szCs w:val="20"/>
              </w:rPr>
              <w:t>Komuna</w:t>
            </w:r>
            <w:r w:rsidR="004F5CC3" w:rsidRPr="003A4C9D">
              <w:rPr>
                <w:rFonts w:ascii="Arial Narrow" w:hAnsi="Arial Narrow"/>
                <w:b/>
                <w:color w:val="FFFFFF" w:themeColor="background1"/>
                <w:sz w:val="20"/>
                <w:szCs w:val="20"/>
              </w:rPr>
              <w:t>/zona</w:t>
            </w:r>
          </w:p>
        </w:tc>
        <w:tc>
          <w:tcPr>
            <w:tcW w:w="584" w:type="pct"/>
            <w:gridSpan w:val="2"/>
            <w:tcBorders>
              <w:top w:val="single" w:sz="8" w:space="0" w:color="000000"/>
              <w:left w:val="single" w:sz="8" w:space="0" w:color="000000"/>
              <w:bottom w:val="single" w:sz="8" w:space="0" w:color="000000"/>
              <w:right w:val="single" w:sz="8" w:space="0" w:color="000000"/>
            </w:tcBorders>
            <w:shd w:val="clear" w:color="auto" w:fill="365F91"/>
          </w:tcPr>
          <w:p w14:paraId="1B9C9DE8" w14:textId="77777777" w:rsidR="004F5CC3" w:rsidRPr="003A4C9D" w:rsidRDefault="004F5CC3" w:rsidP="00580B24">
            <w:pPr>
              <w:rPr>
                <w:rFonts w:ascii="Arial Narrow" w:hAnsi="Arial Narrow"/>
                <w:color w:val="FFFFFF" w:themeColor="background1"/>
                <w:sz w:val="20"/>
                <w:szCs w:val="20"/>
              </w:rPr>
            </w:pPr>
            <w:r w:rsidRPr="003A4C9D">
              <w:rPr>
                <w:rFonts w:ascii="Arial Narrow" w:hAnsi="Arial Narrow"/>
                <w:b/>
                <w:color w:val="FFFFFF" w:themeColor="background1"/>
                <w:sz w:val="20"/>
                <w:szCs w:val="20"/>
              </w:rPr>
              <w:t>Sipërfaqja</w:t>
            </w:r>
          </w:p>
          <w:p w14:paraId="6262949C" w14:textId="77777777" w:rsidR="004F5CC3" w:rsidRPr="003A4C9D" w:rsidRDefault="004F5CC3" w:rsidP="00580B24">
            <w:pPr>
              <w:rPr>
                <w:rFonts w:ascii="Arial Narrow" w:hAnsi="Arial Narrow"/>
                <w:color w:val="FFFFFF" w:themeColor="background1"/>
                <w:sz w:val="20"/>
                <w:szCs w:val="20"/>
              </w:rPr>
            </w:pPr>
            <w:r w:rsidRPr="003A4C9D">
              <w:rPr>
                <w:rFonts w:ascii="Arial Narrow" w:hAnsi="Arial Narrow"/>
                <w:b/>
                <w:color w:val="FFFFFF" w:themeColor="background1"/>
                <w:sz w:val="20"/>
                <w:szCs w:val="20"/>
              </w:rPr>
              <w:t>/ ha</w:t>
            </w:r>
          </w:p>
        </w:tc>
        <w:tc>
          <w:tcPr>
            <w:tcW w:w="451" w:type="pct"/>
            <w:gridSpan w:val="2"/>
            <w:tcBorders>
              <w:top w:val="single" w:sz="8" w:space="0" w:color="000000"/>
              <w:left w:val="single" w:sz="8" w:space="0" w:color="000000"/>
              <w:bottom w:val="single" w:sz="8" w:space="0" w:color="000000"/>
              <w:right w:val="single" w:sz="8" w:space="0" w:color="000000"/>
            </w:tcBorders>
            <w:shd w:val="clear" w:color="auto" w:fill="365F91"/>
          </w:tcPr>
          <w:p w14:paraId="7AEC21E0" w14:textId="77777777" w:rsidR="004F5CC3" w:rsidRPr="003A4C9D" w:rsidRDefault="004F5CC3" w:rsidP="00580B24">
            <w:pPr>
              <w:rPr>
                <w:rFonts w:ascii="Arial Narrow" w:hAnsi="Arial Narrow"/>
                <w:b/>
                <w:color w:val="FFFFFF" w:themeColor="background1"/>
                <w:sz w:val="20"/>
                <w:szCs w:val="20"/>
              </w:rPr>
            </w:pPr>
            <w:r w:rsidRPr="003A4C9D">
              <w:rPr>
                <w:rFonts w:ascii="Arial Narrow" w:hAnsi="Arial Narrow"/>
                <w:b/>
                <w:color w:val="FFFFFF" w:themeColor="background1"/>
                <w:sz w:val="20"/>
                <w:szCs w:val="20"/>
              </w:rPr>
              <w:t>Kategoria sipas</w:t>
            </w:r>
          </w:p>
          <w:p w14:paraId="4FDC7C38" w14:textId="77777777" w:rsidR="004F5CC3" w:rsidRPr="003A4C9D" w:rsidRDefault="004F5CC3" w:rsidP="00580B24">
            <w:pPr>
              <w:rPr>
                <w:rFonts w:ascii="Arial Narrow" w:hAnsi="Arial Narrow"/>
                <w:color w:val="FFFFFF" w:themeColor="background1"/>
                <w:sz w:val="20"/>
                <w:szCs w:val="20"/>
              </w:rPr>
            </w:pPr>
            <w:r w:rsidRPr="003A4C9D">
              <w:rPr>
                <w:rFonts w:ascii="Arial Narrow" w:hAnsi="Arial Narrow"/>
                <w:b/>
                <w:color w:val="FFFFFF" w:themeColor="background1"/>
                <w:sz w:val="20"/>
                <w:szCs w:val="20"/>
              </w:rPr>
              <w:t>IUCN</w:t>
            </w:r>
          </w:p>
        </w:tc>
        <w:tc>
          <w:tcPr>
            <w:tcW w:w="630" w:type="pct"/>
            <w:tcBorders>
              <w:top w:val="single" w:sz="8" w:space="0" w:color="000000"/>
              <w:left w:val="single" w:sz="8" w:space="0" w:color="000000"/>
              <w:bottom w:val="single" w:sz="8" w:space="0" w:color="000000"/>
              <w:right w:val="single" w:sz="8" w:space="0" w:color="000000"/>
            </w:tcBorders>
            <w:shd w:val="clear" w:color="auto" w:fill="365F91"/>
          </w:tcPr>
          <w:p w14:paraId="58965545" w14:textId="77777777" w:rsidR="004F5CC3" w:rsidRPr="003A4C9D" w:rsidRDefault="004F5CC3" w:rsidP="00580B24">
            <w:pPr>
              <w:rPr>
                <w:rFonts w:ascii="Arial Narrow" w:hAnsi="Arial Narrow"/>
                <w:color w:val="FFFFFF" w:themeColor="background1"/>
                <w:sz w:val="20"/>
                <w:szCs w:val="20"/>
              </w:rPr>
            </w:pPr>
            <w:r w:rsidRPr="003A4C9D">
              <w:rPr>
                <w:rFonts w:ascii="Arial Narrow" w:hAnsi="Arial Narrow"/>
                <w:b/>
                <w:color w:val="FFFFFF" w:themeColor="background1"/>
                <w:sz w:val="20"/>
                <w:szCs w:val="20"/>
              </w:rPr>
              <w:t>Vitet e Mbrojtjes</w:t>
            </w:r>
          </w:p>
        </w:tc>
        <w:tc>
          <w:tcPr>
            <w:tcW w:w="1485" w:type="pct"/>
            <w:tcBorders>
              <w:top w:val="single" w:sz="8" w:space="0" w:color="000000"/>
              <w:left w:val="single" w:sz="8" w:space="0" w:color="000000"/>
              <w:bottom w:val="single" w:sz="8" w:space="0" w:color="000000"/>
              <w:right w:val="single" w:sz="8" w:space="0" w:color="000000"/>
            </w:tcBorders>
            <w:shd w:val="clear" w:color="auto" w:fill="365F91"/>
          </w:tcPr>
          <w:p w14:paraId="1A522B9C" w14:textId="77777777" w:rsidR="004F5CC3" w:rsidRPr="003A4C9D" w:rsidRDefault="004F5CC3" w:rsidP="00580B24">
            <w:pPr>
              <w:rPr>
                <w:rFonts w:ascii="Arial Narrow" w:hAnsi="Arial Narrow"/>
                <w:b/>
                <w:color w:val="FFFFFF" w:themeColor="background1"/>
                <w:sz w:val="20"/>
                <w:szCs w:val="20"/>
              </w:rPr>
            </w:pPr>
            <w:r w:rsidRPr="003A4C9D">
              <w:rPr>
                <w:rFonts w:ascii="Arial Narrow" w:hAnsi="Arial Narrow"/>
                <w:b/>
                <w:color w:val="FFFFFF" w:themeColor="background1"/>
                <w:sz w:val="20"/>
                <w:szCs w:val="20"/>
              </w:rPr>
              <w:t>Përshkrim i shkurtër i vlerave</w:t>
            </w:r>
          </w:p>
        </w:tc>
      </w:tr>
      <w:tr w:rsidR="004F5CC3" w:rsidRPr="003A4C9D" w14:paraId="053C4AAF" w14:textId="77777777" w:rsidTr="00292263">
        <w:trPr>
          <w:trHeight w:val="227"/>
          <w:jc w:val="center"/>
        </w:trPr>
        <w:tc>
          <w:tcPr>
            <w:tcW w:w="5000" w:type="pct"/>
            <w:gridSpan w:val="10"/>
            <w:tcBorders>
              <w:top w:val="single" w:sz="8" w:space="0" w:color="000000"/>
              <w:left w:val="single" w:sz="8" w:space="0" w:color="000000"/>
              <w:bottom w:val="single" w:sz="8" w:space="0" w:color="000000"/>
              <w:right w:val="single" w:sz="8" w:space="0" w:color="000000"/>
            </w:tcBorders>
            <w:shd w:val="clear" w:color="auto" w:fill="auto"/>
          </w:tcPr>
          <w:p w14:paraId="3BECC487" w14:textId="77777777" w:rsidR="004F5CC3" w:rsidRPr="003A4C9D" w:rsidRDefault="004F5CC3" w:rsidP="00580B24">
            <w:pPr>
              <w:rPr>
                <w:rFonts w:ascii="Arial Narrow" w:hAnsi="Arial Narrow"/>
                <w:b/>
                <w:bCs/>
                <w:color w:val="000000"/>
                <w:sz w:val="20"/>
                <w:szCs w:val="20"/>
              </w:rPr>
            </w:pPr>
            <w:r w:rsidRPr="003A4C9D">
              <w:rPr>
                <w:rFonts w:ascii="Arial Narrow" w:hAnsi="Arial Narrow"/>
                <w:b/>
                <w:bCs/>
                <w:color w:val="000000"/>
                <w:sz w:val="20"/>
                <w:szCs w:val="20"/>
              </w:rPr>
              <w:t>PARKU KOMBËTAR ( gjithsej 50,000 ha)</w:t>
            </w:r>
          </w:p>
        </w:tc>
      </w:tr>
      <w:tr w:rsidR="004F5CC3" w:rsidRPr="003A4C9D" w14:paraId="0CC9A3CC" w14:textId="77777777" w:rsidTr="00292263">
        <w:trPr>
          <w:trHeight w:val="227"/>
          <w:jc w:val="center"/>
        </w:trPr>
        <w:tc>
          <w:tcPr>
            <w:tcW w:w="500" w:type="pct"/>
            <w:tcBorders>
              <w:top w:val="single" w:sz="8" w:space="0" w:color="000000"/>
              <w:left w:val="single" w:sz="8" w:space="0" w:color="000000"/>
              <w:bottom w:val="single" w:sz="8" w:space="0" w:color="000000"/>
              <w:right w:val="single" w:sz="8" w:space="0" w:color="000000"/>
            </w:tcBorders>
            <w:shd w:val="clear" w:color="auto" w:fill="auto"/>
          </w:tcPr>
          <w:p w14:paraId="7509D4AB"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NP_001</w:t>
            </w:r>
          </w:p>
        </w:tc>
        <w:tc>
          <w:tcPr>
            <w:tcW w:w="708" w:type="pct"/>
            <w:tcBorders>
              <w:top w:val="nil"/>
              <w:left w:val="single" w:sz="8" w:space="0" w:color="000000"/>
              <w:bottom w:val="single" w:sz="8" w:space="0" w:color="000000"/>
              <w:right w:val="single" w:sz="8" w:space="0" w:color="000000"/>
            </w:tcBorders>
            <w:shd w:val="clear" w:color="auto" w:fill="auto"/>
          </w:tcPr>
          <w:p w14:paraId="15308DB3"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Parku Kombëtar 'Bjeshkët e Nemuna'</w:t>
            </w:r>
          </w:p>
        </w:tc>
        <w:tc>
          <w:tcPr>
            <w:tcW w:w="642" w:type="pct"/>
            <w:gridSpan w:val="2"/>
            <w:tcBorders>
              <w:top w:val="nil"/>
              <w:left w:val="single" w:sz="8" w:space="0" w:color="000000"/>
              <w:bottom w:val="single" w:sz="8" w:space="0" w:color="000000"/>
              <w:right w:val="single" w:sz="8" w:space="0" w:color="000000"/>
            </w:tcBorders>
            <w:shd w:val="clear" w:color="auto" w:fill="auto"/>
          </w:tcPr>
          <w:p w14:paraId="02B8BCF6"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Pejë, Deçan</w:t>
            </w:r>
          </w:p>
        </w:tc>
        <w:tc>
          <w:tcPr>
            <w:tcW w:w="584" w:type="pct"/>
            <w:gridSpan w:val="2"/>
            <w:tcBorders>
              <w:top w:val="nil"/>
              <w:left w:val="single" w:sz="8" w:space="0" w:color="000000"/>
              <w:bottom w:val="single" w:sz="8" w:space="0" w:color="000000"/>
              <w:right w:val="single" w:sz="8" w:space="0" w:color="000000"/>
            </w:tcBorders>
            <w:shd w:val="clear" w:color="auto" w:fill="auto"/>
          </w:tcPr>
          <w:p w14:paraId="0435CDF0"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50,000</w:t>
            </w:r>
          </w:p>
        </w:tc>
        <w:tc>
          <w:tcPr>
            <w:tcW w:w="451" w:type="pct"/>
            <w:gridSpan w:val="2"/>
            <w:tcBorders>
              <w:top w:val="nil"/>
              <w:left w:val="single" w:sz="8" w:space="0" w:color="000000"/>
              <w:bottom w:val="single" w:sz="8" w:space="0" w:color="000000"/>
              <w:right w:val="single" w:sz="8" w:space="0" w:color="000000"/>
            </w:tcBorders>
            <w:shd w:val="clear" w:color="auto" w:fill="auto"/>
          </w:tcPr>
          <w:p w14:paraId="1F2A15E2"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II</w:t>
            </w:r>
          </w:p>
        </w:tc>
        <w:tc>
          <w:tcPr>
            <w:tcW w:w="630" w:type="pct"/>
            <w:tcBorders>
              <w:top w:val="nil"/>
              <w:left w:val="single" w:sz="8" w:space="0" w:color="000000"/>
              <w:bottom w:val="single" w:sz="8" w:space="0" w:color="000000"/>
              <w:right w:val="single" w:sz="8" w:space="0" w:color="000000"/>
            </w:tcBorders>
            <w:shd w:val="clear" w:color="auto" w:fill="auto"/>
          </w:tcPr>
          <w:p w14:paraId="2C963139"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2012</w:t>
            </w:r>
          </w:p>
        </w:tc>
        <w:tc>
          <w:tcPr>
            <w:tcW w:w="1485" w:type="pct"/>
            <w:tcBorders>
              <w:top w:val="nil"/>
              <w:left w:val="single" w:sz="8" w:space="0" w:color="000000"/>
              <w:bottom w:val="single" w:sz="8" w:space="0" w:color="000000"/>
              <w:right w:val="single" w:sz="8" w:space="0" w:color="000000"/>
            </w:tcBorders>
            <w:shd w:val="clear" w:color="auto" w:fill="auto"/>
          </w:tcPr>
          <w:p w14:paraId="18EB0FCB" w14:textId="154C6F80" w:rsidR="004F5CC3" w:rsidRPr="003A4C9D" w:rsidRDefault="00E26040" w:rsidP="00580B24">
            <w:pPr>
              <w:rPr>
                <w:rFonts w:ascii="Arial Narrow" w:hAnsi="Arial Narrow"/>
                <w:color w:val="000000"/>
                <w:sz w:val="20"/>
                <w:szCs w:val="20"/>
              </w:rPr>
            </w:pPr>
            <w:r w:rsidRPr="006B6A40">
              <w:rPr>
                <w:rFonts w:ascii="Arial Narrow" w:hAnsi="Arial Narrow"/>
                <w:sz w:val="20"/>
                <w:szCs w:val="20"/>
                <w:lang w:val="sq-AL"/>
              </w:rPr>
              <w:t>I pasur me specie endemike të florës dhe faunës, me veçori të theksuara gjeologjike dhe hidrologjike.</w:t>
            </w:r>
          </w:p>
        </w:tc>
      </w:tr>
      <w:tr w:rsidR="004F5CC3" w:rsidRPr="003A4C9D" w14:paraId="6A136FFC" w14:textId="77777777" w:rsidTr="00292263">
        <w:trPr>
          <w:trHeight w:val="227"/>
          <w:jc w:val="center"/>
        </w:trPr>
        <w:tc>
          <w:tcPr>
            <w:tcW w:w="4997" w:type="pct"/>
            <w:gridSpan w:val="10"/>
            <w:tcBorders>
              <w:top w:val="single" w:sz="8" w:space="0" w:color="000000"/>
              <w:left w:val="single" w:sz="8" w:space="0" w:color="000000"/>
              <w:bottom w:val="single" w:sz="8" w:space="0" w:color="000000"/>
              <w:right w:val="single" w:sz="8" w:space="0" w:color="000000"/>
            </w:tcBorders>
            <w:shd w:val="clear" w:color="auto" w:fill="auto"/>
          </w:tcPr>
          <w:p w14:paraId="2E9D780E" w14:textId="4BAE8734" w:rsidR="004F5CC3" w:rsidRPr="003A4C9D" w:rsidRDefault="004F5CC3" w:rsidP="00580B24">
            <w:pPr>
              <w:rPr>
                <w:rFonts w:ascii="Arial Narrow" w:hAnsi="Arial Narrow"/>
                <w:sz w:val="20"/>
                <w:szCs w:val="20"/>
              </w:rPr>
            </w:pPr>
            <w:r w:rsidRPr="003A4C9D">
              <w:rPr>
                <w:rFonts w:ascii="Arial Narrow" w:hAnsi="Arial Narrow"/>
                <w:b/>
                <w:bCs/>
                <w:color w:val="000000"/>
                <w:sz w:val="20"/>
                <w:szCs w:val="20"/>
              </w:rPr>
              <w:t>MONUMENTE NATYRORE (10,085 ha, gjithsej)</w:t>
            </w:r>
          </w:p>
        </w:tc>
      </w:tr>
      <w:tr w:rsidR="004F5CC3" w:rsidRPr="003A4C9D" w14:paraId="2EA89E9A" w14:textId="77777777" w:rsidTr="00292263">
        <w:trPr>
          <w:trHeight w:val="227"/>
          <w:jc w:val="center"/>
        </w:trPr>
        <w:tc>
          <w:tcPr>
            <w:tcW w:w="500" w:type="pct"/>
            <w:tcBorders>
              <w:top w:val="single" w:sz="8" w:space="0" w:color="000000"/>
              <w:left w:val="single" w:sz="8" w:space="0" w:color="000000"/>
              <w:bottom w:val="single" w:sz="8" w:space="0" w:color="000000"/>
              <w:right w:val="single" w:sz="8" w:space="0" w:color="000000"/>
            </w:tcBorders>
            <w:shd w:val="clear" w:color="auto" w:fill="auto"/>
          </w:tcPr>
          <w:p w14:paraId="06BC1644"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MN_201</w:t>
            </w:r>
          </w:p>
        </w:tc>
        <w:tc>
          <w:tcPr>
            <w:tcW w:w="801" w:type="pct"/>
            <w:gridSpan w:val="2"/>
            <w:tcBorders>
              <w:top w:val="single" w:sz="8" w:space="0" w:color="000000"/>
              <w:left w:val="single" w:sz="8" w:space="0" w:color="000000"/>
              <w:bottom w:val="single" w:sz="8" w:space="0" w:color="000000"/>
              <w:right w:val="single" w:sz="8" w:space="0" w:color="000000"/>
            </w:tcBorders>
            <w:shd w:val="clear" w:color="auto" w:fill="auto"/>
          </w:tcPr>
          <w:p w14:paraId="78AEE64C"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Kanioni i Rugovës</w:t>
            </w:r>
          </w:p>
        </w:tc>
        <w:tc>
          <w:tcPr>
            <w:tcW w:w="733" w:type="pct"/>
            <w:gridSpan w:val="2"/>
            <w:tcBorders>
              <w:top w:val="single" w:sz="8" w:space="0" w:color="000000"/>
              <w:left w:val="single" w:sz="8" w:space="0" w:color="000000"/>
              <w:bottom w:val="single" w:sz="8" w:space="0" w:color="000000"/>
              <w:right w:val="single" w:sz="8" w:space="0" w:color="000000"/>
            </w:tcBorders>
            <w:shd w:val="clear" w:color="auto" w:fill="auto"/>
          </w:tcPr>
          <w:p w14:paraId="68C5E945"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Pejë</w:t>
            </w:r>
          </w:p>
        </w:tc>
        <w:tc>
          <w:tcPr>
            <w:tcW w:w="405" w:type="pct"/>
            <w:gridSpan w:val="2"/>
            <w:tcBorders>
              <w:top w:val="single" w:sz="8" w:space="0" w:color="000000"/>
              <w:left w:val="single" w:sz="8" w:space="0" w:color="000000"/>
              <w:bottom w:val="single" w:sz="8" w:space="0" w:color="000000"/>
              <w:right w:val="single" w:sz="8" w:space="0" w:color="000000"/>
            </w:tcBorders>
            <w:shd w:val="clear" w:color="auto" w:fill="auto"/>
          </w:tcPr>
          <w:p w14:paraId="0B92D90E"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450</w:t>
            </w:r>
          </w:p>
        </w:tc>
        <w:tc>
          <w:tcPr>
            <w:tcW w:w="447" w:type="pct"/>
            <w:tcBorders>
              <w:top w:val="single" w:sz="8" w:space="0" w:color="000000"/>
              <w:left w:val="single" w:sz="8" w:space="0" w:color="000000"/>
              <w:bottom w:val="single" w:sz="8" w:space="0" w:color="000000"/>
              <w:right w:val="single" w:sz="8" w:space="0" w:color="000000"/>
            </w:tcBorders>
            <w:shd w:val="clear" w:color="auto" w:fill="auto"/>
          </w:tcPr>
          <w:p w14:paraId="1B9DB186"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III</w:t>
            </w:r>
          </w:p>
        </w:tc>
        <w:tc>
          <w:tcPr>
            <w:tcW w:w="630" w:type="pct"/>
            <w:tcBorders>
              <w:top w:val="single" w:sz="8" w:space="0" w:color="000000"/>
              <w:left w:val="single" w:sz="8" w:space="0" w:color="000000"/>
              <w:bottom w:val="single" w:sz="8" w:space="0" w:color="000000"/>
              <w:right w:val="single" w:sz="8" w:space="0" w:color="000000"/>
            </w:tcBorders>
            <w:shd w:val="clear" w:color="auto" w:fill="auto"/>
          </w:tcPr>
          <w:p w14:paraId="0BB02771" w14:textId="77777777" w:rsidR="004F5CC3" w:rsidRPr="003A4C9D" w:rsidRDefault="004F5CC3" w:rsidP="00580B24">
            <w:pPr>
              <w:rPr>
                <w:rFonts w:ascii="Arial Narrow" w:hAnsi="Arial Narrow"/>
                <w:color w:val="000000"/>
                <w:sz w:val="20"/>
                <w:szCs w:val="20"/>
              </w:rPr>
            </w:pPr>
            <w:r w:rsidRPr="003A4C9D">
              <w:rPr>
                <w:rFonts w:ascii="Arial Narrow" w:hAnsi="Arial Narrow"/>
                <w:sz w:val="20"/>
                <w:szCs w:val="20"/>
              </w:rPr>
              <w:t>1985</w:t>
            </w:r>
          </w:p>
        </w:tc>
        <w:tc>
          <w:tcPr>
            <w:tcW w:w="1482" w:type="pct"/>
            <w:tcBorders>
              <w:top w:val="single" w:sz="8" w:space="0" w:color="000000"/>
              <w:left w:val="single" w:sz="8" w:space="0" w:color="000000"/>
              <w:bottom w:val="single" w:sz="8" w:space="0" w:color="000000"/>
              <w:right w:val="single" w:sz="8" w:space="0" w:color="000000"/>
            </w:tcBorders>
            <w:shd w:val="clear" w:color="auto" w:fill="auto"/>
          </w:tcPr>
          <w:p w14:paraId="7FE5D1A5" w14:textId="77777777" w:rsidR="004F5CC3" w:rsidRPr="003A4C9D" w:rsidRDefault="004F5CC3" w:rsidP="00580B24">
            <w:pPr>
              <w:tabs>
                <w:tab w:val="left" w:pos="1155"/>
                <w:tab w:val="left" w:pos="1462"/>
                <w:tab w:val="left" w:pos="2239"/>
                <w:tab w:val="left" w:pos="2548"/>
              </w:tabs>
              <w:rPr>
                <w:rFonts w:ascii="Arial Narrow" w:hAnsi="Arial Narrow"/>
                <w:sz w:val="20"/>
                <w:szCs w:val="20"/>
              </w:rPr>
            </w:pPr>
            <w:r w:rsidRPr="003A4C9D">
              <w:rPr>
                <w:rFonts w:ascii="Arial Narrow" w:hAnsi="Arial Narrow"/>
                <w:sz w:val="20"/>
                <w:szCs w:val="20"/>
              </w:rPr>
              <w:t>Kanion spektakolar me rëndësi gjeomorfologjike dhe hidrologjike.</w:t>
            </w:r>
          </w:p>
        </w:tc>
      </w:tr>
      <w:tr w:rsidR="004F5CC3" w:rsidRPr="003A4C9D" w14:paraId="224A1312" w14:textId="77777777" w:rsidTr="00292263">
        <w:trPr>
          <w:trHeight w:val="227"/>
          <w:jc w:val="center"/>
        </w:trPr>
        <w:tc>
          <w:tcPr>
            <w:tcW w:w="500" w:type="pct"/>
            <w:tcBorders>
              <w:top w:val="single" w:sz="8" w:space="0" w:color="000000"/>
              <w:left w:val="single" w:sz="8" w:space="0" w:color="000000"/>
              <w:bottom w:val="single" w:sz="8" w:space="0" w:color="000000"/>
              <w:right w:val="single" w:sz="8" w:space="0" w:color="000000"/>
            </w:tcBorders>
            <w:shd w:val="clear" w:color="auto" w:fill="auto"/>
          </w:tcPr>
          <w:p w14:paraId="15D956EF"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MN_202</w:t>
            </w:r>
          </w:p>
        </w:tc>
        <w:tc>
          <w:tcPr>
            <w:tcW w:w="801" w:type="pct"/>
            <w:gridSpan w:val="2"/>
            <w:tcBorders>
              <w:top w:val="single" w:sz="8" w:space="0" w:color="000000"/>
              <w:left w:val="single" w:sz="8" w:space="0" w:color="000000"/>
              <w:bottom w:val="single" w:sz="8" w:space="0" w:color="000000"/>
              <w:right w:val="single" w:sz="8" w:space="0" w:color="000000"/>
            </w:tcBorders>
            <w:shd w:val="clear" w:color="auto" w:fill="auto"/>
          </w:tcPr>
          <w:p w14:paraId="4DE8D242"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Burimi i Drinit të Bardhë</w:t>
            </w:r>
          </w:p>
        </w:tc>
        <w:tc>
          <w:tcPr>
            <w:tcW w:w="733" w:type="pct"/>
            <w:gridSpan w:val="2"/>
            <w:tcBorders>
              <w:top w:val="single" w:sz="8" w:space="0" w:color="000000"/>
              <w:left w:val="single" w:sz="8" w:space="0" w:color="000000"/>
              <w:bottom w:val="single" w:sz="8" w:space="0" w:color="000000"/>
              <w:right w:val="single" w:sz="8" w:space="0" w:color="000000"/>
            </w:tcBorders>
            <w:shd w:val="clear" w:color="auto" w:fill="auto"/>
          </w:tcPr>
          <w:p w14:paraId="77D71A18"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Pejë</w:t>
            </w:r>
          </w:p>
        </w:tc>
        <w:tc>
          <w:tcPr>
            <w:tcW w:w="405" w:type="pct"/>
            <w:gridSpan w:val="2"/>
            <w:tcBorders>
              <w:top w:val="single" w:sz="8" w:space="0" w:color="000000"/>
              <w:left w:val="single" w:sz="8" w:space="0" w:color="000000"/>
              <w:bottom w:val="single" w:sz="8" w:space="0" w:color="000000"/>
              <w:right w:val="single" w:sz="8" w:space="0" w:color="000000"/>
            </w:tcBorders>
            <w:shd w:val="clear" w:color="auto" w:fill="auto"/>
          </w:tcPr>
          <w:p w14:paraId="12110F0C"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20</w:t>
            </w:r>
          </w:p>
        </w:tc>
        <w:tc>
          <w:tcPr>
            <w:tcW w:w="447" w:type="pct"/>
            <w:tcBorders>
              <w:top w:val="single" w:sz="8" w:space="0" w:color="000000"/>
              <w:left w:val="single" w:sz="8" w:space="0" w:color="000000"/>
              <w:bottom w:val="single" w:sz="8" w:space="0" w:color="000000"/>
              <w:right w:val="single" w:sz="8" w:space="0" w:color="000000"/>
            </w:tcBorders>
            <w:shd w:val="clear" w:color="auto" w:fill="auto"/>
          </w:tcPr>
          <w:p w14:paraId="337AEA72"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III</w:t>
            </w:r>
          </w:p>
        </w:tc>
        <w:tc>
          <w:tcPr>
            <w:tcW w:w="630" w:type="pct"/>
            <w:tcBorders>
              <w:top w:val="single" w:sz="8" w:space="0" w:color="000000"/>
              <w:left w:val="single" w:sz="8" w:space="0" w:color="000000"/>
              <w:bottom w:val="single" w:sz="8" w:space="0" w:color="000000"/>
              <w:right w:val="single" w:sz="8" w:space="0" w:color="000000"/>
            </w:tcBorders>
            <w:shd w:val="clear" w:color="auto" w:fill="auto"/>
          </w:tcPr>
          <w:p w14:paraId="0D80DBE7"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1985</w:t>
            </w:r>
          </w:p>
        </w:tc>
        <w:tc>
          <w:tcPr>
            <w:tcW w:w="1482" w:type="pct"/>
            <w:tcBorders>
              <w:top w:val="single" w:sz="8" w:space="0" w:color="000000"/>
              <w:left w:val="single" w:sz="8" w:space="0" w:color="000000"/>
              <w:bottom w:val="single" w:sz="8" w:space="0" w:color="000000"/>
              <w:right w:val="single" w:sz="8" w:space="0" w:color="000000"/>
            </w:tcBorders>
            <w:shd w:val="clear" w:color="auto" w:fill="auto"/>
          </w:tcPr>
          <w:p w14:paraId="2380E125" w14:textId="77777777" w:rsidR="004F5CC3" w:rsidRPr="003A4C9D" w:rsidRDefault="004F5CC3" w:rsidP="00580B24">
            <w:pPr>
              <w:tabs>
                <w:tab w:val="left" w:pos="1155"/>
                <w:tab w:val="left" w:pos="1462"/>
                <w:tab w:val="left" w:pos="2239"/>
                <w:tab w:val="left" w:pos="2548"/>
              </w:tabs>
              <w:rPr>
                <w:rFonts w:ascii="Arial Narrow" w:hAnsi="Arial Narrow"/>
                <w:color w:val="000000"/>
                <w:sz w:val="20"/>
                <w:szCs w:val="20"/>
              </w:rPr>
            </w:pPr>
            <w:r w:rsidRPr="003A4C9D">
              <w:rPr>
                <w:rFonts w:ascii="Arial Narrow" w:hAnsi="Arial Narrow"/>
                <w:sz w:val="20"/>
                <w:szCs w:val="20"/>
              </w:rPr>
              <w:t>Vend i rëndësishëm hidrologjik me vlerë të konsiderueshme ekologjike.</w:t>
            </w:r>
          </w:p>
        </w:tc>
      </w:tr>
      <w:tr w:rsidR="004F5CC3" w:rsidRPr="003A4C9D" w14:paraId="5CF4DABF" w14:textId="77777777" w:rsidTr="00292263">
        <w:trPr>
          <w:trHeight w:val="227"/>
          <w:jc w:val="center"/>
        </w:trPr>
        <w:tc>
          <w:tcPr>
            <w:tcW w:w="500" w:type="pct"/>
            <w:tcBorders>
              <w:top w:val="single" w:sz="8" w:space="0" w:color="000000"/>
              <w:left w:val="single" w:sz="8" w:space="0" w:color="000000"/>
              <w:bottom w:val="single" w:sz="8" w:space="0" w:color="000000"/>
              <w:right w:val="single" w:sz="8" w:space="0" w:color="000000"/>
            </w:tcBorders>
            <w:shd w:val="clear" w:color="auto" w:fill="auto"/>
          </w:tcPr>
          <w:p w14:paraId="0ECA7016"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MN_203</w:t>
            </w:r>
          </w:p>
        </w:tc>
        <w:tc>
          <w:tcPr>
            <w:tcW w:w="801" w:type="pct"/>
            <w:gridSpan w:val="2"/>
            <w:tcBorders>
              <w:top w:val="single" w:sz="8" w:space="0" w:color="000000"/>
              <w:left w:val="single" w:sz="8" w:space="0" w:color="000000"/>
              <w:bottom w:val="single" w:sz="8" w:space="0" w:color="000000"/>
              <w:right w:val="single" w:sz="8" w:space="0" w:color="000000"/>
            </w:tcBorders>
            <w:shd w:val="clear" w:color="auto" w:fill="auto"/>
          </w:tcPr>
          <w:p w14:paraId="073AA79B"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Shpella e Radavcit</w:t>
            </w:r>
          </w:p>
        </w:tc>
        <w:tc>
          <w:tcPr>
            <w:tcW w:w="733" w:type="pct"/>
            <w:gridSpan w:val="2"/>
            <w:tcBorders>
              <w:top w:val="single" w:sz="8" w:space="0" w:color="000000"/>
              <w:left w:val="single" w:sz="8" w:space="0" w:color="000000"/>
              <w:bottom w:val="single" w:sz="8" w:space="0" w:color="000000"/>
              <w:right w:val="single" w:sz="8" w:space="0" w:color="000000"/>
            </w:tcBorders>
            <w:shd w:val="clear" w:color="auto" w:fill="auto"/>
          </w:tcPr>
          <w:p w14:paraId="703C8DD8"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Pejë</w:t>
            </w:r>
          </w:p>
        </w:tc>
        <w:tc>
          <w:tcPr>
            <w:tcW w:w="405" w:type="pct"/>
            <w:gridSpan w:val="2"/>
            <w:tcBorders>
              <w:top w:val="single" w:sz="8" w:space="0" w:color="000000"/>
              <w:left w:val="single" w:sz="8" w:space="0" w:color="000000"/>
              <w:bottom w:val="single" w:sz="8" w:space="0" w:color="000000"/>
              <w:right w:val="single" w:sz="8" w:space="0" w:color="000000"/>
            </w:tcBorders>
            <w:shd w:val="clear" w:color="auto" w:fill="auto"/>
          </w:tcPr>
          <w:p w14:paraId="5E1A7B92"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10</w:t>
            </w:r>
          </w:p>
        </w:tc>
        <w:tc>
          <w:tcPr>
            <w:tcW w:w="447" w:type="pct"/>
            <w:tcBorders>
              <w:top w:val="single" w:sz="8" w:space="0" w:color="000000"/>
              <w:left w:val="single" w:sz="8" w:space="0" w:color="000000"/>
              <w:bottom w:val="single" w:sz="8" w:space="0" w:color="000000"/>
              <w:right w:val="single" w:sz="8" w:space="0" w:color="000000"/>
            </w:tcBorders>
            <w:shd w:val="clear" w:color="auto" w:fill="auto"/>
          </w:tcPr>
          <w:p w14:paraId="390383A7"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III</w:t>
            </w:r>
          </w:p>
        </w:tc>
        <w:tc>
          <w:tcPr>
            <w:tcW w:w="630" w:type="pct"/>
            <w:tcBorders>
              <w:top w:val="single" w:sz="8" w:space="0" w:color="000000"/>
              <w:left w:val="single" w:sz="8" w:space="0" w:color="000000"/>
              <w:bottom w:val="single" w:sz="8" w:space="0" w:color="000000"/>
              <w:right w:val="single" w:sz="8" w:space="0" w:color="000000"/>
            </w:tcBorders>
            <w:shd w:val="clear" w:color="auto" w:fill="auto"/>
          </w:tcPr>
          <w:p w14:paraId="56DE81EC"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2000</w:t>
            </w:r>
          </w:p>
        </w:tc>
        <w:tc>
          <w:tcPr>
            <w:tcW w:w="1482" w:type="pct"/>
            <w:tcBorders>
              <w:top w:val="single" w:sz="8" w:space="0" w:color="000000"/>
              <w:left w:val="single" w:sz="8" w:space="0" w:color="000000"/>
              <w:bottom w:val="single" w:sz="8" w:space="0" w:color="000000"/>
              <w:right w:val="single" w:sz="8" w:space="0" w:color="000000"/>
            </w:tcBorders>
            <w:shd w:val="clear" w:color="auto" w:fill="auto"/>
          </w:tcPr>
          <w:p w14:paraId="312B15EC" w14:textId="424FE370" w:rsidR="004F5CC3" w:rsidRPr="003A4C9D" w:rsidRDefault="004F5CC3" w:rsidP="00580B24">
            <w:pPr>
              <w:rPr>
                <w:rFonts w:ascii="Arial Narrow" w:hAnsi="Arial Narrow"/>
                <w:color w:val="000000"/>
                <w:sz w:val="20"/>
                <w:szCs w:val="20"/>
              </w:rPr>
            </w:pPr>
            <w:r w:rsidRPr="003A4C9D">
              <w:rPr>
                <w:rFonts w:ascii="Arial Narrow" w:hAnsi="Arial Narrow"/>
                <w:sz w:val="20"/>
                <w:szCs w:val="20"/>
              </w:rPr>
              <w:t>Monument i shquar speleologjik me formacione unike shpell</w:t>
            </w:r>
            <w:r w:rsidR="00E26040">
              <w:rPr>
                <w:rFonts w:ascii="Arial Narrow" w:hAnsi="Arial Narrow"/>
                <w:sz w:val="20"/>
                <w:szCs w:val="20"/>
              </w:rPr>
              <w:t>ore</w:t>
            </w:r>
            <w:r w:rsidRPr="003A4C9D">
              <w:rPr>
                <w:rFonts w:ascii="Arial Narrow" w:hAnsi="Arial Narrow"/>
                <w:sz w:val="20"/>
                <w:szCs w:val="20"/>
              </w:rPr>
              <w:t>.</w:t>
            </w:r>
          </w:p>
        </w:tc>
      </w:tr>
      <w:tr w:rsidR="004F5CC3" w:rsidRPr="003A4C9D" w14:paraId="43AD52C6" w14:textId="77777777" w:rsidTr="00292263">
        <w:trPr>
          <w:trHeight w:val="227"/>
          <w:jc w:val="center"/>
        </w:trPr>
        <w:tc>
          <w:tcPr>
            <w:tcW w:w="500" w:type="pct"/>
            <w:tcBorders>
              <w:top w:val="single" w:sz="8" w:space="0" w:color="000000"/>
              <w:left w:val="single" w:sz="8" w:space="0" w:color="000000"/>
              <w:bottom w:val="single" w:sz="8" w:space="0" w:color="000000"/>
              <w:right w:val="single" w:sz="8" w:space="0" w:color="000000"/>
            </w:tcBorders>
            <w:shd w:val="clear" w:color="auto" w:fill="auto"/>
          </w:tcPr>
          <w:p w14:paraId="3878AD53"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MN_204</w:t>
            </w:r>
          </w:p>
        </w:tc>
        <w:tc>
          <w:tcPr>
            <w:tcW w:w="801" w:type="pct"/>
            <w:gridSpan w:val="2"/>
            <w:tcBorders>
              <w:top w:val="single" w:sz="8" w:space="0" w:color="000000"/>
              <w:left w:val="single" w:sz="8" w:space="0" w:color="000000"/>
              <w:bottom w:val="single" w:sz="8" w:space="0" w:color="000000"/>
              <w:right w:val="single" w:sz="8" w:space="0" w:color="000000"/>
            </w:tcBorders>
            <w:shd w:val="clear" w:color="auto" w:fill="auto"/>
          </w:tcPr>
          <w:p w14:paraId="089E1E20"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Gryka e Istogut</w:t>
            </w:r>
          </w:p>
        </w:tc>
        <w:tc>
          <w:tcPr>
            <w:tcW w:w="733" w:type="pct"/>
            <w:gridSpan w:val="2"/>
            <w:tcBorders>
              <w:top w:val="single" w:sz="8" w:space="0" w:color="000000"/>
              <w:left w:val="single" w:sz="8" w:space="0" w:color="000000"/>
              <w:bottom w:val="single" w:sz="8" w:space="0" w:color="000000"/>
              <w:right w:val="single" w:sz="8" w:space="0" w:color="000000"/>
            </w:tcBorders>
            <w:shd w:val="clear" w:color="auto" w:fill="auto"/>
          </w:tcPr>
          <w:p w14:paraId="34F6645A"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Istog</w:t>
            </w:r>
          </w:p>
        </w:tc>
        <w:tc>
          <w:tcPr>
            <w:tcW w:w="405" w:type="pct"/>
            <w:gridSpan w:val="2"/>
            <w:tcBorders>
              <w:top w:val="single" w:sz="8" w:space="0" w:color="000000"/>
              <w:left w:val="single" w:sz="8" w:space="0" w:color="000000"/>
              <w:bottom w:val="single" w:sz="8" w:space="0" w:color="000000"/>
              <w:right w:val="single" w:sz="8" w:space="0" w:color="000000"/>
            </w:tcBorders>
            <w:shd w:val="clear" w:color="auto" w:fill="auto"/>
          </w:tcPr>
          <w:p w14:paraId="6B74A968"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15</w:t>
            </w:r>
          </w:p>
        </w:tc>
        <w:tc>
          <w:tcPr>
            <w:tcW w:w="447" w:type="pct"/>
            <w:tcBorders>
              <w:top w:val="single" w:sz="8" w:space="0" w:color="000000"/>
              <w:left w:val="single" w:sz="8" w:space="0" w:color="000000"/>
              <w:bottom w:val="single" w:sz="8" w:space="0" w:color="000000"/>
              <w:right w:val="single" w:sz="8" w:space="0" w:color="000000"/>
            </w:tcBorders>
            <w:shd w:val="clear" w:color="auto" w:fill="auto"/>
          </w:tcPr>
          <w:p w14:paraId="7593FD61"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III</w:t>
            </w:r>
          </w:p>
        </w:tc>
        <w:tc>
          <w:tcPr>
            <w:tcW w:w="630" w:type="pct"/>
            <w:tcBorders>
              <w:top w:val="single" w:sz="8" w:space="0" w:color="000000"/>
              <w:left w:val="single" w:sz="8" w:space="0" w:color="000000"/>
              <w:bottom w:val="single" w:sz="8" w:space="0" w:color="000000"/>
              <w:right w:val="single" w:sz="8" w:space="0" w:color="000000"/>
            </w:tcBorders>
            <w:shd w:val="clear" w:color="auto" w:fill="auto"/>
          </w:tcPr>
          <w:p w14:paraId="496C6328"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2010</w:t>
            </w:r>
          </w:p>
        </w:tc>
        <w:tc>
          <w:tcPr>
            <w:tcW w:w="1482" w:type="pct"/>
            <w:tcBorders>
              <w:top w:val="single" w:sz="8" w:space="0" w:color="000000"/>
              <w:left w:val="single" w:sz="8" w:space="0" w:color="000000"/>
              <w:bottom w:val="single" w:sz="8" w:space="0" w:color="000000"/>
              <w:right w:val="single" w:sz="8" w:space="0" w:color="000000"/>
            </w:tcBorders>
            <w:shd w:val="clear" w:color="auto" w:fill="auto"/>
          </w:tcPr>
          <w:p w14:paraId="5E24C52E" w14:textId="77777777" w:rsidR="004F5CC3" w:rsidRPr="003A4C9D" w:rsidRDefault="004F5CC3" w:rsidP="00580B24">
            <w:pPr>
              <w:rPr>
                <w:rFonts w:ascii="Arial Narrow" w:hAnsi="Arial Narrow"/>
                <w:color w:val="000000"/>
                <w:sz w:val="20"/>
                <w:szCs w:val="20"/>
              </w:rPr>
            </w:pPr>
            <w:r w:rsidRPr="003A4C9D">
              <w:rPr>
                <w:rFonts w:ascii="Arial Narrow" w:hAnsi="Arial Narrow"/>
                <w:sz w:val="20"/>
                <w:szCs w:val="20"/>
              </w:rPr>
              <w:t>Vend i rëndësishëm gjeologjik dhe hidrologjik me florë dhe faunë të larmishme.</w:t>
            </w:r>
          </w:p>
        </w:tc>
      </w:tr>
      <w:tr w:rsidR="004F5CC3" w:rsidRPr="003A4C9D" w14:paraId="0BC85D7C" w14:textId="77777777" w:rsidTr="00292263">
        <w:trPr>
          <w:trHeight w:val="227"/>
          <w:jc w:val="center"/>
        </w:trPr>
        <w:tc>
          <w:tcPr>
            <w:tcW w:w="500" w:type="pct"/>
            <w:tcBorders>
              <w:top w:val="single" w:sz="8" w:space="0" w:color="000000"/>
              <w:left w:val="single" w:sz="8" w:space="0" w:color="000000"/>
              <w:bottom w:val="single" w:sz="8" w:space="0" w:color="000000"/>
              <w:right w:val="single" w:sz="8" w:space="0" w:color="000000"/>
            </w:tcBorders>
            <w:shd w:val="clear" w:color="auto" w:fill="auto"/>
          </w:tcPr>
          <w:p w14:paraId="6B4D4055"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MN_205</w:t>
            </w:r>
          </w:p>
        </w:tc>
        <w:tc>
          <w:tcPr>
            <w:tcW w:w="801" w:type="pct"/>
            <w:gridSpan w:val="2"/>
            <w:tcBorders>
              <w:top w:val="single" w:sz="8" w:space="0" w:color="000000"/>
              <w:left w:val="single" w:sz="8" w:space="0" w:color="000000"/>
              <w:bottom w:val="single" w:sz="8" w:space="0" w:color="000000"/>
              <w:right w:val="single" w:sz="8" w:space="0" w:color="000000"/>
            </w:tcBorders>
            <w:shd w:val="clear" w:color="auto" w:fill="auto"/>
          </w:tcPr>
          <w:p w14:paraId="0DA9E4E2" w14:textId="3DFFE10C" w:rsidR="004F5CC3" w:rsidRPr="003A4C9D" w:rsidRDefault="004F5CC3" w:rsidP="00580B24">
            <w:pPr>
              <w:rPr>
                <w:rFonts w:ascii="Arial Narrow" w:hAnsi="Arial Narrow"/>
                <w:sz w:val="20"/>
                <w:szCs w:val="20"/>
                <w:lang w:val="de-DE"/>
              </w:rPr>
            </w:pPr>
            <w:r w:rsidRPr="003A4C9D">
              <w:rPr>
                <w:rFonts w:ascii="Arial Narrow" w:hAnsi="Arial Narrow"/>
                <w:sz w:val="20"/>
                <w:szCs w:val="20"/>
              </w:rPr>
              <w:t>Gryka e Deçanit</w:t>
            </w:r>
          </w:p>
        </w:tc>
        <w:tc>
          <w:tcPr>
            <w:tcW w:w="733" w:type="pct"/>
            <w:gridSpan w:val="2"/>
            <w:tcBorders>
              <w:top w:val="single" w:sz="8" w:space="0" w:color="000000"/>
              <w:left w:val="single" w:sz="8" w:space="0" w:color="000000"/>
              <w:bottom w:val="single" w:sz="8" w:space="0" w:color="000000"/>
              <w:right w:val="single" w:sz="8" w:space="0" w:color="000000"/>
            </w:tcBorders>
            <w:shd w:val="clear" w:color="auto" w:fill="auto"/>
          </w:tcPr>
          <w:p w14:paraId="49BE6A13"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Deçan</w:t>
            </w:r>
          </w:p>
        </w:tc>
        <w:tc>
          <w:tcPr>
            <w:tcW w:w="405" w:type="pct"/>
            <w:gridSpan w:val="2"/>
            <w:tcBorders>
              <w:top w:val="single" w:sz="8" w:space="0" w:color="000000"/>
              <w:left w:val="single" w:sz="8" w:space="0" w:color="000000"/>
              <w:bottom w:val="single" w:sz="8" w:space="0" w:color="000000"/>
              <w:right w:val="single" w:sz="8" w:space="0" w:color="000000"/>
            </w:tcBorders>
            <w:shd w:val="clear" w:color="auto" w:fill="auto"/>
          </w:tcPr>
          <w:p w14:paraId="28F828AE"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5</w:t>
            </w:r>
          </w:p>
        </w:tc>
        <w:tc>
          <w:tcPr>
            <w:tcW w:w="447" w:type="pct"/>
            <w:tcBorders>
              <w:top w:val="single" w:sz="8" w:space="0" w:color="000000"/>
              <w:left w:val="single" w:sz="8" w:space="0" w:color="000000"/>
              <w:bottom w:val="single" w:sz="8" w:space="0" w:color="000000"/>
              <w:right w:val="single" w:sz="8" w:space="0" w:color="000000"/>
            </w:tcBorders>
            <w:shd w:val="clear" w:color="auto" w:fill="auto"/>
          </w:tcPr>
          <w:p w14:paraId="533D6384"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III</w:t>
            </w:r>
          </w:p>
        </w:tc>
        <w:tc>
          <w:tcPr>
            <w:tcW w:w="630" w:type="pct"/>
            <w:tcBorders>
              <w:top w:val="single" w:sz="8" w:space="0" w:color="000000"/>
              <w:left w:val="single" w:sz="8" w:space="0" w:color="000000"/>
              <w:bottom w:val="single" w:sz="8" w:space="0" w:color="000000"/>
              <w:right w:val="single" w:sz="8" w:space="0" w:color="000000"/>
            </w:tcBorders>
            <w:shd w:val="clear" w:color="auto" w:fill="auto"/>
          </w:tcPr>
          <w:p w14:paraId="751FA3A7"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2015</w:t>
            </w:r>
          </w:p>
        </w:tc>
        <w:tc>
          <w:tcPr>
            <w:tcW w:w="1482" w:type="pct"/>
            <w:tcBorders>
              <w:top w:val="single" w:sz="8" w:space="0" w:color="000000"/>
              <w:left w:val="single" w:sz="8" w:space="0" w:color="000000"/>
              <w:bottom w:val="single" w:sz="8" w:space="0" w:color="000000"/>
              <w:right w:val="single" w:sz="8" w:space="0" w:color="000000"/>
            </w:tcBorders>
            <w:shd w:val="clear" w:color="auto" w:fill="auto"/>
          </w:tcPr>
          <w:p w14:paraId="59D642AA" w14:textId="281350A3" w:rsidR="004F5CC3" w:rsidRPr="003A4C9D" w:rsidRDefault="004F5CC3" w:rsidP="00580B24">
            <w:pPr>
              <w:rPr>
                <w:rFonts w:ascii="Arial Narrow" w:hAnsi="Arial Narrow"/>
                <w:color w:val="000000"/>
                <w:sz w:val="20"/>
                <w:szCs w:val="20"/>
              </w:rPr>
            </w:pPr>
            <w:r w:rsidRPr="003A4C9D">
              <w:rPr>
                <w:rFonts w:ascii="Arial Narrow" w:hAnsi="Arial Narrow"/>
                <w:sz w:val="20"/>
                <w:szCs w:val="20"/>
              </w:rPr>
              <w:t>Monument gjeologjik me biodiversitet të spikatur.</w:t>
            </w:r>
          </w:p>
        </w:tc>
      </w:tr>
      <w:tr w:rsidR="004F5CC3" w:rsidRPr="003A4C9D" w14:paraId="069BF6CA" w14:textId="77777777" w:rsidTr="00292263">
        <w:trPr>
          <w:trHeight w:val="227"/>
          <w:jc w:val="center"/>
        </w:trPr>
        <w:tc>
          <w:tcPr>
            <w:tcW w:w="500" w:type="pct"/>
            <w:tcBorders>
              <w:top w:val="single" w:sz="8" w:space="0" w:color="000000"/>
              <w:left w:val="single" w:sz="8" w:space="0" w:color="000000"/>
              <w:bottom w:val="single" w:sz="8" w:space="0" w:color="000000"/>
              <w:right w:val="single" w:sz="8" w:space="0" w:color="000000"/>
            </w:tcBorders>
            <w:shd w:val="clear" w:color="auto" w:fill="auto"/>
          </w:tcPr>
          <w:p w14:paraId="20B71CD7"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MN_206</w:t>
            </w:r>
          </w:p>
        </w:tc>
        <w:tc>
          <w:tcPr>
            <w:tcW w:w="801" w:type="pct"/>
            <w:gridSpan w:val="2"/>
            <w:tcBorders>
              <w:top w:val="single" w:sz="8" w:space="0" w:color="000000"/>
              <w:left w:val="single" w:sz="8" w:space="0" w:color="000000"/>
              <w:bottom w:val="single" w:sz="8" w:space="0" w:color="000000"/>
              <w:right w:val="single" w:sz="8" w:space="0" w:color="000000"/>
            </w:tcBorders>
            <w:shd w:val="clear" w:color="auto" w:fill="auto"/>
          </w:tcPr>
          <w:p w14:paraId="2BDA1FD3"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Malet e Junikut</w:t>
            </w:r>
          </w:p>
        </w:tc>
        <w:tc>
          <w:tcPr>
            <w:tcW w:w="733" w:type="pct"/>
            <w:gridSpan w:val="2"/>
            <w:tcBorders>
              <w:top w:val="single" w:sz="8" w:space="0" w:color="000000"/>
              <w:left w:val="single" w:sz="8" w:space="0" w:color="000000"/>
              <w:bottom w:val="single" w:sz="8" w:space="0" w:color="000000"/>
              <w:right w:val="single" w:sz="8" w:space="0" w:color="000000"/>
            </w:tcBorders>
            <w:shd w:val="clear" w:color="auto" w:fill="auto"/>
          </w:tcPr>
          <w:p w14:paraId="6A03B293"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Junik</w:t>
            </w:r>
          </w:p>
        </w:tc>
        <w:tc>
          <w:tcPr>
            <w:tcW w:w="405" w:type="pct"/>
            <w:gridSpan w:val="2"/>
            <w:tcBorders>
              <w:top w:val="single" w:sz="8" w:space="0" w:color="000000"/>
              <w:left w:val="single" w:sz="8" w:space="0" w:color="000000"/>
              <w:bottom w:val="single" w:sz="8" w:space="0" w:color="000000"/>
              <w:right w:val="single" w:sz="8" w:space="0" w:color="000000"/>
            </w:tcBorders>
            <w:shd w:val="clear" w:color="auto" w:fill="auto"/>
          </w:tcPr>
          <w:p w14:paraId="2AE691D6"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100</w:t>
            </w:r>
          </w:p>
        </w:tc>
        <w:tc>
          <w:tcPr>
            <w:tcW w:w="447" w:type="pct"/>
            <w:tcBorders>
              <w:top w:val="single" w:sz="8" w:space="0" w:color="000000"/>
              <w:left w:val="single" w:sz="8" w:space="0" w:color="000000"/>
              <w:bottom w:val="single" w:sz="8" w:space="0" w:color="000000"/>
              <w:right w:val="single" w:sz="8" w:space="0" w:color="000000"/>
            </w:tcBorders>
            <w:shd w:val="clear" w:color="auto" w:fill="auto"/>
          </w:tcPr>
          <w:p w14:paraId="6A758FD0"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III</w:t>
            </w:r>
          </w:p>
        </w:tc>
        <w:tc>
          <w:tcPr>
            <w:tcW w:w="630" w:type="pct"/>
            <w:tcBorders>
              <w:top w:val="single" w:sz="8" w:space="0" w:color="000000"/>
              <w:left w:val="single" w:sz="8" w:space="0" w:color="000000"/>
              <w:bottom w:val="single" w:sz="8" w:space="0" w:color="000000"/>
              <w:right w:val="single" w:sz="8" w:space="0" w:color="000000"/>
            </w:tcBorders>
            <w:shd w:val="clear" w:color="auto" w:fill="auto"/>
          </w:tcPr>
          <w:p w14:paraId="3B1B0CEF"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2000</w:t>
            </w:r>
          </w:p>
        </w:tc>
        <w:tc>
          <w:tcPr>
            <w:tcW w:w="1482" w:type="pct"/>
            <w:tcBorders>
              <w:top w:val="single" w:sz="8" w:space="0" w:color="000000"/>
              <w:left w:val="single" w:sz="8" w:space="0" w:color="000000"/>
              <w:bottom w:val="single" w:sz="8" w:space="0" w:color="000000"/>
              <w:right w:val="single" w:sz="8" w:space="0" w:color="000000"/>
            </w:tcBorders>
            <w:shd w:val="clear" w:color="auto" w:fill="auto"/>
          </w:tcPr>
          <w:p w14:paraId="17CBF5A8" w14:textId="77777777" w:rsidR="004F5CC3" w:rsidRPr="003A4C9D" w:rsidRDefault="004F5CC3" w:rsidP="00580B24">
            <w:pPr>
              <w:rPr>
                <w:rFonts w:ascii="Arial Narrow" w:hAnsi="Arial Narrow"/>
                <w:color w:val="000000"/>
                <w:sz w:val="20"/>
                <w:szCs w:val="20"/>
              </w:rPr>
            </w:pPr>
            <w:r w:rsidRPr="003A4C9D">
              <w:rPr>
                <w:rFonts w:ascii="Arial Narrow" w:hAnsi="Arial Narrow"/>
                <w:sz w:val="20"/>
                <w:szCs w:val="20"/>
              </w:rPr>
              <w:t>Vargmal me biodiversitet të pasur dhe bukuri piktoreske.</w:t>
            </w:r>
          </w:p>
        </w:tc>
      </w:tr>
      <w:tr w:rsidR="004F5CC3" w:rsidRPr="003A4C9D" w14:paraId="479A35C4" w14:textId="77777777" w:rsidTr="00292263">
        <w:trPr>
          <w:trHeight w:val="227"/>
          <w:jc w:val="center"/>
        </w:trPr>
        <w:tc>
          <w:tcPr>
            <w:tcW w:w="500" w:type="pct"/>
            <w:tcBorders>
              <w:top w:val="single" w:sz="8" w:space="0" w:color="000000"/>
              <w:left w:val="single" w:sz="8" w:space="0" w:color="000000"/>
              <w:bottom w:val="single" w:sz="8" w:space="0" w:color="000000"/>
              <w:right w:val="single" w:sz="8" w:space="0" w:color="000000"/>
            </w:tcBorders>
            <w:shd w:val="clear" w:color="auto" w:fill="auto"/>
          </w:tcPr>
          <w:p w14:paraId="2857652C" w14:textId="77777777" w:rsidR="004F5CC3" w:rsidRPr="003A4C9D" w:rsidRDefault="004F5CC3" w:rsidP="00580B24">
            <w:pPr>
              <w:rPr>
                <w:rFonts w:ascii="Arial Narrow" w:hAnsi="Arial Narrow"/>
                <w:sz w:val="20"/>
                <w:szCs w:val="20"/>
              </w:rPr>
            </w:pPr>
            <w:r w:rsidRPr="003A4C9D">
              <w:rPr>
                <w:rFonts w:ascii="Arial Narrow" w:hAnsi="Arial Narrow"/>
                <w:sz w:val="20"/>
                <w:szCs w:val="20"/>
              </w:rPr>
              <w:lastRenderedPageBreak/>
              <w:t>MN_207</w:t>
            </w:r>
          </w:p>
        </w:tc>
        <w:tc>
          <w:tcPr>
            <w:tcW w:w="801" w:type="pct"/>
            <w:gridSpan w:val="2"/>
            <w:tcBorders>
              <w:top w:val="single" w:sz="8" w:space="0" w:color="000000"/>
              <w:left w:val="single" w:sz="8" w:space="0" w:color="000000"/>
              <w:bottom w:val="single" w:sz="8" w:space="0" w:color="000000"/>
              <w:right w:val="single" w:sz="8" w:space="0" w:color="000000"/>
            </w:tcBorders>
            <w:shd w:val="clear" w:color="auto" w:fill="auto"/>
          </w:tcPr>
          <w:p w14:paraId="3BD10EE5"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Ujëvarat e Mirushës</w:t>
            </w:r>
          </w:p>
        </w:tc>
        <w:tc>
          <w:tcPr>
            <w:tcW w:w="733" w:type="pct"/>
            <w:gridSpan w:val="2"/>
            <w:tcBorders>
              <w:top w:val="single" w:sz="8" w:space="0" w:color="000000"/>
              <w:left w:val="single" w:sz="8" w:space="0" w:color="000000"/>
              <w:bottom w:val="single" w:sz="8" w:space="0" w:color="000000"/>
              <w:right w:val="single" w:sz="8" w:space="0" w:color="000000"/>
            </w:tcBorders>
            <w:shd w:val="clear" w:color="auto" w:fill="auto"/>
          </w:tcPr>
          <w:p w14:paraId="5E352CB9"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Klinë</w:t>
            </w:r>
          </w:p>
        </w:tc>
        <w:tc>
          <w:tcPr>
            <w:tcW w:w="405" w:type="pct"/>
            <w:gridSpan w:val="2"/>
            <w:tcBorders>
              <w:top w:val="single" w:sz="8" w:space="0" w:color="000000"/>
              <w:left w:val="single" w:sz="8" w:space="0" w:color="000000"/>
              <w:bottom w:val="single" w:sz="8" w:space="0" w:color="000000"/>
              <w:right w:val="single" w:sz="8" w:space="0" w:color="000000"/>
            </w:tcBorders>
            <w:shd w:val="clear" w:color="auto" w:fill="auto"/>
          </w:tcPr>
          <w:p w14:paraId="3901A4A0"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200</w:t>
            </w:r>
          </w:p>
        </w:tc>
        <w:tc>
          <w:tcPr>
            <w:tcW w:w="447" w:type="pct"/>
            <w:tcBorders>
              <w:top w:val="single" w:sz="8" w:space="0" w:color="000000"/>
              <w:left w:val="single" w:sz="8" w:space="0" w:color="000000"/>
              <w:bottom w:val="single" w:sz="8" w:space="0" w:color="000000"/>
              <w:right w:val="single" w:sz="8" w:space="0" w:color="000000"/>
            </w:tcBorders>
            <w:shd w:val="clear" w:color="auto" w:fill="auto"/>
          </w:tcPr>
          <w:p w14:paraId="0F156BCA"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III</w:t>
            </w:r>
          </w:p>
        </w:tc>
        <w:tc>
          <w:tcPr>
            <w:tcW w:w="630" w:type="pct"/>
            <w:tcBorders>
              <w:top w:val="single" w:sz="8" w:space="0" w:color="000000"/>
              <w:left w:val="single" w:sz="8" w:space="0" w:color="000000"/>
              <w:bottom w:val="single" w:sz="8" w:space="0" w:color="000000"/>
              <w:right w:val="single" w:sz="8" w:space="0" w:color="000000"/>
            </w:tcBorders>
            <w:shd w:val="clear" w:color="auto" w:fill="auto"/>
          </w:tcPr>
          <w:p w14:paraId="43D4D9CF"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1983</w:t>
            </w:r>
          </w:p>
        </w:tc>
        <w:tc>
          <w:tcPr>
            <w:tcW w:w="1482" w:type="pct"/>
            <w:tcBorders>
              <w:top w:val="single" w:sz="8" w:space="0" w:color="000000"/>
              <w:left w:val="single" w:sz="8" w:space="0" w:color="000000"/>
              <w:bottom w:val="single" w:sz="8" w:space="0" w:color="000000"/>
              <w:right w:val="single" w:sz="8" w:space="0" w:color="000000"/>
            </w:tcBorders>
            <w:shd w:val="clear" w:color="auto" w:fill="auto"/>
          </w:tcPr>
          <w:p w14:paraId="57B4A13B" w14:textId="77777777" w:rsidR="004F5CC3" w:rsidRPr="003A4C9D" w:rsidRDefault="004F5CC3" w:rsidP="00580B24">
            <w:pPr>
              <w:rPr>
                <w:rFonts w:ascii="Arial Narrow" w:hAnsi="Arial Narrow"/>
                <w:color w:val="000000"/>
                <w:sz w:val="20"/>
                <w:szCs w:val="20"/>
              </w:rPr>
            </w:pPr>
            <w:r w:rsidRPr="003A4C9D">
              <w:rPr>
                <w:rFonts w:ascii="Arial Narrow" w:hAnsi="Arial Narrow"/>
                <w:sz w:val="20"/>
                <w:szCs w:val="20"/>
              </w:rPr>
              <w:t>Ujëvara me vlerë të konsiderueshme ekologjike dhe turistike.</w:t>
            </w:r>
          </w:p>
        </w:tc>
      </w:tr>
      <w:tr w:rsidR="004F5CC3" w:rsidRPr="003A4C9D" w14:paraId="148EF884" w14:textId="77777777" w:rsidTr="00292263">
        <w:trPr>
          <w:trHeight w:val="227"/>
          <w:jc w:val="center"/>
        </w:trPr>
        <w:tc>
          <w:tcPr>
            <w:tcW w:w="500" w:type="pct"/>
            <w:tcBorders>
              <w:top w:val="single" w:sz="8" w:space="0" w:color="000000"/>
              <w:left w:val="single" w:sz="8" w:space="0" w:color="000000"/>
              <w:bottom w:val="single" w:sz="8" w:space="0" w:color="000000"/>
              <w:right w:val="single" w:sz="8" w:space="0" w:color="000000"/>
            </w:tcBorders>
            <w:shd w:val="clear" w:color="auto" w:fill="auto"/>
          </w:tcPr>
          <w:p w14:paraId="020D782C"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MN_208</w:t>
            </w:r>
          </w:p>
        </w:tc>
        <w:tc>
          <w:tcPr>
            <w:tcW w:w="801" w:type="pct"/>
            <w:gridSpan w:val="2"/>
            <w:tcBorders>
              <w:top w:val="single" w:sz="8" w:space="0" w:color="000000"/>
              <w:left w:val="single" w:sz="8" w:space="0" w:color="000000"/>
              <w:bottom w:val="single" w:sz="8" w:space="0" w:color="000000"/>
              <w:right w:val="single" w:sz="8" w:space="0" w:color="000000"/>
            </w:tcBorders>
            <w:shd w:val="clear" w:color="auto" w:fill="auto"/>
          </w:tcPr>
          <w:p w14:paraId="59C7ECE6" w14:textId="77777777" w:rsidR="004F5CC3" w:rsidRPr="003A4C9D" w:rsidRDefault="004F5CC3" w:rsidP="00580B24">
            <w:pPr>
              <w:rPr>
                <w:rFonts w:ascii="Arial Narrow" w:hAnsi="Arial Narrow"/>
                <w:sz w:val="20"/>
                <w:szCs w:val="20"/>
                <w:lang w:val="de-DE"/>
              </w:rPr>
            </w:pPr>
            <w:r w:rsidRPr="003A4C9D">
              <w:rPr>
                <w:rFonts w:ascii="Arial Narrow" w:hAnsi="Arial Narrow"/>
                <w:sz w:val="20"/>
                <w:szCs w:val="20"/>
              </w:rPr>
              <w:t>Kanioni i Deçanit</w:t>
            </w:r>
          </w:p>
        </w:tc>
        <w:tc>
          <w:tcPr>
            <w:tcW w:w="733" w:type="pct"/>
            <w:gridSpan w:val="2"/>
            <w:tcBorders>
              <w:top w:val="single" w:sz="8" w:space="0" w:color="000000"/>
              <w:left w:val="single" w:sz="8" w:space="0" w:color="000000"/>
              <w:bottom w:val="single" w:sz="8" w:space="0" w:color="000000"/>
              <w:right w:val="single" w:sz="8" w:space="0" w:color="000000"/>
            </w:tcBorders>
            <w:shd w:val="clear" w:color="auto" w:fill="auto"/>
          </w:tcPr>
          <w:p w14:paraId="65D8273F"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Deçan</w:t>
            </w:r>
          </w:p>
        </w:tc>
        <w:tc>
          <w:tcPr>
            <w:tcW w:w="405" w:type="pct"/>
            <w:gridSpan w:val="2"/>
            <w:tcBorders>
              <w:top w:val="single" w:sz="8" w:space="0" w:color="000000"/>
              <w:left w:val="single" w:sz="8" w:space="0" w:color="000000"/>
              <w:bottom w:val="single" w:sz="8" w:space="0" w:color="000000"/>
              <w:right w:val="single" w:sz="8" w:space="0" w:color="000000"/>
            </w:tcBorders>
            <w:shd w:val="clear" w:color="auto" w:fill="auto"/>
          </w:tcPr>
          <w:p w14:paraId="306677C0"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50</w:t>
            </w:r>
          </w:p>
        </w:tc>
        <w:tc>
          <w:tcPr>
            <w:tcW w:w="447" w:type="pct"/>
            <w:tcBorders>
              <w:top w:val="single" w:sz="8" w:space="0" w:color="000000"/>
              <w:left w:val="single" w:sz="8" w:space="0" w:color="000000"/>
              <w:bottom w:val="single" w:sz="8" w:space="0" w:color="000000"/>
              <w:right w:val="single" w:sz="8" w:space="0" w:color="000000"/>
            </w:tcBorders>
            <w:shd w:val="clear" w:color="auto" w:fill="auto"/>
          </w:tcPr>
          <w:p w14:paraId="660CCEC0"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III</w:t>
            </w:r>
          </w:p>
        </w:tc>
        <w:tc>
          <w:tcPr>
            <w:tcW w:w="630" w:type="pct"/>
            <w:tcBorders>
              <w:top w:val="single" w:sz="8" w:space="0" w:color="000000"/>
              <w:left w:val="single" w:sz="8" w:space="0" w:color="000000"/>
              <w:bottom w:val="single" w:sz="8" w:space="0" w:color="000000"/>
              <w:right w:val="single" w:sz="8" w:space="0" w:color="000000"/>
            </w:tcBorders>
            <w:shd w:val="clear" w:color="auto" w:fill="auto"/>
          </w:tcPr>
          <w:p w14:paraId="146478F7"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1985</w:t>
            </w:r>
          </w:p>
        </w:tc>
        <w:tc>
          <w:tcPr>
            <w:tcW w:w="1482" w:type="pct"/>
            <w:tcBorders>
              <w:top w:val="single" w:sz="8" w:space="0" w:color="000000"/>
              <w:left w:val="single" w:sz="8" w:space="0" w:color="000000"/>
              <w:bottom w:val="single" w:sz="8" w:space="0" w:color="000000"/>
              <w:right w:val="single" w:sz="8" w:space="0" w:color="000000"/>
            </w:tcBorders>
            <w:shd w:val="clear" w:color="auto" w:fill="auto"/>
          </w:tcPr>
          <w:p w14:paraId="6D814DB5" w14:textId="77777777" w:rsidR="004F5CC3" w:rsidRPr="003A4C9D" w:rsidRDefault="004F5CC3" w:rsidP="00580B24">
            <w:pPr>
              <w:rPr>
                <w:rFonts w:ascii="Arial Narrow" w:hAnsi="Arial Narrow"/>
                <w:color w:val="000000"/>
                <w:sz w:val="20"/>
                <w:szCs w:val="20"/>
              </w:rPr>
            </w:pPr>
            <w:r w:rsidRPr="003A4C9D">
              <w:rPr>
                <w:rFonts w:ascii="Arial Narrow" w:hAnsi="Arial Narrow"/>
                <w:sz w:val="20"/>
                <w:szCs w:val="20"/>
              </w:rPr>
              <w:t>Kanion me formacione gjeologjike dhe biodiversitet unik.</w:t>
            </w:r>
          </w:p>
        </w:tc>
      </w:tr>
      <w:tr w:rsidR="004F5CC3" w:rsidRPr="003A4C9D" w14:paraId="46C80824" w14:textId="77777777" w:rsidTr="00292263">
        <w:trPr>
          <w:trHeight w:val="227"/>
          <w:jc w:val="center"/>
        </w:trPr>
        <w:tc>
          <w:tcPr>
            <w:tcW w:w="500" w:type="pct"/>
            <w:tcBorders>
              <w:top w:val="single" w:sz="8" w:space="0" w:color="000000"/>
              <w:left w:val="single" w:sz="8" w:space="0" w:color="000000"/>
              <w:bottom w:val="single" w:sz="8" w:space="0" w:color="000000"/>
              <w:right w:val="single" w:sz="8" w:space="0" w:color="000000"/>
            </w:tcBorders>
            <w:shd w:val="clear" w:color="auto" w:fill="auto"/>
          </w:tcPr>
          <w:p w14:paraId="4BE098D3"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MN_209</w:t>
            </w:r>
          </w:p>
        </w:tc>
        <w:tc>
          <w:tcPr>
            <w:tcW w:w="801" w:type="pct"/>
            <w:gridSpan w:val="2"/>
            <w:tcBorders>
              <w:top w:val="single" w:sz="8" w:space="0" w:color="000000"/>
              <w:left w:val="single" w:sz="8" w:space="0" w:color="000000"/>
              <w:bottom w:val="single" w:sz="8" w:space="0" w:color="000000"/>
              <w:right w:val="single" w:sz="8" w:space="0" w:color="000000"/>
            </w:tcBorders>
            <w:shd w:val="clear" w:color="auto" w:fill="auto"/>
          </w:tcPr>
          <w:p w14:paraId="0253AB53" w14:textId="716BE8C9" w:rsidR="004F5CC3" w:rsidRPr="003A4C9D" w:rsidRDefault="00826494" w:rsidP="00580B24">
            <w:pPr>
              <w:rPr>
                <w:rFonts w:ascii="Arial Narrow" w:hAnsi="Arial Narrow"/>
                <w:sz w:val="20"/>
                <w:szCs w:val="20"/>
              </w:rPr>
            </w:pPr>
            <w:r w:rsidRPr="003A4C9D">
              <w:rPr>
                <w:rFonts w:ascii="Arial Narrow" w:hAnsi="Arial Narrow"/>
                <w:sz w:val="20"/>
                <w:szCs w:val="20"/>
              </w:rPr>
              <w:t>Bifurkacioni i Pejës</w:t>
            </w:r>
          </w:p>
        </w:tc>
        <w:tc>
          <w:tcPr>
            <w:tcW w:w="733" w:type="pct"/>
            <w:gridSpan w:val="2"/>
            <w:tcBorders>
              <w:top w:val="single" w:sz="8" w:space="0" w:color="000000"/>
              <w:left w:val="single" w:sz="8" w:space="0" w:color="000000"/>
              <w:bottom w:val="single" w:sz="8" w:space="0" w:color="000000"/>
              <w:right w:val="single" w:sz="8" w:space="0" w:color="000000"/>
            </w:tcBorders>
            <w:shd w:val="clear" w:color="auto" w:fill="auto"/>
          </w:tcPr>
          <w:p w14:paraId="5EE04C5E"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Pejë</w:t>
            </w:r>
          </w:p>
        </w:tc>
        <w:tc>
          <w:tcPr>
            <w:tcW w:w="405" w:type="pct"/>
            <w:gridSpan w:val="2"/>
            <w:tcBorders>
              <w:top w:val="single" w:sz="8" w:space="0" w:color="000000"/>
              <w:left w:val="single" w:sz="8" w:space="0" w:color="000000"/>
              <w:bottom w:val="single" w:sz="8" w:space="0" w:color="000000"/>
              <w:right w:val="single" w:sz="8" w:space="0" w:color="000000"/>
            </w:tcBorders>
            <w:shd w:val="clear" w:color="auto" w:fill="auto"/>
          </w:tcPr>
          <w:p w14:paraId="5DDE9B59"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25</w:t>
            </w:r>
          </w:p>
        </w:tc>
        <w:tc>
          <w:tcPr>
            <w:tcW w:w="447" w:type="pct"/>
            <w:tcBorders>
              <w:top w:val="single" w:sz="8" w:space="0" w:color="000000"/>
              <w:left w:val="single" w:sz="8" w:space="0" w:color="000000"/>
              <w:bottom w:val="single" w:sz="8" w:space="0" w:color="000000"/>
              <w:right w:val="single" w:sz="8" w:space="0" w:color="000000"/>
            </w:tcBorders>
            <w:shd w:val="clear" w:color="auto" w:fill="auto"/>
          </w:tcPr>
          <w:p w14:paraId="3FFA9713"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III</w:t>
            </w:r>
          </w:p>
        </w:tc>
        <w:tc>
          <w:tcPr>
            <w:tcW w:w="630" w:type="pct"/>
            <w:tcBorders>
              <w:top w:val="single" w:sz="8" w:space="0" w:color="000000"/>
              <w:left w:val="single" w:sz="8" w:space="0" w:color="000000"/>
              <w:bottom w:val="single" w:sz="8" w:space="0" w:color="000000"/>
              <w:right w:val="single" w:sz="8" w:space="0" w:color="000000"/>
            </w:tcBorders>
            <w:shd w:val="clear" w:color="auto" w:fill="auto"/>
          </w:tcPr>
          <w:p w14:paraId="0B828368"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1975</w:t>
            </w:r>
          </w:p>
        </w:tc>
        <w:tc>
          <w:tcPr>
            <w:tcW w:w="1482" w:type="pct"/>
            <w:tcBorders>
              <w:top w:val="single" w:sz="8" w:space="0" w:color="000000"/>
              <w:left w:val="single" w:sz="8" w:space="0" w:color="000000"/>
              <w:bottom w:val="single" w:sz="8" w:space="0" w:color="000000"/>
              <w:right w:val="single" w:sz="8" w:space="0" w:color="000000"/>
            </w:tcBorders>
            <w:shd w:val="clear" w:color="auto" w:fill="auto"/>
          </w:tcPr>
          <w:p w14:paraId="28F7D58B" w14:textId="77777777" w:rsidR="004F5CC3" w:rsidRPr="003A4C9D" w:rsidRDefault="004F5CC3" w:rsidP="00580B24">
            <w:pPr>
              <w:rPr>
                <w:rFonts w:ascii="Arial Narrow" w:hAnsi="Arial Narrow"/>
                <w:color w:val="000000"/>
                <w:sz w:val="20"/>
                <w:szCs w:val="20"/>
              </w:rPr>
            </w:pPr>
            <w:r w:rsidRPr="003A4C9D">
              <w:rPr>
                <w:rFonts w:ascii="Arial Narrow" w:hAnsi="Arial Narrow"/>
                <w:sz w:val="20"/>
                <w:szCs w:val="20"/>
              </w:rPr>
              <w:t>Pikë bifurkacioni me rëndësi hidrologjike dhe ekologjike.</w:t>
            </w:r>
          </w:p>
        </w:tc>
      </w:tr>
      <w:tr w:rsidR="004F5CC3" w:rsidRPr="003A4C9D" w14:paraId="545D7359" w14:textId="77777777" w:rsidTr="00292263">
        <w:trPr>
          <w:trHeight w:val="227"/>
          <w:jc w:val="center"/>
        </w:trPr>
        <w:tc>
          <w:tcPr>
            <w:tcW w:w="500" w:type="pct"/>
            <w:tcBorders>
              <w:top w:val="single" w:sz="8" w:space="0" w:color="000000"/>
              <w:left w:val="single" w:sz="8" w:space="0" w:color="000000"/>
              <w:bottom w:val="single" w:sz="8" w:space="0" w:color="000000"/>
              <w:right w:val="single" w:sz="8" w:space="0" w:color="000000"/>
            </w:tcBorders>
            <w:shd w:val="clear" w:color="auto" w:fill="auto"/>
          </w:tcPr>
          <w:p w14:paraId="02ED3455"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MN_210</w:t>
            </w:r>
          </w:p>
        </w:tc>
        <w:tc>
          <w:tcPr>
            <w:tcW w:w="801" w:type="pct"/>
            <w:gridSpan w:val="2"/>
            <w:tcBorders>
              <w:top w:val="single" w:sz="8" w:space="0" w:color="000000"/>
              <w:left w:val="single" w:sz="8" w:space="0" w:color="000000"/>
              <w:bottom w:val="single" w:sz="8" w:space="0" w:color="000000"/>
              <w:right w:val="single" w:sz="8" w:space="0" w:color="000000"/>
            </w:tcBorders>
            <w:shd w:val="clear" w:color="auto" w:fill="auto"/>
          </w:tcPr>
          <w:p w14:paraId="60FD5FE4" w14:textId="113D96A5" w:rsidR="004F5CC3" w:rsidRPr="003A4C9D" w:rsidRDefault="004F5CC3" w:rsidP="00580B24">
            <w:pPr>
              <w:rPr>
                <w:rFonts w:ascii="Arial Narrow" w:hAnsi="Arial Narrow"/>
                <w:sz w:val="20"/>
                <w:szCs w:val="20"/>
                <w:lang w:val="de-DE"/>
              </w:rPr>
            </w:pPr>
            <w:r w:rsidRPr="003A4C9D">
              <w:rPr>
                <w:rFonts w:ascii="Arial Narrow" w:hAnsi="Arial Narrow"/>
                <w:sz w:val="20"/>
                <w:szCs w:val="20"/>
              </w:rPr>
              <w:t>Mok</w:t>
            </w:r>
            <w:r w:rsidR="00E26040">
              <w:rPr>
                <w:rFonts w:ascii="Arial Narrow" w:hAnsi="Arial Narrow"/>
                <w:sz w:val="20"/>
                <w:szCs w:val="20"/>
              </w:rPr>
              <w:t>n</w:t>
            </w:r>
            <w:r w:rsidRPr="003A4C9D">
              <w:rPr>
                <w:rFonts w:ascii="Arial Narrow" w:hAnsi="Arial Narrow"/>
                <w:sz w:val="20"/>
                <w:szCs w:val="20"/>
              </w:rPr>
              <w:t>a Gora (Mali i Lagësht)</w:t>
            </w:r>
          </w:p>
        </w:tc>
        <w:tc>
          <w:tcPr>
            <w:tcW w:w="733" w:type="pct"/>
            <w:gridSpan w:val="2"/>
            <w:tcBorders>
              <w:top w:val="single" w:sz="8" w:space="0" w:color="000000"/>
              <w:left w:val="single" w:sz="8" w:space="0" w:color="000000"/>
              <w:bottom w:val="single" w:sz="8" w:space="0" w:color="000000"/>
              <w:right w:val="single" w:sz="8" w:space="0" w:color="000000"/>
            </w:tcBorders>
            <w:shd w:val="clear" w:color="auto" w:fill="auto"/>
          </w:tcPr>
          <w:p w14:paraId="7354A4D0" w14:textId="77777777" w:rsidR="004F5CC3" w:rsidRPr="003A4C9D" w:rsidRDefault="004F5CC3" w:rsidP="00292263">
            <w:pPr>
              <w:jc w:val="center"/>
              <w:rPr>
                <w:rFonts w:ascii="Arial Narrow" w:hAnsi="Arial Narrow"/>
                <w:sz w:val="20"/>
                <w:szCs w:val="20"/>
              </w:rPr>
            </w:pPr>
            <w:r w:rsidRPr="003A4C9D">
              <w:rPr>
                <w:rFonts w:ascii="Arial Narrow" w:hAnsi="Arial Narrow"/>
                <w:sz w:val="20"/>
                <w:szCs w:val="20"/>
              </w:rPr>
              <w:t>Pejë</w:t>
            </w:r>
          </w:p>
        </w:tc>
        <w:tc>
          <w:tcPr>
            <w:tcW w:w="405" w:type="pct"/>
            <w:gridSpan w:val="2"/>
            <w:tcBorders>
              <w:top w:val="single" w:sz="8" w:space="0" w:color="000000"/>
              <w:left w:val="single" w:sz="8" w:space="0" w:color="000000"/>
              <w:bottom w:val="single" w:sz="8" w:space="0" w:color="000000"/>
              <w:right w:val="single" w:sz="8" w:space="0" w:color="000000"/>
            </w:tcBorders>
            <w:shd w:val="clear" w:color="auto" w:fill="auto"/>
          </w:tcPr>
          <w:p w14:paraId="1143C17E"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200</w:t>
            </w:r>
          </w:p>
        </w:tc>
        <w:tc>
          <w:tcPr>
            <w:tcW w:w="447" w:type="pct"/>
            <w:tcBorders>
              <w:top w:val="single" w:sz="8" w:space="0" w:color="000000"/>
              <w:left w:val="single" w:sz="8" w:space="0" w:color="000000"/>
              <w:bottom w:val="single" w:sz="8" w:space="0" w:color="000000"/>
              <w:right w:val="single" w:sz="8" w:space="0" w:color="000000"/>
            </w:tcBorders>
            <w:shd w:val="clear" w:color="auto" w:fill="auto"/>
          </w:tcPr>
          <w:p w14:paraId="6F62B10C"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III</w:t>
            </w:r>
          </w:p>
        </w:tc>
        <w:tc>
          <w:tcPr>
            <w:tcW w:w="630" w:type="pct"/>
            <w:tcBorders>
              <w:top w:val="single" w:sz="8" w:space="0" w:color="000000"/>
              <w:left w:val="single" w:sz="8" w:space="0" w:color="000000"/>
              <w:bottom w:val="single" w:sz="8" w:space="0" w:color="000000"/>
              <w:right w:val="single" w:sz="8" w:space="0" w:color="000000"/>
            </w:tcBorders>
            <w:shd w:val="clear" w:color="auto" w:fill="auto"/>
          </w:tcPr>
          <w:p w14:paraId="382F14FE"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2000</w:t>
            </w:r>
          </w:p>
        </w:tc>
        <w:tc>
          <w:tcPr>
            <w:tcW w:w="1482" w:type="pct"/>
            <w:tcBorders>
              <w:top w:val="single" w:sz="8" w:space="0" w:color="000000"/>
              <w:left w:val="single" w:sz="8" w:space="0" w:color="000000"/>
              <w:bottom w:val="single" w:sz="8" w:space="0" w:color="000000"/>
              <w:right w:val="single" w:sz="8" w:space="0" w:color="000000"/>
            </w:tcBorders>
            <w:shd w:val="clear" w:color="auto" w:fill="auto"/>
          </w:tcPr>
          <w:p w14:paraId="01452307" w14:textId="77777777" w:rsidR="004F5CC3" w:rsidRPr="003A4C9D" w:rsidRDefault="004F5CC3" w:rsidP="00580B24">
            <w:pPr>
              <w:rPr>
                <w:rFonts w:ascii="Arial Narrow" w:hAnsi="Arial Narrow"/>
                <w:color w:val="000000"/>
                <w:sz w:val="20"/>
                <w:szCs w:val="20"/>
              </w:rPr>
            </w:pPr>
            <w:r w:rsidRPr="003A4C9D">
              <w:rPr>
                <w:rFonts w:ascii="Arial Narrow" w:hAnsi="Arial Narrow"/>
                <w:sz w:val="20"/>
                <w:szCs w:val="20"/>
              </w:rPr>
              <w:t>I pasur me florë dhe faunë me karakteristika të rëndësishme gjeologjike.</w:t>
            </w:r>
          </w:p>
        </w:tc>
      </w:tr>
      <w:tr w:rsidR="004F5CC3" w:rsidRPr="003A4C9D" w14:paraId="3A9AB21C" w14:textId="77777777" w:rsidTr="00292263">
        <w:trPr>
          <w:trHeight w:val="227"/>
          <w:jc w:val="center"/>
        </w:trPr>
        <w:tc>
          <w:tcPr>
            <w:tcW w:w="500" w:type="pct"/>
            <w:tcBorders>
              <w:top w:val="single" w:sz="8" w:space="0" w:color="000000"/>
              <w:left w:val="single" w:sz="8" w:space="0" w:color="000000"/>
              <w:bottom w:val="single" w:sz="8" w:space="0" w:color="000000"/>
              <w:right w:val="single" w:sz="8" w:space="0" w:color="000000"/>
            </w:tcBorders>
            <w:shd w:val="clear" w:color="auto" w:fill="auto"/>
          </w:tcPr>
          <w:p w14:paraId="201EF2D4"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MN_213</w:t>
            </w:r>
          </w:p>
        </w:tc>
        <w:tc>
          <w:tcPr>
            <w:tcW w:w="801" w:type="pct"/>
            <w:gridSpan w:val="2"/>
            <w:tcBorders>
              <w:top w:val="single" w:sz="8" w:space="0" w:color="000000"/>
              <w:left w:val="single" w:sz="8" w:space="0" w:color="000000"/>
              <w:bottom w:val="single" w:sz="8" w:space="0" w:color="000000"/>
              <w:right w:val="single" w:sz="8" w:space="0" w:color="000000"/>
            </w:tcBorders>
            <w:shd w:val="clear" w:color="auto" w:fill="auto"/>
          </w:tcPr>
          <w:p w14:paraId="5E56779F" w14:textId="2C3BD6D8" w:rsidR="004F5CC3" w:rsidRPr="003A4C9D" w:rsidRDefault="00826494" w:rsidP="00580B24">
            <w:pPr>
              <w:rPr>
                <w:rFonts w:ascii="Arial Narrow" w:hAnsi="Arial Narrow"/>
                <w:sz w:val="20"/>
                <w:szCs w:val="20"/>
              </w:rPr>
            </w:pPr>
            <w:r w:rsidRPr="003A4C9D">
              <w:rPr>
                <w:rFonts w:ascii="Arial Narrow" w:hAnsi="Arial Narrow"/>
                <w:sz w:val="20"/>
                <w:szCs w:val="20"/>
              </w:rPr>
              <w:t>Patriarkana e Pejës</w:t>
            </w:r>
          </w:p>
        </w:tc>
        <w:tc>
          <w:tcPr>
            <w:tcW w:w="733" w:type="pct"/>
            <w:gridSpan w:val="2"/>
            <w:tcBorders>
              <w:top w:val="single" w:sz="8" w:space="0" w:color="000000"/>
              <w:left w:val="single" w:sz="8" w:space="0" w:color="000000"/>
              <w:bottom w:val="single" w:sz="8" w:space="0" w:color="000000"/>
              <w:right w:val="single" w:sz="8" w:space="0" w:color="000000"/>
            </w:tcBorders>
            <w:shd w:val="clear" w:color="auto" w:fill="auto"/>
          </w:tcPr>
          <w:p w14:paraId="3637E8FA"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Pejë</w:t>
            </w:r>
          </w:p>
        </w:tc>
        <w:tc>
          <w:tcPr>
            <w:tcW w:w="405" w:type="pct"/>
            <w:gridSpan w:val="2"/>
            <w:tcBorders>
              <w:top w:val="single" w:sz="8" w:space="0" w:color="000000"/>
              <w:left w:val="single" w:sz="8" w:space="0" w:color="000000"/>
              <w:bottom w:val="single" w:sz="8" w:space="0" w:color="000000"/>
              <w:right w:val="single" w:sz="8" w:space="0" w:color="000000"/>
            </w:tcBorders>
            <w:shd w:val="clear" w:color="auto" w:fill="auto"/>
          </w:tcPr>
          <w:p w14:paraId="19F18CF9"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10</w:t>
            </w:r>
          </w:p>
        </w:tc>
        <w:tc>
          <w:tcPr>
            <w:tcW w:w="447" w:type="pct"/>
            <w:tcBorders>
              <w:top w:val="single" w:sz="8" w:space="0" w:color="000000"/>
              <w:left w:val="single" w:sz="8" w:space="0" w:color="000000"/>
              <w:bottom w:val="single" w:sz="8" w:space="0" w:color="000000"/>
              <w:right w:val="single" w:sz="8" w:space="0" w:color="000000"/>
            </w:tcBorders>
            <w:shd w:val="clear" w:color="auto" w:fill="auto"/>
          </w:tcPr>
          <w:p w14:paraId="62B9F13D"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III</w:t>
            </w:r>
          </w:p>
        </w:tc>
        <w:tc>
          <w:tcPr>
            <w:tcW w:w="630" w:type="pct"/>
            <w:tcBorders>
              <w:top w:val="single" w:sz="8" w:space="0" w:color="000000"/>
              <w:left w:val="single" w:sz="8" w:space="0" w:color="000000"/>
              <w:bottom w:val="single" w:sz="8" w:space="0" w:color="000000"/>
              <w:right w:val="single" w:sz="8" w:space="0" w:color="000000"/>
            </w:tcBorders>
            <w:shd w:val="clear" w:color="auto" w:fill="auto"/>
          </w:tcPr>
          <w:p w14:paraId="1268A7A0" w14:textId="77777777" w:rsidR="004F5CC3" w:rsidRPr="003A4C9D" w:rsidRDefault="004F5CC3" w:rsidP="00580B24">
            <w:pPr>
              <w:rPr>
                <w:rFonts w:ascii="Arial Narrow" w:hAnsi="Arial Narrow"/>
                <w:sz w:val="20"/>
                <w:szCs w:val="20"/>
              </w:rPr>
            </w:pPr>
            <w:r w:rsidRPr="003A4C9D">
              <w:rPr>
                <w:rFonts w:ascii="Arial Narrow" w:hAnsi="Arial Narrow"/>
                <w:sz w:val="20"/>
                <w:szCs w:val="20"/>
              </w:rPr>
              <w:t>1979</w:t>
            </w:r>
          </w:p>
        </w:tc>
        <w:tc>
          <w:tcPr>
            <w:tcW w:w="1482" w:type="pct"/>
            <w:tcBorders>
              <w:top w:val="single" w:sz="8" w:space="0" w:color="000000"/>
              <w:left w:val="single" w:sz="8" w:space="0" w:color="000000"/>
              <w:bottom w:val="single" w:sz="8" w:space="0" w:color="000000"/>
              <w:right w:val="single" w:sz="8" w:space="0" w:color="000000"/>
            </w:tcBorders>
            <w:shd w:val="clear" w:color="auto" w:fill="auto"/>
          </w:tcPr>
          <w:p w14:paraId="53F35F45" w14:textId="77777777" w:rsidR="004F5CC3" w:rsidRPr="003A4C9D" w:rsidRDefault="004F5CC3" w:rsidP="00580B24">
            <w:pPr>
              <w:tabs>
                <w:tab w:val="left" w:pos="1155"/>
                <w:tab w:val="left" w:pos="1462"/>
                <w:tab w:val="left" w:pos="2237"/>
                <w:tab w:val="left" w:pos="2546"/>
              </w:tabs>
              <w:rPr>
                <w:rFonts w:ascii="Arial Narrow" w:hAnsi="Arial Narrow"/>
                <w:color w:val="000000"/>
                <w:sz w:val="20"/>
                <w:szCs w:val="20"/>
              </w:rPr>
            </w:pPr>
            <w:r w:rsidRPr="003A4C9D">
              <w:rPr>
                <w:rFonts w:ascii="Arial Narrow" w:hAnsi="Arial Narrow"/>
                <w:sz w:val="20"/>
                <w:szCs w:val="20"/>
              </w:rPr>
              <w:t>Monument kulturor dhe historik me një mjedis natyror të rëndësishëm.</w:t>
            </w:r>
          </w:p>
        </w:tc>
      </w:tr>
    </w:tbl>
    <w:p w14:paraId="3A53D015" w14:textId="4DC2C79C" w:rsidR="00032CD8" w:rsidRPr="00AF0235" w:rsidRDefault="00032CD8" w:rsidP="002254E8">
      <w:pPr>
        <w:pStyle w:val="Heading2"/>
      </w:pPr>
      <w:bookmarkStart w:id="125" w:name="_Toc153872109"/>
      <w:bookmarkStart w:id="126" w:name="_Toc170470813"/>
      <w:bookmarkStart w:id="127" w:name="_Toc197471963"/>
      <w:bookmarkEnd w:id="87"/>
      <w:r w:rsidRPr="00AF0235">
        <w:t>Popullsia</w:t>
      </w:r>
      <w:bookmarkEnd w:id="125"/>
      <w:bookmarkEnd w:id="126"/>
      <w:bookmarkEnd w:id="127"/>
      <w:r w:rsidRPr="00AF0235">
        <w:t xml:space="preserve"> </w:t>
      </w:r>
    </w:p>
    <w:p w14:paraId="53C7F79C" w14:textId="3B5B93F7" w:rsidR="00D73578" w:rsidRDefault="00D73578" w:rsidP="00CB2367">
      <w:pPr>
        <w:pStyle w:val="Paragraph"/>
        <w:rPr>
          <w:rFonts w:eastAsia="Calibri"/>
        </w:rPr>
      </w:pPr>
      <w:r>
        <w:rPr>
          <w:rFonts w:eastAsia="Calibri"/>
        </w:rPr>
        <w:t>N</w:t>
      </w:r>
      <w:r w:rsidRPr="00D73578">
        <w:rPr>
          <w:rFonts w:eastAsia="Calibri"/>
        </w:rPr>
        <w:t>ë vitin 2024, nga data 5 prill deri më 24 maj, Kosova ka realizuar Regjistrimin e Popullsisë, Ekonomive Familjare dhe Banesave. Rezultatet e para përfundimtare janë publikuar në dhjetor 2024</w:t>
      </w:r>
    </w:p>
    <w:p w14:paraId="411F7EE7" w14:textId="7968B04E" w:rsidR="007A7675" w:rsidRPr="007F50ED" w:rsidRDefault="007A7675" w:rsidP="007F50ED">
      <w:pPr>
        <w:suppressAutoHyphens/>
        <w:rPr>
          <w:rFonts w:ascii="Arial Narrow" w:eastAsia="Calibri" w:hAnsi="Arial Narrow" w:cs="Calibri"/>
          <w:color w:val="1F497D"/>
          <w:sz w:val="20"/>
          <w:szCs w:val="20"/>
        </w:rPr>
      </w:pPr>
      <w:bookmarkStart w:id="128" w:name="_Toc197472196"/>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11.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Popullsia e rajonit, 2011 dhe 2020</w:t>
      </w:r>
      <w:bookmarkEnd w:id="128"/>
    </w:p>
    <w:tbl>
      <w:tblPr>
        <w:tblW w:w="5000" w:type="pct"/>
        <w:tblLook w:val="04A0" w:firstRow="1" w:lastRow="0" w:firstColumn="1" w:lastColumn="0" w:noHBand="0" w:noVBand="1"/>
      </w:tblPr>
      <w:tblGrid>
        <w:gridCol w:w="1994"/>
        <w:gridCol w:w="1890"/>
        <w:gridCol w:w="1755"/>
        <w:gridCol w:w="1675"/>
        <w:gridCol w:w="1702"/>
      </w:tblGrid>
      <w:tr w:rsidR="00AD492F" w:rsidRPr="003A4C9D" w14:paraId="5987E6F4" w14:textId="77777777" w:rsidTr="00ED4E28">
        <w:trPr>
          <w:trHeight w:val="170"/>
          <w:tblHeader/>
        </w:trPr>
        <w:tc>
          <w:tcPr>
            <w:tcW w:w="1106" w:type="pct"/>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73882342" w14:textId="31F9E1EA" w:rsidR="007A7675" w:rsidRPr="003A4C9D" w:rsidRDefault="00E26040" w:rsidP="00292263">
            <w:pPr>
              <w:jc w:val="center"/>
              <w:rPr>
                <w:rFonts w:ascii="Arial Narrow" w:hAnsi="Arial Narrow"/>
                <w:b/>
                <w:bCs/>
                <w:color w:val="FFFFFF" w:themeColor="background1"/>
                <w:sz w:val="20"/>
                <w:szCs w:val="20"/>
                <w:lang w:eastAsia="en-GB"/>
              </w:rPr>
            </w:pPr>
            <w:r>
              <w:rPr>
                <w:rFonts w:ascii="Arial Narrow" w:hAnsi="Arial Narrow"/>
                <w:b/>
                <w:bCs/>
                <w:color w:val="FFFFFF" w:themeColor="background1"/>
                <w:sz w:val="20"/>
                <w:szCs w:val="20"/>
                <w:lang w:eastAsia="en-GB"/>
              </w:rPr>
              <w:t>Komuna</w:t>
            </w:r>
          </w:p>
        </w:tc>
        <w:tc>
          <w:tcPr>
            <w:tcW w:w="1048" w:type="pct"/>
            <w:tcBorders>
              <w:top w:val="single" w:sz="4" w:space="0" w:color="auto"/>
              <w:left w:val="nil"/>
              <w:bottom w:val="single" w:sz="4" w:space="0" w:color="auto"/>
              <w:right w:val="single" w:sz="4" w:space="0" w:color="auto"/>
            </w:tcBorders>
            <w:shd w:val="clear" w:color="auto" w:fill="365F91"/>
            <w:noWrap/>
            <w:vAlign w:val="bottom"/>
          </w:tcPr>
          <w:p w14:paraId="48BD9D5A" w14:textId="4B3C6A24" w:rsidR="007A7675" w:rsidRPr="003A4C9D" w:rsidRDefault="007A7675" w:rsidP="00AD492F">
            <w:pPr>
              <w:jc w:val="center"/>
              <w:rPr>
                <w:rFonts w:ascii="Arial Narrow" w:hAnsi="Arial Narrow"/>
                <w:b/>
                <w:bCs/>
                <w:color w:val="FFFFFF" w:themeColor="background1"/>
                <w:sz w:val="20"/>
                <w:szCs w:val="20"/>
                <w:lang w:eastAsia="en-GB"/>
              </w:rPr>
            </w:pPr>
          </w:p>
        </w:tc>
        <w:tc>
          <w:tcPr>
            <w:tcW w:w="973" w:type="pct"/>
            <w:tcBorders>
              <w:top w:val="single" w:sz="4" w:space="0" w:color="auto"/>
              <w:left w:val="nil"/>
              <w:bottom w:val="single" w:sz="4" w:space="0" w:color="auto"/>
              <w:right w:val="single" w:sz="4" w:space="0" w:color="auto"/>
            </w:tcBorders>
            <w:shd w:val="clear" w:color="auto" w:fill="365F91"/>
            <w:noWrap/>
            <w:vAlign w:val="bottom"/>
          </w:tcPr>
          <w:p w14:paraId="2D4A61A2" w14:textId="58944588" w:rsidR="007A7675" w:rsidRPr="003A4C9D" w:rsidRDefault="007A7675" w:rsidP="00AD492F">
            <w:pPr>
              <w:jc w:val="center"/>
              <w:rPr>
                <w:rFonts w:ascii="Arial Narrow" w:hAnsi="Arial Narrow"/>
                <w:b/>
                <w:bCs/>
                <w:color w:val="FFFFFF" w:themeColor="background1"/>
                <w:sz w:val="20"/>
                <w:szCs w:val="20"/>
                <w:lang w:eastAsia="en-GB"/>
              </w:rPr>
            </w:pPr>
          </w:p>
        </w:tc>
        <w:tc>
          <w:tcPr>
            <w:tcW w:w="929" w:type="pct"/>
            <w:tcBorders>
              <w:top w:val="single" w:sz="4" w:space="0" w:color="auto"/>
              <w:left w:val="nil"/>
              <w:bottom w:val="single" w:sz="4" w:space="0" w:color="auto"/>
              <w:right w:val="single" w:sz="4" w:space="0" w:color="auto"/>
            </w:tcBorders>
            <w:shd w:val="clear" w:color="auto" w:fill="365F91"/>
            <w:noWrap/>
            <w:vAlign w:val="bottom"/>
          </w:tcPr>
          <w:p w14:paraId="199058D3" w14:textId="1B5CF79F" w:rsidR="007A7675" w:rsidRPr="003A4C9D" w:rsidRDefault="007A7675" w:rsidP="00AD492F">
            <w:pPr>
              <w:jc w:val="center"/>
              <w:rPr>
                <w:rFonts w:ascii="Arial Narrow" w:hAnsi="Arial Narrow"/>
                <w:b/>
                <w:bCs/>
                <w:color w:val="FFFFFF" w:themeColor="background1"/>
                <w:sz w:val="20"/>
                <w:szCs w:val="20"/>
                <w:lang w:eastAsia="en-GB"/>
              </w:rPr>
            </w:pPr>
          </w:p>
        </w:tc>
        <w:tc>
          <w:tcPr>
            <w:tcW w:w="944" w:type="pct"/>
            <w:tcBorders>
              <w:top w:val="single" w:sz="4" w:space="0" w:color="auto"/>
              <w:left w:val="nil"/>
              <w:bottom w:val="single" w:sz="4" w:space="0" w:color="auto"/>
              <w:right w:val="single" w:sz="4" w:space="0" w:color="auto"/>
            </w:tcBorders>
            <w:shd w:val="clear" w:color="auto" w:fill="365F91"/>
            <w:noWrap/>
            <w:vAlign w:val="bottom"/>
            <w:hideMark/>
          </w:tcPr>
          <w:p w14:paraId="51AC4961" w14:textId="77777777" w:rsidR="007A7675" w:rsidRPr="003A4C9D" w:rsidRDefault="007A7675" w:rsidP="00AD492F">
            <w:pPr>
              <w:jc w:val="center"/>
              <w:rPr>
                <w:rFonts w:ascii="Arial Narrow" w:hAnsi="Arial Narrow"/>
                <w:b/>
                <w:bCs/>
                <w:color w:val="FFFFFF" w:themeColor="background1"/>
                <w:sz w:val="20"/>
                <w:szCs w:val="20"/>
                <w:lang w:eastAsia="en-GB"/>
              </w:rPr>
            </w:pPr>
            <w:r w:rsidRPr="003A4C9D">
              <w:rPr>
                <w:rFonts w:ascii="Arial Narrow" w:hAnsi="Arial Narrow"/>
                <w:b/>
                <w:bCs/>
                <w:color w:val="FFFFFF" w:themeColor="background1"/>
                <w:sz w:val="20"/>
                <w:szCs w:val="20"/>
                <w:lang w:eastAsia="en-GB"/>
              </w:rPr>
              <w:t>2020</w:t>
            </w:r>
          </w:p>
        </w:tc>
      </w:tr>
      <w:tr w:rsidR="007A7675" w:rsidRPr="003A4C9D" w14:paraId="22D5AFF5" w14:textId="77777777" w:rsidTr="00ED4E28">
        <w:trPr>
          <w:trHeight w:val="170"/>
        </w:trPr>
        <w:tc>
          <w:tcPr>
            <w:tcW w:w="1106" w:type="pct"/>
            <w:tcBorders>
              <w:top w:val="nil"/>
              <w:left w:val="single" w:sz="4" w:space="0" w:color="auto"/>
              <w:bottom w:val="single" w:sz="4" w:space="0" w:color="auto"/>
              <w:right w:val="single" w:sz="4" w:space="0" w:color="auto"/>
            </w:tcBorders>
            <w:shd w:val="clear" w:color="auto" w:fill="auto"/>
            <w:noWrap/>
            <w:vAlign w:val="bottom"/>
            <w:hideMark/>
          </w:tcPr>
          <w:p w14:paraId="4DB3FAE0" w14:textId="77777777" w:rsidR="007A7675" w:rsidRPr="003A4C9D" w:rsidRDefault="007A7675" w:rsidP="00AD492F">
            <w:pPr>
              <w:rPr>
                <w:rFonts w:ascii="Arial Narrow" w:hAnsi="Arial Narrow"/>
                <w:color w:val="000000"/>
                <w:sz w:val="20"/>
                <w:szCs w:val="20"/>
                <w:lang w:eastAsia="en-GB"/>
              </w:rPr>
            </w:pPr>
            <w:r w:rsidRPr="003A4C9D">
              <w:rPr>
                <w:rFonts w:ascii="Arial Narrow" w:hAnsi="Arial Narrow"/>
                <w:color w:val="000000"/>
                <w:sz w:val="20"/>
                <w:szCs w:val="20"/>
                <w:lang w:eastAsia="en-GB"/>
              </w:rPr>
              <w:t>Pejë</w:t>
            </w:r>
          </w:p>
        </w:tc>
        <w:tc>
          <w:tcPr>
            <w:tcW w:w="1048" w:type="pct"/>
            <w:tcBorders>
              <w:top w:val="nil"/>
              <w:left w:val="nil"/>
              <w:bottom w:val="single" w:sz="4" w:space="0" w:color="auto"/>
              <w:right w:val="single" w:sz="4" w:space="0" w:color="auto"/>
            </w:tcBorders>
            <w:shd w:val="clear" w:color="auto" w:fill="auto"/>
            <w:noWrap/>
            <w:vAlign w:val="bottom"/>
          </w:tcPr>
          <w:p w14:paraId="0CAC5438" w14:textId="59C9F1BC" w:rsidR="007A7675" w:rsidRPr="003A4C9D" w:rsidRDefault="007A7675" w:rsidP="00AD492F">
            <w:pPr>
              <w:jc w:val="right"/>
              <w:rPr>
                <w:rFonts w:ascii="Arial Narrow" w:hAnsi="Arial Narrow"/>
                <w:color w:val="000000"/>
                <w:sz w:val="20"/>
                <w:szCs w:val="20"/>
                <w:lang w:eastAsia="en-GB"/>
              </w:rPr>
            </w:pPr>
          </w:p>
        </w:tc>
        <w:tc>
          <w:tcPr>
            <w:tcW w:w="973" w:type="pct"/>
            <w:tcBorders>
              <w:top w:val="nil"/>
              <w:left w:val="nil"/>
              <w:bottom w:val="single" w:sz="4" w:space="0" w:color="auto"/>
              <w:right w:val="single" w:sz="4" w:space="0" w:color="auto"/>
            </w:tcBorders>
            <w:shd w:val="clear" w:color="auto" w:fill="auto"/>
            <w:noWrap/>
            <w:vAlign w:val="bottom"/>
          </w:tcPr>
          <w:p w14:paraId="4A27B0F3" w14:textId="6A36F7B6" w:rsidR="007A7675" w:rsidRPr="003A4C9D" w:rsidRDefault="007A7675" w:rsidP="00AD492F">
            <w:pPr>
              <w:jc w:val="right"/>
              <w:rPr>
                <w:rFonts w:ascii="Arial Narrow" w:hAnsi="Arial Narrow"/>
                <w:color w:val="000000"/>
                <w:sz w:val="20"/>
                <w:szCs w:val="20"/>
                <w:lang w:eastAsia="en-GB"/>
              </w:rPr>
            </w:pPr>
          </w:p>
        </w:tc>
        <w:tc>
          <w:tcPr>
            <w:tcW w:w="929" w:type="pct"/>
            <w:tcBorders>
              <w:top w:val="nil"/>
              <w:left w:val="nil"/>
              <w:bottom w:val="single" w:sz="4" w:space="0" w:color="auto"/>
              <w:right w:val="single" w:sz="4" w:space="0" w:color="auto"/>
            </w:tcBorders>
            <w:shd w:val="clear" w:color="auto" w:fill="auto"/>
            <w:noWrap/>
            <w:vAlign w:val="bottom"/>
          </w:tcPr>
          <w:p w14:paraId="6FBC347D" w14:textId="67C0CAF5" w:rsidR="007A7675" w:rsidRPr="003A4C9D" w:rsidRDefault="007A7675" w:rsidP="00AD492F">
            <w:pPr>
              <w:jc w:val="right"/>
              <w:rPr>
                <w:rFonts w:ascii="Arial Narrow" w:hAnsi="Arial Narrow"/>
                <w:color w:val="000000"/>
                <w:sz w:val="20"/>
                <w:szCs w:val="20"/>
                <w:lang w:eastAsia="en-GB"/>
              </w:rPr>
            </w:pPr>
          </w:p>
        </w:tc>
        <w:tc>
          <w:tcPr>
            <w:tcW w:w="944" w:type="pct"/>
            <w:tcBorders>
              <w:top w:val="nil"/>
              <w:left w:val="nil"/>
              <w:bottom w:val="single" w:sz="4" w:space="0" w:color="auto"/>
              <w:right w:val="single" w:sz="4" w:space="0" w:color="auto"/>
            </w:tcBorders>
            <w:shd w:val="clear" w:color="auto" w:fill="auto"/>
            <w:noWrap/>
            <w:vAlign w:val="bottom"/>
            <w:hideMark/>
          </w:tcPr>
          <w:p w14:paraId="223693ED" w14:textId="0E53DC7D" w:rsidR="007A7675" w:rsidRPr="003A4C9D" w:rsidRDefault="00ED4E28" w:rsidP="00AD492F">
            <w:pPr>
              <w:jc w:val="right"/>
              <w:rPr>
                <w:rFonts w:ascii="Arial Narrow" w:hAnsi="Arial Narrow"/>
                <w:color w:val="000000"/>
                <w:sz w:val="20"/>
                <w:szCs w:val="20"/>
                <w:lang w:eastAsia="en-GB"/>
              </w:rPr>
            </w:pPr>
            <w:r>
              <w:rPr>
                <w:rFonts w:ascii="Arial Narrow" w:hAnsi="Arial Narrow"/>
                <w:color w:val="000000"/>
                <w:sz w:val="20"/>
                <w:szCs w:val="20"/>
                <w:lang w:eastAsia="en-GB"/>
              </w:rPr>
              <w:t>82</w:t>
            </w:r>
            <w:r w:rsidR="007A7675" w:rsidRPr="003A4C9D">
              <w:rPr>
                <w:rFonts w:ascii="Arial Narrow" w:hAnsi="Arial Narrow"/>
                <w:color w:val="000000"/>
                <w:sz w:val="20"/>
                <w:szCs w:val="20"/>
                <w:lang w:eastAsia="en-GB"/>
              </w:rPr>
              <w:t>,</w:t>
            </w:r>
            <w:r>
              <w:rPr>
                <w:rFonts w:ascii="Arial Narrow" w:hAnsi="Arial Narrow"/>
                <w:color w:val="000000"/>
                <w:sz w:val="20"/>
                <w:szCs w:val="20"/>
                <w:lang w:eastAsia="en-GB"/>
              </w:rPr>
              <w:t>745</w:t>
            </w:r>
          </w:p>
        </w:tc>
      </w:tr>
      <w:tr w:rsidR="007A7675" w:rsidRPr="003A4C9D" w14:paraId="380068A3" w14:textId="77777777" w:rsidTr="00ED4E28">
        <w:trPr>
          <w:trHeight w:val="170"/>
        </w:trPr>
        <w:tc>
          <w:tcPr>
            <w:tcW w:w="1106" w:type="pct"/>
            <w:tcBorders>
              <w:top w:val="nil"/>
              <w:left w:val="single" w:sz="4" w:space="0" w:color="auto"/>
              <w:bottom w:val="single" w:sz="4" w:space="0" w:color="auto"/>
              <w:right w:val="single" w:sz="4" w:space="0" w:color="auto"/>
            </w:tcBorders>
            <w:shd w:val="clear" w:color="auto" w:fill="auto"/>
            <w:noWrap/>
            <w:vAlign w:val="bottom"/>
            <w:hideMark/>
          </w:tcPr>
          <w:p w14:paraId="7ACC2111" w14:textId="77777777" w:rsidR="007A7675" w:rsidRPr="003A4C9D" w:rsidRDefault="007A7675" w:rsidP="00AD492F">
            <w:pPr>
              <w:rPr>
                <w:rFonts w:ascii="Arial Narrow" w:hAnsi="Arial Narrow"/>
                <w:color w:val="000000"/>
                <w:sz w:val="20"/>
                <w:szCs w:val="20"/>
                <w:lang w:eastAsia="en-GB"/>
              </w:rPr>
            </w:pPr>
            <w:r w:rsidRPr="003A4C9D">
              <w:rPr>
                <w:rFonts w:ascii="Arial Narrow" w:hAnsi="Arial Narrow"/>
                <w:color w:val="000000"/>
                <w:sz w:val="20"/>
                <w:szCs w:val="20"/>
                <w:lang w:eastAsia="en-GB"/>
              </w:rPr>
              <w:t>Istog</w:t>
            </w:r>
          </w:p>
        </w:tc>
        <w:tc>
          <w:tcPr>
            <w:tcW w:w="1048" w:type="pct"/>
            <w:tcBorders>
              <w:top w:val="nil"/>
              <w:left w:val="nil"/>
              <w:bottom w:val="single" w:sz="4" w:space="0" w:color="auto"/>
              <w:right w:val="single" w:sz="4" w:space="0" w:color="auto"/>
            </w:tcBorders>
            <w:shd w:val="clear" w:color="auto" w:fill="auto"/>
            <w:noWrap/>
            <w:vAlign w:val="bottom"/>
          </w:tcPr>
          <w:p w14:paraId="041D8BEE" w14:textId="28BC2807" w:rsidR="007A7675" w:rsidRPr="003A4C9D" w:rsidRDefault="007A7675" w:rsidP="00AD492F">
            <w:pPr>
              <w:jc w:val="right"/>
              <w:rPr>
                <w:rFonts w:ascii="Arial Narrow" w:hAnsi="Arial Narrow"/>
                <w:color w:val="000000"/>
                <w:sz w:val="20"/>
                <w:szCs w:val="20"/>
                <w:lang w:eastAsia="en-GB"/>
              </w:rPr>
            </w:pPr>
          </w:p>
        </w:tc>
        <w:tc>
          <w:tcPr>
            <w:tcW w:w="973" w:type="pct"/>
            <w:tcBorders>
              <w:top w:val="nil"/>
              <w:left w:val="nil"/>
              <w:bottom w:val="single" w:sz="4" w:space="0" w:color="auto"/>
              <w:right w:val="single" w:sz="4" w:space="0" w:color="auto"/>
            </w:tcBorders>
            <w:shd w:val="clear" w:color="auto" w:fill="auto"/>
            <w:noWrap/>
            <w:vAlign w:val="bottom"/>
          </w:tcPr>
          <w:p w14:paraId="7C8DDB96" w14:textId="756116FF" w:rsidR="007A7675" w:rsidRPr="003A4C9D" w:rsidRDefault="007A7675" w:rsidP="00AD492F">
            <w:pPr>
              <w:jc w:val="right"/>
              <w:rPr>
                <w:rFonts w:ascii="Arial Narrow" w:hAnsi="Arial Narrow"/>
                <w:color w:val="000000"/>
                <w:sz w:val="20"/>
                <w:szCs w:val="20"/>
                <w:lang w:eastAsia="en-GB"/>
              </w:rPr>
            </w:pPr>
          </w:p>
        </w:tc>
        <w:tc>
          <w:tcPr>
            <w:tcW w:w="929" w:type="pct"/>
            <w:tcBorders>
              <w:top w:val="nil"/>
              <w:left w:val="nil"/>
              <w:bottom w:val="single" w:sz="4" w:space="0" w:color="auto"/>
              <w:right w:val="single" w:sz="4" w:space="0" w:color="auto"/>
            </w:tcBorders>
            <w:shd w:val="clear" w:color="auto" w:fill="auto"/>
            <w:noWrap/>
            <w:vAlign w:val="bottom"/>
          </w:tcPr>
          <w:p w14:paraId="692DF72F" w14:textId="334B935D" w:rsidR="007A7675" w:rsidRPr="003A4C9D" w:rsidRDefault="007A7675" w:rsidP="00AD492F">
            <w:pPr>
              <w:jc w:val="right"/>
              <w:rPr>
                <w:rFonts w:ascii="Arial Narrow" w:hAnsi="Arial Narrow"/>
                <w:color w:val="000000"/>
                <w:sz w:val="20"/>
                <w:szCs w:val="20"/>
                <w:lang w:eastAsia="en-GB"/>
              </w:rPr>
            </w:pPr>
          </w:p>
        </w:tc>
        <w:tc>
          <w:tcPr>
            <w:tcW w:w="944" w:type="pct"/>
            <w:tcBorders>
              <w:top w:val="nil"/>
              <w:left w:val="nil"/>
              <w:bottom w:val="single" w:sz="4" w:space="0" w:color="auto"/>
              <w:right w:val="single" w:sz="4" w:space="0" w:color="auto"/>
            </w:tcBorders>
            <w:shd w:val="clear" w:color="auto" w:fill="auto"/>
            <w:noWrap/>
            <w:vAlign w:val="bottom"/>
            <w:hideMark/>
          </w:tcPr>
          <w:p w14:paraId="2370C348" w14:textId="679D7675" w:rsidR="007A7675" w:rsidRPr="003A4C9D" w:rsidRDefault="00ED4E28" w:rsidP="00AD492F">
            <w:pPr>
              <w:jc w:val="right"/>
              <w:rPr>
                <w:rFonts w:ascii="Arial Narrow" w:hAnsi="Arial Narrow"/>
                <w:color w:val="000000"/>
                <w:sz w:val="20"/>
                <w:szCs w:val="20"/>
                <w:lang w:eastAsia="en-GB"/>
              </w:rPr>
            </w:pPr>
            <w:r>
              <w:rPr>
                <w:rFonts w:ascii="Arial Narrow" w:hAnsi="Arial Narrow"/>
                <w:color w:val="000000"/>
                <w:sz w:val="20"/>
                <w:szCs w:val="20"/>
                <w:lang w:eastAsia="en-GB"/>
              </w:rPr>
              <w:t>33</w:t>
            </w:r>
            <w:r w:rsidR="007A7675" w:rsidRPr="003A4C9D">
              <w:rPr>
                <w:rFonts w:ascii="Arial Narrow" w:hAnsi="Arial Narrow"/>
                <w:color w:val="000000"/>
                <w:sz w:val="20"/>
                <w:szCs w:val="20"/>
                <w:lang w:eastAsia="en-GB"/>
              </w:rPr>
              <w:t>,</w:t>
            </w:r>
            <w:r>
              <w:rPr>
                <w:rFonts w:ascii="Arial Narrow" w:hAnsi="Arial Narrow"/>
                <w:color w:val="000000"/>
                <w:sz w:val="20"/>
                <w:szCs w:val="20"/>
                <w:lang w:eastAsia="en-GB"/>
              </w:rPr>
              <w:t>008</w:t>
            </w:r>
          </w:p>
        </w:tc>
      </w:tr>
      <w:tr w:rsidR="007A7675" w:rsidRPr="003A4C9D" w14:paraId="15E131B0" w14:textId="77777777" w:rsidTr="00ED4E28">
        <w:trPr>
          <w:trHeight w:val="170"/>
        </w:trPr>
        <w:tc>
          <w:tcPr>
            <w:tcW w:w="1106" w:type="pct"/>
            <w:tcBorders>
              <w:top w:val="nil"/>
              <w:left w:val="single" w:sz="4" w:space="0" w:color="auto"/>
              <w:bottom w:val="single" w:sz="4" w:space="0" w:color="auto"/>
              <w:right w:val="single" w:sz="4" w:space="0" w:color="auto"/>
            </w:tcBorders>
            <w:shd w:val="clear" w:color="auto" w:fill="auto"/>
            <w:noWrap/>
            <w:vAlign w:val="bottom"/>
            <w:hideMark/>
          </w:tcPr>
          <w:p w14:paraId="02BB19FF" w14:textId="77777777" w:rsidR="007A7675" w:rsidRPr="003A4C9D" w:rsidRDefault="007A7675" w:rsidP="00AD492F">
            <w:pPr>
              <w:rPr>
                <w:rFonts w:ascii="Arial Narrow" w:hAnsi="Arial Narrow"/>
                <w:color w:val="000000"/>
                <w:sz w:val="20"/>
                <w:szCs w:val="20"/>
                <w:lang w:eastAsia="en-GB"/>
              </w:rPr>
            </w:pPr>
            <w:r w:rsidRPr="003A4C9D">
              <w:rPr>
                <w:rFonts w:ascii="Arial Narrow" w:hAnsi="Arial Narrow"/>
                <w:color w:val="000000"/>
                <w:sz w:val="20"/>
                <w:szCs w:val="20"/>
                <w:lang w:eastAsia="en-GB"/>
              </w:rPr>
              <w:t>Klinë</w:t>
            </w:r>
          </w:p>
        </w:tc>
        <w:tc>
          <w:tcPr>
            <w:tcW w:w="1048" w:type="pct"/>
            <w:tcBorders>
              <w:top w:val="nil"/>
              <w:left w:val="nil"/>
              <w:bottom w:val="single" w:sz="4" w:space="0" w:color="auto"/>
              <w:right w:val="single" w:sz="4" w:space="0" w:color="auto"/>
            </w:tcBorders>
            <w:shd w:val="clear" w:color="auto" w:fill="auto"/>
            <w:noWrap/>
            <w:vAlign w:val="bottom"/>
          </w:tcPr>
          <w:p w14:paraId="5EE10AE0" w14:textId="185DA921" w:rsidR="007A7675" w:rsidRPr="003A4C9D" w:rsidRDefault="007A7675" w:rsidP="00AD492F">
            <w:pPr>
              <w:jc w:val="right"/>
              <w:rPr>
                <w:rFonts w:ascii="Arial Narrow" w:hAnsi="Arial Narrow"/>
                <w:color w:val="000000"/>
                <w:sz w:val="20"/>
                <w:szCs w:val="20"/>
                <w:lang w:eastAsia="en-GB"/>
              </w:rPr>
            </w:pPr>
          </w:p>
        </w:tc>
        <w:tc>
          <w:tcPr>
            <w:tcW w:w="973" w:type="pct"/>
            <w:tcBorders>
              <w:top w:val="nil"/>
              <w:left w:val="nil"/>
              <w:bottom w:val="single" w:sz="4" w:space="0" w:color="auto"/>
              <w:right w:val="single" w:sz="4" w:space="0" w:color="auto"/>
            </w:tcBorders>
            <w:shd w:val="clear" w:color="auto" w:fill="auto"/>
            <w:noWrap/>
            <w:vAlign w:val="bottom"/>
          </w:tcPr>
          <w:p w14:paraId="7A6B18E7" w14:textId="3AFD0961" w:rsidR="007A7675" w:rsidRPr="003A4C9D" w:rsidRDefault="007A7675" w:rsidP="00AD492F">
            <w:pPr>
              <w:jc w:val="right"/>
              <w:rPr>
                <w:rFonts w:ascii="Arial Narrow" w:hAnsi="Arial Narrow"/>
                <w:color w:val="000000"/>
                <w:sz w:val="20"/>
                <w:szCs w:val="20"/>
                <w:lang w:eastAsia="en-GB"/>
              </w:rPr>
            </w:pPr>
          </w:p>
        </w:tc>
        <w:tc>
          <w:tcPr>
            <w:tcW w:w="929" w:type="pct"/>
            <w:tcBorders>
              <w:top w:val="nil"/>
              <w:left w:val="nil"/>
              <w:bottom w:val="single" w:sz="4" w:space="0" w:color="auto"/>
              <w:right w:val="single" w:sz="4" w:space="0" w:color="auto"/>
            </w:tcBorders>
            <w:shd w:val="clear" w:color="auto" w:fill="auto"/>
            <w:noWrap/>
            <w:vAlign w:val="bottom"/>
          </w:tcPr>
          <w:p w14:paraId="79A74B7A" w14:textId="555863E4" w:rsidR="007A7675" w:rsidRPr="003A4C9D" w:rsidRDefault="007A7675" w:rsidP="00AD492F">
            <w:pPr>
              <w:jc w:val="right"/>
              <w:rPr>
                <w:rFonts w:ascii="Arial Narrow" w:hAnsi="Arial Narrow"/>
                <w:color w:val="000000"/>
                <w:sz w:val="20"/>
                <w:szCs w:val="20"/>
                <w:lang w:eastAsia="en-GB"/>
              </w:rPr>
            </w:pPr>
          </w:p>
        </w:tc>
        <w:tc>
          <w:tcPr>
            <w:tcW w:w="944" w:type="pct"/>
            <w:tcBorders>
              <w:top w:val="nil"/>
              <w:left w:val="nil"/>
              <w:bottom w:val="single" w:sz="4" w:space="0" w:color="auto"/>
              <w:right w:val="single" w:sz="4" w:space="0" w:color="auto"/>
            </w:tcBorders>
            <w:shd w:val="clear" w:color="auto" w:fill="auto"/>
            <w:noWrap/>
            <w:vAlign w:val="bottom"/>
            <w:hideMark/>
          </w:tcPr>
          <w:p w14:paraId="22078760" w14:textId="1A12FB60" w:rsidR="007A7675" w:rsidRPr="003A4C9D" w:rsidRDefault="00ED4E28" w:rsidP="00AD492F">
            <w:pPr>
              <w:jc w:val="right"/>
              <w:rPr>
                <w:rFonts w:ascii="Arial Narrow" w:hAnsi="Arial Narrow"/>
                <w:color w:val="000000"/>
                <w:sz w:val="20"/>
                <w:szCs w:val="20"/>
                <w:lang w:eastAsia="en-GB"/>
              </w:rPr>
            </w:pPr>
            <w:r>
              <w:rPr>
                <w:rFonts w:ascii="Arial Narrow" w:hAnsi="Arial Narrow"/>
                <w:color w:val="000000"/>
                <w:sz w:val="20"/>
                <w:szCs w:val="20"/>
                <w:lang w:eastAsia="en-GB"/>
              </w:rPr>
              <w:t>3</w:t>
            </w:r>
            <w:r w:rsidR="007A7675" w:rsidRPr="003A4C9D">
              <w:rPr>
                <w:rFonts w:ascii="Arial Narrow" w:hAnsi="Arial Narrow"/>
                <w:color w:val="000000"/>
                <w:sz w:val="20"/>
                <w:szCs w:val="20"/>
                <w:lang w:eastAsia="en-GB"/>
              </w:rPr>
              <w:t>0,</w:t>
            </w:r>
            <w:r>
              <w:rPr>
                <w:rFonts w:ascii="Arial Narrow" w:hAnsi="Arial Narrow"/>
                <w:color w:val="000000"/>
                <w:sz w:val="20"/>
                <w:szCs w:val="20"/>
                <w:lang w:eastAsia="en-GB"/>
              </w:rPr>
              <w:t>503</w:t>
            </w:r>
          </w:p>
        </w:tc>
      </w:tr>
      <w:tr w:rsidR="007A7675" w:rsidRPr="003A4C9D" w14:paraId="18A25BFD" w14:textId="77777777" w:rsidTr="00ED4E28">
        <w:trPr>
          <w:trHeight w:val="170"/>
        </w:trPr>
        <w:tc>
          <w:tcPr>
            <w:tcW w:w="1106" w:type="pct"/>
            <w:tcBorders>
              <w:top w:val="nil"/>
              <w:left w:val="single" w:sz="4" w:space="0" w:color="auto"/>
              <w:bottom w:val="single" w:sz="4" w:space="0" w:color="auto"/>
              <w:right w:val="single" w:sz="4" w:space="0" w:color="auto"/>
            </w:tcBorders>
            <w:shd w:val="clear" w:color="auto" w:fill="auto"/>
            <w:noWrap/>
            <w:vAlign w:val="bottom"/>
            <w:hideMark/>
          </w:tcPr>
          <w:p w14:paraId="7B3BEF2C" w14:textId="77777777" w:rsidR="007A7675" w:rsidRPr="003A4C9D" w:rsidRDefault="007A7675" w:rsidP="00AD492F">
            <w:pPr>
              <w:rPr>
                <w:rFonts w:ascii="Arial Narrow" w:hAnsi="Arial Narrow"/>
                <w:color w:val="000000"/>
                <w:sz w:val="20"/>
                <w:szCs w:val="20"/>
                <w:lang w:eastAsia="en-GB"/>
              </w:rPr>
            </w:pPr>
            <w:r w:rsidRPr="003A4C9D">
              <w:rPr>
                <w:rFonts w:ascii="Arial Narrow" w:hAnsi="Arial Narrow"/>
                <w:color w:val="000000"/>
                <w:sz w:val="20"/>
                <w:szCs w:val="20"/>
                <w:lang w:eastAsia="en-GB"/>
              </w:rPr>
              <w:t>Deçan</w:t>
            </w:r>
          </w:p>
        </w:tc>
        <w:tc>
          <w:tcPr>
            <w:tcW w:w="1048" w:type="pct"/>
            <w:tcBorders>
              <w:top w:val="nil"/>
              <w:left w:val="nil"/>
              <w:bottom w:val="single" w:sz="4" w:space="0" w:color="auto"/>
              <w:right w:val="single" w:sz="4" w:space="0" w:color="auto"/>
            </w:tcBorders>
            <w:shd w:val="clear" w:color="auto" w:fill="auto"/>
            <w:noWrap/>
            <w:vAlign w:val="bottom"/>
          </w:tcPr>
          <w:p w14:paraId="45535AB4" w14:textId="21F986D5" w:rsidR="007A7675" w:rsidRPr="003A4C9D" w:rsidRDefault="007A7675" w:rsidP="00AD492F">
            <w:pPr>
              <w:jc w:val="right"/>
              <w:rPr>
                <w:rFonts w:ascii="Arial Narrow" w:hAnsi="Arial Narrow"/>
                <w:color w:val="000000"/>
                <w:sz w:val="20"/>
                <w:szCs w:val="20"/>
                <w:lang w:eastAsia="en-GB"/>
              </w:rPr>
            </w:pPr>
          </w:p>
        </w:tc>
        <w:tc>
          <w:tcPr>
            <w:tcW w:w="973" w:type="pct"/>
            <w:tcBorders>
              <w:top w:val="nil"/>
              <w:left w:val="nil"/>
              <w:bottom w:val="single" w:sz="4" w:space="0" w:color="auto"/>
              <w:right w:val="single" w:sz="4" w:space="0" w:color="auto"/>
            </w:tcBorders>
            <w:shd w:val="clear" w:color="auto" w:fill="auto"/>
            <w:noWrap/>
            <w:vAlign w:val="bottom"/>
          </w:tcPr>
          <w:p w14:paraId="29CB7EA3" w14:textId="6F3A130B" w:rsidR="007A7675" w:rsidRPr="003A4C9D" w:rsidRDefault="007A7675" w:rsidP="00AD492F">
            <w:pPr>
              <w:jc w:val="right"/>
              <w:rPr>
                <w:rFonts w:ascii="Arial Narrow" w:hAnsi="Arial Narrow"/>
                <w:color w:val="000000"/>
                <w:sz w:val="20"/>
                <w:szCs w:val="20"/>
                <w:lang w:eastAsia="en-GB"/>
              </w:rPr>
            </w:pPr>
          </w:p>
        </w:tc>
        <w:tc>
          <w:tcPr>
            <w:tcW w:w="929" w:type="pct"/>
            <w:tcBorders>
              <w:top w:val="nil"/>
              <w:left w:val="nil"/>
              <w:bottom w:val="single" w:sz="4" w:space="0" w:color="auto"/>
              <w:right w:val="single" w:sz="4" w:space="0" w:color="auto"/>
            </w:tcBorders>
            <w:shd w:val="clear" w:color="auto" w:fill="auto"/>
            <w:noWrap/>
            <w:vAlign w:val="bottom"/>
          </w:tcPr>
          <w:p w14:paraId="7EC6057C" w14:textId="5C2E1720" w:rsidR="007A7675" w:rsidRPr="003A4C9D" w:rsidRDefault="007A7675" w:rsidP="00AD492F">
            <w:pPr>
              <w:jc w:val="right"/>
              <w:rPr>
                <w:rFonts w:ascii="Arial Narrow" w:hAnsi="Arial Narrow"/>
                <w:color w:val="000000"/>
                <w:sz w:val="20"/>
                <w:szCs w:val="20"/>
                <w:lang w:eastAsia="en-GB"/>
              </w:rPr>
            </w:pPr>
          </w:p>
        </w:tc>
        <w:tc>
          <w:tcPr>
            <w:tcW w:w="944" w:type="pct"/>
            <w:tcBorders>
              <w:top w:val="nil"/>
              <w:left w:val="nil"/>
              <w:bottom w:val="single" w:sz="4" w:space="0" w:color="auto"/>
              <w:right w:val="single" w:sz="4" w:space="0" w:color="auto"/>
            </w:tcBorders>
            <w:shd w:val="clear" w:color="auto" w:fill="auto"/>
            <w:noWrap/>
            <w:vAlign w:val="bottom"/>
            <w:hideMark/>
          </w:tcPr>
          <w:p w14:paraId="0DCD50D3" w14:textId="464548AE" w:rsidR="007A7675" w:rsidRPr="003A4C9D" w:rsidRDefault="00ED4E28" w:rsidP="00AD492F">
            <w:pPr>
              <w:jc w:val="right"/>
              <w:rPr>
                <w:rFonts w:ascii="Arial Narrow" w:hAnsi="Arial Narrow"/>
                <w:color w:val="000000"/>
                <w:sz w:val="20"/>
                <w:szCs w:val="20"/>
                <w:lang w:eastAsia="en-GB"/>
              </w:rPr>
            </w:pPr>
            <w:r>
              <w:rPr>
                <w:rFonts w:ascii="Arial Narrow" w:hAnsi="Arial Narrow"/>
                <w:color w:val="000000"/>
                <w:sz w:val="20"/>
                <w:szCs w:val="20"/>
                <w:lang w:eastAsia="en-GB"/>
              </w:rPr>
              <w:t>27</w:t>
            </w:r>
            <w:r w:rsidR="007A7675" w:rsidRPr="003A4C9D">
              <w:rPr>
                <w:rFonts w:ascii="Arial Narrow" w:hAnsi="Arial Narrow"/>
                <w:color w:val="000000"/>
                <w:sz w:val="20"/>
                <w:szCs w:val="20"/>
                <w:lang w:eastAsia="en-GB"/>
              </w:rPr>
              <w:t>,</w:t>
            </w:r>
            <w:r>
              <w:rPr>
                <w:rFonts w:ascii="Arial Narrow" w:hAnsi="Arial Narrow"/>
                <w:color w:val="000000"/>
                <w:sz w:val="20"/>
                <w:szCs w:val="20"/>
                <w:lang w:eastAsia="en-GB"/>
              </w:rPr>
              <w:t>775</w:t>
            </w:r>
          </w:p>
        </w:tc>
      </w:tr>
      <w:tr w:rsidR="007A7675" w:rsidRPr="003A4C9D" w14:paraId="5DE8E0CD" w14:textId="77777777" w:rsidTr="00ED4E28">
        <w:trPr>
          <w:trHeight w:val="170"/>
        </w:trPr>
        <w:tc>
          <w:tcPr>
            <w:tcW w:w="1106" w:type="pct"/>
            <w:tcBorders>
              <w:top w:val="nil"/>
              <w:left w:val="single" w:sz="4" w:space="0" w:color="auto"/>
              <w:bottom w:val="single" w:sz="4" w:space="0" w:color="auto"/>
              <w:right w:val="single" w:sz="4" w:space="0" w:color="auto"/>
            </w:tcBorders>
            <w:shd w:val="clear" w:color="auto" w:fill="auto"/>
            <w:noWrap/>
            <w:vAlign w:val="bottom"/>
            <w:hideMark/>
          </w:tcPr>
          <w:p w14:paraId="27AFA844" w14:textId="77777777" w:rsidR="007A7675" w:rsidRPr="00836157" w:rsidRDefault="007A7675" w:rsidP="00AD492F">
            <w:pPr>
              <w:rPr>
                <w:rFonts w:ascii="Arial Narrow" w:hAnsi="Arial Narrow"/>
                <w:color w:val="000000"/>
                <w:sz w:val="20"/>
                <w:szCs w:val="20"/>
                <w:lang w:eastAsia="en-GB"/>
              </w:rPr>
            </w:pPr>
            <w:r w:rsidRPr="00836157">
              <w:rPr>
                <w:rFonts w:ascii="Arial Narrow" w:hAnsi="Arial Narrow"/>
                <w:color w:val="000000"/>
                <w:sz w:val="20"/>
                <w:szCs w:val="20"/>
                <w:lang w:eastAsia="en-GB"/>
              </w:rPr>
              <w:t>Junik</w:t>
            </w:r>
          </w:p>
        </w:tc>
        <w:tc>
          <w:tcPr>
            <w:tcW w:w="1048" w:type="pct"/>
            <w:tcBorders>
              <w:top w:val="nil"/>
              <w:left w:val="nil"/>
              <w:bottom w:val="single" w:sz="4" w:space="0" w:color="auto"/>
              <w:right w:val="single" w:sz="4" w:space="0" w:color="auto"/>
            </w:tcBorders>
            <w:shd w:val="clear" w:color="auto" w:fill="auto"/>
            <w:noWrap/>
            <w:vAlign w:val="bottom"/>
          </w:tcPr>
          <w:p w14:paraId="18D70AC1" w14:textId="7F9C084A" w:rsidR="007A7675" w:rsidRPr="00836157" w:rsidRDefault="007A7675" w:rsidP="00AD492F">
            <w:pPr>
              <w:jc w:val="right"/>
              <w:rPr>
                <w:rFonts w:ascii="Arial Narrow" w:hAnsi="Arial Narrow"/>
                <w:color w:val="000000"/>
                <w:sz w:val="20"/>
                <w:szCs w:val="20"/>
                <w:lang w:eastAsia="en-GB"/>
              </w:rPr>
            </w:pPr>
          </w:p>
        </w:tc>
        <w:tc>
          <w:tcPr>
            <w:tcW w:w="973" w:type="pct"/>
            <w:tcBorders>
              <w:top w:val="nil"/>
              <w:left w:val="nil"/>
              <w:bottom w:val="single" w:sz="4" w:space="0" w:color="auto"/>
              <w:right w:val="single" w:sz="4" w:space="0" w:color="auto"/>
            </w:tcBorders>
            <w:shd w:val="clear" w:color="auto" w:fill="auto"/>
            <w:noWrap/>
            <w:vAlign w:val="bottom"/>
          </w:tcPr>
          <w:p w14:paraId="0CC43D9F" w14:textId="7AB4A7F3" w:rsidR="007A7675" w:rsidRPr="00836157" w:rsidRDefault="007A7675" w:rsidP="00AD492F">
            <w:pPr>
              <w:jc w:val="right"/>
              <w:rPr>
                <w:rFonts w:ascii="Arial Narrow" w:hAnsi="Arial Narrow"/>
                <w:color w:val="000000"/>
                <w:sz w:val="20"/>
                <w:szCs w:val="20"/>
                <w:lang w:eastAsia="en-GB"/>
              </w:rPr>
            </w:pPr>
          </w:p>
        </w:tc>
        <w:tc>
          <w:tcPr>
            <w:tcW w:w="929" w:type="pct"/>
            <w:tcBorders>
              <w:top w:val="nil"/>
              <w:left w:val="nil"/>
              <w:bottom w:val="single" w:sz="4" w:space="0" w:color="auto"/>
              <w:right w:val="single" w:sz="4" w:space="0" w:color="auto"/>
            </w:tcBorders>
            <w:shd w:val="clear" w:color="auto" w:fill="auto"/>
            <w:noWrap/>
            <w:vAlign w:val="bottom"/>
          </w:tcPr>
          <w:p w14:paraId="5F7CB661" w14:textId="7CB65A57" w:rsidR="007A7675" w:rsidRPr="003A4C9D" w:rsidRDefault="007A7675" w:rsidP="00AD492F">
            <w:pPr>
              <w:jc w:val="right"/>
              <w:rPr>
                <w:rFonts w:ascii="Arial Narrow" w:hAnsi="Arial Narrow"/>
                <w:color w:val="000000"/>
                <w:sz w:val="20"/>
                <w:szCs w:val="20"/>
                <w:lang w:eastAsia="en-GB"/>
              </w:rPr>
            </w:pPr>
          </w:p>
        </w:tc>
        <w:tc>
          <w:tcPr>
            <w:tcW w:w="944" w:type="pct"/>
            <w:tcBorders>
              <w:top w:val="nil"/>
              <w:left w:val="nil"/>
              <w:bottom w:val="single" w:sz="4" w:space="0" w:color="auto"/>
              <w:right w:val="single" w:sz="4" w:space="0" w:color="auto"/>
            </w:tcBorders>
            <w:shd w:val="clear" w:color="auto" w:fill="auto"/>
            <w:noWrap/>
            <w:vAlign w:val="bottom"/>
            <w:hideMark/>
          </w:tcPr>
          <w:p w14:paraId="4E6D9B3A" w14:textId="559835AE" w:rsidR="007A7675" w:rsidRPr="003A4C9D" w:rsidRDefault="00ED4E28" w:rsidP="00AD492F">
            <w:pPr>
              <w:jc w:val="right"/>
              <w:rPr>
                <w:rFonts w:ascii="Arial Narrow" w:hAnsi="Arial Narrow"/>
                <w:color w:val="000000"/>
                <w:sz w:val="20"/>
                <w:szCs w:val="20"/>
                <w:lang w:eastAsia="en-GB"/>
              </w:rPr>
            </w:pPr>
            <w:r>
              <w:rPr>
                <w:rFonts w:ascii="Arial Narrow" w:hAnsi="Arial Narrow"/>
                <w:color w:val="000000"/>
                <w:sz w:val="20"/>
                <w:szCs w:val="20"/>
                <w:lang w:eastAsia="en-GB"/>
              </w:rPr>
              <w:t>3</w:t>
            </w:r>
            <w:r w:rsidR="007A7675" w:rsidRPr="003A4C9D">
              <w:rPr>
                <w:rFonts w:ascii="Arial Narrow" w:hAnsi="Arial Narrow"/>
                <w:color w:val="000000"/>
                <w:sz w:val="20"/>
                <w:szCs w:val="20"/>
                <w:lang w:eastAsia="en-GB"/>
              </w:rPr>
              <w:t>,</w:t>
            </w:r>
            <w:r>
              <w:rPr>
                <w:rFonts w:ascii="Arial Narrow" w:hAnsi="Arial Narrow"/>
                <w:color w:val="000000"/>
                <w:sz w:val="20"/>
                <w:szCs w:val="20"/>
                <w:lang w:eastAsia="en-GB"/>
              </w:rPr>
              <w:t>943</w:t>
            </w:r>
          </w:p>
        </w:tc>
      </w:tr>
      <w:tr w:rsidR="007A7675" w:rsidRPr="003A4C9D" w14:paraId="261FAE36" w14:textId="77777777" w:rsidTr="00ED4E28">
        <w:trPr>
          <w:trHeight w:val="170"/>
        </w:trPr>
        <w:tc>
          <w:tcPr>
            <w:tcW w:w="1106" w:type="pct"/>
            <w:tcBorders>
              <w:top w:val="nil"/>
              <w:left w:val="single" w:sz="4" w:space="0" w:color="auto"/>
              <w:bottom w:val="single" w:sz="4" w:space="0" w:color="auto"/>
              <w:right w:val="single" w:sz="4" w:space="0" w:color="auto"/>
            </w:tcBorders>
            <w:shd w:val="clear" w:color="auto" w:fill="auto"/>
            <w:noWrap/>
            <w:vAlign w:val="bottom"/>
            <w:hideMark/>
          </w:tcPr>
          <w:p w14:paraId="4A05056B" w14:textId="77777777" w:rsidR="007A7675" w:rsidRPr="003A4C9D" w:rsidRDefault="007A7675" w:rsidP="00AD492F">
            <w:pPr>
              <w:rPr>
                <w:rFonts w:ascii="Arial Narrow" w:hAnsi="Arial Narrow"/>
                <w:b/>
                <w:bCs/>
                <w:color w:val="000000"/>
                <w:sz w:val="20"/>
                <w:szCs w:val="20"/>
                <w:lang w:eastAsia="en-GB"/>
              </w:rPr>
            </w:pPr>
            <w:r w:rsidRPr="003A4C9D">
              <w:rPr>
                <w:rFonts w:ascii="Arial Narrow" w:hAnsi="Arial Narrow"/>
                <w:b/>
                <w:bCs/>
                <w:color w:val="000000"/>
                <w:sz w:val="20"/>
                <w:szCs w:val="20"/>
                <w:lang w:eastAsia="en-GB"/>
              </w:rPr>
              <w:t>Totali</w:t>
            </w:r>
          </w:p>
        </w:tc>
        <w:tc>
          <w:tcPr>
            <w:tcW w:w="1048" w:type="pct"/>
            <w:tcBorders>
              <w:top w:val="nil"/>
              <w:left w:val="nil"/>
              <w:bottom w:val="single" w:sz="4" w:space="0" w:color="auto"/>
              <w:right w:val="single" w:sz="4" w:space="0" w:color="auto"/>
            </w:tcBorders>
            <w:shd w:val="clear" w:color="auto" w:fill="auto"/>
            <w:noWrap/>
            <w:vAlign w:val="bottom"/>
          </w:tcPr>
          <w:p w14:paraId="3DADB7C2" w14:textId="6734E513" w:rsidR="007A7675" w:rsidRPr="003A4C9D" w:rsidRDefault="007A7675" w:rsidP="00AD492F">
            <w:pPr>
              <w:rPr>
                <w:rFonts w:ascii="Arial Narrow" w:hAnsi="Arial Narrow"/>
                <w:b/>
                <w:bCs/>
                <w:color w:val="000000"/>
                <w:sz w:val="20"/>
                <w:szCs w:val="20"/>
                <w:lang w:eastAsia="en-GB"/>
              </w:rPr>
            </w:pPr>
          </w:p>
        </w:tc>
        <w:tc>
          <w:tcPr>
            <w:tcW w:w="973" w:type="pct"/>
            <w:tcBorders>
              <w:top w:val="nil"/>
              <w:left w:val="nil"/>
              <w:bottom w:val="single" w:sz="4" w:space="0" w:color="auto"/>
              <w:right w:val="single" w:sz="4" w:space="0" w:color="auto"/>
            </w:tcBorders>
            <w:shd w:val="clear" w:color="auto" w:fill="auto"/>
            <w:noWrap/>
            <w:vAlign w:val="bottom"/>
          </w:tcPr>
          <w:p w14:paraId="4C6F57CE" w14:textId="609C4CA3" w:rsidR="007A7675" w:rsidRPr="003A4C9D" w:rsidRDefault="007A7675" w:rsidP="00AD492F">
            <w:pPr>
              <w:rPr>
                <w:rFonts w:ascii="Arial Narrow" w:hAnsi="Arial Narrow"/>
                <w:b/>
                <w:bCs/>
                <w:color w:val="000000"/>
                <w:sz w:val="20"/>
                <w:szCs w:val="20"/>
                <w:lang w:eastAsia="en-GB"/>
              </w:rPr>
            </w:pPr>
          </w:p>
        </w:tc>
        <w:tc>
          <w:tcPr>
            <w:tcW w:w="929" w:type="pct"/>
            <w:tcBorders>
              <w:top w:val="nil"/>
              <w:left w:val="nil"/>
              <w:bottom w:val="single" w:sz="4" w:space="0" w:color="auto"/>
              <w:right w:val="single" w:sz="4" w:space="0" w:color="auto"/>
            </w:tcBorders>
            <w:shd w:val="clear" w:color="auto" w:fill="auto"/>
            <w:noWrap/>
            <w:vAlign w:val="bottom"/>
          </w:tcPr>
          <w:p w14:paraId="66885ADE" w14:textId="1FF6F832" w:rsidR="007A7675" w:rsidRPr="003A4C9D" w:rsidRDefault="007A7675" w:rsidP="00AD492F">
            <w:pPr>
              <w:jc w:val="right"/>
              <w:rPr>
                <w:rFonts w:ascii="Arial Narrow" w:hAnsi="Arial Narrow"/>
                <w:b/>
                <w:bCs/>
                <w:color w:val="000000"/>
                <w:sz w:val="20"/>
                <w:szCs w:val="20"/>
                <w:lang w:eastAsia="en-GB"/>
              </w:rPr>
            </w:pPr>
          </w:p>
        </w:tc>
        <w:tc>
          <w:tcPr>
            <w:tcW w:w="944" w:type="pct"/>
            <w:tcBorders>
              <w:top w:val="nil"/>
              <w:left w:val="nil"/>
              <w:bottom w:val="single" w:sz="4" w:space="0" w:color="auto"/>
              <w:right w:val="single" w:sz="4" w:space="0" w:color="auto"/>
            </w:tcBorders>
            <w:shd w:val="clear" w:color="auto" w:fill="auto"/>
            <w:noWrap/>
            <w:vAlign w:val="bottom"/>
            <w:hideMark/>
          </w:tcPr>
          <w:p w14:paraId="1812D91B" w14:textId="6E69E81B" w:rsidR="007A7675" w:rsidRPr="003A4C9D" w:rsidRDefault="00ED4E28" w:rsidP="00AD492F">
            <w:pPr>
              <w:jc w:val="right"/>
              <w:rPr>
                <w:rFonts w:ascii="Arial Narrow" w:hAnsi="Arial Narrow"/>
                <w:b/>
                <w:bCs/>
                <w:color w:val="000000"/>
                <w:sz w:val="20"/>
                <w:szCs w:val="20"/>
                <w:lang w:eastAsia="en-GB"/>
              </w:rPr>
            </w:pPr>
            <w:r>
              <w:rPr>
                <w:rFonts w:ascii="Arial Narrow" w:hAnsi="Arial Narrow"/>
                <w:b/>
                <w:bCs/>
                <w:color w:val="000000"/>
                <w:sz w:val="20"/>
                <w:szCs w:val="20"/>
                <w:lang w:eastAsia="en-GB"/>
              </w:rPr>
              <w:t>177</w:t>
            </w:r>
            <w:r w:rsidR="007A7675" w:rsidRPr="003A4C9D">
              <w:rPr>
                <w:rFonts w:ascii="Arial Narrow" w:hAnsi="Arial Narrow"/>
                <w:b/>
                <w:bCs/>
                <w:color w:val="000000"/>
                <w:sz w:val="20"/>
                <w:szCs w:val="20"/>
                <w:lang w:eastAsia="en-GB"/>
              </w:rPr>
              <w:t>,</w:t>
            </w:r>
            <w:r>
              <w:rPr>
                <w:rFonts w:ascii="Arial Narrow" w:hAnsi="Arial Narrow"/>
                <w:b/>
                <w:bCs/>
                <w:color w:val="000000"/>
                <w:sz w:val="20"/>
                <w:szCs w:val="20"/>
                <w:lang w:eastAsia="en-GB"/>
              </w:rPr>
              <w:t>947</w:t>
            </w:r>
          </w:p>
        </w:tc>
      </w:tr>
    </w:tbl>
    <w:p w14:paraId="7D54F43C" w14:textId="6D7133C4" w:rsidR="007A7675" w:rsidRPr="00AD492F" w:rsidRDefault="007A7675" w:rsidP="00AD492F">
      <w:pPr>
        <w:pStyle w:val="source0"/>
      </w:pPr>
      <w:r w:rsidRPr="00AD492F">
        <w:t xml:space="preserve">Burimi: Agjencia e Statistikave të Kosovës (ASK) </w:t>
      </w:r>
    </w:p>
    <w:p w14:paraId="4CBB3040" w14:textId="77777777" w:rsidR="00D73578" w:rsidRDefault="00D73578" w:rsidP="00AD492F">
      <w:pPr>
        <w:pStyle w:val="Paragraph"/>
        <w:rPr>
          <w:rFonts w:eastAsia="Calibri"/>
        </w:rPr>
      </w:pPr>
    </w:p>
    <w:p w14:paraId="34ED2315" w14:textId="3FFE6C61" w:rsidR="00674714" w:rsidRDefault="00674714" w:rsidP="00AD492F">
      <w:pPr>
        <w:pStyle w:val="Paragraph"/>
        <w:rPr>
          <w:rFonts w:eastAsia="Calibri"/>
        </w:rPr>
      </w:pPr>
      <w:r>
        <w:rPr>
          <w:rFonts w:eastAsia="Calibri"/>
        </w:rPr>
        <w:t xml:space="preserve">Tabela më poshtë tregon numrin e familjeve në secilën </w:t>
      </w:r>
      <w:r w:rsidR="00E26040">
        <w:rPr>
          <w:rFonts w:eastAsia="Calibri"/>
        </w:rPr>
        <w:t>komunë</w:t>
      </w:r>
      <w:r>
        <w:rPr>
          <w:rFonts w:eastAsia="Calibri"/>
        </w:rPr>
        <w:t>, sipas të dhënave të Regjistrimit të Popullsisë të vitit 20</w:t>
      </w:r>
      <w:r w:rsidR="00ED4E28">
        <w:rPr>
          <w:rFonts w:eastAsia="Calibri"/>
        </w:rPr>
        <w:t>24</w:t>
      </w:r>
      <w:r>
        <w:rPr>
          <w:rFonts w:eastAsia="Calibri"/>
        </w:rPr>
        <w:t>.</w:t>
      </w:r>
    </w:p>
    <w:p w14:paraId="0D8619F7" w14:textId="39465A5B" w:rsidR="00674714" w:rsidRPr="007F50ED" w:rsidRDefault="00674714" w:rsidP="007F50ED">
      <w:pPr>
        <w:suppressAutoHyphens/>
        <w:rPr>
          <w:rFonts w:ascii="Arial Narrow" w:eastAsia="Calibri" w:hAnsi="Arial Narrow" w:cs="Calibri"/>
          <w:color w:val="1F497D"/>
          <w:sz w:val="20"/>
          <w:szCs w:val="20"/>
        </w:rPr>
      </w:pPr>
      <w:bookmarkStart w:id="129" w:name="_Toc197472197"/>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12.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Numri i familjeve në secilën komunë</w:t>
      </w:r>
      <w:bookmarkEnd w:id="129"/>
    </w:p>
    <w:tbl>
      <w:tblPr>
        <w:tblStyle w:val="TableGrid"/>
        <w:tblW w:w="0" w:type="auto"/>
        <w:jc w:val="center"/>
        <w:tblLook w:val="04A0" w:firstRow="1" w:lastRow="0" w:firstColumn="1" w:lastColumn="0" w:noHBand="0" w:noVBand="1"/>
      </w:tblPr>
      <w:tblGrid>
        <w:gridCol w:w="2605"/>
        <w:gridCol w:w="3150"/>
        <w:gridCol w:w="3150"/>
      </w:tblGrid>
      <w:tr w:rsidR="00ED4E28" w:rsidRPr="003A4C9D" w14:paraId="49C2226D" w14:textId="1C9A409C" w:rsidTr="00D75289">
        <w:trPr>
          <w:trHeight w:val="227"/>
          <w:tblHeader/>
          <w:jc w:val="center"/>
        </w:trPr>
        <w:tc>
          <w:tcPr>
            <w:tcW w:w="2605" w:type="dxa"/>
            <w:shd w:val="clear" w:color="auto" w:fill="365F91"/>
            <w:noWrap/>
            <w:hideMark/>
          </w:tcPr>
          <w:p w14:paraId="427B22C7" w14:textId="4CDABCD5" w:rsidR="00ED4E28" w:rsidRPr="003A4C9D" w:rsidRDefault="00ED4E28" w:rsidP="003A4C9D">
            <w:pPr>
              <w:rPr>
                <w:rFonts w:ascii="Arial Narrow" w:eastAsia="Calibri" w:hAnsi="Arial Narrow" w:cs="Calibri"/>
                <w:b/>
                <w:bCs/>
                <w:color w:val="FFFFFF" w:themeColor="background1"/>
                <w:sz w:val="20"/>
                <w:szCs w:val="20"/>
              </w:rPr>
            </w:pPr>
            <w:r>
              <w:rPr>
                <w:rFonts w:ascii="Arial Narrow" w:eastAsia="Calibri" w:hAnsi="Arial Narrow" w:cs="Calibri"/>
                <w:b/>
                <w:bCs/>
                <w:color w:val="FFFFFF" w:themeColor="background1"/>
                <w:sz w:val="20"/>
                <w:szCs w:val="20"/>
              </w:rPr>
              <w:t>Komuna</w:t>
            </w:r>
          </w:p>
        </w:tc>
        <w:tc>
          <w:tcPr>
            <w:tcW w:w="3150" w:type="dxa"/>
            <w:shd w:val="clear" w:color="auto" w:fill="365F91"/>
            <w:noWrap/>
            <w:hideMark/>
          </w:tcPr>
          <w:p w14:paraId="08F212A6" w14:textId="77777777" w:rsidR="00ED4E28" w:rsidRPr="003A4C9D" w:rsidRDefault="00ED4E28" w:rsidP="003A4C9D">
            <w:pPr>
              <w:jc w:val="center"/>
              <w:rPr>
                <w:rFonts w:ascii="Arial Narrow" w:eastAsia="Calibri" w:hAnsi="Arial Narrow" w:cs="Calibri"/>
                <w:b/>
                <w:bCs/>
                <w:color w:val="FFFFFF" w:themeColor="background1"/>
                <w:sz w:val="20"/>
                <w:szCs w:val="20"/>
              </w:rPr>
            </w:pPr>
            <w:r w:rsidRPr="003A4C9D">
              <w:rPr>
                <w:rFonts w:ascii="Arial Narrow" w:eastAsia="Calibri" w:hAnsi="Arial Narrow" w:cs="Calibri"/>
                <w:b/>
                <w:bCs/>
                <w:color w:val="FFFFFF" w:themeColor="background1"/>
                <w:sz w:val="20"/>
                <w:szCs w:val="20"/>
              </w:rPr>
              <w:t>Numri i familjeve</w:t>
            </w:r>
          </w:p>
        </w:tc>
        <w:tc>
          <w:tcPr>
            <w:tcW w:w="3150" w:type="dxa"/>
            <w:shd w:val="clear" w:color="auto" w:fill="365F91"/>
          </w:tcPr>
          <w:p w14:paraId="64AD6D79" w14:textId="5A198489" w:rsidR="00ED4E28" w:rsidRPr="003A4C9D" w:rsidRDefault="00ED4E28" w:rsidP="003A4C9D">
            <w:pPr>
              <w:jc w:val="center"/>
              <w:rPr>
                <w:rFonts w:ascii="Arial Narrow" w:eastAsia="Calibri" w:hAnsi="Arial Narrow" w:cs="Calibri"/>
                <w:b/>
                <w:bCs/>
                <w:color w:val="FFFFFF" w:themeColor="background1"/>
                <w:sz w:val="20"/>
                <w:szCs w:val="20"/>
              </w:rPr>
            </w:pPr>
            <w:r>
              <w:rPr>
                <w:rFonts w:ascii="Arial Narrow" w:eastAsia="Calibri" w:hAnsi="Arial Narrow" w:cs="Calibri"/>
                <w:b/>
                <w:bCs/>
                <w:color w:val="FFFFFF" w:themeColor="background1"/>
                <w:sz w:val="20"/>
                <w:szCs w:val="20"/>
              </w:rPr>
              <w:t>Madhësia e famileve</w:t>
            </w:r>
          </w:p>
        </w:tc>
      </w:tr>
      <w:tr w:rsidR="00ED4E28" w:rsidRPr="003A4C9D" w14:paraId="268F7D14" w14:textId="6C4D9BC3" w:rsidTr="00D75289">
        <w:trPr>
          <w:trHeight w:val="227"/>
          <w:jc w:val="center"/>
        </w:trPr>
        <w:tc>
          <w:tcPr>
            <w:tcW w:w="2605" w:type="dxa"/>
            <w:noWrap/>
            <w:hideMark/>
          </w:tcPr>
          <w:p w14:paraId="37AF8B50" w14:textId="77777777" w:rsidR="00ED4E28" w:rsidRPr="003A4C9D" w:rsidRDefault="00ED4E28" w:rsidP="00ED4E28">
            <w:pPr>
              <w:rPr>
                <w:rFonts w:ascii="Arial Narrow" w:eastAsia="Calibri" w:hAnsi="Arial Narrow" w:cs="Calibri"/>
                <w:sz w:val="20"/>
                <w:szCs w:val="20"/>
              </w:rPr>
            </w:pPr>
            <w:r w:rsidRPr="003A4C9D">
              <w:rPr>
                <w:rFonts w:ascii="Arial Narrow" w:eastAsia="Calibri" w:hAnsi="Arial Narrow" w:cs="Calibri"/>
                <w:sz w:val="20"/>
                <w:szCs w:val="20"/>
              </w:rPr>
              <w:t>Deçan</w:t>
            </w:r>
          </w:p>
        </w:tc>
        <w:tc>
          <w:tcPr>
            <w:tcW w:w="3150" w:type="dxa"/>
            <w:noWrap/>
            <w:hideMark/>
          </w:tcPr>
          <w:p w14:paraId="64803C20" w14:textId="3874F93E" w:rsidR="00ED4E28" w:rsidRPr="003A4C9D" w:rsidRDefault="00ED4E28" w:rsidP="00ED4E28">
            <w:pPr>
              <w:jc w:val="center"/>
              <w:rPr>
                <w:rFonts w:ascii="Arial Narrow" w:eastAsia="Calibri" w:hAnsi="Arial Narrow" w:cs="Calibri"/>
                <w:sz w:val="20"/>
                <w:szCs w:val="20"/>
              </w:rPr>
            </w:pPr>
            <w:r w:rsidRPr="003A4C9D">
              <w:rPr>
                <w:rFonts w:ascii="Arial Narrow" w:eastAsia="Calibri" w:hAnsi="Arial Narrow" w:cs="Calibri"/>
                <w:sz w:val="20"/>
                <w:szCs w:val="20"/>
              </w:rPr>
              <w:t>5,</w:t>
            </w:r>
            <w:r>
              <w:rPr>
                <w:rFonts w:ascii="Arial Narrow" w:eastAsia="Calibri" w:hAnsi="Arial Narrow" w:cs="Calibri"/>
                <w:sz w:val="20"/>
                <w:szCs w:val="20"/>
              </w:rPr>
              <w:t>790</w:t>
            </w:r>
          </w:p>
        </w:tc>
        <w:tc>
          <w:tcPr>
            <w:tcW w:w="3150" w:type="dxa"/>
          </w:tcPr>
          <w:p w14:paraId="785D7BC0" w14:textId="7A8A86A1" w:rsidR="00ED4E28" w:rsidRPr="003A4C9D" w:rsidRDefault="00ED4E28" w:rsidP="00ED4E28">
            <w:pPr>
              <w:jc w:val="center"/>
              <w:rPr>
                <w:rFonts w:ascii="Arial Narrow" w:eastAsia="Calibri" w:hAnsi="Arial Narrow" w:cs="Calibri"/>
                <w:sz w:val="20"/>
                <w:szCs w:val="20"/>
              </w:rPr>
            </w:pPr>
            <w:r>
              <w:rPr>
                <w:rFonts w:ascii="Arial Narrow" w:eastAsia="Calibri" w:hAnsi="Arial Narrow" w:cs="Calibri"/>
                <w:sz w:val="20"/>
                <w:szCs w:val="20"/>
              </w:rPr>
              <w:t>4.8</w:t>
            </w:r>
          </w:p>
        </w:tc>
      </w:tr>
      <w:tr w:rsidR="00ED4E28" w:rsidRPr="003A4C9D" w14:paraId="3FE8FA5A" w14:textId="356174F4" w:rsidTr="00D75289">
        <w:trPr>
          <w:trHeight w:val="227"/>
          <w:jc w:val="center"/>
        </w:trPr>
        <w:tc>
          <w:tcPr>
            <w:tcW w:w="2605" w:type="dxa"/>
            <w:noWrap/>
            <w:hideMark/>
          </w:tcPr>
          <w:p w14:paraId="69BE3FDB" w14:textId="77777777" w:rsidR="00ED4E28" w:rsidRPr="003A4C9D" w:rsidRDefault="00ED4E28" w:rsidP="00ED4E28">
            <w:pPr>
              <w:rPr>
                <w:rFonts w:ascii="Arial Narrow" w:eastAsia="Calibri" w:hAnsi="Arial Narrow" w:cs="Calibri"/>
                <w:sz w:val="20"/>
                <w:szCs w:val="20"/>
              </w:rPr>
            </w:pPr>
            <w:r w:rsidRPr="003A4C9D">
              <w:rPr>
                <w:rFonts w:ascii="Arial Narrow" w:eastAsia="Calibri" w:hAnsi="Arial Narrow" w:cs="Calibri"/>
                <w:sz w:val="20"/>
                <w:szCs w:val="20"/>
              </w:rPr>
              <w:t>Istog</w:t>
            </w:r>
          </w:p>
        </w:tc>
        <w:tc>
          <w:tcPr>
            <w:tcW w:w="3150" w:type="dxa"/>
            <w:noWrap/>
            <w:hideMark/>
          </w:tcPr>
          <w:p w14:paraId="42A49B5C" w14:textId="6C80373A" w:rsidR="00ED4E28" w:rsidRPr="003A4C9D" w:rsidRDefault="00ED4E28" w:rsidP="00ED4E28">
            <w:pPr>
              <w:jc w:val="center"/>
              <w:rPr>
                <w:rFonts w:ascii="Arial Narrow" w:eastAsia="Calibri" w:hAnsi="Arial Narrow" w:cs="Calibri"/>
                <w:sz w:val="20"/>
                <w:szCs w:val="20"/>
              </w:rPr>
            </w:pPr>
            <w:r>
              <w:rPr>
                <w:rFonts w:ascii="Arial Narrow" w:eastAsia="Calibri" w:hAnsi="Arial Narrow" w:cs="Calibri"/>
                <w:sz w:val="20"/>
                <w:szCs w:val="20"/>
              </w:rPr>
              <w:t>7,374</w:t>
            </w:r>
          </w:p>
        </w:tc>
        <w:tc>
          <w:tcPr>
            <w:tcW w:w="3150" w:type="dxa"/>
          </w:tcPr>
          <w:p w14:paraId="76D08662" w14:textId="0DD38FBA" w:rsidR="00ED4E28" w:rsidRPr="003A4C9D" w:rsidRDefault="00ED4E28" w:rsidP="00ED4E28">
            <w:pPr>
              <w:jc w:val="center"/>
              <w:rPr>
                <w:rFonts w:ascii="Arial Narrow" w:eastAsia="Calibri" w:hAnsi="Arial Narrow" w:cs="Calibri"/>
                <w:sz w:val="20"/>
                <w:szCs w:val="20"/>
              </w:rPr>
            </w:pPr>
            <w:r>
              <w:rPr>
                <w:rFonts w:ascii="Arial Narrow" w:eastAsia="Calibri" w:hAnsi="Arial Narrow" w:cs="Calibri"/>
                <w:sz w:val="20"/>
                <w:szCs w:val="20"/>
              </w:rPr>
              <w:t>4.3</w:t>
            </w:r>
          </w:p>
        </w:tc>
      </w:tr>
      <w:tr w:rsidR="00ED4E28" w:rsidRPr="003A4C9D" w14:paraId="486924CF" w14:textId="38C06453" w:rsidTr="00D75289">
        <w:trPr>
          <w:trHeight w:val="227"/>
          <w:jc w:val="center"/>
        </w:trPr>
        <w:tc>
          <w:tcPr>
            <w:tcW w:w="2605" w:type="dxa"/>
            <w:noWrap/>
            <w:hideMark/>
          </w:tcPr>
          <w:p w14:paraId="67D9380B" w14:textId="77777777" w:rsidR="00ED4E28" w:rsidRPr="003A4C9D" w:rsidRDefault="00ED4E28" w:rsidP="00ED4E28">
            <w:pPr>
              <w:rPr>
                <w:rFonts w:ascii="Arial Narrow" w:eastAsia="Calibri" w:hAnsi="Arial Narrow" w:cs="Calibri"/>
                <w:sz w:val="20"/>
                <w:szCs w:val="20"/>
              </w:rPr>
            </w:pPr>
            <w:r w:rsidRPr="003A4C9D">
              <w:rPr>
                <w:rFonts w:ascii="Arial Narrow" w:eastAsia="Calibri" w:hAnsi="Arial Narrow" w:cs="Calibri"/>
                <w:sz w:val="20"/>
                <w:szCs w:val="20"/>
              </w:rPr>
              <w:t>Junik</w:t>
            </w:r>
          </w:p>
        </w:tc>
        <w:tc>
          <w:tcPr>
            <w:tcW w:w="3150" w:type="dxa"/>
            <w:noWrap/>
            <w:hideMark/>
          </w:tcPr>
          <w:p w14:paraId="1347E6AD" w14:textId="3EAAA53C" w:rsidR="00ED4E28" w:rsidRPr="003A4C9D" w:rsidRDefault="00ED4E28" w:rsidP="00ED4E28">
            <w:pPr>
              <w:jc w:val="center"/>
              <w:rPr>
                <w:rFonts w:ascii="Arial Narrow" w:eastAsia="Calibri" w:hAnsi="Arial Narrow" w:cs="Calibri"/>
                <w:sz w:val="20"/>
                <w:szCs w:val="20"/>
              </w:rPr>
            </w:pPr>
            <w:r>
              <w:rPr>
                <w:rFonts w:ascii="Arial Narrow" w:eastAsia="Calibri" w:hAnsi="Arial Narrow" w:cs="Calibri"/>
                <w:sz w:val="20"/>
                <w:szCs w:val="20"/>
              </w:rPr>
              <w:t>860</w:t>
            </w:r>
          </w:p>
        </w:tc>
        <w:tc>
          <w:tcPr>
            <w:tcW w:w="3150" w:type="dxa"/>
          </w:tcPr>
          <w:p w14:paraId="47D58E68" w14:textId="3391BF7F" w:rsidR="00ED4E28" w:rsidRPr="003A4C9D" w:rsidRDefault="00ED4E28" w:rsidP="00ED4E28">
            <w:pPr>
              <w:jc w:val="center"/>
              <w:rPr>
                <w:rFonts w:ascii="Arial Narrow" w:eastAsia="Calibri" w:hAnsi="Arial Narrow" w:cs="Calibri"/>
                <w:sz w:val="20"/>
                <w:szCs w:val="20"/>
              </w:rPr>
            </w:pPr>
            <w:r>
              <w:rPr>
                <w:rFonts w:ascii="Arial Narrow" w:eastAsia="Calibri" w:hAnsi="Arial Narrow" w:cs="Calibri"/>
                <w:sz w:val="20"/>
                <w:szCs w:val="20"/>
              </w:rPr>
              <w:t>4.6</w:t>
            </w:r>
          </w:p>
        </w:tc>
      </w:tr>
      <w:tr w:rsidR="00ED4E28" w:rsidRPr="003A4C9D" w14:paraId="5BF93178" w14:textId="66C505D8" w:rsidTr="00D75289">
        <w:trPr>
          <w:trHeight w:val="227"/>
          <w:jc w:val="center"/>
        </w:trPr>
        <w:tc>
          <w:tcPr>
            <w:tcW w:w="2605" w:type="dxa"/>
            <w:noWrap/>
            <w:hideMark/>
          </w:tcPr>
          <w:p w14:paraId="04B5E841" w14:textId="77777777" w:rsidR="00ED4E28" w:rsidRPr="003A4C9D" w:rsidRDefault="00ED4E28" w:rsidP="00ED4E28">
            <w:pPr>
              <w:rPr>
                <w:rFonts w:ascii="Arial Narrow" w:eastAsia="Calibri" w:hAnsi="Arial Narrow" w:cs="Calibri"/>
                <w:sz w:val="20"/>
                <w:szCs w:val="20"/>
              </w:rPr>
            </w:pPr>
            <w:r w:rsidRPr="003A4C9D">
              <w:rPr>
                <w:rFonts w:ascii="Arial Narrow" w:eastAsia="Calibri" w:hAnsi="Arial Narrow" w:cs="Calibri"/>
                <w:sz w:val="20"/>
                <w:szCs w:val="20"/>
              </w:rPr>
              <w:t>Klinë</w:t>
            </w:r>
          </w:p>
        </w:tc>
        <w:tc>
          <w:tcPr>
            <w:tcW w:w="3150" w:type="dxa"/>
            <w:noWrap/>
            <w:hideMark/>
          </w:tcPr>
          <w:p w14:paraId="519BAAED" w14:textId="4779F531" w:rsidR="00ED4E28" w:rsidRPr="003A4C9D" w:rsidRDefault="00ED4E28" w:rsidP="00ED4E28">
            <w:pPr>
              <w:jc w:val="center"/>
              <w:rPr>
                <w:rFonts w:ascii="Arial Narrow" w:eastAsia="Calibri" w:hAnsi="Arial Narrow" w:cs="Calibri"/>
                <w:sz w:val="20"/>
                <w:szCs w:val="20"/>
              </w:rPr>
            </w:pPr>
            <w:r>
              <w:rPr>
                <w:rFonts w:ascii="Arial Narrow" w:eastAsia="Calibri" w:hAnsi="Arial Narrow" w:cs="Calibri"/>
                <w:sz w:val="20"/>
                <w:szCs w:val="20"/>
              </w:rPr>
              <w:t>6,541</w:t>
            </w:r>
          </w:p>
        </w:tc>
        <w:tc>
          <w:tcPr>
            <w:tcW w:w="3150" w:type="dxa"/>
          </w:tcPr>
          <w:p w14:paraId="2F7E160C" w14:textId="2CC0461F" w:rsidR="00ED4E28" w:rsidRPr="003A4C9D" w:rsidRDefault="00ED4E28" w:rsidP="00ED4E28">
            <w:pPr>
              <w:jc w:val="center"/>
              <w:rPr>
                <w:rFonts w:ascii="Arial Narrow" w:eastAsia="Calibri" w:hAnsi="Arial Narrow" w:cs="Calibri"/>
                <w:sz w:val="20"/>
                <w:szCs w:val="20"/>
              </w:rPr>
            </w:pPr>
            <w:r>
              <w:rPr>
                <w:rFonts w:ascii="Arial Narrow" w:eastAsia="Calibri" w:hAnsi="Arial Narrow" w:cs="Calibri"/>
                <w:sz w:val="20"/>
                <w:szCs w:val="20"/>
              </w:rPr>
              <w:t>4.7</w:t>
            </w:r>
          </w:p>
        </w:tc>
      </w:tr>
      <w:tr w:rsidR="00ED4E28" w:rsidRPr="003A4C9D" w14:paraId="598FAABC" w14:textId="13209764" w:rsidTr="00D75289">
        <w:trPr>
          <w:trHeight w:val="227"/>
          <w:jc w:val="center"/>
        </w:trPr>
        <w:tc>
          <w:tcPr>
            <w:tcW w:w="2605" w:type="dxa"/>
            <w:noWrap/>
            <w:hideMark/>
          </w:tcPr>
          <w:p w14:paraId="01EBAD9A" w14:textId="77777777" w:rsidR="00ED4E28" w:rsidRPr="003A4C9D" w:rsidRDefault="00ED4E28" w:rsidP="00ED4E28">
            <w:pPr>
              <w:rPr>
                <w:rFonts w:ascii="Arial Narrow" w:eastAsia="Calibri" w:hAnsi="Arial Narrow" w:cs="Calibri"/>
                <w:sz w:val="20"/>
                <w:szCs w:val="20"/>
              </w:rPr>
            </w:pPr>
            <w:r w:rsidRPr="003A4C9D">
              <w:rPr>
                <w:rFonts w:ascii="Arial Narrow" w:eastAsia="Calibri" w:hAnsi="Arial Narrow" w:cs="Calibri"/>
                <w:sz w:val="20"/>
                <w:szCs w:val="20"/>
              </w:rPr>
              <w:t>Pejë</w:t>
            </w:r>
          </w:p>
        </w:tc>
        <w:tc>
          <w:tcPr>
            <w:tcW w:w="3150" w:type="dxa"/>
            <w:noWrap/>
            <w:hideMark/>
          </w:tcPr>
          <w:p w14:paraId="496F9ABA" w14:textId="59FEEF36" w:rsidR="00ED4E28" w:rsidRPr="003A4C9D" w:rsidRDefault="00ED4E28" w:rsidP="00ED4E28">
            <w:pPr>
              <w:jc w:val="center"/>
              <w:rPr>
                <w:rFonts w:ascii="Arial Narrow" w:eastAsia="Calibri" w:hAnsi="Arial Narrow" w:cs="Calibri"/>
                <w:sz w:val="20"/>
                <w:szCs w:val="20"/>
              </w:rPr>
            </w:pPr>
            <w:r>
              <w:rPr>
                <w:rFonts w:ascii="Arial Narrow" w:eastAsia="Calibri" w:hAnsi="Arial Narrow" w:cs="Calibri"/>
                <w:sz w:val="20"/>
                <w:szCs w:val="20"/>
              </w:rPr>
              <w:t>19,112</w:t>
            </w:r>
          </w:p>
        </w:tc>
        <w:tc>
          <w:tcPr>
            <w:tcW w:w="3150" w:type="dxa"/>
          </w:tcPr>
          <w:p w14:paraId="645C8050" w14:textId="242BCD86" w:rsidR="00ED4E28" w:rsidRPr="003A4C9D" w:rsidRDefault="00ED4E28" w:rsidP="00ED4E28">
            <w:pPr>
              <w:jc w:val="center"/>
              <w:rPr>
                <w:rFonts w:ascii="Arial Narrow" w:eastAsia="Calibri" w:hAnsi="Arial Narrow" w:cs="Calibri"/>
                <w:sz w:val="20"/>
                <w:szCs w:val="20"/>
              </w:rPr>
            </w:pPr>
            <w:r>
              <w:rPr>
                <w:rFonts w:ascii="Arial Narrow" w:eastAsia="Calibri" w:hAnsi="Arial Narrow" w:cs="Calibri"/>
                <w:sz w:val="20"/>
                <w:szCs w:val="20"/>
              </w:rPr>
              <w:t>4.3</w:t>
            </w:r>
          </w:p>
        </w:tc>
      </w:tr>
      <w:tr w:rsidR="00ED4E28" w:rsidRPr="003A4C9D" w14:paraId="2832C756" w14:textId="4BB3649D" w:rsidTr="00D75289">
        <w:trPr>
          <w:trHeight w:val="227"/>
          <w:jc w:val="center"/>
        </w:trPr>
        <w:tc>
          <w:tcPr>
            <w:tcW w:w="2605" w:type="dxa"/>
            <w:noWrap/>
            <w:hideMark/>
          </w:tcPr>
          <w:p w14:paraId="7795E4FB" w14:textId="77777777" w:rsidR="00ED4E28" w:rsidRPr="003A4C9D" w:rsidRDefault="00ED4E28" w:rsidP="00ED4E28">
            <w:pPr>
              <w:rPr>
                <w:rFonts w:ascii="Arial Narrow" w:eastAsia="Calibri" w:hAnsi="Arial Narrow" w:cs="Calibri"/>
                <w:b/>
                <w:bCs/>
                <w:sz w:val="20"/>
                <w:szCs w:val="20"/>
              </w:rPr>
            </w:pPr>
            <w:r w:rsidRPr="003A4C9D">
              <w:rPr>
                <w:rFonts w:ascii="Arial Narrow" w:eastAsia="Calibri" w:hAnsi="Arial Narrow" w:cs="Calibri"/>
                <w:b/>
                <w:bCs/>
                <w:sz w:val="20"/>
                <w:szCs w:val="20"/>
              </w:rPr>
              <w:t>Totali</w:t>
            </w:r>
          </w:p>
        </w:tc>
        <w:tc>
          <w:tcPr>
            <w:tcW w:w="3150" w:type="dxa"/>
            <w:noWrap/>
            <w:hideMark/>
          </w:tcPr>
          <w:p w14:paraId="4C7E6699" w14:textId="07CF3A83" w:rsidR="00ED4E28" w:rsidRPr="003A4C9D" w:rsidRDefault="00ED4E28" w:rsidP="00ED4E28">
            <w:pPr>
              <w:jc w:val="center"/>
              <w:rPr>
                <w:rFonts w:ascii="Arial Narrow" w:eastAsia="Calibri" w:hAnsi="Arial Narrow" w:cs="Calibri"/>
                <w:b/>
                <w:bCs/>
                <w:sz w:val="20"/>
                <w:szCs w:val="20"/>
              </w:rPr>
            </w:pPr>
            <w:r w:rsidRPr="003A4C9D">
              <w:rPr>
                <w:rFonts w:ascii="Arial Narrow" w:eastAsia="Calibri" w:hAnsi="Arial Narrow" w:cs="Calibri"/>
                <w:b/>
                <w:bCs/>
                <w:sz w:val="20"/>
                <w:szCs w:val="20"/>
              </w:rPr>
              <w:t>3</w:t>
            </w:r>
            <w:r>
              <w:rPr>
                <w:rFonts w:ascii="Arial Narrow" w:eastAsia="Calibri" w:hAnsi="Arial Narrow" w:cs="Calibri"/>
                <w:b/>
                <w:bCs/>
                <w:sz w:val="20"/>
                <w:szCs w:val="20"/>
              </w:rPr>
              <w:t>9,677</w:t>
            </w:r>
          </w:p>
        </w:tc>
        <w:tc>
          <w:tcPr>
            <w:tcW w:w="3150" w:type="dxa"/>
          </w:tcPr>
          <w:p w14:paraId="3C27B5EC" w14:textId="3404626C" w:rsidR="00ED4E28" w:rsidRPr="003A4C9D" w:rsidRDefault="00ED4E28" w:rsidP="00ED4E28">
            <w:pPr>
              <w:jc w:val="center"/>
              <w:rPr>
                <w:rFonts w:ascii="Arial Narrow" w:eastAsia="Calibri" w:hAnsi="Arial Narrow" w:cs="Calibri"/>
                <w:b/>
                <w:bCs/>
                <w:sz w:val="20"/>
                <w:szCs w:val="20"/>
              </w:rPr>
            </w:pPr>
            <w:r>
              <w:rPr>
                <w:rFonts w:ascii="Arial Narrow" w:eastAsia="Calibri" w:hAnsi="Arial Narrow" w:cs="Calibri"/>
                <w:b/>
                <w:bCs/>
                <w:sz w:val="20"/>
                <w:szCs w:val="20"/>
              </w:rPr>
              <w:t>4.5</w:t>
            </w:r>
          </w:p>
        </w:tc>
      </w:tr>
    </w:tbl>
    <w:p w14:paraId="143C3304" w14:textId="77777777" w:rsidR="00674714" w:rsidRDefault="00674714" w:rsidP="007A7675">
      <w:pPr>
        <w:rPr>
          <w:rFonts w:eastAsia="Calibri" w:cs="Calibri"/>
          <w:sz w:val="22"/>
          <w:szCs w:val="22"/>
        </w:rPr>
      </w:pPr>
    </w:p>
    <w:p w14:paraId="08FDAA1F" w14:textId="302F804B" w:rsidR="00674714" w:rsidRPr="00AF0235" w:rsidRDefault="00674714" w:rsidP="003A4C9D">
      <w:pPr>
        <w:pStyle w:val="Paragraph"/>
        <w:rPr>
          <w:rFonts w:eastAsia="Calibri"/>
        </w:rPr>
      </w:pPr>
      <w:r>
        <w:rPr>
          <w:rFonts w:eastAsia="Calibri"/>
        </w:rPr>
        <w:t xml:space="preserve">Sipas këtyre të dhënave, madhësia mesatare e një familjeje ishte </w:t>
      </w:r>
      <w:r w:rsidR="00ED4E28">
        <w:rPr>
          <w:rFonts w:eastAsia="Calibri"/>
        </w:rPr>
        <w:t>4.5</w:t>
      </w:r>
      <w:r>
        <w:rPr>
          <w:rFonts w:eastAsia="Calibri"/>
        </w:rPr>
        <w:t xml:space="preserve"> persona për familje.</w:t>
      </w:r>
    </w:p>
    <w:p w14:paraId="564280A8" w14:textId="0C56AF98" w:rsidR="00032CD8" w:rsidRPr="00AF0235" w:rsidRDefault="00032CD8" w:rsidP="002254E8">
      <w:pPr>
        <w:pStyle w:val="Heading2"/>
      </w:pPr>
      <w:bookmarkStart w:id="130" w:name="_Toc153872110"/>
      <w:bookmarkStart w:id="131" w:name="_Toc170470814"/>
      <w:bookmarkStart w:id="132" w:name="_Ref175063046"/>
      <w:bookmarkStart w:id="133" w:name="_Toc197471964"/>
      <w:r w:rsidRPr="00AF0235">
        <w:t>Përshkrimi socio-ekonomik</w:t>
      </w:r>
      <w:bookmarkEnd w:id="130"/>
      <w:bookmarkEnd w:id="131"/>
      <w:bookmarkEnd w:id="132"/>
      <w:bookmarkEnd w:id="133"/>
    </w:p>
    <w:p w14:paraId="504E84C6" w14:textId="577B86D5" w:rsidR="00032CD8" w:rsidRPr="00C21444" w:rsidRDefault="00032CD8" w:rsidP="002254E8">
      <w:pPr>
        <w:pStyle w:val="Heading3"/>
      </w:pPr>
      <w:bookmarkStart w:id="134" w:name="_Toc140050132"/>
      <w:bookmarkStart w:id="135" w:name="_Toc153872111"/>
      <w:bookmarkStart w:id="136" w:name="_Toc170470815"/>
      <w:bookmarkStart w:id="137" w:name="_Toc197471965"/>
      <w:r w:rsidRPr="00C21444">
        <w:t xml:space="preserve">Të dhëna </w:t>
      </w:r>
      <w:r w:rsidR="00E26040">
        <w:t>për</w:t>
      </w:r>
      <w:r w:rsidRPr="00C21444">
        <w:t xml:space="preserve"> të ardhurat dhe shpenzimet për frymë/familje</w:t>
      </w:r>
      <w:bookmarkEnd w:id="134"/>
      <w:bookmarkEnd w:id="135"/>
      <w:bookmarkEnd w:id="136"/>
      <w:bookmarkEnd w:id="137"/>
    </w:p>
    <w:p w14:paraId="4DFEFF00" w14:textId="35BFAF13" w:rsidR="00D4135E" w:rsidRPr="009E6D46" w:rsidRDefault="00E26040" w:rsidP="003A4C9D">
      <w:pPr>
        <w:pStyle w:val="High"/>
      </w:pPr>
      <w:r>
        <w:t>Bruto-p</w:t>
      </w:r>
      <w:r w:rsidR="00D4135E" w:rsidRPr="009E6D46">
        <w:t xml:space="preserve">rodukti i </w:t>
      </w:r>
      <w:r>
        <w:t>vendor për kokë banori</w:t>
      </w:r>
    </w:p>
    <w:p w14:paraId="170B7B57" w14:textId="4394CA55" w:rsidR="00D4135E" w:rsidRDefault="00D4135E" w:rsidP="003A4C9D">
      <w:pPr>
        <w:pStyle w:val="Paragraph"/>
        <w:rPr>
          <w:rFonts w:eastAsia="Calibri"/>
        </w:rPr>
      </w:pPr>
      <w:r>
        <w:rPr>
          <w:rFonts w:eastAsia="Calibri"/>
        </w:rPr>
        <w:lastRenderedPageBreak/>
        <w:t>ASK publikoi në dhjetor 2023 të dhënat statistikore rajonale për periudhën 2018/2021</w:t>
      </w:r>
      <w:r>
        <w:rPr>
          <w:rStyle w:val="FootnoteReference"/>
          <w:rFonts w:eastAsia="Calibri" w:cs="Calibri"/>
        </w:rPr>
        <w:footnoteReference w:id="10"/>
      </w:r>
      <w:r>
        <w:rPr>
          <w:rFonts w:eastAsia="Calibri"/>
        </w:rPr>
        <w:t xml:space="preserve">. Figura më poshtë përmbledh </w:t>
      </w:r>
      <w:r w:rsidR="00116EB1">
        <w:rPr>
          <w:rFonts w:eastAsia="Calibri"/>
        </w:rPr>
        <w:t>BPV</w:t>
      </w:r>
      <w:r>
        <w:rPr>
          <w:rFonts w:eastAsia="Calibri"/>
        </w:rPr>
        <w:t>-në për frymë sipas rajoneve dhe mesatares kombëtare për vitet 2020-2021:</w:t>
      </w:r>
    </w:p>
    <w:p w14:paraId="2E878363" w14:textId="77777777" w:rsidR="00D4135E" w:rsidRDefault="00D4135E" w:rsidP="00D4135E">
      <w:pPr>
        <w:rPr>
          <w:rFonts w:eastAsia="Calibri" w:cs="Calibri"/>
          <w:sz w:val="22"/>
          <w:szCs w:val="22"/>
        </w:rPr>
      </w:pPr>
    </w:p>
    <w:p w14:paraId="1FC82B15" w14:textId="69C79939" w:rsidR="00D4135E" w:rsidRDefault="00DC7216" w:rsidP="00FB58BD">
      <w:pPr>
        <w:jc w:val="center"/>
        <w:rPr>
          <w:rFonts w:eastAsia="Calibri" w:cs="Calibri"/>
          <w:sz w:val="22"/>
          <w:szCs w:val="22"/>
          <w:highlight w:val="green"/>
        </w:rPr>
      </w:pPr>
      <w:r>
        <w:rPr>
          <w:noProof/>
        </w:rPr>
        <w:drawing>
          <wp:inline distT="0" distB="0" distL="0" distR="0" wp14:anchorId="294E0948" wp14:editId="31C6E660">
            <wp:extent cx="5383530" cy="3446145"/>
            <wp:effectExtent l="0" t="0" r="7620" b="1905"/>
            <wp:docPr id="1152031715" name="Chart 1">
              <a:extLst xmlns:a="http://schemas.openxmlformats.org/drawingml/2006/main">
                <a:ext uri="{FF2B5EF4-FFF2-40B4-BE49-F238E27FC236}">
                  <a16:creationId xmlns:a16="http://schemas.microsoft.com/office/drawing/2014/main" id="{420D9595-2E11-4CCF-38D1-7D13675745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E472F13" w14:textId="20702BA0" w:rsidR="00D4135E" w:rsidRPr="006347D6" w:rsidRDefault="00D4135E" w:rsidP="003A5224">
      <w:pPr>
        <w:pStyle w:val="Figure"/>
        <w:rPr>
          <w:rFonts w:eastAsia="Calibri" w:cs="Calibri"/>
          <w:sz w:val="20"/>
          <w:szCs w:val="20"/>
        </w:rPr>
      </w:pPr>
      <w:bookmarkStart w:id="138" w:name="_Toc197472312"/>
      <w:r w:rsidRPr="006347D6">
        <w:rPr>
          <w:rFonts w:eastAsia="Calibri" w:cs="Calibri"/>
          <w:sz w:val="20"/>
          <w:szCs w:val="20"/>
        </w:rPr>
        <w:t xml:space="preserve">Figura </w:t>
      </w:r>
      <w:r w:rsidRPr="006347D6">
        <w:rPr>
          <w:rFonts w:eastAsia="Calibri" w:cs="Calibri"/>
          <w:sz w:val="20"/>
          <w:szCs w:val="20"/>
        </w:rPr>
        <w:fldChar w:fldCharType="begin"/>
      </w:r>
      <w:r w:rsidRPr="006347D6">
        <w:rPr>
          <w:rFonts w:eastAsia="Calibri" w:cs="Calibri"/>
          <w:sz w:val="20"/>
          <w:szCs w:val="20"/>
        </w:rPr>
        <w:instrText xml:space="preserve"> SEQ Figure \* ARABIC </w:instrText>
      </w:r>
      <w:r w:rsidRPr="006347D6">
        <w:rPr>
          <w:rFonts w:eastAsia="Calibri" w:cs="Calibri"/>
          <w:sz w:val="20"/>
          <w:szCs w:val="20"/>
        </w:rPr>
        <w:fldChar w:fldCharType="separate"/>
      </w:r>
      <w:r w:rsidR="00C97DF3">
        <w:rPr>
          <w:rFonts w:eastAsia="Calibri" w:cs="Calibri"/>
          <w:noProof/>
          <w:sz w:val="20"/>
          <w:szCs w:val="20"/>
        </w:rPr>
        <w:t xml:space="preserve">10. </w:t>
      </w:r>
      <w:r w:rsidRPr="006347D6">
        <w:rPr>
          <w:rFonts w:eastAsia="Calibri" w:cs="Calibri"/>
          <w:sz w:val="20"/>
          <w:szCs w:val="20"/>
        </w:rPr>
        <w:fldChar w:fldCharType="end"/>
      </w:r>
      <w:r w:rsidR="00116EB1">
        <w:rPr>
          <w:rFonts w:eastAsia="Calibri" w:cs="Calibri"/>
          <w:sz w:val="20"/>
          <w:szCs w:val="20"/>
        </w:rPr>
        <w:t>BPV</w:t>
      </w:r>
      <w:r w:rsidRPr="006347D6">
        <w:rPr>
          <w:rFonts w:eastAsia="Calibri" w:cs="Calibri"/>
          <w:sz w:val="20"/>
          <w:szCs w:val="20"/>
        </w:rPr>
        <w:t xml:space="preserve"> për </w:t>
      </w:r>
      <w:r w:rsidR="00116EB1">
        <w:rPr>
          <w:rFonts w:eastAsia="Calibri" w:cs="Calibri"/>
          <w:sz w:val="20"/>
          <w:szCs w:val="20"/>
        </w:rPr>
        <w:t>kokë banori</w:t>
      </w:r>
      <w:r w:rsidRPr="006347D6">
        <w:rPr>
          <w:rFonts w:eastAsia="Calibri" w:cs="Calibri"/>
          <w:sz w:val="20"/>
          <w:szCs w:val="20"/>
        </w:rPr>
        <w:t xml:space="preserve"> sipas rajoneve dhe nivelit </w:t>
      </w:r>
      <w:r w:rsidR="00116EB1">
        <w:rPr>
          <w:rFonts w:eastAsia="Calibri" w:cs="Calibri"/>
          <w:sz w:val="20"/>
          <w:szCs w:val="20"/>
        </w:rPr>
        <w:t>nacional</w:t>
      </w:r>
      <w:r w:rsidRPr="006347D6">
        <w:rPr>
          <w:rFonts w:eastAsia="Calibri" w:cs="Calibri"/>
          <w:sz w:val="20"/>
          <w:szCs w:val="20"/>
        </w:rPr>
        <w:t>, €, 2020 dhe 2021</w:t>
      </w:r>
      <w:bookmarkEnd w:id="138"/>
    </w:p>
    <w:p w14:paraId="0060152D" w14:textId="77777777" w:rsidR="00116EB1" w:rsidRPr="008D2D8C" w:rsidRDefault="00116EB1" w:rsidP="00116EB1">
      <w:pPr>
        <w:pStyle w:val="Paragraph"/>
        <w:rPr>
          <w:rFonts w:eastAsia="Calibri"/>
          <w:lang w:val="sq-AL"/>
        </w:rPr>
      </w:pPr>
      <w:r>
        <w:rPr>
          <w:rFonts w:eastAsia="Calibri"/>
          <w:lang w:val="sq-AL"/>
        </w:rPr>
        <w:t xml:space="preserve">BPV për kokë banori </w:t>
      </w:r>
      <w:r w:rsidRPr="00680683">
        <w:rPr>
          <w:rFonts w:eastAsia="Calibri"/>
          <w:lang w:val="sq-AL"/>
        </w:rPr>
        <w:t xml:space="preserve">të rajonit të Pejës përfaqëson 68% të </w:t>
      </w:r>
      <w:r>
        <w:rPr>
          <w:rFonts w:eastAsia="Calibri"/>
          <w:lang w:val="sq-AL"/>
        </w:rPr>
        <w:t>BPV</w:t>
      </w:r>
      <w:r w:rsidRPr="00680683">
        <w:rPr>
          <w:rFonts w:eastAsia="Calibri"/>
          <w:lang w:val="sq-AL"/>
        </w:rPr>
        <w:t xml:space="preserve">-së </w:t>
      </w:r>
      <w:r>
        <w:rPr>
          <w:rFonts w:eastAsia="Calibri"/>
          <w:lang w:val="sq-AL"/>
        </w:rPr>
        <w:t>nacional</w:t>
      </w:r>
      <w:r w:rsidRPr="00680683">
        <w:rPr>
          <w:rFonts w:eastAsia="Calibri"/>
          <w:lang w:val="sq-AL"/>
        </w:rPr>
        <w:t xml:space="preserve"> (mesatar</w:t>
      </w:r>
      <w:r>
        <w:rPr>
          <w:rFonts w:eastAsia="Calibri"/>
          <w:lang w:val="sq-AL"/>
        </w:rPr>
        <w:t>ja</w:t>
      </w:r>
      <w:r w:rsidRPr="00680683">
        <w:rPr>
          <w:rFonts w:eastAsia="Calibri"/>
          <w:lang w:val="sq-AL"/>
        </w:rPr>
        <w:t xml:space="preserve">) për frymë në vitin 2021. </w:t>
      </w:r>
      <w:r>
        <w:rPr>
          <w:rFonts w:eastAsia="Calibri"/>
          <w:lang w:val="sq-AL"/>
        </w:rPr>
        <w:t>BPV</w:t>
      </w:r>
      <w:r w:rsidRPr="00680683">
        <w:rPr>
          <w:rFonts w:eastAsia="Calibri"/>
          <w:lang w:val="sq-AL"/>
        </w:rPr>
        <w:t xml:space="preserve">-ja </w:t>
      </w:r>
      <w:r>
        <w:rPr>
          <w:rFonts w:eastAsia="Calibri"/>
          <w:lang w:val="sq-AL"/>
        </w:rPr>
        <w:t>nacionale</w:t>
      </w:r>
      <w:r w:rsidRPr="00680683">
        <w:rPr>
          <w:rFonts w:eastAsia="Calibri"/>
          <w:lang w:val="sq-AL"/>
        </w:rPr>
        <w:t xml:space="preserve"> për </w:t>
      </w:r>
      <w:r>
        <w:rPr>
          <w:rFonts w:eastAsia="Calibri"/>
          <w:lang w:val="sq-AL"/>
        </w:rPr>
        <w:t>kokë banori</w:t>
      </w:r>
      <w:r w:rsidRPr="00680683">
        <w:rPr>
          <w:rFonts w:eastAsia="Calibri"/>
          <w:lang w:val="sq-AL"/>
        </w:rPr>
        <w:t xml:space="preserve"> u rrit me 19% në vitin 2021, në terma nominalë, me rritje prej 26% në Prishtinë dhe 9% në rajonin e Pejës. Sipas të dhënave në publikim, </w:t>
      </w:r>
      <w:r>
        <w:rPr>
          <w:rFonts w:eastAsia="Calibri"/>
          <w:lang w:val="sq-AL"/>
        </w:rPr>
        <w:t>BPV</w:t>
      </w:r>
      <w:r w:rsidRPr="00680683">
        <w:rPr>
          <w:rFonts w:eastAsia="Calibri"/>
          <w:lang w:val="sq-AL"/>
        </w:rPr>
        <w:t xml:space="preserve"> për </w:t>
      </w:r>
      <w:r>
        <w:rPr>
          <w:rFonts w:eastAsia="Calibri"/>
          <w:lang w:val="sq-AL"/>
        </w:rPr>
        <w:t>kokë banori</w:t>
      </w:r>
      <w:r w:rsidRPr="00680683">
        <w:rPr>
          <w:rFonts w:eastAsia="Calibri"/>
          <w:lang w:val="sq-AL"/>
        </w:rPr>
        <w:t xml:space="preserve"> në rajonin e Pejës është rritur me normë mesatare vjetore prej 4.4% në periudhën 2018-2021, përkundër rënies prej 5% në vitin 2020, për shkak të krizës së COVID.</w:t>
      </w:r>
    </w:p>
    <w:p w14:paraId="011903C4" w14:textId="77777777" w:rsidR="00116EB1" w:rsidRPr="008D2D8C" w:rsidRDefault="00116EB1" w:rsidP="00116EB1">
      <w:pPr>
        <w:pStyle w:val="Paragraph"/>
        <w:rPr>
          <w:rFonts w:eastAsia="Calibri"/>
          <w:lang w:val="sq-AL"/>
        </w:rPr>
      </w:pPr>
      <w:r w:rsidRPr="00680683">
        <w:rPr>
          <w:rFonts w:eastAsia="Calibri"/>
          <w:lang w:val="sq-AL"/>
        </w:rPr>
        <w:t xml:space="preserve">Vlera </w:t>
      </w:r>
      <w:r>
        <w:rPr>
          <w:rFonts w:eastAsia="Calibri"/>
          <w:lang w:val="sq-AL"/>
        </w:rPr>
        <w:t xml:space="preserve">rajonale </w:t>
      </w:r>
      <w:r w:rsidRPr="00680683">
        <w:rPr>
          <w:rFonts w:eastAsia="Calibri"/>
          <w:lang w:val="sq-AL"/>
        </w:rPr>
        <w:t>e shtuar bruto për rajonin e Pejës arrin në 540 milionë euro në vitin 2021 dhe struktura e tij sipas aktiviteteve ekonomike është paraqitur në grafikun e mëposhtëm:</w:t>
      </w:r>
    </w:p>
    <w:p w14:paraId="0CF19938" w14:textId="43D37A5C" w:rsidR="00D4135E" w:rsidRDefault="00FA0BBD" w:rsidP="00D4135E">
      <w:pPr>
        <w:jc w:val="center"/>
        <w:rPr>
          <w:rFonts w:eastAsia="Calibri" w:cs="Calibri"/>
          <w:sz w:val="22"/>
          <w:szCs w:val="22"/>
        </w:rPr>
      </w:pPr>
      <w:r w:rsidRPr="008D2D8C">
        <w:rPr>
          <w:noProof/>
          <w:lang w:val="sq-AL"/>
        </w:rPr>
        <w:lastRenderedPageBreak/>
        <w:drawing>
          <wp:inline distT="0" distB="0" distL="0" distR="0" wp14:anchorId="230A005A" wp14:editId="51BC49DF">
            <wp:extent cx="4851400" cy="2870200"/>
            <wp:effectExtent l="0" t="0" r="6350" b="6350"/>
            <wp:docPr id="1661328689" name="Chart 1">
              <a:extLst xmlns:a="http://schemas.openxmlformats.org/drawingml/2006/main">
                <a:ext uri="{FF2B5EF4-FFF2-40B4-BE49-F238E27FC236}">
                  <a16:creationId xmlns:a16="http://schemas.microsoft.com/office/drawing/2014/main" id="{2399D108-DEE3-C517-08F5-6F66631B41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016FAC8" w14:textId="184344F7" w:rsidR="00D4135E" w:rsidRPr="006347D6" w:rsidRDefault="00D4135E" w:rsidP="002F728C">
      <w:pPr>
        <w:pStyle w:val="Figure"/>
        <w:rPr>
          <w:rFonts w:eastAsia="Calibri" w:cs="Calibri"/>
          <w:sz w:val="20"/>
          <w:szCs w:val="20"/>
        </w:rPr>
      </w:pPr>
      <w:bookmarkStart w:id="139" w:name="_Toc197472313"/>
      <w:r w:rsidRPr="006347D6">
        <w:rPr>
          <w:rFonts w:eastAsia="Calibri" w:cs="Calibri"/>
          <w:sz w:val="20"/>
          <w:szCs w:val="20"/>
        </w:rPr>
        <w:t xml:space="preserve">Figura </w:t>
      </w:r>
      <w:r w:rsidRPr="006347D6">
        <w:rPr>
          <w:rFonts w:eastAsia="Calibri" w:cs="Calibri"/>
          <w:sz w:val="20"/>
          <w:szCs w:val="20"/>
        </w:rPr>
        <w:fldChar w:fldCharType="begin"/>
      </w:r>
      <w:r w:rsidRPr="006347D6">
        <w:rPr>
          <w:rFonts w:eastAsia="Calibri" w:cs="Calibri"/>
          <w:sz w:val="20"/>
          <w:szCs w:val="20"/>
        </w:rPr>
        <w:instrText xml:space="preserve"> SEQ Figure \* ARABIC </w:instrText>
      </w:r>
      <w:r w:rsidRPr="006347D6">
        <w:rPr>
          <w:rFonts w:eastAsia="Calibri" w:cs="Calibri"/>
          <w:sz w:val="20"/>
          <w:szCs w:val="20"/>
        </w:rPr>
        <w:fldChar w:fldCharType="separate"/>
      </w:r>
      <w:r w:rsidR="00C97DF3">
        <w:rPr>
          <w:rFonts w:eastAsia="Calibri" w:cs="Calibri"/>
          <w:noProof/>
          <w:sz w:val="20"/>
          <w:szCs w:val="20"/>
        </w:rPr>
        <w:t xml:space="preserve">11. </w:t>
      </w:r>
      <w:r w:rsidRPr="006347D6">
        <w:rPr>
          <w:rFonts w:eastAsia="Calibri" w:cs="Calibri"/>
          <w:sz w:val="20"/>
          <w:szCs w:val="20"/>
        </w:rPr>
        <w:fldChar w:fldCharType="end"/>
      </w:r>
      <w:r w:rsidRPr="006347D6">
        <w:rPr>
          <w:rFonts w:eastAsia="Calibri" w:cs="Calibri"/>
          <w:sz w:val="20"/>
          <w:szCs w:val="20"/>
        </w:rPr>
        <w:t xml:space="preserve">Struktura ekonomike e rajonit të Pejës, vlera bruto e shtuar sipas aktiviteteve kryesore ekonomike, 2021, burimi </w:t>
      </w:r>
      <w:r w:rsidR="00116EB1">
        <w:rPr>
          <w:rFonts w:eastAsia="Calibri" w:cs="Calibri"/>
          <w:sz w:val="20"/>
          <w:szCs w:val="20"/>
        </w:rPr>
        <w:t>ASK</w:t>
      </w:r>
      <w:bookmarkEnd w:id="139"/>
    </w:p>
    <w:p w14:paraId="613D7513" w14:textId="77777777" w:rsidR="00D4135E" w:rsidRDefault="00D4135E" w:rsidP="00D4135E">
      <w:pPr>
        <w:rPr>
          <w:rFonts w:eastAsia="Calibri" w:cs="Calibri"/>
          <w:sz w:val="22"/>
          <w:szCs w:val="22"/>
        </w:rPr>
      </w:pPr>
    </w:p>
    <w:p w14:paraId="4F5B418A" w14:textId="77777777" w:rsidR="00116EB1" w:rsidRPr="008D2D8C" w:rsidRDefault="00116EB1" w:rsidP="00116EB1">
      <w:pPr>
        <w:pStyle w:val="Paragraph"/>
        <w:rPr>
          <w:rFonts w:eastAsia="Calibri"/>
          <w:lang w:val="sq-AL"/>
        </w:rPr>
      </w:pPr>
      <w:r w:rsidRPr="0094723E">
        <w:rPr>
          <w:rFonts w:eastAsia="Calibri"/>
          <w:lang w:val="sq-AL"/>
        </w:rPr>
        <w:t>Prodhimi, tregtia dhe bujqësia janë aktivitetet kryesore ekonomike në rajon.</w:t>
      </w:r>
    </w:p>
    <w:p w14:paraId="074171BD" w14:textId="03B8F9C5" w:rsidR="00D4135E" w:rsidRPr="009E6D46" w:rsidRDefault="00D4135E" w:rsidP="002F728C">
      <w:pPr>
        <w:pStyle w:val="High"/>
      </w:pPr>
      <w:r w:rsidRPr="009E6D46">
        <w:t>Shpenzimet e familje</w:t>
      </w:r>
      <w:r w:rsidR="00116EB1">
        <w:t>ve</w:t>
      </w:r>
      <w:r w:rsidRPr="009E6D46">
        <w:t>/për frymë</w:t>
      </w:r>
    </w:p>
    <w:p w14:paraId="68578476" w14:textId="77777777" w:rsidR="00116EB1" w:rsidRPr="008D2D8C" w:rsidRDefault="00116EB1" w:rsidP="00116EB1">
      <w:pPr>
        <w:pStyle w:val="Paragraph"/>
        <w:rPr>
          <w:rFonts w:eastAsia="Calibri"/>
          <w:lang w:val="sq-AL"/>
        </w:rPr>
      </w:pPr>
      <w:r w:rsidRPr="0094723E">
        <w:rPr>
          <w:rFonts w:eastAsia="Calibri"/>
          <w:lang w:val="sq-AL"/>
        </w:rPr>
        <w:t xml:space="preserve">Të dhënat për shpenzimet e familjeve </w:t>
      </w:r>
      <w:r>
        <w:rPr>
          <w:rFonts w:eastAsia="Calibri"/>
          <w:lang w:val="sq-AL"/>
        </w:rPr>
        <w:t>për kokë banori</w:t>
      </w:r>
      <w:r w:rsidRPr="0094723E">
        <w:rPr>
          <w:rFonts w:eastAsia="Calibri"/>
          <w:lang w:val="sq-AL"/>
        </w:rPr>
        <w:t xml:space="preserve"> janë të disponueshme vetëm në nivel </w:t>
      </w:r>
      <w:r>
        <w:rPr>
          <w:rFonts w:eastAsia="Calibri"/>
          <w:lang w:val="sq-AL"/>
        </w:rPr>
        <w:t>nacional</w:t>
      </w:r>
      <w:r w:rsidRPr="0094723E">
        <w:rPr>
          <w:rFonts w:eastAsia="Calibri"/>
          <w:lang w:val="sq-AL"/>
        </w:rPr>
        <w:t>, të ofruara nga Anket</w:t>
      </w:r>
      <w:r>
        <w:rPr>
          <w:rFonts w:eastAsia="Calibri"/>
          <w:lang w:val="sq-AL"/>
        </w:rPr>
        <w:t>imi</w:t>
      </w:r>
      <w:r w:rsidRPr="0094723E">
        <w:rPr>
          <w:rFonts w:eastAsia="Calibri"/>
          <w:lang w:val="sq-AL"/>
        </w:rPr>
        <w:t xml:space="preserve"> </w:t>
      </w:r>
      <w:r>
        <w:rPr>
          <w:rFonts w:eastAsia="Calibri"/>
          <w:lang w:val="sq-AL"/>
        </w:rPr>
        <w:t>i</w:t>
      </w:r>
      <w:r w:rsidRPr="0094723E">
        <w:rPr>
          <w:rFonts w:eastAsia="Calibri"/>
          <w:lang w:val="sq-AL"/>
        </w:rPr>
        <w:t xml:space="preserve"> buxheteve të familjeve.</w:t>
      </w:r>
    </w:p>
    <w:p w14:paraId="00818DF2" w14:textId="77777777" w:rsidR="00116EB1" w:rsidRPr="008D2D8C" w:rsidRDefault="00116EB1" w:rsidP="00116EB1">
      <w:pPr>
        <w:pStyle w:val="Paragraph"/>
        <w:rPr>
          <w:rFonts w:eastAsia="Calibri"/>
          <w:lang w:val="sq-AL"/>
        </w:rPr>
      </w:pPr>
      <w:r>
        <w:rPr>
          <w:rFonts w:eastAsia="Calibri"/>
          <w:lang w:val="sq-AL"/>
        </w:rPr>
        <w:t>I</w:t>
      </w:r>
      <w:r w:rsidRPr="0094723E">
        <w:rPr>
          <w:rFonts w:eastAsia="Calibri"/>
          <w:lang w:val="sq-AL"/>
        </w:rPr>
        <w:t xml:space="preserve"> fundit i publikuar është </w:t>
      </w:r>
      <w:r>
        <w:rPr>
          <w:rFonts w:eastAsia="Calibri"/>
          <w:lang w:val="sq-AL"/>
        </w:rPr>
        <w:t>ai i</w:t>
      </w:r>
      <w:r w:rsidRPr="0094723E">
        <w:rPr>
          <w:rFonts w:eastAsia="Calibri"/>
          <w:lang w:val="sq-AL"/>
        </w:rPr>
        <w:t xml:space="preserve"> qershori</w:t>
      </w:r>
      <w:r>
        <w:rPr>
          <w:rFonts w:eastAsia="Calibri"/>
          <w:lang w:val="sq-AL"/>
        </w:rPr>
        <w:t>t</w:t>
      </w:r>
      <w:r w:rsidRPr="0094723E">
        <w:rPr>
          <w:rFonts w:eastAsia="Calibri"/>
          <w:lang w:val="sq-AL"/>
        </w:rPr>
        <w:t xml:space="preserve"> 2023</w:t>
      </w:r>
      <w:r w:rsidRPr="008D2D8C">
        <w:rPr>
          <w:rStyle w:val="FootnoteReference"/>
          <w:rFonts w:eastAsia="Calibri" w:cs="Calibri"/>
          <w:lang w:val="sq-AL"/>
        </w:rPr>
        <w:footnoteReference w:id="11"/>
      </w:r>
      <w:r w:rsidRPr="0094723E">
        <w:rPr>
          <w:rFonts w:eastAsia="Calibri"/>
          <w:lang w:val="sq-AL"/>
        </w:rPr>
        <w:t xml:space="preserve"> për vitin 2022 dhe përcakton shpenzimet mesatare vjetore për person prej 1,903 €</w:t>
      </w:r>
      <w:r>
        <w:rPr>
          <w:rFonts w:eastAsia="Calibri"/>
          <w:lang w:val="sq-AL"/>
        </w:rPr>
        <w:t>. N</w:t>
      </w:r>
      <w:r w:rsidRPr="0094723E">
        <w:rPr>
          <w:rFonts w:eastAsia="Calibri"/>
          <w:lang w:val="sq-AL"/>
        </w:rPr>
        <w:t>ë zonat urbane është pak më e lartë - 2,004 €</w:t>
      </w:r>
      <w:r>
        <w:rPr>
          <w:rFonts w:eastAsia="Calibri"/>
          <w:lang w:val="sq-AL"/>
        </w:rPr>
        <w:t>,</w:t>
      </w:r>
      <w:r w:rsidRPr="0094723E">
        <w:rPr>
          <w:rFonts w:eastAsia="Calibri"/>
          <w:lang w:val="sq-AL"/>
        </w:rPr>
        <w:t xml:space="preserve"> </w:t>
      </w:r>
      <w:r>
        <w:rPr>
          <w:rFonts w:eastAsia="Calibri"/>
          <w:lang w:val="sq-AL"/>
        </w:rPr>
        <w:t xml:space="preserve">derisa </w:t>
      </w:r>
      <w:r w:rsidRPr="0094723E">
        <w:rPr>
          <w:rFonts w:eastAsia="Calibri"/>
          <w:lang w:val="sq-AL"/>
        </w:rPr>
        <w:t xml:space="preserve">në zonat rurale </w:t>
      </w:r>
      <w:r>
        <w:rPr>
          <w:rFonts w:eastAsia="Calibri"/>
          <w:lang w:val="sq-AL"/>
        </w:rPr>
        <w:t>është</w:t>
      </w:r>
      <w:r w:rsidRPr="0094723E">
        <w:rPr>
          <w:rFonts w:eastAsia="Calibri"/>
          <w:lang w:val="sq-AL"/>
        </w:rPr>
        <w:t xml:space="preserve"> 1,817 €. Të dhënat për shpenzimet e ekonomive familjare janë gjithashtu të disponueshme, por meqenëse madhësia e ekonomisë familjare ndryshon nuk citohen këtu. ASK nuk publikon të dhëna për të ardhurat familjare.</w:t>
      </w:r>
    </w:p>
    <w:p w14:paraId="052F2B26" w14:textId="77777777" w:rsidR="00116EB1" w:rsidRPr="008D2D8C" w:rsidRDefault="00116EB1" w:rsidP="00116EB1">
      <w:pPr>
        <w:pStyle w:val="Paragraph"/>
        <w:rPr>
          <w:rFonts w:eastAsia="Calibri"/>
          <w:lang w:val="sq-AL"/>
        </w:rPr>
      </w:pPr>
      <w:r w:rsidRPr="0094723E">
        <w:rPr>
          <w:rFonts w:eastAsia="Calibri"/>
          <w:lang w:val="sq-AL"/>
        </w:rPr>
        <w:t>Anketa e publikuar më parë është për vitin 2017.</w:t>
      </w:r>
    </w:p>
    <w:p w14:paraId="7BBFC551" w14:textId="77777777" w:rsidR="00D4135E" w:rsidRPr="002E5667" w:rsidRDefault="00D4135E" w:rsidP="002F728C">
      <w:pPr>
        <w:pStyle w:val="High"/>
      </w:pPr>
      <w:r w:rsidRPr="002E5667">
        <w:t>Punësimi</w:t>
      </w:r>
    </w:p>
    <w:p w14:paraId="3D510915" w14:textId="77777777" w:rsidR="00116EB1" w:rsidRPr="0094723E" w:rsidRDefault="00116EB1" w:rsidP="00116EB1">
      <w:pPr>
        <w:pStyle w:val="Paragraph"/>
        <w:rPr>
          <w:rFonts w:eastAsia="Calibri"/>
          <w:lang w:val="sq-AL"/>
        </w:rPr>
      </w:pPr>
      <w:r w:rsidRPr="0094723E">
        <w:rPr>
          <w:rFonts w:eastAsia="Calibri"/>
          <w:lang w:val="sq-AL"/>
        </w:rPr>
        <w:t xml:space="preserve">Shkalla e punësimit pasqyron përqindjen e popullsisë në moshë pune (15-64 vjeç) që është e punësuar. Shkalla e përgjithshme e punësimit në Kosovë po rritet vazhdimisht në 5 vitet e fundit, përveç në vitin 2020, për shkak të krizës Covid, siç shihet në grafikun e mëposhtëm dhe </w:t>
      </w:r>
      <w:r>
        <w:rPr>
          <w:rFonts w:eastAsia="Calibri"/>
          <w:lang w:val="sq-AL"/>
        </w:rPr>
        <w:t>në anën tjetër paraqitet</w:t>
      </w:r>
      <w:r w:rsidRPr="0094723E">
        <w:rPr>
          <w:rFonts w:eastAsia="Calibri"/>
          <w:lang w:val="sq-AL"/>
        </w:rPr>
        <w:t xml:space="preserve"> trendi i shkallës së papunësisë:</w:t>
      </w:r>
    </w:p>
    <w:p w14:paraId="0C0AC06E" w14:textId="77777777" w:rsidR="00D4135E" w:rsidRDefault="00D4135E" w:rsidP="00D4135E">
      <w:pPr>
        <w:rPr>
          <w:rFonts w:eastAsia="Calibri" w:cs="Calibri"/>
          <w:sz w:val="22"/>
          <w:szCs w:val="22"/>
        </w:rPr>
      </w:pPr>
    </w:p>
    <w:p w14:paraId="629B69BA" w14:textId="77777777" w:rsidR="00D4135E" w:rsidRDefault="00D4135E" w:rsidP="00D4135E">
      <w:pPr>
        <w:jc w:val="center"/>
        <w:rPr>
          <w:rFonts w:eastAsia="Calibri" w:cs="Calibri"/>
          <w:sz w:val="22"/>
          <w:szCs w:val="22"/>
        </w:rPr>
      </w:pPr>
      <w:r>
        <w:rPr>
          <w:noProof/>
        </w:rPr>
        <w:lastRenderedPageBreak/>
        <w:drawing>
          <wp:inline distT="0" distB="0" distL="0" distR="0" wp14:anchorId="39E00BE5" wp14:editId="1DFDFB25">
            <wp:extent cx="2689225" cy="1866900"/>
            <wp:effectExtent l="0" t="0" r="15875" b="0"/>
            <wp:docPr id="671917310" name="Chart 1">
              <a:extLst xmlns:a="http://schemas.openxmlformats.org/drawingml/2006/main">
                <a:ext uri="{FF2B5EF4-FFF2-40B4-BE49-F238E27FC236}">
                  <a16:creationId xmlns:a16="http://schemas.microsoft.com/office/drawing/2014/main" id="{10647BC0-D1DB-B1CB-F4ED-05620545D7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noProof/>
        </w:rPr>
        <w:drawing>
          <wp:inline distT="0" distB="0" distL="0" distR="0" wp14:anchorId="05EB7100" wp14:editId="2D598771">
            <wp:extent cx="3009900" cy="1854200"/>
            <wp:effectExtent l="0" t="0" r="0" b="12700"/>
            <wp:docPr id="278444973" name="Chart 1">
              <a:extLst xmlns:a="http://schemas.openxmlformats.org/drawingml/2006/main">
                <a:ext uri="{FF2B5EF4-FFF2-40B4-BE49-F238E27FC236}">
                  <a16:creationId xmlns:a16="http://schemas.microsoft.com/office/drawing/2014/main" id="{9616229E-6BF0-8A24-6FC2-41BF49F9CA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F33E7D9" w14:textId="191E6306" w:rsidR="00D4135E" w:rsidRPr="006347D6" w:rsidRDefault="00D4135E" w:rsidP="002F728C">
      <w:pPr>
        <w:pStyle w:val="Figure"/>
        <w:rPr>
          <w:rFonts w:eastAsia="Calibri" w:cs="Calibri"/>
          <w:sz w:val="20"/>
          <w:szCs w:val="20"/>
        </w:rPr>
      </w:pPr>
      <w:bookmarkStart w:id="140" w:name="_Toc197472314"/>
      <w:r w:rsidRPr="006347D6">
        <w:rPr>
          <w:rFonts w:eastAsia="Calibri" w:cs="Calibri"/>
          <w:sz w:val="20"/>
          <w:szCs w:val="20"/>
        </w:rPr>
        <w:t xml:space="preserve">Figura </w:t>
      </w:r>
      <w:r w:rsidRPr="006347D6">
        <w:rPr>
          <w:rFonts w:eastAsia="Calibri" w:cs="Calibri"/>
          <w:sz w:val="20"/>
          <w:szCs w:val="20"/>
        </w:rPr>
        <w:fldChar w:fldCharType="begin"/>
      </w:r>
      <w:r w:rsidRPr="006347D6">
        <w:rPr>
          <w:rFonts w:eastAsia="Calibri" w:cs="Calibri"/>
          <w:sz w:val="20"/>
          <w:szCs w:val="20"/>
        </w:rPr>
        <w:instrText xml:space="preserve"> SEQ Figure \* ARABIC </w:instrText>
      </w:r>
      <w:r w:rsidRPr="006347D6">
        <w:rPr>
          <w:rFonts w:eastAsia="Calibri" w:cs="Calibri"/>
          <w:sz w:val="20"/>
          <w:szCs w:val="20"/>
        </w:rPr>
        <w:fldChar w:fldCharType="separate"/>
      </w:r>
      <w:r w:rsidR="00C97DF3">
        <w:rPr>
          <w:rFonts w:eastAsia="Calibri" w:cs="Calibri"/>
          <w:noProof/>
          <w:sz w:val="20"/>
          <w:szCs w:val="20"/>
        </w:rPr>
        <w:t xml:space="preserve">12. </w:t>
      </w:r>
      <w:r w:rsidRPr="006347D6">
        <w:rPr>
          <w:rFonts w:eastAsia="Calibri" w:cs="Calibri"/>
          <w:sz w:val="20"/>
          <w:szCs w:val="20"/>
        </w:rPr>
        <w:fldChar w:fldCharType="end"/>
      </w:r>
      <w:r w:rsidRPr="006347D6">
        <w:rPr>
          <w:rFonts w:eastAsia="Calibri" w:cs="Calibri"/>
          <w:sz w:val="20"/>
          <w:szCs w:val="20"/>
        </w:rPr>
        <w:t>Shkalla e punësimit dhe papunësisë në Kosovë, 2018-2023, Burimi AS</w:t>
      </w:r>
      <w:r w:rsidR="00116EB1">
        <w:rPr>
          <w:rFonts w:eastAsia="Calibri" w:cs="Calibri"/>
          <w:sz w:val="20"/>
          <w:szCs w:val="20"/>
        </w:rPr>
        <w:t>K</w:t>
      </w:r>
      <w:bookmarkEnd w:id="140"/>
    </w:p>
    <w:p w14:paraId="44C0D08A" w14:textId="3F6DCD4C" w:rsidR="00D4135E" w:rsidRPr="00D32385" w:rsidRDefault="00D4135E" w:rsidP="002F728C">
      <w:pPr>
        <w:pStyle w:val="Paragraph"/>
        <w:rPr>
          <w:rFonts w:eastAsia="Calibri"/>
        </w:rPr>
      </w:pPr>
      <w:r>
        <w:rPr>
          <w:rFonts w:eastAsia="Calibri"/>
        </w:rPr>
        <w:t>Në rajonin e Pejës, punësimi është përqendruar kryesisht në sektorët e mëposhtëm:</w:t>
      </w:r>
    </w:p>
    <w:p w14:paraId="340D1533" w14:textId="27FD3D83" w:rsidR="00D4135E" w:rsidRPr="003557A5" w:rsidRDefault="00D4135E" w:rsidP="002F728C">
      <w:pPr>
        <w:pStyle w:val="Bullet"/>
      </w:pPr>
      <w:r w:rsidRPr="003557A5">
        <w:t>Bujqësia: Shumë banorë merren me bujqësi, blegtori dhe pylltari.</w:t>
      </w:r>
    </w:p>
    <w:p w14:paraId="5CD01844" w14:textId="77777777" w:rsidR="003557A5" w:rsidRPr="003557A5" w:rsidRDefault="00D4135E" w:rsidP="002F728C">
      <w:pPr>
        <w:pStyle w:val="Bullet"/>
      </w:pPr>
      <w:r w:rsidRPr="003557A5">
        <w:t>Shërbimet: Përfshirë shitjen me pakicë, mikpritjen (veçanërisht shërbimet që lidhen me turizmin) dhe administratën publike.</w:t>
      </w:r>
    </w:p>
    <w:p w14:paraId="2E68E66D" w14:textId="3DC99E98" w:rsidR="00D4135E" w:rsidRPr="003557A5" w:rsidRDefault="00D4135E" w:rsidP="002F728C">
      <w:pPr>
        <w:pStyle w:val="Bullet"/>
      </w:pPr>
      <w:r w:rsidRPr="003557A5">
        <w:t>Industria: Ndërmarrjet e vogla dhe të mesme (NVM) të përfshira në prodhim, veçanërisht në tekstil, mobilje dhe përpunimin e ushqimit.</w:t>
      </w:r>
    </w:p>
    <w:p w14:paraId="095CA3F7" w14:textId="6E76B4FA" w:rsidR="00D4135E" w:rsidRPr="003557A5" w:rsidRDefault="00D4135E" w:rsidP="002F728C">
      <w:pPr>
        <w:pStyle w:val="Bullet"/>
      </w:pPr>
      <w:r w:rsidRPr="003557A5">
        <w:t xml:space="preserve">Sektori Publik: Punë në arsim, kujdes shëndetësor dhe shërbime të qeverisjes </w:t>
      </w:r>
      <w:r w:rsidR="00116EB1">
        <w:t>lokale</w:t>
      </w:r>
      <w:r w:rsidRPr="003557A5">
        <w:t>.</w:t>
      </w:r>
    </w:p>
    <w:p w14:paraId="420AEF55" w14:textId="77777777" w:rsidR="00D4135E" w:rsidRDefault="00D4135E" w:rsidP="00D4135E">
      <w:pPr>
        <w:rPr>
          <w:rFonts w:eastAsia="Calibri" w:cs="Calibri"/>
          <w:sz w:val="22"/>
          <w:szCs w:val="22"/>
        </w:rPr>
      </w:pPr>
    </w:p>
    <w:p w14:paraId="23948D65" w14:textId="77777777" w:rsidR="00116EB1" w:rsidRPr="008D2D8C" w:rsidRDefault="00116EB1" w:rsidP="00116EB1">
      <w:pPr>
        <w:pStyle w:val="Paragraph"/>
        <w:rPr>
          <w:rFonts w:eastAsia="Calibri"/>
          <w:lang w:val="sq-AL"/>
        </w:rPr>
      </w:pPr>
      <w:r w:rsidRPr="0094723E">
        <w:rPr>
          <w:rFonts w:eastAsia="Calibri"/>
          <w:lang w:val="sq-AL"/>
        </w:rPr>
        <w:t>Shkalla e papunësisë në Kosovë, përfshirë Pejën, është relativisht e lartë, veçanërisht në mesin e të rinjve dhe grave. Çështjet strukturore të tilla si mospërputhja e aftësive, mundësitë e kufizuara të punësimit jashtë qendrave urbane dhe varësia ekonomike nga remitancat kontribuojnë në këto sfida.</w:t>
      </w:r>
    </w:p>
    <w:p w14:paraId="2DA4FDAE" w14:textId="77777777" w:rsidR="00D4135E" w:rsidRPr="00CF21BE" w:rsidRDefault="00D4135E" w:rsidP="002F728C">
      <w:pPr>
        <w:pStyle w:val="High"/>
      </w:pPr>
      <w:r w:rsidRPr="00CF21BE">
        <w:t>Sfidat socio-ekonomike</w:t>
      </w:r>
    </w:p>
    <w:p w14:paraId="1CAAC774" w14:textId="77777777" w:rsidR="0060411F" w:rsidRPr="008D2D8C" w:rsidRDefault="0060411F" w:rsidP="0060411F">
      <w:pPr>
        <w:pStyle w:val="Paragraph"/>
        <w:rPr>
          <w:rFonts w:eastAsia="Calibri"/>
          <w:lang w:val="sq-AL"/>
        </w:rPr>
      </w:pPr>
      <w:r w:rsidRPr="00F8421D">
        <w:rPr>
          <w:rFonts w:eastAsia="Calibri"/>
          <w:lang w:val="sq-AL"/>
        </w:rPr>
        <w:t>Shumë familje në rajonin e Pejës përballen me varfëri ose janë të ndjeshme ndaj goditjeve ekonomike, pavarësisht përpjekjeve për të përmirësuar standardin e jetesës. Ekziston një hendek i rëndësishëm midis familjeve me të ardhura të larta dhe me të ardhura të ulëta, duke kontribuar në pabarazitë sociale. Ekonomia lokale mbështetet shumë në remitancat nga diaspora, duke e bërë atë të pambrojtur ndaj kushteve të jashtme ekonomike. Sfidat në zhvillimin e infrastrukturës, veçanërisht në transport dhe shërbime komunale, pengojnë rritjen ekonomike dhe aksesin në shërbime.</w:t>
      </w:r>
    </w:p>
    <w:p w14:paraId="6CCA44D2" w14:textId="339E8304" w:rsidR="00D4135E" w:rsidRPr="00CF21BE" w:rsidRDefault="00D4135E" w:rsidP="002F728C">
      <w:pPr>
        <w:pStyle w:val="High"/>
      </w:pPr>
      <w:r w:rsidRPr="00CF21BE">
        <w:t>Mundësi</w:t>
      </w:r>
      <w:r w:rsidR="0060411F">
        <w:t>të</w:t>
      </w:r>
      <w:r w:rsidRPr="00CF21BE">
        <w:t xml:space="preserve"> për Zhvillim Ekonomik</w:t>
      </w:r>
    </w:p>
    <w:p w14:paraId="2BF148F9" w14:textId="77777777" w:rsidR="0060411F" w:rsidRPr="00F8421D" w:rsidRDefault="0060411F" w:rsidP="0060411F">
      <w:pPr>
        <w:pStyle w:val="Paragraph"/>
        <w:rPr>
          <w:rFonts w:eastAsia="Calibri" w:cs="Calibri"/>
          <w:lang w:val="sq-AL"/>
        </w:rPr>
      </w:pPr>
      <w:bookmarkStart w:id="141" w:name="_Toc153872112"/>
      <w:bookmarkStart w:id="142" w:name="_Toc170470816"/>
      <w:r w:rsidRPr="00F8421D">
        <w:rPr>
          <w:rFonts w:eastAsia="Calibri" w:cs="Calibri"/>
          <w:lang w:val="sq-AL"/>
        </w:rPr>
        <w:t>Modernizimi i bujqësisë, promovimi i praktikave të qëndrueshme dhe rritja e produktivitetit mund të rrisin të ardhurat rurale. Zhvillimi i infrastrukturës turistike dhe promovimi i eko-turizmit në zonat natyrore si kanioni i Rugovës dhe vendet kulturore mund të krijojnë vende pune dhe të stimulojnë bizneset lokale. Ofrimi i mbështetjes për bizneset e vogla dhe bizneset fillestare përmes trajnimeve, financimit dhe programeve të inkubacionit të biznesit. Investimi në arsim, trajnim profesional dhe programe për ndërtimin e aftësive për t'u përshtatur me nevojat e tregut dhe për të rritur mundësitë e punësimit. Përmirësimi i rrugëve, shërbimeve komunale dhe telekomunikacionit për të tërhequr investime, për të lehtësuar tregtinë dhe për të përmirësuar standardet e jetesës.</w:t>
      </w:r>
    </w:p>
    <w:p w14:paraId="628932C0" w14:textId="77777777" w:rsidR="0060411F" w:rsidRPr="008D2D8C" w:rsidRDefault="0060411F" w:rsidP="0060411F">
      <w:pPr>
        <w:pStyle w:val="Paragraph"/>
        <w:rPr>
          <w:rFonts w:eastAsia="Calibri" w:cs="Calibri"/>
          <w:highlight w:val="green"/>
          <w:lang w:val="sq-AL"/>
        </w:rPr>
      </w:pPr>
      <w:r w:rsidRPr="00F8421D">
        <w:rPr>
          <w:rFonts w:eastAsia="Calibri" w:cs="Calibri"/>
          <w:lang w:val="sq-AL"/>
        </w:rPr>
        <w:t>Duke adresuar këto sfida socio-ekonomike dhe duke shfrytëzuar mundësitë në dispozicion, rajoni i Pejës mund të nxisë rritje të qëndrueshme ekonomike, të ulë varfërinë dhe të përmirësojë cilësinë e jetës për banorët e saj.</w:t>
      </w:r>
    </w:p>
    <w:p w14:paraId="157AE76E" w14:textId="77777777" w:rsidR="00032CD8" w:rsidRPr="00C21444" w:rsidRDefault="00032CD8" w:rsidP="002254E8">
      <w:pPr>
        <w:pStyle w:val="Heading3"/>
      </w:pPr>
      <w:bookmarkStart w:id="143" w:name="_Toc197471966"/>
      <w:r w:rsidRPr="00C21444">
        <w:t>Biznesi dhe industria</w:t>
      </w:r>
      <w:bookmarkEnd w:id="141"/>
      <w:bookmarkEnd w:id="142"/>
      <w:bookmarkEnd w:id="143"/>
    </w:p>
    <w:p w14:paraId="1BA226A9" w14:textId="77777777" w:rsidR="0060411F" w:rsidRPr="00F8421D" w:rsidRDefault="0060411F" w:rsidP="0060411F">
      <w:pPr>
        <w:pStyle w:val="Paragraph"/>
        <w:rPr>
          <w:rFonts w:eastAsia="Calibri" w:cs="Calibri"/>
          <w:lang w:val="sq-AL"/>
        </w:rPr>
      </w:pPr>
      <w:bookmarkStart w:id="144" w:name="_Toc153872113"/>
      <w:bookmarkStart w:id="145" w:name="_Toc170470817"/>
      <w:r w:rsidRPr="00F8421D">
        <w:rPr>
          <w:rFonts w:eastAsia="Calibri" w:cs="Calibri"/>
          <w:lang w:val="sq-AL"/>
        </w:rPr>
        <w:t xml:space="preserve">Seksioni </w:t>
      </w:r>
      <w:r w:rsidRPr="008D2D8C">
        <w:rPr>
          <w:rFonts w:eastAsia="Calibri"/>
          <w:lang w:val="sq-AL"/>
        </w:rPr>
        <w:fldChar w:fldCharType="begin"/>
      </w:r>
      <w:r w:rsidRPr="008D2D8C">
        <w:rPr>
          <w:rFonts w:eastAsia="Calibri"/>
          <w:lang w:val="sq-AL"/>
        </w:rPr>
        <w:instrText xml:space="preserve"> REF _Ref151817270 \r \h </w:instrText>
      </w:r>
      <w:r w:rsidRPr="008D2D8C">
        <w:rPr>
          <w:rFonts w:eastAsia="Calibri"/>
          <w:lang w:val="sq-AL"/>
        </w:rPr>
      </w:r>
      <w:r w:rsidRPr="008D2D8C">
        <w:rPr>
          <w:rFonts w:eastAsia="Calibri"/>
          <w:lang w:val="sq-AL"/>
        </w:rPr>
        <w:fldChar w:fldCharType="separate"/>
      </w:r>
      <w:r w:rsidRPr="008D2D8C">
        <w:rPr>
          <w:rFonts w:eastAsia="Calibri"/>
          <w:lang w:val="sq-AL"/>
        </w:rPr>
        <w:t>3.1.2</w:t>
      </w:r>
      <w:r w:rsidRPr="008D2D8C">
        <w:rPr>
          <w:rFonts w:eastAsia="Calibri"/>
          <w:lang w:val="sq-AL"/>
        </w:rPr>
        <w:fldChar w:fldCharType="end"/>
      </w:r>
      <w:r w:rsidRPr="00F8421D">
        <w:rPr>
          <w:rFonts w:eastAsia="Calibri" w:cs="Calibri"/>
          <w:lang w:val="sq-AL"/>
        </w:rPr>
        <w:t xml:space="preserve"> paraqet informacion për numrin dhe llojin e subjekteve tregtare në rajon. Lloji i mbet</w:t>
      </w:r>
      <w:r>
        <w:rPr>
          <w:rFonts w:eastAsia="Calibri" w:cs="Calibri"/>
          <w:lang w:val="sq-AL"/>
        </w:rPr>
        <w:t>urinave</w:t>
      </w:r>
      <w:r w:rsidRPr="00F8421D">
        <w:rPr>
          <w:rFonts w:eastAsia="Calibri" w:cs="Calibri"/>
          <w:lang w:val="sq-AL"/>
        </w:rPr>
        <w:t xml:space="preserve"> të prodhuara nga këto biznese është kryesisht i ngjashëm me mbet</w:t>
      </w:r>
      <w:r>
        <w:rPr>
          <w:rFonts w:eastAsia="Calibri" w:cs="Calibri"/>
          <w:lang w:val="sq-AL"/>
        </w:rPr>
        <w:t>urinat e anvisërisë</w:t>
      </w:r>
      <w:r w:rsidRPr="00F8421D">
        <w:rPr>
          <w:rFonts w:eastAsia="Calibri" w:cs="Calibri"/>
          <w:lang w:val="sq-AL"/>
        </w:rPr>
        <w:t>.</w:t>
      </w:r>
    </w:p>
    <w:p w14:paraId="36B1EFEC" w14:textId="77777777" w:rsidR="0060411F" w:rsidRPr="008D2D8C" w:rsidRDefault="0060411F" w:rsidP="0060411F">
      <w:pPr>
        <w:pStyle w:val="Paragraph"/>
        <w:rPr>
          <w:rFonts w:eastAsia="Calibri" w:cs="Calibri"/>
          <w:lang w:val="sq-AL"/>
        </w:rPr>
      </w:pPr>
      <w:r w:rsidRPr="00F8421D">
        <w:rPr>
          <w:rFonts w:eastAsia="Calibri" w:cs="Calibri"/>
          <w:lang w:val="sq-AL"/>
        </w:rPr>
        <w:lastRenderedPageBreak/>
        <w:t>Industritë në rajonin e Pejës mund të gjenerojnë disa lloje të mbeturinave që mund të kategorizohen kryesisht në dy kryesore: mbeturina industriale jo të rrezikshme dhe të rrezikshme.</w:t>
      </w:r>
    </w:p>
    <w:p w14:paraId="5CB91A3F" w14:textId="11AF3E16" w:rsidR="00032CD8" w:rsidRPr="00C21444" w:rsidRDefault="00032CD8" w:rsidP="002254E8">
      <w:pPr>
        <w:pStyle w:val="Heading3"/>
      </w:pPr>
      <w:bookmarkStart w:id="146" w:name="_Toc197471967"/>
      <w:r w:rsidRPr="00C21444">
        <w:t>Turizm</w:t>
      </w:r>
      <w:bookmarkEnd w:id="144"/>
      <w:bookmarkEnd w:id="145"/>
      <w:r w:rsidR="0060411F">
        <w:t>i</w:t>
      </w:r>
      <w:bookmarkEnd w:id="146"/>
    </w:p>
    <w:p w14:paraId="530492F3" w14:textId="77777777" w:rsidR="0060411F" w:rsidRPr="00F8421D" w:rsidRDefault="0060411F" w:rsidP="0060411F">
      <w:pPr>
        <w:pStyle w:val="Paragraph"/>
        <w:rPr>
          <w:rFonts w:eastAsia="Calibri"/>
          <w:lang w:val="sq-AL"/>
        </w:rPr>
      </w:pPr>
      <w:r w:rsidRPr="00F8421D">
        <w:rPr>
          <w:rFonts w:eastAsia="Calibri"/>
          <w:lang w:val="sq-AL"/>
        </w:rPr>
        <w:t>Në nivel rajonal janë zhvilluar shtigje për ecje malore dhe çiklizëm që lidhin 3 komuna (Pejë, Deçan dhe Junik) duke përshkuar Parkun Kombëtar Bjeshkët e Nemuna, ndërsa janë zhvilluar oferta për çiklizëm rekreativ që lidhin 6 komuna të fushës së Dukagjinit.</w:t>
      </w:r>
    </w:p>
    <w:p w14:paraId="718665F1" w14:textId="77777777" w:rsidR="0060411F" w:rsidRPr="008D2D8C" w:rsidRDefault="0060411F" w:rsidP="0060411F">
      <w:pPr>
        <w:pStyle w:val="Paragraph"/>
        <w:rPr>
          <w:rFonts w:eastAsia="Calibri"/>
          <w:lang w:val="sq-AL"/>
        </w:rPr>
      </w:pPr>
      <w:r w:rsidRPr="00F8421D">
        <w:rPr>
          <w:rFonts w:eastAsia="Calibri"/>
          <w:lang w:val="sq-AL"/>
        </w:rPr>
        <w:t xml:space="preserve">Në nivel ndërkufitar janë zhvilluar shtigje ecjeje që lidhin Kosovën me Shqipërinë dhe Malin e Zi. Shtegu </w:t>
      </w:r>
      <w:r>
        <w:rPr>
          <w:rFonts w:eastAsia="Calibri"/>
          <w:lang w:val="sq-AL"/>
        </w:rPr>
        <w:t>‘</w:t>
      </w:r>
      <w:r w:rsidRPr="00F8421D">
        <w:rPr>
          <w:rFonts w:eastAsia="Calibri"/>
          <w:lang w:val="sq-AL"/>
        </w:rPr>
        <w:t>Balkan Peaks</w:t>
      </w:r>
      <w:r>
        <w:rPr>
          <w:rFonts w:eastAsia="Calibri"/>
          <w:lang w:val="sq-AL"/>
        </w:rPr>
        <w:t>’</w:t>
      </w:r>
      <w:r w:rsidRPr="00F8421D">
        <w:rPr>
          <w:rFonts w:eastAsia="Calibri"/>
          <w:lang w:val="sq-AL"/>
        </w:rPr>
        <w:t>, i cili është 192 km i gjatë dhe kalon nëpër Bjeshkë</w:t>
      </w:r>
      <w:r>
        <w:rPr>
          <w:rFonts w:eastAsia="Calibri"/>
          <w:lang w:val="sq-AL"/>
        </w:rPr>
        <w:t>ve</w:t>
      </w:r>
      <w:r w:rsidRPr="00F8421D">
        <w:rPr>
          <w:rFonts w:eastAsia="Calibri"/>
          <w:lang w:val="sq-AL"/>
        </w:rPr>
        <w:t xml:space="preserve"> </w:t>
      </w:r>
      <w:r>
        <w:rPr>
          <w:rFonts w:eastAsia="Calibri"/>
          <w:lang w:val="sq-AL"/>
        </w:rPr>
        <w:t>të</w:t>
      </w:r>
      <w:r w:rsidRPr="00F8421D">
        <w:rPr>
          <w:rFonts w:eastAsia="Calibri"/>
          <w:lang w:val="sq-AL"/>
        </w:rPr>
        <w:t xml:space="preserve"> Nemuna në tre shtete, nga Këshilli Botëror i Udhëtimit dhe Turizmit</w:t>
      </w:r>
      <w:r w:rsidRPr="008D2D8C">
        <w:rPr>
          <w:rStyle w:val="FootnoteReference"/>
          <w:rFonts w:eastAsia="Calibri" w:cs="Calibri"/>
          <w:lang w:val="sq-AL"/>
        </w:rPr>
        <w:footnoteReference w:id="12"/>
      </w:r>
      <w:r>
        <w:rPr>
          <w:rFonts w:eastAsia="Calibri"/>
          <w:lang w:val="sq-AL"/>
        </w:rPr>
        <w:t xml:space="preserve"> </w:t>
      </w:r>
      <w:r w:rsidRPr="00F8421D">
        <w:rPr>
          <w:rFonts w:eastAsia="Calibri"/>
          <w:lang w:val="sq-AL"/>
        </w:rPr>
        <w:t>ka fituar çmimin e parë në botë për menaxhim të suksesshëm. Përveç kësaj, 300 km shtigje për ecje dhe çiklizëm janë zhvilluar ndërmjet Kosovës dhe Malit të Zi përmes Bjeshkëve të Nemuna.</w:t>
      </w:r>
    </w:p>
    <w:p w14:paraId="62C6B3BE" w14:textId="77777777" w:rsidR="0060411F" w:rsidRDefault="0060411F" w:rsidP="0060411F">
      <w:pPr>
        <w:pStyle w:val="Paragraph"/>
        <w:rPr>
          <w:rFonts w:eastAsia="Calibri"/>
          <w:lang w:val="sq-AL"/>
        </w:rPr>
      </w:pPr>
      <w:r w:rsidRPr="002B6E10">
        <w:rPr>
          <w:rFonts w:eastAsia="Calibri"/>
          <w:lang w:val="sq-AL"/>
        </w:rPr>
        <w:t>Grafiku i mëposhtëm tregon numrin e vizitorëve dhe qëndrimeve vendase dhe ndërkombëtare në rajon për periudhën 2008 – 2017.</w:t>
      </w:r>
    </w:p>
    <w:p w14:paraId="59EE9798" w14:textId="1FD65214" w:rsidR="00FC2BA4" w:rsidRPr="008D2D8C" w:rsidRDefault="00FC2BA4" w:rsidP="00FC2BA4">
      <w:pPr>
        <w:pStyle w:val="Paragraph"/>
        <w:jc w:val="center"/>
        <w:rPr>
          <w:rFonts w:eastAsia="Calibri"/>
          <w:lang w:val="sq-AL"/>
        </w:rPr>
      </w:pPr>
      <w:r>
        <w:rPr>
          <w:rFonts w:eastAsia="Calibri"/>
          <w:noProof/>
          <w:lang w:val="sq-AL"/>
        </w:rPr>
        <w:drawing>
          <wp:inline distT="0" distB="0" distL="0" distR="0" wp14:anchorId="7C178548" wp14:editId="7E7AEB96">
            <wp:extent cx="4937252" cy="2287530"/>
            <wp:effectExtent l="0" t="0" r="0" b="0"/>
            <wp:docPr id="117864947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49472" name="Picture 1178649472"/>
                    <pic:cNvPicPr/>
                  </pic:nvPicPr>
                  <pic:blipFill>
                    <a:blip r:embed="rId48">
                      <a:extLst>
                        <a:ext uri="{28A0092B-C50C-407E-A947-70E740481C1C}">
                          <a14:useLocalDpi xmlns:a14="http://schemas.microsoft.com/office/drawing/2010/main" val="0"/>
                        </a:ext>
                      </a:extLst>
                    </a:blip>
                    <a:stretch>
                      <a:fillRect/>
                    </a:stretch>
                  </pic:blipFill>
                  <pic:spPr>
                    <a:xfrm>
                      <a:off x="0" y="0"/>
                      <a:ext cx="4937252" cy="2287530"/>
                    </a:xfrm>
                    <a:prstGeom prst="rect">
                      <a:avLst/>
                    </a:prstGeom>
                  </pic:spPr>
                </pic:pic>
              </a:graphicData>
            </a:graphic>
          </wp:inline>
        </w:drawing>
      </w:r>
    </w:p>
    <w:p w14:paraId="45CDF475" w14:textId="6DDBEC9F" w:rsidR="00DF1BBA" w:rsidRPr="006347D6" w:rsidRDefault="00DF1BBA" w:rsidP="006347D6">
      <w:pPr>
        <w:pStyle w:val="Figure"/>
        <w:rPr>
          <w:rFonts w:eastAsia="Calibri" w:cs="Calibri"/>
          <w:sz w:val="20"/>
          <w:szCs w:val="20"/>
        </w:rPr>
      </w:pPr>
      <w:bookmarkStart w:id="147" w:name="_Toc197472315"/>
      <w:r w:rsidRPr="006347D6">
        <w:rPr>
          <w:rFonts w:eastAsia="Calibri" w:cs="Calibri"/>
          <w:sz w:val="20"/>
          <w:szCs w:val="20"/>
        </w:rPr>
        <w:t xml:space="preserve">Figura </w:t>
      </w:r>
      <w:r w:rsidRPr="006347D6">
        <w:rPr>
          <w:rFonts w:eastAsia="Calibri" w:cs="Calibri"/>
          <w:sz w:val="20"/>
          <w:szCs w:val="20"/>
        </w:rPr>
        <w:fldChar w:fldCharType="begin"/>
      </w:r>
      <w:r w:rsidRPr="006347D6">
        <w:rPr>
          <w:rFonts w:eastAsia="Calibri" w:cs="Calibri"/>
          <w:sz w:val="20"/>
          <w:szCs w:val="20"/>
        </w:rPr>
        <w:instrText xml:space="preserve"> SEQ Figure \* ARABIC </w:instrText>
      </w:r>
      <w:r w:rsidRPr="006347D6">
        <w:rPr>
          <w:rFonts w:eastAsia="Calibri" w:cs="Calibri"/>
          <w:sz w:val="20"/>
          <w:szCs w:val="20"/>
        </w:rPr>
        <w:fldChar w:fldCharType="separate"/>
      </w:r>
      <w:r w:rsidR="00C97DF3">
        <w:rPr>
          <w:rFonts w:eastAsia="Calibri" w:cs="Calibri"/>
          <w:noProof/>
          <w:sz w:val="20"/>
          <w:szCs w:val="20"/>
        </w:rPr>
        <w:t xml:space="preserve">13. </w:t>
      </w:r>
      <w:r w:rsidRPr="006347D6">
        <w:rPr>
          <w:rFonts w:eastAsia="Calibri" w:cs="Calibri"/>
          <w:sz w:val="20"/>
          <w:szCs w:val="20"/>
        </w:rPr>
        <w:fldChar w:fldCharType="end"/>
      </w:r>
      <w:r w:rsidRPr="006347D6">
        <w:rPr>
          <w:rFonts w:eastAsia="Calibri" w:cs="Calibri"/>
          <w:sz w:val="20"/>
          <w:szCs w:val="20"/>
        </w:rPr>
        <w:t>Numri i vizitorëve vendas dhe ndërkombëtarë dhe netët e kaluara</w:t>
      </w:r>
      <w:bookmarkEnd w:id="147"/>
      <w:r w:rsidRPr="006347D6">
        <w:rPr>
          <w:rFonts w:eastAsia="Calibri" w:cs="Calibri"/>
          <w:sz w:val="20"/>
          <w:szCs w:val="20"/>
        </w:rPr>
        <w:t xml:space="preserve"> </w:t>
      </w:r>
    </w:p>
    <w:p w14:paraId="03F12178" w14:textId="5F2044B0" w:rsidR="00DF1BBA" w:rsidRPr="00DF1BBA" w:rsidRDefault="00DF1BBA" w:rsidP="007344B8">
      <w:pPr>
        <w:pStyle w:val="Figure"/>
        <w:rPr>
          <w:rFonts w:eastAsia="Calibri" w:cs="Calibri"/>
        </w:rPr>
      </w:pPr>
      <w:r w:rsidRPr="00DF1BBA">
        <w:t>Burimi: përshtatur nga AS</w:t>
      </w:r>
      <w:r w:rsidR="0060411F">
        <w:t>K</w:t>
      </w:r>
      <w:r w:rsidRPr="00DF1BBA">
        <w:t>, 2018</w:t>
      </w:r>
    </w:p>
    <w:p w14:paraId="549DAD0B" w14:textId="77777777" w:rsidR="00DF1BBA" w:rsidRDefault="00DF1BBA" w:rsidP="00DF1BBA">
      <w:pPr>
        <w:rPr>
          <w:sz w:val="22"/>
          <w:szCs w:val="22"/>
        </w:rPr>
      </w:pPr>
    </w:p>
    <w:p w14:paraId="0C77B0CB" w14:textId="77777777" w:rsidR="0060411F" w:rsidRPr="008D2D8C" w:rsidRDefault="0060411F" w:rsidP="0060411F">
      <w:pPr>
        <w:pStyle w:val="Paragraph"/>
        <w:rPr>
          <w:rFonts w:eastAsia="Calibri"/>
          <w:lang w:val="sq-AL"/>
        </w:rPr>
      </w:pPr>
      <w:bookmarkStart w:id="148" w:name="_Toc153872114"/>
      <w:bookmarkStart w:id="149" w:name="_Toc170470818"/>
      <w:r w:rsidRPr="002B6E10">
        <w:rPr>
          <w:rFonts w:eastAsia="Calibri"/>
          <w:lang w:val="sq-AL"/>
        </w:rPr>
        <w:t>Sipas të dhënave të ASK-së, numri i vizitorëve vendas dhe të huaj ishte: 65.099 në vitin 2019, 42.521 në vitin 2020 dhe 76.013 në vitin 2021. Numri i njësive akomoduese është 93, me 1.235 dhoma dhe 2.327 shtretër.</w:t>
      </w:r>
    </w:p>
    <w:p w14:paraId="469E513F" w14:textId="4B515C96" w:rsidR="00032CD8" w:rsidRPr="00C21444" w:rsidRDefault="00032CD8" w:rsidP="002254E8">
      <w:pPr>
        <w:pStyle w:val="Heading3"/>
      </w:pPr>
      <w:bookmarkStart w:id="150" w:name="_Toc197471968"/>
      <w:r w:rsidRPr="00C21444">
        <w:t>Bujqësi</w:t>
      </w:r>
      <w:bookmarkEnd w:id="148"/>
      <w:bookmarkEnd w:id="149"/>
      <w:r w:rsidR="00B96B40">
        <w:t>a</w:t>
      </w:r>
      <w:bookmarkEnd w:id="150"/>
    </w:p>
    <w:p w14:paraId="72412279" w14:textId="77777777" w:rsidR="0060411F" w:rsidRPr="008D2D8C" w:rsidRDefault="0060411F" w:rsidP="0060411F">
      <w:pPr>
        <w:pStyle w:val="Paragraph"/>
        <w:rPr>
          <w:rFonts w:eastAsia="Calibri"/>
          <w:lang w:val="sq-AL"/>
        </w:rPr>
      </w:pPr>
      <w:bookmarkStart w:id="151" w:name="_Toc153872115"/>
      <w:bookmarkStart w:id="152" w:name="_Toc170470819"/>
      <w:r w:rsidRPr="002B6E10">
        <w:rPr>
          <w:rFonts w:eastAsia="Calibri"/>
          <w:lang w:val="sq-AL"/>
        </w:rPr>
        <w:t xml:space="preserve">Të dhënat e fundit të Regjistrimit treguan se bujqësia ishte profesioni kryesor në rajon me rreth 20,000 </w:t>
      </w:r>
      <w:r>
        <w:rPr>
          <w:rFonts w:eastAsia="Calibri"/>
          <w:lang w:val="sq-AL"/>
        </w:rPr>
        <w:t>amvisëri</w:t>
      </w:r>
      <w:r w:rsidRPr="002B6E10">
        <w:rPr>
          <w:rFonts w:eastAsia="Calibri"/>
          <w:lang w:val="sq-AL"/>
        </w:rPr>
        <w:t xml:space="preserve"> të angazhuara në bujqësi, që ishte mbi 50% e familjeve në rajon.</w:t>
      </w:r>
    </w:p>
    <w:p w14:paraId="3EA6B0C5" w14:textId="17C7672F" w:rsidR="0085302E" w:rsidRPr="007F50ED" w:rsidRDefault="0085302E" w:rsidP="007F50ED">
      <w:pPr>
        <w:suppressAutoHyphens/>
        <w:rPr>
          <w:rFonts w:ascii="Arial Narrow" w:eastAsia="Calibri" w:hAnsi="Arial Narrow" w:cs="Calibri"/>
          <w:color w:val="1F497D"/>
          <w:sz w:val="20"/>
          <w:szCs w:val="20"/>
        </w:rPr>
      </w:pPr>
      <w:bookmarkStart w:id="153" w:name="_Toc197472198"/>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13.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Numri i familjeve të angazhuara në aktivitete bujqësore</w:t>
      </w:r>
      <w:bookmarkEnd w:id="153"/>
    </w:p>
    <w:tbl>
      <w:tblPr>
        <w:tblStyle w:val="TableGrid41"/>
        <w:tblW w:w="5000" w:type="pct"/>
        <w:tblLook w:val="04A0" w:firstRow="1" w:lastRow="0" w:firstColumn="1" w:lastColumn="0" w:noHBand="0" w:noVBand="1"/>
      </w:tblPr>
      <w:tblGrid>
        <w:gridCol w:w="2918"/>
        <w:gridCol w:w="6098"/>
      </w:tblGrid>
      <w:tr w:rsidR="00521515" w:rsidRPr="00521515" w14:paraId="203B1AEF" w14:textId="77777777" w:rsidTr="006347D6">
        <w:trPr>
          <w:trHeight w:val="170"/>
          <w:tblHeader/>
        </w:trPr>
        <w:tc>
          <w:tcPr>
            <w:tcW w:w="1618" w:type="pct"/>
            <w:shd w:val="clear" w:color="auto" w:fill="365F91"/>
            <w:noWrap/>
            <w:hideMark/>
          </w:tcPr>
          <w:p w14:paraId="1BD848F7" w14:textId="64587F35" w:rsidR="0085302E" w:rsidRPr="00521515" w:rsidRDefault="0060411F" w:rsidP="007344B8">
            <w:pPr>
              <w:rPr>
                <w:rFonts w:ascii="Arial Narrow" w:hAnsi="Arial Narrow" w:cs="Calibri"/>
                <w:b/>
                <w:bCs/>
                <w:color w:val="FFFFFF" w:themeColor="background1"/>
                <w:sz w:val="20"/>
                <w:szCs w:val="20"/>
              </w:rPr>
            </w:pPr>
            <w:r>
              <w:rPr>
                <w:rFonts w:ascii="Arial Narrow" w:hAnsi="Arial Narrow" w:cs="Calibri"/>
                <w:b/>
                <w:bCs/>
                <w:color w:val="FFFFFF" w:themeColor="background1"/>
                <w:sz w:val="20"/>
                <w:szCs w:val="20"/>
              </w:rPr>
              <w:t>Komuna</w:t>
            </w:r>
          </w:p>
        </w:tc>
        <w:tc>
          <w:tcPr>
            <w:tcW w:w="3382" w:type="pct"/>
            <w:shd w:val="clear" w:color="auto" w:fill="365F91"/>
            <w:noWrap/>
            <w:hideMark/>
          </w:tcPr>
          <w:p w14:paraId="5373E593" w14:textId="77777777" w:rsidR="0085302E" w:rsidRPr="00521515" w:rsidRDefault="0085302E" w:rsidP="007344B8">
            <w:pPr>
              <w:rPr>
                <w:rFonts w:ascii="Arial Narrow" w:hAnsi="Arial Narrow" w:cs="Calibri"/>
                <w:b/>
                <w:bCs/>
                <w:color w:val="FFFFFF" w:themeColor="background1"/>
                <w:sz w:val="20"/>
                <w:szCs w:val="20"/>
              </w:rPr>
            </w:pPr>
            <w:r w:rsidRPr="00521515">
              <w:rPr>
                <w:rFonts w:ascii="Arial Narrow" w:hAnsi="Arial Narrow" w:cs="Calibri"/>
                <w:b/>
                <w:bCs/>
                <w:color w:val="FFFFFF" w:themeColor="background1"/>
                <w:sz w:val="20"/>
                <w:szCs w:val="20"/>
              </w:rPr>
              <w:t>Numri i familjeve të angazhuara në aktivitete bujqësore</w:t>
            </w:r>
          </w:p>
        </w:tc>
      </w:tr>
      <w:tr w:rsidR="0085302E" w:rsidRPr="007344B8" w14:paraId="0D435E56" w14:textId="77777777" w:rsidTr="007344B8">
        <w:trPr>
          <w:trHeight w:val="170"/>
        </w:trPr>
        <w:tc>
          <w:tcPr>
            <w:tcW w:w="1618" w:type="pct"/>
            <w:noWrap/>
            <w:hideMark/>
          </w:tcPr>
          <w:p w14:paraId="16851732" w14:textId="77777777" w:rsidR="0085302E" w:rsidRPr="007344B8" w:rsidRDefault="0085302E" w:rsidP="007344B8">
            <w:pPr>
              <w:rPr>
                <w:rFonts w:ascii="Arial Narrow" w:hAnsi="Arial Narrow" w:cs="Calibri"/>
                <w:b/>
                <w:bCs/>
                <w:color w:val="000000"/>
                <w:sz w:val="20"/>
                <w:szCs w:val="20"/>
              </w:rPr>
            </w:pPr>
            <w:r w:rsidRPr="007344B8">
              <w:rPr>
                <w:rFonts w:ascii="Arial Narrow" w:hAnsi="Arial Narrow" w:cs="Calibri"/>
                <w:color w:val="000000"/>
                <w:sz w:val="20"/>
                <w:szCs w:val="20"/>
              </w:rPr>
              <w:t>Deçan</w:t>
            </w:r>
          </w:p>
        </w:tc>
        <w:tc>
          <w:tcPr>
            <w:tcW w:w="3382" w:type="pct"/>
            <w:noWrap/>
            <w:hideMark/>
          </w:tcPr>
          <w:p w14:paraId="0AD7A0E0" w14:textId="58468461" w:rsidR="0085302E" w:rsidRPr="007344B8" w:rsidRDefault="0085302E" w:rsidP="007344B8">
            <w:pPr>
              <w:jc w:val="center"/>
              <w:rPr>
                <w:rFonts w:ascii="Arial Narrow" w:hAnsi="Arial Narrow" w:cs="Calibri"/>
                <w:color w:val="000000"/>
                <w:sz w:val="20"/>
                <w:szCs w:val="20"/>
                <w:lang w:val="bg-BG"/>
              </w:rPr>
            </w:pPr>
            <w:r w:rsidRPr="007344B8">
              <w:rPr>
                <w:rFonts w:ascii="Arial Narrow" w:hAnsi="Arial Narrow" w:cs="Calibri"/>
                <w:color w:val="000000"/>
                <w:sz w:val="20"/>
                <w:szCs w:val="20"/>
              </w:rPr>
              <w:t>3,936</w:t>
            </w:r>
          </w:p>
        </w:tc>
      </w:tr>
      <w:tr w:rsidR="0085302E" w:rsidRPr="007344B8" w14:paraId="7807425D" w14:textId="77777777" w:rsidTr="007344B8">
        <w:trPr>
          <w:trHeight w:val="170"/>
        </w:trPr>
        <w:tc>
          <w:tcPr>
            <w:tcW w:w="1618" w:type="pct"/>
            <w:noWrap/>
            <w:hideMark/>
          </w:tcPr>
          <w:p w14:paraId="6C86BC1E" w14:textId="77777777" w:rsidR="0085302E" w:rsidRPr="007344B8" w:rsidRDefault="0085302E" w:rsidP="007344B8">
            <w:pPr>
              <w:rPr>
                <w:rFonts w:ascii="Arial Narrow" w:hAnsi="Arial Narrow" w:cs="Calibri"/>
                <w:b/>
                <w:bCs/>
                <w:color w:val="000000"/>
                <w:sz w:val="20"/>
                <w:szCs w:val="20"/>
              </w:rPr>
            </w:pPr>
            <w:r w:rsidRPr="007344B8">
              <w:rPr>
                <w:rFonts w:ascii="Arial Narrow" w:hAnsi="Arial Narrow" w:cs="Calibri"/>
                <w:color w:val="000000"/>
                <w:sz w:val="20"/>
                <w:szCs w:val="20"/>
              </w:rPr>
              <w:t>Istog</w:t>
            </w:r>
          </w:p>
        </w:tc>
        <w:tc>
          <w:tcPr>
            <w:tcW w:w="3382" w:type="pct"/>
            <w:noWrap/>
            <w:hideMark/>
          </w:tcPr>
          <w:p w14:paraId="07EBB18E" w14:textId="7BC31CEC" w:rsidR="0085302E" w:rsidRPr="007344B8" w:rsidRDefault="0085302E" w:rsidP="007344B8">
            <w:pPr>
              <w:jc w:val="center"/>
              <w:rPr>
                <w:rFonts w:ascii="Arial Narrow" w:hAnsi="Arial Narrow" w:cs="Calibri"/>
                <w:color w:val="000000"/>
                <w:sz w:val="20"/>
                <w:szCs w:val="20"/>
                <w:lang w:val="bg-BG"/>
              </w:rPr>
            </w:pPr>
            <w:r w:rsidRPr="007344B8">
              <w:rPr>
                <w:rFonts w:ascii="Arial Narrow" w:hAnsi="Arial Narrow" w:cs="Calibri"/>
                <w:color w:val="000000"/>
                <w:sz w:val="20"/>
                <w:szCs w:val="20"/>
              </w:rPr>
              <w:t>5,063</w:t>
            </w:r>
          </w:p>
        </w:tc>
      </w:tr>
      <w:tr w:rsidR="0085302E" w:rsidRPr="007344B8" w14:paraId="092C143F" w14:textId="77777777" w:rsidTr="007344B8">
        <w:trPr>
          <w:trHeight w:val="170"/>
        </w:trPr>
        <w:tc>
          <w:tcPr>
            <w:tcW w:w="1618" w:type="pct"/>
            <w:noWrap/>
            <w:hideMark/>
          </w:tcPr>
          <w:p w14:paraId="4989E950" w14:textId="77777777" w:rsidR="0085302E" w:rsidRPr="007344B8" w:rsidRDefault="0085302E" w:rsidP="007344B8">
            <w:pPr>
              <w:rPr>
                <w:rFonts w:ascii="Arial Narrow" w:hAnsi="Arial Narrow" w:cs="Calibri"/>
                <w:b/>
                <w:bCs/>
                <w:color w:val="000000"/>
                <w:sz w:val="20"/>
                <w:szCs w:val="20"/>
              </w:rPr>
            </w:pPr>
            <w:r w:rsidRPr="007344B8">
              <w:rPr>
                <w:rFonts w:ascii="Arial Narrow" w:hAnsi="Arial Narrow" w:cs="Calibri"/>
                <w:color w:val="000000"/>
                <w:sz w:val="20"/>
                <w:szCs w:val="20"/>
              </w:rPr>
              <w:t>Junik</w:t>
            </w:r>
          </w:p>
        </w:tc>
        <w:tc>
          <w:tcPr>
            <w:tcW w:w="3382" w:type="pct"/>
            <w:noWrap/>
            <w:hideMark/>
          </w:tcPr>
          <w:p w14:paraId="4AC881E5" w14:textId="61C107B9" w:rsidR="0085302E" w:rsidRPr="007344B8" w:rsidRDefault="0085302E" w:rsidP="007344B8">
            <w:pPr>
              <w:jc w:val="center"/>
              <w:rPr>
                <w:rFonts w:ascii="Arial Narrow" w:hAnsi="Arial Narrow" w:cs="Calibri"/>
                <w:color w:val="000000"/>
                <w:sz w:val="20"/>
                <w:szCs w:val="20"/>
                <w:lang w:val="bg-BG"/>
              </w:rPr>
            </w:pPr>
            <w:r w:rsidRPr="007344B8">
              <w:rPr>
                <w:rFonts w:ascii="Arial Narrow" w:hAnsi="Arial Narrow" w:cs="Calibri"/>
                <w:color w:val="000000"/>
                <w:sz w:val="20"/>
                <w:szCs w:val="20"/>
              </w:rPr>
              <w:t>343</w:t>
            </w:r>
          </w:p>
        </w:tc>
      </w:tr>
      <w:tr w:rsidR="0085302E" w:rsidRPr="007344B8" w14:paraId="027EB4D0" w14:textId="77777777" w:rsidTr="007344B8">
        <w:trPr>
          <w:trHeight w:val="170"/>
        </w:trPr>
        <w:tc>
          <w:tcPr>
            <w:tcW w:w="1618" w:type="pct"/>
            <w:noWrap/>
            <w:hideMark/>
          </w:tcPr>
          <w:p w14:paraId="7B11777F" w14:textId="77777777" w:rsidR="0085302E" w:rsidRPr="007344B8" w:rsidRDefault="0085302E" w:rsidP="007344B8">
            <w:pPr>
              <w:rPr>
                <w:rFonts w:ascii="Arial Narrow" w:hAnsi="Arial Narrow" w:cs="Calibri"/>
                <w:b/>
                <w:bCs/>
                <w:color w:val="000000"/>
                <w:sz w:val="20"/>
                <w:szCs w:val="20"/>
              </w:rPr>
            </w:pPr>
            <w:r w:rsidRPr="007344B8">
              <w:rPr>
                <w:rFonts w:ascii="Arial Narrow" w:hAnsi="Arial Narrow" w:cs="Calibri"/>
                <w:color w:val="000000"/>
                <w:sz w:val="20"/>
                <w:szCs w:val="20"/>
              </w:rPr>
              <w:t>Klinë</w:t>
            </w:r>
          </w:p>
        </w:tc>
        <w:tc>
          <w:tcPr>
            <w:tcW w:w="3382" w:type="pct"/>
            <w:noWrap/>
            <w:hideMark/>
          </w:tcPr>
          <w:p w14:paraId="68222F55" w14:textId="66815FA6" w:rsidR="0085302E" w:rsidRPr="007344B8" w:rsidRDefault="0085302E" w:rsidP="007344B8">
            <w:pPr>
              <w:jc w:val="center"/>
              <w:rPr>
                <w:rFonts w:ascii="Arial Narrow" w:hAnsi="Arial Narrow" w:cs="Calibri"/>
                <w:color w:val="000000"/>
                <w:sz w:val="20"/>
                <w:szCs w:val="20"/>
                <w:lang w:val="bg-BG"/>
              </w:rPr>
            </w:pPr>
            <w:r w:rsidRPr="007344B8">
              <w:rPr>
                <w:rFonts w:ascii="Arial Narrow" w:hAnsi="Arial Narrow" w:cs="Calibri"/>
                <w:color w:val="000000"/>
                <w:sz w:val="20"/>
                <w:szCs w:val="20"/>
              </w:rPr>
              <w:t>4,442</w:t>
            </w:r>
          </w:p>
        </w:tc>
      </w:tr>
      <w:tr w:rsidR="0085302E" w:rsidRPr="007344B8" w14:paraId="4204C135" w14:textId="77777777" w:rsidTr="007344B8">
        <w:trPr>
          <w:trHeight w:val="170"/>
        </w:trPr>
        <w:tc>
          <w:tcPr>
            <w:tcW w:w="1618" w:type="pct"/>
            <w:noWrap/>
            <w:hideMark/>
          </w:tcPr>
          <w:p w14:paraId="51EB3660" w14:textId="77777777" w:rsidR="0085302E" w:rsidRPr="007344B8" w:rsidRDefault="0085302E" w:rsidP="007344B8">
            <w:pPr>
              <w:rPr>
                <w:rFonts w:ascii="Arial Narrow" w:hAnsi="Arial Narrow" w:cs="Calibri"/>
                <w:b/>
                <w:bCs/>
                <w:color w:val="000000"/>
                <w:sz w:val="20"/>
                <w:szCs w:val="20"/>
              </w:rPr>
            </w:pPr>
            <w:r w:rsidRPr="007344B8">
              <w:rPr>
                <w:rFonts w:ascii="Arial Narrow" w:hAnsi="Arial Narrow" w:cs="Calibri"/>
                <w:color w:val="000000"/>
                <w:sz w:val="20"/>
                <w:szCs w:val="20"/>
              </w:rPr>
              <w:t>Pejë</w:t>
            </w:r>
          </w:p>
        </w:tc>
        <w:tc>
          <w:tcPr>
            <w:tcW w:w="3382" w:type="pct"/>
            <w:noWrap/>
            <w:hideMark/>
          </w:tcPr>
          <w:p w14:paraId="4791DE2A" w14:textId="5789797E" w:rsidR="0085302E" w:rsidRPr="007344B8" w:rsidRDefault="0085302E" w:rsidP="007344B8">
            <w:pPr>
              <w:jc w:val="center"/>
              <w:rPr>
                <w:rFonts w:ascii="Arial Narrow" w:hAnsi="Arial Narrow" w:cs="Calibri"/>
                <w:color w:val="000000"/>
                <w:sz w:val="20"/>
                <w:szCs w:val="20"/>
                <w:lang w:val="bg-BG"/>
              </w:rPr>
            </w:pPr>
            <w:r w:rsidRPr="007344B8">
              <w:rPr>
                <w:rFonts w:ascii="Arial Narrow" w:hAnsi="Arial Narrow" w:cs="Calibri"/>
                <w:color w:val="000000"/>
                <w:sz w:val="20"/>
                <w:szCs w:val="20"/>
              </w:rPr>
              <w:t>6,038</w:t>
            </w:r>
          </w:p>
        </w:tc>
      </w:tr>
    </w:tbl>
    <w:p w14:paraId="4B74E0D3" w14:textId="77777777" w:rsidR="0085302E" w:rsidRPr="0085302E" w:rsidRDefault="0085302E" w:rsidP="004A47C0">
      <w:pPr>
        <w:pStyle w:val="Source"/>
        <w:rPr>
          <w:highlight w:val="green"/>
          <w:lang w:val="bg-BG"/>
        </w:rPr>
      </w:pPr>
      <w:r w:rsidRPr="0085302E">
        <w:t>Burimi: Agjencia e Statistikave të Kosovës (ASK), 2014 (të dhënat e regjistrimit të popullsisë)</w:t>
      </w:r>
    </w:p>
    <w:p w14:paraId="50A62066" w14:textId="0BB02069" w:rsidR="0085302E" w:rsidRDefault="00F4290B" w:rsidP="004A47C0">
      <w:pPr>
        <w:pStyle w:val="Paragraph"/>
        <w:rPr>
          <w:rFonts w:eastAsia="Calibri"/>
        </w:rPr>
      </w:pPr>
      <w:r>
        <w:rPr>
          <w:rFonts w:eastAsia="Calibri"/>
        </w:rPr>
        <w:t>Tabela më poshtë tregon të dhënat e Regjistrimit për numrin e bagëtive në rajon.</w:t>
      </w:r>
    </w:p>
    <w:p w14:paraId="1035D781" w14:textId="110C9BEE" w:rsidR="0085302E" w:rsidRPr="007F50ED" w:rsidRDefault="0085302E" w:rsidP="007F50ED">
      <w:pPr>
        <w:suppressAutoHyphens/>
        <w:rPr>
          <w:rFonts w:ascii="Arial Narrow" w:eastAsia="Calibri" w:hAnsi="Arial Narrow" w:cs="Calibri"/>
          <w:color w:val="1F497D"/>
          <w:sz w:val="20"/>
          <w:szCs w:val="20"/>
        </w:rPr>
      </w:pPr>
      <w:bookmarkStart w:id="154" w:name="_Toc197472199"/>
      <w:r w:rsidRPr="007F50ED">
        <w:rPr>
          <w:rFonts w:ascii="Arial Narrow" w:eastAsia="Calibri" w:hAnsi="Arial Narrow" w:cs="Calibri"/>
          <w:color w:val="1F497D"/>
          <w:sz w:val="20"/>
          <w:szCs w:val="20"/>
        </w:rPr>
        <w:lastRenderedPageBreak/>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14.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Numri i bagëtive (krerë)</w:t>
      </w:r>
      <w:bookmarkEnd w:id="154"/>
    </w:p>
    <w:tbl>
      <w:tblPr>
        <w:tblStyle w:val="TableGrid41"/>
        <w:tblW w:w="5000" w:type="pct"/>
        <w:tblLook w:val="04A0" w:firstRow="1" w:lastRow="0" w:firstColumn="1" w:lastColumn="0" w:noHBand="0" w:noVBand="1"/>
      </w:tblPr>
      <w:tblGrid>
        <w:gridCol w:w="1591"/>
        <w:gridCol w:w="1492"/>
        <w:gridCol w:w="1489"/>
        <w:gridCol w:w="1489"/>
        <w:gridCol w:w="1473"/>
        <w:gridCol w:w="1482"/>
      </w:tblGrid>
      <w:tr w:rsidR="00733C5C" w:rsidRPr="00733C5C" w14:paraId="06D4970C" w14:textId="77777777" w:rsidTr="006347D6">
        <w:trPr>
          <w:trHeight w:val="227"/>
          <w:tblHeader/>
        </w:trPr>
        <w:tc>
          <w:tcPr>
            <w:tcW w:w="882" w:type="pct"/>
            <w:shd w:val="clear" w:color="auto" w:fill="365F91"/>
            <w:noWrap/>
          </w:tcPr>
          <w:p w14:paraId="7C99194C" w14:textId="5FB3FC14" w:rsidR="0085302E" w:rsidRPr="00733C5C" w:rsidRDefault="0060411F" w:rsidP="00733C5C">
            <w:pPr>
              <w:rPr>
                <w:rFonts w:ascii="Arial Narrow" w:hAnsi="Arial Narrow" w:cs="Calibri"/>
                <w:b/>
                <w:bCs/>
                <w:color w:val="FFFFFF" w:themeColor="background1"/>
                <w:sz w:val="20"/>
                <w:szCs w:val="20"/>
              </w:rPr>
            </w:pPr>
            <w:r>
              <w:rPr>
                <w:rFonts w:ascii="Arial Narrow" w:hAnsi="Arial Narrow" w:cs="Calibri"/>
                <w:b/>
                <w:bCs/>
                <w:color w:val="FFFFFF" w:themeColor="background1"/>
                <w:sz w:val="20"/>
                <w:szCs w:val="20"/>
              </w:rPr>
              <w:t>Komuna</w:t>
            </w:r>
          </w:p>
        </w:tc>
        <w:tc>
          <w:tcPr>
            <w:tcW w:w="827" w:type="pct"/>
            <w:tcBorders>
              <w:bottom w:val="single" w:sz="4" w:space="0" w:color="auto"/>
            </w:tcBorders>
            <w:shd w:val="clear" w:color="auto" w:fill="365F91"/>
            <w:noWrap/>
          </w:tcPr>
          <w:p w14:paraId="186C639C" w14:textId="77777777" w:rsidR="0085302E" w:rsidRPr="00733C5C" w:rsidRDefault="0085302E" w:rsidP="00733C5C">
            <w:pPr>
              <w:rPr>
                <w:rFonts w:ascii="Arial Narrow" w:hAnsi="Arial Narrow" w:cs="Calibri"/>
                <w:b/>
                <w:bCs/>
                <w:color w:val="FFFFFF" w:themeColor="background1"/>
                <w:sz w:val="20"/>
                <w:szCs w:val="20"/>
              </w:rPr>
            </w:pPr>
            <w:r w:rsidRPr="00733C5C">
              <w:rPr>
                <w:rFonts w:ascii="Arial Narrow" w:hAnsi="Arial Narrow" w:cs="Calibri"/>
                <w:b/>
                <w:bCs/>
                <w:color w:val="FFFFFF" w:themeColor="background1"/>
                <w:sz w:val="20"/>
                <w:szCs w:val="20"/>
              </w:rPr>
              <w:t>Lopë</w:t>
            </w:r>
          </w:p>
        </w:tc>
        <w:tc>
          <w:tcPr>
            <w:tcW w:w="826" w:type="pct"/>
            <w:tcBorders>
              <w:bottom w:val="single" w:sz="4" w:space="0" w:color="auto"/>
            </w:tcBorders>
            <w:shd w:val="clear" w:color="auto" w:fill="365F91"/>
            <w:noWrap/>
          </w:tcPr>
          <w:p w14:paraId="113619D6" w14:textId="77777777" w:rsidR="0085302E" w:rsidRPr="00733C5C" w:rsidRDefault="0085302E" w:rsidP="00733C5C">
            <w:pPr>
              <w:rPr>
                <w:rFonts w:ascii="Arial Narrow" w:hAnsi="Arial Narrow" w:cs="Calibri"/>
                <w:b/>
                <w:bCs/>
                <w:color w:val="FFFFFF" w:themeColor="background1"/>
                <w:sz w:val="20"/>
                <w:szCs w:val="20"/>
              </w:rPr>
            </w:pPr>
            <w:r w:rsidRPr="00733C5C">
              <w:rPr>
                <w:rFonts w:ascii="Arial Narrow" w:hAnsi="Arial Narrow" w:cs="Calibri"/>
                <w:b/>
                <w:bCs/>
                <w:color w:val="FFFFFF" w:themeColor="background1"/>
                <w:sz w:val="20"/>
                <w:szCs w:val="20"/>
              </w:rPr>
              <w:t>Dele</w:t>
            </w:r>
          </w:p>
        </w:tc>
        <w:tc>
          <w:tcPr>
            <w:tcW w:w="826" w:type="pct"/>
            <w:tcBorders>
              <w:bottom w:val="single" w:sz="4" w:space="0" w:color="auto"/>
            </w:tcBorders>
            <w:shd w:val="clear" w:color="auto" w:fill="365F91"/>
            <w:noWrap/>
          </w:tcPr>
          <w:p w14:paraId="6389E920" w14:textId="77777777" w:rsidR="0085302E" w:rsidRPr="00733C5C" w:rsidRDefault="0085302E" w:rsidP="00733C5C">
            <w:pPr>
              <w:rPr>
                <w:rFonts w:ascii="Arial Narrow" w:hAnsi="Arial Narrow" w:cs="Calibri"/>
                <w:b/>
                <w:bCs/>
                <w:color w:val="FFFFFF" w:themeColor="background1"/>
                <w:sz w:val="20"/>
                <w:szCs w:val="20"/>
              </w:rPr>
            </w:pPr>
            <w:r w:rsidRPr="00733C5C">
              <w:rPr>
                <w:rFonts w:ascii="Arial Narrow" w:hAnsi="Arial Narrow" w:cs="Calibri"/>
                <w:b/>
                <w:bCs/>
                <w:color w:val="FFFFFF" w:themeColor="background1"/>
                <w:sz w:val="20"/>
                <w:szCs w:val="20"/>
              </w:rPr>
              <w:t>Dhi</w:t>
            </w:r>
          </w:p>
        </w:tc>
        <w:tc>
          <w:tcPr>
            <w:tcW w:w="817" w:type="pct"/>
            <w:tcBorders>
              <w:bottom w:val="single" w:sz="4" w:space="0" w:color="auto"/>
            </w:tcBorders>
            <w:shd w:val="clear" w:color="auto" w:fill="365F91"/>
            <w:noWrap/>
          </w:tcPr>
          <w:p w14:paraId="3CC16E48" w14:textId="582297E7" w:rsidR="0085302E" w:rsidRPr="00733C5C" w:rsidRDefault="0085302E" w:rsidP="00733C5C">
            <w:pPr>
              <w:rPr>
                <w:rFonts w:ascii="Arial Narrow" w:hAnsi="Arial Narrow" w:cs="Calibri"/>
                <w:b/>
                <w:bCs/>
                <w:color w:val="FFFFFF" w:themeColor="background1"/>
                <w:sz w:val="20"/>
                <w:szCs w:val="20"/>
              </w:rPr>
            </w:pPr>
            <w:r w:rsidRPr="00733C5C">
              <w:rPr>
                <w:rFonts w:ascii="Arial Narrow" w:hAnsi="Arial Narrow" w:cs="Calibri"/>
                <w:b/>
                <w:bCs/>
                <w:color w:val="FFFFFF" w:themeColor="background1"/>
                <w:sz w:val="20"/>
                <w:szCs w:val="20"/>
              </w:rPr>
              <w:t>Pul</w:t>
            </w:r>
            <w:r w:rsidR="0060411F">
              <w:rPr>
                <w:rFonts w:ascii="Arial Narrow" w:hAnsi="Arial Narrow" w:cs="Calibri"/>
                <w:b/>
                <w:bCs/>
                <w:color w:val="FFFFFF" w:themeColor="background1"/>
                <w:sz w:val="20"/>
                <w:szCs w:val="20"/>
              </w:rPr>
              <w:t>a</w:t>
            </w:r>
          </w:p>
        </w:tc>
        <w:tc>
          <w:tcPr>
            <w:tcW w:w="823" w:type="pct"/>
            <w:tcBorders>
              <w:bottom w:val="single" w:sz="4" w:space="0" w:color="auto"/>
            </w:tcBorders>
            <w:shd w:val="clear" w:color="auto" w:fill="365F91"/>
            <w:noWrap/>
          </w:tcPr>
          <w:p w14:paraId="63B08B15" w14:textId="422A6BEF" w:rsidR="0085302E" w:rsidRPr="00733C5C" w:rsidRDefault="0085302E" w:rsidP="00733C5C">
            <w:pPr>
              <w:rPr>
                <w:rFonts w:ascii="Arial Narrow" w:hAnsi="Arial Narrow" w:cs="Calibri"/>
                <w:b/>
                <w:bCs/>
                <w:color w:val="FFFFFF" w:themeColor="background1"/>
                <w:sz w:val="20"/>
                <w:szCs w:val="20"/>
              </w:rPr>
            </w:pPr>
            <w:r w:rsidRPr="00733C5C">
              <w:rPr>
                <w:rFonts w:ascii="Arial Narrow" w:hAnsi="Arial Narrow" w:cs="Calibri"/>
                <w:b/>
                <w:bCs/>
                <w:color w:val="FFFFFF" w:themeColor="background1"/>
                <w:sz w:val="20"/>
                <w:szCs w:val="20"/>
              </w:rPr>
              <w:t>Derra</w:t>
            </w:r>
          </w:p>
        </w:tc>
      </w:tr>
      <w:tr w:rsidR="00836E03" w:rsidRPr="00521515" w14:paraId="1C80E3D9" w14:textId="77777777" w:rsidTr="00733C5C">
        <w:trPr>
          <w:trHeight w:val="227"/>
        </w:trPr>
        <w:tc>
          <w:tcPr>
            <w:tcW w:w="882" w:type="pct"/>
            <w:noWrap/>
            <w:hideMark/>
          </w:tcPr>
          <w:p w14:paraId="24B368D9" w14:textId="77777777" w:rsidR="00836E03" w:rsidRPr="00521515" w:rsidRDefault="00836E03" w:rsidP="00733C5C">
            <w:pPr>
              <w:rPr>
                <w:rFonts w:ascii="Arial Narrow" w:hAnsi="Arial Narrow" w:cs="Calibri"/>
                <w:b/>
                <w:bCs/>
                <w:color w:val="000000"/>
                <w:sz w:val="20"/>
                <w:szCs w:val="20"/>
              </w:rPr>
            </w:pPr>
            <w:r w:rsidRPr="00521515">
              <w:rPr>
                <w:rFonts w:ascii="Arial Narrow" w:hAnsi="Arial Narrow" w:cs="Calibri"/>
                <w:color w:val="000000"/>
                <w:sz w:val="20"/>
                <w:szCs w:val="20"/>
              </w:rPr>
              <w:t>Deçan</w:t>
            </w:r>
          </w:p>
        </w:tc>
        <w:tc>
          <w:tcPr>
            <w:tcW w:w="827" w:type="pct"/>
            <w:tcBorders>
              <w:top w:val="single" w:sz="4" w:space="0" w:color="auto"/>
              <w:left w:val="nil"/>
              <w:bottom w:val="single" w:sz="4" w:space="0" w:color="auto"/>
              <w:right w:val="single" w:sz="4" w:space="0" w:color="auto"/>
            </w:tcBorders>
            <w:shd w:val="clear" w:color="auto" w:fill="auto"/>
            <w:noWrap/>
            <w:hideMark/>
          </w:tcPr>
          <w:p w14:paraId="11CA1D3C" w14:textId="477CFE63"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11,367</w:t>
            </w:r>
          </w:p>
        </w:tc>
        <w:tc>
          <w:tcPr>
            <w:tcW w:w="826" w:type="pct"/>
            <w:tcBorders>
              <w:top w:val="single" w:sz="4" w:space="0" w:color="auto"/>
              <w:left w:val="single" w:sz="4" w:space="0" w:color="auto"/>
              <w:bottom w:val="single" w:sz="4" w:space="0" w:color="auto"/>
              <w:right w:val="single" w:sz="4" w:space="0" w:color="auto"/>
            </w:tcBorders>
            <w:shd w:val="clear" w:color="auto" w:fill="auto"/>
            <w:noWrap/>
            <w:hideMark/>
          </w:tcPr>
          <w:p w14:paraId="11D03674" w14:textId="7A08FB13"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3,139</w:t>
            </w:r>
          </w:p>
        </w:tc>
        <w:tc>
          <w:tcPr>
            <w:tcW w:w="826" w:type="pct"/>
            <w:tcBorders>
              <w:top w:val="single" w:sz="4" w:space="0" w:color="auto"/>
              <w:left w:val="single" w:sz="4" w:space="0" w:color="auto"/>
              <w:bottom w:val="single" w:sz="4" w:space="0" w:color="auto"/>
              <w:right w:val="single" w:sz="4" w:space="0" w:color="auto"/>
            </w:tcBorders>
            <w:shd w:val="clear" w:color="auto" w:fill="auto"/>
            <w:noWrap/>
            <w:hideMark/>
          </w:tcPr>
          <w:p w14:paraId="7BC5C7B2" w14:textId="0108C9B3"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216</w:t>
            </w:r>
          </w:p>
        </w:tc>
        <w:tc>
          <w:tcPr>
            <w:tcW w:w="817" w:type="pct"/>
            <w:tcBorders>
              <w:top w:val="single" w:sz="4" w:space="0" w:color="auto"/>
              <w:left w:val="single" w:sz="4" w:space="0" w:color="auto"/>
              <w:bottom w:val="single" w:sz="4" w:space="0" w:color="auto"/>
              <w:right w:val="single" w:sz="4" w:space="0" w:color="auto"/>
            </w:tcBorders>
            <w:shd w:val="clear" w:color="auto" w:fill="auto"/>
            <w:noWrap/>
            <w:hideMark/>
          </w:tcPr>
          <w:p w14:paraId="6D8AE369" w14:textId="1768DF89"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9,874</w:t>
            </w:r>
          </w:p>
        </w:tc>
        <w:tc>
          <w:tcPr>
            <w:tcW w:w="823" w:type="pct"/>
            <w:tcBorders>
              <w:top w:val="single" w:sz="4" w:space="0" w:color="auto"/>
              <w:left w:val="single" w:sz="4" w:space="0" w:color="auto"/>
              <w:bottom w:val="single" w:sz="4" w:space="0" w:color="auto"/>
              <w:right w:val="single" w:sz="4" w:space="0" w:color="auto"/>
            </w:tcBorders>
            <w:shd w:val="clear" w:color="auto" w:fill="auto"/>
            <w:noWrap/>
            <w:hideMark/>
          </w:tcPr>
          <w:p w14:paraId="044314C8" w14:textId="13329094"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36</w:t>
            </w:r>
          </w:p>
        </w:tc>
      </w:tr>
      <w:tr w:rsidR="00836E03" w:rsidRPr="00521515" w14:paraId="679396CE" w14:textId="77777777" w:rsidTr="00733C5C">
        <w:trPr>
          <w:trHeight w:val="227"/>
        </w:trPr>
        <w:tc>
          <w:tcPr>
            <w:tcW w:w="882" w:type="pct"/>
            <w:noWrap/>
            <w:hideMark/>
          </w:tcPr>
          <w:p w14:paraId="17B1AF3C" w14:textId="77777777" w:rsidR="00836E03" w:rsidRPr="00521515" w:rsidRDefault="00836E03" w:rsidP="00733C5C">
            <w:pPr>
              <w:rPr>
                <w:rFonts w:ascii="Arial Narrow" w:hAnsi="Arial Narrow" w:cs="Calibri"/>
                <w:b/>
                <w:bCs/>
                <w:color w:val="000000"/>
                <w:sz w:val="20"/>
                <w:szCs w:val="20"/>
              </w:rPr>
            </w:pPr>
            <w:r w:rsidRPr="00521515">
              <w:rPr>
                <w:rFonts w:ascii="Arial Narrow" w:hAnsi="Arial Narrow" w:cs="Calibri"/>
                <w:color w:val="000000"/>
                <w:sz w:val="20"/>
                <w:szCs w:val="20"/>
              </w:rPr>
              <w:t>Istog</w:t>
            </w:r>
          </w:p>
        </w:tc>
        <w:tc>
          <w:tcPr>
            <w:tcW w:w="827" w:type="pct"/>
            <w:tcBorders>
              <w:top w:val="single" w:sz="4" w:space="0" w:color="auto"/>
              <w:left w:val="nil"/>
              <w:bottom w:val="single" w:sz="4" w:space="0" w:color="auto"/>
              <w:right w:val="single" w:sz="4" w:space="0" w:color="auto"/>
            </w:tcBorders>
            <w:shd w:val="clear" w:color="auto" w:fill="auto"/>
            <w:noWrap/>
            <w:hideMark/>
          </w:tcPr>
          <w:p w14:paraId="169C5B81" w14:textId="7EE53E41"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15,817</w:t>
            </w:r>
          </w:p>
        </w:tc>
        <w:tc>
          <w:tcPr>
            <w:tcW w:w="826" w:type="pct"/>
            <w:tcBorders>
              <w:top w:val="single" w:sz="4" w:space="0" w:color="auto"/>
              <w:left w:val="single" w:sz="4" w:space="0" w:color="auto"/>
              <w:bottom w:val="single" w:sz="4" w:space="0" w:color="auto"/>
              <w:right w:val="single" w:sz="4" w:space="0" w:color="auto"/>
            </w:tcBorders>
            <w:shd w:val="clear" w:color="auto" w:fill="auto"/>
            <w:noWrap/>
            <w:hideMark/>
          </w:tcPr>
          <w:p w14:paraId="076F1B04" w14:textId="771DA534"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10,055</w:t>
            </w:r>
          </w:p>
        </w:tc>
        <w:tc>
          <w:tcPr>
            <w:tcW w:w="826" w:type="pct"/>
            <w:tcBorders>
              <w:top w:val="single" w:sz="4" w:space="0" w:color="auto"/>
              <w:left w:val="single" w:sz="4" w:space="0" w:color="auto"/>
              <w:bottom w:val="single" w:sz="4" w:space="0" w:color="auto"/>
              <w:right w:val="single" w:sz="4" w:space="0" w:color="auto"/>
            </w:tcBorders>
            <w:shd w:val="clear" w:color="auto" w:fill="auto"/>
            <w:noWrap/>
            <w:hideMark/>
          </w:tcPr>
          <w:p w14:paraId="4C6C0FF1" w14:textId="0809423C"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1,153</w:t>
            </w:r>
          </w:p>
        </w:tc>
        <w:tc>
          <w:tcPr>
            <w:tcW w:w="817" w:type="pct"/>
            <w:tcBorders>
              <w:top w:val="single" w:sz="4" w:space="0" w:color="auto"/>
              <w:left w:val="single" w:sz="4" w:space="0" w:color="auto"/>
              <w:bottom w:val="single" w:sz="4" w:space="0" w:color="auto"/>
              <w:right w:val="single" w:sz="4" w:space="0" w:color="auto"/>
            </w:tcBorders>
            <w:shd w:val="clear" w:color="auto" w:fill="auto"/>
            <w:noWrap/>
            <w:hideMark/>
          </w:tcPr>
          <w:p w14:paraId="68AC5FD3" w14:textId="0F907356"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41,957</w:t>
            </w:r>
          </w:p>
        </w:tc>
        <w:tc>
          <w:tcPr>
            <w:tcW w:w="823" w:type="pct"/>
            <w:tcBorders>
              <w:top w:val="single" w:sz="4" w:space="0" w:color="auto"/>
              <w:left w:val="single" w:sz="4" w:space="0" w:color="auto"/>
              <w:bottom w:val="single" w:sz="4" w:space="0" w:color="auto"/>
              <w:right w:val="single" w:sz="4" w:space="0" w:color="auto"/>
            </w:tcBorders>
            <w:shd w:val="clear" w:color="auto" w:fill="auto"/>
            <w:noWrap/>
            <w:hideMark/>
          </w:tcPr>
          <w:p w14:paraId="37E5023C" w14:textId="689C1DF0"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607</w:t>
            </w:r>
          </w:p>
        </w:tc>
      </w:tr>
      <w:tr w:rsidR="00836E03" w:rsidRPr="00521515" w14:paraId="0AB6087A" w14:textId="77777777" w:rsidTr="00733C5C">
        <w:trPr>
          <w:trHeight w:val="227"/>
        </w:trPr>
        <w:tc>
          <w:tcPr>
            <w:tcW w:w="882" w:type="pct"/>
            <w:noWrap/>
            <w:hideMark/>
          </w:tcPr>
          <w:p w14:paraId="240D42F7" w14:textId="77777777" w:rsidR="00836E03" w:rsidRPr="00521515" w:rsidRDefault="00836E03" w:rsidP="00733C5C">
            <w:pPr>
              <w:rPr>
                <w:rFonts w:ascii="Arial Narrow" w:hAnsi="Arial Narrow" w:cs="Calibri"/>
                <w:b/>
                <w:bCs/>
                <w:color w:val="000000"/>
                <w:sz w:val="20"/>
                <w:szCs w:val="20"/>
              </w:rPr>
            </w:pPr>
            <w:r w:rsidRPr="00521515">
              <w:rPr>
                <w:rFonts w:ascii="Arial Narrow" w:hAnsi="Arial Narrow" w:cs="Calibri"/>
                <w:color w:val="000000"/>
                <w:sz w:val="20"/>
                <w:szCs w:val="20"/>
              </w:rPr>
              <w:t>Junik</w:t>
            </w:r>
          </w:p>
        </w:tc>
        <w:tc>
          <w:tcPr>
            <w:tcW w:w="827" w:type="pct"/>
            <w:tcBorders>
              <w:top w:val="single" w:sz="4" w:space="0" w:color="auto"/>
              <w:left w:val="nil"/>
              <w:bottom w:val="single" w:sz="4" w:space="0" w:color="auto"/>
              <w:right w:val="single" w:sz="4" w:space="0" w:color="auto"/>
            </w:tcBorders>
            <w:shd w:val="clear" w:color="auto" w:fill="auto"/>
            <w:noWrap/>
            <w:hideMark/>
          </w:tcPr>
          <w:p w14:paraId="2BCEC750" w14:textId="456C0671"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1,113</w:t>
            </w:r>
          </w:p>
        </w:tc>
        <w:tc>
          <w:tcPr>
            <w:tcW w:w="826" w:type="pct"/>
            <w:tcBorders>
              <w:top w:val="single" w:sz="4" w:space="0" w:color="auto"/>
              <w:left w:val="single" w:sz="4" w:space="0" w:color="auto"/>
              <w:bottom w:val="single" w:sz="4" w:space="0" w:color="auto"/>
              <w:right w:val="single" w:sz="4" w:space="0" w:color="auto"/>
            </w:tcBorders>
            <w:shd w:val="clear" w:color="auto" w:fill="auto"/>
            <w:noWrap/>
            <w:hideMark/>
          </w:tcPr>
          <w:p w14:paraId="36C109C7" w14:textId="1E9BA73C"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1,000</w:t>
            </w:r>
          </w:p>
        </w:tc>
        <w:tc>
          <w:tcPr>
            <w:tcW w:w="826" w:type="pct"/>
            <w:tcBorders>
              <w:top w:val="single" w:sz="4" w:space="0" w:color="auto"/>
              <w:left w:val="single" w:sz="4" w:space="0" w:color="auto"/>
              <w:bottom w:val="single" w:sz="4" w:space="0" w:color="auto"/>
              <w:right w:val="single" w:sz="4" w:space="0" w:color="auto"/>
            </w:tcBorders>
            <w:shd w:val="clear" w:color="auto" w:fill="auto"/>
            <w:noWrap/>
            <w:hideMark/>
          </w:tcPr>
          <w:p w14:paraId="26A0D63C" w14:textId="35A5DC44"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23</w:t>
            </w:r>
          </w:p>
        </w:tc>
        <w:tc>
          <w:tcPr>
            <w:tcW w:w="817" w:type="pct"/>
            <w:tcBorders>
              <w:top w:val="single" w:sz="4" w:space="0" w:color="auto"/>
              <w:left w:val="single" w:sz="4" w:space="0" w:color="auto"/>
              <w:bottom w:val="single" w:sz="4" w:space="0" w:color="auto"/>
              <w:right w:val="single" w:sz="4" w:space="0" w:color="auto"/>
            </w:tcBorders>
            <w:shd w:val="clear" w:color="auto" w:fill="auto"/>
            <w:noWrap/>
            <w:hideMark/>
          </w:tcPr>
          <w:p w14:paraId="03478575" w14:textId="145FE725"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1,619</w:t>
            </w:r>
          </w:p>
        </w:tc>
        <w:tc>
          <w:tcPr>
            <w:tcW w:w="823" w:type="pct"/>
            <w:tcBorders>
              <w:top w:val="single" w:sz="4" w:space="0" w:color="auto"/>
              <w:left w:val="single" w:sz="4" w:space="0" w:color="auto"/>
              <w:bottom w:val="single" w:sz="4" w:space="0" w:color="auto"/>
              <w:right w:val="single" w:sz="4" w:space="0" w:color="auto"/>
            </w:tcBorders>
            <w:shd w:val="clear" w:color="auto" w:fill="auto"/>
            <w:noWrap/>
            <w:hideMark/>
          </w:tcPr>
          <w:p w14:paraId="69D77BD2" w14:textId="4E7F6FA7"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w:t>
            </w:r>
          </w:p>
        </w:tc>
      </w:tr>
      <w:tr w:rsidR="00836E03" w:rsidRPr="00521515" w14:paraId="149A1600" w14:textId="77777777" w:rsidTr="00733C5C">
        <w:trPr>
          <w:trHeight w:val="227"/>
        </w:trPr>
        <w:tc>
          <w:tcPr>
            <w:tcW w:w="882" w:type="pct"/>
            <w:noWrap/>
            <w:hideMark/>
          </w:tcPr>
          <w:p w14:paraId="046FEAFE" w14:textId="77777777" w:rsidR="00836E03" w:rsidRPr="00521515" w:rsidRDefault="00836E03" w:rsidP="00733C5C">
            <w:pPr>
              <w:rPr>
                <w:rFonts w:ascii="Arial Narrow" w:hAnsi="Arial Narrow" w:cs="Calibri"/>
                <w:b/>
                <w:bCs/>
                <w:color w:val="000000"/>
                <w:sz w:val="20"/>
                <w:szCs w:val="20"/>
              </w:rPr>
            </w:pPr>
            <w:r w:rsidRPr="00521515">
              <w:rPr>
                <w:rFonts w:ascii="Arial Narrow" w:hAnsi="Arial Narrow" w:cs="Calibri"/>
                <w:color w:val="000000"/>
                <w:sz w:val="20"/>
                <w:szCs w:val="20"/>
              </w:rPr>
              <w:t>Klinë</w:t>
            </w:r>
          </w:p>
        </w:tc>
        <w:tc>
          <w:tcPr>
            <w:tcW w:w="827" w:type="pct"/>
            <w:tcBorders>
              <w:top w:val="single" w:sz="4" w:space="0" w:color="auto"/>
              <w:left w:val="nil"/>
              <w:bottom w:val="single" w:sz="4" w:space="0" w:color="auto"/>
              <w:right w:val="single" w:sz="4" w:space="0" w:color="auto"/>
            </w:tcBorders>
            <w:shd w:val="clear" w:color="auto" w:fill="auto"/>
            <w:noWrap/>
            <w:hideMark/>
          </w:tcPr>
          <w:p w14:paraId="5496CE5D" w14:textId="1DAB44D8"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10,474</w:t>
            </w:r>
          </w:p>
        </w:tc>
        <w:tc>
          <w:tcPr>
            <w:tcW w:w="826" w:type="pct"/>
            <w:tcBorders>
              <w:top w:val="single" w:sz="4" w:space="0" w:color="auto"/>
              <w:left w:val="single" w:sz="4" w:space="0" w:color="auto"/>
              <w:bottom w:val="single" w:sz="4" w:space="0" w:color="auto"/>
              <w:right w:val="single" w:sz="4" w:space="0" w:color="auto"/>
            </w:tcBorders>
            <w:shd w:val="clear" w:color="auto" w:fill="auto"/>
            <w:noWrap/>
            <w:hideMark/>
          </w:tcPr>
          <w:p w14:paraId="3877B98D" w14:textId="241BC294"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2,345</w:t>
            </w:r>
          </w:p>
        </w:tc>
        <w:tc>
          <w:tcPr>
            <w:tcW w:w="826" w:type="pct"/>
            <w:tcBorders>
              <w:top w:val="single" w:sz="4" w:space="0" w:color="auto"/>
              <w:left w:val="single" w:sz="4" w:space="0" w:color="auto"/>
              <w:bottom w:val="single" w:sz="4" w:space="0" w:color="auto"/>
              <w:right w:val="single" w:sz="4" w:space="0" w:color="auto"/>
            </w:tcBorders>
            <w:shd w:val="clear" w:color="auto" w:fill="auto"/>
            <w:noWrap/>
            <w:hideMark/>
          </w:tcPr>
          <w:p w14:paraId="6416220C" w14:textId="3DF5DF9D"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606</w:t>
            </w:r>
          </w:p>
        </w:tc>
        <w:tc>
          <w:tcPr>
            <w:tcW w:w="817" w:type="pct"/>
            <w:tcBorders>
              <w:top w:val="single" w:sz="4" w:space="0" w:color="auto"/>
              <w:left w:val="single" w:sz="4" w:space="0" w:color="auto"/>
              <w:bottom w:val="single" w:sz="4" w:space="0" w:color="auto"/>
              <w:right w:val="single" w:sz="4" w:space="0" w:color="auto"/>
            </w:tcBorders>
            <w:shd w:val="clear" w:color="auto" w:fill="auto"/>
            <w:noWrap/>
            <w:hideMark/>
          </w:tcPr>
          <w:p w14:paraId="40251FAB" w14:textId="691B0824"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41,546</w:t>
            </w:r>
          </w:p>
        </w:tc>
        <w:tc>
          <w:tcPr>
            <w:tcW w:w="823" w:type="pct"/>
            <w:tcBorders>
              <w:top w:val="single" w:sz="4" w:space="0" w:color="auto"/>
              <w:left w:val="single" w:sz="4" w:space="0" w:color="auto"/>
              <w:bottom w:val="single" w:sz="4" w:space="0" w:color="auto"/>
              <w:right w:val="single" w:sz="4" w:space="0" w:color="auto"/>
            </w:tcBorders>
            <w:shd w:val="clear" w:color="auto" w:fill="auto"/>
            <w:noWrap/>
            <w:hideMark/>
          </w:tcPr>
          <w:p w14:paraId="6B3CBFE1" w14:textId="1D2808E0"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4,160</w:t>
            </w:r>
          </w:p>
        </w:tc>
      </w:tr>
      <w:tr w:rsidR="00836E03" w:rsidRPr="00521515" w14:paraId="4B6EED68" w14:textId="77777777" w:rsidTr="00733C5C">
        <w:trPr>
          <w:trHeight w:val="227"/>
        </w:trPr>
        <w:tc>
          <w:tcPr>
            <w:tcW w:w="882" w:type="pct"/>
            <w:noWrap/>
            <w:hideMark/>
          </w:tcPr>
          <w:p w14:paraId="764AA9D4" w14:textId="77777777" w:rsidR="00836E03" w:rsidRPr="00521515" w:rsidRDefault="00836E03" w:rsidP="00733C5C">
            <w:pPr>
              <w:rPr>
                <w:rFonts w:ascii="Arial Narrow" w:hAnsi="Arial Narrow" w:cs="Calibri"/>
                <w:b/>
                <w:bCs/>
                <w:color w:val="000000"/>
                <w:sz w:val="20"/>
                <w:szCs w:val="20"/>
              </w:rPr>
            </w:pPr>
            <w:r w:rsidRPr="00521515">
              <w:rPr>
                <w:rFonts w:ascii="Arial Narrow" w:hAnsi="Arial Narrow" w:cs="Calibri"/>
                <w:color w:val="000000"/>
                <w:sz w:val="20"/>
                <w:szCs w:val="20"/>
              </w:rPr>
              <w:t>Pejë</w:t>
            </w:r>
          </w:p>
        </w:tc>
        <w:tc>
          <w:tcPr>
            <w:tcW w:w="827" w:type="pct"/>
            <w:tcBorders>
              <w:top w:val="single" w:sz="4" w:space="0" w:color="auto"/>
              <w:left w:val="nil"/>
              <w:bottom w:val="single" w:sz="4" w:space="0" w:color="auto"/>
              <w:right w:val="single" w:sz="4" w:space="0" w:color="auto"/>
            </w:tcBorders>
            <w:shd w:val="clear" w:color="auto" w:fill="auto"/>
            <w:noWrap/>
            <w:hideMark/>
          </w:tcPr>
          <w:p w14:paraId="2962342F" w14:textId="47166E94"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18,199</w:t>
            </w:r>
          </w:p>
        </w:tc>
        <w:tc>
          <w:tcPr>
            <w:tcW w:w="826" w:type="pct"/>
            <w:tcBorders>
              <w:top w:val="single" w:sz="4" w:space="0" w:color="auto"/>
              <w:left w:val="single" w:sz="4" w:space="0" w:color="auto"/>
              <w:bottom w:val="single" w:sz="4" w:space="0" w:color="auto"/>
              <w:right w:val="single" w:sz="4" w:space="0" w:color="auto"/>
            </w:tcBorders>
            <w:shd w:val="clear" w:color="auto" w:fill="auto"/>
            <w:noWrap/>
            <w:hideMark/>
          </w:tcPr>
          <w:p w14:paraId="3778C6D1" w14:textId="1AEDDE2A"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8,599</w:t>
            </w:r>
          </w:p>
        </w:tc>
        <w:tc>
          <w:tcPr>
            <w:tcW w:w="826" w:type="pct"/>
            <w:tcBorders>
              <w:top w:val="single" w:sz="4" w:space="0" w:color="auto"/>
              <w:left w:val="single" w:sz="4" w:space="0" w:color="auto"/>
              <w:bottom w:val="single" w:sz="4" w:space="0" w:color="auto"/>
              <w:right w:val="single" w:sz="4" w:space="0" w:color="auto"/>
            </w:tcBorders>
            <w:shd w:val="clear" w:color="auto" w:fill="auto"/>
            <w:noWrap/>
            <w:hideMark/>
          </w:tcPr>
          <w:p w14:paraId="2F700E4D" w14:textId="29F6093C"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1,420</w:t>
            </w:r>
          </w:p>
        </w:tc>
        <w:tc>
          <w:tcPr>
            <w:tcW w:w="817" w:type="pct"/>
            <w:tcBorders>
              <w:top w:val="single" w:sz="4" w:space="0" w:color="auto"/>
              <w:left w:val="single" w:sz="4" w:space="0" w:color="auto"/>
              <w:bottom w:val="single" w:sz="4" w:space="0" w:color="auto"/>
              <w:right w:val="single" w:sz="4" w:space="0" w:color="auto"/>
            </w:tcBorders>
            <w:shd w:val="clear" w:color="auto" w:fill="auto"/>
            <w:noWrap/>
            <w:hideMark/>
          </w:tcPr>
          <w:p w14:paraId="78E179A9" w14:textId="78EE0324"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61,411</w:t>
            </w:r>
          </w:p>
        </w:tc>
        <w:tc>
          <w:tcPr>
            <w:tcW w:w="823" w:type="pct"/>
            <w:tcBorders>
              <w:top w:val="single" w:sz="4" w:space="0" w:color="auto"/>
              <w:left w:val="single" w:sz="4" w:space="0" w:color="auto"/>
              <w:bottom w:val="single" w:sz="4" w:space="0" w:color="auto"/>
              <w:right w:val="single" w:sz="4" w:space="0" w:color="auto"/>
            </w:tcBorders>
            <w:shd w:val="clear" w:color="auto" w:fill="auto"/>
            <w:noWrap/>
            <w:hideMark/>
          </w:tcPr>
          <w:p w14:paraId="7D05327D" w14:textId="123ADABC" w:rsidR="00836E03" w:rsidRPr="00521515" w:rsidRDefault="00836E03" w:rsidP="00733C5C">
            <w:pPr>
              <w:rPr>
                <w:rFonts w:ascii="Arial Narrow" w:hAnsi="Arial Narrow" w:cs="Calibri"/>
                <w:color w:val="000000"/>
                <w:sz w:val="20"/>
                <w:szCs w:val="20"/>
              </w:rPr>
            </w:pPr>
            <w:r w:rsidRPr="00521515">
              <w:rPr>
                <w:rFonts w:ascii="Arial Narrow" w:hAnsi="Arial Narrow"/>
                <w:color w:val="000000"/>
                <w:sz w:val="20"/>
                <w:szCs w:val="20"/>
              </w:rPr>
              <w:t>829</w:t>
            </w:r>
          </w:p>
        </w:tc>
      </w:tr>
    </w:tbl>
    <w:p w14:paraId="79967C54" w14:textId="77777777" w:rsidR="0085302E" w:rsidRPr="0085302E" w:rsidRDefault="0085302E" w:rsidP="004A47C0">
      <w:pPr>
        <w:pStyle w:val="source0"/>
      </w:pPr>
      <w:r w:rsidRPr="0085302E">
        <w:t>Burimi: Agjencia e Statistikave të Kosovës (ASK), 2014 (të dhënat e regjistrimit të popullsisë)</w:t>
      </w:r>
    </w:p>
    <w:p w14:paraId="1D2CA2A5" w14:textId="77777777" w:rsidR="0085302E" w:rsidRPr="00041A95" w:rsidRDefault="0085302E" w:rsidP="0085302E">
      <w:pPr>
        <w:rPr>
          <w:rFonts w:eastAsia="Calibri" w:cs="Calibri"/>
          <w:sz w:val="22"/>
          <w:szCs w:val="22"/>
          <w:highlight w:val="green"/>
        </w:rPr>
      </w:pPr>
    </w:p>
    <w:p w14:paraId="54685ECB" w14:textId="100368FB" w:rsidR="0085302E" w:rsidRDefault="00F4290B" w:rsidP="004A47C0">
      <w:pPr>
        <w:pStyle w:val="Paragraph"/>
        <w:rPr>
          <w:rFonts w:eastAsia="Calibri"/>
        </w:rPr>
      </w:pPr>
      <w:r>
        <w:rPr>
          <w:rFonts w:eastAsia="Calibri"/>
        </w:rPr>
        <w:t xml:space="preserve">Tabela më poshtë paraqet të dhënat për sipërfaqet në rajon të </w:t>
      </w:r>
      <w:r w:rsidR="0060411F">
        <w:rPr>
          <w:rFonts w:eastAsia="Calibri"/>
        </w:rPr>
        <w:t>mbjellura me</w:t>
      </w:r>
      <w:r>
        <w:rPr>
          <w:rFonts w:eastAsia="Calibri"/>
        </w:rPr>
        <w:t xml:space="preserve"> kultura bujqësore.</w:t>
      </w:r>
    </w:p>
    <w:p w14:paraId="43097D32" w14:textId="3C31E165" w:rsidR="0085302E" w:rsidRPr="007F50ED" w:rsidRDefault="0085302E" w:rsidP="007F50ED">
      <w:pPr>
        <w:suppressAutoHyphens/>
        <w:rPr>
          <w:rFonts w:ascii="Arial Narrow" w:eastAsia="Calibri" w:hAnsi="Arial Narrow" w:cs="Calibri"/>
          <w:color w:val="1F497D"/>
          <w:sz w:val="20"/>
          <w:szCs w:val="20"/>
        </w:rPr>
      </w:pPr>
      <w:bookmarkStart w:id="155" w:name="_Toc197472200"/>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15.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 xml:space="preserve">Sipërfaqet e të korrave në </w:t>
      </w:r>
      <w:r w:rsidR="0060411F">
        <w:rPr>
          <w:rFonts w:ascii="Arial Narrow" w:eastAsia="Calibri" w:hAnsi="Arial Narrow" w:cs="Calibri"/>
          <w:color w:val="1F497D"/>
          <w:sz w:val="20"/>
          <w:szCs w:val="20"/>
        </w:rPr>
        <w:t>hektarë (</w:t>
      </w:r>
      <w:r w:rsidRPr="007F50ED">
        <w:rPr>
          <w:rFonts w:ascii="Arial Narrow" w:eastAsia="Calibri" w:hAnsi="Arial Narrow" w:cs="Calibri"/>
          <w:color w:val="1F497D"/>
          <w:sz w:val="20"/>
          <w:szCs w:val="20"/>
        </w:rPr>
        <w:t>ha</w:t>
      </w:r>
      <w:r w:rsidR="0060411F">
        <w:rPr>
          <w:rFonts w:ascii="Arial Narrow" w:eastAsia="Calibri" w:hAnsi="Arial Narrow" w:cs="Calibri"/>
          <w:color w:val="1F497D"/>
          <w:sz w:val="20"/>
          <w:szCs w:val="20"/>
        </w:rPr>
        <w:t>)</w:t>
      </w:r>
      <w:bookmarkEnd w:id="155"/>
    </w:p>
    <w:tbl>
      <w:tblPr>
        <w:tblStyle w:val="TableGrid41"/>
        <w:tblW w:w="5000" w:type="pct"/>
        <w:tblLook w:val="04A0" w:firstRow="1" w:lastRow="0" w:firstColumn="1" w:lastColumn="0" w:noHBand="0" w:noVBand="1"/>
      </w:tblPr>
      <w:tblGrid>
        <w:gridCol w:w="2678"/>
        <w:gridCol w:w="1547"/>
        <w:gridCol w:w="1547"/>
        <w:gridCol w:w="1547"/>
        <w:gridCol w:w="1697"/>
      </w:tblGrid>
      <w:tr w:rsidR="00733C5C" w:rsidRPr="00733C5C" w14:paraId="4822CE31" w14:textId="77777777" w:rsidTr="006347D6">
        <w:trPr>
          <w:trHeight w:val="227"/>
          <w:tblHeader/>
        </w:trPr>
        <w:tc>
          <w:tcPr>
            <w:tcW w:w="1485" w:type="pct"/>
            <w:shd w:val="clear" w:color="auto" w:fill="365F91"/>
            <w:noWrap/>
          </w:tcPr>
          <w:p w14:paraId="5E14ACC5" w14:textId="4838FBE7" w:rsidR="0085302E" w:rsidRPr="00733C5C" w:rsidRDefault="0060411F" w:rsidP="00733C5C">
            <w:pPr>
              <w:rPr>
                <w:rFonts w:ascii="Arial Narrow" w:hAnsi="Arial Narrow" w:cs="Calibri"/>
                <w:b/>
                <w:bCs/>
                <w:color w:val="FFFFFF" w:themeColor="background1"/>
                <w:sz w:val="20"/>
                <w:szCs w:val="20"/>
              </w:rPr>
            </w:pPr>
            <w:r>
              <w:rPr>
                <w:rFonts w:ascii="Arial Narrow" w:hAnsi="Arial Narrow" w:cs="Calibri"/>
                <w:b/>
                <w:bCs/>
                <w:color w:val="FFFFFF" w:themeColor="background1"/>
                <w:sz w:val="20"/>
                <w:szCs w:val="20"/>
              </w:rPr>
              <w:t>Komuna</w:t>
            </w:r>
          </w:p>
        </w:tc>
        <w:tc>
          <w:tcPr>
            <w:tcW w:w="858" w:type="pct"/>
            <w:tcBorders>
              <w:bottom w:val="single" w:sz="4" w:space="0" w:color="auto"/>
            </w:tcBorders>
            <w:shd w:val="clear" w:color="auto" w:fill="365F91"/>
            <w:noWrap/>
          </w:tcPr>
          <w:p w14:paraId="5A34F7F4" w14:textId="138581FC" w:rsidR="0085302E" w:rsidRPr="00733C5C" w:rsidRDefault="0085302E" w:rsidP="00733C5C">
            <w:pPr>
              <w:jc w:val="right"/>
              <w:rPr>
                <w:rFonts w:ascii="Arial Narrow" w:hAnsi="Arial Narrow" w:cs="Calibri"/>
                <w:b/>
                <w:bCs/>
                <w:color w:val="FFFFFF" w:themeColor="background1"/>
                <w:sz w:val="20"/>
                <w:szCs w:val="20"/>
              </w:rPr>
            </w:pPr>
            <w:r w:rsidRPr="00733C5C">
              <w:rPr>
                <w:rFonts w:ascii="Arial Narrow" w:hAnsi="Arial Narrow" w:cs="Calibri"/>
                <w:b/>
                <w:bCs/>
                <w:color w:val="FFFFFF" w:themeColor="background1"/>
                <w:sz w:val="20"/>
                <w:szCs w:val="20"/>
              </w:rPr>
              <w:t>Grur</w:t>
            </w:r>
            <w:r w:rsidR="0060411F">
              <w:rPr>
                <w:rFonts w:ascii="Arial Narrow" w:hAnsi="Arial Narrow" w:cs="Calibri"/>
                <w:b/>
                <w:bCs/>
                <w:color w:val="FFFFFF" w:themeColor="background1"/>
                <w:sz w:val="20"/>
                <w:szCs w:val="20"/>
              </w:rPr>
              <w:t>ë</w:t>
            </w:r>
          </w:p>
        </w:tc>
        <w:tc>
          <w:tcPr>
            <w:tcW w:w="858" w:type="pct"/>
            <w:tcBorders>
              <w:bottom w:val="single" w:sz="4" w:space="0" w:color="auto"/>
            </w:tcBorders>
            <w:shd w:val="clear" w:color="auto" w:fill="365F91"/>
            <w:noWrap/>
          </w:tcPr>
          <w:p w14:paraId="3D19252E" w14:textId="77777777" w:rsidR="0085302E" w:rsidRPr="00733C5C" w:rsidRDefault="0085302E" w:rsidP="00733C5C">
            <w:pPr>
              <w:jc w:val="right"/>
              <w:rPr>
                <w:rFonts w:ascii="Arial Narrow" w:hAnsi="Arial Narrow" w:cs="Calibri"/>
                <w:b/>
                <w:bCs/>
                <w:color w:val="FFFFFF" w:themeColor="background1"/>
                <w:sz w:val="20"/>
                <w:szCs w:val="20"/>
              </w:rPr>
            </w:pPr>
            <w:r w:rsidRPr="00733C5C">
              <w:rPr>
                <w:rFonts w:ascii="Arial Narrow" w:hAnsi="Arial Narrow" w:cs="Calibri"/>
                <w:b/>
                <w:bCs/>
                <w:color w:val="FFFFFF" w:themeColor="background1"/>
                <w:sz w:val="20"/>
                <w:szCs w:val="20"/>
              </w:rPr>
              <w:t>Misër</w:t>
            </w:r>
          </w:p>
        </w:tc>
        <w:tc>
          <w:tcPr>
            <w:tcW w:w="858" w:type="pct"/>
            <w:tcBorders>
              <w:bottom w:val="single" w:sz="4" w:space="0" w:color="auto"/>
            </w:tcBorders>
            <w:shd w:val="clear" w:color="auto" w:fill="365F91"/>
            <w:noWrap/>
          </w:tcPr>
          <w:p w14:paraId="08B431E0" w14:textId="77777777" w:rsidR="0085302E" w:rsidRPr="00733C5C" w:rsidRDefault="0085302E" w:rsidP="00733C5C">
            <w:pPr>
              <w:jc w:val="right"/>
              <w:rPr>
                <w:rFonts w:ascii="Arial Narrow" w:hAnsi="Arial Narrow" w:cs="Calibri"/>
                <w:b/>
                <w:bCs/>
                <w:color w:val="FFFFFF" w:themeColor="background1"/>
                <w:sz w:val="20"/>
                <w:szCs w:val="20"/>
              </w:rPr>
            </w:pPr>
            <w:r w:rsidRPr="00733C5C">
              <w:rPr>
                <w:rFonts w:ascii="Arial Narrow" w:hAnsi="Arial Narrow" w:cs="Calibri"/>
                <w:b/>
                <w:bCs/>
                <w:color w:val="FFFFFF" w:themeColor="background1"/>
                <w:sz w:val="20"/>
                <w:szCs w:val="20"/>
              </w:rPr>
              <w:t>Elb</w:t>
            </w:r>
          </w:p>
        </w:tc>
        <w:tc>
          <w:tcPr>
            <w:tcW w:w="941" w:type="pct"/>
            <w:tcBorders>
              <w:bottom w:val="single" w:sz="4" w:space="0" w:color="auto"/>
            </w:tcBorders>
            <w:shd w:val="clear" w:color="auto" w:fill="365F91"/>
            <w:noWrap/>
          </w:tcPr>
          <w:p w14:paraId="03EA21E4" w14:textId="77777777" w:rsidR="0085302E" w:rsidRPr="00733C5C" w:rsidRDefault="0085302E" w:rsidP="00733C5C">
            <w:pPr>
              <w:jc w:val="right"/>
              <w:rPr>
                <w:rFonts w:ascii="Arial Narrow" w:hAnsi="Arial Narrow" w:cs="Calibri"/>
                <w:b/>
                <w:bCs/>
                <w:color w:val="FFFFFF" w:themeColor="background1"/>
                <w:sz w:val="20"/>
                <w:szCs w:val="20"/>
              </w:rPr>
            </w:pPr>
            <w:r w:rsidRPr="00733C5C">
              <w:rPr>
                <w:rFonts w:ascii="Arial Narrow" w:hAnsi="Arial Narrow" w:cs="Calibri"/>
                <w:b/>
                <w:bCs/>
                <w:color w:val="FFFFFF" w:themeColor="background1"/>
                <w:sz w:val="20"/>
                <w:szCs w:val="20"/>
              </w:rPr>
              <w:t>Të tjera</w:t>
            </w:r>
          </w:p>
        </w:tc>
      </w:tr>
      <w:tr w:rsidR="00836E03" w:rsidRPr="00521515" w14:paraId="729F8220" w14:textId="77777777" w:rsidTr="00733C5C">
        <w:trPr>
          <w:trHeight w:val="227"/>
        </w:trPr>
        <w:tc>
          <w:tcPr>
            <w:tcW w:w="1485" w:type="pct"/>
            <w:noWrap/>
            <w:hideMark/>
          </w:tcPr>
          <w:p w14:paraId="7A4D07A3" w14:textId="01DA86DB" w:rsidR="00836E03" w:rsidRPr="00521515" w:rsidRDefault="00826494" w:rsidP="00733C5C">
            <w:pPr>
              <w:rPr>
                <w:rFonts w:ascii="Arial Narrow" w:hAnsi="Arial Narrow" w:cs="Calibri"/>
                <w:b/>
                <w:bCs/>
                <w:color w:val="000000"/>
                <w:sz w:val="20"/>
                <w:szCs w:val="20"/>
              </w:rPr>
            </w:pPr>
            <w:r w:rsidRPr="00521515">
              <w:rPr>
                <w:rFonts w:ascii="Arial Narrow" w:hAnsi="Arial Narrow" w:cs="Calibri"/>
                <w:color w:val="000000"/>
                <w:sz w:val="20"/>
                <w:szCs w:val="20"/>
              </w:rPr>
              <w:t>Deçan</w:t>
            </w:r>
          </w:p>
        </w:tc>
        <w:tc>
          <w:tcPr>
            <w:tcW w:w="858" w:type="pct"/>
            <w:tcBorders>
              <w:top w:val="single" w:sz="4" w:space="0" w:color="auto"/>
              <w:left w:val="nil"/>
              <w:bottom w:val="single" w:sz="4" w:space="0" w:color="auto"/>
              <w:right w:val="single" w:sz="4" w:space="0" w:color="auto"/>
            </w:tcBorders>
            <w:shd w:val="clear" w:color="auto" w:fill="auto"/>
            <w:noWrap/>
            <w:hideMark/>
          </w:tcPr>
          <w:p w14:paraId="782AF03F" w14:textId="0AF66693" w:rsidR="00836E03" w:rsidRPr="00521515" w:rsidRDefault="00836E03" w:rsidP="00733C5C">
            <w:pPr>
              <w:jc w:val="right"/>
              <w:rPr>
                <w:rFonts w:ascii="Arial Narrow" w:hAnsi="Arial Narrow" w:cs="Calibri"/>
                <w:color w:val="000000"/>
                <w:sz w:val="20"/>
                <w:szCs w:val="20"/>
              </w:rPr>
            </w:pPr>
            <w:r w:rsidRPr="00521515">
              <w:rPr>
                <w:rFonts w:ascii="Arial Narrow" w:hAnsi="Arial Narrow" w:cs="Calibri"/>
                <w:color w:val="000000"/>
                <w:sz w:val="20"/>
                <w:szCs w:val="20"/>
              </w:rPr>
              <w:t>1,685</w:t>
            </w:r>
          </w:p>
        </w:tc>
        <w:tc>
          <w:tcPr>
            <w:tcW w:w="858" w:type="pct"/>
            <w:tcBorders>
              <w:top w:val="single" w:sz="4" w:space="0" w:color="auto"/>
              <w:left w:val="single" w:sz="4" w:space="0" w:color="auto"/>
              <w:bottom w:val="single" w:sz="4" w:space="0" w:color="auto"/>
              <w:right w:val="single" w:sz="4" w:space="0" w:color="auto"/>
            </w:tcBorders>
            <w:shd w:val="clear" w:color="auto" w:fill="auto"/>
            <w:noWrap/>
            <w:hideMark/>
          </w:tcPr>
          <w:p w14:paraId="224FA0CB" w14:textId="3E34A583" w:rsidR="00836E03" w:rsidRPr="00521515" w:rsidRDefault="00836E03" w:rsidP="00733C5C">
            <w:pPr>
              <w:jc w:val="right"/>
              <w:rPr>
                <w:rFonts w:ascii="Arial Narrow" w:hAnsi="Arial Narrow" w:cs="Calibri"/>
                <w:color w:val="000000"/>
                <w:sz w:val="20"/>
                <w:szCs w:val="20"/>
              </w:rPr>
            </w:pPr>
            <w:r w:rsidRPr="00521515">
              <w:rPr>
                <w:rFonts w:ascii="Arial Narrow" w:hAnsi="Arial Narrow"/>
                <w:color w:val="000000"/>
                <w:sz w:val="20"/>
                <w:szCs w:val="20"/>
              </w:rPr>
              <w:t>823</w:t>
            </w:r>
          </w:p>
        </w:tc>
        <w:tc>
          <w:tcPr>
            <w:tcW w:w="858" w:type="pct"/>
            <w:tcBorders>
              <w:top w:val="single" w:sz="4" w:space="0" w:color="auto"/>
              <w:left w:val="single" w:sz="4" w:space="0" w:color="auto"/>
              <w:bottom w:val="single" w:sz="4" w:space="0" w:color="auto"/>
              <w:right w:val="single" w:sz="4" w:space="0" w:color="auto"/>
            </w:tcBorders>
            <w:shd w:val="clear" w:color="auto" w:fill="auto"/>
            <w:noWrap/>
            <w:hideMark/>
          </w:tcPr>
          <w:p w14:paraId="63D8419E" w14:textId="18EDC2A7" w:rsidR="00836E03" w:rsidRPr="00521515" w:rsidRDefault="00836E03" w:rsidP="00733C5C">
            <w:pPr>
              <w:jc w:val="right"/>
              <w:rPr>
                <w:rFonts w:ascii="Arial Narrow" w:hAnsi="Arial Narrow" w:cs="Calibri"/>
                <w:color w:val="000000"/>
                <w:sz w:val="20"/>
                <w:szCs w:val="20"/>
              </w:rPr>
            </w:pPr>
            <w:r w:rsidRPr="00521515">
              <w:rPr>
                <w:rFonts w:ascii="Arial Narrow" w:hAnsi="Arial Narrow"/>
                <w:color w:val="000000"/>
                <w:sz w:val="20"/>
                <w:szCs w:val="20"/>
              </w:rPr>
              <w:t>7</w:t>
            </w:r>
          </w:p>
        </w:tc>
        <w:tc>
          <w:tcPr>
            <w:tcW w:w="941" w:type="pct"/>
            <w:tcBorders>
              <w:top w:val="single" w:sz="4" w:space="0" w:color="auto"/>
              <w:left w:val="single" w:sz="4" w:space="0" w:color="auto"/>
              <w:bottom w:val="single" w:sz="4" w:space="0" w:color="auto"/>
              <w:right w:val="single" w:sz="4" w:space="0" w:color="auto"/>
            </w:tcBorders>
            <w:shd w:val="clear" w:color="auto" w:fill="auto"/>
            <w:noWrap/>
            <w:hideMark/>
          </w:tcPr>
          <w:p w14:paraId="7A5A3B3D" w14:textId="6B5E34B2" w:rsidR="00836E03" w:rsidRPr="00521515" w:rsidRDefault="00836E03" w:rsidP="00733C5C">
            <w:pPr>
              <w:jc w:val="right"/>
              <w:rPr>
                <w:rFonts w:ascii="Arial Narrow" w:hAnsi="Arial Narrow" w:cs="Calibri"/>
                <w:color w:val="000000"/>
                <w:sz w:val="20"/>
                <w:szCs w:val="20"/>
              </w:rPr>
            </w:pPr>
            <w:r w:rsidRPr="00521515">
              <w:rPr>
                <w:rFonts w:ascii="Arial Narrow" w:hAnsi="Arial Narrow"/>
                <w:color w:val="000000"/>
                <w:sz w:val="20"/>
                <w:szCs w:val="20"/>
              </w:rPr>
              <w:t>2,481</w:t>
            </w:r>
          </w:p>
        </w:tc>
      </w:tr>
      <w:tr w:rsidR="00836E03" w:rsidRPr="00521515" w14:paraId="6E23C347" w14:textId="77777777" w:rsidTr="00733C5C">
        <w:trPr>
          <w:trHeight w:val="227"/>
        </w:trPr>
        <w:tc>
          <w:tcPr>
            <w:tcW w:w="1485" w:type="pct"/>
            <w:noWrap/>
            <w:hideMark/>
          </w:tcPr>
          <w:p w14:paraId="6C500646" w14:textId="77777777" w:rsidR="00836E03" w:rsidRPr="00521515" w:rsidRDefault="00836E03" w:rsidP="00733C5C">
            <w:pPr>
              <w:rPr>
                <w:rFonts w:ascii="Arial Narrow" w:hAnsi="Arial Narrow" w:cs="Calibri"/>
                <w:b/>
                <w:bCs/>
                <w:color w:val="000000"/>
                <w:sz w:val="20"/>
                <w:szCs w:val="20"/>
              </w:rPr>
            </w:pPr>
            <w:r w:rsidRPr="00521515">
              <w:rPr>
                <w:rFonts w:ascii="Arial Narrow" w:hAnsi="Arial Narrow" w:cs="Calibri"/>
                <w:color w:val="000000"/>
                <w:sz w:val="20"/>
                <w:szCs w:val="20"/>
              </w:rPr>
              <w:t>Istog</w:t>
            </w:r>
          </w:p>
        </w:tc>
        <w:tc>
          <w:tcPr>
            <w:tcW w:w="858" w:type="pct"/>
            <w:tcBorders>
              <w:top w:val="single" w:sz="4" w:space="0" w:color="auto"/>
              <w:left w:val="nil"/>
              <w:bottom w:val="single" w:sz="4" w:space="0" w:color="auto"/>
              <w:right w:val="single" w:sz="4" w:space="0" w:color="auto"/>
            </w:tcBorders>
            <w:shd w:val="clear" w:color="auto" w:fill="auto"/>
            <w:noWrap/>
            <w:hideMark/>
          </w:tcPr>
          <w:p w14:paraId="550DA6FC" w14:textId="7FA2FB9A" w:rsidR="00836E03" w:rsidRPr="00521515" w:rsidRDefault="00836E03" w:rsidP="00733C5C">
            <w:pPr>
              <w:jc w:val="right"/>
              <w:rPr>
                <w:rFonts w:ascii="Arial Narrow" w:hAnsi="Arial Narrow" w:cs="Calibri"/>
                <w:color w:val="000000"/>
                <w:sz w:val="20"/>
                <w:szCs w:val="20"/>
              </w:rPr>
            </w:pPr>
            <w:r w:rsidRPr="00521515">
              <w:rPr>
                <w:rFonts w:ascii="Arial Narrow" w:hAnsi="Arial Narrow" w:cs="Calibri"/>
                <w:color w:val="000000"/>
                <w:sz w:val="20"/>
                <w:szCs w:val="20"/>
              </w:rPr>
              <w:t>6,038</w:t>
            </w:r>
          </w:p>
        </w:tc>
        <w:tc>
          <w:tcPr>
            <w:tcW w:w="858" w:type="pct"/>
            <w:tcBorders>
              <w:top w:val="single" w:sz="4" w:space="0" w:color="auto"/>
              <w:left w:val="single" w:sz="4" w:space="0" w:color="auto"/>
              <w:bottom w:val="single" w:sz="4" w:space="0" w:color="auto"/>
              <w:right w:val="single" w:sz="4" w:space="0" w:color="auto"/>
            </w:tcBorders>
            <w:shd w:val="clear" w:color="auto" w:fill="auto"/>
            <w:noWrap/>
            <w:hideMark/>
          </w:tcPr>
          <w:p w14:paraId="07CBFF9F" w14:textId="203288BA" w:rsidR="00836E03" w:rsidRPr="00521515" w:rsidRDefault="00836E03" w:rsidP="00733C5C">
            <w:pPr>
              <w:jc w:val="right"/>
              <w:rPr>
                <w:rFonts w:ascii="Arial Narrow" w:hAnsi="Arial Narrow" w:cs="Calibri"/>
                <w:color w:val="000000"/>
                <w:sz w:val="20"/>
                <w:szCs w:val="20"/>
              </w:rPr>
            </w:pPr>
            <w:r w:rsidRPr="00521515">
              <w:rPr>
                <w:rFonts w:ascii="Arial Narrow" w:hAnsi="Arial Narrow"/>
                <w:color w:val="000000"/>
                <w:sz w:val="20"/>
                <w:szCs w:val="20"/>
              </w:rPr>
              <w:t>2,137</w:t>
            </w:r>
          </w:p>
        </w:tc>
        <w:tc>
          <w:tcPr>
            <w:tcW w:w="858" w:type="pct"/>
            <w:tcBorders>
              <w:top w:val="single" w:sz="4" w:space="0" w:color="auto"/>
              <w:left w:val="single" w:sz="4" w:space="0" w:color="auto"/>
              <w:bottom w:val="single" w:sz="4" w:space="0" w:color="auto"/>
              <w:right w:val="single" w:sz="4" w:space="0" w:color="auto"/>
            </w:tcBorders>
            <w:shd w:val="clear" w:color="auto" w:fill="auto"/>
            <w:noWrap/>
            <w:hideMark/>
          </w:tcPr>
          <w:p w14:paraId="381A23B8" w14:textId="0D0BE907" w:rsidR="00836E03" w:rsidRPr="00521515" w:rsidRDefault="00836E03" w:rsidP="00733C5C">
            <w:pPr>
              <w:jc w:val="right"/>
              <w:rPr>
                <w:rFonts w:ascii="Arial Narrow" w:hAnsi="Arial Narrow" w:cs="Calibri"/>
                <w:color w:val="000000"/>
                <w:sz w:val="20"/>
                <w:szCs w:val="20"/>
              </w:rPr>
            </w:pPr>
            <w:r w:rsidRPr="00521515">
              <w:rPr>
                <w:rFonts w:ascii="Arial Narrow" w:hAnsi="Arial Narrow"/>
                <w:color w:val="000000"/>
                <w:sz w:val="20"/>
                <w:szCs w:val="20"/>
              </w:rPr>
              <w:t>71</w:t>
            </w:r>
          </w:p>
        </w:tc>
        <w:tc>
          <w:tcPr>
            <w:tcW w:w="941" w:type="pct"/>
            <w:tcBorders>
              <w:top w:val="single" w:sz="4" w:space="0" w:color="auto"/>
              <w:left w:val="single" w:sz="4" w:space="0" w:color="auto"/>
              <w:bottom w:val="single" w:sz="4" w:space="0" w:color="auto"/>
              <w:right w:val="single" w:sz="4" w:space="0" w:color="auto"/>
            </w:tcBorders>
            <w:shd w:val="clear" w:color="auto" w:fill="auto"/>
            <w:noWrap/>
            <w:hideMark/>
          </w:tcPr>
          <w:p w14:paraId="5DD92315" w14:textId="57F4391E" w:rsidR="00836E03" w:rsidRPr="00521515" w:rsidRDefault="00836E03" w:rsidP="00733C5C">
            <w:pPr>
              <w:jc w:val="right"/>
              <w:rPr>
                <w:rFonts w:ascii="Arial Narrow" w:hAnsi="Arial Narrow" w:cs="Calibri"/>
                <w:color w:val="000000"/>
                <w:sz w:val="20"/>
                <w:szCs w:val="20"/>
              </w:rPr>
            </w:pPr>
            <w:r w:rsidRPr="00521515">
              <w:rPr>
                <w:rFonts w:ascii="Arial Narrow" w:hAnsi="Arial Narrow"/>
                <w:color w:val="000000"/>
                <w:sz w:val="20"/>
                <w:szCs w:val="20"/>
              </w:rPr>
              <w:t>9,052</w:t>
            </w:r>
          </w:p>
        </w:tc>
      </w:tr>
      <w:tr w:rsidR="00836E03" w:rsidRPr="00521515" w14:paraId="1EB2DBF3" w14:textId="77777777" w:rsidTr="00733C5C">
        <w:trPr>
          <w:trHeight w:val="227"/>
        </w:trPr>
        <w:tc>
          <w:tcPr>
            <w:tcW w:w="1485" w:type="pct"/>
            <w:noWrap/>
            <w:hideMark/>
          </w:tcPr>
          <w:p w14:paraId="6D077526" w14:textId="77777777" w:rsidR="00836E03" w:rsidRPr="00521515" w:rsidRDefault="00836E03" w:rsidP="00733C5C">
            <w:pPr>
              <w:rPr>
                <w:rFonts w:ascii="Arial Narrow" w:hAnsi="Arial Narrow" w:cs="Calibri"/>
                <w:b/>
                <w:bCs/>
                <w:color w:val="000000"/>
                <w:sz w:val="20"/>
                <w:szCs w:val="20"/>
              </w:rPr>
            </w:pPr>
            <w:r w:rsidRPr="00521515">
              <w:rPr>
                <w:rFonts w:ascii="Arial Narrow" w:hAnsi="Arial Narrow" w:cs="Calibri"/>
                <w:color w:val="000000"/>
                <w:sz w:val="20"/>
                <w:szCs w:val="20"/>
              </w:rPr>
              <w:t>Junik</w:t>
            </w:r>
          </w:p>
        </w:tc>
        <w:tc>
          <w:tcPr>
            <w:tcW w:w="858" w:type="pct"/>
            <w:tcBorders>
              <w:top w:val="single" w:sz="4" w:space="0" w:color="auto"/>
              <w:left w:val="nil"/>
              <w:bottom w:val="single" w:sz="4" w:space="0" w:color="auto"/>
              <w:right w:val="single" w:sz="4" w:space="0" w:color="auto"/>
            </w:tcBorders>
            <w:shd w:val="clear" w:color="auto" w:fill="auto"/>
            <w:noWrap/>
            <w:hideMark/>
          </w:tcPr>
          <w:p w14:paraId="52262478" w14:textId="6BE24936" w:rsidR="00836E03" w:rsidRPr="00521515" w:rsidRDefault="00836E03" w:rsidP="00733C5C">
            <w:pPr>
              <w:jc w:val="right"/>
              <w:rPr>
                <w:rFonts w:ascii="Arial Narrow" w:hAnsi="Arial Narrow" w:cs="Calibri"/>
                <w:color w:val="000000"/>
                <w:sz w:val="20"/>
                <w:szCs w:val="20"/>
              </w:rPr>
            </w:pPr>
            <w:r w:rsidRPr="00521515">
              <w:rPr>
                <w:rFonts w:ascii="Arial Narrow" w:hAnsi="Arial Narrow" w:cs="Calibri"/>
                <w:color w:val="000000"/>
                <w:sz w:val="20"/>
                <w:szCs w:val="20"/>
              </w:rPr>
              <w:t>325</w:t>
            </w:r>
          </w:p>
        </w:tc>
        <w:tc>
          <w:tcPr>
            <w:tcW w:w="858" w:type="pct"/>
            <w:tcBorders>
              <w:top w:val="single" w:sz="4" w:space="0" w:color="auto"/>
              <w:left w:val="single" w:sz="4" w:space="0" w:color="auto"/>
              <w:bottom w:val="single" w:sz="4" w:space="0" w:color="auto"/>
              <w:right w:val="single" w:sz="4" w:space="0" w:color="auto"/>
            </w:tcBorders>
            <w:shd w:val="clear" w:color="auto" w:fill="auto"/>
            <w:noWrap/>
            <w:hideMark/>
          </w:tcPr>
          <w:p w14:paraId="1C51FE91" w14:textId="4D126A02" w:rsidR="00836E03" w:rsidRPr="00521515" w:rsidRDefault="00836E03" w:rsidP="00733C5C">
            <w:pPr>
              <w:jc w:val="right"/>
              <w:rPr>
                <w:rFonts w:ascii="Arial Narrow" w:hAnsi="Arial Narrow" w:cs="Calibri"/>
                <w:color w:val="000000"/>
                <w:sz w:val="20"/>
                <w:szCs w:val="20"/>
              </w:rPr>
            </w:pPr>
            <w:r w:rsidRPr="00521515">
              <w:rPr>
                <w:rFonts w:ascii="Arial Narrow" w:hAnsi="Arial Narrow"/>
                <w:color w:val="000000"/>
                <w:sz w:val="20"/>
                <w:szCs w:val="20"/>
              </w:rPr>
              <w:t>111</w:t>
            </w:r>
          </w:p>
        </w:tc>
        <w:tc>
          <w:tcPr>
            <w:tcW w:w="858" w:type="pct"/>
            <w:tcBorders>
              <w:top w:val="single" w:sz="4" w:space="0" w:color="auto"/>
              <w:left w:val="single" w:sz="4" w:space="0" w:color="auto"/>
              <w:bottom w:val="single" w:sz="4" w:space="0" w:color="auto"/>
              <w:right w:val="single" w:sz="4" w:space="0" w:color="auto"/>
            </w:tcBorders>
            <w:shd w:val="clear" w:color="auto" w:fill="auto"/>
            <w:noWrap/>
            <w:hideMark/>
          </w:tcPr>
          <w:p w14:paraId="109FB488" w14:textId="1230CC47" w:rsidR="00836E03" w:rsidRPr="00521515" w:rsidRDefault="00836E03" w:rsidP="00733C5C">
            <w:pPr>
              <w:jc w:val="right"/>
              <w:rPr>
                <w:rFonts w:ascii="Arial Narrow" w:hAnsi="Arial Narrow" w:cs="Calibri"/>
                <w:color w:val="000000"/>
                <w:sz w:val="20"/>
                <w:szCs w:val="20"/>
              </w:rPr>
            </w:pPr>
            <w:r w:rsidRPr="00521515">
              <w:rPr>
                <w:rFonts w:ascii="Arial Narrow" w:hAnsi="Arial Narrow"/>
                <w:color w:val="000000"/>
                <w:sz w:val="20"/>
                <w:szCs w:val="20"/>
              </w:rPr>
              <w:t>-</w:t>
            </w:r>
          </w:p>
        </w:tc>
        <w:tc>
          <w:tcPr>
            <w:tcW w:w="941" w:type="pct"/>
            <w:tcBorders>
              <w:top w:val="single" w:sz="4" w:space="0" w:color="auto"/>
              <w:left w:val="single" w:sz="4" w:space="0" w:color="auto"/>
              <w:bottom w:val="single" w:sz="4" w:space="0" w:color="auto"/>
              <w:right w:val="single" w:sz="4" w:space="0" w:color="auto"/>
            </w:tcBorders>
            <w:shd w:val="clear" w:color="auto" w:fill="auto"/>
            <w:noWrap/>
            <w:hideMark/>
          </w:tcPr>
          <w:p w14:paraId="59DD6D31" w14:textId="6B9BD8EB" w:rsidR="00836E03" w:rsidRPr="00521515" w:rsidRDefault="00836E03" w:rsidP="00733C5C">
            <w:pPr>
              <w:jc w:val="right"/>
              <w:rPr>
                <w:rFonts w:ascii="Arial Narrow" w:hAnsi="Arial Narrow" w:cs="Calibri"/>
                <w:color w:val="000000"/>
                <w:sz w:val="20"/>
                <w:szCs w:val="20"/>
              </w:rPr>
            </w:pPr>
            <w:r w:rsidRPr="00521515">
              <w:rPr>
                <w:rFonts w:ascii="Arial Narrow" w:hAnsi="Arial Narrow"/>
                <w:color w:val="000000"/>
                <w:sz w:val="20"/>
                <w:szCs w:val="20"/>
              </w:rPr>
              <w:t>278</w:t>
            </w:r>
          </w:p>
        </w:tc>
      </w:tr>
      <w:tr w:rsidR="00836E03" w:rsidRPr="00521515" w14:paraId="76DB75F0" w14:textId="77777777" w:rsidTr="00733C5C">
        <w:trPr>
          <w:trHeight w:val="227"/>
        </w:trPr>
        <w:tc>
          <w:tcPr>
            <w:tcW w:w="1485" w:type="pct"/>
            <w:noWrap/>
            <w:hideMark/>
          </w:tcPr>
          <w:p w14:paraId="4EACC960" w14:textId="03D86988" w:rsidR="00836E03" w:rsidRPr="00521515" w:rsidRDefault="00836E03" w:rsidP="00733C5C">
            <w:pPr>
              <w:rPr>
                <w:rFonts w:ascii="Arial Narrow" w:hAnsi="Arial Narrow" w:cs="Calibri"/>
                <w:b/>
                <w:bCs/>
                <w:color w:val="000000"/>
                <w:sz w:val="20"/>
                <w:szCs w:val="20"/>
              </w:rPr>
            </w:pPr>
            <w:r w:rsidRPr="00521515">
              <w:rPr>
                <w:rFonts w:ascii="Arial Narrow" w:hAnsi="Arial Narrow" w:cs="Calibri"/>
                <w:color w:val="000000"/>
                <w:sz w:val="20"/>
                <w:szCs w:val="20"/>
              </w:rPr>
              <w:t>Klin</w:t>
            </w:r>
            <w:r w:rsidR="0060411F">
              <w:rPr>
                <w:rFonts w:ascii="Arial Narrow" w:hAnsi="Arial Narrow" w:cs="Calibri"/>
                <w:color w:val="000000"/>
                <w:sz w:val="20"/>
                <w:szCs w:val="20"/>
              </w:rPr>
              <w:t>ë</w:t>
            </w:r>
          </w:p>
        </w:tc>
        <w:tc>
          <w:tcPr>
            <w:tcW w:w="858" w:type="pct"/>
            <w:tcBorders>
              <w:top w:val="single" w:sz="4" w:space="0" w:color="auto"/>
              <w:left w:val="nil"/>
              <w:bottom w:val="single" w:sz="4" w:space="0" w:color="auto"/>
              <w:right w:val="single" w:sz="4" w:space="0" w:color="auto"/>
            </w:tcBorders>
            <w:shd w:val="clear" w:color="auto" w:fill="auto"/>
            <w:noWrap/>
            <w:hideMark/>
          </w:tcPr>
          <w:p w14:paraId="55B64862" w14:textId="5572057F" w:rsidR="00836E03" w:rsidRPr="00521515" w:rsidRDefault="00836E03" w:rsidP="00733C5C">
            <w:pPr>
              <w:jc w:val="right"/>
              <w:rPr>
                <w:rFonts w:ascii="Arial Narrow" w:hAnsi="Arial Narrow" w:cs="Calibri"/>
                <w:color w:val="000000"/>
                <w:sz w:val="20"/>
                <w:szCs w:val="20"/>
              </w:rPr>
            </w:pPr>
            <w:r w:rsidRPr="00521515">
              <w:rPr>
                <w:rFonts w:ascii="Arial Narrow" w:hAnsi="Arial Narrow" w:cs="Calibri"/>
                <w:color w:val="000000"/>
                <w:sz w:val="20"/>
                <w:szCs w:val="20"/>
              </w:rPr>
              <w:t>7,586</w:t>
            </w:r>
          </w:p>
        </w:tc>
        <w:tc>
          <w:tcPr>
            <w:tcW w:w="858" w:type="pct"/>
            <w:tcBorders>
              <w:top w:val="single" w:sz="4" w:space="0" w:color="auto"/>
              <w:left w:val="single" w:sz="4" w:space="0" w:color="auto"/>
              <w:bottom w:val="single" w:sz="4" w:space="0" w:color="auto"/>
              <w:right w:val="single" w:sz="4" w:space="0" w:color="auto"/>
            </w:tcBorders>
            <w:shd w:val="clear" w:color="auto" w:fill="auto"/>
            <w:noWrap/>
            <w:hideMark/>
          </w:tcPr>
          <w:p w14:paraId="4D03AFA4" w14:textId="31AE839F" w:rsidR="00836E03" w:rsidRPr="00521515" w:rsidRDefault="00836E03" w:rsidP="00733C5C">
            <w:pPr>
              <w:jc w:val="right"/>
              <w:rPr>
                <w:rFonts w:ascii="Arial Narrow" w:hAnsi="Arial Narrow" w:cs="Calibri"/>
                <w:color w:val="000000"/>
                <w:sz w:val="20"/>
                <w:szCs w:val="20"/>
              </w:rPr>
            </w:pPr>
            <w:r w:rsidRPr="00521515">
              <w:rPr>
                <w:rFonts w:ascii="Arial Narrow" w:hAnsi="Arial Narrow"/>
                <w:color w:val="000000"/>
                <w:sz w:val="20"/>
                <w:szCs w:val="20"/>
              </w:rPr>
              <w:t>1,767</w:t>
            </w:r>
          </w:p>
        </w:tc>
        <w:tc>
          <w:tcPr>
            <w:tcW w:w="858" w:type="pct"/>
            <w:tcBorders>
              <w:top w:val="single" w:sz="4" w:space="0" w:color="auto"/>
              <w:left w:val="single" w:sz="4" w:space="0" w:color="auto"/>
              <w:bottom w:val="single" w:sz="4" w:space="0" w:color="auto"/>
              <w:right w:val="single" w:sz="4" w:space="0" w:color="auto"/>
            </w:tcBorders>
            <w:shd w:val="clear" w:color="auto" w:fill="auto"/>
            <w:noWrap/>
            <w:hideMark/>
          </w:tcPr>
          <w:p w14:paraId="217610D4" w14:textId="7CC711CC" w:rsidR="00836E03" w:rsidRPr="00521515" w:rsidRDefault="00836E03" w:rsidP="00733C5C">
            <w:pPr>
              <w:jc w:val="right"/>
              <w:rPr>
                <w:rFonts w:ascii="Arial Narrow" w:hAnsi="Arial Narrow" w:cs="Calibri"/>
                <w:color w:val="000000"/>
                <w:sz w:val="20"/>
                <w:szCs w:val="20"/>
              </w:rPr>
            </w:pPr>
            <w:r w:rsidRPr="00521515">
              <w:rPr>
                <w:rFonts w:ascii="Arial Narrow" w:hAnsi="Arial Narrow"/>
                <w:color w:val="000000"/>
                <w:sz w:val="20"/>
                <w:szCs w:val="20"/>
              </w:rPr>
              <w:t>48</w:t>
            </w:r>
          </w:p>
        </w:tc>
        <w:tc>
          <w:tcPr>
            <w:tcW w:w="941" w:type="pct"/>
            <w:tcBorders>
              <w:top w:val="single" w:sz="4" w:space="0" w:color="auto"/>
              <w:left w:val="single" w:sz="4" w:space="0" w:color="auto"/>
              <w:bottom w:val="single" w:sz="4" w:space="0" w:color="auto"/>
              <w:right w:val="single" w:sz="4" w:space="0" w:color="auto"/>
            </w:tcBorders>
            <w:shd w:val="clear" w:color="auto" w:fill="auto"/>
            <w:noWrap/>
            <w:hideMark/>
          </w:tcPr>
          <w:p w14:paraId="49705E38" w14:textId="10E24CD8" w:rsidR="00836E03" w:rsidRPr="00521515" w:rsidRDefault="00836E03" w:rsidP="00733C5C">
            <w:pPr>
              <w:jc w:val="right"/>
              <w:rPr>
                <w:rFonts w:ascii="Arial Narrow" w:hAnsi="Arial Narrow" w:cs="Calibri"/>
                <w:color w:val="000000"/>
                <w:sz w:val="20"/>
                <w:szCs w:val="20"/>
              </w:rPr>
            </w:pPr>
            <w:r w:rsidRPr="00521515">
              <w:rPr>
                <w:rFonts w:ascii="Arial Narrow" w:hAnsi="Arial Narrow"/>
                <w:color w:val="000000"/>
                <w:sz w:val="20"/>
                <w:szCs w:val="20"/>
              </w:rPr>
              <w:t>10,214</w:t>
            </w:r>
          </w:p>
        </w:tc>
      </w:tr>
      <w:tr w:rsidR="00836E03" w:rsidRPr="00521515" w14:paraId="01E7BCD1" w14:textId="77777777" w:rsidTr="00733C5C">
        <w:trPr>
          <w:trHeight w:val="227"/>
        </w:trPr>
        <w:tc>
          <w:tcPr>
            <w:tcW w:w="1485" w:type="pct"/>
            <w:noWrap/>
            <w:hideMark/>
          </w:tcPr>
          <w:p w14:paraId="5C487218" w14:textId="364A841C" w:rsidR="00836E03" w:rsidRPr="00521515" w:rsidRDefault="00D56660" w:rsidP="00733C5C">
            <w:pPr>
              <w:rPr>
                <w:rFonts w:ascii="Arial Narrow" w:hAnsi="Arial Narrow" w:cs="Calibri"/>
                <w:b/>
                <w:bCs/>
                <w:color w:val="000000"/>
                <w:sz w:val="20"/>
                <w:szCs w:val="20"/>
              </w:rPr>
            </w:pPr>
            <w:r w:rsidRPr="00521515">
              <w:rPr>
                <w:rFonts w:ascii="Arial Narrow" w:hAnsi="Arial Narrow" w:cs="Calibri"/>
                <w:color w:val="000000"/>
                <w:sz w:val="20"/>
                <w:szCs w:val="20"/>
              </w:rPr>
              <w:t>Pejë</w:t>
            </w:r>
          </w:p>
        </w:tc>
        <w:tc>
          <w:tcPr>
            <w:tcW w:w="858" w:type="pct"/>
            <w:tcBorders>
              <w:top w:val="single" w:sz="4" w:space="0" w:color="auto"/>
              <w:left w:val="nil"/>
              <w:bottom w:val="single" w:sz="4" w:space="0" w:color="auto"/>
              <w:right w:val="single" w:sz="4" w:space="0" w:color="auto"/>
            </w:tcBorders>
            <w:shd w:val="clear" w:color="auto" w:fill="auto"/>
            <w:noWrap/>
            <w:hideMark/>
          </w:tcPr>
          <w:p w14:paraId="624DF0F0" w14:textId="33D163B9" w:rsidR="00836E03" w:rsidRPr="00521515" w:rsidRDefault="00836E03" w:rsidP="00733C5C">
            <w:pPr>
              <w:jc w:val="right"/>
              <w:rPr>
                <w:rFonts w:ascii="Arial Narrow" w:hAnsi="Arial Narrow" w:cs="Calibri"/>
                <w:color w:val="000000"/>
                <w:sz w:val="20"/>
                <w:szCs w:val="20"/>
              </w:rPr>
            </w:pPr>
            <w:r w:rsidRPr="00521515">
              <w:rPr>
                <w:rFonts w:ascii="Arial Narrow" w:hAnsi="Arial Narrow" w:cs="Calibri"/>
                <w:color w:val="000000"/>
                <w:sz w:val="20"/>
                <w:szCs w:val="20"/>
              </w:rPr>
              <w:t>4,096</w:t>
            </w:r>
          </w:p>
        </w:tc>
        <w:tc>
          <w:tcPr>
            <w:tcW w:w="858" w:type="pct"/>
            <w:tcBorders>
              <w:top w:val="single" w:sz="4" w:space="0" w:color="auto"/>
              <w:left w:val="single" w:sz="4" w:space="0" w:color="auto"/>
              <w:bottom w:val="single" w:sz="4" w:space="0" w:color="auto"/>
              <w:right w:val="single" w:sz="4" w:space="0" w:color="auto"/>
            </w:tcBorders>
            <w:shd w:val="clear" w:color="auto" w:fill="auto"/>
            <w:noWrap/>
            <w:hideMark/>
          </w:tcPr>
          <w:p w14:paraId="63210871" w14:textId="20E8025C" w:rsidR="00836E03" w:rsidRPr="00521515" w:rsidRDefault="00836E03" w:rsidP="00733C5C">
            <w:pPr>
              <w:jc w:val="right"/>
              <w:rPr>
                <w:rFonts w:ascii="Arial Narrow" w:hAnsi="Arial Narrow" w:cs="Calibri"/>
                <w:color w:val="000000"/>
                <w:sz w:val="20"/>
                <w:szCs w:val="20"/>
              </w:rPr>
            </w:pPr>
            <w:r w:rsidRPr="00521515">
              <w:rPr>
                <w:rFonts w:ascii="Arial Narrow" w:hAnsi="Arial Narrow"/>
                <w:color w:val="000000"/>
                <w:sz w:val="20"/>
                <w:szCs w:val="20"/>
              </w:rPr>
              <w:t>1,825</w:t>
            </w:r>
          </w:p>
        </w:tc>
        <w:tc>
          <w:tcPr>
            <w:tcW w:w="858" w:type="pct"/>
            <w:tcBorders>
              <w:top w:val="single" w:sz="4" w:space="0" w:color="auto"/>
              <w:left w:val="single" w:sz="4" w:space="0" w:color="auto"/>
              <w:bottom w:val="single" w:sz="4" w:space="0" w:color="auto"/>
              <w:right w:val="single" w:sz="4" w:space="0" w:color="auto"/>
            </w:tcBorders>
            <w:shd w:val="clear" w:color="auto" w:fill="auto"/>
            <w:noWrap/>
            <w:hideMark/>
          </w:tcPr>
          <w:p w14:paraId="054DCE6A" w14:textId="0526C131" w:rsidR="00836E03" w:rsidRPr="00521515" w:rsidRDefault="00836E03" w:rsidP="00733C5C">
            <w:pPr>
              <w:jc w:val="right"/>
              <w:rPr>
                <w:rFonts w:ascii="Arial Narrow" w:hAnsi="Arial Narrow" w:cs="Calibri"/>
                <w:color w:val="000000"/>
                <w:sz w:val="20"/>
                <w:szCs w:val="20"/>
              </w:rPr>
            </w:pPr>
            <w:r w:rsidRPr="00521515">
              <w:rPr>
                <w:rFonts w:ascii="Arial Narrow" w:hAnsi="Arial Narrow"/>
                <w:color w:val="000000"/>
                <w:sz w:val="20"/>
                <w:szCs w:val="20"/>
              </w:rPr>
              <w:t>21</w:t>
            </w:r>
          </w:p>
        </w:tc>
        <w:tc>
          <w:tcPr>
            <w:tcW w:w="941" w:type="pct"/>
            <w:tcBorders>
              <w:top w:val="single" w:sz="4" w:space="0" w:color="auto"/>
              <w:left w:val="single" w:sz="4" w:space="0" w:color="auto"/>
              <w:bottom w:val="single" w:sz="4" w:space="0" w:color="auto"/>
              <w:right w:val="single" w:sz="4" w:space="0" w:color="auto"/>
            </w:tcBorders>
            <w:shd w:val="clear" w:color="auto" w:fill="auto"/>
            <w:noWrap/>
            <w:hideMark/>
          </w:tcPr>
          <w:p w14:paraId="14F4798C" w14:textId="1236BA1B" w:rsidR="00836E03" w:rsidRPr="00521515" w:rsidRDefault="00836E03" w:rsidP="00733C5C">
            <w:pPr>
              <w:jc w:val="right"/>
              <w:rPr>
                <w:rFonts w:ascii="Arial Narrow" w:hAnsi="Arial Narrow" w:cs="Calibri"/>
                <w:color w:val="000000"/>
                <w:sz w:val="20"/>
                <w:szCs w:val="20"/>
              </w:rPr>
            </w:pPr>
            <w:r w:rsidRPr="00521515">
              <w:rPr>
                <w:rFonts w:ascii="Arial Narrow" w:hAnsi="Arial Narrow"/>
                <w:color w:val="000000"/>
                <w:sz w:val="20"/>
                <w:szCs w:val="20"/>
              </w:rPr>
              <w:t>7,419</w:t>
            </w:r>
          </w:p>
        </w:tc>
      </w:tr>
    </w:tbl>
    <w:p w14:paraId="32433FF2" w14:textId="40237571" w:rsidR="0085302E" w:rsidRPr="0085302E" w:rsidRDefault="0085302E" w:rsidP="004A47C0">
      <w:pPr>
        <w:pStyle w:val="source0"/>
      </w:pPr>
      <w:r w:rsidRPr="0085302E">
        <w:t>Burimi: Agjencia e Statistikave të Kosovës (ASK), 2014</w:t>
      </w:r>
    </w:p>
    <w:p w14:paraId="58F8EC39" w14:textId="77777777" w:rsidR="0085302E" w:rsidRPr="00041A95" w:rsidRDefault="0085302E" w:rsidP="0085302E">
      <w:pPr>
        <w:rPr>
          <w:rFonts w:eastAsia="Calibri" w:cs="Calibri"/>
          <w:sz w:val="22"/>
          <w:szCs w:val="22"/>
        </w:rPr>
      </w:pPr>
    </w:p>
    <w:p w14:paraId="608B3839" w14:textId="2361494B" w:rsidR="0085302E" w:rsidRDefault="00F4290B" w:rsidP="004A47C0">
      <w:pPr>
        <w:pStyle w:val="Paragraph"/>
        <w:rPr>
          <w:rFonts w:eastAsia="Calibri"/>
        </w:rPr>
      </w:pPr>
      <w:r w:rsidRPr="00F4290B">
        <w:rPr>
          <w:rFonts w:eastAsia="Calibri"/>
        </w:rPr>
        <w:t xml:space="preserve">Tabela më poshtë paraqet të dhënat për sipërfaqet në rajon të </w:t>
      </w:r>
      <w:r w:rsidR="0060411F">
        <w:rPr>
          <w:rFonts w:eastAsia="Calibri"/>
        </w:rPr>
        <w:t>mbjellura</w:t>
      </w:r>
      <w:r w:rsidRPr="00F4290B">
        <w:rPr>
          <w:rFonts w:eastAsia="Calibri"/>
        </w:rPr>
        <w:t xml:space="preserve"> nga pemishtet.</w:t>
      </w:r>
    </w:p>
    <w:p w14:paraId="57F8C3AA" w14:textId="05978D14" w:rsidR="0085302E" w:rsidRPr="007F50ED" w:rsidRDefault="0085302E" w:rsidP="007F50ED">
      <w:pPr>
        <w:suppressAutoHyphens/>
        <w:rPr>
          <w:rFonts w:ascii="Arial Narrow" w:eastAsia="Calibri" w:hAnsi="Arial Narrow" w:cs="Calibri"/>
          <w:color w:val="1F497D"/>
          <w:sz w:val="20"/>
          <w:szCs w:val="20"/>
        </w:rPr>
      </w:pPr>
      <w:bookmarkStart w:id="156" w:name="_Toc197472201"/>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16.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Sipërfaqet e pemishteve, në ha</w:t>
      </w:r>
      <w:bookmarkEnd w:id="156"/>
    </w:p>
    <w:tbl>
      <w:tblPr>
        <w:tblStyle w:val="TableGrid41"/>
        <w:tblW w:w="5000" w:type="pct"/>
        <w:tblLook w:val="04A0" w:firstRow="1" w:lastRow="0" w:firstColumn="1" w:lastColumn="0" w:noHBand="0" w:noVBand="1"/>
      </w:tblPr>
      <w:tblGrid>
        <w:gridCol w:w="2081"/>
        <w:gridCol w:w="1153"/>
        <w:gridCol w:w="1103"/>
        <w:gridCol w:w="1103"/>
        <w:gridCol w:w="1103"/>
        <w:gridCol w:w="1374"/>
        <w:gridCol w:w="1099"/>
      </w:tblGrid>
      <w:tr w:rsidR="00733C5C" w:rsidRPr="00733C5C" w14:paraId="19FB2928" w14:textId="77777777" w:rsidTr="006347D6">
        <w:trPr>
          <w:trHeight w:val="227"/>
          <w:tblHeader/>
        </w:trPr>
        <w:tc>
          <w:tcPr>
            <w:tcW w:w="1168" w:type="pct"/>
            <w:shd w:val="clear" w:color="auto" w:fill="365F91"/>
            <w:noWrap/>
          </w:tcPr>
          <w:p w14:paraId="7D772C3E" w14:textId="613EC398" w:rsidR="0085302E" w:rsidRPr="00733C5C" w:rsidRDefault="0060411F" w:rsidP="004A40AC">
            <w:pPr>
              <w:rPr>
                <w:rFonts w:ascii="Arial Narrow" w:hAnsi="Arial Narrow" w:cs="Calibri"/>
                <w:b/>
                <w:bCs/>
                <w:color w:val="FFFFFF" w:themeColor="background1"/>
                <w:sz w:val="20"/>
                <w:szCs w:val="20"/>
              </w:rPr>
            </w:pPr>
            <w:r>
              <w:rPr>
                <w:rFonts w:ascii="Arial Narrow" w:hAnsi="Arial Narrow" w:cs="Calibri"/>
                <w:b/>
                <w:bCs/>
                <w:color w:val="FFFFFF" w:themeColor="background1"/>
                <w:sz w:val="20"/>
                <w:szCs w:val="20"/>
              </w:rPr>
              <w:t>Komuna</w:t>
            </w:r>
          </w:p>
        </w:tc>
        <w:tc>
          <w:tcPr>
            <w:tcW w:w="653" w:type="pct"/>
            <w:shd w:val="clear" w:color="auto" w:fill="365F91"/>
            <w:noWrap/>
          </w:tcPr>
          <w:p w14:paraId="5FE93E68" w14:textId="77777777" w:rsidR="0085302E" w:rsidRPr="00733C5C" w:rsidRDefault="0085302E" w:rsidP="004A40AC">
            <w:pPr>
              <w:jc w:val="right"/>
              <w:rPr>
                <w:rFonts w:ascii="Arial Narrow" w:hAnsi="Arial Narrow" w:cs="Calibri"/>
                <w:b/>
                <w:bCs/>
                <w:color w:val="FFFFFF" w:themeColor="background1"/>
                <w:sz w:val="20"/>
                <w:szCs w:val="20"/>
              </w:rPr>
            </w:pPr>
            <w:r w:rsidRPr="00733C5C">
              <w:rPr>
                <w:rFonts w:ascii="Arial Narrow" w:hAnsi="Arial Narrow" w:cs="Calibri"/>
                <w:b/>
                <w:bCs/>
                <w:color w:val="FFFFFF" w:themeColor="background1"/>
                <w:sz w:val="20"/>
                <w:szCs w:val="20"/>
              </w:rPr>
              <w:t>Mollë</w:t>
            </w:r>
          </w:p>
        </w:tc>
        <w:tc>
          <w:tcPr>
            <w:tcW w:w="625" w:type="pct"/>
            <w:shd w:val="clear" w:color="auto" w:fill="365F91"/>
            <w:noWrap/>
          </w:tcPr>
          <w:p w14:paraId="120C0D9A" w14:textId="77777777" w:rsidR="0085302E" w:rsidRPr="00733C5C" w:rsidRDefault="0085302E" w:rsidP="004A40AC">
            <w:pPr>
              <w:jc w:val="right"/>
              <w:rPr>
                <w:rFonts w:ascii="Arial Narrow" w:hAnsi="Arial Narrow" w:cs="Calibri"/>
                <w:b/>
                <w:bCs/>
                <w:color w:val="FFFFFF" w:themeColor="background1"/>
                <w:sz w:val="20"/>
                <w:szCs w:val="20"/>
              </w:rPr>
            </w:pPr>
            <w:r w:rsidRPr="00733C5C">
              <w:rPr>
                <w:rFonts w:ascii="Arial Narrow" w:hAnsi="Arial Narrow" w:cs="Calibri"/>
                <w:b/>
                <w:bCs/>
                <w:color w:val="FFFFFF" w:themeColor="background1"/>
                <w:sz w:val="20"/>
                <w:szCs w:val="20"/>
              </w:rPr>
              <w:t>Kumbull</w:t>
            </w:r>
          </w:p>
        </w:tc>
        <w:tc>
          <w:tcPr>
            <w:tcW w:w="625" w:type="pct"/>
            <w:shd w:val="clear" w:color="auto" w:fill="365F91"/>
            <w:noWrap/>
          </w:tcPr>
          <w:p w14:paraId="73727D0C" w14:textId="77777777" w:rsidR="0085302E" w:rsidRPr="00733C5C" w:rsidRDefault="0085302E" w:rsidP="004A40AC">
            <w:pPr>
              <w:jc w:val="right"/>
              <w:rPr>
                <w:rFonts w:ascii="Arial Narrow" w:hAnsi="Arial Narrow" w:cs="Calibri"/>
                <w:b/>
                <w:bCs/>
                <w:color w:val="FFFFFF" w:themeColor="background1"/>
                <w:sz w:val="20"/>
                <w:szCs w:val="20"/>
              </w:rPr>
            </w:pPr>
            <w:r w:rsidRPr="00733C5C">
              <w:rPr>
                <w:rFonts w:ascii="Arial Narrow" w:hAnsi="Arial Narrow" w:cs="Calibri"/>
                <w:b/>
                <w:bCs/>
                <w:color w:val="FFFFFF" w:themeColor="background1"/>
                <w:sz w:val="20"/>
                <w:szCs w:val="20"/>
              </w:rPr>
              <w:t>Dardhë</w:t>
            </w:r>
          </w:p>
        </w:tc>
        <w:tc>
          <w:tcPr>
            <w:tcW w:w="625" w:type="pct"/>
            <w:shd w:val="clear" w:color="auto" w:fill="365F91"/>
            <w:noWrap/>
          </w:tcPr>
          <w:p w14:paraId="0A3426BB" w14:textId="77777777" w:rsidR="0085302E" w:rsidRPr="00733C5C" w:rsidRDefault="0085302E" w:rsidP="004A40AC">
            <w:pPr>
              <w:jc w:val="right"/>
              <w:rPr>
                <w:rFonts w:ascii="Arial Narrow" w:hAnsi="Arial Narrow" w:cs="Calibri"/>
                <w:b/>
                <w:bCs/>
                <w:color w:val="FFFFFF" w:themeColor="background1"/>
                <w:sz w:val="20"/>
                <w:szCs w:val="20"/>
              </w:rPr>
            </w:pPr>
            <w:r w:rsidRPr="00733C5C">
              <w:rPr>
                <w:rFonts w:ascii="Arial Narrow" w:hAnsi="Arial Narrow" w:cs="Calibri"/>
                <w:b/>
                <w:bCs/>
                <w:color w:val="FFFFFF" w:themeColor="background1"/>
                <w:sz w:val="20"/>
                <w:szCs w:val="20"/>
              </w:rPr>
              <w:t>Qershi</w:t>
            </w:r>
          </w:p>
        </w:tc>
        <w:tc>
          <w:tcPr>
            <w:tcW w:w="681" w:type="pct"/>
            <w:shd w:val="clear" w:color="auto" w:fill="365F91"/>
            <w:noWrap/>
          </w:tcPr>
          <w:p w14:paraId="0DBE80AB" w14:textId="77777777" w:rsidR="0085302E" w:rsidRPr="00733C5C" w:rsidRDefault="0085302E" w:rsidP="004A40AC">
            <w:pPr>
              <w:jc w:val="right"/>
              <w:rPr>
                <w:rFonts w:ascii="Arial Narrow" w:hAnsi="Arial Narrow" w:cs="Calibri"/>
                <w:b/>
                <w:bCs/>
                <w:color w:val="FFFFFF" w:themeColor="background1"/>
                <w:sz w:val="20"/>
                <w:szCs w:val="20"/>
              </w:rPr>
            </w:pPr>
            <w:r w:rsidRPr="00733C5C">
              <w:rPr>
                <w:rFonts w:ascii="Arial Narrow" w:hAnsi="Arial Narrow" w:cs="Calibri"/>
                <w:b/>
                <w:bCs/>
                <w:color w:val="FFFFFF" w:themeColor="background1"/>
                <w:sz w:val="20"/>
                <w:szCs w:val="20"/>
              </w:rPr>
              <w:t>Qershi e thartë</w:t>
            </w:r>
          </w:p>
        </w:tc>
        <w:tc>
          <w:tcPr>
            <w:tcW w:w="623" w:type="pct"/>
            <w:shd w:val="clear" w:color="auto" w:fill="365F91"/>
            <w:noWrap/>
          </w:tcPr>
          <w:p w14:paraId="605AE474" w14:textId="77777777" w:rsidR="0085302E" w:rsidRPr="00733C5C" w:rsidRDefault="0085302E" w:rsidP="004A40AC">
            <w:pPr>
              <w:jc w:val="right"/>
              <w:rPr>
                <w:rFonts w:ascii="Arial Narrow" w:hAnsi="Arial Narrow" w:cs="Calibri"/>
                <w:b/>
                <w:bCs/>
                <w:color w:val="FFFFFF" w:themeColor="background1"/>
                <w:sz w:val="20"/>
                <w:szCs w:val="20"/>
              </w:rPr>
            </w:pPr>
            <w:r w:rsidRPr="00733C5C">
              <w:rPr>
                <w:rFonts w:ascii="Arial Narrow" w:hAnsi="Arial Narrow" w:cs="Calibri"/>
                <w:b/>
                <w:bCs/>
                <w:color w:val="FFFFFF" w:themeColor="background1"/>
                <w:sz w:val="20"/>
                <w:szCs w:val="20"/>
              </w:rPr>
              <w:t>Të tjera</w:t>
            </w:r>
          </w:p>
        </w:tc>
      </w:tr>
      <w:tr w:rsidR="0085302E" w:rsidRPr="00521515" w14:paraId="079C355B" w14:textId="77777777" w:rsidTr="00733C5C">
        <w:trPr>
          <w:trHeight w:val="227"/>
        </w:trPr>
        <w:tc>
          <w:tcPr>
            <w:tcW w:w="1168" w:type="pct"/>
            <w:noWrap/>
            <w:hideMark/>
          </w:tcPr>
          <w:p w14:paraId="5366B667" w14:textId="7F49D847" w:rsidR="0085302E" w:rsidRPr="00521515" w:rsidRDefault="00826494" w:rsidP="004A40AC">
            <w:pPr>
              <w:rPr>
                <w:rFonts w:ascii="Arial Narrow" w:hAnsi="Arial Narrow" w:cs="Calibri"/>
                <w:b/>
                <w:bCs/>
                <w:color w:val="000000"/>
                <w:sz w:val="20"/>
                <w:szCs w:val="20"/>
              </w:rPr>
            </w:pPr>
            <w:r w:rsidRPr="00521515">
              <w:rPr>
                <w:rFonts w:ascii="Arial Narrow" w:hAnsi="Arial Narrow" w:cs="Calibri"/>
                <w:color w:val="000000"/>
                <w:sz w:val="20"/>
                <w:szCs w:val="20"/>
              </w:rPr>
              <w:t>Deçan</w:t>
            </w:r>
          </w:p>
        </w:tc>
        <w:tc>
          <w:tcPr>
            <w:tcW w:w="653" w:type="pct"/>
            <w:noWrap/>
            <w:hideMark/>
          </w:tcPr>
          <w:p w14:paraId="26706336"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68.22</w:t>
            </w:r>
          </w:p>
        </w:tc>
        <w:tc>
          <w:tcPr>
            <w:tcW w:w="625" w:type="pct"/>
            <w:noWrap/>
            <w:hideMark/>
          </w:tcPr>
          <w:p w14:paraId="409AE7A2"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4.59</w:t>
            </w:r>
          </w:p>
        </w:tc>
        <w:tc>
          <w:tcPr>
            <w:tcW w:w="625" w:type="pct"/>
            <w:noWrap/>
            <w:hideMark/>
          </w:tcPr>
          <w:p w14:paraId="11B5039A"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8.72</w:t>
            </w:r>
          </w:p>
        </w:tc>
        <w:tc>
          <w:tcPr>
            <w:tcW w:w="625" w:type="pct"/>
            <w:noWrap/>
            <w:hideMark/>
          </w:tcPr>
          <w:p w14:paraId="6857E4F0"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0.49</w:t>
            </w:r>
          </w:p>
        </w:tc>
        <w:tc>
          <w:tcPr>
            <w:tcW w:w="681" w:type="pct"/>
            <w:noWrap/>
            <w:hideMark/>
          </w:tcPr>
          <w:p w14:paraId="0EF6BBA8"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0.57</w:t>
            </w:r>
          </w:p>
        </w:tc>
        <w:tc>
          <w:tcPr>
            <w:tcW w:w="623" w:type="pct"/>
            <w:noWrap/>
            <w:hideMark/>
          </w:tcPr>
          <w:p w14:paraId="2A89E829"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8.89</w:t>
            </w:r>
          </w:p>
        </w:tc>
      </w:tr>
      <w:tr w:rsidR="0085302E" w:rsidRPr="00521515" w14:paraId="5A2D9F90" w14:textId="77777777" w:rsidTr="00733C5C">
        <w:trPr>
          <w:trHeight w:val="227"/>
        </w:trPr>
        <w:tc>
          <w:tcPr>
            <w:tcW w:w="1168" w:type="pct"/>
            <w:noWrap/>
            <w:hideMark/>
          </w:tcPr>
          <w:p w14:paraId="0EB789FA" w14:textId="77777777" w:rsidR="0085302E" w:rsidRPr="00521515" w:rsidRDefault="0085302E" w:rsidP="004A40AC">
            <w:pPr>
              <w:rPr>
                <w:rFonts w:ascii="Arial Narrow" w:hAnsi="Arial Narrow" w:cs="Calibri"/>
                <w:b/>
                <w:bCs/>
                <w:color w:val="000000"/>
                <w:sz w:val="20"/>
                <w:szCs w:val="20"/>
              </w:rPr>
            </w:pPr>
            <w:r w:rsidRPr="00521515">
              <w:rPr>
                <w:rFonts w:ascii="Arial Narrow" w:hAnsi="Arial Narrow" w:cs="Calibri"/>
                <w:color w:val="000000"/>
                <w:sz w:val="20"/>
                <w:szCs w:val="20"/>
              </w:rPr>
              <w:t>Istog</w:t>
            </w:r>
          </w:p>
        </w:tc>
        <w:tc>
          <w:tcPr>
            <w:tcW w:w="653" w:type="pct"/>
            <w:noWrap/>
            <w:hideMark/>
          </w:tcPr>
          <w:p w14:paraId="3234EBDA"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272.63</w:t>
            </w:r>
          </w:p>
        </w:tc>
        <w:tc>
          <w:tcPr>
            <w:tcW w:w="625" w:type="pct"/>
            <w:noWrap/>
            <w:hideMark/>
          </w:tcPr>
          <w:p w14:paraId="3348CE3B"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4.79</w:t>
            </w:r>
          </w:p>
        </w:tc>
        <w:tc>
          <w:tcPr>
            <w:tcW w:w="625" w:type="pct"/>
            <w:noWrap/>
            <w:hideMark/>
          </w:tcPr>
          <w:p w14:paraId="0B1C8494"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27.51</w:t>
            </w:r>
          </w:p>
        </w:tc>
        <w:tc>
          <w:tcPr>
            <w:tcW w:w="625" w:type="pct"/>
            <w:noWrap/>
            <w:hideMark/>
          </w:tcPr>
          <w:p w14:paraId="6016DEC1"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0.09</w:t>
            </w:r>
          </w:p>
        </w:tc>
        <w:tc>
          <w:tcPr>
            <w:tcW w:w="681" w:type="pct"/>
            <w:noWrap/>
            <w:hideMark/>
          </w:tcPr>
          <w:p w14:paraId="686C8CC5"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0.21</w:t>
            </w:r>
          </w:p>
        </w:tc>
        <w:tc>
          <w:tcPr>
            <w:tcW w:w="623" w:type="pct"/>
            <w:noWrap/>
            <w:hideMark/>
          </w:tcPr>
          <w:p w14:paraId="276148AB"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9.88</w:t>
            </w:r>
          </w:p>
        </w:tc>
      </w:tr>
      <w:tr w:rsidR="0085302E" w:rsidRPr="00521515" w14:paraId="324E769B" w14:textId="77777777" w:rsidTr="00733C5C">
        <w:trPr>
          <w:trHeight w:val="227"/>
        </w:trPr>
        <w:tc>
          <w:tcPr>
            <w:tcW w:w="1168" w:type="pct"/>
            <w:noWrap/>
            <w:hideMark/>
          </w:tcPr>
          <w:p w14:paraId="234F302E" w14:textId="77777777" w:rsidR="0085302E" w:rsidRPr="00521515" w:rsidRDefault="0085302E" w:rsidP="004A40AC">
            <w:pPr>
              <w:rPr>
                <w:rFonts w:ascii="Arial Narrow" w:hAnsi="Arial Narrow" w:cs="Calibri"/>
                <w:b/>
                <w:bCs/>
                <w:color w:val="000000"/>
                <w:sz w:val="20"/>
                <w:szCs w:val="20"/>
              </w:rPr>
            </w:pPr>
            <w:r w:rsidRPr="00521515">
              <w:rPr>
                <w:rFonts w:ascii="Arial Narrow" w:hAnsi="Arial Narrow" w:cs="Calibri"/>
                <w:color w:val="000000"/>
                <w:sz w:val="20"/>
                <w:szCs w:val="20"/>
              </w:rPr>
              <w:t>Junik</w:t>
            </w:r>
          </w:p>
        </w:tc>
        <w:tc>
          <w:tcPr>
            <w:tcW w:w="653" w:type="pct"/>
            <w:noWrap/>
            <w:hideMark/>
          </w:tcPr>
          <w:p w14:paraId="2FF81886"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18.00</w:t>
            </w:r>
          </w:p>
        </w:tc>
        <w:tc>
          <w:tcPr>
            <w:tcW w:w="625" w:type="pct"/>
            <w:noWrap/>
            <w:hideMark/>
          </w:tcPr>
          <w:p w14:paraId="5BD18EEA"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0.19</w:t>
            </w:r>
          </w:p>
        </w:tc>
        <w:tc>
          <w:tcPr>
            <w:tcW w:w="625" w:type="pct"/>
            <w:noWrap/>
            <w:hideMark/>
          </w:tcPr>
          <w:p w14:paraId="116496BB"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0.42</w:t>
            </w:r>
          </w:p>
        </w:tc>
        <w:tc>
          <w:tcPr>
            <w:tcW w:w="625" w:type="pct"/>
            <w:noWrap/>
            <w:hideMark/>
          </w:tcPr>
          <w:p w14:paraId="5AF730BD"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k</w:t>
            </w:r>
          </w:p>
        </w:tc>
        <w:tc>
          <w:tcPr>
            <w:tcW w:w="681" w:type="pct"/>
            <w:noWrap/>
            <w:hideMark/>
          </w:tcPr>
          <w:p w14:paraId="5815B453"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9.09</w:t>
            </w:r>
          </w:p>
        </w:tc>
        <w:tc>
          <w:tcPr>
            <w:tcW w:w="623" w:type="pct"/>
            <w:noWrap/>
            <w:hideMark/>
          </w:tcPr>
          <w:p w14:paraId="53B3C30C"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0.25</w:t>
            </w:r>
          </w:p>
        </w:tc>
      </w:tr>
      <w:tr w:rsidR="0085302E" w:rsidRPr="00521515" w14:paraId="1ED68B4B" w14:textId="77777777" w:rsidTr="00733C5C">
        <w:trPr>
          <w:trHeight w:val="227"/>
        </w:trPr>
        <w:tc>
          <w:tcPr>
            <w:tcW w:w="1168" w:type="pct"/>
            <w:noWrap/>
            <w:hideMark/>
          </w:tcPr>
          <w:p w14:paraId="0728EA95" w14:textId="3FE27FA0" w:rsidR="0085302E" w:rsidRPr="00521515" w:rsidRDefault="0085302E" w:rsidP="004A40AC">
            <w:pPr>
              <w:rPr>
                <w:rFonts w:ascii="Arial Narrow" w:hAnsi="Arial Narrow" w:cs="Calibri"/>
                <w:b/>
                <w:bCs/>
                <w:color w:val="000000"/>
                <w:sz w:val="20"/>
                <w:szCs w:val="20"/>
              </w:rPr>
            </w:pPr>
            <w:r w:rsidRPr="00521515">
              <w:rPr>
                <w:rFonts w:ascii="Arial Narrow" w:hAnsi="Arial Narrow" w:cs="Calibri"/>
                <w:color w:val="000000"/>
                <w:sz w:val="20"/>
                <w:szCs w:val="20"/>
              </w:rPr>
              <w:t>Klin</w:t>
            </w:r>
            <w:r w:rsidR="0060411F">
              <w:rPr>
                <w:rFonts w:ascii="Arial Narrow" w:hAnsi="Arial Narrow" w:cs="Calibri"/>
                <w:color w:val="000000"/>
                <w:sz w:val="20"/>
                <w:szCs w:val="20"/>
              </w:rPr>
              <w:t>ë</w:t>
            </w:r>
          </w:p>
        </w:tc>
        <w:tc>
          <w:tcPr>
            <w:tcW w:w="653" w:type="pct"/>
            <w:noWrap/>
            <w:hideMark/>
          </w:tcPr>
          <w:p w14:paraId="47BC1A8A"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73.67</w:t>
            </w:r>
          </w:p>
        </w:tc>
        <w:tc>
          <w:tcPr>
            <w:tcW w:w="625" w:type="pct"/>
            <w:noWrap/>
            <w:hideMark/>
          </w:tcPr>
          <w:p w14:paraId="1652F3C1"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18.81</w:t>
            </w:r>
          </w:p>
        </w:tc>
        <w:tc>
          <w:tcPr>
            <w:tcW w:w="625" w:type="pct"/>
            <w:noWrap/>
            <w:hideMark/>
          </w:tcPr>
          <w:p w14:paraId="075E01DE"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50.00</w:t>
            </w:r>
          </w:p>
        </w:tc>
        <w:tc>
          <w:tcPr>
            <w:tcW w:w="625" w:type="pct"/>
            <w:noWrap/>
            <w:hideMark/>
          </w:tcPr>
          <w:p w14:paraId="3C7A5174"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0.66</w:t>
            </w:r>
          </w:p>
        </w:tc>
        <w:tc>
          <w:tcPr>
            <w:tcW w:w="681" w:type="pct"/>
            <w:noWrap/>
            <w:hideMark/>
          </w:tcPr>
          <w:p w14:paraId="3B93A4A2"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1.69</w:t>
            </w:r>
          </w:p>
        </w:tc>
        <w:tc>
          <w:tcPr>
            <w:tcW w:w="623" w:type="pct"/>
            <w:noWrap/>
            <w:hideMark/>
          </w:tcPr>
          <w:p w14:paraId="2A1FBE5C"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25.27</w:t>
            </w:r>
          </w:p>
        </w:tc>
      </w:tr>
      <w:tr w:rsidR="0085302E" w:rsidRPr="00521515" w14:paraId="5602904D" w14:textId="77777777" w:rsidTr="00733C5C">
        <w:trPr>
          <w:trHeight w:val="227"/>
        </w:trPr>
        <w:tc>
          <w:tcPr>
            <w:tcW w:w="1168" w:type="pct"/>
            <w:noWrap/>
            <w:hideMark/>
          </w:tcPr>
          <w:p w14:paraId="27AA74BE" w14:textId="17BFE77B" w:rsidR="0085302E" w:rsidRPr="00521515" w:rsidRDefault="00D56660" w:rsidP="004A40AC">
            <w:pPr>
              <w:rPr>
                <w:rFonts w:ascii="Arial Narrow" w:hAnsi="Arial Narrow" w:cs="Calibri"/>
                <w:b/>
                <w:bCs/>
                <w:color w:val="000000"/>
                <w:sz w:val="20"/>
                <w:szCs w:val="20"/>
              </w:rPr>
            </w:pPr>
            <w:r w:rsidRPr="00521515">
              <w:rPr>
                <w:rFonts w:ascii="Arial Narrow" w:hAnsi="Arial Narrow" w:cs="Calibri"/>
                <w:color w:val="000000"/>
                <w:sz w:val="20"/>
                <w:szCs w:val="20"/>
              </w:rPr>
              <w:t>Pejë</w:t>
            </w:r>
          </w:p>
        </w:tc>
        <w:tc>
          <w:tcPr>
            <w:tcW w:w="653" w:type="pct"/>
            <w:noWrap/>
            <w:hideMark/>
          </w:tcPr>
          <w:p w14:paraId="514D7537"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176.70</w:t>
            </w:r>
          </w:p>
        </w:tc>
        <w:tc>
          <w:tcPr>
            <w:tcW w:w="625" w:type="pct"/>
            <w:noWrap/>
            <w:hideMark/>
          </w:tcPr>
          <w:p w14:paraId="239690CE"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8.92</w:t>
            </w:r>
          </w:p>
        </w:tc>
        <w:tc>
          <w:tcPr>
            <w:tcW w:w="625" w:type="pct"/>
            <w:noWrap/>
            <w:hideMark/>
          </w:tcPr>
          <w:p w14:paraId="623DEFCC"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28.52</w:t>
            </w:r>
          </w:p>
        </w:tc>
        <w:tc>
          <w:tcPr>
            <w:tcW w:w="625" w:type="pct"/>
            <w:noWrap/>
            <w:hideMark/>
          </w:tcPr>
          <w:p w14:paraId="7D255174"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0.31</w:t>
            </w:r>
          </w:p>
        </w:tc>
        <w:tc>
          <w:tcPr>
            <w:tcW w:w="681" w:type="pct"/>
            <w:noWrap/>
            <w:hideMark/>
          </w:tcPr>
          <w:p w14:paraId="1BB2C202"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0.30</w:t>
            </w:r>
          </w:p>
        </w:tc>
        <w:tc>
          <w:tcPr>
            <w:tcW w:w="623" w:type="pct"/>
            <w:noWrap/>
            <w:hideMark/>
          </w:tcPr>
          <w:p w14:paraId="33C98BBD" w14:textId="77777777" w:rsidR="0085302E" w:rsidRPr="00521515" w:rsidRDefault="0085302E" w:rsidP="004A40AC">
            <w:pPr>
              <w:jc w:val="right"/>
              <w:rPr>
                <w:rFonts w:ascii="Arial Narrow" w:hAnsi="Arial Narrow" w:cs="Calibri"/>
                <w:color w:val="000000"/>
                <w:sz w:val="20"/>
                <w:szCs w:val="20"/>
              </w:rPr>
            </w:pPr>
            <w:r w:rsidRPr="00521515">
              <w:rPr>
                <w:rFonts w:ascii="Arial Narrow" w:hAnsi="Arial Narrow" w:cs="Calibri"/>
                <w:color w:val="000000"/>
                <w:sz w:val="20"/>
                <w:szCs w:val="20"/>
              </w:rPr>
              <w:t>16.74</w:t>
            </w:r>
          </w:p>
        </w:tc>
      </w:tr>
    </w:tbl>
    <w:p w14:paraId="3B66AE1E" w14:textId="77777777" w:rsidR="0085302E" w:rsidRDefault="0085302E" w:rsidP="004A47C0">
      <w:pPr>
        <w:pStyle w:val="source0"/>
      </w:pPr>
      <w:r w:rsidRPr="0085302E">
        <w:t>Burimi: Agjencia e Statistikave të Kosovës (ASK), 2014 (të dhënat e regjistrimit të popullsisë)</w:t>
      </w:r>
    </w:p>
    <w:p w14:paraId="3CFFE6BF" w14:textId="77777777" w:rsidR="005A468F" w:rsidRDefault="005A468F" w:rsidP="004A47C0">
      <w:pPr>
        <w:pStyle w:val="source0"/>
      </w:pPr>
    </w:p>
    <w:p w14:paraId="08B1E97A" w14:textId="77777777" w:rsidR="005A468F" w:rsidRPr="0085302E" w:rsidRDefault="005A468F" w:rsidP="004A47C0">
      <w:pPr>
        <w:pStyle w:val="source0"/>
      </w:pPr>
    </w:p>
    <w:p w14:paraId="7DF802A8" w14:textId="27A9B7BF" w:rsidR="00032CD8" w:rsidRDefault="00032CD8" w:rsidP="00032CD8">
      <w:pPr>
        <w:pStyle w:val="Heading1"/>
        <w:ind w:left="1134" w:hanging="1134"/>
      </w:pPr>
      <w:bookmarkStart w:id="157" w:name="_Toc197471969"/>
      <w:r w:rsidRPr="00AF0235">
        <w:t xml:space="preserve">Baza </w:t>
      </w:r>
      <w:r w:rsidR="009561B9">
        <w:t>PËR</w:t>
      </w:r>
      <w:r w:rsidRPr="00AF0235">
        <w:t xml:space="preserve"> Menaxhimi</w:t>
      </w:r>
      <w:r w:rsidR="009561B9">
        <w:t>N E</w:t>
      </w:r>
      <w:r w:rsidRPr="00AF0235">
        <w:t xml:space="preserve"> Mbeturinave</w:t>
      </w:r>
      <w:bookmarkEnd w:id="151"/>
      <w:bookmarkEnd w:id="152"/>
      <w:bookmarkEnd w:id="157"/>
    </w:p>
    <w:p w14:paraId="2E8ADBD9" w14:textId="5806A843" w:rsidR="00032CD8" w:rsidRPr="009561B9" w:rsidRDefault="00032CD8" w:rsidP="002254E8">
      <w:pPr>
        <w:pStyle w:val="Heading2"/>
      </w:pPr>
      <w:bookmarkStart w:id="158" w:name="_Toc153872116"/>
      <w:bookmarkStart w:id="159" w:name="_Toc170470820"/>
      <w:bookmarkStart w:id="160" w:name="_Toc197471970"/>
      <w:r w:rsidRPr="009561B9">
        <w:t>Gjenerimi aktual i mbet</w:t>
      </w:r>
      <w:r w:rsidR="0060411F" w:rsidRPr="009561B9">
        <w:t>urinave</w:t>
      </w:r>
      <w:r w:rsidRPr="009561B9">
        <w:t xml:space="preserve"> komunale</w:t>
      </w:r>
      <w:bookmarkEnd w:id="158"/>
      <w:bookmarkEnd w:id="159"/>
      <w:bookmarkEnd w:id="160"/>
    </w:p>
    <w:p w14:paraId="37987980" w14:textId="77777777" w:rsidR="005A468F" w:rsidRDefault="005A468F" w:rsidP="009561B9">
      <w:pPr>
        <w:pStyle w:val="Paragraph"/>
        <w:rPr>
          <w:lang w:val="sq-AL"/>
        </w:rPr>
      </w:pPr>
      <w:bookmarkStart w:id="161" w:name="_Toc153872117"/>
      <w:bookmarkStart w:id="162" w:name="_Toc170470821"/>
    </w:p>
    <w:p w14:paraId="19671308" w14:textId="3C9B9463" w:rsidR="009561B9" w:rsidRPr="008D2D8C" w:rsidRDefault="009561B9" w:rsidP="009561B9">
      <w:pPr>
        <w:pStyle w:val="Paragraph"/>
        <w:rPr>
          <w:lang w:val="sq-AL"/>
        </w:rPr>
      </w:pPr>
      <w:r w:rsidRPr="002B6E10">
        <w:rPr>
          <w:lang w:val="sq-AL"/>
        </w:rPr>
        <w:t>Mbet</w:t>
      </w:r>
      <w:r>
        <w:rPr>
          <w:lang w:val="sq-AL"/>
        </w:rPr>
        <w:t>urinat</w:t>
      </w:r>
      <w:r w:rsidRPr="002B6E10">
        <w:rPr>
          <w:lang w:val="sq-AL"/>
        </w:rPr>
        <w:t xml:space="preserve"> e menaxhuara nga </w:t>
      </w:r>
      <w:r>
        <w:rPr>
          <w:lang w:val="sq-AL"/>
        </w:rPr>
        <w:t>komunat</w:t>
      </w:r>
      <w:r w:rsidRPr="002B6E10">
        <w:rPr>
          <w:lang w:val="sq-AL"/>
        </w:rPr>
        <w:t xml:space="preserve"> gjenerohen kryesisht nga 3 kategori kryesore përdoruesish: i) amvisëritë, ii) institucionet dhe iii) bizneset. Ky seksion synon të vlerësojë sasinë e mbeturinave komunale të gjeneruara nga secila komunë për të ofruar një vlerësim të përgjithshëm për mbeturinat e prodhuara në rajonin e Pejës, të cilat do të duhet të menaxhohen në objektet e caktuara.</w:t>
      </w:r>
    </w:p>
    <w:p w14:paraId="5A1909FD" w14:textId="2C8D0572" w:rsidR="00032CD8" w:rsidRPr="00C21444" w:rsidRDefault="009561B9" w:rsidP="002254E8">
      <w:pPr>
        <w:pStyle w:val="Heading3"/>
      </w:pPr>
      <w:bookmarkStart w:id="163" w:name="_Toc197471971"/>
      <w:r>
        <w:t>Amvisëritë</w:t>
      </w:r>
      <w:bookmarkEnd w:id="161"/>
      <w:bookmarkEnd w:id="162"/>
      <w:bookmarkEnd w:id="163"/>
    </w:p>
    <w:p w14:paraId="0DA103CF" w14:textId="08E1D696" w:rsidR="00032CD8" w:rsidRDefault="00D14286" w:rsidP="004A47C0">
      <w:pPr>
        <w:pStyle w:val="Paragraph"/>
        <w:rPr>
          <w:rFonts w:eastAsia="Calibri"/>
        </w:rPr>
      </w:pPr>
      <w:r w:rsidRPr="00D14286">
        <w:rPr>
          <w:rFonts w:eastAsia="Calibri"/>
        </w:rPr>
        <w:t xml:space="preserve">Tabela më poshtë paraqet sasitë e mbeturinave të </w:t>
      </w:r>
      <w:r w:rsidR="009561B9">
        <w:rPr>
          <w:rFonts w:eastAsia="Calibri"/>
        </w:rPr>
        <w:t>brumbulluara</w:t>
      </w:r>
      <w:r w:rsidRPr="00D14286">
        <w:rPr>
          <w:rFonts w:eastAsia="Calibri"/>
        </w:rPr>
        <w:t xml:space="preserve"> nga secila komunë në vitin 2021 dhe 2022.</w:t>
      </w:r>
    </w:p>
    <w:p w14:paraId="749B3182" w14:textId="101F16F7" w:rsidR="00D14286" w:rsidRPr="007F50ED" w:rsidRDefault="00D14286" w:rsidP="007F50ED">
      <w:pPr>
        <w:suppressAutoHyphens/>
        <w:rPr>
          <w:rFonts w:ascii="Arial Narrow" w:eastAsia="Calibri" w:hAnsi="Arial Narrow" w:cs="Calibri"/>
          <w:color w:val="1F497D"/>
          <w:sz w:val="20"/>
          <w:szCs w:val="20"/>
        </w:rPr>
      </w:pPr>
      <w:bookmarkStart w:id="164" w:name="_Toc197472202"/>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17.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 xml:space="preserve">Gjenerimi i mbeturinave </w:t>
      </w:r>
      <w:r w:rsidR="009561B9">
        <w:rPr>
          <w:rFonts w:ascii="Arial Narrow" w:eastAsia="Calibri" w:hAnsi="Arial Narrow" w:cs="Calibri"/>
          <w:color w:val="1F497D"/>
          <w:sz w:val="20"/>
          <w:szCs w:val="20"/>
        </w:rPr>
        <w:t>nga amvisëritë</w:t>
      </w:r>
      <w:r w:rsidRPr="007F50ED">
        <w:rPr>
          <w:rFonts w:ascii="Arial Narrow" w:eastAsia="Calibri" w:hAnsi="Arial Narrow" w:cs="Calibri"/>
          <w:color w:val="1F497D"/>
          <w:sz w:val="20"/>
          <w:szCs w:val="20"/>
        </w:rPr>
        <w:t xml:space="preserve"> (të mbledhura), 2021 dhe 2022</w:t>
      </w:r>
      <w:bookmarkEnd w:id="164"/>
    </w:p>
    <w:tbl>
      <w:tblPr>
        <w:tblW w:w="4438" w:type="pct"/>
        <w:tblInd w:w="-147" w:type="dxa"/>
        <w:tblLook w:val="04A0" w:firstRow="1" w:lastRow="0" w:firstColumn="1" w:lastColumn="0" w:noHBand="0" w:noVBand="1"/>
      </w:tblPr>
      <w:tblGrid>
        <w:gridCol w:w="872"/>
        <w:gridCol w:w="2532"/>
        <w:gridCol w:w="2532"/>
        <w:gridCol w:w="2067"/>
      </w:tblGrid>
      <w:tr w:rsidR="00B96B40" w:rsidRPr="00AA1954" w14:paraId="33547FCE" w14:textId="77777777" w:rsidTr="00B96B40">
        <w:trPr>
          <w:trHeight w:val="170"/>
          <w:tblHeader/>
        </w:trPr>
        <w:tc>
          <w:tcPr>
            <w:tcW w:w="545" w:type="pct"/>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6B61B04D" w14:textId="05E9EB8A" w:rsidR="00B96B40" w:rsidRPr="00AA1954" w:rsidRDefault="00B96B40" w:rsidP="00AA1954">
            <w:pPr>
              <w:rPr>
                <w:rFonts w:ascii="Arial Narrow" w:hAnsi="Arial Narrow"/>
                <w:b/>
                <w:bCs/>
                <w:color w:val="FFFFFF" w:themeColor="background1"/>
                <w:sz w:val="20"/>
                <w:szCs w:val="20"/>
              </w:rPr>
            </w:pPr>
            <w:r>
              <w:rPr>
                <w:rFonts w:ascii="Arial Narrow" w:hAnsi="Arial Narrow"/>
                <w:b/>
                <w:bCs/>
                <w:color w:val="FFFFFF" w:themeColor="background1"/>
                <w:sz w:val="20"/>
                <w:szCs w:val="20"/>
              </w:rPr>
              <w:t>Komuna</w:t>
            </w:r>
          </w:p>
        </w:tc>
        <w:tc>
          <w:tcPr>
            <w:tcW w:w="1582" w:type="pct"/>
            <w:tcBorders>
              <w:top w:val="single" w:sz="4" w:space="0" w:color="auto"/>
              <w:left w:val="nil"/>
              <w:bottom w:val="single" w:sz="4" w:space="0" w:color="auto"/>
              <w:right w:val="single" w:sz="4" w:space="0" w:color="auto"/>
            </w:tcBorders>
            <w:shd w:val="clear" w:color="auto" w:fill="365F91"/>
            <w:noWrap/>
            <w:vAlign w:val="bottom"/>
            <w:hideMark/>
          </w:tcPr>
          <w:p w14:paraId="1DB57C33" w14:textId="77777777" w:rsidR="00B96B40" w:rsidRPr="00AA1954" w:rsidRDefault="00B96B40" w:rsidP="00AA1954">
            <w:pPr>
              <w:rPr>
                <w:rFonts w:ascii="Arial Narrow" w:hAnsi="Arial Narrow"/>
                <w:b/>
                <w:bCs/>
                <w:color w:val="FFFFFF" w:themeColor="background1"/>
                <w:sz w:val="20"/>
                <w:szCs w:val="20"/>
              </w:rPr>
            </w:pPr>
            <w:r w:rsidRPr="00AA1954">
              <w:rPr>
                <w:rFonts w:ascii="Arial Narrow" w:hAnsi="Arial Narrow"/>
                <w:b/>
                <w:bCs/>
                <w:color w:val="FFFFFF" w:themeColor="background1"/>
                <w:sz w:val="20"/>
                <w:szCs w:val="20"/>
              </w:rPr>
              <w:t>Mbeturinat e mbledhura, 2021</w:t>
            </w:r>
          </w:p>
        </w:tc>
        <w:tc>
          <w:tcPr>
            <w:tcW w:w="1582" w:type="pct"/>
            <w:tcBorders>
              <w:top w:val="single" w:sz="4" w:space="0" w:color="auto"/>
              <w:left w:val="nil"/>
              <w:bottom w:val="single" w:sz="4" w:space="0" w:color="auto"/>
              <w:right w:val="single" w:sz="4" w:space="0" w:color="auto"/>
            </w:tcBorders>
            <w:shd w:val="clear" w:color="auto" w:fill="365F91"/>
            <w:noWrap/>
            <w:vAlign w:val="bottom"/>
            <w:hideMark/>
          </w:tcPr>
          <w:p w14:paraId="4E8A9DFF" w14:textId="77777777" w:rsidR="00B96B40" w:rsidRPr="00AA1954" w:rsidRDefault="00B96B40" w:rsidP="00AA1954">
            <w:pPr>
              <w:rPr>
                <w:rFonts w:ascii="Arial Narrow" w:hAnsi="Arial Narrow"/>
                <w:b/>
                <w:bCs/>
                <w:color w:val="FFFFFF" w:themeColor="background1"/>
                <w:sz w:val="20"/>
                <w:szCs w:val="20"/>
              </w:rPr>
            </w:pPr>
            <w:r w:rsidRPr="00AA1954">
              <w:rPr>
                <w:rFonts w:ascii="Arial Narrow" w:hAnsi="Arial Narrow"/>
                <w:b/>
                <w:bCs/>
                <w:color w:val="FFFFFF" w:themeColor="background1"/>
                <w:sz w:val="20"/>
                <w:szCs w:val="20"/>
              </w:rPr>
              <w:t>Mbeturinat e mbledhura, 2022</w:t>
            </w:r>
          </w:p>
        </w:tc>
        <w:tc>
          <w:tcPr>
            <w:tcW w:w="1291" w:type="pct"/>
            <w:tcBorders>
              <w:top w:val="single" w:sz="4" w:space="0" w:color="auto"/>
              <w:left w:val="nil"/>
              <w:bottom w:val="single" w:sz="4" w:space="0" w:color="auto"/>
              <w:right w:val="single" w:sz="4" w:space="0" w:color="auto"/>
            </w:tcBorders>
            <w:shd w:val="clear" w:color="auto" w:fill="365F91"/>
            <w:noWrap/>
            <w:vAlign w:val="bottom"/>
            <w:hideMark/>
          </w:tcPr>
          <w:p w14:paraId="36DC0FBC" w14:textId="34CBD67E" w:rsidR="00B96B40" w:rsidRPr="00AA1954" w:rsidRDefault="00B96B40" w:rsidP="00AA1954">
            <w:pPr>
              <w:rPr>
                <w:rFonts w:ascii="Arial Narrow" w:hAnsi="Arial Narrow"/>
                <w:b/>
                <w:bCs/>
                <w:color w:val="FFFFFF" w:themeColor="background1"/>
                <w:sz w:val="20"/>
                <w:szCs w:val="20"/>
              </w:rPr>
            </w:pPr>
            <w:r w:rsidRPr="00AA1954">
              <w:rPr>
                <w:rFonts w:ascii="Arial Narrow" w:hAnsi="Arial Narrow"/>
                <w:b/>
                <w:bCs/>
                <w:color w:val="FFFFFF" w:themeColor="background1"/>
                <w:sz w:val="20"/>
                <w:szCs w:val="20"/>
              </w:rPr>
              <w:t>kg/</w:t>
            </w:r>
            <w:r>
              <w:rPr>
                <w:rFonts w:ascii="Arial Narrow" w:hAnsi="Arial Narrow"/>
                <w:b/>
                <w:bCs/>
                <w:color w:val="FFFFFF" w:themeColor="background1"/>
                <w:sz w:val="20"/>
                <w:szCs w:val="20"/>
              </w:rPr>
              <w:t>kokë banori</w:t>
            </w:r>
            <w:r w:rsidRPr="00AA1954">
              <w:rPr>
                <w:rFonts w:ascii="Arial Narrow" w:hAnsi="Arial Narrow"/>
                <w:b/>
                <w:bCs/>
                <w:color w:val="FFFFFF" w:themeColor="background1"/>
                <w:sz w:val="20"/>
                <w:szCs w:val="20"/>
              </w:rPr>
              <w:t>/vit, 2022</w:t>
            </w:r>
          </w:p>
        </w:tc>
      </w:tr>
      <w:tr w:rsidR="00B96B40" w:rsidRPr="00AA1954" w14:paraId="6EE51A68" w14:textId="77777777" w:rsidTr="00B96B40">
        <w:trPr>
          <w:trHeight w:val="170"/>
        </w:trPr>
        <w:tc>
          <w:tcPr>
            <w:tcW w:w="545" w:type="pct"/>
            <w:tcBorders>
              <w:top w:val="nil"/>
              <w:left w:val="single" w:sz="4" w:space="0" w:color="auto"/>
              <w:bottom w:val="single" w:sz="4" w:space="0" w:color="auto"/>
              <w:right w:val="single" w:sz="4" w:space="0" w:color="auto"/>
            </w:tcBorders>
            <w:shd w:val="clear" w:color="auto" w:fill="auto"/>
            <w:noWrap/>
            <w:vAlign w:val="bottom"/>
            <w:hideMark/>
          </w:tcPr>
          <w:p w14:paraId="4BB7D9E0" w14:textId="77777777" w:rsidR="00B96B40" w:rsidRPr="00AA1954" w:rsidRDefault="00B96B40" w:rsidP="00AA1954">
            <w:pPr>
              <w:rPr>
                <w:rFonts w:ascii="Arial Narrow" w:hAnsi="Arial Narrow"/>
                <w:color w:val="000000"/>
                <w:sz w:val="20"/>
                <w:szCs w:val="20"/>
              </w:rPr>
            </w:pPr>
            <w:r w:rsidRPr="00AA1954">
              <w:rPr>
                <w:rFonts w:ascii="Arial Narrow" w:hAnsi="Arial Narrow"/>
                <w:color w:val="000000"/>
                <w:sz w:val="20"/>
                <w:szCs w:val="20"/>
              </w:rPr>
              <w:t>Pejë</w:t>
            </w:r>
          </w:p>
        </w:tc>
        <w:tc>
          <w:tcPr>
            <w:tcW w:w="1582" w:type="pct"/>
            <w:tcBorders>
              <w:top w:val="nil"/>
              <w:left w:val="nil"/>
              <w:bottom w:val="single" w:sz="4" w:space="0" w:color="auto"/>
              <w:right w:val="single" w:sz="4" w:space="0" w:color="auto"/>
            </w:tcBorders>
            <w:shd w:val="clear" w:color="auto" w:fill="auto"/>
            <w:noWrap/>
            <w:vAlign w:val="bottom"/>
            <w:hideMark/>
          </w:tcPr>
          <w:p w14:paraId="672E509F" w14:textId="77777777" w:rsidR="00B96B40" w:rsidRPr="00AA1954" w:rsidRDefault="00B96B40" w:rsidP="00AA1954">
            <w:pPr>
              <w:jc w:val="right"/>
              <w:rPr>
                <w:rFonts w:ascii="Arial Narrow" w:hAnsi="Arial Narrow"/>
                <w:color w:val="000000"/>
                <w:sz w:val="20"/>
                <w:szCs w:val="20"/>
              </w:rPr>
            </w:pPr>
            <w:r w:rsidRPr="00AA1954">
              <w:rPr>
                <w:rFonts w:ascii="Arial Narrow" w:hAnsi="Arial Narrow"/>
                <w:color w:val="000000"/>
                <w:sz w:val="20"/>
                <w:szCs w:val="20"/>
              </w:rPr>
              <w:t>36,063</w:t>
            </w:r>
          </w:p>
        </w:tc>
        <w:tc>
          <w:tcPr>
            <w:tcW w:w="1582" w:type="pct"/>
            <w:tcBorders>
              <w:top w:val="nil"/>
              <w:left w:val="nil"/>
              <w:bottom w:val="single" w:sz="4" w:space="0" w:color="auto"/>
              <w:right w:val="single" w:sz="4" w:space="0" w:color="auto"/>
            </w:tcBorders>
            <w:shd w:val="clear" w:color="auto" w:fill="auto"/>
            <w:noWrap/>
            <w:vAlign w:val="bottom"/>
            <w:hideMark/>
          </w:tcPr>
          <w:p w14:paraId="50D3291D" w14:textId="4D3A1875" w:rsidR="00B96B40" w:rsidRPr="00AA1954" w:rsidRDefault="00B96B40" w:rsidP="00AA1954">
            <w:pPr>
              <w:jc w:val="right"/>
              <w:rPr>
                <w:rFonts w:ascii="Arial Narrow" w:hAnsi="Arial Narrow"/>
                <w:color w:val="000000"/>
                <w:sz w:val="20"/>
                <w:szCs w:val="20"/>
              </w:rPr>
            </w:pPr>
            <w:r w:rsidRPr="00AA1954">
              <w:rPr>
                <w:rFonts w:ascii="Arial Narrow" w:hAnsi="Arial Narrow"/>
                <w:color w:val="000000"/>
                <w:sz w:val="20"/>
                <w:szCs w:val="20"/>
              </w:rPr>
              <w:t>36,1</w:t>
            </w:r>
            <w:r>
              <w:rPr>
                <w:rFonts w:ascii="Arial Narrow" w:hAnsi="Arial Narrow"/>
                <w:color w:val="000000"/>
                <w:sz w:val="20"/>
                <w:szCs w:val="20"/>
              </w:rPr>
              <w:t>13</w:t>
            </w:r>
          </w:p>
        </w:tc>
        <w:tc>
          <w:tcPr>
            <w:tcW w:w="1291" w:type="pct"/>
            <w:tcBorders>
              <w:top w:val="nil"/>
              <w:left w:val="nil"/>
              <w:bottom w:val="single" w:sz="4" w:space="0" w:color="auto"/>
              <w:right w:val="single" w:sz="4" w:space="0" w:color="auto"/>
            </w:tcBorders>
            <w:shd w:val="clear" w:color="auto" w:fill="auto"/>
            <w:noWrap/>
            <w:vAlign w:val="bottom"/>
            <w:hideMark/>
          </w:tcPr>
          <w:p w14:paraId="4FDD1114" w14:textId="20F8938D" w:rsidR="00B96B40" w:rsidRPr="00AA1954" w:rsidRDefault="00B96B40" w:rsidP="00AA1954">
            <w:pPr>
              <w:jc w:val="right"/>
              <w:rPr>
                <w:rFonts w:ascii="Arial Narrow" w:hAnsi="Arial Narrow"/>
                <w:color w:val="000000"/>
                <w:sz w:val="20"/>
                <w:szCs w:val="20"/>
              </w:rPr>
            </w:pPr>
            <w:r>
              <w:rPr>
                <w:rFonts w:ascii="Arial Narrow" w:hAnsi="Arial Narrow"/>
                <w:color w:val="000000"/>
                <w:sz w:val="20"/>
                <w:szCs w:val="20"/>
              </w:rPr>
              <w:t>436</w:t>
            </w:r>
          </w:p>
        </w:tc>
      </w:tr>
      <w:tr w:rsidR="00B96B40" w:rsidRPr="00AA1954" w14:paraId="16C5D21D" w14:textId="77777777" w:rsidTr="00B96B40">
        <w:trPr>
          <w:trHeight w:val="170"/>
        </w:trPr>
        <w:tc>
          <w:tcPr>
            <w:tcW w:w="545" w:type="pct"/>
            <w:tcBorders>
              <w:top w:val="nil"/>
              <w:left w:val="single" w:sz="4" w:space="0" w:color="auto"/>
              <w:bottom w:val="single" w:sz="4" w:space="0" w:color="auto"/>
              <w:right w:val="single" w:sz="4" w:space="0" w:color="auto"/>
            </w:tcBorders>
            <w:shd w:val="clear" w:color="auto" w:fill="auto"/>
            <w:noWrap/>
            <w:vAlign w:val="bottom"/>
            <w:hideMark/>
          </w:tcPr>
          <w:p w14:paraId="6633086E" w14:textId="77777777" w:rsidR="00B96B40" w:rsidRPr="00AA1954" w:rsidRDefault="00B96B40" w:rsidP="00AA1954">
            <w:pPr>
              <w:rPr>
                <w:rFonts w:ascii="Arial Narrow" w:hAnsi="Arial Narrow"/>
                <w:color w:val="000000"/>
                <w:sz w:val="20"/>
                <w:szCs w:val="20"/>
              </w:rPr>
            </w:pPr>
            <w:r w:rsidRPr="00AA1954">
              <w:rPr>
                <w:rFonts w:ascii="Arial Narrow" w:hAnsi="Arial Narrow"/>
                <w:color w:val="000000"/>
                <w:sz w:val="20"/>
                <w:szCs w:val="20"/>
              </w:rPr>
              <w:t>Istog</w:t>
            </w:r>
          </w:p>
        </w:tc>
        <w:tc>
          <w:tcPr>
            <w:tcW w:w="1582" w:type="pct"/>
            <w:tcBorders>
              <w:top w:val="nil"/>
              <w:left w:val="nil"/>
              <w:bottom w:val="single" w:sz="4" w:space="0" w:color="auto"/>
              <w:right w:val="single" w:sz="4" w:space="0" w:color="auto"/>
            </w:tcBorders>
            <w:shd w:val="clear" w:color="auto" w:fill="auto"/>
            <w:noWrap/>
            <w:vAlign w:val="bottom"/>
            <w:hideMark/>
          </w:tcPr>
          <w:p w14:paraId="4ED75F84" w14:textId="77777777" w:rsidR="00B96B40" w:rsidRPr="00AA1954" w:rsidRDefault="00B96B40" w:rsidP="00AA1954">
            <w:pPr>
              <w:jc w:val="right"/>
              <w:rPr>
                <w:rFonts w:ascii="Arial Narrow" w:hAnsi="Arial Narrow"/>
                <w:color w:val="000000"/>
                <w:sz w:val="20"/>
                <w:szCs w:val="20"/>
              </w:rPr>
            </w:pPr>
            <w:r w:rsidRPr="00AA1954">
              <w:rPr>
                <w:rFonts w:ascii="Arial Narrow" w:hAnsi="Arial Narrow"/>
                <w:color w:val="000000"/>
                <w:sz w:val="20"/>
                <w:szCs w:val="20"/>
              </w:rPr>
              <w:t>16,256</w:t>
            </w:r>
          </w:p>
        </w:tc>
        <w:tc>
          <w:tcPr>
            <w:tcW w:w="1582" w:type="pct"/>
            <w:tcBorders>
              <w:top w:val="nil"/>
              <w:left w:val="nil"/>
              <w:bottom w:val="single" w:sz="4" w:space="0" w:color="auto"/>
              <w:right w:val="single" w:sz="4" w:space="0" w:color="auto"/>
            </w:tcBorders>
            <w:shd w:val="clear" w:color="auto" w:fill="auto"/>
            <w:noWrap/>
            <w:vAlign w:val="bottom"/>
            <w:hideMark/>
          </w:tcPr>
          <w:p w14:paraId="1A2D8EA2" w14:textId="77777777" w:rsidR="00B96B40" w:rsidRPr="00AA1954" w:rsidRDefault="00B96B40" w:rsidP="00AA1954">
            <w:pPr>
              <w:jc w:val="right"/>
              <w:rPr>
                <w:rFonts w:ascii="Arial Narrow" w:hAnsi="Arial Narrow"/>
                <w:color w:val="000000"/>
                <w:sz w:val="20"/>
                <w:szCs w:val="20"/>
              </w:rPr>
            </w:pPr>
            <w:r w:rsidRPr="00AA1954">
              <w:rPr>
                <w:rFonts w:ascii="Arial Narrow" w:hAnsi="Arial Narrow"/>
                <w:color w:val="000000"/>
                <w:sz w:val="20"/>
                <w:szCs w:val="20"/>
              </w:rPr>
              <w:t>11,892</w:t>
            </w:r>
          </w:p>
        </w:tc>
        <w:tc>
          <w:tcPr>
            <w:tcW w:w="1291" w:type="pct"/>
            <w:tcBorders>
              <w:top w:val="nil"/>
              <w:left w:val="nil"/>
              <w:bottom w:val="single" w:sz="4" w:space="0" w:color="auto"/>
              <w:right w:val="single" w:sz="4" w:space="0" w:color="auto"/>
            </w:tcBorders>
            <w:shd w:val="clear" w:color="auto" w:fill="auto"/>
            <w:noWrap/>
            <w:vAlign w:val="bottom"/>
            <w:hideMark/>
          </w:tcPr>
          <w:p w14:paraId="60C593D9" w14:textId="37D494CE" w:rsidR="00B96B40" w:rsidRPr="00AA1954" w:rsidRDefault="00B96B40" w:rsidP="00AA1954">
            <w:pPr>
              <w:jc w:val="right"/>
              <w:rPr>
                <w:rFonts w:ascii="Arial Narrow" w:hAnsi="Arial Narrow"/>
                <w:color w:val="000000"/>
                <w:sz w:val="20"/>
                <w:szCs w:val="20"/>
              </w:rPr>
            </w:pPr>
            <w:r>
              <w:rPr>
                <w:rFonts w:ascii="Arial Narrow" w:hAnsi="Arial Narrow"/>
                <w:color w:val="000000"/>
                <w:sz w:val="20"/>
                <w:szCs w:val="20"/>
              </w:rPr>
              <w:t>360</w:t>
            </w:r>
          </w:p>
        </w:tc>
      </w:tr>
      <w:tr w:rsidR="00B96B40" w:rsidRPr="00AA1954" w14:paraId="278FAFAF" w14:textId="77777777" w:rsidTr="00B96B40">
        <w:trPr>
          <w:trHeight w:val="170"/>
        </w:trPr>
        <w:tc>
          <w:tcPr>
            <w:tcW w:w="545" w:type="pct"/>
            <w:tcBorders>
              <w:top w:val="nil"/>
              <w:left w:val="single" w:sz="4" w:space="0" w:color="auto"/>
              <w:bottom w:val="single" w:sz="4" w:space="0" w:color="auto"/>
              <w:right w:val="single" w:sz="4" w:space="0" w:color="auto"/>
            </w:tcBorders>
            <w:shd w:val="clear" w:color="auto" w:fill="auto"/>
            <w:noWrap/>
            <w:vAlign w:val="bottom"/>
            <w:hideMark/>
          </w:tcPr>
          <w:p w14:paraId="3E1A53B0" w14:textId="77777777" w:rsidR="00B96B40" w:rsidRPr="00AA1954" w:rsidRDefault="00B96B40" w:rsidP="00AA1954">
            <w:pPr>
              <w:rPr>
                <w:rFonts w:ascii="Arial Narrow" w:hAnsi="Arial Narrow"/>
                <w:color w:val="000000"/>
                <w:sz w:val="20"/>
                <w:szCs w:val="20"/>
              </w:rPr>
            </w:pPr>
            <w:r w:rsidRPr="00AA1954">
              <w:rPr>
                <w:rFonts w:ascii="Arial Narrow" w:hAnsi="Arial Narrow"/>
                <w:color w:val="000000"/>
                <w:sz w:val="20"/>
                <w:szCs w:val="20"/>
              </w:rPr>
              <w:t>Klinë</w:t>
            </w:r>
          </w:p>
        </w:tc>
        <w:tc>
          <w:tcPr>
            <w:tcW w:w="1582" w:type="pct"/>
            <w:tcBorders>
              <w:top w:val="nil"/>
              <w:left w:val="nil"/>
              <w:bottom w:val="single" w:sz="4" w:space="0" w:color="auto"/>
              <w:right w:val="single" w:sz="4" w:space="0" w:color="auto"/>
            </w:tcBorders>
            <w:shd w:val="clear" w:color="auto" w:fill="auto"/>
            <w:noWrap/>
            <w:vAlign w:val="bottom"/>
            <w:hideMark/>
          </w:tcPr>
          <w:p w14:paraId="130966C6" w14:textId="77777777" w:rsidR="00B96B40" w:rsidRPr="00AA1954" w:rsidRDefault="00B96B40" w:rsidP="00AA1954">
            <w:pPr>
              <w:jc w:val="right"/>
              <w:rPr>
                <w:rFonts w:ascii="Arial Narrow" w:hAnsi="Arial Narrow"/>
                <w:color w:val="000000"/>
                <w:sz w:val="20"/>
                <w:szCs w:val="20"/>
              </w:rPr>
            </w:pPr>
            <w:r w:rsidRPr="00AA1954">
              <w:rPr>
                <w:rFonts w:ascii="Arial Narrow" w:hAnsi="Arial Narrow"/>
                <w:color w:val="000000"/>
                <w:sz w:val="20"/>
                <w:szCs w:val="20"/>
              </w:rPr>
              <w:t>9,758</w:t>
            </w:r>
          </w:p>
        </w:tc>
        <w:tc>
          <w:tcPr>
            <w:tcW w:w="1582" w:type="pct"/>
            <w:tcBorders>
              <w:top w:val="nil"/>
              <w:left w:val="nil"/>
              <w:bottom w:val="single" w:sz="4" w:space="0" w:color="auto"/>
              <w:right w:val="single" w:sz="4" w:space="0" w:color="auto"/>
            </w:tcBorders>
            <w:shd w:val="clear" w:color="auto" w:fill="auto"/>
            <w:noWrap/>
            <w:vAlign w:val="bottom"/>
            <w:hideMark/>
          </w:tcPr>
          <w:p w14:paraId="421E8B60" w14:textId="77777777" w:rsidR="00B96B40" w:rsidRPr="00AA1954" w:rsidRDefault="00B96B40" w:rsidP="00AA1954">
            <w:pPr>
              <w:jc w:val="right"/>
              <w:rPr>
                <w:rFonts w:ascii="Arial Narrow" w:hAnsi="Arial Narrow"/>
                <w:color w:val="000000"/>
                <w:sz w:val="20"/>
                <w:szCs w:val="20"/>
              </w:rPr>
            </w:pPr>
            <w:r w:rsidRPr="00AA1954">
              <w:rPr>
                <w:rFonts w:ascii="Arial Narrow" w:hAnsi="Arial Narrow"/>
                <w:color w:val="000000"/>
                <w:sz w:val="20"/>
                <w:szCs w:val="20"/>
              </w:rPr>
              <w:t>9,173</w:t>
            </w:r>
          </w:p>
        </w:tc>
        <w:tc>
          <w:tcPr>
            <w:tcW w:w="1291" w:type="pct"/>
            <w:tcBorders>
              <w:top w:val="nil"/>
              <w:left w:val="nil"/>
              <w:bottom w:val="single" w:sz="4" w:space="0" w:color="auto"/>
              <w:right w:val="single" w:sz="4" w:space="0" w:color="auto"/>
            </w:tcBorders>
            <w:shd w:val="clear" w:color="auto" w:fill="auto"/>
            <w:noWrap/>
            <w:vAlign w:val="bottom"/>
            <w:hideMark/>
          </w:tcPr>
          <w:p w14:paraId="28D5A7B6" w14:textId="7EAEA1F0" w:rsidR="00B96B40" w:rsidRPr="00AA1954" w:rsidRDefault="00B96B40" w:rsidP="00AA1954">
            <w:pPr>
              <w:jc w:val="right"/>
              <w:rPr>
                <w:rFonts w:ascii="Arial Narrow" w:hAnsi="Arial Narrow"/>
                <w:color w:val="000000"/>
                <w:sz w:val="20"/>
                <w:szCs w:val="20"/>
              </w:rPr>
            </w:pPr>
            <w:r>
              <w:rPr>
                <w:rFonts w:ascii="Arial Narrow" w:hAnsi="Arial Narrow"/>
                <w:color w:val="000000"/>
                <w:sz w:val="20"/>
                <w:szCs w:val="20"/>
              </w:rPr>
              <w:t>300</w:t>
            </w:r>
          </w:p>
        </w:tc>
      </w:tr>
      <w:tr w:rsidR="00B96B40" w:rsidRPr="00AA1954" w14:paraId="098CB1F4" w14:textId="77777777" w:rsidTr="00B96B40">
        <w:trPr>
          <w:trHeight w:val="170"/>
        </w:trPr>
        <w:tc>
          <w:tcPr>
            <w:tcW w:w="545" w:type="pct"/>
            <w:tcBorders>
              <w:top w:val="nil"/>
              <w:left w:val="single" w:sz="4" w:space="0" w:color="auto"/>
              <w:bottom w:val="single" w:sz="4" w:space="0" w:color="auto"/>
              <w:right w:val="single" w:sz="4" w:space="0" w:color="auto"/>
            </w:tcBorders>
            <w:shd w:val="clear" w:color="auto" w:fill="auto"/>
            <w:noWrap/>
            <w:vAlign w:val="bottom"/>
            <w:hideMark/>
          </w:tcPr>
          <w:p w14:paraId="4E5399C0" w14:textId="77777777" w:rsidR="00B96B40" w:rsidRPr="00AA1954" w:rsidRDefault="00B96B40" w:rsidP="00AA1954">
            <w:pPr>
              <w:rPr>
                <w:rFonts w:ascii="Arial Narrow" w:hAnsi="Arial Narrow"/>
                <w:color w:val="000000"/>
                <w:sz w:val="20"/>
                <w:szCs w:val="20"/>
              </w:rPr>
            </w:pPr>
            <w:r w:rsidRPr="00AA1954">
              <w:rPr>
                <w:rFonts w:ascii="Arial Narrow" w:hAnsi="Arial Narrow"/>
                <w:color w:val="000000"/>
                <w:sz w:val="20"/>
                <w:szCs w:val="20"/>
              </w:rPr>
              <w:t>Deçan</w:t>
            </w:r>
          </w:p>
        </w:tc>
        <w:tc>
          <w:tcPr>
            <w:tcW w:w="1582" w:type="pct"/>
            <w:tcBorders>
              <w:top w:val="nil"/>
              <w:left w:val="nil"/>
              <w:bottom w:val="single" w:sz="4" w:space="0" w:color="auto"/>
              <w:right w:val="single" w:sz="4" w:space="0" w:color="auto"/>
            </w:tcBorders>
            <w:shd w:val="clear" w:color="auto" w:fill="auto"/>
            <w:noWrap/>
            <w:vAlign w:val="bottom"/>
            <w:hideMark/>
          </w:tcPr>
          <w:p w14:paraId="783E3808" w14:textId="77777777" w:rsidR="00B96B40" w:rsidRPr="00AA1954" w:rsidRDefault="00B96B40" w:rsidP="00AA1954">
            <w:pPr>
              <w:jc w:val="right"/>
              <w:rPr>
                <w:rFonts w:ascii="Arial Narrow" w:hAnsi="Arial Narrow"/>
                <w:color w:val="000000"/>
                <w:sz w:val="20"/>
                <w:szCs w:val="20"/>
              </w:rPr>
            </w:pPr>
            <w:r w:rsidRPr="00AA1954">
              <w:rPr>
                <w:rFonts w:ascii="Arial Narrow" w:hAnsi="Arial Narrow"/>
                <w:color w:val="000000"/>
                <w:sz w:val="20"/>
                <w:szCs w:val="20"/>
              </w:rPr>
              <w:t>8,298</w:t>
            </w:r>
          </w:p>
        </w:tc>
        <w:tc>
          <w:tcPr>
            <w:tcW w:w="1582" w:type="pct"/>
            <w:tcBorders>
              <w:top w:val="nil"/>
              <w:left w:val="nil"/>
              <w:bottom w:val="single" w:sz="4" w:space="0" w:color="auto"/>
              <w:right w:val="single" w:sz="4" w:space="0" w:color="auto"/>
            </w:tcBorders>
            <w:shd w:val="clear" w:color="auto" w:fill="auto"/>
            <w:noWrap/>
            <w:vAlign w:val="bottom"/>
            <w:hideMark/>
          </w:tcPr>
          <w:p w14:paraId="2BCF5968" w14:textId="7664E90E" w:rsidR="00B96B40" w:rsidRPr="00AA1954" w:rsidRDefault="00B96B40" w:rsidP="00AA1954">
            <w:pPr>
              <w:jc w:val="right"/>
              <w:rPr>
                <w:rFonts w:ascii="Arial Narrow" w:hAnsi="Arial Narrow"/>
                <w:color w:val="000000"/>
                <w:sz w:val="20"/>
                <w:szCs w:val="20"/>
              </w:rPr>
            </w:pPr>
            <w:r w:rsidRPr="00AA1954">
              <w:rPr>
                <w:rFonts w:ascii="Arial Narrow" w:hAnsi="Arial Narrow"/>
                <w:color w:val="000000"/>
                <w:sz w:val="20"/>
                <w:szCs w:val="20"/>
              </w:rPr>
              <w:t>8,</w:t>
            </w:r>
            <w:r>
              <w:rPr>
                <w:rFonts w:ascii="Arial Narrow" w:hAnsi="Arial Narrow"/>
                <w:color w:val="000000"/>
                <w:sz w:val="20"/>
                <w:szCs w:val="20"/>
              </w:rPr>
              <w:t>289</w:t>
            </w:r>
          </w:p>
        </w:tc>
        <w:tc>
          <w:tcPr>
            <w:tcW w:w="1291" w:type="pct"/>
            <w:tcBorders>
              <w:top w:val="nil"/>
              <w:left w:val="nil"/>
              <w:bottom w:val="single" w:sz="4" w:space="0" w:color="auto"/>
              <w:right w:val="single" w:sz="4" w:space="0" w:color="auto"/>
            </w:tcBorders>
            <w:shd w:val="clear" w:color="auto" w:fill="auto"/>
            <w:noWrap/>
            <w:vAlign w:val="bottom"/>
            <w:hideMark/>
          </w:tcPr>
          <w:p w14:paraId="4CA5A3E0" w14:textId="53CBDC12" w:rsidR="00B96B40" w:rsidRPr="00AA1954" w:rsidRDefault="00B96B40" w:rsidP="00AA1954">
            <w:pPr>
              <w:jc w:val="right"/>
              <w:rPr>
                <w:rFonts w:ascii="Arial Narrow" w:hAnsi="Arial Narrow"/>
                <w:color w:val="000000"/>
                <w:sz w:val="20"/>
                <w:szCs w:val="20"/>
              </w:rPr>
            </w:pPr>
            <w:r>
              <w:rPr>
                <w:rFonts w:ascii="Arial Narrow" w:hAnsi="Arial Narrow"/>
                <w:color w:val="000000"/>
                <w:sz w:val="20"/>
                <w:szCs w:val="20"/>
              </w:rPr>
              <w:t>300</w:t>
            </w:r>
          </w:p>
        </w:tc>
      </w:tr>
      <w:tr w:rsidR="00B96B40" w:rsidRPr="00AA1954" w14:paraId="73408054" w14:textId="77777777" w:rsidTr="00B96B40">
        <w:trPr>
          <w:trHeight w:val="170"/>
        </w:trPr>
        <w:tc>
          <w:tcPr>
            <w:tcW w:w="545" w:type="pct"/>
            <w:tcBorders>
              <w:top w:val="nil"/>
              <w:left w:val="single" w:sz="4" w:space="0" w:color="auto"/>
              <w:bottom w:val="single" w:sz="4" w:space="0" w:color="auto"/>
              <w:right w:val="single" w:sz="4" w:space="0" w:color="auto"/>
            </w:tcBorders>
            <w:shd w:val="clear" w:color="auto" w:fill="auto"/>
            <w:noWrap/>
            <w:vAlign w:val="bottom"/>
            <w:hideMark/>
          </w:tcPr>
          <w:p w14:paraId="75938E7E" w14:textId="77777777" w:rsidR="00B96B40" w:rsidRPr="00AA1954" w:rsidRDefault="00B96B40" w:rsidP="00AA1954">
            <w:pPr>
              <w:rPr>
                <w:rFonts w:ascii="Arial Narrow" w:hAnsi="Arial Narrow"/>
                <w:color w:val="000000"/>
                <w:sz w:val="20"/>
                <w:szCs w:val="20"/>
              </w:rPr>
            </w:pPr>
            <w:r w:rsidRPr="00AA1954">
              <w:rPr>
                <w:rFonts w:ascii="Arial Narrow" w:hAnsi="Arial Narrow"/>
                <w:color w:val="000000"/>
                <w:sz w:val="20"/>
                <w:szCs w:val="20"/>
              </w:rPr>
              <w:lastRenderedPageBreak/>
              <w:t>Junik</w:t>
            </w:r>
          </w:p>
        </w:tc>
        <w:tc>
          <w:tcPr>
            <w:tcW w:w="1582" w:type="pct"/>
            <w:tcBorders>
              <w:top w:val="nil"/>
              <w:left w:val="nil"/>
              <w:bottom w:val="single" w:sz="4" w:space="0" w:color="auto"/>
              <w:right w:val="single" w:sz="4" w:space="0" w:color="auto"/>
            </w:tcBorders>
            <w:shd w:val="clear" w:color="auto" w:fill="auto"/>
            <w:noWrap/>
            <w:vAlign w:val="bottom"/>
            <w:hideMark/>
          </w:tcPr>
          <w:p w14:paraId="38CE6219" w14:textId="77777777" w:rsidR="00B96B40" w:rsidRPr="00AA1954" w:rsidRDefault="00B96B40" w:rsidP="00AA1954">
            <w:pPr>
              <w:jc w:val="right"/>
              <w:rPr>
                <w:rFonts w:ascii="Arial Narrow" w:hAnsi="Arial Narrow"/>
                <w:color w:val="000000"/>
                <w:sz w:val="20"/>
                <w:szCs w:val="20"/>
              </w:rPr>
            </w:pPr>
            <w:r w:rsidRPr="00AA1954">
              <w:rPr>
                <w:rFonts w:ascii="Arial Narrow" w:hAnsi="Arial Narrow"/>
                <w:color w:val="000000"/>
                <w:sz w:val="20"/>
                <w:szCs w:val="20"/>
              </w:rPr>
              <w:t>818</w:t>
            </w:r>
          </w:p>
        </w:tc>
        <w:tc>
          <w:tcPr>
            <w:tcW w:w="1582" w:type="pct"/>
            <w:tcBorders>
              <w:top w:val="nil"/>
              <w:left w:val="nil"/>
              <w:bottom w:val="single" w:sz="4" w:space="0" w:color="auto"/>
              <w:right w:val="single" w:sz="4" w:space="0" w:color="auto"/>
            </w:tcBorders>
            <w:shd w:val="clear" w:color="auto" w:fill="auto"/>
            <w:noWrap/>
            <w:vAlign w:val="bottom"/>
            <w:hideMark/>
          </w:tcPr>
          <w:p w14:paraId="7BBC69F5" w14:textId="77777777" w:rsidR="00B96B40" w:rsidRPr="00AA1954" w:rsidRDefault="00B96B40" w:rsidP="00AA1954">
            <w:pPr>
              <w:jc w:val="right"/>
              <w:rPr>
                <w:rFonts w:ascii="Arial Narrow" w:hAnsi="Arial Narrow"/>
                <w:color w:val="000000"/>
                <w:sz w:val="20"/>
                <w:szCs w:val="20"/>
              </w:rPr>
            </w:pPr>
            <w:r w:rsidRPr="00AA1954">
              <w:rPr>
                <w:rFonts w:ascii="Arial Narrow" w:hAnsi="Arial Narrow"/>
                <w:color w:val="000000"/>
                <w:sz w:val="20"/>
                <w:szCs w:val="20"/>
              </w:rPr>
              <w:t>920</w:t>
            </w:r>
          </w:p>
        </w:tc>
        <w:tc>
          <w:tcPr>
            <w:tcW w:w="1291" w:type="pct"/>
            <w:tcBorders>
              <w:top w:val="nil"/>
              <w:left w:val="nil"/>
              <w:bottom w:val="single" w:sz="4" w:space="0" w:color="auto"/>
              <w:right w:val="single" w:sz="4" w:space="0" w:color="auto"/>
            </w:tcBorders>
            <w:shd w:val="clear" w:color="auto" w:fill="auto"/>
            <w:noWrap/>
            <w:vAlign w:val="bottom"/>
            <w:hideMark/>
          </w:tcPr>
          <w:p w14:paraId="0639D22B" w14:textId="2D724D5B" w:rsidR="00B96B40" w:rsidRPr="00AA1954" w:rsidRDefault="00B96B40" w:rsidP="00AA1954">
            <w:pPr>
              <w:jc w:val="right"/>
              <w:rPr>
                <w:rFonts w:ascii="Arial Narrow" w:hAnsi="Arial Narrow"/>
                <w:color w:val="000000"/>
                <w:sz w:val="20"/>
                <w:szCs w:val="20"/>
              </w:rPr>
            </w:pPr>
            <w:r>
              <w:rPr>
                <w:rFonts w:ascii="Arial Narrow" w:hAnsi="Arial Narrow"/>
                <w:color w:val="000000"/>
                <w:sz w:val="20"/>
                <w:szCs w:val="20"/>
              </w:rPr>
              <w:t>233</w:t>
            </w:r>
          </w:p>
        </w:tc>
      </w:tr>
      <w:tr w:rsidR="00B96B40" w:rsidRPr="00AA1954" w14:paraId="0003D537" w14:textId="77777777" w:rsidTr="00B96B40">
        <w:trPr>
          <w:trHeight w:val="170"/>
        </w:trPr>
        <w:tc>
          <w:tcPr>
            <w:tcW w:w="545" w:type="pct"/>
            <w:tcBorders>
              <w:top w:val="nil"/>
              <w:left w:val="single" w:sz="4" w:space="0" w:color="auto"/>
              <w:bottom w:val="single" w:sz="4" w:space="0" w:color="auto"/>
              <w:right w:val="single" w:sz="4" w:space="0" w:color="auto"/>
            </w:tcBorders>
            <w:shd w:val="clear" w:color="auto" w:fill="auto"/>
            <w:noWrap/>
            <w:vAlign w:val="bottom"/>
            <w:hideMark/>
          </w:tcPr>
          <w:p w14:paraId="0C880603" w14:textId="77777777" w:rsidR="00B96B40" w:rsidRPr="00AA1954" w:rsidRDefault="00B96B40" w:rsidP="00AA1954">
            <w:pPr>
              <w:rPr>
                <w:rFonts w:ascii="Arial Narrow" w:hAnsi="Arial Narrow"/>
                <w:b/>
                <w:bCs/>
                <w:color w:val="000000"/>
                <w:sz w:val="20"/>
                <w:szCs w:val="20"/>
              </w:rPr>
            </w:pPr>
            <w:r w:rsidRPr="00AA1954">
              <w:rPr>
                <w:rFonts w:ascii="Arial Narrow" w:hAnsi="Arial Narrow"/>
                <w:b/>
                <w:bCs/>
                <w:color w:val="000000"/>
                <w:sz w:val="20"/>
                <w:szCs w:val="20"/>
              </w:rPr>
              <w:t>Totali</w:t>
            </w:r>
          </w:p>
        </w:tc>
        <w:tc>
          <w:tcPr>
            <w:tcW w:w="1582" w:type="pct"/>
            <w:tcBorders>
              <w:top w:val="nil"/>
              <w:left w:val="nil"/>
              <w:bottom w:val="single" w:sz="4" w:space="0" w:color="auto"/>
              <w:right w:val="single" w:sz="4" w:space="0" w:color="auto"/>
            </w:tcBorders>
            <w:shd w:val="clear" w:color="auto" w:fill="auto"/>
            <w:noWrap/>
            <w:vAlign w:val="bottom"/>
            <w:hideMark/>
          </w:tcPr>
          <w:p w14:paraId="595B5F5B" w14:textId="77777777" w:rsidR="00B96B40" w:rsidRPr="00AA1954" w:rsidRDefault="00B96B40" w:rsidP="00AA1954">
            <w:pPr>
              <w:jc w:val="right"/>
              <w:rPr>
                <w:rFonts w:ascii="Arial Narrow" w:hAnsi="Arial Narrow"/>
                <w:b/>
                <w:bCs/>
                <w:color w:val="000000"/>
                <w:sz w:val="20"/>
                <w:szCs w:val="20"/>
              </w:rPr>
            </w:pPr>
            <w:r w:rsidRPr="00AA1954">
              <w:rPr>
                <w:rFonts w:ascii="Arial Narrow" w:hAnsi="Arial Narrow"/>
                <w:b/>
                <w:bCs/>
                <w:color w:val="000000"/>
                <w:sz w:val="20"/>
                <w:szCs w:val="20"/>
              </w:rPr>
              <w:t>71,193</w:t>
            </w:r>
          </w:p>
        </w:tc>
        <w:tc>
          <w:tcPr>
            <w:tcW w:w="1582" w:type="pct"/>
            <w:tcBorders>
              <w:top w:val="nil"/>
              <w:left w:val="nil"/>
              <w:bottom w:val="single" w:sz="4" w:space="0" w:color="auto"/>
              <w:right w:val="single" w:sz="4" w:space="0" w:color="auto"/>
            </w:tcBorders>
            <w:shd w:val="clear" w:color="auto" w:fill="auto"/>
            <w:noWrap/>
            <w:vAlign w:val="bottom"/>
            <w:hideMark/>
          </w:tcPr>
          <w:p w14:paraId="60C38FFA" w14:textId="0BF1B3D9" w:rsidR="00B96B40" w:rsidRPr="00AA1954" w:rsidRDefault="00B96B40" w:rsidP="00AA1954">
            <w:pPr>
              <w:jc w:val="right"/>
              <w:rPr>
                <w:rFonts w:ascii="Arial Narrow" w:hAnsi="Arial Narrow"/>
                <w:b/>
                <w:bCs/>
                <w:color w:val="000000"/>
                <w:sz w:val="20"/>
                <w:szCs w:val="20"/>
              </w:rPr>
            </w:pPr>
            <w:r w:rsidRPr="00AA1954">
              <w:rPr>
                <w:rFonts w:ascii="Arial Narrow" w:hAnsi="Arial Narrow"/>
                <w:b/>
                <w:bCs/>
                <w:color w:val="000000"/>
                <w:sz w:val="20"/>
                <w:szCs w:val="20"/>
              </w:rPr>
              <w:t>66,</w:t>
            </w:r>
            <w:r>
              <w:rPr>
                <w:rFonts w:ascii="Arial Narrow" w:hAnsi="Arial Narrow"/>
                <w:b/>
                <w:bCs/>
                <w:color w:val="000000"/>
                <w:sz w:val="20"/>
                <w:szCs w:val="20"/>
              </w:rPr>
              <w:t>396</w:t>
            </w:r>
          </w:p>
        </w:tc>
        <w:tc>
          <w:tcPr>
            <w:tcW w:w="1291" w:type="pct"/>
            <w:tcBorders>
              <w:top w:val="nil"/>
              <w:left w:val="nil"/>
              <w:bottom w:val="single" w:sz="4" w:space="0" w:color="auto"/>
              <w:right w:val="single" w:sz="4" w:space="0" w:color="auto"/>
            </w:tcBorders>
            <w:shd w:val="clear" w:color="auto" w:fill="auto"/>
            <w:noWrap/>
            <w:vAlign w:val="bottom"/>
            <w:hideMark/>
          </w:tcPr>
          <w:p w14:paraId="497747A1" w14:textId="2D304861" w:rsidR="00B96B40" w:rsidRPr="00AA1954" w:rsidRDefault="00B96B40" w:rsidP="00AA1954">
            <w:pPr>
              <w:rPr>
                <w:rFonts w:ascii="Arial Narrow" w:hAnsi="Arial Narrow"/>
                <w:color w:val="000000"/>
                <w:sz w:val="20"/>
                <w:szCs w:val="20"/>
              </w:rPr>
            </w:pPr>
            <w:r w:rsidRPr="00AA1954">
              <w:rPr>
                <w:rFonts w:ascii="Arial Narrow" w:hAnsi="Arial Narrow"/>
                <w:color w:val="000000"/>
                <w:sz w:val="20"/>
                <w:szCs w:val="20"/>
              </w:rPr>
              <w:t> </w:t>
            </w:r>
            <w:r w:rsidR="00066C0E">
              <w:rPr>
                <w:rFonts w:ascii="Arial Narrow" w:hAnsi="Arial Narrow"/>
                <w:color w:val="000000"/>
                <w:sz w:val="20"/>
                <w:szCs w:val="20"/>
              </w:rPr>
              <w:t>436</w:t>
            </w:r>
          </w:p>
        </w:tc>
      </w:tr>
    </w:tbl>
    <w:p w14:paraId="79BB122C" w14:textId="7AF6C810" w:rsidR="00D14286" w:rsidRPr="00D14286" w:rsidRDefault="00D14286" w:rsidP="00733C5C">
      <w:pPr>
        <w:pStyle w:val="source0"/>
      </w:pPr>
      <w:r w:rsidRPr="00D14286">
        <w:t>Burimi: Raporti i Gjendjes së Mjedisit</w:t>
      </w:r>
      <w:r w:rsidR="009561B9">
        <w:t>,</w:t>
      </w:r>
      <w:r w:rsidRPr="00D14286">
        <w:t xml:space="preserve"> i </w:t>
      </w:r>
      <w:r w:rsidR="009561B9">
        <w:t>AMMK</w:t>
      </w:r>
      <w:r w:rsidRPr="00D14286">
        <w:t xml:space="preserve">, </w:t>
      </w:r>
      <w:r w:rsidR="00B96B40">
        <w:t xml:space="preserve">2021 dhe </w:t>
      </w:r>
      <w:r w:rsidRPr="00D14286">
        <w:t>2022</w:t>
      </w:r>
    </w:p>
    <w:p w14:paraId="2F6024E7" w14:textId="77777777" w:rsidR="00D14286" w:rsidRDefault="00D14286" w:rsidP="00032CD8">
      <w:pPr>
        <w:rPr>
          <w:rFonts w:eastAsia="Calibri" w:cs="Calibri"/>
          <w:sz w:val="22"/>
          <w:szCs w:val="22"/>
        </w:rPr>
      </w:pPr>
    </w:p>
    <w:p w14:paraId="0A73B88A" w14:textId="77777777" w:rsidR="009561B9" w:rsidRPr="00C01F15" w:rsidRDefault="009561B9" w:rsidP="009561B9">
      <w:pPr>
        <w:pStyle w:val="Paragraph"/>
        <w:rPr>
          <w:rFonts w:eastAsia="Calibri"/>
          <w:lang w:val="sq-AL"/>
        </w:rPr>
      </w:pPr>
      <w:r w:rsidRPr="00C01F15">
        <w:rPr>
          <w:rFonts w:eastAsia="Calibri"/>
          <w:lang w:val="sq-AL"/>
        </w:rPr>
        <w:t>Në raportimin ekzistues të AMM</w:t>
      </w:r>
      <w:r>
        <w:rPr>
          <w:rFonts w:eastAsia="Calibri"/>
          <w:lang w:val="sq-AL"/>
        </w:rPr>
        <w:t>K</w:t>
      </w:r>
      <w:r w:rsidRPr="00C01F15">
        <w:rPr>
          <w:rFonts w:eastAsia="Calibri"/>
          <w:lang w:val="sq-AL"/>
        </w:rPr>
        <w:t xml:space="preserve">-së, të dhënat e gjenerimit të mbeturinave nuk janë të ndara për kategori të ndryshme të prodhuesve kryesorë të mbeturinave. Prandaj, numrat </w:t>
      </w:r>
      <w:r>
        <w:rPr>
          <w:rFonts w:eastAsia="Calibri"/>
          <w:lang w:val="sq-AL"/>
        </w:rPr>
        <w:t xml:space="preserve">e paraqitur </w:t>
      </w:r>
      <w:r w:rsidRPr="00C01F15">
        <w:rPr>
          <w:rFonts w:eastAsia="Calibri"/>
          <w:lang w:val="sq-AL"/>
        </w:rPr>
        <w:t xml:space="preserve">janë </w:t>
      </w:r>
      <w:r>
        <w:rPr>
          <w:rFonts w:eastAsia="Calibri"/>
          <w:lang w:val="sq-AL"/>
        </w:rPr>
        <w:t>shifra</w:t>
      </w:r>
      <w:r w:rsidRPr="00C01F15">
        <w:rPr>
          <w:rFonts w:eastAsia="Calibri"/>
          <w:lang w:val="sq-AL"/>
        </w:rPr>
        <w:t xml:space="preserve"> të përmbledhur</w:t>
      </w:r>
      <w:r>
        <w:rPr>
          <w:rFonts w:eastAsia="Calibri"/>
          <w:lang w:val="sq-AL"/>
        </w:rPr>
        <w:t>a</w:t>
      </w:r>
      <w:r w:rsidRPr="00C01F15">
        <w:rPr>
          <w:rFonts w:eastAsia="Calibri"/>
          <w:lang w:val="sq-AL"/>
        </w:rPr>
        <w:t xml:space="preserve"> për mbet</w:t>
      </w:r>
      <w:r>
        <w:rPr>
          <w:rFonts w:eastAsia="Calibri"/>
          <w:lang w:val="sq-AL"/>
        </w:rPr>
        <w:t>urinat</w:t>
      </w:r>
      <w:r w:rsidRPr="00C01F15">
        <w:rPr>
          <w:rFonts w:eastAsia="Calibri"/>
          <w:lang w:val="sq-AL"/>
        </w:rPr>
        <w:t xml:space="preserve"> e përziera nga secila komunë.</w:t>
      </w:r>
    </w:p>
    <w:p w14:paraId="147B36D7" w14:textId="77777777" w:rsidR="009561B9" w:rsidRPr="008D2D8C" w:rsidRDefault="009561B9" w:rsidP="009561B9">
      <w:pPr>
        <w:pStyle w:val="Paragraph"/>
        <w:rPr>
          <w:rFonts w:eastAsia="Calibri"/>
          <w:lang w:val="sq-AL"/>
        </w:rPr>
      </w:pPr>
      <w:r w:rsidRPr="00C01F15">
        <w:rPr>
          <w:rFonts w:eastAsia="Calibri"/>
          <w:lang w:val="sq-AL"/>
        </w:rPr>
        <w:t>Tabela më poshtë paraqet mbet</w:t>
      </w:r>
      <w:r>
        <w:rPr>
          <w:rFonts w:eastAsia="Calibri"/>
          <w:lang w:val="sq-AL"/>
        </w:rPr>
        <w:t>urinat</w:t>
      </w:r>
      <w:r w:rsidRPr="00C01F15">
        <w:rPr>
          <w:rFonts w:eastAsia="Calibri"/>
          <w:lang w:val="sq-AL"/>
        </w:rPr>
        <w:t xml:space="preserve"> e gjeneruara në vitin 2023 sipas kategorive të ndryshme (aty ku ka) në secilën komunë.</w:t>
      </w:r>
    </w:p>
    <w:p w14:paraId="577B0EE6" w14:textId="67655018" w:rsidR="00277297" w:rsidRPr="007F50ED" w:rsidRDefault="00277297" w:rsidP="007F50ED">
      <w:pPr>
        <w:suppressAutoHyphens/>
        <w:rPr>
          <w:rFonts w:ascii="Arial Narrow" w:eastAsia="Calibri" w:hAnsi="Arial Narrow" w:cs="Calibri"/>
          <w:color w:val="1F497D"/>
          <w:sz w:val="20"/>
          <w:szCs w:val="20"/>
        </w:rPr>
      </w:pPr>
      <w:bookmarkStart w:id="165" w:name="_Toc197472203"/>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18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 Gjenerimi i mbeturinave në rajonin e Pejës, 2023</w:t>
      </w:r>
      <w:bookmarkEnd w:id="165"/>
    </w:p>
    <w:tbl>
      <w:tblPr>
        <w:tblW w:w="5000" w:type="pct"/>
        <w:tblLook w:val="04A0" w:firstRow="1" w:lastRow="0" w:firstColumn="1" w:lastColumn="0" w:noHBand="0" w:noVBand="1"/>
      </w:tblPr>
      <w:tblGrid>
        <w:gridCol w:w="2362"/>
        <w:gridCol w:w="1109"/>
        <w:gridCol w:w="1109"/>
        <w:gridCol w:w="1109"/>
        <w:gridCol w:w="1109"/>
        <w:gridCol w:w="1109"/>
        <w:gridCol w:w="1109"/>
      </w:tblGrid>
      <w:tr w:rsidR="00DF120D" w:rsidRPr="00AA1954" w14:paraId="447D90B4" w14:textId="77777777" w:rsidTr="006347D6">
        <w:trPr>
          <w:trHeight w:val="270"/>
          <w:tblHeader/>
        </w:trPr>
        <w:tc>
          <w:tcPr>
            <w:tcW w:w="1310" w:type="pct"/>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7285FB60" w14:textId="77777777" w:rsidR="00277297" w:rsidRPr="00AA1954" w:rsidRDefault="00277297" w:rsidP="00277297">
            <w:pPr>
              <w:rPr>
                <w:rFonts w:ascii="Arial Narrow" w:hAnsi="Arial Narrow"/>
                <w:b/>
                <w:bCs/>
                <w:color w:val="FFFFFF" w:themeColor="background1"/>
                <w:sz w:val="20"/>
                <w:szCs w:val="20"/>
              </w:rPr>
            </w:pPr>
            <w:r w:rsidRPr="00AA1954">
              <w:rPr>
                <w:rFonts w:ascii="Arial Narrow" w:hAnsi="Arial Narrow"/>
                <w:b/>
                <w:bCs/>
                <w:color w:val="FFFFFF" w:themeColor="background1"/>
                <w:sz w:val="20"/>
                <w:szCs w:val="20"/>
              </w:rPr>
              <w:t>Burimi</w:t>
            </w:r>
          </w:p>
        </w:tc>
        <w:tc>
          <w:tcPr>
            <w:tcW w:w="615" w:type="pct"/>
            <w:tcBorders>
              <w:top w:val="single" w:sz="4" w:space="0" w:color="auto"/>
              <w:left w:val="nil"/>
              <w:bottom w:val="single" w:sz="4" w:space="0" w:color="auto"/>
              <w:right w:val="single" w:sz="4" w:space="0" w:color="auto"/>
            </w:tcBorders>
            <w:shd w:val="clear" w:color="auto" w:fill="365F91"/>
            <w:noWrap/>
            <w:vAlign w:val="bottom"/>
            <w:hideMark/>
          </w:tcPr>
          <w:p w14:paraId="190973CF" w14:textId="77777777" w:rsidR="00277297" w:rsidRPr="00AA1954" w:rsidRDefault="00277297" w:rsidP="00277297">
            <w:pPr>
              <w:jc w:val="center"/>
              <w:rPr>
                <w:rFonts w:ascii="Arial Narrow" w:hAnsi="Arial Narrow"/>
                <w:b/>
                <w:bCs/>
                <w:color w:val="FFFFFF" w:themeColor="background1"/>
                <w:sz w:val="20"/>
                <w:szCs w:val="20"/>
              </w:rPr>
            </w:pPr>
            <w:r w:rsidRPr="00AA1954">
              <w:rPr>
                <w:rFonts w:ascii="Arial Narrow" w:hAnsi="Arial Narrow"/>
                <w:b/>
                <w:bCs/>
                <w:color w:val="FFFFFF" w:themeColor="background1"/>
                <w:sz w:val="20"/>
                <w:szCs w:val="20"/>
              </w:rPr>
              <w:t>Pejë</w:t>
            </w:r>
          </w:p>
        </w:tc>
        <w:tc>
          <w:tcPr>
            <w:tcW w:w="615" w:type="pct"/>
            <w:tcBorders>
              <w:top w:val="single" w:sz="4" w:space="0" w:color="auto"/>
              <w:left w:val="nil"/>
              <w:bottom w:val="single" w:sz="4" w:space="0" w:color="auto"/>
              <w:right w:val="single" w:sz="4" w:space="0" w:color="auto"/>
            </w:tcBorders>
            <w:shd w:val="clear" w:color="auto" w:fill="365F91"/>
            <w:noWrap/>
            <w:vAlign w:val="bottom"/>
            <w:hideMark/>
          </w:tcPr>
          <w:p w14:paraId="1AAC8F43" w14:textId="77777777" w:rsidR="00277297" w:rsidRPr="00AA1954" w:rsidRDefault="00277297" w:rsidP="00277297">
            <w:pPr>
              <w:jc w:val="center"/>
              <w:rPr>
                <w:rFonts w:ascii="Arial Narrow" w:hAnsi="Arial Narrow"/>
                <w:b/>
                <w:bCs/>
                <w:color w:val="FFFFFF" w:themeColor="background1"/>
                <w:sz w:val="20"/>
                <w:szCs w:val="20"/>
              </w:rPr>
            </w:pPr>
            <w:r w:rsidRPr="00AA1954">
              <w:rPr>
                <w:rFonts w:ascii="Arial Narrow" w:hAnsi="Arial Narrow"/>
                <w:b/>
                <w:bCs/>
                <w:color w:val="FFFFFF" w:themeColor="background1"/>
                <w:sz w:val="20"/>
                <w:szCs w:val="20"/>
              </w:rPr>
              <w:t>Istog</w:t>
            </w:r>
          </w:p>
        </w:tc>
        <w:tc>
          <w:tcPr>
            <w:tcW w:w="615" w:type="pct"/>
            <w:tcBorders>
              <w:top w:val="single" w:sz="4" w:space="0" w:color="auto"/>
              <w:left w:val="nil"/>
              <w:bottom w:val="single" w:sz="4" w:space="0" w:color="auto"/>
              <w:right w:val="single" w:sz="4" w:space="0" w:color="auto"/>
            </w:tcBorders>
            <w:shd w:val="clear" w:color="auto" w:fill="365F91"/>
            <w:noWrap/>
            <w:vAlign w:val="bottom"/>
            <w:hideMark/>
          </w:tcPr>
          <w:p w14:paraId="6900C69E" w14:textId="77777777" w:rsidR="00277297" w:rsidRPr="00AA1954" w:rsidRDefault="00277297" w:rsidP="00277297">
            <w:pPr>
              <w:jc w:val="center"/>
              <w:rPr>
                <w:rFonts w:ascii="Arial Narrow" w:hAnsi="Arial Narrow"/>
                <w:b/>
                <w:bCs/>
                <w:color w:val="FFFFFF" w:themeColor="background1"/>
                <w:sz w:val="20"/>
                <w:szCs w:val="20"/>
              </w:rPr>
            </w:pPr>
            <w:r w:rsidRPr="00AA1954">
              <w:rPr>
                <w:rFonts w:ascii="Arial Narrow" w:hAnsi="Arial Narrow"/>
                <w:b/>
                <w:bCs/>
                <w:color w:val="FFFFFF" w:themeColor="background1"/>
                <w:sz w:val="20"/>
                <w:szCs w:val="20"/>
              </w:rPr>
              <w:t>Klinë</w:t>
            </w:r>
          </w:p>
        </w:tc>
        <w:tc>
          <w:tcPr>
            <w:tcW w:w="615" w:type="pct"/>
            <w:tcBorders>
              <w:top w:val="single" w:sz="4" w:space="0" w:color="auto"/>
              <w:left w:val="nil"/>
              <w:bottom w:val="single" w:sz="4" w:space="0" w:color="auto"/>
              <w:right w:val="single" w:sz="4" w:space="0" w:color="auto"/>
            </w:tcBorders>
            <w:shd w:val="clear" w:color="auto" w:fill="365F91"/>
            <w:noWrap/>
            <w:vAlign w:val="bottom"/>
            <w:hideMark/>
          </w:tcPr>
          <w:p w14:paraId="5DD08DF6" w14:textId="77777777" w:rsidR="00277297" w:rsidRPr="00AA1954" w:rsidRDefault="00277297" w:rsidP="00277297">
            <w:pPr>
              <w:jc w:val="center"/>
              <w:rPr>
                <w:rFonts w:ascii="Arial Narrow" w:hAnsi="Arial Narrow"/>
                <w:b/>
                <w:bCs/>
                <w:color w:val="FFFFFF" w:themeColor="background1"/>
                <w:sz w:val="20"/>
                <w:szCs w:val="20"/>
              </w:rPr>
            </w:pPr>
            <w:r w:rsidRPr="00AA1954">
              <w:rPr>
                <w:rFonts w:ascii="Arial Narrow" w:hAnsi="Arial Narrow"/>
                <w:b/>
                <w:bCs/>
                <w:color w:val="FFFFFF" w:themeColor="background1"/>
                <w:sz w:val="20"/>
                <w:szCs w:val="20"/>
              </w:rPr>
              <w:t>Deçan</w:t>
            </w:r>
          </w:p>
        </w:tc>
        <w:tc>
          <w:tcPr>
            <w:tcW w:w="615" w:type="pct"/>
            <w:tcBorders>
              <w:top w:val="single" w:sz="4" w:space="0" w:color="auto"/>
              <w:left w:val="nil"/>
              <w:bottom w:val="single" w:sz="4" w:space="0" w:color="auto"/>
              <w:right w:val="single" w:sz="4" w:space="0" w:color="auto"/>
            </w:tcBorders>
            <w:shd w:val="clear" w:color="auto" w:fill="365F91"/>
            <w:noWrap/>
            <w:vAlign w:val="bottom"/>
            <w:hideMark/>
          </w:tcPr>
          <w:p w14:paraId="24E30C28" w14:textId="77777777" w:rsidR="00277297" w:rsidRPr="00AA1954" w:rsidRDefault="00277297" w:rsidP="00277297">
            <w:pPr>
              <w:jc w:val="center"/>
              <w:rPr>
                <w:rFonts w:ascii="Arial Narrow" w:hAnsi="Arial Narrow"/>
                <w:b/>
                <w:bCs/>
                <w:color w:val="FFFFFF" w:themeColor="background1"/>
                <w:sz w:val="20"/>
                <w:szCs w:val="20"/>
              </w:rPr>
            </w:pPr>
            <w:r w:rsidRPr="00AA1954">
              <w:rPr>
                <w:rFonts w:ascii="Arial Narrow" w:hAnsi="Arial Narrow"/>
                <w:b/>
                <w:bCs/>
                <w:color w:val="FFFFFF" w:themeColor="background1"/>
                <w:sz w:val="20"/>
                <w:szCs w:val="20"/>
              </w:rPr>
              <w:t>Junik</w:t>
            </w:r>
          </w:p>
        </w:tc>
        <w:tc>
          <w:tcPr>
            <w:tcW w:w="615" w:type="pct"/>
            <w:tcBorders>
              <w:top w:val="single" w:sz="4" w:space="0" w:color="auto"/>
              <w:left w:val="nil"/>
              <w:bottom w:val="single" w:sz="4" w:space="0" w:color="auto"/>
              <w:right w:val="single" w:sz="4" w:space="0" w:color="auto"/>
            </w:tcBorders>
            <w:shd w:val="clear" w:color="auto" w:fill="365F91"/>
            <w:noWrap/>
            <w:vAlign w:val="bottom"/>
            <w:hideMark/>
          </w:tcPr>
          <w:p w14:paraId="355622B0" w14:textId="77777777" w:rsidR="00277297" w:rsidRPr="00AA1954" w:rsidRDefault="00277297" w:rsidP="00277297">
            <w:pPr>
              <w:jc w:val="center"/>
              <w:rPr>
                <w:rFonts w:ascii="Arial Narrow" w:hAnsi="Arial Narrow"/>
                <w:b/>
                <w:bCs/>
                <w:color w:val="FFFFFF" w:themeColor="background1"/>
                <w:sz w:val="20"/>
                <w:szCs w:val="20"/>
              </w:rPr>
            </w:pPr>
            <w:r w:rsidRPr="00AA1954">
              <w:rPr>
                <w:rFonts w:ascii="Arial Narrow" w:hAnsi="Arial Narrow"/>
                <w:b/>
                <w:bCs/>
                <w:color w:val="FFFFFF" w:themeColor="background1"/>
                <w:sz w:val="20"/>
                <w:szCs w:val="20"/>
              </w:rPr>
              <w:t>Totali</w:t>
            </w:r>
          </w:p>
        </w:tc>
      </w:tr>
      <w:tr w:rsidR="00DF120D" w:rsidRPr="00AA1954" w14:paraId="0802CEDF" w14:textId="77777777" w:rsidTr="00277297">
        <w:trPr>
          <w:trHeight w:val="270"/>
        </w:trPr>
        <w:tc>
          <w:tcPr>
            <w:tcW w:w="1310" w:type="pct"/>
            <w:tcBorders>
              <w:top w:val="nil"/>
              <w:left w:val="single" w:sz="4" w:space="0" w:color="auto"/>
              <w:bottom w:val="single" w:sz="4" w:space="0" w:color="auto"/>
              <w:right w:val="single" w:sz="4" w:space="0" w:color="auto"/>
            </w:tcBorders>
            <w:shd w:val="clear" w:color="auto" w:fill="auto"/>
            <w:noWrap/>
            <w:vAlign w:val="bottom"/>
            <w:hideMark/>
          </w:tcPr>
          <w:p w14:paraId="20253045" w14:textId="02D6EF7A" w:rsidR="00277297" w:rsidRPr="00AA1954" w:rsidRDefault="009561B9" w:rsidP="00277297">
            <w:pPr>
              <w:rPr>
                <w:rFonts w:ascii="Arial Narrow" w:hAnsi="Arial Narrow"/>
                <w:sz w:val="20"/>
                <w:szCs w:val="20"/>
              </w:rPr>
            </w:pPr>
            <w:r>
              <w:rPr>
                <w:rFonts w:ascii="Arial Narrow" w:hAnsi="Arial Narrow"/>
                <w:sz w:val="20"/>
                <w:szCs w:val="20"/>
              </w:rPr>
              <w:t>Amvisëritë</w:t>
            </w:r>
          </w:p>
        </w:tc>
        <w:tc>
          <w:tcPr>
            <w:tcW w:w="615" w:type="pct"/>
            <w:tcBorders>
              <w:top w:val="nil"/>
              <w:left w:val="nil"/>
              <w:bottom w:val="single" w:sz="4" w:space="0" w:color="auto"/>
              <w:right w:val="single" w:sz="4" w:space="0" w:color="auto"/>
            </w:tcBorders>
            <w:shd w:val="clear" w:color="auto" w:fill="auto"/>
            <w:noWrap/>
            <w:vAlign w:val="bottom"/>
            <w:hideMark/>
          </w:tcPr>
          <w:p w14:paraId="4DB9899A" w14:textId="77777777" w:rsidR="00277297" w:rsidRPr="00AA1954" w:rsidRDefault="00277297" w:rsidP="00277297">
            <w:pPr>
              <w:jc w:val="right"/>
              <w:rPr>
                <w:rFonts w:ascii="Arial Narrow" w:hAnsi="Arial Narrow"/>
                <w:sz w:val="20"/>
                <w:szCs w:val="20"/>
              </w:rPr>
            </w:pPr>
            <w:r w:rsidRPr="00AA1954">
              <w:rPr>
                <w:rFonts w:ascii="Arial Narrow" w:hAnsi="Arial Narrow"/>
                <w:sz w:val="20"/>
                <w:szCs w:val="20"/>
              </w:rPr>
              <w:t>30,500</w:t>
            </w:r>
          </w:p>
        </w:tc>
        <w:tc>
          <w:tcPr>
            <w:tcW w:w="615" w:type="pct"/>
            <w:tcBorders>
              <w:top w:val="nil"/>
              <w:left w:val="nil"/>
              <w:bottom w:val="single" w:sz="4" w:space="0" w:color="auto"/>
              <w:right w:val="single" w:sz="4" w:space="0" w:color="auto"/>
            </w:tcBorders>
            <w:shd w:val="clear" w:color="auto" w:fill="auto"/>
            <w:noWrap/>
            <w:vAlign w:val="bottom"/>
            <w:hideMark/>
          </w:tcPr>
          <w:p w14:paraId="61E0BE2C" w14:textId="77777777" w:rsidR="00277297" w:rsidRPr="00AA1954" w:rsidRDefault="00277297" w:rsidP="00277297">
            <w:pPr>
              <w:jc w:val="right"/>
              <w:rPr>
                <w:rFonts w:ascii="Arial Narrow" w:hAnsi="Arial Narrow"/>
                <w:sz w:val="20"/>
                <w:szCs w:val="20"/>
              </w:rPr>
            </w:pPr>
            <w:r w:rsidRPr="00AA1954">
              <w:rPr>
                <w:rFonts w:ascii="Arial Narrow" w:hAnsi="Arial Narrow"/>
                <w:sz w:val="20"/>
                <w:szCs w:val="20"/>
              </w:rPr>
              <w:t>11,569</w:t>
            </w:r>
          </w:p>
        </w:tc>
        <w:tc>
          <w:tcPr>
            <w:tcW w:w="615" w:type="pct"/>
            <w:tcBorders>
              <w:top w:val="nil"/>
              <w:left w:val="nil"/>
              <w:bottom w:val="single" w:sz="4" w:space="0" w:color="auto"/>
              <w:right w:val="single" w:sz="4" w:space="0" w:color="auto"/>
            </w:tcBorders>
            <w:shd w:val="clear" w:color="auto" w:fill="auto"/>
            <w:noWrap/>
            <w:vAlign w:val="bottom"/>
            <w:hideMark/>
          </w:tcPr>
          <w:p w14:paraId="05EC870A" w14:textId="77777777" w:rsidR="00277297" w:rsidRPr="00AA1954" w:rsidRDefault="00277297" w:rsidP="00277297">
            <w:pPr>
              <w:jc w:val="right"/>
              <w:rPr>
                <w:rFonts w:ascii="Arial Narrow" w:hAnsi="Arial Narrow"/>
                <w:sz w:val="20"/>
                <w:szCs w:val="20"/>
              </w:rPr>
            </w:pPr>
            <w:r w:rsidRPr="00AA1954">
              <w:rPr>
                <w:rFonts w:ascii="Arial Narrow" w:hAnsi="Arial Narrow"/>
                <w:sz w:val="20"/>
                <w:szCs w:val="20"/>
              </w:rPr>
              <w:t>7,738</w:t>
            </w:r>
          </w:p>
        </w:tc>
        <w:tc>
          <w:tcPr>
            <w:tcW w:w="615" w:type="pct"/>
            <w:tcBorders>
              <w:top w:val="nil"/>
              <w:left w:val="nil"/>
              <w:bottom w:val="single" w:sz="4" w:space="0" w:color="auto"/>
              <w:right w:val="single" w:sz="4" w:space="0" w:color="auto"/>
            </w:tcBorders>
            <w:shd w:val="clear" w:color="auto" w:fill="auto"/>
            <w:noWrap/>
            <w:vAlign w:val="bottom"/>
            <w:hideMark/>
          </w:tcPr>
          <w:p w14:paraId="5E053112" w14:textId="77777777" w:rsidR="00277297" w:rsidRPr="00AA1954" w:rsidRDefault="00277297" w:rsidP="00277297">
            <w:pPr>
              <w:jc w:val="right"/>
              <w:rPr>
                <w:rFonts w:ascii="Arial Narrow" w:hAnsi="Arial Narrow"/>
                <w:sz w:val="20"/>
                <w:szCs w:val="20"/>
              </w:rPr>
            </w:pPr>
            <w:r w:rsidRPr="00AA1954">
              <w:rPr>
                <w:rFonts w:ascii="Arial Narrow" w:hAnsi="Arial Narrow"/>
                <w:sz w:val="20"/>
                <w:szCs w:val="20"/>
              </w:rPr>
              <w:t>3,913</w:t>
            </w:r>
          </w:p>
        </w:tc>
        <w:tc>
          <w:tcPr>
            <w:tcW w:w="615" w:type="pct"/>
            <w:tcBorders>
              <w:top w:val="nil"/>
              <w:left w:val="nil"/>
              <w:bottom w:val="single" w:sz="4" w:space="0" w:color="auto"/>
              <w:right w:val="single" w:sz="4" w:space="0" w:color="auto"/>
            </w:tcBorders>
            <w:shd w:val="clear" w:color="auto" w:fill="auto"/>
            <w:noWrap/>
            <w:vAlign w:val="bottom"/>
            <w:hideMark/>
          </w:tcPr>
          <w:p w14:paraId="0838605A" w14:textId="77777777" w:rsidR="00277297" w:rsidRPr="00AA1954" w:rsidRDefault="00277297" w:rsidP="00277297">
            <w:pPr>
              <w:jc w:val="right"/>
              <w:rPr>
                <w:rFonts w:ascii="Arial Narrow" w:hAnsi="Arial Narrow"/>
                <w:sz w:val="20"/>
                <w:szCs w:val="20"/>
              </w:rPr>
            </w:pPr>
            <w:r w:rsidRPr="00AA1954">
              <w:rPr>
                <w:rFonts w:ascii="Arial Narrow" w:hAnsi="Arial Narrow"/>
                <w:sz w:val="20"/>
                <w:szCs w:val="20"/>
              </w:rPr>
              <w:t>860</w:t>
            </w:r>
          </w:p>
        </w:tc>
        <w:tc>
          <w:tcPr>
            <w:tcW w:w="615" w:type="pct"/>
            <w:tcBorders>
              <w:top w:val="nil"/>
              <w:left w:val="nil"/>
              <w:bottom w:val="single" w:sz="4" w:space="0" w:color="auto"/>
              <w:right w:val="single" w:sz="4" w:space="0" w:color="auto"/>
            </w:tcBorders>
            <w:shd w:val="clear" w:color="auto" w:fill="auto"/>
            <w:noWrap/>
            <w:vAlign w:val="bottom"/>
            <w:hideMark/>
          </w:tcPr>
          <w:p w14:paraId="75D503E1" w14:textId="77777777" w:rsidR="00277297" w:rsidRPr="00AA1954" w:rsidRDefault="00277297" w:rsidP="00277297">
            <w:pPr>
              <w:jc w:val="right"/>
              <w:rPr>
                <w:rFonts w:ascii="Arial Narrow" w:hAnsi="Arial Narrow"/>
                <w:sz w:val="20"/>
                <w:szCs w:val="20"/>
              </w:rPr>
            </w:pPr>
            <w:r w:rsidRPr="00AA1954">
              <w:rPr>
                <w:rFonts w:ascii="Arial Narrow" w:hAnsi="Arial Narrow"/>
                <w:sz w:val="20"/>
                <w:szCs w:val="20"/>
              </w:rPr>
              <w:t>54,580</w:t>
            </w:r>
          </w:p>
        </w:tc>
      </w:tr>
      <w:tr w:rsidR="00DF120D" w:rsidRPr="00AA1954" w14:paraId="05C23BDB" w14:textId="77777777" w:rsidTr="00277297">
        <w:trPr>
          <w:trHeight w:val="270"/>
        </w:trPr>
        <w:tc>
          <w:tcPr>
            <w:tcW w:w="1310" w:type="pct"/>
            <w:tcBorders>
              <w:top w:val="nil"/>
              <w:left w:val="single" w:sz="4" w:space="0" w:color="auto"/>
              <w:bottom w:val="single" w:sz="4" w:space="0" w:color="auto"/>
              <w:right w:val="single" w:sz="4" w:space="0" w:color="auto"/>
            </w:tcBorders>
            <w:shd w:val="clear" w:color="auto" w:fill="auto"/>
            <w:noWrap/>
            <w:vAlign w:val="bottom"/>
            <w:hideMark/>
          </w:tcPr>
          <w:p w14:paraId="6EC6E580" w14:textId="4BC8ED05" w:rsidR="00277297" w:rsidRPr="00AA1954" w:rsidRDefault="00277297" w:rsidP="00277297">
            <w:pPr>
              <w:rPr>
                <w:rFonts w:ascii="Arial Narrow" w:hAnsi="Arial Narrow"/>
                <w:sz w:val="20"/>
                <w:szCs w:val="20"/>
              </w:rPr>
            </w:pPr>
            <w:r w:rsidRPr="00AA1954">
              <w:rPr>
                <w:rFonts w:ascii="Arial Narrow" w:hAnsi="Arial Narrow"/>
                <w:sz w:val="20"/>
                <w:szCs w:val="20"/>
              </w:rPr>
              <w:t>Ent</w:t>
            </w:r>
            <w:r w:rsidR="009561B9">
              <w:rPr>
                <w:rFonts w:ascii="Arial Narrow" w:hAnsi="Arial Narrow"/>
                <w:sz w:val="20"/>
                <w:szCs w:val="20"/>
              </w:rPr>
              <w:t>itetet komerciale</w:t>
            </w:r>
          </w:p>
        </w:tc>
        <w:tc>
          <w:tcPr>
            <w:tcW w:w="615" w:type="pct"/>
            <w:tcBorders>
              <w:top w:val="nil"/>
              <w:left w:val="nil"/>
              <w:bottom w:val="single" w:sz="4" w:space="0" w:color="auto"/>
              <w:right w:val="single" w:sz="4" w:space="0" w:color="auto"/>
            </w:tcBorders>
            <w:shd w:val="clear" w:color="auto" w:fill="auto"/>
            <w:noWrap/>
            <w:vAlign w:val="bottom"/>
            <w:hideMark/>
          </w:tcPr>
          <w:p w14:paraId="5F5F4AF2" w14:textId="77777777" w:rsidR="00277297" w:rsidRPr="00AA1954" w:rsidRDefault="00277297" w:rsidP="00277297">
            <w:pPr>
              <w:jc w:val="right"/>
              <w:rPr>
                <w:rFonts w:ascii="Arial Narrow" w:hAnsi="Arial Narrow"/>
                <w:sz w:val="20"/>
                <w:szCs w:val="20"/>
              </w:rPr>
            </w:pPr>
            <w:r w:rsidRPr="00AA1954">
              <w:rPr>
                <w:rFonts w:ascii="Arial Narrow" w:hAnsi="Arial Narrow"/>
                <w:sz w:val="20"/>
                <w:szCs w:val="20"/>
              </w:rPr>
              <w:t>5,150</w:t>
            </w:r>
          </w:p>
        </w:tc>
        <w:tc>
          <w:tcPr>
            <w:tcW w:w="615" w:type="pct"/>
            <w:tcBorders>
              <w:top w:val="nil"/>
              <w:left w:val="nil"/>
              <w:bottom w:val="single" w:sz="4" w:space="0" w:color="auto"/>
              <w:right w:val="single" w:sz="4" w:space="0" w:color="auto"/>
            </w:tcBorders>
            <w:shd w:val="clear" w:color="auto" w:fill="auto"/>
            <w:noWrap/>
            <w:vAlign w:val="bottom"/>
            <w:hideMark/>
          </w:tcPr>
          <w:p w14:paraId="65CB1209" w14:textId="77777777" w:rsidR="00277297" w:rsidRPr="00AA1954" w:rsidRDefault="00277297" w:rsidP="00277297">
            <w:pPr>
              <w:rPr>
                <w:rFonts w:ascii="Arial Narrow" w:hAnsi="Arial Narrow"/>
                <w:sz w:val="20"/>
                <w:szCs w:val="20"/>
              </w:rPr>
            </w:pPr>
            <w:r w:rsidRPr="00AA1954">
              <w:rPr>
                <w:rFonts w:ascii="Arial Narrow" w:hAnsi="Arial Narrow"/>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14:paraId="3A7FC13B" w14:textId="77777777" w:rsidR="00277297" w:rsidRPr="00AA1954" w:rsidRDefault="00277297" w:rsidP="00277297">
            <w:pPr>
              <w:rPr>
                <w:rFonts w:ascii="Arial Narrow" w:hAnsi="Arial Narrow"/>
                <w:sz w:val="20"/>
                <w:szCs w:val="20"/>
              </w:rPr>
            </w:pPr>
            <w:r w:rsidRPr="00AA1954">
              <w:rPr>
                <w:rFonts w:ascii="Arial Narrow" w:hAnsi="Arial Narrow"/>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14:paraId="5224C5BB" w14:textId="77777777" w:rsidR="00277297" w:rsidRPr="00AA1954" w:rsidRDefault="00277297" w:rsidP="00277297">
            <w:pPr>
              <w:jc w:val="right"/>
              <w:rPr>
                <w:rFonts w:ascii="Arial Narrow" w:hAnsi="Arial Narrow"/>
                <w:sz w:val="20"/>
                <w:szCs w:val="20"/>
              </w:rPr>
            </w:pPr>
            <w:r w:rsidRPr="00AA1954">
              <w:rPr>
                <w:rFonts w:ascii="Arial Narrow" w:hAnsi="Arial Narrow"/>
                <w:sz w:val="20"/>
                <w:szCs w:val="20"/>
              </w:rPr>
              <w:t>2,134</w:t>
            </w:r>
          </w:p>
        </w:tc>
        <w:tc>
          <w:tcPr>
            <w:tcW w:w="615" w:type="pct"/>
            <w:tcBorders>
              <w:top w:val="nil"/>
              <w:left w:val="nil"/>
              <w:bottom w:val="single" w:sz="4" w:space="0" w:color="auto"/>
              <w:right w:val="single" w:sz="4" w:space="0" w:color="auto"/>
            </w:tcBorders>
            <w:shd w:val="clear" w:color="auto" w:fill="auto"/>
            <w:noWrap/>
            <w:vAlign w:val="bottom"/>
            <w:hideMark/>
          </w:tcPr>
          <w:p w14:paraId="67C273D8" w14:textId="77777777" w:rsidR="00277297" w:rsidRPr="00AA1954" w:rsidRDefault="00277297" w:rsidP="00277297">
            <w:pPr>
              <w:rPr>
                <w:rFonts w:ascii="Arial Narrow" w:hAnsi="Arial Narrow"/>
                <w:sz w:val="20"/>
                <w:szCs w:val="20"/>
              </w:rPr>
            </w:pPr>
            <w:r w:rsidRPr="00AA1954">
              <w:rPr>
                <w:rFonts w:ascii="Arial Narrow" w:hAnsi="Arial Narrow"/>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14:paraId="29E3084D" w14:textId="77777777" w:rsidR="00277297" w:rsidRPr="00AA1954" w:rsidRDefault="00277297" w:rsidP="00277297">
            <w:pPr>
              <w:jc w:val="right"/>
              <w:rPr>
                <w:rFonts w:ascii="Arial Narrow" w:hAnsi="Arial Narrow"/>
                <w:sz w:val="20"/>
                <w:szCs w:val="20"/>
              </w:rPr>
            </w:pPr>
            <w:r w:rsidRPr="00AA1954">
              <w:rPr>
                <w:rFonts w:ascii="Arial Narrow" w:hAnsi="Arial Narrow"/>
                <w:sz w:val="20"/>
                <w:szCs w:val="20"/>
              </w:rPr>
              <w:t>7,284</w:t>
            </w:r>
          </w:p>
        </w:tc>
      </w:tr>
      <w:tr w:rsidR="00DF120D" w:rsidRPr="00AA1954" w14:paraId="4338BF4D" w14:textId="77777777" w:rsidTr="00277297">
        <w:trPr>
          <w:trHeight w:val="270"/>
        </w:trPr>
        <w:tc>
          <w:tcPr>
            <w:tcW w:w="1310" w:type="pct"/>
            <w:tcBorders>
              <w:top w:val="nil"/>
              <w:left w:val="single" w:sz="4" w:space="0" w:color="auto"/>
              <w:bottom w:val="single" w:sz="4" w:space="0" w:color="auto"/>
              <w:right w:val="single" w:sz="4" w:space="0" w:color="auto"/>
            </w:tcBorders>
            <w:shd w:val="clear" w:color="auto" w:fill="auto"/>
            <w:noWrap/>
            <w:vAlign w:val="bottom"/>
            <w:hideMark/>
          </w:tcPr>
          <w:p w14:paraId="077EF7C9" w14:textId="77777777" w:rsidR="00277297" w:rsidRPr="00AA1954" w:rsidRDefault="00277297" w:rsidP="00277297">
            <w:pPr>
              <w:rPr>
                <w:rFonts w:ascii="Arial Narrow" w:hAnsi="Arial Narrow"/>
                <w:sz w:val="20"/>
                <w:szCs w:val="20"/>
              </w:rPr>
            </w:pPr>
            <w:r w:rsidRPr="00AA1954">
              <w:rPr>
                <w:rFonts w:ascii="Arial Narrow" w:hAnsi="Arial Narrow"/>
                <w:sz w:val="20"/>
                <w:szCs w:val="20"/>
              </w:rPr>
              <w:t>Institucionet</w:t>
            </w:r>
          </w:p>
        </w:tc>
        <w:tc>
          <w:tcPr>
            <w:tcW w:w="615" w:type="pct"/>
            <w:tcBorders>
              <w:top w:val="nil"/>
              <w:left w:val="nil"/>
              <w:bottom w:val="single" w:sz="4" w:space="0" w:color="auto"/>
              <w:right w:val="single" w:sz="4" w:space="0" w:color="auto"/>
            </w:tcBorders>
            <w:shd w:val="clear" w:color="auto" w:fill="auto"/>
            <w:noWrap/>
            <w:vAlign w:val="bottom"/>
            <w:hideMark/>
          </w:tcPr>
          <w:p w14:paraId="2CF4887A" w14:textId="77777777" w:rsidR="00277297" w:rsidRPr="00AA1954" w:rsidRDefault="00277297" w:rsidP="00277297">
            <w:pPr>
              <w:jc w:val="right"/>
              <w:rPr>
                <w:rFonts w:ascii="Arial Narrow" w:hAnsi="Arial Narrow"/>
                <w:sz w:val="20"/>
                <w:szCs w:val="20"/>
              </w:rPr>
            </w:pPr>
            <w:r w:rsidRPr="00AA1954">
              <w:rPr>
                <w:rFonts w:ascii="Arial Narrow" w:hAnsi="Arial Narrow"/>
                <w:sz w:val="20"/>
                <w:szCs w:val="20"/>
              </w:rPr>
              <w:t>1,650</w:t>
            </w:r>
          </w:p>
        </w:tc>
        <w:tc>
          <w:tcPr>
            <w:tcW w:w="615" w:type="pct"/>
            <w:tcBorders>
              <w:top w:val="nil"/>
              <w:left w:val="nil"/>
              <w:bottom w:val="single" w:sz="4" w:space="0" w:color="auto"/>
              <w:right w:val="single" w:sz="4" w:space="0" w:color="auto"/>
            </w:tcBorders>
            <w:shd w:val="clear" w:color="auto" w:fill="auto"/>
            <w:noWrap/>
            <w:vAlign w:val="bottom"/>
            <w:hideMark/>
          </w:tcPr>
          <w:p w14:paraId="3C247B79" w14:textId="77777777" w:rsidR="00277297" w:rsidRPr="00AA1954" w:rsidRDefault="00277297" w:rsidP="00277297">
            <w:pPr>
              <w:rPr>
                <w:rFonts w:ascii="Arial Narrow" w:hAnsi="Arial Narrow"/>
                <w:sz w:val="20"/>
                <w:szCs w:val="20"/>
              </w:rPr>
            </w:pPr>
            <w:r w:rsidRPr="00AA1954">
              <w:rPr>
                <w:rFonts w:ascii="Arial Narrow" w:hAnsi="Arial Narrow"/>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14:paraId="5EA1B1EA" w14:textId="77777777" w:rsidR="00277297" w:rsidRPr="00AA1954" w:rsidRDefault="00277297" w:rsidP="00277297">
            <w:pPr>
              <w:rPr>
                <w:rFonts w:ascii="Arial Narrow" w:hAnsi="Arial Narrow"/>
                <w:sz w:val="20"/>
                <w:szCs w:val="20"/>
              </w:rPr>
            </w:pPr>
            <w:r w:rsidRPr="00AA1954">
              <w:rPr>
                <w:rFonts w:ascii="Arial Narrow" w:hAnsi="Arial Narrow"/>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14:paraId="7C33397E" w14:textId="77777777" w:rsidR="00277297" w:rsidRPr="00AA1954" w:rsidRDefault="00277297" w:rsidP="00277297">
            <w:pPr>
              <w:jc w:val="right"/>
              <w:rPr>
                <w:rFonts w:ascii="Arial Narrow" w:hAnsi="Arial Narrow"/>
                <w:sz w:val="20"/>
                <w:szCs w:val="20"/>
              </w:rPr>
            </w:pPr>
            <w:r w:rsidRPr="00AA1954">
              <w:rPr>
                <w:rFonts w:ascii="Arial Narrow" w:hAnsi="Arial Narrow"/>
                <w:sz w:val="20"/>
                <w:szCs w:val="20"/>
              </w:rPr>
              <w:t>712</w:t>
            </w:r>
          </w:p>
        </w:tc>
        <w:tc>
          <w:tcPr>
            <w:tcW w:w="615" w:type="pct"/>
            <w:tcBorders>
              <w:top w:val="nil"/>
              <w:left w:val="nil"/>
              <w:bottom w:val="single" w:sz="4" w:space="0" w:color="auto"/>
              <w:right w:val="single" w:sz="4" w:space="0" w:color="auto"/>
            </w:tcBorders>
            <w:shd w:val="clear" w:color="auto" w:fill="auto"/>
            <w:noWrap/>
            <w:vAlign w:val="bottom"/>
            <w:hideMark/>
          </w:tcPr>
          <w:p w14:paraId="54318EA8" w14:textId="77777777" w:rsidR="00277297" w:rsidRPr="00AA1954" w:rsidRDefault="00277297" w:rsidP="00277297">
            <w:pPr>
              <w:rPr>
                <w:rFonts w:ascii="Arial Narrow" w:hAnsi="Arial Narrow"/>
                <w:sz w:val="20"/>
                <w:szCs w:val="20"/>
              </w:rPr>
            </w:pPr>
            <w:r w:rsidRPr="00AA1954">
              <w:rPr>
                <w:rFonts w:ascii="Arial Narrow" w:hAnsi="Arial Narrow"/>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14:paraId="0C3AB4DA" w14:textId="77777777" w:rsidR="00277297" w:rsidRPr="00AA1954" w:rsidRDefault="00277297" w:rsidP="00277297">
            <w:pPr>
              <w:jc w:val="right"/>
              <w:rPr>
                <w:rFonts w:ascii="Arial Narrow" w:hAnsi="Arial Narrow"/>
                <w:sz w:val="20"/>
                <w:szCs w:val="20"/>
              </w:rPr>
            </w:pPr>
            <w:r w:rsidRPr="00AA1954">
              <w:rPr>
                <w:rFonts w:ascii="Arial Narrow" w:hAnsi="Arial Narrow"/>
                <w:sz w:val="20"/>
                <w:szCs w:val="20"/>
              </w:rPr>
              <w:t>2,362</w:t>
            </w:r>
          </w:p>
        </w:tc>
      </w:tr>
      <w:tr w:rsidR="00DF120D" w:rsidRPr="00AA1954" w14:paraId="4754F824" w14:textId="77777777" w:rsidTr="00277297">
        <w:trPr>
          <w:trHeight w:val="270"/>
        </w:trPr>
        <w:tc>
          <w:tcPr>
            <w:tcW w:w="1310" w:type="pct"/>
            <w:tcBorders>
              <w:top w:val="nil"/>
              <w:left w:val="single" w:sz="4" w:space="0" w:color="auto"/>
              <w:bottom w:val="single" w:sz="4" w:space="0" w:color="auto"/>
              <w:right w:val="single" w:sz="4" w:space="0" w:color="auto"/>
            </w:tcBorders>
            <w:shd w:val="clear" w:color="auto" w:fill="auto"/>
            <w:noWrap/>
            <w:vAlign w:val="bottom"/>
            <w:hideMark/>
          </w:tcPr>
          <w:p w14:paraId="730FB7F9" w14:textId="77777777" w:rsidR="00277297" w:rsidRPr="00AA1954" w:rsidRDefault="00277297" w:rsidP="00277297">
            <w:pPr>
              <w:rPr>
                <w:rFonts w:ascii="Arial Narrow" w:hAnsi="Arial Narrow"/>
                <w:sz w:val="20"/>
                <w:szCs w:val="20"/>
              </w:rPr>
            </w:pPr>
            <w:r w:rsidRPr="00AA1954">
              <w:rPr>
                <w:rFonts w:ascii="Arial Narrow" w:hAnsi="Arial Narrow"/>
                <w:sz w:val="20"/>
                <w:szCs w:val="20"/>
              </w:rPr>
              <w:t>Industritë</w:t>
            </w:r>
          </w:p>
        </w:tc>
        <w:tc>
          <w:tcPr>
            <w:tcW w:w="615" w:type="pct"/>
            <w:tcBorders>
              <w:top w:val="nil"/>
              <w:left w:val="nil"/>
              <w:bottom w:val="single" w:sz="4" w:space="0" w:color="auto"/>
              <w:right w:val="single" w:sz="4" w:space="0" w:color="auto"/>
            </w:tcBorders>
            <w:shd w:val="clear" w:color="auto" w:fill="auto"/>
            <w:noWrap/>
            <w:vAlign w:val="bottom"/>
            <w:hideMark/>
          </w:tcPr>
          <w:p w14:paraId="3D11C4D7" w14:textId="77777777" w:rsidR="00277297" w:rsidRPr="00AA1954" w:rsidRDefault="00277297" w:rsidP="00277297">
            <w:pPr>
              <w:rPr>
                <w:rFonts w:ascii="Arial Narrow" w:hAnsi="Arial Narrow"/>
                <w:sz w:val="20"/>
                <w:szCs w:val="20"/>
              </w:rPr>
            </w:pPr>
            <w:r w:rsidRPr="00AA1954">
              <w:rPr>
                <w:rFonts w:ascii="Arial Narrow" w:hAnsi="Arial Narrow"/>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14:paraId="6DB94FD5" w14:textId="77777777" w:rsidR="00277297" w:rsidRPr="00AA1954" w:rsidRDefault="00277297" w:rsidP="00277297">
            <w:pPr>
              <w:rPr>
                <w:rFonts w:ascii="Arial Narrow" w:hAnsi="Arial Narrow"/>
                <w:sz w:val="20"/>
                <w:szCs w:val="20"/>
              </w:rPr>
            </w:pPr>
            <w:r w:rsidRPr="00AA1954">
              <w:rPr>
                <w:rFonts w:ascii="Arial Narrow" w:hAnsi="Arial Narrow"/>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14:paraId="79389583" w14:textId="77777777" w:rsidR="00277297" w:rsidRPr="00AA1954" w:rsidRDefault="00277297" w:rsidP="00277297">
            <w:pPr>
              <w:rPr>
                <w:rFonts w:ascii="Arial Narrow" w:hAnsi="Arial Narrow"/>
                <w:sz w:val="20"/>
                <w:szCs w:val="20"/>
              </w:rPr>
            </w:pPr>
            <w:r w:rsidRPr="00AA1954">
              <w:rPr>
                <w:rFonts w:ascii="Arial Narrow" w:hAnsi="Arial Narrow"/>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14:paraId="0ACCBB9A" w14:textId="77777777" w:rsidR="00277297" w:rsidRPr="00AA1954" w:rsidRDefault="00277297" w:rsidP="00277297">
            <w:pPr>
              <w:jc w:val="right"/>
              <w:rPr>
                <w:rFonts w:ascii="Arial Narrow" w:hAnsi="Arial Narrow"/>
                <w:sz w:val="20"/>
                <w:szCs w:val="20"/>
              </w:rPr>
            </w:pPr>
            <w:r w:rsidRPr="00AA1954">
              <w:rPr>
                <w:rFonts w:ascii="Arial Narrow" w:hAnsi="Arial Narrow"/>
                <w:sz w:val="20"/>
                <w:szCs w:val="20"/>
              </w:rPr>
              <w:t>356</w:t>
            </w:r>
          </w:p>
        </w:tc>
        <w:tc>
          <w:tcPr>
            <w:tcW w:w="615" w:type="pct"/>
            <w:tcBorders>
              <w:top w:val="nil"/>
              <w:left w:val="nil"/>
              <w:bottom w:val="single" w:sz="4" w:space="0" w:color="auto"/>
              <w:right w:val="single" w:sz="4" w:space="0" w:color="auto"/>
            </w:tcBorders>
            <w:shd w:val="clear" w:color="auto" w:fill="auto"/>
            <w:noWrap/>
            <w:vAlign w:val="bottom"/>
            <w:hideMark/>
          </w:tcPr>
          <w:p w14:paraId="6B45C3E8" w14:textId="77777777" w:rsidR="00277297" w:rsidRPr="00AA1954" w:rsidRDefault="00277297" w:rsidP="00277297">
            <w:pPr>
              <w:rPr>
                <w:rFonts w:ascii="Arial Narrow" w:hAnsi="Arial Narrow"/>
                <w:sz w:val="20"/>
                <w:szCs w:val="20"/>
              </w:rPr>
            </w:pPr>
            <w:r w:rsidRPr="00AA1954">
              <w:rPr>
                <w:rFonts w:ascii="Arial Narrow" w:hAnsi="Arial Narrow"/>
                <w:sz w:val="20"/>
                <w:szCs w:val="20"/>
              </w:rPr>
              <w:t> </w:t>
            </w:r>
          </w:p>
        </w:tc>
        <w:tc>
          <w:tcPr>
            <w:tcW w:w="615" w:type="pct"/>
            <w:tcBorders>
              <w:top w:val="nil"/>
              <w:left w:val="nil"/>
              <w:bottom w:val="single" w:sz="4" w:space="0" w:color="auto"/>
              <w:right w:val="single" w:sz="4" w:space="0" w:color="auto"/>
            </w:tcBorders>
            <w:shd w:val="clear" w:color="auto" w:fill="auto"/>
            <w:noWrap/>
            <w:vAlign w:val="bottom"/>
            <w:hideMark/>
          </w:tcPr>
          <w:p w14:paraId="6E7987A0" w14:textId="77777777" w:rsidR="00277297" w:rsidRPr="00AA1954" w:rsidRDefault="00277297" w:rsidP="00277297">
            <w:pPr>
              <w:jc w:val="right"/>
              <w:rPr>
                <w:rFonts w:ascii="Arial Narrow" w:hAnsi="Arial Narrow"/>
                <w:sz w:val="20"/>
                <w:szCs w:val="20"/>
              </w:rPr>
            </w:pPr>
            <w:r w:rsidRPr="00AA1954">
              <w:rPr>
                <w:rFonts w:ascii="Arial Narrow" w:hAnsi="Arial Narrow"/>
                <w:sz w:val="20"/>
                <w:szCs w:val="20"/>
              </w:rPr>
              <w:t>356</w:t>
            </w:r>
          </w:p>
        </w:tc>
      </w:tr>
      <w:tr w:rsidR="00DF120D" w:rsidRPr="00AA1954" w14:paraId="1867AEC3" w14:textId="77777777" w:rsidTr="00277297">
        <w:trPr>
          <w:trHeight w:val="270"/>
        </w:trPr>
        <w:tc>
          <w:tcPr>
            <w:tcW w:w="1310" w:type="pct"/>
            <w:tcBorders>
              <w:top w:val="nil"/>
              <w:left w:val="single" w:sz="4" w:space="0" w:color="auto"/>
              <w:bottom w:val="single" w:sz="4" w:space="0" w:color="auto"/>
              <w:right w:val="single" w:sz="4" w:space="0" w:color="auto"/>
            </w:tcBorders>
            <w:shd w:val="clear" w:color="auto" w:fill="auto"/>
            <w:noWrap/>
            <w:vAlign w:val="bottom"/>
            <w:hideMark/>
          </w:tcPr>
          <w:p w14:paraId="21C05007" w14:textId="77777777" w:rsidR="00277297" w:rsidRPr="00AA1954" w:rsidRDefault="00277297" w:rsidP="00277297">
            <w:pPr>
              <w:rPr>
                <w:rFonts w:ascii="Arial Narrow" w:hAnsi="Arial Narrow"/>
                <w:b/>
                <w:bCs/>
                <w:sz w:val="20"/>
                <w:szCs w:val="20"/>
              </w:rPr>
            </w:pPr>
            <w:r w:rsidRPr="00AA1954">
              <w:rPr>
                <w:rFonts w:ascii="Arial Narrow" w:hAnsi="Arial Narrow"/>
                <w:b/>
                <w:bCs/>
                <w:sz w:val="20"/>
                <w:szCs w:val="20"/>
              </w:rPr>
              <w:t>Totali</w:t>
            </w:r>
          </w:p>
        </w:tc>
        <w:tc>
          <w:tcPr>
            <w:tcW w:w="615" w:type="pct"/>
            <w:tcBorders>
              <w:top w:val="nil"/>
              <w:left w:val="nil"/>
              <w:bottom w:val="single" w:sz="4" w:space="0" w:color="auto"/>
              <w:right w:val="single" w:sz="4" w:space="0" w:color="auto"/>
            </w:tcBorders>
            <w:shd w:val="clear" w:color="auto" w:fill="auto"/>
            <w:noWrap/>
            <w:vAlign w:val="bottom"/>
            <w:hideMark/>
          </w:tcPr>
          <w:p w14:paraId="69CAD2F0" w14:textId="77777777" w:rsidR="00277297" w:rsidRPr="00AA1954" w:rsidRDefault="00277297" w:rsidP="00277297">
            <w:pPr>
              <w:jc w:val="right"/>
              <w:rPr>
                <w:rFonts w:ascii="Arial Narrow" w:hAnsi="Arial Narrow"/>
                <w:b/>
                <w:bCs/>
                <w:sz w:val="20"/>
                <w:szCs w:val="20"/>
              </w:rPr>
            </w:pPr>
            <w:r w:rsidRPr="00AA1954">
              <w:rPr>
                <w:rFonts w:ascii="Arial Narrow" w:hAnsi="Arial Narrow"/>
                <w:b/>
                <w:bCs/>
                <w:sz w:val="20"/>
                <w:szCs w:val="20"/>
              </w:rPr>
              <w:t>37,300</w:t>
            </w:r>
          </w:p>
        </w:tc>
        <w:tc>
          <w:tcPr>
            <w:tcW w:w="615" w:type="pct"/>
            <w:tcBorders>
              <w:top w:val="nil"/>
              <w:left w:val="nil"/>
              <w:bottom w:val="single" w:sz="4" w:space="0" w:color="auto"/>
              <w:right w:val="single" w:sz="4" w:space="0" w:color="auto"/>
            </w:tcBorders>
            <w:shd w:val="clear" w:color="auto" w:fill="auto"/>
            <w:noWrap/>
            <w:vAlign w:val="bottom"/>
            <w:hideMark/>
          </w:tcPr>
          <w:p w14:paraId="250B3C72" w14:textId="77777777" w:rsidR="00277297" w:rsidRPr="00AA1954" w:rsidRDefault="00277297" w:rsidP="00277297">
            <w:pPr>
              <w:jc w:val="right"/>
              <w:rPr>
                <w:rFonts w:ascii="Arial Narrow" w:hAnsi="Arial Narrow"/>
                <w:b/>
                <w:bCs/>
                <w:sz w:val="20"/>
                <w:szCs w:val="20"/>
              </w:rPr>
            </w:pPr>
            <w:r w:rsidRPr="00AA1954">
              <w:rPr>
                <w:rFonts w:ascii="Arial Narrow" w:hAnsi="Arial Narrow"/>
                <w:b/>
                <w:bCs/>
                <w:sz w:val="20"/>
                <w:szCs w:val="20"/>
              </w:rPr>
              <w:t>11,569</w:t>
            </w:r>
          </w:p>
        </w:tc>
        <w:tc>
          <w:tcPr>
            <w:tcW w:w="615" w:type="pct"/>
            <w:tcBorders>
              <w:top w:val="nil"/>
              <w:left w:val="nil"/>
              <w:bottom w:val="single" w:sz="4" w:space="0" w:color="auto"/>
              <w:right w:val="single" w:sz="4" w:space="0" w:color="auto"/>
            </w:tcBorders>
            <w:shd w:val="clear" w:color="auto" w:fill="auto"/>
            <w:noWrap/>
            <w:vAlign w:val="bottom"/>
            <w:hideMark/>
          </w:tcPr>
          <w:p w14:paraId="3B1AB389" w14:textId="77777777" w:rsidR="00277297" w:rsidRPr="00AA1954" w:rsidRDefault="00277297" w:rsidP="00277297">
            <w:pPr>
              <w:jc w:val="right"/>
              <w:rPr>
                <w:rFonts w:ascii="Arial Narrow" w:hAnsi="Arial Narrow"/>
                <w:b/>
                <w:bCs/>
                <w:sz w:val="20"/>
                <w:szCs w:val="20"/>
              </w:rPr>
            </w:pPr>
            <w:r w:rsidRPr="00AA1954">
              <w:rPr>
                <w:rFonts w:ascii="Arial Narrow" w:hAnsi="Arial Narrow"/>
                <w:b/>
                <w:bCs/>
                <w:sz w:val="20"/>
                <w:szCs w:val="20"/>
              </w:rPr>
              <w:t>7,738</w:t>
            </w:r>
          </w:p>
        </w:tc>
        <w:tc>
          <w:tcPr>
            <w:tcW w:w="615" w:type="pct"/>
            <w:tcBorders>
              <w:top w:val="nil"/>
              <w:left w:val="nil"/>
              <w:bottom w:val="single" w:sz="4" w:space="0" w:color="auto"/>
              <w:right w:val="single" w:sz="4" w:space="0" w:color="auto"/>
            </w:tcBorders>
            <w:shd w:val="clear" w:color="auto" w:fill="auto"/>
            <w:noWrap/>
            <w:vAlign w:val="bottom"/>
            <w:hideMark/>
          </w:tcPr>
          <w:p w14:paraId="0A666B9C" w14:textId="77777777" w:rsidR="00277297" w:rsidRPr="00AA1954" w:rsidRDefault="00277297" w:rsidP="00277297">
            <w:pPr>
              <w:jc w:val="right"/>
              <w:rPr>
                <w:rFonts w:ascii="Arial Narrow" w:hAnsi="Arial Narrow"/>
                <w:b/>
                <w:bCs/>
                <w:sz w:val="20"/>
                <w:szCs w:val="20"/>
              </w:rPr>
            </w:pPr>
            <w:r w:rsidRPr="00AA1954">
              <w:rPr>
                <w:rFonts w:ascii="Arial Narrow" w:hAnsi="Arial Narrow"/>
                <w:b/>
                <w:bCs/>
                <w:sz w:val="20"/>
                <w:szCs w:val="20"/>
              </w:rPr>
              <w:t>7,115</w:t>
            </w:r>
          </w:p>
        </w:tc>
        <w:tc>
          <w:tcPr>
            <w:tcW w:w="615" w:type="pct"/>
            <w:tcBorders>
              <w:top w:val="nil"/>
              <w:left w:val="nil"/>
              <w:bottom w:val="single" w:sz="4" w:space="0" w:color="auto"/>
              <w:right w:val="single" w:sz="4" w:space="0" w:color="auto"/>
            </w:tcBorders>
            <w:shd w:val="clear" w:color="auto" w:fill="auto"/>
            <w:noWrap/>
            <w:vAlign w:val="bottom"/>
            <w:hideMark/>
          </w:tcPr>
          <w:p w14:paraId="163AF52C" w14:textId="77777777" w:rsidR="00277297" w:rsidRPr="00AA1954" w:rsidRDefault="00277297" w:rsidP="00277297">
            <w:pPr>
              <w:jc w:val="right"/>
              <w:rPr>
                <w:rFonts w:ascii="Arial Narrow" w:hAnsi="Arial Narrow"/>
                <w:b/>
                <w:bCs/>
                <w:sz w:val="20"/>
                <w:szCs w:val="20"/>
              </w:rPr>
            </w:pPr>
            <w:r w:rsidRPr="00AA1954">
              <w:rPr>
                <w:rFonts w:ascii="Arial Narrow" w:hAnsi="Arial Narrow"/>
                <w:b/>
                <w:bCs/>
                <w:sz w:val="20"/>
                <w:szCs w:val="20"/>
              </w:rPr>
              <w:t>860</w:t>
            </w:r>
          </w:p>
        </w:tc>
        <w:tc>
          <w:tcPr>
            <w:tcW w:w="615" w:type="pct"/>
            <w:tcBorders>
              <w:top w:val="nil"/>
              <w:left w:val="nil"/>
              <w:bottom w:val="single" w:sz="4" w:space="0" w:color="auto"/>
              <w:right w:val="single" w:sz="4" w:space="0" w:color="auto"/>
            </w:tcBorders>
            <w:shd w:val="clear" w:color="auto" w:fill="auto"/>
            <w:noWrap/>
            <w:vAlign w:val="bottom"/>
            <w:hideMark/>
          </w:tcPr>
          <w:p w14:paraId="6EDC66FB" w14:textId="77777777" w:rsidR="00277297" w:rsidRPr="00AA1954" w:rsidRDefault="00277297" w:rsidP="00277297">
            <w:pPr>
              <w:jc w:val="right"/>
              <w:rPr>
                <w:rFonts w:ascii="Arial Narrow" w:hAnsi="Arial Narrow"/>
                <w:b/>
                <w:bCs/>
                <w:sz w:val="20"/>
                <w:szCs w:val="20"/>
              </w:rPr>
            </w:pPr>
            <w:r w:rsidRPr="00AA1954">
              <w:rPr>
                <w:rFonts w:ascii="Arial Narrow" w:hAnsi="Arial Narrow"/>
                <w:b/>
                <w:bCs/>
                <w:sz w:val="20"/>
                <w:szCs w:val="20"/>
              </w:rPr>
              <w:t>64,582</w:t>
            </w:r>
          </w:p>
        </w:tc>
      </w:tr>
    </w:tbl>
    <w:p w14:paraId="002881C6" w14:textId="0103246A" w:rsidR="00277297" w:rsidRDefault="00277297" w:rsidP="00733C5C">
      <w:pPr>
        <w:pStyle w:val="source0"/>
      </w:pPr>
      <w:r w:rsidRPr="00277297">
        <w:t xml:space="preserve">Burimi: të dhëna nga </w:t>
      </w:r>
      <w:r w:rsidR="009561B9">
        <w:t>komunat</w:t>
      </w:r>
      <w:r w:rsidRPr="00277297">
        <w:t>, 2024</w:t>
      </w:r>
    </w:p>
    <w:p w14:paraId="40DF4E04" w14:textId="6552A5E8" w:rsidR="006031E3" w:rsidRPr="00277297" w:rsidRDefault="006031E3" w:rsidP="00733C5C">
      <w:pPr>
        <w:pStyle w:val="source0"/>
      </w:pPr>
      <w:r>
        <w:t>Shënim: Sasitë e mbeturinave të raportuara nga komunat e Istogut, Klinës dhe Junikut përbëjnë totalin e mbeturinave komunale (nga familjet dhe burime të ngjashme me familjet)</w:t>
      </w:r>
    </w:p>
    <w:p w14:paraId="06B7A6C0" w14:textId="77777777" w:rsidR="00277297" w:rsidRDefault="00277297" w:rsidP="00032CD8">
      <w:pPr>
        <w:rPr>
          <w:rFonts w:eastAsia="Calibri" w:cs="Calibri"/>
          <w:sz w:val="22"/>
          <w:szCs w:val="22"/>
        </w:rPr>
      </w:pPr>
    </w:p>
    <w:p w14:paraId="22434C1F" w14:textId="77777777" w:rsidR="009561B9" w:rsidRPr="00C01F15" w:rsidRDefault="009561B9" w:rsidP="009561B9">
      <w:pPr>
        <w:pStyle w:val="Paragraph"/>
        <w:rPr>
          <w:rFonts w:eastAsia="Calibri"/>
          <w:lang w:val="sq-AL"/>
        </w:rPr>
      </w:pPr>
      <w:r w:rsidRPr="00C01F15">
        <w:rPr>
          <w:rFonts w:eastAsia="Calibri"/>
          <w:lang w:val="sq-AL"/>
        </w:rPr>
        <w:t>Siç shihet nga Tabelat e mësipërme, vetëm në Pejë prodhimi i mbeturinave ka shënuar rritje të lehtë. Në të gjitha komunat e tjera, gjenerimi i mbeturinave ka shënuar rënie në vitet e fundit.</w:t>
      </w:r>
    </w:p>
    <w:p w14:paraId="0ACC0E4B" w14:textId="77777777" w:rsidR="009561B9" w:rsidRPr="008D2D8C" w:rsidRDefault="009561B9" w:rsidP="009561B9">
      <w:pPr>
        <w:pStyle w:val="Paragraph"/>
        <w:rPr>
          <w:rFonts w:eastAsia="Calibri"/>
          <w:lang w:val="sq-AL"/>
        </w:rPr>
      </w:pPr>
      <w:r w:rsidRPr="00C01F15">
        <w:rPr>
          <w:rFonts w:eastAsia="Calibri"/>
          <w:lang w:val="sq-AL"/>
        </w:rPr>
        <w:t>Tabela më poshtë tregon normat e përllogaritura të gjenerimit të mbet</w:t>
      </w:r>
      <w:r>
        <w:rPr>
          <w:rFonts w:eastAsia="Calibri"/>
          <w:lang w:val="sq-AL"/>
        </w:rPr>
        <w:t>urinave</w:t>
      </w:r>
      <w:r w:rsidRPr="00C01F15">
        <w:rPr>
          <w:rFonts w:eastAsia="Calibri"/>
          <w:lang w:val="sq-AL"/>
        </w:rPr>
        <w:t xml:space="preserve"> në secilën komunë bazuar në sasitë e raportuara të mbet</w:t>
      </w:r>
      <w:r>
        <w:rPr>
          <w:rFonts w:eastAsia="Calibri"/>
          <w:lang w:val="sq-AL"/>
        </w:rPr>
        <w:t>urinave</w:t>
      </w:r>
      <w:r w:rsidRPr="00C01F15">
        <w:rPr>
          <w:rFonts w:eastAsia="Calibri"/>
          <w:lang w:val="sq-AL"/>
        </w:rPr>
        <w:t xml:space="preserve"> të gjeneruara në vitin 2023.</w:t>
      </w:r>
    </w:p>
    <w:p w14:paraId="788B9AD6" w14:textId="7EACBC62" w:rsidR="00650388" w:rsidRPr="007F50ED" w:rsidRDefault="00650388" w:rsidP="007F50ED">
      <w:pPr>
        <w:suppressAutoHyphens/>
        <w:rPr>
          <w:rFonts w:ascii="Arial Narrow" w:eastAsia="Calibri" w:hAnsi="Arial Narrow" w:cs="Calibri"/>
          <w:color w:val="1F497D"/>
          <w:sz w:val="20"/>
          <w:szCs w:val="20"/>
        </w:rPr>
      </w:pPr>
      <w:bookmarkStart w:id="166" w:name="_Toc197472204"/>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19. </w:t>
      </w:r>
      <w:r w:rsidRPr="007F50ED">
        <w:rPr>
          <w:rFonts w:ascii="Arial Narrow" w:eastAsia="Calibri" w:hAnsi="Arial Narrow" w:cs="Calibri"/>
          <w:color w:val="1F497D"/>
          <w:sz w:val="20"/>
          <w:szCs w:val="20"/>
        </w:rPr>
        <w:fldChar w:fldCharType="end"/>
      </w:r>
      <w:r w:rsidR="009561B9">
        <w:rPr>
          <w:rFonts w:ascii="Arial Narrow" w:eastAsia="Calibri" w:hAnsi="Arial Narrow" w:cs="Calibri"/>
          <w:color w:val="1F497D"/>
          <w:sz w:val="20"/>
          <w:szCs w:val="20"/>
        </w:rPr>
        <w:t xml:space="preserve">Normat e gjenerimit të </w:t>
      </w:r>
      <w:r w:rsidRPr="007F50ED">
        <w:rPr>
          <w:rFonts w:ascii="Arial Narrow" w:eastAsia="Calibri" w:hAnsi="Arial Narrow" w:cs="Calibri"/>
          <w:color w:val="1F497D"/>
          <w:sz w:val="20"/>
          <w:szCs w:val="20"/>
        </w:rPr>
        <w:t>mbeturinave, 2023</w:t>
      </w:r>
      <w:bookmarkEnd w:id="166"/>
    </w:p>
    <w:tbl>
      <w:tblPr>
        <w:tblW w:w="5000" w:type="pct"/>
        <w:tblLook w:val="04A0" w:firstRow="1" w:lastRow="0" w:firstColumn="1" w:lastColumn="0" w:noHBand="0" w:noVBand="1"/>
      </w:tblPr>
      <w:tblGrid>
        <w:gridCol w:w="1760"/>
        <w:gridCol w:w="1402"/>
        <w:gridCol w:w="2532"/>
        <w:gridCol w:w="1611"/>
        <w:gridCol w:w="1711"/>
      </w:tblGrid>
      <w:tr w:rsidR="009561B9" w:rsidRPr="00AA1954" w14:paraId="2D4C1CA6" w14:textId="77777777" w:rsidTr="006347D6">
        <w:trPr>
          <w:trHeight w:val="270"/>
          <w:tblHeader/>
        </w:trPr>
        <w:tc>
          <w:tcPr>
            <w:tcW w:w="1576" w:type="pct"/>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1EC00CDD" w14:textId="056DA37A" w:rsidR="00650388" w:rsidRPr="00AA1954" w:rsidRDefault="009561B9" w:rsidP="00650388">
            <w:pPr>
              <w:rPr>
                <w:rFonts w:ascii="Arial Narrow" w:hAnsi="Arial Narrow"/>
                <w:b/>
                <w:bCs/>
                <w:color w:val="FFFFFF" w:themeColor="background1"/>
                <w:sz w:val="20"/>
                <w:szCs w:val="20"/>
              </w:rPr>
            </w:pPr>
            <w:r>
              <w:rPr>
                <w:rFonts w:ascii="Arial Narrow" w:hAnsi="Arial Narrow"/>
                <w:b/>
                <w:bCs/>
                <w:color w:val="FFFFFF" w:themeColor="background1"/>
                <w:sz w:val="20"/>
                <w:szCs w:val="20"/>
              </w:rPr>
              <w:t>Komuna</w:t>
            </w:r>
          </w:p>
        </w:tc>
        <w:tc>
          <w:tcPr>
            <w:tcW w:w="791" w:type="pct"/>
            <w:tcBorders>
              <w:top w:val="single" w:sz="4" w:space="0" w:color="auto"/>
              <w:left w:val="nil"/>
              <w:bottom w:val="single" w:sz="4" w:space="0" w:color="auto"/>
              <w:right w:val="single" w:sz="4" w:space="0" w:color="auto"/>
            </w:tcBorders>
            <w:shd w:val="clear" w:color="auto" w:fill="365F91"/>
            <w:noWrap/>
            <w:vAlign w:val="bottom"/>
            <w:hideMark/>
          </w:tcPr>
          <w:p w14:paraId="48BA3D59" w14:textId="786A194E" w:rsidR="00650388" w:rsidRPr="00AA1954" w:rsidRDefault="00650388" w:rsidP="00650388">
            <w:pPr>
              <w:rPr>
                <w:rFonts w:ascii="Arial Narrow" w:hAnsi="Arial Narrow"/>
                <w:b/>
                <w:bCs/>
                <w:color w:val="FFFFFF" w:themeColor="background1"/>
                <w:sz w:val="20"/>
                <w:szCs w:val="20"/>
              </w:rPr>
            </w:pPr>
            <w:r w:rsidRPr="00AA1954">
              <w:rPr>
                <w:rFonts w:ascii="Arial Narrow" w:hAnsi="Arial Narrow"/>
                <w:b/>
                <w:bCs/>
                <w:color w:val="FFFFFF" w:themeColor="background1"/>
                <w:sz w:val="20"/>
                <w:szCs w:val="20"/>
              </w:rPr>
              <w:t>Popullsia, 202</w:t>
            </w:r>
            <w:r w:rsidR="000E625C">
              <w:rPr>
                <w:rFonts w:ascii="Arial Narrow" w:hAnsi="Arial Narrow"/>
                <w:b/>
                <w:bCs/>
                <w:color w:val="FFFFFF" w:themeColor="background1"/>
                <w:sz w:val="20"/>
                <w:szCs w:val="20"/>
              </w:rPr>
              <w:t>4</w:t>
            </w:r>
          </w:p>
        </w:tc>
        <w:tc>
          <w:tcPr>
            <w:tcW w:w="740" w:type="pct"/>
            <w:tcBorders>
              <w:top w:val="single" w:sz="4" w:space="0" w:color="auto"/>
              <w:left w:val="nil"/>
              <w:bottom w:val="single" w:sz="4" w:space="0" w:color="auto"/>
              <w:right w:val="single" w:sz="4" w:space="0" w:color="auto"/>
            </w:tcBorders>
            <w:shd w:val="clear" w:color="auto" w:fill="365F91"/>
            <w:noWrap/>
            <w:vAlign w:val="bottom"/>
            <w:hideMark/>
          </w:tcPr>
          <w:p w14:paraId="2BD0489D" w14:textId="557C0B9C" w:rsidR="00650388" w:rsidRPr="00AA1954" w:rsidRDefault="00650388" w:rsidP="00650388">
            <w:pPr>
              <w:rPr>
                <w:rFonts w:ascii="Arial Narrow" w:hAnsi="Arial Narrow"/>
                <w:b/>
                <w:bCs/>
                <w:color w:val="FFFFFF" w:themeColor="background1"/>
                <w:sz w:val="20"/>
                <w:szCs w:val="20"/>
              </w:rPr>
            </w:pPr>
            <w:r w:rsidRPr="00AA1954">
              <w:rPr>
                <w:rFonts w:ascii="Arial Narrow" w:hAnsi="Arial Narrow"/>
                <w:b/>
                <w:bCs/>
                <w:color w:val="FFFFFF" w:themeColor="background1"/>
                <w:sz w:val="20"/>
                <w:szCs w:val="20"/>
              </w:rPr>
              <w:t>Mbet</w:t>
            </w:r>
            <w:r w:rsidR="009561B9">
              <w:rPr>
                <w:rFonts w:ascii="Arial Narrow" w:hAnsi="Arial Narrow"/>
                <w:b/>
                <w:bCs/>
                <w:color w:val="FFFFFF" w:themeColor="background1"/>
                <w:sz w:val="20"/>
                <w:szCs w:val="20"/>
              </w:rPr>
              <w:t>urinat</w:t>
            </w:r>
            <w:r w:rsidRPr="00AA1954">
              <w:rPr>
                <w:rFonts w:ascii="Arial Narrow" w:hAnsi="Arial Narrow"/>
                <w:b/>
                <w:bCs/>
                <w:color w:val="FFFFFF" w:themeColor="background1"/>
                <w:sz w:val="20"/>
                <w:szCs w:val="20"/>
              </w:rPr>
              <w:t xml:space="preserve"> e gjeneruara, 2023</w:t>
            </w:r>
          </w:p>
        </w:tc>
        <w:tc>
          <w:tcPr>
            <w:tcW w:w="972" w:type="pct"/>
            <w:tcBorders>
              <w:top w:val="single" w:sz="4" w:space="0" w:color="auto"/>
              <w:left w:val="nil"/>
              <w:bottom w:val="single" w:sz="4" w:space="0" w:color="auto"/>
              <w:right w:val="single" w:sz="4" w:space="0" w:color="auto"/>
            </w:tcBorders>
            <w:shd w:val="clear" w:color="auto" w:fill="365F91"/>
            <w:noWrap/>
            <w:vAlign w:val="bottom"/>
            <w:hideMark/>
          </w:tcPr>
          <w:p w14:paraId="707E7B3C" w14:textId="53142FC3" w:rsidR="00650388" w:rsidRPr="00AA1954" w:rsidRDefault="00650388" w:rsidP="00650388">
            <w:pPr>
              <w:rPr>
                <w:rFonts w:ascii="Arial Narrow" w:hAnsi="Arial Narrow"/>
                <w:b/>
                <w:bCs/>
                <w:color w:val="FFFFFF" w:themeColor="background1"/>
                <w:sz w:val="20"/>
                <w:szCs w:val="20"/>
              </w:rPr>
            </w:pPr>
            <w:r w:rsidRPr="00AA1954">
              <w:rPr>
                <w:rFonts w:ascii="Arial Narrow" w:hAnsi="Arial Narrow"/>
                <w:b/>
                <w:bCs/>
                <w:color w:val="FFFFFF" w:themeColor="background1"/>
                <w:sz w:val="20"/>
                <w:szCs w:val="20"/>
              </w:rPr>
              <w:t>kg/</w:t>
            </w:r>
            <w:r w:rsidR="009561B9">
              <w:rPr>
                <w:rFonts w:ascii="Arial Narrow" w:hAnsi="Arial Narrow"/>
                <w:b/>
                <w:bCs/>
                <w:color w:val="FFFFFF" w:themeColor="background1"/>
                <w:sz w:val="20"/>
                <w:szCs w:val="20"/>
              </w:rPr>
              <w:t>kokë banori</w:t>
            </w:r>
            <w:r w:rsidRPr="00AA1954">
              <w:rPr>
                <w:rFonts w:ascii="Arial Narrow" w:hAnsi="Arial Narrow"/>
                <w:b/>
                <w:bCs/>
                <w:color w:val="FFFFFF" w:themeColor="background1"/>
                <w:sz w:val="20"/>
                <w:szCs w:val="20"/>
              </w:rPr>
              <w:t>/vit</w:t>
            </w:r>
          </w:p>
        </w:tc>
        <w:tc>
          <w:tcPr>
            <w:tcW w:w="921" w:type="pct"/>
            <w:tcBorders>
              <w:top w:val="single" w:sz="4" w:space="0" w:color="auto"/>
              <w:left w:val="nil"/>
              <w:bottom w:val="single" w:sz="4" w:space="0" w:color="auto"/>
              <w:right w:val="single" w:sz="4" w:space="0" w:color="auto"/>
            </w:tcBorders>
            <w:shd w:val="clear" w:color="auto" w:fill="365F91"/>
            <w:noWrap/>
            <w:vAlign w:val="bottom"/>
            <w:hideMark/>
          </w:tcPr>
          <w:p w14:paraId="3F4AA296" w14:textId="60820939" w:rsidR="00650388" w:rsidRPr="00AA1954" w:rsidRDefault="00650388" w:rsidP="00650388">
            <w:pPr>
              <w:rPr>
                <w:rFonts w:ascii="Arial Narrow" w:hAnsi="Arial Narrow"/>
                <w:b/>
                <w:bCs/>
                <w:color w:val="FFFFFF" w:themeColor="background1"/>
                <w:sz w:val="20"/>
                <w:szCs w:val="20"/>
              </w:rPr>
            </w:pPr>
            <w:r w:rsidRPr="00AA1954">
              <w:rPr>
                <w:rFonts w:ascii="Arial Narrow" w:hAnsi="Arial Narrow"/>
                <w:b/>
                <w:bCs/>
                <w:color w:val="FFFFFF" w:themeColor="background1"/>
                <w:sz w:val="20"/>
                <w:szCs w:val="20"/>
              </w:rPr>
              <w:t>kg/</w:t>
            </w:r>
            <w:r w:rsidR="009561B9">
              <w:rPr>
                <w:rFonts w:ascii="Arial Narrow" w:hAnsi="Arial Narrow"/>
                <w:b/>
                <w:bCs/>
                <w:color w:val="FFFFFF" w:themeColor="background1"/>
                <w:sz w:val="20"/>
                <w:szCs w:val="20"/>
              </w:rPr>
              <w:t>kokë banori/</w:t>
            </w:r>
            <w:r w:rsidRPr="00AA1954">
              <w:rPr>
                <w:rFonts w:ascii="Arial Narrow" w:hAnsi="Arial Narrow"/>
                <w:b/>
                <w:bCs/>
                <w:color w:val="FFFFFF" w:themeColor="background1"/>
                <w:sz w:val="20"/>
                <w:szCs w:val="20"/>
              </w:rPr>
              <w:t>ditë</w:t>
            </w:r>
          </w:p>
        </w:tc>
      </w:tr>
      <w:tr w:rsidR="009561B9" w:rsidRPr="00AA1954" w14:paraId="54F07A18" w14:textId="77777777" w:rsidTr="00650388">
        <w:trPr>
          <w:trHeight w:val="270"/>
        </w:trPr>
        <w:tc>
          <w:tcPr>
            <w:tcW w:w="1576" w:type="pct"/>
            <w:tcBorders>
              <w:top w:val="nil"/>
              <w:left w:val="single" w:sz="4" w:space="0" w:color="auto"/>
              <w:bottom w:val="single" w:sz="4" w:space="0" w:color="auto"/>
              <w:right w:val="single" w:sz="4" w:space="0" w:color="auto"/>
            </w:tcBorders>
            <w:shd w:val="clear" w:color="auto" w:fill="auto"/>
            <w:noWrap/>
            <w:vAlign w:val="bottom"/>
            <w:hideMark/>
          </w:tcPr>
          <w:p w14:paraId="5BF3E312" w14:textId="77777777" w:rsidR="00650388" w:rsidRPr="00AA1954" w:rsidRDefault="00650388" w:rsidP="00650388">
            <w:pPr>
              <w:rPr>
                <w:rFonts w:ascii="Arial Narrow" w:hAnsi="Arial Narrow"/>
                <w:color w:val="000000"/>
                <w:sz w:val="20"/>
                <w:szCs w:val="20"/>
              </w:rPr>
            </w:pPr>
            <w:r w:rsidRPr="00AA1954">
              <w:rPr>
                <w:rFonts w:ascii="Arial Narrow" w:hAnsi="Arial Narrow"/>
                <w:color w:val="000000"/>
                <w:sz w:val="20"/>
                <w:szCs w:val="20"/>
              </w:rPr>
              <w:t>Pejë</w:t>
            </w:r>
          </w:p>
        </w:tc>
        <w:tc>
          <w:tcPr>
            <w:tcW w:w="791" w:type="pct"/>
            <w:tcBorders>
              <w:top w:val="nil"/>
              <w:left w:val="nil"/>
              <w:bottom w:val="single" w:sz="4" w:space="0" w:color="auto"/>
              <w:right w:val="single" w:sz="4" w:space="0" w:color="auto"/>
            </w:tcBorders>
            <w:shd w:val="clear" w:color="auto" w:fill="auto"/>
            <w:noWrap/>
            <w:vAlign w:val="bottom"/>
            <w:hideMark/>
          </w:tcPr>
          <w:p w14:paraId="365B106B" w14:textId="685CA97A" w:rsidR="00650388" w:rsidRPr="00AA1954" w:rsidRDefault="000E625C" w:rsidP="00650388">
            <w:pPr>
              <w:jc w:val="right"/>
              <w:rPr>
                <w:rFonts w:ascii="Arial Narrow" w:hAnsi="Arial Narrow"/>
                <w:color w:val="000000"/>
                <w:sz w:val="20"/>
                <w:szCs w:val="20"/>
              </w:rPr>
            </w:pPr>
            <w:r>
              <w:rPr>
                <w:rFonts w:ascii="Arial Narrow" w:hAnsi="Arial Narrow"/>
                <w:color w:val="000000"/>
                <w:sz w:val="20"/>
                <w:szCs w:val="20"/>
              </w:rPr>
              <w:t>82</w:t>
            </w:r>
            <w:r w:rsidR="00650388" w:rsidRPr="00AA1954">
              <w:rPr>
                <w:rFonts w:ascii="Arial Narrow" w:hAnsi="Arial Narrow"/>
                <w:color w:val="000000"/>
                <w:sz w:val="20"/>
                <w:szCs w:val="20"/>
              </w:rPr>
              <w:t>,</w:t>
            </w:r>
            <w:r>
              <w:rPr>
                <w:rFonts w:ascii="Arial Narrow" w:hAnsi="Arial Narrow"/>
                <w:color w:val="000000"/>
                <w:sz w:val="20"/>
                <w:szCs w:val="20"/>
              </w:rPr>
              <w:t>745</w:t>
            </w:r>
          </w:p>
        </w:tc>
        <w:tc>
          <w:tcPr>
            <w:tcW w:w="740" w:type="pct"/>
            <w:tcBorders>
              <w:top w:val="nil"/>
              <w:left w:val="nil"/>
              <w:bottom w:val="single" w:sz="4" w:space="0" w:color="auto"/>
              <w:right w:val="single" w:sz="4" w:space="0" w:color="auto"/>
            </w:tcBorders>
            <w:shd w:val="clear" w:color="auto" w:fill="auto"/>
            <w:noWrap/>
            <w:vAlign w:val="bottom"/>
            <w:hideMark/>
          </w:tcPr>
          <w:p w14:paraId="5E919B68" w14:textId="2C64A293" w:rsidR="00650388" w:rsidRPr="00AA1954" w:rsidRDefault="000E625C" w:rsidP="00650388">
            <w:pPr>
              <w:jc w:val="right"/>
              <w:rPr>
                <w:rFonts w:ascii="Arial Narrow" w:hAnsi="Arial Narrow"/>
                <w:color w:val="000000"/>
                <w:sz w:val="20"/>
                <w:szCs w:val="20"/>
              </w:rPr>
            </w:pPr>
            <w:r>
              <w:rPr>
                <w:rFonts w:ascii="Arial Narrow" w:hAnsi="Arial Narrow"/>
                <w:color w:val="000000"/>
                <w:sz w:val="20"/>
                <w:szCs w:val="20"/>
              </w:rPr>
              <w:t>451</w:t>
            </w:r>
          </w:p>
        </w:tc>
        <w:tc>
          <w:tcPr>
            <w:tcW w:w="972" w:type="pct"/>
            <w:tcBorders>
              <w:top w:val="nil"/>
              <w:left w:val="nil"/>
              <w:bottom w:val="single" w:sz="4" w:space="0" w:color="auto"/>
              <w:right w:val="single" w:sz="4" w:space="0" w:color="auto"/>
            </w:tcBorders>
            <w:shd w:val="clear" w:color="auto" w:fill="auto"/>
            <w:noWrap/>
            <w:vAlign w:val="bottom"/>
            <w:hideMark/>
          </w:tcPr>
          <w:p w14:paraId="1303CA03" w14:textId="77777777" w:rsidR="00650388" w:rsidRPr="00AA1954" w:rsidRDefault="00650388" w:rsidP="00650388">
            <w:pPr>
              <w:jc w:val="right"/>
              <w:rPr>
                <w:rFonts w:ascii="Arial Narrow" w:hAnsi="Arial Narrow"/>
                <w:color w:val="000000"/>
                <w:sz w:val="20"/>
                <w:szCs w:val="20"/>
              </w:rPr>
            </w:pPr>
            <w:r w:rsidRPr="00AA1954">
              <w:rPr>
                <w:rFonts w:ascii="Arial Narrow" w:hAnsi="Arial Narrow"/>
                <w:color w:val="000000"/>
                <w:sz w:val="20"/>
                <w:szCs w:val="20"/>
              </w:rPr>
              <w:t>374</w:t>
            </w:r>
          </w:p>
        </w:tc>
        <w:tc>
          <w:tcPr>
            <w:tcW w:w="921" w:type="pct"/>
            <w:tcBorders>
              <w:top w:val="nil"/>
              <w:left w:val="nil"/>
              <w:bottom w:val="single" w:sz="4" w:space="0" w:color="auto"/>
              <w:right w:val="single" w:sz="4" w:space="0" w:color="auto"/>
            </w:tcBorders>
            <w:shd w:val="clear" w:color="auto" w:fill="auto"/>
            <w:noWrap/>
            <w:vAlign w:val="bottom"/>
            <w:hideMark/>
          </w:tcPr>
          <w:p w14:paraId="136997C7" w14:textId="4913F26F" w:rsidR="00650388" w:rsidRPr="00AA1954" w:rsidRDefault="00650388" w:rsidP="00650388">
            <w:pPr>
              <w:jc w:val="right"/>
              <w:rPr>
                <w:rFonts w:ascii="Arial Narrow" w:hAnsi="Arial Narrow"/>
                <w:color w:val="000000"/>
                <w:sz w:val="20"/>
                <w:szCs w:val="20"/>
              </w:rPr>
            </w:pPr>
            <w:r w:rsidRPr="00AA1954">
              <w:rPr>
                <w:rFonts w:ascii="Arial Narrow" w:hAnsi="Arial Narrow"/>
                <w:color w:val="000000"/>
                <w:sz w:val="20"/>
                <w:szCs w:val="20"/>
              </w:rPr>
              <w:t>1.</w:t>
            </w:r>
            <w:r w:rsidR="000E625C">
              <w:rPr>
                <w:rFonts w:ascii="Arial Narrow" w:hAnsi="Arial Narrow"/>
                <w:color w:val="000000"/>
                <w:sz w:val="20"/>
                <w:szCs w:val="20"/>
              </w:rPr>
              <w:t>24</w:t>
            </w:r>
          </w:p>
        </w:tc>
      </w:tr>
      <w:tr w:rsidR="009561B9" w:rsidRPr="00AA1954" w14:paraId="09AB3FB2" w14:textId="77777777" w:rsidTr="00650388">
        <w:trPr>
          <w:trHeight w:val="270"/>
        </w:trPr>
        <w:tc>
          <w:tcPr>
            <w:tcW w:w="1576" w:type="pct"/>
            <w:tcBorders>
              <w:top w:val="nil"/>
              <w:left w:val="single" w:sz="4" w:space="0" w:color="auto"/>
              <w:bottom w:val="single" w:sz="4" w:space="0" w:color="auto"/>
              <w:right w:val="single" w:sz="4" w:space="0" w:color="auto"/>
            </w:tcBorders>
            <w:shd w:val="clear" w:color="auto" w:fill="auto"/>
            <w:noWrap/>
            <w:vAlign w:val="bottom"/>
            <w:hideMark/>
          </w:tcPr>
          <w:p w14:paraId="2888CB87" w14:textId="77777777" w:rsidR="00650388" w:rsidRPr="00AA1954" w:rsidRDefault="00650388" w:rsidP="00650388">
            <w:pPr>
              <w:rPr>
                <w:rFonts w:ascii="Arial Narrow" w:hAnsi="Arial Narrow"/>
                <w:color w:val="000000"/>
                <w:sz w:val="20"/>
                <w:szCs w:val="20"/>
              </w:rPr>
            </w:pPr>
            <w:r w:rsidRPr="00AA1954">
              <w:rPr>
                <w:rFonts w:ascii="Arial Narrow" w:hAnsi="Arial Narrow"/>
                <w:color w:val="000000"/>
                <w:sz w:val="20"/>
                <w:szCs w:val="20"/>
              </w:rPr>
              <w:t>Istog</w:t>
            </w:r>
          </w:p>
        </w:tc>
        <w:tc>
          <w:tcPr>
            <w:tcW w:w="791" w:type="pct"/>
            <w:tcBorders>
              <w:top w:val="nil"/>
              <w:left w:val="nil"/>
              <w:bottom w:val="single" w:sz="4" w:space="0" w:color="auto"/>
              <w:right w:val="single" w:sz="4" w:space="0" w:color="auto"/>
            </w:tcBorders>
            <w:shd w:val="clear" w:color="auto" w:fill="auto"/>
            <w:noWrap/>
            <w:vAlign w:val="bottom"/>
            <w:hideMark/>
          </w:tcPr>
          <w:p w14:paraId="22F4C799" w14:textId="57633763" w:rsidR="00650388" w:rsidRPr="00AA1954" w:rsidRDefault="000E625C" w:rsidP="00650388">
            <w:pPr>
              <w:jc w:val="right"/>
              <w:rPr>
                <w:rFonts w:ascii="Arial Narrow" w:hAnsi="Arial Narrow"/>
                <w:color w:val="000000"/>
                <w:sz w:val="20"/>
                <w:szCs w:val="20"/>
              </w:rPr>
            </w:pPr>
            <w:r>
              <w:rPr>
                <w:rFonts w:ascii="Arial Narrow" w:hAnsi="Arial Narrow"/>
                <w:color w:val="000000"/>
                <w:sz w:val="20"/>
                <w:szCs w:val="20"/>
              </w:rPr>
              <w:t>33</w:t>
            </w:r>
            <w:r w:rsidR="00650388" w:rsidRPr="00AA1954">
              <w:rPr>
                <w:rFonts w:ascii="Arial Narrow" w:hAnsi="Arial Narrow"/>
                <w:color w:val="000000"/>
                <w:sz w:val="20"/>
                <w:szCs w:val="20"/>
              </w:rPr>
              <w:t>,</w:t>
            </w:r>
            <w:r>
              <w:rPr>
                <w:rFonts w:ascii="Arial Narrow" w:hAnsi="Arial Narrow"/>
                <w:color w:val="000000"/>
                <w:sz w:val="20"/>
                <w:szCs w:val="20"/>
              </w:rPr>
              <w:t>008</w:t>
            </w:r>
          </w:p>
        </w:tc>
        <w:tc>
          <w:tcPr>
            <w:tcW w:w="740" w:type="pct"/>
            <w:tcBorders>
              <w:top w:val="nil"/>
              <w:left w:val="nil"/>
              <w:bottom w:val="single" w:sz="4" w:space="0" w:color="auto"/>
              <w:right w:val="single" w:sz="4" w:space="0" w:color="auto"/>
            </w:tcBorders>
            <w:shd w:val="clear" w:color="auto" w:fill="auto"/>
            <w:noWrap/>
            <w:vAlign w:val="bottom"/>
            <w:hideMark/>
          </w:tcPr>
          <w:p w14:paraId="2399EBFC" w14:textId="7DAA0534" w:rsidR="00650388" w:rsidRPr="00AA1954" w:rsidRDefault="000E625C" w:rsidP="00650388">
            <w:pPr>
              <w:jc w:val="right"/>
              <w:rPr>
                <w:rFonts w:ascii="Arial Narrow" w:hAnsi="Arial Narrow"/>
                <w:color w:val="000000"/>
                <w:sz w:val="20"/>
                <w:szCs w:val="20"/>
              </w:rPr>
            </w:pPr>
            <w:r>
              <w:rPr>
                <w:rFonts w:ascii="Arial Narrow" w:hAnsi="Arial Narrow"/>
                <w:color w:val="000000"/>
                <w:sz w:val="20"/>
                <w:szCs w:val="20"/>
              </w:rPr>
              <w:t>350</w:t>
            </w:r>
          </w:p>
        </w:tc>
        <w:tc>
          <w:tcPr>
            <w:tcW w:w="972" w:type="pct"/>
            <w:tcBorders>
              <w:top w:val="nil"/>
              <w:left w:val="nil"/>
              <w:bottom w:val="single" w:sz="4" w:space="0" w:color="auto"/>
              <w:right w:val="single" w:sz="4" w:space="0" w:color="auto"/>
            </w:tcBorders>
            <w:shd w:val="clear" w:color="auto" w:fill="auto"/>
            <w:noWrap/>
            <w:vAlign w:val="bottom"/>
            <w:hideMark/>
          </w:tcPr>
          <w:p w14:paraId="62FEED40" w14:textId="77777777" w:rsidR="00650388" w:rsidRPr="00AA1954" w:rsidRDefault="00650388" w:rsidP="00650388">
            <w:pPr>
              <w:jc w:val="right"/>
              <w:rPr>
                <w:rFonts w:ascii="Arial Narrow" w:hAnsi="Arial Narrow"/>
                <w:color w:val="000000"/>
                <w:sz w:val="20"/>
                <w:szCs w:val="20"/>
              </w:rPr>
            </w:pPr>
            <w:r w:rsidRPr="00AA1954">
              <w:rPr>
                <w:rFonts w:ascii="Arial Narrow" w:hAnsi="Arial Narrow"/>
                <w:color w:val="000000"/>
                <w:sz w:val="20"/>
                <w:szCs w:val="20"/>
              </w:rPr>
              <w:t>278</w:t>
            </w:r>
          </w:p>
        </w:tc>
        <w:tc>
          <w:tcPr>
            <w:tcW w:w="921" w:type="pct"/>
            <w:tcBorders>
              <w:top w:val="nil"/>
              <w:left w:val="nil"/>
              <w:bottom w:val="single" w:sz="4" w:space="0" w:color="auto"/>
              <w:right w:val="single" w:sz="4" w:space="0" w:color="auto"/>
            </w:tcBorders>
            <w:shd w:val="clear" w:color="auto" w:fill="auto"/>
            <w:noWrap/>
            <w:vAlign w:val="bottom"/>
            <w:hideMark/>
          </w:tcPr>
          <w:p w14:paraId="68E08DC2" w14:textId="412439E0" w:rsidR="00650388" w:rsidRPr="00AA1954" w:rsidRDefault="00650388" w:rsidP="00650388">
            <w:pPr>
              <w:jc w:val="right"/>
              <w:rPr>
                <w:rFonts w:ascii="Arial Narrow" w:hAnsi="Arial Narrow"/>
                <w:color w:val="000000"/>
                <w:sz w:val="20"/>
                <w:szCs w:val="20"/>
              </w:rPr>
            </w:pPr>
            <w:r w:rsidRPr="00AA1954">
              <w:rPr>
                <w:rFonts w:ascii="Arial Narrow" w:hAnsi="Arial Narrow"/>
                <w:color w:val="000000"/>
                <w:sz w:val="20"/>
                <w:szCs w:val="20"/>
              </w:rPr>
              <w:t>0.</w:t>
            </w:r>
            <w:r w:rsidR="000E625C">
              <w:rPr>
                <w:rFonts w:ascii="Arial Narrow" w:hAnsi="Arial Narrow"/>
                <w:color w:val="000000"/>
                <w:sz w:val="20"/>
                <w:szCs w:val="20"/>
              </w:rPr>
              <w:t>9</w:t>
            </w:r>
            <w:r w:rsidRPr="00AA1954">
              <w:rPr>
                <w:rFonts w:ascii="Arial Narrow" w:hAnsi="Arial Narrow"/>
                <w:color w:val="000000"/>
                <w:sz w:val="20"/>
                <w:szCs w:val="20"/>
              </w:rPr>
              <w:t>6</w:t>
            </w:r>
          </w:p>
        </w:tc>
      </w:tr>
      <w:tr w:rsidR="009561B9" w:rsidRPr="00AA1954" w14:paraId="5778B386" w14:textId="77777777" w:rsidTr="00650388">
        <w:trPr>
          <w:trHeight w:val="270"/>
        </w:trPr>
        <w:tc>
          <w:tcPr>
            <w:tcW w:w="1576" w:type="pct"/>
            <w:tcBorders>
              <w:top w:val="nil"/>
              <w:left w:val="single" w:sz="4" w:space="0" w:color="auto"/>
              <w:bottom w:val="single" w:sz="4" w:space="0" w:color="auto"/>
              <w:right w:val="single" w:sz="4" w:space="0" w:color="auto"/>
            </w:tcBorders>
            <w:shd w:val="clear" w:color="auto" w:fill="auto"/>
            <w:noWrap/>
            <w:vAlign w:val="bottom"/>
            <w:hideMark/>
          </w:tcPr>
          <w:p w14:paraId="09B73894" w14:textId="77777777" w:rsidR="00650388" w:rsidRPr="00AA1954" w:rsidRDefault="00650388" w:rsidP="00650388">
            <w:pPr>
              <w:rPr>
                <w:rFonts w:ascii="Arial Narrow" w:hAnsi="Arial Narrow"/>
                <w:color w:val="000000"/>
                <w:sz w:val="20"/>
                <w:szCs w:val="20"/>
              </w:rPr>
            </w:pPr>
            <w:r w:rsidRPr="00AA1954">
              <w:rPr>
                <w:rFonts w:ascii="Arial Narrow" w:hAnsi="Arial Narrow"/>
                <w:color w:val="000000"/>
                <w:sz w:val="20"/>
                <w:szCs w:val="20"/>
              </w:rPr>
              <w:t>Klinë</w:t>
            </w:r>
          </w:p>
        </w:tc>
        <w:tc>
          <w:tcPr>
            <w:tcW w:w="791" w:type="pct"/>
            <w:tcBorders>
              <w:top w:val="nil"/>
              <w:left w:val="nil"/>
              <w:bottom w:val="single" w:sz="4" w:space="0" w:color="auto"/>
              <w:right w:val="single" w:sz="4" w:space="0" w:color="auto"/>
            </w:tcBorders>
            <w:shd w:val="clear" w:color="auto" w:fill="auto"/>
            <w:noWrap/>
            <w:vAlign w:val="bottom"/>
            <w:hideMark/>
          </w:tcPr>
          <w:p w14:paraId="55023FFC" w14:textId="51E0F901" w:rsidR="00650388" w:rsidRPr="00AA1954" w:rsidRDefault="000E625C" w:rsidP="00650388">
            <w:pPr>
              <w:jc w:val="right"/>
              <w:rPr>
                <w:rFonts w:ascii="Arial Narrow" w:hAnsi="Arial Narrow"/>
                <w:color w:val="000000"/>
                <w:sz w:val="20"/>
                <w:szCs w:val="20"/>
              </w:rPr>
            </w:pPr>
            <w:r>
              <w:rPr>
                <w:rFonts w:ascii="Arial Narrow" w:hAnsi="Arial Narrow"/>
                <w:color w:val="000000"/>
                <w:sz w:val="20"/>
                <w:szCs w:val="20"/>
              </w:rPr>
              <w:t>30</w:t>
            </w:r>
            <w:r w:rsidR="00650388" w:rsidRPr="00AA1954">
              <w:rPr>
                <w:rFonts w:ascii="Arial Narrow" w:hAnsi="Arial Narrow"/>
                <w:color w:val="000000"/>
                <w:sz w:val="20"/>
                <w:szCs w:val="20"/>
              </w:rPr>
              <w:t>,</w:t>
            </w:r>
            <w:r>
              <w:rPr>
                <w:rFonts w:ascii="Arial Narrow" w:hAnsi="Arial Narrow"/>
                <w:color w:val="000000"/>
                <w:sz w:val="20"/>
                <w:szCs w:val="20"/>
              </w:rPr>
              <w:t>503</w:t>
            </w:r>
          </w:p>
        </w:tc>
        <w:tc>
          <w:tcPr>
            <w:tcW w:w="740" w:type="pct"/>
            <w:tcBorders>
              <w:top w:val="nil"/>
              <w:left w:val="nil"/>
              <w:bottom w:val="single" w:sz="4" w:space="0" w:color="auto"/>
              <w:right w:val="single" w:sz="4" w:space="0" w:color="auto"/>
            </w:tcBorders>
            <w:shd w:val="clear" w:color="auto" w:fill="auto"/>
            <w:noWrap/>
            <w:vAlign w:val="bottom"/>
            <w:hideMark/>
          </w:tcPr>
          <w:p w14:paraId="525D858E" w14:textId="1FD43EC7" w:rsidR="00650388" w:rsidRPr="00AA1954" w:rsidRDefault="000E625C" w:rsidP="00650388">
            <w:pPr>
              <w:jc w:val="right"/>
              <w:rPr>
                <w:rFonts w:ascii="Arial Narrow" w:hAnsi="Arial Narrow"/>
                <w:color w:val="000000"/>
                <w:sz w:val="20"/>
                <w:szCs w:val="20"/>
              </w:rPr>
            </w:pPr>
            <w:r>
              <w:rPr>
                <w:rFonts w:ascii="Arial Narrow" w:hAnsi="Arial Narrow"/>
                <w:color w:val="000000"/>
                <w:sz w:val="20"/>
                <w:szCs w:val="20"/>
              </w:rPr>
              <w:t>254</w:t>
            </w:r>
          </w:p>
        </w:tc>
        <w:tc>
          <w:tcPr>
            <w:tcW w:w="972" w:type="pct"/>
            <w:tcBorders>
              <w:top w:val="nil"/>
              <w:left w:val="nil"/>
              <w:bottom w:val="single" w:sz="4" w:space="0" w:color="auto"/>
              <w:right w:val="single" w:sz="4" w:space="0" w:color="auto"/>
            </w:tcBorders>
            <w:shd w:val="clear" w:color="auto" w:fill="auto"/>
            <w:noWrap/>
            <w:vAlign w:val="bottom"/>
            <w:hideMark/>
          </w:tcPr>
          <w:p w14:paraId="68D97EB6" w14:textId="77777777" w:rsidR="00650388" w:rsidRPr="00AA1954" w:rsidRDefault="00650388" w:rsidP="00650388">
            <w:pPr>
              <w:jc w:val="right"/>
              <w:rPr>
                <w:rFonts w:ascii="Arial Narrow" w:hAnsi="Arial Narrow"/>
                <w:color w:val="000000"/>
                <w:sz w:val="20"/>
                <w:szCs w:val="20"/>
              </w:rPr>
            </w:pPr>
            <w:r w:rsidRPr="00AA1954">
              <w:rPr>
                <w:rFonts w:ascii="Arial Narrow" w:hAnsi="Arial Narrow"/>
                <w:color w:val="000000"/>
                <w:sz w:val="20"/>
                <w:szCs w:val="20"/>
              </w:rPr>
              <w:t>189</w:t>
            </w:r>
          </w:p>
        </w:tc>
        <w:tc>
          <w:tcPr>
            <w:tcW w:w="921" w:type="pct"/>
            <w:tcBorders>
              <w:top w:val="nil"/>
              <w:left w:val="nil"/>
              <w:bottom w:val="single" w:sz="4" w:space="0" w:color="auto"/>
              <w:right w:val="single" w:sz="4" w:space="0" w:color="auto"/>
            </w:tcBorders>
            <w:shd w:val="clear" w:color="auto" w:fill="auto"/>
            <w:noWrap/>
            <w:vAlign w:val="bottom"/>
            <w:hideMark/>
          </w:tcPr>
          <w:p w14:paraId="7ADEFC0F" w14:textId="0B3D6876" w:rsidR="00650388" w:rsidRPr="00AA1954" w:rsidRDefault="00650388" w:rsidP="00650388">
            <w:pPr>
              <w:jc w:val="right"/>
              <w:rPr>
                <w:rFonts w:ascii="Arial Narrow" w:hAnsi="Arial Narrow"/>
                <w:color w:val="000000"/>
                <w:sz w:val="20"/>
                <w:szCs w:val="20"/>
              </w:rPr>
            </w:pPr>
            <w:r w:rsidRPr="00AA1954">
              <w:rPr>
                <w:rFonts w:ascii="Arial Narrow" w:hAnsi="Arial Narrow"/>
                <w:color w:val="000000"/>
                <w:sz w:val="20"/>
                <w:szCs w:val="20"/>
              </w:rPr>
              <w:t>0.</w:t>
            </w:r>
            <w:r w:rsidR="000E625C">
              <w:rPr>
                <w:rFonts w:ascii="Arial Narrow" w:hAnsi="Arial Narrow"/>
                <w:color w:val="000000"/>
                <w:sz w:val="20"/>
                <w:szCs w:val="20"/>
              </w:rPr>
              <w:t>70</w:t>
            </w:r>
          </w:p>
        </w:tc>
      </w:tr>
      <w:tr w:rsidR="009561B9" w:rsidRPr="00AA1954" w14:paraId="36262CBA" w14:textId="77777777" w:rsidTr="00650388">
        <w:trPr>
          <w:trHeight w:val="270"/>
        </w:trPr>
        <w:tc>
          <w:tcPr>
            <w:tcW w:w="1576" w:type="pct"/>
            <w:tcBorders>
              <w:top w:val="nil"/>
              <w:left w:val="single" w:sz="4" w:space="0" w:color="auto"/>
              <w:bottom w:val="single" w:sz="4" w:space="0" w:color="auto"/>
              <w:right w:val="single" w:sz="4" w:space="0" w:color="auto"/>
            </w:tcBorders>
            <w:shd w:val="clear" w:color="auto" w:fill="auto"/>
            <w:noWrap/>
            <w:vAlign w:val="bottom"/>
            <w:hideMark/>
          </w:tcPr>
          <w:p w14:paraId="4C8C010F" w14:textId="77777777" w:rsidR="00650388" w:rsidRPr="00AA1954" w:rsidRDefault="00650388" w:rsidP="00650388">
            <w:pPr>
              <w:rPr>
                <w:rFonts w:ascii="Arial Narrow" w:hAnsi="Arial Narrow"/>
                <w:color w:val="000000"/>
                <w:sz w:val="20"/>
                <w:szCs w:val="20"/>
              </w:rPr>
            </w:pPr>
            <w:r w:rsidRPr="00AA1954">
              <w:rPr>
                <w:rFonts w:ascii="Arial Narrow" w:hAnsi="Arial Narrow"/>
                <w:color w:val="000000"/>
                <w:sz w:val="20"/>
                <w:szCs w:val="20"/>
              </w:rPr>
              <w:t>Deçan</w:t>
            </w:r>
          </w:p>
        </w:tc>
        <w:tc>
          <w:tcPr>
            <w:tcW w:w="791" w:type="pct"/>
            <w:tcBorders>
              <w:top w:val="nil"/>
              <w:left w:val="nil"/>
              <w:bottom w:val="single" w:sz="4" w:space="0" w:color="auto"/>
              <w:right w:val="single" w:sz="4" w:space="0" w:color="auto"/>
            </w:tcBorders>
            <w:shd w:val="clear" w:color="auto" w:fill="auto"/>
            <w:noWrap/>
            <w:vAlign w:val="bottom"/>
            <w:hideMark/>
          </w:tcPr>
          <w:p w14:paraId="32116D13" w14:textId="4F559843" w:rsidR="00650388" w:rsidRPr="00AA1954" w:rsidRDefault="000E625C" w:rsidP="00650388">
            <w:pPr>
              <w:jc w:val="right"/>
              <w:rPr>
                <w:rFonts w:ascii="Arial Narrow" w:hAnsi="Arial Narrow"/>
                <w:color w:val="000000"/>
                <w:sz w:val="20"/>
                <w:szCs w:val="20"/>
              </w:rPr>
            </w:pPr>
            <w:r>
              <w:rPr>
                <w:rFonts w:ascii="Arial Narrow" w:hAnsi="Arial Narrow"/>
                <w:color w:val="000000"/>
                <w:sz w:val="20"/>
                <w:szCs w:val="20"/>
              </w:rPr>
              <w:t>27</w:t>
            </w:r>
            <w:r w:rsidR="00650388" w:rsidRPr="00AA1954">
              <w:rPr>
                <w:rFonts w:ascii="Arial Narrow" w:hAnsi="Arial Narrow"/>
                <w:color w:val="000000"/>
                <w:sz w:val="20"/>
                <w:szCs w:val="20"/>
              </w:rPr>
              <w:t>,</w:t>
            </w:r>
            <w:r>
              <w:rPr>
                <w:rFonts w:ascii="Arial Narrow" w:hAnsi="Arial Narrow"/>
                <w:color w:val="000000"/>
                <w:sz w:val="20"/>
                <w:szCs w:val="20"/>
              </w:rPr>
              <w:t>775</w:t>
            </w:r>
          </w:p>
        </w:tc>
        <w:tc>
          <w:tcPr>
            <w:tcW w:w="740" w:type="pct"/>
            <w:tcBorders>
              <w:top w:val="nil"/>
              <w:left w:val="nil"/>
              <w:bottom w:val="single" w:sz="4" w:space="0" w:color="auto"/>
              <w:right w:val="single" w:sz="4" w:space="0" w:color="auto"/>
            </w:tcBorders>
            <w:shd w:val="clear" w:color="auto" w:fill="auto"/>
            <w:noWrap/>
            <w:vAlign w:val="bottom"/>
            <w:hideMark/>
          </w:tcPr>
          <w:p w14:paraId="61923676" w14:textId="5CB3A810" w:rsidR="00650388" w:rsidRPr="00AA1954" w:rsidRDefault="000E625C" w:rsidP="00650388">
            <w:pPr>
              <w:jc w:val="right"/>
              <w:rPr>
                <w:rFonts w:ascii="Arial Narrow" w:hAnsi="Arial Narrow"/>
                <w:color w:val="000000"/>
                <w:sz w:val="20"/>
                <w:szCs w:val="20"/>
              </w:rPr>
            </w:pPr>
            <w:r>
              <w:rPr>
                <w:rFonts w:ascii="Arial Narrow" w:hAnsi="Arial Narrow"/>
                <w:color w:val="000000"/>
                <w:sz w:val="20"/>
                <w:szCs w:val="20"/>
              </w:rPr>
              <w:t>256</w:t>
            </w:r>
          </w:p>
        </w:tc>
        <w:tc>
          <w:tcPr>
            <w:tcW w:w="972" w:type="pct"/>
            <w:tcBorders>
              <w:top w:val="nil"/>
              <w:left w:val="nil"/>
              <w:bottom w:val="single" w:sz="4" w:space="0" w:color="auto"/>
              <w:right w:val="single" w:sz="4" w:space="0" w:color="auto"/>
            </w:tcBorders>
            <w:shd w:val="clear" w:color="auto" w:fill="auto"/>
            <w:noWrap/>
            <w:vAlign w:val="bottom"/>
            <w:hideMark/>
          </w:tcPr>
          <w:p w14:paraId="41402E6D" w14:textId="77777777" w:rsidR="00650388" w:rsidRPr="00AA1954" w:rsidRDefault="00650388" w:rsidP="00650388">
            <w:pPr>
              <w:jc w:val="right"/>
              <w:rPr>
                <w:rFonts w:ascii="Arial Narrow" w:hAnsi="Arial Narrow"/>
                <w:color w:val="000000"/>
                <w:sz w:val="20"/>
                <w:szCs w:val="20"/>
              </w:rPr>
            </w:pPr>
            <w:r w:rsidRPr="00AA1954">
              <w:rPr>
                <w:rFonts w:ascii="Arial Narrow" w:hAnsi="Arial Narrow"/>
                <w:color w:val="000000"/>
                <w:sz w:val="20"/>
                <w:szCs w:val="20"/>
              </w:rPr>
              <w:t>166</w:t>
            </w:r>
          </w:p>
        </w:tc>
        <w:tc>
          <w:tcPr>
            <w:tcW w:w="921" w:type="pct"/>
            <w:tcBorders>
              <w:top w:val="nil"/>
              <w:left w:val="nil"/>
              <w:bottom w:val="single" w:sz="4" w:space="0" w:color="auto"/>
              <w:right w:val="single" w:sz="4" w:space="0" w:color="auto"/>
            </w:tcBorders>
            <w:shd w:val="clear" w:color="auto" w:fill="auto"/>
            <w:noWrap/>
            <w:vAlign w:val="bottom"/>
            <w:hideMark/>
          </w:tcPr>
          <w:p w14:paraId="5641D21B" w14:textId="3C9FFA8A" w:rsidR="00650388" w:rsidRPr="00AA1954" w:rsidRDefault="00650388" w:rsidP="00650388">
            <w:pPr>
              <w:jc w:val="right"/>
              <w:rPr>
                <w:rFonts w:ascii="Arial Narrow" w:hAnsi="Arial Narrow"/>
                <w:color w:val="000000"/>
                <w:sz w:val="20"/>
                <w:szCs w:val="20"/>
              </w:rPr>
            </w:pPr>
            <w:r w:rsidRPr="00AA1954">
              <w:rPr>
                <w:rFonts w:ascii="Arial Narrow" w:hAnsi="Arial Narrow"/>
                <w:color w:val="000000"/>
                <w:sz w:val="20"/>
                <w:szCs w:val="20"/>
              </w:rPr>
              <w:t>0.</w:t>
            </w:r>
            <w:r w:rsidR="000E625C">
              <w:rPr>
                <w:rFonts w:ascii="Arial Narrow" w:hAnsi="Arial Narrow"/>
                <w:color w:val="000000"/>
                <w:sz w:val="20"/>
                <w:szCs w:val="20"/>
              </w:rPr>
              <w:t>70</w:t>
            </w:r>
          </w:p>
        </w:tc>
      </w:tr>
      <w:tr w:rsidR="009561B9" w:rsidRPr="00AA1954" w14:paraId="4BF1E9D6" w14:textId="77777777" w:rsidTr="00650388">
        <w:trPr>
          <w:trHeight w:val="270"/>
        </w:trPr>
        <w:tc>
          <w:tcPr>
            <w:tcW w:w="1576" w:type="pct"/>
            <w:tcBorders>
              <w:top w:val="nil"/>
              <w:left w:val="single" w:sz="4" w:space="0" w:color="auto"/>
              <w:bottom w:val="single" w:sz="4" w:space="0" w:color="auto"/>
              <w:right w:val="single" w:sz="4" w:space="0" w:color="auto"/>
            </w:tcBorders>
            <w:shd w:val="clear" w:color="auto" w:fill="auto"/>
            <w:noWrap/>
            <w:vAlign w:val="bottom"/>
            <w:hideMark/>
          </w:tcPr>
          <w:p w14:paraId="718EAA04" w14:textId="77777777" w:rsidR="00650388" w:rsidRPr="00AA1954" w:rsidRDefault="00650388" w:rsidP="00650388">
            <w:pPr>
              <w:rPr>
                <w:rFonts w:ascii="Arial Narrow" w:hAnsi="Arial Narrow"/>
                <w:color w:val="000000"/>
                <w:sz w:val="20"/>
                <w:szCs w:val="20"/>
              </w:rPr>
            </w:pPr>
            <w:r w:rsidRPr="00AA1954">
              <w:rPr>
                <w:rFonts w:ascii="Arial Narrow" w:hAnsi="Arial Narrow"/>
                <w:color w:val="000000"/>
                <w:sz w:val="20"/>
                <w:szCs w:val="20"/>
              </w:rPr>
              <w:t>Junik</w:t>
            </w:r>
          </w:p>
        </w:tc>
        <w:tc>
          <w:tcPr>
            <w:tcW w:w="791" w:type="pct"/>
            <w:tcBorders>
              <w:top w:val="nil"/>
              <w:left w:val="nil"/>
              <w:bottom w:val="single" w:sz="4" w:space="0" w:color="auto"/>
              <w:right w:val="single" w:sz="4" w:space="0" w:color="auto"/>
            </w:tcBorders>
            <w:shd w:val="clear" w:color="auto" w:fill="auto"/>
            <w:noWrap/>
            <w:vAlign w:val="bottom"/>
            <w:hideMark/>
          </w:tcPr>
          <w:p w14:paraId="091D627A" w14:textId="6787ED10" w:rsidR="00650388" w:rsidRPr="00AA1954" w:rsidRDefault="000E625C" w:rsidP="00650388">
            <w:pPr>
              <w:jc w:val="right"/>
              <w:rPr>
                <w:rFonts w:ascii="Arial Narrow" w:hAnsi="Arial Narrow"/>
                <w:color w:val="000000"/>
                <w:sz w:val="20"/>
                <w:szCs w:val="20"/>
              </w:rPr>
            </w:pPr>
            <w:r>
              <w:rPr>
                <w:rFonts w:ascii="Arial Narrow" w:hAnsi="Arial Narrow"/>
                <w:color w:val="000000"/>
                <w:sz w:val="20"/>
                <w:szCs w:val="20"/>
              </w:rPr>
              <w:t>3</w:t>
            </w:r>
            <w:r w:rsidR="00650388" w:rsidRPr="00AA1954">
              <w:rPr>
                <w:rFonts w:ascii="Arial Narrow" w:hAnsi="Arial Narrow"/>
                <w:color w:val="000000"/>
                <w:sz w:val="20"/>
                <w:szCs w:val="20"/>
              </w:rPr>
              <w:t>,</w:t>
            </w:r>
            <w:r>
              <w:rPr>
                <w:rFonts w:ascii="Arial Narrow" w:hAnsi="Arial Narrow"/>
                <w:color w:val="000000"/>
                <w:sz w:val="20"/>
                <w:szCs w:val="20"/>
              </w:rPr>
              <w:t>943</w:t>
            </w:r>
          </w:p>
        </w:tc>
        <w:tc>
          <w:tcPr>
            <w:tcW w:w="740" w:type="pct"/>
            <w:tcBorders>
              <w:top w:val="nil"/>
              <w:left w:val="nil"/>
              <w:bottom w:val="single" w:sz="4" w:space="0" w:color="auto"/>
              <w:right w:val="single" w:sz="4" w:space="0" w:color="auto"/>
            </w:tcBorders>
            <w:shd w:val="clear" w:color="auto" w:fill="auto"/>
            <w:noWrap/>
            <w:vAlign w:val="bottom"/>
            <w:hideMark/>
          </w:tcPr>
          <w:p w14:paraId="4757A216" w14:textId="1D7D9889" w:rsidR="00650388" w:rsidRPr="00AA1954" w:rsidRDefault="000E625C" w:rsidP="00650388">
            <w:pPr>
              <w:jc w:val="right"/>
              <w:rPr>
                <w:rFonts w:ascii="Arial Narrow" w:hAnsi="Arial Narrow"/>
                <w:color w:val="000000"/>
                <w:sz w:val="20"/>
                <w:szCs w:val="20"/>
              </w:rPr>
            </w:pPr>
            <w:r>
              <w:rPr>
                <w:rFonts w:ascii="Arial Narrow" w:hAnsi="Arial Narrow"/>
                <w:color w:val="000000"/>
                <w:sz w:val="20"/>
                <w:szCs w:val="20"/>
              </w:rPr>
              <w:t>218</w:t>
            </w:r>
          </w:p>
        </w:tc>
        <w:tc>
          <w:tcPr>
            <w:tcW w:w="972" w:type="pct"/>
            <w:tcBorders>
              <w:top w:val="nil"/>
              <w:left w:val="nil"/>
              <w:bottom w:val="single" w:sz="4" w:space="0" w:color="auto"/>
              <w:right w:val="single" w:sz="4" w:space="0" w:color="auto"/>
            </w:tcBorders>
            <w:shd w:val="clear" w:color="auto" w:fill="auto"/>
            <w:noWrap/>
            <w:vAlign w:val="bottom"/>
            <w:hideMark/>
          </w:tcPr>
          <w:p w14:paraId="07F1EF93" w14:textId="77777777" w:rsidR="00650388" w:rsidRPr="00AA1954" w:rsidRDefault="00650388" w:rsidP="00650388">
            <w:pPr>
              <w:jc w:val="right"/>
              <w:rPr>
                <w:rFonts w:ascii="Arial Narrow" w:hAnsi="Arial Narrow"/>
                <w:color w:val="000000"/>
                <w:sz w:val="20"/>
                <w:szCs w:val="20"/>
              </w:rPr>
            </w:pPr>
            <w:r w:rsidRPr="00AA1954">
              <w:rPr>
                <w:rFonts w:ascii="Arial Narrow" w:hAnsi="Arial Narrow"/>
                <w:color w:val="000000"/>
                <w:sz w:val="20"/>
                <w:szCs w:val="20"/>
              </w:rPr>
              <w:t>133</w:t>
            </w:r>
          </w:p>
        </w:tc>
        <w:tc>
          <w:tcPr>
            <w:tcW w:w="921" w:type="pct"/>
            <w:tcBorders>
              <w:top w:val="nil"/>
              <w:left w:val="nil"/>
              <w:bottom w:val="single" w:sz="4" w:space="0" w:color="auto"/>
              <w:right w:val="single" w:sz="4" w:space="0" w:color="auto"/>
            </w:tcBorders>
            <w:shd w:val="clear" w:color="auto" w:fill="auto"/>
            <w:noWrap/>
            <w:vAlign w:val="bottom"/>
            <w:hideMark/>
          </w:tcPr>
          <w:p w14:paraId="67809C1D" w14:textId="6AC90A39" w:rsidR="00650388" w:rsidRPr="00AA1954" w:rsidRDefault="00650388" w:rsidP="00650388">
            <w:pPr>
              <w:jc w:val="right"/>
              <w:rPr>
                <w:rFonts w:ascii="Arial Narrow" w:hAnsi="Arial Narrow"/>
                <w:color w:val="000000"/>
                <w:sz w:val="20"/>
                <w:szCs w:val="20"/>
              </w:rPr>
            </w:pPr>
            <w:r w:rsidRPr="00AA1954">
              <w:rPr>
                <w:rFonts w:ascii="Arial Narrow" w:hAnsi="Arial Narrow"/>
                <w:color w:val="000000"/>
                <w:sz w:val="20"/>
                <w:szCs w:val="20"/>
              </w:rPr>
              <w:t>0.</w:t>
            </w:r>
            <w:r w:rsidR="000E625C">
              <w:rPr>
                <w:rFonts w:ascii="Arial Narrow" w:hAnsi="Arial Narrow"/>
                <w:color w:val="000000"/>
                <w:sz w:val="20"/>
                <w:szCs w:val="20"/>
              </w:rPr>
              <w:t>60</w:t>
            </w:r>
          </w:p>
        </w:tc>
      </w:tr>
    </w:tbl>
    <w:p w14:paraId="73BFCE46" w14:textId="2F2772ED" w:rsidR="00277297" w:rsidRPr="00650388" w:rsidRDefault="00650388" w:rsidP="00733C5C">
      <w:pPr>
        <w:pStyle w:val="source0"/>
      </w:pPr>
      <w:r w:rsidRPr="00650388">
        <w:t>Burimi: bazuar në të dhënat nga komunat dhe ASK-ja</w:t>
      </w:r>
    </w:p>
    <w:p w14:paraId="5C909569" w14:textId="77777777" w:rsidR="00650388" w:rsidRDefault="00650388" w:rsidP="00032CD8">
      <w:pPr>
        <w:rPr>
          <w:rFonts w:eastAsia="Calibri" w:cs="Calibri"/>
          <w:sz w:val="22"/>
          <w:szCs w:val="22"/>
        </w:rPr>
      </w:pPr>
    </w:p>
    <w:p w14:paraId="3C9D7BFD" w14:textId="58363360" w:rsidR="00D14286" w:rsidRPr="00AF0235" w:rsidRDefault="00650388" w:rsidP="00733C5C">
      <w:pPr>
        <w:pStyle w:val="Paragraph"/>
        <w:rPr>
          <w:rFonts w:eastAsia="Calibri"/>
        </w:rPr>
      </w:pPr>
      <w:r w:rsidRPr="00650388">
        <w:rPr>
          <w:rFonts w:eastAsia="Calibri"/>
        </w:rPr>
        <w:t xml:space="preserve">Gjenerimi mesatar i mbeturinave për </w:t>
      </w:r>
      <w:r w:rsidR="009561B9">
        <w:rPr>
          <w:rFonts w:eastAsia="Calibri"/>
        </w:rPr>
        <w:t>kokë banori</w:t>
      </w:r>
      <w:r w:rsidRPr="00650388">
        <w:rPr>
          <w:rFonts w:eastAsia="Calibri"/>
        </w:rPr>
        <w:t xml:space="preserve"> ndryshon midis komunave nga </w:t>
      </w:r>
      <w:r w:rsidR="000E625C">
        <w:rPr>
          <w:rFonts w:eastAsia="Calibri"/>
        </w:rPr>
        <w:t>218</w:t>
      </w:r>
      <w:r w:rsidRPr="00650388">
        <w:rPr>
          <w:rFonts w:eastAsia="Calibri"/>
        </w:rPr>
        <w:t xml:space="preserve"> (Junik) në </w:t>
      </w:r>
      <w:r w:rsidR="000E625C">
        <w:rPr>
          <w:rFonts w:eastAsia="Calibri"/>
        </w:rPr>
        <w:t>451</w:t>
      </w:r>
      <w:r w:rsidRPr="00650388">
        <w:rPr>
          <w:rFonts w:eastAsia="Calibri"/>
        </w:rPr>
        <w:t xml:space="preserve"> (Pejë) kg/vit me një </w:t>
      </w:r>
      <w:r w:rsidRPr="006822E6">
        <w:rPr>
          <w:rFonts w:eastAsia="Calibri"/>
          <w:b/>
          <w:bCs/>
        </w:rPr>
        <w:t xml:space="preserve">mesatare të përgjithshme për rajonin prej </w:t>
      </w:r>
      <w:r w:rsidR="000E625C">
        <w:rPr>
          <w:rFonts w:eastAsia="Calibri"/>
          <w:b/>
          <w:bCs/>
        </w:rPr>
        <w:t>363</w:t>
      </w:r>
      <w:r w:rsidRPr="006822E6">
        <w:rPr>
          <w:rFonts w:eastAsia="Calibri"/>
          <w:b/>
          <w:bCs/>
        </w:rPr>
        <w:t xml:space="preserve"> kg/</w:t>
      </w:r>
      <w:r w:rsidR="009561B9">
        <w:rPr>
          <w:rFonts w:eastAsia="Calibri"/>
          <w:b/>
          <w:bCs/>
        </w:rPr>
        <w:t>kokë banori</w:t>
      </w:r>
      <w:r w:rsidRPr="006822E6">
        <w:rPr>
          <w:rFonts w:eastAsia="Calibri"/>
          <w:b/>
          <w:bCs/>
        </w:rPr>
        <w:t>/vit ose 0.</w:t>
      </w:r>
      <w:r w:rsidR="000E625C">
        <w:rPr>
          <w:rFonts w:eastAsia="Calibri"/>
          <w:b/>
          <w:bCs/>
        </w:rPr>
        <w:t>99</w:t>
      </w:r>
      <w:r w:rsidRPr="006822E6">
        <w:rPr>
          <w:rFonts w:eastAsia="Calibri"/>
          <w:b/>
          <w:bCs/>
        </w:rPr>
        <w:t xml:space="preserve"> kg/</w:t>
      </w:r>
      <w:r w:rsidR="009561B9">
        <w:rPr>
          <w:rFonts w:eastAsia="Calibri"/>
          <w:b/>
          <w:bCs/>
        </w:rPr>
        <w:t>kokë banori</w:t>
      </w:r>
      <w:r w:rsidRPr="006822E6">
        <w:rPr>
          <w:rFonts w:eastAsia="Calibri"/>
          <w:b/>
          <w:bCs/>
        </w:rPr>
        <w:t xml:space="preserve">/ditë </w:t>
      </w:r>
      <w:r w:rsidRPr="00650388">
        <w:rPr>
          <w:rFonts w:eastAsia="Calibri"/>
        </w:rPr>
        <w:t>.</w:t>
      </w:r>
    </w:p>
    <w:p w14:paraId="684982A7" w14:textId="4799D91F" w:rsidR="00032CD8" w:rsidRPr="00C21444" w:rsidRDefault="00032CD8" w:rsidP="002254E8">
      <w:pPr>
        <w:pStyle w:val="Heading3"/>
      </w:pPr>
      <w:bookmarkStart w:id="167" w:name="_Ref151817270"/>
      <w:bookmarkStart w:id="168" w:name="_Toc153872118"/>
      <w:bookmarkStart w:id="169" w:name="_Toc170470822"/>
      <w:bookmarkStart w:id="170" w:name="_Toc197471972"/>
      <w:r w:rsidRPr="00C21444">
        <w:t>Burime komerciale dhe institucionale</w:t>
      </w:r>
      <w:bookmarkEnd w:id="167"/>
      <w:bookmarkEnd w:id="168"/>
      <w:bookmarkEnd w:id="169"/>
      <w:bookmarkEnd w:id="170"/>
    </w:p>
    <w:p w14:paraId="00DBD90F" w14:textId="7F7E9683" w:rsidR="009561B9" w:rsidRPr="008D2D8C" w:rsidRDefault="009561B9" w:rsidP="009561B9">
      <w:pPr>
        <w:pStyle w:val="Paragraph"/>
        <w:rPr>
          <w:rFonts w:eastAsia="Calibri"/>
          <w:lang w:val="sq-AL"/>
        </w:rPr>
      </w:pPr>
      <w:r w:rsidRPr="00C01F15">
        <w:rPr>
          <w:rFonts w:eastAsia="Calibri"/>
          <w:lang w:val="sq-AL"/>
        </w:rPr>
        <w:t>Të dhënat nga AM</w:t>
      </w:r>
      <w:r>
        <w:rPr>
          <w:rFonts w:eastAsia="Calibri"/>
          <w:lang w:val="sq-AL"/>
        </w:rPr>
        <w:t>K</w:t>
      </w:r>
      <w:r w:rsidRPr="00C01F15">
        <w:rPr>
          <w:rFonts w:eastAsia="Calibri"/>
          <w:lang w:val="sq-AL"/>
        </w:rPr>
        <w:t xml:space="preserve">M tregojnë numrin e bizneseve aktive në rajon dhe ato </w:t>
      </w:r>
      <w:r>
        <w:rPr>
          <w:rFonts w:eastAsia="Calibri"/>
          <w:lang w:val="sq-AL"/>
        </w:rPr>
        <w:t>kanë</w:t>
      </w:r>
      <w:r w:rsidRPr="00C01F15">
        <w:rPr>
          <w:rFonts w:eastAsia="Calibri"/>
          <w:lang w:val="sq-AL"/>
        </w:rPr>
        <w:t xml:space="preserve"> marr</w:t>
      </w:r>
      <w:r>
        <w:rPr>
          <w:rFonts w:eastAsia="Calibri"/>
          <w:lang w:val="sq-AL"/>
        </w:rPr>
        <w:t>ë</w:t>
      </w:r>
      <w:r w:rsidRPr="00C01F15">
        <w:rPr>
          <w:rFonts w:eastAsia="Calibri"/>
          <w:lang w:val="sq-AL"/>
        </w:rPr>
        <w:t xml:space="preserve"> shërbimin </w:t>
      </w:r>
      <w:r>
        <w:rPr>
          <w:rFonts w:eastAsia="Calibri"/>
          <w:lang w:val="sq-AL"/>
        </w:rPr>
        <w:t>komunal për</w:t>
      </w:r>
      <w:r w:rsidRPr="00C01F15">
        <w:rPr>
          <w:rFonts w:eastAsia="Calibri"/>
          <w:lang w:val="sq-AL"/>
        </w:rPr>
        <w:t xml:space="preserve"> grumbullimi</w:t>
      </w:r>
      <w:r>
        <w:rPr>
          <w:rFonts w:eastAsia="Calibri"/>
          <w:lang w:val="sq-AL"/>
        </w:rPr>
        <w:t>n e</w:t>
      </w:r>
      <w:r w:rsidRPr="00C01F15">
        <w:rPr>
          <w:rFonts w:eastAsia="Calibri"/>
          <w:lang w:val="sq-AL"/>
        </w:rPr>
        <w:t xml:space="preserve"> mbeturinave komunale në vitin 202</w:t>
      </w:r>
      <w:r w:rsidR="000E625C">
        <w:rPr>
          <w:rFonts w:eastAsia="Calibri"/>
          <w:lang w:val="sq-AL"/>
        </w:rPr>
        <w:t>2</w:t>
      </w:r>
      <w:r w:rsidRPr="00C01F15">
        <w:rPr>
          <w:rFonts w:eastAsia="Calibri"/>
          <w:lang w:val="sq-AL"/>
        </w:rPr>
        <w:t>.</w:t>
      </w:r>
    </w:p>
    <w:p w14:paraId="003BFABB" w14:textId="77B4FBA9" w:rsidR="00E16F42" w:rsidRPr="007F50ED" w:rsidRDefault="00E16F42" w:rsidP="007F50ED">
      <w:pPr>
        <w:suppressAutoHyphens/>
        <w:rPr>
          <w:rFonts w:ascii="Arial Narrow" w:eastAsia="Calibri" w:hAnsi="Arial Narrow" w:cs="Calibri"/>
          <w:color w:val="1F497D"/>
          <w:sz w:val="20"/>
          <w:szCs w:val="20"/>
        </w:rPr>
      </w:pPr>
      <w:bookmarkStart w:id="171" w:name="_Toc197472205"/>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20.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Numri i bizneseve që marrin shërbim</w:t>
      </w:r>
      <w:r w:rsidR="00A336F5">
        <w:rPr>
          <w:rFonts w:ascii="Arial Narrow" w:eastAsia="Calibri" w:hAnsi="Arial Narrow" w:cs="Calibri"/>
          <w:color w:val="1F497D"/>
          <w:sz w:val="20"/>
          <w:szCs w:val="20"/>
        </w:rPr>
        <w:t>in e grumbullimit t</w:t>
      </w:r>
      <w:r w:rsidRPr="007F50ED">
        <w:rPr>
          <w:rFonts w:ascii="Arial Narrow" w:eastAsia="Calibri" w:hAnsi="Arial Narrow" w:cs="Calibri"/>
          <w:color w:val="1F497D"/>
          <w:sz w:val="20"/>
          <w:szCs w:val="20"/>
        </w:rPr>
        <w:t>ë mbeturinave komunale, 2021</w:t>
      </w:r>
      <w:bookmarkEnd w:id="171"/>
    </w:p>
    <w:tbl>
      <w:tblPr>
        <w:tblW w:w="5000" w:type="pct"/>
        <w:tblLook w:val="04A0" w:firstRow="1" w:lastRow="0" w:firstColumn="1" w:lastColumn="0" w:noHBand="0" w:noVBand="1"/>
      </w:tblPr>
      <w:tblGrid>
        <w:gridCol w:w="1790"/>
        <w:gridCol w:w="1830"/>
        <w:gridCol w:w="1773"/>
        <w:gridCol w:w="1733"/>
        <w:gridCol w:w="1890"/>
      </w:tblGrid>
      <w:tr w:rsidR="00AA1954" w:rsidRPr="00AA1954" w14:paraId="1E860094" w14:textId="77777777" w:rsidTr="006347D6">
        <w:trPr>
          <w:trHeight w:val="782"/>
          <w:tblHeader/>
        </w:trPr>
        <w:tc>
          <w:tcPr>
            <w:tcW w:w="993" w:type="pct"/>
            <w:tcBorders>
              <w:top w:val="single" w:sz="4" w:space="0" w:color="auto"/>
              <w:left w:val="single" w:sz="4" w:space="0" w:color="auto"/>
              <w:bottom w:val="single" w:sz="4" w:space="0" w:color="auto"/>
              <w:right w:val="single" w:sz="4" w:space="0" w:color="auto"/>
            </w:tcBorders>
            <w:shd w:val="clear" w:color="auto" w:fill="365F91"/>
            <w:noWrap/>
            <w:hideMark/>
          </w:tcPr>
          <w:p w14:paraId="6070E9E1" w14:textId="6F309D35" w:rsidR="00E16F42" w:rsidRPr="00AA1954" w:rsidRDefault="00A336F5" w:rsidP="00E16F42">
            <w:pPr>
              <w:rPr>
                <w:rFonts w:ascii="Arial Narrow" w:hAnsi="Arial Narrow"/>
                <w:b/>
                <w:bCs/>
                <w:color w:val="FFFFFF" w:themeColor="background1"/>
                <w:sz w:val="20"/>
                <w:szCs w:val="20"/>
              </w:rPr>
            </w:pPr>
            <w:r>
              <w:rPr>
                <w:rFonts w:ascii="Arial Narrow" w:hAnsi="Arial Narrow"/>
                <w:b/>
                <w:bCs/>
                <w:color w:val="FFFFFF" w:themeColor="background1"/>
                <w:sz w:val="20"/>
                <w:szCs w:val="20"/>
              </w:rPr>
              <w:t>Komuna</w:t>
            </w:r>
          </w:p>
        </w:tc>
        <w:tc>
          <w:tcPr>
            <w:tcW w:w="1015" w:type="pct"/>
            <w:tcBorders>
              <w:top w:val="single" w:sz="4" w:space="0" w:color="auto"/>
              <w:left w:val="nil"/>
              <w:bottom w:val="single" w:sz="4" w:space="0" w:color="auto"/>
              <w:right w:val="single" w:sz="4" w:space="0" w:color="auto"/>
            </w:tcBorders>
            <w:shd w:val="clear" w:color="auto" w:fill="365F91"/>
            <w:hideMark/>
          </w:tcPr>
          <w:p w14:paraId="66C943FD" w14:textId="015DBC0A" w:rsidR="00E16F42" w:rsidRPr="00AA1954" w:rsidRDefault="00E16F42" w:rsidP="00E16F42">
            <w:pPr>
              <w:jc w:val="center"/>
              <w:rPr>
                <w:rFonts w:ascii="Arial Narrow" w:hAnsi="Arial Narrow"/>
                <w:b/>
                <w:bCs/>
                <w:color w:val="FFFFFF" w:themeColor="background1"/>
                <w:sz w:val="20"/>
                <w:szCs w:val="20"/>
              </w:rPr>
            </w:pPr>
            <w:r w:rsidRPr="00AA1954">
              <w:rPr>
                <w:rFonts w:ascii="Arial Narrow" w:hAnsi="Arial Narrow"/>
                <w:b/>
                <w:bCs/>
                <w:color w:val="FFFFFF" w:themeColor="background1"/>
                <w:sz w:val="20"/>
                <w:szCs w:val="20"/>
              </w:rPr>
              <w:t xml:space="preserve">Numri i bizneseve aktive në </w:t>
            </w:r>
            <w:r w:rsidR="00A336F5">
              <w:rPr>
                <w:rFonts w:ascii="Arial Narrow" w:hAnsi="Arial Narrow"/>
                <w:b/>
                <w:bCs/>
                <w:color w:val="FFFFFF" w:themeColor="background1"/>
                <w:sz w:val="20"/>
                <w:szCs w:val="20"/>
              </w:rPr>
              <w:t>komunë</w:t>
            </w:r>
          </w:p>
        </w:tc>
        <w:tc>
          <w:tcPr>
            <w:tcW w:w="983" w:type="pct"/>
            <w:tcBorders>
              <w:top w:val="single" w:sz="4" w:space="0" w:color="auto"/>
              <w:left w:val="nil"/>
              <w:bottom w:val="single" w:sz="4" w:space="0" w:color="auto"/>
              <w:right w:val="single" w:sz="4" w:space="0" w:color="auto"/>
            </w:tcBorders>
            <w:shd w:val="clear" w:color="auto" w:fill="365F91"/>
            <w:hideMark/>
          </w:tcPr>
          <w:p w14:paraId="5242264A" w14:textId="08FF9D82" w:rsidR="00E16F42" w:rsidRPr="00AA1954" w:rsidRDefault="00E16F42" w:rsidP="00E16F42">
            <w:pPr>
              <w:jc w:val="center"/>
              <w:rPr>
                <w:rFonts w:ascii="Arial Narrow" w:hAnsi="Arial Narrow"/>
                <w:b/>
                <w:bCs/>
                <w:color w:val="FFFFFF" w:themeColor="background1"/>
                <w:sz w:val="20"/>
                <w:szCs w:val="20"/>
              </w:rPr>
            </w:pPr>
            <w:r w:rsidRPr="00AA1954">
              <w:rPr>
                <w:rFonts w:ascii="Arial Narrow" w:hAnsi="Arial Narrow"/>
                <w:b/>
                <w:bCs/>
                <w:color w:val="FFFFFF" w:themeColor="background1"/>
                <w:sz w:val="20"/>
                <w:szCs w:val="20"/>
              </w:rPr>
              <w:t xml:space="preserve">Numri i institucioneve në </w:t>
            </w:r>
            <w:r w:rsidR="00A336F5">
              <w:rPr>
                <w:rFonts w:ascii="Arial Narrow" w:hAnsi="Arial Narrow"/>
                <w:b/>
                <w:bCs/>
                <w:color w:val="FFFFFF" w:themeColor="background1"/>
                <w:sz w:val="20"/>
                <w:szCs w:val="20"/>
              </w:rPr>
              <w:t>komunë</w:t>
            </w:r>
          </w:p>
        </w:tc>
        <w:tc>
          <w:tcPr>
            <w:tcW w:w="961" w:type="pct"/>
            <w:tcBorders>
              <w:top w:val="single" w:sz="4" w:space="0" w:color="auto"/>
              <w:left w:val="nil"/>
              <w:bottom w:val="single" w:sz="4" w:space="0" w:color="auto"/>
              <w:right w:val="single" w:sz="4" w:space="0" w:color="auto"/>
            </w:tcBorders>
            <w:shd w:val="clear" w:color="auto" w:fill="365F91"/>
            <w:hideMark/>
          </w:tcPr>
          <w:p w14:paraId="4EC3B581" w14:textId="77777777" w:rsidR="00E16F42" w:rsidRPr="00AA1954" w:rsidRDefault="00E16F42" w:rsidP="00E16F42">
            <w:pPr>
              <w:jc w:val="center"/>
              <w:rPr>
                <w:rFonts w:ascii="Arial Narrow" w:hAnsi="Arial Narrow"/>
                <w:b/>
                <w:bCs/>
                <w:color w:val="FFFFFF" w:themeColor="background1"/>
                <w:sz w:val="20"/>
                <w:szCs w:val="20"/>
              </w:rPr>
            </w:pPr>
            <w:r w:rsidRPr="00AA1954">
              <w:rPr>
                <w:rFonts w:ascii="Arial Narrow" w:hAnsi="Arial Narrow"/>
                <w:b/>
                <w:bCs/>
                <w:color w:val="FFFFFF" w:themeColor="background1"/>
                <w:sz w:val="20"/>
                <w:szCs w:val="20"/>
              </w:rPr>
              <w:t>Numri i bizneseve që marrin shërbimin</w:t>
            </w:r>
          </w:p>
        </w:tc>
        <w:tc>
          <w:tcPr>
            <w:tcW w:w="1048" w:type="pct"/>
            <w:tcBorders>
              <w:top w:val="single" w:sz="4" w:space="0" w:color="auto"/>
              <w:left w:val="nil"/>
              <w:bottom w:val="single" w:sz="4" w:space="0" w:color="auto"/>
              <w:right w:val="single" w:sz="4" w:space="0" w:color="auto"/>
            </w:tcBorders>
            <w:shd w:val="clear" w:color="auto" w:fill="365F91"/>
            <w:hideMark/>
          </w:tcPr>
          <w:p w14:paraId="451700C9" w14:textId="77777777" w:rsidR="00E16F42" w:rsidRPr="00AA1954" w:rsidRDefault="00E16F42" w:rsidP="00E16F42">
            <w:pPr>
              <w:jc w:val="center"/>
              <w:rPr>
                <w:rFonts w:ascii="Arial Narrow" w:hAnsi="Arial Narrow"/>
                <w:b/>
                <w:bCs/>
                <w:color w:val="FFFFFF" w:themeColor="background1"/>
                <w:sz w:val="20"/>
                <w:szCs w:val="20"/>
              </w:rPr>
            </w:pPr>
            <w:r w:rsidRPr="00AA1954">
              <w:rPr>
                <w:rFonts w:ascii="Arial Narrow" w:hAnsi="Arial Narrow"/>
                <w:b/>
                <w:bCs/>
                <w:color w:val="FFFFFF" w:themeColor="background1"/>
                <w:sz w:val="20"/>
                <w:szCs w:val="20"/>
              </w:rPr>
              <w:t>Numri i institucioneve që marrin shërbimin</w:t>
            </w:r>
          </w:p>
        </w:tc>
      </w:tr>
      <w:tr w:rsidR="00E16F42" w:rsidRPr="00AA1954" w14:paraId="20C065A4" w14:textId="77777777" w:rsidTr="00E16F42">
        <w:trPr>
          <w:trHeight w:val="270"/>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15D0F447" w14:textId="77777777" w:rsidR="00E16F42" w:rsidRPr="00AA1954" w:rsidRDefault="00E16F42" w:rsidP="00E16F42">
            <w:pPr>
              <w:rPr>
                <w:rFonts w:ascii="Arial Narrow" w:hAnsi="Arial Narrow"/>
                <w:color w:val="000000"/>
                <w:sz w:val="20"/>
                <w:szCs w:val="20"/>
              </w:rPr>
            </w:pPr>
            <w:r w:rsidRPr="00AA1954">
              <w:rPr>
                <w:rFonts w:ascii="Arial Narrow" w:hAnsi="Arial Narrow"/>
                <w:color w:val="000000"/>
                <w:sz w:val="20"/>
                <w:szCs w:val="20"/>
              </w:rPr>
              <w:t>Pejë</w:t>
            </w:r>
          </w:p>
        </w:tc>
        <w:tc>
          <w:tcPr>
            <w:tcW w:w="1015" w:type="pct"/>
            <w:tcBorders>
              <w:top w:val="nil"/>
              <w:left w:val="nil"/>
              <w:bottom w:val="single" w:sz="4" w:space="0" w:color="auto"/>
              <w:right w:val="single" w:sz="4" w:space="0" w:color="auto"/>
            </w:tcBorders>
            <w:shd w:val="clear" w:color="auto" w:fill="auto"/>
            <w:noWrap/>
            <w:vAlign w:val="bottom"/>
            <w:hideMark/>
          </w:tcPr>
          <w:p w14:paraId="0C37F85A" w14:textId="617D732F" w:rsidR="00E16F42" w:rsidRPr="00AA1954" w:rsidRDefault="00E16F42" w:rsidP="00E16F42">
            <w:pPr>
              <w:jc w:val="right"/>
              <w:rPr>
                <w:rFonts w:ascii="Arial Narrow" w:hAnsi="Arial Narrow"/>
                <w:color w:val="000000"/>
                <w:sz w:val="20"/>
                <w:szCs w:val="20"/>
              </w:rPr>
            </w:pPr>
            <w:r w:rsidRPr="00AA1954">
              <w:rPr>
                <w:rFonts w:ascii="Arial Narrow" w:hAnsi="Arial Narrow"/>
                <w:color w:val="000000"/>
                <w:sz w:val="20"/>
                <w:szCs w:val="20"/>
              </w:rPr>
              <w:t>2</w:t>
            </w:r>
            <w:r w:rsidR="00384C43">
              <w:rPr>
                <w:rFonts w:ascii="Arial Narrow" w:hAnsi="Arial Narrow"/>
                <w:color w:val="000000"/>
                <w:sz w:val="20"/>
                <w:szCs w:val="20"/>
              </w:rPr>
              <w:t>,</w:t>
            </w:r>
            <w:r w:rsidRPr="00AA1954">
              <w:rPr>
                <w:rFonts w:ascii="Arial Narrow" w:hAnsi="Arial Narrow"/>
                <w:color w:val="000000"/>
                <w:sz w:val="20"/>
                <w:szCs w:val="20"/>
              </w:rPr>
              <w:t>737</w:t>
            </w:r>
          </w:p>
        </w:tc>
        <w:tc>
          <w:tcPr>
            <w:tcW w:w="983" w:type="pct"/>
            <w:tcBorders>
              <w:top w:val="nil"/>
              <w:left w:val="nil"/>
              <w:bottom w:val="single" w:sz="4" w:space="0" w:color="auto"/>
              <w:right w:val="single" w:sz="4" w:space="0" w:color="auto"/>
            </w:tcBorders>
            <w:shd w:val="clear" w:color="auto" w:fill="auto"/>
            <w:noWrap/>
            <w:vAlign w:val="bottom"/>
            <w:hideMark/>
          </w:tcPr>
          <w:p w14:paraId="5A3F3CC8" w14:textId="3C110ED1" w:rsidR="00E16F42" w:rsidRPr="00AA1954" w:rsidRDefault="00384C43" w:rsidP="00E16F42">
            <w:pPr>
              <w:jc w:val="right"/>
              <w:rPr>
                <w:rFonts w:ascii="Arial Narrow" w:hAnsi="Arial Narrow"/>
                <w:color w:val="000000"/>
                <w:sz w:val="20"/>
                <w:szCs w:val="20"/>
              </w:rPr>
            </w:pPr>
            <w:r>
              <w:rPr>
                <w:rFonts w:ascii="Arial Narrow" w:hAnsi="Arial Narrow"/>
                <w:color w:val="000000"/>
                <w:sz w:val="20"/>
                <w:szCs w:val="20"/>
              </w:rPr>
              <w:t>91</w:t>
            </w:r>
          </w:p>
        </w:tc>
        <w:tc>
          <w:tcPr>
            <w:tcW w:w="961" w:type="pct"/>
            <w:tcBorders>
              <w:top w:val="nil"/>
              <w:left w:val="nil"/>
              <w:bottom w:val="single" w:sz="4" w:space="0" w:color="auto"/>
              <w:right w:val="single" w:sz="4" w:space="0" w:color="auto"/>
            </w:tcBorders>
            <w:shd w:val="clear" w:color="auto" w:fill="auto"/>
            <w:noWrap/>
            <w:vAlign w:val="bottom"/>
            <w:hideMark/>
          </w:tcPr>
          <w:p w14:paraId="470BA550" w14:textId="3DE76784" w:rsidR="00E16F42" w:rsidRPr="00AA1954" w:rsidRDefault="00E16F42" w:rsidP="00E16F42">
            <w:pPr>
              <w:jc w:val="right"/>
              <w:rPr>
                <w:rFonts w:ascii="Arial Narrow" w:hAnsi="Arial Narrow"/>
                <w:color w:val="000000"/>
                <w:sz w:val="20"/>
                <w:szCs w:val="20"/>
              </w:rPr>
            </w:pPr>
            <w:r w:rsidRPr="00AA1954">
              <w:rPr>
                <w:rFonts w:ascii="Arial Narrow" w:hAnsi="Arial Narrow"/>
                <w:color w:val="000000"/>
                <w:sz w:val="20"/>
                <w:szCs w:val="20"/>
              </w:rPr>
              <w:t>2,7</w:t>
            </w:r>
            <w:r w:rsidR="00384C43">
              <w:rPr>
                <w:rFonts w:ascii="Arial Narrow" w:hAnsi="Arial Narrow"/>
                <w:color w:val="000000"/>
                <w:sz w:val="20"/>
                <w:szCs w:val="20"/>
              </w:rPr>
              <w:t>37</w:t>
            </w:r>
          </w:p>
        </w:tc>
        <w:tc>
          <w:tcPr>
            <w:tcW w:w="1048" w:type="pct"/>
            <w:tcBorders>
              <w:top w:val="nil"/>
              <w:left w:val="nil"/>
              <w:bottom w:val="single" w:sz="4" w:space="0" w:color="auto"/>
              <w:right w:val="single" w:sz="4" w:space="0" w:color="auto"/>
            </w:tcBorders>
            <w:shd w:val="clear" w:color="auto" w:fill="auto"/>
            <w:noWrap/>
            <w:vAlign w:val="bottom"/>
            <w:hideMark/>
          </w:tcPr>
          <w:p w14:paraId="24D1D40B" w14:textId="7BF9D149" w:rsidR="00E16F42" w:rsidRPr="00AA1954" w:rsidRDefault="00E16F42" w:rsidP="00E16F42">
            <w:pPr>
              <w:jc w:val="right"/>
              <w:rPr>
                <w:rFonts w:ascii="Arial Narrow" w:hAnsi="Arial Narrow"/>
                <w:color w:val="000000"/>
                <w:sz w:val="20"/>
                <w:szCs w:val="20"/>
              </w:rPr>
            </w:pPr>
            <w:r w:rsidRPr="00AA1954">
              <w:rPr>
                <w:rFonts w:ascii="Arial Narrow" w:hAnsi="Arial Narrow"/>
                <w:color w:val="000000"/>
                <w:sz w:val="20"/>
                <w:szCs w:val="20"/>
              </w:rPr>
              <w:t>9</w:t>
            </w:r>
            <w:r w:rsidR="00384C43">
              <w:rPr>
                <w:rFonts w:ascii="Arial Narrow" w:hAnsi="Arial Narrow"/>
                <w:color w:val="000000"/>
                <w:sz w:val="20"/>
                <w:szCs w:val="20"/>
              </w:rPr>
              <w:t>1</w:t>
            </w:r>
          </w:p>
        </w:tc>
      </w:tr>
      <w:tr w:rsidR="00E16F42" w:rsidRPr="00AA1954" w14:paraId="0E4149E7" w14:textId="77777777" w:rsidTr="00E16F42">
        <w:trPr>
          <w:trHeight w:val="270"/>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10080E89" w14:textId="77777777" w:rsidR="00E16F42" w:rsidRPr="00AA1954" w:rsidRDefault="00E16F42" w:rsidP="00E16F42">
            <w:pPr>
              <w:rPr>
                <w:rFonts w:ascii="Arial Narrow" w:hAnsi="Arial Narrow"/>
                <w:color w:val="000000"/>
                <w:sz w:val="20"/>
                <w:szCs w:val="20"/>
              </w:rPr>
            </w:pPr>
            <w:r w:rsidRPr="00AA1954">
              <w:rPr>
                <w:rFonts w:ascii="Arial Narrow" w:hAnsi="Arial Narrow"/>
                <w:color w:val="000000"/>
                <w:sz w:val="20"/>
                <w:szCs w:val="20"/>
              </w:rPr>
              <w:t>Istog</w:t>
            </w:r>
          </w:p>
        </w:tc>
        <w:tc>
          <w:tcPr>
            <w:tcW w:w="1015" w:type="pct"/>
            <w:tcBorders>
              <w:top w:val="nil"/>
              <w:left w:val="nil"/>
              <w:bottom w:val="single" w:sz="4" w:space="0" w:color="auto"/>
              <w:right w:val="single" w:sz="4" w:space="0" w:color="auto"/>
            </w:tcBorders>
            <w:shd w:val="clear" w:color="auto" w:fill="auto"/>
            <w:noWrap/>
            <w:vAlign w:val="bottom"/>
            <w:hideMark/>
          </w:tcPr>
          <w:p w14:paraId="20225BF6" w14:textId="5C0ADE17" w:rsidR="00E16F42" w:rsidRPr="00AA1954" w:rsidRDefault="00384C43" w:rsidP="00E16F42">
            <w:pPr>
              <w:jc w:val="right"/>
              <w:rPr>
                <w:rFonts w:ascii="Arial Narrow" w:hAnsi="Arial Narrow"/>
                <w:color w:val="000000"/>
                <w:sz w:val="20"/>
                <w:szCs w:val="20"/>
              </w:rPr>
            </w:pPr>
            <w:r>
              <w:rPr>
                <w:rFonts w:ascii="Arial Narrow" w:hAnsi="Arial Narrow"/>
                <w:color w:val="000000"/>
                <w:sz w:val="20"/>
                <w:szCs w:val="20"/>
              </w:rPr>
              <w:t>1,484</w:t>
            </w:r>
          </w:p>
        </w:tc>
        <w:tc>
          <w:tcPr>
            <w:tcW w:w="983" w:type="pct"/>
            <w:tcBorders>
              <w:top w:val="nil"/>
              <w:left w:val="nil"/>
              <w:bottom w:val="single" w:sz="4" w:space="0" w:color="auto"/>
              <w:right w:val="single" w:sz="4" w:space="0" w:color="auto"/>
            </w:tcBorders>
            <w:shd w:val="clear" w:color="auto" w:fill="auto"/>
            <w:noWrap/>
            <w:vAlign w:val="bottom"/>
            <w:hideMark/>
          </w:tcPr>
          <w:p w14:paraId="612EBD10" w14:textId="56F28751" w:rsidR="00E16F42" w:rsidRPr="00AA1954" w:rsidRDefault="00384C43" w:rsidP="00E16F42">
            <w:pPr>
              <w:jc w:val="right"/>
              <w:rPr>
                <w:rFonts w:ascii="Arial Narrow" w:hAnsi="Arial Narrow"/>
                <w:color w:val="000000"/>
                <w:sz w:val="20"/>
                <w:szCs w:val="20"/>
              </w:rPr>
            </w:pPr>
            <w:r>
              <w:rPr>
                <w:rFonts w:ascii="Arial Narrow" w:hAnsi="Arial Narrow"/>
                <w:color w:val="000000"/>
                <w:sz w:val="20"/>
                <w:szCs w:val="20"/>
              </w:rPr>
              <w:t>69</w:t>
            </w:r>
          </w:p>
        </w:tc>
        <w:tc>
          <w:tcPr>
            <w:tcW w:w="961" w:type="pct"/>
            <w:tcBorders>
              <w:top w:val="nil"/>
              <w:left w:val="nil"/>
              <w:bottom w:val="single" w:sz="4" w:space="0" w:color="auto"/>
              <w:right w:val="single" w:sz="4" w:space="0" w:color="auto"/>
            </w:tcBorders>
            <w:shd w:val="clear" w:color="auto" w:fill="auto"/>
            <w:noWrap/>
            <w:vAlign w:val="bottom"/>
            <w:hideMark/>
          </w:tcPr>
          <w:p w14:paraId="591800B4" w14:textId="593AB260" w:rsidR="00E16F42" w:rsidRPr="00AA1954" w:rsidRDefault="00384C43" w:rsidP="00E16F42">
            <w:pPr>
              <w:jc w:val="right"/>
              <w:rPr>
                <w:rFonts w:ascii="Arial Narrow" w:hAnsi="Arial Narrow"/>
                <w:color w:val="000000"/>
                <w:sz w:val="20"/>
                <w:szCs w:val="20"/>
              </w:rPr>
            </w:pPr>
            <w:r>
              <w:rPr>
                <w:rFonts w:ascii="Arial Narrow" w:hAnsi="Arial Narrow"/>
                <w:color w:val="000000"/>
                <w:sz w:val="20"/>
                <w:szCs w:val="20"/>
              </w:rPr>
              <w:t>742</w:t>
            </w:r>
          </w:p>
        </w:tc>
        <w:tc>
          <w:tcPr>
            <w:tcW w:w="1048" w:type="pct"/>
            <w:tcBorders>
              <w:top w:val="nil"/>
              <w:left w:val="nil"/>
              <w:bottom w:val="single" w:sz="4" w:space="0" w:color="auto"/>
              <w:right w:val="single" w:sz="4" w:space="0" w:color="auto"/>
            </w:tcBorders>
            <w:shd w:val="clear" w:color="auto" w:fill="auto"/>
            <w:noWrap/>
            <w:vAlign w:val="bottom"/>
            <w:hideMark/>
          </w:tcPr>
          <w:p w14:paraId="08DFD6D4" w14:textId="5E10B74D" w:rsidR="00E16F42" w:rsidRPr="00AA1954" w:rsidRDefault="00384C43" w:rsidP="00E16F42">
            <w:pPr>
              <w:jc w:val="right"/>
              <w:rPr>
                <w:rFonts w:ascii="Arial Narrow" w:hAnsi="Arial Narrow"/>
                <w:color w:val="000000"/>
                <w:sz w:val="20"/>
                <w:szCs w:val="20"/>
              </w:rPr>
            </w:pPr>
            <w:r>
              <w:rPr>
                <w:rFonts w:ascii="Arial Narrow" w:hAnsi="Arial Narrow"/>
                <w:color w:val="000000"/>
                <w:sz w:val="20"/>
                <w:szCs w:val="20"/>
              </w:rPr>
              <w:t>69</w:t>
            </w:r>
          </w:p>
        </w:tc>
      </w:tr>
      <w:tr w:rsidR="00E16F42" w:rsidRPr="00AA1954" w14:paraId="49EC228E" w14:textId="77777777" w:rsidTr="00E16F42">
        <w:trPr>
          <w:trHeight w:val="270"/>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79BCCFF2" w14:textId="77777777" w:rsidR="00E16F42" w:rsidRPr="00AA1954" w:rsidRDefault="00E16F42" w:rsidP="00E16F42">
            <w:pPr>
              <w:rPr>
                <w:rFonts w:ascii="Arial Narrow" w:hAnsi="Arial Narrow"/>
                <w:color w:val="000000"/>
                <w:sz w:val="20"/>
                <w:szCs w:val="20"/>
              </w:rPr>
            </w:pPr>
            <w:r w:rsidRPr="00AA1954">
              <w:rPr>
                <w:rFonts w:ascii="Arial Narrow" w:hAnsi="Arial Narrow"/>
                <w:color w:val="000000"/>
                <w:sz w:val="20"/>
                <w:szCs w:val="20"/>
              </w:rPr>
              <w:lastRenderedPageBreak/>
              <w:t>Klinë</w:t>
            </w:r>
          </w:p>
        </w:tc>
        <w:tc>
          <w:tcPr>
            <w:tcW w:w="1015" w:type="pct"/>
            <w:tcBorders>
              <w:top w:val="nil"/>
              <w:left w:val="nil"/>
              <w:bottom w:val="single" w:sz="4" w:space="0" w:color="auto"/>
              <w:right w:val="single" w:sz="4" w:space="0" w:color="auto"/>
            </w:tcBorders>
            <w:shd w:val="clear" w:color="auto" w:fill="auto"/>
            <w:noWrap/>
            <w:vAlign w:val="bottom"/>
            <w:hideMark/>
          </w:tcPr>
          <w:p w14:paraId="5B827D7C" w14:textId="499ECA0D" w:rsidR="00E16F42" w:rsidRPr="00AA1954" w:rsidRDefault="00384C43" w:rsidP="00E16F42">
            <w:pPr>
              <w:jc w:val="right"/>
              <w:rPr>
                <w:rFonts w:ascii="Arial Narrow" w:hAnsi="Arial Narrow"/>
                <w:color w:val="000000"/>
                <w:sz w:val="20"/>
                <w:szCs w:val="20"/>
              </w:rPr>
            </w:pPr>
            <w:r>
              <w:rPr>
                <w:rFonts w:ascii="Arial Narrow" w:hAnsi="Arial Narrow"/>
                <w:color w:val="000000"/>
                <w:sz w:val="20"/>
                <w:szCs w:val="20"/>
              </w:rPr>
              <w:t>1.211</w:t>
            </w:r>
          </w:p>
        </w:tc>
        <w:tc>
          <w:tcPr>
            <w:tcW w:w="983" w:type="pct"/>
            <w:tcBorders>
              <w:top w:val="nil"/>
              <w:left w:val="nil"/>
              <w:bottom w:val="single" w:sz="4" w:space="0" w:color="auto"/>
              <w:right w:val="single" w:sz="4" w:space="0" w:color="auto"/>
            </w:tcBorders>
            <w:shd w:val="clear" w:color="auto" w:fill="auto"/>
            <w:noWrap/>
            <w:vAlign w:val="bottom"/>
            <w:hideMark/>
          </w:tcPr>
          <w:p w14:paraId="3814E094" w14:textId="7F80BC10" w:rsidR="00E16F42" w:rsidRPr="00AA1954" w:rsidRDefault="00384C43" w:rsidP="00E16F42">
            <w:pPr>
              <w:jc w:val="right"/>
              <w:rPr>
                <w:rFonts w:ascii="Arial Narrow" w:hAnsi="Arial Narrow"/>
                <w:color w:val="000000"/>
                <w:sz w:val="20"/>
                <w:szCs w:val="20"/>
              </w:rPr>
            </w:pPr>
            <w:r>
              <w:rPr>
                <w:rFonts w:ascii="Arial Narrow" w:hAnsi="Arial Narrow"/>
                <w:color w:val="000000"/>
                <w:sz w:val="20"/>
                <w:szCs w:val="20"/>
              </w:rPr>
              <w:t>64</w:t>
            </w:r>
          </w:p>
        </w:tc>
        <w:tc>
          <w:tcPr>
            <w:tcW w:w="961" w:type="pct"/>
            <w:tcBorders>
              <w:top w:val="nil"/>
              <w:left w:val="nil"/>
              <w:bottom w:val="single" w:sz="4" w:space="0" w:color="auto"/>
              <w:right w:val="single" w:sz="4" w:space="0" w:color="auto"/>
            </w:tcBorders>
            <w:shd w:val="clear" w:color="auto" w:fill="auto"/>
            <w:noWrap/>
            <w:vAlign w:val="bottom"/>
            <w:hideMark/>
          </w:tcPr>
          <w:p w14:paraId="13F86223" w14:textId="3C3CC9A6" w:rsidR="00E16F42" w:rsidRPr="00AA1954" w:rsidRDefault="00384C43" w:rsidP="00E16F42">
            <w:pPr>
              <w:jc w:val="right"/>
              <w:rPr>
                <w:rFonts w:ascii="Arial Narrow" w:hAnsi="Arial Narrow"/>
                <w:color w:val="000000"/>
                <w:sz w:val="20"/>
                <w:szCs w:val="20"/>
              </w:rPr>
            </w:pPr>
            <w:r>
              <w:rPr>
                <w:rFonts w:ascii="Arial Narrow" w:hAnsi="Arial Narrow"/>
                <w:color w:val="000000"/>
                <w:sz w:val="20"/>
                <w:szCs w:val="20"/>
              </w:rPr>
              <w:t>744</w:t>
            </w:r>
          </w:p>
        </w:tc>
        <w:tc>
          <w:tcPr>
            <w:tcW w:w="1048" w:type="pct"/>
            <w:tcBorders>
              <w:top w:val="nil"/>
              <w:left w:val="nil"/>
              <w:bottom w:val="single" w:sz="4" w:space="0" w:color="auto"/>
              <w:right w:val="single" w:sz="4" w:space="0" w:color="auto"/>
            </w:tcBorders>
            <w:shd w:val="clear" w:color="auto" w:fill="auto"/>
            <w:noWrap/>
            <w:vAlign w:val="bottom"/>
            <w:hideMark/>
          </w:tcPr>
          <w:p w14:paraId="3AD9A06C" w14:textId="7AE63B99" w:rsidR="00E16F42" w:rsidRPr="00AA1954" w:rsidRDefault="00384C43" w:rsidP="00E16F42">
            <w:pPr>
              <w:jc w:val="right"/>
              <w:rPr>
                <w:rFonts w:ascii="Arial Narrow" w:hAnsi="Arial Narrow"/>
                <w:color w:val="000000"/>
                <w:sz w:val="20"/>
                <w:szCs w:val="20"/>
              </w:rPr>
            </w:pPr>
            <w:r>
              <w:rPr>
                <w:rFonts w:ascii="Arial Narrow" w:hAnsi="Arial Narrow"/>
                <w:color w:val="000000"/>
                <w:sz w:val="20"/>
                <w:szCs w:val="20"/>
              </w:rPr>
              <w:t>64</w:t>
            </w:r>
          </w:p>
        </w:tc>
      </w:tr>
      <w:tr w:rsidR="00E16F42" w:rsidRPr="00AA1954" w14:paraId="2A852A19" w14:textId="77777777" w:rsidTr="00E16F42">
        <w:trPr>
          <w:trHeight w:val="270"/>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02F67AD4" w14:textId="77777777" w:rsidR="00E16F42" w:rsidRPr="00AA1954" w:rsidRDefault="00E16F42" w:rsidP="00E16F42">
            <w:pPr>
              <w:rPr>
                <w:rFonts w:ascii="Arial Narrow" w:hAnsi="Arial Narrow"/>
                <w:color w:val="000000"/>
                <w:sz w:val="20"/>
                <w:szCs w:val="20"/>
              </w:rPr>
            </w:pPr>
            <w:r w:rsidRPr="00AA1954">
              <w:rPr>
                <w:rFonts w:ascii="Arial Narrow" w:hAnsi="Arial Narrow"/>
                <w:color w:val="000000"/>
                <w:sz w:val="20"/>
                <w:szCs w:val="20"/>
              </w:rPr>
              <w:t>Deçan</w:t>
            </w:r>
          </w:p>
        </w:tc>
        <w:tc>
          <w:tcPr>
            <w:tcW w:w="1015" w:type="pct"/>
            <w:tcBorders>
              <w:top w:val="nil"/>
              <w:left w:val="nil"/>
              <w:bottom w:val="single" w:sz="4" w:space="0" w:color="auto"/>
              <w:right w:val="single" w:sz="4" w:space="0" w:color="auto"/>
            </w:tcBorders>
            <w:shd w:val="clear" w:color="auto" w:fill="auto"/>
            <w:noWrap/>
            <w:vAlign w:val="bottom"/>
            <w:hideMark/>
          </w:tcPr>
          <w:p w14:paraId="44D2D74E" w14:textId="0C255C80" w:rsidR="00E16F42" w:rsidRPr="00AA1954" w:rsidRDefault="00E16F42" w:rsidP="00E16F42">
            <w:pPr>
              <w:jc w:val="right"/>
              <w:rPr>
                <w:rFonts w:ascii="Arial Narrow" w:hAnsi="Arial Narrow"/>
                <w:color w:val="000000"/>
                <w:sz w:val="20"/>
                <w:szCs w:val="20"/>
              </w:rPr>
            </w:pPr>
            <w:r w:rsidRPr="00AA1954">
              <w:rPr>
                <w:rFonts w:ascii="Arial Narrow" w:hAnsi="Arial Narrow"/>
                <w:color w:val="000000"/>
                <w:sz w:val="20"/>
                <w:szCs w:val="20"/>
              </w:rPr>
              <w:t>1,3</w:t>
            </w:r>
            <w:r w:rsidR="00384C43">
              <w:rPr>
                <w:rFonts w:ascii="Arial Narrow" w:hAnsi="Arial Narrow"/>
                <w:color w:val="000000"/>
                <w:sz w:val="20"/>
                <w:szCs w:val="20"/>
              </w:rPr>
              <w:t>053</w:t>
            </w:r>
          </w:p>
        </w:tc>
        <w:tc>
          <w:tcPr>
            <w:tcW w:w="983" w:type="pct"/>
            <w:tcBorders>
              <w:top w:val="nil"/>
              <w:left w:val="nil"/>
              <w:bottom w:val="single" w:sz="4" w:space="0" w:color="auto"/>
              <w:right w:val="single" w:sz="4" w:space="0" w:color="auto"/>
            </w:tcBorders>
            <w:shd w:val="clear" w:color="auto" w:fill="auto"/>
            <w:noWrap/>
            <w:vAlign w:val="bottom"/>
            <w:hideMark/>
          </w:tcPr>
          <w:p w14:paraId="679A9F55" w14:textId="77777777" w:rsidR="00E16F42" w:rsidRPr="00AA1954" w:rsidRDefault="00E16F42" w:rsidP="00E16F42">
            <w:pPr>
              <w:jc w:val="right"/>
              <w:rPr>
                <w:rFonts w:ascii="Arial Narrow" w:hAnsi="Arial Narrow"/>
                <w:color w:val="000000"/>
                <w:sz w:val="20"/>
                <w:szCs w:val="20"/>
              </w:rPr>
            </w:pPr>
            <w:r w:rsidRPr="00AA1954">
              <w:rPr>
                <w:rFonts w:ascii="Arial Narrow" w:hAnsi="Arial Narrow"/>
                <w:color w:val="000000"/>
                <w:sz w:val="20"/>
                <w:szCs w:val="20"/>
              </w:rPr>
              <w:t>50</w:t>
            </w:r>
          </w:p>
        </w:tc>
        <w:tc>
          <w:tcPr>
            <w:tcW w:w="961" w:type="pct"/>
            <w:tcBorders>
              <w:top w:val="nil"/>
              <w:left w:val="nil"/>
              <w:bottom w:val="single" w:sz="4" w:space="0" w:color="auto"/>
              <w:right w:val="single" w:sz="4" w:space="0" w:color="auto"/>
            </w:tcBorders>
            <w:shd w:val="clear" w:color="auto" w:fill="auto"/>
            <w:noWrap/>
            <w:vAlign w:val="bottom"/>
            <w:hideMark/>
          </w:tcPr>
          <w:p w14:paraId="31DF621C" w14:textId="2E3743A7" w:rsidR="00E16F42" w:rsidRPr="00AA1954" w:rsidRDefault="00384C43" w:rsidP="00E16F42">
            <w:pPr>
              <w:jc w:val="right"/>
              <w:rPr>
                <w:rFonts w:ascii="Arial Narrow" w:hAnsi="Arial Narrow"/>
                <w:color w:val="000000"/>
                <w:sz w:val="20"/>
                <w:szCs w:val="20"/>
              </w:rPr>
            </w:pPr>
            <w:r>
              <w:rPr>
                <w:rFonts w:ascii="Arial Narrow" w:hAnsi="Arial Narrow"/>
                <w:color w:val="000000"/>
                <w:sz w:val="20"/>
                <w:szCs w:val="20"/>
              </w:rPr>
              <w:t>590</w:t>
            </w:r>
          </w:p>
        </w:tc>
        <w:tc>
          <w:tcPr>
            <w:tcW w:w="1048" w:type="pct"/>
            <w:tcBorders>
              <w:top w:val="nil"/>
              <w:left w:val="nil"/>
              <w:bottom w:val="single" w:sz="4" w:space="0" w:color="auto"/>
              <w:right w:val="single" w:sz="4" w:space="0" w:color="auto"/>
            </w:tcBorders>
            <w:shd w:val="clear" w:color="auto" w:fill="auto"/>
            <w:noWrap/>
            <w:vAlign w:val="bottom"/>
            <w:hideMark/>
          </w:tcPr>
          <w:p w14:paraId="61C3AB08" w14:textId="77777777" w:rsidR="00E16F42" w:rsidRPr="00AA1954" w:rsidRDefault="00E16F42" w:rsidP="00E16F42">
            <w:pPr>
              <w:jc w:val="right"/>
              <w:rPr>
                <w:rFonts w:ascii="Arial Narrow" w:hAnsi="Arial Narrow"/>
                <w:color w:val="000000"/>
                <w:sz w:val="20"/>
                <w:szCs w:val="20"/>
              </w:rPr>
            </w:pPr>
            <w:r w:rsidRPr="00AA1954">
              <w:rPr>
                <w:rFonts w:ascii="Arial Narrow" w:hAnsi="Arial Narrow"/>
                <w:color w:val="000000"/>
                <w:sz w:val="20"/>
                <w:szCs w:val="20"/>
              </w:rPr>
              <w:t>50</w:t>
            </w:r>
          </w:p>
        </w:tc>
      </w:tr>
      <w:tr w:rsidR="00E16F42" w:rsidRPr="00AA1954" w14:paraId="3D61AE27" w14:textId="77777777" w:rsidTr="00E16F42">
        <w:trPr>
          <w:trHeight w:val="270"/>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51ACD2E7" w14:textId="77777777" w:rsidR="00E16F42" w:rsidRPr="00AA1954" w:rsidRDefault="00E16F42" w:rsidP="00E16F42">
            <w:pPr>
              <w:rPr>
                <w:rFonts w:ascii="Arial Narrow" w:hAnsi="Arial Narrow"/>
                <w:color w:val="000000"/>
                <w:sz w:val="20"/>
                <w:szCs w:val="20"/>
              </w:rPr>
            </w:pPr>
            <w:r w:rsidRPr="00AA1954">
              <w:rPr>
                <w:rFonts w:ascii="Arial Narrow" w:hAnsi="Arial Narrow"/>
                <w:color w:val="000000"/>
                <w:sz w:val="20"/>
                <w:szCs w:val="20"/>
              </w:rPr>
              <w:t>Junik</w:t>
            </w:r>
          </w:p>
        </w:tc>
        <w:tc>
          <w:tcPr>
            <w:tcW w:w="1015" w:type="pct"/>
            <w:tcBorders>
              <w:top w:val="nil"/>
              <w:left w:val="nil"/>
              <w:bottom w:val="single" w:sz="4" w:space="0" w:color="auto"/>
              <w:right w:val="single" w:sz="4" w:space="0" w:color="auto"/>
            </w:tcBorders>
            <w:shd w:val="clear" w:color="auto" w:fill="auto"/>
            <w:noWrap/>
            <w:vAlign w:val="bottom"/>
            <w:hideMark/>
          </w:tcPr>
          <w:p w14:paraId="6E23CF3E" w14:textId="6D87E1E3" w:rsidR="00E16F42" w:rsidRPr="00AA1954" w:rsidRDefault="00384C43" w:rsidP="00E16F42">
            <w:pPr>
              <w:jc w:val="right"/>
              <w:rPr>
                <w:rFonts w:ascii="Arial Narrow" w:hAnsi="Arial Narrow"/>
                <w:color w:val="000000"/>
                <w:sz w:val="20"/>
                <w:szCs w:val="20"/>
              </w:rPr>
            </w:pPr>
            <w:r>
              <w:rPr>
                <w:rFonts w:ascii="Arial Narrow" w:hAnsi="Arial Narrow"/>
                <w:color w:val="000000"/>
                <w:sz w:val="20"/>
                <w:szCs w:val="20"/>
              </w:rPr>
              <w:t>120</w:t>
            </w:r>
          </w:p>
        </w:tc>
        <w:tc>
          <w:tcPr>
            <w:tcW w:w="983" w:type="pct"/>
            <w:tcBorders>
              <w:top w:val="nil"/>
              <w:left w:val="nil"/>
              <w:bottom w:val="single" w:sz="4" w:space="0" w:color="auto"/>
              <w:right w:val="single" w:sz="4" w:space="0" w:color="auto"/>
            </w:tcBorders>
            <w:shd w:val="clear" w:color="auto" w:fill="auto"/>
            <w:noWrap/>
            <w:vAlign w:val="bottom"/>
            <w:hideMark/>
          </w:tcPr>
          <w:p w14:paraId="6ED269DE" w14:textId="168CB139" w:rsidR="00E16F42" w:rsidRPr="00AA1954" w:rsidRDefault="00384C43" w:rsidP="00E16F42">
            <w:pPr>
              <w:jc w:val="right"/>
              <w:rPr>
                <w:rFonts w:ascii="Arial Narrow" w:hAnsi="Arial Narrow"/>
                <w:color w:val="000000"/>
                <w:sz w:val="20"/>
                <w:szCs w:val="20"/>
              </w:rPr>
            </w:pPr>
            <w:r>
              <w:rPr>
                <w:rFonts w:ascii="Arial Narrow" w:hAnsi="Arial Narrow"/>
                <w:color w:val="000000"/>
                <w:sz w:val="20"/>
                <w:szCs w:val="20"/>
              </w:rPr>
              <w:t>8</w:t>
            </w:r>
          </w:p>
        </w:tc>
        <w:tc>
          <w:tcPr>
            <w:tcW w:w="961" w:type="pct"/>
            <w:tcBorders>
              <w:top w:val="nil"/>
              <w:left w:val="nil"/>
              <w:bottom w:val="single" w:sz="4" w:space="0" w:color="auto"/>
              <w:right w:val="single" w:sz="4" w:space="0" w:color="auto"/>
            </w:tcBorders>
            <w:shd w:val="clear" w:color="auto" w:fill="auto"/>
            <w:noWrap/>
            <w:vAlign w:val="bottom"/>
            <w:hideMark/>
          </w:tcPr>
          <w:p w14:paraId="19345CAB" w14:textId="4BC55DE1" w:rsidR="00E16F42" w:rsidRPr="00AA1954" w:rsidRDefault="00E16F42" w:rsidP="00E16F42">
            <w:pPr>
              <w:jc w:val="right"/>
              <w:rPr>
                <w:rFonts w:ascii="Arial Narrow" w:hAnsi="Arial Narrow"/>
                <w:color w:val="000000"/>
                <w:sz w:val="20"/>
                <w:szCs w:val="20"/>
              </w:rPr>
            </w:pPr>
            <w:r w:rsidRPr="00AA1954">
              <w:rPr>
                <w:rFonts w:ascii="Arial Narrow" w:hAnsi="Arial Narrow"/>
                <w:color w:val="000000"/>
                <w:sz w:val="20"/>
                <w:szCs w:val="20"/>
              </w:rPr>
              <w:t>1</w:t>
            </w:r>
            <w:r w:rsidR="00384C43">
              <w:rPr>
                <w:rFonts w:ascii="Arial Narrow" w:hAnsi="Arial Narrow"/>
                <w:color w:val="000000"/>
                <w:sz w:val="20"/>
                <w:szCs w:val="20"/>
              </w:rPr>
              <w:t>07</w:t>
            </w:r>
          </w:p>
        </w:tc>
        <w:tc>
          <w:tcPr>
            <w:tcW w:w="1048" w:type="pct"/>
            <w:tcBorders>
              <w:top w:val="nil"/>
              <w:left w:val="nil"/>
              <w:bottom w:val="single" w:sz="4" w:space="0" w:color="auto"/>
              <w:right w:val="single" w:sz="4" w:space="0" w:color="auto"/>
            </w:tcBorders>
            <w:shd w:val="clear" w:color="auto" w:fill="auto"/>
            <w:noWrap/>
            <w:vAlign w:val="bottom"/>
            <w:hideMark/>
          </w:tcPr>
          <w:p w14:paraId="08D3B8B5" w14:textId="77777777" w:rsidR="00E16F42" w:rsidRPr="00AA1954" w:rsidRDefault="00E16F42" w:rsidP="00E16F42">
            <w:pPr>
              <w:jc w:val="right"/>
              <w:rPr>
                <w:rFonts w:ascii="Arial Narrow" w:hAnsi="Arial Narrow"/>
                <w:color w:val="000000"/>
                <w:sz w:val="20"/>
                <w:szCs w:val="20"/>
              </w:rPr>
            </w:pPr>
            <w:r w:rsidRPr="00AA1954">
              <w:rPr>
                <w:rFonts w:ascii="Arial Narrow" w:hAnsi="Arial Narrow"/>
                <w:color w:val="000000"/>
                <w:sz w:val="20"/>
                <w:szCs w:val="20"/>
              </w:rPr>
              <w:t>8</w:t>
            </w:r>
          </w:p>
        </w:tc>
      </w:tr>
    </w:tbl>
    <w:p w14:paraId="5DADEF9A" w14:textId="77FD8D4B" w:rsidR="00E16F42" w:rsidRPr="00E16F42" w:rsidRDefault="00E16F42" w:rsidP="00AA1954">
      <w:pPr>
        <w:pStyle w:val="source0"/>
      </w:pPr>
      <w:r w:rsidRPr="00E16F42">
        <w:t xml:space="preserve">Burimi: </w:t>
      </w:r>
      <w:r w:rsidR="00A336F5">
        <w:t>AMMK</w:t>
      </w:r>
      <w:r w:rsidRPr="00E16F42">
        <w:t xml:space="preserve"> 202</w:t>
      </w:r>
      <w:r w:rsidR="00384C43">
        <w:t>2</w:t>
      </w:r>
      <w:r w:rsidRPr="00E16F42">
        <w:t xml:space="preserve"> </w:t>
      </w:r>
    </w:p>
    <w:p w14:paraId="29784CD8" w14:textId="77777777" w:rsidR="00A336F5" w:rsidRDefault="00A336F5" w:rsidP="00591F7F">
      <w:pPr>
        <w:pStyle w:val="Paragraph"/>
        <w:rPr>
          <w:rFonts w:eastAsia="Calibri"/>
        </w:rPr>
      </w:pPr>
    </w:p>
    <w:p w14:paraId="796360D1" w14:textId="514A4650" w:rsidR="00E16F42" w:rsidRDefault="00E16F42" w:rsidP="00591F7F">
      <w:pPr>
        <w:pStyle w:val="Paragraph"/>
        <w:rPr>
          <w:rFonts w:eastAsia="Calibri"/>
        </w:rPr>
      </w:pPr>
      <w:r>
        <w:rPr>
          <w:rFonts w:eastAsia="Calibri"/>
        </w:rPr>
        <w:t>Tabela më poshtë tregon numrin dhe llojin e bizneseve në rajon.</w:t>
      </w:r>
    </w:p>
    <w:p w14:paraId="0CD2B5CC" w14:textId="70468FE2" w:rsidR="00E16F42" w:rsidRPr="007F50ED" w:rsidRDefault="00E16F42" w:rsidP="007F50ED">
      <w:pPr>
        <w:suppressAutoHyphens/>
        <w:rPr>
          <w:rFonts w:ascii="Arial Narrow" w:eastAsia="Calibri" w:hAnsi="Arial Narrow" w:cs="Calibri"/>
          <w:color w:val="1F497D"/>
          <w:sz w:val="20"/>
          <w:szCs w:val="20"/>
        </w:rPr>
      </w:pPr>
      <w:bookmarkStart w:id="172" w:name="_Toc197472206"/>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21.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Numri dhe lloji i bizneseve në rajon, 2024</w:t>
      </w:r>
      <w:bookmarkEnd w:id="172"/>
    </w:p>
    <w:tbl>
      <w:tblPr>
        <w:tblW w:w="5000" w:type="pct"/>
        <w:tblLook w:val="04A0" w:firstRow="1" w:lastRow="0" w:firstColumn="1" w:lastColumn="0" w:noHBand="0" w:noVBand="1"/>
      </w:tblPr>
      <w:tblGrid>
        <w:gridCol w:w="1790"/>
        <w:gridCol w:w="1830"/>
        <w:gridCol w:w="1773"/>
        <w:gridCol w:w="1733"/>
        <w:gridCol w:w="1890"/>
      </w:tblGrid>
      <w:tr w:rsidR="00591F7F" w:rsidRPr="00591F7F" w14:paraId="4D8039A3" w14:textId="77777777" w:rsidTr="006347D6">
        <w:trPr>
          <w:trHeight w:val="270"/>
          <w:tblHeader/>
        </w:trPr>
        <w:tc>
          <w:tcPr>
            <w:tcW w:w="993" w:type="pct"/>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579A1DB7" w14:textId="449D5128" w:rsidR="00E16F42" w:rsidRPr="00591F7F" w:rsidRDefault="00A336F5" w:rsidP="00591F7F">
            <w:pPr>
              <w:rPr>
                <w:rFonts w:ascii="Arial Narrow" w:hAnsi="Arial Narrow"/>
                <w:b/>
                <w:bCs/>
                <w:color w:val="FFFFFF" w:themeColor="background1"/>
                <w:sz w:val="20"/>
                <w:szCs w:val="20"/>
              </w:rPr>
            </w:pPr>
            <w:bookmarkStart w:id="173" w:name="_Hlk174977593"/>
            <w:r>
              <w:rPr>
                <w:rFonts w:ascii="Arial Narrow" w:hAnsi="Arial Narrow"/>
                <w:b/>
                <w:bCs/>
                <w:color w:val="FFFFFF" w:themeColor="background1"/>
                <w:sz w:val="20"/>
                <w:szCs w:val="20"/>
              </w:rPr>
              <w:t>Komuna</w:t>
            </w:r>
          </w:p>
        </w:tc>
        <w:tc>
          <w:tcPr>
            <w:tcW w:w="1015" w:type="pct"/>
            <w:tcBorders>
              <w:top w:val="single" w:sz="4" w:space="0" w:color="auto"/>
              <w:left w:val="nil"/>
              <w:bottom w:val="single" w:sz="4" w:space="0" w:color="auto"/>
              <w:right w:val="single" w:sz="4" w:space="0" w:color="auto"/>
            </w:tcBorders>
            <w:shd w:val="clear" w:color="auto" w:fill="365F91"/>
            <w:noWrap/>
            <w:vAlign w:val="bottom"/>
            <w:hideMark/>
          </w:tcPr>
          <w:p w14:paraId="4E72D59D" w14:textId="530E6356" w:rsidR="00E16F42" w:rsidRPr="00591F7F" w:rsidRDefault="00A336F5" w:rsidP="00591F7F">
            <w:pPr>
              <w:jc w:val="center"/>
              <w:rPr>
                <w:rFonts w:ascii="Arial Narrow" w:hAnsi="Arial Narrow"/>
                <w:b/>
                <w:bCs/>
                <w:color w:val="FFFFFF" w:themeColor="background1"/>
                <w:sz w:val="20"/>
                <w:szCs w:val="20"/>
              </w:rPr>
            </w:pPr>
            <w:r>
              <w:rPr>
                <w:rFonts w:ascii="Arial Narrow" w:hAnsi="Arial Narrow"/>
                <w:b/>
                <w:bCs/>
                <w:color w:val="FFFFFF" w:themeColor="background1"/>
                <w:sz w:val="20"/>
                <w:szCs w:val="20"/>
              </w:rPr>
              <w:t>Me s</w:t>
            </w:r>
            <w:r w:rsidR="00E16F42" w:rsidRPr="00591F7F">
              <w:rPr>
                <w:rFonts w:ascii="Arial Narrow" w:hAnsi="Arial Narrow"/>
                <w:b/>
                <w:bCs/>
                <w:color w:val="FFFFFF" w:themeColor="background1"/>
                <w:sz w:val="20"/>
                <w:szCs w:val="20"/>
              </w:rPr>
              <w:t>humicë</w:t>
            </w:r>
          </w:p>
        </w:tc>
        <w:tc>
          <w:tcPr>
            <w:tcW w:w="983" w:type="pct"/>
            <w:tcBorders>
              <w:top w:val="single" w:sz="4" w:space="0" w:color="auto"/>
              <w:left w:val="nil"/>
              <w:bottom w:val="single" w:sz="4" w:space="0" w:color="auto"/>
              <w:right w:val="single" w:sz="4" w:space="0" w:color="auto"/>
            </w:tcBorders>
            <w:shd w:val="clear" w:color="auto" w:fill="365F91"/>
            <w:noWrap/>
            <w:vAlign w:val="bottom"/>
            <w:hideMark/>
          </w:tcPr>
          <w:p w14:paraId="2679C399" w14:textId="77777777" w:rsidR="00E16F42" w:rsidRPr="00591F7F" w:rsidRDefault="00E16F42" w:rsidP="00591F7F">
            <w:pPr>
              <w:jc w:val="center"/>
              <w:rPr>
                <w:rFonts w:ascii="Arial Narrow" w:hAnsi="Arial Narrow"/>
                <w:b/>
                <w:bCs/>
                <w:color w:val="FFFFFF" w:themeColor="background1"/>
                <w:sz w:val="20"/>
                <w:szCs w:val="20"/>
              </w:rPr>
            </w:pPr>
            <w:r w:rsidRPr="00591F7F">
              <w:rPr>
                <w:rFonts w:ascii="Arial Narrow" w:hAnsi="Arial Narrow"/>
                <w:b/>
                <w:bCs/>
                <w:color w:val="FFFFFF" w:themeColor="background1"/>
                <w:sz w:val="20"/>
                <w:szCs w:val="20"/>
              </w:rPr>
              <w:t>Restorante</w:t>
            </w:r>
          </w:p>
        </w:tc>
        <w:tc>
          <w:tcPr>
            <w:tcW w:w="961" w:type="pct"/>
            <w:tcBorders>
              <w:top w:val="single" w:sz="4" w:space="0" w:color="auto"/>
              <w:left w:val="nil"/>
              <w:bottom w:val="single" w:sz="4" w:space="0" w:color="auto"/>
              <w:right w:val="single" w:sz="4" w:space="0" w:color="auto"/>
            </w:tcBorders>
            <w:shd w:val="clear" w:color="auto" w:fill="365F91"/>
            <w:noWrap/>
            <w:vAlign w:val="bottom"/>
            <w:hideMark/>
          </w:tcPr>
          <w:p w14:paraId="28519D13" w14:textId="6A05C05E" w:rsidR="00E16F42" w:rsidRPr="00591F7F" w:rsidRDefault="00E16F42" w:rsidP="00591F7F">
            <w:pPr>
              <w:jc w:val="center"/>
              <w:rPr>
                <w:rFonts w:ascii="Arial Narrow" w:hAnsi="Arial Narrow"/>
                <w:b/>
                <w:bCs/>
                <w:color w:val="FFFFFF" w:themeColor="background1"/>
                <w:sz w:val="20"/>
                <w:szCs w:val="20"/>
              </w:rPr>
            </w:pPr>
            <w:r w:rsidRPr="00591F7F">
              <w:rPr>
                <w:rFonts w:ascii="Arial Narrow" w:hAnsi="Arial Narrow"/>
                <w:b/>
                <w:bCs/>
                <w:color w:val="FFFFFF" w:themeColor="background1"/>
                <w:sz w:val="20"/>
                <w:szCs w:val="20"/>
              </w:rPr>
              <w:t>Kasapë</w:t>
            </w:r>
          </w:p>
        </w:tc>
        <w:tc>
          <w:tcPr>
            <w:tcW w:w="1048" w:type="pct"/>
            <w:tcBorders>
              <w:top w:val="single" w:sz="4" w:space="0" w:color="auto"/>
              <w:left w:val="nil"/>
              <w:bottom w:val="single" w:sz="4" w:space="0" w:color="auto"/>
              <w:right w:val="single" w:sz="4" w:space="0" w:color="auto"/>
            </w:tcBorders>
            <w:shd w:val="clear" w:color="auto" w:fill="365F91"/>
            <w:noWrap/>
            <w:vAlign w:val="bottom"/>
            <w:hideMark/>
          </w:tcPr>
          <w:p w14:paraId="5E03A93C" w14:textId="77777777" w:rsidR="00E16F42" w:rsidRPr="00591F7F" w:rsidRDefault="00E16F42" w:rsidP="00591F7F">
            <w:pPr>
              <w:jc w:val="center"/>
              <w:rPr>
                <w:rFonts w:ascii="Arial Narrow" w:hAnsi="Arial Narrow"/>
                <w:b/>
                <w:bCs/>
                <w:color w:val="FFFFFF" w:themeColor="background1"/>
                <w:sz w:val="20"/>
                <w:szCs w:val="20"/>
              </w:rPr>
            </w:pPr>
            <w:r w:rsidRPr="00591F7F">
              <w:rPr>
                <w:rFonts w:ascii="Arial Narrow" w:hAnsi="Arial Narrow"/>
                <w:b/>
                <w:bCs/>
                <w:color w:val="FFFFFF" w:themeColor="background1"/>
                <w:sz w:val="20"/>
                <w:szCs w:val="20"/>
              </w:rPr>
              <w:t>Të tjera</w:t>
            </w:r>
          </w:p>
        </w:tc>
      </w:tr>
      <w:tr w:rsidR="00793BDE" w:rsidRPr="00591F7F" w14:paraId="180E5DFD" w14:textId="77777777" w:rsidTr="00FD5C5F">
        <w:trPr>
          <w:trHeight w:val="270"/>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4B30100F" w14:textId="77777777" w:rsidR="00793BDE" w:rsidRPr="00591F7F" w:rsidRDefault="00793BDE" w:rsidP="00591F7F">
            <w:pPr>
              <w:rPr>
                <w:rFonts w:ascii="Arial Narrow" w:hAnsi="Arial Narrow"/>
                <w:sz w:val="20"/>
                <w:szCs w:val="20"/>
              </w:rPr>
            </w:pPr>
            <w:r w:rsidRPr="00591F7F">
              <w:rPr>
                <w:rFonts w:ascii="Arial Narrow" w:hAnsi="Arial Narrow"/>
                <w:sz w:val="20"/>
                <w:szCs w:val="20"/>
              </w:rPr>
              <w:t>Pejë</w:t>
            </w:r>
          </w:p>
        </w:tc>
        <w:tc>
          <w:tcPr>
            <w:tcW w:w="1015" w:type="pct"/>
            <w:tcBorders>
              <w:top w:val="nil"/>
              <w:left w:val="nil"/>
              <w:bottom w:val="single" w:sz="4" w:space="0" w:color="auto"/>
              <w:right w:val="single" w:sz="4" w:space="0" w:color="auto"/>
            </w:tcBorders>
            <w:noWrap/>
            <w:vAlign w:val="bottom"/>
            <w:hideMark/>
          </w:tcPr>
          <w:p w14:paraId="0DE4F43B" w14:textId="7C08BEF2" w:rsidR="00793BDE" w:rsidRPr="00591F7F" w:rsidRDefault="00793BDE" w:rsidP="00591F7F">
            <w:pPr>
              <w:jc w:val="right"/>
              <w:rPr>
                <w:rFonts w:ascii="Arial Narrow" w:hAnsi="Arial Narrow"/>
                <w:color w:val="000000"/>
                <w:sz w:val="20"/>
                <w:szCs w:val="20"/>
              </w:rPr>
            </w:pPr>
            <w:r w:rsidRPr="00591F7F">
              <w:rPr>
                <w:rFonts w:ascii="Arial Narrow" w:hAnsi="Arial Narrow"/>
                <w:color w:val="000000"/>
                <w:sz w:val="20"/>
                <w:szCs w:val="20"/>
              </w:rPr>
              <w:t>1942</w:t>
            </w:r>
          </w:p>
        </w:tc>
        <w:tc>
          <w:tcPr>
            <w:tcW w:w="983" w:type="pct"/>
            <w:tcBorders>
              <w:top w:val="nil"/>
              <w:left w:val="nil"/>
              <w:bottom w:val="single" w:sz="4" w:space="0" w:color="auto"/>
              <w:right w:val="single" w:sz="4" w:space="0" w:color="auto"/>
            </w:tcBorders>
            <w:noWrap/>
            <w:vAlign w:val="bottom"/>
            <w:hideMark/>
          </w:tcPr>
          <w:p w14:paraId="237A3AAD" w14:textId="626F1275" w:rsidR="00793BDE" w:rsidRPr="00591F7F" w:rsidRDefault="00793BDE" w:rsidP="00591F7F">
            <w:pPr>
              <w:jc w:val="right"/>
              <w:rPr>
                <w:rFonts w:ascii="Arial Narrow" w:hAnsi="Arial Narrow"/>
                <w:color w:val="000000"/>
                <w:sz w:val="20"/>
                <w:szCs w:val="20"/>
              </w:rPr>
            </w:pPr>
            <w:r w:rsidRPr="00591F7F">
              <w:rPr>
                <w:rFonts w:ascii="Arial Narrow" w:hAnsi="Arial Narrow"/>
                <w:color w:val="000000"/>
                <w:sz w:val="20"/>
                <w:szCs w:val="20"/>
              </w:rPr>
              <w:t>743</w:t>
            </w:r>
          </w:p>
        </w:tc>
        <w:tc>
          <w:tcPr>
            <w:tcW w:w="961" w:type="pct"/>
            <w:tcBorders>
              <w:top w:val="nil"/>
              <w:left w:val="nil"/>
              <w:bottom w:val="single" w:sz="4" w:space="0" w:color="auto"/>
              <w:right w:val="single" w:sz="4" w:space="0" w:color="auto"/>
            </w:tcBorders>
            <w:shd w:val="clear" w:color="auto" w:fill="auto"/>
            <w:noWrap/>
            <w:vAlign w:val="bottom"/>
            <w:hideMark/>
          </w:tcPr>
          <w:p w14:paraId="2329BE04" w14:textId="5448729F" w:rsidR="00793BDE" w:rsidRPr="00591F7F" w:rsidRDefault="00793BDE" w:rsidP="00591F7F">
            <w:pPr>
              <w:jc w:val="right"/>
              <w:rPr>
                <w:rFonts w:ascii="Arial Narrow" w:hAnsi="Arial Narrow"/>
                <w:color w:val="000000"/>
                <w:sz w:val="20"/>
                <w:szCs w:val="20"/>
              </w:rPr>
            </w:pPr>
            <w:r w:rsidRPr="00591F7F">
              <w:rPr>
                <w:rFonts w:ascii="Arial Narrow" w:hAnsi="Arial Narrow"/>
                <w:color w:val="000000"/>
                <w:sz w:val="20"/>
                <w:szCs w:val="20"/>
              </w:rPr>
              <w:t>n/a</w:t>
            </w:r>
          </w:p>
        </w:tc>
        <w:tc>
          <w:tcPr>
            <w:tcW w:w="1048" w:type="pct"/>
            <w:tcBorders>
              <w:top w:val="nil"/>
              <w:left w:val="nil"/>
              <w:bottom w:val="single" w:sz="4" w:space="0" w:color="auto"/>
              <w:right w:val="single" w:sz="4" w:space="0" w:color="auto"/>
            </w:tcBorders>
            <w:shd w:val="clear" w:color="auto" w:fill="auto"/>
            <w:noWrap/>
            <w:vAlign w:val="bottom"/>
            <w:hideMark/>
          </w:tcPr>
          <w:p w14:paraId="136B57A7" w14:textId="3CD3E503" w:rsidR="00793BDE" w:rsidRPr="00591F7F" w:rsidRDefault="00793BDE" w:rsidP="00591F7F">
            <w:pPr>
              <w:jc w:val="right"/>
              <w:rPr>
                <w:rFonts w:ascii="Arial Narrow" w:hAnsi="Arial Narrow"/>
                <w:color w:val="000000"/>
                <w:sz w:val="20"/>
                <w:szCs w:val="20"/>
              </w:rPr>
            </w:pPr>
            <w:r w:rsidRPr="00591F7F">
              <w:rPr>
                <w:rFonts w:ascii="Arial Narrow" w:hAnsi="Arial Narrow"/>
                <w:color w:val="000000"/>
                <w:sz w:val="20"/>
                <w:szCs w:val="20"/>
              </w:rPr>
              <w:t>n/a</w:t>
            </w:r>
          </w:p>
        </w:tc>
      </w:tr>
      <w:tr w:rsidR="00E16F42" w:rsidRPr="00591F7F" w14:paraId="21830B08" w14:textId="77777777" w:rsidTr="00E16F42">
        <w:trPr>
          <w:trHeight w:val="270"/>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7A386ED9" w14:textId="77777777" w:rsidR="00E16F42" w:rsidRPr="00591F7F" w:rsidRDefault="00E16F42" w:rsidP="00591F7F">
            <w:pPr>
              <w:rPr>
                <w:rFonts w:ascii="Arial Narrow" w:hAnsi="Arial Narrow"/>
                <w:color w:val="000000"/>
                <w:sz w:val="20"/>
                <w:szCs w:val="20"/>
              </w:rPr>
            </w:pPr>
            <w:r w:rsidRPr="00591F7F">
              <w:rPr>
                <w:rFonts w:ascii="Arial Narrow" w:hAnsi="Arial Narrow"/>
                <w:color w:val="000000"/>
                <w:sz w:val="20"/>
                <w:szCs w:val="20"/>
              </w:rPr>
              <w:t>Istog</w:t>
            </w:r>
          </w:p>
        </w:tc>
        <w:tc>
          <w:tcPr>
            <w:tcW w:w="1015" w:type="pct"/>
            <w:tcBorders>
              <w:top w:val="nil"/>
              <w:left w:val="nil"/>
              <w:bottom w:val="single" w:sz="4" w:space="0" w:color="auto"/>
              <w:right w:val="single" w:sz="4" w:space="0" w:color="auto"/>
            </w:tcBorders>
            <w:shd w:val="clear" w:color="auto" w:fill="auto"/>
            <w:noWrap/>
            <w:vAlign w:val="bottom"/>
            <w:hideMark/>
          </w:tcPr>
          <w:p w14:paraId="62018705" w14:textId="77777777" w:rsidR="00E16F42" w:rsidRPr="00591F7F" w:rsidRDefault="00E16F42" w:rsidP="00591F7F">
            <w:pPr>
              <w:jc w:val="right"/>
              <w:rPr>
                <w:rFonts w:ascii="Arial Narrow" w:hAnsi="Arial Narrow"/>
                <w:color w:val="000000"/>
                <w:sz w:val="20"/>
                <w:szCs w:val="20"/>
              </w:rPr>
            </w:pPr>
            <w:r w:rsidRPr="00591F7F">
              <w:rPr>
                <w:rFonts w:ascii="Arial Narrow" w:hAnsi="Arial Narrow"/>
                <w:color w:val="000000"/>
                <w:sz w:val="20"/>
                <w:szCs w:val="20"/>
              </w:rPr>
              <w:t>2</w:t>
            </w:r>
          </w:p>
        </w:tc>
        <w:tc>
          <w:tcPr>
            <w:tcW w:w="983" w:type="pct"/>
            <w:tcBorders>
              <w:top w:val="nil"/>
              <w:left w:val="nil"/>
              <w:bottom w:val="single" w:sz="4" w:space="0" w:color="auto"/>
              <w:right w:val="single" w:sz="4" w:space="0" w:color="auto"/>
            </w:tcBorders>
            <w:shd w:val="clear" w:color="auto" w:fill="auto"/>
            <w:noWrap/>
            <w:vAlign w:val="bottom"/>
            <w:hideMark/>
          </w:tcPr>
          <w:p w14:paraId="6FA5C552" w14:textId="77777777" w:rsidR="00E16F42" w:rsidRPr="00591F7F" w:rsidRDefault="00E16F42" w:rsidP="00591F7F">
            <w:pPr>
              <w:jc w:val="right"/>
              <w:rPr>
                <w:rFonts w:ascii="Arial Narrow" w:hAnsi="Arial Narrow"/>
                <w:color w:val="000000"/>
                <w:sz w:val="20"/>
                <w:szCs w:val="20"/>
              </w:rPr>
            </w:pPr>
            <w:r w:rsidRPr="00591F7F">
              <w:rPr>
                <w:rFonts w:ascii="Arial Narrow" w:hAnsi="Arial Narrow"/>
                <w:color w:val="000000"/>
                <w:sz w:val="20"/>
                <w:szCs w:val="20"/>
              </w:rPr>
              <w:t>30</w:t>
            </w:r>
          </w:p>
        </w:tc>
        <w:tc>
          <w:tcPr>
            <w:tcW w:w="961" w:type="pct"/>
            <w:tcBorders>
              <w:top w:val="nil"/>
              <w:left w:val="nil"/>
              <w:bottom w:val="single" w:sz="4" w:space="0" w:color="auto"/>
              <w:right w:val="single" w:sz="4" w:space="0" w:color="auto"/>
            </w:tcBorders>
            <w:shd w:val="clear" w:color="auto" w:fill="auto"/>
            <w:noWrap/>
            <w:vAlign w:val="bottom"/>
            <w:hideMark/>
          </w:tcPr>
          <w:p w14:paraId="458FDA51" w14:textId="77777777" w:rsidR="00E16F42" w:rsidRPr="00591F7F" w:rsidRDefault="00E16F42" w:rsidP="00591F7F">
            <w:pPr>
              <w:jc w:val="right"/>
              <w:rPr>
                <w:rFonts w:ascii="Arial Narrow" w:hAnsi="Arial Narrow"/>
                <w:color w:val="000000"/>
                <w:sz w:val="20"/>
                <w:szCs w:val="20"/>
              </w:rPr>
            </w:pPr>
            <w:r w:rsidRPr="00591F7F">
              <w:rPr>
                <w:rFonts w:ascii="Arial Narrow" w:hAnsi="Arial Narrow"/>
                <w:color w:val="000000"/>
                <w:sz w:val="20"/>
                <w:szCs w:val="20"/>
              </w:rPr>
              <w:t>5</w:t>
            </w:r>
          </w:p>
        </w:tc>
        <w:tc>
          <w:tcPr>
            <w:tcW w:w="1048" w:type="pct"/>
            <w:tcBorders>
              <w:top w:val="nil"/>
              <w:left w:val="nil"/>
              <w:bottom w:val="single" w:sz="4" w:space="0" w:color="auto"/>
              <w:right w:val="single" w:sz="4" w:space="0" w:color="auto"/>
            </w:tcBorders>
            <w:shd w:val="clear" w:color="auto" w:fill="auto"/>
            <w:noWrap/>
            <w:vAlign w:val="bottom"/>
            <w:hideMark/>
          </w:tcPr>
          <w:p w14:paraId="3AB73542" w14:textId="77777777" w:rsidR="00E16F42" w:rsidRPr="00591F7F" w:rsidRDefault="00E16F42" w:rsidP="00591F7F">
            <w:pPr>
              <w:jc w:val="right"/>
              <w:rPr>
                <w:rFonts w:ascii="Arial Narrow" w:hAnsi="Arial Narrow"/>
                <w:color w:val="000000"/>
                <w:sz w:val="20"/>
                <w:szCs w:val="20"/>
              </w:rPr>
            </w:pPr>
            <w:r w:rsidRPr="00591F7F">
              <w:rPr>
                <w:rFonts w:ascii="Arial Narrow" w:hAnsi="Arial Narrow"/>
                <w:color w:val="000000"/>
                <w:sz w:val="20"/>
                <w:szCs w:val="20"/>
              </w:rPr>
              <w:t>753</w:t>
            </w:r>
          </w:p>
        </w:tc>
      </w:tr>
      <w:tr w:rsidR="00F27B7D" w:rsidRPr="00591F7F" w14:paraId="2D7313D5" w14:textId="77777777" w:rsidTr="00E16F42">
        <w:trPr>
          <w:trHeight w:val="270"/>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3B4AF485" w14:textId="77777777" w:rsidR="00F27B7D" w:rsidRPr="00591F7F" w:rsidRDefault="00F27B7D" w:rsidP="00F27B7D">
            <w:pPr>
              <w:rPr>
                <w:rFonts w:ascii="Arial Narrow" w:hAnsi="Arial Narrow"/>
                <w:color w:val="FF0000"/>
                <w:sz w:val="20"/>
                <w:szCs w:val="20"/>
              </w:rPr>
            </w:pPr>
            <w:r w:rsidRPr="00F27B7D">
              <w:rPr>
                <w:rFonts w:ascii="Arial Narrow" w:hAnsi="Arial Narrow"/>
                <w:sz w:val="20"/>
                <w:szCs w:val="20"/>
              </w:rPr>
              <w:t>Klinë</w:t>
            </w:r>
          </w:p>
        </w:tc>
        <w:tc>
          <w:tcPr>
            <w:tcW w:w="1015" w:type="pct"/>
            <w:tcBorders>
              <w:top w:val="nil"/>
              <w:left w:val="nil"/>
              <w:bottom w:val="single" w:sz="4" w:space="0" w:color="auto"/>
              <w:right w:val="single" w:sz="4" w:space="0" w:color="auto"/>
            </w:tcBorders>
            <w:shd w:val="clear" w:color="auto" w:fill="auto"/>
            <w:noWrap/>
            <w:vAlign w:val="bottom"/>
            <w:hideMark/>
          </w:tcPr>
          <w:p w14:paraId="45935826" w14:textId="1860E35F" w:rsidR="00F27B7D" w:rsidRPr="00591F7F" w:rsidRDefault="00F27B7D" w:rsidP="00F27B7D">
            <w:pPr>
              <w:jc w:val="right"/>
              <w:rPr>
                <w:rFonts w:ascii="Arial Narrow" w:hAnsi="Arial Narrow"/>
                <w:color w:val="000000"/>
                <w:sz w:val="20"/>
                <w:szCs w:val="20"/>
              </w:rPr>
            </w:pPr>
            <w:r w:rsidRPr="00591F7F">
              <w:rPr>
                <w:rFonts w:ascii="Arial Narrow" w:hAnsi="Arial Narrow"/>
                <w:color w:val="000000"/>
                <w:sz w:val="20"/>
                <w:szCs w:val="20"/>
              </w:rPr>
              <w:t>n/a</w:t>
            </w:r>
          </w:p>
        </w:tc>
        <w:tc>
          <w:tcPr>
            <w:tcW w:w="983" w:type="pct"/>
            <w:tcBorders>
              <w:top w:val="nil"/>
              <w:left w:val="nil"/>
              <w:bottom w:val="single" w:sz="4" w:space="0" w:color="auto"/>
              <w:right w:val="single" w:sz="4" w:space="0" w:color="auto"/>
            </w:tcBorders>
            <w:shd w:val="clear" w:color="auto" w:fill="auto"/>
            <w:noWrap/>
            <w:vAlign w:val="bottom"/>
            <w:hideMark/>
          </w:tcPr>
          <w:p w14:paraId="40A98EBC" w14:textId="7C7AD3CF" w:rsidR="00F27B7D" w:rsidRPr="00591F7F" w:rsidRDefault="00F27B7D" w:rsidP="00F27B7D">
            <w:pPr>
              <w:jc w:val="right"/>
              <w:rPr>
                <w:rFonts w:ascii="Arial Narrow" w:hAnsi="Arial Narrow"/>
                <w:color w:val="000000"/>
                <w:sz w:val="20"/>
                <w:szCs w:val="20"/>
              </w:rPr>
            </w:pPr>
            <w:r w:rsidRPr="00591F7F">
              <w:rPr>
                <w:rFonts w:ascii="Arial Narrow" w:hAnsi="Arial Narrow"/>
                <w:color w:val="000000"/>
                <w:sz w:val="20"/>
                <w:szCs w:val="20"/>
              </w:rPr>
              <w:t>n/a</w:t>
            </w:r>
          </w:p>
        </w:tc>
        <w:tc>
          <w:tcPr>
            <w:tcW w:w="961" w:type="pct"/>
            <w:tcBorders>
              <w:top w:val="nil"/>
              <w:left w:val="nil"/>
              <w:bottom w:val="single" w:sz="4" w:space="0" w:color="auto"/>
              <w:right w:val="single" w:sz="4" w:space="0" w:color="auto"/>
            </w:tcBorders>
            <w:shd w:val="clear" w:color="auto" w:fill="auto"/>
            <w:noWrap/>
            <w:vAlign w:val="bottom"/>
            <w:hideMark/>
          </w:tcPr>
          <w:p w14:paraId="43D58F79" w14:textId="57EF75AE" w:rsidR="00F27B7D" w:rsidRPr="00591F7F" w:rsidRDefault="00F27B7D" w:rsidP="00F27B7D">
            <w:pPr>
              <w:jc w:val="right"/>
              <w:rPr>
                <w:rFonts w:ascii="Arial Narrow" w:hAnsi="Arial Narrow"/>
                <w:color w:val="000000"/>
                <w:sz w:val="20"/>
                <w:szCs w:val="20"/>
              </w:rPr>
            </w:pPr>
            <w:r w:rsidRPr="00591F7F">
              <w:rPr>
                <w:rFonts w:ascii="Arial Narrow" w:hAnsi="Arial Narrow"/>
                <w:color w:val="000000"/>
                <w:sz w:val="20"/>
                <w:szCs w:val="20"/>
              </w:rPr>
              <w:t>n/a</w:t>
            </w:r>
          </w:p>
        </w:tc>
        <w:tc>
          <w:tcPr>
            <w:tcW w:w="1048" w:type="pct"/>
            <w:tcBorders>
              <w:top w:val="nil"/>
              <w:left w:val="nil"/>
              <w:bottom w:val="single" w:sz="4" w:space="0" w:color="auto"/>
              <w:right w:val="single" w:sz="4" w:space="0" w:color="auto"/>
            </w:tcBorders>
            <w:shd w:val="clear" w:color="auto" w:fill="auto"/>
            <w:noWrap/>
            <w:vAlign w:val="bottom"/>
            <w:hideMark/>
          </w:tcPr>
          <w:p w14:paraId="72EDF23D" w14:textId="6287AF12" w:rsidR="00F27B7D" w:rsidRPr="00591F7F" w:rsidRDefault="00F27B7D" w:rsidP="00F27B7D">
            <w:pPr>
              <w:jc w:val="right"/>
              <w:rPr>
                <w:rFonts w:ascii="Arial Narrow" w:hAnsi="Arial Narrow"/>
                <w:color w:val="000000"/>
                <w:sz w:val="20"/>
                <w:szCs w:val="20"/>
              </w:rPr>
            </w:pPr>
            <w:r w:rsidRPr="00591F7F">
              <w:rPr>
                <w:rFonts w:ascii="Arial Narrow" w:hAnsi="Arial Narrow"/>
                <w:color w:val="000000"/>
                <w:sz w:val="20"/>
                <w:szCs w:val="20"/>
              </w:rPr>
              <w:t>n/a</w:t>
            </w:r>
          </w:p>
        </w:tc>
      </w:tr>
      <w:tr w:rsidR="00E16F42" w:rsidRPr="00591F7F" w14:paraId="313D347F" w14:textId="77777777" w:rsidTr="00E16F42">
        <w:trPr>
          <w:trHeight w:val="270"/>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32CCAE04" w14:textId="77777777" w:rsidR="00E16F42" w:rsidRPr="00591F7F" w:rsidRDefault="00E16F42" w:rsidP="00591F7F">
            <w:pPr>
              <w:rPr>
                <w:rFonts w:ascii="Arial Narrow" w:hAnsi="Arial Narrow"/>
                <w:color w:val="000000"/>
                <w:sz w:val="20"/>
                <w:szCs w:val="20"/>
              </w:rPr>
            </w:pPr>
            <w:r w:rsidRPr="00591F7F">
              <w:rPr>
                <w:rFonts w:ascii="Arial Narrow" w:hAnsi="Arial Narrow"/>
                <w:color w:val="000000"/>
                <w:sz w:val="20"/>
                <w:szCs w:val="20"/>
              </w:rPr>
              <w:t>Deçan</w:t>
            </w:r>
          </w:p>
        </w:tc>
        <w:tc>
          <w:tcPr>
            <w:tcW w:w="1015" w:type="pct"/>
            <w:tcBorders>
              <w:top w:val="nil"/>
              <w:left w:val="nil"/>
              <w:bottom w:val="single" w:sz="4" w:space="0" w:color="auto"/>
              <w:right w:val="single" w:sz="4" w:space="0" w:color="auto"/>
            </w:tcBorders>
            <w:shd w:val="clear" w:color="auto" w:fill="auto"/>
            <w:noWrap/>
            <w:vAlign w:val="bottom"/>
            <w:hideMark/>
          </w:tcPr>
          <w:p w14:paraId="713CAEE9" w14:textId="77777777" w:rsidR="00E16F42" w:rsidRPr="00591F7F" w:rsidRDefault="00E16F42" w:rsidP="00591F7F">
            <w:pPr>
              <w:jc w:val="right"/>
              <w:rPr>
                <w:rFonts w:ascii="Arial Narrow" w:hAnsi="Arial Narrow"/>
                <w:color w:val="000000"/>
                <w:sz w:val="20"/>
                <w:szCs w:val="20"/>
              </w:rPr>
            </w:pPr>
            <w:r w:rsidRPr="00591F7F">
              <w:rPr>
                <w:rFonts w:ascii="Arial Narrow" w:hAnsi="Arial Narrow"/>
                <w:color w:val="000000"/>
                <w:sz w:val="20"/>
                <w:szCs w:val="20"/>
              </w:rPr>
              <w:t>597</w:t>
            </w:r>
          </w:p>
        </w:tc>
        <w:tc>
          <w:tcPr>
            <w:tcW w:w="983" w:type="pct"/>
            <w:tcBorders>
              <w:top w:val="nil"/>
              <w:left w:val="nil"/>
              <w:bottom w:val="single" w:sz="4" w:space="0" w:color="auto"/>
              <w:right w:val="single" w:sz="4" w:space="0" w:color="auto"/>
            </w:tcBorders>
            <w:shd w:val="clear" w:color="auto" w:fill="auto"/>
            <w:noWrap/>
            <w:vAlign w:val="bottom"/>
            <w:hideMark/>
          </w:tcPr>
          <w:p w14:paraId="400F0A38" w14:textId="77777777" w:rsidR="00E16F42" w:rsidRPr="00591F7F" w:rsidRDefault="00E16F42" w:rsidP="00591F7F">
            <w:pPr>
              <w:jc w:val="right"/>
              <w:rPr>
                <w:rFonts w:ascii="Arial Narrow" w:hAnsi="Arial Narrow"/>
                <w:color w:val="000000"/>
                <w:sz w:val="20"/>
                <w:szCs w:val="20"/>
              </w:rPr>
            </w:pPr>
            <w:r w:rsidRPr="00591F7F">
              <w:rPr>
                <w:rFonts w:ascii="Arial Narrow" w:hAnsi="Arial Narrow"/>
                <w:color w:val="000000"/>
                <w:sz w:val="20"/>
                <w:szCs w:val="20"/>
              </w:rPr>
              <w:t>19</w:t>
            </w:r>
          </w:p>
        </w:tc>
        <w:tc>
          <w:tcPr>
            <w:tcW w:w="961" w:type="pct"/>
            <w:tcBorders>
              <w:top w:val="nil"/>
              <w:left w:val="nil"/>
              <w:bottom w:val="single" w:sz="4" w:space="0" w:color="auto"/>
              <w:right w:val="single" w:sz="4" w:space="0" w:color="auto"/>
            </w:tcBorders>
            <w:shd w:val="clear" w:color="auto" w:fill="auto"/>
            <w:noWrap/>
            <w:vAlign w:val="bottom"/>
            <w:hideMark/>
          </w:tcPr>
          <w:p w14:paraId="1C07DDA3" w14:textId="77777777" w:rsidR="00E16F42" w:rsidRPr="00591F7F" w:rsidRDefault="00E16F42" w:rsidP="00591F7F">
            <w:pPr>
              <w:jc w:val="right"/>
              <w:rPr>
                <w:rFonts w:ascii="Arial Narrow" w:hAnsi="Arial Narrow"/>
                <w:color w:val="000000"/>
                <w:sz w:val="20"/>
                <w:szCs w:val="20"/>
              </w:rPr>
            </w:pPr>
            <w:r w:rsidRPr="00591F7F">
              <w:rPr>
                <w:rFonts w:ascii="Arial Narrow" w:hAnsi="Arial Narrow"/>
                <w:color w:val="000000"/>
                <w:sz w:val="20"/>
                <w:szCs w:val="20"/>
              </w:rPr>
              <w:t>3</w:t>
            </w:r>
          </w:p>
        </w:tc>
        <w:tc>
          <w:tcPr>
            <w:tcW w:w="1048" w:type="pct"/>
            <w:tcBorders>
              <w:top w:val="nil"/>
              <w:left w:val="nil"/>
              <w:bottom w:val="single" w:sz="4" w:space="0" w:color="auto"/>
              <w:right w:val="single" w:sz="4" w:space="0" w:color="auto"/>
            </w:tcBorders>
            <w:shd w:val="clear" w:color="auto" w:fill="auto"/>
            <w:noWrap/>
            <w:vAlign w:val="bottom"/>
            <w:hideMark/>
          </w:tcPr>
          <w:p w14:paraId="74CE8124" w14:textId="367F3859" w:rsidR="00E16F42" w:rsidRPr="00591F7F" w:rsidRDefault="00AE33E0" w:rsidP="00591F7F">
            <w:pPr>
              <w:jc w:val="right"/>
              <w:rPr>
                <w:rFonts w:ascii="Arial Narrow" w:hAnsi="Arial Narrow"/>
                <w:color w:val="000000"/>
                <w:sz w:val="20"/>
                <w:szCs w:val="20"/>
              </w:rPr>
            </w:pPr>
            <w:r w:rsidRPr="00591F7F">
              <w:rPr>
                <w:rFonts w:ascii="Arial Narrow" w:hAnsi="Arial Narrow"/>
                <w:color w:val="000000"/>
                <w:sz w:val="20"/>
                <w:szCs w:val="20"/>
              </w:rPr>
              <w:t>-</w:t>
            </w:r>
          </w:p>
        </w:tc>
      </w:tr>
      <w:tr w:rsidR="00E16F42" w:rsidRPr="00591F7F" w14:paraId="618D27C3" w14:textId="77777777" w:rsidTr="00E16F42">
        <w:trPr>
          <w:trHeight w:val="270"/>
        </w:trPr>
        <w:tc>
          <w:tcPr>
            <w:tcW w:w="993" w:type="pct"/>
            <w:tcBorders>
              <w:top w:val="nil"/>
              <w:left w:val="single" w:sz="4" w:space="0" w:color="auto"/>
              <w:bottom w:val="single" w:sz="4" w:space="0" w:color="auto"/>
              <w:right w:val="single" w:sz="4" w:space="0" w:color="auto"/>
            </w:tcBorders>
            <w:shd w:val="clear" w:color="auto" w:fill="auto"/>
            <w:noWrap/>
            <w:vAlign w:val="bottom"/>
            <w:hideMark/>
          </w:tcPr>
          <w:p w14:paraId="1413ADB4" w14:textId="77777777" w:rsidR="00E16F42" w:rsidRPr="00591F7F" w:rsidRDefault="00E16F42" w:rsidP="00591F7F">
            <w:pPr>
              <w:rPr>
                <w:rFonts w:ascii="Arial Narrow" w:hAnsi="Arial Narrow"/>
                <w:color w:val="000000"/>
                <w:sz w:val="20"/>
                <w:szCs w:val="20"/>
              </w:rPr>
            </w:pPr>
            <w:r w:rsidRPr="00591F7F">
              <w:rPr>
                <w:rFonts w:ascii="Arial Narrow" w:hAnsi="Arial Narrow"/>
                <w:color w:val="000000"/>
                <w:sz w:val="20"/>
                <w:szCs w:val="20"/>
              </w:rPr>
              <w:t>Junik</w:t>
            </w:r>
          </w:p>
        </w:tc>
        <w:tc>
          <w:tcPr>
            <w:tcW w:w="1015" w:type="pct"/>
            <w:tcBorders>
              <w:top w:val="nil"/>
              <w:left w:val="nil"/>
              <w:bottom w:val="single" w:sz="4" w:space="0" w:color="auto"/>
              <w:right w:val="single" w:sz="4" w:space="0" w:color="auto"/>
            </w:tcBorders>
            <w:shd w:val="clear" w:color="auto" w:fill="auto"/>
            <w:noWrap/>
            <w:vAlign w:val="bottom"/>
            <w:hideMark/>
          </w:tcPr>
          <w:p w14:paraId="51FB8365" w14:textId="361DF650" w:rsidR="00E16F42" w:rsidRPr="00591F7F" w:rsidRDefault="00E16F42" w:rsidP="00591F7F">
            <w:pPr>
              <w:jc w:val="right"/>
              <w:rPr>
                <w:rFonts w:ascii="Arial Narrow" w:hAnsi="Arial Narrow"/>
                <w:color w:val="000000"/>
                <w:sz w:val="20"/>
                <w:szCs w:val="20"/>
              </w:rPr>
            </w:pPr>
            <w:r w:rsidRPr="00591F7F">
              <w:rPr>
                <w:rFonts w:ascii="Arial Narrow" w:hAnsi="Arial Narrow"/>
                <w:color w:val="000000"/>
                <w:sz w:val="20"/>
                <w:szCs w:val="20"/>
              </w:rPr>
              <w:t>-</w:t>
            </w:r>
          </w:p>
        </w:tc>
        <w:tc>
          <w:tcPr>
            <w:tcW w:w="983" w:type="pct"/>
            <w:tcBorders>
              <w:top w:val="nil"/>
              <w:left w:val="nil"/>
              <w:bottom w:val="single" w:sz="4" w:space="0" w:color="auto"/>
              <w:right w:val="single" w:sz="4" w:space="0" w:color="auto"/>
            </w:tcBorders>
            <w:shd w:val="clear" w:color="auto" w:fill="auto"/>
            <w:noWrap/>
            <w:vAlign w:val="bottom"/>
            <w:hideMark/>
          </w:tcPr>
          <w:p w14:paraId="38EC8B97" w14:textId="77777777" w:rsidR="00E16F42" w:rsidRPr="00591F7F" w:rsidRDefault="00E16F42" w:rsidP="00591F7F">
            <w:pPr>
              <w:jc w:val="right"/>
              <w:rPr>
                <w:rFonts w:ascii="Arial Narrow" w:hAnsi="Arial Narrow"/>
                <w:color w:val="000000"/>
                <w:sz w:val="20"/>
                <w:szCs w:val="20"/>
              </w:rPr>
            </w:pPr>
            <w:r w:rsidRPr="00591F7F">
              <w:rPr>
                <w:rFonts w:ascii="Arial Narrow" w:hAnsi="Arial Narrow"/>
                <w:color w:val="000000"/>
                <w:sz w:val="20"/>
                <w:szCs w:val="20"/>
              </w:rPr>
              <w:t>7</w:t>
            </w:r>
          </w:p>
        </w:tc>
        <w:tc>
          <w:tcPr>
            <w:tcW w:w="961" w:type="pct"/>
            <w:tcBorders>
              <w:top w:val="nil"/>
              <w:left w:val="nil"/>
              <w:bottom w:val="single" w:sz="4" w:space="0" w:color="auto"/>
              <w:right w:val="single" w:sz="4" w:space="0" w:color="auto"/>
            </w:tcBorders>
            <w:shd w:val="clear" w:color="auto" w:fill="auto"/>
            <w:noWrap/>
            <w:vAlign w:val="bottom"/>
            <w:hideMark/>
          </w:tcPr>
          <w:p w14:paraId="65B3E7C9" w14:textId="77777777" w:rsidR="00E16F42" w:rsidRPr="00591F7F" w:rsidRDefault="00E16F42" w:rsidP="00591F7F">
            <w:pPr>
              <w:jc w:val="right"/>
              <w:rPr>
                <w:rFonts w:ascii="Arial Narrow" w:hAnsi="Arial Narrow"/>
                <w:color w:val="000000"/>
                <w:sz w:val="20"/>
                <w:szCs w:val="20"/>
              </w:rPr>
            </w:pPr>
            <w:r w:rsidRPr="00591F7F">
              <w:rPr>
                <w:rFonts w:ascii="Arial Narrow" w:hAnsi="Arial Narrow"/>
                <w:color w:val="000000"/>
                <w:sz w:val="20"/>
                <w:szCs w:val="20"/>
              </w:rPr>
              <w:t>1</w:t>
            </w:r>
          </w:p>
        </w:tc>
        <w:tc>
          <w:tcPr>
            <w:tcW w:w="1048" w:type="pct"/>
            <w:tcBorders>
              <w:top w:val="nil"/>
              <w:left w:val="nil"/>
              <w:bottom w:val="single" w:sz="4" w:space="0" w:color="auto"/>
              <w:right w:val="single" w:sz="4" w:space="0" w:color="auto"/>
            </w:tcBorders>
            <w:shd w:val="clear" w:color="auto" w:fill="auto"/>
            <w:noWrap/>
            <w:vAlign w:val="bottom"/>
            <w:hideMark/>
          </w:tcPr>
          <w:p w14:paraId="41CFF23F" w14:textId="77777777" w:rsidR="00E16F42" w:rsidRPr="00591F7F" w:rsidRDefault="00E16F42" w:rsidP="00591F7F">
            <w:pPr>
              <w:jc w:val="right"/>
              <w:rPr>
                <w:rFonts w:ascii="Arial Narrow" w:hAnsi="Arial Narrow"/>
                <w:color w:val="000000"/>
                <w:sz w:val="20"/>
                <w:szCs w:val="20"/>
              </w:rPr>
            </w:pPr>
            <w:r w:rsidRPr="00591F7F">
              <w:rPr>
                <w:rFonts w:ascii="Arial Narrow" w:hAnsi="Arial Narrow"/>
                <w:color w:val="000000"/>
                <w:sz w:val="20"/>
                <w:szCs w:val="20"/>
              </w:rPr>
              <w:t>112</w:t>
            </w:r>
          </w:p>
        </w:tc>
      </w:tr>
    </w:tbl>
    <w:bookmarkEnd w:id="173"/>
    <w:p w14:paraId="783AEC2E" w14:textId="1A6BA325" w:rsidR="00E16F42" w:rsidRPr="00E16F42" w:rsidRDefault="00E16F42" w:rsidP="00733C5C">
      <w:pPr>
        <w:pStyle w:val="Source"/>
      </w:pPr>
      <w:r w:rsidRPr="00E16F42">
        <w:t xml:space="preserve">Burimi: të dhëna </w:t>
      </w:r>
      <w:r w:rsidR="00A336F5">
        <w:t>komunale</w:t>
      </w:r>
      <w:r w:rsidRPr="00E16F42">
        <w:t>, 2024</w:t>
      </w:r>
    </w:p>
    <w:p w14:paraId="7D3FEDC5" w14:textId="77777777" w:rsidR="00E16F42" w:rsidRDefault="00E16F42" w:rsidP="007D052B">
      <w:pPr>
        <w:rPr>
          <w:rFonts w:eastAsia="Calibri" w:cs="Calibri"/>
          <w:sz w:val="22"/>
          <w:szCs w:val="22"/>
        </w:rPr>
      </w:pPr>
    </w:p>
    <w:p w14:paraId="77E85B76" w14:textId="77777777" w:rsidR="00A336F5" w:rsidRPr="001E633C" w:rsidRDefault="00A336F5" w:rsidP="00A336F5">
      <w:pPr>
        <w:pStyle w:val="Paragraph"/>
        <w:rPr>
          <w:rFonts w:eastAsia="Calibri"/>
          <w:lang w:val="sq-AL"/>
        </w:rPr>
      </w:pPr>
      <w:r w:rsidRPr="001E633C">
        <w:rPr>
          <w:rFonts w:eastAsia="Calibri"/>
          <w:lang w:val="sq-AL"/>
        </w:rPr>
        <w:t xml:space="preserve">Numri i institucioneve për secilën komunë është renditur në </w:t>
      </w:r>
      <w:r>
        <w:rPr>
          <w:rFonts w:eastAsia="Calibri"/>
          <w:lang w:val="sq-AL"/>
        </w:rPr>
        <w:t>t</w:t>
      </w:r>
      <w:r w:rsidRPr="001E633C">
        <w:rPr>
          <w:rFonts w:eastAsia="Calibri"/>
          <w:lang w:val="sq-AL"/>
        </w:rPr>
        <w:t>abel</w:t>
      </w:r>
      <w:r>
        <w:rPr>
          <w:rFonts w:eastAsia="Calibri"/>
          <w:lang w:val="sq-AL"/>
        </w:rPr>
        <w:t>ën</w:t>
      </w:r>
      <w:r w:rsidRPr="001E633C">
        <w:rPr>
          <w:rFonts w:eastAsia="Calibri"/>
          <w:lang w:val="sq-AL"/>
        </w:rPr>
        <w:t xml:space="preserve"> më poshtë. Institucionet kryesore në rajon janë objektet e kujdesit shëndetësor dhe shkollat/institucionet arsimore.</w:t>
      </w:r>
    </w:p>
    <w:p w14:paraId="2809B66E" w14:textId="77777777" w:rsidR="00A336F5" w:rsidRPr="008D2D8C" w:rsidRDefault="00A336F5" w:rsidP="00A336F5">
      <w:pPr>
        <w:pStyle w:val="Paragraph"/>
        <w:rPr>
          <w:rFonts w:eastAsia="Calibri"/>
          <w:lang w:val="sq-AL"/>
        </w:rPr>
      </w:pPr>
      <w:r w:rsidRPr="001E633C">
        <w:rPr>
          <w:rFonts w:eastAsia="Calibri"/>
          <w:lang w:val="sq-AL"/>
        </w:rPr>
        <w:t>Institucionet kryesore në secilën komunë janë renditur në Tabel</w:t>
      </w:r>
      <w:r>
        <w:rPr>
          <w:rFonts w:eastAsia="Calibri"/>
          <w:lang w:val="sq-AL"/>
        </w:rPr>
        <w:t>ën</w:t>
      </w:r>
      <w:r w:rsidRPr="001E633C">
        <w:rPr>
          <w:rFonts w:eastAsia="Calibri"/>
          <w:lang w:val="sq-AL"/>
        </w:rPr>
        <w:t xml:space="preserve"> më poshtë.</w:t>
      </w:r>
    </w:p>
    <w:p w14:paraId="652B2F5F" w14:textId="29F1C43D" w:rsidR="007D052B" w:rsidRPr="007F50ED" w:rsidRDefault="007D052B" w:rsidP="007F50ED">
      <w:pPr>
        <w:suppressAutoHyphens/>
        <w:rPr>
          <w:rFonts w:ascii="Arial Narrow" w:eastAsia="Calibri" w:hAnsi="Arial Narrow" w:cs="Calibri"/>
          <w:color w:val="1F497D"/>
          <w:sz w:val="20"/>
          <w:szCs w:val="20"/>
        </w:rPr>
      </w:pPr>
      <w:bookmarkStart w:id="174" w:name="_Toc197472207"/>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22.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 xml:space="preserve">Numri dhe lloji i institucioneve kryesore në rajon </w:t>
      </w:r>
      <w:r w:rsidR="00E16F42" w:rsidRPr="007F50ED">
        <w:rPr>
          <w:rFonts w:ascii="Arial Narrow" w:eastAsia="Calibri" w:hAnsi="Arial Narrow" w:cs="Calibri"/>
          <w:color w:val="1F497D"/>
          <w:sz w:val="20"/>
          <w:szCs w:val="20"/>
        </w:rPr>
        <w:t xml:space="preserve">, </w:t>
      </w:r>
      <w:r w:rsidRPr="007F50ED">
        <w:rPr>
          <w:rFonts w:ascii="Arial Narrow" w:eastAsia="Calibri" w:hAnsi="Arial Narrow" w:cs="Calibri"/>
          <w:color w:val="1F497D"/>
          <w:sz w:val="20"/>
          <w:szCs w:val="20"/>
        </w:rPr>
        <w:t>2024</w:t>
      </w:r>
      <w:bookmarkEnd w:id="174"/>
    </w:p>
    <w:tbl>
      <w:tblPr>
        <w:tblW w:w="4988" w:type="pct"/>
        <w:tblLayout w:type="fixed"/>
        <w:tblLook w:val="04A0" w:firstRow="1" w:lastRow="0" w:firstColumn="1" w:lastColumn="0" w:noHBand="0" w:noVBand="1"/>
      </w:tblPr>
      <w:tblGrid>
        <w:gridCol w:w="1255"/>
        <w:gridCol w:w="1576"/>
        <w:gridCol w:w="2389"/>
        <w:gridCol w:w="1261"/>
        <w:gridCol w:w="2513"/>
      </w:tblGrid>
      <w:tr w:rsidR="00911BE0" w:rsidRPr="00911BE0" w14:paraId="76E85A3C" w14:textId="77777777" w:rsidTr="00A336F5">
        <w:trPr>
          <w:trHeight w:val="270"/>
          <w:tblHeader/>
        </w:trPr>
        <w:tc>
          <w:tcPr>
            <w:tcW w:w="698" w:type="pct"/>
            <w:tcBorders>
              <w:top w:val="single" w:sz="4" w:space="0" w:color="auto"/>
              <w:left w:val="single" w:sz="4" w:space="0" w:color="auto"/>
              <w:bottom w:val="single" w:sz="4" w:space="0" w:color="auto"/>
              <w:right w:val="single" w:sz="4" w:space="0" w:color="auto"/>
            </w:tcBorders>
            <w:shd w:val="clear" w:color="auto" w:fill="365F91"/>
            <w:noWrap/>
            <w:hideMark/>
          </w:tcPr>
          <w:p w14:paraId="41B05274" w14:textId="1540119C" w:rsidR="007D052B" w:rsidRPr="00911BE0" w:rsidRDefault="00A336F5" w:rsidP="00591F7F">
            <w:pPr>
              <w:rPr>
                <w:rFonts w:ascii="Arial Narrow" w:hAnsi="Arial Narrow"/>
                <w:b/>
                <w:bCs/>
                <w:color w:val="FFFFFF" w:themeColor="background1"/>
                <w:sz w:val="20"/>
                <w:szCs w:val="20"/>
              </w:rPr>
            </w:pPr>
            <w:bookmarkStart w:id="175" w:name="_Hlk174977534"/>
            <w:r>
              <w:rPr>
                <w:rFonts w:ascii="Arial Narrow" w:hAnsi="Arial Narrow"/>
                <w:b/>
                <w:bCs/>
                <w:color w:val="FFFFFF" w:themeColor="background1"/>
                <w:sz w:val="20"/>
                <w:szCs w:val="20"/>
              </w:rPr>
              <w:t>Komuna</w:t>
            </w:r>
          </w:p>
        </w:tc>
        <w:tc>
          <w:tcPr>
            <w:tcW w:w="876" w:type="pct"/>
            <w:tcBorders>
              <w:top w:val="single" w:sz="4" w:space="0" w:color="auto"/>
              <w:left w:val="nil"/>
              <w:bottom w:val="single" w:sz="4" w:space="0" w:color="auto"/>
              <w:right w:val="single" w:sz="4" w:space="0" w:color="auto"/>
            </w:tcBorders>
            <w:shd w:val="clear" w:color="auto" w:fill="365F91"/>
            <w:noWrap/>
            <w:hideMark/>
          </w:tcPr>
          <w:p w14:paraId="2458047C" w14:textId="77777777" w:rsidR="007D052B" w:rsidRPr="00911BE0" w:rsidRDefault="007D052B" w:rsidP="00591F7F">
            <w:pPr>
              <w:jc w:val="center"/>
              <w:rPr>
                <w:rFonts w:ascii="Arial Narrow" w:hAnsi="Arial Narrow"/>
                <w:b/>
                <w:bCs/>
                <w:color w:val="FFFFFF" w:themeColor="background1"/>
                <w:sz w:val="20"/>
                <w:szCs w:val="20"/>
              </w:rPr>
            </w:pPr>
            <w:r w:rsidRPr="00911BE0">
              <w:rPr>
                <w:rFonts w:ascii="Arial Narrow" w:hAnsi="Arial Narrow"/>
                <w:b/>
                <w:bCs/>
                <w:color w:val="FFFFFF" w:themeColor="background1"/>
                <w:sz w:val="20"/>
                <w:szCs w:val="20"/>
              </w:rPr>
              <w:t>Kujdes Shëndetësor</w:t>
            </w:r>
          </w:p>
        </w:tc>
        <w:tc>
          <w:tcPr>
            <w:tcW w:w="1328" w:type="pct"/>
            <w:tcBorders>
              <w:top w:val="single" w:sz="4" w:space="0" w:color="auto"/>
              <w:left w:val="nil"/>
              <w:bottom w:val="single" w:sz="4" w:space="0" w:color="auto"/>
              <w:right w:val="single" w:sz="4" w:space="0" w:color="auto"/>
            </w:tcBorders>
            <w:shd w:val="clear" w:color="auto" w:fill="365F91"/>
            <w:noWrap/>
            <w:hideMark/>
          </w:tcPr>
          <w:p w14:paraId="5FB0C271" w14:textId="55F044E5" w:rsidR="007D052B" w:rsidRPr="00911BE0" w:rsidRDefault="007D052B" w:rsidP="00591F7F">
            <w:pPr>
              <w:jc w:val="center"/>
              <w:rPr>
                <w:rFonts w:ascii="Arial Narrow" w:hAnsi="Arial Narrow"/>
                <w:b/>
                <w:bCs/>
                <w:color w:val="FFFFFF" w:themeColor="background1"/>
                <w:sz w:val="20"/>
                <w:szCs w:val="20"/>
              </w:rPr>
            </w:pPr>
            <w:r w:rsidRPr="00911BE0">
              <w:rPr>
                <w:rFonts w:ascii="Arial Narrow" w:hAnsi="Arial Narrow"/>
                <w:b/>
                <w:bCs/>
                <w:color w:val="FFFFFF" w:themeColor="background1"/>
                <w:sz w:val="20"/>
                <w:szCs w:val="20"/>
              </w:rPr>
              <w:t>Shkolla</w:t>
            </w:r>
          </w:p>
        </w:tc>
        <w:tc>
          <w:tcPr>
            <w:tcW w:w="701" w:type="pct"/>
            <w:tcBorders>
              <w:top w:val="single" w:sz="4" w:space="0" w:color="auto"/>
              <w:left w:val="nil"/>
              <w:bottom w:val="single" w:sz="4" w:space="0" w:color="auto"/>
              <w:right w:val="single" w:sz="4" w:space="0" w:color="auto"/>
            </w:tcBorders>
            <w:shd w:val="clear" w:color="auto" w:fill="365F91"/>
            <w:noWrap/>
            <w:hideMark/>
          </w:tcPr>
          <w:p w14:paraId="1B204823" w14:textId="6370DD0C" w:rsidR="007D052B" w:rsidRPr="00911BE0" w:rsidRDefault="007D052B" w:rsidP="00591F7F">
            <w:pPr>
              <w:jc w:val="center"/>
              <w:rPr>
                <w:rFonts w:ascii="Arial Narrow" w:hAnsi="Arial Narrow"/>
                <w:b/>
                <w:bCs/>
                <w:color w:val="FFFFFF" w:themeColor="background1"/>
                <w:sz w:val="20"/>
                <w:szCs w:val="20"/>
              </w:rPr>
            </w:pPr>
            <w:r w:rsidRPr="00911BE0">
              <w:rPr>
                <w:rFonts w:ascii="Arial Narrow" w:hAnsi="Arial Narrow"/>
                <w:b/>
                <w:bCs/>
                <w:color w:val="FFFFFF" w:themeColor="background1"/>
                <w:sz w:val="20"/>
                <w:szCs w:val="20"/>
              </w:rPr>
              <w:t>Institucion</w:t>
            </w:r>
            <w:r w:rsidR="00A336F5">
              <w:rPr>
                <w:rFonts w:ascii="Arial Narrow" w:hAnsi="Arial Narrow"/>
                <w:b/>
                <w:bCs/>
                <w:color w:val="FFFFFF" w:themeColor="background1"/>
                <w:sz w:val="20"/>
                <w:szCs w:val="20"/>
              </w:rPr>
              <w:t xml:space="preserve">e </w:t>
            </w:r>
            <w:r w:rsidRPr="00911BE0">
              <w:rPr>
                <w:rFonts w:ascii="Arial Narrow" w:hAnsi="Arial Narrow"/>
                <w:b/>
                <w:bCs/>
                <w:color w:val="FFFFFF" w:themeColor="background1"/>
                <w:sz w:val="20"/>
                <w:szCs w:val="20"/>
              </w:rPr>
              <w:t>kulturore</w:t>
            </w:r>
          </w:p>
        </w:tc>
        <w:tc>
          <w:tcPr>
            <w:tcW w:w="1398" w:type="pct"/>
            <w:tcBorders>
              <w:top w:val="single" w:sz="4" w:space="0" w:color="auto"/>
              <w:left w:val="nil"/>
              <w:bottom w:val="single" w:sz="4" w:space="0" w:color="auto"/>
              <w:right w:val="single" w:sz="4" w:space="0" w:color="auto"/>
            </w:tcBorders>
            <w:shd w:val="clear" w:color="auto" w:fill="365F91"/>
            <w:noWrap/>
            <w:hideMark/>
          </w:tcPr>
          <w:p w14:paraId="407C2D73" w14:textId="77777777" w:rsidR="007D052B" w:rsidRPr="00911BE0" w:rsidRDefault="007D052B" w:rsidP="00591F7F">
            <w:pPr>
              <w:jc w:val="center"/>
              <w:rPr>
                <w:rFonts w:ascii="Arial Narrow" w:hAnsi="Arial Narrow"/>
                <w:b/>
                <w:bCs/>
                <w:color w:val="FFFFFF" w:themeColor="background1"/>
                <w:sz w:val="20"/>
                <w:szCs w:val="20"/>
              </w:rPr>
            </w:pPr>
            <w:r w:rsidRPr="00911BE0">
              <w:rPr>
                <w:rFonts w:ascii="Arial Narrow" w:hAnsi="Arial Narrow"/>
                <w:b/>
                <w:bCs/>
                <w:color w:val="FFFFFF" w:themeColor="background1"/>
                <w:sz w:val="20"/>
                <w:szCs w:val="20"/>
              </w:rPr>
              <w:t>Të tjera</w:t>
            </w:r>
          </w:p>
        </w:tc>
      </w:tr>
      <w:tr w:rsidR="00A336F5" w:rsidRPr="00591F7F" w14:paraId="49B1BA67" w14:textId="77777777" w:rsidTr="00A336F5">
        <w:trPr>
          <w:trHeight w:val="270"/>
        </w:trPr>
        <w:tc>
          <w:tcPr>
            <w:tcW w:w="698" w:type="pct"/>
            <w:tcBorders>
              <w:top w:val="nil"/>
              <w:left w:val="single" w:sz="4" w:space="0" w:color="auto"/>
              <w:bottom w:val="single" w:sz="4" w:space="0" w:color="auto"/>
              <w:right w:val="single" w:sz="4" w:space="0" w:color="auto"/>
            </w:tcBorders>
            <w:shd w:val="clear" w:color="auto" w:fill="auto"/>
            <w:noWrap/>
            <w:hideMark/>
          </w:tcPr>
          <w:p w14:paraId="4ADA983F" w14:textId="77777777" w:rsidR="00A336F5" w:rsidRPr="00591F7F" w:rsidRDefault="00A336F5" w:rsidP="00A336F5">
            <w:pPr>
              <w:rPr>
                <w:rFonts w:ascii="Arial Narrow" w:hAnsi="Arial Narrow"/>
                <w:color w:val="000000"/>
                <w:sz w:val="20"/>
                <w:szCs w:val="20"/>
                <w:highlight w:val="yellow"/>
              </w:rPr>
            </w:pPr>
            <w:r w:rsidRPr="00F27B7D">
              <w:rPr>
                <w:rFonts w:ascii="Arial Narrow" w:hAnsi="Arial Narrow"/>
                <w:color w:val="000000"/>
                <w:sz w:val="20"/>
                <w:szCs w:val="20"/>
              </w:rPr>
              <w:t>Pejë</w:t>
            </w:r>
          </w:p>
        </w:tc>
        <w:tc>
          <w:tcPr>
            <w:tcW w:w="876" w:type="pct"/>
            <w:tcBorders>
              <w:top w:val="nil"/>
              <w:left w:val="single" w:sz="8" w:space="0" w:color="auto"/>
              <w:bottom w:val="single" w:sz="8" w:space="0" w:color="auto"/>
              <w:right w:val="single" w:sz="8" w:space="0" w:color="auto"/>
            </w:tcBorders>
            <w:noWrap/>
            <w:hideMark/>
          </w:tcPr>
          <w:p w14:paraId="7A152EED" w14:textId="77777777" w:rsidR="00A336F5" w:rsidRPr="007973B8" w:rsidRDefault="00A336F5" w:rsidP="00A336F5">
            <w:pPr>
              <w:rPr>
                <w:rFonts w:ascii="Arial Narrow" w:hAnsi="Arial Narrow"/>
                <w:kern w:val="2"/>
                <w:sz w:val="20"/>
                <w:szCs w:val="20"/>
                <w:lang w:val="sq-AL"/>
                <w14:ligatures w14:val="standardContextual"/>
              </w:rPr>
            </w:pPr>
            <w:r w:rsidRPr="007973B8">
              <w:rPr>
                <w:rFonts w:ascii="Arial Narrow" w:hAnsi="Arial Narrow"/>
                <w:b/>
                <w:color w:val="000000"/>
                <w:kern w:val="2"/>
                <w:sz w:val="20"/>
                <w:szCs w:val="20"/>
                <w:lang w:val="sq-AL"/>
                <w14:ligatures w14:val="standardContextual"/>
              </w:rPr>
              <w:t>24</w:t>
            </w:r>
            <w:r w:rsidRPr="007973B8">
              <w:rPr>
                <w:rFonts w:ascii="Arial Narrow" w:hAnsi="Arial Narrow"/>
                <w:kern w:val="2"/>
                <w:sz w:val="20"/>
                <w:szCs w:val="20"/>
                <w:lang w:val="sq-AL"/>
                <w14:ligatures w14:val="standardContextual"/>
              </w:rPr>
              <w:t xml:space="preserve"> </w:t>
            </w:r>
          </w:p>
          <w:p w14:paraId="19B627DF" w14:textId="4A45EA5E" w:rsidR="00A336F5" w:rsidRPr="007973B8" w:rsidRDefault="00A336F5" w:rsidP="00A336F5">
            <w:pPr>
              <w:rPr>
                <w:rFonts w:ascii="Arial Narrow" w:hAnsi="Arial Narrow"/>
                <w:kern w:val="2"/>
                <w:sz w:val="20"/>
                <w:szCs w:val="20"/>
                <w:lang w:val="sq-AL"/>
                <w14:ligatures w14:val="standardContextual"/>
              </w:rPr>
            </w:pPr>
            <w:r w:rsidRPr="007973B8">
              <w:rPr>
                <w:rFonts w:ascii="Arial Narrow" w:hAnsi="Arial Narrow"/>
                <w:kern w:val="2"/>
                <w:sz w:val="20"/>
                <w:szCs w:val="20"/>
                <w:lang w:val="sq-AL"/>
                <w14:ligatures w14:val="standardContextual"/>
              </w:rPr>
              <w:t xml:space="preserve">23 Qendra të Kujdesit </w:t>
            </w:r>
            <w:r>
              <w:rPr>
                <w:rFonts w:ascii="Arial Narrow" w:hAnsi="Arial Narrow"/>
                <w:kern w:val="2"/>
                <w:sz w:val="20"/>
                <w:szCs w:val="20"/>
                <w:lang w:val="sq-AL"/>
                <w14:ligatures w14:val="standardContextual"/>
              </w:rPr>
              <w:t>Primar</w:t>
            </w:r>
          </w:p>
          <w:p w14:paraId="7C244D88" w14:textId="43BB51E2" w:rsidR="00A336F5" w:rsidRPr="007973B8" w:rsidRDefault="00A336F5" w:rsidP="00A336F5">
            <w:pPr>
              <w:rPr>
                <w:rFonts w:ascii="Arial Narrow" w:hAnsi="Arial Narrow"/>
                <w:kern w:val="2"/>
                <w:sz w:val="20"/>
                <w:szCs w:val="20"/>
                <w:lang w:val="sq-AL"/>
                <w14:ligatures w14:val="standardContextual"/>
              </w:rPr>
            </w:pPr>
            <w:r w:rsidRPr="007973B8">
              <w:rPr>
                <w:rFonts w:ascii="Arial Narrow" w:hAnsi="Arial Narrow"/>
                <w:kern w:val="2"/>
                <w:sz w:val="20"/>
                <w:szCs w:val="20"/>
                <w:lang w:val="sq-AL"/>
                <w14:ligatures w14:val="standardContextual"/>
              </w:rPr>
              <w:t xml:space="preserve">1 Kujdesi </w:t>
            </w:r>
            <w:r>
              <w:rPr>
                <w:rFonts w:ascii="Arial Narrow" w:hAnsi="Arial Narrow"/>
                <w:kern w:val="2"/>
                <w:sz w:val="20"/>
                <w:szCs w:val="20"/>
                <w:lang w:val="sq-AL"/>
                <w14:ligatures w14:val="standardContextual"/>
              </w:rPr>
              <w:t>Sekondar</w:t>
            </w:r>
          </w:p>
          <w:p w14:paraId="3F0F8AD2" w14:textId="044124F2" w:rsidR="00A336F5" w:rsidRPr="007973B8" w:rsidRDefault="00A336F5" w:rsidP="00A336F5">
            <w:pPr>
              <w:rPr>
                <w:rFonts w:ascii="Arial Narrow" w:hAnsi="Arial Narrow"/>
                <w:color w:val="000000"/>
                <w:sz w:val="20"/>
                <w:szCs w:val="20"/>
                <w:lang w:val="bg-BG"/>
              </w:rPr>
            </w:pPr>
            <w:r w:rsidRPr="007973B8">
              <w:rPr>
                <w:rFonts w:ascii="Arial Narrow" w:hAnsi="Arial Narrow"/>
                <w:kern w:val="2"/>
                <w:sz w:val="20"/>
                <w:szCs w:val="20"/>
                <w:lang w:val="sq-AL"/>
                <w14:ligatures w14:val="standardContextual"/>
              </w:rPr>
              <w:t>SPITAL</w:t>
            </w:r>
          </w:p>
        </w:tc>
        <w:tc>
          <w:tcPr>
            <w:tcW w:w="1328" w:type="pct"/>
            <w:tcBorders>
              <w:top w:val="nil"/>
              <w:left w:val="nil"/>
              <w:bottom w:val="single" w:sz="8" w:space="0" w:color="auto"/>
              <w:right w:val="single" w:sz="8" w:space="0" w:color="auto"/>
            </w:tcBorders>
            <w:noWrap/>
            <w:hideMark/>
          </w:tcPr>
          <w:p w14:paraId="3C6C3DFE" w14:textId="77777777" w:rsidR="00A336F5" w:rsidRPr="007973B8" w:rsidRDefault="00A336F5" w:rsidP="00A336F5">
            <w:pPr>
              <w:rPr>
                <w:rFonts w:ascii="Arial Narrow" w:hAnsi="Arial Narrow"/>
                <w:kern w:val="2"/>
                <w:sz w:val="20"/>
                <w:szCs w:val="20"/>
                <w:lang w:val="sq-AL"/>
                <w14:ligatures w14:val="standardContextual"/>
              </w:rPr>
            </w:pPr>
            <w:r w:rsidRPr="007973B8">
              <w:rPr>
                <w:rFonts w:ascii="Arial Narrow" w:hAnsi="Arial Narrow"/>
                <w:b/>
                <w:color w:val="000000"/>
                <w:kern w:val="2"/>
                <w:sz w:val="20"/>
                <w:szCs w:val="20"/>
                <w:lang w:val="sq-AL"/>
                <w14:ligatures w14:val="standardContextual"/>
              </w:rPr>
              <w:t>54</w:t>
            </w:r>
            <w:r w:rsidRPr="007973B8">
              <w:rPr>
                <w:rFonts w:ascii="Arial Narrow" w:hAnsi="Arial Narrow"/>
                <w:kern w:val="2"/>
                <w:sz w:val="20"/>
                <w:szCs w:val="20"/>
                <w:lang w:val="sq-AL"/>
                <w14:ligatures w14:val="standardContextual"/>
              </w:rPr>
              <w:t xml:space="preserve"> </w:t>
            </w:r>
          </w:p>
          <w:p w14:paraId="1F9306AD" w14:textId="77777777" w:rsidR="00A336F5" w:rsidRPr="007973B8" w:rsidRDefault="00A336F5" w:rsidP="00A336F5">
            <w:pPr>
              <w:rPr>
                <w:rFonts w:ascii="Arial Narrow" w:hAnsi="Arial Narrow"/>
                <w:kern w:val="2"/>
                <w:sz w:val="20"/>
                <w:szCs w:val="20"/>
                <w:lang w:val="sq-AL"/>
                <w14:ligatures w14:val="standardContextual"/>
              </w:rPr>
            </w:pPr>
            <w:r w:rsidRPr="007973B8">
              <w:rPr>
                <w:rFonts w:ascii="Arial Narrow" w:hAnsi="Arial Narrow"/>
                <w:kern w:val="2"/>
                <w:sz w:val="20"/>
                <w:szCs w:val="20"/>
                <w:lang w:val="sq-AL"/>
                <w14:ligatures w14:val="standardContextual"/>
              </w:rPr>
              <w:t>46 objekte shkollore</w:t>
            </w:r>
          </w:p>
          <w:p w14:paraId="6673E6AC" w14:textId="77777777" w:rsidR="00A336F5" w:rsidRPr="007973B8" w:rsidRDefault="00A336F5" w:rsidP="00A336F5">
            <w:pPr>
              <w:rPr>
                <w:rFonts w:ascii="Arial Narrow" w:hAnsi="Arial Narrow"/>
                <w:kern w:val="2"/>
                <w:sz w:val="20"/>
                <w:szCs w:val="20"/>
                <w:lang w:val="sq-AL"/>
                <w14:ligatures w14:val="standardContextual"/>
              </w:rPr>
            </w:pPr>
            <w:r w:rsidRPr="007973B8">
              <w:rPr>
                <w:rFonts w:ascii="Arial Narrow" w:hAnsi="Arial Narrow"/>
                <w:kern w:val="2"/>
                <w:sz w:val="20"/>
                <w:szCs w:val="20"/>
                <w:lang w:val="sq-AL"/>
                <w14:ligatures w14:val="standardContextual"/>
              </w:rPr>
              <w:t>4 Kopshte fëmijësh</w:t>
            </w:r>
          </w:p>
          <w:p w14:paraId="07654DCC" w14:textId="77777777" w:rsidR="00A336F5" w:rsidRPr="007973B8" w:rsidRDefault="00A336F5" w:rsidP="00A336F5">
            <w:pPr>
              <w:rPr>
                <w:rFonts w:ascii="Arial Narrow" w:hAnsi="Arial Narrow"/>
                <w:kern w:val="2"/>
                <w:sz w:val="20"/>
                <w:szCs w:val="20"/>
                <w:lang w:val="sq-AL"/>
                <w14:ligatures w14:val="standardContextual"/>
              </w:rPr>
            </w:pPr>
            <w:r w:rsidRPr="007973B8">
              <w:rPr>
                <w:rFonts w:ascii="Arial Narrow" w:hAnsi="Arial Narrow"/>
                <w:kern w:val="2"/>
                <w:sz w:val="20"/>
                <w:szCs w:val="20"/>
                <w:lang w:val="sq-AL"/>
                <w14:ligatures w14:val="standardContextual"/>
              </w:rPr>
              <w:t>1 universitet publik</w:t>
            </w:r>
          </w:p>
          <w:p w14:paraId="54664182" w14:textId="77777777" w:rsidR="00A336F5" w:rsidRPr="007973B8" w:rsidRDefault="00A336F5" w:rsidP="00A336F5">
            <w:pPr>
              <w:rPr>
                <w:rFonts w:ascii="Arial Narrow" w:hAnsi="Arial Narrow"/>
                <w:kern w:val="2"/>
                <w:sz w:val="20"/>
                <w:szCs w:val="20"/>
                <w:lang w:val="sq-AL"/>
                <w14:ligatures w14:val="standardContextual"/>
              </w:rPr>
            </w:pPr>
            <w:r w:rsidRPr="007973B8">
              <w:rPr>
                <w:rFonts w:ascii="Arial Narrow" w:hAnsi="Arial Narrow"/>
                <w:kern w:val="2"/>
                <w:sz w:val="20"/>
                <w:szCs w:val="20"/>
                <w:lang w:val="sq-AL"/>
                <w14:ligatures w14:val="standardContextual"/>
              </w:rPr>
              <w:t>1 Kolegj Privat</w:t>
            </w:r>
          </w:p>
          <w:p w14:paraId="524D5D46" w14:textId="71EBED1E" w:rsidR="00A336F5" w:rsidRPr="007973B8" w:rsidRDefault="00A336F5" w:rsidP="00A336F5">
            <w:pPr>
              <w:rPr>
                <w:rFonts w:ascii="Arial Narrow" w:hAnsi="Arial Narrow"/>
                <w:color w:val="000000"/>
                <w:sz w:val="20"/>
                <w:szCs w:val="20"/>
              </w:rPr>
            </w:pPr>
            <w:r w:rsidRPr="007973B8">
              <w:rPr>
                <w:rFonts w:ascii="Arial Narrow" w:hAnsi="Arial Narrow"/>
                <w:kern w:val="2"/>
                <w:sz w:val="20"/>
                <w:szCs w:val="20"/>
                <w:lang w:val="sq-AL"/>
                <w14:ligatures w14:val="standardContextual"/>
              </w:rPr>
              <w:t>2 Shkolla private</w:t>
            </w:r>
          </w:p>
        </w:tc>
        <w:tc>
          <w:tcPr>
            <w:tcW w:w="701" w:type="pct"/>
            <w:tcBorders>
              <w:top w:val="nil"/>
              <w:left w:val="nil"/>
              <w:bottom w:val="single" w:sz="8" w:space="0" w:color="auto"/>
              <w:right w:val="single" w:sz="8" w:space="0" w:color="auto"/>
            </w:tcBorders>
            <w:noWrap/>
            <w:hideMark/>
          </w:tcPr>
          <w:p w14:paraId="7B53DC6F" w14:textId="77777777" w:rsidR="00A336F5" w:rsidRPr="007973B8" w:rsidRDefault="00A336F5" w:rsidP="00A336F5">
            <w:pPr>
              <w:rPr>
                <w:rFonts w:ascii="Arial Narrow" w:hAnsi="Arial Narrow"/>
                <w:b/>
                <w:color w:val="000000"/>
                <w:kern w:val="2"/>
                <w:sz w:val="20"/>
                <w:szCs w:val="20"/>
                <w:lang w:val="sq-AL"/>
                <w14:ligatures w14:val="standardContextual"/>
              </w:rPr>
            </w:pPr>
            <w:r w:rsidRPr="007973B8">
              <w:rPr>
                <w:rFonts w:ascii="Arial Narrow" w:hAnsi="Arial Narrow"/>
                <w:b/>
                <w:color w:val="000000"/>
                <w:kern w:val="2"/>
                <w:sz w:val="20"/>
                <w:szCs w:val="20"/>
                <w:lang w:val="sq-AL"/>
                <w14:ligatures w14:val="standardContextual"/>
              </w:rPr>
              <w:t>11</w:t>
            </w:r>
          </w:p>
          <w:p w14:paraId="5B3C908D" w14:textId="77777777" w:rsidR="00A336F5" w:rsidRPr="007973B8" w:rsidRDefault="00A336F5" w:rsidP="00A336F5">
            <w:pPr>
              <w:rPr>
                <w:rFonts w:ascii="Arial Narrow" w:hAnsi="Arial Narrow"/>
                <w:color w:val="000000"/>
                <w:kern w:val="2"/>
                <w:sz w:val="20"/>
                <w:szCs w:val="20"/>
                <w:lang w:val="sq-AL"/>
                <w14:ligatures w14:val="standardContextual"/>
              </w:rPr>
            </w:pPr>
            <w:r w:rsidRPr="007973B8">
              <w:rPr>
                <w:rFonts w:ascii="Arial Narrow" w:hAnsi="Arial Narrow"/>
                <w:color w:val="000000"/>
                <w:kern w:val="2"/>
                <w:sz w:val="20"/>
                <w:szCs w:val="20"/>
                <w:lang w:val="sq-AL"/>
                <w14:ligatures w14:val="standardContextual"/>
              </w:rPr>
              <w:t>"Jusuf Gërvalla"</w:t>
            </w:r>
          </w:p>
          <w:p w14:paraId="3D82564D" w14:textId="77777777" w:rsidR="00A336F5" w:rsidRPr="007973B8" w:rsidRDefault="00A336F5" w:rsidP="00A336F5">
            <w:pPr>
              <w:rPr>
                <w:rFonts w:ascii="Arial Narrow" w:hAnsi="Arial Narrow"/>
                <w:color w:val="000000"/>
                <w:kern w:val="2"/>
                <w:sz w:val="20"/>
                <w:szCs w:val="20"/>
                <w:lang w:val="sq-AL"/>
                <w14:ligatures w14:val="standardContextual"/>
              </w:rPr>
            </w:pPr>
            <w:r w:rsidRPr="007973B8">
              <w:rPr>
                <w:rFonts w:ascii="Arial Narrow" w:hAnsi="Arial Narrow"/>
                <w:color w:val="000000"/>
                <w:kern w:val="2"/>
                <w:sz w:val="20"/>
                <w:szCs w:val="20"/>
                <w:lang w:val="sq-AL"/>
                <w14:ligatures w14:val="standardContextual"/>
              </w:rPr>
              <w:t>Kinema-Teatër</w:t>
            </w:r>
          </w:p>
          <w:p w14:paraId="4C35A316" w14:textId="77777777" w:rsidR="00A336F5" w:rsidRPr="007973B8" w:rsidRDefault="00A336F5" w:rsidP="00A336F5">
            <w:pPr>
              <w:rPr>
                <w:rFonts w:ascii="Arial Narrow" w:hAnsi="Arial Narrow"/>
                <w:color w:val="000000"/>
                <w:kern w:val="2"/>
                <w:sz w:val="20"/>
                <w:szCs w:val="20"/>
                <w:lang w:val="sq-AL"/>
                <w14:ligatures w14:val="standardContextual"/>
              </w:rPr>
            </w:pPr>
          </w:p>
          <w:p w14:paraId="40BE5809" w14:textId="77777777" w:rsidR="00A336F5" w:rsidRPr="007973B8" w:rsidRDefault="00A336F5" w:rsidP="00A336F5">
            <w:pPr>
              <w:rPr>
                <w:rFonts w:ascii="Arial Narrow" w:hAnsi="Arial Narrow"/>
                <w:color w:val="000000"/>
                <w:kern w:val="2"/>
                <w:sz w:val="20"/>
                <w:szCs w:val="20"/>
                <w:lang w:val="sq-AL"/>
                <w14:ligatures w14:val="standardContextual"/>
              </w:rPr>
            </w:pPr>
            <w:r w:rsidRPr="007973B8">
              <w:rPr>
                <w:rFonts w:ascii="Arial Narrow" w:hAnsi="Arial Narrow"/>
                <w:color w:val="000000"/>
                <w:kern w:val="2"/>
                <w:sz w:val="20"/>
                <w:szCs w:val="20"/>
                <w:lang w:val="sq-AL"/>
                <w14:ligatures w14:val="standardContextual"/>
              </w:rPr>
              <w:t>Kompleksi Rinor</w:t>
            </w:r>
          </w:p>
          <w:p w14:paraId="61443153" w14:textId="77777777" w:rsidR="00A336F5" w:rsidRPr="007973B8" w:rsidRDefault="00A336F5" w:rsidP="00A336F5">
            <w:pPr>
              <w:rPr>
                <w:rFonts w:ascii="Arial Narrow" w:hAnsi="Arial Narrow"/>
                <w:color w:val="000000"/>
                <w:kern w:val="2"/>
                <w:sz w:val="20"/>
                <w:szCs w:val="20"/>
                <w:lang w:val="sq-AL"/>
                <w14:ligatures w14:val="standardContextual"/>
              </w:rPr>
            </w:pPr>
            <w:r w:rsidRPr="007973B8">
              <w:rPr>
                <w:rFonts w:ascii="Arial Narrow" w:hAnsi="Arial Narrow"/>
                <w:color w:val="000000"/>
                <w:kern w:val="2"/>
                <w:sz w:val="20"/>
                <w:szCs w:val="20"/>
                <w:lang w:val="sq-AL"/>
                <w14:ligatures w14:val="standardContextual"/>
              </w:rPr>
              <w:t>(Zum)</w:t>
            </w:r>
          </w:p>
          <w:p w14:paraId="1025381D" w14:textId="77777777" w:rsidR="00A336F5" w:rsidRPr="007973B8" w:rsidRDefault="00A336F5" w:rsidP="00A336F5">
            <w:pPr>
              <w:rPr>
                <w:rFonts w:ascii="Arial Narrow" w:hAnsi="Arial Narrow"/>
                <w:color w:val="000000"/>
                <w:kern w:val="2"/>
                <w:sz w:val="20"/>
                <w:szCs w:val="20"/>
                <w:lang w:val="sq-AL"/>
                <w14:ligatures w14:val="standardContextual"/>
              </w:rPr>
            </w:pPr>
          </w:p>
          <w:p w14:paraId="7EE666C8" w14:textId="77777777" w:rsidR="00A336F5" w:rsidRPr="007973B8" w:rsidRDefault="00A336F5" w:rsidP="00A336F5">
            <w:pPr>
              <w:rPr>
                <w:rFonts w:ascii="Arial Narrow" w:hAnsi="Arial Narrow"/>
                <w:color w:val="000000"/>
                <w:kern w:val="2"/>
                <w:sz w:val="20"/>
                <w:szCs w:val="20"/>
                <w:lang w:val="sq-AL"/>
                <w14:ligatures w14:val="standardContextual"/>
              </w:rPr>
            </w:pPr>
            <w:r w:rsidRPr="007973B8">
              <w:rPr>
                <w:rFonts w:ascii="Arial Narrow" w:hAnsi="Arial Narrow"/>
                <w:color w:val="000000"/>
                <w:kern w:val="2"/>
                <w:sz w:val="20"/>
                <w:szCs w:val="20"/>
                <w:lang w:val="sq-AL"/>
                <w14:ligatures w14:val="standardContextual"/>
              </w:rPr>
              <w:t>Qendra Rinore</w:t>
            </w:r>
          </w:p>
          <w:p w14:paraId="6801F3F9" w14:textId="77777777" w:rsidR="00A336F5" w:rsidRPr="007973B8" w:rsidRDefault="00A336F5" w:rsidP="00A336F5">
            <w:pPr>
              <w:rPr>
                <w:rFonts w:ascii="Arial Narrow" w:hAnsi="Arial Narrow"/>
                <w:color w:val="000000"/>
                <w:kern w:val="2"/>
                <w:sz w:val="20"/>
                <w:szCs w:val="20"/>
                <w:lang w:val="sq-AL"/>
                <w14:ligatures w14:val="standardContextual"/>
              </w:rPr>
            </w:pPr>
          </w:p>
          <w:p w14:paraId="2DF99843" w14:textId="77777777" w:rsidR="00A336F5" w:rsidRPr="007973B8" w:rsidRDefault="00A336F5" w:rsidP="00A336F5">
            <w:pPr>
              <w:rPr>
                <w:rFonts w:ascii="Arial Narrow" w:hAnsi="Arial Narrow"/>
                <w:color w:val="000000"/>
                <w:kern w:val="2"/>
                <w:sz w:val="20"/>
                <w:szCs w:val="20"/>
                <w:lang w:val="sq-AL"/>
                <w14:ligatures w14:val="standardContextual"/>
              </w:rPr>
            </w:pPr>
            <w:r w:rsidRPr="007973B8">
              <w:rPr>
                <w:rFonts w:ascii="Arial Narrow" w:hAnsi="Arial Narrow"/>
                <w:color w:val="000000"/>
                <w:kern w:val="2"/>
                <w:sz w:val="20"/>
                <w:szCs w:val="20"/>
                <w:lang w:val="sq-AL"/>
                <w14:ligatures w14:val="standardContextual"/>
              </w:rPr>
              <w:t>Shtëpia e Kulturës</w:t>
            </w:r>
          </w:p>
          <w:p w14:paraId="5B52FF08" w14:textId="77777777" w:rsidR="00A336F5" w:rsidRPr="007973B8" w:rsidRDefault="00A336F5" w:rsidP="00A336F5">
            <w:pPr>
              <w:rPr>
                <w:rFonts w:ascii="Arial Narrow" w:hAnsi="Arial Narrow"/>
                <w:color w:val="000000"/>
                <w:kern w:val="2"/>
                <w:sz w:val="20"/>
                <w:szCs w:val="20"/>
                <w:lang w:val="sq-AL"/>
                <w14:ligatures w14:val="standardContextual"/>
              </w:rPr>
            </w:pPr>
          </w:p>
          <w:p w14:paraId="1A0EB4B1" w14:textId="77777777" w:rsidR="00A336F5" w:rsidRPr="007973B8" w:rsidRDefault="00A336F5" w:rsidP="00A336F5">
            <w:pPr>
              <w:rPr>
                <w:rFonts w:ascii="Arial Narrow" w:hAnsi="Arial Narrow"/>
                <w:color w:val="000000"/>
                <w:kern w:val="2"/>
                <w:sz w:val="20"/>
                <w:szCs w:val="20"/>
                <w:lang w:val="sq-AL"/>
                <w14:ligatures w14:val="standardContextual"/>
              </w:rPr>
            </w:pPr>
            <w:r w:rsidRPr="007973B8">
              <w:rPr>
                <w:rFonts w:ascii="Arial Narrow" w:hAnsi="Arial Narrow"/>
                <w:color w:val="000000"/>
                <w:kern w:val="2"/>
                <w:sz w:val="20"/>
                <w:szCs w:val="20"/>
                <w:lang w:val="sq-AL"/>
                <w14:ligatures w14:val="standardContextual"/>
              </w:rPr>
              <w:t>Istref Begolli</w:t>
            </w:r>
          </w:p>
          <w:p w14:paraId="4136BB86" w14:textId="77777777" w:rsidR="00A336F5" w:rsidRPr="007973B8" w:rsidRDefault="00A336F5" w:rsidP="00A336F5">
            <w:pPr>
              <w:rPr>
                <w:rFonts w:ascii="Arial Narrow" w:hAnsi="Arial Narrow"/>
                <w:color w:val="000000"/>
                <w:kern w:val="2"/>
                <w:sz w:val="20"/>
                <w:szCs w:val="20"/>
                <w:lang w:val="sq-AL"/>
                <w14:ligatures w14:val="standardContextual"/>
              </w:rPr>
            </w:pPr>
            <w:r w:rsidRPr="007973B8">
              <w:rPr>
                <w:rFonts w:ascii="Arial Narrow" w:hAnsi="Arial Narrow"/>
                <w:color w:val="000000"/>
                <w:kern w:val="2"/>
                <w:sz w:val="20"/>
                <w:szCs w:val="20"/>
                <w:lang w:val="sq-AL"/>
                <w14:ligatures w14:val="standardContextual"/>
              </w:rPr>
              <w:t>Teatri i Qytetit</w:t>
            </w:r>
          </w:p>
          <w:p w14:paraId="6BC4D99F" w14:textId="77777777" w:rsidR="00A336F5" w:rsidRPr="007973B8" w:rsidRDefault="00A336F5" w:rsidP="00A336F5">
            <w:pPr>
              <w:rPr>
                <w:rFonts w:ascii="Arial Narrow" w:hAnsi="Arial Narrow"/>
                <w:color w:val="000000"/>
                <w:kern w:val="2"/>
                <w:sz w:val="20"/>
                <w:szCs w:val="20"/>
                <w:lang w:val="sq-AL"/>
                <w14:ligatures w14:val="standardContextual"/>
              </w:rPr>
            </w:pPr>
          </w:p>
          <w:p w14:paraId="79DD8FB6" w14:textId="77777777" w:rsidR="00A336F5" w:rsidRPr="007973B8" w:rsidRDefault="00A336F5" w:rsidP="00A336F5">
            <w:pPr>
              <w:rPr>
                <w:rFonts w:ascii="Arial Narrow" w:hAnsi="Arial Narrow"/>
                <w:color w:val="000000"/>
                <w:kern w:val="2"/>
                <w:sz w:val="20"/>
                <w:szCs w:val="20"/>
                <w:lang w:val="sq-AL"/>
                <w14:ligatures w14:val="standardContextual"/>
              </w:rPr>
            </w:pPr>
            <w:r w:rsidRPr="007973B8">
              <w:rPr>
                <w:rFonts w:ascii="Arial Narrow" w:hAnsi="Arial Narrow"/>
                <w:color w:val="000000"/>
                <w:kern w:val="2"/>
                <w:sz w:val="20"/>
                <w:szCs w:val="20"/>
                <w:lang w:val="sq-AL"/>
                <w14:ligatures w14:val="standardContextual"/>
              </w:rPr>
              <w:t>Muzeu Etnografik</w:t>
            </w:r>
          </w:p>
          <w:p w14:paraId="43DF2923" w14:textId="77777777" w:rsidR="00A336F5" w:rsidRPr="007973B8" w:rsidRDefault="00A336F5" w:rsidP="00A336F5">
            <w:pPr>
              <w:rPr>
                <w:rFonts w:ascii="Arial Narrow" w:hAnsi="Arial Narrow"/>
                <w:color w:val="000000"/>
                <w:kern w:val="2"/>
                <w:sz w:val="20"/>
                <w:szCs w:val="20"/>
                <w:lang w:val="sq-AL"/>
                <w14:ligatures w14:val="standardContextual"/>
              </w:rPr>
            </w:pPr>
          </w:p>
          <w:p w14:paraId="6339EC78" w14:textId="77777777" w:rsidR="00A336F5" w:rsidRPr="007973B8" w:rsidRDefault="00A336F5" w:rsidP="00A336F5">
            <w:pPr>
              <w:rPr>
                <w:rFonts w:ascii="Arial Narrow" w:hAnsi="Arial Narrow"/>
                <w:color w:val="000000"/>
                <w:kern w:val="2"/>
                <w:sz w:val="20"/>
                <w:szCs w:val="20"/>
                <w:lang w:val="sq-AL"/>
                <w14:ligatures w14:val="standardContextual"/>
              </w:rPr>
            </w:pPr>
            <w:r w:rsidRPr="007973B8">
              <w:rPr>
                <w:rFonts w:ascii="Arial Narrow" w:hAnsi="Arial Narrow"/>
                <w:color w:val="000000"/>
                <w:kern w:val="2"/>
                <w:sz w:val="20"/>
                <w:szCs w:val="20"/>
                <w:lang w:val="sq-AL"/>
                <w14:ligatures w14:val="standardContextual"/>
              </w:rPr>
              <w:t>Stadiumi Shahin Haxhi Islami</w:t>
            </w:r>
          </w:p>
          <w:p w14:paraId="40319FBF" w14:textId="77777777" w:rsidR="00A336F5" w:rsidRPr="007973B8" w:rsidRDefault="00A336F5" w:rsidP="00A336F5">
            <w:pPr>
              <w:rPr>
                <w:rFonts w:ascii="Arial Narrow" w:hAnsi="Arial Narrow"/>
                <w:color w:val="000000"/>
                <w:kern w:val="2"/>
                <w:sz w:val="20"/>
                <w:szCs w:val="20"/>
                <w:lang w:val="sq-AL"/>
                <w14:ligatures w14:val="standardContextual"/>
              </w:rPr>
            </w:pPr>
          </w:p>
          <w:p w14:paraId="4ACA284B" w14:textId="77777777" w:rsidR="00A336F5" w:rsidRPr="007973B8" w:rsidRDefault="00A336F5" w:rsidP="00A336F5">
            <w:pPr>
              <w:rPr>
                <w:rFonts w:ascii="Arial Narrow" w:hAnsi="Arial Narrow"/>
                <w:color w:val="000000"/>
                <w:kern w:val="2"/>
                <w:sz w:val="20"/>
                <w:szCs w:val="20"/>
                <w:lang w:val="sq-AL"/>
                <w14:ligatures w14:val="standardContextual"/>
              </w:rPr>
            </w:pPr>
            <w:r w:rsidRPr="007973B8">
              <w:rPr>
                <w:rFonts w:ascii="Arial Narrow" w:hAnsi="Arial Narrow"/>
                <w:color w:val="000000"/>
                <w:kern w:val="2"/>
                <w:sz w:val="20"/>
                <w:szCs w:val="20"/>
                <w:lang w:val="sq-AL"/>
                <w14:ligatures w14:val="standardContextual"/>
              </w:rPr>
              <w:lastRenderedPageBreak/>
              <w:t>Qendër shumëprofesionale</w:t>
            </w:r>
          </w:p>
          <w:p w14:paraId="4878B125" w14:textId="77777777" w:rsidR="00A336F5" w:rsidRPr="007973B8" w:rsidRDefault="00A336F5" w:rsidP="00A336F5">
            <w:pPr>
              <w:rPr>
                <w:rFonts w:ascii="Arial Narrow" w:hAnsi="Arial Narrow"/>
                <w:color w:val="000000"/>
                <w:kern w:val="2"/>
                <w:sz w:val="20"/>
                <w:szCs w:val="20"/>
                <w:lang w:val="sq-AL"/>
                <w14:ligatures w14:val="standardContextual"/>
              </w:rPr>
            </w:pPr>
          </w:p>
          <w:p w14:paraId="5930A17F" w14:textId="77777777" w:rsidR="00A336F5" w:rsidRPr="007973B8" w:rsidRDefault="00A336F5" w:rsidP="00A336F5">
            <w:pPr>
              <w:rPr>
                <w:rFonts w:ascii="Arial Narrow" w:hAnsi="Arial Narrow"/>
                <w:color w:val="000000"/>
                <w:kern w:val="2"/>
                <w:sz w:val="20"/>
                <w:szCs w:val="20"/>
                <w:lang w:val="sq-AL"/>
                <w14:ligatures w14:val="standardContextual"/>
              </w:rPr>
            </w:pPr>
            <w:r w:rsidRPr="007973B8">
              <w:rPr>
                <w:rFonts w:ascii="Arial Narrow" w:hAnsi="Arial Narrow"/>
                <w:color w:val="000000"/>
                <w:kern w:val="2"/>
                <w:sz w:val="20"/>
                <w:szCs w:val="20"/>
                <w:lang w:val="sq-AL"/>
                <w14:ligatures w14:val="standardContextual"/>
              </w:rPr>
              <w:t>Shtëpia e Kulturës</w:t>
            </w:r>
          </w:p>
          <w:p w14:paraId="39B062CC" w14:textId="77777777" w:rsidR="00A336F5" w:rsidRPr="007973B8" w:rsidRDefault="00A336F5" w:rsidP="00A336F5">
            <w:pPr>
              <w:rPr>
                <w:rFonts w:ascii="Arial Narrow" w:hAnsi="Arial Narrow"/>
                <w:color w:val="000000"/>
                <w:kern w:val="2"/>
                <w:sz w:val="20"/>
                <w:szCs w:val="20"/>
                <w:lang w:val="sq-AL"/>
                <w14:ligatures w14:val="standardContextual"/>
              </w:rPr>
            </w:pPr>
          </w:p>
          <w:p w14:paraId="3ECB07E6" w14:textId="77777777" w:rsidR="00A336F5" w:rsidRPr="007973B8" w:rsidRDefault="00A336F5" w:rsidP="00A336F5">
            <w:pPr>
              <w:rPr>
                <w:rFonts w:ascii="Arial Narrow" w:hAnsi="Arial Narrow"/>
                <w:color w:val="000000"/>
                <w:kern w:val="2"/>
                <w:sz w:val="20"/>
                <w:szCs w:val="20"/>
                <w:lang w:val="sq-AL"/>
                <w14:ligatures w14:val="standardContextual"/>
              </w:rPr>
            </w:pPr>
            <w:r w:rsidRPr="007973B8">
              <w:rPr>
                <w:rFonts w:ascii="Arial Narrow" w:hAnsi="Arial Narrow"/>
                <w:color w:val="000000"/>
                <w:kern w:val="2"/>
                <w:sz w:val="20"/>
                <w:szCs w:val="20"/>
                <w:lang w:val="sq-AL"/>
                <w14:ligatures w14:val="standardContextual"/>
              </w:rPr>
              <w:t>Halla e Sportit</w:t>
            </w:r>
          </w:p>
          <w:p w14:paraId="0DFAC997" w14:textId="77777777" w:rsidR="00A336F5" w:rsidRPr="007973B8" w:rsidRDefault="00A336F5" w:rsidP="00A336F5">
            <w:pPr>
              <w:rPr>
                <w:rFonts w:ascii="Arial Narrow" w:hAnsi="Arial Narrow"/>
                <w:color w:val="000000"/>
                <w:kern w:val="2"/>
                <w:sz w:val="20"/>
                <w:szCs w:val="20"/>
                <w:lang w:val="sq-AL"/>
                <w14:ligatures w14:val="standardContextual"/>
              </w:rPr>
            </w:pPr>
          </w:p>
          <w:p w14:paraId="7D002F1A" w14:textId="691460D2" w:rsidR="00A336F5" w:rsidRPr="007973B8" w:rsidRDefault="00A336F5" w:rsidP="00A336F5">
            <w:pPr>
              <w:rPr>
                <w:rFonts w:ascii="Arial Narrow" w:hAnsi="Arial Narrow"/>
                <w:color w:val="000000"/>
                <w:sz w:val="20"/>
                <w:szCs w:val="20"/>
              </w:rPr>
            </w:pPr>
            <w:r w:rsidRPr="007973B8">
              <w:rPr>
                <w:rFonts w:ascii="Arial Narrow" w:hAnsi="Arial Narrow"/>
                <w:color w:val="000000"/>
                <w:kern w:val="2"/>
                <w:sz w:val="20"/>
                <w:szCs w:val="20"/>
                <w:lang w:val="sq-AL"/>
                <w14:ligatures w14:val="standardContextual"/>
              </w:rPr>
              <w:t>Qendra Sportive "Tahir Vokshi"</w:t>
            </w:r>
          </w:p>
        </w:tc>
        <w:tc>
          <w:tcPr>
            <w:tcW w:w="1398" w:type="pct"/>
            <w:tcBorders>
              <w:top w:val="nil"/>
              <w:left w:val="nil"/>
              <w:bottom w:val="single" w:sz="8" w:space="0" w:color="auto"/>
              <w:right w:val="single" w:sz="8" w:space="0" w:color="auto"/>
            </w:tcBorders>
            <w:noWrap/>
            <w:hideMark/>
          </w:tcPr>
          <w:p w14:paraId="22CD0BE0" w14:textId="77777777" w:rsidR="00A336F5" w:rsidRPr="001E633C" w:rsidRDefault="00A336F5" w:rsidP="00A336F5">
            <w:pPr>
              <w:rPr>
                <w:rFonts w:ascii="Arial Narrow" w:hAnsi="Arial Narrow"/>
                <w:b/>
                <w:bCs/>
                <w:color w:val="000000"/>
                <w:kern w:val="2"/>
                <w:sz w:val="20"/>
                <w:szCs w:val="20"/>
                <w:lang w:val="sq-AL"/>
                <w14:ligatures w14:val="standardContextual"/>
              </w:rPr>
            </w:pPr>
            <w:r w:rsidRPr="001E633C">
              <w:rPr>
                <w:rFonts w:ascii="Arial Narrow" w:hAnsi="Arial Narrow"/>
                <w:b/>
                <w:bCs/>
                <w:color w:val="000000"/>
                <w:kern w:val="2"/>
                <w:sz w:val="20"/>
                <w:szCs w:val="20"/>
                <w:lang w:val="sq-AL"/>
                <w14:ligatures w14:val="standardContextual"/>
              </w:rPr>
              <w:lastRenderedPageBreak/>
              <w:t>48</w:t>
            </w:r>
          </w:p>
          <w:p w14:paraId="2F4D450D" w14:textId="0E96B5D6" w:rsidR="00A336F5" w:rsidRPr="001E633C" w:rsidRDefault="00A336F5" w:rsidP="00A336F5">
            <w:pPr>
              <w:rPr>
                <w:rFonts w:ascii="Arial Narrow" w:hAnsi="Arial Narrow"/>
                <w:b/>
                <w:bCs/>
                <w:color w:val="000000"/>
                <w:kern w:val="2"/>
                <w:sz w:val="20"/>
                <w:szCs w:val="20"/>
                <w:lang w:val="sq-AL"/>
                <w14:ligatures w14:val="standardContextual"/>
              </w:rPr>
            </w:pPr>
            <w:r w:rsidRPr="001E633C">
              <w:rPr>
                <w:rFonts w:ascii="Arial Narrow" w:hAnsi="Arial Narrow"/>
                <w:b/>
                <w:bCs/>
                <w:color w:val="000000"/>
                <w:kern w:val="2"/>
                <w:sz w:val="20"/>
                <w:szCs w:val="20"/>
                <w:lang w:val="sq-AL"/>
                <w14:ligatures w14:val="standardContextual"/>
              </w:rPr>
              <w:t>Ndërmarrj</w:t>
            </w:r>
            <w:r>
              <w:rPr>
                <w:rFonts w:ascii="Arial Narrow" w:hAnsi="Arial Narrow"/>
                <w:b/>
                <w:bCs/>
                <w:color w:val="000000"/>
                <w:kern w:val="2"/>
                <w:sz w:val="20"/>
                <w:szCs w:val="20"/>
                <w:lang w:val="sq-AL"/>
                <w14:ligatures w14:val="standardContextual"/>
              </w:rPr>
              <w:t>e</w:t>
            </w:r>
            <w:r w:rsidRPr="001E633C">
              <w:rPr>
                <w:rFonts w:ascii="Arial Narrow" w:hAnsi="Arial Narrow"/>
                <w:b/>
                <w:bCs/>
                <w:color w:val="000000"/>
                <w:kern w:val="2"/>
                <w:sz w:val="20"/>
                <w:szCs w:val="20"/>
                <w:lang w:val="sq-AL"/>
                <w14:ligatures w14:val="standardContextual"/>
              </w:rPr>
              <w:t xml:space="preserve"> publike:</w:t>
            </w:r>
          </w:p>
          <w:p w14:paraId="425ED1CC"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Stacioni i autobusëve</w:t>
            </w:r>
          </w:p>
          <w:p w14:paraId="4AA3634A"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Ambienti</w:t>
            </w:r>
          </w:p>
          <w:p w14:paraId="7924E219"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Eko-Sig</w:t>
            </w:r>
          </w:p>
          <w:p w14:paraId="1702DF95"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Hidrodrini</w:t>
            </w:r>
          </w:p>
          <w:p w14:paraId="64480C67"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Drini i Bardhë</w:t>
            </w:r>
          </w:p>
          <w:p w14:paraId="3B10AAE1"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Infrakos</w:t>
            </w:r>
          </w:p>
          <w:p w14:paraId="09783CF4" w14:textId="77777777" w:rsidR="00A336F5" w:rsidRPr="001E633C" w:rsidRDefault="00A336F5" w:rsidP="00A336F5">
            <w:pPr>
              <w:rPr>
                <w:rFonts w:ascii="Arial Narrow" w:hAnsi="Arial Narrow"/>
                <w:color w:val="000000"/>
                <w:kern w:val="2"/>
                <w:sz w:val="20"/>
                <w:szCs w:val="20"/>
                <w:lang w:val="sq-AL"/>
                <w14:ligatures w14:val="standardContextual"/>
              </w:rPr>
            </w:pPr>
            <w:r>
              <w:rPr>
                <w:rFonts w:ascii="Arial Narrow" w:hAnsi="Arial Narrow"/>
                <w:color w:val="000000"/>
                <w:kern w:val="2"/>
                <w:sz w:val="20"/>
                <w:szCs w:val="20"/>
                <w:lang w:val="sq-AL"/>
                <w14:ligatures w14:val="standardContextual"/>
              </w:rPr>
              <w:t>Zyra Postare</w:t>
            </w:r>
          </w:p>
          <w:p w14:paraId="64C70D7E" w14:textId="77777777" w:rsidR="00A336F5" w:rsidRPr="001E633C" w:rsidRDefault="00A336F5" w:rsidP="00A336F5">
            <w:pPr>
              <w:rPr>
                <w:rFonts w:ascii="Arial Narrow" w:hAnsi="Arial Narrow"/>
                <w:color w:val="000000"/>
                <w:kern w:val="2"/>
                <w:sz w:val="20"/>
                <w:szCs w:val="20"/>
                <w:lang w:val="sq-AL"/>
                <w14:ligatures w14:val="standardContextual"/>
              </w:rPr>
            </w:pPr>
          </w:p>
          <w:p w14:paraId="435D8519"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Institucione të tjera:</w:t>
            </w:r>
          </w:p>
          <w:p w14:paraId="75C7E041"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Zyra për ndihmë juridike</w:t>
            </w:r>
          </w:p>
          <w:p w14:paraId="0FF30518"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Ministria e Punëve të Brendshme - ish ndërtesa e Bankosit (pasaporta)</w:t>
            </w:r>
          </w:p>
          <w:p w14:paraId="79171759"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Qendra e regjistrimit të automjeteve</w:t>
            </w:r>
          </w:p>
          <w:p w14:paraId="05E7A2ED"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Gjykata Themelore në Pejë Divizioni për Kundërvajtje</w:t>
            </w:r>
          </w:p>
          <w:p w14:paraId="22621FA9"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Prokuroria Themelore</w:t>
            </w:r>
          </w:p>
          <w:p w14:paraId="29656DC3"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Agjencia e Ushqimit dhe Veterinarisë</w:t>
            </w:r>
          </w:p>
          <w:p w14:paraId="3330A3BD"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Stacioni veterinar</w:t>
            </w:r>
          </w:p>
          <w:p w14:paraId="6C065197"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Qendra Rajonale e Punësimit</w:t>
            </w:r>
          </w:p>
          <w:p w14:paraId="4974F615"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Administrata Tatimore e Kosovës ATK</w:t>
            </w:r>
          </w:p>
          <w:p w14:paraId="27115095"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lastRenderedPageBreak/>
              <w:t>Kryqi i Kuq i Kosovës</w:t>
            </w:r>
          </w:p>
          <w:p w14:paraId="5E4D2C82"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Spitali i Përgjithshëm Q.Sh.</w:t>
            </w:r>
          </w:p>
          <w:p w14:paraId="51B162E6"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Qendra e Ministrisë së Punëve të Brendshme për regjistrimin e automjeteve</w:t>
            </w:r>
          </w:p>
          <w:p w14:paraId="1D2BEC12"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Qendra e Mirëqenies së Gruas “Perandori Justinian”</w:t>
            </w:r>
          </w:p>
          <w:p w14:paraId="390C3233"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Agjencia Kosovare për Krahasimin dhe Verifikimin e Pasurisë</w:t>
            </w:r>
          </w:p>
          <w:p w14:paraId="23EEA931"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Ministria e Arsimit Qendra për aftësi profesionale</w:t>
            </w:r>
          </w:p>
          <w:p w14:paraId="15DD8E67"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Qendra për mirëqenie sociale</w:t>
            </w:r>
          </w:p>
          <w:p w14:paraId="6FACB179"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Instituti Bujqësor i Kosovës MBPHR</w:t>
            </w:r>
          </w:p>
          <w:p w14:paraId="4F2167AA"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Instituti i Pyjeve</w:t>
            </w:r>
          </w:p>
          <w:p w14:paraId="4F92D693"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Agjencia Pyjore</w:t>
            </w:r>
          </w:p>
          <w:p w14:paraId="4F3E9BDE"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Njësia e fishekzjarrëve</w:t>
            </w:r>
          </w:p>
          <w:p w14:paraId="2FEE8504"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UNMIK-u</w:t>
            </w:r>
          </w:p>
          <w:p w14:paraId="6C71BD79"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Universiteti Publik “Haxhi Zeka”</w:t>
            </w:r>
          </w:p>
          <w:p w14:paraId="627EAEAF"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Gjykata Themelore-Pejë</w:t>
            </w:r>
          </w:p>
          <w:p w14:paraId="310066C9"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Inspektorati i Arsimit</w:t>
            </w:r>
          </w:p>
          <w:p w14:paraId="7774067B"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Agjencia shtetërore e arkivave të Kosovës Arkivi ndërkomunal - Pejë</w:t>
            </w:r>
          </w:p>
          <w:p w14:paraId="3929983E"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Instituti për mbrojtjen e monumentit “Kulla e Gjokajve”</w:t>
            </w:r>
          </w:p>
          <w:p w14:paraId="0BC24A3C"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Kisha Katolike</w:t>
            </w:r>
          </w:p>
          <w:p w14:paraId="37A68CC1"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Subjekti Hidromed "Ali Kelmendi"</w:t>
            </w:r>
          </w:p>
          <w:p w14:paraId="0B72A15B"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INFRAKOS SH.A. Hekurudha HEKURUDHA E KOSOVËS</w:t>
            </w:r>
          </w:p>
          <w:p w14:paraId="47A4E059"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Hendikos</w:t>
            </w:r>
          </w:p>
          <w:p w14:paraId="1B3F8A54"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Qendra e Bashkësisë Islame</w:t>
            </w:r>
          </w:p>
          <w:p w14:paraId="6FAA83BE"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Qendra e shëndetit mendor</w:t>
            </w:r>
          </w:p>
          <w:p w14:paraId="7B8CF7F2"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Ministria e Mirëqenies Sociale e Shërbimit Sprovues të Republikës së Kosovës</w:t>
            </w:r>
          </w:p>
          <w:p w14:paraId="6A10FCB7"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 xml:space="preserve">Life-Pharm </w:t>
            </w:r>
            <w:r>
              <w:rPr>
                <w:rFonts w:ascii="Arial Narrow" w:hAnsi="Arial Narrow"/>
                <w:color w:val="000000"/>
                <w:kern w:val="2"/>
                <w:sz w:val="20"/>
                <w:szCs w:val="20"/>
                <w:lang w:val="sq-AL"/>
                <w14:ligatures w14:val="standardContextual"/>
              </w:rPr>
              <w:t xml:space="preserve">Ministria e </w:t>
            </w:r>
            <w:r w:rsidRPr="001E633C">
              <w:rPr>
                <w:rFonts w:ascii="Arial Narrow" w:hAnsi="Arial Narrow"/>
                <w:color w:val="000000"/>
                <w:kern w:val="2"/>
                <w:sz w:val="20"/>
                <w:szCs w:val="20"/>
                <w:lang w:val="sq-AL"/>
                <w14:ligatures w14:val="standardContextual"/>
              </w:rPr>
              <w:t>Sh</w:t>
            </w:r>
            <w:r>
              <w:rPr>
                <w:rFonts w:ascii="Arial Narrow" w:hAnsi="Arial Narrow"/>
                <w:color w:val="000000"/>
                <w:kern w:val="2"/>
                <w:sz w:val="20"/>
                <w:szCs w:val="20"/>
                <w:lang w:val="sq-AL"/>
                <w14:ligatures w14:val="standardContextual"/>
              </w:rPr>
              <w:t>ë</w:t>
            </w:r>
            <w:r w:rsidRPr="001E633C">
              <w:rPr>
                <w:rFonts w:ascii="Arial Narrow" w:hAnsi="Arial Narrow"/>
                <w:color w:val="000000"/>
                <w:kern w:val="2"/>
                <w:sz w:val="20"/>
                <w:szCs w:val="20"/>
                <w:lang w:val="sq-AL"/>
                <w14:ligatures w14:val="standardContextual"/>
              </w:rPr>
              <w:t>ndet</w:t>
            </w:r>
            <w:r>
              <w:rPr>
                <w:rFonts w:ascii="Arial Narrow" w:hAnsi="Arial Narrow"/>
                <w:color w:val="000000"/>
                <w:kern w:val="2"/>
                <w:sz w:val="20"/>
                <w:szCs w:val="20"/>
                <w:lang w:val="sq-AL"/>
                <w14:ligatures w14:val="standardContextual"/>
              </w:rPr>
              <w:t>ë</w:t>
            </w:r>
            <w:r w:rsidRPr="001E633C">
              <w:rPr>
                <w:rFonts w:ascii="Arial Narrow" w:hAnsi="Arial Narrow"/>
                <w:color w:val="000000"/>
                <w:kern w:val="2"/>
                <w:sz w:val="20"/>
                <w:szCs w:val="20"/>
                <w:lang w:val="sq-AL"/>
                <w14:ligatures w14:val="standardContextual"/>
              </w:rPr>
              <w:t>sis</w:t>
            </w:r>
            <w:r>
              <w:rPr>
                <w:rFonts w:ascii="Arial Narrow" w:hAnsi="Arial Narrow"/>
                <w:color w:val="000000"/>
                <w:kern w:val="2"/>
                <w:sz w:val="20"/>
                <w:szCs w:val="20"/>
                <w:lang w:val="sq-AL"/>
                <w14:ligatures w14:val="standardContextual"/>
              </w:rPr>
              <w:t>ë</w:t>
            </w:r>
            <w:r w:rsidRPr="001E633C">
              <w:rPr>
                <w:rFonts w:ascii="Arial Narrow" w:hAnsi="Arial Narrow"/>
                <w:color w:val="000000"/>
                <w:kern w:val="2"/>
                <w:sz w:val="20"/>
                <w:szCs w:val="20"/>
                <w:lang w:val="sq-AL"/>
                <w14:ligatures w14:val="standardContextual"/>
              </w:rPr>
              <w:t>a</w:t>
            </w:r>
          </w:p>
          <w:p w14:paraId="28BBF7C9"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Pema - Qendra e Kujdesit Ditor</w:t>
            </w:r>
          </w:p>
          <w:p w14:paraId="4E1DA4CC"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Ent Higjienik</w:t>
            </w:r>
          </w:p>
          <w:p w14:paraId="62480A96"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Burgu i Qarkut</w:t>
            </w:r>
          </w:p>
          <w:p w14:paraId="00CB0C97"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Doganat</w:t>
            </w:r>
          </w:p>
          <w:p w14:paraId="08AEA625" w14:textId="77777777" w:rsidR="00A336F5" w:rsidRPr="001E633C" w:rsidRDefault="00A336F5" w:rsidP="00A336F5">
            <w:pPr>
              <w:rPr>
                <w:rFonts w:ascii="Arial Narrow" w:hAnsi="Arial Narrow"/>
                <w:color w:val="000000"/>
                <w:kern w:val="2"/>
                <w:sz w:val="20"/>
                <w:szCs w:val="20"/>
                <w:lang w:val="sq-AL"/>
                <w14:ligatures w14:val="standardContextual"/>
              </w:rPr>
            </w:pPr>
            <w:r w:rsidRPr="001E633C">
              <w:rPr>
                <w:rFonts w:ascii="Arial Narrow" w:hAnsi="Arial Narrow"/>
                <w:color w:val="000000"/>
                <w:kern w:val="2"/>
                <w:sz w:val="20"/>
                <w:szCs w:val="20"/>
                <w:lang w:val="sq-AL"/>
                <w14:ligatures w14:val="standardContextual"/>
              </w:rPr>
              <w:t>Minist</w:t>
            </w:r>
            <w:r>
              <w:rPr>
                <w:rFonts w:ascii="Arial Narrow" w:hAnsi="Arial Narrow"/>
                <w:color w:val="000000"/>
                <w:kern w:val="2"/>
                <w:sz w:val="20"/>
                <w:szCs w:val="20"/>
                <w:lang w:val="sq-AL"/>
                <w14:ligatures w14:val="standardContextual"/>
              </w:rPr>
              <w:t>ria e</w:t>
            </w:r>
            <w:r w:rsidRPr="001E633C">
              <w:rPr>
                <w:rFonts w:ascii="Arial Narrow" w:hAnsi="Arial Narrow"/>
                <w:color w:val="000000"/>
                <w:kern w:val="2"/>
                <w:sz w:val="20"/>
                <w:szCs w:val="20"/>
                <w:lang w:val="sq-AL"/>
                <w14:ligatures w14:val="standardContextual"/>
              </w:rPr>
              <w:t xml:space="preserve"> MTPT-së</w:t>
            </w:r>
          </w:p>
          <w:p w14:paraId="0B1BEF23" w14:textId="2F289024" w:rsidR="00A336F5" w:rsidRPr="007973B8" w:rsidRDefault="00A336F5" w:rsidP="00A336F5">
            <w:pPr>
              <w:rPr>
                <w:rFonts w:ascii="Arial Narrow" w:hAnsi="Arial Narrow"/>
                <w:color w:val="000000"/>
                <w:sz w:val="20"/>
                <w:szCs w:val="20"/>
              </w:rPr>
            </w:pPr>
            <w:r w:rsidRPr="001E633C">
              <w:rPr>
                <w:rFonts w:ascii="Arial Narrow" w:hAnsi="Arial Narrow"/>
                <w:color w:val="000000"/>
                <w:kern w:val="2"/>
                <w:sz w:val="20"/>
                <w:szCs w:val="20"/>
                <w:lang w:val="sq-AL"/>
                <w14:ligatures w14:val="standardContextual"/>
              </w:rPr>
              <w:t>Shoqatat e dala nga lufta</w:t>
            </w:r>
          </w:p>
        </w:tc>
      </w:tr>
      <w:tr w:rsidR="007D052B" w:rsidRPr="00591F7F" w14:paraId="113003F1" w14:textId="77777777" w:rsidTr="00A336F5">
        <w:trPr>
          <w:trHeight w:val="270"/>
        </w:trPr>
        <w:tc>
          <w:tcPr>
            <w:tcW w:w="698" w:type="pct"/>
            <w:tcBorders>
              <w:top w:val="nil"/>
              <w:left w:val="single" w:sz="4" w:space="0" w:color="auto"/>
              <w:bottom w:val="single" w:sz="4" w:space="0" w:color="auto"/>
              <w:right w:val="single" w:sz="4" w:space="0" w:color="auto"/>
            </w:tcBorders>
            <w:shd w:val="clear" w:color="auto" w:fill="auto"/>
            <w:noWrap/>
            <w:hideMark/>
          </w:tcPr>
          <w:p w14:paraId="4248CD19" w14:textId="77777777" w:rsidR="007D052B" w:rsidRPr="00591F7F" w:rsidRDefault="007D052B" w:rsidP="00591F7F">
            <w:pPr>
              <w:rPr>
                <w:rFonts w:ascii="Arial Narrow" w:hAnsi="Arial Narrow"/>
                <w:color w:val="000000"/>
                <w:sz w:val="20"/>
                <w:szCs w:val="20"/>
              </w:rPr>
            </w:pPr>
            <w:r w:rsidRPr="00591F7F">
              <w:rPr>
                <w:rFonts w:ascii="Arial Narrow" w:hAnsi="Arial Narrow"/>
                <w:color w:val="000000"/>
                <w:sz w:val="20"/>
                <w:szCs w:val="20"/>
              </w:rPr>
              <w:lastRenderedPageBreak/>
              <w:t>Istog</w:t>
            </w:r>
          </w:p>
        </w:tc>
        <w:tc>
          <w:tcPr>
            <w:tcW w:w="876" w:type="pct"/>
            <w:tcBorders>
              <w:top w:val="nil"/>
              <w:left w:val="nil"/>
              <w:bottom w:val="single" w:sz="4" w:space="0" w:color="auto"/>
              <w:right w:val="single" w:sz="4" w:space="0" w:color="auto"/>
            </w:tcBorders>
            <w:shd w:val="clear" w:color="auto" w:fill="auto"/>
            <w:noWrap/>
            <w:hideMark/>
          </w:tcPr>
          <w:p w14:paraId="24E8B4A6" w14:textId="77777777" w:rsidR="00401D80" w:rsidRPr="00591F7F" w:rsidRDefault="007D052B" w:rsidP="00591F7F">
            <w:pPr>
              <w:rPr>
                <w:rFonts w:ascii="Arial Narrow" w:hAnsi="Arial Narrow"/>
                <w:color w:val="000000"/>
                <w:sz w:val="20"/>
                <w:szCs w:val="20"/>
                <w:lang w:val="sq-AL"/>
              </w:rPr>
            </w:pPr>
            <w:r w:rsidRPr="00591F7F">
              <w:rPr>
                <w:rFonts w:ascii="Arial Narrow" w:hAnsi="Arial Narrow"/>
                <w:color w:val="000000"/>
                <w:sz w:val="20"/>
                <w:szCs w:val="20"/>
                <w:lang w:val="sq-AL"/>
              </w:rPr>
              <w:t>1 CCMF</w:t>
            </w:r>
          </w:p>
          <w:p w14:paraId="7DF0FD16" w14:textId="0C4DEF79" w:rsidR="007D052B" w:rsidRPr="00591F7F" w:rsidRDefault="007D052B" w:rsidP="00591F7F">
            <w:pPr>
              <w:rPr>
                <w:rFonts w:ascii="Arial Narrow" w:hAnsi="Arial Narrow"/>
                <w:color w:val="000000"/>
                <w:sz w:val="20"/>
                <w:szCs w:val="20"/>
              </w:rPr>
            </w:pPr>
            <w:r w:rsidRPr="00591F7F">
              <w:rPr>
                <w:rFonts w:ascii="Arial Narrow" w:hAnsi="Arial Narrow"/>
                <w:color w:val="000000"/>
                <w:sz w:val="20"/>
                <w:szCs w:val="20"/>
                <w:lang w:val="sq-AL"/>
              </w:rPr>
              <w:t>8 QMF</w:t>
            </w:r>
          </w:p>
        </w:tc>
        <w:tc>
          <w:tcPr>
            <w:tcW w:w="1328" w:type="pct"/>
            <w:tcBorders>
              <w:top w:val="nil"/>
              <w:left w:val="nil"/>
              <w:bottom w:val="single" w:sz="4" w:space="0" w:color="auto"/>
              <w:right w:val="single" w:sz="4" w:space="0" w:color="auto"/>
            </w:tcBorders>
            <w:shd w:val="clear" w:color="auto" w:fill="auto"/>
            <w:noWrap/>
            <w:hideMark/>
          </w:tcPr>
          <w:p w14:paraId="01DAAE47" w14:textId="77777777" w:rsidR="00401D80" w:rsidRPr="00591F7F" w:rsidRDefault="007D052B" w:rsidP="00591F7F">
            <w:pPr>
              <w:rPr>
                <w:rFonts w:ascii="Arial Narrow" w:hAnsi="Arial Narrow"/>
                <w:color w:val="000000"/>
                <w:sz w:val="20"/>
                <w:szCs w:val="20"/>
                <w:lang w:val="sq-AL"/>
              </w:rPr>
            </w:pPr>
            <w:r w:rsidRPr="00591F7F">
              <w:rPr>
                <w:rFonts w:ascii="Arial Narrow" w:hAnsi="Arial Narrow"/>
                <w:color w:val="000000"/>
                <w:sz w:val="20"/>
                <w:szCs w:val="20"/>
                <w:lang w:val="sq-AL"/>
              </w:rPr>
              <w:t>13 shkolla fillore</w:t>
            </w:r>
          </w:p>
          <w:p w14:paraId="3783D961" w14:textId="77777777" w:rsidR="00401D80" w:rsidRPr="00591F7F" w:rsidRDefault="007D052B" w:rsidP="00591F7F">
            <w:pPr>
              <w:rPr>
                <w:rFonts w:ascii="Arial Narrow" w:hAnsi="Arial Narrow"/>
                <w:color w:val="000000"/>
                <w:sz w:val="20"/>
                <w:szCs w:val="20"/>
                <w:lang w:val="sq-AL"/>
              </w:rPr>
            </w:pPr>
            <w:r w:rsidRPr="00591F7F">
              <w:rPr>
                <w:rFonts w:ascii="Arial Narrow" w:hAnsi="Arial Narrow"/>
                <w:color w:val="000000"/>
                <w:sz w:val="20"/>
                <w:szCs w:val="20"/>
                <w:lang w:val="sq-AL"/>
              </w:rPr>
              <w:t>2 shkolla të mesme</w:t>
            </w:r>
          </w:p>
          <w:p w14:paraId="22F35C37" w14:textId="77777777" w:rsidR="00401D80" w:rsidRPr="00591F7F" w:rsidRDefault="007D052B" w:rsidP="00591F7F">
            <w:pPr>
              <w:rPr>
                <w:rFonts w:ascii="Arial Narrow" w:hAnsi="Arial Narrow"/>
                <w:color w:val="000000"/>
                <w:sz w:val="20"/>
                <w:szCs w:val="20"/>
                <w:lang w:val="sq-AL"/>
              </w:rPr>
            </w:pPr>
            <w:r w:rsidRPr="00591F7F">
              <w:rPr>
                <w:rFonts w:ascii="Arial Narrow" w:hAnsi="Arial Narrow"/>
                <w:color w:val="000000"/>
                <w:sz w:val="20"/>
                <w:szCs w:val="20"/>
                <w:lang w:val="sq-AL"/>
              </w:rPr>
              <w:t>8 institucione</w:t>
            </w:r>
          </w:p>
          <w:p w14:paraId="212A405C" w14:textId="3419E0C0" w:rsidR="007D052B" w:rsidRPr="00591F7F" w:rsidRDefault="007D052B" w:rsidP="00591F7F">
            <w:pPr>
              <w:rPr>
                <w:rFonts w:ascii="Arial Narrow" w:hAnsi="Arial Narrow"/>
                <w:color w:val="000000"/>
                <w:sz w:val="20"/>
                <w:szCs w:val="20"/>
              </w:rPr>
            </w:pPr>
            <w:r w:rsidRPr="00591F7F">
              <w:rPr>
                <w:rFonts w:ascii="Arial Narrow" w:hAnsi="Arial Narrow"/>
                <w:color w:val="000000"/>
                <w:sz w:val="20"/>
                <w:szCs w:val="20"/>
                <w:lang w:val="sq-AL"/>
              </w:rPr>
              <w:t xml:space="preserve">10 </w:t>
            </w:r>
            <w:r w:rsidR="00A336F5">
              <w:rPr>
                <w:rFonts w:ascii="Arial Narrow" w:hAnsi="Arial Narrow"/>
                <w:color w:val="000000"/>
                <w:sz w:val="20"/>
                <w:szCs w:val="20"/>
                <w:lang w:val="sq-AL"/>
              </w:rPr>
              <w:t xml:space="preserve">institucione </w:t>
            </w:r>
            <w:r w:rsidRPr="00591F7F">
              <w:rPr>
                <w:rFonts w:ascii="Arial Narrow" w:hAnsi="Arial Narrow"/>
                <w:color w:val="000000"/>
                <w:sz w:val="20"/>
                <w:szCs w:val="20"/>
                <w:lang w:val="sq-AL"/>
              </w:rPr>
              <w:t>parashkollor</w:t>
            </w:r>
            <w:r w:rsidR="00A336F5">
              <w:rPr>
                <w:rFonts w:ascii="Arial Narrow" w:hAnsi="Arial Narrow"/>
                <w:color w:val="000000"/>
                <w:sz w:val="20"/>
                <w:szCs w:val="20"/>
                <w:lang w:val="sq-AL"/>
              </w:rPr>
              <w:t>e</w:t>
            </w:r>
          </w:p>
        </w:tc>
        <w:tc>
          <w:tcPr>
            <w:tcW w:w="701" w:type="pct"/>
            <w:tcBorders>
              <w:top w:val="nil"/>
              <w:left w:val="nil"/>
              <w:bottom w:val="single" w:sz="4" w:space="0" w:color="auto"/>
              <w:right w:val="single" w:sz="4" w:space="0" w:color="auto"/>
            </w:tcBorders>
            <w:shd w:val="clear" w:color="auto" w:fill="auto"/>
            <w:noWrap/>
            <w:hideMark/>
          </w:tcPr>
          <w:p w14:paraId="6CF3DD90" w14:textId="77777777" w:rsidR="007D052B" w:rsidRPr="00591F7F" w:rsidRDefault="007D052B" w:rsidP="00591F7F">
            <w:pPr>
              <w:rPr>
                <w:rFonts w:ascii="Arial Narrow" w:hAnsi="Arial Narrow"/>
                <w:color w:val="000000"/>
                <w:sz w:val="20"/>
                <w:szCs w:val="20"/>
              </w:rPr>
            </w:pPr>
            <w:r w:rsidRPr="00591F7F">
              <w:rPr>
                <w:rFonts w:ascii="Arial Narrow" w:hAnsi="Arial Narrow"/>
                <w:color w:val="000000"/>
                <w:sz w:val="20"/>
                <w:szCs w:val="20"/>
                <w:lang w:val="sq-AL"/>
              </w:rPr>
              <w:t>1 Bibliotekë</w:t>
            </w:r>
          </w:p>
        </w:tc>
        <w:tc>
          <w:tcPr>
            <w:tcW w:w="1398" w:type="pct"/>
            <w:tcBorders>
              <w:top w:val="nil"/>
              <w:left w:val="nil"/>
              <w:bottom w:val="single" w:sz="4" w:space="0" w:color="auto"/>
              <w:right w:val="single" w:sz="4" w:space="0" w:color="auto"/>
            </w:tcBorders>
            <w:shd w:val="clear" w:color="auto" w:fill="auto"/>
            <w:noWrap/>
            <w:hideMark/>
          </w:tcPr>
          <w:p w14:paraId="70344288" w14:textId="77777777" w:rsidR="00401D80" w:rsidRPr="00591F7F" w:rsidRDefault="007D052B" w:rsidP="00591F7F">
            <w:pPr>
              <w:rPr>
                <w:rFonts w:ascii="Arial Narrow" w:hAnsi="Arial Narrow"/>
                <w:color w:val="000000"/>
                <w:sz w:val="20"/>
                <w:szCs w:val="20"/>
                <w:lang w:val="sq-AL"/>
              </w:rPr>
            </w:pPr>
            <w:r w:rsidRPr="00591F7F">
              <w:rPr>
                <w:rFonts w:ascii="Arial Narrow" w:hAnsi="Arial Narrow"/>
                <w:color w:val="000000"/>
                <w:sz w:val="20"/>
                <w:szCs w:val="20"/>
                <w:lang w:val="sq-AL"/>
              </w:rPr>
              <w:t>3 zyra postare</w:t>
            </w:r>
          </w:p>
          <w:p w14:paraId="6287DCD7" w14:textId="2523F9D6" w:rsidR="007D052B" w:rsidRPr="00591F7F" w:rsidRDefault="007D052B" w:rsidP="00591F7F">
            <w:pPr>
              <w:rPr>
                <w:rFonts w:ascii="Arial Narrow" w:hAnsi="Arial Narrow"/>
                <w:color w:val="000000"/>
                <w:sz w:val="20"/>
                <w:szCs w:val="20"/>
              </w:rPr>
            </w:pPr>
            <w:r w:rsidRPr="00591F7F">
              <w:rPr>
                <w:rFonts w:ascii="Arial Narrow" w:hAnsi="Arial Narrow"/>
                <w:color w:val="000000"/>
                <w:sz w:val="20"/>
                <w:szCs w:val="20"/>
                <w:lang w:val="sq-AL"/>
              </w:rPr>
              <w:t>1 stacion zjarrfikës</w:t>
            </w:r>
          </w:p>
        </w:tc>
      </w:tr>
      <w:tr w:rsidR="007D052B" w:rsidRPr="00591F7F" w14:paraId="1859D184" w14:textId="77777777" w:rsidTr="00A336F5">
        <w:trPr>
          <w:trHeight w:val="270"/>
        </w:trPr>
        <w:tc>
          <w:tcPr>
            <w:tcW w:w="698" w:type="pct"/>
            <w:tcBorders>
              <w:top w:val="nil"/>
              <w:left w:val="single" w:sz="4" w:space="0" w:color="auto"/>
              <w:bottom w:val="single" w:sz="4" w:space="0" w:color="auto"/>
              <w:right w:val="single" w:sz="4" w:space="0" w:color="auto"/>
            </w:tcBorders>
            <w:shd w:val="clear" w:color="auto" w:fill="auto"/>
            <w:noWrap/>
            <w:hideMark/>
          </w:tcPr>
          <w:p w14:paraId="7A13F43D" w14:textId="77777777" w:rsidR="007D052B" w:rsidRPr="00591F7F" w:rsidRDefault="007D052B" w:rsidP="00591F7F">
            <w:pPr>
              <w:rPr>
                <w:rFonts w:ascii="Arial Narrow" w:hAnsi="Arial Narrow"/>
                <w:color w:val="000000"/>
                <w:sz w:val="20"/>
                <w:szCs w:val="20"/>
              </w:rPr>
            </w:pPr>
            <w:r w:rsidRPr="00591F7F">
              <w:rPr>
                <w:rFonts w:ascii="Arial Narrow" w:hAnsi="Arial Narrow"/>
                <w:color w:val="000000"/>
                <w:sz w:val="20"/>
                <w:szCs w:val="20"/>
              </w:rPr>
              <w:t>Klinë</w:t>
            </w:r>
          </w:p>
        </w:tc>
        <w:tc>
          <w:tcPr>
            <w:tcW w:w="876" w:type="pct"/>
            <w:tcBorders>
              <w:top w:val="nil"/>
              <w:left w:val="nil"/>
              <w:bottom w:val="single" w:sz="4" w:space="0" w:color="auto"/>
              <w:right w:val="single" w:sz="4" w:space="0" w:color="auto"/>
            </w:tcBorders>
            <w:shd w:val="clear" w:color="auto" w:fill="auto"/>
            <w:noWrap/>
            <w:hideMark/>
          </w:tcPr>
          <w:p w14:paraId="057377A0" w14:textId="77777777" w:rsidR="00A336F5" w:rsidRPr="001E633C" w:rsidRDefault="00A336F5" w:rsidP="00A336F5">
            <w:pPr>
              <w:rPr>
                <w:rFonts w:ascii="Arial Narrow" w:hAnsi="Arial Narrow"/>
                <w:color w:val="000000"/>
                <w:sz w:val="20"/>
                <w:szCs w:val="20"/>
                <w:lang w:val="sq-AL"/>
              </w:rPr>
            </w:pPr>
            <w:r w:rsidRPr="001E633C">
              <w:rPr>
                <w:rFonts w:ascii="Arial Narrow" w:hAnsi="Arial Narrow"/>
                <w:color w:val="000000"/>
                <w:sz w:val="20"/>
                <w:szCs w:val="20"/>
                <w:lang w:val="sq-AL"/>
              </w:rPr>
              <w:t xml:space="preserve">13 </w:t>
            </w:r>
            <w:r>
              <w:rPr>
                <w:rFonts w:ascii="Arial Narrow" w:hAnsi="Arial Narrow"/>
                <w:color w:val="000000"/>
                <w:sz w:val="20"/>
                <w:szCs w:val="20"/>
                <w:lang w:val="sq-AL"/>
              </w:rPr>
              <w:t>QKMF</w:t>
            </w:r>
          </w:p>
          <w:p w14:paraId="39C0E7ED" w14:textId="77777777" w:rsidR="00A336F5" w:rsidRPr="001E633C" w:rsidRDefault="00A336F5" w:rsidP="00A336F5">
            <w:pPr>
              <w:rPr>
                <w:rFonts w:ascii="Arial Narrow" w:hAnsi="Arial Narrow"/>
                <w:color w:val="000000"/>
                <w:sz w:val="20"/>
                <w:szCs w:val="20"/>
                <w:lang w:val="sq-AL"/>
              </w:rPr>
            </w:pPr>
            <w:r w:rsidRPr="001E633C">
              <w:rPr>
                <w:rFonts w:ascii="Arial Narrow" w:hAnsi="Arial Narrow"/>
                <w:color w:val="000000"/>
                <w:sz w:val="20"/>
                <w:szCs w:val="20"/>
                <w:lang w:val="sq-AL"/>
              </w:rPr>
              <w:t>3 QMF</w:t>
            </w:r>
          </w:p>
          <w:p w14:paraId="56D4AC42" w14:textId="57374FCD" w:rsidR="00A336F5" w:rsidRDefault="00A336F5" w:rsidP="00A336F5">
            <w:pPr>
              <w:rPr>
                <w:rFonts w:ascii="Arial Narrow" w:hAnsi="Arial Narrow"/>
                <w:color w:val="000000"/>
                <w:sz w:val="20"/>
                <w:szCs w:val="20"/>
                <w:lang w:val="sq-AL"/>
              </w:rPr>
            </w:pPr>
            <w:r w:rsidRPr="001E633C">
              <w:rPr>
                <w:rFonts w:ascii="Arial Narrow" w:hAnsi="Arial Narrow"/>
                <w:color w:val="000000"/>
                <w:sz w:val="20"/>
                <w:szCs w:val="20"/>
                <w:lang w:val="sq-AL"/>
              </w:rPr>
              <w:t>11 AMF</w:t>
            </w:r>
            <w:r>
              <w:rPr>
                <w:rFonts w:ascii="Arial Narrow" w:hAnsi="Arial Narrow"/>
                <w:color w:val="000000"/>
                <w:sz w:val="20"/>
                <w:szCs w:val="20"/>
                <w:lang w:val="sq-AL"/>
              </w:rPr>
              <w:t xml:space="preserve"> – </w:t>
            </w:r>
          </w:p>
          <w:p w14:paraId="6A8DB122" w14:textId="27ED54A3" w:rsidR="007D052B" w:rsidRPr="00591F7F" w:rsidRDefault="00A336F5" w:rsidP="00A336F5">
            <w:pPr>
              <w:rPr>
                <w:rFonts w:ascii="Arial Narrow" w:hAnsi="Arial Narrow"/>
                <w:color w:val="000000"/>
                <w:sz w:val="20"/>
                <w:szCs w:val="20"/>
              </w:rPr>
            </w:pPr>
            <w:r w:rsidRPr="001E633C">
              <w:rPr>
                <w:rFonts w:ascii="Arial Narrow" w:hAnsi="Arial Narrow"/>
                <w:color w:val="000000"/>
                <w:sz w:val="20"/>
                <w:szCs w:val="20"/>
                <w:lang w:val="sq-AL"/>
              </w:rPr>
              <w:t>Spitali rajonal</w:t>
            </w:r>
          </w:p>
        </w:tc>
        <w:tc>
          <w:tcPr>
            <w:tcW w:w="1328" w:type="pct"/>
            <w:tcBorders>
              <w:top w:val="nil"/>
              <w:left w:val="nil"/>
              <w:bottom w:val="single" w:sz="4" w:space="0" w:color="auto"/>
              <w:right w:val="single" w:sz="4" w:space="0" w:color="auto"/>
            </w:tcBorders>
            <w:shd w:val="clear" w:color="auto" w:fill="auto"/>
            <w:noWrap/>
            <w:hideMark/>
          </w:tcPr>
          <w:p w14:paraId="560A33A0" w14:textId="77777777" w:rsidR="00401D80" w:rsidRPr="00591F7F" w:rsidRDefault="007D052B" w:rsidP="00591F7F">
            <w:pPr>
              <w:rPr>
                <w:rFonts w:ascii="Arial Narrow" w:hAnsi="Arial Narrow"/>
                <w:color w:val="000000"/>
                <w:sz w:val="20"/>
                <w:szCs w:val="20"/>
                <w:lang w:val="sq-AL"/>
              </w:rPr>
            </w:pPr>
            <w:r w:rsidRPr="00591F7F">
              <w:rPr>
                <w:rFonts w:ascii="Arial Narrow" w:hAnsi="Arial Narrow"/>
                <w:color w:val="000000"/>
                <w:sz w:val="20"/>
                <w:szCs w:val="20"/>
                <w:lang w:val="sq-AL"/>
              </w:rPr>
              <w:t>26 shkolla fillore</w:t>
            </w:r>
          </w:p>
          <w:p w14:paraId="58D1519F" w14:textId="2EBAF9B4" w:rsidR="007D052B" w:rsidRPr="00591F7F" w:rsidRDefault="007D052B" w:rsidP="00591F7F">
            <w:pPr>
              <w:rPr>
                <w:rFonts w:ascii="Arial Narrow" w:hAnsi="Arial Narrow"/>
                <w:color w:val="000000"/>
                <w:sz w:val="20"/>
                <w:szCs w:val="20"/>
              </w:rPr>
            </w:pPr>
            <w:r w:rsidRPr="00591F7F">
              <w:rPr>
                <w:rFonts w:ascii="Arial Narrow" w:hAnsi="Arial Narrow"/>
                <w:color w:val="000000"/>
                <w:sz w:val="20"/>
                <w:szCs w:val="20"/>
                <w:lang w:val="sq-AL"/>
              </w:rPr>
              <w:t>2 shkolla të mesme</w:t>
            </w:r>
          </w:p>
        </w:tc>
        <w:tc>
          <w:tcPr>
            <w:tcW w:w="701" w:type="pct"/>
            <w:tcBorders>
              <w:top w:val="nil"/>
              <w:left w:val="nil"/>
              <w:bottom w:val="single" w:sz="4" w:space="0" w:color="auto"/>
              <w:right w:val="single" w:sz="4" w:space="0" w:color="auto"/>
            </w:tcBorders>
            <w:shd w:val="clear" w:color="auto" w:fill="auto"/>
            <w:noWrap/>
            <w:hideMark/>
          </w:tcPr>
          <w:p w14:paraId="4A878A60" w14:textId="655245D6" w:rsidR="00A039C4" w:rsidRPr="00591F7F" w:rsidRDefault="007D052B" w:rsidP="00591F7F">
            <w:pPr>
              <w:rPr>
                <w:rFonts w:ascii="Arial Narrow" w:hAnsi="Arial Narrow"/>
                <w:color w:val="000000"/>
                <w:sz w:val="20"/>
                <w:szCs w:val="20"/>
                <w:lang w:val="sq-AL"/>
              </w:rPr>
            </w:pPr>
            <w:r w:rsidRPr="00591F7F">
              <w:rPr>
                <w:rFonts w:ascii="Arial Narrow" w:hAnsi="Arial Narrow"/>
                <w:color w:val="000000"/>
                <w:sz w:val="20"/>
                <w:szCs w:val="20"/>
                <w:lang w:val="sq-AL"/>
              </w:rPr>
              <w:t>1 Bibliotekë</w:t>
            </w:r>
          </w:p>
          <w:p w14:paraId="71352CA8" w14:textId="7CCE831D" w:rsidR="007D052B" w:rsidRPr="00591F7F" w:rsidRDefault="007D052B" w:rsidP="00591F7F">
            <w:pPr>
              <w:rPr>
                <w:rFonts w:ascii="Arial Narrow" w:hAnsi="Arial Narrow"/>
                <w:color w:val="000000"/>
                <w:sz w:val="20"/>
                <w:szCs w:val="20"/>
              </w:rPr>
            </w:pPr>
            <w:r w:rsidRPr="00591F7F">
              <w:rPr>
                <w:rFonts w:ascii="Arial Narrow" w:hAnsi="Arial Narrow"/>
                <w:color w:val="000000"/>
                <w:sz w:val="20"/>
                <w:szCs w:val="20"/>
                <w:lang w:val="sq-AL"/>
              </w:rPr>
              <w:t xml:space="preserve">1 shtëpi </w:t>
            </w:r>
            <w:r w:rsidR="00A336F5">
              <w:rPr>
                <w:rFonts w:ascii="Arial Narrow" w:hAnsi="Arial Narrow"/>
                <w:color w:val="000000"/>
                <w:sz w:val="20"/>
                <w:szCs w:val="20"/>
                <w:lang w:val="sq-AL"/>
              </w:rPr>
              <w:t xml:space="preserve">e </w:t>
            </w:r>
            <w:r w:rsidRPr="00591F7F">
              <w:rPr>
                <w:rFonts w:ascii="Arial Narrow" w:hAnsi="Arial Narrow"/>
                <w:color w:val="000000"/>
                <w:sz w:val="20"/>
                <w:szCs w:val="20"/>
                <w:lang w:val="sq-AL"/>
              </w:rPr>
              <w:t>kult</w:t>
            </w:r>
            <w:r w:rsidR="00A336F5">
              <w:rPr>
                <w:rFonts w:ascii="Arial Narrow" w:hAnsi="Arial Narrow"/>
                <w:color w:val="000000"/>
                <w:sz w:val="20"/>
                <w:szCs w:val="20"/>
                <w:lang w:val="sq-AL"/>
              </w:rPr>
              <w:t>urës</w:t>
            </w:r>
          </w:p>
        </w:tc>
        <w:tc>
          <w:tcPr>
            <w:tcW w:w="1398" w:type="pct"/>
            <w:tcBorders>
              <w:top w:val="nil"/>
              <w:left w:val="nil"/>
              <w:bottom w:val="single" w:sz="4" w:space="0" w:color="auto"/>
              <w:right w:val="single" w:sz="4" w:space="0" w:color="auto"/>
            </w:tcBorders>
            <w:shd w:val="clear" w:color="auto" w:fill="auto"/>
            <w:noWrap/>
            <w:hideMark/>
          </w:tcPr>
          <w:p w14:paraId="449E87F5" w14:textId="77777777" w:rsidR="00401D80" w:rsidRPr="00591F7F" w:rsidRDefault="007D052B" w:rsidP="00591F7F">
            <w:pPr>
              <w:rPr>
                <w:rFonts w:ascii="Arial Narrow" w:hAnsi="Arial Narrow"/>
                <w:color w:val="000000"/>
                <w:sz w:val="20"/>
                <w:szCs w:val="20"/>
                <w:lang w:val="sq-AL"/>
              </w:rPr>
            </w:pPr>
            <w:r w:rsidRPr="00591F7F">
              <w:rPr>
                <w:rFonts w:ascii="Arial Narrow" w:hAnsi="Arial Narrow"/>
                <w:color w:val="000000"/>
                <w:sz w:val="20"/>
                <w:szCs w:val="20"/>
                <w:lang w:val="sq-AL"/>
              </w:rPr>
              <w:t>1 Zyrë Postare</w:t>
            </w:r>
          </w:p>
          <w:p w14:paraId="19B2148E" w14:textId="58B254A7" w:rsidR="00401D80" w:rsidRPr="00591F7F" w:rsidRDefault="007D052B" w:rsidP="00591F7F">
            <w:pPr>
              <w:rPr>
                <w:rFonts w:ascii="Arial Narrow" w:hAnsi="Arial Narrow"/>
                <w:color w:val="000000"/>
                <w:sz w:val="20"/>
                <w:szCs w:val="20"/>
                <w:lang w:val="sq-AL"/>
              </w:rPr>
            </w:pPr>
            <w:r w:rsidRPr="00591F7F">
              <w:rPr>
                <w:rFonts w:ascii="Arial Narrow" w:hAnsi="Arial Narrow"/>
                <w:color w:val="000000"/>
                <w:sz w:val="20"/>
                <w:szCs w:val="20"/>
                <w:lang w:val="sq-AL"/>
              </w:rPr>
              <w:t xml:space="preserve">1 </w:t>
            </w:r>
            <w:r w:rsidR="00A336F5">
              <w:rPr>
                <w:rFonts w:ascii="Arial Narrow" w:hAnsi="Arial Narrow"/>
                <w:color w:val="000000"/>
                <w:sz w:val="20"/>
                <w:szCs w:val="20"/>
                <w:lang w:val="sq-AL"/>
              </w:rPr>
              <w:t>stacion zjarrfikësish</w:t>
            </w:r>
          </w:p>
          <w:p w14:paraId="2FF5761F" w14:textId="252A8F34" w:rsidR="00401D80" w:rsidRPr="00591F7F" w:rsidRDefault="007D052B" w:rsidP="00591F7F">
            <w:pPr>
              <w:rPr>
                <w:rFonts w:ascii="Arial Narrow" w:hAnsi="Arial Narrow"/>
                <w:color w:val="000000"/>
                <w:sz w:val="20"/>
                <w:szCs w:val="20"/>
                <w:lang w:val="sq-AL"/>
              </w:rPr>
            </w:pPr>
            <w:r w:rsidRPr="00591F7F">
              <w:rPr>
                <w:rFonts w:ascii="Arial Narrow" w:hAnsi="Arial Narrow"/>
                <w:color w:val="000000"/>
                <w:sz w:val="20"/>
                <w:szCs w:val="20"/>
                <w:lang w:val="sq-AL"/>
              </w:rPr>
              <w:t xml:space="preserve">13 zyra </w:t>
            </w:r>
            <w:r w:rsidR="00A336F5">
              <w:rPr>
                <w:rFonts w:ascii="Arial Narrow" w:hAnsi="Arial Narrow"/>
                <w:color w:val="000000"/>
                <w:sz w:val="20"/>
                <w:szCs w:val="20"/>
                <w:lang w:val="sq-AL"/>
              </w:rPr>
              <w:t>të gjendjes</w:t>
            </w:r>
            <w:r w:rsidRPr="00591F7F">
              <w:rPr>
                <w:rFonts w:ascii="Arial Narrow" w:hAnsi="Arial Narrow"/>
                <w:color w:val="000000"/>
                <w:sz w:val="20"/>
                <w:szCs w:val="20"/>
                <w:lang w:val="sq-AL"/>
              </w:rPr>
              <w:t xml:space="preserve"> civil</w:t>
            </w:r>
            <w:r w:rsidR="00A336F5">
              <w:rPr>
                <w:rFonts w:ascii="Arial Narrow" w:hAnsi="Arial Narrow"/>
                <w:color w:val="000000"/>
                <w:sz w:val="20"/>
                <w:szCs w:val="20"/>
                <w:lang w:val="sq-AL"/>
              </w:rPr>
              <w:t>e</w:t>
            </w:r>
          </w:p>
          <w:p w14:paraId="03ACD2E7" w14:textId="77777777" w:rsidR="00401D80" w:rsidRPr="00591F7F" w:rsidRDefault="007D052B" w:rsidP="00591F7F">
            <w:pPr>
              <w:rPr>
                <w:rFonts w:ascii="Arial Narrow" w:hAnsi="Arial Narrow"/>
                <w:color w:val="000000"/>
                <w:sz w:val="20"/>
                <w:szCs w:val="20"/>
                <w:lang w:val="sq-AL"/>
              </w:rPr>
            </w:pPr>
            <w:r w:rsidRPr="00591F7F">
              <w:rPr>
                <w:rFonts w:ascii="Arial Narrow" w:hAnsi="Arial Narrow"/>
                <w:color w:val="000000"/>
                <w:sz w:val="20"/>
                <w:szCs w:val="20"/>
                <w:lang w:val="sq-AL"/>
              </w:rPr>
              <w:t>1 QKRA</w:t>
            </w:r>
          </w:p>
          <w:p w14:paraId="1FFF1874" w14:textId="3C4D7C78" w:rsidR="007D052B" w:rsidRPr="00591F7F" w:rsidRDefault="007D052B" w:rsidP="00591F7F">
            <w:pPr>
              <w:rPr>
                <w:rFonts w:ascii="Arial Narrow" w:hAnsi="Arial Narrow"/>
                <w:color w:val="000000"/>
                <w:sz w:val="20"/>
                <w:szCs w:val="20"/>
              </w:rPr>
            </w:pPr>
            <w:r w:rsidRPr="00591F7F">
              <w:rPr>
                <w:rFonts w:ascii="Arial Narrow" w:hAnsi="Arial Narrow"/>
                <w:color w:val="000000"/>
                <w:sz w:val="20"/>
                <w:szCs w:val="20"/>
                <w:lang w:val="sq-AL"/>
              </w:rPr>
              <w:lastRenderedPageBreak/>
              <w:t>1CRC</w:t>
            </w:r>
          </w:p>
        </w:tc>
      </w:tr>
      <w:tr w:rsidR="007D052B" w:rsidRPr="00591F7F" w14:paraId="3EF584B5" w14:textId="77777777" w:rsidTr="00A336F5">
        <w:trPr>
          <w:trHeight w:val="270"/>
        </w:trPr>
        <w:tc>
          <w:tcPr>
            <w:tcW w:w="698" w:type="pct"/>
            <w:tcBorders>
              <w:top w:val="nil"/>
              <w:left w:val="single" w:sz="4" w:space="0" w:color="auto"/>
              <w:bottom w:val="single" w:sz="4" w:space="0" w:color="auto"/>
              <w:right w:val="single" w:sz="4" w:space="0" w:color="auto"/>
            </w:tcBorders>
            <w:shd w:val="clear" w:color="auto" w:fill="auto"/>
            <w:noWrap/>
            <w:hideMark/>
          </w:tcPr>
          <w:p w14:paraId="48C77158" w14:textId="77777777" w:rsidR="007D052B" w:rsidRPr="00591F7F" w:rsidRDefault="007D052B" w:rsidP="00591F7F">
            <w:pPr>
              <w:rPr>
                <w:rFonts w:ascii="Arial Narrow" w:hAnsi="Arial Narrow"/>
                <w:color w:val="000000"/>
                <w:sz w:val="20"/>
                <w:szCs w:val="20"/>
              </w:rPr>
            </w:pPr>
            <w:r w:rsidRPr="00591F7F">
              <w:rPr>
                <w:rFonts w:ascii="Arial Narrow" w:hAnsi="Arial Narrow"/>
                <w:color w:val="000000"/>
                <w:sz w:val="20"/>
                <w:szCs w:val="20"/>
              </w:rPr>
              <w:lastRenderedPageBreak/>
              <w:t>Deçan</w:t>
            </w:r>
          </w:p>
        </w:tc>
        <w:tc>
          <w:tcPr>
            <w:tcW w:w="876" w:type="pct"/>
            <w:tcBorders>
              <w:top w:val="nil"/>
              <w:left w:val="nil"/>
              <w:bottom w:val="single" w:sz="4" w:space="0" w:color="auto"/>
              <w:right w:val="single" w:sz="4" w:space="0" w:color="auto"/>
            </w:tcBorders>
            <w:shd w:val="clear" w:color="auto" w:fill="auto"/>
            <w:noWrap/>
            <w:hideMark/>
          </w:tcPr>
          <w:p w14:paraId="2654263F" w14:textId="77777777" w:rsidR="007D052B" w:rsidRPr="00591F7F" w:rsidRDefault="007D052B" w:rsidP="00591F7F">
            <w:pPr>
              <w:rPr>
                <w:rFonts w:ascii="Arial Narrow" w:hAnsi="Arial Narrow"/>
                <w:color w:val="000000"/>
                <w:sz w:val="20"/>
                <w:szCs w:val="20"/>
              </w:rPr>
            </w:pPr>
            <w:r w:rsidRPr="00591F7F">
              <w:rPr>
                <w:rFonts w:ascii="Arial Narrow" w:hAnsi="Arial Narrow"/>
                <w:color w:val="000000"/>
                <w:sz w:val="20"/>
                <w:szCs w:val="20"/>
                <w:lang w:val="sq-AL"/>
              </w:rPr>
              <w:t>1 QKMF, QMF, spital rajonal, klinika, klinikë private</w:t>
            </w:r>
          </w:p>
        </w:tc>
        <w:tc>
          <w:tcPr>
            <w:tcW w:w="1328" w:type="pct"/>
            <w:tcBorders>
              <w:top w:val="nil"/>
              <w:left w:val="nil"/>
              <w:bottom w:val="single" w:sz="4" w:space="0" w:color="auto"/>
              <w:right w:val="single" w:sz="4" w:space="0" w:color="auto"/>
            </w:tcBorders>
            <w:shd w:val="clear" w:color="auto" w:fill="auto"/>
            <w:noWrap/>
            <w:hideMark/>
          </w:tcPr>
          <w:p w14:paraId="40E5D4FB" w14:textId="4FA99786" w:rsidR="00401D80" w:rsidRPr="00591F7F" w:rsidRDefault="00000E6B" w:rsidP="00591F7F">
            <w:pPr>
              <w:rPr>
                <w:rFonts w:ascii="Arial Narrow" w:hAnsi="Arial Narrow"/>
                <w:color w:val="000000"/>
                <w:sz w:val="20"/>
                <w:szCs w:val="20"/>
                <w:lang w:val="sq-AL"/>
              </w:rPr>
            </w:pPr>
            <w:r>
              <w:rPr>
                <w:rFonts w:ascii="Arial Narrow" w:hAnsi="Arial Narrow"/>
                <w:color w:val="000000"/>
                <w:sz w:val="20"/>
                <w:szCs w:val="20"/>
                <w:lang w:val="sq-AL"/>
              </w:rPr>
              <w:t xml:space="preserve">19 </w:t>
            </w:r>
            <w:r w:rsidR="007D052B" w:rsidRPr="00591F7F">
              <w:rPr>
                <w:rFonts w:ascii="Arial Narrow" w:hAnsi="Arial Narrow"/>
                <w:color w:val="000000"/>
                <w:sz w:val="20"/>
                <w:szCs w:val="20"/>
                <w:lang w:val="sq-AL"/>
              </w:rPr>
              <w:t>shkoll</w:t>
            </w:r>
            <w:r>
              <w:rPr>
                <w:rFonts w:ascii="Arial Narrow" w:hAnsi="Arial Narrow"/>
                <w:color w:val="000000"/>
                <w:sz w:val="20"/>
                <w:szCs w:val="20"/>
                <w:lang w:val="sq-AL"/>
              </w:rPr>
              <w:t>a</w:t>
            </w:r>
            <w:r w:rsidR="007D052B" w:rsidRPr="00591F7F">
              <w:rPr>
                <w:rFonts w:ascii="Arial Narrow" w:hAnsi="Arial Narrow"/>
                <w:color w:val="000000"/>
                <w:sz w:val="20"/>
                <w:szCs w:val="20"/>
                <w:lang w:val="sq-AL"/>
              </w:rPr>
              <w:t xml:space="preserve"> fillore</w:t>
            </w:r>
          </w:p>
          <w:p w14:paraId="7806E7CD" w14:textId="77777777" w:rsidR="00401D80" w:rsidRPr="00591F7F" w:rsidRDefault="007D052B" w:rsidP="00591F7F">
            <w:pPr>
              <w:rPr>
                <w:rFonts w:ascii="Arial Narrow" w:hAnsi="Arial Narrow"/>
                <w:color w:val="000000"/>
                <w:sz w:val="20"/>
                <w:szCs w:val="20"/>
                <w:lang w:val="sq-AL"/>
              </w:rPr>
            </w:pPr>
            <w:r w:rsidRPr="00591F7F">
              <w:rPr>
                <w:rFonts w:ascii="Arial Narrow" w:hAnsi="Arial Narrow"/>
                <w:color w:val="000000"/>
                <w:sz w:val="20"/>
                <w:szCs w:val="20"/>
                <w:lang w:val="sq-AL"/>
              </w:rPr>
              <w:t>2 shkollë e mesme</w:t>
            </w:r>
          </w:p>
          <w:p w14:paraId="3FB9F5E1" w14:textId="77777777" w:rsidR="00401D80" w:rsidRPr="00591F7F" w:rsidRDefault="007D052B" w:rsidP="00591F7F">
            <w:pPr>
              <w:rPr>
                <w:rFonts w:ascii="Arial Narrow" w:hAnsi="Arial Narrow"/>
                <w:color w:val="000000"/>
                <w:sz w:val="20"/>
                <w:szCs w:val="20"/>
                <w:lang w:val="sq-AL"/>
              </w:rPr>
            </w:pPr>
            <w:r w:rsidRPr="00591F7F">
              <w:rPr>
                <w:rFonts w:ascii="Arial Narrow" w:hAnsi="Arial Narrow"/>
                <w:color w:val="000000"/>
                <w:sz w:val="20"/>
                <w:szCs w:val="20"/>
                <w:lang w:val="sq-AL"/>
              </w:rPr>
              <w:t>institucionet parashkollore</w:t>
            </w:r>
          </w:p>
          <w:p w14:paraId="054BFA3C" w14:textId="776D85FB" w:rsidR="007D052B" w:rsidRPr="00591F7F" w:rsidRDefault="007D052B" w:rsidP="00591F7F">
            <w:pPr>
              <w:rPr>
                <w:rFonts w:ascii="Arial Narrow" w:hAnsi="Arial Narrow"/>
                <w:color w:val="000000"/>
                <w:sz w:val="20"/>
                <w:szCs w:val="20"/>
              </w:rPr>
            </w:pPr>
            <w:r w:rsidRPr="00591F7F">
              <w:rPr>
                <w:rFonts w:ascii="Arial Narrow" w:hAnsi="Arial Narrow"/>
                <w:color w:val="000000"/>
                <w:sz w:val="20"/>
                <w:szCs w:val="20"/>
                <w:lang w:val="sq-AL"/>
              </w:rPr>
              <w:t>Universiteti</w:t>
            </w:r>
          </w:p>
        </w:tc>
        <w:tc>
          <w:tcPr>
            <w:tcW w:w="701" w:type="pct"/>
            <w:tcBorders>
              <w:top w:val="nil"/>
              <w:left w:val="nil"/>
              <w:bottom w:val="single" w:sz="4" w:space="0" w:color="auto"/>
              <w:right w:val="single" w:sz="4" w:space="0" w:color="auto"/>
            </w:tcBorders>
            <w:shd w:val="clear" w:color="auto" w:fill="auto"/>
            <w:noWrap/>
            <w:hideMark/>
          </w:tcPr>
          <w:p w14:paraId="0814BD3F" w14:textId="1EACC6C5" w:rsidR="00A039C4" w:rsidRPr="00591F7F" w:rsidRDefault="007D052B" w:rsidP="00591F7F">
            <w:pPr>
              <w:rPr>
                <w:rFonts w:ascii="Arial Narrow" w:hAnsi="Arial Narrow"/>
                <w:color w:val="000000"/>
                <w:sz w:val="20"/>
                <w:szCs w:val="20"/>
                <w:lang w:val="sq-AL"/>
              </w:rPr>
            </w:pPr>
            <w:r w:rsidRPr="00591F7F">
              <w:rPr>
                <w:rFonts w:ascii="Arial Narrow" w:hAnsi="Arial Narrow"/>
                <w:color w:val="000000"/>
                <w:sz w:val="20"/>
                <w:szCs w:val="20"/>
                <w:lang w:val="sq-AL"/>
              </w:rPr>
              <w:t>1 Muze</w:t>
            </w:r>
          </w:p>
          <w:p w14:paraId="4ECB7DE1" w14:textId="4CD4502D" w:rsidR="007D052B" w:rsidRPr="00591F7F" w:rsidRDefault="007D052B" w:rsidP="00591F7F">
            <w:pPr>
              <w:rPr>
                <w:rFonts w:ascii="Arial Narrow" w:hAnsi="Arial Narrow"/>
                <w:color w:val="000000"/>
                <w:sz w:val="20"/>
                <w:szCs w:val="20"/>
              </w:rPr>
            </w:pPr>
            <w:r w:rsidRPr="00591F7F">
              <w:rPr>
                <w:rFonts w:ascii="Arial Narrow" w:hAnsi="Arial Narrow"/>
                <w:color w:val="000000"/>
                <w:sz w:val="20"/>
                <w:szCs w:val="20"/>
                <w:lang w:val="sq-AL"/>
              </w:rPr>
              <w:t>1 Bibliotekë</w:t>
            </w:r>
          </w:p>
        </w:tc>
        <w:tc>
          <w:tcPr>
            <w:tcW w:w="1398" w:type="pct"/>
            <w:tcBorders>
              <w:top w:val="nil"/>
              <w:left w:val="nil"/>
              <w:bottom w:val="single" w:sz="4" w:space="0" w:color="auto"/>
              <w:right w:val="single" w:sz="4" w:space="0" w:color="auto"/>
            </w:tcBorders>
            <w:shd w:val="clear" w:color="auto" w:fill="auto"/>
            <w:noWrap/>
            <w:hideMark/>
          </w:tcPr>
          <w:p w14:paraId="76A8CDBB" w14:textId="77777777" w:rsidR="00401D80" w:rsidRPr="00591F7F" w:rsidRDefault="007D052B" w:rsidP="00591F7F">
            <w:pPr>
              <w:rPr>
                <w:rFonts w:ascii="Arial Narrow" w:hAnsi="Arial Narrow"/>
                <w:color w:val="000000"/>
                <w:sz w:val="20"/>
                <w:szCs w:val="20"/>
                <w:lang w:val="sq-AL"/>
              </w:rPr>
            </w:pPr>
            <w:r w:rsidRPr="00591F7F">
              <w:rPr>
                <w:rFonts w:ascii="Arial Narrow" w:hAnsi="Arial Narrow"/>
                <w:color w:val="000000"/>
                <w:sz w:val="20"/>
                <w:szCs w:val="20"/>
                <w:lang w:val="sq-AL"/>
              </w:rPr>
              <w:t>1 Zyrë Postare</w:t>
            </w:r>
          </w:p>
          <w:p w14:paraId="6FA8EF69" w14:textId="2EFD3576" w:rsidR="007D052B" w:rsidRPr="00591F7F" w:rsidRDefault="007D052B" w:rsidP="00591F7F">
            <w:pPr>
              <w:rPr>
                <w:rFonts w:ascii="Arial Narrow" w:hAnsi="Arial Narrow"/>
                <w:color w:val="000000"/>
                <w:sz w:val="20"/>
                <w:szCs w:val="20"/>
              </w:rPr>
            </w:pPr>
            <w:r w:rsidRPr="00591F7F">
              <w:rPr>
                <w:rFonts w:ascii="Arial Narrow" w:hAnsi="Arial Narrow"/>
                <w:color w:val="000000"/>
                <w:sz w:val="20"/>
                <w:szCs w:val="20"/>
                <w:lang w:val="sq-AL"/>
              </w:rPr>
              <w:t xml:space="preserve">1 </w:t>
            </w:r>
            <w:r w:rsidR="00000E6B">
              <w:rPr>
                <w:rFonts w:ascii="Arial Narrow" w:hAnsi="Arial Narrow"/>
                <w:color w:val="000000"/>
                <w:sz w:val="20"/>
                <w:szCs w:val="20"/>
                <w:lang w:val="sq-AL"/>
              </w:rPr>
              <w:t>stacion</w:t>
            </w:r>
            <w:r w:rsidRPr="00591F7F">
              <w:rPr>
                <w:rFonts w:ascii="Arial Narrow" w:hAnsi="Arial Narrow"/>
                <w:color w:val="000000"/>
                <w:sz w:val="20"/>
                <w:szCs w:val="20"/>
                <w:lang w:val="sq-AL"/>
              </w:rPr>
              <w:t xml:space="preserve"> zjarrfikësish</w:t>
            </w:r>
          </w:p>
        </w:tc>
      </w:tr>
      <w:tr w:rsidR="007D052B" w:rsidRPr="00591F7F" w14:paraId="3E6704E9" w14:textId="77777777" w:rsidTr="00A336F5">
        <w:trPr>
          <w:trHeight w:val="270"/>
        </w:trPr>
        <w:tc>
          <w:tcPr>
            <w:tcW w:w="698" w:type="pct"/>
            <w:tcBorders>
              <w:top w:val="nil"/>
              <w:left w:val="single" w:sz="4" w:space="0" w:color="auto"/>
              <w:bottom w:val="single" w:sz="4" w:space="0" w:color="auto"/>
              <w:right w:val="single" w:sz="4" w:space="0" w:color="auto"/>
            </w:tcBorders>
            <w:shd w:val="clear" w:color="auto" w:fill="auto"/>
            <w:noWrap/>
            <w:hideMark/>
          </w:tcPr>
          <w:p w14:paraId="6BF0ED71" w14:textId="77777777" w:rsidR="007D052B" w:rsidRPr="00591F7F" w:rsidRDefault="007D052B" w:rsidP="00591F7F">
            <w:pPr>
              <w:rPr>
                <w:rFonts w:ascii="Arial Narrow" w:hAnsi="Arial Narrow"/>
                <w:color w:val="000000"/>
                <w:sz w:val="20"/>
                <w:szCs w:val="20"/>
              </w:rPr>
            </w:pPr>
            <w:r w:rsidRPr="00591F7F">
              <w:rPr>
                <w:rFonts w:ascii="Arial Narrow" w:hAnsi="Arial Narrow"/>
                <w:color w:val="000000"/>
                <w:sz w:val="20"/>
                <w:szCs w:val="20"/>
              </w:rPr>
              <w:t>Junik</w:t>
            </w:r>
          </w:p>
        </w:tc>
        <w:tc>
          <w:tcPr>
            <w:tcW w:w="876" w:type="pct"/>
            <w:tcBorders>
              <w:top w:val="nil"/>
              <w:left w:val="nil"/>
              <w:bottom w:val="single" w:sz="4" w:space="0" w:color="auto"/>
              <w:right w:val="single" w:sz="4" w:space="0" w:color="auto"/>
            </w:tcBorders>
            <w:shd w:val="clear" w:color="auto" w:fill="auto"/>
            <w:noWrap/>
            <w:hideMark/>
          </w:tcPr>
          <w:p w14:paraId="14D1F227" w14:textId="0E9550EA" w:rsidR="007D052B" w:rsidRPr="00591F7F" w:rsidRDefault="007D052B" w:rsidP="00591F7F">
            <w:pPr>
              <w:rPr>
                <w:rFonts w:ascii="Arial Narrow" w:hAnsi="Arial Narrow"/>
                <w:color w:val="000000"/>
                <w:sz w:val="20"/>
                <w:szCs w:val="20"/>
              </w:rPr>
            </w:pPr>
            <w:r w:rsidRPr="00591F7F">
              <w:rPr>
                <w:rFonts w:ascii="Arial Narrow" w:hAnsi="Arial Narrow"/>
                <w:color w:val="000000"/>
                <w:sz w:val="20"/>
                <w:szCs w:val="20"/>
                <w:lang w:val="sq-AL"/>
              </w:rPr>
              <w:t>1 Qend</w:t>
            </w:r>
            <w:r w:rsidR="00000E6B">
              <w:rPr>
                <w:rFonts w:ascii="Arial Narrow" w:hAnsi="Arial Narrow"/>
                <w:color w:val="000000"/>
                <w:sz w:val="20"/>
                <w:szCs w:val="20"/>
                <w:lang w:val="sq-AL"/>
              </w:rPr>
              <w:t>ër</w:t>
            </w:r>
            <w:r w:rsidRPr="00591F7F">
              <w:rPr>
                <w:rFonts w:ascii="Arial Narrow" w:hAnsi="Arial Narrow"/>
                <w:color w:val="000000"/>
                <w:sz w:val="20"/>
                <w:szCs w:val="20"/>
                <w:lang w:val="sq-AL"/>
              </w:rPr>
              <w:t xml:space="preserve"> Kryesore e Mjekësisë Familjare</w:t>
            </w:r>
          </w:p>
        </w:tc>
        <w:tc>
          <w:tcPr>
            <w:tcW w:w="1328" w:type="pct"/>
            <w:tcBorders>
              <w:top w:val="nil"/>
              <w:left w:val="nil"/>
              <w:bottom w:val="single" w:sz="4" w:space="0" w:color="auto"/>
              <w:right w:val="single" w:sz="4" w:space="0" w:color="auto"/>
            </w:tcBorders>
            <w:shd w:val="clear" w:color="auto" w:fill="auto"/>
            <w:noWrap/>
            <w:hideMark/>
          </w:tcPr>
          <w:p w14:paraId="1579BCDF" w14:textId="77777777" w:rsidR="00401D80" w:rsidRPr="00591F7F" w:rsidRDefault="007D052B" w:rsidP="00591F7F">
            <w:pPr>
              <w:rPr>
                <w:rFonts w:ascii="Arial Narrow" w:hAnsi="Arial Narrow"/>
                <w:color w:val="000000"/>
                <w:sz w:val="20"/>
                <w:szCs w:val="20"/>
                <w:lang w:val="sq-AL"/>
              </w:rPr>
            </w:pPr>
            <w:r w:rsidRPr="00591F7F">
              <w:rPr>
                <w:rFonts w:ascii="Arial Narrow" w:hAnsi="Arial Narrow"/>
                <w:color w:val="000000"/>
                <w:sz w:val="20"/>
                <w:szCs w:val="20"/>
                <w:lang w:val="sq-AL"/>
              </w:rPr>
              <w:t>1 Shkollë e Mesme e Ulët</w:t>
            </w:r>
          </w:p>
          <w:p w14:paraId="55437D6F" w14:textId="2F5CE3FB" w:rsidR="007D052B" w:rsidRPr="00591F7F" w:rsidRDefault="007D052B" w:rsidP="00591F7F">
            <w:pPr>
              <w:rPr>
                <w:rFonts w:ascii="Arial Narrow" w:hAnsi="Arial Narrow"/>
                <w:color w:val="000000"/>
                <w:sz w:val="20"/>
                <w:szCs w:val="20"/>
              </w:rPr>
            </w:pPr>
            <w:r w:rsidRPr="00591F7F">
              <w:rPr>
                <w:rFonts w:ascii="Arial Narrow" w:hAnsi="Arial Narrow"/>
                <w:color w:val="000000"/>
                <w:sz w:val="20"/>
                <w:szCs w:val="20"/>
                <w:lang w:val="sq-AL"/>
              </w:rPr>
              <w:t xml:space="preserve">1 </w:t>
            </w:r>
            <w:r w:rsidR="00000E6B">
              <w:rPr>
                <w:rFonts w:ascii="Arial Narrow" w:hAnsi="Arial Narrow"/>
                <w:color w:val="000000"/>
                <w:sz w:val="20"/>
                <w:szCs w:val="20"/>
                <w:lang w:val="sq-AL"/>
              </w:rPr>
              <w:t>Gjimnaz</w:t>
            </w:r>
          </w:p>
        </w:tc>
        <w:tc>
          <w:tcPr>
            <w:tcW w:w="701" w:type="pct"/>
            <w:tcBorders>
              <w:top w:val="nil"/>
              <w:left w:val="nil"/>
              <w:bottom w:val="single" w:sz="4" w:space="0" w:color="auto"/>
              <w:right w:val="single" w:sz="4" w:space="0" w:color="auto"/>
            </w:tcBorders>
            <w:shd w:val="clear" w:color="auto" w:fill="auto"/>
            <w:noWrap/>
            <w:hideMark/>
          </w:tcPr>
          <w:p w14:paraId="192FFF2B" w14:textId="77777777" w:rsidR="007D052B" w:rsidRPr="00591F7F" w:rsidRDefault="007D052B" w:rsidP="00591F7F">
            <w:pPr>
              <w:rPr>
                <w:rFonts w:ascii="Arial Narrow" w:hAnsi="Arial Narrow"/>
                <w:color w:val="000000"/>
                <w:sz w:val="20"/>
                <w:szCs w:val="20"/>
              </w:rPr>
            </w:pPr>
            <w:r w:rsidRPr="00591F7F">
              <w:rPr>
                <w:rFonts w:ascii="Arial Narrow" w:hAnsi="Arial Narrow"/>
                <w:color w:val="000000"/>
                <w:sz w:val="20"/>
                <w:szCs w:val="20"/>
              </w:rPr>
              <w:t> </w:t>
            </w:r>
          </w:p>
        </w:tc>
        <w:tc>
          <w:tcPr>
            <w:tcW w:w="1398" w:type="pct"/>
            <w:tcBorders>
              <w:top w:val="nil"/>
              <w:left w:val="nil"/>
              <w:bottom w:val="single" w:sz="4" w:space="0" w:color="auto"/>
              <w:right w:val="single" w:sz="4" w:space="0" w:color="auto"/>
            </w:tcBorders>
            <w:shd w:val="clear" w:color="auto" w:fill="auto"/>
            <w:noWrap/>
            <w:hideMark/>
          </w:tcPr>
          <w:p w14:paraId="67BDC88C" w14:textId="5BBB545F" w:rsidR="00401D80" w:rsidRPr="00591F7F" w:rsidRDefault="00000E6B" w:rsidP="00591F7F">
            <w:pPr>
              <w:rPr>
                <w:rFonts w:ascii="Arial Narrow" w:hAnsi="Arial Narrow"/>
                <w:color w:val="000000"/>
                <w:sz w:val="20"/>
                <w:szCs w:val="20"/>
                <w:lang w:val="sq-AL"/>
              </w:rPr>
            </w:pPr>
            <w:r>
              <w:rPr>
                <w:rFonts w:ascii="Arial Narrow" w:hAnsi="Arial Narrow"/>
                <w:color w:val="000000"/>
                <w:sz w:val="20"/>
                <w:szCs w:val="20"/>
                <w:lang w:val="sq-AL"/>
              </w:rPr>
              <w:t>Komuna</w:t>
            </w:r>
          </w:p>
          <w:p w14:paraId="2BE5A49C" w14:textId="77975E9A" w:rsidR="00401D80" w:rsidRPr="00591F7F" w:rsidRDefault="00000E6B" w:rsidP="00591F7F">
            <w:pPr>
              <w:rPr>
                <w:rFonts w:ascii="Arial Narrow" w:hAnsi="Arial Narrow"/>
                <w:color w:val="000000"/>
                <w:sz w:val="20"/>
                <w:szCs w:val="20"/>
                <w:lang w:val="sq-AL"/>
              </w:rPr>
            </w:pPr>
            <w:r>
              <w:rPr>
                <w:rFonts w:ascii="Arial Narrow" w:hAnsi="Arial Narrow"/>
                <w:color w:val="000000"/>
                <w:sz w:val="20"/>
                <w:szCs w:val="20"/>
                <w:lang w:val="sq-AL"/>
              </w:rPr>
              <w:t>Zyra postare</w:t>
            </w:r>
          </w:p>
          <w:p w14:paraId="3AAEAC4E" w14:textId="0EAAB863" w:rsidR="00401D80" w:rsidRPr="00591F7F" w:rsidRDefault="00000E6B" w:rsidP="00591F7F">
            <w:pPr>
              <w:rPr>
                <w:rFonts w:ascii="Arial Narrow" w:hAnsi="Arial Narrow"/>
                <w:color w:val="000000"/>
                <w:sz w:val="20"/>
                <w:szCs w:val="20"/>
                <w:lang w:val="sq-AL"/>
              </w:rPr>
            </w:pPr>
            <w:r>
              <w:rPr>
                <w:rFonts w:ascii="Arial Narrow" w:hAnsi="Arial Narrow"/>
                <w:color w:val="000000"/>
                <w:sz w:val="20"/>
                <w:szCs w:val="20"/>
                <w:lang w:val="sq-AL"/>
              </w:rPr>
              <w:t>Stacion zjarrfikësish</w:t>
            </w:r>
          </w:p>
          <w:p w14:paraId="2DD02160" w14:textId="20F6D3EB" w:rsidR="00401D80" w:rsidRPr="00591F7F" w:rsidRDefault="00000E6B" w:rsidP="00591F7F">
            <w:pPr>
              <w:rPr>
                <w:rFonts w:ascii="Arial Narrow" w:hAnsi="Arial Narrow"/>
                <w:color w:val="000000"/>
                <w:sz w:val="20"/>
                <w:szCs w:val="20"/>
                <w:lang w:val="sq-AL"/>
              </w:rPr>
            </w:pPr>
            <w:r>
              <w:rPr>
                <w:rFonts w:ascii="Arial Narrow" w:hAnsi="Arial Narrow"/>
                <w:color w:val="000000"/>
                <w:sz w:val="20"/>
                <w:szCs w:val="20"/>
                <w:lang w:val="sq-AL"/>
              </w:rPr>
              <w:t>Stacion i Policisë</w:t>
            </w:r>
          </w:p>
          <w:p w14:paraId="1E0115C8" w14:textId="77777777" w:rsidR="00401D80" w:rsidRPr="00591F7F" w:rsidRDefault="007D052B" w:rsidP="00591F7F">
            <w:pPr>
              <w:rPr>
                <w:rFonts w:ascii="Arial Narrow" w:hAnsi="Arial Narrow"/>
                <w:color w:val="000000"/>
                <w:sz w:val="20"/>
                <w:szCs w:val="20"/>
                <w:lang w:val="sq-AL"/>
              </w:rPr>
            </w:pPr>
            <w:r w:rsidRPr="00591F7F">
              <w:rPr>
                <w:rFonts w:ascii="Arial Narrow" w:hAnsi="Arial Narrow"/>
                <w:color w:val="000000"/>
                <w:sz w:val="20"/>
                <w:szCs w:val="20"/>
                <w:lang w:val="sq-AL"/>
              </w:rPr>
              <w:t>Qendra për Regjistrimin Civil dhe të Automjeteve</w:t>
            </w:r>
          </w:p>
          <w:p w14:paraId="615CC10D" w14:textId="2AAD52E7" w:rsidR="007D052B" w:rsidRPr="00591F7F" w:rsidRDefault="007D052B" w:rsidP="00591F7F">
            <w:pPr>
              <w:rPr>
                <w:rFonts w:ascii="Arial Narrow" w:hAnsi="Arial Narrow"/>
                <w:color w:val="000000"/>
                <w:sz w:val="20"/>
                <w:szCs w:val="20"/>
              </w:rPr>
            </w:pPr>
            <w:r w:rsidRPr="00591F7F">
              <w:rPr>
                <w:rFonts w:ascii="Arial Narrow" w:hAnsi="Arial Narrow"/>
                <w:color w:val="000000"/>
                <w:sz w:val="20"/>
                <w:szCs w:val="20"/>
                <w:lang w:val="sq-AL"/>
              </w:rPr>
              <w:t>QPS</w:t>
            </w:r>
          </w:p>
        </w:tc>
      </w:tr>
    </w:tbl>
    <w:bookmarkEnd w:id="175"/>
    <w:p w14:paraId="47913C4C" w14:textId="4AEC4D2A" w:rsidR="007D052B" w:rsidRPr="00401D80" w:rsidRDefault="00401D80" w:rsidP="00911BE0">
      <w:pPr>
        <w:pStyle w:val="source0"/>
      </w:pPr>
      <w:r w:rsidRPr="00401D80">
        <w:t xml:space="preserve">Burimi: të dhëna </w:t>
      </w:r>
      <w:r w:rsidR="00000E6B">
        <w:t>komunale</w:t>
      </w:r>
      <w:r w:rsidRPr="00401D80">
        <w:t>, 2024</w:t>
      </w:r>
    </w:p>
    <w:p w14:paraId="24DAF428" w14:textId="77777777" w:rsidR="00401D80" w:rsidRPr="00AF0235" w:rsidRDefault="00401D80" w:rsidP="00032CD8">
      <w:pPr>
        <w:rPr>
          <w:rFonts w:eastAsia="Calibri" w:cs="Calibri"/>
          <w:sz w:val="22"/>
          <w:szCs w:val="22"/>
        </w:rPr>
      </w:pPr>
    </w:p>
    <w:p w14:paraId="3161D8ED" w14:textId="77777777" w:rsidR="00000E6B" w:rsidRPr="002B06C4" w:rsidRDefault="00000E6B" w:rsidP="00000E6B">
      <w:pPr>
        <w:pStyle w:val="Paragraph"/>
        <w:rPr>
          <w:rFonts w:eastAsia="Calibri"/>
          <w:lang w:val="sq-AL"/>
        </w:rPr>
      </w:pPr>
      <w:r w:rsidRPr="002B06C4">
        <w:rPr>
          <w:rFonts w:eastAsia="Calibri"/>
          <w:lang w:val="sq-AL"/>
        </w:rPr>
        <w:t>Sasia e saktë e mbet</w:t>
      </w:r>
      <w:r>
        <w:rPr>
          <w:rFonts w:eastAsia="Calibri"/>
          <w:lang w:val="sq-AL"/>
        </w:rPr>
        <w:t>urinave</w:t>
      </w:r>
      <w:r w:rsidRPr="002B06C4">
        <w:rPr>
          <w:rFonts w:eastAsia="Calibri"/>
          <w:lang w:val="sq-AL"/>
        </w:rPr>
        <w:t xml:space="preserve"> komerciale është e vështirë të përcaktohet për shkak të mungesës së të dhënave të besueshme. Për bizneset e vogla dhe të mesme, shërbimi ofrohet në të njëjtën mënyrë si për amvisëritë, që do të thotë në bazë të shpeshtësisë së caktuar të inkasimit. Bizneset më të mëdha janë të pajisura me kontejnerë dhe tarifohen ose për zbrazje ose sipas kërkesës.</w:t>
      </w:r>
    </w:p>
    <w:p w14:paraId="38180FF7" w14:textId="386B02C6" w:rsidR="00AE33E0" w:rsidRPr="00AE33E0" w:rsidRDefault="00AE33E0" w:rsidP="00911BE0">
      <w:pPr>
        <w:pStyle w:val="Paragraph"/>
        <w:rPr>
          <w:rFonts w:eastAsia="Calibri"/>
        </w:rPr>
      </w:pPr>
      <w:r w:rsidRPr="00AE33E0">
        <w:rPr>
          <w:rFonts w:eastAsia="Calibri"/>
        </w:rPr>
        <w:t>Në mungesë të të dhënave të besueshme, vlerësimi i mbet</w:t>
      </w:r>
      <w:r w:rsidR="00000E6B">
        <w:rPr>
          <w:rFonts w:eastAsia="Calibri"/>
        </w:rPr>
        <w:t>urinave</w:t>
      </w:r>
      <w:r w:rsidRPr="00AE33E0">
        <w:rPr>
          <w:rFonts w:eastAsia="Calibri"/>
        </w:rPr>
        <w:t xml:space="preserve"> të gjeneruara nga institucionet dhe institucionet </w:t>
      </w:r>
      <w:r w:rsidR="00000E6B">
        <w:rPr>
          <w:rFonts w:eastAsia="Calibri"/>
        </w:rPr>
        <w:t>komerciale</w:t>
      </w:r>
      <w:r w:rsidRPr="00AE33E0">
        <w:rPr>
          <w:rFonts w:eastAsia="Calibri"/>
        </w:rPr>
        <w:t xml:space="preserve">, zakonisht </w:t>
      </w:r>
      <w:r w:rsidR="00000E6B">
        <w:rPr>
          <w:rFonts w:eastAsia="Calibri"/>
        </w:rPr>
        <w:t>të referuara si të ngjashme me ato të amvisërisë</w:t>
      </w:r>
      <w:r w:rsidRPr="00AE33E0">
        <w:rPr>
          <w:rFonts w:eastAsia="Calibri"/>
        </w:rPr>
        <w:t xml:space="preserve">, </w:t>
      </w:r>
      <w:r w:rsidR="00000E6B">
        <w:rPr>
          <w:rFonts w:eastAsia="Calibri"/>
        </w:rPr>
        <w:t xml:space="preserve">zakonisht </w:t>
      </w:r>
      <w:r w:rsidRPr="00AE33E0">
        <w:rPr>
          <w:rFonts w:eastAsia="Calibri"/>
        </w:rPr>
        <w:t>bazohet në dy supozimet e mëposhtme:</w:t>
      </w:r>
    </w:p>
    <w:p w14:paraId="0E293CDE" w14:textId="78DC92B3" w:rsidR="00AE33E0" w:rsidRPr="00AE33E0" w:rsidRDefault="00AE33E0" w:rsidP="00911BE0">
      <w:pPr>
        <w:pStyle w:val="Bullet"/>
      </w:pPr>
      <w:r w:rsidRPr="00AE33E0">
        <w:t xml:space="preserve">Në zonat urbane, mbeturinat e ngjashme me ato </w:t>
      </w:r>
      <w:r w:rsidR="00000E6B">
        <w:t>të amvisërisë</w:t>
      </w:r>
      <w:r w:rsidRPr="00AE33E0">
        <w:t xml:space="preserve"> përbëjnë 15% të totalit të mbeturinave </w:t>
      </w:r>
      <w:r w:rsidR="00000E6B">
        <w:t>të amvisërisë</w:t>
      </w:r>
      <w:r w:rsidRPr="00AE33E0">
        <w:t>.</w:t>
      </w:r>
    </w:p>
    <w:p w14:paraId="4316B225" w14:textId="55957E7F" w:rsidR="00032CD8" w:rsidRPr="00AE33E0" w:rsidRDefault="00AE33E0" w:rsidP="00911BE0">
      <w:pPr>
        <w:pStyle w:val="Bullet"/>
      </w:pPr>
      <w:r w:rsidRPr="00AE33E0">
        <w:t xml:space="preserve">Në zonat rurale, mbeturinat e ngjashme me ato </w:t>
      </w:r>
      <w:r w:rsidR="00000E6B">
        <w:t>të amvisërisë</w:t>
      </w:r>
      <w:r w:rsidRPr="00AE33E0">
        <w:t xml:space="preserve"> përbëjnë 5% të totalit të mbeturinave </w:t>
      </w:r>
      <w:r w:rsidR="00000E6B">
        <w:t>të amvisërisë</w:t>
      </w:r>
      <w:r w:rsidRPr="00AE33E0">
        <w:t>.</w:t>
      </w:r>
    </w:p>
    <w:p w14:paraId="4B26BBED" w14:textId="77777777" w:rsidR="00032CD8" w:rsidRPr="00C21444" w:rsidRDefault="00032CD8" w:rsidP="002254E8">
      <w:pPr>
        <w:pStyle w:val="Heading3"/>
      </w:pPr>
      <w:bookmarkStart w:id="176" w:name="_Toc153872120"/>
      <w:bookmarkStart w:id="177" w:name="_Toc170470824"/>
      <w:bookmarkStart w:id="178" w:name="_Toc197471973"/>
      <w:r w:rsidRPr="00C21444">
        <w:t>Mbeturinat e gjelbra nga zonat publike</w:t>
      </w:r>
      <w:bookmarkEnd w:id="176"/>
      <w:bookmarkEnd w:id="177"/>
      <w:bookmarkEnd w:id="178"/>
    </w:p>
    <w:p w14:paraId="44D20523" w14:textId="12FC3DBB" w:rsidR="00000E6B" w:rsidRPr="002B06C4" w:rsidRDefault="00000E6B" w:rsidP="00000E6B">
      <w:pPr>
        <w:pStyle w:val="Paragraph"/>
        <w:rPr>
          <w:rFonts w:eastAsia="Calibri"/>
          <w:lang w:val="sq-AL"/>
        </w:rPr>
      </w:pPr>
      <w:r w:rsidRPr="002B06C4">
        <w:rPr>
          <w:rFonts w:eastAsia="Calibri"/>
          <w:lang w:val="sq-AL"/>
        </w:rPr>
        <w:t xml:space="preserve">Përveç familjeve, bizneseve dhe institucioneve, një burim tjetër i gjenerimit të mbeturinave komunale janë sipërfaqet e gjelbra publike. Sipërfaqet e gjelbra publike përfshijnë: parqet, varrezat, mirëmbajtjen e rrugëve, hotelet, pronat komerciale, etj. </w:t>
      </w:r>
      <w:r>
        <w:rPr>
          <w:rFonts w:eastAsia="Calibri"/>
          <w:lang w:val="sq-AL"/>
        </w:rPr>
        <w:t>Si p</w:t>
      </w:r>
      <w:r w:rsidRPr="002B06C4">
        <w:rPr>
          <w:rFonts w:eastAsia="Calibri"/>
          <w:lang w:val="sq-AL"/>
        </w:rPr>
        <w:t>ritet</w:t>
      </w:r>
      <w:r>
        <w:rPr>
          <w:rFonts w:eastAsia="Calibri"/>
          <w:lang w:val="sq-AL"/>
        </w:rPr>
        <w:t>,</w:t>
      </w:r>
      <w:r w:rsidRPr="002B06C4">
        <w:rPr>
          <w:rFonts w:eastAsia="Calibri"/>
          <w:lang w:val="sq-AL"/>
        </w:rPr>
        <w:t xml:space="preserve"> sasitë e mbet</w:t>
      </w:r>
      <w:r>
        <w:rPr>
          <w:rFonts w:eastAsia="Calibri"/>
          <w:lang w:val="sq-AL"/>
        </w:rPr>
        <w:t>urinave</w:t>
      </w:r>
      <w:r w:rsidRPr="002B06C4">
        <w:rPr>
          <w:rFonts w:eastAsia="Calibri"/>
          <w:lang w:val="sq-AL"/>
        </w:rPr>
        <w:t xml:space="preserve"> të gjelbra nga sipërfaqet e gjelbra publike </w:t>
      </w:r>
      <w:r>
        <w:rPr>
          <w:rFonts w:eastAsia="Calibri"/>
          <w:lang w:val="sq-AL"/>
        </w:rPr>
        <w:t>nuk janë</w:t>
      </w:r>
      <w:r w:rsidRPr="002B06C4">
        <w:rPr>
          <w:rFonts w:eastAsia="Calibri"/>
          <w:lang w:val="sq-AL"/>
        </w:rPr>
        <w:t xml:space="preserve"> të regjistruara, për faktin se mbet</w:t>
      </w:r>
      <w:r>
        <w:rPr>
          <w:rFonts w:eastAsia="Calibri"/>
          <w:lang w:val="sq-AL"/>
        </w:rPr>
        <w:t>urinat</w:t>
      </w:r>
      <w:r w:rsidRPr="002B06C4">
        <w:rPr>
          <w:rFonts w:eastAsia="Calibri"/>
          <w:lang w:val="sq-AL"/>
        </w:rPr>
        <w:t xml:space="preserve"> e gjelbra pasi </w:t>
      </w:r>
      <w:r>
        <w:rPr>
          <w:rFonts w:eastAsia="Calibri"/>
          <w:lang w:val="sq-AL"/>
        </w:rPr>
        <w:t xml:space="preserve">që </w:t>
      </w:r>
      <w:r w:rsidRPr="002B06C4">
        <w:rPr>
          <w:rFonts w:eastAsia="Calibri"/>
          <w:lang w:val="sq-AL"/>
        </w:rPr>
        <w:t>mblidhen</w:t>
      </w:r>
      <w:r>
        <w:rPr>
          <w:rFonts w:eastAsia="Calibri"/>
          <w:lang w:val="sq-AL"/>
        </w:rPr>
        <w:t xml:space="preserve">, </w:t>
      </w:r>
      <w:r w:rsidRPr="002B06C4">
        <w:rPr>
          <w:rFonts w:eastAsia="Calibri"/>
          <w:lang w:val="sq-AL"/>
        </w:rPr>
        <w:t>në vend që të kompostohen në një objekt të caktuar</w:t>
      </w:r>
      <w:r>
        <w:rPr>
          <w:rFonts w:eastAsia="Calibri"/>
          <w:lang w:val="sq-AL"/>
        </w:rPr>
        <w:t>,</w:t>
      </w:r>
      <w:r w:rsidRPr="002B06C4">
        <w:rPr>
          <w:rFonts w:eastAsia="Calibri"/>
          <w:lang w:val="sq-AL"/>
        </w:rPr>
        <w:t xml:space="preserve"> përfundojnë në </w:t>
      </w:r>
      <w:r>
        <w:rPr>
          <w:rFonts w:eastAsia="Calibri"/>
          <w:lang w:val="sq-AL"/>
        </w:rPr>
        <w:t>deponinë</w:t>
      </w:r>
      <w:r w:rsidRPr="002B06C4">
        <w:rPr>
          <w:rFonts w:eastAsia="Calibri"/>
          <w:lang w:val="sq-AL"/>
        </w:rPr>
        <w:t xml:space="preserve"> rajonal</w:t>
      </w:r>
      <w:r>
        <w:rPr>
          <w:rFonts w:eastAsia="Calibri"/>
          <w:lang w:val="sq-AL"/>
        </w:rPr>
        <w:t>e</w:t>
      </w:r>
      <w:r w:rsidRPr="002B06C4">
        <w:rPr>
          <w:rFonts w:eastAsia="Calibri"/>
          <w:lang w:val="sq-AL"/>
        </w:rPr>
        <w:t>.</w:t>
      </w:r>
    </w:p>
    <w:p w14:paraId="37B7169B" w14:textId="321F3C0C" w:rsidR="00AE33E0" w:rsidRPr="00AF0235" w:rsidRDefault="00AE33E0" w:rsidP="00F639BA">
      <w:pPr>
        <w:pStyle w:val="Paragraph"/>
        <w:rPr>
          <w:rFonts w:eastAsia="Calibri"/>
        </w:rPr>
      </w:pPr>
      <w:r w:rsidRPr="00AF0235">
        <w:rPr>
          <w:rFonts w:eastAsia="Calibri"/>
        </w:rPr>
        <w:t>Në mungesë të të dhënave të besueshme, vlerësimi i mbet</w:t>
      </w:r>
      <w:r w:rsidR="00000E6B">
        <w:rPr>
          <w:rFonts w:eastAsia="Calibri"/>
        </w:rPr>
        <w:t>urinave</w:t>
      </w:r>
      <w:r w:rsidRPr="00AF0235">
        <w:rPr>
          <w:rFonts w:eastAsia="Calibri"/>
        </w:rPr>
        <w:t xml:space="preserve"> të gjelbra të gjeneruara në zonat publike të gjelbra zakonisht bazohet në dy supozimet e mëposhtme:</w:t>
      </w:r>
    </w:p>
    <w:p w14:paraId="50C4957F" w14:textId="77777777" w:rsidR="00AE33E0" w:rsidRDefault="00AE33E0" w:rsidP="00F639BA">
      <w:pPr>
        <w:pStyle w:val="Bullet"/>
      </w:pPr>
      <w:r w:rsidRPr="00AF0235">
        <w:t>Në zonat urbane, mbeturinat e gjelbra nga zonat publike përbëjnë 30 kg për person në vit.</w:t>
      </w:r>
    </w:p>
    <w:p w14:paraId="28045DB9" w14:textId="19E46592" w:rsidR="00032CD8" w:rsidRPr="00AE33E0" w:rsidRDefault="00AE33E0" w:rsidP="00F639BA">
      <w:pPr>
        <w:pStyle w:val="Bullet"/>
      </w:pPr>
      <w:r w:rsidRPr="00AE33E0">
        <w:t>Në zonat rurale, mbeturinat e gjelbra nga zonat publike përbëjnë 10 kg për person në vit.</w:t>
      </w:r>
    </w:p>
    <w:p w14:paraId="3C66F71D" w14:textId="5B9238F0" w:rsidR="00032CD8" w:rsidRPr="00C21444" w:rsidRDefault="00032CD8" w:rsidP="002254E8">
      <w:pPr>
        <w:pStyle w:val="Heading3"/>
      </w:pPr>
      <w:bookmarkStart w:id="179" w:name="_Toc153872121"/>
      <w:bookmarkStart w:id="180" w:name="_Toc170470825"/>
      <w:bookmarkStart w:id="181" w:name="_Toc197471974"/>
      <w:r w:rsidRPr="00C21444">
        <w:t>Mbet</w:t>
      </w:r>
      <w:r w:rsidR="006B0998">
        <w:t>urinat</w:t>
      </w:r>
      <w:r w:rsidRPr="00C21444">
        <w:t xml:space="preserve"> e ndërtimit dhe </w:t>
      </w:r>
      <w:r w:rsidR="00000E6B">
        <w:t>rrënimit</w:t>
      </w:r>
      <w:bookmarkEnd w:id="179"/>
      <w:bookmarkEnd w:id="180"/>
      <w:bookmarkEnd w:id="181"/>
    </w:p>
    <w:p w14:paraId="5522F697" w14:textId="741F4E74" w:rsidR="00032CD8" w:rsidRDefault="00E45EED" w:rsidP="00035B38">
      <w:pPr>
        <w:pStyle w:val="Paragraph"/>
        <w:rPr>
          <w:rFonts w:eastAsia="Calibri"/>
        </w:rPr>
      </w:pPr>
      <w:r>
        <w:rPr>
          <w:rFonts w:eastAsia="Calibri"/>
        </w:rPr>
        <w:t>Plani Kombëtar i Menaxhimit të Mbet</w:t>
      </w:r>
      <w:r w:rsidR="00000E6B">
        <w:rPr>
          <w:rFonts w:eastAsia="Calibri"/>
        </w:rPr>
        <w:t>urinave</w:t>
      </w:r>
      <w:r>
        <w:rPr>
          <w:rFonts w:eastAsia="Calibri"/>
        </w:rPr>
        <w:t xml:space="preserve"> nga Ndërtimi dhe </w:t>
      </w:r>
      <w:r w:rsidR="00000E6B">
        <w:rPr>
          <w:rFonts w:eastAsia="Calibri"/>
        </w:rPr>
        <w:t>Rrënimi</w:t>
      </w:r>
      <w:r>
        <w:rPr>
          <w:rFonts w:eastAsia="Calibri"/>
        </w:rPr>
        <w:t xml:space="preserve"> (PK</w:t>
      </w:r>
      <w:r w:rsidR="00000E6B">
        <w:rPr>
          <w:rFonts w:eastAsia="Calibri"/>
        </w:rPr>
        <w:t>MMNRr</w:t>
      </w:r>
      <w:r>
        <w:rPr>
          <w:rFonts w:eastAsia="Calibri"/>
        </w:rPr>
        <w:t>) ofron një vlerësim të sasive të mbet</w:t>
      </w:r>
      <w:r w:rsidR="00000E6B">
        <w:rPr>
          <w:rFonts w:eastAsia="Calibri"/>
        </w:rPr>
        <w:t>urinave</w:t>
      </w:r>
      <w:r>
        <w:rPr>
          <w:rFonts w:eastAsia="Calibri"/>
        </w:rPr>
        <w:t xml:space="preserve"> të ndërtimit dhe </w:t>
      </w:r>
      <w:r w:rsidR="00000E6B">
        <w:rPr>
          <w:rFonts w:eastAsia="Calibri"/>
        </w:rPr>
        <w:t>rrënimit</w:t>
      </w:r>
      <w:r>
        <w:rPr>
          <w:rFonts w:eastAsia="Calibri"/>
        </w:rPr>
        <w:t xml:space="preserve"> (M</w:t>
      </w:r>
      <w:r w:rsidR="00000E6B">
        <w:rPr>
          <w:rFonts w:eastAsia="Calibri"/>
        </w:rPr>
        <w:t>NRr</w:t>
      </w:r>
      <w:r>
        <w:rPr>
          <w:rFonts w:eastAsia="Calibri"/>
        </w:rPr>
        <w:t>) të gjeneruara në rajon. Këto paraqiten në tabelën më poshtë.</w:t>
      </w:r>
    </w:p>
    <w:p w14:paraId="047F022C" w14:textId="76548B23" w:rsidR="00E45EED" w:rsidRPr="007F50ED" w:rsidRDefault="00E45EED" w:rsidP="007F50ED">
      <w:pPr>
        <w:suppressAutoHyphens/>
        <w:rPr>
          <w:rFonts w:ascii="Arial Narrow" w:eastAsia="Calibri" w:hAnsi="Arial Narrow" w:cs="Calibri"/>
          <w:color w:val="1F497D"/>
          <w:sz w:val="20"/>
          <w:szCs w:val="20"/>
        </w:rPr>
      </w:pPr>
      <w:bookmarkStart w:id="182" w:name="_Toc197472208"/>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23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 xml:space="preserve">. Gjenerimi i </w:t>
      </w:r>
      <w:r w:rsidR="007843C1">
        <w:rPr>
          <w:rFonts w:ascii="Arial Narrow" w:eastAsia="Calibri" w:hAnsi="Arial Narrow" w:cs="Calibri"/>
          <w:color w:val="1F497D"/>
          <w:sz w:val="20"/>
          <w:szCs w:val="20"/>
        </w:rPr>
        <w:t xml:space="preserve">MNRr-ve </w:t>
      </w:r>
      <w:r w:rsidRPr="007F50ED">
        <w:rPr>
          <w:rFonts w:ascii="Arial Narrow" w:eastAsia="Calibri" w:hAnsi="Arial Narrow" w:cs="Calibri"/>
          <w:color w:val="1F497D"/>
          <w:sz w:val="20"/>
          <w:szCs w:val="20"/>
        </w:rPr>
        <w:t>në Rajonin e Pejës, 2024</w:t>
      </w:r>
      <w:bookmarkEnd w:id="182"/>
    </w:p>
    <w:tbl>
      <w:tblPr>
        <w:tblW w:w="6880" w:type="dxa"/>
        <w:jc w:val="center"/>
        <w:tblLook w:val="04A0" w:firstRow="1" w:lastRow="0" w:firstColumn="1" w:lastColumn="0" w:noHBand="0" w:noVBand="1"/>
      </w:tblPr>
      <w:tblGrid>
        <w:gridCol w:w="2600"/>
        <w:gridCol w:w="2040"/>
        <w:gridCol w:w="2240"/>
      </w:tblGrid>
      <w:tr w:rsidR="00591F7F" w:rsidRPr="00591F7F" w14:paraId="4B0E3E11" w14:textId="77777777" w:rsidTr="006347D6">
        <w:trPr>
          <w:trHeight w:val="260"/>
          <w:tblHeader/>
          <w:jc w:val="center"/>
        </w:trPr>
        <w:tc>
          <w:tcPr>
            <w:tcW w:w="2600"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125A0078" w14:textId="77777777" w:rsidR="00602D07" w:rsidRPr="00591F7F" w:rsidRDefault="00602D07" w:rsidP="00602D07">
            <w:pPr>
              <w:rPr>
                <w:rFonts w:ascii="Arial Narrow" w:hAnsi="Arial Narrow"/>
                <w:b/>
                <w:bCs/>
                <w:color w:val="FFFFFF" w:themeColor="background1"/>
                <w:sz w:val="20"/>
                <w:szCs w:val="20"/>
                <w:lang w:eastAsia="en-GB"/>
              </w:rPr>
            </w:pPr>
            <w:r w:rsidRPr="00591F7F">
              <w:rPr>
                <w:rFonts w:ascii="Arial Narrow" w:hAnsi="Arial Narrow"/>
                <w:b/>
                <w:bCs/>
                <w:color w:val="FFFFFF" w:themeColor="background1"/>
                <w:sz w:val="20"/>
                <w:szCs w:val="20"/>
                <w:lang w:eastAsia="en-GB"/>
              </w:rPr>
              <w:t>Burimi</w:t>
            </w:r>
          </w:p>
        </w:tc>
        <w:tc>
          <w:tcPr>
            <w:tcW w:w="2040" w:type="dxa"/>
            <w:tcBorders>
              <w:top w:val="single" w:sz="4" w:space="0" w:color="auto"/>
              <w:left w:val="nil"/>
              <w:bottom w:val="single" w:sz="4" w:space="0" w:color="auto"/>
              <w:right w:val="single" w:sz="4" w:space="0" w:color="auto"/>
            </w:tcBorders>
            <w:shd w:val="clear" w:color="auto" w:fill="365F91"/>
            <w:noWrap/>
            <w:vAlign w:val="bottom"/>
            <w:hideMark/>
          </w:tcPr>
          <w:p w14:paraId="21D0A82E" w14:textId="42446057" w:rsidR="00602D07" w:rsidRPr="00591F7F" w:rsidRDefault="00826494" w:rsidP="00602D07">
            <w:pPr>
              <w:jc w:val="center"/>
              <w:rPr>
                <w:rFonts w:ascii="Arial Narrow" w:hAnsi="Arial Narrow"/>
                <w:b/>
                <w:bCs/>
                <w:color w:val="FFFFFF" w:themeColor="background1"/>
                <w:sz w:val="20"/>
                <w:szCs w:val="20"/>
                <w:lang w:eastAsia="en-GB"/>
              </w:rPr>
            </w:pPr>
            <w:r w:rsidRPr="00591F7F">
              <w:rPr>
                <w:rFonts w:ascii="Arial Narrow" w:hAnsi="Arial Narrow"/>
                <w:b/>
                <w:bCs/>
                <w:color w:val="FFFFFF" w:themeColor="background1"/>
                <w:sz w:val="20"/>
                <w:szCs w:val="20"/>
                <w:lang w:eastAsia="en-GB"/>
              </w:rPr>
              <w:t>Rajoni i Pejës, m</w:t>
            </w:r>
            <w:r w:rsidR="00602D07" w:rsidRPr="00591F7F">
              <w:rPr>
                <w:rFonts w:ascii="Arial Narrow" w:hAnsi="Arial Narrow"/>
                <w:b/>
                <w:bCs/>
                <w:color w:val="FFFFFF" w:themeColor="background1"/>
                <w:sz w:val="20"/>
                <w:szCs w:val="20"/>
                <w:vertAlign w:val="superscript"/>
                <w:lang w:eastAsia="en-GB"/>
              </w:rPr>
              <w:t xml:space="preserve">3 </w:t>
            </w:r>
            <w:r w:rsidR="00602D07" w:rsidRPr="00591F7F">
              <w:rPr>
                <w:rFonts w:ascii="Arial Narrow" w:hAnsi="Arial Narrow"/>
                <w:b/>
                <w:bCs/>
                <w:color w:val="FFFFFF" w:themeColor="background1"/>
                <w:sz w:val="20"/>
                <w:szCs w:val="20"/>
                <w:lang w:eastAsia="en-GB"/>
              </w:rPr>
              <w:t>/vit</w:t>
            </w:r>
          </w:p>
        </w:tc>
        <w:tc>
          <w:tcPr>
            <w:tcW w:w="2240" w:type="dxa"/>
            <w:tcBorders>
              <w:top w:val="single" w:sz="4" w:space="0" w:color="auto"/>
              <w:left w:val="nil"/>
              <w:bottom w:val="single" w:sz="4" w:space="0" w:color="auto"/>
              <w:right w:val="single" w:sz="4" w:space="0" w:color="auto"/>
            </w:tcBorders>
            <w:shd w:val="clear" w:color="auto" w:fill="365F91"/>
            <w:noWrap/>
            <w:vAlign w:val="bottom"/>
            <w:hideMark/>
          </w:tcPr>
          <w:p w14:paraId="5CD0A31C" w14:textId="1FCABBE1" w:rsidR="00602D07" w:rsidRPr="00591F7F" w:rsidRDefault="00826494" w:rsidP="00602D07">
            <w:pPr>
              <w:jc w:val="center"/>
              <w:rPr>
                <w:rFonts w:ascii="Arial Narrow" w:hAnsi="Arial Narrow"/>
                <w:b/>
                <w:bCs/>
                <w:color w:val="FFFFFF" w:themeColor="background1"/>
                <w:sz w:val="20"/>
                <w:szCs w:val="20"/>
                <w:lang w:eastAsia="en-GB"/>
              </w:rPr>
            </w:pPr>
            <w:r w:rsidRPr="00591F7F">
              <w:rPr>
                <w:rFonts w:ascii="Arial Narrow" w:hAnsi="Arial Narrow"/>
                <w:b/>
                <w:bCs/>
                <w:color w:val="FFFFFF" w:themeColor="background1"/>
                <w:sz w:val="20"/>
                <w:szCs w:val="20"/>
                <w:lang w:eastAsia="en-GB"/>
              </w:rPr>
              <w:t>Rajoni i Pejës, ton/vit</w:t>
            </w:r>
          </w:p>
        </w:tc>
      </w:tr>
      <w:tr w:rsidR="00602D07" w:rsidRPr="00591F7F" w14:paraId="185A92BE" w14:textId="77777777" w:rsidTr="00B52EAB">
        <w:trPr>
          <w:trHeight w:val="26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C6FE44B" w14:textId="77777777" w:rsidR="00602D07" w:rsidRPr="00591F7F" w:rsidRDefault="00602D07" w:rsidP="00602D07">
            <w:pPr>
              <w:rPr>
                <w:rFonts w:ascii="Arial Narrow" w:hAnsi="Arial Narrow"/>
                <w:color w:val="000000"/>
                <w:sz w:val="20"/>
                <w:szCs w:val="20"/>
                <w:lang w:eastAsia="en-GB"/>
              </w:rPr>
            </w:pPr>
            <w:r w:rsidRPr="00591F7F">
              <w:rPr>
                <w:rFonts w:ascii="Arial Narrow" w:hAnsi="Arial Narrow"/>
                <w:color w:val="000000"/>
                <w:sz w:val="20"/>
                <w:szCs w:val="20"/>
                <w:lang w:eastAsia="en-GB"/>
              </w:rPr>
              <w:t>Mbeturinat e ndërtimit</w:t>
            </w:r>
          </w:p>
        </w:tc>
        <w:tc>
          <w:tcPr>
            <w:tcW w:w="2040" w:type="dxa"/>
            <w:tcBorders>
              <w:top w:val="nil"/>
              <w:left w:val="nil"/>
              <w:bottom w:val="single" w:sz="4" w:space="0" w:color="auto"/>
              <w:right w:val="single" w:sz="4" w:space="0" w:color="auto"/>
            </w:tcBorders>
            <w:shd w:val="clear" w:color="auto" w:fill="auto"/>
            <w:noWrap/>
            <w:vAlign w:val="bottom"/>
            <w:hideMark/>
          </w:tcPr>
          <w:p w14:paraId="6B961471" w14:textId="77777777" w:rsidR="00602D07" w:rsidRPr="00591F7F" w:rsidRDefault="00602D07" w:rsidP="00602D07">
            <w:pPr>
              <w:jc w:val="right"/>
              <w:rPr>
                <w:rFonts w:ascii="Arial Narrow" w:hAnsi="Arial Narrow"/>
                <w:color w:val="000000"/>
                <w:sz w:val="20"/>
                <w:szCs w:val="20"/>
                <w:lang w:eastAsia="en-GB"/>
              </w:rPr>
            </w:pPr>
            <w:r w:rsidRPr="00591F7F">
              <w:rPr>
                <w:rFonts w:ascii="Arial Narrow" w:hAnsi="Arial Narrow"/>
                <w:color w:val="000000"/>
                <w:sz w:val="20"/>
                <w:szCs w:val="20"/>
                <w:lang w:eastAsia="en-GB"/>
              </w:rPr>
              <w:t>37,731</w:t>
            </w:r>
          </w:p>
        </w:tc>
        <w:tc>
          <w:tcPr>
            <w:tcW w:w="2240" w:type="dxa"/>
            <w:tcBorders>
              <w:top w:val="nil"/>
              <w:left w:val="nil"/>
              <w:bottom w:val="single" w:sz="4" w:space="0" w:color="auto"/>
              <w:right w:val="single" w:sz="4" w:space="0" w:color="auto"/>
            </w:tcBorders>
            <w:shd w:val="clear" w:color="auto" w:fill="auto"/>
            <w:noWrap/>
            <w:vAlign w:val="bottom"/>
            <w:hideMark/>
          </w:tcPr>
          <w:p w14:paraId="779B3559" w14:textId="77777777" w:rsidR="00602D07" w:rsidRPr="00591F7F" w:rsidRDefault="00602D07" w:rsidP="00602D07">
            <w:pPr>
              <w:jc w:val="right"/>
              <w:rPr>
                <w:rFonts w:ascii="Arial Narrow" w:hAnsi="Arial Narrow"/>
                <w:color w:val="000000"/>
                <w:sz w:val="20"/>
                <w:szCs w:val="20"/>
                <w:lang w:eastAsia="en-GB"/>
              </w:rPr>
            </w:pPr>
            <w:r w:rsidRPr="00591F7F">
              <w:rPr>
                <w:rFonts w:ascii="Arial Narrow" w:hAnsi="Arial Narrow"/>
                <w:color w:val="000000"/>
                <w:sz w:val="20"/>
                <w:szCs w:val="20"/>
                <w:lang w:eastAsia="en-GB"/>
              </w:rPr>
              <w:t>31,339</w:t>
            </w:r>
          </w:p>
        </w:tc>
      </w:tr>
      <w:tr w:rsidR="00602D07" w:rsidRPr="00591F7F" w14:paraId="5DF89D22" w14:textId="77777777" w:rsidTr="00B52EAB">
        <w:trPr>
          <w:trHeight w:val="26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65BC3CCB" w14:textId="1E97146A" w:rsidR="00602D07" w:rsidRPr="00591F7F" w:rsidRDefault="00602D07" w:rsidP="00602D07">
            <w:pPr>
              <w:rPr>
                <w:rFonts w:ascii="Arial Narrow" w:hAnsi="Arial Narrow"/>
                <w:color w:val="000000"/>
                <w:sz w:val="20"/>
                <w:szCs w:val="20"/>
                <w:lang w:eastAsia="en-GB"/>
              </w:rPr>
            </w:pPr>
            <w:r w:rsidRPr="00591F7F">
              <w:rPr>
                <w:rFonts w:ascii="Arial Narrow" w:hAnsi="Arial Narrow"/>
                <w:color w:val="000000"/>
                <w:sz w:val="20"/>
                <w:szCs w:val="20"/>
                <w:lang w:eastAsia="en-GB"/>
              </w:rPr>
              <w:t xml:space="preserve">Mbeturinat e </w:t>
            </w:r>
            <w:r w:rsidR="007843C1">
              <w:rPr>
                <w:rFonts w:ascii="Arial Narrow" w:hAnsi="Arial Narrow"/>
                <w:color w:val="000000"/>
                <w:sz w:val="20"/>
                <w:szCs w:val="20"/>
                <w:lang w:eastAsia="en-GB"/>
              </w:rPr>
              <w:t>rrënimit</w:t>
            </w:r>
          </w:p>
        </w:tc>
        <w:tc>
          <w:tcPr>
            <w:tcW w:w="2040" w:type="dxa"/>
            <w:tcBorders>
              <w:top w:val="nil"/>
              <w:left w:val="nil"/>
              <w:bottom w:val="single" w:sz="4" w:space="0" w:color="auto"/>
              <w:right w:val="single" w:sz="4" w:space="0" w:color="auto"/>
            </w:tcBorders>
            <w:shd w:val="clear" w:color="auto" w:fill="auto"/>
            <w:noWrap/>
            <w:vAlign w:val="bottom"/>
            <w:hideMark/>
          </w:tcPr>
          <w:p w14:paraId="01751350" w14:textId="77777777" w:rsidR="00602D07" w:rsidRPr="00591F7F" w:rsidRDefault="00602D07" w:rsidP="00602D07">
            <w:pPr>
              <w:jc w:val="right"/>
              <w:rPr>
                <w:rFonts w:ascii="Arial Narrow" w:hAnsi="Arial Narrow"/>
                <w:color w:val="000000"/>
                <w:sz w:val="20"/>
                <w:szCs w:val="20"/>
                <w:lang w:eastAsia="en-GB"/>
              </w:rPr>
            </w:pPr>
            <w:r w:rsidRPr="00591F7F">
              <w:rPr>
                <w:rFonts w:ascii="Arial Narrow" w:hAnsi="Arial Narrow"/>
                <w:color w:val="000000"/>
                <w:sz w:val="20"/>
                <w:szCs w:val="20"/>
                <w:lang w:eastAsia="en-GB"/>
              </w:rPr>
              <w:t>15,092</w:t>
            </w:r>
          </w:p>
        </w:tc>
        <w:tc>
          <w:tcPr>
            <w:tcW w:w="2240" w:type="dxa"/>
            <w:tcBorders>
              <w:top w:val="nil"/>
              <w:left w:val="nil"/>
              <w:bottom w:val="single" w:sz="4" w:space="0" w:color="auto"/>
              <w:right w:val="single" w:sz="4" w:space="0" w:color="auto"/>
            </w:tcBorders>
            <w:shd w:val="clear" w:color="auto" w:fill="auto"/>
            <w:noWrap/>
            <w:vAlign w:val="bottom"/>
            <w:hideMark/>
          </w:tcPr>
          <w:p w14:paraId="03729632" w14:textId="77777777" w:rsidR="00602D07" w:rsidRPr="00591F7F" w:rsidRDefault="00602D07" w:rsidP="00602D07">
            <w:pPr>
              <w:jc w:val="right"/>
              <w:rPr>
                <w:rFonts w:ascii="Arial Narrow" w:hAnsi="Arial Narrow"/>
                <w:color w:val="000000"/>
                <w:sz w:val="20"/>
                <w:szCs w:val="20"/>
                <w:lang w:eastAsia="en-GB"/>
              </w:rPr>
            </w:pPr>
            <w:r w:rsidRPr="00591F7F">
              <w:rPr>
                <w:rFonts w:ascii="Arial Narrow" w:hAnsi="Arial Narrow"/>
                <w:color w:val="000000"/>
                <w:sz w:val="20"/>
                <w:szCs w:val="20"/>
                <w:lang w:eastAsia="en-GB"/>
              </w:rPr>
              <w:t>12,536</w:t>
            </w:r>
          </w:p>
        </w:tc>
      </w:tr>
      <w:tr w:rsidR="00602D07" w:rsidRPr="00591F7F" w14:paraId="1CDA36A7" w14:textId="77777777" w:rsidTr="00B52EAB">
        <w:trPr>
          <w:trHeight w:val="26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25B103B1" w14:textId="0234692F" w:rsidR="00602D07" w:rsidRPr="00591F7F" w:rsidRDefault="007843C1" w:rsidP="00602D07">
            <w:pPr>
              <w:rPr>
                <w:rFonts w:ascii="Arial Narrow" w:hAnsi="Arial Narrow"/>
                <w:color w:val="000000"/>
                <w:sz w:val="20"/>
                <w:szCs w:val="20"/>
                <w:lang w:eastAsia="en-GB"/>
              </w:rPr>
            </w:pPr>
            <w:r>
              <w:rPr>
                <w:rFonts w:ascii="Arial Narrow" w:hAnsi="Arial Narrow"/>
                <w:color w:val="000000"/>
                <w:sz w:val="20"/>
                <w:szCs w:val="20"/>
                <w:lang w:eastAsia="en-GB"/>
              </w:rPr>
              <w:t>MNRr</w:t>
            </w:r>
            <w:r w:rsidR="00602D07" w:rsidRPr="00591F7F">
              <w:rPr>
                <w:rFonts w:ascii="Arial Narrow" w:hAnsi="Arial Narrow"/>
                <w:color w:val="000000"/>
                <w:sz w:val="20"/>
                <w:szCs w:val="20"/>
                <w:lang w:eastAsia="en-GB"/>
              </w:rPr>
              <w:t xml:space="preserve"> nga familjet</w:t>
            </w:r>
          </w:p>
        </w:tc>
        <w:tc>
          <w:tcPr>
            <w:tcW w:w="2040" w:type="dxa"/>
            <w:tcBorders>
              <w:top w:val="nil"/>
              <w:left w:val="nil"/>
              <w:bottom w:val="single" w:sz="4" w:space="0" w:color="auto"/>
              <w:right w:val="single" w:sz="4" w:space="0" w:color="auto"/>
            </w:tcBorders>
            <w:shd w:val="clear" w:color="auto" w:fill="auto"/>
            <w:noWrap/>
            <w:vAlign w:val="bottom"/>
            <w:hideMark/>
          </w:tcPr>
          <w:p w14:paraId="12E76BD4" w14:textId="77777777" w:rsidR="00602D07" w:rsidRPr="00591F7F" w:rsidRDefault="00602D07" w:rsidP="00602D07">
            <w:pPr>
              <w:jc w:val="right"/>
              <w:rPr>
                <w:rFonts w:ascii="Arial Narrow" w:hAnsi="Arial Narrow"/>
                <w:color w:val="000000"/>
                <w:sz w:val="20"/>
                <w:szCs w:val="20"/>
                <w:lang w:eastAsia="en-GB"/>
              </w:rPr>
            </w:pPr>
            <w:r w:rsidRPr="00591F7F">
              <w:rPr>
                <w:rFonts w:ascii="Arial Narrow" w:hAnsi="Arial Narrow"/>
                <w:color w:val="000000"/>
                <w:sz w:val="20"/>
                <w:szCs w:val="20"/>
                <w:lang w:eastAsia="en-GB"/>
              </w:rPr>
              <w:t>1,580</w:t>
            </w:r>
          </w:p>
        </w:tc>
        <w:tc>
          <w:tcPr>
            <w:tcW w:w="2240" w:type="dxa"/>
            <w:tcBorders>
              <w:top w:val="nil"/>
              <w:left w:val="nil"/>
              <w:bottom w:val="single" w:sz="4" w:space="0" w:color="auto"/>
              <w:right w:val="single" w:sz="4" w:space="0" w:color="auto"/>
            </w:tcBorders>
            <w:shd w:val="clear" w:color="auto" w:fill="auto"/>
            <w:noWrap/>
            <w:vAlign w:val="bottom"/>
            <w:hideMark/>
          </w:tcPr>
          <w:p w14:paraId="53206547" w14:textId="77777777" w:rsidR="00602D07" w:rsidRPr="00591F7F" w:rsidRDefault="00602D07" w:rsidP="00602D07">
            <w:pPr>
              <w:jc w:val="right"/>
              <w:rPr>
                <w:rFonts w:ascii="Arial Narrow" w:hAnsi="Arial Narrow"/>
                <w:color w:val="000000"/>
                <w:sz w:val="20"/>
                <w:szCs w:val="20"/>
                <w:lang w:eastAsia="en-GB"/>
              </w:rPr>
            </w:pPr>
            <w:r w:rsidRPr="00591F7F">
              <w:rPr>
                <w:rFonts w:ascii="Arial Narrow" w:hAnsi="Arial Narrow"/>
                <w:color w:val="000000"/>
                <w:sz w:val="20"/>
                <w:szCs w:val="20"/>
                <w:lang w:eastAsia="en-GB"/>
              </w:rPr>
              <w:t>1,313</w:t>
            </w:r>
          </w:p>
        </w:tc>
      </w:tr>
      <w:tr w:rsidR="00602D07" w:rsidRPr="00591F7F" w14:paraId="11B19371" w14:textId="77777777" w:rsidTr="00B52EAB">
        <w:trPr>
          <w:trHeight w:val="26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A6F60AF" w14:textId="36A23170" w:rsidR="00602D07" w:rsidRPr="00591F7F" w:rsidRDefault="00602D07" w:rsidP="00602D07">
            <w:pPr>
              <w:rPr>
                <w:rFonts w:ascii="Arial Narrow" w:hAnsi="Arial Narrow"/>
                <w:b/>
                <w:bCs/>
                <w:color w:val="000000"/>
                <w:sz w:val="20"/>
                <w:szCs w:val="20"/>
                <w:lang w:eastAsia="en-GB"/>
              </w:rPr>
            </w:pPr>
            <w:r w:rsidRPr="00591F7F">
              <w:rPr>
                <w:rFonts w:ascii="Arial Narrow" w:hAnsi="Arial Narrow"/>
                <w:b/>
                <w:bCs/>
                <w:color w:val="000000"/>
                <w:sz w:val="20"/>
                <w:szCs w:val="20"/>
                <w:lang w:eastAsia="en-GB"/>
              </w:rPr>
              <w:lastRenderedPageBreak/>
              <w:t xml:space="preserve">Totali i </w:t>
            </w:r>
            <w:r w:rsidR="007843C1">
              <w:rPr>
                <w:rFonts w:ascii="Arial Narrow" w:hAnsi="Arial Narrow"/>
                <w:b/>
                <w:bCs/>
                <w:color w:val="000000"/>
                <w:sz w:val="20"/>
                <w:szCs w:val="20"/>
                <w:lang w:eastAsia="en-GB"/>
              </w:rPr>
              <w:t>MNRr-ve</w:t>
            </w:r>
          </w:p>
        </w:tc>
        <w:tc>
          <w:tcPr>
            <w:tcW w:w="2040" w:type="dxa"/>
            <w:tcBorders>
              <w:top w:val="nil"/>
              <w:left w:val="nil"/>
              <w:bottom w:val="single" w:sz="4" w:space="0" w:color="auto"/>
              <w:right w:val="single" w:sz="4" w:space="0" w:color="auto"/>
            </w:tcBorders>
            <w:shd w:val="clear" w:color="auto" w:fill="auto"/>
            <w:noWrap/>
            <w:vAlign w:val="bottom"/>
            <w:hideMark/>
          </w:tcPr>
          <w:p w14:paraId="1DDD065F" w14:textId="77777777" w:rsidR="00602D07" w:rsidRPr="00591F7F" w:rsidRDefault="00602D07" w:rsidP="00602D07">
            <w:pPr>
              <w:jc w:val="right"/>
              <w:rPr>
                <w:rFonts w:ascii="Arial Narrow" w:hAnsi="Arial Narrow"/>
                <w:b/>
                <w:bCs/>
                <w:color w:val="000000"/>
                <w:sz w:val="20"/>
                <w:szCs w:val="20"/>
                <w:lang w:eastAsia="en-GB"/>
              </w:rPr>
            </w:pPr>
            <w:r w:rsidRPr="00591F7F">
              <w:rPr>
                <w:rFonts w:ascii="Arial Narrow" w:hAnsi="Arial Narrow"/>
                <w:b/>
                <w:bCs/>
                <w:color w:val="000000"/>
                <w:sz w:val="20"/>
                <w:szCs w:val="20"/>
                <w:lang w:eastAsia="en-GB"/>
              </w:rPr>
              <w:t>54,404</w:t>
            </w:r>
          </w:p>
        </w:tc>
        <w:tc>
          <w:tcPr>
            <w:tcW w:w="2240" w:type="dxa"/>
            <w:tcBorders>
              <w:top w:val="nil"/>
              <w:left w:val="nil"/>
              <w:bottom w:val="single" w:sz="4" w:space="0" w:color="auto"/>
              <w:right w:val="single" w:sz="4" w:space="0" w:color="auto"/>
            </w:tcBorders>
            <w:shd w:val="clear" w:color="auto" w:fill="auto"/>
            <w:noWrap/>
            <w:vAlign w:val="bottom"/>
            <w:hideMark/>
          </w:tcPr>
          <w:p w14:paraId="434A3A76" w14:textId="77777777" w:rsidR="00602D07" w:rsidRPr="00591F7F" w:rsidRDefault="00602D07" w:rsidP="00602D07">
            <w:pPr>
              <w:jc w:val="right"/>
              <w:rPr>
                <w:rFonts w:ascii="Arial Narrow" w:hAnsi="Arial Narrow"/>
                <w:b/>
                <w:bCs/>
                <w:color w:val="000000"/>
                <w:sz w:val="20"/>
                <w:szCs w:val="20"/>
                <w:lang w:eastAsia="en-GB"/>
              </w:rPr>
            </w:pPr>
            <w:r w:rsidRPr="00591F7F">
              <w:rPr>
                <w:rFonts w:ascii="Arial Narrow" w:hAnsi="Arial Narrow"/>
                <w:b/>
                <w:bCs/>
                <w:color w:val="000000"/>
                <w:sz w:val="20"/>
                <w:szCs w:val="20"/>
                <w:lang w:eastAsia="en-GB"/>
              </w:rPr>
              <w:t>45,188</w:t>
            </w:r>
          </w:p>
        </w:tc>
      </w:tr>
    </w:tbl>
    <w:p w14:paraId="5DE637F3" w14:textId="1C6E8670" w:rsidR="00602D07" w:rsidRPr="00E45EED" w:rsidRDefault="00E45EED" w:rsidP="00D525B8">
      <w:pPr>
        <w:pStyle w:val="source0"/>
      </w:pPr>
      <w:r w:rsidRPr="00E45EED">
        <w:t xml:space="preserve">Burimi: </w:t>
      </w:r>
      <w:r w:rsidR="00DC3700">
        <w:t>P</w:t>
      </w:r>
      <w:r w:rsidR="005A468F">
        <w:t>K</w:t>
      </w:r>
      <w:r w:rsidR="00DC3700">
        <w:t>MMNRr</w:t>
      </w:r>
    </w:p>
    <w:p w14:paraId="43AD17FF" w14:textId="77777777" w:rsidR="00E45EED" w:rsidRDefault="00E45EED" w:rsidP="00032CD8">
      <w:pPr>
        <w:rPr>
          <w:rFonts w:eastAsia="Calibri" w:cs="Calibri"/>
          <w:sz w:val="22"/>
          <w:szCs w:val="22"/>
        </w:rPr>
      </w:pPr>
    </w:p>
    <w:p w14:paraId="0B3D3953" w14:textId="0841AF1E" w:rsidR="007843C1" w:rsidRPr="002B06C4" w:rsidRDefault="007843C1" w:rsidP="007843C1">
      <w:pPr>
        <w:pStyle w:val="Paragraph"/>
        <w:rPr>
          <w:rFonts w:eastAsia="Calibri"/>
          <w:lang w:val="sq-AL"/>
        </w:rPr>
      </w:pPr>
      <w:r w:rsidRPr="002B06C4">
        <w:rPr>
          <w:rFonts w:eastAsia="Calibri"/>
          <w:lang w:val="sq-AL"/>
        </w:rPr>
        <w:t xml:space="preserve">Tonelatat janë vlerësuar me supozimin se dendësia e </w:t>
      </w:r>
      <w:r>
        <w:rPr>
          <w:rFonts w:eastAsia="Calibri"/>
          <w:lang w:val="sq-AL"/>
        </w:rPr>
        <w:t>MN</w:t>
      </w:r>
      <w:r w:rsidR="00DC3700">
        <w:rPr>
          <w:rFonts w:eastAsia="Calibri"/>
          <w:lang w:val="sq-AL"/>
        </w:rPr>
        <w:t>Rr-ve</w:t>
      </w:r>
      <w:r w:rsidRPr="002B06C4">
        <w:rPr>
          <w:rFonts w:eastAsia="Calibri"/>
          <w:lang w:val="sq-AL"/>
        </w:rPr>
        <w:t xml:space="preserve"> është 830.6 </w:t>
      </w:r>
      <w:r w:rsidRPr="000607BF">
        <w:rPr>
          <w:rFonts w:eastAsia="Calibri"/>
          <w:lang w:val="sq-AL"/>
        </w:rPr>
        <w:t>ton/</w:t>
      </w:r>
      <w:r w:rsidR="000607BF" w:rsidRPr="000607BF">
        <w:rPr>
          <w:color w:val="auto"/>
          <w:lang w:eastAsia="en-GB"/>
        </w:rPr>
        <w:t>m</w:t>
      </w:r>
      <w:r w:rsidR="000607BF" w:rsidRPr="000607BF">
        <w:rPr>
          <w:color w:val="auto"/>
          <w:vertAlign w:val="superscript"/>
          <w:lang w:eastAsia="en-GB"/>
        </w:rPr>
        <w:t>3</w:t>
      </w:r>
      <w:r w:rsidRPr="000607BF">
        <w:rPr>
          <w:rFonts w:eastAsia="Calibri"/>
          <w:lang w:val="sq-AL"/>
        </w:rPr>
        <w:t>. Sipas PMMNRr, familjet kontribuojnë në gjenerimin e përgjithshëm të MNRr-ve me vetëm 3%. Burimi më i rëndësishëm</w:t>
      </w:r>
      <w:r w:rsidRPr="002B06C4">
        <w:rPr>
          <w:rFonts w:eastAsia="Calibri"/>
          <w:lang w:val="sq-AL"/>
        </w:rPr>
        <w:t xml:space="preserve"> i gjenerimit të </w:t>
      </w:r>
      <w:r>
        <w:rPr>
          <w:rFonts w:eastAsia="Calibri"/>
          <w:lang w:val="sq-AL"/>
        </w:rPr>
        <w:t>MNRr-ve</w:t>
      </w:r>
      <w:r w:rsidRPr="002B06C4">
        <w:rPr>
          <w:rFonts w:eastAsia="Calibri"/>
          <w:lang w:val="sq-AL"/>
        </w:rPr>
        <w:t xml:space="preserve"> është sektori i ndërtimit - rreth 70%</w:t>
      </w:r>
      <w:r>
        <w:rPr>
          <w:rFonts w:eastAsia="Calibri"/>
          <w:lang w:val="sq-AL"/>
        </w:rPr>
        <w:t>.</w:t>
      </w:r>
      <w:r w:rsidR="00DC3700" w:rsidRPr="00DC3700">
        <w:rPr>
          <w:rFonts w:eastAsia="Calibri"/>
          <w:color w:val="auto"/>
          <w:lang w:val="sq-AL"/>
        </w:rPr>
        <w:t xml:space="preserve"> </w:t>
      </w:r>
    </w:p>
    <w:p w14:paraId="54DC37DF" w14:textId="77777777" w:rsidR="00032CD8" w:rsidRPr="00AF0235" w:rsidRDefault="00032CD8" w:rsidP="002254E8">
      <w:pPr>
        <w:pStyle w:val="Heading2"/>
      </w:pPr>
      <w:bookmarkStart w:id="183" w:name="_Toc153872123"/>
      <w:bookmarkStart w:id="184" w:name="_Toc170470827"/>
      <w:bookmarkStart w:id="185" w:name="_Toc197471975"/>
      <w:r w:rsidRPr="00AF0235">
        <w:t>Përbërja e mbeturinave</w:t>
      </w:r>
      <w:bookmarkEnd w:id="183"/>
      <w:bookmarkEnd w:id="184"/>
      <w:bookmarkEnd w:id="185"/>
    </w:p>
    <w:p w14:paraId="77DE546A" w14:textId="77777777" w:rsidR="007843C1" w:rsidRPr="002B06C4" w:rsidRDefault="007843C1" w:rsidP="007843C1">
      <w:pPr>
        <w:pStyle w:val="Paragraph"/>
        <w:rPr>
          <w:rFonts w:eastAsia="Calibri"/>
          <w:lang w:val="sq-AL"/>
        </w:rPr>
      </w:pPr>
      <w:r w:rsidRPr="002B06C4">
        <w:rPr>
          <w:rFonts w:eastAsia="Calibri"/>
          <w:lang w:val="sq-AL"/>
        </w:rPr>
        <w:t>Analiza e përbërjes së mbeturinave komunale është bërë për 1 vit, nga tetori 2021 deri në nëntor 2022, në 7 regjionet e Kosovës, në komunat e Prishtinës, Prizrenit, Ferizajt, Gjakovës, Mitrovicës Jugore, Gjilanit dhe Pejës. Mostrat janë marrë në 4 zona të qyteteve, duke përfshirë ambiente banimi kolektive, individual, biznese dhe kategori të përziera (kompani kolektive, individuale dhe afariste).</w:t>
      </w:r>
    </w:p>
    <w:p w14:paraId="05C4F6E4" w14:textId="316D04FA" w:rsidR="00FB58BD" w:rsidRDefault="00FB58BD" w:rsidP="00D525B8">
      <w:pPr>
        <w:pStyle w:val="Paragraph"/>
        <w:rPr>
          <w:rFonts w:eastAsia="Calibri"/>
        </w:rPr>
      </w:pPr>
      <w:r>
        <w:rPr>
          <w:rFonts w:eastAsia="Calibri"/>
        </w:rPr>
        <w:t>Rezultatet mesatare të kombinuara të tre anketave në Pejë janë paraqitur në tabelën më poshtë.</w:t>
      </w:r>
    </w:p>
    <w:p w14:paraId="6DA62A98" w14:textId="108B6452" w:rsidR="00115B7F" w:rsidRPr="007F50ED" w:rsidRDefault="00115B7F" w:rsidP="007F50ED">
      <w:pPr>
        <w:suppressAutoHyphens/>
        <w:rPr>
          <w:rFonts w:ascii="Arial Narrow" w:eastAsia="Calibri" w:hAnsi="Arial Narrow" w:cs="Calibri"/>
          <w:color w:val="1F497D"/>
          <w:sz w:val="20"/>
          <w:szCs w:val="20"/>
        </w:rPr>
      </w:pPr>
      <w:bookmarkStart w:id="186" w:name="_Toc197472209"/>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24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 Përbërja e mbeturinave në Pejë</w:t>
      </w:r>
      <w:bookmarkEnd w:id="186"/>
      <w:r w:rsidRPr="007F50ED">
        <w:rPr>
          <w:rFonts w:ascii="Arial Narrow" w:eastAsia="Calibri" w:hAnsi="Arial Narrow" w:cs="Calibri"/>
          <w:color w:val="1F497D"/>
          <w:sz w:val="20"/>
          <w:szCs w:val="20"/>
        </w:rPr>
        <w:t xml:space="preserve"> </w:t>
      </w:r>
    </w:p>
    <w:tbl>
      <w:tblPr>
        <w:tblW w:w="4765" w:type="dxa"/>
        <w:jc w:val="center"/>
        <w:tblLook w:val="04A0" w:firstRow="1" w:lastRow="0" w:firstColumn="1" w:lastColumn="0" w:noHBand="0" w:noVBand="1"/>
      </w:tblPr>
      <w:tblGrid>
        <w:gridCol w:w="3080"/>
        <w:gridCol w:w="1685"/>
      </w:tblGrid>
      <w:tr w:rsidR="00591F7F" w:rsidRPr="00591F7F" w14:paraId="5F2C1E36" w14:textId="77777777" w:rsidTr="006347D6">
        <w:trPr>
          <w:trHeight w:val="113"/>
          <w:tblHeader/>
          <w:jc w:val="center"/>
        </w:trPr>
        <w:tc>
          <w:tcPr>
            <w:tcW w:w="3080"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0128093D" w14:textId="77777777" w:rsidR="00115B7F" w:rsidRPr="00591F7F" w:rsidRDefault="00115B7F" w:rsidP="00115B7F">
            <w:pPr>
              <w:rPr>
                <w:rFonts w:ascii="Arial Narrow" w:hAnsi="Arial Narrow"/>
                <w:b/>
                <w:bCs/>
                <w:color w:val="FFFFFF" w:themeColor="background1"/>
                <w:sz w:val="20"/>
                <w:szCs w:val="20"/>
              </w:rPr>
            </w:pPr>
            <w:r w:rsidRPr="00591F7F">
              <w:rPr>
                <w:rFonts w:ascii="Arial Narrow" w:hAnsi="Arial Narrow"/>
                <w:b/>
                <w:bCs/>
                <w:color w:val="FFFFFF" w:themeColor="background1"/>
                <w:sz w:val="20"/>
                <w:szCs w:val="20"/>
              </w:rPr>
              <w:t>Kategoria e mbeturinave</w:t>
            </w:r>
          </w:p>
        </w:tc>
        <w:tc>
          <w:tcPr>
            <w:tcW w:w="1685" w:type="dxa"/>
            <w:tcBorders>
              <w:top w:val="single" w:sz="4" w:space="0" w:color="auto"/>
              <w:left w:val="nil"/>
              <w:bottom w:val="single" w:sz="4" w:space="0" w:color="auto"/>
              <w:right w:val="single" w:sz="4" w:space="0" w:color="auto"/>
            </w:tcBorders>
            <w:shd w:val="clear" w:color="auto" w:fill="365F91"/>
            <w:noWrap/>
            <w:vAlign w:val="bottom"/>
            <w:hideMark/>
          </w:tcPr>
          <w:p w14:paraId="77F723FA" w14:textId="77777777" w:rsidR="00115B7F" w:rsidRPr="00591F7F" w:rsidRDefault="00115B7F" w:rsidP="00725AF0">
            <w:pPr>
              <w:jc w:val="center"/>
              <w:rPr>
                <w:rFonts w:ascii="Arial Narrow" w:hAnsi="Arial Narrow"/>
                <w:b/>
                <w:bCs/>
                <w:color w:val="FFFFFF" w:themeColor="background1"/>
                <w:sz w:val="20"/>
                <w:szCs w:val="20"/>
              </w:rPr>
            </w:pPr>
            <w:r w:rsidRPr="00591F7F">
              <w:rPr>
                <w:rFonts w:ascii="Arial Narrow" w:hAnsi="Arial Narrow"/>
                <w:b/>
                <w:bCs/>
                <w:color w:val="FFFFFF" w:themeColor="background1"/>
                <w:sz w:val="20"/>
                <w:szCs w:val="20"/>
              </w:rPr>
              <w:t>Rezultati mesatar</w:t>
            </w:r>
          </w:p>
        </w:tc>
      </w:tr>
      <w:tr w:rsidR="00FB58BD" w:rsidRPr="00591F7F" w14:paraId="0B666A19" w14:textId="77777777" w:rsidTr="00B52EAB">
        <w:trPr>
          <w:trHeight w:val="113"/>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3A8FF4AE" w14:textId="77777777" w:rsidR="00115B7F" w:rsidRPr="00591F7F" w:rsidRDefault="00115B7F" w:rsidP="00115B7F">
            <w:pPr>
              <w:rPr>
                <w:rFonts w:ascii="Arial Narrow" w:hAnsi="Arial Narrow"/>
                <w:sz w:val="20"/>
                <w:szCs w:val="20"/>
              </w:rPr>
            </w:pPr>
            <w:r w:rsidRPr="00591F7F">
              <w:rPr>
                <w:rFonts w:ascii="Arial Narrow" w:hAnsi="Arial Narrow"/>
                <w:sz w:val="20"/>
                <w:szCs w:val="20"/>
              </w:rPr>
              <w:t>Mbeturinat organike</w:t>
            </w:r>
          </w:p>
        </w:tc>
        <w:tc>
          <w:tcPr>
            <w:tcW w:w="1685" w:type="dxa"/>
            <w:tcBorders>
              <w:top w:val="nil"/>
              <w:left w:val="nil"/>
              <w:bottom w:val="single" w:sz="4" w:space="0" w:color="auto"/>
              <w:right w:val="single" w:sz="4" w:space="0" w:color="auto"/>
            </w:tcBorders>
            <w:shd w:val="clear" w:color="auto" w:fill="auto"/>
            <w:noWrap/>
            <w:vAlign w:val="bottom"/>
            <w:hideMark/>
          </w:tcPr>
          <w:p w14:paraId="3FAA82BD" w14:textId="77777777" w:rsidR="00115B7F" w:rsidRPr="00591F7F" w:rsidRDefault="00115B7F" w:rsidP="00115B7F">
            <w:pPr>
              <w:jc w:val="right"/>
              <w:rPr>
                <w:rFonts w:ascii="Arial Narrow" w:hAnsi="Arial Narrow"/>
                <w:sz w:val="20"/>
                <w:szCs w:val="20"/>
              </w:rPr>
            </w:pPr>
            <w:r w:rsidRPr="00591F7F">
              <w:rPr>
                <w:rFonts w:ascii="Arial Narrow" w:hAnsi="Arial Narrow"/>
                <w:sz w:val="20"/>
                <w:szCs w:val="20"/>
              </w:rPr>
              <w:t>29.7%</w:t>
            </w:r>
          </w:p>
        </w:tc>
      </w:tr>
      <w:tr w:rsidR="00FB58BD" w:rsidRPr="00591F7F" w14:paraId="291045E9" w14:textId="77777777" w:rsidTr="00B52EAB">
        <w:trPr>
          <w:trHeight w:val="113"/>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730107F6" w14:textId="77777777" w:rsidR="00115B7F" w:rsidRPr="00591F7F" w:rsidRDefault="00115B7F" w:rsidP="00115B7F">
            <w:pPr>
              <w:rPr>
                <w:rFonts w:ascii="Arial Narrow" w:hAnsi="Arial Narrow"/>
                <w:sz w:val="20"/>
                <w:szCs w:val="20"/>
              </w:rPr>
            </w:pPr>
            <w:r w:rsidRPr="00591F7F">
              <w:rPr>
                <w:rFonts w:ascii="Arial Narrow" w:hAnsi="Arial Narrow"/>
                <w:sz w:val="20"/>
                <w:szCs w:val="20"/>
              </w:rPr>
              <w:t>Mbeturinat e gjelbra</w:t>
            </w:r>
          </w:p>
        </w:tc>
        <w:tc>
          <w:tcPr>
            <w:tcW w:w="1685" w:type="dxa"/>
            <w:tcBorders>
              <w:top w:val="nil"/>
              <w:left w:val="nil"/>
              <w:bottom w:val="single" w:sz="4" w:space="0" w:color="auto"/>
              <w:right w:val="single" w:sz="4" w:space="0" w:color="auto"/>
            </w:tcBorders>
            <w:shd w:val="clear" w:color="auto" w:fill="auto"/>
            <w:noWrap/>
            <w:vAlign w:val="bottom"/>
            <w:hideMark/>
          </w:tcPr>
          <w:p w14:paraId="099B6221" w14:textId="77777777" w:rsidR="00115B7F" w:rsidRPr="00591F7F" w:rsidRDefault="00115B7F" w:rsidP="00115B7F">
            <w:pPr>
              <w:jc w:val="right"/>
              <w:rPr>
                <w:rFonts w:ascii="Arial Narrow" w:hAnsi="Arial Narrow"/>
                <w:sz w:val="20"/>
                <w:szCs w:val="20"/>
              </w:rPr>
            </w:pPr>
            <w:r w:rsidRPr="00591F7F">
              <w:rPr>
                <w:rFonts w:ascii="Arial Narrow" w:hAnsi="Arial Narrow"/>
                <w:sz w:val="20"/>
                <w:szCs w:val="20"/>
              </w:rPr>
              <w:t>3.3%</w:t>
            </w:r>
          </w:p>
        </w:tc>
      </w:tr>
      <w:tr w:rsidR="00FB58BD" w:rsidRPr="00591F7F" w14:paraId="53CB6270" w14:textId="77777777" w:rsidTr="00B52EAB">
        <w:trPr>
          <w:trHeight w:val="113"/>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7056BEC7" w14:textId="77777777" w:rsidR="00115B7F" w:rsidRPr="00591F7F" w:rsidRDefault="00115B7F" w:rsidP="00115B7F">
            <w:pPr>
              <w:rPr>
                <w:rFonts w:ascii="Arial Narrow" w:hAnsi="Arial Narrow"/>
                <w:sz w:val="20"/>
                <w:szCs w:val="20"/>
              </w:rPr>
            </w:pPr>
            <w:r w:rsidRPr="00591F7F">
              <w:rPr>
                <w:rFonts w:ascii="Arial Narrow" w:hAnsi="Arial Narrow"/>
                <w:sz w:val="20"/>
                <w:szCs w:val="20"/>
              </w:rPr>
              <w:t>Tetrapak</w:t>
            </w:r>
          </w:p>
        </w:tc>
        <w:tc>
          <w:tcPr>
            <w:tcW w:w="1685" w:type="dxa"/>
            <w:tcBorders>
              <w:top w:val="nil"/>
              <w:left w:val="nil"/>
              <w:bottom w:val="single" w:sz="4" w:space="0" w:color="auto"/>
              <w:right w:val="single" w:sz="4" w:space="0" w:color="auto"/>
            </w:tcBorders>
            <w:shd w:val="clear" w:color="auto" w:fill="auto"/>
            <w:noWrap/>
            <w:vAlign w:val="bottom"/>
            <w:hideMark/>
          </w:tcPr>
          <w:p w14:paraId="4AE1CEE7" w14:textId="77777777" w:rsidR="00115B7F" w:rsidRPr="00591F7F" w:rsidRDefault="00115B7F" w:rsidP="00115B7F">
            <w:pPr>
              <w:jc w:val="right"/>
              <w:rPr>
                <w:rFonts w:ascii="Arial Narrow" w:hAnsi="Arial Narrow"/>
                <w:sz w:val="20"/>
                <w:szCs w:val="20"/>
              </w:rPr>
            </w:pPr>
            <w:r w:rsidRPr="00591F7F">
              <w:rPr>
                <w:rFonts w:ascii="Arial Narrow" w:hAnsi="Arial Narrow"/>
                <w:sz w:val="20"/>
                <w:szCs w:val="20"/>
              </w:rPr>
              <w:t>1.9%</w:t>
            </w:r>
          </w:p>
        </w:tc>
      </w:tr>
      <w:tr w:rsidR="00FB58BD" w:rsidRPr="00591F7F" w14:paraId="0B11C85B" w14:textId="77777777" w:rsidTr="00B52EAB">
        <w:trPr>
          <w:trHeight w:val="113"/>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3C8C3974" w14:textId="389D52CE" w:rsidR="00115B7F" w:rsidRPr="00591F7F" w:rsidRDefault="00115B7F" w:rsidP="00115B7F">
            <w:pPr>
              <w:rPr>
                <w:rFonts w:ascii="Arial Narrow" w:hAnsi="Arial Narrow"/>
                <w:sz w:val="20"/>
                <w:szCs w:val="20"/>
              </w:rPr>
            </w:pPr>
            <w:r w:rsidRPr="00591F7F">
              <w:rPr>
                <w:rFonts w:ascii="Arial Narrow" w:hAnsi="Arial Narrow"/>
                <w:sz w:val="20"/>
                <w:szCs w:val="20"/>
              </w:rPr>
              <w:t>Plastik</w:t>
            </w:r>
            <w:r w:rsidR="007843C1">
              <w:rPr>
                <w:rFonts w:ascii="Arial Narrow" w:hAnsi="Arial Narrow"/>
                <w:sz w:val="20"/>
                <w:szCs w:val="20"/>
              </w:rPr>
              <w:t>ë</w:t>
            </w:r>
          </w:p>
        </w:tc>
        <w:tc>
          <w:tcPr>
            <w:tcW w:w="1685" w:type="dxa"/>
            <w:tcBorders>
              <w:top w:val="nil"/>
              <w:left w:val="nil"/>
              <w:bottom w:val="single" w:sz="4" w:space="0" w:color="auto"/>
              <w:right w:val="single" w:sz="4" w:space="0" w:color="auto"/>
            </w:tcBorders>
            <w:shd w:val="clear" w:color="auto" w:fill="auto"/>
            <w:noWrap/>
            <w:vAlign w:val="bottom"/>
            <w:hideMark/>
          </w:tcPr>
          <w:p w14:paraId="6A84FE04" w14:textId="77777777" w:rsidR="00115B7F" w:rsidRPr="00591F7F" w:rsidRDefault="00115B7F" w:rsidP="00115B7F">
            <w:pPr>
              <w:jc w:val="right"/>
              <w:rPr>
                <w:rFonts w:ascii="Arial Narrow" w:hAnsi="Arial Narrow"/>
                <w:sz w:val="20"/>
                <w:szCs w:val="20"/>
              </w:rPr>
            </w:pPr>
            <w:r w:rsidRPr="00591F7F">
              <w:rPr>
                <w:rFonts w:ascii="Arial Narrow" w:hAnsi="Arial Narrow"/>
                <w:sz w:val="20"/>
                <w:szCs w:val="20"/>
              </w:rPr>
              <w:t>18.5%</w:t>
            </w:r>
          </w:p>
        </w:tc>
      </w:tr>
      <w:tr w:rsidR="00FB58BD" w:rsidRPr="00591F7F" w14:paraId="3A046AD2" w14:textId="77777777" w:rsidTr="00B52EAB">
        <w:trPr>
          <w:trHeight w:val="113"/>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444009EC" w14:textId="77777777" w:rsidR="00115B7F" w:rsidRPr="00591F7F" w:rsidRDefault="00115B7F" w:rsidP="00115B7F">
            <w:pPr>
              <w:rPr>
                <w:rFonts w:ascii="Arial Narrow" w:hAnsi="Arial Narrow"/>
                <w:sz w:val="20"/>
                <w:szCs w:val="20"/>
              </w:rPr>
            </w:pPr>
            <w:r w:rsidRPr="00591F7F">
              <w:rPr>
                <w:rFonts w:ascii="Arial Narrow" w:hAnsi="Arial Narrow"/>
                <w:sz w:val="20"/>
                <w:szCs w:val="20"/>
              </w:rPr>
              <w:t>Letër/karton</w:t>
            </w:r>
          </w:p>
        </w:tc>
        <w:tc>
          <w:tcPr>
            <w:tcW w:w="1685" w:type="dxa"/>
            <w:tcBorders>
              <w:top w:val="nil"/>
              <w:left w:val="nil"/>
              <w:bottom w:val="single" w:sz="4" w:space="0" w:color="auto"/>
              <w:right w:val="single" w:sz="4" w:space="0" w:color="auto"/>
            </w:tcBorders>
            <w:shd w:val="clear" w:color="auto" w:fill="auto"/>
            <w:noWrap/>
            <w:vAlign w:val="bottom"/>
            <w:hideMark/>
          </w:tcPr>
          <w:p w14:paraId="67C98BC8" w14:textId="77777777" w:rsidR="00115B7F" w:rsidRPr="00591F7F" w:rsidRDefault="00115B7F" w:rsidP="00115B7F">
            <w:pPr>
              <w:jc w:val="right"/>
              <w:rPr>
                <w:rFonts w:ascii="Arial Narrow" w:hAnsi="Arial Narrow"/>
                <w:sz w:val="20"/>
                <w:szCs w:val="20"/>
              </w:rPr>
            </w:pPr>
            <w:r w:rsidRPr="00591F7F">
              <w:rPr>
                <w:rFonts w:ascii="Arial Narrow" w:hAnsi="Arial Narrow"/>
                <w:sz w:val="20"/>
                <w:szCs w:val="20"/>
              </w:rPr>
              <w:t>16.8%</w:t>
            </w:r>
          </w:p>
        </w:tc>
      </w:tr>
      <w:tr w:rsidR="00FB58BD" w:rsidRPr="00591F7F" w14:paraId="525CEF9D" w14:textId="77777777" w:rsidTr="00B52EAB">
        <w:trPr>
          <w:trHeight w:val="113"/>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5682DB18" w14:textId="067E6A54" w:rsidR="00115B7F" w:rsidRPr="00591F7F" w:rsidRDefault="00115B7F" w:rsidP="00115B7F">
            <w:pPr>
              <w:rPr>
                <w:rFonts w:ascii="Arial Narrow" w:hAnsi="Arial Narrow"/>
                <w:sz w:val="20"/>
                <w:szCs w:val="20"/>
              </w:rPr>
            </w:pPr>
            <w:r w:rsidRPr="00591F7F">
              <w:rPr>
                <w:rFonts w:ascii="Arial Narrow" w:hAnsi="Arial Narrow"/>
                <w:sz w:val="20"/>
                <w:szCs w:val="20"/>
              </w:rPr>
              <w:t>Tekstil</w:t>
            </w:r>
          </w:p>
        </w:tc>
        <w:tc>
          <w:tcPr>
            <w:tcW w:w="1685" w:type="dxa"/>
            <w:tcBorders>
              <w:top w:val="nil"/>
              <w:left w:val="nil"/>
              <w:bottom w:val="single" w:sz="4" w:space="0" w:color="auto"/>
              <w:right w:val="single" w:sz="4" w:space="0" w:color="auto"/>
            </w:tcBorders>
            <w:shd w:val="clear" w:color="auto" w:fill="auto"/>
            <w:noWrap/>
            <w:vAlign w:val="bottom"/>
            <w:hideMark/>
          </w:tcPr>
          <w:p w14:paraId="751C1BA1" w14:textId="77777777" w:rsidR="00115B7F" w:rsidRPr="00591F7F" w:rsidRDefault="00115B7F" w:rsidP="00115B7F">
            <w:pPr>
              <w:jc w:val="right"/>
              <w:rPr>
                <w:rFonts w:ascii="Arial Narrow" w:hAnsi="Arial Narrow"/>
                <w:sz w:val="20"/>
                <w:szCs w:val="20"/>
              </w:rPr>
            </w:pPr>
            <w:r w:rsidRPr="00591F7F">
              <w:rPr>
                <w:rFonts w:ascii="Arial Narrow" w:hAnsi="Arial Narrow"/>
                <w:sz w:val="20"/>
                <w:szCs w:val="20"/>
              </w:rPr>
              <w:t>6.8%</w:t>
            </w:r>
          </w:p>
        </w:tc>
      </w:tr>
      <w:tr w:rsidR="00FB58BD" w:rsidRPr="00591F7F" w14:paraId="4163B5A3" w14:textId="77777777" w:rsidTr="00B52EAB">
        <w:trPr>
          <w:trHeight w:val="113"/>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52614B40" w14:textId="77777777" w:rsidR="00115B7F" w:rsidRPr="00591F7F" w:rsidRDefault="00115B7F" w:rsidP="00115B7F">
            <w:pPr>
              <w:rPr>
                <w:rFonts w:ascii="Arial Narrow" w:hAnsi="Arial Narrow"/>
                <w:sz w:val="20"/>
                <w:szCs w:val="20"/>
              </w:rPr>
            </w:pPr>
            <w:r w:rsidRPr="00591F7F">
              <w:rPr>
                <w:rFonts w:ascii="Arial Narrow" w:hAnsi="Arial Narrow"/>
                <w:sz w:val="20"/>
                <w:szCs w:val="20"/>
              </w:rPr>
              <w:t>Metal</w:t>
            </w:r>
          </w:p>
        </w:tc>
        <w:tc>
          <w:tcPr>
            <w:tcW w:w="1685" w:type="dxa"/>
            <w:tcBorders>
              <w:top w:val="nil"/>
              <w:left w:val="nil"/>
              <w:bottom w:val="single" w:sz="4" w:space="0" w:color="auto"/>
              <w:right w:val="single" w:sz="4" w:space="0" w:color="auto"/>
            </w:tcBorders>
            <w:shd w:val="clear" w:color="auto" w:fill="auto"/>
            <w:noWrap/>
            <w:vAlign w:val="bottom"/>
            <w:hideMark/>
          </w:tcPr>
          <w:p w14:paraId="7990C1B2" w14:textId="77777777" w:rsidR="00115B7F" w:rsidRPr="00591F7F" w:rsidRDefault="00115B7F" w:rsidP="00115B7F">
            <w:pPr>
              <w:jc w:val="right"/>
              <w:rPr>
                <w:rFonts w:ascii="Arial Narrow" w:hAnsi="Arial Narrow"/>
                <w:sz w:val="20"/>
                <w:szCs w:val="20"/>
              </w:rPr>
            </w:pPr>
            <w:r w:rsidRPr="00591F7F">
              <w:rPr>
                <w:rFonts w:ascii="Arial Narrow" w:hAnsi="Arial Narrow"/>
                <w:sz w:val="20"/>
                <w:szCs w:val="20"/>
              </w:rPr>
              <w:t>1.8%</w:t>
            </w:r>
          </w:p>
        </w:tc>
      </w:tr>
      <w:tr w:rsidR="00FB58BD" w:rsidRPr="00591F7F" w14:paraId="50997014" w14:textId="77777777" w:rsidTr="00B52EAB">
        <w:trPr>
          <w:trHeight w:val="113"/>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293BFE51" w14:textId="3AC1C28D" w:rsidR="00115B7F" w:rsidRPr="00591F7F" w:rsidRDefault="00115B7F" w:rsidP="00115B7F">
            <w:pPr>
              <w:rPr>
                <w:rFonts w:ascii="Arial Narrow" w:hAnsi="Arial Narrow"/>
                <w:sz w:val="20"/>
                <w:szCs w:val="20"/>
              </w:rPr>
            </w:pPr>
            <w:r w:rsidRPr="00591F7F">
              <w:rPr>
                <w:rFonts w:ascii="Arial Narrow" w:hAnsi="Arial Narrow"/>
                <w:sz w:val="20"/>
                <w:szCs w:val="20"/>
              </w:rPr>
              <w:t>Qelq</w:t>
            </w:r>
          </w:p>
        </w:tc>
        <w:tc>
          <w:tcPr>
            <w:tcW w:w="1685" w:type="dxa"/>
            <w:tcBorders>
              <w:top w:val="nil"/>
              <w:left w:val="nil"/>
              <w:bottom w:val="single" w:sz="4" w:space="0" w:color="auto"/>
              <w:right w:val="single" w:sz="4" w:space="0" w:color="auto"/>
            </w:tcBorders>
            <w:shd w:val="clear" w:color="auto" w:fill="auto"/>
            <w:noWrap/>
            <w:vAlign w:val="bottom"/>
            <w:hideMark/>
          </w:tcPr>
          <w:p w14:paraId="7D982391" w14:textId="77777777" w:rsidR="00115B7F" w:rsidRPr="00591F7F" w:rsidRDefault="00115B7F" w:rsidP="00115B7F">
            <w:pPr>
              <w:jc w:val="right"/>
              <w:rPr>
                <w:rFonts w:ascii="Arial Narrow" w:hAnsi="Arial Narrow"/>
                <w:sz w:val="20"/>
                <w:szCs w:val="20"/>
              </w:rPr>
            </w:pPr>
            <w:r w:rsidRPr="00591F7F">
              <w:rPr>
                <w:rFonts w:ascii="Arial Narrow" w:hAnsi="Arial Narrow"/>
                <w:sz w:val="20"/>
                <w:szCs w:val="20"/>
              </w:rPr>
              <w:t>7.1%</w:t>
            </w:r>
          </w:p>
        </w:tc>
      </w:tr>
      <w:tr w:rsidR="00FB58BD" w:rsidRPr="00591F7F" w14:paraId="51B62205" w14:textId="77777777" w:rsidTr="00B52EAB">
        <w:trPr>
          <w:trHeight w:val="113"/>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296D9997" w14:textId="3FE56D6B" w:rsidR="00115B7F" w:rsidRPr="00591F7F" w:rsidRDefault="00115B7F" w:rsidP="00115B7F">
            <w:pPr>
              <w:rPr>
                <w:rFonts w:ascii="Arial Narrow" w:hAnsi="Arial Narrow"/>
                <w:sz w:val="20"/>
                <w:szCs w:val="20"/>
              </w:rPr>
            </w:pPr>
            <w:r w:rsidRPr="00591F7F">
              <w:rPr>
                <w:rFonts w:ascii="Arial Narrow" w:hAnsi="Arial Narrow"/>
                <w:sz w:val="20"/>
                <w:szCs w:val="20"/>
              </w:rPr>
              <w:t>Dru</w:t>
            </w:r>
          </w:p>
        </w:tc>
        <w:tc>
          <w:tcPr>
            <w:tcW w:w="1685" w:type="dxa"/>
            <w:tcBorders>
              <w:top w:val="nil"/>
              <w:left w:val="nil"/>
              <w:bottom w:val="single" w:sz="4" w:space="0" w:color="auto"/>
              <w:right w:val="single" w:sz="4" w:space="0" w:color="auto"/>
            </w:tcBorders>
            <w:shd w:val="clear" w:color="auto" w:fill="auto"/>
            <w:noWrap/>
            <w:vAlign w:val="bottom"/>
            <w:hideMark/>
          </w:tcPr>
          <w:p w14:paraId="6CAA0607" w14:textId="77777777" w:rsidR="00115B7F" w:rsidRPr="00591F7F" w:rsidRDefault="00115B7F" w:rsidP="00115B7F">
            <w:pPr>
              <w:jc w:val="right"/>
              <w:rPr>
                <w:rFonts w:ascii="Arial Narrow" w:hAnsi="Arial Narrow"/>
                <w:sz w:val="20"/>
                <w:szCs w:val="20"/>
              </w:rPr>
            </w:pPr>
            <w:r w:rsidRPr="00591F7F">
              <w:rPr>
                <w:rFonts w:ascii="Arial Narrow" w:hAnsi="Arial Narrow"/>
                <w:sz w:val="20"/>
                <w:szCs w:val="20"/>
              </w:rPr>
              <w:t>1.8%</w:t>
            </w:r>
          </w:p>
        </w:tc>
      </w:tr>
      <w:tr w:rsidR="00FB58BD" w:rsidRPr="00591F7F" w14:paraId="59F5A04F" w14:textId="77777777" w:rsidTr="00B52EAB">
        <w:trPr>
          <w:trHeight w:val="113"/>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5343EDCF" w14:textId="22E0F361" w:rsidR="00115B7F" w:rsidRPr="00591F7F" w:rsidRDefault="007843C1" w:rsidP="00115B7F">
            <w:pPr>
              <w:rPr>
                <w:rFonts w:ascii="Arial Narrow" w:hAnsi="Arial Narrow"/>
                <w:sz w:val="20"/>
                <w:szCs w:val="20"/>
              </w:rPr>
            </w:pPr>
            <w:r>
              <w:rPr>
                <w:rFonts w:ascii="Arial Narrow" w:hAnsi="Arial Narrow"/>
                <w:sz w:val="20"/>
                <w:szCs w:val="20"/>
              </w:rPr>
              <w:t>MNRr</w:t>
            </w:r>
          </w:p>
        </w:tc>
        <w:tc>
          <w:tcPr>
            <w:tcW w:w="1685" w:type="dxa"/>
            <w:tcBorders>
              <w:top w:val="nil"/>
              <w:left w:val="nil"/>
              <w:bottom w:val="single" w:sz="4" w:space="0" w:color="auto"/>
              <w:right w:val="single" w:sz="4" w:space="0" w:color="auto"/>
            </w:tcBorders>
            <w:shd w:val="clear" w:color="auto" w:fill="auto"/>
            <w:noWrap/>
            <w:vAlign w:val="bottom"/>
            <w:hideMark/>
          </w:tcPr>
          <w:p w14:paraId="70070FCA" w14:textId="77777777" w:rsidR="00115B7F" w:rsidRPr="00591F7F" w:rsidRDefault="00115B7F" w:rsidP="00115B7F">
            <w:pPr>
              <w:jc w:val="right"/>
              <w:rPr>
                <w:rFonts w:ascii="Arial Narrow" w:hAnsi="Arial Narrow"/>
                <w:sz w:val="20"/>
                <w:szCs w:val="20"/>
              </w:rPr>
            </w:pPr>
            <w:r w:rsidRPr="00591F7F">
              <w:rPr>
                <w:rFonts w:ascii="Arial Narrow" w:hAnsi="Arial Narrow"/>
                <w:sz w:val="20"/>
                <w:szCs w:val="20"/>
              </w:rPr>
              <w:t>2.4%</w:t>
            </w:r>
          </w:p>
        </w:tc>
      </w:tr>
      <w:tr w:rsidR="00FB58BD" w:rsidRPr="00591F7F" w14:paraId="7D81EEB9" w14:textId="77777777" w:rsidTr="00B52EAB">
        <w:trPr>
          <w:trHeight w:val="113"/>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3F13CE24" w14:textId="4355C714" w:rsidR="00115B7F" w:rsidRPr="00591F7F" w:rsidRDefault="00041523" w:rsidP="00115B7F">
            <w:pPr>
              <w:rPr>
                <w:rFonts w:ascii="Arial Narrow" w:hAnsi="Arial Narrow"/>
                <w:sz w:val="20"/>
                <w:szCs w:val="20"/>
              </w:rPr>
            </w:pPr>
            <w:r w:rsidRPr="00591F7F">
              <w:rPr>
                <w:rFonts w:ascii="Arial Narrow" w:hAnsi="Arial Narrow"/>
                <w:sz w:val="20"/>
                <w:szCs w:val="20"/>
              </w:rPr>
              <w:t>Mbeturina</w:t>
            </w:r>
            <w:r w:rsidR="007843C1">
              <w:rPr>
                <w:rFonts w:ascii="Arial Narrow" w:hAnsi="Arial Narrow"/>
                <w:sz w:val="20"/>
                <w:szCs w:val="20"/>
              </w:rPr>
              <w:t xml:space="preserve"> </w:t>
            </w:r>
            <w:r w:rsidRPr="00591F7F">
              <w:rPr>
                <w:rFonts w:ascii="Arial Narrow" w:hAnsi="Arial Narrow"/>
                <w:sz w:val="20"/>
                <w:szCs w:val="20"/>
              </w:rPr>
              <w:t>t</w:t>
            </w:r>
            <w:r w:rsidR="007843C1">
              <w:rPr>
                <w:rFonts w:ascii="Arial Narrow" w:hAnsi="Arial Narrow"/>
                <w:sz w:val="20"/>
                <w:szCs w:val="20"/>
              </w:rPr>
              <w:t>ë</w:t>
            </w:r>
            <w:r w:rsidRPr="00591F7F">
              <w:rPr>
                <w:rFonts w:ascii="Arial Narrow" w:hAnsi="Arial Narrow"/>
                <w:sz w:val="20"/>
                <w:szCs w:val="20"/>
              </w:rPr>
              <w:t xml:space="preserve"> rrezikshme</w:t>
            </w:r>
          </w:p>
        </w:tc>
        <w:tc>
          <w:tcPr>
            <w:tcW w:w="1685" w:type="dxa"/>
            <w:tcBorders>
              <w:top w:val="nil"/>
              <w:left w:val="nil"/>
              <w:bottom w:val="single" w:sz="4" w:space="0" w:color="auto"/>
              <w:right w:val="single" w:sz="4" w:space="0" w:color="auto"/>
            </w:tcBorders>
            <w:shd w:val="clear" w:color="auto" w:fill="auto"/>
            <w:noWrap/>
            <w:vAlign w:val="bottom"/>
            <w:hideMark/>
          </w:tcPr>
          <w:p w14:paraId="75D813F1" w14:textId="77777777" w:rsidR="00115B7F" w:rsidRPr="00591F7F" w:rsidRDefault="00115B7F" w:rsidP="00115B7F">
            <w:pPr>
              <w:jc w:val="right"/>
              <w:rPr>
                <w:rFonts w:ascii="Arial Narrow" w:hAnsi="Arial Narrow"/>
                <w:sz w:val="20"/>
                <w:szCs w:val="20"/>
              </w:rPr>
            </w:pPr>
            <w:r w:rsidRPr="00591F7F">
              <w:rPr>
                <w:rFonts w:ascii="Arial Narrow" w:hAnsi="Arial Narrow"/>
                <w:sz w:val="20"/>
                <w:szCs w:val="20"/>
              </w:rPr>
              <w:t>0.1%</w:t>
            </w:r>
          </w:p>
        </w:tc>
      </w:tr>
      <w:tr w:rsidR="00FB58BD" w:rsidRPr="00591F7F" w14:paraId="79264997" w14:textId="77777777" w:rsidTr="00B52EAB">
        <w:trPr>
          <w:trHeight w:val="113"/>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7CB017E1" w14:textId="77777777" w:rsidR="00115B7F" w:rsidRPr="00591F7F" w:rsidRDefault="00115B7F" w:rsidP="00115B7F">
            <w:pPr>
              <w:rPr>
                <w:rFonts w:ascii="Arial Narrow" w:hAnsi="Arial Narrow"/>
                <w:sz w:val="20"/>
                <w:szCs w:val="20"/>
              </w:rPr>
            </w:pPr>
            <w:r w:rsidRPr="00591F7F">
              <w:rPr>
                <w:rFonts w:ascii="Arial Narrow" w:hAnsi="Arial Narrow"/>
                <w:sz w:val="20"/>
                <w:szCs w:val="20"/>
              </w:rPr>
              <w:t>Pelena</w:t>
            </w:r>
          </w:p>
        </w:tc>
        <w:tc>
          <w:tcPr>
            <w:tcW w:w="1685" w:type="dxa"/>
            <w:tcBorders>
              <w:top w:val="nil"/>
              <w:left w:val="nil"/>
              <w:bottom w:val="single" w:sz="4" w:space="0" w:color="auto"/>
              <w:right w:val="single" w:sz="4" w:space="0" w:color="auto"/>
            </w:tcBorders>
            <w:shd w:val="clear" w:color="auto" w:fill="auto"/>
            <w:noWrap/>
            <w:vAlign w:val="bottom"/>
            <w:hideMark/>
          </w:tcPr>
          <w:p w14:paraId="0A910981" w14:textId="77777777" w:rsidR="00115B7F" w:rsidRPr="00591F7F" w:rsidRDefault="00115B7F" w:rsidP="00115B7F">
            <w:pPr>
              <w:jc w:val="right"/>
              <w:rPr>
                <w:rFonts w:ascii="Arial Narrow" w:hAnsi="Arial Narrow"/>
                <w:sz w:val="20"/>
                <w:szCs w:val="20"/>
              </w:rPr>
            </w:pPr>
            <w:r w:rsidRPr="00591F7F">
              <w:rPr>
                <w:rFonts w:ascii="Arial Narrow" w:hAnsi="Arial Narrow"/>
                <w:sz w:val="20"/>
                <w:szCs w:val="20"/>
              </w:rPr>
              <w:t>2.4%</w:t>
            </w:r>
          </w:p>
        </w:tc>
      </w:tr>
      <w:tr w:rsidR="00FB58BD" w:rsidRPr="00591F7F" w14:paraId="4E260C29" w14:textId="77777777" w:rsidTr="00B52EAB">
        <w:trPr>
          <w:trHeight w:val="113"/>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4CE21ABE" w14:textId="77777777" w:rsidR="00115B7F" w:rsidRPr="00591F7F" w:rsidRDefault="00115B7F" w:rsidP="00115B7F">
            <w:pPr>
              <w:rPr>
                <w:rFonts w:ascii="Arial Narrow" w:hAnsi="Arial Narrow"/>
                <w:sz w:val="20"/>
                <w:szCs w:val="20"/>
              </w:rPr>
            </w:pPr>
            <w:r w:rsidRPr="00591F7F">
              <w:rPr>
                <w:rFonts w:ascii="Arial Narrow" w:hAnsi="Arial Narrow"/>
                <w:sz w:val="20"/>
                <w:szCs w:val="20"/>
              </w:rPr>
              <w:t>Mbeturina të imëta</w:t>
            </w:r>
          </w:p>
        </w:tc>
        <w:tc>
          <w:tcPr>
            <w:tcW w:w="1685" w:type="dxa"/>
            <w:tcBorders>
              <w:top w:val="nil"/>
              <w:left w:val="nil"/>
              <w:bottom w:val="single" w:sz="4" w:space="0" w:color="auto"/>
              <w:right w:val="single" w:sz="4" w:space="0" w:color="auto"/>
            </w:tcBorders>
            <w:shd w:val="clear" w:color="auto" w:fill="auto"/>
            <w:noWrap/>
            <w:vAlign w:val="bottom"/>
            <w:hideMark/>
          </w:tcPr>
          <w:p w14:paraId="1928D2A7" w14:textId="77777777" w:rsidR="00115B7F" w:rsidRPr="00591F7F" w:rsidRDefault="00115B7F" w:rsidP="00115B7F">
            <w:pPr>
              <w:jc w:val="right"/>
              <w:rPr>
                <w:rFonts w:ascii="Arial Narrow" w:hAnsi="Arial Narrow"/>
                <w:sz w:val="20"/>
                <w:szCs w:val="20"/>
              </w:rPr>
            </w:pPr>
            <w:r w:rsidRPr="00591F7F">
              <w:rPr>
                <w:rFonts w:ascii="Arial Narrow" w:hAnsi="Arial Narrow"/>
                <w:sz w:val="20"/>
                <w:szCs w:val="20"/>
              </w:rPr>
              <w:t>7.4%</w:t>
            </w:r>
          </w:p>
        </w:tc>
      </w:tr>
      <w:tr w:rsidR="00FB58BD" w:rsidRPr="00591F7F" w14:paraId="178CBE06" w14:textId="77777777" w:rsidTr="00B52EAB">
        <w:trPr>
          <w:trHeight w:val="113"/>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24AD6347" w14:textId="77777777" w:rsidR="00115B7F" w:rsidRPr="00591F7F" w:rsidRDefault="00115B7F" w:rsidP="00115B7F">
            <w:pPr>
              <w:rPr>
                <w:rFonts w:ascii="Arial Narrow" w:hAnsi="Arial Narrow"/>
                <w:b/>
                <w:bCs/>
                <w:sz w:val="20"/>
                <w:szCs w:val="20"/>
              </w:rPr>
            </w:pPr>
            <w:r w:rsidRPr="00591F7F">
              <w:rPr>
                <w:rFonts w:ascii="Arial Narrow" w:hAnsi="Arial Narrow"/>
                <w:b/>
                <w:bCs/>
                <w:sz w:val="20"/>
                <w:szCs w:val="20"/>
              </w:rPr>
              <w:t>Totali</w:t>
            </w:r>
          </w:p>
        </w:tc>
        <w:tc>
          <w:tcPr>
            <w:tcW w:w="1685" w:type="dxa"/>
            <w:tcBorders>
              <w:top w:val="nil"/>
              <w:left w:val="nil"/>
              <w:bottom w:val="single" w:sz="4" w:space="0" w:color="auto"/>
              <w:right w:val="single" w:sz="4" w:space="0" w:color="auto"/>
            </w:tcBorders>
            <w:shd w:val="clear" w:color="auto" w:fill="auto"/>
            <w:noWrap/>
            <w:vAlign w:val="bottom"/>
            <w:hideMark/>
          </w:tcPr>
          <w:p w14:paraId="2AC6613A" w14:textId="77777777" w:rsidR="00115B7F" w:rsidRPr="00591F7F" w:rsidRDefault="00115B7F" w:rsidP="00115B7F">
            <w:pPr>
              <w:jc w:val="right"/>
              <w:rPr>
                <w:rFonts w:ascii="Arial Narrow" w:hAnsi="Arial Narrow"/>
                <w:b/>
                <w:bCs/>
                <w:sz w:val="20"/>
                <w:szCs w:val="20"/>
              </w:rPr>
            </w:pPr>
            <w:r w:rsidRPr="00591F7F">
              <w:rPr>
                <w:rFonts w:ascii="Arial Narrow" w:hAnsi="Arial Narrow"/>
                <w:b/>
                <w:bCs/>
                <w:sz w:val="20"/>
                <w:szCs w:val="20"/>
              </w:rPr>
              <w:t>100.0%</w:t>
            </w:r>
          </w:p>
        </w:tc>
      </w:tr>
    </w:tbl>
    <w:p w14:paraId="47A8E3E0" w14:textId="77777777" w:rsidR="00115B7F" w:rsidRDefault="00115B7F" w:rsidP="000E12A6">
      <w:pPr>
        <w:rPr>
          <w:rFonts w:eastAsia="Calibri" w:cs="Calibri"/>
          <w:sz w:val="22"/>
          <w:szCs w:val="22"/>
        </w:rPr>
      </w:pPr>
    </w:p>
    <w:p w14:paraId="44134522" w14:textId="36F71A50" w:rsidR="00115B7F" w:rsidRDefault="00FB58BD" w:rsidP="00D525B8">
      <w:pPr>
        <w:pStyle w:val="Paragraph"/>
        <w:rPr>
          <w:rFonts w:eastAsia="Calibri"/>
        </w:rPr>
      </w:pPr>
      <w:r w:rsidRPr="00FB58BD">
        <w:rPr>
          <w:rFonts w:eastAsia="Calibri"/>
        </w:rPr>
        <w:t xml:space="preserve">Sa i përket potencialit për riciklimin dhe rikuperimin e mbeturinave, figura më poshtë tregon përmbajtjen e mbeturinave të biodegradueshme dhe të riciklueshmeve të thata në totalin e </w:t>
      </w:r>
      <w:r w:rsidR="007843C1">
        <w:rPr>
          <w:rFonts w:eastAsia="Calibri"/>
        </w:rPr>
        <w:t>MKI-ve</w:t>
      </w:r>
      <w:r w:rsidRPr="00FB58BD">
        <w:rPr>
          <w:rFonts w:eastAsia="Calibri"/>
        </w:rPr>
        <w:t>.</w:t>
      </w:r>
    </w:p>
    <w:p w14:paraId="43A57451" w14:textId="236B63F5" w:rsidR="00115B7F" w:rsidRDefault="00384C43" w:rsidP="00115B7F">
      <w:pPr>
        <w:jc w:val="center"/>
        <w:rPr>
          <w:rFonts w:eastAsia="Calibri" w:cs="Calibri"/>
          <w:sz w:val="22"/>
          <w:szCs w:val="22"/>
        </w:rPr>
      </w:pPr>
      <w:r>
        <w:rPr>
          <w:noProof/>
        </w:rPr>
        <w:drawing>
          <wp:inline distT="0" distB="0" distL="0" distR="0" wp14:anchorId="69E6675C" wp14:editId="3430F88D">
            <wp:extent cx="4303643" cy="2365513"/>
            <wp:effectExtent l="0" t="0" r="1905" b="15875"/>
            <wp:docPr id="662101846" name="Chart 1">
              <a:extLst xmlns:a="http://schemas.openxmlformats.org/drawingml/2006/main">
                <a:ext uri="{FF2B5EF4-FFF2-40B4-BE49-F238E27FC236}">
                  <a16:creationId xmlns:a16="http://schemas.microsoft.com/office/drawing/2014/main" id="{F6A70806-A807-4743-9108-772FB7603A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94087A3" w14:textId="7987242A" w:rsidR="00115B7F" w:rsidRPr="006347D6" w:rsidRDefault="00115B7F" w:rsidP="00D525B8">
      <w:pPr>
        <w:pStyle w:val="Figure"/>
        <w:rPr>
          <w:rFonts w:eastAsia="Calibri" w:cs="Calibri"/>
          <w:sz w:val="20"/>
          <w:szCs w:val="20"/>
        </w:rPr>
      </w:pPr>
      <w:bookmarkStart w:id="187" w:name="_Toc197472316"/>
      <w:r w:rsidRPr="006347D6">
        <w:rPr>
          <w:rFonts w:eastAsia="Calibri" w:cs="Calibri"/>
          <w:sz w:val="20"/>
          <w:szCs w:val="20"/>
        </w:rPr>
        <w:t xml:space="preserve">Figura </w:t>
      </w:r>
      <w:r w:rsidRPr="006347D6">
        <w:rPr>
          <w:rFonts w:eastAsia="Calibri" w:cs="Calibri"/>
          <w:sz w:val="20"/>
          <w:szCs w:val="20"/>
        </w:rPr>
        <w:fldChar w:fldCharType="begin"/>
      </w:r>
      <w:r w:rsidRPr="006347D6">
        <w:rPr>
          <w:rFonts w:eastAsia="Calibri" w:cs="Calibri"/>
          <w:sz w:val="20"/>
          <w:szCs w:val="20"/>
        </w:rPr>
        <w:instrText xml:space="preserve"> SEQ Figure \* ARABIC </w:instrText>
      </w:r>
      <w:r w:rsidRPr="006347D6">
        <w:rPr>
          <w:rFonts w:eastAsia="Calibri" w:cs="Calibri"/>
          <w:sz w:val="20"/>
          <w:szCs w:val="20"/>
        </w:rPr>
        <w:fldChar w:fldCharType="separate"/>
      </w:r>
      <w:r w:rsidR="00C97DF3">
        <w:rPr>
          <w:rFonts w:eastAsia="Calibri" w:cs="Calibri"/>
          <w:noProof/>
          <w:sz w:val="20"/>
          <w:szCs w:val="20"/>
        </w:rPr>
        <w:t xml:space="preserve">14. </w:t>
      </w:r>
      <w:r w:rsidRPr="006347D6">
        <w:rPr>
          <w:rFonts w:eastAsia="Calibri" w:cs="Calibri"/>
          <w:sz w:val="20"/>
          <w:szCs w:val="20"/>
        </w:rPr>
        <w:fldChar w:fldCharType="end"/>
      </w:r>
      <w:r w:rsidRPr="006347D6">
        <w:rPr>
          <w:rFonts w:eastAsia="Calibri" w:cs="Calibri"/>
          <w:sz w:val="20"/>
          <w:szCs w:val="20"/>
        </w:rPr>
        <w:t>Përbërja e M</w:t>
      </w:r>
      <w:r w:rsidR="007843C1">
        <w:rPr>
          <w:rFonts w:eastAsia="Calibri" w:cs="Calibri"/>
          <w:sz w:val="20"/>
          <w:szCs w:val="20"/>
        </w:rPr>
        <w:t>KI</w:t>
      </w:r>
      <w:r w:rsidRPr="006347D6">
        <w:rPr>
          <w:rFonts w:eastAsia="Calibri" w:cs="Calibri"/>
          <w:sz w:val="20"/>
          <w:szCs w:val="20"/>
        </w:rPr>
        <w:t xml:space="preserve">-ve </w:t>
      </w:r>
      <w:r w:rsidR="007843C1">
        <w:rPr>
          <w:rFonts w:eastAsia="Calibri" w:cs="Calibri"/>
          <w:sz w:val="20"/>
          <w:szCs w:val="20"/>
        </w:rPr>
        <w:t>sa i përket</w:t>
      </w:r>
      <w:r w:rsidRPr="006347D6">
        <w:rPr>
          <w:rFonts w:eastAsia="Calibri" w:cs="Calibri"/>
          <w:sz w:val="20"/>
          <w:szCs w:val="20"/>
        </w:rPr>
        <w:t xml:space="preserve"> potencialit për riciklim/rikuperim</w:t>
      </w:r>
      <w:bookmarkEnd w:id="187"/>
    </w:p>
    <w:p w14:paraId="799B7BD3" w14:textId="77777777" w:rsidR="00FB58BD" w:rsidRDefault="00FB58BD" w:rsidP="00FB58BD">
      <w:pPr>
        <w:rPr>
          <w:rFonts w:eastAsia="Calibri" w:cs="Calibri"/>
          <w:color w:val="1F497D"/>
          <w:sz w:val="22"/>
          <w:szCs w:val="22"/>
        </w:rPr>
      </w:pPr>
    </w:p>
    <w:p w14:paraId="4B3ADAD0" w14:textId="117E0C4E" w:rsidR="00FB58BD" w:rsidRDefault="00FB58BD" w:rsidP="00D525B8">
      <w:pPr>
        <w:pStyle w:val="Paragraph"/>
        <w:rPr>
          <w:rFonts w:eastAsia="Calibri"/>
        </w:rPr>
      </w:pPr>
      <w:r w:rsidRPr="00FB58BD">
        <w:rPr>
          <w:rFonts w:eastAsia="Calibri"/>
        </w:rPr>
        <w:t xml:space="preserve">Siç shihet nga figura më sipër, 88% e </w:t>
      </w:r>
      <w:r w:rsidR="007843C1">
        <w:rPr>
          <w:rFonts w:eastAsia="Calibri"/>
        </w:rPr>
        <w:t>MKI</w:t>
      </w:r>
      <w:r w:rsidR="00920149">
        <w:rPr>
          <w:rFonts w:eastAsia="Calibri"/>
        </w:rPr>
        <w:t>-ve</w:t>
      </w:r>
      <w:r w:rsidRPr="00FB58BD">
        <w:rPr>
          <w:rFonts w:eastAsia="Calibri"/>
        </w:rPr>
        <w:t xml:space="preserve"> kanë potencial për një formë riciklimi dhe rikuperimi.</w:t>
      </w:r>
    </w:p>
    <w:p w14:paraId="60FF807E" w14:textId="071955EC" w:rsidR="00032CD8" w:rsidRPr="00AF0235" w:rsidRDefault="00032CD8" w:rsidP="002254E8">
      <w:pPr>
        <w:pStyle w:val="Heading2"/>
      </w:pPr>
      <w:bookmarkStart w:id="188" w:name="_Toc153872124"/>
      <w:bookmarkStart w:id="189" w:name="_Toc170470828"/>
      <w:bookmarkStart w:id="190" w:name="_Toc197471976"/>
      <w:r w:rsidRPr="00AF0235">
        <w:t xml:space="preserve">Ofrimi aktual i shërbimeve </w:t>
      </w:r>
      <w:r w:rsidR="00920149">
        <w:t>komunale për</w:t>
      </w:r>
      <w:r w:rsidRPr="00AF0235">
        <w:t xml:space="preserve"> menaxhimi</w:t>
      </w:r>
      <w:r w:rsidR="00920149">
        <w:t>n e</w:t>
      </w:r>
      <w:r w:rsidRPr="00AF0235">
        <w:t xml:space="preserve"> mbet</w:t>
      </w:r>
      <w:r w:rsidR="00920149">
        <w:t>urinave</w:t>
      </w:r>
      <w:bookmarkEnd w:id="188"/>
      <w:bookmarkEnd w:id="189"/>
      <w:bookmarkEnd w:id="190"/>
    </w:p>
    <w:p w14:paraId="44F13937" w14:textId="34E15A1A" w:rsidR="00032CD8" w:rsidRPr="00C21444" w:rsidRDefault="00920149" w:rsidP="002254E8">
      <w:pPr>
        <w:pStyle w:val="Heading3"/>
      </w:pPr>
      <w:bookmarkStart w:id="191" w:name="_Toc153872125"/>
      <w:bookmarkStart w:id="192" w:name="_Toc170470829"/>
      <w:bookmarkStart w:id="193" w:name="_Toc197471977"/>
      <w:r>
        <w:t>Grumbullimi i</w:t>
      </w:r>
      <w:r w:rsidR="00032CD8" w:rsidRPr="00C21444">
        <w:t xml:space="preserve"> mbeturinave</w:t>
      </w:r>
      <w:bookmarkEnd w:id="191"/>
      <w:bookmarkEnd w:id="192"/>
      <w:bookmarkEnd w:id="193"/>
    </w:p>
    <w:p w14:paraId="71C56845" w14:textId="165F32BB" w:rsidR="007175EE" w:rsidRDefault="00CC27FB" w:rsidP="00D525B8">
      <w:pPr>
        <w:pStyle w:val="Paragraph"/>
        <w:rPr>
          <w:rFonts w:eastAsia="Calibri"/>
        </w:rPr>
      </w:pPr>
      <w:r w:rsidRPr="007175EE">
        <w:rPr>
          <w:rFonts w:eastAsia="Calibri"/>
          <w:b/>
          <w:bCs/>
        </w:rPr>
        <w:t>Komuna e Pejës</w:t>
      </w:r>
      <w:r>
        <w:rPr>
          <w:rFonts w:eastAsia="Calibri"/>
        </w:rPr>
        <w:t xml:space="preserve">. </w:t>
      </w:r>
      <w:r w:rsidR="00920149" w:rsidRPr="0013352F">
        <w:rPr>
          <w:rFonts w:eastAsia="Calibri"/>
          <w:lang w:val="sq-AL"/>
        </w:rPr>
        <w:t>Shërbimi i grumbullimit të mbeturinave ofrohet nga KRU Ambienti. Shërbimi ofrohet nga 17 kamionë grumbullues mbet</w:t>
      </w:r>
      <w:r w:rsidR="00920149">
        <w:rPr>
          <w:rFonts w:eastAsia="Calibri"/>
          <w:lang w:val="sq-AL"/>
        </w:rPr>
        <w:t>urinash</w:t>
      </w:r>
      <w:r w:rsidR="00920149" w:rsidRPr="0013352F">
        <w:rPr>
          <w:rFonts w:eastAsia="Calibri"/>
          <w:lang w:val="sq-AL"/>
        </w:rPr>
        <w:t xml:space="preserve"> me kapacitet nga 1 deri në 8 tonë. Pesë nga ata kamionë janë të rinj (të prodhuar në vitin 2022), ndërsa pjesa tjetër janë kryesisht të vjet</w:t>
      </w:r>
      <w:r w:rsidR="00920149">
        <w:rPr>
          <w:rFonts w:eastAsia="Calibri"/>
          <w:lang w:val="sq-AL"/>
        </w:rPr>
        <w:t>ë</w:t>
      </w:r>
      <w:r w:rsidR="00920149" w:rsidRPr="0013352F">
        <w:rPr>
          <w:rFonts w:eastAsia="Calibri"/>
          <w:lang w:val="sq-AL"/>
        </w:rPr>
        <w:t xml:space="preserve">r (prodhuar midis </w:t>
      </w:r>
      <w:r w:rsidR="00920149">
        <w:rPr>
          <w:rFonts w:eastAsia="Calibri"/>
          <w:lang w:val="sq-AL"/>
        </w:rPr>
        <w:t xml:space="preserve">viteve </w:t>
      </w:r>
      <w:r w:rsidR="00920149" w:rsidRPr="0013352F">
        <w:rPr>
          <w:rFonts w:eastAsia="Calibri"/>
          <w:lang w:val="sq-AL"/>
        </w:rPr>
        <w:t>1985 dhe 2012).</w:t>
      </w:r>
    </w:p>
    <w:p w14:paraId="5D318F87" w14:textId="7B637815" w:rsidR="00920149" w:rsidRDefault="007175EE" w:rsidP="00D525B8">
      <w:pPr>
        <w:pStyle w:val="Paragraph"/>
        <w:rPr>
          <w:rFonts w:eastAsia="Calibri"/>
          <w:lang w:val="sq-AL"/>
        </w:rPr>
      </w:pPr>
      <w:r w:rsidRPr="007175EE">
        <w:rPr>
          <w:rFonts w:eastAsia="Calibri"/>
          <w:b/>
          <w:bCs/>
        </w:rPr>
        <w:t>Komuna e Istogut</w:t>
      </w:r>
      <w:r>
        <w:rPr>
          <w:rFonts w:eastAsia="Calibri"/>
        </w:rPr>
        <w:t xml:space="preserve">. </w:t>
      </w:r>
      <w:r w:rsidR="00920149" w:rsidRPr="0013352F">
        <w:rPr>
          <w:rFonts w:eastAsia="Calibri"/>
          <w:lang w:val="sq-AL"/>
        </w:rPr>
        <w:t>Shërbimi i grumbullimit të mbeturinave ofrohet nga KRU Ambienti. Shërbimi ofrohet nga 10 kamionë grumbullues mbet</w:t>
      </w:r>
      <w:r w:rsidR="00920149">
        <w:rPr>
          <w:rFonts w:eastAsia="Calibri"/>
          <w:lang w:val="sq-AL"/>
        </w:rPr>
        <w:t>urinash</w:t>
      </w:r>
      <w:r w:rsidR="00920149" w:rsidRPr="0013352F">
        <w:rPr>
          <w:rFonts w:eastAsia="Calibri"/>
          <w:lang w:val="sq-AL"/>
        </w:rPr>
        <w:t xml:space="preserve"> me kapacitet nga 1 deri në 11 tonë. Vetëm një nga këta kamionë është i ri (prodhuar në vitin 2022), ndërsa pjesa tjetër janë kryesisht të vjet</w:t>
      </w:r>
      <w:r w:rsidR="00920149">
        <w:rPr>
          <w:rFonts w:eastAsia="Calibri"/>
          <w:lang w:val="sq-AL"/>
        </w:rPr>
        <w:t>ë</w:t>
      </w:r>
      <w:r w:rsidR="00920149" w:rsidRPr="0013352F">
        <w:rPr>
          <w:rFonts w:eastAsia="Calibri"/>
          <w:lang w:val="sq-AL"/>
        </w:rPr>
        <w:t xml:space="preserve">r (prodhuar midis </w:t>
      </w:r>
      <w:r w:rsidR="00920149">
        <w:rPr>
          <w:rFonts w:eastAsia="Calibri"/>
          <w:lang w:val="sq-AL"/>
        </w:rPr>
        <w:t xml:space="preserve">viteve </w:t>
      </w:r>
      <w:r w:rsidR="00920149" w:rsidRPr="0013352F">
        <w:rPr>
          <w:rFonts w:eastAsia="Calibri"/>
          <w:lang w:val="sq-AL"/>
        </w:rPr>
        <w:t xml:space="preserve">2000 dhe 2011). Të gjithë kamionët janë të pajisur me kompakt; vetëm një është një kamion i hapur, i prodhuar në </w:t>
      </w:r>
      <w:r w:rsidR="00920149">
        <w:rPr>
          <w:rFonts w:eastAsia="Calibri"/>
          <w:lang w:val="sq-AL"/>
        </w:rPr>
        <w:t xml:space="preserve">vitin </w:t>
      </w:r>
      <w:r w:rsidR="00920149" w:rsidRPr="0013352F">
        <w:rPr>
          <w:rFonts w:eastAsia="Calibri"/>
          <w:lang w:val="sq-AL"/>
        </w:rPr>
        <w:t>1987</w:t>
      </w:r>
      <w:r w:rsidR="000607BF">
        <w:rPr>
          <w:rFonts w:eastAsia="Calibri"/>
          <w:lang w:val="sq-AL"/>
        </w:rPr>
        <w:t>.</w:t>
      </w:r>
    </w:p>
    <w:p w14:paraId="1291BC33" w14:textId="730336FE" w:rsidR="00920149" w:rsidRPr="0013352F" w:rsidRDefault="007175EE" w:rsidP="00920149">
      <w:pPr>
        <w:pStyle w:val="Paragraph"/>
        <w:rPr>
          <w:rFonts w:eastAsia="Calibri"/>
          <w:lang w:val="sq-AL"/>
        </w:rPr>
      </w:pPr>
      <w:r w:rsidRPr="007175EE">
        <w:rPr>
          <w:rFonts w:eastAsia="Calibri"/>
          <w:b/>
          <w:bCs/>
        </w:rPr>
        <w:t>Komuna e Klinës</w:t>
      </w:r>
      <w:r>
        <w:rPr>
          <w:rFonts w:eastAsia="Calibri"/>
        </w:rPr>
        <w:t xml:space="preserve">. </w:t>
      </w:r>
      <w:r w:rsidR="00920149" w:rsidRPr="0013352F">
        <w:rPr>
          <w:rFonts w:eastAsia="Calibri"/>
          <w:lang w:val="sq-AL"/>
        </w:rPr>
        <w:t>Shërbimi i grumbullimit të mbeturinave ofrohet nga KRU Ambienti. Shërbimi ofrohet nga 6 kamionë grumbullues mbet</w:t>
      </w:r>
      <w:r w:rsidR="00920149">
        <w:rPr>
          <w:rFonts w:eastAsia="Calibri"/>
          <w:lang w:val="sq-AL"/>
        </w:rPr>
        <w:t>urinash</w:t>
      </w:r>
      <w:r w:rsidR="00920149" w:rsidRPr="0013352F">
        <w:rPr>
          <w:rFonts w:eastAsia="Calibri"/>
          <w:lang w:val="sq-AL"/>
        </w:rPr>
        <w:t xml:space="preserve"> me kapacitet nga 4 deri në 10 tonë. Tre nga këta kamionë janë të rinj (prodhuar në vitin 2022), ndërsa tre të tjerët janë të vjetër (prodhuar midis </w:t>
      </w:r>
      <w:r w:rsidR="00920149">
        <w:rPr>
          <w:rFonts w:eastAsia="Calibri"/>
          <w:lang w:val="sq-AL"/>
        </w:rPr>
        <w:t xml:space="preserve">viteve </w:t>
      </w:r>
      <w:r w:rsidR="00920149" w:rsidRPr="0013352F">
        <w:rPr>
          <w:rFonts w:eastAsia="Calibri"/>
          <w:lang w:val="sq-AL"/>
        </w:rPr>
        <w:t xml:space="preserve">1997 dhe 2001). Të gjithë kamionët janë të pajisur me </w:t>
      </w:r>
      <w:r w:rsidR="00920149">
        <w:rPr>
          <w:rFonts w:eastAsia="Calibri"/>
          <w:lang w:val="sq-AL"/>
        </w:rPr>
        <w:t xml:space="preserve">sistemin </w:t>
      </w:r>
      <w:r w:rsidR="00920149" w:rsidRPr="0013352F">
        <w:rPr>
          <w:rFonts w:eastAsia="Calibri"/>
          <w:lang w:val="sq-AL"/>
        </w:rPr>
        <w:t>kompakt.</w:t>
      </w:r>
    </w:p>
    <w:p w14:paraId="5DD5D8C1" w14:textId="77777777" w:rsidR="00920149" w:rsidRDefault="007175EE" w:rsidP="00D525B8">
      <w:pPr>
        <w:pStyle w:val="Paragraph"/>
        <w:rPr>
          <w:rFonts w:eastAsia="Calibri"/>
          <w:lang w:val="sq-AL"/>
        </w:rPr>
      </w:pPr>
      <w:r w:rsidRPr="007175EE">
        <w:rPr>
          <w:rFonts w:eastAsia="Calibri"/>
          <w:b/>
          <w:bCs/>
        </w:rPr>
        <w:t>Komuna e Deçanit</w:t>
      </w:r>
      <w:r>
        <w:rPr>
          <w:rFonts w:eastAsia="Calibri"/>
        </w:rPr>
        <w:t xml:space="preserve">. </w:t>
      </w:r>
      <w:r w:rsidR="00920149" w:rsidRPr="0013352F">
        <w:rPr>
          <w:rFonts w:eastAsia="Calibri"/>
          <w:lang w:val="sq-AL"/>
        </w:rPr>
        <w:t>Shërbimi i grumbullimit të mbet</w:t>
      </w:r>
      <w:r w:rsidR="00920149">
        <w:rPr>
          <w:rFonts w:eastAsia="Calibri"/>
          <w:lang w:val="sq-AL"/>
        </w:rPr>
        <w:t>urinave</w:t>
      </w:r>
      <w:r w:rsidR="00920149" w:rsidRPr="0013352F">
        <w:rPr>
          <w:rFonts w:eastAsia="Calibri"/>
          <w:lang w:val="sq-AL"/>
        </w:rPr>
        <w:t xml:space="preserve"> ofrohet nga një kompani komunale. Kompania përdor 10 kamionë për grumbullimin e mbet</w:t>
      </w:r>
      <w:r w:rsidR="00920149">
        <w:rPr>
          <w:rFonts w:eastAsia="Calibri"/>
          <w:lang w:val="sq-AL"/>
        </w:rPr>
        <w:t>urinave</w:t>
      </w:r>
      <w:r w:rsidR="00920149" w:rsidRPr="0013352F">
        <w:rPr>
          <w:rFonts w:eastAsia="Calibri"/>
          <w:lang w:val="sq-AL"/>
        </w:rPr>
        <w:t xml:space="preserve">. Vetëm 1 është i ri (prodhuar në </w:t>
      </w:r>
      <w:r w:rsidR="00920149">
        <w:rPr>
          <w:rFonts w:eastAsia="Calibri"/>
          <w:lang w:val="sq-AL"/>
        </w:rPr>
        <w:t xml:space="preserve">vitin </w:t>
      </w:r>
      <w:r w:rsidR="00920149" w:rsidRPr="0013352F">
        <w:rPr>
          <w:rFonts w:eastAsia="Calibri"/>
          <w:lang w:val="sq-AL"/>
        </w:rPr>
        <w:t xml:space="preserve">2023); pjesa tjetër është mjaft e vjetër (prodhuar midis </w:t>
      </w:r>
      <w:r w:rsidR="00920149">
        <w:rPr>
          <w:rFonts w:eastAsia="Calibri"/>
          <w:lang w:val="sq-AL"/>
        </w:rPr>
        <w:t xml:space="preserve">viteve </w:t>
      </w:r>
      <w:r w:rsidR="00920149" w:rsidRPr="0013352F">
        <w:rPr>
          <w:rFonts w:eastAsia="Calibri"/>
          <w:lang w:val="sq-AL"/>
        </w:rPr>
        <w:t>1996 dhe 2007).</w:t>
      </w:r>
    </w:p>
    <w:p w14:paraId="01C2BEA1" w14:textId="1C0EB5DC" w:rsidR="00920149" w:rsidRPr="0013352F" w:rsidRDefault="0007696D" w:rsidP="00920149">
      <w:pPr>
        <w:pStyle w:val="Paragraph"/>
        <w:rPr>
          <w:rFonts w:eastAsia="Calibri"/>
          <w:lang w:val="sq-AL"/>
        </w:rPr>
      </w:pPr>
      <w:r w:rsidRPr="0007696D">
        <w:rPr>
          <w:rFonts w:eastAsia="Calibri"/>
          <w:b/>
          <w:bCs/>
        </w:rPr>
        <w:t>Komuna e Junikut</w:t>
      </w:r>
      <w:r>
        <w:rPr>
          <w:rFonts w:eastAsia="Calibri"/>
        </w:rPr>
        <w:t xml:space="preserve">. </w:t>
      </w:r>
      <w:r w:rsidR="00920149" w:rsidRPr="0013352F">
        <w:rPr>
          <w:rFonts w:eastAsia="Calibri"/>
          <w:lang w:val="sq-AL"/>
        </w:rPr>
        <w:t>Shërbimi i grumbullimit të mbet</w:t>
      </w:r>
      <w:r w:rsidR="00920149">
        <w:rPr>
          <w:rFonts w:eastAsia="Calibri"/>
          <w:lang w:val="sq-AL"/>
        </w:rPr>
        <w:t>urinave</w:t>
      </w:r>
      <w:r w:rsidR="00920149" w:rsidRPr="0013352F">
        <w:rPr>
          <w:rFonts w:eastAsia="Calibri"/>
          <w:lang w:val="sq-AL"/>
        </w:rPr>
        <w:t xml:space="preserve"> ofrohet nga një kompani private – Euro Steel LLC. Grumbullimi i mbet</w:t>
      </w:r>
      <w:r w:rsidR="00920149">
        <w:rPr>
          <w:rFonts w:eastAsia="Calibri"/>
          <w:lang w:val="sq-AL"/>
        </w:rPr>
        <w:t>urinave</w:t>
      </w:r>
      <w:r w:rsidR="00920149" w:rsidRPr="0013352F">
        <w:rPr>
          <w:rFonts w:eastAsia="Calibri"/>
          <w:lang w:val="sq-AL"/>
        </w:rPr>
        <w:t xml:space="preserve"> organizohet me një kamion grumbullues mbet</w:t>
      </w:r>
      <w:r w:rsidR="00920149">
        <w:rPr>
          <w:rFonts w:eastAsia="Calibri"/>
          <w:lang w:val="sq-AL"/>
        </w:rPr>
        <w:t>urinash</w:t>
      </w:r>
      <w:r w:rsidR="00920149" w:rsidRPr="0013352F">
        <w:rPr>
          <w:rFonts w:eastAsia="Calibri"/>
          <w:lang w:val="sq-AL"/>
        </w:rPr>
        <w:t xml:space="preserve"> me kapacitet 8 </w:t>
      </w:r>
      <w:r w:rsidR="000607BF" w:rsidRPr="000607BF">
        <w:rPr>
          <w:color w:val="auto"/>
          <w:lang w:eastAsia="en-GB"/>
        </w:rPr>
        <w:t>m</w:t>
      </w:r>
      <w:r w:rsidR="000607BF" w:rsidRPr="000607BF">
        <w:rPr>
          <w:color w:val="auto"/>
          <w:vertAlign w:val="superscript"/>
          <w:lang w:eastAsia="en-GB"/>
        </w:rPr>
        <w:t>3</w:t>
      </w:r>
      <w:r w:rsidR="00920149" w:rsidRPr="0013352F">
        <w:rPr>
          <w:rFonts w:eastAsia="Calibri"/>
          <w:lang w:val="sq-AL"/>
        </w:rPr>
        <w:t xml:space="preserve"> dhe prodhuar në vitin 2005.</w:t>
      </w:r>
    </w:p>
    <w:p w14:paraId="1A0CF479" w14:textId="50E31839" w:rsidR="00FF5E78" w:rsidRDefault="00FF5E78" w:rsidP="00D525B8">
      <w:pPr>
        <w:pStyle w:val="Paragraph"/>
        <w:rPr>
          <w:rFonts w:eastAsia="Calibri"/>
        </w:rPr>
      </w:pPr>
      <w:r>
        <w:rPr>
          <w:rFonts w:eastAsia="Calibri"/>
        </w:rPr>
        <w:t xml:space="preserve">Tabela më poshtë paraqet pronësinë e aseteve në secilën komunë dhe përgjegjësinë për investimin në pajisjet e </w:t>
      </w:r>
      <w:r w:rsidR="00920149">
        <w:rPr>
          <w:rFonts w:eastAsia="Calibri"/>
        </w:rPr>
        <w:t>grumbullimit</w:t>
      </w:r>
      <w:r>
        <w:rPr>
          <w:rFonts w:eastAsia="Calibri"/>
        </w:rPr>
        <w:t xml:space="preserve"> </w:t>
      </w:r>
      <w:r w:rsidR="00920149">
        <w:rPr>
          <w:rFonts w:eastAsia="Calibri"/>
        </w:rPr>
        <w:t>t</w:t>
      </w:r>
      <w:r>
        <w:rPr>
          <w:rFonts w:eastAsia="Calibri"/>
        </w:rPr>
        <w:t>ë mbeturinave.</w:t>
      </w:r>
    </w:p>
    <w:p w14:paraId="547541C6" w14:textId="1C36E94D" w:rsidR="00FF5E78" w:rsidRPr="007F50ED" w:rsidRDefault="00FF5E78" w:rsidP="007F50ED">
      <w:pPr>
        <w:suppressAutoHyphens/>
        <w:rPr>
          <w:rFonts w:ascii="Arial Narrow" w:eastAsia="Calibri" w:hAnsi="Arial Narrow" w:cs="Calibri"/>
          <w:color w:val="1F497D"/>
          <w:sz w:val="20"/>
          <w:szCs w:val="20"/>
        </w:rPr>
      </w:pPr>
      <w:bookmarkStart w:id="194" w:name="_Toc197472210"/>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25.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Pronësia e pajisjeve dhe përgjegjësia për</w:t>
      </w:r>
      <w:r w:rsidR="00920149">
        <w:rPr>
          <w:rFonts w:ascii="Arial Narrow" w:eastAsia="Calibri" w:hAnsi="Arial Narrow" w:cs="Calibri"/>
          <w:color w:val="1F497D"/>
          <w:sz w:val="20"/>
          <w:szCs w:val="20"/>
        </w:rPr>
        <w:t xml:space="preserve"> të</w:t>
      </w:r>
      <w:r w:rsidRPr="007F50ED">
        <w:rPr>
          <w:rFonts w:ascii="Arial Narrow" w:eastAsia="Calibri" w:hAnsi="Arial Narrow" w:cs="Calibri"/>
          <w:color w:val="1F497D"/>
          <w:sz w:val="20"/>
          <w:szCs w:val="20"/>
        </w:rPr>
        <w:t xml:space="preserve"> invest</w:t>
      </w:r>
      <w:r w:rsidR="00920149">
        <w:rPr>
          <w:rFonts w:ascii="Arial Narrow" w:eastAsia="Calibri" w:hAnsi="Arial Narrow" w:cs="Calibri"/>
          <w:color w:val="1F497D"/>
          <w:sz w:val="20"/>
          <w:szCs w:val="20"/>
        </w:rPr>
        <w:t>uar</w:t>
      </w:r>
      <w:r w:rsidRPr="007F50ED">
        <w:rPr>
          <w:rFonts w:ascii="Arial Narrow" w:eastAsia="Calibri" w:hAnsi="Arial Narrow" w:cs="Calibri"/>
          <w:color w:val="1F497D"/>
          <w:sz w:val="20"/>
          <w:szCs w:val="20"/>
        </w:rPr>
        <w:t xml:space="preserve"> në pajisje</w:t>
      </w:r>
      <w:bookmarkEnd w:id="194"/>
    </w:p>
    <w:tbl>
      <w:tblPr>
        <w:tblW w:w="0" w:type="auto"/>
        <w:jc w:val="center"/>
        <w:tblLayout w:type="fixed"/>
        <w:tblLook w:val="04A0" w:firstRow="1" w:lastRow="0" w:firstColumn="1" w:lastColumn="0" w:noHBand="0" w:noVBand="1"/>
      </w:tblPr>
      <w:tblGrid>
        <w:gridCol w:w="1525"/>
        <w:gridCol w:w="1800"/>
        <w:gridCol w:w="1800"/>
        <w:gridCol w:w="1800"/>
        <w:gridCol w:w="2091"/>
      </w:tblGrid>
      <w:tr w:rsidR="007731DB" w:rsidRPr="007731DB" w14:paraId="23F0C57D" w14:textId="77777777" w:rsidTr="006347D6">
        <w:trPr>
          <w:trHeight w:val="170"/>
          <w:tblHeader/>
          <w:jc w:val="center"/>
        </w:trPr>
        <w:tc>
          <w:tcPr>
            <w:tcW w:w="1525" w:type="dxa"/>
            <w:tcBorders>
              <w:top w:val="single" w:sz="4" w:space="0" w:color="auto"/>
              <w:left w:val="single" w:sz="4" w:space="0" w:color="auto"/>
              <w:bottom w:val="single" w:sz="4" w:space="0" w:color="auto"/>
              <w:right w:val="single" w:sz="4" w:space="0" w:color="auto"/>
            </w:tcBorders>
            <w:shd w:val="clear" w:color="auto" w:fill="365F91"/>
            <w:noWrap/>
            <w:hideMark/>
          </w:tcPr>
          <w:p w14:paraId="604467DC" w14:textId="2E96F95F" w:rsidR="003319D0" w:rsidRPr="007731DB" w:rsidRDefault="00920149" w:rsidP="007731DB">
            <w:pPr>
              <w:rPr>
                <w:rFonts w:ascii="Arial Narrow" w:hAnsi="Arial Narrow"/>
                <w:b/>
                <w:bCs/>
                <w:color w:val="FFFFFF" w:themeColor="background1"/>
                <w:sz w:val="20"/>
                <w:szCs w:val="20"/>
                <w:lang w:eastAsia="en-GB"/>
              </w:rPr>
            </w:pPr>
            <w:r>
              <w:rPr>
                <w:rFonts w:ascii="Arial Narrow" w:hAnsi="Arial Narrow"/>
                <w:b/>
                <w:bCs/>
                <w:color w:val="FFFFFF" w:themeColor="background1"/>
                <w:sz w:val="20"/>
                <w:szCs w:val="20"/>
                <w:lang w:eastAsia="en-GB"/>
              </w:rPr>
              <w:t>Komuna</w:t>
            </w:r>
          </w:p>
        </w:tc>
        <w:tc>
          <w:tcPr>
            <w:tcW w:w="1800" w:type="dxa"/>
            <w:tcBorders>
              <w:top w:val="single" w:sz="4" w:space="0" w:color="auto"/>
              <w:left w:val="nil"/>
              <w:bottom w:val="single" w:sz="4" w:space="0" w:color="auto"/>
              <w:right w:val="single" w:sz="4" w:space="0" w:color="auto"/>
            </w:tcBorders>
            <w:shd w:val="clear" w:color="auto" w:fill="365F91"/>
            <w:noWrap/>
            <w:hideMark/>
          </w:tcPr>
          <w:p w14:paraId="3B514D19" w14:textId="11413254" w:rsidR="003319D0" w:rsidRPr="007731DB" w:rsidRDefault="003319D0" w:rsidP="007731DB">
            <w:pPr>
              <w:rPr>
                <w:rFonts w:ascii="Arial Narrow" w:hAnsi="Arial Narrow"/>
                <w:b/>
                <w:bCs/>
                <w:color w:val="FFFFFF" w:themeColor="background1"/>
                <w:sz w:val="20"/>
                <w:szCs w:val="20"/>
                <w:lang w:eastAsia="en-GB"/>
              </w:rPr>
            </w:pPr>
            <w:r w:rsidRPr="007731DB">
              <w:rPr>
                <w:rFonts w:ascii="Arial Narrow" w:hAnsi="Arial Narrow"/>
                <w:b/>
                <w:bCs/>
                <w:color w:val="FFFFFF" w:themeColor="background1"/>
                <w:sz w:val="20"/>
                <w:szCs w:val="20"/>
                <w:lang w:eastAsia="en-GB"/>
              </w:rPr>
              <w:t>Kontejnerë</w:t>
            </w:r>
            <w:r w:rsidR="00920149">
              <w:rPr>
                <w:rFonts w:ascii="Arial Narrow" w:hAnsi="Arial Narrow"/>
                <w:b/>
                <w:bCs/>
                <w:color w:val="FFFFFF" w:themeColor="background1"/>
                <w:sz w:val="20"/>
                <w:szCs w:val="20"/>
                <w:lang w:eastAsia="en-GB"/>
              </w:rPr>
              <w:t>t</w:t>
            </w:r>
            <w:r w:rsidRPr="007731DB">
              <w:rPr>
                <w:rFonts w:ascii="Arial Narrow" w:hAnsi="Arial Narrow"/>
                <w:b/>
                <w:bCs/>
                <w:color w:val="FFFFFF" w:themeColor="background1"/>
                <w:sz w:val="20"/>
                <w:szCs w:val="20"/>
                <w:lang w:eastAsia="en-GB"/>
              </w:rPr>
              <w:t xml:space="preserve">, </w:t>
            </w:r>
            <w:r w:rsidR="00920149">
              <w:rPr>
                <w:rFonts w:ascii="Arial Narrow" w:hAnsi="Arial Narrow"/>
                <w:b/>
                <w:bCs/>
                <w:color w:val="FFFFFF" w:themeColor="background1"/>
                <w:sz w:val="20"/>
                <w:szCs w:val="20"/>
                <w:lang w:eastAsia="en-GB"/>
              </w:rPr>
              <w:t>amvisëritë</w:t>
            </w:r>
          </w:p>
        </w:tc>
        <w:tc>
          <w:tcPr>
            <w:tcW w:w="1800" w:type="dxa"/>
            <w:tcBorders>
              <w:top w:val="single" w:sz="4" w:space="0" w:color="auto"/>
              <w:left w:val="nil"/>
              <w:bottom w:val="single" w:sz="4" w:space="0" w:color="auto"/>
              <w:right w:val="single" w:sz="4" w:space="0" w:color="auto"/>
            </w:tcBorders>
            <w:shd w:val="clear" w:color="auto" w:fill="365F91"/>
            <w:noWrap/>
            <w:hideMark/>
          </w:tcPr>
          <w:p w14:paraId="39077A52" w14:textId="3E080E4B" w:rsidR="003319D0" w:rsidRPr="007731DB" w:rsidRDefault="003319D0" w:rsidP="007731DB">
            <w:pPr>
              <w:rPr>
                <w:rFonts w:ascii="Arial Narrow" w:hAnsi="Arial Narrow"/>
                <w:b/>
                <w:bCs/>
                <w:color w:val="FFFFFF" w:themeColor="background1"/>
                <w:sz w:val="20"/>
                <w:szCs w:val="20"/>
                <w:lang w:eastAsia="en-GB"/>
              </w:rPr>
            </w:pPr>
            <w:r w:rsidRPr="007731DB">
              <w:rPr>
                <w:rFonts w:ascii="Arial Narrow" w:hAnsi="Arial Narrow"/>
                <w:b/>
                <w:bCs/>
                <w:color w:val="FFFFFF" w:themeColor="background1"/>
                <w:sz w:val="20"/>
                <w:szCs w:val="20"/>
                <w:lang w:eastAsia="en-GB"/>
              </w:rPr>
              <w:t>Kontejnerë</w:t>
            </w:r>
            <w:r w:rsidR="00920149">
              <w:rPr>
                <w:rFonts w:ascii="Arial Narrow" w:hAnsi="Arial Narrow"/>
                <w:b/>
                <w:bCs/>
                <w:color w:val="FFFFFF" w:themeColor="background1"/>
                <w:sz w:val="20"/>
                <w:szCs w:val="20"/>
                <w:lang w:eastAsia="en-GB"/>
              </w:rPr>
              <w:t>t</w:t>
            </w:r>
            <w:r w:rsidRPr="007731DB">
              <w:rPr>
                <w:rFonts w:ascii="Arial Narrow" w:hAnsi="Arial Narrow"/>
                <w:b/>
                <w:bCs/>
                <w:color w:val="FFFFFF" w:themeColor="background1"/>
                <w:sz w:val="20"/>
                <w:szCs w:val="20"/>
                <w:lang w:eastAsia="en-GB"/>
              </w:rPr>
              <w:t>, biznes</w:t>
            </w:r>
            <w:r w:rsidR="00920149">
              <w:rPr>
                <w:rFonts w:ascii="Arial Narrow" w:hAnsi="Arial Narrow"/>
                <w:b/>
                <w:bCs/>
                <w:color w:val="FFFFFF" w:themeColor="background1"/>
                <w:sz w:val="20"/>
                <w:szCs w:val="20"/>
                <w:lang w:eastAsia="en-GB"/>
              </w:rPr>
              <w:t>et</w:t>
            </w:r>
          </w:p>
        </w:tc>
        <w:tc>
          <w:tcPr>
            <w:tcW w:w="1800" w:type="dxa"/>
            <w:tcBorders>
              <w:top w:val="single" w:sz="4" w:space="0" w:color="auto"/>
              <w:left w:val="nil"/>
              <w:bottom w:val="single" w:sz="4" w:space="0" w:color="auto"/>
              <w:right w:val="single" w:sz="4" w:space="0" w:color="auto"/>
            </w:tcBorders>
            <w:shd w:val="clear" w:color="auto" w:fill="365F91"/>
            <w:noWrap/>
            <w:hideMark/>
          </w:tcPr>
          <w:p w14:paraId="6EEC6524" w14:textId="708D5152" w:rsidR="003319D0" w:rsidRPr="007731DB" w:rsidRDefault="003319D0" w:rsidP="007731DB">
            <w:pPr>
              <w:rPr>
                <w:rFonts w:ascii="Arial Narrow" w:hAnsi="Arial Narrow"/>
                <w:b/>
                <w:bCs/>
                <w:color w:val="FFFFFF" w:themeColor="background1"/>
                <w:sz w:val="20"/>
                <w:szCs w:val="20"/>
                <w:lang w:eastAsia="en-GB"/>
              </w:rPr>
            </w:pPr>
            <w:r w:rsidRPr="007731DB">
              <w:rPr>
                <w:rFonts w:ascii="Arial Narrow" w:hAnsi="Arial Narrow"/>
                <w:b/>
                <w:bCs/>
                <w:color w:val="FFFFFF" w:themeColor="background1"/>
                <w:sz w:val="20"/>
                <w:szCs w:val="20"/>
                <w:lang w:eastAsia="en-GB"/>
              </w:rPr>
              <w:t>Kamionë</w:t>
            </w:r>
            <w:r w:rsidR="00920149">
              <w:rPr>
                <w:rFonts w:ascii="Arial Narrow" w:hAnsi="Arial Narrow"/>
                <w:b/>
                <w:bCs/>
                <w:color w:val="FFFFFF" w:themeColor="background1"/>
                <w:sz w:val="20"/>
                <w:szCs w:val="20"/>
                <w:lang w:eastAsia="en-GB"/>
              </w:rPr>
              <w:t>t</w:t>
            </w:r>
          </w:p>
        </w:tc>
        <w:tc>
          <w:tcPr>
            <w:tcW w:w="2091" w:type="dxa"/>
            <w:tcBorders>
              <w:top w:val="single" w:sz="4" w:space="0" w:color="auto"/>
              <w:left w:val="nil"/>
              <w:bottom w:val="single" w:sz="4" w:space="0" w:color="auto"/>
              <w:right w:val="single" w:sz="4" w:space="0" w:color="auto"/>
            </w:tcBorders>
            <w:shd w:val="clear" w:color="auto" w:fill="365F91"/>
            <w:noWrap/>
            <w:hideMark/>
          </w:tcPr>
          <w:p w14:paraId="7DF10F9C" w14:textId="77777777" w:rsidR="003319D0" w:rsidRPr="007731DB" w:rsidRDefault="003319D0" w:rsidP="007731DB">
            <w:pPr>
              <w:rPr>
                <w:rFonts w:ascii="Arial Narrow" w:hAnsi="Arial Narrow"/>
                <w:b/>
                <w:bCs/>
                <w:color w:val="FFFFFF" w:themeColor="background1"/>
                <w:sz w:val="20"/>
                <w:szCs w:val="20"/>
                <w:lang w:eastAsia="en-GB"/>
              </w:rPr>
            </w:pPr>
            <w:r w:rsidRPr="007731DB">
              <w:rPr>
                <w:rFonts w:ascii="Arial Narrow" w:hAnsi="Arial Narrow"/>
                <w:b/>
                <w:bCs/>
                <w:color w:val="FFFFFF" w:themeColor="background1"/>
                <w:sz w:val="20"/>
                <w:szCs w:val="20"/>
                <w:lang w:eastAsia="en-GB"/>
              </w:rPr>
              <w:t>Përgjegjësia për investimin në pajisje</w:t>
            </w:r>
          </w:p>
        </w:tc>
      </w:tr>
      <w:tr w:rsidR="003319D0" w:rsidRPr="007731DB" w14:paraId="66B3DE5F" w14:textId="77777777" w:rsidTr="00292263">
        <w:trPr>
          <w:trHeight w:val="170"/>
          <w:jc w:val="center"/>
        </w:trPr>
        <w:tc>
          <w:tcPr>
            <w:tcW w:w="1525" w:type="dxa"/>
            <w:tcBorders>
              <w:top w:val="nil"/>
              <w:left w:val="single" w:sz="4" w:space="0" w:color="auto"/>
              <w:bottom w:val="single" w:sz="4" w:space="0" w:color="auto"/>
              <w:right w:val="single" w:sz="4" w:space="0" w:color="auto"/>
            </w:tcBorders>
            <w:shd w:val="clear" w:color="auto" w:fill="auto"/>
            <w:noWrap/>
            <w:hideMark/>
          </w:tcPr>
          <w:p w14:paraId="66D522F3" w14:textId="77777777" w:rsidR="003319D0" w:rsidRPr="007731DB" w:rsidRDefault="003319D0" w:rsidP="007731DB">
            <w:pPr>
              <w:rPr>
                <w:rFonts w:ascii="Arial Narrow" w:hAnsi="Arial Narrow"/>
                <w:color w:val="000000"/>
                <w:sz w:val="20"/>
                <w:szCs w:val="20"/>
                <w:lang w:eastAsia="en-GB"/>
              </w:rPr>
            </w:pPr>
            <w:r w:rsidRPr="007731DB">
              <w:rPr>
                <w:rFonts w:ascii="Arial Narrow" w:hAnsi="Arial Narrow"/>
                <w:color w:val="000000"/>
                <w:sz w:val="20"/>
                <w:szCs w:val="20"/>
                <w:lang w:eastAsia="en-GB"/>
              </w:rPr>
              <w:t>Pejë</w:t>
            </w:r>
          </w:p>
        </w:tc>
        <w:tc>
          <w:tcPr>
            <w:tcW w:w="1800" w:type="dxa"/>
            <w:tcBorders>
              <w:top w:val="nil"/>
              <w:left w:val="nil"/>
              <w:bottom w:val="single" w:sz="4" w:space="0" w:color="auto"/>
              <w:right w:val="single" w:sz="4" w:space="0" w:color="auto"/>
            </w:tcBorders>
            <w:shd w:val="clear" w:color="auto" w:fill="auto"/>
            <w:noWrap/>
            <w:hideMark/>
          </w:tcPr>
          <w:p w14:paraId="19AABC9D" w14:textId="0A89632A" w:rsidR="003319D0" w:rsidRPr="007731DB" w:rsidRDefault="00920149" w:rsidP="007731DB">
            <w:pPr>
              <w:rPr>
                <w:rFonts w:ascii="Arial Narrow" w:hAnsi="Arial Narrow"/>
                <w:color w:val="000000"/>
                <w:sz w:val="20"/>
                <w:szCs w:val="20"/>
                <w:lang w:eastAsia="en-GB"/>
              </w:rPr>
            </w:pPr>
            <w:r>
              <w:rPr>
                <w:rFonts w:ascii="Arial Narrow" w:hAnsi="Arial Narrow"/>
                <w:color w:val="000000"/>
                <w:sz w:val="20"/>
                <w:szCs w:val="20"/>
                <w:lang w:eastAsia="en-GB"/>
              </w:rPr>
              <w:t>KRM</w:t>
            </w:r>
            <w:r w:rsidR="003319D0" w:rsidRPr="007731DB">
              <w:rPr>
                <w:rFonts w:ascii="Arial Narrow" w:hAnsi="Arial Narrow"/>
                <w:color w:val="000000"/>
                <w:sz w:val="20"/>
                <w:szCs w:val="20"/>
                <w:lang w:eastAsia="en-GB"/>
              </w:rPr>
              <w:t xml:space="preserve"> Ambienti</w:t>
            </w:r>
          </w:p>
        </w:tc>
        <w:tc>
          <w:tcPr>
            <w:tcW w:w="1800" w:type="dxa"/>
            <w:tcBorders>
              <w:top w:val="nil"/>
              <w:left w:val="nil"/>
              <w:bottom w:val="single" w:sz="4" w:space="0" w:color="auto"/>
              <w:right w:val="single" w:sz="4" w:space="0" w:color="auto"/>
            </w:tcBorders>
            <w:shd w:val="clear" w:color="auto" w:fill="auto"/>
            <w:noWrap/>
            <w:hideMark/>
          </w:tcPr>
          <w:p w14:paraId="4612A1EF" w14:textId="687C1B21" w:rsidR="003319D0" w:rsidRPr="007731DB" w:rsidRDefault="00920149" w:rsidP="007731DB">
            <w:pPr>
              <w:rPr>
                <w:rFonts w:ascii="Arial Narrow" w:hAnsi="Arial Narrow"/>
                <w:color w:val="000000"/>
                <w:sz w:val="20"/>
                <w:szCs w:val="20"/>
                <w:lang w:eastAsia="en-GB"/>
              </w:rPr>
            </w:pPr>
            <w:r>
              <w:rPr>
                <w:rFonts w:ascii="Arial Narrow" w:hAnsi="Arial Narrow"/>
                <w:color w:val="000000"/>
                <w:sz w:val="20"/>
                <w:szCs w:val="20"/>
                <w:lang w:eastAsia="en-GB"/>
              </w:rPr>
              <w:t>KRM</w:t>
            </w:r>
            <w:r w:rsidR="003319D0" w:rsidRPr="007731DB">
              <w:rPr>
                <w:rFonts w:ascii="Arial Narrow" w:hAnsi="Arial Narrow"/>
                <w:color w:val="000000"/>
                <w:sz w:val="20"/>
                <w:szCs w:val="20"/>
                <w:lang w:eastAsia="en-GB"/>
              </w:rPr>
              <w:t xml:space="preserve"> Ambienti</w:t>
            </w:r>
          </w:p>
        </w:tc>
        <w:tc>
          <w:tcPr>
            <w:tcW w:w="1800" w:type="dxa"/>
            <w:tcBorders>
              <w:top w:val="nil"/>
              <w:left w:val="nil"/>
              <w:bottom w:val="single" w:sz="4" w:space="0" w:color="auto"/>
              <w:right w:val="single" w:sz="4" w:space="0" w:color="auto"/>
            </w:tcBorders>
            <w:shd w:val="clear" w:color="auto" w:fill="auto"/>
            <w:noWrap/>
            <w:hideMark/>
          </w:tcPr>
          <w:p w14:paraId="53DB31ED" w14:textId="1EC1D0ED" w:rsidR="003319D0" w:rsidRPr="007731DB" w:rsidRDefault="00920149" w:rsidP="007731DB">
            <w:pPr>
              <w:rPr>
                <w:rFonts w:ascii="Arial Narrow" w:hAnsi="Arial Narrow"/>
                <w:color w:val="000000"/>
                <w:sz w:val="20"/>
                <w:szCs w:val="20"/>
                <w:lang w:eastAsia="en-GB"/>
              </w:rPr>
            </w:pPr>
            <w:r>
              <w:rPr>
                <w:rFonts w:ascii="Arial Narrow" w:hAnsi="Arial Narrow"/>
                <w:color w:val="000000"/>
                <w:sz w:val="20"/>
                <w:szCs w:val="20"/>
                <w:lang w:eastAsia="en-GB"/>
              </w:rPr>
              <w:t>KRM</w:t>
            </w:r>
            <w:r w:rsidR="003319D0" w:rsidRPr="007731DB">
              <w:rPr>
                <w:rFonts w:ascii="Arial Narrow" w:hAnsi="Arial Narrow"/>
                <w:color w:val="000000"/>
                <w:sz w:val="20"/>
                <w:szCs w:val="20"/>
                <w:lang w:eastAsia="en-GB"/>
              </w:rPr>
              <w:t xml:space="preserve"> Ambienti</w:t>
            </w:r>
          </w:p>
        </w:tc>
        <w:tc>
          <w:tcPr>
            <w:tcW w:w="2091" w:type="dxa"/>
            <w:tcBorders>
              <w:top w:val="nil"/>
              <w:left w:val="nil"/>
              <w:bottom w:val="single" w:sz="4" w:space="0" w:color="auto"/>
              <w:right w:val="single" w:sz="4" w:space="0" w:color="auto"/>
            </w:tcBorders>
            <w:shd w:val="clear" w:color="auto" w:fill="auto"/>
            <w:noWrap/>
            <w:hideMark/>
          </w:tcPr>
          <w:p w14:paraId="1B1744B7" w14:textId="03999F8D" w:rsidR="003319D0" w:rsidRPr="007731DB" w:rsidRDefault="00920149" w:rsidP="007731DB">
            <w:pPr>
              <w:rPr>
                <w:rFonts w:ascii="Arial Narrow" w:hAnsi="Arial Narrow"/>
                <w:color w:val="000000"/>
                <w:sz w:val="20"/>
                <w:szCs w:val="20"/>
                <w:lang w:eastAsia="en-GB"/>
              </w:rPr>
            </w:pPr>
            <w:r>
              <w:rPr>
                <w:rFonts w:ascii="Arial Narrow" w:hAnsi="Arial Narrow"/>
                <w:color w:val="000000"/>
                <w:sz w:val="20"/>
                <w:szCs w:val="20"/>
                <w:lang w:eastAsia="en-GB"/>
              </w:rPr>
              <w:t>Komuna</w:t>
            </w:r>
            <w:r w:rsidR="003319D0" w:rsidRPr="007731DB">
              <w:rPr>
                <w:rFonts w:ascii="Arial Narrow" w:hAnsi="Arial Narrow"/>
                <w:color w:val="000000"/>
                <w:sz w:val="20"/>
                <w:szCs w:val="20"/>
                <w:lang w:eastAsia="en-GB"/>
              </w:rPr>
              <w:t xml:space="preserve"> dhe KR</w:t>
            </w:r>
            <w:r>
              <w:rPr>
                <w:rFonts w:ascii="Arial Narrow" w:hAnsi="Arial Narrow"/>
                <w:color w:val="000000"/>
                <w:sz w:val="20"/>
                <w:szCs w:val="20"/>
                <w:lang w:eastAsia="en-GB"/>
              </w:rPr>
              <w:t>M</w:t>
            </w:r>
            <w:r w:rsidR="003319D0" w:rsidRPr="007731DB">
              <w:rPr>
                <w:rFonts w:ascii="Arial Narrow" w:hAnsi="Arial Narrow"/>
                <w:color w:val="000000"/>
                <w:sz w:val="20"/>
                <w:szCs w:val="20"/>
                <w:lang w:eastAsia="en-GB"/>
              </w:rPr>
              <w:t>-ja</w:t>
            </w:r>
          </w:p>
        </w:tc>
      </w:tr>
      <w:tr w:rsidR="003319D0" w:rsidRPr="007731DB" w14:paraId="7E2720A3" w14:textId="77777777" w:rsidTr="00292263">
        <w:trPr>
          <w:trHeight w:val="170"/>
          <w:jc w:val="center"/>
        </w:trPr>
        <w:tc>
          <w:tcPr>
            <w:tcW w:w="1525" w:type="dxa"/>
            <w:tcBorders>
              <w:top w:val="nil"/>
              <w:left w:val="single" w:sz="4" w:space="0" w:color="auto"/>
              <w:bottom w:val="single" w:sz="4" w:space="0" w:color="auto"/>
              <w:right w:val="single" w:sz="4" w:space="0" w:color="auto"/>
            </w:tcBorders>
            <w:shd w:val="clear" w:color="auto" w:fill="auto"/>
            <w:noWrap/>
            <w:hideMark/>
          </w:tcPr>
          <w:p w14:paraId="1D66BDB4" w14:textId="77777777" w:rsidR="003319D0" w:rsidRPr="007731DB" w:rsidRDefault="003319D0" w:rsidP="007731DB">
            <w:pPr>
              <w:rPr>
                <w:rFonts w:ascii="Arial Narrow" w:hAnsi="Arial Narrow"/>
                <w:color w:val="000000"/>
                <w:sz w:val="20"/>
                <w:szCs w:val="20"/>
                <w:lang w:eastAsia="en-GB"/>
              </w:rPr>
            </w:pPr>
            <w:r w:rsidRPr="007731DB">
              <w:rPr>
                <w:rFonts w:ascii="Arial Narrow" w:hAnsi="Arial Narrow"/>
                <w:color w:val="000000"/>
                <w:sz w:val="20"/>
                <w:szCs w:val="20"/>
                <w:lang w:eastAsia="en-GB"/>
              </w:rPr>
              <w:t>Istog</w:t>
            </w:r>
          </w:p>
        </w:tc>
        <w:tc>
          <w:tcPr>
            <w:tcW w:w="1800" w:type="dxa"/>
            <w:tcBorders>
              <w:top w:val="nil"/>
              <w:left w:val="nil"/>
              <w:bottom w:val="single" w:sz="4" w:space="0" w:color="auto"/>
              <w:right w:val="single" w:sz="4" w:space="0" w:color="auto"/>
            </w:tcBorders>
            <w:shd w:val="clear" w:color="auto" w:fill="auto"/>
            <w:noWrap/>
            <w:hideMark/>
          </w:tcPr>
          <w:p w14:paraId="0988580B" w14:textId="236D7B89" w:rsidR="003319D0" w:rsidRPr="007731DB" w:rsidRDefault="00920149" w:rsidP="007731DB">
            <w:pPr>
              <w:rPr>
                <w:rFonts w:ascii="Arial Narrow" w:hAnsi="Arial Narrow"/>
                <w:color w:val="000000"/>
                <w:sz w:val="20"/>
                <w:szCs w:val="20"/>
                <w:lang w:eastAsia="en-GB"/>
              </w:rPr>
            </w:pPr>
            <w:r>
              <w:rPr>
                <w:rFonts w:ascii="Arial Narrow" w:hAnsi="Arial Narrow"/>
                <w:color w:val="000000"/>
                <w:sz w:val="20"/>
                <w:szCs w:val="20"/>
                <w:lang w:val="en" w:eastAsia="en-GB"/>
              </w:rPr>
              <w:t>KRM</w:t>
            </w:r>
            <w:r w:rsidR="003319D0" w:rsidRPr="007731DB">
              <w:rPr>
                <w:rFonts w:ascii="Arial Narrow" w:hAnsi="Arial Narrow"/>
                <w:color w:val="000000"/>
                <w:sz w:val="20"/>
                <w:szCs w:val="20"/>
                <w:lang w:val="en" w:eastAsia="en-GB"/>
              </w:rPr>
              <w:t xml:space="preserve"> </w:t>
            </w:r>
            <w:proofErr w:type="spellStart"/>
            <w:r w:rsidR="003319D0" w:rsidRPr="007731DB">
              <w:rPr>
                <w:rFonts w:ascii="Arial Narrow" w:hAnsi="Arial Narrow"/>
                <w:color w:val="000000"/>
                <w:sz w:val="20"/>
                <w:szCs w:val="20"/>
                <w:lang w:val="en" w:eastAsia="en-GB"/>
              </w:rPr>
              <w:t>Ambienti</w:t>
            </w:r>
            <w:proofErr w:type="spellEnd"/>
          </w:p>
        </w:tc>
        <w:tc>
          <w:tcPr>
            <w:tcW w:w="1800" w:type="dxa"/>
            <w:tcBorders>
              <w:top w:val="nil"/>
              <w:left w:val="nil"/>
              <w:bottom w:val="single" w:sz="4" w:space="0" w:color="auto"/>
              <w:right w:val="single" w:sz="4" w:space="0" w:color="auto"/>
            </w:tcBorders>
            <w:shd w:val="clear" w:color="auto" w:fill="auto"/>
            <w:noWrap/>
            <w:hideMark/>
          </w:tcPr>
          <w:p w14:paraId="4EA65392" w14:textId="2107A0F1" w:rsidR="003319D0" w:rsidRPr="007731DB" w:rsidRDefault="00920149" w:rsidP="007731DB">
            <w:pPr>
              <w:rPr>
                <w:rFonts w:ascii="Arial Narrow" w:hAnsi="Arial Narrow"/>
                <w:color w:val="000000"/>
                <w:sz w:val="20"/>
                <w:szCs w:val="20"/>
                <w:lang w:eastAsia="en-GB"/>
              </w:rPr>
            </w:pPr>
            <w:r>
              <w:rPr>
                <w:rFonts w:ascii="Arial Narrow" w:hAnsi="Arial Narrow"/>
                <w:color w:val="000000"/>
                <w:sz w:val="20"/>
                <w:szCs w:val="20"/>
                <w:lang w:eastAsia="en-GB"/>
              </w:rPr>
              <w:t>KRM</w:t>
            </w:r>
            <w:r w:rsidR="003319D0" w:rsidRPr="007731DB">
              <w:rPr>
                <w:rFonts w:ascii="Arial Narrow" w:hAnsi="Arial Narrow"/>
                <w:color w:val="000000"/>
                <w:sz w:val="20"/>
                <w:szCs w:val="20"/>
                <w:lang w:eastAsia="en-GB"/>
              </w:rPr>
              <w:t xml:space="preserve"> Ambienti</w:t>
            </w:r>
          </w:p>
        </w:tc>
        <w:tc>
          <w:tcPr>
            <w:tcW w:w="1800" w:type="dxa"/>
            <w:tcBorders>
              <w:top w:val="nil"/>
              <w:left w:val="nil"/>
              <w:bottom w:val="single" w:sz="4" w:space="0" w:color="auto"/>
              <w:right w:val="single" w:sz="4" w:space="0" w:color="auto"/>
            </w:tcBorders>
            <w:shd w:val="clear" w:color="auto" w:fill="auto"/>
            <w:noWrap/>
            <w:hideMark/>
          </w:tcPr>
          <w:p w14:paraId="5DE0DD02" w14:textId="315359DB" w:rsidR="003319D0" w:rsidRPr="007731DB" w:rsidRDefault="00920149" w:rsidP="007731DB">
            <w:pPr>
              <w:rPr>
                <w:rFonts w:ascii="Arial Narrow" w:hAnsi="Arial Narrow"/>
                <w:color w:val="000000"/>
                <w:sz w:val="20"/>
                <w:szCs w:val="20"/>
                <w:lang w:eastAsia="en-GB"/>
              </w:rPr>
            </w:pPr>
            <w:r>
              <w:rPr>
                <w:rFonts w:ascii="Arial Narrow" w:hAnsi="Arial Narrow"/>
                <w:color w:val="000000"/>
                <w:sz w:val="20"/>
                <w:szCs w:val="20"/>
                <w:lang w:eastAsia="en-GB"/>
              </w:rPr>
              <w:t>KRM</w:t>
            </w:r>
            <w:r w:rsidR="003319D0" w:rsidRPr="007731DB">
              <w:rPr>
                <w:rFonts w:ascii="Arial Narrow" w:hAnsi="Arial Narrow"/>
                <w:color w:val="000000"/>
                <w:sz w:val="20"/>
                <w:szCs w:val="20"/>
                <w:lang w:eastAsia="en-GB"/>
              </w:rPr>
              <w:t xml:space="preserve"> Ambienti</w:t>
            </w:r>
          </w:p>
        </w:tc>
        <w:tc>
          <w:tcPr>
            <w:tcW w:w="2091" w:type="dxa"/>
            <w:tcBorders>
              <w:top w:val="nil"/>
              <w:left w:val="nil"/>
              <w:bottom w:val="single" w:sz="4" w:space="0" w:color="auto"/>
              <w:right w:val="single" w:sz="4" w:space="0" w:color="auto"/>
            </w:tcBorders>
            <w:shd w:val="clear" w:color="auto" w:fill="auto"/>
            <w:noWrap/>
            <w:hideMark/>
          </w:tcPr>
          <w:p w14:paraId="168B6ED2" w14:textId="485EFC1C" w:rsidR="003319D0" w:rsidRPr="007731DB" w:rsidRDefault="00920149" w:rsidP="007731DB">
            <w:pPr>
              <w:rPr>
                <w:rFonts w:ascii="Arial Narrow" w:hAnsi="Arial Narrow"/>
                <w:color w:val="000000"/>
                <w:sz w:val="20"/>
                <w:szCs w:val="20"/>
                <w:lang w:eastAsia="en-GB"/>
              </w:rPr>
            </w:pPr>
            <w:r>
              <w:rPr>
                <w:rFonts w:ascii="Arial Narrow" w:hAnsi="Arial Narrow"/>
                <w:color w:val="000000"/>
                <w:sz w:val="20"/>
                <w:szCs w:val="20"/>
                <w:lang w:eastAsia="en-GB"/>
              </w:rPr>
              <w:t>Komuna</w:t>
            </w:r>
            <w:r w:rsidR="003319D0" w:rsidRPr="007731DB">
              <w:rPr>
                <w:rFonts w:ascii="Arial Narrow" w:hAnsi="Arial Narrow"/>
                <w:color w:val="000000"/>
                <w:sz w:val="20"/>
                <w:szCs w:val="20"/>
                <w:lang w:eastAsia="en-GB"/>
              </w:rPr>
              <w:t xml:space="preserve"> dhe KR</w:t>
            </w:r>
            <w:r>
              <w:rPr>
                <w:rFonts w:ascii="Arial Narrow" w:hAnsi="Arial Narrow"/>
                <w:color w:val="000000"/>
                <w:sz w:val="20"/>
                <w:szCs w:val="20"/>
                <w:lang w:eastAsia="en-GB"/>
              </w:rPr>
              <w:t>M</w:t>
            </w:r>
            <w:r w:rsidR="003319D0" w:rsidRPr="007731DB">
              <w:rPr>
                <w:rFonts w:ascii="Arial Narrow" w:hAnsi="Arial Narrow"/>
                <w:color w:val="000000"/>
                <w:sz w:val="20"/>
                <w:szCs w:val="20"/>
                <w:lang w:eastAsia="en-GB"/>
              </w:rPr>
              <w:t>-ja</w:t>
            </w:r>
          </w:p>
        </w:tc>
      </w:tr>
      <w:tr w:rsidR="003319D0" w:rsidRPr="007731DB" w14:paraId="54522970" w14:textId="77777777" w:rsidTr="00292263">
        <w:trPr>
          <w:trHeight w:val="170"/>
          <w:jc w:val="center"/>
        </w:trPr>
        <w:tc>
          <w:tcPr>
            <w:tcW w:w="1525" w:type="dxa"/>
            <w:tcBorders>
              <w:top w:val="nil"/>
              <w:left w:val="single" w:sz="4" w:space="0" w:color="auto"/>
              <w:bottom w:val="single" w:sz="4" w:space="0" w:color="auto"/>
              <w:right w:val="single" w:sz="4" w:space="0" w:color="auto"/>
            </w:tcBorders>
            <w:shd w:val="clear" w:color="auto" w:fill="auto"/>
            <w:noWrap/>
            <w:hideMark/>
          </w:tcPr>
          <w:p w14:paraId="3E1C0FD1" w14:textId="77777777" w:rsidR="003319D0" w:rsidRPr="007731DB" w:rsidRDefault="003319D0" w:rsidP="007731DB">
            <w:pPr>
              <w:rPr>
                <w:rFonts w:ascii="Arial Narrow" w:hAnsi="Arial Narrow"/>
                <w:color w:val="000000"/>
                <w:sz w:val="20"/>
                <w:szCs w:val="20"/>
                <w:lang w:eastAsia="en-GB"/>
              </w:rPr>
            </w:pPr>
            <w:r w:rsidRPr="007731DB">
              <w:rPr>
                <w:rFonts w:ascii="Arial Narrow" w:hAnsi="Arial Narrow"/>
                <w:color w:val="000000"/>
                <w:sz w:val="20"/>
                <w:szCs w:val="20"/>
                <w:lang w:eastAsia="en-GB"/>
              </w:rPr>
              <w:t>Klinë</w:t>
            </w:r>
          </w:p>
        </w:tc>
        <w:tc>
          <w:tcPr>
            <w:tcW w:w="1800" w:type="dxa"/>
            <w:tcBorders>
              <w:top w:val="nil"/>
              <w:left w:val="nil"/>
              <w:bottom w:val="single" w:sz="4" w:space="0" w:color="auto"/>
              <w:right w:val="single" w:sz="4" w:space="0" w:color="auto"/>
            </w:tcBorders>
            <w:shd w:val="clear" w:color="auto" w:fill="auto"/>
            <w:noWrap/>
            <w:hideMark/>
          </w:tcPr>
          <w:p w14:paraId="55978F7A" w14:textId="1952A512" w:rsidR="003319D0" w:rsidRPr="007731DB" w:rsidRDefault="00920149" w:rsidP="007731DB">
            <w:pPr>
              <w:rPr>
                <w:rFonts w:ascii="Arial Narrow" w:hAnsi="Arial Narrow"/>
                <w:color w:val="000000"/>
                <w:sz w:val="20"/>
                <w:szCs w:val="20"/>
                <w:lang w:eastAsia="en-GB"/>
              </w:rPr>
            </w:pPr>
            <w:r>
              <w:rPr>
                <w:rFonts w:ascii="Arial Narrow" w:hAnsi="Arial Narrow"/>
                <w:color w:val="000000"/>
                <w:sz w:val="20"/>
                <w:szCs w:val="20"/>
                <w:lang w:eastAsia="en-GB"/>
              </w:rPr>
              <w:t>Komuna</w:t>
            </w:r>
          </w:p>
        </w:tc>
        <w:tc>
          <w:tcPr>
            <w:tcW w:w="1800" w:type="dxa"/>
            <w:tcBorders>
              <w:top w:val="nil"/>
              <w:left w:val="nil"/>
              <w:bottom w:val="single" w:sz="4" w:space="0" w:color="auto"/>
              <w:right w:val="single" w:sz="4" w:space="0" w:color="auto"/>
            </w:tcBorders>
            <w:shd w:val="clear" w:color="auto" w:fill="auto"/>
            <w:noWrap/>
            <w:hideMark/>
          </w:tcPr>
          <w:p w14:paraId="32683142" w14:textId="7CDAEB21" w:rsidR="003319D0" w:rsidRPr="007731DB" w:rsidRDefault="00920149" w:rsidP="007731DB">
            <w:pPr>
              <w:rPr>
                <w:rFonts w:ascii="Arial Narrow" w:hAnsi="Arial Narrow"/>
                <w:color w:val="000000"/>
                <w:sz w:val="20"/>
                <w:szCs w:val="20"/>
                <w:lang w:eastAsia="en-GB"/>
              </w:rPr>
            </w:pPr>
            <w:r>
              <w:rPr>
                <w:rFonts w:ascii="Arial Narrow" w:hAnsi="Arial Narrow"/>
                <w:color w:val="000000"/>
                <w:sz w:val="20"/>
                <w:szCs w:val="20"/>
                <w:lang w:eastAsia="en-GB"/>
              </w:rPr>
              <w:t>Komuna</w:t>
            </w:r>
          </w:p>
        </w:tc>
        <w:tc>
          <w:tcPr>
            <w:tcW w:w="1800" w:type="dxa"/>
            <w:tcBorders>
              <w:top w:val="nil"/>
              <w:left w:val="nil"/>
              <w:bottom w:val="single" w:sz="4" w:space="0" w:color="auto"/>
              <w:right w:val="single" w:sz="4" w:space="0" w:color="auto"/>
            </w:tcBorders>
            <w:shd w:val="clear" w:color="auto" w:fill="auto"/>
            <w:noWrap/>
            <w:hideMark/>
          </w:tcPr>
          <w:p w14:paraId="62368711" w14:textId="0158BD00" w:rsidR="003319D0" w:rsidRPr="007731DB" w:rsidRDefault="00920149" w:rsidP="007731DB">
            <w:pPr>
              <w:rPr>
                <w:rFonts w:ascii="Arial Narrow" w:hAnsi="Arial Narrow"/>
                <w:color w:val="000000"/>
                <w:sz w:val="20"/>
                <w:szCs w:val="20"/>
                <w:lang w:eastAsia="en-GB"/>
              </w:rPr>
            </w:pPr>
            <w:r>
              <w:rPr>
                <w:rFonts w:ascii="Arial Narrow" w:hAnsi="Arial Narrow"/>
                <w:color w:val="000000"/>
                <w:sz w:val="20"/>
                <w:szCs w:val="20"/>
                <w:lang w:eastAsia="en-GB"/>
              </w:rPr>
              <w:t>Komuna</w:t>
            </w:r>
          </w:p>
        </w:tc>
        <w:tc>
          <w:tcPr>
            <w:tcW w:w="2091" w:type="dxa"/>
            <w:tcBorders>
              <w:top w:val="nil"/>
              <w:left w:val="nil"/>
              <w:bottom w:val="single" w:sz="4" w:space="0" w:color="auto"/>
              <w:right w:val="single" w:sz="4" w:space="0" w:color="auto"/>
            </w:tcBorders>
            <w:shd w:val="clear" w:color="auto" w:fill="auto"/>
            <w:noWrap/>
            <w:hideMark/>
          </w:tcPr>
          <w:p w14:paraId="60E88C10" w14:textId="768638EF" w:rsidR="003319D0" w:rsidRPr="007731DB" w:rsidRDefault="00920149" w:rsidP="007731DB">
            <w:pPr>
              <w:rPr>
                <w:rFonts w:ascii="Arial Narrow" w:hAnsi="Arial Narrow"/>
                <w:color w:val="000000"/>
                <w:sz w:val="20"/>
                <w:szCs w:val="20"/>
                <w:lang w:eastAsia="en-GB"/>
              </w:rPr>
            </w:pPr>
            <w:r>
              <w:rPr>
                <w:rFonts w:ascii="Arial Narrow" w:hAnsi="Arial Narrow"/>
                <w:color w:val="000000"/>
                <w:sz w:val="20"/>
                <w:szCs w:val="20"/>
                <w:lang w:eastAsia="en-GB"/>
              </w:rPr>
              <w:t>Komuna</w:t>
            </w:r>
            <w:r w:rsidR="003319D0" w:rsidRPr="007731DB">
              <w:rPr>
                <w:rFonts w:ascii="Arial Narrow" w:hAnsi="Arial Narrow"/>
                <w:color w:val="000000"/>
                <w:sz w:val="20"/>
                <w:szCs w:val="20"/>
                <w:lang w:eastAsia="en-GB"/>
              </w:rPr>
              <w:t xml:space="preserve"> dhe kompania </w:t>
            </w:r>
            <w:r>
              <w:rPr>
                <w:rFonts w:ascii="Arial Narrow" w:hAnsi="Arial Narrow"/>
                <w:color w:val="000000"/>
                <w:sz w:val="20"/>
                <w:szCs w:val="20"/>
                <w:lang w:eastAsia="en-GB"/>
              </w:rPr>
              <w:t>komunale</w:t>
            </w:r>
          </w:p>
        </w:tc>
      </w:tr>
      <w:tr w:rsidR="003319D0" w:rsidRPr="007731DB" w14:paraId="0A48D82E" w14:textId="77777777" w:rsidTr="00292263">
        <w:trPr>
          <w:trHeight w:val="170"/>
          <w:jc w:val="center"/>
        </w:trPr>
        <w:tc>
          <w:tcPr>
            <w:tcW w:w="1525" w:type="dxa"/>
            <w:tcBorders>
              <w:top w:val="nil"/>
              <w:left w:val="single" w:sz="4" w:space="0" w:color="auto"/>
              <w:bottom w:val="single" w:sz="4" w:space="0" w:color="auto"/>
              <w:right w:val="single" w:sz="4" w:space="0" w:color="auto"/>
            </w:tcBorders>
            <w:shd w:val="clear" w:color="auto" w:fill="auto"/>
            <w:noWrap/>
            <w:hideMark/>
          </w:tcPr>
          <w:p w14:paraId="6F0C8F8B" w14:textId="77777777" w:rsidR="003319D0" w:rsidRPr="007731DB" w:rsidRDefault="003319D0" w:rsidP="007731DB">
            <w:pPr>
              <w:rPr>
                <w:rFonts w:ascii="Arial Narrow" w:hAnsi="Arial Narrow"/>
                <w:color w:val="000000"/>
                <w:sz w:val="20"/>
                <w:szCs w:val="20"/>
                <w:lang w:eastAsia="en-GB"/>
              </w:rPr>
            </w:pPr>
            <w:r w:rsidRPr="007731DB">
              <w:rPr>
                <w:rFonts w:ascii="Arial Narrow" w:hAnsi="Arial Narrow"/>
                <w:color w:val="000000"/>
                <w:sz w:val="20"/>
                <w:szCs w:val="20"/>
                <w:lang w:eastAsia="en-GB"/>
              </w:rPr>
              <w:t>Deçan</w:t>
            </w:r>
          </w:p>
        </w:tc>
        <w:tc>
          <w:tcPr>
            <w:tcW w:w="1800" w:type="dxa"/>
            <w:tcBorders>
              <w:top w:val="nil"/>
              <w:left w:val="nil"/>
              <w:bottom w:val="single" w:sz="4" w:space="0" w:color="auto"/>
              <w:right w:val="single" w:sz="4" w:space="0" w:color="auto"/>
            </w:tcBorders>
            <w:shd w:val="clear" w:color="auto" w:fill="auto"/>
            <w:noWrap/>
            <w:hideMark/>
          </w:tcPr>
          <w:p w14:paraId="4FEBA9E0" w14:textId="77777777" w:rsidR="003319D0" w:rsidRPr="007731DB" w:rsidRDefault="003319D0" w:rsidP="007731DB">
            <w:pPr>
              <w:rPr>
                <w:rFonts w:ascii="Arial Narrow" w:hAnsi="Arial Narrow"/>
                <w:color w:val="000000"/>
                <w:sz w:val="20"/>
                <w:szCs w:val="20"/>
                <w:lang w:eastAsia="en-GB"/>
              </w:rPr>
            </w:pPr>
            <w:r w:rsidRPr="007731DB">
              <w:rPr>
                <w:rFonts w:ascii="Arial Narrow" w:hAnsi="Arial Narrow"/>
                <w:color w:val="000000"/>
                <w:sz w:val="20"/>
                <w:szCs w:val="20"/>
                <w:lang w:eastAsia="en-GB"/>
              </w:rPr>
              <w:t>Kompania komunale</w:t>
            </w:r>
          </w:p>
        </w:tc>
        <w:tc>
          <w:tcPr>
            <w:tcW w:w="1800" w:type="dxa"/>
            <w:tcBorders>
              <w:top w:val="nil"/>
              <w:left w:val="nil"/>
              <w:bottom w:val="single" w:sz="4" w:space="0" w:color="auto"/>
              <w:right w:val="single" w:sz="4" w:space="0" w:color="auto"/>
            </w:tcBorders>
            <w:shd w:val="clear" w:color="auto" w:fill="auto"/>
            <w:noWrap/>
            <w:hideMark/>
          </w:tcPr>
          <w:p w14:paraId="1EE0E340" w14:textId="77777777" w:rsidR="003319D0" w:rsidRPr="007731DB" w:rsidRDefault="003319D0" w:rsidP="007731DB">
            <w:pPr>
              <w:rPr>
                <w:rFonts w:ascii="Arial Narrow" w:hAnsi="Arial Narrow"/>
                <w:color w:val="000000"/>
                <w:sz w:val="20"/>
                <w:szCs w:val="20"/>
                <w:lang w:eastAsia="en-GB"/>
              </w:rPr>
            </w:pPr>
            <w:r w:rsidRPr="007731DB">
              <w:rPr>
                <w:rFonts w:ascii="Arial Narrow" w:hAnsi="Arial Narrow"/>
                <w:color w:val="000000"/>
                <w:sz w:val="20"/>
                <w:szCs w:val="20"/>
                <w:lang w:eastAsia="en-GB"/>
              </w:rPr>
              <w:t>Kompania komunale</w:t>
            </w:r>
          </w:p>
        </w:tc>
        <w:tc>
          <w:tcPr>
            <w:tcW w:w="1800" w:type="dxa"/>
            <w:tcBorders>
              <w:top w:val="nil"/>
              <w:left w:val="nil"/>
              <w:bottom w:val="single" w:sz="4" w:space="0" w:color="auto"/>
              <w:right w:val="single" w:sz="4" w:space="0" w:color="auto"/>
            </w:tcBorders>
            <w:shd w:val="clear" w:color="auto" w:fill="auto"/>
            <w:noWrap/>
            <w:hideMark/>
          </w:tcPr>
          <w:p w14:paraId="347ABECE" w14:textId="77777777" w:rsidR="003319D0" w:rsidRPr="007731DB" w:rsidRDefault="003319D0" w:rsidP="007731DB">
            <w:pPr>
              <w:rPr>
                <w:rFonts w:ascii="Arial Narrow" w:hAnsi="Arial Narrow"/>
                <w:color w:val="000000"/>
                <w:sz w:val="20"/>
                <w:szCs w:val="20"/>
                <w:lang w:eastAsia="en-GB"/>
              </w:rPr>
            </w:pPr>
            <w:r w:rsidRPr="007731DB">
              <w:rPr>
                <w:rFonts w:ascii="Arial Narrow" w:hAnsi="Arial Narrow"/>
                <w:color w:val="000000"/>
                <w:sz w:val="20"/>
                <w:szCs w:val="20"/>
                <w:lang w:eastAsia="en-GB"/>
              </w:rPr>
              <w:t>Kompania komunale</w:t>
            </w:r>
          </w:p>
        </w:tc>
        <w:tc>
          <w:tcPr>
            <w:tcW w:w="2091" w:type="dxa"/>
            <w:tcBorders>
              <w:top w:val="nil"/>
              <w:left w:val="nil"/>
              <w:bottom w:val="single" w:sz="4" w:space="0" w:color="auto"/>
              <w:right w:val="single" w:sz="4" w:space="0" w:color="auto"/>
            </w:tcBorders>
            <w:shd w:val="clear" w:color="auto" w:fill="auto"/>
            <w:noWrap/>
            <w:hideMark/>
          </w:tcPr>
          <w:p w14:paraId="63F6B349" w14:textId="6FFCB2E4" w:rsidR="003319D0" w:rsidRPr="007731DB" w:rsidRDefault="00920149" w:rsidP="007731DB">
            <w:pPr>
              <w:rPr>
                <w:rFonts w:ascii="Arial Narrow" w:hAnsi="Arial Narrow"/>
                <w:color w:val="000000"/>
                <w:sz w:val="20"/>
                <w:szCs w:val="20"/>
                <w:lang w:eastAsia="en-GB"/>
              </w:rPr>
            </w:pPr>
            <w:r>
              <w:rPr>
                <w:rFonts w:ascii="Arial Narrow" w:hAnsi="Arial Narrow"/>
                <w:color w:val="000000"/>
                <w:sz w:val="20"/>
                <w:szCs w:val="20"/>
                <w:lang w:eastAsia="en-GB"/>
              </w:rPr>
              <w:t>Komuna</w:t>
            </w:r>
            <w:r w:rsidR="003319D0" w:rsidRPr="007731DB">
              <w:rPr>
                <w:rFonts w:ascii="Arial Narrow" w:hAnsi="Arial Narrow"/>
                <w:color w:val="000000"/>
                <w:sz w:val="20"/>
                <w:szCs w:val="20"/>
                <w:lang w:eastAsia="en-GB"/>
              </w:rPr>
              <w:t xml:space="preserve"> dhe KR</w:t>
            </w:r>
            <w:r>
              <w:rPr>
                <w:rFonts w:ascii="Arial Narrow" w:hAnsi="Arial Narrow"/>
                <w:color w:val="000000"/>
                <w:sz w:val="20"/>
                <w:szCs w:val="20"/>
                <w:lang w:eastAsia="en-GB"/>
              </w:rPr>
              <w:t>M</w:t>
            </w:r>
            <w:r w:rsidR="003319D0" w:rsidRPr="007731DB">
              <w:rPr>
                <w:rFonts w:ascii="Arial Narrow" w:hAnsi="Arial Narrow"/>
                <w:color w:val="000000"/>
                <w:sz w:val="20"/>
                <w:szCs w:val="20"/>
                <w:lang w:eastAsia="en-GB"/>
              </w:rPr>
              <w:t>-ja</w:t>
            </w:r>
          </w:p>
        </w:tc>
      </w:tr>
      <w:tr w:rsidR="003319D0" w:rsidRPr="007731DB" w14:paraId="2C3C4807" w14:textId="77777777" w:rsidTr="00292263">
        <w:trPr>
          <w:trHeight w:val="170"/>
          <w:jc w:val="center"/>
        </w:trPr>
        <w:tc>
          <w:tcPr>
            <w:tcW w:w="1525" w:type="dxa"/>
            <w:tcBorders>
              <w:top w:val="nil"/>
              <w:left w:val="single" w:sz="4" w:space="0" w:color="auto"/>
              <w:bottom w:val="single" w:sz="4" w:space="0" w:color="auto"/>
              <w:right w:val="single" w:sz="4" w:space="0" w:color="auto"/>
            </w:tcBorders>
            <w:shd w:val="clear" w:color="auto" w:fill="auto"/>
            <w:noWrap/>
            <w:hideMark/>
          </w:tcPr>
          <w:p w14:paraId="279A1C54" w14:textId="77777777" w:rsidR="003319D0" w:rsidRPr="007731DB" w:rsidRDefault="003319D0" w:rsidP="007731DB">
            <w:pPr>
              <w:rPr>
                <w:rFonts w:ascii="Arial Narrow" w:hAnsi="Arial Narrow"/>
                <w:color w:val="000000"/>
                <w:sz w:val="20"/>
                <w:szCs w:val="20"/>
                <w:lang w:eastAsia="en-GB"/>
              </w:rPr>
            </w:pPr>
            <w:r w:rsidRPr="007731DB">
              <w:rPr>
                <w:rFonts w:ascii="Arial Narrow" w:hAnsi="Arial Narrow"/>
                <w:color w:val="000000"/>
                <w:sz w:val="20"/>
                <w:szCs w:val="20"/>
                <w:lang w:eastAsia="en-GB"/>
              </w:rPr>
              <w:t>Junik</w:t>
            </w:r>
          </w:p>
        </w:tc>
        <w:tc>
          <w:tcPr>
            <w:tcW w:w="1800" w:type="dxa"/>
            <w:tcBorders>
              <w:top w:val="nil"/>
              <w:left w:val="nil"/>
              <w:bottom w:val="single" w:sz="4" w:space="0" w:color="auto"/>
              <w:right w:val="single" w:sz="4" w:space="0" w:color="auto"/>
            </w:tcBorders>
            <w:shd w:val="clear" w:color="auto" w:fill="auto"/>
            <w:noWrap/>
            <w:hideMark/>
          </w:tcPr>
          <w:p w14:paraId="5E3D7E28" w14:textId="789F9009" w:rsidR="003319D0" w:rsidRPr="007731DB" w:rsidRDefault="00920149" w:rsidP="007731DB">
            <w:pPr>
              <w:rPr>
                <w:rFonts w:ascii="Arial Narrow" w:hAnsi="Arial Narrow"/>
                <w:color w:val="000000"/>
                <w:sz w:val="20"/>
                <w:szCs w:val="20"/>
                <w:lang w:eastAsia="en-GB"/>
              </w:rPr>
            </w:pPr>
            <w:r>
              <w:rPr>
                <w:rFonts w:ascii="Arial Narrow" w:hAnsi="Arial Narrow"/>
                <w:color w:val="000000"/>
                <w:sz w:val="20"/>
                <w:szCs w:val="20"/>
                <w:lang w:eastAsia="en-GB"/>
              </w:rPr>
              <w:t>Komuna</w:t>
            </w:r>
            <w:r w:rsidR="003319D0" w:rsidRPr="007731DB">
              <w:rPr>
                <w:rFonts w:ascii="Arial Narrow" w:hAnsi="Arial Narrow"/>
                <w:color w:val="000000"/>
                <w:sz w:val="20"/>
                <w:szCs w:val="20"/>
                <w:lang w:eastAsia="en-GB"/>
              </w:rPr>
              <w:t>/përdoruesit</w:t>
            </w:r>
          </w:p>
        </w:tc>
        <w:tc>
          <w:tcPr>
            <w:tcW w:w="1800" w:type="dxa"/>
            <w:tcBorders>
              <w:top w:val="nil"/>
              <w:left w:val="nil"/>
              <w:bottom w:val="single" w:sz="4" w:space="0" w:color="auto"/>
              <w:right w:val="single" w:sz="4" w:space="0" w:color="auto"/>
            </w:tcBorders>
            <w:shd w:val="clear" w:color="auto" w:fill="auto"/>
            <w:noWrap/>
            <w:hideMark/>
          </w:tcPr>
          <w:p w14:paraId="781DB4D8" w14:textId="64FA4747" w:rsidR="003319D0" w:rsidRPr="007731DB" w:rsidRDefault="00920149" w:rsidP="007731DB">
            <w:pPr>
              <w:rPr>
                <w:rFonts w:ascii="Arial Narrow" w:hAnsi="Arial Narrow"/>
                <w:color w:val="000000"/>
                <w:sz w:val="20"/>
                <w:szCs w:val="20"/>
                <w:lang w:eastAsia="en-GB"/>
              </w:rPr>
            </w:pPr>
            <w:r>
              <w:rPr>
                <w:rFonts w:ascii="Arial Narrow" w:hAnsi="Arial Narrow"/>
                <w:color w:val="000000"/>
                <w:sz w:val="20"/>
                <w:szCs w:val="20"/>
                <w:lang w:eastAsia="en-GB"/>
              </w:rPr>
              <w:t>Komuna</w:t>
            </w:r>
            <w:r w:rsidR="003319D0" w:rsidRPr="007731DB">
              <w:rPr>
                <w:rFonts w:ascii="Arial Narrow" w:hAnsi="Arial Narrow"/>
                <w:color w:val="000000"/>
                <w:sz w:val="20"/>
                <w:szCs w:val="20"/>
                <w:lang w:eastAsia="en-GB"/>
              </w:rPr>
              <w:t>/përdoruesit</w:t>
            </w:r>
          </w:p>
        </w:tc>
        <w:tc>
          <w:tcPr>
            <w:tcW w:w="1800" w:type="dxa"/>
            <w:tcBorders>
              <w:top w:val="nil"/>
              <w:left w:val="nil"/>
              <w:bottom w:val="single" w:sz="4" w:space="0" w:color="auto"/>
              <w:right w:val="single" w:sz="4" w:space="0" w:color="auto"/>
            </w:tcBorders>
            <w:shd w:val="clear" w:color="auto" w:fill="auto"/>
            <w:noWrap/>
            <w:hideMark/>
          </w:tcPr>
          <w:p w14:paraId="26AFCD63" w14:textId="77777777" w:rsidR="003319D0" w:rsidRPr="007731DB" w:rsidRDefault="003319D0" w:rsidP="007731DB">
            <w:pPr>
              <w:rPr>
                <w:rFonts w:ascii="Arial Narrow" w:hAnsi="Arial Narrow"/>
                <w:color w:val="000000"/>
                <w:sz w:val="20"/>
                <w:szCs w:val="20"/>
                <w:lang w:eastAsia="en-GB"/>
              </w:rPr>
            </w:pPr>
            <w:r w:rsidRPr="007731DB">
              <w:rPr>
                <w:rFonts w:ascii="Arial Narrow" w:hAnsi="Arial Narrow"/>
                <w:color w:val="000000"/>
                <w:sz w:val="20"/>
                <w:szCs w:val="20"/>
                <w:lang w:eastAsia="en-GB"/>
              </w:rPr>
              <w:t>Operator privat</w:t>
            </w:r>
          </w:p>
        </w:tc>
        <w:tc>
          <w:tcPr>
            <w:tcW w:w="2091" w:type="dxa"/>
            <w:tcBorders>
              <w:top w:val="nil"/>
              <w:left w:val="nil"/>
              <w:bottom w:val="single" w:sz="4" w:space="0" w:color="auto"/>
              <w:right w:val="single" w:sz="4" w:space="0" w:color="auto"/>
            </w:tcBorders>
            <w:shd w:val="clear" w:color="auto" w:fill="auto"/>
            <w:noWrap/>
            <w:hideMark/>
          </w:tcPr>
          <w:p w14:paraId="41671FD0" w14:textId="3024FA46" w:rsidR="003319D0" w:rsidRPr="007731DB" w:rsidRDefault="003319D0" w:rsidP="007731DB">
            <w:pPr>
              <w:rPr>
                <w:rFonts w:ascii="Arial Narrow" w:hAnsi="Arial Narrow"/>
                <w:color w:val="000000"/>
                <w:sz w:val="20"/>
                <w:szCs w:val="20"/>
                <w:lang w:eastAsia="en-GB"/>
              </w:rPr>
            </w:pPr>
            <w:r w:rsidRPr="007731DB">
              <w:rPr>
                <w:rFonts w:ascii="Arial Narrow" w:hAnsi="Arial Narrow"/>
                <w:color w:val="000000"/>
                <w:sz w:val="20"/>
                <w:szCs w:val="20"/>
                <w:lang w:eastAsia="en-GB"/>
              </w:rPr>
              <w:t>Operator</w:t>
            </w:r>
            <w:r w:rsidR="00920149">
              <w:rPr>
                <w:rFonts w:ascii="Arial Narrow" w:hAnsi="Arial Narrow"/>
                <w:color w:val="000000"/>
                <w:sz w:val="20"/>
                <w:szCs w:val="20"/>
                <w:lang w:eastAsia="en-GB"/>
              </w:rPr>
              <w:t>i</w:t>
            </w:r>
            <w:r w:rsidRPr="007731DB">
              <w:rPr>
                <w:rFonts w:ascii="Arial Narrow" w:hAnsi="Arial Narrow"/>
                <w:color w:val="000000"/>
                <w:sz w:val="20"/>
                <w:szCs w:val="20"/>
                <w:lang w:eastAsia="en-GB"/>
              </w:rPr>
              <w:t xml:space="preserve"> privat (automjete), </w:t>
            </w:r>
            <w:r w:rsidR="00920149">
              <w:rPr>
                <w:rFonts w:ascii="Arial Narrow" w:hAnsi="Arial Narrow"/>
                <w:color w:val="000000"/>
                <w:sz w:val="20"/>
                <w:szCs w:val="20"/>
                <w:lang w:eastAsia="en-GB"/>
              </w:rPr>
              <w:t>komuna</w:t>
            </w:r>
            <w:r w:rsidRPr="007731DB">
              <w:rPr>
                <w:rFonts w:ascii="Arial Narrow" w:hAnsi="Arial Narrow"/>
                <w:color w:val="000000"/>
                <w:sz w:val="20"/>
                <w:szCs w:val="20"/>
                <w:lang w:eastAsia="en-GB"/>
              </w:rPr>
              <w:t xml:space="preserve"> (kontejnerë)</w:t>
            </w:r>
          </w:p>
        </w:tc>
      </w:tr>
    </w:tbl>
    <w:p w14:paraId="157B9DF3" w14:textId="7BCCB430" w:rsidR="00FF5E78" w:rsidRPr="00574634" w:rsidRDefault="00574634" w:rsidP="00106238">
      <w:pPr>
        <w:pStyle w:val="source0"/>
      </w:pPr>
      <w:r w:rsidRPr="00574634">
        <w:t>Burimi: të dhëna</w:t>
      </w:r>
      <w:r w:rsidR="00920149">
        <w:t>t</w:t>
      </w:r>
      <w:r w:rsidRPr="00574634">
        <w:t xml:space="preserve"> nga </w:t>
      </w:r>
      <w:r w:rsidR="00920149">
        <w:t>komunat</w:t>
      </w:r>
      <w:r w:rsidRPr="00574634">
        <w:t xml:space="preserve"> (2024)</w:t>
      </w:r>
    </w:p>
    <w:p w14:paraId="29B7CF27" w14:textId="77777777" w:rsidR="00574634" w:rsidRDefault="00574634" w:rsidP="007175EE">
      <w:pPr>
        <w:rPr>
          <w:rFonts w:eastAsia="Calibri" w:cs="Calibri"/>
          <w:sz w:val="22"/>
          <w:szCs w:val="22"/>
        </w:rPr>
      </w:pPr>
    </w:p>
    <w:p w14:paraId="0B15827A" w14:textId="2ED35741" w:rsidR="00FF5E78" w:rsidRDefault="00D475C2" w:rsidP="00106238">
      <w:pPr>
        <w:pStyle w:val="Paragraph"/>
        <w:rPr>
          <w:rFonts w:eastAsia="Calibri"/>
        </w:rPr>
      </w:pPr>
      <w:r>
        <w:rPr>
          <w:rFonts w:eastAsia="Calibri"/>
        </w:rPr>
        <w:t xml:space="preserve">Tabelat më poshtë paraqesin numrin dhe llojin e kontejnerëve në përdorim për </w:t>
      </w:r>
      <w:r w:rsidR="00256B24">
        <w:rPr>
          <w:rFonts w:eastAsia="Calibri"/>
        </w:rPr>
        <w:t xml:space="preserve">grumbullimin </w:t>
      </w:r>
      <w:r>
        <w:rPr>
          <w:rFonts w:eastAsia="Calibri"/>
        </w:rPr>
        <w:t xml:space="preserve">e mbeturinave nga </w:t>
      </w:r>
      <w:r w:rsidR="00256B24">
        <w:rPr>
          <w:rFonts w:eastAsia="Calibri"/>
        </w:rPr>
        <w:t>amvisëritë</w:t>
      </w:r>
      <w:r>
        <w:rPr>
          <w:rFonts w:eastAsia="Calibri"/>
        </w:rPr>
        <w:t xml:space="preserve"> dhe bizneset/institucionet, si dhe frekuencën e </w:t>
      </w:r>
      <w:r w:rsidR="00256B24">
        <w:rPr>
          <w:rFonts w:eastAsia="Calibri"/>
        </w:rPr>
        <w:t>grumbullimit</w:t>
      </w:r>
      <w:r>
        <w:rPr>
          <w:rFonts w:eastAsia="Calibri"/>
        </w:rPr>
        <w:t xml:space="preserve"> </w:t>
      </w:r>
      <w:r w:rsidR="00256B24">
        <w:rPr>
          <w:rFonts w:eastAsia="Calibri"/>
        </w:rPr>
        <w:t>t</w:t>
      </w:r>
      <w:r>
        <w:rPr>
          <w:rFonts w:eastAsia="Calibri"/>
        </w:rPr>
        <w:t>ë mbeturinave.</w:t>
      </w:r>
    </w:p>
    <w:p w14:paraId="6EA31EB2" w14:textId="663B7AE0" w:rsidR="00D475C2" w:rsidRPr="007F50ED" w:rsidRDefault="00D475C2" w:rsidP="007F50ED">
      <w:pPr>
        <w:suppressAutoHyphens/>
        <w:rPr>
          <w:rFonts w:ascii="Arial Narrow" w:eastAsia="Calibri" w:hAnsi="Arial Narrow" w:cs="Calibri"/>
          <w:color w:val="1F497D"/>
          <w:sz w:val="20"/>
          <w:szCs w:val="20"/>
        </w:rPr>
      </w:pPr>
      <w:bookmarkStart w:id="195" w:name="_Toc197472211"/>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26.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 xml:space="preserve">Kontejnerët e </w:t>
      </w:r>
      <w:r w:rsidR="00256B24">
        <w:rPr>
          <w:rFonts w:ascii="Arial Narrow" w:eastAsia="Calibri" w:hAnsi="Arial Narrow" w:cs="Calibri"/>
          <w:color w:val="1F497D"/>
          <w:sz w:val="20"/>
          <w:szCs w:val="20"/>
        </w:rPr>
        <w:t>grumbullimit</w:t>
      </w:r>
      <w:r w:rsidRPr="007F50ED">
        <w:rPr>
          <w:rFonts w:ascii="Arial Narrow" w:eastAsia="Calibri" w:hAnsi="Arial Narrow" w:cs="Calibri"/>
          <w:color w:val="1F497D"/>
          <w:sz w:val="20"/>
          <w:szCs w:val="20"/>
        </w:rPr>
        <w:t xml:space="preserve"> </w:t>
      </w:r>
      <w:r w:rsidR="00256B24">
        <w:rPr>
          <w:rFonts w:ascii="Arial Narrow" w:eastAsia="Calibri" w:hAnsi="Arial Narrow" w:cs="Calibri"/>
          <w:color w:val="1F497D"/>
          <w:sz w:val="20"/>
          <w:szCs w:val="20"/>
        </w:rPr>
        <w:t>t</w:t>
      </w:r>
      <w:r w:rsidRPr="007F50ED">
        <w:rPr>
          <w:rFonts w:ascii="Arial Narrow" w:eastAsia="Calibri" w:hAnsi="Arial Narrow" w:cs="Calibri"/>
          <w:color w:val="1F497D"/>
          <w:sz w:val="20"/>
          <w:szCs w:val="20"/>
        </w:rPr>
        <w:t xml:space="preserve">ë mbeturinave për </w:t>
      </w:r>
      <w:r w:rsidR="00256B24">
        <w:rPr>
          <w:rFonts w:ascii="Arial Narrow" w:eastAsia="Calibri" w:hAnsi="Arial Narrow" w:cs="Calibri"/>
          <w:color w:val="1F497D"/>
          <w:sz w:val="20"/>
          <w:szCs w:val="20"/>
        </w:rPr>
        <w:t>amvisëri</w:t>
      </w:r>
      <w:bookmarkEnd w:id="195"/>
    </w:p>
    <w:tbl>
      <w:tblPr>
        <w:tblW w:w="4988" w:type="pct"/>
        <w:tblLook w:val="04A0" w:firstRow="1" w:lastRow="0" w:firstColumn="1" w:lastColumn="0" w:noHBand="0" w:noVBand="1"/>
      </w:tblPr>
      <w:tblGrid>
        <w:gridCol w:w="1947"/>
        <w:gridCol w:w="2349"/>
        <w:gridCol w:w="2349"/>
        <w:gridCol w:w="2349"/>
      </w:tblGrid>
      <w:tr w:rsidR="00CB1C2A" w:rsidRPr="00CB1C2A" w14:paraId="2FA170FB" w14:textId="77777777" w:rsidTr="006347D6">
        <w:trPr>
          <w:trHeight w:val="260"/>
          <w:tblHeader/>
        </w:trPr>
        <w:tc>
          <w:tcPr>
            <w:tcW w:w="1082" w:type="pct"/>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67286DB4" w14:textId="118650B1" w:rsidR="007D380C" w:rsidRPr="00CB1C2A" w:rsidRDefault="00256B24" w:rsidP="00292263">
            <w:pPr>
              <w:jc w:val="center"/>
              <w:rPr>
                <w:rFonts w:ascii="Arial Narrow" w:hAnsi="Arial Narrow"/>
                <w:b/>
                <w:bCs/>
                <w:color w:val="FFFFFF" w:themeColor="background1"/>
                <w:sz w:val="20"/>
                <w:szCs w:val="20"/>
                <w:lang w:eastAsia="en-GB"/>
              </w:rPr>
            </w:pPr>
            <w:r>
              <w:rPr>
                <w:rFonts w:ascii="Arial Narrow" w:hAnsi="Arial Narrow"/>
                <w:b/>
                <w:bCs/>
                <w:color w:val="FFFFFF" w:themeColor="background1"/>
                <w:sz w:val="20"/>
                <w:szCs w:val="20"/>
                <w:lang w:eastAsia="en-GB"/>
              </w:rPr>
              <w:t>Komuna</w:t>
            </w:r>
          </w:p>
        </w:tc>
        <w:tc>
          <w:tcPr>
            <w:tcW w:w="1306" w:type="pct"/>
            <w:tcBorders>
              <w:top w:val="single" w:sz="4" w:space="0" w:color="auto"/>
              <w:left w:val="nil"/>
              <w:bottom w:val="single" w:sz="4" w:space="0" w:color="auto"/>
              <w:right w:val="single" w:sz="4" w:space="0" w:color="auto"/>
            </w:tcBorders>
            <w:shd w:val="clear" w:color="auto" w:fill="365F91"/>
            <w:noWrap/>
            <w:vAlign w:val="bottom"/>
            <w:hideMark/>
          </w:tcPr>
          <w:p w14:paraId="15057C44" w14:textId="498B2639" w:rsidR="007D380C" w:rsidRPr="00CB1C2A" w:rsidRDefault="007D380C" w:rsidP="00D475C2">
            <w:pPr>
              <w:jc w:val="center"/>
              <w:rPr>
                <w:rFonts w:ascii="Arial Narrow" w:hAnsi="Arial Narrow"/>
                <w:b/>
                <w:bCs/>
                <w:color w:val="FFFFFF" w:themeColor="background1"/>
                <w:sz w:val="20"/>
                <w:szCs w:val="20"/>
                <w:lang w:eastAsia="en-GB"/>
              </w:rPr>
            </w:pPr>
            <w:r w:rsidRPr="00CB1C2A">
              <w:rPr>
                <w:rFonts w:ascii="Arial Narrow" w:hAnsi="Arial Narrow"/>
                <w:b/>
                <w:bCs/>
                <w:color w:val="FFFFFF" w:themeColor="background1"/>
                <w:sz w:val="20"/>
                <w:szCs w:val="20"/>
                <w:lang w:eastAsia="en-GB"/>
              </w:rPr>
              <w:t>Ma</w:t>
            </w:r>
            <w:r w:rsidR="00256B24">
              <w:rPr>
                <w:rFonts w:ascii="Arial Narrow" w:hAnsi="Arial Narrow"/>
                <w:b/>
                <w:bCs/>
                <w:color w:val="FFFFFF" w:themeColor="background1"/>
                <w:sz w:val="20"/>
                <w:szCs w:val="20"/>
                <w:lang w:eastAsia="en-GB"/>
              </w:rPr>
              <w:t>sa</w:t>
            </w:r>
          </w:p>
        </w:tc>
        <w:tc>
          <w:tcPr>
            <w:tcW w:w="1306" w:type="pct"/>
            <w:tcBorders>
              <w:top w:val="single" w:sz="4" w:space="0" w:color="auto"/>
              <w:left w:val="nil"/>
              <w:bottom w:val="single" w:sz="4" w:space="0" w:color="auto"/>
              <w:right w:val="single" w:sz="4" w:space="0" w:color="auto"/>
            </w:tcBorders>
            <w:shd w:val="clear" w:color="auto" w:fill="365F91"/>
            <w:noWrap/>
            <w:vAlign w:val="bottom"/>
            <w:hideMark/>
          </w:tcPr>
          <w:p w14:paraId="0E7D096F" w14:textId="7A46365D" w:rsidR="007D380C" w:rsidRPr="00CB1C2A" w:rsidRDefault="007D380C" w:rsidP="00D475C2">
            <w:pPr>
              <w:jc w:val="center"/>
              <w:rPr>
                <w:rFonts w:ascii="Arial Narrow" w:hAnsi="Arial Narrow"/>
                <w:b/>
                <w:bCs/>
                <w:color w:val="FFFFFF" w:themeColor="background1"/>
                <w:sz w:val="20"/>
                <w:szCs w:val="20"/>
                <w:lang w:eastAsia="en-GB"/>
              </w:rPr>
            </w:pPr>
            <w:r w:rsidRPr="00CB1C2A">
              <w:rPr>
                <w:rFonts w:ascii="Arial Narrow" w:hAnsi="Arial Narrow"/>
                <w:b/>
                <w:bCs/>
                <w:color w:val="FFFFFF" w:themeColor="background1"/>
                <w:sz w:val="20"/>
                <w:szCs w:val="20"/>
                <w:lang w:eastAsia="en-GB"/>
              </w:rPr>
              <w:t>1.1 m</w:t>
            </w:r>
            <w:r w:rsidRPr="00CB1C2A">
              <w:rPr>
                <w:rFonts w:ascii="Arial Narrow" w:hAnsi="Arial Narrow"/>
                <w:b/>
                <w:bCs/>
                <w:color w:val="FFFFFF" w:themeColor="background1"/>
                <w:sz w:val="20"/>
                <w:szCs w:val="20"/>
                <w:vertAlign w:val="superscript"/>
                <w:lang w:eastAsia="en-GB"/>
              </w:rPr>
              <w:t>3</w:t>
            </w:r>
          </w:p>
        </w:tc>
        <w:tc>
          <w:tcPr>
            <w:tcW w:w="1306" w:type="pct"/>
            <w:tcBorders>
              <w:top w:val="single" w:sz="4" w:space="0" w:color="auto"/>
              <w:left w:val="nil"/>
              <w:bottom w:val="single" w:sz="4" w:space="0" w:color="auto"/>
              <w:right w:val="single" w:sz="4" w:space="0" w:color="auto"/>
            </w:tcBorders>
            <w:shd w:val="clear" w:color="auto" w:fill="365F91"/>
            <w:noWrap/>
            <w:vAlign w:val="bottom"/>
            <w:hideMark/>
          </w:tcPr>
          <w:p w14:paraId="36427C25" w14:textId="77777777" w:rsidR="007D380C" w:rsidRPr="00CB1C2A" w:rsidRDefault="007D380C" w:rsidP="00D475C2">
            <w:pPr>
              <w:jc w:val="center"/>
              <w:rPr>
                <w:rFonts w:ascii="Arial Narrow" w:hAnsi="Arial Narrow"/>
                <w:b/>
                <w:bCs/>
                <w:color w:val="FFFFFF" w:themeColor="background1"/>
                <w:sz w:val="20"/>
                <w:szCs w:val="20"/>
                <w:lang w:eastAsia="en-GB"/>
              </w:rPr>
            </w:pPr>
            <w:r w:rsidRPr="00CB1C2A">
              <w:rPr>
                <w:rFonts w:ascii="Arial Narrow" w:hAnsi="Arial Narrow"/>
                <w:b/>
                <w:bCs/>
                <w:color w:val="FFFFFF" w:themeColor="background1"/>
                <w:sz w:val="20"/>
                <w:szCs w:val="20"/>
                <w:lang w:eastAsia="en-GB"/>
              </w:rPr>
              <w:t>120 litra</w:t>
            </w:r>
          </w:p>
        </w:tc>
      </w:tr>
      <w:tr w:rsidR="007D380C" w:rsidRPr="009C4624" w14:paraId="4CB697A9" w14:textId="77777777" w:rsidTr="00574634">
        <w:trPr>
          <w:trHeight w:val="260"/>
        </w:trPr>
        <w:tc>
          <w:tcPr>
            <w:tcW w:w="1082" w:type="pct"/>
            <w:tcBorders>
              <w:top w:val="single" w:sz="4" w:space="0" w:color="auto"/>
              <w:left w:val="single" w:sz="4" w:space="0" w:color="auto"/>
              <w:right w:val="single" w:sz="4" w:space="0" w:color="auto"/>
            </w:tcBorders>
            <w:shd w:val="clear" w:color="auto" w:fill="auto"/>
            <w:noWrap/>
            <w:vAlign w:val="bottom"/>
            <w:hideMark/>
          </w:tcPr>
          <w:p w14:paraId="5F782958" w14:textId="77777777" w:rsidR="007D380C" w:rsidRPr="009C4624" w:rsidRDefault="007D380C"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Pejë</w:t>
            </w:r>
          </w:p>
        </w:tc>
        <w:tc>
          <w:tcPr>
            <w:tcW w:w="1306" w:type="pct"/>
            <w:tcBorders>
              <w:top w:val="nil"/>
              <w:left w:val="nil"/>
              <w:bottom w:val="single" w:sz="4" w:space="0" w:color="auto"/>
              <w:right w:val="single" w:sz="4" w:space="0" w:color="auto"/>
            </w:tcBorders>
            <w:shd w:val="clear" w:color="auto" w:fill="auto"/>
            <w:noWrap/>
            <w:vAlign w:val="bottom"/>
            <w:hideMark/>
          </w:tcPr>
          <w:p w14:paraId="1FD6FED8" w14:textId="6B9AABDC" w:rsidR="007D380C" w:rsidRPr="009C4624" w:rsidRDefault="00256B24"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numr</w:t>
            </w:r>
            <w:r>
              <w:rPr>
                <w:rFonts w:ascii="Arial Narrow" w:hAnsi="Arial Narrow"/>
                <w:color w:val="000000"/>
                <w:sz w:val="20"/>
                <w:szCs w:val="20"/>
                <w:lang w:eastAsia="en-GB"/>
              </w:rPr>
              <w:t>i</w:t>
            </w:r>
          </w:p>
        </w:tc>
        <w:tc>
          <w:tcPr>
            <w:tcW w:w="1306" w:type="pct"/>
            <w:tcBorders>
              <w:top w:val="nil"/>
              <w:left w:val="nil"/>
              <w:bottom w:val="single" w:sz="4" w:space="0" w:color="auto"/>
              <w:right w:val="single" w:sz="4" w:space="0" w:color="auto"/>
            </w:tcBorders>
            <w:shd w:val="clear" w:color="auto" w:fill="auto"/>
            <w:noWrap/>
            <w:vAlign w:val="bottom"/>
            <w:hideMark/>
          </w:tcPr>
          <w:p w14:paraId="15FB7133" w14:textId="09562B6C" w:rsidR="007D380C" w:rsidRPr="009C4624" w:rsidRDefault="00574634" w:rsidP="00D475C2">
            <w:pPr>
              <w:jc w:val="cente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306" w:type="pct"/>
            <w:tcBorders>
              <w:top w:val="nil"/>
              <w:left w:val="nil"/>
              <w:bottom w:val="single" w:sz="4" w:space="0" w:color="auto"/>
              <w:right w:val="single" w:sz="4" w:space="0" w:color="auto"/>
            </w:tcBorders>
            <w:shd w:val="clear" w:color="auto" w:fill="auto"/>
            <w:noWrap/>
            <w:vAlign w:val="bottom"/>
            <w:hideMark/>
          </w:tcPr>
          <w:p w14:paraId="2A59A909" w14:textId="77777777" w:rsidR="007D380C" w:rsidRPr="009C4624" w:rsidRDefault="007D380C" w:rsidP="00D475C2">
            <w:pPr>
              <w:jc w:val="center"/>
              <w:rPr>
                <w:rFonts w:ascii="Arial Narrow" w:hAnsi="Arial Narrow"/>
                <w:color w:val="000000"/>
                <w:sz w:val="20"/>
                <w:szCs w:val="20"/>
                <w:lang w:eastAsia="en-GB"/>
              </w:rPr>
            </w:pPr>
            <w:r w:rsidRPr="009C4624">
              <w:rPr>
                <w:rFonts w:ascii="Arial Narrow" w:hAnsi="Arial Narrow"/>
                <w:color w:val="000000"/>
                <w:sz w:val="20"/>
                <w:szCs w:val="20"/>
                <w:lang w:eastAsia="en-GB"/>
              </w:rPr>
              <w:t>22,000</w:t>
            </w:r>
          </w:p>
        </w:tc>
      </w:tr>
      <w:tr w:rsidR="007D380C" w:rsidRPr="009C4624" w14:paraId="794E220D" w14:textId="77777777" w:rsidTr="00574634">
        <w:trPr>
          <w:trHeight w:val="260"/>
        </w:trPr>
        <w:tc>
          <w:tcPr>
            <w:tcW w:w="1082" w:type="pct"/>
            <w:tcBorders>
              <w:left w:val="single" w:sz="4" w:space="0" w:color="auto"/>
              <w:bottom w:val="single" w:sz="4" w:space="0" w:color="auto"/>
              <w:right w:val="single" w:sz="4" w:space="0" w:color="auto"/>
            </w:tcBorders>
            <w:shd w:val="clear" w:color="auto" w:fill="auto"/>
            <w:noWrap/>
            <w:vAlign w:val="bottom"/>
            <w:hideMark/>
          </w:tcPr>
          <w:p w14:paraId="13E4FC9F" w14:textId="77777777" w:rsidR="007D380C" w:rsidRPr="009C4624" w:rsidRDefault="007D380C"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 </w:t>
            </w:r>
          </w:p>
        </w:tc>
        <w:tc>
          <w:tcPr>
            <w:tcW w:w="1306" w:type="pct"/>
            <w:tcBorders>
              <w:top w:val="nil"/>
              <w:left w:val="nil"/>
              <w:bottom w:val="single" w:sz="4" w:space="0" w:color="auto"/>
              <w:right w:val="single" w:sz="4" w:space="0" w:color="auto"/>
            </w:tcBorders>
            <w:shd w:val="clear" w:color="auto" w:fill="auto"/>
            <w:noWrap/>
            <w:vAlign w:val="bottom"/>
            <w:hideMark/>
          </w:tcPr>
          <w:p w14:paraId="52BC2B83" w14:textId="51C60B25" w:rsidR="007D380C" w:rsidRPr="009C4624" w:rsidRDefault="007D380C"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 xml:space="preserve">frekuenca e </w:t>
            </w:r>
            <w:r w:rsidR="00256B24">
              <w:rPr>
                <w:rFonts w:ascii="Arial Narrow" w:hAnsi="Arial Narrow"/>
                <w:color w:val="000000"/>
                <w:sz w:val="20"/>
                <w:szCs w:val="20"/>
                <w:lang w:eastAsia="en-GB"/>
              </w:rPr>
              <w:t>grumbullimit</w:t>
            </w:r>
          </w:p>
        </w:tc>
        <w:tc>
          <w:tcPr>
            <w:tcW w:w="1306" w:type="pct"/>
            <w:tcBorders>
              <w:top w:val="nil"/>
              <w:left w:val="nil"/>
              <w:bottom w:val="single" w:sz="4" w:space="0" w:color="auto"/>
              <w:right w:val="single" w:sz="4" w:space="0" w:color="auto"/>
            </w:tcBorders>
            <w:shd w:val="clear" w:color="auto" w:fill="auto"/>
            <w:noWrap/>
            <w:vAlign w:val="bottom"/>
            <w:hideMark/>
          </w:tcPr>
          <w:p w14:paraId="17DE32EF" w14:textId="49CC71AD" w:rsidR="007D380C" w:rsidRPr="009C4624" w:rsidRDefault="00574634" w:rsidP="00D475C2">
            <w:pPr>
              <w:jc w:val="cente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306" w:type="pct"/>
            <w:tcBorders>
              <w:top w:val="nil"/>
              <w:left w:val="nil"/>
              <w:bottom w:val="single" w:sz="4" w:space="0" w:color="auto"/>
              <w:right w:val="single" w:sz="4" w:space="0" w:color="auto"/>
            </w:tcBorders>
            <w:shd w:val="clear" w:color="auto" w:fill="auto"/>
            <w:noWrap/>
            <w:vAlign w:val="bottom"/>
            <w:hideMark/>
          </w:tcPr>
          <w:p w14:paraId="46BDC57D" w14:textId="29CE1894" w:rsidR="007D380C" w:rsidRPr="009C4624" w:rsidRDefault="00256B24" w:rsidP="00D475C2">
            <w:pPr>
              <w:jc w:val="center"/>
              <w:rPr>
                <w:rFonts w:ascii="Arial Narrow" w:hAnsi="Arial Narrow"/>
                <w:color w:val="000000"/>
                <w:sz w:val="20"/>
                <w:szCs w:val="20"/>
                <w:lang w:eastAsia="en-GB"/>
              </w:rPr>
            </w:pPr>
            <w:r>
              <w:rPr>
                <w:rFonts w:ascii="Arial Narrow" w:hAnsi="Arial Narrow"/>
                <w:color w:val="000000"/>
                <w:sz w:val="20"/>
                <w:szCs w:val="20"/>
                <w:lang w:eastAsia="en-GB"/>
              </w:rPr>
              <w:t>1</w:t>
            </w:r>
            <w:r w:rsidR="007D380C" w:rsidRPr="009C4624">
              <w:rPr>
                <w:rFonts w:ascii="Arial Narrow" w:hAnsi="Arial Narrow"/>
                <w:color w:val="000000"/>
                <w:sz w:val="20"/>
                <w:szCs w:val="20"/>
                <w:lang w:eastAsia="en-GB"/>
              </w:rPr>
              <w:t xml:space="preserve"> herë në javë</w:t>
            </w:r>
          </w:p>
        </w:tc>
      </w:tr>
      <w:tr w:rsidR="007D380C" w:rsidRPr="009C4624" w14:paraId="600D3E83" w14:textId="77777777" w:rsidTr="00574634">
        <w:trPr>
          <w:trHeight w:val="260"/>
        </w:trPr>
        <w:tc>
          <w:tcPr>
            <w:tcW w:w="1082" w:type="pct"/>
            <w:tcBorders>
              <w:top w:val="single" w:sz="4" w:space="0" w:color="auto"/>
              <w:left w:val="single" w:sz="4" w:space="0" w:color="auto"/>
              <w:right w:val="single" w:sz="4" w:space="0" w:color="auto"/>
            </w:tcBorders>
            <w:shd w:val="clear" w:color="auto" w:fill="auto"/>
            <w:noWrap/>
            <w:vAlign w:val="bottom"/>
            <w:hideMark/>
          </w:tcPr>
          <w:p w14:paraId="457D3E2A" w14:textId="77777777" w:rsidR="007D380C" w:rsidRPr="009C4624" w:rsidRDefault="007D380C"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Istog</w:t>
            </w:r>
          </w:p>
        </w:tc>
        <w:tc>
          <w:tcPr>
            <w:tcW w:w="1306" w:type="pct"/>
            <w:tcBorders>
              <w:top w:val="nil"/>
              <w:left w:val="nil"/>
              <w:bottom w:val="single" w:sz="4" w:space="0" w:color="auto"/>
              <w:right w:val="single" w:sz="4" w:space="0" w:color="auto"/>
            </w:tcBorders>
            <w:shd w:val="clear" w:color="auto" w:fill="auto"/>
            <w:noWrap/>
            <w:vAlign w:val="bottom"/>
            <w:hideMark/>
          </w:tcPr>
          <w:p w14:paraId="70C6AB65" w14:textId="0A561113" w:rsidR="007D380C" w:rsidRPr="009C4624" w:rsidRDefault="00256B24"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numr</w:t>
            </w:r>
            <w:r>
              <w:rPr>
                <w:rFonts w:ascii="Arial Narrow" w:hAnsi="Arial Narrow"/>
                <w:color w:val="000000"/>
                <w:sz w:val="20"/>
                <w:szCs w:val="20"/>
                <w:lang w:eastAsia="en-GB"/>
              </w:rPr>
              <w:t>i</w:t>
            </w:r>
          </w:p>
        </w:tc>
        <w:tc>
          <w:tcPr>
            <w:tcW w:w="1306" w:type="pct"/>
            <w:tcBorders>
              <w:top w:val="nil"/>
              <w:left w:val="nil"/>
              <w:bottom w:val="single" w:sz="4" w:space="0" w:color="auto"/>
              <w:right w:val="single" w:sz="4" w:space="0" w:color="auto"/>
            </w:tcBorders>
            <w:shd w:val="clear" w:color="auto" w:fill="auto"/>
            <w:noWrap/>
            <w:vAlign w:val="bottom"/>
            <w:hideMark/>
          </w:tcPr>
          <w:p w14:paraId="10AA2F3D" w14:textId="77777777" w:rsidR="007D380C" w:rsidRPr="009C4624" w:rsidRDefault="007D380C" w:rsidP="00D475C2">
            <w:pPr>
              <w:jc w:val="center"/>
              <w:rPr>
                <w:rFonts w:ascii="Arial Narrow" w:hAnsi="Arial Narrow"/>
                <w:color w:val="000000"/>
                <w:sz w:val="20"/>
                <w:szCs w:val="20"/>
                <w:lang w:eastAsia="en-GB"/>
              </w:rPr>
            </w:pPr>
            <w:r w:rsidRPr="009C4624">
              <w:rPr>
                <w:rFonts w:ascii="Arial Narrow" w:hAnsi="Arial Narrow"/>
                <w:color w:val="000000"/>
                <w:sz w:val="20"/>
                <w:szCs w:val="20"/>
                <w:lang w:eastAsia="en-GB"/>
              </w:rPr>
              <w:t>50</w:t>
            </w:r>
          </w:p>
        </w:tc>
        <w:tc>
          <w:tcPr>
            <w:tcW w:w="1306" w:type="pct"/>
            <w:tcBorders>
              <w:top w:val="nil"/>
              <w:left w:val="nil"/>
              <w:bottom w:val="single" w:sz="4" w:space="0" w:color="auto"/>
              <w:right w:val="single" w:sz="4" w:space="0" w:color="auto"/>
            </w:tcBorders>
            <w:shd w:val="clear" w:color="auto" w:fill="auto"/>
            <w:noWrap/>
            <w:vAlign w:val="bottom"/>
            <w:hideMark/>
          </w:tcPr>
          <w:p w14:paraId="7E8C1BA3" w14:textId="77777777" w:rsidR="007D380C" w:rsidRPr="009C4624" w:rsidRDefault="007D380C" w:rsidP="00D475C2">
            <w:pPr>
              <w:jc w:val="center"/>
              <w:rPr>
                <w:rFonts w:ascii="Arial Narrow" w:hAnsi="Arial Narrow"/>
                <w:color w:val="000000"/>
                <w:sz w:val="20"/>
                <w:szCs w:val="20"/>
                <w:lang w:eastAsia="en-GB"/>
              </w:rPr>
            </w:pPr>
            <w:r w:rsidRPr="009C4624">
              <w:rPr>
                <w:rFonts w:ascii="Arial Narrow" w:hAnsi="Arial Narrow"/>
                <w:color w:val="000000"/>
                <w:sz w:val="20"/>
                <w:szCs w:val="20"/>
                <w:lang w:eastAsia="en-GB"/>
              </w:rPr>
              <w:t>870</w:t>
            </w:r>
          </w:p>
        </w:tc>
      </w:tr>
      <w:tr w:rsidR="007D380C" w:rsidRPr="009C4624" w14:paraId="3B0FC655" w14:textId="77777777" w:rsidTr="00574634">
        <w:trPr>
          <w:trHeight w:val="260"/>
        </w:trPr>
        <w:tc>
          <w:tcPr>
            <w:tcW w:w="1082" w:type="pct"/>
            <w:tcBorders>
              <w:left w:val="single" w:sz="4" w:space="0" w:color="auto"/>
              <w:bottom w:val="single" w:sz="4" w:space="0" w:color="auto"/>
              <w:right w:val="single" w:sz="4" w:space="0" w:color="auto"/>
            </w:tcBorders>
            <w:shd w:val="clear" w:color="auto" w:fill="auto"/>
            <w:noWrap/>
            <w:vAlign w:val="bottom"/>
            <w:hideMark/>
          </w:tcPr>
          <w:p w14:paraId="772422FE" w14:textId="77777777" w:rsidR="007D380C" w:rsidRPr="009C4624" w:rsidRDefault="007D380C"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 </w:t>
            </w:r>
          </w:p>
        </w:tc>
        <w:tc>
          <w:tcPr>
            <w:tcW w:w="1306" w:type="pct"/>
            <w:tcBorders>
              <w:top w:val="nil"/>
              <w:left w:val="nil"/>
              <w:bottom w:val="single" w:sz="4" w:space="0" w:color="auto"/>
              <w:right w:val="single" w:sz="4" w:space="0" w:color="auto"/>
            </w:tcBorders>
            <w:shd w:val="clear" w:color="auto" w:fill="auto"/>
            <w:noWrap/>
            <w:vAlign w:val="bottom"/>
            <w:hideMark/>
          </w:tcPr>
          <w:p w14:paraId="405F70B2" w14:textId="00EA33AF" w:rsidR="007D380C" w:rsidRPr="009C4624" w:rsidRDefault="00256B24"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 xml:space="preserve">frekuenca e </w:t>
            </w:r>
            <w:r>
              <w:rPr>
                <w:rFonts w:ascii="Arial Narrow" w:hAnsi="Arial Narrow"/>
                <w:color w:val="000000"/>
                <w:sz w:val="20"/>
                <w:szCs w:val="20"/>
                <w:lang w:eastAsia="en-GB"/>
              </w:rPr>
              <w:t>grumbullimit</w:t>
            </w:r>
          </w:p>
        </w:tc>
        <w:tc>
          <w:tcPr>
            <w:tcW w:w="1306" w:type="pct"/>
            <w:tcBorders>
              <w:top w:val="nil"/>
              <w:left w:val="nil"/>
              <w:bottom w:val="single" w:sz="4" w:space="0" w:color="auto"/>
              <w:right w:val="single" w:sz="4" w:space="0" w:color="auto"/>
            </w:tcBorders>
            <w:shd w:val="clear" w:color="auto" w:fill="auto"/>
            <w:noWrap/>
            <w:vAlign w:val="bottom"/>
            <w:hideMark/>
          </w:tcPr>
          <w:p w14:paraId="28733169" w14:textId="06862C9B" w:rsidR="007D380C" w:rsidRPr="009C4624" w:rsidRDefault="00256B24" w:rsidP="00D475C2">
            <w:pPr>
              <w:jc w:val="center"/>
              <w:rPr>
                <w:rFonts w:ascii="Arial Narrow" w:hAnsi="Arial Narrow"/>
                <w:color w:val="000000"/>
                <w:sz w:val="20"/>
                <w:szCs w:val="20"/>
                <w:lang w:eastAsia="en-GB"/>
              </w:rPr>
            </w:pPr>
            <w:r>
              <w:rPr>
                <w:rFonts w:ascii="Arial Narrow" w:hAnsi="Arial Narrow"/>
                <w:color w:val="000000"/>
                <w:sz w:val="20"/>
                <w:szCs w:val="20"/>
                <w:lang w:eastAsia="en-GB"/>
              </w:rPr>
              <w:t>1</w:t>
            </w:r>
            <w:r w:rsidR="007D380C" w:rsidRPr="009C4624">
              <w:rPr>
                <w:rFonts w:ascii="Arial Narrow" w:hAnsi="Arial Narrow"/>
                <w:color w:val="000000"/>
                <w:sz w:val="20"/>
                <w:szCs w:val="20"/>
                <w:lang w:eastAsia="en-GB"/>
              </w:rPr>
              <w:t xml:space="preserve"> herë në javë</w:t>
            </w:r>
          </w:p>
        </w:tc>
        <w:tc>
          <w:tcPr>
            <w:tcW w:w="1306" w:type="pct"/>
            <w:tcBorders>
              <w:top w:val="nil"/>
              <w:left w:val="nil"/>
              <w:bottom w:val="single" w:sz="4" w:space="0" w:color="auto"/>
              <w:right w:val="single" w:sz="4" w:space="0" w:color="auto"/>
            </w:tcBorders>
            <w:shd w:val="clear" w:color="auto" w:fill="auto"/>
            <w:noWrap/>
            <w:vAlign w:val="bottom"/>
            <w:hideMark/>
          </w:tcPr>
          <w:p w14:paraId="0C127499" w14:textId="337F7939" w:rsidR="007D380C" w:rsidRPr="009C4624" w:rsidRDefault="00256B24" w:rsidP="00D475C2">
            <w:pPr>
              <w:jc w:val="center"/>
              <w:rPr>
                <w:rFonts w:ascii="Arial Narrow" w:hAnsi="Arial Narrow"/>
                <w:color w:val="000000"/>
                <w:sz w:val="20"/>
                <w:szCs w:val="20"/>
                <w:lang w:eastAsia="en-GB"/>
              </w:rPr>
            </w:pPr>
            <w:r>
              <w:rPr>
                <w:rFonts w:ascii="Arial Narrow" w:hAnsi="Arial Narrow"/>
                <w:color w:val="000000"/>
                <w:sz w:val="20"/>
                <w:szCs w:val="20"/>
                <w:lang w:eastAsia="en-GB"/>
              </w:rPr>
              <w:t>1</w:t>
            </w:r>
            <w:r w:rsidR="007D380C" w:rsidRPr="009C4624">
              <w:rPr>
                <w:rFonts w:ascii="Arial Narrow" w:hAnsi="Arial Narrow"/>
                <w:color w:val="000000"/>
                <w:sz w:val="20"/>
                <w:szCs w:val="20"/>
                <w:lang w:eastAsia="en-GB"/>
              </w:rPr>
              <w:t xml:space="preserve"> herë në javë</w:t>
            </w:r>
          </w:p>
        </w:tc>
      </w:tr>
      <w:tr w:rsidR="007D380C" w:rsidRPr="009C4624" w14:paraId="2FEBA33A" w14:textId="77777777" w:rsidTr="00574634">
        <w:trPr>
          <w:trHeight w:val="260"/>
        </w:trPr>
        <w:tc>
          <w:tcPr>
            <w:tcW w:w="1082" w:type="pct"/>
            <w:tcBorders>
              <w:top w:val="single" w:sz="4" w:space="0" w:color="auto"/>
              <w:left w:val="single" w:sz="4" w:space="0" w:color="auto"/>
              <w:right w:val="single" w:sz="4" w:space="0" w:color="auto"/>
            </w:tcBorders>
            <w:shd w:val="clear" w:color="auto" w:fill="auto"/>
            <w:noWrap/>
            <w:vAlign w:val="bottom"/>
            <w:hideMark/>
          </w:tcPr>
          <w:p w14:paraId="67387FEC" w14:textId="77777777" w:rsidR="007D380C" w:rsidRPr="009C4624" w:rsidRDefault="007D380C"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Klinë</w:t>
            </w:r>
          </w:p>
        </w:tc>
        <w:tc>
          <w:tcPr>
            <w:tcW w:w="1306" w:type="pct"/>
            <w:tcBorders>
              <w:top w:val="nil"/>
              <w:left w:val="nil"/>
              <w:bottom w:val="single" w:sz="4" w:space="0" w:color="auto"/>
              <w:right w:val="single" w:sz="4" w:space="0" w:color="auto"/>
            </w:tcBorders>
            <w:shd w:val="clear" w:color="auto" w:fill="auto"/>
            <w:noWrap/>
            <w:vAlign w:val="bottom"/>
            <w:hideMark/>
          </w:tcPr>
          <w:p w14:paraId="7D9060CA" w14:textId="16812637" w:rsidR="007D380C" w:rsidRPr="009C4624" w:rsidRDefault="00256B24"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numr</w:t>
            </w:r>
            <w:r>
              <w:rPr>
                <w:rFonts w:ascii="Arial Narrow" w:hAnsi="Arial Narrow"/>
                <w:color w:val="000000"/>
                <w:sz w:val="20"/>
                <w:szCs w:val="20"/>
                <w:lang w:eastAsia="en-GB"/>
              </w:rPr>
              <w:t>i</w:t>
            </w:r>
          </w:p>
        </w:tc>
        <w:tc>
          <w:tcPr>
            <w:tcW w:w="1306" w:type="pct"/>
            <w:tcBorders>
              <w:top w:val="nil"/>
              <w:left w:val="nil"/>
              <w:bottom w:val="single" w:sz="4" w:space="0" w:color="auto"/>
              <w:right w:val="single" w:sz="4" w:space="0" w:color="auto"/>
            </w:tcBorders>
            <w:shd w:val="clear" w:color="auto" w:fill="auto"/>
            <w:noWrap/>
            <w:vAlign w:val="bottom"/>
            <w:hideMark/>
          </w:tcPr>
          <w:p w14:paraId="26DE2058" w14:textId="77777777" w:rsidR="007D380C" w:rsidRPr="009C4624" w:rsidRDefault="007D380C" w:rsidP="00D475C2">
            <w:pPr>
              <w:jc w:val="center"/>
              <w:rPr>
                <w:rFonts w:ascii="Arial Narrow" w:hAnsi="Arial Narrow"/>
                <w:color w:val="000000"/>
                <w:sz w:val="20"/>
                <w:szCs w:val="20"/>
                <w:lang w:eastAsia="en-GB"/>
              </w:rPr>
            </w:pPr>
            <w:r w:rsidRPr="009C4624">
              <w:rPr>
                <w:rFonts w:ascii="Arial Narrow" w:hAnsi="Arial Narrow"/>
                <w:color w:val="000000"/>
                <w:sz w:val="20"/>
                <w:szCs w:val="20"/>
                <w:lang w:eastAsia="en-GB"/>
              </w:rPr>
              <w:t>180</w:t>
            </w:r>
          </w:p>
        </w:tc>
        <w:tc>
          <w:tcPr>
            <w:tcW w:w="1306" w:type="pct"/>
            <w:tcBorders>
              <w:top w:val="nil"/>
              <w:left w:val="nil"/>
              <w:bottom w:val="single" w:sz="4" w:space="0" w:color="auto"/>
              <w:right w:val="single" w:sz="4" w:space="0" w:color="auto"/>
            </w:tcBorders>
            <w:shd w:val="clear" w:color="auto" w:fill="auto"/>
            <w:noWrap/>
            <w:vAlign w:val="bottom"/>
            <w:hideMark/>
          </w:tcPr>
          <w:p w14:paraId="2DABB92C" w14:textId="77777777" w:rsidR="007D380C" w:rsidRPr="009C4624" w:rsidRDefault="007D380C" w:rsidP="00D475C2">
            <w:pPr>
              <w:jc w:val="center"/>
              <w:rPr>
                <w:rFonts w:ascii="Arial Narrow" w:hAnsi="Arial Narrow"/>
                <w:color w:val="000000"/>
                <w:sz w:val="20"/>
                <w:szCs w:val="20"/>
                <w:lang w:eastAsia="en-GB"/>
              </w:rPr>
            </w:pPr>
            <w:r w:rsidRPr="009C4624">
              <w:rPr>
                <w:rFonts w:ascii="Arial Narrow" w:hAnsi="Arial Narrow"/>
                <w:color w:val="000000"/>
                <w:sz w:val="20"/>
                <w:szCs w:val="20"/>
                <w:lang w:val="en-CA" w:eastAsia="en-GB"/>
              </w:rPr>
              <w:t>4,825</w:t>
            </w:r>
          </w:p>
        </w:tc>
      </w:tr>
      <w:tr w:rsidR="007D380C" w:rsidRPr="009C4624" w14:paraId="10690BA5" w14:textId="77777777" w:rsidTr="00574634">
        <w:trPr>
          <w:trHeight w:val="260"/>
        </w:trPr>
        <w:tc>
          <w:tcPr>
            <w:tcW w:w="1082" w:type="pct"/>
            <w:tcBorders>
              <w:left w:val="single" w:sz="4" w:space="0" w:color="auto"/>
              <w:bottom w:val="single" w:sz="4" w:space="0" w:color="auto"/>
              <w:right w:val="single" w:sz="4" w:space="0" w:color="auto"/>
            </w:tcBorders>
            <w:shd w:val="clear" w:color="auto" w:fill="auto"/>
            <w:noWrap/>
            <w:vAlign w:val="bottom"/>
            <w:hideMark/>
          </w:tcPr>
          <w:p w14:paraId="7DE1C487" w14:textId="77777777" w:rsidR="007D380C" w:rsidRPr="009C4624" w:rsidRDefault="007D380C"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lastRenderedPageBreak/>
              <w:t> </w:t>
            </w:r>
          </w:p>
        </w:tc>
        <w:tc>
          <w:tcPr>
            <w:tcW w:w="1306" w:type="pct"/>
            <w:tcBorders>
              <w:top w:val="nil"/>
              <w:left w:val="nil"/>
              <w:bottom w:val="single" w:sz="4" w:space="0" w:color="auto"/>
              <w:right w:val="single" w:sz="4" w:space="0" w:color="auto"/>
            </w:tcBorders>
            <w:shd w:val="clear" w:color="auto" w:fill="auto"/>
            <w:noWrap/>
            <w:vAlign w:val="bottom"/>
            <w:hideMark/>
          </w:tcPr>
          <w:p w14:paraId="593D74CA" w14:textId="6ADBB48D" w:rsidR="007D380C" w:rsidRPr="009C4624" w:rsidRDefault="00256B24"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 xml:space="preserve">frekuenca e </w:t>
            </w:r>
            <w:r>
              <w:rPr>
                <w:rFonts w:ascii="Arial Narrow" w:hAnsi="Arial Narrow"/>
                <w:color w:val="000000"/>
                <w:sz w:val="20"/>
                <w:szCs w:val="20"/>
                <w:lang w:eastAsia="en-GB"/>
              </w:rPr>
              <w:t>grumbullimit</w:t>
            </w:r>
          </w:p>
        </w:tc>
        <w:tc>
          <w:tcPr>
            <w:tcW w:w="1306" w:type="pct"/>
            <w:tcBorders>
              <w:top w:val="nil"/>
              <w:left w:val="nil"/>
              <w:bottom w:val="single" w:sz="4" w:space="0" w:color="auto"/>
              <w:right w:val="single" w:sz="4" w:space="0" w:color="auto"/>
            </w:tcBorders>
            <w:shd w:val="clear" w:color="auto" w:fill="auto"/>
            <w:noWrap/>
            <w:vAlign w:val="bottom"/>
            <w:hideMark/>
          </w:tcPr>
          <w:p w14:paraId="25B64C11" w14:textId="1EA52DED" w:rsidR="007D380C" w:rsidRPr="009C4624" w:rsidRDefault="00256B24" w:rsidP="00D475C2">
            <w:pPr>
              <w:jc w:val="center"/>
              <w:rPr>
                <w:rFonts w:ascii="Arial Narrow" w:hAnsi="Arial Narrow"/>
                <w:color w:val="000000"/>
                <w:sz w:val="20"/>
                <w:szCs w:val="20"/>
                <w:lang w:eastAsia="en-GB"/>
              </w:rPr>
            </w:pPr>
            <w:r>
              <w:rPr>
                <w:rFonts w:ascii="Arial Narrow" w:hAnsi="Arial Narrow"/>
                <w:color w:val="000000"/>
                <w:sz w:val="20"/>
                <w:szCs w:val="20"/>
                <w:lang w:eastAsia="en-GB"/>
              </w:rPr>
              <w:t xml:space="preserve">1 </w:t>
            </w:r>
            <w:r w:rsidR="007D380C" w:rsidRPr="009C4624">
              <w:rPr>
                <w:rFonts w:ascii="Arial Narrow" w:hAnsi="Arial Narrow"/>
                <w:color w:val="000000"/>
                <w:sz w:val="20"/>
                <w:szCs w:val="20"/>
                <w:lang w:eastAsia="en-GB"/>
              </w:rPr>
              <w:t>herë në javë</w:t>
            </w:r>
          </w:p>
        </w:tc>
        <w:tc>
          <w:tcPr>
            <w:tcW w:w="1306" w:type="pct"/>
            <w:tcBorders>
              <w:top w:val="nil"/>
              <w:left w:val="nil"/>
              <w:bottom w:val="single" w:sz="4" w:space="0" w:color="auto"/>
              <w:right w:val="single" w:sz="4" w:space="0" w:color="auto"/>
            </w:tcBorders>
            <w:shd w:val="clear" w:color="auto" w:fill="auto"/>
            <w:noWrap/>
            <w:vAlign w:val="bottom"/>
            <w:hideMark/>
          </w:tcPr>
          <w:p w14:paraId="1A8C38BB" w14:textId="530A45EE" w:rsidR="007D380C" w:rsidRPr="009C4624" w:rsidRDefault="00256B24" w:rsidP="00D475C2">
            <w:pPr>
              <w:jc w:val="center"/>
              <w:rPr>
                <w:rFonts w:ascii="Arial Narrow" w:hAnsi="Arial Narrow"/>
                <w:color w:val="000000"/>
                <w:sz w:val="20"/>
                <w:szCs w:val="20"/>
                <w:lang w:eastAsia="en-GB"/>
              </w:rPr>
            </w:pPr>
            <w:r>
              <w:rPr>
                <w:rFonts w:ascii="Arial Narrow" w:hAnsi="Arial Narrow"/>
                <w:color w:val="000000"/>
                <w:sz w:val="20"/>
                <w:szCs w:val="20"/>
                <w:lang w:eastAsia="en-GB"/>
              </w:rPr>
              <w:t>1</w:t>
            </w:r>
            <w:r w:rsidR="007D380C" w:rsidRPr="009C4624">
              <w:rPr>
                <w:rFonts w:ascii="Arial Narrow" w:hAnsi="Arial Narrow"/>
                <w:color w:val="000000"/>
                <w:sz w:val="20"/>
                <w:szCs w:val="20"/>
                <w:lang w:eastAsia="en-GB"/>
              </w:rPr>
              <w:t xml:space="preserve"> herë në javë</w:t>
            </w:r>
          </w:p>
        </w:tc>
      </w:tr>
      <w:tr w:rsidR="007D380C" w:rsidRPr="009C4624" w14:paraId="568A3F9B" w14:textId="77777777" w:rsidTr="00574634">
        <w:trPr>
          <w:trHeight w:val="260"/>
        </w:trPr>
        <w:tc>
          <w:tcPr>
            <w:tcW w:w="1082" w:type="pct"/>
            <w:tcBorders>
              <w:top w:val="single" w:sz="4" w:space="0" w:color="auto"/>
              <w:left w:val="single" w:sz="4" w:space="0" w:color="auto"/>
              <w:right w:val="single" w:sz="4" w:space="0" w:color="auto"/>
            </w:tcBorders>
            <w:shd w:val="clear" w:color="auto" w:fill="auto"/>
            <w:noWrap/>
            <w:vAlign w:val="bottom"/>
            <w:hideMark/>
          </w:tcPr>
          <w:p w14:paraId="28F064C7" w14:textId="77777777" w:rsidR="007D380C" w:rsidRPr="009C4624" w:rsidRDefault="007D380C" w:rsidP="00D475C2">
            <w:pPr>
              <w:rPr>
                <w:rFonts w:ascii="Arial Narrow" w:hAnsi="Arial Narrow"/>
                <w:sz w:val="20"/>
                <w:szCs w:val="20"/>
                <w:lang w:eastAsia="en-GB"/>
              </w:rPr>
            </w:pPr>
            <w:r w:rsidRPr="009C4624">
              <w:rPr>
                <w:rFonts w:ascii="Arial Narrow" w:hAnsi="Arial Narrow"/>
                <w:sz w:val="20"/>
                <w:szCs w:val="20"/>
                <w:lang w:eastAsia="en-GB"/>
              </w:rPr>
              <w:t>Deçan</w:t>
            </w:r>
          </w:p>
        </w:tc>
        <w:tc>
          <w:tcPr>
            <w:tcW w:w="1306" w:type="pct"/>
            <w:tcBorders>
              <w:top w:val="nil"/>
              <w:left w:val="nil"/>
              <w:bottom w:val="single" w:sz="4" w:space="0" w:color="auto"/>
              <w:right w:val="single" w:sz="4" w:space="0" w:color="auto"/>
            </w:tcBorders>
            <w:shd w:val="clear" w:color="auto" w:fill="auto"/>
            <w:noWrap/>
            <w:vAlign w:val="bottom"/>
            <w:hideMark/>
          </w:tcPr>
          <w:p w14:paraId="2956E3BC" w14:textId="6B9021B3" w:rsidR="007D380C" w:rsidRPr="009C4624" w:rsidRDefault="00256B24"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numr</w:t>
            </w:r>
            <w:r>
              <w:rPr>
                <w:rFonts w:ascii="Arial Narrow" w:hAnsi="Arial Narrow"/>
                <w:color w:val="000000"/>
                <w:sz w:val="20"/>
                <w:szCs w:val="20"/>
                <w:lang w:eastAsia="en-GB"/>
              </w:rPr>
              <w:t>i</w:t>
            </w:r>
          </w:p>
        </w:tc>
        <w:tc>
          <w:tcPr>
            <w:tcW w:w="1306" w:type="pct"/>
            <w:tcBorders>
              <w:top w:val="nil"/>
              <w:left w:val="nil"/>
              <w:bottom w:val="single" w:sz="4" w:space="0" w:color="auto"/>
              <w:right w:val="single" w:sz="4" w:space="0" w:color="auto"/>
            </w:tcBorders>
            <w:shd w:val="clear" w:color="auto" w:fill="auto"/>
            <w:noWrap/>
            <w:vAlign w:val="bottom"/>
            <w:hideMark/>
          </w:tcPr>
          <w:p w14:paraId="056B7B0B" w14:textId="4331D077" w:rsidR="007D380C" w:rsidRPr="009C4624" w:rsidRDefault="007D380C" w:rsidP="00D475C2">
            <w:pPr>
              <w:jc w:val="cente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306" w:type="pct"/>
            <w:tcBorders>
              <w:top w:val="nil"/>
              <w:left w:val="nil"/>
              <w:bottom w:val="single" w:sz="4" w:space="0" w:color="auto"/>
              <w:right w:val="single" w:sz="4" w:space="0" w:color="auto"/>
            </w:tcBorders>
            <w:shd w:val="clear" w:color="auto" w:fill="auto"/>
            <w:noWrap/>
            <w:vAlign w:val="bottom"/>
            <w:hideMark/>
          </w:tcPr>
          <w:p w14:paraId="6F060F6A" w14:textId="4568FC03" w:rsidR="007D380C" w:rsidRPr="009C4624" w:rsidRDefault="007D380C" w:rsidP="00D475C2">
            <w:pPr>
              <w:jc w:val="center"/>
              <w:rPr>
                <w:rFonts w:ascii="Arial Narrow" w:hAnsi="Arial Narrow"/>
                <w:color w:val="000000"/>
                <w:sz w:val="20"/>
                <w:szCs w:val="20"/>
                <w:lang w:eastAsia="en-GB"/>
              </w:rPr>
            </w:pPr>
            <w:r w:rsidRPr="009C4624">
              <w:rPr>
                <w:rFonts w:ascii="Arial Narrow" w:hAnsi="Arial Narrow"/>
                <w:color w:val="000000"/>
                <w:sz w:val="20"/>
                <w:szCs w:val="20"/>
                <w:lang w:eastAsia="en-GB"/>
              </w:rPr>
              <w:t>7,853</w:t>
            </w:r>
          </w:p>
        </w:tc>
      </w:tr>
      <w:tr w:rsidR="007D380C" w:rsidRPr="009C4624" w14:paraId="3F9DD988" w14:textId="77777777" w:rsidTr="00574634">
        <w:trPr>
          <w:trHeight w:val="260"/>
        </w:trPr>
        <w:tc>
          <w:tcPr>
            <w:tcW w:w="1082" w:type="pct"/>
            <w:tcBorders>
              <w:left w:val="single" w:sz="4" w:space="0" w:color="auto"/>
              <w:bottom w:val="single" w:sz="4" w:space="0" w:color="auto"/>
              <w:right w:val="single" w:sz="4" w:space="0" w:color="auto"/>
            </w:tcBorders>
            <w:shd w:val="clear" w:color="auto" w:fill="auto"/>
            <w:noWrap/>
            <w:vAlign w:val="bottom"/>
            <w:hideMark/>
          </w:tcPr>
          <w:p w14:paraId="10B6FEF2" w14:textId="77777777" w:rsidR="007D380C" w:rsidRPr="009C4624" w:rsidRDefault="007D380C"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 </w:t>
            </w:r>
          </w:p>
        </w:tc>
        <w:tc>
          <w:tcPr>
            <w:tcW w:w="1306" w:type="pct"/>
            <w:tcBorders>
              <w:top w:val="nil"/>
              <w:left w:val="nil"/>
              <w:bottom w:val="single" w:sz="4" w:space="0" w:color="auto"/>
              <w:right w:val="single" w:sz="4" w:space="0" w:color="auto"/>
            </w:tcBorders>
            <w:shd w:val="clear" w:color="auto" w:fill="auto"/>
            <w:noWrap/>
            <w:vAlign w:val="bottom"/>
            <w:hideMark/>
          </w:tcPr>
          <w:p w14:paraId="575F3107" w14:textId="6A45710D" w:rsidR="007D380C" w:rsidRPr="009C4624" w:rsidRDefault="00256B24"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 xml:space="preserve">frekuenca e </w:t>
            </w:r>
            <w:r>
              <w:rPr>
                <w:rFonts w:ascii="Arial Narrow" w:hAnsi="Arial Narrow"/>
                <w:color w:val="000000"/>
                <w:sz w:val="20"/>
                <w:szCs w:val="20"/>
                <w:lang w:eastAsia="en-GB"/>
              </w:rPr>
              <w:t>grumbullimit</w:t>
            </w:r>
          </w:p>
        </w:tc>
        <w:tc>
          <w:tcPr>
            <w:tcW w:w="1306" w:type="pct"/>
            <w:tcBorders>
              <w:top w:val="nil"/>
              <w:left w:val="nil"/>
              <w:bottom w:val="single" w:sz="4" w:space="0" w:color="auto"/>
              <w:right w:val="single" w:sz="4" w:space="0" w:color="auto"/>
            </w:tcBorders>
            <w:shd w:val="clear" w:color="auto" w:fill="auto"/>
            <w:noWrap/>
            <w:vAlign w:val="bottom"/>
            <w:hideMark/>
          </w:tcPr>
          <w:p w14:paraId="79E8AC56" w14:textId="69173E2B" w:rsidR="007D380C" w:rsidRPr="009C4624" w:rsidRDefault="007D380C" w:rsidP="00D475C2">
            <w:pPr>
              <w:jc w:val="cente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306" w:type="pct"/>
            <w:tcBorders>
              <w:top w:val="nil"/>
              <w:left w:val="nil"/>
              <w:bottom w:val="single" w:sz="4" w:space="0" w:color="auto"/>
              <w:right w:val="single" w:sz="4" w:space="0" w:color="auto"/>
            </w:tcBorders>
            <w:shd w:val="clear" w:color="auto" w:fill="auto"/>
            <w:noWrap/>
            <w:vAlign w:val="bottom"/>
            <w:hideMark/>
          </w:tcPr>
          <w:p w14:paraId="1C3BDD19" w14:textId="6EF2EDAD" w:rsidR="007D380C" w:rsidRPr="009C4624" w:rsidRDefault="00256B24" w:rsidP="00D475C2">
            <w:pPr>
              <w:jc w:val="center"/>
              <w:rPr>
                <w:rFonts w:ascii="Arial Narrow" w:hAnsi="Arial Narrow"/>
                <w:color w:val="000000"/>
                <w:sz w:val="20"/>
                <w:szCs w:val="20"/>
                <w:lang w:eastAsia="en-GB"/>
              </w:rPr>
            </w:pPr>
            <w:r>
              <w:rPr>
                <w:rFonts w:ascii="Arial Narrow" w:hAnsi="Arial Narrow"/>
                <w:color w:val="000000"/>
                <w:sz w:val="20"/>
                <w:szCs w:val="20"/>
                <w:lang w:eastAsia="en-GB"/>
              </w:rPr>
              <w:t>1</w:t>
            </w:r>
            <w:r w:rsidR="00793BDE" w:rsidRPr="009C4624">
              <w:rPr>
                <w:rFonts w:ascii="Arial Narrow" w:hAnsi="Arial Narrow"/>
                <w:color w:val="000000"/>
                <w:sz w:val="20"/>
                <w:szCs w:val="20"/>
                <w:lang w:eastAsia="en-GB"/>
              </w:rPr>
              <w:t xml:space="preserve"> herë në javë</w:t>
            </w:r>
          </w:p>
        </w:tc>
      </w:tr>
      <w:tr w:rsidR="007D380C" w:rsidRPr="009C4624" w14:paraId="4055C6FF" w14:textId="77777777" w:rsidTr="00574634">
        <w:trPr>
          <w:trHeight w:val="260"/>
        </w:trPr>
        <w:tc>
          <w:tcPr>
            <w:tcW w:w="1082" w:type="pct"/>
            <w:tcBorders>
              <w:top w:val="single" w:sz="4" w:space="0" w:color="auto"/>
              <w:left w:val="single" w:sz="4" w:space="0" w:color="auto"/>
              <w:right w:val="single" w:sz="4" w:space="0" w:color="auto"/>
            </w:tcBorders>
            <w:shd w:val="clear" w:color="auto" w:fill="auto"/>
            <w:noWrap/>
            <w:vAlign w:val="bottom"/>
            <w:hideMark/>
          </w:tcPr>
          <w:p w14:paraId="25AEFAE5" w14:textId="77777777" w:rsidR="007D380C" w:rsidRPr="009C4624" w:rsidRDefault="007D380C"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Junik</w:t>
            </w:r>
          </w:p>
        </w:tc>
        <w:tc>
          <w:tcPr>
            <w:tcW w:w="1306" w:type="pct"/>
            <w:tcBorders>
              <w:top w:val="nil"/>
              <w:left w:val="nil"/>
              <w:bottom w:val="single" w:sz="4" w:space="0" w:color="auto"/>
              <w:right w:val="single" w:sz="4" w:space="0" w:color="auto"/>
            </w:tcBorders>
            <w:shd w:val="clear" w:color="auto" w:fill="auto"/>
            <w:noWrap/>
            <w:vAlign w:val="bottom"/>
            <w:hideMark/>
          </w:tcPr>
          <w:p w14:paraId="44DBD76B" w14:textId="7F9B97E4" w:rsidR="007D380C" w:rsidRPr="009C4624" w:rsidRDefault="007D380C"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numr</w:t>
            </w:r>
            <w:r w:rsidR="00256B24">
              <w:rPr>
                <w:rFonts w:ascii="Arial Narrow" w:hAnsi="Arial Narrow"/>
                <w:color w:val="000000"/>
                <w:sz w:val="20"/>
                <w:szCs w:val="20"/>
                <w:lang w:eastAsia="en-GB"/>
              </w:rPr>
              <w:t>i</w:t>
            </w:r>
          </w:p>
        </w:tc>
        <w:tc>
          <w:tcPr>
            <w:tcW w:w="1306" w:type="pct"/>
            <w:tcBorders>
              <w:top w:val="nil"/>
              <w:left w:val="nil"/>
              <w:bottom w:val="single" w:sz="4" w:space="0" w:color="auto"/>
              <w:right w:val="single" w:sz="4" w:space="0" w:color="auto"/>
            </w:tcBorders>
            <w:shd w:val="clear" w:color="auto" w:fill="auto"/>
            <w:noWrap/>
            <w:vAlign w:val="bottom"/>
            <w:hideMark/>
          </w:tcPr>
          <w:p w14:paraId="40E3EE80" w14:textId="3BB8E8C3" w:rsidR="007D380C" w:rsidRPr="009C4624" w:rsidRDefault="007D380C" w:rsidP="00D475C2">
            <w:pPr>
              <w:jc w:val="cente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306" w:type="pct"/>
            <w:tcBorders>
              <w:top w:val="nil"/>
              <w:left w:val="nil"/>
              <w:bottom w:val="single" w:sz="4" w:space="0" w:color="auto"/>
              <w:right w:val="single" w:sz="4" w:space="0" w:color="auto"/>
            </w:tcBorders>
            <w:shd w:val="clear" w:color="auto" w:fill="auto"/>
            <w:noWrap/>
            <w:vAlign w:val="bottom"/>
            <w:hideMark/>
          </w:tcPr>
          <w:p w14:paraId="021A26F9" w14:textId="77777777" w:rsidR="007D380C" w:rsidRPr="009C4624" w:rsidRDefault="007D380C" w:rsidP="00D475C2">
            <w:pPr>
              <w:jc w:val="center"/>
              <w:rPr>
                <w:rFonts w:ascii="Arial Narrow" w:hAnsi="Arial Narrow"/>
                <w:color w:val="000000"/>
                <w:sz w:val="20"/>
                <w:szCs w:val="20"/>
                <w:lang w:eastAsia="en-GB"/>
              </w:rPr>
            </w:pPr>
            <w:r w:rsidRPr="009C4624">
              <w:rPr>
                <w:rFonts w:ascii="Arial Narrow" w:hAnsi="Arial Narrow"/>
                <w:color w:val="000000"/>
                <w:sz w:val="20"/>
                <w:szCs w:val="20"/>
                <w:lang w:eastAsia="en-GB"/>
              </w:rPr>
              <w:t>1,000</w:t>
            </w:r>
          </w:p>
        </w:tc>
      </w:tr>
      <w:tr w:rsidR="007D380C" w:rsidRPr="009C4624" w14:paraId="6EF9D1D2" w14:textId="77777777" w:rsidTr="00574634">
        <w:trPr>
          <w:trHeight w:val="260"/>
        </w:trPr>
        <w:tc>
          <w:tcPr>
            <w:tcW w:w="1082" w:type="pct"/>
            <w:tcBorders>
              <w:left w:val="single" w:sz="4" w:space="0" w:color="auto"/>
              <w:bottom w:val="single" w:sz="4" w:space="0" w:color="auto"/>
              <w:right w:val="single" w:sz="4" w:space="0" w:color="auto"/>
            </w:tcBorders>
            <w:shd w:val="clear" w:color="auto" w:fill="auto"/>
            <w:noWrap/>
            <w:vAlign w:val="bottom"/>
            <w:hideMark/>
          </w:tcPr>
          <w:p w14:paraId="35BFF960" w14:textId="77777777" w:rsidR="007D380C" w:rsidRPr="009C4624" w:rsidRDefault="007D380C"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 </w:t>
            </w:r>
          </w:p>
        </w:tc>
        <w:tc>
          <w:tcPr>
            <w:tcW w:w="1306" w:type="pct"/>
            <w:tcBorders>
              <w:top w:val="nil"/>
              <w:left w:val="nil"/>
              <w:bottom w:val="single" w:sz="4" w:space="0" w:color="auto"/>
              <w:right w:val="single" w:sz="4" w:space="0" w:color="auto"/>
            </w:tcBorders>
            <w:shd w:val="clear" w:color="auto" w:fill="auto"/>
            <w:noWrap/>
            <w:vAlign w:val="bottom"/>
            <w:hideMark/>
          </w:tcPr>
          <w:p w14:paraId="20CEBAC8" w14:textId="2BBF15CC" w:rsidR="007D380C" w:rsidRPr="009C4624" w:rsidRDefault="00256B24"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 xml:space="preserve">frekuenca e </w:t>
            </w:r>
            <w:r>
              <w:rPr>
                <w:rFonts w:ascii="Arial Narrow" w:hAnsi="Arial Narrow"/>
                <w:color w:val="000000"/>
                <w:sz w:val="20"/>
                <w:szCs w:val="20"/>
                <w:lang w:eastAsia="en-GB"/>
              </w:rPr>
              <w:t>grumbullimit</w:t>
            </w:r>
          </w:p>
        </w:tc>
        <w:tc>
          <w:tcPr>
            <w:tcW w:w="1306" w:type="pct"/>
            <w:tcBorders>
              <w:top w:val="nil"/>
              <w:left w:val="nil"/>
              <w:bottom w:val="single" w:sz="4" w:space="0" w:color="auto"/>
              <w:right w:val="single" w:sz="4" w:space="0" w:color="auto"/>
            </w:tcBorders>
            <w:shd w:val="clear" w:color="auto" w:fill="auto"/>
            <w:noWrap/>
            <w:vAlign w:val="bottom"/>
            <w:hideMark/>
          </w:tcPr>
          <w:p w14:paraId="35E05B81" w14:textId="3FC66552" w:rsidR="007D380C" w:rsidRPr="009C4624" w:rsidRDefault="007D380C" w:rsidP="00D475C2">
            <w:pPr>
              <w:jc w:val="cente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306" w:type="pct"/>
            <w:tcBorders>
              <w:top w:val="nil"/>
              <w:left w:val="nil"/>
              <w:bottom w:val="single" w:sz="4" w:space="0" w:color="auto"/>
              <w:right w:val="single" w:sz="4" w:space="0" w:color="auto"/>
            </w:tcBorders>
            <w:shd w:val="clear" w:color="auto" w:fill="auto"/>
            <w:noWrap/>
            <w:vAlign w:val="bottom"/>
            <w:hideMark/>
          </w:tcPr>
          <w:p w14:paraId="11F494B6" w14:textId="77777777" w:rsidR="007D380C" w:rsidRPr="009C4624" w:rsidRDefault="007D380C" w:rsidP="00D475C2">
            <w:pPr>
              <w:jc w:val="center"/>
              <w:rPr>
                <w:rFonts w:ascii="Arial Narrow" w:hAnsi="Arial Narrow"/>
                <w:color w:val="000000"/>
                <w:sz w:val="20"/>
                <w:szCs w:val="20"/>
                <w:lang w:eastAsia="en-GB"/>
              </w:rPr>
            </w:pPr>
            <w:r w:rsidRPr="009C4624">
              <w:rPr>
                <w:rFonts w:ascii="Arial Narrow" w:hAnsi="Arial Narrow"/>
                <w:color w:val="000000"/>
                <w:sz w:val="20"/>
                <w:szCs w:val="20"/>
                <w:lang w:eastAsia="en-GB"/>
              </w:rPr>
              <w:t>një herë në javë</w:t>
            </w:r>
          </w:p>
        </w:tc>
      </w:tr>
    </w:tbl>
    <w:p w14:paraId="3315147B" w14:textId="0558DBAA" w:rsidR="00574634" w:rsidRPr="00574634" w:rsidRDefault="00574634" w:rsidP="00106238">
      <w:pPr>
        <w:pStyle w:val="source0"/>
      </w:pPr>
      <w:r w:rsidRPr="00574634">
        <w:t>Burimi: të dhëna</w:t>
      </w:r>
      <w:r w:rsidR="00256B24">
        <w:t>t</w:t>
      </w:r>
      <w:r w:rsidRPr="00574634">
        <w:t xml:space="preserve"> nga </w:t>
      </w:r>
      <w:r w:rsidR="00256B24">
        <w:t>komunat</w:t>
      </w:r>
      <w:r w:rsidRPr="00574634">
        <w:t xml:space="preserve"> (2024)</w:t>
      </w:r>
    </w:p>
    <w:p w14:paraId="696802A1" w14:textId="77777777" w:rsidR="007F50ED" w:rsidRDefault="007F50ED" w:rsidP="007F50ED">
      <w:pPr>
        <w:suppressAutoHyphens/>
        <w:rPr>
          <w:rFonts w:ascii="Arial Narrow" w:eastAsia="Calibri" w:hAnsi="Arial Narrow" w:cs="Calibri"/>
          <w:color w:val="1F497D"/>
          <w:sz w:val="20"/>
          <w:szCs w:val="20"/>
        </w:rPr>
      </w:pPr>
    </w:p>
    <w:p w14:paraId="3B0B303A" w14:textId="48DA7E0E" w:rsidR="00D475C2" w:rsidRPr="007F50ED" w:rsidRDefault="00D475C2" w:rsidP="007F50ED">
      <w:pPr>
        <w:suppressAutoHyphens/>
        <w:rPr>
          <w:rFonts w:ascii="Arial Narrow" w:eastAsia="Calibri" w:hAnsi="Arial Narrow" w:cs="Calibri"/>
          <w:color w:val="1F497D"/>
          <w:sz w:val="20"/>
          <w:szCs w:val="20"/>
        </w:rPr>
      </w:pPr>
      <w:bookmarkStart w:id="196" w:name="_Toc197472212"/>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27.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 xml:space="preserve">Kontejnerët e </w:t>
      </w:r>
      <w:r w:rsidR="00256B24">
        <w:rPr>
          <w:rFonts w:ascii="Arial Narrow" w:eastAsia="Calibri" w:hAnsi="Arial Narrow" w:cs="Calibri"/>
          <w:color w:val="1F497D"/>
          <w:sz w:val="20"/>
          <w:szCs w:val="20"/>
        </w:rPr>
        <w:t>grumbullimit</w:t>
      </w:r>
      <w:r w:rsidRPr="007F50ED">
        <w:rPr>
          <w:rFonts w:ascii="Arial Narrow" w:eastAsia="Calibri" w:hAnsi="Arial Narrow" w:cs="Calibri"/>
          <w:color w:val="1F497D"/>
          <w:sz w:val="20"/>
          <w:szCs w:val="20"/>
        </w:rPr>
        <w:t xml:space="preserve"> </w:t>
      </w:r>
      <w:r w:rsidR="00256B24">
        <w:rPr>
          <w:rFonts w:ascii="Arial Narrow" w:eastAsia="Calibri" w:hAnsi="Arial Narrow" w:cs="Calibri"/>
          <w:color w:val="1F497D"/>
          <w:sz w:val="20"/>
          <w:szCs w:val="20"/>
        </w:rPr>
        <w:t>t</w:t>
      </w:r>
      <w:r w:rsidRPr="007F50ED">
        <w:rPr>
          <w:rFonts w:ascii="Arial Narrow" w:eastAsia="Calibri" w:hAnsi="Arial Narrow" w:cs="Calibri"/>
          <w:color w:val="1F497D"/>
          <w:sz w:val="20"/>
          <w:szCs w:val="20"/>
        </w:rPr>
        <w:t>ë mbeturinave për biznese dhe institucione</w:t>
      </w:r>
      <w:bookmarkEnd w:id="196"/>
    </w:p>
    <w:tbl>
      <w:tblPr>
        <w:tblW w:w="9209" w:type="dxa"/>
        <w:tblLook w:val="04A0" w:firstRow="1" w:lastRow="0" w:firstColumn="1" w:lastColumn="0" w:noHBand="0" w:noVBand="1"/>
      </w:tblPr>
      <w:tblGrid>
        <w:gridCol w:w="1129"/>
        <w:gridCol w:w="2196"/>
        <w:gridCol w:w="1807"/>
        <w:gridCol w:w="1273"/>
        <w:gridCol w:w="1387"/>
        <w:gridCol w:w="1417"/>
      </w:tblGrid>
      <w:tr w:rsidR="00CB1C2A" w:rsidRPr="00CB1C2A" w14:paraId="34F4E259" w14:textId="77777777" w:rsidTr="00905EE4">
        <w:trPr>
          <w:trHeight w:val="260"/>
          <w:tblHeader/>
        </w:trPr>
        <w:tc>
          <w:tcPr>
            <w:tcW w:w="1129" w:type="dxa"/>
            <w:tcBorders>
              <w:top w:val="single" w:sz="4" w:space="0" w:color="auto"/>
              <w:left w:val="single" w:sz="4" w:space="0" w:color="auto"/>
              <w:bottom w:val="single" w:sz="4" w:space="0" w:color="auto"/>
              <w:right w:val="single" w:sz="4" w:space="0" w:color="auto"/>
            </w:tcBorders>
            <w:shd w:val="clear" w:color="auto" w:fill="365F91"/>
            <w:noWrap/>
            <w:hideMark/>
          </w:tcPr>
          <w:p w14:paraId="532CE6F7" w14:textId="02029604" w:rsidR="00D475C2" w:rsidRPr="00CB1C2A" w:rsidRDefault="00256B24" w:rsidP="00D475C2">
            <w:pPr>
              <w:rPr>
                <w:rFonts w:ascii="Arial Narrow" w:hAnsi="Arial Narrow"/>
                <w:b/>
                <w:bCs/>
                <w:color w:val="FFFFFF" w:themeColor="background1"/>
                <w:sz w:val="20"/>
                <w:szCs w:val="20"/>
                <w:lang w:eastAsia="en-GB"/>
              </w:rPr>
            </w:pPr>
            <w:r>
              <w:rPr>
                <w:rFonts w:ascii="Arial Narrow" w:hAnsi="Arial Narrow"/>
                <w:b/>
                <w:bCs/>
                <w:color w:val="FFFFFF" w:themeColor="background1"/>
                <w:sz w:val="20"/>
                <w:szCs w:val="20"/>
                <w:lang w:eastAsia="en-GB"/>
              </w:rPr>
              <w:t>Komuna</w:t>
            </w:r>
          </w:p>
        </w:tc>
        <w:tc>
          <w:tcPr>
            <w:tcW w:w="2196" w:type="dxa"/>
            <w:tcBorders>
              <w:top w:val="single" w:sz="4" w:space="0" w:color="auto"/>
              <w:left w:val="nil"/>
              <w:bottom w:val="single" w:sz="4" w:space="0" w:color="auto"/>
              <w:right w:val="single" w:sz="4" w:space="0" w:color="auto"/>
            </w:tcBorders>
            <w:shd w:val="clear" w:color="auto" w:fill="365F91"/>
            <w:noWrap/>
            <w:hideMark/>
          </w:tcPr>
          <w:p w14:paraId="7CA58052" w14:textId="3FDD68FC" w:rsidR="00D475C2" w:rsidRPr="00CB1C2A" w:rsidRDefault="00D475C2" w:rsidP="00D475C2">
            <w:pPr>
              <w:jc w:val="center"/>
              <w:rPr>
                <w:rFonts w:ascii="Arial Narrow" w:hAnsi="Arial Narrow"/>
                <w:b/>
                <w:bCs/>
                <w:color w:val="FFFFFF" w:themeColor="background1"/>
                <w:sz w:val="20"/>
                <w:szCs w:val="20"/>
                <w:lang w:eastAsia="en-GB"/>
              </w:rPr>
            </w:pPr>
            <w:r w:rsidRPr="00CB1C2A">
              <w:rPr>
                <w:rFonts w:ascii="Arial Narrow" w:hAnsi="Arial Narrow"/>
                <w:b/>
                <w:bCs/>
                <w:color w:val="FFFFFF" w:themeColor="background1"/>
                <w:sz w:val="20"/>
                <w:szCs w:val="20"/>
                <w:lang w:eastAsia="en-GB"/>
              </w:rPr>
              <w:t>Ma</w:t>
            </w:r>
            <w:r w:rsidR="00256B24">
              <w:rPr>
                <w:rFonts w:ascii="Arial Narrow" w:hAnsi="Arial Narrow"/>
                <w:b/>
                <w:bCs/>
                <w:color w:val="FFFFFF" w:themeColor="background1"/>
                <w:sz w:val="20"/>
                <w:szCs w:val="20"/>
                <w:lang w:eastAsia="en-GB"/>
              </w:rPr>
              <w:t>sa</w:t>
            </w:r>
          </w:p>
        </w:tc>
        <w:tc>
          <w:tcPr>
            <w:tcW w:w="1807" w:type="dxa"/>
            <w:tcBorders>
              <w:top w:val="single" w:sz="4" w:space="0" w:color="auto"/>
              <w:left w:val="nil"/>
              <w:bottom w:val="single" w:sz="4" w:space="0" w:color="auto"/>
              <w:right w:val="single" w:sz="4" w:space="0" w:color="auto"/>
            </w:tcBorders>
            <w:shd w:val="clear" w:color="auto" w:fill="365F91"/>
            <w:noWrap/>
            <w:hideMark/>
          </w:tcPr>
          <w:p w14:paraId="7438CDE3" w14:textId="2C1169E2" w:rsidR="00D475C2" w:rsidRPr="00CB1C2A" w:rsidRDefault="00D475C2" w:rsidP="00D475C2">
            <w:pPr>
              <w:jc w:val="center"/>
              <w:rPr>
                <w:rFonts w:ascii="Arial Narrow" w:hAnsi="Arial Narrow"/>
                <w:b/>
                <w:bCs/>
                <w:color w:val="FFFFFF" w:themeColor="background1"/>
                <w:sz w:val="20"/>
                <w:szCs w:val="20"/>
                <w:lang w:eastAsia="en-GB"/>
              </w:rPr>
            </w:pPr>
            <w:r w:rsidRPr="00CB1C2A">
              <w:rPr>
                <w:rFonts w:ascii="Arial Narrow" w:hAnsi="Arial Narrow"/>
                <w:b/>
                <w:bCs/>
                <w:color w:val="FFFFFF" w:themeColor="background1"/>
                <w:sz w:val="20"/>
                <w:szCs w:val="20"/>
                <w:lang w:eastAsia="en-GB"/>
              </w:rPr>
              <w:t>1.1 m</w:t>
            </w:r>
            <w:r w:rsidRPr="00CB1C2A">
              <w:rPr>
                <w:rFonts w:ascii="Arial Narrow" w:hAnsi="Arial Narrow"/>
                <w:b/>
                <w:bCs/>
                <w:color w:val="FFFFFF" w:themeColor="background1"/>
                <w:sz w:val="20"/>
                <w:szCs w:val="20"/>
                <w:vertAlign w:val="superscript"/>
                <w:lang w:eastAsia="en-GB"/>
              </w:rPr>
              <w:t>3</w:t>
            </w:r>
          </w:p>
        </w:tc>
        <w:tc>
          <w:tcPr>
            <w:tcW w:w="1273" w:type="dxa"/>
            <w:tcBorders>
              <w:top w:val="single" w:sz="4" w:space="0" w:color="auto"/>
              <w:left w:val="nil"/>
              <w:bottom w:val="single" w:sz="4" w:space="0" w:color="auto"/>
              <w:right w:val="single" w:sz="4" w:space="0" w:color="auto"/>
            </w:tcBorders>
            <w:shd w:val="clear" w:color="auto" w:fill="365F91"/>
            <w:noWrap/>
            <w:hideMark/>
          </w:tcPr>
          <w:p w14:paraId="423F604C" w14:textId="77777777" w:rsidR="00D475C2" w:rsidRPr="00CB1C2A" w:rsidRDefault="00D475C2" w:rsidP="00D475C2">
            <w:pPr>
              <w:jc w:val="center"/>
              <w:rPr>
                <w:rFonts w:ascii="Arial Narrow" w:hAnsi="Arial Narrow"/>
                <w:b/>
                <w:bCs/>
                <w:color w:val="FFFFFF" w:themeColor="background1"/>
                <w:sz w:val="20"/>
                <w:szCs w:val="20"/>
                <w:lang w:eastAsia="en-GB"/>
              </w:rPr>
            </w:pPr>
            <w:r w:rsidRPr="00CB1C2A">
              <w:rPr>
                <w:rFonts w:ascii="Arial Narrow" w:hAnsi="Arial Narrow"/>
                <w:b/>
                <w:bCs/>
                <w:color w:val="FFFFFF" w:themeColor="background1"/>
                <w:sz w:val="20"/>
                <w:szCs w:val="20"/>
                <w:lang w:eastAsia="en-GB"/>
              </w:rPr>
              <w:t>240 litra</w:t>
            </w:r>
          </w:p>
        </w:tc>
        <w:tc>
          <w:tcPr>
            <w:tcW w:w="1387" w:type="dxa"/>
            <w:tcBorders>
              <w:top w:val="single" w:sz="4" w:space="0" w:color="auto"/>
              <w:left w:val="nil"/>
              <w:bottom w:val="single" w:sz="4" w:space="0" w:color="auto"/>
              <w:right w:val="single" w:sz="4" w:space="0" w:color="auto"/>
            </w:tcBorders>
            <w:shd w:val="clear" w:color="auto" w:fill="365F91"/>
            <w:noWrap/>
            <w:hideMark/>
          </w:tcPr>
          <w:p w14:paraId="145E0D91" w14:textId="77777777" w:rsidR="00D475C2" w:rsidRPr="00CB1C2A" w:rsidRDefault="00D475C2" w:rsidP="00D475C2">
            <w:pPr>
              <w:jc w:val="center"/>
              <w:rPr>
                <w:rFonts w:ascii="Arial Narrow" w:hAnsi="Arial Narrow"/>
                <w:b/>
                <w:bCs/>
                <w:color w:val="FFFFFF" w:themeColor="background1"/>
                <w:sz w:val="20"/>
                <w:szCs w:val="20"/>
                <w:lang w:eastAsia="en-GB"/>
              </w:rPr>
            </w:pPr>
            <w:r w:rsidRPr="00CB1C2A">
              <w:rPr>
                <w:rFonts w:ascii="Arial Narrow" w:hAnsi="Arial Narrow"/>
                <w:b/>
                <w:bCs/>
                <w:color w:val="FFFFFF" w:themeColor="background1"/>
                <w:sz w:val="20"/>
                <w:szCs w:val="20"/>
                <w:lang w:eastAsia="en-GB"/>
              </w:rPr>
              <w:t>120 litra</w:t>
            </w:r>
          </w:p>
        </w:tc>
        <w:tc>
          <w:tcPr>
            <w:tcW w:w="1417" w:type="dxa"/>
            <w:tcBorders>
              <w:top w:val="single" w:sz="4" w:space="0" w:color="auto"/>
              <w:left w:val="nil"/>
              <w:bottom w:val="single" w:sz="4" w:space="0" w:color="auto"/>
              <w:right w:val="single" w:sz="4" w:space="0" w:color="auto"/>
            </w:tcBorders>
            <w:shd w:val="clear" w:color="auto" w:fill="365F91"/>
            <w:noWrap/>
            <w:hideMark/>
          </w:tcPr>
          <w:p w14:paraId="773B31DD" w14:textId="6A8C7B0B" w:rsidR="00D475C2" w:rsidRPr="00CB1C2A" w:rsidRDefault="00D475C2" w:rsidP="00D475C2">
            <w:pPr>
              <w:jc w:val="center"/>
              <w:rPr>
                <w:rFonts w:ascii="Arial Narrow" w:hAnsi="Arial Narrow"/>
                <w:b/>
                <w:bCs/>
                <w:color w:val="FFFFFF" w:themeColor="background1"/>
                <w:sz w:val="20"/>
                <w:szCs w:val="20"/>
                <w:lang w:eastAsia="en-GB"/>
              </w:rPr>
            </w:pPr>
            <w:r w:rsidRPr="00CB1C2A">
              <w:rPr>
                <w:rFonts w:ascii="Arial Narrow" w:hAnsi="Arial Narrow"/>
                <w:b/>
                <w:bCs/>
                <w:color w:val="FFFFFF" w:themeColor="background1"/>
                <w:sz w:val="20"/>
                <w:szCs w:val="20"/>
                <w:lang w:eastAsia="en-GB"/>
              </w:rPr>
              <w:t>&gt;</w:t>
            </w:r>
            <w:r w:rsidR="00256B24">
              <w:rPr>
                <w:rFonts w:ascii="Arial Narrow" w:hAnsi="Arial Narrow"/>
                <w:b/>
                <w:bCs/>
                <w:color w:val="FFFFFF" w:themeColor="background1"/>
                <w:sz w:val="20"/>
                <w:szCs w:val="20"/>
                <w:lang w:eastAsia="en-GB"/>
              </w:rPr>
              <w:t xml:space="preserve"> </w:t>
            </w:r>
            <w:r w:rsidRPr="00CB1C2A">
              <w:rPr>
                <w:rFonts w:ascii="Arial Narrow" w:hAnsi="Arial Narrow"/>
                <w:b/>
                <w:bCs/>
                <w:color w:val="FFFFFF" w:themeColor="background1"/>
                <w:sz w:val="20"/>
                <w:szCs w:val="20"/>
                <w:lang w:eastAsia="en-GB"/>
              </w:rPr>
              <w:t>4</w:t>
            </w:r>
            <w:r w:rsidR="00256B24" w:rsidRPr="00CB1C2A">
              <w:rPr>
                <w:rFonts w:ascii="Arial Narrow" w:hAnsi="Arial Narrow"/>
                <w:b/>
                <w:bCs/>
                <w:color w:val="FFFFFF" w:themeColor="background1"/>
                <w:sz w:val="20"/>
                <w:szCs w:val="20"/>
                <w:lang w:eastAsia="en-GB"/>
              </w:rPr>
              <w:t xml:space="preserve"> m</w:t>
            </w:r>
            <w:r w:rsidR="00256B24" w:rsidRPr="00CB1C2A">
              <w:rPr>
                <w:rFonts w:ascii="Arial Narrow" w:hAnsi="Arial Narrow"/>
                <w:b/>
                <w:bCs/>
                <w:color w:val="FFFFFF" w:themeColor="background1"/>
                <w:sz w:val="20"/>
                <w:szCs w:val="20"/>
                <w:vertAlign w:val="superscript"/>
                <w:lang w:eastAsia="en-GB"/>
              </w:rPr>
              <w:t>3</w:t>
            </w:r>
          </w:p>
        </w:tc>
      </w:tr>
      <w:tr w:rsidR="00D475C2" w:rsidRPr="009C4624" w14:paraId="3FCF6932" w14:textId="77777777" w:rsidTr="00905EE4">
        <w:trPr>
          <w:trHeight w:val="260"/>
        </w:trPr>
        <w:tc>
          <w:tcPr>
            <w:tcW w:w="1129" w:type="dxa"/>
            <w:tcBorders>
              <w:top w:val="single" w:sz="4" w:space="0" w:color="auto"/>
              <w:left w:val="single" w:sz="4" w:space="0" w:color="auto"/>
              <w:right w:val="single" w:sz="4" w:space="0" w:color="auto"/>
            </w:tcBorders>
            <w:shd w:val="clear" w:color="auto" w:fill="auto"/>
            <w:noWrap/>
            <w:hideMark/>
          </w:tcPr>
          <w:p w14:paraId="319C3BF0"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Pejë</w:t>
            </w:r>
          </w:p>
        </w:tc>
        <w:tc>
          <w:tcPr>
            <w:tcW w:w="2196" w:type="dxa"/>
            <w:tcBorders>
              <w:top w:val="nil"/>
              <w:left w:val="nil"/>
              <w:bottom w:val="single" w:sz="4" w:space="0" w:color="auto"/>
              <w:right w:val="single" w:sz="4" w:space="0" w:color="auto"/>
            </w:tcBorders>
            <w:shd w:val="clear" w:color="auto" w:fill="auto"/>
            <w:noWrap/>
            <w:hideMark/>
          </w:tcPr>
          <w:p w14:paraId="51B4243A" w14:textId="58F0AC26" w:rsidR="00D475C2" w:rsidRPr="009C4624" w:rsidRDefault="00256B24"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numr</w:t>
            </w:r>
            <w:r>
              <w:rPr>
                <w:rFonts w:ascii="Arial Narrow" w:hAnsi="Arial Narrow"/>
                <w:color w:val="000000"/>
                <w:sz w:val="20"/>
                <w:szCs w:val="20"/>
                <w:lang w:eastAsia="en-GB"/>
              </w:rPr>
              <w:t>i</w:t>
            </w:r>
          </w:p>
        </w:tc>
        <w:tc>
          <w:tcPr>
            <w:tcW w:w="1807" w:type="dxa"/>
            <w:tcBorders>
              <w:top w:val="nil"/>
              <w:left w:val="nil"/>
              <w:bottom w:val="single" w:sz="4" w:space="0" w:color="auto"/>
              <w:right w:val="single" w:sz="4" w:space="0" w:color="auto"/>
            </w:tcBorders>
            <w:shd w:val="clear" w:color="auto" w:fill="auto"/>
            <w:noWrap/>
            <w:hideMark/>
          </w:tcPr>
          <w:p w14:paraId="06DEAE33"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390</w:t>
            </w:r>
          </w:p>
        </w:tc>
        <w:tc>
          <w:tcPr>
            <w:tcW w:w="1273" w:type="dxa"/>
            <w:tcBorders>
              <w:top w:val="nil"/>
              <w:left w:val="nil"/>
              <w:bottom w:val="single" w:sz="4" w:space="0" w:color="auto"/>
              <w:right w:val="single" w:sz="4" w:space="0" w:color="auto"/>
            </w:tcBorders>
            <w:shd w:val="clear" w:color="auto" w:fill="auto"/>
            <w:noWrap/>
            <w:hideMark/>
          </w:tcPr>
          <w:p w14:paraId="27CD87F0"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850</w:t>
            </w:r>
          </w:p>
        </w:tc>
        <w:tc>
          <w:tcPr>
            <w:tcW w:w="1387" w:type="dxa"/>
            <w:tcBorders>
              <w:top w:val="nil"/>
              <w:left w:val="nil"/>
              <w:bottom w:val="single" w:sz="4" w:space="0" w:color="auto"/>
              <w:right w:val="single" w:sz="4" w:space="0" w:color="auto"/>
            </w:tcBorders>
            <w:shd w:val="clear" w:color="auto" w:fill="auto"/>
            <w:noWrap/>
            <w:hideMark/>
          </w:tcPr>
          <w:p w14:paraId="12E4B883" w14:textId="15F7F26D"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417" w:type="dxa"/>
            <w:tcBorders>
              <w:top w:val="nil"/>
              <w:left w:val="nil"/>
              <w:bottom w:val="single" w:sz="4" w:space="0" w:color="auto"/>
              <w:right w:val="single" w:sz="4" w:space="0" w:color="auto"/>
            </w:tcBorders>
            <w:shd w:val="clear" w:color="auto" w:fill="auto"/>
            <w:noWrap/>
            <w:hideMark/>
          </w:tcPr>
          <w:p w14:paraId="6B874783"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45</w:t>
            </w:r>
          </w:p>
        </w:tc>
      </w:tr>
      <w:tr w:rsidR="00D475C2" w:rsidRPr="009C4624" w14:paraId="692DF2C6" w14:textId="77777777" w:rsidTr="00905EE4">
        <w:trPr>
          <w:trHeight w:val="260"/>
        </w:trPr>
        <w:tc>
          <w:tcPr>
            <w:tcW w:w="1129" w:type="dxa"/>
            <w:tcBorders>
              <w:left w:val="single" w:sz="4" w:space="0" w:color="auto"/>
              <w:bottom w:val="single" w:sz="4" w:space="0" w:color="auto"/>
              <w:right w:val="single" w:sz="4" w:space="0" w:color="auto"/>
            </w:tcBorders>
            <w:shd w:val="clear" w:color="auto" w:fill="auto"/>
            <w:noWrap/>
            <w:hideMark/>
          </w:tcPr>
          <w:p w14:paraId="13037FB4"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 </w:t>
            </w:r>
          </w:p>
        </w:tc>
        <w:tc>
          <w:tcPr>
            <w:tcW w:w="2196" w:type="dxa"/>
            <w:tcBorders>
              <w:top w:val="nil"/>
              <w:left w:val="nil"/>
              <w:bottom w:val="single" w:sz="4" w:space="0" w:color="auto"/>
              <w:right w:val="single" w:sz="4" w:space="0" w:color="auto"/>
            </w:tcBorders>
            <w:shd w:val="clear" w:color="auto" w:fill="auto"/>
            <w:noWrap/>
            <w:hideMark/>
          </w:tcPr>
          <w:p w14:paraId="0846DC62" w14:textId="29EE8999" w:rsidR="00D475C2" w:rsidRPr="009C4624" w:rsidRDefault="00256B24"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 xml:space="preserve">frekuenca e </w:t>
            </w:r>
            <w:r>
              <w:rPr>
                <w:rFonts w:ascii="Arial Narrow" w:hAnsi="Arial Narrow"/>
                <w:color w:val="000000"/>
                <w:sz w:val="20"/>
                <w:szCs w:val="20"/>
                <w:lang w:eastAsia="en-GB"/>
              </w:rPr>
              <w:t>grumbullimit</w:t>
            </w:r>
          </w:p>
        </w:tc>
        <w:tc>
          <w:tcPr>
            <w:tcW w:w="1807" w:type="dxa"/>
            <w:tcBorders>
              <w:top w:val="nil"/>
              <w:left w:val="nil"/>
              <w:bottom w:val="single" w:sz="4" w:space="0" w:color="auto"/>
              <w:right w:val="single" w:sz="4" w:space="0" w:color="auto"/>
            </w:tcBorders>
            <w:shd w:val="clear" w:color="auto" w:fill="auto"/>
            <w:noWrap/>
            <w:hideMark/>
          </w:tcPr>
          <w:p w14:paraId="218153BA"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me kontratë</w:t>
            </w:r>
          </w:p>
        </w:tc>
        <w:tc>
          <w:tcPr>
            <w:tcW w:w="1273" w:type="dxa"/>
            <w:tcBorders>
              <w:top w:val="nil"/>
              <w:left w:val="nil"/>
              <w:bottom w:val="single" w:sz="4" w:space="0" w:color="auto"/>
              <w:right w:val="single" w:sz="4" w:space="0" w:color="auto"/>
            </w:tcBorders>
            <w:shd w:val="clear" w:color="auto" w:fill="auto"/>
            <w:noWrap/>
            <w:hideMark/>
          </w:tcPr>
          <w:p w14:paraId="7975BBEB" w14:textId="3AC1860D" w:rsidR="00D475C2" w:rsidRPr="009C4624" w:rsidRDefault="00905EE4" w:rsidP="00D475C2">
            <w:pPr>
              <w:rPr>
                <w:rFonts w:ascii="Arial Narrow" w:hAnsi="Arial Narrow"/>
                <w:color w:val="000000"/>
                <w:sz w:val="20"/>
                <w:szCs w:val="20"/>
                <w:lang w:eastAsia="en-GB"/>
              </w:rPr>
            </w:pPr>
            <w:r>
              <w:rPr>
                <w:rFonts w:ascii="Arial Narrow" w:hAnsi="Arial Narrow"/>
                <w:color w:val="000000"/>
                <w:sz w:val="20"/>
                <w:szCs w:val="20"/>
                <w:lang w:eastAsia="en-GB"/>
              </w:rPr>
              <w:t>1</w:t>
            </w:r>
            <w:r w:rsidR="00D475C2" w:rsidRPr="009C4624">
              <w:rPr>
                <w:rFonts w:ascii="Arial Narrow" w:hAnsi="Arial Narrow"/>
                <w:color w:val="000000"/>
                <w:sz w:val="20"/>
                <w:szCs w:val="20"/>
                <w:lang w:eastAsia="en-GB"/>
              </w:rPr>
              <w:t xml:space="preserve"> herë në javë</w:t>
            </w:r>
          </w:p>
        </w:tc>
        <w:tc>
          <w:tcPr>
            <w:tcW w:w="1387" w:type="dxa"/>
            <w:tcBorders>
              <w:top w:val="nil"/>
              <w:left w:val="nil"/>
              <w:bottom w:val="single" w:sz="4" w:space="0" w:color="auto"/>
              <w:right w:val="single" w:sz="4" w:space="0" w:color="auto"/>
            </w:tcBorders>
            <w:shd w:val="clear" w:color="auto" w:fill="auto"/>
            <w:noWrap/>
            <w:hideMark/>
          </w:tcPr>
          <w:p w14:paraId="34B70CCD" w14:textId="0AC07FEA"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417" w:type="dxa"/>
            <w:tcBorders>
              <w:top w:val="nil"/>
              <w:left w:val="nil"/>
              <w:bottom w:val="single" w:sz="4" w:space="0" w:color="auto"/>
              <w:right w:val="single" w:sz="4" w:space="0" w:color="auto"/>
            </w:tcBorders>
            <w:shd w:val="clear" w:color="auto" w:fill="auto"/>
            <w:noWrap/>
            <w:hideMark/>
          </w:tcPr>
          <w:p w14:paraId="6D72D3A2" w14:textId="38723BF9" w:rsidR="00D475C2" w:rsidRPr="009C4624" w:rsidRDefault="00905EE4" w:rsidP="00D475C2">
            <w:pPr>
              <w:rPr>
                <w:rFonts w:ascii="Arial Narrow" w:hAnsi="Arial Narrow"/>
                <w:color w:val="000000"/>
                <w:sz w:val="20"/>
                <w:szCs w:val="20"/>
                <w:lang w:eastAsia="en-GB"/>
              </w:rPr>
            </w:pPr>
            <w:r>
              <w:rPr>
                <w:rFonts w:ascii="Arial Narrow" w:hAnsi="Arial Narrow"/>
                <w:color w:val="000000"/>
                <w:sz w:val="20"/>
                <w:szCs w:val="20"/>
                <w:lang w:eastAsia="en-GB"/>
              </w:rPr>
              <w:t>sipas</w:t>
            </w:r>
            <w:r w:rsidR="00D475C2" w:rsidRPr="009C4624">
              <w:rPr>
                <w:rFonts w:ascii="Arial Narrow" w:hAnsi="Arial Narrow"/>
                <w:color w:val="000000"/>
                <w:sz w:val="20"/>
                <w:szCs w:val="20"/>
                <w:lang w:eastAsia="en-GB"/>
              </w:rPr>
              <w:t xml:space="preserve"> kërkesë</w:t>
            </w:r>
            <w:r>
              <w:rPr>
                <w:rFonts w:ascii="Arial Narrow" w:hAnsi="Arial Narrow"/>
                <w:color w:val="000000"/>
                <w:sz w:val="20"/>
                <w:szCs w:val="20"/>
                <w:lang w:eastAsia="en-GB"/>
              </w:rPr>
              <w:t>s</w:t>
            </w:r>
          </w:p>
        </w:tc>
      </w:tr>
      <w:tr w:rsidR="00D475C2" w:rsidRPr="009C4624" w14:paraId="5B301504" w14:textId="77777777" w:rsidTr="00905EE4">
        <w:trPr>
          <w:trHeight w:val="260"/>
        </w:trPr>
        <w:tc>
          <w:tcPr>
            <w:tcW w:w="1129" w:type="dxa"/>
            <w:tcBorders>
              <w:top w:val="single" w:sz="4" w:space="0" w:color="auto"/>
              <w:left w:val="single" w:sz="4" w:space="0" w:color="auto"/>
              <w:right w:val="single" w:sz="4" w:space="0" w:color="auto"/>
            </w:tcBorders>
            <w:shd w:val="clear" w:color="auto" w:fill="auto"/>
            <w:noWrap/>
            <w:hideMark/>
          </w:tcPr>
          <w:p w14:paraId="22C778C3"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Istog</w:t>
            </w:r>
          </w:p>
        </w:tc>
        <w:tc>
          <w:tcPr>
            <w:tcW w:w="2196" w:type="dxa"/>
            <w:tcBorders>
              <w:top w:val="nil"/>
              <w:left w:val="nil"/>
              <w:bottom w:val="single" w:sz="4" w:space="0" w:color="auto"/>
              <w:right w:val="single" w:sz="4" w:space="0" w:color="auto"/>
            </w:tcBorders>
            <w:shd w:val="clear" w:color="auto" w:fill="auto"/>
            <w:noWrap/>
            <w:hideMark/>
          </w:tcPr>
          <w:p w14:paraId="59709AB8" w14:textId="0A3A8DD3" w:rsidR="00D475C2" w:rsidRPr="009C4624" w:rsidRDefault="00256B24"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numr</w:t>
            </w:r>
            <w:r>
              <w:rPr>
                <w:rFonts w:ascii="Arial Narrow" w:hAnsi="Arial Narrow"/>
                <w:color w:val="000000"/>
                <w:sz w:val="20"/>
                <w:szCs w:val="20"/>
                <w:lang w:eastAsia="en-GB"/>
              </w:rPr>
              <w:t>i</w:t>
            </w:r>
          </w:p>
        </w:tc>
        <w:tc>
          <w:tcPr>
            <w:tcW w:w="1807" w:type="dxa"/>
            <w:tcBorders>
              <w:top w:val="nil"/>
              <w:left w:val="nil"/>
              <w:bottom w:val="single" w:sz="4" w:space="0" w:color="auto"/>
              <w:right w:val="single" w:sz="4" w:space="0" w:color="auto"/>
            </w:tcBorders>
            <w:shd w:val="clear" w:color="auto" w:fill="auto"/>
            <w:noWrap/>
            <w:hideMark/>
          </w:tcPr>
          <w:p w14:paraId="4FEC626E"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150</w:t>
            </w:r>
          </w:p>
        </w:tc>
        <w:tc>
          <w:tcPr>
            <w:tcW w:w="1273" w:type="dxa"/>
            <w:tcBorders>
              <w:top w:val="nil"/>
              <w:left w:val="nil"/>
              <w:bottom w:val="single" w:sz="4" w:space="0" w:color="auto"/>
              <w:right w:val="single" w:sz="4" w:space="0" w:color="auto"/>
            </w:tcBorders>
            <w:shd w:val="clear" w:color="auto" w:fill="auto"/>
            <w:noWrap/>
            <w:hideMark/>
          </w:tcPr>
          <w:p w14:paraId="3A88EAC8" w14:textId="59F3D9AA"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387" w:type="dxa"/>
            <w:tcBorders>
              <w:top w:val="nil"/>
              <w:left w:val="nil"/>
              <w:bottom w:val="single" w:sz="4" w:space="0" w:color="auto"/>
              <w:right w:val="single" w:sz="4" w:space="0" w:color="auto"/>
            </w:tcBorders>
            <w:shd w:val="clear" w:color="auto" w:fill="auto"/>
            <w:noWrap/>
            <w:hideMark/>
          </w:tcPr>
          <w:p w14:paraId="31A3C5CF" w14:textId="4FE47745"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417" w:type="dxa"/>
            <w:tcBorders>
              <w:top w:val="nil"/>
              <w:left w:val="nil"/>
              <w:bottom w:val="single" w:sz="4" w:space="0" w:color="auto"/>
              <w:right w:val="single" w:sz="4" w:space="0" w:color="auto"/>
            </w:tcBorders>
            <w:shd w:val="clear" w:color="auto" w:fill="auto"/>
            <w:noWrap/>
            <w:hideMark/>
          </w:tcPr>
          <w:p w14:paraId="72E87727" w14:textId="641BFED6"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r>
      <w:tr w:rsidR="00D475C2" w:rsidRPr="009C4624" w14:paraId="7FC9C8A9" w14:textId="77777777" w:rsidTr="00905EE4">
        <w:trPr>
          <w:trHeight w:val="260"/>
        </w:trPr>
        <w:tc>
          <w:tcPr>
            <w:tcW w:w="1129" w:type="dxa"/>
            <w:tcBorders>
              <w:left w:val="single" w:sz="4" w:space="0" w:color="auto"/>
              <w:bottom w:val="single" w:sz="4" w:space="0" w:color="auto"/>
              <w:right w:val="single" w:sz="4" w:space="0" w:color="auto"/>
            </w:tcBorders>
            <w:shd w:val="clear" w:color="auto" w:fill="auto"/>
            <w:noWrap/>
            <w:hideMark/>
          </w:tcPr>
          <w:p w14:paraId="5EA33269"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 </w:t>
            </w:r>
          </w:p>
        </w:tc>
        <w:tc>
          <w:tcPr>
            <w:tcW w:w="2196" w:type="dxa"/>
            <w:tcBorders>
              <w:top w:val="nil"/>
              <w:left w:val="nil"/>
              <w:bottom w:val="single" w:sz="4" w:space="0" w:color="auto"/>
              <w:right w:val="single" w:sz="4" w:space="0" w:color="auto"/>
            </w:tcBorders>
            <w:shd w:val="clear" w:color="auto" w:fill="auto"/>
            <w:noWrap/>
            <w:hideMark/>
          </w:tcPr>
          <w:p w14:paraId="35D1DEEE" w14:textId="03FE7757" w:rsidR="00D475C2" w:rsidRPr="009C4624" w:rsidRDefault="00256B24"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 xml:space="preserve">frekuenca e </w:t>
            </w:r>
            <w:r>
              <w:rPr>
                <w:rFonts w:ascii="Arial Narrow" w:hAnsi="Arial Narrow"/>
                <w:color w:val="000000"/>
                <w:sz w:val="20"/>
                <w:szCs w:val="20"/>
                <w:lang w:eastAsia="en-GB"/>
              </w:rPr>
              <w:t>grumbullimit</w:t>
            </w:r>
          </w:p>
        </w:tc>
        <w:tc>
          <w:tcPr>
            <w:tcW w:w="1807" w:type="dxa"/>
            <w:tcBorders>
              <w:top w:val="nil"/>
              <w:left w:val="nil"/>
              <w:bottom w:val="single" w:sz="4" w:space="0" w:color="auto"/>
              <w:right w:val="single" w:sz="4" w:space="0" w:color="auto"/>
            </w:tcBorders>
            <w:shd w:val="clear" w:color="auto" w:fill="auto"/>
            <w:noWrap/>
            <w:hideMark/>
          </w:tcPr>
          <w:p w14:paraId="4F6222CE"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val="en-CA" w:eastAsia="en-GB"/>
              </w:rPr>
              <w:t xml:space="preserve">1-3 </w:t>
            </w:r>
            <w:proofErr w:type="spellStart"/>
            <w:r w:rsidRPr="009C4624">
              <w:rPr>
                <w:rFonts w:ascii="Arial Narrow" w:hAnsi="Arial Narrow"/>
                <w:color w:val="000000"/>
                <w:sz w:val="20"/>
                <w:szCs w:val="20"/>
                <w:lang w:val="en-CA" w:eastAsia="en-GB"/>
              </w:rPr>
              <w:t>herë</w:t>
            </w:r>
            <w:proofErr w:type="spellEnd"/>
            <w:r w:rsidRPr="009C4624">
              <w:rPr>
                <w:rFonts w:ascii="Arial Narrow" w:hAnsi="Arial Narrow"/>
                <w:color w:val="000000"/>
                <w:sz w:val="20"/>
                <w:szCs w:val="20"/>
                <w:lang w:val="en-CA" w:eastAsia="en-GB"/>
              </w:rPr>
              <w:t xml:space="preserve"> </w:t>
            </w:r>
            <w:proofErr w:type="spellStart"/>
            <w:r w:rsidRPr="009C4624">
              <w:rPr>
                <w:rFonts w:ascii="Arial Narrow" w:hAnsi="Arial Narrow"/>
                <w:color w:val="000000"/>
                <w:sz w:val="20"/>
                <w:szCs w:val="20"/>
                <w:lang w:val="en-CA" w:eastAsia="en-GB"/>
              </w:rPr>
              <w:t>në</w:t>
            </w:r>
            <w:proofErr w:type="spellEnd"/>
            <w:r w:rsidRPr="009C4624">
              <w:rPr>
                <w:rFonts w:ascii="Arial Narrow" w:hAnsi="Arial Narrow"/>
                <w:color w:val="000000"/>
                <w:sz w:val="20"/>
                <w:szCs w:val="20"/>
                <w:lang w:val="en-CA" w:eastAsia="en-GB"/>
              </w:rPr>
              <w:t xml:space="preserve"> </w:t>
            </w:r>
            <w:proofErr w:type="spellStart"/>
            <w:r w:rsidRPr="009C4624">
              <w:rPr>
                <w:rFonts w:ascii="Arial Narrow" w:hAnsi="Arial Narrow"/>
                <w:color w:val="000000"/>
                <w:sz w:val="20"/>
                <w:szCs w:val="20"/>
                <w:lang w:val="en-CA" w:eastAsia="en-GB"/>
              </w:rPr>
              <w:t>javë</w:t>
            </w:r>
            <w:proofErr w:type="spellEnd"/>
          </w:p>
        </w:tc>
        <w:tc>
          <w:tcPr>
            <w:tcW w:w="1273" w:type="dxa"/>
            <w:tcBorders>
              <w:top w:val="nil"/>
              <w:left w:val="nil"/>
              <w:bottom w:val="single" w:sz="4" w:space="0" w:color="auto"/>
              <w:right w:val="single" w:sz="4" w:space="0" w:color="auto"/>
            </w:tcBorders>
            <w:shd w:val="clear" w:color="auto" w:fill="auto"/>
            <w:noWrap/>
            <w:hideMark/>
          </w:tcPr>
          <w:p w14:paraId="02DE2A95" w14:textId="7AF2272C"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387" w:type="dxa"/>
            <w:tcBorders>
              <w:top w:val="nil"/>
              <w:left w:val="nil"/>
              <w:bottom w:val="single" w:sz="4" w:space="0" w:color="auto"/>
              <w:right w:val="single" w:sz="4" w:space="0" w:color="auto"/>
            </w:tcBorders>
            <w:shd w:val="clear" w:color="auto" w:fill="auto"/>
            <w:noWrap/>
            <w:hideMark/>
          </w:tcPr>
          <w:p w14:paraId="20143F44" w14:textId="62897F45"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417" w:type="dxa"/>
            <w:tcBorders>
              <w:top w:val="nil"/>
              <w:left w:val="nil"/>
              <w:bottom w:val="single" w:sz="4" w:space="0" w:color="auto"/>
              <w:right w:val="single" w:sz="4" w:space="0" w:color="auto"/>
            </w:tcBorders>
            <w:shd w:val="clear" w:color="auto" w:fill="auto"/>
            <w:noWrap/>
            <w:hideMark/>
          </w:tcPr>
          <w:p w14:paraId="43CBE2D4" w14:textId="210C3D46"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r>
      <w:tr w:rsidR="00D475C2" w:rsidRPr="009C4624" w14:paraId="42FA8D6C" w14:textId="77777777" w:rsidTr="00905EE4">
        <w:trPr>
          <w:trHeight w:val="260"/>
        </w:trPr>
        <w:tc>
          <w:tcPr>
            <w:tcW w:w="1129" w:type="dxa"/>
            <w:tcBorders>
              <w:top w:val="single" w:sz="4" w:space="0" w:color="auto"/>
              <w:left w:val="single" w:sz="4" w:space="0" w:color="auto"/>
              <w:right w:val="single" w:sz="4" w:space="0" w:color="auto"/>
            </w:tcBorders>
            <w:shd w:val="clear" w:color="auto" w:fill="auto"/>
            <w:noWrap/>
            <w:hideMark/>
          </w:tcPr>
          <w:p w14:paraId="7B23FFF0"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Klinë</w:t>
            </w:r>
          </w:p>
        </w:tc>
        <w:tc>
          <w:tcPr>
            <w:tcW w:w="2196" w:type="dxa"/>
            <w:tcBorders>
              <w:top w:val="nil"/>
              <w:left w:val="nil"/>
              <w:bottom w:val="single" w:sz="4" w:space="0" w:color="auto"/>
              <w:right w:val="single" w:sz="4" w:space="0" w:color="auto"/>
            </w:tcBorders>
            <w:shd w:val="clear" w:color="auto" w:fill="auto"/>
            <w:noWrap/>
            <w:hideMark/>
          </w:tcPr>
          <w:p w14:paraId="2F1EA6D4" w14:textId="0197979D" w:rsidR="00D475C2" w:rsidRPr="009C4624" w:rsidRDefault="00256B24"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numr</w:t>
            </w:r>
            <w:r>
              <w:rPr>
                <w:rFonts w:ascii="Arial Narrow" w:hAnsi="Arial Narrow"/>
                <w:color w:val="000000"/>
                <w:sz w:val="20"/>
                <w:szCs w:val="20"/>
                <w:lang w:eastAsia="en-GB"/>
              </w:rPr>
              <w:t>i</w:t>
            </w:r>
          </w:p>
        </w:tc>
        <w:tc>
          <w:tcPr>
            <w:tcW w:w="1807" w:type="dxa"/>
            <w:tcBorders>
              <w:top w:val="nil"/>
              <w:left w:val="nil"/>
              <w:bottom w:val="single" w:sz="4" w:space="0" w:color="auto"/>
              <w:right w:val="single" w:sz="4" w:space="0" w:color="auto"/>
            </w:tcBorders>
            <w:shd w:val="clear" w:color="auto" w:fill="auto"/>
            <w:noWrap/>
            <w:hideMark/>
          </w:tcPr>
          <w:p w14:paraId="45F2EA9B"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133</w:t>
            </w:r>
          </w:p>
        </w:tc>
        <w:tc>
          <w:tcPr>
            <w:tcW w:w="1273" w:type="dxa"/>
            <w:tcBorders>
              <w:top w:val="nil"/>
              <w:left w:val="nil"/>
              <w:bottom w:val="single" w:sz="4" w:space="0" w:color="auto"/>
              <w:right w:val="single" w:sz="4" w:space="0" w:color="auto"/>
            </w:tcBorders>
            <w:shd w:val="clear" w:color="auto" w:fill="auto"/>
            <w:noWrap/>
            <w:hideMark/>
          </w:tcPr>
          <w:p w14:paraId="131F231D" w14:textId="36D5A9B6"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387" w:type="dxa"/>
            <w:tcBorders>
              <w:top w:val="nil"/>
              <w:left w:val="nil"/>
              <w:bottom w:val="single" w:sz="4" w:space="0" w:color="auto"/>
              <w:right w:val="single" w:sz="4" w:space="0" w:color="auto"/>
            </w:tcBorders>
            <w:shd w:val="clear" w:color="auto" w:fill="auto"/>
            <w:noWrap/>
            <w:hideMark/>
          </w:tcPr>
          <w:p w14:paraId="2C92CB1B"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30</w:t>
            </w:r>
          </w:p>
        </w:tc>
        <w:tc>
          <w:tcPr>
            <w:tcW w:w="1417" w:type="dxa"/>
            <w:tcBorders>
              <w:top w:val="nil"/>
              <w:left w:val="nil"/>
              <w:bottom w:val="single" w:sz="4" w:space="0" w:color="auto"/>
              <w:right w:val="single" w:sz="4" w:space="0" w:color="auto"/>
            </w:tcBorders>
            <w:shd w:val="clear" w:color="auto" w:fill="auto"/>
            <w:noWrap/>
            <w:hideMark/>
          </w:tcPr>
          <w:p w14:paraId="16868DCC" w14:textId="6D975EA0"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r>
      <w:tr w:rsidR="00D475C2" w:rsidRPr="009C4624" w14:paraId="04AC9890" w14:textId="77777777" w:rsidTr="00905EE4">
        <w:trPr>
          <w:trHeight w:val="260"/>
        </w:trPr>
        <w:tc>
          <w:tcPr>
            <w:tcW w:w="1129" w:type="dxa"/>
            <w:tcBorders>
              <w:left w:val="single" w:sz="4" w:space="0" w:color="auto"/>
              <w:bottom w:val="single" w:sz="4" w:space="0" w:color="auto"/>
              <w:right w:val="single" w:sz="4" w:space="0" w:color="auto"/>
            </w:tcBorders>
            <w:shd w:val="clear" w:color="auto" w:fill="auto"/>
            <w:noWrap/>
            <w:hideMark/>
          </w:tcPr>
          <w:p w14:paraId="2110388F"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 </w:t>
            </w:r>
          </w:p>
        </w:tc>
        <w:tc>
          <w:tcPr>
            <w:tcW w:w="2196" w:type="dxa"/>
            <w:tcBorders>
              <w:top w:val="nil"/>
              <w:left w:val="nil"/>
              <w:bottom w:val="single" w:sz="4" w:space="0" w:color="auto"/>
              <w:right w:val="single" w:sz="4" w:space="0" w:color="auto"/>
            </w:tcBorders>
            <w:shd w:val="clear" w:color="auto" w:fill="auto"/>
            <w:noWrap/>
            <w:hideMark/>
          </w:tcPr>
          <w:p w14:paraId="06569501" w14:textId="0E6BD753" w:rsidR="00D475C2" w:rsidRPr="009C4624" w:rsidRDefault="00256B24"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 xml:space="preserve">frekuenca e </w:t>
            </w:r>
            <w:r>
              <w:rPr>
                <w:rFonts w:ascii="Arial Narrow" w:hAnsi="Arial Narrow"/>
                <w:color w:val="000000"/>
                <w:sz w:val="20"/>
                <w:szCs w:val="20"/>
                <w:lang w:eastAsia="en-GB"/>
              </w:rPr>
              <w:t>grumbullimit</w:t>
            </w:r>
          </w:p>
        </w:tc>
        <w:tc>
          <w:tcPr>
            <w:tcW w:w="1807" w:type="dxa"/>
            <w:tcBorders>
              <w:top w:val="nil"/>
              <w:left w:val="nil"/>
              <w:bottom w:val="single" w:sz="4" w:space="0" w:color="auto"/>
              <w:right w:val="single" w:sz="4" w:space="0" w:color="auto"/>
            </w:tcBorders>
            <w:shd w:val="clear" w:color="auto" w:fill="auto"/>
            <w:noWrap/>
            <w:hideMark/>
          </w:tcPr>
          <w:p w14:paraId="429EECAE" w14:textId="3B27732B" w:rsidR="00D475C2" w:rsidRPr="009C4624" w:rsidRDefault="00905EE4" w:rsidP="00D475C2">
            <w:pPr>
              <w:rPr>
                <w:rFonts w:ascii="Arial Narrow" w:hAnsi="Arial Narrow"/>
                <w:color w:val="000000"/>
                <w:sz w:val="20"/>
                <w:szCs w:val="20"/>
                <w:lang w:eastAsia="en-GB"/>
              </w:rPr>
            </w:pPr>
            <w:r>
              <w:rPr>
                <w:rFonts w:ascii="Arial Narrow" w:hAnsi="Arial Narrow"/>
                <w:color w:val="000000"/>
                <w:sz w:val="20"/>
                <w:szCs w:val="20"/>
                <w:lang w:eastAsia="en-GB"/>
              </w:rPr>
              <w:t>sipas</w:t>
            </w:r>
            <w:r w:rsidR="00D475C2" w:rsidRPr="009C4624">
              <w:rPr>
                <w:rFonts w:ascii="Arial Narrow" w:hAnsi="Arial Narrow"/>
                <w:color w:val="000000"/>
                <w:sz w:val="20"/>
                <w:szCs w:val="20"/>
                <w:lang w:eastAsia="en-GB"/>
              </w:rPr>
              <w:t xml:space="preserve"> kërkesë</w:t>
            </w:r>
            <w:r>
              <w:rPr>
                <w:rFonts w:ascii="Arial Narrow" w:hAnsi="Arial Narrow"/>
                <w:color w:val="000000"/>
                <w:sz w:val="20"/>
                <w:szCs w:val="20"/>
                <w:lang w:eastAsia="en-GB"/>
              </w:rPr>
              <w:t>s</w:t>
            </w:r>
          </w:p>
        </w:tc>
        <w:tc>
          <w:tcPr>
            <w:tcW w:w="1273" w:type="dxa"/>
            <w:tcBorders>
              <w:top w:val="nil"/>
              <w:left w:val="nil"/>
              <w:bottom w:val="single" w:sz="4" w:space="0" w:color="auto"/>
              <w:right w:val="single" w:sz="4" w:space="0" w:color="auto"/>
            </w:tcBorders>
            <w:shd w:val="clear" w:color="auto" w:fill="auto"/>
            <w:noWrap/>
            <w:hideMark/>
          </w:tcPr>
          <w:p w14:paraId="65EA9438" w14:textId="3DDC8628"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387" w:type="dxa"/>
            <w:tcBorders>
              <w:top w:val="nil"/>
              <w:left w:val="nil"/>
              <w:bottom w:val="single" w:sz="4" w:space="0" w:color="auto"/>
              <w:right w:val="single" w:sz="4" w:space="0" w:color="auto"/>
            </w:tcBorders>
            <w:shd w:val="clear" w:color="auto" w:fill="auto"/>
            <w:noWrap/>
            <w:hideMark/>
          </w:tcPr>
          <w:p w14:paraId="73450D58" w14:textId="6D5DB16D" w:rsidR="00D475C2" w:rsidRPr="009C4624" w:rsidRDefault="00905EE4" w:rsidP="00D475C2">
            <w:pPr>
              <w:rPr>
                <w:rFonts w:ascii="Arial Narrow" w:hAnsi="Arial Narrow"/>
                <w:color w:val="000000"/>
                <w:sz w:val="20"/>
                <w:szCs w:val="20"/>
                <w:lang w:eastAsia="en-GB"/>
              </w:rPr>
            </w:pPr>
            <w:r>
              <w:rPr>
                <w:rFonts w:ascii="Arial Narrow" w:hAnsi="Arial Narrow"/>
                <w:color w:val="000000"/>
                <w:sz w:val="20"/>
                <w:szCs w:val="20"/>
                <w:lang w:eastAsia="en-GB"/>
              </w:rPr>
              <w:t>1</w:t>
            </w:r>
            <w:r w:rsidR="00D475C2" w:rsidRPr="009C4624">
              <w:rPr>
                <w:rFonts w:ascii="Arial Narrow" w:hAnsi="Arial Narrow"/>
                <w:color w:val="000000"/>
                <w:sz w:val="20"/>
                <w:szCs w:val="20"/>
                <w:lang w:eastAsia="en-GB"/>
              </w:rPr>
              <w:t xml:space="preserve"> herë në javë</w:t>
            </w:r>
          </w:p>
        </w:tc>
        <w:tc>
          <w:tcPr>
            <w:tcW w:w="1417" w:type="dxa"/>
            <w:tcBorders>
              <w:top w:val="nil"/>
              <w:left w:val="nil"/>
              <w:bottom w:val="single" w:sz="4" w:space="0" w:color="auto"/>
              <w:right w:val="single" w:sz="4" w:space="0" w:color="auto"/>
            </w:tcBorders>
            <w:shd w:val="clear" w:color="auto" w:fill="auto"/>
            <w:noWrap/>
            <w:hideMark/>
          </w:tcPr>
          <w:p w14:paraId="3B1DE37A" w14:textId="631602CE"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r>
      <w:tr w:rsidR="00D475C2" w:rsidRPr="009C4624" w14:paraId="52FFD4C1" w14:textId="77777777" w:rsidTr="00905EE4">
        <w:trPr>
          <w:trHeight w:val="260"/>
        </w:trPr>
        <w:tc>
          <w:tcPr>
            <w:tcW w:w="1129" w:type="dxa"/>
            <w:tcBorders>
              <w:top w:val="single" w:sz="4" w:space="0" w:color="auto"/>
              <w:left w:val="single" w:sz="4" w:space="0" w:color="auto"/>
              <w:right w:val="single" w:sz="4" w:space="0" w:color="auto"/>
            </w:tcBorders>
            <w:shd w:val="clear" w:color="auto" w:fill="auto"/>
            <w:noWrap/>
            <w:hideMark/>
          </w:tcPr>
          <w:p w14:paraId="6C658C99"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Deçan</w:t>
            </w:r>
          </w:p>
        </w:tc>
        <w:tc>
          <w:tcPr>
            <w:tcW w:w="2196" w:type="dxa"/>
            <w:tcBorders>
              <w:top w:val="nil"/>
              <w:left w:val="nil"/>
              <w:bottom w:val="single" w:sz="4" w:space="0" w:color="auto"/>
              <w:right w:val="single" w:sz="4" w:space="0" w:color="auto"/>
            </w:tcBorders>
            <w:shd w:val="clear" w:color="auto" w:fill="auto"/>
            <w:noWrap/>
            <w:hideMark/>
          </w:tcPr>
          <w:p w14:paraId="0ECFC3F1" w14:textId="2DA4FA66" w:rsidR="00D475C2" w:rsidRPr="009C4624" w:rsidRDefault="00256B24"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numr</w:t>
            </w:r>
            <w:r>
              <w:rPr>
                <w:rFonts w:ascii="Arial Narrow" w:hAnsi="Arial Narrow"/>
                <w:color w:val="000000"/>
                <w:sz w:val="20"/>
                <w:szCs w:val="20"/>
                <w:lang w:eastAsia="en-GB"/>
              </w:rPr>
              <w:t>i</w:t>
            </w:r>
          </w:p>
        </w:tc>
        <w:tc>
          <w:tcPr>
            <w:tcW w:w="1807" w:type="dxa"/>
            <w:tcBorders>
              <w:top w:val="nil"/>
              <w:left w:val="nil"/>
              <w:bottom w:val="single" w:sz="4" w:space="0" w:color="auto"/>
              <w:right w:val="single" w:sz="4" w:space="0" w:color="auto"/>
            </w:tcBorders>
            <w:shd w:val="clear" w:color="auto" w:fill="auto"/>
            <w:noWrap/>
            <w:hideMark/>
          </w:tcPr>
          <w:p w14:paraId="539CBFDA"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171</w:t>
            </w:r>
          </w:p>
        </w:tc>
        <w:tc>
          <w:tcPr>
            <w:tcW w:w="1273" w:type="dxa"/>
            <w:tcBorders>
              <w:top w:val="nil"/>
              <w:left w:val="nil"/>
              <w:bottom w:val="single" w:sz="4" w:space="0" w:color="auto"/>
              <w:right w:val="single" w:sz="4" w:space="0" w:color="auto"/>
            </w:tcBorders>
            <w:shd w:val="clear" w:color="auto" w:fill="auto"/>
            <w:noWrap/>
            <w:hideMark/>
          </w:tcPr>
          <w:p w14:paraId="3F78FD17" w14:textId="50137A9B"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387" w:type="dxa"/>
            <w:tcBorders>
              <w:top w:val="nil"/>
              <w:left w:val="nil"/>
              <w:bottom w:val="single" w:sz="4" w:space="0" w:color="auto"/>
              <w:right w:val="single" w:sz="4" w:space="0" w:color="auto"/>
            </w:tcBorders>
            <w:shd w:val="clear" w:color="auto" w:fill="auto"/>
            <w:noWrap/>
            <w:hideMark/>
          </w:tcPr>
          <w:p w14:paraId="1F922E9A" w14:textId="62F816A4"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417" w:type="dxa"/>
            <w:tcBorders>
              <w:top w:val="nil"/>
              <w:left w:val="nil"/>
              <w:bottom w:val="single" w:sz="4" w:space="0" w:color="auto"/>
              <w:right w:val="single" w:sz="4" w:space="0" w:color="auto"/>
            </w:tcBorders>
            <w:shd w:val="clear" w:color="auto" w:fill="auto"/>
            <w:noWrap/>
            <w:hideMark/>
          </w:tcPr>
          <w:p w14:paraId="46129C37" w14:textId="5E767B3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r>
      <w:tr w:rsidR="00D475C2" w:rsidRPr="009C4624" w14:paraId="53761E25" w14:textId="77777777" w:rsidTr="00905EE4">
        <w:trPr>
          <w:trHeight w:val="260"/>
        </w:trPr>
        <w:tc>
          <w:tcPr>
            <w:tcW w:w="1129" w:type="dxa"/>
            <w:tcBorders>
              <w:left w:val="single" w:sz="4" w:space="0" w:color="auto"/>
              <w:bottom w:val="single" w:sz="4" w:space="0" w:color="auto"/>
              <w:right w:val="single" w:sz="4" w:space="0" w:color="auto"/>
            </w:tcBorders>
            <w:shd w:val="clear" w:color="auto" w:fill="auto"/>
            <w:noWrap/>
            <w:hideMark/>
          </w:tcPr>
          <w:p w14:paraId="3B91C3BC"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 </w:t>
            </w:r>
          </w:p>
        </w:tc>
        <w:tc>
          <w:tcPr>
            <w:tcW w:w="2196" w:type="dxa"/>
            <w:tcBorders>
              <w:top w:val="nil"/>
              <w:left w:val="nil"/>
              <w:bottom w:val="single" w:sz="4" w:space="0" w:color="auto"/>
              <w:right w:val="single" w:sz="4" w:space="0" w:color="auto"/>
            </w:tcBorders>
            <w:shd w:val="clear" w:color="auto" w:fill="auto"/>
            <w:noWrap/>
            <w:hideMark/>
          </w:tcPr>
          <w:p w14:paraId="620ED20B" w14:textId="6156936D" w:rsidR="00D475C2" w:rsidRPr="009C4624" w:rsidRDefault="00905EE4"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 xml:space="preserve">frekuenca e </w:t>
            </w:r>
            <w:r>
              <w:rPr>
                <w:rFonts w:ascii="Arial Narrow" w:hAnsi="Arial Narrow"/>
                <w:color w:val="000000"/>
                <w:sz w:val="20"/>
                <w:szCs w:val="20"/>
                <w:lang w:eastAsia="en-GB"/>
              </w:rPr>
              <w:t>grumbullimit</w:t>
            </w:r>
          </w:p>
        </w:tc>
        <w:tc>
          <w:tcPr>
            <w:tcW w:w="1807" w:type="dxa"/>
            <w:tcBorders>
              <w:top w:val="nil"/>
              <w:left w:val="nil"/>
              <w:bottom w:val="single" w:sz="4" w:space="0" w:color="auto"/>
              <w:right w:val="single" w:sz="4" w:space="0" w:color="auto"/>
            </w:tcBorders>
            <w:shd w:val="clear" w:color="auto" w:fill="auto"/>
            <w:noWrap/>
            <w:hideMark/>
          </w:tcPr>
          <w:p w14:paraId="6D9CEC86" w14:textId="77777777" w:rsidR="00D475C2" w:rsidRPr="009C4624" w:rsidRDefault="00D475C2" w:rsidP="00D475C2">
            <w:pPr>
              <w:rPr>
                <w:rFonts w:ascii="Arial Narrow" w:hAnsi="Arial Narrow"/>
                <w:color w:val="000000"/>
                <w:sz w:val="20"/>
                <w:szCs w:val="20"/>
                <w:lang w:eastAsia="en-GB"/>
              </w:rPr>
            </w:pPr>
            <w:r w:rsidRPr="009F5CA1">
              <w:rPr>
                <w:rFonts w:ascii="Arial Narrow" w:hAnsi="Arial Narrow"/>
                <w:color w:val="000000"/>
                <w:sz w:val="20"/>
                <w:szCs w:val="20"/>
                <w:lang w:val="es-ES" w:eastAsia="en-GB"/>
              </w:rPr>
              <w:t xml:space="preserve">1-3 </w:t>
            </w:r>
            <w:proofErr w:type="spellStart"/>
            <w:r w:rsidRPr="009F5CA1">
              <w:rPr>
                <w:rFonts w:ascii="Arial Narrow" w:hAnsi="Arial Narrow"/>
                <w:color w:val="000000"/>
                <w:sz w:val="20"/>
                <w:szCs w:val="20"/>
                <w:lang w:val="es-ES" w:eastAsia="en-GB"/>
              </w:rPr>
              <w:t>herë</w:t>
            </w:r>
            <w:proofErr w:type="spellEnd"/>
            <w:r w:rsidRPr="009F5CA1">
              <w:rPr>
                <w:rFonts w:ascii="Arial Narrow" w:hAnsi="Arial Narrow"/>
                <w:color w:val="000000"/>
                <w:sz w:val="20"/>
                <w:szCs w:val="20"/>
                <w:lang w:val="es-ES" w:eastAsia="en-GB"/>
              </w:rPr>
              <w:t xml:space="preserve"> </w:t>
            </w:r>
            <w:proofErr w:type="spellStart"/>
            <w:r w:rsidRPr="009F5CA1">
              <w:rPr>
                <w:rFonts w:ascii="Arial Narrow" w:hAnsi="Arial Narrow"/>
                <w:color w:val="000000"/>
                <w:sz w:val="20"/>
                <w:szCs w:val="20"/>
                <w:lang w:val="es-ES" w:eastAsia="en-GB"/>
              </w:rPr>
              <w:t>në</w:t>
            </w:r>
            <w:proofErr w:type="spellEnd"/>
            <w:r w:rsidRPr="009F5CA1">
              <w:rPr>
                <w:rFonts w:ascii="Arial Narrow" w:hAnsi="Arial Narrow"/>
                <w:color w:val="000000"/>
                <w:sz w:val="20"/>
                <w:szCs w:val="20"/>
                <w:lang w:val="es-ES" w:eastAsia="en-GB"/>
              </w:rPr>
              <w:t xml:space="preserve"> </w:t>
            </w:r>
            <w:proofErr w:type="spellStart"/>
            <w:r w:rsidRPr="009F5CA1">
              <w:rPr>
                <w:rFonts w:ascii="Arial Narrow" w:hAnsi="Arial Narrow"/>
                <w:color w:val="000000"/>
                <w:sz w:val="20"/>
                <w:szCs w:val="20"/>
                <w:lang w:val="es-ES" w:eastAsia="en-GB"/>
              </w:rPr>
              <w:t>javë</w:t>
            </w:r>
            <w:proofErr w:type="spellEnd"/>
            <w:r w:rsidRPr="009F5CA1">
              <w:rPr>
                <w:rFonts w:ascii="Arial Narrow" w:hAnsi="Arial Narrow"/>
                <w:color w:val="000000"/>
                <w:sz w:val="20"/>
                <w:szCs w:val="20"/>
                <w:lang w:val="es-ES" w:eastAsia="en-GB"/>
              </w:rPr>
              <w:t xml:space="preserve"> (</w:t>
            </w:r>
            <w:proofErr w:type="spellStart"/>
            <w:r w:rsidRPr="009F5CA1">
              <w:rPr>
                <w:rFonts w:ascii="Arial Narrow" w:hAnsi="Arial Narrow"/>
                <w:color w:val="000000"/>
                <w:sz w:val="20"/>
                <w:szCs w:val="20"/>
                <w:lang w:val="es-ES" w:eastAsia="en-GB"/>
              </w:rPr>
              <w:t>biznese</w:t>
            </w:r>
            <w:proofErr w:type="spellEnd"/>
            <w:r w:rsidRPr="009F5CA1">
              <w:rPr>
                <w:rFonts w:ascii="Arial Narrow" w:hAnsi="Arial Narrow"/>
                <w:color w:val="000000"/>
                <w:sz w:val="20"/>
                <w:szCs w:val="20"/>
                <w:lang w:val="es-ES" w:eastAsia="en-GB"/>
              </w:rPr>
              <w:t xml:space="preserve">); me </w:t>
            </w:r>
            <w:proofErr w:type="spellStart"/>
            <w:r w:rsidRPr="009F5CA1">
              <w:rPr>
                <w:rFonts w:ascii="Arial Narrow" w:hAnsi="Arial Narrow"/>
                <w:color w:val="000000"/>
                <w:sz w:val="20"/>
                <w:szCs w:val="20"/>
                <w:lang w:val="es-ES" w:eastAsia="en-GB"/>
              </w:rPr>
              <w:t>kërkesë</w:t>
            </w:r>
            <w:proofErr w:type="spellEnd"/>
            <w:r w:rsidRPr="009F5CA1">
              <w:rPr>
                <w:rFonts w:ascii="Arial Narrow" w:hAnsi="Arial Narrow"/>
                <w:color w:val="000000"/>
                <w:sz w:val="20"/>
                <w:szCs w:val="20"/>
                <w:lang w:val="es-ES" w:eastAsia="en-GB"/>
              </w:rPr>
              <w:t xml:space="preserve"> (institucione)</w:t>
            </w:r>
          </w:p>
        </w:tc>
        <w:tc>
          <w:tcPr>
            <w:tcW w:w="1273" w:type="dxa"/>
            <w:tcBorders>
              <w:top w:val="nil"/>
              <w:left w:val="nil"/>
              <w:bottom w:val="single" w:sz="4" w:space="0" w:color="auto"/>
              <w:right w:val="single" w:sz="4" w:space="0" w:color="auto"/>
            </w:tcBorders>
            <w:shd w:val="clear" w:color="auto" w:fill="auto"/>
            <w:noWrap/>
            <w:hideMark/>
          </w:tcPr>
          <w:p w14:paraId="382ACC89" w14:textId="1653707E"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387" w:type="dxa"/>
            <w:tcBorders>
              <w:top w:val="nil"/>
              <w:left w:val="nil"/>
              <w:bottom w:val="single" w:sz="4" w:space="0" w:color="auto"/>
              <w:right w:val="single" w:sz="4" w:space="0" w:color="auto"/>
            </w:tcBorders>
            <w:shd w:val="clear" w:color="auto" w:fill="auto"/>
            <w:noWrap/>
            <w:hideMark/>
          </w:tcPr>
          <w:p w14:paraId="5CF58759" w14:textId="2E112653"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417" w:type="dxa"/>
            <w:tcBorders>
              <w:top w:val="nil"/>
              <w:left w:val="nil"/>
              <w:bottom w:val="single" w:sz="4" w:space="0" w:color="auto"/>
              <w:right w:val="single" w:sz="4" w:space="0" w:color="auto"/>
            </w:tcBorders>
            <w:shd w:val="clear" w:color="auto" w:fill="auto"/>
            <w:noWrap/>
            <w:hideMark/>
          </w:tcPr>
          <w:p w14:paraId="52564A88" w14:textId="0261D9C8"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r>
      <w:tr w:rsidR="00D475C2" w:rsidRPr="009C4624" w14:paraId="6783F705" w14:textId="77777777" w:rsidTr="00905EE4">
        <w:trPr>
          <w:trHeight w:val="260"/>
        </w:trPr>
        <w:tc>
          <w:tcPr>
            <w:tcW w:w="1129" w:type="dxa"/>
            <w:tcBorders>
              <w:top w:val="single" w:sz="4" w:space="0" w:color="auto"/>
              <w:left w:val="single" w:sz="4" w:space="0" w:color="auto"/>
              <w:right w:val="single" w:sz="4" w:space="0" w:color="auto"/>
            </w:tcBorders>
            <w:shd w:val="clear" w:color="auto" w:fill="auto"/>
            <w:noWrap/>
            <w:hideMark/>
          </w:tcPr>
          <w:p w14:paraId="756F4A01"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Junik</w:t>
            </w:r>
          </w:p>
        </w:tc>
        <w:tc>
          <w:tcPr>
            <w:tcW w:w="2196" w:type="dxa"/>
            <w:tcBorders>
              <w:top w:val="nil"/>
              <w:left w:val="nil"/>
              <w:bottom w:val="single" w:sz="4" w:space="0" w:color="auto"/>
              <w:right w:val="single" w:sz="4" w:space="0" w:color="auto"/>
            </w:tcBorders>
            <w:shd w:val="clear" w:color="auto" w:fill="auto"/>
            <w:noWrap/>
            <w:hideMark/>
          </w:tcPr>
          <w:p w14:paraId="4976FD07" w14:textId="496CE3DC" w:rsidR="00D475C2" w:rsidRPr="009C4624" w:rsidRDefault="00256B24"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numr</w:t>
            </w:r>
            <w:r>
              <w:rPr>
                <w:rFonts w:ascii="Arial Narrow" w:hAnsi="Arial Narrow"/>
                <w:color w:val="000000"/>
                <w:sz w:val="20"/>
                <w:szCs w:val="20"/>
                <w:lang w:eastAsia="en-GB"/>
              </w:rPr>
              <w:t>i</w:t>
            </w:r>
          </w:p>
        </w:tc>
        <w:tc>
          <w:tcPr>
            <w:tcW w:w="1807" w:type="dxa"/>
            <w:tcBorders>
              <w:top w:val="nil"/>
              <w:left w:val="nil"/>
              <w:bottom w:val="single" w:sz="4" w:space="0" w:color="auto"/>
              <w:right w:val="single" w:sz="4" w:space="0" w:color="auto"/>
            </w:tcBorders>
            <w:shd w:val="clear" w:color="auto" w:fill="auto"/>
            <w:noWrap/>
            <w:hideMark/>
          </w:tcPr>
          <w:p w14:paraId="74D5C856"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26</w:t>
            </w:r>
          </w:p>
        </w:tc>
        <w:tc>
          <w:tcPr>
            <w:tcW w:w="1273" w:type="dxa"/>
            <w:tcBorders>
              <w:top w:val="nil"/>
              <w:left w:val="nil"/>
              <w:bottom w:val="single" w:sz="4" w:space="0" w:color="auto"/>
              <w:right w:val="single" w:sz="4" w:space="0" w:color="auto"/>
            </w:tcBorders>
            <w:shd w:val="clear" w:color="auto" w:fill="auto"/>
            <w:noWrap/>
            <w:hideMark/>
          </w:tcPr>
          <w:p w14:paraId="4873806E" w14:textId="1A0F3FA2"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387" w:type="dxa"/>
            <w:tcBorders>
              <w:top w:val="nil"/>
              <w:left w:val="nil"/>
              <w:bottom w:val="single" w:sz="4" w:space="0" w:color="auto"/>
              <w:right w:val="single" w:sz="4" w:space="0" w:color="auto"/>
            </w:tcBorders>
            <w:shd w:val="clear" w:color="auto" w:fill="auto"/>
            <w:noWrap/>
            <w:hideMark/>
          </w:tcPr>
          <w:p w14:paraId="1212D91A"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6</w:t>
            </w:r>
          </w:p>
        </w:tc>
        <w:tc>
          <w:tcPr>
            <w:tcW w:w="1417" w:type="dxa"/>
            <w:tcBorders>
              <w:top w:val="nil"/>
              <w:left w:val="nil"/>
              <w:bottom w:val="single" w:sz="4" w:space="0" w:color="auto"/>
              <w:right w:val="single" w:sz="4" w:space="0" w:color="auto"/>
            </w:tcBorders>
            <w:shd w:val="clear" w:color="auto" w:fill="auto"/>
            <w:noWrap/>
            <w:hideMark/>
          </w:tcPr>
          <w:p w14:paraId="781F6573" w14:textId="7EEC773D"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r>
      <w:tr w:rsidR="00D475C2" w:rsidRPr="009C4624" w14:paraId="06F9A70D" w14:textId="77777777" w:rsidTr="00905EE4">
        <w:trPr>
          <w:trHeight w:val="260"/>
        </w:trPr>
        <w:tc>
          <w:tcPr>
            <w:tcW w:w="1129" w:type="dxa"/>
            <w:tcBorders>
              <w:left w:val="single" w:sz="4" w:space="0" w:color="auto"/>
              <w:bottom w:val="single" w:sz="4" w:space="0" w:color="auto"/>
              <w:right w:val="single" w:sz="4" w:space="0" w:color="auto"/>
            </w:tcBorders>
            <w:shd w:val="clear" w:color="auto" w:fill="auto"/>
            <w:noWrap/>
            <w:hideMark/>
          </w:tcPr>
          <w:p w14:paraId="4CA8599A" w14:textId="77777777"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 </w:t>
            </w:r>
          </w:p>
        </w:tc>
        <w:tc>
          <w:tcPr>
            <w:tcW w:w="2196" w:type="dxa"/>
            <w:tcBorders>
              <w:top w:val="nil"/>
              <w:left w:val="nil"/>
              <w:bottom w:val="single" w:sz="4" w:space="0" w:color="auto"/>
              <w:right w:val="single" w:sz="4" w:space="0" w:color="auto"/>
            </w:tcBorders>
            <w:shd w:val="clear" w:color="auto" w:fill="auto"/>
            <w:noWrap/>
            <w:hideMark/>
          </w:tcPr>
          <w:p w14:paraId="71823A2A" w14:textId="5031C157" w:rsidR="00D475C2" w:rsidRPr="009C4624" w:rsidRDefault="00905EE4"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 xml:space="preserve">frekuenca e </w:t>
            </w:r>
            <w:r>
              <w:rPr>
                <w:rFonts w:ascii="Arial Narrow" w:hAnsi="Arial Narrow"/>
                <w:color w:val="000000"/>
                <w:sz w:val="20"/>
                <w:szCs w:val="20"/>
                <w:lang w:eastAsia="en-GB"/>
              </w:rPr>
              <w:t>grumbullimit</w:t>
            </w:r>
          </w:p>
        </w:tc>
        <w:tc>
          <w:tcPr>
            <w:tcW w:w="1807" w:type="dxa"/>
            <w:tcBorders>
              <w:top w:val="nil"/>
              <w:left w:val="nil"/>
              <w:bottom w:val="single" w:sz="4" w:space="0" w:color="auto"/>
              <w:right w:val="single" w:sz="4" w:space="0" w:color="auto"/>
            </w:tcBorders>
            <w:shd w:val="clear" w:color="auto" w:fill="auto"/>
            <w:noWrap/>
            <w:hideMark/>
          </w:tcPr>
          <w:p w14:paraId="2BFE5991" w14:textId="24D94D5B" w:rsidR="00D475C2" w:rsidRPr="009C4624" w:rsidRDefault="00905EE4" w:rsidP="00D475C2">
            <w:pPr>
              <w:rPr>
                <w:rFonts w:ascii="Arial Narrow" w:hAnsi="Arial Narrow"/>
                <w:color w:val="000000"/>
                <w:sz w:val="20"/>
                <w:szCs w:val="20"/>
                <w:lang w:eastAsia="en-GB"/>
              </w:rPr>
            </w:pPr>
            <w:r>
              <w:rPr>
                <w:rFonts w:ascii="Arial Narrow" w:hAnsi="Arial Narrow"/>
                <w:color w:val="000000"/>
                <w:sz w:val="20"/>
                <w:szCs w:val="20"/>
                <w:lang w:eastAsia="en-GB"/>
              </w:rPr>
              <w:t>1</w:t>
            </w:r>
            <w:r w:rsidR="00D475C2" w:rsidRPr="009C4624">
              <w:rPr>
                <w:rFonts w:ascii="Arial Narrow" w:hAnsi="Arial Narrow"/>
                <w:color w:val="000000"/>
                <w:sz w:val="20"/>
                <w:szCs w:val="20"/>
                <w:lang w:eastAsia="en-GB"/>
              </w:rPr>
              <w:t xml:space="preserve"> herë në javë</w:t>
            </w:r>
          </w:p>
        </w:tc>
        <w:tc>
          <w:tcPr>
            <w:tcW w:w="1273" w:type="dxa"/>
            <w:tcBorders>
              <w:top w:val="nil"/>
              <w:left w:val="nil"/>
              <w:bottom w:val="single" w:sz="4" w:space="0" w:color="auto"/>
              <w:right w:val="single" w:sz="4" w:space="0" w:color="auto"/>
            </w:tcBorders>
            <w:shd w:val="clear" w:color="auto" w:fill="auto"/>
            <w:noWrap/>
            <w:hideMark/>
          </w:tcPr>
          <w:p w14:paraId="57BED056" w14:textId="5608E39F"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c>
          <w:tcPr>
            <w:tcW w:w="1387" w:type="dxa"/>
            <w:tcBorders>
              <w:top w:val="nil"/>
              <w:left w:val="nil"/>
              <w:bottom w:val="single" w:sz="4" w:space="0" w:color="auto"/>
              <w:right w:val="single" w:sz="4" w:space="0" w:color="auto"/>
            </w:tcBorders>
            <w:shd w:val="clear" w:color="auto" w:fill="auto"/>
            <w:noWrap/>
            <w:hideMark/>
          </w:tcPr>
          <w:p w14:paraId="4E4B6A14" w14:textId="455B0BD5" w:rsidR="00D475C2" w:rsidRPr="009C4624" w:rsidRDefault="00905EE4" w:rsidP="00D475C2">
            <w:pPr>
              <w:rPr>
                <w:rFonts w:ascii="Arial Narrow" w:hAnsi="Arial Narrow"/>
                <w:color w:val="000000"/>
                <w:sz w:val="20"/>
                <w:szCs w:val="20"/>
                <w:lang w:eastAsia="en-GB"/>
              </w:rPr>
            </w:pPr>
            <w:r>
              <w:rPr>
                <w:rFonts w:ascii="Arial Narrow" w:hAnsi="Arial Narrow"/>
                <w:color w:val="000000"/>
                <w:sz w:val="20"/>
                <w:szCs w:val="20"/>
                <w:lang w:eastAsia="en-GB"/>
              </w:rPr>
              <w:t>1</w:t>
            </w:r>
            <w:r w:rsidR="00D475C2" w:rsidRPr="009C4624">
              <w:rPr>
                <w:rFonts w:ascii="Arial Narrow" w:hAnsi="Arial Narrow"/>
                <w:color w:val="000000"/>
                <w:sz w:val="20"/>
                <w:szCs w:val="20"/>
                <w:lang w:eastAsia="en-GB"/>
              </w:rPr>
              <w:t xml:space="preserve"> herë në javë</w:t>
            </w:r>
          </w:p>
        </w:tc>
        <w:tc>
          <w:tcPr>
            <w:tcW w:w="1417" w:type="dxa"/>
            <w:tcBorders>
              <w:top w:val="nil"/>
              <w:left w:val="nil"/>
              <w:bottom w:val="single" w:sz="4" w:space="0" w:color="auto"/>
              <w:right w:val="single" w:sz="4" w:space="0" w:color="auto"/>
            </w:tcBorders>
            <w:shd w:val="clear" w:color="auto" w:fill="auto"/>
            <w:noWrap/>
            <w:hideMark/>
          </w:tcPr>
          <w:p w14:paraId="3E315E41" w14:textId="50A75819" w:rsidR="00D475C2" w:rsidRPr="009C4624" w:rsidRDefault="00D475C2" w:rsidP="00D475C2">
            <w:pPr>
              <w:rPr>
                <w:rFonts w:ascii="Arial Narrow" w:hAnsi="Arial Narrow"/>
                <w:color w:val="000000"/>
                <w:sz w:val="20"/>
                <w:szCs w:val="20"/>
                <w:lang w:eastAsia="en-GB"/>
              </w:rPr>
            </w:pPr>
            <w:r w:rsidRPr="009C4624">
              <w:rPr>
                <w:rFonts w:ascii="Arial Narrow" w:hAnsi="Arial Narrow"/>
                <w:color w:val="000000"/>
                <w:sz w:val="20"/>
                <w:szCs w:val="20"/>
                <w:lang w:eastAsia="en-GB"/>
              </w:rPr>
              <w:t>-</w:t>
            </w:r>
          </w:p>
        </w:tc>
      </w:tr>
    </w:tbl>
    <w:p w14:paraId="4ABF7957" w14:textId="03E72F91" w:rsidR="00574634" w:rsidRPr="00574634" w:rsidRDefault="00574634" w:rsidP="00D525B8">
      <w:pPr>
        <w:pStyle w:val="source0"/>
      </w:pPr>
      <w:r w:rsidRPr="00574634">
        <w:t>Burimi: të dhëna</w:t>
      </w:r>
      <w:r w:rsidR="00905EE4">
        <w:t>t</w:t>
      </w:r>
      <w:r w:rsidRPr="00574634">
        <w:t xml:space="preserve"> nga </w:t>
      </w:r>
      <w:r w:rsidR="00905EE4">
        <w:t>komunat</w:t>
      </w:r>
      <w:r w:rsidRPr="00574634">
        <w:t xml:space="preserve"> (2024)</w:t>
      </w:r>
    </w:p>
    <w:p w14:paraId="43AB4DF4" w14:textId="77777777" w:rsidR="00D475C2" w:rsidRDefault="00D475C2" w:rsidP="007175EE">
      <w:pPr>
        <w:rPr>
          <w:rFonts w:eastAsia="Calibri" w:cs="Calibri"/>
          <w:sz w:val="22"/>
          <w:szCs w:val="22"/>
        </w:rPr>
      </w:pPr>
    </w:p>
    <w:p w14:paraId="074AE6F8" w14:textId="136CE952" w:rsidR="00905EE4" w:rsidRPr="003A129D" w:rsidRDefault="00905EE4" w:rsidP="00905EE4">
      <w:pPr>
        <w:pStyle w:val="Paragraph"/>
        <w:rPr>
          <w:rFonts w:eastAsia="Calibri"/>
          <w:lang w:val="sq-AL"/>
        </w:rPr>
      </w:pPr>
      <w:bookmarkStart w:id="197" w:name="_Toc170470830"/>
      <w:r w:rsidRPr="003A129D">
        <w:rPr>
          <w:rFonts w:eastAsia="Calibri"/>
          <w:lang w:val="sq-AL"/>
        </w:rPr>
        <w:t xml:space="preserve">Siç shihet nga </w:t>
      </w:r>
      <w:r>
        <w:rPr>
          <w:rFonts w:eastAsia="Calibri"/>
          <w:lang w:val="sq-AL"/>
        </w:rPr>
        <w:t>t</w:t>
      </w:r>
      <w:r w:rsidRPr="003A129D">
        <w:rPr>
          <w:rFonts w:eastAsia="Calibri"/>
          <w:lang w:val="sq-AL"/>
        </w:rPr>
        <w:t xml:space="preserve">abelat e mësipërme, lloji mbizotërues i </w:t>
      </w:r>
      <w:r>
        <w:rPr>
          <w:rFonts w:eastAsia="Calibri"/>
          <w:lang w:val="sq-AL"/>
        </w:rPr>
        <w:t>kontejnerit</w:t>
      </w:r>
      <w:r w:rsidRPr="003A129D">
        <w:rPr>
          <w:rFonts w:eastAsia="Calibri"/>
          <w:lang w:val="sq-AL"/>
        </w:rPr>
        <w:t xml:space="preserve"> që përdoret për grumbullimin e mbeturinave nga </w:t>
      </w:r>
      <w:r>
        <w:rPr>
          <w:rFonts w:eastAsia="Calibri"/>
          <w:lang w:val="sq-AL"/>
        </w:rPr>
        <w:t>amvisëritë</w:t>
      </w:r>
      <w:r w:rsidRPr="003A129D">
        <w:rPr>
          <w:rFonts w:eastAsia="Calibri"/>
          <w:lang w:val="sq-AL"/>
        </w:rPr>
        <w:t xml:space="preserve"> është 120 litërsh, për shkak të llojit të banimit të përhapur në rajon (shtëpi individuale). Kontejnerët më të mëdhenj 1.1 </w:t>
      </w:r>
      <w:r w:rsidR="000607BF" w:rsidRPr="000607BF">
        <w:rPr>
          <w:color w:val="auto"/>
          <w:lang w:eastAsia="en-GB"/>
        </w:rPr>
        <w:t>m</w:t>
      </w:r>
      <w:r w:rsidR="000607BF" w:rsidRPr="000607BF">
        <w:rPr>
          <w:color w:val="auto"/>
          <w:vertAlign w:val="superscript"/>
          <w:lang w:eastAsia="en-GB"/>
        </w:rPr>
        <w:t>3</w:t>
      </w:r>
      <w:r w:rsidRPr="003A129D">
        <w:rPr>
          <w:rFonts w:eastAsia="Calibri"/>
          <w:lang w:val="sq-AL"/>
        </w:rPr>
        <w:t xml:space="preserve"> janë zgjedhja e preferuar për grumbullimin e mbet</w:t>
      </w:r>
      <w:r>
        <w:rPr>
          <w:rFonts w:eastAsia="Calibri"/>
          <w:lang w:val="sq-AL"/>
        </w:rPr>
        <w:t>urinave</w:t>
      </w:r>
      <w:r w:rsidRPr="003A129D">
        <w:rPr>
          <w:rFonts w:eastAsia="Calibri"/>
          <w:lang w:val="sq-AL"/>
        </w:rPr>
        <w:t xml:space="preserve"> nga bizneset dhe institucionet. Komuna e Pejës përdor</w:t>
      </w:r>
      <w:r>
        <w:rPr>
          <w:rFonts w:eastAsia="Calibri"/>
          <w:lang w:val="sq-AL"/>
        </w:rPr>
        <w:t>ë</w:t>
      </w:r>
      <w:r w:rsidRPr="003A129D">
        <w:rPr>
          <w:rFonts w:eastAsia="Calibri"/>
          <w:lang w:val="sq-AL"/>
        </w:rPr>
        <w:t xml:space="preserve"> edhe një numër të madh të </w:t>
      </w:r>
      <w:r>
        <w:rPr>
          <w:rFonts w:eastAsia="Calibri"/>
          <w:lang w:val="sq-AL"/>
        </w:rPr>
        <w:t>kontejnerëve</w:t>
      </w:r>
      <w:r w:rsidRPr="003A129D">
        <w:rPr>
          <w:rFonts w:eastAsia="Calibri"/>
          <w:lang w:val="sq-AL"/>
        </w:rPr>
        <w:t xml:space="preserve"> 240 litë</w:t>
      </w:r>
      <w:r>
        <w:rPr>
          <w:rFonts w:eastAsia="Calibri"/>
          <w:lang w:val="sq-AL"/>
        </w:rPr>
        <w:t>rsh</w:t>
      </w:r>
      <w:r w:rsidRPr="003A129D">
        <w:rPr>
          <w:rFonts w:eastAsia="Calibri"/>
          <w:lang w:val="sq-AL"/>
        </w:rPr>
        <w:t xml:space="preserve"> për grumbullimin e mbeturinave nga bizneset.</w:t>
      </w:r>
    </w:p>
    <w:p w14:paraId="5F8B71F0" w14:textId="77777777" w:rsidR="00905EE4" w:rsidRPr="008D2D8C" w:rsidRDefault="00905EE4" w:rsidP="00905EE4">
      <w:pPr>
        <w:pStyle w:val="Paragraph"/>
        <w:rPr>
          <w:rFonts w:eastAsia="Calibri"/>
          <w:lang w:val="sq-AL"/>
        </w:rPr>
      </w:pPr>
      <w:r w:rsidRPr="003A129D">
        <w:rPr>
          <w:rFonts w:eastAsia="Calibri"/>
          <w:lang w:val="sq-AL"/>
        </w:rPr>
        <w:t>Shërbimi i grumbullimit të mbet</w:t>
      </w:r>
      <w:r>
        <w:rPr>
          <w:rFonts w:eastAsia="Calibri"/>
          <w:lang w:val="sq-AL"/>
        </w:rPr>
        <w:t>urinave</w:t>
      </w:r>
      <w:r w:rsidRPr="003A129D">
        <w:rPr>
          <w:rFonts w:eastAsia="Calibri"/>
          <w:lang w:val="sq-AL"/>
        </w:rPr>
        <w:t xml:space="preserve"> u ofrohet 100% të banorëve të përhershëm në 4 nga 5 </w:t>
      </w:r>
      <w:r>
        <w:rPr>
          <w:rFonts w:eastAsia="Calibri"/>
          <w:lang w:val="sq-AL"/>
        </w:rPr>
        <w:t>komunat</w:t>
      </w:r>
      <w:r w:rsidRPr="003A129D">
        <w:rPr>
          <w:rFonts w:eastAsia="Calibri"/>
          <w:lang w:val="sq-AL"/>
        </w:rPr>
        <w:t>. Në Klinë raportohet se grumbullimi i mbeturinave i ofrohet 98% të popullsisë me plane për të rritur mbulimin e shërbimeve në 100%.</w:t>
      </w:r>
    </w:p>
    <w:p w14:paraId="38E94507" w14:textId="38A4F15E" w:rsidR="0002535E" w:rsidRDefault="00905EE4" w:rsidP="002254E8">
      <w:pPr>
        <w:pStyle w:val="Heading3"/>
      </w:pPr>
      <w:bookmarkStart w:id="198" w:name="_Toc197471978"/>
      <w:r>
        <w:t>Grumbullimi ndaras</w:t>
      </w:r>
      <w:r w:rsidR="0002535E" w:rsidRPr="0002535E">
        <w:t xml:space="preserve"> </w:t>
      </w:r>
      <w:r>
        <w:t>i</w:t>
      </w:r>
      <w:r w:rsidR="0002535E" w:rsidRPr="0002535E">
        <w:t xml:space="preserve"> mbeturinave</w:t>
      </w:r>
      <w:bookmarkEnd w:id="197"/>
      <w:bookmarkEnd w:id="198"/>
    </w:p>
    <w:p w14:paraId="0D1C3C13" w14:textId="6E7430F9" w:rsidR="00905EE4" w:rsidRPr="003A129D" w:rsidRDefault="00905EE4" w:rsidP="00905EE4">
      <w:pPr>
        <w:pStyle w:val="Paragraph"/>
        <w:rPr>
          <w:lang w:val="sq-AL"/>
        </w:rPr>
      </w:pPr>
      <w:bookmarkStart w:id="199" w:name="_Toc153872126"/>
      <w:bookmarkStart w:id="200" w:name="_Toc170470831"/>
      <w:r w:rsidRPr="003A129D">
        <w:rPr>
          <w:lang w:val="sq-AL"/>
        </w:rPr>
        <w:t>Grumbullimi ndar</w:t>
      </w:r>
      <w:r>
        <w:rPr>
          <w:lang w:val="sq-AL"/>
        </w:rPr>
        <w:t>as</w:t>
      </w:r>
      <w:r w:rsidRPr="003A129D">
        <w:rPr>
          <w:lang w:val="sq-AL"/>
        </w:rPr>
        <w:t xml:space="preserve"> i mbet</w:t>
      </w:r>
      <w:r>
        <w:rPr>
          <w:lang w:val="sq-AL"/>
        </w:rPr>
        <w:t>urinave</w:t>
      </w:r>
      <w:r w:rsidRPr="003A129D">
        <w:rPr>
          <w:lang w:val="sq-AL"/>
        </w:rPr>
        <w:t xml:space="preserve"> të materialeve të riciklueshme nuk është organizuar në asnjë nga pesë </w:t>
      </w:r>
      <w:r>
        <w:rPr>
          <w:lang w:val="sq-AL"/>
        </w:rPr>
        <w:t>Komunat</w:t>
      </w:r>
      <w:r w:rsidRPr="003A129D">
        <w:rPr>
          <w:lang w:val="sq-AL"/>
        </w:rPr>
        <w:t xml:space="preserve">. Është planifikuar nga </w:t>
      </w:r>
      <w:r>
        <w:rPr>
          <w:lang w:val="sq-AL"/>
        </w:rPr>
        <w:t>Komunat</w:t>
      </w:r>
      <w:r w:rsidRPr="003A129D">
        <w:rPr>
          <w:lang w:val="sq-AL"/>
        </w:rPr>
        <w:t xml:space="preserve"> që </w:t>
      </w:r>
      <w:r>
        <w:rPr>
          <w:lang w:val="sq-AL"/>
        </w:rPr>
        <w:t xml:space="preserve">kjo </w:t>
      </w:r>
      <w:r w:rsidRPr="003A129D">
        <w:rPr>
          <w:lang w:val="sq-AL"/>
        </w:rPr>
        <w:t xml:space="preserve">të fillojë nga viti 2025 e në vazhdim. Komuna e Pejës ka përvojë të mëparshme me </w:t>
      </w:r>
      <w:r>
        <w:rPr>
          <w:lang w:val="sq-AL"/>
        </w:rPr>
        <w:t xml:space="preserve">nisma </w:t>
      </w:r>
      <w:r w:rsidRPr="003A129D">
        <w:rPr>
          <w:lang w:val="sq-AL"/>
        </w:rPr>
        <w:t>pilot, rezultatet e të cilave treguan se përpjekjet e tilla sporadike nuk janë të suksesshme nëse nuk mbështeten nga kushtet e tjera të nevojshme dhe nëse nuk ekziston infrastruktura e nevojshme.</w:t>
      </w:r>
    </w:p>
    <w:p w14:paraId="0F396186" w14:textId="77777777" w:rsidR="00905EE4" w:rsidRPr="008D2D8C" w:rsidRDefault="00905EE4" w:rsidP="00905EE4">
      <w:pPr>
        <w:pStyle w:val="Paragraph"/>
        <w:rPr>
          <w:lang w:val="sq-AL"/>
        </w:rPr>
      </w:pPr>
      <w:r w:rsidRPr="003A129D">
        <w:rPr>
          <w:lang w:val="sq-AL"/>
        </w:rPr>
        <w:t xml:space="preserve">Të 5 komunat kanë lokacione të caktuara për ngritjen e </w:t>
      </w:r>
      <w:r>
        <w:rPr>
          <w:lang w:val="sq-AL"/>
        </w:rPr>
        <w:t>oborreve të riciklimit</w:t>
      </w:r>
      <w:r w:rsidRPr="003A129D">
        <w:rPr>
          <w:lang w:val="sq-AL"/>
        </w:rPr>
        <w:t xml:space="preserve"> </w:t>
      </w:r>
      <w:r>
        <w:rPr>
          <w:lang w:val="sq-AL"/>
        </w:rPr>
        <w:t>(OR).</w:t>
      </w:r>
    </w:p>
    <w:p w14:paraId="10FF07D1" w14:textId="77777777" w:rsidR="00032CD8" w:rsidRPr="00C21444" w:rsidRDefault="00032CD8" w:rsidP="002254E8">
      <w:pPr>
        <w:pStyle w:val="Heading3"/>
      </w:pPr>
      <w:bookmarkStart w:id="201" w:name="_Toc197471979"/>
      <w:r w:rsidRPr="00C21444">
        <w:t>Transferimi i mbeturinave</w:t>
      </w:r>
      <w:bookmarkEnd w:id="199"/>
      <w:bookmarkEnd w:id="200"/>
      <w:bookmarkEnd w:id="201"/>
    </w:p>
    <w:p w14:paraId="43EE710A" w14:textId="77777777" w:rsidR="00905EE4" w:rsidRPr="008D2D8C" w:rsidRDefault="00905EE4" w:rsidP="00905EE4">
      <w:pPr>
        <w:pStyle w:val="Paragraph"/>
        <w:rPr>
          <w:rFonts w:eastAsia="Calibri"/>
          <w:lang w:val="sq-AL"/>
        </w:rPr>
      </w:pPr>
      <w:bookmarkStart w:id="202" w:name="_Ref153035983"/>
      <w:bookmarkStart w:id="203" w:name="_Toc153872127"/>
      <w:bookmarkStart w:id="204" w:name="_Toc170470832"/>
      <w:r w:rsidRPr="003A129D">
        <w:rPr>
          <w:rFonts w:eastAsia="Calibri"/>
          <w:lang w:val="sq-AL"/>
        </w:rPr>
        <w:t xml:space="preserve">Asnjë stacion transferi nuk është në përdorim në </w:t>
      </w:r>
      <w:r>
        <w:rPr>
          <w:rFonts w:eastAsia="Calibri"/>
          <w:lang w:val="sq-AL"/>
        </w:rPr>
        <w:t>Zonat e Menaxhimit të Mbeturinave (ZMM)</w:t>
      </w:r>
      <w:r w:rsidRPr="003A129D">
        <w:rPr>
          <w:rFonts w:eastAsia="Calibri"/>
          <w:lang w:val="sq-AL"/>
        </w:rPr>
        <w:t xml:space="preserve">. Një lokacion në Istog fillimisht ishte paraparë të shfrytëzohej si stacion transferi nga ku mbeturinat do të transportoheshin në deponinë rajonale të Pejës. Mirëpo, për shkak të problemeve fillestare të pajisjeve dhe kostove të larta të transportit deri në deponinë e Pejës, lokacioni në Istog përfundoi duke u përdorur si </w:t>
      </w:r>
      <w:r>
        <w:rPr>
          <w:rFonts w:eastAsia="Calibri"/>
          <w:lang w:val="sq-AL"/>
        </w:rPr>
        <w:t>deponi</w:t>
      </w:r>
      <w:r w:rsidRPr="003A129D">
        <w:rPr>
          <w:rFonts w:eastAsia="Calibri"/>
          <w:lang w:val="sq-AL"/>
        </w:rPr>
        <w:t>. Ky i fundit tani është i mbyllur dhe mbeturinat nga Istogu transportohen direkt në deponinë rajonale në Pejë.</w:t>
      </w:r>
    </w:p>
    <w:p w14:paraId="4753764E" w14:textId="77777777" w:rsidR="00032CD8" w:rsidRPr="00C21444" w:rsidRDefault="00032CD8" w:rsidP="002254E8">
      <w:pPr>
        <w:pStyle w:val="Heading3"/>
      </w:pPr>
      <w:bookmarkStart w:id="205" w:name="_Toc197471980"/>
      <w:r w:rsidRPr="00C21444">
        <w:lastRenderedPageBreak/>
        <w:t>Rikuperimi i mbeturinave</w:t>
      </w:r>
      <w:bookmarkEnd w:id="202"/>
      <w:bookmarkEnd w:id="203"/>
      <w:bookmarkEnd w:id="204"/>
      <w:bookmarkEnd w:id="205"/>
    </w:p>
    <w:p w14:paraId="25C5BCDC" w14:textId="77777777" w:rsidR="00905EE4" w:rsidRPr="008D2D8C" w:rsidRDefault="00905EE4" w:rsidP="00905EE4">
      <w:pPr>
        <w:pStyle w:val="Paragraph"/>
        <w:rPr>
          <w:rFonts w:eastAsia="Calibri"/>
          <w:lang w:val="sq-AL"/>
        </w:rPr>
      </w:pPr>
      <w:bookmarkStart w:id="206" w:name="_Hlk197203578"/>
      <w:bookmarkStart w:id="207" w:name="_Toc151378132"/>
      <w:r>
        <w:rPr>
          <w:rFonts w:eastAsia="Calibri"/>
          <w:lang w:val="sq-AL"/>
        </w:rPr>
        <w:t>Në ZMM</w:t>
      </w:r>
      <w:r w:rsidRPr="00DC366D">
        <w:rPr>
          <w:rFonts w:eastAsia="Calibri"/>
          <w:lang w:val="sq-AL"/>
        </w:rPr>
        <w:t>-</w:t>
      </w:r>
      <w:r>
        <w:rPr>
          <w:rFonts w:eastAsia="Calibri"/>
          <w:lang w:val="sq-AL"/>
        </w:rPr>
        <w:t>t</w:t>
      </w:r>
      <w:r w:rsidRPr="00DC366D">
        <w:rPr>
          <w:rFonts w:eastAsia="Calibri"/>
          <w:lang w:val="sq-AL"/>
        </w:rPr>
        <w:t>ë mungojnë objektet formale të trajtimit për fraksionet e ndryshme të mbet</w:t>
      </w:r>
      <w:r>
        <w:rPr>
          <w:rFonts w:eastAsia="Calibri"/>
          <w:lang w:val="sq-AL"/>
        </w:rPr>
        <w:t>urinave</w:t>
      </w:r>
      <w:r w:rsidRPr="00DC366D">
        <w:rPr>
          <w:rFonts w:eastAsia="Calibri"/>
          <w:lang w:val="sq-AL"/>
        </w:rPr>
        <w:t xml:space="preserve"> që </w:t>
      </w:r>
      <w:r>
        <w:rPr>
          <w:rFonts w:eastAsia="Calibri"/>
          <w:lang w:val="sq-AL"/>
        </w:rPr>
        <w:t>gjenerohen</w:t>
      </w:r>
      <w:r w:rsidRPr="00DC366D">
        <w:rPr>
          <w:rFonts w:eastAsia="Calibri"/>
          <w:lang w:val="sq-AL"/>
        </w:rPr>
        <w:t xml:space="preserve"> në rajon. Ky është një nga faktorët kryesorë kufizues për trajtimin e duhur të mbet</w:t>
      </w:r>
      <w:r>
        <w:rPr>
          <w:rFonts w:eastAsia="Calibri"/>
          <w:lang w:val="sq-AL"/>
        </w:rPr>
        <w:t>urinave në ZMM.</w:t>
      </w:r>
      <w:bookmarkEnd w:id="206"/>
    </w:p>
    <w:p w14:paraId="208FEE2E" w14:textId="119E2FE4" w:rsidR="0027522D" w:rsidRDefault="0027522D" w:rsidP="008337EE">
      <w:pPr>
        <w:rPr>
          <w:rFonts w:eastAsia="Calibri" w:cs="Calibri"/>
          <w:sz w:val="22"/>
          <w:szCs w:val="22"/>
        </w:rPr>
      </w:pPr>
    </w:p>
    <w:p w14:paraId="29990B6B" w14:textId="77777777" w:rsidR="00DC3700" w:rsidRPr="008D2D8C" w:rsidRDefault="00DC3700" w:rsidP="00DC3700">
      <w:pPr>
        <w:pStyle w:val="Paragraph"/>
        <w:rPr>
          <w:rFonts w:eastAsia="Calibri"/>
          <w:lang w:val="sq-AL"/>
        </w:rPr>
      </w:pPr>
      <w:r w:rsidRPr="008D2D8C">
        <w:rPr>
          <w:rFonts w:eastAsia="Calibri"/>
          <w:noProof/>
          <w:lang w:val="sq-AL"/>
        </w:rPr>
        <w:drawing>
          <wp:anchor distT="0" distB="0" distL="114300" distR="114300" simplePos="0" relativeHeight="251688960" behindDoc="0" locked="0" layoutInCell="1" allowOverlap="1" wp14:anchorId="6F57D319" wp14:editId="174A4E03">
            <wp:simplePos x="0" y="0"/>
            <wp:positionH relativeFrom="column">
              <wp:posOffset>3035300</wp:posOffset>
            </wp:positionH>
            <wp:positionV relativeFrom="paragraph">
              <wp:posOffset>23495</wp:posOffset>
            </wp:positionV>
            <wp:extent cx="2594610" cy="1226820"/>
            <wp:effectExtent l="0" t="0" r="0" b="0"/>
            <wp:wrapSquare wrapText="bothSides"/>
            <wp:docPr id="2005275146" name="Picture 3" descr="A large pile of garb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75146" name="Picture 3" descr="A large pile of garbag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94610" cy="1226820"/>
                    </a:xfrm>
                    <a:prstGeom prst="rect">
                      <a:avLst/>
                    </a:prstGeom>
                  </pic:spPr>
                </pic:pic>
              </a:graphicData>
            </a:graphic>
            <wp14:sizeRelH relativeFrom="page">
              <wp14:pctWidth>0</wp14:pctWidth>
            </wp14:sizeRelH>
            <wp14:sizeRelV relativeFrom="page">
              <wp14:pctHeight>0</wp14:pctHeight>
            </wp14:sizeRelV>
          </wp:anchor>
        </w:drawing>
      </w:r>
      <w:r w:rsidRPr="00DC366D">
        <w:rPr>
          <w:rFonts w:eastAsia="Calibri"/>
          <w:lang w:val="sq-AL"/>
        </w:rPr>
        <w:t>Një rol aktiv në grumbullimin e veçantë të shumëllojshmërisë së materialeve të riciklueshme ka Euro Steel Nushi Ltd</w:t>
      </w:r>
      <w:r>
        <w:rPr>
          <w:rFonts w:eastAsia="Calibri"/>
          <w:lang w:val="sq-AL"/>
        </w:rPr>
        <w:t>,</w:t>
      </w:r>
      <w:r w:rsidRPr="00DC366D">
        <w:rPr>
          <w:rFonts w:eastAsia="Calibri"/>
          <w:lang w:val="sq-AL"/>
        </w:rPr>
        <w:t xml:space="preserve"> </w:t>
      </w:r>
      <w:r>
        <w:rPr>
          <w:rFonts w:eastAsia="Calibri"/>
          <w:lang w:val="sq-AL"/>
        </w:rPr>
        <w:t>k</w:t>
      </w:r>
      <w:r w:rsidRPr="00DC366D">
        <w:rPr>
          <w:rFonts w:eastAsia="Calibri"/>
          <w:lang w:val="sq-AL"/>
        </w:rPr>
        <w:t xml:space="preserve">ompania </w:t>
      </w:r>
      <w:r>
        <w:rPr>
          <w:rFonts w:eastAsia="Calibri"/>
          <w:lang w:val="sq-AL"/>
        </w:rPr>
        <w:t xml:space="preserve">për ndërtim dhe riciklim, </w:t>
      </w:r>
      <w:r w:rsidRPr="00DC366D">
        <w:rPr>
          <w:rFonts w:eastAsia="Calibri"/>
          <w:lang w:val="sq-AL"/>
        </w:rPr>
        <w:t>me seli në qytetin e Pejës. Kompania mbledh materiale të riciklueshme kryesisht nga bizneset në të gjithë rajonin dhe ka vendosur kontakte me ricikluesit në tregun ndërkombëtar. Kompania aktualisht është duke ofruar shërbimin e grumbullimit të mbeturinave edhe për Komunën e Junikut.</w:t>
      </w:r>
    </w:p>
    <w:p w14:paraId="19AFED31" w14:textId="77777777" w:rsidR="008337EE" w:rsidRPr="00AF0235" w:rsidRDefault="008337EE" w:rsidP="008337EE">
      <w:pPr>
        <w:rPr>
          <w:rFonts w:eastAsia="Calibri" w:cs="Calibri"/>
          <w:sz w:val="22"/>
          <w:szCs w:val="22"/>
        </w:rPr>
      </w:pPr>
    </w:p>
    <w:p w14:paraId="0D2B3A02" w14:textId="6F1BB4D5" w:rsidR="008337EE" w:rsidRPr="00AF0235" w:rsidRDefault="00DC3700" w:rsidP="001D3489">
      <w:pPr>
        <w:pStyle w:val="Paragraph"/>
        <w:rPr>
          <w:rFonts w:eastAsia="Calibri"/>
        </w:rPr>
      </w:pPr>
      <w:r>
        <w:rPr>
          <w:rFonts w:eastAsia="Calibri"/>
        </w:rPr>
        <w:t>SKMIM</w:t>
      </w:r>
      <w:r w:rsidR="008337EE" w:rsidRPr="00AF0235">
        <w:rPr>
          <w:rFonts w:eastAsia="Calibri"/>
        </w:rPr>
        <w:t xml:space="preserve"> </w:t>
      </w:r>
      <w:r>
        <w:rPr>
          <w:rFonts w:eastAsia="Calibri"/>
        </w:rPr>
        <w:t>e</w:t>
      </w:r>
      <w:r w:rsidR="008337EE" w:rsidRPr="00AF0235">
        <w:rPr>
          <w:rFonts w:eastAsia="Calibri"/>
        </w:rPr>
        <w:t xml:space="preserve"> përditësuar parashikon infrastrukturën e mëposhtme të riciklimit dhe rikuperimit të mbeturinave për të gjithë ZM</w:t>
      </w:r>
      <w:r>
        <w:rPr>
          <w:rFonts w:eastAsia="Calibri"/>
        </w:rPr>
        <w:t>M</w:t>
      </w:r>
      <w:r w:rsidR="008337EE" w:rsidRPr="00AF0235">
        <w:rPr>
          <w:rFonts w:eastAsia="Calibri"/>
        </w:rPr>
        <w:t>-në:</w:t>
      </w:r>
    </w:p>
    <w:p w14:paraId="2668F75B" w14:textId="266380FE" w:rsidR="00DC3700" w:rsidRDefault="00DC3700" w:rsidP="001D3489">
      <w:pPr>
        <w:pStyle w:val="Bullet"/>
      </w:pPr>
      <w:r>
        <w:rPr>
          <w:lang w:val="sq-AL"/>
        </w:rPr>
        <w:t>O</w:t>
      </w:r>
      <w:r w:rsidRPr="00DC366D">
        <w:rPr>
          <w:lang w:val="sq-AL"/>
        </w:rPr>
        <w:t>bjekt</w:t>
      </w:r>
      <w:r>
        <w:rPr>
          <w:lang w:val="sq-AL"/>
        </w:rPr>
        <w:t>i</w:t>
      </w:r>
      <w:r w:rsidRPr="00DC366D">
        <w:rPr>
          <w:lang w:val="sq-AL"/>
        </w:rPr>
        <w:t xml:space="preserve"> për rikuperimin e material</w:t>
      </w:r>
      <w:r>
        <w:rPr>
          <w:lang w:val="sq-AL"/>
        </w:rPr>
        <w:t>eve</w:t>
      </w:r>
      <w:r w:rsidRPr="00DC366D">
        <w:rPr>
          <w:lang w:val="sq-AL"/>
        </w:rPr>
        <w:t xml:space="preserve"> </w:t>
      </w:r>
      <w:r>
        <w:rPr>
          <w:lang w:val="sq-AL"/>
        </w:rPr>
        <w:t>(ORM/MRF)</w:t>
      </w:r>
      <w:r w:rsidRPr="00DC366D">
        <w:rPr>
          <w:lang w:val="sq-AL"/>
        </w:rPr>
        <w:t xml:space="preserve"> në Pejë për materialet e riciklueshme të grumbulluara </w:t>
      </w:r>
      <w:r>
        <w:rPr>
          <w:lang w:val="sq-AL"/>
        </w:rPr>
        <w:t>ndaras</w:t>
      </w:r>
      <w:r w:rsidRPr="00AF0235">
        <w:t xml:space="preserve"> </w:t>
      </w:r>
    </w:p>
    <w:p w14:paraId="663967E9" w14:textId="1D4FF8A1" w:rsidR="008337EE" w:rsidRPr="00AF0235" w:rsidRDefault="00DC3700" w:rsidP="001D3489">
      <w:pPr>
        <w:pStyle w:val="Bullet"/>
      </w:pPr>
      <w:r>
        <w:t>I</w:t>
      </w:r>
      <w:r w:rsidR="008337EE" w:rsidRPr="00AF0235">
        <w:t xml:space="preserve">mpianti i kompostimit për mbeturinat e gjelbra të </w:t>
      </w:r>
      <w:r>
        <w:t>grumbulluara ndaras</w:t>
      </w:r>
      <w:r w:rsidR="008337EE" w:rsidRPr="00AF0235">
        <w:t xml:space="preserve"> në Z</w:t>
      </w:r>
      <w:r>
        <w:t>MM.</w:t>
      </w:r>
    </w:p>
    <w:p w14:paraId="435443CA" w14:textId="4C50DC93" w:rsidR="008337EE" w:rsidRPr="00AF0235" w:rsidRDefault="008337EE" w:rsidP="001D3489">
      <w:pPr>
        <w:pStyle w:val="Bullet"/>
      </w:pPr>
      <w:r w:rsidRPr="00AF0235">
        <w:t>Impiant</w:t>
      </w:r>
      <w:r w:rsidR="00DC3700">
        <w:t>i i</w:t>
      </w:r>
      <w:r w:rsidRPr="00AF0235">
        <w:t xml:space="preserve"> trajtimi mekaniko-biologjik (</w:t>
      </w:r>
      <w:r w:rsidR="00DC3700">
        <w:t>TMB/</w:t>
      </w:r>
      <w:r w:rsidRPr="00AF0235">
        <w:t xml:space="preserve">MBT) për mbeturinat e përziera komunale </w:t>
      </w:r>
      <w:r w:rsidR="00DC3700">
        <w:t>për</w:t>
      </w:r>
      <w:r w:rsidRPr="00AF0235">
        <w:t xml:space="preserve"> prodhimin e karburantit të </w:t>
      </w:r>
      <w:r w:rsidR="00DC3700">
        <w:t>derivuar</w:t>
      </w:r>
      <w:r w:rsidRPr="00AF0235">
        <w:t xml:space="preserve"> nga mbeturinat (</w:t>
      </w:r>
      <w:r w:rsidR="00DC3700">
        <w:t>KDM/</w:t>
      </w:r>
      <w:r w:rsidRPr="00AF0235">
        <w:t>RDF) për të gjithë Z</w:t>
      </w:r>
      <w:r w:rsidR="006B0998">
        <w:t>MM</w:t>
      </w:r>
      <w:r w:rsidRPr="00AF0235">
        <w:t>-në</w:t>
      </w:r>
    </w:p>
    <w:p w14:paraId="12B976AD" w14:textId="453BCE80" w:rsidR="008337EE" w:rsidRPr="00AF0235" w:rsidRDefault="00DC3700" w:rsidP="001D3489">
      <w:pPr>
        <w:pStyle w:val="Bullet"/>
      </w:pPr>
      <w:r>
        <w:t>T</w:t>
      </w:r>
      <w:r w:rsidR="008337EE" w:rsidRPr="00AF0235">
        <w:t xml:space="preserve">retje anaerobe për mbeturinat ushqimore të </w:t>
      </w:r>
      <w:r>
        <w:t>grumbulluara ndaras</w:t>
      </w:r>
      <w:r w:rsidR="008337EE" w:rsidRPr="00AF0235">
        <w:t xml:space="preserve"> n</w:t>
      </w:r>
      <w:r>
        <w:t>ë</w:t>
      </w:r>
      <w:r w:rsidR="008337EE" w:rsidRPr="00AF0235">
        <w:t xml:space="preserve"> zonat urbane për të gjithë Z</w:t>
      </w:r>
      <w:r>
        <w:t>MM</w:t>
      </w:r>
      <w:r w:rsidR="008337EE" w:rsidRPr="00AF0235">
        <w:t>-në</w:t>
      </w:r>
      <w:r>
        <w:t>.</w:t>
      </w:r>
    </w:p>
    <w:p w14:paraId="700A799A" w14:textId="77777777" w:rsidR="008337EE" w:rsidRPr="00AF0235" w:rsidRDefault="008337EE" w:rsidP="008337EE">
      <w:pPr>
        <w:rPr>
          <w:rFonts w:eastAsia="Calibri" w:cs="Calibri"/>
          <w:sz w:val="22"/>
          <w:szCs w:val="22"/>
        </w:rPr>
      </w:pPr>
    </w:p>
    <w:p w14:paraId="090F5581" w14:textId="343A4B19" w:rsidR="00DC3700" w:rsidRPr="00DC366D" w:rsidRDefault="00DC3700" w:rsidP="00DC3700">
      <w:pPr>
        <w:pStyle w:val="Paragraph"/>
        <w:rPr>
          <w:rFonts w:eastAsia="Calibri"/>
          <w:lang w:val="sq-AL"/>
        </w:rPr>
      </w:pPr>
      <w:r>
        <w:rPr>
          <w:rFonts w:eastAsia="Calibri"/>
          <w:lang w:val="sq-AL"/>
        </w:rPr>
        <w:t>KDM</w:t>
      </w:r>
      <w:r w:rsidRPr="00DC366D">
        <w:rPr>
          <w:rFonts w:eastAsia="Calibri"/>
          <w:lang w:val="sq-AL"/>
        </w:rPr>
        <w:t>-ja e prodhuar nga të gjitha</w:t>
      </w:r>
      <w:r>
        <w:rPr>
          <w:rFonts w:eastAsia="Calibri"/>
          <w:lang w:val="sq-AL"/>
        </w:rPr>
        <w:t xml:space="preserve"> ZMM</w:t>
      </w:r>
      <w:r w:rsidRPr="00DC366D">
        <w:rPr>
          <w:rFonts w:eastAsia="Calibri"/>
          <w:lang w:val="sq-AL"/>
        </w:rPr>
        <w:t xml:space="preserve">-të në vend do të trajtohet në një objekt </w:t>
      </w:r>
      <w:r>
        <w:rPr>
          <w:rFonts w:eastAsia="Calibri"/>
          <w:lang w:val="sq-AL"/>
        </w:rPr>
        <w:t>qendror nacional</w:t>
      </w:r>
      <w:r w:rsidRPr="00DC366D">
        <w:rPr>
          <w:rFonts w:eastAsia="Calibri"/>
          <w:lang w:val="sq-AL"/>
        </w:rPr>
        <w:t xml:space="preserve"> të caktuar për djegien e </w:t>
      </w:r>
      <w:r>
        <w:rPr>
          <w:rFonts w:eastAsia="Calibri"/>
          <w:lang w:val="sq-AL"/>
        </w:rPr>
        <w:t>KDM</w:t>
      </w:r>
      <w:r w:rsidRPr="00DC366D">
        <w:rPr>
          <w:rFonts w:eastAsia="Calibri"/>
          <w:lang w:val="sq-AL"/>
        </w:rPr>
        <w:t>-së me rikuperim energjie.</w:t>
      </w:r>
    </w:p>
    <w:p w14:paraId="67EE76C9" w14:textId="0CDD61C6" w:rsidR="00032CD8" w:rsidRPr="00AF0235" w:rsidRDefault="0027522D" w:rsidP="001D3489">
      <w:pPr>
        <w:pStyle w:val="Paragraph"/>
        <w:rPr>
          <w:rFonts w:eastAsia="Calibri"/>
          <w:b/>
          <w:bCs/>
        </w:rPr>
      </w:pPr>
      <w:r>
        <w:rPr>
          <w:rFonts w:eastAsia="Calibri"/>
        </w:rPr>
        <w:t xml:space="preserve">Një studim fizibiliteti për krijimin e një </w:t>
      </w:r>
      <w:r w:rsidR="00DC3700">
        <w:rPr>
          <w:rFonts w:eastAsia="Calibri"/>
        </w:rPr>
        <w:t>ORM</w:t>
      </w:r>
      <w:r>
        <w:rPr>
          <w:rFonts w:eastAsia="Calibri"/>
        </w:rPr>
        <w:t>-je në Pejë është kryer tashmë.</w:t>
      </w:r>
    </w:p>
    <w:p w14:paraId="7F61664F" w14:textId="22B1055F" w:rsidR="00032CD8" w:rsidRPr="00C21444" w:rsidRDefault="00DC3700" w:rsidP="002254E8">
      <w:pPr>
        <w:pStyle w:val="Heading3"/>
      </w:pPr>
      <w:bookmarkStart w:id="208" w:name="_Toc153872128"/>
      <w:bookmarkStart w:id="209" w:name="_Toc170470833"/>
      <w:bookmarkStart w:id="210" w:name="_Toc197471981"/>
      <w:bookmarkEnd w:id="207"/>
      <w:r>
        <w:t>Deponimi</w:t>
      </w:r>
      <w:r w:rsidR="00032CD8" w:rsidRPr="00C21444">
        <w:t xml:space="preserve"> i mbeturinave</w:t>
      </w:r>
      <w:bookmarkEnd w:id="208"/>
      <w:bookmarkEnd w:id="209"/>
      <w:bookmarkEnd w:id="210"/>
    </w:p>
    <w:p w14:paraId="7DD71AD0" w14:textId="4AA6EDB8" w:rsidR="00853812" w:rsidRPr="00853812" w:rsidRDefault="00853812" w:rsidP="001D3489">
      <w:pPr>
        <w:pStyle w:val="High"/>
      </w:pPr>
      <w:r w:rsidRPr="00853812">
        <w:t>Deponia e Pejës</w:t>
      </w:r>
    </w:p>
    <w:p w14:paraId="1F1A5971" w14:textId="45146D8D" w:rsidR="00DC3700" w:rsidRPr="008D2D8C" w:rsidRDefault="00DC3700" w:rsidP="00DC3700">
      <w:pPr>
        <w:pStyle w:val="Paragraph"/>
        <w:rPr>
          <w:rFonts w:eastAsia="Calibri"/>
          <w:lang w:val="sq-AL"/>
        </w:rPr>
      </w:pPr>
      <w:r w:rsidRPr="00DC366D">
        <w:rPr>
          <w:rFonts w:eastAsia="Calibri"/>
          <w:lang w:val="sq-AL"/>
        </w:rPr>
        <w:t xml:space="preserve">Të gjitha komunat e rajonit i deponojnë mbeturinat e tyre komunale në deponinë e Pejës. Deponia e Pejës është ndërtuar në vitin 2001. Është projektuar në sipërfaqe prej 3.6 ha, me gjeomembranë të vendosur në sipërfaqe prej 3 ha. Është projektuar me një kapacitet prej 1.5 milion </w:t>
      </w:r>
      <w:r w:rsidR="000607BF" w:rsidRPr="000607BF">
        <w:rPr>
          <w:color w:val="auto"/>
          <w:lang w:eastAsia="en-GB"/>
        </w:rPr>
        <w:t>m</w:t>
      </w:r>
      <w:r w:rsidR="000607BF" w:rsidRPr="000607BF">
        <w:rPr>
          <w:color w:val="auto"/>
          <w:vertAlign w:val="superscript"/>
          <w:lang w:eastAsia="en-GB"/>
        </w:rPr>
        <w:t>3</w:t>
      </w:r>
      <w:r w:rsidRPr="00DC366D">
        <w:rPr>
          <w:rFonts w:eastAsia="Calibri"/>
          <w:lang w:val="sq-AL"/>
        </w:rPr>
        <w:t xml:space="preserve">. </w:t>
      </w:r>
      <w:r w:rsidR="000607BF">
        <w:rPr>
          <w:rFonts w:eastAsia="Calibri"/>
          <w:lang w:val="sq-AL"/>
        </w:rPr>
        <w:t>Fillimisht, s</w:t>
      </w:r>
      <w:r w:rsidRPr="00DC366D">
        <w:rPr>
          <w:rFonts w:eastAsia="Calibri"/>
          <w:lang w:val="sq-AL"/>
        </w:rPr>
        <w:t xml:space="preserve">tacioni i pompës së riqarkullimit të kullimit është jashtë funksionit duke çuar në rrjedhjet dhe ujërat sipërfaqësore të kontaminuara që rrjedhin nga zona e </w:t>
      </w:r>
      <w:r>
        <w:rPr>
          <w:rFonts w:eastAsia="Calibri"/>
          <w:lang w:val="sq-AL"/>
        </w:rPr>
        <w:t>deponisë</w:t>
      </w:r>
      <w:r w:rsidRPr="00DC366D">
        <w:rPr>
          <w:rFonts w:eastAsia="Calibri"/>
          <w:lang w:val="sq-AL"/>
        </w:rPr>
        <w:t>. Vetëm procedura të kufizuara operacionale zbatoheshin në baza ditore – profilizimi dhe ngjeshja e mbetj</w:t>
      </w:r>
      <w:r>
        <w:rPr>
          <w:rFonts w:eastAsia="Calibri"/>
          <w:lang w:val="sq-AL"/>
        </w:rPr>
        <w:t>urinave</w:t>
      </w:r>
      <w:r w:rsidRPr="00DC366D">
        <w:rPr>
          <w:rFonts w:eastAsia="Calibri"/>
          <w:lang w:val="sq-AL"/>
        </w:rPr>
        <w:t xml:space="preserve">. Aktualisht, trupi i </w:t>
      </w:r>
      <w:r>
        <w:rPr>
          <w:rFonts w:eastAsia="Calibri"/>
          <w:lang w:val="sq-AL"/>
        </w:rPr>
        <w:t>deponisë</w:t>
      </w:r>
      <w:r w:rsidRPr="00DC366D">
        <w:rPr>
          <w:rFonts w:eastAsia="Calibri"/>
          <w:lang w:val="sq-AL"/>
        </w:rPr>
        <w:t xml:space="preserve"> është shumë i lartë dhe pothuajse nuk zbatohen procedura opera</w:t>
      </w:r>
      <w:r w:rsidR="000607BF">
        <w:rPr>
          <w:rFonts w:eastAsia="Calibri"/>
          <w:lang w:val="sq-AL"/>
        </w:rPr>
        <w:t>cionale</w:t>
      </w:r>
      <w:r w:rsidRPr="00DC366D">
        <w:rPr>
          <w:rFonts w:eastAsia="Calibri"/>
          <w:lang w:val="sq-AL"/>
        </w:rPr>
        <w:t xml:space="preserve">. Kapaciteti i </w:t>
      </w:r>
      <w:r>
        <w:rPr>
          <w:rFonts w:eastAsia="Calibri"/>
          <w:lang w:val="sq-AL"/>
        </w:rPr>
        <w:t>deponisë</w:t>
      </w:r>
      <w:r w:rsidRPr="00DC366D">
        <w:rPr>
          <w:rFonts w:eastAsia="Calibri"/>
          <w:lang w:val="sq-AL"/>
        </w:rPr>
        <w:t xml:space="preserve"> është varfëruar për një kohë të gjatë.</w:t>
      </w:r>
    </w:p>
    <w:p w14:paraId="4C009E0B" w14:textId="77777777" w:rsidR="00853812" w:rsidRDefault="00853812" w:rsidP="00032CD8">
      <w:pPr>
        <w:rPr>
          <w:rFonts w:eastAsia="Calibri" w:cs="Calibri"/>
          <w:color w:val="FF0000"/>
          <w:sz w:val="22"/>
          <w:szCs w:val="22"/>
        </w:rPr>
      </w:pPr>
    </w:p>
    <w:p w14:paraId="591CB02C" w14:textId="48F75325" w:rsidR="00DD2BDD" w:rsidRDefault="00DD2BDD" w:rsidP="00032CD8">
      <w:pPr>
        <w:rPr>
          <w:rFonts w:eastAsia="Calibri" w:cs="Calibri"/>
          <w:color w:val="FF0000"/>
          <w:sz w:val="22"/>
          <w:szCs w:val="22"/>
        </w:rPr>
      </w:pPr>
      <w:r>
        <w:rPr>
          <w:rFonts w:eastAsia="Calibri" w:cs="Calibri"/>
          <w:noProof/>
          <w:color w:val="FF0000"/>
          <w:sz w:val="22"/>
          <w:szCs w:val="22"/>
        </w:rPr>
        <w:lastRenderedPageBreak/>
        <w:drawing>
          <wp:inline distT="0" distB="0" distL="0" distR="0" wp14:anchorId="533D8576" wp14:editId="6BC868EC">
            <wp:extent cx="5731510" cy="2710180"/>
            <wp:effectExtent l="0" t="0" r="2540" b="0"/>
            <wp:docPr id="1297870467" name="Picture 3" descr="A hill with bushes and a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870467" name="Picture 3" descr="A hill with bushes and a blue sky&#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731510" cy="2710180"/>
                    </a:xfrm>
                    <a:prstGeom prst="rect">
                      <a:avLst/>
                    </a:prstGeom>
                  </pic:spPr>
                </pic:pic>
              </a:graphicData>
            </a:graphic>
          </wp:inline>
        </w:drawing>
      </w:r>
    </w:p>
    <w:p w14:paraId="57E13B7B" w14:textId="7D9466E9" w:rsidR="00DD2BDD" w:rsidRPr="00853812" w:rsidRDefault="00853812" w:rsidP="009E4794">
      <w:pPr>
        <w:pStyle w:val="Figure"/>
        <w:rPr>
          <w:rFonts w:eastAsia="Calibri"/>
        </w:rPr>
      </w:pPr>
      <w:bookmarkStart w:id="211" w:name="_Toc197472317"/>
      <w:r w:rsidRPr="006347D6">
        <w:rPr>
          <w:rFonts w:eastAsia="Calibri" w:cs="Calibri"/>
          <w:sz w:val="20"/>
          <w:szCs w:val="20"/>
        </w:rPr>
        <w:t xml:space="preserve">Figura </w:t>
      </w:r>
      <w:r w:rsidRPr="006347D6">
        <w:rPr>
          <w:rFonts w:eastAsia="Calibri" w:cs="Calibri"/>
          <w:sz w:val="20"/>
          <w:szCs w:val="20"/>
        </w:rPr>
        <w:fldChar w:fldCharType="begin"/>
      </w:r>
      <w:r w:rsidRPr="006347D6">
        <w:rPr>
          <w:rFonts w:eastAsia="Calibri" w:cs="Calibri"/>
          <w:sz w:val="20"/>
          <w:szCs w:val="20"/>
        </w:rPr>
        <w:instrText xml:space="preserve"> SEQ Figure \* ARABIC </w:instrText>
      </w:r>
      <w:r w:rsidRPr="006347D6">
        <w:rPr>
          <w:rFonts w:eastAsia="Calibri" w:cs="Calibri"/>
          <w:sz w:val="20"/>
          <w:szCs w:val="20"/>
        </w:rPr>
        <w:fldChar w:fldCharType="separate"/>
      </w:r>
      <w:r w:rsidR="00C97DF3">
        <w:rPr>
          <w:rFonts w:eastAsia="Calibri" w:cs="Calibri"/>
          <w:noProof/>
          <w:sz w:val="20"/>
          <w:szCs w:val="20"/>
        </w:rPr>
        <w:t xml:space="preserve">15. </w:t>
      </w:r>
      <w:r w:rsidRPr="006347D6">
        <w:rPr>
          <w:rFonts w:eastAsia="Calibri" w:cs="Calibri"/>
          <w:sz w:val="20"/>
          <w:szCs w:val="20"/>
        </w:rPr>
        <w:fldChar w:fldCharType="end"/>
      </w:r>
      <w:r w:rsidRPr="006347D6">
        <w:rPr>
          <w:rFonts w:eastAsia="Calibri" w:cs="Calibri"/>
          <w:sz w:val="20"/>
          <w:szCs w:val="20"/>
        </w:rPr>
        <w:t xml:space="preserve">Pamje e deponisë </w:t>
      </w:r>
      <w:r w:rsidR="006B0998">
        <w:rPr>
          <w:rFonts w:eastAsia="Calibri" w:cs="Calibri"/>
          <w:sz w:val="20"/>
          <w:szCs w:val="20"/>
        </w:rPr>
        <w:t>n</w:t>
      </w:r>
      <w:r w:rsidRPr="006347D6">
        <w:rPr>
          <w:rFonts w:eastAsia="Calibri" w:cs="Calibri"/>
          <w:sz w:val="20"/>
          <w:szCs w:val="20"/>
        </w:rPr>
        <w:t>ë Sverk</w:t>
      </w:r>
      <w:r w:rsidR="000607BF">
        <w:rPr>
          <w:rFonts w:eastAsia="Calibri" w:cs="Calibri"/>
          <w:sz w:val="20"/>
          <w:szCs w:val="20"/>
        </w:rPr>
        <w:t>ë</w:t>
      </w:r>
      <w:bookmarkEnd w:id="211"/>
    </w:p>
    <w:p w14:paraId="1C06B8FF" w14:textId="77777777" w:rsidR="006A4B75" w:rsidRPr="008D2D8C" w:rsidRDefault="006A4B75" w:rsidP="006A4B75">
      <w:pPr>
        <w:pStyle w:val="Paragraph"/>
        <w:rPr>
          <w:rFonts w:eastAsia="Calibri"/>
          <w:lang w:val="sq-AL"/>
        </w:rPr>
      </w:pPr>
      <w:r w:rsidRPr="00DC366D">
        <w:rPr>
          <w:rFonts w:eastAsia="Calibri"/>
          <w:lang w:val="sq-AL"/>
        </w:rPr>
        <w:t xml:space="preserve">Projektimi i detajuar dhe dokumentet e tenderit për mbylljen e lokacionit ekzistues dhe ndërtimin e </w:t>
      </w:r>
      <w:r>
        <w:rPr>
          <w:rFonts w:eastAsia="Calibri"/>
          <w:lang w:val="sq-AL"/>
        </w:rPr>
        <w:t>deponisë</w:t>
      </w:r>
      <w:r w:rsidRPr="00DC366D">
        <w:rPr>
          <w:rFonts w:eastAsia="Calibri"/>
          <w:lang w:val="sq-AL"/>
        </w:rPr>
        <w:t xml:space="preserve"> të r</w:t>
      </w:r>
      <w:r>
        <w:rPr>
          <w:rFonts w:eastAsia="Calibri"/>
          <w:lang w:val="sq-AL"/>
        </w:rPr>
        <w:t xml:space="preserve">e </w:t>
      </w:r>
      <w:r w:rsidRPr="00DC366D">
        <w:rPr>
          <w:rFonts w:eastAsia="Calibri"/>
          <w:lang w:val="sq-AL"/>
        </w:rPr>
        <w:t xml:space="preserve">janë në përgatitje dhe rishikim tash e disa vite. Plani parashikon mbylljen dhe rehabilitimin e zonës ekzistuese të depozitimit; dhe ndërtimi i një qelie </w:t>
      </w:r>
      <w:r>
        <w:rPr>
          <w:rFonts w:eastAsia="Calibri"/>
          <w:lang w:val="sq-AL"/>
        </w:rPr>
        <w:t>deponie</w:t>
      </w:r>
      <w:r w:rsidRPr="00DC366D">
        <w:rPr>
          <w:rFonts w:eastAsia="Calibri"/>
          <w:lang w:val="sq-AL"/>
        </w:rPr>
        <w:t xml:space="preserve">, si një zgjatim i </w:t>
      </w:r>
      <w:r>
        <w:rPr>
          <w:rFonts w:eastAsia="Calibri"/>
          <w:lang w:val="sq-AL"/>
        </w:rPr>
        <w:t>deponisë</w:t>
      </w:r>
      <w:r w:rsidRPr="00DC366D">
        <w:rPr>
          <w:rFonts w:eastAsia="Calibri"/>
          <w:lang w:val="sq-AL"/>
        </w:rPr>
        <w:t xml:space="preserve"> aktual</w:t>
      </w:r>
      <w:r>
        <w:rPr>
          <w:rFonts w:eastAsia="Calibri"/>
          <w:lang w:val="sq-AL"/>
        </w:rPr>
        <w:t>e</w:t>
      </w:r>
      <w:r w:rsidRPr="00DC366D">
        <w:rPr>
          <w:rFonts w:eastAsia="Calibri"/>
          <w:lang w:val="sq-AL"/>
        </w:rPr>
        <w:t xml:space="preserve">, </w:t>
      </w:r>
      <w:r>
        <w:rPr>
          <w:rFonts w:eastAsia="Calibri"/>
          <w:lang w:val="sq-AL"/>
        </w:rPr>
        <w:t xml:space="preserve">e </w:t>
      </w:r>
      <w:r w:rsidRPr="00DC366D">
        <w:rPr>
          <w:rFonts w:eastAsia="Calibri"/>
          <w:lang w:val="sq-AL"/>
        </w:rPr>
        <w:t>cil</w:t>
      </w:r>
      <w:r>
        <w:rPr>
          <w:rFonts w:eastAsia="Calibri"/>
          <w:lang w:val="sq-AL"/>
        </w:rPr>
        <w:t>a</w:t>
      </w:r>
      <w:r w:rsidRPr="00DC366D">
        <w:rPr>
          <w:rFonts w:eastAsia="Calibri"/>
          <w:lang w:val="sq-AL"/>
        </w:rPr>
        <w:t xml:space="preserve"> do të plotësojë kriteret e përcaktuara në Direktivën e BE-së për </w:t>
      </w:r>
      <w:r>
        <w:rPr>
          <w:rFonts w:eastAsia="Calibri"/>
          <w:lang w:val="sq-AL"/>
        </w:rPr>
        <w:t>Deponitë</w:t>
      </w:r>
      <w:r w:rsidRPr="008D2D8C">
        <w:rPr>
          <w:rStyle w:val="FootnoteReference"/>
          <w:rFonts w:eastAsia="Calibri" w:cs="Calibri"/>
          <w:lang w:val="sq-AL"/>
        </w:rPr>
        <w:footnoteReference w:id="13"/>
      </w:r>
      <w:r w:rsidRPr="00DC366D">
        <w:rPr>
          <w:rFonts w:eastAsia="Calibri"/>
          <w:lang w:val="sq-AL"/>
        </w:rPr>
        <w:t>.</w:t>
      </w:r>
    </w:p>
    <w:p w14:paraId="5797A8A2" w14:textId="64BF076D" w:rsidR="005871F6" w:rsidRPr="00AF0235" w:rsidRDefault="006A4B75" w:rsidP="009E4794">
      <w:pPr>
        <w:pStyle w:val="High"/>
      </w:pPr>
      <w:r>
        <w:t xml:space="preserve">Deponitë e </w:t>
      </w:r>
      <w:r w:rsidR="005871F6" w:rsidRPr="00AF0235">
        <w:t>hapura</w:t>
      </w:r>
    </w:p>
    <w:p w14:paraId="293A39ED" w14:textId="4C506F79" w:rsidR="006A4B75" w:rsidRPr="00C62B8E" w:rsidRDefault="006A4B75" w:rsidP="006A4B75">
      <w:pPr>
        <w:pStyle w:val="Paragraph"/>
        <w:rPr>
          <w:rFonts w:eastAsia="Calibri"/>
          <w:lang w:val="sq-AL"/>
        </w:rPr>
      </w:pPr>
      <w:r w:rsidRPr="00DC366D">
        <w:rPr>
          <w:rFonts w:eastAsia="Calibri"/>
          <w:lang w:val="sq-AL"/>
        </w:rPr>
        <w:t xml:space="preserve">Numri i </w:t>
      </w:r>
      <w:r>
        <w:rPr>
          <w:rFonts w:eastAsia="Calibri"/>
          <w:lang w:val="sq-AL"/>
        </w:rPr>
        <w:t>deponive</w:t>
      </w:r>
      <w:r w:rsidRPr="00DC366D">
        <w:rPr>
          <w:rFonts w:eastAsia="Calibri"/>
          <w:lang w:val="sq-AL"/>
        </w:rPr>
        <w:t xml:space="preserve"> të hapura u rrit ndjeshëm në vitin 2019 krahasuar me vitin 2017. Pas kësaj</w:t>
      </w:r>
      <w:r>
        <w:rPr>
          <w:rFonts w:eastAsia="Calibri"/>
          <w:lang w:val="sq-AL"/>
        </w:rPr>
        <w:t>,</w:t>
      </w:r>
      <w:r w:rsidRPr="00DC366D">
        <w:rPr>
          <w:rFonts w:eastAsia="Calibri"/>
          <w:lang w:val="sq-AL"/>
        </w:rPr>
        <w:t xml:space="preserve"> numri i tyre ka shënuar rënie të ndjeshme, siç paraqitet në </w:t>
      </w:r>
      <w:r>
        <w:rPr>
          <w:rFonts w:eastAsia="Calibri"/>
          <w:lang w:val="sq-AL"/>
        </w:rPr>
        <w:t>tabelën</w:t>
      </w:r>
      <w:r w:rsidRPr="00DC366D">
        <w:rPr>
          <w:rFonts w:eastAsia="Calibri"/>
          <w:lang w:val="sq-AL"/>
        </w:rPr>
        <w:t xml:space="preserve"> më poshtë. Në përgjithësi, numri i përgjithshëm </w:t>
      </w:r>
      <w:r w:rsidRPr="00C62B8E">
        <w:rPr>
          <w:rFonts w:eastAsia="Calibri"/>
          <w:lang w:val="sq-AL"/>
        </w:rPr>
        <w:t>i deponive</w:t>
      </w:r>
      <w:r w:rsidR="00384C43">
        <w:rPr>
          <w:rFonts w:eastAsia="Calibri"/>
          <w:lang w:val="sq-AL"/>
        </w:rPr>
        <w:t xml:space="preserve"> ilegale</w:t>
      </w:r>
      <w:r w:rsidRPr="00C62B8E">
        <w:rPr>
          <w:rFonts w:eastAsia="Calibri"/>
          <w:lang w:val="sq-AL"/>
        </w:rPr>
        <w:t xml:space="preserve"> është ulur me 57% nga 162 në 2019 në 70 deponi </w:t>
      </w:r>
      <w:r w:rsidR="00466277">
        <w:rPr>
          <w:rFonts w:eastAsia="Calibri"/>
          <w:lang w:val="sq-AL"/>
        </w:rPr>
        <w:t>ilegale</w:t>
      </w:r>
      <w:r w:rsidRPr="00C62B8E">
        <w:rPr>
          <w:rFonts w:eastAsia="Calibri"/>
          <w:lang w:val="sq-AL"/>
        </w:rPr>
        <w:t xml:space="preserve"> në 202</w:t>
      </w:r>
      <w:r w:rsidR="00466277">
        <w:rPr>
          <w:rFonts w:eastAsia="Calibri"/>
          <w:lang w:val="sq-AL"/>
        </w:rPr>
        <w:t>2</w:t>
      </w:r>
      <w:r w:rsidRPr="00C62B8E">
        <w:rPr>
          <w:rFonts w:eastAsia="Calibri"/>
          <w:lang w:val="sq-AL"/>
        </w:rPr>
        <w:t>.</w:t>
      </w:r>
    </w:p>
    <w:p w14:paraId="783924E2" w14:textId="265E1CE5" w:rsidR="005871F6" w:rsidRPr="007F50ED" w:rsidRDefault="005871F6" w:rsidP="007F50ED">
      <w:pPr>
        <w:suppressAutoHyphens/>
        <w:rPr>
          <w:rFonts w:ascii="Arial Narrow" w:eastAsia="Calibri" w:hAnsi="Arial Narrow" w:cs="Calibri"/>
          <w:color w:val="1F497D"/>
          <w:sz w:val="20"/>
          <w:szCs w:val="20"/>
        </w:rPr>
      </w:pPr>
      <w:bookmarkStart w:id="212" w:name="_Toc197472213"/>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28.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Trendi i numrit të deponive të egra</w:t>
      </w:r>
      <w:bookmarkEnd w:id="212"/>
    </w:p>
    <w:tbl>
      <w:tblPr>
        <w:tblStyle w:val="TableGrid"/>
        <w:tblW w:w="0" w:type="auto"/>
        <w:jc w:val="center"/>
        <w:tblLook w:val="04A0" w:firstRow="1" w:lastRow="0" w:firstColumn="1" w:lastColumn="0" w:noHBand="0" w:noVBand="1"/>
      </w:tblPr>
      <w:tblGrid>
        <w:gridCol w:w="1975"/>
        <w:gridCol w:w="1545"/>
        <w:gridCol w:w="1545"/>
        <w:gridCol w:w="1546"/>
      </w:tblGrid>
      <w:tr w:rsidR="009F7CDF" w:rsidRPr="009F7CDF" w14:paraId="026F3A93" w14:textId="77777777" w:rsidTr="006347D6">
        <w:trPr>
          <w:trHeight w:val="20"/>
          <w:tblHeader/>
          <w:jc w:val="center"/>
        </w:trPr>
        <w:tc>
          <w:tcPr>
            <w:tcW w:w="1975" w:type="dxa"/>
            <w:vMerge w:val="restart"/>
            <w:shd w:val="clear" w:color="auto" w:fill="365F91"/>
            <w:hideMark/>
          </w:tcPr>
          <w:p w14:paraId="62EB91F0" w14:textId="0BCF870D" w:rsidR="005871F6" w:rsidRPr="009F7CDF" w:rsidRDefault="006A4B75" w:rsidP="009E4794">
            <w:pPr>
              <w:rPr>
                <w:rFonts w:ascii="Arial Narrow" w:eastAsia="Calibri" w:hAnsi="Arial Narrow" w:cs="Calibri"/>
                <w:b/>
                <w:bCs/>
                <w:color w:val="FFFFFF" w:themeColor="background1"/>
                <w:sz w:val="20"/>
                <w:szCs w:val="20"/>
              </w:rPr>
            </w:pPr>
            <w:r>
              <w:rPr>
                <w:rFonts w:ascii="Arial Narrow" w:eastAsia="Calibri" w:hAnsi="Arial Narrow" w:cs="Calibri"/>
                <w:b/>
                <w:bCs/>
                <w:color w:val="FFFFFF" w:themeColor="background1"/>
                <w:sz w:val="20"/>
                <w:szCs w:val="20"/>
              </w:rPr>
              <w:t>Komuna</w:t>
            </w:r>
          </w:p>
        </w:tc>
        <w:tc>
          <w:tcPr>
            <w:tcW w:w="4636" w:type="dxa"/>
            <w:gridSpan w:val="3"/>
            <w:shd w:val="clear" w:color="auto" w:fill="365F91"/>
            <w:hideMark/>
          </w:tcPr>
          <w:p w14:paraId="024A9628" w14:textId="46B3D423" w:rsidR="005871F6" w:rsidRPr="009F7CDF" w:rsidRDefault="005871F6" w:rsidP="009E4794">
            <w:pPr>
              <w:jc w:val="center"/>
              <w:rPr>
                <w:rFonts w:ascii="Arial Narrow" w:eastAsia="Calibri" w:hAnsi="Arial Narrow" w:cs="Calibri"/>
                <w:b/>
                <w:bCs/>
                <w:color w:val="FFFFFF" w:themeColor="background1"/>
                <w:sz w:val="20"/>
                <w:szCs w:val="20"/>
              </w:rPr>
            </w:pPr>
            <w:r w:rsidRPr="009F7CDF">
              <w:rPr>
                <w:rFonts w:ascii="Arial Narrow" w:eastAsia="Calibri" w:hAnsi="Arial Narrow" w:cs="Calibri"/>
                <w:b/>
                <w:bCs/>
                <w:color w:val="FFFFFF" w:themeColor="background1"/>
                <w:sz w:val="20"/>
                <w:szCs w:val="20"/>
              </w:rPr>
              <w:t xml:space="preserve">Numri i deponive </w:t>
            </w:r>
            <w:r w:rsidR="00466277">
              <w:rPr>
                <w:rFonts w:ascii="Arial Narrow" w:eastAsia="Calibri" w:hAnsi="Arial Narrow" w:cs="Calibri"/>
                <w:b/>
                <w:bCs/>
                <w:color w:val="FFFFFF" w:themeColor="background1"/>
                <w:sz w:val="20"/>
                <w:szCs w:val="20"/>
              </w:rPr>
              <w:t>ilegale</w:t>
            </w:r>
          </w:p>
        </w:tc>
      </w:tr>
      <w:tr w:rsidR="005871F6" w:rsidRPr="009E4794" w14:paraId="57B4A6FF" w14:textId="77777777" w:rsidTr="006347D6">
        <w:trPr>
          <w:trHeight w:val="20"/>
          <w:tblHeader/>
          <w:jc w:val="center"/>
        </w:trPr>
        <w:tc>
          <w:tcPr>
            <w:tcW w:w="1975" w:type="dxa"/>
            <w:vMerge/>
            <w:shd w:val="clear" w:color="auto" w:fill="365F91"/>
            <w:hideMark/>
          </w:tcPr>
          <w:p w14:paraId="0026DC2C" w14:textId="77777777" w:rsidR="005871F6" w:rsidRPr="009E4794" w:rsidRDefault="005871F6" w:rsidP="009E4794">
            <w:pPr>
              <w:rPr>
                <w:rFonts w:ascii="Arial Narrow" w:eastAsia="Calibri" w:hAnsi="Arial Narrow" w:cs="Calibri"/>
                <w:b/>
                <w:bCs/>
                <w:sz w:val="20"/>
                <w:szCs w:val="20"/>
              </w:rPr>
            </w:pPr>
          </w:p>
        </w:tc>
        <w:tc>
          <w:tcPr>
            <w:tcW w:w="1545" w:type="dxa"/>
            <w:shd w:val="clear" w:color="auto" w:fill="365F91"/>
            <w:hideMark/>
          </w:tcPr>
          <w:p w14:paraId="6DD92206" w14:textId="77777777" w:rsidR="005871F6" w:rsidRPr="009F7CDF" w:rsidRDefault="005871F6" w:rsidP="009E4794">
            <w:pPr>
              <w:jc w:val="center"/>
              <w:rPr>
                <w:rFonts w:ascii="Arial Narrow" w:eastAsia="Calibri" w:hAnsi="Arial Narrow" w:cs="Calibri"/>
                <w:b/>
                <w:bCs/>
                <w:color w:val="FFFFFF" w:themeColor="background1"/>
                <w:sz w:val="20"/>
                <w:szCs w:val="20"/>
              </w:rPr>
            </w:pPr>
            <w:r w:rsidRPr="009F7CDF">
              <w:rPr>
                <w:rFonts w:ascii="Arial Narrow" w:eastAsia="Calibri" w:hAnsi="Arial Narrow" w:cs="Calibri"/>
                <w:b/>
                <w:bCs/>
                <w:color w:val="FFFFFF" w:themeColor="background1"/>
                <w:sz w:val="20"/>
                <w:szCs w:val="20"/>
              </w:rPr>
              <w:t>2017</w:t>
            </w:r>
          </w:p>
        </w:tc>
        <w:tc>
          <w:tcPr>
            <w:tcW w:w="1545" w:type="dxa"/>
            <w:shd w:val="clear" w:color="auto" w:fill="365F91"/>
            <w:hideMark/>
          </w:tcPr>
          <w:p w14:paraId="3DFB3289" w14:textId="77777777" w:rsidR="005871F6" w:rsidRPr="009F7CDF" w:rsidRDefault="005871F6" w:rsidP="009E4794">
            <w:pPr>
              <w:jc w:val="center"/>
              <w:rPr>
                <w:rFonts w:ascii="Arial Narrow" w:eastAsia="Calibri" w:hAnsi="Arial Narrow" w:cs="Calibri"/>
                <w:b/>
                <w:bCs/>
                <w:color w:val="FFFFFF" w:themeColor="background1"/>
                <w:sz w:val="20"/>
                <w:szCs w:val="20"/>
              </w:rPr>
            </w:pPr>
            <w:r w:rsidRPr="009F7CDF">
              <w:rPr>
                <w:rFonts w:ascii="Arial Narrow" w:eastAsia="Calibri" w:hAnsi="Arial Narrow" w:cs="Calibri"/>
                <w:b/>
                <w:bCs/>
                <w:color w:val="FFFFFF" w:themeColor="background1"/>
                <w:sz w:val="20"/>
                <w:szCs w:val="20"/>
              </w:rPr>
              <w:t>2019</w:t>
            </w:r>
          </w:p>
        </w:tc>
        <w:tc>
          <w:tcPr>
            <w:tcW w:w="1546" w:type="dxa"/>
            <w:shd w:val="clear" w:color="auto" w:fill="365F91"/>
            <w:hideMark/>
          </w:tcPr>
          <w:p w14:paraId="68CE919A" w14:textId="104ECE6B" w:rsidR="005871F6" w:rsidRPr="009F7CDF" w:rsidRDefault="005871F6" w:rsidP="009E4794">
            <w:pPr>
              <w:jc w:val="center"/>
              <w:rPr>
                <w:rFonts w:ascii="Arial Narrow" w:eastAsia="Calibri" w:hAnsi="Arial Narrow" w:cs="Calibri"/>
                <w:b/>
                <w:bCs/>
                <w:color w:val="FFFFFF" w:themeColor="background1"/>
                <w:sz w:val="20"/>
                <w:szCs w:val="20"/>
              </w:rPr>
            </w:pPr>
            <w:r w:rsidRPr="009F7CDF">
              <w:rPr>
                <w:rFonts w:ascii="Arial Narrow" w:eastAsia="Calibri" w:hAnsi="Arial Narrow" w:cs="Calibri"/>
                <w:b/>
                <w:bCs/>
                <w:color w:val="FFFFFF" w:themeColor="background1"/>
                <w:sz w:val="20"/>
                <w:szCs w:val="20"/>
              </w:rPr>
              <w:t>202</w:t>
            </w:r>
            <w:r w:rsidR="00466277">
              <w:rPr>
                <w:rFonts w:ascii="Arial Narrow" w:eastAsia="Calibri" w:hAnsi="Arial Narrow" w:cs="Calibri"/>
                <w:b/>
                <w:bCs/>
                <w:color w:val="FFFFFF" w:themeColor="background1"/>
                <w:sz w:val="20"/>
                <w:szCs w:val="20"/>
              </w:rPr>
              <w:t>2</w:t>
            </w:r>
          </w:p>
        </w:tc>
      </w:tr>
      <w:tr w:rsidR="005871F6" w:rsidRPr="009E4794" w14:paraId="07F576D7" w14:textId="77777777" w:rsidTr="00B52EAB">
        <w:trPr>
          <w:trHeight w:val="20"/>
          <w:jc w:val="center"/>
        </w:trPr>
        <w:tc>
          <w:tcPr>
            <w:tcW w:w="1975" w:type="dxa"/>
            <w:hideMark/>
          </w:tcPr>
          <w:p w14:paraId="48776D9C" w14:textId="77777777" w:rsidR="005871F6" w:rsidRPr="009E4794" w:rsidRDefault="005871F6" w:rsidP="009E4794">
            <w:pPr>
              <w:rPr>
                <w:rFonts w:ascii="Arial Narrow" w:eastAsia="Calibri" w:hAnsi="Arial Narrow" w:cs="Calibri"/>
                <w:sz w:val="20"/>
                <w:szCs w:val="20"/>
              </w:rPr>
            </w:pPr>
            <w:r w:rsidRPr="009E4794">
              <w:rPr>
                <w:rFonts w:ascii="Arial Narrow" w:eastAsia="Calibri" w:hAnsi="Arial Narrow" w:cs="Calibri"/>
                <w:sz w:val="20"/>
                <w:szCs w:val="20"/>
              </w:rPr>
              <w:t>Pejë</w:t>
            </w:r>
          </w:p>
        </w:tc>
        <w:tc>
          <w:tcPr>
            <w:tcW w:w="1545" w:type="dxa"/>
            <w:hideMark/>
          </w:tcPr>
          <w:p w14:paraId="28B4E5DF" w14:textId="77777777" w:rsidR="005871F6" w:rsidRPr="009E4794" w:rsidRDefault="005871F6" w:rsidP="009E4794">
            <w:pPr>
              <w:jc w:val="center"/>
              <w:rPr>
                <w:rFonts w:ascii="Arial Narrow" w:eastAsia="Calibri" w:hAnsi="Arial Narrow" w:cs="Calibri"/>
                <w:sz w:val="20"/>
                <w:szCs w:val="20"/>
              </w:rPr>
            </w:pPr>
            <w:r w:rsidRPr="009E4794">
              <w:rPr>
                <w:rFonts w:ascii="Arial Narrow" w:eastAsia="Calibri" w:hAnsi="Arial Narrow" w:cs="Calibri"/>
                <w:sz w:val="20"/>
                <w:szCs w:val="20"/>
              </w:rPr>
              <w:t>19</w:t>
            </w:r>
          </w:p>
        </w:tc>
        <w:tc>
          <w:tcPr>
            <w:tcW w:w="1545" w:type="dxa"/>
            <w:hideMark/>
          </w:tcPr>
          <w:p w14:paraId="3EE35A94" w14:textId="77777777" w:rsidR="005871F6" w:rsidRPr="009E4794" w:rsidRDefault="005871F6" w:rsidP="009E4794">
            <w:pPr>
              <w:jc w:val="center"/>
              <w:rPr>
                <w:rFonts w:ascii="Arial Narrow" w:eastAsia="Calibri" w:hAnsi="Arial Narrow" w:cs="Calibri"/>
                <w:sz w:val="20"/>
                <w:szCs w:val="20"/>
              </w:rPr>
            </w:pPr>
            <w:r w:rsidRPr="009E4794">
              <w:rPr>
                <w:rFonts w:ascii="Arial Narrow" w:eastAsia="Calibri" w:hAnsi="Arial Narrow" w:cs="Calibri"/>
                <w:sz w:val="20"/>
                <w:szCs w:val="20"/>
              </w:rPr>
              <w:t>73</w:t>
            </w:r>
          </w:p>
        </w:tc>
        <w:tc>
          <w:tcPr>
            <w:tcW w:w="1546" w:type="dxa"/>
            <w:hideMark/>
          </w:tcPr>
          <w:p w14:paraId="3316ACF1" w14:textId="5D36D684" w:rsidR="005871F6" w:rsidRPr="009E4794" w:rsidRDefault="00466277" w:rsidP="009E4794">
            <w:pPr>
              <w:jc w:val="center"/>
              <w:rPr>
                <w:rFonts w:ascii="Arial Narrow" w:eastAsia="Calibri" w:hAnsi="Arial Narrow" w:cs="Calibri"/>
                <w:sz w:val="20"/>
                <w:szCs w:val="20"/>
              </w:rPr>
            </w:pPr>
            <w:r>
              <w:rPr>
                <w:rFonts w:ascii="Arial Narrow" w:eastAsia="Calibri" w:hAnsi="Arial Narrow" w:cs="Calibri"/>
                <w:sz w:val="20"/>
                <w:szCs w:val="20"/>
              </w:rPr>
              <w:t>13</w:t>
            </w:r>
          </w:p>
        </w:tc>
      </w:tr>
      <w:tr w:rsidR="005871F6" w:rsidRPr="009E4794" w14:paraId="3EF3A82C" w14:textId="77777777" w:rsidTr="00B52EAB">
        <w:trPr>
          <w:trHeight w:val="20"/>
          <w:jc w:val="center"/>
        </w:trPr>
        <w:tc>
          <w:tcPr>
            <w:tcW w:w="1975" w:type="dxa"/>
            <w:hideMark/>
          </w:tcPr>
          <w:p w14:paraId="6EDCCF0C" w14:textId="77777777" w:rsidR="005871F6" w:rsidRPr="009E4794" w:rsidRDefault="005871F6" w:rsidP="009E4794">
            <w:pPr>
              <w:rPr>
                <w:rFonts w:ascii="Arial Narrow" w:eastAsia="Calibri" w:hAnsi="Arial Narrow" w:cs="Calibri"/>
                <w:sz w:val="20"/>
                <w:szCs w:val="20"/>
              </w:rPr>
            </w:pPr>
            <w:r w:rsidRPr="009E4794">
              <w:rPr>
                <w:rFonts w:ascii="Arial Narrow" w:eastAsia="Calibri" w:hAnsi="Arial Narrow" w:cs="Calibri"/>
                <w:sz w:val="20"/>
                <w:szCs w:val="20"/>
              </w:rPr>
              <w:t>Istog</w:t>
            </w:r>
          </w:p>
        </w:tc>
        <w:tc>
          <w:tcPr>
            <w:tcW w:w="1545" w:type="dxa"/>
            <w:hideMark/>
          </w:tcPr>
          <w:p w14:paraId="2800015D" w14:textId="77777777" w:rsidR="005871F6" w:rsidRPr="009E4794" w:rsidRDefault="005871F6" w:rsidP="009E4794">
            <w:pPr>
              <w:jc w:val="center"/>
              <w:rPr>
                <w:rFonts w:ascii="Arial Narrow" w:eastAsia="Calibri" w:hAnsi="Arial Narrow" w:cs="Calibri"/>
                <w:sz w:val="20"/>
                <w:szCs w:val="20"/>
              </w:rPr>
            </w:pPr>
            <w:r w:rsidRPr="009E4794">
              <w:rPr>
                <w:rFonts w:ascii="Arial Narrow" w:eastAsia="Calibri" w:hAnsi="Arial Narrow" w:cs="Calibri"/>
                <w:sz w:val="20"/>
                <w:szCs w:val="20"/>
              </w:rPr>
              <w:t>22</w:t>
            </w:r>
          </w:p>
        </w:tc>
        <w:tc>
          <w:tcPr>
            <w:tcW w:w="1545" w:type="dxa"/>
            <w:hideMark/>
          </w:tcPr>
          <w:p w14:paraId="234105F5" w14:textId="77777777" w:rsidR="005871F6" w:rsidRPr="009E4794" w:rsidRDefault="005871F6" w:rsidP="009E4794">
            <w:pPr>
              <w:jc w:val="center"/>
              <w:rPr>
                <w:rFonts w:ascii="Arial Narrow" w:eastAsia="Calibri" w:hAnsi="Arial Narrow" w:cs="Calibri"/>
                <w:sz w:val="20"/>
                <w:szCs w:val="20"/>
              </w:rPr>
            </w:pPr>
            <w:r w:rsidRPr="009E4794">
              <w:rPr>
                <w:rFonts w:ascii="Arial Narrow" w:eastAsia="Calibri" w:hAnsi="Arial Narrow" w:cs="Calibri"/>
                <w:sz w:val="20"/>
                <w:szCs w:val="20"/>
              </w:rPr>
              <w:t>22</w:t>
            </w:r>
          </w:p>
        </w:tc>
        <w:tc>
          <w:tcPr>
            <w:tcW w:w="1546" w:type="dxa"/>
            <w:hideMark/>
          </w:tcPr>
          <w:p w14:paraId="108E5230" w14:textId="75691806" w:rsidR="005871F6" w:rsidRPr="009E4794" w:rsidRDefault="005871F6" w:rsidP="009E4794">
            <w:pPr>
              <w:jc w:val="center"/>
              <w:rPr>
                <w:rFonts w:ascii="Arial Narrow" w:eastAsia="Calibri" w:hAnsi="Arial Narrow" w:cs="Calibri"/>
                <w:sz w:val="20"/>
                <w:szCs w:val="20"/>
              </w:rPr>
            </w:pPr>
            <w:r w:rsidRPr="009E4794">
              <w:rPr>
                <w:rFonts w:ascii="Arial Narrow" w:eastAsia="Calibri" w:hAnsi="Arial Narrow" w:cs="Calibri"/>
                <w:sz w:val="20"/>
                <w:szCs w:val="20"/>
              </w:rPr>
              <w:t>1</w:t>
            </w:r>
            <w:r w:rsidR="00466277">
              <w:rPr>
                <w:rFonts w:ascii="Arial Narrow" w:eastAsia="Calibri" w:hAnsi="Arial Narrow" w:cs="Calibri"/>
                <w:sz w:val="20"/>
                <w:szCs w:val="20"/>
              </w:rPr>
              <w:t>0</w:t>
            </w:r>
          </w:p>
        </w:tc>
      </w:tr>
      <w:tr w:rsidR="005871F6" w:rsidRPr="009E4794" w14:paraId="7286F5DF" w14:textId="77777777" w:rsidTr="00B52EAB">
        <w:trPr>
          <w:trHeight w:val="20"/>
          <w:jc w:val="center"/>
        </w:trPr>
        <w:tc>
          <w:tcPr>
            <w:tcW w:w="1975" w:type="dxa"/>
            <w:hideMark/>
          </w:tcPr>
          <w:p w14:paraId="24876452" w14:textId="77777777" w:rsidR="005871F6" w:rsidRPr="009E4794" w:rsidRDefault="005871F6" w:rsidP="009E4794">
            <w:pPr>
              <w:rPr>
                <w:rFonts w:ascii="Arial Narrow" w:eastAsia="Calibri" w:hAnsi="Arial Narrow" w:cs="Calibri"/>
                <w:sz w:val="20"/>
                <w:szCs w:val="20"/>
              </w:rPr>
            </w:pPr>
            <w:r w:rsidRPr="009E4794">
              <w:rPr>
                <w:rFonts w:ascii="Arial Narrow" w:eastAsia="Calibri" w:hAnsi="Arial Narrow" w:cs="Calibri"/>
                <w:sz w:val="20"/>
                <w:szCs w:val="20"/>
              </w:rPr>
              <w:t>Klinë</w:t>
            </w:r>
          </w:p>
        </w:tc>
        <w:tc>
          <w:tcPr>
            <w:tcW w:w="1545" w:type="dxa"/>
            <w:hideMark/>
          </w:tcPr>
          <w:p w14:paraId="79206A70" w14:textId="77777777" w:rsidR="005871F6" w:rsidRPr="009E4794" w:rsidRDefault="005871F6" w:rsidP="009E4794">
            <w:pPr>
              <w:jc w:val="center"/>
              <w:rPr>
                <w:rFonts w:ascii="Arial Narrow" w:eastAsia="Calibri" w:hAnsi="Arial Narrow" w:cs="Calibri"/>
                <w:sz w:val="20"/>
                <w:szCs w:val="20"/>
              </w:rPr>
            </w:pPr>
            <w:r w:rsidRPr="009E4794">
              <w:rPr>
                <w:rFonts w:ascii="Arial Narrow" w:eastAsia="Calibri" w:hAnsi="Arial Narrow" w:cs="Calibri"/>
                <w:sz w:val="20"/>
                <w:szCs w:val="20"/>
              </w:rPr>
              <w:t>9</w:t>
            </w:r>
          </w:p>
        </w:tc>
        <w:tc>
          <w:tcPr>
            <w:tcW w:w="1545" w:type="dxa"/>
            <w:hideMark/>
          </w:tcPr>
          <w:p w14:paraId="6BA043EB" w14:textId="77777777" w:rsidR="005871F6" w:rsidRPr="009E4794" w:rsidRDefault="005871F6" w:rsidP="009E4794">
            <w:pPr>
              <w:jc w:val="center"/>
              <w:rPr>
                <w:rFonts w:ascii="Arial Narrow" w:eastAsia="Calibri" w:hAnsi="Arial Narrow" w:cs="Calibri"/>
                <w:sz w:val="20"/>
                <w:szCs w:val="20"/>
              </w:rPr>
            </w:pPr>
            <w:r w:rsidRPr="009E4794">
              <w:rPr>
                <w:rFonts w:ascii="Arial Narrow" w:eastAsia="Calibri" w:hAnsi="Arial Narrow" w:cs="Calibri"/>
                <w:sz w:val="20"/>
                <w:szCs w:val="20"/>
              </w:rPr>
              <w:t>46</w:t>
            </w:r>
          </w:p>
        </w:tc>
        <w:tc>
          <w:tcPr>
            <w:tcW w:w="1546" w:type="dxa"/>
            <w:hideMark/>
          </w:tcPr>
          <w:p w14:paraId="7E5A8AAC" w14:textId="7A513117" w:rsidR="005871F6" w:rsidRPr="009E4794" w:rsidRDefault="005871F6" w:rsidP="009E4794">
            <w:pPr>
              <w:jc w:val="center"/>
              <w:rPr>
                <w:rFonts w:ascii="Arial Narrow" w:eastAsia="Calibri" w:hAnsi="Arial Narrow" w:cs="Calibri"/>
                <w:sz w:val="20"/>
                <w:szCs w:val="20"/>
              </w:rPr>
            </w:pPr>
            <w:r w:rsidRPr="009E4794">
              <w:rPr>
                <w:rFonts w:ascii="Arial Narrow" w:eastAsia="Calibri" w:hAnsi="Arial Narrow" w:cs="Calibri"/>
                <w:sz w:val="20"/>
                <w:szCs w:val="20"/>
              </w:rPr>
              <w:t>3</w:t>
            </w:r>
            <w:r w:rsidR="00466277">
              <w:rPr>
                <w:rFonts w:ascii="Arial Narrow" w:eastAsia="Calibri" w:hAnsi="Arial Narrow" w:cs="Calibri"/>
                <w:sz w:val="20"/>
                <w:szCs w:val="20"/>
              </w:rPr>
              <w:t>3</w:t>
            </w:r>
          </w:p>
        </w:tc>
      </w:tr>
      <w:tr w:rsidR="005871F6" w:rsidRPr="009E4794" w14:paraId="1EFDC70D" w14:textId="77777777" w:rsidTr="00B52EAB">
        <w:trPr>
          <w:trHeight w:val="20"/>
          <w:jc w:val="center"/>
        </w:trPr>
        <w:tc>
          <w:tcPr>
            <w:tcW w:w="1975" w:type="dxa"/>
            <w:hideMark/>
          </w:tcPr>
          <w:p w14:paraId="3E9362EC" w14:textId="77777777" w:rsidR="005871F6" w:rsidRPr="009E4794" w:rsidRDefault="005871F6" w:rsidP="009E4794">
            <w:pPr>
              <w:rPr>
                <w:rFonts w:ascii="Arial Narrow" w:eastAsia="Calibri" w:hAnsi="Arial Narrow" w:cs="Calibri"/>
                <w:sz w:val="20"/>
                <w:szCs w:val="20"/>
              </w:rPr>
            </w:pPr>
            <w:r w:rsidRPr="009E4794">
              <w:rPr>
                <w:rFonts w:ascii="Arial Narrow" w:eastAsia="Calibri" w:hAnsi="Arial Narrow" w:cs="Calibri"/>
                <w:sz w:val="20"/>
                <w:szCs w:val="20"/>
              </w:rPr>
              <w:t>Deçan</w:t>
            </w:r>
          </w:p>
        </w:tc>
        <w:tc>
          <w:tcPr>
            <w:tcW w:w="1545" w:type="dxa"/>
            <w:hideMark/>
          </w:tcPr>
          <w:p w14:paraId="3746DBC4" w14:textId="77777777" w:rsidR="005871F6" w:rsidRPr="009E4794" w:rsidRDefault="005871F6" w:rsidP="009E4794">
            <w:pPr>
              <w:jc w:val="center"/>
              <w:rPr>
                <w:rFonts w:ascii="Arial Narrow" w:eastAsia="Calibri" w:hAnsi="Arial Narrow" w:cs="Calibri"/>
                <w:sz w:val="20"/>
                <w:szCs w:val="20"/>
              </w:rPr>
            </w:pPr>
            <w:r w:rsidRPr="009E4794">
              <w:rPr>
                <w:rFonts w:ascii="Arial Narrow" w:eastAsia="Calibri" w:hAnsi="Arial Narrow" w:cs="Calibri"/>
                <w:sz w:val="20"/>
                <w:szCs w:val="20"/>
              </w:rPr>
              <w:t>31</w:t>
            </w:r>
          </w:p>
        </w:tc>
        <w:tc>
          <w:tcPr>
            <w:tcW w:w="1545" w:type="dxa"/>
            <w:hideMark/>
          </w:tcPr>
          <w:p w14:paraId="3469B47D" w14:textId="77777777" w:rsidR="005871F6" w:rsidRPr="009E4794" w:rsidRDefault="005871F6" w:rsidP="009E4794">
            <w:pPr>
              <w:jc w:val="center"/>
              <w:rPr>
                <w:rFonts w:ascii="Arial Narrow" w:eastAsia="Calibri" w:hAnsi="Arial Narrow" w:cs="Calibri"/>
                <w:sz w:val="20"/>
                <w:szCs w:val="20"/>
              </w:rPr>
            </w:pPr>
            <w:r w:rsidRPr="009E4794">
              <w:rPr>
                <w:rFonts w:ascii="Arial Narrow" w:eastAsia="Calibri" w:hAnsi="Arial Narrow" w:cs="Calibri"/>
                <w:sz w:val="20"/>
                <w:szCs w:val="20"/>
              </w:rPr>
              <w:t>21</w:t>
            </w:r>
          </w:p>
        </w:tc>
        <w:tc>
          <w:tcPr>
            <w:tcW w:w="1546" w:type="dxa"/>
            <w:hideMark/>
          </w:tcPr>
          <w:p w14:paraId="563DE16C" w14:textId="330D1154" w:rsidR="005871F6" w:rsidRPr="009E4794" w:rsidRDefault="00466277" w:rsidP="009E4794">
            <w:pPr>
              <w:jc w:val="center"/>
              <w:rPr>
                <w:rFonts w:ascii="Arial Narrow" w:eastAsia="Calibri" w:hAnsi="Arial Narrow" w:cs="Calibri"/>
                <w:sz w:val="20"/>
                <w:szCs w:val="20"/>
              </w:rPr>
            </w:pPr>
            <w:r>
              <w:rPr>
                <w:rFonts w:ascii="Arial Narrow" w:eastAsia="Calibri" w:hAnsi="Arial Narrow" w:cs="Calibri"/>
                <w:sz w:val="20"/>
                <w:szCs w:val="20"/>
              </w:rPr>
              <w:t>8</w:t>
            </w:r>
          </w:p>
        </w:tc>
      </w:tr>
      <w:tr w:rsidR="005871F6" w:rsidRPr="009E4794" w14:paraId="0CDDAE62" w14:textId="77777777" w:rsidTr="00B52EAB">
        <w:trPr>
          <w:trHeight w:val="20"/>
          <w:jc w:val="center"/>
        </w:trPr>
        <w:tc>
          <w:tcPr>
            <w:tcW w:w="1975" w:type="dxa"/>
            <w:hideMark/>
          </w:tcPr>
          <w:p w14:paraId="08C9F6E6" w14:textId="77777777" w:rsidR="005871F6" w:rsidRPr="009E4794" w:rsidRDefault="005871F6" w:rsidP="009E4794">
            <w:pPr>
              <w:rPr>
                <w:rFonts w:ascii="Arial Narrow" w:eastAsia="Calibri" w:hAnsi="Arial Narrow" w:cs="Calibri"/>
                <w:sz w:val="20"/>
                <w:szCs w:val="20"/>
              </w:rPr>
            </w:pPr>
            <w:r w:rsidRPr="009E4794">
              <w:rPr>
                <w:rFonts w:ascii="Arial Narrow" w:eastAsia="Calibri" w:hAnsi="Arial Narrow" w:cs="Calibri"/>
                <w:sz w:val="20"/>
                <w:szCs w:val="20"/>
              </w:rPr>
              <w:t>Junik</w:t>
            </w:r>
          </w:p>
        </w:tc>
        <w:tc>
          <w:tcPr>
            <w:tcW w:w="1545" w:type="dxa"/>
            <w:hideMark/>
          </w:tcPr>
          <w:p w14:paraId="4711795F" w14:textId="77777777" w:rsidR="005871F6" w:rsidRPr="009E4794" w:rsidRDefault="005871F6" w:rsidP="009E4794">
            <w:pPr>
              <w:jc w:val="center"/>
              <w:rPr>
                <w:rFonts w:ascii="Arial Narrow" w:eastAsia="Calibri" w:hAnsi="Arial Narrow" w:cs="Calibri"/>
                <w:sz w:val="20"/>
                <w:szCs w:val="20"/>
              </w:rPr>
            </w:pPr>
            <w:r w:rsidRPr="009E4794">
              <w:rPr>
                <w:rFonts w:ascii="Arial Narrow" w:eastAsia="Calibri" w:hAnsi="Arial Narrow" w:cs="Calibri"/>
                <w:sz w:val="20"/>
                <w:szCs w:val="20"/>
              </w:rPr>
              <w:t>22</w:t>
            </w:r>
          </w:p>
        </w:tc>
        <w:tc>
          <w:tcPr>
            <w:tcW w:w="1545" w:type="dxa"/>
            <w:hideMark/>
          </w:tcPr>
          <w:p w14:paraId="046A049C" w14:textId="77777777" w:rsidR="005871F6" w:rsidRPr="009E4794" w:rsidRDefault="005871F6" w:rsidP="009E4794">
            <w:pPr>
              <w:jc w:val="center"/>
              <w:rPr>
                <w:rFonts w:ascii="Arial Narrow" w:eastAsia="Calibri" w:hAnsi="Arial Narrow" w:cs="Calibri"/>
                <w:sz w:val="20"/>
                <w:szCs w:val="20"/>
              </w:rPr>
            </w:pPr>
            <w:r w:rsidRPr="009E4794">
              <w:rPr>
                <w:rFonts w:ascii="Arial Narrow" w:eastAsia="Calibri" w:hAnsi="Arial Narrow" w:cs="Calibri"/>
                <w:sz w:val="20"/>
                <w:szCs w:val="20"/>
              </w:rPr>
              <w:t>0</w:t>
            </w:r>
          </w:p>
        </w:tc>
        <w:tc>
          <w:tcPr>
            <w:tcW w:w="1546" w:type="dxa"/>
            <w:hideMark/>
          </w:tcPr>
          <w:p w14:paraId="723F9901" w14:textId="223088A4" w:rsidR="005871F6" w:rsidRPr="009E4794" w:rsidRDefault="00466277" w:rsidP="009E4794">
            <w:pPr>
              <w:jc w:val="center"/>
              <w:rPr>
                <w:rFonts w:ascii="Arial Narrow" w:eastAsia="Calibri" w:hAnsi="Arial Narrow" w:cs="Calibri"/>
                <w:sz w:val="20"/>
                <w:szCs w:val="20"/>
              </w:rPr>
            </w:pPr>
            <w:r>
              <w:rPr>
                <w:rFonts w:ascii="Arial Narrow" w:eastAsia="Calibri" w:hAnsi="Arial Narrow" w:cs="Calibri"/>
                <w:sz w:val="20"/>
                <w:szCs w:val="20"/>
              </w:rPr>
              <w:t>3</w:t>
            </w:r>
          </w:p>
        </w:tc>
      </w:tr>
      <w:tr w:rsidR="005871F6" w:rsidRPr="009E4794" w14:paraId="2A41EE14" w14:textId="77777777" w:rsidTr="00B52EAB">
        <w:trPr>
          <w:trHeight w:val="20"/>
          <w:jc w:val="center"/>
        </w:trPr>
        <w:tc>
          <w:tcPr>
            <w:tcW w:w="1975" w:type="dxa"/>
            <w:hideMark/>
          </w:tcPr>
          <w:p w14:paraId="2F77922F" w14:textId="77777777" w:rsidR="005871F6" w:rsidRPr="009E4794" w:rsidRDefault="005871F6" w:rsidP="009E4794">
            <w:pPr>
              <w:rPr>
                <w:rFonts w:ascii="Arial Narrow" w:eastAsia="Calibri" w:hAnsi="Arial Narrow" w:cs="Calibri"/>
                <w:b/>
                <w:bCs/>
                <w:sz w:val="20"/>
                <w:szCs w:val="20"/>
              </w:rPr>
            </w:pPr>
            <w:r w:rsidRPr="009E4794">
              <w:rPr>
                <w:rFonts w:ascii="Arial Narrow" w:eastAsia="Calibri" w:hAnsi="Arial Narrow" w:cs="Calibri"/>
                <w:b/>
                <w:bCs/>
                <w:sz w:val="20"/>
                <w:szCs w:val="20"/>
              </w:rPr>
              <w:t>Totali</w:t>
            </w:r>
          </w:p>
        </w:tc>
        <w:tc>
          <w:tcPr>
            <w:tcW w:w="1545" w:type="dxa"/>
            <w:hideMark/>
          </w:tcPr>
          <w:p w14:paraId="192FF1D7" w14:textId="77777777" w:rsidR="005871F6" w:rsidRPr="009E4794" w:rsidRDefault="005871F6" w:rsidP="009E4794">
            <w:pPr>
              <w:jc w:val="center"/>
              <w:rPr>
                <w:rFonts w:ascii="Arial Narrow" w:eastAsia="Calibri" w:hAnsi="Arial Narrow" w:cs="Calibri"/>
                <w:b/>
                <w:bCs/>
                <w:sz w:val="20"/>
                <w:szCs w:val="20"/>
              </w:rPr>
            </w:pPr>
            <w:r w:rsidRPr="009E4794">
              <w:rPr>
                <w:rFonts w:ascii="Arial Narrow" w:eastAsia="Calibri" w:hAnsi="Arial Narrow" w:cs="Calibri"/>
                <w:b/>
                <w:bCs/>
                <w:sz w:val="20"/>
                <w:szCs w:val="20"/>
              </w:rPr>
              <w:t>103</w:t>
            </w:r>
          </w:p>
        </w:tc>
        <w:tc>
          <w:tcPr>
            <w:tcW w:w="1545" w:type="dxa"/>
            <w:hideMark/>
          </w:tcPr>
          <w:p w14:paraId="5F5D73A2" w14:textId="77777777" w:rsidR="005871F6" w:rsidRPr="009E4794" w:rsidRDefault="005871F6" w:rsidP="009E4794">
            <w:pPr>
              <w:jc w:val="center"/>
              <w:rPr>
                <w:rFonts w:ascii="Arial Narrow" w:eastAsia="Calibri" w:hAnsi="Arial Narrow" w:cs="Calibri"/>
                <w:b/>
                <w:bCs/>
                <w:sz w:val="20"/>
                <w:szCs w:val="20"/>
              </w:rPr>
            </w:pPr>
            <w:r w:rsidRPr="009E4794">
              <w:rPr>
                <w:rFonts w:ascii="Arial Narrow" w:eastAsia="Calibri" w:hAnsi="Arial Narrow" w:cs="Calibri"/>
                <w:b/>
                <w:bCs/>
                <w:sz w:val="20"/>
                <w:szCs w:val="20"/>
              </w:rPr>
              <w:t>162</w:t>
            </w:r>
          </w:p>
        </w:tc>
        <w:tc>
          <w:tcPr>
            <w:tcW w:w="1546" w:type="dxa"/>
            <w:hideMark/>
          </w:tcPr>
          <w:p w14:paraId="1F2A0657" w14:textId="297476FD" w:rsidR="005871F6" w:rsidRPr="009E4794" w:rsidRDefault="00466277" w:rsidP="009E4794">
            <w:pPr>
              <w:jc w:val="center"/>
              <w:rPr>
                <w:rFonts w:ascii="Arial Narrow" w:eastAsia="Calibri" w:hAnsi="Arial Narrow" w:cs="Calibri"/>
                <w:b/>
                <w:bCs/>
                <w:sz w:val="20"/>
                <w:szCs w:val="20"/>
              </w:rPr>
            </w:pPr>
            <w:r>
              <w:rPr>
                <w:rFonts w:ascii="Arial Narrow" w:eastAsia="Calibri" w:hAnsi="Arial Narrow" w:cs="Calibri"/>
                <w:b/>
                <w:bCs/>
                <w:sz w:val="20"/>
                <w:szCs w:val="20"/>
              </w:rPr>
              <w:t>67</w:t>
            </w:r>
          </w:p>
        </w:tc>
      </w:tr>
    </w:tbl>
    <w:p w14:paraId="7E7229AF" w14:textId="2FC17099" w:rsidR="005871F6" w:rsidRPr="00AF0235" w:rsidRDefault="005871F6" w:rsidP="009E4794">
      <w:pPr>
        <w:pStyle w:val="source0"/>
      </w:pPr>
      <w:r w:rsidRPr="00AF0235">
        <w:t xml:space="preserve">Burimi: </w:t>
      </w:r>
      <w:r w:rsidR="006A4B75">
        <w:t>AMMK</w:t>
      </w:r>
    </w:p>
    <w:p w14:paraId="6EB4C8F7" w14:textId="77777777" w:rsidR="005871F6" w:rsidRDefault="005871F6" w:rsidP="005871F6">
      <w:pPr>
        <w:rPr>
          <w:rFonts w:eastAsia="Calibri" w:cs="Calibri"/>
          <w:sz w:val="22"/>
          <w:szCs w:val="22"/>
        </w:rPr>
      </w:pPr>
    </w:p>
    <w:p w14:paraId="4CC796B3" w14:textId="3DD654C1" w:rsidR="006A4B75" w:rsidRPr="008D2D8C" w:rsidRDefault="006A4B75" w:rsidP="006A4B75">
      <w:pPr>
        <w:pStyle w:val="Paragraph"/>
        <w:rPr>
          <w:rFonts w:eastAsia="Calibri"/>
          <w:lang w:val="sq-AL"/>
        </w:rPr>
      </w:pPr>
      <w:bookmarkStart w:id="213" w:name="_Ref175063487"/>
      <w:r w:rsidRPr="00CF615F">
        <w:rPr>
          <w:rFonts w:eastAsia="Calibri"/>
          <w:lang w:val="sq-AL"/>
        </w:rPr>
        <w:t xml:space="preserve">35% </w:t>
      </w:r>
      <w:r w:rsidRPr="00A636BE">
        <w:rPr>
          <w:rFonts w:eastAsia="Calibri"/>
          <w:lang w:val="sq-AL"/>
        </w:rPr>
        <w:t xml:space="preserve">e deponive </w:t>
      </w:r>
      <w:r w:rsidR="00466277">
        <w:rPr>
          <w:rFonts w:eastAsia="Calibri"/>
          <w:lang w:val="sq-AL"/>
        </w:rPr>
        <w:t>ilegale</w:t>
      </w:r>
      <w:r w:rsidRPr="00A636BE">
        <w:rPr>
          <w:rFonts w:eastAsia="Calibri"/>
          <w:lang w:val="sq-AL"/>
        </w:rPr>
        <w:t xml:space="preserve"> klasifikohen si mbet</w:t>
      </w:r>
      <w:r>
        <w:rPr>
          <w:rFonts w:eastAsia="Calibri"/>
          <w:lang w:val="sq-AL"/>
        </w:rPr>
        <w:t>urina</w:t>
      </w:r>
      <w:r w:rsidRPr="00A636BE">
        <w:rPr>
          <w:rFonts w:eastAsia="Calibri"/>
          <w:lang w:val="sq-AL"/>
        </w:rPr>
        <w:t xml:space="preserve"> komunale të përziera</w:t>
      </w:r>
      <w:r w:rsidRPr="00CF615F">
        <w:rPr>
          <w:rFonts w:eastAsia="Calibri"/>
          <w:lang w:val="sq-AL"/>
        </w:rPr>
        <w:t xml:space="preserve"> </w:t>
      </w:r>
      <w:r>
        <w:rPr>
          <w:rFonts w:eastAsia="Calibri"/>
          <w:lang w:val="sq-AL"/>
        </w:rPr>
        <w:t>(MKP)</w:t>
      </w:r>
      <w:r w:rsidRPr="00CF615F">
        <w:rPr>
          <w:rFonts w:eastAsia="Calibri"/>
          <w:lang w:val="sq-AL"/>
        </w:rPr>
        <w:t>, 28% si mbet</w:t>
      </w:r>
      <w:r>
        <w:rPr>
          <w:rFonts w:eastAsia="Calibri"/>
          <w:lang w:val="sq-AL"/>
        </w:rPr>
        <w:t>urina nga</w:t>
      </w:r>
      <w:r w:rsidRPr="00CF615F">
        <w:rPr>
          <w:rFonts w:eastAsia="Calibri"/>
          <w:lang w:val="sq-AL"/>
        </w:rPr>
        <w:t xml:space="preserve"> ndërtimi dhe </w:t>
      </w:r>
      <w:r>
        <w:rPr>
          <w:rFonts w:eastAsia="Calibri"/>
          <w:lang w:val="sq-AL"/>
        </w:rPr>
        <w:t>rrënimi</w:t>
      </w:r>
      <w:r w:rsidRPr="00CF615F">
        <w:rPr>
          <w:rFonts w:eastAsia="Calibri"/>
          <w:lang w:val="sq-AL"/>
        </w:rPr>
        <w:t xml:space="preserve"> </w:t>
      </w:r>
      <w:r>
        <w:rPr>
          <w:rFonts w:eastAsia="Calibri"/>
          <w:lang w:val="sq-AL"/>
        </w:rPr>
        <w:t>(MNRr)</w:t>
      </w:r>
      <w:r w:rsidRPr="00CF615F">
        <w:rPr>
          <w:rFonts w:eastAsia="Calibri"/>
          <w:lang w:val="sq-AL"/>
        </w:rPr>
        <w:t xml:space="preserve"> dhe 38% si mbet</w:t>
      </w:r>
      <w:r>
        <w:rPr>
          <w:rFonts w:eastAsia="Calibri"/>
          <w:lang w:val="sq-AL"/>
        </w:rPr>
        <w:t>urina</w:t>
      </w:r>
      <w:r w:rsidRPr="00CF615F">
        <w:rPr>
          <w:rFonts w:eastAsia="Calibri"/>
          <w:lang w:val="sq-AL"/>
        </w:rPr>
        <w:t xml:space="preserve"> tjera. Në Pejë, 1% e deponive </w:t>
      </w:r>
      <w:r w:rsidR="00466277">
        <w:rPr>
          <w:rFonts w:eastAsia="Calibri"/>
          <w:lang w:val="sq-AL"/>
        </w:rPr>
        <w:t>ilegale</w:t>
      </w:r>
      <w:r w:rsidRPr="00CF615F">
        <w:rPr>
          <w:rFonts w:eastAsia="Calibri"/>
          <w:lang w:val="sq-AL"/>
        </w:rPr>
        <w:t xml:space="preserve"> janë klasifikuar Mbet</w:t>
      </w:r>
      <w:r>
        <w:rPr>
          <w:rFonts w:eastAsia="Calibri"/>
          <w:lang w:val="sq-AL"/>
        </w:rPr>
        <w:t>urina</w:t>
      </w:r>
      <w:r w:rsidRPr="00CF615F">
        <w:rPr>
          <w:rFonts w:eastAsia="Calibri"/>
          <w:lang w:val="sq-AL"/>
        </w:rPr>
        <w:t xml:space="preserve"> të Rrezikshme Industriale </w:t>
      </w:r>
      <w:r>
        <w:rPr>
          <w:rFonts w:eastAsia="Calibri"/>
          <w:lang w:val="sq-AL"/>
        </w:rPr>
        <w:t>(MRrI).</w:t>
      </w:r>
      <w:r w:rsidRPr="00CF615F">
        <w:rPr>
          <w:rFonts w:eastAsia="Calibri"/>
          <w:lang w:val="sq-AL"/>
        </w:rPr>
        <w:t xml:space="preserve"> Asnjë nga vend</w:t>
      </w:r>
      <w:r>
        <w:rPr>
          <w:rFonts w:eastAsia="Calibri"/>
          <w:lang w:val="sq-AL"/>
        </w:rPr>
        <w:t>deponitë</w:t>
      </w:r>
      <w:r w:rsidRPr="00CF615F">
        <w:rPr>
          <w:rFonts w:eastAsia="Calibri"/>
          <w:lang w:val="sq-AL"/>
        </w:rPr>
        <w:t xml:space="preserve"> nuk u klasifikua </w:t>
      </w:r>
      <w:r>
        <w:rPr>
          <w:rFonts w:eastAsia="Calibri"/>
          <w:lang w:val="sq-AL"/>
        </w:rPr>
        <w:t>për</w:t>
      </w:r>
      <w:r w:rsidRPr="00CF615F">
        <w:rPr>
          <w:rFonts w:eastAsia="Calibri"/>
          <w:lang w:val="sq-AL"/>
        </w:rPr>
        <w:t xml:space="preserve"> mbet</w:t>
      </w:r>
      <w:r>
        <w:rPr>
          <w:rFonts w:eastAsia="Calibri"/>
          <w:lang w:val="sq-AL"/>
        </w:rPr>
        <w:t>urinat e vëllimshme(MV).</w:t>
      </w:r>
    </w:p>
    <w:p w14:paraId="7D9027AD" w14:textId="57B1F7B4" w:rsidR="005871F6" w:rsidRPr="007F50ED" w:rsidRDefault="005871F6" w:rsidP="007F50ED">
      <w:pPr>
        <w:suppressAutoHyphens/>
        <w:rPr>
          <w:rFonts w:ascii="Arial Narrow" w:eastAsia="Calibri" w:hAnsi="Arial Narrow" w:cs="Calibri"/>
          <w:color w:val="1F497D"/>
          <w:sz w:val="20"/>
          <w:szCs w:val="20"/>
        </w:rPr>
      </w:pPr>
      <w:bookmarkStart w:id="214" w:name="_Toc197472214"/>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29. </w:t>
      </w:r>
      <w:r w:rsidRPr="007F50ED">
        <w:rPr>
          <w:rFonts w:ascii="Arial Narrow" w:eastAsia="Calibri" w:hAnsi="Arial Narrow" w:cs="Calibri"/>
          <w:color w:val="1F497D"/>
          <w:sz w:val="20"/>
          <w:szCs w:val="20"/>
        </w:rPr>
        <w:fldChar w:fldCharType="end"/>
      </w:r>
      <w:bookmarkEnd w:id="213"/>
      <w:r w:rsidRPr="007F50ED">
        <w:rPr>
          <w:rFonts w:ascii="Arial Narrow" w:eastAsia="Calibri" w:hAnsi="Arial Narrow" w:cs="Calibri"/>
          <w:color w:val="1F497D"/>
          <w:sz w:val="20"/>
          <w:szCs w:val="20"/>
        </w:rPr>
        <w:t>Numri dhe Karakteristikat e Vend</w:t>
      </w:r>
      <w:r w:rsidR="006A4B75">
        <w:rPr>
          <w:rFonts w:ascii="Arial Narrow" w:eastAsia="Calibri" w:hAnsi="Arial Narrow" w:cs="Calibri"/>
          <w:color w:val="1F497D"/>
          <w:sz w:val="20"/>
          <w:szCs w:val="20"/>
        </w:rPr>
        <w:t>deponive</w:t>
      </w:r>
      <w:r w:rsidRPr="007F50ED">
        <w:rPr>
          <w:rFonts w:ascii="Arial Narrow" w:eastAsia="Calibri" w:hAnsi="Arial Narrow" w:cs="Calibri"/>
          <w:color w:val="1F497D"/>
          <w:sz w:val="20"/>
          <w:szCs w:val="20"/>
        </w:rPr>
        <w:t xml:space="preserve"> të Paligjshme, 2021</w:t>
      </w:r>
      <w:bookmarkEnd w:id="214"/>
    </w:p>
    <w:tbl>
      <w:tblPr>
        <w:tblStyle w:val="TableGrid"/>
        <w:tblW w:w="5000" w:type="pct"/>
        <w:tblLook w:val="04A0" w:firstRow="1" w:lastRow="0" w:firstColumn="1" w:lastColumn="0" w:noHBand="0" w:noVBand="1"/>
      </w:tblPr>
      <w:tblGrid>
        <w:gridCol w:w="1638"/>
        <w:gridCol w:w="1230"/>
        <w:gridCol w:w="1230"/>
        <w:gridCol w:w="1230"/>
        <w:gridCol w:w="1230"/>
        <w:gridCol w:w="1230"/>
        <w:gridCol w:w="1228"/>
      </w:tblGrid>
      <w:tr w:rsidR="009F7CDF" w:rsidRPr="009F7CDF" w14:paraId="18D7CD83" w14:textId="77777777" w:rsidTr="006347D6">
        <w:trPr>
          <w:trHeight w:val="188"/>
          <w:tblHeader/>
        </w:trPr>
        <w:tc>
          <w:tcPr>
            <w:tcW w:w="908" w:type="pct"/>
            <w:vMerge w:val="restart"/>
            <w:shd w:val="clear" w:color="auto" w:fill="365F91"/>
            <w:hideMark/>
          </w:tcPr>
          <w:p w14:paraId="79F6D27E" w14:textId="19766E67" w:rsidR="005871F6" w:rsidRPr="009F7CDF" w:rsidRDefault="006A4B75" w:rsidP="005871F6">
            <w:pPr>
              <w:rPr>
                <w:rFonts w:ascii="Arial Narrow" w:eastAsia="Calibri" w:hAnsi="Arial Narrow" w:cs="Calibri"/>
                <w:b/>
                <w:bCs/>
                <w:color w:val="FFFFFF" w:themeColor="background1"/>
                <w:sz w:val="20"/>
                <w:szCs w:val="20"/>
              </w:rPr>
            </w:pPr>
            <w:bookmarkStart w:id="215" w:name="_Hlk152865625" w:colFirst="1" w:colLast="6"/>
            <w:r>
              <w:rPr>
                <w:rFonts w:ascii="Arial Narrow" w:eastAsia="Calibri" w:hAnsi="Arial Narrow" w:cs="Calibri"/>
                <w:b/>
                <w:bCs/>
                <w:color w:val="FFFFFF" w:themeColor="background1"/>
                <w:sz w:val="20"/>
                <w:szCs w:val="20"/>
              </w:rPr>
              <w:t>Komuna</w:t>
            </w:r>
          </w:p>
        </w:tc>
        <w:tc>
          <w:tcPr>
            <w:tcW w:w="682" w:type="pct"/>
            <w:shd w:val="clear" w:color="auto" w:fill="365F91"/>
            <w:hideMark/>
          </w:tcPr>
          <w:p w14:paraId="0CF61FEA" w14:textId="77777777" w:rsidR="005871F6" w:rsidRPr="009F7CDF" w:rsidRDefault="005871F6">
            <w:pPr>
              <w:rPr>
                <w:rFonts w:ascii="Arial Narrow" w:eastAsia="Calibri" w:hAnsi="Arial Narrow" w:cs="Calibri"/>
                <w:b/>
                <w:bCs/>
                <w:color w:val="FFFFFF" w:themeColor="background1"/>
                <w:sz w:val="20"/>
                <w:szCs w:val="20"/>
              </w:rPr>
            </w:pPr>
            <w:r w:rsidRPr="009F7CDF">
              <w:rPr>
                <w:rFonts w:ascii="Arial Narrow" w:eastAsia="Calibri" w:hAnsi="Arial Narrow" w:cs="Calibri"/>
                <w:b/>
                <w:bCs/>
                <w:color w:val="FFFFFF" w:themeColor="background1"/>
                <w:sz w:val="20"/>
                <w:szCs w:val="20"/>
              </w:rPr>
              <w:t> </w:t>
            </w:r>
          </w:p>
        </w:tc>
        <w:tc>
          <w:tcPr>
            <w:tcW w:w="3409" w:type="pct"/>
            <w:gridSpan w:val="5"/>
            <w:shd w:val="clear" w:color="auto" w:fill="365F91"/>
            <w:hideMark/>
          </w:tcPr>
          <w:p w14:paraId="59331C76" w14:textId="77777777" w:rsidR="005871F6" w:rsidRPr="009F7CDF" w:rsidRDefault="005871F6" w:rsidP="005871F6">
            <w:pPr>
              <w:jc w:val="center"/>
              <w:rPr>
                <w:rFonts w:ascii="Arial Narrow" w:eastAsia="Calibri" w:hAnsi="Arial Narrow" w:cs="Calibri"/>
                <w:b/>
                <w:bCs/>
                <w:color w:val="FFFFFF" w:themeColor="background1"/>
                <w:sz w:val="20"/>
                <w:szCs w:val="20"/>
              </w:rPr>
            </w:pPr>
            <w:r w:rsidRPr="009F7CDF">
              <w:rPr>
                <w:rFonts w:ascii="Arial Narrow" w:eastAsia="Calibri" w:hAnsi="Arial Narrow" w:cs="Calibri"/>
                <w:b/>
                <w:bCs/>
                <w:color w:val="FFFFFF" w:themeColor="background1"/>
                <w:sz w:val="20"/>
                <w:szCs w:val="20"/>
              </w:rPr>
              <w:t>Shpërndarja e mbeturinave</w:t>
            </w:r>
          </w:p>
        </w:tc>
      </w:tr>
      <w:tr w:rsidR="005871F6" w:rsidRPr="009F7CDF" w14:paraId="4C364156" w14:textId="77777777" w:rsidTr="006347D6">
        <w:trPr>
          <w:trHeight w:val="134"/>
          <w:tblHeader/>
        </w:trPr>
        <w:tc>
          <w:tcPr>
            <w:tcW w:w="908" w:type="pct"/>
            <w:vMerge/>
            <w:shd w:val="clear" w:color="auto" w:fill="365F91"/>
            <w:hideMark/>
          </w:tcPr>
          <w:p w14:paraId="29F3CA9F" w14:textId="77777777" w:rsidR="005871F6" w:rsidRPr="009F7CDF" w:rsidRDefault="005871F6">
            <w:pPr>
              <w:rPr>
                <w:rFonts w:ascii="Arial Narrow" w:eastAsia="Calibri" w:hAnsi="Arial Narrow" w:cs="Calibri"/>
                <w:b/>
                <w:bCs/>
                <w:sz w:val="20"/>
                <w:szCs w:val="20"/>
              </w:rPr>
            </w:pPr>
          </w:p>
        </w:tc>
        <w:tc>
          <w:tcPr>
            <w:tcW w:w="682" w:type="pct"/>
            <w:shd w:val="clear" w:color="auto" w:fill="365F91"/>
            <w:hideMark/>
          </w:tcPr>
          <w:p w14:paraId="08B0F9CD" w14:textId="77777777" w:rsidR="005871F6" w:rsidRPr="009F7CDF" w:rsidRDefault="005871F6" w:rsidP="00B559E1">
            <w:pPr>
              <w:jc w:val="center"/>
              <w:rPr>
                <w:rFonts w:ascii="Arial Narrow" w:eastAsia="Calibri" w:hAnsi="Arial Narrow" w:cs="Calibri"/>
                <w:b/>
                <w:bCs/>
                <w:color w:val="FFFFFF" w:themeColor="background1"/>
                <w:sz w:val="20"/>
                <w:szCs w:val="20"/>
              </w:rPr>
            </w:pPr>
            <w:r w:rsidRPr="009F7CDF">
              <w:rPr>
                <w:rFonts w:ascii="Arial Narrow" w:eastAsia="Calibri" w:hAnsi="Arial Narrow" w:cs="Calibri"/>
                <w:b/>
                <w:bCs/>
                <w:color w:val="FFFFFF" w:themeColor="background1"/>
                <w:sz w:val="20"/>
                <w:szCs w:val="20"/>
              </w:rPr>
              <w:t>Totali</w:t>
            </w:r>
          </w:p>
        </w:tc>
        <w:tc>
          <w:tcPr>
            <w:tcW w:w="682" w:type="pct"/>
            <w:shd w:val="clear" w:color="auto" w:fill="365F91"/>
            <w:hideMark/>
          </w:tcPr>
          <w:p w14:paraId="086BDE41" w14:textId="24BC39FE" w:rsidR="005871F6" w:rsidRPr="009F7CDF" w:rsidRDefault="005871F6" w:rsidP="005871F6">
            <w:pPr>
              <w:jc w:val="center"/>
              <w:rPr>
                <w:rFonts w:ascii="Arial Narrow" w:eastAsia="Calibri" w:hAnsi="Arial Narrow" w:cs="Calibri"/>
                <w:b/>
                <w:bCs/>
                <w:color w:val="FFFFFF" w:themeColor="background1"/>
                <w:sz w:val="20"/>
                <w:szCs w:val="20"/>
              </w:rPr>
            </w:pPr>
            <w:r w:rsidRPr="009F7CDF">
              <w:rPr>
                <w:rFonts w:ascii="Arial Narrow" w:eastAsia="Calibri" w:hAnsi="Arial Narrow" w:cs="Calibri"/>
                <w:b/>
                <w:bCs/>
                <w:color w:val="FFFFFF" w:themeColor="background1"/>
                <w:sz w:val="20"/>
                <w:szCs w:val="20"/>
              </w:rPr>
              <w:t>M</w:t>
            </w:r>
            <w:r w:rsidR="006A4B75">
              <w:rPr>
                <w:rFonts w:ascii="Arial Narrow" w:eastAsia="Calibri" w:hAnsi="Arial Narrow" w:cs="Calibri"/>
                <w:b/>
                <w:bCs/>
                <w:color w:val="FFFFFF" w:themeColor="background1"/>
                <w:sz w:val="20"/>
                <w:szCs w:val="20"/>
              </w:rPr>
              <w:t>KP</w:t>
            </w:r>
          </w:p>
        </w:tc>
        <w:tc>
          <w:tcPr>
            <w:tcW w:w="682" w:type="pct"/>
            <w:shd w:val="clear" w:color="auto" w:fill="365F91"/>
            <w:hideMark/>
          </w:tcPr>
          <w:p w14:paraId="2D3A209B" w14:textId="12603DCB" w:rsidR="005871F6" w:rsidRPr="009F7CDF" w:rsidRDefault="006A4B75" w:rsidP="005871F6">
            <w:pPr>
              <w:jc w:val="center"/>
              <w:rPr>
                <w:rFonts w:ascii="Arial Narrow" w:eastAsia="Calibri" w:hAnsi="Arial Narrow" w:cs="Calibri"/>
                <w:b/>
                <w:bCs/>
                <w:color w:val="FFFFFF" w:themeColor="background1"/>
                <w:sz w:val="20"/>
                <w:szCs w:val="20"/>
              </w:rPr>
            </w:pPr>
            <w:r>
              <w:rPr>
                <w:rFonts w:ascii="Arial Narrow" w:eastAsia="Calibri" w:hAnsi="Arial Narrow" w:cs="Calibri"/>
                <w:b/>
                <w:bCs/>
                <w:color w:val="FFFFFF" w:themeColor="background1"/>
                <w:sz w:val="20"/>
                <w:szCs w:val="20"/>
              </w:rPr>
              <w:t>MNRr</w:t>
            </w:r>
          </w:p>
        </w:tc>
        <w:tc>
          <w:tcPr>
            <w:tcW w:w="682" w:type="pct"/>
            <w:shd w:val="clear" w:color="auto" w:fill="365F91"/>
            <w:hideMark/>
          </w:tcPr>
          <w:p w14:paraId="2A01AE9B" w14:textId="06EFA833" w:rsidR="005871F6" w:rsidRPr="009F7CDF" w:rsidRDefault="006A4B75" w:rsidP="005871F6">
            <w:pPr>
              <w:jc w:val="center"/>
              <w:rPr>
                <w:rFonts w:ascii="Arial Narrow" w:eastAsia="Calibri" w:hAnsi="Arial Narrow" w:cs="Calibri"/>
                <w:b/>
                <w:bCs/>
                <w:color w:val="FFFFFF" w:themeColor="background1"/>
                <w:sz w:val="20"/>
                <w:szCs w:val="20"/>
              </w:rPr>
            </w:pPr>
            <w:r>
              <w:rPr>
                <w:rFonts w:ascii="Arial Narrow" w:eastAsia="Calibri" w:hAnsi="Arial Narrow" w:cs="Calibri"/>
                <w:b/>
                <w:bCs/>
                <w:color w:val="FFFFFF" w:themeColor="background1"/>
                <w:sz w:val="20"/>
                <w:szCs w:val="20"/>
              </w:rPr>
              <w:t>MRrI</w:t>
            </w:r>
          </w:p>
        </w:tc>
        <w:tc>
          <w:tcPr>
            <w:tcW w:w="682" w:type="pct"/>
            <w:shd w:val="clear" w:color="auto" w:fill="365F91"/>
            <w:hideMark/>
          </w:tcPr>
          <w:p w14:paraId="1D94310D" w14:textId="1138AA9A" w:rsidR="005871F6" w:rsidRPr="009F7CDF" w:rsidRDefault="006A4B75" w:rsidP="005871F6">
            <w:pPr>
              <w:jc w:val="center"/>
              <w:rPr>
                <w:rFonts w:ascii="Arial Narrow" w:eastAsia="Calibri" w:hAnsi="Arial Narrow" w:cs="Calibri"/>
                <w:b/>
                <w:bCs/>
                <w:color w:val="FFFFFF" w:themeColor="background1"/>
                <w:sz w:val="20"/>
                <w:szCs w:val="20"/>
              </w:rPr>
            </w:pPr>
            <w:r>
              <w:rPr>
                <w:rFonts w:ascii="Arial Narrow" w:eastAsia="Calibri" w:hAnsi="Arial Narrow" w:cs="Calibri"/>
                <w:b/>
                <w:bCs/>
                <w:color w:val="FFFFFF" w:themeColor="background1"/>
                <w:sz w:val="20"/>
                <w:szCs w:val="20"/>
              </w:rPr>
              <w:t>MV</w:t>
            </w:r>
          </w:p>
        </w:tc>
        <w:tc>
          <w:tcPr>
            <w:tcW w:w="681" w:type="pct"/>
            <w:shd w:val="clear" w:color="auto" w:fill="365F91"/>
            <w:hideMark/>
          </w:tcPr>
          <w:p w14:paraId="592A70CD" w14:textId="77777777" w:rsidR="005871F6" w:rsidRPr="009F7CDF" w:rsidRDefault="005871F6" w:rsidP="005871F6">
            <w:pPr>
              <w:jc w:val="center"/>
              <w:rPr>
                <w:rFonts w:ascii="Arial Narrow" w:eastAsia="Calibri" w:hAnsi="Arial Narrow" w:cs="Calibri"/>
                <w:b/>
                <w:bCs/>
                <w:color w:val="FFFFFF" w:themeColor="background1"/>
                <w:sz w:val="20"/>
                <w:szCs w:val="20"/>
              </w:rPr>
            </w:pPr>
            <w:r w:rsidRPr="009F7CDF">
              <w:rPr>
                <w:rFonts w:ascii="Arial Narrow" w:eastAsia="Calibri" w:hAnsi="Arial Narrow" w:cs="Calibri"/>
                <w:b/>
                <w:bCs/>
                <w:color w:val="FFFFFF" w:themeColor="background1"/>
                <w:sz w:val="20"/>
                <w:szCs w:val="20"/>
              </w:rPr>
              <w:t>Të tjera</w:t>
            </w:r>
          </w:p>
        </w:tc>
      </w:tr>
      <w:tr w:rsidR="005871F6" w:rsidRPr="009F7CDF" w14:paraId="2BD4AD83" w14:textId="77777777" w:rsidTr="005871F6">
        <w:trPr>
          <w:trHeight w:val="300"/>
        </w:trPr>
        <w:tc>
          <w:tcPr>
            <w:tcW w:w="908" w:type="pct"/>
            <w:hideMark/>
          </w:tcPr>
          <w:p w14:paraId="58756A6A" w14:textId="77777777" w:rsidR="005871F6" w:rsidRPr="009F7CDF" w:rsidRDefault="005871F6" w:rsidP="005871F6">
            <w:pPr>
              <w:rPr>
                <w:rFonts w:ascii="Arial Narrow" w:eastAsia="Calibri" w:hAnsi="Arial Narrow" w:cs="Calibri"/>
                <w:sz w:val="20"/>
                <w:szCs w:val="20"/>
              </w:rPr>
            </w:pPr>
            <w:r w:rsidRPr="009F7CDF">
              <w:rPr>
                <w:rFonts w:ascii="Arial Narrow" w:eastAsia="Calibri" w:hAnsi="Arial Narrow" w:cs="Calibri"/>
                <w:sz w:val="20"/>
                <w:szCs w:val="20"/>
              </w:rPr>
              <w:t>Pejë</w:t>
            </w:r>
          </w:p>
        </w:tc>
        <w:tc>
          <w:tcPr>
            <w:tcW w:w="682" w:type="pct"/>
            <w:hideMark/>
          </w:tcPr>
          <w:p w14:paraId="2B804D1C" w14:textId="77777777" w:rsidR="005871F6" w:rsidRPr="009F7CDF" w:rsidRDefault="005871F6" w:rsidP="00B559E1">
            <w:pPr>
              <w:jc w:val="center"/>
              <w:rPr>
                <w:rFonts w:ascii="Arial Narrow" w:eastAsia="Calibri" w:hAnsi="Arial Narrow" w:cs="Calibri"/>
                <w:sz w:val="20"/>
                <w:szCs w:val="20"/>
              </w:rPr>
            </w:pPr>
            <w:r w:rsidRPr="009F7CDF">
              <w:rPr>
                <w:rFonts w:ascii="Arial Narrow" w:eastAsia="Calibri" w:hAnsi="Arial Narrow" w:cs="Calibri"/>
                <w:sz w:val="20"/>
                <w:szCs w:val="20"/>
              </w:rPr>
              <w:t>21</w:t>
            </w:r>
          </w:p>
        </w:tc>
        <w:tc>
          <w:tcPr>
            <w:tcW w:w="682" w:type="pct"/>
            <w:hideMark/>
          </w:tcPr>
          <w:p w14:paraId="741AF486"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41.0%</w:t>
            </w:r>
          </w:p>
        </w:tc>
        <w:tc>
          <w:tcPr>
            <w:tcW w:w="682" w:type="pct"/>
            <w:hideMark/>
          </w:tcPr>
          <w:p w14:paraId="4923B237"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5.0%</w:t>
            </w:r>
          </w:p>
        </w:tc>
        <w:tc>
          <w:tcPr>
            <w:tcW w:w="682" w:type="pct"/>
            <w:hideMark/>
          </w:tcPr>
          <w:p w14:paraId="7978B36E"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1.0%</w:t>
            </w:r>
          </w:p>
        </w:tc>
        <w:tc>
          <w:tcPr>
            <w:tcW w:w="682" w:type="pct"/>
            <w:hideMark/>
          </w:tcPr>
          <w:p w14:paraId="26887FCB"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0.0%</w:t>
            </w:r>
          </w:p>
        </w:tc>
        <w:tc>
          <w:tcPr>
            <w:tcW w:w="681" w:type="pct"/>
            <w:hideMark/>
          </w:tcPr>
          <w:p w14:paraId="5D9B59E6"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53.0%</w:t>
            </w:r>
          </w:p>
        </w:tc>
      </w:tr>
      <w:tr w:rsidR="005871F6" w:rsidRPr="009F7CDF" w14:paraId="105B8925" w14:textId="77777777" w:rsidTr="005871F6">
        <w:trPr>
          <w:trHeight w:val="300"/>
        </w:trPr>
        <w:tc>
          <w:tcPr>
            <w:tcW w:w="908" w:type="pct"/>
            <w:hideMark/>
          </w:tcPr>
          <w:p w14:paraId="19115614" w14:textId="77777777" w:rsidR="005871F6" w:rsidRPr="009F7CDF" w:rsidRDefault="005871F6" w:rsidP="005871F6">
            <w:pPr>
              <w:rPr>
                <w:rFonts w:ascii="Arial Narrow" w:eastAsia="Calibri" w:hAnsi="Arial Narrow" w:cs="Calibri"/>
                <w:sz w:val="20"/>
                <w:szCs w:val="20"/>
              </w:rPr>
            </w:pPr>
            <w:r w:rsidRPr="009F7CDF">
              <w:rPr>
                <w:rFonts w:ascii="Arial Narrow" w:eastAsia="Calibri" w:hAnsi="Arial Narrow" w:cs="Calibri"/>
                <w:sz w:val="20"/>
                <w:szCs w:val="20"/>
              </w:rPr>
              <w:t>Istog</w:t>
            </w:r>
          </w:p>
        </w:tc>
        <w:tc>
          <w:tcPr>
            <w:tcW w:w="682" w:type="pct"/>
            <w:hideMark/>
          </w:tcPr>
          <w:p w14:paraId="49200ECA" w14:textId="77777777" w:rsidR="005871F6" w:rsidRPr="009F7CDF" w:rsidRDefault="005871F6" w:rsidP="00B559E1">
            <w:pPr>
              <w:jc w:val="center"/>
              <w:rPr>
                <w:rFonts w:ascii="Arial Narrow" w:eastAsia="Calibri" w:hAnsi="Arial Narrow" w:cs="Calibri"/>
                <w:sz w:val="20"/>
                <w:szCs w:val="20"/>
              </w:rPr>
            </w:pPr>
            <w:r w:rsidRPr="009F7CDF">
              <w:rPr>
                <w:rFonts w:ascii="Arial Narrow" w:eastAsia="Calibri" w:hAnsi="Arial Narrow" w:cs="Calibri"/>
                <w:sz w:val="20"/>
                <w:szCs w:val="20"/>
              </w:rPr>
              <w:t>16</w:t>
            </w:r>
          </w:p>
        </w:tc>
        <w:tc>
          <w:tcPr>
            <w:tcW w:w="682" w:type="pct"/>
            <w:hideMark/>
          </w:tcPr>
          <w:p w14:paraId="6DE426D5"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55.0%</w:t>
            </w:r>
          </w:p>
        </w:tc>
        <w:tc>
          <w:tcPr>
            <w:tcW w:w="682" w:type="pct"/>
            <w:hideMark/>
          </w:tcPr>
          <w:p w14:paraId="64B2B635"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18.0%</w:t>
            </w:r>
          </w:p>
        </w:tc>
        <w:tc>
          <w:tcPr>
            <w:tcW w:w="682" w:type="pct"/>
            <w:hideMark/>
          </w:tcPr>
          <w:p w14:paraId="370500C5"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0.0%</w:t>
            </w:r>
          </w:p>
        </w:tc>
        <w:tc>
          <w:tcPr>
            <w:tcW w:w="682" w:type="pct"/>
            <w:hideMark/>
          </w:tcPr>
          <w:p w14:paraId="55FB6686"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0.0%</w:t>
            </w:r>
          </w:p>
        </w:tc>
        <w:tc>
          <w:tcPr>
            <w:tcW w:w="681" w:type="pct"/>
            <w:hideMark/>
          </w:tcPr>
          <w:p w14:paraId="2898FE2B"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27.0%</w:t>
            </w:r>
          </w:p>
        </w:tc>
      </w:tr>
      <w:tr w:rsidR="005871F6" w:rsidRPr="009F7CDF" w14:paraId="346195F8" w14:textId="77777777" w:rsidTr="005871F6">
        <w:trPr>
          <w:trHeight w:val="300"/>
        </w:trPr>
        <w:tc>
          <w:tcPr>
            <w:tcW w:w="908" w:type="pct"/>
            <w:hideMark/>
          </w:tcPr>
          <w:p w14:paraId="22A91BE5" w14:textId="77777777" w:rsidR="005871F6" w:rsidRPr="009F7CDF" w:rsidRDefault="005871F6" w:rsidP="005871F6">
            <w:pPr>
              <w:rPr>
                <w:rFonts w:ascii="Arial Narrow" w:eastAsia="Calibri" w:hAnsi="Arial Narrow" w:cs="Calibri"/>
                <w:sz w:val="20"/>
                <w:szCs w:val="20"/>
              </w:rPr>
            </w:pPr>
            <w:r w:rsidRPr="009F7CDF">
              <w:rPr>
                <w:rFonts w:ascii="Arial Narrow" w:eastAsia="Calibri" w:hAnsi="Arial Narrow" w:cs="Calibri"/>
                <w:sz w:val="20"/>
                <w:szCs w:val="20"/>
              </w:rPr>
              <w:t>Klinë</w:t>
            </w:r>
          </w:p>
        </w:tc>
        <w:tc>
          <w:tcPr>
            <w:tcW w:w="682" w:type="pct"/>
            <w:hideMark/>
          </w:tcPr>
          <w:p w14:paraId="4C9FF6A9" w14:textId="77777777" w:rsidR="005871F6" w:rsidRPr="009F7CDF" w:rsidRDefault="005871F6" w:rsidP="00B559E1">
            <w:pPr>
              <w:jc w:val="center"/>
              <w:rPr>
                <w:rFonts w:ascii="Arial Narrow" w:eastAsia="Calibri" w:hAnsi="Arial Narrow" w:cs="Calibri"/>
                <w:sz w:val="20"/>
                <w:szCs w:val="20"/>
              </w:rPr>
            </w:pPr>
            <w:r w:rsidRPr="009F7CDF">
              <w:rPr>
                <w:rFonts w:ascii="Arial Narrow" w:eastAsia="Calibri" w:hAnsi="Arial Narrow" w:cs="Calibri"/>
                <w:sz w:val="20"/>
                <w:szCs w:val="20"/>
              </w:rPr>
              <w:t>31</w:t>
            </w:r>
          </w:p>
        </w:tc>
        <w:tc>
          <w:tcPr>
            <w:tcW w:w="682" w:type="pct"/>
            <w:hideMark/>
          </w:tcPr>
          <w:p w14:paraId="2FC67C66"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43.0%</w:t>
            </w:r>
          </w:p>
        </w:tc>
        <w:tc>
          <w:tcPr>
            <w:tcW w:w="682" w:type="pct"/>
            <w:hideMark/>
          </w:tcPr>
          <w:p w14:paraId="6C9F2813"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35.0%</w:t>
            </w:r>
          </w:p>
        </w:tc>
        <w:tc>
          <w:tcPr>
            <w:tcW w:w="682" w:type="pct"/>
            <w:hideMark/>
          </w:tcPr>
          <w:p w14:paraId="30D144A2"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0.0%</w:t>
            </w:r>
          </w:p>
        </w:tc>
        <w:tc>
          <w:tcPr>
            <w:tcW w:w="682" w:type="pct"/>
            <w:hideMark/>
          </w:tcPr>
          <w:p w14:paraId="6742CBB2"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0.0%</w:t>
            </w:r>
          </w:p>
        </w:tc>
        <w:tc>
          <w:tcPr>
            <w:tcW w:w="681" w:type="pct"/>
            <w:hideMark/>
          </w:tcPr>
          <w:p w14:paraId="088D6B7F"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22.0%</w:t>
            </w:r>
          </w:p>
        </w:tc>
      </w:tr>
      <w:tr w:rsidR="005871F6" w:rsidRPr="009F7CDF" w14:paraId="16F9B192" w14:textId="77777777" w:rsidTr="005871F6">
        <w:trPr>
          <w:trHeight w:val="300"/>
        </w:trPr>
        <w:tc>
          <w:tcPr>
            <w:tcW w:w="908" w:type="pct"/>
            <w:hideMark/>
          </w:tcPr>
          <w:p w14:paraId="1EC312BA" w14:textId="77777777" w:rsidR="005871F6" w:rsidRPr="009F7CDF" w:rsidRDefault="005871F6" w:rsidP="005871F6">
            <w:pPr>
              <w:rPr>
                <w:rFonts w:ascii="Arial Narrow" w:eastAsia="Calibri" w:hAnsi="Arial Narrow" w:cs="Calibri"/>
                <w:sz w:val="20"/>
                <w:szCs w:val="20"/>
              </w:rPr>
            </w:pPr>
            <w:r w:rsidRPr="009F7CDF">
              <w:rPr>
                <w:rFonts w:ascii="Arial Narrow" w:eastAsia="Calibri" w:hAnsi="Arial Narrow" w:cs="Calibri"/>
                <w:sz w:val="20"/>
                <w:szCs w:val="20"/>
              </w:rPr>
              <w:lastRenderedPageBreak/>
              <w:t>Deçan</w:t>
            </w:r>
          </w:p>
        </w:tc>
        <w:tc>
          <w:tcPr>
            <w:tcW w:w="682" w:type="pct"/>
            <w:hideMark/>
          </w:tcPr>
          <w:p w14:paraId="3CB235EC" w14:textId="77777777" w:rsidR="005871F6" w:rsidRPr="009F7CDF" w:rsidRDefault="005871F6" w:rsidP="00B559E1">
            <w:pPr>
              <w:jc w:val="center"/>
              <w:rPr>
                <w:rFonts w:ascii="Arial Narrow" w:eastAsia="Calibri" w:hAnsi="Arial Narrow" w:cs="Calibri"/>
                <w:sz w:val="20"/>
                <w:szCs w:val="20"/>
              </w:rPr>
            </w:pPr>
            <w:r w:rsidRPr="009F7CDF">
              <w:rPr>
                <w:rFonts w:ascii="Arial Narrow" w:eastAsia="Calibri" w:hAnsi="Arial Narrow" w:cs="Calibri"/>
                <w:sz w:val="20"/>
                <w:szCs w:val="20"/>
              </w:rPr>
              <w:t>2</w:t>
            </w:r>
          </w:p>
        </w:tc>
        <w:tc>
          <w:tcPr>
            <w:tcW w:w="682" w:type="pct"/>
            <w:hideMark/>
          </w:tcPr>
          <w:p w14:paraId="1BCB7C19"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0.0%</w:t>
            </w:r>
          </w:p>
        </w:tc>
        <w:tc>
          <w:tcPr>
            <w:tcW w:w="682" w:type="pct"/>
            <w:hideMark/>
          </w:tcPr>
          <w:p w14:paraId="68648AFE"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52.0%</w:t>
            </w:r>
          </w:p>
        </w:tc>
        <w:tc>
          <w:tcPr>
            <w:tcW w:w="682" w:type="pct"/>
            <w:hideMark/>
          </w:tcPr>
          <w:p w14:paraId="74353026"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0.0%</w:t>
            </w:r>
          </w:p>
        </w:tc>
        <w:tc>
          <w:tcPr>
            <w:tcW w:w="682" w:type="pct"/>
            <w:hideMark/>
          </w:tcPr>
          <w:p w14:paraId="37852801"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0.0%</w:t>
            </w:r>
          </w:p>
        </w:tc>
        <w:tc>
          <w:tcPr>
            <w:tcW w:w="681" w:type="pct"/>
            <w:hideMark/>
          </w:tcPr>
          <w:p w14:paraId="0A5C6E22"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48.0%</w:t>
            </w:r>
          </w:p>
        </w:tc>
      </w:tr>
      <w:tr w:rsidR="005871F6" w:rsidRPr="009F7CDF" w14:paraId="049DC0A1" w14:textId="77777777" w:rsidTr="005871F6">
        <w:trPr>
          <w:trHeight w:val="300"/>
        </w:trPr>
        <w:tc>
          <w:tcPr>
            <w:tcW w:w="908" w:type="pct"/>
            <w:hideMark/>
          </w:tcPr>
          <w:p w14:paraId="041DEFC1" w14:textId="77777777" w:rsidR="005871F6" w:rsidRPr="009F7CDF" w:rsidRDefault="005871F6" w:rsidP="005871F6">
            <w:pPr>
              <w:rPr>
                <w:rFonts w:ascii="Arial Narrow" w:eastAsia="Calibri" w:hAnsi="Arial Narrow" w:cs="Calibri"/>
                <w:sz w:val="20"/>
                <w:szCs w:val="20"/>
              </w:rPr>
            </w:pPr>
            <w:r w:rsidRPr="009F7CDF">
              <w:rPr>
                <w:rFonts w:ascii="Arial Narrow" w:eastAsia="Calibri" w:hAnsi="Arial Narrow" w:cs="Calibri"/>
                <w:sz w:val="20"/>
                <w:szCs w:val="20"/>
              </w:rPr>
              <w:t>Junik</w:t>
            </w:r>
          </w:p>
        </w:tc>
        <w:tc>
          <w:tcPr>
            <w:tcW w:w="682" w:type="pct"/>
            <w:hideMark/>
          </w:tcPr>
          <w:p w14:paraId="0B837E0E" w14:textId="77777777" w:rsidR="005871F6" w:rsidRPr="009F7CDF" w:rsidRDefault="005871F6" w:rsidP="00B559E1">
            <w:pPr>
              <w:jc w:val="center"/>
              <w:rPr>
                <w:rFonts w:ascii="Arial Narrow" w:eastAsia="Calibri" w:hAnsi="Arial Narrow" w:cs="Calibri"/>
                <w:sz w:val="20"/>
                <w:szCs w:val="20"/>
              </w:rPr>
            </w:pPr>
            <w:r w:rsidRPr="009F7CDF">
              <w:rPr>
                <w:rFonts w:ascii="Arial Narrow" w:eastAsia="Calibri" w:hAnsi="Arial Narrow" w:cs="Calibri"/>
                <w:sz w:val="20"/>
                <w:szCs w:val="20"/>
              </w:rPr>
              <w:t>0</w:t>
            </w:r>
          </w:p>
        </w:tc>
        <w:tc>
          <w:tcPr>
            <w:tcW w:w="682" w:type="pct"/>
            <w:hideMark/>
          </w:tcPr>
          <w:p w14:paraId="4E87A8BD"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0.0%</w:t>
            </w:r>
          </w:p>
        </w:tc>
        <w:tc>
          <w:tcPr>
            <w:tcW w:w="682" w:type="pct"/>
            <w:hideMark/>
          </w:tcPr>
          <w:p w14:paraId="456149B4"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0.0%</w:t>
            </w:r>
          </w:p>
        </w:tc>
        <w:tc>
          <w:tcPr>
            <w:tcW w:w="682" w:type="pct"/>
            <w:hideMark/>
          </w:tcPr>
          <w:p w14:paraId="40555F93"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0.0%</w:t>
            </w:r>
          </w:p>
        </w:tc>
        <w:tc>
          <w:tcPr>
            <w:tcW w:w="682" w:type="pct"/>
            <w:hideMark/>
          </w:tcPr>
          <w:p w14:paraId="2640546F"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0.0%</w:t>
            </w:r>
          </w:p>
        </w:tc>
        <w:tc>
          <w:tcPr>
            <w:tcW w:w="681" w:type="pct"/>
            <w:hideMark/>
          </w:tcPr>
          <w:p w14:paraId="0CF3EB7D" w14:textId="77777777" w:rsidR="005871F6" w:rsidRPr="009F7CDF" w:rsidRDefault="005871F6" w:rsidP="005871F6">
            <w:pPr>
              <w:jc w:val="center"/>
              <w:rPr>
                <w:rFonts w:ascii="Arial Narrow" w:eastAsia="Calibri" w:hAnsi="Arial Narrow" w:cs="Calibri"/>
                <w:sz w:val="20"/>
                <w:szCs w:val="20"/>
              </w:rPr>
            </w:pPr>
            <w:r w:rsidRPr="009F7CDF">
              <w:rPr>
                <w:rFonts w:ascii="Arial Narrow" w:eastAsia="Calibri" w:hAnsi="Arial Narrow" w:cs="Calibri"/>
                <w:sz w:val="20"/>
                <w:szCs w:val="20"/>
              </w:rPr>
              <w:t>0.0%</w:t>
            </w:r>
          </w:p>
        </w:tc>
      </w:tr>
      <w:tr w:rsidR="005871F6" w:rsidRPr="009F7CDF" w14:paraId="33B0E5F9" w14:textId="77777777" w:rsidTr="005871F6">
        <w:trPr>
          <w:trHeight w:val="300"/>
        </w:trPr>
        <w:tc>
          <w:tcPr>
            <w:tcW w:w="908" w:type="pct"/>
            <w:hideMark/>
          </w:tcPr>
          <w:p w14:paraId="32F38607" w14:textId="77777777" w:rsidR="005871F6" w:rsidRPr="009F7CDF" w:rsidRDefault="005871F6" w:rsidP="005871F6">
            <w:pPr>
              <w:rPr>
                <w:rFonts w:ascii="Arial Narrow" w:eastAsia="Calibri" w:hAnsi="Arial Narrow" w:cs="Calibri"/>
                <w:b/>
                <w:bCs/>
                <w:sz w:val="20"/>
                <w:szCs w:val="20"/>
              </w:rPr>
            </w:pPr>
            <w:r w:rsidRPr="009F7CDF">
              <w:rPr>
                <w:rFonts w:ascii="Arial Narrow" w:eastAsia="Calibri" w:hAnsi="Arial Narrow" w:cs="Calibri"/>
                <w:b/>
                <w:bCs/>
                <w:sz w:val="20"/>
                <w:szCs w:val="20"/>
              </w:rPr>
              <w:t>Totali</w:t>
            </w:r>
          </w:p>
        </w:tc>
        <w:tc>
          <w:tcPr>
            <w:tcW w:w="682" w:type="pct"/>
            <w:hideMark/>
          </w:tcPr>
          <w:p w14:paraId="43699475" w14:textId="77777777" w:rsidR="005871F6" w:rsidRPr="009F7CDF" w:rsidRDefault="005871F6" w:rsidP="00B559E1">
            <w:pPr>
              <w:jc w:val="center"/>
              <w:rPr>
                <w:rFonts w:ascii="Arial Narrow" w:eastAsia="Calibri" w:hAnsi="Arial Narrow" w:cs="Calibri"/>
                <w:b/>
                <w:bCs/>
                <w:sz w:val="20"/>
                <w:szCs w:val="20"/>
              </w:rPr>
            </w:pPr>
            <w:r w:rsidRPr="009F7CDF">
              <w:rPr>
                <w:rFonts w:ascii="Arial Narrow" w:eastAsia="Calibri" w:hAnsi="Arial Narrow" w:cs="Calibri"/>
                <w:b/>
                <w:bCs/>
                <w:sz w:val="20"/>
                <w:szCs w:val="20"/>
              </w:rPr>
              <w:t>70</w:t>
            </w:r>
          </w:p>
        </w:tc>
        <w:tc>
          <w:tcPr>
            <w:tcW w:w="682" w:type="pct"/>
            <w:hideMark/>
          </w:tcPr>
          <w:p w14:paraId="44712525" w14:textId="77777777" w:rsidR="005871F6" w:rsidRPr="009F7CDF" w:rsidRDefault="005871F6" w:rsidP="005871F6">
            <w:pPr>
              <w:jc w:val="center"/>
              <w:rPr>
                <w:rFonts w:ascii="Arial Narrow" w:eastAsia="Calibri" w:hAnsi="Arial Narrow" w:cs="Calibri"/>
                <w:b/>
                <w:bCs/>
                <w:sz w:val="20"/>
                <w:szCs w:val="20"/>
              </w:rPr>
            </w:pPr>
            <w:r w:rsidRPr="009F7CDF">
              <w:rPr>
                <w:rFonts w:ascii="Arial Narrow" w:eastAsia="Calibri" w:hAnsi="Arial Narrow" w:cs="Calibri"/>
                <w:b/>
                <w:bCs/>
                <w:sz w:val="20"/>
                <w:szCs w:val="20"/>
              </w:rPr>
              <w:t>34.8%</w:t>
            </w:r>
          </w:p>
        </w:tc>
        <w:tc>
          <w:tcPr>
            <w:tcW w:w="682" w:type="pct"/>
            <w:hideMark/>
          </w:tcPr>
          <w:p w14:paraId="43AAD1B6" w14:textId="77777777" w:rsidR="005871F6" w:rsidRPr="009F7CDF" w:rsidRDefault="005871F6" w:rsidP="005871F6">
            <w:pPr>
              <w:jc w:val="center"/>
              <w:rPr>
                <w:rFonts w:ascii="Arial Narrow" w:eastAsia="Calibri" w:hAnsi="Arial Narrow" w:cs="Calibri"/>
                <w:b/>
                <w:bCs/>
                <w:sz w:val="20"/>
                <w:szCs w:val="20"/>
              </w:rPr>
            </w:pPr>
            <w:r w:rsidRPr="009F7CDF">
              <w:rPr>
                <w:rFonts w:ascii="Arial Narrow" w:eastAsia="Calibri" w:hAnsi="Arial Narrow" w:cs="Calibri"/>
                <w:b/>
                <w:bCs/>
                <w:sz w:val="20"/>
                <w:szCs w:val="20"/>
              </w:rPr>
              <w:t>27.5%</w:t>
            </w:r>
          </w:p>
        </w:tc>
        <w:tc>
          <w:tcPr>
            <w:tcW w:w="682" w:type="pct"/>
            <w:hideMark/>
          </w:tcPr>
          <w:p w14:paraId="0B3C01B8" w14:textId="77777777" w:rsidR="005871F6" w:rsidRPr="009F7CDF" w:rsidRDefault="005871F6" w:rsidP="005871F6">
            <w:pPr>
              <w:jc w:val="center"/>
              <w:rPr>
                <w:rFonts w:ascii="Arial Narrow" w:eastAsia="Calibri" w:hAnsi="Arial Narrow" w:cs="Calibri"/>
                <w:b/>
                <w:bCs/>
                <w:sz w:val="20"/>
                <w:szCs w:val="20"/>
              </w:rPr>
            </w:pPr>
            <w:r w:rsidRPr="009F7CDF">
              <w:rPr>
                <w:rFonts w:ascii="Arial Narrow" w:eastAsia="Calibri" w:hAnsi="Arial Narrow" w:cs="Calibri"/>
                <w:b/>
                <w:bCs/>
                <w:sz w:val="20"/>
                <w:szCs w:val="20"/>
              </w:rPr>
              <w:t>0.3%</w:t>
            </w:r>
          </w:p>
        </w:tc>
        <w:tc>
          <w:tcPr>
            <w:tcW w:w="682" w:type="pct"/>
            <w:hideMark/>
          </w:tcPr>
          <w:p w14:paraId="181AB814" w14:textId="77777777" w:rsidR="005871F6" w:rsidRPr="009F7CDF" w:rsidRDefault="005871F6" w:rsidP="005871F6">
            <w:pPr>
              <w:jc w:val="center"/>
              <w:rPr>
                <w:rFonts w:ascii="Arial Narrow" w:eastAsia="Calibri" w:hAnsi="Arial Narrow" w:cs="Calibri"/>
                <w:b/>
                <w:bCs/>
                <w:sz w:val="20"/>
                <w:szCs w:val="20"/>
              </w:rPr>
            </w:pPr>
            <w:r w:rsidRPr="009F7CDF">
              <w:rPr>
                <w:rFonts w:ascii="Arial Narrow" w:eastAsia="Calibri" w:hAnsi="Arial Narrow" w:cs="Calibri"/>
                <w:b/>
                <w:bCs/>
                <w:sz w:val="20"/>
                <w:szCs w:val="20"/>
              </w:rPr>
              <w:t>0.0%</w:t>
            </w:r>
          </w:p>
        </w:tc>
        <w:tc>
          <w:tcPr>
            <w:tcW w:w="681" w:type="pct"/>
            <w:hideMark/>
          </w:tcPr>
          <w:p w14:paraId="54148EA3" w14:textId="77777777" w:rsidR="005871F6" w:rsidRPr="009F7CDF" w:rsidRDefault="005871F6" w:rsidP="005871F6">
            <w:pPr>
              <w:jc w:val="center"/>
              <w:rPr>
                <w:rFonts w:ascii="Arial Narrow" w:eastAsia="Calibri" w:hAnsi="Arial Narrow" w:cs="Calibri"/>
                <w:b/>
                <w:bCs/>
                <w:sz w:val="20"/>
                <w:szCs w:val="20"/>
              </w:rPr>
            </w:pPr>
            <w:r w:rsidRPr="009F7CDF">
              <w:rPr>
                <w:rFonts w:ascii="Arial Narrow" w:eastAsia="Calibri" w:hAnsi="Arial Narrow" w:cs="Calibri"/>
                <w:b/>
                <w:bCs/>
                <w:sz w:val="20"/>
                <w:szCs w:val="20"/>
              </w:rPr>
              <w:t>37.5%</w:t>
            </w:r>
          </w:p>
        </w:tc>
      </w:tr>
    </w:tbl>
    <w:bookmarkEnd w:id="215"/>
    <w:p w14:paraId="4D3A4D70" w14:textId="799B387B" w:rsidR="005871F6" w:rsidRPr="00AF0235" w:rsidRDefault="005871F6" w:rsidP="009E4794">
      <w:pPr>
        <w:pStyle w:val="source0"/>
      </w:pPr>
      <w:r w:rsidRPr="00AF0235">
        <w:t xml:space="preserve">Burimi: </w:t>
      </w:r>
      <w:r w:rsidR="006A4B75">
        <w:t>AMMK</w:t>
      </w:r>
    </w:p>
    <w:p w14:paraId="553BEEAA" w14:textId="77777777" w:rsidR="00032CD8" w:rsidRPr="00C21444" w:rsidRDefault="00032CD8" w:rsidP="002254E8">
      <w:pPr>
        <w:pStyle w:val="Heading3"/>
      </w:pPr>
      <w:bookmarkStart w:id="216" w:name="_Toc153872129"/>
      <w:bookmarkStart w:id="217" w:name="_Toc170470834"/>
      <w:bookmarkStart w:id="218" w:name="_Toc197471982"/>
      <w:r w:rsidRPr="00C21444">
        <w:t>Lëvizja e mbeturinave</w:t>
      </w:r>
      <w:bookmarkEnd w:id="216"/>
      <w:bookmarkEnd w:id="217"/>
      <w:bookmarkEnd w:id="218"/>
    </w:p>
    <w:p w14:paraId="7958D8E7" w14:textId="15C2D581" w:rsidR="006A4B75" w:rsidRPr="008D2D8C" w:rsidRDefault="006A4B75" w:rsidP="006A4B75">
      <w:pPr>
        <w:pStyle w:val="Paragraph"/>
        <w:rPr>
          <w:lang w:val="sq-AL"/>
        </w:rPr>
      </w:pPr>
      <w:bookmarkStart w:id="219" w:name="_Toc153872130"/>
      <w:bookmarkStart w:id="220" w:name="_Toc170470835"/>
      <w:bookmarkStart w:id="221" w:name="_Hlk152670128"/>
      <w:r w:rsidRPr="00CF615F">
        <w:rPr>
          <w:lang w:val="sq-AL"/>
        </w:rPr>
        <w:t>Informacioni i kufizuar është i disponueshëm për lëvizjen e mbet</w:t>
      </w:r>
      <w:r>
        <w:rPr>
          <w:lang w:val="sq-AL"/>
        </w:rPr>
        <w:t>urinave</w:t>
      </w:r>
      <w:r w:rsidRPr="00CF615F">
        <w:rPr>
          <w:lang w:val="sq-AL"/>
        </w:rPr>
        <w:t xml:space="preserve"> brenda dhe jashtë </w:t>
      </w:r>
      <w:r>
        <w:rPr>
          <w:lang w:val="sq-AL"/>
        </w:rPr>
        <w:t>ZMM-ve</w:t>
      </w:r>
      <w:r w:rsidRPr="00CF615F">
        <w:rPr>
          <w:lang w:val="sq-AL"/>
        </w:rPr>
        <w:t>. Komuna e Pejës ka vlerësuar se 12,176 ton</w:t>
      </w:r>
      <w:r>
        <w:rPr>
          <w:lang w:val="sq-AL"/>
        </w:rPr>
        <w:t>ë</w:t>
      </w:r>
      <w:r w:rsidRPr="00CF615F">
        <w:rPr>
          <w:lang w:val="sq-AL"/>
        </w:rPr>
        <w:t xml:space="preserve"> mbeturina të riciklueshme janë eksportuar në vitin 2023. </w:t>
      </w:r>
      <w:r>
        <w:rPr>
          <w:lang w:val="sq-AL"/>
        </w:rPr>
        <w:t>Fraksionet e mbeturinave</w:t>
      </w:r>
      <w:r w:rsidRPr="00CF615F">
        <w:rPr>
          <w:lang w:val="sq-AL"/>
        </w:rPr>
        <w:t xml:space="preserve"> të riciklueshme dhe </w:t>
      </w:r>
      <w:r>
        <w:rPr>
          <w:lang w:val="sq-AL"/>
        </w:rPr>
        <w:t>PZP</w:t>
      </w:r>
      <w:r w:rsidRPr="00CF615F">
        <w:rPr>
          <w:lang w:val="sq-AL"/>
        </w:rPr>
        <w:t xml:space="preserve"> transportohen brenda dhe jashtë rajonit në varësi të vendndodhjes së objekteve të licencuara të grumbullimit, magazinimit, përpunimit/riciklimit/trajtimit. Siç është përmendur tashmë në Seksionin </w:t>
      </w:r>
      <w:r w:rsidRPr="008D2D8C">
        <w:rPr>
          <w:lang w:val="sq-AL"/>
        </w:rPr>
        <w:fldChar w:fldCharType="begin"/>
      </w:r>
      <w:r w:rsidRPr="008D2D8C">
        <w:rPr>
          <w:lang w:val="sq-AL"/>
        </w:rPr>
        <w:instrText xml:space="preserve"> REF _Ref153035983 \r \h  \* MERGEFORMAT </w:instrText>
      </w:r>
      <w:r w:rsidRPr="008D2D8C">
        <w:rPr>
          <w:lang w:val="sq-AL"/>
        </w:rPr>
      </w:r>
      <w:r w:rsidRPr="008D2D8C">
        <w:rPr>
          <w:lang w:val="sq-AL"/>
        </w:rPr>
        <w:fldChar w:fldCharType="separate"/>
      </w:r>
      <w:r w:rsidRPr="008D2D8C">
        <w:rPr>
          <w:lang w:val="sq-AL"/>
        </w:rPr>
        <w:t>3.3.4</w:t>
      </w:r>
      <w:r w:rsidRPr="008D2D8C">
        <w:rPr>
          <w:lang w:val="sq-AL"/>
        </w:rPr>
        <w:fldChar w:fldCharType="end"/>
      </w:r>
      <w:r w:rsidRPr="00CF615F">
        <w:rPr>
          <w:lang w:val="sq-AL"/>
        </w:rPr>
        <w:t>, rol udhëheqës në eksportin e materialeve të riciklueshme ka kompania Euro Steel, me seli në Pejë.</w:t>
      </w:r>
    </w:p>
    <w:p w14:paraId="5F07829E" w14:textId="22AC1B3F" w:rsidR="00032CD8" w:rsidRPr="00C21444" w:rsidRDefault="00032CD8" w:rsidP="002254E8">
      <w:pPr>
        <w:pStyle w:val="Heading3"/>
      </w:pPr>
      <w:bookmarkStart w:id="222" w:name="_Toc197471983"/>
      <w:r w:rsidRPr="00C21444">
        <w:t xml:space="preserve">Stafi </w:t>
      </w:r>
      <w:r w:rsidR="006A4B75">
        <w:t>për</w:t>
      </w:r>
      <w:r w:rsidRPr="00C21444">
        <w:t xml:space="preserve"> menaxhimi</w:t>
      </w:r>
      <w:r w:rsidR="006A4B75">
        <w:t>n e</w:t>
      </w:r>
      <w:r w:rsidRPr="00C21444">
        <w:t xml:space="preserve"> mbeturinave</w:t>
      </w:r>
      <w:bookmarkEnd w:id="219"/>
      <w:bookmarkEnd w:id="220"/>
      <w:bookmarkEnd w:id="222"/>
    </w:p>
    <w:bookmarkEnd w:id="221"/>
    <w:p w14:paraId="2D737B95" w14:textId="01888791" w:rsidR="006A4B75" w:rsidRPr="008D2D8C" w:rsidRDefault="006A4B75" w:rsidP="006A4B75">
      <w:pPr>
        <w:pStyle w:val="Paragraph"/>
        <w:rPr>
          <w:rFonts w:eastAsia="Calibri"/>
          <w:lang w:val="sq-AL"/>
        </w:rPr>
      </w:pPr>
      <w:r w:rsidRPr="00CF615F">
        <w:rPr>
          <w:rFonts w:eastAsia="Calibri"/>
          <w:lang w:val="sq-AL"/>
        </w:rPr>
        <w:t>Situata ekzistuese e punonjësve në menaxhimin e mbet</w:t>
      </w:r>
      <w:r>
        <w:rPr>
          <w:rFonts w:eastAsia="Calibri"/>
          <w:lang w:val="sq-AL"/>
        </w:rPr>
        <w:t>urinave</w:t>
      </w:r>
      <w:r w:rsidRPr="00CF615F">
        <w:rPr>
          <w:rFonts w:eastAsia="Calibri"/>
          <w:lang w:val="sq-AL"/>
        </w:rPr>
        <w:t xml:space="preserve"> në </w:t>
      </w:r>
      <w:r>
        <w:rPr>
          <w:rFonts w:eastAsia="Calibri"/>
          <w:lang w:val="sq-AL"/>
        </w:rPr>
        <w:t>ZMM</w:t>
      </w:r>
      <w:r w:rsidRPr="00CF615F">
        <w:rPr>
          <w:rFonts w:eastAsia="Calibri"/>
          <w:lang w:val="sq-AL"/>
        </w:rPr>
        <w:t xml:space="preserve"> është renditur në </w:t>
      </w:r>
      <w:r>
        <w:rPr>
          <w:rFonts w:eastAsia="Calibri"/>
          <w:lang w:val="sq-AL"/>
        </w:rPr>
        <w:t>tabelën vijuese</w:t>
      </w:r>
      <w:r w:rsidRPr="00CF615F">
        <w:rPr>
          <w:rFonts w:eastAsia="Calibri"/>
          <w:lang w:val="sq-AL"/>
        </w:rPr>
        <w:t>. Ndryshimet e stafit për klient janë mjaft të ngjashme ndërmjet komunave. Përjashtim bën vetëm Komuna e Junikut, ku efikasiteti i stafit për 1</w:t>
      </w:r>
      <w:r>
        <w:rPr>
          <w:rFonts w:eastAsia="Calibri"/>
          <w:lang w:val="sq-AL"/>
        </w:rPr>
        <w:t>,</w:t>
      </w:r>
      <w:r w:rsidRPr="00CF615F">
        <w:rPr>
          <w:rFonts w:eastAsia="Calibri"/>
          <w:lang w:val="sq-AL"/>
        </w:rPr>
        <w:t>000 konsumatorë të shërbyer është më i lartë në krahasim me 4 komunat tjera.</w:t>
      </w:r>
    </w:p>
    <w:p w14:paraId="6412F232" w14:textId="706514DA" w:rsidR="00AB2A52" w:rsidRPr="007F50ED" w:rsidRDefault="00AB2A52" w:rsidP="007F50ED">
      <w:pPr>
        <w:suppressAutoHyphens/>
        <w:rPr>
          <w:rFonts w:ascii="Arial Narrow" w:eastAsia="Calibri" w:hAnsi="Arial Narrow" w:cs="Calibri"/>
          <w:color w:val="1F497D"/>
          <w:sz w:val="20"/>
          <w:szCs w:val="20"/>
        </w:rPr>
      </w:pPr>
      <w:bookmarkStart w:id="223" w:name="_Toc197472215"/>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30.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 xml:space="preserve">Efikasiteti i stafit </w:t>
      </w:r>
      <w:r w:rsidR="006A4B75">
        <w:rPr>
          <w:rFonts w:ascii="Arial Narrow" w:eastAsia="Calibri" w:hAnsi="Arial Narrow" w:cs="Calibri"/>
          <w:color w:val="1F497D"/>
          <w:sz w:val="20"/>
          <w:szCs w:val="20"/>
        </w:rPr>
        <w:t>për</w:t>
      </w:r>
      <w:r w:rsidRPr="007F50ED">
        <w:rPr>
          <w:rFonts w:ascii="Arial Narrow" w:eastAsia="Calibri" w:hAnsi="Arial Narrow" w:cs="Calibri"/>
          <w:color w:val="1F497D"/>
          <w:sz w:val="20"/>
          <w:szCs w:val="20"/>
        </w:rPr>
        <w:t xml:space="preserve"> menaxhimit të mbeturinave, 2021</w:t>
      </w:r>
      <w:bookmarkEnd w:id="223"/>
    </w:p>
    <w:tbl>
      <w:tblPr>
        <w:tblStyle w:val="TableGrid"/>
        <w:tblW w:w="0" w:type="auto"/>
        <w:tblLook w:val="04A0" w:firstRow="1" w:lastRow="0" w:firstColumn="1" w:lastColumn="0" w:noHBand="0" w:noVBand="1"/>
      </w:tblPr>
      <w:tblGrid>
        <w:gridCol w:w="2254"/>
        <w:gridCol w:w="2254"/>
        <w:gridCol w:w="2254"/>
        <w:gridCol w:w="2254"/>
      </w:tblGrid>
      <w:tr w:rsidR="000D110F" w:rsidRPr="000D110F" w14:paraId="2582BCC2" w14:textId="77777777" w:rsidTr="006347D6">
        <w:trPr>
          <w:tblHeader/>
        </w:trPr>
        <w:tc>
          <w:tcPr>
            <w:tcW w:w="2254" w:type="dxa"/>
            <w:shd w:val="clear" w:color="auto" w:fill="365F91"/>
          </w:tcPr>
          <w:p w14:paraId="4DD8521B" w14:textId="24DEDF80" w:rsidR="00E92133" w:rsidRPr="000D110F" w:rsidRDefault="006A4B75" w:rsidP="00032CD8">
            <w:pPr>
              <w:rPr>
                <w:rFonts w:ascii="Arial Narrow" w:eastAsia="Calibri" w:hAnsi="Arial Narrow" w:cs="Calibri"/>
                <w:b/>
                <w:bCs/>
                <w:color w:val="FFFFFF" w:themeColor="background1"/>
                <w:sz w:val="20"/>
                <w:szCs w:val="20"/>
              </w:rPr>
            </w:pPr>
            <w:r>
              <w:rPr>
                <w:rFonts w:ascii="Arial Narrow" w:eastAsia="Calibri" w:hAnsi="Arial Narrow" w:cs="Calibri"/>
                <w:b/>
                <w:bCs/>
                <w:color w:val="FFFFFF" w:themeColor="background1"/>
                <w:sz w:val="20"/>
                <w:szCs w:val="20"/>
              </w:rPr>
              <w:t>Komuna</w:t>
            </w:r>
          </w:p>
        </w:tc>
        <w:tc>
          <w:tcPr>
            <w:tcW w:w="2254" w:type="dxa"/>
            <w:shd w:val="clear" w:color="auto" w:fill="365F91"/>
          </w:tcPr>
          <w:p w14:paraId="7ED2B0B1" w14:textId="31AB051D" w:rsidR="00E92133" w:rsidRPr="000D110F" w:rsidRDefault="00E92133" w:rsidP="00AB2A52">
            <w:pPr>
              <w:jc w:val="center"/>
              <w:rPr>
                <w:rFonts w:ascii="Arial Narrow" w:eastAsia="Calibri" w:hAnsi="Arial Narrow" w:cs="Calibri"/>
                <w:b/>
                <w:bCs/>
                <w:color w:val="FFFFFF" w:themeColor="background1"/>
                <w:sz w:val="20"/>
                <w:szCs w:val="20"/>
              </w:rPr>
            </w:pPr>
            <w:r w:rsidRPr="000D110F">
              <w:rPr>
                <w:rFonts w:ascii="Arial Narrow" w:eastAsia="Calibri" w:hAnsi="Arial Narrow" w:cs="Calibri"/>
                <w:b/>
                <w:bCs/>
                <w:color w:val="FFFFFF" w:themeColor="background1"/>
                <w:sz w:val="20"/>
                <w:szCs w:val="20"/>
              </w:rPr>
              <w:t>Stafi i Ofruesit të Shërbimeve</w:t>
            </w:r>
          </w:p>
        </w:tc>
        <w:tc>
          <w:tcPr>
            <w:tcW w:w="2254" w:type="dxa"/>
            <w:shd w:val="clear" w:color="auto" w:fill="365F91"/>
          </w:tcPr>
          <w:p w14:paraId="73D1832A" w14:textId="375DB9D6" w:rsidR="00E92133" w:rsidRPr="000D110F" w:rsidRDefault="00E92133" w:rsidP="00AB2A52">
            <w:pPr>
              <w:jc w:val="center"/>
              <w:rPr>
                <w:rFonts w:ascii="Arial Narrow" w:eastAsia="Calibri" w:hAnsi="Arial Narrow" w:cs="Calibri"/>
                <w:b/>
                <w:bCs/>
                <w:color w:val="FFFFFF" w:themeColor="background1"/>
                <w:sz w:val="20"/>
                <w:szCs w:val="20"/>
              </w:rPr>
            </w:pPr>
            <w:r w:rsidRPr="000D110F">
              <w:rPr>
                <w:rFonts w:ascii="Arial Narrow" w:eastAsia="Calibri" w:hAnsi="Arial Narrow" w:cs="Calibri"/>
                <w:b/>
                <w:bCs/>
                <w:color w:val="FFFFFF" w:themeColor="background1"/>
                <w:sz w:val="20"/>
                <w:szCs w:val="20"/>
              </w:rPr>
              <w:t>Klientët e shërbyer</w:t>
            </w:r>
          </w:p>
        </w:tc>
        <w:tc>
          <w:tcPr>
            <w:tcW w:w="2254" w:type="dxa"/>
            <w:shd w:val="clear" w:color="auto" w:fill="365F91"/>
          </w:tcPr>
          <w:p w14:paraId="2229B561" w14:textId="77777777" w:rsidR="00E92133" w:rsidRPr="000D110F" w:rsidRDefault="00E92133" w:rsidP="00AB2A52">
            <w:pPr>
              <w:jc w:val="center"/>
              <w:rPr>
                <w:rFonts w:ascii="Arial Narrow" w:eastAsia="Calibri" w:hAnsi="Arial Narrow" w:cs="Calibri"/>
                <w:b/>
                <w:bCs/>
                <w:color w:val="FFFFFF" w:themeColor="background1"/>
                <w:sz w:val="20"/>
                <w:szCs w:val="20"/>
              </w:rPr>
            </w:pPr>
            <w:r w:rsidRPr="000D110F">
              <w:rPr>
                <w:rFonts w:ascii="Arial Narrow" w:eastAsia="Calibri" w:hAnsi="Arial Narrow" w:cs="Calibri"/>
                <w:b/>
                <w:bCs/>
                <w:color w:val="FFFFFF" w:themeColor="background1"/>
                <w:sz w:val="20"/>
                <w:szCs w:val="20"/>
              </w:rPr>
              <w:t>Efikasiteti i stafit për 1,000</w:t>
            </w:r>
          </w:p>
          <w:p w14:paraId="47A1CEAE" w14:textId="3520067B" w:rsidR="00E92133" w:rsidRPr="000D110F" w:rsidRDefault="00E92133" w:rsidP="00AB2A52">
            <w:pPr>
              <w:jc w:val="center"/>
              <w:rPr>
                <w:rFonts w:ascii="Arial Narrow" w:eastAsia="Calibri" w:hAnsi="Arial Narrow" w:cs="Calibri"/>
                <w:b/>
                <w:bCs/>
                <w:color w:val="FFFFFF" w:themeColor="background1"/>
                <w:sz w:val="20"/>
                <w:szCs w:val="20"/>
              </w:rPr>
            </w:pPr>
            <w:r w:rsidRPr="000D110F">
              <w:rPr>
                <w:rFonts w:ascii="Arial Narrow" w:eastAsia="Calibri" w:hAnsi="Arial Narrow" w:cs="Calibri"/>
                <w:b/>
                <w:bCs/>
                <w:color w:val="FFFFFF" w:themeColor="background1"/>
                <w:sz w:val="20"/>
                <w:szCs w:val="20"/>
              </w:rPr>
              <w:t>klientët e shërbyer</w:t>
            </w:r>
          </w:p>
        </w:tc>
      </w:tr>
      <w:tr w:rsidR="00AB2A52" w:rsidRPr="005F3D57" w14:paraId="3CF01FE6" w14:textId="77777777" w:rsidTr="00E92133">
        <w:tc>
          <w:tcPr>
            <w:tcW w:w="2254" w:type="dxa"/>
          </w:tcPr>
          <w:p w14:paraId="23902643" w14:textId="7824A197" w:rsidR="00AB2A52" w:rsidRPr="005F3D57" w:rsidRDefault="00AB2A52" w:rsidP="00AB2A52">
            <w:pPr>
              <w:rPr>
                <w:rFonts w:ascii="Arial Narrow" w:eastAsia="Calibri" w:hAnsi="Arial Narrow" w:cs="Calibri"/>
                <w:sz w:val="20"/>
                <w:szCs w:val="20"/>
              </w:rPr>
            </w:pPr>
            <w:r w:rsidRPr="005F3D57">
              <w:rPr>
                <w:rFonts w:ascii="Arial Narrow" w:eastAsia="Calibri" w:hAnsi="Arial Narrow" w:cs="Calibri"/>
                <w:sz w:val="20"/>
                <w:szCs w:val="20"/>
              </w:rPr>
              <w:t>Pejë</w:t>
            </w:r>
          </w:p>
        </w:tc>
        <w:tc>
          <w:tcPr>
            <w:tcW w:w="2254" w:type="dxa"/>
          </w:tcPr>
          <w:p w14:paraId="6C188C43" w14:textId="0DCCB34F" w:rsidR="00AB2A52" w:rsidRPr="005F3D57" w:rsidRDefault="00466277" w:rsidP="00AB2A52">
            <w:pPr>
              <w:jc w:val="center"/>
              <w:rPr>
                <w:rFonts w:ascii="Arial Narrow" w:eastAsia="Calibri" w:hAnsi="Arial Narrow" w:cs="Calibri"/>
                <w:sz w:val="20"/>
                <w:szCs w:val="20"/>
              </w:rPr>
            </w:pPr>
            <w:r>
              <w:rPr>
                <w:rFonts w:ascii="Arial Narrow" w:eastAsia="Calibri" w:hAnsi="Arial Narrow" w:cs="Calibri"/>
                <w:sz w:val="20"/>
                <w:szCs w:val="20"/>
              </w:rPr>
              <w:t>110</w:t>
            </w:r>
          </w:p>
        </w:tc>
        <w:tc>
          <w:tcPr>
            <w:tcW w:w="2254" w:type="dxa"/>
          </w:tcPr>
          <w:p w14:paraId="04C9E1D3" w14:textId="3EA26893" w:rsidR="00AB2A52" w:rsidRPr="005F3D57" w:rsidRDefault="00466277" w:rsidP="00AB2A52">
            <w:pPr>
              <w:jc w:val="center"/>
              <w:rPr>
                <w:rFonts w:ascii="Arial Narrow" w:eastAsia="Calibri" w:hAnsi="Arial Narrow" w:cs="Calibri"/>
                <w:sz w:val="20"/>
                <w:szCs w:val="20"/>
              </w:rPr>
            </w:pPr>
            <w:r>
              <w:rPr>
                <w:rFonts w:ascii="Arial Narrow" w:eastAsia="Calibri" w:hAnsi="Arial Narrow" w:cs="Calibri"/>
                <w:sz w:val="20"/>
                <w:szCs w:val="20"/>
              </w:rPr>
              <w:t>20,455</w:t>
            </w:r>
          </w:p>
        </w:tc>
        <w:tc>
          <w:tcPr>
            <w:tcW w:w="2254" w:type="dxa"/>
          </w:tcPr>
          <w:p w14:paraId="4FE91C51" w14:textId="72B0CE8C" w:rsidR="00AB2A52" w:rsidRPr="005F3D57" w:rsidRDefault="00466277" w:rsidP="00AB2A52">
            <w:pPr>
              <w:jc w:val="center"/>
              <w:rPr>
                <w:rFonts w:ascii="Arial Narrow" w:eastAsia="Calibri" w:hAnsi="Arial Narrow" w:cs="Calibri"/>
                <w:sz w:val="20"/>
                <w:szCs w:val="20"/>
              </w:rPr>
            </w:pPr>
            <w:r>
              <w:rPr>
                <w:rFonts w:ascii="Arial Narrow" w:eastAsia="Calibri" w:hAnsi="Arial Narrow" w:cs="Calibri"/>
                <w:sz w:val="20"/>
                <w:szCs w:val="20"/>
              </w:rPr>
              <w:t>5</w:t>
            </w:r>
          </w:p>
        </w:tc>
      </w:tr>
      <w:tr w:rsidR="00AB2A52" w:rsidRPr="005F3D57" w14:paraId="1C496DA8" w14:textId="77777777" w:rsidTr="00E92133">
        <w:tc>
          <w:tcPr>
            <w:tcW w:w="2254" w:type="dxa"/>
          </w:tcPr>
          <w:p w14:paraId="6304978A" w14:textId="30581E82" w:rsidR="00AB2A52" w:rsidRPr="005F3D57" w:rsidRDefault="00AB2A52" w:rsidP="00AB2A52">
            <w:pPr>
              <w:rPr>
                <w:rFonts w:ascii="Arial Narrow" w:eastAsia="Calibri" w:hAnsi="Arial Narrow" w:cs="Calibri"/>
                <w:sz w:val="20"/>
                <w:szCs w:val="20"/>
              </w:rPr>
            </w:pPr>
            <w:r w:rsidRPr="005F3D57">
              <w:rPr>
                <w:rFonts w:ascii="Arial Narrow" w:eastAsia="Calibri" w:hAnsi="Arial Narrow" w:cs="Calibri"/>
                <w:sz w:val="20"/>
                <w:szCs w:val="20"/>
              </w:rPr>
              <w:t>Istog</w:t>
            </w:r>
          </w:p>
        </w:tc>
        <w:tc>
          <w:tcPr>
            <w:tcW w:w="2254" w:type="dxa"/>
          </w:tcPr>
          <w:p w14:paraId="423672EF" w14:textId="10BF2456" w:rsidR="00AB2A52" w:rsidRPr="005F3D57" w:rsidRDefault="00AB2A52" w:rsidP="00AB2A52">
            <w:pPr>
              <w:jc w:val="center"/>
              <w:rPr>
                <w:rFonts w:ascii="Arial Narrow" w:eastAsia="Calibri" w:hAnsi="Arial Narrow" w:cs="Calibri"/>
                <w:sz w:val="20"/>
                <w:szCs w:val="20"/>
              </w:rPr>
            </w:pPr>
            <w:r w:rsidRPr="005F3D57">
              <w:rPr>
                <w:rFonts w:ascii="Arial Narrow" w:eastAsia="Calibri" w:hAnsi="Arial Narrow" w:cs="Calibri"/>
                <w:sz w:val="20"/>
                <w:szCs w:val="20"/>
              </w:rPr>
              <w:t>3</w:t>
            </w:r>
            <w:r w:rsidR="00466277">
              <w:rPr>
                <w:rFonts w:ascii="Arial Narrow" w:eastAsia="Calibri" w:hAnsi="Arial Narrow" w:cs="Calibri"/>
                <w:sz w:val="20"/>
                <w:szCs w:val="20"/>
              </w:rPr>
              <w:t>3</w:t>
            </w:r>
          </w:p>
        </w:tc>
        <w:tc>
          <w:tcPr>
            <w:tcW w:w="2254" w:type="dxa"/>
          </w:tcPr>
          <w:p w14:paraId="3DE40095" w14:textId="767CC9E3" w:rsidR="00AB2A52" w:rsidRPr="005F3D57" w:rsidRDefault="00466277" w:rsidP="00AB2A52">
            <w:pPr>
              <w:jc w:val="center"/>
              <w:rPr>
                <w:rFonts w:ascii="Arial Narrow" w:eastAsia="Calibri" w:hAnsi="Arial Narrow" w:cs="Calibri"/>
                <w:sz w:val="20"/>
                <w:szCs w:val="20"/>
              </w:rPr>
            </w:pPr>
            <w:r>
              <w:rPr>
                <w:rFonts w:ascii="Arial Narrow" w:eastAsia="Calibri" w:hAnsi="Arial Narrow" w:cs="Calibri"/>
                <w:sz w:val="20"/>
                <w:szCs w:val="20"/>
              </w:rPr>
              <w:t>7.746</w:t>
            </w:r>
          </w:p>
        </w:tc>
        <w:tc>
          <w:tcPr>
            <w:tcW w:w="2254" w:type="dxa"/>
          </w:tcPr>
          <w:p w14:paraId="6EF73216" w14:textId="075E9567" w:rsidR="00AB2A52" w:rsidRPr="005F3D57" w:rsidRDefault="00466277" w:rsidP="00AB2A52">
            <w:pPr>
              <w:jc w:val="center"/>
              <w:rPr>
                <w:rFonts w:ascii="Arial Narrow" w:eastAsia="Calibri" w:hAnsi="Arial Narrow" w:cs="Calibri"/>
                <w:sz w:val="20"/>
                <w:szCs w:val="20"/>
              </w:rPr>
            </w:pPr>
            <w:r>
              <w:rPr>
                <w:rFonts w:ascii="Arial Narrow" w:eastAsia="Calibri" w:hAnsi="Arial Narrow" w:cs="Calibri"/>
                <w:sz w:val="20"/>
                <w:szCs w:val="20"/>
              </w:rPr>
              <w:t>4</w:t>
            </w:r>
          </w:p>
        </w:tc>
      </w:tr>
      <w:tr w:rsidR="00AB2A52" w:rsidRPr="005F3D57" w14:paraId="513E2554" w14:textId="77777777" w:rsidTr="00E92133">
        <w:tc>
          <w:tcPr>
            <w:tcW w:w="2254" w:type="dxa"/>
          </w:tcPr>
          <w:p w14:paraId="48007CA7" w14:textId="3F97366C" w:rsidR="00AB2A52" w:rsidRPr="005F3D57" w:rsidRDefault="00AB2A52" w:rsidP="00AB2A52">
            <w:pPr>
              <w:rPr>
                <w:rFonts w:ascii="Arial Narrow" w:eastAsia="Calibri" w:hAnsi="Arial Narrow" w:cs="Calibri"/>
                <w:sz w:val="20"/>
                <w:szCs w:val="20"/>
              </w:rPr>
            </w:pPr>
            <w:r w:rsidRPr="005F3D57">
              <w:rPr>
                <w:rFonts w:ascii="Arial Narrow" w:eastAsia="Calibri" w:hAnsi="Arial Narrow" w:cs="Calibri"/>
                <w:sz w:val="20"/>
                <w:szCs w:val="20"/>
              </w:rPr>
              <w:t>Klinë</w:t>
            </w:r>
          </w:p>
        </w:tc>
        <w:tc>
          <w:tcPr>
            <w:tcW w:w="2254" w:type="dxa"/>
          </w:tcPr>
          <w:p w14:paraId="55BAFC77" w14:textId="14A994EA" w:rsidR="00AB2A52" w:rsidRPr="005F3D57" w:rsidRDefault="00466277" w:rsidP="00AB2A52">
            <w:pPr>
              <w:jc w:val="center"/>
              <w:rPr>
                <w:rFonts w:ascii="Arial Narrow" w:eastAsia="Calibri" w:hAnsi="Arial Narrow" w:cs="Calibri"/>
                <w:sz w:val="20"/>
                <w:szCs w:val="20"/>
              </w:rPr>
            </w:pPr>
            <w:r>
              <w:rPr>
                <w:rFonts w:ascii="Arial Narrow" w:eastAsia="Calibri" w:hAnsi="Arial Narrow" w:cs="Calibri"/>
                <w:sz w:val="20"/>
                <w:szCs w:val="20"/>
              </w:rPr>
              <w:t>46</w:t>
            </w:r>
          </w:p>
        </w:tc>
        <w:tc>
          <w:tcPr>
            <w:tcW w:w="2254" w:type="dxa"/>
          </w:tcPr>
          <w:p w14:paraId="01744D5B" w14:textId="7AF65CB3" w:rsidR="00AB2A52" w:rsidRPr="005F3D57" w:rsidRDefault="00466277" w:rsidP="00AB2A52">
            <w:pPr>
              <w:jc w:val="center"/>
              <w:rPr>
                <w:rFonts w:ascii="Arial Narrow" w:eastAsia="Calibri" w:hAnsi="Arial Narrow" w:cs="Calibri"/>
                <w:sz w:val="20"/>
                <w:szCs w:val="20"/>
              </w:rPr>
            </w:pPr>
            <w:r>
              <w:rPr>
                <w:rFonts w:ascii="Arial Narrow" w:eastAsia="Calibri" w:hAnsi="Arial Narrow" w:cs="Calibri"/>
                <w:sz w:val="20"/>
                <w:szCs w:val="20"/>
              </w:rPr>
              <w:t>7.219</w:t>
            </w:r>
          </w:p>
        </w:tc>
        <w:tc>
          <w:tcPr>
            <w:tcW w:w="2254" w:type="dxa"/>
          </w:tcPr>
          <w:p w14:paraId="65C853A7" w14:textId="6A36EC50" w:rsidR="00AB2A52" w:rsidRPr="005F3D57" w:rsidRDefault="00AB2A52" w:rsidP="00AB2A52">
            <w:pPr>
              <w:jc w:val="center"/>
              <w:rPr>
                <w:rFonts w:ascii="Arial Narrow" w:eastAsia="Calibri" w:hAnsi="Arial Narrow" w:cs="Calibri"/>
                <w:sz w:val="20"/>
                <w:szCs w:val="20"/>
              </w:rPr>
            </w:pPr>
            <w:r w:rsidRPr="005F3D57">
              <w:rPr>
                <w:rFonts w:ascii="Arial Narrow" w:eastAsia="Calibri" w:hAnsi="Arial Narrow" w:cs="Calibri"/>
                <w:sz w:val="20"/>
                <w:szCs w:val="20"/>
              </w:rPr>
              <w:t>6</w:t>
            </w:r>
          </w:p>
        </w:tc>
      </w:tr>
      <w:tr w:rsidR="00AB2A52" w:rsidRPr="005F3D57" w14:paraId="42C53394" w14:textId="77777777" w:rsidTr="00E92133">
        <w:tc>
          <w:tcPr>
            <w:tcW w:w="2254" w:type="dxa"/>
          </w:tcPr>
          <w:p w14:paraId="582AEFE4" w14:textId="270F94DE" w:rsidR="00AB2A52" w:rsidRPr="005F3D57" w:rsidRDefault="00AB2A52" w:rsidP="00AB2A52">
            <w:pPr>
              <w:rPr>
                <w:rFonts w:ascii="Arial Narrow" w:eastAsia="Calibri" w:hAnsi="Arial Narrow" w:cs="Calibri"/>
                <w:sz w:val="20"/>
                <w:szCs w:val="20"/>
              </w:rPr>
            </w:pPr>
            <w:r w:rsidRPr="005F3D57">
              <w:rPr>
                <w:rFonts w:ascii="Arial Narrow" w:eastAsia="Calibri" w:hAnsi="Arial Narrow" w:cs="Calibri"/>
                <w:sz w:val="20"/>
                <w:szCs w:val="20"/>
              </w:rPr>
              <w:t>Deçan</w:t>
            </w:r>
          </w:p>
        </w:tc>
        <w:tc>
          <w:tcPr>
            <w:tcW w:w="2254" w:type="dxa"/>
          </w:tcPr>
          <w:p w14:paraId="0241D8A5" w14:textId="24FE7259" w:rsidR="00AB2A52" w:rsidRPr="005F3D57" w:rsidRDefault="00466277" w:rsidP="00AB2A52">
            <w:pPr>
              <w:jc w:val="center"/>
              <w:rPr>
                <w:rFonts w:ascii="Arial Narrow" w:eastAsia="Calibri" w:hAnsi="Arial Narrow" w:cs="Calibri"/>
                <w:sz w:val="20"/>
                <w:szCs w:val="20"/>
              </w:rPr>
            </w:pPr>
            <w:r>
              <w:rPr>
                <w:rFonts w:ascii="Arial Narrow" w:eastAsia="Calibri" w:hAnsi="Arial Narrow" w:cs="Calibri"/>
                <w:sz w:val="20"/>
                <w:szCs w:val="20"/>
              </w:rPr>
              <w:t>55</w:t>
            </w:r>
          </w:p>
        </w:tc>
        <w:tc>
          <w:tcPr>
            <w:tcW w:w="2254" w:type="dxa"/>
          </w:tcPr>
          <w:p w14:paraId="3320EB1D" w14:textId="03590244" w:rsidR="00AB2A52" w:rsidRPr="005F3D57" w:rsidRDefault="00AB2A52" w:rsidP="00AB2A52">
            <w:pPr>
              <w:jc w:val="center"/>
              <w:rPr>
                <w:rFonts w:ascii="Arial Narrow" w:eastAsia="Calibri" w:hAnsi="Arial Narrow" w:cs="Calibri"/>
                <w:sz w:val="20"/>
                <w:szCs w:val="20"/>
              </w:rPr>
            </w:pPr>
            <w:r w:rsidRPr="005F3D57">
              <w:rPr>
                <w:rFonts w:ascii="Arial Narrow" w:eastAsia="Calibri" w:hAnsi="Arial Narrow" w:cs="Calibri"/>
                <w:sz w:val="20"/>
                <w:szCs w:val="20"/>
              </w:rPr>
              <w:t>8,</w:t>
            </w:r>
            <w:r w:rsidR="00466277">
              <w:rPr>
                <w:rFonts w:ascii="Arial Narrow" w:eastAsia="Calibri" w:hAnsi="Arial Narrow" w:cs="Calibri"/>
                <w:sz w:val="20"/>
                <w:szCs w:val="20"/>
              </w:rPr>
              <w:t>242</w:t>
            </w:r>
          </w:p>
        </w:tc>
        <w:tc>
          <w:tcPr>
            <w:tcW w:w="2254" w:type="dxa"/>
          </w:tcPr>
          <w:p w14:paraId="10E881B8" w14:textId="30316D58" w:rsidR="00AB2A52" w:rsidRPr="005F3D57" w:rsidRDefault="00AB2A52" w:rsidP="00AB2A52">
            <w:pPr>
              <w:jc w:val="center"/>
              <w:rPr>
                <w:rFonts w:ascii="Arial Narrow" w:eastAsia="Calibri" w:hAnsi="Arial Narrow" w:cs="Calibri"/>
                <w:sz w:val="20"/>
                <w:szCs w:val="20"/>
              </w:rPr>
            </w:pPr>
            <w:r w:rsidRPr="005F3D57">
              <w:rPr>
                <w:rFonts w:ascii="Arial Narrow" w:eastAsia="Calibri" w:hAnsi="Arial Narrow" w:cs="Calibri"/>
                <w:sz w:val="20"/>
                <w:szCs w:val="20"/>
              </w:rPr>
              <w:t>6</w:t>
            </w:r>
          </w:p>
        </w:tc>
      </w:tr>
      <w:tr w:rsidR="00AB2A52" w:rsidRPr="005F3D57" w14:paraId="2638969E" w14:textId="77777777" w:rsidTr="00E92133">
        <w:tc>
          <w:tcPr>
            <w:tcW w:w="2254" w:type="dxa"/>
          </w:tcPr>
          <w:p w14:paraId="22589666" w14:textId="1BCED501" w:rsidR="00AB2A52" w:rsidRPr="005F3D57" w:rsidRDefault="00AB2A52" w:rsidP="00AB2A52">
            <w:pPr>
              <w:rPr>
                <w:rFonts w:ascii="Arial Narrow" w:eastAsia="Calibri" w:hAnsi="Arial Narrow" w:cs="Calibri"/>
                <w:sz w:val="20"/>
                <w:szCs w:val="20"/>
              </w:rPr>
            </w:pPr>
            <w:r w:rsidRPr="005F3D57">
              <w:rPr>
                <w:rFonts w:ascii="Arial Narrow" w:eastAsia="Calibri" w:hAnsi="Arial Narrow" w:cs="Calibri"/>
                <w:sz w:val="20"/>
                <w:szCs w:val="20"/>
              </w:rPr>
              <w:t>Junik</w:t>
            </w:r>
          </w:p>
        </w:tc>
        <w:tc>
          <w:tcPr>
            <w:tcW w:w="2254" w:type="dxa"/>
          </w:tcPr>
          <w:p w14:paraId="3B8E9488" w14:textId="2911F003" w:rsidR="00AB2A52" w:rsidRPr="005F3D57" w:rsidRDefault="00AB2A52" w:rsidP="00AB2A52">
            <w:pPr>
              <w:jc w:val="center"/>
              <w:rPr>
                <w:rFonts w:ascii="Arial Narrow" w:eastAsia="Calibri" w:hAnsi="Arial Narrow" w:cs="Calibri"/>
                <w:sz w:val="20"/>
                <w:szCs w:val="20"/>
              </w:rPr>
            </w:pPr>
            <w:r w:rsidRPr="005F3D57">
              <w:rPr>
                <w:rFonts w:ascii="Arial Narrow" w:eastAsia="Calibri" w:hAnsi="Arial Narrow" w:cs="Calibri"/>
                <w:sz w:val="20"/>
                <w:szCs w:val="20"/>
              </w:rPr>
              <w:t>11</w:t>
            </w:r>
          </w:p>
        </w:tc>
        <w:tc>
          <w:tcPr>
            <w:tcW w:w="2254" w:type="dxa"/>
          </w:tcPr>
          <w:p w14:paraId="67E4F833" w14:textId="31684276" w:rsidR="00AB2A52" w:rsidRPr="005F3D57" w:rsidRDefault="00AB2A52" w:rsidP="00AB2A52">
            <w:pPr>
              <w:jc w:val="center"/>
              <w:rPr>
                <w:rFonts w:ascii="Arial Narrow" w:eastAsia="Calibri" w:hAnsi="Arial Narrow" w:cs="Calibri"/>
                <w:sz w:val="20"/>
                <w:szCs w:val="20"/>
              </w:rPr>
            </w:pPr>
            <w:r w:rsidRPr="005F3D57">
              <w:rPr>
                <w:rFonts w:ascii="Arial Narrow" w:eastAsia="Calibri" w:hAnsi="Arial Narrow" w:cs="Calibri"/>
                <w:sz w:val="20"/>
                <w:szCs w:val="20"/>
              </w:rPr>
              <w:t>1,0</w:t>
            </w:r>
            <w:r w:rsidR="00466277">
              <w:rPr>
                <w:rFonts w:ascii="Arial Narrow" w:eastAsia="Calibri" w:hAnsi="Arial Narrow" w:cs="Calibri"/>
                <w:sz w:val="20"/>
                <w:szCs w:val="20"/>
              </w:rPr>
              <w:t>3</w:t>
            </w:r>
            <w:r w:rsidRPr="005F3D57">
              <w:rPr>
                <w:rFonts w:ascii="Arial Narrow" w:eastAsia="Calibri" w:hAnsi="Arial Narrow" w:cs="Calibri"/>
                <w:sz w:val="20"/>
                <w:szCs w:val="20"/>
              </w:rPr>
              <w:t>3</w:t>
            </w:r>
          </w:p>
        </w:tc>
        <w:tc>
          <w:tcPr>
            <w:tcW w:w="2254" w:type="dxa"/>
          </w:tcPr>
          <w:p w14:paraId="5612B1B7" w14:textId="7847507B" w:rsidR="00AB2A52" w:rsidRPr="005F3D57" w:rsidRDefault="00AB2A52" w:rsidP="00AB2A52">
            <w:pPr>
              <w:jc w:val="center"/>
              <w:rPr>
                <w:rFonts w:ascii="Arial Narrow" w:eastAsia="Calibri" w:hAnsi="Arial Narrow" w:cs="Calibri"/>
                <w:sz w:val="20"/>
                <w:szCs w:val="20"/>
              </w:rPr>
            </w:pPr>
            <w:r w:rsidRPr="005F3D57">
              <w:rPr>
                <w:rFonts w:ascii="Arial Narrow" w:eastAsia="Calibri" w:hAnsi="Arial Narrow" w:cs="Calibri"/>
                <w:sz w:val="20"/>
                <w:szCs w:val="20"/>
              </w:rPr>
              <w:t>10</w:t>
            </w:r>
          </w:p>
        </w:tc>
      </w:tr>
    </w:tbl>
    <w:p w14:paraId="1E14C196" w14:textId="388DAFF9" w:rsidR="00E92133" w:rsidRPr="00E92133" w:rsidRDefault="00E92133" w:rsidP="00032CD8">
      <w:pPr>
        <w:rPr>
          <w:rFonts w:eastAsia="Calibri" w:cs="Calibri"/>
          <w:i/>
          <w:iCs/>
          <w:sz w:val="20"/>
          <w:szCs w:val="20"/>
        </w:rPr>
      </w:pPr>
      <w:r w:rsidRPr="00E92133">
        <w:rPr>
          <w:rFonts w:eastAsia="Calibri" w:cs="Calibri"/>
          <w:i/>
          <w:iCs/>
          <w:sz w:val="20"/>
          <w:szCs w:val="20"/>
        </w:rPr>
        <w:t xml:space="preserve">Burimi: </w:t>
      </w:r>
      <w:r w:rsidR="00FB4355">
        <w:rPr>
          <w:rFonts w:eastAsia="Calibri" w:cs="Calibri"/>
          <w:i/>
          <w:iCs/>
          <w:sz w:val="20"/>
          <w:szCs w:val="20"/>
        </w:rPr>
        <w:t>AMMK</w:t>
      </w:r>
      <w:r w:rsidRPr="00E92133">
        <w:rPr>
          <w:rFonts w:eastAsia="Calibri" w:cs="Calibri"/>
          <w:i/>
          <w:iCs/>
          <w:sz w:val="20"/>
          <w:szCs w:val="20"/>
        </w:rPr>
        <w:t xml:space="preserve"> 2021</w:t>
      </w:r>
    </w:p>
    <w:p w14:paraId="07357E40" w14:textId="77777777" w:rsidR="00032CD8" w:rsidRPr="00C21444" w:rsidRDefault="00032CD8" w:rsidP="002254E8">
      <w:pPr>
        <w:pStyle w:val="Heading3"/>
      </w:pPr>
      <w:bookmarkStart w:id="224" w:name="_Toc153872131"/>
      <w:bookmarkStart w:id="225" w:name="_Toc170470836"/>
      <w:bookmarkStart w:id="226" w:name="_Toc197471984"/>
      <w:bookmarkStart w:id="227" w:name="_Hlk152670257"/>
      <w:r w:rsidRPr="00C21444">
        <w:t>Tarifat e mbeturinave</w:t>
      </w:r>
      <w:bookmarkEnd w:id="224"/>
      <w:bookmarkEnd w:id="225"/>
      <w:bookmarkEnd w:id="226"/>
    </w:p>
    <w:bookmarkEnd w:id="227"/>
    <w:p w14:paraId="20C52CBE" w14:textId="411C5C26" w:rsidR="00FF5EA5" w:rsidRDefault="003818AD" w:rsidP="00D73B8B">
      <w:pPr>
        <w:pStyle w:val="Paragraph"/>
        <w:rPr>
          <w:lang w:val="bg-BG"/>
        </w:rPr>
      </w:pPr>
      <w:r>
        <w:t xml:space="preserve">Të dhënat mbi tarifat e fundit të mbeturinave për </w:t>
      </w:r>
      <w:r w:rsidR="00FB4355">
        <w:t>amvisëritë</w:t>
      </w:r>
      <w:r>
        <w:t xml:space="preserve"> janë përmbledhur në tabelën e mëposhtme:</w:t>
      </w:r>
    </w:p>
    <w:p w14:paraId="47522DF8" w14:textId="5C1388D5" w:rsidR="00FF5EA5" w:rsidRPr="007F50ED" w:rsidRDefault="00FF5EA5" w:rsidP="007F50ED">
      <w:pPr>
        <w:suppressAutoHyphens/>
        <w:rPr>
          <w:rFonts w:ascii="Arial Narrow" w:eastAsia="Calibri" w:hAnsi="Arial Narrow" w:cs="Calibri"/>
          <w:color w:val="1F497D"/>
          <w:sz w:val="20"/>
          <w:szCs w:val="20"/>
        </w:rPr>
      </w:pPr>
      <w:bookmarkStart w:id="228" w:name="_Toc197472216"/>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31.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 xml:space="preserve">Tarifa mujore e mbeturinave </w:t>
      </w:r>
      <w:r w:rsidR="00FB4355">
        <w:rPr>
          <w:rFonts w:ascii="Arial Narrow" w:eastAsia="Calibri" w:hAnsi="Arial Narrow" w:cs="Calibri"/>
          <w:color w:val="1F497D"/>
          <w:sz w:val="20"/>
          <w:szCs w:val="20"/>
        </w:rPr>
        <w:t>të amvisërisë</w:t>
      </w:r>
      <w:r w:rsidRPr="007F50ED">
        <w:rPr>
          <w:rFonts w:ascii="Arial Narrow" w:eastAsia="Calibri" w:hAnsi="Arial Narrow" w:cs="Calibri"/>
          <w:color w:val="1F497D"/>
          <w:sz w:val="20"/>
          <w:szCs w:val="20"/>
        </w:rPr>
        <w:t>, EUR</w:t>
      </w:r>
      <w:bookmarkEnd w:id="2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700"/>
        <w:gridCol w:w="1819"/>
        <w:gridCol w:w="1302"/>
        <w:gridCol w:w="1250"/>
        <w:gridCol w:w="1248"/>
      </w:tblGrid>
      <w:tr w:rsidR="000D110F" w:rsidRPr="000D110F" w14:paraId="35A54F4B" w14:textId="77777777" w:rsidTr="006347D6">
        <w:trPr>
          <w:trHeight w:val="290"/>
          <w:tblHeader/>
        </w:trPr>
        <w:tc>
          <w:tcPr>
            <w:tcW w:w="941" w:type="pct"/>
            <w:shd w:val="clear" w:color="auto" w:fill="365F91"/>
            <w:noWrap/>
            <w:vAlign w:val="bottom"/>
            <w:hideMark/>
          </w:tcPr>
          <w:p w14:paraId="36BA5EBB" w14:textId="77777777" w:rsidR="00FF5EA5" w:rsidRPr="000D110F" w:rsidRDefault="00FF5EA5" w:rsidP="004A40AC">
            <w:pP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Viti</w:t>
            </w:r>
          </w:p>
        </w:tc>
        <w:tc>
          <w:tcPr>
            <w:tcW w:w="943" w:type="pct"/>
            <w:shd w:val="clear" w:color="auto" w:fill="365F91"/>
            <w:noWrap/>
            <w:vAlign w:val="bottom"/>
            <w:hideMark/>
          </w:tcPr>
          <w:p w14:paraId="26D10B65" w14:textId="66D02B50" w:rsidR="00FF5EA5" w:rsidRPr="000D110F" w:rsidRDefault="00826494"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Deçan</w:t>
            </w:r>
          </w:p>
        </w:tc>
        <w:tc>
          <w:tcPr>
            <w:tcW w:w="1009" w:type="pct"/>
            <w:shd w:val="clear" w:color="auto" w:fill="365F91"/>
            <w:noWrap/>
            <w:vAlign w:val="bottom"/>
            <w:hideMark/>
          </w:tcPr>
          <w:p w14:paraId="3CAEE4E7" w14:textId="77777777" w:rsidR="00FF5EA5" w:rsidRPr="000D110F" w:rsidRDefault="00FF5EA5"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Istog</w:t>
            </w:r>
          </w:p>
        </w:tc>
        <w:tc>
          <w:tcPr>
            <w:tcW w:w="722" w:type="pct"/>
            <w:shd w:val="clear" w:color="auto" w:fill="365F91"/>
            <w:noWrap/>
            <w:vAlign w:val="bottom"/>
            <w:hideMark/>
          </w:tcPr>
          <w:p w14:paraId="1C904923" w14:textId="53313704" w:rsidR="00FF5EA5" w:rsidRPr="000D110F" w:rsidRDefault="00FF5EA5"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Klin</w:t>
            </w:r>
            <w:r w:rsidR="00FB4355">
              <w:rPr>
                <w:rFonts w:ascii="Arial Narrow" w:hAnsi="Arial Narrow"/>
                <w:b/>
                <w:bCs/>
                <w:color w:val="FFFFFF" w:themeColor="background1"/>
                <w:sz w:val="20"/>
                <w:szCs w:val="20"/>
                <w:lang w:eastAsia="en-GB"/>
              </w:rPr>
              <w:t>ë</w:t>
            </w:r>
          </w:p>
        </w:tc>
        <w:tc>
          <w:tcPr>
            <w:tcW w:w="693" w:type="pct"/>
            <w:shd w:val="clear" w:color="auto" w:fill="365F91"/>
            <w:noWrap/>
            <w:vAlign w:val="bottom"/>
            <w:hideMark/>
          </w:tcPr>
          <w:p w14:paraId="665287AC" w14:textId="430B35D8" w:rsidR="00FF5EA5" w:rsidRPr="000D110F" w:rsidRDefault="00D56660"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Pejë</w:t>
            </w:r>
          </w:p>
        </w:tc>
        <w:tc>
          <w:tcPr>
            <w:tcW w:w="692" w:type="pct"/>
            <w:shd w:val="clear" w:color="auto" w:fill="365F91"/>
            <w:noWrap/>
            <w:vAlign w:val="bottom"/>
            <w:hideMark/>
          </w:tcPr>
          <w:p w14:paraId="072BC806" w14:textId="77777777" w:rsidR="00FF5EA5" w:rsidRPr="000D110F" w:rsidRDefault="00FF5EA5"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Junik</w:t>
            </w:r>
          </w:p>
        </w:tc>
      </w:tr>
      <w:tr w:rsidR="00FF5EA5" w:rsidRPr="005F3D57" w14:paraId="58E65831" w14:textId="77777777" w:rsidTr="004A40AC">
        <w:trPr>
          <w:trHeight w:val="290"/>
        </w:trPr>
        <w:tc>
          <w:tcPr>
            <w:tcW w:w="941" w:type="pct"/>
            <w:shd w:val="clear" w:color="auto" w:fill="auto"/>
            <w:noWrap/>
            <w:vAlign w:val="bottom"/>
            <w:hideMark/>
          </w:tcPr>
          <w:p w14:paraId="21DFC42B" w14:textId="77777777" w:rsidR="00FF5EA5" w:rsidRPr="005F3D57" w:rsidRDefault="00FF5EA5" w:rsidP="00FF5EA5">
            <w:pPr>
              <w:rPr>
                <w:rFonts w:ascii="Arial Narrow" w:hAnsi="Arial Narrow"/>
                <w:color w:val="000000"/>
                <w:sz w:val="20"/>
                <w:szCs w:val="20"/>
                <w:lang w:eastAsia="en-GB"/>
              </w:rPr>
            </w:pPr>
            <w:r w:rsidRPr="005F3D57">
              <w:rPr>
                <w:rFonts w:ascii="Arial Narrow" w:hAnsi="Arial Narrow"/>
                <w:color w:val="000000"/>
                <w:sz w:val="20"/>
                <w:szCs w:val="20"/>
                <w:lang w:eastAsia="en-GB"/>
              </w:rPr>
              <w:t>2023</w:t>
            </w:r>
          </w:p>
        </w:tc>
        <w:tc>
          <w:tcPr>
            <w:tcW w:w="943" w:type="pct"/>
            <w:shd w:val="clear" w:color="auto" w:fill="auto"/>
            <w:noWrap/>
            <w:vAlign w:val="bottom"/>
            <w:hideMark/>
          </w:tcPr>
          <w:p w14:paraId="207569E2"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6.85</w:t>
            </w:r>
          </w:p>
        </w:tc>
        <w:tc>
          <w:tcPr>
            <w:tcW w:w="1009" w:type="pct"/>
            <w:shd w:val="clear" w:color="auto" w:fill="auto"/>
            <w:noWrap/>
            <w:vAlign w:val="bottom"/>
            <w:hideMark/>
          </w:tcPr>
          <w:p w14:paraId="536BC8C9"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6</w:t>
            </w:r>
          </w:p>
        </w:tc>
        <w:tc>
          <w:tcPr>
            <w:tcW w:w="722" w:type="pct"/>
            <w:shd w:val="clear" w:color="auto" w:fill="auto"/>
            <w:noWrap/>
            <w:vAlign w:val="bottom"/>
            <w:hideMark/>
          </w:tcPr>
          <w:p w14:paraId="69029E02"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6</w:t>
            </w:r>
          </w:p>
        </w:tc>
        <w:tc>
          <w:tcPr>
            <w:tcW w:w="693" w:type="pct"/>
            <w:shd w:val="clear" w:color="auto" w:fill="auto"/>
            <w:noWrap/>
            <w:vAlign w:val="bottom"/>
            <w:hideMark/>
          </w:tcPr>
          <w:p w14:paraId="2474AE83"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6</w:t>
            </w:r>
          </w:p>
        </w:tc>
        <w:tc>
          <w:tcPr>
            <w:tcW w:w="692" w:type="pct"/>
            <w:shd w:val="clear" w:color="auto" w:fill="auto"/>
            <w:noWrap/>
            <w:vAlign w:val="bottom"/>
            <w:hideMark/>
          </w:tcPr>
          <w:p w14:paraId="2B578DC4"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6</w:t>
            </w:r>
          </w:p>
        </w:tc>
      </w:tr>
      <w:tr w:rsidR="00FF5EA5" w:rsidRPr="005F3D57" w14:paraId="65B5330A" w14:textId="77777777" w:rsidTr="004A40AC">
        <w:trPr>
          <w:trHeight w:val="290"/>
        </w:trPr>
        <w:tc>
          <w:tcPr>
            <w:tcW w:w="941" w:type="pct"/>
            <w:shd w:val="clear" w:color="auto" w:fill="auto"/>
            <w:noWrap/>
            <w:vAlign w:val="bottom"/>
            <w:hideMark/>
          </w:tcPr>
          <w:p w14:paraId="17D22E4A" w14:textId="77777777" w:rsidR="00FF5EA5" w:rsidRPr="005F3D57" w:rsidRDefault="00FF5EA5" w:rsidP="00FF5EA5">
            <w:pPr>
              <w:rPr>
                <w:rFonts w:ascii="Arial Narrow" w:hAnsi="Arial Narrow"/>
                <w:color w:val="000000"/>
                <w:sz w:val="20"/>
                <w:szCs w:val="20"/>
                <w:lang w:eastAsia="en-GB"/>
              </w:rPr>
            </w:pPr>
            <w:r w:rsidRPr="005F3D57">
              <w:rPr>
                <w:rFonts w:ascii="Arial Narrow" w:hAnsi="Arial Narrow"/>
                <w:color w:val="000000"/>
                <w:sz w:val="20"/>
                <w:szCs w:val="20"/>
                <w:lang w:eastAsia="en-GB"/>
              </w:rPr>
              <w:t>2024</w:t>
            </w:r>
          </w:p>
        </w:tc>
        <w:tc>
          <w:tcPr>
            <w:tcW w:w="943" w:type="pct"/>
            <w:shd w:val="clear" w:color="auto" w:fill="auto"/>
            <w:noWrap/>
            <w:vAlign w:val="bottom"/>
            <w:hideMark/>
          </w:tcPr>
          <w:p w14:paraId="7546823B"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6.85</w:t>
            </w:r>
          </w:p>
        </w:tc>
        <w:tc>
          <w:tcPr>
            <w:tcW w:w="1009" w:type="pct"/>
            <w:shd w:val="clear" w:color="auto" w:fill="auto"/>
            <w:noWrap/>
            <w:vAlign w:val="bottom"/>
            <w:hideMark/>
          </w:tcPr>
          <w:p w14:paraId="2CFEF7DD"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7</w:t>
            </w:r>
          </w:p>
        </w:tc>
        <w:tc>
          <w:tcPr>
            <w:tcW w:w="722" w:type="pct"/>
            <w:shd w:val="clear" w:color="auto" w:fill="auto"/>
            <w:noWrap/>
            <w:vAlign w:val="bottom"/>
            <w:hideMark/>
          </w:tcPr>
          <w:p w14:paraId="4C779873"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6</w:t>
            </w:r>
          </w:p>
        </w:tc>
        <w:tc>
          <w:tcPr>
            <w:tcW w:w="693" w:type="pct"/>
            <w:shd w:val="clear" w:color="auto" w:fill="auto"/>
            <w:noWrap/>
            <w:vAlign w:val="bottom"/>
            <w:hideMark/>
          </w:tcPr>
          <w:p w14:paraId="23205257"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6</w:t>
            </w:r>
          </w:p>
        </w:tc>
        <w:tc>
          <w:tcPr>
            <w:tcW w:w="692" w:type="pct"/>
            <w:shd w:val="clear" w:color="auto" w:fill="auto"/>
            <w:noWrap/>
            <w:vAlign w:val="bottom"/>
            <w:hideMark/>
          </w:tcPr>
          <w:p w14:paraId="2A038FED"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6</w:t>
            </w:r>
          </w:p>
        </w:tc>
      </w:tr>
    </w:tbl>
    <w:p w14:paraId="7373EC75" w14:textId="43B2AACE" w:rsidR="00FF5EA5" w:rsidRPr="00E92133" w:rsidRDefault="00E92133" w:rsidP="00D73B8B">
      <w:pPr>
        <w:pStyle w:val="Source"/>
      </w:pPr>
      <w:bookmarkStart w:id="229" w:name="_Hlk174620083"/>
      <w:r w:rsidRPr="00E92133">
        <w:t xml:space="preserve">Burimi: të dhëna </w:t>
      </w:r>
      <w:r w:rsidR="00FB4355">
        <w:t>komunale</w:t>
      </w:r>
      <w:r w:rsidRPr="00E92133">
        <w:t>, 2024</w:t>
      </w:r>
    </w:p>
    <w:bookmarkEnd w:id="229"/>
    <w:p w14:paraId="1319F590" w14:textId="77777777" w:rsidR="00E92133" w:rsidRPr="00817F23" w:rsidRDefault="00E92133" w:rsidP="00FF5EA5">
      <w:pPr>
        <w:rPr>
          <w:sz w:val="22"/>
          <w:szCs w:val="22"/>
        </w:rPr>
      </w:pPr>
    </w:p>
    <w:p w14:paraId="41433EF0" w14:textId="62E174A2" w:rsidR="00FF5EA5" w:rsidRDefault="00FF5EA5" w:rsidP="00D73B8B">
      <w:pPr>
        <w:pStyle w:val="Paragraph"/>
        <w:rPr>
          <w:lang w:val="bg-BG"/>
        </w:rPr>
      </w:pPr>
      <w:r w:rsidRPr="00817F23">
        <w:t>Tabela më poshtë përmbledh gamën e tarifave të mbet</w:t>
      </w:r>
      <w:r w:rsidR="00FB4355">
        <w:t>urinave</w:t>
      </w:r>
      <w:r w:rsidRPr="00817F23">
        <w:t xml:space="preserve"> të aplikuara për personat juridikë:</w:t>
      </w:r>
    </w:p>
    <w:p w14:paraId="4BD24F89" w14:textId="4587BEFD" w:rsidR="00FF5EA5" w:rsidRPr="007F50ED" w:rsidRDefault="00FF5EA5" w:rsidP="007F50ED">
      <w:pPr>
        <w:suppressAutoHyphens/>
        <w:rPr>
          <w:rFonts w:ascii="Arial Narrow" w:eastAsia="Calibri" w:hAnsi="Arial Narrow" w:cs="Calibri"/>
          <w:color w:val="1F497D"/>
          <w:sz w:val="20"/>
          <w:szCs w:val="20"/>
        </w:rPr>
      </w:pPr>
      <w:bookmarkStart w:id="230" w:name="_Toc197472217"/>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32.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Tarifat mujore të mbeturinave për personat juridikë, EUR</w:t>
      </w:r>
      <w:bookmarkEnd w:id="230"/>
    </w:p>
    <w:tbl>
      <w:tblPr>
        <w:tblW w:w="5000" w:type="pct"/>
        <w:jc w:val="center"/>
        <w:tblLook w:val="04A0" w:firstRow="1" w:lastRow="0" w:firstColumn="1" w:lastColumn="0" w:noHBand="0" w:noVBand="1"/>
      </w:tblPr>
      <w:tblGrid>
        <w:gridCol w:w="1837"/>
        <w:gridCol w:w="2128"/>
        <w:gridCol w:w="1700"/>
        <w:gridCol w:w="1908"/>
        <w:gridCol w:w="1443"/>
      </w:tblGrid>
      <w:tr w:rsidR="000D110F" w:rsidRPr="000D110F" w14:paraId="309B287C" w14:textId="77777777" w:rsidTr="006347D6">
        <w:trPr>
          <w:trHeight w:val="290"/>
          <w:tblHeader/>
          <w:jc w:val="center"/>
        </w:trPr>
        <w:tc>
          <w:tcPr>
            <w:tcW w:w="1019" w:type="pct"/>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5E420625" w14:textId="66121C7A" w:rsidR="00FF5EA5" w:rsidRPr="000D110F" w:rsidRDefault="00FF5EA5" w:rsidP="004A40AC">
            <w:pP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Viti</w:t>
            </w:r>
          </w:p>
        </w:tc>
        <w:tc>
          <w:tcPr>
            <w:tcW w:w="1180" w:type="pct"/>
            <w:tcBorders>
              <w:top w:val="single" w:sz="4" w:space="0" w:color="auto"/>
              <w:left w:val="nil"/>
              <w:bottom w:val="single" w:sz="4" w:space="0" w:color="auto"/>
              <w:right w:val="single" w:sz="4" w:space="0" w:color="auto"/>
            </w:tcBorders>
            <w:shd w:val="clear" w:color="auto" w:fill="365F91"/>
            <w:noWrap/>
            <w:vAlign w:val="bottom"/>
            <w:hideMark/>
          </w:tcPr>
          <w:p w14:paraId="25F2AF4E" w14:textId="25B8FC16" w:rsidR="00FF5EA5" w:rsidRPr="000D110F" w:rsidRDefault="00826494"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Deçan</w:t>
            </w:r>
          </w:p>
        </w:tc>
        <w:tc>
          <w:tcPr>
            <w:tcW w:w="943" w:type="pct"/>
            <w:tcBorders>
              <w:top w:val="single" w:sz="4" w:space="0" w:color="auto"/>
              <w:left w:val="nil"/>
              <w:bottom w:val="single" w:sz="4" w:space="0" w:color="auto"/>
              <w:right w:val="single" w:sz="4" w:space="0" w:color="auto"/>
            </w:tcBorders>
            <w:shd w:val="clear" w:color="auto" w:fill="365F91"/>
            <w:noWrap/>
            <w:vAlign w:val="bottom"/>
            <w:hideMark/>
          </w:tcPr>
          <w:p w14:paraId="6A3C1275" w14:textId="77777777" w:rsidR="00FF5EA5" w:rsidRPr="000D110F" w:rsidRDefault="00FF5EA5"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Istog</w:t>
            </w:r>
          </w:p>
        </w:tc>
        <w:tc>
          <w:tcPr>
            <w:tcW w:w="1058" w:type="pct"/>
            <w:tcBorders>
              <w:top w:val="single" w:sz="4" w:space="0" w:color="auto"/>
              <w:left w:val="nil"/>
              <w:bottom w:val="single" w:sz="4" w:space="0" w:color="auto"/>
              <w:right w:val="single" w:sz="4" w:space="0" w:color="auto"/>
            </w:tcBorders>
            <w:shd w:val="clear" w:color="auto" w:fill="365F91"/>
            <w:noWrap/>
            <w:vAlign w:val="bottom"/>
            <w:hideMark/>
          </w:tcPr>
          <w:p w14:paraId="1D9D0B84" w14:textId="1F36A781" w:rsidR="00FF5EA5" w:rsidRPr="000D110F" w:rsidRDefault="00FF5EA5"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Klin</w:t>
            </w:r>
            <w:r w:rsidR="00FB4355">
              <w:rPr>
                <w:rFonts w:ascii="Arial Narrow" w:hAnsi="Arial Narrow"/>
                <w:b/>
                <w:bCs/>
                <w:color w:val="FFFFFF" w:themeColor="background1"/>
                <w:sz w:val="20"/>
                <w:szCs w:val="20"/>
                <w:lang w:eastAsia="en-GB"/>
              </w:rPr>
              <w:t>ë</w:t>
            </w:r>
          </w:p>
        </w:tc>
        <w:tc>
          <w:tcPr>
            <w:tcW w:w="800" w:type="pct"/>
            <w:tcBorders>
              <w:top w:val="single" w:sz="4" w:space="0" w:color="auto"/>
              <w:left w:val="nil"/>
              <w:bottom w:val="single" w:sz="4" w:space="0" w:color="auto"/>
              <w:right w:val="single" w:sz="4" w:space="0" w:color="auto"/>
            </w:tcBorders>
            <w:shd w:val="clear" w:color="auto" w:fill="365F91"/>
            <w:noWrap/>
            <w:vAlign w:val="bottom"/>
            <w:hideMark/>
          </w:tcPr>
          <w:p w14:paraId="2CCF87D8" w14:textId="23873B19" w:rsidR="00FF5EA5" w:rsidRPr="000D110F" w:rsidRDefault="00D56660"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Pejë</w:t>
            </w:r>
          </w:p>
        </w:tc>
      </w:tr>
      <w:tr w:rsidR="00FF5EA5" w:rsidRPr="005F3D57" w14:paraId="5EB313AA" w14:textId="77777777" w:rsidTr="004A40AC">
        <w:trPr>
          <w:trHeight w:val="290"/>
          <w:jc w:val="center"/>
        </w:trPr>
        <w:tc>
          <w:tcPr>
            <w:tcW w:w="1019" w:type="pct"/>
            <w:tcBorders>
              <w:top w:val="nil"/>
              <w:left w:val="single" w:sz="4" w:space="0" w:color="auto"/>
              <w:bottom w:val="single" w:sz="4" w:space="0" w:color="auto"/>
              <w:right w:val="single" w:sz="4" w:space="0" w:color="auto"/>
            </w:tcBorders>
            <w:shd w:val="clear" w:color="auto" w:fill="auto"/>
            <w:noWrap/>
            <w:vAlign w:val="bottom"/>
            <w:hideMark/>
          </w:tcPr>
          <w:p w14:paraId="4B6CEDAB" w14:textId="77777777" w:rsidR="00FF5EA5" w:rsidRPr="005F3D57" w:rsidRDefault="00FF5EA5" w:rsidP="00FF5EA5">
            <w:pPr>
              <w:rPr>
                <w:rFonts w:ascii="Arial Narrow" w:hAnsi="Arial Narrow"/>
                <w:sz w:val="20"/>
                <w:szCs w:val="20"/>
                <w:lang w:eastAsia="en-GB"/>
              </w:rPr>
            </w:pPr>
            <w:r w:rsidRPr="005F3D57">
              <w:rPr>
                <w:rFonts w:ascii="Arial Narrow" w:hAnsi="Arial Narrow"/>
                <w:sz w:val="20"/>
                <w:szCs w:val="20"/>
                <w:lang w:eastAsia="en-GB"/>
              </w:rPr>
              <w:t>2023</w:t>
            </w:r>
          </w:p>
        </w:tc>
        <w:tc>
          <w:tcPr>
            <w:tcW w:w="1180" w:type="pct"/>
            <w:tcBorders>
              <w:top w:val="nil"/>
              <w:left w:val="nil"/>
              <w:bottom w:val="single" w:sz="4" w:space="0" w:color="auto"/>
              <w:right w:val="single" w:sz="4" w:space="0" w:color="auto"/>
            </w:tcBorders>
            <w:shd w:val="clear" w:color="auto" w:fill="auto"/>
            <w:noWrap/>
            <w:vAlign w:val="center"/>
            <w:hideMark/>
          </w:tcPr>
          <w:p w14:paraId="2CE6A40C" w14:textId="77777777" w:rsidR="00FF5EA5" w:rsidRPr="005F3D57" w:rsidRDefault="00FF5EA5" w:rsidP="00FF5EA5">
            <w:pPr>
              <w:jc w:val="center"/>
              <w:rPr>
                <w:rFonts w:ascii="Arial Narrow" w:hAnsi="Arial Narrow"/>
                <w:sz w:val="20"/>
                <w:szCs w:val="20"/>
                <w:lang w:eastAsia="en-GB"/>
              </w:rPr>
            </w:pPr>
            <w:r w:rsidRPr="005F3D57">
              <w:rPr>
                <w:rFonts w:ascii="Arial Narrow" w:hAnsi="Arial Narrow"/>
                <w:sz w:val="20"/>
                <w:szCs w:val="20"/>
                <w:lang w:eastAsia="en-GB"/>
              </w:rPr>
              <w:t>11.95</w:t>
            </w:r>
          </w:p>
        </w:tc>
        <w:tc>
          <w:tcPr>
            <w:tcW w:w="943" w:type="pct"/>
            <w:tcBorders>
              <w:top w:val="nil"/>
              <w:left w:val="nil"/>
              <w:bottom w:val="single" w:sz="4" w:space="0" w:color="auto"/>
              <w:right w:val="single" w:sz="4" w:space="0" w:color="auto"/>
            </w:tcBorders>
            <w:shd w:val="clear" w:color="auto" w:fill="auto"/>
            <w:vAlign w:val="center"/>
            <w:hideMark/>
          </w:tcPr>
          <w:p w14:paraId="27301B8E" w14:textId="77777777" w:rsidR="00FF5EA5" w:rsidRPr="005F3D57" w:rsidRDefault="00FF5EA5" w:rsidP="00FF5EA5">
            <w:pPr>
              <w:jc w:val="center"/>
              <w:rPr>
                <w:rFonts w:ascii="Arial Narrow" w:hAnsi="Arial Narrow" w:cs="Calibri"/>
                <w:sz w:val="20"/>
                <w:szCs w:val="20"/>
                <w:lang w:eastAsia="en-GB"/>
              </w:rPr>
            </w:pPr>
            <w:r w:rsidRPr="005F3D57">
              <w:rPr>
                <w:rFonts w:ascii="Arial Narrow" w:hAnsi="Arial Narrow" w:cs="Calibri"/>
                <w:sz w:val="20"/>
                <w:szCs w:val="20"/>
                <w:lang w:val="en" w:eastAsia="en-GB"/>
              </w:rPr>
              <w:t>5.40 -50</w:t>
            </w:r>
          </w:p>
        </w:tc>
        <w:tc>
          <w:tcPr>
            <w:tcW w:w="1058" w:type="pct"/>
            <w:tcBorders>
              <w:top w:val="nil"/>
              <w:left w:val="nil"/>
              <w:bottom w:val="single" w:sz="4" w:space="0" w:color="auto"/>
              <w:right w:val="single" w:sz="4" w:space="0" w:color="auto"/>
            </w:tcBorders>
            <w:shd w:val="clear" w:color="auto" w:fill="auto"/>
            <w:noWrap/>
            <w:vAlign w:val="center"/>
            <w:hideMark/>
          </w:tcPr>
          <w:p w14:paraId="7B9DDD17" w14:textId="77777777" w:rsidR="00FF5EA5" w:rsidRPr="005F3D57" w:rsidRDefault="00FF5EA5" w:rsidP="00FF5EA5">
            <w:pPr>
              <w:jc w:val="center"/>
              <w:rPr>
                <w:rFonts w:ascii="Arial Narrow" w:hAnsi="Arial Narrow"/>
                <w:sz w:val="20"/>
                <w:szCs w:val="20"/>
                <w:lang w:eastAsia="en-GB"/>
              </w:rPr>
            </w:pPr>
            <w:r w:rsidRPr="005F3D57">
              <w:rPr>
                <w:rFonts w:ascii="Arial Narrow" w:hAnsi="Arial Narrow"/>
                <w:sz w:val="20"/>
                <w:szCs w:val="20"/>
                <w:lang w:eastAsia="en-GB"/>
              </w:rPr>
              <w:t>7.5-40</w:t>
            </w:r>
          </w:p>
        </w:tc>
        <w:tc>
          <w:tcPr>
            <w:tcW w:w="800" w:type="pct"/>
            <w:tcBorders>
              <w:top w:val="nil"/>
              <w:left w:val="nil"/>
              <w:bottom w:val="single" w:sz="4" w:space="0" w:color="auto"/>
              <w:right w:val="single" w:sz="4" w:space="0" w:color="auto"/>
            </w:tcBorders>
            <w:shd w:val="clear" w:color="auto" w:fill="auto"/>
            <w:noWrap/>
            <w:vAlign w:val="center"/>
            <w:hideMark/>
          </w:tcPr>
          <w:p w14:paraId="7237B8A2" w14:textId="77777777" w:rsidR="00FF5EA5" w:rsidRPr="005F3D57" w:rsidRDefault="00FF5EA5" w:rsidP="00FF5EA5">
            <w:pPr>
              <w:jc w:val="center"/>
              <w:rPr>
                <w:rFonts w:ascii="Arial Narrow" w:hAnsi="Arial Narrow"/>
                <w:sz w:val="20"/>
                <w:szCs w:val="20"/>
                <w:lang w:eastAsia="en-GB"/>
              </w:rPr>
            </w:pPr>
            <w:r w:rsidRPr="005F3D57">
              <w:rPr>
                <w:rFonts w:ascii="Arial Narrow" w:hAnsi="Arial Narrow"/>
                <w:sz w:val="20"/>
                <w:szCs w:val="20"/>
                <w:lang w:eastAsia="en-GB"/>
              </w:rPr>
              <w:t>5.4-24</w:t>
            </w:r>
          </w:p>
        </w:tc>
      </w:tr>
      <w:tr w:rsidR="00FF5EA5" w:rsidRPr="005F3D57" w14:paraId="72E69C0A" w14:textId="77777777" w:rsidTr="00FF5EA5">
        <w:trPr>
          <w:trHeight w:val="278"/>
          <w:jc w:val="center"/>
        </w:trPr>
        <w:tc>
          <w:tcPr>
            <w:tcW w:w="1019" w:type="pct"/>
            <w:tcBorders>
              <w:top w:val="nil"/>
              <w:left w:val="single" w:sz="4" w:space="0" w:color="auto"/>
              <w:bottom w:val="single" w:sz="4" w:space="0" w:color="auto"/>
              <w:right w:val="single" w:sz="4" w:space="0" w:color="auto"/>
            </w:tcBorders>
            <w:shd w:val="clear" w:color="auto" w:fill="auto"/>
            <w:noWrap/>
            <w:vAlign w:val="bottom"/>
            <w:hideMark/>
          </w:tcPr>
          <w:p w14:paraId="1706417E" w14:textId="77777777" w:rsidR="00FF5EA5" w:rsidRPr="005F3D57" w:rsidRDefault="00FF5EA5" w:rsidP="00FF5EA5">
            <w:pPr>
              <w:rPr>
                <w:rFonts w:ascii="Arial Narrow" w:hAnsi="Arial Narrow"/>
                <w:sz w:val="20"/>
                <w:szCs w:val="20"/>
                <w:lang w:eastAsia="en-GB"/>
              </w:rPr>
            </w:pPr>
            <w:r w:rsidRPr="005F3D57">
              <w:rPr>
                <w:rFonts w:ascii="Arial Narrow" w:hAnsi="Arial Narrow"/>
                <w:sz w:val="20"/>
                <w:szCs w:val="20"/>
                <w:lang w:eastAsia="en-GB"/>
              </w:rPr>
              <w:t>2024</w:t>
            </w:r>
          </w:p>
        </w:tc>
        <w:tc>
          <w:tcPr>
            <w:tcW w:w="1180" w:type="pct"/>
            <w:tcBorders>
              <w:top w:val="nil"/>
              <w:left w:val="nil"/>
              <w:bottom w:val="single" w:sz="4" w:space="0" w:color="auto"/>
              <w:right w:val="single" w:sz="4" w:space="0" w:color="auto"/>
            </w:tcBorders>
            <w:shd w:val="clear" w:color="auto" w:fill="auto"/>
            <w:noWrap/>
            <w:vAlign w:val="center"/>
            <w:hideMark/>
          </w:tcPr>
          <w:p w14:paraId="660B455B" w14:textId="77777777" w:rsidR="00FF5EA5" w:rsidRPr="005F3D57" w:rsidRDefault="00FF5EA5" w:rsidP="00FF5EA5">
            <w:pPr>
              <w:jc w:val="center"/>
              <w:rPr>
                <w:rFonts w:ascii="Arial Narrow" w:hAnsi="Arial Narrow"/>
                <w:sz w:val="20"/>
                <w:szCs w:val="20"/>
                <w:lang w:eastAsia="en-GB"/>
              </w:rPr>
            </w:pPr>
            <w:r w:rsidRPr="005F3D57">
              <w:rPr>
                <w:rFonts w:ascii="Arial Narrow" w:hAnsi="Arial Narrow"/>
                <w:sz w:val="20"/>
                <w:szCs w:val="20"/>
                <w:lang w:eastAsia="en-GB"/>
              </w:rPr>
              <w:t>14.52</w:t>
            </w:r>
          </w:p>
        </w:tc>
        <w:tc>
          <w:tcPr>
            <w:tcW w:w="943" w:type="pct"/>
            <w:tcBorders>
              <w:top w:val="nil"/>
              <w:left w:val="nil"/>
              <w:bottom w:val="single" w:sz="4" w:space="0" w:color="auto"/>
              <w:right w:val="single" w:sz="4" w:space="0" w:color="auto"/>
            </w:tcBorders>
            <w:shd w:val="clear" w:color="auto" w:fill="auto"/>
            <w:vAlign w:val="center"/>
            <w:hideMark/>
          </w:tcPr>
          <w:p w14:paraId="597091F1" w14:textId="77777777" w:rsidR="00FF5EA5" w:rsidRPr="005F3D57" w:rsidRDefault="00FF5EA5" w:rsidP="00FF5EA5">
            <w:pPr>
              <w:jc w:val="center"/>
              <w:rPr>
                <w:rFonts w:ascii="Arial Narrow" w:hAnsi="Arial Narrow" w:cs="Calibri"/>
                <w:sz w:val="20"/>
                <w:szCs w:val="20"/>
                <w:lang w:eastAsia="en-GB"/>
              </w:rPr>
            </w:pPr>
            <w:r w:rsidRPr="005F3D57">
              <w:rPr>
                <w:rFonts w:ascii="Arial Narrow" w:hAnsi="Arial Narrow" w:cs="Calibri"/>
                <w:sz w:val="20"/>
                <w:szCs w:val="20"/>
                <w:lang w:val="en" w:eastAsia="en-GB"/>
              </w:rPr>
              <w:t>5.94 – 100</w:t>
            </w:r>
          </w:p>
        </w:tc>
        <w:tc>
          <w:tcPr>
            <w:tcW w:w="1058" w:type="pct"/>
            <w:tcBorders>
              <w:top w:val="nil"/>
              <w:left w:val="nil"/>
              <w:bottom w:val="single" w:sz="4" w:space="0" w:color="auto"/>
              <w:right w:val="single" w:sz="4" w:space="0" w:color="auto"/>
            </w:tcBorders>
            <w:shd w:val="clear" w:color="auto" w:fill="auto"/>
            <w:vAlign w:val="center"/>
            <w:hideMark/>
          </w:tcPr>
          <w:p w14:paraId="4E9BBB3E" w14:textId="77777777" w:rsidR="00FF5EA5" w:rsidRPr="005F3D57" w:rsidRDefault="00FF5EA5" w:rsidP="00FF5EA5">
            <w:pPr>
              <w:jc w:val="center"/>
              <w:rPr>
                <w:rFonts w:ascii="Arial Narrow" w:hAnsi="Arial Narrow" w:cs="Calibri"/>
                <w:sz w:val="20"/>
                <w:szCs w:val="20"/>
                <w:lang w:eastAsia="en-GB"/>
              </w:rPr>
            </w:pPr>
            <w:r w:rsidRPr="005F3D57">
              <w:rPr>
                <w:rFonts w:ascii="Arial Narrow" w:hAnsi="Arial Narrow" w:cs="Calibri"/>
                <w:sz w:val="20"/>
                <w:szCs w:val="20"/>
                <w:lang w:eastAsia="en-GB"/>
              </w:rPr>
              <w:t>14</w:t>
            </w:r>
          </w:p>
        </w:tc>
        <w:tc>
          <w:tcPr>
            <w:tcW w:w="800" w:type="pct"/>
            <w:tcBorders>
              <w:top w:val="nil"/>
              <w:left w:val="nil"/>
              <w:bottom w:val="single" w:sz="4" w:space="0" w:color="auto"/>
              <w:right w:val="single" w:sz="4" w:space="0" w:color="auto"/>
            </w:tcBorders>
            <w:shd w:val="clear" w:color="auto" w:fill="auto"/>
            <w:vAlign w:val="center"/>
            <w:hideMark/>
          </w:tcPr>
          <w:p w14:paraId="476B1A8E" w14:textId="77777777" w:rsidR="00FF5EA5" w:rsidRPr="005F3D57" w:rsidRDefault="00FF5EA5" w:rsidP="00FF5EA5">
            <w:pPr>
              <w:jc w:val="center"/>
              <w:rPr>
                <w:rFonts w:ascii="Arial Narrow" w:hAnsi="Arial Narrow" w:cs="Calibri"/>
                <w:sz w:val="20"/>
                <w:szCs w:val="20"/>
                <w:lang w:eastAsia="en-GB"/>
              </w:rPr>
            </w:pPr>
            <w:r w:rsidRPr="005F3D57">
              <w:rPr>
                <w:rFonts w:ascii="Arial Narrow" w:hAnsi="Arial Narrow" w:cs="Calibri"/>
                <w:sz w:val="20"/>
                <w:szCs w:val="20"/>
                <w:lang w:eastAsia="en-GB"/>
              </w:rPr>
              <w:t>7.6-26</w:t>
            </w:r>
          </w:p>
        </w:tc>
      </w:tr>
    </w:tbl>
    <w:p w14:paraId="0B875F19" w14:textId="10E0256B" w:rsidR="00E92133" w:rsidRPr="00E92133" w:rsidRDefault="00E92133" w:rsidP="00D73B8B">
      <w:pPr>
        <w:pStyle w:val="source0"/>
      </w:pPr>
      <w:r w:rsidRPr="00E92133">
        <w:t xml:space="preserve">Burimi: të dhëna </w:t>
      </w:r>
      <w:r w:rsidR="00FB4355">
        <w:t>komunale</w:t>
      </w:r>
      <w:r w:rsidRPr="00E92133">
        <w:t>, 2024</w:t>
      </w:r>
    </w:p>
    <w:p w14:paraId="70AA57F4" w14:textId="2FEE5B54" w:rsidR="00FF5EA5" w:rsidRDefault="00835A80" w:rsidP="00D73B8B">
      <w:pPr>
        <w:pStyle w:val="Paragraph"/>
        <w:rPr>
          <w:lang w:val="bg-BG"/>
        </w:rPr>
      </w:pPr>
      <w:r w:rsidRPr="00CF615F">
        <w:rPr>
          <w:lang w:val="sq-AL"/>
        </w:rPr>
        <w:t xml:space="preserve">Tarifat </w:t>
      </w:r>
      <w:r>
        <w:rPr>
          <w:lang w:val="sq-AL"/>
        </w:rPr>
        <w:t xml:space="preserve">e </w:t>
      </w:r>
      <w:r w:rsidRPr="00CF615F">
        <w:rPr>
          <w:lang w:val="sq-AL"/>
        </w:rPr>
        <w:t xml:space="preserve">portës së </w:t>
      </w:r>
      <w:r>
        <w:rPr>
          <w:lang w:val="sq-AL"/>
        </w:rPr>
        <w:t>deponisë</w:t>
      </w:r>
      <w:r w:rsidRPr="00CF615F">
        <w:rPr>
          <w:lang w:val="sq-AL"/>
        </w:rPr>
        <w:t xml:space="preserve"> për ton mbet</w:t>
      </w:r>
      <w:r>
        <w:rPr>
          <w:lang w:val="sq-AL"/>
        </w:rPr>
        <w:t>urina</w:t>
      </w:r>
      <w:r w:rsidRPr="00CF615F">
        <w:rPr>
          <w:lang w:val="sq-AL"/>
        </w:rPr>
        <w:t xml:space="preserve"> të aplikuara për personat juridikë janë paraqitur në </w:t>
      </w:r>
      <w:r>
        <w:rPr>
          <w:lang w:val="sq-AL"/>
        </w:rPr>
        <w:t>t</w:t>
      </w:r>
      <w:r w:rsidRPr="00CF615F">
        <w:rPr>
          <w:lang w:val="sq-AL"/>
        </w:rPr>
        <w:t>abel</w:t>
      </w:r>
      <w:r>
        <w:rPr>
          <w:lang w:val="sq-AL"/>
        </w:rPr>
        <w:t>ën</w:t>
      </w:r>
      <w:r w:rsidRPr="00CF615F">
        <w:rPr>
          <w:lang w:val="sq-AL"/>
        </w:rPr>
        <w:t xml:space="preserve"> më poshtë</w:t>
      </w:r>
      <w:r w:rsidR="003818AD">
        <w:t>:</w:t>
      </w:r>
    </w:p>
    <w:p w14:paraId="51FD2BEB" w14:textId="177ECE58" w:rsidR="00FF5EA5" w:rsidRPr="007F50ED" w:rsidRDefault="00FF5EA5" w:rsidP="007F50ED">
      <w:pPr>
        <w:suppressAutoHyphens/>
        <w:rPr>
          <w:rFonts w:ascii="Arial Narrow" w:eastAsia="Calibri" w:hAnsi="Arial Narrow" w:cs="Calibri"/>
          <w:color w:val="1F497D"/>
          <w:sz w:val="20"/>
          <w:szCs w:val="20"/>
        </w:rPr>
      </w:pPr>
      <w:bookmarkStart w:id="231" w:name="_Toc197472218"/>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33.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Tarifat e hyrjes në deponi, EUR</w:t>
      </w:r>
      <w:bookmarkEnd w:id="2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985"/>
        <w:gridCol w:w="1684"/>
        <w:gridCol w:w="1298"/>
        <w:gridCol w:w="1248"/>
        <w:gridCol w:w="1246"/>
      </w:tblGrid>
      <w:tr w:rsidR="000D110F" w:rsidRPr="000D110F" w14:paraId="15935641" w14:textId="77777777" w:rsidTr="006347D6">
        <w:trPr>
          <w:trHeight w:val="290"/>
          <w:tblHeader/>
        </w:trPr>
        <w:tc>
          <w:tcPr>
            <w:tcW w:w="862" w:type="pct"/>
            <w:shd w:val="clear" w:color="auto" w:fill="365F91"/>
            <w:noWrap/>
            <w:vAlign w:val="bottom"/>
            <w:hideMark/>
          </w:tcPr>
          <w:p w14:paraId="788AAF02" w14:textId="77777777" w:rsidR="00FF5EA5" w:rsidRPr="000D110F" w:rsidRDefault="00FF5EA5" w:rsidP="004A40AC">
            <w:pP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lastRenderedPageBreak/>
              <w:t>Viti</w:t>
            </w:r>
          </w:p>
        </w:tc>
        <w:tc>
          <w:tcPr>
            <w:tcW w:w="1101" w:type="pct"/>
            <w:shd w:val="clear" w:color="auto" w:fill="365F91"/>
            <w:noWrap/>
            <w:vAlign w:val="bottom"/>
            <w:hideMark/>
          </w:tcPr>
          <w:p w14:paraId="7B68DB5B" w14:textId="063A3370" w:rsidR="00FF5EA5" w:rsidRPr="000D110F" w:rsidRDefault="00826494"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Deçan</w:t>
            </w:r>
          </w:p>
        </w:tc>
        <w:tc>
          <w:tcPr>
            <w:tcW w:w="934" w:type="pct"/>
            <w:shd w:val="clear" w:color="auto" w:fill="365F91"/>
            <w:noWrap/>
            <w:vAlign w:val="bottom"/>
            <w:hideMark/>
          </w:tcPr>
          <w:p w14:paraId="00B4272D" w14:textId="77777777" w:rsidR="00FF5EA5" w:rsidRPr="000D110F" w:rsidRDefault="00FF5EA5"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Istog</w:t>
            </w:r>
          </w:p>
        </w:tc>
        <w:tc>
          <w:tcPr>
            <w:tcW w:w="720" w:type="pct"/>
            <w:shd w:val="clear" w:color="auto" w:fill="365F91"/>
            <w:noWrap/>
            <w:vAlign w:val="bottom"/>
            <w:hideMark/>
          </w:tcPr>
          <w:p w14:paraId="1A4F993B" w14:textId="67EE0D69" w:rsidR="00FF5EA5" w:rsidRPr="000D110F" w:rsidRDefault="00FF5EA5"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Klin</w:t>
            </w:r>
            <w:r w:rsidR="00835A80">
              <w:rPr>
                <w:rFonts w:ascii="Arial Narrow" w:hAnsi="Arial Narrow"/>
                <w:b/>
                <w:bCs/>
                <w:color w:val="FFFFFF" w:themeColor="background1"/>
                <w:sz w:val="20"/>
                <w:szCs w:val="20"/>
                <w:lang w:eastAsia="en-GB"/>
              </w:rPr>
              <w:t>ë</w:t>
            </w:r>
          </w:p>
        </w:tc>
        <w:tc>
          <w:tcPr>
            <w:tcW w:w="692" w:type="pct"/>
            <w:shd w:val="clear" w:color="auto" w:fill="365F91"/>
            <w:noWrap/>
            <w:vAlign w:val="bottom"/>
            <w:hideMark/>
          </w:tcPr>
          <w:p w14:paraId="7AB62288" w14:textId="238D080F" w:rsidR="00FF5EA5" w:rsidRPr="000D110F" w:rsidRDefault="00D56660"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Pejë</w:t>
            </w:r>
          </w:p>
        </w:tc>
        <w:tc>
          <w:tcPr>
            <w:tcW w:w="691" w:type="pct"/>
            <w:shd w:val="clear" w:color="auto" w:fill="365F91"/>
            <w:noWrap/>
            <w:vAlign w:val="bottom"/>
            <w:hideMark/>
          </w:tcPr>
          <w:p w14:paraId="3857A64B" w14:textId="77777777" w:rsidR="00FF5EA5" w:rsidRPr="000D110F" w:rsidRDefault="00FF5EA5"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Junik</w:t>
            </w:r>
          </w:p>
        </w:tc>
      </w:tr>
      <w:tr w:rsidR="00FF5EA5" w:rsidRPr="005F3D57" w14:paraId="1E198370" w14:textId="77777777" w:rsidTr="00E92133">
        <w:trPr>
          <w:trHeight w:val="290"/>
        </w:trPr>
        <w:tc>
          <w:tcPr>
            <w:tcW w:w="862" w:type="pct"/>
            <w:shd w:val="clear" w:color="auto" w:fill="auto"/>
            <w:noWrap/>
            <w:vAlign w:val="bottom"/>
            <w:hideMark/>
          </w:tcPr>
          <w:p w14:paraId="5060A845" w14:textId="77777777" w:rsidR="00FF5EA5" w:rsidRPr="005F3D57" w:rsidRDefault="00FF5EA5" w:rsidP="00FF5EA5">
            <w:pPr>
              <w:rPr>
                <w:rFonts w:ascii="Arial Narrow" w:hAnsi="Arial Narrow"/>
                <w:color w:val="000000"/>
                <w:sz w:val="20"/>
                <w:szCs w:val="20"/>
                <w:lang w:eastAsia="en-GB"/>
              </w:rPr>
            </w:pPr>
            <w:r w:rsidRPr="005F3D57">
              <w:rPr>
                <w:rFonts w:ascii="Arial Narrow" w:hAnsi="Arial Narrow"/>
                <w:color w:val="000000"/>
                <w:sz w:val="20"/>
                <w:szCs w:val="20"/>
                <w:lang w:eastAsia="en-GB"/>
              </w:rPr>
              <w:t>2023</w:t>
            </w:r>
          </w:p>
        </w:tc>
        <w:tc>
          <w:tcPr>
            <w:tcW w:w="1101" w:type="pct"/>
            <w:shd w:val="clear" w:color="auto" w:fill="auto"/>
            <w:noWrap/>
            <w:vAlign w:val="bottom"/>
            <w:hideMark/>
          </w:tcPr>
          <w:p w14:paraId="272442CC"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8</w:t>
            </w:r>
          </w:p>
        </w:tc>
        <w:tc>
          <w:tcPr>
            <w:tcW w:w="934" w:type="pct"/>
            <w:shd w:val="clear" w:color="auto" w:fill="auto"/>
            <w:noWrap/>
            <w:vAlign w:val="bottom"/>
            <w:hideMark/>
          </w:tcPr>
          <w:p w14:paraId="35235CE2"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9</w:t>
            </w:r>
          </w:p>
        </w:tc>
        <w:tc>
          <w:tcPr>
            <w:tcW w:w="720" w:type="pct"/>
            <w:shd w:val="clear" w:color="auto" w:fill="auto"/>
            <w:noWrap/>
            <w:vAlign w:val="bottom"/>
            <w:hideMark/>
          </w:tcPr>
          <w:p w14:paraId="28AF1C99"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9</w:t>
            </w:r>
          </w:p>
        </w:tc>
        <w:tc>
          <w:tcPr>
            <w:tcW w:w="692" w:type="pct"/>
            <w:shd w:val="clear" w:color="auto" w:fill="auto"/>
            <w:noWrap/>
            <w:vAlign w:val="bottom"/>
            <w:hideMark/>
          </w:tcPr>
          <w:p w14:paraId="60E8F2E5"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5</w:t>
            </w:r>
          </w:p>
        </w:tc>
        <w:tc>
          <w:tcPr>
            <w:tcW w:w="691" w:type="pct"/>
            <w:shd w:val="clear" w:color="auto" w:fill="auto"/>
            <w:noWrap/>
            <w:vAlign w:val="bottom"/>
            <w:hideMark/>
          </w:tcPr>
          <w:p w14:paraId="63BB28CF"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14</w:t>
            </w:r>
          </w:p>
        </w:tc>
      </w:tr>
      <w:tr w:rsidR="00FF5EA5" w:rsidRPr="005F3D57" w14:paraId="6806B915" w14:textId="77777777" w:rsidTr="00E92133">
        <w:trPr>
          <w:trHeight w:val="290"/>
        </w:trPr>
        <w:tc>
          <w:tcPr>
            <w:tcW w:w="862" w:type="pct"/>
            <w:shd w:val="clear" w:color="auto" w:fill="auto"/>
            <w:noWrap/>
            <w:vAlign w:val="bottom"/>
            <w:hideMark/>
          </w:tcPr>
          <w:p w14:paraId="53D42B4A" w14:textId="77777777" w:rsidR="00FF5EA5" w:rsidRPr="005F3D57" w:rsidRDefault="00FF5EA5" w:rsidP="00FF5EA5">
            <w:pPr>
              <w:rPr>
                <w:rFonts w:ascii="Arial Narrow" w:hAnsi="Arial Narrow"/>
                <w:color w:val="000000"/>
                <w:sz w:val="20"/>
                <w:szCs w:val="20"/>
                <w:lang w:eastAsia="en-GB"/>
              </w:rPr>
            </w:pPr>
            <w:r w:rsidRPr="005F3D57">
              <w:rPr>
                <w:rFonts w:ascii="Arial Narrow" w:hAnsi="Arial Narrow"/>
                <w:color w:val="000000"/>
                <w:sz w:val="20"/>
                <w:szCs w:val="20"/>
                <w:lang w:eastAsia="en-GB"/>
              </w:rPr>
              <w:t>2024</w:t>
            </w:r>
          </w:p>
        </w:tc>
        <w:tc>
          <w:tcPr>
            <w:tcW w:w="1101" w:type="pct"/>
            <w:shd w:val="clear" w:color="auto" w:fill="auto"/>
            <w:noWrap/>
            <w:vAlign w:val="bottom"/>
            <w:hideMark/>
          </w:tcPr>
          <w:p w14:paraId="0D8D9A4A"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9</w:t>
            </w:r>
          </w:p>
        </w:tc>
        <w:tc>
          <w:tcPr>
            <w:tcW w:w="934" w:type="pct"/>
            <w:shd w:val="clear" w:color="auto" w:fill="auto"/>
            <w:noWrap/>
            <w:vAlign w:val="bottom"/>
            <w:hideMark/>
          </w:tcPr>
          <w:p w14:paraId="0C64CBA6"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9</w:t>
            </w:r>
          </w:p>
        </w:tc>
        <w:tc>
          <w:tcPr>
            <w:tcW w:w="720" w:type="pct"/>
            <w:shd w:val="clear" w:color="auto" w:fill="auto"/>
            <w:noWrap/>
            <w:vAlign w:val="bottom"/>
            <w:hideMark/>
          </w:tcPr>
          <w:p w14:paraId="11E54CB7"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9</w:t>
            </w:r>
          </w:p>
        </w:tc>
        <w:tc>
          <w:tcPr>
            <w:tcW w:w="692" w:type="pct"/>
            <w:shd w:val="clear" w:color="auto" w:fill="auto"/>
            <w:noWrap/>
            <w:vAlign w:val="bottom"/>
            <w:hideMark/>
          </w:tcPr>
          <w:p w14:paraId="24BCBECE"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5</w:t>
            </w:r>
          </w:p>
        </w:tc>
        <w:tc>
          <w:tcPr>
            <w:tcW w:w="691" w:type="pct"/>
            <w:shd w:val="clear" w:color="auto" w:fill="auto"/>
            <w:noWrap/>
            <w:vAlign w:val="bottom"/>
            <w:hideMark/>
          </w:tcPr>
          <w:p w14:paraId="77F0B2C2" w14:textId="77777777" w:rsidR="00FF5EA5" w:rsidRPr="005F3D57" w:rsidRDefault="00FF5EA5" w:rsidP="004A40AC">
            <w:pPr>
              <w:jc w:val="right"/>
              <w:rPr>
                <w:rFonts w:ascii="Arial Narrow" w:hAnsi="Arial Narrow"/>
                <w:color w:val="000000"/>
                <w:sz w:val="20"/>
                <w:szCs w:val="20"/>
                <w:lang w:eastAsia="en-GB"/>
              </w:rPr>
            </w:pPr>
            <w:r w:rsidRPr="005F3D57">
              <w:rPr>
                <w:rFonts w:ascii="Arial Narrow" w:hAnsi="Arial Narrow"/>
                <w:color w:val="000000"/>
                <w:sz w:val="20"/>
                <w:szCs w:val="20"/>
                <w:lang w:eastAsia="en-GB"/>
              </w:rPr>
              <w:t>15</w:t>
            </w:r>
          </w:p>
        </w:tc>
      </w:tr>
    </w:tbl>
    <w:p w14:paraId="35DD7E1E" w14:textId="5EAFC4C5" w:rsidR="00E92133" w:rsidRPr="00E92133" w:rsidRDefault="00E92133" w:rsidP="00D73B8B">
      <w:pPr>
        <w:pStyle w:val="source0"/>
      </w:pPr>
      <w:r w:rsidRPr="00E92133">
        <w:t>Burimi: të dhëna</w:t>
      </w:r>
      <w:r w:rsidR="00835A80">
        <w:t>t komunale</w:t>
      </w:r>
      <w:r w:rsidRPr="00E92133">
        <w:t>, 2024</w:t>
      </w:r>
    </w:p>
    <w:p w14:paraId="64F7372A" w14:textId="77777777" w:rsidR="00FF5EA5" w:rsidRPr="00817F23" w:rsidRDefault="00FF5EA5" w:rsidP="00FF5EA5">
      <w:pPr>
        <w:rPr>
          <w:sz w:val="22"/>
          <w:szCs w:val="22"/>
        </w:rPr>
      </w:pPr>
    </w:p>
    <w:p w14:paraId="7B0C2C9B" w14:textId="493F0B54" w:rsidR="00FF5EA5" w:rsidRDefault="00835A80" w:rsidP="00D73B8B">
      <w:pPr>
        <w:pStyle w:val="Paragraph"/>
        <w:rPr>
          <w:lang w:val="bg-BG"/>
        </w:rPr>
      </w:pPr>
      <w:r w:rsidRPr="00CF615F">
        <w:rPr>
          <w:lang w:val="sq-AL"/>
        </w:rPr>
        <w:t xml:space="preserve">Të dhënat për të </w:t>
      </w:r>
      <w:r>
        <w:rPr>
          <w:lang w:val="sq-AL"/>
        </w:rPr>
        <w:t>hyrat</w:t>
      </w:r>
      <w:r w:rsidRPr="00CF615F">
        <w:rPr>
          <w:lang w:val="sq-AL"/>
        </w:rPr>
        <w:t xml:space="preserve"> aktuale nga tarifat e mbet</w:t>
      </w:r>
      <w:r>
        <w:rPr>
          <w:lang w:val="sq-AL"/>
        </w:rPr>
        <w:t>urinave</w:t>
      </w:r>
      <w:r w:rsidRPr="00CF615F">
        <w:rPr>
          <w:lang w:val="sq-AL"/>
        </w:rPr>
        <w:t xml:space="preserve"> janë paraqitur në </w:t>
      </w:r>
      <w:r>
        <w:rPr>
          <w:lang w:val="sq-AL"/>
        </w:rPr>
        <w:t>t</w:t>
      </w:r>
      <w:r w:rsidRPr="00CF615F">
        <w:rPr>
          <w:lang w:val="sq-AL"/>
        </w:rPr>
        <w:t>abel</w:t>
      </w:r>
      <w:r>
        <w:rPr>
          <w:lang w:val="sq-AL"/>
        </w:rPr>
        <w:t>ën</w:t>
      </w:r>
      <w:r w:rsidRPr="00CF615F">
        <w:rPr>
          <w:lang w:val="sq-AL"/>
        </w:rPr>
        <w:t xml:space="preserve"> në vijim. Tarifa për kokë banori </w:t>
      </w:r>
      <w:r>
        <w:rPr>
          <w:lang w:val="sq-AL"/>
        </w:rPr>
        <w:t>paraqet</w:t>
      </w:r>
      <w:r w:rsidRPr="00CF615F">
        <w:rPr>
          <w:lang w:val="sq-AL"/>
        </w:rPr>
        <w:t xml:space="preserve"> </w:t>
      </w:r>
      <w:r>
        <w:rPr>
          <w:lang w:val="sq-AL"/>
        </w:rPr>
        <w:t xml:space="preserve">matjet e </w:t>
      </w:r>
      <w:r w:rsidRPr="00CF615F">
        <w:rPr>
          <w:lang w:val="sq-AL"/>
        </w:rPr>
        <w:t xml:space="preserve">popullsisë </w:t>
      </w:r>
      <w:r>
        <w:rPr>
          <w:lang w:val="sq-AL"/>
        </w:rPr>
        <w:t>nga</w:t>
      </w:r>
      <w:r w:rsidRPr="00CF615F">
        <w:rPr>
          <w:lang w:val="sq-AL"/>
        </w:rPr>
        <w:t xml:space="preserve"> ASK për vitin 2022</w:t>
      </w:r>
      <w:r w:rsidR="003818AD">
        <w:t>.</w:t>
      </w:r>
    </w:p>
    <w:p w14:paraId="1D183B29" w14:textId="22E63319" w:rsidR="00FF5EA5" w:rsidRPr="007F50ED" w:rsidRDefault="00FF5EA5" w:rsidP="007F50ED">
      <w:pPr>
        <w:suppressAutoHyphens/>
        <w:rPr>
          <w:rFonts w:ascii="Arial Narrow" w:eastAsia="Calibri" w:hAnsi="Arial Narrow" w:cs="Calibri"/>
          <w:color w:val="1F497D"/>
          <w:sz w:val="20"/>
          <w:szCs w:val="20"/>
        </w:rPr>
      </w:pPr>
      <w:bookmarkStart w:id="232" w:name="_Toc197472219"/>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34.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 xml:space="preserve">Të </w:t>
      </w:r>
      <w:r w:rsidR="00835A80">
        <w:rPr>
          <w:rFonts w:ascii="Arial Narrow" w:eastAsia="Calibri" w:hAnsi="Arial Narrow" w:cs="Calibri"/>
          <w:color w:val="1F497D"/>
          <w:sz w:val="20"/>
          <w:szCs w:val="20"/>
        </w:rPr>
        <w:t>hyrat</w:t>
      </w:r>
      <w:r w:rsidRPr="007F50ED">
        <w:rPr>
          <w:rFonts w:ascii="Arial Narrow" w:eastAsia="Calibri" w:hAnsi="Arial Narrow" w:cs="Calibri"/>
          <w:color w:val="1F497D"/>
          <w:sz w:val="20"/>
          <w:szCs w:val="20"/>
        </w:rPr>
        <w:t xml:space="preserve"> aktuale vjetore nga tarifa e mbeturinave nga </w:t>
      </w:r>
      <w:r w:rsidR="00835A80">
        <w:rPr>
          <w:rFonts w:ascii="Arial Narrow" w:eastAsia="Calibri" w:hAnsi="Arial Narrow" w:cs="Calibri"/>
          <w:color w:val="1F497D"/>
          <w:sz w:val="20"/>
          <w:szCs w:val="20"/>
        </w:rPr>
        <w:t>amvisëritë</w:t>
      </w:r>
      <w:r w:rsidRPr="007F50ED">
        <w:rPr>
          <w:rFonts w:ascii="Arial Narrow" w:eastAsia="Calibri" w:hAnsi="Arial Narrow" w:cs="Calibri"/>
          <w:color w:val="1F497D"/>
          <w:sz w:val="20"/>
          <w:szCs w:val="20"/>
        </w:rPr>
        <w:t>, EUR</w:t>
      </w:r>
      <w:bookmarkEnd w:id="232"/>
    </w:p>
    <w:tbl>
      <w:tblPr>
        <w:tblW w:w="5000" w:type="pct"/>
        <w:tblLook w:val="04A0" w:firstRow="1" w:lastRow="0" w:firstColumn="1" w:lastColumn="0" w:noHBand="0" w:noVBand="1"/>
      </w:tblPr>
      <w:tblGrid>
        <w:gridCol w:w="1935"/>
        <w:gridCol w:w="1652"/>
        <w:gridCol w:w="1369"/>
        <w:gridCol w:w="1665"/>
        <w:gridCol w:w="1198"/>
        <w:gridCol w:w="1197"/>
      </w:tblGrid>
      <w:tr w:rsidR="000D110F" w:rsidRPr="000D110F" w14:paraId="1E6C04D2" w14:textId="77777777" w:rsidTr="00466277">
        <w:trPr>
          <w:trHeight w:val="290"/>
          <w:tblHeader/>
        </w:trPr>
        <w:tc>
          <w:tcPr>
            <w:tcW w:w="975" w:type="pct"/>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45A24952" w14:textId="202FD52F" w:rsidR="00FF5EA5" w:rsidRPr="000D110F" w:rsidRDefault="00FF5EA5" w:rsidP="004A40AC">
            <w:pP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Viti</w:t>
            </w:r>
          </w:p>
        </w:tc>
        <w:tc>
          <w:tcPr>
            <w:tcW w:w="936" w:type="pct"/>
            <w:tcBorders>
              <w:top w:val="single" w:sz="4" w:space="0" w:color="auto"/>
              <w:left w:val="nil"/>
              <w:bottom w:val="single" w:sz="4" w:space="0" w:color="auto"/>
              <w:right w:val="single" w:sz="4" w:space="0" w:color="auto"/>
            </w:tcBorders>
            <w:shd w:val="clear" w:color="auto" w:fill="365F91"/>
            <w:noWrap/>
            <w:vAlign w:val="bottom"/>
            <w:hideMark/>
          </w:tcPr>
          <w:p w14:paraId="7DE395D1" w14:textId="3FA0DBE0" w:rsidR="00FF5EA5" w:rsidRPr="000D110F" w:rsidRDefault="00826494"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Deçan</w:t>
            </w:r>
          </w:p>
        </w:tc>
        <w:tc>
          <w:tcPr>
            <w:tcW w:w="779" w:type="pct"/>
            <w:tcBorders>
              <w:top w:val="single" w:sz="4" w:space="0" w:color="auto"/>
              <w:left w:val="nil"/>
              <w:bottom w:val="single" w:sz="4" w:space="0" w:color="auto"/>
              <w:right w:val="single" w:sz="4" w:space="0" w:color="auto"/>
            </w:tcBorders>
            <w:shd w:val="clear" w:color="auto" w:fill="365F91"/>
            <w:noWrap/>
            <w:vAlign w:val="bottom"/>
            <w:hideMark/>
          </w:tcPr>
          <w:p w14:paraId="1EF77AA0" w14:textId="77777777" w:rsidR="00FF5EA5" w:rsidRPr="000D110F" w:rsidRDefault="00FF5EA5"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Istog</w:t>
            </w:r>
          </w:p>
        </w:tc>
        <w:tc>
          <w:tcPr>
            <w:tcW w:w="943" w:type="pct"/>
            <w:tcBorders>
              <w:top w:val="single" w:sz="4" w:space="0" w:color="auto"/>
              <w:left w:val="nil"/>
              <w:bottom w:val="single" w:sz="4" w:space="0" w:color="auto"/>
              <w:right w:val="single" w:sz="4" w:space="0" w:color="auto"/>
            </w:tcBorders>
            <w:shd w:val="clear" w:color="auto" w:fill="365F91"/>
            <w:noWrap/>
            <w:vAlign w:val="bottom"/>
            <w:hideMark/>
          </w:tcPr>
          <w:p w14:paraId="1727FDCE" w14:textId="4B49B3A5" w:rsidR="00FF5EA5" w:rsidRPr="000D110F" w:rsidRDefault="00FF5EA5"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Klin</w:t>
            </w:r>
            <w:r w:rsidR="00835A80">
              <w:rPr>
                <w:rFonts w:ascii="Arial Narrow" w:hAnsi="Arial Narrow"/>
                <w:b/>
                <w:bCs/>
                <w:color w:val="FFFFFF" w:themeColor="background1"/>
                <w:sz w:val="20"/>
                <w:szCs w:val="20"/>
                <w:lang w:eastAsia="en-GB"/>
              </w:rPr>
              <w:t>ë</w:t>
            </w:r>
          </w:p>
        </w:tc>
        <w:tc>
          <w:tcPr>
            <w:tcW w:w="684" w:type="pct"/>
            <w:tcBorders>
              <w:top w:val="single" w:sz="4" w:space="0" w:color="auto"/>
              <w:left w:val="nil"/>
              <w:bottom w:val="single" w:sz="4" w:space="0" w:color="auto"/>
              <w:right w:val="single" w:sz="4" w:space="0" w:color="auto"/>
            </w:tcBorders>
            <w:shd w:val="clear" w:color="auto" w:fill="365F91"/>
            <w:noWrap/>
            <w:vAlign w:val="bottom"/>
            <w:hideMark/>
          </w:tcPr>
          <w:p w14:paraId="74408BB8" w14:textId="2D662BA2" w:rsidR="00FF5EA5" w:rsidRPr="000D110F" w:rsidRDefault="00D56660"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Pejë</w:t>
            </w:r>
          </w:p>
        </w:tc>
        <w:tc>
          <w:tcPr>
            <w:tcW w:w="683" w:type="pct"/>
            <w:tcBorders>
              <w:top w:val="single" w:sz="4" w:space="0" w:color="auto"/>
              <w:left w:val="nil"/>
              <w:bottom w:val="single" w:sz="4" w:space="0" w:color="auto"/>
              <w:right w:val="single" w:sz="4" w:space="0" w:color="auto"/>
            </w:tcBorders>
            <w:shd w:val="clear" w:color="auto" w:fill="365F91"/>
            <w:noWrap/>
            <w:vAlign w:val="bottom"/>
            <w:hideMark/>
          </w:tcPr>
          <w:p w14:paraId="6B3D0169" w14:textId="77777777" w:rsidR="00FF5EA5" w:rsidRPr="000D110F" w:rsidRDefault="00FF5EA5"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Junik</w:t>
            </w:r>
            <w:r w:rsidRPr="000D110F">
              <w:rPr>
                <w:rStyle w:val="FootnoteReference"/>
                <w:rFonts w:ascii="Arial Narrow" w:hAnsi="Arial Narrow"/>
                <w:b/>
                <w:bCs/>
                <w:color w:val="FFFFFF" w:themeColor="background1"/>
                <w:sz w:val="20"/>
                <w:szCs w:val="20"/>
                <w:lang w:eastAsia="en-GB"/>
              </w:rPr>
              <w:footnoteReference w:id="14"/>
            </w:r>
          </w:p>
        </w:tc>
      </w:tr>
      <w:tr w:rsidR="00FF5EA5" w:rsidRPr="005F3D57" w14:paraId="466E63EE" w14:textId="77777777" w:rsidTr="00466277">
        <w:trPr>
          <w:trHeight w:val="290"/>
        </w:trPr>
        <w:tc>
          <w:tcPr>
            <w:tcW w:w="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1A084" w14:textId="77777777" w:rsidR="00FF5EA5" w:rsidRPr="005F3D57" w:rsidRDefault="00FF5EA5" w:rsidP="004A40AC">
            <w:pPr>
              <w:rPr>
                <w:rFonts w:ascii="Arial Narrow" w:hAnsi="Arial Narrow"/>
                <w:color w:val="000000"/>
                <w:sz w:val="20"/>
                <w:szCs w:val="20"/>
                <w:lang w:eastAsia="en-GB"/>
              </w:rPr>
            </w:pPr>
            <w:r w:rsidRPr="005F3D57">
              <w:rPr>
                <w:rFonts w:ascii="Arial Narrow" w:hAnsi="Arial Narrow"/>
                <w:color w:val="000000"/>
                <w:sz w:val="20"/>
                <w:szCs w:val="20"/>
                <w:lang w:eastAsia="en-GB"/>
              </w:rPr>
              <w:t>2021</w:t>
            </w:r>
          </w:p>
        </w:tc>
        <w:tc>
          <w:tcPr>
            <w:tcW w:w="936" w:type="pct"/>
            <w:tcBorders>
              <w:top w:val="single" w:sz="4" w:space="0" w:color="auto"/>
              <w:left w:val="nil"/>
              <w:bottom w:val="single" w:sz="4" w:space="0" w:color="auto"/>
              <w:right w:val="single" w:sz="4" w:space="0" w:color="auto"/>
            </w:tcBorders>
            <w:shd w:val="clear" w:color="auto" w:fill="auto"/>
            <w:noWrap/>
            <w:vAlign w:val="bottom"/>
            <w:hideMark/>
          </w:tcPr>
          <w:p w14:paraId="2677B295" w14:textId="711AB8F1" w:rsidR="00FF5EA5" w:rsidRPr="005F3D57" w:rsidRDefault="00466277" w:rsidP="00FF5EA5">
            <w:pPr>
              <w:jc w:val="center"/>
              <w:rPr>
                <w:rFonts w:ascii="Arial Narrow" w:hAnsi="Arial Narrow"/>
                <w:color w:val="000000"/>
                <w:sz w:val="20"/>
                <w:szCs w:val="20"/>
                <w:lang w:eastAsia="en-GB"/>
              </w:rPr>
            </w:pPr>
            <w:r>
              <w:rPr>
                <w:rFonts w:ascii="Arial Narrow" w:hAnsi="Arial Narrow"/>
                <w:color w:val="000000"/>
                <w:sz w:val="20"/>
                <w:szCs w:val="20"/>
                <w:lang w:eastAsia="en-GB"/>
              </w:rPr>
              <w:t>322</w:t>
            </w:r>
            <w:r w:rsidR="00FF5EA5" w:rsidRPr="005F3D57">
              <w:rPr>
                <w:rFonts w:ascii="Arial Narrow" w:hAnsi="Arial Narrow"/>
                <w:color w:val="000000"/>
                <w:sz w:val="20"/>
                <w:szCs w:val="20"/>
                <w:lang w:eastAsia="en-GB"/>
              </w:rPr>
              <w:t>,</w:t>
            </w:r>
            <w:r>
              <w:rPr>
                <w:rFonts w:ascii="Arial Narrow" w:hAnsi="Arial Narrow"/>
                <w:color w:val="000000"/>
                <w:sz w:val="20"/>
                <w:szCs w:val="20"/>
                <w:lang w:eastAsia="en-GB"/>
              </w:rPr>
              <w:t>086</w:t>
            </w:r>
          </w:p>
        </w:tc>
        <w:tc>
          <w:tcPr>
            <w:tcW w:w="779" w:type="pct"/>
            <w:tcBorders>
              <w:top w:val="single" w:sz="4" w:space="0" w:color="auto"/>
              <w:left w:val="nil"/>
              <w:bottom w:val="single" w:sz="4" w:space="0" w:color="auto"/>
              <w:right w:val="single" w:sz="4" w:space="0" w:color="auto"/>
            </w:tcBorders>
            <w:shd w:val="clear" w:color="auto" w:fill="auto"/>
            <w:noWrap/>
            <w:vAlign w:val="bottom"/>
            <w:hideMark/>
          </w:tcPr>
          <w:p w14:paraId="590AD4AB" w14:textId="77777777" w:rsidR="00FF5EA5" w:rsidRPr="005F3D57" w:rsidRDefault="00FF5EA5" w:rsidP="00FF5EA5">
            <w:pPr>
              <w:jc w:val="center"/>
              <w:rPr>
                <w:rFonts w:ascii="Arial Narrow" w:hAnsi="Arial Narrow"/>
                <w:color w:val="000000"/>
                <w:sz w:val="20"/>
                <w:szCs w:val="20"/>
                <w:lang w:eastAsia="en-GB"/>
              </w:rPr>
            </w:pPr>
            <w:r w:rsidRPr="005F3D57">
              <w:rPr>
                <w:rFonts w:ascii="Arial Narrow" w:hAnsi="Arial Narrow"/>
                <w:color w:val="000000"/>
                <w:sz w:val="20"/>
                <w:szCs w:val="20"/>
                <w:lang w:eastAsia="en-GB"/>
              </w:rPr>
              <w:t>324,264</w:t>
            </w:r>
          </w:p>
        </w:tc>
        <w:tc>
          <w:tcPr>
            <w:tcW w:w="943" w:type="pct"/>
            <w:tcBorders>
              <w:top w:val="single" w:sz="4" w:space="0" w:color="auto"/>
              <w:left w:val="nil"/>
              <w:bottom w:val="single" w:sz="4" w:space="0" w:color="auto"/>
              <w:right w:val="single" w:sz="4" w:space="0" w:color="auto"/>
            </w:tcBorders>
            <w:shd w:val="clear" w:color="auto" w:fill="auto"/>
            <w:noWrap/>
            <w:vAlign w:val="bottom"/>
            <w:hideMark/>
          </w:tcPr>
          <w:p w14:paraId="0F8D9C76" w14:textId="7ABC8A5B" w:rsidR="00FF5EA5" w:rsidRPr="005F3D57" w:rsidRDefault="00FF5EA5" w:rsidP="00FF5EA5">
            <w:pPr>
              <w:jc w:val="center"/>
              <w:rPr>
                <w:rFonts w:ascii="Arial Narrow" w:hAnsi="Arial Narrow"/>
                <w:color w:val="000000"/>
                <w:sz w:val="20"/>
                <w:szCs w:val="20"/>
                <w:lang w:eastAsia="en-GB"/>
              </w:rPr>
            </w:pPr>
            <w:r w:rsidRPr="005F3D57">
              <w:rPr>
                <w:rFonts w:ascii="Arial Narrow" w:hAnsi="Arial Narrow"/>
                <w:color w:val="000000"/>
                <w:sz w:val="20"/>
                <w:szCs w:val="20"/>
                <w:lang w:eastAsia="en-GB"/>
              </w:rPr>
              <w:t>266</w:t>
            </w:r>
            <w:r w:rsidR="00466277">
              <w:rPr>
                <w:rFonts w:ascii="Arial Narrow" w:hAnsi="Arial Narrow"/>
                <w:color w:val="000000"/>
                <w:sz w:val="20"/>
                <w:szCs w:val="20"/>
                <w:lang w:eastAsia="en-GB"/>
              </w:rPr>
              <w:t>,360</w:t>
            </w:r>
          </w:p>
        </w:tc>
        <w:tc>
          <w:tcPr>
            <w:tcW w:w="684" w:type="pct"/>
            <w:tcBorders>
              <w:top w:val="single" w:sz="4" w:space="0" w:color="auto"/>
              <w:left w:val="nil"/>
              <w:bottom w:val="single" w:sz="4" w:space="0" w:color="auto"/>
              <w:right w:val="single" w:sz="4" w:space="0" w:color="auto"/>
            </w:tcBorders>
            <w:shd w:val="clear" w:color="auto" w:fill="auto"/>
            <w:noWrap/>
            <w:vAlign w:val="bottom"/>
            <w:hideMark/>
          </w:tcPr>
          <w:p w14:paraId="46B80367" w14:textId="77777777" w:rsidR="00FF5EA5" w:rsidRPr="005F3D57" w:rsidRDefault="00FF5EA5" w:rsidP="00FF5EA5">
            <w:pPr>
              <w:jc w:val="center"/>
              <w:rPr>
                <w:rFonts w:ascii="Arial Narrow" w:hAnsi="Arial Narrow"/>
                <w:color w:val="000000"/>
                <w:sz w:val="20"/>
                <w:szCs w:val="20"/>
                <w:lang w:eastAsia="en-GB"/>
              </w:rPr>
            </w:pPr>
            <w:r w:rsidRPr="005F3D57">
              <w:rPr>
                <w:rFonts w:ascii="Arial Narrow" w:hAnsi="Arial Narrow"/>
                <w:color w:val="000000"/>
                <w:sz w:val="20"/>
                <w:szCs w:val="20"/>
                <w:lang w:eastAsia="en-GB"/>
              </w:rPr>
              <w:t>893,282</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1C676A86" w14:textId="77777777" w:rsidR="00FF5EA5" w:rsidRPr="005F3D57" w:rsidRDefault="00FF5EA5" w:rsidP="00FF5EA5">
            <w:pPr>
              <w:jc w:val="center"/>
              <w:rPr>
                <w:rFonts w:ascii="Arial Narrow" w:hAnsi="Arial Narrow"/>
                <w:color w:val="000000"/>
                <w:sz w:val="20"/>
                <w:szCs w:val="20"/>
                <w:lang w:eastAsia="en-GB"/>
              </w:rPr>
            </w:pPr>
            <w:r w:rsidRPr="005F3D57">
              <w:rPr>
                <w:rFonts w:ascii="Arial Narrow" w:hAnsi="Arial Narrow"/>
                <w:color w:val="000000"/>
                <w:sz w:val="20"/>
                <w:szCs w:val="20"/>
                <w:lang w:eastAsia="en-GB"/>
              </w:rPr>
              <w:t>54,720</w:t>
            </w:r>
          </w:p>
        </w:tc>
      </w:tr>
      <w:tr w:rsidR="00FF5EA5" w:rsidRPr="005F3D57" w14:paraId="02EF03B4" w14:textId="77777777" w:rsidTr="00466277">
        <w:trPr>
          <w:trHeight w:val="290"/>
        </w:trPr>
        <w:tc>
          <w:tcPr>
            <w:tcW w:w="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C85B8" w14:textId="77777777" w:rsidR="00FF5EA5" w:rsidRPr="005F3D57" w:rsidRDefault="00FF5EA5" w:rsidP="004A40AC">
            <w:pPr>
              <w:rPr>
                <w:rFonts w:ascii="Arial Narrow" w:hAnsi="Arial Narrow"/>
                <w:color w:val="000000"/>
                <w:sz w:val="20"/>
                <w:szCs w:val="20"/>
                <w:lang w:eastAsia="en-GB"/>
              </w:rPr>
            </w:pPr>
            <w:r w:rsidRPr="005F3D57">
              <w:rPr>
                <w:rFonts w:ascii="Arial Narrow" w:hAnsi="Arial Narrow"/>
                <w:color w:val="000000"/>
                <w:sz w:val="20"/>
                <w:szCs w:val="20"/>
                <w:lang w:eastAsia="en-GB"/>
              </w:rPr>
              <w:t>2022</w:t>
            </w:r>
          </w:p>
        </w:tc>
        <w:tc>
          <w:tcPr>
            <w:tcW w:w="936" w:type="pct"/>
            <w:tcBorders>
              <w:top w:val="single" w:sz="4" w:space="0" w:color="auto"/>
              <w:left w:val="nil"/>
              <w:bottom w:val="single" w:sz="4" w:space="0" w:color="auto"/>
              <w:right w:val="single" w:sz="4" w:space="0" w:color="auto"/>
            </w:tcBorders>
            <w:shd w:val="clear" w:color="auto" w:fill="auto"/>
            <w:noWrap/>
            <w:vAlign w:val="bottom"/>
            <w:hideMark/>
          </w:tcPr>
          <w:p w14:paraId="59A298AB" w14:textId="234AFC59" w:rsidR="00FF5EA5" w:rsidRPr="005F3D57" w:rsidRDefault="00466277" w:rsidP="00FF5EA5">
            <w:pPr>
              <w:jc w:val="center"/>
              <w:rPr>
                <w:rFonts w:ascii="Arial Narrow" w:hAnsi="Arial Narrow"/>
                <w:color w:val="000000"/>
                <w:sz w:val="20"/>
                <w:szCs w:val="20"/>
                <w:lang w:eastAsia="en-GB"/>
              </w:rPr>
            </w:pPr>
            <w:r>
              <w:rPr>
                <w:rFonts w:ascii="Arial Narrow" w:hAnsi="Arial Narrow"/>
                <w:color w:val="000000"/>
                <w:sz w:val="20"/>
                <w:szCs w:val="20"/>
                <w:lang w:eastAsia="en-GB"/>
              </w:rPr>
              <w:t>294</w:t>
            </w:r>
            <w:r w:rsidR="00FF5EA5" w:rsidRPr="005F3D57">
              <w:rPr>
                <w:rFonts w:ascii="Arial Narrow" w:hAnsi="Arial Narrow"/>
                <w:color w:val="000000"/>
                <w:sz w:val="20"/>
                <w:szCs w:val="20"/>
                <w:lang w:eastAsia="en-GB"/>
              </w:rPr>
              <w:t>,</w:t>
            </w:r>
            <w:r>
              <w:rPr>
                <w:rFonts w:ascii="Arial Narrow" w:hAnsi="Arial Narrow"/>
                <w:color w:val="000000"/>
                <w:sz w:val="20"/>
                <w:szCs w:val="20"/>
                <w:lang w:eastAsia="en-GB"/>
              </w:rPr>
              <w:t>457</w:t>
            </w:r>
          </w:p>
        </w:tc>
        <w:tc>
          <w:tcPr>
            <w:tcW w:w="779" w:type="pct"/>
            <w:tcBorders>
              <w:top w:val="single" w:sz="4" w:space="0" w:color="auto"/>
              <w:left w:val="nil"/>
              <w:bottom w:val="single" w:sz="4" w:space="0" w:color="auto"/>
              <w:right w:val="single" w:sz="4" w:space="0" w:color="auto"/>
            </w:tcBorders>
            <w:shd w:val="clear" w:color="auto" w:fill="auto"/>
            <w:noWrap/>
            <w:vAlign w:val="bottom"/>
            <w:hideMark/>
          </w:tcPr>
          <w:p w14:paraId="4DC7B422" w14:textId="229EF9DE" w:rsidR="00FF5EA5" w:rsidRPr="005F3D57" w:rsidRDefault="00FF5EA5" w:rsidP="00FF5EA5">
            <w:pPr>
              <w:jc w:val="center"/>
              <w:rPr>
                <w:rFonts w:ascii="Arial Narrow" w:hAnsi="Arial Narrow"/>
                <w:color w:val="000000"/>
                <w:sz w:val="20"/>
                <w:szCs w:val="20"/>
                <w:lang w:eastAsia="en-GB"/>
              </w:rPr>
            </w:pPr>
            <w:r w:rsidRPr="005F3D57">
              <w:rPr>
                <w:rFonts w:ascii="Arial Narrow" w:hAnsi="Arial Narrow"/>
                <w:color w:val="000000"/>
                <w:sz w:val="20"/>
                <w:szCs w:val="20"/>
                <w:lang w:eastAsia="en-GB"/>
              </w:rPr>
              <w:t>351,</w:t>
            </w:r>
            <w:r w:rsidR="00466277">
              <w:rPr>
                <w:rFonts w:ascii="Arial Narrow" w:hAnsi="Arial Narrow"/>
                <w:color w:val="000000"/>
                <w:sz w:val="20"/>
                <w:szCs w:val="20"/>
                <w:lang w:eastAsia="en-GB"/>
              </w:rPr>
              <w:t>352</w:t>
            </w:r>
          </w:p>
        </w:tc>
        <w:tc>
          <w:tcPr>
            <w:tcW w:w="943" w:type="pct"/>
            <w:tcBorders>
              <w:top w:val="single" w:sz="4" w:space="0" w:color="auto"/>
              <w:left w:val="nil"/>
              <w:bottom w:val="single" w:sz="4" w:space="0" w:color="auto"/>
              <w:right w:val="single" w:sz="4" w:space="0" w:color="auto"/>
            </w:tcBorders>
            <w:shd w:val="clear" w:color="auto" w:fill="auto"/>
            <w:noWrap/>
            <w:vAlign w:val="bottom"/>
            <w:hideMark/>
          </w:tcPr>
          <w:p w14:paraId="0156584B" w14:textId="1E20F529" w:rsidR="00FF5EA5" w:rsidRPr="005F3D57" w:rsidRDefault="00FF5EA5" w:rsidP="00FF5EA5">
            <w:pPr>
              <w:jc w:val="center"/>
              <w:rPr>
                <w:rFonts w:ascii="Arial Narrow" w:hAnsi="Arial Narrow"/>
                <w:color w:val="000000"/>
                <w:sz w:val="20"/>
                <w:szCs w:val="20"/>
                <w:lang w:eastAsia="en-GB"/>
              </w:rPr>
            </w:pPr>
            <w:r w:rsidRPr="005F3D57">
              <w:rPr>
                <w:rFonts w:ascii="Arial Narrow" w:hAnsi="Arial Narrow"/>
                <w:color w:val="000000"/>
                <w:sz w:val="20"/>
                <w:szCs w:val="20"/>
                <w:lang w:eastAsia="en-GB"/>
              </w:rPr>
              <w:t>316,</w:t>
            </w:r>
            <w:r w:rsidR="00466277">
              <w:rPr>
                <w:rFonts w:ascii="Arial Narrow" w:hAnsi="Arial Narrow"/>
                <w:color w:val="000000"/>
                <w:sz w:val="20"/>
                <w:szCs w:val="20"/>
                <w:lang w:eastAsia="en-GB"/>
              </w:rPr>
              <w:t>528</w:t>
            </w:r>
          </w:p>
        </w:tc>
        <w:tc>
          <w:tcPr>
            <w:tcW w:w="684" w:type="pct"/>
            <w:tcBorders>
              <w:top w:val="single" w:sz="4" w:space="0" w:color="auto"/>
              <w:left w:val="nil"/>
              <w:bottom w:val="single" w:sz="4" w:space="0" w:color="auto"/>
              <w:right w:val="single" w:sz="4" w:space="0" w:color="auto"/>
            </w:tcBorders>
            <w:shd w:val="clear" w:color="auto" w:fill="auto"/>
            <w:noWrap/>
            <w:vAlign w:val="bottom"/>
            <w:hideMark/>
          </w:tcPr>
          <w:p w14:paraId="6885E3D9" w14:textId="77777777" w:rsidR="00FF5EA5" w:rsidRPr="005F3D57" w:rsidRDefault="00FF5EA5" w:rsidP="00FF5EA5">
            <w:pPr>
              <w:jc w:val="center"/>
              <w:rPr>
                <w:rFonts w:ascii="Arial Narrow" w:hAnsi="Arial Narrow"/>
                <w:color w:val="000000"/>
                <w:sz w:val="20"/>
                <w:szCs w:val="20"/>
                <w:lang w:eastAsia="en-GB"/>
              </w:rPr>
            </w:pPr>
            <w:r w:rsidRPr="005F3D57">
              <w:rPr>
                <w:rFonts w:ascii="Arial Narrow" w:hAnsi="Arial Narrow"/>
                <w:color w:val="000000"/>
                <w:sz w:val="20"/>
                <w:szCs w:val="20"/>
                <w:lang w:eastAsia="en-GB"/>
              </w:rPr>
              <w:t>875,587</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7382FB49" w14:textId="77777777" w:rsidR="00FF5EA5" w:rsidRPr="005F3D57" w:rsidRDefault="00FF5EA5" w:rsidP="00FF5EA5">
            <w:pPr>
              <w:jc w:val="center"/>
              <w:rPr>
                <w:rFonts w:ascii="Arial Narrow" w:hAnsi="Arial Narrow"/>
                <w:color w:val="000000"/>
                <w:sz w:val="20"/>
                <w:szCs w:val="20"/>
                <w:lang w:eastAsia="en-GB"/>
              </w:rPr>
            </w:pPr>
            <w:r w:rsidRPr="005F3D57">
              <w:rPr>
                <w:rFonts w:ascii="Arial Narrow" w:hAnsi="Arial Narrow"/>
                <w:color w:val="000000"/>
                <w:sz w:val="20"/>
                <w:szCs w:val="20"/>
                <w:lang w:eastAsia="en-GB"/>
              </w:rPr>
              <w:t>41,100</w:t>
            </w:r>
          </w:p>
        </w:tc>
      </w:tr>
      <w:tr w:rsidR="00FF5EA5" w:rsidRPr="005F3D57" w14:paraId="62EEE99C" w14:textId="77777777" w:rsidTr="00466277">
        <w:trPr>
          <w:trHeight w:val="290"/>
        </w:trPr>
        <w:tc>
          <w:tcPr>
            <w:tcW w:w="9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D0095" w14:textId="262888C1" w:rsidR="00FF5EA5" w:rsidRPr="005F3D57" w:rsidRDefault="00FF5EA5" w:rsidP="004A40AC">
            <w:pPr>
              <w:rPr>
                <w:rFonts w:ascii="Arial Narrow" w:hAnsi="Arial Narrow"/>
                <w:color w:val="000000"/>
                <w:sz w:val="20"/>
                <w:szCs w:val="20"/>
                <w:lang w:eastAsia="en-GB"/>
              </w:rPr>
            </w:pPr>
            <w:r w:rsidRPr="005F3D57">
              <w:rPr>
                <w:rFonts w:ascii="Arial Narrow" w:hAnsi="Arial Narrow"/>
                <w:color w:val="000000"/>
                <w:sz w:val="20"/>
                <w:szCs w:val="20"/>
                <w:lang w:eastAsia="en-GB"/>
              </w:rPr>
              <w:t xml:space="preserve">2022 për </w:t>
            </w:r>
            <w:r w:rsidR="00835A80">
              <w:rPr>
                <w:rFonts w:ascii="Arial Narrow" w:hAnsi="Arial Narrow"/>
                <w:color w:val="000000"/>
                <w:sz w:val="20"/>
                <w:szCs w:val="20"/>
                <w:lang w:eastAsia="en-GB"/>
              </w:rPr>
              <w:t>kokë banori</w:t>
            </w:r>
            <w:r w:rsidR="008735EF">
              <w:rPr>
                <w:rStyle w:val="FootnoteReference"/>
                <w:szCs w:val="20"/>
                <w:lang w:eastAsia="en-GB"/>
              </w:rPr>
              <w:footnoteReference w:id="15"/>
            </w:r>
          </w:p>
        </w:tc>
        <w:tc>
          <w:tcPr>
            <w:tcW w:w="936" w:type="pct"/>
            <w:tcBorders>
              <w:top w:val="single" w:sz="4" w:space="0" w:color="auto"/>
              <w:left w:val="nil"/>
              <w:bottom w:val="single" w:sz="4" w:space="0" w:color="auto"/>
              <w:right w:val="single" w:sz="4" w:space="0" w:color="auto"/>
            </w:tcBorders>
            <w:shd w:val="clear" w:color="auto" w:fill="auto"/>
            <w:noWrap/>
            <w:vAlign w:val="bottom"/>
            <w:hideMark/>
          </w:tcPr>
          <w:p w14:paraId="3F8C456C" w14:textId="52E24B37" w:rsidR="00FF5EA5" w:rsidRPr="005F3D57" w:rsidRDefault="00FF5EA5" w:rsidP="00FF5EA5">
            <w:pPr>
              <w:jc w:val="center"/>
              <w:rPr>
                <w:rFonts w:ascii="Arial Narrow" w:hAnsi="Arial Narrow"/>
                <w:color w:val="000000"/>
                <w:sz w:val="20"/>
                <w:szCs w:val="20"/>
                <w:lang w:eastAsia="en-GB"/>
              </w:rPr>
            </w:pPr>
            <w:r w:rsidRPr="005F3D57">
              <w:rPr>
                <w:rFonts w:ascii="Arial Narrow" w:hAnsi="Arial Narrow"/>
                <w:color w:val="000000"/>
                <w:sz w:val="20"/>
                <w:szCs w:val="20"/>
                <w:lang w:eastAsia="en-GB"/>
              </w:rPr>
              <w:t>1</w:t>
            </w:r>
            <w:r w:rsidR="00466277">
              <w:rPr>
                <w:rFonts w:ascii="Arial Narrow" w:hAnsi="Arial Narrow"/>
                <w:color w:val="000000"/>
                <w:sz w:val="20"/>
                <w:szCs w:val="20"/>
                <w:lang w:eastAsia="en-GB"/>
              </w:rPr>
              <w:t>0</w:t>
            </w:r>
            <w:r w:rsidRPr="005F3D57">
              <w:rPr>
                <w:rFonts w:ascii="Arial Narrow" w:hAnsi="Arial Narrow"/>
                <w:color w:val="000000"/>
                <w:sz w:val="20"/>
                <w:szCs w:val="20"/>
                <w:lang w:eastAsia="en-GB"/>
              </w:rPr>
              <w:t>.</w:t>
            </w:r>
            <w:r w:rsidR="00466277">
              <w:rPr>
                <w:rFonts w:ascii="Arial Narrow" w:hAnsi="Arial Narrow"/>
                <w:color w:val="000000"/>
                <w:sz w:val="20"/>
                <w:szCs w:val="20"/>
                <w:lang w:eastAsia="en-GB"/>
              </w:rPr>
              <w:t>6</w:t>
            </w:r>
          </w:p>
        </w:tc>
        <w:tc>
          <w:tcPr>
            <w:tcW w:w="779" w:type="pct"/>
            <w:tcBorders>
              <w:top w:val="single" w:sz="4" w:space="0" w:color="auto"/>
              <w:left w:val="nil"/>
              <w:bottom w:val="single" w:sz="4" w:space="0" w:color="auto"/>
              <w:right w:val="single" w:sz="4" w:space="0" w:color="auto"/>
            </w:tcBorders>
            <w:shd w:val="clear" w:color="auto" w:fill="auto"/>
            <w:noWrap/>
            <w:vAlign w:val="bottom"/>
            <w:hideMark/>
          </w:tcPr>
          <w:p w14:paraId="03500C4A" w14:textId="0ACB26C2" w:rsidR="00FF5EA5" w:rsidRPr="005F3D57" w:rsidRDefault="00466277" w:rsidP="00FF5EA5">
            <w:pPr>
              <w:jc w:val="center"/>
              <w:rPr>
                <w:rFonts w:ascii="Arial Narrow" w:hAnsi="Arial Narrow"/>
                <w:color w:val="000000"/>
                <w:sz w:val="20"/>
                <w:szCs w:val="20"/>
                <w:lang w:eastAsia="en-GB"/>
              </w:rPr>
            </w:pPr>
            <w:r>
              <w:rPr>
                <w:rFonts w:ascii="Arial Narrow" w:hAnsi="Arial Narrow"/>
                <w:color w:val="000000"/>
                <w:sz w:val="20"/>
                <w:szCs w:val="20"/>
                <w:lang w:eastAsia="en-GB"/>
              </w:rPr>
              <w:t>10</w:t>
            </w:r>
            <w:r w:rsidR="00FF5EA5" w:rsidRPr="005F3D57">
              <w:rPr>
                <w:rFonts w:ascii="Arial Narrow" w:hAnsi="Arial Narrow"/>
                <w:color w:val="000000"/>
                <w:sz w:val="20"/>
                <w:szCs w:val="20"/>
                <w:lang w:eastAsia="en-GB"/>
              </w:rPr>
              <w:t>.</w:t>
            </w:r>
            <w:r>
              <w:rPr>
                <w:rFonts w:ascii="Arial Narrow" w:hAnsi="Arial Narrow"/>
                <w:color w:val="000000"/>
                <w:sz w:val="20"/>
                <w:szCs w:val="20"/>
                <w:lang w:eastAsia="en-GB"/>
              </w:rPr>
              <w:t>6</w:t>
            </w:r>
          </w:p>
        </w:tc>
        <w:tc>
          <w:tcPr>
            <w:tcW w:w="943" w:type="pct"/>
            <w:tcBorders>
              <w:top w:val="single" w:sz="4" w:space="0" w:color="auto"/>
              <w:left w:val="nil"/>
              <w:bottom w:val="single" w:sz="4" w:space="0" w:color="auto"/>
              <w:right w:val="single" w:sz="4" w:space="0" w:color="auto"/>
            </w:tcBorders>
            <w:shd w:val="clear" w:color="auto" w:fill="auto"/>
            <w:noWrap/>
            <w:vAlign w:val="bottom"/>
            <w:hideMark/>
          </w:tcPr>
          <w:p w14:paraId="30F4345F" w14:textId="69C78ED1" w:rsidR="00FF5EA5" w:rsidRPr="005F3D57" w:rsidRDefault="00466277" w:rsidP="00FF5EA5">
            <w:pPr>
              <w:jc w:val="center"/>
              <w:rPr>
                <w:rFonts w:ascii="Arial Narrow" w:hAnsi="Arial Narrow"/>
                <w:color w:val="000000"/>
                <w:sz w:val="20"/>
                <w:szCs w:val="20"/>
                <w:lang w:eastAsia="en-GB"/>
              </w:rPr>
            </w:pPr>
            <w:r>
              <w:rPr>
                <w:rFonts w:ascii="Arial Narrow" w:hAnsi="Arial Narrow"/>
                <w:color w:val="000000"/>
                <w:sz w:val="20"/>
                <w:szCs w:val="20"/>
                <w:lang w:eastAsia="en-GB"/>
              </w:rPr>
              <w:t>10</w:t>
            </w:r>
            <w:r w:rsidR="00FF5EA5" w:rsidRPr="005F3D57">
              <w:rPr>
                <w:rFonts w:ascii="Arial Narrow" w:hAnsi="Arial Narrow"/>
                <w:color w:val="000000"/>
                <w:sz w:val="20"/>
                <w:szCs w:val="20"/>
                <w:lang w:eastAsia="en-GB"/>
              </w:rPr>
              <w:t>.</w:t>
            </w:r>
            <w:r>
              <w:rPr>
                <w:rFonts w:ascii="Arial Narrow" w:hAnsi="Arial Narrow"/>
                <w:color w:val="000000"/>
                <w:sz w:val="20"/>
                <w:szCs w:val="20"/>
                <w:lang w:eastAsia="en-GB"/>
              </w:rPr>
              <w:t>4</w:t>
            </w:r>
          </w:p>
        </w:tc>
        <w:tc>
          <w:tcPr>
            <w:tcW w:w="684" w:type="pct"/>
            <w:tcBorders>
              <w:top w:val="single" w:sz="4" w:space="0" w:color="auto"/>
              <w:left w:val="nil"/>
              <w:bottom w:val="single" w:sz="4" w:space="0" w:color="auto"/>
              <w:right w:val="single" w:sz="4" w:space="0" w:color="auto"/>
            </w:tcBorders>
            <w:shd w:val="clear" w:color="auto" w:fill="auto"/>
            <w:noWrap/>
            <w:vAlign w:val="bottom"/>
            <w:hideMark/>
          </w:tcPr>
          <w:p w14:paraId="2389F0EA" w14:textId="6BD99DD9" w:rsidR="00FF5EA5" w:rsidRPr="005F3D57" w:rsidRDefault="00466277" w:rsidP="00FF5EA5">
            <w:pPr>
              <w:jc w:val="center"/>
              <w:rPr>
                <w:rFonts w:ascii="Arial Narrow" w:hAnsi="Arial Narrow"/>
                <w:color w:val="000000"/>
                <w:sz w:val="20"/>
                <w:szCs w:val="20"/>
                <w:lang w:eastAsia="en-GB"/>
              </w:rPr>
            </w:pPr>
            <w:r>
              <w:rPr>
                <w:rFonts w:ascii="Arial Narrow" w:hAnsi="Arial Narrow"/>
                <w:color w:val="000000"/>
                <w:sz w:val="20"/>
                <w:szCs w:val="20"/>
                <w:lang w:eastAsia="en-GB"/>
              </w:rPr>
              <w:t>10.6</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7DEC07A9" w14:textId="72952DA0" w:rsidR="00FF5EA5" w:rsidRPr="005F3D57" w:rsidRDefault="00466277" w:rsidP="00FF5EA5">
            <w:pPr>
              <w:jc w:val="center"/>
              <w:rPr>
                <w:rFonts w:ascii="Arial Narrow" w:hAnsi="Arial Narrow"/>
                <w:color w:val="000000"/>
                <w:sz w:val="20"/>
                <w:szCs w:val="20"/>
                <w:lang w:eastAsia="en-GB"/>
              </w:rPr>
            </w:pPr>
            <w:r>
              <w:rPr>
                <w:rFonts w:ascii="Arial Narrow" w:hAnsi="Arial Narrow"/>
                <w:color w:val="000000"/>
                <w:sz w:val="20"/>
                <w:szCs w:val="20"/>
                <w:lang w:eastAsia="en-GB"/>
              </w:rPr>
              <w:t>10.4</w:t>
            </w:r>
          </w:p>
        </w:tc>
      </w:tr>
    </w:tbl>
    <w:p w14:paraId="0D3C02F1" w14:textId="6347B9EB" w:rsidR="00E92133" w:rsidRPr="00E92133" w:rsidRDefault="00E92133" w:rsidP="00D73B8B">
      <w:pPr>
        <w:pStyle w:val="source0"/>
      </w:pPr>
      <w:r w:rsidRPr="00E92133">
        <w:t xml:space="preserve">Burimi: </w:t>
      </w:r>
      <w:r w:rsidR="00466277">
        <w:t>AMMK, 2021 dhe 2022</w:t>
      </w:r>
    </w:p>
    <w:p w14:paraId="0284F266" w14:textId="77777777" w:rsidR="00FF5EA5" w:rsidRPr="00817F23" w:rsidRDefault="00FF5EA5" w:rsidP="00FF5EA5">
      <w:pPr>
        <w:rPr>
          <w:sz w:val="22"/>
          <w:szCs w:val="22"/>
        </w:rPr>
      </w:pPr>
    </w:p>
    <w:p w14:paraId="4153D5AC" w14:textId="26718BB8" w:rsidR="00FF5EA5" w:rsidRDefault="00FF5EA5" w:rsidP="00D73B8B">
      <w:pPr>
        <w:pStyle w:val="Paragraph"/>
        <w:rPr>
          <w:lang w:val="bg-BG"/>
        </w:rPr>
      </w:pPr>
      <w:r w:rsidRPr="00817F23">
        <w:t xml:space="preserve">Tabela e mëposhtme përmbledh të </w:t>
      </w:r>
      <w:r w:rsidR="00835A80">
        <w:t>hyrat</w:t>
      </w:r>
      <w:r w:rsidRPr="00817F23">
        <w:t xml:space="preserve"> aktuale nga tarifat e mbeturinave nga personat juridikë:</w:t>
      </w:r>
    </w:p>
    <w:p w14:paraId="4838FE2E" w14:textId="08D48824" w:rsidR="00FF5EA5" w:rsidRPr="007F50ED" w:rsidRDefault="00FF5EA5" w:rsidP="007F50ED">
      <w:pPr>
        <w:suppressAutoHyphens/>
        <w:rPr>
          <w:rFonts w:ascii="Arial Narrow" w:eastAsia="Calibri" w:hAnsi="Arial Narrow" w:cs="Calibri"/>
          <w:color w:val="1F497D"/>
          <w:sz w:val="20"/>
          <w:szCs w:val="20"/>
        </w:rPr>
      </w:pPr>
      <w:bookmarkStart w:id="233" w:name="_Toc197472220"/>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35.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 xml:space="preserve">Të </w:t>
      </w:r>
      <w:r w:rsidR="00835A80">
        <w:rPr>
          <w:rFonts w:ascii="Arial Narrow" w:eastAsia="Calibri" w:hAnsi="Arial Narrow" w:cs="Calibri"/>
          <w:color w:val="1F497D"/>
          <w:sz w:val="20"/>
          <w:szCs w:val="20"/>
        </w:rPr>
        <w:t>hyrat</w:t>
      </w:r>
      <w:r w:rsidRPr="007F50ED">
        <w:rPr>
          <w:rFonts w:ascii="Arial Narrow" w:eastAsia="Calibri" w:hAnsi="Arial Narrow" w:cs="Calibri"/>
          <w:color w:val="1F497D"/>
          <w:sz w:val="20"/>
          <w:szCs w:val="20"/>
        </w:rPr>
        <w:t xml:space="preserve"> aktuale nga tarifa e mbeturinave nga personat juridikë</w:t>
      </w:r>
      <w:bookmarkEnd w:id="233"/>
    </w:p>
    <w:tbl>
      <w:tblPr>
        <w:tblW w:w="5000" w:type="pct"/>
        <w:tblLook w:val="04A0" w:firstRow="1" w:lastRow="0" w:firstColumn="1" w:lastColumn="0" w:noHBand="0" w:noVBand="1"/>
      </w:tblPr>
      <w:tblGrid>
        <w:gridCol w:w="1837"/>
        <w:gridCol w:w="2101"/>
        <w:gridCol w:w="1295"/>
        <w:gridCol w:w="1295"/>
        <w:gridCol w:w="1244"/>
        <w:gridCol w:w="1244"/>
      </w:tblGrid>
      <w:tr w:rsidR="000D110F" w:rsidRPr="000D110F" w14:paraId="1BD60540" w14:textId="77777777" w:rsidTr="006347D6">
        <w:trPr>
          <w:trHeight w:val="197"/>
          <w:tblHeader/>
        </w:trPr>
        <w:tc>
          <w:tcPr>
            <w:tcW w:w="1019" w:type="pct"/>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4D7BFB42" w14:textId="53F965E0" w:rsidR="00FF5EA5" w:rsidRPr="000D110F" w:rsidRDefault="00FF5EA5" w:rsidP="000D110F">
            <w:pP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Viti</w:t>
            </w:r>
          </w:p>
        </w:tc>
        <w:tc>
          <w:tcPr>
            <w:tcW w:w="1165" w:type="pct"/>
            <w:tcBorders>
              <w:top w:val="single" w:sz="4" w:space="0" w:color="auto"/>
              <w:left w:val="nil"/>
              <w:bottom w:val="single" w:sz="4" w:space="0" w:color="auto"/>
              <w:right w:val="single" w:sz="4" w:space="0" w:color="auto"/>
            </w:tcBorders>
            <w:shd w:val="clear" w:color="auto" w:fill="365F91"/>
            <w:noWrap/>
            <w:vAlign w:val="bottom"/>
            <w:hideMark/>
          </w:tcPr>
          <w:p w14:paraId="2862F6EF" w14:textId="7ADA7822" w:rsidR="00FF5EA5" w:rsidRPr="000D110F" w:rsidRDefault="00826494"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Deçan</w:t>
            </w:r>
          </w:p>
        </w:tc>
        <w:tc>
          <w:tcPr>
            <w:tcW w:w="718" w:type="pct"/>
            <w:tcBorders>
              <w:top w:val="single" w:sz="4" w:space="0" w:color="auto"/>
              <w:left w:val="nil"/>
              <w:bottom w:val="single" w:sz="4" w:space="0" w:color="auto"/>
              <w:right w:val="single" w:sz="4" w:space="0" w:color="auto"/>
            </w:tcBorders>
            <w:shd w:val="clear" w:color="auto" w:fill="365F91"/>
            <w:noWrap/>
            <w:vAlign w:val="bottom"/>
            <w:hideMark/>
          </w:tcPr>
          <w:p w14:paraId="77A7EE23" w14:textId="77777777" w:rsidR="00FF5EA5" w:rsidRPr="000D110F" w:rsidRDefault="00FF5EA5"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Istog</w:t>
            </w:r>
          </w:p>
        </w:tc>
        <w:tc>
          <w:tcPr>
            <w:tcW w:w="718" w:type="pct"/>
            <w:tcBorders>
              <w:top w:val="single" w:sz="4" w:space="0" w:color="auto"/>
              <w:left w:val="nil"/>
              <w:bottom w:val="single" w:sz="4" w:space="0" w:color="auto"/>
              <w:right w:val="single" w:sz="4" w:space="0" w:color="auto"/>
            </w:tcBorders>
            <w:shd w:val="clear" w:color="auto" w:fill="365F91"/>
            <w:noWrap/>
            <w:vAlign w:val="bottom"/>
            <w:hideMark/>
          </w:tcPr>
          <w:p w14:paraId="0067A137" w14:textId="6FBC770F" w:rsidR="00FF5EA5" w:rsidRPr="000D110F" w:rsidRDefault="00FF5EA5"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Klin</w:t>
            </w:r>
            <w:r w:rsidR="00835A80">
              <w:rPr>
                <w:rFonts w:ascii="Arial Narrow" w:hAnsi="Arial Narrow"/>
                <w:b/>
                <w:bCs/>
                <w:color w:val="FFFFFF" w:themeColor="background1"/>
                <w:sz w:val="20"/>
                <w:szCs w:val="20"/>
                <w:lang w:eastAsia="en-GB"/>
              </w:rPr>
              <w:t>ë</w:t>
            </w:r>
          </w:p>
        </w:tc>
        <w:tc>
          <w:tcPr>
            <w:tcW w:w="690" w:type="pct"/>
            <w:tcBorders>
              <w:top w:val="single" w:sz="4" w:space="0" w:color="auto"/>
              <w:left w:val="nil"/>
              <w:bottom w:val="single" w:sz="4" w:space="0" w:color="auto"/>
              <w:right w:val="single" w:sz="4" w:space="0" w:color="auto"/>
            </w:tcBorders>
            <w:shd w:val="clear" w:color="auto" w:fill="365F91"/>
            <w:noWrap/>
            <w:vAlign w:val="bottom"/>
            <w:hideMark/>
          </w:tcPr>
          <w:p w14:paraId="22A06F0F" w14:textId="22943863" w:rsidR="00FF5EA5" w:rsidRPr="000D110F" w:rsidRDefault="00D56660"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Pejë</w:t>
            </w:r>
          </w:p>
        </w:tc>
        <w:tc>
          <w:tcPr>
            <w:tcW w:w="690" w:type="pct"/>
            <w:tcBorders>
              <w:top w:val="single" w:sz="4" w:space="0" w:color="auto"/>
              <w:left w:val="nil"/>
              <w:bottom w:val="single" w:sz="4" w:space="0" w:color="auto"/>
              <w:right w:val="single" w:sz="4" w:space="0" w:color="auto"/>
            </w:tcBorders>
            <w:shd w:val="clear" w:color="auto" w:fill="365F91"/>
            <w:noWrap/>
            <w:vAlign w:val="bottom"/>
            <w:hideMark/>
          </w:tcPr>
          <w:p w14:paraId="7FD14F24" w14:textId="77777777" w:rsidR="00FF5EA5" w:rsidRPr="000D110F" w:rsidRDefault="00FF5EA5" w:rsidP="00FF5EA5">
            <w:pPr>
              <w:jc w:val="center"/>
              <w:rPr>
                <w:rFonts w:ascii="Arial Narrow" w:hAnsi="Arial Narrow"/>
                <w:b/>
                <w:bCs/>
                <w:color w:val="FFFFFF" w:themeColor="background1"/>
                <w:sz w:val="20"/>
                <w:szCs w:val="20"/>
                <w:lang w:eastAsia="en-GB"/>
              </w:rPr>
            </w:pPr>
            <w:r w:rsidRPr="000D110F">
              <w:rPr>
                <w:rFonts w:ascii="Arial Narrow" w:hAnsi="Arial Narrow"/>
                <w:b/>
                <w:bCs/>
                <w:color w:val="FFFFFF" w:themeColor="background1"/>
                <w:sz w:val="20"/>
                <w:szCs w:val="20"/>
                <w:lang w:eastAsia="en-GB"/>
              </w:rPr>
              <w:t>Junik</w:t>
            </w:r>
          </w:p>
        </w:tc>
      </w:tr>
      <w:tr w:rsidR="00FF5EA5" w:rsidRPr="005F3D57" w14:paraId="618590FF" w14:textId="77777777" w:rsidTr="004A40AC">
        <w:trPr>
          <w:trHeight w:val="290"/>
        </w:trPr>
        <w:tc>
          <w:tcPr>
            <w:tcW w:w="1019" w:type="pct"/>
            <w:tcBorders>
              <w:top w:val="nil"/>
              <w:left w:val="single" w:sz="4" w:space="0" w:color="auto"/>
              <w:bottom w:val="single" w:sz="4" w:space="0" w:color="auto"/>
              <w:right w:val="single" w:sz="4" w:space="0" w:color="auto"/>
            </w:tcBorders>
            <w:shd w:val="clear" w:color="auto" w:fill="auto"/>
            <w:noWrap/>
            <w:vAlign w:val="bottom"/>
            <w:hideMark/>
          </w:tcPr>
          <w:p w14:paraId="7C9434C0" w14:textId="77777777" w:rsidR="00FF5EA5" w:rsidRPr="005F3D57" w:rsidRDefault="00FF5EA5" w:rsidP="004A40AC">
            <w:pPr>
              <w:rPr>
                <w:rFonts w:ascii="Arial Narrow" w:hAnsi="Arial Narrow"/>
                <w:color w:val="000000"/>
                <w:sz w:val="20"/>
                <w:szCs w:val="20"/>
                <w:lang w:eastAsia="en-GB"/>
              </w:rPr>
            </w:pPr>
            <w:r w:rsidRPr="005F3D57">
              <w:rPr>
                <w:rFonts w:ascii="Arial Narrow" w:hAnsi="Arial Narrow"/>
                <w:color w:val="000000"/>
                <w:sz w:val="20"/>
                <w:szCs w:val="20"/>
                <w:lang w:eastAsia="en-GB"/>
              </w:rPr>
              <w:t>2021</w:t>
            </w:r>
          </w:p>
        </w:tc>
        <w:tc>
          <w:tcPr>
            <w:tcW w:w="1165" w:type="pct"/>
            <w:tcBorders>
              <w:top w:val="nil"/>
              <w:left w:val="nil"/>
              <w:bottom w:val="single" w:sz="4" w:space="0" w:color="auto"/>
              <w:right w:val="single" w:sz="4" w:space="0" w:color="auto"/>
            </w:tcBorders>
            <w:shd w:val="clear" w:color="auto" w:fill="auto"/>
            <w:vAlign w:val="center"/>
            <w:hideMark/>
          </w:tcPr>
          <w:p w14:paraId="5CB8950C" w14:textId="2DDA5E9A" w:rsidR="00FF5EA5" w:rsidRPr="005F3D57" w:rsidRDefault="008735EF" w:rsidP="004A40AC">
            <w:pPr>
              <w:jc w:val="center"/>
              <w:rPr>
                <w:rFonts w:ascii="Arial Narrow" w:hAnsi="Arial Narrow" w:cs="Calibri"/>
                <w:sz w:val="20"/>
                <w:szCs w:val="20"/>
                <w:lang w:eastAsia="en-GB"/>
              </w:rPr>
            </w:pPr>
            <w:r>
              <w:rPr>
                <w:rFonts w:ascii="Arial Narrow" w:hAnsi="Arial Narrow" w:cs="Calibri"/>
                <w:sz w:val="20"/>
                <w:szCs w:val="20"/>
                <w:lang w:val="en" w:eastAsia="en-GB"/>
              </w:rPr>
              <w:t>123</w:t>
            </w:r>
            <w:r w:rsidR="00FF5EA5" w:rsidRPr="005F3D57">
              <w:rPr>
                <w:rFonts w:ascii="Arial Narrow" w:hAnsi="Arial Narrow" w:cs="Calibri"/>
                <w:sz w:val="20"/>
                <w:szCs w:val="20"/>
                <w:lang w:val="en" w:eastAsia="en-GB"/>
              </w:rPr>
              <w:t>,</w:t>
            </w:r>
            <w:r>
              <w:rPr>
                <w:rFonts w:ascii="Arial Narrow" w:hAnsi="Arial Narrow" w:cs="Calibri"/>
                <w:sz w:val="20"/>
                <w:szCs w:val="20"/>
                <w:lang w:val="en" w:eastAsia="en-GB"/>
              </w:rPr>
              <w:t>588</w:t>
            </w:r>
          </w:p>
        </w:tc>
        <w:tc>
          <w:tcPr>
            <w:tcW w:w="718" w:type="pct"/>
            <w:tcBorders>
              <w:top w:val="nil"/>
              <w:left w:val="nil"/>
              <w:bottom w:val="single" w:sz="4" w:space="0" w:color="auto"/>
              <w:right w:val="single" w:sz="4" w:space="0" w:color="auto"/>
            </w:tcBorders>
            <w:shd w:val="clear" w:color="auto" w:fill="auto"/>
            <w:vAlign w:val="center"/>
            <w:hideMark/>
          </w:tcPr>
          <w:p w14:paraId="303ACB65" w14:textId="21FDBB5C" w:rsidR="00FF5EA5" w:rsidRPr="005F3D57" w:rsidRDefault="00FF5EA5" w:rsidP="004A40AC">
            <w:pPr>
              <w:jc w:val="center"/>
              <w:rPr>
                <w:rFonts w:ascii="Arial Narrow" w:hAnsi="Arial Narrow" w:cs="Calibri"/>
                <w:sz w:val="20"/>
                <w:szCs w:val="20"/>
                <w:lang w:eastAsia="en-GB"/>
              </w:rPr>
            </w:pPr>
            <w:r w:rsidRPr="005F3D57">
              <w:rPr>
                <w:rFonts w:ascii="Arial Narrow" w:hAnsi="Arial Narrow" w:cs="Calibri"/>
                <w:sz w:val="20"/>
                <w:szCs w:val="20"/>
                <w:lang w:val="en" w:eastAsia="en-GB"/>
              </w:rPr>
              <w:t>1</w:t>
            </w:r>
            <w:r w:rsidR="008735EF">
              <w:rPr>
                <w:rFonts w:ascii="Arial Narrow" w:hAnsi="Arial Narrow" w:cs="Calibri"/>
                <w:sz w:val="20"/>
                <w:szCs w:val="20"/>
                <w:lang w:val="en" w:eastAsia="en-GB"/>
              </w:rPr>
              <w:t>54</w:t>
            </w:r>
            <w:r w:rsidRPr="005F3D57">
              <w:rPr>
                <w:rFonts w:ascii="Arial Narrow" w:hAnsi="Arial Narrow" w:cs="Calibri"/>
                <w:sz w:val="20"/>
                <w:szCs w:val="20"/>
                <w:lang w:val="en" w:eastAsia="en-GB"/>
              </w:rPr>
              <w:t>,</w:t>
            </w:r>
            <w:r w:rsidR="008735EF">
              <w:rPr>
                <w:rFonts w:ascii="Arial Narrow" w:hAnsi="Arial Narrow" w:cs="Calibri"/>
                <w:sz w:val="20"/>
                <w:szCs w:val="20"/>
                <w:lang w:val="en" w:eastAsia="en-GB"/>
              </w:rPr>
              <w:t>710</w:t>
            </w:r>
          </w:p>
        </w:tc>
        <w:tc>
          <w:tcPr>
            <w:tcW w:w="718" w:type="pct"/>
            <w:tcBorders>
              <w:top w:val="nil"/>
              <w:left w:val="nil"/>
              <w:bottom w:val="single" w:sz="4" w:space="0" w:color="auto"/>
              <w:right w:val="single" w:sz="4" w:space="0" w:color="auto"/>
            </w:tcBorders>
            <w:shd w:val="clear" w:color="auto" w:fill="auto"/>
            <w:vAlign w:val="center"/>
            <w:hideMark/>
          </w:tcPr>
          <w:p w14:paraId="5A99B9F5" w14:textId="21712717" w:rsidR="00FF5EA5" w:rsidRPr="005F3D57" w:rsidRDefault="008735EF" w:rsidP="004A40AC">
            <w:pPr>
              <w:jc w:val="center"/>
              <w:rPr>
                <w:rFonts w:ascii="Arial Narrow" w:hAnsi="Arial Narrow" w:cs="Calibri"/>
                <w:sz w:val="20"/>
                <w:szCs w:val="20"/>
                <w:lang w:eastAsia="en-GB"/>
              </w:rPr>
            </w:pPr>
            <w:r>
              <w:rPr>
                <w:rFonts w:ascii="Arial Narrow" w:hAnsi="Arial Narrow" w:cs="Calibri"/>
                <w:sz w:val="20"/>
                <w:szCs w:val="20"/>
                <w:lang w:val="en" w:eastAsia="en-GB"/>
              </w:rPr>
              <w:t>122</w:t>
            </w:r>
            <w:r w:rsidR="00FF5EA5" w:rsidRPr="005F3D57">
              <w:rPr>
                <w:rFonts w:ascii="Arial Narrow" w:hAnsi="Arial Narrow" w:cs="Calibri"/>
                <w:sz w:val="20"/>
                <w:szCs w:val="20"/>
                <w:lang w:val="en" w:eastAsia="en-GB"/>
              </w:rPr>
              <w:t>,</w:t>
            </w:r>
            <w:r>
              <w:rPr>
                <w:rFonts w:ascii="Arial Narrow" w:hAnsi="Arial Narrow" w:cs="Calibri"/>
                <w:sz w:val="20"/>
                <w:szCs w:val="20"/>
                <w:lang w:val="en" w:eastAsia="en-GB"/>
              </w:rPr>
              <w:t>286</w:t>
            </w:r>
          </w:p>
        </w:tc>
        <w:tc>
          <w:tcPr>
            <w:tcW w:w="690" w:type="pct"/>
            <w:tcBorders>
              <w:top w:val="nil"/>
              <w:left w:val="nil"/>
              <w:bottom w:val="single" w:sz="4" w:space="0" w:color="auto"/>
              <w:right w:val="single" w:sz="4" w:space="0" w:color="auto"/>
            </w:tcBorders>
            <w:shd w:val="clear" w:color="auto" w:fill="auto"/>
            <w:vAlign w:val="center"/>
            <w:hideMark/>
          </w:tcPr>
          <w:p w14:paraId="567FC4CB" w14:textId="06353541" w:rsidR="00FF5EA5" w:rsidRPr="005F3D57" w:rsidRDefault="00FF5EA5" w:rsidP="004A40AC">
            <w:pPr>
              <w:jc w:val="center"/>
              <w:rPr>
                <w:rFonts w:ascii="Arial Narrow" w:hAnsi="Arial Narrow" w:cs="Calibri"/>
                <w:sz w:val="20"/>
                <w:szCs w:val="20"/>
                <w:lang w:eastAsia="en-GB"/>
              </w:rPr>
            </w:pPr>
            <w:r w:rsidRPr="005F3D57">
              <w:rPr>
                <w:rFonts w:ascii="Arial Narrow" w:hAnsi="Arial Narrow" w:cs="Calibri"/>
                <w:sz w:val="20"/>
                <w:szCs w:val="20"/>
                <w:lang w:val="en" w:eastAsia="en-GB"/>
              </w:rPr>
              <w:t>3</w:t>
            </w:r>
            <w:r w:rsidR="008735EF">
              <w:rPr>
                <w:rFonts w:ascii="Arial Narrow" w:hAnsi="Arial Narrow" w:cs="Calibri"/>
                <w:sz w:val="20"/>
                <w:szCs w:val="20"/>
                <w:lang w:val="en" w:eastAsia="en-GB"/>
              </w:rPr>
              <w:t>81</w:t>
            </w:r>
            <w:r w:rsidRPr="005F3D57">
              <w:rPr>
                <w:rFonts w:ascii="Arial Narrow" w:hAnsi="Arial Narrow" w:cs="Calibri"/>
                <w:sz w:val="20"/>
                <w:szCs w:val="20"/>
                <w:lang w:val="en" w:eastAsia="en-GB"/>
              </w:rPr>
              <w:t>,</w:t>
            </w:r>
            <w:r w:rsidR="008735EF">
              <w:rPr>
                <w:rFonts w:ascii="Arial Narrow" w:hAnsi="Arial Narrow" w:cs="Calibri"/>
                <w:sz w:val="20"/>
                <w:szCs w:val="20"/>
                <w:lang w:val="en" w:eastAsia="en-GB"/>
              </w:rPr>
              <w:t>654</w:t>
            </w:r>
          </w:p>
        </w:tc>
        <w:tc>
          <w:tcPr>
            <w:tcW w:w="690" w:type="pct"/>
            <w:tcBorders>
              <w:top w:val="nil"/>
              <w:left w:val="nil"/>
              <w:bottom w:val="single" w:sz="4" w:space="0" w:color="auto"/>
              <w:right w:val="single" w:sz="4" w:space="0" w:color="auto"/>
            </w:tcBorders>
            <w:shd w:val="clear" w:color="auto" w:fill="auto"/>
            <w:vAlign w:val="center"/>
            <w:hideMark/>
          </w:tcPr>
          <w:p w14:paraId="7EAD82F3" w14:textId="77777777" w:rsidR="00FF5EA5" w:rsidRPr="005F3D57" w:rsidRDefault="00FF5EA5" w:rsidP="004A40AC">
            <w:pPr>
              <w:jc w:val="center"/>
              <w:rPr>
                <w:rFonts w:ascii="Arial Narrow" w:hAnsi="Arial Narrow" w:cs="Calibri"/>
                <w:sz w:val="20"/>
                <w:szCs w:val="20"/>
                <w:lang w:eastAsia="en-GB"/>
              </w:rPr>
            </w:pPr>
            <w:r w:rsidRPr="005F3D57">
              <w:rPr>
                <w:rFonts w:ascii="Arial Narrow" w:hAnsi="Arial Narrow" w:cs="Calibri"/>
                <w:sz w:val="20"/>
                <w:szCs w:val="20"/>
                <w:lang w:eastAsia="en-GB"/>
              </w:rPr>
              <w:t>15,767</w:t>
            </w:r>
          </w:p>
        </w:tc>
      </w:tr>
      <w:tr w:rsidR="00FF5EA5" w:rsidRPr="005F3D57" w14:paraId="4751C0A5" w14:textId="77777777" w:rsidTr="004A40AC">
        <w:trPr>
          <w:trHeight w:val="290"/>
        </w:trPr>
        <w:tc>
          <w:tcPr>
            <w:tcW w:w="1019" w:type="pct"/>
            <w:tcBorders>
              <w:top w:val="nil"/>
              <w:left w:val="single" w:sz="4" w:space="0" w:color="auto"/>
              <w:bottom w:val="single" w:sz="4" w:space="0" w:color="auto"/>
              <w:right w:val="single" w:sz="4" w:space="0" w:color="auto"/>
            </w:tcBorders>
            <w:shd w:val="clear" w:color="auto" w:fill="auto"/>
            <w:noWrap/>
            <w:vAlign w:val="bottom"/>
            <w:hideMark/>
          </w:tcPr>
          <w:p w14:paraId="5C18760E" w14:textId="77777777" w:rsidR="00FF5EA5" w:rsidRPr="005F3D57" w:rsidRDefault="00FF5EA5" w:rsidP="004A40AC">
            <w:pPr>
              <w:rPr>
                <w:rFonts w:ascii="Arial Narrow" w:hAnsi="Arial Narrow"/>
                <w:color w:val="000000"/>
                <w:sz w:val="20"/>
                <w:szCs w:val="20"/>
                <w:lang w:eastAsia="en-GB"/>
              </w:rPr>
            </w:pPr>
            <w:r w:rsidRPr="005F3D57">
              <w:rPr>
                <w:rFonts w:ascii="Arial Narrow" w:hAnsi="Arial Narrow"/>
                <w:color w:val="000000"/>
                <w:sz w:val="20"/>
                <w:szCs w:val="20"/>
                <w:lang w:eastAsia="en-GB"/>
              </w:rPr>
              <w:t>2022</w:t>
            </w:r>
          </w:p>
        </w:tc>
        <w:tc>
          <w:tcPr>
            <w:tcW w:w="1165" w:type="pct"/>
            <w:tcBorders>
              <w:top w:val="nil"/>
              <w:left w:val="nil"/>
              <w:bottom w:val="single" w:sz="4" w:space="0" w:color="auto"/>
              <w:right w:val="single" w:sz="4" w:space="0" w:color="auto"/>
            </w:tcBorders>
            <w:shd w:val="clear" w:color="auto" w:fill="auto"/>
            <w:vAlign w:val="center"/>
            <w:hideMark/>
          </w:tcPr>
          <w:p w14:paraId="3175D4BF" w14:textId="38A65956" w:rsidR="00FF5EA5" w:rsidRPr="005F3D57" w:rsidRDefault="00FF5EA5" w:rsidP="004A40AC">
            <w:pPr>
              <w:jc w:val="center"/>
              <w:rPr>
                <w:rFonts w:ascii="Arial Narrow" w:hAnsi="Arial Narrow" w:cs="Calibri"/>
                <w:sz w:val="20"/>
                <w:szCs w:val="20"/>
                <w:lang w:eastAsia="en-GB"/>
              </w:rPr>
            </w:pPr>
            <w:r w:rsidRPr="005F3D57">
              <w:rPr>
                <w:rFonts w:ascii="Arial Narrow" w:hAnsi="Arial Narrow" w:cs="Calibri"/>
                <w:sz w:val="20"/>
                <w:szCs w:val="20"/>
                <w:lang w:val="en" w:eastAsia="en-GB"/>
              </w:rPr>
              <w:t>2</w:t>
            </w:r>
            <w:r w:rsidR="008735EF">
              <w:rPr>
                <w:rFonts w:ascii="Arial Narrow" w:hAnsi="Arial Narrow" w:cs="Calibri"/>
                <w:sz w:val="20"/>
                <w:szCs w:val="20"/>
                <w:lang w:val="en" w:eastAsia="en-GB"/>
              </w:rPr>
              <w:t>81</w:t>
            </w:r>
            <w:r w:rsidRPr="005F3D57">
              <w:rPr>
                <w:rFonts w:ascii="Arial Narrow" w:hAnsi="Arial Narrow" w:cs="Calibri"/>
                <w:sz w:val="20"/>
                <w:szCs w:val="20"/>
                <w:lang w:val="en" w:eastAsia="en-GB"/>
              </w:rPr>
              <w:t>,</w:t>
            </w:r>
            <w:r w:rsidR="008735EF">
              <w:rPr>
                <w:rFonts w:ascii="Arial Narrow" w:hAnsi="Arial Narrow" w:cs="Calibri"/>
                <w:sz w:val="20"/>
                <w:szCs w:val="20"/>
                <w:lang w:val="en" w:eastAsia="en-GB"/>
              </w:rPr>
              <w:t>585</w:t>
            </w:r>
          </w:p>
        </w:tc>
        <w:tc>
          <w:tcPr>
            <w:tcW w:w="718" w:type="pct"/>
            <w:tcBorders>
              <w:top w:val="nil"/>
              <w:left w:val="nil"/>
              <w:bottom w:val="single" w:sz="4" w:space="0" w:color="auto"/>
              <w:right w:val="single" w:sz="4" w:space="0" w:color="auto"/>
            </w:tcBorders>
            <w:shd w:val="clear" w:color="auto" w:fill="auto"/>
            <w:vAlign w:val="center"/>
            <w:hideMark/>
          </w:tcPr>
          <w:p w14:paraId="106F7F2D" w14:textId="77777777" w:rsidR="00FF5EA5" w:rsidRPr="005F3D57" w:rsidRDefault="00FF5EA5" w:rsidP="004A40AC">
            <w:pPr>
              <w:jc w:val="center"/>
              <w:rPr>
                <w:rFonts w:ascii="Arial Narrow" w:hAnsi="Arial Narrow" w:cs="Calibri"/>
                <w:sz w:val="20"/>
                <w:szCs w:val="20"/>
                <w:lang w:eastAsia="en-GB"/>
              </w:rPr>
            </w:pPr>
            <w:r w:rsidRPr="005F3D57">
              <w:rPr>
                <w:rFonts w:ascii="Arial Narrow" w:hAnsi="Arial Narrow" w:cs="Calibri"/>
                <w:sz w:val="20"/>
                <w:szCs w:val="20"/>
                <w:lang w:val="en" w:eastAsia="en-GB"/>
              </w:rPr>
              <w:t>169,957</w:t>
            </w:r>
          </w:p>
        </w:tc>
        <w:tc>
          <w:tcPr>
            <w:tcW w:w="718" w:type="pct"/>
            <w:tcBorders>
              <w:top w:val="nil"/>
              <w:left w:val="nil"/>
              <w:bottom w:val="single" w:sz="4" w:space="0" w:color="auto"/>
              <w:right w:val="single" w:sz="4" w:space="0" w:color="auto"/>
            </w:tcBorders>
            <w:shd w:val="clear" w:color="auto" w:fill="auto"/>
            <w:vAlign w:val="center"/>
            <w:hideMark/>
          </w:tcPr>
          <w:p w14:paraId="206EA862" w14:textId="6101C1C0" w:rsidR="00FF5EA5" w:rsidRPr="005F3D57" w:rsidRDefault="008735EF" w:rsidP="004A40AC">
            <w:pPr>
              <w:jc w:val="center"/>
              <w:rPr>
                <w:rFonts w:ascii="Arial Narrow" w:hAnsi="Arial Narrow" w:cs="Calibri"/>
                <w:sz w:val="20"/>
                <w:szCs w:val="20"/>
                <w:lang w:eastAsia="en-GB"/>
              </w:rPr>
            </w:pPr>
            <w:r>
              <w:rPr>
                <w:rFonts w:ascii="Arial Narrow" w:hAnsi="Arial Narrow" w:cs="Calibri"/>
                <w:sz w:val="20"/>
                <w:szCs w:val="20"/>
                <w:lang w:val="en" w:eastAsia="en-GB"/>
              </w:rPr>
              <w:t>115</w:t>
            </w:r>
            <w:r w:rsidR="00FF5EA5" w:rsidRPr="005F3D57">
              <w:rPr>
                <w:rFonts w:ascii="Arial Narrow" w:hAnsi="Arial Narrow" w:cs="Calibri"/>
                <w:sz w:val="20"/>
                <w:szCs w:val="20"/>
                <w:lang w:val="en" w:eastAsia="en-GB"/>
              </w:rPr>
              <w:t>,</w:t>
            </w:r>
            <w:r>
              <w:rPr>
                <w:rFonts w:ascii="Arial Narrow" w:hAnsi="Arial Narrow" w:cs="Calibri"/>
                <w:sz w:val="20"/>
                <w:szCs w:val="20"/>
                <w:lang w:val="en" w:eastAsia="en-GB"/>
              </w:rPr>
              <w:t>196</w:t>
            </w:r>
          </w:p>
        </w:tc>
        <w:tc>
          <w:tcPr>
            <w:tcW w:w="690" w:type="pct"/>
            <w:tcBorders>
              <w:top w:val="nil"/>
              <w:left w:val="nil"/>
              <w:bottom w:val="single" w:sz="4" w:space="0" w:color="auto"/>
              <w:right w:val="single" w:sz="4" w:space="0" w:color="auto"/>
            </w:tcBorders>
            <w:shd w:val="clear" w:color="auto" w:fill="auto"/>
            <w:vAlign w:val="center"/>
            <w:hideMark/>
          </w:tcPr>
          <w:p w14:paraId="503E7292" w14:textId="4AEFAADD" w:rsidR="00FF5EA5" w:rsidRPr="005F3D57" w:rsidRDefault="008735EF" w:rsidP="004A40AC">
            <w:pPr>
              <w:jc w:val="center"/>
              <w:rPr>
                <w:rFonts w:ascii="Arial Narrow" w:hAnsi="Arial Narrow" w:cs="Calibri"/>
                <w:sz w:val="20"/>
                <w:szCs w:val="20"/>
                <w:lang w:eastAsia="en-GB"/>
              </w:rPr>
            </w:pPr>
            <w:r>
              <w:rPr>
                <w:rFonts w:ascii="Arial Narrow" w:hAnsi="Arial Narrow" w:cs="Calibri"/>
                <w:sz w:val="20"/>
                <w:szCs w:val="20"/>
                <w:lang w:val="en" w:eastAsia="en-GB"/>
              </w:rPr>
              <w:t>372</w:t>
            </w:r>
            <w:r w:rsidR="00FF5EA5" w:rsidRPr="005F3D57">
              <w:rPr>
                <w:rFonts w:ascii="Arial Narrow" w:hAnsi="Arial Narrow" w:cs="Calibri"/>
                <w:sz w:val="20"/>
                <w:szCs w:val="20"/>
                <w:lang w:val="en" w:eastAsia="en-GB"/>
              </w:rPr>
              <w:t>,</w:t>
            </w:r>
            <w:r>
              <w:rPr>
                <w:rFonts w:ascii="Arial Narrow" w:hAnsi="Arial Narrow" w:cs="Calibri"/>
                <w:sz w:val="20"/>
                <w:szCs w:val="20"/>
                <w:lang w:val="en" w:eastAsia="en-GB"/>
              </w:rPr>
              <w:t>018</w:t>
            </w:r>
          </w:p>
        </w:tc>
        <w:tc>
          <w:tcPr>
            <w:tcW w:w="690" w:type="pct"/>
            <w:tcBorders>
              <w:top w:val="nil"/>
              <w:left w:val="nil"/>
              <w:bottom w:val="single" w:sz="4" w:space="0" w:color="auto"/>
              <w:right w:val="single" w:sz="4" w:space="0" w:color="auto"/>
            </w:tcBorders>
            <w:shd w:val="clear" w:color="auto" w:fill="auto"/>
            <w:vAlign w:val="center"/>
            <w:hideMark/>
          </w:tcPr>
          <w:p w14:paraId="06BE2302" w14:textId="05B7BC50" w:rsidR="00FF5EA5" w:rsidRPr="005F3D57" w:rsidRDefault="00FF5EA5" w:rsidP="004A40AC">
            <w:pPr>
              <w:jc w:val="center"/>
              <w:rPr>
                <w:rFonts w:ascii="Arial Narrow" w:hAnsi="Arial Narrow" w:cs="Calibri"/>
                <w:sz w:val="20"/>
                <w:szCs w:val="20"/>
                <w:lang w:eastAsia="en-GB"/>
              </w:rPr>
            </w:pPr>
            <w:r w:rsidRPr="005F3D57">
              <w:rPr>
                <w:rFonts w:ascii="Arial Narrow" w:hAnsi="Arial Narrow" w:cs="Calibri"/>
                <w:sz w:val="20"/>
                <w:szCs w:val="20"/>
                <w:lang w:eastAsia="en-GB"/>
              </w:rPr>
              <w:t>15,5</w:t>
            </w:r>
            <w:r w:rsidR="008735EF">
              <w:rPr>
                <w:rFonts w:ascii="Arial Narrow" w:hAnsi="Arial Narrow" w:cs="Calibri"/>
                <w:sz w:val="20"/>
                <w:szCs w:val="20"/>
                <w:lang w:eastAsia="en-GB"/>
              </w:rPr>
              <w:t>60</w:t>
            </w:r>
          </w:p>
        </w:tc>
      </w:tr>
    </w:tbl>
    <w:p w14:paraId="52499A50" w14:textId="3B3A5121" w:rsidR="00E92133" w:rsidRPr="00E92133" w:rsidRDefault="00E92133" w:rsidP="00D73B8B">
      <w:pPr>
        <w:pStyle w:val="source0"/>
      </w:pPr>
      <w:r w:rsidRPr="00E92133">
        <w:t>Burimi:</w:t>
      </w:r>
      <w:r w:rsidR="00466277">
        <w:t>AMMK, 2021 dhe 2022</w:t>
      </w:r>
    </w:p>
    <w:p w14:paraId="1DA1D0EB" w14:textId="77777777" w:rsidR="00FF5EA5" w:rsidRDefault="00FF5EA5" w:rsidP="00FF5EA5">
      <w:pPr>
        <w:rPr>
          <w:sz w:val="22"/>
          <w:szCs w:val="22"/>
          <w:lang w:val="bg-BG"/>
        </w:rPr>
      </w:pPr>
    </w:p>
    <w:p w14:paraId="6EF68C6B" w14:textId="77777777" w:rsidR="00835A80" w:rsidRPr="008D2D8C" w:rsidRDefault="00835A80" w:rsidP="00835A80">
      <w:pPr>
        <w:pStyle w:val="Paragraph"/>
        <w:rPr>
          <w:lang w:val="sq-AL"/>
        </w:rPr>
      </w:pPr>
      <w:bookmarkStart w:id="234" w:name="_Toc153872132"/>
      <w:bookmarkStart w:id="235" w:name="_Toc170470837"/>
      <w:r w:rsidRPr="00561EA5">
        <w:rPr>
          <w:lang w:val="sq-AL"/>
        </w:rPr>
        <w:t>Shkalla e grumbullimit të tarifave të mbet</w:t>
      </w:r>
      <w:r>
        <w:rPr>
          <w:lang w:val="sq-AL"/>
        </w:rPr>
        <w:t>urinave</w:t>
      </w:r>
      <w:r w:rsidRPr="00561EA5">
        <w:rPr>
          <w:lang w:val="sq-AL"/>
        </w:rPr>
        <w:t xml:space="preserve"> (pagesat e faturuara/arkëtuara) është më e lartë se 90% si për </w:t>
      </w:r>
      <w:r>
        <w:rPr>
          <w:lang w:val="sq-AL"/>
        </w:rPr>
        <w:t>amvisëritë</w:t>
      </w:r>
      <w:r w:rsidRPr="00561EA5">
        <w:rPr>
          <w:lang w:val="sq-AL"/>
        </w:rPr>
        <w:t xml:space="preserve"> ashtu edhe për personat juridikë. Pagesat e </w:t>
      </w:r>
      <w:r>
        <w:rPr>
          <w:lang w:val="sq-AL"/>
        </w:rPr>
        <w:t>amvisëritë</w:t>
      </w:r>
      <w:r w:rsidRPr="00561EA5">
        <w:rPr>
          <w:lang w:val="sq-AL"/>
        </w:rPr>
        <w:t xml:space="preserve"> përfaqësojnë 50 deri në 72% të të </w:t>
      </w:r>
      <w:r>
        <w:rPr>
          <w:lang w:val="sq-AL"/>
        </w:rPr>
        <w:t>hyrave</w:t>
      </w:r>
      <w:r w:rsidRPr="00561EA5">
        <w:rPr>
          <w:lang w:val="sq-AL"/>
        </w:rPr>
        <w:t xml:space="preserve"> totale nga tarifa e mbeturinave. Pjesa tjetër mbulohet nga persona juridikë.</w:t>
      </w:r>
    </w:p>
    <w:p w14:paraId="0FC3E796" w14:textId="1D59961E" w:rsidR="00032CD8" w:rsidRPr="00C21444" w:rsidRDefault="00032CD8" w:rsidP="002254E8">
      <w:pPr>
        <w:pStyle w:val="Heading3"/>
      </w:pPr>
      <w:bookmarkStart w:id="236" w:name="_Toc197471985"/>
      <w:r w:rsidRPr="00C21444">
        <w:t xml:space="preserve">Roli i sektorit </w:t>
      </w:r>
      <w:r w:rsidR="00897230">
        <w:t>jo-formal</w:t>
      </w:r>
      <w:bookmarkEnd w:id="234"/>
      <w:bookmarkEnd w:id="235"/>
      <w:bookmarkEnd w:id="236"/>
    </w:p>
    <w:p w14:paraId="1CADE026" w14:textId="77777777" w:rsidR="00897230" w:rsidRPr="00561EA5" w:rsidRDefault="00897230" w:rsidP="00897230">
      <w:pPr>
        <w:pStyle w:val="Paragraph"/>
        <w:rPr>
          <w:lang w:val="sq-AL"/>
        </w:rPr>
      </w:pPr>
      <w:r w:rsidRPr="00561EA5">
        <w:rPr>
          <w:lang w:val="sq-AL"/>
        </w:rPr>
        <w:t xml:space="preserve">Sektori </w:t>
      </w:r>
      <w:r>
        <w:rPr>
          <w:lang w:val="sq-AL"/>
        </w:rPr>
        <w:t>jo-</w:t>
      </w:r>
      <w:r w:rsidRPr="00561EA5">
        <w:rPr>
          <w:lang w:val="sq-AL"/>
        </w:rPr>
        <w:t xml:space="preserve">formal është i përfshirë në mënyrë aktive në aktivitetet e riciklimit në të gjithë vendin si dhe në </w:t>
      </w:r>
      <w:r>
        <w:rPr>
          <w:lang w:val="sq-AL"/>
        </w:rPr>
        <w:t>ZMM</w:t>
      </w:r>
      <w:r w:rsidRPr="00561EA5">
        <w:rPr>
          <w:lang w:val="sq-AL"/>
        </w:rPr>
        <w:t xml:space="preserve"> kryesisht në ndarjen e materialeve të riciklueshme. Sektori </w:t>
      </w:r>
      <w:r>
        <w:rPr>
          <w:lang w:val="sq-AL"/>
        </w:rPr>
        <w:t>jo-</w:t>
      </w:r>
      <w:r w:rsidRPr="00561EA5">
        <w:rPr>
          <w:lang w:val="sq-AL"/>
        </w:rPr>
        <w:t>formal mbledh të gjitha llojet e materialeve të riciklueshme me vlerë pozitive tregu, të cilat më pas u dërgohen operatorëve të riciklimit.</w:t>
      </w:r>
    </w:p>
    <w:p w14:paraId="51DBA0AD" w14:textId="705291C4" w:rsidR="003B540D" w:rsidRPr="003B540D" w:rsidRDefault="00897230" w:rsidP="00897230">
      <w:pPr>
        <w:pStyle w:val="Paragraph"/>
      </w:pPr>
      <w:r w:rsidRPr="00561EA5">
        <w:rPr>
          <w:lang w:val="sq-AL"/>
        </w:rPr>
        <w:t xml:space="preserve">Nuk ka të dhëna të disponueshme për sasitë e materialeve të riciklueshme të mbledhura veçmas në </w:t>
      </w:r>
      <w:r>
        <w:rPr>
          <w:lang w:val="sq-AL"/>
        </w:rPr>
        <w:t>ZMM</w:t>
      </w:r>
      <w:r w:rsidRPr="00561EA5">
        <w:rPr>
          <w:lang w:val="sq-AL"/>
        </w:rPr>
        <w:t>.</w:t>
      </w:r>
    </w:p>
    <w:p w14:paraId="3BBB3397" w14:textId="002454B8" w:rsidR="00032CD8" w:rsidRPr="00AF0235" w:rsidRDefault="00032CD8" w:rsidP="002254E8">
      <w:pPr>
        <w:pStyle w:val="Heading2"/>
      </w:pPr>
      <w:bookmarkStart w:id="237" w:name="_Toc153872133"/>
      <w:bookmarkStart w:id="238" w:name="_Toc170470838"/>
      <w:bookmarkStart w:id="239" w:name="_Toc197471986"/>
      <w:r w:rsidRPr="00AF0235">
        <w:t>Menaxhimi i mbet</w:t>
      </w:r>
      <w:r w:rsidR="00897230">
        <w:t>urinave</w:t>
      </w:r>
      <w:r w:rsidRPr="00AF0235">
        <w:t xml:space="preserve"> tjera</w:t>
      </w:r>
      <w:bookmarkEnd w:id="237"/>
      <w:bookmarkEnd w:id="238"/>
      <w:bookmarkEnd w:id="239"/>
    </w:p>
    <w:p w14:paraId="17B70DFC" w14:textId="7E49863A" w:rsidR="00032CD8" w:rsidRPr="00C21444" w:rsidRDefault="00897230" w:rsidP="002254E8">
      <w:pPr>
        <w:pStyle w:val="Heading3"/>
      </w:pPr>
      <w:bookmarkStart w:id="240" w:name="_Toc153872134"/>
      <w:bookmarkStart w:id="241" w:name="_Toc170470839"/>
      <w:bookmarkStart w:id="242" w:name="_Toc197471987"/>
      <w:r>
        <w:t>Fraksionet</w:t>
      </w:r>
      <w:r w:rsidR="00032CD8" w:rsidRPr="00C21444">
        <w:t xml:space="preserve"> e veçanta të mbeturinave</w:t>
      </w:r>
      <w:bookmarkEnd w:id="240"/>
      <w:bookmarkEnd w:id="241"/>
      <w:bookmarkEnd w:id="242"/>
    </w:p>
    <w:p w14:paraId="21F47715" w14:textId="7B8B3858" w:rsidR="001C17BF" w:rsidRPr="00AF0235" w:rsidRDefault="00897230" w:rsidP="000D110F">
      <w:pPr>
        <w:pStyle w:val="Paragraph"/>
        <w:rPr>
          <w:rFonts w:eastAsia="Calibri"/>
        </w:rPr>
      </w:pPr>
      <w:r w:rsidRPr="00561EA5">
        <w:rPr>
          <w:rFonts w:eastAsia="Calibri"/>
          <w:lang w:val="sq-AL"/>
        </w:rPr>
        <w:t xml:space="preserve">Kuadri rregullator kombëtar përcakton që </w:t>
      </w:r>
      <w:r>
        <w:rPr>
          <w:rFonts w:eastAsia="Calibri"/>
          <w:lang w:val="sq-AL"/>
        </w:rPr>
        <w:t>fraksionet</w:t>
      </w:r>
      <w:r w:rsidRPr="00561EA5">
        <w:rPr>
          <w:rFonts w:eastAsia="Calibri"/>
          <w:lang w:val="sq-AL"/>
        </w:rPr>
        <w:t xml:space="preserve"> e veçanta të mbet</w:t>
      </w:r>
      <w:r>
        <w:rPr>
          <w:rFonts w:eastAsia="Calibri"/>
          <w:lang w:val="sq-AL"/>
        </w:rPr>
        <w:t>urinave</w:t>
      </w:r>
      <w:r w:rsidRPr="00561EA5">
        <w:rPr>
          <w:rFonts w:eastAsia="Calibri"/>
          <w:lang w:val="sq-AL"/>
        </w:rPr>
        <w:t xml:space="preserve"> duhet të menaxhohen përmes mekanizmit të Përgjegjësisë së Zgjeruar të Prodhuesit (</w:t>
      </w:r>
      <w:r>
        <w:rPr>
          <w:rFonts w:eastAsia="Calibri"/>
          <w:lang w:val="sq-AL"/>
        </w:rPr>
        <w:t>PZP</w:t>
      </w:r>
      <w:r w:rsidRPr="00561EA5">
        <w:rPr>
          <w:rFonts w:eastAsia="Calibri"/>
          <w:lang w:val="sq-AL"/>
        </w:rPr>
        <w:t xml:space="preserve">). </w:t>
      </w:r>
      <w:r>
        <w:rPr>
          <w:rFonts w:eastAsia="Calibri"/>
          <w:lang w:val="sq-AL"/>
        </w:rPr>
        <w:t>Fraksionet</w:t>
      </w:r>
      <w:r w:rsidRPr="00561EA5">
        <w:rPr>
          <w:rFonts w:eastAsia="Calibri"/>
          <w:lang w:val="sq-AL"/>
        </w:rPr>
        <w:t xml:space="preserve"> e tilla të mbet</w:t>
      </w:r>
      <w:r>
        <w:rPr>
          <w:rFonts w:eastAsia="Calibri"/>
          <w:lang w:val="sq-AL"/>
        </w:rPr>
        <w:t>urinave</w:t>
      </w:r>
      <w:r w:rsidRPr="00561EA5">
        <w:rPr>
          <w:rFonts w:eastAsia="Calibri"/>
          <w:lang w:val="sq-AL"/>
        </w:rPr>
        <w:t xml:space="preserve"> </w:t>
      </w:r>
      <w:r w:rsidR="001C17BF" w:rsidRPr="00AF0235">
        <w:rPr>
          <w:rFonts w:eastAsia="Calibri"/>
        </w:rPr>
        <w:t>përfshijnë:</w:t>
      </w:r>
    </w:p>
    <w:p w14:paraId="37E0A0F7" w14:textId="2155B3AF" w:rsidR="001C17BF" w:rsidRPr="00AF0235" w:rsidRDefault="001C17BF" w:rsidP="000D110F">
      <w:pPr>
        <w:pStyle w:val="Bullet"/>
      </w:pPr>
      <w:r w:rsidRPr="00AF0235">
        <w:t xml:space="preserve">Automjetet </w:t>
      </w:r>
      <w:r w:rsidR="00897230">
        <w:t>mbeturinë</w:t>
      </w:r>
      <w:r w:rsidRPr="00AF0235">
        <w:t xml:space="preserve"> (</w:t>
      </w:r>
      <w:r w:rsidR="00897230">
        <w:t>AM</w:t>
      </w:r>
      <w:r w:rsidRPr="00AF0235">
        <w:t>)</w:t>
      </w:r>
    </w:p>
    <w:p w14:paraId="3F8BECA3" w14:textId="2EF0B3D6" w:rsidR="001C17BF" w:rsidRPr="00AF0235" w:rsidRDefault="001C17BF" w:rsidP="000D110F">
      <w:pPr>
        <w:pStyle w:val="Bullet"/>
      </w:pPr>
      <w:r w:rsidRPr="00AF0235">
        <w:t>Vajrat</w:t>
      </w:r>
      <w:r w:rsidR="00897230">
        <w:t xml:space="preserve"> e</w:t>
      </w:r>
      <w:r w:rsidRPr="00AF0235">
        <w:t xml:space="preserve"> përdorura</w:t>
      </w:r>
    </w:p>
    <w:p w14:paraId="7601F8F0" w14:textId="78CF6E85" w:rsidR="001C17BF" w:rsidRPr="00AF0235" w:rsidRDefault="001C17BF" w:rsidP="000D110F">
      <w:pPr>
        <w:pStyle w:val="Bullet"/>
      </w:pPr>
      <w:r w:rsidRPr="00AF0235">
        <w:t>Mbet</w:t>
      </w:r>
      <w:r w:rsidR="00897230">
        <w:t>urinat</w:t>
      </w:r>
      <w:r w:rsidRPr="00AF0235">
        <w:t xml:space="preserve"> nga pajisjet elektrike dhe elektronike (</w:t>
      </w:r>
      <w:r w:rsidR="00897230">
        <w:t>MP</w:t>
      </w:r>
      <w:r w:rsidRPr="00AF0235">
        <w:t>EE)</w:t>
      </w:r>
    </w:p>
    <w:p w14:paraId="44B7F338" w14:textId="471903DB" w:rsidR="001C17BF" w:rsidRPr="00AF0235" w:rsidRDefault="001C17BF" w:rsidP="000D110F">
      <w:pPr>
        <w:pStyle w:val="Bullet"/>
      </w:pPr>
      <w:r w:rsidRPr="00AF0235">
        <w:t>Gomat</w:t>
      </w:r>
      <w:r w:rsidR="00897230">
        <w:t xml:space="preserve"> e harxhuara</w:t>
      </w:r>
    </w:p>
    <w:p w14:paraId="5FFA71B3" w14:textId="754E4307" w:rsidR="001C17BF" w:rsidRPr="00AF0235" w:rsidRDefault="001C17BF" w:rsidP="000D110F">
      <w:pPr>
        <w:pStyle w:val="Bullet"/>
      </w:pPr>
      <w:r w:rsidRPr="00AF0235">
        <w:t>Bateritë</w:t>
      </w:r>
      <w:r w:rsidR="00897230">
        <w:t xml:space="preserve"> e shpenzuara</w:t>
      </w:r>
    </w:p>
    <w:p w14:paraId="25E8CF5F" w14:textId="77777777" w:rsidR="001C17BF" w:rsidRPr="00AF0235" w:rsidRDefault="001C17BF" w:rsidP="001C17BF">
      <w:pPr>
        <w:rPr>
          <w:rFonts w:eastAsia="Calibri" w:cs="Calibri"/>
          <w:sz w:val="22"/>
          <w:szCs w:val="22"/>
        </w:rPr>
      </w:pPr>
    </w:p>
    <w:p w14:paraId="32991EDB" w14:textId="77777777" w:rsidR="00897230" w:rsidRPr="00561EA5" w:rsidRDefault="00897230" w:rsidP="00897230">
      <w:pPr>
        <w:pStyle w:val="Paragraph"/>
        <w:rPr>
          <w:rFonts w:eastAsia="Calibri"/>
          <w:lang w:val="sq-AL"/>
        </w:rPr>
      </w:pPr>
      <w:r w:rsidRPr="00561EA5">
        <w:rPr>
          <w:rFonts w:eastAsia="Calibri"/>
          <w:lang w:val="sq-AL"/>
        </w:rPr>
        <w:t xml:space="preserve">Kuadri rregullator, megjithatë, nuk përcakton kërkesat minimale për krijimin e skemave  </w:t>
      </w:r>
      <w:r>
        <w:rPr>
          <w:rFonts w:eastAsia="Calibri"/>
          <w:lang w:val="sq-AL"/>
        </w:rPr>
        <w:t>PZP</w:t>
      </w:r>
      <w:r w:rsidRPr="00561EA5">
        <w:rPr>
          <w:rFonts w:eastAsia="Calibri"/>
          <w:lang w:val="sq-AL"/>
        </w:rPr>
        <w:t>, siç përshkruhet në Direktivën Kuadër të Mbet</w:t>
      </w:r>
      <w:r>
        <w:rPr>
          <w:rFonts w:eastAsia="Calibri"/>
          <w:lang w:val="sq-AL"/>
        </w:rPr>
        <w:t>urinave</w:t>
      </w:r>
      <w:r w:rsidRPr="00561EA5">
        <w:rPr>
          <w:rFonts w:eastAsia="Calibri"/>
          <w:lang w:val="sq-AL"/>
        </w:rPr>
        <w:t xml:space="preserve">. Si rezultat, skemat </w:t>
      </w:r>
      <w:r>
        <w:rPr>
          <w:rFonts w:eastAsia="Calibri"/>
          <w:lang w:val="sq-AL"/>
        </w:rPr>
        <w:t>PZP</w:t>
      </w:r>
      <w:r w:rsidRPr="00561EA5">
        <w:rPr>
          <w:rFonts w:eastAsia="Calibri"/>
          <w:lang w:val="sq-AL"/>
        </w:rPr>
        <w:t xml:space="preserve"> nuk janë krijuar ende për </w:t>
      </w:r>
      <w:r>
        <w:rPr>
          <w:rFonts w:eastAsia="Calibri"/>
          <w:lang w:val="sq-AL"/>
        </w:rPr>
        <w:t>fraksionet</w:t>
      </w:r>
      <w:r w:rsidRPr="00561EA5">
        <w:rPr>
          <w:rFonts w:eastAsia="Calibri"/>
          <w:lang w:val="sq-AL"/>
        </w:rPr>
        <w:t xml:space="preserve"> e sipërpërmendura të mbet</w:t>
      </w:r>
      <w:r>
        <w:rPr>
          <w:rFonts w:eastAsia="Calibri"/>
          <w:lang w:val="sq-AL"/>
        </w:rPr>
        <w:t>urinave</w:t>
      </w:r>
      <w:r w:rsidRPr="00561EA5">
        <w:rPr>
          <w:rFonts w:eastAsia="Calibri"/>
          <w:lang w:val="sq-AL"/>
        </w:rPr>
        <w:t>.</w:t>
      </w:r>
    </w:p>
    <w:p w14:paraId="31763722" w14:textId="620E71A1" w:rsidR="001C17BF" w:rsidRPr="00AF0235" w:rsidRDefault="00897230" w:rsidP="00897230">
      <w:pPr>
        <w:pStyle w:val="Paragraph"/>
        <w:rPr>
          <w:rFonts w:eastAsia="Calibri"/>
        </w:rPr>
      </w:pPr>
      <w:r w:rsidRPr="00561EA5">
        <w:rPr>
          <w:rFonts w:eastAsia="Calibri"/>
          <w:lang w:val="sq-AL"/>
        </w:rPr>
        <w:t xml:space="preserve">Në mungesë të skemave </w:t>
      </w:r>
      <w:r>
        <w:rPr>
          <w:rFonts w:eastAsia="Calibri"/>
          <w:lang w:val="sq-AL"/>
        </w:rPr>
        <w:t>PZP</w:t>
      </w:r>
      <w:r w:rsidRPr="00561EA5">
        <w:rPr>
          <w:rFonts w:eastAsia="Calibri"/>
          <w:lang w:val="sq-AL"/>
        </w:rPr>
        <w:t xml:space="preserve">, në të dy rajonet ka operatorë të cilët janë të licencuar për të kryer </w:t>
      </w:r>
      <w:r>
        <w:rPr>
          <w:rFonts w:eastAsia="Calibri"/>
          <w:lang w:val="sq-AL"/>
        </w:rPr>
        <w:t xml:space="preserve">grumbullimin dhe </w:t>
      </w:r>
      <w:r w:rsidRPr="00561EA5">
        <w:rPr>
          <w:rFonts w:eastAsia="Calibri"/>
          <w:lang w:val="sq-AL"/>
        </w:rPr>
        <w:t xml:space="preserve">aktivitete </w:t>
      </w:r>
      <w:r>
        <w:rPr>
          <w:rFonts w:eastAsia="Calibri"/>
          <w:lang w:val="sq-AL"/>
        </w:rPr>
        <w:t xml:space="preserve">tjera </w:t>
      </w:r>
      <w:r w:rsidRPr="00561EA5">
        <w:rPr>
          <w:rFonts w:eastAsia="Calibri"/>
          <w:lang w:val="sq-AL"/>
        </w:rPr>
        <w:t>të menaxhimit të mbet</w:t>
      </w:r>
      <w:r>
        <w:rPr>
          <w:rFonts w:eastAsia="Calibri"/>
          <w:lang w:val="sq-AL"/>
        </w:rPr>
        <w:t>urinave</w:t>
      </w:r>
      <w:r w:rsidRPr="00561EA5">
        <w:rPr>
          <w:rFonts w:eastAsia="Calibri"/>
          <w:lang w:val="sq-AL"/>
        </w:rPr>
        <w:t xml:space="preserve"> për mbet</w:t>
      </w:r>
      <w:r>
        <w:rPr>
          <w:rFonts w:eastAsia="Calibri"/>
          <w:lang w:val="sq-AL"/>
        </w:rPr>
        <w:t>urinat</w:t>
      </w:r>
      <w:r w:rsidRPr="00561EA5">
        <w:rPr>
          <w:rFonts w:eastAsia="Calibri"/>
          <w:lang w:val="sq-AL"/>
        </w:rPr>
        <w:t xml:space="preserve"> </w:t>
      </w:r>
      <w:r>
        <w:rPr>
          <w:rFonts w:eastAsia="Calibri"/>
          <w:lang w:val="sq-AL"/>
        </w:rPr>
        <w:t>e</w:t>
      </w:r>
      <w:r w:rsidRPr="00561EA5">
        <w:rPr>
          <w:rFonts w:eastAsia="Calibri"/>
          <w:lang w:val="sq-AL"/>
        </w:rPr>
        <w:t xml:space="preserve"> veçanta. Lista e kompanive të licencuara që merren me mbet</w:t>
      </w:r>
      <w:r>
        <w:rPr>
          <w:rFonts w:eastAsia="Calibri"/>
          <w:lang w:val="sq-AL"/>
        </w:rPr>
        <w:t>urinat</w:t>
      </w:r>
      <w:r w:rsidRPr="00561EA5">
        <w:rPr>
          <w:rFonts w:eastAsia="Calibri"/>
          <w:lang w:val="sq-AL"/>
        </w:rPr>
        <w:t xml:space="preserve"> </w:t>
      </w:r>
      <w:r>
        <w:rPr>
          <w:rFonts w:eastAsia="Calibri"/>
          <w:lang w:val="sq-AL"/>
        </w:rPr>
        <w:t>PZP</w:t>
      </w:r>
      <w:r w:rsidRPr="00561EA5">
        <w:rPr>
          <w:rFonts w:eastAsia="Calibri"/>
          <w:lang w:val="sq-AL"/>
        </w:rPr>
        <w:t xml:space="preserve"> është paraqitur në Tabel</w:t>
      </w:r>
      <w:r>
        <w:rPr>
          <w:rFonts w:eastAsia="Calibri"/>
          <w:lang w:val="sq-AL"/>
        </w:rPr>
        <w:t>ën</w:t>
      </w:r>
      <w:r w:rsidRPr="00561EA5">
        <w:rPr>
          <w:rFonts w:eastAsia="Calibri"/>
          <w:lang w:val="sq-AL"/>
        </w:rPr>
        <w:t xml:space="preserve"> më poshtë</w:t>
      </w:r>
      <w:r w:rsidR="001C17BF" w:rsidRPr="00AF0235">
        <w:rPr>
          <w:rFonts w:eastAsia="Calibri"/>
        </w:rPr>
        <w:t>:</w:t>
      </w:r>
    </w:p>
    <w:p w14:paraId="0EC8AF28" w14:textId="2B232350" w:rsidR="00032CD8" w:rsidRPr="007F50ED" w:rsidRDefault="00032CD8" w:rsidP="007F50ED">
      <w:pPr>
        <w:suppressAutoHyphens/>
        <w:rPr>
          <w:rFonts w:ascii="Arial Narrow" w:eastAsia="Calibri" w:hAnsi="Arial Narrow" w:cs="Calibri"/>
          <w:color w:val="1F497D"/>
          <w:sz w:val="20"/>
          <w:szCs w:val="20"/>
        </w:rPr>
      </w:pPr>
      <w:bookmarkStart w:id="243" w:name="_Toc153872198"/>
      <w:bookmarkStart w:id="244" w:name="_Toc197472221"/>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36.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Lista e kompanive të licencuara që merren me mbeturina të veçanta</w:t>
      </w:r>
      <w:bookmarkEnd w:id="243"/>
      <w:bookmarkEnd w:id="244"/>
    </w:p>
    <w:tbl>
      <w:tblPr>
        <w:tblStyle w:val="GridTable1Light-Accent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1255"/>
        <w:gridCol w:w="2045"/>
        <w:gridCol w:w="3940"/>
      </w:tblGrid>
      <w:tr w:rsidR="001D5677" w:rsidRPr="001D5677" w14:paraId="10E4067B" w14:textId="77777777" w:rsidTr="00897230">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985" w:type="pct"/>
            <w:tcBorders>
              <w:bottom w:val="single" w:sz="4" w:space="0" w:color="auto"/>
            </w:tcBorders>
            <w:shd w:val="clear" w:color="auto" w:fill="365F91"/>
          </w:tcPr>
          <w:p w14:paraId="5F5D98C8" w14:textId="77777777" w:rsidR="00B0623C" w:rsidRPr="001D5677" w:rsidRDefault="00B0623C" w:rsidP="005A3723">
            <w:pPr>
              <w:rPr>
                <w:rFonts w:ascii="Arial Narrow" w:hAnsi="Arial Narrow" w:cs="Calibri"/>
                <w:color w:val="FFFFFF" w:themeColor="background1"/>
                <w:sz w:val="20"/>
                <w:szCs w:val="20"/>
              </w:rPr>
            </w:pPr>
            <w:r w:rsidRPr="001D5677">
              <w:rPr>
                <w:rFonts w:ascii="Arial Narrow" w:hAnsi="Arial Narrow" w:cs="Calibri"/>
                <w:color w:val="FFFFFF" w:themeColor="background1"/>
                <w:sz w:val="20"/>
                <w:szCs w:val="20"/>
              </w:rPr>
              <w:t>Emri i kompanisë</w:t>
            </w:r>
          </w:p>
        </w:tc>
        <w:tc>
          <w:tcPr>
            <w:tcW w:w="696" w:type="pct"/>
            <w:tcBorders>
              <w:bottom w:val="single" w:sz="4" w:space="0" w:color="auto"/>
            </w:tcBorders>
            <w:shd w:val="clear" w:color="auto" w:fill="365F91"/>
          </w:tcPr>
          <w:p w14:paraId="24BB1E21" w14:textId="77777777" w:rsidR="00B0623C" w:rsidRPr="001D5677" w:rsidRDefault="00B0623C" w:rsidP="005A3723">
            <w:pP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themeColor="background1"/>
                <w:sz w:val="20"/>
                <w:szCs w:val="20"/>
              </w:rPr>
            </w:pPr>
            <w:r w:rsidRPr="001D5677">
              <w:rPr>
                <w:rFonts w:ascii="Arial Narrow" w:hAnsi="Arial Narrow" w:cs="Calibri"/>
                <w:color w:val="FFFFFF" w:themeColor="background1"/>
                <w:sz w:val="20"/>
                <w:szCs w:val="20"/>
              </w:rPr>
              <w:t>Vendndodhja</w:t>
            </w:r>
          </w:p>
        </w:tc>
        <w:tc>
          <w:tcPr>
            <w:tcW w:w="1134" w:type="pct"/>
            <w:tcBorders>
              <w:bottom w:val="single" w:sz="4" w:space="0" w:color="auto"/>
            </w:tcBorders>
            <w:shd w:val="clear" w:color="auto" w:fill="365F91"/>
          </w:tcPr>
          <w:p w14:paraId="397FA564" w14:textId="0467B293" w:rsidR="00B0623C" w:rsidRPr="001D5677" w:rsidRDefault="00897230" w:rsidP="005A3723">
            <w:pP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themeColor="background1"/>
                <w:sz w:val="20"/>
                <w:szCs w:val="20"/>
              </w:rPr>
            </w:pPr>
            <w:r>
              <w:rPr>
                <w:rFonts w:ascii="Arial Narrow" w:hAnsi="Arial Narrow" w:cs="Calibri"/>
                <w:color w:val="FFFFFF" w:themeColor="background1"/>
                <w:sz w:val="20"/>
                <w:szCs w:val="20"/>
              </w:rPr>
              <w:t>Fraksioni i</w:t>
            </w:r>
            <w:r w:rsidR="00B0623C" w:rsidRPr="001D5677">
              <w:rPr>
                <w:rFonts w:ascii="Arial Narrow" w:hAnsi="Arial Narrow" w:cs="Calibri"/>
                <w:color w:val="FFFFFF" w:themeColor="background1"/>
                <w:sz w:val="20"/>
                <w:szCs w:val="20"/>
              </w:rPr>
              <w:t xml:space="preserve"> mbeturinave</w:t>
            </w:r>
          </w:p>
        </w:tc>
        <w:tc>
          <w:tcPr>
            <w:tcW w:w="2185" w:type="pct"/>
            <w:tcBorders>
              <w:bottom w:val="single" w:sz="4" w:space="0" w:color="auto"/>
            </w:tcBorders>
            <w:shd w:val="clear" w:color="auto" w:fill="365F91"/>
          </w:tcPr>
          <w:p w14:paraId="70F8B927" w14:textId="395ACC91" w:rsidR="00B0623C" w:rsidRPr="001D5677" w:rsidRDefault="00B0623C" w:rsidP="005A3723">
            <w:pP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themeColor="background1"/>
                <w:sz w:val="20"/>
                <w:szCs w:val="20"/>
              </w:rPr>
            </w:pPr>
            <w:r w:rsidRPr="001D5677">
              <w:rPr>
                <w:rFonts w:ascii="Arial Narrow" w:hAnsi="Arial Narrow" w:cs="Calibri"/>
                <w:color w:val="FFFFFF" w:themeColor="background1"/>
                <w:sz w:val="20"/>
                <w:szCs w:val="20"/>
              </w:rPr>
              <w:t>Aktiviteti i</w:t>
            </w:r>
            <w:r w:rsidR="00897230">
              <w:rPr>
                <w:rFonts w:ascii="Arial Narrow" w:hAnsi="Arial Narrow" w:cs="Calibri"/>
                <w:color w:val="FFFFFF" w:themeColor="background1"/>
                <w:sz w:val="20"/>
                <w:szCs w:val="20"/>
              </w:rPr>
              <w:t xml:space="preserve"> </w:t>
            </w:r>
            <w:r w:rsidRPr="001D5677">
              <w:rPr>
                <w:rFonts w:ascii="Arial Narrow" w:hAnsi="Arial Narrow" w:cs="Calibri"/>
                <w:color w:val="FFFFFF" w:themeColor="background1"/>
                <w:sz w:val="20"/>
                <w:szCs w:val="20"/>
              </w:rPr>
              <w:t>licen</w:t>
            </w:r>
            <w:r w:rsidR="00897230">
              <w:rPr>
                <w:rFonts w:ascii="Arial Narrow" w:hAnsi="Arial Narrow" w:cs="Calibri"/>
                <w:color w:val="FFFFFF" w:themeColor="background1"/>
                <w:sz w:val="20"/>
                <w:szCs w:val="20"/>
              </w:rPr>
              <w:t>suar</w:t>
            </w:r>
          </w:p>
        </w:tc>
      </w:tr>
      <w:tr w:rsidR="00897230" w:rsidRPr="001D5677" w14:paraId="29ADC3B7" w14:textId="77777777" w:rsidTr="00897230">
        <w:trPr>
          <w:trHeight w:val="113"/>
        </w:trPr>
        <w:tc>
          <w:tcPr>
            <w:cnfStyle w:val="001000000000" w:firstRow="0" w:lastRow="0" w:firstColumn="1" w:lastColumn="0" w:oddVBand="0" w:evenVBand="0" w:oddHBand="0" w:evenHBand="0" w:firstRowFirstColumn="0" w:firstRowLastColumn="0" w:lastRowFirstColumn="0" w:lastRowLastColumn="0"/>
            <w:tcW w:w="985" w:type="pct"/>
          </w:tcPr>
          <w:p w14:paraId="351BAAD8" w14:textId="77777777" w:rsidR="00897230" w:rsidRPr="008D2D8C" w:rsidRDefault="00897230" w:rsidP="00897230">
            <w:pPr>
              <w:rPr>
                <w:rFonts w:ascii="Arial Narrow" w:hAnsi="Arial Narrow" w:cs="Calibri"/>
                <w:b w:val="0"/>
                <w:bCs w:val="0"/>
                <w:sz w:val="20"/>
                <w:szCs w:val="20"/>
                <w:lang w:val="sq-AL"/>
              </w:rPr>
            </w:pPr>
            <w:r w:rsidRPr="008D2D8C">
              <w:rPr>
                <w:rFonts w:ascii="Arial Narrow" w:hAnsi="Arial Narrow" w:cs="Calibri"/>
                <w:b w:val="0"/>
                <w:bCs w:val="0"/>
                <w:sz w:val="20"/>
                <w:szCs w:val="20"/>
                <w:lang w:val="sq-AL"/>
              </w:rPr>
              <w:t>Riciklimi MOS HARRO</w:t>
            </w:r>
          </w:p>
          <w:p w14:paraId="0175F2F8" w14:textId="77777777" w:rsidR="00897230" w:rsidRPr="008D2D8C" w:rsidRDefault="00897230" w:rsidP="00897230">
            <w:pPr>
              <w:rPr>
                <w:rFonts w:ascii="Arial Narrow" w:hAnsi="Arial Narrow" w:cs="Calibri"/>
                <w:b w:val="0"/>
                <w:bCs w:val="0"/>
                <w:sz w:val="20"/>
                <w:szCs w:val="20"/>
                <w:lang w:val="sq-AL"/>
              </w:rPr>
            </w:pPr>
            <w:r w:rsidRPr="008D2D8C">
              <w:rPr>
                <w:rFonts w:ascii="Arial Narrow" w:hAnsi="Arial Narrow" w:cs="Calibri"/>
                <w:b w:val="0"/>
                <w:bCs w:val="0"/>
                <w:sz w:val="20"/>
                <w:szCs w:val="20"/>
                <w:lang w:val="sq-AL"/>
              </w:rPr>
              <w:t>"Euro Steel" Sh.P.K.</w:t>
            </w:r>
          </w:p>
          <w:p w14:paraId="5041BB38" w14:textId="24F6C70C" w:rsidR="00897230" w:rsidRPr="001D5677" w:rsidRDefault="00897230" w:rsidP="00897230">
            <w:pPr>
              <w:rPr>
                <w:rFonts w:ascii="Arial Narrow" w:hAnsi="Arial Narrow" w:cs="Calibri"/>
                <w:b w:val="0"/>
                <w:bCs w:val="0"/>
                <w:sz w:val="20"/>
                <w:szCs w:val="20"/>
              </w:rPr>
            </w:pPr>
            <w:r w:rsidRPr="008D2D8C">
              <w:rPr>
                <w:rFonts w:ascii="Arial Narrow" w:hAnsi="Arial Narrow" w:cs="Calibri"/>
                <w:b w:val="0"/>
                <w:bCs w:val="0"/>
                <w:sz w:val="20"/>
                <w:szCs w:val="20"/>
                <w:lang w:val="sq-AL"/>
              </w:rPr>
              <w:t>Riciklimi – ED Vemor</w:t>
            </w:r>
          </w:p>
        </w:tc>
        <w:tc>
          <w:tcPr>
            <w:tcW w:w="696" w:type="pct"/>
          </w:tcPr>
          <w:p w14:paraId="04B8326F" w14:textId="48EF2EC6" w:rsidR="00897230" w:rsidRPr="001D5677" w:rsidRDefault="00897230" w:rsidP="00897230">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r w:rsidRPr="008D2D8C">
              <w:rPr>
                <w:rFonts w:ascii="Arial Narrow" w:hAnsi="Arial Narrow"/>
                <w:sz w:val="20"/>
                <w:szCs w:val="20"/>
                <w:lang w:val="sq-AL"/>
              </w:rPr>
              <w:t xml:space="preserve"> Pejë</w:t>
            </w:r>
          </w:p>
        </w:tc>
        <w:tc>
          <w:tcPr>
            <w:tcW w:w="1134" w:type="pct"/>
          </w:tcPr>
          <w:p w14:paraId="742B9590" w14:textId="77777777" w:rsidR="00897230" w:rsidRPr="00561EA5" w:rsidRDefault="00897230" w:rsidP="00897230">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sq-AL"/>
              </w:rPr>
            </w:pPr>
            <w:r w:rsidRPr="00561EA5">
              <w:rPr>
                <w:rFonts w:ascii="Arial Narrow" w:hAnsi="Arial Narrow"/>
                <w:sz w:val="20"/>
                <w:szCs w:val="20"/>
                <w:lang w:val="sq-AL"/>
              </w:rPr>
              <w:t>Automjetet</w:t>
            </w:r>
            <w:r>
              <w:rPr>
                <w:rFonts w:ascii="Arial Narrow" w:hAnsi="Arial Narrow"/>
                <w:sz w:val="20"/>
                <w:szCs w:val="20"/>
                <w:lang w:val="sq-AL"/>
              </w:rPr>
              <w:t xml:space="preserve"> Mbeturinë</w:t>
            </w:r>
            <w:r w:rsidRPr="00561EA5">
              <w:rPr>
                <w:rFonts w:ascii="Arial Narrow" w:hAnsi="Arial Narrow"/>
                <w:sz w:val="20"/>
                <w:szCs w:val="20"/>
                <w:lang w:val="sq-AL"/>
              </w:rPr>
              <w:t xml:space="preserve"> dhe mbet</w:t>
            </w:r>
            <w:r>
              <w:rPr>
                <w:rFonts w:ascii="Arial Narrow" w:hAnsi="Arial Narrow"/>
                <w:sz w:val="20"/>
                <w:szCs w:val="20"/>
                <w:lang w:val="sq-AL"/>
              </w:rPr>
              <w:t>urinat</w:t>
            </w:r>
            <w:r w:rsidRPr="00561EA5">
              <w:rPr>
                <w:rFonts w:ascii="Arial Narrow" w:hAnsi="Arial Narrow"/>
                <w:sz w:val="20"/>
                <w:szCs w:val="20"/>
                <w:lang w:val="sq-AL"/>
              </w:rPr>
              <w:t xml:space="preserve"> metalike, grumbullimi i plastikës, metaleve, etj.</w:t>
            </w:r>
          </w:p>
          <w:p w14:paraId="4715A1E2" w14:textId="77777777" w:rsidR="00897230" w:rsidRPr="00561EA5" w:rsidRDefault="00897230" w:rsidP="00897230">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sq-AL"/>
              </w:rPr>
            </w:pPr>
          </w:p>
          <w:p w14:paraId="29736CB2" w14:textId="23F03C96" w:rsidR="00897230" w:rsidRPr="001D5677" w:rsidRDefault="00897230" w:rsidP="00897230">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r w:rsidRPr="00561EA5">
              <w:rPr>
                <w:rFonts w:ascii="Arial Narrow" w:hAnsi="Arial Narrow"/>
                <w:sz w:val="20"/>
                <w:szCs w:val="20"/>
                <w:lang w:val="sq-AL"/>
              </w:rPr>
              <w:t>Rikuperimi i materialeve të klasifikuara</w:t>
            </w:r>
          </w:p>
        </w:tc>
        <w:tc>
          <w:tcPr>
            <w:tcW w:w="2185" w:type="pct"/>
          </w:tcPr>
          <w:p w14:paraId="4C1DAE1F" w14:textId="09613BF3" w:rsidR="00897230" w:rsidRPr="001D5677" w:rsidRDefault="00897230" w:rsidP="00897230">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r w:rsidRPr="00561EA5">
              <w:rPr>
                <w:rFonts w:ascii="Arial Narrow" w:hAnsi="Arial Narrow"/>
                <w:sz w:val="20"/>
                <w:szCs w:val="20"/>
                <w:lang w:val="sq-AL"/>
              </w:rPr>
              <w:t>Grumbullimi, përpunimi, trajtimi, presimi dhe riciklimi i automjeteve skrap, grumbullimi i plastikës dhe metalit</w:t>
            </w:r>
          </w:p>
        </w:tc>
      </w:tr>
      <w:tr w:rsidR="00897230" w:rsidRPr="001D5677" w14:paraId="5BBF8CB3" w14:textId="77777777" w:rsidTr="00897230">
        <w:trPr>
          <w:trHeight w:val="113"/>
        </w:trPr>
        <w:tc>
          <w:tcPr>
            <w:cnfStyle w:val="001000000000" w:firstRow="0" w:lastRow="0" w:firstColumn="1" w:lastColumn="0" w:oddVBand="0" w:evenVBand="0" w:oddHBand="0" w:evenHBand="0" w:firstRowFirstColumn="0" w:firstRowLastColumn="0" w:lastRowFirstColumn="0" w:lastRowLastColumn="0"/>
            <w:tcW w:w="985" w:type="pct"/>
          </w:tcPr>
          <w:p w14:paraId="66366C94" w14:textId="77777777" w:rsidR="00897230" w:rsidRPr="008D2D8C" w:rsidRDefault="00897230" w:rsidP="00897230">
            <w:pPr>
              <w:rPr>
                <w:rFonts w:ascii="Arial Narrow" w:hAnsi="Arial Narrow" w:cs="Calibri Light"/>
                <w:b w:val="0"/>
                <w:bCs w:val="0"/>
                <w:color w:val="000000" w:themeColor="text1"/>
                <w:sz w:val="20"/>
                <w:szCs w:val="20"/>
                <w:lang w:val="sq-AL"/>
              </w:rPr>
            </w:pPr>
            <w:r w:rsidRPr="008D2D8C">
              <w:rPr>
                <w:rFonts w:ascii="Arial Narrow" w:hAnsi="Arial Narrow" w:cs="Calibri Light"/>
                <w:b w:val="0"/>
                <w:bCs w:val="0"/>
                <w:color w:val="000000" w:themeColor="text1"/>
                <w:sz w:val="20"/>
                <w:szCs w:val="20"/>
                <w:lang w:val="sq-AL"/>
              </w:rPr>
              <w:t>VALKOS SH.P.K.</w:t>
            </w:r>
          </w:p>
          <w:p w14:paraId="50F05D61" w14:textId="77777777" w:rsidR="00897230" w:rsidRPr="008D2D8C" w:rsidRDefault="00897230" w:rsidP="00897230">
            <w:pPr>
              <w:rPr>
                <w:rFonts w:ascii="Arial Narrow" w:hAnsi="Arial Narrow" w:cs="Calibri"/>
                <w:b w:val="0"/>
                <w:bCs w:val="0"/>
                <w:sz w:val="20"/>
                <w:szCs w:val="20"/>
                <w:lang w:val="sq-AL"/>
              </w:rPr>
            </w:pPr>
            <w:r w:rsidRPr="008D2D8C">
              <w:rPr>
                <w:rFonts w:ascii="Arial Narrow" w:hAnsi="Arial Narrow" w:cs="Calibri"/>
                <w:b w:val="0"/>
                <w:bCs w:val="0"/>
                <w:sz w:val="20"/>
                <w:szCs w:val="20"/>
                <w:lang w:val="sq-AL"/>
              </w:rPr>
              <w:t>N.B.S. SH.P.K.</w:t>
            </w:r>
          </w:p>
          <w:p w14:paraId="303B367E" w14:textId="77777777" w:rsidR="00897230" w:rsidRPr="008D2D8C" w:rsidRDefault="00897230" w:rsidP="00897230">
            <w:pPr>
              <w:rPr>
                <w:rFonts w:ascii="Arial Narrow" w:hAnsi="Arial Narrow" w:cs="Calibri"/>
                <w:b w:val="0"/>
                <w:bCs w:val="0"/>
                <w:sz w:val="20"/>
                <w:szCs w:val="20"/>
                <w:lang w:val="sq-AL"/>
              </w:rPr>
            </w:pPr>
            <w:r w:rsidRPr="008D2D8C">
              <w:rPr>
                <w:rFonts w:ascii="Arial Narrow" w:hAnsi="Arial Narrow" w:cs="Calibri"/>
                <w:b w:val="0"/>
                <w:bCs w:val="0"/>
                <w:sz w:val="20"/>
                <w:szCs w:val="20"/>
                <w:lang w:val="sq-AL"/>
              </w:rPr>
              <w:t>N.P.T. "Vellezërit Sadrijaj</w:t>
            </w:r>
          </w:p>
          <w:p w14:paraId="6AA65AF5" w14:textId="77777777" w:rsidR="00897230" w:rsidRPr="008D2D8C" w:rsidRDefault="00897230" w:rsidP="00897230">
            <w:pPr>
              <w:rPr>
                <w:rFonts w:ascii="Arial Narrow" w:hAnsi="Arial Narrow" w:cs="Calibri"/>
                <w:b w:val="0"/>
                <w:bCs w:val="0"/>
                <w:sz w:val="20"/>
                <w:szCs w:val="20"/>
                <w:lang w:val="sq-AL"/>
              </w:rPr>
            </w:pPr>
            <w:r w:rsidRPr="008D2D8C">
              <w:rPr>
                <w:rFonts w:ascii="Arial Narrow" w:hAnsi="Arial Narrow" w:cs="Calibri"/>
                <w:b w:val="0"/>
                <w:bCs w:val="0"/>
                <w:sz w:val="20"/>
                <w:szCs w:val="20"/>
                <w:lang w:val="sq-AL"/>
              </w:rPr>
              <w:t>Te Aleni SH.P.K.</w:t>
            </w:r>
          </w:p>
          <w:p w14:paraId="0A39FEE7" w14:textId="0AFC6B62" w:rsidR="00897230" w:rsidRPr="001D5677" w:rsidRDefault="00897230" w:rsidP="00897230">
            <w:pPr>
              <w:rPr>
                <w:rFonts w:ascii="Arial Narrow" w:hAnsi="Arial Narrow" w:cs="Calibri"/>
                <w:b w:val="0"/>
                <w:bCs w:val="0"/>
                <w:sz w:val="20"/>
                <w:szCs w:val="20"/>
                <w:lang w:val="pt-BR"/>
              </w:rPr>
            </w:pPr>
            <w:r w:rsidRPr="008D2D8C">
              <w:rPr>
                <w:rFonts w:ascii="Arial Narrow" w:hAnsi="Arial Narrow" w:cs="Calibri"/>
                <w:b w:val="0"/>
                <w:bCs w:val="0"/>
                <w:sz w:val="20"/>
                <w:szCs w:val="20"/>
                <w:lang w:val="sq-AL"/>
              </w:rPr>
              <w:t>N.T.P. " Niti -Com"</w:t>
            </w:r>
          </w:p>
        </w:tc>
        <w:tc>
          <w:tcPr>
            <w:tcW w:w="696" w:type="pct"/>
          </w:tcPr>
          <w:p w14:paraId="6DF498F7" w14:textId="55344751" w:rsidR="00897230" w:rsidRPr="001D5677" w:rsidRDefault="00897230" w:rsidP="00897230">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r w:rsidRPr="008D2D8C">
              <w:rPr>
                <w:rFonts w:ascii="Arial Narrow" w:hAnsi="Arial Narrow"/>
                <w:sz w:val="20"/>
                <w:szCs w:val="20"/>
                <w:lang w:val="sq-AL"/>
              </w:rPr>
              <w:t>Istog</w:t>
            </w:r>
          </w:p>
        </w:tc>
        <w:tc>
          <w:tcPr>
            <w:tcW w:w="1134" w:type="pct"/>
          </w:tcPr>
          <w:p w14:paraId="5B9D2CA5" w14:textId="2012EBAC" w:rsidR="00897230" w:rsidRPr="001D5677" w:rsidRDefault="00897230" w:rsidP="00897230">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r w:rsidRPr="00561EA5">
              <w:rPr>
                <w:rFonts w:ascii="Arial Narrow" w:hAnsi="Arial Narrow"/>
                <w:sz w:val="20"/>
                <w:szCs w:val="20"/>
                <w:lang w:val="sq-AL"/>
              </w:rPr>
              <w:t>Automjetet</w:t>
            </w:r>
            <w:r>
              <w:rPr>
                <w:rFonts w:ascii="Arial Narrow" w:hAnsi="Arial Narrow"/>
                <w:sz w:val="20"/>
                <w:szCs w:val="20"/>
                <w:lang w:val="sq-AL"/>
              </w:rPr>
              <w:t xml:space="preserve"> Mbeturinë</w:t>
            </w:r>
            <w:r w:rsidRPr="00561EA5">
              <w:rPr>
                <w:rFonts w:ascii="Arial Narrow" w:hAnsi="Arial Narrow"/>
                <w:sz w:val="20"/>
                <w:szCs w:val="20"/>
                <w:lang w:val="sq-AL"/>
              </w:rPr>
              <w:t xml:space="preserve"> dhe mbet</w:t>
            </w:r>
            <w:r>
              <w:rPr>
                <w:rFonts w:ascii="Arial Narrow" w:hAnsi="Arial Narrow"/>
                <w:sz w:val="20"/>
                <w:szCs w:val="20"/>
                <w:lang w:val="sq-AL"/>
              </w:rPr>
              <w:t>urinat</w:t>
            </w:r>
            <w:r w:rsidRPr="00561EA5">
              <w:rPr>
                <w:rFonts w:ascii="Arial Narrow" w:hAnsi="Arial Narrow"/>
                <w:sz w:val="20"/>
                <w:szCs w:val="20"/>
                <w:lang w:val="sq-AL"/>
              </w:rPr>
              <w:t xml:space="preserve"> metalike, grumbullimi i plastikës, metaleve, etj.</w:t>
            </w:r>
          </w:p>
        </w:tc>
        <w:tc>
          <w:tcPr>
            <w:tcW w:w="2185" w:type="pct"/>
          </w:tcPr>
          <w:p w14:paraId="37C6ABF4" w14:textId="29D722E7" w:rsidR="00897230" w:rsidRPr="001D5677" w:rsidRDefault="00897230" w:rsidP="00897230">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r w:rsidRPr="00561EA5">
              <w:rPr>
                <w:rFonts w:ascii="Arial Narrow" w:hAnsi="Arial Narrow"/>
                <w:sz w:val="20"/>
                <w:szCs w:val="20"/>
                <w:lang w:val="sq-AL"/>
              </w:rPr>
              <w:t>Grumbullimi, përpunimi, trajtimi, presimi dhe riciklimi i automjeteve skrap, grumbullimi i plastikës dhe metalit</w:t>
            </w:r>
          </w:p>
        </w:tc>
      </w:tr>
      <w:tr w:rsidR="00897230" w:rsidRPr="001D5677" w14:paraId="4C6BCCDA" w14:textId="77777777" w:rsidTr="00897230">
        <w:trPr>
          <w:trHeight w:val="113"/>
        </w:trPr>
        <w:tc>
          <w:tcPr>
            <w:cnfStyle w:val="001000000000" w:firstRow="0" w:lastRow="0" w:firstColumn="1" w:lastColumn="0" w:oddVBand="0" w:evenVBand="0" w:oddHBand="0" w:evenHBand="0" w:firstRowFirstColumn="0" w:firstRowLastColumn="0" w:lastRowFirstColumn="0" w:lastRowLastColumn="0"/>
            <w:tcW w:w="985" w:type="pct"/>
          </w:tcPr>
          <w:p w14:paraId="095E6509" w14:textId="77777777" w:rsidR="00897230" w:rsidRPr="008D2D8C" w:rsidRDefault="00897230" w:rsidP="00897230">
            <w:pPr>
              <w:rPr>
                <w:rFonts w:ascii="Arial Narrow" w:hAnsi="Arial Narrow" w:cs="Calibri Light"/>
                <w:b w:val="0"/>
                <w:bCs w:val="0"/>
                <w:color w:val="000000" w:themeColor="text1"/>
                <w:sz w:val="20"/>
                <w:szCs w:val="20"/>
                <w:lang w:val="sq-AL"/>
              </w:rPr>
            </w:pPr>
            <w:r w:rsidRPr="008D2D8C">
              <w:rPr>
                <w:rFonts w:ascii="Arial Narrow" w:hAnsi="Arial Narrow" w:cs="Calibri Light"/>
                <w:b w:val="0"/>
                <w:bCs w:val="0"/>
                <w:color w:val="000000" w:themeColor="text1"/>
                <w:sz w:val="20"/>
                <w:szCs w:val="20"/>
                <w:lang w:val="sq-AL"/>
              </w:rPr>
              <w:t>EVOLVE SRL S L.L.C.</w:t>
            </w:r>
          </w:p>
          <w:p w14:paraId="0556B668" w14:textId="77777777" w:rsidR="00897230" w:rsidRPr="008D2D8C" w:rsidRDefault="00897230" w:rsidP="00897230">
            <w:pPr>
              <w:rPr>
                <w:rFonts w:ascii="Arial Narrow" w:hAnsi="Arial Narrow" w:cs="Calibri"/>
                <w:b w:val="0"/>
                <w:bCs w:val="0"/>
                <w:sz w:val="20"/>
                <w:szCs w:val="20"/>
                <w:lang w:val="sq-AL"/>
              </w:rPr>
            </w:pPr>
          </w:p>
          <w:p w14:paraId="5E859FCB" w14:textId="6AA066BB" w:rsidR="00897230" w:rsidRPr="001D5677" w:rsidRDefault="00897230" w:rsidP="00897230">
            <w:pPr>
              <w:rPr>
                <w:rFonts w:ascii="Arial Narrow" w:hAnsi="Arial Narrow" w:cs="Calibri"/>
                <w:b w:val="0"/>
                <w:bCs w:val="0"/>
                <w:sz w:val="20"/>
                <w:szCs w:val="20"/>
              </w:rPr>
            </w:pPr>
            <w:r w:rsidRPr="008D2D8C">
              <w:rPr>
                <w:rFonts w:ascii="Arial Narrow" w:hAnsi="Arial Narrow" w:cs="Calibri"/>
                <w:b w:val="0"/>
                <w:bCs w:val="0"/>
                <w:sz w:val="20"/>
                <w:szCs w:val="20"/>
                <w:lang w:val="sq-AL"/>
              </w:rPr>
              <w:t>Eli SH.P.K.</w:t>
            </w:r>
          </w:p>
        </w:tc>
        <w:tc>
          <w:tcPr>
            <w:tcW w:w="696" w:type="pct"/>
          </w:tcPr>
          <w:p w14:paraId="475016BF" w14:textId="4A527476" w:rsidR="00897230" w:rsidRPr="001D5677" w:rsidRDefault="00897230" w:rsidP="00897230">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r w:rsidRPr="008D2D8C">
              <w:rPr>
                <w:rFonts w:ascii="Arial Narrow" w:hAnsi="Arial Narrow"/>
                <w:sz w:val="20"/>
                <w:szCs w:val="20"/>
                <w:lang w:val="sq-AL"/>
              </w:rPr>
              <w:t>Klinë</w:t>
            </w:r>
          </w:p>
        </w:tc>
        <w:tc>
          <w:tcPr>
            <w:tcW w:w="1134" w:type="pct"/>
          </w:tcPr>
          <w:p w14:paraId="66857BB8" w14:textId="41AE45FF" w:rsidR="00897230" w:rsidRPr="001D5677" w:rsidRDefault="00897230" w:rsidP="00897230">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r w:rsidRPr="00561EA5">
              <w:rPr>
                <w:rFonts w:ascii="Arial Narrow" w:hAnsi="Arial Narrow"/>
                <w:sz w:val="20"/>
                <w:szCs w:val="20"/>
                <w:lang w:val="sq-AL"/>
              </w:rPr>
              <w:t>Automjetet</w:t>
            </w:r>
            <w:r>
              <w:rPr>
                <w:rFonts w:ascii="Arial Narrow" w:hAnsi="Arial Narrow"/>
                <w:sz w:val="20"/>
                <w:szCs w:val="20"/>
                <w:lang w:val="sq-AL"/>
              </w:rPr>
              <w:t xml:space="preserve"> Mbeturinë</w:t>
            </w:r>
            <w:r w:rsidRPr="00561EA5">
              <w:rPr>
                <w:rFonts w:ascii="Arial Narrow" w:hAnsi="Arial Narrow"/>
                <w:sz w:val="20"/>
                <w:szCs w:val="20"/>
                <w:lang w:val="sq-AL"/>
              </w:rPr>
              <w:t xml:space="preserve"> dhe mbet</w:t>
            </w:r>
            <w:r>
              <w:rPr>
                <w:rFonts w:ascii="Arial Narrow" w:hAnsi="Arial Narrow"/>
                <w:sz w:val="20"/>
                <w:szCs w:val="20"/>
                <w:lang w:val="sq-AL"/>
              </w:rPr>
              <w:t>urinat</w:t>
            </w:r>
            <w:r w:rsidRPr="00561EA5">
              <w:rPr>
                <w:rFonts w:ascii="Arial Narrow" w:hAnsi="Arial Narrow"/>
                <w:sz w:val="20"/>
                <w:szCs w:val="20"/>
                <w:lang w:val="sq-AL"/>
              </w:rPr>
              <w:t xml:space="preserve"> metalike, grumbullimi i plastikës, metaleve, etj.</w:t>
            </w:r>
          </w:p>
        </w:tc>
        <w:tc>
          <w:tcPr>
            <w:tcW w:w="2185" w:type="pct"/>
          </w:tcPr>
          <w:p w14:paraId="29E835FC" w14:textId="491B7C9C" w:rsidR="00897230" w:rsidRPr="001D5677" w:rsidRDefault="00897230" w:rsidP="00897230">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r w:rsidRPr="00561EA5">
              <w:rPr>
                <w:rFonts w:ascii="Arial Narrow" w:hAnsi="Arial Narrow"/>
                <w:sz w:val="20"/>
                <w:szCs w:val="20"/>
                <w:lang w:val="sq-AL"/>
              </w:rPr>
              <w:t>Grumbullimi, përpunimi, trajtimi, presimi dhe riciklimi i automjeteve skrap, grumbullimi i plastikës dhe metalit</w:t>
            </w:r>
          </w:p>
        </w:tc>
      </w:tr>
      <w:tr w:rsidR="00897230" w:rsidRPr="001D5677" w14:paraId="715A628C" w14:textId="77777777" w:rsidTr="00897230">
        <w:trPr>
          <w:trHeight w:val="113"/>
        </w:trPr>
        <w:tc>
          <w:tcPr>
            <w:cnfStyle w:val="001000000000" w:firstRow="0" w:lastRow="0" w:firstColumn="1" w:lastColumn="0" w:oddVBand="0" w:evenVBand="0" w:oddHBand="0" w:evenHBand="0" w:firstRowFirstColumn="0" w:firstRowLastColumn="0" w:lastRowFirstColumn="0" w:lastRowLastColumn="0"/>
            <w:tcW w:w="985" w:type="pct"/>
          </w:tcPr>
          <w:p w14:paraId="5673BC74" w14:textId="77777777" w:rsidR="00897230" w:rsidRPr="008D2D8C" w:rsidRDefault="00897230" w:rsidP="00897230">
            <w:pPr>
              <w:rPr>
                <w:rFonts w:ascii="Arial Narrow" w:hAnsi="Arial Narrow" w:cs="Calibri"/>
                <w:b w:val="0"/>
                <w:bCs w:val="0"/>
                <w:sz w:val="20"/>
                <w:szCs w:val="20"/>
                <w:lang w:val="sq-AL"/>
              </w:rPr>
            </w:pPr>
            <w:r w:rsidRPr="008D2D8C">
              <w:rPr>
                <w:rFonts w:ascii="Arial Narrow" w:hAnsi="Arial Narrow" w:cs="Calibri"/>
                <w:b w:val="0"/>
                <w:bCs w:val="0"/>
                <w:sz w:val="20"/>
                <w:szCs w:val="20"/>
                <w:lang w:val="sq-AL"/>
              </w:rPr>
              <w:t>DEKOR SH.P.K.</w:t>
            </w:r>
          </w:p>
          <w:p w14:paraId="31118C07" w14:textId="77777777" w:rsidR="00897230" w:rsidRPr="008D2D8C" w:rsidRDefault="00897230" w:rsidP="00897230">
            <w:pPr>
              <w:rPr>
                <w:rFonts w:ascii="Arial Narrow" w:hAnsi="Arial Narrow" w:cs="Calibri"/>
                <w:b w:val="0"/>
                <w:bCs w:val="0"/>
                <w:sz w:val="20"/>
                <w:szCs w:val="20"/>
                <w:lang w:val="sq-AL"/>
              </w:rPr>
            </w:pPr>
          </w:p>
          <w:p w14:paraId="5E9EABE6" w14:textId="0935B2E0" w:rsidR="00897230" w:rsidRPr="001D5677" w:rsidRDefault="00897230" w:rsidP="00897230">
            <w:pPr>
              <w:rPr>
                <w:rFonts w:ascii="Arial Narrow" w:hAnsi="Arial Narrow" w:cs="Calibri"/>
                <w:b w:val="0"/>
                <w:bCs w:val="0"/>
                <w:sz w:val="20"/>
                <w:szCs w:val="20"/>
              </w:rPr>
            </w:pPr>
            <w:r w:rsidRPr="008D2D8C">
              <w:rPr>
                <w:rFonts w:ascii="Arial Narrow" w:hAnsi="Arial Narrow" w:cs="Calibri"/>
                <w:b w:val="0"/>
                <w:bCs w:val="0"/>
                <w:sz w:val="20"/>
                <w:szCs w:val="20"/>
                <w:lang w:val="sq-AL"/>
              </w:rPr>
              <w:t>Valmir Zogaj B.I.</w:t>
            </w:r>
          </w:p>
        </w:tc>
        <w:tc>
          <w:tcPr>
            <w:tcW w:w="696" w:type="pct"/>
          </w:tcPr>
          <w:p w14:paraId="08357531" w14:textId="07BAE675" w:rsidR="00897230" w:rsidRPr="001D5677" w:rsidRDefault="00897230" w:rsidP="00897230">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r w:rsidRPr="008D2D8C">
              <w:rPr>
                <w:rFonts w:ascii="Arial Narrow" w:hAnsi="Arial Narrow"/>
                <w:sz w:val="20"/>
                <w:szCs w:val="20"/>
                <w:lang w:val="sq-AL"/>
              </w:rPr>
              <w:t>Deçan</w:t>
            </w:r>
          </w:p>
        </w:tc>
        <w:tc>
          <w:tcPr>
            <w:tcW w:w="1134" w:type="pct"/>
          </w:tcPr>
          <w:p w14:paraId="05DD9C17" w14:textId="17A50911" w:rsidR="00897230" w:rsidRPr="001D5677" w:rsidRDefault="00897230" w:rsidP="00897230">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r w:rsidRPr="00561EA5">
              <w:rPr>
                <w:rFonts w:ascii="Arial Narrow" w:hAnsi="Arial Narrow" w:cs="Calibri"/>
                <w:sz w:val="20"/>
                <w:szCs w:val="20"/>
                <w:lang w:val="sq-AL"/>
              </w:rPr>
              <w:t>Grumbullimi i mbet</w:t>
            </w:r>
            <w:r>
              <w:rPr>
                <w:rFonts w:ascii="Arial Narrow" w:hAnsi="Arial Narrow" w:cs="Calibri"/>
                <w:sz w:val="20"/>
                <w:szCs w:val="20"/>
                <w:lang w:val="sq-AL"/>
              </w:rPr>
              <w:t>urinave</w:t>
            </w:r>
            <w:r w:rsidRPr="00561EA5">
              <w:rPr>
                <w:rFonts w:ascii="Arial Narrow" w:hAnsi="Arial Narrow" w:cs="Calibri"/>
                <w:sz w:val="20"/>
                <w:szCs w:val="20"/>
                <w:lang w:val="sq-AL"/>
              </w:rPr>
              <w:t xml:space="preserve"> jo të rrezikshme (veprimtari dytësore)</w:t>
            </w:r>
          </w:p>
        </w:tc>
        <w:tc>
          <w:tcPr>
            <w:tcW w:w="2185" w:type="pct"/>
          </w:tcPr>
          <w:p w14:paraId="21B9D62E" w14:textId="55BDE43F" w:rsidR="00897230" w:rsidRPr="001D5677" w:rsidRDefault="00897230" w:rsidP="00897230">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r w:rsidRPr="00561EA5">
              <w:rPr>
                <w:rFonts w:ascii="Arial Narrow" w:hAnsi="Arial Narrow"/>
                <w:sz w:val="20"/>
                <w:szCs w:val="20"/>
                <w:lang w:val="sq-AL"/>
              </w:rPr>
              <w:t>Grumbullimi, përpunimi, trajtimi, presimi dhe riciklimi i automjeteve skrap, grumbullimi i plastikës dhe metalit</w:t>
            </w:r>
          </w:p>
        </w:tc>
      </w:tr>
      <w:tr w:rsidR="005F0FA9" w:rsidRPr="001D5677" w14:paraId="171E6F36" w14:textId="77777777" w:rsidTr="00897230">
        <w:trPr>
          <w:trHeight w:val="113"/>
        </w:trPr>
        <w:tc>
          <w:tcPr>
            <w:cnfStyle w:val="001000000000" w:firstRow="0" w:lastRow="0" w:firstColumn="1" w:lastColumn="0" w:oddVBand="0" w:evenVBand="0" w:oddHBand="0" w:evenHBand="0" w:firstRowFirstColumn="0" w:firstRowLastColumn="0" w:lastRowFirstColumn="0" w:lastRowLastColumn="0"/>
            <w:tcW w:w="985" w:type="pct"/>
          </w:tcPr>
          <w:p w14:paraId="33838BC6" w14:textId="335CEEB8" w:rsidR="005F0FA9" w:rsidRPr="001D5677" w:rsidRDefault="005F0FA9" w:rsidP="005A3723">
            <w:pPr>
              <w:rPr>
                <w:rFonts w:ascii="Arial Narrow" w:hAnsi="Arial Narrow" w:cs="Calibri"/>
                <w:b w:val="0"/>
                <w:bCs w:val="0"/>
                <w:sz w:val="20"/>
                <w:szCs w:val="20"/>
              </w:rPr>
            </w:pPr>
            <w:r w:rsidRPr="001D5677">
              <w:rPr>
                <w:rFonts w:ascii="Arial Narrow" w:hAnsi="Arial Narrow" w:cs="Calibri"/>
                <w:b w:val="0"/>
                <w:bCs w:val="0"/>
                <w:sz w:val="20"/>
                <w:szCs w:val="20"/>
              </w:rPr>
              <w:t>N/A</w:t>
            </w:r>
          </w:p>
        </w:tc>
        <w:tc>
          <w:tcPr>
            <w:tcW w:w="696" w:type="pct"/>
          </w:tcPr>
          <w:p w14:paraId="5895E898" w14:textId="0F3EE396" w:rsidR="005F0FA9" w:rsidRPr="001D5677" w:rsidRDefault="005F0FA9" w:rsidP="005A3723">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r w:rsidRPr="001D5677">
              <w:rPr>
                <w:rFonts w:ascii="Arial Narrow" w:hAnsi="Arial Narrow"/>
                <w:sz w:val="20"/>
                <w:szCs w:val="20"/>
              </w:rPr>
              <w:t>Junik</w:t>
            </w:r>
          </w:p>
        </w:tc>
        <w:tc>
          <w:tcPr>
            <w:tcW w:w="1134" w:type="pct"/>
          </w:tcPr>
          <w:p w14:paraId="0A08FBDE" w14:textId="7AADA3B1" w:rsidR="005F0FA9" w:rsidRPr="001D5677" w:rsidRDefault="005F0FA9" w:rsidP="005A3723">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r w:rsidRPr="001D5677">
              <w:rPr>
                <w:rFonts w:ascii="Arial Narrow" w:hAnsi="Arial Narrow" w:cs="Calibri"/>
                <w:sz w:val="20"/>
                <w:szCs w:val="20"/>
              </w:rPr>
              <w:t>N/A</w:t>
            </w:r>
          </w:p>
        </w:tc>
        <w:tc>
          <w:tcPr>
            <w:tcW w:w="2185" w:type="pct"/>
          </w:tcPr>
          <w:p w14:paraId="15B335AA" w14:textId="726DB1F6" w:rsidR="005F0FA9" w:rsidRPr="001D5677" w:rsidRDefault="005F0FA9" w:rsidP="005A3723">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r w:rsidRPr="001D5677">
              <w:rPr>
                <w:rFonts w:ascii="Arial Narrow" w:hAnsi="Arial Narrow" w:cs="Calibri"/>
                <w:sz w:val="20"/>
                <w:szCs w:val="20"/>
              </w:rPr>
              <w:t>N/A</w:t>
            </w:r>
          </w:p>
        </w:tc>
      </w:tr>
    </w:tbl>
    <w:p w14:paraId="73401AEF" w14:textId="77777777" w:rsidR="00032CD8" w:rsidRPr="000A0FEF" w:rsidRDefault="00032CD8" w:rsidP="00032CD8">
      <w:pPr>
        <w:rPr>
          <w:rFonts w:eastAsia="Calibri" w:cs="Calibri"/>
          <w:sz w:val="22"/>
          <w:szCs w:val="22"/>
          <w:lang w:val="bg-BG"/>
        </w:rPr>
      </w:pPr>
    </w:p>
    <w:p w14:paraId="160711B9" w14:textId="5E2E04D0" w:rsidR="00032CD8" w:rsidRPr="00C21444" w:rsidRDefault="00032CD8" w:rsidP="002254E8">
      <w:pPr>
        <w:pStyle w:val="Heading3"/>
      </w:pPr>
      <w:bookmarkStart w:id="245" w:name="_Toc153872135"/>
      <w:bookmarkStart w:id="246" w:name="_Toc170470840"/>
      <w:bookmarkStart w:id="247" w:name="_Toc197471988"/>
      <w:r w:rsidRPr="00C21444">
        <w:t>Mbet</w:t>
      </w:r>
      <w:r w:rsidR="00897230">
        <w:t xml:space="preserve">urinat </w:t>
      </w:r>
      <w:r w:rsidRPr="00C21444">
        <w:t xml:space="preserve">e rrezikshme </w:t>
      </w:r>
      <w:r w:rsidR="00897230">
        <w:t>të amvisërisë</w:t>
      </w:r>
      <w:bookmarkEnd w:id="245"/>
      <w:bookmarkEnd w:id="246"/>
      <w:bookmarkEnd w:id="247"/>
    </w:p>
    <w:p w14:paraId="283FAEAA" w14:textId="62C181F3" w:rsidR="00032CD8" w:rsidRPr="00AF0235" w:rsidRDefault="00AA18FC" w:rsidP="000A28BC">
      <w:pPr>
        <w:pStyle w:val="Paragraph"/>
        <w:rPr>
          <w:rFonts w:eastAsia="Calibri"/>
        </w:rPr>
      </w:pPr>
      <w:r w:rsidRPr="00AA18FC">
        <w:rPr>
          <w:rFonts w:eastAsia="Calibri"/>
        </w:rPr>
        <w:t xml:space="preserve">Asnjë nga komunat në Rajonin e Dukagjinit nuk zbaton një sistem për </w:t>
      </w:r>
      <w:r w:rsidR="00897230">
        <w:rPr>
          <w:rFonts w:eastAsia="Calibri"/>
        </w:rPr>
        <w:t>grumbullimin ndaras</w:t>
      </w:r>
      <w:r w:rsidRPr="00AA18FC">
        <w:rPr>
          <w:rFonts w:eastAsia="Calibri"/>
        </w:rPr>
        <w:t xml:space="preserve"> të mbeturinave të rrezikshme </w:t>
      </w:r>
      <w:r w:rsidR="00496136">
        <w:rPr>
          <w:rFonts w:eastAsia="Calibri"/>
        </w:rPr>
        <w:t>amvisërisë</w:t>
      </w:r>
      <w:r w:rsidRPr="00AA18FC">
        <w:rPr>
          <w:rFonts w:eastAsia="Calibri"/>
        </w:rPr>
        <w:t xml:space="preserve"> (MR</w:t>
      </w:r>
      <w:r w:rsidR="00496136">
        <w:rPr>
          <w:rFonts w:eastAsia="Calibri"/>
        </w:rPr>
        <w:t>rA</w:t>
      </w:r>
      <w:r w:rsidRPr="00AA18FC">
        <w:rPr>
          <w:rFonts w:eastAsia="Calibri"/>
        </w:rPr>
        <w:t>).</w:t>
      </w:r>
    </w:p>
    <w:p w14:paraId="4A30ACCB" w14:textId="1EA939B1" w:rsidR="00032CD8" w:rsidRPr="00C21444" w:rsidRDefault="00032CD8" w:rsidP="002254E8">
      <w:pPr>
        <w:pStyle w:val="Heading3"/>
      </w:pPr>
      <w:bookmarkStart w:id="248" w:name="_Toc153872136"/>
      <w:bookmarkStart w:id="249" w:name="_Toc170470841"/>
      <w:bookmarkStart w:id="250" w:name="_Toc197471989"/>
      <w:r w:rsidRPr="00C21444">
        <w:t>Mbet</w:t>
      </w:r>
      <w:r w:rsidR="00496136">
        <w:t>urinat</w:t>
      </w:r>
      <w:r w:rsidRPr="00C21444">
        <w:t xml:space="preserve"> </w:t>
      </w:r>
      <w:r w:rsidR="00496136">
        <w:t>medicinale</w:t>
      </w:r>
      <w:bookmarkEnd w:id="248"/>
      <w:bookmarkEnd w:id="249"/>
      <w:bookmarkEnd w:id="250"/>
    </w:p>
    <w:p w14:paraId="217BB36D" w14:textId="77777777" w:rsidR="00496136" w:rsidRPr="00561EA5" w:rsidRDefault="00496136" w:rsidP="00496136">
      <w:pPr>
        <w:pStyle w:val="Paragraph"/>
        <w:rPr>
          <w:rFonts w:eastAsia="Calibri"/>
          <w:lang w:val="sq-AL"/>
        </w:rPr>
      </w:pPr>
      <w:r w:rsidRPr="00561EA5">
        <w:rPr>
          <w:rFonts w:eastAsia="Calibri"/>
          <w:lang w:val="sq-AL"/>
        </w:rPr>
        <w:t>Ligji nr. 04/L-125 për Shëndetësinë organizon shërbimet shëndetësore për institucionet shëndetësore të tri niveleve: primar, sekondar dhe terciar, dhe bën dallimin ndërmjet shërbimeve shëndetësore të ofruara nga institucionet publike, private dhe publike-private.</w:t>
      </w:r>
    </w:p>
    <w:p w14:paraId="739ABBC5" w14:textId="219F1878" w:rsidR="009A1ADD" w:rsidRDefault="00496136" w:rsidP="00496136">
      <w:pPr>
        <w:pStyle w:val="Paragraph"/>
        <w:rPr>
          <w:rFonts w:eastAsia="Calibri"/>
        </w:rPr>
      </w:pPr>
      <w:r w:rsidRPr="00561EA5">
        <w:rPr>
          <w:rFonts w:eastAsia="Calibri"/>
          <w:lang w:val="sq-AL"/>
        </w:rPr>
        <w:t>Sa i përket institucioneve të kujdesit parësor shëndetësor (IK</w:t>
      </w:r>
      <w:r>
        <w:rPr>
          <w:rFonts w:eastAsia="Calibri"/>
          <w:lang w:val="sq-AL"/>
        </w:rPr>
        <w:t>P</w:t>
      </w:r>
      <w:r w:rsidRPr="00561EA5">
        <w:rPr>
          <w:rFonts w:eastAsia="Calibri"/>
          <w:lang w:val="sq-AL"/>
        </w:rPr>
        <w:t xml:space="preserve">SH), në çdo komunë ekziston Qendra Kryesore e </w:t>
      </w:r>
      <w:r>
        <w:rPr>
          <w:rFonts w:eastAsia="Calibri"/>
          <w:lang w:val="sq-AL"/>
        </w:rPr>
        <w:t xml:space="preserve">Mjekësisë </w:t>
      </w:r>
      <w:r w:rsidRPr="00561EA5">
        <w:rPr>
          <w:rFonts w:eastAsia="Calibri"/>
          <w:lang w:val="sq-AL"/>
        </w:rPr>
        <w:t>Familjar</w:t>
      </w:r>
      <w:r>
        <w:rPr>
          <w:rFonts w:eastAsia="Calibri"/>
          <w:lang w:val="sq-AL"/>
        </w:rPr>
        <w:t>e</w:t>
      </w:r>
      <w:r w:rsidRPr="00561EA5">
        <w:rPr>
          <w:rFonts w:eastAsia="Calibri"/>
          <w:lang w:val="sq-AL"/>
        </w:rPr>
        <w:t xml:space="preserve"> (QKMF) si njësi parësore me njësitë e saj përbërëse përkatëse: Qendrat e Mjekësisë Familjare (QMF) dhe Ambula</w:t>
      </w:r>
      <w:r>
        <w:rPr>
          <w:rFonts w:eastAsia="Calibri"/>
          <w:lang w:val="sq-AL"/>
        </w:rPr>
        <w:t>ntat</w:t>
      </w:r>
      <w:r w:rsidRPr="00561EA5">
        <w:rPr>
          <w:rFonts w:eastAsia="Calibri"/>
          <w:lang w:val="sq-AL"/>
        </w:rPr>
        <w:t xml:space="preserve"> e Mjekësisë Familjare (</w:t>
      </w:r>
      <w:r>
        <w:rPr>
          <w:rFonts w:eastAsia="Calibri"/>
          <w:lang w:val="sq-AL"/>
        </w:rPr>
        <w:t>A</w:t>
      </w:r>
      <w:r w:rsidRPr="00561EA5">
        <w:rPr>
          <w:rFonts w:eastAsia="Calibri"/>
          <w:lang w:val="sq-AL"/>
        </w:rPr>
        <w:t>MF). Një pjesë e shërbimeve të kujdesit shëndetësor sekondar dhe terciar organizohen përmes 7 spitaleve rajonale, duke përfshirë një në Pejë</w:t>
      </w:r>
      <w:r w:rsidR="009A1ADD">
        <w:rPr>
          <w:rFonts w:eastAsia="Calibri"/>
        </w:rPr>
        <w:t>.</w:t>
      </w:r>
    </w:p>
    <w:p w14:paraId="202B830C" w14:textId="77777777" w:rsidR="00496136" w:rsidRDefault="00496136" w:rsidP="00496136">
      <w:pPr>
        <w:pStyle w:val="Paragraph"/>
        <w:rPr>
          <w:rFonts w:eastAsia="Calibri"/>
        </w:rPr>
      </w:pPr>
    </w:p>
    <w:p w14:paraId="71BAA268" w14:textId="77777777" w:rsidR="008735EF" w:rsidRDefault="008735EF" w:rsidP="00496136">
      <w:pPr>
        <w:pStyle w:val="Paragraph"/>
        <w:rPr>
          <w:rFonts w:eastAsia="Calibri"/>
        </w:rPr>
      </w:pPr>
    </w:p>
    <w:p w14:paraId="5EBA546C" w14:textId="77777777" w:rsidR="008735EF" w:rsidRDefault="008735EF" w:rsidP="00496136">
      <w:pPr>
        <w:pStyle w:val="Paragraph"/>
        <w:rPr>
          <w:rFonts w:eastAsia="Calibri"/>
        </w:rPr>
      </w:pPr>
    </w:p>
    <w:p w14:paraId="04A1CE8D" w14:textId="7D7C7BB3" w:rsidR="001C7BC4" w:rsidRPr="007F50ED" w:rsidRDefault="001C7BC4" w:rsidP="007F50ED">
      <w:pPr>
        <w:suppressAutoHyphens/>
        <w:rPr>
          <w:rFonts w:ascii="Arial Narrow" w:eastAsia="Calibri" w:hAnsi="Arial Narrow" w:cs="Calibri"/>
          <w:color w:val="1F497D"/>
          <w:sz w:val="20"/>
          <w:szCs w:val="20"/>
        </w:rPr>
      </w:pPr>
      <w:bookmarkStart w:id="251" w:name="_Toc197472222"/>
      <w:r w:rsidRPr="007F50ED">
        <w:rPr>
          <w:rFonts w:ascii="Arial Narrow" w:eastAsia="Calibri" w:hAnsi="Arial Narrow" w:cs="Calibri"/>
          <w:color w:val="1F497D"/>
          <w:sz w:val="20"/>
          <w:szCs w:val="20"/>
        </w:rPr>
        <w:lastRenderedPageBreak/>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37. </w:t>
      </w:r>
      <w:r w:rsidRPr="007F50ED">
        <w:rPr>
          <w:rFonts w:ascii="Arial Narrow" w:eastAsia="Calibri" w:hAnsi="Arial Narrow" w:cs="Calibri"/>
          <w:color w:val="1F497D"/>
          <w:sz w:val="20"/>
          <w:szCs w:val="20"/>
        </w:rPr>
        <w:fldChar w:fldCharType="end"/>
      </w:r>
      <w:r w:rsidR="00496136">
        <w:rPr>
          <w:rFonts w:ascii="Arial Narrow" w:eastAsia="Calibri" w:hAnsi="Arial Narrow" w:cs="Calibri"/>
          <w:color w:val="1F497D"/>
          <w:sz w:val="20"/>
          <w:szCs w:val="20"/>
        </w:rPr>
        <w:t xml:space="preserve">Mbeturinat medicinale të </w:t>
      </w:r>
      <w:r w:rsidRPr="007F50ED">
        <w:rPr>
          <w:rFonts w:ascii="Arial Narrow" w:eastAsia="Calibri" w:hAnsi="Arial Narrow" w:cs="Calibri"/>
          <w:color w:val="1F497D"/>
          <w:sz w:val="20"/>
          <w:szCs w:val="20"/>
        </w:rPr>
        <w:t>gjeneruar</w:t>
      </w:r>
      <w:r w:rsidR="00496136">
        <w:rPr>
          <w:rFonts w:ascii="Arial Narrow" w:eastAsia="Calibri" w:hAnsi="Arial Narrow" w:cs="Calibri"/>
          <w:color w:val="1F497D"/>
          <w:sz w:val="20"/>
          <w:szCs w:val="20"/>
        </w:rPr>
        <w:t>a</w:t>
      </w:r>
      <w:r w:rsidRPr="007F50ED">
        <w:rPr>
          <w:rFonts w:ascii="Arial Narrow" w:eastAsia="Calibri" w:hAnsi="Arial Narrow" w:cs="Calibri"/>
          <w:color w:val="1F497D"/>
          <w:sz w:val="20"/>
          <w:szCs w:val="20"/>
        </w:rPr>
        <w:t xml:space="preserve"> </w:t>
      </w:r>
      <w:r w:rsidR="00496136">
        <w:rPr>
          <w:rFonts w:ascii="Arial Narrow" w:eastAsia="Calibri" w:hAnsi="Arial Narrow" w:cs="Calibri"/>
          <w:color w:val="1F497D"/>
          <w:sz w:val="20"/>
          <w:szCs w:val="20"/>
        </w:rPr>
        <w:t>në</w:t>
      </w:r>
      <w:r w:rsidRPr="007F50ED">
        <w:rPr>
          <w:rFonts w:ascii="Arial Narrow" w:eastAsia="Calibri" w:hAnsi="Arial Narrow" w:cs="Calibri"/>
          <w:color w:val="1F497D"/>
          <w:sz w:val="20"/>
          <w:szCs w:val="20"/>
        </w:rPr>
        <w:t xml:space="preserve"> spitali</w:t>
      </w:r>
      <w:r w:rsidR="00496136">
        <w:rPr>
          <w:rFonts w:ascii="Arial Narrow" w:eastAsia="Calibri" w:hAnsi="Arial Narrow" w:cs="Calibri"/>
          <w:color w:val="1F497D"/>
          <w:sz w:val="20"/>
          <w:szCs w:val="20"/>
        </w:rPr>
        <w:t>n</w:t>
      </w:r>
      <w:r w:rsidRPr="007F50ED">
        <w:rPr>
          <w:rFonts w:ascii="Arial Narrow" w:eastAsia="Calibri" w:hAnsi="Arial Narrow" w:cs="Calibri"/>
          <w:color w:val="1F497D"/>
          <w:sz w:val="20"/>
          <w:szCs w:val="20"/>
        </w:rPr>
        <w:t xml:space="preserve"> rajonal në Pejë</w:t>
      </w:r>
      <w:bookmarkEnd w:id="251"/>
    </w:p>
    <w:tbl>
      <w:tblPr>
        <w:tblStyle w:val="TableGridLigh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988"/>
        <w:gridCol w:w="990"/>
        <w:gridCol w:w="995"/>
        <w:gridCol w:w="990"/>
        <w:gridCol w:w="988"/>
        <w:gridCol w:w="992"/>
        <w:gridCol w:w="990"/>
        <w:gridCol w:w="990"/>
        <w:gridCol w:w="1093"/>
      </w:tblGrid>
      <w:tr w:rsidR="00E35D1F" w:rsidRPr="00E35D1F" w14:paraId="30E74A74" w14:textId="77777777" w:rsidTr="00750949">
        <w:trPr>
          <w:trHeight w:val="227"/>
          <w:tblHeader/>
        </w:trPr>
        <w:tc>
          <w:tcPr>
            <w:tcW w:w="1649" w:type="pct"/>
            <w:gridSpan w:val="3"/>
            <w:shd w:val="clear" w:color="auto" w:fill="365F91"/>
          </w:tcPr>
          <w:p w14:paraId="344CD76A" w14:textId="77777777" w:rsidR="009A1ADD" w:rsidRPr="00E35D1F" w:rsidRDefault="009A1ADD" w:rsidP="00E35D1F">
            <w:pPr>
              <w:contextualSpacing/>
              <w:rPr>
                <w:rFonts w:ascii="Arial Narrow" w:hAnsi="Arial Narrow" w:cs="Calibri"/>
                <w:color w:val="FFFFFF" w:themeColor="background1"/>
                <w:sz w:val="22"/>
              </w:rPr>
            </w:pPr>
            <w:r w:rsidRPr="00E35D1F">
              <w:rPr>
                <w:rFonts w:ascii="Arial Narrow" w:eastAsia="Calibri" w:hAnsi="Arial Narrow" w:cs="Calibri"/>
                <w:b/>
                <w:bCs/>
                <w:color w:val="FFFFFF" w:themeColor="background1"/>
              </w:rPr>
              <w:t>Nr. i shtretërve</w:t>
            </w:r>
          </w:p>
        </w:tc>
        <w:tc>
          <w:tcPr>
            <w:tcW w:w="1647" w:type="pct"/>
            <w:gridSpan w:val="3"/>
            <w:shd w:val="clear" w:color="auto" w:fill="365F91"/>
          </w:tcPr>
          <w:p w14:paraId="02F0C752" w14:textId="7B51BF1D" w:rsidR="009A1ADD" w:rsidRPr="00E35D1F" w:rsidRDefault="009A1ADD" w:rsidP="00E35D1F">
            <w:pPr>
              <w:contextualSpacing/>
              <w:rPr>
                <w:rFonts w:ascii="Arial Narrow" w:hAnsi="Arial Narrow" w:cs="Calibri"/>
                <w:color w:val="FFFFFF" w:themeColor="background1"/>
                <w:sz w:val="22"/>
              </w:rPr>
            </w:pPr>
            <w:r w:rsidRPr="00E35D1F">
              <w:rPr>
                <w:rFonts w:ascii="Arial Narrow" w:eastAsia="Calibri" w:hAnsi="Arial Narrow" w:cs="Calibri"/>
                <w:b/>
                <w:bCs/>
                <w:color w:val="FFFFFF" w:themeColor="background1"/>
              </w:rPr>
              <w:t xml:space="preserve">Shkalla e </w:t>
            </w:r>
            <w:r w:rsidR="00496136">
              <w:rPr>
                <w:rFonts w:ascii="Arial Narrow" w:eastAsia="Calibri" w:hAnsi="Arial Narrow" w:cs="Calibri"/>
                <w:b/>
                <w:bCs/>
                <w:color w:val="FFFFFF" w:themeColor="background1"/>
              </w:rPr>
              <w:t xml:space="preserve">zënies </w:t>
            </w:r>
            <w:r w:rsidRPr="00E35D1F">
              <w:rPr>
                <w:rFonts w:ascii="Arial Narrow" w:eastAsia="Calibri" w:hAnsi="Arial Narrow" w:cs="Calibri"/>
                <w:b/>
                <w:bCs/>
                <w:color w:val="FFFFFF" w:themeColor="background1"/>
              </w:rPr>
              <w:t>%</w:t>
            </w:r>
          </w:p>
        </w:tc>
        <w:tc>
          <w:tcPr>
            <w:tcW w:w="1704" w:type="pct"/>
            <w:gridSpan w:val="3"/>
            <w:shd w:val="clear" w:color="auto" w:fill="365F91"/>
          </w:tcPr>
          <w:p w14:paraId="6A1B35AE" w14:textId="64525B54" w:rsidR="009A1ADD" w:rsidRPr="00E35D1F" w:rsidRDefault="009A1ADD" w:rsidP="00E35D1F">
            <w:pPr>
              <w:contextualSpacing/>
              <w:rPr>
                <w:rFonts w:ascii="Arial Narrow" w:hAnsi="Arial Narrow" w:cs="Calibri"/>
                <w:color w:val="FFFFFF" w:themeColor="background1"/>
                <w:sz w:val="22"/>
              </w:rPr>
            </w:pPr>
            <w:r w:rsidRPr="00E35D1F">
              <w:rPr>
                <w:rFonts w:ascii="Arial Narrow" w:eastAsia="Calibri" w:hAnsi="Arial Narrow" w:cs="Calibri"/>
                <w:b/>
                <w:bCs/>
                <w:color w:val="FFFFFF" w:themeColor="background1"/>
              </w:rPr>
              <w:t xml:space="preserve">Gjenerimi i </w:t>
            </w:r>
            <w:r w:rsidR="00496136">
              <w:rPr>
                <w:rFonts w:ascii="Arial Narrow" w:eastAsia="Calibri" w:hAnsi="Arial Narrow" w:cs="Calibri"/>
                <w:b/>
                <w:bCs/>
                <w:color w:val="FFFFFF" w:themeColor="background1"/>
              </w:rPr>
              <w:t>MM</w:t>
            </w:r>
            <w:r w:rsidRPr="00E35D1F">
              <w:rPr>
                <w:rFonts w:ascii="Arial Narrow" w:eastAsia="Calibri" w:hAnsi="Arial Narrow" w:cs="Calibri"/>
                <w:b/>
                <w:bCs/>
                <w:color w:val="FFFFFF" w:themeColor="background1"/>
              </w:rPr>
              <w:t xml:space="preserve"> (kg/shtr</w:t>
            </w:r>
            <w:r w:rsidR="00496136">
              <w:rPr>
                <w:rFonts w:ascii="Arial Narrow" w:eastAsia="Calibri" w:hAnsi="Arial Narrow" w:cs="Calibri"/>
                <w:b/>
                <w:bCs/>
                <w:color w:val="FFFFFF" w:themeColor="background1"/>
              </w:rPr>
              <w:t>etër të zënë</w:t>
            </w:r>
            <w:r w:rsidRPr="00E35D1F">
              <w:rPr>
                <w:rFonts w:ascii="Arial Narrow" w:eastAsia="Calibri" w:hAnsi="Arial Narrow" w:cs="Calibri"/>
                <w:b/>
                <w:bCs/>
                <w:color w:val="FFFFFF" w:themeColor="background1"/>
              </w:rPr>
              <w:t>/vit)</w:t>
            </w:r>
          </w:p>
        </w:tc>
      </w:tr>
      <w:tr w:rsidR="00E35D1F" w:rsidRPr="00E35D1F" w14:paraId="7812825B" w14:textId="77777777" w:rsidTr="00750949">
        <w:trPr>
          <w:trHeight w:val="227"/>
          <w:tblHeader/>
        </w:trPr>
        <w:tc>
          <w:tcPr>
            <w:tcW w:w="548" w:type="pct"/>
            <w:shd w:val="clear" w:color="auto" w:fill="365F91"/>
          </w:tcPr>
          <w:p w14:paraId="4ABB8AF0" w14:textId="77777777" w:rsidR="009A1ADD" w:rsidRPr="00E35D1F" w:rsidRDefault="009A1ADD" w:rsidP="00E35D1F">
            <w:pPr>
              <w:contextualSpacing/>
              <w:rPr>
                <w:rFonts w:ascii="Arial Narrow" w:hAnsi="Arial Narrow" w:cs="Calibri"/>
                <w:color w:val="FFFFFF" w:themeColor="background1"/>
                <w:sz w:val="22"/>
              </w:rPr>
            </w:pPr>
            <w:r w:rsidRPr="00E35D1F">
              <w:rPr>
                <w:rFonts w:ascii="Arial Narrow" w:eastAsia="Calibri" w:hAnsi="Arial Narrow" w:cs="Calibri"/>
                <w:b/>
                <w:bCs/>
                <w:color w:val="FFFFFF" w:themeColor="background1"/>
              </w:rPr>
              <w:t>2019</w:t>
            </w:r>
          </w:p>
        </w:tc>
        <w:tc>
          <w:tcPr>
            <w:tcW w:w="549" w:type="pct"/>
            <w:shd w:val="clear" w:color="auto" w:fill="365F91"/>
          </w:tcPr>
          <w:p w14:paraId="17CE0324" w14:textId="77777777" w:rsidR="009A1ADD" w:rsidRPr="00E35D1F" w:rsidRDefault="009A1ADD" w:rsidP="00E35D1F">
            <w:pPr>
              <w:contextualSpacing/>
              <w:rPr>
                <w:rFonts w:ascii="Arial Narrow" w:hAnsi="Arial Narrow" w:cs="Calibri"/>
                <w:color w:val="FFFFFF" w:themeColor="background1"/>
                <w:sz w:val="22"/>
              </w:rPr>
            </w:pPr>
            <w:r w:rsidRPr="00E35D1F">
              <w:rPr>
                <w:rFonts w:ascii="Arial Narrow" w:eastAsia="Calibri" w:hAnsi="Arial Narrow" w:cs="Calibri"/>
                <w:b/>
                <w:bCs/>
                <w:color w:val="FFFFFF" w:themeColor="background1"/>
              </w:rPr>
              <w:t>2020</w:t>
            </w:r>
          </w:p>
        </w:tc>
        <w:tc>
          <w:tcPr>
            <w:tcW w:w="552" w:type="pct"/>
            <w:shd w:val="clear" w:color="auto" w:fill="365F91"/>
          </w:tcPr>
          <w:p w14:paraId="555B2969" w14:textId="77777777" w:rsidR="009A1ADD" w:rsidRPr="00E35D1F" w:rsidRDefault="009A1ADD" w:rsidP="00E35D1F">
            <w:pPr>
              <w:contextualSpacing/>
              <w:rPr>
                <w:rFonts w:ascii="Arial Narrow" w:hAnsi="Arial Narrow" w:cs="Calibri"/>
                <w:color w:val="FFFFFF" w:themeColor="background1"/>
                <w:sz w:val="22"/>
              </w:rPr>
            </w:pPr>
            <w:r w:rsidRPr="00E35D1F">
              <w:rPr>
                <w:rFonts w:ascii="Arial Narrow" w:eastAsia="Calibri" w:hAnsi="Arial Narrow" w:cs="Calibri"/>
                <w:b/>
                <w:bCs/>
                <w:color w:val="FFFFFF" w:themeColor="background1"/>
              </w:rPr>
              <w:t>2021</w:t>
            </w:r>
          </w:p>
        </w:tc>
        <w:tc>
          <w:tcPr>
            <w:tcW w:w="549" w:type="pct"/>
            <w:shd w:val="clear" w:color="auto" w:fill="365F91"/>
          </w:tcPr>
          <w:p w14:paraId="255076DD" w14:textId="77777777" w:rsidR="009A1ADD" w:rsidRPr="00E35D1F" w:rsidRDefault="009A1ADD" w:rsidP="00E35D1F">
            <w:pPr>
              <w:contextualSpacing/>
              <w:rPr>
                <w:rFonts w:ascii="Arial Narrow" w:hAnsi="Arial Narrow" w:cs="Calibri"/>
                <w:color w:val="FFFFFF" w:themeColor="background1"/>
                <w:sz w:val="22"/>
              </w:rPr>
            </w:pPr>
            <w:r w:rsidRPr="00E35D1F">
              <w:rPr>
                <w:rFonts w:ascii="Arial Narrow" w:eastAsia="Calibri" w:hAnsi="Arial Narrow" w:cs="Calibri"/>
                <w:b/>
                <w:bCs/>
                <w:color w:val="FFFFFF" w:themeColor="background1"/>
              </w:rPr>
              <w:t>2019</w:t>
            </w:r>
          </w:p>
        </w:tc>
        <w:tc>
          <w:tcPr>
            <w:tcW w:w="548" w:type="pct"/>
            <w:shd w:val="clear" w:color="auto" w:fill="365F91"/>
          </w:tcPr>
          <w:p w14:paraId="1AECCE56" w14:textId="77777777" w:rsidR="009A1ADD" w:rsidRPr="00E35D1F" w:rsidRDefault="009A1ADD" w:rsidP="00E35D1F">
            <w:pPr>
              <w:contextualSpacing/>
              <w:rPr>
                <w:rFonts w:ascii="Arial Narrow" w:hAnsi="Arial Narrow" w:cs="Calibri"/>
                <w:color w:val="FFFFFF" w:themeColor="background1"/>
                <w:sz w:val="22"/>
              </w:rPr>
            </w:pPr>
            <w:r w:rsidRPr="00E35D1F">
              <w:rPr>
                <w:rFonts w:ascii="Arial Narrow" w:eastAsia="Calibri" w:hAnsi="Arial Narrow" w:cs="Calibri"/>
                <w:b/>
                <w:bCs/>
                <w:color w:val="FFFFFF" w:themeColor="background1"/>
              </w:rPr>
              <w:t>2020</w:t>
            </w:r>
          </w:p>
        </w:tc>
        <w:tc>
          <w:tcPr>
            <w:tcW w:w="550" w:type="pct"/>
            <w:shd w:val="clear" w:color="auto" w:fill="365F91"/>
          </w:tcPr>
          <w:p w14:paraId="09B468C0" w14:textId="77777777" w:rsidR="009A1ADD" w:rsidRPr="00E35D1F" w:rsidRDefault="009A1ADD" w:rsidP="00E35D1F">
            <w:pPr>
              <w:contextualSpacing/>
              <w:rPr>
                <w:rFonts w:ascii="Arial Narrow" w:hAnsi="Arial Narrow" w:cs="Calibri"/>
                <w:color w:val="FFFFFF" w:themeColor="background1"/>
                <w:sz w:val="22"/>
              </w:rPr>
            </w:pPr>
            <w:r w:rsidRPr="00E35D1F">
              <w:rPr>
                <w:rFonts w:ascii="Arial Narrow" w:eastAsia="Calibri" w:hAnsi="Arial Narrow" w:cs="Calibri"/>
                <w:b/>
                <w:bCs/>
                <w:color w:val="FFFFFF" w:themeColor="background1"/>
              </w:rPr>
              <w:t>2021</w:t>
            </w:r>
          </w:p>
        </w:tc>
        <w:tc>
          <w:tcPr>
            <w:tcW w:w="549" w:type="pct"/>
            <w:shd w:val="clear" w:color="auto" w:fill="365F91"/>
          </w:tcPr>
          <w:p w14:paraId="6923475E" w14:textId="77777777" w:rsidR="009A1ADD" w:rsidRPr="00E35D1F" w:rsidRDefault="009A1ADD" w:rsidP="00E35D1F">
            <w:pPr>
              <w:contextualSpacing/>
              <w:rPr>
                <w:rFonts w:ascii="Arial Narrow" w:hAnsi="Arial Narrow" w:cs="Calibri"/>
                <w:color w:val="FFFFFF" w:themeColor="background1"/>
                <w:sz w:val="22"/>
              </w:rPr>
            </w:pPr>
            <w:r w:rsidRPr="00E35D1F">
              <w:rPr>
                <w:rFonts w:ascii="Arial Narrow" w:eastAsia="Calibri" w:hAnsi="Arial Narrow" w:cs="Calibri"/>
                <w:b/>
                <w:bCs/>
                <w:color w:val="FFFFFF" w:themeColor="background1"/>
              </w:rPr>
              <w:t>2019</w:t>
            </w:r>
          </w:p>
        </w:tc>
        <w:tc>
          <w:tcPr>
            <w:tcW w:w="549" w:type="pct"/>
            <w:shd w:val="clear" w:color="auto" w:fill="365F91"/>
          </w:tcPr>
          <w:p w14:paraId="0975D524" w14:textId="77777777" w:rsidR="009A1ADD" w:rsidRPr="00E35D1F" w:rsidRDefault="009A1ADD" w:rsidP="00E35D1F">
            <w:pPr>
              <w:contextualSpacing/>
              <w:rPr>
                <w:rFonts w:ascii="Arial Narrow" w:hAnsi="Arial Narrow" w:cs="Calibri"/>
                <w:color w:val="FFFFFF" w:themeColor="background1"/>
                <w:sz w:val="22"/>
              </w:rPr>
            </w:pPr>
            <w:r w:rsidRPr="00E35D1F">
              <w:rPr>
                <w:rFonts w:ascii="Arial Narrow" w:eastAsia="Calibri" w:hAnsi="Arial Narrow" w:cs="Calibri"/>
                <w:b/>
                <w:bCs/>
                <w:color w:val="FFFFFF" w:themeColor="background1"/>
              </w:rPr>
              <w:t>2020</w:t>
            </w:r>
          </w:p>
        </w:tc>
        <w:tc>
          <w:tcPr>
            <w:tcW w:w="606" w:type="pct"/>
            <w:shd w:val="clear" w:color="auto" w:fill="365F91"/>
          </w:tcPr>
          <w:p w14:paraId="087E8073" w14:textId="77777777" w:rsidR="009A1ADD" w:rsidRPr="00E35D1F" w:rsidRDefault="009A1ADD" w:rsidP="00E35D1F">
            <w:pPr>
              <w:contextualSpacing/>
              <w:rPr>
                <w:rFonts w:ascii="Arial Narrow" w:hAnsi="Arial Narrow" w:cs="Calibri"/>
                <w:color w:val="FFFFFF" w:themeColor="background1"/>
                <w:sz w:val="22"/>
              </w:rPr>
            </w:pPr>
            <w:r w:rsidRPr="00E35D1F">
              <w:rPr>
                <w:rFonts w:ascii="Arial Narrow" w:eastAsia="Calibri" w:hAnsi="Arial Narrow" w:cs="Calibri"/>
                <w:b/>
                <w:bCs/>
                <w:color w:val="FFFFFF" w:themeColor="background1"/>
              </w:rPr>
              <w:t>2021</w:t>
            </w:r>
          </w:p>
        </w:tc>
      </w:tr>
      <w:tr w:rsidR="009A1ADD" w:rsidRPr="00E35D1F" w14:paraId="14FD8DFB" w14:textId="77777777" w:rsidTr="00E35D1F">
        <w:trPr>
          <w:trHeight w:val="227"/>
        </w:trPr>
        <w:tc>
          <w:tcPr>
            <w:tcW w:w="548" w:type="pct"/>
          </w:tcPr>
          <w:p w14:paraId="48157246" w14:textId="77777777" w:rsidR="009A1ADD" w:rsidRPr="00E35D1F" w:rsidRDefault="009A1ADD" w:rsidP="00E35D1F">
            <w:pPr>
              <w:contextualSpacing/>
              <w:rPr>
                <w:rFonts w:ascii="Arial Narrow" w:hAnsi="Arial Narrow" w:cs="Calibri"/>
                <w:sz w:val="22"/>
              </w:rPr>
            </w:pPr>
            <w:r w:rsidRPr="00E35D1F">
              <w:rPr>
                <w:rFonts w:ascii="Arial Narrow" w:eastAsia="Calibri" w:hAnsi="Arial Narrow" w:cs="Calibri"/>
                <w:color w:val="000000"/>
              </w:rPr>
              <w:t>376</w:t>
            </w:r>
          </w:p>
        </w:tc>
        <w:tc>
          <w:tcPr>
            <w:tcW w:w="549" w:type="pct"/>
          </w:tcPr>
          <w:p w14:paraId="79CDCEFA" w14:textId="77777777" w:rsidR="009A1ADD" w:rsidRPr="00E35D1F" w:rsidRDefault="009A1ADD" w:rsidP="00E35D1F">
            <w:pPr>
              <w:contextualSpacing/>
              <w:rPr>
                <w:rFonts w:ascii="Arial Narrow" w:hAnsi="Arial Narrow" w:cs="Calibri"/>
                <w:sz w:val="22"/>
              </w:rPr>
            </w:pPr>
            <w:r w:rsidRPr="00E35D1F">
              <w:rPr>
                <w:rFonts w:ascii="Arial Narrow" w:eastAsia="Calibri" w:hAnsi="Arial Narrow" w:cs="Calibri"/>
                <w:color w:val="000000"/>
              </w:rPr>
              <w:t>387</w:t>
            </w:r>
          </w:p>
        </w:tc>
        <w:tc>
          <w:tcPr>
            <w:tcW w:w="552" w:type="pct"/>
          </w:tcPr>
          <w:p w14:paraId="678A4E12" w14:textId="77777777" w:rsidR="009A1ADD" w:rsidRPr="00E35D1F" w:rsidRDefault="009A1ADD" w:rsidP="00E35D1F">
            <w:pPr>
              <w:contextualSpacing/>
              <w:rPr>
                <w:rFonts w:ascii="Arial Narrow" w:hAnsi="Arial Narrow" w:cs="Calibri"/>
                <w:sz w:val="22"/>
              </w:rPr>
            </w:pPr>
            <w:r w:rsidRPr="00E35D1F">
              <w:rPr>
                <w:rFonts w:ascii="Arial Narrow" w:eastAsia="Calibri" w:hAnsi="Arial Narrow" w:cs="Calibri"/>
                <w:color w:val="000000"/>
              </w:rPr>
              <w:t>390</w:t>
            </w:r>
          </w:p>
        </w:tc>
        <w:tc>
          <w:tcPr>
            <w:tcW w:w="549" w:type="pct"/>
          </w:tcPr>
          <w:p w14:paraId="3FE1EF1E" w14:textId="77777777" w:rsidR="009A1ADD" w:rsidRPr="00E35D1F" w:rsidRDefault="009A1ADD" w:rsidP="00E35D1F">
            <w:pPr>
              <w:contextualSpacing/>
              <w:rPr>
                <w:rFonts w:ascii="Arial Narrow" w:hAnsi="Arial Narrow" w:cs="Calibri"/>
                <w:sz w:val="22"/>
              </w:rPr>
            </w:pPr>
            <w:r w:rsidRPr="00E35D1F">
              <w:rPr>
                <w:rFonts w:ascii="Arial Narrow" w:eastAsia="Calibri" w:hAnsi="Arial Narrow" w:cs="Calibri"/>
                <w:color w:val="000000"/>
              </w:rPr>
              <w:t>53.95</w:t>
            </w:r>
          </w:p>
        </w:tc>
        <w:tc>
          <w:tcPr>
            <w:tcW w:w="548" w:type="pct"/>
          </w:tcPr>
          <w:p w14:paraId="599F1EEC" w14:textId="77777777" w:rsidR="009A1ADD" w:rsidRPr="00E35D1F" w:rsidRDefault="009A1ADD" w:rsidP="00E35D1F">
            <w:pPr>
              <w:contextualSpacing/>
              <w:rPr>
                <w:rFonts w:ascii="Arial Narrow" w:hAnsi="Arial Narrow" w:cs="Calibri"/>
                <w:sz w:val="22"/>
              </w:rPr>
            </w:pPr>
            <w:r w:rsidRPr="00E35D1F">
              <w:rPr>
                <w:rFonts w:ascii="Arial Narrow" w:eastAsia="Calibri" w:hAnsi="Arial Narrow" w:cs="Calibri"/>
                <w:color w:val="000000"/>
              </w:rPr>
              <w:t>40.20</w:t>
            </w:r>
          </w:p>
        </w:tc>
        <w:tc>
          <w:tcPr>
            <w:tcW w:w="550" w:type="pct"/>
          </w:tcPr>
          <w:p w14:paraId="48723972" w14:textId="77777777" w:rsidR="009A1ADD" w:rsidRPr="00E35D1F" w:rsidRDefault="009A1ADD" w:rsidP="00E35D1F">
            <w:pPr>
              <w:contextualSpacing/>
              <w:rPr>
                <w:rFonts w:ascii="Arial Narrow" w:hAnsi="Arial Narrow" w:cs="Calibri"/>
                <w:sz w:val="22"/>
              </w:rPr>
            </w:pPr>
            <w:r w:rsidRPr="00E35D1F">
              <w:rPr>
                <w:rFonts w:ascii="Arial Narrow" w:eastAsia="Calibri" w:hAnsi="Arial Narrow" w:cs="Calibri"/>
                <w:color w:val="000000"/>
              </w:rPr>
              <w:t>44.65</w:t>
            </w:r>
          </w:p>
        </w:tc>
        <w:tc>
          <w:tcPr>
            <w:tcW w:w="549" w:type="pct"/>
          </w:tcPr>
          <w:p w14:paraId="6112B1F7" w14:textId="77777777" w:rsidR="009A1ADD" w:rsidRPr="00E35D1F" w:rsidRDefault="009A1ADD" w:rsidP="00E35D1F">
            <w:pPr>
              <w:contextualSpacing/>
              <w:rPr>
                <w:rFonts w:ascii="Arial Narrow" w:hAnsi="Arial Narrow" w:cs="Calibri"/>
                <w:sz w:val="22"/>
              </w:rPr>
            </w:pPr>
            <w:r w:rsidRPr="00E35D1F">
              <w:rPr>
                <w:rFonts w:ascii="Arial Narrow" w:eastAsia="Calibri" w:hAnsi="Arial Narrow" w:cs="Calibri"/>
                <w:color w:val="000000"/>
              </w:rPr>
              <w:t>101524</w:t>
            </w:r>
          </w:p>
        </w:tc>
        <w:tc>
          <w:tcPr>
            <w:tcW w:w="549" w:type="pct"/>
          </w:tcPr>
          <w:p w14:paraId="25422B9F" w14:textId="77777777" w:rsidR="009A1ADD" w:rsidRPr="00E35D1F" w:rsidRDefault="009A1ADD" w:rsidP="00E35D1F">
            <w:pPr>
              <w:contextualSpacing/>
              <w:rPr>
                <w:rFonts w:ascii="Arial Narrow" w:hAnsi="Arial Narrow" w:cs="Calibri"/>
                <w:sz w:val="22"/>
              </w:rPr>
            </w:pPr>
            <w:r w:rsidRPr="00E35D1F">
              <w:rPr>
                <w:rFonts w:ascii="Arial Narrow" w:eastAsia="Calibri" w:hAnsi="Arial Narrow" w:cs="Calibri"/>
                <w:color w:val="000000"/>
              </w:rPr>
              <w:t>77853</w:t>
            </w:r>
          </w:p>
        </w:tc>
        <w:tc>
          <w:tcPr>
            <w:tcW w:w="606" w:type="pct"/>
          </w:tcPr>
          <w:p w14:paraId="769032E6" w14:textId="77777777" w:rsidR="009A1ADD" w:rsidRPr="00E35D1F" w:rsidRDefault="009A1ADD" w:rsidP="00E35D1F">
            <w:pPr>
              <w:contextualSpacing/>
              <w:rPr>
                <w:rFonts w:ascii="Arial Narrow" w:hAnsi="Arial Narrow" w:cs="Calibri"/>
                <w:sz w:val="22"/>
              </w:rPr>
            </w:pPr>
            <w:r w:rsidRPr="00E35D1F">
              <w:rPr>
                <w:rFonts w:ascii="Arial Narrow" w:eastAsia="Calibri" w:hAnsi="Arial Narrow" w:cs="Calibri"/>
                <w:color w:val="000000"/>
              </w:rPr>
              <w:t>87144</w:t>
            </w:r>
          </w:p>
        </w:tc>
      </w:tr>
    </w:tbl>
    <w:p w14:paraId="168C54FA" w14:textId="675C23D9" w:rsidR="009A1ADD" w:rsidRPr="001C7BC4" w:rsidRDefault="001C7BC4" w:rsidP="000A28BC">
      <w:pPr>
        <w:pStyle w:val="source0"/>
      </w:pPr>
      <w:bookmarkStart w:id="252" w:name="_Hlk174632374"/>
      <w:r w:rsidRPr="001C7BC4">
        <w:t>Burimi: Strategjia Kombëtare e Menaxhimit të Mbet</w:t>
      </w:r>
      <w:r w:rsidR="00496136">
        <w:t>urinave Medicinale</w:t>
      </w:r>
    </w:p>
    <w:bookmarkEnd w:id="252"/>
    <w:p w14:paraId="6DC873AA" w14:textId="77777777" w:rsidR="001C7BC4" w:rsidRDefault="001C7BC4" w:rsidP="00032CD8">
      <w:pPr>
        <w:rPr>
          <w:rFonts w:eastAsia="Calibri" w:cs="Calibri"/>
          <w:sz w:val="22"/>
          <w:szCs w:val="22"/>
        </w:rPr>
      </w:pPr>
    </w:p>
    <w:p w14:paraId="06A466BA" w14:textId="5D6771C8" w:rsidR="009A1ADD" w:rsidRDefault="001C7BC4" w:rsidP="000A28BC">
      <w:pPr>
        <w:pStyle w:val="Paragraph"/>
        <w:rPr>
          <w:rFonts w:eastAsia="Calibri"/>
        </w:rPr>
      </w:pPr>
      <w:r>
        <w:rPr>
          <w:rFonts w:eastAsia="Calibri"/>
        </w:rPr>
        <w:t xml:space="preserve">Në vitin 2021, sasia e </w:t>
      </w:r>
      <w:r w:rsidR="00496136">
        <w:rPr>
          <w:rFonts w:eastAsia="Calibri"/>
        </w:rPr>
        <w:t>M</w:t>
      </w:r>
      <w:r>
        <w:rPr>
          <w:rFonts w:eastAsia="Calibri"/>
        </w:rPr>
        <w:t xml:space="preserve">beturinave </w:t>
      </w:r>
      <w:r w:rsidR="00496136">
        <w:rPr>
          <w:rFonts w:eastAsia="Calibri"/>
        </w:rPr>
        <w:t xml:space="preserve">Medicinale (MM) </w:t>
      </w:r>
      <w:r>
        <w:rPr>
          <w:rFonts w:eastAsia="Calibri"/>
        </w:rPr>
        <w:t>të gjeneruara n</w:t>
      </w:r>
      <w:r w:rsidR="00496136">
        <w:rPr>
          <w:rFonts w:eastAsia="Calibri"/>
        </w:rPr>
        <w:t>ë</w:t>
      </w:r>
      <w:r>
        <w:rPr>
          <w:rFonts w:eastAsia="Calibri"/>
        </w:rPr>
        <w:t xml:space="preserve"> spitali</w:t>
      </w:r>
      <w:r w:rsidR="00496136">
        <w:rPr>
          <w:rFonts w:eastAsia="Calibri"/>
        </w:rPr>
        <w:t>n</w:t>
      </w:r>
      <w:r>
        <w:rPr>
          <w:rFonts w:eastAsia="Calibri"/>
        </w:rPr>
        <w:t xml:space="preserve"> rajonal në Pejë ishte rreth 87 ton</w:t>
      </w:r>
      <w:r w:rsidR="00496136">
        <w:rPr>
          <w:rFonts w:eastAsia="Calibri"/>
        </w:rPr>
        <w:t>ë</w:t>
      </w:r>
      <w:r>
        <w:rPr>
          <w:rFonts w:eastAsia="Calibri"/>
        </w:rPr>
        <w:t>.</w:t>
      </w:r>
    </w:p>
    <w:p w14:paraId="6A72A205" w14:textId="5EB4460F" w:rsidR="001C7BC4" w:rsidRDefault="001C7BC4" w:rsidP="000A28BC">
      <w:pPr>
        <w:pStyle w:val="Paragraph"/>
        <w:rPr>
          <w:rFonts w:eastAsia="Calibri"/>
        </w:rPr>
      </w:pPr>
      <w:r w:rsidRPr="001C7BC4">
        <w:rPr>
          <w:rFonts w:eastAsia="Calibri"/>
        </w:rPr>
        <w:t xml:space="preserve">Tabela më poshtë tregon sasitë e </w:t>
      </w:r>
      <w:r w:rsidR="00496136">
        <w:rPr>
          <w:rFonts w:eastAsia="Calibri"/>
        </w:rPr>
        <w:t>MM</w:t>
      </w:r>
      <w:r w:rsidRPr="001C7BC4">
        <w:rPr>
          <w:rFonts w:eastAsia="Calibri"/>
        </w:rPr>
        <w:t xml:space="preserve"> të gjeneruara nga </w:t>
      </w:r>
      <w:r w:rsidR="00496136">
        <w:rPr>
          <w:rFonts w:eastAsia="Calibri"/>
        </w:rPr>
        <w:t>Institucionet Shëndetësore (ISh) në ZMM</w:t>
      </w:r>
      <w:r w:rsidRPr="001C7BC4">
        <w:rPr>
          <w:rFonts w:eastAsia="Calibri"/>
        </w:rPr>
        <w:t>.</w:t>
      </w:r>
    </w:p>
    <w:p w14:paraId="215AAA43" w14:textId="4188BA51" w:rsidR="001C7BC4" w:rsidRPr="007F50ED" w:rsidRDefault="001C7BC4" w:rsidP="007F50ED">
      <w:pPr>
        <w:suppressAutoHyphens/>
        <w:rPr>
          <w:rFonts w:ascii="Arial Narrow" w:eastAsia="Calibri" w:hAnsi="Arial Narrow" w:cs="Calibri"/>
          <w:color w:val="1F497D"/>
          <w:sz w:val="20"/>
          <w:szCs w:val="20"/>
        </w:rPr>
      </w:pPr>
      <w:bookmarkStart w:id="253" w:name="_Toc197472223"/>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38.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 xml:space="preserve">Sasitë e </w:t>
      </w:r>
      <w:r w:rsidR="00496136">
        <w:rPr>
          <w:rFonts w:ascii="Arial Narrow" w:eastAsia="Calibri" w:hAnsi="Arial Narrow" w:cs="Calibri"/>
          <w:color w:val="1F497D"/>
          <w:sz w:val="20"/>
          <w:szCs w:val="20"/>
        </w:rPr>
        <w:t>MM</w:t>
      </w:r>
      <w:r w:rsidRPr="007F50ED">
        <w:rPr>
          <w:rFonts w:ascii="Arial Narrow" w:eastAsia="Calibri" w:hAnsi="Arial Narrow" w:cs="Calibri"/>
          <w:color w:val="1F497D"/>
          <w:sz w:val="20"/>
          <w:szCs w:val="20"/>
        </w:rPr>
        <w:t xml:space="preserve"> të gjeneruara nga </w:t>
      </w:r>
      <w:r w:rsidR="00496136">
        <w:rPr>
          <w:rFonts w:ascii="Arial Narrow" w:eastAsia="Calibri" w:hAnsi="Arial Narrow" w:cs="Calibri"/>
          <w:color w:val="1F497D"/>
          <w:sz w:val="20"/>
          <w:szCs w:val="20"/>
        </w:rPr>
        <w:t>ISh</w:t>
      </w:r>
      <w:r w:rsidRPr="007F50ED">
        <w:rPr>
          <w:rFonts w:ascii="Arial Narrow" w:eastAsia="Calibri" w:hAnsi="Arial Narrow" w:cs="Calibri"/>
          <w:color w:val="1F497D"/>
          <w:sz w:val="20"/>
          <w:szCs w:val="20"/>
        </w:rPr>
        <w:t xml:space="preserve"> primare</w:t>
      </w:r>
      <w:bookmarkEnd w:id="253"/>
    </w:p>
    <w:tbl>
      <w:tblPr>
        <w:tblW w:w="5000" w:type="pct"/>
        <w:tblLook w:val="04A0" w:firstRow="1" w:lastRow="0" w:firstColumn="1" w:lastColumn="0" w:noHBand="0" w:noVBand="1"/>
      </w:tblPr>
      <w:tblGrid>
        <w:gridCol w:w="1702"/>
        <w:gridCol w:w="1702"/>
        <w:gridCol w:w="1553"/>
        <w:gridCol w:w="2074"/>
        <w:gridCol w:w="1985"/>
      </w:tblGrid>
      <w:tr w:rsidR="00E35D1F" w:rsidRPr="00E35D1F" w14:paraId="4812947D" w14:textId="77777777" w:rsidTr="00496136">
        <w:trPr>
          <w:trHeight w:val="20"/>
        </w:trPr>
        <w:tc>
          <w:tcPr>
            <w:tcW w:w="944" w:type="pct"/>
            <w:tcBorders>
              <w:top w:val="single" w:sz="4" w:space="0" w:color="auto"/>
              <w:left w:val="single" w:sz="4" w:space="0" w:color="auto"/>
              <w:bottom w:val="single" w:sz="4" w:space="0" w:color="auto"/>
              <w:right w:val="single" w:sz="4" w:space="0" w:color="auto"/>
            </w:tcBorders>
            <w:shd w:val="clear" w:color="auto" w:fill="365F91"/>
            <w:noWrap/>
            <w:hideMark/>
          </w:tcPr>
          <w:p w14:paraId="0A6513A9" w14:textId="21AAA7D9" w:rsidR="001C7BC4" w:rsidRPr="00E35D1F" w:rsidRDefault="00496136" w:rsidP="00E35D1F">
            <w:pPr>
              <w:rPr>
                <w:rFonts w:ascii="Arial Narrow" w:hAnsi="Arial Narrow"/>
                <w:b/>
                <w:bCs/>
                <w:color w:val="FFFFFF" w:themeColor="background1"/>
                <w:sz w:val="20"/>
                <w:szCs w:val="20"/>
                <w:lang w:eastAsia="en-GB"/>
              </w:rPr>
            </w:pPr>
            <w:r>
              <w:rPr>
                <w:rFonts w:ascii="Arial Narrow" w:hAnsi="Arial Narrow"/>
                <w:b/>
                <w:bCs/>
                <w:color w:val="FFFFFF" w:themeColor="background1"/>
                <w:sz w:val="20"/>
                <w:szCs w:val="20"/>
                <w:lang w:eastAsia="en-GB"/>
              </w:rPr>
              <w:t>Komunat</w:t>
            </w:r>
          </w:p>
        </w:tc>
        <w:tc>
          <w:tcPr>
            <w:tcW w:w="944" w:type="pct"/>
            <w:tcBorders>
              <w:top w:val="single" w:sz="4" w:space="0" w:color="auto"/>
              <w:left w:val="nil"/>
              <w:bottom w:val="single" w:sz="4" w:space="0" w:color="auto"/>
              <w:right w:val="single" w:sz="4" w:space="0" w:color="auto"/>
            </w:tcBorders>
            <w:shd w:val="clear" w:color="auto" w:fill="365F91"/>
            <w:hideMark/>
          </w:tcPr>
          <w:p w14:paraId="62AFF450" w14:textId="77777777" w:rsidR="001C7BC4" w:rsidRPr="00E35D1F" w:rsidRDefault="001C7BC4" w:rsidP="00E35D1F">
            <w:pPr>
              <w:rPr>
                <w:rFonts w:ascii="Arial Narrow" w:hAnsi="Arial Narrow"/>
                <w:b/>
                <w:bCs/>
                <w:color w:val="FFFFFF" w:themeColor="background1"/>
                <w:sz w:val="20"/>
                <w:szCs w:val="20"/>
                <w:lang w:eastAsia="en-GB"/>
              </w:rPr>
            </w:pPr>
            <w:r w:rsidRPr="00E35D1F">
              <w:rPr>
                <w:rFonts w:ascii="Arial Narrow" w:hAnsi="Arial Narrow"/>
                <w:b/>
                <w:bCs/>
                <w:color w:val="FFFFFF" w:themeColor="background1"/>
                <w:sz w:val="20"/>
                <w:szCs w:val="20"/>
                <w:lang w:eastAsia="en-GB"/>
              </w:rPr>
              <w:t>Vizitat e mjekësisë familjare 2019</w:t>
            </w:r>
          </w:p>
        </w:tc>
        <w:tc>
          <w:tcPr>
            <w:tcW w:w="861" w:type="pct"/>
            <w:tcBorders>
              <w:top w:val="single" w:sz="4" w:space="0" w:color="auto"/>
              <w:left w:val="nil"/>
              <w:bottom w:val="single" w:sz="4" w:space="0" w:color="auto"/>
              <w:right w:val="single" w:sz="4" w:space="0" w:color="auto"/>
            </w:tcBorders>
            <w:shd w:val="clear" w:color="auto" w:fill="365F91"/>
            <w:hideMark/>
          </w:tcPr>
          <w:p w14:paraId="133C8A91" w14:textId="77777777" w:rsidR="001C7BC4" w:rsidRPr="00E35D1F" w:rsidRDefault="001C7BC4" w:rsidP="00E35D1F">
            <w:pPr>
              <w:rPr>
                <w:rFonts w:ascii="Arial Narrow" w:hAnsi="Arial Narrow"/>
                <w:b/>
                <w:bCs/>
                <w:color w:val="FFFFFF" w:themeColor="background1"/>
                <w:sz w:val="20"/>
                <w:szCs w:val="20"/>
                <w:lang w:eastAsia="en-GB"/>
              </w:rPr>
            </w:pPr>
            <w:r w:rsidRPr="00E35D1F">
              <w:rPr>
                <w:rFonts w:ascii="Arial Narrow" w:hAnsi="Arial Narrow"/>
                <w:b/>
                <w:bCs/>
                <w:color w:val="FFFFFF" w:themeColor="background1"/>
                <w:sz w:val="20"/>
                <w:szCs w:val="20"/>
                <w:lang w:eastAsia="en-GB"/>
              </w:rPr>
              <w:t>Vizitat e mjekësisë familjare 2020</w:t>
            </w:r>
          </w:p>
        </w:tc>
        <w:tc>
          <w:tcPr>
            <w:tcW w:w="1150" w:type="pct"/>
            <w:tcBorders>
              <w:top w:val="single" w:sz="4" w:space="0" w:color="auto"/>
              <w:left w:val="nil"/>
              <w:bottom w:val="single" w:sz="4" w:space="0" w:color="auto"/>
              <w:right w:val="single" w:sz="4" w:space="0" w:color="auto"/>
            </w:tcBorders>
            <w:shd w:val="clear" w:color="auto" w:fill="365F91"/>
            <w:hideMark/>
          </w:tcPr>
          <w:p w14:paraId="149C8690" w14:textId="3FDF11A3" w:rsidR="001C7BC4" w:rsidRPr="00E35D1F" w:rsidRDefault="001C7BC4" w:rsidP="00E35D1F">
            <w:pPr>
              <w:rPr>
                <w:rFonts w:ascii="Arial Narrow" w:hAnsi="Arial Narrow"/>
                <w:b/>
                <w:bCs/>
                <w:color w:val="FFFFFF" w:themeColor="background1"/>
                <w:sz w:val="20"/>
                <w:szCs w:val="20"/>
                <w:lang w:eastAsia="en-GB"/>
              </w:rPr>
            </w:pPr>
            <w:r w:rsidRPr="00E35D1F">
              <w:rPr>
                <w:rFonts w:ascii="Arial Narrow" w:hAnsi="Arial Narrow"/>
                <w:b/>
                <w:bCs/>
                <w:color w:val="FFFFFF" w:themeColor="background1"/>
                <w:sz w:val="20"/>
                <w:szCs w:val="20"/>
                <w:lang w:eastAsia="en-GB"/>
              </w:rPr>
              <w:t>Mbeturinat e gjeneruara/pacientët ambula</w:t>
            </w:r>
            <w:r w:rsidR="00496136">
              <w:rPr>
                <w:rFonts w:ascii="Arial Narrow" w:hAnsi="Arial Narrow"/>
                <w:b/>
                <w:bCs/>
                <w:color w:val="FFFFFF" w:themeColor="background1"/>
                <w:sz w:val="20"/>
                <w:szCs w:val="20"/>
                <w:lang w:eastAsia="en-GB"/>
              </w:rPr>
              <w:t>n</w:t>
            </w:r>
            <w:r w:rsidRPr="00E35D1F">
              <w:rPr>
                <w:rFonts w:ascii="Arial Narrow" w:hAnsi="Arial Narrow"/>
                <w:b/>
                <w:bCs/>
                <w:color w:val="FFFFFF" w:themeColor="background1"/>
                <w:sz w:val="20"/>
                <w:szCs w:val="20"/>
                <w:lang w:eastAsia="en-GB"/>
              </w:rPr>
              <w:t>torë (2019), kg</w:t>
            </w:r>
          </w:p>
        </w:tc>
        <w:tc>
          <w:tcPr>
            <w:tcW w:w="1101" w:type="pct"/>
            <w:tcBorders>
              <w:top w:val="single" w:sz="4" w:space="0" w:color="auto"/>
              <w:left w:val="nil"/>
              <w:bottom w:val="single" w:sz="4" w:space="0" w:color="auto"/>
              <w:right w:val="single" w:sz="4" w:space="0" w:color="auto"/>
            </w:tcBorders>
            <w:shd w:val="clear" w:color="auto" w:fill="365F91"/>
            <w:hideMark/>
          </w:tcPr>
          <w:p w14:paraId="53E30A65" w14:textId="77777777" w:rsidR="001C7BC4" w:rsidRPr="00E35D1F" w:rsidRDefault="001C7BC4" w:rsidP="00E35D1F">
            <w:pPr>
              <w:rPr>
                <w:rFonts w:ascii="Arial Narrow" w:hAnsi="Arial Narrow"/>
                <w:b/>
                <w:bCs/>
                <w:color w:val="FFFFFF" w:themeColor="background1"/>
                <w:sz w:val="20"/>
                <w:szCs w:val="20"/>
                <w:lang w:eastAsia="en-GB"/>
              </w:rPr>
            </w:pPr>
            <w:r w:rsidRPr="00E35D1F">
              <w:rPr>
                <w:rFonts w:ascii="Arial Narrow" w:hAnsi="Arial Narrow"/>
                <w:b/>
                <w:bCs/>
                <w:color w:val="FFFFFF" w:themeColor="background1"/>
                <w:sz w:val="20"/>
                <w:szCs w:val="20"/>
                <w:lang w:eastAsia="en-GB"/>
              </w:rPr>
              <w:t>Mbeturinat e gjeneruara/pacientët ambulatorë (2020), kg</w:t>
            </w:r>
          </w:p>
        </w:tc>
      </w:tr>
      <w:tr w:rsidR="001C7BC4" w:rsidRPr="00E35D1F" w14:paraId="263E6ED5" w14:textId="77777777" w:rsidTr="00496136">
        <w:trPr>
          <w:trHeight w:val="20"/>
        </w:trPr>
        <w:tc>
          <w:tcPr>
            <w:tcW w:w="944" w:type="pct"/>
            <w:tcBorders>
              <w:top w:val="nil"/>
              <w:left w:val="single" w:sz="4" w:space="0" w:color="auto"/>
              <w:bottom w:val="single" w:sz="4" w:space="0" w:color="auto"/>
              <w:right w:val="single" w:sz="4" w:space="0" w:color="auto"/>
            </w:tcBorders>
            <w:shd w:val="clear" w:color="auto" w:fill="auto"/>
            <w:noWrap/>
            <w:hideMark/>
          </w:tcPr>
          <w:p w14:paraId="0BD76A69"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Pejë</w:t>
            </w:r>
          </w:p>
        </w:tc>
        <w:tc>
          <w:tcPr>
            <w:tcW w:w="944" w:type="pct"/>
            <w:tcBorders>
              <w:top w:val="nil"/>
              <w:left w:val="nil"/>
              <w:bottom w:val="single" w:sz="4" w:space="0" w:color="auto"/>
              <w:right w:val="single" w:sz="4" w:space="0" w:color="auto"/>
            </w:tcBorders>
            <w:shd w:val="clear" w:color="auto" w:fill="auto"/>
            <w:noWrap/>
            <w:hideMark/>
          </w:tcPr>
          <w:p w14:paraId="621A004E"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139,061</w:t>
            </w:r>
          </w:p>
        </w:tc>
        <w:tc>
          <w:tcPr>
            <w:tcW w:w="861" w:type="pct"/>
            <w:tcBorders>
              <w:top w:val="nil"/>
              <w:left w:val="nil"/>
              <w:bottom w:val="single" w:sz="4" w:space="0" w:color="auto"/>
              <w:right w:val="single" w:sz="4" w:space="0" w:color="auto"/>
            </w:tcBorders>
            <w:shd w:val="clear" w:color="auto" w:fill="auto"/>
            <w:noWrap/>
            <w:hideMark/>
          </w:tcPr>
          <w:p w14:paraId="1A8A9917"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134,189</w:t>
            </w:r>
          </w:p>
        </w:tc>
        <w:tc>
          <w:tcPr>
            <w:tcW w:w="1150" w:type="pct"/>
            <w:tcBorders>
              <w:top w:val="nil"/>
              <w:left w:val="nil"/>
              <w:bottom w:val="single" w:sz="4" w:space="0" w:color="auto"/>
              <w:right w:val="single" w:sz="4" w:space="0" w:color="auto"/>
            </w:tcBorders>
            <w:shd w:val="clear" w:color="auto" w:fill="auto"/>
            <w:noWrap/>
            <w:hideMark/>
          </w:tcPr>
          <w:p w14:paraId="521FB848"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2,086</w:t>
            </w:r>
          </w:p>
        </w:tc>
        <w:tc>
          <w:tcPr>
            <w:tcW w:w="1101" w:type="pct"/>
            <w:tcBorders>
              <w:top w:val="nil"/>
              <w:left w:val="nil"/>
              <w:bottom w:val="single" w:sz="4" w:space="0" w:color="auto"/>
              <w:right w:val="single" w:sz="4" w:space="0" w:color="auto"/>
            </w:tcBorders>
            <w:shd w:val="clear" w:color="auto" w:fill="auto"/>
            <w:noWrap/>
            <w:hideMark/>
          </w:tcPr>
          <w:p w14:paraId="25ED9373"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2,013</w:t>
            </w:r>
          </w:p>
        </w:tc>
      </w:tr>
      <w:tr w:rsidR="001C7BC4" w:rsidRPr="00E35D1F" w14:paraId="5C597767" w14:textId="77777777" w:rsidTr="00496136">
        <w:trPr>
          <w:trHeight w:val="20"/>
        </w:trPr>
        <w:tc>
          <w:tcPr>
            <w:tcW w:w="944" w:type="pct"/>
            <w:tcBorders>
              <w:top w:val="nil"/>
              <w:left w:val="single" w:sz="4" w:space="0" w:color="auto"/>
              <w:bottom w:val="single" w:sz="4" w:space="0" w:color="auto"/>
              <w:right w:val="single" w:sz="4" w:space="0" w:color="auto"/>
            </w:tcBorders>
            <w:shd w:val="clear" w:color="auto" w:fill="auto"/>
            <w:noWrap/>
            <w:hideMark/>
          </w:tcPr>
          <w:p w14:paraId="442EA2DE"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Istog</w:t>
            </w:r>
          </w:p>
        </w:tc>
        <w:tc>
          <w:tcPr>
            <w:tcW w:w="944" w:type="pct"/>
            <w:tcBorders>
              <w:top w:val="nil"/>
              <w:left w:val="nil"/>
              <w:bottom w:val="single" w:sz="4" w:space="0" w:color="auto"/>
              <w:right w:val="single" w:sz="4" w:space="0" w:color="auto"/>
            </w:tcBorders>
            <w:shd w:val="clear" w:color="auto" w:fill="auto"/>
            <w:noWrap/>
            <w:hideMark/>
          </w:tcPr>
          <w:p w14:paraId="4C2AEF0C"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41,945</w:t>
            </w:r>
          </w:p>
        </w:tc>
        <w:tc>
          <w:tcPr>
            <w:tcW w:w="861" w:type="pct"/>
            <w:tcBorders>
              <w:top w:val="nil"/>
              <w:left w:val="nil"/>
              <w:bottom w:val="single" w:sz="4" w:space="0" w:color="auto"/>
              <w:right w:val="single" w:sz="4" w:space="0" w:color="auto"/>
            </w:tcBorders>
            <w:shd w:val="clear" w:color="auto" w:fill="auto"/>
            <w:noWrap/>
            <w:hideMark/>
          </w:tcPr>
          <w:p w14:paraId="26217561"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233,941</w:t>
            </w:r>
          </w:p>
        </w:tc>
        <w:tc>
          <w:tcPr>
            <w:tcW w:w="1150" w:type="pct"/>
            <w:tcBorders>
              <w:top w:val="nil"/>
              <w:left w:val="nil"/>
              <w:bottom w:val="single" w:sz="4" w:space="0" w:color="auto"/>
              <w:right w:val="single" w:sz="4" w:space="0" w:color="auto"/>
            </w:tcBorders>
            <w:shd w:val="clear" w:color="auto" w:fill="auto"/>
            <w:noWrap/>
            <w:hideMark/>
          </w:tcPr>
          <w:p w14:paraId="6CA0D1CB"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629</w:t>
            </w:r>
          </w:p>
        </w:tc>
        <w:tc>
          <w:tcPr>
            <w:tcW w:w="1101" w:type="pct"/>
            <w:tcBorders>
              <w:top w:val="nil"/>
              <w:left w:val="nil"/>
              <w:bottom w:val="single" w:sz="4" w:space="0" w:color="auto"/>
              <w:right w:val="single" w:sz="4" w:space="0" w:color="auto"/>
            </w:tcBorders>
            <w:shd w:val="clear" w:color="auto" w:fill="auto"/>
            <w:noWrap/>
            <w:hideMark/>
          </w:tcPr>
          <w:p w14:paraId="709D447E"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3,509</w:t>
            </w:r>
          </w:p>
        </w:tc>
      </w:tr>
      <w:tr w:rsidR="001C7BC4" w:rsidRPr="00E35D1F" w14:paraId="46AEEA40" w14:textId="77777777" w:rsidTr="00496136">
        <w:trPr>
          <w:trHeight w:val="20"/>
        </w:trPr>
        <w:tc>
          <w:tcPr>
            <w:tcW w:w="944" w:type="pct"/>
            <w:tcBorders>
              <w:top w:val="nil"/>
              <w:left w:val="single" w:sz="4" w:space="0" w:color="auto"/>
              <w:bottom w:val="single" w:sz="4" w:space="0" w:color="auto"/>
              <w:right w:val="single" w:sz="4" w:space="0" w:color="auto"/>
            </w:tcBorders>
            <w:shd w:val="clear" w:color="auto" w:fill="auto"/>
            <w:noWrap/>
            <w:hideMark/>
          </w:tcPr>
          <w:p w14:paraId="6F469E54"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Klinë</w:t>
            </w:r>
          </w:p>
        </w:tc>
        <w:tc>
          <w:tcPr>
            <w:tcW w:w="944" w:type="pct"/>
            <w:tcBorders>
              <w:top w:val="nil"/>
              <w:left w:val="nil"/>
              <w:bottom w:val="single" w:sz="4" w:space="0" w:color="auto"/>
              <w:right w:val="single" w:sz="4" w:space="0" w:color="auto"/>
            </w:tcBorders>
            <w:shd w:val="clear" w:color="auto" w:fill="auto"/>
            <w:noWrap/>
            <w:hideMark/>
          </w:tcPr>
          <w:p w14:paraId="0334FCA6"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79,610</w:t>
            </w:r>
          </w:p>
        </w:tc>
        <w:tc>
          <w:tcPr>
            <w:tcW w:w="861" w:type="pct"/>
            <w:tcBorders>
              <w:top w:val="nil"/>
              <w:left w:val="nil"/>
              <w:bottom w:val="single" w:sz="4" w:space="0" w:color="auto"/>
              <w:right w:val="single" w:sz="4" w:space="0" w:color="auto"/>
            </w:tcBorders>
            <w:shd w:val="clear" w:color="auto" w:fill="auto"/>
            <w:noWrap/>
            <w:hideMark/>
          </w:tcPr>
          <w:p w14:paraId="22CD10CC"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59,252</w:t>
            </w:r>
          </w:p>
        </w:tc>
        <w:tc>
          <w:tcPr>
            <w:tcW w:w="1150" w:type="pct"/>
            <w:tcBorders>
              <w:top w:val="nil"/>
              <w:left w:val="nil"/>
              <w:bottom w:val="single" w:sz="4" w:space="0" w:color="auto"/>
              <w:right w:val="single" w:sz="4" w:space="0" w:color="auto"/>
            </w:tcBorders>
            <w:shd w:val="clear" w:color="auto" w:fill="auto"/>
            <w:noWrap/>
            <w:hideMark/>
          </w:tcPr>
          <w:p w14:paraId="300A2732"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1,194</w:t>
            </w:r>
          </w:p>
        </w:tc>
        <w:tc>
          <w:tcPr>
            <w:tcW w:w="1101" w:type="pct"/>
            <w:tcBorders>
              <w:top w:val="nil"/>
              <w:left w:val="nil"/>
              <w:bottom w:val="single" w:sz="4" w:space="0" w:color="auto"/>
              <w:right w:val="single" w:sz="4" w:space="0" w:color="auto"/>
            </w:tcBorders>
            <w:shd w:val="clear" w:color="auto" w:fill="auto"/>
            <w:noWrap/>
            <w:hideMark/>
          </w:tcPr>
          <w:p w14:paraId="108E85C7"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889</w:t>
            </w:r>
          </w:p>
        </w:tc>
      </w:tr>
      <w:tr w:rsidR="001C7BC4" w:rsidRPr="00E35D1F" w14:paraId="32D239A5" w14:textId="77777777" w:rsidTr="00496136">
        <w:trPr>
          <w:trHeight w:val="20"/>
        </w:trPr>
        <w:tc>
          <w:tcPr>
            <w:tcW w:w="944" w:type="pct"/>
            <w:tcBorders>
              <w:top w:val="nil"/>
              <w:left w:val="single" w:sz="4" w:space="0" w:color="auto"/>
              <w:bottom w:val="single" w:sz="4" w:space="0" w:color="auto"/>
              <w:right w:val="single" w:sz="4" w:space="0" w:color="auto"/>
            </w:tcBorders>
            <w:shd w:val="clear" w:color="auto" w:fill="auto"/>
            <w:noWrap/>
            <w:hideMark/>
          </w:tcPr>
          <w:p w14:paraId="3F5D739D"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Deçan</w:t>
            </w:r>
          </w:p>
        </w:tc>
        <w:tc>
          <w:tcPr>
            <w:tcW w:w="944" w:type="pct"/>
            <w:tcBorders>
              <w:top w:val="nil"/>
              <w:left w:val="nil"/>
              <w:bottom w:val="single" w:sz="4" w:space="0" w:color="auto"/>
              <w:right w:val="single" w:sz="4" w:space="0" w:color="auto"/>
            </w:tcBorders>
            <w:shd w:val="clear" w:color="auto" w:fill="auto"/>
            <w:noWrap/>
            <w:hideMark/>
          </w:tcPr>
          <w:p w14:paraId="7F292A1E"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42,482</w:t>
            </w:r>
          </w:p>
        </w:tc>
        <w:tc>
          <w:tcPr>
            <w:tcW w:w="861" w:type="pct"/>
            <w:tcBorders>
              <w:top w:val="nil"/>
              <w:left w:val="nil"/>
              <w:bottom w:val="single" w:sz="4" w:space="0" w:color="auto"/>
              <w:right w:val="single" w:sz="4" w:space="0" w:color="auto"/>
            </w:tcBorders>
            <w:shd w:val="clear" w:color="auto" w:fill="auto"/>
            <w:noWrap/>
            <w:hideMark/>
          </w:tcPr>
          <w:p w14:paraId="6941CA2A"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73,041</w:t>
            </w:r>
          </w:p>
        </w:tc>
        <w:tc>
          <w:tcPr>
            <w:tcW w:w="1150" w:type="pct"/>
            <w:tcBorders>
              <w:top w:val="nil"/>
              <w:left w:val="nil"/>
              <w:bottom w:val="single" w:sz="4" w:space="0" w:color="auto"/>
              <w:right w:val="single" w:sz="4" w:space="0" w:color="auto"/>
            </w:tcBorders>
            <w:shd w:val="clear" w:color="auto" w:fill="auto"/>
            <w:noWrap/>
            <w:hideMark/>
          </w:tcPr>
          <w:p w14:paraId="1BF5A479"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637</w:t>
            </w:r>
          </w:p>
        </w:tc>
        <w:tc>
          <w:tcPr>
            <w:tcW w:w="1101" w:type="pct"/>
            <w:tcBorders>
              <w:top w:val="nil"/>
              <w:left w:val="nil"/>
              <w:bottom w:val="single" w:sz="4" w:space="0" w:color="auto"/>
              <w:right w:val="single" w:sz="4" w:space="0" w:color="auto"/>
            </w:tcBorders>
            <w:shd w:val="clear" w:color="auto" w:fill="auto"/>
            <w:noWrap/>
            <w:hideMark/>
          </w:tcPr>
          <w:p w14:paraId="39B3690F"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1,096</w:t>
            </w:r>
          </w:p>
        </w:tc>
      </w:tr>
      <w:tr w:rsidR="001C7BC4" w:rsidRPr="00E35D1F" w14:paraId="7A62B3E4" w14:textId="77777777" w:rsidTr="00496136">
        <w:trPr>
          <w:trHeight w:val="20"/>
        </w:trPr>
        <w:tc>
          <w:tcPr>
            <w:tcW w:w="944" w:type="pct"/>
            <w:tcBorders>
              <w:top w:val="nil"/>
              <w:left w:val="single" w:sz="4" w:space="0" w:color="auto"/>
              <w:bottom w:val="single" w:sz="4" w:space="0" w:color="auto"/>
              <w:right w:val="single" w:sz="4" w:space="0" w:color="auto"/>
            </w:tcBorders>
            <w:shd w:val="clear" w:color="auto" w:fill="auto"/>
            <w:noWrap/>
            <w:hideMark/>
          </w:tcPr>
          <w:p w14:paraId="45FA3693"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Junik</w:t>
            </w:r>
          </w:p>
        </w:tc>
        <w:tc>
          <w:tcPr>
            <w:tcW w:w="944" w:type="pct"/>
            <w:tcBorders>
              <w:top w:val="nil"/>
              <w:left w:val="nil"/>
              <w:bottom w:val="single" w:sz="4" w:space="0" w:color="auto"/>
              <w:right w:val="single" w:sz="4" w:space="0" w:color="auto"/>
            </w:tcBorders>
            <w:shd w:val="clear" w:color="auto" w:fill="auto"/>
            <w:noWrap/>
            <w:hideMark/>
          </w:tcPr>
          <w:p w14:paraId="2B0C71C2"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17,731</w:t>
            </w:r>
          </w:p>
        </w:tc>
        <w:tc>
          <w:tcPr>
            <w:tcW w:w="861" w:type="pct"/>
            <w:tcBorders>
              <w:top w:val="nil"/>
              <w:left w:val="nil"/>
              <w:bottom w:val="single" w:sz="4" w:space="0" w:color="auto"/>
              <w:right w:val="single" w:sz="4" w:space="0" w:color="auto"/>
            </w:tcBorders>
            <w:shd w:val="clear" w:color="auto" w:fill="auto"/>
            <w:noWrap/>
            <w:hideMark/>
          </w:tcPr>
          <w:p w14:paraId="1774D67A"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13,626</w:t>
            </w:r>
          </w:p>
        </w:tc>
        <w:tc>
          <w:tcPr>
            <w:tcW w:w="1150" w:type="pct"/>
            <w:tcBorders>
              <w:top w:val="nil"/>
              <w:left w:val="nil"/>
              <w:bottom w:val="single" w:sz="4" w:space="0" w:color="auto"/>
              <w:right w:val="single" w:sz="4" w:space="0" w:color="auto"/>
            </w:tcBorders>
            <w:shd w:val="clear" w:color="auto" w:fill="auto"/>
            <w:noWrap/>
            <w:hideMark/>
          </w:tcPr>
          <w:p w14:paraId="7854C63B"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266</w:t>
            </w:r>
          </w:p>
        </w:tc>
        <w:tc>
          <w:tcPr>
            <w:tcW w:w="1101" w:type="pct"/>
            <w:tcBorders>
              <w:top w:val="nil"/>
              <w:left w:val="nil"/>
              <w:bottom w:val="single" w:sz="4" w:space="0" w:color="auto"/>
              <w:right w:val="single" w:sz="4" w:space="0" w:color="auto"/>
            </w:tcBorders>
            <w:shd w:val="clear" w:color="auto" w:fill="auto"/>
            <w:noWrap/>
            <w:hideMark/>
          </w:tcPr>
          <w:p w14:paraId="6745C350" w14:textId="77777777" w:rsidR="001C7BC4" w:rsidRPr="00E35D1F" w:rsidRDefault="001C7BC4" w:rsidP="00E35D1F">
            <w:pPr>
              <w:rPr>
                <w:rFonts w:ascii="Arial Narrow" w:hAnsi="Arial Narrow"/>
                <w:color w:val="000000"/>
                <w:sz w:val="20"/>
                <w:szCs w:val="20"/>
                <w:lang w:eastAsia="en-GB"/>
              </w:rPr>
            </w:pPr>
            <w:r w:rsidRPr="00E35D1F">
              <w:rPr>
                <w:rFonts w:ascii="Arial Narrow" w:hAnsi="Arial Narrow"/>
                <w:color w:val="000000"/>
                <w:sz w:val="20"/>
                <w:szCs w:val="20"/>
                <w:lang w:eastAsia="en-GB"/>
              </w:rPr>
              <w:t>204</w:t>
            </w:r>
          </w:p>
        </w:tc>
      </w:tr>
      <w:tr w:rsidR="001C7BC4" w:rsidRPr="00E35D1F" w14:paraId="3F8E4F54" w14:textId="77777777" w:rsidTr="00496136">
        <w:trPr>
          <w:trHeight w:val="20"/>
        </w:trPr>
        <w:tc>
          <w:tcPr>
            <w:tcW w:w="944" w:type="pct"/>
            <w:tcBorders>
              <w:top w:val="nil"/>
              <w:left w:val="single" w:sz="4" w:space="0" w:color="auto"/>
              <w:bottom w:val="single" w:sz="4" w:space="0" w:color="auto"/>
              <w:right w:val="single" w:sz="4" w:space="0" w:color="auto"/>
            </w:tcBorders>
            <w:shd w:val="clear" w:color="auto" w:fill="auto"/>
            <w:noWrap/>
            <w:hideMark/>
          </w:tcPr>
          <w:p w14:paraId="379C3E3F" w14:textId="23A9B059" w:rsidR="001C7BC4" w:rsidRPr="00E35D1F" w:rsidRDefault="001C7BC4" w:rsidP="00E35D1F">
            <w:pPr>
              <w:rPr>
                <w:rFonts w:ascii="Arial Narrow" w:hAnsi="Arial Narrow"/>
                <w:b/>
                <w:bCs/>
                <w:color w:val="000000"/>
                <w:sz w:val="20"/>
                <w:szCs w:val="20"/>
                <w:lang w:eastAsia="en-GB"/>
              </w:rPr>
            </w:pPr>
            <w:r w:rsidRPr="00E35D1F">
              <w:rPr>
                <w:rFonts w:ascii="Arial Narrow" w:hAnsi="Arial Narrow"/>
                <w:b/>
                <w:bCs/>
                <w:color w:val="000000"/>
                <w:sz w:val="20"/>
                <w:szCs w:val="20"/>
                <w:lang w:eastAsia="en-GB"/>
              </w:rPr>
              <w:t>Totali në Z</w:t>
            </w:r>
            <w:r w:rsidR="00496136">
              <w:rPr>
                <w:rFonts w:ascii="Arial Narrow" w:hAnsi="Arial Narrow"/>
                <w:b/>
                <w:bCs/>
                <w:color w:val="000000"/>
                <w:sz w:val="20"/>
                <w:szCs w:val="20"/>
                <w:lang w:eastAsia="en-GB"/>
              </w:rPr>
              <w:t>MM</w:t>
            </w:r>
          </w:p>
        </w:tc>
        <w:tc>
          <w:tcPr>
            <w:tcW w:w="944" w:type="pct"/>
            <w:tcBorders>
              <w:top w:val="nil"/>
              <w:left w:val="nil"/>
              <w:bottom w:val="single" w:sz="4" w:space="0" w:color="auto"/>
              <w:right w:val="single" w:sz="4" w:space="0" w:color="auto"/>
            </w:tcBorders>
            <w:shd w:val="clear" w:color="auto" w:fill="auto"/>
            <w:noWrap/>
            <w:hideMark/>
          </w:tcPr>
          <w:p w14:paraId="000CB9A7" w14:textId="77777777" w:rsidR="001C7BC4" w:rsidRPr="00E35D1F" w:rsidRDefault="001C7BC4" w:rsidP="00E35D1F">
            <w:pPr>
              <w:rPr>
                <w:rFonts w:ascii="Arial Narrow" w:hAnsi="Arial Narrow"/>
                <w:b/>
                <w:bCs/>
                <w:color w:val="000000"/>
                <w:sz w:val="20"/>
                <w:szCs w:val="20"/>
                <w:lang w:eastAsia="en-GB"/>
              </w:rPr>
            </w:pPr>
            <w:r w:rsidRPr="00E35D1F">
              <w:rPr>
                <w:rFonts w:ascii="Arial Narrow" w:hAnsi="Arial Narrow"/>
                <w:b/>
                <w:bCs/>
                <w:color w:val="000000"/>
                <w:sz w:val="20"/>
                <w:szCs w:val="20"/>
                <w:lang w:eastAsia="en-GB"/>
              </w:rPr>
              <w:t>320,829</w:t>
            </w:r>
          </w:p>
        </w:tc>
        <w:tc>
          <w:tcPr>
            <w:tcW w:w="861" w:type="pct"/>
            <w:tcBorders>
              <w:top w:val="nil"/>
              <w:left w:val="nil"/>
              <w:bottom w:val="single" w:sz="4" w:space="0" w:color="auto"/>
              <w:right w:val="single" w:sz="4" w:space="0" w:color="auto"/>
            </w:tcBorders>
            <w:shd w:val="clear" w:color="auto" w:fill="auto"/>
            <w:noWrap/>
            <w:hideMark/>
          </w:tcPr>
          <w:p w14:paraId="033AE914" w14:textId="77777777" w:rsidR="001C7BC4" w:rsidRPr="00E35D1F" w:rsidRDefault="001C7BC4" w:rsidP="00E35D1F">
            <w:pPr>
              <w:rPr>
                <w:rFonts w:ascii="Arial Narrow" w:hAnsi="Arial Narrow"/>
                <w:b/>
                <w:bCs/>
                <w:color w:val="000000"/>
                <w:sz w:val="20"/>
                <w:szCs w:val="20"/>
                <w:lang w:eastAsia="en-GB"/>
              </w:rPr>
            </w:pPr>
            <w:r w:rsidRPr="00E35D1F">
              <w:rPr>
                <w:rFonts w:ascii="Arial Narrow" w:hAnsi="Arial Narrow"/>
                <w:b/>
                <w:bCs/>
                <w:color w:val="000000"/>
                <w:sz w:val="20"/>
                <w:szCs w:val="20"/>
                <w:lang w:eastAsia="en-GB"/>
              </w:rPr>
              <w:t>514,049</w:t>
            </w:r>
          </w:p>
        </w:tc>
        <w:tc>
          <w:tcPr>
            <w:tcW w:w="1150" w:type="pct"/>
            <w:tcBorders>
              <w:top w:val="nil"/>
              <w:left w:val="nil"/>
              <w:bottom w:val="single" w:sz="4" w:space="0" w:color="auto"/>
              <w:right w:val="single" w:sz="4" w:space="0" w:color="auto"/>
            </w:tcBorders>
            <w:shd w:val="clear" w:color="auto" w:fill="auto"/>
            <w:noWrap/>
            <w:hideMark/>
          </w:tcPr>
          <w:p w14:paraId="060C5A98" w14:textId="77777777" w:rsidR="001C7BC4" w:rsidRPr="00E35D1F" w:rsidRDefault="001C7BC4" w:rsidP="00E35D1F">
            <w:pPr>
              <w:rPr>
                <w:rFonts w:ascii="Arial Narrow" w:hAnsi="Arial Narrow"/>
                <w:b/>
                <w:bCs/>
                <w:color w:val="000000"/>
                <w:sz w:val="20"/>
                <w:szCs w:val="20"/>
                <w:lang w:eastAsia="en-GB"/>
              </w:rPr>
            </w:pPr>
            <w:r w:rsidRPr="00E35D1F">
              <w:rPr>
                <w:rFonts w:ascii="Arial Narrow" w:hAnsi="Arial Narrow"/>
                <w:b/>
                <w:bCs/>
                <w:color w:val="000000"/>
                <w:sz w:val="20"/>
                <w:szCs w:val="20"/>
                <w:lang w:eastAsia="en-GB"/>
              </w:rPr>
              <w:t>4,812</w:t>
            </w:r>
          </w:p>
        </w:tc>
        <w:tc>
          <w:tcPr>
            <w:tcW w:w="1101" w:type="pct"/>
            <w:tcBorders>
              <w:top w:val="nil"/>
              <w:left w:val="nil"/>
              <w:bottom w:val="single" w:sz="4" w:space="0" w:color="auto"/>
              <w:right w:val="single" w:sz="4" w:space="0" w:color="auto"/>
            </w:tcBorders>
            <w:shd w:val="clear" w:color="auto" w:fill="auto"/>
            <w:noWrap/>
            <w:hideMark/>
          </w:tcPr>
          <w:p w14:paraId="22FC2E70" w14:textId="77777777" w:rsidR="001C7BC4" w:rsidRPr="00E35D1F" w:rsidRDefault="001C7BC4" w:rsidP="00E35D1F">
            <w:pPr>
              <w:rPr>
                <w:rFonts w:ascii="Arial Narrow" w:hAnsi="Arial Narrow"/>
                <w:b/>
                <w:bCs/>
                <w:color w:val="000000"/>
                <w:sz w:val="20"/>
                <w:szCs w:val="20"/>
                <w:lang w:eastAsia="en-GB"/>
              </w:rPr>
            </w:pPr>
            <w:r w:rsidRPr="00E35D1F">
              <w:rPr>
                <w:rFonts w:ascii="Arial Narrow" w:hAnsi="Arial Narrow"/>
                <w:b/>
                <w:bCs/>
                <w:color w:val="000000"/>
                <w:sz w:val="20"/>
                <w:szCs w:val="20"/>
                <w:lang w:eastAsia="en-GB"/>
              </w:rPr>
              <w:t>7,711</w:t>
            </w:r>
          </w:p>
        </w:tc>
      </w:tr>
    </w:tbl>
    <w:p w14:paraId="745FC9FE" w14:textId="2784DEEB" w:rsidR="001C7BC4" w:rsidRPr="001C7BC4" w:rsidRDefault="001C7BC4" w:rsidP="000A28BC">
      <w:pPr>
        <w:pStyle w:val="source0"/>
      </w:pPr>
      <w:r w:rsidRPr="001C7BC4">
        <w:t>Burimi: Strategjia Kombëtare e Menaxhimit të Mbet</w:t>
      </w:r>
      <w:r w:rsidR="00496136">
        <w:t>urinave Medicinale</w:t>
      </w:r>
    </w:p>
    <w:p w14:paraId="44C45B36" w14:textId="77777777" w:rsidR="001C7BC4" w:rsidRDefault="001C7BC4" w:rsidP="00032CD8">
      <w:pPr>
        <w:rPr>
          <w:rFonts w:eastAsia="Calibri" w:cs="Calibri"/>
          <w:sz w:val="22"/>
          <w:szCs w:val="22"/>
        </w:rPr>
      </w:pPr>
    </w:p>
    <w:p w14:paraId="380F559C" w14:textId="2E76FC2A" w:rsidR="00496136" w:rsidRPr="00561EA5" w:rsidRDefault="00496136" w:rsidP="00496136">
      <w:pPr>
        <w:pStyle w:val="Paragraph"/>
        <w:rPr>
          <w:rFonts w:eastAsia="Calibri"/>
          <w:lang w:val="sq-AL"/>
        </w:rPr>
      </w:pPr>
      <w:r w:rsidRPr="00561EA5">
        <w:rPr>
          <w:rFonts w:eastAsia="Calibri"/>
          <w:lang w:val="sq-AL"/>
        </w:rPr>
        <w:t>Në vitin 2020, më pak se 8 ton</w:t>
      </w:r>
      <w:r>
        <w:rPr>
          <w:rFonts w:eastAsia="Calibri"/>
          <w:lang w:val="sq-AL"/>
        </w:rPr>
        <w:t>ë</w:t>
      </w:r>
      <w:r w:rsidRPr="00561EA5">
        <w:rPr>
          <w:rFonts w:eastAsia="Calibri"/>
          <w:lang w:val="sq-AL"/>
        </w:rPr>
        <w:t xml:space="preserve"> </w:t>
      </w:r>
      <w:r>
        <w:rPr>
          <w:rFonts w:eastAsia="Calibri"/>
          <w:lang w:val="sq-AL"/>
        </w:rPr>
        <w:t>të MM</w:t>
      </w:r>
      <w:r w:rsidRPr="00561EA5">
        <w:rPr>
          <w:rFonts w:eastAsia="Calibri"/>
          <w:lang w:val="sq-AL"/>
        </w:rPr>
        <w:t xml:space="preserve"> u gjeneruan nga </w:t>
      </w:r>
      <w:r>
        <w:rPr>
          <w:rFonts w:eastAsia="Calibri"/>
          <w:lang w:val="sq-AL"/>
        </w:rPr>
        <w:t>ISh</w:t>
      </w:r>
      <w:r w:rsidRPr="00561EA5">
        <w:rPr>
          <w:rFonts w:eastAsia="Calibri"/>
          <w:lang w:val="sq-AL"/>
        </w:rPr>
        <w:t xml:space="preserve"> parësore në </w:t>
      </w:r>
      <w:r>
        <w:rPr>
          <w:rFonts w:eastAsia="Calibri"/>
          <w:lang w:val="sq-AL"/>
        </w:rPr>
        <w:t>ZMM</w:t>
      </w:r>
      <w:r w:rsidRPr="00561EA5">
        <w:rPr>
          <w:rFonts w:eastAsia="Calibri"/>
          <w:lang w:val="sq-AL"/>
        </w:rPr>
        <w:t>.</w:t>
      </w:r>
    </w:p>
    <w:p w14:paraId="3F540961" w14:textId="77777777" w:rsidR="00496136" w:rsidRPr="00561EA5" w:rsidRDefault="00496136" w:rsidP="00496136">
      <w:pPr>
        <w:pStyle w:val="Paragraph"/>
        <w:rPr>
          <w:rFonts w:eastAsia="Calibri"/>
          <w:lang w:val="sq-AL"/>
        </w:rPr>
      </w:pPr>
      <w:r w:rsidRPr="00561EA5">
        <w:rPr>
          <w:rFonts w:eastAsia="Calibri"/>
          <w:lang w:val="sq-AL"/>
        </w:rPr>
        <w:t>Mbet</w:t>
      </w:r>
      <w:r>
        <w:rPr>
          <w:rFonts w:eastAsia="Calibri"/>
          <w:lang w:val="sq-AL"/>
        </w:rPr>
        <w:t>urinat</w:t>
      </w:r>
      <w:r w:rsidRPr="00561EA5">
        <w:rPr>
          <w:rFonts w:eastAsia="Calibri"/>
          <w:lang w:val="sq-AL"/>
        </w:rPr>
        <w:t xml:space="preserve"> infektive dhe të mprehta trajtohen në autoklava hibride në spitalin rajonal në Pejë. Autoklava është instaluar në vitin 2012 dhe ka kapacitet prej 350 litra për cikël.</w:t>
      </w:r>
    </w:p>
    <w:p w14:paraId="768A02DB" w14:textId="15F8A190" w:rsidR="00DE6488" w:rsidRDefault="00496136" w:rsidP="00496136">
      <w:pPr>
        <w:pStyle w:val="Paragraph"/>
        <w:rPr>
          <w:rFonts w:eastAsia="Calibri"/>
        </w:rPr>
      </w:pPr>
      <w:r w:rsidRPr="00561EA5">
        <w:rPr>
          <w:rFonts w:eastAsia="Calibri"/>
          <w:lang w:val="sq-AL"/>
        </w:rPr>
        <w:t xml:space="preserve">Tabela më poshtë paraqet sasitë e </w:t>
      </w:r>
      <w:r>
        <w:rPr>
          <w:rFonts w:eastAsia="Calibri"/>
          <w:lang w:val="sq-AL"/>
        </w:rPr>
        <w:t>MM</w:t>
      </w:r>
      <w:r w:rsidRPr="00561EA5">
        <w:rPr>
          <w:rFonts w:eastAsia="Calibri"/>
          <w:lang w:val="sq-AL"/>
        </w:rPr>
        <w:t xml:space="preserve"> të rrezikshme të trajtuara në autoklava të vendosura në spitalin rajonal në Pejë për periudhën 2015-2021</w:t>
      </w:r>
      <w:r w:rsidR="00DE6488" w:rsidRPr="00DE6488">
        <w:rPr>
          <w:rFonts w:eastAsia="Calibri"/>
        </w:rPr>
        <w:t>.</w:t>
      </w:r>
    </w:p>
    <w:p w14:paraId="40DA86EB" w14:textId="62DD12C3" w:rsidR="00DE6488" w:rsidRPr="007F50ED" w:rsidRDefault="00DE6488" w:rsidP="007F50ED">
      <w:pPr>
        <w:suppressAutoHyphens/>
        <w:rPr>
          <w:rFonts w:ascii="Arial Narrow" w:eastAsia="Calibri" w:hAnsi="Arial Narrow" w:cs="Calibri"/>
          <w:color w:val="1F497D"/>
          <w:sz w:val="20"/>
          <w:szCs w:val="20"/>
        </w:rPr>
      </w:pPr>
      <w:bookmarkStart w:id="254" w:name="_Toc197472224"/>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39.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Sasitë e mbeturinave të trajtuara, 2015-2021, kg</w:t>
      </w:r>
      <w:bookmarkEnd w:id="254"/>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2" w:type="dxa"/>
          <w:right w:w="72" w:type="dxa"/>
        </w:tblCellMar>
        <w:tblLook w:val="04A0" w:firstRow="1" w:lastRow="0" w:firstColumn="1" w:lastColumn="0" w:noHBand="0" w:noVBand="1"/>
      </w:tblPr>
      <w:tblGrid>
        <w:gridCol w:w="1288"/>
        <w:gridCol w:w="1288"/>
        <w:gridCol w:w="1288"/>
        <w:gridCol w:w="1290"/>
        <w:gridCol w:w="1288"/>
        <w:gridCol w:w="1288"/>
        <w:gridCol w:w="1290"/>
      </w:tblGrid>
      <w:tr w:rsidR="005A3723" w:rsidRPr="005A3723" w14:paraId="6988DBC5" w14:textId="77777777" w:rsidTr="00750949">
        <w:trPr>
          <w:trHeight w:val="300"/>
          <w:tblHeader/>
        </w:trPr>
        <w:tc>
          <w:tcPr>
            <w:tcW w:w="714" w:type="pct"/>
            <w:shd w:val="clear" w:color="auto" w:fill="365F91"/>
          </w:tcPr>
          <w:p w14:paraId="27976BAA" w14:textId="77777777" w:rsidR="00DE6488" w:rsidRPr="005A3723" w:rsidRDefault="00DE6488" w:rsidP="005A3723">
            <w:pPr>
              <w:contextualSpacing/>
              <w:rPr>
                <w:rFonts w:ascii="Arial Narrow" w:hAnsi="Arial Narrow" w:cs="Calibri"/>
                <w:color w:val="FFFFFF" w:themeColor="background1"/>
                <w:sz w:val="22"/>
              </w:rPr>
            </w:pPr>
            <w:r w:rsidRPr="005A3723">
              <w:rPr>
                <w:rFonts w:ascii="Arial Narrow" w:eastAsia="Calibri" w:hAnsi="Arial Narrow" w:cs="Calibri"/>
                <w:b/>
                <w:bCs/>
                <w:color w:val="FFFFFF" w:themeColor="background1"/>
                <w:sz w:val="20"/>
                <w:szCs w:val="20"/>
              </w:rPr>
              <w:t>2015</w:t>
            </w:r>
          </w:p>
        </w:tc>
        <w:tc>
          <w:tcPr>
            <w:tcW w:w="714" w:type="pct"/>
            <w:shd w:val="clear" w:color="auto" w:fill="365F91"/>
          </w:tcPr>
          <w:p w14:paraId="770A3045" w14:textId="77777777" w:rsidR="00DE6488" w:rsidRPr="005A3723" w:rsidRDefault="00DE6488" w:rsidP="005A3723">
            <w:pPr>
              <w:contextualSpacing/>
              <w:rPr>
                <w:rFonts w:ascii="Arial Narrow" w:hAnsi="Arial Narrow" w:cs="Calibri"/>
                <w:color w:val="FFFFFF" w:themeColor="background1"/>
                <w:sz w:val="22"/>
              </w:rPr>
            </w:pPr>
            <w:r w:rsidRPr="005A3723">
              <w:rPr>
                <w:rFonts w:ascii="Arial Narrow" w:eastAsia="Calibri" w:hAnsi="Arial Narrow" w:cs="Calibri"/>
                <w:b/>
                <w:bCs/>
                <w:color w:val="FFFFFF" w:themeColor="background1"/>
                <w:sz w:val="20"/>
                <w:szCs w:val="20"/>
              </w:rPr>
              <w:t>2016</w:t>
            </w:r>
          </w:p>
        </w:tc>
        <w:tc>
          <w:tcPr>
            <w:tcW w:w="714" w:type="pct"/>
            <w:shd w:val="clear" w:color="auto" w:fill="365F91"/>
          </w:tcPr>
          <w:p w14:paraId="5CEACD43" w14:textId="77777777" w:rsidR="00DE6488" w:rsidRPr="005A3723" w:rsidRDefault="00DE6488" w:rsidP="005A3723">
            <w:pPr>
              <w:contextualSpacing/>
              <w:rPr>
                <w:rFonts w:ascii="Arial Narrow" w:hAnsi="Arial Narrow" w:cs="Calibri"/>
                <w:color w:val="FFFFFF" w:themeColor="background1"/>
                <w:sz w:val="22"/>
              </w:rPr>
            </w:pPr>
            <w:r w:rsidRPr="005A3723">
              <w:rPr>
                <w:rFonts w:ascii="Arial Narrow" w:eastAsia="Calibri" w:hAnsi="Arial Narrow" w:cs="Calibri"/>
                <w:b/>
                <w:bCs/>
                <w:color w:val="FFFFFF" w:themeColor="background1"/>
                <w:sz w:val="20"/>
                <w:szCs w:val="20"/>
              </w:rPr>
              <w:t>2017</w:t>
            </w:r>
          </w:p>
        </w:tc>
        <w:tc>
          <w:tcPr>
            <w:tcW w:w="715" w:type="pct"/>
            <w:shd w:val="clear" w:color="auto" w:fill="365F91"/>
          </w:tcPr>
          <w:p w14:paraId="36D16978" w14:textId="77777777" w:rsidR="00DE6488" w:rsidRPr="005A3723" w:rsidRDefault="00DE6488" w:rsidP="005A3723">
            <w:pPr>
              <w:contextualSpacing/>
              <w:rPr>
                <w:rFonts w:ascii="Arial Narrow" w:hAnsi="Arial Narrow" w:cs="Calibri"/>
                <w:color w:val="FFFFFF" w:themeColor="background1"/>
                <w:sz w:val="22"/>
              </w:rPr>
            </w:pPr>
            <w:r w:rsidRPr="005A3723">
              <w:rPr>
                <w:rFonts w:ascii="Arial Narrow" w:eastAsia="Calibri" w:hAnsi="Arial Narrow" w:cs="Calibri"/>
                <w:b/>
                <w:bCs/>
                <w:color w:val="FFFFFF" w:themeColor="background1"/>
                <w:sz w:val="20"/>
                <w:szCs w:val="20"/>
              </w:rPr>
              <w:t>2018</w:t>
            </w:r>
          </w:p>
        </w:tc>
        <w:tc>
          <w:tcPr>
            <w:tcW w:w="714" w:type="pct"/>
            <w:shd w:val="clear" w:color="auto" w:fill="365F91"/>
          </w:tcPr>
          <w:p w14:paraId="1AC7EA2D" w14:textId="77777777" w:rsidR="00DE6488" w:rsidRPr="005A3723" w:rsidRDefault="00DE6488" w:rsidP="005A3723">
            <w:pPr>
              <w:contextualSpacing/>
              <w:rPr>
                <w:rFonts w:ascii="Arial Narrow" w:hAnsi="Arial Narrow" w:cs="Calibri"/>
                <w:color w:val="FFFFFF" w:themeColor="background1"/>
                <w:sz w:val="22"/>
              </w:rPr>
            </w:pPr>
            <w:r w:rsidRPr="005A3723">
              <w:rPr>
                <w:rFonts w:ascii="Arial Narrow" w:eastAsia="Calibri" w:hAnsi="Arial Narrow" w:cs="Calibri"/>
                <w:b/>
                <w:bCs/>
                <w:color w:val="FFFFFF" w:themeColor="background1"/>
                <w:sz w:val="20"/>
                <w:szCs w:val="20"/>
              </w:rPr>
              <w:t>2019</w:t>
            </w:r>
          </w:p>
        </w:tc>
        <w:tc>
          <w:tcPr>
            <w:tcW w:w="714" w:type="pct"/>
            <w:shd w:val="clear" w:color="auto" w:fill="365F91"/>
          </w:tcPr>
          <w:p w14:paraId="026F8210" w14:textId="77777777" w:rsidR="00DE6488" w:rsidRPr="005A3723" w:rsidRDefault="00DE6488" w:rsidP="005A3723">
            <w:pPr>
              <w:contextualSpacing/>
              <w:rPr>
                <w:rFonts w:ascii="Arial Narrow" w:hAnsi="Arial Narrow" w:cs="Calibri"/>
                <w:color w:val="FFFFFF" w:themeColor="background1"/>
                <w:sz w:val="22"/>
              </w:rPr>
            </w:pPr>
            <w:r w:rsidRPr="005A3723">
              <w:rPr>
                <w:rFonts w:ascii="Arial Narrow" w:eastAsia="Calibri" w:hAnsi="Arial Narrow" w:cs="Calibri"/>
                <w:b/>
                <w:bCs/>
                <w:color w:val="FFFFFF" w:themeColor="background1"/>
                <w:sz w:val="20"/>
                <w:szCs w:val="20"/>
              </w:rPr>
              <w:t>2020</w:t>
            </w:r>
          </w:p>
        </w:tc>
        <w:tc>
          <w:tcPr>
            <w:tcW w:w="715" w:type="pct"/>
            <w:shd w:val="clear" w:color="auto" w:fill="365F91"/>
          </w:tcPr>
          <w:p w14:paraId="0ADD5EC1" w14:textId="77777777" w:rsidR="00DE6488" w:rsidRPr="005A3723" w:rsidRDefault="00DE6488" w:rsidP="005A3723">
            <w:pPr>
              <w:contextualSpacing/>
              <w:rPr>
                <w:rFonts w:ascii="Arial Narrow" w:hAnsi="Arial Narrow" w:cs="Calibri"/>
                <w:color w:val="FFFFFF" w:themeColor="background1"/>
                <w:sz w:val="22"/>
              </w:rPr>
            </w:pPr>
            <w:r w:rsidRPr="005A3723">
              <w:rPr>
                <w:rFonts w:ascii="Arial Narrow" w:eastAsia="Calibri" w:hAnsi="Arial Narrow" w:cs="Calibri"/>
                <w:b/>
                <w:bCs/>
                <w:color w:val="FFFFFF" w:themeColor="background1"/>
                <w:sz w:val="20"/>
                <w:szCs w:val="20"/>
              </w:rPr>
              <w:t>2021</w:t>
            </w:r>
          </w:p>
        </w:tc>
      </w:tr>
      <w:tr w:rsidR="00DE6488" w:rsidRPr="005A3723" w14:paraId="7FCDD0F2" w14:textId="77777777" w:rsidTr="005A3723">
        <w:trPr>
          <w:trHeight w:val="300"/>
        </w:trPr>
        <w:tc>
          <w:tcPr>
            <w:tcW w:w="714" w:type="pct"/>
          </w:tcPr>
          <w:p w14:paraId="0537FF2A" w14:textId="77777777" w:rsidR="00DE6488" w:rsidRPr="005A3723" w:rsidRDefault="00DE6488" w:rsidP="005A3723">
            <w:pPr>
              <w:contextualSpacing/>
              <w:rPr>
                <w:rFonts w:ascii="Arial Narrow" w:hAnsi="Arial Narrow" w:cs="Calibri"/>
                <w:sz w:val="22"/>
              </w:rPr>
            </w:pPr>
            <w:r w:rsidRPr="005A3723">
              <w:rPr>
                <w:rFonts w:ascii="Arial Narrow" w:eastAsia="Calibri" w:hAnsi="Arial Narrow" w:cs="Calibri"/>
                <w:color w:val="000000"/>
                <w:sz w:val="20"/>
                <w:szCs w:val="20"/>
              </w:rPr>
              <w:t>44,418</w:t>
            </w:r>
          </w:p>
        </w:tc>
        <w:tc>
          <w:tcPr>
            <w:tcW w:w="714" w:type="pct"/>
          </w:tcPr>
          <w:p w14:paraId="504490B9" w14:textId="77777777" w:rsidR="00DE6488" w:rsidRPr="005A3723" w:rsidRDefault="00DE6488" w:rsidP="005A3723">
            <w:pPr>
              <w:contextualSpacing/>
              <w:rPr>
                <w:rFonts w:ascii="Arial Narrow" w:hAnsi="Arial Narrow" w:cs="Calibri"/>
                <w:sz w:val="22"/>
              </w:rPr>
            </w:pPr>
            <w:r w:rsidRPr="005A3723">
              <w:rPr>
                <w:rFonts w:ascii="Arial Narrow" w:eastAsia="Calibri" w:hAnsi="Arial Narrow" w:cs="Calibri"/>
                <w:color w:val="000000"/>
                <w:sz w:val="20"/>
                <w:szCs w:val="20"/>
              </w:rPr>
              <w:t>49,403</w:t>
            </w:r>
          </w:p>
        </w:tc>
        <w:tc>
          <w:tcPr>
            <w:tcW w:w="714" w:type="pct"/>
          </w:tcPr>
          <w:p w14:paraId="7170F853" w14:textId="77777777" w:rsidR="00DE6488" w:rsidRPr="005A3723" w:rsidRDefault="00DE6488" w:rsidP="005A3723">
            <w:pPr>
              <w:contextualSpacing/>
              <w:rPr>
                <w:rFonts w:ascii="Arial Narrow" w:hAnsi="Arial Narrow" w:cs="Calibri"/>
                <w:sz w:val="22"/>
              </w:rPr>
            </w:pPr>
            <w:r w:rsidRPr="005A3723">
              <w:rPr>
                <w:rFonts w:ascii="Arial Narrow" w:eastAsia="Calibri" w:hAnsi="Arial Narrow" w:cs="Calibri"/>
                <w:color w:val="000000"/>
                <w:sz w:val="20"/>
                <w:szCs w:val="20"/>
              </w:rPr>
              <w:t>49,351</w:t>
            </w:r>
          </w:p>
        </w:tc>
        <w:tc>
          <w:tcPr>
            <w:tcW w:w="715" w:type="pct"/>
          </w:tcPr>
          <w:p w14:paraId="15F3704E" w14:textId="77777777" w:rsidR="00DE6488" w:rsidRPr="005A3723" w:rsidRDefault="00DE6488" w:rsidP="005A3723">
            <w:pPr>
              <w:contextualSpacing/>
              <w:rPr>
                <w:rFonts w:ascii="Arial Narrow" w:hAnsi="Arial Narrow" w:cs="Calibri"/>
                <w:sz w:val="22"/>
              </w:rPr>
            </w:pPr>
            <w:r w:rsidRPr="005A3723">
              <w:rPr>
                <w:rFonts w:ascii="Arial Narrow" w:eastAsia="Calibri" w:hAnsi="Arial Narrow" w:cs="Calibri"/>
                <w:color w:val="000000"/>
                <w:sz w:val="20"/>
                <w:szCs w:val="20"/>
              </w:rPr>
              <w:t>49,215</w:t>
            </w:r>
          </w:p>
        </w:tc>
        <w:tc>
          <w:tcPr>
            <w:tcW w:w="714" w:type="pct"/>
          </w:tcPr>
          <w:p w14:paraId="37282665" w14:textId="77777777" w:rsidR="00DE6488" w:rsidRPr="005A3723" w:rsidRDefault="00DE6488" w:rsidP="005A3723">
            <w:pPr>
              <w:contextualSpacing/>
              <w:rPr>
                <w:rFonts w:ascii="Arial Narrow" w:hAnsi="Arial Narrow" w:cs="Calibri"/>
                <w:sz w:val="22"/>
              </w:rPr>
            </w:pPr>
            <w:r w:rsidRPr="005A3723">
              <w:rPr>
                <w:rFonts w:ascii="Arial Narrow" w:eastAsia="Calibri" w:hAnsi="Arial Narrow" w:cs="Calibri"/>
                <w:color w:val="000000"/>
                <w:sz w:val="20"/>
                <w:szCs w:val="20"/>
              </w:rPr>
              <w:t>45,720</w:t>
            </w:r>
          </w:p>
        </w:tc>
        <w:tc>
          <w:tcPr>
            <w:tcW w:w="714" w:type="pct"/>
          </w:tcPr>
          <w:p w14:paraId="1A55C42A" w14:textId="77777777" w:rsidR="00DE6488" w:rsidRPr="005A3723" w:rsidRDefault="00DE6488" w:rsidP="005A3723">
            <w:pPr>
              <w:contextualSpacing/>
              <w:rPr>
                <w:rFonts w:ascii="Arial Narrow" w:hAnsi="Arial Narrow" w:cs="Calibri"/>
                <w:sz w:val="22"/>
              </w:rPr>
            </w:pPr>
            <w:r w:rsidRPr="005A3723">
              <w:rPr>
                <w:rFonts w:ascii="Arial Narrow" w:eastAsia="Calibri" w:hAnsi="Arial Narrow" w:cs="Calibri"/>
                <w:color w:val="000000"/>
                <w:sz w:val="20"/>
                <w:szCs w:val="20"/>
              </w:rPr>
              <w:t>50,480</w:t>
            </w:r>
          </w:p>
        </w:tc>
        <w:tc>
          <w:tcPr>
            <w:tcW w:w="715" w:type="pct"/>
          </w:tcPr>
          <w:p w14:paraId="67534012" w14:textId="77777777" w:rsidR="00DE6488" w:rsidRPr="005A3723" w:rsidRDefault="00DE6488" w:rsidP="005A3723">
            <w:pPr>
              <w:contextualSpacing/>
              <w:rPr>
                <w:rFonts w:ascii="Arial Narrow" w:hAnsi="Arial Narrow" w:cs="Calibri"/>
                <w:sz w:val="22"/>
              </w:rPr>
            </w:pPr>
            <w:r w:rsidRPr="005A3723">
              <w:rPr>
                <w:rFonts w:ascii="Arial Narrow" w:eastAsia="Calibri" w:hAnsi="Arial Narrow" w:cs="Calibri"/>
                <w:color w:val="000000"/>
                <w:sz w:val="20"/>
                <w:szCs w:val="20"/>
              </w:rPr>
              <w:t>47,560</w:t>
            </w:r>
          </w:p>
        </w:tc>
      </w:tr>
    </w:tbl>
    <w:p w14:paraId="0E9F810C" w14:textId="5046E19A" w:rsidR="00DE6488" w:rsidRPr="00DE6488" w:rsidRDefault="00DE6488" w:rsidP="000A28BC">
      <w:pPr>
        <w:pStyle w:val="source0"/>
      </w:pPr>
      <w:r w:rsidRPr="00DE6488">
        <w:t xml:space="preserve">Burimi: </w:t>
      </w:r>
      <w:r w:rsidR="00496136">
        <w:t>AMMK</w:t>
      </w:r>
    </w:p>
    <w:p w14:paraId="7DF54420" w14:textId="2EFF8615" w:rsidR="00032CD8" w:rsidRPr="00C21444" w:rsidRDefault="00032CD8" w:rsidP="002254E8">
      <w:pPr>
        <w:pStyle w:val="Heading3"/>
      </w:pPr>
      <w:bookmarkStart w:id="255" w:name="_Toc153872137"/>
      <w:bookmarkStart w:id="256" w:name="_Toc170470842"/>
      <w:bookmarkStart w:id="257" w:name="_Toc197471990"/>
      <w:r w:rsidRPr="00C21444">
        <w:t>Mbet</w:t>
      </w:r>
      <w:r w:rsidR="00496136">
        <w:t>urinat</w:t>
      </w:r>
      <w:r w:rsidRPr="00C21444">
        <w:t xml:space="preserve"> e ndërtimit dhe </w:t>
      </w:r>
      <w:r w:rsidR="00496136">
        <w:t>rrënimit</w:t>
      </w:r>
      <w:bookmarkEnd w:id="255"/>
      <w:bookmarkEnd w:id="256"/>
      <w:bookmarkEnd w:id="257"/>
    </w:p>
    <w:p w14:paraId="393DA27E" w14:textId="7320D822" w:rsidR="00CD63A7" w:rsidRPr="00A62ED4" w:rsidRDefault="00CD63A7" w:rsidP="00CD63A7">
      <w:pPr>
        <w:pStyle w:val="Paragraph"/>
        <w:rPr>
          <w:rFonts w:eastAsia="Calibri"/>
          <w:lang w:val="sq-AL"/>
        </w:rPr>
      </w:pPr>
      <w:r w:rsidRPr="00A62ED4">
        <w:rPr>
          <w:rFonts w:eastAsia="Calibri"/>
          <w:lang w:val="sq-AL"/>
        </w:rPr>
        <w:t xml:space="preserve">Mbeturinat e ndërtimit dhe </w:t>
      </w:r>
      <w:r>
        <w:rPr>
          <w:rFonts w:eastAsia="Calibri"/>
          <w:lang w:val="sq-AL"/>
        </w:rPr>
        <w:t>rrënimit</w:t>
      </w:r>
      <w:r w:rsidRPr="00A62ED4">
        <w:rPr>
          <w:rFonts w:eastAsia="Calibri"/>
          <w:lang w:val="sq-AL"/>
        </w:rPr>
        <w:t xml:space="preserve"> aktualisht trajtohen vetëm në Komunën e Junikut, e cila ka marrëveshje me operator</w:t>
      </w:r>
      <w:r>
        <w:rPr>
          <w:rFonts w:eastAsia="Calibri"/>
          <w:lang w:val="sq-AL"/>
        </w:rPr>
        <w:t>ë</w:t>
      </w:r>
      <w:r w:rsidRPr="00A62ED4">
        <w:rPr>
          <w:rFonts w:eastAsia="Calibri"/>
          <w:lang w:val="sq-AL"/>
        </w:rPr>
        <w:t xml:space="preserve"> privat në </w:t>
      </w:r>
      <w:r>
        <w:rPr>
          <w:rFonts w:eastAsia="Calibri"/>
          <w:lang w:val="sq-AL"/>
        </w:rPr>
        <w:t>ZMM</w:t>
      </w:r>
      <w:r w:rsidRPr="00A62ED4">
        <w:rPr>
          <w:rFonts w:eastAsia="Calibri"/>
          <w:lang w:val="sq-AL"/>
        </w:rPr>
        <w:t>. Disa komuna, si Peja dhe Klina, kanë ndarë lokacione specifike për deponim të përkohshëm.</w:t>
      </w:r>
    </w:p>
    <w:p w14:paraId="79F60496" w14:textId="50BF3B20" w:rsidR="00093D0A" w:rsidRPr="00AF0235" w:rsidRDefault="00CD63A7" w:rsidP="000A28BC">
      <w:pPr>
        <w:pStyle w:val="Paragraph"/>
        <w:rPr>
          <w:rFonts w:eastAsia="Calibri"/>
        </w:rPr>
      </w:pPr>
      <w:r w:rsidRPr="00A62ED4">
        <w:rPr>
          <w:rFonts w:eastAsia="Calibri"/>
          <w:lang w:val="sq-AL"/>
        </w:rPr>
        <w:t xml:space="preserve">Nga raporti më i fundit </w:t>
      </w:r>
      <w:r>
        <w:rPr>
          <w:rFonts w:eastAsia="Calibri"/>
          <w:lang w:val="sq-AL"/>
        </w:rPr>
        <w:t>nacional</w:t>
      </w:r>
      <w:r w:rsidRPr="00A62ED4">
        <w:rPr>
          <w:rFonts w:eastAsia="Calibri"/>
          <w:lang w:val="sq-AL"/>
        </w:rPr>
        <w:t xml:space="preserve"> për </w:t>
      </w:r>
      <w:r w:rsidRPr="005F5F4C">
        <w:rPr>
          <w:rFonts w:eastAsia="Calibri"/>
          <w:lang w:val="sq-AL"/>
        </w:rPr>
        <w:t>deponitë e egra,</w:t>
      </w:r>
      <w:r w:rsidRPr="00A62ED4">
        <w:rPr>
          <w:rFonts w:eastAsia="Calibri"/>
          <w:lang w:val="sq-AL"/>
        </w:rPr>
        <w:t xml:space="preserve"> u vlerësua se 27.5% e mbet</w:t>
      </w:r>
      <w:r>
        <w:rPr>
          <w:rFonts w:eastAsia="Calibri"/>
          <w:lang w:val="sq-AL"/>
        </w:rPr>
        <w:t>urinave</w:t>
      </w:r>
      <w:r w:rsidRPr="00A62ED4">
        <w:rPr>
          <w:rFonts w:eastAsia="Calibri"/>
          <w:lang w:val="sq-AL"/>
        </w:rPr>
        <w:t xml:space="preserve"> në </w:t>
      </w:r>
      <w:r>
        <w:rPr>
          <w:rFonts w:eastAsia="Calibri"/>
          <w:lang w:val="sq-AL"/>
        </w:rPr>
        <w:t>deponitë</w:t>
      </w:r>
      <w:r w:rsidRPr="00A62ED4">
        <w:rPr>
          <w:rFonts w:eastAsia="Calibri"/>
          <w:lang w:val="sq-AL"/>
        </w:rPr>
        <w:t xml:space="preserve"> ilegale janë në të vërtetë </w:t>
      </w:r>
      <w:r>
        <w:rPr>
          <w:rFonts w:eastAsia="Calibri"/>
          <w:lang w:val="sq-AL"/>
        </w:rPr>
        <w:t>MNRr</w:t>
      </w:r>
      <w:r w:rsidR="00093D0A" w:rsidRPr="00093D0A">
        <w:rPr>
          <w:rFonts w:eastAsia="Calibri"/>
        </w:rPr>
        <w:t>.</w:t>
      </w:r>
    </w:p>
    <w:p w14:paraId="3FDFB54B" w14:textId="6A0BAF05" w:rsidR="00032CD8" w:rsidRPr="00C21444" w:rsidRDefault="00032CD8" w:rsidP="002254E8">
      <w:pPr>
        <w:pStyle w:val="Heading3"/>
      </w:pPr>
      <w:bookmarkStart w:id="258" w:name="_Toc153872138"/>
      <w:bookmarkStart w:id="259" w:name="_Toc170470843"/>
      <w:bookmarkStart w:id="260" w:name="_Toc197471991"/>
      <w:r w:rsidRPr="00C21444">
        <w:t>Mbeturinat</w:t>
      </w:r>
      <w:r w:rsidR="00CD63A7">
        <w:t xml:space="preserve"> e vëllimshme</w:t>
      </w:r>
      <w:bookmarkEnd w:id="258"/>
      <w:bookmarkEnd w:id="259"/>
      <w:bookmarkEnd w:id="260"/>
    </w:p>
    <w:p w14:paraId="6344BB16" w14:textId="77777777" w:rsidR="00CD63A7" w:rsidRPr="00A62ED4" w:rsidRDefault="00CD63A7" w:rsidP="00CD63A7">
      <w:pPr>
        <w:pStyle w:val="Paragraph"/>
        <w:rPr>
          <w:rFonts w:eastAsia="Calibri"/>
          <w:lang w:val="sq-AL"/>
        </w:rPr>
      </w:pPr>
      <w:r w:rsidRPr="00A62ED4">
        <w:rPr>
          <w:rFonts w:eastAsia="Calibri"/>
          <w:lang w:val="sq-AL"/>
        </w:rPr>
        <w:t xml:space="preserve">Sipas Ligjit për mbeturina, komunat janë përgjegjëse për organizimin e menaxhimit të mbeturinave të </w:t>
      </w:r>
      <w:r>
        <w:rPr>
          <w:rFonts w:eastAsia="Calibri"/>
          <w:lang w:val="sq-AL"/>
        </w:rPr>
        <w:t>vëllimshme</w:t>
      </w:r>
      <w:r w:rsidRPr="00A62ED4">
        <w:rPr>
          <w:rFonts w:eastAsia="Calibri"/>
          <w:lang w:val="sq-AL"/>
        </w:rPr>
        <w:t xml:space="preserve">. Nuk ka të dhëna të disponueshme për </w:t>
      </w:r>
      <w:r>
        <w:rPr>
          <w:rFonts w:eastAsia="Calibri"/>
          <w:lang w:val="sq-AL"/>
        </w:rPr>
        <w:t xml:space="preserve">sasinë e </w:t>
      </w:r>
      <w:r w:rsidRPr="00A62ED4">
        <w:rPr>
          <w:rFonts w:eastAsia="Calibri"/>
          <w:lang w:val="sq-AL"/>
        </w:rPr>
        <w:t>mbet</w:t>
      </w:r>
      <w:r>
        <w:rPr>
          <w:rFonts w:eastAsia="Calibri"/>
          <w:lang w:val="sq-AL"/>
        </w:rPr>
        <w:t>urinave</w:t>
      </w:r>
      <w:r w:rsidRPr="00A62ED4">
        <w:rPr>
          <w:rFonts w:eastAsia="Calibri"/>
          <w:lang w:val="sq-AL"/>
        </w:rPr>
        <w:t xml:space="preserve"> </w:t>
      </w:r>
      <w:r>
        <w:rPr>
          <w:rFonts w:eastAsia="Calibri"/>
          <w:lang w:val="sq-AL"/>
        </w:rPr>
        <w:t>të</w:t>
      </w:r>
      <w:r w:rsidRPr="00A62ED4">
        <w:rPr>
          <w:rFonts w:eastAsia="Calibri"/>
          <w:lang w:val="sq-AL"/>
        </w:rPr>
        <w:t xml:space="preserve"> </w:t>
      </w:r>
      <w:r>
        <w:rPr>
          <w:rFonts w:eastAsia="Calibri"/>
          <w:lang w:val="sq-AL"/>
        </w:rPr>
        <w:t>vëllimshme</w:t>
      </w:r>
      <w:r w:rsidRPr="00A62ED4">
        <w:rPr>
          <w:rFonts w:eastAsia="Calibri"/>
          <w:lang w:val="sq-AL"/>
        </w:rPr>
        <w:t xml:space="preserve"> në mbet</w:t>
      </w:r>
      <w:r>
        <w:rPr>
          <w:rFonts w:eastAsia="Calibri"/>
          <w:lang w:val="sq-AL"/>
        </w:rPr>
        <w:t>urinat</w:t>
      </w:r>
      <w:r w:rsidRPr="00A62ED4">
        <w:rPr>
          <w:rFonts w:eastAsia="Calibri"/>
          <w:lang w:val="sq-AL"/>
        </w:rPr>
        <w:t xml:space="preserve"> e përziera komunale dhe raportohet se </w:t>
      </w:r>
      <w:r>
        <w:rPr>
          <w:rFonts w:eastAsia="Calibri"/>
          <w:lang w:val="sq-AL"/>
        </w:rPr>
        <w:t>këto mbeturina</w:t>
      </w:r>
      <w:r w:rsidRPr="00A62ED4">
        <w:rPr>
          <w:rFonts w:eastAsia="Calibri"/>
          <w:lang w:val="sq-AL"/>
        </w:rPr>
        <w:t xml:space="preserve"> shpesh përfundojnë në deponitë e egra. Megjithatë, mbeturinat e </w:t>
      </w:r>
      <w:r>
        <w:rPr>
          <w:rFonts w:eastAsia="Calibri"/>
          <w:lang w:val="sq-AL"/>
        </w:rPr>
        <w:t>vëllimshme</w:t>
      </w:r>
      <w:r w:rsidRPr="00A62ED4">
        <w:rPr>
          <w:rFonts w:eastAsia="Calibri"/>
          <w:lang w:val="sq-AL"/>
        </w:rPr>
        <w:t xml:space="preserve"> nuk u </w:t>
      </w:r>
      <w:r>
        <w:rPr>
          <w:rFonts w:eastAsia="Calibri"/>
          <w:lang w:val="sq-AL"/>
        </w:rPr>
        <w:t>hasën</w:t>
      </w:r>
      <w:r w:rsidRPr="00A62ED4">
        <w:rPr>
          <w:rFonts w:eastAsia="Calibri"/>
          <w:lang w:val="sq-AL"/>
        </w:rPr>
        <w:t xml:space="preserve"> në deponitë e egra në vitin 2022 (AMM</w:t>
      </w:r>
      <w:r>
        <w:rPr>
          <w:rFonts w:eastAsia="Calibri"/>
          <w:lang w:val="sq-AL"/>
        </w:rPr>
        <w:t>K</w:t>
      </w:r>
      <w:r w:rsidRPr="00A62ED4">
        <w:rPr>
          <w:rFonts w:eastAsia="Calibri"/>
          <w:lang w:val="sq-AL"/>
        </w:rPr>
        <w:t>).</w:t>
      </w:r>
    </w:p>
    <w:p w14:paraId="4687B543" w14:textId="5ECA211E" w:rsidR="005514A8" w:rsidRPr="00345553" w:rsidRDefault="00CD63A7" w:rsidP="00CD63A7">
      <w:pPr>
        <w:pStyle w:val="Paragraph"/>
        <w:rPr>
          <w:rFonts w:eastAsia="Calibri"/>
          <w:lang w:val="bg-BG"/>
        </w:rPr>
      </w:pPr>
      <w:r w:rsidRPr="00A62ED4">
        <w:rPr>
          <w:rFonts w:eastAsia="Calibri"/>
          <w:lang w:val="sq-AL"/>
        </w:rPr>
        <w:t xml:space="preserve">Vetëm Komuna e Pejës ofron shërbimin e grumbullimit të mbeturinave të </w:t>
      </w:r>
      <w:r>
        <w:rPr>
          <w:rFonts w:eastAsia="Calibri"/>
          <w:lang w:val="sq-AL"/>
        </w:rPr>
        <w:t>vëllimshme</w:t>
      </w:r>
      <w:r w:rsidRPr="00A62ED4">
        <w:rPr>
          <w:rFonts w:eastAsia="Calibri"/>
          <w:lang w:val="sq-AL"/>
        </w:rPr>
        <w:t xml:space="preserve"> edhe pse ende nuk ka një sistem për trajtimin e </w:t>
      </w:r>
      <w:r>
        <w:rPr>
          <w:rFonts w:eastAsia="Calibri"/>
          <w:lang w:val="sq-AL"/>
        </w:rPr>
        <w:t>tyre</w:t>
      </w:r>
      <w:r w:rsidR="005514A8">
        <w:rPr>
          <w:rFonts w:eastAsia="Calibri"/>
        </w:rPr>
        <w:t>.</w:t>
      </w:r>
    </w:p>
    <w:p w14:paraId="18A720FE" w14:textId="1C8846A7" w:rsidR="00032CD8" w:rsidRPr="00C21444" w:rsidRDefault="00032CD8" w:rsidP="002254E8">
      <w:pPr>
        <w:pStyle w:val="Heading3"/>
      </w:pPr>
      <w:bookmarkStart w:id="261" w:name="_Toc153872139"/>
      <w:bookmarkStart w:id="262" w:name="_Toc170470844"/>
      <w:bookmarkStart w:id="263" w:name="_Toc197471992"/>
      <w:r w:rsidRPr="00C21444">
        <w:lastRenderedPageBreak/>
        <w:t>Mbet</w:t>
      </w:r>
      <w:r w:rsidR="00CD63A7">
        <w:t>urinat bujqësore</w:t>
      </w:r>
      <w:bookmarkEnd w:id="261"/>
      <w:bookmarkEnd w:id="262"/>
      <w:bookmarkEnd w:id="263"/>
      <w:r w:rsidRPr="00C21444">
        <w:t xml:space="preserve"> </w:t>
      </w:r>
    </w:p>
    <w:p w14:paraId="59912462" w14:textId="77777777" w:rsidR="00572E42" w:rsidRPr="008D2D8C" w:rsidRDefault="00572E42" w:rsidP="00572E42">
      <w:pPr>
        <w:pStyle w:val="Paragraph"/>
        <w:rPr>
          <w:rFonts w:eastAsia="Calibri"/>
          <w:lang w:val="sq-AL"/>
        </w:rPr>
      </w:pPr>
      <w:r w:rsidRPr="00A62ED4">
        <w:rPr>
          <w:rFonts w:eastAsia="Calibri"/>
          <w:lang w:val="sq-AL"/>
        </w:rPr>
        <w:t>Nuk ka informacion se si menaxhohen aktualisht mbet</w:t>
      </w:r>
      <w:r>
        <w:rPr>
          <w:rFonts w:eastAsia="Calibri"/>
          <w:lang w:val="sq-AL"/>
        </w:rPr>
        <w:t>urinat</w:t>
      </w:r>
      <w:r w:rsidRPr="00A62ED4">
        <w:rPr>
          <w:rFonts w:eastAsia="Calibri"/>
          <w:lang w:val="sq-AL"/>
        </w:rPr>
        <w:t xml:space="preserve"> nga aktivitetet bujqësore. Siç tregohet në Seksionin 2.3, bujqësia është një aktivitet i rëndësishëm ekonomik në Rajonin e Dukagjinit. </w:t>
      </w:r>
      <w:r>
        <w:rPr>
          <w:rFonts w:eastAsia="Calibri"/>
          <w:lang w:val="sq-AL"/>
        </w:rPr>
        <w:t xml:space="preserve">Çdo vit, </w:t>
      </w:r>
      <w:r w:rsidRPr="00A62ED4">
        <w:rPr>
          <w:rFonts w:eastAsia="Calibri"/>
          <w:lang w:val="sq-AL"/>
        </w:rPr>
        <w:t>ga aktivitetet bujqësore në rajon</w:t>
      </w:r>
      <w:r>
        <w:rPr>
          <w:rFonts w:eastAsia="Calibri"/>
          <w:lang w:val="sq-AL"/>
        </w:rPr>
        <w:t xml:space="preserve"> gjenerohen</w:t>
      </w:r>
      <w:r w:rsidRPr="00A62ED4">
        <w:rPr>
          <w:rFonts w:eastAsia="Calibri"/>
          <w:lang w:val="sq-AL"/>
        </w:rPr>
        <w:t xml:space="preserve"> </w:t>
      </w:r>
      <w:r>
        <w:rPr>
          <w:rFonts w:eastAsia="Calibri"/>
          <w:lang w:val="sq-AL"/>
        </w:rPr>
        <w:t>s</w:t>
      </w:r>
      <w:r w:rsidRPr="00A62ED4">
        <w:rPr>
          <w:rFonts w:eastAsia="Calibri"/>
          <w:lang w:val="sq-AL"/>
        </w:rPr>
        <w:t>asi të konsiderueshme mbet</w:t>
      </w:r>
      <w:r>
        <w:rPr>
          <w:rFonts w:eastAsia="Calibri"/>
          <w:lang w:val="sq-AL"/>
        </w:rPr>
        <w:t>urinash</w:t>
      </w:r>
      <w:r w:rsidRPr="00A62ED4">
        <w:rPr>
          <w:rFonts w:eastAsia="Calibri"/>
          <w:lang w:val="sq-AL"/>
        </w:rPr>
        <w:t>. Menaxhimi i mbet</w:t>
      </w:r>
      <w:r>
        <w:rPr>
          <w:rFonts w:eastAsia="Calibri"/>
          <w:lang w:val="sq-AL"/>
        </w:rPr>
        <w:t>urnave</w:t>
      </w:r>
      <w:r w:rsidRPr="00A62ED4">
        <w:rPr>
          <w:rFonts w:eastAsia="Calibri"/>
          <w:lang w:val="sq-AL"/>
        </w:rPr>
        <w:t xml:space="preserve"> bujqësore duhet të ndjekë parimin “ndotësi-paguan”, që do të thotë se </w:t>
      </w:r>
      <w:r>
        <w:rPr>
          <w:rFonts w:eastAsia="Calibri"/>
          <w:lang w:val="sq-AL"/>
        </w:rPr>
        <w:t>gjeneruesit</w:t>
      </w:r>
      <w:r w:rsidRPr="00A62ED4">
        <w:rPr>
          <w:rFonts w:eastAsia="Calibri"/>
          <w:lang w:val="sq-AL"/>
        </w:rPr>
        <w:t xml:space="preserve"> e mbet</w:t>
      </w:r>
      <w:r>
        <w:rPr>
          <w:rFonts w:eastAsia="Calibri"/>
          <w:lang w:val="sq-AL"/>
        </w:rPr>
        <w:t>urinave</w:t>
      </w:r>
      <w:r w:rsidRPr="00A62ED4">
        <w:rPr>
          <w:rFonts w:eastAsia="Calibri"/>
          <w:lang w:val="sq-AL"/>
        </w:rPr>
        <w:t xml:space="preserve"> bujqësore duhet të jenë përgjegjës për menaxhimin e tyre dhe duhet të mbulojnë kostot e menaxhimit.</w:t>
      </w:r>
    </w:p>
    <w:p w14:paraId="03079243" w14:textId="3AEDC430" w:rsidR="00032CD8" w:rsidRPr="00C21444" w:rsidRDefault="00032CD8" w:rsidP="002254E8">
      <w:pPr>
        <w:pStyle w:val="Heading3"/>
      </w:pPr>
      <w:bookmarkStart w:id="264" w:name="_Toc153872140"/>
      <w:bookmarkStart w:id="265" w:name="_Toc170470845"/>
      <w:bookmarkStart w:id="266" w:name="_Toc197471993"/>
      <w:r w:rsidRPr="00C21444">
        <w:t>Mbet</w:t>
      </w:r>
      <w:r w:rsidR="00572E42">
        <w:t xml:space="preserve">urinat </w:t>
      </w:r>
      <w:r w:rsidRPr="00C21444">
        <w:t>industriale</w:t>
      </w:r>
      <w:bookmarkEnd w:id="264"/>
      <w:bookmarkEnd w:id="265"/>
      <w:bookmarkEnd w:id="266"/>
    </w:p>
    <w:p w14:paraId="3B4921F7" w14:textId="77777777" w:rsidR="00572E42" w:rsidRPr="00A62ED4" w:rsidRDefault="00572E42" w:rsidP="00572E42">
      <w:pPr>
        <w:pStyle w:val="Paragraph"/>
        <w:rPr>
          <w:rFonts w:eastAsia="Calibri"/>
          <w:lang w:val="sq-AL"/>
        </w:rPr>
      </w:pPr>
      <w:bookmarkStart w:id="267" w:name="_Toc153872141"/>
      <w:bookmarkStart w:id="268" w:name="_Toc170470846"/>
      <w:r w:rsidRPr="00A62ED4">
        <w:rPr>
          <w:rFonts w:eastAsia="Calibri"/>
          <w:lang w:val="sq-AL"/>
        </w:rPr>
        <w:t xml:space="preserve">Në rajon nuk funksionon asnjë minierë aktive. Gjithashtu, </w:t>
      </w:r>
      <w:r w:rsidRPr="008D2D8C">
        <w:rPr>
          <w:rFonts w:eastAsia="Calibri"/>
          <w:lang w:val="sq-AL"/>
        </w:rPr>
        <w:fldChar w:fldCharType="begin"/>
      </w:r>
      <w:r w:rsidRPr="008D2D8C">
        <w:rPr>
          <w:rFonts w:eastAsia="Calibri"/>
          <w:lang w:val="sq-AL"/>
        </w:rPr>
        <w:instrText xml:space="preserve"> REF _Ref175063487 \h  \* MERGEFORMAT </w:instrText>
      </w:r>
      <w:r w:rsidRPr="008D2D8C">
        <w:rPr>
          <w:rFonts w:eastAsia="Calibri"/>
          <w:lang w:val="sq-AL"/>
        </w:rPr>
      </w:r>
      <w:r w:rsidRPr="008D2D8C">
        <w:rPr>
          <w:rFonts w:eastAsia="Calibri"/>
          <w:lang w:val="sq-AL"/>
        </w:rPr>
        <w:fldChar w:fldCharType="separate"/>
      </w:r>
      <w:r>
        <w:rPr>
          <w:rFonts w:eastAsia="Calibri"/>
          <w:lang w:val="sq-AL"/>
        </w:rPr>
        <w:t>Tabela</w:t>
      </w:r>
      <w:r w:rsidRPr="008D2D8C">
        <w:rPr>
          <w:rFonts w:eastAsia="Calibri"/>
          <w:lang w:val="sq-AL"/>
        </w:rPr>
        <w:t xml:space="preserve"> 25</w:t>
      </w:r>
      <w:r w:rsidRPr="008D2D8C">
        <w:rPr>
          <w:rFonts w:eastAsia="Calibri"/>
          <w:lang w:val="sq-AL"/>
        </w:rPr>
        <w:fldChar w:fldCharType="end"/>
      </w:r>
      <w:r>
        <w:rPr>
          <w:rFonts w:eastAsia="Calibri"/>
          <w:lang w:val="sq-AL"/>
        </w:rPr>
        <w:t xml:space="preserve"> </w:t>
      </w:r>
      <w:r w:rsidRPr="00A62ED4">
        <w:rPr>
          <w:rFonts w:eastAsia="Calibri"/>
          <w:lang w:val="sq-AL"/>
        </w:rPr>
        <w:t xml:space="preserve">e këtij Plani tregon se mbeturinat e rrezikshme industriale janë </w:t>
      </w:r>
      <w:r>
        <w:rPr>
          <w:rFonts w:eastAsia="Calibri"/>
          <w:lang w:val="sq-AL"/>
        </w:rPr>
        <w:t>hasur</w:t>
      </w:r>
      <w:r w:rsidRPr="00A62ED4">
        <w:rPr>
          <w:rFonts w:eastAsia="Calibri"/>
          <w:lang w:val="sq-AL"/>
        </w:rPr>
        <w:t xml:space="preserve"> vetëm në Komunën e Pejës, duke përbërë 1% të mbeturinave të deponuara në deponitë ilegale. Ndryshe, mbeturinat jo të rrezikshme industriale po deponohen në deponinë rajonale të Pejës – rreth 8,500 tonë në vitin 2023.</w:t>
      </w:r>
    </w:p>
    <w:p w14:paraId="7FA8D146" w14:textId="77777777" w:rsidR="00572E42" w:rsidRPr="008D2D8C" w:rsidRDefault="00572E42" w:rsidP="00572E42">
      <w:pPr>
        <w:pStyle w:val="Paragraph"/>
        <w:rPr>
          <w:rFonts w:eastAsia="Calibri"/>
          <w:lang w:val="sq-AL"/>
        </w:rPr>
      </w:pPr>
      <w:r w:rsidRPr="00A62ED4">
        <w:rPr>
          <w:rFonts w:eastAsia="Calibri"/>
          <w:lang w:val="sq-AL"/>
        </w:rPr>
        <w:t>Industritë e mëdha janë të detyruara të operojnë sipas lejeve të Kontrollit të Integruar të Parandalimit të Ndotjes, të cilat lëshohen nga autoritetet</w:t>
      </w:r>
      <w:r>
        <w:rPr>
          <w:rFonts w:eastAsia="Calibri"/>
          <w:lang w:val="sq-AL"/>
        </w:rPr>
        <w:t>,</w:t>
      </w:r>
      <w:r w:rsidRPr="00A62ED4">
        <w:rPr>
          <w:rFonts w:eastAsia="Calibri"/>
          <w:lang w:val="sq-AL"/>
        </w:rPr>
        <w:t xml:space="preserve"> vetëm nëse industritë kanë plane për menaxhimin e mbet</w:t>
      </w:r>
      <w:r>
        <w:rPr>
          <w:rFonts w:eastAsia="Calibri"/>
          <w:lang w:val="sq-AL"/>
        </w:rPr>
        <w:t>urinave</w:t>
      </w:r>
      <w:r w:rsidRPr="00A62ED4">
        <w:rPr>
          <w:rFonts w:eastAsia="Calibri"/>
          <w:lang w:val="sq-AL"/>
        </w:rPr>
        <w:t>.</w:t>
      </w:r>
    </w:p>
    <w:p w14:paraId="63D9BE91" w14:textId="5F71FCFA" w:rsidR="00032CD8" w:rsidRPr="00C21444" w:rsidRDefault="00032CD8" w:rsidP="002254E8">
      <w:pPr>
        <w:pStyle w:val="Heading3"/>
      </w:pPr>
      <w:bookmarkStart w:id="269" w:name="_Toc197471994"/>
      <w:r w:rsidRPr="00C21444">
        <w:t>Mbeturinat nga I</w:t>
      </w:r>
      <w:r w:rsidR="00572E42">
        <w:t>TUZ</w:t>
      </w:r>
      <w:bookmarkEnd w:id="267"/>
      <w:bookmarkEnd w:id="268"/>
      <w:bookmarkEnd w:id="269"/>
    </w:p>
    <w:p w14:paraId="5B53B1C2" w14:textId="77777777" w:rsidR="00572E42" w:rsidRPr="00A62ED4" w:rsidRDefault="00572E42" w:rsidP="00572E42">
      <w:pPr>
        <w:pStyle w:val="Paragraph"/>
        <w:rPr>
          <w:rFonts w:eastAsia="Calibri"/>
          <w:lang w:val="sq-AL"/>
        </w:rPr>
      </w:pPr>
      <w:r>
        <w:rPr>
          <w:rFonts w:eastAsia="Calibri"/>
          <w:lang w:val="sq-AL"/>
        </w:rPr>
        <w:t>Në rajon e</w:t>
      </w:r>
      <w:r w:rsidRPr="00A62ED4">
        <w:rPr>
          <w:rFonts w:eastAsia="Calibri"/>
          <w:lang w:val="sq-AL"/>
        </w:rPr>
        <w:t>kziston vetëm një impiant për trajtimin e ujërave të zeza (</w:t>
      </w:r>
      <w:r>
        <w:rPr>
          <w:rFonts w:eastAsia="Calibri"/>
          <w:lang w:val="sq-AL"/>
        </w:rPr>
        <w:t>ITUZ</w:t>
      </w:r>
      <w:r w:rsidRPr="00A62ED4">
        <w:rPr>
          <w:rFonts w:eastAsia="Calibri"/>
          <w:lang w:val="sq-AL"/>
        </w:rPr>
        <w:t>)</w:t>
      </w:r>
      <w:r>
        <w:rPr>
          <w:rFonts w:eastAsia="Calibri"/>
          <w:lang w:val="sq-AL"/>
        </w:rPr>
        <w:t>,</w:t>
      </w:r>
      <w:r w:rsidRPr="00A62ED4">
        <w:rPr>
          <w:rFonts w:eastAsia="Calibri"/>
          <w:lang w:val="sq-AL"/>
        </w:rPr>
        <w:t xml:space="preserve"> në qytetin e Pejës</w:t>
      </w:r>
      <w:r>
        <w:rPr>
          <w:rFonts w:eastAsia="Calibri"/>
          <w:lang w:val="sq-AL"/>
        </w:rPr>
        <w:t>,</w:t>
      </w:r>
      <w:r w:rsidRPr="00A62ED4">
        <w:rPr>
          <w:rFonts w:eastAsia="Calibri"/>
          <w:lang w:val="sq-AL"/>
        </w:rPr>
        <w:t xml:space="preserve"> </w:t>
      </w:r>
      <w:r>
        <w:rPr>
          <w:rFonts w:eastAsia="Calibri"/>
          <w:lang w:val="sq-AL"/>
        </w:rPr>
        <w:t xml:space="preserve">i </w:t>
      </w:r>
      <w:r w:rsidRPr="00A62ED4">
        <w:rPr>
          <w:rFonts w:eastAsia="Calibri"/>
          <w:lang w:val="sq-AL"/>
        </w:rPr>
        <w:t xml:space="preserve">ndërtuar në vitin 2022. Proceset e trajtimit që përdoren në impiant janë stacionet e pompimit, trajtimi mekanik dhe biologjik i kanalizimeve, tretja anaerobe e </w:t>
      </w:r>
      <w:r>
        <w:rPr>
          <w:rFonts w:eastAsia="Calibri"/>
          <w:lang w:val="sq-AL"/>
        </w:rPr>
        <w:t>lymit</w:t>
      </w:r>
      <w:r w:rsidRPr="00A62ED4">
        <w:rPr>
          <w:rFonts w:eastAsia="Calibri"/>
          <w:lang w:val="sq-AL"/>
        </w:rPr>
        <w:t>, prodhimi dhe shfrytëzimi i biogazit dhe prodhimi i energjisë elektrike dhe nxehtësisë që mbulojnë shumicën e kërkesave të impiantit për furnizim me energji elektrike.</w:t>
      </w:r>
    </w:p>
    <w:p w14:paraId="78B57192" w14:textId="34D74036" w:rsidR="00BF26F9" w:rsidRPr="00AF0235" w:rsidRDefault="00572E42" w:rsidP="00572E42">
      <w:pPr>
        <w:pStyle w:val="Paragraph"/>
        <w:rPr>
          <w:rFonts w:eastAsia="Calibri"/>
        </w:rPr>
      </w:pPr>
      <w:r w:rsidRPr="00A62ED4">
        <w:rPr>
          <w:rFonts w:eastAsia="Calibri"/>
          <w:lang w:val="sq-AL"/>
        </w:rPr>
        <w:t xml:space="preserve">Prodhimi vjetor i </w:t>
      </w:r>
      <w:r>
        <w:rPr>
          <w:rFonts w:eastAsia="Calibri"/>
          <w:lang w:val="sq-AL"/>
        </w:rPr>
        <w:t>lymit</w:t>
      </w:r>
      <w:r w:rsidRPr="00A62ED4">
        <w:rPr>
          <w:rFonts w:eastAsia="Calibri"/>
          <w:lang w:val="sq-AL"/>
        </w:rPr>
        <w:t xml:space="preserve"> nga trajtimi vlerësohet </w:t>
      </w:r>
      <w:r>
        <w:rPr>
          <w:rFonts w:eastAsia="Calibri"/>
          <w:lang w:val="sq-AL"/>
        </w:rPr>
        <w:t>t</w:t>
      </w:r>
      <w:r w:rsidRPr="00A62ED4">
        <w:rPr>
          <w:rFonts w:eastAsia="Calibri"/>
          <w:lang w:val="sq-AL"/>
        </w:rPr>
        <w:t xml:space="preserve">ë </w:t>
      </w:r>
      <w:r>
        <w:rPr>
          <w:rFonts w:eastAsia="Calibri"/>
          <w:lang w:val="sq-AL"/>
        </w:rPr>
        <w:t xml:space="preserve">jetë </w:t>
      </w:r>
      <w:r w:rsidRPr="00A62ED4">
        <w:rPr>
          <w:rFonts w:eastAsia="Calibri"/>
          <w:lang w:val="sq-AL"/>
        </w:rPr>
        <w:t>2.9 ton</w:t>
      </w:r>
      <w:r>
        <w:rPr>
          <w:rFonts w:eastAsia="Calibri"/>
          <w:lang w:val="sq-AL"/>
        </w:rPr>
        <w:t>ë</w:t>
      </w:r>
      <w:r w:rsidRPr="00A62ED4">
        <w:rPr>
          <w:rFonts w:eastAsia="Calibri"/>
          <w:lang w:val="sq-AL"/>
        </w:rPr>
        <w:t xml:space="preserve"> në vit. </w:t>
      </w:r>
      <w:r>
        <w:rPr>
          <w:rFonts w:eastAsia="Calibri"/>
          <w:lang w:val="sq-AL"/>
        </w:rPr>
        <w:t>Lymi</w:t>
      </w:r>
      <w:r w:rsidRPr="00A62ED4">
        <w:rPr>
          <w:rFonts w:eastAsia="Calibri"/>
          <w:lang w:val="sq-AL"/>
        </w:rPr>
        <w:t xml:space="preserve"> hiqet dhe depozitohet në ambientet e fabrikës sipas metodave dhe proceseve të përcaktuara në projekt. Supozohet se pas stabilizimit </w:t>
      </w:r>
      <w:r>
        <w:rPr>
          <w:rFonts w:eastAsia="Calibri"/>
          <w:lang w:val="sq-AL"/>
        </w:rPr>
        <w:t>lymi</w:t>
      </w:r>
      <w:r w:rsidRPr="00A62ED4">
        <w:rPr>
          <w:rFonts w:eastAsia="Calibri"/>
          <w:lang w:val="sq-AL"/>
        </w:rPr>
        <w:t xml:space="preserve"> mund të përdoret si pleh organik</w:t>
      </w:r>
      <w:r w:rsidR="00BF26F9">
        <w:rPr>
          <w:rFonts w:eastAsia="Calibri"/>
        </w:rPr>
        <w:t>.</w:t>
      </w:r>
    </w:p>
    <w:p w14:paraId="72C79F19" w14:textId="77777777" w:rsidR="00032CD8" w:rsidRPr="00AF0235" w:rsidRDefault="00032CD8" w:rsidP="002254E8">
      <w:pPr>
        <w:pStyle w:val="Heading2"/>
      </w:pPr>
      <w:bookmarkStart w:id="270" w:name="_Toc153872142"/>
      <w:bookmarkStart w:id="271" w:name="_Toc170470847"/>
      <w:bookmarkStart w:id="272" w:name="_Toc197471995"/>
      <w:r w:rsidRPr="00AF0235">
        <w:t>Ndërgjegjësimi publik</w:t>
      </w:r>
      <w:bookmarkEnd w:id="270"/>
      <w:bookmarkEnd w:id="271"/>
      <w:bookmarkEnd w:id="272"/>
    </w:p>
    <w:p w14:paraId="6F2F704D" w14:textId="7C498016" w:rsidR="00032CD8" w:rsidRDefault="00572E42" w:rsidP="00D14C3F">
      <w:pPr>
        <w:pStyle w:val="Paragraph"/>
        <w:rPr>
          <w:rFonts w:eastAsia="Calibri"/>
        </w:rPr>
      </w:pPr>
      <w:r w:rsidRPr="00A62ED4">
        <w:rPr>
          <w:rFonts w:eastAsia="Calibri"/>
          <w:lang w:val="sq-AL"/>
        </w:rPr>
        <w:t>Numri i aktiviteteve ndërgjegjësuese të publikut për menaxhimin e mbet</w:t>
      </w:r>
      <w:r>
        <w:rPr>
          <w:rFonts w:eastAsia="Calibri"/>
          <w:lang w:val="sq-AL"/>
        </w:rPr>
        <w:t>urinave</w:t>
      </w:r>
      <w:r w:rsidRPr="00A62ED4">
        <w:rPr>
          <w:rFonts w:eastAsia="Calibri"/>
          <w:lang w:val="sq-AL"/>
        </w:rPr>
        <w:t xml:space="preserve"> dhe </w:t>
      </w:r>
      <w:r>
        <w:rPr>
          <w:rFonts w:eastAsia="Calibri"/>
          <w:lang w:val="sq-AL"/>
        </w:rPr>
        <w:t xml:space="preserve">për </w:t>
      </w:r>
      <w:r w:rsidRPr="00A62ED4">
        <w:rPr>
          <w:rFonts w:eastAsia="Calibri"/>
          <w:lang w:val="sq-AL"/>
        </w:rPr>
        <w:t xml:space="preserve">ekonominë </w:t>
      </w:r>
      <w:r>
        <w:rPr>
          <w:rFonts w:eastAsia="Calibri"/>
          <w:lang w:val="sq-AL"/>
        </w:rPr>
        <w:t>qarkore</w:t>
      </w:r>
      <w:r w:rsidRPr="00A62ED4">
        <w:rPr>
          <w:rFonts w:eastAsia="Calibri"/>
          <w:lang w:val="sq-AL"/>
        </w:rPr>
        <w:t xml:space="preserve"> në 3 vitet e fundit është renditur në </w:t>
      </w:r>
      <w:r>
        <w:rPr>
          <w:rFonts w:eastAsia="Calibri"/>
          <w:lang w:val="sq-AL"/>
        </w:rPr>
        <w:t>t</w:t>
      </w:r>
      <w:r w:rsidRPr="00A62ED4">
        <w:rPr>
          <w:rFonts w:eastAsia="Calibri"/>
          <w:lang w:val="sq-AL"/>
        </w:rPr>
        <w:t>abel</w:t>
      </w:r>
      <w:r>
        <w:rPr>
          <w:rFonts w:eastAsia="Calibri"/>
          <w:lang w:val="sq-AL"/>
        </w:rPr>
        <w:t>ën</w:t>
      </w:r>
      <w:r w:rsidRPr="00A62ED4">
        <w:rPr>
          <w:rFonts w:eastAsia="Calibri"/>
          <w:lang w:val="sq-AL"/>
        </w:rPr>
        <w:t xml:space="preserve"> më poshtë</w:t>
      </w:r>
      <w:r w:rsidR="000B405F" w:rsidRPr="000B405F">
        <w:rPr>
          <w:rFonts w:eastAsia="Calibri"/>
        </w:rPr>
        <w:t>.</w:t>
      </w:r>
    </w:p>
    <w:p w14:paraId="0F7ED21B" w14:textId="21E738A9" w:rsidR="000B405F" w:rsidRPr="007F50ED" w:rsidRDefault="000B405F" w:rsidP="007F50ED">
      <w:pPr>
        <w:suppressAutoHyphens/>
        <w:rPr>
          <w:rFonts w:ascii="Arial Narrow" w:eastAsia="Calibri" w:hAnsi="Arial Narrow" w:cs="Calibri"/>
          <w:color w:val="1F497D"/>
          <w:sz w:val="20"/>
          <w:szCs w:val="20"/>
        </w:rPr>
      </w:pPr>
      <w:bookmarkStart w:id="273" w:name="_Toc197472225"/>
      <w:r w:rsidRPr="007F50ED">
        <w:rPr>
          <w:rFonts w:ascii="Arial Narrow" w:eastAsia="Calibri" w:hAnsi="Arial Narrow" w:cs="Calibri"/>
          <w:color w:val="1F497D"/>
          <w:sz w:val="20"/>
          <w:szCs w:val="20"/>
        </w:rPr>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40.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Aktivitete dhe fushata ndërgjegjësimi në lidhje me menaxhimin e mbeturinave në rajonin e Dukagjinit</w:t>
      </w:r>
      <w:bookmarkEnd w:id="273"/>
    </w:p>
    <w:tbl>
      <w:tblPr>
        <w:tblStyle w:val="TableGrid41"/>
        <w:tblW w:w="5000" w:type="pct"/>
        <w:tblLook w:val="0420" w:firstRow="1" w:lastRow="0" w:firstColumn="0" w:lastColumn="0" w:noHBand="0" w:noVBand="1"/>
      </w:tblPr>
      <w:tblGrid>
        <w:gridCol w:w="1974"/>
        <w:gridCol w:w="2348"/>
        <w:gridCol w:w="2348"/>
        <w:gridCol w:w="2346"/>
      </w:tblGrid>
      <w:tr w:rsidR="003672F7" w:rsidRPr="003672F7" w14:paraId="3FA4CFD0" w14:textId="77777777" w:rsidTr="00750949">
        <w:trPr>
          <w:tblHeader/>
        </w:trPr>
        <w:tc>
          <w:tcPr>
            <w:tcW w:w="1095" w:type="pct"/>
            <w:vMerge w:val="restart"/>
            <w:shd w:val="clear" w:color="auto" w:fill="365F91"/>
            <w:hideMark/>
          </w:tcPr>
          <w:p w14:paraId="7DA0B894" w14:textId="78344B0E" w:rsidR="000B405F" w:rsidRPr="003672F7" w:rsidRDefault="00572E42" w:rsidP="003672F7">
            <w:pPr>
              <w:rPr>
                <w:rFonts w:ascii="Arial Narrow" w:hAnsi="Arial Narrow"/>
                <w:b/>
                <w:bCs/>
                <w:color w:val="FFFFFF" w:themeColor="background1"/>
                <w:sz w:val="20"/>
                <w:szCs w:val="20"/>
              </w:rPr>
            </w:pPr>
            <w:r>
              <w:rPr>
                <w:rFonts w:ascii="Arial Narrow" w:hAnsi="Arial Narrow"/>
                <w:b/>
                <w:bCs/>
                <w:color w:val="FFFFFF" w:themeColor="background1"/>
                <w:sz w:val="20"/>
                <w:szCs w:val="20"/>
              </w:rPr>
              <w:t>Komuna</w:t>
            </w:r>
          </w:p>
        </w:tc>
        <w:tc>
          <w:tcPr>
            <w:tcW w:w="3905" w:type="pct"/>
            <w:gridSpan w:val="3"/>
            <w:shd w:val="clear" w:color="auto" w:fill="365F91"/>
            <w:hideMark/>
          </w:tcPr>
          <w:p w14:paraId="19D5F1AA" w14:textId="2D568E34" w:rsidR="000B405F" w:rsidRPr="003672F7" w:rsidRDefault="000B405F" w:rsidP="003672F7">
            <w:pPr>
              <w:rPr>
                <w:rFonts w:ascii="Arial Narrow" w:hAnsi="Arial Narrow"/>
                <w:b/>
                <w:bCs/>
                <w:color w:val="FFFFFF" w:themeColor="background1"/>
                <w:sz w:val="20"/>
                <w:szCs w:val="20"/>
              </w:rPr>
            </w:pPr>
            <w:r w:rsidRPr="003672F7">
              <w:rPr>
                <w:rFonts w:ascii="Arial Narrow" w:hAnsi="Arial Narrow"/>
                <w:b/>
                <w:bCs/>
                <w:color w:val="FFFFFF" w:themeColor="background1"/>
                <w:sz w:val="20"/>
                <w:szCs w:val="20"/>
              </w:rPr>
              <w:t xml:space="preserve">Numri i aktiviteteve </w:t>
            </w:r>
            <w:r w:rsidR="00572E42">
              <w:rPr>
                <w:rFonts w:ascii="Arial Narrow" w:hAnsi="Arial Narrow"/>
                <w:b/>
                <w:bCs/>
                <w:color w:val="FFFFFF" w:themeColor="background1"/>
                <w:sz w:val="20"/>
                <w:szCs w:val="20"/>
              </w:rPr>
              <w:t xml:space="preserve">me popullatën për </w:t>
            </w:r>
            <w:r w:rsidRPr="003672F7">
              <w:rPr>
                <w:rFonts w:ascii="Arial Narrow" w:hAnsi="Arial Narrow"/>
                <w:b/>
                <w:bCs/>
                <w:color w:val="FFFFFF" w:themeColor="background1"/>
                <w:sz w:val="20"/>
                <w:szCs w:val="20"/>
              </w:rPr>
              <w:t>rritjen e ndërgjegjësimit</w:t>
            </w:r>
          </w:p>
        </w:tc>
      </w:tr>
      <w:tr w:rsidR="000B405F" w:rsidRPr="003672F7" w14:paraId="0573B39C" w14:textId="77777777" w:rsidTr="00750949">
        <w:trPr>
          <w:tblHeader/>
        </w:trPr>
        <w:tc>
          <w:tcPr>
            <w:tcW w:w="1095" w:type="pct"/>
            <w:vMerge/>
            <w:shd w:val="clear" w:color="auto" w:fill="365F91"/>
            <w:hideMark/>
          </w:tcPr>
          <w:p w14:paraId="30C53C39" w14:textId="77777777" w:rsidR="000B405F" w:rsidRPr="003672F7" w:rsidRDefault="000B405F" w:rsidP="003672F7">
            <w:pPr>
              <w:rPr>
                <w:rFonts w:ascii="Arial Narrow" w:hAnsi="Arial Narrow"/>
                <w:b/>
                <w:bCs/>
                <w:sz w:val="20"/>
                <w:szCs w:val="20"/>
              </w:rPr>
            </w:pPr>
          </w:p>
        </w:tc>
        <w:tc>
          <w:tcPr>
            <w:tcW w:w="1302" w:type="pct"/>
            <w:shd w:val="clear" w:color="auto" w:fill="365F91"/>
            <w:hideMark/>
          </w:tcPr>
          <w:p w14:paraId="19A4327F" w14:textId="2C2AB0DB" w:rsidR="000B405F" w:rsidRPr="003672F7" w:rsidRDefault="000B405F" w:rsidP="003672F7">
            <w:pPr>
              <w:rPr>
                <w:rFonts w:ascii="Arial Narrow" w:hAnsi="Arial Narrow"/>
                <w:b/>
                <w:bCs/>
                <w:color w:val="FFFFFF" w:themeColor="background1"/>
                <w:sz w:val="20"/>
                <w:szCs w:val="20"/>
              </w:rPr>
            </w:pPr>
            <w:r w:rsidRPr="003672F7">
              <w:rPr>
                <w:rFonts w:ascii="Arial Narrow" w:hAnsi="Arial Narrow"/>
                <w:b/>
                <w:bCs/>
                <w:color w:val="FFFFFF" w:themeColor="background1"/>
                <w:sz w:val="20"/>
                <w:szCs w:val="20"/>
              </w:rPr>
              <w:t>2021</w:t>
            </w:r>
          </w:p>
        </w:tc>
        <w:tc>
          <w:tcPr>
            <w:tcW w:w="1302" w:type="pct"/>
            <w:shd w:val="clear" w:color="auto" w:fill="365F91"/>
            <w:hideMark/>
          </w:tcPr>
          <w:p w14:paraId="4B31F92B" w14:textId="41D75D41" w:rsidR="000B405F" w:rsidRPr="003672F7" w:rsidRDefault="000B405F" w:rsidP="003672F7">
            <w:pPr>
              <w:rPr>
                <w:rFonts w:ascii="Arial Narrow" w:hAnsi="Arial Narrow"/>
                <w:b/>
                <w:bCs/>
                <w:color w:val="FFFFFF" w:themeColor="background1"/>
                <w:sz w:val="20"/>
                <w:szCs w:val="20"/>
              </w:rPr>
            </w:pPr>
            <w:r w:rsidRPr="003672F7">
              <w:rPr>
                <w:rFonts w:ascii="Arial Narrow" w:hAnsi="Arial Narrow"/>
                <w:b/>
                <w:bCs/>
                <w:color w:val="FFFFFF" w:themeColor="background1"/>
                <w:sz w:val="20"/>
                <w:szCs w:val="20"/>
              </w:rPr>
              <w:t>2022</w:t>
            </w:r>
          </w:p>
        </w:tc>
        <w:tc>
          <w:tcPr>
            <w:tcW w:w="1302" w:type="pct"/>
            <w:shd w:val="clear" w:color="auto" w:fill="365F91"/>
            <w:hideMark/>
          </w:tcPr>
          <w:p w14:paraId="5730C7F4" w14:textId="62B485D8" w:rsidR="000B405F" w:rsidRPr="003672F7" w:rsidRDefault="000B405F" w:rsidP="003672F7">
            <w:pPr>
              <w:rPr>
                <w:rFonts w:ascii="Arial Narrow" w:hAnsi="Arial Narrow"/>
                <w:b/>
                <w:bCs/>
                <w:color w:val="FFFFFF" w:themeColor="background1"/>
                <w:sz w:val="20"/>
                <w:szCs w:val="20"/>
              </w:rPr>
            </w:pPr>
            <w:r w:rsidRPr="003672F7">
              <w:rPr>
                <w:rFonts w:ascii="Arial Narrow" w:hAnsi="Arial Narrow"/>
                <w:b/>
                <w:bCs/>
                <w:color w:val="FFFFFF" w:themeColor="background1"/>
                <w:sz w:val="20"/>
                <w:szCs w:val="20"/>
              </w:rPr>
              <w:t>2023</w:t>
            </w:r>
          </w:p>
        </w:tc>
      </w:tr>
      <w:tr w:rsidR="000B405F" w:rsidRPr="003672F7" w14:paraId="7F73ED78" w14:textId="77777777" w:rsidTr="003672F7">
        <w:tc>
          <w:tcPr>
            <w:tcW w:w="1095" w:type="pct"/>
            <w:hideMark/>
          </w:tcPr>
          <w:p w14:paraId="42BE2497" w14:textId="1B140DED" w:rsidR="000B405F" w:rsidRPr="003672F7" w:rsidRDefault="00826494" w:rsidP="003672F7">
            <w:pPr>
              <w:rPr>
                <w:rFonts w:ascii="Arial Narrow" w:hAnsi="Arial Narrow"/>
                <w:sz w:val="20"/>
                <w:szCs w:val="20"/>
              </w:rPr>
            </w:pPr>
            <w:r w:rsidRPr="003672F7">
              <w:rPr>
                <w:rFonts w:ascii="Arial Narrow" w:hAnsi="Arial Narrow"/>
                <w:sz w:val="20"/>
                <w:szCs w:val="20"/>
              </w:rPr>
              <w:t>Pejë</w:t>
            </w:r>
          </w:p>
        </w:tc>
        <w:tc>
          <w:tcPr>
            <w:tcW w:w="1302" w:type="pct"/>
            <w:hideMark/>
          </w:tcPr>
          <w:p w14:paraId="138E822F" w14:textId="77777777" w:rsidR="000B405F" w:rsidRPr="003672F7" w:rsidRDefault="000B405F" w:rsidP="003672F7">
            <w:pPr>
              <w:rPr>
                <w:rFonts w:ascii="Arial Narrow" w:hAnsi="Arial Narrow"/>
                <w:sz w:val="20"/>
                <w:szCs w:val="20"/>
              </w:rPr>
            </w:pPr>
            <w:r w:rsidRPr="003672F7">
              <w:rPr>
                <w:rFonts w:ascii="Arial Narrow" w:hAnsi="Arial Narrow"/>
                <w:sz w:val="20"/>
                <w:szCs w:val="20"/>
                <w:lang w:val="sq-AL"/>
              </w:rPr>
              <w:t>Kalendari i ditëve mjedisore</w:t>
            </w:r>
            <w:r w:rsidRPr="003672F7">
              <w:rPr>
                <w:rFonts w:ascii="Arial Narrow" w:hAnsi="Arial Narrow"/>
                <w:color w:val="000000"/>
                <w:sz w:val="20"/>
                <w:szCs w:val="20"/>
                <w:lang w:val="sq-AL"/>
              </w:rPr>
              <w:t xml:space="preserve"> </w:t>
            </w:r>
          </w:p>
        </w:tc>
        <w:tc>
          <w:tcPr>
            <w:tcW w:w="1302" w:type="pct"/>
            <w:hideMark/>
          </w:tcPr>
          <w:p w14:paraId="5D2509EF" w14:textId="77777777" w:rsidR="000B405F" w:rsidRPr="003672F7" w:rsidRDefault="000B405F" w:rsidP="003672F7">
            <w:pPr>
              <w:rPr>
                <w:rFonts w:ascii="Arial Narrow" w:hAnsi="Arial Narrow"/>
                <w:sz w:val="20"/>
                <w:szCs w:val="20"/>
              </w:rPr>
            </w:pPr>
            <w:r w:rsidRPr="003672F7">
              <w:rPr>
                <w:rFonts w:ascii="Arial Narrow" w:hAnsi="Arial Narrow"/>
                <w:sz w:val="20"/>
                <w:szCs w:val="20"/>
                <w:lang w:val="sq-AL"/>
              </w:rPr>
              <w:t>Kalendari i ditëve mjedisore</w:t>
            </w:r>
          </w:p>
        </w:tc>
        <w:tc>
          <w:tcPr>
            <w:tcW w:w="1302" w:type="pct"/>
          </w:tcPr>
          <w:p w14:paraId="655EC336" w14:textId="1191C675" w:rsidR="000B405F" w:rsidRPr="003672F7" w:rsidRDefault="000B405F" w:rsidP="003672F7">
            <w:pPr>
              <w:rPr>
                <w:rFonts w:ascii="Arial Narrow" w:hAnsi="Arial Narrow"/>
                <w:color w:val="000000"/>
                <w:sz w:val="20"/>
                <w:szCs w:val="20"/>
                <w:lang w:val="sq-AL"/>
              </w:rPr>
            </w:pPr>
            <w:r w:rsidRPr="003672F7">
              <w:rPr>
                <w:rFonts w:ascii="Arial Narrow" w:hAnsi="Arial Narrow"/>
                <w:color w:val="000000"/>
                <w:sz w:val="20"/>
                <w:szCs w:val="20"/>
                <w:lang w:val="sq-AL"/>
              </w:rPr>
              <w:t>Kalendari i ditëve mjedisore</w:t>
            </w:r>
          </w:p>
        </w:tc>
      </w:tr>
      <w:tr w:rsidR="000B405F" w:rsidRPr="003672F7" w14:paraId="0C9D911B" w14:textId="77777777" w:rsidTr="003672F7">
        <w:tc>
          <w:tcPr>
            <w:tcW w:w="1095" w:type="pct"/>
            <w:hideMark/>
          </w:tcPr>
          <w:p w14:paraId="1D6A024B" w14:textId="795D7ABA" w:rsidR="000B405F" w:rsidRPr="003672F7" w:rsidRDefault="000B405F" w:rsidP="003672F7">
            <w:pPr>
              <w:rPr>
                <w:rFonts w:ascii="Arial Narrow" w:hAnsi="Arial Narrow"/>
                <w:sz w:val="20"/>
                <w:szCs w:val="20"/>
              </w:rPr>
            </w:pPr>
            <w:r w:rsidRPr="003672F7">
              <w:rPr>
                <w:rFonts w:ascii="Arial Narrow" w:hAnsi="Arial Narrow"/>
                <w:sz w:val="20"/>
                <w:szCs w:val="20"/>
              </w:rPr>
              <w:t>Istog</w:t>
            </w:r>
          </w:p>
        </w:tc>
        <w:tc>
          <w:tcPr>
            <w:tcW w:w="1302" w:type="pct"/>
            <w:hideMark/>
          </w:tcPr>
          <w:p w14:paraId="06E6A7BA" w14:textId="69AABC3F" w:rsidR="000B405F" w:rsidRPr="003672F7" w:rsidRDefault="000B405F" w:rsidP="003672F7">
            <w:pPr>
              <w:rPr>
                <w:rFonts w:ascii="Arial Narrow" w:hAnsi="Arial Narrow"/>
                <w:sz w:val="20"/>
                <w:szCs w:val="20"/>
              </w:rPr>
            </w:pPr>
            <w:r w:rsidRPr="003672F7">
              <w:rPr>
                <w:rFonts w:ascii="Arial Narrow" w:hAnsi="Arial Narrow"/>
                <w:sz w:val="20"/>
                <w:szCs w:val="20"/>
                <w:lang w:val="sq-AL"/>
              </w:rPr>
              <w:t>n/a</w:t>
            </w:r>
          </w:p>
        </w:tc>
        <w:tc>
          <w:tcPr>
            <w:tcW w:w="1302" w:type="pct"/>
            <w:hideMark/>
          </w:tcPr>
          <w:p w14:paraId="59BD520D" w14:textId="24B3753C" w:rsidR="000B405F" w:rsidRPr="003672F7" w:rsidRDefault="000B405F" w:rsidP="003672F7">
            <w:pPr>
              <w:rPr>
                <w:rFonts w:ascii="Arial Narrow" w:hAnsi="Arial Narrow"/>
                <w:sz w:val="20"/>
                <w:szCs w:val="20"/>
              </w:rPr>
            </w:pPr>
            <w:r w:rsidRPr="003672F7">
              <w:rPr>
                <w:rFonts w:ascii="Arial Narrow" w:hAnsi="Arial Narrow"/>
                <w:sz w:val="20"/>
                <w:szCs w:val="20"/>
                <w:lang w:val="sq-AL"/>
              </w:rPr>
              <w:t>n/a</w:t>
            </w:r>
          </w:p>
        </w:tc>
        <w:tc>
          <w:tcPr>
            <w:tcW w:w="1302" w:type="pct"/>
            <w:hideMark/>
          </w:tcPr>
          <w:p w14:paraId="4F01A180" w14:textId="3A67194B" w:rsidR="000B405F" w:rsidRPr="003672F7" w:rsidRDefault="000B405F" w:rsidP="003672F7">
            <w:pPr>
              <w:rPr>
                <w:rFonts w:ascii="Arial Narrow" w:hAnsi="Arial Narrow"/>
                <w:sz w:val="20"/>
                <w:szCs w:val="20"/>
              </w:rPr>
            </w:pPr>
            <w:r w:rsidRPr="003672F7">
              <w:rPr>
                <w:rFonts w:ascii="Arial Narrow" w:hAnsi="Arial Narrow"/>
                <w:sz w:val="20"/>
                <w:szCs w:val="20"/>
                <w:lang w:val="sq-AL"/>
              </w:rPr>
              <w:t>n/a</w:t>
            </w:r>
          </w:p>
        </w:tc>
      </w:tr>
      <w:tr w:rsidR="000B405F" w:rsidRPr="003672F7" w14:paraId="1AD4F67A" w14:textId="77777777" w:rsidTr="003672F7">
        <w:trPr>
          <w:trHeight w:val="683"/>
        </w:trPr>
        <w:tc>
          <w:tcPr>
            <w:tcW w:w="1095" w:type="pct"/>
            <w:hideMark/>
          </w:tcPr>
          <w:p w14:paraId="13D477FA" w14:textId="04277A73" w:rsidR="000B405F" w:rsidRPr="003672F7" w:rsidRDefault="00826494" w:rsidP="003672F7">
            <w:pPr>
              <w:rPr>
                <w:rFonts w:ascii="Arial Narrow" w:hAnsi="Arial Narrow"/>
                <w:sz w:val="20"/>
                <w:szCs w:val="20"/>
              </w:rPr>
            </w:pPr>
            <w:r w:rsidRPr="003672F7">
              <w:rPr>
                <w:rFonts w:ascii="Arial Narrow" w:hAnsi="Arial Narrow"/>
                <w:sz w:val="20"/>
                <w:szCs w:val="20"/>
              </w:rPr>
              <w:t>Klinë</w:t>
            </w:r>
          </w:p>
        </w:tc>
        <w:tc>
          <w:tcPr>
            <w:tcW w:w="1302" w:type="pct"/>
            <w:hideMark/>
          </w:tcPr>
          <w:p w14:paraId="5D2E4FC9" w14:textId="77777777" w:rsidR="000B405F" w:rsidRPr="003672F7" w:rsidRDefault="000B405F" w:rsidP="003672F7">
            <w:pPr>
              <w:rPr>
                <w:rFonts w:ascii="Arial Narrow" w:hAnsi="Arial Narrow"/>
                <w:sz w:val="20"/>
                <w:szCs w:val="20"/>
                <w:lang w:val="sq-AL"/>
              </w:rPr>
            </w:pPr>
            <w:r w:rsidRPr="003672F7">
              <w:rPr>
                <w:rFonts w:ascii="Arial Narrow" w:hAnsi="Arial Narrow"/>
                <w:sz w:val="20"/>
                <w:szCs w:val="20"/>
                <w:lang w:val="sq-AL"/>
              </w:rPr>
              <w:t>Kalendari i ditëve mjedisore</w:t>
            </w:r>
          </w:p>
          <w:p w14:paraId="590B6A04" w14:textId="265945E6" w:rsidR="000B405F" w:rsidRPr="003672F7" w:rsidRDefault="000B405F" w:rsidP="003672F7">
            <w:pPr>
              <w:rPr>
                <w:rFonts w:ascii="Arial Narrow" w:hAnsi="Arial Narrow"/>
                <w:sz w:val="20"/>
                <w:szCs w:val="20"/>
              </w:rPr>
            </w:pPr>
            <w:r w:rsidRPr="003672F7">
              <w:rPr>
                <w:rFonts w:ascii="Arial Narrow" w:hAnsi="Arial Narrow"/>
                <w:sz w:val="20"/>
                <w:szCs w:val="20"/>
                <w:lang w:val="sq-AL"/>
              </w:rPr>
              <w:t>(22 prill, 24 maj, 5 qershor)</w:t>
            </w:r>
          </w:p>
        </w:tc>
        <w:tc>
          <w:tcPr>
            <w:tcW w:w="1302" w:type="pct"/>
            <w:hideMark/>
          </w:tcPr>
          <w:p w14:paraId="25EEFE23" w14:textId="5B013452" w:rsidR="000B405F" w:rsidRPr="003672F7" w:rsidRDefault="000B405F" w:rsidP="003672F7">
            <w:pPr>
              <w:rPr>
                <w:rFonts w:ascii="Arial Narrow" w:hAnsi="Arial Narrow"/>
                <w:sz w:val="20"/>
                <w:szCs w:val="20"/>
              </w:rPr>
            </w:pPr>
            <w:r w:rsidRPr="003672F7">
              <w:rPr>
                <w:rFonts w:ascii="Arial Narrow" w:hAnsi="Arial Narrow"/>
                <w:sz w:val="20"/>
                <w:szCs w:val="20"/>
                <w:lang w:val="sq-AL"/>
              </w:rPr>
              <w:t>Kalendari i ditëve mjedisore</w:t>
            </w:r>
          </w:p>
          <w:p w14:paraId="57F552DC" w14:textId="2630F76C" w:rsidR="000B405F" w:rsidRPr="003672F7" w:rsidRDefault="000B405F" w:rsidP="003672F7">
            <w:pPr>
              <w:rPr>
                <w:rFonts w:ascii="Arial Narrow" w:hAnsi="Arial Narrow"/>
                <w:sz w:val="20"/>
                <w:szCs w:val="20"/>
                <w:lang w:val="sq-AL"/>
              </w:rPr>
            </w:pPr>
            <w:r w:rsidRPr="003672F7">
              <w:rPr>
                <w:rFonts w:ascii="Arial Narrow" w:hAnsi="Arial Narrow"/>
                <w:sz w:val="20"/>
                <w:szCs w:val="20"/>
                <w:lang w:val="sq-AL"/>
              </w:rPr>
              <w:t>(22 prill, 24 maj, 5 qershor)</w:t>
            </w:r>
          </w:p>
        </w:tc>
        <w:tc>
          <w:tcPr>
            <w:tcW w:w="1302" w:type="pct"/>
            <w:hideMark/>
          </w:tcPr>
          <w:p w14:paraId="187EF7FC" w14:textId="77777777" w:rsidR="000B405F" w:rsidRPr="003672F7" w:rsidRDefault="000B405F" w:rsidP="003672F7">
            <w:pPr>
              <w:rPr>
                <w:rFonts w:ascii="Arial Narrow" w:hAnsi="Arial Narrow"/>
                <w:sz w:val="20"/>
                <w:szCs w:val="20"/>
                <w:lang w:val="sq-AL"/>
              </w:rPr>
            </w:pPr>
            <w:r w:rsidRPr="003672F7">
              <w:rPr>
                <w:rFonts w:ascii="Arial Narrow" w:hAnsi="Arial Narrow"/>
                <w:sz w:val="20"/>
                <w:szCs w:val="20"/>
                <w:lang w:val="sq-AL"/>
              </w:rPr>
              <w:t>Kalendari i ditëve mjedisore</w:t>
            </w:r>
          </w:p>
          <w:p w14:paraId="221F0379" w14:textId="04CF56C2" w:rsidR="000B405F" w:rsidRPr="003672F7" w:rsidRDefault="000B405F" w:rsidP="003672F7">
            <w:pPr>
              <w:rPr>
                <w:rFonts w:ascii="Arial Narrow" w:hAnsi="Arial Narrow"/>
                <w:sz w:val="20"/>
                <w:szCs w:val="20"/>
                <w:lang w:val="sq-AL"/>
              </w:rPr>
            </w:pPr>
            <w:r w:rsidRPr="003672F7">
              <w:rPr>
                <w:rFonts w:ascii="Arial Narrow" w:hAnsi="Arial Narrow"/>
                <w:sz w:val="20"/>
                <w:szCs w:val="20"/>
                <w:lang w:val="sq-AL"/>
              </w:rPr>
              <w:t>(22 prill, 24 maj, 5 qershor)</w:t>
            </w:r>
          </w:p>
        </w:tc>
      </w:tr>
      <w:tr w:rsidR="000B405F" w:rsidRPr="003672F7" w14:paraId="485BCB1F" w14:textId="77777777" w:rsidTr="003672F7">
        <w:tc>
          <w:tcPr>
            <w:tcW w:w="1095" w:type="pct"/>
            <w:hideMark/>
          </w:tcPr>
          <w:p w14:paraId="77005EAA" w14:textId="38944FD5" w:rsidR="000B405F" w:rsidRPr="003672F7" w:rsidRDefault="00826494" w:rsidP="003672F7">
            <w:pPr>
              <w:rPr>
                <w:rFonts w:ascii="Arial Narrow" w:hAnsi="Arial Narrow"/>
                <w:sz w:val="20"/>
                <w:szCs w:val="20"/>
              </w:rPr>
            </w:pPr>
            <w:r w:rsidRPr="003672F7">
              <w:rPr>
                <w:rFonts w:ascii="Arial Narrow" w:hAnsi="Arial Narrow"/>
                <w:sz w:val="20"/>
                <w:szCs w:val="20"/>
              </w:rPr>
              <w:t>Deçan</w:t>
            </w:r>
          </w:p>
        </w:tc>
        <w:tc>
          <w:tcPr>
            <w:tcW w:w="1302" w:type="pct"/>
            <w:hideMark/>
          </w:tcPr>
          <w:p w14:paraId="643C9060" w14:textId="772D9784" w:rsidR="000B405F" w:rsidRPr="003672F7" w:rsidRDefault="00572E42" w:rsidP="003672F7">
            <w:pPr>
              <w:rPr>
                <w:rFonts w:ascii="Arial Narrow" w:hAnsi="Arial Narrow"/>
                <w:sz w:val="20"/>
                <w:szCs w:val="20"/>
              </w:rPr>
            </w:pPr>
            <w:r>
              <w:rPr>
                <w:rFonts w:ascii="Arial Narrow" w:hAnsi="Arial Narrow"/>
                <w:sz w:val="20"/>
                <w:szCs w:val="20"/>
              </w:rPr>
              <w:t>E k</w:t>
            </w:r>
            <w:r w:rsidR="003A2691" w:rsidRPr="003672F7">
              <w:rPr>
                <w:rFonts w:ascii="Arial Narrow" w:hAnsi="Arial Narrow"/>
                <w:sz w:val="20"/>
                <w:szCs w:val="20"/>
              </w:rPr>
              <w:t>ryer, nuk specifikohet</w:t>
            </w:r>
          </w:p>
        </w:tc>
        <w:tc>
          <w:tcPr>
            <w:tcW w:w="1302" w:type="pct"/>
            <w:hideMark/>
          </w:tcPr>
          <w:p w14:paraId="027B8D05" w14:textId="243D4FDD" w:rsidR="000B405F" w:rsidRPr="003672F7" w:rsidRDefault="00572E42" w:rsidP="003672F7">
            <w:pPr>
              <w:rPr>
                <w:rFonts w:ascii="Arial Narrow" w:hAnsi="Arial Narrow"/>
                <w:sz w:val="20"/>
                <w:szCs w:val="20"/>
              </w:rPr>
            </w:pPr>
            <w:r>
              <w:rPr>
                <w:rFonts w:ascii="Arial Narrow" w:hAnsi="Arial Narrow"/>
                <w:sz w:val="20"/>
                <w:szCs w:val="20"/>
              </w:rPr>
              <w:t>E k</w:t>
            </w:r>
            <w:r w:rsidR="003A2691" w:rsidRPr="003672F7">
              <w:rPr>
                <w:rFonts w:ascii="Arial Narrow" w:hAnsi="Arial Narrow"/>
                <w:sz w:val="20"/>
                <w:szCs w:val="20"/>
              </w:rPr>
              <w:t>ryer, nuk specifikohet</w:t>
            </w:r>
          </w:p>
        </w:tc>
        <w:tc>
          <w:tcPr>
            <w:tcW w:w="1302" w:type="pct"/>
            <w:hideMark/>
          </w:tcPr>
          <w:p w14:paraId="58DD99A2" w14:textId="34A82112" w:rsidR="000B405F" w:rsidRPr="003672F7" w:rsidRDefault="00572E42" w:rsidP="003672F7">
            <w:pPr>
              <w:rPr>
                <w:rFonts w:ascii="Arial Narrow" w:hAnsi="Arial Narrow"/>
                <w:sz w:val="20"/>
                <w:szCs w:val="20"/>
              </w:rPr>
            </w:pPr>
            <w:r>
              <w:rPr>
                <w:rFonts w:ascii="Arial Narrow" w:hAnsi="Arial Narrow"/>
                <w:sz w:val="20"/>
                <w:szCs w:val="20"/>
              </w:rPr>
              <w:t>E k</w:t>
            </w:r>
            <w:r w:rsidR="003A2691" w:rsidRPr="003672F7">
              <w:rPr>
                <w:rFonts w:ascii="Arial Narrow" w:hAnsi="Arial Narrow"/>
                <w:sz w:val="20"/>
                <w:szCs w:val="20"/>
              </w:rPr>
              <w:t>ryer, nuk specifikohet</w:t>
            </w:r>
          </w:p>
        </w:tc>
      </w:tr>
      <w:tr w:rsidR="000B405F" w:rsidRPr="003672F7" w14:paraId="4C38437E" w14:textId="77777777" w:rsidTr="003672F7">
        <w:tc>
          <w:tcPr>
            <w:tcW w:w="1095" w:type="pct"/>
            <w:hideMark/>
          </w:tcPr>
          <w:p w14:paraId="048C4AFE" w14:textId="5A0BBE30" w:rsidR="000B405F" w:rsidRPr="003672F7" w:rsidRDefault="000B405F" w:rsidP="003672F7">
            <w:pPr>
              <w:rPr>
                <w:rFonts w:ascii="Arial Narrow" w:hAnsi="Arial Narrow"/>
                <w:sz w:val="20"/>
                <w:szCs w:val="20"/>
              </w:rPr>
            </w:pPr>
            <w:r w:rsidRPr="003672F7">
              <w:rPr>
                <w:rFonts w:ascii="Arial Narrow" w:hAnsi="Arial Narrow"/>
                <w:sz w:val="20"/>
                <w:szCs w:val="20"/>
              </w:rPr>
              <w:t>Junik</w:t>
            </w:r>
          </w:p>
        </w:tc>
        <w:tc>
          <w:tcPr>
            <w:tcW w:w="1302" w:type="pct"/>
            <w:hideMark/>
          </w:tcPr>
          <w:p w14:paraId="1C22A4FC" w14:textId="652D7008" w:rsidR="000B405F" w:rsidRPr="003672F7" w:rsidRDefault="003A2691" w:rsidP="003672F7">
            <w:pPr>
              <w:rPr>
                <w:rFonts w:ascii="Arial Narrow" w:hAnsi="Arial Narrow"/>
                <w:sz w:val="20"/>
                <w:szCs w:val="20"/>
                <w:lang w:val="sq-AL"/>
              </w:rPr>
            </w:pPr>
            <w:r w:rsidRPr="003672F7">
              <w:rPr>
                <w:rFonts w:ascii="Arial Narrow" w:hAnsi="Arial Narrow"/>
                <w:sz w:val="20"/>
                <w:szCs w:val="20"/>
                <w:lang w:val="sq-AL"/>
              </w:rPr>
              <w:t>Fushata ndërgjegjësimi në shkolla, fushata “Pastroni Kosovën”</w:t>
            </w:r>
          </w:p>
        </w:tc>
        <w:tc>
          <w:tcPr>
            <w:tcW w:w="1302" w:type="pct"/>
            <w:hideMark/>
          </w:tcPr>
          <w:p w14:paraId="3D6D5380" w14:textId="4BB03412" w:rsidR="000B405F" w:rsidRPr="003672F7" w:rsidRDefault="003A2691" w:rsidP="003672F7">
            <w:pPr>
              <w:rPr>
                <w:rFonts w:ascii="Arial Narrow" w:hAnsi="Arial Narrow"/>
                <w:sz w:val="20"/>
                <w:szCs w:val="20"/>
                <w:lang w:val="sq-AL"/>
              </w:rPr>
            </w:pPr>
            <w:r w:rsidRPr="003672F7">
              <w:rPr>
                <w:rFonts w:ascii="Arial Narrow" w:hAnsi="Arial Narrow"/>
                <w:sz w:val="20"/>
                <w:szCs w:val="20"/>
                <w:lang w:val="sq-AL"/>
              </w:rPr>
              <w:t>Fushata ndërgjegjësimi në shkolla, fushata “Pastroni Kosovën”</w:t>
            </w:r>
          </w:p>
        </w:tc>
        <w:tc>
          <w:tcPr>
            <w:tcW w:w="1302" w:type="pct"/>
            <w:hideMark/>
          </w:tcPr>
          <w:p w14:paraId="324CED4C" w14:textId="7160CFC0" w:rsidR="000B405F" w:rsidRPr="003672F7" w:rsidRDefault="003A2691" w:rsidP="003672F7">
            <w:pPr>
              <w:rPr>
                <w:rFonts w:ascii="Arial Narrow" w:hAnsi="Arial Narrow"/>
                <w:sz w:val="20"/>
                <w:szCs w:val="20"/>
                <w:lang w:val="sq-AL"/>
              </w:rPr>
            </w:pPr>
            <w:r w:rsidRPr="003672F7">
              <w:rPr>
                <w:rFonts w:ascii="Arial Narrow" w:hAnsi="Arial Narrow"/>
                <w:sz w:val="20"/>
                <w:szCs w:val="20"/>
                <w:lang w:val="sq-AL"/>
              </w:rPr>
              <w:t>Fushata ndërgjegjësimi në shkolla, fushata “Pastroni Kosovën”</w:t>
            </w:r>
          </w:p>
        </w:tc>
      </w:tr>
      <w:bookmarkEnd w:id="19"/>
    </w:tbl>
    <w:p w14:paraId="21A6B7DC" w14:textId="77777777" w:rsidR="00032CD8" w:rsidRPr="00AF0235" w:rsidRDefault="00032CD8" w:rsidP="00536C17">
      <w:pPr>
        <w:rPr>
          <w:rFonts w:eastAsia="Calibri" w:cs="Calibri"/>
          <w:sz w:val="22"/>
          <w:szCs w:val="22"/>
        </w:rPr>
      </w:pPr>
    </w:p>
    <w:p w14:paraId="13E830AA" w14:textId="3A1A20B7" w:rsidR="00032CD8" w:rsidRPr="00AF0235" w:rsidRDefault="00032CD8" w:rsidP="002254E8">
      <w:pPr>
        <w:pStyle w:val="Heading2"/>
      </w:pPr>
      <w:bookmarkStart w:id="274" w:name="_Toc153872143"/>
      <w:bookmarkStart w:id="275" w:name="_Toc170470848"/>
      <w:bookmarkStart w:id="276" w:name="_Toc197471996"/>
      <w:r w:rsidRPr="00AF0235">
        <w:t xml:space="preserve">Analiza e mangësive të situatës ekzistuese </w:t>
      </w:r>
      <w:r w:rsidR="00572E42">
        <w:t>p</w:t>
      </w:r>
      <w:r w:rsidRPr="00AF0235">
        <w:t>ë</w:t>
      </w:r>
      <w:r w:rsidR="00572E42">
        <w:t>r</w:t>
      </w:r>
      <w:r w:rsidRPr="00AF0235">
        <w:t xml:space="preserve"> menaxhimi</w:t>
      </w:r>
      <w:r w:rsidR="00572E42">
        <w:t xml:space="preserve">n e </w:t>
      </w:r>
      <w:r w:rsidRPr="00AF0235">
        <w:t>mbet</w:t>
      </w:r>
      <w:r w:rsidR="00572E42">
        <w:t>urinave</w:t>
      </w:r>
      <w:bookmarkEnd w:id="274"/>
      <w:bookmarkEnd w:id="275"/>
      <w:bookmarkEnd w:id="276"/>
    </w:p>
    <w:p w14:paraId="4D9FB702" w14:textId="2748E169" w:rsidR="00032CD8" w:rsidRDefault="00720984" w:rsidP="00D14C3F">
      <w:pPr>
        <w:pStyle w:val="Paragraph"/>
        <w:rPr>
          <w:rFonts w:eastAsia="Calibri"/>
        </w:rPr>
      </w:pPr>
      <w:r w:rsidRPr="00720984">
        <w:rPr>
          <w:rFonts w:eastAsia="Calibri"/>
        </w:rPr>
        <w:t xml:space="preserve">Analiza e </w:t>
      </w:r>
      <w:r w:rsidR="00572E42">
        <w:rPr>
          <w:rFonts w:eastAsia="Calibri"/>
        </w:rPr>
        <w:t>mangësive</w:t>
      </w:r>
      <w:r w:rsidRPr="00720984">
        <w:rPr>
          <w:rFonts w:eastAsia="Calibri"/>
        </w:rPr>
        <w:t xml:space="preserve"> të situatës ekzistuese </w:t>
      </w:r>
      <w:r w:rsidR="00572E42">
        <w:rPr>
          <w:rFonts w:eastAsia="Calibri"/>
        </w:rPr>
        <w:t>p</w:t>
      </w:r>
      <w:r w:rsidRPr="00720984">
        <w:rPr>
          <w:rFonts w:eastAsia="Calibri"/>
        </w:rPr>
        <w:t>ë</w:t>
      </w:r>
      <w:r w:rsidR="00572E42">
        <w:rPr>
          <w:rFonts w:eastAsia="Calibri"/>
        </w:rPr>
        <w:t>r</w:t>
      </w:r>
      <w:r w:rsidRPr="00720984">
        <w:rPr>
          <w:rFonts w:eastAsia="Calibri"/>
        </w:rPr>
        <w:t xml:space="preserve"> menaxhimi</w:t>
      </w:r>
      <w:r w:rsidR="00572E42">
        <w:rPr>
          <w:rFonts w:eastAsia="Calibri"/>
        </w:rPr>
        <w:t>n e</w:t>
      </w:r>
      <w:r w:rsidRPr="00720984">
        <w:rPr>
          <w:rFonts w:eastAsia="Calibri"/>
        </w:rPr>
        <w:t xml:space="preserve"> mbet</w:t>
      </w:r>
      <w:r w:rsidR="00572E42">
        <w:rPr>
          <w:rFonts w:eastAsia="Calibri"/>
        </w:rPr>
        <w:t>urinave</w:t>
      </w:r>
      <w:r w:rsidRPr="00720984">
        <w:rPr>
          <w:rFonts w:eastAsia="Calibri"/>
        </w:rPr>
        <w:t xml:space="preserve"> paraqitet në tabelën më poshtë.</w:t>
      </w:r>
    </w:p>
    <w:p w14:paraId="333CF671" w14:textId="77777777" w:rsidR="00572E42" w:rsidRDefault="00572E42" w:rsidP="00D14C3F">
      <w:pPr>
        <w:pStyle w:val="Paragraph"/>
        <w:rPr>
          <w:rFonts w:eastAsia="Calibri"/>
        </w:rPr>
      </w:pPr>
    </w:p>
    <w:p w14:paraId="2659F3F1" w14:textId="77777777" w:rsidR="00572E42" w:rsidRDefault="00572E42" w:rsidP="00D14C3F">
      <w:pPr>
        <w:pStyle w:val="Paragraph"/>
        <w:rPr>
          <w:rFonts w:eastAsia="Calibri"/>
        </w:rPr>
      </w:pPr>
    </w:p>
    <w:p w14:paraId="01CE6ABA" w14:textId="77777777" w:rsidR="00572E42" w:rsidRDefault="00572E42" w:rsidP="00D14C3F">
      <w:pPr>
        <w:pStyle w:val="Paragraph"/>
        <w:rPr>
          <w:rFonts w:eastAsia="Calibri"/>
        </w:rPr>
      </w:pPr>
    </w:p>
    <w:p w14:paraId="76765CCC" w14:textId="58551338" w:rsidR="00720984" w:rsidRPr="007F50ED" w:rsidRDefault="00720984" w:rsidP="007F50ED">
      <w:pPr>
        <w:suppressAutoHyphens/>
        <w:rPr>
          <w:rFonts w:ascii="Arial Narrow" w:eastAsia="Calibri" w:hAnsi="Arial Narrow" w:cs="Calibri"/>
          <w:color w:val="1F497D"/>
          <w:sz w:val="20"/>
          <w:szCs w:val="20"/>
        </w:rPr>
      </w:pPr>
      <w:bookmarkStart w:id="277" w:name="_Toc197472226"/>
      <w:r w:rsidRPr="007F50ED">
        <w:rPr>
          <w:rFonts w:ascii="Arial Narrow" w:eastAsia="Calibri" w:hAnsi="Arial Narrow" w:cs="Calibri"/>
          <w:color w:val="1F497D"/>
          <w:sz w:val="20"/>
          <w:szCs w:val="20"/>
        </w:rPr>
        <w:lastRenderedPageBreak/>
        <w:t xml:space="preserve">Tabela </w:t>
      </w:r>
      <w:r w:rsidRPr="007F50ED">
        <w:rPr>
          <w:rFonts w:ascii="Arial Narrow" w:eastAsia="Calibri" w:hAnsi="Arial Narrow" w:cs="Calibri"/>
          <w:color w:val="1F497D"/>
          <w:sz w:val="20"/>
          <w:szCs w:val="20"/>
        </w:rPr>
        <w:fldChar w:fldCharType="begin"/>
      </w:r>
      <w:r w:rsidRPr="007F50ED">
        <w:rPr>
          <w:rFonts w:ascii="Arial Narrow" w:eastAsia="Calibri" w:hAnsi="Arial Narrow" w:cs="Calibri"/>
          <w:color w:val="1F497D"/>
          <w:sz w:val="20"/>
          <w:szCs w:val="20"/>
        </w:rPr>
        <w:instrText xml:space="preserve"> SEQ Table \* ARABIC </w:instrText>
      </w:r>
      <w:r w:rsidRPr="007F50ED">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41. </w:t>
      </w:r>
      <w:r w:rsidRPr="007F50ED">
        <w:rPr>
          <w:rFonts w:ascii="Arial Narrow" w:eastAsia="Calibri" w:hAnsi="Arial Narrow" w:cs="Calibri"/>
          <w:color w:val="1F497D"/>
          <w:sz w:val="20"/>
          <w:szCs w:val="20"/>
        </w:rPr>
        <w:fldChar w:fldCharType="end"/>
      </w:r>
      <w:r w:rsidRPr="007F50ED">
        <w:rPr>
          <w:rFonts w:ascii="Arial Narrow" w:eastAsia="Calibri" w:hAnsi="Arial Narrow" w:cs="Calibri"/>
          <w:color w:val="1F497D"/>
          <w:sz w:val="20"/>
          <w:szCs w:val="20"/>
        </w:rPr>
        <w:t xml:space="preserve">Analiza e mangësive </w:t>
      </w:r>
      <w:r w:rsidR="00572E42">
        <w:rPr>
          <w:rFonts w:ascii="Arial Narrow" w:eastAsia="Calibri" w:hAnsi="Arial Narrow" w:cs="Calibri"/>
          <w:color w:val="1F497D"/>
          <w:sz w:val="20"/>
          <w:szCs w:val="20"/>
        </w:rPr>
        <w:t>t</w:t>
      </w:r>
      <w:r w:rsidRPr="007F50ED">
        <w:rPr>
          <w:rFonts w:ascii="Arial Narrow" w:eastAsia="Calibri" w:hAnsi="Arial Narrow" w:cs="Calibri"/>
          <w:color w:val="1F497D"/>
          <w:sz w:val="20"/>
          <w:szCs w:val="20"/>
        </w:rPr>
        <w:t>ë situatë</w:t>
      </w:r>
      <w:r w:rsidR="00572E42">
        <w:rPr>
          <w:rFonts w:ascii="Arial Narrow" w:eastAsia="Calibri" w:hAnsi="Arial Narrow" w:cs="Calibri"/>
          <w:color w:val="1F497D"/>
          <w:sz w:val="20"/>
          <w:szCs w:val="20"/>
        </w:rPr>
        <w:t>s</w:t>
      </w:r>
      <w:r w:rsidRPr="007F50ED">
        <w:rPr>
          <w:rFonts w:ascii="Arial Narrow" w:eastAsia="Calibri" w:hAnsi="Arial Narrow" w:cs="Calibri"/>
          <w:color w:val="1F497D"/>
          <w:sz w:val="20"/>
          <w:szCs w:val="20"/>
        </w:rPr>
        <w:t xml:space="preserve"> ekzistuese </w:t>
      </w:r>
      <w:r w:rsidR="00572E42">
        <w:rPr>
          <w:rFonts w:ascii="Arial Narrow" w:eastAsia="Calibri" w:hAnsi="Arial Narrow" w:cs="Calibri"/>
          <w:color w:val="1F497D"/>
          <w:sz w:val="20"/>
          <w:szCs w:val="20"/>
        </w:rPr>
        <w:t>për</w:t>
      </w:r>
      <w:r w:rsidRPr="007F50ED">
        <w:rPr>
          <w:rFonts w:ascii="Arial Narrow" w:eastAsia="Calibri" w:hAnsi="Arial Narrow" w:cs="Calibri"/>
          <w:color w:val="1F497D"/>
          <w:sz w:val="20"/>
          <w:szCs w:val="20"/>
        </w:rPr>
        <w:t xml:space="preserve"> menaxhimi</w:t>
      </w:r>
      <w:r w:rsidR="00572E42">
        <w:rPr>
          <w:rFonts w:ascii="Arial Narrow" w:eastAsia="Calibri" w:hAnsi="Arial Narrow" w:cs="Calibri"/>
          <w:color w:val="1F497D"/>
          <w:sz w:val="20"/>
          <w:szCs w:val="20"/>
        </w:rPr>
        <w:t>n e</w:t>
      </w:r>
      <w:r w:rsidRPr="007F50ED">
        <w:rPr>
          <w:rFonts w:ascii="Arial Narrow" w:eastAsia="Calibri" w:hAnsi="Arial Narrow" w:cs="Calibri"/>
          <w:color w:val="1F497D"/>
          <w:sz w:val="20"/>
          <w:szCs w:val="20"/>
        </w:rPr>
        <w:t xml:space="preserve"> mbet</w:t>
      </w:r>
      <w:r w:rsidR="00572E42">
        <w:rPr>
          <w:rFonts w:ascii="Arial Narrow" w:eastAsia="Calibri" w:hAnsi="Arial Narrow" w:cs="Calibri"/>
          <w:color w:val="1F497D"/>
          <w:sz w:val="20"/>
          <w:szCs w:val="20"/>
        </w:rPr>
        <w:t>urinave</w:t>
      </w:r>
      <w:bookmarkEnd w:id="277"/>
    </w:p>
    <w:tbl>
      <w:tblPr>
        <w:tblStyle w:val="TableGrid41"/>
        <w:tblW w:w="5000" w:type="pct"/>
        <w:tblCellMar>
          <w:left w:w="72" w:type="dxa"/>
          <w:right w:w="72" w:type="dxa"/>
        </w:tblCellMar>
        <w:tblLook w:val="0420" w:firstRow="1" w:lastRow="0" w:firstColumn="0" w:lastColumn="0" w:noHBand="0" w:noVBand="1"/>
      </w:tblPr>
      <w:tblGrid>
        <w:gridCol w:w="1644"/>
        <w:gridCol w:w="2458"/>
        <w:gridCol w:w="2458"/>
        <w:gridCol w:w="2456"/>
      </w:tblGrid>
      <w:tr w:rsidR="003672F7" w:rsidRPr="003672F7" w14:paraId="0F332D3F" w14:textId="77777777" w:rsidTr="00572E42">
        <w:trPr>
          <w:trHeight w:val="278"/>
          <w:tblHeader/>
        </w:trPr>
        <w:tc>
          <w:tcPr>
            <w:tcW w:w="912" w:type="pct"/>
            <w:tcBorders>
              <w:bottom w:val="single" w:sz="4" w:space="0" w:color="auto"/>
            </w:tcBorders>
            <w:shd w:val="clear" w:color="auto" w:fill="365F91"/>
            <w:hideMark/>
          </w:tcPr>
          <w:p w14:paraId="7B5640BC" w14:textId="77777777" w:rsidR="00720984" w:rsidRPr="003672F7" w:rsidRDefault="00720984" w:rsidP="003672F7">
            <w:pPr>
              <w:rPr>
                <w:rFonts w:ascii="Arial Narrow" w:hAnsi="Arial Narrow"/>
                <w:b/>
                <w:bCs/>
                <w:color w:val="FFFFFF" w:themeColor="background1"/>
                <w:sz w:val="20"/>
                <w:szCs w:val="20"/>
              </w:rPr>
            </w:pPr>
            <w:r w:rsidRPr="003672F7">
              <w:rPr>
                <w:rFonts w:ascii="Arial Narrow" w:hAnsi="Arial Narrow"/>
                <w:b/>
                <w:bCs/>
                <w:color w:val="FFFFFF" w:themeColor="background1"/>
                <w:sz w:val="20"/>
                <w:szCs w:val="20"/>
              </w:rPr>
              <w:t>Kategoria</w:t>
            </w:r>
          </w:p>
        </w:tc>
        <w:tc>
          <w:tcPr>
            <w:tcW w:w="1363" w:type="pct"/>
            <w:shd w:val="clear" w:color="auto" w:fill="365F91"/>
            <w:hideMark/>
          </w:tcPr>
          <w:p w14:paraId="36FE5845" w14:textId="77777777" w:rsidR="00720984" w:rsidRPr="003672F7" w:rsidRDefault="00720984" w:rsidP="003672F7">
            <w:pPr>
              <w:rPr>
                <w:rFonts w:ascii="Arial Narrow" w:hAnsi="Arial Narrow"/>
                <w:b/>
                <w:bCs/>
                <w:color w:val="FFFFFF" w:themeColor="background1"/>
                <w:sz w:val="20"/>
                <w:szCs w:val="20"/>
              </w:rPr>
            </w:pPr>
            <w:r w:rsidRPr="003672F7">
              <w:rPr>
                <w:rFonts w:ascii="Arial Narrow" w:hAnsi="Arial Narrow"/>
                <w:b/>
                <w:bCs/>
                <w:color w:val="FFFFFF" w:themeColor="background1"/>
                <w:sz w:val="20"/>
                <w:szCs w:val="20"/>
              </w:rPr>
              <w:t>Situata ekzistuese</w:t>
            </w:r>
          </w:p>
        </w:tc>
        <w:tc>
          <w:tcPr>
            <w:tcW w:w="1363" w:type="pct"/>
            <w:shd w:val="clear" w:color="auto" w:fill="365F91"/>
          </w:tcPr>
          <w:p w14:paraId="568D1F2A" w14:textId="77777777" w:rsidR="00720984" w:rsidRPr="003672F7" w:rsidRDefault="00720984" w:rsidP="003672F7">
            <w:pPr>
              <w:rPr>
                <w:rFonts w:ascii="Arial Narrow" w:hAnsi="Arial Narrow"/>
                <w:b/>
                <w:bCs/>
                <w:color w:val="FFFFFF" w:themeColor="background1"/>
                <w:sz w:val="20"/>
                <w:szCs w:val="20"/>
              </w:rPr>
            </w:pPr>
            <w:r w:rsidRPr="003672F7">
              <w:rPr>
                <w:rFonts w:ascii="Arial Narrow" w:hAnsi="Arial Narrow"/>
                <w:b/>
                <w:bCs/>
                <w:color w:val="FFFFFF" w:themeColor="background1"/>
                <w:sz w:val="20"/>
                <w:szCs w:val="20"/>
              </w:rPr>
              <w:t>Masat për përmirësim</w:t>
            </w:r>
          </w:p>
        </w:tc>
        <w:tc>
          <w:tcPr>
            <w:tcW w:w="1362" w:type="pct"/>
            <w:shd w:val="clear" w:color="auto" w:fill="365F91"/>
          </w:tcPr>
          <w:p w14:paraId="7EF16EC3" w14:textId="3993BE5C" w:rsidR="00720984" w:rsidRPr="003672F7" w:rsidRDefault="00572E42" w:rsidP="003672F7">
            <w:pPr>
              <w:rPr>
                <w:rFonts w:ascii="Arial Narrow" w:hAnsi="Arial Narrow"/>
                <w:b/>
                <w:bCs/>
                <w:color w:val="FFFFFF" w:themeColor="background1"/>
                <w:sz w:val="20"/>
                <w:szCs w:val="20"/>
              </w:rPr>
            </w:pPr>
            <w:r>
              <w:rPr>
                <w:rFonts w:ascii="Arial Narrow" w:hAnsi="Arial Narrow"/>
                <w:b/>
                <w:bCs/>
                <w:color w:val="FFFFFF" w:themeColor="background1"/>
                <w:sz w:val="20"/>
                <w:szCs w:val="20"/>
              </w:rPr>
              <w:t>Qëllimi</w:t>
            </w:r>
          </w:p>
        </w:tc>
      </w:tr>
      <w:tr w:rsidR="00572E42" w:rsidRPr="003672F7" w14:paraId="3136CF98" w14:textId="77777777" w:rsidTr="00572E42">
        <w:trPr>
          <w:trHeight w:val="440"/>
        </w:trPr>
        <w:tc>
          <w:tcPr>
            <w:tcW w:w="912" w:type="pct"/>
            <w:tcBorders>
              <w:bottom w:val="nil"/>
            </w:tcBorders>
            <w:hideMark/>
          </w:tcPr>
          <w:p w14:paraId="395B8DD9" w14:textId="77777777" w:rsidR="00572E42" w:rsidRPr="003672F7" w:rsidRDefault="00572E42" w:rsidP="00572E42">
            <w:pPr>
              <w:rPr>
                <w:rFonts w:ascii="Arial Narrow" w:hAnsi="Arial Narrow"/>
                <w:sz w:val="20"/>
                <w:szCs w:val="20"/>
              </w:rPr>
            </w:pPr>
            <w:r w:rsidRPr="003672F7">
              <w:rPr>
                <w:rFonts w:ascii="Arial Narrow" w:hAnsi="Arial Narrow"/>
                <w:sz w:val="20"/>
                <w:szCs w:val="20"/>
              </w:rPr>
              <w:t>Parandalimi i mbeturinave</w:t>
            </w:r>
          </w:p>
        </w:tc>
        <w:tc>
          <w:tcPr>
            <w:tcW w:w="1363" w:type="pct"/>
          </w:tcPr>
          <w:p w14:paraId="085D8E02" w14:textId="4202A718" w:rsidR="00572E42" w:rsidRPr="003672F7" w:rsidRDefault="00572E42" w:rsidP="00572E42">
            <w:pPr>
              <w:rPr>
                <w:rFonts w:ascii="Arial Narrow" w:hAnsi="Arial Narrow"/>
                <w:sz w:val="20"/>
                <w:szCs w:val="20"/>
              </w:rPr>
            </w:pPr>
            <w:r w:rsidRPr="00A62ED4">
              <w:rPr>
                <w:rFonts w:ascii="Arial Narrow" w:hAnsi="Arial Narrow"/>
                <w:sz w:val="20"/>
                <w:szCs w:val="20"/>
                <w:lang w:val="sq-AL"/>
              </w:rPr>
              <w:t>Nuk ka strategji për parandalimin e mbet</w:t>
            </w:r>
            <w:r>
              <w:rPr>
                <w:rFonts w:ascii="Arial Narrow" w:hAnsi="Arial Narrow"/>
                <w:sz w:val="20"/>
                <w:szCs w:val="20"/>
                <w:lang w:val="sq-AL"/>
              </w:rPr>
              <w:t>urinave</w:t>
            </w:r>
            <w:r w:rsidRPr="00A62ED4">
              <w:rPr>
                <w:rFonts w:ascii="Arial Narrow" w:hAnsi="Arial Narrow"/>
                <w:sz w:val="20"/>
                <w:szCs w:val="20"/>
                <w:lang w:val="sq-AL"/>
              </w:rPr>
              <w:t xml:space="preserve"> dhe </w:t>
            </w:r>
            <w:r>
              <w:rPr>
                <w:rFonts w:ascii="Arial Narrow" w:hAnsi="Arial Narrow"/>
                <w:sz w:val="20"/>
                <w:szCs w:val="20"/>
                <w:lang w:val="sq-AL"/>
              </w:rPr>
              <w:t xml:space="preserve">synëhen </w:t>
            </w:r>
            <w:r w:rsidRPr="00A62ED4">
              <w:rPr>
                <w:rFonts w:ascii="Arial Narrow" w:hAnsi="Arial Narrow"/>
                <w:sz w:val="20"/>
                <w:szCs w:val="20"/>
                <w:lang w:val="sq-AL"/>
              </w:rPr>
              <w:t>vetëm disa fushata ndërgjegjësuese</w:t>
            </w:r>
          </w:p>
        </w:tc>
        <w:tc>
          <w:tcPr>
            <w:tcW w:w="1363" w:type="pct"/>
            <w:hideMark/>
          </w:tcPr>
          <w:p w14:paraId="74234306" w14:textId="42C6CFDD" w:rsidR="00572E42" w:rsidRPr="003672F7" w:rsidRDefault="00572E42" w:rsidP="00572E42">
            <w:pPr>
              <w:rPr>
                <w:rFonts w:ascii="Arial Narrow" w:hAnsi="Arial Narrow"/>
                <w:color w:val="000000"/>
                <w:sz w:val="20"/>
                <w:szCs w:val="20"/>
              </w:rPr>
            </w:pPr>
            <w:r w:rsidRPr="00A62ED4">
              <w:rPr>
                <w:rFonts w:ascii="Arial Narrow" w:hAnsi="Arial Narrow"/>
                <w:color w:val="000000"/>
                <w:sz w:val="20"/>
                <w:szCs w:val="20"/>
                <w:lang w:val="sq-AL"/>
              </w:rPr>
              <w:t>Plani për parandalimin e mbetj</w:t>
            </w:r>
            <w:r>
              <w:rPr>
                <w:rFonts w:ascii="Arial Narrow" w:hAnsi="Arial Narrow"/>
                <w:color w:val="000000"/>
                <w:sz w:val="20"/>
                <w:szCs w:val="20"/>
                <w:lang w:val="sq-AL"/>
              </w:rPr>
              <w:t>urinave</w:t>
            </w:r>
            <w:r w:rsidRPr="00A62ED4">
              <w:rPr>
                <w:rFonts w:ascii="Arial Narrow" w:hAnsi="Arial Narrow"/>
                <w:color w:val="000000"/>
                <w:sz w:val="20"/>
                <w:szCs w:val="20"/>
                <w:lang w:val="sq-AL"/>
              </w:rPr>
              <w:t xml:space="preserve"> dhe fushata ndërgjegjësuese</w:t>
            </w:r>
          </w:p>
        </w:tc>
        <w:tc>
          <w:tcPr>
            <w:tcW w:w="1362" w:type="pct"/>
            <w:hideMark/>
          </w:tcPr>
          <w:p w14:paraId="07CF27CE" w14:textId="738BBBC7" w:rsidR="00572E42" w:rsidRPr="003672F7" w:rsidRDefault="00572E42" w:rsidP="00572E42">
            <w:pPr>
              <w:rPr>
                <w:rFonts w:ascii="Arial Narrow" w:hAnsi="Arial Narrow"/>
                <w:sz w:val="20"/>
                <w:szCs w:val="20"/>
              </w:rPr>
            </w:pPr>
            <w:r w:rsidRPr="00A62ED4">
              <w:rPr>
                <w:rFonts w:ascii="Arial Narrow" w:hAnsi="Arial Narrow"/>
                <w:sz w:val="20"/>
                <w:szCs w:val="20"/>
                <w:lang w:val="sq-AL"/>
              </w:rPr>
              <w:t>Ulja e niveleve aktuale të gjenerimit të mbet</w:t>
            </w:r>
            <w:r>
              <w:rPr>
                <w:rFonts w:ascii="Arial Narrow" w:hAnsi="Arial Narrow"/>
                <w:sz w:val="20"/>
                <w:szCs w:val="20"/>
                <w:lang w:val="sq-AL"/>
              </w:rPr>
              <w:t>urinave</w:t>
            </w:r>
          </w:p>
        </w:tc>
      </w:tr>
      <w:tr w:rsidR="00572E42" w:rsidRPr="003672F7" w14:paraId="1DE7BD51" w14:textId="77777777" w:rsidTr="00572E42">
        <w:tc>
          <w:tcPr>
            <w:tcW w:w="912" w:type="pct"/>
            <w:tcBorders>
              <w:top w:val="nil"/>
            </w:tcBorders>
          </w:tcPr>
          <w:p w14:paraId="1EC6D82E" w14:textId="77777777" w:rsidR="00572E42" w:rsidRPr="003672F7" w:rsidRDefault="00572E42" w:rsidP="00572E42">
            <w:pPr>
              <w:rPr>
                <w:rFonts w:ascii="Arial Narrow" w:hAnsi="Arial Narrow"/>
                <w:sz w:val="20"/>
                <w:szCs w:val="20"/>
              </w:rPr>
            </w:pPr>
          </w:p>
        </w:tc>
        <w:tc>
          <w:tcPr>
            <w:tcW w:w="1363" w:type="pct"/>
          </w:tcPr>
          <w:p w14:paraId="4D602E02" w14:textId="3915541D" w:rsidR="00572E42" w:rsidRPr="003672F7" w:rsidRDefault="00572E42" w:rsidP="00572E42">
            <w:pPr>
              <w:rPr>
                <w:rFonts w:ascii="Arial Narrow" w:hAnsi="Arial Narrow"/>
                <w:sz w:val="20"/>
                <w:szCs w:val="20"/>
              </w:rPr>
            </w:pPr>
            <w:r w:rsidRPr="00A62ED4">
              <w:rPr>
                <w:rFonts w:ascii="Arial Narrow" w:hAnsi="Arial Narrow"/>
                <w:sz w:val="20"/>
                <w:szCs w:val="20"/>
                <w:lang w:val="sq-AL"/>
              </w:rPr>
              <w:t>Deri më tani kompostuesit shtëpiak u janë shpërndarë amvisërive vetëm në Komunën e Pejës</w:t>
            </w:r>
          </w:p>
        </w:tc>
        <w:tc>
          <w:tcPr>
            <w:tcW w:w="1363" w:type="pct"/>
          </w:tcPr>
          <w:p w14:paraId="7DD1DFA2" w14:textId="375BD726" w:rsidR="00572E42" w:rsidRPr="003672F7" w:rsidRDefault="00572E42" w:rsidP="00572E42">
            <w:pPr>
              <w:rPr>
                <w:rFonts w:ascii="Arial Narrow" w:hAnsi="Arial Narrow"/>
                <w:color w:val="000000"/>
                <w:sz w:val="20"/>
                <w:szCs w:val="20"/>
              </w:rPr>
            </w:pPr>
            <w:r w:rsidRPr="00A62ED4">
              <w:rPr>
                <w:rFonts w:ascii="Arial Narrow" w:hAnsi="Arial Narrow"/>
                <w:color w:val="000000"/>
                <w:sz w:val="20"/>
                <w:szCs w:val="20"/>
                <w:lang w:val="sq-AL"/>
              </w:rPr>
              <w:t xml:space="preserve">Rritja e përqindjes së shtëpive me kompostuesnë zonat e </w:t>
            </w:r>
            <w:r>
              <w:rPr>
                <w:rFonts w:ascii="Arial Narrow" w:hAnsi="Arial Narrow"/>
                <w:color w:val="000000"/>
                <w:sz w:val="20"/>
                <w:szCs w:val="20"/>
                <w:lang w:val="sq-AL"/>
              </w:rPr>
              <w:t>rezidenciale</w:t>
            </w:r>
            <w:r w:rsidRPr="00A62ED4">
              <w:rPr>
                <w:rFonts w:ascii="Arial Narrow" w:hAnsi="Arial Narrow"/>
                <w:color w:val="000000"/>
                <w:sz w:val="20"/>
                <w:szCs w:val="20"/>
                <w:lang w:val="sq-AL"/>
              </w:rPr>
              <w:t xml:space="preserve"> dhe rurale</w:t>
            </w:r>
          </w:p>
        </w:tc>
        <w:tc>
          <w:tcPr>
            <w:tcW w:w="1362" w:type="pct"/>
          </w:tcPr>
          <w:p w14:paraId="777D530B" w14:textId="5BD73918" w:rsidR="00572E42" w:rsidRPr="003672F7" w:rsidRDefault="00572E42" w:rsidP="00572E42">
            <w:pPr>
              <w:rPr>
                <w:rFonts w:ascii="Arial Narrow" w:hAnsi="Arial Narrow"/>
                <w:sz w:val="20"/>
                <w:szCs w:val="20"/>
              </w:rPr>
            </w:pPr>
            <w:r w:rsidRPr="00A62ED4">
              <w:rPr>
                <w:rFonts w:ascii="Arial Narrow" w:hAnsi="Arial Narrow"/>
                <w:sz w:val="20"/>
                <w:szCs w:val="20"/>
                <w:lang w:val="sq-AL"/>
              </w:rPr>
              <w:t>Reduktimi i prodhimit të mbet</w:t>
            </w:r>
            <w:r>
              <w:rPr>
                <w:rFonts w:ascii="Arial Narrow" w:hAnsi="Arial Narrow"/>
                <w:sz w:val="20"/>
                <w:szCs w:val="20"/>
                <w:lang w:val="sq-AL"/>
              </w:rPr>
              <w:t>urinave</w:t>
            </w:r>
            <w:r w:rsidRPr="00A62ED4">
              <w:rPr>
                <w:rFonts w:ascii="Arial Narrow" w:hAnsi="Arial Narrow"/>
                <w:sz w:val="20"/>
                <w:szCs w:val="20"/>
                <w:lang w:val="sq-AL"/>
              </w:rPr>
              <w:t xml:space="preserve"> biologjike në zonat rurale</w:t>
            </w:r>
          </w:p>
        </w:tc>
      </w:tr>
      <w:tr w:rsidR="00572E42" w:rsidRPr="003672F7" w14:paraId="73D23947" w14:textId="77777777" w:rsidTr="00572E42">
        <w:tc>
          <w:tcPr>
            <w:tcW w:w="912" w:type="pct"/>
            <w:tcBorders>
              <w:bottom w:val="single" w:sz="4" w:space="0" w:color="auto"/>
            </w:tcBorders>
          </w:tcPr>
          <w:p w14:paraId="5E568AB1" w14:textId="03F49578" w:rsidR="00572E42" w:rsidRPr="003672F7" w:rsidRDefault="00572E42" w:rsidP="00572E42">
            <w:pPr>
              <w:rPr>
                <w:rFonts w:ascii="Arial Narrow" w:hAnsi="Arial Narrow"/>
                <w:sz w:val="20"/>
                <w:szCs w:val="20"/>
              </w:rPr>
            </w:pPr>
            <w:r>
              <w:rPr>
                <w:rFonts w:ascii="Arial Narrow" w:hAnsi="Arial Narrow"/>
                <w:sz w:val="20"/>
                <w:szCs w:val="20"/>
              </w:rPr>
              <w:t>Grumbullimi</w:t>
            </w:r>
            <w:r w:rsidRPr="003672F7">
              <w:rPr>
                <w:rFonts w:ascii="Arial Narrow" w:hAnsi="Arial Narrow"/>
                <w:sz w:val="20"/>
                <w:szCs w:val="20"/>
              </w:rPr>
              <w:t xml:space="preserve"> </w:t>
            </w:r>
            <w:r>
              <w:rPr>
                <w:rFonts w:ascii="Arial Narrow" w:hAnsi="Arial Narrow"/>
                <w:sz w:val="20"/>
                <w:szCs w:val="20"/>
              </w:rPr>
              <w:t>i</w:t>
            </w:r>
            <w:r w:rsidRPr="003672F7">
              <w:rPr>
                <w:rFonts w:ascii="Arial Narrow" w:hAnsi="Arial Narrow"/>
                <w:sz w:val="20"/>
                <w:szCs w:val="20"/>
              </w:rPr>
              <w:t xml:space="preserve"> Mbeturinave</w:t>
            </w:r>
          </w:p>
        </w:tc>
        <w:tc>
          <w:tcPr>
            <w:tcW w:w="1363" w:type="pct"/>
          </w:tcPr>
          <w:p w14:paraId="5AC3DED1" w14:textId="77777777" w:rsidR="00572E42" w:rsidRPr="00A62ED4" w:rsidRDefault="00572E42" w:rsidP="00572E42">
            <w:pPr>
              <w:rPr>
                <w:rFonts w:ascii="Arial Narrow" w:hAnsi="Arial Narrow"/>
                <w:sz w:val="20"/>
                <w:szCs w:val="20"/>
                <w:lang w:val="sq-AL"/>
              </w:rPr>
            </w:pPr>
            <w:r w:rsidRPr="00A62ED4">
              <w:rPr>
                <w:rFonts w:ascii="Arial Narrow" w:hAnsi="Arial Narrow"/>
                <w:sz w:val="20"/>
                <w:szCs w:val="20"/>
                <w:lang w:val="sq-AL"/>
              </w:rPr>
              <w:t>Shërbimet e grumbullimit të mbet</w:t>
            </w:r>
            <w:r>
              <w:rPr>
                <w:rFonts w:ascii="Arial Narrow" w:hAnsi="Arial Narrow"/>
                <w:sz w:val="20"/>
                <w:szCs w:val="20"/>
                <w:lang w:val="sq-AL"/>
              </w:rPr>
              <w:t>urinave</w:t>
            </w:r>
            <w:r w:rsidRPr="00A62ED4">
              <w:rPr>
                <w:rFonts w:ascii="Arial Narrow" w:hAnsi="Arial Narrow"/>
                <w:sz w:val="20"/>
                <w:szCs w:val="20"/>
                <w:lang w:val="sq-AL"/>
              </w:rPr>
              <w:t xml:space="preserve"> i ofrohen 100% të popullsisë në 4 </w:t>
            </w:r>
            <w:r>
              <w:rPr>
                <w:rFonts w:ascii="Arial Narrow" w:hAnsi="Arial Narrow"/>
                <w:sz w:val="20"/>
                <w:szCs w:val="20"/>
                <w:lang w:val="sq-AL"/>
              </w:rPr>
              <w:t>prej</w:t>
            </w:r>
            <w:r w:rsidRPr="00A62ED4">
              <w:rPr>
                <w:rFonts w:ascii="Arial Narrow" w:hAnsi="Arial Narrow"/>
                <w:sz w:val="20"/>
                <w:szCs w:val="20"/>
                <w:lang w:val="sq-AL"/>
              </w:rPr>
              <w:t xml:space="preserve"> 5 </w:t>
            </w:r>
            <w:r>
              <w:rPr>
                <w:rFonts w:ascii="Arial Narrow" w:hAnsi="Arial Narrow"/>
                <w:sz w:val="20"/>
                <w:szCs w:val="20"/>
                <w:lang w:val="sq-AL"/>
              </w:rPr>
              <w:t>komunave</w:t>
            </w:r>
            <w:r w:rsidRPr="00A62ED4">
              <w:rPr>
                <w:rFonts w:ascii="Arial Narrow" w:hAnsi="Arial Narrow"/>
                <w:sz w:val="20"/>
                <w:szCs w:val="20"/>
                <w:lang w:val="sq-AL"/>
              </w:rPr>
              <w:t>.</w:t>
            </w:r>
          </w:p>
          <w:p w14:paraId="4541D06C" w14:textId="2747CD45" w:rsidR="00572E42" w:rsidRPr="003672F7" w:rsidRDefault="00572E42" w:rsidP="00572E42">
            <w:pPr>
              <w:rPr>
                <w:rFonts w:ascii="Arial Narrow" w:hAnsi="Arial Narrow"/>
                <w:sz w:val="20"/>
                <w:szCs w:val="20"/>
              </w:rPr>
            </w:pPr>
            <w:r w:rsidRPr="00A62ED4">
              <w:rPr>
                <w:rFonts w:ascii="Arial Narrow" w:hAnsi="Arial Narrow"/>
                <w:sz w:val="20"/>
                <w:szCs w:val="20"/>
                <w:lang w:val="sq-AL"/>
              </w:rPr>
              <w:t>Në Klinë grumbullimi i mbeturinave u sigurohet 98% të popullsisë</w:t>
            </w:r>
          </w:p>
        </w:tc>
        <w:tc>
          <w:tcPr>
            <w:tcW w:w="1363" w:type="pct"/>
          </w:tcPr>
          <w:p w14:paraId="08E5A464" w14:textId="2FD12253" w:rsidR="00572E42" w:rsidRPr="003672F7" w:rsidRDefault="00572E42" w:rsidP="00572E42">
            <w:pPr>
              <w:rPr>
                <w:rFonts w:ascii="Arial Narrow" w:hAnsi="Arial Narrow"/>
                <w:sz w:val="20"/>
                <w:szCs w:val="20"/>
              </w:rPr>
            </w:pPr>
            <w:r w:rsidRPr="00A62ED4">
              <w:rPr>
                <w:rFonts w:ascii="Arial Narrow" w:hAnsi="Arial Narrow"/>
                <w:sz w:val="20"/>
                <w:szCs w:val="20"/>
                <w:lang w:val="sq-AL"/>
              </w:rPr>
              <w:t>Ruajtja e përqindjes së popullsisë së lidhur me shërbimet bazë (</w:t>
            </w:r>
            <w:r>
              <w:rPr>
                <w:rFonts w:ascii="Arial Narrow" w:hAnsi="Arial Narrow"/>
                <w:sz w:val="20"/>
                <w:szCs w:val="20"/>
                <w:lang w:val="sq-AL"/>
              </w:rPr>
              <w:t>amvisëritë</w:t>
            </w:r>
            <w:r w:rsidRPr="00A62ED4">
              <w:rPr>
                <w:rFonts w:ascii="Arial Narrow" w:hAnsi="Arial Narrow"/>
                <w:sz w:val="20"/>
                <w:szCs w:val="20"/>
                <w:lang w:val="sq-AL"/>
              </w:rPr>
              <w:t>, biznese dhe institucione)</w:t>
            </w:r>
          </w:p>
        </w:tc>
        <w:tc>
          <w:tcPr>
            <w:tcW w:w="1362" w:type="pct"/>
          </w:tcPr>
          <w:p w14:paraId="6CE04C0B" w14:textId="0429F194" w:rsidR="00572E42" w:rsidRPr="003672F7" w:rsidRDefault="00572E42" w:rsidP="00572E42">
            <w:pPr>
              <w:rPr>
                <w:rFonts w:ascii="Arial Narrow" w:hAnsi="Arial Narrow"/>
                <w:sz w:val="20"/>
                <w:szCs w:val="20"/>
              </w:rPr>
            </w:pPr>
            <w:r w:rsidRPr="00A62ED4">
              <w:rPr>
                <w:rFonts w:ascii="Arial Narrow" w:hAnsi="Arial Narrow"/>
                <w:sz w:val="20"/>
                <w:szCs w:val="20"/>
                <w:lang w:val="sq-AL"/>
              </w:rPr>
              <w:t>Arrit</w:t>
            </w:r>
            <w:r>
              <w:rPr>
                <w:rFonts w:ascii="Arial Narrow" w:hAnsi="Arial Narrow"/>
                <w:sz w:val="20"/>
                <w:szCs w:val="20"/>
                <w:lang w:val="sq-AL"/>
              </w:rPr>
              <w:t>ja</w:t>
            </w:r>
            <w:r w:rsidRPr="00A62ED4">
              <w:rPr>
                <w:rFonts w:ascii="Arial Narrow" w:hAnsi="Arial Narrow"/>
                <w:sz w:val="20"/>
                <w:szCs w:val="20"/>
                <w:lang w:val="sq-AL"/>
              </w:rPr>
              <w:t xml:space="preserve"> </w:t>
            </w:r>
            <w:r>
              <w:rPr>
                <w:rFonts w:ascii="Arial Narrow" w:hAnsi="Arial Narrow"/>
                <w:sz w:val="20"/>
                <w:szCs w:val="20"/>
                <w:lang w:val="sq-AL"/>
              </w:rPr>
              <w:t xml:space="preserve">100% </w:t>
            </w:r>
            <w:r w:rsidRPr="00A62ED4">
              <w:rPr>
                <w:rFonts w:ascii="Arial Narrow" w:hAnsi="Arial Narrow"/>
                <w:sz w:val="20"/>
                <w:szCs w:val="20"/>
                <w:lang w:val="sq-AL"/>
              </w:rPr>
              <w:t xml:space="preserve">dhe </w:t>
            </w:r>
            <w:r>
              <w:rPr>
                <w:rFonts w:ascii="Arial Narrow" w:hAnsi="Arial Narrow"/>
                <w:sz w:val="20"/>
                <w:szCs w:val="20"/>
                <w:lang w:val="sq-AL"/>
              </w:rPr>
              <w:t>mirëmbajtja</w:t>
            </w:r>
            <w:r w:rsidRPr="00A62ED4">
              <w:rPr>
                <w:rFonts w:ascii="Arial Narrow" w:hAnsi="Arial Narrow"/>
                <w:sz w:val="20"/>
                <w:szCs w:val="20"/>
                <w:lang w:val="sq-AL"/>
              </w:rPr>
              <w:t xml:space="preserve"> </w:t>
            </w:r>
            <w:r>
              <w:rPr>
                <w:rFonts w:ascii="Arial Narrow" w:hAnsi="Arial Narrow"/>
                <w:sz w:val="20"/>
                <w:szCs w:val="20"/>
                <w:lang w:val="sq-AL"/>
              </w:rPr>
              <w:t>e shërbimeve të mbuluara</w:t>
            </w:r>
          </w:p>
        </w:tc>
      </w:tr>
      <w:tr w:rsidR="00572E42" w:rsidRPr="003672F7" w14:paraId="299F7437" w14:textId="77777777" w:rsidTr="00572E42">
        <w:tc>
          <w:tcPr>
            <w:tcW w:w="912" w:type="pct"/>
            <w:tcBorders>
              <w:bottom w:val="nil"/>
            </w:tcBorders>
          </w:tcPr>
          <w:p w14:paraId="62EC5F96" w14:textId="754E9BDD" w:rsidR="00572E42" w:rsidRPr="003672F7" w:rsidRDefault="00572E42" w:rsidP="00572E42">
            <w:pPr>
              <w:rPr>
                <w:rFonts w:ascii="Arial Narrow" w:hAnsi="Arial Narrow"/>
                <w:sz w:val="20"/>
                <w:szCs w:val="20"/>
              </w:rPr>
            </w:pPr>
            <w:r>
              <w:rPr>
                <w:rFonts w:ascii="Arial Narrow" w:hAnsi="Arial Narrow"/>
                <w:sz w:val="20"/>
                <w:szCs w:val="20"/>
              </w:rPr>
              <w:t>Grumbullimi ndaras i</w:t>
            </w:r>
            <w:r w:rsidRPr="003672F7">
              <w:rPr>
                <w:rFonts w:ascii="Arial Narrow" w:hAnsi="Arial Narrow"/>
                <w:sz w:val="20"/>
                <w:szCs w:val="20"/>
              </w:rPr>
              <w:t xml:space="preserve"> mbeturinave</w:t>
            </w:r>
          </w:p>
        </w:tc>
        <w:tc>
          <w:tcPr>
            <w:tcW w:w="1363" w:type="pct"/>
          </w:tcPr>
          <w:p w14:paraId="211BF501" w14:textId="08EF6D13" w:rsidR="00572E42" w:rsidRPr="003672F7" w:rsidRDefault="00572E42" w:rsidP="00572E42">
            <w:pPr>
              <w:rPr>
                <w:rFonts w:ascii="Arial Narrow" w:hAnsi="Arial Narrow"/>
                <w:sz w:val="20"/>
                <w:szCs w:val="20"/>
              </w:rPr>
            </w:pPr>
            <w:r w:rsidRPr="00A62ED4">
              <w:rPr>
                <w:rFonts w:ascii="Arial Narrow" w:hAnsi="Arial Narrow"/>
                <w:sz w:val="20"/>
                <w:szCs w:val="20"/>
                <w:lang w:val="sq-AL"/>
              </w:rPr>
              <w:t>Nuk ka sisteme të drejtuara nga komunat për ndarjen në burim (</w:t>
            </w:r>
            <w:r>
              <w:rPr>
                <w:rFonts w:ascii="Arial Narrow" w:hAnsi="Arial Narrow"/>
                <w:sz w:val="20"/>
                <w:szCs w:val="20"/>
                <w:lang w:val="sq-AL"/>
              </w:rPr>
              <w:t>NB</w:t>
            </w:r>
            <w:r w:rsidRPr="00A62ED4">
              <w:rPr>
                <w:rFonts w:ascii="Arial Narrow" w:hAnsi="Arial Narrow"/>
                <w:sz w:val="20"/>
                <w:szCs w:val="20"/>
                <w:lang w:val="sq-AL"/>
              </w:rPr>
              <w:t>)</w:t>
            </w:r>
          </w:p>
        </w:tc>
        <w:tc>
          <w:tcPr>
            <w:tcW w:w="1363" w:type="pct"/>
          </w:tcPr>
          <w:p w14:paraId="4892F656" w14:textId="285AE1DD" w:rsidR="00572E42" w:rsidRPr="003672F7" w:rsidRDefault="00572E42" w:rsidP="00572E42">
            <w:pPr>
              <w:rPr>
                <w:rFonts w:ascii="Arial Narrow" w:hAnsi="Arial Narrow"/>
                <w:sz w:val="20"/>
                <w:szCs w:val="20"/>
              </w:rPr>
            </w:pPr>
            <w:r w:rsidRPr="00A62ED4">
              <w:rPr>
                <w:rFonts w:ascii="Arial Narrow" w:hAnsi="Arial Narrow"/>
                <w:sz w:val="20"/>
                <w:szCs w:val="20"/>
                <w:lang w:val="sq-AL"/>
              </w:rPr>
              <w:t xml:space="preserve">Zhvillimi i sistemit </w:t>
            </w:r>
            <w:r>
              <w:rPr>
                <w:rFonts w:ascii="Arial Narrow" w:hAnsi="Arial Narrow"/>
                <w:sz w:val="20"/>
                <w:szCs w:val="20"/>
                <w:lang w:val="sq-AL"/>
              </w:rPr>
              <w:t>NB</w:t>
            </w:r>
            <w:r w:rsidRPr="00A62ED4">
              <w:rPr>
                <w:rFonts w:ascii="Arial Narrow" w:hAnsi="Arial Narrow"/>
                <w:sz w:val="20"/>
                <w:szCs w:val="20"/>
                <w:lang w:val="sq-AL"/>
              </w:rPr>
              <w:t xml:space="preserve"> dhe rritja e përqindjes së popullsisë me </w:t>
            </w:r>
            <w:r>
              <w:rPr>
                <w:rFonts w:ascii="Arial Narrow" w:hAnsi="Arial Narrow"/>
                <w:sz w:val="20"/>
                <w:szCs w:val="20"/>
                <w:lang w:val="sq-AL"/>
              </w:rPr>
              <w:t>qasje</w:t>
            </w:r>
            <w:r w:rsidRPr="00A62ED4">
              <w:rPr>
                <w:rFonts w:ascii="Arial Narrow" w:hAnsi="Arial Narrow"/>
                <w:sz w:val="20"/>
                <w:szCs w:val="20"/>
                <w:lang w:val="sq-AL"/>
              </w:rPr>
              <w:t xml:space="preserve"> në sistemin </w:t>
            </w:r>
            <w:r w:rsidR="00A26530">
              <w:rPr>
                <w:rFonts w:ascii="Arial Narrow" w:hAnsi="Arial Narrow"/>
                <w:sz w:val="20"/>
                <w:szCs w:val="20"/>
                <w:lang w:val="sq-AL"/>
              </w:rPr>
              <w:t>m</w:t>
            </w:r>
            <w:r>
              <w:rPr>
                <w:rFonts w:ascii="Arial Narrow" w:hAnsi="Arial Narrow"/>
                <w:sz w:val="20"/>
                <w:szCs w:val="20"/>
                <w:lang w:val="sq-AL"/>
              </w:rPr>
              <w:t xml:space="preserve">e </w:t>
            </w:r>
            <w:r w:rsidRPr="00A62ED4">
              <w:rPr>
                <w:rFonts w:ascii="Arial Narrow" w:hAnsi="Arial Narrow"/>
                <w:sz w:val="20"/>
                <w:szCs w:val="20"/>
                <w:lang w:val="sq-AL"/>
              </w:rPr>
              <w:t xml:space="preserve">2 ose 3 </w:t>
            </w:r>
            <w:r w:rsidR="00FC2BA4">
              <w:rPr>
                <w:rFonts w:ascii="Arial Narrow" w:hAnsi="Arial Narrow"/>
                <w:sz w:val="20"/>
                <w:szCs w:val="20"/>
                <w:lang w:val="sq-AL"/>
              </w:rPr>
              <w:t>shporta</w:t>
            </w:r>
            <w:r w:rsidRPr="00A62ED4">
              <w:rPr>
                <w:rFonts w:ascii="Arial Narrow" w:hAnsi="Arial Narrow"/>
                <w:sz w:val="20"/>
                <w:szCs w:val="20"/>
                <w:lang w:val="sq-AL"/>
              </w:rPr>
              <w:t xml:space="preserve"> për grumbullim (</w:t>
            </w:r>
            <w:r>
              <w:rPr>
                <w:rFonts w:ascii="Arial Narrow" w:hAnsi="Arial Narrow"/>
                <w:sz w:val="20"/>
                <w:szCs w:val="20"/>
                <w:lang w:val="sq-AL"/>
              </w:rPr>
              <w:t>amvisëritë</w:t>
            </w:r>
            <w:r w:rsidRPr="00A62ED4">
              <w:rPr>
                <w:rFonts w:ascii="Arial Narrow" w:hAnsi="Arial Narrow"/>
                <w:sz w:val="20"/>
                <w:szCs w:val="20"/>
                <w:lang w:val="sq-AL"/>
              </w:rPr>
              <w:t>, biznese</w:t>
            </w:r>
            <w:r>
              <w:rPr>
                <w:rFonts w:ascii="Arial Narrow" w:hAnsi="Arial Narrow"/>
                <w:sz w:val="20"/>
                <w:szCs w:val="20"/>
                <w:lang w:val="sq-AL"/>
              </w:rPr>
              <w:t>t</w:t>
            </w:r>
            <w:r w:rsidRPr="00A62ED4">
              <w:rPr>
                <w:rFonts w:ascii="Arial Narrow" w:hAnsi="Arial Narrow"/>
                <w:sz w:val="20"/>
                <w:szCs w:val="20"/>
                <w:lang w:val="sq-AL"/>
              </w:rPr>
              <w:t xml:space="preserve"> dhe institucione</w:t>
            </w:r>
            <w:r>
              <w:rPr>
                <w:rFonts w:ascii="Arial Narrow" w:hAnsi="Arial Narrow"/>
                <w:sz w:val="20"/>
                <w:szCs w:val="20"/>
                <w:lang w:val="sq-AL"/>
              </w:rPr>
              <w:t>t</w:t>
            </w:r>
            <w:r w:rsidRPr="00A62ED4">
              <w:rPr>
                <w:rFonts w:ascii="Arial Narrow" w:hAnsi="Arial Narrow"/>
                <w:sz w:val="20"/>
                <w:szCs w:val="20"/>
                <w:lang w:val="sq-AL"/>
              </w:rPr>
              <w:t>)</w:t>
            </w:r>
          </w:p>
        </w:tc>
        <w:tc>
          <w:tcPr>
            <w:tcW w:w="1362" w:type="pct"/>
          </w:tcPr>
          <w:p w14:paraId="4D0DE88E" w14:textId="28AB79C7" w:rsidR="00572E42" w:rsidRPr="003672F7" w:rsidRDefault="00572E42" w:rsidP="00572E42">
            <w:pPr>
              <w:rPr>
                <w:rFonts w:ascii="Arial Narrow" w:hAnsi="Arial Narrow"/>
                <w:sz w:val="20"/>
                <w:szCs w:val="20"/>
              </w:rPr>
            </w:pPr>
            <w:r w:rsidRPr="00A62ED4">
              <w:rPr>
                <w:rFonts w:ascii="Arial Narrow" w:hAnsi="Arial Narrow"/>
                <w:sz w:val="20"/>
                <w:szCs w:val="20"/>
                <w:lang w:val="sq-AL"/>
              </w:rPr>
              <w:t xml:space="preserve">Futja e </w:t>
            </w:r>
            <w:r>
              <w:rPr>
                <w:rFonts w:ascii="Arial Narrow" w:hAnsi="Arial Narrow"/>
                <w:sz w:val="20"/>
                <w:szCs w:val="20"/>
                <w:lang w:val="sq-AL"/>
              </w:rPr>
              <w:t>sistemit të NB</w:t>
            </w:r>
            <w:r w:rsidRPr="00A62ED4">
              <w:rPr>
                <w:rFonts w:ascii="Arial Narrow" w:hAnsi="Arial Narrow"/>
                <w:sz w:val="20"/>
                <w:szCs w:val="20"/>
                <w:lang w:val="sq-AL"/>
              </w:rPr>
              <w:t xml:space="preserve"> në të gjitha zonat urbane dhe fshatrat </w:t>
            </w:r>
            <w:r>
              <w:rPr>
                <w:rFonts w:ascii="Arial Narrow" w:hAnsi="Arial Narrow"/>
                <w:sz w:val="20"/>
                <w:szCs w:val="20"/>
                <w:lang w:val="sq-AL"/>
              </w:rPr>
              <w:t>e mëdha</w:t>
            </w:r>
            <w:r w:rsidRPr="00A62ED4">
              <w:rPr>
                <w:rFonts w:ascii="Arial Narrow" w:hAnsi="Arial Narrow"/>
                <w:sz w:val="20"/>
                <w:szCs w:val="20"/>
                <w:lang w:val="sq-AL"/>
              </w:rPr>
              <w:t xml:space="preserve"> dhe arritja e normave të përcaktuara të riciklimit</w:t>
            </w:r>
          </w:p>
        </w:tc>
      </w:tr>
      <w:tr w:rsidR="00572E42" w:rsidRPr="003672F7" w14:paraId="05F83D72" w14:textId="77777777" w:rsidTr="00572E42">
        <w:tc>
          <w:tcPr>
            <w:tcW w:w="912" w:type="pct"/>
            <w:tcBorders>
              <w:top w:val="nil"/>
              <w:bottom w:val="nil"/>
            </w:tcBorders>
          </w:tcPr>
          <w:p w14:paraId="653A39A5" w14:textId="77777777" w:rsidR="00572E42" w:rsidRPr="003672F7" w:rsidRDefault="00572E42" w:rsidP="00572E42">
            <w:pPr>
              <w:rPr>
                <w:rFonts w:ascii="Arial Narrow" w:hAnsi="Arial Narrow"/>
                <w:sz w:val="20"/>
                <w:szCs w:val="20"/>
              </w:rPr>
            </w:pPr>
          </w:p>
        </w:tc>
        <w:tc>
          <w:tcPr>
            <w:tcW w:w="1363" w:type="pct"/>
          </w:tcPr>
          <w:p w14:paraId="05C25CB7" w14:textId="22CC9290" w:rsidR="00572E42" w:rsidRPr="003672F7" w:rsidRDefault="00572E42" w:rsidP="00572E42">
            <w:pPr>
              <w:rPr>
                <w:rFonts w:ascii="Arial Narrow" w:hAnsi="Arial Narrow"/>
                <w:sz w:val="20"/>
                <w:szCs w:val="20"/>
              </w:rPr>
            </w:pPr>
            <w:r w:rsidRPr="00A62ED4">
              <w:rPr>
                <w:rFonts w:ascii="Arial Narrow" w:hAnsi="Arial Narrow"/>
                <w:sz w:val="20"/>
                <w:szCs w:val="20"/>
                <w:lang w:val="sq-AL"/>
              </w:rPr>
              <w:t xml:space="preserve">Nuk ka </w:t>
            </w:r>
            <w:r>
              <w:rPr>
                <w:rFonts w:ascii="Arial Narrow" w:hAnsi="Arial Narrow"/>
                <w:sz w:val="20"/>
                <w:szCs w:val="20"/>
                <w:lang w:val="sq-AL"/>
              </w:rPr>
              <w:t>Oborr Riciklimi</w:t>
            </w:r>
            <w:r w:rsidRPr="00A62ED4">
              <w:rPr>
                <w:rFonts w:ascii="Arial Narrow" w:hAnsi="Arial Narrow"/>
                <w:sz w:val="20"/>
                <w:szCs w:val="20"/>
                <w:lang w:val="sq-AL"/>
              </w:rPr>
              <w:t xml:space="preserve"> (</w:t>
            </w:r>
            <w:r>
              <w:rPr>
                <w:rFonts w:ascii="Arial Narrow" w:hAnsi="Arial Narrow"/>
                <w:sz w:val="20"/>
                <w:szCs w:val="20"/>
                <w:lang w:val="sq-AL"/>
              </w:rPr>
              <w:t>OR</w:t>
            </w:r>
            <w:r w:rsidRPr="00A62ED4">
              <w:rPr>
                <w:rFonts w:ascii="Arial Narrow" w:hAnsi="Arial Narrow"/>
                <w:sz w:val="20"/>
                <w:szCs w:val="20"/>
                <w:lang w:val="sq-AL"/>
              </w:rPr>
              <w:t>) për grumbullimin ndar</w:t>
            </w:r>
            <w:r>
              <w:rPr>
                <w:rFonts w:ascii="Arial Narrow" w:hAnsi="Arial Narrow"/>
                <w:sz w:val="20"/>
                <w:szCs w:val="20"/>
                <w:lang w:val="sq-AL"/>
              </w:rPr>
              <w:t xml:space="preserve">as </w:t>
            </w:r>
            <w:r w:rsidRPr="00A62ED4">
              <w:rPr>
                <w:rFonts w:ascii="Arial Narrow" w:hAnsi="Arial Narrow"/>
                <w:sz w:val="20"/>
                <w:szCs w:val="20"/>
                <w:lang w:val="sq-AL"/>
              </w:rPr>
              <w:t>të mbet</w:t>
            </w:r>
            <w:r>
              <w:rPr>
                <w:rFonts w:ascii="Arial Narrow" w:hAnsi="Arial Narrow"/>
                <w:sz w:val="20"/>
                <w:szCs w:val="20"/>
                <w:lang w:val="sq-AL"/>
              </w:rPr>
              <w:t>urinave</w:t>
            </w:r>
            <w:r w:rsidRPr="00A62ED4">
              <w:rPr>
                <w:rFonts w:ascii="Arial Narrow" w:hAnsi="Arial Narrow"/>
                <w:sz w:val="20"/>
                <w:szCs w:val="20"/>
                <w:lang w:val="sq-AL"/>
              </w:rPr>
              <w:t xml:space="preserve"> të </w:t>
            </w:r>
            <w:r>
              <w:rPr>
                <w:rFonts w:ascii="Arial Narrow" w:hAnsi="Arial Narrow"/>
                <w:sz w:val="20"/>
                <w:szCs w:val="20"/>
                <w:lang w:val="sq-AL"/>
              </w:rPr>
              <w:t xml:space="preserve">fraksioneve të </w:t>
            </w:r>
            <w:r w:rsidR="00A26530">
              <w:rPr>
                <w:rFonts w:ascii="Arial Narrow" w:hAnsi="Arial Narrow"/>
                <w:sz w:val="20"/>
                <w:szCs w:val="20"/>
                <w:lang w:val="sq-AL"/>
              </w:rPr>
              <w:t xml:space="preserve">veçanta të </w:t>
            </w:r>
            <w:r>
              <w:rPr>
                <w:rFonts w:ascii="Arial Narrow" w:hAnsi="Arial Narrow"/>
                <w:sz w:val="20"/>
                <w:szCs w:val="20"/>
                <w:lang w:val="sq-AL"/>
              </w:rPr>
              <w:t>mbeturinave</w:t>
            </w:r>
          </w:p>
        </w:tc>
        <w:tc>
          <w:tcPr>
            <w:tcW w:w="1363" w:type="pct"/>
          </w:tcPr>
          <w:p w14:paraId="0C6B8FEE" w14:textId="4A365E97" w:rsidR="00572E42" w:rsidRPr="003672F7" w:rsidRDefault="00572E42" w:rsidP="00572E42">
            <w:pPr>
              <w:rPr>
                <w:rFonts w:ascii="Arial Narrow" w:hAnsi="Arial Narrow"/>
                <w:sz w:val="20"/>
                <w:szCs w:val="20"/>
              </w:rPr>
            </w:pPr>
            <w:r w:rsidRPr="00A62ED4">
              <w:rPr>
                <w:rFonts w:ascii="Arial Narrow" w:hAnsi="Arial Narrow"/>
                <w:sz w:val="20"/>
                <w:szCs w:val="20"/>
                <w:lang w:val="sq-AL"/>
              </w:rPr>
              <w:t xml:space="preserve">Zhvillimi i sistemit rajonal të </w:t>
            </w:r>
            <w:r>
              <w:rPr>
                <w:rFonts w:ascii="Arial Narrow" w:hAnsi="Arial Narrow"/>
                <w:sz w:val="20"/>
                <w:szCs w:val="20"/>
                <w:lang w:val="sq-AL"/>
              </w:rPr>
              <w:t>OR</w:t>
            </w:r>
            <w:r w:rsidRPr="00A62ED4">
              <w:rPr>
                <w:rFonts w:ascii="Arial Narrow" w:hAnsi="Arial Narrow"/>
                <w:sz w:val="20"/>
                <w:szCs w:val="20"/>
                <w:lang w:val="sq-AL"/>
              </w:rPr>
              <w:t>-ve</w:t>
            </w:r>
          </w:p>
        </w:tc>
        <w:tc>
          <w:tcPr>
            <w:tcW w:w="1362" w:type="pct"/>
          </w:tcPr>
          <w:p w14:paraId="157D60D3" w14:textId="4722687B" w:rsidR="00572E42" w:rsidRPr="003672F7" w:rsidRDefault="00572E42" w:rsidP="00572E42">
            <w:pPr>
              <w:rPr>
                <w:rFonts w:ascii="Arial Narrow" w:hAnsi="Arial Narrow"/>
                <w:sz w:val="20"/>
                <w:szCs w:val="20"/>
              </w:rPr>
            </w:pPr>
            <w:r w:rsidRPr="00A62ED4">
              <w:rPr>
                <w:rFonts w:ascii="Arial Narrow" w:hAnsi="Arial Narrow"/>
                <w:sz w:val="20"/>
                <w:szCs w:val="20"/>
                <w:lang w:val="sq-AL"/>
              </w:rPr>
              <w:t xml:space="preserve">Rritja e përqindjes së popullsisë me </w:t>
            </w:r>
            <w:r>
              <w:rPr>
                <w:rFonts w:ascii="Arial Narrow" w:hAnsi="Arial Narrow"/>
                <w:sz w:val="20"/>
                <w:szCs w:val="20"/>
                <w:lang w:val="sq-AL"/>
              </w:rPr>
              <w:t>qasje</w:t>
            </w:r>
            <w:r w:rsidRPr="00A62ED4">
              <w:rPr>
                <w:rFonts w:ascii="Arial Narrow" w:hAnsi="Arial Narrow"/>
                <w:sz w:val="20"/>
                <w:szCs w:val="20"/>
                <w:lang w:val="sq-AL"/>
              </w:rPr>
              <w:t xml:space="preserve"> në </w:t>
            </w:r>
            <w:r>
              <w:rPr>
                <w:rFonts w:ascii="Arial Narrow" w:hAnsi="Arial Narrow"/>
                <w:sz w:val="20"/>
                <w:szCs w:val="20"/>
                <w:lang w:val="sq-AL"/>
              </w:rPr>
              <w:t>OR</w:t>
            </w:r>
          </w:p>
        </w:tc>
      </w:tr>
      <w:tr w:rsidR="00572E42" w:rsidRPr="003672F7" w14:paraId="50B2106D" w14:textId="77777777" w:rsidTr="00572E42">
        <w:tc>
          <w:tcPr>
            <w:tcW w:w="912" w:type="pct"/>
            <w:tcBorders>
              <w:top w:val="nil"/>
            </w:tcBorders>
          </w:tcPr>
          <w:p w14:paraId="1F59FA22" w14:textId="77777777" w:rsidR="00572E42" w:rsidRPr="003672F7" w:rsidRDefault="00572E42" w:rsidP="00572E42">
            <w:pPr>
              <w:rPr>
                <w:rFonts w:ascii="Arial Narrow" w:hAnsi="Arial Narrow"/>
                <w:sz w:val="20"/>
                <w:szCs w:val="20"/>
              </w:rPr>
            </w:pPr>
          </w:p>
        </w:tc>
        <w:tc>
          <w:tcPr>
            <w:tcW w:w="1363" w:type="pct"/>
          </w:tcPr>
          <w:p w14:paraId="59DDBB46" w14:textId="72056157" w:rsidR="00572E42" w:rsidRPr="003672F7" w:rsidRDefault="00572E42" w:rsidP="00572E42">
            <w:pPr>
              <w:rPr>
                <w:rFonts w:ascii="Arial Narrow" w:hAnsi="Arial Narrow"/>
                <w:sz w:val="20"/>
                <w:szCs w:val="20"/>
              </w:rPr>
            </w:pPr>
            <w:r w:rsidRPr="00A62ED4">
              <w:rPr>
                <w:rFonts w:ascii="Arial Narrow" w:hAnsi="Arial Narrow"/>
                <w:sz w:val="20"/>
                <w:szCs w:val="20"/>
                <w:lang w:val="sq-AL"/>
              </w:rPr>
              <w:t xml:space="preserve">Nuk ka sistem formal për grumbullimin e </w:t>
            </w:r>
            <w:r>
              <w:rPr>
                <w:rFonts w:ascii="Arial Narrow" w:hAnsi="Arial Narrow"/>
                <w:sz w:val="20"/>
                <w:szCs w:val="20"/>
                <w:lang w:val="sq-AL"/>
              </w:rPr>
              <w:t>fraksioneve</w:t>
            </w:r>
            <w:r w:rsidRPr="00A62ED4">
              <w:rPr>
                <w:rFonts w:ascii="Arial Narrow" w:hAnsi="Arial Narrow"/>
                <w:sz w:val="20"/>
                <w:szCs w:val="20"/>
                <w:lang w:val="sq-AL"/>
              </w:rPr>
              <w:t xml:space="preserve"> prioritare të mbet</w:t>
            </w:r>
            <w:r>
              <w:rPr>
                <w:rFonts w:ascii="Arial Narrow" w:hAnsi="Arial Narrow"/>
                <w:sz w:val="20"/>
                <w:szCs w:val="20"/>
                <w:lang w:val="sq-AL"/>
              </w:rPr>
              <w:t>urinave</w:t>
            </w:r>
            <w:r w:rsidRPr="00A62ED4">
              <w:rPr>
                <w:rFonts w:ascii="Arial Narrow" w:hAnsi="Arial Narrow"/>
                <w:sz w:val="20"/>
                <w:szCs w:val="20"/>
                <w:lang w:val="sq-AL"/>
              </w:rPr>
              <w:t xml:space="preserve"> (</w:t>
            </w:r>
            <w:r>
              <w:rPr>
                <w:rFonts w:ascii="Arial Narrow" w:hAnsi="Arial Narrow"/>
                <w:sz w:val="20"/>
                <w:szCs w:val="20"/>
                <w:lang w:val="sq-AL"/>
              </w:rPr>
              <w:t>PZP</w:t>
            </w:r>
            <w:r w:rsidRPr="00A62ED4">
              <w:rPr>
                <w:rFonts w:ascii="Arial Narrow" w:hAnsi="Arial Narrow"/>
                <w:sz w:val="20"/>
                <w:szCs w:val="20"/>
                <w:lang w:val="sq-AL"/>
              </w:rPr>
              <w:t>)</w:t>
            </w:r>
          </w:p>
        </w:tc>
        <w:tc>
          <w:tcPr>
            <w:tcW w:w="1363" w:type="pct"/>
          </w:tcPr>
          <w:p w14:paraId="2A664CDD" w14:textId="457A56CB" w:rsidR="00572E42" w:rsidRPr="003672F7" w:rsidRDefault="00572E42" w:rsidP="00572E42">
            <w:pPr>
              <w:rPr>
                <w:rFonts w:ascii="Arial Narrow" w:hAnsi="Arial Narrow"/>
                <w:sz w:val="20"/>
                <w:szCs w:val="20"/>
              </w:rPr>
            </w:pPr>
            <w:r w:rsidRPr="00A62ED4">
              <w:rPr>
                <w:rFonts w:ascii="Arial Narrow" w:hAnsi="Arial Narrow"/>
                <w:sz w:val="20"/>
                <w:szCs w:val="20"/>
                <w:lang w:val="sq-AL"/>
              </w:rPr>
              <w:t xml:space="preserve">Futja e sistemit formal për grumbullimin dhe trajtimin </w:t>
            </w:r>
            <w:r w:rsidR="00A26530">
              <w:rPr>
                <w:rFonts w:ascii="Arial Narrow" w:hAnsi="Arial Narrow"/>
                <w:sz w:val="20"/>
                <w:szCs w:val="20"/>
                <w:lang w:val="sq-AL"/>
              </w:rPr>
              <w:t>ndaras</w:t>
            </w:r>
            <w:r w:rsidRPr="00A62ED4">
              <w:rPr>
                <w:rFonts w:ascii="Arial Narrow" w:hAnsi="Arial Narrow"/>
                <w:sz w:val="20"/>
                <w:szCs w:val="20"/>
                <w:lang w:val="sq-AL"/>
              </w:rPr>
              <w:t xml:space="preserve"> të </w:t>
            </w:r>
            <w:r>
              <w:rPr>
                <w:rFonts w:ascii="Arial Narrow" w:hAnsi="Arial Narrow"/>
                <w:sz w:val="20"/>
                <w:szCs w:val="20"/>
                <w:lang w:val="sq-AL"/>
              </w:rPr>
              <w:t>fraksioneve</w:t>
            </w:r>
            <w:r w:rsidRPr="00A62ED4">
              <w:rPr>
                <w:rFonts w:ascii="Arial Narrow" w:hAnsi="Arial Narrow"/>
                <w:sz w:val="20"/>
                <w:szCs w:val="20"/>
                <w:lang w:val="sq-AL"/>
              </w:rPr>
              <w:t xml:space="preserve"> të mbet</w:t>
            </w:r>
            <w:r>
              <w:rPr>
                <w:rFonts w:ascii="Arial Narrow" w:hAnsi="Arial Narrow"/>
                <w:sz w:val="20"/>
                <w:szCs w:val="20"/>
                <w:lang w:val="sq-AL"/>
              </w:rPr>
              <w:t>urinave</w:t>
            </w:r>
            <w:r w:rsidRPr="00A62ED4">
              <w:rPr>
                <w:rFonts w:ascii="Arial Narrow" w:hAnsi="Arial Narrow"/>
                <w:sz w:val="20"/>
                <w:szCs w:val="20"/>
                <w:lang w:val="sq-AL"/>
              </w:rPr>
              <w:t xml:space="preserve"> </w:t>
            </w:r>
            <w:r>
              <w:rPr>
                <w:rFonts w:ascii="Arial Narrow" w:hAnsi="Arial Narrow"/>
                <w:sz w:val="20"/>
                <w:szCs w:val="20"/>
                <w:lang w:val="sq-AL"/>
              </w:rPr>
              <w:t>PZP</w:t>
            </w:r>
            <w:r w:rsidRPr="00A62ED4">
              <w:rPr>
                <w:rFonts w:ascii="Arial Narrow" w:hAnsi="Arial Narrow"/>
                <w:sz w:val="20"/>
                <w:szCs w:val="20"/>
                <w:lang w:val="sq-AL"/>
              </w:rPr>
              <w:t xml:space="preserve"> në përputhje me zhvillimet </w:t>
            </w:r>
            <w:r>
              <w:rPr>
                <w:rFonts w:ascii="Arial Narrow" w:hAnsi="Arial Narrow"/>
                <w:sz w:val="20"/>
                <w:szCs w:val="20"/>
                <w:lang w:val="sq-AL"/>
              </w:rPr>
              <w:t>në nivelin nacional</w:t>
            </w:r>
          </w:p>
        </w:tc>
        <w:tc>
          <w:tcPr>
            <w:tcW w:w="1362" w:type="pct"/>
          </w:tcPr>
          <w:p w14:paraId="319F8B5C" w14:textId="28907203" w:rsidR="00572E42" w:rsidRPr="003672F7" w:rsidRDefault="00572E42" w:rsidP="00572E42">
            <w:pPr>
              <w:rPr>
                <w:rFonts w:ascii="Arial Narrow" w:hAnsi="Arial Narrow"/>
                <w:sz w:val="20"/>
                <w:szCs w:val="20"/>
              </w:rPr>
            </w:pPr>
            <w:r>
              <w:rPr>
                <w:rFonts w:ascii="Arial Narrow" w:hAnsi="Arial Narrow"/>
                <w:sz w:val="20"/>
                <w:szCs w:val="20"/>
                <w:lang w:val="sq-AL"/>
              </w:rPr>
              <w:t>Fraksionet</w:t>
            </w:r>
            <w:r w:rsidRPr="00A62ED4">
              <w:rPr>
                <w:rFonts w:ascii="Arial Narrow" w:hAnsi="Arial Narrow"/>
                <w:sz w:val="20"/>
                <w:szCs w:val="20"/>
                <w:lang w:val="sq-AL"/>
              </w:rPr>
              <w:t xml:space="preserve"> kryesore të </w:t>
            </w:r>
            <w:r>
              <w:rPr>
                <w:rFonts w:ascii="Arial Narrow" w:hAnsi="Arial Narrow"/>
                <w:sz w:val="20"/>
                <w:szCs w:val="20"/>
                <w:lang w:val="sq-AL"/>
              </w:rPr>
              <w:t>PZP</w:t>
            </w:r>
            <w:r w:rsidRPr="00A62ED4">
              <w:rPr>
                <w:rFonts w:ascii="Arial Narrow" w:hAnsi="Arial Narrow"/>
                <w:sz w:val="20"/>
                <w:szCs w:val="20"/>
                <w:lang w:val="sq-AL"/>
              </w:rPr>
              <w:t xml:space="preserve"> mbulohen nga sektori privat</w:t>
            </w:r>
          </w:p>
        </w:tc>
      </w:tr>
      <w:tr w:rsidR="00A26530" w:rsidRPr="003672F7" w14:paraId="550205A3" w14:textId="77777777" w:rsidTr="00572E42">
        <w:tc>
          <w:tcPr>
            <w:tcW w:w="912" w:type="pct"/>
          </w:tcPr>
          <w:p w14:paraId="5A2D14CA" w14:textId="77777777" w:rsidR="00A26530" w:rsidRPr="003672F7" w:rsidRDefault="00A26530" w:rsidP="00A26530">
            <w:pPr>
              <w:rPr>
                <w:rFonts w:ascii="Arial Narrow" w:hAnsi="Arial Narrow"/>
                <w:sz w:val="20"/>
                <w:szCs w:val="20"/>
              </w:rPr>
            </w:pPr>
            <w:r w:rsidRPr="003672F7">
              <w:rPr>
                <w:rFonts w:ascii="Arial Narrow" w:hAnsi="Arial Narrow"/>
                <w:sz w:val="20"/>
                <w:szCs w:val="20"/>
              </w:rPr>
              <w:t>Riciklimi dhe trajtimi i mbeturinave</w:t>
            </w:r>
          </w:p>
        </w:tc>
        <w:tc>
          <w:tcPr>
            <w:tcW w:w="1363" w:type="pct"/>
          </w:tcPr>
          <w:p w14:paraId="06E43722" w14:textId="77777777" w:rsidR="00A26530" w:rsidRPr="00A62ED4" w:rsidRDefault="00A26530" w:rsidP="00A26530">
            <w:pPr>
              <w:rPr>
                <w:rFonts w:ascii="Arial Narrow" w:hAnsi="Arial Narrow"/>
                <w:sz w:val="20"/>
                <w:szCs w:val="20"/>
                <w:lang w:val="sq-AL"/>
              </w:rPr>
            </w:pPr>
            <w:r w:rsidRPr="00A62ED4">
              <w:rPr>
                <w:rFonts w:ascii="Arial Narrow" w:hAnsi="Arial Narrow"/>
                <w:sz w:val="20"/>
                <w:szCs w:val="20"/>
                <w:lang w:val="sq-AL"/>
              </w:rPr>
              <w:t xml:space="preserve">Nuk ka objekte riciklimi dhe rikuperimi të drejtuara nga komunat në </w:t>
            </w:r>
            <w:r>
              <w:rPr>
                <w:rFonts w:ascii="Arial Narrow" w:hAnsi="Arial Narrow"/>
                <w:sz w:val="20"/>
                <w:szCs w:val="20"/>
                <w:lang w:val="sq-AL"/>
              </w:rPr>
              <w:t>ZMM</w:t>
            </w:r>
          </w:p>
          <w:p w14:paraId="35E30294" w14:textId="7C23C9E5" w:rsidR="00A26530" w:rsidRPr="003672F7" w:rsidRDefault="00A26530" w:rsidP="00A26530">
            <w:pPr>
              <w:rPr>
                <w:rFonts w:ascii="Arial Narrow" w:hAnsi="Arial Narrow"/>
                <w:sz w:val="20"/>
                <w:szCs w:val="20"/>
              </w:rPr>
            </w:pPr>
            <w:r w:rsidRPr="00A62ED4">
              <w:rPr>
                <w:rFonts w:ascii="Arial Narrow" w:hAnsi="Arial Narrow"/>
                <w:sz w:val="20"/>
                <w:szCs w:val="20"/>
                <w:lang w:val="sq-AL"/>
              </w:rPr>
              <w:t>Sektori privat është i pranishëm dhe aktiv në organizimin e aktiviteteve të riciklimit</w:t>
            </w:r>
          </w:p>
        </w:tc>
        <w:tc>
          <w:tcPr>
            <w:tcW w:w="1363" w:type="pct"/>
          </w:tcPr>
          <w:p w14:paraId="5C110BC4" w14:textId="04055F64" w:rsidR="00A26530" w:rsidRPr="003672F7" w:rsidRDefault="00A26530" w:rsidP="00A26530">
            <w:pPr>
              <w:rPr>
                <w:rFonts w:ascii="Arial Narrow" w:hAnsi="Arial Narrow"/>
                <w:sz w:val="20"/>
                <w:szCs w:val="20"/>
              </w:rPr>
            </w:pPr>
            <w:r w:rsidRPr="00A62ED4">
              <w:rPr>
                <w:rFonts w:ascii="Arial Narrow" w:hAnsi="Arial Narrow"/>
                <w:sz w:val="20"/>
                <w:szCs w:val="20"/>
                <w:lang w:val="sq-AL"/>
              </w:rPr>
              <w:t>Zhvillimi i objekteve rajonale për rikuperimin dhe riciklimin e materialeve</w:t>
            </w:r>
          </w:p>
        </w:tc>
        <w:tc>
          <w:tcPr>
            <w:tcW w:w="1362" w:type="pct"/>
          </w:tcPr>
          <w:p w14:paraId="14FD5066" w14:textId="0E2D75EE" w:rsidR="00A26530" w:rsidRPr="003672F7" w:rsidRDefault="00A26530" w:rsidP="00A26530">
            <w:pPr>
              <w:rPr>
                <w:rFonts w:ascii="Arial Narrow" w:hAnsi="Arial Narrow"/>
                <w:sz w:val="20"/>
                <w:szCs w:val="20"/>
              </w:rPr>
            </w:pPr>
            <w:r w:rsidRPr="00A62ED4">
              <w:rPr>
                <w:rFonts w:ascii="Arial Narrow" w:hAnsi="Arial Narrow"/>
                <w:sz w:val="20"/>
                <w:szCs w:val="20"/>
                <w:lang w:val="sq-AL"/>
              </w:rPr>
              <w:t>Arrit</w:t>
            </w:r>
            <w:r>
              <w:rPr>
                <w:rFonts w:ascii="Arial Narrow" w:hAnsi="Arial Narrow"/>
                <w:sz w:val="20"/>
                <w:szCs w:val="20"/>
                <w:lang w:val="sq-AL"/>
              </w:rPr>
              <w:t>ja</w:t>
            </w:r>
            <w:r w:rsidRPr="00A62ED4">
              <w:rPr>
                <w:rFonts w:ascii="Arial Narrow" w:hAnsi="Arial Narrow"/>
                <w:sz w:val="20"/>
                <w:szCs w:val="20"/>
                <w:lang w:val="sq-AL"/>
              </w:rPr>
              <w:t xml:space="preserve"> </w:t>
            </w:r>
            <w:r>
              <w:rPr>
                <w:rFonts w:ascii="Arial Narrow" w:hAnsi="Arial Narrow"/>
                <w:sz w:val="20"/>
                <w:szCs w:val="20"/>
                <w:lang w:val="sq-AL"/>
              </w:rPr>
              <w:t xml:space="preserve">e </w:t>
            </w:r>
            <w:r w:rsidRPr="00A62ED4">
              <w:rPr>
                <w:rFonts w:ascii="Arial Narrow" w:hAnsi="Arial Narrow"/>
                <w:sz w:val="20"/>
                <w:szCs w:val="20"/>
                <w:lang w:val="sq-AL"/>
              </w:rPr>
              <w:t>norma</w:t>
            </w:r>
            <w:r>
              <w:rPr>
                <w:rFonts w:ascii="Arial Narrow" w:hAnsi="Arial Narrow"/>
                <w:sz w:val="20"/>
                <w:szCs w:val="20"/>
                <w:lang w:val="sq-AL"/>
              </w:rPr>
              <w:t>ve</w:t>
            </w:r>
            <w:r w:rsidRPr="00A62ED4">
              <w:rPr>
                <w:rFonts w:ascii="Arial Narrow" w:hAnsi="Arial Narrow"/>
                <w:sz w:val="20"/>
                <w:szCs w:val="20"/>
                <w:lang w:val="sq-AL"/>
              </w:rPr>
              <w:t xml:space="preserve"> </w:t>
            </w:r>
            <w:r>
              <w:rPr>
                <w:rFonts w:ascii="Arial Narrow" w:hAnsi="Arial Narrow"/>
                <w:sz w:val="20"/>
                <w:szCs w:val="20"/>
                <w:lang w:val="sq-AL"/>
              </w:rPr>
              <w:t>të</w:t>
            </w:r>
            <w:r w:rsidRPr="00A62ED4">
              <w:rPr>
                <w:rFonts w:ascii="Arial Narrow" w:hAnsi="Arial Narrow"/>
                <w:sz w:val="20"/>
                <w:szCs w:val="20"/>
                <w:lang w:val="sq-AL"/>
              </w:rPr>
              <w:t xml:space="preserve"> përcaktuara të riciklimit dhe zvogël</w:t>
            </w:r>
            <w:r>
              <w:rPr>
                <w:rFonts w:ascii="Arial Narrow" w:hAnsi="Arial Narrow"/>
                <w:sz w:val="20"/>
                <w:szCs w:val="20"/>
                <w:lang w:val="sq-AL"/>
              </w:rPr>
              <w:t>imi</w:t>
            </w:r>
            <w:r w:rsidRPr="00A62ED4">
              <w:rPr>
                <w:rFonts w:ascii="Arial Narrow" w:hAnsi="Arial Narrow"/>
                <w:sz w:val="20"/>
                <w:szCs w:val="20"/>
                <w:lang w:val="sq-AL"/>
              </w:rPr>
              <w:t xml:space="preserve"> </w:t>
            </w:r>
            <w:r>
              <w:rPr>
                <w:rFonts w:ascii="Arial Narrow" w:hAnsi="Arial Narrow"/>
                <w:sz w:val="20"/>
                <w:szCs w:val="20"/>
                <w:lang w:val="sq-AL"/>
              </w:rPr>
              <w:t xml:space="preserve">i </w:t>
            </w:r>
            <w:r w:rsidRPr="00A62ED4">
              <w:rPr>
                <w:rFonts w:ascii="Arial Narrow" w:hAnsi="Arial Narrow"/>
                <w:sz w:val="20"/>
                <w:szCs w:val="20"/>
                <w:lang w:val="sq-AL"/>
              </w:rPr>
              <w:t>sasi</w:t>
            </w:r>
            <w:r>
              <w:rPr>
                <w:rFonts w:ascii="Arial Narrow" w:hAnsi="Arial Narrow"/>
                <w:sz w:val="20"/>
                <w:szCs w:val="20"/>
                <w:lang w:val="sq-AL"/>
              </w:rPr>
              <w:t>s</w:t>
            </w:r>
            <w:r w:rsidRPr="00A62ED4">
              <w:rPr>
                <w:rFonts w:ascii="Arial Narrow" w:hAnsi="Arial Narrow"/>
                <w:sz w:val="20"/>
                <w:szCs w:val="20"/>
                <w:lang w:val="sq-AL"/>
              </w:rPr>
              <w:t xml:space="preserve">ë </w:t>
            </w:r>
            <w:r>
              <w:rPr>
                <w:rFonts w:ascii="Arial Narrow" w:hAnsi="Arial Narrow"/>
                <w:sz w:val="20"/>
                <w:szCs w:val="20"/>
                <w:lang w:val="sq-AL"/>
              </w:rPr>
              <w:t>së</w:t>
            </w:r>
            <w:r w:rsidRPr="00A62ED4">
              <w:rPr>
                <w:rFonts w:ascii="Arial Narrow" w:hAnsi="Arial Narrow"/>
                <w:sz w:val="20"/>
                <w:szCs w:val="20"/>
                <w:lang w:val="sq-AL"/>
              </w:rPr>
              <w:t xml:space="preserve"> mbet</w:t>
            </w:r>
            <w:r>
              <w:rPr>
                <w:rFonts w:ascii="Arial Narrow" w:hAnsi="Arial Narrow"/>
                <w:sz w:val="20"/>
                <w:szCs w:val="20"/>
                <w:lang w:val="sq-AL"/>
              </w:rPr>
              <w:t>urinave</w:t>
            </w:r>
            <w:r w:rsidRPr="00A62ED4">
              <w:rPr>
                <w:rFonts w:ascii="Arial Narrow" w:hAnsi="Arial Narrow"/>
                <w:sz w:val="20"/>
                <w:szCs w:val="20"/>
                <w:lang w:val="sq-AL"/>
              </w:rPr>
              <w:t xml:space="preserve"> të dërguara në </w:t>
            </w:r>
            <w:r>
              <w:rPr>
                <w:rFonts w:ascii="Arial Narrow" w:hAnsi="Arial Narrow"/>
                <w:sz w:val="20"/>
                <w:szCs w:val="20"/>
                <w:lang w:val="sq-AL"/>
              </w:rPr>
              <w:t>deponi</w:t>
            </w:r>
          </w:p>
        </w:tc>
      </w:tr>
      <w:tr w:rsidR="00A26530" w:rsidRPr="003672F7" w14:paraId="775BF7D5" w14:textId="77777777" w:rsidTr="00572E42">
        <w:tc>
          <w:tcPr>
            <w:tcW w:w="912" w:type="pct"/>
          </w:tcPr>
          <w:p w14:paraId="499F1AFA" w14:textId="76A98EB4" w:rsidR="00A26530" w:rsidRPr="003672F7" w:rsidRDefault="00A26530" w:rsidP="00A26530">
            <w:pPr>
              <w:rPr>
                <w:rFonts w:ascii="Arial Narrow" w:hAnsi="Arial Narrow"/>
                <w:sz w:val="20"/>
                <w:szCs w:val="20"/>
              </w:rPr>
            </w:pPr>
            <w:r>
              <w:rPr>
                <w:rFonts w:ascii="Arial Narrow" w:hAnsi="Arial Narrow"/>
                <w:sz w:val="20"/>
                <w:szCs w:val="20"/>
              </w:rPr>
              <w:t>Deponimi</w:t>
            </w:r>
            <w:r w:rsidRPr="003672F7">
              <w:rPr>
                <w:rFonts w:ascii="Arial Narrow" w:hAnsi="Arial Narrow"/>
                <w:sz w:val="20"/>
                <w:szCs w:val="20"/>
              </w:rPr>
              <w:t xml:space="preserve"> i mbeturinave</w:t>
            </w:r>
          </w:p>
        </w:tc>
        <w:tc>
          <w:tcPr>
            <w:tcW w:w="1363" w:type="pct"/>
          </w:tcPr>
          <w:p w14:paraId="30CCD08E" w14:textId="6C46E4ED" w:rsidR="00A26530" w:rsidRPr="003672F7" w:rsidRDefault="00A26530" w:rsidP="00A26530">
            <w:pPr>
              <w:rPr>
                <w:rFonts w:ascii="Arial Narrow" w:hAnsi="Arial Narrow"/>
                <w:sz w:val="20"/>
                <w:szCs w:val="20"/>
              </w:rPr>
            </w:pPr>
            <w:r w:rsidRPr="00A62ED4">
              <w:rPr>
                <w:rFonts w:ascii="Arial Narrow" w:hAnsi="Arial Narrow"/>
                <w:sz w:val="20"/>
                <w:szCs w:val="20"/>
                <w:lang w:val="sq-AL"/>
              </w:rPr>
              <w:t xml:space="preserve">100% e mbeturinave komunale të grumbulluara hidhen në një </w:t>
            </w:r>
            <w:r>
              <w:rPr>
                <w:rFonts w:ascii="Arial Narrow" w:hAnsi="Arial Narrow"/>
                <w:sz w:val="20"/>
                <w:szCs w:val="20"/>
                <w:lang w:val="sq-AL"/>
              </w:rPr>
              <w:t>deponi</w:t>
            </w:r>
            <w:r w:rsidRPr="00A62ED4">
              <w:rPr>
                <w:rFonts w:ascii="Arial Narrow" w:hAnsi="Arial Narrow"/>
                <w:sz w:val="20"/>
                <w:szCs w:val="20"/>
                <w:lang w:val="sq-AL"/>
              </w:rPr>
              <w:t xml:space="preserve">, </w:t>
            </w:r>
            <w:r>
              <w:rPr>
                <w:rFonts w:ascii="Arial Narrow" w:hAnsi="Arial Narrow"/>
                <w:sz w:val="20"/>
                <w:szCs w:val="20"/>
                <w:lang w:val="sq-AL"/>
              </w:rPr>
              <w:t>e</w:t>
            </w:r>
            <w:r w:rsidRPr="00A62ED4">
              <w:rPr>
                <w:rFonts w:ascii="Arial Narrow" w:hAnsi="Arial Narrow"/>
                <w:sz w:val="20"/>
                <w:szCs w:val="20"/>
                <w:lang w:val="sq-AL"/>
              </w:rPr>
              <w:t xml:space="preserve"> cil</w:t>
            </w:r>
            <w:r>
              <w:rPr>
                <w:rFonts w:ascii="Arial Narrow" w:hAnsi="Arial Narrow"/>
                <w:sz w:val="20"/>
                <w:szCs w:val="20"/>
                <w:lang w:val="sq-AL"/>
              </w:rPr>
              <w:t>a</w:t>
            </w:r>
            <w:r w:rsidRPr="00A62ED4">
              <w:rPr>
                <w:rFonts w:ascii="Arial Narrow" w:hAnsi="Arial Narrow"/>
                <w:sz w:val="20"/>
                <w:szCs w:val="20"/>
                <w:lang w:val="sq-AL"/>
              </w:rPr>
              <w:t xml:space="preserve"> duhej të ishte mbyllur dhe rehabilituar vite më parë. Deponia rajonale në Pejë nuk i plotëson standardet moderne mjedisore.</w:t>
            </w:r>
          </w:p>
        </w:tc>
        <w:tc>
          <w:tcPr>
            <w:tcW w:w="1363" w:type="pct"/>
          </w:tcPr>
          <w:p w14:paraId="20C379D7" w14:textId="21763FF3" w:rsidR="00A26530" w:rsidRPr="003672F7" w:rsidRDefault="00A26530" w:rsidP="00A26530">
            <w:pPr>
              <w:rPr>
                <w:rFonts w:ascii="Arial Narrow" w:hAnsi="Arial Narrow"/>
                <w:sz w:val="20"/>
                <w:szCs w:val="20"/>
              </w:rPr>
            </w:pPr>
            <w:r w:rsidRPr="00A62ED4">
              <w:rPr>
                <w:rFonts w:ascii="Arial Narrow" w:hAnsi="Arial Narrow"/>
                <w:sz w:val="20"/>
                <w:szCs w:val="20"/>
                <w:lang w:val="sq-AL"/>
              </w:rPr>
              <w:t>Përmirësimi i depo</w:t>
            </w:r>
            <w:r>
              <w:rPr>
                <w:rFonts w:ascii="Arial Narrow" w:hAnsi="Arial Narrow"/>
                <w:sz w:val="20"/>
                <w:szCs w:val="20"/>
                <w:lang w:val="sq-AL"/>
              </w:rPr>
              <w:t>nimit</w:t>
            </w:r>
            <w:r w:rsidRPr="00A62ED4">
              <w:rPr>
                <w:rFonts w:ascii="Arial Narrow" w:hAnsi="Arial Narrow"/>
                <w:sz w:val="20"/>
                <w:szCs w:val="20"/>
                <w:lang w:val="sq-AL"/>
              </w:rPr>
              <w:t xml:space="preserve"> aktual të mbet</w:t>
            </w:r>
            <w:r>
              <w:rPr>
                <w:rFonts w:ascii="Arial Narrow" w:hAnsi="Arial Narrow"/>
                <w:sz w:val="20"/>
                <w:szCs w:val="20"/>
                <w:lang w:val="sq-AL"/>
              </w:rPr>
              <w:t>urinave</w:t>
            </w:r>
            <w:r w:rsidRPr="00A62ED4">
              <w:rPr>
                <w:rFonts w:ascii="Arial Narrow" w:hAnsi="Arial Narrow"/>
                <w:sz w:val="20"/>
                <w:szCs w:val="20"/>
                <w:lang w:val="sq-AL"/>
              </w:rPr>
              <w:t xml:space="preserve"> duke ndërtuar një kapacitet të ri </w:t>
            </w:r>
            <w:r>
              <w:rPr>
                <w:rFonts w:ascii="Arial Narrow" w:hAnsi="Arial Narrow"/>
                <w:sz w:val="20"/>
                <w:szCs w:val="20"/>
                <w:lang w:val="sq-AL"/>
              </w:rPr>
              <w:t>deponie</w:t>
            </w:r>
            <w:r w:rsidRPr="00A62ED4">
              <w:rPr>
                <w:rFonts w:ascii="Arial Narrow" w:hAnsi="Arial Narrow"/>
                <w:sz w:val="20"/>
                <w:szCs w:val="20"/>
                <w:lang w:val="sq-AL"/>
              </w:rPr>
              <w:t xml:space="preserve"> që plotëson të gjitha standardet mjedisore</w:t>
            </w:r>
          </w:p>
        </w:tc>
        <w:tc>
          <w:tcPr>
            <w:tcW w:w="1362" w:type="pct"/>
          </w:tcPr>
          <w:p w14:paraId="0625E8AD" w14:textId="154105DD" w:rsidR="00A26530" w:rsidRPr="003672F7" w:rsidRDefault="00A26530" w:rsidP="00A26530">
            <w:pPr>
              <w:rPr>
                <w:rFonts w:ascii="Arial Narrow" w:hAnsi="Arial Narrow"/>
                <w:sz w:val="20"/>
                <w:szCs w:val="20"/>
              </w:rPr>
            </w:pPr>
            <w:r w:rsidRPr="00A62ED4">
              <w:rPr>
                <w:rFonts w:ascii="Arial Narrow" w:hAnsi="Arial Narrow"/>
                <w:sz w:val="20"/>
                <w:szCs w:val="20"/>
                <w:lang w:val="sq-AL"/>
              </w:rPr>
              <w:t xml:space="preserve">Zgjerimi i </w:t>
            </w:r>
            <w:r>
              <w:rPr>
                <w:rFonts w:ascii="Arial Narrow" w:hAnsi="Arial Narrow"/>
                <w:sz w:val="20"/>
                <w:szCs w:val="20"/>
                <w:lang w:val="sq-AL"/>
              </w:rPr>
              <w:t>deponisë</w:t>
            </w:r>
            <w:r w:rsidRPr="00A62ED4">
              <w:rPr>
                <w:rFonts w:ascii="Arial Narrow" w:hAnsi="Arial Narrow"/>
                <w:sz w:val="20"/>
                <w:szCs w:val="20"/>
                <w:lang w:val="sq-AL"/>
              </w:rPr>
              <w:t xml:space="preserve"> rajonal</w:t>
            </w:r>
            <w:r>
              <w:rPr>
                <w:rFonts w:ascii="Arial Narrow" w:hAnsi="Arial Narrow"/>
                <w:sz w:val="20"/>
                <w:szCs w:val="20"/>
                <w:lang w:val="sq-AL"/>
              </w:rPr>
              <w:t>e</w:t>
            </w:r>
            <w:r w:rsidRPr="00A62ED4">
              <w:rPr>
                <w:rFonts w:ascii="Arial Narrow" w:hAnsi="Arial Narrow"/>
                <w:sz w:val="20"/>
                <w:szCs w:val="20"/>
                <w:lang w:val="sq-AL"/>
              </w:rPr>
              <w:t xml:space="preserve"> me qelia sanitare dhe rritja e rikuperimit të mbet</w:t>
            </w:r>
            <w:r>
              <w:rPr>
                <w:rFonts w:ascii="Arial Narrow" w:hAnsi="Arial Narrow"/>
                <w:sz w:val="20"/>
                <w:szCs w:val="20"/>
                <w:lang w:val="sq-AL"/>
              </w:rPr>
              <w:t>urinave</w:t>
            </w:r>
            <w:r w:rsidRPr="00A62ED4">
              <w:rPr>
                <w:rFonts w:ascii="Arial Narrow" w:hAnsi="Arial Narrow"/>
                <w:sz w:val="20"/>
                <w:szCs w:val="20"/>
                <w:lang w:val="sq-AL"/>
              </w:rPr>
              <w:t xml:space="preserve"> për të zvogëluar përqindjen e mbet</w:t>
            </w:r>
            <w:r>
              <w:rPr>
                <w:rFonts w:ascii="Arial Narrow" w:hAnsi="Arial Narrow"/>
                <w:sz w:val="20"/>
                <w:szCs w:val="20"/>
                <w:lang w:val="sq-AL"/>
              </w:rPr>
              <w:t>urinave</w:t>
            </w:r>
            <w:r w:rsidRPr="00A62ED4">
              <w:rPr>
                <w:rFonts w:ascii="Arial Narrow" w:hAnsi="Arial Narrow"/>
                <w:sz w:val="20"/>
                <w:szCs w:val="20"/>
                <w:lang w:val="sq-AL"/>
              </w:rPr>
              <w:t xml:space="preserve"> që depo</w:t>
            </w:r>
            <w:r>
              <w:rPr>
                <w:rFonts w:ascii="Arial Narrow" w:hAnsi="Arial Narrow"/>
                <w:sz w:val="20"/>
                <w:szCs w:val="20"/>
                <w:lang w:val="sq-AL"/>
              </w:rPr>
              <w:t>nohen</w:t>
            </w:r>
          </w:p>
        </w:tc>
      </w:tr>
      <w:tr w:rsidR="00A26530" w:rsidRPr="003672F7" w14:paraId="187D1764" w14:textId="77777777" w:rsidTr="00572E42">
        <w:tc>
          <w:tcPr>
            <w:tcW w:w="912" w:type="pct"/>
          </w:tcPr>
          <w:p w14:paraId="1E3F8F0E" w14:textId="77777777" w:rsidR="00A26530" w:rsidRPr="003672F7" w:rsidRDefault="00A26530" w:rsidP="00A26530">
            <w:pPr>
              <w:rPr>
                <w:rFonts w:ascii="Arial Narrow" w:hAnsi="Arial Narrow"/>
                <w:sz w:val="20"/>
                <w:szCs w:val="20"/>
              </w:rPr>
            </w:pPr>
            <w:r w:rsidRPr="003672F7">
              <w:rPr>
                <w:rFonts w:ascii="Arial Narrow" w:hAnsi="Arial Narrow"/>
                <w:sz w:val="20"/>
                <w:szCs w:val="20"/>
              </w:rPr>
              <w:t>Qëndrueshmëri financiare</w:t>
            </w:r>
          </w:p>
        </w:tc>
        <w:tc>
          <w:tcPr>
            <w:tcW w:w="1363" w:type="pct"/>
          </w:tcPr>
          <w:p w14:paraId="072D7640" w14:textId="5AC94685" w:rsidR="00A26530" w:rsidRPr="00F353C4" w:rsidRDefault="00A26530" w:rsidP="00A26530">
            <w:pPr>
              <w:rPr>
                <w:rFonts w:ascii="Arial Narrow" w:hAnsi="Arial Narrow"/>
                <w:sz w:val="20"/>
                <w:szCs w:val="20"/>
                <w:lang w:val="sq-AL"/>
              </w:rPr>
            </w:pPr>
            <w:r w:rsidRPr="00F353C4">
              <w:rPr>
                <w:rFonts w:ascii="Arial Narrow" w:hAnsi="Arial Narrow"/>
                <w:sz w:val="20"/>
                <w:szCs w:val="20"/>
                <w:lang w:val="sq-AL"/>
              </w:rPr>
              <w:t xml:space="preserve">Shkalla e arkëtimit </w:t>
            </w:r>
            <w:r>
              <w:rPr>
                <w:rFonts w:ascii="Arial Narrow" w:hAnsi="Arial Narrow"/>
                <w:sz w:val="20"/>
                <w:szCs w:val="20"/>
                <w:lang w:val="sq-AL"/>
              </w:rPr>
              <w:t>nga</w:t>
            </w:r>
            <w:r w:rsidRPr="00F353C4">
              <w:rPr>
                <w:rFonts w:ascii="Arial Narrow" w:hAnsi="Arial Narrow"/>
                <w:sz w:val="20"/>
                <w:szCs w:val="20"/>
                <w:lang w:val="sq-AL"/>
              </w:rPr>
              <w:t xml:space="preserve"> klientët e faturuar për shërbimet bazë të grumbullimit të mbeturinave komunale është mbi 90%</w:t>
            </w:r>
          </w:p>
          <w:p w14:paraId="761E2414" w14:textId="77777777" w:rsidR="00A26530" w:rsidRPr="00F353C4" w:rsidRDefault="00A26530" w:rsidP="00A26530">
            <w:pPr>
              <w:rPr>
                <w:rFonts w:ascii="Arial Narrow" w:hAnsi="Arial Narrow"/>
                <w:sz w:val="20"/>
                <w:szCs w:val="20"/>
                <w:lang w:val="sq-AL"/>
              </w:rPr>
            </w:pPr>
          </w:p>
          <w:p w14:paraId="7D5B0142" w14:textId="77777777" w:rsidR="00A26530" w:rsidRPr="00F353C4" w:rsidRDefault="00A26530" w:rsidP="00A26530">
            <w:pPr>
              <w:rPr>
                <w:rFonts w:ascii="Arial Narrow" w:hAnsi="Arial Narrow"/>
                <w:sz w:val="20"/>
                <w:szCs w:val="20"/>
                <w:lang w:val="sq-AL"/>
              </w:rPr>
            </w:pPr>
            <w:r w:rsidRPr="00F353C4">
              <w:rPr>
                <w:rFonts w:ascii="Arial Narrow" w:hAnsi="Arial Narrow"/>
                <w:sz w:val="20"/>
                <w:szCs w:val="20"/>
                <w:lang w:val="sq-AL"/>
              </w:rPr>
              <w:t>Kostot e depo</w:t>
            </w:r>
            <w:r>
              <w:rPr>
                <w:rFonts w:ascii="Arial Narrow" w:hAnsi="Arial Narrow"/>
                <w:sz w:val="20"/>
                <w:szCs w:val="20"/>
                <w:lang w:val="sq-AL"/>
              </w:rPr>
              <w:t>nimit</w:t>
            </w:r>
            <w:r w:rsidRPr="00F353C4">
              <w:rPr>
                <w:rFonts w:ascii="Arial Narrow" w:hAnsi="Arial Narrow"/>
                <w:sz w:val="20"/>
                <w:szCs w:val="20"/>
                <w:lang w:val="sq-AL"/>
              </w:rPr>
              <w:t xml:space="preserve"> të mbet</w:t>
            </w:r>
            <w:r>
              <w:rPr>
                <w:rFonts w:ascii="Arial Narrow" w:hAnsi="Arial Narrow"/>
                <w:sz w:val="20"/>
                <w:szCs w:val="20"/>
                <w:lang w:val="sq-AL"/>
              </w:rPr>
              <w:t>urinave</w:t>
            </w:r>
            <w:r w:rsidRPr="00F353C4">
              <w:rPr>
                <w:rFonts w:ascii="Arial Narrow" w:hAnsi="Arial Narrow"/>
                <w:sz w:val="20"/>
                <w:szCs w:val="20"/>
                <w:lang w:val="sq-AL"/>
              </w:rPr>
              <w:t xml:space="preserve"> nuk janë të mjaftueshme për të mbuluar koston e plotë për funksionimin, </w:t>
            </w:r>
            <w:r w:rsidRPr="00F353C4">
              <w:rPr>
                <w:rFonts w:ascii="Arial Narrow" w:hAnsi="Arial Narrow"/>
                <w:sz w:val="20"/>
                <w:szCs w:val="20"/>
                <w:lang w:val="sq-AL"/>
              </w:rPr>
              <w:lastRenderedPageBreak/>
              <w:t xml:space="preserve">rehabilitimin dhe ri-investimet në një </w:t>
            </w:r>
            <w:r>
              <w:rPr>
                <w:rFonts w:ascii="Arial Narrow" w:hAnsi="Arial Narrow"/>
                <w:sz w:val="20"/>
                <w:szCs w:val="20"/>
                <w:lang w:val="sq-AL"/>
              </w:rPr>
              <w:t>deponi</w:t>
            </w:r>
            <w:r w:rsidRPr="00F353C4">
              <w:rPr>
                <w:rFonts w:ascii="Arial Narrow" w:hAnsi="Arial Narrow"/>
                <w:sz w:val="20"/>
                <w:szCs w:val="20"/>
                <w:lang w:val="sq-AL"/>
              </w:rPr>
              <w:t xml:space="preserve"> sanitar</w:t>
            </w:r>
            <w:r>
              <w:rPr>
                <w:rFonts w:ascii="Arial Narrow" w:hAnsi="Arial Narrow"/>
                <w:sz w:val="20"/>
                <w:szCs w:val="20"/>
                <w:lang w:val="sq-AL"/>
              </w:rPr>
              <w:t>e</w:t>
            </w:r>
          </w:p>
          <w:p w14:paraId="274C33B2" w14:textId="77777777" w:rsidR="00A26530" w:rsidRPr="00F353C4" w:rsidRDefault="00A26530" w:rsidP="00A26530">
            <w:pPr>
              <w:rPr>
                <w:rFonts w:ascii="Arial Narrow" w:hAnsi="Arial Narrow"/>
                <w:sz w:val="20"/>
                <w:szCs w:val="20"/>
                <w:lang w:val="sq-AL"/>
              </w:rPr>
            </w:pPr>
          </w:p>
          <w:p w14:paraId="64175FB1" w14:textId="6D49273A" w:rsidR="00A26530" w:rsidRPr="003672F7" w:rsidRDefault="00A26530" w:rsidP="00A26530">
            <w:pPr>
              <w:rPr>
                <w:rFonts w:ascii="Arial Narrow" w:hAnsi="Arial Narrow"/>
                <w:sz w:val="20"/>
                <w:szCs w:val="20"/>
              </w:rPr>
            </w:pPr>
            <w:r w:rsidRPr="00F353C4">
              <w:rPr>
                <w:rFonts w:ascii="Arial Narrow" w:hAnsi="Arial Narrow"/>
                <w:sz w:val="20"/>
                <w:szCs w:val="20"/>
                <w:lang w:val="sq-AL"/>
              </w:rPr>
              <w:t>Mbledhja e tarifave është e mjaftueshme për të mbuluar kostot e grumbullimit, trajtimit dhe depo</w:t>
            </w:r>
            <w:r>
              <w:rPr>
                <w:rFonts w:ascii="Arial Narrow" w:hAnsi="Arial Narrow"/>
                <w:sz w:val="20"/>
                <w:szCs w:val="20"/>
                <w:lang w:val="sq-AL"/>
              </w:rPr>
              <w:t>nimit</w:t>
            </w:r>
            <w:r w:rsidRPr="00F353C4">
              <w:rPr>
                <w:rFonts w:ascii="Arial Narrow" w:hAnsi="Arial Narrow"/>
                <w:sz w:val="20"/>
                <w:szCs w:val="20"/>
                <w:lang w:val="sq-AL"/>
              </w:rPr>
              <w:t xml:space="preserve"> të mbet</w:t>
            </w:r>
            <w:r>
              <w:rPr>
                <w:rFonts w:ascii="Arial Narrow" w:hAnsi="Arial Narrow"/>
                <w:sz w:val="20"/>
                <w:szCs w:val="20"/>
                <w:lang w:val="sq-AL"/>
              </w:rPr>
              <w:t>urinave</w:t>
            </w:r>
          </w:p>
        </w:tc>
        <w:tc>
          <w:tcPr>
            <w:tcW w:w="1363" w:type="pct"/>
          </w:tcPr>
          <w:p w14:paraId="2B1E76E5" w14:textId="01F42CE7" w:rsidR="00A26530" w:rsidRPr="00F353C4" w:rsidRDefault="00A26530" w:rsidP="00A26530">
            <w:pPr>
              <w:rPr>
                <w:rFonts w:ascii="Arial Narrow" w:hAnsi="Arial Narrow"/>
                <w:sz w:val="20"/>
                <w:szCs w:val="20"/>
                <w:lang w:val="sq-AL"/>
              </w:rPr>
            </w:pPr>
            <w:r w:rsidRPr="00F353C4">
              <w:rPr>
                <w:rFonts w:ascii="Arial Narrow" w:hAnsi="Arial Narrow"/>
                <w:sz w:val="20"/>
                <w:szCs w:val="20"/>
                <w:lang w:val="sq-AL"/>
              </w:rPr>
              <w:lastRenderedPageBreak/>
              <w:t>Efikasiteti, planifikimi financiar dhe mbulimi i kostove u përmirësuan për të mbuluar kostot e investimeve të planifikuara, kostot opera</w:t>
            </w:r>
            <w:r>
              <w:rPr>
                <w:rFonts w:ascii="Arial Narrow" w:hAnsi="Arial Narrow"/>
                <w:sz w:val="20"/>
                <w:szCs w:val="20"/>
                <w:lang w:val="sq-AL"/>
              </w:rPr>
              <w:t>cionale</w:t>
            </w:r>
            <w:r w:rsidRPr="00F353C4">
              <w:rPr>
                <w:rFonts w:ascii="Arial Narrow" w:hAnsi="Arial Narrow"/>
                <w:sz w:val="20"/>
                <w:szCs w:val="20"/>
                <w:lang w:val="sq-AL"/>
              </w:rPr>
              <w:t xml:space="preserve"> dhe kostot e riinvestimit, mirëmbajtjes dhe rehabilitimit</w:t>
            </w:r>
          </w:p>
          <w:p w14:paraId="4AC3E91C" w14:textId="77777777" w:rsidR="00A26530" w:rsidRPr="00F353C4" w:rsidRDefault="00A26530" w:rsidP="00A26530">
            <w:pPr>
              <w:rPr>
                <w:rFonts w:ascii="Arial Narrow" w:hAnsi="Arial Narrow"/>
                <w:sz w:val="20"/>
                <w:szCs w:val="20"/>
                <w:lang w:val="sq-AL"/>
              </w:rPr>
            </w:pPr>
          </w:p>
          <w:p w14:paraId="068B109D" w14:textId="6A22CC86" w:rsidR="00A26530" w:rsidRPr="003672F7" w:rsidRDefault="00A26530" w:rsidP="00A26530">
            <w:pPr>
              <w:rPr>
                <w:rFonts w:ascii="Arial Narrow" w:hAnsi="Arial Narrow"/>
                <w:sz w:val="20"/>
                <w:szCs w:val="20"/>
              </w:rPr>
            </w:pPr>
            <w:r w:rsidRPr="00F353C4">
              <w:rPr>
                <w:rFonts w:ascii="Arial Narrow" w:hAnsi="Arial Narrow"/>
                <w:sz w:val="20"/>
                <w:szCs w:val="20"/>
                <w:lang w:val="sq-AL"/>
              </w:rPr>
              <w:lastRenderedPageBreak/>
              <w:t xml:space="preserve">Kostot e </w:t>
            </w:r>
            <w:r>
              <w:rPr>
                <w:rFonts w:ascii="Arial Narrow" w:hAnsi="Arial Narrow"/>
                <w:sz w:val="20"/>
                <w:szCs w:val="20"/>
                <w:lang w:val="sq-AL"/>
              </w:rPr>
              <w:t>e</w:t>
            </w:r>
            <w:r w:rsidRPr="00F353C4">
              <w:rPr>
                <w:rFonts w:ascii="Arial Narrow" w:hAnsi="Arial Narrow"/>
                <w:sz w:val="20"/>
                <w:szCs w:val="20"/>
                <w:lang w:val="sq-AL"/>
              </w:rPr>
              <w:t xml:space="preserve"> </w:t>
            </w:r>
            <w:r>
              <w:rPr>
                <w:rFonts w:ascii="Arial Narrow" w:hAnsi="Arial Narrow"/>
                <w:sz w:val="20"/>
                <w:szCs w:val="20"/>
                <w:lang w:val="sq-AL"/>
              </w:rPr>
              <w:t>deponive</w:t>
            </w:r>
            <w:r w:rsidRPr="00F353C4">
              <w:rPr>
                <w:rFonts w:ascii="Arial Narrow" w:hAnsi="Arial Narrow"/>
                <w:sz w:val="20"/>
                <w:szCs w:val="20"/>
                <w:lang w:val="sq-AL"/>
              </w:rPr>
              <w:t xml:space="preserve"> të rishikuara dhe të harmonizuara me kostot e rehabilitimit dhe investimeve</w:t>
            </w:r>
          </w:p>
        </w:tc>
        <w:tc>
          <w:tcPr>
            <w:tcW w:w="1362" w:type="pct"/>
          </w:tcPr>
          <w:p w14:paraId="20091BD2" w14:textId="76977574" w:rsidR="00A26530" w:rsidRPr="003672F7" w:rsidRDefault="00A26530" w:rsidP="00A26530">
            <w:pPr>
              <w:rPr>
                <w:rFonts w:ascii="Arial Narrow" w:hAnsi="Arial Narrow"/>
                <w:sz w:val="20"/>
                <w:szCs w:val="20"/>
              </w:rPr>
            </w:pPr>
            <w:r w:rsidRPr="00F353C4">
              <w:rPr>
                <w:rFonts w:ascii="Arial Narrow" w:hAnsi="Arial Narrow"/>
                <w:sz w:val="20"/>
                <w:szCs w:val="20"/>
                <w:lang w:val="sq-AL"/>
              </w:rPr>
              <w:lastRenderedPageBreak/>
              <w:t>Krijimi i një sistemi të depo</w:t>
            </w:r>
            <w:r>
              <w:rPr>
                <w:rFonts w:ascii="Arial Narrow" w:hAnsi="Arial Narrow"/>
                <w:sz w:val="20"/>
                <w:szCs w:val="20"/>
                <w:lang w:val="sq-AL"/>
              </w:rPr>
              <w:t>nimit</w:t>
            </w:r>
            <w:r w:rsidRPr="00F353C4">
              <w:rPr>
                <w:rFonts w:ascii="Arial Narrow" w:hAnsi="Arial Narrow"/>
                <w:sz w:val="20"/>
                <w:szCs w:val="20"/>
                <w:lang w:val="sq-AL"/>
              </w:rPr>
              <w:t xml:space="preserve"> të mbet</w:t>
            </w:r>
            <w:r>
              <w:rPr>
                <w:rFonts w:ascii="Arial Narrow" w:hAnsi="Arial Narrow"/>
                <w:sz w:val="20"/>
                <w:szCs w:val="20"/>
                <w:lang w:val="sq-AL"/>
              </w:rPr>
              <w:t>urinave</w:t>
            </w:r>
            <w:r w:rsidRPr="00F353C4">
              <w:rPr>
                <w:rFonts w:ascii="Arial Narrow" w:hAnsi="Arial Narrow"/>
                <w:sz w:val="20"/>
                <w:szCs w:val="20"/>
                <w:lang w:val="sq-AL"/>
              </w:rPr>
              <w:t xml:space="preserve"> në bazë të mbulimit të plotë të kostos</w:t>
            </w:r>
          </w:p>
        </w:tc>
      </w:tr>
      <w:tr w:rsidR="00720984" w:rsidRPr="003672F7" w14:paraId="0F07E2B9" w14:textId="77777777" w:rsidTr="00572E42">
        <w:tc>
          <w:tcPr>
            <w:tcW w:w="912" w:type="pct"/>
          </w:tcPr>
          <w:p w14:paraId="11F7117A" w14:textId="711EFD81" w:rsidR="00720984" w:rsidRPr="003672F7" w:rsidRDefault="00720984" w:rsidP="003672F7">
            <w:pPr>
              <w:rPr>
                <w:rFonts w:ascii="Arial Narrow" w:hAnsi="Arial Narrow"/>
                <w:sz w:val="20"/>
                <w:szCs w:val="20"/>
              </w:rPr>
            </w:pPr>
            <w:r w:rsidRPr="003672F7">
              <w:rPr>
                <w:rFonts w:ascii="Arial Narrow" w:hAnsi="Arial Narrow"/>
                <w:sz w:val="20"/>
                <w:szCs w:val="20"/>
              </w:rPr>
              <w:t xml:space="preserve">Ndërgjegjësimi </w:t>
            </w:r>
            <w:r w:rsidR="00A26530">
              <w:rPr>
                <w:rFonts w:ascii="Arial Narrow" w:hAnsi="Arial Narrow"/>
                <w:sz w:val="20"/>
                <w:szCs w:val="20"/>
              </w:rPr>
              <w:t xml:space="preserve">i </w:t>
            </w:r>
            <w:r w:rsidRPr="003672F7">
              <w:rPr>
                <w:rFonts w:ascii="Arial Narrow" w:hAnsi="Arial Narrow"/>
                <w:sz w:val="20"/>
                <w:szCs w:val="20"/>
              </w:rPr>
              <w:t>publik</w:t>
            </w:r>
            <w:r w:rsidR="00A26530">
              <w:rPr>
                <w:rFonts w:ascii="Arial Narrow" w:hAnsi="Arial Narrow"/>
                <w:sz w:val="20"/>
                <w:szCs w:val="20"/>
              </w:rPr>
              <w:t>ut</w:t>
            </w:r>
          </w:p>
        </w:tc>
        <w:tc>
          <w:tcPr>
            <w:tcW w:w="1363" w:type="pct"/>
          </w:tcPr>
          <w:p w14:paraId="4E6626FF" w14:textId="2500BA37" w:rsidR="00720984" w:rsidRPr="003672F7" w:rsidRDefault="00720984" w:rsidP="003672F7">
            <w:pPr>
              <w:rPr>
                <w:rFonts w:ascii="Arial Narrow" w:hAnsi="Arial Narrow"/>
                <w:sz w:val="20"/>
                <w:szCs w:val="20"/>
              </w:rPr>
            </w:pPr>
            <w:r w:rsidRPr="003672F7">
              <w:rPr>
                <w:rFonts w:ascii="Arial Narrow" w:hAnsi="Arial Narrow"/>
                <w:sz w:val="20"/>
                <w:szCs w:val="20"/>
              </w:rPr>
              <w:t xml:space="preserve">Pak fushata sporadike </w:t>
            </w:r>
            <w:r w:rsidR="00A26530">
              <w:rPr>
                <w:rFonts w:ascii="Arial Narrow" w:hAnsi="Arial Narrow"/>
                <w:sz w:val="20"/>
                <w:szCs w:val="20"/>
              </w:rPr>
              <w:t xml:space="preserve">janë </w:t>
            </w:r>
            <w:r w:rsidRPr="003672F7">
              <w:rPr>
                <w:rFonts w:ascii="Arial Narrow" w:hAnsi="Arial Narrow"/>
                <w:sz w:val="20"/>
                <w:szCs w:val="20"/>
              </w:rPr>
              <w:t>zhvill</w:t>
            </w:r>
            <w:r w:rsidR="00A26530">
              <w:rPr>
                <w:rFonts w:ascii="Arial Narrow" w:hAnsi="Arial Narrow"/>
                <w:sz w:val="20"/>
                <w:szCs w:val="20"/>
              </w:rPr>
              <w:t>uar</w:t>
            </w:r>
            <w:r w:rsidRPr="003672F7">
              <w:rPr>
                <w:rFonts w:ascii="Arial Narrow" w:hAnsi="Arial Narrow"/>
                <w:sz w:val="20"/>
                <w:szCs w:val="20"/>
              </w:rPr>
              <w:t xml:space="preserve"> për të rritur ndërgjegjësimin publik.</w:t>
            </w:r>
          </w:p>
        </w:tc>
        <w:tc>
          <w:tcPr>
            <w:tcW w:w="1363" w:type="pct"/>
          </w:tcPr>
          <w:p w14:paraId="3FF2EEE3" w14:textId="5610AE97" w:rsidR="00720984" w:rsidRPr="003672F7" w:rsidRDefault="00720984" w:rsidP="003672F7">
            <w:pPr>
              <w:rPr>
                <w:rFonts w:ascii="Arial Narrow" w:hAnsi="Arial Narrow"/>
                <w:sz w:val="20"/>
                <w:szCs w:val="20"/>
              </w:rPr>
            </w:pPr>
            <w:r w:rsidRPr="003672F7">
              <w:rPr>
                <w:rFonts w:ascii="Arial Narrow" w:hAnsi="Arial Narrow"/>
                <w:sz w:val="20"/>
                <w:szCs w:val="20"/>
              </w:rPr>
              <w:t xml:space="preserve">Fushata të synuara për rritjen e ndërgjegjësimit mbi </w:t>
            </w:r>
            <w:r w:rsidR="00A26530">
              <w:rPr>
                <w:rFonts w:ascii="Arial Narrow" w:hAnsi="Arial Narrow"/>
                <w:sz w:val="20"/>
                <w:szCs w:val="20"/>
              </w:rPr>
              <w:t>NB</w:t>
            </w:r>
            <w:r w:rsidRPr="003672F7">
              <w:rPr>
                <w:rFonts w:ascii="Arial Narrow" w:hAnsi="Arial Narrow"/>
                <w:sz w:val="20"/>
                <w:szCs w:val="20"/>
              </w:rPr>
              <w:t xml:space="preserve"> dhe parandalimin e mbeturinave</w:t>
            </w:r>
          </w:p>
        </w:tc>
        <w:tc>
          <w:tcPr>
            <w:tcW w:w="1362" w:type="pct"/>
          </w:tcPr>
          <w:p w14:paraId="65C343AB" w14:textId="54091260" w:rsidR="00720984" w:rsidRPr="003672F7" w:rsidRDefault="00720984" w:rsidP="003672F7">
            <w:pPr>
              <w:rPr>
                <w:rFonts w:ascii="Arial Narrow" w:hAnsi="Arial Narrow"/>
                <w:sz w:val="20"/>
                <w:szCs w:val="20"/>
              </w:rPr>
            </w:pPr>
            <w:r w:rsidRPr="003672F7">
              <w:rPr>
                <w:rFonts w:ascii="Arial Narrow" w:hAnsi="Arial Narrow"/>
                <w:sz w:val="20"/>
                <w:szCs w:val="20"/>
              </w:rPr>
              <w:t xml:space="preserve">Rritja e ndërgjegjësimit mbi parandalimin e mbeturinave dhe ekonominë </w:t>
            </w:r>
            <w:r w:rsidR="00A26530">
              <w:rPr>
                <w:rFonts w:ascii="Arial Narrow" w:hAnsi="Arial Narrow"/>
                <w:sz w:val="20"/>
                <w:szCs w:val="20"/>
              </w:rPr>
              <w:t>qarkore</w:t>
            </w:r>
          </w:p>
        </w:tc>
      </w:tr>
    </w:tbl>
    <w:p w14:paraId="32105F24" w14:textId="77777777" w:rsidR="00720984" w:rsidRDefault="00720984" w:rsidP="00032CD8">
      <w:pPr>
        <w:rPr>
          <w:rFonts w:eastAsia="Calibri" w:cs="Calibri"/>
          <w:sz w:val="22"/>
          <w:szCs w:val="22"/>
        </w:rPr>
      </w:pPr>
    </w:p>
    <w:p w14:paraId="53D02970" w14:textId="77777777" w:rsidR="004E7565" w:rsidRDefault="004E7565" w:rsidP="00032CD8">
      <w:pPr>
        <w:rPr>
          <w:rFonts w:eastAsia="Calibri" w:cs="Calibri"/>
          <w:sz w:val="22"/>
          <w:szCs w:val="22"/>
        </w:rPr>
      </w:pPr>
    </w:p>
    <w:p w14:paraId="716EF7A4" w14:textId="77777777" w:rsidR="004E7565" w:rsidRDefault="004E7565" w:rsidP="00032CD8">
      <w:pPr>
        <w:rPr>
          <w:rFonts w:eastAsia="Calibri" w:cs="Calibri"/>
          <w:sz w:val="22"/>
          <w:szCs w:val="22"/>
        </w:rPr>
      </w:pPr>
    </w:p>
    <w:p w14:paraId="50E189C0" w14:textId="01975F90" w:rsidR="00430A79" w:rsidRPr="000D7AD0" w:rsidRDefault="00430A79" w:rsidP="000D7AD0">
      <w:pPr>
        <w:pStyle w:val="Heading1"/>
        <w:ind w:left="1134" w:hanging="1134"/>
      </w:pPr>
      <w:bookmarkStart w:id="278" w:name="_Toc185866100"/>
      <w:bookmarkStart w:id="279" w:name="_Toc197471997"/>
      <w:r w:rsidRPr="000D7AD0">
        <w:t>Objektivat dhe Synimet</w:t>
      </w:r>
      <w:bookmarkEnd w:id="278"/>
      <w:bookmarkEnd w:id="279"/>
    </w:p>
    <w:p w14:paraId="26851B50" w14:textId="77777777" w:rsidR="00D4412C" w:rsidRDefault="00D4412C" w:rsidP="00A26530">
      <w:pPr>
        <w:rPr>
          <w:rFonts w:ascii="Arial Narrow" w:hAnsi="Arial Narrow"/>
          <w:lang w:val="sq-AL"/>
        </w:rPr>
      </w:pPr>
    </w:p>
    <w:p w14:paraId="1A586C6A" w14:textId="67042ED2" w:rsidR="00A26530" w:rsidRPr="00BE2534" w:rsidRDefault="00A26530" w:rsidP="00A26530">
      <w:pPr>
        <w:rPr>
          <w:rFonts w:ascii="Arial Narrow" w:hAnsi="Arial Narrow"/>
          <w:lang w:val="sq-AL"/>
        </w:rPr>
      </w:pPr>
      <w:r w:rsidRPr="00BE2534">
        <w:rPr>
          <w:rFonts w:ascii="Arial Narrow" w:hAnsi="Arial Narrow"/>
          <w:lang w:val="sq-AL"/>
        </w:rPr>
        <w:t>Tabela e mëposhtme paraqet objektivat dhe synimet për sistemin e menaxhimit të mbeturinave në Rajonin e Dukagjinit , në përputhje me dispozitat e Strategjisë së Kosovës për Menaxhimin e Integruar të Mbeturinave 2024-2035 (SKMIM).</w:t>
      </w:r>
    </w:p>
    <w:p w14:paraId="604E59C6" w14:textId="77777777" w:rsidR="00430A79" w:rsidRPr="00430A79" w:rsidRDefault="00430A79" w:rsidP="00430A79">
      <w:pPr>
        <w:rPr>
          <w:rFonts w:ascii="Arial Narrow" w:hAnsi="Arial Narrow"/>
        </w:rPr>
      </w:pPr>
    </w:p>
    <w:p w14:paraId="38D6DF7D" w14:textId="654F8E90" w:rsidR="00430A79" w:rsidRPr="00430A79" w:rsidRDefault="00430A79" w:rsidP="007F50ED">
      <w:pPr>
        <w:suppressAutoHyphens/>
        <w:rPr>
          <w:rFonts w:ascii="Arial Narrow" w:eastAsia="Calibri" w:hAnsi="Arial Narrow" w:cs="Calibri"/>
          <w:color w:val="1F497D"/>
          <w:sz w:val="20"/>
          <w:szCs w:val="20"/>
        </w:rPr>
      </w:pPr>
      <w:bookmarkStart w:id="280" w:name="_Toc185866198"/>
      <w:bookmarkStart w:id="281" w:name="_Toc197472227"/>
      <w:r w:rsidRPr="00430A79">
        <w:rPr>
          <w:rFonts w:ascii="Arial Narrow" w:eastAsia="Calibri" w:hAnsi="Arial Narrow" w:cs="Calibri"/>
          <w:color w:val="1F497D"/>
          <w:sz w:val="20"/>
          <w:szCs w:val="20"/>
        </w:rPr>
        <w:t xml:space="preserve">Tabela </w:t>
      </w:r>
      <w:r w:rsidRPr="00430A79">
        <w:rPr>
          <w:rFonts w:ascii="Arial Narrow" w:eastAsia="Calibri" w:hAnsi="Arial Narrow" w:cs="Calibri"/>
          <w:color w:val="1F497D"/>
          <w:sz w:val="20"/>
          <w:szCs w:val="20"/>
        </w:rPr>
        <w:fldChar w:fldCharType="begin"/>
      </w:r>
      <w:r w:rsidRPr="00430A79">
        <w:rPr>
          <w:rFonts w:ascii="Arial Narrow" w:eastAsia="Calibri" w:hAnsi="Arial Narrow" w:cs="Calibri"/>
          <w:color w:val="1F497D"/>
          <w:sz w:val="20"/>
          <w:szCs w:val="20"/>
        </w:rPr>
        <w:instrText xml:space="preserve"> SEQ Table \* ARABIC </w:instrText>
      </w:r>
      <w:r w:rsidRPr="00430A79">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42. </w:t>
      </w:r>
      <w:r w:rsidRPr="00430A79">
        <w:rPr>
          <w:rFonts w:ascii="Arial Narrow" w:eastAsia="Calibri" w:hAnsi="Arial Narrow" w:cs="Calibri"/>
          <w:color w:val="1F497D"/>
          <w:sz w:val="20"/>
          <w:szCs w:val="20"/>
        </w:rPr>
        <w:fldChar w:fldCharType="end"/>
      </w:r>
      <w:r w:rsidRPr="00430A79">
        <w:rPr>
          <w:rFonts w:ascii="Arial Narrow" w:eastAsia="Calibri" w:hAnsi="Arial Narrow" w:cs="Calibri"/>
          <w:color w:val="1F497D"/>
          <w:sz w:val="20"/>
          <w:szCs w:val="20"/>
        </w:rPr>
        <w:t>Objektivat dhe synimet për sistemin rajonal</w:t>
      </w:r>
      <w:bookmarkEnd w:id="280"/>
      <w:bookmarkEnd w:id="281"/>
    </w:p>
    <w:tbl>
      <w:tblPr>
        <w:tblStyle w:val="TableGrid8"/>
        <w:tblW w:w="5000" w:type="pct"/>
        <w:tblLook w:val="01E0" w:firstRow="1" w:lastRow="1" w:firstColumn="1" w:lastColumn="1" w:noHBand="0" w:noVBand="0"/>
      </w:tblPr>
      <w:tblGrid>
        <w:gridCol w:w="1951"/>
        <w:gridCol w:w="3455"/>
        <w:gridCol w:w="1179"/>
        <w:gridCol w:w="1297"/>
        <w:gridCol w:w="1134"/>
      </w:tblGrid>
      <w:tr w:rsidR="00A26530" w:rsidRPr="00430A79" w14:paraId="3902BF37" w14:textId="77777777" w:rsidTr="00D03949">
        <w:trPr>
          <w:trHeight w:val="342"/>
          <w:tblHeader/>
        </w:trPr>
        <w:tc>
          <w:tcPr>
            <w:tcW w:w="1082" w:type="pct"/>
            <w:shd w:val="clear" w:color="auto" w:fill="365F91"/>
          </w:tcPr>
          <w:p w14:paraId="2648A118" w14:textId="77777777" w:rsidR="00430A79" w:rsidRPr="00430A79" w:rsidRDefault="00430A79" w:rsidP="00430A79">
            <w:pPr>
              <w:widowControl w:val="0"/>
              <w:autoSpaceDE w:val="0"/>
              <w:autoSpaceDN w:val="0"/>
              <w:spacing w:before="60" w:after="60"/>
              <w:ind w:left="575"/>
              <w:rPr>
                <w:rFonts w:ascii="Arial Narrow" w:eastAsia="Calibri" w:hAnsi="Arial Narrow" w:cs="Calibri"/>
                <w:b/>
                <w:sz w:val="20"/>
                <w:szCs w:val="20"/>
              </w:rPr>
            </w:pPr>
            <w:bookmarkStart w:id="282" w:name="_Hlk183609595"/>
            <w:r w:rsidRPr="00430A79">
              <w:rPr>
                <w:rFonts w:ascii="Arial Narrow" w:eastAsia="Calibri" w:hAnsi="Arial Narrow" w:cs="Calibri"/>
                <w:b/>
                <w:color w:val="FFFFFF"/>
                <w:sz w:val="20"/>
                <w:szCs w:val="20"/>
              </w:rPr>
              <w:t>Objektivi</w:t>
            </w:r>
          </w:p>
        </w:tc>
        <w:tc>
          <w:tcPr>
            <w:tcW w:w="1916" w:type="pct"/>
            <w:shd w:val="clear" w:color="auto" w:fill="365F91"/>
          </w:tcPr>
          <w:p w14:paraId="4B58D1A9" w14:textId="77777777" w:rsidR="00430A79" w:rsidRPr="00430A79" w:rsidRDefault="00430A79" w:rsidP="00430A79">
            <w:pPr>
              <w:widowControl w:val="0"/>
              <w:autoSpaceDE w:val="0"/>
              <w:autoSpaceDN w:val="0"/>
              <w:spacing w:before="60" w:after="60"/>
              <w:ind w:left="124" w:right="42"/>
              <w:jc w:val="center"/>
              <w:rPr>
                <w:rFonts w:ascii="Arial Narrow" w:eastAsia="Calibri" w:hAnsi="Arial Narrow" w:cs="Calibri"/>
                <w:b/>
                <w:sz w:val="20"/>
                <w:szCs w:val="20"/>
              </w:rPr>
            </w:pPr>
            <w:r w:rsidRPr="00430A79">
              <w:rPr>
                <w:rFonts w:ascii="Arial Narrow" w:eastAsia="Calibri" w:hAnsi="Arial Narrow" w:cs="Calibri"/>
                <w:b/>
                <w:color w:val="FFFFFF"/>
                <w:sz w:val="20"/>
                <w:szCs w:val="20"/>
              </w:rPr>
              <w:t>Treguesi</w:t>
            </w:r>
          </w:p>
        </w:tc>
        <w:tc>
          <w:tcPr>
            <w:tcW w:w="654" w:type="pct"/>
            <w:shd w:val="clear" w:color="auto" w:fill="365F91"/>
          </w:tcPr>
          <w:p w14:paraId="29702639" w14:textId="77777777" w:rsidR="00430A79" w:rsidRPr="00430A79" w:rsidRDefault="00430A79" w:rsidP="00430A79">
            <w:pPr>
              <w:widowControl w:val="0"/>
              <w:autoSpaceDE w:val="0"/>
              <w:autoSpaceDN w:val="0"/>
              <w:spacing w:before="60" w:after="60"/>
              <w:ind w:right="208"/>
              <w:jc w:val="right"/>
              <w:rPr>
                <w:rFonts w:ascii="Arial Narrow" w:eastAsia="Calibri" w:hAnsi="Arial Narrow" w:cs="Calibri"/>
                <w:b/>
                <w:sz w:val="20"/>
                <w:szCs w:val="20"/>
              </w:rPr>
            </w:pPr>
            <w:r w:rsidRPr="00430A79">
              <w:rPr>
                <w:rFonts w:ascii="Arial Narrow" w:eastAsia="Calibri" w:hAnsi="Arial Narrow" w:cs="Calibri"/>
                <w:b/>
                <w:color w:val="FFFFFF"/>
                <w:sz w:val="20"/>
                <w:szCs w:val="20"/>
              </w:rPr>
              <w:t>Baza</w:t>
            </w:r>
          </w:p>
        </w:tc>
        <w:tc>
          <w:tcPr>
            <w:tcW w:w="719" w:type="pct"/>
            <w:shd w:val="clear" w:color="auto" w:fill="365F91"/>
          </w:tcPr>
          <w:p w14:paraId="4E772CC7" w14:textId="7947679A" w:rsidR="00430A79" w:rsidRPr="00430A79" w:rsidRDefault="00A26530" w:rsidP="00430A79">
            <w:pPr>
              <w:widowControl w:val="0"/>
              <w:autoSpaceDE w:val="0"/>
              <w:autoSpaceDN w:val="0"/>
              <w:spacing w:before="60" w:after="60"/>
              <w:ind w:left="400"/>
              <w:rPr>
                <w:rFonts w:ascii="Arial Narrow" w:eastAsia="Calibri" w:hAnsi="Arial Narrow" w:cs="Calibri"/>
                <w:b/>
                <w:sz w:val="20"/>
                <w:szCs w:val="20"/>
              </w:rPr>
            </w:pPr>
            <w:r>
              <w:rPr>
                <w:rFonts w:ascii="Arial Narrow" w:eastAsia="Calibri" w:hAnsi="Arial Narrow" w:cs="Calibri"/>
                <w:b/>
                <w:color w:val="FFFFFF"/>
                <w:sz w:val="20"/>
                <w:szCs w:val="20"/>
              </w:rPr>
              <w:t>Synimi</w:t>
            </w:r>
          </w:p>
        </w:tc>
        <w:tc>
          <w:tcPr>
            <w:tcW w:w="629" w:type="pct"/>
            <w:shd w:val="clear" w:color="auto" w:fill="365F91"/>
          </w:tcPr>
          <w:p w14:paraId="4CFDA07D" w14:textId="77777777" w:rsidR="00430A79" w:rsidRPr="00430A79" w:rsidRDefault="00430A79" w:rsidP="00430A79">
            <w:pPr>
              <w:widowControl w:val="0"/>
              <w:autoSpaceDE w:val="0"/>
              <w:autoSpaceDN w:val="0"/>
              <w:spacing w:before="60" w:after="60"/>
              <w:ind w:left="412"/>
              <w:rPr>
                <w:rFonts w:ascii="Arial Narrow" w:eastAsia="Calibri" w:hAnsi="Arial Narrow" w:cs="Calibri"/>
                <w:b/>
                <w:sz w:val="20"/>
                <w:szCs w:val="20"/>
              </w:rPr>
            </w:pPr>
            <w:r w:rsidRPr="00430A79">
              <w:rPr>
                <w:rFonts w:ascii="Arial Narrow" w:eastAsia="Calibri" w:hAnsi="Arial Narrow" w:cs="Calibri"/>
                <w:b/>
                <w:color w:val="FFFFFF"/>
                <w:sz w:val="20"/>
                <w:szCs w:val="20"/>
              </w:rPr>
              <w:t>Viti</w:t>
            </w:r>
          </w:p>
        </w:tc>
      </w:tr>
      <w:tr w:rsidR="00430A79" w:rsidRPr="00430A79" w14:paraId="0C62901E" w14:textId="77777777" w:rsidTr="00D03949">
        <w:trPr>
          <w:trHeight w:val="354"/>
        </w:trPr>
        <w:tc>
          <w:tcPr>
            <w:tcW w:w="1082" w:type="pct"/>
            <w:shd w:val="clear" w:color="auto" w:fill="365F91"/>
            <w:vAlign w:val="center"/>
          </w:tcPr>
          <w:p w14:paraId="396E78B9" w14:textId="1A849CB8" w:rsidR="00430A79" w:rsidRPr="00430A79" w:rsidRDefault="00430A79" w:rsidP="00430A79">
            <w:pPr>
              <w:widowControl w:val="0"/>
              <w:autoSpaceDE w:val="0"/>
              <w:autoSpaceDN w:val="0"/>
              <w:spacing w:before="60" w:after="60"/>
              <w:ind w:right="289"/>
              <w:rPr>
                <w:rFonts w:ascii="Arial Narrow" w:eastAsia="Calibri" w:hAnsi="Arial Narrow" w:cs="Calibri"/>
                <w:sz w:val="20"/>
                <w:szCs w:val="20"/>
              </w:rPr>
            </w:pPr>
            <w:r w:rsidRPr="00430A79">
              <w:rPr>
                <w:rFonts w:ascii="Arial Narrow" w:eastAsia="Calibri" w:hAnsi="Arial Narrow" w:cs="Calibri"/>
                <w:color w:val="FFFFFF"/>
                <w:sz w:val="20"/>
                <w:szCs w:val="20"/>
              </w:rPr>
              <w:t xml:space="preserve">Rritja e shërbimit të </w:t>
            </w:r>
            <w:r w:rsidR="00A26530">
              <w:rPr>
                <w:rFonts w:ascii="Arial Narrow" w:eastAsia="Calibri" w:hAnsi="Arial Narrow" w:cs="Calibri"/>
                <w:color w:val="FFFFFF"/>
                <w:sz w:val="20"/>
                <w:szCs w:val="20"/>
              </w:rPr>
              <w:t>grumbullimit t</w:t>
            </w:r>
            <w:r w:rsidRPr="00430A79">
              <w:rPr>
                <w:rFonts w:ascii="Arial Narrow" w:eastAsia="Calibri" w:hAnsi="Arial Narrow" w:cs="Calibri"/>
                <w:color w:val="FFFFFF"/>
                <w:sz w:val="20"/>
                <w:szCs w:val="20"/>
              </w:rPr>
              <w:t>ë mbeturinave</w:t>
            </w:r>
          </w:p>
        </w:tc>
        <w:tc>
          <w:tcPr>
            <w:tcW w:w="1916" w:type="pct"/>
            <w:vAlign w:val="center"/>
          </w:tcPr>
          <w:p w14:paraId="5E1A1F95" w14:textId="28EF9B1B" w:rsidR="00430A79" w:rsidRPr="00430A79" w:rsidRDefault="0034513D" w:rsidP="00430A79">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Përqindja e popullsisë së përgjithshme me         </w:t>
            </w:r>
            <w:r w:rsidRPr="00BE2534">
              <w:rPr>
                <w:rFonts w:ascii="Arial Narrow" w:eastAsia="Calibri" w:hAnsi="Arial Narrow" w:cs="Calibri"/>
                <w:spacing w:val="-47"/>
                <w:sz w:val="20"/>
                <w:szCs w:val="20"/>
                <w:lang w:val="sq-AL"/>
              </w:rPr>
              <w:t xml:space="preserve">   </w:t>
            </w:r>
            <w:r w:rsidRPr="00BE2534">
              <w:rPr>
                <w:rFonts w:ascii="Arial Narrow" w:eastAsia="Calibri" w:hAnsi="Arial Narrow" w:cs="Calibri"/>
                <w:sz w:val="20"/>
                <w:szCs w:val="20"/>
                <w:lang w:val="sq-AL"/>
              </w:rPr>
              <w:t>qasje adekuate dhe të rregullt</w:t>
            </w:r>
            <w:r w:rsidRPr="00BE2534">
              <w:rPr>
                <w:rFonts w:ascii="Arial Narrow" w:eastAsia="Calibri" w:hAnsi="Arial Narrow" w:cs="Calibri"/>
                <w:spacing w:val="1"/>
                <w:sz w:val="20"/>
                <w:szCs w:val="20"/>
                <w:lang w:val="sq-AL"/>
              </w:rPr>
              <w:t xml:space="preserve"> në shërbimet </w:t>
            </w:r>
            <w:r w:rsidRPr="00BE2534">
              <w:rPr>
                <w:rFonts w:ascii="Arial Narrow" w:eastAsia="Calibri" w:hAnsi="Arial Narrow" w:cs="Calibri"/>
                <w:sz w:val="20"/>
                <w:szCs w:val="20"/>
                <w:lang w:val="sq-AL"/>
              </w:rPr>
              <w:t>komunale</w:t>
            </w:r>
            <w:r w:rsidRPr="00BE2534">
              <w:rPr>
                <w:rFonts w:ascii="Arial Narrow" w:eastAsia="Calibri" w:hAnsi="Arial Narrow" w:cs="Calibri"/>
                <w:spacing w:val="-1"/>
                <w:sz w:val="20"/>
                <w:szCs w:val="20"/>
                <w:lang w:val="sq-AL"/>
              </w:rPr>
              <w:t xml:space="preserve"> të </w:t>
            </w:r>
            <w:r w:rsidRPr="00BE2534">
              <w:rPr>
                <w:rFonts w:ascii="Arial Narrow" w:eastAsia="Calibri" w:hAnsi="Arial Narrow" w:cs="Calibri"/>
                <w:sz w:val="20"/>
                <w:szCs w:val="20"/>
                <w:lang w:val="sq-AL"/>
              </w:rPr>
              <w:t>mbledhjes së mbeturinave</w:t>
            </w:r>
          </w:p>
        </w:tc>
        <w:tc>
          <w:tcPr>
            <w:tcW w:w="654" w:type="pct"/>
            <w:vAlign w:val="center"/>
          </w:tcPr>
          <w:p w14:paraId="2B3A70D2" w14:textId="77777777" w:rsidR="00430A79" w:rsidRPr="00430A79" w:rsidRDefault="00430A79" w:rsidP="00430A79">
            <w:pPr>
              <w:widowControl w:val="0"/>
              <w:autoSpaceDE w:val="0"/>
              <w:autoSpaceDN w:val="0"/>
              <w:spacing w:before="60" w:after="60"/>
              <w:ind w:left="393"/>
              <w:rPr>
                <w:rFonts w:ascii="Arial Narrow" w:eastAsia="Calibri" w:hAnsi="Arial Narrow" w:cs="Calibri"/>
                <w:sz w:val="20"/>
                <w:szCs w:val="20"/>
              </w:rPr>
            </w:pPr>
            <w:r w:rsidRPr="00430A79">
              <w:rPr>
                <w:rFonts w:ascii="Arial Narrow" w:eastAsia="Calibri" w:hAnsi="Arial Narrow" w:cs="Calibri"/>
                <w:sz w:val="20"/>
                <w:szCs w:val="20"/>
              </w:rPr>
              <w:t>99%</w:t>
            </w:r>
          </w:p>
        </w:tc>
        <w:tc>
          <w:tcPr>
            <w:tcW w:w="719" w:type="pct"/>
            <w:vAlign w:val="center"/>
          </w:tcPr>
          <w:p w14:paraId="7C06EC05" w14:textId="77777777" w:rsidR="00430A79" w:rsidRPr="00430A79" w:rsidRDefault="00430A79" w:rsidP="00430A79">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100%</w:t>
            </w:r>
          </w:p>
        </w:tc>
        <w:tc>
          <w:tcPr>
            <w:tcW w:w="629" w:type="pct"/>
            <w:vAlign w:val="center"/>
          </w:tcPr>
          <w:p w14:paraId="309983D0" w14:textId="77777777" w:rsidR="00430A79" w:rsidRPr="00430A79" w:rsidRDefault="00430A79" w:rsidP="00430A79">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2026</w:t>
            </w:r>
          </w:p>
        </w:tc>
      </w:tr>
      <w:tr w:rsidR="0034513D" w:rsidRPr="00430A79" w14:paraId="7CBFE4F8" w14:textId="77777777" w:rsidTr="00D03949">
        <w:trPr>
          <w:trHeight w:val="215"/>
        </w:trPr>
        <w:tc>
          <w:tcPr>
            <w:tcW w:w="1082" w:type="pct"/>
            <w:vMerge w:val="restart"/>
            <w:shd w:val="clear" w:color="auto" w:fill="365F91"/>
            <w:vAlign w:val="center"/>
          </w:tcPr>
          <w:p w14:paraId="3C3F824D" w14:textId="77777777" w:rsidR="0034513D" w:rsidRPr="00430A79" w:rsidRDefault="0034513D" w:rsidP="0034513D">
            <w:pPr>
              <w:widowControl w:val="0"/>
              <w:autoSpaceDE w:val="0"/>
              <w:autoSpaceDN w:val="0"/>
              <w:spacing w:before="60" w:after="60"/>
              <w:ind w:right="257"/>
              <w:rPr>
                <w:rFonts w:ascii="Arial Narrow" w:eastAsia="Calibri" w:hAnsi="Arial Narrow" w:cs="Calibri"/>
                <w:sz w:val="20"/>
                <w:szCs w:val="20"/>
              </w:rPr>
            </w:pPr>
            <w:r w:rsidRPr="00430A79">
              <w:rPr>
                <w:rFonts w:ascii="Arial Narrow" w:eastAsia="Calibri" w:hAnsi="Arial Narrow" w:cs="Calibri"/>
                <w:color w:val="FFFFFF"/>
                <w:sz w:val="20"/>
                <w:szCs w:val="20"/>
              </w:rPr>
              <w:t>Rritja e riciklimit dhe rikuperimit të burimeve</w:t>
            </w:r>
          </w:p>
        </w:tc>
        <w:tc>
          <w:tcPr>
            <w:tcW w:w="1916" w:type="pct"/>
            <w:vMerge w:val="restart"/>
            <w:vAlign w:val="center"/>
          </w:tcPr>
          <w:p w14:paraId="6B768EAD" w14:textId="4A869E97" w:rsidR="0034513D" w:rsidRPr="00430A79" w:rsidRDefault="0034513D" w:rsidP="0034513D">
            <w:pPr>
              <w:widowControl w:val="0"/>
              <w:autoSpaceDE w:val="0"/>
              <w:autoSpaceDN w:val="0"/>
              <w:spacing w:before="60" w:after="60"/>
              <w:ind w:right="512"/>
              <w:rPr>
                <w:rFonts w:ascii="Arial Narrow" w:eastAsia="Calibri" w:hAnsi="Arial Narrow" w:cs="Calibri"/>
                <w:sz w:val="20"/>
                <w:szCs w:val="20"/>
              </w:rPr>
            </w:pPr>
            <w:r w:rsidRPr="00BE2534">
              <w:rPr>
                <w:rFonts w:ascii="Arial Narrow" w:eastAsia="Calibri" w:hAnsi="Arial Narrow" w:cs="Calibri"/>
                <w:sz w:val="20"/>
                <w:szCs w:val="20"/>
                <w:lang w:val="sq-AL"/>
              </w:rPr>
              <w:t>Mbeturinat komunale të gatshme për ripërdorim dhe riciklim</w:t>
            </w:r>
          </w:p>
        </w:tc>
        <w:tc>
          <w:tcPr>
            <w:tcW w:w="654" w:type="pct"/>
            <w:vMerge w:val="restart"/>
            <w:vAlign w:val="center"/>
          </w:tcPr>
          <w:p w14:paraId="3E4C605C" w14:textId="77777777" w:rsidR="0034513D" w:rsidRPr="00430A79" w:rsidRDefault="0034513D" w:rsidP="0034513D">
            <w:pPr>
              <w:widowControl w:val="0"/>
              <w:autoSpaceDE w:val="0"/>
              <w:autoSpaceDN w:val="0"/>
              <w:spacing w:before="60" w:after="60"/>
              <w:ind w:left="366"/>
              <w:rPr>
                <w:rFonts w:ascii="Arial Narrow" w:eastAsia="Calibri" w:hAnsi="Arial Narrow" w:cs="Calibri"/>
                <w:sz w:val="20"/>
                <w:szCs w:val="20"/>
              </w:rPr>
            </w:pPr>
            <w:r w:rsidRPr="00430A79">
              <w:rPr>
                <w:rFonts w:ascii="Arial Narrow" w:eastAsia="Calibri" w:hAnsi="Arial Narrow" w:cs="Calibri"/>
                <w:sz w:val="20"/>
                <w:szCs w:val="20"/>
              </w:rPr>
              <w:t>&lt;</w:t>
            </w:r>
            <w:r w:rsidRPr="00430A79">
              <w:rPr>
                <w:rFonts w:ascii="Arial Narrow" w:eastAsia="Calibri" w:hAnsi="Arial Narrow" w:cs="Calibri"/>
                <w:spacing w:val="-1"/>
                <w:sz w:val="20"/>
                <w:szCs w:val="20"/>
              </w:rPr>
              <w:t xml:space="preserve"> </w:t>
            </w:r>
            <w:r w:rsidRPr="00430A79">
              <w:rPr>
                <w:rFonts w:ascii="Arial Narrow" w:eastAsia="Calibri" w:hAnsi="Arial Narrow" w:cs="Calibri"/>
                <w:sz w:val="20"/>
                <w:szCs w:val="20"/>
              </w:rPr>
              <w:t>5%</w:t>
            </w:r>
          </w:p>
        </w:tc>
        <w:tc>
          <w:tcPr>
            <w:tcW w:w="719" w:type="pct"/>
            <w:vAlign w:val="center"/>
          </w:tcPr>
          <w:p w14:paraId="13197747"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20%</w:t>
            </w:r>
          </w:p>
        </w:tc>
        <w:tc>
          <w:tcPr>
            <w:tcW w:w="629" w:type="pct"/>
            <w:vAlign w:val="center"/>
          </w:tcPr>
          <w:p w14:paraId="530187B4"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2030</w:t>
            </w:r>
          </w:p>
        </w:tc>
      </w:tr>
      <w:tr w:rsidR="0034513D" w:rsidRPr="00430A79" w14:paraId="7D1239E8" w14:textId="77777777" w:rsidTr="00D03949">
        <w:trPr>
          <w:trHeight w:val="179"/>
        </w:trPr>
        <w:tc>
          <w:tcPr>
            <w:tcW w:w="1082" w:type="pct"/>
            <w:vMerge/>
            <w:shd w:val="clear" w:color="auto" w:fill="365F91"/>
            <w:vAlign w:val="center"/>
          </w:tcPr>
          <w:p w14:paraId="68C00377"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2951D25C"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654" w:type="pct"/>
            <w:vMerge/>
            <w:vAlign w:val="center"/>
          </w:tcPr>
          <w:p w14:paraId="42FFDD00" w14:textId="77777777" w:rsidR="0034513D" w:rsidRPr="00430A79" w:rsidRDefault="0034513D" w:rsidP="0034513D">
            <w:pPr>
              <w:widowControl w:val="0"/>
              <w:autoSpaceDE w:val="0"/>
              <w:autoSpaceDN w:val="0"/>
              <w:spacing w:before="60" w:after="60"/>
              <w:ind w:left="366"/>
              <w:jc w:val="center"/>
              <w:rPr>
                <w:rFonts w:ascii="Arial Narrow" w:eastAsia="Calibri" w:hAnsi="Arial Narrow" w:cs="Calibri"/>
                <w:sz w:val="20"/>
                <w:szCs w:val="20"/>
              </w:rPr>
            </w:pPr>
          </w:p>
        </w:tc>
        <w:tc>
          <w:tcPr>
            <w:tcW w:w="719" w:type="pct"/>
            <w:vAlign w:val="center"/>
          </w:tcPr>
          <w:p w14:paraId="6CCE3113"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50%</w:t>
            </w:r>
          </w:p>
        </w:tc>
        <w:tc>
          <w:tcPr>
            <w:tcW w:w="629" w:type="pct"/>
            <w:vAlign w:val="center"/>
          </w:tcPr>
          <w:p w14:paraId="3D3D8B35"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2035</w:t>
            </w:r>
          </w:p>
        </w:tc>
      </w:tr>
      <w:tr w:rsidR="0034513D" w:rsidRPr="00430A79" w14:paraId="110A31EA" w14:textId="77777777" w:rsidTr="00D03949">
        <w:trPr>
          <w:trHeight w:val="224"/>
        </w:trPr>
        <w:tc>
          <w:tcPr>
            <w:tcW w:w="1082" w:type="pct"/>
            <w:vMerge/>
            <w:shd w:val="clear" w:color="auto" w:fill="365F91"/>
            <w:vAlign w:val="center"/>
          </w:tcPr>
          <w:p w14:paraId="3F446853"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3E63197C"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654" w:type="pct"/>
            <w:vMerge/>
            <w:vAlign w:val="center"/>
          </w:tcPr>
          <w:p w14:paraId="7AD58202" w14:textId="77777777" w:rsidR="0034513D" w:rsidRPr="00430A79" w:rsidRDefault="0034513D" w:rsidP="0034513D">
            <w:pPr>
              <w:widowControl w:val="0"/>
              <w:autoSpaceDE w:val="0"/>
              <w:autoSpaceDN w:val="0"/>
              <w:spacing w:before="60" w:after="60"/>
              <w:jc w:val="center"/>
              <w:rPr>
                <w:rFonts w:ascii="Arial Narrow" w:eastAsia="Calibri" w:hAnsi="Arial Narrow" w:cs="Calibri"/>
                <w:sz w:val="20"/>
                <w:szCs w:val="20"/>
              </w:rPr>
            </w:pPr>
          </w:p>
        </w:tc>
        <w:tc>
          <w:tcPr>
            <w:tcW w:w="719" w:type="pct"/>
            <w:vAlign w:val="center"/>
          </w:tcPr>
          <w:p w14:paraId="6BE9905E"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60%</w:t>
            </w:r>
          </w:p>
        </w:tc>
        <w:tc>
          <w:tcPr>
            <w:tcW w:w="629" w:type="pct"/>
            <w:shd w:val="clear" w:color="auto" w:fill="auto"/>
            <w:vAlign w:val="center"/>
          </w:tcPr>
          <w:p w14:paraId="7A5459E9"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2045</w:t>
            </w:r>
          </w:p>
        </w:tc>
      </w:tr>
      <w:tr w:rsidR="0034513D" w:rsidRPr="00430A79" w14:paraId="0C1EF5F7" w14:textId="77777777" w:rsidTr="00D03949">
        <w:trPr>
          <w:trHeight w:val="134"/>
        </w:trPr>
        <w:tc>
          <w:tcPr>
            <w:tcW w:w="1082" w:type="pct"/>
            <w:vMerge/>
            <w:shd w:val="clear" w:color="auto" w:fill="365F91"/>
            <w:vAlign w:val="center"/>
          </w:tcPr>
          <w:p w14:paraId="4F2991A2"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restart"/>
            <w:vAlign w:val="center"/>
          </w:tcPr>
          <w:p w14:paraId="08C4D377" w14:textId="0339E172" w:rsidR="0034513D" w:rsidRPr="00430A79" w:rsidRDefault="0034513D" w:rsidP="0034513D">
            <w:pPr>
              <w:widowControl w:val="0"/>
              <w:autoSpaceDE w:val="0"/>
              <w:autoSpaceDN w:val="0"/>
              <w:spacing w:before="60" w:after="60"/>
              <w:ind w:right="165"/>
              <w:rPr>
                <w:rFonts w:ascii="Arial Narrow" w:eastAsia="Calibri" w:hAnsi="Arial Narrow" w:cs="Calibri"/>
                <w:sz w:val="20"/>
                <w:szCs w:val="20"/>
              </w:rPr>
            </w:pPr>
            <w:r w:rsidRPr="00BE2534">
              <w:rPr>
                <w:rFonts w:ascii="Arial Narrow" w:eastAsia="Calibri" w:hAnsi="Arial Narrow" w:cs="Calibri"/>
                <w:sz w:val="20"/>
                <w:szCs w:val="20"/>
                <w:lang w:val="sq-AL"/>
              </w:rPr>
              <w:t>Popullsia që i ofrohen shërbime të grumbullimit të ndarë të mbeturinave</w:t>
            </w:r>
          </w:p>
        </w:tc>
        <w:tc>
          <w:tcPr>
            <w:tcW w:w="654" w:type="pct"/>
            <w:vMerge w:val="restart"/>
            <w:vAlign w:val="center"/>
          </w:tcPr>
          <w:p w14:paraId="01F12705" w14:textId="77777777" w:rsidR="0034513D" w:rsidRPr="00430A79" w:rsidRDefault="0034513D" w:rsidP="0034513D">
            <w:pPr>
              <w:widowControl w:val="0"/>
              <w:autoSpaceDE w:val="0"/>
              <w:autoSpaceDN w:val="0"/>
              <w:spacing w:before="60" w:after="60"/>
              <w:jc w:val="center"/>
              <w:rPr>
                <w:rFonts w:ascii="Arial Narrow" w:eastAsia="Calibri" w:hAnsi="Arial Narrow" w:cs="Calibri"/>
                <w:sz w:val="20"/>
                <w:szCs w:val="20"/>
              </w:rPr>
            </w:pPr>
          </w:p>
          <w:p w14:paraId="1B72936E" w14:textId="77777777" w:rsidR="0034513D" w:rsidRPr="00430A79" w:rsidRDefault="0034513D" w:rsidP="0034513D">
            <w:pPr>
              <w:widowControl w:val="0"/>
              <w:autoSpaceDE w:val="0"/>
              <w:autoSpaceDN w:val="0"/>
              <w:spacing w:before="60" w:after="60"/>
              <w:ind w:left="89"/>
              <w:jc w:val="center"/>
              <w:rPr>
                <w:rFonts w:ascii="Arial Narrow" w:eastAsia="Calibri" w:hAnsi="Arial Narrow" w:cs="Calibri"/>
                <w:sz w:val="20"/>
                <w:szCs w:val="20"/>
              </w:rPr>
            </w:pPr>
            <w:r w:rsidRPr="00430A79">
              <w:rPr>
                <w:rFonts w:ascii="Arial Narrow" w:eastAsia="Calibri" w:hAnsi="Arial Narrow" w:cs="Calibri"/>
                <w:sz w:val="20"/>
                <w:szCs w:val="20"/>
              </w:rPr>
              <w:t>0%</w:t>
            </w:r>
          </w:p>
        </w:tc>
        <w:tc>
          <w:tcPr>
            <w:tcW w:w="719" w:type="pct"/>
            <w:vAlign w:val="center"/>
          </w:tcPr>
          <w:p w14:paraId="158EA7AD"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80%</w:t>
            </w:r>
          </w:p>
        </w:tc>
        <w:tc>
          <w:tcPr>
            <w:tcW w:w="629" w:type="pct"/>
            <w:vAlign w:val="center"/>
          </w:tcPr>
          <w:p w14:paraId="1CC3519F"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2030</w:t>
            </w:r>
          </w:p>
        </w:tc>
      </w:tr>
      <w:tr w:rsidR="0034513D" w:rsidRPr="00430A79" w14:paraId="0FD8B5D5" w14:textId="77777777" w:rsidTr="00D03949">
        <w:trPr>
          <w:trHeight w:val="188"/>
        </w:trPr>
        <w:tc>
          <w:tcPr>
            <w:tcW w:w="1082" w:type="pct"/>
            <w:vMerge/>
            <w:shd w:val="clear" w:color="auto" w:fill="365F91"/>
            <w:vAlign w:val="center"/>
          </w:tcPr>
          <w:p w14:paraId="1ACEB6DC"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0749DD42" w14:textId="77777777" w:rsidR="0034513D" w:rsidRPr="00430A79" w:rsidRDefault="0034513D" w:rsidP="0034513D">
            <w:pPr>
              <w:widowControl w:val="0"/>
              <w:autoSpaceDE w:val="0"/>
              <w:autoSpaceDN w:val="0"/>
              <w:spacing w:before="60" w:after="60"/>
              <w:ind w:left="138" w:right="165"/>
              <w:rPr>
                <w:rFonts w:ascii="Arial Narrow" w:eastAsia="Calibri" w:hAnsi="Arial Narrow" w:cs="Calibri"/>
                <w:sz w:val="20"/>
                <w:szCs w:val="20"/>
              </w:rPr>
            </w:pPr>
          </w:p>
        </w:tc>
        <w:tc>
          <w:tcPr>
            <w:tcW w:w="654" w:type="pct"/>
            <w:vMerge/>
            <w:vAlign w:val="center"/>
          </w:tcPr>
          <w:p w14:paraId="37B9DD75" w14:textId="77777777" w:rsidR="0034513D" w:rsidRPr="00430A79" w:rsidRDefault="0034513D" w:rsidP="0034513D">
            <w:pPr>
              <w:widowControl w:val="0"/>
              <w:autoSpaceDE w:val="0"/>
              <w:autoSpaceDN w:val="0"/>
              <w:spacing w:before="60" w:after="60"/>
              <w:jc w:val="center"/>
              <w:rPr>
                <w:rFonts w:ascii="Arial Narrow" w:eastAsia="Calibri" w:hAnsi="Arial Narrow" w:cs="Calibri"/>
                <w:sz w:val="20"/>
                <w:szCs w:val="20"/>
              </w:rPr>
            </w:pPr>
          </w:p>
        </w:tc>
        <w:tc>
          <w:tcPr>
            <w:tcW w:w="719" w:type="pct"/>
            <w:vAlign w:val="center"/>
          </w:tcPr>
          <w:p w14:paraId="707198FC"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90%</w:t>
            </w:r>
          </w:p>
        </w:tc>
        <w:tc>
          <w:tcPr>
            <w:tcW w:w="629" w:type="pct"/>
            <w:vAlign w:val="center"/>
          </w:tcPr>
          <w:p w14:paraId="5106E053"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2035</w:t>
            </w:r>
          </w:p>
        </w:tc>
      </w:tr>
      <w:tr w:rsidR="0034513D" w:rsidRPr="00430A79" w14:paraId="71E17A53" w14:textId="77777777" w:rsidTr="00D03949">
        <w:trPr>
          <w:trHeight w:val="251"/>
        </w:trPr>
        <w:tc>
          <w:tcPr>
            <w:tcW w:w="1082" w:type="pct"/>
            <w:vMerge/>
            <w:shd w:val="clear" w:color="auto" w:fill="365F91"/>
            <w:vAlign w:val="center"/>
          </w:tcPr>
          <w:p w14:paraId="07C47284"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1669E608" w14:textId="77777777" w:rsidR="0034513D" w:rsidRPr="00430A79" w:rsidRDefault="0034513D" w:rsidP="0034513D">
            <w:pPr>
              <w:widowControl w:val="0"/>
              <w:autoSpaceDE w:val="0"/>
              <w:autoSpaceDN w:val="0"/>
              <w:spacing w:before="60" w:after="60"/>
              <w:ind w:left="138" w:right="165"/>
              <w:rPr>
                <w:rFonts w:ascii="Arial Narrow" w:eastAsia="Calibri" w:hAnsi="Arial Narrow" w:cs="Calibri"/>
                <w:sz w:val="20"/>
                <w:szCs w:val="20"/>
              </w:rPr>
            </w:pPr>
          </w:p>
        </w:tc>
        <w:tc>
          <w:tcPr>
            <w:tcW w:w="654" w:type="pct"/>
            <w:vMerge/>
            <w:vAlign w:val="center"/>
          </w:tcPr>
          <w:p w14:paraId="77AA7D98" w14:textId="77777777" w:rsidR="0034513D" w:rsidRPr="00430A79" w:rsidRDefault="0034513D" w:rsidP="0034513D">
            <w:pPr>
              <w:widowControl w:val="0"/>
              <w:autoSpaceDE w:val="0"/>
              <w:autoSpaceDN w:val="0"/>
              <w:spacing w:before="60" w:after="60"/>
              <w:jc w:val="center"/>
              <w:rPr>
                <w:rFonts w:ascii="Arial Narrow" w:eastAsia="Calibri" w:hAnsi="Arial Narrow" w:cs="Calibri"/>
                <w:sz w:val="20"/>
                <w:szCs w:val="20"/>
              </w:rPr>
            </w:pPr>
          </w:p>
        </w:tc>
        <w:tc>
          <w:tcPr>
            <w:tcW w:w="719" w:type="pct"/>
            <w:vAlign w:val="center"/>
          </w:tcPr>
          <w:p w14:paraId="62A1355D"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100%</w:t>
            </w:r>
          </w:p>
        </w:tc>
        <w:tc>
          <w:tcPr>
            <w:tcW w:w="629" w:type="pct"/>
            <w:shd w:val="clear" w:color="auto" w:fill="auto"/>
            <w:vAlign w:val="center"/>
          </w:tcPr>
          <w:p w14:paraId="5D892872"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2045</w:t>
            </w:r>
          </w:p>
        </w:tc>
      </w:tr>
      <w:tr w:rsidR="0034513D" w:rsidRPr="00430A79" w14:paraId="7CC16B92" w14:textId="77777777" w:rsidTr="00D03949">
        <w:trPr>
          <w:trHeight w:val="98"/>
        </w:trPr>
        <w:tc>
          <w:tcPr>
            <w:tcW w:w="1082" w:type="pct"/>
            <w:vMerge/>
            <w:shd w:val="clear" w:color="auto" w:fill="365F91"/>
            <w:vAlign w:val="center"/>
          </w:tcPr>
          <w:p w14:paraId="721EA4FB"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restart"/>
            <w:vAlign w:val="center"/>
          </w:tcPr>
          <w:p w14:paraId="1CAC2181" w14:textId="00C12A38" w:rsidR="0034513D" w:rsidRPr="00430A79" w:rsidRDefault="0034513D" w:rsidP="0034513D">
            <w:pPr>
              <w:widowControl w:val="0"/>
              <w:autoSpaceDE w:val="0"/>
              <w:autoSpaceDN w:val="0"/>
              <w:spacing w:before="60" w:after="60"/>
              <w:ind w:right="384"/>
              <w:rPr>
                <w:rFonts w:ascii="Arial Narrow" w:eastAsia="Calibri" w:hAnsi="Arial Narrow" w:cs="Calibri"/>
                <w:sz w:val="20"/>
                <w:szCs w:val="20"/>
              </w:rPr>
            </w:pPr>
            <w:r w:rsidRPr="00BE2534">
              <w:rPr>
                <w:rFonts w:ascii="Arial Narrow" w:eastAsia="Calibri" w:hAnsi="Arial Narrow" w:cs="Calibri"/>
                <w:sz w:val="20"/>
                <w:szCs w:val="20"/>
                <w:lang w:val="sq-AL"/>
              </w:rPr>
              <w:t>Rikuperimi i të gjitha mbeturinave të ambalazhit</w:t>
            </w:r>
          </w:p>
        </w:tc>
        <w:tc>
          <w:tcPr>
            <w:tcW w:w="654" w:type="pct"/>
            <w:vMerge w:val="restart"/>
            <w:vAlign w:val="center"/>
          </w:tcPr>
          <w:p w14:paraId="128E1022" w14:textId="77777777" w:rsidR="0034513D" w:rsidRPr="00430A79" w:rsidRDefault="0034513D" w:rsidP="0034513D">
            <w:pPr>
              <w:widowControl w:val="0"/>
              <w:autoSpaceDE w:val="0"/>
              <w:autoSpaceDN w:val="0"/>
              <w:spacing w:before="60" w:after="60"/>
              <w:ind w:left="89"/>
              <w:jc w:val="center"/>
              <w:rPr>
                <w:rFonts w:ascii="Arial Narrow" w:eastAsia="Calibri" w:hAnsi="Arial Narrow" w:cs="Calibri"/>
                <w:sz w:val="20"/>
                <w:szCs w:val="20"/>
              </w:rPr>
            </w:pPr>
            <w:r w:rsidRPr="00430A79">
              <w:rPr>
                <w:rFonts w:ascii="Arial Narrow" w:eastAsia="Calibri" w:hAnsi="Arial Narrow" w:cs="Calibri"/>
                <w:sz w:val="20"/>
                <w:szCs w:val="20"/>
              </w:rPr>
              <w:t>&lt;</w:t>
            </w:r>
            <w:r w:rsidRPr="00430A79">
              <w:rPr>
                <w:rFonts w:ascii="Arial Narrow" w:eastAsia="Calibri" w:hAnsi="Arial Narrow" w:cs="Calibri"/>
                <w:spacing w:val="-1"/>
                <w:sz w:val="20"/>
                <w:szCs w:val="20"/>
              </w:rPr>
              <w:t xml:space="preserve"> </w:t>
            </w:r>
            <w:r w:rsidRPr="00430A79">
              <w:rPr>
                <w:rFonts w:ascii="Arial Narrow" w:eastAsia="Calibri" w:hAnsi="Arial Narrow" w:cs="Calibri"/>
                <w:sz w:val="20"/>
                <w:szCs w:val="20"/>
              </w:rPr>
              <w:t>5%</w:t>
            </w:r>
          </w:p>
        </w:tc>
        <w:tc>
          <w:tcPr>
            <w:tcW w:w="719" w:type="pct"/>
            <w:vAlign w:val="center"/>
          </w:tcPr>
          <w:p w14:paraId="6F0D99A7"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45%</w:t>
            </w:r>
          </w:p>
        </w:tc>
        <w:tc>
          <w:tcPr>
            <w:tcW w:w="629" w:type="pct"/>
            <w:vAlign w:val="center"/>
          </w:tcPr>
          <w:p w14:paraId="77CC896F"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2028</w:t>
            </w:r>
          </w:p>
        </w:tc>
      </w:tr>
      <w:tr w:rsidR="0034513D" w:rsidRPr="00430A79" w14:paraId="215E7733" w14:textId="77777777" w:rsidTr="00D03949">
        <w:trPr>
          <w:trHeight w:val="60"/>
        </w:trPr>
        <w:tc>
          <w:tcPr>
            <w:tcW w:w="1082" w:type="pct"/>
            <w:vMerge/>
            <w:shd w:val="clear" w:color="auto" w:fill="365F91"/>
            <w:vAlign w:val="center"/>
          </w:tcPr>
          <w:p w14:paraId="2348B0CF"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36B3B6EA" w14:textId="77777777" w:rsidR="0034513D" w:rsidRPr="00430A79" w:rsidRDefault="0034513D" w:rsidP="0034513D">
            <w:pPr>
              <w:widowControl w:val="0"/>
              <w:autoSpaceDE w:val="0"/>
              <w:autoSpaceDN w:val="0"/>
              <w:spacing w:before="60" w:after="60"/>
              <w:ind w:left="138" w:right="384"/>
              <w:rPr>
                <w:rFonts w:ascii="Arial Narrow" w:eastAsia="Calibri" w:hAnsi="Arial Narrow" w:cs="Calibri"/>
                <w:sz w:val="20"/>
                <w:szCs w:val="20"/>
              </w:rPr>
            </w:pPr>
          </w:p>
        </w:tc>
        <w:tc>
          <w:tcPr>
            <w:tcW w:w="654" w:type="pct"/>
            <w:vMerge/>
            <w:vAlign w:val="center"/>
          </w:tcPr>
          <w:p w14:paraId="277CEDF3" w14:textId="77777777" w:rsidR="0034513D" w:rsidRPr="00430A79" w:rsidRDefault="0034513D" w:rsidP="0034513D">
            <w:pPr>
              <w:widowControl w:val="0"/>
              <w:autoSpaceDE w:val="0"/>
              <w:autoSpaceDN w:val="0"/>
              <w:spacing w:before="60" w:after="60"/>
              <w:ind w:left="89"/>
              <w:jc w:val="center"/>
              <w:rPr>
                <w:rFonts w:ascii="Arial Narrow" w:eastAsia="Calibri" w:hAnsi="Arial Narrow" w:cs="Calibri"/>
                <w:sz w:val="20"/>
                <w:szCs w:val="20"/>
              </w:rPr>
            </w:pPr>
          </w:p>
        </w:tc>
        <w:tc>
          <w:tcPr>
            <w:tcW w:w="719" w:type="pct"/>
            <w:vAlign w:val="center"/>
          </w:tcPr>
          <w:p w14:paraId="7EC14CEE"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60%</w:t>
            </w:r>
          </w:p>
        </w:tc>
        <w:tc>
          <w:tcPr>
            <w:tcW w:w="629" w:type="pct"/>
            <w:vAlign w:val="center"/>
          </w:tcPr>
          <w:p w14:paraId="58B13581"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2030</w:t>
            </w:r>
          </w:p>
        </w:tc>
      </w:tr>
      <w:tr w:rsidR="0034513D" w:rsidRPr="00430A79" w14:paraId="356D4045" w14:textId="77777777" w:rsidTr="00D03949">
        <w:trPr>
          <w:trHeight w:val="80"/>
        </w:trPr>
        <w:tc>
          <w:tcPr>
            <w:tcW w:w="1082" w:type="pct"/>
            <w:vMerge/>
            <w:shd w:val="clear" w:color="auto" w:fill="365F91"/>
            <w:vAlign w:val="center"/>
          </w:tcPr>
          <w:p w14:paraId="400F9121"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303F8245" w14:textId="77777777" w:rsidR="0034513D" w:rsidRPr="00430A79" w:rsidRDefault="0034513D" w:rsidP="0034513D">
            <w:pPr>
              <w:widowControl w:val="0"/>
              <w:autoSpaceDE w:val="0"/>
              <w:autoSpaceDN w:val="0"/>
              <w:spacing w:before="60" w:after="60"/>
              <w:ind w:left="138" w:right="384"/>
              <w:rPr>
                <w:rFonts w:ascii="Arial Narrow" w:eastAsia="Calibri" w:hAnsi="Arial Narrow" w:cs="Calibri"/>
                <w:sz w:val="20"/>
                <w:szCs w:val="20"/>
              </w:rPr>
            </w:pPr>
          </w:p>
        </w:tc>
        <w:tc>
          <w:tcPr>
            <w:tcW w:w="654" w:type="pct"/>
            <w:vMerge/>
            <w:vAlign w:val="center"/>
          </w:tcPr>
          <w:p w14:paraId="0F755E65" w14:textId="77777777" w:rsidR="0034513D" w:rsidRPr="00430A79" w:rsidRDefault="0034513D" w:rsidP="0034513D">
            <w:pPr>
              <w:widowControl w:val="0"/>
              <w:autoSpaceDE w:val="0"/>
              <w:autoSpaceDN w:val="0"/>
              <w:spacing w:before="60" w:after="60"/>
              <w:ind w:left="89"/>
              <w:jc w:val="center"/>
              <w:rPr>
                <w:rFonts w:ascii="Arial Narrow" w:eastAsia="Calibri" w:hAnsi="Arial Narrow" w:cs="Calibri"/>
                <w:sz w:val="20"/>
                <w:szCs w:val="20"/>
              </w:rPr>
            </w:pPr>
          </w:p>
        </w:tc>
        <w:tc>
          <w:tcPr>
            <w:tcW w:w="719" w:type="pct"/>
            <w:vAlign w:val="center"/>
          </w:tcPr>
          <w:p w14:paraId="24B30D8D"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70%</w:t>
            </w:r>
          </w:p>
        </w:tc>
        <w:tc>
          <w:tcPr>
            <w:tcW w:w="629" w:type="pct"/>
            <w:vAlign w:val="center"/>
          </w:tcPr>
          <w:p w14:paraId="041BB14B"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2035</w:t>
            </w:r>
          </w:p>
        </w:tc>
      </w:tr>
      <w:tr w:rsidR="0034513D" w:rsidRPr="00430A79" w14:paraId="7B82E48F" w14:textId="77777777" w:rsidTr="00D03949">
        <w:trPr>
          <w:trHeight w:val="224"/>
        </w:trPr>
        <w:tc>
          <w:tcPr>
            <w:tcW w:w="1082" w:type="pct"/>
            <w:vMerge/>
            <w:shd w:val="clear" w:color="auto" w:fill="365F91"/>
            <w:vAlign w:val="center"/>
          </w:tcPr>
          <w:p w14:paraId="3B476F7B"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Align w:val="center"/>
          </w:tcPr>
          <w:p w14:paraId="3E8CA869" w14:textId="19ACE457" w:rsidR="0034513D" w:rsidRPr="00430A79" w:rsidRDefault="0034513D" w:rsidP="0034513D">
            <w:pPr>
              <w:rPr>
                <w:rFonts w:ascii="Arial Narrow" w:eastAsia="Calibri" w:hAnsi="Arial Narrow" w:cs="Arial"/>
                <w:sz w:val="20"/>
                <w:szCs w:val="20"/>
              </w:rPr>
            </w:pPr>
            <w:r w:rsidRPr="00BE2534">
              <w:rPr>
                <w:rFonts w:ascii="Arial Narrow" w:eastAsia="Calibri" w:hAnsi="Arial Narrow" w:cs="Arial"/>
                <w:sz w:val="20"/>
                <w:szCs w:val="20"/>
                <w:lang w:val="sq-AL"/>
              </w:rPr>
              <w:t>Riciklimi i të gjitha mbeturinave të ambalazhit, përfshirë:</w:t>
            </w:r>
          </w:p>
        </w:tc>
        <w:tc>
          <w:tcPr>
            <w:tcW w:w="654" w:type="pct"/>
            <w:vAlign w:val="center"/>
          </w:tcPr>
          <w:p w14:paraId="35259F1C" w14:textId="77777777" w:rsidR="0034513D" w:rsidRPr="00430A79" w:rsidRDefault="0034513D" w:rsidP="0034513D">
            <w:pPr>
              <w:widowControl w:val="0"/>
              <w:autoSpaceDE w:val="0"/>
              <w:autoSpaceDN w:val="0"/>
              <w:spacing w:before="60" w:after="60"/>
              <w:ind w:left="89"/>
              <w:jc w:val="center"/>
              <w:rPr>
                <w:rFonts w:ascii="Arial Narrow" w:eastAsia="Calibri" w:hAnsi="Arial Narrow" w:cs="Calibri"/>
                <w:sz w:val="20"/>
                <w:szCs w:val="20"/>
              </w:rPr>
            </w:pPr>
          </w:p>
        </w:tc>
        <w:tc>
          <w:tcPr>
            <w:tcW w:w="719" w:type="pct"/>
            <w:vAlign w:val="center"/>
          </w:tcPr>
          <w:p w14:paraId="7F55BC46" w14:textId="77777777" w:rsidR="0034513D" w:rsidRPr="00430A79" w:rsidRDefault="0034513D" w:rsidP="0034513D">
            <w:pPr>
              <w:spacing w:before="60" w:after="60"/>
              <w:jc w:val="center"/>
              <w:rPr>
                <w:rFonts w:ascii="Arial Narrow" w:eastAsia="Calibri" w:hAnsi="Arial Narrow" w:cs="Calibri"/>
                <w:sz w:val="20"/>
                <w:szCs w:val="20"/>
              </w:rPr>
            </w:pPr>
          </w:p>
        </w:tc>
        <w:tc>
          <w:tcPr>
            <w:tcW w:w="629" w:type="pct"/>
            <w:vAlign w:val="center"/>
          </w:tcPr>
          <w:p w14:paraId="1724D819" w14:textId="77777777" w:rsidR="0034513D" w:rsidRPr="00430A79" w:rsidRDefault="0034513D" w:rsidP="0034513D">
            <w:pPr>
              <w:spacing w:before="60" w:after="60"/>
              <w:jc w:val="right"/>
              <w:rPr>
                <w:rFonts w:ascii="Arial Narrow" w:eastAsia="Calibri" w:hAnsi="Arial Narrow" w:cs="Calibri"/>
                <w:sz w:val="20"/>
                <w:szCs w:val="20"/>
              </w:rPr>
            </w:pPr>
          </w:p>
        </w:tc>
      </w:tr>
      <w:tr w:rsidR="0034513D" w:rsidRPr="00430A79" w14:paraId="0140C299" w14:textId="77777777" w:rsidTr="00D03949">
        <w:trPr>
          <w:trHeight w:val="60"/>
        </w:trPr>
        <w:tc>
          <w:tcPr>
            <w:tcW w:w="1082" w:type="pct"/>
            <w:vMerge/>
            <w:shd w:val="clear" w:color="auto" w:fill="365F91"/>
            <w:vAlign w:val="center"/>
          </w:tcPr>
          <w:p w14:paraId="67874BF7"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restart"/>
            <w:vAlign w:val="center"/>
          </w:tcPr>
          <w:p w14:paraId="4C7A330C" w14:textId="3074BE41" w:rsidR="0034513D" w:rsidRPr="00430A79" w:rsidRDefault="0034513D" w:rsidP="0034513D">
            <w:pPr>
              <w:widowControl w:val="0"/>
              <w:autoSpaceDE w:val="0"/>
              <w:autoSpaceDN w:val="0"/>
              <w:spacing w:before="60" w:after="60"/>
              <w:ind w:left="138" w:right="106"/>
              <w:jc w:val="right"/>
              <w:rPr>
                <w:rFonts w:ascii="Arial Narrow" w:eastAsia="Calibri" w:hAnsi="Arial Narrow" w:cs="Calibri"/>
                <w:i/>
                <w:iCs/>
                <w:sz w:val="20"/>
                <w:szCs w:val="20"/>
              </w:rPr>
            </w:pPr>
            <w:r w:rsidRPr="00BE2534">
              <w:rPr>
                <w:rFonts w:ascii="Arial Narrow" w:hAnsi="Arial Narrow" w:cs="Calibri"/>
                <w:i/>
                <w:iCs/>
                <w:sz w:val="20"/>
                <w:szCs w:val="20"/>
                <w:lang w:val="sq-AL"/>
              </w:rPr>
              <w:t>Plastikë</w:t>
            </w:r>
          </w:p>
        </w:tc>
        <w:tc>
          <w:tcPr>
            <w:tcW w:w="654" w:type="pct"/>
            <w:vMerge w:val="restart"/>
            <w:vAlign w:val="center"/>
          </w:tcPr>
          <w:p w14:paraId="070537EB" w14:textId="77777777" w:rsidR="0034513D" w:rsidRPr="00430A79" w:rsidRDefault="0034513D" w:rsidP="0034513D">
            <w:pPr>
              <w:widowControl w:val="0"/>
              <w:autoSpaceDE w:val="0"/>
              <w:autoSpaceDN w:val="0"/>
              <w:spacing w:before="60" w:after="60"/>
              <w:ind w:left="89"/>
              <w:jc w:val="center"/>
              <w:rPr>
                <w:rFonts w:ascii="Arial Narrow" w:eastAsia="Calibri" w:hAnsi="Arial Narrow" w:cs="Calibri"/>
                <w:sz w:val="20"/>
                <w:szCs w:val="20"/>
              </w:rPr>
            </w:pPr>
            <w:r w:rsidRPr="00430A79">
              <w:rPr>
                <w:rFonts w:ascii="Arial Narrow" w:eastAsia="Calibri" w:hAnsi="Arial Narrow" w:cs="Calibri"/>
                <w:sz w:val="20"/>
                <w:szCs w:val="20"/>
              </w:rPr>
              <w:t>&lt;</w:t>
            </w:r>
            <w:r w:rsidRPr="00430A79">
              <w:rPr>
                <w:rFonts w:ascii="Arial Narrow" w:eastAsia="Calibri" w:hAnsi="Arial Narrow" w:cs="Calibri"/>
                <w:spacing w:val="-1"/>
                <w:sz w:val="20"/>
                <w:szCs w:val="20"/>
              </w:rPr>
              <w:t xml:space="preserve"> </w:t>
            </w:r>
            <w:r w:rsidRPr="00430A79">
              <w:rPr>
                <w:rFonts w:ascii="Arial Narrow" w:eastAsia="Calibri" w:hAnsi="Arial Narrow" w:cs="Calibri"/>
                <w:sz w:val="20"/>
                <w:szCs w:val="20"/>
              </w:rPr>
              <w:t>5%</w:t>
            </w:r>
          </w:p>
        </w:tc>
        <w:tc>
          <w:tcPr>
            <w:tcW w:w="719" w:type="pct"/>
          </w:tcPr>
          <w:p w14:paraId="6E3EDCB4"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22.5%</w:t>
            </w:r>
          </w:p>
        </w:tc>
        <w:tc>
          <w:tcPr>
            <w:tcW w:w="629" w:type="pct"/>
            <w:vAlign w:val="center"/>
          </w:tcPr>
          <w:p w14:paraId="7CA5D747"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2028</w:t>
            </w:r>
          </w:p>
        </w:tc>
      </w:tr>
      <w:tr w:rsidR="0034513D" w:rsidRPr="00430A79" w14:paraId="227F758A" w14:textId="77777777" w:rsidTr="00D03949">
        <w:trPr>
          <w:trHeight w:val="60"/>
        </w:trPr>
        <w:tc>
          <w:tcPr>
            <w:tcW w:w="1082" w:type="pct"/>
            <w:vMerge/>
            <w:shd w:val="clear" w:color="auto" w:fill="365F91"/>
            <w:vAlign w:val="center"/>
          </w:tcPr>
          <w:p w14:paraId="2C76082D"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472480B6" w14:textId="77777777" w:rsidR="0034513D" w:rsidRPr="00430A79" w:rsidRDefault="0034513D" w:rsidP="0034513D">
            <w:pPr>
              <w:widowControl w:val="0"/>
              <w:autoSpaceDE w:val="0"/>
              <w:autoSpaceDN w:val="0"/>
              <w:spacing w:before="60" w:after="60"/>
              <w:ind w:left="138" w:right="106"/>
              <w:jc w:val="center"/>
              <w:rPr>
                <w:rFonts w:ascii="Arial Narrow" w:hAnsi="Arial Narrow" w:cs="Calibri"/>
                <w:i/>
                <w:iCs/>
                <w:sz w:val="20"/>
                <w:szCs w:val="20"/>
              </w:rPr>
            </w:pPr>
          </w:p>
        </w:tc>
        <w:tc>
          <w:tcPr>
            <w:tcW w:w="654" w:type="pct"/>
            <w:vMerge/>
            <w:vAlign w:val="center"/>
          </w:tcPr>
          <w:p w14:paraId="5E6AADB4" w14:textId="77777777" w:rsidR="0034513D" w:rsidRPr="00430A79" w:rsidRDefault="0034513D" w:rsidP="0034513D">
            <w:pPr>
              <w:widowControl w:val="0"/>
              <w:autoSpaceDE w:val="0"/>
              <w:autoSpaceDN w:val="0"/>
              <w:spacing w:before="60" w:after="60"/>
              <w:ind w:left="89"/>
              <w:jc w:val="center"/>
              <w:rPr>
                <w:rFonts w:ascii="Arial Narrow" w:eastAsia="Calibri" w:hAnsi="Arial Narrow" w:cs="Calibri"/>
                <w:sz w:val="20"/>
                <w:szCs w:val="20"/>
              </w:rPr>
            </w:pPr>
          </w:p>
        </w:tc>
        <w:tc>
          <w:tcPr>
            <w:tcW w:w="719" w:type="pct"/>
          </w:tcPr>
          <w:p w14:paraId="3D96C3FB"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30%</w:t>
            </w:r>
          </w:p>
        </w:tc>
        <w:tc>
          <w:tcPr>
            <w:tcW w:w="629" w:type="pct"/>
            <w:vAlign w:val="center"/>
          </w:tcPr>
          <w:p w14:paraId="5BE95C1C"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2030</w:t>
            </w:r>
          </w:p>
        </w:tc>
      </w:tr>
      <w:tr w:rsidR="0034513D" w:rsidRPr="00430A79" w14:paraId="7BAA6B71" w14:textId="77777777" w:rsidTr="00D03949">
        <w:trPr>
          <w:trHeight w:val="60"/>
        </w:trPr>
        <w:tc>
          <w:tcPr>
            <w:tcW w:w="1082" w:type="pct"/>
            <w:vMerge/>
            <w:shd w:val="clear" w:color="auto" w:fill="365F91"/>
            <w:vAlign w:val="center"/>
          </w:tcPr>
          <w:p w14:paraId="0ECD0108"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69AD57D6" w14:textId="77777777" w:rsidR="0034513D" w:rsidRPr="00430A79" w:rsidRDefault="0034513D" w:rsidP="0034513D">
            <w:pPr>
              <w:widowControl w:val="0"/>
              <w:autoSpaceDE w:val="0"/>
              <w:autoSpaceDN w:val="0"/>
              <w:spacing w:before="60" w:after="60"/>
              <w:ind w:left="138" w:right="106"/>
              <w:jc w:val="center"/>
              <w:rPr>
                <w:rFonts w:ascii="Arial Narrow" w:hAnsi="Arial Narrow" w:cs="Calibri"/>
                <w:i/>
                <w:iCs/>
                <w:sz w:val="20"/>
                <w:szCs w:val="20"/>
              </w:rPr>
            </w:pPr>
          </w:p>
        </w:tc>
        <w:tc>
          <w:tcPr>
            <w:tcW w:w="654" w:type="pct"/>
            <w:vMerge/>
            <w:vAlign w:val="center"/>
          </w:tcPr>
          <w:p w14:paraId="3A0F94F8" w14:textId="77777777" w:rsidR="0034513D" w:rsidRPr="00430A79" w:rsidRDefault="0034513D" w:rsidP="0034513D">
            <w:pPr>
              <w:widowControl w:val="0"/>
              <w:autoSpaceDE w:val="0"/>
              <w:autoSpaceDN w:val="0"/>
              <w:spacing w:before="60" w:after="60"/>
              <w:ind w:left="89"/>
              <w:jc w:val="center"/>
              <w:rPr>
                <w:rFonts w:ascii="Arial Narrow" w:eastAsia="Calibri" w:hAnsi="Arial Narrow" w:cs="Calibri"/>
                <w:sz w:val="20"/>
                <w:szCs w:val="20"/>
              </w:rPr>
            </w:pPr>
          </w:p>
        </w:tc>
        <w:tc>
          <w:tcPr>
            <w:tcW w:w="719" w:type="pct"/>
          </w:tcPr>
          <w:p w14:paraId="02D2BAF9"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50%</w:t>
            </w:r>
          </w:p>
        </w:tc>
        <w:tc>
          <w:tcPr>
            <w:tcW w:w="629" w:type="pct"/>
            <w:vAlign w:val="center"/>
          </w:tcPr>
          <w:p w14:paraId="695BA3DE"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2035</w:t>
            </w:r>
          </w:p>
        </w:tc>
      </w:tr>
      <w:tr w:rsidR="0034513D" w:rsidRPr="00430A79" w14:paraId="697FC9B9" w14:textId="77777777" w:rsidTr="00D03949">
        <w:trPr>
          <w:trHeight w:val="60"/>
        </w:trPr>
        <w:tc>
          <w:tcPr>
            <w:tcW w:w="1082" w:type="pct"/>
            <w:vMerge/>
            <w:shd w:val="clear" w:color="auto" w:fill="365F91"/>
            <w:vAlign w:val="center"/>
          </w:tcPr>
          <w:p w14:paraId="53E8BF31"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restart"/>
            <w:vAlign w:val="center"/>
          </w:tcPr>
          <w:p w14:paraId="22FB9F6E" w14:textId="45EAE395" w:rsidR="0034513D" w:rsidRPr="00430A79" w:rsidRDefault="0034513D" w:rsidP="0034513D">
            <w:pPr>
              <w:widowControl w:val="0"/>
              <w:autoSpaceDE w:val="0"/>
              <w:autoSpaceDN w:val="0"/>
              <w:spacing w:before="60" w:after="60"/>
              <w:ind w:left="138" w:right="264"/>
              <w:jc w:val="right"/>
              <w:rPr>
                <w:rFonts w:ascii="Arial Narrow" w:eastAsia="Calibri" w:hAnsi="Arial Narrow" w:cs="Calibri"/>
                <w:i/>
                <w:iCs/>
                <w:sz w:val="20"/>
                <w:szCs w:val="20"/>
              </w:rPr>
            </w:pPr>
            <w:r w:rsidRPr="00BE2534">
              <w:rPr>
                <w:rFonts w:ascii="Arial Narrow" w:hAnsi="Arial Narrow" w:cs="Calibri"/>
                <w:i/>
                <w:iCs/>
                <w:sz w:val="20"/>
                <w:szCs w:val="20"/>
                <w:lang w:val="sq-AL"/>
              </w:rPr>
              <w:t>Letër dhe karton</w:t>
            </w:r>
          </w:p>
        </w:tc>
        <w:tc>
          <w:tcPr>
            <w:tcW w:w="654" w:type="pct"/>
            <w:vMerge w:val="restart"/>
            <w:vAlign w:val="center"/>
          </w:tcPr>
          <w:p w14:paraId="2A2016A1" w14:textId="77777777" w:rsidR="0034513D" w:rsidRPr="00430A79" w:rsidRDefault="0034513D" w:rsidP="0034513D">
            <w:pPr>
              <w:widowControl w:val="0"/>
              <w:autoSpaceDE w:val="0"/>
              <w:autoSpaceDN w:val="0"/>
              <w:spacing w:before="60" w:after="60"/>
              <w:ind w:left="89"/>
              <w:jc w:val="center"/>
              <w:rPr>
                <w:rFonts w:ascii="Arial Narrow" w:eastAsia="Calibri" w:hAnsi="Arial Narrow" w:cs="Calibri"/>
                <w:sz w:val="20"/>
                <w:szCs w:val="20"/>
              </w:rPr>
            </w:pPr>
            <w:r w:rsidRPr="00430A79">
              <w:rPr>
                <w:rFonts w:ascii="Arial Narrow" w:eastAsia="Calibri" w:hAnsi="Arial Narrow" w:cs="Calibri"/>
                <w:sz w:val="20"/>
                <w:szCs w:val="20"/>
              </w:rPr>
              <w:t>&lt;</w:t>
            </w:r>
            <w:r w:rsidRPr="00430A79">
              <w:rPr>
                <w:rFonts w:ascii="Arial Narrow" w:eastAsia="Calibri" w:hAnsi="Arial Narrow" w:cs="Calibri"/>
                <w:spacing w:val="-1"/>
                <w:sz w:val="20"/>
                <w:szCs w:val="20"/>
              </w:rPr>
              <w:t xml:space="preserve"> </w:t>
            </w:r>
            <w:r w:rsidRPr="00430A79">
              <w:rPr>
                <w:rFonts w:ascii="Arial Narrow" w:eastAsia="Calibri" w:hAnsi="Arial Narrow" w:cs="Calibri"/>
                <w:sz w:val="20"/>
                <w:szCs w:val="20"/>
              </w:rPr>
              <w:t>5%</w:t>
            </w:r>
          </w:p>
        </w:tc>
        <w:tc>
          <w:tcPr>
            <w:tcW w:w="719" w:type="pct"/>
          </w:tcPr>
          <w:p w14:paraId="2C10E5E6"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60%</w:t>
            </w:r>
          </w:p>
        </w:tc>
        <w:tc>
          <w:tcPr>
            <w:tcW w:w="629" w:type="pct"/>
            <w:vAlign w:val="center"/>
          </w:tcPr>
          <w:p w14:paraId="1F506001"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2028</w:t>
            </w:r>
          </w:p>
        </w:tc>
      </w:tr>
      <w:tr w:rsidR="0034513D" w:rsidRPr="00430A79" w14:paraId="0E2CFF24" w14:textId="77777777" w:rsidTr="00D03949">
        <w:trPr>
          <w:trHeight w:val="60"/>
        </w:trPr>
        <w:tc>
          <w:tcPr>
            <w:tcW w:w="1082" w:type="pct"/>
            <w:vMerge/>
            <w:shd w:val="clear" w:color="auto" w:fill="365F91"/>
            <w:vAlign w:val="center"/>
          </w:tcPr>
          <w:p w14:paraId="666AA35C"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2409E281" w14:textId="77777777" w:rsidR="0034513D" w:rsidRPr="00430A79" w:rsidRDefault="0034513D" w:rsidP="0034513D">
            <w:pPr>
              <w:widowControl w:val="0"/>
              <w:autoSpaceDE w:val="0"/>
              <w:autoSpaceDN w:val="0"/>
              <w:spacing w:before="60" w:after="60"/>
              <w:ind w:left="138" w:right="264"/>
              <w:jc w:val="right"/>
              <w:rPr>
                <w:rFonts w:ascii="Arial Narrow" w:hAnsi="Arial Narrow" w:cs="Calibri"/>
                <w:i/>
                <w:iCs/>
                <w:sz w:val="20"/>
                <w:szCs w:val="20"/>
              </w:rPr>
            </w:pPr>
          </w:p>
        </w:tc>
        <w:tc>
          <w:tcPr>
            <w:tcW w:w="654" w:type="pct"/>
            <w:vMerge/>
            <w:vAlign w:val="center"/>
          </w:tcPr>
          <w:p w14:paraId="2A433FCA" w14:textId="77777777" w:rsidR="0034513D" w:rsidRPr="00430A79" w:rsidRDefault="0034513D" w:rsidP="0034513D">
            <w:pPr>
              <w:widowControl w:val="0"/>
              <w:autoSpaceDE w:val="0"/>
              <w:autoSpaceDN w:val="0"/>
              <w:spacing w:before="60" w:after="60"/>
              <w:ind w:left="89"/>
              <w:jc w:val="center"/>
              <w:rPr>
                <w:rFonts w:ascii="Arial Narrow" w:eastAsia="Calibri" w:hAnsi="Arial Narrow" w:cs="Calibri"/>
                <w:sz w:val="20"/>
                <w:szCs w:val="20"/>
              </w:rPr>
            </w:pPr>
          </w:p>
        </w:tc>
        <w:tc>
          <w:tcPr>
            <w:tcW w:w="719" w:type="pct"/>
          </w:tcPr>
          <w:p w14:paraId="70F2E273"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70%</w:t>
            </w:r>
          </w:p>
        </w:tc>
        <w:tc>
          <w:tcPr>
            <w:tcW w:w="629" w:type="pct"/>
            <w:vAlign w:val="center"/>
          </w:tcPr>
          <w:p w14:paraId="30E64D37"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2030</w:t>
            </w:r>
          </w:p>
        </w:tc>
      </w:tr>
      <w:tr w:rsidR="0034513D" w:rsidRPr="00430A79" w14:paraId="4D297894" w14:textId="77777777" w:rsidTr="00D03949">
        <w:trPr>
          <w:trHeight w:val="60"/>
        </w:trPr>
        <w:tc>
          <w:tcPr>
            <w:tcW w:w="1082" w:type="pct"/>
            <w:vMerge/>
            <w:shd w:val="clear" w:color="auto" w:fill="365F91"/>
            <w:vAlign w:val="center"/>
          </w:tcPr>
          <w:p w14:paraId="6F44B87B"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3A662D90" w14:textId="77777777" w:rsidR="0034513D" w:rsidRPr="00430A79" w:rsidRDefault="0034513D" w:rsidP="0034513D">
            <w:pPr>
              <w:widowControl w:val="0"/>
              <w:autoSpaceDE w:val="0"/>
              <w:autoSpaceDN w:val="0"/>
              <w:spacing w:before="60" w:after="60"/>
              <w:ind w:left="138" w:right="264"/>
              <w:jc w:val="right"/>
              <w:rPr>
                <w:rFonts w:ascii="Arial Narrow" w:hAnsi="Arial Narrow" w:cs="Calibri"/>
                <w:i/>
                <w:iCs/>
                <w:sz w:val="20"/>
                <w:szCs w:val="20"/>
              </w:rPr>
            </w:pPr>
          </w:p>
        </w:tc>
        <w:tc>
          <w:tcPr>
            <w:tcW w:w="654" w:type="pct"/>
            <w:vMerge/>
            <w:vAlign w:val="center"/>
          </w:tcPr>
          <w:p w14:paraId="7CEEAFEC" w14:textId="77777777" w:rsidR="0034513D" w:rsidRPr="00430A79" w:rsidRDefault="0034513D" w:rsidP="0034513D">
            <w:pPr>
              <w:widowControl w:val="0"/>
              <w:autoSpaceDE w:val="0"/>
              <w:autoSpaceDN w:val="0"/>
              <w:spacing w:before="60" w:after="60"/>
              <w:ind w:left="89"/>
              <w:jc w:val="center"/>
              <w:rPr>
                <w:rFonts w:ascii="Arial Narrow" w:eastAsia="Calibri" w:hAnsi="Arial Narrow" w:cs="Calibri"/>
                <w:sz w:val="20"/>
                <w:szCs w:val="20"/>
              </w:rPr>
            </w:pPr>
          </w:p>
        </w:tc>
        <w:tc>
          <w:tcPr>
            <w:tcW w:w="719" w:type="pct"/>
          </w:tcPr>
          <w:p w14:paraId="6BDFDCEE"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75%</w:t>
            </w:r>
          </w:p>
        </w:tc>
        <w:tc>
          <w:tcPr>
            <w:tcW w:w="629" w:type="pct"/>
            <w:vAlign w:val="center"/>
          </w:tcPr>
          <w:p w14:paraId="062B7B65"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2035</w:t>
            </w:r>
          </w:p>
        </w:tc>
      </w:tr>
      <w:tr w:rsidR="0034513D" w:rsidRPr="00430A79" w14:paraId="1ECCDF80" w14:textId="77777777" w:rsidTr="00D03949">
        <w:trPr>
          <w:trHeight w:val="60"/>
        </w:trPr>
        <w:tc>
          <w:tcPr>
            <w:tcW w:w="1082" w:type="pct"/>
            <w:vMerge/>
            <w:shd w:val="clear" w:color="auto" w:fill="365F91"/>
            <w:vAlign w:val="center"/>
          </w:tcPr>
          <w:p w14:paraId="4B03AA05"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restart"/>
            <w:vAlign w:val="center"/>
          </w:tcPr>
          <w:p w14:paraId="669E5D01" w14:textId="5B8F40F5" w:rsidR="0034513D" w:rsidRPr="00430A79" w:rsidRDefault="0034513D" w:rsidP="0034513D">
            <w:pPr>
              <w:widowControl w:val="0"/>
              <w:autoSpaceDE w:val="0"/>
              <w:autoSpaceDN w:val="0"/>
              <w:spacing w:before="60" w:after="60"/>
              <w:ind w:left="138" w:right="264"/>
              <w:jc w:val="right"/>
              <w:rPr>
                <w:rFonts w:ascii="Arial Narrow" w:eastAsia="Calibri" w:hAnsi="Arial Narrow" w:cs="Calibri"/>
                <w:i/>
                <w:iCs/>
                <w:sz w:val="20"/>
                <w:szCs w:val="20"/>
              </w:rPr>
            </w:pPr>
            <w:r w:rsidRPr="00BE2534">
              <w:rPr>
                <w:rFonts w:ascii="Arial Narrow" w:hAnsi="Arial Narrow" w:cs="Calibri"/>
                <w:i/>
                <w:iCs/>
                <w:sz w:val="20"/>
                <w:szCs w:val="20"/>
                <w:lang w:val="sq-AL"/>
              </w:rPr>
              <w:t>Qelq</w:t>
            </w:r>
          </w:p>
        </w:tc>
        <w:tc>
          <w:tcPr>
            <w:tcW w:w="654" w:type="pct"/>
            <w:vMerge w:val="restart"/>
            <w:vAlign w:val="center"/>
          </w:tcPr>
          <w:p w14:paraId="6462CB60" w14:textId="77777777" w:rsidR="0034513D" w:rsidRPr="00430A79" w:rsidRDefault="0034513D" w:rsidP="0034513D">
            <w:pPr>
              <w:widowControl w:val="0"/>
              <w:autoSpaceDE w:val="0"/>
              <w:autoSpaceDN w:val="0"/>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&lt;</w:t>
            </w:r>
            <w:r w:rsidRPr="00430A79">
              <w:rPr>
                <w:rFonts w:ascii="Arial Narrow" w:eastAsia="Calibri" w:hAnsi="Arial Narrow" w:cs="Calibri"/>
                <w:spacing w:val="-1"/>
                <w:sz w:val="20"/>
                <w:szCs w:val="20"/>
              </w:rPr>
              <w:t xml:space="preserve"> </w:t>
            </w:r>
            <w:r w:rsidRPr="00430A79">
              <w:rPr>
                <w:rFonts w:ascii="Arial Narrow" w:eastAsia="Calibri" w:hAnsi="Arial Narrow" w:cs="Calibri"/>
                <w:sz w:val="20"/>
                <w:szCs w:val="20"/>
              </w:rPr>
              <w:t>5%</w:t>
            </w:r>
          </w:p>
        </w:tc>
        <w:tc>
          <w:tcPr>
            <w:tcW w:w="719" w:type="pct"/>
            <w:vAlign w:val="center"/>
          </w:tcPr>
          <w:p w14:paraId="3D20FDD0"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30%</w:t>
            </w:r>
          </w:p>
        </w:tc>
        <w:tc>
          <w:tcPr>
            <w:tcW w:w="629" w:type="pct"/>
            <w:vAlign w:val="center"/>
          </w:tcPr>
          <w:p w14:paraId="35B5E988"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2028</w:t>
            </w:r>
          </w:p>
        </w:tc>
      </w:tr>
      <w:tr w:rsidR="0034513D" w:rsidRPr="00430A79" w14:paraId="0BACD902" w14:textId="77777777" w:rsidTr="00D03949">
        <w:trPr>
          <w:trHeight w:val="60"/>
        </w:trPr>
        <w:tc>
          <w:tcPr>
            <w:tcW w:w="1082" w:type="pct"/>
            <w:vMerge/>
            <w:shd w:val="clear" w:color="auto" w:fill="365F91"/>
            <w:vAlign w:val="center"/>
          </w:tcPr>
          <w:p w14:paraId="34A6E3DA"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017FFE70" w14:textId="77777777" w:rsidR="0034513D" w:rsidRPr="00430A79" w:rsidRDefault="0034513D" w:rsidP="0034513D">
            <w:pPr>
              <w:widowControl w:val="0"/>
              <w:autoSpaceDE w:val="0"/>
              <w:autoSpaceDN w:val="0"/>
              <w:spacing w:before="60" w:after="60"/>
              <w:ind w:left="138" w:right="264"/>
              <w:jc w:val="right"/>
              <w:rPr>
                <w:rFonts w:ascii="Arial Narrow" w:hAnsi="Arial Narrow" w:cs="Calibri"/>
                <w:i/>
                <w:iCs/>
                <w:sz w:val="20"/>
                <w:szCs w:val="20"/>
              </w:rPr>
            </w:pPr>
          </w:p>
        </w:tc>
        <w:tc>
          <w:tcPr>
            <w:tcW w:w="654" w:type="pct"/>
            <w:vMerge/>
            <w:vAlign w:val="center"/>
          </w:tcPr>
          <w:p w14:paraId="2650B2CE" w14:textId="77777777" w:rsidR="0034513D" w:rsidRPr="00430A79" w:rsidRDefault="0034513D" w:rsidP="0034513D">
            <w:pPr>
              <w:widowControl w:val="0"/>
              <w:autoSpaceDE w:val="0"/>
              <w:autoSpaceDN w:val="0"/>
              <w:spacing w:before="60" w:after="60"/>
              <w:jc w:val="center"/>
              <w:rPr>
                <w:rFonts w:ascii="Arial Narrow" w:eastAsia="Calibri" w:hAnsi="Arial Narrow" w:cs="Calibri"/>
                <w:sz w:val="20"/>
                <w:szCs w:val="20"/>
              </w:rPr>
            </w:pPr>
          </w:p>
        </w:tc>
        <w:tc>
          <w:tcPr>
            <w:tcW w:w="719" w:type="pct"/>
          </w:tcPr>
          <w:p w14:paraId="00E85172"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50%</w:t>
            </w:r>
          </w:p>
        </w:tc>
        <w:tc>
          <w:tcPr>
            <w:tcW w:w="629" w:type="pct"/>
            <w:vAlign w:val="center"/>
          </w:tcPr>
          <w:p w14:paraId="6B8941C3"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2030</w:t>
            </w:r>
          </w:p>
        </w:tc>
      </w:tr>
      <w:tr w:rsidR="0034513D" w:rsidRPr="00430A79" w14:paraId="3B8FB1D7" w14:textId="77777777" w:rsidTr="00D03949">
        <w:trPr>
          <w:trHeight w:val="60"/>
        </w:trPr>
        <w:tc>
          <w:tcPr>
            <w:tcW w:w="1082" w:type="pct"/>
            <w:vMerge/>
            <w:shd w:val="clear" w:color="auto" w:fill="365F91"/>
            <w:vAlign w:val="center"/>
          </w:tcPr>
          <w:p w14:paraId="010DCC11"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095A4D58" w14:textId="77777777" w:rsidR="0034513D" w:rsidRPr="00430A79" w:rsidRDefault="0034513D" w:rsidP="0034513D">
            <w:pPr>
              <w:widowControl w:val="0"/>
              <w:autoSpaceDE w:val="0"/>
              <w:autoSpaceDN w:val="0"/>
              <w:spacing w:before="60" w:after="60"/>
              <w:ind w:left="138" w:right="264"/>
              <w:jc w:val="right"/>
              <w:rPr>
                <w:rFonts w:ascii="Arial Narrow" w:hAnsi="Arial Narrow" w:cs="Calibri"/>
                <w:i/>
                <w:iCs/>
                <w:sz w:val="20"/>
                <w:szCs w:val="20"/>
              </w:rPr>
            </w:pPr>
          </w:p>
        </w:tc>
        <w:tc>
          <w:tcPr>
            <w:tcW w:w="654" w:type="pct"/>
            <w:vMerge/>
            <w:vAlign w:val="center"/>
          </w:tcPr>
          <w:p w14:paraId="6855E00A" w14:textId="77777777" w:rsidR="0034513D" w:rsidRPr="00430A79" w:rsidRDefault="0034513D" w:rsidP="0034513D">
            <w:pPr>
              <w:widowControl w:val="0"/>
              <w:autoSpaceDE w:val="0"/>
              <w:autoSpaceDN w:val="0"/>
              <w:spacing w:before="60" w:after="60"/>
              <w:jc w:val="center"/>
              <w:rPr>
                <w:rFonts w:ascii="Arial Narrow" w:eastAsia="Calibri" w:hAnsi="Arial Narrow" w:cs="Calibri"/>
                <w:sz w:val="20"/>
                <w:szCs w:val="20"/>
              </w:rPr>
            </w:pPr>
          </w:p>
        </w:tc>
        <w:tc>
          <w:tcPr>
            <w:tcW w:w="719" w:type="pct"/>
          </w:tcPr>
          <w:p w14:paraId="4180D861"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70%</w:t>
            </w:r>
          </w:p>
        </w:tc>
        <w:tc>
          <w:tcPr>
            <w:tcW w:w="629" w:type="pct"/>
            <w:vAlign w:val="center"/>
          </w:tcPr>
          <w:p w14:paraId="06F9E340"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2035</w:t>
            </w:r>
          </w:p>
        </w:tc>
      </w:tr>
      <w:tr w:rsidR="0034513D" w:rsidRPr="00430A79" w14:paraId="3AB9D289" w14:textId="77777777" w:rsidTr="00D03949">
        <w:trPr>
          <w:trHeight w:val="60"/>
        </w:trPr>
        <w:tc>
          <w:tcPr>
            <w:tcW w:w="1082" w:type="pct"/>
            <w:vMerge/>
            <w:shd w:val="clear" w:color="auto" w:fill="365F91"/>
            <w:vAlign w:val="center"/>
          </w:tcPr>
          <w:p w14:paraId="12A669AA"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restart"/>
            <w:vAlign w:val="center"/>
          </w:tcPr>
          <w:p w14:paraId="15304918" w14:textId="3CCF0593" w:rsidR="0034513D" w:rsidRPr="00430A79" w:rsidRDefault="0034513D" w:rsidP="0034513D">
            <w:pPr>
              <w:widowControl w:val="0"/>
              <w:autoSpaceDE w:val="0"/>
              <w:autoSpaceDN w:val="0"/>
              <w:spacing w:before="60" w:after="60"/>
              <w:ind w:left="138" w:right="264"/>
              <w:jc w:val="right"/>
              <w:rPr>
                <w:rFonts w:ascii="Arial Narrow" w:eastAsia="Calibri" w:hAnsi="Arial Narrow" w:cs="Calibri"/>
                <w:i/>
                <w:iCs/>
                <w:sz w:val="20"/>
                <w:szCs w:val="20"/>
              </w:rPr>
            </w:pPr>
            <w:r w:rsidRPr="00BE2534">
              <w:rPr>
                <w:rFonts w:ascii="Arial Narrow" w:hAnsi="Arial Narrow" w:cs="Calibri"/>
                <w:i/>
                <w:iCs/>
                <w:sz w:val="20"/>
                <w:szCs w:val="20"/>
                <w:lang w:val="sq-AL"/>
              </w:rPr>
              <w:t>Metale me ngjyra</w:t>
            </w:r>
          </w:p>
        </w:tc>
        <w:tc>
          <w:tcPr>
            <w:tcW w:w="654" w:type="pct"/>
            <w:vMerge w:val="restart"/>
            <w:vAlign w:val="center"/>
          </w:tcPr>
          <w:p w14:paraId="7870E93E" w14:textId="77777777" w:rsidR="0034513D" w:rsidRPr="00430A79" w:rsidRDefault="0034513D" w:rsidP="0034513D">
            <w:pPr>
              <w:widowControl w:val="0"/>
              <w:autoSpaceDE w:val="0"/>
              <w:autoSpaceDN w:val="0"/>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&lt;</w:t>
            </w:r>
            <w:r w:rsidRPr="00430A79">
              <w:rPr>
                <w:rFonts w:ascii="Arial Narrow" w:eastAsia="Calibri" w:hAnsi="Arial Narrow" w:cs="Calibri"/>
                <w:spacing w:val="-1"/>
                <w:sz w:val="20"/>
                <w:szCs w:val="20"/>
              </w:rPr>
              <w:t xml:space="preserve"> </w:t>
            </w:r>
            <w:r w:rsidRPr="00430A79">
              <w:rPr>
                <w:rFonts w:ascii="Arial Narrow" w:eastAsia="Calibri" w:hAnsi="Arial Narrow" w:cs="Calibri"/>
                <w:sz w:val="20"/>
                <w:szCs w:val="20"/>
              </w:rPr>
              <w:t>5%</w:t>
            </w:r>
          </w:p>
        </w:tc>
        <w:tc>
          <w:tcPr>
            <w:tcW w:w="719" w:type="pct"/>
          </w:tcPr>
          <w:p w14:paraId="1EB0F353"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30%</w:t>
            </w:r>
          </w:p>
        </w:tc>
        <w:tc>
          <w:tcPr>
            <w:tcW w:w="629" w:type="pct"/>
            <w:vAlign w:val="center"/>
          </w:tcPr>
          <w:p w14:paraId="05737E1D"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2028</w:t>
            </w:r>
          </w:p>
        </w:tc>
      </w:tr>
      <w:tr w:rsidR="0034513D" w:rsidRPr="00430A79" w14:paraId="3FC0FB5D" w14:textId="77777777" w:rsidTr="00D03949">
        <w:trPr>
          <w:trHeight w:val="60"/>
        </w:trPr>
        <w:tc>
          <w:tcPr>
            <w:tcW w:w="1082" w:type="pct"/>
            <w:vMerge/>
            <w:shd w:val="clear" w:color="auto" w:fill="365F91"/>
            <w:vAlign w:val="center"/>
          </w:tcPr>
          <w:p w14:paraId="05CEADDC"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64F08D76" w14:textId="77777777" w:rsidR="0034513D" w:rsidRPr="00430A79" w:rsidRDefault="0034513D" w:rsidP="0034513D">
            <w:pPr>
              <w:widowControl w:val="0"/>
              <w:autoSpaceDE w:val="0"/>
              <w:autoSpaceDN w:val="0"/>
              <w:spacing w:before="60" w:after="60"/>
              <w:ind w:left="138" w:right="264"/>
              <w:jc w:val="right"/>
              <w:rPr>
                <w:rFonts w:ascii="Arial Narrow" w:hAnsi="Arial Narrow" w:cs="Calibri"/>
                <w:i/>
                <w:iCs/>
                <w:sz w:val="20"/>
                <w:szCs w:val="20"/>
              </w:rPr>
            </w:pPr>
          </w:p>
        </w:tc>
        <w:tc>
          <w:tcPr>
            <w:tcW w:w="654" w:type="pct"/>
            <w:vMerge/>
            <w:vAlign w:val="center"/>
          </w:tcPr>
          <w:p w14:paraId="7B6FDF13" w14:textId="77777777" w:rsidR="0034513D" w:rsidRPr="00430A79" w:rsidRDefault="0034513D" w:rsidP="0034513D">
            <w:pPr>
              <w:widowControl w:val="0"/>
              <w:autoSpaceDE w:val="0"/>
              <w:autoSpaceDN w:val="0"/>
              <w:spacing w:before="60" w:after="60"/>
              <w:jc w:val="center"/>
              <w:rPr>
                <w:rFonts w:ascii="Arial Narrow" w:eastAsia="Calibri" w:hAnsi="Arial Narrow" w:cs="Calibri"/>
                <w:sz w:val="20"/>
                <w:szCs w:val="20"/>
              </w:rPr>
            </w:pPr>
          </w:p>
        </w:tc>
        <w:tc>
          <w:tcPr>
            <w:tcW w:w="719" w:type="pct"/>
          </w:tcPr>
          <w:p w14:paraId="0DCDDBBC"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50%</w:t>
            </w:r>
          </w:p>
        </w:tc>
        <w:tc>
          <w:tcPr>
            <w:tcW w:w="629" w:type="pct"/>
            <w:vAlign w:val="center"/>
          </w:tcPr>
          <w:p w14:paraId="2D736A47"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2030</w:t>
            </w:r>
          </w:p>
        </w:tc>
      </w:tr>
      <w:tr w:rsidR="0034513D" w:rsidRPr="00430A79" w14:paraId="34F09601" w14:textId="77777777" w:rsidTr="00D03949">
        <w:trPr>
          <w:trHeight w:val="60"/>
        </w:trPr>
        <w:tc>
          <w:tcPr>
            <w:tcW w:w="1082" w:type="pct"/>
            <w:vMerge/>
            <w:shd w:val="clear" w:color="auto" w:fill="365F91"/>
            <w:vAlign w:val="center"/>
          </w:tcPr>
          <w:p w14:paraId="6977E2E5"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3748494D" w14:textId="77777777" w:rsidR="0034513D" w:rsidRPr="00430A79" w:rsidRDefault="0034513D" w:rsidP="0034513D">
            <w:pPr>
              <w:widowControl w:val="0"/>
              <w:autoSpaceDE w:val="0"/>
              <w:autoSpaceDN w:val="0"/>
              <w:spacing w:before="60" w:after="60"/>
              <w:ind w:left="138" w:right="264"/>
              <w:jc w:val="right"/>
              <w:rPr>
                <w:rFonts w:ascii="Arial Narrow" w:hAnsi="Arial Narrow" w:cs="Calibri"/>
                <w:i/>
                <w:iCs/>
                <w:sz w:val="20"/>
                <w:szCs w:val="20"/>
              </w:rPr>
            </w:pPr>
          </w:p>
        </w:tc>
        <w:tc>
          <w:tcPr>
            <w:tcW w:w="654" w:type="pct"/>
            <w:vMerge/>
            <w:vAlign w:val="center"/>
          </w:tcPr>
          <w:p w14:paraId="6B30EE34" w14:textId="77777777" w:rsidR="0034513D" w:rsidRPr="00430A79" w:rsidRDefault="0034513D" w:rsidP="0034513D">
            <w:pPr>
              <w:widowControl w:val="0"/>
              <w:autoSpaceDE w:val="0"/>
              <w:autoSpaceDN w:val="0"/>
              <w:spacing w:before="60" w:after="60"/>
              <w:jc w:val="center"/>
              <w:rPr>
                <w:rFonts w:ascii="Arial Narrow" w:eastAsia="Calibri" w:hAnsi="Arial Narrow" w:cs="Calibri"/>
                <w:sz w:val="20"/>
                <w:szCs w:val="20"/>
              </w:rPr>
            </w:pPr>
          </w:p>
        </w:tc>
        <w:tc>
          <w:tcPr>
            <w:tcW w:w="719" w:type="pct"/>
          </w:tcPr>
          <w:p w14:paraId="4F2F3BEC"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70%</w:t>
            </w:r>
          </w:p>
        </w:tc>
        <w:tc>
          <w:tcPr>
            <w:tcW w:w="629" w:type="pct"/>
            <w:vAlign w:val="center"/>
          </w:tcPr>
          <w:p w14:paraId="621AB076"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2035</w:t>
            </w:r>
          </w:p>
        </w:tc>
      </w:tr>
      <w:tr w:rsidR="0034513D" w:rsidRPr="00430A79" w14:paraId="1662C835" w14:textId="77777777" w:rsidTr="00D03949">
        <w:trPr>
          <w:trHeight w:val="60"/>
        </w:trPr>
        <w:tc>
          <w:tcPr>
            <w:tcW w:w="1082" w:type="pct"/>
            <w:vMerge/>
            <w:shd w:val="clear" w:color="auto" w:fill="365F91"/>
            <w:vAlign w:val="center"/>
          </w:tcPr>
          <w:p w14:paraId="0CB776DD"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restart"/>
            <w:vAlign w:val="center"/>
          </w:tcPr>
          <w:p w14:paraId="7557AF3C" w14:textId="7183E74D" w:rsidR="0034513D" w:rsidRPr="00430A79" w:rsidRDefault="0034513D" w:rsidP="0034513D">
            <w:pPr>
              <w:widowControl w:val="0"/>
              <w:autoSpaceDE w:val="0"/>
              <w:autoSpaceDN w:val="0"/>
              <w:spacing w:before="60" w:after="60"/>
              <w:ind w:left="138" w:right="264"/>
              <w:jc w:val="right"/>
              <w:rPr>
                <w:rFonts w:ascii="Arial Narrow" w:eastAsia="Calibri" w:hAnsi="Arial Narrow" w:cs="Calibri"/>
                <w:i/>
                <w:iCs/>
                <w:sz w:val="20"/>
                <w:szCs w:val="20"/>
              </w:rPr>
            </w:pPr>
            <w:r w:rsidRPr="00BE2534">
              <w:rPr>
                <w:rFonts w:ascii="Arial Narrow" w:hAnsi="Arial Narrow" w:cs="Calibri"/>
                <w:i/>
                <w:iCs/>
                <w:sz w:val="20"/>
                <w:szCs w:val="20"/>
                <w:lang w:val="sq-AL"/>
              </w:rPr>
              <w:t>Alumin</w:t>
            </w:r>
          </w:p>
        </w:tc>
        <w:tc>
          <w:tcPr>
            <w:tcW w:w="654" w:type="pct"/>
            <w:vMerge w:val="restart"/>
            <w:vAlign w:val="center"/>
          </w:tcPr>
          <w:p w14:paraId="3FEA7E6B" w14:textId="77777777" w:rsidR="0034513D" w:rsidRPr="00430A79" w:rsidRDefault="0034513D" w:rsidP="0034513D">
            <w:pPr>
              <w:widowControl w:val="0"/>
              <w:autoSpaceDE w:val="0"/>
              <w:autoSpaceDN w:val="0"/>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&lt;</w:t>
            </w:r>
            <w:r w:rsidRPr="00430A79">
              <w:rPr>
                <w:rFonts w:ascii="Arial Narrow" w:eastAsia="Calibri" w:hAnsi="Arial Narrow" w:cs="Calibri"/>
                <w:spacing w:val="-1"/>
                <w:sz w:val="20"/>
                <w:szCs w:val="20"/>
              </w:rPr>
              <w:t xml:space="preserve"> </w:t>
            </w:r>
            <w:r w:rsidRPr="00430A79">
              <w:rPr>
                <w:rFonts w:ascii="Arial Narrow" w:eastAsia="Calibri" w:hAnsi="Arial Narrow" w:cs="Calibri"/>
                <w:sz w:val="20"/>
                <w:szCs w:val="20"/>
              </w:rPr>
              <w:t>5%</w:t>
            </w:r>
          </w:p>
        </w:tc>
        <w:tc>
          <w:tcPr>
            <w:tcW w:w="719" w:type="pct"/>
          </w:tcPr>
          <w:p w14:paraId="22009ED2"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30%</w:t>
            </w:r>
          </w:p>
        </w:tc>
        <w:tc>
          <w:tcPr>
            <w:tcW w:w="629" w:type="pct"/>
            <w:vAlign w:val="center"/>
          </w:tcPr>
          <w:p w14:paraId="0CD9B0DD"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2028</w:t>
            </w:r>
          </w:p>
        </w:tc>
      </w:tr>
      <w:tr w:rsidR="0034513D" w:rsidRPr="00430A79" w14:paraId="002DF193" w14:textId="77777777" w:rsidTr="00D03949">
        <w:trPr>
          <w:trHeight w:val="60"/>
        </w:trPr>
        <w:tc>
          <w:tcPr>
            <w:tcW w:w="1082" w:type="pct"/>
            <w:vMerge/>
            <w:shd w:val="clear" w:color="auto" w:fill="365F91"/>
            <w:vAlign w:val="center"/>
          </w:tcPr>
          <w:p w14:paraId="66A75C63"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3D903894" w14:textId="77777777" w:rsidR="0034513D" w:rsidRPr="00430A79" w:rsidRDefault="0034513D" w:rsidP="0034513D">
            <w:pPr>
              <w:widowControl w:val="0"/>
              <w:autoSpaceDE w:val="0"/>
              <w:autoSpaceDN w:val="0"/>
              <w:spacing w:before="60" w:after="60"/>
              <w:ind w:left="138" w:right="264"/>
              <w:jc w:val="right"/>
              <w:rPr>
                <w:rFonts w:ascii="Arial Narrow" w:hAnsi="Arial Narrow" w:cs="Calibri"/>
                <w:i/>
                <w:iCs/>
                <w:sz w:val="20"/>
                <w:szCs w:val="20"/>
              </w:rPr>
            </w:pPr>
          </w:p>
        </w:tc>
        <w:tc>
          <w:tcPr>
            <w:tcW w:w="654" w:type="pct"/>
            <w:vMerge/>
            <w:vAlign w:val="center"/>
          </w:tcPr>
          <w:p w14:paraId="60D74DD8" w14:textId="77777777" w:rsidR="0034513D" w:rsidRPr="00430A79" w:rsidRDefault="0034513D" w:rsidP="0034513D">
            <w:pPr>
              <w:widowControl w:val="0"/>
              <w:autoSpaceDE w:val="0"/>
              <w:autoSpaceDN w:val="0"/>
              <w:spacing w:before="60" w:after="60"/>
              <w:jc w:val="center"/>
              <w:rPr>
                <w:rFonts w:ascii="Arial Narrow" w:eastAsia="Calibri" w:hAnsi="Arial Narrow" w:cs="Calibri"/>
                <w:sz w:val="20"/>
                <w:szCs w:val="20"/>
              </w:rPr>
            </w:pPr>
          </w:p>
        </w:tc>
        <w:tc>
          <w:tcPr>
            <w:tcW w:w="719" w:type="pct"/>
          </w:tcPr>
          <w:p w14:paraId="3ED24DA2"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40%</w:t>
            </w:r>
          </w:p>
        </w:tc>
        <w:tc>
          <w:tcPr>
            <w:tcW w:w="629" w:type="pct"/>
            <w:vAlign w:val="center"/>
          </w:tcPr>
          <w:p w14:paraId="24F9047D"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2030</w:t>
            </w:r>
          </w:p>
        </w:tc>
      </w:tr>
      <w:tr w:rsidR="0034513D" w:rsidRPr="00430A79" w14:paraId="63479FB6" w14:textId="77777777" w:rsidTr="00D03949">
        <w:trPr>
          <w:trHeight w:val="60"/>
        </w:trPr>
        <w:tc>
          <w:tcPr>
            <w:tcW w:w="1082" w:type="pct"/>
            <w:vMerge/>
            <w:shd w:val="clear" w:color="auto" w:fill="365F91"/>
            <w:vAlign w:val="center"/>
          </w:tcPr>
          <w:p w14:paraId="7D9956C9"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7EA35AAC" w14:textId="77777777" w:rsidR="0034513D" w:rsidRPr="00430A79" w:rsidRDefault="0034513D" w:rsidP="0034513D">
            <w:pPr>
              <w:widowControl w:val="0"/>
              <w:autoSpaceDE w:val="0"/>
              <w:autoSpaceDN w:val="0"/>
              <w:spacing w:before="60" w:after="60"/>
              <w:ind w:left="138" w:right="264"/>
              <w:jc w:val="right"/>
              <w:rPr>
                <w:rFonts w:ascii="Arial Narrow" w:hAnsi="Arial Narrow" w:cs="Calibri"/>
                <w:i/>
                <w:iCs/>
                <w:sz w:val="20"/>
                <w:szCs w:val="20"/>
              </w:rPr>
            </w:pPr>
          </w:p>
        </w:tc>
        <w:tc>
          <w:tcPr>
            <w:tcW w:w="654" w:type="pct"/>
            <w:vMerge/>
            <w:vAlign w:val="center"/>
          </w:tcPr>
          <w:p w14:paraId="5BDA783C" w14:textId="77777777" w:rsidR="0034513D" w:rsidRPr="00430A79" w:rsidRDefault="0034513D" w:rsidP="0034513D">
            <w:pPr>
              <w:widowControl w:val="0"/>
              <w:autoSpaceDE w:val="0"/>
              <w:autoSpaceDN w:val="0"/>
              <w:spacing w:before="60" w:after="60"/>
              <w:jc w:val="center"/>
              <w:rPr>
                <w:rFonts w:ascii="Arial Narrow" w:eastAsia="Calibri" w:hAnsi="Arial Narrow" w:cs="Calibri"/>
                <w:sz w:val="20"/>
                <w:szCs w:val="20"/>
              </w:rPr>
            </w:pPr>
          </w:p>
        </w:tc>
        <w:tc>
          <w:tcPr>
            <w:tcW w:w="719" w:type="pct"/>
          </w:tcPr>
          <w:p w14:paraId="67438A75"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50%</w:t>
            </w:r>
          </w:p>
        </w:tc>
        <w:tc>
          <w:tcPr>
            <w:tcW w:w="629" w:type="pct"/>
            <w:vAlign w:val="center"/>
          </w:tcPr>
          <w:p w14:paraId="2523A397"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2035</w:t>
            </w:r>
          </w:p>
        </w:tc>
      </w:tr>
      <w:tr w:rsidR="0034513D" w:rsidRPr="00430A79" w14:paraId="643CBD6D" w14:textId="77777777" w:rsidTr="00D03949">
        <w:trPr>
          <w:trHeight w:val="60"/>
        </w:trPr>
        <w:tc>
          <w:tcPr>
            <w:tcW w:w="1082" w:type="pct"/>
            <w:vMerge/>
            <w:shd w:val="clear" w:color="auto" w:fill="365F91"/>
            <w:vAlign w:val="center"/>
          </w:tcPr>
          <w:p w14:paraId="4DC6EA60" w14:textId="77777777" w:rsidR="0034513D" w:rsidRPr="00430A79" w:rsidRDefault="0034513D" w:rsidP="0034513D">
            <w:pPr>
              <w:widowControl w:val="0"/>
              <w:autoSpaceDE w:val="0"/>
              <w:autoSpaceDN w:val="0"/>
              <w:spacing w:before="60" w:after="60"/>
              <w:rPr>
                <w:rFonts w:ascii="Arial Narrow" w:eastAsia="Calibri" w:hAnsi="Arial Narrow" w:cs="Calibri"/>
                <w:sz w:val="20"/>
                <w:szCs w:val="20"/>
              </w:rPr>
            </w:pPr>
          </w:p>
        </w:tc>
        <w:tc>
          <w:tcPr>
            <w:tcW w:w="1916" w:type="pct"/>
            <w:vMerge w:val="restart"/>
            <w:vAlign w:val="center"/>
          </w:tcPr>
          <w:p w14:paraId="631A35DF" w14:textId="6FA9B2B7" w:rsidR="0034513D" w:rsidRPr="00430A79" w:rsidRDefault="0034513D" w:rsidP="0034513D">
            <w:pPr>
              <w:widowControl w:val="0"/>
              <w:autoSpaceDE w:val="0"/>
              <w:autoSpaceDN w:val="0"/>
              <w:spacing w:before="60" w:after="60"/>
              <w:ind w:left="138" w:right="264"/>
              <w:jc w:val="right"/>
              <w:rPr>
                <w:rFonts w:ascii="Arial Narrow" w:eastAsia="Calibri" w:hAnsi="Arial Narrow" w:cs="Calibri"/>
                <w:i/>
                <w:iCs/>
                <w:sz w:val="20"/>
                <w:szCs w:val="20"/>
              </w:rPr>
            </w:pPr>
            <w:r w:rsidRPr="00BE2534">
              <w:rPr>
                <w:rFonts w:ascii="Arial Narrow" w:hAnsi="Arial Narrow" w:cs="Calibri"/>
                <w:i/>
                <w:iCs/>
                <w:sz w:val="20"/>
                <w:szCs w:val="20"/>
                <w:lang w:val="sq-AL"/>
              </w:rPr>
              <w:t>Dru</w:t>
            </w:r>
          </w:p>
        </w:tc>
        <w:tc>
          <w:tcPr>
            <w:tcW w:w="654" w:type="pct"/>
            <w:vMerge w:val="restart"/>
            <w:vAlign w:val="center"/>
          </w:tcPr>
          <w:p w14:paraId="7F919369" w14:textId="77777777" w:rsidR="0034513D" w:rsidRPr="00430A79" w:rsidRDefault="0034513D" w:rsidP="0034513D">
            <w:pPr>
              <w:widowControl w:val="0"/>
              <w:autoSpaceDE w:val="0"/>
              <w:autoSpaceDN w:val="0"/>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&lt;</w:t>
            </w:r>
            <w:r w:rsidRPr="00430A79">
              <w:rPr>
                <w:rFonts w:ascii="Arial Narrow" w:eastAsia="Calibri" w:hAnsi="Arial Narrow" w:cs="Calibri"/>
                <w:spacing w:val="-1"/>
                <w:sz w:val="20"/>
                <w:szCs w:val="20"/>
              </w:rPr>
              <w:t xml:space="preserve"> </w:t>
            </w:r>
            <w:r w:rsidRPr="00430A79">
              <w:rPr>
                <w:rFonts w:ascii="Arial Narrow" w:eastAsia="Calibri" w:hAnsi="Arial Narrow" w:cs="Calibri"/>
                <w:sz w:val="20"/>
                <w:szCs w:val="20"/>
              </w:rPr>
              <w:t>5%</w:t>
            </w:r>
          </w:p>
        </w:tc>
        <w:tc>
          <w:tcPr>
            <w:tcW w:w="719" w:type="pct"/>
          </w:tcPr>
          <w:p w14:paraId="0ED11676" w14:textId="77777777" w:rsidR="0034513D" w:rsidRPr="00430A79" w:rsidRDefault="0034513D" w:rsidP="0034513D">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10%</w:t>
            </w:r>
          </w:p>
        </w:tc>
        <w:tc>
          <w:tcPr>
            <w:tcW w:w="629" w:type="pct"/>
            <w:vAlign w:val="center"/>
          </w:tcPr>
          <w:p w14:paraId="06577554" w14:textId="77777777" w:rsidR="0034513D" w:rsidRPr="00430A79" w:rsidRDefault="0034513D" w:rsidP="0034513D">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2028</w:t>
            </w:r>
          </w:p>
        </w:tc>
      </w:tr>
      <w:tr w:rsidR="00430A79" w:rsidRPr="00430A79" w14:paraId="32FB5F18" w14:textId="77777777" w:rsidTr="00D03949">
        <w:trPr>
          <w:trHeight w:val="60"/>
        </w:trPr>
        <w:tc>
          <w:tcPr>
            <w:tcW w:w="1082" w:type="pct"/>
            <w:vMerge/>
            <w:shd w:val="clear" w:color="auto" w:fill="365F91"/>
            <w:vAlign w:val="center"/>
          </w:tcPr>
          <w:p w14:paraId="093BFB5B" w14:textId="77777777" w:rsidR="00430A79" w:rsidRPr="00430A79" w:rsidRDefault="00430A79" w:rsidP="00430A79">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5D269618" w14:textId="77777777" w:rsidR="00430A79" w:rsidRPr="00430A79" w:rsidRDefault="00430A79" w:rsidP="00430A79">
            <w:pPr>
              <w:widowControl w:val="0"/>
              <w:autoSpaceDE w:val="0"/>
              <w:autoSpaceDN w:val="0"/>
              <w:spacing w:before="60" w:after="60"/>
              <w:ind w:left="138" w:right="264"/>
              <w:jc w:val="right"/>
              <w:rPr>
                <w:rFonts w:ascii="Arial Narrow" w:hAnsi="Arial Narrow" w:cs="Calibri"/>
                <w:sz w:val="20"/>
                <w:szCs w:val="20"/>
              </w:rPr>
            </w:pPr>
          </w:p>
        </w:tc>
        <w:tc>
          <w:tcPr>
            <w:tcW w:w="654" w:type="pct"/>
            <w:vMerge/>
            <w:vAlign w:val="center"/>
          </w:tcPr>
          <w:p w14:paraId="2C58EDDD" w14:textId="77777777" w:rsidR="00430A79" w:rsidRPr="00430A79" w:rsidRDefault="00430A79" w:rsidP="00430A79">
            <w:pPr>
              <w:widowControl w:val="0"/>
              <w:autoSpaceDE w:val="0"/>
              <w:autoSpaceDN w:val="0"/>
              <w:spacing w:before="60" w:after="60"/>
              <w:jc w:val="center"/>
              <w:rPr>
                <w:rFonts w:ascii="Arial Narrow" w:eastAsia="Calibri" w:hAnsi="Arial Narrow" w:cs="Calibri"/>
                <w:sz w:val="20"/>
                <w:szCs w:val="20"/>
              </w:rPr>
            </w:pPr>
          </w:p>
        </w:tc>
        <w:tc>
          <w:tcPr>
            <w:tcW w:w="719" w:type="pct"/>
          </w:tcPr>
          <w:p w14:paraId="6AA9F446" w14:textId="77777777" w:rsidR="00430A79" w:rsidRPr="00430A79" w:rsidRDefault="00430A79" w:rsidP="00430A79">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15%</w:t>
            </w:r>
          </w:p>
        </w:tc>
        <w:tc>
          <w:tcPr>
            <w:tcW w:w="629" w:type="pct"/>
            <w:vAlign w:val="center"/>
          </w:tcPr>
          <w:p w14:paraId="150D1C17" w14:textId="77777777" w:rsidR="00430A79" w:rsidRPr="00430A79" w:rsidRDefault="00430A79" w:rsidP="00430A79">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2030</w:t>
            </w:r>
          </w:p>
        </w:tc>
      </w:tr>
      <w:tr w:rsidR="00430A79" w:rsidRPr="00430A79" w14:paraId="387591CB" w14:textId="77777777" w:rsidTr="00D03949">
        <w:trPr>
          <w:trHeight w:val="60"/>
        </w:trPr>
        <w:tc>
          <w:tcPr>
            <w:tcW w:w="1082" w:type="pct"/>
            <w:vMerge/>
            <w:shd w:val="clear" w:color="auto" w:fill="365F91"/>
            <w:vAlign w:val="center"/>
          </w:tcPr>
          <w:p w14:paraId="707BF328" w14:textId="77777777" w:rsidR="00430A79" w:rsidRPr="00430A79" w:rsidRDefault="00430A79" w:rsidP="00430A79">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5E2C44C2" w14:textId="77777777" w:rsidR="00430A79" w:rsidRPr="00430A79" w:rsidRDefault="00430A79" w:rsidP="00430A79">
            <w:pPr>
              <w:widowControl w:val="0"/>
              <w:autoSpaceDE w:val="0"/>
              <w:autoSpaceDN w:val="0"/>
              <w:spacing w:before="60" w:after="60"/>
              <w:ind w:left="138" w:right="264"/>
              <w:jc w:val="right"/>
              <w:rPr>
                <w:rFonts w:ascii="Arial Narrow" w:hAnsi="Arial Narrow" w:cs="Calibri"/>
                <w:sz w:val="20"/>
                <w:szCs w:val="20"/>
              </w:rPr>
            </w:pPr>
          </w:p>
        </w:tc>
        <w:tc>
          <w:tcPr>
            <w:tcW w:w="654" w:type="pct"/>
            <w:vMerge/>
            <w:vAlign w:val="center"/>
          </w:tcPr>
          <w:p w14:paraId="6356B0CC" w14:textId="77777777" w:rsidR="00430A79" w:rsidRPr="00430A79" w:rsidRDefault="00430A79" w:rsidP="00430A79">
            <w:pPr>
              <w:widowControl w:val="0"/>
              <w:autoSpaceDE w:val="0"/>
              <w:autoSpaceDN w:val="0"/>
              <w:spacing w:before="60" w:after="60"/>
              <w:jc w:val="center"/>
              <w:rPr>
                <w:rFonts w:ascii="Arial Narrow" w:eastAsia="Calibri" w:hAnsi="Arial Narrow" w:cs="Calibri"/>
                <w:sz w:val="20"/>
                <w:szCs w:val="20"/>
              </w:rPr>
            </w:pPr>
          </w:p>
        </w:tc>
        <w:tc>
          <w:tcPr>
            <w:tcW w:w="719" w:type="pct"/>
          </w:tcPr>
          <w:p w14:paraId="0FC978A6" w14:textId="77777777" w:rsidR="00430A79" w:rsidRPr="00430A79" w:rsidRDefault="00430A79" w:rsidP="00430A79">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25%</w:t>
            </w:r>
          </w:p>
        </w:tc>
        <w:tc>
          <w:tcPr>
            <w:tcW w:w="629" w:type="pct"/>
            <w:vAlign w:val="center"/>
          </w:tcPr>
          <w:p w14:paraId="3F26396B" w14:textId="77777777" w:rsidR="00430A79" w:rsidRPr="00430A79" w:rsidRDefault="00430A79" w:rsidP="00430A79">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2035</w:t>
            </w:r>
          </w:p>
        </w:tc>
      </w:tr>
      <w:tr w:rsidR="00430A79" w:rsidRPr="00430A79" w14:paraId="18B96CD2" w14:textId="77777777" w:rsidTr="00D03949">
        <w:trPr>
          <w:trHeight w:val="224"/>
        </w:trPr>
        <w:tc>
          <w:tcPr>
            <w:tcW w:w="1082" w:type="pct"/>
            <w:vMerge w:val="restart"/>
            <w:shd w:val="clear" w:color="auto" w:fill="365F91"/>
            <w:vAlign w:val="center"/>
          </w:tcPr>
          <w:p w14:paraId="1166DD02" w14:textId="6010F176" w:rsidR="00430A79" w:rsidRPr="00430A79" w:rsidRDefault="0034513D" w:rsidP="00430A79">
            <w:pPr>
              <w:widowControl w:val="0"/>
              <w:autoSpaceDE w:val="0"/>
              <w:autoSpaceDN w:val="0"/>
              <w:spacing w:before="60" w:after="60"/>
              <w:ind w:right="257"/>
              <w:rPr>
                <w:rFonts w:ascii="Arial Narrow" w:eastAsia="Calibri" w:hAnsi="Arial Narrow" w:cs="Calibri"/>
                <w:color w:val="FFFFFF"/>
                <w:sz w:val="20"/>
                <w:szCs w:val="20"/>
              </w:rPr>
            </w:pPr>
            <w:r w:rsidRPr="00BE2534">
              <w:rPr>
                <w:rFonts w:ascii="Arial Narrow" w:eastAsia="Calibri" w:hAnsi="Arial Narrow" w:cs="Calibri"/>
                <w:color w:val="FFFFFF"/>
                <w:sz w:val="20"/>
                <w:szCs w:val="20"/>
                <w:lang w:val="sq-AL"/>
              </w:rPr>
              <w:t>Të zvogëlohet varshmëria nga deponimi i mbeturinave</w:t>
            </w:r>
          </w:p>
        </w:tc>
        <w:tc>
          <w:tcPr>
            <w:tcW w:w="1916" w:type="pct"/>
            <w:vMerge w:val="restart"/>
            <w:vAlign w:val="center"/>
          </w:tcPr>
          <w:p w14:paraId="32395B69" w14:textId="77777777" w:rsidR="00430A79" w:rsidRPr="00430A79" w:rsidRDefault="00430A79" w:rsidP="00430A79">
            <w:pPr>
              <w:widowControl w:val="0"/>
              <w:autoSpaceDE w:val="0"/>
              <w:autoSpaceDN w:val="0"/>
              <w:spacing w:before="60" w:after="60"/>
              <w:ind w:left="138" w:right="264"/>
              <w:rPr>
                <w:rFonts w:ascii="Arial Narrow" w:eastAsia="Calibri" w:hAnsi="Arial Narrow" w:cs="Calibri"/>
                <w:sz w:val="20"/>
                <w:szCs w:val="20"/>
              </w:rPr>
            </w:pPr>
            <w:r w:rsidRPr="00430A79">
              <w:rPr>
                <w:rFonts w:ascii="Arial Narrow" w:eastAsia="Calibri" w:hAnsi="Arial Narrow" w:cs="Calibri"/>
                <w:sz w:val="20"/>
                <w:szCs w:val="20"/>
              </w:rPr>
              <w:t>Deponimi i mbeturinave komunale</w:t>
            </w:r>
          </w:p>
        </w:tc>
        <w:tc>
          <w:tcPr>
            <w:tcW w:w="654" w:type="pct"/>
            <w:vMerge w:val="restart"/>
            <w:vAlign w:val="center"/>
          </w:tcPr>
          <w:p w14:paraId="5D74A223" w14:textId="77777777" w:rsidR="00430A79" w:rsidRPr="00430A79" w:rsidRDefault="00430A79" w:rsidP="00430A79">
            <w:pPr>
              <w:widowControl w:val="0"/>
              <w:autoSpaceDE w:val="0"/>
              <w:autoSpaceDN w:val="0"/>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&gt; 95%</w:t>
            </w:r>
          </w:p>
        </w:tc>
        <w:tc>
          <w:tcPr>
            <w:tcW w:w="719" w:type="pct"/>
          </w:tcPr>
          <w:p w14:paraId="5E7CEE22" w14:textId="77777777" w:rsidR="00430A79" w:rsidRPr="00430A79" w:rsidRDefault="00430A79" w:rsidP="00430A79">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&lt; 30%</w:t>
            </w:r>
          </w:p>
        </w:tc>
        <w:tc>
          <w:tcPr>
            <w:tcW w:w="629" w:type="pct"/>
            <w:vAlign w:val="center"/>
          </w:tcPr>
          <w:p w14:paraId="79C86AE3" w14:textId="77777777" w:rsidR="00430A79" w:rsidRPr="00430A79" w:rsidRDefault="00430A79" w:rsidP="00430A79">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2035</w:t>
            </w:r>
          </w:p>
        </w:tc>
      </w:tr>
      <w:tr w:rsidR="00430A79" w:rsidRPr="00430A79" w14:paraId="2E4F195D" w14:textId="77777777" w:rsidTr="00D03949">
        <w:trPr>
          <w:trHeight w:val="60"/>
        </w:trPr>
        <w:tc>
          <w:tcPr>
            <w:tcW w:w="1082" w:type="pct"/>
            <w:vMerge/>
            <w:shd w:val="clear" w:color="auto" w:fill="365F91"/>
            <w:vAlign w:val="center"/>
          </w:tcPr>
          <w:p w14:paraId="1C906C90" w14:textId="77777777" w:rsidR="00430A79" w:rsidRPr="00430A79" w:rsidRDefault="00430A79" w:rsidP="00430A79">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6BA19399" w14:textId="77777777" w:rsidR="00430A79" w:rsidRPr="00430A79" w:rsidRDefault="00430A79" w:rsidP="00430A79">
            <w:pPr>
              <w:widowControl w:val="0"/>
              <w:autoSpaceDE w:val="0"/>
              <w:autoSpaceDN w:val="0"/>
              <w:spacing w:before="60" w:after="60"/>
              <w:ind w:left="138" w:right="264"/>
              <w:rPr>
                <w:rFonts w:ascii="Arial Narrow" w:eastAsia="Calibri" w:hAnsi="Arial Narrow" w:cs="Calibri"/>
                <w:sz w:val="20"/>
                <w:szCs w:val="20"/>
              </w:rPr>
            </w:pPr>
          </w:p>
        </w:tc>
        <w:tc>
          <w:tcPr>
            <w:tcW w:w="654" w:type="pct"/>
            <w:vMerge/>
            <w:vAlign w:val="center"/>
          </w:tcPr>
          <w:p w14:paraId="30A832C5" w14:textId="77777777" w:rsidR="00430A79" w:rsidRPr="00430A79" w:rsidRDefault="00430A79" w:rsidP="00430A79">
            <w:pPr>
              <w:widowControl w:val="0"/>
              <w:autoSpaceDE w:val="0"/>
              <w:autoSpaceDN w:val="0"/>
              <w:spacing w:before="60" w:after="60"/>
              <w:jc w:val="center"/>
              <w:rPr>
                <w:rFonts w:ascii="Arial Narrow" w:eastAsia="Calibri" w:hAnsi="Arial Narrow" w:cs="Calibri"/>
                <w:sz w:val="20"/>
                <w:szCs w:val="20"/>
              </w:rPr>
            </w:pPr>
          </w:p>
        </w:tc>
        <w:tc>
          <w:tcPr>
            <w:tcW w:w="719" w:type="pct"/>
          </w:tcPr>
          <w:p w14:paraId="3FB06F7B" w14:textId="77777777" w:rsidR="00430A79" w:rsidRPr="00430A79" w:rsidRDefault="00430A79" w:rsidP="00430A79">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&lt; 10%</w:t>
            </w:r>
          </w:p>
        </w:tc>
        <w:tc>
          <w:tcPr>
            <w:tcW w:w="629" w:type="pct"/>
            <w:vAlign w:val="center"/>
          </w:tcPr>
          <w:p w14:paraId="6EB19933" w14:textId="77777777" w:rsidR="00430A79" w:rsidRPr="00430A79" w:rsidRDefault="00430A79" w:rsidP="00430A79">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2045</w:t>
            </w:r>
          </w:p>
        </w:tc>
      </w:tr>
      <w:tr w:rsidR="00430A79" w:rsidRPr="00430A79" w14:paraId="28009BB1" w14:textId="77777777" w:rsidTr="00D03949">
        <w:trPr>
          <w:trHeight w:val="60"/>
        </w:trPr>
        <w:tc>
          <w:tcPr>
            <w:tcW w:w="1082" w:type="pct"/>
            <w:vMerge/>
            <w:shd w:val="clear" w:color="auto" w:fill="365F91"/>
            <w:vAlign w:val="center"/>
          </w:tcPr>
          <w:p w14:paraId="2B8CC48D" w14:textId="77777777" w:rsidR="00430A79" w:rsidRPr="00430A79" w:rsidRDefault="00430A79" w:rsidP="00430A79">
            <w:pPr>
              <w:widowControl w:val="0"/>
              <w:autoSpaceDE w:val="0"/>
              <w:autoSpaceDN w:val="0"/>
              <w:spacing w:before="60" w:after="60"/>
              <w:rPr>
                <w:rFonts w:ascii="Arial Narrow" w:eastAsia="Calibri" w:hAnsi="Arial Narrow" w:cs="Arial"/>
                <w:sz w:val="20"/>
                <w:szCs w:val="20"/>
              </w:rPr>
            </w:pPr>
          </w:p>
        </w:tc>
        <w:tc>
          <w:tcPr>
            <w:tcW w:w="1916" w:type="pct"/>
            <w:vAlign w:val="center"/>
          </w:tcPr>
          <w:p w14:paraId="525D1ECD" w14:textId="77777777" w:rsidR="00430A79" w:rsidRPr="00430A79" w:rsidRDefault="00430A79" w:rsidP="00430A79">
            <w:pPr>
              <w:widowControl w:val="0"/>
              <w:autoSpaceDE w:val="0"/>
              <w:autoSpaceDN w:val="0"/>
              <w:spacing w:before="60" w:after="60"/>
              <w:ind w:left="138" w:right="264"/>
              <w:rPr>
                <w:rFonts w:ascii="Arial Narrow" w:eastAsia="Calibri" w:hAnsi="Arial Narrow" w:cs="Arial"/>
                <w:sz w:val="20"/>
                <w:szCs w:val="20"/>
              </w:rPr>
            </w:pPr>
            <w:r w:rsidRPr="00430A79">
              <w:rPr>
                <w:rFonts w:ascii="Arial Narrow" w:eastAsia="Calibri" w:hAnsi="Arial Narrow" w:cs="Arial"/>
                <w:sz w:val="20"/>
                <w:szCs w:val="20"/>
              </w:rPr>
              <w:t>Mbyllja e deponive komunale</w:t>
            </w:r>
          </w:p>
        </w:tc>
        <w:tc>
          <w:tcPr>
            <w:tcW w:w="654" w:type="pct"/>
            <w:vAlign w:val="center"/>
          </w:tcPr>
          <w:p w14:paraId="5973868C" w14:textId="77777777" w:rsidR="00430A79" w:rsidRPr="00430A79" w:rsidRDefault="00430A79" w:rsidP="00430A79">
            <w:pPr>
              <w:widowControl w:val="0"/>
              <w:autoSpaceDE w:val="0"/>
              <w:autoSpaceDN w:val="0"/>
              <w:spacing w:before="60" w:after="60"/>
              <w:jc w:val="center"/>
              <w:rPr>
                <w:rFonts w:ascii="Arial Narrow" w:eastAsia="Calibri" w:hAnsi="Arial Narrow" w:cs="Arial"/>
                <w:sz w:val="20"/>
                <w:szCs w:val="20"/>
              </w:rPr>
            </w:pPr>
            <w:r w:rsidRPr="00430A79">
              <w:rPr>
                <w:rFonts w:ascii="Arial Narrow" w:eastAsia="Calibri" w:hAnsi="Arial Narrow" w:cs="Arial"/>
                <w:sz w:val="20"/>
                <w:szCs w:val="20"/>
              </w:rPr>
              <w:t>70</w:t>
            </w:r>
          </w:p>
        </w:tc>
        <w:tc>
          <w:tcPr>
            <w:tcW w:w="719" w:type="pct"/>
          </w:tcPr>
          <w:p w14:paraId="3FFD8E2A" w14:textId="77777777" w:rsidR="00430A79" w:rsidRPr="00430A79" w:rsidRDefault="00430A79" w:rsidP="00430A79">
            <w:pPr>
              <w:spacing w:before="60" w:after="60"/>
              <w:jc w:val="center"/>
              <w:rPr>
                <w:rFonts w:ascii="Arial Narrow" w:eastAsia="Calibri" w:hAnsi="Arial Narrow" w:cs="Arial"/>
                <w:sz w:val="20"/>
                <w:szCs w:val="20"/>
              </w:rPr>
            </w:pPr>
            <w:r w:rsidRPr="00430A79">
              <w:rPr>
                <w:rFonts w:ascii="Arial Narrow" w:eastAsia="Calibri" w:hAnsi="Arial Narrow" w:cs="Arial"/>
                <w:sz w:val="20"/>
                <w:szCs w:val="20"/>
              </w:rPr>
              <w:t>0</w:t>
            </w:r>
          </w:p>
        </w:tc>
        <w:tc>
          <w:tcPr>
            <w:tcW w:w="629" w:type="pct"/>
            <w:vAlign w:val="center"/>
          </w:tcPr>
          <w:p w14:paraId="7D43AAE9" w14:textId="77777777" w:rsidR="00430A79" w:rsidRPr="00430A79" w:rsidRDefault="00430A79" w:rsidP="00430A79">
            <w:pPr>
              <w:spacing w:before="60" w:after="60"/>
              <w:jc w:val="right"/>
              <w:rPr>
                <w:rFonts w:ascii="Arial Narrow" w:eastAsia="Calibri" w:hAnsi="Arial Narrow" w:cs="Arial"/>
                <w:sz w:val="20"/>
                <w:szCs w:val="20"/>
              </w:rPr>
            </w:pPr>
            <w:r w:rsidRPr="00430A79">
              <w:rPr>
                <w:rFonts w:ascii="Arial Narrow" w:eastAsia="Calibri" w:hAnsi="Arial Narrow" w:cs="Arial"/>
                <w:sz w:val="20"/>
                <w:szCs w:val="20"/>
              </w:rPr>
              <w:t>2028</w:t>
            </w:r>
          </w:p>
        </w:tc>
      </w:tr>
      <w:tr w:rsidR="00430A79" w:rsidRPr="00430A79" w14:paraId="504DDBE1" w14:textId="77777777" w:rsidTr="00D03949">
        <w:trPr>
          <w:trHeight w:val="206"/>
        </w:trPr>
        <w:tc>
          <w:tcPr>
            <w:tcW w:w="1082" w:type="pct"/>
            <w:vMerge w:val="restart"/>
            <w:shd w:val="clear" w:color="auto" w:fill="365F91"/>
            <w:vAlign w:val="center"/>
          </w:tcPr>
          <w:p w14:paraId="3A619045" w14:textId="6B099F9A" w:rsidR="00430A79" w:rsidRPr="00430A79" w:rsidRDefault="0034513D" w:rsidP="00430A79">
            <w:pPr>
              <w:widowControl w:val="0"/>
              <w:autoSpaceDE w:val="0"/>
              <w:autoSpaceDN w:val="0"/>
              <w:spacing w:before="60" w:after="60"/>
              <w:ind w:right="257"/>
              <w:rPr>
                <w:rFonts w:ascii="Arial Narrow" w:eastAsia="Calibri" w:hAnsi="Arial Narrow" w:cs="Calibri"/>
                <w:color w:val="FFFFFF"/>
                <w:sz w:val="20"/>
                <w:szCs w:val="20"/>
              </w:rPr>
            </w:pPr>
            <w:r w:rsidRPr="00BE2534">
              <w:rPr>
                <w:rFonts w:ascii="Arial Narrow" w:eastAsia="Calibri" w:hAnsi="Arial Narrow" w:cs="Calibri"/>
                <w:color w:val="FFFFFF"/>
                <w:sz w:val="20"/>
                <w:szCs w:val="20"/>
                <w:lang w:val="sq-AL"/>
              </w:rPr>
              <w:t>Rritja e riciklimit dhe rikuperimit të mbeturinave të ndërtimit dhe rrënimit</w:t>
            </w:r>
          </w:p>
        </w:tc>
        <w:tc>
          <w:tcPr>
            <w:tcW w:w="1916" w:type="pct"/>
            <w:vMerge w:val="restart"/>
            <w:vAlign w:val="center"/>
          </w:tcPr>
          <w:p w14:paraId="4BE87F08" w14:textId="40C86700" w:rsidR="00430A79" w:rsidRPr="00430A79" w:rsidRDefault="00430A79" w:rsidP="00430A79">
            <w:pPr>
              <w:widowControl w:val="0"/>
              <w:autoSpaceDE w:val="0"/>
              <w:autoSpaceDN w:val="0"/>
              <w:spacing w:before="60" w:after="60"/>
              <w:ind w:left="138" w:right="264"/>
              <w:rPr>
                <w:rFonts w:ascii="Arial Narrow" w:eastAsia="Calibri" w:hAnsi="Arial Narrow" w:cs="Calibri"/>
                <w:sz w:val="20"/>
                <w:szCs w:val="20"/>
              </w:rPr>
            </w:pPr>
            <w:r w:rsidRPr="00430A79">
              <w:rPr>
                <w:rFonts w:ascii="Arial Narrow" w:eastAsia="Calibri" w:hAnsi="Arial Narrow" w:cs="Calibri"/>
                <w:sz w:val="20"/>
                <w:szCs w:val="20"/>
              </w:rPr>
              <w:t xml:space="preserve">Ripërdorimi dhe riciklimi i </w:t>
            </w:r>
            <w:r w:rsidR="0034513D">
              <w:rPr>
                <w:rFonts w:ascii="Arial Narrow" w:eastAsia="Calibri" w:hAnsi="Arial Narrow" w:cs="Calibri"/>
                <w:sz w:val="20"/>
                <w:szCs w:val="20"/>
              </w:rPr>
              <w:t>MNRr-ve</w:t>
            </w:r>
          </w:p>
        </w:tc>
        <w:tc>
          <w:tcPr>
            <w:tcW w:w="654" w:type="pct"/>
            <w:vMerge w:val="restart"/>
            <w:vAlign w:val="center"/>
          </w:tcPr>
          <w:p w14:paraId="315E3930" w14:textId="77777777" w:rsidR="00430A79" w:rsidRPr="00430A79" w:rsidRDefault="00430A79" w:rsidP="00430A79">
            <w:pPr>
              <w:widowControl w:val="0"/>
              <w:autoSpaceDE w:val="0"/>
              <w:autoSpaceDN w:val="0"/>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0%</w:t>
            </w:r>
          </w:p>
        </w:tc>
        <w:tc>
          <w:tcPr>
            <w:tcW w:w="719" w:type="pct"/>
          </w:tcPr>
          <w:p w14:paraId="06C4B3C4" w14:textId="77777777" w:rsidR="00430A79" w:rsidRPr="00430A79" w:rsidRDefault="00430A79" w:rsidP="00430A79">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40%</w:t>
            </w:r>
          </w:p>
        </w:tc>
        <w:tc>
          <w:tcPr>
            <w:tcW w:w="629" w:type="pct"/>
            <w:vAlign w:val="center"/>
          </w:tcPr>
          <w:p w14:paraId="43312B10" w14:textId="77777777" w:rsidR="00430A79" w:rsidRPr="00430A79" w:rsidRDefault="00430A79" w:rsidP="00430A79">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2030</w:t>
            </w:r>
          </w:p>
        </w:tc>
      </w:tr>
      <w:tr w:rsidR="00430A79" w:rsidRPr="00430A79" w14:paraId="3F18B0D7" w14:textId="77777777" w:rsidTr="00D03949">
        <w:trPr>
          <w:trHeight w:val="188"/>
        </w:trPr>
        <w:tc>
          <w:tcPr>
            <w:tcW w:w="1082" w:type="pct"/>
            <w:vMerge/>
            <w:shd w:val="clear" w:color="auto" w:fill="365F91"/>
            <w:vAlign w:val="center"/>
          </w:tcPr>
          <w:p w14:paraId="55F92320" w14:textId="77777777" w:rsidR="00430A79" w:rsidRPr="00430A79" w:rsidRDefault="00430A79" w:rsidP="00430A79">
            <w:pPr>
              <w:widowControl w:val="0"/>
              <w:autoSpaceDE w:val="0"/>
              <w:autoSpaceDN w:val="0"/>
              <w:spacing w:before="60" w:after="60"/>
              <w:rPr>
                <w:rFonts w:ascii="Arial Narrow" w:eastAsia="Calibri" w:hAnsi="Arial Narrow" w:cs="Calibri"/>
                <w:sz w:val="20"/>
                <w:szCs w:val="20"/>
              </w:rPr>
            </w:pPr>
          </w:p>
        </w:tc>
        <w:tc>
          <w:tcPr>
            <w:tcW w:w="1916" w:type="pct"/>
            <w:vMerge/>
            <w:vAlign w:val="center"/>
          </w:tcPr>
          <w:p w14:paraId="51C55B0A" w14:textId="77777777" w:rsidR="00430A79" w:rsidRPr="00430A79" w:rsidRDefault="00430A79" w:rsidP="00430A79">
            <w:pPr>
              <w:widowControl w:val="0"/>
              <w:autoSpaceDE w:val="0"/>
              <w:autoSpaceDN w:val="0"/>
              <w:spacing w:before="60" w:after="60"/>
              <w:ind w:left="138" w:right="264"/>
              <w:rPr>
                <w:rFonts w:ascii="Arial Narrow" w:eastAsia="Calibri" w:hAnsi="Arial Narrow" w:cs="Calibri"/>
                <w:sz w:val="20"/>
                <w:szCs w:val="20"/>
              </w:rPr>
            </w:pPr>
          </w:p>
        </w:tc>
        <w:tc>
          <w:tcPr>
            <w:tcW w:w="654" w:type="pct"/>
            <w:vMerge/>
            <w:vAlign w:val="center"/>
          </w:tcPr>
          <w:p w14:paraId="1B42755D" w14:textId="77777777" w:rsidR="00430A79" w:rsidRPr="00430A79" w:rsidRDefault="00430A79" w:rsidP="00430A79">
            <w:pPr>
              <w:widowControl w:val="0"/>
              <w:autoSpaceDE w:val="0"/>
              <w:autoSpaceDN w:val="0"/>
              <w:spacing w:before="60" w:after="60"/>
              <w:jc w:val="center"/>
              <w:rPr>
                <w:rFonts w:ascii="Arial Narrow" w:eastAsia="Calibri" w:hAnsi="Arial Narrow" w:cs="Calibri"/>
                <w:sz w:val="20"/>
                <w:szCs w:val="20"/>
              </w:rPr>
            </w:pPr>
          </w:p>
        </w:tc>
        <w:tc>
          <w:tcPr>
            <w:tcW w:w="719" w:type="pct"/>
          </w:tcPr>
          <w:p w14:paraId="5F9D2562" w14:textId="77777777" w:rsidR="00430A79" w:rsidRPr="00430A79" w:rsidRDefault="00430A79" w:rsidP="00430A79">
            <w:pPr>
              <w:spacing w:before="60" w:after="60"/>
              <w:jc w:val="center"/>
              <w:rPr>
                <w:rFonts w:ascii="Arial Narrow" w:eastAsia="Calibri" w:hAnsi="Arial Narrow" w:cs="Calibri"/>
                <w:sz w:val="20"/>
                <w:szCs w:val="20"/>
              </w:rPr>
            </w:pPr>
            <w:r w:rsidRPr="00430A79">
              <w:rPr>
                <w:rFonts w:ascii="Arial Narrow" w:eastAsia="Calibri" w:hAnsi="Arial Narrow" w:cs="Calibri"/>
                <w:sz w:val="20"/>
                <w:szCs w:val="20"/>
              </w:rPr>
              <w:t>50%</w:t>
            </w:r>
          </w:p>
        </w:tc>
        <w:tc>
          <w:tcPr>
            <w:tcW w:w="629" w:type="pct"/>
            <w:vAlign w:val="center"/>
          </w:tcPr>
          <w:p w14:paraId="2AB00E13" w14:textId="77777777" w:rsidR="00430A79" w:rsidRPr="00430A79" w:rsidRDefault="00430A79" w:rsidP="00430A79">
            <w:pPr>
              <w:spacing w:before="60" w:after="60"/>
              <w:jc w:val="right"/>
              <w:rPr>
                <w:rFonts w:ascii="Arial Narrow" w:eastAsia="Calibri" w:hAnsi="Arial Narrow" w:cs="Calibri"/>
                <w:sz w:val="20"/>
                <w:szCs w:val="20"/>
              </w:rPr>
            </w:pPr>
            <w:r w:rsidRPr="00430A79">
              <w:rPr>
                <w:rFonts w:ascii="Arial Narrow" w:eastAsia="Calibri" w:hAnsi="Arial Narrow" w:cs="Calibri"/>
                <w:sz w:val="20"/>
                <w:szCs w:val="20"/>
              </w:rPr>
              <w:t>2035</w:t>
            </w:r>
          </w:p>
        </w:tc>
      </w:tr>
      <w:tr w:rsidR="00430A79" w:rsidRPr="00430A79" w14:paraId="4C339187" w14:textId="77777777" w:rsidTr="00D03949">
        <w:trPr>
          <w:trHeight w:val="60"/>
        </w:trPr>
        <w:tc>
          <w:tcPr>
            <w:tcW w:w="1082" w:type="pct"/>
            <w:vMerge/>
            <w:shd w:val="clear" w:color="auto" w:fill="365F91"/>
            <w:vAlign w:val="center"/>
          </w:tcPr>
          <w:p w14:paraId="3144FBF4" w14:textId="77777777" w:rsidR="00430A79" w:rsidRPr="00430A79" w:rsidRDefault="00430A79" w:rsidP="00430A79">
            <w:pPr>
              <w:widowControl w:val="0"/>
              <w:autoSpaceDE w:val="0"/>
              <w:autoSpaceDN w:val="0"/>
              <w:spacing w:before="60" w:after="60"/>
              <w:rPr>
                <w:rFonts w:ascii="Arial Narrow" w:eastAsia="Calibri" w:hAnsi="Arial Narrow" w:cs="Arial"/>
                <w:sz w:val="20"/>
                <w:szCs w:val="20"/>
              </w:rPr>
            </w:pPr>
          </w:p>
        </w:tc>
        <w:tc>
          <w:tcPr>
            <w:tcW w:w="1916" w:type="pct"/>
            <w:vMerge w:val="restart"/>
            <w:vAlign w:val="center"/>
          </w:tcPr>
          <w:p w14:paraId="3E827CEF" w14:textId="3641E85B" w:rsidR="00430A79" w:rsidRPr="00430A79" w:rsidRDefault="00430A79" w:rsidP="00430A79">
            <w:pPr>
              <w:widowControl w:val="0"/>
              <w:autoSpaceDE w:val="0"/>
              <w:autoSpaceDN w:val="0"/>
              <w:spacing w:before="60" w:after="60"/>
              <w:ind w:left="138" w:right="264"/>
              <w:rPr>
                <w:rFonts w:ascii="Arial Narrow" w:eastAsia="Calibri" w:hAnsi="Arial Narrow" w:cs="Arial"/>
                <w:sz w:val="20"/>
                <w:szCs w:val="20"/>
              </w:rPr>
            </w:pPr>
            <w:r w:rsidRPr="00430A79">
              <w:rPr>
                <w:rFonts w:ascii="Arial Narrow" w:eastAsia="Calibri" w:hAnsi="Arial Narrow" w:cs="Arial"/>
                <w:sz w:val="20"/>
                <w:szCs w:val="20"/>
              </w:rPr>
              <w:t xml:space="preserve">Ripërdorimi, riciklimi dhe rikuperimi i materialeve tjera të </w:t>
            </w:r>
            <w:r w:rsidR="0034513D">
              <w:rPr>
                <w:rFonts w:ascii="Arial Narrow" w:eastAsia="Calibri" w:hAnsi="Arial Narrow" w:cs="Arial"/>
                <w:sz w:val="20"/>
                <w:szCs w:val="20"/>
              </w:rPr>
              <w:t>MNRr-ve</w:t>
            </w:r>
          </w:p>
        </w:tc>
        <w:tc>
          <w:tcPr>
            <w:tcW w:w="654" w:type="pct"/>
            <w:vMerge w:val="restart"/>
            <w:vAlign w:val="center"/>
          </w:tcPr>
          <w:p w14:paraId="2EFFA6A1" w14:textId="77777777" w:rsidR="00430A79" w:rsidRPr="00430A79" w:rsidRDefault="00430A79" w:rsidP="00430A79">
            <w:pPr>
              <w:widowControl w:val="0"/>
              <w:autoSpaceDE w:val="0"/>
              <w:autoSpaceDN w:val="0"/>
              <w:spacing w:before="60" w:after="60"/>
              <w:jc w:val="center"/>
              <w:rPr>
                <w:rFonts w:ascii="Arial Narrow" w:eastAsia="Calibri" w:hAnsi="Arial Narrow" w:cs="Arial"/>
                <w:sz w:val="20"/>
                <w:szCs w:val="20"/>
              </w:rPr>
            </w:pPr>
            <w:r w:rsidRPr="00430A79">
              <w:rPr>
                <w:rFonts w:ascii="Arial Narrow" w:eastAsia="Calibri" w:hAnsi="Arial Narrow" w:cs="Arial"/>
                <w:sz w:val="20"/>
                <w:szCs w:val="20"/>
              </w:rPr>
              <w:t>0%</w:t>
            </w:r>
          </w:p>
        </w:tc>
        <w:tc>
          <w:tcPr>
            <w:tcW w:w="719" w:type="pct"/>
          </w:tcPr>
          <w:p w14:paraId="20A8451C" w14:textId="77777777" w:rsidR="00430A79" w:rsidRPr="00430A79" w:rsidRDefault="00430A79" w:rsidP="00430A79">
            <w:pPr>
              <w:spacing w:before="60" w:after="60"/>
              <w:jc w:val="center"/>
              <w:rPr>
                <w:rFonts w:ascii="Arial Narrow" w:eastAsia="Calibri" w:hAnsi="Arial Narrow" w:cs="Arial"/>
                <w:sz w:val="20"/>
                <w:szCs w:val="20"/>
              </w:rPr>
            </w:pPr>
            <w:r w:rsidRPr="00430A79">
              <w:rPr>
                <w:rFonts w:ascii="Arial Narrow" w:eastAsia="Calibri" w:hAnsi="Arial Narrow" w:cs="Arial"/>
                <w:sz w:val="20"/>
                <w:szCs w:val="20"/>
              </w:rPr>
              <w:t>60%</w:t>
            </w:r>
          </w:p>
        </w:tc>
        <w:tc>
          <w:tcPr>
            <w:tcW w:w="629" w:type="pct"/>
            <w:vAlign w:val="center"/>
          </w:tcPr>
          <w:p w14:paraId="726FF5BF" w14:textId="77777777" w:rsidR="00430A79" w:rsidRPr="00430A79" w:rsidRDefault="00430A79" w:rsidP="00430A79">
            <w:pPr>
              <w:spacing w:before="60" w:after="60"/>
              <w:jc w:val="right"/>
              <w:rPr>
                <w:rFonts w:ascii="Arial Narrow" w:eastAsia="Calibri" w:hAnsi="Arial Narrow" w:cs="Arial"/>
                <w:sz w:val="20"/>
                <w:szCs w:val="20"/>
              </w:rPr>
            </w:pPr>
            <w:r w:rsidRPr="00430A79">
              <w:rPr>
                <w:rFonts w:ascii="Arial Narrow" w:eastAsia="Calibri" w:hAnsi="Arial Narrow" w:cs="Arial"/>
                <w:sz w:val="20"/>
                <w:szCs w:val="20"/>
              </w:rPr>
              <w:t>2030</w:t>
            </w:r>
          </w:p>
        </w:tc>
      </w:tr>
      <w:tr w:rsidR="00430A79" w:rsidRPr="00430A79" w14:paraId="342C1835" w14:textId="77777777" w:rsidTr="00D03949">
        <w:trPr>
          <w:trHeight w:val="60"/>
        </w:trPr>
        <w:tc>
          <w:tcPr>
            <w:tcW w:w="1082" w:type="pct"/>
            <w:vMerge/>
            <w:shd w:val="clear" w:color="auto" w:fill="365F91"/>
            <w:vAlign w:val="center"/>
          </w:tcPr>
          <w:p w14:paraId="7162CCAB" w14:textId="77777777" w:rsidR="00430A79" w:rsidRPr="00430A79" w:rsidRDefault="00430A79" w:rsidP="00430A79">
            <w:pPr>
              <w:widowControl w:val="0"/>
              <w:autoSpaceDE w:val="0"/>
              <w:autoSpaceDN w:val="0"/>
              <w:spacing w:before="60" w:after="60"/>
              <w:rPr>
                <w:rFonts w:ascii="Arial Narrow" w:eastAsia="Calibri" w:hAnsi="Arial Narrow" w:cs="Arial"/>
                <w:sz w:val="20"/>
                <w:szCs w:val="20"/>
              </w:rPr>
            </w:pPr>
          </w:p>
        </w:tc>
        <w:tc>
          <w:tcPr>
            <w:tcW w:w="1916" w:type="pct"/>
            <w:vMerge/>
            <w:vAlign w:val="center"/>
          </w:tcPr>
          <w:p w14:paraId="7652BA26" w14:textId="77777777" w:rsidR="00430A79" w:rsidRPr="00430A79" w:rsidRDefault="00430A79" w:rsidP="00430A79">
            <w:pPr>
              <w:widowControl w:val="0"/>
              <w:autoSpaceDE w:val="0"/>
              <w:autoSpaceDN w:val="0"/>
              <w:spacing w:before="60" w:after="60"/>
              <w:ind w:left="138" w:right="264"/>
              <w:rPr>
                <w:rFonts w:ascii="Arial Narrow" w:eastAsia="Calibri" w:hAnsi="Arial Narrow" w:cs="Arial"/>
                <w:sz w:val="20"/>
                <w:szCs w:val="20"/>
              </w:rPr>
            </w:pPr>
          </w:p>
        </w:tc>
        <w:tc>
          <w:tcPr>
            <w:tcW w:w="654" w:type="pct"/>
            <w:vMerge/>
            <w:vAlign w:val="center"/>
          </w:tcPr>
          <w:p w14:paraId="5EBC31B9" w14:textId="77777777" w:rsidR="00430A79" w:rsidRPr="00430A79" w:rsidRDefault="00430A79" w:rsidP="00430A79">
            <w:pPr>
              <w:widowControl w:val="0"/>
              <w:autoSpaceDE w:val="0"/>
              <w:autoSpaceDN w:val="0"/>
              <w:spacing w:before="60" w:after="60"/>
              <w:jc w:val="center"/>
              <w:rPr>
                <w:rFonts w:ascii="Arial Narrow" w:eastAsia="Calibri" w:hAnsi="Arial Narrow" w:cs="Arial"/>
                <w:sz w:val="20"/>
                <w:szCs w:val="20"/>
              </w:rPr>
            </w:pPr>
          </w:p>
        </w:tc>
        <w:tc>
          <w:tcPr>
            <w:tcW w:w="719" w:type="pct"/>
          </w:tcPr>
          <w:p w14:paraId="74CC7207" w14:textId="77777777" w:rsidR="00430A79" w:rsidRPr="00430A79" w:rsidRDefault="00430A79" w:rsidP="00430A79">
            <w:pPr>
              <w:spacing w:before="60" w:after="60"/>
              <w:jc w:val="center"/>
              <w:rPr>
                <w:rFonts w:ascii="Arial Narrow" w:eastAsia="Calibri" w:hAnsi="Arial Narrow" w:cs="Arial"/>
                <w:sz w:val="20"/>
                <w:szCs w:val="20"/>
              </w:rPr>
            </w:pPr>
            <w:r w:rsidRPr="00430A79">
              <w:rPr>
                <w:rFonts w:ascii="Arial Narrow" w:eastAsia="Calibri" w:hAnsi="Arial Narrow" w:cs="Arial"/>
                <w:sz w:val="20"/>
                <w:szCs w:val="20"/>
              </w:rPr>
              <w:t>70%</w:t>
            </w:r>
          </w:p>
        </w:tc>
        <w:tc>
          <w:tcPr>
            <w:tcW w:w="629" w:type="pct"/>
            <w:vAlign w:val="center"/>
          </w:tcPr>
          <w:p w14:paraId="623F5EFE" w14:textId="77777777" w:rsidR="00430A79" w:rsidRPr="00430A79" w:rsidRDefault="00430A79" w:rsidP="00430A79">
            <w:pPr>
              <w:spacing w:before="60" w:after="60"/>
              <w:jc w:val="right"/>
              <w:rPr>
                <w:rFonts w:ascii="Arial Narrow" w:eastAsia="Calibri" w:hAnsi="Arial Narrow" w:cs="Arial"/>
                <w:sz w:val="20"/>
                <w:szCs w:val="20"/>
              </w:rPr>
            </w:pPr>
            <w:r w:rsidRPr="00430A79">
              <w:rPr>
                <w:rFonts w:ascii="Arial Narrow" w:eastAsia="Calibri" w:hAnsi="Arial Narrow" w:cs="Arial"/>
                <w:sz w:val="20"/>
                <w:szCs w:val="20"/>
              </w:rPr>
              <w:t>2035</w:t>
            </w:r>
          </w:p>
        </w:tc>
      </w:tr>
    </w:tbl>
    <w:bookmarkEnd w:id="282"/>
    <w:p w14:paraId="1AA96C3E" w14:textId="7609A35E" w:rsidR="00430A79" w:rsidRDefault="008735EF" w:rsidP="008735EF">
      <w:pPr>
        <w:tabs>
          <w:tab w:val="left" w:pos="6026"/>
        </w:tabs>
        <w:rPr>
          <w:rFonts w:ascii="Arial Narrow" w:hAnsi="Arial Narrow"/>
        </w:rPr>
      </w:pPr>
      <w:r>
        <w:rPr>
          <w:rFonts w:ascii="Arial Narrow" w:hAnsi="Arial Narrow"/>
        </w:rPr>
        <w:tab/>
      </w:r>
    </w:p>
    <w:p w14:paraId="2B3EF35B" w14:textId="5DCE829A" w:rsidR="008735EF" w:rsidRDefault="008735EF">
      <w:pPr>
        <w:rPr>
          <w:rFonts w:ascii="Arial Narrow" w:hAnsi="Arial Narrow"/>
        </w:rPr>
      </w:pPr>
      <w:r>
        <w:rPr>
          <w:rFonts w:ascii="Arial Narrow" w:hAnsi="Arial Narrow"/>
        </w:rPr>
        <w:br w:type="page"/>
      </w:r>
    </w:p>
    <w:p w14:paraId="70AA48D5" w14:textId="77777777" w:rsidR="00430A79" w:rsidRPr="00430A79" w:rsidRDefault="00430A79" w:rsidP="000D7AD0">
      <w:pPr>
        <w:pStyle w:val="Heading1"/>
        <w:ind w:left="1134" w:hanging="1134"/>
      </w:pPr>
      <w:bookmarkStart w:id="283" w:name="_Toc185866101"/>
      <w:bookmarkStart w:id="284" w:name="_Toc197471998"/>
      <w:r w:rsidRPr="00430A79">
        <w:lastRenderedPageBreak/>
        <w:t>Parashikimi i popullsisë dhe gjenerimit të mbeturinave</w:t>
      </w:r>
      <w:bookmarkEnd w:id="283"/>
      <w:bookmarkEnd w:id="284"/>
    </w:p>
    <w:p w14:paraId="4FB90A11" w14:textId="77777777" w:rsidR="00430A79" w:rsidRPr="00430A79" w:rsidRDefault="00430A79" w:rsidP="00430A79">
      <w:pPr>
        <w:rPr>
          <w:rFonts w:ascii="Arial Narrow" w:eastAsia="Calibri" w:hAnsi="Arial Narrow" w:cs="Calibri"/>
          <w:sz w:val="22"/>
          <w:szCs w:val="22"/>
        </w:rPr>
      </w:pPr>
    </w:p>
    <w:p w14:paraId="0F5698CD" w14:textId="77777777" w:rsidR="007B6A84" w:rsidRPr="00BE2534" w:rsidRDefault="007B6A84" w:rsidP="007B6A84">
      <w:pPr>
        <w:rPr>
          <w:rFonts w:ascii="Arial Narrow" w:eastAsia="Calibri" w:hAnsi="Arial Narrow" w:cs="Calibri"/>
          <w:sz w:val="22"/>
          <w:szCs w:val="22"/>
          <w:lang w:val="sq-AL"/>
        </w:rPr>
      </w:pPr>
      <w:bookmarkStart w:id="285" w:name="_Hlk197099338"/>
      <w:r w:rsidRPr="00BE2534">
        <w:rPr>
          <w:rFonts w:ascii="Arial Narrow" w:eastAsia="Calibri" w:hAnsi="Arial Narrow" w:cs="Calibri"/>
          <w:sz w:val="22"/>
          <w:szCs w:val="22"/>
          <w:lang w:val="sq-AL"/>
        </w:rPr>
        <w:t>Analiza e opsioneve është zhvilluar sipas parashikimeve të popullsisë dhe parashikimeve të gjenerimit të mbeturinave siç paraqitet në figurat e mëposhtme. Të dhënat e popullsisë bazohen në regjistrimin e fundit të popullsisë, publikuar në vitin 2024.</w:t>
      </w:r>
    </w:p>
    <w:bookmarkEnd w:id="285"/>
    <w:p w14:paraId="61D665BF" w14:textId="77777777" w:rsidR="00430A79" w:rsidRPr="00430A79" w:rsidRDefault="00430A79" w:rsidP="00430A79">
      <w:pPr>
        <w:rPr>
          <w:rFonts w:ascii="Arial Narrow" w:eastAsia="Calibri" w:hAnsi="Arial Narrow" w:cs="Calibri"/>
          <w:sz w:val="22"/>
          <w:szCs w:val="22"/>
        </w:rPr>
      </w:pPr>
    </w:p>
    <w:p w14:paraId="790A3BC1" w14:textId="77777777" w:rsidR="00430A79" w:rsidRPr="00430A79" w:rsidRDefault="00430A79" w:rsidP="00430A79">
      <w:pPr>
        <w:jc w:val="center"/>
        <w:rPr>
          <w:rFonts w:ascii="Arial Narrow" w:eastAsia="Calibri" w:hAnsi="Arial Narrow" w:cs="Calibri"/>
          <w:sz w:val="22"/>
          <w:szCs w:val="22"/>
        </w:rPr>
      </w:pPr>
      <w:r w:rsidRPr="00430A79">
        <w:rPr>
          <w:rFonts w:ascii="Arial Narrow" w:eastAsia="Calibri" w:hAnsi="Arial Narrow" w:cs="Calibri"/>
          <w:noProof/>
          <w:sz w:val="22"/>
          <w:szCs w:val="22"/>
        </w:rPr>
        <w:drawing>
          <wp:inline distT="0" distB="0" distL="0" distR="0" wp14:anchorId="6D11AF0C" wp14:editId="217114F7">
            <wp:extent cx="4438650" cy="3552825"/>
            <wp:effectExtent l="0" t="0" r="0" b="9525"/>
            <wp:docPr id="546763684" name="Chart 1">
              <a:extLst xmlns:a="http://schemas.openxmlformats.org/drawingml/2006/main">
                <a:ext uri="{FF2B5EF4-FFF2-40B4-BE49-F238E27FC236}">
                  <a16:creationId xmlns:a16="http://schemas.microsoft.com/office/drawing/2014/main" id="{2D57D669-3988-783B-D05C-3020D53B74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8A3667C" w14:textId="3263E92F" w:rsidR="00430A79" w:rsidRPr="00430A79" w:rsidRDefault="00430A79" w:rsidP="006347D6">
      <w:pPr>
        <w:pStyle w:val="Figure"/>
        <w:rPr>
          <w:rFonts w:eastAsia="Calibri" w:cs="Calibri"/>
          <w:sz w:val="20"/>
          <w:szCs w:val="20"/>
        </w:rPr>
      </w:pPr>
      <w:bookmarkStart w:id="286" w:name="_Toc185866239"/>
      <w:bookmarkStart w:id="287" w:name="_Toc197472318"/>
      <w:r w:rsidRPr="00430A79">
        <w:rPr>
          <w:rFonts w:eastAsia="Calibri" w:cs="Calibri"/>
          <w:sz w:val="20"/>
          <w:szCs w:val="20"/>
        </w:rPr>
        <w:t xml:space="preserve">Figura </w:t>
      </w:r>
      <w:r w:rsidRPr="00430A79">
        <w:rPr>
          <w:rFonts w:eastAsia="Calibri" w:cs="Calibri"/>
          <w:sz w:val="20"/>
          <w:szCs w:val="20"/>
        </w:rPr>
        <w:fldChar w:fldCharType="begin"/>
      </w:r>
      <w:r w:rsidRPr="00430A79">
        <w:rPr>
          <w:rFonts w:eastAsia="Calibri" w:cs="Calibri"/>
          <w:sz w:val="20"/>
          <w:szCs w:val="20"/>
        </w:rPr>
        <w:instrText xml:space="preserve"> SEQ Figure \* ARABIC </w:instrText>
      </w:r>
      <w:r w:rsidRPr="00430A79">
        <w:rPr>
          <w:rFonts w:eastAsia="Calibri" w:cs="Calibri"/>
          <w:sz w:val="20"/>
          <w:szCs w:val="20"/>
        </w:rPr>
        <w:fldChar w:fldCharType="separate"/>
      </w:r>
      <w:r w:rsidR="00C97DF3">
        <w:rPr>
          <w:rFonts w:eastAsia="Calibri" w:cs="Calibri"/>
          <w:noProof/>
          <w:sz w:val="20"/>
          <w:szCs w:val="20"/>
        </w:rPr>
        <w:t xml:space="preserve">16 </w:t>
      </w:r>
      <w:r w:rsidRPr="00430A79">
        <w:rPr>
          <w:rFonts w:eastAsia="Calibri" w:cs="Calibri"/>
          <w:sz w:val="20"/>
          <w:szCs w:val="20"/>
        </w:rPr>
        <w:fldChar w:fldCharType="end"/>
      </w:r>
      <w:r w:rsidRPr="00430A79">
        <w:rPr>
          <w:rFonts w:eastAsia="Calibri" w:cs="Calibri"/>
          <w:sz w:val="20"/>
          <w:szCs w:val="20"/>
        </w:rPr>
        <w:t>. Parashikimi i popullsisë për Rajonin e Dukagjinit, 2024-2035</w:t>
      </w:r>
      <w:bookmarkEnd w:id="286"/>
      <w:bookmarkEnd w:id="287"/>
    </w:p>
    <w:p w14:paraId="4F9F50D4" w14:textId="77777777" w:rsidR="00430A79" w:rsidRPr="00430A79" w:rsidRDefault="00430A79" w:rsidP="00430A79">
      <w:pPr>
        <w:rPr>
          <w:rFonts w:ascii="Arial Narrow" w:eastAsia="Calibri" w:hAnsi="Arial Narrow" w:cs="Calibri"/>
          <w:sz w:val="22"/>
          <w:szCs w:val="22"/>
        </w:rPr>
      </w:pPr>
    </w:p>
    <w:p w14:paraId="2DC79B2D" w14:textId="77777777" w:rsidR="007B6A84" w:rsidRPr="00BE2534" w:rsidRDefault="007B6A84" w:rsidP="007B6A84">
      <w:pPr>
        <w:rPr>
          <w:rFonts w:ascii="Arial Narrow" w:eastAsia="Calibri" w:hAnsi="Arial Narrow" w:cs="Calibri"/>
          <w:sz w:val="22"/>
          <w:szCs w:val="22"/>
          <w:lang w:val="sq-AL"/>
        </w:rPr>
      </w:pPr>
      <w:bookmarkStart w:id="288" w:name="_Hlk197099485"/>
      <w:r w:rsidRPr="00BE2534">
        <w:rPr>
          <w:rFonts w:ascii="Arial Narrow" w:eastAsia="Calibri" w:hAnsi="Arial Narrow" w:cs="Calibri"/>
          <w:sz w:val="22"/>
          <w:szCs w:val="22"/>
          <w:lang w:val="sq-AL"/>
        </w:rPr>
        <w:t>Siç shihet nga diagrami i mësipërm, popullsia e rajonit të Dukagjinit pritet të zvogëlohet në mënyrë të pandjeshme në periudhën e planifikimit dhe të mbetet pak nën 180 mijë banorë.</w:t>
      </w:r>
    </w:p>
    <w:bookmarkEnd w:id="288"/>
    <w:p w14:paraId="5D98D341" w14:textId="77777777" w:rsidR="007B6A84" w:rsidRPr="00BE2534" w:rsidRDefault="007B6A84" w:rsidP="007B6A84">
      <w:pPr>
        <w:rPr>
          <w:rFonts w:ascii="Arial Narrow" w:eastAsia="Calibri" w:hAnsi="Arial Narrow" w:cs="Calibri"/>
          <w:sz w:val="22"/>
          <w:szCs w:val="22"/>
          <w:lang w:val="sq-AL"/>
        </w:rPr>
      </w:pPr>
    </w:p>
    <w:p w14:paraId="7DACCCCE" w14:textId="4AED5082" w:rsidR="00430A79" w:rsidRPr="00430A79" w:rsidRDefault="007B6A84" w:rsidP="007B6A84">
      <w:pPr>
        <w:rPr>
          <w:rFonts w:ascii="Arial Narrow" w:eastAsia="Calibri" w:hAnsi="Arial Narrow" w:cs="Calibri"/>
          <w:sz w:val="22"/>
          <w:szCs w:val="22"/>
        </w:rPr>
      </w:pPr>
      <w:r w:rsidRPr="00BE2534">
        <w:rPr>
          <w:rFonts w:ascii="Arial Narrow" w:eastAsia="Calibri" w:hAnsi="Arial Narrow" w:cs="Calibri"/>
          <w:sz w:val="22"/>
          <w:szCs w:val="22"/>
          <w:lang w:val="sq-AL"/>
        </w:rPr>
        <w:t>Figura më poshtë tregon një parashikim të sasive të mbeturinave gjatë periudhës së planifikimit</w:t>
      </w:r>
      <w:r w:rsidR="00430A79" w:rsidRPr="00430A79">
        <w:rPr>
          <w:rFonts w:ascii="Arial Narrow" w:eastAsia="Calibri" w:hAnsi="Arial Narrow" w:cs="Calibri"/>
          <w:sz w:val="22"/>
          <w:szCs w:val="22"/>
        </w:rPr>
        <w:t>.</w:t>
      </w:r>
    </w:p>
    <w:p w14:paraId="6939EC0D" w14:textId="77777777" w:rsidR="00430A79" w:rsidRPr="00430A79" w:rsidRDefault="00430A79" w:rsidP="00430A79">
      <w:pPr>
        <w:rPr>
          <w:rFonts w:ascii="Arial Narrow" w:eastAsia="Calibri" w:hAnsi="Arial Narrow" w:cs="Calibri"/>
          <w:sz w:val="22"/>
          <w:szCs w:val="22"/>
        </w:rPr>
      </w:pPr>
    </w:p>
    <w:p w14:paraId="6E219A3E" w14:textId="77777777" w:rsidR="00430A79" w:rsidRPr="00430A79" w:rsidRDefault="00430A79" w:rsidP="00430A79">
      <w:pPr>
        <w:jc w:val="center"/>
        <w:rPr>
          <w:rFonts w:ascii="Arial Narrow" w:eastAsia="Calibri" w:hAnsi="Arial Narrow" w:cs="Calibri"/>
          <w:sz w:val="22"/>
          <w:szCs w:val="22"/>
        </w:rPr>
      </w:pPr>
      <w:r w:rsidRPr="00430A79">
        <w:rPr>
          <w:rFonts w:ascii="Arial Narrow" w:eastAsia="Calibri" w:hAnsi="Arial Narrow" w:cs="Calibri"/>
          <w:noProof/>
          <w:sz w:val="22"/>
          <w:szCs w:val="22"/>
        </w:rPr>
        <w:lastRenderedPageBreak/>
        <w:drawing>
          <wp:inline distT="0" distB="0" distL="0" distR="0" wp14:anchorId="63C32A5A" wp14:editId="1C8D2FAB">
            <wp:extent cx="3840903" cy="2838027"/>
            <wp:effectExtent l="0" t="0" r="7620" b="635"/>
            <wp:docPr id="2083962746" name="Chart 1">
              <a:extLst xmlns:a="http://schemas.openxmlformats.org/drawingml/2006/main">
                <a:ext uri="{FF2B5EF4-FFF2-40B4-BE49-F238E27FC236}">
                  <a16:creationId xmlns:a16="http://schemas.microsoft.com/office/drawing/2014/main" id="{C4B7860D-FAEB-ED37-E7BC-0496F3F0CB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A272F77" w14:textId="19F6F0C7" w:rsidR="00430A79" w:rsidRPr="00430A79" w:rsidRDefault="00430A79" w:rsidP="006347D6">
      <w:pPr>
        <w:pStyle w:val="Figure"/>
        <w:rPr>
          <w:rFonts w:eastAsia="Calibri" w:cs="Calibri"/>
          <w:sz w:val="20"/>
          <w:szCs w:val="20"/>
        </w:rPr>
      </w:pPr>
      <w:bookmarkStart w:id="289" w:name="_Toc185866240"/>
      <w:bookmarkStart w:id="290" w:name="_Toc197472319"/>
      <w:r w:rsidRPr="00430A79">
        <w:rPr>
          <w:rFonts w:eastAsia="Calibri" w:cs="Calibri"/>
          <w:sz w:val="20"/>
          <w:szCs w:val="20"/>
        </w:rPr>
        <w:t xml:space="preserve">Figura </w:t>
      </w:r>
      <w:r w:rsidRPr="00430A79">
        <w:rPr>
          <w:rFonts w:eastAsia="Calibri" w:cs="Calibri"/>
          <w:sz w:val="20"/>
          <w:szCs w:val="20"/>
        </w:rPr>
        <w:fldChar w:fldCharType="begin"/>
      </w:r>
      <w:r w:rsidRPr="00430A79">
        <w:rPr>
          <w:rFonts w:eastAsia="Calibri" w:cs="Calibri"/>
          <w:sz w:val="20"/>
          <w:szCs w:val="20"/>
        </w:rPr>
        <w:instrText xml:space="preserve"> SEQ Figure \* ARABIC </w:instrText>
      </w:r>
      <w:r w:rsidRPr="00430A79">
        <w:rPr>
          <w:rFonts w:eastAsia="Calibri" w:cs="Calibri"/>
          <w:sz w:val="20"/>
          <w:szCs w:val="20"/>
        </w:rPr>
        <w:fldChar w:fldCharType="separate"/>
      </w:r>
      <w:r w:rsidR="00C97DF3">
        <w:rPr>
          <w:rFonts w:eastAsia="Calibri" w:cs="Calibri"/>
          <w:noProof/>
          <w:sz w:val="20"/>
          <w:szCs w:val="20"/>
        </w:rPr>
        <w:t xml:space="preserve">17. </w:t>
      </w:r>
      <w:r w:rsidRPr="00430A79">
        <w:rPr>
          <w:rFonts w:eastAsia="Calibri" w:cs="Calibri"/>
          <w:sz w:val="20"/>
          <w:szCs w:val="20"/>
        </w:rPr>
        <w:fldChar w:fldCharType="end"/>
      </w:r>
      <w:r w:rsidRPr="00430A79">
        <w:rPr>
          <w:rFonts w:eastAsia="Calibri" w:cs="Calibri"/>
          <w:sz w:val="20"/>
          <w:szCs w:val="20"/>
        </w:rPr>
        <w:t>Parashikimi i gjenerimit të mbet</w:t>
      </w:r>
      <w:r w:rsidR="007B6A84">
        <w:rPr>
          <w:rFonts w:eastAsia="Calibri" w:cs="Calibri"/>
          <w:sz w:val="20"/>
          <w:szCs w:val="20"/>
        </w:rPr>
        <w:t>urinave</w:t>
      </w:r>
      <w:r w:rsidRPr="00430A79">
        <w:rPr>
          <w:rFonts w:eastAsia="Calibri" w:cs="Calibri"/>
          <w:sz w:val="20"/>
          <w:szCs w:val="20"/>
        </w:rPr>
        <w:t xml:space="preserve"> </w:t>
      </w:r>
      <w:r w:rsidR="007B6A84">
        <w:rPr>
          <w:rFonts w:eastAsia="Calibri" w:cs="Calibri"/>
          <w:sz w:val="20"/>
          <w:szCs w:val="20"/>
        </w:rPr>
        <w:t>komunale</w:t>
      </w:r>
      <w:r w:rsidRPr="00430A79">
        <w:rPr>
          <w:rFonts w:eastAsia="Calibri" w:cs="Calibri"/>
          <w:sz w:val="20"/>
          <w:szCs w:val="20"/>
        </w:rPr>
        <w:t>, 2024-2035</w:t>
      </w:r>
      <w:bookmarkEnd w:id="289"/>
      <w:bookmarkEnd w:id="290"/>
    </w:p>
    <w:p w14:paraId="6C54B448" w14:textId="77777777" w:rsidR="00430A79" w:rsidRPr="00430A79" w:rsidRDefault="00430A79" w:rsidP="00430A79">
      <w:pPr>
        <w:rPr>
          <w:rFonts w:ascii="Arial Narrow" w:hAnsi="Arial Narrow"/>
        </w:rPr>
      </w:pPr>
    </w:p>
    <w:p w14:paraId="5147E7EB" w14:textId="77777777" w:rsidR="007B6A84" w:rsidRPr="00BE2534" w:rsidRDefault="007B6A84" w:rsidP="007B6A84">
      <w:pPr>
        <w:rPr>
          <w:rFonts w:ascii="Arial Narrow" w:hAnsi="Arial Narrow"/>
          <w:lang w:val="sq-AL"/>
        </w:rPr>
      </w:pPr>
      <w:bookmarkStart w:id="291" w:name="_Hlk197099625"/>
      <w:r w:rsidRPr="00BE2534">
        <w:rPr>
          <w:rFonts w:ascii="Arial Narrow" w:hAnsi="Arial Narrow"/>
          <w:lang w:val="sq-AL"/>
        </w:rPr>
        <w:t>Megjithëse popullsia e rajonit pritet të mbetet mjaft konstante, sasia e mbeturinave pritet të rritet me 7% në fund të periudhës së planifikimit dhe të arrijë në rreth 73,000 tonë në vitin 2035. Kjo vjen si pasojë e rritjes së pritshme të BPV-së gjatë kësaj periudhe.</w:t>
      </w:r>
    </w:p>
    <w:bookmarkEnd w:id="291"/>
    <w:p w14:paraId="4E98F3AB" w14:textId="77777777" w:rsidR="007B6A84" w:rsidRPr="00BE2534" w:rsidRDefault="007B6A84" w:rsidP="007B6A84">
      <w:pPr>
        <w:rPr>
          <w:rFonts w:ascii="Arial Narrow" w:hAnsi="Arial Narrow"/>
          <w:lang w:val="sq-AL"/>
        </w:rPr>
      </w:pPr>
    </w:p>
    <w:p w14:paraId="5CC8C408" w14:textId="77777777" w:rsidR="007B6A84" w:rsidRPr="00BE2534" w:rsidRDefault="007B6A84" w:rsidP="007B6A84">
      <w:pPr>
        <w:rPr>
          <w:rFonts w:ascii="Arial Narrow" w:hAnsi="Arial Narrow"/>
          <w:lang w:val="sq-AL"/>
        </w:rPr>
      </w:pPr>
      <w:r w:rsidRPr="00BE2534">
        <w:rPr>
          <w:rFonts w:ascii="Arial Narrow" w:hAnsi="Arial Narrow"/>
          <w:lang w:val="sq-AL"/>
        </w:rPr>
        <w:t>Figura më poshtë tregon përbërjen e mbeturinave në rajon. Të dhënat bazohen në anketën e përbërjes së mbeturinave komunale të kryer nga GIZ më 2021 dhe 2022.</w:t>
      </w:r>
    </w:p>
    <w:p w14:paraId="19753063" w14:textId="401BB5E9" w:rsidR="00430A79" w:rsidRPr="00B1488D" w:rsidRDefault="00430A79" w:rsidP="00430A79">
      <w:pPr>
        <w:rPr>
          <w:rFonts w:ascii="Arial Narrow" w:hAnsi="Arial Narrow"/>
          <w:sz w:val="22"/>
          <w:szCs w:val="22"/>
        </w:rPr>
      </w:pPr>
    </w:p>
    <w:p w14:paraId="3FCE0548" w14:textId="77777777" w:rsidR="00430A79" w:rsidRPr="00430A79" w:rsidRDefault="00430A79" w:rsidP="00430A79">
      <w:pPr>
        <w:rPr>
          <w:rFonts w:ascii="Arial Narrow" w:hAnsi="Arial Narrow"/>
        </w:rPr>
      </w:pPr>
    </w:p>
    <w:p w14:paraId="5DAD614A" w14:textId="413F3055" w:rsidR="00430A79" w:rsidRPr="00430A79" w:rsidRDefault="007B6A84" w:rsidP="007B6A84">
      <w:pPr>
        <w:jc w:val="center"/>
        <w:rPr>
          <w:rFonts w:ascii="Arial Narrow" w:hAnsi="Arial Narrow"/>
        </w:rPr>
      </w:pPr>
      <w:r>
        <w:rPr>
          <w:noProof/>
        </w:rPr>
        <w:drawing>
          <wp:inline distT="0" distB="0" distL="0" distR="0" wp14:anchorId="302DFDE1" wp14:editId="6F7161C6">
            <wp:extent cx="4541691" cy="3265714"/>
            <wp:effectExtent l="0" t="0" r="11430" b="11430"/>
            <wp:docPr id="251346302" name="Chart 1">
              <a:extLst xmlns:a="http://schemas.openxmlformats.org/drawingml/2006/main">
                <a:ext uri="{FF2B5EF4-FFF2-40B4-BE49-F238E27FC236}">
                  <a16:creationId xmlns:a16="http://schemas.microsoft.com/office/drawing/2014/main" id="{2CB4479A-9BEB-4942-B42C-CCF9813D00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F7A2E52" w14:textId="4E7E5EAB" w:rsidR="00430A79" w:rsidRPr="00430A79" w:rsidRDefault="00430A79" w:rsidP="006347D6">
      <w:pPr>
        <w:pStyle w:val="Figure"/>
        <w:rPr>
          <w:rFonts w:eastAsia="Calibri" w:cs="Calibri"/>
          <w:sz w:val="20"/>
          <w:szCs w:val="20"/>
        </w:rPr>
      </w:pPr>
      <w:bookmarkStart w:id="292" w:name="_Toc185866241"/>
      <w:bookmarkStart w:id="293" w:name="_Toc197472320"/>
      <w:r w:rsidRPr="00430A79">
        <w:rPr>
          <w:rFonts w:eastAsia="Calibri" w:cs="Calibri"/>
          <w:sz w:val="20"/>
          <w:szCs w:val="20"/>
        </w:rPr>
        <w:t xml:space="preserve">Figura </w:t>
      </w:r>
      <w:r w:rsidRPr="00430A79">
        <w:rPr>
          <w:rFonts w:eastAsia="Calibri" w:cs="Calibri"/>
          <w:sz w:val="20"/>
          <w:szCs w:val="20"/>
        </w:rPr>
        <w:fldChar w:fldCharType="begin"/>
      </w:r>
      <w:r w:rsidRPr="00430A79">
        <w:rPr>
          <w:rFonts w:eastAsia="Calibri" w:cs="Calibri"/>
          <w:sz w:val="20"/>
          <w:szCs w:val="20"/>
        </w:rPr>
        <w:instrText xml:space="preserve"> SEQ Figure \* ARABIC </w:instrText>
      </w:r>
      <w:r w:rsidRPr="00430A79">
        <w:rPr>
          <w:rFonts w:eastAsia="Calibri" w:cs="Calibri"/>
          <w:sz w:val="20"/>
          <w:szCs w:val="20"/>
        </w:rPr>
        <w:fldChar w:fldCharType="separate"/>
      </w:r>
      <w:r w:rsidR="00C97DF3">
        <w:rPr>
          <w:rFonts w:eastAsia="Calibri" w:cs="Calibri"/>
          <w:noProof/>
          <w:sz w:val="20"/>
          <w:szCs w:val="20"/>
        </w:rPr>
        <w:t xml:space="preserve">18. </w:t>
      </w:r>
      <w:r w:rsidRPr="00430A79">
        <w:rPr>
          <w:rFonts w:eastAsia="Calibri" w:cs="Calibri"/>
          <w:sz w:val="20"/>
          <w:szCs w:val="20"/>
        </w:rPr>
        <w:fldChar w:fldCharType="end"/>
      </w:r>
      <w:r w:rsidRPr="00430A79">
        <w:rPr>
          <w:rFonts w:eastAsia="Calibri" w:cs="Calibri"/>
          <w:sz w:val="20"/>
          <w:szCs w:val="20"/>
        </w:rPr>
        <w:t>Përbërja e mbeturinave komunale</w:t>
      </w:r>
      <w:bookmarkEnd w:id="292"/>
      <w:bookmarkEnd w:id="293"/>
    </w:p>
    <w:p w14:paraId="401A0E46" w14:textId="77777777" w:rsidR="00A41C6A" w:rsidRDefault="00A41C6A" w:rsidP="00430A79">
      <w:pPr>
        <w:rPr>
          <w:rFonts w:ascii="Arial Narrow" w:hAnsi="Arial Narrow"/>
        </w:rPr>
      </w:pPr>
    </w:p>
    <w:p w14:paraId="5A5BC246" w14:textId="77777777" w:rsidR="007B6A84" w:rsidRPr="00BE2534" w:rsidRDefault="007B6A84" w:rsidP="007B6A84">
      <w:pPr>
        <w:rPr>
          <w:rFonts w:ascii="Arial Narrow" w:hAnsi="Arial Narrow"/>
          <w:lang w:val="sq-AL"/>
        </w:rPr>
      </w:pPr>
      <w:r w:rsidRPr="00BE2534">
        <w:rPr>
          <w:rFonts w:ascii="Arial Narrow" w:hAnsi="Arial Narrow"/>
          <w:lang w:val="sq-AL"/>
        </w:rPr>
        <w:t>Siç shihet nga figura e mësipërme, fraksioni më i madh i mbeturinave është ai i  mbeturinave ushqimore, ndjekur nga plastika, letra dhe kartoni.</w:t>
      </w:r>
    </w:p>
    <w:p w14:paraId="6A979523" w14:textId="67D594D5" w:rsidR="00A41C6A" w:rsidRPr="00B1488D" w:rsidRDefault="00A41C6A" w:rsidP="00430A79">
      <w:pPr>
        <w:rPr>
          <w:rFonts w:ascii="Arial Narrow" w:hAnsi="Arial Narrow"/>
          <w:sz w:val="22"/>
          <w:szCs w:val="22"/>
        </w:rPr>
      </w:pPr>
    </w:p>
    <w:p w14:paraId="1D2629EA" w14:textId="77777777" w:rsidR="00430A79" w:rsidRPr="00430A79" w:rsidRDefault="00430A79" w:rsidP="000D7AD0">
      <w:pPr>
        <w:pStyle w:val="Heading1"/>
        <w:ind w:left="1134" w:hanging="1134"/>
      </w:pPr>
      <w:bookmarkStart w:id="294" w:name="_Toc185866102"/>
      <w:bookmarkStart w:id="295" w:name="_Toc197471999"/>
      <w:r w:rsidRPr="00430A79">
        <w:t>Analiza e opsioneve</w:t>
      </w:r>
      <w:bookmarkEnd w:id="294"/>
      <w:bookmarkEnd w:id="295"/>
    </w:p>
    <w:p w14:paraId="3942A66B" w14:textId="42B9A1ED" w:rsidR="00430A79" w:rsidRPr="00430A79" w:rsidRDefault="00430A79" w:rsidP="000D7AD0">
      <w:pPr>
        <w:pStyle w:val="Heading2"/>
      </w:pPr>
      <w:bookmarkStart w:id="296" w:name="_Toc185866103"/>
      <w:bookmarkStart w:id="297" w:name="_Toc197472000"/>
      <w:r w:rsidRPr="00430A79">
        <w:t>Supozime</w:t>
      </w:r>
      <w:r w:rsidR="007B6A84">
        <w:t>t</w:t>
      </w:r>
      <w:r w:rsidRPr="00430A79">
        <w:t xml:space="preserve"> dhe metodologji</w:t>
      </w:r>
      <w:bookmarkEnd w:id="296"/>
      <w:r w:rsidR="007B6A84">
        <w:t>a</w:t>
      </w:r>
      <w:bookmarkEnd w:id="297"/>
    </w:p>
    <w:p w14:paraId="4CF720C0" w14:textId="77777777" w:rsidR="00430A79" w:rsidRPr="00430A79" w:rsidRDefault="00430A79" w:rsidP="00430A79">
      <w:pPr>
        <w:rPr>
          <w:rFonts w:ascii="Arial Narrow" w:eastAsia="Calibri" w:hAnsi="Arial Narrow" w:cs="Calibri"/>
          <w:sz w:val="22"/>
          <w:szCs w:val="22"/>
        </w:rPr>
      </w:pPr>
    </w:p>
    <w:p w14:paraId="7C728CAD" w14:textId="77777777" w:rsidR="007B6A84" w:rsidRPr="00BE2534" w:rsidRDefault="007B6A84" w:rsidP="007B6A84">
      <w:pPr>
        <w:jc w:val="both"/>
        <w:rPr>
          <w:rFonts w:ascii="Arial Narrow" w:eastAsia="Calibri" w:hAnsi="Arial Narrow" w:cs="Calibri"/>
          <w:sz w:val="22"/>
          <w:szCs w:val="22"/>
          <w:lang w:val="sq-AL"/>
        </w:rPr>
      </w:pPr>
      <w:r w:rsidRPr="00BE2534">
        <w:rPr>
          <w:rFonts w:ascii="Arial Narrow" w:eastAsia="Calibri" w:hAnsi="Arial Narrow" w:cs="Calibri"/>
          <w:sz w:val="22"/>
          <w:szCs w:val="22"/>
          <w:lang w:val="sq-AL"/>
        </w:rPr>
        <w:t>Planifikimi i integruar i menaxhimit të mbeturinave inerte përfshin një qasje strategjike për menaxhimin e qëndrueshëm të mbeturinave që mbulon të gjitha burimet dhe të gjitha aspektet, duke përfshirë minimizimin e mbeturinave, ndarjen nga burimi, trajtimin, rikuperimin dhe deponimin në një mënyrë që i jep përparësi parandalimit të mbeturinave dhe maksimizon efikasitetin e burimeve.</w:t>
      </w:r>
    </w:p>
    <w:p w14:paraId="518BC215" w14:textId="77777777" w:rsidR="007B6A84" w:rsidRPr="00BE2534" w:rsidRDefault="007B6A84" w:rsidP="007B6A84">
      <w:pPr>
        <w:rPr>
          <w:rFonts w:ascii="Arial Narrow" w:eastAsia="Calibri" w:hAnsi="Arial Narrow" w:cs="Calibri"/>
          <w:sz w:val="22"/>
          <w:szCs w:val="22"/>
          <w:lang w:val="sq-AL"/>
        </w:rPr>
      </w:pPr>
    </w:p>
    <w:p w14:paraId="6492A3F7" w14:textId="79A17592" w:rsidR="00430A79" w:rsidRPr="00430A79" w:rsidRDefault="007B6A84" w:rsidP="007B6A84">
      <w:pPr>
        <w:jc w:val="both"/>
        <w:rPr>
          <w:rFonts w:ascii="Arial Narrow" w:eastAsia="Calibri" w:hAnsi="Arial Narrow" w:cs="Calibri"/>
          <w:sz w:val="22"/>
          <w:szCs w:val="22"/>
        </w:rPr>
      </w:pPr>
      <w:r w:rsidRPr="00BE2534">
        <w:rPr>
          <w:rFonts w:ascii="Arial Narrow" w:eastAsia="Calibri" w:hAnsi="Arial Narrow" w:cs="Calibri"/>
          <w:sz w:val="22"/>
          <w:szCs w:val="22"/>
          <w:lang w:val="sq-AL"/>
        </w:rPr>
        <w:t>Metodologjia e përdorur për zhvillimin e opsioneve për krijimin e një sistemi të integruar të menaxhimit të mbeturinave në zonën e menaxhimit të mbeturinave (ZMM) bazohet në kriteret kryesore të mëposhtme</w:t>
      </w:r>
      <w:r w:rsidR="00430A79" w:rsidRPr="00430A79">
        <w:rPr>
          <w:rFonts w:ascii="Arial Narrow" w:eastAsia="Calibri" w:hAnsi="Arial Narrow" w:cs="Calibri"/>
          <w:sz w:val="22"/>
          <w:szCs w:val="22"/>
        </w:rPr>
        <w:t>:</w:t>
      </w:r>
    </w:p>
    <w:p w14:paraId="68A91BAF" w14:textId="77777777" w:rsidR="00430A79" w:rsidRPr="00430A79" w:rsidRDefault="00430A79" w:rsidP="00430A79">
      <w:pPr>
        <w:rPr>
          <w:rFonts w:ascii="Arial Narrow" w:eastAsia="Calibri" w:hAnsi="Arial Narrow" w:cs="Calibri"/>
          <w:sz w:val="22"/>
          <w:szCs w:val="22"/>
        </w:rPr>
      </w:pPr>
    </w:p>
    <w:p w14:paraId="44A8BBB1" w14:textId="77777777" w:rsidR="007B6A84" w:rsidRPr="00BE2534" w:rsidRDefault="007B6A84" w:rsidP="007B6A84">
      <w:pPr>
        <w:numPr>
          <w:ilvl w:val="0"/>
          <w:numId w:val="8"/>
        </w:numPr>
        <w:contextualSpacing/>
        <w:rPr>
          <w:rFonts w:ascii="Arial Narrow" w:eastAsia="Calibri" w:hAnsi="Arial Narrow" w:cs="Calibri"/>
          <w:sz w:val="22"/>
          <w:szCs w:val="22"/>
          <w:lang w:val="sq-AL"/>
        </w:rPr>
      </w:pPr>
      <w:r w:rsidRPr="00BE2534">
        <w:rPr>
          <w:rFonts w:ascii="Arial Narrow" w:eastAsia="Calibri" w:hAnsi="Arial Narrow" w:cs="Calibri"/>
          <w:sz w:val="22"/>
          <w:szCs w:val="22"/>
          <w:lang w:val="sq-AL"/>
        </w:rPr>
        <w:t>Hierarkia e aktiviteteve të menaxhimit të mbeturinave siç përcaktohet nga legjislacioni i BE-së për mbeturinat</w:t>
      </w:r>
    </w:p>
    <w:p w14:paraId="1835469A" w14:textId="77777777" w:rsidR="007B6A84" w:rsidRPr="00BE2534" w:rsidRDefault="007B6A84" w:rsidP="007B6A84">
      <w:pPr>
        <w:numPr>
          <w:ilvl w:val="0"/>
          <w:numId w:val="8"/>
        </w:numPr>
        <w:contextualSpacing/>
        <w:rPr>
          <w:rFonts w:ascii="Arial Narrow" w:eastAsia="Calibri" w:hAnsi="Arial Narrow" w:cs="Calibri"/>
          <w:sz w:val="22"/>
          <w:szCs w:val="22"/>
          <w:lang w:val="sq-AL"/>
        </w:rPr>
      </w:pPr>
      <w:r w:rsidRPr="00BE2534">
        <w:rPr>
          <w:rFonts w:ascii="Arial Narrow" w:eastAsia="Calibri" w:hAnsi="Arial Narrow" w:cs="Calibri"/>
          <w:sz w:val="22"/>
          <w:szCs w:val="22"/>
          <w:lang w:val="sq-AL"/>
        </w:rPr>
        <w:t>Shërbimet ekzistuese dhe të planifikuara të menaxhimit të mbeturinave si dhe infrastruktura.</w:t>
      </w:r>
    </w:p>
    <w:p w14:paraId="4EE2387E" w14:textId="77777777" w:rsidR="007B6A84" w:rsidRPr="00BE2534" w:rsidRDefault="007B6A84" w:rsidP="007B6A84">
      <w:pPr>
        <w:numPr>
          <w:ilvl w:val="0"/>
          <w:numId w:val="8"/>
        </w:numPr>
        <w:contextualSpacing/>
        <w:rPr>
          <w:rFonts w:ascii="Arial Narrow" w:eastAsia="Calibri" w:hAnsi="Arial Narrow" w:cs="Calibri"/>
          <w:sz w:val="22"/>
          <w:szCs w:val="22"/>
          <w:lang w:val="sq-AL"/>
        </w:rPr>
      </w:pPr>
      <w:r w:rsidRPr="00BE2534">
        <w:rPr>
          <w:rFonts w:ascii="Arial Narrow" w:eastAsia="Calibri" w:hAnsi="Arial Narrow" w:cs="Calibri"/>
          <w:sz w:val="22"/>
          <w:szCs w:val="22"/>
          <w:lang w:val="sq-AL"/>
        </w:rPr>
        <w:t>Vlerësimi i nevojave aktuale dhe të ardhshme në menaxhimin e mbeturinave</w:t>
      </w:r>
    </w:p>
    <w:p w14:paraId="579E1C9A" w14:textId="77777777" w:rsidR="007B6A84" w:rsidRPr="00BE2534" w:rsidRDefault="007B6A84" w:rsidP="007B6A84">
      <w:pPr>
        <w:numPr>
          <w:ilvl w:val="0"/>
          <w:numId w:val="8"/>
        </w:numPr>
        <w:contextualSpacing/>
        <w:rPr>
          <w:rFonts w:ascii="Arial Narrow" w:eastAsia="Calibri" w:hAnsi="Arial Narrow" w:cs="Calibri"/>
          <w:sz w:val="22"/>
          <w:szCs w:val="22"/>
          <w:lang w:val="sq-AL"/>
        </w:rPr>
      </w:pPr>
      <w:r w:rsidRPr="00BE2534">
        <w:rPr>
          <w:rFonts w:ascii="Arial Narrow" w:eastAsia="Calibri" w:hAnsi="Arial Narrow" w:cs="Calibri"/>
          <w:sz w:val="22"/>
          <w:szCs w:val="22"/>
          <w:lang w:val="sq-AL"/>
        </w:rPr>
        <w:t>Identifikimi i masave, në përputhje me legjislacionin ekzistues dhe në përputhje me masat e përcaktuara në SKMIM 2024-2035</w:t>
      </w:r>
    </w:p>
    <w:p w14:paraId="67BC3030" w14:textId="77777777" w:rsidR="007B6A84" w:rsidRPr="00BE2534" w:rsidRDefault="007B6A84" w:rsidP="007B6A84">
      <w:pPr>
        <w:numPr>
          <w:ilvl w:val="0"/>
          <w:numId w:val="8"/>
        </w:numPr>
        <w:contextualSpacing/>
        <w:rPr>
          <w:rFonts w:ascii="Arial Narrow" w:eastAsia="Calibri" w:hAnsi="Arial Narrow" w:cs="Calibri"/>
          <w:sz w:val="22"/>
          <w:szCs w:val="22"/>
          <w:lang w:val="sq-AL"/>
        </w:rPr>
      </w:pPr>
      <w:r w:rsidRPr="00BE2534">
        <w:rPr>
          <w:rFonts w:ascii="Arial Narrow" w:eastAsia="Calibri" w:hAnsi="Arial Narrow" w:cs="Calibri"/>
          <w:sz w:val="22"/>
          <w:szCs w:val="22"/>
          <w:lang w:val="sq-AL"/>
        </w:rPr>
        <w:t>Objektivat e menaxhimit të mbeturinave të përcaktuara në SKMIM 2024-2035</w:t>
      </w:r>
    </w:p>
    <w:p w14:paraId="39917F06" w14:textId="77777777" w:rsidR="007B6A84" w:rsidRPr="00BE2534" w:rsidRDefault="007B6A84" w:rsidP="007B6A84">
      <w:pPr>
        <w:numPr>
          <w:ilvl w:val="0"/>
          <w:numId w:val="8"/>
        </w:numPr>
        <w:contextualSpacing/>
        <w:rPr>
          <w:rFonts w:ascii="Arial Narrow" w:eastAsia="Calibri" w:hAnsi="Arial Narrow" w:cs="Calibri"/>
          <w:sz w:val="22"/>
          <w:szCs w:val="22"/>
          <w:lang w:val="sq-AL"/>
        </w:rPr>
      </w:pPr>
      <w:r w:rsidRPr="00BE2534">
        <w:rPr>
          <w:rFonts w:ascii="Arial Narrow" w:eastAsia="Calibri" w:hAnsi="Arial Narrow" w:cs="Calibri"/>
          <w:sz w:val="22"/>
          <w:szCs w:val="22"/>
          <w:lang w:val="sq-AL"/>
        </w:rPr>
        <w:t>Analiza e opsioneve teknikisht të zbatueshme bazuar në praktikat më të mira të disponueshme dhe standardet e BE-së</w:t>
      </w:r>
    </w:p>
    <w:p w14:paraId="1DC2DE00" w14:textId="77777777" w:rsidR="007B6A84" w:rsidRPr="00BE2534" w:rsidRDefault="007B6A84" w:rsidP="007B6A84">
      <w:pPr>
        <w:numPr>
          <w:ilvl w:val="0"/>
          <w:numId w:val="8"/>
        </w:numPr>
        <w:contextualSpacing/>
        <w:rPr>
          <w:rFonts w:ascii="Arial Narrow" w:eastAsia="Calibri" w:hAnsi="Arial Narrow" w:cs="Calibri"/>
          <w:sz w:val="22"/>
          <w:szCs w:val="22"/>
          <w:lang w:val="sq-AL"/>
        </w:rPr>
      </w:pPr>
      <w:r w:rsidRPr="00BE2534">
        <w:rPr>
          <w:rFonts w:ascii="Arial Narrow" w:eastAsia="Calibri" w:hAnsi="Arial Narrow" w:cs="Calibri"/>
          <w:sz w:val="22"/>
          <w:szCs w:val="22"/>
          <w:lang w:val="sq-AL"/>
        </w:rPr>
        <w:t>Analiza e opsioneve teknikisht të zbatueshme në lidhje me përballueshmërinë e tyre dhe zbatueshmërinë lokale</w:t>
      </w:r>
    </w:p>
    <w:p w14:paraId="52E4529C" w14:textId="77777777" w:rsidR="00430A79" w:rsidRPr="004B029F" w:rsidRDefault="00430A79" w:rsidP="00430A79">
      <w:pPr>
        <w:rPr>
          <w:rFonts w:ascii="Arial Narrow" w:eastAsia="Calibri" w:hAnsi="Arial Narrow" w:cs="Calibri"/>
          <w:sz w:val="22"/>
          <w:szCs w:val="22"/>
        </w:rPr>
      </w:pPr>
    </w:p>
    <w:p w14:paraId="7F592B7D" w14:textId="77777777" w:rsidR="004B029F" w:rsidRPr="004B029F" w:rsidRDefault="004B029F" w:rsidP="004B029F">
      <w:pPr>
        <w:rPr>
          <w:rFonts w:ascii="Arial Narrow" w:eastAsia="Calibri" w:hAnsi="Arial Narrow" w:cs="Calibri"/>
          <w:sz w:val="22"/>
          <w:szCs w:val="22"/>
          <w:lang w:val="sq-AL"/>
        </w:rPr>
      </w:pPr>
      <w:r w:rsidRPr="004B029F">
        <w:rPr>
          <w:rFonts w:ascii="Arial Narrow" w:eastAsia="Calibri" w:hAnsi="Arial Narrow" w:cs="Calibri"/>
          <w:sz w:val="22"/>
          <w:szCs w:val="22"/>
          <w:lang w:val="sq-AL"/>
        </w:rPr>
        <w:t>Analiza e opsioneve bazohet në supozimin kryesor se shërbimet e menaxhimit të mbeturinave në ZMM do të ofrohen ose në bazë rajonale ose nën-rajonale, krahasuar me ofrimin e shërbimeve të menaxhimit të mbeturinave nga secili autoritet publik lokal.</w:t>
      </w:r>
    </w:p>
    <w:p w14:paraId="1AE6567E" w14:textId="77777777" w:rsidR="004B029F" w:rsidRPr="004B029F" w:rsidRDefault="004B029F" w:rsidP="004B029F">
      <w:pPr>
        <w:rPr>
          <w:rFonts w:ascii="Arial Narrow" w:eastAsia="Calibri" w:hAnsi="Arial Narrow" w:cs="Calibri"/>
          <w:sz w:val="22"/>
          <w:szCs w:val="22"/>
          <w:lang w:val="sq-AL"/>
        </w:rPr>
      </w:pPr>
    </w:p>
    <w:p w14:paraId="1190F1D3" w14:textId="77777777" w:rsidR="004B029F" w:rsidRPr="004B029F" w:rsidRDefault="004B029F" w:rsidP="004B029F">
      <w:pPr>
        <w:pStyle w:val="Paragraph"/>
        <w:spacing w:after="0"/>
        <w:rPr>
          <w:rFonts w:eastAsia="Calibri" w:cs="Calibri"/>
          <w:lang w:val="sq-AL"/>
        </w:rPr>
      </w:pPr>
      <w:r w:rsidRPr="004B029F">
        <w:rPr>
          <w:rFonts w:eastAsia="Calibri" w:cs="Calibri"/>
          <w:lang w:val="sq-AL"/>
        </w:rPr>
        <w:t>Supozimet specifike në lidhje me opsionet e ndryshme teknike përfshihen në seksionet e elementeve të veçanta të sistemit.</w:t>
      </w:r>
    </w:p>
    <w:p w14:paraId="02637CD1" w14:textId="0099DB29" w:rsidR="00430A79" w:rsidRPr="009F5CA1" w:rsidRDefault="004B029F" w:rsidP="004B029F">
      <w:pPr>
        <w:spacing w:after="120"/>
        <w:jc w:val="both"/>
        <w:rPr>
          <w:rFonts w:ascii="Arial Narrow" w:hAnsi="Arial Narrow"/>
          <w:color w:val="000000" w:themeColor="text1"/>
          <w:sz w:val="22"/>
          <w:szCs w:val="22"/>
          <w:lang w:val="sq-AL"/>
        </w:rPr>
      </w:pPr>
      <w:r w:rsidRPr="004B029F">
        <w:rPr>
          <w:rFonts w:ascii="Arial Narrow" w:hAnsi="Arial Narrow"/>
          <w:sz w:val="22"/>
          <w:szCs w:val="22"/>
          <w:lang w:val="sq-AL"/>
        </w:rPr>
        <w:t>Llogaritjet e kostos janë përgatitur në bazë të kushteve të mëposhtme</w:t>
      </w:r>
      <w:r w:rsidR="00430A79" w:rsidRPr="009F5CA1">
        <w:rPr>
          <w:rFonts w:ascii="Arial Narrow" w:hAnsi="Arial Narrow"/>
          <w:color w:val="000000" w:themeColor="text1"/>
          <w:sz w:val="22"/>
          <w:szCs w:val="22"/>
          <w:lang w:val="sq-AL"/>
        </w:rPr>
        <w:t>:</w:t>
      </w:r>
    </w:p>
    <w:p w14:paraId="60D1FE2E" w14:textId="77777777" w:rsidR="004B029F" w:rsidRPr="00BE2534" w:rsidRDefault="004B029F" w:rsidP="004B029F">
      <w:pPr>
        <w:numPr>
          <w:ilvl w:val="0"/>
          <w:numId w:val="8"/>
        </w:numPr>
        <w:contextualSpacing/>
        <w:rPr>
          <w:rFonts w:eastAsia="Calibri" w:cs="Calibri"/>
          <w:lang w:val="sq-AL"/>
        </w:rPr>
      </w:pPr>
      <w:r w:rsidRPr="00BE2534">
        <w:rPr>
          <w:rFonts w:ascii="Arial Narrow" w:eastAsia="Calibri" w:hAnsi="Arial Narrow" w:cs="Calibri"/>
          <w:sz w:val="22"/>
          <w:szCs w:val="22"/>
          <w:lang w:val="sq-AL"/>
        </w:rPr>
        <w:t>Vlerësimet e kostos janë bërë në terma reale dhe shprehen në vlera konstante të vitit 2024, pra pa marrë parasysh inflacionin.</w:t>
      </w:r>
    </w:p>
    <w:p w14:paraId="731121EB" w14:textId="77777777" w:rsidR="004B029F" w:rsidRPr="00BE2534" w:rsidRDefault="004B029F" w:rsidP="004B029F">
      <w:pPr>
        <w:numPr>
          <w:ilvl w:val="0"/>
          <w:numId w:val="8"/>
        </w:numPr>
        <w:contextualSpacing/>
        <w:rPr>
          <w:rFonts w:eastAsia="Calibri" w:cs="Calibri"/>
          <w:lang w:val="sq-AL"/>
        </w:rPr>
      </w:pPr>
      <w:r w:rsidRPr="00BE2534">
        <w:rPr>
          <w:rFonts w:ascii="Arial Narrow" w:eastAsia="Calibri" w:hAnsi="Arial Narrow" w:cs="Calibri"/>
          <w:sz w:val="22"/>
          <w:szCs w:val="22"/>
          <w:lang w:val="sq-AL"/>
        </w:rPr>
        <w:t>Kostot janë kalkuluar veçmas për aktivitete të ndryshme, p.sh. mbeturinat komunale, grumbullimi i ndarë.</w:t>
      </w:r>
    </w:p>
    <w:p w14:paraId="734F3432" w14:textId="77777777" w:rsidR="004B029F" w:rsidRPr="00BE2534" w:rsidRDefault="004B029F" w:rsidP="004B029F">
      <w:pPr>
        <w:numPr>
          <w:ilvl w:val="0"/>
          <w:numId w:val="8"/>
        </w:numPr>
        <w:contextualSpacing/>
        <w:rPr>
          <w:rFonts w:eastAsia="Calibri" w:cs="Calibri"/>
          <w:lang w:val="sq-AL"/>
        </w:rPr>
      </w:pPr>
      <w:r w:rsidRPr="00BE2534">
        <w:rPr>
          <w:rFonts w:ascii="Arial Narrow" w:eastAsia="Calibri" w:hAnsi="Arial Narrow" w:cs="Calibri"/>
          <w:sz w:val="22"/>
          <w:szCs w:val="22"/>
          <w:lang w:val="sq-AL"/>
        </w:rPr>
        <w:t>Të gjitha llogaritjet janë kalkuluar në EUR.</w:t>
      </w:r>
    </w:p>
    <w:p w14:paraId="40925DDF" w14:textId="77777777" w:rsidR="004B029F" w:rsidRPr="00BE2534" w:rsidRDefault="004B029F" w:rsidP="004B029F">
      <w:pPr>
        <w:numPr>
          <w:ilvl w:val="0"/>
          <w:numId w:val="8"/>
        </w:numPr>
        <w:contextualSpacing/>
        <w:rPr>
          <w:rFonts w:eastAsia="Calibri" w:cs="Calibri"/>
          <w:lang w:val="sq-AL"/>
        </w:rPr>
      </w:pPr>
      <w:r w:rsidRPr="00BE2534">
        <w:rPr>
          <w:rFonts w:ascii="Arial Narrow" w:eastAsia="Calibri" w:hAnsi="Arial Narrow" w:cs="Calibri"/>
          <w:sz w:val="22"/>
          <w:szCs w:val="22"/>
          <w:lang w:val="sq-AL"/>
        </w:rPr>
        <w:t>Kostot janë llogaritur pa TVSH.</w:t>
      </w:r>
    </w:p>
    <w:p w14:paraId="55BCB4A5" w14:textId="4A2809A8" w:rsidR="00430A79" w:rsidRPr="00430A79" w:rsidRDefault="004B029F" w:rsidP="004B029F">
      <w:pPr>
        <w:numPr>
          <w:ilvl w:val="0"/>
          <w:numId w:val="8"/>
        </w:numPr>
        <w:contextualSpacing/>
        <w:rPr>
          <w:rFonts w:eastAsia="Calibri" w:cs="Calibri"/>
        </w:rPr>
      </w:pPr>
      <w:r w:rsidRPr="00BE2534">
        <w:rPr>
          <w:rFonts w:ascii="Arial Narrow" w:eastAsia="Calibri" w:hAnsi="Arial Narrow" w:cs="Calibri"/>
          <w:sz w:val="22"/>
          <w:szCs w:val="22"/>
          <w:lang w:val="sq-AL"/>
        </w:rPr>
        <w:t>Për llogaritjen e kostos janë marrë parasysh kostot e investimit, si</w:t>
      </w:r>
      <w:r w:rsidR="00430A79" w:rsidRPr="00430A79">
        <w:rPr>
          <w:rFonts w:ascii="Arial Narrow" w:eastAsia="Calibri" w:hAnsi="Arial Narrow" w:cs="Calibri"/>
          <w:sz w:val="22"/>
          <w:szCs w:val="22"/>
        </w:rPr>
        <w:t>:</w:t>
      </w:r>
    </w:p>
    <w:p w14:paraId="022FED92" w14:textId="77777777" w:rsidR="004B029F" w:rsidRPr="00BE2534" w:rsidRDefault="004B029F" w:rsidP="004B029F">
      <w:pPr>
        <w:numPr>
          <w:ilvl w:val="1"/>
          <w:numId w:val="27"/>
        </w:numPr>
        <w:contextualSpacing/>
        <w:rPr>
          <w:rFonts w:eastAsia="Calibri" w:cs="Calibri"/>
          <w:lang w:val="sq-AL"/>
        </w:rPr>
      </w:pPr>
      <w:r w:rsidRPr="00BE2534">
        <w:rPr>
          <w:rFonts w:ascii="Arial Narrow" w:eastAsia="Calibri" w:hAnsi="Arial Narrow" w:cs="Calibri"/>
          <w:sz w:val="22"/>
          <w:szCs w:val="22"/>
          <w:lang w:val="sq-AL"/>
        </w:rPr>
        <w:t>Kostot kapitale që lidhen me investimet në infrastrukturë</w:t>
      </w:r>
    </w:p>
    <w:p w14:paraId="7A1DC069" w14:textId="0182EEF6" w:rsidR="00430A79" w:rsidRPr="00430A79" w:rsidRDefault="004B029F" w:rsidP="004B029F">
      <w:pPr>
        <w:numPr>
          <w:ilvl w:val="1"/>
          <w:numId w:val="27"/>
        </w:numPr>
        <w:contextualSpacing/>
        <w:rPr>
          <w:rFonts w:eastAsia="Calibri" w:cs="Calibri"/>
        </w:rPr>
      </w:pPr>
      <w:r w:rsidRPr="00BE2534">
        <w:rPr>
          <w:rFonts w:ascii="Arial Narrow" w:eastAsia="Calibri" w:hAnsi="Arial Narrow" w:cs="Calibri"/>
          <w:sz w:val="22"/>
          <w:szCs w:val="22"/>
          <w:lang w:val="sq-AL"/>
        </w:rPr>
        <w:t>Dispozitat për koston investive në të ardhme</w:t>
      </w:r>
      <w:r>
        <w:rPr>
          <w:rFonts w:ascii="Arial Narrow" w:eastAsia="Calibri" w:hAnsi="Arial Narrow" w:cs="Calibri"/>
          <w:sz w:val="22"/>
          <w:szCs w:val="22"/>
          <w:lang w:val="sq-AL"/>
        </w:rPr>
        <w:t>n</w:t>
      </w:r>
      <w:r w:rsidRPr="00BE2534">
        <w:rPr>
          <w:rFonts w:ascii="Arial Narrow" w:eastAsia="Calibri" w:hAnsi="Arial Narrow" w:cs="Calibri"/>
          <w:sz w:val="22"/>
          <w:szCs w:val="22"/>
          <w:lang w:val="sq-AL"/>
        </w:rPr>
        <w:t xml:space="preserve"> në lidhje me zëvendësimin e aseteve</w:t>
      </w:r>
      <w:r w:rsidR="00430A79" w:rsidRPr="00430A79">
        <w:rPr>
          <w:rFonts w:ascii="Arial Narrow" w:eastAsia="Calibri" w:hAnsi="Arial Narrow" w:cs="Calibri"/>
          <w:sz w:val="22"/>
          <w:szCs w:val="22"/>
        </w:rPr>
        <w:t>.</w:t>
      </w:r>
    </w:p>
    <w:p w14:paraId="626B78C0" w14:textId="77777777" w:rsidR="00430A79" w:rsidRPr="00430A79" w:rsidRDefault="00430A79" w:rsidP="0059507F">
      <w:pPr>
        <w:numPr>
          <w:ilvl w:val="0"/>
          <w:numId w:val="8"/>
        </w:numPr>
        <w:contextualSpacing/>
        <w:rPr>
          <w:rFonts w:eastAsia="Calibri" w:cs="Calibri"/>
        </w:rPr>
      </w:pPr>
      <w:r w:rsidRPr="00430A79">
        <w:rPr>
          <w:rFonts w:ascii="Arial Narrow" w:eastAsia="Calibri" w:hAnsi="Arial Narrow" w:cs="Calibri"/>
          <w:sz w:val="22"/>
          <w:szCs w:val="22"/>
        </w:rPr>
        <w:t>Amortizimi</w:t>
      </w:r>
    </w:p>
    <w:p w14:paraId="53BEDC8E" w14:textId="77777777" w:rsidR="004B029F" w:rsidRPr="004B029F" w:rsidRDefault="004B029F" w:rsidP="004B029F">
      <w:pPr>
        <w:pStyle w:val="ListParagraph"/>
        <w:numPr>
          <w:ilvl w:val="0"/>
          <w:numId w:val="8"/>
        </w:numPr>
        <w:rPr>
          <w:rFonts w:eastAsia="Calibri" w:cs="Calibri"/>
          <w:lang w:val="sq-AL"/>
        </w:rPr>
      </w:pPr>
      <w:r w:rsidRPr="004B029F">
        <w:rPr>
          <w:rFonts w:eastAsia="Calibri" w:cs="Calibri"/>
          <w:sz w:val="22"/>
          <w:szCs w:val="22"/>
          <w:lang w:val="sq-AL"/>
        </w:rPr>
        <w:lastRenderedPageBreak/>
        <w:t>Për qëllime të llogaritjes së kostove vjetore, kostot e investimeve kapitale përgjithësisht janë amortizuar gjatë periudhave që pasqyrojnë jetëgjatësinë tipike të funksionimit ekonomik të asetevet.</w:t>
      </w:r>
    </w:p>
    <w:p w14:paraId="4D3CE8DF" w14:textId="16965AF8" w:rsidR="00430A79" w:rsidRPr="00430A79" w:rsidRDefault="00430A79" w:rsidP="0059507F">
      <w:pPr>
        <w:numPr>
          <w:ilvl w:val="0"/>
          <w:numId w:val="8"/>
        </w:numPr>
        <w:contextualSpacing/>
        <w:rPr>
          <w:rFonts w:eastAsia="Calibri" w:cs="Calibri"/>
        </w:rPr>
      </w:pPr>
      <w:r w:rsidRPr="00430A79">
        <w:rPr>
          <w:rFonts w:ascii="Arial Narrow" w:eastAsia="Calibri" w:hAnsi="Arial Narrow" w:cs="Calibri"/>
          <w:sz w:val="22"/>
          <w:szCs w:val="22"/>
        </w:rPr>
        <w:t>Kostot opera</w:t>
      </w:r>
      <w:r w:rsidR="004B029F">
        <w:rPr>
          <w:rFonts w:ascii="Arial Narrow" w:eastAsia="Calibri" w:hAnsi="Arial Narrow" w:cs="Calibri"/>
          <w:sz w:val="22"/>
          <w:szCs w:val="22"/>
        </w:rPr>
        <w:t>cionale</w:t>
      </w:r>
    </w:p>
    <w:p w14:paraId="08C93AA7" w14:textId="77777777" w:rsidR="004B029F" w:rsidRPr="004B029F" w:rsidRDefault="004B029F" w:rsidP="004B029F">
      <w:pPr>
        <w:pStyle w:val="ListParagraph"/>
        <w:numPr>
          <w:ilvl w:val="0"/>
          <w:numId w:val="8"/>
        </w:numPr>
        <w:rPr>
          <w:rFonts w:eastAsia="Calibri" w:cs="Calibri"/>
          <w:lang w:val="sq-AL"/>
        </w:rPr>
      </w:pPr>
      <w:r w:rsidRPr="004B029F">
        <w:rPr>
          <w:rFonts w:eastAsia="Calibri" w:cs="Calibri"/>
          <w:sz w:val="22"/>
          <w:szCs w:val="22"/>
          <w:lang w:val="sq-AL"/>
        </w:rPr>
        <w:t>Kostot e operacionale dhe të mirëmbajtjes së sistemeve të reja të prezantuara janë llogaritur në bazë të teknologjive të parashikuara dhe supozimeve të nivelit të punës, çmimeve për materialet harxhuese, etj. Kostot operacionale për menaxhimin e mbeturinave janë kalkuluar bazuar në komponentet dhe hapësirave si dhe mbi bazën e kostove të artikujve; mirëmbajtjes dhe riparimit, punës; materialeve harxhuese; administratës; taksave dhe sigurimeve.</w:t>
      </w:r>
    </w:p>
    <w:p w14:paraId="225112EA" w14:textId="77777777" w:rsidR="00C56FC2" w:rsidRPr="009F5CA1" w:rsidRDefault="00C56FC2" w:rsidP="00430A79">
      <w:pPr>
        <w:jc w:val="both"/>
        <w:rPr>
          <w:rFonts w:ascii="Arial Narrow" w:hAnsi="Arial Narrow"/>
          <w:color w:val="000000" w:themeColor="text1"/>
          <w:sz w:val="22"/>
          <w:szCs w:val="22"/>
          <w:lang w:val="sq-AL"/>
        </w:rPr>
      </w:pPr>
    </w:p>
    <w:p w14:paraId="5819B86E" w14:textId="4CBA67B0" w:rsidR="00430A79" w:rsidRPr="009F5CA1" w:rsidRDefault="004B029F" w:rsidP="00430A79">
      <w:pPr>
        <w:jc w:val="both"/>
        <w:rPr>
          <w:rFonts w:ascii="Arial Narrow" w:hAnsi="Arial Narrow"/>
          <w:color w:val="000000" w:themeColor="text1"/>
          <w:sz w:val="22"/>
          <w:szCs w:val="22"/>
          <w:lang w:val="sq-AL"/>
        </w:rPr>
      </w:pPr>
      <w:r w:rsidRPr="004B029F">
        <w:rPr>
          <w:rFonts w:ascii="Arial Narrow" w:hAnsi="Arial Narrow"/>
          <w:sz w:val="22"/>
          <w:szCs w:val="22"/>
          <w:lang w:val="sq-AL"/>
        </w:rPr>
        <w:t>Analiza e flukseve monetare të skontuara është përdorur gjithashtu për llogaritjen dhe krahasimin e kostos për njësi për ton mbeturina për alternativat e ndryshme dhe për komponentet specifike të secilës alternativë. Këto janë llogaritur për secilën kategori të kostove dhe për secilin element. Kostot për njësi të llogaritura në këtë mënyrë janë tregues të tarifave që do të nevojiteshin (para TVSH-së) për të mbuluar kostot në tërësi për secilin skenar ose komponent skenari përgjatë periudhës së refereruar</w:t>
      </w:r>
      <w:r w:rsidR="00430A79" w:rsidRPr="009F5CA1">
        <w:rPr>
          <w:rFonts w:ascii="Arial Narrow" w:hAnsi="Arial Narrow"/>
          <w:color w:val="000000" w:themeColor="text1"/>
          <w:sz w:val="22"/>
          <w:szCs w:val="22"/>
          <w:lang w:val="sq-AL"/>
        </w:rPr>
        <w:t>.</w:t>
      </w:r>
    </w:p>
    <w:p w14:paraId="6DC52BB3" w14:textId="77777777" w:rsidR="00430A79" w:rsidRPr="009F5CA1" w:rsidRDefault="00430A79" w:rsidP="00430A79">
      <w:pPr>
        <w:jc w:val="both"/>
        <w:rPr>
          <w:rFonts w:ascii="Arial Narrow" w:hAnsi="Arial Narrow"/>
          <w:color w:val="000000" w:themeColor="text1"/>
          <w:sz w:val="22"/>
          <w:szCs w:val="22"/>
          <w:lang w:val="sq-AL"/>
        </w:rPr>
      </w:pPr>
    </w:p>
    <w:p w14:paraId="6513F5B6" w14:textId="77777777" w:rsidR="004B029F" w:rsidRPr="009F5CA1" w:rsidRDefault="004B029F" w:rsidP="00430A79">
      <w:pPr>
        <w:jc w:val="both"/>
        <w:rPr>
          <w:rFonts w:ascii="Arial Narrow" w:hAnsi="Arial Narrow"/>
          <w:color w:val="000000" w:themeColor="text1"/>
          <w:sz w:val="22"/>
          <w:szCs w:val="22"/>
          <w:lang w:val="sq-AL"/>
        </w:rPr>
      </w:pPr>
    </w:p>
    <w:p w14:paraId="42FBBFED" w14:textId="77777777" w:rsidR="004B029F" w:rsidRPr="009F5CA1" w:rsidRDefault="004B029F" w:rsidP="00430A79">
      <w:pPr>
        <w:jc w:val="both"/>
        <w:rPr>
          <w:rFonts w:ascii="Arial Narrow" w:hAnsi="Arial Narrow"/>
          <w:color w:val="000000" w:themeColor="text1"/>
          <w:sz w:val="22"/>
          <w:szCs w:val="22"/>
          <w:lang w:val="sq-AL"/>
        </w:rPr>
      </w:pPr>
    </w:p>
    <w:p w14:paraId="402A66C4" w14:textId="77777777" w:rsidR="00430A79" w:rsidRPr="00430A79" w:rsidRDefault="00430A79" w:rsidP="000D7AD0">
      <w:pPr>
        <w:pStyle w:val="Heading2"/>
      </w:pPr>
      <w:bookmarkStart w:id="298" w:name="_Toc185866104"/>
      <w:bookmarkStart w:id="299" w:name="_Toc197472001"/>
      <w:r w:rsidRPr="00430A79">
        <w:t>Parandalimi i mbeturinave</w:t>
      </w:r>
      <w:bookmarkEnd w:id="298"/>
      <w:bookmarkEnd w:id="299"/>
    </w:p>
    <w:p w14:paraId="35B5470B" w14:textId="77777777" w:rsidR="00430A79" w:rsidRPr="004B029F" w:rsidRDefault="00430A79" w:rsidP="00430A79">
      <w:pPr>
        <w:jc w:val="both"/>
        <w:rPr>
          <w:rFonts w:ascii="Arial Narrow" w:eastAsia="Calibri" w:hAnsi="Arial Narrow" w:cs="Calibri"/>
          <w:color w:val="000000" w:themeColor="text1"/>
          <w:sz w:val="22"/>
          <w:szCs w:val="22"/>
          <w:lang w:val="en-GB"/>
        </w:rPr>
      </w:pPr>
    </w:p>
    <w:p w14:paraId="067342AC" w14:textId="798CB74B" w:rsidR="00430A79" w:rsidRPr="009F5CA1" w:rsidRDefault="004B029F" w:rsidP="00430A79">
      <w:pPr>
        <w:jc w:val="both"/>
        <w:rPr>
          <w:rFonts w:ascii="Arial Narrow" w:eastAsia="Calibri" w:hAnsi="Arial Narrow" w:cs="Calibri"/>
          <w:color w:val="000000" w:themeColor="text1"/>
          <w:sz w:val="22"/>
          <w:szCs w:val="22"/>
          <w:lang w:val="sq-AL"/>
        </w:rPr>
      </w:pPr>
      <w:r w:rsidRPr="004B029F">
        <w:rPr>
          <w:rFonts w:ascii="Arial Narrow" w:eastAsia="Calibri" w:hAnsi="Arial Narrow" w:cs="Calibri"/>
          <w:sz w:val="22"/>
          <w:szCs w:val="22"/>
          <w:lang w:val="sq-AL"/>
        </w:rPr>
        <w:t>Çdo ton i parandaluar i mbeturinave të amvisërisë nënkupton kosto të kursyera nga buxheti komunal për trajtimin e mbeturinave. Autoritetet në novelin nacional janë palët kryesore të interesit në parandalimin e mbeturinave. Nëpërmjet pushtetit të tij legjislativ dhe ekzekutiv, shteti mund të krijojë rregullore dhe mjedis efikas për të mbështetur pjesëmarrësit në aktivitetet e parandalimit të mbeturinave. Megjithatë, ekziston një gamë e gjerë masash që autoritetet publike mund të ndërmarrin për promovimin e parandalimit të mbeturinave</w:t>
      </w:r>
      <w:r w:rsidR="00430A79" w:rsidRPr="009F5CA1">
        <w:rPr>
          <w:rFonts w:ascii="Arial Narrow" w:eastAsia="Calibri" w:hAnsi="Arial Narrow" w:cs="Calibri"/>
          <w:color w:val="000000" w:themeColor="text1"/>
          <w:sz w:val="22"/>
          <w:szCs w:val="22"/>
          <w:lang w:val="sq-AL"/>
        </w:rPr>
        <w:t>:</w:t>
      </w:r>
    </w:p>
    <w:p w14:paraId="7DA531FC" w14:textId="77777777" w:rsidR="004B029F" w:rsidRPr="004B029F" w:rsidRDefault="004B029F" w:rsidP="004B029F">
      <w:pPr>
        <w:pStyle w:val="Paragraph"/>
        <w:numPr>
          <w:ilvl w:val="0"/>
          <w:numId w:val="19"/>
        </w:numPr>
        <w:spacing w:after="0"/>
        <w:rPr>
          <w:rFonts w:eastAsia="Calibri" w:cs="Calibri"/>
          <w:lang w:val="sq-AL"/>
        </w:rPr>
      </w:pPr>
      <w:r w:rsidRPr="004B029F">
        <w:rPr>
          <w:rFonts w:eastAsia="Calibri" w:cs="Calibri"/>
          <w:lang w:val="sq-AL"/>
        </w:rPr>
        <w:t>Miratimi i skemave të tarifimit që stimulojnë parandalimin e mbeturinave.</w:t>
      </w:r>
    </w:p>
    <w:p w14:paraId="457B9638" w14:textId="77777777" w:rsidR="004B029F" w:rsidRPr="004B029F" w:rsidRDefault="004B029F" w:rsidP="004B029F">
      <w:pPr>
        <w:pStyle w:val="Paragraph"/>
        <w:numPr>
          <w:ilvl w:val="0"/>
          <w:numId w:val="19"/>
        </w:numPr>
        <w:spacing w:after="0"/>
        <w:rPr>
          <w:rFonts w:eastAsia="Calibri" w:cs="Calibri"/>
          <w:lang w:val="sq-AL"/>
        </w:rPr>
      </w:pPr>
      <w:r w:rsidRPr="004B029F">
        <w:rPr>
          <w:rFonts w:eastAsia="Calibri" w:cs="Calibri"/>
          <w:lang w:val="sq-AL"/>
        </w:rPr>
        <w:t>Informimi i qytetarëve dhe të ndikojnë, ku është e mundur, në sjelljen e tyre për të mirën e mjedisit.</w:t>
      </w:r>
    </w:p>
    <w:p w14:paraId="313EBDFB" w14:textId="77777777" w:rsidR="004B029F" w:rsidRPr="004B029F" w:rsidRDefault="004B029F" w:rsidP="004B029F">
      <w:pPr>
        <w:pStyle w:val="Paragraph"/>
        <w:numPr>
          <w:ilvl w:val="0"/>
          <w:numId w:val="19"/>
        </w:numPr>
        <w:spacing w:after="0"/>
        <w:rPr>
          <w:rFonts w:eastAsia="Calibri" w:cs="Calibri"/>
          <w:lang w:val="sq-AL"/>
        </w:rPr>
      </w:pPr>
      <w:r w:rsidRPr="004B029F">
        <w:rPr>
          <w:rFonts w:eastAsia="Calibri" w:cs="Calibri"/>
          <w:lang w:val="sq-AL"/>
        </w:rPr>
        <w:t>Koordinimi i aktiviteteve dhe fushatave me donatorë.</w:t>
      </w:r>
    </w:p>
    <w:p w14:paraId="4AD4CE30" w14:textId="4F0B25A4" w:rsidR="00430A79" w:rsidRPr="009F5CA1" w:rsidRDefault="004B029F" w:rsidP="004B029F">
      <w:pPr>
        <w:numPr>
          <w:ilvl w:val="0"/>
          <w:numId w:val="19"/>
        </w:numPr>
        <w:jc w:val="both"/>
        <w:rPr>
          <w:rFonts w:ascii="Arial Narrow" w:eastAsia="Calibri" w:hAnsi="Arial Narrow" w:cs="Calibri"/>
          <w:color w:val="000000" w:themeColor="text1"/>
          <w:sz w:val="22"/>
          <w:szCs w:val="22"/>
          <w:lang w:val="sq-AL"/>
        </w:rPr>
      </w:pPr>
      <w:r w:rsidRPr="004B029F">
        <w:rPr>
          <w:rFonts w:ascii="Arial Narrow" w:eastAsia="Calibri" w:hAnsi="Arial Narrow" w:cs="Calibri"/>
          <w:sz w:val="22"/>
          <w:szCs w:val="22"/>
          <w:lang w:val="sq-AL"/>
        </w:rPr>
        <w:t>Ofrimi i shërbimeve e tyre ose të punojnë me organizatat ekzistuese për të promovuar dhe inkurajuar ripërdorimin e mbeturinave</w:t>
      </w:r>
      <w:r w:rsidR="00430A79" w:rsidRPr="009F5CA1">
        <w:rPr>
          <w:rFonts w:ascii="Arial Narrow" w:eastAsia="Calibri" w:hAnsi="Arial Narrow" w:cs="Calibri"/>
          <w:color w:val="000000" w:themeColor="text1"/>
          <w:sz w:val="22"/>
          <w:szCs w:val="22"/>
          <w:lang w:val="sq-AL"/>
        </w:rPr>
        <w:t>.</w:t>
      </w:r>
    </w:p>
    <w:p w14:paraId="60F6E851"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7B3B664E" w14:textId="4BF6A5B5" w:rsidR="00430A79" w:rsidRPr="009F5CA1" w:rsidRDefault="004B029F" w:rsidP="00430A79">
      <w:pPr>
        <w:jc w:val="both"/>
        <w:rPr>
          <w:rFonts w:ascii="Arial Narrow" w:eastAsia="Calibri" w:hAnsi="Arial Narrow" w:cs="Calibri"/>
          <w:color w:val="000000" w:themeColor="text1"/>
          <w:sz w:val="22"/>
          <w:szCs w:val="22"/>
          <w:lang w:val="sq-AL"/>
        </w:rPr>
      </w:pPr>
      <w:r w:rsidRPr="004B029F">
        <w:rPr>
          <w:rFonts w:ascii="Arial Narrow" w:eastAsia="Calibri" w:hAnsi="Arial Narrow" w:cs="Calibri"/>
          <w:sz w:val="22"/>
          <w:szCs w:val="22"/>
          <w:lang w:val="sq-AL"/>
        </w:rPr>
        <w:t>Strategjia e rishikuar e Kosovës për menaxhimin e integruar të mbeturinave parasheh zhvillimin e një programi nacional për parandalimin e mbeturinave që në radhë të parë synon të minimizojë gjenerimin e mbeturinave dhe më pas të ruajë vlerën e produkteve, materialeve dhe burimeve në ekonomi për sa më gjatë të jetë e mundshme. Për më tepër, fokusi do të jetë në dizajnimin më të mirë të produkteve dhe pajisjeve në mënyrë që të ngadalësohet dalja e parakohshme nga përdorimi. Derisa të hartohet një program i detajuar dhe multisektorial për parandalimin e mbeturinave në nivelin nacional, fokusi prioritar i komunave në ZMM do të përcaktohet në masat prioritare si më poshtë</w:t>
      </w:r>
      <w:r w:rsidR="00430A79" w:rsidRPr="009F5CA1">
        <w:rPr>
          <w:rFonts w:ascii="Arial Narrow" w:eastAsia="Calibri" w:hAnsi="Arial Narrow" w:cs="Calibri"/>
          <w:color w:val="000000" w:themeColor="text1"/>
          <w:sz w:val="22"/>
          <w:szCs w:val="22"/>
          <w:lang w:val="sq-AL"/>
        </w:rPr>
        <w:t>:</w:t>
      </w:r>
    </w:p>
    <w:p w14:paraId="29C9E793" w14:textId="77777777" w:rsidR="004B029F" w:rsidRPr="004B029F" w:rsidRDefault="004B029F" w:rsidP="004B029F">
      <w:pPr>
        <w:pStyle w:val="Paragraph"/>
        <w:numPr>
          <w:ilvl w:val="0"/>
          <w:numId w:val="20"/>
        </w:numPr>
        <w:spacing w:after="0"/>
        <w:rPr>
          <w:rFonts w:eastAsia="Calibri" w:cs="Calibri"/>
          <w:lang w:val="sq-AL"/>
        </w:rPr>
      </w:pPr>
      <w:r w:rsidRPr="004B029F">
        <w:rPr>
          <w:rFonts w:eastAsia="Calibri" w:cs="Calibri"/>
          <w:lang w:val="sq-AL"/>
        </w:rPr>
        <w:t>Pjesëmarrja në iniciativat për reduktimin e përdorimit të produkteve plastike njëpërdorimëshe (PNj) në përpjekje të përbashkët mes sektorit publik dhe privat.</w:t>
      </w:r>
    </w:p>
    <w:p w14:paraId="41C5ADBF" w14:textId="77777777" w:rsidR="004B029F" w:rsidRPr="004B029F" w:rsidRDefault="004B029F" w:rsidP="004B029F">
      <w:pPr>
        <w:pStyle w:val="Paragraph"/>
        <w:numPr>
          <w:ilvl w:val="0"/>
          <w:numId w:val="20"/>
        </w:numPr>
        <w:spacing w:after="0"/>
        <w:rPr>
          <w:rFonts w:eastAsia="Calibri" w:cs="Calibri"/>
          <w:lang w:val="sq-AL"/>
        </w:rPr>
      </w:pPr>
      <w:r w:rsidRPr="004B029F">
        <w:rPr>
          <w:rFonts w:eastAsia="Calibri" w:cs="Calibri"/>
          <w:lang w:val="sq-AL"/>
        </w:rPr>
        <w:t>Promovimi i kompostimit shtëpiak dhe rritja e ndërgjegjësimit të publikut.</w:t>
      </w:r>
    </w:p>
    <w:p w14:paraId="57A74CD4" w14:textId="77777777" w:rsidR="004B029F" w:rsidRPr="004B029F" w:rsidRDefault="004B029F" w:rsidP="004B029F">
      <w:pPr>
        <w:pStyle w:val="Paragraph"/>
        <w:numPr>
          <w:ilvl w:val="0"/>
          <w:numId w:val="20"/>
        </w:numPr>
        <w:spacing w:after="0"/>
        <w:rPr>
          <w:rFonts w:eastAsia="Calibri" w:cs="Calibri"/>
          <w:lang w:val="sq-AL"/>
        </w:rPr>
      </w:pPr>
      <w:r w:rsidRPr="004B029F">
        <w:rPr>
          <w:rFonts w:eastAsia="Calibri" w:cs="Calibri"/>
          <w:lang w:val="sq-AL"/>
        </w:rPr>
        <w:t>Krijimi i mekanizmave dhe stimujve nëpër komuna për të mbështetur zhvillimin e rrjeteve të riparimit dhe ripërdorimit për produktet e hedhura dhe/ose përbërësit e tyre.</w:t>
      </w:r>
    </w:p>
    <w:p w14:paraId="0DC696E8" w14:textId="483B560E" w:rsidR="00430A79" w:rsidRPr="009F5CA1" w:rsidRDefault="004B029F" w:rsidP="004B029F">
      <w:pPr>
        <w:numPr>
          <w:ilvl w:val="0"/>
          <w:numId w:val="20"/>
        </w:numPr>
        <w:jc w:val="both"/>
        <w:rPr>
          <w:rFonts w:ascii="Arial Narrow" w:eastAsia="Calibri" w:hAnsi="Arial Narrow" w:cs="Calibri"/>
          <w:color w:val="000000" w:themeColor="text1"/>
          <w:sz w:val="22"/>
          <w:szCs w:val="22"/>
          <w:lang w:val="sq-AL"/>
        </w:rPr>
      </w:pPr>
      <w:r w:rsidRPr="004B029F">
        <w:rPr>
          <w:rFonts w:ascii="Arial Narrow" w:eastAsia="Calibri" w:hAnsi="Arial Narrow" w:cs="Calibri"/>
          <w:sz w:val="22"/>
          <w:szCs w:val="22"/>
          <w:lang w:val="sq-AL"/>
        </w:rPr>
        <w:t>Zbatimi nga autoritetet publike i kritereve të prokurimit publik të gjelbër për blerjen e mallrave dhe aranzhimin e punimeve</w:t>
      </w:r>
      <w:r w:rsidR="00430A79" w:rsidRPr="009F5CA1">
        <w:rPr>
          <w:rFonts w:ascii="Arial Narrow" w:eastAsia="Calibri" w:hAnsi="Arial Narrow" w:cs="Calibri"/>
          <w:color w:val="000000" w:themeColor="text1"/>
          <w:sz w:val="22"/>
          <w:szCs w:val="22"/>
          <w:lang w:val="sq-AL"/>
        </w:rPr>
        <w:t>.</w:t>
      </w:r>
    </w:p>
    <w:p w14:paraId="1697FE60"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27FE590E" w14:textId="77777777" w:rsidR="004B029F" w:rsidRPr="004B029F" w:rsidRDefault="004B029F" w:rsidP="004B029F">
      <w:pPr>
        <w:pStyle w:val="Paragraph"/>
        <w:rPr>
          <w:rFonts w:eastAsia="Calibri" w:cs="Calibri"/>
          <w:lang w:val="sq-AL"/>
        </w:rPr>
      </w:pPr>
      <w:r w:rsidRPr="004B029F">
        <w:rPr>
          <w:rFonts w:eastAsia="Calibri" w:cs="Calibri"/>
          <w:lang w:val="sq-AL"/>
        </w:rPr>
        <w:t xml:space="preserve">Një nga opsionet më praktike për reduktimin e sasive të mbeturinave që dërgohen në deponi është zbatimi i kompostimit shtëpiak. Në mënyrën më të zakonshme, procesi i kompostimit kërkon thjesht grumbullimin e mbeturinave të gjelbra. Procesi i dekompozimit ndihmohet nga copëtimi i bimëve dhe degëve të pemëve. Për të </w:t>
      </w:r>
      <w:r w:rsidRPr="004B029F">
        <w:rPr>
          <w:rFonts w:eastAsia="Calibri" w:cs="Calibri"/>
          <w:lang w:val="sq-AL"/>
        </w:rPr>
        <w:lastRenderedPageBreak/>
        <w:t>përshpejtuar procesin e dekompozimit duhet të sigurohet ajrosja e duhur duke rrotulluar rregullisht përzierjen. Mbeturinat e kuzhinës gjithashtu mund të shtohen në proces, por vetëm mbeturinat e pëzgjedhura ushqimore. Produktet e qumështit dhe mishi duhet të shmangen pasi tërheqin parazitët dhe minjtë.</w:t>
      </w:r>
    </w:p>
    <w:p w14:paraId="72F44D9E" w14:textId="63AB2D8C" w:rsidR="00430A79" w:rsidRPr="009F5CA1" w:rsidRDefault="004B029F" w:rsidP="004B029F">
      <w:pPr>
        <w:jc w:val="both"/>
        <w:rPr>
          <w:rFonts w:ascii="Arial Narrow" w:eastAsia="Calibri" w:hAnsi="Arial Narrow" w:cs="Calibri"/>
          <w:color w:val="000000" w:themeColor="text1"/>
          <w:sz w:val="22"/>
          <w:szCs w:val="22"/>
          <w:lang w:val="sq-AL"/>
        </w:rPr>
      </w:pPr>
      <w:r w:rsidRPr="004B029F">
        <w:rPr>
          <w:rFonts w:ascii="Arial Narrow" w:eastAsia="Calibri" w:hAnsi="Arial Narrow" w:cs="Calibri"/>
          <w:sz w:val="22"/>
          <w:szCs w:val="22"/>
          <w:lang w:val="sq-AL"/>
        </w:rPr>
        <w:t>Kompostimi shtëpiak mund të lehtësohet duke përdorur pajisje speciale. Këto pajisje (kompostorët shtëpiak) janë të qëndrueshme (zakonisht prej plastike) dhe kanë një periudhë funksionimi 7-10 vjet. Çmimet e kontejnerëve të tillë variojnë nga 100 deri në 200 euro. Një njësi kompostimi shtëpiak mund të bëhet gjithashtu nga druri, ose materiale të tjera dhe mund të jetë shumë e thjeshtë dhe më pak e kushtueshme</w:t>
      </w:r>
      <w:r w:rsidR="00430A79" w:rsidRPr="009F5CA1">
        <w:rPr>
          <w:rFonts w:ascii="Arial Narrow" w:eastAsia="Calibri" w:hAnsi="Arial Narrow" w:cs="Calibri"/>
          <w:color w:val="000000" w:themeColor="text1"/>
          <w:sz w:val="22"/>
          <w:szCs w:val="22"/>
          <w:lang w:val="sq-AL"/>
        </w:rPr>
        <w:t>.</w:t>
      </w:r>
    </w:p>
    <w:p w14:paraId="21529FB6"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79C5BF96" w14:textId="376F1110" w:rsidR="00430A79" w:rsidRPr="004B029F" w:rsidRDefault="004B029F" w:rsidP="000D7AD0">
      <w:pPr>
        <w:pStyle w:val="Heading2"/>
      </w:pPr>
      <w:bookmarkStart w:id="300" w:name="_Toc185866105"/>
      <w:bookmarkStart w:id="301" w:name="_Toc197472002"/>
      <w:r>
        <w:t>Grumbullimi i</w:t>
      </w:r>
      <w:r w:rsidR="00430A79" w:rsidRPr="004B029F">
        <w:t xml:space="preserve"> mbeturinave</w:t>
      </w:r>
      <w:bookmarkEnd w:id="300"/>
      <w:bookmarkEnd w:id="301"/>
    </w:p>
    <w:p w14:paraId="56BA63FE" w14:textId="4A5CF947" w:rsidR="00430A79" w:rsidRPr="00430A79" w:rsidRDefault="004B029F" w:rsidP="000D7AD0">
      <w:pPr>
        <w:pStyle w:val="Heading3"/>
      </w:pPr>
      <w:bookmarkStart w:id="302" w:name="_Toc185866106"/>
      <w:bookmarkStart w:id="303" w:name="_Toc197472003"/>
      <w:r>
        <w:t>Gjendja</w:t>
      </w:r>
      <w:r w:rsidR="00430A79" w:rsidRPr="00430A79">
        <w:t xml:space="preserve"> aktuale</w:t>
      </w:r>
      <w:bookmarkEnd w:id="302"/>
      <w:bookmarkEnd w:id="303"/>
    </w:p>
    <w:p w14:paraId="479AF26C" w14:textId="77777777" w:rsidR="00430A79" w:rsidRPr="004B029F" w:rsidRDefault="00430A79" w:rsidP="00430A79">
      <w:pPr>
        <w:jc w:val="both"/>
        <w:rPr>
          <w:rFonts w:ascii="Arial Narrow" w:eastAsia="Calibri" w:hAnsi="Arial Narrow" w:cs="Calibri"/>
          <w:color w:val="000000" w:themeColor="text1"/>
          <w:sz w:val="22"/>
          <w:szCs w:val="22"/>
          <w:lang w:val="en-GB"/>
        </w:rPr>
      </w:pPr>
    </w:p>
    <w:p w14:paraId="1E52E956" w14:textId="7D3175EC" w:rsidR="00430A79" w:rsidRPr="009F5CA1" w:rsidRDefault="004B029F" w:rsidP="00430A79">
      <w:pPr>
        <w:jc w:val="both"/>
        <w:rPr>
          <w:rFonts w:ascii="Arial Narrow" w:eastAsia="Calibri" w:hAnsi="Arial Narrow" w:cs="Calibri"/>
          <w:color w:val="000000" w:themeColor="text1"/>
          <w:sz w:val="22"/>
          <w:szCs w:val="22"/>
          <w:lang w:val="sq-AL"/>
        </w:rPr>
      </w:pPr>
      <w:r w:rsidRPr="004B029F">
        <w:rPr>
          <w:rFonts w:ascii="Arial Narrow" w:eastAsia="Calibri" w:hAnsi="Arial Narrow" w:cs="Calibri"/>
          <w:sz w:val="22"/>
          <w:szCs w:val="22"/>
          <w:lang w:val="sq-AL"/>
        </w:rPr>
        <w:t>Vetëm në Komunën e Klinës raportohet se grumbullimi i mbeturinave u ofrohet 98% të popullsisë. Në katër komunat tjera shërbimi i grumbullimit të mbeturinave ofrohet për 100% të popullsisë. Në komunat e Pejës , Istogut dhe Klinës , shërbimi i grumbullimit të mbeturinave ofrohet nga KRU ‘Ambienti’ . Në Komunën e Deçanit shërbimin e grumbullimit të mbeturinave e ofron kompania komunale ‘Higjiena’, ndërsa në Junik shërbimin e ofron një operator privat</w:t>
      </w:r>
      <w:r w:rsidR="00430A79" w:rsidRPr="009F5CA1">
        <w:rPr>
          <w:rFonts w:ascii="Arial Narrow" w:eastAsia="Calibri" w:hAnsi="Arial Narrow" w:cs="Calibri"/>
          <w:color w:val="000000" w:themeColor="text1"/>
          <w:sz w:val="22"/>
          <w:szCs w:val="22"/>
          <w:lang w:val="sq-AL"/>
        </w:rPr>
        <w:t>.</w:t>
      </w:r>
    </w:p>
    <w:p w14:paraId="6DCE4262"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1CD5A802" w14:textId="09C6EBEC" w:rsidR="00430A79" w:rsidRPr="00430A79" w:rsidRDefault="00430A79" w:rsidP="000D7AD0">
      <w:pPr>
        <w:pStyle w:val="Heading3"/>
      </w:pPr>
      <w:bookmarkStart w:id="304" w:name="_Toc185866107"/>
      <w:bookmarkStart w:id="305" w:name="_Toc197472004"/>
      <w:r w:rsidRPr="00430A79">
        <w:t xml:space="preserve">Opsionet për </w:t>
      </w:r>
      <w:r w:rsidR="004B029F">
        <w:t xml:space="preserve">grumbullimin e </w:t>
      </w:r>
      <w:r w:rsidRPr="00430A79">
        <w:t>mbeturinave</w:t>
      </w:r>
      <w:bookmarkEnd w:id="304"/>
      <w:bookmarkEnd w:id="305"/>
    </w:p>
    <w:p w14:paraId="4B9B18B0" w14:textId="7633F82D" w:rsidR="00430A79" w:rsidRPr="00430A79" w:rsidRDefault="00430A79" w:rsidP="00430A79">
      <w:pPr>
        <w:jc w:val="both"/>
        <w:rPr>
          <w:rFonts w:ascii="Arial Narrow" w:eastAsia="Calibri" w:hAnsi="Arial Narrow" w:cs="Calibri"/>
          <w:color w:val="000000" w:themeColor="text1"/>
          <w:sz w:val="22"/>
          <w:szCs w:val="22"/>
          <w:lang w:val="en-GB"/>
        </w:rPr>
      </w:pPr>
      <w:proofErr w:type="spellStart"/>
      <w:r w:rsidRPr="00430A79">
        <w:rPr>
          <w:rFonts w:ascii="Arial Narrow" w:eastAsia="Calibri" w:hAnsi="Arial Narrow" w:cs="Calibri"/>
          <w:color w:val="000000" w:themeColor="text1"/>
          <w:sz w:val="22"/>
          <w:szCs w:val="22"/>
          <w:lang w:val="en-GB"/>
        </w:rPr>
        <w:t>Sistemi</w:t>
      </w:r>
      <w:proofErr w:type="spellEnd"/>
      <w:r w:rsidRPr="00430A79">
        <w:rPr>
          <w:rFonts w:ascii="Arial Narrow" w:eastAsia="Calibri" w:hAnsi="Arial Narrow" w:cs="Calibri"/>
          <w:color w:val="000000" w:themeColor="text1"/>
          <w:sz w:val="22"/>
          <w:szCs w:val="22"/>
          <w:lang w:val="en-GB"/>
        </w:rPr>
        <w:t xml:space="preserve"> i </w:t>
      </w:r>
      <w:proofErr w:type="spellStart"/>
      <w:r w:rsidR="004B029F">
        <w:rPr>
          <w:rFonts w:ascii="Arial Narrow" w:eastAsia="Calibri" w:hAnsi="Arial Narrow" w:cs="Calibri"/>
          <w:color w:val="000000" w:themeColor="text1"/>
          <w:sz w:val="22"/>
          <w:szCs w:val="22"/>
          <w:lang w:val="en-GB"/>
        </w:rPr>
        <w:t>grumbullimit</w:t>
      </w:r>
      <w:proofErr w:type="spellEnd"/>
      <w:r w:rsidR="004B029F">
        <w:rPr>
          <w:rFonts w:ascii="Arial Narrow" w:eastAsia="Calibri" w:hAnsi="Arial Narrow" w:cs="Calibri"/>
          <w:color w:val="000000" w:themeColor="text1"/>
          <w:sz w:val="22"/>
          <w:szCs w:val="22"/>
          <w:lang w:val="en-GB"/>
        </w:rPr>
        <w:t xml:space="preserve"> </w:t>
      </w:r>
      <w:proofErr w:type="spellStart"/>
      <w:r w:rsidR="004B029F">
        <w:rPr>
          <w:rFonts w:ascii="Arial Narrow" w:eastAsia="Calibri" w:hAnsi="Arial Narrow" w:cs="Calibri"/>
          <w:color w:val="000000" w:themeColor="text1"/>
          <w:sz w:val="22"/>
          <w:szCs w:val="22"/>
          <w:lang w:val="en-GB"/>
        </w:rPr>
        <w:t>dhe</w:t>
      </w:r>
      <w:proofErr w:type="spellEnd"/>
      <w:r w:rsidR="004B029F">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transportit</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përbëhet</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nga</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element</w:t>
      </w:r>
      <w:r w:rsidR="004B029F">
        <w:rPr>
          <w:rFonts w:ascii="Arial Narrow" w:eastAsia="Calibri" w:hAnsi="Arial Narrow" w:cs="Calibri"/>
          <w:color w:val="000000" w:themeColor="text1"/>
          <w:sz w:val="22"/>
          <w:szCs w:val="22"/>
          <w:lang w:val="en-GB"/>
        </w:rPr>
        <w:t>e</w:t>
      </w:r>
      <w:proofErr w:type="spellEnd"/>
      <w:r w:rsidRPr="00430A79">
        <w:rPr>
          <w:rFonts w:ascii="Arial Narrow" w:eastAsia="Calibri" w:hAnsi="Arial Narrow" w:cs="Calibri"/>
          <w:color w:val="000000" w:themeColor="text1"/>
          <w:sz w:val="22"/>
          <w:szCs w:val="22"/>
          <w:lang w:val="en-GB"/>
        </w:rPr>
        <w:t xml:space="preserve"> </w:t>
      </w:r>
      <w:proofErr w:type="spellStart"/>
      <w:r w:rsidR="004B029F">
        <w:rPr>
          <w:rFonts w:ascii="Arial Narrow" w:eastAsia="Calibri" w:hAnsi="Arial Narrow" w:cs="Calibri"/>
          <w:color w:val="000000" w:themeColor="text1"/>
          <w:sz w:val="22"/>
          <w:szCs w:val="22"/>
          <w:lang w:val="en-GB"/>
        </w:rPr>
        <w:t>si</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më</w:t>
      </w:r>
      <w:proofErr w:type="spellEnd"/>
      <w:r w:rsidR="004B029F">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poshtë</w:t>
      </w:r>
      <w:proofErr w:type="spellEnd"/>
      <w:r w:rsidRPr="00430A79">
        <w:rPr>
          <w:rFonts w:ascii="Arial Narrow" w:eastAsia="Calibri" w:hAnsi="Arial Narrow" w:cs="Calibri"/>
          <w:color w:val="000000" w:themeColor="text1"/>
          <w:sz w:val="22"/>
          <w:szCs w:val="22"/>
          <w:lang w:val="en-GB"/>
        </w:rPr>
        <w:t>:</w:t>
      </w:r>
    </w:p>
    <w:p w14:paraId="6D9CFD83" w14:textId="77777777" w:rsidR="004B029F" w:rsidRPr="00BE2534" w:rsidRDefault="004B029F" w:rsidP="004B029F">
      <w:pPr>
        <w:pStyle w:val="Paragraph"/>
        <w:numPr>
          <w:ilvl w:val="0"/>
          <w:numId w:val="20"/>
        </w:numPr>
        <w:spacing w:after="0"/>
        <w:rPr>
          <w:rFonts w:eastAsia="Calibri" w:cs="Calibri"/>
          <w:lang w:val="sq-AL"/>
        </w:rPr>
      </w:pPr>
      <w:r w:rsidRPr="00BE2534">
        <w:rPr>
          <w:rFonts w:eastAsia="Calibri" w:cs="Calibri"/>
          <w:lang w:val="sq-AL"/>
        </w:rPr>
        <w:t>Sistemi i para-grumbullimit;</w:t>
      </w:r>
    </w:p>
    <w:p w14:paraId="3AB68732" w14:textId="77777777" w:rsidR="004B029F" w:rsidRPr="00BE2534" w:rsidRDefault="004B029F" w:rsidP="004B029F">
      <w:pPr>
        <w:pStyle w:val="Paragraph"/>
        <w:numPr>
          <w:ilvl w:val="0"/>
          <w:numId w:val="20"/>
        </w:numPr>
        <w:spacing w:after="0"/>
        <w:rPr>
          <w:rFonts w:eastAsia="Calibri" w:cs="Calibri"/>
          <w:lang w:val="sq-AL"/>
        </w:rPr>
      </w:pPr>
      <w:r w:rsidRPr="00BE2534">
        <w:rPr>
          <w:rFonts w:eastAsia="Calibri" w:cs="Calibri"/>
          <w:lang w:val="sq-AL"/>
        </w:rPr>
        <w:t>Vendosja dhe vëllimi i kontejnerit të ofruar, nëse sistemi i para-grumbullimit bazohet në një sistem me kontejnerë;</w:t>
      </w:r>
    </w:p>
    <w:p w14:paraId="076D65B4" w14:textId="77777777" w:rsidR="004B029F" w:rsidRPr="00BE2534" w:rsidRDefault="004B029F" w:rsidP="004B029F">
      <w:pPr>
        <w:pStyle w:val="Paragraph"/>
        <w:numPr>
          <w:ilvl w:val="0"/>
          <w:numId w:val="20"/>
        </w:numPr>
        <w:spacing w:after="0"/>
        <w:rPr>
          <w:rFonts w:eastAsia="Calibri" w:cs="Calibri"/>
          <w:lang w:val="sq-AL"/>
        </w:rPr>
      </w:pPr>
      <w:r w:rsidRPr="00BE2534">
        <w:rPr>
          <w:rFonts w:eastAsia="Calibri" w:cs="Calibri"/>
          <w:lang w:val="sq-AL"/>
        </w:rPr>
        <w:t>Frekuenca e grumbullimit në javë;</w:t>
      </w:r>
    </w:p>
    <w:p w14:paraId="0AE36A62" w14:textId="77777777" w:rsidR="004B029F" w:rsidRPr="00BE2534" w:rsidRDefault="004B029F" w:rsidP="004B029F">
      <w:pPr>
        <w:pStyle w:val="Paragraph"/>
        <w:numPr>
          <w:ilvl w:val="0"/>
          <w:numId w:val="20"/>
        </w:numPr>
        <w:spacing w:after="0"/>
        <w:rPr>
          <w:rFonts w:eastAsia="Calibri" w:cs="Calibri"/>
          <w:lang w:val="sq-AL"/>
        </w:rPr>
      </w:pPr>
      <w:r w:rsidRPr="00BE2534">
        <w:rPr>
          <w:rFonts w:eastAsia="Calibri" w:cs="Calibri"/>
          <w:lang w:val="sq-AL"/>
        </w:rPr>
        <w:t>Lloji i kamionit, i cili përdoret për grumbullim dhe transporti në distanca të shkurtra;</w:t>
      </w:r>
    </w:p>
    <w:p w14:paraId="5174E9B9" w14:textId="77777777" w:rsidR="004B029F" w:rsidRPr="00BE2534" w:rsidRDefault="004B029F" w:rsidP="004B029F">
      <w:pPr>
        <w:pStyle w:val="Paragraph"/>
        <w:numPr>
          <w:ilvl w:val="0"/>
          <w:numId w:val="20"/>
        </w:numPr>
        <w:spacing w:after="0"/>
        <w:rPr>
          <w:rFonts w:eastAsia="Calibri" w:cs="Calibri"/>
          <w:lang w:val="sq-AL"/>
        </w:rPr>
      </w:pPr>
      <w:r w:rsidRPr="00BE2534">
        <w:rPr>
          <w:rFonts w:eastAsia="Calibri" w:cs="Calibri"/>
          <w:lang w:val="sq-AL"/>
        </w:rPr>
        <w:t>Ndërrimet e grumbullimit.</w:t>
      </w:r>
    </w:p>
    <w:p w14:paraId="40FD3B17" w14:textId="77777777" w:rsidR="00B1488D" w:rsidRDefault="00B1488D" w:rsidP="00430A79">
      <w:pPr>
        <w:jc w:val="both"/>
        <w:rPr>
          <w:rFonts w:ascii="Arial Narrow" w:eastAsia="Calibri" w:hAnsi="Arial Narrow" w:cs="Calibri"/>
          <w:color w:val="000000" w:themeColor="text1"/>
          <w:sz w:val="22"/>
          <w:szCs w:val="22"/>
          <w:lang w:val="en-GB"/>
        </w:rPr>
      </w:pPr>
    </w:p>
    <w:p w14:paraId="1F502433" w14:textId="77777777" w:rsidR="004B029F" w:rsidRPr="004B029F" w:rsidRDefault="004B029F" w:rsidP="004B029F">
      <w:pPr>
        <w:pStyle w:val="Paragraph"/>
        <w:spacing w:after="0"/>
        <w:rPr>
          <w:rFonts w:eastAsia="Calibri" w:cs="Calibri"/>
          <w:lang w:val="sq-AL"/>
        </w:rPr>
      </w:pPr>
      <w:r w:rsidRPr="004B029F">
        <w:rPr>
          <w:rFonts w:eastAsia="Calibri" w:cs="Calibri"/>
          <w:lang w:val="sq-AL"/>
        </w:rPr>
        <w:t>Sistemi i grumbullimit do të marrë gjithashtu parasysh vendndodhjen e vendit të përzgjedhur për deponim e ardhshëm rajonal, relievin e rajonit dhe gjendjen e rrugëve.</w:t>
      </w:r>
    </w:p>
    <w:p w14:paraId="42F1CA84" w14:textId="60897B5D" w:rsidR="00430A79" w:rsidRPr="009F5CA1" w:rsidRDefault="004B029F" w:rsidP="004B029F">
      <w:pPr>
        <w:jc w:val="both"/>
        <w:rPr>
          <w:rFonts w:ascii="Arial Narrow" w:eastAsia="Calibri" w:hAnsi="Arial Narrow" w:cs="Calibri"/>
          <w:color w:val="000000" w:themeColor="text1"/>
          <w:sz w:val="22"/>
          <w:szCs w:val="22"/>
          <w:lang w:val="sq-AL"/>
        </w:rPr>
      </w:pPr>
      <w:r w:rsidRPr="004B029F">
        <w:rPr>
          <w:rFonts w:ascii="Arial Narrow" w:eastAsia="Calibri" w:hAnsi="Arial Narrow" w:cs="Calibri"/>
          <w:sz w:val="22"/>
          <w:szCs w:val="22"/>
          <w:lang w:val="sq-AL"/>
        </w:rPr>
        <w:t>Elementët e ndryshëm janë të ndërlidhur ngushtë. Prandaj, një rekomandim përfundimtar mund të bëhet vetëm për sistemet e grumbullimit të plotë dhe transportit</w:t>
      </w:r>
      <w:r w:rsidR="00430A79" w:rsidRPr="009F5CA1">
        <w:rPr>
          <w:rFonts w:ascii="Arial Narrow" w:eastAsia="Calibri" w:hAnsi="Arial Narrow" w:cs="Calibri"/>
          <w:color w:val="000000" w:themeColor="text1"/>
          <w:sz w:val="22"/>
          <w:szCs w:val="22"/>
          <w:lang w:val="sq-AL"/>
        </w:rPr>
        <w:t>.</w:t>
      </w:r>
    </w:p>
    <w:p w14:paraId="50F302E4"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15C2D5F9" w14:textId="08405C39" w:rsidR="00430A79" w:rsidRPr="009F5CA1" w:rsidRDefault="00430A79" w:rsidP="00430A79">
      <w:pPr>
        <w:spacing w:after="120"/>
        <w:jc w:val="both"/>
        <w:rPr>
          <w:rFonts w:ascii="Arial Narrow" w:eastAsia="Calibri" w:hAnsi="Arial Narrow" w:cs="Calibri"/>
          <w:b/>
          <w:bCs/>
          <w:color w:val="000000" w:themeColor="text1"/>
          <w:sz w:val="22"/>
          <w:szCs w:val="22"/>
          <w:lang w:val="sq-AL"/>
        </w:rPr>
      </w:pPr>
      <w:r w:rsidRPr="009F5CA1">
        <w:rPr>
          <w:rFonts w:ascii="Arial Narrow" w:eastAsia="Calibri" w:hAnsi="Arial Narrow" w:cs="Calibri"/>
          <w:b/>
          <w:bCs/>
          <w:color w:val="000000" w:themeColor="text1"/>
          <w:sz w:val="22"/>
          <w:szCs w:val="22"/>
          <w:lang w:val="sq-AL"/>
        </w:rPr>
        <w:t>Sistemi i para-</w:t>
      </w:r>
      <w:r w:rsidR="00C055EC" w:rsidRPr="009F5CA1">
        <w:rPr>
          <w:rFonts w:ascii="Arial Narrow" w:eastAsia="Calibri" w:hAnsi="Arial Narrow" w:cs="Calibri"/>
          <w:b/>
          <w:bCs/>
          <w:color w:val="000000" w:themeColor="text1"/>
          <w:sz w:val="22"/>
          <w:szCs w:val="22"/>
          <w:lang w:val="sq-AL"/>
        </w:rPr>
        <w:t>grumbullimit</w:t>
      </w:r>
    </w:p>
    <w:p w14:paraId="6E976F92" w14:textId="57173874" w:rsidR="00430A79" w:rsidRPr="009F5CA1" w:rsidRDefault="00430A79" w:rsidP="00430A79">
      <w:pPr>
        <w:spacing w:after="120"/>
        <w:jc w:val="both"/>
        <w:rPr>
          <w:rFonts w:ascii="Arial Narrow" w:eastAsia="Calibri" w:hAnsi="Arial Narrow" w:cs="Calibri"/>
          <w:color w:val="000000" w:themeColor="text1"/>
          <w:sz w:val="22"/>
          <w:szCs w:val="22"/>
          <w:lang w:val="sq-AL"/>
        </w:rPr>
      </w:pPr>
      <w:r w:rsidRPr="009F5CA1">
        <w:rPr>
          <w:rFonts w:ascii="Arial Narrow" w:eastAsia="Calibri" w:hAnsi="Arial Narrow" w:cs="Calibri"/>
          <w:color w:val="000000" w:themeColor="text1"/>
          <w:sz w:val="22"/>
          <w:szCs w:val="22"/>
          <w:lang w:val="sq-AL"/>
        </w:rPr>
        <w:t>Një krahasim i llojeve të ndryshme të sistemeve të para-</w:t>
      </w:r>
      <w:r w:rsidR="00C055EC" w:rsidRPr="009F5CA1">
        <w:rPr>
          <w:rFonts w:ascii="Arial Narrow" w:eastAsia="Calibri" w:hAnsi="Arial Narrow" w:cs="Calibri"/>
          <w:color w:val="000000" w:themeColor="text1"/>
          <w:sz w:val="22"/>
          <w:szCs w:val="22"/>
          <w:lang w:val="sq-AL"/>
        </w:rPr>
        <w:t>grumbullimit</w:t>
      </w:r>
      <w:r w:rsidRPr="009F5CA1">
        <w:rPr>
          <w:rFonts w:ascii="Arial Narrow" w:eastAsia="Calibri" w:hAnsi="Arial Narrow" w:cs="Calibri"/>
          <w:color w:val="000000" w:themeColor="text1"/>
          <w:sz w:val="22"/>
          <w:szCs w:val="22"/>
          <w:lang w:val="sq-AL"/>
        </w:rPr>
        <w:t xml:space="preserve"> </w:t>
      </w:r>
      <w:r w:rsidR="00C055EC" w:rsidRPr="009F5CA1">
        <w:rPr>
          <w:rFonts w:ascii="Arial Narrow" w:eastAsia="Calibri" w:hAnsi="Arial Narrow" w:cs="Calibri"/>
          <w:color w:val="000000" w:themeColor="text1"/>
          <w:sz w:val="22"/>
          <w:szCs w:val="22"/>
          <w:lang w:val="sq-AL"/>
        </w:rPr>
        <w:t>është paraqitur</w:t>
      </w:r>
      <w:r w:rsidRPr="009F5CA1">
        <w:rPr>
          <w:rFonts w:ascii="Arial Narrow" w:eastAsia="Calibri" w:hAnsi="Arial Narrow" w:cs="Calibri"/>
          <w:color w:val="000000" w:themeColor="text1"/>
          <w:sz w:val="22"/>
          <w:szCs w:val="22"/>
          <w:lang w:val="sq-AL"/>
        </w:rPr>
        <w:t xml:space="preserve"> në tabelën vijuese.</w:t>
      </w:r>
    </w:p>
    <w:p w14:paraId="42A02422" w14:textId="77777777" w:rsidR="00430A79" w:rsidRPr="009F5CA1" w:rsidRDefault="00430A79" w:rsidP="00430A79">
      <w:pPr>
        <w:spacing w:after="120"/>
        <w:jc w:val="both"/>
        <w:rPr>
          <w:rFonts w:ascii="Arial Narrow" w:eastAsia="Calibri" w:hAnsi="Arial Narrow" w:cs="Calibri"/>
          <w:color w:val="000000" w:themeColor="text1"/>
          <w:sz w:val="22"/>
          <w:szCs w:val="22"/>
          <w:lang w:val="sq-AL"/>
        </w:rPr>
      </w:pPr>
    </w:p>
    <w:p w14:paraId="1496FC01" w14:textId="77777777" w:rsidR="00430A79" w:rsidRPr="009F5CA1" w:rsidRDefault="00430A79" w:rsidP="00430A79">
      <w:pPr>
        <w:keepNext/>
        <w:spacing w:after="120"/>
        <w:jc w:val="both"/>
        <w:rPr>
          <w:rFonts w:ascii="Arial Narrow" w:eastAsia="Calibri" w:hAnsi="Arial Narrow" w:cs="Calibri"/>
          <w:color w:val="000000" w:themeColor="text1"/>
          <w:sz w:val="22"/>
          <w:szCs w:val="22"/>
          <w:lang w:val="sq-AL"/>
        </w:rPr>
      </w:pPr>
    </w:p>
    <w:p w14:paraId="7F4E690F" w14:textId="77777777" w:rsidR="00430A79" w:rsidRPr="00430A79" w:rsidRDefault="00430A79" w:rsidP="00430A79">
      <w:pPr>
        <w:widowControl w:val="0"/>
        <w:autoSpaceDE w:val="0"/>
        <w:autoSpaceDN w:val="0"/>
        <w:spacing w:before="60" w:after="60"/>
        <w:rPr>
          <w:rFonts w:ascii="Arial Narrow" w:eastAsia="Calibri" w:hAnsi="Arial Narrow" w:cs="Calibri"/>
          <w:color w:val="1F497D"/>
          <w:sz w:val="20"/>
          <w:szCs w:val="20"/>
        </w:rPr>
        <w:sectPr w:rsidR="00430A79" w:rsidRPr="00430A79" w:rsidSect="00430A79">
          <w:headerReference w:type="default" r:id="rId55"/>
          <w:footerReference w:type="default" r:id="rId56"/>
          <w:pgSz w:w="11906" w:h="16838"/>
          <w:pgMar w:top="1440" w:right="1440" w:bottom="1440" w:left="1440" w:header="708" w:footer="708" w:gutter="0"/>
          <w:cols w:space="708"/>
          <w:docGrid w:linePitch="360"/>
        </w:sect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92"/>
        <w:gridCol w:w="2644"/>
        <w:gridCol w:w="2261"/>
        <w:gridCol w:w="2440"/>
        <w:gridCol w:w="2496"/>
        <w:gridCol w:w="2325"/>
      </w:tblGrid>
      <w:tr w:rsidR="00430A79" w:rsidRPr="00430A79" w14:paraId="5FCF070E" w14:textId="77777777" w:rsidTr="00D03949">
        <w:trPr>
          <w:tblHeader/>
        </w:trPr>
        <w:tc>
          <w:tcPr>
            <w:tcW w:w="5000" w:type="pct"/>
            <w:gridSpan w:val="6"/>
            <w:tcBorders>
              <w:top w:val="nil"/>
              <w:left w:val="nil"/>
              <w:bottom w:val="nil"/>
              <w:right w:val="nil"/>
            </w:tcBorders>
            <w:shd w:val="clear" w:color="auto" w:fill="auto"/>
          </w:tcPr>
          <w:p w14:paraId="7E215536" w14:textId="40FB8AB8"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bookmarkStart w:id="306" w:name="_Toc185866199"/>
            <w:bookmarkStart w:id="307" w:name="_Toc197472228"/>
            <w:r w:rsidRPr="00430A79">
              <w:rPr>
                <w:rFonts w:ascii="Arial Narrow" w:eastAsia="Calibri" w:hAnsi="Arial Narrow" w:cs="Calibri"/>
                <w:color w:val="1F497D"/>
                <w:sz w:val="20"/>
                <w:szCs w:val="20"/>
              </w:rPr>
              <w:lastRenderedPageBreak/>
              <w:t xml:space="preserve">Tabela </w:t>
            </w:r>
            <w:r w:rsidRPr="00430A79">
              <w:rPr>
                <w:rFonts w:ascii="Arial Narrow" w:eastAsia="Calibri" w:hAnsi="Arial Narrow" w:cs="Calibri"/>
                <w:color w:val="1F497D"/>
                <w:sz w:val="20"/>
                <w:szCs w:val="20"/>
              </w:rPr>
              <w:fldChar w:fldCharType="begin"/>
            </w:r>
            <w:r w:rsidRPr="00430A79">
              <w:rPr>
                <w:rFonts w:ascii="Arial Narrow" w:eastAsia="Calibri" w:hAnsi="Arial Narrow" w:cs="Calibri"/>
                <w:color w:val="1F497D"/>
                <w:sz w:val="20"/>
                <w:szCs w:val="20"/>
              </w:rPr>
              <w:instrText xml:space="preserve"> SEQ Table \* ARABIC </w:instrText>
            </w:r>
            <w:r w:rsidRPr="00430A79">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43. </w:t>
            </w:r>
            <w:r w:rsidRPr="00430A79">
              <w:rPr>
                <w:rFonts w:ascii="Arial Narrow" w:eastAsia="Calibri" w:hAnsi="Arial Narrow" w:cs="Calibri"/>
                <w:color w:val="1F497D"/>
                <w:sz w:val="20"/>
                <w:szCs w:val="20"/>
              </w:rPr>
              <w:fldChar w:fldCharType="end"/>
            </w:r>
            <w:r w:rsidRPr="00430A79">
              <w:rPr>
                <w:rFonts w:ascii="Arial Narrow" w:eastAsia="Calibri" w:hAnsi="Arial Narrow" w:cs="Calibri"/>
                <w:color w:val="1F497D"/>
                <w:sz w:val="20"/>
                <w:szCs w:val="20"/>
              </w:rPr>
              <w:t>Krahasimi i sistemeve të ndryshme të para-</w:t>
            </w:r>
            <w:r w:rsidR="00C055EC">
              <w:rPr>
                <w:rFonts w:ascii="Arial Narrow" w:eastAsia="Calibri" w:hAnsi="Arial Narrow" w:cs="Calibri"/>
                <w:color w:val="1F497D"/>
                <w:sz w:val="20"/>
                <w:szCs w:val="20"/>
              </w:rPr>
              <w:t>grumbullimit</w:t>
            </w:r>
            <w:bookmarkEnd w:id="306"/>
            <w:bookmarkEnd w:id="307"/>
          </w:p>
        </w:tc>
      </w:tr>
      <w:tr w:rsidR="00430A79" w:rsidRPr="00430A79" w14:paraId="69E7B7FE" w14:textId="77777777" w:rsidTr="00750949">
        <w:trPr>
          <w:tblHeader/>
        </w:trPr>
        <w:tc>
          <w:tcPr>
            <w:tcW w:w="642" w:type="pct"/>
            <w:tcBorders>
              <w:top w:val="nil"/>
              <w:bottom w:val="single" w:sz="4" w:space="0" w:color="auto"/>
            </w:tcBorders>
            <w:shd w:val="clear" w:color="auto" w:fill="365F91"/>
          </w:tcPr>
          <w:p w14:paraId="244E8977" w14:textId="77777777" w:rsidR="00430A79" w:rsidRPr="00430A79" w:rsidRDefault="00430A79" w:rsidP="00430A79">
            <w:pPr>
              <w:widowControl w:val="0"/>
              <w:autoSpaceDE w:val="0"/>
              <w:autoSpaceDN w:val="0"/>
              <w:spacing w:before="60" w:after="60"/>
              <w:rPr>
                <w:rFonts w:ascii="Arial Narrow" w:eastAsia="Calibri" w:hAnsi="Arial Narrow" w:cs="Calibri"/>
                <w:b/>
                <w:sz w:val="20"/>
                <w:szCs w:val="20"/>
              </w:rPr>
            </w:pPr>
          </w:p>
        </w:tc>
        <w:tc>
          <w:tcPr>
            <w:tcW w:w="947" w:type="pct"/>
            <w:tcBorders>
              <w:top w:val="nil"/>
              <w:bottom w:val="single" w:sz="4" w:space="0" w:color="auto"/>
            </w:tcBorders>
            <w:shd w:val="clear" w:color="auto" w:fill="365F91"/>
          </w:tcPr>
          <w:p w14:paraId="73FC6ADA" w14:textId="54D3C822" w:rsidR="00430A79" w:rsidRPr="00430A79" w:rsidRDefault="00C055EC" w:rsidP="00430A79">
            <w:pPr>
              <w:widowControl w:val="0"/>
              <w:autoSpaceDE w:val="0"/>
              <w:autoSpaceDN w:val="0"/>
              <w:spacing w:before="60" w:after="60"/>
              <w:rPr>
                <w:rFonts w:ascii="Arial Narrow" w:eastAsia="Calibri" w:hAnsi="Arial Narrow" w:cs="Calibri"/>
                <w:b/>
                <w:color w:val="FFFFFF"/>
                <w:sz w:val="20"/>
                <w:szCs w:val="20"/>
              </w:rPr>
            </w:pPr>
            <w:r>
              <w:rPr>
                <w:rFonts w:ascii="Arial Narrow" w:eastAsia="Calibri" w:hAnsi="Arial Narrow" w:cs="Calibri"/>
                <w:b/>
                <w:color w:val="FFFFFF"/>
                <w:sz w:val="20"/>
                <w:szCs w:val="20"/>
              </w:rPr>
              <w:t>Lloji</w:t>
            </w:r>
            <w:r w:rsidR="00430A79" w:rsidRPr="00430A79">
              <w:rPr>
                <w:rFonts w:ascii="Arial Narrow" w:eastAsia="Calibri" w:hAnsi="Arial Narrow" w:cs="Calibri"/>
                <w:b/>
                <w:color w:val="FFFFFF"/>
                <w:sz w:val="20"/>
                <w:szCs w:val="20"/>
              </w:rPr>
              <w:t xml:space="preserve"> 1:</w:t>
            </w:r>
          </w:p>
          <w:p w14:paraId="359C181E" w14:textId="59DDEA6C" w:rsidR="00430A79" w:rsidRPr="00430A79" w:rsidRDefault="00C055EC" w:rsidP="00430A79">
            <w:pPr>
              <w:widowControl w:val="0"/>
              <w:autoSpaceDE w:val="0"/>
              <w:autoSpaceDN w:val="0"/>
              <w:spacing w:before="60" w:after="60"/>
              <w:rPr>
                <w:rFonts w:ascii="Arial Narrow" w:eastAsia="Calibri" w:hAnsi="Arial Narrow" w:cs="Calibri"/>
                <w:b/>
                <w:color w:val="FFFFFF"/>
                <w:sz w:val="20"/>
                <w:szCs w:val="20"/>
              </w:rPr>
            </w:pPr>
            <w:r>
              <w:rPr>
                <w:rFonts w:ascii="Arial Narrow" w:eastAsia="Calibri" w:hAnsi="Arial Narrow" w:cs="Calibri"/>
                <w:b/>
                <w:color w:val="FFFFFF"/>
                <w:sz w:val="20"/>
                <w:szCs w:val="20"/>
              </w:rPr>
              <w:t>Grumbullimi i qeseve/thasëve</w:t>
            </w:r>
          </w:p>
        </w:tc>
        <w:tc>
          <w:tcPr>
            <w:tcW w:w="810" w:type="pct"/>
            <w:tcBorders>
              <w:top w:val="nil"/>
              <w:bottom w:val="single" w:sz="4" w:space="0" w:color="auto"/>
            </w:tcBorders>
            <w:shd w:val="clear" w:color="auto" w:fill="365F91"/>
          </w:tcPr>
          <w:p w14:paraId="40561888" w14:textId="694F1685" w:rsidR="00430A79" w:rsidRPr="00430A79" w:rsidRDefault="00C055EC" w:rsidP="00430A79">
            <w:pPr>
              <w:widowControl w:val="0"/>
              <w:autoSpaceDE w:val="0"/>
              <w:autoSpaceDN w:val="0"/>
              <w:spacing w:before="60" w:after="60"/>
              <w:rPr>
                <w:rFonts w:ascii="Arial Narrow" w:eastAsia="Calibri" w:hAnsi="Arial Narrow" w:cs="Calibri"/>
                <w:b/>
                <w:color w:val="FFFFFF"/>
                <w:sz w:val="20"/>
                <w:szCs w:val="20"/>
              </w:rPr>
            </w:pPr>
            <w:r>
              <w:rPr>
                <w:rFonts w:ascii="Arial Narrow" w:eastAsia="Calibri" w:hAnsi="Arial Narrow" w:cs="Calibri"/>
                <w:b/>
                <w:color w:val="FFFFFF"/>
                <w:sz w:val="20"/>
                <w:szCs w:val="20"/>
              </w:rPr>
              <w:t>Lloji</w:t>
            </w:r>
            <w:r w:rsidR="00430A79" w:rsidRPr="00430A79">
              <w:rPr>
                <w:rFonts w:ascii="Arial Narrow" w:eastAsia="Calibri" w:hAnsi="Arial Narrow" w:cs="Calibri"/>
                <w:b/>
                <w:color w:val="FFFFFF"/>
                <w:sz w:val="20"/>
                <w:szCs w:val="20"/>
              </w:rPr>
              <w:t xml:space="preserve"> 2:</w:t>
            </w:r>
          </w:p>
          <w:p w14:paraId="41F7E6E2" w14:textId="54D02E34" w:rsidR="00430A79" w:rsidRPr="00430A79" w:rsidRDefault="00C055EC" w:rsidP="00430A79">
            <w:pPr>
              <w:widowControl w:val="0"/>
              <w:autoSpaceDE w:val="0"/>
              <w:autoSpaceDN w:val="0"/>
              <w:spacing w:before="60" w:after="60"/>
              <w:rPr>
                <w:rFonts w:ascii="Arial Narrow" w:eastAsia="Calibri" w:hAnsi="Arial Narrow" w:cs="Calibri"/>
                <w:b/>
                <w:color w:val="FFFFFF"/>
                <w:sz w:val="20"/>
                <w:szCs w:val="20"/>
              </w:rPr>
            </w:pPr>
            <w:r>
              <w:rPr>
                <w:rFonts w:ascii="Arial Narrow" w:eastAsia="Calibri" w:hAnsi="Arial Narrow" w:cs="Calibri"/>
                <w:b/>
                <w:color w:val="FFFFFF"/>
                <w:sz w:val="20"/>
                <w:szCs w:val="20"/>
              </w:rPr>
              <w:t>Shporta</w:t>
            </w:r>
            <w:r w:rsidR="00430A79" w:rsidRPr="00430A79">
              <w:rPr>
                <w:rFonts w:ascii="Arial Narrow" w:eastAsia="Calibri" w:hAnsi="Arial Narrow" w:cs="Calibri"/>
                <w:b/>
                <w:color w:val="FFFFFF"/>
                <w:sz w:val="20"/>
                <w:szCs w:val="20"/>
              </w:rPr>
              <w:t xml:space="preserve"> dhe kontejnerë individualë</w:t>
            </w:r>
          </w:p>
        </w:tc>
        <w:tc>
          <w:tcPr>
            <w:tcW w:w="874" w:type="pct"/>
            <w:tcBorders>
              <w:top w:val="nil"/>
              <w:bottom w:val="single" w:sz="4" w:space="0" w:color="auto"/>
            </w:tcBorders>
            <w:shd w:val="clear" w:color="auto" w:fill="365F91"/>
          </w:tcPr>
          <w:p w14:paraId="5E613EE5" w14:textId="6416F19D" w:rsidR="00430A79" w:rsidRPr="00430A79" w:rsidRDefault="00C055EC" w:rsidP="00430A79">
            <w:pPr>
              <w:widowControl w:val="0"/>
              <w:autoSpaceDE w:val="0"/>
              <w:autoSpaceDN w:val="0"/>
              <w:spacing w:before="60" w:after="60"/>
              <w:rPr>
                <w:rFonts w:ascii="Arial Narrow" w:eastAsia="Calibri" w:hAnsi="Arial Narrow" w:cs="Calibri"/>
                <w:b/>
                <w:color w:val="FFFFFF"/>
                <w:sz w:val="20"/>
                <w:szCs w:val="20"/>
              </w:rPr>
            </w:pPr>
            <w:r>
              <w:rPr>
                <w:rFonts w:ascii="Arial Narrow" w:eastAsia="Calibri" w:hAnsi="Arial Narrow" w:cs="Calibri"/>
                <w:b/>
                <w:color w:val="FFFFFF"/>
                <w:sz w:val="20"/>
                <w:szCs w:val="20"/>
              </w:rPr>
              <w:t>Lloji</w:t>
            </w:r>
            <w:r w:rsidR="00430A79" w:rsidRPr="00430A79">
              <w:rPr>
                <w:rFonts w:ascii="Arial Narrow" w:eastAsia="Calibri" w:hAnsi="Arial Narrow" w:cs="Calibri"/>
                <w:b/>
                <w:color w:val="FFFFFF"/>
                <w:sz w:val="20"/>
                <w:szCs w:val="20"/>
              </w:rPr>
              <w:t xml:space="preserve"> 3a:</w:t>
            </w:r>
          </w:p>
          <w:p w14:paraId="53B6CC61" w14:textId="65842E5E"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Pik</w:t>
            </w:r>
            <w:r w:rsidR="00C055EC">
              <w:rPr>
                <w:rFonts w:ascii="Arial Narrow" w:eastAsia="Calibri" w:hAnsi="Arial Narrow" w:cs="Calibri"/>
                <w:b/>
                <w:color w:val="FFFFFF"/>
                <w:sz w:val="20"/>
                <w:szCs w:val="20"/>
              </w:rPr>
              <w:t>at</w:t>
            </w:r>
            <w:r w:rsidRPr="00430A79">
              <w:rPr>
                <w:rFonts w:ascii="Arial Narrow" w:eastAsia="Calibri" w:hAnsi="Arial Narrow" w:cs="Calibri"/>
                <w:b/>
                <w:color w:val="FFFFFF"/>
                <w:sz w:val="20"/>
                <w:szCs w:val="20"/>
              </w:rPr>
              <w:t xml:space="preserve"> </w:t>
            </w:r>
            <w:r w:rsidR="00C055EC">
              <w:rPr>
                <w:rFonts w:ascii="Arial Narrow" w:eastAsia="Calibri" w:hAnsi="Arial Narrow" w:cs="Calibri"/>
                <w:b/>
                <w:color w:val="FFFFFF"/>
                <w:sz w:val="20"/>
                <w:szCs w:val="20"/>
              </w:rPr>
              <w:t xml:space="preserve">e </w:t>
            </w:r>
            <w:r w:rsidRPr="00430A79">
              <w:rPr>
                <w:rFonts w:ascii="Arial Narrow" w:eastAsia="Calibri" w:hAnsi="Arial Narrow" w:cs="Calibri"/>
                <w:b/>
                <w:color w:val="FFFFFF"/>
                <w:sz w:val="20"/>
                <w:szCs w:val="20"/>
              </w:rPr>
              <w:t>grumbullimi në</w:t>
            </w:r>
            <w:r w:rsidR="00C055EC">
              <w:rPr>
                <w:rFonts w:ascii="Arial Narrow" w:eastAsia="Calibri" w:hAnsi="Arial Narrow" w:cs="Calibri"/>
                <w:b/>
                <w:color w:val="FFFFFF"/>
                <w:sz w:val="20"/>
                <w:szCs w:val="20"/>
              </w:rPr>
              <w:t>për</w:t>
            </w:r>
            <w:r w:rsidRPr="00430A79">
              <w:rPr>
                <w:rFonts w:ascii="Arial Narrow" w:eastAsia="Calibri" w:hAnsi="Arial Narrow" w:cs="Calibri"/>
                <w:b/>
                <w:color w:val="FFFFFF"/>
                <w:sz w:val="20"/>
                <w:szCs w:val="20"/>
              </w:rPr>
              <w:t xml:space="preserve"> rrugë </w:t>
            </w:r>
            <w:r w:rsidRPr="00430A79">
              <w:rPr>
                <w:rFonts w:ascii="Arial Narrow" w:eastAsia="Calibri" w:hAnsi="Arial Narrow" w:cs="Calibri"/>
                <w:b/>
                <w:color w:val="FFFFFF"/>
                <w:sz w:val="20"/>
                <w:szCs w:val="20"/>
              </w:rPr>
              <w:br/>
            </w:r>
            <w:r w:rsidR="00C055EC">
              <w:rPr>
                <w:rFonts w:ascii="Arial Narrow" w:eastAsia="Calibri" w:hAnsi="Arial Narrow" w:cs="Calibri"/>
                <w:b/>
                <w:color w:val="FFFFFF"/>
                <w:sz w:val="20"/>
                <w:szCs w:val="20"/>
              </w:rPr>
              <w:t>Euro-</w:t>
            </w:r>
            <w:r w:rsidRPr="00430A79">
              <w:rPr>
                <w:rFonts w:ascii="Arial Narrow" w:eastAsia="Calibri" w:hAnsi="Arial Narrow" w:cs="Calibri"/>
                <w:b/>
                <w:color w:val="FFFFFF"/>
                <w:sz w:val="20"/>
                <w:szCs w:val="20"/>
              </w:rPr>
              <w:t>kontejner</w:t>
            </w:r>
            <w:r w:rsidR="00C055EC">
              <w:rPr>
                <w:rFonts w:ascii="Arial Narrow" w:eastAsia="Calibri" w:hAnsi="Arial Narrow" w:cs="Calibri"/>
                <w:b/>
                <w:color w:val="FFFFFF"/>
                <w:sz w:val="20"/>
                <w:szCs w:val="20"/>
              </w:rPr>
              <w:t>ë</w:t>
            </w:r>
            <w:r w:rsidRPr="00430A79">
              <w:rPr>
                <w:rFonts w:ascii="Arial Narrow" w:eastAsia="Calibri" w:hAnsi="Arial Narrow" w:cs="Calibri"/>
                <w:b/>
                <w:color w:val="FFFFFF"/>
                <w:sz w:val="20"/>
                <w:szCs w:val="20"/>
              </w:rPr>
              <w:t xml:space="preserve"> me rrota 1.1 m³</w:t>
            </w:r>
          </w:p>
        </w:tc>
        <w:tc>
          <w:tcPr>
            <w:tcW w:w="894" w:type="pct"/>
            <w:tcBorders>
              <w:top w:val="nil"/>
              <w:bottom w:val="single" w:sz="4" w:space="0" w:color="auto"/>
            </w:tcBorders>
            <w:shd w:val="clear" w:color="auto" w:fill="365F91"/>
          </w:tcPr>
          <w:p w14:paraId="26CB8260"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Tipi 3b:</w:t>
            </w:r>
          </w:p>
          <w:p w14:paraId="318390D1" w14:textId="77777777" w:rsidR="00C055EC" w:rsidRDefault="00C055EC" w:rsidP="00430A79">
            <w:pPr>
              <w:widowControl w:val="0"/>
              <w:autoSpaceDE w:val="0"/>
              <w:autoSpaceDN w:val="0"/>
              <w:spacing w:before="60" w:after="60"/>
              <w:rPr>
                <w:rFonts w:ascii="Arial Narrow" w:eastAsia="Calibri" w:hAnsi="Arial Narrow" w:cs="Calibri"/>
                <w:b/>
                <w:color w:val="FFFFFF"/>
                <w:sz w:val="20"/>
                <w:szCs w:val="20"/>
              </w:rPr>
            </w:pPr>
            <w:r>
              <w:rPr>
                <w:rFonts w:ascii="Arial Narrow" w:eastAsia="Calibri" w:hAnsi="Arial Narrow" w:cs="Calibri"/>
                <w:b/>
                <w:color w:val="FFFFFF"/>
                <w:sz w:val="20"/>
                <w:szCs w:val="20"/>
              </w:rPr>
              <w:t>Pikat e grumbullimit nëpër rrugë</w:t>
            </w:r>
          </w:p>
          <w:p w14:paraId="68556E3F" w14:textId="7E8E48EE"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Kontejner</w:t>
            </w:r>
            <w:r w:rsidR="00C055EC">
              <w:rPr>
                <w:rFonts w:ascii="Arial Narrow" w:eastAsia="Calibri" w:hAnsi="Arial Narrow" w:cs="Calibri"/>
                <w:b/>
                <w:color w:val="FFFFFF"/>
                <w:sz w:val="20"/>
                <w:szCs w:val="20"/>
              </w:rPr>
              <w:t>ë</w:t>
            </w:r>
            <w:r w:rsidRPr="00430A79">
              <w:rPr>
                <w:rFonts w:ascii="Arial Narrow" w:eastAsia="Calibri" w:hAnsi="Arial Narrow" w:cs="Calibri"/>
                <w:b/>
                <w:color w:val="FFFFFF"/>
                <w:sz w:val="20"/>
                <w:szCs w:val="20"/>
              </w:rPr>
              <w:t xml:space="preserve"> </w:t>
            </w:r>
            <w:r w:rsidR="00C055EC">
              <w:rPr>
                <w:rFonts w:ascii="Arial Narrow" w:eastAsia="Calibri" w:hAnsi="Arial Narrow" w:cs="Calibri"/>
                <w:b/>
                <w:color w:val="FFFFFF"/>
                <w:sz w:val="20"/>
                <w:szCs w:val="20"/>
              </w:rPr>
              <w:t>statik</w:t>
            </w:r>
            <w:r w:rsidRPr="00430A79">
              <w:rPr>
                <w:rFonts w:ascii="Arial Narrow" w:eastAsia="Calibri" w:hAnsi="Arial Narrow" w:cs="Calibri"/>
                <w:b/>
                <w:color w:val="FFFFFF"/>
                <w:sz w:val="20"/>
                <w:szCs w:val="20"/>
              </w:rPr>
              <w:t xml:space="preserve"> 1.8, 2.4 dhe 3.6 m³</w:t>
            </w:r>
          </w:p>
        </w:tc>
        <w:tc>
          <w:tcPr>
            <w:tcW w:w="833" w:type="pct"/>
            <w:tcBorders>
              <w:top w:val="nil"/>
              <w:bottom w:val="single" w:sz="4" w:space="0" w:color="auto"/>
            </w:tcBorders>
            <w:shd w:val="clear" w:color="auto" w:fill="365F91"/>
          </w:tcPr>
          <w:p w14:paraId="30734AC4" w14:textId="1FB0423D" w:rsidR="00430A79" w:rsidRPr="00430A79" w:rsidRDefault="00C055EC" w:rsidP="00430A79">
            <w:pPr>
              <w:widowControl w:val="0"/>
              <w:autoSpaceDE w:val="0"/>
              <w:autoSpaceDN w:val="0"/>
              <w:spacing w:before="60" w:after="60"/>
              <w:rPr>
                <w:rFonts w:ascii="Arial Narrow" w:eastAsia="Calibri" w:hAnsi="Arial Narrow" w:cs="Calibri"/>
                <w:b/>
                <w:color w:val="FFFFFF"/>
                <w:sz w:val="20"/>
                <w:szCs w:val="20"/>
              </w:rPr>
            </w:pPr>
            <w:r>
              <w:rPr>
                <w:rFonts w:ascii="Arial Narrow" w:eastAsia="Calibri" w:hAnsi="Arial Narrow" w:cs="Calibri"/>
                <w:b/>
                <w:color w:val="FFFFFF"/>
                <w:sz w:val="20"/>
                <w:szCs w:val="20"/>
              </w:rPr>
              <w:t>Lloji</w:t>
            </w:r>
            <w:r w:rsidR="00430A79" w:rsidRPr="00430A79">
              <w:rPr>
                <w:rFonts w:ascii="Arial Narrow" w:eastAsia="Calibri" w:hAnsi="Arial Narrow" w:cs="Calibri"/>
                <w:b/>
                <w:color w:val="FFFFFF"/>
                <w:sz w:val="20"/>
                <w:szCs w:val="20"/>
              </w:rPr>
              <w:t xml:space="preserve"> 4</w:t>
            </w:r>
          </w:p>
          <w:p w14:paraId="1CBD1E44" w14:textId="0EA32EF8" w:rsidR="00430A79" w:rsidRPr="00430A79" w:rsidRDefault="00C055EC" w:rsidP="00430A79">
            <w:pPr>
              <w:widowControl w:val="0"/>
              <w:autoSpaceDE w:val="0"/>
              <w:autoSpaceDN w:val="0"/>
              <w:spacing w:before="60" w:after="60"/>
              <w:rPr>
                <w:rFonts w:ascii="Arial Narrow" w:eastAsia="Calibri" w:hAnsi="Arial Narrow" w:cs="Calibri"/>
                <w:b/>
                <w:color w:val="FFFFFF"/>
                <w:sz w:val="20"/>
                <w:szCs w:val="20"/>
              </w:rPr>
            </w:pPr>
            <w:r>
              <w:rPr>
                <w:rFonts w:ascii="Arial Narrow" w:eastAsia="Calibri" w:hAnsi="Arial Narrow" w:cs="Calibri"/>
                <w:b/>
                <w:color w:val="FFFFFF"/>
                <w:sz w:val="20"/>
                <w:szCs w:val="20"/>
              </w:rPr>
              <w:t>Skip k</w:t>
            </w:r>
            <w:r w:rsidR="00430A79" w:rsidRPr="00430A79">
              <w:rPr>
                <w:rFonts w:ascii="Arial Narrow" w:eastAsia="Calibri" w:hAnsi="Arial Narrow" w:cs="Calibri"/>
                <w:b/>
                <w:color w:val="FFFFFF"/>
                <w:sz w:val="20"/>
                <w:szCs w:val="20"/>
              </w:rPr>
              <w:t>ontejnerë</w:t>
            </w:r>
            <w:r>
              <w:rPr>
                <w:rFonts w:ascii="Arial Narrow" w:eastAsia="Calibri" w:hAnsi="Arial Narrow" w:cs="Calibri"/>
                <w:b/>
                <w:color w:val="FFFFFF"/>
                <w:sz w:val="20"/>
                <w:szCs w:val="20"/>
              </w:rPr>
              <w:t xml:space="preserve"> </w:t>
            </w:r>
            <w:r w:rsidR="00430A79" w:rsidRPr="00430A79">
              <w:rPr>
                <w:rFonts w:ascii="Arial Narrow" w:eastAsia="Calibri" w:hAnsi="Arial Narrow" w:cs="Calibri"/>
                <w:b/>
                <w:color w:val="FFFFFF"/>
                <w:sz w:val="20"/>
                <w:szCs w:val="20"/>
              </w:rPr>
              <w:t>4.0 m³</w:t>
            </w:r>
          </w:p>
          <w:p w14:paraId="1E3ECA68"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p>
        </w:tc>
      </w:tr>
      <w:tr w:rsidR="00C055EC" w:rsidRPr="00430A79" w14:paraId="3A74B94B" w14:textId="77777777" w:rsidTr="00D03949">
        <w:trPr>
          <w:tblHeader/>
        </w:trPr>
        <w:tc>
          <w:tcPr>
            <w:tcW w:w="642" w:type="pct"/>
            <w:vMerge w:val="restart"/>
            <w:tcBorders>
              <w:top w:val="single" w:sz="4" w:space="0" w:color="auto"/>
              <w:left w:val="single" w:sz="4" w:space="0" w:color="auto"/>
              <w:bottom w:val="single" w:sz="4" w:space="0" w:color="auto"/>
              <w:right w:val="single" w:sz="4" w:space="0" w:color="auto"/>
            </w:tcBorders>
            <w:shd w:val="clear" w:color="auto" w:fill="5B9BD5" w:themeFill="accent5"/>
          </w:tcPr>
          <w:p w14:paraId="798A7EA9" w14:textId="77777777" w:rsidR="00C055EC" w:rsidRPr="00430A79" w:rsidRDefault="00C055EC" w:rsidP="00C055EC">
            <w:pPr>
              <w:widowControl w:val="0"/>
              <w:autoSpaceDE w:val="0"/>
              <w:autoSpaceDN w:val="0"/>
              <w:spacing w:before="60" w:after="60"/>
              <w:ind w:right="289"/>
              <w:rPr>
                <w:rFonts w:ascii="Arial Narrow" w:eastAsia="Calibri" w:hAnsi="Arial Narrow" w:cs="Calibri"/>
                <w:sz w:val="20"/>
                <w:szCs w:val="20"/>
              </w:rPr>
            </w:pPr>
            <w:r w:rsidRPr="00430A79">
              <w:rPr>
                <w:rFonts w:ascii="Arial Narrow" w:eastAsia="Calibri" w:hAnsi="Arial Narrow" w:cs="Calibri"/>
                <w:sz w:val="20"/>
                <w:szCs w:val="20"/>
              </w:rPr>
              <w:t>Përshkrim i shkurtër</w:t>
            </w:r>
          </w:p>
        </w:tc>
        <w:tc>
          <w:tcPr>
            <w:tcW w:w="947" w:type="pct"/>
            <w:vMerge w:val="restart"/>
            <w:tcBorders>
              <w:top w:val="single" w:sz="4" w:space="0" w:color="auto"/>
              <w:left w:val="single" w:sz="4" w:space="0" w:color="auto"/>
              <w:bottom w:val="single" w:sz="4" w:space="0" w:color="auto"/>
              <w:right w:val="single" w:sz="4" w:space="0" w:color="auto"/>
            </w:tcBorders>
          </w:tcPr>
          <w:p w14:paraId="512A0F1B" w14:textId="77777777" w:rsidR="00C055EC" w:rsidRPr="00430A79" w:rsidRDefault="00C055EC" w:rsidP="00C055EC">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noProof/>
                <w:sz w:val="20"/>
                <w:szCs w:val="20"/>
              </w:rPr>
              <w:drawing>
                <wp:anchor distT="0" distB="0" distL="114300" distR="114300" simplePos="0" relativeHeight="251691008" behindDoc="1" locked="0" layoutInCell="1" allowOverlap="1" wp14:anchorId="04B567A0" wp14:editId="3E551EAC">
                  <wp:simplePos x="0" y="0"/>
                  <wp:positionH relativeFrom="column">
                    <wp:posOffset>63844</wp:posOffset>
                  </wp:positionH>
                  <wp:positionV relativeFrom="paragraph">
                    <wp:posOffset>612</wp:posOffset>
                  </wp:positionV>
                  <wp:extent cx="1627505" cy="1186815"/>
                  <wp:effectExtent l="0" t="0" r="0" b="0"/>
                  <wp:wrapTight wrapText="bothSides">
                    <wp:wrapPolygon edited="0">
                      <wp:start x="0" y="0"/>
                      <wp:lineTo x="0" y="21149"/>
                      <wp:lineTo x="21238" y="21149"/>
                      <wp:lineTo x="21238" y="0"/>
                      <wp:lineTo x="0" y="0"/>
                    </wp:wrapPolygon>
                  </wp:wrapTight>
                  <wp:docPr id="145" name="Picture 145" descr="20080321_IMG_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80321_IMG_0382"/>
                          <pic:cNvPicPr>
                            <a:picLocks noChangeAspect="1" noChangeArrowheads="1"/>
                          </pic:cNvPicPr>
                        </pic:nvPicPr>
                        <pic:blipFill>
                          <a:blip r:embed="rId57" cstate="print">
                            <a:extLst>
                              <a:ext uri="{28A0092B-C50C-407E-A947-70E740481C1C}">
                                <a14:useLocalDpi xmlns:a14="http://schemas.microsoft.com/office/drawing/2010/main" val="0"/>
                              </a:ext>
                            </a:extLst>
                          </a:blip>
                          <a:srcRect l="4430" r="4430" b="11810"/>
                          <a:stretch>
                            <a:fillRect/>
                          </a:stretch>
                        </pic:blipFill>
                        <pic:spPr bwMode="auto">
                          <a:xfrm>
                            <a:off x="0" y="0"/>
                            <a:ext cx="1627505" cy="1186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B25D3" w14:textId="77777777" w:rsidR="00C055EC" w:rsidRPr="00BE2534" w:rsidRDefault="00C055EC" w:rsidP="00C055E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Mbeturinat paketohen në qese plastike dhe vendosen para ndërtesës, në rrugë, në ditën e grumbullimit.</w:t>
            </w:r>
          </w:p>
          <w:p w14:paraId="6C70922E" w14:textId="4CF6ED9D" w:rsidR="00C055EC" w:rsidRPr="00430A79" w:rsidRDefault="00C055EC" w:rsidP="00C055E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Qeset mblidhen me dorë nga ngarkuesit dhe hidhen në  kamionin grumbullues</w:t>
            </w:r>
          </w:p>
        </w:tc>
        <w:tc>
          <w:tcPr>
            <w:tcW w:w="810" w:type="pct"/>
            <w:vMerge w:val="restart"/>
            <w:tcBorders>
              <w:top w:val="single" w:sz="4" w:space="0" w:color="auto"/>
              <w:left w:val="single" w:sz="4" w:space="0" w:color="auto"/>
              <w:bottom w:val="single" w:sz="4" w:space="0" w:color="auto"/>
              <w:right w:val="single" w:sz="4" w:space="0" w:color="auto"/>
            </w:tcBorders>
          </w:tcPr>
          <w:p w14:paraId="7539E89C" w14:textId="77777777" w:rsidR="00C055EC" w:rsidRPr="00BE2534" w:rsidRDefault="00C055EC" w:rsidP="00C055E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noProof/>
                <w:sz w:val="20"/>
                <w:szCs w:val="20"/>
                <w:lang w:val="sq-AL"/>
              </w:rPr>
              <w:drawing>
                <wp:anchor distT="0" distB="0" distL="114300" distR="114300" simplePos="0" relativeHeight="251692032" behindDoc="1" locked="0" layoutInCell="1" allowOverlap="1" wp14:anchorId="2B7508C5" wp14:editId="63C90073">
                  <wp:simplePos x="0" y="0"/>
                  <wp:positionH relativeFrom="column">
                    <wp:posOffset>64135</wp:posOffset>
                  </wp:positionH>
                  <wp:positionV relativeFrom="paragraph">
                    <wp:posOffset>-253365</wp:posOffset>
                  </wp:positionV>
                  <wp:extent cx="1270635" cy="1027430"/>
                  <wp:effectExtent l="0" t="0" r="5715" b="1270"/>
                  <wp:wrapTight wrapText="bothSides">
                    <wp:wrapPolygon edited="0">
                      <wp:start x="0" y="0"/>
                      <wp:lineTo x="0" y="21226"/>
                      <wp:lineTo x="21373" y="21226"/>
                      <wp:lineTo x="21373" y="0"/>
                      <wp:lineTo x="0" y="0"/>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70635" cy="10274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99DA341" w14:textId="5DD8F621" w:rsidR="00C055EC" w:rsidRPr="00BE2534" w:rsidRDefault="00C055EC" w:rsidP="00C055E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Çdo shtëpi ose ndërtesë është e pajisur me</w:t>
            </w:r>
            <w:r w:rsidR="00FC2BA4">
              <w:rPr>
                <w:rFonts w:ascii="Arial Narrow" w:eastAsia="Calibri" w:hAnsi="Arial Narrow" w:cs="Calibri"/>
                <w:sz w:val="20"/>
                <w:szCs w:val="20"/>
                <w:lang w:val="sq-AL"/>
              </w:rPr>
              <w:t xml:space="preserve"> shportën</w:t>
            </w:r>
            <w:r w:rsidRPr="00BE2534">
              <w:rPr>
                <w:rFonts w:ascii="Arial Narrow" w:eastAsia="Calibri" w:hAnsi="Arial Narrow" w:cs="Calibri"/>
                <w:sz w:val="20"/>
                <w:szCs w:val="20"/>
                <w:lang w:val="sq-AL"/>
              </w:rPr>
              <w:t xml:space="preserve"> ose kontejnerin e vet. </w:t>
            </w:r>
            <w:r w:rsidR="00FC2BA4">
              <w:rPr>
                <w:rFonts w:ascii="Arial Narrow" w:eastAsia="Calibri" w:hAnsi="Arial Narrow" w:cs="Calibri"/>
                <w:sz w:val="20"/>
                <w:szCs w:val="20"/>
                <w:lang w:val="sq-AL"/>
              </w:rPr>
              <w:t>Shporta</w:t>
            </w:r>
            <w:r w:rsidRPr="00BE2534">
              <w:rPr>
                <w:rFonts w:ascii="Arial Narrow" w:eastAsia="Calibri" w:hAnsi="Arial Narrow" w:cs="Calibri"/>
                <w:sz w:val="20"/>
                <w:szCs w:val="20"/>
                <w:lang w:val="sq-AL"/>
              </w:rPr>
              <w:t xml:space="preserve"> ose kontejneri zakonisht vendosen brenda ose drejt para lokaleve dhe se pronari i shtëpisë ose kujdestari i një ndërtese kujdeset për pastërtinë e tyre, vendosjen e saktë dhe vendosjen e llojeve të duhura të mbeturinave.</w:t>
            </w:r>
          </w:p>
          <w:p w14:paraId="3F8CD4BF" w14:textId="3BA285F1" w:rsidR="00C055EC" w:rsidRPr="00BE2534" w:rsidRDefault="00C055EC" w:rsidP="00C055E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 xml:space="preserve">Zakonisht, </w:t>
            </w:r>
            <w:r w:rsidR="00FC2BA4">
              <w:rPr>
                <w:rFonts w:ascii="Arial Narrow" w:eastAsia="Calibri" w:hAnsi="Arial Narrow" w:cs="Calibri"/>
                <w:sz w:val="20"/>
                <w:szCs w:val="20"/>
                <w:lang w:val="sq-AL"/>
              </w:rPr>
              <w:t>shporta</w:t>
            </w:r>
            <w:r w:rsidRPr="00BE2534">
              <w:rPr>
                <w:rFonts w:ascii="Arial Narrow" w:eastAsia="Calibri" w:hAnsi="Arial Narrow" w:cs="Calibri"/>
                <w:sz w:val="20"/>
                <w:szCs w:val="20"/>
                <w:lang w:val="sq-AL"/>
              </w:rPr>
              <w:t xml:space="preserve"> ose kontejneri vendoset në anë të rrugës në ditën e grumbullimit.</w:t>
            </w:r>
          </w:p>
          <w:p w14:paraId="6D8C6F5C" w14:textId="18CA7EF4" w:rsidR="00C055EC" w:rsidRPr="00430A79" w:rsidRDefault="00C055EC" w:rsidP="00C055E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Ekipi i grumbullimit i rrotullon </w:t>
            </w:r>
            <w:r w:rsidRPr="00BE2534">
              <w:rPr>
                <w:rFonts w:ascii="Arial Narrow" w:eastAsia="Calibri" w:hAnsi="Arial Narrow" w:cs="Calibri"/>
                <w:sz w:val="20"/>
                <w:szCs w:val="20"/>
                <w:lang w:val="sq-AL"/>
              </w:rPr>
              <w:lastRenderedPageBreak/>
              <w:t>shportat/kontejnerët deri tek kamioni i grumbullimit dhe shportat/kontejnerët ngarkohen në mënyrë hidraulike</w:t>
            </w:r>
          </w:p>
        </w:tc>
        <w:tc>
          <w:tcPr>
            <w:tcW w:w="1768" w:type="pct"/>
            <w:gridSpan w:val="2"/>
            <w:tcBorders>
              <w:top w:val="single" w:sz="4" w:space="0" w:color="auto"/>
              <w:left w:val="single" w:sz="4" w:space="0" w:color="auto"/>
              <w:bottom w:val="single" w:sz="4" w:space="0" w:color="auto"/>
              <w:right w:val="single" w:sz="4" w:space="0" w:color="auto"/>
            </w:tcBorders>
          </w:tcPr>
          <w:p w14:paraId="630D23FD" w14:textId="77777777" w:rsidR="00C055EC" w:rsidRPr="00BE2534" w:rsidRDefault="00C055EC" w:rsidP="00C055E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lastRenderedPageBreak/>
              <w:t>Tipike për një sistem pikash grumbullimi rrugor është vendosja e kontejnerëve përgjatë rrugës në një distancë nga ndërtesat, e cila nuk i kalon 100 m.</w:t>
            </w:r>
          </w:p>
          <w:p w14:paraId="6B31CE64" w14:textId="0A2A8A1D" w:rsidR="00C055EC" w:rsidRPr="00430A79" w:rsidRDefault="00C055EC" w:rsidP="00C055E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Njerëzit duhet t'i çojnë mbeturinat e tyre në kontejnerë.</w:t>
            </w:r>
          </w:p>
        </w:tc>
        <w:tc>
          <w:tcPr>
            <w:tcW w:w="833" w:type="pct"/>
            <w:tcBorders>
              <w:top w:val="single" w:sz="4" w:space="0" w:color="auto"/>
              <w:left w:val="single" w:sz="4" w:space="0" w:color="auto"/>
              <w:bottom w:val="single" w:sz="4" w:space="0" w:color="auto"/>
              <w:right w:val="single" w:sz="4" w:space="0" w:color="auto"/>
            </w:tcBorders>
          </w:tcPr>
          <w:p w14:paraId="70C7C245" w14:textId="6E37D7FC" w:rsidR="00C055EC" w:rsidRPr="00430A79" w:rsidRDefault="00C055EC" w:rsidP="00C055E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Grumbullimi në skip kontejnerë të stacionuar</w:t>
            </w:r>
          </w:p>
        </w:tc>
      </w:tr>
      <w:tr w:rsidR="00430A79" w:rsidRPr="00430A79" w14:paraId="4123FFEB" w14:textId="77777777" w:rsidTr="00D03949">
        <w:trPr>
          <w:tblHeader/>
        </w:trPr>
        <w:tc>
          <w:tcPr>
            <w:tcW w:w="642" w:type="pct"/>
            <w:vMerge/>
            <w:tcBorders>
              <w:top w:val="single" w:sz="4" w:space="0" w:color="auto"/>
              <w:left w:val="single" w:sz="4" w:space="0" w:color="auto"/>
              <w:bottom w:val="single" w:sz="4" w:space="0" w:color="auto"/>
              <w:right w:val="single" w:sz="4" w:space="0" w:color="auto"/>
            </w:tcBorders>
            <w:shd w:val="clear" w:color="auto" w:fill="5B9BD5" w:themeFill="accent5"/>
          </w:tcPr>
          <w:p w14:paraId="2AF53F33" w14:textId="77777777" w:rsidR="00430A79" w:rsidRPr="00430A79" w:rsidRDefault="00430A79" w:rsidP="00430A79">
            <w:pPr>
              <w:widowControl w:val="0"/>
              <w:kinsoku w:val="0"/>
              <w:overflowPunct w:val="0"/>
              <w:spacing w:line="205" w:lineRule="exact"/>
              <w:ind w:left="147" w:right="131"/>
              <w:rPr>
                <w:rFonts w:ascii="Cambria" w:eastAsiaTheme="minorHAnsi" w:hAnsi="Cambria" w:cs="Arial"/>
                <w:b/>
                <w:sz w:val="16"/>
                <w:szCs w:val="18"/>
              </w:rPr>
            </w:pPr>
          </w:p>
        </w:tc>
        <w:tc>
          <w:tcPr>
            <w:tcW w:w="947" w:type="pct"/>
            <w:vMerge/>
            <w:tcBorders>
              <w:top w:val="single" w:sz="4" w:space="0" w:color="auto"/>
              <w:left w:val="single" w:sz="4" w:space="0" w:color="auto"/>
              <w:bottom w:val="single" w:sz="4" w:space="0" w:color="auto"/>
              <w:right w:val="single" w:sz="4" w:space="0" w:color="auto"/>
            </w:tcBorders>
          </w:tcPr>
          <w:p w14:paraId="1D864FE9"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p>
        </w:tc>
        <w:tc>
          <w:tcPr>
            <w:tcW w:w="810" w:type="pct"/>
            <w:vMerge/>
            <w:tcBorders>
              <w:top w:val="single" w:sz="4" w:space="0" w:color="auto"/>
              <w:left w:val="single" w:sz="4" w:space="0" w:color="auto"/>
              <w:bottom w:val="single" w:sz="4" w:space="0" w:color="auto"/>
              <w:right w:val="single" w:sz="4" w:space="0" w:color="auto"/>
            </w:tcBorders>
          </w:tcPr>
          <w:p w14:paraId="44B462F4"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p>
        </w:tc>
        <w:tc>
          <w:tcPr>
            <w:tcW w:w="874" w:type="pct"/>
            <w:tcBorders>
              <w:top w:val="single" w:sz="4" w:space="0" w:color="auto"/>
              <w:left w:val="single" w:sz="4" w:space="0" w:color="auto"/>
              <w:bottom w:val="single" w:sz="4" w:space="0" w:color="auto"/>
              <w:right w:val="single" w:sz="4" w:space="0" w:color="auto"/>
            </w:tcBorders>
          </w:tcPr>
          <w:p w14:paraId="57450527"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p>
          <w:p w14:paraId="0DE39332"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noProof/>
                <w:sz w:val="20"/>
                <w:szCs w:val="20"/>
              </w:rPr>
              <w:drawing>
                <wp:anchor distT="0" distB="0" distL="114300" distR="114300" simplePos="0" relativeHeight="251679744" behindDoc="1" locked="0" layoutInCell="1" allowOverlap="1" wp14:anchorId="13226709" wp14:editId="29D77F51">
                  <wp:simplePos x="0" y="0"/>
                  <wp:positionH relativeFrom="column">
                    <wp:posOffset>-38735</wp:posOffset>
                  </wp:positionH>
                  <wp:positionV relativeFrom="paragraph">
                    <wp:posOffset>-1270</wp:posOffset>
                  </wp:positionV>
                  <wp:extent cx="1634490" cy="1350645"/>
                  <wp:effectExtent l="0" t="0" r="3810" b="1905"/>
                  <wp:wrapTight wrapText="bothSides">
                    <wp:wrapPolygon edited="0">
                      <wp:start x="0" y="0"/>
                      <wp:lineTo x="0" y="21326"/>
                      <wp:lineTo x="21399" y="21326"/>
                      <wp:lineTo x="21399" y="0"/>
                      <wp:lineTo x="0" y="0"/>
                    </wp:wrapPolygon>
                  </wp:wrapTight>
                  <wp:docPr id="154" name="Picture 2"/>
                  <wp:cNvGraphicFramePr/>
                  <a:graphic xmlns:a="http://schemas.openxmlformats.org/drawingml/2006/main">
                    <a:graphicData uri="http://schemas.openxmlformats.org/drawingml/2006/picture">
                      <pic:pic xmlns:pic="http://schemas.openxmlformats.org/drawingml/2006/picture">
                        <pic:nvPicPr>
                          <pic:cNvPr id="26628"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34490" cy="13506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E929976" w14:textId="5D647E8C" w:rsidR="00430A79" w:rsidRPr="00430A79" w:rsidRDefault="00C055EC" w:rsidP="00430A79">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Me këtë lloj mbeturinat grumbullohen duke rrotulluar eurokontejnerët deri tek pajisja e ngarkimit në kamionin grumbullues dhe më pas kontejnerët zbrazen në mënyrë hidraulike në kamion.</w:t>
            </w:r>
          </w:p>
        </w:tc>
        <w:tc>
          <w:tcPr>
            <w:tcW w:w="894" w:type="pct"/>
            <w:tcBorders>
              <w:top w:val="single" w:sz="4" w:space="0" w:color="auto"/>
              <w:left w:val="single" w:sz="4" w:space="0" w:color="auto"/>
              <w:bottom w:val="single" w:sz="4" w:space="0" w:color="auto"/>
              <w:right w:val="single" w:sz="4" w:space="0" w:color="auto"/>
            </w:tcBorders>
          </w:tcPr>
          <w:p w14:paraId="09163BD5"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p>
          <w:p w14:paraId="35020683"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noProof/>
                <w:sz w:val="20"/>
                <w:szCs w:val="20"/>
              </w:rPr>
              <w:drawing>
                <wp:anchor distT="0" distB="0" distL="114300" distR="114300" simplePos="0" relativeHeight="251678720" behindDoc="1" locked="0" layoutInCell="1" allowOverlap="1" wp14:anchorId="4B3BFEFF" wp14:editId="57B25BCB">
                  <wp:simplePos x="0" y="0"/>
                  <wp:positionH relativeFrom="column">
                    <wp:posOffset>-40005</wp:posOffset>
                  </wp:positionH>
                  <wp:positionV relativeFrom="paragraph">
                    <wp:posOffset>-1270</wp:posOffset>
                  </wp:positionV>
                  <wp:extent cx="1572260" cy="1295400"/>
                  <wp:effectExtent l="0" t="0" r="8890" b="0"/>
                  <wp:wrapTight wrapText="bothSides">
                    <wp:wrapPolygon edited="0">
                      <wp:start x="0" y="0"/>
                      <wp:lineTo x="0" y="21282"/>
                      <wp:lineTo x="21460" y="21282"/>
                      <wp:lineTo x="21460" y="0"/>
                      <wp:lineTo x="0" y="0"/>
                    </wp:wrapPolygon>
                  </wp:wrapTight>
                  <wp:docPr id="142" name="Picture 142" descr="carico%20lat%20MLS2_r4_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ico%20lat%20MLS2_r4_c1"/>
                          <pic:cNvPicPr>
                            <a:picLocks noChangeAspect="1" noChangeArrowheads="1"/>
                          </pic:cNvPicPr>
                        </pic:nvPicPr>
                        <pic:blipFill>
                          <a:blip r:embed="rId60">
                            <a:extLst>
                              <a:ext uri="{28A0092B-C50C-407E-A947-70E740481C1C}">
                                <a14:useLocalDpi xmlns:a14="http://schemas.microsoft.com/office/drawing/2010/main" val="0"/>
                              </a:ext>
                            </a:extLst>
                          </a:blip>
                          <a:srcRect b="15118"/>
                          <a:stretch>
                            <a:fillRect/>
                          </a:stretch>
                        </pic:blipFill>
                        <pic:spPr bwMode="auto">
                          <a:xfrm>
                            <a:off x="0" y="0"/>
                            <a:ext cx="157226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0A8E8"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p>
          <w:p w14:paraId="5F1C9389" w14:textId="53C65812" w:rsidR="00430A79" w:rsidRPr="00430A79" w:rsidRDefault="00C055EC" w:rsidP="00430A79">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Duke pasur parasysh karakteristikat e palëvizshme të këtij lloji të kontejnerit, ai duhet të trajtohet drejtpërdrejt nga kamioni grumbullues. Zakonisht një kamion ngarkues anësor (shih më pas) përdoret për ngritjen dhe zbrazjen hidraulike.</w:t>
            </w:r>
          </w:p>
        </w:tc>
        <w:tc>
          <w:tcPr>
            <w:tcW w:w="833" w:type="pct"/>
            <w:tcBorders>
              <w:top w:val="single" w:sz="4" w:space="0" w:color="auto"/>
              <w:left w:val="single" w:sz="4" w:space="0" w:color="auto"/>
              <w:bottom w:val="single" w:sz="4" w:space="0" w:color="auto"/>
              <w:right w:val="single" w:sz="4" w:space="0" w:color="auto"/>
            </w:tcBorders>
          </w:tcPr>
          <w:p w14:paraId="1EA28276" w14:textId="3D5AF224" w:rsidR="00C055EC" w:rsidRPr="00BE2534" w:rsidRDefault="00430A79" w:rsidP="00C055EC">
            <w:pPr>
              <w:widowControl w:val="0"/>
              <w:autoSpaceDE w:val="0"/>
              <w:autoSpaceDN w:val="0"/>
              <w:spacing w:before="60" w:after="60"/>
              <w:ind w:right="123"/>
              <w:rPr>
                <w:rFonts w:ascii="Arial Narrow" w:eastAsia="Calibri" w:hAnsi="Arial Narrow" w:cs="Calibri"/>
                <w:sz w:val="20"/>
                <w:szCs w:val="20"/>
                <w:lang w:val="sq-AL"/>
              </w:rPr>
            </w:pPr>
            <w:r w:rsidRPr="00430A79">
              <w:rPr>
                <w:rFonts w:ascii="Arial Narrow" w:eastAsia="Calibri" w:hAnsi="Arial Narrow" w:cs="Calibri"/>
                <w:noProof/>
                <w:sz w:val="20"/>
                <w:szCs w:val="20"/>
              </w:rPr>
              <w:drawing>
                <wp:anchor distT="0" distB="0" distL="114300" distR="114300" simplePos="0" relativeHeight="251680768" behindDoc="1" locked="0" layoutInCell="1" allowOverlap="1" wp14:anchorId="70786ECF" wp14:editId="573FE2E6">
                  <wp:simplePos x="0" y="0"/>
                  <wp:positionH relativeFrom="column">
                    <wp:posOffset>-10148</wp:posOffset>
                  </wp:positionH>
                  <wp:positionV relativeFrom="paragraph">
                    <wp:posOffset>181</wp:posOffset>
                  </wp:positionV>
                  <wp:extent cx="1312254" cy="979052"/>
                  <wp:effectExtent l="0" t="0" r="2540" b="0"/>
                  <wp:wrapTight wrapText="bothSides">
                    <wp:wrapPolygon edited="0">
                      <wp:start x="0" y="0"/>
                      <wp:lineTo x="0" y="21025"/>
                      <wp:lineTo x="21328" y="21025"/>
                      <wp:lineTo x="213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12254" cy="979052"/>
                          </a:xfrm>
                          <a:prstGeom prst="rect">
                            <a:avLst/>
                          </a:prstGeom>
                          <a:noFill/>
                          <a:ln>
                            <a:noFill/>
                          </a:ln>
                        </pic:spPr>
                      </pic:pic>
                    </a:graphicData>
                  </a:graphic>
                  <wp14:sizeRelH relativeFrom="page">
                    <wp14:pctWidth>0</wp14:pctWidth>
                  </wp14:sizeRelH>
                  <wp14:sizeRelV relativeFrom="page">
                    <wp14:pctHeight>0</wp14:pctHeight>
                  </wp14:sizeRelV>
                </wp:anchor>
              </w:drawing>
            </w:r>
            <w:r w:rsidR="00C055EC">
              <w:rPr>
                <w:rFonts w:ascii="Arial Narrow" w:eastAsia="Calibri" w:hAnsi="Arial Narrow" w:cs="Calibri"/>
                <w:sz w:val="20"/>
                <w:szCs w:val="20"/>
                <w:lang w:val="sq-AL"/>
              </w:rPr>
              <w:t>Op</w:t>
            </w:r>
            <w:r w:rsidR="00C055EC" w:rsidRPr="00BE2534">
              <w:rPr>
                <w:rFonts w:ascii="Arial Narrow" w:eastAsia="Calibri" w:hAnsi="Arial Narrow" w:cs="Calibri"/>
                <w:sz w:val="20"/>
                <w:szCs w:val="20"/>
                <w:lang w:val="sq-AL"/>
              </w:rPr>
              <w:t>sion i përshtatshëm për fshatra të vegjël pa rrugë të asfaltuar.</w:t>
            </w:r>
          </w:p>
          <w:p w14:paraId="6654E501" w14:textId="5B73984C"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p w14:paraId="61E24954"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p>
        </w:tc>
      </w:tr>
      <w:tr w:rsidR="00C055EC" w:rsidRPr="00430A79" w14:paraId="7B7A9A4E" w14:textId="77777777" w:rsidTr="00D03949">
        <w:trPr>
          <w:tblHeader/>
        </w:trPr>
        <w:tc>
          <w:tcPr>
            <w:tcW w:w="642" w:type="pct"/>
            <w:tcBorders>
              <w:top w:val="single" w:sz="4" w:space="0" w:color="auto"/>
            </w:tcBorders>
            <w:shd w:val="clear" w:color="auto" w:fill="5B9BD5" w:themeFill="accent5"/>
          </w:tcPr>
          <w:p w14:paraId="1D1DC37F" w14:textId="77777777" w:rsidR="00C055EC" w:rsidRPr="00430A79" w:rsidRDefault="00C055EC" w:rsidP="00C055EC">
            <w:pPr>
              <w:widowControl w:val="0"/>
              <w:autoSpaceDE w:val="0"/>
              <w:autoSpaceDN w:val="0"/>
              <w:spacing w:before="60" w:after="60"/>
              <w:ind w:right="289"/>
              <w:rPr>
                <w:rFonts w:ascii="Arial Narrow" w:eastAsia="Calibri" w:hAnsi="Arial Narrow" w:cs="Calibri"/>
                <w:sz w:val="20"/>
                <w:szCs w:val="20"/>
              </w:rPr>
            </w:pPr>
            <w:r w:rsidRPr="00430A79">
              <w:rPr>
                <w:rFonts w:ascii="Arial Narrow" w:eastAsia="Calibri" w:hAnsi="Arial Narrow" w:cs="Calibri"/>
                <w:sz w:val="20"/>
                <w:szCs w:val="20"/>
              </w:rPr>
              <w:t>Madhësia e disponueshme</w:t>
            </w:r>
          </w:p>
        </w:tc>
        <w:tc>
          <w:tcPr>
            <w:tcW w:w="947" w:type="pct"/>
            <w:tcBorders>
              <w:top w:val="single" w:sz="4" w:space="0" w:color="auto"/>
            </w:tcBorders>
            <w:shd w:val="clear" w:color="auto" w:fill="auto"/>
          </w:tcPr>
          <w:p w14:paraId="6CB7FCED" w14:textId="77777777" w:rsidR="00C055EC" w:rsidRPr="00BE2534" w:rsidRDefault="00C055EC" w:rsidP="00C055E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Zakonisht qeset kanë një kapacitet prej 50 ose 80 l.</w:t>
            </w:r>
          </w:p>
          <w:p w14:paraId="02994AF9" w14:textId="696EF28D" w:rsidR="00C055EC" w:rsidRPr="00430A79" w:rsidRDefault="00C055EC" w:rsidP="00C055E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Njerëzit shpesh përpiqen të përdorin qese plastike për blerje për të kursyer kostot e qeseve, nëse nuk është e detyrueshme një qese e standardizuar.</w:t>
            </w:r>
          </w:p>
        </w:tc>
        <w:tc>
          <w:tcPr>
            <w:tcW w:w="810" w:type="pct"/>
            <w:tcBorders>
              <w:top w:val="single" w:sz="4" w:space="0" w:color="auto"/>
            </w:tcBorders>
            <w:shd w:val="clear" w:color="auto" w:fill="auto"/>
          </w:tcPr>
          <w:p w14:paraId="4457BB7B" w14:textId="77777777" w:rsidR="00C055EC" w:rsidRPr="00BE2534" w:rsidRDefault="00C055EC" w:rsidP="00C055E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Shportat prej120 l, 240 l dhe 360 l janë të disponueshme në plastikë dhe me ngjyra të ndryshme , kontejnerët me unazë 110 l janë të disponueshëm në metal.</w:t>
            </w:r>
          </w:p>
          <w:p w14:paraId="5301C80F" w14:textId="74C02862" w:rsidR="00C055EC" w:rsidRPr="00430A79" w:rsidRDefault="00C055EC" w:rsidP="00C055E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Euro kontejnerët prej 1.1 m³ janë të disponueshëm në plastikë dhe metal.</w:t>
            </w:r>
          </w:p>
        </w:tc>
        <w:tc>
          <w:tcPr>
            <w:tcW w:w="874" w:type="pct"/>
            <w:tcBorders>
              <w:top w:val="single" w:sz="4" w:space="0" w:color="auto"/>
            </w:tcBorders>
            <w:shd w:val="clear" w:color="auto" w:fill="auto"/>
          </w:tcPr>
          <w:p w14:paraId="0664DAEB" w14:textId="7128852B" w:rsidR="00C055EC" w:rsidRPr="00430A79" w:rsidRDefault="00C055EC" w:rsidP="00C055E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Euro kontejnerët 1.1 m³ janë të disponueshëm në plastikë dhe metal. Megjithatë, zakonisht, për grumbullimin nëpër rrugë, aplikohen kontejnerë metalikë, për të parandaluar dëmtime të mëdha kur deponohet hiri i nxehtë ose objekte të tjera që digjen.</w:t>
            </w:r>
          </w:p>
        </w:tc>
        <w:tc>
          <w:tcPr>
            <w:tcW w:w="894" w:type="pct"/>
            <w:tcBorders>
              <w:top w:val="single" w:sz="4" w:space="0" w:color="auto"/>
            </w:tcBorders>
            <w:shd w:val="clear" w:color="auto" w:fill="auto"/>
          </w:tcPr>
          <w:p w14:paraId="3A89B842" w14:textId="77777777" w:rsidR="00C055EC" w:rsidRPr="00BE2534" w:rsidRDefault="00C055EC" w:rsidP="00C055E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1.8 m³, 2.4 m³ dhe 3.6 m³ janë në disponueshëm në plastikë dhe metal</w:t>
            </w:r>
          </w:p>
          <w:p w14:paraId="37EB6895" w14:textId="77777777" w:rsidR="00C055EC" w:rsidRPr="00430A79" w:rsidRDefault="00C055EC" w:rsidP="00C055EC">
            <w:pPr>
              <w:widowControl w:val="0"/>
              <w:autoSpaceDE w:val="0"/>
              <w:autoSpaceDN w:val="0"/>
              <w:spacing w:before="60" w:after="60"/>
              <w:ind w:right="123"/>
              <w:rPr>
                <w:rFonts w:ascii="Arial Narrow" w:eastAsia="Calibri" w:hAnsi="Arial Narrow" w:cs="Calibri"/>
                <w:sz w:val="20"/>
                <w:szCs w:val="20"/>
              </w:rPr>
            </w:pPr>
          </w:p>
        </w:tc>
        <w:tc>
          <w:tcPr>
            <w:tcW w:w="833" w:type="pct"/>
            <w:tcBorders>
              <w:top w:val="single" w:sz="4" w:space="0" w:color="auto"/>
            </w:tcBorders>
          </w:tcPr>
          <w:p w14:paraId="5D17F764" w14:textId="3E7EB8B3" w:rsidR="00C055EC" w:rsidRPr="00430A79" w:rsidRDefault="00C055EC" w:rsidP="00C055E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4.0 m³ dhe 7.0 m³ janë të disponueshëm</w:t>
            </w:r>
          </w:p>
        </w:tc>
      </w:tr>
      <w:tr w:rsidR="0027392C" w:rsidRPr="00430A79" w14:paraId="6CDE9187" w14:textId="77777777" w:rsidTr="00D03949">
        <w:trPr>
          <w:tblHeader/>
        </w:trPr>
        <w:tc>
          <w:tcPr>
            <w:tcW w:w="642" w:type="pct"/>
            <w:shd w:val="clear" w:color="auto" w:fill="5B9BD5" w:themeFill="accent5"/>
          </w:tcPr>
          <w:p w14:paraId="297EA084" w14:textId="7B045B5B" w:rsidR="0027392C" w:rsidRPr="00430A79" w:rsidRDefault="0027392C" w:rsidP="0027392C">
            <w:pPr>
              <w:widowControl w:val="0"/>
              <w:autoSpaceDE w:val="0"/>
              <w:autoSpaceDN w:val="0"/>
              <w:spacing w:before="60" w:after="60"/>
              <w:ind w:right="289"/>
              <w:rPr>
                <w:rFonts w:ascii="Arial Narrow" w:eastAsia="Calibri" w:hAnsi="Arial Narrow" w:cs="Calibri"/>
                <w:sz w:val="20"/>
                <w:szCs w:val="20"/>
              </w:rPr>
            </w:pPr>
            <w:r w:rsidRPr="00430A79">
              <w:rPr>
                <w:rFonts w:ascii="Arial Narrow" w:eastAsia="Calibri" w:hAnsi="Arial Narrow" w:cs="Calibri"/>
                <w:sz w:val="20"/>
                <w:szCs w:val="20"/>
              </w:rPr>
              <w:t>Kom</w:t>
            </w:r>
            <w:r>
              <w:rPr>
                <w:rFonts w:ascii="Arial Narrow" w:eastAsia="Calibri" w:hAnsi="Arial Narrow" w:cs="Calibri"/>
                <w:sz w:val="20"/>
                <w:szCs w:val="20"/>
              </w:rPr>
              <w:t xml:space="preserve">oditeti </w:t>
            </w:r>
            <w:r w:rsidRPr="00430A79">
              <w:rPr>
                <w:rFonts w:ascii="Arial Narrow" w:eastAsia="Calibri" w:hAnsi="Arial Narrow" w:cs="Calibri"/>
                <w:sz w:val="20"/>
                <w:szCs w:val="20"/>
              </w:rPr>
              <w:t>për përdoruesin</w:t>
            </w:r>
          </w:p>
        </w:tc>
        <w:tc>
          <w:tcPr>
            <w:tcW w:w="947" w:type="pct"/>
          </w:tcPr>
          <w:p w14:paraId="5FAD8AE9"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 xml:space="preserve">Komoditet i lartë lidhur me grumbullimin: </w:t>
            </w:r>
            <w:r w:rsidRPr="00BE2534">
              <w:rPr>
                <w:rFonts w:ascii="Arial Narrow" w:eastAsia="Calibri" w:hAnsi="Arial Narrow" w:cs="Calibri"/>
                <w:sz w:val="20"/>
                <w:szCs w:val="20"/>
                <w:lang w:val="sq-AL"/>
              </w:rPr>
              <w:br/>
              <w:t>sepse mbeturinat mblidhen drejtpërdrejt nga shtëpitë individuale.</w:t>
            </w:r>
          </w:p>
          <w:p w14:paraId="3DCAE22E" w14:textId="1FB6F0D3"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Komoditet i ulët në lidhje me hapësirën e kërkuar sepse qeset duhet të ruhen në lokale, deri në datën ecaktuar të grumbullimit.</w:t>
            </w:r>
          </w:p>
        </w:tc>
        <w:tc>
          <w:tcPr>
            <w:tcW w:w="810" w:type="pct"/>
          </w:tcPr>
          <w:p w14:paraId="19122526"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 xml:space="preserve">Komoditet i lartë lidhur me grumbullimin: </w:t>
            </w:r>
            <w:r w:rsidRPr="00BE2534">
              <w:rPr>
                <w:rFonts w:ascii="Arial Narrow" w:eastAsia="Calibri" w:hAnsi="Arial Narrow" w:cs="Calibri"/>
                <w:sz w:val="20"/>
                <w:szCs w:val="20"/>
                <w:lang w:val="sq-AL"/>
              </w:rPr>
              <w:br/>
              <w:t>sepse mbeturinat mblidhen drejtpërdrejt nga shtëpitë individuale.</w:t>
            </w:r>
          </w:p>
          <w:p w14:paraId="476B9024" w14:textId="6827D800"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Komoditet i ulët në lidhje me hapësirën e kërkuar sepse shportatkontejnerët zakonisht vendosen në lokale.</w:t>
            </w:r>
          </w:p>
        </w:tc>
        <w:tc>
          <w:tcPr>
            <w:tcW w:w="1768" w:type="pct"/>
            <w:gridSpan w:val="2"/>
          </w:tcPr>
          <w:p w14:paraId="365A76E4"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 xml:space="preserve">Komoditet mesatar në lidhje me grumbullimin në blloqe banesash: </w:t>
            </w:r>
            <w:r w:rsidRPr="00BE2534">
              <w:rPr>
                <w:rFonts w:ascii="Arial Narrow" w:eastAsia="Calibri" w:hAnsi="Arial Narrow" w:cs="Calibri"/>
                <w:sz w:val="20"/>
                <w:szCs w:val="20"/>
                <w:lang w:val="sq-AL"/>
              </w:rPr>
              <w:br/>
              <w:t>sepse mbeturinat duhet të barten tek kontejneri, i cili mund të jetë në një distancë deri në 100 m nga hyrja e bllokut.</w:t>
            </w:r>
          </w:p>
          <w:p w14:paraId="478FDFAB"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Komoditet i keq në zonat e banimit familjar, duke pasur parasysh distancat e gjata për të sjellë mbetjurinat në kontejner.</w:t>
            </w:r>
          </w:p>
          <w:p w14:paraId="57168A8A" w14:textId="758490F7"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Komoditet i lartë në lidhje me hapësirën e kërkuar: </w:t>
            </w:r>
            <w:r w:rsidRPr="00BE2534">
              <w:rPr>
                <w:rFonts w:ascii="Arial Narrow" w:eastAsia="Calibri" w:hAnsi="Arial Narrow" w:cs="Calibri"/>
                <w:sz w:val="20"/>
                <w:szCs w:val="20"/>
                <w:lang w:val="sq-AL"/>
              </w:rPr>
              <w:br/>
              <w:t>sepse kontejnerët vendosen në rrugë, pra jashtë çdo lokali, duke pasur zakonisht një frekuencë të lartë grumbullimi.</w:t>
            </w:r>
          </w:p>
        </w:tc>
        <w:tc>
          <w:tcPr>
            <w:tcW w:w="833" w:type="pct"/>
          </w:tcPr>
          <w:p w14:paraId="16CDB67D" w14:textId="7816B8E7"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Komoditet i ulët për përdoruesin. Shqetësim për banorët pasi kontejnerët e tillë zakonisht vendosen në periferi të fshatrave.</w:t>
            </w:r>
          </w:p>
        </w:tc>
      </w:tr>
      <w:tr w:rsidR="0027392C" w:rsidRPr="00430A79" w14:paraId="6CAC6D10" w14:textId="77777777" w:rsidTr="00D03949">
        <w:trPr>
          <w:tblHeader/>
        </w:trPr>
        <w:tc>
          <w:tcPr>
            <w:tcW w:w="642" w:type="pct"/>
            <w:shd w:val="clear" w:color="auto" w:fill="5B9BD5" w:themeFill="accent5"/>
          </w:tcPr>
          <w:p w14:paraId="3181EA1F" w14:textId="48937E06" w:rsidR="0027392C" w:rsidRPr="00430A79" w:rsidRDefault="0027392C" w:rsidP="0027392C">
            <w:pPr>
              <w:widowControl w:val="0"/>
              <w:autoSpaceDE w:val="0"/>
              <w:autoSpaceDN w:val="0"/>
              <w:spacing w:before="60" w:after="60"/>
              <w:ind w:right="289"/>
              <w:rPr>
                <w:rFonts w:ascii="Arial Narrow" w:eastAsia="Calibri" w:hAnsi="Arial Narrow" w:cs="Calibri"/>
                <w:sz w:val="20"/>
                <w:szCs w:val="20"/>
              </w:rPr>
            </w:pPr>
            <w:r w:rsidRPr="00430A79">
              <w:rPr>
                <w:rFonts w:ascii="Arial Narrow" w:eastAsia="Calibri" w:hAnsi="Arial Narrow" w:cs="Calibri"/>
                <w:sz w:val="20"/>
                <w:szCs w:val="20"/>
              </w:rPr>
              <w:t>Kërkesa për kamion</w:t>
            </w:r>
            <w:r>
              <w:rPr>
                <w:rFonts w:ascii="Arial Narrow" w:eastAsia="Calibri" w:hAnsi="Arial Narrow" w:cs="Calibri"/>
                <w:sz w:val="20"/>
                <w:szCs w:val="20"/>
              </w:rPr>
              <w:t>ë grumbullues</w:t>
            </w:r>
          </w:p>
        </w:tc>
        <w:tc>
          <w:tcPr>
            <w:tcW w:w="947" w:type="pct"/>
          </w:tcPr>
          <w:p w14:paraId="5FFF6753" w14:textId="235EA69E"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Kamion ngarkues nga fundi i pasmë me lartësi të ulët ngarkimi.</w:t>
            </w:r>
          </w:p>
        </w:tc>
        <w:tc>
          <w:tcPr>
            <w:tcW w:w="810" w:type="pct"/>
          </w:tcPr>
          <w:p w14:paraId="642BC09A" w14:textId="622C8360"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Ngarkuesi i pasëm, anësor ose i përparmë, pajisje ngarkimi për shporta dhe/ose kontejnerë</w:t>
            </w:r>
          </w:p>
        </w:tc>
        <w:tc>
          <w:tcPr>
            <w:tcW w:w="874" w:type="pct"/>
          </w:tcPr>
          <w:p w14:paraId="7D88D1E5" w14:textId="2FF7B597"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Ngarkuesi i pasëm, anësor ose i përparmë, pajisje ngarkimi për Euro kontejnerët.</w:t>
            </w:r>
          </w:p>
        </w:tc>
        <w:tc>
          <w:tcPr>
            <w:tcW w:w="894" w:type="pct"/>
          </w:tcPr>
          <w:p w14:paraId="04E94B5C" w14:textId="4C6819D3"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Kamion ngarkues anësor i përshtatshëm për këtë lloj kontejnerësh.</w:t>
            </w:r>
          </w:p>
        </w:tc>
        <w:tc>
          <w:tcPr>
            <w:tcW w:w="833" w:type="pct"/>
          </w:tcPr>
          <w:p w14:paraId="12F1B054"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Kërkohet kamion i veçantë për ngarkimin e tij.</w:t>
            </w:r>
          </w:p>
          <w:p w14:paraId="5D064215"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Zakonisht merret me një kamion skip (pa ngjeshje)</w:t>
            </w:r>
          </w:p>
          <w:p w14:paraId="0B4B8EA8" w14:textId="542208FA"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Përdorimi i mundshëm i kamionëve ngjeshës me vëllim të madh</w:t>
            </w:r>
          </w:p>
        </w:tc>
      </w:tr>
      <w:tr w:rsidR="0027392C" w:rsidRPr="00430A79" w14:paraId="3DF7E1CE" w14:textId="77777777" w:rsidTr="00D03949">
        <w:trPr>
          <w:tblHeader/>
        </w:trPr>
        <w:tc>
          <w:tcPr>
            <w:tcW w:w="642" w:type="pct"/>
            <w:shd w:val="clear" w:color="auto" w:fill="5B9BD5" w:themeFill="accent5"/>
          </w:tcPr>
          <w:p w14:paraId="2DE0FB32" w14:textId="1149DDCD" w:rsidR="0027392C" w:rsidRPr="00430A79" w:rsidRDefault="0027392C" w:rsidP="0027392C">
            <w:pPr>
              <w:widowControl w:val="0"/>
              <w:autoSpaceDE w:val="0"/>
              <w:autoSpaceDN w:val="0"/>
              <w:spacing w:before="60" w:after="60"/>
              <w:ind w:right="289"/>
              <w:rPr>
                <w:rFonts w:ascii="Arial Narrow" w:eastAsia="Calibri" w:hAnsi="Arial Narrow" w:cs="Calibri"/>
                <w:sz w:val="20"/>
                <w:szCs w:val="20"/>
              </w:rPr>
            </w:pPr>
            <w:r w:rsidRPr="00430A79">
              <w:rPr>
                <w:rFonts w:ascii="Arial Narrow" w:eastAsia="Calibri" w:hAnsi="Arial Narrow" w:cs="Calibri"/>
                <w:sz w:val="20"/>
                <w:szCs w:val="20"/>
              </w:rPr>
              <w:lastRenderedPageBreak/>
              <w:t xml:space="preserve">Numri i ngarkuesve të nevojshëm për ngarkim në </w:t>
            </w:r>
            <w:r>
              <w:rPr>
                <w:rFonts w:ascii="Arial Narrow" w:eastAsia="Calibri" w:hAnsi="Arial Narrow" w:cs="Calibri"/>
                <w:sz w:val="20"/>
                <w:szCs w:val="20"/>
              </w:rPr>
              <w:t>makinat për grumbullimin e mbeturinave (</w:t>
            </w:r>
            <w:r w:rsidRPr="00430A79">
              <w:rPr>
                <w:rFonts w:ascii="Arial Narrow" w:eastAsia="Calibri" w:hAnsi="Arial Narrow" w:cs="Calibri"/>
                <w:sz w:val="20"/>
                <w:szCs w:val="20"/>
              </w:rPr>
              <w:t>RCV</w:t>
            </w:r>
            <w:r>
              <w:rPr>
                <w:rFonts w:ascii="Arial Narrow" w:eastAsia="Calibri" w:hAnsi="Arial Narrow" w:cs="Calibri"/>
                <w:sz w:val="20"/>
                <w:szCs w:val="20"/>
              </w:rPr>
              <w:t>)</w:t>
            </w:r>
          </w:p>
        </w:tc>
        <w:tc>
          <w:tcPr>
            <w:tcW w:w="947" w:type="pct"/>
          </w:tcPr>
          <w:p w14:paraId="10690870"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Minimumi 2 persona</w:t>
            </w:r>
          </w:p>
          <w:p w14:paraId="57B7A297" w14:textId="28755794"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Nëse pranohen qeset plastike për blerje, kërkohen 3 persona.</w:t>
            </w:r>
          </w:p>
        </w:tc>
        <w:tc>
          <w:tcPr>
            <w:tcW w:w="810" w:type="pct"/>
          </w:tcPr>
          <w:p w14:paraId="3AE55C56" w14:textId="7413B637"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Minimumi 2 persona, më mirë 3 persona</w:t>
            </w:r>
          </w:p>
        </w:tc>
        <w:tc>
          <w:tcPr>
            <w:tcW w:w="874" w:type="pct"/>
          </w:tcPr>
          <w:p w14:paraId="0C143526" w14:textId="142AA500"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Minimumi 2 persona, nëse pjesërisht mbeturinat vendosen jashtë kontejnerëve më mirë të jenë 3.</w:t>
            </w:r>
          </w:p>
        </w:tc>
        <w:tc>
          <w:tcPr>
            <w:tcW w:w="894" w:type="pct"/>
          </w:tcPr>
          <w:p w14:paraId="7E47A77A" w14:textId="590151E5"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Minimumi 1, për të kontrolluar kontejnerin. Nëse mbeturinat vendosen edhe jashtë kontejnerëve më mirë t</w:t>
            </w:r>
            <w:r>
              <w:rPr>
                <w:rFonts w:ascii="Arial Narrow" w:eastAsia="Calibri" w:hAnsi="Arial Narrow" w:cs="Calibri"/>
                <w:sz w:val="20"/>
                <w:szCs w:val="20"/>
                <w:lang w:val="sq-AL"/>
              </w:rPr>
              <w:t>a</w:t>
            </w:r>
            <w:r w:rsidRPr="00BE2534">
              <w:rPr>
                <w:rFonts w:ascii="Arial Narrow" w:eastAsia="Calibri" w:hAnsi="Arial Narrow" w:cs="Calibri"/>
                <w:sz w:val="20"/>
                <w:szCs w:val="20"/>
                <w:lang w:val="sq-AL"/>
              </w:rPr>
              <w:t xml:space="preserve"> b</w:t>
            </w:r>
            <w:r>
              <w:rPr>
                <w:rFonts w:ascii="Arial Narrow" w:eastAsia="Calibri" w:hAnsi="Arial Narrow" w:cs="Calibri"/>
                <w:sz w:val="20"/>
                <w:szCs w:val="20"/>
                <w:lang w:val="sq-AL"/>
              </w:rPr>
              <w:t>ëjnë</w:t>
            </w:r>
            <w:r w:rsidRPr="00BE2534">
              <w:rPr>
                <w:rFonts w:ascii="Arial Narrow" w:eastAsia="Calibri" w:hAnsi="Arial Narrow" w:cs="Calibri"/>
                <w:sz w:val="20"/>
                <w:szCs w:val="20"/>
                <w:lang w:val="sq-AL"/>
              </w:rPr>
              <w:t xml:space="preserve"> 2 persona.</w:t>
            </w:r>
          </w:p>
        </w:tc>
        <w:tc>
          <w:tcPr>
            <w:tcW w:w="833" w:type="pct"/>
          </w:tcPr>
          <w:p w14:paraId="1DF0E7C3" w14:textId="580564CD"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Nuk kërkohen ngarkues</w:t>
            </w:r>
          </w:p>
        </w:tc>
      </w:tr>
      <w:tr w:rsidR="0027392C" w:rsidRPr="00430A79" w14:paraId="4D98D24B" w14:textId="77777777" w:rsidTr="00D03949">
        <w:trPr>
          <w:tblHeader/>
        </w:trPr>
        <w:tc>
          <w:tcPr>
            <w:tcW w:w="642" w:type="pct"/>
            <w:shd w:val="clear" w:color="auto" w:fill="5B9BD5" w:themeFill="accent5"/>
          </w:tcPr>
          <w:p w14:paraId="699E7DFD" w14:textId="7D5FE05E" w:rsidR="0027392C" w:rsidRPr="00430A79" w:rsidRDefault="0027392C" w:rsidP="0027392C">
            <w:pPr>
              <w:widowControl w:val="0"/>
              <w:autoSpaceDE w:val="0"/>
              <w:autoSpaceDN w:val="0"/>
              <w:spacing w:before="60" w:after="60"/>
              <w:ind w:right="289"/>
              <w:rPr>
                <w:rFonts w:ascii="Arial Narrow" w:eastAsia="Calibri" w:hAnsi="Arial Narrow" w:cs="Calibri"/>
                <w:sz w:val="20"/>
                <w:szCs w:val="20"/>
              </w:rPr>
            </w:pPr>
            <w:r w:rsidRPr="00430A79">
              <w:rPr>
                <w:rFonts w:ascii="Arial Narrow" w:eastAsia="Calibri" w:hAnsi="Arial Narrow" w:cs="Calibri"/>
                <w:sz w:val="20"/>
                <w:szCs w:val="20"/>
              </w:rPr>
              <w:t>Përgatitja e magazinimit</w:t>
            </w:r>
            <w:r>
              <w:rPr>
                <w:rFonts w:ascii="Arial Narrow" w:eastAsia="Calibri" w:hAnsi="Arial Narrow" w:cs="Calibri"/>
                <w:sz w:val="20"/>
                <w:szCs w:val="20"/>
              </w:rPr>
              <w:t xml:space="preserve"> </w:t>
            </w:r>
            <w:r w:rsidRPr="00430A79">
              <w:rPr>
                <w:rFonts w:ascii="Arial Narrow" w:eastAsia="Calibri" w:hAnsi="Arial Narrow" w:cs="Calibri"/>
                <w:sz w:val="20"/>
                <w:szCs w:val="20"/>
              </w:rPr>
              <w:t>/</w:t>
            </w:r>
            <w:r>
              <w:rPr>
                <w:rFonts w:ascii="Arial Narrow" w:eastAsia="Calibri" w:hAnsi="Arial Narrow" w:cs="Calibri"/>
                <w:sz w:val="20"/>
                <w:szCs w:val="20"/>
              </w:rPr>
              <w:t xml:space="preserve"> </w:t>
            </w:r>
            <w:r w:rsidRPr="00430A79">
              <w:rPr>
                <w:rFonts w:ascii="Arial Narrow" w:eastAsia="Calibri" w:hAnsi="Arial Narrow" w:cs="Calibri"/>
                <w:sz w:val="20"/>
                <w:szCs w:val="20"/>
              </w:rPr>
              <w:t xml:space="preserve">vendosjes së </w:t>
            </w:r>
            <w:r>
              <w:rPr>
                <w:rFonts w:ascii="Arial Narrow" w:eastAsia="Calibri" w:hAnsi="Arial Narrow" w:cs="Calibri"/>
                <w:sz w:val="20"/>
                <w:szCs w:val="20"/>
              </w:rPr>
              <w:t xml:space="preserve">shportave </w:t>
            </w:r>
            <w:r w:rsidRPr="00430A79">
              <w:rPr>
                <w:rFonts w:ascii="Arial Narrow" w:eastAsia="Calibri" w:hAnsi="Arial Narrow" w:cs="Calibri"/>
                <w:sz w:val="20"/>
                <w:szCs w:val="20"/>
              </w:rPr>
              <w:t>/</w:t>
            </w:r>
            <w:r>
              <w:rPr>
                <w:rFonts w:ascii="Arial Narrow" w:eastAsia="Calibri" w:hAnsi="Arial Narrow" w:cs="Calibri"/>
                <w:sz w:val="20"/>
                <w:szCs w:val="20"/>
              </w:rPr>
              <w:t xml:space="preserve"> </w:t>
            </w:r>
            <w:r w:rsidRPr="00430A79">
              <w:rPr>
                <w:rFonts w:ascii="Arial Narrow" w:eastAsia="Calibri" w:hAnsi="Arial Narrow" w:cs="Calibri"/>
                <w:sz w:val="20"/>
                <w:szCs w:val="20"/>
              </w:rPr>
              <w:t>kontejnerëve</w:t>
            </w:r>
          </w:p>
        </w:tc>
        <w:tc>
          <w:tcPr>
            <w:tcW w:w="947" w:type="pct"/>
          </w:tcPr>
          <w:p w14:paraId="0054512B" w14:textId="05EF691C"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Nuk kërkohet</w:t>
            </w:r>
          </w:p>
        </w:tc>
        <w:tc>
          <w:tcPr>
            <w:tcW w:w="810" w:type="pct"/>
          </w:tcPr>
          <w:p w14:paraId="3DBA9492" w14:textId="33498E07"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Nuk kërkohet për shporta, Euro kontejnerët kërkojnë terren të rrafshët ose pllakë të shtruar</w:t>
            </w:r>
          </w:p>
        </w:tc>
        <w:tc>
          <w:tcPr>
            <w:tcW w:w="874" w:type="pct"/>
          </w:tcPr>
          <w:p w14:paraId="39E2767D" w14:textId="04278A2C"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Kontejnerët kërkojnë terren të rrafshët ose pllakë të shtruar</w:t>
            </w:r>
          </w:p>
        </w:tc>
        <w:tc>
          <w:tcPr>
            <w:tcW w:w="894" w:type="pct"/>
          </w:tcPr>
          <w:p w14:paraId="3FE86C48" w14:textId="3A8BBE62"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Terren i sheshtë, i asfaltuar ose i shkallëzuar është me përparësi</w:t>
            </w:r>
          </w:p>
        </w:tc>
        <w:tc>
          <w:tcPr>
            <w:tcW w:w="833" w:type="pct"/>
          </w:tcPr>
          <w:p w14:paraId="528EDBF3" w14:textId="6C2B597C"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Terren i sheshtë, i asfaltuar ose i shkallëzuar është me përparësi</w:t>
            </w:r>
          </w:p>
        </w:tc>
      </w:tr>
      <w:tr w:rsidR="0027392C" w:rsidRPr="00430A79" w14:paraId="14BBA871" w14:textId="77777777" w:rsidTr="00D03949">
        <w:trPr>
          <w:tblHeader/>
        </w:trPr>
        <w:tc>
          <w:tcPr>
            <w:tcW w:w="642" w:type="pct"/>
            <w:shd w:val="clear" w:color="auto" w:fill="5B9BD5" w:themeFill="accent5"/>
          </w:tcPr>
          <w:p w14:paraId="7AC858FD" w14:textId="77777777" w:rsidR="0027392C" w:rsidRPr="00430A79" w:rsidRDefault="0027392C" w:rsidP="0027392C">
            <w:pPr>
              <w:widowControl w:val="0"/>
              <w:autoSpaceDE w:val="0"/>
              <w:autoSpaceDN w:val="0"/>
              <w:spacing w:before="60" w:after="60"/>
              <w:ind w:right="289"/>
              <w:rPr>
                <w:rFonts w:ascii="Arial Narrow" w:eastAsia="Calibri" w:hAnsi="Arial Narrow" w:cs="Calibri"/>
                <w:sz w:val="20"/>
                <w:szCs w:val="20"/>
              </w:rPr>
            </w:pPr>
            <w:r w:rsidRPr="00430A79">
              <w:rPr>
                <w:rFonts w:ascii="Arial Narrow" w:eastAsia="Calibri" w:hAnsi="Arial Narrow" w:cs="Calibri"/>
                <w:sz w:val="20"/>
                <w:szCs w:val="20"/>
              </w:rPr>
              <w:t>Efikasiteti i ngarkimit</w:t>
            </w:r>
          </w:p>
          <w:p w14:paraId="730AE8A1" w14:textId="77777777" w:rsidR="0027392C" w:rsidRPr="00430A79" w:rsidRDefault="0027392C" w:rsidP="0027392C">
            <w:pPr>
              <w:widowControl w:val="0"/>
              <w:autoSpaceDE w:val="0"/>
              <w:autoSpaceDN w:val="0"/>
              <w:spacing w:before="60" w:after="60"/>
              <w:ind w:right="289"/>
              <w:rPr>
                <w:rFonts w:ascii="Arial Narrow" w:eastAsia="Calibri" w:hAnsi="Arial Narrow" w:cs="Calibri"/>
                <w:sz w:val="20"/>
                <w:szCs w:val="20"/>
              </w:rPr>
            </w:pPr>
          </w:p>
        </w:tc>
        <w:tc>
          <w:tcPr>
            <w:tcW w:w="947" w:type="pct"/>
          </w:tcPr>
          <w:p w14:paraId="4C252D9B"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Në zonat e dendura, janë të mundshme efikasitete të larta ngarkimi.</w:t>
            </w:r>
          </w:p>
          <w:p w14:paraId="70E63AF2" w14:textId="49537A43"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Në zonat e banimit familjar ka një efikasitet të ulët grumbullimi, veçanërisht nëse mbeturinat grumbullohen çdo ditë</w:t>
            </w:r>
          </w:p>
        </w:tc>
        <w:tc>
          <w:tcPr>
            <w:tcW w:w="810" w:type="pct"/>
          </w:tcPr>
          <w:p w14:paraId="0F66B094"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Shporta: Në mënyrë të pavarur, 2 shporta mund të ngarkohen në të njëjtën kohë.</w:t>
            </w:r>
          </w:p>
          <w:p w14:paraId="7190E0D3"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Cikli i ngarkimitpër 2 shporta është rreth 50 sekonda, pra deri në 720l.</w:t>
            </w:r>
          </w:p>
          <w:p w14:paraId="5E0DEE4B"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Zakonisht, shkalla e mbushjes së shportave është e ulët nëse ato mblidhen çdo ditë, sepse ato ndodhen në zona banimi familjar.</w:t>
            </w:r>
          </w:p>
          <w:p w14:paraId="1CB32B7B" w14:textId="577BA5F6"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Kontejnerët: Cikli i ngarkimit rreth 50-60 sekonda për kontejner</w:t>
            </w:r>
          </w:p>
        </w:tc>
        <w:tc>
          <w:tcPr>
            <w:tcW w:w="874" w:type="pct"/>
          </w:tcPr>
          <w:p w14:paraId="3D9AABBA"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bookmarkStart w:id="308" w:name="OLE_LINK15"/>
            <w:bookmarkStart w:id="309" w:name="OLE_LINK16"/>
            <w:r w:rsidRPr="00BE2534">
              <w:rPr>
                <w:rFonts w:ascii="Arial Narrow" w:eastAsia="Calibri" w:hAnsi="Arial Narrow" w:cs="Calibri"/>
                <w:sz w:val="20"/>
                <w:szCs w:val="20"/>
                <w:lang w:val="sq-AL"/>
              </w:rPr>
              <w:t xml:space="preserve">Cikli i ngarkimit është rreth 50-80 sekonda për kontejner </w:t>
            </w:r>
            <w:bookmarkEnd w:id="308"/>
            <w:bookmarkEnd w:id="309"/>
            <w:r w:rsidRPr="00BE2534">
              <w:rPr>
                <w:rFonts w:ascii="Arial Narrow" w:eastAsia="Calibri" w:hAnsi="Arial Narrow" w:cs="Calibri"/>
                <w:sz w:val="20"/>
                <w:szCs w:val="20"/>
                <w:lang w:val="sq-AL"/>
              </w:rPr>
              <w:t>.</w:t>
            </w:r>
          </w:p>
          <w:p w14:paraId="71BAE4D8"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Edhe nëse mblidhen çdo ditë, lejon efikasitet të mirë të grumbullimit në zonat e banimit familjar, nëse 20 deri në 30 shtëpi janë të lidhura me të njëjtin kontejner.</w:t>
            </w:r>
          </w:p>
          <w:p w14:paraId="4EF77087" w14:textId="77777777"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p>
        </w:tc>
        <w:tc>
          <w:tcPr>
            <w:tcW w:w="894" w:type="pct"/>
          </w:tcPr>
          <w:p w14:paraId="184DA62B"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Në varësi të madhësisë, cikli i ngarkimit është rreth 50-100 sekonda për kontejner,.</w:t>
            </w:r>
          </w:p>
          <w:p w14:paraId="75EC7F4F"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Edhe nëse mblidhen çdo ditë, lejon efikasitet të mirë të grumbullimit në zonat e banimit familjar, nëse 20 deri në 30 shtëpi janë të lidhura me të njëjtin kontejner.</w:t>
            </w:r>
          </w:p>
          <w:p w14:paraId="1E91D339" w14:textId="29EA305A"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p>
        </w:tc>
        <w:tc>
          <w:tcPr>
            <w:tcW w:w="833" w:type="pct"/>
          </w:tcPr>
          <w:p w14:paraId="10F0CCC2"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Ngarkimi i kontejnerit zakonisht zgjat deri në 3 minuta.</w:t>
            </w:r>
          </w:p>
          <w:p w14:paraId="30A3BDF8" w14:textId="00EBF404"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Efikasitet i ulët i grumbullimit sepse kontejneri zakonisht transportohet dhe zbrazet në deponi (nuk ka ngjeshje të mbeurinave)</w:t>
            </w:r>
          </w:p>
        </w:tc>
      </w:tr>
      <w:tr w:rsidR="0027392C" w:rsidRPr="00430A79" w14:paraId="38493F69" w14:textId="77777777" w:rsidTr="00D03949">
        <w:trPr>
          <w:tblHeader/>
        </w:trPr>
        <w:tc>
          <w:tcPr>
            <w:tcW w:w="642" w:type="pct"/>
            <w:shd w:val="clear" w:color="auto" w:fill="5B9BD5" w:themeFill="accent5"/>
          </w:tcPr>
          <w:p w14:paraId="7E39A641" w14:textId="77777777" w:rsidR="0027392C" w:rsidRPr="00430A79" w:rsidRDefault="0027392C" w:rsidP="0027392C">
            <w:pPr>
              <w:widowControl w:val="0"/>
              <w:autoSpaceDE w:val="0"/>
              <w:autoSpaceDN w:val="0"/>
              <w:spacing w:before="60" w:after="60"/>
              <w:ind w:right="289"/>
              <w:rPr>
                <w:rFonts w:ascii="Arial Narrow" w:eastAsia="Calibri" w:hAnsi="Arial Narrow" w:cs="Calibri"/>
                <w:sz w:val="20"/>
                <w:szCs w:val="20"/>
              </w:rPr>
            </w:pPr>
            <w:r w:rsidRPr="00430A79">
              <w:rPr>
                <w:rFonts w:ascii="Arial Narrow" w:eastAsia="Calibri" w:hAnsi="Arial Narrow" w:cs="Calibri"/>
                <w:sz w:val="20"/>
                <w:szCs w:val="20"/>
              </w:rPr>
              <w:t>Kostot e kontejnerit</w:t>
            </w:r>
          </w:p>
        </w:tc>
        <w:tc>
          <w:tcPr>
            <w:tcW w:w="947" w:type="pct"/>
          </w:tcPr>
          <w:p w14:paraId="04ABF617" w14:textId="70AE72E0"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Nuk ka kosto për sistemin e grumbullimit, thasët sigurohen nga gjeneruesit e mbeturinave.</w:t>
            </w:r>
          </w:p>
        </w:tc>
        <w:tc>
          <w:tcPr>
            <w:tcW w:w="810" w:type="pct"/>
          </w:tcPr>
          <w:p w14:paraId="330ECD09" w14:textId="3B8A838E"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 xml:space="preserve">Investim </w:t>
            </w:r>
            <w:r w:rsidRPr="00BE2534">
              <w:rPr>
                <w:rFonts w:ascii="Arial Narrow" w:eastAsia="Calibri" w:hAnsi="Arial Narrow" w:cs="Calibri"/>
                <w:sz w:val="20"/>
                <w:szCs w:val="20"/>
                <w:lang w:val="sq-AL"/>
              </w:rPr>
              <w:br/>
              <w:t xml:space="preserve">50-90 €/shportë; </w:t>
            </w:r>
            <w:r w:rsidRPr="00BE2534">
              <w:rPr>
                <w:rFonts w:ascii="Arial Narrow" w:eastAsia="Calibri" w:hAnsi="Arial Narrow" w:cs="Calibri"/>
                <w:sz w:val="20"/>
                <w:szCs w:val="20"/>
                <w:lang w:val="sq-AL"/>
              </w:rPr>
              <w:br/>
              <w:t>350 €/kontejnerë nga plastika (1</w:t>
            </w:r>
            <w:r>
              <w:rPr>
                <w:rFonts w:ascii="Arial Narrow" w:eastAsia="Calibri" w:hAnsi="Arial Narrow" w:cs="Calibri"/>
                <w:sz w:val="20"/>
                <w:szCs w:val="20"/>
                <w:lang w:val="sq-AL"/>
              </w:rPr>
              <w:t>,</w:t>
            </w:r>
            <w:r w:rsidRPr="00BE2534">
              <w:rPr>
                <w:rFonts w:ascii="Arial Narrow" w:eastAsia="Calibri" w:hAnsi="Arial Narrow" w:cs="Calibri"/>
                <w:sz w:val="20"/>
                <w:szCs w:val="20"/>
                <w:lang w:val="sq-AL"/>
              </w:rPr>
              <w:t>100l) dhe 650 €/kontejnerë metalik (1</w:t>
            </w:r>
            <w:r>
              <w:rPr>
                <w:rFonts w:ascii="Arial Narrow" w:eastAsia="Calibri" w:hAnsi="Arial Narrow" w:cs="Calibri"/>
                <w:sz w:val="20"/>
                <w:szCs w:val="20"/>
                <w:lang w:val="sq-AL"/>
              </w:rPr>
              <w:t>,</w:t>
            </w:r>
            <w:r w:rsidRPr="00BE2534">
              <w:rPr>
                <w:rFonts w:ascii="Arial Narrow" w:eastAsia="Calibri" w:hAnsi="Arial Narrow" w:cs="Calibri"/>
                <w:sz w:val="20"/>
                <w:szCs w:val="20"/>
                <w:lang w:val="sq-AL"/>
              </w:rPr>
              <w:t>100l)</w:t>
            </w:r>
          </w:p>
          <w:p w14:paraId="7FD10C8C" w14:textId="59DC99D3"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lastRenderedPageBreak/>
              <w:t>Kostot duhet të mbulohen nga sistemi i grumbullimit</w:t>
            </w:r>
          </w:p>
        </w:tc>
        <w:tc>
          <w:tcPr>
            <w:tcW w:w="874" w:type="pct"/>
          </w:tcPr>
          <w:p w14:paraId="28EF6D8A"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lastRenderedPageBreak/>
              <w:t>Investimi</w:t>
            </w:r>
          </w:p>
          <w:p w14:paraId="044A06C0" w14:textId="481C21C1"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350 €/kontejnerë nga plastika (1</w:t>
            </w:r>
            <w:r>
              <w:rPr>
                <w:rFonts w:ascii="Arial Narrow" w:eastAsia="Calibri" w:hAnsi="Arial Narrow" w:cs="Calibri"/>
                <w:sz w:val="20"/>
                <w:szCs w:val="20"/>
                <w:lang w:val="sq-AL"/>
              </w:rPr>
              <w:t>,</w:t>
            </w:r>
            <w:r w:rsidRPr="00BE2534">
              <w:rPr>
                <w:rFonts w:ascii="Arial Narrow" w:eastAsia="Calibri" w:hAnsi="Arial Narrow" w:cs="Calibri"/>
                <w:sz w:val="20"/>
                <w:szCs w:val="20"/>
                <w:lang w:val="sq-AL"/>
              </w:rPr>
              <w:t>100l) dhe 650 €/kontejnerë metalik (1</w:t>
            </w:r>
            <w:r>
              <w:rPr>
                <w:rFonts w:ascii="Arial Narrow" w:eastAsia="Calibri" w:hAnsi="Arial Narrow" w:cs="Calibri"/>
                <w:sz w:val="20"/>
                <w:szCs w:val="20"/>
                <w:lang w:val="sq-AL"/>
              </w:rPr>
              <w:t>,</w:t>
            </w:r>
            <w:r w:rsidRPr="00BE2534">
              <w:rPr>
                <w:rFonts w:ascii="Arial Narrow" w:eastAsia="Calibri" w:hAnsi="Arial Narrow" w:cs="Calibri"/>
                <w:sz w:val="20"/>
                <w:szCs w:val="20"/>
                <w:lang w:val="sq-AL"/>
              </w:rPr>
              <w:t>100l)</w:t>
            </w:r>
          </w:p>
          <w:p w14:paraId="252A4DDE" w14:textId="26F1AF65"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Kostot duhet të mbulohen nga </w:t>
            </w:r>
            <w:r w:rsidRPr="00BE2534">
              <w:rPr>
                <w:rFonts w:ascii="Arial Narrow" w:eastAsia="Calibri" w:hAnsi="Arial Narrow" w:cs="Calibri"/>
                <w:sz w:val="20"/>
                <w:szCs w:val="20"/>
                <w:lang w:val="sq-AL"/>
              </w:rPr>
              <w:lastRenderedPageBreak/>
              <w:t>sistemi i grumbullimit</w:t>
            </w:r>
          </w:p>
        </w:tc>
        <w:tc>
          <w:tcPr>
            <w:tcW w:w="894" w:type="pct"/>
          </w:tcPr>
          <w:p w14:paraId="2C47C17F" w14:textId="7A47CC1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lastRenderedPageBreak/>
              <w:t xml:space="preserve">Investim </w:t>
            </w:r>
            <w:r w:rsidRPr="00BE2534">
              <w:rPr>
                <w:rFonts w:ascii="Arial Narrow" w:eastAsia="Calibri" w:hAnsi="Arial Narrow" w:cs="Calibri"/>
                <w:sz w:val="20"/>
                <w:szCs w:val="20"/>
                <w:lang w:val="sq-AL"/>
              </w:rPr>
              <w:br/>
              <w:t>700 – 1</w:t>
            </w:r>
            <w:r>
              <w:rPr>
                <w:rFonts w:ascii="Arial Narrow" w:eastAsia="Calibri" w:hAnsi="Arial Narrow" w:cs="Calibri"/>
                <w:sz w:val="20"/>
                <w:szCs w:val="20"/>
                <w:lang w:val="sq-AL"/>
              </w:rPr>
              <w:t>,</w:t>
            </w:r>
            <w:r w:rsidRPr="00BE2534">
              <w:rPr>
                <w:rFonts w:ascii="Arial Narrow" w:eastAsia="Calibri" w:hAnsi="Arial Narrow" w:cs="Calibri"/>
                <w:sz w:val="20"/>
                <w:szCs w:val="20"/>
                <w:lang w:val="sq-AL"/>
              </w:rPr>
              <w:t>000 €/kontejner</w:t>
            </w:r>
          </w:p>
          <w:p w14:paraId="2BD1D136" w14:textId="57D6F5D5"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duhet të mbulohen nga sistemi i grumbullimit.</w:t>
            </w:r>
          </w:p>
        </w:tc>
        <w:tc>
          <w:tcPr>
            <w:tcW w:w="833" w:type="pct"/>
          </w:tcPr>
          <w:p w14:paraId="18D8DA81" w14:textId="18B5391E"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 xml:space="preserve">Investim </w:t>
            </w:r>
            <w:r w:rsidRPr="00BE2534">
              <w:rPr>
                <w:rFonts w:ascii="Arial Narrow" w:eastAsia="Calibri" w:hAnsi="Arial Narrow" w:cs="Calibri"/>
                <w:sz w:val="20"/>
                <w:szCs w:val="20"/>
                <w:lang w:val="sq-AL"/>
              </w:rPr>
              <w:br/>
              <w:t>1</w:t>
            </w:r>
            <w:r>
              <w:rPr>
                <w:rFonts w:ascii="Arial Narrow" w:eastAsia="Calibri" w:hAnsi="Arial Narrow" w:cs="Calibri"/>
                <w:sz w:val="20"/>
                <w:szCs w:val="20"/>
                <w:lang w:val="sq-AL"/>
              </w:rPr>
              <w:t>,</w:t>
            </w:r>
            <w:r w:rsidRPr="00BE2534">
              <w:rPr>
                <w:rFonts w:ascii="Arial Narrow" w:eastAsia="Calibri" w:hAnsi="Arial Narrow" w:cs="Calibri"/>
                <w:sz w:val="20"/>
                <w:szCs w:val="20"/>
                <w:lang w:val="sq-AL"/>
              </w:rPr>
              <w:t>800 – 3</w:t>
            </w:r>
            <w:r>
              <w:rPr>
                <w:rFonts w:ascii="Arial Narrow" w:eastAsia="Calibri" w:hAnsi="Arial Narrow" w:cs="Calibri"/>
                <w:sz w:val="20"/>
                <w:szCs w:val="20"/>
                <w:lang w:val="sq-AL"/>
              </w:rPr>
              <w:t>,</w:t>
            </w:r>
            <w:r w:rsidRPr="00BE2534">
              <w:rPr>
                <w:rFonts w:ascii="Arial Narrow" w:eastAsia="Calibri" w:hAnsi="Arial Narrow" w:cs="Calibri"/>
                <w:sz w:val="20"/>
                <w:szCs w:val="20"/>
                <w:lang w:val="sq-AL"/>
              </w:rPr>
              <w:t>000 €/kontejner</w:t>
            </w:r>
          </w:p>
          <w:p w14:paraId="46A4B890" w14:textId="7B5CE31A"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duhet të</w:t>
            </w:r>
            <w:r>
              <w:rPr>
                <w:rFonts w:ascii="Arial Narrow" w:eastAsia="Calibri" w:hAnsi="Arial Narrow" w:cs="Calibri"/>
                <w:sz w:val="20"/>
                <w:szCs w:val="20"/>
                <w:lang w:val="sq-AL"/>
              </w:rPr>
              <w:t xml:space="preserve"> </w:t>
            </w:r>
            <w:r w:rsidRPr="00BE2534">
              <w:rPr>
                <w:rFonts w:ascii="Arial Narrow" w:eastAsia="Calibri" w:hAnsi="Arial Narrow" w:cs="Calibri"/>
                <w:sz w:val="20"/>
                <w:szCs w:val="20"/>
                <w:lang w:val="sq-AL"/>
              </w:rPr>
              <w:t>mbulohen nga sistemi i grumbullimit.</w:t>
            </w:r>
          </w:p>
        </w:tc>
      </w:tr>
      <w:tr w:rsidR="0027392C" w:rsidRPr="00430A79" w14:paraId="0C89FF29" w14:textId="77777777" w:rsidTr="00D03949">
        <w:trPr>
          <w:tblHeader/>
        </w:trPr>
        <w:tc>
          <w:tcPr>
            <w:tcW w:w="642" w:type="pct"/>
            <w:shd w:val="clear" w:color="auto" w:fill="5B9BD5" w:themeFill="accent5"/>
          </w:tcPr>
          <w:p w14:paraId="6D12637A" w14:textId="77777777" w:rsidR="0027392C" w:rsidRPr="00430A79" w:rsidRDefault="0027392C" w:rsidP="0027392C">
            <w:pPr>
              <w:widowControl w:val="0"/>
              <w:autoSpaceDE w:val="0"/>
              <w:autoSpaceDN w:val="0"/>
              <w:spacing w:before="60" w:after="60"/>
              <w:ind w:right="289"/>
              <w:rPr>
                <w:rFonts w:ascii="Arial Narrow" w:eastAsia="Calibri" w:hAnsi="Arial Narrow" w:cs="Calibri"/>
                <w:sz w:val="20"/>
                <w:szCs w:val="20"/>
              </w:rPr>
            </w:pPr>
            <w:r w:rsidRPr="00430A79">
              <w:rPr>
                <w:rFonts w:ascii="Arial Narrow" w:eastAsia="Calibri" w:hAnsi="Arial Narrow" w:cs="Calibri"/>
                <w:sz w:val="20"/>
                <w:szCs w:val="20"/>
              </w:rPr>
              <w:t>Përshtatshmëria për tarifat e lidhura me sasinë</w:t>
            </w:r>
          </w:p>
        </w:tc>
        <w:tc>
          <w:tcPr>
            <w:tcW w:w="947" w:type="pct"/>
          </w:tcPr>
          <w:p w14:paraId="21D0C922"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I përshtatshëm për tarifat lidhur me volumin për çdo familje, nëse aplikohet si sistem wesesh me parapagim. Në këtë rast do të mblidhen vetëm qeset me parapagim.</w:t>
            </w:r>
          </w:p>
          <w:p w14:paraId="2BBAE030" w14:textId="61C0F278"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Nëse jo, prezantohen qeset me parapagesë, është pothuajse e pamundur të identifikohet prodhuesi. Prandaj, herë pas here duhet të mblidhet çdo qese për të pastruar zonën.</w:t>
            </w:r>
          </w:p>
        </w:tc>
        <w:tc>
          <w:tcPr>
            <w:tcW w:w="810" w:type="pct"/>
          </w:tcPr>
          <w:p w14:paraId="3B376E46" w14:textId="4C10C03C"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I përshtatshëm për tarifat e vëllimit të lidhura me shtëpitë ose ndërtesat/hyrjet;</w:t>
            </w:r>
          </w:p>
        </w:tc>
        <w:tc>
          <w:tcPr>
            <w:tcW w:w="874" w:type="pct"/>
          </w:tcPr>
          <w:p w14:paraId="39AB9AC9"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Jo i përshtatshëm.</w:t>
            </w:r>
          </w:p>
          <w:p w14:paraId="6684BE3F" w14:textId="77777777"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p>
        </w:tc>
        <w:tc>
          <w:tcPr>
            <w:tcW w:w="894" w:type="pct"/>
          </w:tcPr>
          <w:p w14:paraId="075DD475"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Jo i përshtatshëm.</w:t>
            </w:r>
          </w:p>
          <w:p w14:paraId="023E1B6D" w14:textId="77777777"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p>
        </w:tc>
        <w:tc>
          <w:tcPr>
            <w:tcW w:w="833" w:type="pct"/>
          </w:tcPr>
          <w:p w14:paraId="35AC5243"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Jo i përshtatshëm.</w:t>
            </w:r>
          </w:p>
          <w:p w14:paraId="0687385D" w14:textId="77777777"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p>
        </w:tc>
      </w:tr>
      <w:tr w:rsidR="0027392C" w:rsidRPr="00430A79" w14:paraId="15F2BB59" w14:textId="77777777" w:rsidTr="00D03949">
        <w:trPr>
          <w:tblHeader/>
        </w:trPr>
        <w:tc>
          <w:tcPr>
            <w:tcW w:w="642" w:type="pct"/>
            <w:shd w:val="clear" w:color="auto" w:fill="5B9BD5" w:themeFill="accent5"/>
          </w:tcPr>
          <w:p w14:paraId="250E844A" w14:textId="77777777" w:rsidR="0027392C" w:rsidRPr="00430A79" w:rsidRDefault="0027392C" w:rsidP="0027392C">
            <w:pPr>
              <w:widowControl w:val="0"/>
              <w:autoSpaceDE w:val="0"/>
              <w:autoSpaceDN w:val="0"/>
              <w:spacing w:before="60" w:after="60"/>
              <w:ind w:right="289"/>
              <w:rPr>
                <w:rFonts w:ascii="Arial Narrow" w:eastAsia="Calibri" w:hAnsi="Arial Narrow" w:cs="Calibri"/>
                <w:sz w:val="20"/>
                <w:szCs w:val="20"/>
              </w:rPr>
            </w:pPr>
            <w:r w:rsidRPr="00430A79">
              <w:rPr>
                <w:rFonts w:ascii="Arial Narrow" w:eastAsia="Calibri" w:hAnsi="Arial Narrow" w:cs="Calibri"/>
                <w:sz w:val="20"/>
                <w:szCs w:val="20"/>
              </w:rPr>
              <w:t>Probleme të parashikueshme</w:t>
            </w:r>
          </w:p>
        </w:tc>
        <w:tc>
          <w:tcPr>
            <w:tcW w:w="947" w:type="pct"/>
          </w:tcPr>
          <w:p w14:paraId="57E54EA3"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Nëse mbeturinat komunale vendosen në anë e rrugës më shumë se 1 orë përpara grumbullimit, kafshët si macet dhe qentë mund të rrëmojnë qeset dhe të shpërndajnë mbeturinat.</w:t>
            </w:r>
          </w:p>
          <w:p w14:paraId="48E4C674" w14:textId="1306B08A"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Mbledhja sipas planit po ashtu kufizon kohën e funksionimit të automjeteve grumbulluese, respektivisht do të kërkohet një numër më i madh i automjeteve.</w:t>
            </w:r>
          </w:p>
        </w:tc>
        <w:tc>
          <w:tcPr>
            <w:tcW w:w="810" w:type="pct"/>
          </w:tcPr>
          <w:p w14:paraId="1AEEBE71"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Në ndërtesat shumëkatëshe, kujdestari i hyrjes në diskutim me banorët të vendosin për vendin ku i lënë mbetirunat.</w:t>
            </w:r>
          </w:p>
          <w:p w14:paraId="4CEE5D2B" w14:textId="540CB198"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Probleme të mundshme lidhur me gjetjen e vendit të përshtatshëm për vendosjen e kontejnerëve në ndërtesat shumëkatëshe.</w:t>
            </w:r>
          </w:p>
        </w:tc>
        <w:tc>
          <w:tcPr>
            <w:tcW w:w="874" w:type="pct"/>
          </w:tcPr>
          <w:p w14:paraId="2EA40EF0"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Pas ca kohësh rrotat thyhen dhe trupat e dëmtohen.</w:t>
            </w:r>
          </w:p>
          <w:p w14:paraId="66DDE334"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Mbulesa shpesh mbyllet,</w:t>
            </w:r>
          </w:p>
          <w:p w14:paraId="26FBFF0D" w14:textId="69622FCF"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Mbeturinat vendosen krahas/në afërsi të kontejnerit.</w:t>
            </w:r>
          </w:p>
        </w:tc>
        <w:tc>
          <w:tcPr>
            <w:tcW w:w="894" w:type="pct"/>
          </w:tcPr>
          <w:p w14:paraId="4B913C65"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Pas ca kohësh trupat e dëmtohen.</w:t>
            </w:r>
          </w:p>
          <w:p w14:paraId="05F206A4" w14:textId="1DC6D4AC"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Mbeturinat vendosen krahas/në afërsi të kontejnerit.</w:t>
            </w:r>
          </w:p>
        </w:tc>
        <w:tc>
          <w:tcPr>
            <w:tcW w:w="833" w:type="pct"/>
          </w:tcPr>
          <w:p w14:paraId="06FB69F2"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 xml:space="preserve">Trupat e dëmtohen. </w:t>
            </w:r>
          </w:p>
          <w:p w14:paraId="761C272D"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Erë e shtuar kundërmuese për shkak të frekuencës më të ulët të zbrazjes së kontejnerëve të tillë.</w:t>
            </w:r>
          </w:p>
          <w:p w14:paraId="5A7D5A01" w14:textId="3117E761"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Rritja e tendencës për t'u mbushur me mbeturina të gjelbra, të vëllimshme dhe të ndërtimit sesa me mbeturina shtëpiake</w:t>
            </w:r>
          </w:p>
        </w:tc>
      </w:tr>
      <w:tr w:rsidR="0027392C" w:rsidRPr="00430A79" w14:paraId="65AE28E9" w14:textId="77777777" w:rsidTr="00D03949">
        <w:trPr>
          <w:tblHeader/>
        </w:trPr>
        <w:tc>
          <w:tcPr>
            <w:tcW w:w="642" w:type="pct"/>
            <w:shd w:val="clear" w:color="auto" w:fill="5B9BD5" w:themeFill="accent5"/>
          </w:tcPr>
          <w:p w14:paraId="1C09F6CA" w14:textId="77777777" w:rsidR="0027392C" w:rsidRPr="00430A79" w:rsidRDefault="0027392C" w:rsidP="0027392C">
            <w:pPr>
              <w:widowControl w:val="0"/>
              <w:autoSpaceDE w:val="0"/>
              <w:autoSpaceDN w:val="0"/>
              <w:spacing w:before="60" w:after="60"/>
              <w:ind w:right="289"/>
              <w:rPr>
                <w:rFonts w:ascii="Arial Narrow" w:eastAsia="Calibri" w:hAnsi="Arial Narrow" w:cs="Calibri"/>
                <w:sz w:val="20"/>
                <w:szCs w:val="20"/>
              </w:rPr>
            </w:pPr>
            <w:r w:rsidRPr="00430A79">
              <w:rPr>
                <w:rFonts w:ascii="Arial Narrow" w:eastAsia="Calibri" w:hAnsi="Arial Narrow" w:cs="Calibri"/>
                <w:sz w:val="20"/>
                <w:szCs w:val="20"/>
              </w:rPr>
              <w:t>Përfundim</w:t>
            </w:r>
          </w:p>
        </w:tc>
        <w:tc>
          <w:tcPr>
            <w:tcW w:w="947" w:type="pct"/>
          </w:tcPr>
          <w:p w14:paraId="454D525D" w14:textId="3527B3CC"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Nuk rekomandohet për zbatim në të ardhmen</w:t>
            </w:r>
          </w:p>
        </w:tc>
        <w:tc>
          <w:tcPr>
            <w:tcW w:w="810" w:type="pct"/>
          </w:tcPr>
          <w:p w14:paraId="00B64DC9"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Ky sistem është i zbatueshëm nëse kushtet paraprake të ndërlidhura me tarifën të zbatohen.</w:t>
            </w:r>
          </w:p>
          <w:p w14:paraId="1A515A2C" w14:textId="6CD2CE57"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Sistem i rekomanduar për të dy zonat e banimit - shtëpi familjare dhe ndërtesa </w:t>
            </w:r>
            <w:r w:rsidRPr="00BE2534">
              <w:rPr>
                <w:rFonts w:ascii="Arial Narrow" w:eastAsia="Calibri" w:hAnsi="Arial Narrow" w:cs="Calibri"/>
                <w:sz w:val="20"/>
                <w:szCs w:val="20"/>
                <w:lang w:val="sq-AL"/>
              </w:rPr>
              <w:lastRenderedPageBreak/>
              <w:t>shumëkatëshe.</w:t>
            </w:r>
          </w:p>
        </w:tc>
        <w:tc>
          <w:tcPr>
            <w:tcW w:w="874" w:type="pct"/>
          </w:tcPr>
          <w:p w14:paraId="3DFD01BB" w14:textId="14C7D9FA"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lastRenderedPageBreak/>
              <w:t>Të merret parasysh për zonat me ndërtesa shumëkatëshe në zonat urbane në rast se nuk mund të sigurohet vendi për shporta/kontejnerë individualë.</w:t>
            </w:r>
          </w:p>
        </w:tc>
        <w:tc>
          <w:tcPr>
            <w:tcW w:w="894" w:type="pct"/>
          </w:tcPr>
          <w:p w14:paraId="31EB1570"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Me këtë sistem problemi me rrotat do të mund të zgjidhej.</w:t>
            </w:r>
          </w:p>
          <w:p w14:paraId="22A23524" w14:textId="77777777" w:rsidR="0027392C" w:rsidRPr="00BE2534" w:rsidRDefault="0027392C" w:rsidP="0027392C">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Nëse mbeturinat do të vendoseshin siç duhet në kontejnerë, sistemi madje mund të funksiononte vetëm me një ose edhe pa ngarkues.</w:t>
            </w:r>
          </w:p>
          <w:p w14:paraId="5E623A76" w14:textId="43DD7C8C"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lastRenderedPageBreak/>
              <w:t>Sistemi kërkon investime më të larta për kamionët dhe kontejnerët, sesa sistemi 3 A. Prandaj nuk rekomandohet për periudhë afatshkurtër.</w:t>
            </w:r>
          </w:p>
        </w:tc>
        <w:tc>
          <w:tcPr>
            <w:tcW w:w="833" w:type="pct"/>
          </w:tcPr>
          <w:p w14:paraId="7969AA10" w14:textId="4B22DE4E" w:rsidR="0027392C" w:rsidRPr="00430A79" w:rsidRDefault="0027392C" w:rsidP="0027392C">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lastRenderedPageBreak/>
              <w:t>Nuk rekomandohet për zbatim në të ardhmen</w:t>
            </w:r>
          </w:p>
        </w:tc>
      </w:tr>
    </w:tbl>
    <w:p w14:paraId="656471A5" w14:textId="77777777" w:rsidR="00430A79" w:rsidRPr="009F5CA1" w:rsidRDefault="00430A79" w:rsidP="00430A79">
      <w:pPr>
        <w:jc w:val="both"/>
        <w:rPr>
          <w:rFonts w:ascii="Arial Narrow" w:eastAsia="Calibri" w:hAnsi="Arial Narrow" w:cs="Calibri"/>
          <w:color w:val="000000" w:themeColor="text1"/>
          <w:sz w:val="22"/>
          <w:szCs w:val="22"/>
        </w:rPr>
      </w:pPr>
    </w:p>
    <w:p w14:paraId="5968C292" w14:textId="77777777" w:rsidR="00430A79" w:rsidRPr="009F5CA1" w:rsidRDefault="00430A79" w:rsidP="00430A79">
      <w:pPr>
        <w:spacing w:after="120"/>
        <w:jc w:val="both"/>
        <w:rPr>
          <w:rFonts w:ascii="Arial Narrow" w:eastAsia="Calibri" w:hAnsi="Arial Narrow" w:cs="Calibri"/>
          <w:color w:val="000000" w:themeColor="text1"/>
          <w:sz w:val="22"/>
          <w:szCs w:val="22"/>
        </w:rPr>
        <w:sectPr w:rsidR="00430A79" w:rsidRPr="009F5CA1" w:rsidSect="00430A79">
          <w:pgSz w:w="16838" w:h="11906" w:orient="landscape"/>
          <w:pgMar w:top="1440" w:right="1440" w:bottom="1440" w:left="1440" w:header="708" w:footer="708" w:gutter="0"/>
          <w:cols w:space="708"/>
          <w:docGrid w:linePitch="360"/>
        </w:sectPr>
      </w:pPr>
    </w:p>
    <w:p w14:paraId="22FD5001" w14:textId="10E6FAEC" w:rsidR="00430A79" w:rsidRPr="009F5CA1" w:rsidRDefault="00430A79" w:rsidP="00430A79">
      <w:pPr>
        <w:spacing w:after="120"/>
        <w:jc w:val="both"/>
        <w:rPr>
          <w:rFonts w:ascii="Arial Narrow" w:eastAsia="Calibri" w:hAnsi="Arial Narrow" w:cs="Calibri"/>
          <w:color w:val="000000" w:themeColor="text1"/>
          <w:sz w:val="22"/>
          <w:szCs w:val="22"/>
        </w:rPr>
      </w:pPr>
      <w:r w:rsidRPr="009F5CA1">
        <w:rPr>
          <w:rFonts w:ascii="Arial Narrow" w:eastAsia="Calibri" w:hAnsi="Arial Narrow" w:cs="Calibri"/>
          <w:color w:val="000000" w:themeColor="text1"/>
          <w:sz w:val="22"/>
          <w:szCs w:val="22"/>
        </w:rPr>
        <w:lastRenderedPageBreak/>
        <w:t>Krahasimi i sistemeve të ndryshme të para-</w:t>
      </w:r>
      <w:r w:rsidR="00E45C8D" w:rsidRPr="009F5CA1">
        <w:rPr>
          <w:rFonts w:ascii="Arial Narrow" w:eastAsia="Calibri" w:hAnsi="Arial Narrow" w:cs="Calibri"/>
          <w:color w:val="000000" w:themeColor="text1"/>
          <w:sz w:val="22"/>
          <w:szCs w:val="22"/>
        </w:rPr>
        <w:t>grumbullimit sjell</w:t>
      </w:r>
      <w:r w:rsidRPr="009F5CA1">
        <w:rPr>
          <w:rFonts w:ascii="Arial Narrow" w:eastAsia="Calibri" w:hAnsi="Arial Narrow" w:cs="Calibri"/>
          <w:color w:val="000000" w:themeColor="text1"/>
          <w:sz w:val="22"/>
          <w:szCs w:val="22"/>
        </w:rPr>
        <w:t xml:space="preserve"> rezultatin e mëposhtëm:</w:t>
      </w:r>
    </w:p>
    <w:p w14:paraId="105D6E7D" w14:textId="77777777" w:rsidR="00E45C8D" w:rsidRPr="00E45C8D" w:rsidRDefault="00E45C8D" w:rsidP="00E45C8D">
      <w:pPr>
        <w:pStyle w:val="Paragraph"/>
        <w:numPr>
          <w:ilvl w:val="0"/>
          <w:numId w:val="20"/>
        </w:numPr>
        <w:spacing w:after="0"/>
        <w:rPr>
          <w:rFonts w:eastAsia="Calibri" w:cs="Calibri"/>
          <w:lang w:val="sq-AL"/>
        </w:rPr>
      </w:pPr>
      <w:r w:rsidRPr="00E45C8D">
        <w:rPr>
          <w:rFonts w:eastAsia="Calibri" w:cs="Calibri"/>
          <w:lang w:val="sq-AL"/>
        </w:rPr>
        <w:t>Sistemet e para-grumbullimit të bazuara në qese plastike (tipi 1), pikat e grumbullimit rrugor me kontejnerë statik (tipi 3B) dhe kontejnerët skip (lloji 4) nuk konsiderohen për zbatim në të ardhmen.</w:t>
      </w:r>
    </w:p>
    <w:p w14:paraId="6B645F44" w14:textId="77777777" w:rsidR="00E45C8D" w:rsidRPr="00E45C8D" w:rsidRDefault="00E45C8D" w:rsidP="00E45C8D">
      <w:pPr>
        <w:pStyle w:val="Paragraph"/>
        <w:numPr>
          <w:ilvl w:val="0"/>
          <w:numId w:val="20"/>
        </w:numPr>
        <w:spacing w:after="0"/>
        <w:rPr>
          <w:rFonts w:eastAsia="Calibri" w:cs="Calibri"/>
          <w:lang w:val="sq-AL"/>
        </w:rPr>
      </w:pPr>
      <w:r w:rsidRPr="00E45C8D">
        <w:rPr>
          <w:rFonts w:eastAsia="Calibri" w:cs="Calibri"/>
          <w:lang w:val="sq-AL"/>
        </w:rPr>
        <w:t>Në parim, sistemi aktual i grumbullimit me shporta individuale të plastikës (tipi 2) është i përshtatshëm për zonat me shtëpi familjare dhe gjithashtu është zbatuar në disa zona urbane në rajonin e projektit. Shportat e plastikës 240 l duket se janë më të përshtatshëm në krahasim me shportat plastike 120 l, duke pasur parasysh se aktualisht, shpesh, sasi të tjera mbeturinash hidhen në qese plastike pranë kontejnerëve. Gjithashtu, shportat 240 l do të mundësojnë uljen e frekuencës së mbledhjes së mbeturinave në krahasim me kontejnerët 120 l. Megjithatë, përdorimi paralel i shportave plastike me madhësi të ndryshme mund të merret në konsideratë dhe të mundësojë përshtatjen me madhësitë e ndryshme të familjeve. Shportat individualë do të jenë gjithashtu më të përshtatshëm në terma afatgjatë kur do të futet grumbullimi i ndaras i mbeturinave të riciklueshme dhe organike. Megjithatë, shërbimi i ofruar me shporta individuale do të ketë kosto më të lartë zbatimi për shkak të efikasitetit më të ulët të ngarkimit të automjeteve të grumbullimit në krahasim me kontejnerët 1.1 m³.</w:t>
      </w:r>
    </w:p>
    <w:p w14:paraId="21CB7579" w14:textId="04A793D7" w:rsidR="00430A79" w:rsidRPr="009F5CA1" w:rsidRDefault="00E45C8D" w:rsidP="00E45C8D">
      <w:pPr>
        <w:numPr>
          <w:ilvl w:val="0"/>
          <w:numId w:val="20"/>
        </w:numPr>
        <w:jc w:val="both"/>
        <w:rPr>
          <w:rFonts w:ascii="Arial Narrow" w:eastAsia="Calibri" w:hAnsi="Arial Narrow" w:cs="Calibri"/>
          <w:color w:val="000000" w:themeColor="text1"/>
          <w:sz w:val="22"/>
          <w:szCs w:val="22"/>
          <w:lang w:val="sq-AL"/>
        </w:rPr>
      </w:pPr>
      <w:r w:rsidRPr="00E45C8D">
        <w:rPr>
          <w:rFonts w:ascii="Arial Narrow" w:eastAsia="Calibri" w:hAnsi="Arial Narrow" w:cs="Calibri"/>
          <w:sz w:val="22"/>
          <w:szCs w:val="22"/>
          <w:lang w:val="sq-AL"/>
        </w:rPr>
        <w:t>Një sistem i bazuar në pikat e grumbullimit në rrugë meeuro kontejnerë me rrota 1.1 m³ (tipi 3A) mund të jetë i përshtatshëm për të gjithë zonën e shërbimit. Nga pikëpamja tarifore, kontejnerët individualë për blloqe banimi, apo edhe të vendosura në hyrje të blloqeve të banimit mund të kenë përparësi në krahasim me sistemet e pikave të grumbullimit të rrugëve. Hapësira të tilla nuk janë ende të disponueshme dhe gjithashtu do të zvogëlojnë efikasitetin e grumbullimit, sepse këto vende ndoshta jo gjithmonë do të ishin pranë rrugës. Për ndërtesat shumëkatëshe, veçanërisht në Pejë, vendosja e kontejnerëve nëntokësor gjithashtu mund të jetë zgjidhje afatgjate</w:t>
      </w:r>
      <w:r w:rsidR="00430A79" w:rsidRPr="009F5CA1">
        <w:rPr>
          <w:rFonts w:ascii="Arial Narrow" w:eastAsia="Calibri" w:hAnsi="Arial Narrow" w:cs="Calibri"/>
          <w:color w:val="000000" w:themeColor="text1"/>
          <w:sz w:val="22"/>
          <w:szCs w:val="22"/>
          <w:lang w:val="sq-AL"/>
        </w:rPr>
        <w:t>.</w:t>
      </w:r>
    </w:p>
    <w:p w14:paraId="15666CD7" w14:textId="77777777" w:rsidR="00430A79" w:rsidRPr="009F5CA1" w:rsidRDefault="00430A79" w:rsidP="00430A79">
      <w:pPr>
        <w:ind w:left="720"/>
        <w:jc w:val="both"/>
        <w:rPr>
          <w:rFonts w:ascii="Arial Narrow" w:eastAsia="Calibri" w:hAnsi="Arial Narrow" w:cs="Calibri"/>
          <w:color w:val="000000" w:themeColor="text1"/>
          <w:sz w:val="22"/>
          <w:szCs w:val="22"/>
          <w:lang w:val="sq-AL"/>
        </w:rPr>
      </w:pPr>
      <w:r w:rsidRPr="009F5CA1">
        <w:rPr>
          <w:rFonts w:ascii="Arial Narrow" w:eastAsia="Calibri" w:hAnsi="Arial Narrow" w:cs="Calibri"/>
          <w:color w:val="000000" w:themeColor="text1"/>
          <w:sz w:val="22"/>
          <w:szCs w:val="22"/>
          <w:lang w:val="sq-AL"/>
        </w:rPr>
        <w:t xml:space="preserve"> </w:t>
      </w:r>
    </w:p>
    <w:p w14:paraId="156A2B55" w14:textId="24650863" w:rsidR="00430A79" w:rsidRPr="009F5CA1" w:rsidRDefault="00430A79" w:rsidP="00430A79">
      <w:pPr>
        <w:spacing w:after="120"/>
        <w:jc w:val="both"/>
        <w:rPr>
          <w:rFonts w:ascii="Arial Narrow" w:eastAsia="Calibri" w:hAnsi="Arial Narrow" w:cs="Calibri"/>
          <w:b/>
          <w:bCs/>
          <w:color w:val="000000" w:themeColor="text1"/>
          <w:sz w:val="22"/>
          <w:szCs w:val="22"/>
          <w:lang w:val="sq-AL"/>
        </w:rPr>
      </w:pPr>
      <w:r w:rsidRPr="009F5CA1">
        <w:rPr>
          <w:rFonts w:ascii="Arial Narrow" w:eastAsia="Calibri" w:hAnsi="Arial Narrow" w:cs="Calibri"/>
          <w:b/>
          <w:bCs/>
          <w:color w:val="000000" w:themeColor="text1"/>
          <w:sz w:val="22"/>
          <w:szCs w:val="22"/>
          <w:lang w:val="sq-AL"/>
        </w:rPr>
        <w:t>Vendosja e kontejner</w:t>
      </w:r>
      <w:r w:rsidR="00E45C8D" w:rsidRPr="009F5CA1">
        <w:rPr>
          <w:rFonts w:ascii="Arial Narrow" w:eastAsia="Calibri" w:hAnsi="Arial Narrow" w:cs="Calibri"/>
          <w:b/>
          <w:bCs/>
          <w:color w:val="000000" w:themeColor="text1"/>
          <w:sz w:val="22"/>
          <w:szCs w:val="22"/>
          <w:lang w:val="sq-AL"/>
        </w:rPr>
        <w:t>ëve</w:t>
      </w:r>
      <w:r w:rsidRPr="009F5CA1">
        <w:rPr>
          <w:rFonts w:ascii="Arial Narrow" w:eastAsia="Calibri" w:hAnsi="Arial Narrow" w:cs="Calibri"/>
          <w:b/>
          <w:bCs/>
          <w:color w:val="000000" w:themeColor="text1"/>
          <w:sz w:val="22"/>
          <w:szCs w:val="22"/>
          <w:lang w:val="sq-AL"/>
        </w:rPr>
        <w:t xml:space="preserve"> dhe vëllimi i kontejnerit</w:t>
      </w:r>
    </w:p>
    <w:p w14:paraId="250D0A56" w14:textId="513EDE36" w:rsidR="00430A79" w:rsidRPr="009F5CA1" w:rsidRDefault="00E45C8D" w:rsidP="00430A79">
      <w:pPr>
        <w:spacing w:after="120"/>
        <w:jc w:val="both"/>
        <w:rPr>
          <w:rFonts w:ascii="Arial Narrow" w:eastAsia="Calibri" w:hAnsi="Arial Narrow" w:cs="Calibri"/>
          <w:color w:val="000000" w:themeColor="text1"/>
          <w:sz w:val="22"/>
          <w:szCs w:val="22"/>
          <w:lang w:val="sq-AL"/>
        </w:rPr>
      </w:pPr>
      <w:r w:rsidRPr="00E45C8D">
        <w:rPr>
          <w:rFonts w:ascii="Arial Narrow" w:eastAsia="Calibri" w:hAnsi="Arial Narrow" w:cs="Calibri"/>
          <w:sz w:val="22"/>
          <w:szCs w:val="22"/>
          <w:lang w:val="sq-AL"/>
        </w:rPr>
        <w:t>Për të arritur avantazhet e mësipërme të sistemit të rekomanduar të grumbullimit, ekzistojnë disa kërkesa, të cilat duhet të merren parasysh gjatë projektimit të numrit dhe vendosjes së kontejnerëve</w:t>
      </w:r>
      <w:r w:rsidR="00430A79" w:rsidRPr="009F5CA1">
        <w:rPr>
          <w:rFonts w:ascii="Arial Narrow" w:eastAsia="Calibri" w:hAnsi="Arial Narrow" w:cs="Calibri"/>
          <w:color w:val="000000" w:themeColor="text1"/>
          <w:sz w:val="22"/>
          <w:szCs w:val="22"/>
          <w:lang w:val="sq-AL"/>
        </w:rPr>
        <w:t>:</w:t>
      </w:r>
    </w:p>
    <w:p w14:paraId="164BAFDB" w14:textId="77777777" w:rsidR="00E45C8D" w:rsidRPr="00E45C8D" w:rsidRDefault="00E45C8D" w:rsidP="00E45C8D">
      <w:pPr>
        <w:pStyle w:val="Paragraph"/>
        <w:numPr>
          <w:ilvl w:val="0"/>
          <w:numId w:val="20"/>
        </w:numPr>
        <w:spacing w:after="0"/>
        <w:rPr>
          <w:rFonts w:eastAsia="Calibri" w:cs="Calibri"/>
          <w:lang w:val="sq-AL"/>
        </w:rPr>
      </w:pPr>
      <w:r w:rsidRPr="00E45C8D">
        <w:rPr>
          <w:rFonts w:eastAsia="Calibri" w:cs="Calibri"/>
          <w:lang w:val="sq-AL"/>
        </w:rPr>
        <w:t>Kontejnerët 1.1 m³ në zonat urbane duhet të vendosen në një numër dhe vend që të mbushen mesatarisht në 80 deri në 90% në momentin e zbrazjes (në varësi të frekuencës së caktuar të grumbullimit).</w:t>
      </w:r>
    </w:p>
    <w:p w14:paraId="70A6114A" w14:textId="77777777" w:rsidR="00E45C8D" w:rsidRPr="00E45C8D" w:rsidRDefault="00E45C8D" w:rsidP="00E45C8D">
      <w:pPr>
        <w:pStyle w:val="Paragraph"/>
        <w:numPr>
          <w:ilvl w:val="0"/>
          <w:numId w:val="20"/>
        </w:numPr>
        <w:spacing w:after="0"/>
        <w:rPr>
          <w:rFonts w:eastAsia="Calibri" w:cs="Calibri"/>
          <w:lang w:val="sq-AL"/>
        </w:rPr>
      </w:pPr>
      <w:r w:rsidRPr="00E45C8D">
        <w:rPr>
          <w:rFonts w:eastAsia="Calibri" w:cs="Calibri"/>
          <w:lang w:val="sq-AL"/>
        </w:rPr>
        <w:t>Një rreze prej maksimumi 100 m njihet ndërkombëtarisht si një distancë, e cila përgjithësisht është e pranueshme nga qytetarët për të transportuar mbeturinat e tyre nga hyrja e ndërtesës e deri te pika e grumbullimit. Kjo do të thotë se në blloqe të mëdha banesash do të vendosen disa kontejnerë në një pikë grumbullimi.</w:t>
      </w:r>
    </w:p>
    <w:p w14:paraId="2DF22E95" w14:textId="77777777" w:rsidR="00E45C8D" w:rsidRPr="00E45C8D" w:rsidRDefault="00E45C8D" w:rsidP="00E45C8D">
      <w:pPr>
        <w:pStyle w:val="Paragraph"/>
        <w:numPr>
          <w:ilvl w:val="0"/>
          <w:numId w:val="20"/>
        </w:numPr>
        <w:spacing w:after="0"/>
        <w:rPr>
          <w:rFonts w:eastAsia="Calibri" w:cs="Calibri"/>
          <w:lang w:val="sq-AL"/>
        </w:rPr>
      </w:pPr>
      <w:r w:rsidRPr="00E45C8D">
        <w:rPr>
          <w:rFonts w:eastAsia="Calibri" w:cs="Calibri"/>
          <w:lang w:val="sq-AL"/>
        </w:rPr>
        <w:t>Vendi i pikë grumbullimit duhet të zgjidhet, në mënyrë që kamioni grumbullues të mund të hyjë lehtësisht në pikën e grumbullimit pa pasur nevojë për manovra të mëdha. Më e mira do të ishte tl jenë në skaj të rrugës.</w:t>
      </w:r>
    </w:p>
    <w:p w14:paraId="3EF1D6C8" w14:textId="77777777" w:rsidR="00E45C8D" w:rsidRPr="00E45C8D" w:rsidRDefault="00E45C8D" w:rsidP="00E45C8D">
      <w:pPr>
        <w:pStyle w:val="Paragraph"/>
        <w:numPr>
          <w:ilvl w:val="0"/>
          <w:numId w:val="20"/>
        </w:numPr>
        <w:spacing w:after="0"/>
        <w:rPr>
          <w:rFonts w:eastAsia="Calibri" w:cs="Calibri"/>
          <w:lang w:val="sq-AL"/>
        </w:rPr>
      </w:pPr>
      <w:r w:rsidRPr="00E45C8D">
        <w:rPr>
          <w:rFonts w:eastAsia="Calibri" w:cs="Calibri"/>
          <w:lang w:val="sq-AL"/>
        </w:rPr>
        <w:t>Për të mundësuar trajtimin e lehtë dhe për të kursyer konsumimin e rrotave, vendndodhja e kontejnerit 1.1 m³ duhet të jetë e shtruar (pllakë) dhe të ketë një lidhje të nivelizuar me rrugën. Kjo ndihmon për rrotullimin e lehtë të kontejnerit në pjesën e pasme të kamionit grumbullues dhe përsëri në rivendosjen e tij. Nuk duhet të kërkohet asnjë manovrim i kamionit.</w:t>
      </w:r>
    </w:p>
    <w:p w14:paraId="5EC98986" w14:textId="77777777" w:rsidR="00E45C8D" w:rsidRPr="00E45C8D" w:rsidRDefault="00E45C8D" w:rsidP="00E45C8D">
      <w:pPr>
        <w:pStyle w:val="Paragraph"/>
        <w:numPr>
          <w:ilvl w:val="0"/>
          <w:numId w:val="20"/>
        </w:numPr>
        <w:spacing w:after="0"/>
        <w:rPr>
          <w:rFonts w:eastAsia="Calibri" w:cs="Calibri"/>
          <w:lang w:val="sq-AL"/>
        </w:rPr>
      </w:pPr>
      <w:r w:rsidRPr="00E45C8D">
        <w:rPr>
          <w:rFonts w:eastAsia="Calibri" w:cs="Calibri"/>
          <w:lang w:val="sq-AL"/>
        </w:rPr>
        <w:t>Rrotat duhet të mbahen në gjendje të mirë dhe rrotat e thyera duhet të zëvendësohen menjëherë. Rrotat e thyera reduktojnë ndjeshëm shpejtësinë e grumbullimit dhe rrjedhimisht efikasitetin e grumbullimit.</w:t>
      </w:r>
    </w:p>
    <w:p w14:paraId="74ADD5D5" w14:textId="77777777" w:rsidR="00E45C8D" w:rsidRPr="00E45C8D" w:rsidRDefault="00E45C8D" w:rsidP="00E45C8D">
      <w:pPr>
        <w:pStyle w:val="Paragraph"/>
        <w:numPr>
          <w:ilvl w:val="0"/>
          <w:numId w:val="20"/>
        </w:numPr>
        <w:spacing w:after="0"/>
        <w:rPr>
          <w:rFonts w:eastAsia="Calibri" w:cs="Calibri"/>
          <w:lang w:val="sq-AL"/>
        </w:rPr>
      </w:pPr>
      <w:r w:rsidRPr="00E45C8D">
        <w:rPr>
          <w:rFonts w:eastAsia="Calibri" w:cs="Calibri"/>
          <w:lang w:val="sq-AL"/>
        </w:rPr>
        <w:t>Përdoruesit shtëpiak ose të pronës duhet të kenë një vend të caktuar për shporta individuale plastike.</w:t>
      </w:r>
    </w:p>
    <w:p w14:paraId="03ADBA29" w14:textId="4BF14BC2" w:rsidR="00430A79" w:rsidRPr="009F5CA1" w:rsidRDefault="00E45C8D" w:rsidP="00E45C8D">
      <w:pPr>
        <w:numPr>
          <w:ilvl w:val="0"/>
          <w:numId w:val="20"/>
        </w:numPr>
        <w:jc w:val="both"/>
        <w:rPr>
          <w:rFonts w:ascii="Arial Narrow" w:eastAsia="Calibri" w:hAnsi="Arial Narrow" w:cs="Calibri"/>
          <w:color w:val="000000" w:themeColor="text1"/>
          <w:sz w:val="22"/>
          <w:szCs w:val="22"/>
          <w:lang w:val="sq-AL"/>
        </w:rPr>
      </w:pPr>
      <w:r w:rsidRPr="00E45C8D">
        <w:rPr>
          <w:rFonts w:ascii="Arial Narrow" w:eastAsia="Calibri" w:hAnsi="Arial Narrow" w:cs="Calibri"/>
          <w:sz w:val="22"/>
          <w:szCs w:val="22"/>
          <w:lang w:val="sq-AL"/>
        </w:rPr>
        <w:t>Orari i grumbullimit duhet t'u komunikohet përdoruesve të shërbimit dhe ata duhet të kenë detyrimin që në ditën e grumbullimit të vendosin shportat skaj rrugës</w:t>
      </w:r>
      <w:r w:rsidR="00430A79" w:rsidRPr="009F5CA1">
        <w:rPr>
          <w:rFonts w:ascii="Arial Narrow" w:eastAsia="Calibri" w:hAnsi="Arial Narrow" w:cs="Calibri"/>
          <w:color w:val="000000" w:themeColor="text1"/>
          <w:sz w:val="22"/>
          <w:szCs w:val="22"/>
          <w:lang w:val="sq-AL"/>
        </w:rPr>
        <w:t>.</w:t>
      </w:r>
    </w:p>
    <w:p w14:paraId="3ACB6E6B" w14:textId="77777777" w:rsidR="00430A79" w:rsidRPr="009F5CA1" w:rsidRDefault="00430A79" w:rsidP="00430A79">
      <w:pPr>
        <w:spacing w:after="120"/>
        <w:jc w:val="both"/>
        <w:rPr>
          <w:rFonts w:ascii="Arial Narrow" w:eastAsia="Calibri" w:hAnsi="Arial Narrow" w:cs="Calibri"/>
          <w:color w:val="000000" w:themeColor="text1"/>
          <w:sz w:val="22"/>
          <w:szCs w:val="22"/>
          <w:lang w:val="sq-AL"/>
        </w:rPr>
      </w:pPr>
    </w:p>
    <w:p w14:paraId="2957C934" w14:textId="03208597" w:rsidR="00430A79" w:rsidRPr="009F5CA1" w:rsidRDefault="00430A79" w:rsidP="00430A79">
      <w:pPr>
        <w:spacing w:after="120"/>
        <w:jc w:val="both"/>
        <w:rPr>
          <w:rFonts w:ascii="Arial Narrow" w:eastAsia="Calibri" w:hAnsi="Arial Narrow" w:cs="Calibri"/>
          <w:b/>
          <w:bCs/>
          <w:color w:val="000000" w:themeColor="text1"/>
          <w:sz w:val="22"/>
          <w:szCs w:val="22"/>
          <w:lang w:val="sq-AL"/>
        </w:rPr>
      </w:pPr>
      <w:r w:rsidRPr="009F5CA1">
        <w:rPr>
          <w:rFonts w:ascii="Arial Narrow" w:eastAsia="Calibri" w:hAnsi="Arial Narrow" w:cs="Calibri"/>
          <w:b/>
          <w:bCs/>
          <w:color w:val="000000" w:themeColor="text1"/>
          <w:sz w:val="22"/>
          <w:szCs w:val="22"/>
          <w:lang w:val="sq-AL"/>
        </w:rPr>
        <w:t xml:space="preserve">Frekuenca e </w:t>
      </w:r>
      <w:r w:rsidR="00E45C8D" w:rsidRPr="009F5CA1">
        <w:rPr>
          <w:rFonts w:ascii="Arial Narrow" w:eastAsia="Calibri" w:hAnsi="Arial Narrow" w:cs="Calibri"/>
          <w:b/>
          <w:bCs/>
          <w:color w:val="000000" w:themeColor="text1"/>
          <w:sz w:val="22"/>
          <w:szCs w:val="22"/>
          <w:lang w:val="sq-AL"/>
        </w:rPr>
        <w:t>grumbullimit</w:t>
      </w:r>
      <w:r w:rsidRPr="009F5CA1">
        <w:rPr>
          <w:rFonts w:ascii="Arial Narrow" w:eastAsia="Calibri" w:hAnsi="Arial Narrow" w:cs="Calibri"/>
          <w:b/>
          <w:bCs/>
          <w:color w:val="000000" w:themeColor="text1"/>
          <w:sz w:val="22"/>
          <w:szCs w:val="22"/>
          <w:lang w:val="sq-AL"/>
        </w:rPr>
        <w:t xml:space="preserve"> së mbeturinave</w:t>
      </w:r>
    </w:p>
    <w:p w14:paraId="27CE8A90" w14:textId="3B3C1F68" w:rsidR="00430A79" w:rsidRPr="009F5CA1" w:rsidRDefault="00E45C8D" w:rsidP="00430A79">
      <w:pPr>
        <w:spacing w:after="120"/>
        <w:jc w:val="both"/>
        <w:rPr>
          <w:rFonts w:ascii="Arial Narrow" w:eastAsia="Calibri" w:hAnsi="Arial Narrow" w:cs="Calibri"/>
          <w:color w:val="000000" w:themeColor="text1"/>
          <w:sz w:val="22"/>
          <w:szCs w:val="22"/>
          <w:lang w:val="sq-AL"/>
        </w:rPr>
      </w:pPr>
      <w:r w:rsidRPr="00E45C8D">
        <w:rPr>
          <w:rFonts w:ascii="Arial Narrow" w:eastAsia="Calibri" w:hAnsi="Arial Narrow" w:cs="Calibri"/>
          <w:sz w:val="22"/>
          <w:szCs w:val="22"/>
          <w:lang w:val="sq-AL"/>
        </w:rPr>
        <w:t>Shërbimi për shportat individualë zakonisht ofrohet një herë në javë ose një herë në dy javë. Në të ardhmen, kur të fillojë grumbullimi ndaras i mbeturinave organike, mund të lejohet edhe frekuencë më e ulët e grumbullimit</w:t>
      </w:r>
      <w:r w:rsidR="00430A79" w:rsidRPr="009F5CA1">
        <w:rPr>
          <w:rFonts w:ascii="Arial Narrow" w:eastAsia="Calibri" w:hAnsi="Arial Narrow" w:cs="Calibri"/>
          <w:color w:val="000000" w:themeColor="text1"/>
          <w:sz w:val="22"/>
          <w:szCs w:val="22"/>
          <w:lang w:val="sq-AL"/>
        </w:rPr>
        <w:t>.</w:t>
      </w:r>
    </w:p>
    <w:p w14:paraId="01AA3671" w14:textId="77777777" w:rsidR="00E45C8D" w:rsidRPr="00E45C8D" w:rsidRDefault="00E45C8D" w:rsidP="00E45C8D">
      <w:pPr>
        <w:pStyle w:val="Paragraph"/>
        <w:rPr>
          <w:rFonts w:eastAsia="Calibri" w:cs="Calibri"/>
          <w:lang w:val="sq-AL"/>
        </w:rPr>
      </w:pPr>
      <w:r w:rsidRPr="00E45C8D">
        <w:rPr>
          <w:rFonts w:eastAsia="Calibri" w:cs="Calibri"/>
          <w:lang w:val="sq-AL"/>
        </w:rPr>
        <w:lastRenderedPageBreak/>
        <w:t>Për grumbullimin me kontejnerë 1.1 m³, është i mundur një minimizim i kostos së investimit në frekuencë më të lartë të servisimit si një kompensim i kostos së investimit dhe kostos operacionale; dmth sa më shpesh të zbrazen kontejnerët, aq më pak kërkohet numri i kontejnerëve, derisa numri më i madh i kontejnerëve kërkohet nëse ata zbrazen më rrallë.</w:t>
      </w:r>
    </w:p>
    <w:p w14:paraId="417FCD2F" w14:textId="79F745D8" w:rsidR="00430A79" w:rsidRPr="009F5CA1" w:rsidRDefault="00E45C8D" w:rsidP="00E45C8D">
      <w:pPr>
        <w:spacing w:after="120"/>
        <w:jc w:val="both"/>
        <w:rPr>
          <w:rFonts w:ascii="Arial Narrow" w:eastAsia="Calibri" w:hAnsi="Arial Narrow" w:cs="Calibri"/>
          <w:color w:val="000000" w:themeColor="text1"/>
          <w:sz w:val="22"/>
          <w:szCs w:val="22"/>
          <w:lang w:val="sq-AL"/>
        </w:rPr>
      </w:pPr>
      <w:r w:rsidRPr="00E45C8D">
        <w:rPr>
          <w:rFonts w:ascii="Arial Narrow" w:eastAsia="Calibri" w:hAnsi="Arial Narrow" w:cs="Calibri"/>
          <w:sz w:val="22"/>
          <w:szCs w:val="22"/>
          <w:lang w:val="sq-AL"/>
        </w:rPr>
        <w:t>Në përcaktimin e shpeshtësisë së grumbullimit, përdoren supozimet e mëposhtme</w:t>
      </w:r>
      <w:r w:rsidR="00430A79" w:rsidRPr="009F5CA1">
        <w:rPr>
          <w:rFonts w:ascii="Arial Narrow" w:eastAsia="Calibri" w:hAnsi="Arial Narrow" w:cs="Calibri"/>
          <w:color w:val="000000" w:themeColor="text1"/>
          <w:sz w:val="22"/>
          <w:szCs w:val="22"/>
          <w:lang w:val="sq-AL"/>
        </w:rPr>
        <w:t>:</w:t>
      </w:r>
    </w:p>
    <w:p w14:paraId="20E7C8B3" w14:textId="77777777" w:rsidR="00E45C8D" w:rsidRPr="00E45C8D" w:rsidRDefault="00E45C8D" w:rsidP="00E45C8D">
      <w:pPr>
        <w:pStyle w:val="Paragraph"/>
        <w:numPr>
          <w:ilvl w:val="0"/>
          <w:numId w:val="20"/>
        </w:numPr>
        <w:spacing w:after="0"/>
        <w:rPr>
          <w:rFonts w:eastAsia="Calibri" w:cs="Calibri"/>
          <w:lang w:val="sq-AL"/>
        </w:rPr>
      </w:pPr>
      <w:r w:rsidRPr="00E45C8D">
        <w:rPr>
          <w:rFonts w:eastAsia="Calibri" w:cs="Calibri"/>
          <w:lang w:val="sq-AL"/>
        </w:rPr>
        <w:t>Frekuenca një herë në javë e grumbullimit të shportave individuale 120/240 l është e pranueshme.</w:t>
      </w:r>
    </w:p>
    <w:p w14:paraId="1DD923DE" w14:textId="770B43B4" w:rsidR="00430A79" w:rsidRPr="009F5CA1" w:rsidRDefault="00E45C8D" w:rsidP="00E45C8D">
      <w:pPr>
        <w:numPr>
          <w:ilvl w:val="0"/>
          <w:numId w:val="20"/>
        </w:numPr>
        <w:jc w:val="both"/>
        <w:rPr>
          <w:rFonts w:ascii="Arial Narrow" w:eastAsia="Calibri" w:hAnsi="Arial Narrow" w:cs="Calibri"/>
          <w:color w:val="000000" w:themeColor="text1"/>
          <w:sz w:val="22"/>
          <w:szCs w:val="22"/>
          <w:lang w:val="sq-AL"/>
        </w:rPr>
      </w:pPr>
      <w:r w:rsidRPr="00E45C8D">
        <w:rPr>
          <w:rFonts w:ascii="Arial Narrow" w:eastAsia="Calibri" w:hAnsi="Arial Narrow" w:cs="Calibri"/>
          <w:sz w:val="22"/>
          <w:szCs w:val="22"/>
          <w:lang w:val="sq-AL"/>
        </w:rPr>
        <w:t>Shërbimi në zonat urbane me kontejnerët 1.1 m³ propozohet të jetë çdo të dytën ditë në mënyrë që të përshtatet me luhatjet e sasisë së mbeturinat ditore. Frekuenca më të ulëta të grumbullimit një herë në javë ose dy herë në javë janë të mundshme për kontejnerët individualë të caktuar për ndërtesa specifike</w:t>
      </w:r>
      <w:r w:rsidR="00430A79" w:rsidRPr="009F5CA1">
        <w:rPr>
          <w:rFonts w:ascii="Arial Narrow" w:eastAsia="Calibri" w:hAnsi="Arial Narrow" w:cs="Calibri"/>
          <w:color w:val="000000" w:themeColor="text1"/>
          <w:sz w:val="22"/>
          <w:szCs w:val="22"/>
          <w:lang w:val="sq-AL"/>
        </w:rPr>
        <w:t>.</w:t>
      </w:r>
    </w:p>
    <w:p w14:paraId="2E41B20C" w14:textId="77777777" w:rsidR="00430A79" w:rsidRPr="009F5CA1" w:rsidRDefault="00430A79" w:rsidP="00430A79">
      <w:pPr>
        <w:spacing w:after="120"/>
        <w:jc w:val="both"/>
        <w:rPr>
          <w:rFonts w:ascii="Arial Narrow" w:eastAsia="Calibri" w:hAnsi="Arial Narrow" w:cs="Calibri"/>
          <w:color w:val="000000" w:themeColor="text1"/>
          <w:sz w:val="22"/>
          <w:szCs w:val="22"/>
          <w:lang w:val="sq-AL"/>
        </w:rPr>
      </w:pPr>
    </w:p>
    <w:p w14:paraId="29584B41" w14:textId="43C6E872" w:rsidR="00430A79" w:rsidRPr="009F5CA1" w:rsidRDefault="00430A79" w:rsidP="00430A79">
      <w:pPr>
        <w:spacing w:after="120"/>
        <w:jc w:val="both"/>
        <w:rPr>
          <w:rFonts w:ascii="Arial Narrow" w:eastAsia="Calibri" w:hAnsi="Arial Narrow" w:cs="Calibri"/>
          <w:b/>
          <w:bCs/>
          <w:color w:val="000000" w:themeColor="text1"/>
          <w:sz w:val="22"/>
          <w:szCs w:val="22"/>
          <w:lang w:val="sq-AL"/>
        </w:rPr>
      </w:pPr>
      <w:r w:rsidRPr="009F5CA1">
        <w:rPr>
          <w:rFonts w:ascii="Arial Narrow" w:eastAsia="Calibri" w:hAnsi="Arial Narrow" w:cs="Calibri"/>
          <w:b/>
          <w:bCs/>
          <w:color w:val="000000" w:themeColor="text1"/>
          <w:sz w:val="22"/>
          <w:szCs w:val="22"/>
          <w:lang w:val="sq-AL"/>
        </w:rPr>
        <w:t xml:space="preserve">Automjete për </w:t>
      </w:r>
      <w:r w:rsidR="00E45C8D" w:rsidRPr="009F5CA1">
        <w:rPr>
          <w:rFonts w:ascii="Arial Narrow" w:eastAsia="Calibri" w:hAnsi="Arial Narrow" w:cs="Calibri"/>
          <w:b/>
          <w:bCs/>
          <w:color w:val="000000" w:themeColor="text1"/>
          <w:sz w:val="22"/>
          <w:szCs w:val="22"/>
          <w:lang w:val="sq-AL"/>
        </w:rPr>
        <w:t xml:space="preserve">grumbullimin </w:t>
      </w:r>
      <w:r w:rsidRPr="009F5CA1">
        <w:rPr>
          <w:rFonts w:ascii="Arial Narrow" w:eastAsia="Calibri" w:hAnsi="Arial Narrow" w:cs="Calibri"/>
          <w:b/>
          <w:bCs/>
          <w:color w:val="000000" w:themeColor="text1"/>
          <w:sz w:val="22"/>
          <w:szCs w:val="22"/>
          <w:lang w:val="sq-AL"/>
        </w:rPr>
        <w:t>e mbeturinave</w:t>
      </w:r>
    </w:p>
    <w:p w14:paraId="1B9C420E" w14:textId="77777777" w:rsidR="00E45C8D" w:rsidRPr="00E45C8D" w:rsidRDefault="00E45C8D" w:rsidP="00E45C8D">
      <w:pPr>
        <w:pStyle w:val="Paragraph"/>
        <w:rPr>
          <w:rFonts w:eastAsia="Calibri" w:cs="Calibri"/>
          <w:lang w:val="sq-AL"/>
        </w:rPr>
      </w:pPr>
      <w:r w:rsidRPr="00E45C8D">
        <w:rPr>
          <w:rFonts w:eastAsia="Calibri" w:cs="Calibri"/>
          <w:lang w:val="sq-AL"/>
        </w:rPr>
        <w:t>Automjetet e grumbullimit të mbeturinave me ngarkim të pasëm dhe ngjeshje do të përdoren për shërbimin e shportave plastikë dhe të kontejnerëve 1.1 m³.</w:t>
      </w:r>
    </w:p>
    <w:p w14:paraId="6646DF22" w14:textId="549ECB5B" w:rsidR="00430A79" w:rsidRPr="009F5CA1" w:rsidRDefault="00E45C8D" w:rsidP="00E45C8D">
      <w:pPr>
        <w:spacing w:after="120"/>
        <w:jc w:val="both"/>
        <w:rPr>
          <w:rFonts w:ascii="Arial Narrow" w:eastAsia="Calibri" w:hAnsi="Arial Narrow" w:cs="Calibri"/>
          <w:color w:val="000000" w:themeColor="text1"/>
          <w:sz w:val="22"/>
          <w:szCs w:val="22"/>
          <w:lang w:val="sq-AL"/>
        </w:rPr>
      </w:pPr>
      <w:r w:rsidRPr="00E45C8D">
        <w:rPr>
          <w:rFonts w:ascii="Arial Narrow" w:eastAsia="Calibri" w:hAnsi="Arial Narrow" w:cs="Calibri"/>
          <w:sz w:val="22"/>
          <w:szCs w:val="22"/>
          <w:lang w:val="sq-AL"/>
        </w:rPr>
        <w:t>Vëllimi optimal i automjeteve grumbulluese që do të përdoren do të varet nga disa faktorë</w:t>
      </w:r>
      <w:r w:rsidR="00430A79" w:rsidRPr="009F5CA1">
        <w:rPr>
          <w:rFonts w:ascii="Arial Narrow" w:eastAsia="Calibri" w:hAnsi="Arial Narrow" w:cs="Calibri"/>
          <w:color w:val="000000" w:themeColor="text1"/>
          <w:sz w:val="22"/>
          <w:szCs w:val="22"/>
          <w:lang w:val="sq-AL"/>
        </w:rPr>
        <w:t>:</w:t>
      </w:r>
    </w:p>
    <w:p w14:paraId="12820806" w14:textId="77777777" w:rsidR="00E45C8D" w:rsidRPr="00E45C8D" w:rsidRDefault="00E45C8D" w:rsidP="00E45C8D">
      <w:pPr>
        <w:pStyle w:val="Paragraph"/>
        <w:numPr>
          <w:ilvl w:val="0"/>
          <w:numId w:val="20"/>
        </w:numPr>
        <w:spacing w:after="0"/>
        <w:rPr>
          <w:rFonts w:eastAsia="Calibri" w:cs="Calibri"/>
          <w:lang w:val="sq-AL"/>
        </w:rPr>
      </w:pPr>
      <w:r w:rsidRPr="00E45C8D">
        <w:rPr>
          <w:rFonts w:eastAsia="Calibri" w:cs="Calibri"/>
          <w:lang w:val="sq-AL"/>
        </w:rPr>
        <w:t>distanca e transportit deri në deponi.</w:t>
      </w:r>
    </w:p>
    <w:p w14:paraId="217A955D" w14:textId="7F7DDF9B" w:rsidR="00E45C8D" w:rsidRPr="00E45C8D" w:rsidRDefault="00E45C8D" w:rsidP="00E45C8D">
      <w:pPr>
        <w:pStyle w:val="Paragraph"/>
        <w:numPr>
          <w:ilvl w:val="0"/>
          <w:numId w:val="20"/>
        </w:numPr>
        <w:spacing w:after="0"/>
        <w:rPr>
          <w:rFonts w:eastAsia="Calibri" w:cs="Calibri"/>
          <w:lang w:val="sq-AL"/>
        </w:rPr>
      </w:pPr>
      <w:r>
        <w:rPr>
          <w:rFonts w:eastAsia="Calibri" w:cs="Calibri"/>
          <w:lang w:val="sq-AL"/>
        </w:rPr>
        <w:t>q</w:t>
      </w:r>
      <w:r w:rsidRPr="00E45C8D">
        <w:rPr>
          <w:rFonts w:eastAsia="Calibri" w:cs="Calibri"/>
          <w:lang w:val="sq-AL"/>
        </w:rPr>
        <w:t>asja rrugore e disponueshëm tek kontejnerët dhe shportat individuale, duke pasur parasysh se automjetet me vëllim të madh nuk do të jenë të përshtatshme në rrugë të ngushta ose zona me qasje të vështirë.</w:t>
      </w:r>
    </w:p>
    <w:p w14:paraId="4A506865" w14:textId="76C0D9B0" w:rsidR="00430A79" w:rsidRPr="009F5CA1" w:rsidRDefault="00E45C8D" w:rsidP="00E45C8D">
      <w:pPr>
        <w:numPr>
          <w:ilvl w:val="0"/>
          <w:numId w:val="20"/>
        </w:numPr>
        <w:jc w:val="both"/>
        <w:rPr>
          <w:rFonts w:ascii="Arial Narrow" w:eastAsia="Calibri" w:hAnsi="Arial Narrow" w:cs="Calibri"/>
          <w:color w:val="000000" w:themeColor="text1"/>
          <w:sz w:val="22"/>
          <w:szCs w:val="22"/>
          <w:lang w:val="es-ES"/>
        </w:rPr>
      </w:pPr>
      <w:r w:rsidRPr="00E45C8D">
        <w:rPr>
          <w:rFonts w:ascii="Arial Narrow" w:eastAsia="Calibri" w:hAnsi="Arial Narrow" w:cs="Calibri"/>
          <w:sz w:val="22"/>
          <w:szCs w:val="22"/>
          <w:lang w:val="sq-AL"/>
        </w:rPr>
        <w:t>sasia e mbetjurinave që do të grumbullohet</w:t>
      </w:r>
      <w:r w:rsidR="00430A79" w:rsidRPr="009F5CA1">
        <w:rPr>
          <w:rFonts w:ascii="Arial Narrow" w:eastAsia="Calibri" w:hAnsi="Arial Narrow" w:cs="Calibri"/>
          <w:color w:val="000000" w:themeColor="text1"/>
          <w:sz w:val="22"/>
          <w:szCs w:val="22"/>
          <w:lang w:val="es-ES"/>
        </w:rPr>
        <w:t>.</w:t>
      </w:r>
    </w:p>
    <w:p w14:paraId="3DAD9B2C" w14:textId="77777777" w:rsidR="00E45C8D" w:rsidRPr="009F5CA1" w:rsidRDefault="00E45C8D" w:rsidP="00430A79">
      <w:pPr>
        <w:jc w:val="both"/>
        <w:rPr>
          <w:rFonts w:ascii="Arial Narrow" w:eastAsia="Calibri" w:hAnsi="Arial Narrow" w:cs="Calibri"/>
          <w:color w:val="000000" w:themeColor="text1"/>
          <w:sz w:val="22"/>
          <w:szCs w:val="22"/>
          <w:lang w:val="es-ES"/>
        </w:rPr>
      </w:pPr>
    </w:p>
    <w:p w14:paraId="54263588" w14:textId="77777777" w:rsidR="00E45C8D" w:rsidRPr="00E45C8D" w:rsidRDefault="00E45C8D" w:rsidP="00E45C8D">
      <w:pPr>
        <w:pStyle w:val="Paragraph"/>
        <w:spacing w:after="0"/>
        <w:rPr>
          <w:rFonts w:eastAsia="Calibri" w:cs="Calibri"/>
          <w:lang w:val="sq-AL"/>
        </w:rPr>
      </w:pPr>
      <w:r w:rsidRPr="00E45C8D">
        <w:rPr>
          <w:rFonts w:eastAsia="Calibri" w:cs="Calibri"/>
          <w:lang w:val="sq-AL"/>
        </w:rPr>
        <w:t>Vëllimi i automjetit të përzgjedhur duhet të lejojë norma të larta shfrytëzimi mbi 85%.</w:t>
      </w:r>
    </w:p>
    <w:p w14:paraId="58E07234" w14:textId="77777777" w:rsidR="00E45C8D" w:rsidRPr="00E45C8D" w:rsidRDefault="00E45C8D" w:rsidP="00E45C8D">
      <w:pPr>
        <w:pStyle w:val="Paragraph"/>
        <w:spacing w:after="0"/>
        <w:rPr>
          <w:rFonts w:eastAsia="Calibri" w:cs="Calibri"/>
          <w:lang w:val="sq-AL"/>
        </w:rPr>
      </w:pPr>
      <w:r w:rsidRPr="00E45C8D">
        <w:rPr>
          <w:rFonts w:eastAsia="Calibri" w:cs="Calibri"/>
          <w:lang w:val="sq-AL"/>
        </w:rPr>
        <w:t>Përdorimi i stacioneve të transferit do të ketë ndikim edhe në automjetet që do të përdoren duke marrë parasysh distancat më të shkurtra të transportit.</w:t>
      </w:r>
    </w:p>
    <w:p w14:paraId="3907FDD8" w14:textId="358A1FE4" w:rsidR="00430A79" w:rsidRPr="009F5CA1" w:rsidRDefault="00E45C8D" w:rsidP="00E45C8D">
      <w:pPr>
        <w:jc w:val="both"/>
        <w:rPr>
          <w:rFonts w:ascii="Arial Narrow" w:eastAsia="Calibri" w:hAnsi="Arial Narrow" w:cs="Calibri"/>
          <w:color w:val="000000" w:themeColor="text1"/>
          <w:sz w:val="22"/>
          <w:szCs w:val="22"/>
          <w:lang w:val="sq-AL"/>
        </w:rPr>
      </w:pPr>
      <w:r w:rsidRPr="00E45C8D">
        <w:rPr>
          <w:rFonts w:ascii="Arial Narrow" w:eastAsia="Calibri" w:hAnsi="Arial Narrow" w:cs="Calibri"/>
          <w:sz w:val="22"/>
          <w:szCs w:val="22"/>
          <w:lang w:val="sq-AL"/>
        </w:rPr>
        <w:t>Për qëllime të përgatitjes së vlerësimeve të kostos janë marrë në konsideratë automjetet grumbulluese 16 m³ me ngjeshje. Automjetet e grumbullimit me volum më të vogël mund të përdoren për zona me qasje të vështirë dhe për distanca të shkurtra transporti</w:t>
      </w:r>
      <w:r w:rsidR="00430A79" w:rsidRPr="009F5CA1">
        <w:rPr>
          <w:rFonts w:ascii="Arial Narrow" w:eastAsia="Calibri" w:hAnsi="Arial Narrow" w:cs="Calibri"/>
          <w:color w:val="000000" w:themeColor="text1"/>
          <w:sz w:val="22"/>
          <w:szCs w:val="22"/>
          <w:lang w:val="sq-AL"/>
        </w:rPr>
        <w:t>.</w:t>
      </w:r>
    </w:p>
    <w:p w14:paraId="63AC04BB" w14:textId="77777777" w:rsidR="00282B31" w:rsidRPr="009F5CA1" w:rsidRDefault="00282B31" w:rsidP="00E45C8D">
      <w:pPr>
        <w:jc w:val="both"/>
        <w:rPr>
          <w:rFonts w:ascii="Arial Narrow" w:eastAsia="Calibri" w:hAnsi="Arial Narrow" w:cs="Calibri"/>
          <w:color w:val="000000" w:themeColor="text1"/>
          <w:sz w:val="22"/>
          <w:szCs w:val="22"/>
          <w:lang w:val="sq-AL"/>
        </w:rPr>
      </w:pPr>
    </w:p>
    <w:p w14:paraId="1E07A65A" w14:textId="77777777" w:rsidR="00430A79" w:rsidRPr="00430A79" w:rsidRDefault="00430A79" w:rsidP="000D7AD0">
      <w:pPr>
        <w:pStyle w:val="Heading3"/>
      </w:pPr>
      <w:bookmarkStart w:id="310" w:name="_Toc185866108"/>
      <w:bookmarkStart w:id="311" w:name="_Toc197472005"/>
      <w:r w:rsidRPr="00E45C8D">
        <w:t>Vlerësimet</w:t>
      </w:r>
      <w:r w:rsidRPr="00430A79">
        <w:t xml:space="preserve"> e kostos</w:t>
      </w:r>
      <w:bookmarkEnd w:id="310"/>
      <w:bookmarkEnd w:id="311"/>
    </w:p>
    <w:p w14:paraId="26858CC9" w14:textId="77777777" w:rsidR="00430A79" w:rsidRPr="00E45C8D" w:rsidRDefault="00430A79" w:rsidP="00430A79">
      <w:pPr>
        <w:jc w:val="both"/>
        <w:rPr>
          <w:rFonts w:ascii="Arial Narrow" w:eastAsia="Calibri" w:hAnsi="Arial Narrow" w:cs="Calibri"/>
          <w:color w:val="000000" w:themeColor="text1"/>
          <w:sz w:val="22"/>
          <w:szCs w:val="22"/>
          <w:lang w:val="en-GB"/>
        </w:rPr>
      </w:pPr>
    </w:p>
    <w:p w14:paraId="6C76CD70" w14:textId="1707D785" w:rsidR="00430A79" w:rsidRPr="00E45C8D" w:rsidRDefault="00E45C8D" w:rsidP="00430A79">
      <w:pPr>
        <w:spacing w:after="120"/>
        <w:jc w:val="both"/>
        <w:rPr>
          <w:rFonts w:ascii="Arial Narrow" w:eastAsia="Calibri" w:hAnsi="Arial Narrow" w:cs="Calibri"/>
          <w:color w:val="000000" w:themeColor="text1"/>
          <w:sz w:val="22"/>
          <w:szCs w:val="22"/>
          <w:lang w:val="en-GB"/>
        </w:rPr>
      </w:pPr>
      <w:r w:rsidRPr="00E45C8D">
        <w:rPr>
          <w:rFonts w:ascii="Arial Narrow" w:eastAsia="Calibri" w:hAnsi="Arial Narrow" w:cs="Calibri"/>
          <w:sz w:val="22"/>
          <w:szCs w:val="22"/>
          <w:lang w:val="sq-AL"/>
        </w:rPr>
        <w:t>Në bazë të të gjitha konsideratave të mësipërme, modelet e mëposhtme të grumbullimit janë përllogaritur</w:t>
      </w:r>
      <w:r w:rsidR="00430A79" w:rsidRPr="00E45C8D">
        <w:rPr>
          <w:rFonts w:ascii="Arial Narrow" w:eastAsia="Calibri" w:hAnsi="Arial Narrow" w:cs="Calibri"/>
          <w:color w:val="000000" w:themeColor="text1"/>
          <w:sz w:val="22"/>
          <w:szCs w:val="22"/>
          <w:lang w:val="en-GB"/>
        </w:rPr>
        <w:t>:</w:t>
      </w:r>
    </w:p>
    <w:p w14:paraId="5B2DEA34"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t>Grumbullimi i mbeturinave me kontejnerë 1.1 m³ për zonat urbane të komunës së Pejës, Istogut , Klinës dhe Deçanit ;</w:t>
      </w:r>
    </w:p>
    <w:p w14:paraId="0B7EA370"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t>Mbledhja e mbeturinave me shporta individuale plastike për zonat rurale (dhe zonat me shtëpi familjare).</w:t>
      </w:r>
    </w:p>
    <w:p w14:paraId="459F1FB2" w14:textId="77777777" w:rsidR="00430A79" w:rsidRPr="00430A79" w:rsidRDefault="00430A79" w:rsidP="00430A79">
      <w:pPr>
        <w:jc w:val="both"/>
        <w:rPr>
          <w:rFonts w:ascii="Arial Narrow" w:eastAsia="Calibri" w:hAnsi="Arial Narrow" w:cs="Calibri"/>
          <w:color w:val="000000" w:themeColor="text1"/>
          <w:sz w:val="22"/>
          <w:szCs w:val="22"/>
          <w:lang w:val="en-GB"/>
        </w:rPr>
      </w:pPr>
    </w:p>
    <w:p w14:paraId="048FBAAC" w14:textId="0CE36DFD" w:rsidR="00430A79" w:rsidRPr="00430A79" w:rsidRDefault="00430A79" w:rsidP="00430A79">
      <w:pPr>
        <w:jc w:val="both"/>
        <w:rPr>
          <w:rFonts w:ascii="Arial Narrow" w:eastAsia="Calibri" w:hAnsi="Arial Narrow" w:cs="Calibri"/>
          <w:color w:val="000000" w:themeColor="text1"/>
          <w:sz w:val="22"/>
          <w:szCs w:val="22"/>
          <w:lang w:val="en-GB"/>
        </w:rPr>
      </w:pPr>
      <w:proofErr w:type="spellStart"/>
      <w:r w:rsidRPr="00430A79">
        <w:rPr>
          <w:rFonts w:ascii="Arial Narrow" w:eastAsia="Calibri" w:hAnsi="Arial Narrow" w:cs="Calibri"/>
          <w:color w:val="000000" w:themeColor="text1"/>
          <w:sz w:val="22"/>
          <w:szCs w:val="22"/>
          <w:lang w:val="en-GB"/>
        </w:rPr>
        <w:t>Llogaritjet</w:t>
      </w:r>
      <w:proofErr w:type="spellEnd"/>
      <w:r w:rsidRPr="00430A79">
        <w:rPr>
          <w:rFonts w:ascii="Arial Narrow" w:eastAsia="Calibri" w:hAnsi="Arial Narrow" w:cs="Calibri"/>
          <w:color w:val="000000" w:themeColor="text1"/>
          <w:sz w:val="22"/>
          <w:szCs w:val="22"/>
          <w:lang w:val="en-GB"/>
        </w:rPr>
        <w:t xml:space="preserve"> e </w:t>
      </w:r>
      <w:proofErr w:type="spellStart"/>
      <w:r w:rsidRPr="00430A79">
        <w:rPr>
          <w:rFonts w:ascii="Arial Narrow" w:eastAsia="Calibri" w:hAnsi="Arial Narrow" w:cs="Calibri"/>
          <w:color w:val="000000" w:themeColor="text1"/>
          <w:sz w:val="22"/>
          <w:szCs w:val="22"/>
          <w:lang w:val="en-GB"/>
        </w:rPr>
        <w:t>kostove</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të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mbledhjes</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kryhen</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veçmas</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për</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zonat</w:t>
      </w:r>
      <w:proofErr w:type="spellEnd"/>
      <w:r w:rsidRPr="00430A79">
        <w:rPr>
          <w:rFonts w:ascii="Arial Narrow" w:eastAsia="Calibri" w:hAnsi="Arial Narrow" w:cs="Calibri"/>
          <w:color w:val="000000" w:themeColor="text1"/>
          <w:sz w:val="22"/>
          <w:szCs w:val="22"/>
          <w:lang w:val="en-GB"/>
        </w:rPr>
        <w:t xml:space="preserve"> urbane </w:t>
      </w:r>
      <w:proofErr w:type="spellStart"/>
      <w:r w:rsidRPr="00430A79">
        <w:rPr>
          <w:rFonts w:ascii="Arial Narrow" w:eastAsia="Calibri" w:hAnsi="Arial Narrow" w:cs="Calibri"/>
          <w:color w:val="000000" w:themeColor="text1"/>
          <w:sz w:val="22"/>
          <w:szCs w:val="22"/>
          <w:lang w:val="en-GB"/>
        </w:rPr>
        <w:t>dhe</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për</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zonat</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rurale</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në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secilën</w:t>
      </w:r>
      <w:proofErr w:type="spellEnd"/>
      <w:r w:rsidRPr="00430A79">
        <w:rPr>
          <w:rFonts w:ascii="Arial Narrow" w:eastAsia="Calibri" w:hAnsi="Arial Narrow" w:cs="Calibri"/>
          <w:color w:val="000000" w:themeColor="text1"/>
          <w:sz w:val="22"/>
          <w:szCs w:val="22"/>
          <w:lang w:val="en-GB"/>
        </w:rPr>
        <w:t xml:space="preserve"> </w:t>
      </w:r>
      <w:proofErr w:type="spellStart"/>
      <w:r w:rsidR="008A72DD">
        <w:rPr>
          <w:rFonts w:ascii="Arial Narrow" w:eastAsia="Calibri" w:hAnsi="Arial Narrow" w:cs="Calibri"/>
          <w:color w:val="000000" w:themeColor="text1"/>
          <w:sz w:val="22"/>
          <w:szCs w:val="22"/>
          <w:lang w:val="en-GB"/>
        </w:rPr>
        <w:t>komunë</w:t>
      </w:r>
      <w:proofErr w:type="spellEnd"/>
      <w:r w:rsidRPr="00430A79">
        <w:rPr>
          <w:rFonts w:ascii="Arial Narrow" w:eastAsia="Calibri" w:hAnsi="Arial Narrow" w:cs="Calibri"/>
          <w:color w:val="000000" w:themeColor="text1"/>
          <w:sz w:val="22"/>
          <w:szCs w:val="22"/>
          <w:lang w:val="en-GB"/>
        </w:rPr>
        <w:t xml:space="preserve">, duke </w:t>
      </w:r>
      <w:proofErr w:type="spellStart"/>
      <w:r w:rsidRPr="00430A79">
        <w:rPr>
          <w:rFonts w:ascii="Arial Narrow" w:eastAsia="Calibri" w:hAnsi="Arial Narrow" w:cs="Calibri"/>
          <w:color w:val="000000" w:themeColor="text1"/>
          <w:sz w:val="22"/>
          <w:szCs w:val="22"/>
          <w:lang w:val="en-GB"/>
        </w:rPr>
        <w:t>marrë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parasysh</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llojet</w:t>
      </w:r>
      <w:proofErr w:type="spellEnd"/>
      <w:r w:rsidRPr="00430A79">
        <w:rPr>
          <w:rFonts w:ascii="Arial Narrow" w:eastAsia="Calibri" w:hAnsi="Arial Narrow" w:cs="Calibri"/>
          <w:color w:val="000000" w:themeColor="text1"/>
          <w:sz w:val="22"/>
          <w:szCs w:val="22"/>
          <w:lang w:val="en-GB"/>
        </w:rPr>
        <w:t xml:space="preserve"> e </w:t>
      </w:r>
      <w:proofErr w:type="spellStart"/>
      <w:r w:rsidRPr="00430A79">
        <w:rPr>
          <w:rFonts w:ascii="Arial Narrow" w:eastAsia="Calibri" w:hAnsi="Arial Narrow" w:cs="Calibri"/>
          <w:color w:val="000000" w:themeColor="text1"/>
          <w:sz w:val="22"/>
          <w:szCs w:val="22"/>
          <w:lang w:val="en-GB"/>
        </w:rPr>
        <w:t>ndryshme</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të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kontejnerëve</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dhe</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automjeteve</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të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mbledhjes</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së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mbeturinave</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të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përdorura</w:t>
      </w:r>
      <w:proofErr w:type="spellEnd"/>
      <w:r w:rsidRPr="00430A79">
        <w:rPr>
          <w:rFonts w:ascii="Arial Narrow" w:eastAsia="Calibri" w:hAnsi="Arial Narrow" w:cs="Calibri"/>
          <w:color w:val="000000" w:themeColor="text1"/>
          <w:sz w:val="22"/>
          <w:szCs w:val="22"/>
          <w:lang w:val="en-GB"/>
        </w:rPr>
        <w:t>.</w:t>
      </w:r>
    </w:p>
    <w:p w14:paraId="18F90525" w14:textId="77777777" w:rsidR="00430A79" w:rsidRPr="00430A79" w:rsidRDefault="00430A79" w:rsidP="00430A79">
      <w:pPr>
        <w:jc w:val="both"/>
        <w:rPr>
          <w:rFonts w:ascii="Arial Narrow" w:eastAsia="Calibri" w:hAnsi="Arial Narrow" w:cs="Calibri"/>
          <w:color w:val="000000" w:themeColor="text1"/>
          <w:sz w:val="22"/>
          <w:szCs w:val="22"/>
          <w:lang w:val="en-GB"/>
        </w:rPr>
      </w:pPr>
    </w:p>
    <w:p w14:paraId="244719CF" w14:textId="6DACB97C" w:rsidR="00430A79" w:rsidRPr="00430A79" w:rsidRDefault="00430A79" w:rsidP="00430A79">
      <w:pPr>
        <w:spacing w:after="120"/>
        <w:jc w:val="both"/>
        <w:rPr>
          <w:rFonts w:ascii="Arial Narrow" w:eastAsia="Calibri" w:hAnsi="Arial Narrow" w:cs="Calibri"/>
          <w:color w:val="000000" w:themeColor="text1"/>
          <w:sz w:val="22"/>
          <w:szCs w:val="22"/>
          <w:lang w:val="en-GB"/>
        </w:rPr>
      </w:pPr>
      <w:proofErr w:type="spellStart"/>
      <w:r w:rsidRPr="00430A79">
        <w:rPr>
          <w:rFonts w:ascii="Arial Narrow" w:eastAsia="Calibri" w:hAnsi="Arial Narrow" w:cs="Calibri"/>
          <w:color w:val="000000" w:themeColor="text1"/>
          <w:sz w:val="22"/>
          <w:szCs w:val="22"/>
          <w:lang w:val="en-GB"/>
        </w:rPr>
        <w:t>Supozimet</w:t>
      </w:r>
      <w:proofErr w:type="spellEnd"/>
      <w:r w:rsidRPr="00430A79">
        <w:rPr>
          <w:rFonts w:ascii="Arial Narrow" w:eastAsia="Calibri" w:hAnsi="Arial Narrow" w:cs="Calibri"/>
          <w:color w:val="000000" w:themeColor="text1"/>
          <w:sz w:val="22"/>
          <w:szCs w:val="22"/>
          <w:lang w:val="en-GB"/>
        </w:rPr>
        <w:t xml:space="preserve"> e </w:t>
      </w:r>
      <w:proofErr w:type="spellStart"/>
      <w:r w:rsidRPr="00430A79">
        <w:rPr>
          <w:rFonts w:ascii="Arial Narrow" w:eastAsia="Calibri" w:hAnsi="Arial Narrow" w:cs="Calibri"/>
          <w:color w:val="000000" w:themeColor="text1"/>
          <w:sz w:val="22"/>
          <w:szCs w:val="22"/>
          <w:lang w:val="en-GB"/>
        </w:rPr>
        <w:t>mëposhtme</w:t>
      </w:r>
      <w:proofErr w:type="spellEnd"/>
      <w:r w:rsidRPr="00430A79">
        <w:rPr>
          <w:rFonts w:ascii="Arial Narrow" w:eastAsia="Calibri" w:hAnsi="Arial Narrow" w:cs="Calibri"/>
          <w:color w:val="000000" w:themeColor="text1"/>
          <w:sz w:val="22"/>
          <w:szCs w:val="22"/>
          <w:lang w:val="en-GB"/>
        </w:rPr>
        <w:t xml:space="preserve"> u </w:t>
      </w:r>
      <w:proofErr w:type="spellStart"/>
      <w:r w:rsidRPr="00430A79">
        <w:rPr>
          <w:rFonts w:ascii="Arial Narrow" w:eastAsia="Calibri" w:hAnsi="Arial Narrow" w:cs="Calibri"/>
          <w:color w:val="000000" w:themeColor="text1"/>
          <w:sz w:val="22"/>
          <w:szCs w:val="22"/>
          <w:lang w:val="en-GB"/>
        </w:rPr>
        <w:t>bënë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për</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llogaritjen</w:t>
      </w:r>
      <w:proofErr w:type="spellEnd"/>
      <w:r w:rsidRPr="00430A79">
        <w:rPr>
          <w:rFonts w:ascii="Arial Narrow" w:eastAsia="Calibri" w:hAnsi="Arial Narrow" w:cs="Calibri"/>
          <w:color w:val="000000" w:themeColor="text1"/>
          <w:sz w:val="22"/>
          <w:szCs w:val="22"/>
          <w:lang w:val="en-GB"/>
        </w:rPr>
        <w:t xml:space="preserve"> e </w:t>
      </w:r>
      <w:proofErr w:type="spellStart"/>
      <w:r w:rsidRPr="00430A79">
        <w:rPr>
          <w:rFonts w:ascii="Arial Narrow" w:eastAsia="Calibri" w:hAnsi="Arial Narrow" w:cs="Calibri"/>
          <w:color w:val="000000" w:themeColor="text1"/>
          <w:sz w:val="22"/>
          <w:szCs w:val="22"/>
          <w:lang w:val="en-GB"/>
        </w:rPr>
        <w:t>kostove</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të</w:t>
      </w:r>
      <w:proofErr w:type="spellEnd"/>
      <w:r w:rsidRPr="00430A79">
        <w:rPr>
          <w:rFonts w:ascii="Arial Narrow" w:eastAsia="Calibri" w:hAnsi="Arial Narrow" w:cs="Calibri"/>
          <w:color w:val="000000" w:themeColor="text1"/>
          <w:sz w:val="22"/>
          <w:szCs w:val="22"/>
          <w:lang w:val="en-GB"/>
        </w:rPr>
        <w:t xml:space="preserve"> </w:t>
      </w:r>
      <w:proofErr w:type="spellStart"/>
      <w:r w:rsidR="00E45C8D">
        <w:rPr>
          <w:rFonts w:ascii="Arial Narrow" w:eastAsia="Calibri" w:hAnsi="Arial Narrow" w:cs="Calibri"/>
          <w:color w:val="000000" w:themeColor="text1"/>
          <w:sz w:val="22"/>
          <w:szCs w:val="22"/>
          <w:lang w:val="en-GB"/>
        </w:rPr>
        <w:t>grumbullimit</w:t>
      </w:r>
      <w:proofErr w:type="spellEnd"/>
      <w:r w:rsidR="00E45C8D">
        <w:rPr>
          <w:rFonts w:ascii="Arial Narrow" w:eastAsia="Calibri" w:hAnsi="Arial Narrow" w:cs="Calibri"/>
          <w:color w:val="000000" w:themeColor="text1"/>
          <w:sz w:val="22"/>
          <w:szCs w:val="22"/>
          <w:lang w:val="en-GB"/>
        </w:rPr>
        <w:t xml:space="preserve"> </w:t>
      </w:r>
      <w:proofErr w:type="spellStart"/>
      <w:r w:rsidR="00E45C8D">
        <w:rPr>
          <w:rFonts w:ascii="Arial Narrow" w:eastAsia="Calibri" w:hAnsi="Arial Narrow" w:cs="Calibri"/>
          <w:color w:val="000000" w:themeColor="text1"/>
          <w:sz w:val="22"/>
          <w:szCs w:val="22"/>
          <w:lang w:val="en-GB"/>
        </w:rPr>
        <w:t>t</w:t>
      </w:r>
      <w:r w:rsidRPr="00430A79">
        <w:rPr>
          <w:rFonts w:ascii="Arial Narrow" w:eastAsia="Calibri" w:hAnsi="Arial Narrow" w:cs="Calibri"/>
          <w:color w:val="000000" w:themeColor="text1"/>
          <w:sz w:val="22"/>
          <w:szCs w:val="22"/>
          <w:lang w:val="en-GB"/>
        </w:rPr>
        <w:t>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mbeturinave</w:t>
      </w:r>
      <w:proofErr w:type="spellEnd"/>
      <w:r w:rsidRPr="00430A79">
        <w:rPr>
          <w:rFonts w:ascii="Arial Narrow" w:eastAsia="Calibri" w:hAnsi="Arial Narrow" w:cs="Calibri"/>
          <w:color w:val="000000" w:themeColor="text1"/>
          <w:sz w:val="22"/>
          <w:szCs w:val="22"/>
          <w:lang w:val="en-GB"/>
        </w:rPr>
        <w:t>:</w:t>
      </w:r>
    </w:p>
    <w:p w14:paraId="2644A8FC"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t xml:space="preserve">Numrat dhe kapacitetet e kontejnerëve dhe automjeteve të nevojshme grumbulluese korrespondojnë me sasitë e mbeturinave të grumbulluara, të llogaritura në bazë të numrit të banorëve të shërbyer dhe normave përkatëse të gjenerimit për frymë të mbeturinave në zonat urbane dhe rurale për vitin përkatës. Është marrë parasysh sasia e mbeturinave të grumbulluara </w:t>
      </w:r>
      <w:r>
        <w:rPr>
          <w:rFonts w:eastAsia="Calibri" w:cs="Calibri"/>
          <w:lang w:val="sq-AL"/>
        </w:rPr>
        <w:t>ndaras</w:t>
      </w:r>
      <w:r w:rsidRPr="00BE2534">
        <w:rPr>
          <w:rFonts w:eastAsia="Calibri" w:cs="Calibri"/>
          <w:lang w:val="sq-AL"/>
        </w:rPr>
        <w:t>.</w:t>
      </w:r>
    </w:p>
    <w:p w14:paraId="3313937B"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t>Densiteti i mbeturinave në kontejnerë 180 kg/m³.</w:t>
      </w:r>
    </w:p>
    <w:p w14:paraId="110D978C"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t>Shkalla mesatare e mbushjes së pranueshme të kontejnerëve është 80% për kontejnerët 1.1 m³ dhe 85% për shportat 240 l.</w:t>
      </w:r>
    </w:p>
    <w:p w14:paraId="517BA2BC"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lastRenderedPageBreak/>
        <w:t>Koeficienti i parregullsisë që përfaqëson raportin ndërmjet maksimumit dhe sasisë mesatare javore të mbeturinave është i barabartë me 1.3.</w:t>
      </w:r>
    </w:p>
    <w:p w14:paraId="0F1EEE13"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t>Shpejtësia e pranueshme e udhëtimit të automjeteve për grumbullimin e mbeturinave është 35 km/orë.</w:t>
      </w:r>
    </w:p>
    <w:p w14:paraId="30A01855"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t>Shfrytëzimi 85% i ngarkesës nominale të mjeteve grumbulluese.</w:t>
      </w:r>
    </w:p>
    <w:p w14:paraId="08D24F05"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t>85% disponueshmëria e automjeteve grumbulluese.</w:t>
      </w:r>
    </w:p>
    <w:p w14:paraId="072E3A01"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t>Kontejnerë rezervë për mirëmbajtje - 5%.</w:t>
      </w:r>
    </w:p>
    <w:p w14:paraId="1373DAE9"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t>Koha mesatare për ngritjen e kontejnerit 1.1 m³ është 1.0 minutë. Koha për zbrazjen e shportave të mbeturinave vlerësohet të jetë 0,67 minuta (40 sekonda).</w:t>
      </w:r>
    </w:p>
    <w:p w14:paraId="5EA1C601"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t>Distancat mesatare të udhëtimit midis deponisë dhe komunave të veçanta maten nga qendrat përkatëse të qytetit. Distanca e udhëtimit për zonat rurale është e pranueshme të jetë 10 km më e gjatë se për zonat urbane.</w:t>
      </w:r>
    </w:p>
    <w:p w14:paraId="7F35F864"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t>Koha mesatare e shpenzuar për shkarkim në deponi do të jetë gjysmë ore; Koha e ndërmjetme midis udhëtimeve do të jetë gjithashtu gjysmë ore.</w:t>
      </w:r>
    </w:p>
    <w:p w14:paraId="548700F9"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t>Automjetet prej 16 m³ për grumbullimin e mbeturiva 16 me ngarkesë prej 8 tonë mbeturina për automjet (korrespondon me 500 kg/m³mbeturina të ngjeshura).</w:t>
      </w:r>
    </w:p>
    <w:p w14:paraId="5A3D38FB"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t>Jetëgjatësia e pranueshme për kontejnerët dhe shportat është 7 vjet dhe 10 vjet për automjetet për grubmullimin e mbeturinave.</w:t>
      </w:r>
    </w:p>
    <w:p w14:paraId="79BFDDEE"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t>Kontejnerët dhe automjetet ekzistuese nuk janë marrë parasysh dhe vlerësimet e kostove janë përgatitur për pajisje krejtësisht të reja.</w:t>
      </w:r>
    </w:p>
    <w:p w14:paraId="50B1F11D"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t>Kostot e pranueshme vjetore të mirëmbajtjes janë 4% e kostove të investimit për kontejnerët dhe 5% për automjetet.</w:t>
      </w:r>
    </w:p>
    <w:p w14:paraId="557BD6E7"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t>Kostot për administrimin e sistemit janë 10% e kostove direkte operacionale.</w:t>
      </w:r>
    </w:p>
    <w:p w14:paraId="0AF02EF1"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t>Sigurimi i automjeteve grumbulluese dhe personelit – 1% e kostos së investimit.</w:t>
      </w:r>
    </w:p>
    <w:p w14:paraId="3B4590EB" w14:textId="77777777" w:rsidR="00E45C8D" w:rsidRPr="00BE2534" w:rsidRDefault="00E45C8D" w:rsidP="00E45C8D">
      <w:pPr>
        <w:pStyle w:val="Paragraph"/>
        <w:numPr>
          <w:ilvl w:val="0"/>
          <w:numId w:val="20"/>
        </w:numPr>
        <w:spacing w:after="0"/>
        <w:rPr>
          <w:rFonts w:eastAsia="Calibri" w:cs="Calibri"/>
          <w:lang w:val="sq-AL"/>
        </w:rPr>
      </w:pPr>
      <w:r w:rsidRPr="00BE2534">
        <w:rPr>
          <w:rFonts w:eastAsia="Calibri" w:cs="Calibri"/>
          <w:lang w:val="sq-AL"/>
        </w:rPr>
        <w:t>Shërbime jashtë orarit – 10% e kostove operacionale plus amortizimi vjetor.</w:t>
      </w:r>
    </w:p>
    <w:p w14:paraId="76D55824" w14:textId="77777777" w:rsidR="00E45C8D" w:rsidRPr="00E45C8D" w:rsidRDefault="00E45C8D" w:rsidP="00E45C8D">
      <w:pPr>
        <w:pStyle w:val="Paragraph"/>
        <w:numPr>
          <w:ilvl w:val="0"/>
          <w:numId w:val="20"/>
        </w:numPr>
        <w:spacing w:after="0"/>
        <w:rPr>
          <w:rFonts w:eastAsia="Calibri" w:cs="Calibri"/>
          <w:lang w:val="sq-AL"/>
        </w:rPr>
      </w:pPr>
      <w:r w:rsidRPr="00E45C8D">
        <w:rPr>
          <w:rFonts w:eastAsia="Calibri" w:cs="Calibri"/>
          <w:lang w:val="sq-AL"/>
        </w:rPr>
        <w:t>Kostot e punës llogariten për 46 javë pune për person, 5 ditë pune në javë dhe mesatarisht 5% pushim mjekësor.</w:t>
      </w:r>
    </w:p>
    <w:p w14:paraId="4971CB9E" w14:textId="77777777" w:rsidR="00A41C6A" w:rsidRPr="009F5CA1" w:rsidRDefault="00A41C6A" w:rsidP="00430A79">
      <w:pPr>
        <w:jc w:val="both"/>
        <w:rPr>
          <w:rFonts w:ascii="Arial Narrow" w:eastAsia="Calibri" w:hAnsi="Arial Narrow" w:cs="Calibri"/>
          <w:color w:val="000000" w:themeColor="text1"/>
          <w:sz w:val="22"/>
          <w:szCs w:val="22"/>
          <w:lang w:val="sq-AL"/>
        </w:rPr>
      </w:pPr>
    </w:p>
    <w:p w14:paraId="5A754E1C" w14:textId="38F89984" w:rsidR="00430A79" w:rsidRPr="009F5CA1" w:rsidRDefault="00E45C8D" w:rsidP="00430A79">
      <w:pPr>
        <w:jc w:val="both"/>
        <w:rPr>
          <w:rFonts w:ascii="Arial Narrow" w:eastAsia="Calibri" w:hAnsi="Arial Narrow" w:cs="Calibri"/>
          <w:color w:val="000000" w:themeColor="text1"/>
          <w:sz w:val="22"/>
          <w:szCs w:val="22"/>
          <w:lang w:val="sq-AL"/>
        </w:rPr>
      </w:pPr>
      <w:r w:rsidRPr="00E45C8D">
        <w:rPr>
          <w:rFonts w:ascii="Arial Narrow" w:eastAsia="Calibri" w:hAnsi="Arial Narrow" w:cs="Calibri"/>
          <w:sz w:val="22"/>
          <w:szCs w:val="22"/>
          <w:lang w:val="sq-AL"/>
        </w:rPr>
        <w:t>Tabela e mëposhtme paraqet kostot për njësi për grumbullimin e mbeturinave të përziera të supozuara përqëllimin e analizës së opsioneve</w:t>
      </w:r>
      <w:r w:rsidR="00430A79" w:rsidRPr="009F5CA1">
        <w:rPr>
          <w:rFonts w:ascii="Arial Narrow" w:eastAsia="Calibri" w:hAnsi="Arial Narrow" w:cs="Calibri"/>
          <w:color w:val="000000" w:themeColor="text1"/>
          <w:sz w:val="22"/>
          <w:szCs w:val="22"/>
          <w:lang w:val="sq-AL"/>
        </w:rPr>
        <w:t>.</w:t>
      </w:r>
    </w:p>
    <w:p w14:paraId="6142618F"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4AA59F8A" w14:textId="69A0045F" w:rsidR="00430A79" w:rsidRPr="009F5CA1" w:rsidRDefault="00430A79" w:rsidP="00430A79">
      <w:pPr>
        <w:spacing w:after="120"/>
        <w:jc w:val="both"/>
        <w:rPr>
          <w:rFonts w:ascii="Arial Narrow" w:eastAsia="Calibri" w:hAnsi="Arial Narrow" w:cs="Calibri"/>
          <w:color w:val="1F497D"/>
          <w:sz w:val="20"/>
          <w:szCs w:val="20"/>
          <w:lang w:val="sq-AL"/>
        </w:rPr>
      </w:pPr>
      <w:bookmarkStart w:id="312" w:name="_Toc185866200"/>
      <w:bookmarkStart w:id="313" w:name="_Toc197472229"/>
      <w:r w:rsidRPr="009F5CA1">
        <w:rPr>
          <w:rFonts w:ascii="Arial Narrow" w:eastAsia="Calibri" w:hAnsi="Arial Narrow" w:cs="Calibri"/>
          <w:color w:val="1F497D"/>
          <w:sz w:val="20"/>
          <w:szCs w:val="20"/>
          <w:lang w:val="sq-AL"/>
        </w:rPr>
        <w:t xml:space="preserve">Tabela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lang w:val="sq-AL"/>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lang w:val="sq-AL"/>
        </w:rPr>
        <w:t xml:space="preserve">44. </w:t>
      </w:r>
      <w:r w:rsidRPr="00430A79">
        <w:rPr>
          <w:rFonts w:ascii="Arial Narrow" w:eastAsia="Calibri" w:hAnsi="Arial Narrow" w:cs="Calibri"/>
          <w:color w:val="1F497D"/>
          <w:sz w:val="20"/>
          <w:szCs w:val="20"/>
          <w:lang w:val="en-GB"/>
        </w:rPr>
        <w:fldChar w:fldCharType="end"/>
      </w:r>
      <w:r w:rsidRPr="009F5CA1">
        <w:rPr>
          <w:rFonts w:ascii="Arial Narrow" w:eastAsia="Calibri" w:hAnsi="Arial Narrow" w:cs="Calibri"/>
          <w:color w:val="1F497D"/>
          <w:sz w:val="20"/>
          <w:szCs w:val="20"/>
          <w:lang w:val="sq-AL"/>
        </w:rPr>
        <w:t xml:space="preserve">Kostot për njësi për kontejnerët dhe automjetet </w:t>
      </w:r>
      <w:r w:rsidR="00E45C8D" w:rsidRPr="009F5CA1">
        <w:rPr>
          <w:rFonts w:ascii="Arial Narrow" w:eastAsia="Calibri" w:hAnsi="Arial Narrow" w:cs="Calibri"/>
          <w:color w:val="1F497D"/>
          <w:sz w:val="20"/>
          <w:szCs w:val="20"/>
          <w:lang w:val="sq-AL"/>
        </w:rPr>
        <w:t>për grumbullimin e</w:t>
      </w:r>
      <w:r w:rsidRPr="009F5CA1">
        <w:rPr>
          <w:rFonts w:ascii="Arial Narrow" w:eastAsia="Calibri" w:hAnsi="Arial Narrow" w:cs="Calibri"/>
          <w:color w:val="1F497D"/>
          <w:sz w:val="20"/>
          <w:szCs w:val="20"/>
          <w:lang w:val="sq-AL"/>
        </w:rPr>
        <w:t xml:space="preserve"> mbeturinave</w:t>
      </w:r>
      <w:bookmarkEnd w:id="312"/>
      <w:bookmarkEnd w:id="313"/>
    </w:p>
    <w:tbl>
      <w:tblPr>
        <w:tblW w:w="0" w:type="auto"/>
        <w:tblInd w:w="91" w:type="dxa"/>
        <w:tblLayout w:type="fixed"/>
        <w:tblCellMar>
          <w:left w:w="0" w:type="dxa"/>
          <w:right w:w="0" w:type="dxa"/>
        </w:tblCellMar>
        <w:tblLook w:val="0000" w:firstRow="0" w:lastRow="0" w:firstColumn="0" w:lastColumn="0" w:noHBand="0" w:noVBand="0"/>
      </w:tblPr>
      <w:tblGrid>
        <w:gridCol w:w="2332"/>
        <w:gridCol w:w="1585"/>
        <w:gridCol w:w="3021"/>
        <w:gridCol w:w="1629"/>
      </w:tblGrid>
      <w:tr w:rsidR="00430A79" w:rsidRPr="00430A79" w14:paraId="0806697C" w14:textId="77777777" w:rsidTr="00750949">
        <w:trPr>
          <w:trHeight w:val="378"/>
        </w:trPr>
        <w:tc>
          <w:tcPr>
            <w:tcW w:w="2332" w:type="dxa"/>
            <w:tcBorders>
              <w:top w:val="single" w:sz="4" w:space="0" w:color="000000"/>
              <w:left w:val="single" w:sz="4" w:space="0" w:color="000000"/>
              <w:bottom w:val="single" w:sz="4" w:space="0" w:color="000000"/>
              <w:right w:val="single" w:sz="4" w:space="0" w:color="000000"/>
            </w:tcBorders>
            <w:shd w:val="clear" w:color="auto" w:fill="365F91"/>
          </w:tcPr>
          <w:p w14:paraId="4EE63CE2"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Pajisjet</w:t>
            </w:r>
          </w:p>
        </w:tc>
        <w:tc>
          <w:tcPr>
            <w:tcW w:w="1585" w:type="dxa"/>
            <w:tcBorders>
              <w:top w:val="single" w:sz="4" w:space="0" w:color="000000"/>
              <w:left w:val="single" w:sz="4" w:space="0" w:color="000000"/>
              <w:bottom w:val="single" w:sz="4" w:space="0" w:color="000000"/>
              <w:right w:val="single" w:sz="4" w:space="0" w:color="000000"/>
            </w:tcBorders>
            <w:shd w:val="clear" w:color="auto" w:fill="365F91"/>
          </w:tcPr>
          <w:p w14:paraId="71BA9C70"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Kapaciteti, m³</w:t>
            </w:r>
          </w:p>
        </w:tc>
        <w:tc>
          <w:tcPr>
            <w:tcW w:w="3021" w:type="dxa"/>
            <w:tcBorders>
              <w:top w:val="single" w:sz="4" w:space="0" w:color="000000"/>
              <w:left w:val="single" w:sz="4" w:space="0" w:color="000000"/>
              <w:bottom w:val="single" w:sz="4" w:space="0" w:color="000000"/>
              <w:right w:val="single" w:sz="4" w:space="0" w:color="000000"/>
            </w:tcBorders>
            <w:shd w:val="clear" w:color="auto" w:fill="365F91"/>
          </w:tcPr>
          <w:p w14:paraId="1F107BEF"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Qëllimi</w:t>
            </w:r>
          </w:p>
        </w:tc>
        <w:tc>
          <w:tcPr>
            <w:tcW w:w="1629" w:type="dxa"/>
            <w:tcBorders>
              <w:top w:val="single" w:sz="4" w:space="0" w:color="000000"/>
              <w:left w:val="single" w:sz="4" w:space="0" w:color="000000"/>
              <w:bottom w:val="single" w:sz="4" w:space="0" w:color="000000"/>
              <w:right w:val="single" w:sz="4" w:space="0" w:color="000000"/>
            </w:tcBorders>
            <w:shd w:val="clear" w:color="auto" w:fill="365F91"/>
          </w:tcPr>
          <w:p w14:paraId="566F546B"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 xml:space="preserve">Çmimi për njësi, </w:t>
            </w:r>
            <w:r w:rsidRPr="00430A79">
              <w:rPr>
                <w:rFonts w:ascii="Calibri" w:eastAsia="Calibri" w:hAnsi="Calibri" w:cs="Calibri"/>
                <w:b/>
                <w:color w:val="FFFFFF"/>
                <w:sz w:val="20"/>
                <w:szCs w:val="20"/>
              </w:rPr>
              <w:t>€</w:t>
            </w:r>
          </w:p>
        </w:tc>
      </w:tr>
      <w:tr w:rsidR="00E45C8D" w:rsidRPr="00430A79" w14:paraId="57C212B0" w14:textId="77777777" w:rsidTr="00D03949">
        <w:trPr>
          <w:trHeight w:val="378"/>
        </w:trPr>
        <w:tc>
          <w:tcPr>
            <w:tcW w:w="2332" w:type="dxa"/>
            <w:tcBorders>
              <w:top w:val="single" w:sz="4" w:space="0" w:color="000000"/>
              <w:left w:val="single" w:sz="4" w:space="0" w:color="000000"/>
              <w:bottom w:val="single" w:sz="4" w:space="0" w:color="000000"/>
              <w:right w:val="single" w:sz="4" w:space="0" w:color="000000"/>
            </w:tcBorders>
          </w:tcPr>
          <w:p w14:paraId="79098100" w14:textId="1A12C313" w:rsidR="00E45C8D" w:rsidRPr="00430A79" w:rsidRDefault="00E45C8D" w:rsidP="00E45C8D">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Kontejnerë (metal)</w:t>
            </w:r>
          </w:p>
        </w:tc>
        <w:tc>
          <w:tcPr>
            <w:tcW w:w="1585" w:type="dxa"/>
            <w:tcBorders>
              <w:top w:val="single" w:sz="4" w:space="0" w:color="000000"/>
              <w:left w:val="single" w:sz="4" w:space="0" w:color="000000"/>
              <w:bottom w:val="single" w:sz="4" w:space="0" w:color="000000"/>
              <w:right w:val="single" w:sz="4" w:space="0" w:color="000000"/>
            </w:tcBorders>
          </w:tcPr>
          <w:p w14:paraId="7CA6DDB9" w14:textId="77777777" w:rsidR="00E45C8D" w:rsidRPr="00430A79" w:rsidRDefault="00E45C8D" w:rsidP="00E45C8D">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w:t>
            </w:r>
          </w:p>
        </w:tc>
        <w:tc>
          <w:tcPr>
            <w:tcW w:w="3021" w:type="dxa"/>
            <w:tcBorders>
              <w:top w:val="single" w:sz="4" w:space="0" w:color="000000"/>
              <w:left w:val="single" w:sz="4" w:space="0" w:color="000000"/>
              <w:bottom w:val="single" w:sz="4" w:space="0" w:color="000000"/>
              <w:right w:val="single" w:sz="4" w:space="0" w:color="000000"/>
            </w:tcBorders>
          </w:tcPr>
          <w:p w14:paraId="289504CF" w14:textId="573918D4" w:rsidR="00E45C8D" w:rsidRPr="00430A79" w:rsidRDefault="00E45C8D" w:rsidP="00E45C8D">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Shpie drejt sistemit të grumbullimit </w:t>
            </w:r>
          </w:p>
        </w:tc>
        <w:tc>
          <w:tcPr>
            <w:tcW w:w="1629" w:type="dxa"/>
            <w:tcBorders>
              <w:top w:val="single" w:sz="4" w:space="0" w:color="000000"/>
              <w:left w:val="single" w:sz="4" w:space="0" w:color="000000"/>
              <w:bottom w:val="single" w:sz="4" w:space="0" w:color="000000"/>
              <w:right w:val="single" w:sz="4" w:space="0" w:color="000000"/>
            </w:tcBorders>
          </w:tcPr>
          <w:p w14:paraId="77E643C0" w14:textId="77777777" w:rsidR="00E45C8D" w:rsidRPr="00430A79" w:rsidRDefault="00E45C8D" w:rsidP="00E45C8D">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650</w:t>
            </w:r>
          </w:p>
        </w:tc>
      </w:tr>
      <w:tr w:rsidR="00E45C8D" w:rsidRPr="00430A79" w14:paraId="19B3D374" w14:textId="77777777" w:rsidTr="00D03949">
        <w:trPr>
          <w:trHeight w:val="378"/>
        </w:trPr>
        <w:tc>
          <w:tcPr>
            <w:tcW w:w="2332" w:type="dxa"/>
            <w:tcBorders>
              <w:top w:val="single" w:sz="4" w:space="0" w:color="000000"/>
              <w:left w:val="single" w:sz="4" w:space="0" w:color="000000"/>
              <w:bottom w:val="single" w:sz="4" w:space="0" w:color="000000"/>
              <w:right w:val="single" w:sz="4" w:space="0" w:color="000000"/>
            </w:tcBorders>
          </w:tcPr>
          <w:p w14:paraId="4B53C02E" w14:textId="11BF096F" w:rsidR="00E45C8D" w:rsidRPr="00430A79" w:rsidRDefault="00E45C8D" w:rsidP="00E45C8D">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Shporta</w:t>
            </w:r>
          </w:p>
        </w:tc>
        <w:tc>
          <w:tcPr>
            <w:tcW w:w="1585" w:type="dxa"/>
            <w:tcBorders>
              <w:top w:val="single" w:sz="4" w:space="0" w:color="000000"/>
              <w:left w:val="single" w:sz="4" w:space="0" w:color="000000"/>
              <w:bottom w:val="single" w:sz="4" w:space="0" w:color="000000"/>
              <w:right w:val="single" w:sz="4" w:space="0" w:color="000000"/>
            </w:tcBorders>
          </w:tcPr>
          <w:p w14:paraId="6700812C" w14:textId="77777777" w:rsidR="00E45C8D" w:rsidRPr="00430A79" w:rsidRDefault="00E45C8D" w:rsidP="00E45C8D">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0.24</w:t>
            </w:r>
          </w:p>
        </w:tc>
        <w:tc>
          <w:tcPr>
            <w:tcW w:w="3021" w:type="dxa"/>
            <w:tcBorders>
              <w:top w:val="single" w:sz="4" w:space="0" w:color="000000"/>
              <w:left w:val="single" w:sz="4" w:space="0" w:color="000000"/>
              <w:bottom w:val="single" w:sz="4" w:space="0" w:color="000000"/>
              <w:right w:val="single" w:sz="4" w:space="0" w:color="000000"/>
            </w:tcBorders>
          </w:tcPr>
          <w:p w14:paraId="1968545F" w14:textId="28063755" w:rsidR="00E45C8D" w:rsidRPr="00430A79" w:rsidRDefault="00E45C8D" w:rsidP="00E45C8D">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Grumbullimi derë më derë</w:t>
            </w:r>
          </w:p>
        </w:tc>
        <w:tc>
          <w:tcPr>
            <w:tcW w:w="1629" w:type="dxa"/>
            <w:tcBorders>
              <w:top w:val="single" w:sz="4" w:space="0" w:color="000000"/>
              <w:left w:val="single" w:sz="4" w:space="0" w:color="000000"/>
              <w:bottom w:val="single" w:sz="4" w:space="0" w:color="000000"/>
              <w:right w:val="single" w:sz="4" w:space="0" w:color="000000"/>
            </w:tcBorders>
          </w:tcPr>
          <w:p w14:paraId="52797CC1" w14:textId="77777777" w:rsidR="00E45C8D" w:rsidRPr="00430A79" w:rsidRDefault="00E45C8D" w:rsidP="00E45C8D">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80</w:t>
            </w:r>
          </w:p>
        </w:tc>
      </w:tr>
      <w:tr w:rsidR="00E45C8D" w:rsidRPr="00430A79" w14:paraId="06D9BE07" w14:textId="77777777" w:rsidTr="00D03949">
        <w:trPr>
          <w:trHeight w:val="378"/>
        </w:trPr>
        <w:tc>
          <w:tcPr>
            <w:tcW w:w="2332" w:type="dxa"/>
            <w:tcBorders>
              <w:top w:val="single" w:sz="4" w:space="0" w:color="000000"/>
              <w:left w:val="single" w:sz="4" w:space="0" w:color="000000"/>
              <w:bottom w:val="single" w:sz="4" w:space="0" w:color="000000"/>
              <w:right w:val="single" w:sz="4" w:space="0" w:color="000000"/>
            </w:tcBorders>
          </w:tcPr>
          <w:p w14:paraId="22C3CCBA" w14:textId="012E03F7" w:rsidR="00E45C8D" w:rsidRPr="00430A79" w:rsidRDefault="00E45C8D" w:rsidP="00E45C8D">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Kamionë</w:t>
            </w:r>
          </w:p>
        </w:tc>
        <w:tc>
          <w:tcPr>
            <w:tcW w:w="1585" w:type="dxa"/>
            <w:tcBorders>
              <w:top w:val="single" w:sz="4" w:space="0" w:color="000000"/>
              <w:left w:val="single" w:sz="4" w:space="0" w:color="000000"/>
              <w:bottom w:val="single" w:sz="4" w:space="0" w:color="000000"/>
              <w:right w:val="single" w:sz="4" w:space="0" w:color="000000"/>
            </w:tcBorders>
          </w:tcPr>
          <w:p w14:paraId="4C91CF44" w14:textId="77777777" w:rsidR="00E45C8D" w:rsidRPr="00430A79" w:rsidRDefault="00E45C8D" w:rsidP="00E45C8D">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w:t>
            </w:r>
          </w:p>
        </w:tc>
        <w:tc>
          <w:tcPr>
            <w:tcW w:w="3021" w:type="dxa"/>
            <w:tcBorders>
              <w:top w:val="single" w:sz="4" w:space="0" w:color="000000"/>
              <w:left w:val="single" w:sz="4" w:space="0" w:color="000000"/>
              <w:bottom w:val="single" w:sz="4" w:space="0" w:color="000000"/>
              <w:right w:val="single" w:sz="4" w:space="0" w:color="000000"/>
            </w:tcBorders>
          </w:tcPr>
          <w:p w14:paraId="10C9396D" w14:textId="47828793" w:rsidR="00E45C8D" w:rsidRPr="00430A79" w:rsidRDefault="00E45C8D" w:rsidP="00E45C8D">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Si për shportat individuale ashtu edhe për kontejnerët 1.1 m³</w:t>
            </w:r>
          </w:p>
        </w:tc>
        <w:tc>
          <w:tcPr>
            <w:tcW w:w="1629" w:type="dxa"/>
            <w:tcBorders>
              <w:top w:val="single" w:sz="4" w:space="0" w:color="000000"/>
              <w:left w:val="single" w:sz="4" w:space="0" w:color="000000"/>
              <w:bottom w:val="single" w:sz="4" w:space="0" w:color="000000"/>
              <w:right w:val="single" w:sz="4" w:space="0" w:color="000000"/>
            </w:tcBorders>
          </w:tcPr>
          <w:p w14:paraId="12ACB649" w14:textId="77777777" w:rsidR="00E45C8D" w:rsidRPr="00430A79" w:rsidRDefault="00E45C8D" w:rsidP="00E45C8D">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140,000</w:t>
            </w:r>
          </w:p>
        </w:tc>
      </w:tr>
    </w:tbl>
    <w:p w14:paraId="6A5BCC29" w14:textId="77777777" w:rsidR="00430A79" w:rsidRPr="003C390F" w:rsidRDefault="00430A79" w:rsidP="00430A79">
      <w:pPr>
        <w:spacing w:after="120"/>
        <w:jc w:val="both"/>
        <w:rPr>
          <w:rFonts w:ascii="Arial Narrow" w:eastAsia="Calibri" w:hAnsi="Arial Narrow" w:cs="Calibri"/>
          <w:color w:val="000000" w:themeColor="text1"/>
          <w:sz w:val="22"/>
          <w:szCs w:val="22"/>
          <w:lang w:val="en-GB"/>
        </w:rPr>
      </w:pPr>
    </w:p>
    <w:p w14:paraId="5EB434E2" w14:textId="36B74677" w:rsidR="00430A79" w:rsidRPr="003C390F" w:rsidRDefault="003C390F" w:rsidP="00430A79">
      <w:pPr>
        <w:jc w:val="both"/>
        <w:rPr>
          <w:rFonts w:ascii="Arial Narrow" w:eastAsia="Calibri" w:hAnsi="Arial Narrow" w:cs="Calibri"/>
          <w:color w:val="000000" w:themeColor="text1"/>
          <w:sz w:val="22"/>
          <w:szCs w:val="22"/>
          <w:lang w:val="en-GB"/>
        </w:rPr>
      </w:pPr>
      <w:r w:rsidRPr="003C390F">
        <w:rPr>
          <w:rFonts w:ascii="Arial Narrow" w:eastAsia="Calibri" w:hAnsi="Arial Narrow" w:cs="Calibri"/>
          <w:sz w:val="22"/>
          <w:szCs w:val="22"/>
          <w:lang w:val="sq-AL"/>
        </w:rPr>
        <w:t>Projeksionet për numrin e nevojshëm të kontejnerëve dhe mjeteve grumbulluese dhe vlerësimet e kostove për grumbullimin e mbeturinave komunale janë paraqitur në tabelat e mëposhtme</w:t>
      </w:r>
      <w:r w:rsidR="00430A79" w:rsidRPr="003C390F">
        <w:rPr>
          <w:rFonts w:ascii="Arial Narrow" w:eastAsia="Calibri" w:hAnsi="Arial Narrow" w:cs="Calibri"/>
          <w:color w:val="000000" w:themeColor="text1"/>
          <w:sz w:val="22"/>
          <w:szCs w:val="22"/>
          <w:lang w:val="en-GB"/>
        </w:rPr>
        <w:t>.</w:t>
      </w:r>
    </w:p>
    <w:p w14:paraId="425DA2D6" w14:textId="77777777" w:rsidR="00430A79" w:rsidRDefault="00430A79" w:rsidP="00430A79">
      <w:pPr>
        <w:jc w:val="both"/>
        <w:rPr>
          <w:rFonts w:ascii="Arial Narrow" w:eastAsia="Calibri" w:hAnsi="Arial Narrow" w:cs="Calibri"/>
          <w:color w:val="000000" w:themeColor="text1"/>
          <w:sz w:val="22"/>
          <w:szCs w:val="22"/>
          <w:lang w:val="en-GB"/>
        </w:rPr>
      </w:pPr>
    </w:p>
    <w:p w14:paraId="62574147" w14:textId="77777777" w:rsidR="003C390F" w:rsidRDefault="003C390F" w:rsidP="00430A79">
      <w:pPr>
        <w:jc w:val="both"/>
        <w:rPr>
          <w:rFonts w:ascii="Arial Narrow" w:eastAsia="Calibri" w:hAnsi="Arial Narrow" w:cs="Calibri"/>
          <w:color w:val="000000" w:themeColor="text1"/>
          <w:sz w:val="22"/>
          <w:szCs w:val="22"/>
          <w:lang w:val="en-GB"/>
        </w:rPr>
      </w:pPr>
    </w:p>
    <w:p w14:paraId="1180B618" w14:textId="77777777" w:rsidR="003C390F" w:rsidRDefault="003C390F" w:rsidP="00430A79">
      <w:pPr>
        <w:jc w:val="both"/>
        <w:rPr>
          <w:rFonts w:ascii="Arial Narrow" w:eastAsia="Calibri" w:hAnsi="Arial Narrow" w:cs="Calibri"/>
          <w:color w:val="000000" w:themeColor="text1"/>
          <w:sz w:val="22"/>
          <w:szCs w:val="22"/>
          <w:lang w:val="en-GB"/>
        </w:rPr>
      </w:pPr>
    </w:p>
    <w:p w14:paraId="7A07148B" w14:textId="77777777" w:rsidR="003C390F" w:rsidRDefault="003C390F" w:rsidP="00430A79">
      <w:pPr>
        <w:jc w:val="both"/>
        <w:rPr>
          <w:rFonts w:ascii="Arial Narrow" w:eastAsia="Calibri" w:hAnsi="Arial Narrow" w:cs="Calibri"/>
          <w:color w:val="000000" w:themeColor="text1"/>
          <w:sz w:val="22"/>
          <w:szCs w:val="22"/>
          <w:lang w:val="en-GB"/>
        </w:rPr>
      </w:pPr>
    </w:p>
    <w:p w14:paraId="389ADE94" w14:textId="77777777" w:rsidR="003C390F" w:rsidRDefault="003C390F" w:rsidP="00430A79">
      <w:pPr>
        <w:jc w:val="both"/>
        <w:rPr>
          <w:rFonts w:ascii="Arial Narrow" w:eastAsia="Calibri" w:hAnsi="Arial Narrow" w:cs="Calibri"/>
          <w:color w:val="000000" w:themeColor="text1"/>
          <w:sz w:val="22"/>
          <w:szCs w:val="22"/>
          <w:lang w:val="en-GB"/>
        </w:rPr>
      </w:pPr>
    </w:p>
    <w:p w14:paraId="55D8CA57" w14:textId="77777777" w:rsidR="003C390F" w:rsidRDefault="003C390F" w:rsidP="00430A79">
      <w:pPr>
        <w:jc w:val="both"/>
        <w:rPr>
          <w:rFonts w:ascii="Arial Narrow" w:eastAsia="Calibri" w:hAnsi="Arial Narrow" w:cs="Calibri"/>
          <w:color w:val="000000" w:themeColor="text1"/>
          <w:sz w:val="22"/>
          <w:szCs w:val="22"/>
          <w:lang w:val="en-GB"/>
        </w:rPr>
      </w:pPr>
    </w:p>
    <w:p w14:paraId="41479C31" w14:textId="77777777" w:rsidR="003C390F" w:rsidRDefault="003C390F" w:rsidP="00430A79">
      <w:pPr>
        <w:jc w:val="both"/>
        <w:rPr>
          <w:rFonts w:ascii="Arial Narrow" w:eastAsia="Calibri" w:hAnsi="Arial Narrow" w:cs="Calibri"/>
          <w:color w:val="000000" w:themeColor="text1"/>
          <w:sz w:val="22"/>
          <w:szCs w:val="22"/>
          <w:lang w:val="en-GB"/>
        </w:rPr>
      </w:pPr>
    </w:p>
    <w:p w14:paraId="418F3AF2" w14:textId="77777777" w:rsidR="003C390F" w:rsidRPr="003C390F" w:rsidRDefault="003C390F" w:rsidP="00430A79">
      <w:pPr>
        <w:jc w:val="both"/>
        <w:rPr>
          <w:rFonts w:ascii="Arial Narrow" w:eastAsia="Calibri" w:hAnsi="Arial Narrow" w:cs="Calibri"/>
          <w:color w:val="000000" w:themeColor="text1"/>
          <w:sz w:val="22"/>
          <w:szCs w:val="22"/>
          <w:lang w:val="en-GB"/>
        </w:rPr>
      </w:pPr>
    </w:p>
    <w:p w14:paraId="1D3CB254" w14:textId="0A15CCF2" w:rsidR="00430A79" w:rsidRPr="00430A79" w:rsidRDefault="00430A79" w:rsidP="00430A79">
      <w:pPr>
        <w:spacing w:after="120"/>
        <w:jc w:val="both"/>
        <w:rPr>
          <w:rFonts w:ascii="Arial Narrow" w:eastAsia="Calibri" w:hAnsi="Arial Narrow" w:cs="Calibri"/>
          <w:color w:val="1F497D"/>
          <w:sz w:val="20"/>
          <w:szCs w:val="20"/>
          <w:lang w:val="en-GB"/>
        </w:rPr>
      </w:pPr>
      <w:bookmarkStart w:id="314" w:name="_Toc185866201"/>
      <w:bookmarkStart w:id="315" w:name="_Toc197472230"/>
      <w:proofErr w:type="spellStart"/>
      <w:r w:rsidRPr="00430A79">
        <w:rPr>
          <w:rFonts w:ascii="Arial Narrow" w:eastAsia="Calibri" w:hAnsi="Arial Narrow" w:cs="Calibri"/>
          <w:color w:val="1F497D"/>
          <w:sz w:val="20"/>
          <w:szCs w:val="20"/>
          <w:lang w:val="en-GB"/>
        </w:rPr>
        <w:lastRenderedPageBreak/>
        <w:t>Tabela</w:t>
      </w:r>
      <w:proofErr w:type="spellEnd"/>
      <w:r w:rsidRPr="00430A79">
        <w:rPr>
          <w:rFonts w:ascii="Arial Narrow" w:eastAsia="Calibri" w:hAnsi="Arial Narrow" w:cs="Calibri"/>
          <w:color w:val="1F497D"/>
          <w:sz w:val="20"/>
          <w:szCs w:val="20"/>
          <w:lang w:val="en-GB"/>
        </w:rPr>
        <w:t xml:space="preserve"> </w:t>
      </w:r>
      <w:r w:rsidRPr="00430A79">
        <w:rPr>
          <w:rFonts w:ascii="Arial Narrow" w:eastAsia="Calibri" w:hAnsi="Arial Narrow" w:cs="Calibri"/>
          <w:color w:val="1F497D"/>
          <w:sz w:val="20"/>
          <w:szCs w:val="20"/>
          <w:lang w:val="en-GB"/>
        </w:rPr>
        <w:fldChar w:fldCharType="begin"/>
      </w:r>
      <w:r w:rsidRPr="00430A79">
        <w:rPr>
          <w:rFonts w:ascii="Arial Narrow" w:eastAsia="Calibri" w:hAnsi="Arial Narrow" w:cs="Calibri"/>
          <w:color w:val="1F497D"/>
          <w:sz w:val="20"/>
          <w:szCs w:val="20"/>
          <w:lang w:val="en-GB"/>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Pr>
          <w:rFonts w:ascii="Arial Narrow" w:eastAsia="Calibri" w:hAnsi="Arial Narrow" w:cs="Calibri"/>
          <w:noProof/>
          <w:color w:val="1F497D"/>
          <w:sz w:val="20"/>
          <w:szCs w:val="20"/>
          <w:lang w:val="en-GB"/>
        </w:rPr>
        <w:t xml:space="preserve">45. </w:t>
      </w:r>
      <w:r w:rsidRPr="00430A79">
        <w:rPr>
          <w:rFonts w:ascii="Arial Narrow" w:eastAsia="Calibri" w:hAnsi="Arial Narrow" w:cs="Calibri"/>
          <w:color w:val="1F497D"/>
          <w:sz w:val="20"/>
          <w:szCs w:val="20"/>
          <w:lang w:val="en-GB"/>
        </w:rPr>
        <w:fldChar w:fldCharType="end"/>
      </w:r>
      <w:proofErr w:type="spellStart"/>
      <w:r w:rsidRPr="00430A79">
        <w:rPr>
          <w:rFonts w:ascii="Arial Narrow" w:eastAsia="Calibri" w:hAnsi="Arial Narrow" w:cs="Calibri"/>
          <w:color w:val="1F497D"/>
          <w:sz w:val="20"/>
          <w:szCs w:val="20"/>
          <w:lang w:val="en-GB"/>
        </w:rPr>
        <w:t>Numri</w:t>
      </w:r>
      <w:proofErr w:type="spellEnd"/>
      <w:r w:rsidRPr="00430A79">
        <w:rPr>
          <w:rFonts w:ascii="Arial Narrow" w:eastAsia="Calibri" w:hAnsi="Arial Narrow" w:cs="Calibri"/>
          <w:color w:val="1F497D"/>
          <w:sz w:val="20"/>
          <w:szCs w:val="20"/>
          <w:lang w:val="en-GB"/>
        </w:rPr>
        <w:t xml:space="preserve"> i </w:t>
      </w:r>
      <w:proofErr w:type="spellStart"/>
      <w:r w:rsidR="003C390F">
        <w:rPr>
          <w:rFonts w:ascii="Arial Narrow" w:eastAsia="Calibri" w:hAnsi="Arial Narrow" w:cs="Calibri"/>
          <w:color w:val="1F497D"/>
          <w:sz w:val="20"/>
          <w:szCs w:val="20"/>
          <w:lang w:val="en-GB"/>
        </w:rPr>
        <w:t>nevojshëm</w:t>
      </w:r>
      <w:proofErr w:type="spellEnd"/>
      <w:r w:rsidR="003C390F">
        <w:rPr>
          <w:rFonts w:ascii="Arial Narrow" w:eastAsia="Calibri" w:hAnsi="Arial Narrow" w:cs="Calibri"/>
          <w:color w:val="1F497D"/>
          <w:sz w:val="20"/>
          <w:szCs w:val="20"/>
          <w:lang w:val="en-GB"/>
        </w:rPr>
        <w:t xml:space="preserve"> i </w:t>
      </w:r>
      <w:proofErr w:type="spellStart"/>
      <w:r w:rsidRPr="00430A79">
        <w:rPr>
          <w:rFonts w:ascii="Arial Narrow" w:eastAsia="Calibri" w:hAnsi="Arial Narrow" w:cs="Calibri"/>
          <w:color w:val="1F497D"/>
          <w:sz w:val="20"/>
          <w:szCs w:val="20"/>
          <w:lang w:val="en-GB"/>
        </w:rPr>
        <w:t>kontejnerëve</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dhe</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automjeteve</w:t>
      </w:r>
      <w:proofErr w:type="spellEnd"/>
      <w:r w:rsidRPr="00430A79">
        <w:rPr>
          <w:rFonts w:ascii="Arial Narrow" w:eastAsia="Calibri" w:hAnsi="Arial Narrow" w:cs="Calibri"/>
          <w:color w:val="1F497D"/>
          <w:sz w:val="20"/>
          <w:szCs w:val="20"/>
          <w:lang w:val="en-GB"/>
        </w:rPr>
        <w:t xml:space="preserve"> </w:t>
      </w:r>
      <w:proofErr w:type="spellStart"/>
      <w:r w:rsidR="003C390F">
        <w:rPr>
          <w:rFonts w:ascii="Arial Narrow" w:eastAsia="Calibri" w:hAnsi="Arial Narrow" w:cs="Calibri"/>
          <w:color w:val="1F497D"/>
          <w:sz w:val="20"/>
          <w:szCs w:val="20"/>
          <w:lang w:val="en-GB"/>
        </w:rPr>
        <w:t>grumbulluese</w:t>
      </w:r>
      <w:bookmarkEnd w:id="314"/>
      <w:bookmarkEnd w:id="315"/>
      <w:proofErr w:type="spellEnd"/>
    </w:p>
    <w:tbl>
      <w:tblPr>
        <w:tblStyle w:val="TableGrid"/>
        <w:tblW w:w="5000" w:type="pct"/>
        <w:tblLook w:val="04A0" w:firstRow="1" w:lastRow="0" w:firstColumn="1" w:lastColumn="0" w:noHBand="0" w:noVBand="1"/>
      </w:tblPr>
      <w:tblGrid>
        <w:gridCol w:w="3596"/>
        <w:gridCol w:w="1078"/>
        <w:gridCol w:w="1156"/>
        <w:gridCol w:w="1096"/>
        <w:gridCol w:w="1078"/>
        <w:gridCol w:w="1012"/>
      </w:tblGrid>
      <w:tr w:rsidR="00430A79" w:rsidRPr="00430A79" w14:paraId="4DA8C464" w14:textId="77777777" w:rsidTr="00750949">
        <w:tc>
          <w:tcPr>
            <w:tcW w:w="1994" w:type="pct"/>
            <w:shd w:val="clear" w:color="auto" w:fill="365F91"/>
          </w:tcPr>
          <w:p w14:paraId="3C91F80A" w14:textId="77777777" w:rsidR="00430A79" w:rsidRPr="00430A79" w:rsidRDefault="00430A79" w:rsidP="00430A79">
            <w:pPr>
              <w:widowControl w:val="0"/>
              <w:autoSpaceDE w:val="0"/>
              <w:autoSpaceDN w:val="0"/>
              <w:spacing w:before="60" w:after="60"/>
              <w:rPr>
                <w:rFonts w:eastAsia="Calibri" w:cs="Calibri"/>
                <w:b/>
                <w:color w:val="FFFFFF"/>
                <w:sz w:val="20"/>
                <w:szCs w:val="20"/>
              </w:rPr>
            </w:pPr>
            <w:r w:rsidRPr="00430A79">
              <w:rPr>
                <w:rFonts w:ascii="Arial Narrow" w:eastAsia="Calibri" w:hAnsi="Arial Narrow" w:cs="Calibri"/>
                <w:b/>
                <w:color w:val="FFFFFF"/>
                <w:sz w:val="20"/>
                <w:szCs w:val="20"/>
              </w:rPr>
              <w:t>Parametri</w:t>
            </w:r>
          </w:p>
        </w:tc>
        <w:tc>
          <w:tcPr>
            <w:tcW w:w="598" w:type="pct"/>
            <w:shd w:val="clear" w:color="auto" w:fill="365F91"/>
          </w:tcPr>
          <w:p w14:paraId="46E561F6" w14:textId="77777777" w:rsidR="00430A79" w:rsidRPr="00430A79" w:rsidRDefault="00430A79" w:rsidP="00430A79">
            <w:pPr>
              <w:widowControl w:val="0"/>
              <w:autoSpaceDE w:val="0"/>
              <w:autoSpaceDN w:val="0"/>
              <w:spacing w:before="60" w:after="60"/>
              <w:rPr>
                <w:rFonts w:eastAsia="Calibri" w:cs="Calibri"/>
                <w:b/>
                <w:color w:val="FFFFFF"/>
                <w:sz w:val="20"/>
                <w:szCs w:val="20"/>
              </w:rPr>
            </w:pPr>
            <w:r w:rsidRPr="00430A79">
              <w:rPr>
                <w:rFonts w:ascii="Arial Narrow" w:eastAsia="Calibri" w:hAnsi="Arial Narrow" w:cs="Calibri"/>
                <w:b/>
                <w:color w:val="FFFFFF"/>
                <w:sz w:val="20"/>
                <w:szCs w:val="20"/>
              </w:rPr>
              <w:t>Pejë</w:t>
            </w:r>
          </w:p>
        </w:tc>
        <w:tc>
          <w:tcPr>
            <w:tcW w:w="641" w:type="pct"/>
            <w:shd w:val="clear" w:color="auto" w:fill="365F91"/>
          </w:tcPr>
          <w:p w14:paraId="68EBFB66" w14:textId="77777777" w:rsidR="00430A79" w:rsidRPr="00430A79" w:rsidRDefault="00430A79" w:rsidP="00430A79">
            <w:pPr>
              <w:widowControl w:val="0"/>
              <w:autoSpaceDE w:val="0"/>
              <w:autoSpaceDN w:val="0"/>
              <w:spacing w:before="60" w:after="60"/>
              <w:rPr>
                <w:rFonts w:eastAsia="Calibri" w:cs="Calibri"/>
                <w:b/>
                <w:color w:val="FFFFFF"/>
                <w:sz w:val="20"/>
                <w:szCs w:val="20"/>
              </w:rPr>
            </w:pPr>
            <w:r w:rsidRPr="00430A79">
              <w:rPr>
                <w:rFonts w:ascii="Arial Narrow" w:eastAsia="Calibri" w:hAnsi="Arial Narrow" w:cs="Calibri"/>
                <w:b/>
                <w:color w:val="FFFFFF"/>
                <w:sz w:val="20"/>
                <w:szCs w:val="20"/>
              </w:rPr>
              <w:t>Istog</w:t>
            </w:r>
            <w:r w:rsidRPr="00430A79">
              <w:rPr>
                <w:rFonts w:ascii="Arial" w:eastAsia="Calibri" w:hAnsi="Arial" w:cs="Calibri"/>
                <w:b/>
                <w:color w:val="4472C4" w:themeColor="accent1"/>
                <w:position w:val="6"/>
                <w:sz w:val="16"/>
                <w:szCs w:val="20"/>
              </w:rPr>
              <w:footnoteReference w:id="16"/>
            </w:r>
          </w:p>
        </w:tc>
        <w:tc>
          <w:tcPr>
            <w:tcW w:w="608" w:type="pct"/>
            <w:shd w:val="clear" w:color="auto" w:fill="365F91"/>
          </w:tcPr>
          <w:p w14:paraId="40185A83" w14:textId="0D37785B" w:rsidR="00430A79" w:rsidRPr="00430A79" w:rsidRDefault="00430A79" w:rsidP="00430A79">
            <w:pPr>
              <w:widowControl w:val="0"/>
              <w:autoSpaceDE w:val="0"/>
              <w:autoSpaceDN w:val="0"/>
              <w:spacing w:before="60" w:after="60"/>
              <w:rPr>
                <w:rFonts w:eastAsia="Calibri" w:cs="Calibri"/>
                <w:b/>
                <w:color w:val="FFFFFF"/>
                <w:sz w:val="20"/>
                <w:szCs w:val="20"/>
              </w:rPr>
            </w:pPr>
            <w:r w:rsidRPr="00430A79">
              <w:rPr>
                <w:rFonts w:ascii="Arial Narrow" w:eastAsia="Calibri" w:hAnsi="Arial Narrow" w:cs="Calibri"/>
                <w:b/>
                <w:color w:val="FFFFFF"/>
                <w:sz w:val="20"/>
                <w:szCs w:val="20"/>
              </w:rPr>
              <w:t>Klin</w:t>
            </w:r>
            <w:r w:rsidR="003C390F">
              <w:rPr>
                <w:rFonts w:ascii="Arial Narrow" w:eastAsia="Calibri" w:hAnsi="Arial Narrow" w:cs="Calibri"/>
                <w:b/>
                <w:color w:val="FFFFFF"/>
                <w:sz w:val="20"/>
                <w:szCs w:val="20"/>
              </w:rPr>
              <w:t>ë</w:t>
            </w:r>
          </w:p>
        </w:tc>
        <w:tc>
          <w:tcPr>
            <w:tcW w:w="598" w:type="pct"/>
            <w:shd w:val="clear" w:color="auto" w:fill="365F91"/>
          </w:tcPr>
          <w:p w14:paraId="015520FF" w14:textId="39A4438B" w:rsidR="00430A79" w:rsidRPr="00430A79" w:rsidRDefault="00430A79" w:rsidP="00430A79">
            <w:pPr>
              <w:widowControl w:val="0"/>
              <w:autoSpaceDE w:val="0"/>
              <w:autoSpaceDN w:val="0"/>
              <w:spacing w:before="60" w:after="60"/>
              <w:rPr>
                <w:rFonts w:eastAsia="Calibri" w:cs="Calibri"/>
                <w:b/>
                <w:color w:val="FFFFFF"/>
                <w:sz w:val="20"/>
                <w:szCs w:val="20"/>
              </w:rPr>
            </w:pPr>
            <w:r w:rsidRPr="00430A79">
              <w:rPr>
                <w:rFonts w:ascii="Arial Narrow" w:eastAsia="Calibri" w:hAnsi="Arial Narrow" w:cs="Calibri"/>
                <w:b/>
                <w:color w:val="FFFFFF"/>
                <w:sz w:val="20"/>
                <w:szCs w:val="20"/>
              </w:rPr>
              <w:t>De</w:t>
            </w:r>
            <w:r w:rsidR="003C390F">
              <w:rPr>
                <w:rFonts w:ascii="Arial Narrow" w:eastAsia="Calibri" w:hAnsi="Arial Narrow" w:cs="Calibri"/>
                <w:b/>
                <w:color w:val="FFFFFF"/>
                <w:sz w:val="20"/>
                <w:szCs w:val="20"/>
              </w:rPr>
              <w:t>ç</w:t>
            </w:r>
            <w:r w:rsidRPr="00430A79">
              <w:rPr>
                <w:rFonts w:ascii="Arial Narrow" w:eastAsia="Calibri" w:hAnsi="Arial Narrow" w:cs="Calibri"/>
                <w:b/>
                <w:color w:val="FFFFFF"/>
                <w:sz w:val="20"/>
                <w:szCs w:val="20"/>
              </w:rPr>
              <w:t>an</w:t>
            </w:r>
            <w:r w:rsidRPr="00430A79">
              <w:rPr>
                <w:rFonts w:ascii="Arial" w:eastAsia="Calibri" w:hAnsi="Arial" w:cs="Calibri"/>
                <w:b/>
                <w:color w:val="4472C4" w:themeColor="accent1"/>
                <w:position w:val="6"/>
                <w:sz w:val="16"/>
                <w:szCs w:val="20"/>
              </w:rPr>
              <w:footnoteReference w:id="17"/>
            </w:r>
          </w:p>
        </w:tc>
        <w:tc>
          <w:tcPr>
            <w:tcW w:w="561" w:type="pct"/>
            <w:shd w:val="clear" w:color="auto" w:fill="365F91"/>
          </w:tcPr>
          <w:p w14:paraId="39DF7C1A" w14:textId="77777777" w:rsidR="00430A79" w:rsidRPr="00430A79" w:rsidRDefault="00430A79" w:rsidP="00430A79">
            <w:pPr>
              <w:widowControl w:val="0"/>
              <w:autoSpaceDE w:val="0"/>
              <w:autoSpaceDN w:val="0"/>
              <w:spacing w:before="60" w:after="60"/>
              <w:rPr>
                <w:rFonts w:eastAsia="Calibri" w:cs="Calibri"/>
                <w:b/>
                <w:color w:val="FFFFFF"/>
                <w:sz w:val="20"/>
                <w:szCs w:val="20"/>
              </w:rPr>
            </w:pPr>
            <w:r w:rsidRPr="00430A79">
              <w:rPr>
                <w:rFonts w:ascii="Arial Narrow" w:eastAsia="Calibri" w:hAnsi="Arial Narrow" w:cs="Calibri"/>
                <w:b/>
                <w:color w:val="FFFFFF"/>
                <w:sz w:val="20"/>
                <w:szCs w:val="20"/>
              </w:rPr>
              <w:t>Junik</w:t>
            </w:r>
            <w:r w:rsidRPr="00430A79">
              <w:rPr>
                <w:rFonts w:ascii="Arial" w:eastAsia="Calibri" w:hAnsi="Arial" w:cs="Calibri"/>
                <w:b/>
                <w:color w:val="4472C4" w:themeColor="accent1"/>
                <w:position w:val="6"/>
                <w:sz w:val="16"/>
                <w:szCs w:val="20"/>
              </w:rPr>
              <w:footnoteReference w:id="18"/>
            </w:r>
          </w:p>
        </w:tc>
      </w:tr>
      <w:tr w:rsidR="003C390F" w:rsidRPr="00430A79" w14:paraId="3ACBF3F9" w14:textId="77777777" w:rsidTr="00D03949">
        <w:tc>
          <w:tcPr>
            <w:tcW w:w="1994" w:type="pct"/>
          </w:tcPr>
          <w:p w14:paraId="5E83188D" w14:textId="2D8C31CB" w:rsidR="003C390F" w:rsidRPr="00430A79" w:rsidRDefault="003C390F" w:rsidP="003C390F">
            <w:pPr>
              <w:widowControl w:val="0"/>
              <w:autoSpaceDE w:val="0"/>
              <w:autoSpaceDN w:val="0"/>
              <w:spacing w:before="60" w:after="60"/>
              <w:ind w:right="123"/>
              <w:rPr>
                <w:rFonts w:eastAsia="Calibri" w:cs="Calibri"/>
                <w:sz w:val="20"/>
                <w:szCs w:val="20"/>
              </w:rPr>
            </w:pPr>
            <w:r w:rsidRPr="00BE2534">
              <w:rPr>
                <w:rFonts w:ascii="Arial Narrow" w:eastAsia="Calibri" w:hAnsi="Arial Narrow" w:cs="Calibri"/>
                <w:sz w:val="20"/>
                <w:szCs w:val="20"/>
                <w:lang w:val="sq-AL"/>
              </w:rPr>
              <w:t>Kontejnerë 1.1 m³ të instaluar</w:t>
            </w:r>
          </w:p>
        </w:tc>
        <w:tc>
          <w:tcPr>
            <w:tcW w:w="598" w:type="pct"/>
          </w:tcPr>
          <w:p w14:paraId="6651CC76"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763</w:t>
            </w:r>
          </w:p>
        </w:tc>
        <w:tc>
          <w:tcPr>
            <w:tcW w:w="641" w:type="pct"/>
          </w:tcPr>
          <w:p w14:paraId="6B1DB2A4"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54</w:t>
            </w:r>
          </w:p>
        </w:tc>
        <w:tc>
          <w:tcPr>
            <w:tcW w:w="608" w:type="pct"/>
          </w:tcPr>
          <w:p w14:paraId="6D5B2D5E"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40</w:t>
            </w:r>
          </w:p>
        </w:tc>
        <w:tc>
          <w:tcPr>
            <w:tcW w:w="598" w:type="pct"/>
          </w:tcPr>
          <w:p w14:paraId="5DE86FA6"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24</w:t>
            </w:r>
          </w:p>
        </w:tc>
        <w:tc>
          <w:tcPr>
            <w:tcW w:w="561" w:type="pct"/>
          </w:tcPr>
          <w:p w14:paraId="391020ED"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w:t>
            </w:r>
          </w:p>
        </w:tc>
      </w:tr>
      <w:tr w:rsidR="003C390F" w:rsidRPr="00430A79" w14:paraId="0C364B45" w14:textId="77777777" w:rsidTr="00D03949">
        <w:tc>
          <w:tcPr>
            <w:tcW w:w="1994" w:type="pct"/>
          </w:tcPr>
          <w:p w14:paraId="3D5B630F" w14:textId="351FDB48" w:rsidR="003C390F" w:rsidRPr="00430A79" w:rsidRDefault="003C390F" w:rsidP="003C390F">
            <w:pPr>
              <w:widowControl w:val="0"/>
              <w:autoSpaceDE w:val="0"/>
              <w:autoSpaceDN w:val="0"/>
              <w:spacing w:before="60" w:after="60"/>
              <w:ind w:right="123"/>
              <w:rPr>
                <w:rFonts w:eastAsia="Calibri" w:cs="Calibri"/>
                <w:sz w:val="20"/>
                <w:szCs w:val="20"/>
              </w:rPr>
            </w:pPr>
            <w:r w:rsidRPr="00BE2534">
              <w:rPr>
                <w:rFonts w:ascii="Arial Narrow" w:eastAsia="Calibri" w:hAnsi="Arial Narrow" w:cs="Calibri"/>
                <w:sz w:val="20"/>
                <w:szCs w:val="20"/>
                <w:lang w:val="sq-AL"/>
              </w:rPr>
              <w:t>Kontejnerë 1.1 m³ për t'u blerë</w:t>
            </w:r>
          </w:p>
        </w:tc>
        <w:tc>
          <w:tcPr>
            <w:tcW w:w="598" w:type="pct"/>
          </w:tcPr>
          <w:p w14:paraId="75F41ADA"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801</w:t>
            </w:r>
          </w:p>
        </w:tc>
        <w:tc>
          <w:tcPr>
            <w:tcW w:w="641" w:type="pct"/>
          </w:tcPr>
          <w:p w14:paraId="30B70652"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57</w:t>
            </w:r>
          </w:p>
        </w:tc>
        <w:tc>
          <w:tcPr>
            <w:tcW w:w="608" w:type="pct"/>
          </w:tcPr>
          <w:p w14:paraId="787A4BA1"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42</w:t>
            </w:r>
          </w:p>
        </w:tc>
        <w:tc>
          <w:tcPr>
            <w:tcW w:w="598" w:type="pct"/>
          </w:tcPr>
          <w:p w14:paraId="06B46983"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25</w:t>
            </w:r>
          </w:p>
        </w:tc>
        <w:tc>
          <w:tcPr>
            <w:tcW w:w="561" w:type="pct"/>
          </w:tcPr>
          <w:p w14:paraId="52406A2E"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w:t>
            </w:r>
          </w:p>
        </w:tc>
      </w:tr>
      <w:tr w:rsidR="003C390F" w:rsidRPr="00430A79" w14:paraId="64DCE42D" w14:textId="77777777" w:rsidTr="00D03949">
        <w:tc>
          <w:tcPr>
            <w:tcW w:w="1994" w:type="pct"/>
          </w:tcPr>
          <w:p w14:paraId="19F24067" w14:textId="13A4BE36" w:rsidR="003C390F" w:rsidRPr="00430A79" w:rsidRDefault="003C390F" w:rsidP="003C390F">
            <w:pPr>
              <w:widowControl w:val="0"/>
              <w:autoSpaceDE w:val="0"/>
              <w:autoSpaceDN w:val="0"/>
              <w:spacing w:before="60" w:after="60"/>
              <w:ind w:right="123"/>
              <w:rPr>
                <w:rFonts w:eastAsia="Calibri" w:cs="Calibri"/>
                <w:sz w:val="20"/>
                <w:szCs w:val="20"/>
              </w:rPr>
            </w:pPr>
            <w:r w:rsidRPr="00BE2534">
              <w:rPr>
                <w:rFonts w:ascii="Arial Narrow" w:eastAsia="Calibri" w:hAnsi="Arial Narrow" w:cs="Calibri"/>
                <w:sz w:val="20"/>
                <w:szCs w:val="20"/>
                <w:lang w:val="sq-AL"/>
              </w:rPr>
              <w:t>Shporta 240 l të instaluara</w:t>
            </w:r>
          </w:p>
        </w:tc>
        <w:tc>
          <w:tcPr>
            <w:tcW w:w="598" w:type="pct"/>
          </w:tcPr>
          <w:p w14:paraId="7D9D7AF1"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12,307</w:t>
            </w:r>
          </w:p>
        </w:tc>
        <w:tc>
          <w:tcPr>
            <w:tcW w:w="641" w:type="pct"/>
          </w:tcPr>
          <w:p w14:paraId="1D82735A"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6,743</w:t>
            </w:r>
          </w:p>
        </w:tc>
        <w:tc>
          <w:tcPr>
            <w:tcW w:w="608" w:type="pct"/>
          </w:tcPr>
          <w:p w14:paraId="30900AA7"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4,439</w:t>
            </w:r>
          </w:p>
        </w:tc>
        <w:tc>
          <w:tcPr>
            <w:tcW w:w="598" w:type="pct"/>
          </w:tcPr>
          <w:p w14:paraId="20F58309"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4,315</w:t>
            </w:r>
          </w:p>
        </w:tc>
        <w:tc>
          <w:tcPr>
            <w:tcW w:w="561" w:type="pct"/>
          </w:tcPr>
          <w:p w14:paraId="05B0A5FF"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584</w:t>
            </w:r>
          </w:p>
        </w:tc>
      </w:tr>
      <w:tr w:rsidR="003C390F" w:rsidRPr="00430A79" w14:paraId="7594D5A1" w14:textId="77777777" w:rsidTr="00D03949">
        <w:tc>
          <w:tcPr>
            <w:tcW w:w="1994" w:type="pct"/>
          </w:tcPr>
          <w:p w14:paraId="092A8990" w14:textId="55A19FED" w:rsidR="003C390F" w:rsidRPr="00430A79" w:rsidRDefault="003C390F" w:rsidP="003C390F">
            <w:pPr>
              <w:widowControl w:val="0"/>
              <w:autoSpaceDE w:val="0"/>
              <w:autoSpaceDN w:val="0"/>
              <w:spacing w:before="60" w:after="60"/>
              <w:ind w:right="123"/>
              <w:rPr>
                <w:rFonts w:eastAsia="Calibri" w:cs="Calibri"/>
                <w:sz w:val="20"/>
                <w:szCs w:val="20"/>
              </w:rPr>
            </w:pPr>
            <w:r w:rsidRPr="00BE2534">
              <w:rPr>
                <w:rFonts w:ascii="Arial Narrow" w:eastAsia="Calibri" w:hAnsi="Arial Narrow" w:cs="Calibri"/>
                <w:sz w:val="20"/>
                <w:szCs w:val="20"/>
                <w:lang w:val="sq-AL"/>
              </w:rPr>
              <w:t>Shporta 240 l të blera</w:t>
            </w:r>
          </w:p>
        </w:tc>
        <w:tc>
          <w:tcPr>
            <w:tcW w:w="598" w:type="pct"/>
          </w:tcPr>
          <w:p w14:paraId="3FEC0C6A"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12,922</w:t>
            </w:r>
          </w:p>
        </w:tc>
        <w:tc>
          <w:tcPr>
            <w:tcW w:w="641" w:type="pct"/>
          </w:tcPr>
          <w:p w14:paraId="5DA513B3"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7,080</w:t>
            </w:r>
          </w:p>
        </w:tc>
        <w:tc>
          <w:tcPr>
            <w:tcW w:w="608" w:type="pct"/>
          </w:tcPr>
          <w:p w14:paraId="20F1A806"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4,661</w:t>
            </w:r>
          </w:p>
        </w:tc>
        <w:tc>
          <w:tcPr>
            <w:tcW w:w="598" w:type="pct"/>
          </w:tcPr>
          <w:p w14:paraId="71C7BA87"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4,531</w:t>
            </w:r>
          </w:p>
        </w:tc>
        <w:tc>
          <w:tcPr>
            <w:tcW w:w="561" w:type="pct"/>
          </w:tcPr>
          <w:p w14:paraId="164BD0C5"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613</w:t>
            </w:r>
          </w:p>
        </w:tc>
      </w:tr>
      <w:tr w:rsidR="003C390F" w:rsidRPr="00430A79" w14:paraId="04C51148" w14:textId="77777777" w:rsidTr="00D03949">
        <w:tc>
          <w:tcPr>
            <w:tcW w:w="1994" w:type="pct"/>
          </w:tcPr>
          <w:p w14:paraId="69D466F0" w14:textId="594C63AF"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Automjete grumbullimi 16 m³ që operojnë në zona urbane</w:t>
            </w:r>
          </w:p>
        </w:tc>
        <w:tc>
          <w:tcPr>
            <w:tcW w:w="598" w:type="pct"/>
          </w:tcPr>
          <w:p w14:paraId="147E034B"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3.8</w:t>
            </w:r>
          </w:p>
        </w:tc>
        <w:tc>
          <w:tcPr>
            <w:tcW w:w="641" w:type="pct"/>
          </w:tcPr>
          <w:p w14:paraId="4151229F"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0.2</w:t>
            </w:r>
          </w:p>
        </w:tc>
        <w:tc>
          <w:tcPr>
            <w:tcW w:w="608" w:type="pct"/>
          </w:tcPr>
          <w:p w14:paraId="60AA0773"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0.2</w:t>
            </w:r>
          </w:p>
        </w:tc>
        <w:tc>
          <w:tcPr>
            <w:tcW w:w="598" w:type="pct"/>
          </w:tcPr>
          <w:p w14:paraId="75ECB0DF"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0.1</w:t>
            </w:r>
          </w:p>
        </w:tc>
        <w:tc>
          <w:tcPr>
            <w:tcW w:w="561" w:type="pct"/>
          </w:tcPr>
          <w:p w14:paraId="144A6302"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r>
      <w:tr w:rsidR="003C390F" w:rsidRPr="00430A79" w14:paraId="6BF6FBCD" w14:textId="77777777" w:rsidTr="00D03949">
        <w:tc>
          <w:tcPr>
            <w:tcW w:w="1994" w:type="pct"/>
          </w:tcPr>
          <w:p w14:paraId="1734AA8F" w14:textId="282AE866"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Automjete grumbullimi 16 m³ që operojnë në zona rurale</w:t>
            </w:r>
          </w:p>
        </w:tc>
        <w:tc>
          <w:tcPr>
            <w:tcW w:w="598" w:type="pct"/>
          </w:tcPr>
          <w:p w14:paraId="5A7FFAA7"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7.6</w:t>
            </w:r>
          </w:p>
        </w:tc>
        <w:tc>
          <w:tcPr>
            <w:tcW w:w="641" w:type="pct"/>
          </w:tcPr>
          <w:p w14:paraId="7ABFB62D"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3.3</w:t>
            </w:r>
          </w:p>
        </w:tc>
        <w:tc>
          <w:tcPr>
            <w:tcW w:w="608" w:type="pct"/>
          </w:tcPr>
          <w:p w14:paraId="27BCD090"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3,9</w:t>
            </w:r>
          </w:p>
        </w:tc>
        <w:tc>
          <w:tcPr>
            <w:tcW w:w="598" w:type="pct"/>
          </w:tcPr>
          <w:p w14:paraId="1199F3AA"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2.1</w:t>
            </w:r>
          </w:p>
        </w:tc>
        <w:tc>
          <w:tcPr>
            <w:tcW w:w="561" w:type="pct"/>
          </w:tcPr>
          <w:p w14:paraId="5A2581F2"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0.3</w:t>
            </w:r>
          </w:p>
        </w:tc>
      </w:tr>
      <w:tr w:rsidR="003C390F" w:rsidRPr="00430A79" w14:paraId="57909A87" w14:textId="77777777" w:rsidTr="00D03949">
        <w:tc>
          <w:tcPr>
            <w:tcW w:w="1994" w:type="pct"/>
          </w:tcPr>
          <w:p w14:paraId="7D26CDF9" w14:textId="70322772" w:rsidR="003C390F" w:rsidRPr="00430A79" w:rsidRDefault="003C390F" w:rsidP="003C390F">
            <w:pPr>
              <w:widowControl w:val="0"/>
              <w:autoSpaceDE w:val="0"/>
              <w:autoSpaceDN w:val="0"/>
              <w:spacing w:before="60" w:after="60"/>
              <w:ind w:right="123"/>
              <w:rPr>
                <w:rFonts w:eastAsia="Calibri" w:cs="Calibri"/>
                <w:sz w:val="20"/>
                <w:szCs w:val="20"/>
              </w:rPr>
            </w:pPr>
            <w:r w:rsidRPr="00BE2534">
              <w:rPr>
                <w:rFonts w:ascii="Arial Narrow" w:eastAsia="Calibri" w:hAnsi="Arial Narrow" w:cs="Calibri"/>
                <w:sz w:val="20"/>
                <w:szCs w:val="20"/>
                <w:lang w:val="sq-AL"/>
              </w:rPr>
              <w:t xml:space="preserve">Automjete grumbullimi 16 m³ të blera </w:t>
            </w:r>
          </w:p>
        </w:tc>
        <w:tc>
          <w:tcPr>
            <w:tcW w:w="598" w:type="pct"/>
          </w:tcPr>
          <w:p w14:paraId="54B8B5E1"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12</w:t>
            </w:r>
          </w:p>
        </w:tc>
        <w:tc>
          <w:tcPr>
            <w:tcW w:w="641" w:type="pct"/>
          </w:tcPr>
          <w:p w14:paraId="4D264C48"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4</w:t>
            </w:r>
          </w:p>
        </w:tc>
        <w:tc>
          <w:tcPr>
            <w:tcW w:w="608" w:type="pct"/>
          </w:tcPr>
          <w:p w14:paraId="5149544D"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5</w:t>
            </w:r>
          </w:p>
        </w:tc>
        <w:tc>
          <w:tcPr>
            <w:tcW w:w="598" w:type="pct"/>
          </w:tcPr>
          <w:p w14:paraId="0533E844"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3</w:t>
            </w:r>
          </w:p>
        </w:tc>
        <w:tc>
          <w:tcPr>
            <w:tcW w:w="561" w:type="pct"/>
          </w:tcPr>
          <w:p w14:paraId="33622776" w14:textId="77777777" w:rsidR="003C390F" w:rsidRPr="00430A79" w:rsidRDefault="003C390F" w:rsidP="003C390F">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w:t>
            </w:r>
          </w:p>
        </w:tc>
      </w:tr>
    </w:tbl>
    <w:p w14:paraId="618523E1" w14:textId="77777777" w:rsidR="00430A79" w:rsidRPr="003C390F" w:rsidRDefault="00430A79" w:rsidP="00430A79">
      <w:pPr>
        <w:jc w:val="both"/>
        <w:rPr>
          <w:rFonts w:ascii="Arial Narrow" w:eastAsia="Calibri" w:hAnsi="Arial Narrow" w:cs="Calibri"/>
          <w:color w:val="000000" w:themeColor="text1"/>
          <w:sz w:val="22"/>
          <w:szCs w:val="22"/>
          <w:lang w:val="en-GB"/>
        </w:rPr>
      </w:pPr>
    </w:p>
    <w:p w14:paraId="4BBE4BB9" w14:textId="3901C325" w:rsidR="00430A79" w:rsidRPr="003C390F" w:rsidRDefault="003C390F" w:rsidP="00430A79">
      <w:pPr>
        <w:spacing w:after="120"/>
        <w:jc w:val="both"/>
        <w:rPr>
          <w:rFonts w:ascii="Arial Narrow" w:eastAsia="Calibri" w:hAnsi="Arial Narrow" w:cs="Calibri"/>
          <w:color w:val="000000" w:themeColor="text1"/>
          <w:sz w:val="22"/>
          <w:szCs w:val="22"/>
          <w:lang w:val="en-GB"/>
        </w:rPr>
      </w:pPr>
      <w:r w:rsidRPr="003C390F">
        <w:rPr>
          <w:rFonts w:ascii="Arial Narrow" w:eastAsia="Calibri" w:hAnsi="Arial Narrow" w:cs="Calibri"/>
          <w:sz w:val="22"/>
          <w:szCs w:val="22"/>
          <w:lang w:val="sq-AL"/>
        </w:rPr>
        <w:t>Kostot e investimit dhe ato operacionale për grumbullimin e mbeturinave të përziera komunale janë paraqitur në tabelën e mëposhtme</w:t>
      </w:r>
      <w:r w:rsidR="00430A79" w:rsidRPr="003C390F">
        <w:rPr>
          <w:rFonts w:ascii="Arial Narrow" w:eastAsia="Calibri" w:hAnsi="Arial Narrow" w:cs="Calibri"/>
          <w:color w:val="000000" w:themeColor="text1"/>
          <w:sz w:val="22"/>
          <w:szCs w:val="22"/>
          <w:lang w:val="en-GB"/>
        </w:rPr>
        <w:t>.</w:t>
      </w:r>
    </w:p>
    <w:p w14:paraId="5E6BE201" w14:textId="1AF6AA46" w:rsidR="00430A79" w:rsidRPr="00430A79" w:rsidRDefault="00430A79" w:rsidP="00430A79">
      <w:pPr>
        <w:spacing w:after="120"/>
        <w:jc w:val="both"/>
        <w:rPr>
          <w:rFonts w:ascii="Arial Narrow" w:eastAsia="Calibri" w:hAnsi="Arial Narrow" w:cs="Calibri"/>
          <w:color w:val="1F497D"/>
          <w:sz w:val="20"/>
          <w:szCs w:val="20"/>
          <w:lang w:val="en-GB"/>
        </w:rPr>
      </w:pPr>
      <w:bookmarkStart w:id="316" w:name="_Toc185866202"/>
      <w:bookmarkStart w:id="317" w:name="_Toc197472231"/>
      <w:proofErr w:type="spellStart"/>
      <w:r w:rsidRPr="00430A79">
        <w:rPr>
          <w:rFonts w:ascii="Arial Narrow" w:eastAsia="Calibri" w:hAnsi="Arial Narrow" w:cs="Calibri"/>
          <w:color w:val="1F497D"/>
          <w:sz w:val="20"/>
          <w:szCs w:val="20"/>
          <w:lang w:val="en-GB"/>
        </w:rPr>
        <w:t>Tabela</w:t>
      </w:r>
      <w:proofErr w:type="spellEnd"/>
      <w:r w:rsidRPr="00430A79">
        <w:rPr>
          <w:rFonts w:ascii="Arial Narrow" w:eastAsia="Calibri" w:hAnsi="Arial Narrow" w:cs="Calibri"/>
          <w:color w:val="1F497D"/>
          <w:sz w:val="20"/>
          <w:szCs w:val="20"/>
          <w:lang w:val="en-GB"/>
        </w:rPr>
        <w:t xml:space="preserve"> </w:t>
      </w:r>
      <w:r w:rsidRPr="00430A79">
        <w:rPr>
          <w:rFonts w:ascii="Arial Narrow" w:eastAsia="Calibri" w:hAnsi="Arial Narrow" w:cs="Calibri"/>
          <w:color w:val="1F497D"/>
          <w:sz w:val="20"/>
          <w:szCs w:val="20"/>
          <w:lang w:val="en-GB"/>
        </w:rPr>
        <w:fldChar w:fldCharType="begin"/>
      </w:r>
      <w:r w:rsidRPr="00430A79">
        <w:rPr>
          <w:rFonts w:ascii="Arial Narrow" w:eastAsia="Calibri" w:hAnsi="Arial Narrow" w:cs="Calibri"/>
          <w:color w:val="1F497D"/>
          <w:sz w:val="20"/>
          <w:szCs w:val="20"/>
          <w:lang w:val="en-GB"/>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Pr>
          <w:rFonts w:ascii="Arial Narrow" w:eastAsia="Calibri" w:hAnsi="Arial Narrow" w:cs="Calibri"/>
          <w:noProof/>
          <w:color w:val="1F497D"/>
          <w:sz w:val="20"/>
          <w:szCs w:val="20"/>
          <w:lang w:val="en-GB"/>
        </w:rPr>
        <w:t xml:space="preserve">46. </w:t>
      </w:r>
      <w:r w:rsidRPr="00430A79">
        <w:rPr>
          <w:rFonts w:ascii="Arial Narrow" w:eastAsia="Calibri" w:hAnsi="Arial Narrow" w:cs="Calibri"/>
          <w:color w:val="1F497D"/>
          <w:sz w:val="20"/>
          <w:szCs w:val="20"/>
          <w:lang w:val="en-GB"/>
        </w:rPr>
        <w:fldChar w:fldCharType="end"/>
      </w:r>
      <w:proofErr w:type="spellStart"/>
      <w:r w:rsidRPr="00430A79">
        <w:rPr>
          <w:rFonts w:ascii="Arial Narrow" w:eastAsia="Calibri" w:hAnsi="Arial Narrow" w:cs="Calibri"/>
          <w:color w:val="1F497D"/>
          <w:sz w:val="20"/>
          <w:szCs w:val="20"/>
          <w:lang w:val="en-GB"/>
        </w:rPr>
        <w:t>Vlerësimet</w:t>
      </w:r>
      <w:proofErr w:type="spellEnd"/>
      <w:r w:rsidRPr="00430A79">
        <w:rPr>
          <w:rFonts w:ascii="Arial Narrow" w:eastAsia="Calibri" w:hAnsi="Arial Narrow" w:cs="Calibri"/>
          <w:color w:val="1F497D"/>
          <w:sz w:val="20"/>
          <w:szCs w:val="20"/>
          <w:lang w:val="en-GB"/>
        </w:rPr>
        <w:t xml:space="preserve"> e </w:t>
      </w:r>
      <w:proofErr w:type="spellStart"/>
      <w:r w:rsidRPr="00430A79">
        <w:rPr>
          <w:rFonts w:ascii="Arial Narrow" w:eastAsia="Calibri" w:hAnsi="Arial Narrow" w:cs="Calibri"/>
          <w:color w:val="1F497D"/>
          <w:sz w:val="20"/>
          <w:szCs w:val="20"/>
          <w:lang w:val="en-GB"/>
        </w:rPr>
        <w:t>kostos</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për</w:t>
      </w:r>
      <w:proofErr w:type="spellEnd"/>
      <w:r w:rsidRPr="00430A79">
        <w:rPr>
          <w:rFonts w:ascii="Arial Narrow" w:eastAsia="Calibri" w:hAnsi="Arial Narrow" w:cs="Calibri"/>
          <w:color w:val="1F497D"/>
          <w:sz w:val="20"/>
          <w:szCs w:val="20"/>
          <w:lang w:val="en-GB"/>
        </w:rPr>
        <w:t xml:space="preserve"> </w:t>
      </w:r>
      <w:proofErr w:type="spellStart"/>
      <w:r w:rsidR="003C390F">
        <w:rPr>
          <w:rFonts w:ascii="Arial Narrow" w:eastAsia="Calibri" w:hAnsi="Arial Narrow" w:cs="Calibri"/>
          <w:color w:val="1F497D"/>
          <w:sz w:val="20"/>
          <w:szCs w:val="20"/>
          <w:lang w:val="en-GB"/>
        </w:rPr>
        <w:t>grumbullimin</w:t>
      </w:r>
      <w:proofErr w:type="spellEnd"/>
      <w:r w:rsidR="003C390F">
        <w:rPr>
          <w:rFonts w:ascii="Arial Narrow" w:eastAsia="Calibri" w:hAnsi="Arial Narrow" w:cs="Calibri"/>
          <w:color w:val="1F497D"/>
          <w:sz w:val="20"/>
          <w:szCs w:val="20"/>
          <w:lang w:val="en-GB"/>
        </w:rPr>
        <w:t xml:space="preserve"> e </w:t>
      </w:r>
      <w:proofErr w:type="spellStart"/>
      <w:r w:rsidRPr="00430A79">
        <w:rPr>
          <w:rFonts w:ascii="Arial Narrow" w:eastAsia="Calibri" w:hAnsi="Arial Narrow" w:cs="Calibri"/>
          <w:color w:val="1F497D"/>
          <w:sz w:val="20"/>
          <w:szCs w:val="20"/>
          <w:lang w:val="en-GB"/>
        </w:rPr>
        <w:t>mbeturinave</w:t>
      </w:r>
      <w:proofErr w:type="spellEnd"/>
      <w:r w:rsidRPr="00430A79">
        <w:rPr>
          <w:rFonts w:ascii="Arial Narrow" w:eastAsia="Calibri" w:hAnsi="Arial Narrow" w:cs="Calibri"/>
          <w:color w:val="1F497D"/>
          <w:sz w:val="20"/>
          <w:szCs w:val="20"/>
          <w:lang w:val="en-GB"/>
        </w:rPr>
        <w:t xml:space="preserve"> </w:t>
      </w:r>
      <w:proofErr w:type="spellStart"/>
      <w:r w:rsidR="003C390F">
        <w:rPr>
          <w:rFonts w:ascii="Arial Narrow" w:eastAsia="Calibri" w:hAnsi="Arial Narrow" w:cs="Calibri"/>
          <w:color w:val="1F497D"/>
          <w:sz w:val="20"/>
          <w:szCs w:val="20"/>
          <w:lang w:val="en-GB"/>
        </w:rPr>
        <w:t>të</w:t>
      </w:r>
      <w:proofErr w:type="spellEnd"/>
      <w:r w:rsidR="003C390F">
        <w:rPr>
          <w:rFonts w:ascii="Arial Narrow" w:eastAsia="Calibri" w:hAnsi="Arial Narrow" w:cs="Calibri"/>
          <w:color w:val="1F497D"/>
          <w:sz w:val="20"/>
          <w:szCs w:val="20"/>
          <w:lang w:val="en-GB"/>
        </w:rPr>
        <w:t xml:space="preserve"> </w:t>
      </w:r>
      <w:proofErr w:type="spellStart"/>
      <w:r w:rsidR="003C390F">
        <w:rPr>
          <w:rFonts w:ascii="Arial Narrow" w:eastAsia="Calibri" w:hAnsi="Arial Narrow" w:cs="Calibri"/>
          <w:color w:val="1F497D"/>
          <w:sz w:val="20"/>
          <w:szCs w:val="20"/>
          <w:lang w:val="en-GB"/>
        </w:rPr>
        <w:t>përziera</w:t>
      </w:r>
      <w:proofErr w:type="spellEnd"/>
      <w:r w:rsidR="003C390F">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komunale</w:t>
      </w:r>
      <w:bookmarkEnd w:id="316"/>
      <w:bookmarkEnd w:id="317"/>
      <w:proofErr w:type="spellEnd"/>
    </w:p>
    <w:tbl>
      <w:tblPr>
        <w:tblStyle w:val="TableGrid"/>
        <w:tblW w:w="5000" w:type="pct"/>
        <w:tblLook w:val="04A0" w:firstRow="1" w:lastRow="0" w:firstColumn="1" w:lastColumn="0" w:noHBand="0" w:noVBand="1"/>
      </w:tblPr>
      <w:tblGrid>
        <w:gridCol w:w="3596"/>
        <w:gridCol w:w="1078"/>
        <w:gridCol w:w="1156"/>
        <w:gridCol w:w="1096"/>
        <w:gridCol w:w="1078"/>
        <w:gridCol w:w="1012"/>
      </w:tblGrid>
      <w:tr w:rsidR="00430A79" w:rsidRPr="00430A79" w14:paraId="51E6C2C0" w14:textId="77777777" w:rsidTr="00750949">
        <w:trPr>
          <w:tblHeader/>
        </w:trPr>
        <w:tc>
          <w:tcPr>
            <w:tcW w:w="1994" w:type="pct"/>
            <w:shd w:val="clear" w:color="auto" w:fill="365F91"/>
          </w:tcPr>
          <w:p w14:paraId="6BCA2C7C"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Parametri</w:t>
            </w:r>
          </w:p>
        </w:tc>
        <w:tc>
          <w:tcPr>
            <w:tcW w:w="598" w:type="pct"/>
            <w:shd w:val="clear" w:color="auto" w:fill="365F91"/>
          </w:tcPr>
          <w:p w14:paraId="46196F02"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Pejë</w:t>
            </w:r>
          </w:p>
        </w:tc>
        <w:tc>
          <w:tcPr>
            <w:tcW w:w="641" w:type="pct"/>
            <w:shd w:val="clear" w:color="auto" w:fill="365F91"/>
          </w:tcPr>
          <w:p w14:paraId="58C4712C"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Istog</w:t>
            </w:r>
          </w:p>
        </w:tc>
        <w:tc>
          <w:tcPr>
            <w:tcW w:w="608" w:type="pct"/>
            <w:shd w:val="clear" w:color="auto" w:fill="365F91"/>
          </w:tcPr>
          <w:p w14:paraId="03368FD6" w14:textId="05B208DD"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Klin</w:t>
            </w:r>
            <w:r w:rsidR="003C390F">
              <w:rPr>
                <w:rFonts w:ascii="Arial Narrow" w:eastAsia="Calibri" w:hAnsi="Arial Narrow" w:cs="Calibri"/>
                <w:b/>
                <w:color w:val="FFFFFF"/>
                <w:sz w:val="20"/>
                <w:szCs w:val="20"/>
              </w:rPr>
              <w:t>ë</w:t>
            </w:r>
          </w:p>
        </w:tc>
        <w:tc>
          <w:tcPr>
            <w:tcW w:w="598" w:type="pct"/>
            <w:shd w:val="clear" w:color="auto" w:fill="365F91"/>
          </w:tcPr>
          <w:p w14:paraId="5F38B8F7" w14:textId="77D08BED"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De</w:t>
            </w:r>
            <w:r w:rsidR="003C390F">
              <w:rPr>
                <w:rFonts w:ascii="Arial Narrow" w:eastAsia="Calibri" w:hAnsi="Arial Narrow" w:cs="Calibri"/>
                <w:b/>
                <w:color w:val="FFFFFF"/>
                <w:sz w:val="20"/>
                <w:szCs w:val="20"/>
              </w:rPr>
              <w:t>ç</w:t>
            </w:r>
            <w:r w:rsidRPr="00430A79">
              <w:rPr>
                <w:rFonts w:ascii="Arial Narrow" w:eastAsia="Calibri" w:hAnsi="Arial Narrow" w:cs="Calibri"/>
                <w:b/>
                <w:color w:val="FFFFFF"/>
                <w:sz w:val="20"/>
                <w:szCs w:val="20"/>
              </w:rPr>
              <w:t>an</w:t>
            </w:r>
          </w:p>
        </w:tc>
        <w:tc>
          <w:tcPr>
            <w:tcW w:w="561" w:type="pct"/>
            <w:shd w:val="clear" w:color="auto" w:fill="365F91"/>
          </w:tcPr>
          <w:p w14:paraId="1E1CCCBA"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Junik</w:t>
            </w:r>
          </w:p>
        </w:tc>
      </w:tr>
      <w:tr w:rsidR="003C390F" w:rsidRPr="00430A79" w14:paraId="50FBE42A" w14:textId="77777777" w:rsidTr="00D03949">
        <w:tc>
          <w:tcPr>
            <w:tcW w:w="1994" w:type="pct"/>
          </w:tcPr>
          <w:p w14:paraId="1CCA2F05" w14:textId="14130605"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r w:rsidRPr="00BE2534">
              <w:rPr>
                <w:rFonts w:ascii="Arial Narrow" w:eastAsia="Calibri" w:hAnsi="Arial Narrow" w:cs="Calibri"/>
                <w:b/>
                <w:bCs/>
                <w:sz w:val="20"/>
                <w:szCs w:val="20"/>
                <w:lang w:val="sq-AL"/>
              </w:rPr>
              <w:t>Kostoja e investimit</w:t>
            </w:r>
          </w:p>
        </w:tc>
        <w:tc>
          <w:tcPr>
            <w:tcW w:w="598" w:type="pct"/>
          </w:tcPr>
          <w:p w14:paraId="137AA28B"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p>
        </w:tc>
        <w:tc>
          <w:tcPr>
            <w:tcW w:w="641" w:type="pct"/>
          </w:tcPr>
          <w:p w14:paraId="62BA6C29"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p>
        </w:tc>
        <w:tc>
          <w:tcPr>
            <w:tcW w:w="608" w:type="pct"/>
          </w:tcPr>
          <w:p w14:paraId="24D44D8B"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p>
        </w:tc>
        <w:tc>
          <w:tcPr>
            <w:tcW w:w="598" w:type="pct"/>
          </w:tcPr>
          <w:p w14:paraId="7FAF8F81"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p>
        </w:tc>
        <w:tc>
          <w:tcPr>
            <w:tcW w:w="561" w:type="pct"/>
          </w:tcPr>
          <w:p w14:paraId="0D21490B"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p>
        </w:tc>
      </w:tr>
      <w:tr w:rsidR="003C390F" w:rsidRPr="00430A79" w14:paraId="7759D2EF" w14:textId="77777777" w:rsidTr="00D03949">
        <w:tc>
          <w:tcPr>
            <w:tcW w:w="1994" w:type="pct"/>
          </w:tcPr>
          <w:p w14:paraId="6A6D0FCC" w14:textId="37EE9A76"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Kontejnerë/shporta, mijë </w:t>
            </w:r>
            <w:r w:rsidRPr="00BE2534">
              <w:rPr>
                <w:rFonts w:ascii="Calibri" w:eastAsia="Calibri" w:hAnsi="Calibri" w:cs="Calibri"/>
                <w:sz w:val="20"/>
                <w:szCs w:val="20"/>
                <w:lang w:val="sq-AL"/>
              </w:rPr>
              <w:t>€</w:t>
            </w:r>
          </w:p>
        </w:tc>
        <w:tc>
          <w:tcPr>
            <w:tcW w:w="598" w:type="pct"/>
          </w:tcPr>
          <w:p w14:paraId="7503FE91"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1,555</w:t>
            </w:r>
          </w:p>
          <w:p w14:paraId="3549EB60"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p>
        </w:tc>
        <w:tc>
          <w:tcPr>
            <w:tcW w:w="641" w:type="pct"/>
          </w:tcPr>
          <w:p w14:paraId="6FD78E86"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603</w:t>
            </w:r>
          </w:p>
        </w:tc>
        <w:tc>
          <w:tcPr>
            <w:tcW w:w="608" w:type="pct"/>
          </w:tcPr>
          <w:p w14:paraId="3B83A3EA"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400</w:t>
            </w:r>
          </w:p>
        </w:tc>
        <w:tc>
          <w:tcPr>
            <w:tcW w:w="598" w:type="pct"/>
          </w:tcPr>
          <w:p w14:paraId="44341DF3"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379</w:t>
            </w:r>
          </w:p>
        </w:tc>
        <w:tc>
          <w:tcPr>
            <w:tcW w:w="561" w:type="pct"/>
          </w:tcPr>
          <w:p w14:paraId="1E6DDA3B"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49</w:t>
            </w:r>
          </w:p>
        </w:tc>
      </w:tr>
      <w:tr w:rsidR="003C390F" w:rsidRPr="00430A79" w14:paraId="55B1CB64" w14:textId="77777777" w:rsidTr="00D03949">
        <w:tc>
          <w:tcPr>
            <w:tcW w:w="1994" w:type="pct"/>
          </w:tcPr>
          <w:p w14:paraId="4BFE224B" w14:textId="72844570"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Automjete, mijë </w:t>
            </w:r>
            <w:r w:rsidRPr="00BE2534">
              <w:rPr>
                <w:rFonts w:ascii="Calibri" w:eastAsia="Calibri" w:hAnsi="Calibri" w:cs="Calibri"/>
                <w:sz w:val="20"/>
                <w:szCs w:val="20"/>
                <w:lang w:val="sq-AL"/>
              </w:rPr>
              <w:t>€</w:t>
            </w:r>
          </w:p>
        </w:tc>
        <w:tc>
          <w:tcPr>
            <w:tcW w:w="598" w:type="pct"/>
          </w:tcPr>
          <w:p w14:paraId="6F7680AB"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1,680</w:t>
            </w:r>
          </w:p>
        </w:tc>
        <w:tc>
          <w:tcPr>
            <w:tcW w:w="641" w:type="pct"/>
          </w:tcPr>
          <w:p w14:paraId="30330FC4"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490</w:t>
            </w:r>
          </w:p>
        </w:tc>
        <w:tc>
          <w:tcPr>
            <w:tcW w:w="608" w:type="pct"/>
          </w:tcPr>
          <w:p w14:paraId="31F09E8E"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700</w:t>
            </w:r>
          </w:p>
        </w:tc>
        <w:tc>
          <w:tcPr>
            <w:tcW w:w="598" w:type="pct"/>
          </w:tcPr>
          <w:p w14:paraId="76FF8AF2"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434</w:t>
            </w:r>
          </w:p>
        </w:tc>
        <w:tc>
          <w:tcPr>
            <w:tcW w:w="561" w:type="pct"/>
          </w:tcPr>
          <w:p w14:paraId="44824C31"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42</w:t>
            </w:r>
            <w:r w:rsidRPr="00430A79">
              <w:rPr>
                <w:rFonts w:ascii="Arial" w:eastAsia="Calibri" w:hAnsi="Arial" w:cs="Calibri"/>
                <w:color w:val="4472C4" w:themeColor="accent1"/>
                <w:position w:val="6"/>
                <w:sz w:val="16"/>
                <w:szCs w:val="20"/>
              </w:rPr>
              <w:footnoteReference w:id="19"/>
            </w:r>
          </w:p>
        </w:tc>
      </w:tr>
      <w:tr w:rsidR="003C390F" w:rsidRPr="00430A79" w14:paraId="0A25642B" w14:textId="77777777" w:rsidTr="00D03949">
        <w:tc>
          <w:tcPr>
            <w:tcW w:w="1994" w:type="pct"/>
          </w:tcPr>
          <w:p w14:paraId="20D4A222" w14:textId="681DA3F5"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r w:rsidRPr="00BE2534">
              <w:rPr>
                <w:rFonts w:ascii="Arial Narrow" w:eastAsia="Calibri" w:hAnsi="Arial Narrow" w:cs="Calibri"/>
                <w:b/>
                <w:bCs/>
                <w:sz w:val="20"/>
                <w:szCs w:val="20"/>
                <w:lang w:val="sq-AL"/>
              </w:rPr>
              <w:t xml:space="preserve">Kostot O&amp;M, mijë </w:t>
            </w:r>
            <w:r w:rsidRPr="00BE2534">
              <w:rPr>
                <w:rFonts w:ascii="Calibri" w:eastAsia="Calibri" w:hAnsi="Calibri" w:cs="Calibri"/>
                <w:b/>
                <w:bCs/>
                <w:sz w:val="20"/>
                <w:szCs w:val="20"/>
                <w:lang w:val="sq-AL"/>
              </w:rPr>
              <w:t>€</w:t>
            </w:r>
          </w:p>
        </w:tc>
        <w:tc>
          <w:tcPr>
            <w:tcW w:w="598" w:type="pct"/>
          </w:tcPr>
          <w:p w14:paraId="185CADEC"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1,218</w:t>
            </w:r>
          </w:p>
        </w:tc>
        <w:tc>
          <w:tcPr>
            <w:tcW w:w="641" w:type="pct"/>
          </w:tcPr>
          <w:p w14:paraId="3688F9B9"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409</w:t>
            </w:r>
          </w:p>
        </w:tc>
        <w:tc>
          <w:tcPr>
            <w:tcW w:w="608" w:type="pct"/>
          </w:tcPr>
          <w:p w14:paraId="3FE0F085"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415</w:t>
            </w:r>
          </w:p>
        </w:tc>
        <w:tc>
          <w:tcPr>
            <w:tcW w:w="598" w:type="pct"/>
          </w:tcPr>
          <w:p w14:paraId="3377EEA4"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233</w:t>
            </w:r>
          </w:p>
        </w:tc>
        <w:tc>
          <w:tcPr>
            <w:tcW w:w="561" w:type="pct"/>
          </w:tcPr>
          <w:p w14:paraId="1B0AD8A1"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26</w:t>
            </w:r>
          </w:p>
        </w:tc>
      </w:tr>
      <w:tr w:rsidR="003C390F" w:rsidRPr="00430A79" w14:paraId="74042008" w14:textId="77777777" w:rsidTr="00D03949">
        <w:tc>
          <w:tcPr>
            <w:tcW w:w="1994" w:type="pct"/>
          </w:tcPr>
          <w:p w14:paraId="57808AA1" w14:textId="15F691F6"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r w:rsidRPr="00BE2534">
              <w:rPr>
                <w:rFonts w:ascii="Arial Narrow" w:eastAsia="Calibri" w:hAnsi="Arial Narrow" w:cs="Calibri"/>
                <w:b/>
                <w:bCs/>
                <w:sz w:val="20"/>
                <w:szCs w:val="20"/>
                <w:lang w:val="sq-AL"/>
              </w:rPr>
              <w:t xml:space="preserve">Kostot totale vjetore, mijë </w:t>
            </w:r>
            <w:r w:rsidRPr="00BE2534">
              <w:rPr>
                <w:rFonts w:ascii="Calibri" w:eastAsia="Calibri" w:hAnsi="Calibri" w:cs="Calibri"/>
                <w:b/>
                <w:bCs/>
                <w:sz w:val="20"/>
                <w:szCs w:val="20"/>
                <w:lang w:val="sq-AL"/>
              </w:rPr>
              <w:t>€</w:t>
            </w:r>
          </w:p>
        </w:tc>
        <w:tc>
          <w:tcPr>
            <w:tcW w:w="598" w:type="pct"/>
          </w:tcPr>
          <w:p w14:paraId="7953277D"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1,612</w:t>
            </w:r>
          </w:p>
        </w:tc>
        <w:tc>
          <w:tcPr>
            <w:tcW w:w="641" w:type="pct"/>
          </w:tcPr>
          <w:p w14:paraId="061EE0EC"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548</w:t>
            </w:r>
          </w:p>
        </w:tc>
        <w:tc>
          <w:tcPr>
            <w:tcW w:w="608" w:type="pct"/>
          </w:tcPr>
          <w:p w14:paraId="69A7709C"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546</w:t>
            </w:r>
          </w:p>
        </w:tc>
        <w:tc>
          <w:tcPr>
            <w:tcW w:w="598" w:type="pct"/>
          </w:tcPr>
          <w:p w14:paraId="5797F753"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330</w:t>
            </w:r>
          </w:p>
        </w:tc>
        <w:tc>
          <w:tcPr>
            <w:tcW w:w="561" w:type="pct"/>
          </w:tcPr>
          <w:p w14:paraId="7BF7FF25"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37</w:t>
            </w:r>
          </w:p>
        </w:tc>
      </w:tr>
      <w:tr w:rsidR="003C390F" w:rsidRPr="00430A79" w14:paraId="03A276D9" w14:textId="77777777" w:rsidTr="00D03949">
        <w:tc>
          <w:tcPr>
            <w:tcW w:w="1994" w:type="pct"/>
          </w:tcPr>
          <w:p w14:paraId="5D4DBAD5" w14:textId="5047213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Sasitë e grumbulluara, tonë</w:t>
            </w:r>
          </w:p>
        </w:tc>
        <w:tc>
          <w:tcPr>
            <w:tcW w:w="598" w:type="pct"/>
          </w:tcPr>
          <w:p w14:paraId="0A0554D3"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32,042</w:t>
            </w:r>
          </w:p>
        </w:tc>
        <w:tc>
          <w:tcPr>
            <w:tcW w:w="641" w:type="pct"/>
          </w:tcPr>
          <w:p w14:paraId="0993D528"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9,919</w:t>
            </w:r>
          </w:p>
        </w:tc>
        <w:tc>
          <w:tcPr>
            <w:tcW w:w="608" w:type="pct"/>
          </w:tcPr>
          <w:p w14:paraId="07652358"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6,620</w:t>
            </w:r>
          </w:p>
        </w:tc>
        <w:tc>
          <w:tcPr>
            <w:tcW w:w="598" w:type="pct"/>
          </w:tcPr>
          <w:p w14:paraId="4E09A934"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6,134</w:t>
            </w:r>
          </w:p>
        </w:tc>
        <w:tc>
          <w:tcPr>
            <w:tcW w:w="561" w:type="pct"/>
          </w:tcPr>
          <w:p w14:paraId="63AD1F9B"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720</w:t>
            </w:r>
          </w:p>
        </w:tc>
      </w:tr>
      <w:tr w:rsidR="003C390F" w:rsidRPr="00430A79" w14:paraId="6F0CC7FE" w14:textId="77777777" w:rsidTr="00D03949">
        <w:tc>
          <w:tcPr>
            <w:tcW w:w="1994" w:type="pct"/>
          </w:tcPr>
          <w:p w14:paraId="0AB607C6" w14:textId="3E1F2655"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r w:rsidRPr="00BE2534">
              <w:rPr>
                <w:rFonts w:ascii="Arial Narrow" w:eastAsia="Calibri" w:hAnsi="Arial Narrow" w:cs="Calibri"/>
                <w:b/>
                <w:bCs/>
                <w:sz w:val="20"/>
                <w:szCs w:val="20"/>
                <w:lang w:val="sq-AL"/>
              </w:rPr>
              <w:t xml:space="preserve">Kostoja vjetore për njësi, </w:t>
            </w:r>
            <w:r w:rsidRPr="00BE2534">
              <w:rPr>
                <w:rFonts w:ascii="Calibri" w:eastAsia="Calibri" w:hAnsi="Calibri" w:cs="Calibri"/>
                <w:b/>
                <w:bCs/>
                <w:sz w:val="20"/>
                <w:szCs w:val="20"/>
                <w:lang w:val="sq-AL"/>
              </w:rPr>
              <w:t xml:space="preserve">€ </w:t>
            </w:r>
            <w:r w:rsidRPr="00BE2534">
              <w:rPr>
                <w:rFonts w:ascii="Arial Narrow" w:eastAsia="Calibri" w:hAnsi="Arial Narrow" w:cs="Calibri"/>
                <w:b/>
                <w:bCs/>
                <w:sz w:val="20"/>
                <w:szCs w:val="20"/>
                <w:lang w:val="sq-AL"/>
              </w:rPr>
              <w:t>/ tonë e mbledhur</w:t>
            </w:r>
          </w:p>
        </w:tc>
        <w:tc>
          <w:tcPr>
            <w:tcW w:w="598" w:type="pct"/>
          </w:tcPr>
          <w:p w14:paraId="0454FF77"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50.3</w:t>
            </w:r>
          </w:p>
        </w:tc>
        <w:tc>
          <w:tcPr>
            <w:tcW w:w="641" w:type="pct"/>
          </w:tcPr>
          <w:p w14:paraId="4BD9251D"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55.2</w:t>
            </w:r>
          </w:p>
        </w:tc>
        <w:tc>
          <w:tcPr>
            <w:tcW w:w="608" w:type="pct"/>
          </w:tcPr>
          <w:p w14:paraId="64719BCE"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82.5</w:t>
            </w:r>
          </w:p>
        </w:tc>
        <w:tc>
          <w:tcPr>
            <w:tcW w:w="598" w:type="pct"/>
          </w:tcPr>
          <w:p w14:paraId="7573189B"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53.8</w:t>
            </w:r>
          </w:p>
        </w:tc>
        <w:tc>
          <w:tcPr>
            <w:tcW w:w="561" w:type="pct"/>
          </w:tcPr>
          <w:p w14:paraId="5B83EC4A" w14:textId="77777777" w:rsidR="003C390F" w:rsidRPr="00430A79" w:rsidRDefault="003C390F" w:rsidP="003C390F">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51.6</w:t>
            </w:r>
          </w:p>
        </w:tc>
      </w:tr>
      <w:tr w:rsidR="003C390F" w:rsidRPr="00430A79" w14:paraId="27DDD568" w14:textId="77777777" w:rsidTr="00D03949">
        <w:tc>
          <w:tcPr>
            <w:tcW w:w="1994" w:type="pct"/>
          </w:tcPr>
          <w:p w14:paraId="586157CE" w14:textId="5D382FAA"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mesatare rritëse</w:t>
            </w:r>
            <w:r w:rsidRPr="00BE2534">
              <w:rPr>
                <w:rStyle w:val="FootnoteReference"/>
                <w:rFonts w:eastAsia="Calibri" w:cs="Calibri"/>
                <w:szCs w:val="20"/>
                <w:lang w:val="sq-AL"/>
              </w:rPr>
              <w:footnoteReference w:id="20"/>
            </w:r>
            <w:r w:rsidRPr="00BE2534">
              <w:rPr>
                <w:rFonts w:ascii="Arial Narrow" w:eastAsia="Calibri" w:hAnsi="Arial Narrow" w:cs="Calibri"/>
                <w:sz w:val="20"/>
                <w:szCs w:val="20"/>
                <w:lang w:val="sq-AL"/>
              </w:rPr>
              <w:t xml:space="preserve">, </w:t>
            </w:r>
            <w:r w:rsidRPr="00BE2534">
              <w:rPr>
                <w:rFonts w:ascii="Calibri" w:eastAsia="Calibri" w:hAnsi="Calibri" w:cs="Calibri"/>
                <w:sz w:val="20"/>
                <w:szCs w:val="20"/>
                <w:lang w:val="sq-AL"/>
              </w:rPr>
              <w:t xml:space="preserve">€ </w:t>
            </w:r>
            <w:r w:rsidRPr="00BE2534">
              <w:rPr>
                <w:rFonts w:ascii="Arial Narrow" w:eastAsia="Calibri" w:hAnsi="Arial Narrow" w:cs="Calibri"/>
                <w:sz w:val="20"/>
                <w:szCs w:val="20"/>
                <w:lang w:val="sq-AL"/>
              </w:rPr>
              <w:t>/ tonë të gjeneruar</w:t>
            </w:r>
          </w:p>
        </w:tc>
        <w:tc>
          <w:tcPr>
            <w:tcW w:w="598" w:type="pct"/>
          </w:tcPr>
          <w:p w14:paraId="29724F7B"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31.02</w:t>
            </w:r>
          </w:p>
        </w:tc>
        <w:tc>
          <w:tcPr>
            <w:tcW w:w="641" w:type="pct"/>
          </w:tcPr>
          <w:p w14:paraId="215FECC4"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35.38</w:t>
            </w:r>
          </w:p>
        </w:tc>
        <w:tc>
          <w:tcPr>
            <w:tcW w:w="608" w:type="pct"/>
          </w:tcPr>
          <w:p w14:paraId="780ACED3"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52.13</w:t>
            </w:r>
          </w:p>
        </w:tc>
        <w:tc>
          <w:tcPr>
            <w:tcW w:w="598" w:type="pct"/>
          </w:tcPr>
          <w:p w14:paraId="51AD7AA0"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34.66</w:t>
            </w:r>
          </w:p>
        </w:tc>
        <w:tc>
          <w:tcPr>
            <w:tcW w:w="561" w:type="pct"/>
          </w:tcPr>
          <w:p w14:paraId="07461D47" w14:textId="77777777" w:rsidR="003C390F" w:rsidRPr="00430A79" w:rsidRDefault="003C390F" w:rsidP="003C390F">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32.57</w:t>
            </w:r>
          </w:p>
        </w:tc>
      </w:tr>
    </w:tbl>
    <w:p w14:paraId="19094C96" w14:textId="77777777" w:rsidR="00A41C6A" w:rsidRDefault="00A41C6A" w:rsidP="00430A79">
      <w:pPr>
        <w:jc w:val="both"/>
        <w:rPr>
          <w:rFonts w:ascii="Arial Narrow" w:eastAsia="Calibri" w:hAnsi="Arial Narrow" w:cs="Calibri"/>
          <w:color w:val="000000" w:themeColor="text1"/>
          <w:sz w:val="22"/>
          <w:szCs w:val="22"/>
          <w:lang w:val="en-GB"/>
        </w:rPr>
      </w:pPr>
    </w:p>
    <w:p w14:paraId="603D4F43" w14:textId="77777777" w:rsidR="003C390F" w:rsidRPr="00BE2534" w:rsidRDefault="003C390F" w:rsidP="003C390F">
      <w:pPr>
        <w:pStyle w:val="Paragraph"/>
        <w:spacing w:after="0"/>
        <w:rPr>
          <w:rFonts w:eastAsia="Calibri" w:cs="Calibri"/>
          <w:lang w:val="sq-AL"/>
        </w:rPr>
      </w:pPr>
      <w:r w:rsidRPr="00BE2534">
        <w:rPr>
          <w:rFonts w:eastAsia="Calibri" w:cs="Calibri"/>
          <w:lang w:val="sq-AL"/>
        </w:rPr>
        <w:t>Kostot operacionale dhe të mirëmbajtjes (O&amp;M) përfshijnë kostot për personelin, karburantin, vajin dhe kostot e mirëmbajtjes për pajisjet. Kostot vjetore përfshijnë kostot O&amp;M dhe kostot për amortizimin vjetor të kontejnerëve dhe të automjeteve.</w:t>
      </w:r>
    </w:p>
    <w:p w14:paraId="2B16AE55" w14:textId="77777777" w:rsidR="003C390F" w:rsidRPr="00BE2534" w:rsidRDefault="003C390F" w:rsidP="003C390F">
      <w:pPr>
        <w:pStyle w:val="Paragraph"/>
        <w:spacing w:after="0"/>
        <w:rPr>
          <w:rFonts w:eastAsia="Calibri" w:cs="Calibri"/>
          <w:lang w:val="sq-AL"/>
        </w:rPr>
      </w:pPr>
    </w:p>
    <w:p w14:paraId="2B5E178C" w14:textId="7056C01F" w:rsidR="00430A79" w:rsidRPr="003C390F" w:rsidRDefault="003C390F" w:rsidP="003C390F">
      <w:pPr>
        <w:pStyle w:val="Paragraph"/>
        <w:spacing w:after="0"/>
        <w:rPr>
          <w:rFonts w:eastAsia="Calibri" w:cs="Calibri"/>
          <w:lang w:val="sq-AL"/>
        </w:rPr>
      </w:pPr>
      <w:r w:rsidRPr="00BE2534">
        <w:rPr>
          <w:rFonts w:eastAsia="Calibri" w:cs="Calibri"/>
          <w:lang w:val="sq-AL"/>
        </w:rPr>
        <w:t xml:space="preserve">Kostot më të ulëta të grumbullimit për ton mbeturina të gjeneruara/grumbulluara janë vlerësuar për komunën e Pejës për shkak të distancës më të shkurtër deri në deponinë rajonale dhe sasive më të mëdha të mbeturinave. </w:t>
      </w:r>
      <w:r w:rsidRPr="00B31543">
        <w:rPr>
          <w:rFonts w:eastAsia="Calibri" w:cs="Calibri"/>
          <w:lang w:val="sq-AL"/>
        </w:rPr>
        <w:t xml:space="preserve">Kostot në komunat e Istogut, Deçanit dhe Junikut janë më të ulëta se kostot </w:t>
      </w:r>
      <w:r>
        <w:rPr>
          <w:rFonts w:eastAsia="Calibri" w:cs="Calibri"/>
          <w:lang w:val="sq-AL"/>
        </w:rPr>
        <w:t>e</w:t>
      </w:r>
      <w:r w:rsidRPr="00B31543">
        <w:rPr>
          <w:rFonts w:eastAsia="Calibri" w:cs="Calibri"/>
          <w:lang w:val="sq-AL"/>
        </w:rPr>
        <w:t xml:space="preserve"> Klinë</w:t>
      </w:r>
      <w:r>
        <w:rPr>
          <w:rFonts w:eastAsia="Calibri" w:cs="Calibri"/>
          <w:lang w:val="sq-AL"/>
        </w:rPr>
        <w:t>s</w:t>
      </w:r>
      <w:r w:rsidRPr="00B31543">
        <w:rPr>
          <w:rFonts w:eastAsia="Calibri" w:cs="Calibri"/>
          <w:lang w:val="sq-AL"/>
        </w:rPr>
        <w:t xml:space="preserve"> për shkak të stacioneve të transferit dhe distancave më të shkurtra të transportit (shih seksionin vijues).</w:t>
      </w:r>
    </w:p>
    <w:p w14:paraId="53BA2D86"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28715B74" w14:textId="77777777" w:rsidR="00430A79" w:rsidRPr="00430A79" w:rsidRDefault="00430A79" w:rsidP="000D7AD0">
      <w:pPr>
        <w:pStyle w:val="Heading2"/>
      </w:pPr>
      <w:bookmarkStart w:id="318" w:name="_Toc185866109"/>
      <w:bookmarkStart w:id="319" w:name="_Toc197472006"/>
      <w:r w:rsidRPr="00430A79">
        <w:t>Transporti dhe transferimi i mbeturinave</w:t>
      </w:r>
      <w:bookmarkEnd w:id="318"/>
      <w:bookmarkEnd w:id="319"/>
    </w:p>
    <w:p w14:paraId="42F7EC37" w14:textId="77777777" w:rsidR="00430A79" w:rsidRPr="00430A79" w:rsidRDefault="00430A79" w:rsidP="000D7AD0">
      <w:pPr>
        <w:pStyle w:val="Heading3"/>
      </w:pPr>
      <w:bookmarkStart w:id="320" w:name="_Toc185866110"/>
      <w:bookmarkStart w:id="321" w:name="_Toc197472007"/>
      <w:r w:rsidRPr="00430A79">
        <w:t>Situata aktuale</w:t>
      </w:r>
      <w:bookmarkEnd w:id="320"/>
      <w:bookmarkEnd w:id="321"/>
    </w:p>
    <w:p w14:paraId="3C2DDF22" w14:textId="77777777" w:rsidR="00430A79" w:rsidRPr="003C390F" w:rsidRDefault="00430A79" w:rsidP="00430A79">
      <w:pPr>
        <w:jc w:val="both"/>
        <w:rPr>
          <w:rFonts w:ascii="Arial Narrow" w:eastAsia="Calibri" w:hAnsi="Arial Narrow" w:cs="Calibri"/>
          <w:color w:val="000000" w:themeColor="text1"/>
          <w:sz w:val="22"/>
          <w:szCs w:val="22"/>
          <w:lang w:val="en-GB"/>
        </w:rPr>
      </w:pPr>
    </w:p>
    <w:p w14:paraId="46D5FD6F" w14:textId="6250606F" w:rsidR="00430A79" w:rsidRPr="009F5CA1" w:rsidRDefault="003C390F" w:rsidP="00430A79">
      <w:pPr>
        <w:jc w:val="both"/>
        <w:rPr>
          <w:rFonts w:ascii="Arial Narrow" w:eastAsia="Calibri" w:hAnsi="Arial Narrow" w:cs="Calibri"/>
          <w:color w:val="000000" w:themeColor="text1"/>
          <w:sz w:val="22"/>
          <w:szCs w:val="22"/>
          <w:lang w:val="sq-AL"/>
        </w:rPr>
      </w:pPr>
      <w:r w:rsidRPr="003C390F">
        <w:rPr>
          <w:rFonts w:ascii="Arial Narrow" w:eastAsia="Calibri" w:hAnsi="Arial Narrow" w:cs="Calibri"/>
          <w:sz w:val="22"/>
          <w:szCs w:val="22"/>
          <w:lang w:val="sq-AL"/>
        </w:rPr>
        <w:t>Asnjë stacion transferimi nuk është në përdorim në ZMM. Një lokacion në Istog fillimisht ishte paraparë të përdorej si stacion transferimi por përfundoi duke u përdorur përkohësisht si deponi</w:t>
      </w:r>
      <w:r w:rsidR="00430A79" w:rsidRPr="009F5CA1">
        <w:rPr>
          <w:rFonts w:ascii="Arial Narrow" w:eastAsia="Calibri" w:hAnsi="Arial Narrow" w:cs="Calibri"/>
          <w:color w:val="000000" w:themeColor="text1"/>
          <w:sz w:val="22"/>
          <w:szCs w:val="22"/>
          <w:lang w:val="sq-AL"/>
        </w:rPr>
        <w:t>.</w:t>
      </w:r>
    </w:p>
    <w:p w14:paraId="3F91E23B" w14:textId="77777777" w:rsidR="00282B31" w:rsidRPr="009F5CA1" w:rsidRDefault="00282B31" w:rsidP="00430A79">
      <w:pPr>
        <w:jc w:val="both"/>
        <w:rPr>
          <w:rFonts w:ascii="Arial Narrow" w:eastAsia="Calibri" w:hAnsi="Arial Narrow" w:cs="Calibri"/>
          <w:color w:val="000000" w:themeColor="text1"/>
          <w:sz w:val="22"/>
          <w:szCs w:val="22"/>
          <w:lang w:val="sq-AL"/>
        </w:rPr>
      </w:pPr>
    </w:p>
    <w:p w14:paraId="30A7BD52" w14:textId="539B1AFE" w:rsidR="00430A79" w:rsidRPr="00430A79" w:rsidRDefault="00430A79" w:rsidP="000D7AD0">
      <w:pPr>
        <w:pStyle w:val="Heading3"/>
      </w:pPr>
      <w:bookmarkStart w:id="322" w:name="_Toc185866111"/>
      <w:bookmarkStart w:id="323" w:name="_Toc197472008"/>
      <w:r w:rsidRPr="00430A79">
        <w:t>Llojet e stacioneve të transferit</w:t>
      </w:r>
      <w:bookmarkEnd w:id="322"/>
      <w:bookmarkEnd w:id="323"/>
    </w:p>
    <w:p w14:paraId="2E16C3DD" w14:textId="77777777" w:rsidR="00430A79" w:rsidRPr="003C390F" w:rsidRDefault="00430A79" w:rsidP="00430A79">
      <w:pPr>
        <w:jc w:val="both"/>
        <w:rPr>
          <w:rFonts w:ascii="Arial Narrow" w:eastAsia="Calibri" w:hAnsi="Arial Narrow" w:cs="Calibri"/>
          <w:color w:val="000000" w:themeColor="text1"/>
          <w:sz w:val="22"/>
          <w:szCs w:val="22"/>
          <w:lang w:val="en-GB"/>
        </w:rPr>
      </w:pPr>
    </w:p>
    <w:p w14:paraId="3A64BD4B" w14:textId="7891986E" w:rsidR="00430A79" w:rsidRPr="009F5CA1" w:rsidRDefault="003C390F" w:rsidP="00430A79">
      <w:pPr>
        <w:jc w:val="both"/>
        <w:rPr>
          <w:rFonts w:ascii="Arial Narrow" w:eastAsia="Calibri" w:hAnsi="Arial Narrow" w:cs="Calibri"/>
          <w:color w:val="000000" w:themeColor="text1"/>
          <w:sz w:val="22"/>
          <w:szCs w:val="22"/>
          <w:lang w:val="sq-AL"/>
        </w:rPr>
      </w:pPr>
      <w:r w:rsidRPr="003C390F">
        <w:rPr>
          <w:rFonts w:ascii="Arial Narrow" w:eastAsia="Calibri" w:hAnsi="Arial Narrow" w:cs="Calibri"/>
          <w:sz w:val="22"/>
          <w:szCs w:val="22"/>
          <w:lang w:val="sq-AL"/>
        </w:rPr>
        <w:t>Stacionet e transferit (ST) justifikohen kur kostoja e transportit direkt të mbeturinave nga pika e gjenerimit në një deponi është më e madhe se kostoja e transportit të mbeturinave nga burimi i gjenerimit në një pikë ku mbeturinat transferohen në një kontejner më të madh dhe më pas transportohen në një deponi. Përshtatshmëria ekonomike e stacioneve të transferit ndikohet nga disa faktorë: (i) distancat; (ii) sasitë e mbeturinave; (iii) kushtet e rrugës dhe topografia; (iv) densiteti i ulët në zonat e shërbimit; dhe (v) teknologjia e transferimit</w:t>
      </w:r>
      <w:r w:rsidR="00430A79" w:rsidRPr="009F5CA1">
        <w:rPr>
          <w:rFonts w:ascii="Arial Narrow" w:eastAsia="Calibri" w:hAnsi="Arial Narrow" w:cs="Calibri"/>
          <w:color w:val="000000" w:themeColor="text1"/>
          <w:sz w:val="22"/>
          <w:szCs w:val="22"/>
          <w:lang w:val="sq-AL"/>
        </w:rPr>
        <w:t>.</w:t>
      </w:r>
    </w:p>
    <w:p w14:paraId="45BEAF14"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3F4F5B05" w14:textId="52CB66BA" w:rsidR="00430A79" w:rsidRPr="009F5CA1" w:rsidRDefault="00430A79" w:rsidP="00430A79">
      <w:pPr>
        <w:jc w:val="both"/>
        <w:rPr>
          <w:rFonts w:ascii="Arial Narrow" w:eastAsia="Calibri" w:hAnsi="Arial Narrow" w:cs="Calibri"/>
          <w:b/>
          <w:bCs/>
          <w:color w:val="000000" w:themeColor="text1"/>
          <w:sz w:val="22"/>
          <w:szCs w:val="22"/>
          <w:lang w:val="sq-AL"/>
        </w:rPr>
      </w:pPr>
      <w:r w:rsidRPr="009F5CA1">
        <w:rPr>
          <w:rFonts w:ascii="Arial Narrow" w:eastAsia="Calibri" w:hAnsi="Arial Narrow" w:cs="Calibri"/>
          <w:b/>
          <w:bCs/>
          <w:color w:val="000000" w:themeColor="text1"/>
          <w:sz w:val="22"/>
          <w:szCs w:val="22"/>
          <w:lang w:val="sq-AL"/>
        </w:rPr>
        <w:t>Llojet e stacioneve të transferit</w:t>
      </w:r>
    </w:p>
    <w:p w14:paraId="6263B6F7" w14:textId="2CFD5BEB" w:rsidR="00430A79" w:rsidRPr="009F5CA1" w:rsidRDefault="003C390F" w:rsidP="00430A79">
      <w:pPr>
        <w:jc w:val="both"/>
        <w:rPr>
          <w:rFonts w:ascii="Arial Narrow" w:eastAsia="Calibri" w:hAnsi="Arial Narrow" w:cs="Calibri"/>
          <w:color w:val="000000" w:themeColor="text1"/>
          <w:sz w:val="22"/>
          <w:szCs w:val="22"/>
          <w:lang w:val="sq-AL"/>
        </w:rPr>
      </w:pPr>
      <w:r w:rsidRPr="003C390F">
        <w:rPr>
          <w:rFonts w:ascii="Arial Narrow" w:eastAsia="Calibri" w:hAnsi="Arial Narrow" w:cs="Calibri"/>
          <w:sz w:val="22"/>
          <w:szCs w:val="22"/>
          <w:lang w:val="sq-AL"/>
        </w:rPr>
        <w:t>Për sa i përket teknologjisë së transferimit, stacionet e transferit mund të ndahen kryesisht në tre lloje</w:t>
      </w:r>
      <w:r w:rsidR="00430A79" w:rsidRPr="009F5CA1">
        <w:rPr>
          <w:rFonts w:ascii="Arial Narrow" w:eastAsia="Calibri" w:hAnsi="Arial Narrow" w:cs="Calibri"/>
          <w:color w:val="000000" w:themeColor="text1"/>
          <w:sz w:val="22"/>
          <w:szCs w:val="22"/>
          <w:lang w:val="sq-AL"/>
        </w:rPr>
        <w:t>:</w:t>
      </w:r>
    </w:p>
    <w:p w14:paraId="266F0E01"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0D7901E6" w14:textId="77777777" w:rsidR="00430A79" w:rsidRPr="00430A79" w:rsidRDefault="00430A79" w:rsidP="0059507F">
      <w:pPr>
        <w:numPr>
          <w:ilvl w:val="0"/>
          <w:numId w:val="14"/>
        </w:numPr>
        <w:jc w:val="both"/>
        <w:rPr>
          <w:rFonts w:ascii="Arial Narrow" w:eastAsia="Calibri" w:hAnsi="Arial Narrow" w:cs="Calibri"/>
          <w:color w:val="000000" w:themeColor="text1"/>
          <w:sz w:val="22"/>
          <w:szCs w:val="22"/>
          <w:lang w:val="en-GB"/>
        </w:rPr>
      </w:pPr>
      <w:proofErr w:type="spellStart"/>
      <w:r w:rsidRPr="00430A79">
        <w:rPr>
          <w:rFonts w:ascii="Arial Narrow" w:eastAsia="Calibri" w:hAnsi="Arial Narrow" w:cs="Calibri"/>
          <w:color w:val="000000" w:themeColor="text1"/>
          <w:sz w:val="22"/>
          <w:szCs w:val="22"/>
          <w:lang w:val="en-GB"/>
        </w:rPr>
        <w:t>Stacion</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transferimi</w:t>
      </w:r>
      <w:proofErr w:type="spellEnd"/>
      <w:r w:rsidRPr="00430A79">
        <w:rPr>
          <w:rFonts w:ascii="Arial Narrow" w:eastAsia="Calibri" w:hAnsi="Arial Narrow" w:cs="Calibri"/>
          <w:color w:val="000000" w:themeColor="text1"/>
          <w:sz w:val="22"/>
          <w:szCs w:val="22"/>
          <w:lang w:val="en-GB"/>
        </w:rPr>
        <w:t xml:space="preserve"> me </w:t>
      </w:r>
      <w:proofErr w:type="spellStart"/>
      <w:r w:rsidRPr="00430A79">
        <w:rPr>
          <w:rFonts w:ascii="Arial Narrow" w:eastAsia="Calibri" w:hAnsi="Arial Narrow" w:cs="Calibri"/>
          <w:color w:val="000000" w:themeColor="text1"/>
          <w:sz w:val="22"/>
          <w:szCs w:val="22"/>
          <w:lang w:val="en-GB"/>
        </w:rPr>
        <w:t>ngjeshje</w:t>
      </w:r>
      <w:proofErr w:type="spellEnd"/>
    </w:p>
    <w:p w14:paraId="764A9D9B" w14:textId="77777777" w:rsidR="00430A79" w:rsidRPr="00430A79" w:rsidRDefault="00430A79" w:rsidP="0059507F">
      <w:pPr>
        <w:numPr>
          <w:ilvl w:val="0"/>
          <w:numId w:val="14"/>
        </w:numPr>
        <w:jc w:val="both"/>
        <w:rPr>
          <w:rFonts w:ascii="Arial Narrow" w:eastAsia="Calibri" w:hAnsi="Arial Narrow" w:cs="Calibri"/>
          <w:color w:val="000000" w:themeColor="text1"/>
          <w:sz w:val="22"/>
          <w:szCs w:val="22"/>
          <w:lang w:val="en-GB"/>
        </w:rPr>
      </w:pPr>
      <w:proofErr w:type="spellStart"/>
      <w:r w:rsidRPr="00430A79">
        <w:rPr>
          <w:rFonts w:ascii="Arial Narrow" w:eastAsia="Calibri" w:hAnsi="Arial Narrow" w:cs="Calibri"/>
          <w:color w:val="000000" w:themeColor="text1"/>
          <w:sz w:val="22"/>
          <w:szCs w:val="22"/>
          <w:lang w:val="en-GB"/>
        </w:rPr>
        <w:t>Stacion</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transferimi</w:t>
      </w:r>
      <w:proofErr w:type="spellEnd"/>
      <w:r w:rsidRPr="00430A79">
        <w:rPr>
          <w:rFonts w:ascii="Arial Narrow" w:eastAsia="Calibri" w:hAnsi="Arial Narrow" w:cs="Calibri"/>
          <w:color w:val="000000" w:themeColor="text1"/>
          <w:sz w:val="22"/>
          <w:szCs w:val="22"/>
          <w:lang w:val="en-GB"/>
        </w:rPr>
        <w:t xml:space="preserve"> pa </w:t>
      </w:r>
      <w:proofErr w:type="spellStart"/>
      <w:r w:rsidRPr="00430A79">
        <w:rPr>
          <w:rFonts w:ascii="Arial Narrow" w:eastAsia="Calibri" w:hAnsi="Arial Narrow" w:cs="Calibri"/>
          <w:color w:val="000000" w:themeColor="text1"/>
          <w:sz w:val="22"/>
          <w:szCs w:val="22"/>
          <w:lang w:val="en-GB"/>
        </w:rPr>
        <w:t>ngjeshje</w:t>
      </w:r>
      <w:proofErr w:type="spellEnd"/>
    </w:p>
    <w:p w14:paraId="278D4756" w14:textId="77777777" w:rsidR="00430A79" w:rsidRPr="00430A79" w:rsidRDefault="00430A79" w:rsidP="0059507F">
      <w:pPr>
        <w:numPr>
          <w:ilvl w:val="0"/>
          <w:numId w:val="14"/>
        </w:numPr>
        <w:jc w:val="both"/>
        <w:rPr>
          <w:rFonts w:ascii="Arial Narrow" w:eastAsia="Calibri" w:hAnsi="Arial Narrow" w:cs="Calibri"/>
          <w:color w:val="000000" w:themeColor="text1"/>
          <w:sz w:val="22"/>
          <w:szCs w:val="22"/>
          <w:lang w:val="en-GB"/>
        </w:rPr>
      </w:pPr>
      <w:proofErr w:type="spellStart"/>
      <w:r w:rsidRPr="00430A79">
        <w:rPr>
          <w:rFonts w:ascii="Arial Narrow" w:eastAsia="Calibri" w:hAnsi="Arial Narrow" w:cs="Calibri"/>
          <w:color w:val="000000" w:themeColor="text1"/>
          <w:sz w:val="22"/>
          <w:szCs w:val="22"/>
          <w:lang w:val="en-GB"/>
        </w:rPr>
        <w:t>Transferimi</w:t>
      </w:r>
      <w:proofErr w:type="spellEnd"/>
      <w:r w:rsidRPr="00430A79">
        <w:rPr>
          <w:rFonts w:ascii="Arial Narrow" w:eastAsia="Calibri" w:hAnsi="Arial Narrow" w:cs="Calibri"/>
          <w:color w:val="000000" w:themeColor="text1"/>
          <w:sz w:val="22"/>
          <w:szCs w:val="22"/>
          <w:lang w:val="en-GB"/>
        </w:rPr>
        <w:t xml:space="preserve"> i </w:t>
      </w:r>
      <w:proofErr w:type="spellStart"/>
      <w:r w:rsidRPr="00430A79">
        <w:rPr>
          <w:rFonts w:ascii="Arial Narrow" w:eastAsia="Calibri" w:hAnsi="Arial Narrow" w:cs="Calibri"/>
          <w:color w:val="000000" w:themeColor="text1"/>
          <w:sz w:val="22"/>
          <w:szCs w:val="22"/>
          <w:lang w:val="en-GB"/>
        </w:rPr>
        <w:t>mbeturinave</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nga</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një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kamion</w:t>
      </w:r>
      <w:proofErr w:type="spellEnd"/>
      <w:r w:rsidRPr="00430A79">
        <w:rPr>
          <w:rFonts w:ascii="Arial Narrow" w:eastAsia="Calibri" w:hAnsi="Arial Narrow" w:cs="Calibri"/>
          <w:color w:val="000000" w:themeColor="text1"/>
          <w:sz w:val="22"/>
          <w:szCs w:val="22"/>
          <w:lang w:val="en-GB"/>
        </w:rPr>
        <w:t xml:space="preserve"> i </w:t>
      </w:r>
      <w:proofErr w:type="spellStart"/>
      <w:r w:rsidRPr="00430A79">
        <w:rPr>
          <w:rFonts w:ascii="Arial Narrow" w:eastAsia="Calibri" w:hAnsi="Arial Narrow" w:cs="Calibri"/>
          <w:color w:val="000000" w:themeColor="text1"/>
          <w:sz w:val="22"/>
          <w:szCs w:val="22"/>
          <w:lang w:val="en-GB"/>
        </w:rPr>
        <w:t>vogël</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në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një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më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të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madh</w:t>
      </w:r>
      <w:proofErr w:type="spellEnd"/>
    </w:p>
    <w:p w14:paraId="71F663D0" w14:textId="77777777" w:rsidR="00430A79" w:rsidRPr="00430A79" w:rsidRDefault="00430A79" w:rsidP="00430A79">
      <w:pPr>
        <w:jc w:val="both"/>
        <w:rPr>
          <w:rFonts w:ascii="Arial Narrow" w:eastAsia="Calibri" w:hAnsi="Arial Narrow" w:cs="Calibri"/>
          <w:color w:val="000000" w:themeColor="text1"/>
          <w:sz w:val="22"/>
          <w:szCs w:val="22"/>
          <w:lang w:val="en-GB"/>
        </w:rPr>
      </w:pPr>
    </w:p>
    <w:p w14:paraId="14601DE6" w14:textId="409E429B" w:rsidR="00430A79" w:rsidRPr="009F5CA1" w:rsidRDefault="003C390F" w:rsidP="00430A79">
      <w:pPr>
        <w:jc w:val="both"/>
        <w:rPr>
          <w:rFonts w:ascii="Arial Narrow" w:eastAsia="Calibri" w:hAnsi="Arial Narrow" w:cs="Calibri"/>
          <w:color w:val="000000" w:themeColor="text1"/>
          <w:sz w:val="22"/>
          <w:szCs w:val="22"/>
          <w:lang w:val="sq-AL"/>
        </w:rPr>
      </w:pPr>
      <w:r w:rsidRPr="003C390F">
        <w:rPr>
          <w:rFonts w:ascii="Arial Narrow" w:eastAsia="Calibri" w:hAnsi="Arial Narrow" w:cs="Calibri"/>
          <w:sz w:val="22"/>
          <w:szCs w:val="22"/>
          <w:lang w:val="sq-AL"/>
        </w:rPr>
        <w:t>Stacionet e transferit pa ngjeshje përdoren kur distancat nuk janë të mëdha dhe atëherë kur kostot më të larta të investimit në stacionet e transferit me ngjeshje nuk mund të justifikohen. Me distanca më të mëdha kostot operacionale të ST pa ngjeshje bëhen më të larta në krahasim me ato të ST me ngjeshje. Zgjedhja e ST është në fakt një kompromis midis kostove investive dhe operacionale</w:t>
      </w:r>
      <w:r w:rsidR="00430A79" w:rsidRPr="009F5CA1">
        <w:rPr>
          <w:rFonts w:ascii="Arial Narrow" w:eastAsia="Calibri" w:hAnsi="Arial Narrow" w:cs="Calibri"/>
          <w:color w:val="000000" w:themeColor="text1"/>
          <w:sz w:val="22"/>
          <w:szCs w:val="22"/>
          <w:lang w:val="sq-AL"/>
        </w:rPr>
        <w:t>.</w:t>
      </w:r>
    </w:p>
    <w:p w14:paraId="4667B36E"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135B699E" w14:textId="2C29895C" w:rsidR="00430A79" w:rsidRPr="009F5CA1" w:rsidRDefault="00430A79" w:rsidP="00430A79">
      <w:pPr>
        <w:jc w:val="both"/>
        <w:rPr>
          <w:rFonts w:ascii="Arial Narrow" w:eastAsia="Calibri" w:hAnsi="Arial Narrow" w:cs="Calibri"/>
          <w:color w:val="000000" w:themeColor="text1"/>
          <w:sz w:val="22"/>
          <w:szCs w:val="22"/>
          <w:u w:val="single"/>
          <w:lang w:val="sq-AL"/>
        </w:rPr>
      </w:pPr>
      <w:r w:rsidRPr="009F5CA1">
        <w:rPr>
          <w:rFonts w:ascii="Arial Narrow" w:eastAsia="Calibri" w:hAnsi="Arial Narrow" w:cs="Calibri"/>
          <w:color w:val="000000" w:themeColor="text1"/>
          <w:sz w:val="22"/>
          <w:szCs w:val="22"/>
          <w:u w:val="single"/>
          <w:lang w:val="sq-AL"/>
        </w:rPr>
        <w:t>Stacione</w:t>
      </w:r>
      <w:r w:rsidR="003C390F" w:rsidRPr="009F5CA1">
        <w:rPr>
          <w:rFonts w:ascii="Arial Narrow" w:eastAsia="Calibri" w:hAnsi="Arial Narrow" w:cs="Calibri"/>
          <w:color w:val="000000" w:themeColor="text1"/>
          <w:sz w:val="22"/>
          <w:szCs w:val="22"/>
          <w:u w:val="single"/>
          <w:lang w:val="sq-AL"/>
        </w:rPr>
        <w:t>t e</w:t>
      </w:r>
      <w:r w:rsidRPr="009F5CA1">
        <w:rPr>
          <w:rFonts w:ascii="Arial Narrow" w:eastAsia="Calibri" w:hAnsi="Arial Narrow" w:cs="Calibri"/>
          <w:color w:val="000000" w:themeColor="text1"/>
          <w:sz w:val="22"/>
          <w:szCs w:val="22"/>
          <w:u w:val="single"/>
          <w:lang w:val="sq-AL"/>
        </w:rPr>
        <w:t xml:space="preserve"> transferi</w:t>
      </w:r>
      <w:r w:rsidR="003C390F" w:rsidRPr="009F5CA1">
        <w:rPr>
          <w:rFonts w:ascii="Arial Narrow" w:eastAsia="Calibri" w:hAnsi="Arial Narrow" w:cs="Calibri"/>
          <w:color w:val="000000" w:themeColor="text1"/>
          <w:sz w:val="22"/>
          <w:szCs w:val="22"/>
          <w:u w:val="single"/>
          <w:lang w:val="sq-AL"/>
        </w:rPr>
        <w:t>t</w:t>
      </w:r>
      <w:r w:rsidRPr="009F5CA1">
        <w:rPr>
          <w:rFonts w:ascii="Arial Narrow" w:eastAsia="Calibri" w:hAnsi="Arial Narrow" w:cs="Calibri"/>
          <w:color w:val="000000" w:themeColor="text1"/>
          <w:sz w:val="22"/>
          <w:szCs w:val="22"/>
          <w:u w:val="single"/>
          <w:lang w:val="sq-AL"/>
        </w:rPr>
        <w:t xml:space="preserve"> me ngjeshje</w:t>
      </w:r>
    </w:p>
    <w:p w14:paraId="08AC6B3D" w14:textId="77777777" w:rsidR="003C390F" w:rsidRPr="003C390F" w:rsidRDefault="003C390F" w:rsidP="003C390F">
      <w:pPr>
        <w:pStyle w:val="Paragraph"/>
        <w:spacing w:after="0"/>
        <w:rPr>
          <w:rFonts w:eastAsia="Calibri" w:cs="Calibri"/>
          <w:lang w:val="sq-AL"/>
        </w:rPr>
      </w:pPr>
      <w:r w:rsidRPr="003C390F">
        <w:rPr>
          <w:rFonts w:eastAsia="Calibri" w:cs="Calibri"/>
          <w:lang w:val="sq-AL"/>
        </w:rPr>
        <w:t>Qëllimi i stacioneve të transferit me ngjeshje është rritja e densitetit të mbeturinave dhe rrjedhimisht e sasive të mbeturinave që transportohen në një drejtim. Siç tregohet në figurën më poshtë, stacione të tilla transferi janë të pajisura me një rampë me pikë shkarkimi, bunker pritës (me rreth 45 m³), pajisje ngjeshëse, kontejnerë të mëdhenj të transportueshëm (midis 27 m³ dhe 32 m³), sistem kangjellash për zhvendosjen e kontejnerëve dhe automjete për transport në distanca të gjata.</w:t>
      </w:r>
    </w:p>
    <w:p w14:paraId="599AC4F2" w14:textId="77777777" w:rsidR="003C390F" w:rsidRPr="003C390F" w:rsidRDefault="003C390F" w:rsidP="003C390F">
      <w:pPr>
        <w:pStyle w:val="Paragraph"/>
        <w:spacing w:after="0"/>
        <w:rPr>
          <w:rFonts w:eastAsia="Calibri" w:cs="Calibri"/>
          <w:lang w:val="sq-AL"/>
        </w:rPr>
      </w:pPr>
    </w:p>
    <w:p w14:paraId="6466C646" w14:textId="21826430" w:rsidR="00430A79" w:rsidRPr="009F5CA1" w:rsidRDefault="003C390F" w:rsidP="003C390F">
      <w:pPr>
        <w:jc w:val="both"/>
        <w:rPr>
          <w:rFonts w:ascii="Arial Narrow" w:eastAsia="Calibri" w:hAnsi="Arial Narrow" w:cs="Calibri"/>
          <w:color w:val="000000" w:themeColor="text1"/>
          <w:sz w:val="22"/>
          <w:szCs w:val="22"/>
          <w:lang w:val="sq-AL"/>
        </w:rPr>
      </w:pPr>
      <w:r w:rsidRPr="003C390F">
        <w:rPr>
          <w:rFonts w:ascii="Arial Narrow" w:eastAsia="Calibri" w:hAnsi="Arial Narrow" w:cs="Calibri"/>
          <w:sz w:val="22"/>
          <w:szCs w:val="22"/>
          <w:lang w:val="sq-AL"/>
        </w:rPr>
        <w:t>Pajisjet e stacioneve të tilla të transferit janë projektuar për të minimizuar kohën e ngarkimit nga kamionët grumbullues dhe për të minimizuar kohën e ngjeshjes së mbeturinave. Gjithashtu është instaluar një sistem kangjellash automatike për zhvendosjen e kontejnerëve për të zvogëluar kohën operative. Ndërsa një automjet transporti për distanca të gjata është duke u ngarkuar me një kontejner të plotë, një kontejner tjetër mund të mbledhë mbeturina të reja</w:t>
      </w:r>
      <w:r w:rsidR="00430A79" w:rsidRPr="009F5CA1">
        <w:rPr>
          <w:rFonts w:ascii="Arial Narrow" w:eastAsia="Calibri" w:hAnsi="Arial Narrow" w:cs="Calibri"/>
          <w:color w:val="000000" w:themeColor="text1"/>
          <w:sz w:val="22"/>
          <w:szCs w:val="22"/>
          <w:lang w:val="sq-AL"/>
        </w:rPr>
        <w:t>.</w:t>
      </w:r>
    </w:p>
    <w:p w14:paraId="55D16929"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5DBC1BCA" w14:textId="5DF95D34" w:rsidR="00430A79" w:rsidRPr="009F5CA1" w:rsidRDefault="003C390F" w:rsidP="00430A79">
      <w:pPr>
        <w:jc w:val="both"/>
        <w:rPr>
          <w:rFonts w:ascii="Arial Narrow" w:eastAsia="Calibri" w:hAnsi="Arial Narrow" w:cs="Calibri"/>
          <w:color w:val="000000" w:themeColor="text1"/>
          <w:sz w:val="22"/>
          <w:szCs w:val="22"/>
          <w:lang w:val="sq-AL"/>
        </w:rPr>
      </w:pPr>
      <w:r w:rsidRPr="003C390F">
        <w:rPr>
          <w:rFonts w:ascii="Arial Narrow" w:eastAsia="Calibri" w:hAnsi="Arial Narrow" w:cs="Calibri"/>
          <w:sz w:val="22"/>
          <w:szCs w:val="22"/>
          <w:lang w:val="sq-AL"/>
        </w:rPr>
        <w:t>Pajisja statike e ngjeshjes mund të zëvendësohet me kontejnerë të mëdhenj të transportueshëm vetngjeshës, midis 25 dhe 32 m³, të aftë për të ruajtur midis 15 dhe 19 tonë</w:t>
      </w:r>
      <w:r w:rsidR="00430A79" w:rsidRPr="009F5CA1">
        <w:rPr>
          <w:rFonts w:ascii="Arial Narrow" w:eastAsia="Calibri" w:hAnsi="Arial Narrow" w:cs="Calibri"/>
          <w:color w:val="000000" w:themeColor="text1"/>
          <w:sz w:val="22"/>
          <w:szCs w:val="22"/>
          <w:lang w:val="sq-AL"/>
        </w:rPr>
        <w:t>.</w:t>
      </w:r>
    </w:p>
    <w:p w14:paraId="148302AE"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010A8F14" w14:textId="77777777" w:rsidR="00430A79" w:rsidRPr="00430A79" w:rsidRDefault="00430A79" w:rsidP="00430A79">
      <w:pPr>
        <w:jc w:val="both"/>
        <w:rPr>
          <w:rFonts w:ascii="Arial Narrow" w:eastAsia="Calibri" w:hAnsi="Arial Narrow" w:cs="Calibri"/>
          <w:color w:val="000000" w:themeColor="text1"/>
          <w:sz w:val="22"/>
          <w:szCs w:val="22"/>
          <w:lang w:val="en-GB"/>
        </w:rPr>
      </w:pPr>
      <w:r w:rsidRPr="00430A79">
        <w:rPr>
          <w:rFonts w:ascii="Arial" w:hAnsi="Arial" w:cs="Arial"/>
          <w:sz w:val="22"/>
          <w:szCs w:val="22"/>
          <w:lang w:val="bg-BG" w:eastAsia="bg-BG"/>
        </w:rPr>
        <w:object w:dxaOrig="8281" w:dyaOrig="3361" w14:anchorId="06639A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2pt;height:203.15pt" o:ole="" fillcolor="window">
            <v:imagedata r:id="rId62" o:title=""/>
          </v:shape>
          <o:OLEObject Type="Embed" ProgID="Word.Picture.8" ShapeID="_x0000_i1025" DrawAspect="Content" ObjectID="_1808892822" r:id="rId63"/>
        </w:object>
      </w:r>
    </w:p>
    <w:p w14:paraId="0D1F98C8" w14:textId="1F26E981" w:rsidR="00430A79" w:rsidRPr="00430A79" w:rsidRDefault="00430A79" w:rsidP="006347D6">
      <w:pPr>
        <w:pStyle w:val="Figure"/>
        <w:rPr>
          <w:rFonts w:eastAsia="Calibri" w:cs="Calibri"/>
          <w:sz w:val="20"/>
          <w:szCs w:val="20"/>
        </w:rPr>
      </w:pPr>
      <w:bookmarkStart w:id="324" w:name="_Toc185866242"/>
      <w:bookmarkStart w:id="325" w:name="_Toc197472321"/>
      <w:r w:rsidRPr="00430A79">
        <w:rPr>
          <w:rFonts w:eastAsia="Calibri" w:cs="Calibri"/>
          <w:sz w:val="20"/>
          <w:szCs w:val="20"/>
        </w:rPr>
        <w:t xml:space="preserve">Figura </w:t>
      </w:r>
      <w:r w:rsidRPr="00430A79">
        <w:rPr>
          <w:rFonts w:eastAsia="Calibri" w:cs="Calibri"/>
          <w:sz w:val="20"/>
          <w:szCs w:val="20"/>
        </w:rPr>
        <w:fldChar w:fldCharType="begin"/>
      </w:r>
      <w:r w:rsidRPr="00430A79">
        <w:rPr>
          <w:rFonts w:eastAsia="Calibri" w:cs="Calibri"/>
          <w:sz w:val="20"/>
          <w:szCs w:val="20"/>
        </w:rPr>
        <w:instrText xml:space="preserve"> SEQ Figure \* ARABIC </w:instrText>
      </w:r>
      <w:r w:rsidRPr="00430A79">
        <w:rPr>
          <w:rFonts w:eastAsia="Calibri" w:cs="Calibri"/>
          <w:sz w:val="20"/>
          <w:szCs w:val="20"/>
        </w:rPr>
        <w:fldChar w:fldCharType="separate"/>
      </w:r>
      <w:r w:rsidR="00C97DF3">
        <w:rPr>
          <w:rFonts w:eastAsia="Calibri" w:cs="Calibri"/>
          <w:noProof/>
          <w:sz w:val="20"/>
          <w:szCs w:val="20"/>
        </w:rPr>
        <w:t xml:space="preserve">19. </w:t>
      </w:r>
      <w:r w:rsidRPr="00430A79">
        <w:rPr>
          <w:rFonts w:eastAsia="Calibri" w:cs="Calibri"/>
          <w:sz w:val="20"/>
          <w:szCs w:val="20"/>
        </w:rPr>
        <w:fldChar w:fldCharType="end"/>
      </w:r>
      <w:r w:rsidRPr="00430A79">
        <w:rPr>
          <w:rFonts w:eastAsia="Calibri" w:cs="Calibri"/>
          <w:sz w:val="20"/>
          <w:szCs w:val="20"/>
        </w:rPr>
        <w:t>Stacioni i transferi me ngjeshje</w:t>
      </w:r>
      <w:bookmarkEnd w:id="324"/>
      <w:bookmarkEnd w:id="325"/>
    </w:p>
    <w:p w14:paraId="1034F213" w14:textId="77777777" w:rsidR="00430A79" w:rsidRPr="009F5CA1" w:rsidRDefault="00430A79" w:rsidP="00430A79">
      <w:pPr>
        <w:jc w:val="both"/>
        <w:rPr>
          <w:rFonts w:ascii="Arial Narrow" w:eastAsia="Calibri" w:hAnsi="Arial Narrow" w:cs="Calibri"/>
          <w:color w:val="000000" w:themeColor="text1"/>
          <w:sz w:val="22"/>
          <w:szCs w:val="22"/>
          <w:lang w:val="es-ES"/>
        </w:rPr>
      </w:pPr>
      <w:r w:rsidRPr="009F5CA1">
        <w:rPr>
          <w:rFonts w:ascii="Arial Narrow" w:eastAsia="Calibri" w:hAnsi="Arial Narrow" w:cs="Calibri"/>
          <w:color w:val="000000" w:themeColor="text1"/>
          <w:sz w:val="22"/>
          <w:szCs w:val="22"/>
          <w:lang w:val="es-ES"/>
        </w:rPr>
        <w:t xml:space="preserve"> </w:t>
      </w:r>
    </w:p>
    <w:p w14:paraId="5A377178" w14:textId="4C5CD5D8" w:rsidR="00430A79" w:rsidRPr="009F5CA1" w:rsidRDefault="00430A79" w:rsidP="00430A79">
      <w:pPr>
        <w:jc w:val="both"/>
        <w:rPr>
          <w:rFonts w:ascii="Arial Narrow" w:eastAsia="Calibri" w:hAnsi="Arial Narrow" w:cs="Calibri"/>
          <w:color w:val="000000" w:themeColor="text1"/>
          <w:sz w:val="22"/>
          <w:szCs w:val="22"/>
          <w:u w:val="single"/>
          <w:lang w:val="es-ES"/>
        </w:rPr>
      </w:pPr>
      <w:proofErr w:type="spellStart"/>
      <w:r w:rsidRPr="009F5CA1">
        <w:rPr>
          <w:rFonts w:ascii="Arial Narrow" w:eastAsia="Calibri" w:hAnsi="Arial Narrow" w:cs="Calibri"/>
          <w:color w:val="000000" w:themeColor="text1"/>
          <w:sz w:val="22"/>
          <w:szCs w:val="22"/>
          <w:u w:val="single"/>
          <w:lang w:val="es-ES"/>
        </w:rPr>
        <w:t>Stacione</w:t>
      </w:r>
      <w:proofErr w:type="spellEnd"/>
      <w:r w:rsidRPr="009F5CA1">
        <w:rPr>
          <w:rFonts w:ascii="Arial Narrow" w:eastAsia="Calibri" w:hAnsi="Arial Narrow" w:cs="Calibri"/>
          <w:color w:val="000000" w:themeColor="text1"/>
          <w:sz w:val="22"/>
          <w:szCs w:val="22"/>
          <w:u w:val="single"/>
          <w:lang w:val="es-ES"/>
        </w:rPr>
        <w:t xml:space="preserve"> </w:t>
      </w:r>
      <w:proofErr w:type="spellStart"/>
      <w:r w:rsidRPr="009F5CA1">
        <w:rPr>
          <w:rFonts w:ascii="Arial Narrow" w:eastAsia="Calibri" w:hAnsi="Arial Narrow" w:cs="Calibri"/>
          <w:color w:val="000000" w:themeColor="text1"/>
          <w:sz w:val="22"/>
          <w:szCs w:val="22"/>
          <w:u w:val="single"/>
          <w:lang w:val="es-ES"/>
        </w:rPr>
        <w:t>transferi</w:t>
      </w:r>
      <w:proofErr w:type="spellEnd"/>
      <w:r w:rsidRPr="009F5CA1">
        <w:rPr>
          <w:rFonts w:ascii="Arial Narrow" w:eastAsia="Calibri" w:hAnsi="Arial Narrow" w:cs="Calibri"/>
          <w:color w:val="000000" w:themeColor="text1"/>
          <w:sz w:val="22"/>
          <w:szCs w:val="22"/>
          <w:u w:val="single"/>
          <w:lang w:val="es-ES"/>
        </w:rPr>
        <w:t xml:space="preserve"> </w:t>
      </w:r>
      <w:proofErr w:type="spellStart"/>
      <w:r w:rsidRPr="009F5CA1">
        <w:rPr>
          <w:rFonts w:ascii="Arial Narrow" w:eastAsia="Calibri" w:hAnsi="Arial Narrow" w:cs="Calibri"/>
          <w:color w:val="000000" w:themeColor="text1"/>
          <w:sz w:val="22"/>
          <w:szCs w:val="22"/>
          <w:u w:val="single"/>
          <w:lang w:val="es-ES"/>
        </w:rPr>
        <w:t>pa</w:t>
      </w:r>
      <w:proofErr w:type="spellEnd"/>
      <w:r w:rsidRPr="009F5CA1">
        <w:rPr>
          <w:rFonts w:ascii="Arial Narrow" w:eastAsia="Calibri" w:hAnsi="Arial Narrow" w:cs="Calibri"/>
          <w:color w:val="000000" w:themeColor="text1"/>
          <w:sz w:val="22"/>
          <w:szCs w:val="22"/>
          <w:u w:val="single"/>
          <w:lang w:val="es-ES"/>
        </w:rPr>
        <w:t xml:space="preserve"> </w:t>
      </w:r>
      <w:proofErr w:type="spellStart"/>
      <w:r w:rsidRPr="009F5CA1">
        <w:rPr>
          <w:rFonts w:ascii="Arial Narrow" w:eastAsia="Calibri" w:hAnsi="Arial Narrow" w:cs="Calibri"/>
          <w:color w:val="000000" w:themeColor="text1"/>
          <w:sz w:val="22"/>
          <w:szCs w:val="22"/>
          <w:u w:val="single"/>
          <w:lang w:val="es-ES"/>
        </w:rPr>
        <w:t>ngjeshje</w:t>
      </w:r>
      <w:proofErr w:type="spellEnd"/>
    </w:p>
    <w:p w14:paraId="7D1521BC" w14:textId="77777777" w:rsidR="00FA3578" w:rsidRPr="00FA3578" w:rsidRDefault="00FA3578" w:rsidP="00FA3578">
      <w:pPr>
        <w:pStyle w:val="Paragraph"/>
        <w:spacing w:after="0"/>
        <w:rPr>
          <w:rFonts w:eastAsia="Calibri" w:cs="Calibri"/>
          <w:lang w:val="sq-AL"/>
        </w:rPr>
      </w:pPr>
      <w:r w:rsidRPr="00FA3578">
        <w:rPr>
          <w:rFonts w:eastAsia="Calibri" w:cs="Calibri"/>
          <w:lang w:val="sq-AL"/>
        </w:rPr>
        <w:t>Në shumicën e rasteve ky stacion transferi përdor kontejnerë të hapur, siç tregohet në foton më poshtë, ku mbeturinat shkarkohen direkt nga kamioni grumbullues. Në vend të kontejnerëve, mbeturinat mund të shkarkohen në rimorkio. Në fakt automjetet e transportit mund të marrin dy, madje edhe tre rimorkio, në varësi të topografisë dhe rregulloreve të ngarkesës të vendeve përkatëse.</w:t>
      </w:r>
    </w:p>
    <w:p w14:paraId="2EBC18DE" w14:textId="77777777" w:rsidR="00FA3578" w:rsidRPr="00FA3578" w:rsidRDefault="00FA3578" w:rsidP="00FA3578">
      <w:pPr>
        <w:pStyle w:val="Paragraph"/>
        <w:spacing w:after="0"/>
        <w:rPr>
          <w:rFonts w:eastAsia="Calibri" w:cs="Calibri"/>
          <w:lang w:val="sq-AL"/>
        </w:rPr>
      </w:pPr>
    </w:p>
    <w:p w14:paraId="73AC3E25" w14:textId="0112C1F6" w:rsidR="00430A79" w:rsidRPr="009F5CA1" w:rsidRDefault="00FA3578" w:rsidP="00FA3578">
      <w:pPr>
        <w:jc w:val="both"/>
        <w:rPr>
          <w:rFonts w:ascii="Arial Narrow" w:eastAsia="Calibri" w:hAnsi="Arial Narrow" w:cs="Calibri"/>
          <w:color w:val="000000" w:themeColor="text1"/>
          <w:sz w:val="22"/>
          <w:szCs w:val="22"/>
          <w:lang w:val="sq-AL"/>
        </w:rPr>
      </w:pPr>
      <w:r w:rsidRPr="00FA3578">
        <w:rPr>
          <w:rFonts w:ascii="Arial Narrow" w:eastAsia="Calibri" w:hAnsi="Arial Narrow" w:cs="Calibri"/>
          <w:sz w:val="22"/>
          <w:szCs w:val="22"/>
          <w:lang w:val="sq-AL"/>
        </w:rPr>
        <w:t>Në varësi të raportit të ngjeshjes së mbeturinave hyrëse, një kontenier prej 35 m³ mund të transportojë nga 4 deri në 10 tonë</w:t>
      </w:r>
      <w:r w:rsidR="00430A79" w:rsidRPr="009F5CA1">
        <w:rPr>
          <w:rFonts w:ascii="Arial Narrow" w:eastAsia="Calibri" w:hAnsi="Arial Narrow" w:cs="Calibri"/>
          <w:color w:val="000000" w:themeColor="text1"/>
          <w:sz w:val="22"/>
          <w:szCs w:val="22"/>
          <w:lang w:val="sq-AL"/>
        </w:rPr>
        <w:t>.</w:t>
      </w:r>
    </w:p>
    <w:p w14:paraId="31D9152B" w14:textId="77777777" w:rsidR="00430A79" w:rsidRPr="00430A79" w:rsidRDefault="00430A79" w:rsidP="00430A79">
      <w:pPr>
        <w:jc w:val="center"/>
        <w:rPr>
          <w:rFonts w:ascii="Arial Narrow" w:eastAsia="Calibri" w:hAnsi="Arial Narrow" w:cs="Calibri"/>
          <w:color w:val="000000" w:themeColor="text1"/>
          <w:sz w:val="22"/>
          <w:szCs w:val="22"/>
          <w:lang w:val="en-GB"/>
        </w:rPr>
      </w:pPr>
      <w:r w:rsidRPr="00430A79">
        <w:rPr>
          <w:rFonts w:ascii="Arial" w:hAnsi="Arial"/>
          <w:noProof/>
          <w:sz w:val="22"/>
          <w:szCs w:val="22"/>
          <w:lang w:val="bg-BG" w:eastAsia="bg-BG"/>
        </w:rPr>
        <w:drawing>
          <wp:inline distT="0" distB="0" distL="0" distR="0" wp14:anchorId="48F07A61" wp14:editId="4C93B97F">
            <wp:extent cx="3727450" cy="2059026"/>
            <wp:effectExtent l="0" t="0" r="6350" b="0"/>
            <wp:docPr id="373049488" name="Picture 3" descr="ts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 copy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40954" cy="2066485"/>
                    </a:xfrm>
                    <a:prstGeom prst="rect">
                      <a:avLst/>
                    </a:prstGeom>
                    <a:noFill/>
                    <a:ln>
                      <a:noFill/>
                    </a:ln>
                  </pic:spPr>
                </pic:pic>
              </a:graphicData>
            </a:graphic>
          </wp:inline>
        </w:drawing>
      </w:r>
    </w:p>
    <w:p w14:paraId="700DD2AF" w14:textId="79C297EB" w:rsidR="00430A79" w:rsidRDefault="00430A79" w:rsidP="006347D6">
      <w:pPr>
        <w:pStyle w:val="Figure"/>
        <w:rPr>
          <w:rFonts w:eastAsia="Calibri" w:cs="Calibri"/>
          <w:sz w:val="20"/>
          <w:szCs w:val="20"/>
        </w:rPr>
      </w:pPr>
      <w:bookmarkStart w:id="326" w:name="_Toc185866243"/>
      <w:bookmarkStart w:id="327" w:name="_Toc197472322"/>
      <w:r w:rsidRPr="00430A79">
        <w:rPr>
          <w:rFonts w:eastAsia="Calibri" w:cs="Calibri"/>
          <w:sz w:val="20"/>
          <w:szCs w:val="20"/>
        </w:rPr>
        <w:t xml:space="preserve">Figura </w:t>
      </w:r>
      <w:r w:rsidRPr="00430A79">
        <w:rPr>
          <w:rFonts w:eastAsia="Calibri" w:cs="Calibri"/>
          <w:sz w:val="20"/>
          <w:szCs w:val="20"/>
        </w:rPr>
        <w:fldChar w:fldCharType="begin"/>
      </w:r>
      <w:r w:rsidRPr="00430A79">
        <w:rPr>
          <w:rFonts w:eastAsia="Calibri" w:cs="Calibri"/>
          <w:sz w:val="20"/>
          <w:szCs w:val="20"/>
        </w:rPr>
        <w:instrText xml:space="preserve"> SEQ Figure \* ARABIC </w:instrText>
      </w:r>
      <w:r w:rsidRPr="00430A79">
        <w:rPr>
          <w:rFonts w:eastAsia="Calibri" w:cs="Calibri"/>
          <w:sz w:val="20"/>
          <w:szCs w:val="20"/>
        </w:rPr>
        <w:fldChar w:fldCharType="separate"/>
      </w:r>
      <w:r w:rsidR="00C97DF3">
        <w:rPr>
          <w:rFonts w:eastAsia="Calibri" w:cs="Calibri"/>
          <w:noProof/>
          <w:sz w:val="20"/>
          <w:szCs w:val="20"/>
        </w:rPr>
        <w:t xml:space="preserve">20. </w:t>
      </w:r>
      <w:r w:rsidRPr="00430A79">
        <w:rPr>
          <w:rFonts w:eastAsia="Calibri" w:cs="Calibri"/>
          <w:sz w:val="20"/>
          <w:szCs w:val="20"/>
        </w:rPr>
        <w:fldChar w:fldCharType="end"/>
      </w:r>
      <w:r w:rsidRPr="00430A79">
        <w:rPr>
          <w:rFonts w:eastAsia="Calibri" w:cs="Calibri"/>
          <w:sz w:val="20"/>
          <w:szCs w:val="20"/>
        </w:rPr>
        <w:t>Stacione transferi pa ngjeshje</w:t>
      </w:r>
      <w:bookmarkEnd w:id="326"/>
      <w:bookmarkEnd w:id="327"/>
    </w:p>
    <w:p w14:paraId="3D4D37A1" w14:textId="77777777" w:rsidR="00282B31" w:rsidRPr="00430A79" w:rsidRDefault="00282B31" w:rsidP="006347D6">
      <w:pPr>
        <w:pStyle w:val="Figure"/>
        <w:rPr>
          <w:rFonts w:eastAsia="Calibri" w:cs="Calibri"/>
          <w:sz w:val="20"/>
          <w:szCs w:val="20"/>
        </w:rPr>
      </w:pPr>
    </w:p>
    <w:p w14:paraId="23C20949" w14:textId="77777777" w:rsidR="00430A79" w:rsidRPr="00430A79" w:rsidRDefault="00430A79" w:rsidP="000D7AD0">
      <w:pPr>
        <w:pStyle w:val="Heading3"/>
      </w:pPr>
      <w:bookmarkStart w:id="328" w:name="_Toc185866112"/>
      <w:bookmarkStart w:id="329" w:name="_Toc197472009"/>
      <w:r w:rsidRPr="00430A79">
        <w:t>Opsionet për transportin e mbeturinave</w:t>
      </w:r>
      <w:bookmarkEnd w:id="328"/>
      <w:bookmarkEnd w:id="329"/>
    </w:p>
    <w:p w14:paraId="040141E2" w14:textId="4FD3F48A" w:rsidR="00430A79" w:rsidRDefault="00FA3578" w:rsidP="00430A79">
      <w:pPr>
        <w:jc w:val="both"/>
        <w:rPr>
          <w:rFonts w:ascii="Arial Narrow" w:eastAsia="Calibri" w:hAnsi="Arial Narrow" w:cs="Calibri"/>
          <w:color w:val="000000" w:themeColor="text1"/>
          <w:sz w:val="22"/>
          <w:szCs w:val="22"/>
          <w:lang w:val="en-GB"/>
        </w:rPr>
      </w:pPr>
      <w:proofErr w:type="spellStart"/>
      <w:r>
        <w:rPr>
          <w:rFonts w:ascii="Arial Narrow" w:eastAsia="Calibri" w:hAnsi="Arial Narrow" w:cs="Calibri"/>
          <w:color w:val="000000" w:themeColor="text1"/>
          <w:sz w:val="22"/>
          <w:szCs w:val="22"/>
          <w:lang w:val="en-GB"/>
        </w:rPr>
        <w:t>A</w:t>
      </w:r>
      <w:r w:rsidR="00430A79" w:rsidRPr="00430A79">
        <w:rPr>
          <w:rFonts w:ascii="Arial Narrow" w:eastAsia="Calibri" w:hAnsi="Arial Narrow" w:cs="Calibri"/>
          <w:color w:val="000000" w:themeColor="text1"/>
          <w:sz w:val="22"/>
          <w:szCs w:val="22"/>
          <w:lang w:val="en-GB"/>
        </w:rPr>
        <w:t>lternativat</w:t>
      </w:r>
      <w:proofErr w:type="spellEnd"/>
      <w:r w:rsidR="00430A79" w:rsidRPr="00430A79">
        <w:rPr>
          <w:rFonts w:ascii="Arial Narrow" w:eastAsia="Calibri" w:hAnsi="Arial Narrow" w:cs="Calibri"/>
          <w:color w:val="000000" w:themeColor="text1"/>
          <w:sz w:val="22"/>
          <w:szCs w:val="22"/>
          <w:lang w:val="en-GB"/>
        </w:rPr>
        <w:t xml:space="preserve"> e </w:t>
      </w:r>
      <w:proofErr w:type="spellStart"/>
      <w:r w:rsidR="00430A79" w:rsidRPr="00430A79">
        <w:rPr>
          <w:rFonts w:ascii="Arial Narrow" w:eastAsia="Calibri" w:hAnsi="Arial Narrow" w:cs="Calibri"/>
          <w:color w:val="000000" w:themeColor="text1"/>
          <w:sz w:val="22"/>
          <w:szCs w:val="22"/>
          <w:lang w:val="en-GB"/>
        </w:rPr>
        <w:t>mëposhtme</w:t>
      </w:r>
      <w:proofErr w:type="spellEnd"/>
      <w:r w:rsidR="00430A79" w:rsidRPr="00430A79">
        <w:rPr>
          <w:rFonts w:ascii="Arial Narrow" w:eastAsia="Calibri" w:hAnsi="Arial Narrow" w:cs="Calibri"/>
          <w:color w:val="000000" w:themeColor="text1"/>
          <w:sz w:val="22"/>
          <w:szCs w:val="22"/>
          <w:lang w:val="en-GB"/>
        </w:rPr>
        <w:t xml:space="preserve"> </w:t>
      </w:r>
      <w:proofErr w:type="spellStart"/>
      <w:r>
        <w:rPr>
          <w:rFonts w:ascii="Arial Narrow" w:eastAsia="Calibri" w:hAnsi="Arial Narrow" w:cs="Calibri"/>
          <w:color w:val="000000" w:themeColor="text1"/>
          <w:sz w:val="22"/>
          <w:szCs w:val="22"/>
          <w:lang w:val="en-GB"/>
        </w:rPr>
        <w:t>janë</w:t>
      </w:r>
      <w:proofErr w:type="spellEnd"/>
      <w:r>
        <w:rPr>
          <w:rFonts w:ascii="Arial Narrow" w:eastAsia="Calibri" w:hAnsi="Arial Narrow" w:cs="Calibri"/>
          <w:color w:val="000000" w:themeColor="text1"/>
          <w:sz w:val="22"/>
          <w:szCs w:val="22"/>
          <w:lang w:val="en-GB"/>
        </w:rPr>
        <w:t xml:space="preserve"> </w:t>
      </w:r>
      <w:proofErr w:type="spellStart"/>
      <w:r>
        <w:rPr>
          <w:rFonts w:ascii="Arial Narrow" w:eastAsia="Calibri" w:hAnsi="Arial Narrow" w:cs="Calibri"/>
          <w:color w:val="000000" w:themeColor="text1"/>
          <w:sz w:val="22"/>
          <w:szCs w:val="22"/>
          <w:lang w:val="en-GB"/>
        </w:rPr>
        <w:t>analizuar</w:t>
      </w:r>
      <w:proofErr w:type="spellEnd"/>
      <w:r>
        <w:rPr>
          <w:rFonts w:ascii="Arial Narrow" w:eastAsia="Calibri" w:hAnsi="Arial Narrow" w:cs="Calibri"/>
          <w:color w:val="000000" w:themeColor="text1"/>
          <w:sz w:val="22"/>
          <w:szCs w:val="22"/>
          <w:lang w:val="en-GB"/>
        </w:rPr>
        <w:t xml:space="preserve"> </w:t>
      </w:r>
      <w:proofErr w:type="spellStart"/>
      <w:r w:rsidR="00430A79" w:rsidRPr="00430A79">
        <w:rPr>
          <w:rFonts w:ascii="Arial Narrow" w:eastAsia="Calibri" w:hAnsi="Arial Narrow" w:cs="Calibri"/>
          <w:color w:val="000000" w:themeColor="text1"/>
          <w:sz w:val="22"/>
          <w:szCs w:val="22"/>
          <w:lang w:val="en-GB"/>
        </w:rPr>
        <w:t>për</w:t>
      </w:r>
      <w:proofErr w:type="spellEnd"/>
      <w:r w:rsidR="00430A79" w:rsidRPr="00430A79">
        <w:rPr>
          <w:rFonts w:ascii="Arial Narrow" w:eastAsia="Calibri" w:hAnsi="Arial Narrow" w:cs="Calibri"/>
          <w:color w:val="000000" w:themeColor="text1"/>
          <w:sz w:val="22"/>
          <w:szCs w:val="22"/>
          <w:lang w:val="en-GB"/>
        </w:rPr>
        <w:t xml:space="preserve"> </w:t>
      </w:r>
      <w:proofErr w:type="spellStart"/>
      <w:r w:rsidR="00430A79" w:rsidRPr="00430A79">
        <w:rPr>
          <w:rFonts w:ascii="Arial Narrow" w:eastAsia="Calibri" w:hAnsi="Arial Narrow" w:cs="Calibri"/>
          <w:color w:val="000000" w:themeColor="text1"/>
          <w:sz w:val="22"/>
          <w:szCs w:val="22"/>
          <w:lang w:val="en-GB"/>
        </w:rPr>
        <w:t>transferimin</w:t>
      </w:r>
      <w:proofErr w:type="spellEnd"/>
      <w:r w:rsidR="00430A79" w:rsidRPr="00430A79">
        <w:rPr>
          <w:rFonts w:ascii="Arial Narrow" w:eastAsia="Calibri" w:hAnsi="Arial Narrow" w:cs="Calibri"/>
          <w:color w:val="000000" w:themeColor="text1"/>
          <w:sz w:val="22"/>
          <w:szCs w:val="22"/>
          <w:lang w:val="en-GB"/>
        </w:rPr>
        <w:t xml:space="preserve"> e </w:t>
      </w:r>
      <w:proofErr w:type="spellStart"/>
      <w:r w:rsidR="00430A79" w:rsidRPr="00430A79">
        <w:rPr>
          <w:rFonts w:ascii="Arial Narrow" w:eastAsia="Calibri" w:hAnsi="Arial Narrow" w:cs="Calibri"/>
          <w:color w:val="000000" w:themeColor="text1"/>
          <w:sz w:val="22"/>
          <w:szCs w:val="22"/>
          <w:lang w:val="en-GB"/>
        </w:rPr>
        <w:t>mbeturinave</w:t>
      </w:r>
      <w:proofErr w:type="spellEnd"/>
      <w:r w:rsidR="00430A79" w:rsidRPr="00430A79">
        <w:rPr>
          <w:rFonts w:ascii="Arial Narrow" w:eastAsia="Calibri" w:hAnsi="Arial Narrow" w:cs="Calibri"/>
          <w:color w:val="000000" w:themeColor="text1"/>
          <w:sz w:val="22"/>
          <w:szCs w:val="22"/>
          <w:lang w:val="en-GB"/>
        </w:rPr>
        <w:t>:</w:t>
      </w:r>
    </w:p>
    <w:p w14:paraId="14CA98AB" w14:textId="77777777" w:rsidR="00FA3578" w:rsidRPr="00FA3578" w:rsidRDefault="00FA3578" w:rsidP="00FA3578">
      <w:pPr>
        <w:pStyle w:val="Paragraph"/>
        <w:numPr>
          <w:ilvl w:val="0"/>
          <w:numId w:val="25"/>
        </w:numPr>
        <w:spacing w:after="0"/>
        <w:rPr>
          <w:rFonts w:eastAsia="Calibri" w:cs="Calibri"/>
          <w:lang w:val="sq-AL"/>
        </w:rPr>
      </w:pPr>
      <w:r w:rsidRPr="00FA3578">
        <w:rPr>
          <w:rFonts w:eastAsia="Calibri" w:cs="Calibri"/>
          <w:lang w:val="sq-AL"/>
        </w:rPr>
        <w:lastRenderedPageBreak/>
        <w:t>Alternativa 1: Krijimi i 3 stacioneve të transferit pa ngjshje në komunat Istog , Klinë dhe Deçan</w:t>
      </w:r>
      <w:r w:rsidRPr="00FA3578">
        <w:rPr>
          <w:rStyle w:val="FootnoteReference"/>
          <w:rFonts w:ascii="Arial Narrow" w:eastAsia="Calibri" w:hAnsi="Arial Narrow" w:cs="Calibri"/>
          <w:sz w:val="22"/>
          <w:lang w:val="sq-AL"/>
        </w:rPr>
        <w:footnoteReference w:id="21"/>
      </w:r>
      <w:r w:rsidRPr="00FA3578">
        <w:rPr>
          <w:rFonts w:eastAsia="Calibri" w:cs="Calibri"/>
          <w:lang w:val="sq-AL"/>
        </w:rPr>
        <w:t>. Në këtë rast do të përdoren kontejnerë të hapur me rrotullim prej 30 m³. Do të përdoret një mjet transporti me rimorkio që lejon transportimin e dy kontejnerëve me rrotullim për çdo udhëtim.</w:t>
      </w:r>
    </w:p>
    <w:p w14:paraId="77FC795F" w14:textId="3B4F8980" w:rsidR="00430A79" w:rsidRPr="009F5CA1" w:rsidRDefault="00FA3578" w:rsidP="00FA3578">
      <w:pPr>
        <w:numPr>
          <w:ilvl w:val="0"/>
          <w:numId w:val="25"/>
        </w:numPr>
        <w:jc w:val="both"/>
        <w:rPr>
          <w:rFonts w:ascii="Arial Narrow" w:eastAsia="Calibri" w:hAnsi="Arial Narrow" w:cs="Calibri"/>
          <w:color w:val="000000" w:themeColor="text1"/>
          <w:sz w:val="22"/>
          <w:szCs w:val="22"/>
          <w:lang w:val="sq-AL"/>
        </w:rPr>
      </w:pPr>
      <w:r w:rsidRPr="00FA3578">
        <w:rPr>
          <w:rFonts w:ascii="Arial Narrow" w:eastAsia="Calibri" w:hAnsi="Arial Narrow" w:cs="Calibri"/>
          <w:sz w:val="22"/>
          <w:szCs w:val="22"/>
          <w:lang w:val="sq-AL"/>
        </w:rPr>
        <w:t>Alternativa 2: Krijimi i 3 stacioneve të transferimit me ngjeshje stacionare në komunat e Istogut dhe Deçanit</w:t>
      </w:r>
      <w:r w:rsidR="00430A79" w:rsidRPr="009F5CA1">
        <w:rPr>
          <w:rFonts w:ascii="Arial Narrow" w:eastAsia="Calibri" w:hAnsi="Arial Narrow" w:cs="Calibri"/>
          <w:color w:val="000000" w:themeColor="text1"/>
          <w:sz w:val="22"/>
          <w:szCs w:val="22"/>
          <w:lang w:val="sq-AL"/>
        </w:rPr>
        <w:t>.</w:t>
      </w:r>
    </w:p>
    <w:p w14:paraId="0B6A7989" w14:textId="77777777" w:rsidR="001B756B" w:rsidRPr="009F5CA1" w:rsidRDefault="001B756B" w:rsidP="00430A79">
      <w:pPr>
        <w:jc w:val="both"/>
        <w:rPr>
          <w:rFonts w:ascii="Arial Narrow" w:eastAsia="Calibri" w:hAnsi="Arial Narrow" w:cs="Calibri"/>
          <w:color w:val="000000" w:themeColor="text1"/>
          <w:sz w:val="22"/>
          <w:szCs w:val="22"/>
          <w:lang w:val="sq-AL"/>
        </w:rPr>
      </w:pPr>
    </w:p>
    <w:p w14:paraId="2BC9255A" w14:textId="74D3A744" w:rsidR="00430A79" w:rsidRPr="009F5CA1" w:rsidRDefault="00430A79" w:rsidP="00430A79">
      <w:pPr>
        <w:jc w:val="both"/>
        <w:rPr>
          <w:rFonts w:ascii="Arial Narrow" w:eastAsia="Calibri" w:hAnsi="Arial Narrow" w:cs="Calibri"/>
          <w:color w:val="000000" w:themeColor="text1"/>
          <w:sz w:val="22"/>
          <w:szCs w:val="22"/>
          <w:lang w:val="sq-AL"/>
        </w:rPr>
      </w:pPr>
      <w:r w:rsidRPr="009F5CA1">
        <w:rPr>
          <w:rFonts w:ascii="Arial Narrow" w:eastAsia="Calibri" w:hAnsi="Arial Narrow" w:cs="Calibri"/>
          <w:color w:val="000000" w:themeColor="text1"/>
          <w:sz w:val="22"/>
          <w:szCs w:val="22"/>
          <w:lang w:val="sq-AL"/>
        </w:rPr>
        <w:t xml:space="preserve">Të dyja opsionet </w:t>
      </w:r>
      <w:r w:rsidR="00FA3578" w:rsidRPr="009F5CA1">
        <w:rPr>
          <w:rFonts w:ascii="Arial Narrow" w:eastAsia="Calibri" w:hAnsi="Arial Narrow" w:cs="Calibri"/>
          <w:color w:val="000000" w:themeColor="text1"/>
          <w:sz w:val="22"/>
          <w:szCs w:val="22"/>
          <w:lang w:val="sq-AL"/>
        </w:rPr>
        <w:t xml:space="preserve">janë </w:t>
      </w:r>
      <w:r w:rsidRPr="009F5CA1">
        <w:rPr>
          <w:rFonts w:ascii="Arial Narrow" w:eastAsia="Calibri" w:hAnsi="Arial Narrow" w:cs="Calibri"/>
          <w:color w:val="000000" w:themeColor="text1"/>
          <w:sz w:val="22"/>
          <w:szCs w:val="22"/>
          <w:lang w:val="sq-AL"/>
        </w:rPr>
        <w:t>krahas</w:t>
      </w:r>
      <w:r w:rsidR="00FA3578" w:rsidRPr="009F5CA1">
        <w:rPr>
          <w:rFonts w:ascii="Arial Narrow" w:eastAsia="Calibri" w:hAnsi="Arial Narrow" w:cs="Calibri"/>
          <w:color w:val="000000" w:themeColor="text1"/>
          <w:sz w:val="22"/>
          <w:szCs w:val="22"/>
          <w:lang w:val="sq-AL"/>
        </w:rPr>
        <w:t>uar</w:t>
      </w:r>
      <w:r w:rsidRPr="009F5CA1">
        <w:rPr>
          <w:rFonts w:ascii="Arial Narrow" w:eastAsia="Calibri" w:hAnsi="Arial Narrow" w:cs="Calibri"/>
          <w:color w:val="000000" w:themeColor="text1"/>
          <w:sz w:val="22"/>
          <w:szCs w:val="22"/>
          <w:lang w:val="sq-AL"/>
        </w:rPr>
        <w:t xml:space="preserve"> me transportin e drejtpërdrejtë të mbeturinave në deponinë rajonale.</w:t>
      </w:r>
    </w:p>
    <w:p w14:paraId="5EAAC0A4"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57AD3057" w14:textId="77777777" w:rsidR="00430A79" w:rsidRPr="00430A79" w:rsidRDefault="00430A79" w:rsidP="000D7AD0">
      <w:pPr>
        <w:pStyle w:val="Heading3"/>
      </w:pPr>
      <w:bookmarkStart w:id="330" w:name="_Toc185866113"/>
      <w:bookmarkStart w:id="331" w:name="_Toc197472010"/>
      <w:r w:rsidRPr="00430A79">
        <w:t>Krahasimi i kostos së opsioneve</w:t>
      </w:r>
      <w:bookmarkEnd w:id="330"/>
      <w:bookmarkEnd w:id="331"/>
    </w:p>
    <w:p w14:paraId="2A244E80" w14:textId="77777777" w:rsidR="00430A79" w:rsidRPr="00430A79" w:rsidRDefault="00430A79" w:rsidP="00430A79">
      <w:pPr>
        <w:jc w:val="both"/>
        <w:rPr>
          <w:rFonts w:ascii="Arial Narrow" w:eastAsia="Calibri" w:hAnsi="Arial Narrow" w:cs="Calibri"/>
          <w:color w:val="000000" w:themeColor="text1"/>
          <w:sz w:val="22"/>
          <w:szCs w:val="22"/>
          <w:lang w:val="en-GB"/>
        </w:rPr>
      </w:pPr>
    </w:p>
    <w:p w14:paraId="4DE4569F" w14:textId="77777777" w:rsidR="00430A79" w:rsidRPr="00430A79" w:rsidRDefault="00430A79" w:rsidP="00430A79">
      <w:pPr>
        <w:jc w:val="both"/>
        <w:rPr>
          <w:rFonts w:ascii="Arial Narrow" w:eastAsia="Calibri" w:hAnsi="Arial Narrow" w:cs="Calibri"/>
          <w:color w:val="000000" w:themeColor="text1"/>
          <w:sz w:val="22"/>
          <w:szCs w:val="22"/>
          <w:lang w:val="en-GB"/>
        </w:rPr>
      </w:pPr>
      <w:proofErr w:type="spellStart"/>
      <w:r w:rsidRPr="00430A79">
        <w:rPr>
          <w:rFonts w:ascii="Arial Narrow" w:eastAsia="Calibri" w:hAnsi="Arial Narrow" w:cs="Calibri"/>
          <w:color w:val="000000" w:themeColor="text1"/>
          <w:sz w:val="22"/>
          <w:szCs w:val="22"/>
          <w:lang w:val="en-GB"/>
        </w:rPr>
        <w:t>Tabela</w:t>
      </w:r>
      <w:proofErr w:type="spellEnd"/>
      <w:r w:rsidRPr="00430A79">
        <w:rPr>
          <w:rFonts w:ascii="Arial Narrow" w:eastAsia="Calibri" w:hAnsi="Arial Narrow" w:cs="Calibri"/>
          <w:color w:val="000000" w:themeColor="text1"/>
          <w:sz w:val="22"/>
          <w:szCs w:val="22"/>
          <w:lang w:val="en-GB"/>
        </w:rPr>
        <w:t xml:space="preserve"> e </w:t>
      </w:r>
      <w:proofErr w:type="spellStart"/>
      <w:r w:rsidRPr="00430A79">
        <w:rPr>
          <w:rFonts w:ascii="Arial Narrow" w:eastAsia="Calibri" w:hAnsi="Arial Narrow" w:cs="Calibri"/>
          <w:color w:val="000000" w:themeColor="text1"/>
          <w:sz w:val="22"/>
          <w:szCs w:val="22"/>
          <w:lang w:val="en-GB"/>
        </w:rPr>
        <w:t>mëposhtme</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përmbledh</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krahasimin</w:t>
      </w:r>
      <w:proofErr w:type="spellEnd"/>
      <w:r w:rsidRPr="00430A79">
        <w:rPr>
          <w:rFonts w:ascii="Arial Narrow" w:eastAsia="Calibri" w:hAnsi="Arial Narrow" w:cs="Calibri"/>
          <w:color w:val="000000" w:themeColor="text1"/>
          <w:sz w:val="22"/>
          <w:szCs w:val="22"/>
          <w:lang w:val="en-GB"/>
        </w:rPr>
        <w:t xml:space="preserve"> e </w:t>
      </w:r>
      <w:proofErr w:type="spellStart"/>
      <w:r w:rsidRPr="00430A79">
        <w:rPr>
          <w:rFonts w:ascii="Arial Narrow" w:eastAsia="Calibri" w:hAnsi="Arial Narrow" w:cs="Calibri"/>
          <w:color w:val="000000" w:themeColor="text1"/>
          <w:sz w:val="22"/>
          <w:szCs w:val="22"/>
          <w:lang w:val="en-GB"/>
        </w:rPr>
        <w:t>kostove</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të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opsioneve</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të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ndryshme</w:t>
      </w:r>
      <w:proofErr w:type="spellEnd"/>
      <w:r w:rsidRPr="00430A79">
        <w:rPr>
          <w:rFonts w:ascii="Arial Narrow" w:eastAsia="Calibri" w:hAnsi="Arial Narrow" w:cs="Calibri"/>
          <w:color w:val="000000" w:themeColor="text1"/>
          <w:sz w:val="22"/>
          <w:szCs w:val="22"/>
          <w:lang w:val="en-GB"/>
        </w:rPr>
        <w:t>.</w:t>
      </w:r>
    </w:p>
    <w:p w14:paraId="4BDBEE99" w14:textId="77777777" w:rsidR="00430A79" w:rsidRPr="00430A79" w:rsidRDefault="00430A79" w:rsidP="00430A79">
      <w:pPr>
        <w:jc w:val="both"/>
        <w:rPr>
          <w:rFonts w:ascii="Arial Narrow" w:eastAsia="Calibri" w:hAnsi="Arial Narrow" w:cs="Calibri"/>
          <w:color w:val="000000" w:themeColor="text1"/>
          <w:sz w:val="22"/>
          <w:szCs w:val="22"/>
          <w:lang w:val="en-GB"/>
        </w:rPr>
      </w:pPr>
      <w:r w:rsidRPr="00430A79">
        <w:rPr>
          <w:rFonts w:ascii="Arial Narrow" w:eastAsia="Calibri" w:hAnsi="Arial Narrow" w:cs="Calibri"/>
          <w:color w:val="000000" w:themeColor="text1"/>
          <w:sz w:val="22"/>
          <w:szCs w:val="22"/>
          <w:lang w:val="en-GB"/>
        </w:rPr>
        <w:t xml:space="preserve"> </w:t>
      </w:r>
    </w:p>
    <w:p w14:paraId="4F5D3F72" w14:textId="7FBBECD9" w:rsidR="00430A79" w:rsidRPr="00430A79" w:rsidRDefault="00430A79" w:rsidP="00430A79">
      <w:pPr>
        <w:spacing w:after="120"/>
        <w:jc w:val="both"/>
        <w:rPr>
          <w:rFonts w:ascii="Arial Narrow" w:eastAsia="Calibri" w:hAnsi="Arial Narrow" w:cs="Calibri"/>
          <w:color w:val="1F497D"/>
          <w:sz w:val="20"/>
          <w:szCs w:val="20"/>
          <w:lang w:val="en-GB"/>
        </w:rPr>
      </w:pPr>
      <w:bookmarkStart w:id="332" w:name="_Toc185866203"/>
      <w:bookmarkStart w:id="333" w:name="_Toc197472232"/>
      <w:proofErr w:type="spellStart"/>
      <w:r w:rsidRPr="00430A79">
        <w:rPr>
          <w:rFonts w:ascii="Arial Narrow" w:eastAsia="Calibri" w:hAnsi="Arial Narrow" w:cs="Calibri"/>
          <w:color w:val="1F497D"/>
          <w:sz w:val="20"/>
          <w:szCs w:val="20"/>
          <w:lang w:val="en-GB"/>
        </w:rPr>
        <w:t>Tabela</w:t>
      </w:r>
      <w:proofErr w:type="spellEnd"/>
      <w:r w:rsidRPr="00430A79">
        <w:rPr>
          <w:rFonts w:ascii="Arial Narrow" w:eastAsia="Calibri" w:hAnsi="Arial Narrow" w:cs="Calibri"/>
          <w:color w:val="1F497D"/>
          <w:sz w:val="20"/>
          <w:szCs w:val="20"/>
          <w:lang w:val="en-GB"/>
        </w:rPr>
        <w:t xml:space="preserve"> </w:t>
      </w:r>
      <w:r w:rsidRPr="00430A79">
        <w:rPr>
          <w:rFonts w:ascii="Arial Narrow" w:eastAsia="Calibri" w:hAnsi="Arial Narrow" w:cs="Calibri"/>
          <w:color w:val="1F497D"/>
          <w:sz w:val="20"/>
          <w:szCs w:val="20"/>
          <w:lang w:val="en-GB"/>
        </w:rPr>
        <w:fldChar w:fldCharType="begin"/>
      </w:r>
      <w:r w:rsidRPr="00430A79">
        <w:rPr>
          <w:rFonts w:ascii="Arial Narrow" w:eastAsia="Calibri" w:hAnsi="Arial Narrow" w:cs="Calibri"/>
          <w:color w:val="1F497D"/>
          <w:sz w:val="20"/>
          <w:szCs w:val="20"/>
          <w:lang w:val="en-GB"/>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Pr>
          <w:rFonts w:ascii="Arial Narrow" w:eastAsia="Calibri" w:hAnsi="Arial Narrow" w:cs="Calibri"/>
          <w:noProof/>
          <w:color w:val="1F497D"/>
          <w:sz w:val="20"/>
          <w:szCs w:val="20"/>
          <w:lang w:val="en-GB"/>
        </w:rPr>
        <w:t xml:space="preserve">47. </w:t>
      </w:r>
      <w:r w:rsidRPr="00430A79">
        <w:rPr>
          <w:rFonts w:ascii="Arial Narrow" w:eastAsia="Calibri" w:hAnsi="Arial Narrow" w:cs="Calibri"/>
          <w:color w:val="1F497D"/>
          <w:sz w:val="20"/>
          <w:szCs w:val="20"/>
          <w:lang w:val="en-GB"/>
        </w:rPr>
        <w:fldChar w:fldCharType="end"/>
      </w:r>
      <w:proofErr w:type="spellStart"/>
      <w:r w:rsidRPr="00430A79">
        <w:rPr>
          <w:rFonts w:ascii="Arial Narrow" w:eastAsia="Calibri" w:hAnsi="Arial Narrow" w:cs="Calibri"/>
          <w:color w:val="1F497D"/>
          <w:sz w:val="20"/>
          <w:szCs w:val="20"/>
          <w:lang w:val="en-GB"/>
        </w:rPr>
        <w:t>Krahasimi</w:t>
      </w:r>
      <w:proofErr w:type="spellEnd"/>
      <w:r w:rsidRPr="00430A79">
        <w:rPr>
          <w:rFonts w:ascii="Arial Narrow" w:eastAsia="Calibri" w:hAnsi="Arial Narrow" w:cs="Calibri"/>
          <w:color w:val="1F497D"/>
          <w:sz w:val="20"/>
          <w:szCs w:val="20"/>
          <w:lang w:val="en-GB"/>
        </w:rPr>
        <w:t xml:space="preserve"> i </w:t>
      </w:r>
      <w:proofErr w:type="spellStart"/>
      <w:r w:rsidRPr="00430A79">
        <w:rPr>
          <w:rFonts w:ascii="Arial Narrow" w:eastAsia="Calibri" w:hAnsi="Arial Narrow" w:cs="Calibri"/>
          <w:color w:val="1F497D"/>
          <w:sz w:val="20"/>
          <w:szCs w:val="20"/>
          <w:lang w:val="en-GB"/>
        </w:rPr>
        <w:t>alternativave</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për</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transferimin</w:t>
      </w:r>
      <w:proofErr w:type="spellEnd"/>
      <w:r w:rsidRPr="00430A79">
        <w:rPr>
          <w:rFonts w:ascii="Arial Narrow" w:eastAsia="Calibri" w:hAnsi="Arial Narrow" w:cs="Calibri"/>
          <w:color w:val="1F497D"/>
          <w:sz w:val="20"/>
          <w:szCs w:val="20"/>
          <w:lang w:val="en-GB"/>
        </w:rPr>
        <w:t xml:space="preserve"> e </w:t>
      </w:r>
      <w:proofErr w:type="spellStart"/>
      <w:r w:rsidRPr="00430A79">
        <w:rPr>
          <w:rFonts w:ascii="Arial Narrow" w:eastAsia="Calibri" w:hAnsi="Arial Narrow" w:cs="Calibri"/>
          <w:color w:val="1F497D"/>
          <w:sz w:val="20"/>
          <w:szCs w:val="20"/>
          <w:lang w:val="en-GB"/>
        </w:rPr>
        <w:t>mbeturinave</w:t>
      </w:r>
      <w:proofErr w:type="spellEnd"/>
      <w:r w:rsidRPr="00430A79">
        <w:rPr>
          <w:rFonts w:ascii="Arial" w:eastAsia="Calibri" w:hAnsi="Arial" w:cs="Calibri"/>
          <w:color w:val="4472C4" w:themeColor="accent1"/>
          <w:position w:val="6"/>
          <w:sz w:val="16"/>
          <w:szCs w:val="20"/>
          <w:lang w:val="en-GB"/>
        </w:rPr>
        <w:footnoteReference w:id="22"/>
      </w:r>
      <w:bookmarkEnd w:id="332"/>
      <w:bookmarkEnd w:id="333"/>
      <w:r w:rsidRPr="00430A79">
        <w:rPr>
          <w:rFonts w:ascii="Arial Narrow" w:eastAsia="Calibri" w:hAnsi="Arial Narrow" w:cs="Calibri"/>
          <w:color w:val="1F497D"/>
          <w:sz w:val="20"/>
          <w:szCs w:val="20"/>
          <w:lang w:val="en-GB"/>
        </w:rPr>
        <w:t xml:space="preserve"> </w:t>
      </w:r>
    </w:p>
    <w:tbl>
      <w:tblPr>
        <w:tblW w:w="5000" w:type="pct"/>
        <w:tblCellMar>
          <w:top w:w="28" w:type="dxa"/>
          <w:left w:w="57" w:type="dxa"/>
          <w:bottom w:w="28" w:type="dxa"/>
          <w:right w:w="28" w:type="dxa"/>
        </w:tblCellMar>
        <w:tblLook w:val="0000" w:firstRow="0" w:lastRow="0" w:firstColumn="0" w:lastColumn="0" w:noHBand="0" w:noVBand="0"/>
      </w:tblPr>
      <w:tblGrid>
        <w:gridCol w:w="2608"/>
        <w:gridCol w:w="1256"/>
        <w:gridCol w:w="1031"/>
        <w:gridCol w:w="1033"/>
        <w:gridCol w:w="1031"/>
        <w:gridCol w:w="1031"/>
        <w:gridCol w:w="1026"/>
      </w:tblGrid>
      <w:tr w:rsidR="00430A79" w:rsidRPr="00430A79" w14:paraId="22220BF7" w14:textId="77777777" w:rsidTr="00FA3578">
        <w:trPr>
          <w:trHeight w:hRule="exact" w:val="452"/>
          <w:tblHeader/>
        </w:trPr>
        <w:tc>
          <w:tcPr>
            <w:tcW w:w="1446" w:type="pct"/>
            <w:vMerge w:val="restart"/>
            <w:tcBorders>
              <w:top w:val="single" w:sz="4" w:space="0" w:color="000000"/>
              <w:left w:val="single" w:sz="4" w:space="0" w:color="000000"/>
              <w:right w:val="single" w:sz="4" w:space="0" w:color="000000"/>
            </w:tcBorders>
            <w:shd w:val="clear" w:color="auto" w:fill="365F91"/>
            <w:vAlign w:val="center"/>
          </w:tcPr>
          <w:p w14:paraId="4757C66A"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Parametri</w:t>
            </w:r>
          </w:p>
        </w:tc>
        <w:tc>
          <w:tcPr>
            <w:tcW w:w="696" w:type="pct"/>
            <w:vMerge w:val="restart"/>
            <w:tcBorders>
              <w:top w:val="single" w:sz="4" w:space="0" w:color="000000"/>
              <w:left w:val="single" w:sz="4" w:space="0" w:color="000000"/>
              <w:right w:val="single" w:sz="4" w:space="0" w:color="000000"/>
            </w:tcBorders>
            <w:shd w:val="clear" w:color="auto" w:fill="365F91"/>
            <w:vAlign w:val="center"/>
          </w:tcPr>
          <w:p w14:paraId="0D63ADB9"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Njësia</w:t>
            </w:r>
          </w:p>
        </w:tc>
        <w:tc>
          <w:tcPr>
            <w:tcW w:w="1145" w:type="pct"/>
            <w:gridSpan w:val="2"/>
            <w:tcBorders>
              <w:top w:val="single" w:sz="4" w:space="0" w:color="000000"/>
              <w:left w:val="single" w:sz="4" w:space="0" w:color="000000"/>
              <w:bottom w:val="single" w:sz="4" w:space="0" w:color="000000"/>
              <w:right w:val="single" w:sz="4" w:space="0" w:color="000000"/>
            </w:tcBorders>
            <w:shd w:val="clear" w:color="auto" w:fill="365F91"/>
            <w:vAlign w:val="center"/>
          </w:tcPr>
          <w:p w14:paraId="440C442F"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Istog</w:t>
            </w:r>
          </w:p>
        </w:tc>
        <w:tc>
          <w:tcPr>
            <w:tcW w:w="1144" w:type="pct"/>
            <w:gridSpan w:val="2"/>
            <w:tcBorders>
              <w:top w:val="single" w:sz="4" w:space="0" w:color="000000"/>
              <w:left w:val="single" w:sz="4" w:space="0" w:color="000000"/>
              <w:bottom w:val="single" w:sz="4" w:space="0" w:color="000000"/>
              <w:right w:val="single" w:sz="4" w:space="0" w:color="000000"/>
            </w:tcBorders>
            <w:shd w:val="clear" w:color="auto" w:fill="365F91"/>
            <w:vAlign w:val="center"/>
          </w:tcPr>
          <w:p w14:paraId="25A09ED6" w14:textId="776659EC"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De</w:t>
            </w:r>
            <w:r w:rsidR="00FA3578">
              <w:rPr>
                <w:rFonts w:ascii="Arial Narrow" w:eastAsia="Calibri" w:hAnsi="Arial Narrow" w:cs="Calibri"/>
                <w:b/>
                <w:color w:val="FFFFFF"/>
                <w:sz w:val="20"/>
                <w:szCs w:val="20"/>
              </w:rPr>
              <w:t>ç</w:t>
            </w:r>
            <w:r w:rsidRPr="00430A79">
              <w:rPr>
                <w:rFonts w:ascii="Arial Narrow" w:eastAsia="Calibri" w:hAnsi="Arial Narrow" w:cs="Calibri"/>
                <w:b/>
                <w:color w:val="FFFFFF"/>
                <w:sz w:val="20"/>
                <w:szCs w:val="20"/>
              </w:rPr>
              <w:t>an</w:t>
            </w:r>
          </w:p>
        </w:tc>
        <w:tc>
          <w:tcPr>
            <w:tcW w:w="570" w:type="pct"/>
            <w:tcBorders>
              <w:top w:val="single" w:sz="4" w:space="0" w:color="000000"/>
              <w:left w:val="single" w:sz="4" w:space="0" w:color="000000"/>
              <w:bottom w:val="single" w:sz="4" w:space="0" w:color="000000"/>
              <w:right w:val="single" w:sz="4" w:space="0" w:color="000000"/>
            </w:tcBorders>
            <w:shd w:val="clear" w:color="auto" w:fill="365F91"/>
            <w:vAlign w:val="center"/>
          </w:tcPr>
          <w:p w14:paraId="1DFA3077" w14:textId="5D9C0A36"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Klin</w:t>
            </w:r>
            <w:r w:rsidR="00FA3578">
              <w:rPr>
                <w:rFonts w:ascii="Arial Narrow" w:eastAsia="Calibri" w:hAnsi="Arial Narrow" w:cs="Calibri"/>
                <w:b/>
                <w:color w:val="FFFFFF"/>
                <w:sz w:val="20"/>
                <w:szCs w:val="20"/>
              </w:rPr>
              <w:t>ë</w:t>
            </w:r>
          </w:p>
        </w:tc>
      </w:tr>
      <w:tr w:rsidR="00430A79" w:rsidRPr="00430A79" w14:paraId="6670984C" w14:textId="77777777" w:rsidTr="00FA3578">
        <w:trPr>
          <w:trHeight w:hRule="exact" w:val="632"/>
          <w:tblHeader/>
        </w:trPr>
        <w:tc>
          <w:tcPr>
            <w:tcW w:w="1446" w:type="pct"/>
            <w:vMerge/>
            <w:tcBorders>
              <w:left w:val="single" w:sz="4" w:space="0" w:color="000000"/>
              <w:bottom w:val="single" w:sz="4" w:space="0" w:color="000000"/>
              <w:right w:val="single" w:sz="4" w:space="0" w:color="000000"/>
            </w:tcBorders>
            <w:shd w:val="clear" w:color="auto" w:fill="365F91"/>
            <w:vAlign w:val="center"/>
          </w:tcPr>
          <w:p w14:paraId="0F31C831"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p>
        </w:tc>
        <w:tc>
          <w:tcPr>
            <w:tcW w:w="696" w:type="pct"/>
            <w:vMerge/>
            <w:tcBorders>
              <w:left w:val="single" w:sz="4" w:space="0" w:color="000000"/>
              <w:bottom w:val="single" w:sz="4" w:space="0" w:color="000000"/>
              <w:right w:val="single" w:sz="4" w:space="0" w:color="000000"/>
            </w:tcBorders>
            <w:shd w:val="clear" w:color="auto" w:fill="365F91"/>
            <w:vAlign w:val="center"/>
          </w:tcPr>
          <w:p w14:paraId="03D9C1E4"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p>
        </w:tc>
        <w:tc>
          <w:tcPr>
            <w:tcW w:w="572" w:type="pct"/>
            <w:tcBorders>
              <w:top w:val="single" w:sz="4" w:space="0" w:color="000000"/>
              <w:left w:val="single" w:sz="4" w:space="0" w:color="000000"/>
              <w:bottom w:val="single" w:sz="4" w:space="0" w:color="000000"/>
              <w:right w:val="single" w:sz="4" w:space="0" w:color="000000"/>
            </w:tcBorders>
            <w:shd w:val="clear" w:color="auto" w:fill="365F91"/>
            <w:vAlign w:val="center"/>
          </w:tcPr>
          <w:p w14:paraId="53F0033F" w14:textId="77777777" w:rsidR="00430A79" w:rsidRPr="00430A79" w:rsidRDefault="00430A79" w:rsidP="00430A79">
            <w:pPr>
              <w:widowControl w:val="0"/>
              <w:autoSpaceDE w:val="0"/>
              <w:autoSpaceDN w:val="0"/>
              <w:spacing w:before="60" w:after="60"/>
              <w:rPr>
                <w:rFonts w:ascii="Arial Narrow" w:eastAsia="Calibri" w:hAnsi="Arial Narrow" w:cs="Calibri"/>
                <w:bCs/>
                <w:color w:val="FFFFFF"/>
                <w:sz w:val="20"/>
                <w:szCs w:val="20"/>
              </w:rPr>
            </w:pPr>
            <w:r w:rsidRPr="00430A79">
              <w:rPr>
                <w:rFonts w:ascii="Arial Narrow" w:eastAsia="Calibri" w:hAnsi="Arial Narrow" w:cs="Calibri"/>
                <w:bCs/>
                <w:color w:val="FFFFFF"/>
                <w:sz w:val="20"/>
                <w:szCs w:val="20"/>
              </w:rPr>
              <w:t>me ngjeshje</w:t>
            </w:r>
          </w:p>
        </w:tc>
        <w:tc>
          <w:tcPr>
            <w:tcW w:w="573" w:type="pct"/>
            <w:tcBorders>
              <w:top w:val="single" w:sz="4" w:space="0" w:color="000000"/>
              <w:left w:val="single" w:sz="4" w:space="0" w:color="000000"/>
              <w:bottom w:val="single" w:sz="4" w:space="0" w:color="000000"/>
              <w:right w:val="single" w:sz="4" w:space="0" w:color="000000"/>
            </w:tcBorders>
            <w:shd w:val="clear" w:color="auto" w:fill="365F91"/>
            <w:vAlign w:val="center"/>
          </w:tcPr>
          <w:p w14:paraId="39B9634D" w14:textId="77777777" w:rsidR="00430A79" w:rsidRPr="00430A79" w:rsidRDefault="00430A79" w:rsidP="00430A79">
            <w:pPr>
              <w:widowControl w:val="0"/>
              <w:autoSpaceDE w:val="0"/>
              <w:autoSpaceDN w:val="0"/>
              <w:spacing w:before="60" w:after="60"/>
              <w:rPr>
                <w:rFonts w:ascii="Arial Narrow" w:eastAsia="Calibri" w:hAnsi="Arial Narrow" w:cs="Calibri"/>
                <w:bCs/>
                <w:color w:val="FFFFFF"/>
                <w:sz w:val="20"/>
                <w:szCs w:val="20"/>
              </w:rPr>
            </w:pPr>
            <w:r w:rsidRPr="00430A79">
              <w:rPr>
                <w:rFonts w:ascii="Arial Narrow" w:eastAsia="Calibri" w:hAnsi="Arial Narrow" w:cs="Calibri"/>
                <w:bCs/>
                <w:color w:val="FFFFFF"/>
                <w:sz w:val="20"/>
                <w:szCs w:val="20"/>
              </w:rPr>
              <w:t>pa ngjeshje</w:t>
            </w:r>
          </w:p>
        </w:tc>
        <w:tc>
          <w:tcPr>
            <w:tcW w:w="572" w:type="pct"/>
            <w:tcBorders>
              <w:top w:val="single" w:sz="4" w:space="0" w:color="000000"/>
              <w:left w:val="single" w:sz="4" w:space="0" w:color="000000"/>
              <w:bottom w:val="single" w:sz="4" w:space="0" w:color="000000"/>
              <w:right w:val="single" w:sz="4" w:space="0" w:color="000000"/>
            </w:tcBorders>
            <w:shd w:val="clear" w:color="auto" w:fill="365F91"/>
            <w:vAlign w:val="center"/>
          </w:tcPr>
          <w:p w14:paraId="18234B87" w14:textId="77777777" w:rsidR="00430A79" w:rsidRPr="00430A79" w:rsidRDefault="00430A79" w:rsidP="00430A79">
            <w:pPr>
              <w:widowControl w:val="0"/>
              <w:autoSpaceDE w:val="0"/>
              <w:autoSpaceDN w:val="0"/>
              <w:spacing w:before="60" w:after="60"/>
              <w:rPr>
                <w:rFonts w:ascii="Arial Narrow" w:eastAsia="Calibri" w:hAnsi="Arial Narrow" w:cs="Calibri"/>
                <w:bCs/>
                <w:color w:val="FFFFFF"/>
                <w:sz w:val="20"/>
                <w:szCs w:val="20"/>
              </w:rPr>
            </w:pPr>
            <w:r w:rsidRPr="00430A79">
              <w:rPr>
                <w:rFonts w:ascii="Arial Narrow" w:eastAsia="Calibri" w:hAnsi="Arial Narrow" w:cs="Calibri"/>
                <w:bCs/>
                <w:color w:val="FFFFFF"/>
                <w:sz w:val="20"/>
                <w:szCs w:val="20"/>
              </w:rPr>
              <w:t>me ngjeshje</w:t>
            </w:r>
          </w:p>
        </w:tc>
        <w:tc>
          <w:tcPr>
            <w:tcW w:w="572" w:type="pct"/>
            <w:tcBorders>
              <w:top w:val="single" w:sz="4" w:space="0" w:color="000000"/>
              <w:left w:val="single" w:sz="4" w:space="0" w:color="000000"/>
              <w:bottom w:val="single" w:sz="4" w:space="0" w:color="000000"/>
              <w:right w:val="single" w:sz="4" w:space="0" w:color="000000"/>
            </w:tcBorders>
            <w:shd w:val="clear" w:color="auto" w:fill="365F91"/>
            <w:vAlign w:val="center"/>
          </w:tcPr>
          <w:p w14:paraId="1D15499F" w14:textId="77777777" w:rsidR="00430A79" w:rsidRPr="00430A79" w:rsidRDefault="00430A79" w:rsidP="00430A79">
            <w:pPr>
              <w:widowControl w:val="0"/>
              <w:autoSpaceDE w:val="0"/>
              <w:autoSpaceDN w:val="0"/>
              <w:spacing w:before="60" w:after="60"/>
              <w:rPr>
                <w:rFonts w:ascii="Arial Narrow" w:eastAsia="Calibri" w:hAnsi="Arial Narrow" w:cs="Calibri"/>
                <w:bCs/>
                <w:color w:val="FFFFFF"/>
                <w:sz w:val="20"/>
                <w:szCs w:val="20"/>
              </w:rPr>
            </w:pPr>
            <w:r w:rsidRPr="00430A79">
              <w:rPr>
                <w:rFonts w:ascii="Arial Narrow" w:eastAsia="Calibri" w:hAnsi="Arial Narrow" w:cs="Calibri"/>
                <w:bCs/>
                <w:color w:val="FFFFFF"/>
                <w:sz w:val="20"/>
                <w:szCs w:val="20"/>
              </w:rPr>
              <w:t>pa ngjeshje</w:t>
            </w:r>
          </w:p>
        </w:tc>
        <w:tc>
          <w:tcPr>
            <w:tcW w:w="570" w:type="pct"/>
            <w:tcBorders>
              <w:top w:val="single" w:sz="4" w:space="0" w:color="000000"/>
              <w:left w:val="single" w:sz="4" w:space="0" w:color="000000"/>
              <w:bottom w:val="single" w:sz="4" w:space="0" w:color="000000"/>
              <w:right w:val="single" w:sz="4" w:space="0" w:color="000000"/>
            </w:tcBorders>
            <w:shd w:val="clear" w:color="auto" w:fill="365F91"/>
            <w:vAlign w:val="center"/>
          </w:tcPr>
          <w:p w14:paraId="54B6087D" w14:textId="77777777" w:rsidR="00430A79" w:rsidRPr="00430A79" w:rsidRDefault="00430A79" w:rsidP="00430A79">
            <w:pPr>
              <w:widowControl w:val="0"/>
              <w:autoSpaceDE w:val="0"/>
              <w:autoSpaceDN w:val="0"/>
              <w:spacing w:before="60" w:after="60"/>
              <w:rPr>
                <w:rFonts w:ascii="Arial Narrow" w:eastAsia="Calibri" w:hAnsi="Arial Narrow" w:cs="Calibri"/>
                <w:bCs/>
                <w:color w:val="FFFFFF"/>
                <w:sz w:val="20"/>
                <w:szCs w:val="20"/>
              </w:rPr>
            </w:pPr>
            <w:r w:rsidRPr="00430A79">
              <w:rPr>
                <w:rFonts w:ascii="Arial Narrow" w:eastAsia="Calibri" w:hAnsi="Arial Narrow" w:cs="Calibri"/>
                <w:bCs/>
                <w:color w:val="FFFFFF"/>
                <w:sz w:val="20"/>
                <w:szCs w:val="20"/>
              </w:rPr>
              <w:t>pa ngjeshje</w:t>
            </w:r>
          </w:p>
        </w:tc>
      </w:tr>
      <w:tr w:rsidR="00FA3578" w:rsidRPr="00430A79" w14:paraId="6AB796B0" w14:textId="77777777" w:rsidTr="00FA3578">
        <w:trPr>
          <w:trHeight w:val="369"/>
        </w:trPr>
        <w:tc>
          <w:tcPr>
            <w:tcW w:w="1446" w:type="pct"/>
            <w:tcBorders>
              <w:top w:val="single" w:sz="4" w:space="0" w:color="000000"/>
              <w:left w:val="single" w:sz="4" w:space="0" w:color="000000"/>
              <w:bottom w:val="single" w:sz="4" w:space="0" w:color="000000"/>
              <w:right w:val="single" w:sz="4" w:space="0" w:color="000000"/>
            </w:tcBorders>
          </w:tcPr>
          <w:p w14:paraId="088F833D" w14:textId="41DD30AF"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Mbeturinat e transferuara</w:t>
            </w:r>
          </w:p>
        </w:tc>
        <w:tc>
          <w:tcPr>
            <w:tcW w:w="696" w:type="pct"/>
            <w:tcBorders>
              <w:top w:val="single" w:sz="4" w:space="0" w:color="000000"/>
              <w:left w:val="single" w:sz="4" w:space="0" w:color="000000"/>
              <w:bottom w:val="single" w:sz="4" w:space="0" w:color="000000"/>
              <w:right w:val="single" w:sz="4" w:space="0" w:color="000000"/>
            </w:tcBorders>
          </w:tcPr>
          <w:p w14:paraId="04AA76A8"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ton</w:t>
            </w:r>
          </w:p>
        </w:tc>
        <w:tc>
          <w:tcPr>
            <w:tcW w:w="572" w:type="pct"/>
            <w:tcBorders>
              <w:top w:val="single" w:sz="4" w:space="0" w:color="000000"/>
              <w:left w:val="single" w:sz="4" w:space="0" w:color="000000"/>
              <w:bottom w:val="single" w:sz="4" w:space="0" w:color="000000"/>
              <w:right w:val="single" w:sz="4" w:space="0" w:color="000000"/>
            </w:tcBorders>
          </w:tcPr>
          <w:p w14:paraId="1A96C70D"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9,700</w:t>
            </w:r>
          </w:p>
        </w:tc>
        <w:tc>
          <w:tcPr>
            <w:tcW w:w="573" w:type="pct"/>
            <w:tcBorders>
              <w:top w:val="single" w:sz="4" w:space="0" w:color="000000"/>
              <w:left w:val="single" w:sz="4" w:space="0" w:color="000000"/>
              <w:bottom w:val="single" w:sz="4" w:space="0" w:color="000000"/>
              <w:right w:val="single" w:sz="4" w:space="0" w:color="000000"/>
            </w:tcBorders>
          </w:tcPr>
          <w:p w14:paraId="255F0428"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9,700</w:t>
            </w:r>
          </w:p>
        </w:tc>
        <w:tc>
          <w:tcPr>
            <w:tcW w:w="572" w:type="pct"/>
            <w:tcBorders>
              <w:top w:val="single" w:sz="4" w:space="0" w:color="000000"/>
              <w:left w:val="single" w:sz="4" w:space="0" w:color="000000"/>
              <w:bottom w:val="single" w:sz="4" w:space="0" w:color="000000"/>
              <w:right w:val="single" w:sz="4" w:space="0" w:color="000000"/>
            </w:tcBorders>
          </w:tcPr>
          <w:p w14:paraId="492F427B"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6,700</w:t>
            </w:r>
          </w:p>
        </w:tc>
        <w:tc>
          <w:tcPr>
            <w:tcW w:w="572" w:type="pct"/>
            <w:tcBorders>
              <w:top w:val="single" w:sz="4" w:space="0" w:color="000000"/>
              <w:left w:val="single" w:sz="4" w:space="0" w:color="000000"/>
              <w:bottom w:val="single" w:sz="4" w:space="0" w:color="000000"/>
              <w:right w:val="single" w:sz="4" w:space="0" w:color="000000"/>
            </w:tcBorders>
          </w:tcPr>
          <w:p w14:paraId="35163B41"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6,700</w:t>
            </w:r>
          </w:p>
        </w:tc>
        <w:tc>
          <w:tcPr>
            <w:tcW w:w="570" w:type="pct"/>
            <w:tcBorders>
              <w:top w:val="single" w:sz="4" w:space="0" w:color="000000"/>
              <w:left w:val="single" w:sz="4" w:space="0" w:color="000000"/>
              <w:bottom w:val="single" w:sz="4" w:space="0" w:color="000000"/>
              <w:right w:val="single" w:sz="4" w:space="0" w:color="000000"/>
            </w:tcBorders>
          </w:tcPr>
          <w:p w14:paraId="30EC0CE6"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6,500</w:t>
            </w:r>
          </w:p>
        </w:tc>
      </w:tr>
      <w:tr w:rsidR="00FA3578" w:rsidRPr="00430A79" w14:paraId="33050C34" w14:textId="77777777" w:rsidTr="00FA3578">
        <w:trPr>
          <w:trHeight w:val="369"/>
        </w:trPr>
        <w:tc>
          <w:tcPr>
            <w:tcW w:w="1446" w:type="pct"/>
            <w:tcBorders>
              <w:top w:val="single" w:sz="4" w:space="0" w:color="000000"/>
              <w:left w:val="single" w:sz="4" w:space="0" w:color="000000"/>
              <w:bottom w:val="single" w:sz="4" w:space="0" w:color="000000"/>
              <w:right w:val="single" w:sz="4" w:space="0" w:color="000000"/>
            </w:tcBorders>
          </w:tcPr>
          <w:p w14:paraId="201CD48D" w14:textId="17B43143"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Distanca nga deponia</w:t>
            </w:r>
          </w:p>
        </w:tc>
        <w:tc>
          <w:tcPr>
            <w:tcW w:w="696" w:type="pct"/>
            <w:tcBorders>
              <w:top w:val="single" w:sz="4" w:space="0" w:color="000000"/>
              <w:left w:val="single" w:sz="4" w:space="0" w:color="000000"/>
              <w:bottom w:val="single" w:sz="4" w:space="0" w:color="000000"/>
              <w:right w:val="single" w:sz="4" w:space="0" w:color="000000"/>
            </w:tcBorders>
          </w:tcPr>
          <w:p w14:paraId="0D12ED4F"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km</w:t>
            </w:r>
          </w:p>
        </w:tc>
        <w:tc>
          <w:tcPr>
            <w:tcW w:w="572" w:type="pct"/>
            <w:tcBorders>
              <w:top w:val="single" w:sz="4" w:space="0" w:color="000000"/>
              <w:left w:val="single" w:sz="4" w:space="0" w:color="000000"/>
              <w:bottom w:val="single" w:sz="4" w:space="0" w:color="000000"/>
              <w:right w:val="single" w:sz="4" w:space="0" w:color="000000"/>
            </w:tcBorders>
          </w:tcPr>
          <w:p w14:paraId="2A269923"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36</w:t>
            </w:r>
          </w:p>
        </w:tc>
        <w:tc>
          <w:tcPr>
            <w:tcW w:w="573" w:type="pct"/>
            <w:tcBorders>
              <w:top w:val="single" w:sz="4" w:space="0" w:color="000000"/>
              <w:left w:val="single" w:sz="4" w:space="0" w:color="000000"/>
              <w:bottom w:val="single" w:sz="4" w:space="0" w:color="000000"/>
              <w:right w:val="single" w:sz="4" w:space="0" w:color="000000"/>
            </w:tcBorders>
          </w:tcPr>
          <w:p w14:paraId="25CD985A"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36</w:t>
            </w:r>
          </w:p>
        </w:tc>
        <w:tc>
          <w:tcPr>
            <w:tcW w:w="572" w:type="pct"/>
            <w:tcBorders>
              <w:top w:val="single" w:sz="4" w:space="0" w:color="000000"/>
              <w:left w:val="single" w:sz="4" w:space="0" w:color="000000"/>
              <w:bottom w:val="single" w:sz="4" w:space="0" w:color="000000"/>
              <w:right w:val="single" w:sz="4" w:space="0" w:color="000000"/>
            </w:tcBorders>
          </w:tcPr>
          <w:p w14:paraId="5B5A76DB"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27</w:t>
            </w:r>
          </w:p>
        </w:tc>
        <w:tc>
          <w:tcPr>
            <w:tcW w:w="572" w:type="pct"/>
            <w:tcBorders>
              <w:top w:val="single" w:sz="4" w:space="0" w:color="000000"/>
              <w:left w:val="single" w:sz="4" w:space="0" w:color="000000"/>
              <w:bottom w:val="single" w:sz="4" w:space="0" w:color="000000"/>
              <w:right w:val="single" w:sz="4" w:space="0" w:color="000000"/>
            </w:tcBorders>
          </w:tcPr>
          <w:p w14:paraId="388E984F"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27</w:t>
            </w:r>
          </w:p>
        </w:tc>
        <w:tc>
          <w:tcPr>
            <w:tcW w:w="570" w:type="pct"/>
            <w:tcBorders>
              <w:top w:val="single" w:sz="4" w:space="0" w:color="000000"/>
              <w:left w:val="single" w:sz="4" w:space="0" w:color="000000"/>
              <w:bottom w:val="single" w:sz="4" w:space="0" w:color="000000"/>
              <w:right w:val="single" w:sz="4" w:space="0" w:color="000000"/>
            </w:tcBorders>
          </w:tcPr>
          <w:p w14:paraId="5175E5FD"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20</w:t>
            </w:r>
          </w:p>
        </w:tc>
      </w:tr>
      <w:tr w:rsidR="00FA3578" w:rsidRPr="00430A79" w14:paraId="52FFA7E5" w14:textId="77777777" w:rsidTr="00FA3578">
        <w:trPr>
          <w:trHeight w:val="369"/>
        </w:trPr>
        <w:tc>
          <w:tcPr>
            <w:tcW w:w="1446" w:type="pct"/>
            <w:tcBorders>
              <w:top w:val="single" w:sz="4" w:space="0" w:color="000000"/>
              <w:left w:val="single" w:sz="4" w:space="0" w:color="000000"/>
              <w:bottom w:val="single" w:sz="4" w:space="0" w:color="000000"/>
              <w:right w:val="single" w:sz="4" w:space="0" w:color="000000"/>
            </w:tcBorders>
          </w:tcPr>
          <w:p w14:paraId="63B1F2F1" w14:textId="065AE325"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Sasia mesatare e mbeturinave për udhëtim</w:t>
            </w:r>
          </w:p>
        </w:tc>
        <w:tc>
          <w:tcPr>
            <w:tcW w:w="696" w:type="pct"/>
            <w:tcBorders>
              <w:top w:val="single" w:sz="4" w:space="0" w:color="000000"/>
              <w:left w:val="single" w:sz="4" w:space="0" w:color="000000"/>
              <w:bottom w:val="single" w:sz="4" w:space="0" w:color="000000"/>
              <w:right w:val="single" w:sz="4" w:space="0" w:color="000000"/>
            </w:tcBorders>
          </w:tcPr>
          <w:p w14:paraId="3CC1EF67"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ton</w:t>
            </w:r>
          </w:p>
        </w:tc>
        <w:tc>
          <w:tcPr>
            <w:tcW w:w="572" w:type="pct"/>
            <w:tcBorders>
              <w:top w:val="single" w:sz="4" w:space="0" w:color="000000"/>
              <w:left w:val="single" w:sz="4" w:space="0" w:color="000000"/>
              <w:bottom w:val="single" w:sz="4" w:space="0" w:color="000000"/>
              <w:right w:val="single" w:sz="4" w:space="0" w:color="000000"/>
            </w:tcBorders>
          </w:tcPr>
          <w:p w14:paraId="770A12D0"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17.1</w:t>
            </w:r>
          </w:p>
        </w:tc>
        <w:tc>
          <w:tcPr>
            <w:tcW w:w="573" w:type="pct"/>
            <w:tcBorders>
              <w:top w:val="single" w:sz="4" w:space="0" w:color="000000"/>
              <w:left w:val="single" w:sz="4" w:space="0" w:color="000000"/>
              <w:bottom w:val="single" w:sz="4" w:space="0" w:color="000000"/>
              <w:right w:val="single" w:sz="4" w:space="0" w:color="000000"/>
            </w:tcBorders>
          </w:tcPr>
          <w:p w14:paraId="5880B1F1"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17.5</w:t>
            </w:r>
          </w:p>
        </w:tc>
        <w:tc>
          <w:tcPr>
            <w:tcW w:w="572" w:type="pct"/>
            <w:tcBorders>
              <w:top w:val="single" w:sz="4" w:space="0" w:color="000000"/>
              <w:left w:val="single" w:sz="4" w:space="0" w:color="000000"/>
              <w:bottom w:val="single" w:sz="4" w:space="0" w:color="000000"/>
              <w:right w:val="single" w:sz="4" w:space="0" w:color="000000"/>
            </w:tcBorders>
          </w:tcPr>
          <w:p w14:paraId="5C375878"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17.1</w:t>
            </w:r>
          </w:p>
        </w:tc>
        <w:tc>
          <w:tcPr>
            <w:tcW w:w="572" w:type="pct"/>
            <w:tcBorders>
              <w:top w:val="single" w:sz="4" w:space="0" w:color="000000"/>
              <w:left w:val="single" w:sz="4" w:space="0" w:color="000000"/>
              <w:bottom w:val="single" w:sz="4" w:space="0" w:color="000000"/>
              <w:right w:val="single" w:sz="4" w:space="0" w:color="000000"/>
            </w:tcBorders>
          </w:tcPr>
          <w:p w14:paraId="5249DF57"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17.5</w:t>
            </w:r>
          </w:p>
        </w:tc>
        <w:tc>
          <w:tcPr>
            <w:tcW w:w="570" w:type="pct"/>
            <w:tcBorders>
              <w:top w:val="single" w:sz="4" w:space="0" w:color="000000"/>
              <w:left w:val="single" w:sz="4" w:space="0" w:color="000000"/>
              <w:bottom w:val="single" w:sz="4" w:space="0" w:color="000000"/>
              <w:right w:val="single" w:sz="4" w:space="0" w:color="000000"/>
            </w:tcBorders>
          </w:tcPr>
          <w:p w14:paraId="7709EE16"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17.5</w:t>
            </w:r>
          </w:p>
        </w:tc>
      </w:tr>
      <w:tr w:rsidR="00FA3578" w:rsidRPr="00430A79" w14:paraId="1D64BA26" w14:textId="77777777" w:rsidTr="00FA3578">
        <w:trPr>
          <w:trHeight w:val="369"/>
        </w:trPr>
        <w:tc>
          <w:tcPr>
            <w:tcW w:w="1446" w:type="pct"/>
            <w:tcBorders>
              <w:top w:val="single" w:sz="4" w:space="0" w:color="000000"/>
              <w:left w:val="single" w:sz="4" w:space="0" w:color="000000"/>
              <w:bottom w:val="single" w:sz="4" w:space="0" w:color="000000"/>
              <w:right w:val="single" w:sz="4" w:space="0" w:color="000000"/>
            </w:tcBorders>
          </w:tcPr>
          <w:p w14:paraId="34D8D73B" w14:textId="19AD0D68"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Numri i udhëtimeve në ditë</w:t>
            </w:r>
          </w:p>
        </w:tc>
        <w:tc>
          <w:tcPr>
            <w:tcW w:w="696" w:type="pct"/>
            <w:tcBorders>
              <w:top w:val="single" w:sz="4" w:space="0" w:color="000000"/>
              <w:left w:val="single" w:sz="4" w:space="0" w:color="000000"/>
              <w:bottom w:val="single" w:sz="4" w:space="0" w:color="000000"/>
              <w:right w:val="single" w:sz="4" w:space="0" w:color="000000"/>
            </w:tcBorders>
          </w:tcPr>
          <w:p w14:paraId="7DC5C081"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Jo</w:t>
            </w:r>
          </w:p>
        </w:tc>
        <w:tc>
          <w:tcPr>
            <w:tcW w:w="572" w:type="pct"/>
            <w:tcBorders>
              <w:top w:val="single" w:sz="4" w:space="0" w:color="000000"/>
              <w:left w:val="single" w:sz="4" w:space="0" w:color="000000"/>
              <w:bottom w:val="single" w:sz="4" w:space="0" w:color="000000"/>
              <w:right w:val="single" w:sz="4" w:space="0" w:color="000000"/>
            </w:tcBorders>
          </w:tcPr>
          <w:p w14:paraId="26771F68"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w:t>
            </w:r>
          </w:p>
        </w:tc>
        <w:tc>
          <w:tcPr>
            <w:tcW w:w="573" w:type="pct"/>
            <w:tcBorders>
              <w:top w:val="single" w:sz="4" w:space="0" w:color="000000"/>
              <w:left w:val="single" w:sz="4" w:space="0" w:color="000000"/>
              <w:bottom w:val="single" w:sz="4" w:space="0" w:color="000000"/>
              <w:right w:val="single" w:sz="4" w:space="0" w:color="000000"/>
            </w:tcBorders>
          </w:tcPr>
          <w:p w14:paraId="42FCAD13"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w:t>
            </w:r>
          </w:p>
        </w:tc>
        <w:tc>
          <w:tcPr>
            <w:tcW w:w="572" w:type="pct"/>
            <w:tcBorders>
              <w:top w:val="single" w:sz="4" w:space="0" w:color="000000"/>
              <w:left w:val="single" w:sz="4" w:space="0" w:color="000000"/>
              <w:bottom w:val="single" w:sz="4" w:space="0" w:color="000000"/>
              <w:right w:val="single" w:sz="4" w:space="0" w:color="000000"/>
            </w:tcBorders>
          </w:tcPr>
          <w:p w14:paraId="72889900"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w:t>
            </w:r>
          </w:p>
        </w:tc>
        <w:tc>
          <w:tcPr>
            <w:tcW w:w="572" w:type="pct"/>
            <w:tcBorders>
              <w:top w:val="single" w:sz="4" w:space="0" w:color="000000"/>
              <w:left w:val="single" w:sz="4" w:space="0" w:color="000000"/>
              <w:bottom w:val="single" w:sz="4" w:space="0" w:color="000000"/>
              <w:right w:val="single" w:sz="4" w:space="0" w:color="000000"/>
            </w:tcBorders>
          </w:tcPr>
          <w:p w14:paraId="7D6292CD"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w:t>
            </w:r>
          </w:p>
        </w:tc>
        <w:tc>
          <w:tcPr>
            <w:tcW w:w="570" w:type="pct"/>
            <w:tcBorders>
              <w:top w:val="single" w:sz="4" w:space="0" w:color="000000"/>
              <w:left w:val="single" w:sz="4" w:space="0" w:color="000000"/>
              <w:bottom w:val="single" w:sz="4" w:space="0" w:color="000000"/>
              <w:right w:val="single" w:sz="4" w:space="0" w:color="000000"/>
            </w:tcBorders>
          </w:tcPr>
          <w:p w14:paraId="49A6C1C7"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w:t>
            </w:r>
          </w:p>
        </w:tc>
      </w:tr>
      <w:tr w:rsidR="00FA3578" w:rsidRPr="00430A79" w14:paraId="79ACBB71" w14:textId="77777777" w:rsidTr="00FA3578">
        <w:trPr>
          <w:trHeight w:val="369"/>
        </w:trPr>
        <w:tc>
          <w:tcPr>
            <w:tcW w:w="1446" w:type="pct"/>
            <w:tcBorders>
              <w:top w:val="single" w:sz="4" w:space="0" w:color="000000"/>
              <w:left w:val="single" w:sz="4" w:space="0" w:color="000000"/>
              <w:bottom w:val="single" w:sz="4" w:space="0" w:color="000000"/>
              <w:right w:val="single" w:sz="4" w:space="0" w:color="000000"/>
            </w:tcBorders>
          </w:tcPr>
          <w:p w14:paraId="3C4608E4" w14:textId="4A293BEB"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Kosotot e investimit në stacionin e transferit</w:t>
            </w:r>
          </w:p>
        </w:tc>
        <w:tc>
          <w:tcPr>
            <w:tcW w:w="696" w:type="pct"/>
            <w:tcBorders>
              <w:top w:val="single" w:sz="4" w:space="0" w:color="000000"/>
              <w:left w:val="single" w:sz="4" w:space="0" w:color="000000"/>
              <w:bottom w:val="single" w:sz="4" w:space="0" w:color="000000"/>
              <w:right w:val="single" w:sz="4" w:space="0" w:color="000000"/>
            </w:tcBorders>
          </w:tcPr>
          <w:p w14:paraId="65CFD86F"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mijë €</w:t>
            </w:r>
          </w:p>
        </w:tc>
        <w:tc>
          <w:tcPr>
            <w:tcW w:w="572" w:type="pct"/>
            <w:tcBorders>
              <w:top w:val="single" w:sz="4" w:space="0" w:color="000000"/>
              <w:left w:val="single" w:sz="4" w:space="0" w:color="000000"/>
              <w:bottom w:val="single" w:sz="4" w:space="0" w:color="000000"/>
              <w:right w:val="single" w:sz="4" w:space="0" w:color="000000"/>
            </w:tcBorders>
          </w:tcPr>
          <w:p w14:paraId="71AF10B5"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571.2</w:t>
            </w:r>
          </w:p>
        </w:tc>
        <w:tc>
          <w:tcPr>
            <w:tcW w:w="573" w:type="pct"/>
            <w:tcBorders>
              <w:top w:val="single" w:sz="4" w:space="0" w:color="000000"/>
              <w:left w:val="single" w:sz="4" w:space="0" w:color="000000"/>
              <w:bottom w:val="single" w:sz="4" w:space="0" w:color="000000"/>
              <w:right w:val="single" w:sz="4" w:space="0" w:color="000000"/>
            </w:tcBorders>
          </w:tcPr>
          <w:p w14:paraId="6420EFA8"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267.7</w:t>
            </w:r>
          </w:p>
        </w:tc>
        <w:tc>
          <w:tcPr>
            <w:tcW w:w="572" w:type="pct"/>
            <w:tcBorders>
              <w:top w:val="single" w:sz="4" w:space="0" w:color="000000"/>
              <w:left w:val="single" w:sz="4" w:space="0" w:color="000000"/>
              <w:bottom w:val="single" w:sz="4" w:space="0" w:color="000000"/>
              <w:right w:val="single" w:sz="4" w:space="0" w:color="000000"/>
            </w:tcBorders>
          </w:tcPr>
          <w:p w14:paraId="5E96DC44"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603.1</w:t>
            </w:r>
          </w:p>
        </w:tc>
        <w:tc>
          <w:tcPr>
            <w:tcW w:w="572" w:type="pct"/>
            <w:tcBorders>
              <w:top w:val="single" w:sz="4" w:space="0" w:color="000000"/>
              <w:left w:val="single" w:sz="4" w:space="0" w:color="000000"/>
              <w:bottom w:val="single" w:sz="4" w:space="0" w:color="000000"/>
              <w:right w:val="single" w:sz="4" w:space="0" w:color="000000"/>
            </w:tcBorders>
          </w:tcPr>
          <w:p w14:paraId="5C8D0D8B"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302.4</w:t>
            </w:r>
          </w:p>
        </w:tc>
        <w:tc>
          <w:tcPr>
            <w:tcW w:w="570" w:type="pct"/>
            <w:tcBorders>
              <w:top w:val="single" w:sz="4" w:space="0" w:color="000000"/>
              <w:left w:val="single" w:sz="4" w:space="0" w:color="000000"/>
              <w:bottom w:val="single" w:sz="4" w:space="0" w:color="000000"/>
              <w:right w:val="single" w:sz="4" w:space="0" w:color="000000"/>
            </w:tcBorders>
          </w:tcPr>
          <w:p w14:paraId="2A4D7C77"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302.4</w:t>
            </w:r>
          </w:p>
        </w:tc>
      </w:tr>
      <w:tr w:rsidR="00FA3578" w:rsidRPr="00430A79" w14:paraId="2CB4D209" w14:textId="77777777" w:rsidTr="00FA3578">
        <w:trPr>
          <w:trHeight w:val="369"/>
        </w:trPr>
        <w:tc>
          <w:tcPr>
            <w:tcW w:w="1446" w:type="pct"/>
            <w:tcBorders>
              <w:top w:val="single" w:sz="4" w:space="0" w:color="000000"/>
              <w:left w:val="single" w:sz="4" w:space="0" w:color="000000"/>
              <w:bottom w:val="single" w:sz="4" w:space="0" w:color="000000"/>
              <w:right w:val="single" w:sz="4" w:space="0" w:color="000000"/>
            </w:tcBorders>
          </w:tcPr>
          <w:p w14:paraId="729FD290" w14:textId="4E1C27FF"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Numri i kërkuar i mjeteve të transportit</w:t>
            </w:r>
          </w:p>
        </w:tc>
        <w:tc>
          <w:tcPr>
            <w:tcW w:w="696" w:type="pct"/>
            <w:tcBorders>
              <w:top w:val="single" w:sz="4" w:space="0" w:color="000000"/>
              <w:left w:val="single" w:sz="4" w:space="0" w:color="000000"/>
              <w:bottom w:val="single" w:sz="4" w:space="0" w:color="000000"/>
              <w:right w:val="single" w:sz="4" w:space="0" w:color="000000"/>
            </w:tcBorders>
          </w:tcPr>
          <w:p w14:paraId="785DC988"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p>
        </w:tc>
        <w:tc>
          <w:tcPr>
            <w:tcW w:w="572" w:type="pct"/>
            <w:tcBorders>
              <w:top w:val="single" w:sz="4" w:space="0" w:color="000000"/>
              <w:left w:val="single" w:sz="4" w:space="0" w:color="000000"/>
              <w:bottom w:val="single" w:sz="4" w:space="0" w:color="000000"/>
              <w:right w:val="single" w:sz="4" w:space="0" w:color="000000"/>
            </w:tcBorders>
          </w:tcPr>
          <w:p w14:paraId="410963E9"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 (0.5)</w:t>
            </w:r>
          </w:p>
        </w:tc>
        <w:tc>
          <w:tcPr>
            <w:tcW w:w="573" w:type="pct"/>
            <w:tcBorders>
              <w:top w:val="single" w:sz="4" w:space="0" w:color="000000"/>
              <w:left w:val="single" w:sz="4" w:space="0" w:color="000000"/>
              <w:bottom w:val="single" w:sz="4" w:space="0" w:color="000000"/>
              <w:right w:val="single" w:sz="4" w:space="0" w:color="000000"/>
            </w:tcBorders>
          </w:tcPr>
          <w:p w14:paraId="204AC514"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 (0.5)</w:t>
            </w:r>
          </w:p>
        </w:tc>
        <w:tc>
          <w:tcPr>
            <w:tcW w:w="572" w:type="pct"/>
            <w:tcBorders>
              <w:top w:val="single" w:sz="4" w:space="0" w:color="000000"/>
              <w:left w:val="single" w:sz="4" w:space="0" w:color="000000"/>
              <w:bottom w:val="single" w:sz="4" w:space="0" w:color="000000"/>
              <w:right w:val="single" w:sz="4" w:space="0" w:color="000000"/>
            </w:tcBorders>
          </w:tcPr>
          <w:p w14:paraId="6F77452A"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 (0.4)</w:t>
            </w:r>
          </w:p>
        </w:tc>
        <w:tc>
          <w:tcPr>
            <w:tcW w:w="572" w:type="pct"/>
            <w:tcBorders>
              <w:top w:val="single" w:sz="4" w:space="0" w:color="000000"/>
              <w:left w:val="single" w:sz="4" w:space="0" w:color="000000"/>
              <w:bottom w:val="single" w:sz="4" w:space="0" w:color="000000"/>
              <w:right w:val="single" w:sz="4" w:space="0" w:color="000000"/>
            </w:tcBorders>
          </w:tcPr>
          <w:p w14:paraId="4DA53F3D"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 (0.4)</w:t>
            </w:r>
          </w:p>
        </w:tc>
        <w:tc>
          <w:tcPr>
            <w:tcW w:w="570" w:type="pct"/>
            <w:tcBorders>
              <w:top w:val="single" w:sz="4" w:space="0" w:color="000000"/>
              <w:left w:val="single" w:sz="4" w:space="0" w:color="000000"/>
              <w:bottom w:val="single" w:sz="4" w:space="0" w:color="000000"/>
              <w:right w:val="single" w:sz="4" w:space="0" w:color="000000"/>
            </w:tcBorders>
          </w:tcPr>
          <w:p w14:paraId="5777DF0D"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 (0.4)</w:t>
            </w:r>
          </w:p>
        </w:tc>
      </w:tr>
      <w:tr w:rsidR="00FA3578" w:rsidRPr="00430A79" w14:paraId="4632EE35" w14:textId="77777777" w:rsidTr="00FA3578">
        <w:trPr>
          <w:trHeight w:val="369"/>
        </w:trPr>
        <w:tc>
          <w:tcPr>
            <w:tcW w:w="1446" w:type="pct"/>
            <w:tcBorders>
              <w:top w:val="single" w:sz="4" w:space="0" w:color="000000"/>
              <w:left w:val="single" w:sz="4" w:space="0" w:color="000000"/>
              <w:bottom w:val="single" w:sz="4" w:space="0" w:color="000000"/>
              <w:right w:val="single" w:sz="4" w:space="0" w:color="000000"/>
            </w:tcBorders>
          </w:tcPr>
          <w:p w14:paraId="2FEA74B8" w14:textId="46730EAF"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e investimit - automjetet e transportit</w:t>
            </w:r>
          </w:p>
        </w:tc>
        <w:tc>
          <w:tcPr>
            <w:tcW w:w="696" w:type="pct"/>
            <w:tcBorders>
              <w:top w:val="single" w:sz="4" w:space="0" w:color="000000"/>
              <w:left w:val="single" w:sz="4" w:space="0" w:color="000000"/>
              <w:bottom w:val="single" w:sz="4" w:space="0" w:color="000000"/>
              <w:right w:val="single" w:sz="4" w:space="0" w:color="000000"/>
            </w:tcBorders>
          </w:tcPr>
          <w:p w14:paraId="508C7B54"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mijë €</w:t>
            </w:r>
          </w:p>
        </w:tc>
        <w:tc>
          <w:tcPr>
            <w:tcW w:w="572" w:type="pct"/>
            <w:tcBorders>
              <w:top w:val="single" w:sz="4" w:space="0" w:color="000000"/>
              <w:left w:val="single" w:sz="4" w:space="0" w:color="000000"/>
              <w:bottom w:val="single" w:sz="4" w:space="0" w:color="000000"/>
              <w:right w:val="single" w:sz="4" w:space="0" w:color="000000"/>
            </w:tcBorders>
          </w:tcPr>
          <w:p w14:paraId="3864201B"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119.0</w:t>
            </w:r>
          </w:p>
        </w:tc>
        <w:tc>
          <w:tcPr>
            <w:tcW w:w="573" w:type="pct"/>
            <w:tcBorders>
              <w:top w:val="single" w:sz="4" w:space="0" w:color="000000"/>
              <w:left w:val="single" w:sz="4" w:space="0" w:color="000000"/>
              <w:bottom w:val="single" w:sz="4" w:space="0" w:color="000000"/>
              <w:right w:val="single" w:sz="4" w:space="0" w:color="000000"/>
            </w:tcBorders>
          </w:tcPr>
          <w:p w14:paraId="7430766F"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142.8</w:t>
            </w:r>
          </w:p>
        </w:tc>
        <w:tc>
          <w:tcPr>
            <w:tcW w:w="572" w:type="pct"/>
            <w:tcBorders>
              <w:top w:val="single" w:sz="4" w:space="0" w:color="000000"/>
              <w:left w:val="single" w:sz="4" w:space="0" w:color="000000"/>
              <w:bottom w:val="single" w:sz="4" w:space="0" w:color="000000"/>
              <w:right w:val="single" w:sz="4" w:space="0" w:color="000000"/>
            </w:tcBorders>
          </w:tcPr>
          <w:p w14:paraId="023C7D3C"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119.0</w:t>
            </w:r>
          </w:p>
        </w:tc>
        <w:tc>
          <w:tcPr>
            <w:tcW w:w="572" w:type="pct"/>
            <w:tcBorders>
              <w:top w:val="single" w:sz="4" w:space="0" w:color="000000"/>
              <w:left w:val="single" w:sz="4" w:space="0" w:color="000000"/>
              <w:bottom w:val="single" w:sz="4" w:space="0" w:color="000000"/>
              <w:right w:val="single" w:sz="4" w:space="0" w:color="000000"/>
            </w:tcBorders>
          </w:tcPr>
          <w:p w14:paraId="659D127A"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142.8</w:t>
            </w:r>
          </w:p>
        </w:tc>
        <w:tc>
          <w:tcPr>
            <w:tcW w:w="570" w:type="pct"/>
            <w:tcBorders>
              <w:top w:val="single" w:sz="4" w:space="0" w:color="000000"/>
              <w:left w:val="single" w:sz="4" w:space="0" w:color="000000"/>
              <w:bottom w:val="single" w:sz="4" w:space="0" w:color="000000"/>
              <w:right w:val="single" w:sz="4" w:space="0" w:color="000000"/>
            </w:tcBorders>
          </w:tcPr>
          <w:p w14:paraId="55DACE8E"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142.8</w:t>
            </w:r>
          </w:p>
        </w:tc>
      </w:tr>
      <w:tr w:rsidR="00FA3578" w:rsidRPr="00430A79" w14:paraId="181EEED8" w14:textId="77777777" w:rsidTr="00FA3578">
        <w:trPr>
          <w:trHeight w:val="369"/>
        </w:trPr>
        <w:tc>
          <w:tcPr>
            <w:tcW w:w="1446" w:type="pct"/>
            <w:tcBorders>
              <w:top w:val="single" w:sz="4" w:space="0" w:color="000000"/>
              <w:left w:val="single" w:sz="4" w:space="0" w:color="000000"/>
              <w:bottom w:val="single" w:sz="4" w:space="0" w:color="000000"/>
              <w:right w:val="single" w:sz="4" w:space="0" w:color="000000"/>
            </w:tcBorders>
          </w:tcPr>
          <w:p w14:paraId="2AE9522E" w14:textId="7728EC0F"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Kostot operacionale - stacioni i transferit </w:t>
            </w:r>
          </w:p>
        </w:tc>
        <w:tc>
          <w:tcPr>
            <w:tcW w:w="696" w:type="pct"/>
            <w:tcBorders>
              <w:top w:val="single" w:sz="4" w:space="0" w:color="000000"/>
              <w:left w:val="single" w:sz="4" w:space="0" w:color="000000"/>
              <w:bottom w:val="single" w:sz="4" w:space="0" w:color="000000"/>
              <w:right w:val="single" w:sz="4" w:space="0" w:color="000000"/>
            </w:tcBorders>
          </w:tcPr>
          <w:p w14:paraId="540269E7"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mijë €</w:t>
            </w:r>
          </w:p>
        </w:tc>
        <w:tc>
          <w:tcPr>
            <w:tcW w:w="572" w:type="pct"/>
            <w:tcBorders>
              <w:top w:val="single" w:sz="4" w:space="0" w:color="000000"/>
              <w:left w:val="single" w:sz="4" w:space="0" w:color="000000"/>
              <w:bottom w:val="single" w:sz="4" w:space="0" w:color="000000"/>
              <w:right w:val="single" w:sz="4" w:space="0" w:color="000000"/>
            </w:tcBorders>
          </w:tcPr>
          <w:p w14:paraId="7BA5AFC9"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88.5</w:t>
            </w:r>
          </w:p>
        </w:tc>
        <w:tc>
          <w:tcPr>
            <w:tcW w:w="573" w:type="pct"/>
            <w:tcBorders>
              <w:top w:val="single" w:sz="4" w:space="0" w:color="000000"/>
              <w:left w:val="single" w:sz="4" w:space="0" w:color="000000"/>
              <w:bottom w:val="single" w:sz="4" w:space="0" w:color="000000"/>
              <w:right w:val="single" w:sz="4" w:space="0" w:color="000000"/>
            </w:tcBorders>
          </w:tcPr>
          <w:p w14:paraId="1E55AF4D"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48.3</w:t>
            </w:r>
          </w:p>
        </w:tc>
        <w:tc>
          <w:tcPr>
            <w:tcW w:w="572" w:type="pct"/>
            <w:tcBorders>
              <w:top w:val="single" w:sz="4" w:space="0" w:color="000000"/>
              <w:left w:val="single" w:sz="4" w:space="0" w:color="000000"/>
              <w:bottom w:val="single" w:sz="4" w:space="0" w:color="000000"/>
              <w:right w:val="single" w:sz="4" w:space="0" w:color="000000"/>
            </w:tcBorders>
          </w:tcPr>
          <w:p w14:paraId="5832EB6C"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85.9</w:t>
            </w:r>
          </w:p>
        </w:tc>
        <w:tc>
          <w:tcPr>
            <w:tcW w:w="572" w:type="pct"/>
            <w:tcBorders>
              <w:top w:val="single" w:sz="4" w:space="0" w:color="000000"/>
              <w:left w:val="single" w:sz="4" w:space="0" w:color="000000"/>
              <w:bottom w:val="single" w:sz="4" w:space="0" w:color="000000"/>
              <w:right w:val="single" w:sz="4" w:space="0" w:color="000000"/>
            </w:tcBorders>
          </w:tcPr>
          <w:p w14:paraId="347E6EE5"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46.0</w:t>
            </w:r>
          </w:p>
        </w:tc>
        <w:tc>
          <w:tcPr>
            <w:tcW w:w="570" w:type="pct"/>
            <w:tcBorders>
              <w:top w:val="single" w:sz="4" w:space="0" w:color="000000"/>
              <w:left w:val="single" w:sz="4" w:space="0" w:color="000000"/>
              <w:bottom w:val="single" w:sz="4" w:space="0" w:color="000000"/>
              <w:right w:val="single" w:sz="4" w:space="0" w:color="000000"/>
            </w:tcBorders>
          </w:tcPr>
          <w:p w14:paraId="717106CE"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46.0</w:t>
            </w:r>
          </w:p>
        </w:tc>
      </w:tr>
      <w:tr w:rsidR="00FA3578" w:rsidRPr="00430A79" w14:paraId="2FE196E5" w14:textId="77777777" w:rsidTr="00FA3578">
        <w:trPr>
          <w:trHeight w:val="369"/>
        </w:trPr>
        <w:tc>
          <w:tcPr>
            <w:tcW w:w="1446" w:type="pct"/>
            <w:tcBorders>
              <w:top w:val="single" w:sz="4" w:space="0" w:color="000000"/>
              <w:left w:val="single" w:sz="4" w:space="0" w:color="000000"/>
              <w:bottom w:val="single" w:sz="4" w:space="0" w:color="000000"/>
              <w:right w:val="single" w:sz="4" w:space="0" w:color="000000"/>
            </w:tcBorders>
          </w:tcPr>
          <w:p w14:paraId="75BD9E6C" w14:textId="0A841D25"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operacinale të transportit</w:t>
            </w:r>
          </w:p>
        </w:tc>
        <w:tc>
          <w:tcPr>
            <w:tcW w:w="696" w:type="pct"/>
            <w:tcBorders>
              <w:top w:val="single" w:sz="4" w:space="0" w:color="000000"/>
              <w:left w:val="single" w:sz="4" w:space="0" w:color="000000"/>
              <w:bottom w:val="single" w:sz="4" w:space="0" w:color="000000"/>
              <w:right w:val="single" w:sz="4" w:space="0" w:color="000000"/>
            </w:tcBorders>
          </w:tcPr>
          <w:p w14:paraId="067379CB"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mijë €</w:t>
            </w:r>
          </w:p>
        </w:tc>
        <w:tc>
          <w:tcPr>
            <w:tcW w:w="572" w:type="pct"/>
            <w:tcBorders>
              <w:top w:val="single" w:sz="4" w:space="0" w:color="000000"/>
              <w:left w:val="single" w:sz="4" w:space="0" w:color="000000"/>
              <w:bottom w:val="single" w:sz="4" w:space="0" w:color="000000"/>
              <w:right w:val="single" w:sz="4" w:space="0" w:color="000000"/>
            </w:tcBorders>
          </w:tcPr>
          <w:p w14:paraId="17140B3C"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83.6</w:t>
            </w:r>
          </w:p>
        </w:tc>
        <w:tc>
          <w:tcPr>
            <w:tcW w:w="573" w:type="pct"/>
            <w:tcBorders>
              <w:top w:val="single" w:sz="4" w:space="0" w:color="000000"/>
              <w:left w:val="single" w:sz="4" w:space="0" w:color="000000"/>
              <w:bottom w:val="single" w:sz="4" w:space="0" w:color="000000"/>
              <w:right w:val="single" w:sz="4" w:space="0" w:color="000000"/>
            </w:tcBorders>
          </w:tcPr>
          <w:p w14:paraId="76FFAFE5"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88.5</w:t>
            </w:r>
          </w:p>
        </w:tc>
        <w:tc>
          <w:tcPr>
            <w:tcW w:w="572" w:type="pct"/>
            <w:tcBorders>
              <w:top w:val="single" w:sz="4" w:space="0" w:color="000000"/>
              <w:left w:val="single" w:sz="4" w:space="0" w:color="000000"/>
              <w:bottom w:val="single" w:sz="4" w:space="0" w:color="000000"/>
              <w:right w:val="single" w:sz="4" w:space="0" w:color="000000"/>
            </w:tcBorders>
          </w:tcPr>
          <w:p w14:paraId="4A0BDFBF"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72.8</w:t>
            </w:r>
          </w:p>
        </w:tc>
        <w:tc>
          <w:tcPr>
            <w:tcW w:w="572" w:type="pct"/>
            <w:tcBorders>
              <w:top w:val="single" w:sz="4" w:space="0" w:color="000000"/>
              <w:left w:val="single" w:sz="4" w:space="0" w:color="000000"/>
              <w:bottom w:val="single" w:sz="4" w:space="0" w:color="000000"/>
              <w:right w:val="single" w:sz="4" w:space="0" w:color="000000"/>
            </w:tcBorders>
          </w:tcPr>
          <w:p w14:paraId="44939075"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77.4</w:t>
            </w:r>
          </w:p>
        </w:tc>
        <w:tc>
          <w:tcPr>
            <w:tcW w:w="570" w:type="pct"/>
            <w:tcBorders>
              <w:top w:val="single" w:sz="4" w:space="0" w:color="000000"/>
              <w:left w:val="single" w:sz="4" w:space="0" w:color="000000"/>
              <w:bottom w:val="single" w:sz="4" w:space="0" w:color="000000"/>
              <w:right w:val="single" w:sz="4" w:space="0" w:color="000000"/>
            </w:tcBorders>
          </w:tcPr>
          <w:p w14:paraId="6C19ABD2"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74.1</w:t>
            </w:r>
          </w:p>
        </w:tc>
      </w:tr>
      <w:tr w:rsidR="00FA3578" w:rsidRPr="00430A79" w14:paraId="68805F05" w14:textId="77777777" w:rsidTr="00FA3578">
        <w:trPr>
          <w:trHeight w:val="369"/>
        </w:trPr>
        <w:tc>
          <w:tcPr>
            <w:tcW w:w="1446" w:type="pct"/>
            <w:tcBorders>
              <w:top w:val="single" w:sz="4" w:space="0" w:color="000000"/>
              <w:left w:val="single" w:sz="4" w:space="0" w:color="000000"/>
              <w:bottom w:val="single" w:sz="4" w:space="0" w:color="000000"/>
              <w:right w:val="single" w:sz="4" w:space="0" w:color="000000"/>
            </w:tcBorders>
          </w:tcPr>
          <w:p w14:paraId="7C668F8D" w14:textId="156A4590"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totale vjetore</w:t>
            </w:r>
          </w:p>
        </w:tc>
        <w:tc>
          <w:tcPr>
            <w:tcW w:w="696" w:type="pct"/>
            <w:tcBorders>
              <w:top w:val="single" w:sz="4" w:space="0" w:color="000000"/>
              <w:left w:val="single" w:sz="4" w:space="0" w:color="000000"/>
              <w:bottom w:val="single" w:sz="4" w:space="0" w:color="000000"/>
              <w:right w:val="single" w:sz="4" w:space="0" w:color="000000"/>
            </w:tcBorders>
          </w:tcPr>
          <w:p w14:paraId="059E158E"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mijë €</w:t>
            </w:r>
          </w:p>
        </w:tc>
        <w:tc>
          <w:tcPr>
            <w:tcW w:w="572" w:type="pct"/>
            <w:tcBorders>
              <w:top w:val="single" w:sz="4" w:space="0" w:color="000000"/>
              <w:left w:val="single" w:sz="4" w:space="0" w:color="000000"/>
              <w:bottom w:val="single" w:sz="4" w:space="0" w:color="000000"/>
              <w:right w:val="single" w:sz="4" w:space="0" w:color="000000"/>
            </w:tcBorders>
          </w:tcPr>
          <w:p w14:paraId="1CAD897B"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233.4</w:t>
            </w:r>
          </w:p>
        </w:tc>
        <w:tc>
          <w:tcPr>
            <w:tcW w:w="573" w:type="pct"/>
            <w:tcBorders>
              <w:top w:val="single" w:sz="4" w:space="0" w:color="000000"/>
              <w:left w:val="single" w:sz="4" w:space="0" w:color="000000"/>
              <w:bottom w:val="single" w:sz="4" w:space="0" w:color="000000"/>
              <w:right w:val="single" w:sz="4" w:space="0" w:color="000000"/>
            </w:tcBorders>
          </w:tcPr>
          <w:p w14:paraId="4880038F"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168.1</w:t>
            </w:r>
          </w:p>
        </w:tc>
        <w:tc>
          <w:tcPr>
            <w:tcW w:w="572" w:type="pct"/>
            <w:tcBorders>
              <w:top w:val="single" w:sz="4" w:space="0" w:color="000000"/>
              <w:left w:val="single" w:sz="4" w:space="0" w:color="000000"/>
              <w:bottom w:val="single" w:sz="4" w:space="0" w:color="000000"/>
              <w:right w:val="single" w:sz="4" w:space="0" w:color="000000"/>
            </w:tcBorders>
          </w:tcPr>
          <w:p w14:paraId="7215508D"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222.5</w:t>
            </w:r>
          </w:p>
        </w:tc>
        <w:tc>
          <w:tcPr>
            <w:tcW w:w="572" w:type="pct"/>
            <w:tcBorders>
              <w:top w:val="single" w:sz="4" w:space="0" w:color="000000"/>
              <w:left w:val="single" w:sz="4" w:space="0" w:color="000000"/>
              <w:bottom w:val="single" w:sz="4" w:space="0" w:color="000000"/>
              <w:right w:val="single" w:sz="4" w:space="0" w:color="000000"/>
            </w:tcBorders>
          </w:tcPr>
          <w:p w14:paraId="36C015A1"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157.7</w:t>
            </w:r>
          </w:p>
        </w:tc>
        <w:tc>
          <w:tcPr>
            <w:tcW w:w="570" w:type="pct"/>
            <w:tcBorders>
              <w:top w:val="single" w:sz="4" w:space="0" w:color="000000"/>
              <w:left w:val="single" w:sz="4" w:space="0" w:color="000000"/>
              <w:bottom w:val="single" w:sz="4" w:space="0" w:color="000000"/>
              <w:right w:val="single" w:sz="4" w:space="0" w:color="000000"/>
            </w:tcBorders>
          </w:tcPr>
          <w:p w14:paraId="020A8441"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154.4</w:t>
            </w:r>
          </w:p>
        </w:tc>
      </w:tr>
      <w:tr w:rsidR="00FA3578" w:rsidRPr="00430A79" w14:paraId="4E95598E" w14:textId="77777777" w:rsidTr="00FA3578">
        <w:trPr>
          <w:trHeight w:val="369"/>
        </w:trPr>
        <w:tc>
          <w:tcPr>
            <w:tcW w:w="1446" w:type="pct"/>
            <w:tcBorders>
              <w:top w:val="single" w:sz="4" w:space="0" w:color="000000"/>
              <w:left w:val="single" w:sz="4" w:space="0" w:color="000000"/>
              <w:bottom w:val="single" w:sz="4" w:space="0" w:color="000000"/>
              <w:right w:val="single" w:sz="4" w:space="0" w:color="000000"/>
            </w:tcBorders>
          </w:tcPr>
          <w:p w14:paraId="1FCA1F82" w14:textId="4D4AD1E6"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për ton mbeturina të transferuara</w:t>
            </w:r>
          </w:p>
        </w:tc>
        <w:tc>
          <w:tcPr>
            <w:tcW w:w="696" w:type="pct"/>
            <w:tcBorders>
              <w:top w:val="single" w:sz="4" w:space="0" w:color="000000"/>
              <w:left w:val="single" w:sz="4" w:space="0" w:color="000000"/>
              <w:bottom w:val="single" w:sz="4" w:space="0" w:color="000000"/>
              <w:right w:val="single" w:sz="4" w:space="0" w:color="000000"/>
            </w:tcBorders>
          </w:tcPr>
          <w:p w14:paraId="28277CCB"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€/ton</w:t>
            </w:r>
          </w:p>
        </w:tc>
        <w:tc>
          <w:tcPr>
            <w:tcW w:w="572" w:type="pct"/>
            <w:tcBorders>
              <w:top w:val="single" w:sz="4" w:space="0" w:color="000000"/>
              <w:left w:val="single" w:sz="4" w:space="0" w:color="000000"/>
              <w:bottom w:val="single" w:sz="4" w:space="0" w:color="000000"/>
              <w:right w:val="single" w:sz="4" w:space="0" w:color="000000"/>
            </w:tcBorders>
          </w:tcPr>
          <w:p w14:paraId="0DEB44ED"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24.21</w:t>
            </w:r>
          </w:p>
        </w:tc>
        <w:tc>
          <w:tcPr>
            <w:tcW w:w="573" w:type="pct"/>
            <w:tcBorders>
              <w:top w:val="single" w:sz="4" w:space="0" w:color="000000"/>
              <w:left w:val="single" w:sz="4" w:space="0" w:color="000000"/>
              <w:bottom w:val="single" w:sz="4" w:space="0" w:color="000000"/>
              <w:right w:val="single" w:sz="4" w:space="0" w:color="000000"/>
            </w:tcBorders>
          </w:tcPr>
          <w:p w14:paraId="15BFEF06"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17.44</w:t>
            </w:r>
          </w:p>
        </w:tc>
        <w:tc>
          <w:tcPr>
            <w:tcW w:w="572" w:type="pct"/>
            <w:tcBorders>
              <w:top w:val="single" w:sz="4" w:space="0" w:color="000000"/>
              <w:left w:val="single" w:sz="4" w:space="0" w:color="000000"/>
              <w:bottom w:val="single" w:sz="4" w:space="0" w:color="000000"/>
              <w:right w:val="single" w:sz="4" w:space="0" w:color="000000"/>
            </w:tcBorders>
          </w:tcPr>
          <w:p w14:paraId="7F41721F"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35.21</w:t>
            </w:r>
          </w:p>
        </w:tc>
        <w:tc>
          <w:tcPr>
            <w:tcW w:w="572" w:type="pct"/>
            <w:tcBorders>
              <w:top w:val="single" w:sz="4" w:space="0" w:color="000000"/>
              <w:left w:val="single" w:sz="4" w:space="0" w:color="000000"/>
              <w:bottom w:val="single" w:sz="4" w:space="0" w:color="000000"/>
              <w:right w:val="single" w:sz="4" w:space="0" w:color="000000"/>
            </w:tcBorders>
          </w:tcPr>
          <w:p w14:paraId="0CC41144"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23.79</w:t>
            </w:r>
          </w:p>
        </w:tc>
        <w:tc>
          <w:tcPr>
            <w:tcW w:w="570" w:type="pct"/>
            <w:tcBorders>
              <w:top w:val="single" w:sz="4" w:space="0" w:color="000000"/>
              <w:left w:val="single" w:sz="4" w:space="0" w:color="000000"/>
              <w:bottom w:val="single" w:sz="4" w:space="0" w:color="000000"/>
              <w:right w:val="single" w:sz="4" w:space="0" w:color="000000"/>
            </w:tcBorders>
          </w:tcPr>
          <w:p w14:paraId="58D716DF" w14:textId="77777777" w:rsidR="00FA3578" w:rsidRPr="00430A79" w:rsidRDefault="00FA3578" w:rsidP="00FA357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24.00</w:t>
            </w:r>
          </w:p>
        </w:tc>
      </w:tr>
    </w:tbl>
    <w:p w14:paraId="27CF6F6E" w14:textId="77777777" w:rsidR="00A41C6A" w:rsidRPr="00FA3578" w:rsidRDefault="00A41C6A" w:rsidP="00430A79">
      <w:pPr>
        <w:spacing w:after="120"/>
        <w:jc w:val="both"/>
        <w:rPr>
          <w:rFonts w:ascii="Arial Narrow" w:eastAsia="Calibri" w:hAnsi="Arial Narrow" w:cs="Calibri"/>
          <w:color w:val="000000" w:themeColor="text1"/>
          <w:sz w:val="22"/>
          <w:szCs w:val="22"/>
          <w:lang w:val="en-GB"/>
        </w:rPr>
      </w:pPr>
    </w:p>
    <w:p w14:paraId="66B4817A" w14:textId="57AC669D" w:rsidR="00430A79" w:rsidRDefault="00FA3578" w:rsidP="00430A79">
      <w:pPr>
        <w:spacing w:after="120"/>
        <w:jc w:val="both"/>
        <w:rPr>
          <w:rFonts w:ascii="Arial Narrow" w:eastAsia="Calibri" w:hAnsi="Arial Narrow" w:cs="Calibri"/>
          <w:color w:val="000000" w:themeColor="text1"/>
          <w:sz w:val="22"/>
          <w:szCs w:val="22"/>
          <w:lang w:val="en-GB"/>
        </w:rPr>
      </w:pPr>
      <w:r w:rsidRPr="00E213A8">
        <w:rPr>
          <w:rFonts w:ascii="Arial Narrow" w:eastAsia="Calibri" w:hAnsi="Arial Narrow" w:cs="Calibri"/>
          <w:sz w:val="22"/>
          <w:szCs w:val="22"/>
          <w:lang w:val="sq-AL"/>
        </w:rPr>
        <w:t>Krahasimi i</w:t>
      </w:r>
      <w:r w:rsidRPr="00FA3578">
        <w:rPr>
          <w:rFonts w:ascii="Arial Narrow" w:eastAsia="Calibri" w:hAnsi="Arial Narrow" w:cs="Calibri"/>
          <w:sz w:val="22"/>
          <w:szCs w:val="22"/>
          <w:lang w:val="sq-AL"/>
        </w:rPr>
        <w:t xml:space="preserve"> alternativave bazohet në kostot e zbritura për njësi për ton mbeturina të gjeneruara gjatë periudhës së planifikimit 2025 – 2035</w:t>
      </w:r>
      <w:r w:rsidR="00430A79" w:rsidRPr="00FA3578">
        <w:rPr>
          <w:rFonts w:ascii="Arial Narrow" w:eastAsia="Calibri" w:hAnsi="Arial Narrow" w:cs="Calibri"/>
          <w:color w:val="000000" w:themeColor="text1"/>
          <w:sz w:val="22"/>
          <w:szCs w:val="22"/>
          <w:lang w:val="en-GB"/>
        </w:rPr>
        <w:t>.</w:t>
      </w:r>
    </w:p>
    <w:p w14:paraId="4409AF04" w14:textId="77777777" w:rsidR="00E213A8" w:rsidRDefault="00E213A8" w:rsidP="00430A79">
      <w:pPr>
        <w:spacing w:after="120"/>
        <w:jc w:val="both"/>
        <w:rPr>
          <w:rFonts w:ascii="Arial Narrow" w:eastAsia="Calibri" w:hAnsi="Arial Narrow" w:cs="Calibri"/>
          <w:color w:val="000000" w:themeColor="text1"/>
          <w:sz w:val="22"/>
          <w:szCs w:val="22"/>
          <w:lang w:val="en-GB"/>
        </w:rPr>
      </w:pPr>
    </w:p>
    <w:p w14:paraId="0EAC9603" w14:textId="77777777" w:rsidR="00E213A8" w:rsidRPr="00FA3578" w:rsidRDefault="00E213A8" w:rsidP="00430A79">
      <w:pPr>
        <w:spacing w:after="120"/>
        <w:jc w:val="both"/>
        <w:rPr>
          <w:rFonts w:ascii="Arial Narrow" w:eastAsia="Calibri" w:hAnsi="Arial Narrow" w:cs="Calibri"/>
          <w:color w:val="000000" w:themeColor="text1"/>
          <w:sz w:val="22"/>
          <w:szCs w:val="22"/>
          <w:lang w:val="en-GB"/>
        </w:rPr>
      </w:pPr>
    </w:p>
    <w:p w14:paraId="35D8217A" w14:textId="495EC054" w:rsidR="00430A79" w:rsidRPr="00430A79" w:rsidRDefault="00430A79" w:rsidP="00430A79">
      <w:pPr>
        <w:jc w:val="both"/>
        <w:rPr>
          <w:rFonts w:ascii="Arial Narrow" w:eastAsia="Calibri" w:hAnsi="Arial Narrow" w:cs="Calibri"/>
          <w:color w:val="000000" w:themeColor="text1"/>
          <w:sz w:val="22"/>
          <w:szCs w:val="22"/>
          <w:lang w:val="en-GB"/>
        </w:rPr>
      </w:pPr>
      <w:bookmarkStart w:id="334" w:name="_Toc185866204"/>
      <w:bookmarkStart w:id="335" w:name="_Toc197472233"/>
      <w:proofErr w:type="spellStart"/>
      <w:r w:rsidRPr="00430A79">
        <w:rPr>
          <w:rFonts w:ascii="Arial Narrow" w:eastAsia="Calibri" w:hAnsi="Arial Narrow" w:cs="Calibri"/>
          <w:color w:val="1F497D"/>
          <w:sz w:val="20"/>
          <w:szCs w:val="20"/>
          <w:lang w:val="en-GB"/>
        </w:rPr>
        <w:t>Tabela</w:t>
      </w:r>
      <w:proofErr w:type="spellEnd"/>
      <w:r w:rsidRPr="00430A79">
        <w:rPr>
          <w:rFonts w:ascii="Arial Narrow" w:eastAsia="Calibri" w:hAnsi="Arial Narrow" w:cs="Calibri"/>
          <w:color w:val="1F497D"/>
          <w:sz w:val="20"/>
          <w:szCs w:val="20"/>
          <w:lang w:val="en-GB"/>
        </w:rPr>
        <w:t xml:space="preserve"> </w:t>
      </w:r>
      <w:r w:rsidRPr="00430A79">
        <w:rPr>
          <w:rFonts w:ascii="Arial Narrow" w:eastAsia="Calibri" w:hAnsi="Arial Narrow" w:cs="Calibri"/>
          <w:color w:val="1F497D"/>
          <w:sz w:val="20"/>
          <w:szCs w:val="20"/>
          <w:lang w:val="en-GB"/>
        </w:rPr>
        <w:fldChar w:fldCharType="begin"/>
      </w:r>
      <w:r w:rsidRPr="00430A79">
        <w:rPr>
          <w:rFonts w:ascii="Arial Narrow" w:eastAsia="Calibri" w:hAnsi="Arial Narrow" w:cs="Calibri"/>
          <w:color w:val="1F497D"/>
          <w:sz w:val="20"/>
          <w:szCs w:val="20"/>
          <w:lang w:val="en-GB"/>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Pr>
          <w:rFonts w:ascii="Arial Narrow" w:eastAsia="Calibri" w:hAnsi="Arial Narrow" w:cs="Calibri"/>
          <w:noProof/>
          <w:color w:val="1F497D"/>
          <w:sz w:val="20"/>
          <w:szCs w:val="20"/>
          <w:lang w:val="en-GB"/>
        </w:rPr>
        <w:t xml:space="preserve">48. </w:t>
      </w:r>
      <w:r w:rsidRPr="00430A79">
        <w:rPr>
          <w:rFonts w:ascii="Arial Narrow" w:eastAsia="Calibri" w:hAnsi="Arial Narrow" w:cs="Calibri"/>
          <w:color w:val="1F497D"/>
          <w:sz w:val="20"/>
          <w:szCs w:val="20"/>
          <w:lang w:val="en-GB"/>
        </w:rPr>
        <w:fldChar w:fldCharType="end"/>
      </w:r>
      <w:proofErr w:type="spellStart"/>
      <w:r w:rsidRPr="00430A79">
        <w:rPr>
          <w:rFonts w:ascii="Arial Narrow" w:eastAsia="Calibri" w:hAnsi="Arial Narrow" w:cs="Calibri"/>
          <w:color w:val="1F497D"/>
          <w:sz w:val="20"/>
          <w:szCs w:val="20"/>
          <w:lang w:val="en-GB"/>
        </w:rPr>
        <w:t>Krahasimi</w:t>
      </w:r>
      <w:proofErr w:type="spellEnd"/>
      <w:r w:rsidRPr="00430A79">
        <w:rPr>
          <w:rFonts w:ascii="Arial Narrow" w:eastAsia="Calibri" w:hAnsi="Arial Narrow" w:cs="Calibri"/>
          <w:color w:val="1F497D"/>
          <w:sz w:val="20"/>
          <w:szCs w:val="20"/>
          <w:lang w:val="en-GB"/>
        </w:rPr>
        <w:t xml:space="preserve"> i </w:t>
      </w:r>
      <w:proofErr w:type="spellStart"/>
      <w:r w:rsidRPr="00430A79">
        <w:rPr>
          <w:rFonts w:ascii="Arial Narrow" w:eastAsia="Calibri" w:hAnsi="Arial Narrow" w:cs="Calibri"/>
          <w:color w:val="1F497D"/>
          <w:sz w:val="20"/>
          <w:szCs w:val="20"/>
          <w:lang w:val="en-GB"/>
        </w:rPr>
        <w:t>kostove</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të</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zbritura</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për</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njësi</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për</w:t>
      </w:r>
      <w:proofErr w:type="spellEnd"/>
      <w:r w:rsidRPr="00430A79">
        <w:rPr>
          <w:rFonts w:ascii="Arial Narrow" w:eastAsia="Calibri" w:hAnsi="Arial Narrow" w:cs="Calibri"/>
          <w:color w:val="1F497D"/>
          <w:sz w:val="20"/>
          <w:szCs w:val="20"/>
          <w:lang w:val="en-GB"/>
        </w:rPr>
        <w:t xml:space="preserve"> </w:t>
      </w:r>
      <w:proofErr w:type="spellStart"/>
      <w:r w:rsidR="00E213A8">
        <w:rPr>
          <w:rFonts w:ascii="Arial Narrow" w:eastAsia="Calibri" w:hAnsi="Arial Narrow" w:cs="Calibri"/>
          <w:color w:val="1F497D"/>
          <w:sz w:val="20"/>
          <w:szCs w:val="20"/>
          <w:lang w:val="en-GB"/>
        </w:rPr>
        <w:t>grumbullimin</w:t>
      </w:r>
      <w:proofErr w:type="spellEnd"/>
      <w:r w:rsidR="00E213A8">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dhe</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transferimin</w:t>
      </w:r>
      <w:proofErr w:type="spellEnd"/>
      <w:r w:rsidRPr="00430A79">
        <w:rPr>
          <w:rFonts w:ascii="Arial Narrow" w:eastAsia="Calibri" w:hAnsi="Arial Narrow" w:cs="Calibri"/>
          <w:color w:val="1F497D"/>
          <w:sz w:val="20"/>
          <w:szCs w:val="20"/>
          <w:lang w:val="en-GB"/>
        </w:rPr>
        <w:t xml:space="preserve"> e </w:t>
      </w:r>
      <w:proofErr w:type="spellStart"/>
      <w:r w:rsidRPr="00430A79">
        <w:rPr>
          <w:rFonts w:ascii="Arial Narrow" w:eastAsia="Calibri" w:hAnsi="Arial Narrow" w:cs="Calibri"/>
          <w:color w:val="1F497D"/>
          <w:sz w:val="20"/>
          <w:szCs w:val="20"/>
          <w:lang w:val="en-GB"/>
        </w:rPr>
        <w:t>mbeturinave</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për</w:t>
      </w:r>
      <w:proofErr w:type="spellEnd"/>
      <w:r w:rsidRPr="00430A79">
        <w:rPr>
          <w:rFonts w:ascii="Arial Narrow" w:eastAsia="Calibri" w:hAnsi="Arial Narrow" w:cs="Calibri"/>
          <w:color w:val="1F497D"/>
          <w:sz w:val="20"/>
          <w:szCs w:val="20"/>
          <w:lang w:val="en-GB"/>
        </w:rPr>
        <w:t xml:space="preserve"> ton </w:t>
      </w:r>
      <w:proofErr w:type="spellStart"/>
      <w:r w:rsidRPr="00430A79">
        <w:rPr>
          <w:rFonts w:ascii="Arial Narrow" w:eastAsia="Calibri" w:hAnsi="Arial Narrow" w:cs="Calibri"/>
          <w:color w:val="1F497D"/>
          <w:sz w:val="20"/>
          <w:szCs w:val="20"/>
          <w:lang w:val="en-GB"/>
        </w:rPr>
        <w:t>të</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mbeturinave</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të</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gjeneruara</w:t>
      </w:r>
      <w:proofErr w:type="spellEnd"/>
      <w:r w:rsidRPr="00430A79">
        <w:rPr>
          <w:rFonts w:ascii="Arial Narrow" w:eastAsia="Calibri" w:hAnsi="Arial Narrow" w:cs="Calibri"/>
          <w:color w:val="1F497D"/>
          <w:sz w:val="20"/>
          <w:szCs w:val="20"/>
          <w:lang w:val="en-GB"/>
        </w:rPr>
        <w:t xml:space="preserve">, </w:t>
      </w:r>
      <w:r w:rsidRPr="00430A79">
        <w:rPr>
          <w:rFonts w:ascii="Calibri" w:eastAsia="Calibri" w:hAnsi="Calibri" w:cs="Calibri"/>
          <w:color w:val="1F497D"/>
          <w:sz w:val="20"/>
          <w:szCs w:val="20"/>
          <w:lang w:val="en-GB"/>
        </w:rPr>
        <w:t xml:space="preserve">€ </w:t>
      </w:r>
      <w:r w:rsidRPr="00430A79">
        <w:rPr>
          <w:rFonts w:ascii="Arial Narrow" w:eastAsia="Calibri" w:hAnsi="Arial Narrow" w:cs="Calibri"/>
          <w:color w:val="1F497D"/>
          <w:sz w:val="20"/>
          <w:szCs w:val="20"/>
          <w:lang w:val="en-GB"/>
        </w:rPr>
        <w:t>/ton</w:t>
      </w:r>
      <w:bookmarkEnd w:id="334"/>
      <w:bookmarkEnd w:id="335"/>
    </w:p>
    <w:tbl>
      <w:tblPr>
        <w:tblW w:w="5138" w:type="pct"/>
        <w:tblCellMar>
          <w:top w:w="28" w:type="dxa"/>
          <w:left w:w="57" w:type="dxa"/>
          <w:bottom w:w="28" w:type="dxa"/>
          <w:right w:w="28" w:type="dxa"/>
        </w:tblCellMar>
        <w:tblLook w:val="0000" w:firstRow="0" w:lastRow="0" w:firstColumn="0" w:lastColumn="0" w:noHBand="0" w:noVBand="0"/>
      </w:tblPr>
      <w:tblGrid>
        <w:gridCol w:w="2263"/>
        <w:gridCol w:w="851"/>
        <w:gridCol w:w="825"/>
        <w:gridCol w:w="893"/>
        <w:gridCol w:w="893"/>
        <w:gridCol w:w="988"/>
        <w:gridCol w:w="734"/>
        <w:gridCol w:w="1008"/>
        <w:gridCol w:w="810"/>
      </w:tblGrid>
      <w:tr w:rsidR="00430A79" w:rsidRPr="00430A79" w14:paraId="3386FD1D" w14:textId="77777777" w:rsidTr="00E213A8">
        <w:trPr>
          <w:trHeight w:hRule="exact" w:val="443"/>
        </w:trPr>
        <w:tc>
          <w:tcPr>
            <w:tcW w:w="1221" w:type="pct"/>
            <w:vMerge w:val="restart"/>
            <w:tcBorders>
              <w:top w:val="single" w:sz="4" w:space="0" w:color="000000"/>
              <w:left w:val="single" w:sz="4" w:space="0" w:color="000000"/>
              <w:right w:val="single" w:sz="4" w:space="0" w:color="000000"/>
            </w:tcBorders>
            <w:shd w:val="clear" w:color="auto" w:fill="365F91"/>
            <w:vAlign w:val="center"/>
          </w:tcPr>
          <w:p w14:paraId="3F891E56"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Parametri</w:t>
            </w:r>
          </w:p>
        </w:tc>
        <w:tc>
          <w:tcPr>
            <w:tcW w:w="1386" w:type="pct"/>
            <w:gridSpan w:val="3"/>
            <w:tcBorders>
              <w:top w:val="single" w:sz="4" w:space="0" w:color="000000"/>
              <w:left w:val="single" w:sz="4" w:space="0" w:color="000000"/>
              <w:bottom w:val="single" w:sz="4" w:space="0" w:color="000000"/>
              <w:right w:val="single" w:sz="4" w:space="0" w:color="000000"/>
            </w:tcBorders>
            <w:shd w:val="clear" w:color="auto" w:fill="365F91"/>
            <w:vAlign w:val="center"/>
          </w:tcPr>
          <w:p w14:paraId="0A5D9AFE" w14:textId="77777777" w:rsidR="00430A79" w:rsidRPr="00430A79" w:rsidRDefault="00430A79" w:rsidP="00430A79">
            <w:pPr>
              <w:widowControl w:val="0"/>
              <w:autoSpaceDE w:val="0"/>
              <w:autoSpaceDN w:val="0"/>
              <w:spacing w:before="60" w:after="60"/>
              <w:jc w:val="center"/>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Istog</w:t>
            </w:r>
          </w:p>
        </w:tc>
        <w:tc>
          <w:tcPr>
            <w:tcW w:w="1411" w:type="pct"/>
            <w:gridSpan w:val="3"/>
            <w:tcBorders>
              <w:top w:val="single" w:sz="4" w:space="0" w:color="000000"/>
              <w:left w:val="single" w:sz="4" w:space="0" w:color="000000"/>
              <w:bottom w:val="single" w:sz="4" w:space="0" w:color="000000"/>
              <w:right w:val="single" w:sz="4" w:space="0" w:color="000000"/>
            </w:tcBorders>
            <w:shd w:val="clear" w:color="auto" w:fill="365F91"/>
            <w:vAlign w:val="center"/>
          </w:tcPr>
          <w:p w14:paraId="440FBC45" w14:textId="5D9E4D94" w:rsidR="00430A79" w:rsidRPr="00430A79" w:rsidRDefault="00430A79" w:rsidP="00430A79">
            <w:pPr>
              <w:widowControl w:val="0"/>
              <w:autoSpaceDE w:val="0"/>
              <w:autoSpaceDN w:val="0"/>
              <w:spacing w:before="60" w:after="60"/>
              <w:jc w:val="center"/>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De</w:t>
            </w:r>
            <w:r w:rsidR="00E213A8">
              <w:rPr>
                <w:rFonts w:ascii="Arial Narrow" w:eastAsia="Calibri" w:hAnsi="Arial Narrow" w:cs="Calibri"/>
                <w:b/>
                <w:color w:val="FFFFFF"/>
                <w:sz w:val="20"/>
                <w:szCs w:val="20"/>
              </w:rPr>
              <w:t>ç</w:t>
            </w:r>
            <w:r w:rsidRPr="00430A79">
              <w:rPr>
                <w:rFonts w:ascii="Arial Narrow" w:eastAsia="Calibri" w:hAnsi="Arial Narrow" w:cs="Calibri"/>
                <w:b/>
                <w:color w:val="FFFFFF"/>
                <w:sz w:val="20"/>
                <w:szCs w:val="20"/>
              </w:rPr>
              <w:t>an</w:t>
            </w:r>
          </w:p>
        </w:tc>
        <w:tc>
          <w:tcPr>
            <w:tcW w:w="981" w:type="pct"/>
            <w:gridSpan w:val="2"/>
            <w:tcBorders>
              <w:top w:val="single" w:sz="4" w:space="0" w:color="000000"/>
              <w:left w:val="single" w:sz="4" w:space="0" w:color="000000"/>
              <w:bottom w:val="single" w:sz="4" w:space="0" w:color="000000"/>
              <w:right w:val="single" w:sz="4" w:space="0" w:color="000000"/>
            </w:tcBorders>
            <w:shd w:val="clear" w:color="auto" w:fill="365F91"/>
            <w:vAlign w:val="center"/>
          </w:tcPr>
          <w:p w14:paraId="2AB66D2C" w14:textId="00FEDE76" w:rsidR="00430A79" w:rsidRPr="00430A79" w:rsidRDefault="00430A79" w:rsidP="00430A79">
            <w:pPr>
              <w:widowControl w:val="0"/>
              <w:autoSpaceDE w:val="0"/>
              <w:autoSpaceDN w:val="0"/>
              <w:spacing w:before="60" w:after="60"/>
              <w:jc w:val="center"/>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Klin</w:t>
            </w:r>
            <w:r w:rsidR="00E213A8">
              <w:rPr>
                <w:rFonts w:ascii="Arial Narrow" w:eastAsia="Calibri" w:hAnsi="Arial Narrow" w:cs="Calibri"/>
                <w:b/>
                <w:color w:val="FFFFFF"/>
                <w:sz w:val="20"/>
                <w:szCs w:val="20"/>
              </w:rPr>
              <w:t>ë</w:t>
            </w:r>
          </w:p>
        </w:tc>
      </w:tr>
      <w:tr w:rsidR="00750949" w:rsidRPr="00430A79" w14:paraId="6AE06441" w14:textId="77777777" w:rsidTr="00E213A8">
        <w:trPr>
          <w:trHeight w:hRule="exact" w:val="632"/>
        </w:trPr>
        <w:tc>
          <w:tcPr>
            <w:tcW w:w="1221" w:type="pct"/>
            <w:vMerge/>
            <w:tcBorders>
              <w:left w:val="single" w:sz="4" w:space="0" w:color="000000"/>
              <w:bottom w:val="single" w:sz="4" w:space="0" w:color="000000"/>
              <w:right w:val="single" w:sz="4" w:space="0" w:color="000000"/>
            </w:tcBorders>
            <w:shd w:val="clear" w:color="auto" w:fill="365F91"/>
            <w:vAlign w:val="center"/>
          </w:tcPr>
          <w:p w14:paraId="5CA909FD"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p>
        </w:tc>
        <w:tc>
          <w:tcPr>
            <w:tcW w:w="459" w:type="pct"/>
            <w:tcBorders>
              <w:top w:val="single" w:sz="4" w:space="0" w:color="000000"/>
              <w:left w:val="single" w:sz="4" w:space="0" w:color="000000"/>
              <w:bottom w:val="single" w:sz="4" w:space="0" w:color="000000"/>
              <w:right w:val="single" w:sz="4" w:space="0" w:color="000000"/>
            </w:tcBorders>
            <w:shd w:val="clear" w:color="auto" w:fill="365F91"/>
            <w:vAlign w:val="center"/>
          </w:tcPr>
          <w:p w14:paraId="5BF1218D" w14:textId="77777777" w:rsidR="00430A79" w:rsidRPr="00430A79" w:rsidRDefault="00430A79" w:rsidP="00430A79">
            <w:pPr>
              <w:widowControl w:val="0"/>
              <w:autoSpaceDE w:val="0"/>
              <w:autoSpaceDN w:val="0"/>
              <w:spacing w:before="60" w:after="60"/>
              <w:rPr>
                <w:rFonts w:ascii="Arial Narrow" w:eastAsia="Calibri" w:hAnsi="Arial Narrow" w:cs="Calibri"/>
                <w:bCs/>
                <w:color w:val="FFFFFF"/>
                <w:sz w:val="20"/>
                <w:szCs w:val="20"/>
              </w:rPr>
            </w:pPr>
            <w:r w:rsidRPr="00430A79">
              <w:rPr>
                <w:rFonts w:ascii="Arial Narrow" w:eastAsia="Calibri" w:hAnsi="Arial Narrow" w:cs="Calibri"/>
                <w:bCs/>
                <w:color w:val="FFFFFF"/>
                <w:sz w:val="20"/>
                <w:szCs w:val="20"/>
              </w:rPr>
              <w:t>me ngjeshje</w:t>
            </w:r>
          </w:p>
        </w:tc>
        <w:tc>
          <w:tcPr>
            <w:tcW w:w="445" w:type="pct"/>
            <w:tcBorders>
              <w:top w:val="single" w:sz="4" w:space="0" w:color="000000"/>
              <w:left w:val="single" w:sz="4" w:space="0" w:color="000000"/>
              <w:bottom w:val="single" w:sz="4" w:space="0" w:color="000000"/>
              <w:right w:val="single" w:sz="4" w:space="0" w:color="000000"/>
            </w:tcBorders>
            <w:shd w:val="clear" w:color="auto" w:fill="365F91"/>
            <w:vAlign w:val="center"/>
          </w:tcPr>
          <w:p w14:paraId="4CA0F49D" w14:textId="77777777" w:rsidR="00430A79" w:rsidRPr="00430A79" w:rsidRDefault="00430A79" w:rsidP="00430A79">
            <w:pPr>
              <w:widowControl w:val="0"/>
              <w:autoSpaceDE w:val="0"/>
              <w:autoSpaceDN w:val="0"/>
              <w:spacing w:before="60" w:after="60"/>
              <w:rPr>
                <w:rFonts w:ascii="Arial Narrow" w:eastAsia="Calibri" w:hAnsi="Arial Narrow" w:cs="Calibri"/>
                <w:bCs/>
                <w:color w:val="FFFFFF"/>
                <w:sz w:val="20"/>
                <w:szCs w:val="20"/>
              </w:rPr>
            </w:pPr>
            <w:r w:rsidRPr="00430A79">
              <w:rPr>
                <w:rFonts w:ascii="Arial Narrow" w:eastAsia="Calibri" w:hAnsi="Arial Narrow" w:cs="Calibri"/>
                <w:bCs/>
                <w:color w:val="FFFFFF"/>
                <w:sz w:val="20"/>
                <w:szCs w:val="20"/>
              </w:rPr>
              <w:t>pa ngjeshje</w:t>
            </w:r>
          </w:p>
        </w:tc>
        <w:tc>
          <w:tcPr>
            <w:tcW w:w="482" w:type="pct"/>
            <w:tcBorders>
              <w:top w:val="single" w:sz="4" w:space="0" w:color="000000"/>
              <w:left w:val="single" w:sz="4" w:space="0" w:color="000000"/>
              <w:bottom w:val="single" w:sz="4" w:space="0" w:color="000000"/>
              <w:right w:val="single" w:sz="4" w:space="0" w:color="000000"/>
            </w:tcBorders>
            <w:shd w:val="clear" w:color="auto" w:fill="365F91"/>
          </w:tcPr>
          <w:p w14:paraId="55D5156F" w14:textId="7985EC05" w:rsidR="00430A79" w:rsidRPr="00430A79" w:rsidRDefault="00430A79" w:rsidP="00430A79">
            <w:pPr>
              <w:widowControl w:val="0"/>
              <w:autoSpaceDE w:val="0"/>
              <w:autoSpaceDN w:val="0"/>
              <w:spacing w:before="60" w:after="60"/>
              <w:rPr>
                <w:rFonts w:ascii="Arial Narrow" w:eastAsia="Calibri" w:hAnsi="Arial Narrow" w:cs="Calibri"/>
                <w:bCs/>
                <w:color w:val="FFFFFF"/>
                <w:sz w:val="20"/>
                <w:szCs w:val="20"/>
              </w:rPr>
            </w:pPr>
            <w:r w:rsidRPr="00430A79">
              <w:rPr>
                <w:rFonts w:ascii="Arial Narrow" w:eastAsia="Calibri" w:hAnsi="Arial Narrow" w:cs="Calibri"/>
                <w:bCs/>
                <w:color w:val="FFFFFF"/>
                <w:sz w:val="20"/>
                <w:szCs w:val="20"/>
              </w:rPr>
              <w:t xml:space="preserve">transport </w:t>
            </w:r>
            <w:r w:rsidR="00E213A8">
              <w:rPr>
                <w:rFonts w:ascii="Arial Narrow" w:eastAsia="Calibri" w:hAnsi="Arial Narrow" w:cs="Calibri"/>
                <w:bCs/>
                <w:color w:val="FFFFFF"/>
                <w:sz w:val="20"/>
                <w:szCs w:val="20"/>
              </w:rPr>
              <w:t>direkt</w:t>
            </w:r>
          </w:p>
        </w:tc>
        <w:tc>
          <w:tcPr>
            <w:tcW w:w="482" w:type="pct"/>
            <w:tcBorders>
              <w:top w:val="single" w:sz="4" w:space="0" w:color="000000"/>
              <w:left w:val="single" w:sz="4" w:space="0" w:color="000000"/>
              <w:bottom w:val="single" w:sz="4" w:space="0" w:color="000000"/>
              <w:right w:val="single" w:sz="4" w:space="0" w:color="000000"/>
            </w:tcBorders>
            <w:shd w:val="clear" w:color="auto" w:fill="365F91"/>
            <w:vAlign w:val="center"/>
          </w:tcPr>
          <w:p w14:paraId="6AA41A77" w14:textId="77777777" w:rsidR="00430A79" w:rsidRPr="00430A79" w:rsidRDefault="00430A79" w:rsidP="00430A79">
            <w:pPr>
              <w:widowControl w:val="0"/>
              <w:autoSpaceDE w:val="0"/>
              <w:autoSpaceDN w:val="0"/>
              <w:spacing w:before="60" w:after="60"/>
              <w:rPr>
                <w:rFonts w:ascii="Arial Narrow" w:eastAsia="Calibri" w:hAnsi="Arial Narrow" w:cs="Calibri"/>
                <w:bCs/>
                <w:color w:val="FFFFFF"/>
                <w:sz w:val="20"/>
                <w:szCs w:val="20"/>
              </w:rPr>
            </w:pPr>
            <w:r w:rsidRPr="00430A79">
              <w:rPr>
                <w:rFonts w:ascii="Arial Narrow" w:eastAsia="Calibri" w:hAnsi="Arial Narrow" w:cs="Calibri"/>
                <w:bCs/>
                <w:color w:val="FFFFFF"/>
                <w:sz w:val="20"/>
                <w:szCs w:val="20"/>
              </w:rPr>
              <w:t>me ngjeshje</w:t>
            </w:r>
          </w:p>
        </w:tc>
        <w:tc>
          <w:tcPr>
            <w:tcW w:w="533" w:type="pct"/>
            <w:tcBorders>
              <w:top w:val="single" w:sz="4" w:space="0" w:color="000000"/>
              <w:left w:val="single" w:sz="4" w:space="0" w:color="000000"/>
              <w:bottom w:val="single" w:sz="4" w:space="0" w:color="000000"/>
              <w:right w:val="single" w:sz="4" w:space="0" w:color="000000"/>
            </w:tcBorders>
            <w:shd w:val="clear" w:color="auto" w:fill="365F91"/>
            <w:vAlign w:val="center"/>
          </w:tcPr>
          <w:p w14:paraId="34982A96" w14:textId="77777777" w:rsidR="00430A79" w:rsidRPr="00430A79" w:rsidRDefault="00430A79" w:rsidP="00430A79">
            <w:pPr>
              <w:widowControl w:val="0"/>
              <w:autoSpaceDE w:val="0"/>
              <w:autoSpaceDN w:val="0"/>
              <w:spacing w:before="60" w:after="60"/>
              <w:rPr>
                <w:rFonts w:ascii="Arial Narrow" w:eastAsia="Calibri" w:hAnsi="Arial Narrow" w:cs="Calibri"/>
                <w:bCs/>
                <w:color w:val="FFFFFF"/>
                <w:sz w:val="20"/>
                <w:szCs w:val="20"/>
              </w:rPr>
            </w:pPr>
            <w:r w:rsidRPr="00430A79">
              <w:rPr>
                <w:rFonts w:ascii="Arial Narrow" w:eastAsia="Calibri" w:hAnsi="Arial Narrow" w:cs="Calibri"/>
                <w:bCs/>
                <w:color w:val="FFFFFF"/>
                <w:sz w:val="20"/>
                <w:szCs w:val="20"/>
              </w:rPr>
              <w:t>pa ngjeshje</w:t>
            </w:r>
          </w:p>
        </w:tc>
        <w:tc>
          <w:tcPr>
            <w:tcW w:w="396" w:type="pct"/>
            <w:tcBorders>
              <w:top w:val="single" w:sz="4" w:space="0" w:color="000000"/>
              <w:left w:val="single" w:sz="4" w:space="0" w:color="000000"/>
              <w:bottom w:val="single" w:sz="4" w:space="0" w:color="000000"/>
              <w:right w:val="single" w:sz="4" w:space="0" w:color="000000"/>
            </w:tcBorders>
            <w:shd w:val="clear" w:color="auto" w:fill="365F91"/>
          </w:tcPr>
          <w:p w14:paraId="4CA690C9" w14:textId="2F817310" w:rsidR="00430A79" w:rsidRPr="00430A79" w:rsidRDefault="00E213A8" w:rsidP="00430A79">
            <w:pPr>
              <w:widowControl w:val="0"/>
              <w:autoSpaceDE w:val="0"/>
              <w:autoSpaceDN w:val="0"/>
              <w:spacing w:before="60" w:after="60"/>
              <w:rPr>
                <w:rFonts w:ascii="Arial Narrow" w:eastAsia="Calibri" w:hAnsi="Arial Narrow" w:cs="Calibri"/>
                <w:bCs/>
                <w:color w:val="FFFFFF"/>
                <w:sz w:val="20"/>
                <w:szCs w:val="20"/>
              </w:rPr>
            </w:pPr>
            <w:r w:rsidRPr="00430A79">
              <w:rPr>
                <w:rFonts w:ascii="Arial Narrow" w:eastAsia="Calibri" w:hAnsi="Arial Narrow" w:cs="Calibri"/>
                <w:bCs/>
                <w:color w:val="FFFFFF"/>
                <w:sz w:val="20"/>
                <w:szCs w:val="20"/>
              </w:rPr>
              <w:t xml:space="preserve">transport </w:t>
            </w:r>
            <w:r>
              <w:rPr>
                <w:rFonts w:ascii="Arial Narrow" w:eastAsia="Calibri" w:hAnsi="Arial Narrow" w:cs="Calibri"/>
                <w:bCs/>
                <w:color w:val="FFFFFF"/>
                <w:sz w:val="20"/>
                <w:szCs w:val="20"/>
              </w:rPr>
              <w:t>direkt</w:t>
            </w:r>
          </w:p>
        </w:tc>
        <w:tc>
          <w:tcPr>
            <w:tcW w:w="544" w:type="pct"/>
            <w:tcBorders>
              <w:top w:val="single" w:sz="4" w:space="0" w:color="000000"/>
              <w:left w:val="single" w:sz="4" w:space="0" w:color="000000"/>
              <w:bottom w:val="single" w:sz="4" w:space="0" w:color="000000"/>
              <w:right w:val="single" w:sz="4" w:space="0" w:color="000000"/>
            </w:tcBorders>
            <w:shd w:val="clear" w:color="auto" w:fill="365F91"/>
            <w:vAlign w:val="center"/>
          </w:tcPr>
          <w:p w14:paraId="2D0D561F" w14:textId="77777777" w:rsidR="00430A79" w:rsidRPr="00430A79" w:rsidRDefault="00430A79" w:rsidP="00430A79">
            <w:pPr>
              <w:widowControl w:val="0"/>
              <w:autoSpaceDE w:val="0"/>
              <w:autoSpaceDN w:val="0"/>
              <w:spacing w:before="60" w:after="60"/>
              <w:rPr>
                <w:rFonts w:ascii="Arial Narrow" w:eastAsia="Calibri" w:hAnsi="Arial Narrow" w:cs="Calibri"/>
                <w:bCs/>
                <w:color w:val="FFFFFF"/>
                <w:sz w:val="20"/>
                <w:szCs w:val="20"/>
              </w:rPr>
            </w:pPr>
            <w:r w:rsidRPr="00430A79">
              <w:rPr>
                <w:rFonts w:ascii="Arial Narrow" w:eastAsia="Calibri" w:hAnsi="Arial Narrow" w:cs="Calibri"/>
                <w:bCs/>
                <w:color w:val="FFFFFF"/>
                <w:sz w:val="20"/>
                <w:szCs w:val="20"/>
              </w:rPr>
              <w:t>pa ngjeshje</w:t>
            </w:r>
          </w:p>
        </w:tc>
        <w:tc>
          <w:tcPr>
            <w:tcW w:w="437" w:type="pct"/>
            <w:tcBorders>
              <w:top w:val="single" w:sz="4" w:space="0" w:color="000000"/>
              <w:left w:val="single" w:sz="4" w:space="0" w:color="000000"/>
              <w:bottom w:val="single" w:sz="4" w:space="0" w:color="000000"/>
              <w:right w:val="single" w:sz="4" w:space="0" w:color="000000"/>
            </w:tcBorders>
            <w:shd w:val="clear" w:color="auto" w:fill="365F91"/>
          </w:tcPr>
          <w:p w14:paraId="73ADBAB3" w14:textId="5F0FA0C7" w:rsidR="00430A79" w:rsidRPr="00430A79" w:rsidRDefault="00E213A8" w:rsidP="00430A79">
            <w:pPr>
              <w:widowControl w:val="0"/>
              <w:autoSpaceDE w:val="0"/>
              <w:autoSpaceDN w:val="0"/>
              <w:spacing w:before="60" w:after="60"/>
              <w:rPr>
                <w:rFonts w:ascii="Arial Narrow" w:eastAsia="Calibri" w:hAnsi="Arial Narrow" w:cs="Calibri"/>
                <w:bCs/>
                <w:color w:val="FFFFFF"/>
                <w:sz w:val="20"/>
                <w:szCs w:val="20"/>
              </w:rPr>
            </w:pPr>
            <w:r w:rsidRPr="00430A79">
              <w:rPr>
                <w:rFonts w:ascii="Arial Narrow" w:eastAsia="Calibri" w:hAnsi="Arial Narrow" w:cs="Calibri"/>
                <w:bCs/>
                <w:color w:val="FFFFFF"/>
                <w:sz w:val="20"/>
                <w:szCs w:val="20"/>
              </w:rPr>
              <w:t xml:space="preserve">transport </w:t>
            </w:r>
            <w:r>
              <w:rPr>
                <w:rFonts w:ascii="Arial Narrow" w:eastAsia="Calibri" w:hAnsi="Arial Narrow" w:cs="Calibri"/>
                <w:bCs/>
                <w:color w:val="FFFFFF"/>
                <w:sz w:val="20"/>
                <w:szCs w:val="20"/>
              </w:rPr>
              <w:t>direkt</w:t>
            </w:r>
          </w:p>
        </w:tc>
      </w:tr>
      <w:tr w:rsidR="00E213A8" w:rsidRPr="00430A79" w14:paraId="536E4B03" w14:textId="77777777" w:rsidTr="00E213A8">
        <w:trPr>
          <w:trHeight w:val="295"/>
        </w:trPr>
        <w:tc>
          <w:tcPr>
            <w:tcW w:w="1221" w:type="pct"/>
            <w:tcBorders>
              <w:top w:val="single" w:sz="4" w:space="0" w:color="000000"/>
              <w:left w:val="single" w:sz="4" w:space="0" w:color="000000"/>
              <w:bottom w:val="single" w:sz="4" w:space="0" w:color="000000"/>
              <w:right w:val="single" w:sz="4" w:space="0" w:color="000000"/>
            </w:tcBorders>
          </w:tcPr>
          <w:p w14:paraId="3D72FBF0" w14:textId="2B7F1423"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r w:rsidRPr="00BE2534">
              <w:rPr>
                <w:rFonts w:ascii="Arial Narrow" w:eastAsia="Calibri" w:hAnsi="Arial Narrow" w:cs="Calibri"/>
                <w:b/>
                <w:bCs/>
                <w:sz w:val="20"/>
                <w:szCs w:val="20"/>
                <w:lang w:val="sq-AL"/>
              </w:rPr>
              <w:t>Mbledhja e mbeturinave</w:t>
            </w:r>
          </w:p>
        </w:tc>
        <w:tc>
          <w:tcPr>
            <w:tcW w:w="459" w:type="pct"/>
            <w:tcBorders>
              <w:top w:val="single" w:sz="4" w:space="0" w:color="000000"/>
              <w:left w:val="single" w:sz="4" w:space="0" w:color="000000"/>
              <w:bottom w:val="single" w:sz="4" w:space="0" w:color="000000"/>
              <w:right w:val="single" w:sz="4" w:space="0" w:color="000000"/>
            </w:tcBorders>
          </w:tcPr>
          <w:p w14:paraId="7F37F66F"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p>
        </w:tc>
        <w:tc>
          <w:tcPr>
            <w:tcW w:w="445" w:type="pct"/>
            <w:tcBorders>
              <w:top w:val="single" w:sz="4" w:space="0" w:color="000000"/>
              <w:left w:val="single" w:sz="4" w:space="0" w:color="000000"/>
              <w:bottom w:val="single" w:sz="4" w:space="0" w:color="000000"/>
              <w:right w:val="single" w:sz="4" w:space="0" w:color="000000"/>
            </w:tcBorders>
          </w:tcPr>
          <w:p w14:paraId="20F5EEC5"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p>
        </w:tc>
        <w:tc>
          <w:tcPr>
            <w:tcW w:w="482" w:type="pct"/>
            <w:tcBorders>
              <w:top w:val="single" w:sz="4" w:space="0" w:color="000000"/>
              <w:left w:val="single" w:sz="4" w:space="0" w:color="000000"/>
              <w:bottom w:val="single" w:sz="4" w:space="0" w:color="000000"/>
              <w:right w:val="single" w:sz="4" w:space="0" w:color="000000"/>
            </w:tcBorders>
          </w:tcPr>
          <w:p w14:paraId="15D5CB85"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p>
        </w:tc>
        <w:tc>
          <w:tcPr>
            <w:tcW w:w="482" w:type="pct"/>
            <w:tcBorders>
              <w:top w:val="single" w:sz="4" w:space="0" w:color="000000"/>
              <w:left w:val="single" w:sz="4" w:space="0" w:color="000000"/>
              <w:bottom w:val="single" w:sz="4" w:space="0" w:color="000000"/>
              <w:right w:val="single" w:sz="4" w:space="0" w:color="000000"/>
            </w:tcBorders>
          </w:tcPr>
          <w:p w14:paraId="45ED5986"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p>
        </w:tc>
        <w:tc>
          <w:tcPr>
            <w:tcW w:w="533" w:type="pct"/>
            <w:tcBorders>
              <w:top w:val="single" w:sz="4" w:space="0" w:color="000000"/>
              <w:left w:val="single" w:sz="4" w:space="0" w:color="000000"/>
              <w:bottom w:val="single" w:sz="4" w:space="0" w:color="000000"/>
              <w:right w:val="single" w:sz="4" w:space="0" w:color="000000"/>
            </w:tcBorders>
          </w:tcPr>
          <w:p w14:paraId="3D9049F7"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p>
        </w:tc>
        <w:tc>
          <w:tcPr>
            <w:tcW w:w="396" w:type="pct"/>
            <w:tcBorders>
              <w:top w:val="single" w:sz="4" w:space="0" w:color="000000"/>
              <w:left w:val="single" w:sz="4" w:space="0" w:color="000000"/>
              <w:bottom w:val="single" w:sz="4" w:space="0" w:color="000000"/>
              <w:right w:val="single" w:sz="4" w:space="0" w:color="000000"/>
            </w:tcBorders>
          </w:tcPr>
          <w:p w14:paraId="63724BDD"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p>
        </w:tc>
        <w:tc>
          <w:tcPr>
            <w:tcW w:w="544" w:type="pct"/>
            <w:tcBorders>
              <w:top w:val="single" w:sz="4" w:space="0" w:color="000000"/>
              <w:left w:val="single" w:sz="4" w:space="0" w:color="000000"/>
              <w:bottom w:val="single" w:sz="4" w:space="0" w:color="000000"/>
              <w:right w:val="single" w:sz="4" w:space="0" w:color="000000"/>
            </w:tcBorders>
          </w:tcPr>
          <w:p w14:paraId="32D553E6"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p>
        </w:tc>
        <w:tc>
          <w:tcPr>
            <w:tcW w:w="437" w:type="pct"/>
            <w:tcBorders>
              <w:top w:val="single" w:sz="4" w:space="0" w:color="000000"/>
              <w:left w:val="single" w:sz="4" w:space="0" w:color="000000"/>
              <w:bottom w:val="single" w:sz="4" w:space="0" w:color="000000"/>
              <w:right w:val="single" w:sz="4" w:space="0" w:color="000000"/>
            </w:tcBorders>
          </w:tcPr>
          <w:p w14:paraId="3D0066A3"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p>
        </w:tc>
      </w:tr>
      <w:tr w:rsidR="00E213A8" w:rsidRPr="00430A79" w14:paraId="4D0FE0C2" w14:textId="77777777" w:rsidTr="00E213A8">
        <w:trPr>
          <w:trHeight w:val="369"/>
        </w:trPr>
        <w:tc>
          <w:tcPr>
            <w:tcW w:w="1221" w:type="pct"/>
            <w:tcBorders>
              <w:top w:val="single" w:sz="4" w:space="0" w:color="000000"/>
              <w:left w:val="single" w:sz="4" w:space="0" w:color="000000"/>
              <w:bottom w:val="single" w:sz="4" w:space="0" w:color="000000"/>
              <w:right w:val="single" w:sz="4" w:space="0" w:color="000000"/>
            </w:tcBorders>
          </w:tcPr>
          <w:p w14:paraId="49409D16" w14:textId="044E2B15"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e investimit</w:t>
            </w:r>
          </w:p>
        </w:tc>
        <w:tc>
          <w:tcPr>
            <w:tcW w:w="459" w:type="pct"/>
            <w:tcBorders>
              <w:top w:val="single" w:sz="4" w:space="0" w:color="000000"/>
              <w:left w:val="single" w:sz="4" w:space="0" w:color="000000"/>
              <w:bottom w:val="single" w:sz="4" w:space="0" w:color="000000"/>
              <w:right w:val="single" w:sz="4" w:space="0" w:color="000000"/>
            </w:tcBorders>
          </w:tcPr>
          <w:p w14:paraId="4ED73D84"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10.33</w:t>
            </w:r>
          </w:p>
        </w:tc>
        <w:tc>
          <w:tcPr>
            <w:tcW w:w="445" w:type="pct"/>
            <w:tcBorders>
              <w:top w:val="single" w:sz="4" w:space="0" w:color="000000"/>
              <w:left w:val="single" w:sz="4" w:space="0" w:color="000000"/>
              <w:bottom w:val="single" w:sz="4" w:space="0" w:color="000000"/>
              <w:right w:val="single" w:sz="4" w:space="0" w:color="000000"/>
            </w:tcBorders>
          </w:tcPr>
          <w:p w14:paraId="325FD9B4"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10.33</w:t>
            </w:r>
          </w:p>
        </w:tc>
        <w:tc>
          <w:tcPr>
            <w:tcW w:w="482" w:type="pct"/>
            <w:tcBorders>
              <w:top w:val="single" w:sz="4" w:space="0" w:color="000000"/>
              <w:left w:val="single" w:sz="4" w:space="0" w:color="000000"/>
              <w:bottom w:val="single" w:sz="4" w:space="0" w:color="000000"/>
              <w:right w:val="single" w:sz="4" w:space="0" w:color="000000"/>
            </w:tcBorders>
          </w:tcPr>
          <w:p w14:paraId="222FA5AF"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13.68</w:t>
            </w:r>
          </w:p>
        </w:tc>
        <w:tc>
          <w:tcPr>
            <w:tcW w:w="482" w:type="pct"/>
            <w:tcBorders>
              <w:top w:val="single" w:sz="4" w:space="0" w:color="000000"/>
              <w:left w:val="single" w:sz="4" w:space="0" w:color="000000"/>
              <w:bottom w:val="single" w:sz="4" w:space="0" w:color="000000"/>
              <w:right w:val="single" w:sz="4" w:space="0" w:color="000000"/>
            </w:tcBorders>
          </w:tcPr>
          <w:p w14:paraId="18F3F581"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11.66</w:t>
            </w:r>
          </w:p>
        </w:tc>
        <w:tc>
          <w:tcPr>
            <w:tcW w:w="533" w:type="pct"/>
            <w:tcBorders>
              <w:top w:val="single" w:sz="4" w:space="0" w:color="000000"/>
              <w:left w:val="single" w:sz="4" w:space="0" w:color="000000"/>
              <w:bottom w:val="single" w:sz="4" w:space="0" w:color="000000"/>
              <w:right w:val="single" w:sz="4" w:space="0" w:color="000000"/>
            </w:tcBorders>
          </w:tcPr>
          <w:p w14:paraId="621E21EA"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11.66</w:t>
            </w:r>
          </w:p>
        </w:tc>
        <w:tc>
          <w:tcPr>
            <w:tcW w:w="396" w:type="pct"/>
            <w:tcBorders>
              <w:top w:val="single" w:sz="4" w:space="0" w:color="000000"/>
              <w:left w:val="single" w:sz="4" w:space="0" w:color="000000"/>
              <w:bottom w:val="single" w:sz="4" w:space="0" w:color="000000"/>
              <w:right w:val="single" w:sz="4" w:space="0" w:color="000000"/>
            </w:tcBorders>
          </w:tcPr>
          <w:p w14:paraId="3907F5DC"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15.78</w:t>
            </w:r>
          </w:p>
        </w:tc>
        <w:tc>
          <w:tcPr>
            <w:tcW w:w="544" w:type="pct"/>
            <w:tcBorders>
              <w:top w:val="single" w:sz="4" w:space="0" w:color="000000"/>
              <w:left w:val="single" w:sz="4" w:space="0" w:color="000000"/>
              <w:bottom w:val="single" w:sz="4" w:space="0" w:color="000000"/>
              <w:right w:val="single" w:sz="4" w:space="0" w:color="000000"/>
            </w:tcBorders>
          </w:tcPr>
          <w:p w14:paraId="016FC953"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12.56</w:t>
            </w:r>
          </w:p>
        </w:tc>
        <w:tc>
          <w:tcPr>
            <w:tcW w:w="437" w:type="pct"/>
            <w:tcBorders>
              <w:top w:val="single" w:sz="4" w:space="0" w:color="000000"/>
              <w:left w:val="single" w:sz="4" w:space="0" w:color="000000"/>
              <w:bottom w:val="single" w:sz="4" w:space="0" w:color="000000"/>
              <w:right w:val="single" w:sz="4" w:space="0" w:color="000000"/>
            </w:tcBorders>
          </w:tcPr>
          <w:p w14:paraId="388B24CF"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14.49</w:t>
            </w:r>
          </w:p>
        </w:tc>
      </w:tr>
      <w:tr w:rsidR="00E213A8" w:rsidRPr="00430A79" w14:paraId="41495898" w14:textId="77777777" w:rsidTr="00E213A8">
        <w:trPr>
          <w:trHeight w:val="369"/>
        </w:trPr>
        <w:tc>
          <w:tcPr>
            <w:tcW w:w="1221" w:type="pct"/>
            <w:tcBorders>
              <w:top w:val="single" w:sz="4" w:space="0" w:color="000000"/>
              <w:left w:val="single" w:sz="4" w:space="0" w:color="000000"/>
              <w:bottom w:val="single" w:sz="4" w:space="0" w:color="000000"/>
              <w:right w:val="single" w:sz="4" w:space="0" w:color="000000"/>
            </w:tcBorders>
          </w:tcPr>
          <w:p w14:paraId="752E4352" w14:textId="7521E13F"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operacionale</w:t>
            </w:r>
          </w:p>
        </w:tc>
        <w:tc>
          <w:tcPr>
            <w:tcW w:w="459" w:type="pct"/>
            <w:tcBorders>
              <w:top w:val="single" w:sz="4" w:space="0" w:color="000000"/>
              <w:left w:val="single" w:sz="4" w:space="0" w:color="000000"/>
              <w:bottom w:val="single" w:sz="4" w:space="0" w:color="000000"/>
              <w:right w:val="single" w:sz="4" w:space="0" w:color="000000"/>
            </w:tcBorders>
          </w:tcPr>
          <w:p w14:paraId="0AD9A09F"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25.05</w:t>
            </w:r>
          </w:p>
        </w:tc>
        <w:tc>
          <w:tcPr>
            <w:tcW w:w="445" w:type="pct"/>
            <w:tcBorders>
              <w:top w:val="single" w:sz="4" w:space="0" w:color="000000"/>
              <w:left w:val="single" w:sz="4" w:space="0" w:color="000000"/>
              <w:bottom w:val="single" w:sz="4" w:space="0" w:color="000000"/>
              <w:right w:val="single" w:sz="4" w:space="0" w:color="000000"/>
            </w:tcBorders>
          </w:tcPr>
          <w:p w14:paraId="59F3A2BE"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25.05</w:t>
            </w:r>
          </w:p>
        </w:tc>
        <w:tc>
          <w:tcPr>
            <w:tcW w:w="482" w:type="pct"/>
            <w:tcBorders>
              <w:top w:val="single" w:sz="4" w:space="0" w:color="000000"/>
              <w:left w:val="single" w:sz="4" w:space="0" w:color="000000"/>
              <w:bottom w:val="single" w:sz="4" w:space="0" w:color="000000"/>
              <w:right w:val="single" w:sz="4" w:space="0" w:color="000000"/>
            </w:tcBorders>
          </w:tcPr>
          <w:p w14:paraId="72B72897"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39.98</w:t>
            </w:r>
          </w:p>
        </w:tc>
        <w:tc>
          <w:tcPr>
            <w:tcW w:w="482" w:type="pct"/>
            <w:tcBorders>
              <w:top w:val="single" w:sz="4" w:space="0" w:color="000000"/>
              <w:left w:val="single" w:sz="4" w:space="0" w:color="000000"/>
              <w:bottom w:val="single" w:sz="4" w:space="0" w:color="000000"/>
              <w:right w:val="single" w:sz="4" w:space="0" w:color="000000"/>
            </w:tcBorders>
          </w:tcPr>
          <w:p w14:paraId="779D1353"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23.00</w:t>
            </w:r>
          </w:p>
        </w:tc>
        <w:tc>
          <w:tcPr>
            <w:tcW w:w="533" w:type="pct"/>
            <w:tcBorders>
              <w:top w:val="single" w:sz="4" w:space="0" w:color="000000"/>
              <w:left w:val="single" w:sz="4" w:space="0" w:color="000000"/>
              <w:bottom w:val="single" w:sz="4" w:space="0" w:color="000000"/>
              <w:right w:val="single" w:sz="4" w:space="0" w:color="000000"/>
            </w:tcBorders>
          </w:tcPr>
          <w:p w14:paraId="5FFB5BB3"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23.00</w:t>
            </w:r>
          </w:p>
        </w:tc>
        <w:tc>
          <w:tcPr>
            <w:tcW w:w="396" w:type="pct"/>
            <w:tcBorders>
              <w:top w:val="single" w:sz="4" w:space="0" w:color="000000"/>
              <w:left w:val="single" w:sz="4" w:space="0" w:color="000000"/>
              <w:bottom w:val="single" w:sz="4" w:space="0" w:color="000000"/>
              <w:right w:val="single" w:sz="4" w:space="0" w:color="000000"/>
            </w:tcBorders>
          </w:tcPr>
          <w:p w14:paraId="48F9C84E"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37.28</w:t>
            </w:r>
          </w:p>
        </w:tc>
        <w:tc>
          <w:tcPr>
            <w:tcW w:w="544" w:type="pct"/>
            <w:tcBorders>
              <w:top w:val="single" w:sz="4" w:space="0" w:color="000000"/>
              <w:left w:val="single" w:sz="4" w:space="0" w:color="000000"/>
              <w:bottom w:val="single" w:sz="4" w:space="0" w:color="000000"/>
              <w:right w:val="single" w:sz="4" w:space="0" w:color="000000"/>
            </w:tcBorders>
          </w:tcPr>
          <w:p w14:paraId="31862FDA"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25.19</w:t>
            </w:r>
          </w:p>
        </w:tc>
        <w:tc>
          <w:tcPr>
            <w:tcW w:w="437" w:type="pct"/>
            <w:tcBorders>
              <w:top w:val="single" w:sz="4" w:space="0" w:color="000000"/>
              <w:left w:val="single" w:sz="4" w:space="0" w:color="000000"/>
              <w:bottom w:val="single" w:sz="4" w:space="0" w:color="000000"/>
              <w:right w:val="single" w:sz="4" w:space="0" w:color="000000"/>
            </w:tcBorders>
          </w:tcPr>
          <w:p w14:paraId="03E69E08"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37.64</w:t>
            </w:r>
          </w:p>
        </w:tc>
      </w:tr>
      <w:tr w:rsidR="00E213A8" w:rsidRPr="00430A79" w14:paraId="15165C80" w14:textId="77777777" w:rsidTr="00E213A8">
        <w:trPr>
          <w:trHeight w:val="369"/>
        </w:trPr>
        <w:tc>
          <w:tcPr>
            <w:tcW w:w="122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D8A832" w14:textId="1F5829D4" w:rsidR="00E213A8" w:rsidRPr="00430A79" w:rsidRDefault="00E213A8" w:rsidP="00E213A8">
            <w:pPr>
              <w:widowControl w:val="0"/>
              <w:autoSpaceDE w:val="0"/>
              <w:autoSpaceDN w:val="0"/>
              <w:spacing w:before="60" w:after="60"/>
              <w:ind w:right="123"/>
              <w:rPr>
                <w:rFonts w:ascii="Arial Narrow" w:eastAsia="Calibri" w:hAnsi="Arial Narrow" w:cs="Calibri"/>
                <w:i/>
                <w:iCs/>
                <w:sz w:val="20"/>
                <w:szCs w:val="20"/>
              </w:rPr>
            </w:pPr>
            <w:r w:rsidRPr="00BE2534">
              <w:rPr>
                <w:rFonts w:ascii="Arial Narrow" w:eastAsia="Calibri" w:hAnsi="Arial Narrow" w:cs="Calibri"/>
                <w:i/>
                <w:iCs/>
                <w:sz w:val="20"/>
                <w:szCs w:val="20"/>
                <w:lang w:val="sq-AL"/>
              </w:rPr>
              <w:t>Grumbullimi total</w:t>
            </w:r>
          </w:p>
        </w:tc>
        <w:tc>
          <w:tcPr>
            <w:tcW w:w="45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B94BFF" w14:textId="77777777" w:rsidR="00E213A8" w:rsidRPr="00430A79" w:rsidRDefault="00E213A8" w:rsidP="00E213A8">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35.38</w:t>
            </w:r>
          </w:p>
        </w:tc>
        <w:tc>
          <w:tcPr>
            <w:tcW w:w="44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6A55A92" w14:textId="77777777" w:rsidR="00E213A8" w:rsidRPr="00430A79" w:rsidRDefault="00E213A8" w:rsidP="00E213A8">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35.38</w:t>
            </w:r>
          </w:p>
        </w:tc>
        <w:tc>
          <w:tcPr>
            <w:tcW w:w="48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9039DB" w14:textId="77777777" w:rsidR="00E213A8" w:rsidRPr="00430A79" w:rsidRDefault="00E213A8" w:rsidP="00E213A8">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53.67</w:t>
            </w:r>
          </w:p>
        </w:tc>
        <w:tc>
          <w:tcPr>
            <w:tcW w:w="48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8083D7C" w14:textId="77777777" w:rsidR="00E213A8" w:rsidRPr="00430A79" w:rsidRDefault="00E213A8" w:rsidP="00E213A8">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34.66</w:t>
            </w:r>
          </w:p>
        </w:tc>
        <w:tc>
          <w:tcPr>
            <w:tcW w:w="53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2B76FE" w14:textId="77777777" w:rsidR="00E213A8" w:rsidRPr="00430A79" w:rsidRDefault="00E213A8" w:rsidP="00E213A8">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34.66</w:t>
            </w:r>
          </w:p>
        </w:tc>
        <w:tc>
          <w:tcPr>
            <w:tcW w:w="39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180C9EA" w14:textId="77777777" w:rsidR="00E213A8" w:rsidRPr="00430A79" w:rsidRDefault="00E213A8" w:rsidP="00E213A8">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53.06</w:t>
            </w:r>
          </w:p>
        </w:tc>
        <w:tc>
          <w:tcPr>
            <w:tcW w:w="54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CECF1A" w14:textId="77777777" w:rsidR="00E213A8" w:rsidRPr="00430A79" w:rsidRDefault="00E213A8" w:rsidP="00E213A8">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37.75</w:t>
            </w:r>
          </w:p>
        </w:tc>
        <w:tc>
          <w:tcPr>
            <w:tcW w:w="43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CEC0205" w14:textId="77777777" w:rsidR="00E213A8" w:rsidRPr="00430A79" w:rsidRDefault="00E213A8" w:rsidP="00E213A8">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52.13</w:t>
            </w:r>
          </w:p>
        </w:tc>
      </w:tr>
      <w:tr w:rsidR="00E213A8" w:rsidRPr="00430A79" w14:paraId="662BED3F" w14:textId="77777777" w:rsidTr="00E213A8">
        <w:trPr>
          <w:trHeight w:val="369"/>
        </w:trPr>
        <w:tc>
          <w:tcPr>
            <w:tcW w:w="1221" w:type="pct"/>
            <w:tcBorders>
              <w:top w:val="single" w:sz="4" w:space="0" w:color="000000"/>
              <w:left w:val="single" w:sz="4" w:space="0" w:color="000000"/>
              <w:bottom w:val="single" w:sz="4" w:space="0" w:color="000000"/>
              <w:right w:val="single" w:sz="4" w:space="0" w:color="000000"/>
            </w:tcBorders>
          </w:tcPr>
          <w:p w14:paraId="15E75672" w14:textId="5F97054B"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r w:rsidRPr="00BE2534">
              <w:rPr>
                <w:rFonts w:ascii="Arial Narrow" w:eastAsia="Calibri" w:hAnsi="Arial Narrow" w:cs="Calibri"/>
                <w:b/>
                <w:bCs/>
                <w:sz w:val="20"/>
                <w:szCs w:val="20"/>
                <w:lang w:val="sq-AL"/>
              </w:rPr>
              <w:t>Transferimi i mbeturinave</w:t>
            </w:r>
          </w:p>
        </w:tc>
        <w:tc>
          <w:tcPr>
            <w:tcW w:w="459" w:type="pct"/>
            <w:tcBorders>
              <w:top w:val="single" w:sz="4" w:space="0" w:color="000000"/>
              <w:left w:val="single" w:sz="4" w:space="0" w:color="000000"/>
              <w:bottom w:val="single" w:sz="4" w:space="0" w:color="000000"/>
              <w:right w:val="single" w:sz="4" w:space="0" w:color="000000"/>
            </w:tcBorders>
          </w:tcPr>
          <w:p w14:paraId="66EC12E0"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p>
        </w:tc>
        <w:tc>
          <w:tcPr>
            <w:tcW w:w="445" w:type="pct"/>
            <w:tcBorders>
              <w:top w:val="single" w:sz="4" w:space="0" w:color="000000"/>
              <w:left w:val="single" w:sz="4" w:space="0" w:color="000000"/>
              <w:bottom w:val="single" w:sz="4" w:space="0" w:color="000000"/>
              <w:right w:val="single" w:sz="4" w:space="0" w:color="000000"/>
            </w:tcBorders>
          </w:tcPr>
          <w:p w14:paraId="099D15D0"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p>
        </w:tc>
        <w:tc>
          <w:tcPr>
            <w:tcW w:w="482" w:type="pct"/>
            <w:tcBorders>
              <w:top w:val="single" w:sz="4" w:space="0" w:color="000000"/>
              <w:left w:val="single" w:sz="4" w:space="0" w:color="000000"/>
              <w:bottom w:val="single" w:sz="4" w:space="0" w:color="000000"/>
              <w:right w:val="single" w:sz="4" w:space="0" w:color="000000"/>
            </w:tcBorders>
          </w:tcPr>
          <w:p w14:paraId="6A5A7865"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p>
        </w:tc>
        <w:tc>
          <w:tcPr>
            <w:tcW w:w="482" w:type="pct"/>
            <w:tcBorders>
              <w:top w:val="single" w:sz="4" w:space="0" w:color="000000"/>
              <w:left w:val="single" w:sz="4" w:space="0" w:color="000000"/>
              <w:bottom w:val="single" w:sz="4" w:space="0" w:color="000000"/>
              <w:right w:val="single" w:sz="4" w:space="0" w:color="000000"/>
            </w:tcBorders>
          </w:tcPr>
          <w:p w14:paraId="2BC99E7F"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p>
        </w:tc>
        <w:tc>
          <w:tcPr>
            <w:tcW w:w="533" w:type="pct"/>
            <w:tcBorders>
              <w:top w:val="single" w:sz="4" w:space="0" w:color="000000"/>
              <w:left w:val="single" w:sz="4" w:space="0" w:color="000000"/>
              <w:bottom w:val="single" w:sz="4" w:space="0" w:color="000000"/>
              <w:right w:val="single" w:sz="4" w:space="0" w:color="000000"/>
            </w:tcBorders>
          </w:tcPr>
          <w:p w14:paraId="70D245E0"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p>
        </w:tc>
        <w:tc>
          <w:tcPr>
            <w:tcW w:w="396" w:type="pct"/>
            <w:tcBorders>
              <w:top w:val="single" w:sz="4" w:space="0" w:color="000000"/>
              <w:left w:val="single" w:sz="4" w:space="0" w:color="000000"/>
              <w:bottom w:val="single" w:sz="4" w:space="0" w:color="000000"/>
              <w:right w:val="single" w:sz="4" w:space="0" w:color="000000"/>
            </w:tcBorders>
          </w:tcPr>
          <w:p w14:paraId="4DCF971D"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p>
        </w:tc>
        <w:tc>
          <w:tcPr>
            <w:tcW w:w="544" w:type="pct"/>
            <w:tcBorders>
              <w:top w:val="single" w:sz="4" w:space="0" w:color="000000"/>
              <w:left w:val="single" w:sz="4" w:space="0" w:color="000000"/>
              <w:bottom w:val="single" w:sz="4" w:space="0" w:color="000000"/>
              <w:right w:val="single" w:sz="4" w:space="0" w:color="000000"/>
            </w:tcBorders>
          </w:tcPr>
          <w:p w14:paraId="2FE50D60"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p>
        </w:tc>
        <w:tc>
          <w:tcPr>
            <w:tcW w:w="437" w:type="pct"/>
            <w:tcBorders>
              <w:top w:val="single" w:sz="4" w:space="0" w:color="000000"/>
              <w:left w:val="single" w:sz="4" w:space="0" w:color="000000"/>
              <w:bottom w:val="single" w:sz="4" w:space="0" w:color="000000"/>
              <w:right w:val="single" w:sz="4" w:space="0" w:color="000000"/>
            </w:tcBorders>
          </w:tcPr>
          <w:p w14:paraId="013EED8D"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p>
        </w:tc>
      </w:tr>
      <w:tr w:rsidR="00E213A8" w:rsidRPr="00430A79" w14:paraId="32E1F349" w14:textId="77777777" w:rsidTr="00E213A8">
        <w:trPr>
          <w:trHeight w:val="369"/>
        </w:trPr>
        <w:tc>
          <w:tcPr>
            <w:tcW w:w="1221" w:type="pct"/>
            <w:tcBorders>
              <w:top w:val="single" w:sz="4" w:space="0" w:color="000000"/>
              <w:left w:val="single" w:sz="4" w:space="0" w:color="000000"/>
              <w:bottom w:val="single" w:sz="4" w:space="0" w:color="000000"/>
              <w:right w:val="single" w:sz="4" w:space="0" w:color="000000"/>
            </w:tcBorders>
          </w:tcPr>
          <w:p w14:paraId="3E397E7A" w14:textId="51DC935B"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e investimit</w:t>
            </w:r>
          </w:p>
        </w:tc>
        <w:tc>
          <w:tcPr>
            <w:tcW w:w="459" w:type="pct"/>
            <w:tcBorders>
              <w:top w:val="single" w:sz="4" w:space="0" w:color="000000"/>
              <w:left w:val="single" w:sz="4" w:space="0" w:color="000000"/>
              <w:bottom w:val="single" w:sz="4" w:space="0" w:color="000000"/>
              <w:right w:val="single" w:sz="4" w:space="0" w:color="000000"/>
            </w:tcBorders>
          </w:tcPr>
          <w:p w14:paraId="3EB5E58A"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5.80</w:t>
            </w:r>
          </w:p>
        </w:tc>
        <w:tc>
          <w:tcPr>
            <w:tcW w:w="445" w:type="pct"/>
            <w:tcBorders>
              <w:top w:val="single" w:sz="4" w:space="0" w:color="000000"/>
              <w:left w:val="single" w:sz="4" w:space="0" w:color="000000"/>
              <w:bottom w:val="single" w:sz="4" w:space="0" w:color="000000"/>
              <w:right w:val="single" w:sz="4" w:space="0" w:color="000000"/>
            </w:tcBorders>
          </w:tcPr>
          <w:p w14:paraId="6333A317"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2.72</w:t>
            </w:r>
          </w:p>
        </w:tc>
        <w:tc>
          <w:tcPr>
            <w:tcW w:w="482" w:type="pct"/>
            <w:tcBorders>
              <w:top w:val="single" w:sz="4" w:space="0" w:color="000000"/>
              <w:left w:val="single" w:sz="4" w:space="0" w:color="000000"/>
              <w:bottom w:val="single" w:sz="4" w:space="0" w:color="000000"/>
              <w:right w:val="single" w:sz="4" w:space="0" w:color="000000"/>
            </w:tcBorders>
          </w:tcPr>
          <w:p w14:paraId="4F049FE4"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482" w:type="pct"/>
            <w:tcBorders>
              <w:top w:val="single" w:sz="4" w:space="0" w:color="000000"/>
              <w:left w:val="single" w:sz="4" w:space="0" w:color="000000"/>
              <w:bottom w:val="single" w:sz="4" w:space="0" w:color="000000"/>
              <w:right w:val="single" w:sz="4" w:space="0" w:color="000000"/>
            </w:tcBorders>
          </w:tcPr>
          <w:p w14:paraId="7F76D54D"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7.48</w:t>
            </w:r>
          </w:p>
        </w:tc>
        <w:tc>
          <w:tcPr>
            <w:tcW w:w="533" w:type="pct"/>
            <w:tcBorders>
              <w:top w:val="single" w:sz="4" w:space="0" w:color="000000"/>
              <w:left w:val="single" w:sz="4" w:space="0" w:color="000000"/>
              <w:bottom w:val="single" w:sz="4" w:space="0" w:color="000000"/>
              <w:right w:val="single" w:sz="4" w:space="0" w:color="000000"/>
            </w:tcBorders>
          </w:tcPr>
          <w:p w14:paraId="0CE1E542"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4.23</w:t>
            </w:r>
          </w:p>
        </w:tc>
        <w:tc>
          <w:tcPr>
            <w:tcW w:w="396" w:type="pct"/>
            <w:tcBorders>
              <w:top w:val="single" w:sz="4" w:space="0" w:color="000000"/>
              <w:left w:val="single" w:sz="4" w:space="0" w:color="000000"/>
              <w:bottom w:val="single" w:sz="4" w:space="0" w:color="000000"/>
              <w:right w:val="single" w:sz="4" w:space="0" w:color="000000"/>
            </w:tcBorders>
          </w:tcPr>
          <w:p w14:paraId="5124D93C"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544" w:type="pct"/>
            <w:tcBorders>
              <w:top w:val="single" w:sz="4" w:space="0" w:color="000000"/>
              <w:left w:val="single" w:sz="4" w:space="0" w:color="000000"/>
              <w:bottom w:val="single" w:sz="4" w:space="0" w:color="000000"/>
              <w:right w:val="single" w:sz="4" w:space="0" w:color="000000"/>
            </w:tcBorders>
          </w:tcPr>
          <w:p w14:paraId="0DAEBED9"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4.82</w:t>
            </w:r>
          </w:p>
        </w:tc>
        <w:tc>
          <w:tcPr>
            <w:tcW w:w="437" w:type="pct"/>
            <w:tcBorders>
              <w:top w:val="single" w:sz="4" w:space="0" w:color="000000"/>
              <w:left w:val="single" w:sz="4" w:space="0" w:color="000000"/>
              <w:bottom w:val="single" w:sz="4" w:space="0" w:color="000000"/>
              <w:right w:val="single" w:sz="4" w:space="0" w:color="000000"/>
            </w:tcBorders>
          </w:tcPr>
          <w:p w14:paraId="03DC3B77"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r>
      <w:tr w:rsidR="00E213A8" w:rsidRPr="00430A79" w14:paraId="27152FB7" w14:textId="77777777" w:rsidTr="00E213A8">
        <w:trPr>
          <w:trHeight w:val="369"/>
        </w:trPr>
        <w:tc>
          <w:tcPr>
            <w:tcW w:w="1221" w:type="pct"/>
            <w:tcBorders>
              <w:top w:val="single" w:sz="4" w:space="0" w:color="000000"/>
              <w:left w:val="single" w:sz="4" w:space="0" w:color="000000"/>
              <w:bottom w:val="single" w:sz="4" w:space="0" w:color="000000"/>
              <w:right w:val="single" w:sz="4" w:space="0" w:color="000000"/>
            </w:tcBorders>
          </w:tcPr>
          <w:p w14:paraId="213F140F" w14:textId="2F14D2E8"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operacionale</w:t>
            </w:r>
          </w:p>
        </w:tc>
        <w:tc>
          <w:tcPr>
            <w:tcW w:w="459" w:type="pct"/>
            <w:tcBorders>
              <w:top w:val="single" w:sz="4" w:space="0" w:color="000000"/>
              <w:left w:val="single" w:sz="4" w:space="0" w:color="000000"/>
              <w:bottom w:val="single" w:sz="4" w:space="0" w:color="000000"/>
              <w:right w:val="single" w:sz="4" w:space="0" w:color="000000"/>
            </w:tcBorders>
          </w:tcPr>
          <w:p w14:paraId="0BF14371"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11.52</w:t>
            </w:r>
          </w:p>
        </w:tc>
        <w:tc>
          <w:tcPr>
            <w:tcW w:w="445" w:type="pct"/>
            <w:tcBorders>
              <w:top w:val="single" w:sz="4" w:space="0" w:color="000000"/>
              <w:left w:val="single" w:sz="4" w:space="0" w:color="000000"/>
              <w:bottom w:val="single" w:sz="4" w:space="0" w:color="000000"/>
              <w:right w:val="single" w:sz="4" w:space="0" w:color="000000"/>
            </w:tcBorders>
          </w:tcPr>
          <w:p w14:paraId="41B4FE2C"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8.57</w:t>
            </w:r>
          </w:p>
        </w:tc>
        <w:tc>
          <w:tcPr>
            <w:tcW w:w="482" w:type="pct"/>
            <w:tcBorders>
              <w:top w:val="single" w:sz="4" w:space="0" w:color="000000"/>
              <w:left w:val="single" w:sz="4" w:space="0" w:color="000000"/>
              <w:bottom w:val="single" w:sz="4" w:space="0" w:color="000000"/>
              <w:right w:val="single" w:sz="4" w:space="0" w:color="000000"/>
            </w:tcBorders>
          </w:tcPr>
          <w:p w14:paraId="5787B9B2"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482" w:type="pct"/>
            <w:tcBorders>
              <w:top w:val="single" w:sz="4" w:space="0" w:color="000000"/>
              <w:left w:val="single" w:sz="4" w:space="0" w:color="000000"/>
              <w:bottom w:val="single" w:sz="4" w:space="0" w:color="000000"/>
              <w:right w:val="single" w:sz="4" w:space="0" w:color="000000"/>
            </w:tcBorders>
          </w:tcPr>
          <w:p w14:paraId="0CEBC818"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13.08</w:t>
            </w:r>
          </w:p>
        </w:tc>
        <w:tc>
          <w:tcPr>
            <w:tcW w:w="533" w:type="pct"/>
            <w:tcBorders>
              <w:top w:val="single" w:sz="4" w:space="0" w:color="000000"/>
              <w:left w:val="single" w:sz="4" w:space="0" w:color="000000"/>
              <w:bottom w:val="single" w:sz="4" w:space="0" w:color="000000"/>
              <w:right w:val="single" w:sz="4" w:space="0" w:color="000000"/>
            </w:tcBorders>
          </w:tcPr>
          <w:p w14:paraId="4C67FFCF"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9.85</w:t>
            </w:r>
          </w:p>
        </w:tc>
        <w:tc>
          <w:tcPr>
            <w:tcW w:w="396" w:type="pct"/>
            <w:tcBorders>
              <w:top w:val="single" w:sz="4" w:space="0" w:color="000000"/>
              <w:left w:val="single" w:sz="4" w:space="0" w:color="000000"/>
              <w:bottom w:val="single" w:sz="4" w:space="0" w:color="000000"/>
              <w:right w:val="single" w:sz="4" w:space="0" w:color="000000"/>
            </w:tcBorders>
          </w:tcPr>
          <w:p w14:paraId="4CCD7FCA"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544" w:type="pct"/>
            <w:tcBorders>
              <w:top w:val="single" w:sz="4" w:space="0" w:color="000000"/>
              <w:left w:val="single" w:sz="4" w:space="0" w:color="000000"/>
              <w:bottom w:val="single" w:sz="4" w:space="0" w:color="000000"/>
              <w:right w:val="single" w:sz="4" w:space="0" w:color="000000"/>
            </w:tcBorders>
          </w:tcPr>
          <w:p w14:paraId="02AC4F30"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10.36</w:t>
            </w:r>
          </w:p>
        </w:tc>
        <w:tc>
          <w:tcPr>
            <w:tcW w:w="437" w:type="pct"/>
            <w:tcBorders>
              <w:top w:val="single" w:sz="4" w:space="0" w:color="000000"/>
              <w:left w:val="single" w:sz="4" w:space="0" w:color="000000"/>
              <w:bottom w:val="single" w:sz="4" w:space="0" w:color="000000"/>
              <w:right w:val="single" w:sz="4" w:space="0" w:color="000000"/>
            </w:tcBorders>
          </w:tcPr>
          <w:p w14:paraId="2766A002" w14:textId="77777777" w:rsidR="00E213A8" w:rsidRPr="00430A79" w:rsidRDefault="00E213A8" w:rsidP="00E213A8">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r>
      <w:tr w:rsidR="00E213A8" w:rsidRPr="00430A79" w14:paraId="4BB63D1F" w14:textId="77777777" w:rsidTr="00E213A8">
        <w:trPr>
          <w:trHeight w:val="369"/>
        </w:trPr>
        <w:tc>
          <w:tcPr>
            <w:tcW w:w="122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2D458CB" w14:textId="10C4A3FB" w:rsidR="00E213A8" w:rsidRPr="00430A79" w:rsidRDefault="00E213A8" w:rsidP="00E213A8">
            <w:pPr>
              <w:widowControl w:val="0"/>
              <w:autoSpaceDE w:val="0"/>
              <w:autoSpaceDN w:val="0"/>
              <w:spacing w:before="60" w:after="60"/>
              <w:ind w:right="123"/>
              <w:rPr>
                <w:rFonts w:ascii="Arial Narrow" w:eastAsia="Calibri" w:hAnsi="Arial Narrow" w:cs="Calibri"/>
                <w:i/>
                <w:iCs/>
                <w:sz w:val="20"/>
                <w:szCs w:val="20"/>
              </w:rPr>
            </w:pPr>
            <w:r w:rsidRPr="00BE2534">
              <w:rPr>
                <w:rFonts w:ascii="Arial Narrow" w:eastAsia="Calibri" w:hAnsi="Arial Narrow" w:cs="Calibri"/>
                <w:i/>
                <w:iCs/>
                <w:sz w:val="20"/>
                <w:szCs w:val="20"/>
                <w:lang w:val="sq-AL"/>
              </w:rPr>
              <w:t>Transferimi total</w:t>
            </w:r>
          </w:p>
        </w:tc>
        <w:tc>
          <w:tcPr>
            <w:tcW w:w="45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5F515D" w14:textId="77777777" w:rsidR="00E213A8" w:rsidRPr="00430A79" w:rsidRDefault="00E213A8" w:rsidP="00E213A8">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17.32</w:t>
            </w:r>
          </w:p>
        </w:tc>
        <w:tc>
          <w:tcPr>
            <w:tcW w:w="44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C15318" w14:textId="77777777" w:rsidR="00E213A8" w:rsidRPr="00430A79" w:rsidRDefault="00E213A8" w:rsidP="00E213A8">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11.29</w:t>
            </w:r>
          </w:p>
        </w:tc>
        <w:tc>
          <w:tcPr>
            <w:tcW w:w="48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9DB8A7" w14:textId="77777777" w:rsidR="00E213A8" w:rsidRPr="00430A79" w:rsidRDefault="00E213A8" w:rsidP="00E213A8">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w:t>
            </w:r>
          </w:p>
        </w:tc>
        <w:tc>
          <w:tcPr>
            <w:tcW w:w="48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C1BF1B" w14:textId="77777777" w:rsidR="00E213A8" w:rsidRPr="00430A79" w:rsidRDefault="00E213A8" w:rsidP="00E213A8">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20.56</w:t>
            </w:r>
          </w:p>
        </w:tc>
        <w:tc>
          <w:tcPr>
            <w:tcW w:w="53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DCD1985" w14:textId="77777777" w:rsidR="00E213A8" w:rsidRPr="00430A79" w:rsidRDefault="00E213A8" w:rsidP="00E213A8">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14.08</w:t>
            </w:r>
          </w:p>
        </w:tc>
        <w:tc>
          <w:tcPr>
            <w:tcW w:w="39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058CB53" w14:textId="77777777" w:rsidR="00E213A8" w:rsidRPr="00430A79" w:rsidRDefault="00E213A8" w:rsidP="00E213A8">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w:t>
            </w:r>
          </w:p>
        </w:tc>
        <w:tc>
          <w:tcPr>
            <w:tcW w:w="54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7CF7FB" w14:textId="77777777" w:rsidR="00E213A8" w:rsidRPr="00430A79" w:rsidRDefault="00E213A8" w:rsidP="00E213A8">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15.18</w:t>
            </w:r>
          </w:p>
        </w:tc>
        <w:tc>
          <w:tcPr>
            <w:tcW w:w="43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A42474E" w14:textId="77777777" w:rsidR="00E213A8" w:rsidRPr="00430A79" w:rsidRDefault="00E213A8" w:rsidP="00E213A8">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w:t>
            </w:r>
          </w:p>
        </w:tc>
      </w:tr>
      <w:tr w:rsidR="00E213A8" w:rsidRPr="00430A79" w14:paraId="0795874A" w14:textId="77777777" w:rsidTr="00E213A8">
        <w:trPr>
          <w:trHeight w:val="369"/>
        </w:trPr>
        <w:tc>
          <w:tcPr>
            <w:tcW w:w="1221"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953BA89" w14:textId="690DC44C"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r w:rsidRPr="00BE2534">
              <w:rPr>
                <w:rFonts w:ascii="Arial Narrow" w:eastAsia="Calibri" w:hAnsi="Arial Narrow" w:cs="Calibri"/>
                <w:b/>
                <w:bCs/>
                <w:sz w:val="20"/>
                <w:szCs w:val="20"/>
                <w:lang w:val="sq-AL"/>
              </w:rPr>
              <w:t>Kostot totale</w:t>
            </w:r>
          </w:p>
        </w:tc>
        <w:tc>
          <w:tcPr>
            <w:tcW w:w="459"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0C27DF4E"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52.70</w:t>
            </w:r>
          </w:p>
        </w:tc>
        <w:tc>
          <w:tcPr>
            <w:tcW w:w="445"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0AE7C63"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color w:val="C00000"/>
                <w:sz w:val="20"/>
                <w:szCs w:val="20"/>
              </w:rPr>
              <w:t>46.67</w:t>
            </w:r>
          </w:p>
        </w:tc>
        <w:tc>
          <w:tcPr>
            <w:tcW w:w="482"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0E6E5FC"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53.67</w:t>
            </w:r>
          </w:p>
        </w:tc>
        <w:tc>
          <w:tcPr>
            <w:tcW w:w="482"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511F6D8"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55.22</w:t>
            </w:r>
          </w:p>
        </w:tc>
        <w:tc>
          <w:tcPr>
            <w:tcW w:w="533"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D37B7DF"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color w:val="C00000"/>
                <w:sz w:val="20"/>
                <w:szCs w:val="20"/>
              </w:rPr>
              <w:t>48.75</w:t>
            </w:r>
          </w:p>
        </w:tc>
        <w:tc>
          <w:tcPr>
            <w:tcW w:w="396"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D95EC6E"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53.06</w:t>
            </w:r>
          </w:p>
        </w:tc>
        <w:tc>
          <w:tcPr>
            <w:tcW w:w="544"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B9C3311"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sz w:val="20"/>
                <w:szCs w:val="20"/>
              </w:rPr>
              <w:t>52.93</w:t>
            </w:r>
          </w:p>
        </w:tc>
        <w:tc>
          <w:tcPr>
            <w:tcW w:w="437"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25FFDBA" w14:textId="77777777" w:rsidR="00E213A8" w:rsidRPr="00430A79" w:rsidRDefault="00E213A8" w:rsidP="00E213A8">
            <w:pPr>
              <w:widowControl w:val="0"/>
              <w:autoSpaceDE w:val="0"/>
              <w:autoSpaceDN w:val="0"/>
              <w:spacing w:before="60" w:after="60"/>
              <w:ind w:right="123"/>
              <w:rPr>
                <w:rFonts w:ascii="Arial Narrow" w:eastAsia="Calibri" w:hAnsi="Arial Narrow" w:cs="Calibri"/>
                <w:b/>
                <w:bCs/>
                <w:sz w:val="20"/>
                <w:szCs w:val="20"/>
              </w:rPr>
            </w:pPr>
            <w:r w:rsidRPr="00430A79">
              <w:rPr>
                <w:rFonts w:ascii="Arial Narrow" w:eastAsia="Calibri" w:hAnsi="Arial Narrow" w:cs="Calibri"/>
                <w:b/>
                <w:bCs/>
                <w:color w:val="C00000"/>
                <w:sz w:val="20"/>
                <w:szCs w:val="20"/>
              </w:rPr>
              <w:t>52.13</w:t>
            </w:r>
          </w:p>
        </w:tc>
      </w:tr>
    </w:tbl>
    <w:p w14:paraId="0E73D6A3" w14:textId="77777777" w:rsidR="00430A79" w:rsidRPr="00430A79" w:rsidRDefault="00430A79" w:rsidP="00430A79">
      <w:pPr>
        <w:jc w:val="both"/>
        <w:rPr>
          <w:rFonts w:ascii="Arial Narrow" w:eastAsia="Calibri" w:hAnsi="Arial Narrow" w:cs="Calibri"/>
          <w:color w:val="000000" w:themeColor="text1"/>
          <w:sz w:val="22"/>
          <w:szCs w:val="22"/>
          <w:lang w:val="en-GB"/>
        </w:rPr>
      </w:pPr>
    </w:p>
    <w:p w14:paraId="67679D3F" w14:textId="77777777" w:rsidR="00E213A8" w:rsidRPr="00BE2534" w:rsidRDefault="00E213A8" w:rsidP="00E213A8">
      <w:pPr>
        <w:pStyle w:val="Paragraph"/>
        <w:spacing w:after="0"/>
        <w:rPr>
          <w:rFonts w:eastAsia="Calibri" w:cs="Calibri"/>
          <w:lang w:val="sq-AL"/>
        </w:rPr>
      </w:pPr>
      <w:r w:rsidRPr="00BE2534">
        <w:rPr>
          <w:rFonts w:eastAsia="Calibri" w:cs="Calibri"/>
          <w:lang w:val="sq-AL"/>
        </w:rPr>
        <w:t>Analiza tregon se stacionet e transferit pa ngjeshje kanë kosto më të ulëta zbatimi për ton për komunat e Istogut dhe Deçanit, ndërsa transporti direkt ka kosto më të ulët për komunën e Klinës.</w:t>
      </w:r>
    </w:p>
    <w:p w14:paraId="0D08711A" w14:textId="77777777" w:rsidR="00E213A8" w:rsidRPr="00BE2534" w:rsidRDefault="00E213A8" w:rsidP="00E213A8">
      <w:pPr>
        <w:pStyle w:val="Paragraph"/>
        <w:spacing w:after="0"/>
        <w:rPr>
          <w:rFonts w:eastAsia="Calibri" w:cs="Calibri"/>
          <w:lang w:val="sq-AL"/>
        </w:rPr>
      </w:pPr>
      <w:r w:rsidRPr="00BE2534">
        <w:rPr>
          <w:rFonts w:eastAsia="Calibri" w:cs="Calibri"/>
          <w:lang w:val="sq-AL"/>
        </w:rPr>
        <w:t>Stacioni i transferit me ngjeshje po ashtu ka kosto më të ulët për komunën e Istogut në krahasim me transportin direkt.</w:t>
      </w:r>
    </w:p>
    <w:p w14:paraId="1EB238EA" w14:textId="77777777" w:rsidR="00E213A8" w:rsidRPr="00BE2534" w:rsidRDefault="00E213A8" w:rsidP="00E213A8">
      <w:pPr>
        <w:pStyle w:val="Paragraph"/>
        <w:spacing w:after="0"/>
        <w:rPr>
          <w:rFonts w:eastAsia="Calibri" w:cs="Calibri"/>
          <w:lang w:val="sq-AL"/>
        </w:rPr>
      </w:pPr>
      <w:r w:rsidRPr="00BE2534">
        <w:rPr>
          <w:rFonts w:eastAsia="Calibri" w:cs="Calibri"/>
          <w:lang w:val="sq-AL"/>
        </w:rPr>
        <w:t>Megjithatë, të gjitha alternativat e konsideruara kanë kosto të krahasueshme për ton dhe vendimi përfundimtar do të varet nga konsiderata të tjera si vullneti politik i komunave, disponueshmëria e financimit të investimeve (granteve) dhe disponueshmëria e vendeve të përshtatshme për vendndodhjen e stacioneve të transferit.</w:t>
      </w:r>
    </w:p>
    <w:p w14:paraId="363E2A45" w14:textId="77777777" w:rsidR="00E213A8" w:rsidRPr="00BE2534" w:rsidRDefault="00E213A8" w:rsidP="00E213A8">
      <w:pPr>
        <w:pStyle w:val="Paragraph"/>
        <w:spacing w:after="0"/>
        <w:rPr>
          <w:rFonts w:eastAsia="Calibri" w:cs="Calibri"/>
          <w:lang w:val="sq-AL"/>
        </w:rPr>
      </w:pPr>
      <w:r w:rsidRPr="00BE2534">
        <w:rPr>
          <w:rFonts w:eastAsia="Calibri" w:cs="Calibri"/>
          <w:lang w:val="sq-AL"/>
        </w:rPr>
        <w:t>Duhet të theksohet gjithashtu se stacionet e transferit mund të kombinohen me oborret e riciklimit që janë planifikuar së fundmi për komunat e Istog, Deçan dhe Klinë (shih seksionin 3.9.3) që do të rezultojë në uljen e kostos së përgjithshme të implementimit.</w:t>
      </w:r>
    </w:p>
    <w:p w14:paraId="09E87AED" w14:textId="77777777" w:rsidR="00E213A8" w:rsidRPr="00BE2534" w:rsidRDefault="00E213A8" w:rsidP="00E213A8">
      <w:pPr>
        <w:pStyle w:val="Paragraph"/>
        <w:spacing w:after="0"/>
        <w:rPr>
          <w:rFonts w:eastAsia="Calibri" w:cs="Calibri"/>
          <w:lang w:val="sq-AL"/>
        </w:rPr>
      </w:pPr>
      <w:r w:rsidRPr="00BE2534">
        <w:rPr>
          <w:rFonts w:eastAsia="Calibri" w:cs="Calibri"/>
          <w:lang w:val="sq-AL"/>
        </w:rPr>
        <w:t>Vendndodhja optimale e stacioneve të transferit duhet të jetë afër vendbanimit kryesor të komunës respektive dhe në drejtim të rrugës për në deponinë rajonale.</w:t>
      </w:r>
    </w:p>
    <w:p w14:paraId="36C0921E" w14:textId="77777777" w:rsidR="00E213A8" w:rsidRPr="00BE2534" w:rsidRDefault="00E213A8" w:rsidP="00E213A8">
      <w:pPr>
        <w:pStyle w:val="Paragraph"/>
        <w:spacing w:after="0"/>
        <w:rPr>
          <w:rFonts w:eastAsia="Calibri" w:cs="Calibri"/>
          <w:lang w:val="sq-AL"/>
        </w:rPr>
      </w:pPr>
      <w:r w:rsidRPr="00BE2534">
        <w:rPr>
          <w:rFonts w:eastAsia="Calibri" w:cs="Calibri"/>
          <w:lang w:val="sq-AL"/>
        </w:rPr>
        <w:t>Duke konsideruar se komuna e Istogut ka vështirësi në identifikimin e vendndodhjes së duhur për stacionin e transferit, një zgjidhje alternative do të jetë përdorimi i automjeteve mobile/satelit të grumbullimit, ose ringarkimi në kontejnerë shtypës siç tregohet në figurën më poshtë.</w:t>
      </w:r>
    </w:p>
    <w:p w14:paraId="5052B54D" w14:textId="59579400" w:rsidR="00430A79" w:rsidRPr="00430A79" w:rsidRDefault="00430A79" w:rsidP="00E213A8">
      <w:pPr>
        <w:jc w:val="center"/>
        <w:rPr>
          <w:rFonts w:ascii="Arial Narrow" w:eastAsia="Calibri" w:hAnsi="Arial Narrow" w:cs="Calibri"/>
          <w:color w:val="000000" w:themeColor="text1"/>
          <w:sz w:val="22"/>
          <w:szCs w:val="22"/>
          <w:lang w:val="en-GB"/>
        </w:rPr>
      </w:pPr>
      <w:r w:rsidRPr="00430A79">
        <w:rPr>
          <w:rFonts w:ascii="Arial Narrow" w:eastAsia="Calibri" w:hAnsi="Arial Narrow" w:cs="Calibri"/>
          <w:noProof/>
          <w:color w:val="000000" w:themeColor="text1"/>
          <w:sz w:val="22"/>
          <w:szCs w:val="22"/>
        </w:rPr>
        <w:lastRenderedPageBreak/>
        <w:drawing>
          <wp:inline distT="0" distB="0" distL="0" distR="0" wp14:anchorId="5A402A4E" wp14:editId="0A81D0A7">
            <wp:extent cx="2854105" cy="1720427"/>
            <wp:effectExtent l="0" t="0" r="3810" b="0"/>
            <wp:docPr id="14" name="Content Placeholder 13" descr="foto"/>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4" name="Content Placeholder 13" descr="foto"/>
                    <pic:cNvPicPr>
                      <a:picLocks noGrp="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85395" cy="1739288"/>
                    </a:xfrm>
                    <a:prstGeom prst="rect">
                      <a:avLst/>
                    </a:prstGeom>
                    <a:noFill/>
                    <a:ln w="9525">
                      <a:noFill/>
                      <a:miter lim="800000"/>
                      <a:headEnd/>
                      <a:tailEnd/>
                    </a:ln>
                    <a:effectLst/>
                  </pic:spPr>
                </pic:pic>
              </a:graphicData>
            </a:graphic>
          </wp:inline>
        </w:drawing>
      </w:r>
      <w:r w:rsidRPr="00430A79">
        <w:rPr>
          <w:rFonts w:ascii="Arial Narrow" w:eastAsia="Calibri" w:hAnsi="Arial Narrow" w:cs="Calibri"/>
          <w:noProof/>
          <w:color w:val="000000" w:themeColor="text1"/>
          <w:sz w:val="22"/>
          <w:szCs w:val="22"/>
        </w:rPr>
        <w:drawing>
          <wp:inline distT="0" distB="0" distL="0" distR="0" wp14:anchorId="2C99E0F5" wp14:editId="3E5F782B">
            <wp:extent cx="1720427" cy="1720427"/>
            <wp:effectExtent l="0" t="0" r="0" b="0"/>
            <wp:docPr id="18" name="Picture 17" descr="A truck loading garbage into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truck loading garbage into a container&#10;&#10;Description automatically generated"/>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38447" cy="1738447"/>
                    </a:xfrm>
                    <a:prstGeom prst="rect">
                      <a:avLst/>
                    </a:prstGeom>
                  </pic:spPr>
                </pic:pic>
              </a:graphicData>
            </a:graphic>
          </wp:inline>
        </w:drawing>
      </w:r>
    </w:p>
    <w:p w14:paraId="100229D6" w14:textId="30DC7AEB" w:rsidR="00430A79" w:rsidRPr="00430A79" w:rsidRDefault="00430A79" w:rsidP="006347D6">
      <w:pPr>
        <w:pStyle w:val="Figure"/>
        <w:rPr>
          <w:rFonts w:eastAsia="Calibri" w:cs="Calibri"/>
          <w:sz w:val="20"/>
          <w:szCs w:val="20"/>
        </w:rPr>
      </w:pPr>
      <w:bookmarkStart w:id="336" w:name="_Toc185866244"/>
      <w:bookmarkStart w:id="337" w:name="_Toc197472323"/>
      <w:r w:rsidRPr="00430A79">
        <w:rPr>
          <w:rFonts w:eastAsia="Calibri" w:cs="Calibri"/>
          <w:sz w:val="20"/>
          <w:szCs w:val="20"/>
        </w:rPr>
        <w:t xml:space="preserve">Figura </w:t>
      </w:r>
      <w:r w:rsidRPr="00430A79">
        <w:rPr>
          <w:rFonts w:eastAsia="Calibri" w:cs="Calibri"/>
          <w:sz w:val="20"/>
          <w:szCs w:val="20"/>
        </w:rPr>
        <w:fldChar w:fldCharType="begin"/>
      </w:r>
      <w:r w:rsidRPr="00430A79">
        <w:rPr>
          <w:rFonts w:eastAsia="Calibri" w:cs="Calibri"/>
          <w:sz w:val="20"/>
          <w:szCs w:val="20"/>
        </w:rPr>
        <w:instrText xml:space="preserve"> SEQ Figure \* ARABIC </w:instrText>
      </w:r>
      <w:r w:rsidRPr="00430A79">
        <w:rPr>
          <w:rFonts w:eastAsia="Calibri" w:cs="Calibri"/>
          <w:sz w:val="20"/>
          <w:szCs w:val="20"/>
        </w:rPr>
        <w:fldChar w:fldCharType="separate"/>
      </w:r>
      <w:r w:rsidR="00C97DF3">
        <w:rPr>
          <w:rFonts w:eastAsia="Calibri" w:cs="Calibri"/>
          <w:noProof/>
          <w:sz w:val="20"/>
          <w:szCs w:val="20"/>
        </w:rPr>
        <w:t xml:space="preserve">21. </w:t>
      </w:r>
      <w:r w:rsidRPr="00430A79">
        <w:rPr>
          <w:rFonts w:eastAsia="Calibri" w:cs="Calibri"/>
          <w:sz w:val="20"/>
          <w:szCs w:val="20"/>
        </w:rPr>
        <w:fldChar w:fldCharType="end"/>
      </w:r>
      <w:r w:rsidR="00E213A8">
        <w:rPr>
          <w:rFonts w:eastAsia="Calibri" w:cs="Calibri"/>
          <w:sz w:val="20"/>
          <w:szCs w:val="20"/>
        </w:rPr>
        <w:t>Rin</w:t>
      </w:r>
      <w:r w:rsidRPr="00430A79">
        <w:rPr>
          <w:rFonts w:eastAsia="Calibri" w:cs="Calibri"/>
          <w:sz w:val="20"/>
          <w:szCs w:val="20"/>
        </w:rPr>
        <w:t xml:space="preserve">garkimi nga automjeti </w:t>
      </w:r>
      <w:r w:rsidR="00E213A8">
        <w:rPr>
          <w:rFonts w:eastAsia="Calibri" w:cs="Calibri"/>
          <w:sz w:val="20"/>
          <w:szCs w:val="20"/>
        </w:rPr>
        <w:t>mobil/</w:t>
      </w:r>
      <w:r w:rsidRPr="00430A79">
        <w:rPr>
          <w:rFonts w:eastAsia="Calibri" w:cs="Calibri"/>
          <w:sz w:val="20"/>
          <w:szCs w:val="20"/>
        </w:rPr>
        <w:t xml:space="preserve">satelitor (majtas) dhe </w:t>
      </w:r>
      <w:r w:rsidR="00E213A8">
        <w:rPr>
          <w:rFonts w:eastAsia="Calibri" w:cs="Calibri"/>
          <w:sz w:val="20"/>
          <w:szCs w:val="20"/>
        </w:rPr>
        <w:t>ri</w:t>
      </w:r>
      <w:r w:rsidRPr="00430A79">
        <w:rPr>
          <w:rFonts w:eastAsia="Calibri" w:cs="Calibri"/>
          <w:sz w:val="20"/>
          <w:szCs w:val="20"/>
        </w:rPr>
        <w:t xml:space="preserve">ngarkimi në kontejnerin </w:t>
      </w:r>
      <w:r w:rsidR="00E213A8">
        <w:rPr>
          <w:rFonts w:eastAsia="Calibri" w:cs="Calibri"/>
          <w:sz w:val="20"/>
          <w:szCs w:val="20"/>
        </w:rPr>
        <w:t>me ngjeshje</w:t>
      </w:r>
      <w:r w:rsidRPr="00430A79">
        <w:rPr>
          <w:rFonts w:eastAsia="Calibri" w:cs="Calibri"/>
          <w:sz w:val="20"/>
          <w:szCs w:val="20"/>
        </w:rPr>
        <w:t xml:space="preserve"> (djathtas)</w:t>
      </w:r>
      <w:bookmarkEnd w:id="336"/>
      <w:bookmarkEnd w:id="337"/>
    </w:p>
    <w:p w14:paraId="3E0BA892" w14:textId="77777777" w:rsidR="00430A79" w:rsidRPr="00430A79" w:rsidRDefault="00430A79" w:rsidP="00430A79">
      <w:pPr>
        <w:jc w:val="both"/>
        <w:rPr>
          <w:rFonts w:ascii="Arial Narrow" w:eastAsia="Calibri" w:hAnsi="Arial Narrow" w:cs="Calibri"/>
          <w:color w:val="000000" w:themeColor="text1"/>
          <w:sz w:val="22"/>
          <w:szCs w:val="22"/>
          <w:lang w:val="en-GB"/>
        </w:rPr>
      </w:pPr>
    </w:p>
    <w:p w14:paraId="0BE4895F" w14:textId="77777777" w:rsidR="00E213A8" w:rsidRPr="00BE2534" w:rsidRDefault="00E213A8" w:rsidP="00E213A8">
      <w:pPr>
        <w:pStyle w:val="Paragraph"/>
        <w:spacing w:after="0"/>
        <w:rPr>
          <w:rFonts w:eastAsia="Calibri" w:cs="Calibri"/>
          <w:lang w:val="sq-AL"/>
        </w:rPr>
      </w:pPr>
      <w:r w:rsidRPr="00BE2534">
        <w:rPr>
          <w:rFonts w:eastAsia="Calibri" w:cs="Calibri"/>
          <w:lang w:val="sq-AL"/>
        </w:rPr>
        <w:t>Në rastin e automjeteve të grumbullimit satelitor, grumbullimi në zonat me qasje të vështirë kryhet me automjete të vogla grumbulluese (6-8 m³) me ose pa ngjeshje, dhe më pas ringarkohet drejtpërdrejt në një automjet më të madh grumbullues mbeturinash (21–28 m³).</w:t>
      </w:r>
    </w:p>
    <w:p w14:paraId="5976CA91" w14:textId="77777777" w:rsidR="00E213A8" w:rsidRDefault="00E213A8" w:rsidP="00E213A8">
      <w:pPr>
        <w:pStyle w:val="Paragraph"/>
        <w:spacing w:after="0"/>
        <w:rPr>
          <w:rFonts w:eastAsia="Calibri" w:cs="Calibri"/>
          <w:lang w:val="sq-AL"/>
        </w:rPr>
      </w:pPr>
      <w:r w:rsidRPr="00BE2534">
        <w:rPr>
          <w:rFonts w:eastAsia="Calibri" w:cs="Calibri"/>
          <w:lang w:val="sq-AL"/>
        </w:rPr>
        <w:t>Zgjidhja me kontejnerë me ngjeshje do të mund të zbatohej vetëm për një pjesë të komunës së Istogut duke supozuar se një kontejner i tillë do të mund të instalohej në të ardhmen në Oborrin e Riciklimit (OR).</w:t>
      </w:r>
    </w:p>
    <w:p w14:paraId="38BD7E00" w14:textId="77777777" w:rsidR="00282B31" w:rsidRPr="00BE2534" w:rsidRDefault="00282B31" w:rsidP="00E213A8">
      <w:pPr>
        <w:pStyle w:val="Paragraph"/>
        <w:spacing w:after="0"/>
        <w:rPr>
          <w:rFonts w:eastAsia="Calibri" w:cs="Calibri"/>
          <w:lang w:val="sq-AL"/>
        </w:rPr>
      </w:pPr>
    </w:p>
    <w:p w14:paraId="0A844C4D" w14:textId="72E5C333" w:rsidR="00430A79" w:rsidRPr="00430A79" w:rsidRDefault="00E213A8" w:rsidP="000D7AD0">
      <w:pPr>
        <w:pStyle w:val="Heading2"/>
      </w:pPr>
      <w:bookmarkStart w:id="338" w:name="_Toc185866114"/>
      <w:bookmarkStart w:id="339" w:name="_Toc197472011"/>
      <w:r>
        <w:t>Grumbullimi</w:t>
      </w:r>
      <w:r w:rsidR="00430A79" w:rsidRPr="00430A79">
        <w:t xml:space="preserve"> </w:t>
      </w:r>
      <w:r>
        <w:t>ndaras</w:t>
      </w:r>
      <w:r w:rsidR="00430A79" w:rsidRPr="00430A79">
        <w:t xml:space="preserve"> e mbeturinave</w:t>
      </w:r>
      <w:bookmarkEnd w:id="338"/>
      <w:bookmarkEnd w:id="339"/>
    </w:p>
    <w:p w14:paraId="3093A451" w14:textId="0FFC01D2" w:rsidR="00430A79" w:rsidRPr="00430A79" w:rsidRDefault="00E213A8" w:rsidP="000D7AD0">
      <w:pPr>
        <w:pStyle w:val="Heading3"/>
      </w:pPr>
      <w:bookmarkStart w:id="340" w:name="_Toc185866115"/>
      <w:bookmarkStart w:id="341" w:name="_Toc197472012"/>
      <w:r>
        <w:t>Gjendja</w:t>
      </w:r>
      <w:r w:rsidR="00430A79" w:rsidRPr="00430A79">
        <w:t xml:space="preserve"> aktuale</w:t>
      </w:r>
      <w:bookmarkEnd w:id="340"/>
      <w:bookmarkEnd w:id="341"/>
    </w:p>
    <w:p w14:paraId="2B138FB1" w14:textId="77777777" w:rsidR="00430A79" w:rsidRPr="00E213A8" w:rsidRDefault="00430A79" w:rsidP="00430A79">
      <w:pPr>
        <w:jc w:val="both"/>
        <w:rPr>
          <w:rFonts w:ascii="Arial Narrow" w:eastAsia="Calibri" w:hAnsi="Arial Narrow" w:cs="Calibri"/>
          <w:color w:val="000000" w:themeColor="text1"/>
          <w:sz w:val="22"/>
          <w:szCs w:val="22"/>
          <w:lang w:val="en-GB"/>
        </w:rPr>
      </w:pPr>
    </w:p>
    <w:p w14:paraId="287C5218" w14:textId="62E4C933" w:rsidR="00430A79" w:rsidRPr="009F5CA1" w:rsidRDefault="00E213A8" w:rsidP="00430A79">
      <w:pPr>
        <w:jc w:val="both"/>
        <w:rPr>
          <w:rFonts w:ascii="Arial Narrow" w:eastAsia="Calibri" w:hAnsi="Arial Narrow" w:cs="Calibri"/>
          <w:color w:val="000000" w:themeColor="text1"/>
          <w:sz w:val="22"/>
          <w:szCs w:val="22"/>
          <w:lang w:val="sq-AL"/>
        </w:rPr>
      </w:pPr>
      <w:r w:rsidRPr="00E213A8">
        <w:rPr>
          <w:rFonts w:ascii="Arial Narrow" w:eastAsia="Calibri" w:hAnsi="Arial Narrow" w:cs="Calibri"/>
          <w:sz w:val="22"/>
          <w:szCs w:val="22"/>
          <w:lang w:val="sq-AL"/>
        </w:rPr>
        <w:t>Grumbullimi ndaras i mbeturinave të materialeve të riciklueshme nuk është i organizuar në asnjërën nga pesë komunat. Nga komunat është planifikuar që kjo të fillojë nga viti 2025 e në vazhdim</w:t>
      </w:r>
      <w:r w:rsidR="00430A79" w:rsidRPr="009F5CA1">
        <w:rPr>
          <w:rFonts w:ascii="Arial Narrow" w:eastAsia="Calibri" w:hAnsi="Arial Narrow" w:cs="Calibri"/>
          <w:color w:val="000000" w:themeColor="text1"/>
          <w:sz w:val="22"/>
          <w:szCs w:val="22"/>
          <w:lang w:val="sq-AL"/>
        </w:rPr>
        <w:t>.</w:t>
      </w:r>
    </w:p>
    <w:p w14:paraId="4A913BA6" w14:textId="77777777" w:rsidR="00282B31" w:rsidRPr="009F5CA1" w:rsidRDefault="00282B31" w:rsidP="00430A79">
      <w:pPr>
        <w:jc w:val="both"/>
        <w:rPr>
          <w:rFonts w:ascii="Arial Narrow" w:eastAsia="Calibri" w:hAnsi="Arial Narrow" w:cs="Calibri"/>
          <w:color w:val="000000" w:themeColor="text1"/>
          <w:sz w:val="22"/>
          <w:szCs w:val="22"/>
          <w:lang w:val="sq-AL"/>
        </w:rPr>
      </w:pPr>
    </w:p>
    <w:p w14:paraId="1CD59DAC" w14:textId="03E90091" w:rsidR="00430A79" w:rsidRPr="00430A79" w:rsidRDefault="00430A79" w:rsidP="000D7AD0">
      <w:pPr>
        <w:pStyle w:val="Heading3"/>
      </w:pPr>
      <w:bookmarkStart w:id="342" w:name="_Toc185866116"/>
      <w:bookmarkStart w:id="343" w:name="_Toc197472013"/>
      <w:r w:rsidRPr="00430A79">
        <w:t xml:space="preserve">Pajisjet </w:t>
      </w:r>
      <w:r w:rsidR="00E213A8">
        <w:t>për</w:t>
      </w:r>
      <w:r w:rsidRPr="00430A79">
        <w:t xml:space="preserve"> magazinimi</w:t>
      </w:r>
      <w:r w:rsidR="00E213A8">
        <w:t>n e</w:t>
      </w:r>
      <w:r w:rsidRPr="00430A79">
        <w:t xml:space="preserve"> mbeturinave </w:t>
      </w:r>
      <w:r w:rsidR="00E213A8">
        <w:t xml:space="preserve">dhe sistemet </w:t>
      </w:r>
      <w:r w:rsidRPr="00430A79">
        <w:t xml:space="preserve">për </w:t>
      </w:r>
      <w:r w:rsidR="00E213A8">
        <w:t>grumbullimin ndaras</w:t>
      </w:r>
      <w:r w:rsidRPr="00430A79">
        <w:t xml:space="preserve"> të mbeturinave</w:t>
      </w:r>
      <w:bookmarkEnd w:id="342"/>
      <w:bookmarkEnd w:id="343"/>
    </w:p>
    <w:p w14:paraId="4A0E9877" w14:textId="77777777" w:rsidR="00430A79" w:rsidRPr="00430A79" w:rsidRDefault="00430A79" w:rsidP="00430A79">
      <w:pPr>
        <w:jc w:val="both"/>
        <w:rPr>
          <w:rFonts w:ascii="Arial Narrow" w:eastAsia="Calibri" w:hAnsi="Arial Narrow" w:cs="Calibri"/>
          <w:color w:val="000000" w:themeColor="text1"/>
          <w:sz w:val="22"/>
          <w:szCs w:val="22"/>
          <w:lang w:val="bg-BG"/>
        </w:rPr>
      </w:pPr>
    </w:p>
    <w:p w14:paraId="19959BC5" w14:textId="77777777" w:rsidR="00E213A8" w:rsidRPr="00BE2534" w:rsidRDefault="00E213A8" w:rsidP="00E213A8">
      <w:pPr>
        <w:jc w:val="both"/>
        <w:rPr>
          <w:rFonts w:ascii="Arial Narrow" w:eastAsia="Calibri" w:hAnsi="Arial Narrow" w:cs="Calibri"/>
          <w:sz w:val="22"/>
          <w:szCs w:val="22"/>
          <w:lang w:val="sq-AL"/>
        </w:rPr>
      </w:pPr>
      <w:r w:rsidRPr="00BE2534">
        <w:rPr>
          <w:rFonts w:ascii="Arial Narrow" w:eastAsia="Calibri" w:hAnsi="Arial Narrow" w:cs="Calibri"/>
          <w:sz w:val="22"/>
          <w:szCs w:val="22"/>
          <w:lang w:val="sq-AL"/>
        </w:rPr>
        <w:t xml:space="preserve">Faktorët që luajnë rol në përzgjedhjen e një sistemi për grumbullimi veç eveç ndërlidhen me sistemin ekzistues të grumbullimit të mbeturinave, i cili lidhet me pranueshmërinë e publikut, sistemin tarifor në fuqi dhe praninë e sektorit informal në grumbullimin e mbeturinave. Pranueshmëria publike është një nga parakushtet për krijimin e një sistemi efikas për grumbullimin </w:t>
      </w:r>
      <w:r>
        <w:rPr>
          <w:rFonts w:ascii="Arial Narrow" w:eastAsia="Calibri" w:hAnsi="Arial Narrow" w:cs="Calibri"/>
          <w:sz w:val="22"/>
          <w:szCs w:val="22"/>
          <w:lang w:val="sq-AL"/>
        </w:rPr>
        <w:t>ndaras</w:t>
      </w:r>
      <w:r w:rsidRPr="00BE2534">
        <w:rPr>
          <w:rFonts w:ascii="Arial Narrow" w:eastAsia="Calibri" w:hAnsi="Arial Narrow" w:cs="Calibri"/>
          <w:sz w:val="22"/>
          <w:szCs w:val="22"/>
          <w:lang w:val="sq-AL"/>
        </w:rPr>
        <w:t xml:space="preserve"> të materialeve të riciklueshme.</w:t>
      </w:r>
    </w:p>
    <w:p w14:paraId="1B858CD7" w14:textId="77777777" w:rsidR="00E213A8" w:rsidRPr="00BE2534" w:rsidRDefault="00E213A8" w:rsidP="00E213A8">
      <w:pPr>
        <w:jc w:val="both"/>
        <w:rPr>
          <w:rFonts w:ascii="Arial Narrow" w:eastAsia="Calibri" w:hAnsi="Arial Narrow" w:cs="Calibri"/>
          <w:sz w:val="22"/>
          <w:szCs w:val="22"/>
          <w:lang w:val="sq-AL"/>
        </w:rPr>
      </w:pPr>
    </w:p>
    <w:p w14:paraId="6D78D763" w14:textId="7CA9BB43" w:rsidR="00E213A8" w:rsidRPr="00BE2534" w:rsidRDefault="00E213A8" w:rsidP="00E213A8">
      <w:pPr>
        <w:jc w:val="both"/>
        <w:rPr>
          <w:rFonts w:ascii="Arial Narrow" w:eastAsia="Calibri" w:hAnsi="Arial Narrow" w:cs="Calibri"/>
          <w:sz w:val="22"/>
          <w:szCs w:val="22"/>
          <w:lang w:val="sq-AL"/>
        </w:rPr>
      </w:pPr>
      <w:r w:rsidRPr="00430A79">
        <w:rPr>
          <w:rFonts w:ascii="Arial Narrow" w:eastAsia="MS PGothic" w:hAnsi="Arial Narrow" w:cs="Calibri"/>
          <w:bCs/>
          <w:i/>
          <w:iCs/>
          <w:noProof/>
          <w:color w:val="061F57"/>
          <w:sz w:val="22"/>
          <w:szCs w:val="22"/>
        </w:rPr>
        <mc:AlternateContent>
          <mc:Choice Requires="wps">
            <w:drawing>
              <wp:anchor distT="0" distB="0" distL="114300" distR="114300" simplePos="0" relativeHeight="251669504" behindDoc="0" locked="0" layoutInCell="1" allowOverlap="1" wp14:anchorId="123EB401" wp14:editId="1681E89C">
                <wp:simplePos x="0" y="0"/>
                <wp:positionH relativeFrom="margin">
                  <wp:align>left</wp:align>
                </wp:positionH>
                <wp:positionV relativeFrom="paragraph">
                  <wp:posOffset>516890</wp:posOffset>
                </wp:positionV>
                <wp:extent cx="5779135" cy="1651635"/>
                <wp:effectExtent l="0" t="0" r="0" b="571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135" cy="1651635"/>
                        </a:xfrm>
                        <a:prstGeom prst="rect">
                          <a:avLst/>
                        </a:prstGeom>
                        <a:solidFill>
                          <a:srgbClr val="FFFFFF"/>
                        </a:solidFill>
                        <a:ln w="9525">
                          <a:noFill/>
                          <a:miter lim="800000"/>
                          <a:headEnd/>
                          <a:tailEnd/>
                        </a:ln>
                      </wps:spPr>
                      <wps:txbx>
                        <w:txbxContent>
                          <w:p w14:paraId="36388652" w14:textId="77777777" w:rsidR="00430A79" w:rsidRPr="00B5336A" w:rsidRDefault="00430A79" w:rsidP="00430A79">
                            <w:r w:rsidRPr="00B5336A">
                              <w:rPr>
                                <w:noProof/>
                              </w:rPr>
                              <w:drawing>
                                <wp:inline distT="0" distB="0" distL="0" distR="0" wp14:anchorId="74DF09A2" wp14:editId="2B818024">
                                  <wp:extent cx="987871" cy="1350093"/>
                                  <wp:effectExtent l="0" t="0" r="3175" b="2540"/>
                                  <wp:docPr id="1432919139" name="Picture 1432919139" descr="120-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0-yellow"/>
                                          <pic:cNvPicPr>
                                            <a:picLocks noChangeAspect="1" noChangeArrowheads="1"/>
                                          </pic:cNvPicPr>
                                        </pic:nvPicPr>
                                        <pic:blipFill>
                                          <a:blip r:embed="rId67"/>
                                          <a:srcRect/>
                                          <a:stretch>
                                            <a:fillRect/>
                                          </a:stretch>
                                        </pic:blipFill>
                                        <pic:spPr bwMode="auto">
                                          <a:xfrm>
                                            <a:off x="0" y="0"/>
                                            <a:ext cx="1003355" cy="1371254"/>
                                          </a:xfrm>
                                          <a:prstGeom prst="rect">
                                            <a:avLst/>
                                          </a:prstGeom>
                                          <a:noFill/>
                                          <a:ln w="9525">
                                            <a:noFill/>
                                            <a:miter lim="800000"/>
                                            <a:headEnd/>
                                            <a:tailEnd/>
                                          </a:ln>
                                        </pic:spPr>
                                      </pic:pic>
                                    </a:graphicData>
                                  </a:graphic>
                                </wp:inline>
                              </w:drawing>
                            </w:r>
                            <w:r w:rsidRPr="00B5336A">
                              <w:t xml:space="preserve">                        </w:t>
                            </w:r>
                            <w:r w:rsidRPr="00B5336A">
                              <w:rPr>
                                <w:noProof/>
                              </w:rPr>
                              <w:drawing>
                                <wp:inline distT="0" distB="0" distL="0" distR="0" wp14:anchorId="221DBB53" wp14:editId="69A81540">
                                  <wp:extent cx="3140015" cy="1601012"/>
                                  <wp:effectExtent l="0" t="0" r="3810" b="0"/>
                                  <wp:docPr id="420411175" name="Picture 42041117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with medium confidence"/>
                                          <pic:cNvPicPr/>
                                        </pic:nvPicPr>
                                        <pic:blipFill>
                                          <a:blip r:embed="rId68">
                                            <a:extLst>
                                              <a:ext uri="{28A0092B-C50C-407E-A947-70E740481C1C}">
                                                <a14:useLocalDpi xmlns:a14="http://schemas.microsoft.com/office/drawing/2010/main" val="0"/>
                                              </a:ext>
                                            </a:extLst>
                                          </a:blip>
                                          <a:stretch>
                                            <a:fillRect/>
                                          </a:stretch>
                                        </pic:blipFill>
                                        <pic:spPr>
                                          <a:xfrm>
                                            <a:off x="0" y="0"/>
                                            <a:ext cx="3218365" cy="1640961"/>
                                          </a:xfrm>
                                          <a:prstGeom prst="rect">
                                            <a:avLst/>
                                          </a:prstGeom>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EB401" id="_x0000_t202" coordsize="21600,21600" o:spt="202" path="m,l,21600r21600,l21600,xe">
                <v:stroke joinstyle="miter"/>
                <v:path gradientshapeok="t" o:connecttype="rect"/>
              </v:shapetype>
              <v:shape id="Text Box 2" o:spid="_x0000_s1026" type="#_x0000_t202" style="position:absolute;left:0;text-align:left;margin-left:0;margin-top:40.7pt;width:455.05pt;height:130.0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" stroked="f">
                <v:textbox>
                  <w:txbxContent>
                    <w:p w14:paraId="36388652" w14:textId="77777777" w:rsidR="00430A79" w:rsidRPr="00B5336A" w:rsidRDefault="00430A79" w:rsidP="00430A79">
                      <w:r w:rsidRPr="00B5336A">
                        <w:rPr>
                          <w:noProof/>
                        </w:rPr>
                        <w:drawing>
                          <wp:inline distT="0" distB="0" distL="0" distR="0" wp14:anchorId="74DF09A2" wp14:editId="2B818024">
                            <wp:extent cx="987871" cy="1350093"/>
                            <wp:effectExtent l="0" t="0" r="3175" b="2540"/>
                            <wp:docPr id="1432919139" name="Picture 1432919139" descr="120-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0-yellow"/>
                                    <pic:cNvPicPr>
                                      <a:picLocks noChangeAspect="1" noChangeArrowheads="1"/>
                                    </pic:cNvPicPr>
                                  </pic:nvPicPr>
                                  <pic:blipFill>
                                    <a:blip r:embed="rId67"/>
                                    <a:srcRect/>
                                    <a:stretch>
                                      <a:fillRect/>
                                    </a:stretch>
                                  </pic:blipFill>
                                  <pic:spPr bwMode="auto">
                                    <a:xfrm>
                                      <a:off x="0" y="0"/>
                                      <a:ext cx="1003355" cy="1371254"/>
                                    </a:xfrm>
                                    <a:prstGeom prst="rect">
                                      <a:avLst/>
                                    </a:prstGeom>
                                    <a:noFill/>
                                    <a:ln w="9525">
                                      <a:noFill/>
                                      <a:miter lim="800000"/>
                                      <a:headEnd/>
                                      <a:tailEnd/>
                                    </a:ln>
                                  </pic:spPr>
                                </pic:pic>
                              </a:graphicData>
                            </a:graphic>
                          </wp:inline>
                        </w:drawing>
                      </w:r>
                      <w:r w:rsidRPr="00B5336A">
                        <w:t xml:space="preserve">                        </w:t>
                      </w:r>
                      <w:r w:rsidRPr="00B5336A">
                        <w:rPr>
                          <w:noProof/>
                        </w:rPr>
                        <w:drawing>
                          <wp:inline distT="0" distB="0" distL="0" distR="0" wp14:anchorId="221DBB53" wp14:editId="69A81540">
                            <wp:extent cx="3140015" cy="1601012"/>
                            <wp:effectExtent l="0" t="0" r="3810" b="0"/>
                            <wp:docPr id="420411175" name="Picture 42041117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with medium confidence"/>
                                    <pic:cNvPicPr/>
                                  </pic:nvPicPr>
                                  <pic:blipFill>
                                    <a:blip r:embed="rId68">
                                      <a:extLst>
                                        <a:ext uri="{28A0092B-C50C-407E-A947-70E740481C1C}">
                                          <a14:useLocalDpi xmlns:a14="http://schemas.microsoft.com/office/drawing/2010/main" val="0"/>
                                        </a:ext>
                                      </a:extLst>
                                    </a:blip>
                                    <a:stretch>
                                      <a:fillRect/>
                                    </a:stretch>
                                  </pic:blipFill>
                                  <pic:spPr>
                                    <a:xfrm>
                                      <a:off x="0" y="0"/>
                                      <a:ext cx="3218365" cy="1640961"/>
                                    </a:xfrm>
                                    <a:prstGeom prst="rect">
                                      <a:avLst/>
                                    </a:prstGeom>
                                  </pic:spPr>
                                </pic:pic>
                              </a:graphicData>
                            </a:graphic>
                          </wp:inline>
                        </w:drawing>
                      </w:r>
                    </w:p>
                  </w:txbxContent>
                </v:textbox>
                <w10:wrap type="square" anchorx="margin"/>
              </v:shape>
            </w:pict>
          </mc:Fallback>
        </mc:AlternateContent>
      </w:r>
      <w:r w:rsidRPr="00BE2534">
        <w:rPr>
          <w:rFonts w:ascii="Arial Narrow" w:eastAsia="Calibri" w:hAnsi="Arial Narrow" w:cs="Calibri"/>
          <w:sz w:val="22"/>
          <w:szCs w:val="22"/>
          <w:lang w:val="sq-AL"/>
        </w:rPr>
        <w:t>Në thelb, ekzistojnë dy forma kryesore të grumbullimit - grumbullimi derë më derë dhe sistemi i sjelljes së mbeturinave në vendin e caktuar. Të dy këto sisteme përdoren aktualisht në ZMM për grumbullimin e mbeturinave të përziera shtëpiake.</w:t>
      </w:r>
    </w:p>
    <w:p w14:paraId="5663B4A4" w14:textId="26F52097" w:rsidR="00430A79" w:rsidRPr="009F5CA1" w:rsidRDefault="00430A79" w:rsidP="00430A79">
      <w:pPr>
        <w:jc w:val="both"/>
        <w:rPr>
          <w:rFonts w:ascii="Arial Narrow" w:eastAsia="Calibri" w:hAnsi="Arial Narrow" w:cs="Calibri"/>
          <w:sz w:val="22"/>
          <w:szCs w:val="22"/>
          <w:lang w:val="sq-AL"/>
        </w:rPr>
      </w:pPr>
    </w:p>
    <w:p w14:paraId="750597E7" w14:textId="0400BCDC" w:rsidR="003C672E" w:rsidRPr="003C672E" w:rsidRDefault="003C672E" w:rsidP="003C672E">
      <w:pPr>
        <w:jc w:val="center"/>
        <w:rPr>
          <w:rFonts w:ascii="Arial Narrow" w:eastAsia="Calibri" w:hAnsi="Arial Narrow" w:cs="Calibri"/>
          <w:color w:val="1F497D"/>
          <w:sz w:val="20"/>
          <w:szCs w:val="20"/>
          <w:lang w:val="sq-AL"/>
        </w:rPr>
      </w:pPr>
      <w:r>
        <w:rPr>
          <w:rFonts w:ascii="Arial Narrow" w:eastAsia="Calibri" w:hAnsi="Arial Narrow" w:cs="Calibri"/>
          <w:color w:val="1F497D"/>
          <w:sz w:val="20"/>
          <w:szCs w:val="20"/>
          <w:lang w:val="sq-AL"/>
        </w:rPr>
        <w:lastRenderedPageBreak/>
        <w:t xml:space="preserve">Figura 22. </w:t>
      </w:r>
      <w:r w:rsidRPr="003C672E">
        <w:rPr>
          <w:rFonts w:ascii="Arial Narrow" w:eastAsia="Calibri" w:hAnsi="Arial Narrow" w:cs="Calibri"/>
          <w:color w:val="1F497D"/>
          <w:sz w:val="20"/>
          <w:szCs w:val="20"/>
          <w:lang w:val="sq-AL"/>
        </w:rPr>
        <w:t xml:space="preserve">Shembuj të kontejnerëve që përdoren zakonisht për grumbullimin derë më derë (majtas) dhe për të sjellë mbeturinat te vendi i caktuar (djathtas) </w:t>
      </w:r>
    </w:p>
    <w:p w14:paraId="38D0DCE5" w14:textId="77777777" w:rsidR="00430A79" w:rsidRPr="009F5CA1" w:rsidRDefault="00430A79" w:rsidP="00430A79">
      <w:pPr>
        <w:jc w:val="both"/>
        <w:rPr>
          <w:rFonts w:ascii="Arial Narrow" w:eastAsia="Calibri" w:hAnsi="Arial Narrow" w:cs="Calibri"/>
          <w:b/>
          <w:bCs/>
          <w:lang w:val="sq-AL"/>
        </w:rPr>
      </w:pPr>
    </w:p>
    <w:p w14:paraId="4AD296E5" w14:textId="77777777" w:rsidR="003C672E" w:rsidRDefault="003C672E" w:rsidP="00430A79">
      <w:pPr>
        <w:jc w:val="both"/>
        <w:rPr>
          <w:rFonts w:ascii="Arial Narrow" w:eastAsia="Calibri" w:hAnsi="Arial Narrow" w:cs="Calibri"/>
          <w:sz w:val="22"/>
          <w:szCs w:val="22"/>
          <w:lang w:val="sq-AL"/>
        </w:rPr>
      </w:pPr>
      <w:r w:rsidRPr="00BE2534">
        <w:rPr>
          <w:rFonts w:ascii="Arial Narrow" w:eastAsia="Calibri" w:hAnsi="Arial Narrow" w:cs="Calibri"/>
          <w:b/>
          <w:bCs/>
          <w:sz w:val="22"/>
          <w:szCs w:val="22"/>
          <w:lang w:val="sq-AL"/>
        </w:rPr>
        <w:t>Grumbullimi derë më derë</w:t>
      </w:r>
      <w:r w:rsidRPr="00BE2534">
        <w:rPr>
          <w:rFonts w:ascii="Arial Narrow" w:eastAsia="Calibri" w:hAnsi="Arial Narrow" w:cs="Calibri"/>
          <w:sz w:val="22"/>
          <w:szCs w:val="22"/>
          <w:lang w:val="sq-AL"/>
        </w:rPr>
        <w:t xml:space="preserve">, i quajtur edhe grumbullimi buzë bordurave, nënkupton caktimin e kontejnerëve (ose qeseve) individuale familjeve për ndarjen në burim të fraksioneve specifike të mbeturinave. Materialet e riciklueshme zakonisht mblidhen në shporta me rrota ose qese plastike, të përcaktuara posaçërisht për përmbajtjen, bazuar në frekuencën e caktuar të grumbullimit. Vëllimet e zakonshme të shportave që përdoren për grumbullim të </w:t>
      </w:r>
      <w:r>
        <w:rPr>
          <w:rFonts w:ascii="Arial Narrow" w:eastAsia="Calibri" w:hAnsi="Arial Narrow" w:cs="Calibri"/>
          <w:sz w:val="22"/>
          <w:szCs w:val="22"/>
          <w:lang w:val="sq-AL"/>
        </w:rPr>
        <w:t>ndaras</w:t>
      </w:r>
      <w:r w:rsidRPr="00BE2534">
        <w:rPr>
          <w:rFonts w:ascii="Arial Narrow" w:eastAsia="Calibri" w:hAnsi="Arial Narrow" w:cs="Calibri"/>
          <w:sz w:val="22"/>
          <w:szCs w:val="22"/>
          <w:lang w:val="sq-AL"/>
        </w:rPr>
        <w:t xml:space="preserve"> janë 120, 240 dhe 360 litra, të cilat do të kenë një ndikim të drejtpërdrejtë në frekuencën e grumbullimit. Mbledhja skaj rrugës është veçanërisht e përshtatshme për familjet që jetojnë në shtëpi individuale</w:t>
      </w:r>
      <w:r>
        <w:rPr>
          <w:rFonts w:ascii="Arial Narrow" w:eastAsia="Calibri" w:hAnsi="Arial Narrow" w:cs="Calibri"/>
          <w:sz w:val="22"/>
          <w:szCs w:val="22"/>
          <w:lang w:val="sq-AL"/>
        </w:rPr>
        <w:t>.</w:t>
      </w:r>
    </w:p>
    <w:p w14:paraId="6156511C" w14:textId="2B1EE5AA" w:rsidR="00430A79" w:rsidRPr="009F5CA1" w:rsidRDefault="00B23BCB" w:rsidP="00430A79">
      <w:pPr>
        <w:jc w:val="both"/>
        <w:rPr>
          <w:rFonts w:ascii="Arial Narrow" w:eastAsia="Calibri" w:hAnsi="Arial Narrow" w:cs="Calibri"/>
          <w:sz w:val="22"/>
          <w:szCs w:val="22"/>
          <w:lang w:val="sq-AL"/>
        </w:rPr>
      </w:pPr>
      <w:r w:rsidRPr="00430A79">
        <w:rPr>
          <w:rFonts w:ascii="Arial Narrow" w:eastAsia="Calibri" w:hAnsi="Arial Narrow"/>
          <w:noProof/>
          <w:kern w:val="2"/>
          <w:sz w:val="22"/>
          <w:szCs w:val="22"/>
          <w:lang w:val="en-GB"/>
          <w14:ligatures w14:val="standardContextual"/>
        </w:rPr>
        <mc:AlternateContent>
          <mc:Choice Requires="wps">
            <w:drawing>
              <wp:anchor distT="45720" distB="45720" distL="114300" distR="114300" simplePos="0" relativeHeight="251674624" behindDoc="0" locked="0" layoutInCell="1" allowOverlap="1" wp14:anchorId="060BE382" wp14:editId="1F7D85B7">
                <wp:simplePos x="0" y="0"/>
                <wp:positionH relativeFrom="column">
                  <wp:posOffset>4669138</wp:posOffset>
                </wp:positionH>
                <wp:positionV relativeFrom="paragraph">
                  <wp:posOffset>2018631</wp:posOffset>
                </wp:positionV>
                <wp:extent cx="1504950" cy="361950"/>
                <wp:effectExtent l="0" t="0" r="0" b="0"/>
                <wp:wrapSquare wrapText="bothSides"/>
                <wp:docPr id="793035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61950"/>
                        </a:xfrm>
                        <a:prstGeom prst="rect">
                          <a:avLst/>
                        </a:prstGeom>
                        <a:solidFill>
                          <a:srgbClr val="FFFFFF"/>
                        </a:solidFill>
                        <a:ln w="9525">
                          <a:noFill/>
                          <a:miter lim="800000"/>
                          <a:headEnd/>
                          <a:tailEnd/>
                        </a:ln>
                      </wps:spPr>
                      <wps:txbx>
                        <w:txbxContent>
                          <w:p w14:paraId="37759467" w14:textId="77777777" w:rsidR="003C672E" w:rsidRPr="000E6748" w:rsidRDefault="003C672E" w:rsidP="003C672E">
                            <w:pPr>
                              <w:rPr>
                                <w:rFonts w:ascii="Arial Narrow" w:hAnsi="Arial Narrow"/>
                                <w:sz w:val="18"/>
                                <w:szCs w:val="18"/>
                              </w:rPr>
                            </w:pPr>
                            <w:r>
                              <w:rPr>
                                <w:rFonts w:ascii="Arial Narrow" w:hAnsi="Arial Narrow"/>
                                <w:sz w:val="18"/>
                                <w:szCs w:val="18"/>
                              </w:rPr>
                              <w:t>Kamionët e s</w:t>
                            </w:r>
                            <w:r w:rsidRPr="000E6748">
                              <w:rPr>
                                <w:rFonts w:ascii="Arial Narrow" w:hAnsi="Arial Narrow"/>
                                <w:sz w:val="18"/>
                                <w:szCs w:val="18"/>
                              </w:rPr>
                              <w:t>peciali</w:t>
                            </w:r>
                            <w:r>
                              <w:rPr>
                                <w:rFonts w:ascii="Arial Narrow" w:hAnsi="Arial Narrow"/>
                                <w:sz w:val="18"/>
                                <w:szCs w:val="18"/>
                              </w:rPr>
                              <w:t>zuar për kontejnerët e llojit Igloo</w:t>
                            </w:r>
                          </w:p>
                          <w:p w14:paraId="13F444DC" w14:textId="07FE0795" w:rsidR="00430A79" w:rsidRPr="000E6748" w:rsidRDefault="00430A79" w:rsidP="00430A79">
                            <w:pPr>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BE382" id="_x0000_s1027" type="#_x0000_t202" style="position:absolute;left:0;text-align:left;margin-left:367.65pt;margin-top:158.95pt;width:118.5pt;height:28.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" stroked="f">
                <v:textbox>
                  <w:txbxContent>
                    <w:p w14:paraId="37759467" w14:textId="77777777" w:rsidR="003C672E" w:rsidRPr="000E6748" w:rsidRDefault="003C672E" w:rsidP="003C672E">
                      <w:pPr>
                        <w:rPr>
                          <w:rFonts w:ascii="Arial Narrow" w:hAnsi="Arial Narrow"/>
                          <w:sz w:val="18"/>
                          <w:szCs w:val="18"/>
                        </w:rPr>
                      </w:pPr>
                      <w:r>
                        <w:rPr>
                          <w:rFonts w:ascii="Arial Narrow" w:hAnsi="Arial Narrow"/>
                          <w:sz w:val="18"/>
                          <w:szCs w:val="18"/>
                        </w:rPr>
                        <w:t>Kamionët e s</w:t>
                      </w:r>
                      <w:r w:rsidRPr="000E6748">
                        <w:rPr>
                          <w:rFonts w:ascii="Arial Narrow" w:hAnsi="Arial Narrow"/>
                          <w:sz w:val="18"/>
                          <w:szCs w:val="18"/>
                        </w:rPr>
                        <w:t>peciali</w:t>
                      </w:r>
                      <w:r>
                        <w:rPr>
                          <w:rFonts w:ascii="Arial Narrow" w:hAnsi="Arial Narrow"/>
                          <w:sz w:val="18"/>
                          <w:szCs w:val="18"/>
                        </w:rPr>
                        <w:t>zuar për kontejnerët e llojit Igloo</w:t>
                      </w:r>
                    </w:p>
                    <w:p w14:paraId="13F444DC" w14:textId="07FE0795" w:rsidR="00430A79" w:rsidRPr="000E6748" w:rsidRDefault="00430A79" w:rsidP="00430A79">
                      <w:pPr>
                        <w:rPr>
                          <w:rFonts w:ascii="Arial Narrow" w:hAnsi="Arial Narrow"/>
                          <w:sz w:val="18"/>
                          <w:szCs w:val="18"/>
                        </w:rPr>
                      </w:pPr>
                    </w:p>
                  </w:txbxContent>
                </v:textbox>
                <w10:wrap type="square"/>
              </v:shape>
            </w:pict>
          </mc:Fallback>
        </mc:AlternateContent>
      </w:r>
      <w:r w:rsidRPr="00430A79">
        <w:rPr>
          <w:rFonts w:ascii="Arial Narrow" w:eastAsia="Calibri" w:hAnsi="Arial Narrow"/>
          <w:noProof/>
          <w:kern w:val="2"/>
          <w:sz w:val="22"/>
          <w:szCs w:val="22"/>
          <w:lang w:val="en-GB"/>
          <w14:ligatures w14:val="standardContextual"/>
        </w:rPr>
        <mc:AlternateContent>
          <mc:Choice Requires="wps">
            <w:drawing>
              <wp:anchor distT="45720" distB="45720" distL="114300" distR="114300" simplePos="0" relativeHeight="251673600" behindDoc="0" locked="0" layoutInCell="1" allowOverlap="1" wp14:anchorId="21256A38" wp14:editId="3CC695EE">
                <wp:simplePos x="0" y="0"/>
                <wp:positionH relativeFrom="column">
                  <wp:posOffset>3113405</wp:posOffset>
                </wp:positionH>
                <wp:positionV relativeFrom="paragraph">
                  <wp:posOffset>2013705</wp:posOffset>
                </wp:positionV>
                <wp:extent cx="1504950" cy="370205"/>
                <wp:effectExtent l="0" t="0" r="0" b="0"/>
                <wp:wrapSquare wrapText="bothSides"/>
                <wp:docPr id="1540696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70205"/>
                        </a:xfrm>
                        <a:prstGeom prst="rect">
                          <a:avLst/>
                        </a:prstGeom>
                        <a:solidFill>
                          <a:srgbClr val="FFFFFF"/>
                        </a:solidFill>
                        <a:ln w="9525">
                          <a:noFill/>
                          <a:miter lim="800000"/>
                          <a:headEnd/>
                          <a:tailEnd/>
                        </a:ln>
                      </wps:spPr>
                      <wps:txbx>
                        <w:txbxContent>
                          <w:p w14:paraId="7C409802" w14:textId="629CD8C0" w:rsidR="003C672E" w:rsidRPr="000E6748" w:rsidRDefault="003C672E" w:rsidP="003C672E">
                            <w:pPr>
                              <w:rPr>
                                <w:rFonts w:ascii="Arial Narrow" w:hAnsi="Arial Narrow"/>
                                <w:sz w:val="18"/>
                                <w:szCs w:val="18"/>
                              </w:rPr>
                            </w:pPr>
                            <w:r>
                              <w:rPr>
                                <w:rFonts w:ascii="Arial Narrow" w:hAnsi="Arial Narrow"/>
                                <w:sz w:val="18"/>
                                <w:szCs w:val="18"/>
                              </w:rPr>
                              <w:t>Lloji Igloo i kontejnerëve të stacionuar</w:t>
                            </w:r>
                          </w:p>
                          <w:p w14:paraId="01A2003F" w14:textId="637E383E" w:rsidR="00430A79" w:rsidRPr="000E6748" w:rsidRDefault="00430A79" w:rsidP="00430A79">
                            <w:pPr>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56A38" id="_x0000_s1028" type="#_x0000_t202" style="position:absolute;left:0;text-align:left;margin-left:245.15pt;margin-top:158.55pt;width:118.5pt;height:29.1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" stroked="f">
                <v:textbox>
                  <w:txbxContent>
                    <w:p w14:paraId="7C409802" w14:textId="629CD8C0" w:rsidR="003C672E" w:rsidRPr="000E6748" w:rsidRDefault="003C672E" w:rsidP="003C672E">
                      <w:pPr>
                        <w:rPr>
                          <w:rFonts w:ascii="Arial Narrow" w:hAnsi="Arial Narrow"/>
                          <w:sz w:val="18"/>
                          <w:szCs w:val="18"/>
                        </w:rPr>
                      </w:pPr>
                      <w:r>
                        <w:rPr>
                          <w:rFonts w:ascii="Arial Narrow" w:hAnsi="Arial Narrow"/>
                          <w:sz w:val="18"/>
                          <w:szCs w:val="18"/>
                        </w:rPr>
                        <w:t>Lloji Igloo i kontejnerëve të stacionuar</w:t>
                      </w:r>
                    </w:p>
                    <w:p w14:paraId="01A2003F" w14:textId="637E383E" w:rsidR="00430A79" w:rsidRPr="000E6748" w:rsidRDefault="00430A79" w:rsidP="00430A79">
                      <w:pPr>
                        <w:rPr>
                          <w:rFonts w:ascii="Arial Narrow" w:hAnsi="Arial Narrow"/>
                          <w:sz w:val="18"/>
                          <w:szCs w:val="18"/>
                        </w:rPr>
                      </w:pPr>
                    </w:p>
                  </w:txbxContent>
                </v:textbox>
                <w10:wrap type="square"/>
              </v:shape>
            </w:pict>
          </mc:Fallback>
        </mc:AlternateContent>
      </w:r>
      <w:r w:rsidR="003C672E" w:rsidRPr="00430A79">
        <w:rPr>
          <w:rFonts w:ascii="Arial Narrow" w:eastAsia="Calibri" w:hAnsi="Arial Narrow"/>
          <w:noProof/>
          <w:kern w:val="2"/>
          <w:sz w:val="22"/>
          <w:szCs w:val="22"/>
          <w:lang w:val="en-GB"/>
          <w14:ligatures w14:val="standardContextual"/>
        </w:rPr>
        <mc:AlternateContent>
          <mc:Choice Requires="wps">
            <w:drawing>
              <wp:anchor distT="45720" distB="45720" distL="114300" distR="114300" simplePos="0" relativeHeight="251672576" behindDoc="0" locked="0" layoutInCell="1" allowOverlap="1" wp14:anchorId="12EBB8F7" wp14:editId="4942D80B">
                <wp:simplePos x="0" y="0"/>
                <wp:positionH relativeFrom="column">
                  <wp:posOffset>1539875</wp:posOffset>
                </wp:positionH>
                <wp:positionV relativeFrom="paragraph">
                  <wp:posOffset>1997075</wp:posOffset>
                </wp:positionV>
                <wp:extent cx="1504950" cy="444500"/>
                <wp:effectExtent l="0" t="0" r="0" b="0"/>
                <wp:wrapSquare wrapText="bothSides"/>
                <wp:docPr id="8305018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444500"/>
                        </a:xfrm>
                        <a:prstGeom prst="rect">
                          <a:avLst/>
                        </a:prstGeom>
                        <a:solidFill>
                          <a:srgbClr val="FFFFFF"/>
                        </a:solidFill>
                        <a:ln w="9525">
                          <a:noFill/>
                          <a:miter lim="800000"/>
                          <a:headEnd/>
                          <a:tailEnd/>
                        </a:ln>
                      </wps:spPr>
                      <wps:txbx>
                        <w:txbxContent>
                          <w:p w14:paraId="39080CD9" w14:textId="77777777" w:rsidR="003C672E" w:rsidRPr="000E6748" w:rsidRDefault="003C672E" w:rsidP="003C672E">
                            <w:pPr>
                              <w:rPr>
                                <w:rFonts w:ascii="Arial Narrow" w:hAnsi="Arial Narrow"/>
                                <w:sz w:val="18"/>
                                <w:szCs w:val="18"/>
                              </w:rPr>
                            </w:pPr>
                            <w:r>
                              <w:rPr>
                                <w:rFonts w:ascii="Arial Narrow" w:hAnsi="Arial Narrow"/>
                                <w:sz w:val="18"/>
                                <w:szCs w:val="18"/>
                              </w:rPr>
                              <w:t>Kamionët s</w:t>
                            </w:r>
                            <w:r w:rsidRPr="000E6748">
                              <w:rPr>
                                <w:rFonts w:ascii="Arial Narrow" w:hAnsi="Arial Narrow"/>
                                <w:sz w:val="18"/>
                                <w:szCs w:val="18"/>
                              </w:rPr>
                              <w:t xml:space="preserve">tandard </w:t>
                            </w:r>
                            <w:r>
                              <w:rPr>
                                <w:rFonts w:ascii="Arial Narrow" w:hAnsi="Arial Narrow"/>
                                <w:sz w:val="18"/>
                                <w:szCs w:val="18"/>
                              </w:rPr>
                              <w:t>për kontejnerët me rrota</w:t>
                            </w:r>
                          </w:p>
                          <w:p w14:paraId="6407FD87" w14:textId="3DF9F3BA" w:rsidR="00430A79" w:rsidRPr="000E6748" w:rsidRDefault="00430A79" w:rsidP="00430A79">
                            <w:pPr>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BB8F7" id="_x0000_s1029" type="#_x0000_t202" style="position:absolute;left:0;text-align:left;margin-left:121.25pt;margin-top:157.25pt;width:118.5pt;height: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" stroked="f">
                <v:textbox>
                  <w:txbxContent>
                    <w:p w14:paraId="39080CD9" w14:textId="77777777" w:rsidR="003C672E" w:rsidRPr="000E6748" w:rsidRDefault="003C672E" w:rsidP="003C672E">
                      <w:pPr>
                        <w:rPr>
                          <w:rFonts w:ascii="Arial Narrow" w:hAnsi="Arial Narrow"/>
                          <w:sz w:val="18"/>
                          <w:szCs w:val="18"/>
                        </w:rPr>
                      </w:pPr>
                      <w:r>
                        <w:rPr>
                          <w:rFonts w:ascii="Arial Narrow" w:hAnsi="Arial Narrow"/>
                          <w:sz w:val="18"/>
                          <w:szCs w:val="18"/>
                        </w:rPr>
                        <w:t>Kamionët s</w:t>
                      </w:r>
                      <w:r w:rsidRPr="000E6748">
                        <w:rPr>
                          <w:rFonts w:ascii="Arial Narrow" w:hAnsi="Arial Narrow"/>
                          <w:sz w:val="18"/>
                          <w:szCs w:val="18"/>
                        </w:rPr>
                        <w:t xml:space="preserve">tandard </w:t>
                      </w:r>
                      <w:r>
                        <w:rPr>
                          <w:rFonts w:ascii="Arial Narrow" w:hAnsi="Arial Narrow"/>
                          <w:sz w:val="18"/>
                          <w:szCs w:val="18"/>
                        </w:rPr>
                        <w:t>për kontejnerët me rrota</w:t>
                      </w:r>
                    </w:p>
                    <w:p w14:paraId="6407FD87" w14:textId="3DF9F3BA" w:rsidR="00430A79" w:rsidRPr="000E6748" w:rsidRDefault="00430A79" w:rsidP="00430A79">
                      <w:pPr>
                        <w:rPr>
                          <w:rFonts w:ascii="Arial Narrow" w:hAnsi="Arial Narrow"/>
                          <w:sz w:val="18"/>
                          <w:szCs w:val="18"/>
                        </w:rPr>
                      </w:pPr>
                    </w:p>
                  </w:txbxContent>
                </v:textbox>
                <w10:wrap type="square"/>
              </v:shape>
            </w:pict>
          </mc:Fallback>
        </mc:AlternateContent>
      </w:r>
      <w:r w:rsidR="003C672E" w:rsidRPr="00430A79">
        <w:rPr>
          <w:noProof/>
        </w:rPr>
        <mc:AlternateContent>
          <mc:Choice Requires="wps">
            <w:drawing>
              <wp:anchor distT="0" distB="0" distL="114300" distR="114300" simplePos="0" relativeHeight="251675648" behindDoc="0" locked="0" layoutInCell="1" allowOverlap="1" wp14:anchorId="418C0E83" wp14:editId="03644BA6">
                <wp:simplePos x="0" y="0"/>
                <wp:positionH relativeFrom="column">
                  <wp:posOffset>159951</wp:posOffset>
                </wp:positionH>
                <wp:positionV relativeFrom="paragraph">
                  <wp:posOffset>2429476</wp:posOffset>
                </wp:positionV>
                <wp:extent cx="5924550" cy="635"/>
                <wp:effectExtent l="0" t="0" r="0" b="8255"/>
                <wp:wrapNone/>
                <wp:docPr id="780119119" name="Text Box 1"/>
                <wp:cNvGraphicFramePr/>
                <a:graphic xmlns:a="http://schemas.openxmlformats.org/drawingml/2006/main">
                  <a:graphicData uri="http://schemas.microsoft.com/office/word/2010/wordprocessingShape">
                    <wps:wsp>
                      <wps:cNvSpPr txBox="1"/>
                      <wps:spPr>
                        <a:xfrm>
                          <a:off x="0" y="0"/>
                          <a:ext cx="5924550" cy="635"/>
                        </a:xfrm>
                        <a:prstGeom prst="rect">
                          <a:avLst/>
                        </a:prstGeom>
                        <a:solidFill>
                          <a:prstClr val="white"/>
                        </a:solidFill>
                        <a:ln>
                          <a:noFill/>
                        </a:ln>
                      </wps:spPr>
                      <wps:txbx>
                        <w:txbxContent>
                          <w:p w14:paraId="704417A2" w14:textId="22FB6B09" w:rsidR="00430A79" w:rsidRPr="006347D6" w:rsidRDefault="00430A79" w:rsidP="006347D6">
                            <w:pPr>
                              <w:pStyle w:val="Figure"/>
                              <w:rPr>
                                <w:rFonts w:eastAsia="Calibri" w:cs="Calibri"/>
                                <w:sz w:val="20"/>
                                <w:szCs w:val="20"/>
                              </w:rPr>
                            </w:pPr>
                            <w:bookmarkStart w:id="344" w:name="_Toc185866246"/>
                            <w:bookmarkStart w:id="345" w:name="_Toc197472324"/>
                            <w:r w:rsidRPr="006347D6">
                              <w:rPr>
                                <w:rFonts w:eastAsia="Calibri" w:cs="Calibri"/>
                                <w:sz w:val="20"/>
                                <w:szCs w:val="20"/>
                              </w:rPr>
                              <w:t xml:space="preserve">Figure </w:t>
                            </w:r>
                            <w:r w:rsidRPr="006347D6">
                              <w:rPr>
                                <w:rFonts w:eastAsia="Calibri" w:cs="Calibri"/>
                                <w:sz w:val="20"/>
                                <w:szCs w:val="20"/>
                              </w:rPr>
                              <w:fldChar w:fldCharType="begin"/>
                            </w:r>
                            <w:r w:rsidRPr="006347D6">
                              <w:rPr>
                                <w:rFonts w:eastAsia="Calibri" w:cs="Calibri"/>
                                <w:sz w:val="20"/>
                                <w:szCs w:val="20"/>
                              </w:rPr>
                              <w:instrText xml:space="preserve"> SEQ Figure \* ARABIC </w:instrText>
                            </w:r>
                            <w:r w:rsidRPr="006347D6">
                              <w:rPr>
                                <w:rFonts w:eastAsia="Calibri" w:cs="Calibri"/>
                                <w:sz w:val="20"/>
                                <w:szCs w:val="20"/>
                              </w:rPr>
                              <w:fldChar w:fldCharType="separate"/>
                            </w:r>
                            <w:r w:rsidR="00C97DF3">
                              <w:rPr>
                                <w:rFonts w:eastAsia="Calibri" w:cs="Calibri"/>
                                <w:noProof/>
                                <w:sz w:val="20"/>
                                <w:szCs w:val="20"/>
                              </w:rPr>
                              <w:t>23</w:t>
                            </w:r>
                            <w:r w:rsidRPr="006347D6">
                              <w:rPr>
                                <w:rFonts w:eastAsia="Calibri" w:cs="Calibri"/>
                                <w:sz w:val="20"/>
                                <w:szCs w:val="20"/>
                              </w:rPr>
                              <w:fldChar w:fldCharType="end"/>
                            </w:r>
                            <w:r w:rsidRPr="006347D6">
                              <w:rPr>
                                <w:rFonts w:eastAsia="Calibri" w:cs="Calibri"/>
                                <w:sz w:val="20"/>
                                <w:szCs w:val="20"/>
                              </w:rPr>
                              <w:t xml:space="preserve">. </w:t>
                            </w:r>
                            <w:r w:rsidR="00B23BCB">
                              <w:rPr>
                                <w:rFonts w:eastAsia="Calibri" w:cs="Calibri"/>
                                <w:sz w:val="20"/>
                                <w:szCs w:val="20"/>
                              </w:rPr>
                              <w:t>Lloje të ndryshme të sistemeve për sjelljen e mbeturinave</w:t>
                            </w:r>
                            <w:bookmarkEnd w:id="344"/>
                            <w:bookmarkEnd w:id="3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8C0E83" id="Text Box 1" o:spid="_x0000_s1030" type="#_x0000_t202" style="position:absolute;left:0;text-align:left;margin-left:12.6pt;margin-top:191.3pt;width:466.5pt;height:.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" stroked="f">
                <v:textbox style="mso-fit-shape-to-text:t" inset="0,0,0,0">
                  <w:txbxContent>
                    <w:p w14:paraId="704417A2" w14:textId="22FB6B09" w:rsidR="00430A79" w:rsidRPr="006347D6" w:rsidRDefault="00430A79" w:rsidP="006347D6">
                      <w:pPr>
                        <w:pStyle w:val="Figure"/>
                        <w:rPr>
                          <w:rFonts w:eastAsia="Calibri" w:cs="Calibri"/>
                          <w:sz w:val="20"/>
                          <w:szCs w:val="20"/>
                        </w:rPr>
                      </w:pPr>
                      <w:bookmarkStart w:id="346" w:name="_Toc185866246"/>
                      <w:bookmarkStart w:id="347" w:name="_Toc197472324"/>
                      <w:r w:rsidRPr="006347D6">
                        <w:rPr>
                          <w:rFonts w:eastAsia="Calibri" w:cs="Calibri"/>
                          <w:sz w:val="20"/>
                          <w:szCs w:val="20"/>
                        </w:rPr>
                        <w:t xml:space="preserve">Figure </w:t>
                      </w:r>
                      <w:r w:rsidRPr="006347D6">
                        <w:rPr>
                          <w:rFonts w:eastAsia="Calibri" w:cs="Calibri"/>
                          <w:sz w:val="20"/>
                          <w:szCs w:val="20"/>
                        </w:rPr>
                        <w:fldChar w:fldCharType="begin"/>
                      </w:r>
                      <w:r w:rsidRPr="006347D6">
                        <w:rPr>
                          <w:rFonts w:eastAsia="Calibri" w:cs="Calibri"/>
                          <w:sz w:val="20"/>
                          <w:szCs w:val="20"/>
                        </w:rPr>
                        <w:instrText xml:space="preserve"> SEQ Figure \* ARABIC </w:instrText>
                      </w:r>
                      <w:r w:rsidRPr="006347D6">
                        <w:rPr>
                          <w:rFonts w:eastAsia="Calibri" w:cs="Calibri"/>
                          <w:sz w:val="20"/>
                          <w:szCs w:val="20"/>
                        </w:rPr>
                        <w:fldChar w:fldCharType="separate"/>
                      </w:r>
                      <w:r w:rsidR="00C97DF3">
                        <w:rPr>
                          <w:rFonts w:eastAsia="Calibri" w:cs="Calibri"/>
                          <w:noProof/>
                          <w:sz w:val="20"/>
                          <w:szCs w:val="20"/>
                        </w:rPr>
                        <w:t>23</w:t>
                      </w:r>
                      <w:r w:rsidRPr="006347D6">
                        <w:rPr>
                          <w:rFonts w:eastAsia="Calibri" w:cs="Calibri"/>
                          <w:sz w:val="20"/>
                          <w:szCs w:val="20"/>
                        </w:rPr>
                        <w:fldChar w:fldCharType="end"/>
                      </w:r>
                      <w:r w:rsidRPr="006347D6">
                        <w:rPr>
                          <w:rFonts w:eastAsia="Calibri" w:cs="Calibri"/>
                          <w:sz w:val="20"/>
                          <w:szCs w:val="20"/>
                        </w:rPr>
                        <w:t xml:space="preserve">. </w:t>
                      </w:r>
                      <w:r w:rsidR="00B23BCB">
                        <w:rPr>
                          <w:rFonts w:eastAsia="Calibri" w:cs="Calibri"/>
                          <w:sz w:val="20"/>
                          <w:szCs w:val="20"/>
                        </w:rPr>
                        <w:t>Lloje të ndryshme të sistemeve për sjelljen e mbeturinave</w:t>
                      </w:r>
                      <w:bookmarkEnd w:id="346"/>
                      <w:bookmarkEnd w:id="347"/>
                    </w:p>
                  </w:txbxContent>
                </v:textbox>
              </v:shape>
            </w:pict>
          </mc:Fallback>
        </mc:AlternateContent>
      </w:r>
      <w:r w:rsidR="003C672E" w:rsidRPr="00430A79">
        <w:rPr>
          <w:rFonts w:ascii="Arial Narrow" w:eastAsia="Calibri" w:hAnsi="Arial Narrow"/>
          <w:b/>
          <w:bCs/>
          <w:noProof/>
          <w:sz w:val="22"/>
          <w:szCs w:val="22"/>
          <w:lang w:val="en-GB"/>
        </w:rPr>
        <mc:AlternateContent>
          <mc:Choice Requires="wps">
            <w:drawing>
              <wp:anchor distT="0" distB="0" distL="114300" distR="114300" simplePos="0" relativeHeight="251670528" behindDoc="1" locked="0" layoutInCell="1" allowOverlap="1" wp14:anchorId="1445BF7E" wp14:editId="7B7041BE">
                <wp:simplePos x="0" y="0"/>
                <wp:positionH relativeFrom="margin">
                  <wp:posOffset>-99060</wp:posOffset>
                </wp:positionH>
                <wp:positionV relativeFrom="paragraph">
                  <wp:posOffset>753110</wp:posOffset>
                </wp:positionV>
                <wp:extent cx="6430010" cy="1960245"/>
                <wp:effectExtent l="0" t="0" r="8890" b="1905"/>
                <wp:wrapTight wrapText="bothSides">
                  <wp:wrapPolygon edited="0">
                    <wp:start x="0" y="0"/>
                    <wp:lineTo x="0" y="21411"/>
                    <wp:lineTo x="21566" y="21411"/>
                    <wp:lineTo x="21566" y="0"/>
                    <wp:lineTo x="0" y="0"/>
                  </wp:wrapPolygon>
                </wp:wrapTight>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010" cy="1960245"/>
                        </a:xfrm>
                        <a:prstGeom prst="rect">
                          <a:avLst/>
                        </a:prstGeom>
                        <a:solidFill>
                          <a:srgbClr val="FFFFFF"/>
                        </a:solidFill>
                        <a:ln w="9525">
                          <a:noFill/>
                          <a:miter lim="800000"/>
                          <a:headEnd/>
                          <a:tailEnd/>
                        </a:ln>
                      </wps:spPr>
                      <wps:txbx>
                        <w:txbxContent>
                          <w:p w14:paraId="0F2557D8" w14:textId="77777777" w:rsidR="00430A79" w:rsidRPr="00B5336A" w:rsidRDefault="00430A79" w:rsidP="00430A79">
                            <w:pPr>
                              <w:rPr>
                                <w:sz w:val="20"/>
                                <w:szCs w:val="20"/>
                              </w:rPr>
                            </w:pPr>
                            <w:r w:rsidRPr="00B5336A">
                              <w:rPr>
                                <w:sz w:val="20"/>
                                <w:szCs w:val="20"/>
                              </w:rPr>
                              <w:t xml:space="preserve">  </w:t>
                            </w:r>
                            <w:r w:rsidRPr="00B5336A">
                              <w:rPr>
                                <w:noProof/>
                                <w:sz w:val="20"/>
                                <w:szCs w:val="20"/>
                              </w:rPr>
                              <w:drawing>
                                <wp:inline distT="0" distB="0" distL="0" distR="0" wp14:anchorId="0C0F75A8" wp14:editId="48215944">
                                  <wp:extent cx="1443351" cy="1097280"/>
                                  <wp:effectExtent l="0" t="0" r="5080" b="7620"/>
                                  <wp:docPr id="1874644013" name="Picture 1874644013" descr="IMG_2169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3" descr="IMG_2169i"/>
                                          <pic:cNvPicPr>
                                            <a:picLocks noChangeAspect="1"/>
                                          </pic:cNvPicPr>
                                        </pic:nvPicPr>
                                        <pic:blipFill>
                                          <a:blip r:embed="rId69" cstate="print"/>
                                          <a:srcRect/>
                                          <a:stretch>
                                            <a:fillRect/>
                                          </a:stretch>
                                        </pic:blipFill>
                                        <pic:spPr bwMode="auto">
                                          <a:xfrm>
                                            <a:off x="0" y="0"/>
                                            <a:ext cx="1455849" cy="1106782"/>
                                          </a:xfrm>
                                          <a:prstGeom prst="rect">
                                            <a:avLst/>
                                          </a:prstGeom>
                                          <a:noFill/>
                                          <a:ln w="9525">
                                            <a:noFill/>
                                            <a:miter lim="800000"/>
                                            <a:headEnd/>
                                            <a:tailEnd/>
                                          </a:ln>
                                        </pic:spPr>
                                      </pic:pic>
                                    </a:graphicData>
                                  </a:graphic>
                                </wp:inline>
                              </w:drawing>
                            </w:r>
                            <w:r w:rsidRPr="00B5336A">
                              <w:rPr>
                                <w:noProof/>
                                <w:sz w:val="20"/>
                                <w:szCs w:val="20"/>
                              </w:rPr>
                              <w:t xml:space="preserve">  </w:t>
                            </w:r>
                            <w:r w:rsidRPr="00B5336A">
                              <w:rPr>
                                <w:noProof/>
                                <w:sz w:val="20"/>
                                <w:szCs w:val="20"/>
                              </w:rPr>
                              <w:drawing>
                                <wp:inline distT="0" distB="0" distL="0" distR="0" wp14:anchorId="426A5820" wp14:editId="04C395FA">
                                  <wp:extent cx="1468966" cy="1101498"/>
                                  <wp:effectExtent l="0" t="0" r="0" b="3810"/>
                                  <wp:docPr id="1624791782" name="Picture 1624791782" descr="untitle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12" descr="untitled8.png"/>
                                          <pic:cNvPicPr>
                                            <a:picLocks noChangeAspect="1"/>
                                          </pic:cNvPicPr>
                                        </pic:nvPicPr>
                                        <pic:blipFill>
                                          <a:blip r:embed="rId70" cstate="print"/>
                                          <a:srcRect/>
                                          <a:stretch>
                                            <a:fillRect/>
                                          </a:stretch>
                                        </pic:blipFill>
                                        <pic:spPr bwMode="auto">
                                          <a:xfrm>
                                            <a:off x="0" y="0"/>
                                            <a:ext cx="1485174" cy="1113652"/>
                                          </a:xfrm>
                                          <a:prstGeom prst="rect">
                                            <a:avLst/>
                                          </a:prstGeom>
                                          <a:noFill/>
                                          <a:ln w="9525">
                                            <a:noFill/>
                                            <a:miter lim="800000"/>
                                            <a:headEnd/>
                                            <a:tailEnd/>
                                          </a:ln>
                                        </pic:spPr>
                                      </pic:pic>
                                    </a:graphicData>
                                  </a:graphic>
                                </wp:inline>
                              </w:drawing>
                            </w:r>
                            <w:r w:rsidRPr="00B5336A">
                              <w:rPr>
                                <w:noProof/>
                                <w:sz w:val="20"/>
                                <w:szCs w:val="20"/>
                              </w:rPr>
                              <w:t xml:space="preserve">  </w:t>
                            </w:r>
                            <w:r w:rsidRPr="00B5336A">
                              <w:rPr>
                                <w:noProof/>
                                <w:sz w:val="20"/>
                                <w:szCs w:val="20"/>
                              </w:rPr>
                              <w:drawing>
                                <wp:inline distT="0" distB="0" distL="0" distR="0" wp14:anchorId="5E5D3CD5" wp14:editId="39F3AD3E">
                                  <wp:extent cx="1511300" cy="1088868"/>
                                  <wp:effectExtent l="0" t="0" r="0" b="0"/>
                                  <wp:docPr id="1945233001" name="Picture 1945233001" descr="A picture containing text, outdoor, tre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4" descr="A picture containing text, outdoor, tree, ground&#10;&#10;Description automatically generated"/>
                                          <pic:cNvPicPr>
                                            <a:picLocks noChangeAspect="1"/>
                                          </pic:cNvPicPr>
                                        </pic:nvPicPr>
                                        <pic:blipFill>
                                          <a:blip r:embed="rId71" cstate="print"/>
                                          <a:srcRect/>
                                          <a:stretch>
                                            <a:fillRect/>
                                          </a:stretch>
                                        </pic:blipFill>
                                        <pic:spPr bwMode="auto">
                                          <a:xfrm>
                                            <a:off x="0" y="0"/>
                                            <a:ext cx="1522715" cy="1097093"/>
                                          </a:xfrm>
                                          <a:prstGeom prst="rect">
                                            <a:avLst/>
                                          </a:prstGeom>
                                          <a:noFill/>
                                          <a:ln w="9525">
                                            <a:noFill/>
                                            <a:miter lim="800000"/>
                                            <a:headEnd/>
                                            <a:tailEnd/>
                                          </a:ln>
                                        </pic:spPr>
                                      </pic:pic>
                                    </a:graphicData>
                                  </a:graphic>
                                </wp:inline>
                              </w:drawing>
                            </w:r>
                            <w:r w:rsidRPr="00B5336A">
                              <w:rPr>
                                <w:noProof/>
                                <w:sz w:val="20"/>
                                <w:szCs w:val="20"/>
                              </w:rPr>
                              <w:t xml:space="preserve">  </w:t>
                            </w:r>
                            <w:r w:rsidRPr="00B5336A">
                              <w:rPr>
                                <w:noProof/>
                                <w:sz w:val="20"/>
                                <w:szCs w:val="20"/>
                              </w:rPr>
                              <w:drawing>
                                <wp:inline distT="0" distB="0" distL="0" distR="0" wp14:anchorId="5449F2A6" wp14:editId="33EE9CF4">
                                  <wp:extent cx="1449159" cy="1086647"/>
                                  <wp:effectExtent l="0" t="0" r="0" b="0"/>
                                  <wp:docPr id="741668713" name="Picture 741668713"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Picture 9" descr="11.jpg"/>
                                          <pic:cNvPicPr>
                                            <a:picLocks noChangeAspect="1"/>
                                          </pic:cNvPicPr>
                                        </pic:nvPicPr>
                                        <pic:blipFill>
                                          <a:blip r:embed="rId72" cstate="print"/>
                                          <a:srcRect/>
                                          <a:stretch>
                                            <a:fillRect/>
                                          </a:stretch>
                                        </pic:blipFill>
                                        <pic:spPr bwMode="auto">
                                          <a:xfrm>
                                            <a:off x="0" y="0"/>
                                            <a:ext cx="1502474" cy="1126625"/>
                                          </a:xfrm>
                                          <a:prstGeom prst="rect">
                                            <a:avLst/>
                                          </a:prstGeom>
                                          <a:noFill/>
                                          <a:ln w="9525">
                                            <a:noFill/>
                                            <a:miter lim="800000"/>
                                            <a:headEnd/>
                                            <a:tailEnd/>
                                          </a:ln>
                                        </pic:spPr>
                                      </pic:pic>
                                    </a:graphicData>
                                  </a:graphic>
                                </wp:inline>
                              </w:drawing>
                            </w:r>
                            <w:r w:rsidRPr="00B5336A">
                              <w:rPr>
                                <w:noProof/>
                                <w:sz w:val="20"/>
                                <w:szCs w:val="20"/>
                              </w:rPr>
                              <w:t xml:space="preserve">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5BF7E" id="_x0000_s1031" type="#_x0000_t202" style="position:absolute;left:0;text-align:left;margin-left:-7.8pt;margin-top:59.3pt;width:506.3pt;height:154.3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" stroked="f">
                <v:textbox>
                  <w:txbxContent>
                    <w:p w14:paraId="0F2557D8" w14:textId="77777777" w:rsidR="00430A79" w:rsidRPr="00B5336A" w:rsidRDefault="00430A79" w:rsidP="00430A79">
                      <w:pPr>
                        <w:rPr>
                          <w:sz w:val="20"/>
                          <w:szCs w:val="20"/>
                        </w:rPr>
                      </w:pPr>
                      <w:r w:rsidRPr="00B5336A">
                        <w:rPr>
                          <w:sz w:val="20"/>
                          <w:szCs w:val="20"/>
                        </w:rPr>
                        <w:t xml:space="preserve">  </w:t>
                      </w:r>
                      <w:r w:rsidRPr="00B5336A">
                        <w:rPr>
                          <w:noProof/>
                          <w:sz w:val="20"/>
                          <w:szCs w:val="20"/>
                        </w:rPr>
                        <w:drawing>
                          <wp:inline distT="0" distB="0" distL="0" distR="0" wp14:anchorId="0C0F75A8" wp14:editId="48215944">
                            <wp:extent cx="1443351" cy="1097280"/>
                            <wp:effectExtent l="0" t="0" r="5080" b="7620"/>
                            <wp:docPr id="1874644013" name="Picture 1874644013" descr="IMG_2169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3" descr="IMG_2169i"/>
                                    <pic:cNvPicPr>
                                      <a:picLocks noChangeAspect="1"/>
                                    </pic:cNvPicPr>
                                  </pic:nvPicPr>
                                  <pic:blipFill>
                                    <a:blip r:embed="rId69" cstate="print"/>
                                    <a:srcRect/>
                                    <a:stretch>
                                      <a:fillRect/>
                                    </a:stretch>
                                  </pic:blipFill>
                                  <pic:spPr bwMode="auto">
                                    <a:xfrm>
                                      <a:off x="0" y="0"/>
                                      <a:ext cx="1455849" cy="1106782"/>
                                    </a:xfrm>
                                    <a:prstGeom prst="rect">
                                      <a:avLst/>
                                    </a:prstGeom>
                                    <a:noFill/>
                                    <a:ln w="9525">
                                      <a:noFill/>
                                      <a:miter lim="800000"/>
                                      <a:headEnd/>
                                      <a:tailEnd/>
                                    </a:ln>
                                  </pic:spPr>
                                </pic:pic>
                              </a:graphicData>
                            </a:graphic>
                          </wp:inline>
                        </w:drawing>
                      </w:r>
                      <w:r w:rsidRPr="00B5336A">
                        <w:rPr>
                          <w:noProof/>
                          <w:sz w:val="20"/>
                          <w:szCs w:val="20"/>
                        </w:rPr>
                        <w:t xml:space="preserve">  </w:t>
                      </w:r>
                      <w:r w:rsidRPr="00B5336A">
                        <w:rPr>
                          <w:noProof/>
                          <w:sz w:val="20"/>
                          <w:szCs w:val="20"/>
                        </w:rPr>
                        <w:drawing>
                          <wp:inline distT="0" distB="0" distL="0" distR="0" wp14:anchorId="426A5820" wp14:editId="04C395FA">
                            <wp:extent cx="1468966" cy="1101498"/>
                            <wp:effectExtent l="0" t="0" r="0" b="3810"/>
                            <wp:docPr id="1624791782" name="Picture 1624791782" descr="untitle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12" descr="untitled8.png"/>
                                    <pic:cNvPicPr>
                                      <a:picLocks noChangeAspect="1"/>
                                    </pic:cNvPicPr>
                                  </pic:nvPicPr>
                                  <pic:blipFill>
                                    <a:blip r:embed="rId70" cstate="print"/>
                                    <a:srcRect/>
                                    <a:stretch>
                                      <a:fillRect/>
                                    </a:stretch>
                                  </pic:blipFill>
                                  <pic:spPr bwMode="auto">
                                    <a:xfrm>
                                      <a:off x="0" y="0"/>
                                      <a:ext cx="1485174" cy="1113652"/>
                                    </a:xfrm>
                                    <a:prstGeom prst="rect">
                                      <a:avLst/>
                                    </a:prstGeom>
                                    <a:noFill/>
                                    <a:ln w="9525">
                                      <a:noFill/>
                                      <a:miter lim="800000"/>
                                      <a:headEnd/>
                                      <a:tailEnd/>
                                    </a:ln>
                                  </pic:spPr>
                                </pic:pic>
                              </a:graphicData>
                            </a:graphic>
                          </wp:inline>
                        </w:drawing>
                      </w:r>
                      <w:r w:rsidRPr="00B5336A">
                        <w:rPr>
                          <w:noProof/>
                          <w:sz w:val="20"/>
                          <w:szCs w:val="20"/>
                        </w:rPr>
                        <w:t xml:space="preserve">  </w:t>
                      </w:r>
                      <w:r w:rsidRPr="00B5336A">
                        <w:rPr>
                          <w:noProof/>
                          <w:sz w:val="20"/>
                          <w:szCs w:val="20"/>
                        </w:rPr>
                        <w:drawing>
                          <wp:inline distT="0" distB="0" distL="0" distR="0" wp14:anchorId="5E5D3CD5" wp14:editId="39F3AD3E">
                            <wp:extent cx="1511300" cy="1088868"/>
                            <wp:effectExtent l="0" t="0" r="0" b="0"/>
                            <wp:docPr id="1945233001" name="Picture 1945233001" descr="A picture containing text, outdoor, tre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4" descr="A picture containing text, outdoor, tree, ground&#10;&#10;Description automatically generated"/>
                                    <pic:cNvPicPr>
                                      <a:picLocks noChangeAspect="1"/>
                                    </pic:cNvPicPr>
                                  </pic:nvPicPr>
                                  <pic:blipFill>
                                    <a:blip r:embed="rId71" cstate="print"/>
                                    <a:srcRect/>
                                    <a:stretch>
                                      <a:fillRect/>
                                    </a:stretch>
                                  </pic:blipFill>
                                  <pic:spPr bwMode="auto">
                                    <a:xfrm>
                                      <a:off x="0" y="0"/>
                                      <a:ext cx="1522715" cy="1097093"/>
                                    </a:xfrm>
                                    <a:prstGeom prst="rect">
                                      <a:avLst/>
                                    </a:prstGeom>
                                    <a:noFill/>
                                    <a:ln w="9525">
                                      <a:noFill/>
                                      <a:miter lim="800000"/>
                                      <a:headEnd/>
                                      <a:tailEnd/>
                                    </a:ln>
                                  </pic:spPr>
                                </pic:pic>
                              </a:graphicData>
                            </a:graphic>
                          </wp:inline>
                        </w:drawing>
                      </w:r>
                      <w:r w:rsidRPr="00B5336A">
                        <w:rPr>
                          <w:noProof/>
                          <w:sz w:val="20"/>
                          <w:szCs w:val="20"/>
                        </w:rPr>
                        <w:t xml:space="preserve">  </w:t>
                      </w:r>
                      <w:r w:rsidRPr="00B5336A">
                        <w:rPr>
                          <w:noProof/>
                          <w:sz w:val="20"/>
                          <w:szCs w:val="20"/>
                        </w:rPr>
                        <w:drawing>
                          <wp:inline distT="0" distB="0" distL="0" distR="0" wp14:anchorId="5449F2A6" wp14:editId="33EE9CF4">
                            <wp:extent cx="1449159" cy="1086647"/>
                            <wp:effectExtent l="0" t="0" r="0" b="0"/>
                            <wp:docPr id="741668713" name="Picture 741668713"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Picture 9" descr="11.jpg"/>
                                    <pic:cNvPicPr>
                                      <a:picLocks noChangeAspect="1"/>
                                    </pic:cNvPicPr>
                                  </pic:nvPicPr>
                                  <pic:blipFill>
                                    <a:blip r:embed="rId72" cstate="print"/>
                                    <a:srcRect/>
                                    <a:stretch>
                                      <a:fillRect/>
                                    </a:stretch>
                                  </pic:blipFill>
                                  <pic:spPr bwMode="auto">
                                    <a:xfrm>
                                      <a:off x="0" y="0"/>
                                      <a:ext cx="1502474" cy="1126625"/>
                                    </a:xfrm>
                                    <a:prstGeom prst="rect">
                                      <a:avLst/>
                                    </a:prstGeom>
                                    <a:noFill/>
                                    <a:ln w="9525">
                                      <a:noFill/>
                                      <a:miter lim="800000"/>
                                      <a:headEnd/>
                                      <a:tailEnd/>
                                    </a:ln>
                                  </pic:spPr>
                                </pic:pic>
                              </a:graphicData>
                            </a:graphic>
                          </wp:inline>
                        </w:drawing>
                      </w:r>
                      <w:r w:rsidRPr="00B5336A">
                        <w:rPr>
                          <w:noProof/>
                          <w:sz w:val="20"/>
                          <w:szCs w:val="20"/>
                        </w:rPr>
                        <w:t xml:space="preserve">                 </w:t>
                      </w:r>
                    </w:p>
                  </w:txbxContent>
                </v:textbox>
                <w10:wrap type="tight" anchorx="margin"/>
              </v:shape>
            </w:pict>
          </mc:Fallback>
        </mc:AlternateContent>
      </w:r>
      <w:r w:rsidR="003C672E" w:rsidRPr="00430A79">
        <w:rPr>
          <w:rFonts w:ascii="Arial Narrow" w:eastAsia="Calibri" w:hAnsi="Arial Narrow"/>
          <w:noProof/>
          <w:kern w:val="2"/>
          <w:sz w:val="22"/>
          <w:szCs w:val="22"/>
          <w:lang w:val="en-GB"/>
          <w14:ligatures w14:val="standardContextual"/>
        </w:rPr>
        <mc:AlternateContent>
          <mc:Choice Requires="wps">
            <w:drawing>
              <wp:anchor distT="45720" distB="45720" distL="114300" distR="114300" simplePos="0" relativeHeight="251671552" behindDoc="0" locked="0" layoutInCell="1" allowOverlap="1" wp14:anchorId="4FD35419" wp14:editId="40C7FFB9">
                <wp:simplePos x="0" y="0"/>
                <wp:positionH relativeFrom="column">
                  <wp:posOffset>0</wp:posOffset>
                </wp:positionH>
                <wp:positionV relativeFrom="paragraph">
                  <wp:posOffset>1969347</wp:posOffset>
                </wp:positionV>
                <wp:extent cx="1504950" cy="3937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93700"/>
                        </a:xfrm>
                        <a:prstGeom prst="rect">
                          <a:avLst/>
                        </a:prstGeom>
                        <a:solidFill>
                          <a:srgbClr val="FFFFFF"/>
                        </a:solidFill>
                        <a:ln w="9525">
                          <a:noFill/>
                          <a:miter lim="800000"/>
                          <a:headEnd/>
                          <a:tailEnd/>
                        </a:ln>
                      </wps:spPr>
                      <wps:txbx>
                        <w:txbxContent>
                          <w:p w14:paraId="4D278F8A" w14:textId="77777777" w:rsidR="003C672E" w:rsidRPr="000E6748" w:rsidRDefault="003C672E" w:rsidP="003C672E">
                            <w:pPr>
                              <w:rPr>
                                <w:rFonts w:ascii="Arial Narrow" w:hAnsi="Arial Narrow"/>
                                <w:sz w:val="18"/>
                                <w:szCs w:val="18"/>
                              </w:rPr>
                            </w:pPr>
                            <w:r>
                              <w:rPr>
                                <w:rFonts w:ascii="Arial Narrow" w:hAnsi="Arial Narrow"/>
                                <w:sz w:val="18"/>
                                <w:szCs w:val="18"/>
                              </w:rPr>
                              <w:t>Lloji standard i Euro kontejnerëve me rrota</w:t>
                            </w:r>
                          </w:p>
                          <w:p w14:paraId="1ACA36D4" w14:textId="1D046872" w:rsidR="00430A79" w:rsidRPr="000E6748" w:rsidRDefault="00430A79" w:rsidP="00430A79">
                            <w:pPr>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35419" id="_x0000_s1032" type="#_x0000_t202" style="position:absolute;left:0;text-align:left;margin-left:0;margin-top:155.05pt;width:118.5pt;height:3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" stroked="f">
                <v:textbox>
                  <w:txbxContent>
                    <w:p w14:paraId="4D278F8A" w14:textId="77777777" w:rsidR="003C672E" w:rsidRPr="000E6748" w:rsidRDefault="003C672E" w:rsidP="003C672E">
                      <w:pPr>
                        <w:rPr>
                          <w:rFonts w:ascii="Arial Narrow" w:hAnsi="Arial Narrow"/>
                          <w:sz w:val="18"/>
                          <w:szCs w:val="18"/>
                        </w:rPr>
                      </w:pPr>
                      <w:r>
                        <w:rPr>
                          <w:rFonts w:ascii="Arial Narrow" w:hAnsi="Arial Narrow"/>
                          <w:sz w:val="18"/>
                          <w:szCs w:val="18"/>
                        </w:rPr>
                        <w:t>Lloji standard i Euro kontejnerëve me rrota</w:t>
                      </w:r>
                    </w:p>
                    <w:p w14:paraId="1ACA36D4" w14:textId="1D046872" w:rsidR="00430A79" w:rsidRPr="000E6748" w:rsidRDefault="00430A79" w:rsidP="00430A79">
                      <w:pPr>
                        <w:rPr>
                          <w:rFonts w:ascii="Arial Narrow" w:hAnsi="Arial Narrow"/>
                          <w:sz w:val="18"/>
                          <w:szCs w:val="18"/>
                        </w:rPr>
                      </w:pPr>
                    </w:p>
                  </w:txbxContent>
                </v:textbox>
                <w10:wrap type="square"/>
              </v:shape>
            </w:pict>
          </mc:Fallback>
        </mc:AlternateContent>
      </w:r>
      <w:r w:rsidR="00430A79" w:rsidRPr="009F5CA1">
        <w:rPr>
          <w:rFonts w:ascii="Arial Narrow" w:eastAsia="Calibri" w:hAnsi="Arial Narrow" w:cs="Calibri"/>
          <w:b/>
          <w:bCs/>
          <w:sz w:val="22"/>
          <w:szCs w:val="22"/>
          <w:lang w:val="sq-AL"/>
        </w:rPr>
        <w:t xml:space="preserve">Sistemi </w:t>
      </w:r>
      <w:r w:rsidR="003C672E" w:rsidRPr="00BE2534">
        <w:rPr>
          <w:rFonts w:ascii="Arial Narrow" w:eastAsia="Calibri" w:hAnsi="Arial Narrow" w:cs="Calibri"/>
          <w:b/>
          <w:bCs/>
          <w:sz w:val="22"/>
          <w:szCs w:val="22"/>
          <w:lang w:val="sq-AL"/>
        </w:rPr>
        <w:t>i sjelljes së mbeturinave te vendi i caktuar</w:t>
      </w:r>
      <w:r w:rsidR="003C672E" w:rsidRPr="00BE2534">
        <w:rPr>
          <w:rFonts w:ascii="Arial Narrow" w:eastAsia="Calibri" w:hAnsi="Arial Narrow" w:cs="Calibri"/>
          <w:sz w:val="22"/>
          <w:szCs w:val="22"/>
          <w:lang w:val="sq-AL"/>
        </w:rPr>
        <w:t xml:space="preserve">, përbëhet nga pika kontenierësh, duke shërbyer një mori familjesh. Sistemi përdoret zakonisht si për grumbullimin e </w:t>
      </w:r>
      <w:r w:rsidR="003C672E">
        <w:rPr>
          <w:rFonts w:ascii="Arial Narrow" w:eastAsia="Calibri" w:hAnsi="Arial Narrow" w:cs="Calibri"/>
          <w:sz w:val="22"/>
          <w:szCs w:val="22"/>
          <w:lang w:val="sq-AL"/>
        </w:rPr>
        <w:t>ndaras</w:t>
      </w:r>
      <w:r w:rsidR="003C672E" w:rsidRPr="00BE2534">
        <w:rPr>
          <w:rFonts w:ascii="Arial Narrow" w:eastAsia="Calibri" w:hAnsi="Arial Narrow" w:cs="Calibri"/>
          <w:sz w:val="22"/>
          <w:szCs w:val="22"/>
          <w:lang w:val="sq-AL"/>
        </w:rPr>
        <w:t xml:space="preserve"> ashtu edhe për mbeturinat e përziera</w:t>
      </w:r>
      <w:r w:rsidR="003C672E">
        <w:rPr>
          <w:rFonts w:ascii="Arial Narrow" w:eastAsia="Calibri" w:hAnsi="Arial Narrow" w:cs="Calibri"/>
          <w:sz w:val="22"/>
          <w:szCs w:val="22"/>
          <w:lang w:val="sq-AL"/>
        </w:rPr>
        <w:t xml:space="preserve">, </w:t>
      </w:r>
      <w:r w:rsidR="003C672E" w:rsidRPr="00BE2534">
        <w:rPr>
          <w:rFonts w:ascii="Arial Narrow" w:eastAsia="Calibri" w:hAnsi="Arial Narrow" w:cs="Calibri"/>
          <w:sz w:val="22"/>
          <w:szCs w:val="22"/>
          <w:lang w:val="sq-AL"/>
        </w:rPr>
        <w:t xml:space="preserve">Kontejnerët vendosen anës së rrugës publike, në qendra komunitare, parkingje supermarketesh dhe vende të tjera ku gjeneruesit e mbeturinave sjellin aty materialet e ndara </w:t>
      </w:r>
      <w:r w:rsidR="003C672E">
        <w:rPr>
          <w:rFonts w:ascii="Arial Narrow" w:eastAsia="Calibri" w:hAnsi="Arial Narrow" w:cs="Calibri"/>
          <w:sz w:val="22"/>
          <w:szCs w:val="22"/>
          <w:lang w:val="sq-AL"/>
        </w:rPr>
        <w:t>ndaras</w:t>
      </w:r>
      <w:r w:rsidR="003C672E" w:rsidRPr="00BE2534">
        <w:rPr>
          <w:rFonts w:ascii="Arial Narrow" w:eastAsia="Calibri" w:hAnsi="Arial Narrow" w:cs="Calibri"/>
          <w:sz w:val="22"/>
          <w:szCs w:val="22"/>
          <w:lang w:val="sq-AL"/>
        </w:rPr>
        <w:t>.</w:t>
      </w:r>
    </w:p>
    <w:p w14:paraId="5E766C7D" w14:textId="77777777" w:rsidR="00B23BCB" w:rsidRPr="00BE2534" w:rsidRDefault="00B23BCB" w:rsidP="00B23BCB">
      <w:pPr>
        <w:jc w:val="both"/>
        <w:rPr>
          <w:rFonts w:ascii="Arial Narrow" w:eastAsia="Calibri" w:hAnsi="Arial Narrow" w:cs="Calibri"/>
          <w:sz w:val="22"/>
          <w:szCs w:val="22"/>
          <w:lang w:val="sq-AL"/>
        </w:rPr>
      </w:pPr>
      <w:r w:rsidRPr="00BE2534">
        <w:rPr>
          <w:rFonts w:ascii="Arial Narrow" w:eastAsia="Calibri" w:hAnsi="Arial Narrow" w:cs="Calibri"/>
          <w:sz w:val="22"/>
          <w:szCs w:val="22"/>
          <w:lang w:val="sq-AL"/>
        </w:rPr>
        <w:t xml:space="preserve">Sistemi përdoret më së shpeshti për mbeturina të ambalazhit, veçanërisht për qelq dhe karton, dhe shpesh financohet përmes mekanizmit PZP. Kontejnerët e përdorur zakonisht janë </w:t>
      </w:r>
      <w:r w:rsidRPr="00B636C1">
        <w:rPr>
          <w:rFonts w:ascii="Arial Narrow" w:eastAsia="Calibri" w:hAnsi="Arial Narrow" w:cs="Calibri"/>
          <w:sz w:val="22"/>
          <w:szCs w:val="22"/>
          <w:lang w:val="sq-AL"/>
        </w:rPr>
        <w:t>paraqitur në figurën më lart.</w:t>
      </w:r>
    </w:p>
    <w:p w14:paraId="118D0C3E" w14:textId="77777777" w:rsidR="00430A79" w:rsidRPr="009F5CA1" w:rsidRDefault="00430A79" w:rsidP="00430A79">
      <w:pPr>
        <w:jc w:val="both"/>
        <w:rPr>
          <w:rFonts w:ascii="Arial Narrow" w:eastAsia="Calibri" w:hAnsi="Arial Narrow" w:cs="Calibri"/>
          <w:sz w:val="22"/>
          <w:szCs w:val="22"/>
          <w:lang w:val="sq-AL"/>
        </w:rPr>
      </w:pPr>
    </w:p>
    <w:p w14:paraId="6B1B60BE" w14:textId="3D63D327" w:rsidR="00430A79" w:rsidRPr="009F5CA1" w:rsidRDefault="00B23BCB" w:rsidP="00430A79">
      <w:pPr>
        <w:jc w:val="both"/>
        <w:rPr>
          <w:rFonts w:ascii="Arial Narrow" w:eastAsia="Calibri" w:hAnsi="Arial Narrow" w:cs="Calibri"/>
          <w:sz w:val="22"/>
          <w:szCs w:val="22"/>
          <w:lang w:val="sq-AL"/>
        </w:rPr>
      </w:pPr>
      <w:r w:rsidRPr="00BE2534">
        <w:rPr>
          <w:rFonts w:ascii="Arial Narrow" w:eastAsia="Calibri" w:hAnsi="Arial Narrow" w:cs="Calibri"/>
          <w:sz w:val="22"/>
          <w:szCs w:val="22"/>
          <w:lang w:val="sq-AL"/>
        </w:rPr>
        <w:t>Siç shihet nga figura e mësipërme, përparësia kryesore e kontejnerëve me rrota është se ata mund të zbrazen nga kamionët me ngarkesë nga pas, që zakonisht përdoren në Kosovë për grumbullimin e përgjithshëm të mbeturinave. Këta kontejnerë kanë një vëllim prej 1</w:t>
      </w:r>
      <w:r w:rsidR="00B47E37">
        <w:rPr>
          <w:rFonts w:ascii="Arial Narrow" w:eastAsia="Calibri" w:hAnsi="Arial Narrow" w:cs="Calibri"/>
          <w:sz w:val="22"/>
          <w:szCs w:val="22"/>
          <w:lang w:val="sq-AL"/>
        </w:rPr>
        <w:t>,</w:t>
      </w:r>
      <w:r w:rsidRPr="00BE2534">
        <w:rPr>
          <w:rFonts w:ascii="Arial Narrow" w:eastAsia="Calibri" w:hAnsi="Arial Narrow" w:cs="Calibri"/>
          <w:sz w:val="22"/>
          <w:szCs w:val="22"/>
          <w:lang w:val="sq-AL"/>
        </w:rPr>
        <w:t xml:space="preserve">100 litrash. Kontejnerët e tipit Igloo janë me pozicion statik dhe mund të blihen në madhësi të ndryshme – nga 1 m³ deri në 5 m³. Sistemi me kontejnerë Igloo zakonisht është </w:t>
      </w:r>
      <w:r w:rsidR="00B47E37">
        <w:rPr>
          <w:rFonts w:ascii="Arial Narrow" w:eastAsia="Calibri" w:hAnsi="Arial Narrow" w:cs="Calibri"/>
          <w:sz w:val="22"/>
          <w:szCs w:val="22"/>
          <w:lang w:val="sq-AL"/>
        </w:rPr>
        <w:t xml:space="preserve">i </w:t>
      </w:r>
      <w:r w:rsidRPr="00BE2534">
        <w:rPr>
          <w:rFonts w:ascii="Arial Narrow" w:eastAsia="Calibri" w:hAnsi="Arial Narrow" w:cs="Calibri"/>
          <w:sz w:val="22"/>
          <w:szCs w:val="22"/>
          <w:lang w:val="sq-AL"/>
        </w:rPr>
        <w:t>përshtatshëm për të mbuluar mbledhjen e qelqit</w:t>
      </w:r>
      <w:r w:rsidR="00430A79" w:rsidRPr="009F5CA1">
        <w:rPr>
          <w:rFonts w:ascii="Arial Narrow" w:eastAsia="Calibri" w:hAnsi="Arial Narrow" w:cs="Calibri"/>
          <w:sz w:val="22"/>
          <w:szCs w:val="22"/>
          <w:lang w:val="sq-AL"/>
        </w:rPr>
        <w:t>.</w:t>
      </w:r>
    </w:p>
    <w:p w14:paraId="15AF936E" w14:textId="77777777" w:rsidR="00B47E37" w:rsidRPr="00430A79" w:rsidRDefault="00B47E37" w:rsidP="00430A79">
      <w:pPr>
        <w:jc w:val="both"/>
        <w:rPr>
          <w:rFonts w:ascii="Arial Narrow" w:eastAsia="Calibri" w:hAnsi="Arial Narrow" w:cs="Calibri"/>
          <w:bCs/>
          <w:color w:val="0F0D29"/>
          <w:sz w:val="22"/>
          <w:szCs w:val="22"/>
        </w:rPr>
      </w:pPr>
    </w:p>
    <w:p w14:paraId="0A817109" w14:textId="127D66E7" w:rsidR="00430A79" w:rsidRPr="00430A79" w:rsidRDefault="00430A79" w:rsidP="000D7AD0">
      <w:pPr>
        <w:pStyle w:val="Heading3"/>
      </w:pPr>
      <w:bookmarkStart w:id="348" w:name="_Toc185866117"/>
      <w:bookmarkStart w:id="349" w:name="_Toc197472014"/>
      <w:r w:rsidRPr="00430A79">
        <w:t xml:space="preserve">Opsionet për </w:t>
      </w:r>
      <w:r w:rsidR="00B23BCB">
        <w:t>grumbullimin ndaras</w:t>
      </w:r>
      <w:r w:rsidRPr="00430A79">
        <w:t xml:space="preserve"> të mbeturinave</w:t>
      </w:r>
      <w:bookmarkEnd w:id="348"/>
      <w:bookmarkEnd w:id="349"/>
    </w:p>
    <w:p w14:paraId="22DA2FDA" w14:textId="77777777" w:rsidR="00430A79" w:rsidRPr="00430A79" w:rsidRDefault="00430A79" w:rsidP="00430A79">
      <w:pPr>
        <w:jc w:val="both"/>
        <w:rPr>
          <w:rFonts w:ascii="Arial Narrow" w:eastAsia="Calibri" w:hAnsi="Arial Narrow" w:cs="Calibri"/>
          <w:color w:val="000000" w:themeColor="text1"/>
          <w:sz w:val="22"/>
          <w:szCs w:val="22"/>
          <w:lang w:val="en-GB"/>
        </w:rPr>
      </w:pPr>
    </w:p>
    <w:p w14:paraId="4BBB4674" w14:textId="77777777" w:rsidR="00B23BCB" w:rsidRPr="00B23BCB" w:rsidRDefault="00B23BCB" w:rsidP="00B23BCB">
      <w:pPr>
        <w:pStyle w:val="Paragraph"/>
        <w:spacing w:after="0"/>
        <w:rPr>
          <w:rFonts w:eastAsia="Calibri" w:cs="Calibri"/>
          <w:lang w:val="sq-AL"/>
        </w:rPr>
      </w:pPr>
      <w:r w:rsidRPr="00B23BCB">
        <w:rPr>
          <w:rFonts w:eastAsia="Calibri" w:cs="Calibri"/>
          <w:lang w:val="sq-AL"/>
        </w:rPr>
        <w:t>Sasitë e mbeturinave të grumbulluara ndaras llogariten bazuar në supozimet për numrin e banorëve që ju ofrohet shërbimi dhe normat e që arrihen për fraksione të ndryshme të riciklueshme.</w:t>
      </w:r>
    </w:p>
    <w:p w14:paraId="3BB9CC96" w14:textId="6A8AAA94" w:rsidR="00430A79" w:rsidRPr="009F5CA1" w:rsidRDefault="00B23BCB" w:rsidP="00B23BCB">
      <w:pPr>
        <w:jc w:val="both"/>
        <w:rPr>
          <w:rFonts w:ascii="Arial Narrow" w:eastAsia="Calibri" w:hAnsi="Arial Narrow" w:cs="Calibri"/>
          <w:color w:val="000000" w:themeColor="text1"/>
          <w:sz w:val="22"/>
          <w:szCs w:val="22"/>
          <w:lang w:val="sq-AL"/>
        </w:rPr>
      </w:pPr>
      <w:r w:rsidRPr="00B23BCB">
        <w:rPr>
          <w:rFonts w:ascii="Arial Narrow" w:eastAsia="Calibri" w:hAnsi="Arial Narrow" w:cs="Calibri"/>
          <w:sz w:val="22"/>
          <w:szCs w:val="22"/>
          <w:lang w:val="sq-AL"/>
        </w:rPr>
        <w:t>Është e pranueshme se grumbullimi ndaras të fillojë me ofrimin e shërbimeve për 100% të banorëve që jetojnë në zonat urbane dhe për 80% të banorëve që jetojnë në zonat rurale. Numri total i banorëve të përfshirë në grumbullim ndaras të mbeturinave është paraqitur në figurën e mëposhtme</w:t>
      </w:r>
      <w:r w:rsidR="00430A79" w:rsidRPr="009F5CA1">
        <w:rPr>
          <w:rFonts w:ascii="Arial Narrow" w:eastAsia="Calibri" w:hAnsi="Arial Narrow" w:cs="Calibri"/>
          <w:color w:val="000000" w:themeColor="text1"/>
          <w:sz w:val="22"/>
          <w:szCs w:val="22"/>
          <w:lang w:val="sq-AL"/>
        </w:rPr>
        <w:t>.</w:t>
      </w:r>
    </w:p>
    <w:p w14:paraId="61EA6025" w14:textId="71513493" w:rsidR="00430A79" w:rsidRPr="009F5CA1" w:rsidRDefault="00430A79" w:rsidP="006347D6">
      <w:pPr>
        <w:jc w:val="center"/>
        <w:rPr>
          <w:rFonts w:ascii="Arial Narrow" w:hAnsi="Arial Narrow"/>
          <w:noProof/>
          <w:color w:val="000000" w:themeColor="text1"/>
          <w:sz w:val="22"/>
          <w:szCs w:val="22"/>
          <w:lang w:val="sq-AL"/>
        </w:rPr>
      </w:pPr>
    </w:p>
    <w:p w14:paraId="619A703A" w14:textId="6CA10C00" w:rsidR="00B23BCB" w:rsidRPr="009F5CA1" w:rsidRDefault="00CB09FB" w:rsidP="006347D6">
      <w:pPr>
        <w:jc w:val="center"/>
        <w:rPr>
          <w:rFonts w:ascii="Arial Narrow" w:eastAsia="Calibri" w:hAnsi="Arial Narrow" w:cs="Calibri"/>
          <w:color w:val="000000" w:themeColor="text1"/>
          <w:sz w:val="22"/>
          <w:szCs w:val="22"/>
          <w:lang w:val="sq-AL"/>
        </w:rPr>
      </w:pPr>
      <w:r>
        <w:rPr>
          <w:noProof/>
        </w:rPr>
        <mc:AlternateContent>
          <mc:Choice Requires="wps">
            <w:drawing>
              <wp:anchor distT="0" distB="0" distL="114300" distR="114300" simplePos="0" relativeHeight="251697152" behindDoc="0" locked="0" layoutInCell="1" allowOverlap="1" wp14:anchorId="7C33898D" wp14:editId="45FE71FD">
                <wp:simplePos x="0" y="0"/>
                <wp:positionH relativeFrom="margin">
                  <wp:align>center</wp:align>
                </wp:positionH>
                <wp:positionV relativeFrom="paragraph">
                  <wp:posOffset>1388580</wp:posOffset>
                </wp:positionV>
                <wp:extent cx="4631635" cy="0"/>
                <wp:effectExtent l="0" t="0" r="0" b="0"/>
                <wp:wrapNone/>
                <wp:docPr id="24063875" name="Straight Connector 26"/>
                <wp:cNvGraphicFramePr/>
                <a:graphic xmlns:a="http://schemas.openxmlformats.org/drawingml/2006/main">
                  <a:graphicData uri="http://schemas.microsoft.com/office/word/2010/wordprocessingShape">
                    <wps:wsp>
                      <wps:cNvCnPr/>
                      <wps:spPr>
                        <a:xfrm>
                          <a:off x="0" y="0"/>
                          <a:ext cx="4631635"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1BC2A3" id="Straight Connector 26" o:spid="_x0000_s1026" style="position:absolute;z-index:251697152;visibility:visible;mso-wrap-style:square;mso-wrap-distance-left:9pt;mso-wrap-distance-top:0;mso-wrap-distance-right:9pt;mso-wrap-distance-bottom:0;mso-position-horizontal:center;mso-position-horizontal-relative:margin;mso-position-vertical:absolute;mso-position-vertical-relative:text" from="0,109.35pt" to="364.7pt,1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" strokecolor="#4472c4 [3204]" strokeweight="1.5pt">
                <v:stroke joinstyle="miter"/>
                <w10:wrap anchorx="margin"/>
              </v:line>
            </w:pict>
          </mc:Fallback>
        </mc:AlternateContent>
      </w:r>
    </w:p>
    <w:p w14:paraId="565E61C8" w14:textId="77777777" w:rsidR="00F54F3E" w:rsidRPr="009F5CA1" w:rsidRDefault="00F54F3E" w:rsidP="006347D6">
      <w:pPr>
        <w:jc w:val="center"/>
        <w:rPr>
          <w:rFonts w:ascii="Arial Narrow" w:eastAsia="Calibri" w:hAnsi="Arial Narrow" w:cs="Calibri"/>
          <w:color w:val="000000" w:themeColor="text1"/>
          <w:sz w:val="22"/>
          <w:szCs w:val="22"/>
          <w:lang w:val="sq-AL"/>
        </w:rPr>
      </w:pPr>
    </w:p>
    <w:p w14:paraId="2120A298" w14:textId="77777777" w:rsidR="00F54F3E" w:rsidRPr="009F5CA1" w:rsidRDefault="00F54F3E" w:rsidP="006347D6">
      <w:pPr>
        <w:jc w:val="center"/>
        <w:rPr>
          <w:rFonts w:ascii="Arial Narrow" w:eastAsia="Calibri" w:hAnsi="Arial Narrow" w:cs="Calibri"/>
          <w:color w:val="000000" w:themeColor="text1"/>
          <w:sz w:val="22"/>
          <w:szCs w:val="22"/>
          <w:lang w:val="sq-AL"/>
        </w:rPr>
      </w:pPr>
    </w:p>
    <w:p w14:paraId="0BDD8ABA" w14:textId="4847BD69" w:rsidR="00F54F3E" w:rsidRDefault="00E2437D" w:rsidP="006347D6">
      <w:pPr>
        <w:jc w:val="center"/>
        <w:rPr>
          <w:rFonts w:ascii="Arial Narrow" w:eastAsia="Calibri" w:hAnsi="Arial Narrow" w:cs="Calibri"/>
          <w:color w:val="000000" w:themeColor="text1"/>
          <w:sz w:val="22"/>
          <w:szCs w:val="22"/>
          <w:lang w:val="en-GB"/>
        </w:rPr>
      </w:pPr>
      <w:r>
        <w:rPr>
          <w:rFonts w:ascii="Arial Narrow" w:eastAsia="Calibri" w:hAnsi="Arial Narrow" w:cs="Calibri"/>
          <w:noProof/>
          <w:color w:val="000000" w:themeColor="text1"/>
          <w:sz w:val="22"/>
          <w:szCs w:val="22"/>
          <w:lang w:val="en-GB"/>
        </w:rPr>
        <w:lastRenderedPageBreak/>
        <mc:AlternateContent>
          <mc:Choice Requires="wps">
            <w:drawing>
              <wp:anchor distT="0" distB="0" distL="114300" distR="114300" simplePos="0" relativeHeight="251698176" behindDoc="0" locked="0" layoutInCell="1" allowOverlap="1" wp14:anchorId="033A3027" wp14:editId="23F32005">
                <wp:simplePos x="0" y="0"/>
                <wp:positionH relativeFrom="column">
                  <wp:posOffset>168910</wp:posOffset>
                </wp:positionH>
                <wp:positionV relativeFrom="paragraph">
                  <wp:posOffset>1387889</wp:posOffset>
                </wp:positionV>
                <wp:extent cx="5387009" cy="19879"/>
                <wp:effectExtent l="0" t="0" r="23495" b="37465"/>
                <wp:wrapNone/>
                <wp:docPr id="1388824987" name="Straight Connector 28"/>
                <wp:cNvGraphicFramePr/>
                <a:graphic xmlns:a="http://schemas.openxmlformats.org/drawingml/2006/main">
                  <a:graphicData uri="http://schemas.microsoft.com/office/word/2010/wordprocessingShape">
                    <wps:wsp>
                      <wps:cNvCnPr/>
                      <wps:spPr>
                        <a:xfrm flipV="1">
                          <a:off x="0" y="0"/>
                          <a:ext cx="5387009" cy="19879"/>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2445B8" id="Straight Connector 28"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13.3pt,109.3pt" to="437.45pt,1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" strokecolor="#4472c4 [3204]" strokeweight="1.5pt">
                <v:stroke joinstyle="miter"/>
              </v:line>
            </w:pict>
          </mc:Fallback>
        </mc:AlternateContent>
      </w:r>
      <w:r w:rsidR="00CB09FB">
        <w:rPr>
          <w:rFonts w:ascii="Arial Narrow" w:eastAsia="Calibri" w:hAnsi="Arial Narrow" w:cs="Calibri"/>
          <w:noProof/>
          <w:color w:val="000000" w:themeColor="text1"/>
          <w:sz w:val="22"/>
          <w:szCs w:val="22"/>
          <w:lang w:val="en-GB"/>
        </w:rPr>
        <w:drawing>
          <wp:inline distT="0" distB="0" distL="0" distR="0" wp14:anchorId="23E1F5AB" wp14:editId="696E0B0D">
            <wp:extent cx="5426765" cy="2810510"/>
            <wp:effectExtent l="0" t="0" r="2540" b="8890"/>
            <wp:docPr id="72258016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58692" cy="2827045"/>
                    </a:xfrm>
                    <a:prstGeom prst="rect">
                      <a:avLst/>
                    </a:prstGeom>
                    <a:noFill/>
                  </pic:spPr>
                </pic:pic>
              </a:graphicData>
            </a:graphic>
          </wp:inline>
        </w:drawing>
      </w:r>
    </w:p>
    <w:p w14:paraId="0AED740C" w14:textId="43981997" w:rsidR="00F54F3E" w:rsidRDefault="00F54F3E" w:rsidP="006347D6">
      <w:pPr>
        <w:jc w:val="center"/>
        <w:rPr>
          <w:rFonts w:ascii="Arial Narrow" w:eastAsia="Calibri" w:hAnsi="Arial Narrow" w:cs="Calibri"/>
          <w:color w:val="000000" w:themeColor="text1"/>
          <w:sz w:val="22"/>
          <w:szCs w:val="22"/>
          <w:lang w:val="en-GB"/>
        </w:rPr>
      </w:pPr>
    </w:p>
    <w:p w14:paraId="143031A0" w14:textId="614A5DB4" w:rsidR="00CB09FB" w:rsidRDefault="00E2437D" w:rsidP="006347D6">
      <w:pPr>
        <w:jc w:val="center"/>
        <w:rPr>
          <w:rFonts w:ascii="Arial Narrow" w:eastAsia="Calibri" w:hAnsi="Arial Narrow" w:cs="Calibri"/>
          <w:color w:val="000000" w:themeColor="text1"/>
          <w:sz w:val="22"/>
          <w:szCs w:val="22"/>
          <w:lang w:val="en-GB"/>
        </w:rPr>
      </w:pPr>
      <w:r>
        <w:rPr>
          <w:noProof/>
        </w:rPr>
        <w:drawing>
          <wp:inline distT="0" distB="0" distL="0" distR="0" wp14:anchorId="7CF9B7A6" wp14:editId="42DA7633">
            <wp:extent cx="5446644" cy="2799080"/>
            <wp:effectExtent l="0" t="0" r="1905" b="1270"/>
            <wp:docPr id="1479238064" name="Chart 1">
              <a:extLst xmlns:a="http://schemas.openxmlformats.org/drawingml/2006/main">
                <a:ext uri="{FF2B5EF4-FFF2-40B4-BE49-F238E27FC236}">
                  <a16:creationId xmlns:a16="http://schemas.microsoft.com/office/drawing/2014/main" id="{0C2E024A-187C-4D88-A7BB-3766BF639A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7775A7B" w14:textId="749778F5" w:rsidR="00430A79" w:rsidRPr="00430A79" w:rsidRDefault="00430A79" w:rsidP="006347D6">
      <w:pPr>
        <w:pStyle w:val="Figure"/>
        <w:rPr>
          <w:rFonts w:eastAsia="Calibri" w:cs="Calibri"/>
          <w:sz w:val="20"/>
          <w:szCs w:val="20"/>
        </w:rPr>
      </w:pPr>
      <w:bookmarkStart w:id="350" w:name="_Toc185866247"/>
      <w:bookmarkStart w:id="351" w:name="_Toc197472325"/>
      <w:r w:rsidRPr="00430A79">
        <w:rPr>
          <w:rFonts w:eastAsia="Calibri" w:cs="Calibri"/>
          <w:sz w:val="20"/>
          <w:szCs w:val="20"/>
        </w:rPr>
        <w:t xml:space="preserve">Figura </w:t>
      </w:r>
      <w:r w:rsidRPr="00430A79">
        <w:rPr>
          <w:rFonts w:eastAsia="Calibri" w:cs="Calibri"/>
          <w:sz w:val="20"/>
          <w:szCs w:val="20"/>
        </w:rPr>
        <w:fldChar w:fldCharType="begin"/>
      </w:r>
      <w:r w:rsidRPr="00430A79">
        <w:rPr>
          <w:rFonts w:eastAsia="Calibri" w:cs="Calibri"/>
          <w:sz w:val="20"/>
          <w:szCs w:val="20"/>
        </w:rPr>
        <w:instrText xml:space="preserve"> SEQ Figure \* ARABIC </w:instrText>
      </w:r>
      <w:r w:rsidRPr="00430A79">
        <w:rPr>
          <w:rFonts w:eastAsia="Calibri" w:cs="Calibri"/>
          <w:sz w:val="20"/>
          <w:szCs w:val="20"/>
        </w:rPr>
        <w:fldChar w:fldCharType="separate"/>
      </w:r>
      <w:r w:rsidR="00C97DF3">
        <w:rPr>
          <w:rFonts w:eastAsia="Calibri" w:cs="Calibri"/>
          <w:noProof/>
          <w:sz w:val="20"/>
          <w:szCs w:val="20"/>
        </w:rPr>
        <w:t xml:space="preserve">24. </w:t>
      </w:r>
      <w:r w:rsidRPr="00430A79">
        <w:rPr>
          <w:rFonts w:eastAsia="Calibri" w:cs="Calibri"/>
          <w:sz w:val="20"/>
          <w:szCs w:val="20"/>
        </w:rPr>
        <w:fldChar w:fldCharType="end"/>
      </w:r>
      <w:r w:rsidRPr="00430A79">
        <w:rPr>
          <w:rFonts w:eastAsia="Calibri" w:cs="Calibri"/>
          <w:sz w:val="20"/>
          <w:szCs w:val="20"/>
        </w:rPr>
        <w:t>Banorët të cilëve u ofrohen shërbime të grumbullimit</w:t>
      </w:r>
      <w:r w:rsidR="00B23BCB">
        <w:rPr>
          <w:rFonts w:eastAsia="Calibri" w:cs="Calibri"/>
          <w:sz w:val="20"/>
          <w:szCs w:val="20"/>
        </w:rPr>
        <w:t xml:space="preserve"> ndaras</w:t>
      </w:r>
      <w:r w:rsidRPr="00430A79">
        <w:rPr>
          <w:rFonts w:eastAsia="Calibri" w:cs="Calibri"/>
          <w:sz w:val="20"/>
          <w:szCs w:val="20"/>
        </w:rPr>
        <w:t xml:space="preserve"> të mbeturinave</w:t>
      </w:r>
      <w:bookmarkEnd w:id="350"/>
      <w:bookmarkEnd w:id="351"/>
    </w:p>
    <w:p w14:paraId="38D7283B" w14:textId="77777777" w:rsidR="00430A79" w:rsidRPr="00430A79" w:rsidRDefault="00430A79" w:rsidP="00430A79">
      <w:pPr>
        <w:jc w:val="both"/>
        <w:rPr>
          <w:rFonts w:ascii="Arial Narrow" w:eastAsia="Calibri" w:hAnsi="Arial Narrow" w:cs="Calibri"/>
          <w:color w:val="000000" w:themeColor="text1"/>
          <w:sz w:val="22"/>
          <w:szCs w:val="22"/>
          <w:lang w:val="en-GB"/>
        </w:rPr>
      </w:pPr>
    </w:p>
    <w:p w14:paraId="7550E0A8" w14:textId="77777777" w:rsidR="00B23BCB" w:rsidRPr="00BE2534" w:rsidRDefault="00B23BCB" w:rsidP="00B23BCB">
      <w:pPr>
        <w:pStyle w:val="Paragraph"/>
        <w:spacing w:after="0"/>
        <w:rPr>
          <w:rFonts w:eastAsia="Calibri" w:cs="Calibri"/>
          <w:lang w:val="sq-AL"/>
        </w:rPr>
      </w:pPr>
      <w:r w:rsidRPr="00BE2534">
        <w:rPr>
          <w:rFonts w:eastAsia="Calibri" w:cs="Calibri"/>
          <w:lang w:val="sq-AL"/>
        </w:rPr>
        <w:t xml:space="preserve">Shkalla e arritjes për fraksionin përkatës të mbeturinave pranohet të jetë në nivelin minimal në vitin e parë kur fillon grumbullimi </w:t>
      </w:r>
      <w:r>
        <w:rPr>
          <w:rFonts w:eastAsia="Calibri" w:cs="Calibri"/>
          <w:lang w:val="sq-AL"/>
        </w:rPr>
        <w:t>ndaras</w:t>
      </w:r>
      <w:r w:rsidRPr="00BE2534">
        <w:rPr>
          <w:rFonts w:eastAsia="Calibri" w:cs="Calibri"/>
          <w:lang w:val="sq-AL"/>
        </w:rPr>
        <w:t xml:space="preserve"> i mbeturinave dhe më pas rritet me 5% derisa të arrihet niveli maksimal i arritjes (shih tabelën më poshtë).</w:t>
      </w:r>
    </w:p>
    <w:p w14:paraId="79595F42" w14:textId="77777777" w:rsidR="00430A79" w:rsidRPr="00430A79" w:rsidRDefault="00430A79" w:rsidP="00430A79">
      <w:pPr>
        <w:spacing w:after="120"/>
        <w:jc w:val="both"/>
        <w:rPr>
          <w:rFonts w:ascii="Arial Narrow" w:eastAsia="Calibri" w:hAnsi="Arial Narrow" w:cs="Calibri"/>
          <w:color w:val="1F497D"/>
          <w:sz w:val="20"/>
          <w:szCs w:val="20"/>
          <w:lang w:val="en-GB"/>
        </w:rPr>
      </w:pPr>
    </w:p>
    <w:p w14:paraId="74A855CB" w14:textId="1999FED8" w:rsidR="00430A79" w:rsidRPr="00430A79" w:rsidRDefault="00430A79" w:rsidP="00430A79">
      <w:pPr>
        <w:spacing w:after="120"/>
        <w:jc w:val="both"/>
        <w:rPr>
          <w:rFonts w:ascii="Arial Narrow" w:eastAsia="Calibri" w:hAnsi="Arial Narrow" w:cs="Calibri"/>
          <w:color w:val="1F497D"/>
          <w:sz w:val="20"/>
          <w:szCs w:val="20"/>
          <w:lang w:val="en-GB"/>
        </w:rPr>
      </w:pPr>
      <w:bookmarkStart w:id="352" w:name="_Toc185866205"/>
      <w:bookmarkStart w:id="353" w:name="_Toc197472234"/>
      <w:proofErr w:type="spellStart"/>
      <w:r w:rsidRPr="00430A79">
        <w:rPr>
          <w:rFonts w:ascii="Arial Narrow" w:eastAsia="Calibri" w:hAnsi="Arial Narrow" w:cs="Calibri"/>
          <w:color w:val="1F497D"/>
          <w:sz w:val="20"/>
          <w:szCs w:val="20"/>
          <w:lang w:val="en-GB"/>
        </w:rPr>
        <w:t>Tabela</w:t>
      </w:r>
      <w:proofErr w:type="spellEnd"/>
      <w:r w:rsidRPr="00430A79">
        <w:rPr>
          <w:rFonts w:ascii="Arial Narrow" w:eastAsia="Calibri" w:hAnsi="Arial Narrow" w:cs="Calibri"/>
          <w:color w:val="1F497D"/>
          <w:sz w:val="20"/>
          <w:szCs w:val="20"/>
          <w:lang w:val="en-GB"/>
        </w:rPr>
        <w:t xml:space="preserve"> </w:t>
      </w:r>
      <w:r w:rsidRPr="00430A79">
        <w:rPr>
          <w:rFonts w:ascii="Arial Narrow" w:eastAsia="Calibri" w:hAnsi="Arial Narrow" w:cs="Calibri"/>
          <w:color w:val="1F497D"/>
          <w:sz w:val="20"/>
          <w:szCs w:val="20"/>
          <w:lang w:val="en-GB"/>
        </w:rPr>
        <w:fldChar w:fldCharType="begin"/>
      </w:r>
      <w:r w:rsidRPr="00430A79">
        <w:rPr>
          <w:rFonts w:ascii="Arial Narrow" w:eastAsia="Calibri" w:hAnsi="Arial Narrow" w:cs="Calibri"/>
          <w:color w:val="1F497D"/>
          <w:sz w:val="20"/>
          <w:szCs w:val="20"/>
          <w:lang w:val="en-GB"/>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Pr>
          <w:rFonts w:ascii="Arial Narrow" w:eastAsia="Calibri" w:hAnsi="Arial Narrow" w:cs="Calibri"/>
          <w:noProof/>
          <w:color w:val="1F497D"/>
          <w:sz w:val="20"/>
          <w:szCs w:val="20"/>
          <w:lang w:val="en-GB"/>
        </w:rPr>
        <w:t xml:space="preserve">49. </w:t>
      </w:r>
      <w:r w:rsidRPr="00430A79">
        <w:rPr>
          <w:rFonts w:ascii="Arial Narrow" w:eastAsia="Calibri" w:hAnsi="Arial Narrow" w:cs="Calibri"/>
          <w:color w:val="1F497D"/>
          <w:sz w:val="20"/>
          <w:szCs w:val="20"/>
          <w:lang w:val="en-GB"/>
        </w:rPr>
        <w:fldChar w:fldCharType="end"/>
      </w:r>
      <w:proofErr w:type="spellStart"/>
      <w:r w:rsidR="00B23BCB">
        <w:rPr>
          <w:rFonts w:ascii="Arial Narrow" w:eastAsia="Calibri" w:hAnsi="Arial Narrow" w:cs="Calibri"/>
          <w:color w:val="1F497D"/>
          <w:sz w:val="20"/>
          <w:szCs w:val="20"/>
          <w:lang w:val="en-GB"/>
        </w:rPr>
        <w:t>Normat</w:t>
      </w:r>
      <w:proofErr w:type="spellEnd"/>
      <w:r w:rsidR="00B23BCB">
        <w:rPr>
          <w:rFonts w:ascii="Arial Narrow" w:eastAsia="Calibri" w:hAnsi="Arial Narrow" w:cs="Calibri"/>
          <w:color w:val="1F497D"/>
          <w:sz w:val="20"/>
          <w:szCs w:val="20"/>
          <w:lang w:val="en-GB"/>
        </w:rPr>
        <w:t xml:space="preserve"> e </w:t>
      </w:r>
      <w:proofErr w:type="spellStart"/>
      <w:r w:rsidRPr="00430A79">
        <w:rPr>
          <w:rFonts w:ascii="Arial Narrow" w:eastAsia="Calibri" w:hAnsi="Arial Narrow" w:cs="Calibri"/>
          <w:color w:val="1F497D"/>
          <w:sz w:val="20"/>
          <w:szCs w:val="20"/>
          <w:lang w:val="en-GB"/>
        </w:rPr>
        <w:t>supozuara</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të</w:t>
      </w:r>
      <w:proofErr w:type="spellEnd"/>
      <w:r w:rsidRPr="00430A79">
        <w:rPr>
          <w:rFonts w:ascii="Arial Narrow" w:eastAsia="Calibri" w:hAnsi="Arial Narrow" w:cs="Calibri"/>
          <w:color w:val="1F497D"/>
          <w:sz w:val="20"/>
          <w:szCs w:val="20"/>
          <w:lang w:val="en-GB"/>
        </w:rPr>
        <w:t xml:space="preserve"> </w:t>
      </w:r>
      <w:proofErr w:type="spellStart"/>
      <w:r w:rsidR="00B23BCB">
        <w:rPr>
          <w:rFonts w:ascii="Arial Narrow" w:eastAsia="Calibri" w:hAnsi="Arial Narrow" w:cs="Calibri"/>
          <w:color w:val="1F497D"/>
          <w:sz w:val="20"/>
          <w:szCs w:val="20"/>
          <w:lang w:val="en-GB"/>
        </w:rPr>
        <w:t>arritjes</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për</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fraksione</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të</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ndryshme</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të</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mbet</w:t>
      </w:r>
      <w:r w:rsidR="00B23BCB">
        <w:rPr>
          <w:rFonts w:ascii="Arial Narrow" w:eastAsia="Calibri" w:hAnsi="Arial Narrow" w:cs="Calibri"/>
          <w:color w:val="1F497D"/>
          <w:sz w:val="20"/>
          <w:szCs w:val="20"/>
          <w:lang w:val="en-GB"/>
        </w:rPr>
        <w:t>urinave</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të</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riciklueshme</w:t>
      </w:r>
      <w:bookmarkEnd w:id="352"/>
      <w:bookmarkEnd w:id="353"/>
      <w:proofErr w:type="spellEnd"/>
    </w:p>
    <w:tbl>
      <w:tblPr>
        <w:tblW w:w="6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8"/>
        <w:gridCol w:w="1736"/>
        <w:gridCol w:w="1536"/>
      </w:tblGrid>
      <w:tr w:rsidR="00430A79" w:rsidRPr="00430A79" w14:paraId="521DCA4B" w14:textId="77777777" w:rsidTr="00750949">
        <w:trPr>
          <w:trHeight w:val="264"/>
        </w:trPr>
        <w:tc>
          <w:tcPr>
            <w:tcW w:w="2928" w:type="dxa"/>
            <w:vMerge w:val="restart"/>
            <w:shd w:val="clear" w:color="auto" w:fill="365F91"/>
            <w:vAlign w:val="bottom"/>
          </w:tcPr>
          <w:p w14:paraId="78F03F75"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Fraksioni i mbeturinave</w:t>
            </w:r>
          </w:p>
        </w:tc>
        <w:tc>
          <w:tcPr>
            <w:tcW w:w="3272" w:type="dxa"/>
            <w:gridSpan w:val="2"/>
            <w:shd w:val="clear" w:color="auto" w:fill="365F91"/>
            <w:noWrap/>
            <w:vAlign w:val="bottom"/>
          </w:tcPr>
          <w:p w14:paraId="33BF6F4E" w14:textId="5CC4336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 xml:space="preserve">Shkalla e </w:t>
            </w:r>
            <w:r w:rsidR="00B23BCB">
              <w:rPr>
                <w:rFonts w:ascii="Arial Narrow" w:eastAsia="Calibri" w:hAnsi="Arial Narrow" w:cs="Calibri"/>
                <w:b/>
                <w:color w:val="FFFFFF"/>
                <w:sz w:val="20"/>
                <w:szCs w:val="20"/>
              </w:rPr>
              <w:t>arritjes</w:t>
            </w:r>
          </w:p>
        </w:tc>
      </w:tr>
      <w:tr w:rsidR="00430A79" w:rsidRPr="00430A79" w14:paraId="1C7EFA74" w14:textId="77777777" w:rsidTr="00750949">
        <w:trPr>
          <w:trHeight w:val="264"/>
        </w:trPr>
        <w:tc>
          <w:tcPr>
            <w:tcW w:w="2928" w:type="dxa"/>
            <w:vMerge/>
            <w:shd w:val="clear" w:color="auto" w:fill="365F91"/>
            <w:vAlign w:val="bottom"/>
          </w:tcPr>
          <w:p w14:paraId="5BE6799C"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p>
        </w:tc>
        <w:tc>
          <w:tcPr>
            <w:tcW w:w="1736" w:type="dxa"/>
            <w:shd w:val="clear" w:color="auto" w:fill="365F91"/>
            <w:noWrap/>
            <w:vAlign w:val="bottom"/>
          </w:tcPr>
          <w:p w14:paraId="33D431C3"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Minimumi</w:t>
            </w:r>
          </w:p>
        </w:tc>
        <w:tc>
          <w:tcPr>
            <w:tcW w:w="1536" w:type="dxa"/>
            <w:shd w:val="clear" w:color="auto" w:fill="365F91"/>
            <w:noWrap/>
            <w:vAlign w:val="bottom"/>
          </w:tcPr>
          <w:p w14:paraId="6E85C261"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Maksimumi</w:t>
            </w:r>
          </w:p>
        </w:tc>
      </w:tr>
      <w:tr w:rsidR="00430A79" w:rsidRPr="00430A79" w14:paraId="24EFF0E1" w14:textId="77777777" w:rsidTr="00D03949">
        <w:trPr>
          <w:trHeight w:val="264"/>
        </w:trPr>
        <w:tc>
          <w:tcPr>
            <w:tcW w:w="2928" w:type="dxa"/>
            <w:shd w:val="clear" w:color="auto" w:fill="auto"/>
            <w:vAlign w:val="bottom"/>
            <w:hideMark/>
          </w:tcPr>
          <w:p w14:paraId="4E5AE751"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Tetrapak</w:t>
            </w:r>
          </w:p>
        </w:tc>
        <w:tc>
          <w:tcPr>
            <w:tcW w:w="1736" w:type="dxa"/>
            <w:shd w:val="clear" w:color="auto" w:fill="auto"/>
            <w:noWrap/>
            <w:vAlign w:val="bottom"/>
            <w:hideMark/>
          </w:tcPr>
          <w:p w14:paraId="1068EA97" w14:textId="77777777" w:rsidR="00430A79" w:rsidRPr="00430A79" w:rsidRDefault="00430A79" w:rsidP="00430A79">
            <w:pPr>
              <w:widowControl w:val="0"/>
              <w:autoSpaceDE w:val="0"/>
              <w:autoSpaceDN w:val="0"/>
              <w:spacing w:before="60" w:after="60"/>
              <w:ind w:right="123"/>
              <w:jc w:val="right"/>
              <w:rPr>
                <w:rFonts w:ascii="Arial Narrow" w:eastAsia="Calibri" w:hAnsi="Arial Narrow" w:cs="Calibri"/>
                <w:sz w:val="20"/>
                <w:szCs w:val="20"/>
              </w:rPr>
            </w:pPr>
            <w:r w:rsidRPr="00430A79">
              <w:rPr>
                <w:rFonts w:ascii="Arial Narrow" w:eastAsia="Calibri" w:hAnsi="Arial Narrow" w:cs="Calibri"/>
                <w:sz w:val="20"/>
                <w:szCs w:val="20"/>
              </w:rPr>
              <w:t>10%</w:t>
            </w:r>
          </w:p>
        </w:tc>
        <w:tc>
          <w:tcPr>
            <w:tcW w:w="1536" w:type="dxa"/>
            <w:shd w:val="clear" w:color="auto" w:fill="auto"/>
            <w:noWrap/>
            <w:vAlign w:val="bottom"/>
            <w:hideMark/>
          </w:tcPr>
          <w:p w14:paraId="23FC665E" w14:textId="77777777" w:rsidR="00430A79" w:rsidRPr="00430A79" w:rsidRDefault="00430A79" w:rsidP="00430A79">
            <w:pPr>
              <w:widowControl w:val="0"/>
              <w:autoSpaceDE w:val="0"/>
              <w:autoSpaceDN w:val="0"/>
              <w:spacing w:before="60" w:after="60"/>
              <w:ind w:right="123"/>
              <w:jc w:val="right"/>
              <w:rPr>
                <w:rFonts w:ascii="Arial Narrow" w:eastAsia="Calibri" w:hAnsi="Arial Narrow" w:cs="Calibri"/>
                <w:sz w:val="20"/>
                <w:szCs w:val="20"/>
              </w:rPr>
            </w:pPr>
            <w:r w:rsidRPr="00430A79">
              <w:rPr>
                <w:rFonts w:ascii="Arial Narrow" w:eastAsia="Calibri" w:hAnsi="Arial Narrow" w:cs="Calibri"/>
                <w:sz w:val="20"/>
                <w:szCs w:val="20"/>
              </w:rPr>
              <w:t>20%</w:t>
            </w:r>
          </w:p>
        </w:tc>
      </w:tr>
      <w:tr w:rsidR="00430A79" w:rsidRPr="00430A79" w14:paraId="45A03BAD" w14:textId="77777777" w:rsidTr="00D03949">
        <w:trPr>
          <w:trHeight w:val="264"/>
        </w:trPr>
        <w:tc>
          <w:tcPr>
            <w:tcW w:w="2928" w:type="dxa"/>
            <w:shd w:val="clear" w:color="auto" w:fill="auto"/>
            <w:vAlign w:val="bottom"/>
            <w:hideMark/>
          </w:tcPr>
          <w:p w14:paraId="23F89B37"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Letër / karton</w:t>
            </w:r>
          </w:p>
        </w:tc>
        <w:tc>
          <w:tcPr>
            <w:tcW w:w="1736" w:type="dxa"/>
            <w:shd w:val="clear" w:color="auto" w:fill="auto"/>
            <w:noWrap/>
            <w:vAlign w:val="bottom"/>
            <w:hideMark/>
          </w:tcPr>
          <w:p w14:paraId="13675EA8" w14:textId="77777777" w:rsidR="00430A79" w:rsidRPr="00430A79" w:rsidRDefault="00430A79" w:rsidP="00430A79">
            <w:pPr>
              <w:widowControl w:val="0"/>
              <w:autoSpaceDE w:val="0"/>
              <w:autoSpaceDN w:val="0"/>
              <w:spacing w:before="60" w:after="60"/>
              <w:ind w:right="123"/>
              <w:jc w:val="right"/>
              <w:rPr>
                <w:rFonts w:ascii="Arial Narrow" w:eastAsia="Calibri" w:hAnsi="Arial Narrow" w:cs="Calibri"/>
                <w:sz w:val="20"/>
                <w:szCs w:val="20"/>
              </w:rPr>
            </w:pPr>
            <w:r w:rsidRPr="00430A79">
              <w:rPr>
                <w:rFonts w:ascii="Arial Narrow" w:eastAsia="Calibri" w:hAnsi="Arial Narrow" w:cs="Calibri"/>
                <w:sz w:val="20"/>
                <w:szCs w:val="20"/>
              </w:rPr>
              <w:t>50%</w:t>
            </w:r>
          </w:p>
        </w:tc>
        <w:tc>
          <w:tcPr>
            <w:tcW w:w="1536" w:type="dxa"/>
            <w:shd w:val="clear" w:color="auto" w:fill="auto"/>
            <w:noWrap/>
            <w:vAlign w:val="bottom"/>
            <w:hideMark/>
          </w:tcPr>
          <w:p w14:paraId="7FA7060E" w14:textId="77777777" w:rsidR="00430A79" w:rsidRPr="00430A79" w:rsidRDefault="00430A79" w:rsidP="00430A79">
            <w:pPr>
              <w:widowControl w:val="0"/>
              <w:autoSpaceDE w:val="0"/>
              <w:autoSpaceDN w:val="0"/>
              <w:spacing w:before="60" w:after="60"/>
              <w:ind w:right="123"/>
              <w:jc w:val="right"/>
              <w:rPr>
                <w:rFonts w:ascii="Arial Narrow" w:eastAsia="Calibri" w:hAnsi="Arial Narrow" w:cs="Calibri"/>
                <w:sz w:val="20"/>
                <w:szCs w:val="20"/>
              </w:rPr>
            </w:pPr>
            <w:r w:rsidRPr="00430A79">
              <w:rPr>
                <w:rFonts w:ascii="Arial Narrow" w:eastAsia="Calibri" w:hAnsi="Arial Narrow" w:cs="Calibri"/>
                <w:sz w:val="20"/>
                <w:szCs w:val="20"/>
              </w:rPr>
              <w:t>85%</w:t>
            </w:r>
          </w:p>
        </w:tc>
      </w:tr>
      <w:tr w:rsidR="00430A79" w:rsidRPr="00430A79" w14:paraId="6FBAE1EA" w14:textId="77777777" w:rsidTr="00D03949">
        <w:trPr>
          <w:trHeight w:val="264"/>
        </w:trPr>
        <w:tc>
          <w:tcPr>
            <w:tcW w:w="2928" w:type="dxa"/>
            <w:shd w:val="clear" w:color="auto" w:fill="auto"/>
            <w:vAlign w:val="bottom"/>
            <w:hideMark/>
          </w:tcPr>
          <w:p w14:paraId="2F1E279A"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lastRenderedPageBreak/>
              <w:t>Plastikë</w:t>
            </w:r>
          </w:p>
        </w:tc>
        <w:tc>
          <w:tcPr>
            <w:tcW w:w="1736" w:type="dxa"/>
            <w:shd w:val="clear" w:color="auto" w:fill="auto"/>
            <w:noWrap/>
            <w:vAlign w:val="bottom"/>
            <w:hideMark/>
          </w:tcPr>
          <w:p w14:paraId="32E20AEC" w14:textId="77777777" w:rsidR="00430A79" w:rsidRPr="00430A79" w:rsidRDefault="00430A79" w:rsidP="00430A79">
            <w:pPr>
              <w:widowControl w:val="0"/>
              <w:autoSpaceDE w:val="0"/>
              <w:autoSpaceDN w:val="0"/>
              <w:spacing w:before="60" w:after="60"/>
              <w:ind w:right="123"/>
              <w:jc w:val="right"/>
              <w:rPr>
                <w:rFonts w:ascii="Arial Narrow" w:eastAsia="Calibri" w:hAnsi="Arial Narrow" w:cs="Calibri"/>
                <w:sz w:val="20"/>
                <w:szCs w:val="20"/>
              </w:rPr>
            </w:pPr>
            <w:r w:rsidRPr="00430A79">
              <w:rPr>
                <w:rFonts w:ascii="Arial Narrow" w:eastAsia="Calibri" w:hAnsi="Arial Narrow" w:cs="Calibri"/>
                <w:sz w:val="20"/>
                <w:szCs w:val="20"/>
              </w:rPr>
              <w:t>40%</w:t>
            </w:r>
          </w:p>
        </w:tc>
        <w:tc>
          <w:tcPr>
            <w:tcW w:w="1536" w:type="dxa"/>
            <w:shd w:val="clear" w:color="auto" w:fill="auto"/>
            <w:noWrap/>
            <w:vAlign w:val="bottom"/>
            <w:hideMark/>
          </w:tcPr>
          <w:p w14:paraId="24C9E09E" w14:textId="77777777" w:rsidR="00430A79" w:rsidRPr="00430A79" w:rsidRDefault="00430A79" w:rsidP="00430A79">
            <w:pPr>
              <w:widowControl w:val="0"/>
              <w:autoSpaceDE w:val="0"/>
              <w:autoSpaceDN w:val="0"/>
              <w:spacing w:before="60" w:after="60"/>
              <w:ind w:right="123"/>
              <w:jc w:val="right"/>
              <w:rPr>
                <w:rFonts w:ascii="Arial Narrow" w:eastAsia="Calibri" w:hAnsi="Arial Narrow" w:cs="Calibri"/>
                <w:sz w:val="20"/>
                <w:szCs w:val="20"/>
              </w:rPr>
            </w:pPr>
            <w:r w:rsidRPr="00430A79">
              <w:rPr>
                <w:rFonts w:ascii="Arial Narrow" w:eastAsia="Calibri" w:hAnsi="Arial Narrow" w:cs="Calibri"/>
                <w:sz w:val="20"/>
                <w:szCs w:val="20"/>
              </w:rPr>
              <w:t>70%</w:t>
            </w:r>
          </w:p>
        </w:tc>
      </w:tr>
      <w:tr w:rsidR="00430A79" w:rsidRPr="00430A79" w14:paraId="60C2310F" w14:textId="77777777" w:rsidTr="00D03949">
        <w:trPr>
          <w:trHeight w:val="264"/>
        </w:trPr>
        <w:tc>
          <w:tcPr>
            <w:tcW w:w="2928" w:type="dxa"/>
            <w:shd w:val="clear" w:color="auto" w:fill="auto"/>
            <w:vAlign w:val="bottom"/>
            <w:hideMark/>
          </w:tcPr>
          <w:p w14:paraId="6F79CA03" w14:textId="6DF4F126"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Qelq</w:t>
            </w:r>
          </w:p>
        </w:tc>
        <w:tc>
          <w:tcPr>
            <w:tcW w:w="1736" w:type="dxa"/>
            <w:shd w:val="clear" w:color="auto" w:fill="auto"/>
            <w:noWrap/>
            <w:vAlign w:val="bottom"/>
            <w:hideMark/>
          </w:tcPr>
          <w:p w14:paraId="2E47C69C" w14:textId="77777777" w:rsidR="00430A79" w:rsidRPr="00430A79" w:rsidRDefault="00430A79" w:rsidP="00430A79">
            <w:pPr>
              <w:widowControl w:val="0"/>
              <w:autoSpaceDE w:val="0"/>
              <w:autoSpaceDN w:val="0"/>
              <w:spacing w:before="60" w:after="60"/>
              <w:ind w:right="123"/>
              <w:jc w:val="right"/>
              <w:rPr>
                <w:rFonts w:ascii="Arial Narrow" w:eastAsia="Calibri" w:hAnsi="Arial Narrow" w:cs="Calibri"/>
                <w:sz w:val="20"/>
                <w:szCs w:val="20"/>
              </w:rPr>
            </w:pPr>
            <w:r w:rsidRPr="00430A79">
              <w:rPr>
                <w:rFonts w:ascii="Arial Narrow" w:eastAsia="Calibri" w:hAnsi="Arial Narrow" w:cs="Calibri"/>
                <w:sz w:val="20"/>
                <w:szCs w:val="20"/>
              </w:rPr>
              <w:t>60%</w:t>
            </w:r>
          </w:p>
        </w:tc>
        <w:tc>
          <w:tcPr>
            <w:tcW w:w="1536" w:type="dxa"/>
            <w:shd w:val="clear" w:color="auto" w:fill="auto"/>
            <w:noWrap/>
            <w:vAlign w:val="bottom"/>
            <w:hideMark/>
          </w:tcPr>
          <w:p w14:paraId="129B0958" w14:textId="77777777" w:rsidR="00430A79" w:rsidRPr="00430A79" w:rsidRDefault="00430A79" w:rsidP="00430A79">
            <w:pPr>
              <w:widowControl w:val="0"/>
              <w:autoSpaceDE w:val="0"/>
              <w:autoSpaceDN w:val="0"/>
              <w:spacing w:before="60" w:after="60"/>
              <w:ind w:right="123"/>
              <w:jc w:val="right"/>
              <w:rPr>
                <w:rFonts w:ascii="Arial Narrow" w:eastAsia="Calibri" w:hAnsi="Arial Narrow" w:cs="Calibri"/>
                <w:sz w:val="20"/>
                <w:szCs w:val="20"/>
              </w:rPr>
            </w:pPr>
            <w:r w:rsidRPr="00430A79">
              <w:rPr>
                <w:rFonts w:ascii="Arial Narrow" w:eastAsia="Calibri" w:hAnsi="Arial Narrow" w:cs="Calibri"/>
                <w:sz w:val="20"/>
                <w:szCs w:val="20"/>
              </w:rPr>
              <w:t>90%</w:t>
            </w:r>
          </w:p>
        </w:tc>
      </w:tr>
      <w:tr w:rsidR="00430A79" w:rsidRPr="00430A79" w14:paraId="2E9DF134" w14:textId="77777777" w:rsidTr="00D03949">
        <w:trPr>
          <w:trHeight w:val="264"/>
        </w:trPr>
        <w:tc>
          <w:tcPr>
            <w:tcW w:w="2928" w:type="dxa"/>
            <w:shd w:val="clear" w:color="auto" w:fill="auto"/>
            <w:vAlign w:val="bottom"/>
            <w:hideMark/>
          </w:tcPr>
          <w:p w14:paraId="14E10037" w14:textId="68D42CDF"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Metale</w:t>
            </w:r>
          </w:p>
        </w:tc>
        <w:tc>
          <w:tcPr>
            <w:tcW w:w="1736" w:type="dxa"/>
            <w:shd w:val="clear" w:color="auto" w:fill="auto"/>
            <w:noWrap/>
            <w:vAlign w:val="bottom"/>
            <w:hideMark/>
          </w:tcPr>
          <w:p w14:paraId="16D209D0" w14:textId="77777777" w:rsidR="00430A79" w:rsidRPr="00430A79" w:rsidRDefault="00430A79" w:rsidP="00430A79">
            <w:pPr>
              <w:widowControl w:val="0"/>
              <w:autoSpaceDE w:val="0"/>
              <w:autoSpaceDN w:val="0"/>
              <w:spacing w:before="60" w:after="60"/>
              <w:ind w:right="123"/>
              <w:jc w:val="right"/>
              <w:rPr>
                <w:rFonts w:ascii="Arial Narrow" w:eastAsia="Calibri" w:hAnsi="Arial Narrow" w:cs="Calibri"/>
                <w:sz w:val="20"/>
                <w:szCs w:val="20"/>
              </w:rPr>
            </w:pPr>
            <w:r w:rsidRPr="00430A79">
              <w:rPr>
                <w:rFonts w:ascii="Arial Narrow" w:eastAsia="Calibri" w:hAnsi="Arial Narrow" w:cs="Calibri"/>
                <w:sz w:val="20"/>
                <w:szCs w:val="20"/>
              </w:rPr>
              <w:t>40%</w:t>
            </w:r>
          </w:p>
        </w:tc>
        <w:tc>
          <w:tcPr>
            <w:tcW w:w="1536" w:type="dxa"/>
            <w:shd w:val="clear" w:color="auto" w:fill="auto"/>
            <w:noWrap/>
            <w:vAlign w:val="bottom"/>
            <w:hideMark/>
          </w:tcPr>
          <w:p w14:paraId="12CF1D26" w14:textId="77777777" w:rsidR="00430A79" w:rsidRPr="00430A79" w:rsidRDefault="00430A79" w:rsidP="00430A79">
            <w:pPr>
              <w:widowControl w:val="0"/>
              <w:autoSpaceDE w:val="0"/>
              <w:autoSpaceDN w:val="0"/>
              <w:spacing w:before="60" w:after="60"/>
              <w:ind w:right="123"/>
              <w:jc w:val="right"/>
              <w:rPr>
                <w:rFonts w:ascii="Arial Narrow" w:eastAsia="Calibri" w:hAnsi="Arial Narrow" w:cs="Calibri"/>
                <w:sz w:val="20"/>
                <w:szCs w:val="20"/>
              </w:rPr>
            </w:pPr>
            <w:r w:rsidRPr="00430A79">
              <w:rPr>
                <w:rFonts w:ascii="Arial Narrow" w:eastAsia="Calibri" w:hAnsi="Arial Narrow" w:cs="Calibri"/>
                <w:sz w:val="20"/>
                <w:szCs w:val="20"/>
              </w:rPr>
              <w:t>60%</w:t>
            </w:r>
          </w:p>
        </w:tc>
      </w:tr>
    </w:tbl>
    <w:p w14:paraId="24EF45C7" w14:textId="77777777" w:rsidR="00B23BCB" w:rsidRPr="00B23BCB" w:rsidRDefault="00B23BCB" w:rsidP="00430A79">
      <w:pPr>
        <w:spacing w:after="120"/>
        <w:jc w:val="both"/>
        <w:rPr>
          <w:rFonts w:ascii="Arial Narrow" w:eastAsia="Calibri" w:hAnsi="Arial Narrow" w:cs="Calibri"/>
          <w:color w:val="000000" w:themeColor="text1"/>
          <w:sz w:val="22"/>
          <w:szCs w:val="22"/>
          <w:lang w:val="en-GB"/>
        </w:rPr>
      </w:pPr>
    </w:p>
    <w:p w14:paraId="7C3B2CC8" w14:textId="0511C113" w:rsidR="00430A79" w:rsidRPr="00B23BCB" w:rsidRDefault="00B23BCB" w:rsidP="00430A79">
      <w:pPr>
        <w:spacing w:after="120"/>
        <w:jc w:val="both"/>
        <w:rPr>
          <w:rFonts w:ascii="Arial Narrow" w:eastAsia="Calibri" w:hAnsi="Arial Narrow" w:cs="Calibri"/>
          <w:color w:val="000000" w:themeColor="text1"/>
          <w:sz w:val="22"/>
          <w:szCs w:val="22"/>
          <w:lang w:val="en-GB"/>
        </w:rPr>
      </w:pPr>
      <w:r w:rsidRPr="00B23BCB">
        <w:rPr>
          <w:rFonts w:ascii="Arial Narrow" w:eastAsia="Calibri" w:hAnsi="Arial Narrow" w:cs="Calibri"/>
          <w:sz w:val="22"/>
          <w:szCs w:val="22"/>
          <w:lang w:val="sq-AL"/>
        </w:rPr>
        <w:t>Për të përcaktuar pajisjet e nevojshme për grumbullimin ndaras të mbeturinave, janë përdorur supozimet e mëposhtme</w:t>
      </w:r>
      <w:r w:rsidR="00430A79" w:rsidRPr="00B23BCB">
        <w:rPr>
          <w:rFonts w:ascii="Arial Narrow" w:eastAsia="Calibri" w:hAnsi="Arial Narrow" w:cs="Calibri"/>
          <w:color w:val="000000" w:themeColor="text1"/>
          <w:sz w:val="22"/>
          <w:szCs w:val="22"/>
          <w:lang w:val="en-GB"/>
        </w:rPr>
        <w:t>:</w:t>
      </w:r>
    </w:p>
    <w:p w14:paraId="20CCDB4B" w14:textId="77777777" w:rsidR="00B23BCB" w:rsidRPr="00B23BCB" w:rsidRDefault="00B23BCB" w:rsidP="00B23BCB">
      <w:pPr>
        <w:pStyle w:val="Paragraph"/>
        <w:numPr>
          <w:ilvl w:val="0"/>
          <w:numId w:val="25"/>
        </w:numPr>
        <w:spacing w:after="0"/>
        <w:rPr>
          <w:rFonts w:eastAsia="Calibri" w:cs="Calibri"/>
          <w:lang w:val="sq-AL"/>
        </w:rPr>
      </w:pPr>
      <w:r w:rsidRPr="00B23BCB">
        <w:rPr>
          <w:rFonts w:eastAsia="Calibri" w:cs="Calibri"/>
          <w:lang w:val="sq-AL"/>
        </w:rPr>
        <w:t>Numrat dhe kapacitetet e kontejnerëve dhe mjeteve të nevojshme grumbulluese korrespondojnë me sasitë e mbetjurinave të grumbulluara, të përllogaritura sipas numrit të banorëve të shërbyer dhe normave për frymë të grumbullimit të mbeturinave të riciklueshme në zonat urbane dhe rurale për vitin përkatës;</w:t>
      </w:r>
    </w:p>
    <w:p w14:paraId="6E0591A1" w14:textId="77777777" w:rsidR="00B23BCB" w:rsidRPr="00B23BCB" w:rsidRDefault="00B23BCB" w:rsidP="00B23BCB">
      <w:pPr>
        <w:pStyle w:val="Paragraph"/>
        <w:numPr>
          <w:ilvl w:val="0"/>
          <w:numId w:val="25"/>
        </w:numPr>
        <w:spacing w:after="0"/>
        <w:rPr>
          <w:rFonts w:eastAsia="Calibri" w:cs="Calibri"/>
          <w:lang w:val="sq-AL"/>
        </w:rPr>
      </w:pPr>
      <w:r w:rsidRPr="00B23BCB">
        <w:rPr>
          <w:rFonts w:eastAsia="Calibri" w:cs="Calibri"/>
          <w:lang w:val="sq-AL"/>
        </w:rPr>
        <w:t>Densiteti i materialeve në kontejnerë supozohet të jetë: 0,125 ton/m³ për letër dhe karton; 0,030 ton/m³ për plastikë; 0,150 ton/m³ për metalet; 0,300 ton/m³ për qelqin dhe 0,240 ton/m³ për mbetturinat e papastërta që mbesin nga mbeturinat e grumbulluara ndaras;</w:t>
      </w:r>
    </w:p>
    <w:p w14:paraId="66B0AEF8" w14:textId="77777777" w:rsidR="00B23BCB" w:rsidRPr="00B23BCB" w:rsidRDefault="00B23BCB" w:rsidP="00B23BCB">
      <w:pPr>
        <w:pStyle w:val="Paragraph"/>
        <w:numPr>
          <w:ilvl w:val="0"/>
          <w:numId w:val="25"/>
        </w:numPr>
        <w:spacing w:after="0"/>
        <w:rPr>
          <w:rFonts w:eastAsia="Calibri" w:cs="Calibri"/>
          <w:lang w:val="sq-AL"/>
        </w:rPr>
      </w:pPr>
      <w:r w:rsidRPr="00B23BCB">
        <w:rPr>
          <w:rFonts w:eastAsia="Calibri" w:cs="Calibri"/>
          <w:lang w:val="sq-AL"/>
        </w:rPr>
        <w:t>Mbeturina të papastërta në kontejnerët e grumbullimit ndaras supozohet të jenë 15% e materialeve me vlerë.</w:t>
      </w:r>
    </w:p>
    <w:p w14:paraId="23354613" w14:textId="77777777" w:rsidR="00B23BCB" w:rsidRPr="00B23BCB" w:rsidRDefault="00B23BCB" w:rsidP="00B23BCB">
      <w:pPr>
        <w:pStyle w:val="Paragraph"/>
        <w:numPr>
          <w:ilvl w:val="0"/>
          <w:numId w:val="25"/>
        </w:numPr>
        <w:spacing w:after="0"/>
        <w:rPr>
          <w:rFonts w:eastAsia="Calibri" w:cs="Calibri"/>
          <w:lang w:val="sq-AL"/>
        </w:rPr>
      </w:pPr>
      <w:r w:rsidRPr="00B23BCB">
        <w:rPr>
          <w:rFonts w:eastAsia="Calibri" w:cs="Calibri"/>
          <w:lang w:val="sq-AL"/>
        </w:rPr>
        <w:t>Mbushja mesatare e kontejnerit supozohet të jetë 80% e kapacitetit;</w:t>
      </w:r>
    </w:p>
    <w:p w14:paraId="4DCE028B" w14:textId="77777777" w:rsidR="00B23BCB" w:rsidRPr="00B23BCB" w:rsidRDefault="00B23BCB" w:rsidP="00B23BCB">
      <w:pPr>
        <w:pStyle w:val="Paragraph"/>
        <w:numPr>
          <w:ilvl w:val="0"/>
          <w:numId w:val="25"/>
        </w:numPr>
        <w:spacing w:after="0"/>
        <w:rPr>
          <w:rFonts w:eastAsia="Calibri" w:cs="Calibri"/>
          <w:lang w:val="sq-AL"/>
        </w:rPr>
      </w:pPr>
      <w:r w:rsidRPr="00B23BCB">
        <w:rPr>
          <w:rFonts w:eastAsia="Calibri" w:cs="Calibri"/>
          <w:lang w:val="sq-AL"/>
        </w:rPr>
        <w:t>Numri i kontejnerëve është përllogaritur duke supozuar 5% si rezervë;</w:t>
      </w:r>
    </w:p>
    <w:p w14:paraId="73447ED0" w14:textId="243FE34C" w:rsidR="00B23BCB" w:rsidRPr="00B23BCB" w:rsidRDefault="00B23BCB" w:rsidP="00B23BCB">
      <w:pPr>
        <w:pStyle w:val="Paragraph"/>
        <w:numPr>
          <w:ilvl w:val="0"/>
          <w:numId w:val="25"/>
        </w:numPr>
        <w:spacing w:after="0"/>
        <w:rPr>
          <w:rFonts w:eastAsia="Calibri" w:cs="Calibri"/>
          <w:lang w:val="sq-AL"/>
        </w:rPr>
      </w:pPr>
      <w:r w:rsidRPr="00B23BCB">
        <w:rPr>
          <w:rFonts w:eastAsia="Calibri" w:cs="Calibri"/>
          <w:lang w:val="sq-AL"/>
        </w:rPr>
        <w:t>Koha për ngritje</w:t>
      </w:r>
      <w:r w:rsidR="00FC2BA4">
        <w:rPr>
          <w:rFonts w:eastAsia="Calibri" w:cs="Calibri"/>
          <w:lang w:val="sq-AL"/>
        </w:rPr>
        <w:t>n</w:t>
      </w:r>
      <w:r w:rsidRPr="00B23BCB">
        <w:rPr>
          <w:rFonts w:eastAsia="Calibri" w:cs="Calibri"/>
          <w:lang w:val="sq-AL"/>
        </w:rPr>
        <w:t>/zbrazje</w:t>
      </w:r>
      <w:r w:rsidR="00FC2BA4">
        <w:rPr>
          <w:rFonts w:eastAsia="Calibri" w:cs="Calibri"/>
          <w:lang w:val="sq-AL"/>
        </w:rPr>
        <w:t>n</w:t>
      </w:r>
      <w:r w:rsidRPr="00B23BCB">
        <w:rPr>
          <w:rFonts w:eastAsia="Calibri" w:cs="Calibri"/>
          <w:lang w:val="sq-AL"/>
        </w:rPr>
        <w:t xml:space="preserve"> e një </w:t>
      </w:r>
      <w:r w:rsidR="00FC2BA4">
        <w:rPr>
          <w:rFonts w:eastAsia="Calibri" w:cs="Calibri"/>
          <w:lang w:val="sq-AL"/>
        </w:rPr>
        <w:t>shporte</w:t>
      </w:r>
      <w:r w:rsidRPr="00B23BCB">
        <w:rPr>
          <w:rFonts w:eastAsia="Calibri" w:cs="Calibri"/>
          <w:lang w:val="sq-AL"/>
        </w:rPr>
        <w:t xml:space="preserve"> prej 240 l supozohet të jetë 40 sekonda, ndërsa koha për ngritjen/zbrazjen e kontejnerit 1.5 m³ për qelq është e pranueshme të jetët mesatarisht 4 minuta (përfshirë kohën e udhëtimit deri rek kontejneri tjetër).</w:t>
      </w:r>
    </w:p>
    <w:p w14:paraId="25C1D61E" w14:textId="77777777" w:rsidR="00B23BCB" w:rsidRPr="00B23BCB" w:rsidRDefault="00B23BCB" w:rsidP="00B23BCB">
      <w:pPr>
        <w:pStyle w:val="Paragraph"/>
        <w:numPr>
          <w:ilvl w:val="0"/>
          <w:numId w:val="25"/>
        </w:numPr>
        <w:spacing w:after="0"/>
        <w:rPr>
          <w:rFonts w:eastAsia="Calibri" w:cs="Calibri"/>
          <w:lang w:val="sq-AL"/>
        </w:rPr>
      </w:pPr>
      <w:r w:rsidRPr="00B23BCB">
        <w:rPr>
          <w:rFonts w:eastAsia="Calibri" w:cs="Calibri"/>
          <w:lang w:val="sq-AL"/>
        </w:rPr>
        <w:t>Shpejtësia e lëvizjes së kamionëve grumbullues deri në objektin e klasifikimit supozohet të jetë 35 km/orë;</w:t>
      </w:r>
    </w:p>
    <w:p w14:paraId="18400DC0" w14:textId="77777777" w:rsidR="00B23BCB" w:rsidRPr="00B23BCB" w:rsidRDefault="00B23BCB" w:rsidP="00B23BCB">
      <w:pPr>
        <w:pStyle w:val="Paragraph"/>
        <w:numPr>
          <w:ilvl w:val="0"/>
          <w:numId w:val="25"/>
        </w:numPr>
        <w:spacing w:after="0"/>
        <w:rPr>
          <w:rFonts w:eastAsia="Calibri" w:cs="Calibri"/>
          <w:lang w:val="sq-AL"/>
        </w:rPr>
      </w:pPr>
      <w:r w:rsidRPr="00B23BCB">
        <w:rPr>
          <w:rFonts w:eastAsia="Calibri" w:cs="Calibri"/>
          <w:lang w:val="sq-AL"/>
        </w:rPr>
        <w:t>Kostot e mirëmbajtjes për kamionët vlerësohen të jenë 5% të kostove të investimit;</w:t>
      </w:r>
    </w:p>
    <w:p w14:paraId="6C5C31D9" w14:textId="77777777" w:rsidR="00B23BCB" w:rsidRPr="00B23BCB" w:rsidRDefault="00B23BCB" w:rsidP="00B23BCB">
      <w:pPr>
        <w:pStyle w:val="Paragraph"/>
        <w:numPr>
          <w:ilvl w:val="0"/>
          <w:numId w:val="25"/>
        </w:numPr>
        <w:spacing w:after="0"/>
        <w:rPr>
          <w:rFonts w:eastAsia="Calibri" w:cs="Calibri"/>
          <w:lang w:val="sq-AL"/>
        </w:rPr>
      </w:pPr>
      <w:r w:rsidRPr="00B23BCB">
        <w:rPr>
          <w:rFonts w:eastAsia="Calibri" w:cs="Calibri"/>
          <w:lang w:val="sq-AL"/>
        </w:rPr>
        <w:t>Kostot vjetore të mirëmbajtjes për kontejnerët janë të pranueshme të jenë 2% e kostos së investimit;</w:t>
      </w:r>
    </w:p>
    <w:p w14:paraId="27F14D64" w14:textId="77777777" w:rsidR="00B23BCB" w:rsidRPr="00B23BCB" w:rsidRDefault="00B23BCB" w:rsidP="00B23BCB">
      <w:pPr>
        <w:pStyle w:val="Paragraph"/>
        <w:numPr>
          <w:ilvl w:val="0"/>
          <w:numId w:val="25"/>
        </w:numPr>
        <w:spacing w:after="0"/>
        <w:rPr>
          <w:rFonts w:eastAsia="Calibri" w:cs="Calibri"/>
          <w:lang w:val="sq-AL"/>
        </w:rPr>
      </w:pPr>
      <w:r w:rsidRPr="00B23BCB">
        <w:rPr>
          <w:rFonts w:eastAsia="Calibri" w:cs="Calibri"/>
          <w:lang w:val="sq-AL"/>
        </w:rPr>
        <w:t>Frekuenca e grumbullimit do të jetë 52 herë në vit për kontejnerët për letër dhe karton dhe plastikë (ose kontejnerët e thatë) dhe 12 herë në vit për kontejnerët për qelqin;</w:t>
      </w:r>
    </w:p>
    <w:p w14:paraId="6F32BD08" w14:textId="77777777" w:rsidR="00B23BCB" w:rsidRPr="00B23BCB" w:rsidRDefault="00B23BCB" w:rsidP="00B23BCB">
      <w:pPr>
        <w:pStyle w:val="Paragraph"/>
        <w:numPr>
          <w:ilvl w:val="0"/>
          <w:numId w:val="25"/>
        </w:numPr>
        <w:spacing w:after="0"/>
        <w:rPr>
          <w:rFonts w:eastAsia="Calibri" w:cs="Calibri"/>
          <w:lang w:val="sq-AL"/>
        </w:rPr>
      </w:pPr>
      <w:r w:rsidRPr="00B23BCB">
        <w:rPr>
          <w:rFonts w:eastAsia="Calibri" w:cs="Calibri"/>
          <w:lang w:val="sq-AL"/>
        </w:rPr>
        <w:t xml:space="preserve">85% supozihet të jetë shfrytëzimi i ngarkesës nominale të automjeteve grumbulluese dhe 85% disponueshmëria kur përcaktohet numri i nevojshëm i automjeteve grumbulluese; </w:t>
      </w:r>
    </w:p>
    <w:p w14:paraId="088AD598" w14:textId="77777777" w:rsidR="00B23BCB" w:rsidRPr="00B23BCB" w:rsidRDefault="00B23BCB" w:rsidP="00B23BCB">
      <w:pPr>
        <w:pStyle w:val="Paragraph"/>
        <w:numPr>
          <w:ilvl w:val="0"/>
          <w:numId w:val="25"/>
        </w:numPr>
        <w:spacing w:after="0"/>
        <w:rPr>
          <w:rFonts w:eastAsia="Calibri" w:cs="Calibri"/>
          <w:lang w:val="sq-AL"/>
        </w:rPr>
      </w:pPr>
      <w:r w:rsidRPr="00B23BCB">
        <w:rPr>
          <w:rFonts w:eastAsia="Calibri" w:cs="Calibri"/>
          <w:lang w:val="sq-AL"/>
        </w:rPr>
        <w:t>Jetëgjatësia për kontejnerët dhe shportat është e pranueshme të jetë 7 vjet dhe 10 vjet për makinat për grumbulimin e mbeturinave;</w:t>
      </w:r>
    </w:p>
    <w:p w14:paraId="5130DB18" w14:textId="77777777" w:rsidR="00B23BCB" w:rsidRPr="00B23BCB" w:rsidRDefault="00B23BCB" w:rsidP="00B23BCB">
      <w:pPr>
        <w:pStyle w:val="Paragraph"/>
        <w:numPr>
          <w:ilvl w:val="0"/>
          <w:numId w:val="25"/>
        </w:numPr>
        <w:spacing w:after="0"/>
        <w:rPr>
          <w:rFonts w:eastAsia="Calibri" w:cs="Calibri"/>
          <w:lang w:val="sq-AL"/>
        </w:rPr>
      </w:pPr>
      <w:r w:rsidRPr="00B23BCB">
        <w:rPr>
          <w:rFonts w:eastAsia="Calibri" w:cs="Calibri"/>
          <w:lang w:val="sq-AL"/>
        </w:rPr>
        <w:t xml:space="preserve">Kostot për njësi prej 900 €/copë janë përdorur për kontejnerin Igloo 1,5 m³, 80 €/copë janë përdorur për shporta plastike 240 l dhe 140,000 €/copë për automjetet e grumbullimi prej 16,0 m³ . Kostot për mekanizmin e të kontejnerëve nuk janl marrë parasysh; </w:t>
      </w:r>
    </w:p>
    <w:p w14:paraId="5A520E5F" w14:textId="77777777" w:rsidR="00B23BCB" w:rsidRPr="00B23BCB" w:rsidRDefault="00B23BCB" w:rsidP="00B23BCB">
      <w:pPr>
        <w:pStyle w:val="Paragraph"/>
        <w:numPr>
          <w:ilvl w:val="0"/>
          <w:numId w:val="25"/>
        </w:numPr>
        <w:spacing w:after="0"/>
        <w:rPr>
          <w:rFonts w:eastAsia="Calibri" w:cs="Calibri"/>
          <w:lang w:val="sq-AL"/>
        </w:rPr>
      </w:pPr>
      <w:r w:rsidRPr="00B23BCB">
        <w:rPr>
          <w:rFonts w:eastAsia="Calibri" w:cs="Calibri"/>
          <w:lang w:val="sq-AL"/>
        </w:rPr>
        <w:t>Distancat mesatare të udhëtimit ndërmjet komunave dhe objektit të klasifikimit është matur në drejtim qendrës përkatëse të qytetit. Supozohet se objekti i klasifikimit do të jetë i pozicionuar në deponinë rajonale;</w:t>
      </w:r>
    </w:p>
    <w:p w14:paraId="18FE2682" w14:textId="77777777" w:rsidR="00B23BCB" w:rsidRPr="00B23BCB" w:rsidRDefault="00B23BCB" w:rsidP="00B23BCB">
      <w:pPr>
        <w:pStyle w:val="Paragraph"/>
        <w:numPr>
          <w:ilvl w:val="0"/>
          <w:numId w:val="25"/>
        </w:numPr>
        <w:spacing w:after="0"/>
        <w:rPr>
          <w:rFonts w:eastAsia="Calibri" w:cs="Calibri"/>
          <w:lang w:val="sq-AL"/>
        </w:rPr>
      </w:pPr>
      <w:r w:rsidRPr="00B23BCB">
        <w:rPr>
          <w:rFonts w:eastAsia="Calibri" w:cs="Calibri"/>
          <w:lang w:val="sq-AL"/>
        </w:rPr>
        <w:t>Koha mesatare e shpenzuar për shkarkim në vendin e klasifikimit do të jetë gjysmë ore. Koha ndërmjet udhëtimeve do të jetë gjithashtu gjysmë ore;</w:t>
      </w:r>
    </w:p>
    <w:p w14:paraId="69181474" w14:textId="77777777" w:rsidR="00B23BCB" w:rsidRPr="00B23BCB" w:rsidRDefault="00B23BCB" w:rsidP="00B23BCB">
      <w:pPr>
        <w:pStyle w:val="Paragraph"/>
        <w:numPr>
          <w:ilvl w:val="0"/>
          <w:numId w:val="25"/>
        </w:numPr>
        <w:spacing w:after="0"/>
        <w:rPr>
          <w:rFonts w:eastAsia="Calibri" w:cs="Calibri"/>
          <w:lang w:val="sq-AL"/>
        </w:rPr>
      </w:pPr>
      <w:r w:rsidRPr="00B23BCB">
        <w:rPr>
          <w:rFonts w:eastAsia="Calibri" w:cs="Calibri"/>
          <w:lang w:val="sq-AL"/>
        </w:rPr>
        <w:t>Kostot e punës llogariten për 46 javë pune për person, 5 ditë pune në javë dhe mesatarisht 5% pushim mjekësor mesatarisht ;</w:t>
      </w:r>
    </w:p>
    <w:p w14:paraId="5BD58E11" w14:textId="77777777" w:rsidR="00B23BCB" w:rsidRPr="00B23BCB" w:rsidRDefault="00B23BCB" w:rsidP="00B23BCB">
      <w:pPr>
        <w:pStyle w:val="Paragraph"/>
        <w:numPr>
          <w:ilvl w:val="0"/>
          <w:numId w:val="25"/>
        </w:numPr>
        <w:spacing w:after="0"/>
        <w:rPr>
          <w:rFonts w:eastAsia="Calibri" w:cs="Calibri"/>
          <w:lang w:val="sq-AL"/>
        </w:rPr>
      </w:pPr>
      <w:r w:rsidRPr="00B23BCB">
        <w:rPr>
          <w:rFonts w:eastAsia="Calibri" w:cs="Calibri"/>
          <w:lang w:val="sq-AL"/>
        </w:rPr>
        <w:t>Kostot për ndërgjegjësimin e publikut llogariten në masën 10% të kostos vjetore;</w:t>
      </w:r>
    </w:p>
    <w:p w14:paraId="50943A1E" w14:textId="2AB7F98B" w:rsidR="00430A79" w:rsidRPr="00B23BCB" w:rsidRDefault="00B23BCB" w:rsidP="00B23BCB">
      <w:pPr>
        <w:numPr>
          <w:ilvl w:val="0"/>
          <w:numId w:val="25"/>
        </w:numPr>
        <w:jc w:val="both"/>
        <w:rPr>
          <w:rFonts w:ascii="Arial Narrow" w:eastAsia="Calibri" w:hAnsi="Arial Narrow" w:cs="Calibri"/>
          <w:color w:val="000000" w:themeColor="text1"/>
          <w:sz w:val="22"/>
          <w:szCs w:val="22"/>
          <w:lang w:val="en-GB"/>
        </w:rPr>
      </w:pPr>
      <w:r w:rsidRPr="00B23BCB">
        <w:rPr>
          <w:rFonts w:ascii="Arial Narrow" w:eastAsia="Calibri" w:hAnsi="Arial Narrow" w:cs="Calibri"/>
          <w:sz w:val="22"/>
          <w:szCs w:val="22"/>
          <w:lang w:val="sq-AL"/>
        </w:rPr>
        <w:t>Kostot për administrimin e sistemit supozohet të jenë 10% e kostos direkte operacionale</w:t>
      </w:r>
      <w:r w:rsidR="00430A79" w:rsidRPr="00B23BCB">
        <w:rPr>
          <w:rFonts w:ascii="Arial Narrow" w:eastAsia="Calibri" w:hAnsi="Arial Narrow" w:cs="Calibri"/>
          <w:color w:val="000000" w:themeColor="text1"/>
          <w:sz w:val="22"/>
          <w:szCs w:val="22"/>
          <w:lang w:val="en-GB"/>
        </w:rPr>
        <w:t>.</w:t>
      </w:r>
    </w:p>
    <w:p w14:paraId="61867B38" w14:textId="77777777" w:rsidR="00430A79" w:rsidRPr="00430A79" w:rsidRDefault="00430A79" w:rsidP="00430A79">
      <w:pPr>
        <w:spacing w:after="120"/>
        <w:jc w:val="both"/>
        <w:rPr>
          <w:rFonts w:ascii="Arial Narrow" w:eastAsia="Calibri" w:hAnsi="Arial Narrow" w:cs="Calibri"/>
          <w:color w:val="1F497D"/>
          <w:sz w:val="20"/>
          <w:szCs w:val="20"/>
          <w:lang w:val="en-GB"/>
        </w:rPr>
      </w:pPr>
    </w:p>
    <w:p w14:paraId="7F3209E0" w14:textId="77777777" w:rsidR="00430A79" w:rsidRPr="00B23BCB" w:rsidRDefault="00430A79" w:rsidP="000D7AD0">
      <w:pPr>
        <w:pStyle w:val="Heading3"/>
      </w:pPr>
      <w:bookmarkStart w:id="354" w:name="_Toc185866118"/>
      <w:bookmarkStart w:id="355" w:name="_Toc197472015"/>
      <w:r w:rsidRPr="00B23BCB">
        <w:t>Krahasimi i kostos së opsioneve</w:t>
      </w:r>
      <w:bookmarkEnd w:id="354"/>
      <w:bookmarkEnd w:id="355"/>
    </w:p>
    <w:p w14:paraId="419A2594" w14:textId="77777777" w:rsidR="00B47E37" w:rsidRDefault="00B47E37" w:rsidP="00430A79">
      <w:pPr>
        <w:jc w:val="both"/>
        <w:rPr>
          <w:rFonts w:ascii="Arial Narrow" w:eastAsia="Calibri" w:hAnsi="Arial Narrow" w:cs="Calibri"/>
          <w:sz w:val="22"/>
          <w:szCs w:val="22"/>
          <w:lang w:val="sq-AL"/>
        </w:rPr>
      </w:pPr>
    </w:p>
    <w:p w14:paraId="3DB1E437" w14:textId="7F38D040" w:rsidR="00430A79" w:rsidRPr="009F5CA1" w:rsidRDefault="00B23BCB" w:rsidP="00430A79">
      <w:pPr>
        <w:jc w:val="both"/>
        <w:rPr>
          <w:rFonts w:ascii="Arial Narrow" w:eastAsia="Calibri" w:hAnsi="Arial Narrow" w:cs="Calibri"/>
          <w:color w:val="000000" w:themeColor="text1"/>
          <w:sz w:val="22"/>
          <w:szCs w:val="22"/>
          <w:lang w:val="sq-AL"/>
        </w:rPr>
      </w:pPr>
      <w:r w:rsidRPr="00B23BCB">
        <w:rPr>
          <w:rFonts w:ascii="Arial Narrow" w:eastAsia="Calibri" w:hAnsi="Arial Narrow" w:cs="Calibri"/>
          <w:sz w:val="22"/>
          <w:szCs w:val="22"/>
          <w:lang w:val="sq-AL"/>
        </w:rPr>
        <w:t>Tabela e mëposhtme paraqet dy opsionet me informacion mbi sasitë e mbeturinave të mbledhura ndaras, pajisjet e nevojshme, kostot e vlerësuara investuese dhe operacionale</w:t>
      </w:r>
      <w:r w:rsidR="00430A79" w:rsidRPr="009F5CA1">
        <w:rPr>
          <w:rFonts w:ascii="Arial Narrow" w:eastAsia="Calibri" w:hAnsi="Arial Narrow" w:cs="Calibri"/>
          <w:color w:val="000000" w:themeColor="text1"/>
          <w:sz w:val="22"/>
          <w:szCs w:val="22"/>
          <w:lang w:val="sq-AL"/>
        </w:rPr>
        <w:t>.</w:t>
      </w:r>
    </w:p>
    <w:p w14:paraId="6C8CE5F9" w14:textId="77777777" w:rsidR="00430A79" w:rsidRPr="009F5CA1" w:rsidRDefault="00430A79" w:rsidP="00430A79">
      <w:pPr>
        <w:spacing w:after="120"/>
        <w:jc w:val="both"/>
        <w:rPr>
          <w:rFonts w:ascii="Arial Narrow" w:eastAsia="Calibri" w:hAnsi="Arial Narrow" w:cs="Calibri"/>
          <w:color w:val="1F497D"/>
          <w:sz w:val="20"/>
          <w:szCs w:val="20"/>
          <w:lang w:val="sq-AL"/>
        </w:rPr>
        <w:sectPr w:rsidR="00430A79" w:rsidRPr="009F5CA1" w:rsidSect="00430A79">
          <w:pgSz w:w="11906" w:h="16838"/>
          <w:pgMar w:top="1440" w:right="1440" w:bottom="1440" w:left="1440" w:header="708" w:footer="708" w:gutter="0"/>
          <w:cols w:space="708"/>
          <w:docGrid w:linePitch="360"/>
        </w:sectPr>
      </w:pPr>
    </w:p>
    <w:p w14:paraId="745F730C" w14:textId="090508A8" w:rsidR="00430A79" w:rsidRPr="00430A79" w:rsidRDefault="00430A79" w:rsidP="00430A79">
      <w:pPr>
        <w:spacing w:after="120"/>
        <w:jc w:val="both"/>
        <w:rPr>
          <w:rFonts w:ascii="Arial Narrow" w:eastAsia="Calibri" w:hAnsi="Arial Narrow" w:cs="Calibri"/>
          <w:color w:val="1F497D"/>
          <w:sz w:val="20"/>
          <w:szCs w:val="20"/>
          <w:lang w:val="en-GB"/>
        </w:rPr>
      </w:pPr>
      <w:bookmarkStart w:id="356" w:name="_Toc185866206"/>
      <w:bookmarkStart w:id="357" w:name="_Toc197472235"/>
      <w:proofErr w:type="spellStart"/>
      <w:r w:rsidRPr="00430A79">
        <w:rPr>
          <w:rFonts w:ascii="Arial Narrow" w:eastAsia="Calibri" w:hAnsi="Arial Narrow" w:cs="Calibri"/>
          <w:color w:val="1F497D"/>
          <w:sz w:val="20"/>
          <w:szCs w:val="20"/>
          <w:lang w:val="en-GB"/>
        </w:rPr>
        <w:lastRenderedPageBreak/>
        <w:t>Tabela</w:t>
      </w:r>
      <w:proofErr w:type="spellEnd"/>
      <w:r w:rsidRPr="00430A79">
        <w:rPr>
          <w:rFonts w:ascii="Arial Narrow" w:eastAsia="Calibri" w:hAnsi="Arial Narrow" w:cs="Calibri"/>
          <w:color w:val="1F497D"/>
          <w:sz w:val="20"/>
          <w:szCs w:val="20"/>
          <w:lang w:val="en-GB"/>
        </w:rPr>
        <w:t xml:space="preserve"> </w:t>
      </w:r>
      <w:r w:rsidRPr="00430A79">
        <w:rPr>
          <w:rFonts w:ascii="Arial Narrow" w:eastAsia="Calibri" w:hAnsi="Arial Narrow" w:cs="Calibri"/>
          <w:color w:val="1F497D"/>
          <w:sz w:val="20"/>
          <w:szCs w:val="20"/>
          <w:lang w:val="en-GB"/>
        </w:rPr>
        <w:fldChar w:fldCharType="begin"/>
      </w:r>
      <w:r w:rsidRPr="00430A79">
        <w:rPr>
          <w:rFonts w:ascii="Arial Narrow" w:eastAsia="Calibri" w:hAnsi="Arial Narrow" w:cs="Calibri"/>
          <w:color w:val="1F497D"/>
          <w:sz w:val="20"/>
          <w:szCs w:val="20"/>
          <w:lang w:val="en-GB"/>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Pr>
          <w:rFonts w:ascii="Arial Narrow" w:eastAsia="Calibri" w:hAnsi="Arial Narrow" w:cs="Calibri"/>
          <w:noProof/>
          <w:color w:val="1F497D"/>
          <w:sz w:val="20"/>
          <w:szCs w:val="20"/>
          <w:lang w:val="en-GB"/>
        </w:rPr>
        <w:t xml:space="preserve">50. </w:t>
      </w:r>
      <w:r w:rsidRPr="00430A79">
        <w:rPr>
          <w:rFonts w:ascii="Arial Narrow" w:eastAsia="Calibri" w:hAnsi="Arial Narrow" w:cs="Calibri"/>
          <w:color w:val="1F497D"/>
          <w:sz w:val="20"/>
          <w:szCs w:val="20"/>
          <w:lang w:val="en-GB"/>
        </w:rPr>
        <w:fldChar w:fldCharType="end"/>
      </w:r>
      <w:proofErr w:type="spellStart"/>
      <w:r w:rsidRPr="00430A79">
        <w:rPr>
          <w:rFonts w:ascii="Arial Narrow" w:eastAsia="Calibri" w:hAnsi="Arial Narrow" w:cs="Calibri"/>
          <w:color w:val="1F497D"/>
          <w:sz w:val="20"/>
          <w:szCs w:val="20"/>
          <w:lang w:val="en-GB"/>
        </w:rPr>
        <w:t>Krahasimi</w:t>
      </w:r>
      <w:proofErr w:type="spellEnd"/>
      <w:r w:rsidRPr="00430A79">
        <w:rPr>
          <w:rFonts w:ascii="Arial Narrow" w:eastAsia="Calibri" w:hAnsi="Arial Narrow" w:cs="Calibri"/>
          <w:color w:val="1F497D"/>
          <w:sz w:val="20"/>
          <w:szCs w:val="20"/>
          <w:lang w:val="en-GB"/>
        </w:rPr>
        <w:t xml:space="preserve"> i </w:t>
      </w:r>
      <w:proofErr w:type="spellStart"/>
      <w:r w:rsidRPr="00430A79">
        <w:rPr>
          <w:rFonts w:ascii="Arial Narrow" w:eastAsia="Calibri" w:hAnsi="Arial Narrow" w:cs="Calibri"/>
          <w:color w:val="1F497D"/>
          <w:sz w:val="20"/>
          <w:szCs w:val="20"/>
          <w:lang w:val="en-GB"/>
        </w:rPr>
        <w:t>alternativave</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për</w:t>
      </w:r>
      <w:proofErr w:type="spellEnd"/>
      <w:r w:rsidRPr="00430A79">
        <w:rPr>
          <w:rFonts w:ascii="Arial Narrow" w:eastAsia="Calibri" w:hAnsi="Arial Narrow" w:cs="Calibri"/>
          <w:color w:val="1F497D"/>
          <w:sz w:val="20"/>
          <w:szCs w:val="20"/>
          <w:lang w:val="en-GB"/>
        </w:rPr>
        <w:t xml:space="preserve"> </w:t>
      </w:r>
      <w:proofErr w:type="spellStart"/>
      <w:r w:rsidR="00B23BCB">
        <w:rPr>
          <w:rFonts w:ascii="Arial Narrow" w:eastAsia="Calibri" w:hAnsi="Arial Narrow" w:cs="Calibri"/>
          <w:color w:val="1F497D"/>
          <w:sz w:val="20"/>
          <w:szCs w:val="20"/>
          <w:lang w:val="en-GB"/>
        </w:rPr>
        <w:t>grumbullimin</w:t>
      </w:r>
      <w:proofErr w:type="spellEnd"/>
      <w:r w:rsidR="00B23BCB">
        <w:rPr>
          <w:rFonts w:ascii="Arial Narrow" w:eastAsia="Calibri" w:hAnsi="Arial Narrow" w:cs="Calibri"/>
          <w:color w:val="1F497D"/>
          <w:sz w:val="20"/>
          <w:szCs w:val="20"/>
          <w:lang w:val="en-GB"/>
        </w:rPr>
        <w:t xml:space="preserve"> </w:t>
      </w:r>
      <w:proofErr w:type="spellStart"/>
      <w:r w:rsidR="00B23BCB">
        <w:rPr>
          <w:rFonts w:ascii="Arial Narrow" w:eastAsia="Calibri" w:hAnsi="Arial Narrow" w:cs="Calibri"/>
          <w:color w:val="1F497D"/>
          <w:sz w:val="20"/>
          <w:szCs w:val="20"/>
          <w:lang w:val="en-GB"/>
        </w:rPr>
        <w:t>bdaras</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të</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mbet</w:t>
      </w:r>
      <w:r w:rsidR="00B23BCB">
        <w:rPr>
          <w:rFonts w:ascii="Arial Narrow" w:eastAsia="Calibri" w:hAnsi="Arial Narrow" w:cs="Calibri"/>
          <w:color w:val="1F497D"/>
          <w:sz w:val="20"/>
          <w:szCs w:val="20"/>
          <w:lang w:val="en-GB"/>
        </w:rPr>
        <w:t>urinave</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të</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riciklueshme</w:t>
      </w:r>
      <w:bookmarkEnd w:id="356"/>
      <w:bookmarkEnd w:id="357"/>
      <w:proofErr w:type="spellEnd"/>
    </w:p>
    <w:tbl>
      <w:tblPr>
        <w:tblStyle w:val="TableGrid"/>
        <w:tblW w:w="4771" w:type="pct"/>
        <w:tblLook w:val="04A0" w:firstRow="1" w:lastRow="0" w:firstColumn="1" w:lastColumn="0" w:noHBand="0" w:noVBand="1"/>
      </w:tblPr>
      <w:tblGrid>
        <w:gridCol w:w="5387"/>
        <w:gridCol w:w="889"/>
        <w:gridCol w:w="929"/>
        <w:gridCol w:w="887"/>
        <w:gridCol w:w="836"/>
        <w:gridCol w:w="844"/>
        <w:gridCol w:w="929"/>
        <w:gridCol w:w="918"/>
        <w:gridCol w:w="761"/>
        <w:gridCol w:w="929"/>
      </w:tblGrid>
      <w:tr w:rsidR="00430A79" w:rsidRPr="00430A79" w14:paraId="1CCFF446" w14:textId="77777777" w:rsidTr="00B51B4B">
        <w:tc>
          <w:tcPr>
            <w:tcW w:w="2024" w:type="pct"/>
            <w:shd w:val="clear" w:color="auto" w:fill="365F91"/>
          </w:tcPr>
          <w:p w14:paraId="0CCD7B4A"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Parametri</w:t>
            </w:r>
          </w:p>
        </w:tc>
        <w:tc>
          <w:tcPr>
            <w:tcW w:w="334" w:type="pct"/>
            <w:shd w:val="clear" w:color="auto" w:fill="365F91"/>
          </w:tcPr>
          <w:p w14:paraId="41FF76F6"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Pejë</w:t>
            </w:r>
          </w:p>
        </w:tc>
        <w:tc>
          <w:tcPr>
            <w:tcW w:w="349" w:type="pct"/>
            <w:shd w:val="clear" w:color="auto" w:fill="365F91"/>
          </w:tcPr>
          <w:p w14:paraId="0083943D"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p>
        </w:tc>
        <w:tc>
          <w:tcPr>
            <w:tcW w:w="333" w:type="pct"/>
            <w:shd w:val="clear" w:color="auto" w:fill="365F91"/>
          </w:tcPr>
          <w:p w14:paraId="52DA859B"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Istog</w:t>
            </w:r>
          </w:p>
        </w:tc>
        <w:tc>
          <w:tcPr>
            <w:tcW w:w="314" w:type="pct"/>
            <w:shd w:val="clear" w:color="auto" w:fill="365F91"/>
          </w:tcPr>
          <w:p w14:paraId="244473E9"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p>
        </w:tc>
        <w:tc>
          <w:tcPr>
            <w:tcW w:w="317" w:type="pct"/>
            <w:shd w:val="clear" w:color="auto" w:fill="365F91"/>
          </w:tcPr>
          <w:p w14:paraId="711F8676" w14:textId="5A711B3C"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Klin</w:t>
            </w:r>
            <w:r w:rsidR="00B23BCB">
              <w:rPr>
                <w:rFonts w:ascii="Arial Narrow" w:eastAsia="Calibri" w:hAnsi="Arial Narrow" w:cs="Calibri"/>
                <w:b/>
                <w:color w:val="FFFFFF"/>
                <w:sz w:val="20"/>
                <w:szCs w:val="20"/>
              </w:rPr>
              <w:t>ë</w:t>
            </w:r>
          </w:p>
        </w:tc>
        <w:tc>
          <w:tcPr>
            <w:tcW w:w="349" w:type="pct"/>
            <w:shd w:val="clear" w:color="auto" w:fill="365F91"/>
          </w:tcPr>
          <w:p w14:paraId="61764E62"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p>
        </w:tc>
        <w:tc>
          <w:tcPr>
            <w:tcW w:w="345" w:type="pct"/>
            <w:shd w:val="clear" w:color="auto" w:fill="365F91"/>
          </w:tcPr>
          <w:p w14:paraId="12A9E6A3" w14:textId="5A2E5C34"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De</w:t>
            </w:r>
            <w:r w:rsidR="00B23BCB">
              <w:rPr>
                <w:rFonts w:ascii="Arial Narrow" w:eastAsia="Calibri" w:hAnsi="Arial Narrow" w:cs="Calibri"/>
                <w:b/>
                <w:color w:val="FFFFFF"/>
                <w:sz w:val="20"/>
                <w:szCs w:val="20"/>
              </w:rPr>
              <w:t>ç</w:t>
            </w:r>
            <w:r w:rsidRPr="00430A79">
              <w:rPr>
                <w:rFonts w:ascii="Arial Narrow" w:eastAsia="Calibri" w:hAnsi="Arial Narrow" w:cs="Calibri"/>
                <w:b/>
                <w:color w:val="FFFFFF"/>
                <w:sz w:val="20"/>
                <w:szCs w:val="20"/>
              </w:rPr>
              <w:t>an</w:t>
            </w:r>
          </w:p>
        </w:tc>
        <w:tc>
          <w:tcPr>
            <w:tcW w:w="286" w:type="pct"/>
            <w:shd w:val="clear" w:color="auto" w:fill="365F91"/>
          </w:tcPr>
          <w:p w14:paraId="1B01B74F"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p>
        </w:tc>
        <w:tc>
          <w:tcPr>
            <w:tcW w:w="349" w:type="pct"/>
            <w:shd w:val="clear" w:color="auto" w:fill="365F91"/>
          </w:tcPr>
          <w:p w14:paraId="2BE21F1A" w14:textId="2F133EF1"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Juni</w:t>
            </w:r>
            <w:r w:rsidR="00B23BCB">
              <w:rPr>
                <w:rFonts w:ascii="Arial Narrow" w:eastAsia="Calibri" w:hAnsi="Arial Narrow" w:cs="Calibri"/>
                <w:b/>
                <w:color w:val="FFFFFF"/>
                <w:sz w:val="20"/>
                <w:szCs w:val="20"/>
              </w:rPr>
              <w:t>k</w:t>
            </w:r>
          </w:p>
        </w:tc>
      </w:tr>
      <w:tr w:rsidR="00B23BCB" w:rsidRPr="00430A79" w14:paraId="12CA4223" w14:textId="77777777" w:rsidTr="00B51B4B">
        <w:tc>
          <w:tcPr>
            <w:tcW w:w="2024" w:type="pct"/>
            <w:shd w:val="clear" w:color="auto" w:fill="365F91"/>
          </w:tcPr>
          <w:p w14:paraId="70DAF45F" w14:textId="77777777" w:rsidR="00B23BCB" w:rsidRPr="00430A79" w:rsidRDefault="00B23BCB" w:rsidP="00B23BCB">
            <w:pPr>
              <w:widowControl w:val="0"/>
              <w:autoSpaceDE w:val="0"/>
              <w:autoSpaceDN w:val="0"/>
              <w:spacing w:before="60" w:after="60"/>
              <w:rPr>
                <w:rFonts w:eastAsia="Calibri" w:cs="Calibri"/>
                <w:bCs/>
                <w:color w:val="FFFFFF"/>
                <w:sz w:val="18"/>
                <w:szCs w:val="18"/>
              </w:rPr>
            </w:pPr>
          </w:p>
        </w:tc>
        <w:tc>
          <w:tcPr>
            <w:tcW w:w="334" w:type="pct"/>
            <w:shd w:val="clear" w:color="auto" w:fill="365F91"/>
          </w:tcPr>
          <w:p w14:paraId="1ADDE3A4" w14:textId="57E75CD0" w:rsidR="00B23BCB" w:rsidRPr="00430A79" w:rsidRDefault="00B23BCB" w:rsidP="00B23BCB">
            <w:pPr>
              <w:widowControl w:val="0"/>
              <w:autoSpaceDE w:val="0"/>
              <w:autoSpaceDN w:val="0"/>
              <w:spacing w:before="60" w:after="60"/>
              <w:rPr>
                <w:rFonts w:eastAsia="Calibri" w:cs="Calibri"/>
                <w:bCs/>
                <w:color w:val="FFFFFF"/>
                <w:sz w:val="18"/>
                <w:szCs w:val="18"/>
              </w:rPr>
            </w:pPr>
            <w:r w:rsidRPr="00BE2534">
              <w:rPr>
                <w:rFonts w:ascii="Arial Narrow" w:eastAsia="Calibri" w:hAnsi="Arial Narrow" w:cs="Calibri"/>
                <w:bCs/>
                <w:color w:val="FFFFFF"/>
                <w:sz w:val="18"/>
                <w:szCs w:val="18"/>
                <w:lang w:val="sq-AL"/>
              </w:rPr>
              <w:t>Igloo 3x1,5 m³</w:t>
            </w:r>
          </w:p>
        </w:tc>
        <w:tc>
          <w:tcPr>
            <w:tcW w:w="349" w:type="pct"/>
            <w:shd w:val="clear" w:color="auto" w:fill="365F91"/>
          </w:tcPr>
          <w:p w14:paraId="4D72B942" w14:textId="7DD246E7" w:rsidR="00B23BCB" w:rsidRPr="00430A79" w:rsidRDefault="00B23BCB" w:rsidP="00B23BCB">
            <w:pPr>
              <w:widowControl w:val="0"/>
              <w:autoSpaceDE w:val="0"/>
              <w:autoSpaceDN w:val="0"/>
              <w:spacing w:before="60" w:after="60"/>
              <w:rPr>
                <w:rFonts w:eastAsia="Calibri" w:cs="Calibri"/>
                <w:bCs/>
                <w:color w:val="FFFFFF"/>
                <w:sz w:val="18"/>
                <w:szCs w:val="18"/>
              </w:rPr>
            </w:pPr>
            <w:r w:rsidRPr="00BE2534">
              <w:rPr>
                <w:rFonts w:ascii="Arial Narrow" w:eastAsia="Calibri" w:hAnsi="Arial Narrow" w:cs="Calibri"/>
                <w:bCs/>
                <w:color w:val="FFFFFF"/>
                <w:sz w:val="18"/>
                <w:szCs w:val="18"/>
                <w:lang w:val="sq-AL"/>
              </w:rPr>
              <w:t>Shporta 240 l</w:t>
            </w:r>
          </w:p>
        </w:tc>
        <w:tc>
          <w:tcPr>
            <w:tcW w:w="333" w:type="pct"/>
            <w:shd w:val="clear" w:color="auto" w:fill="365F91"/>
          </w:tcPr>
          <w:p w14:paraId="4539F909" w14:textId="4B5FD80D" w:rsidR="00B23BCB" w:rsidRPr="00430A79" w:rsidRDefault="00B23BCB" w:rsidP="00B23BCB">
            <w:pPr>
              <w:widowControl w:val="0"/>
              <w:autoSpaceDE w:val="0"/>
              <w:autoSpaceDN w:val="0"/>
              <w:spacing w:before="60" w:after="60"/>
              <w:rPr>
                <w:rFonts w:ascii="Arial Narrow" w:eastAsia="Calibri" w:hAnsi="Arial Narrow" w:cs="Calibri"/>
                <w:bCs/>
                <w:color w:val="FFFFFF"/>
                <w:sz w:val="18"/>
                <w:szCs w:val="18"/>
              </w:rPr>
            </w:pPr>
            <w:r w:rsidRPr="00BE2534">
              <w:rPr>
                <w:rFonts w:ascii="Arial Narrow" w:eastAsia="Calibri" w:hAnsi="Arial Narrow" w:cs="Calibri"/>
                <w:bCs/>
                <w:color w:val="FFFFFF"/>
                <w:sz w:val="18"/>
                <w:szCs w:val="18"/>
                <w:lang w:val="sq-AL"/>
              </w:rPr>
              <w:t>Igloo 3x1,5 m³</w:t>
            </w:r>
          </w:p>
        </w:tc>
        <w:tc>
          <w:tcPr>
            <w:tcW w:w="314" w:type="pct"/>
            <w:shd w:val="clear" w:color="auto" w:fill="365F91"/>
          </w:tcPr>
          <w:p w14:paraId="5C13A2DD" w14:textId="3977C603" w:rsidR="00B23BCB" w:rsidRPr="00430A79" w:rsidRDefault="00B23BCB" w:rsidP="00B23BCB">
            <w:pPr>
              <w:widowControl w:val="0"/>
              <w:autoSpaceDE w:val="0"/>
              <w:autoSpaceDN w:val="0"/>
              <w:spacing w:before="60" w:after="60"/>
              <w:rPr>
                <w:rFonts w:ascii="Arial Narrow" w:eastAsia="Calibri" w:hAnsi="Arial Narrow" w:cs="Calibri"/>
                <w:bCs/>
                <w:color w:val="FFFFFF"/>
                <w:sz w:val="18"/>
                <w:szCs w:val="18"/>
              </w:rPr>
            </w:pPr>
            <w:r w:rsidRPr="00BE2534">
              <w:rPr>
                <w:rFonts w:ascii="Arial Narrow" w:eastAsia="Calibri" w:hAnsi="Arial Narrow" w:cs="Calibri"/>
                <w:bCs/>
                <w:color w:val="FFFFFF"/>
                <w:sz w:val="18"/>
                <w:szCs w:val="18"/>
                <w:lang w:val="sq-AL"/>
              </w:rPr>
              <w:t>Shporta 240 l</w:t>
            </w:r>
          </w:p>
        </w:tc>
        <w:tc>
          <w:tcPr>
            <w:tcW w:w="317" w:type="pct"/>
            <w:shd w:val="clear" w:color="auto" w:fill="365F91"/>
          </w:tcPr>
          <w:p w14:paraId="785BD4E5" w14:textId="2E65EF8F" w:rsidR="00B23BCB" w:rsidRPr="00430A79" w:rsidRDefault="00B23BCB" w:rsidP="00B23BCB">
            <w:pPr>
              <w:widowControl w:val="0"/>
              <w:autoSpaceDE w:val="0"/>
              <w:autoSpaceDN w:val="0"/>
              <w:spacing w:before="60" w:after="60"/>
              <w:rPr>
                <w:rFonts w:ascii="Arial Narrow" w:eastAsia="Calibri" w:hAnsi="Arial Narrow" w:cs="Calibri"/>
                <w:bCs/>
                <w:color w:val="FFFFFF"/>
                <w:sz w:val="18"/>
                <w:szCs w:val="18"/>
              </w:rPr>
            </w:pPr>
            <w:r w:rsidRPr="00BE2534">
              <w:rPr>
                <w:rFonts w:ascii="Arial Narrow" w:eastAsia="Calibri" w:hAnsi="Arial Narrow" w:cs="Calibri"/>
                <w:bCs/>
                <w:color w:val="FFFFFF"/>
                <w:sz w:val="18"/>
                <w:szCs w:val="18"/>
                <w:lang w:val="sq-AL"/>
              </w:rPr>
              <w:t>Igloo 3x1,5 m³</w:t>
            </w:r>
          </w:p>
        </w:tc>
        <w:tc>
          <w:tcPr>
            <w:tcW w:w="349" w:type="pct"/>
            <w:shd w:val="clear" w:color="auto" w:fill="365F91"/>
          </w:tcPr>
          <w:p w14:paraId="76034282" w14:textId="08DEE006" w:rsidR="00B23BCB" w:rsidRPr="00430A79" w:rsidRDefault="00B23BCB" w:rsidP="00B23BCB">
            <w:pPr>
              <w:widowControl w:val="0"/>
              <w:autoSpaceDE w:val="0"/>
              <w:autoSpaceDN w:val="0"/>
              <w:spacing w:before="60" w:after="60"/>
              <w:rPr>
                <w:rFonts w:ascii="Arial Narrow" w:eastAsia="Calibri" w:hAnsi="Arial Narrow" w:cs="Calibri"/>
                <w:bCs/>
                <w:color w:val="FFFFFF"/>
                <w:sz w:val="18"/>
                <w:szCs w:val="18"/>
              </w:rPr>
            </w:pPr>
            <w:r w:rsidRPr="00BE2534">
              <w:rPr>
                <w:rFonts w:ascii="Arial Narrow" w:eastAsia="Calibri" w:hAnsi="Arial Narrow" w:cs="Calibri"/>
                <w:bCs/>
                <w:color w:val="FFFFFF"/>
                <w:sz w:val="18"/>
                <w:szCs w:val="18"/>
                <w:lang w:val="sq-AL"/>
              </w:rPr>
              <w:t>Shporta 240 l</w:t>
            </w:r>
          </w:p>
        </w:tc>
        <w:tc>
          <w:tcPr>
            <w:tcW w:w="345" w:type="pct"/>
            <w:shd w:val="clear" w:color="auto" w:fill="365F91"/>
          </w:tcPr>
          <w:p w14:paraId="761B7606" w14:textId="141C6B5F" w:rsidR="00B23BCB" w:rsidRPr="00430A79" w:rsidRDefault="00B23BCB" w:rsidP="00B23BCB">
            <w:pPr>
              <w:widowControl w:val="0"/>
              <w:autoSpaceDE w:val="0"/>
              <w:autoSpaceDN w:val="0"/>
              <w:spacing w:before="60" w:after="60"/>
              <w:rPr>
                <w:rFonts w:ascii="Arial Narrow" w:eastAsia="Calibri" w:hAnsi="Arial Narrow" w:cs="Calibri"/>
                <w:bCs/>
                <w:color w:val="FFFFFF"/>
                <w:sz w:val="18"/>
                <w:szCs w:val="18"/>
              </w:rPr>
            </w:pPr>
            <w:r w:rsidRPr="00BE2534">
              <w:rPr>
                <w:rFonts w:ascii="Arial Narrow" w:eastAsia="Calibri" w:hAnsi="Arial Narrow" w:cs="Calibri"/>
                <w:bCs/>
                <w:color w:val="FFFFFF"/>
                <w:sz w:val="18"/>
                <w:szCs w:val="18"/>
                <w:lang w:val="sq-AL"/>
              </w:rPr>
              <w:t>Igloo 3x1,5 m³</w:t>
            </w:r>
          </w:p>
        </w:tc>
        <w:tc>
          <w:tcPr>
            <w:tcW w:w="286" w:type="pct"/>
            <w:shd w:val="clear" w:color="auto" w:fill="365F91"/>
          </w:tcPr>
          <w:p w14:paraId="168BCDAD" w14:textId="117C06C7" w:rsidR="00B23BCB" w:rsidRPr="00430A79" w:rsidRDefault="00B23BCB" w:rsidP="00B23BCB">
            <w:pPr>
              <w:widowControl w:val="0"/>
              <w:autoSpaceDE w:val="0"/>
              <w:autoSpaceDN w:val="0"/>
              <w:spacing w:before="60" w:after="60"/>
              <w:rPr>
                <w:rFonts w:ascii="Arial Narrow" w:eastAsia="Calibri" w:hAnsi="Arial Narrow" w:cs="Calibri"/>
                <w:bCs/>
                <w:color w:val="FFFFFF"/>
                <w:sz w:val="18"/>
                <w:szCs w:val="18"/>
              </w:rPr>
            </w:pPr>
            <w:r w:rsidRPr="00BE2534">
              <w:rPr>
                <w:rFonts w:ascii="Arial Narrow" w:eastAsia="Calibri" w:hAnsi="Arial Narrow" w:cs="Calibri"/>
                <w:bCs/>
                <w:color w:val="FFFFFF"/>
                <w:sz w:val="18"/>
                <w:szCs w:val="18"/>
                <w:lang w:val="sq-AL"/>
              </w:rPr>
              <w:t>Shporta 240 l</w:t>
            </w:r>
          </w:p>
        </w:tc>
        <w:tc>
          <w:tcPr>
            <w:tcW w:w="349" w:type="pct"/>
            <w:shd w:val="clear" w:color="auto" w:fill="365F91"/>
          </w:tcPr>
          <w:p w14:paraId="0C5E2551" w14:textId="10A4A1A9" w:rsidR="00B23BCB" w:rsidRPr="00430A79" w:rsidRDefault="00B23BCB" w:rsidP="00B23BCB">
            <w:pPr>
              <w:widowControl w:val="0"/>
              <w:autoSpaceDE w:val="0"/>
              <w:autoSpaceDN w:val="0"/>
              <w:spacing w:before="60" w:after="60"/>
              <w:rPr>
                <w:rFonts w:ascii="Arial Narrow" w:eastAsia="Calibri" w:hAnsi="Arial Narrow" w:cs="Calibri"/>
                <w:bCs/>
                <w:color w:val="FFFFFF"/>
                <w:sz w:val="18"/>
                <w:szCs w:val="18"/>
              </w:rPr>
            </w:pPr>
            <w:r w:rsidRPr="00BE2534">
              <w:rPr>
                <w:rFonts w:ascii="Arial Narrow" w:eastAsia="Calibri" w:hAnsi="Arial Narrow" w:cs="Calibri"/>
                <w:bCs/>
                <w:color w:val="FFFFFF"/>
                <w:sz w:val="18"/>
                <w:szCs w:val="18"/>
                <w:lang w:val="sq-AL"/>
              </w:rPr>
              <w:t>Shporta 240 l</w:t>
            </w:r>
          </w:p>
        </w:tc>
      </w:tr>
      <w:tr w:rsidR="00B51B4B" w:rsidRPr="00430A79" w14:paraId="0B646A1F" w14:textId="77777777" w:rsidTr="00B51B4B">
        <w:tc>
          <w:tcPr>
            <w:tcW w:w="2024" w:type="pct"/>
          </w:tcPr>
          <w:p w14:paraId="7457E48C" w14:textId="238B3392"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Mbeturinat e mbledhura </w:t>
            </w:r>
            <w:r>
              <w:rPr>
                <w:rFonts w:ascii="Arial Narrow" w:eastAsia="Calibri" w:hAnsi="Arial Narrow" w:cs="Calibri"/>
                <w:sz w:val="20"/>
                <w:szCs w:val="20"/>
                <w:lang w:val="sq-AL"/>
              </w:rPr>
              <w:t>ndaras</w:t>
            </w:r>
            <w:r w:rsidRPr="00BE2534">
              <w:rPr>
                <w:rFonts w:ascii="Arial Narrow" w:eastAsia="Calibri" w:hAnsi="Arial Narrow" w:cs="Calibri"/>
                <w:sz w:val="20"/>
                <w:szCs w:val="20"/>
                <w:lang w:val="sq-AL"/>
              </w:rPr>
              <w:t xml:space="preserve"> (2030)</w:t>
            </w:r>
          </w:p>
        </w:tc>
        <w:tc>
          <w:tcPr>
            <w:tcW w:w="334" w:type="pct"/>
          </w:tcPr>
          <w:p w14:paraId="6AE7B2A9"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10,065</w:t>
            </w:r>
          </w:p>
        </w:tc>
        <w:tc>
          <w:tcPr>
            <w:tcW w:w="349" w:type="pct"/>
          </w:tcPr>
          <w:p w14:paraId="55BDFB7F"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10,065</w:t>
            </w:r>
          </w:p>
        </w:tc>
        <w:tc>
          <w:tcPr>
            <w:tcW w:w="333" w:type="pct"/>
          </w:tcPr>
          <w:p w14:paraId="74662BF2"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2,670</w:t>
            </w:r>
          </w:p>
        </w:tc>
        <w:tc>
          <w:tcPr>
            <w:tcW w:w="314" w:type="pct"/>
          </w:tcPr>
          <w:p w14:paraId="0EB0E9F0"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2,670</w:t>
            </w:r>
          </w:p>
        </w:tc>
        <w:tc>
          <w:tcPr>
            <w:tcW w:w="317" w:type="pct"/>
          </w:tcPr>
          <w:p w14:paraId="340B5BF4"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1,797</w:t>
            </w:r>
          </w:p>
        </w:tc>
        <w:tc>
          <w:tcPr>
            <w:tcW w:w="349" w:type="pct"/>
          </w:tcPr>
          <w:p w14:paraId="32D36939"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1,797</w:t>
            </w:r>
          </w:p>
        </w:tc>
        <w:tc>
          <w:tcPr>
            <w:tcW w:w="345" w:type="pct"/>
          </w:tcPr>
          <w:p w14:paraId="7378716B"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1,616</w:t>
            </w:r>
          </w:p>
        </w:tc>
        <w:tc>
          <w:tcPr>
            <w:tcW w:w="286" w:type="pct"/>
          </w:tcPr>
          <w:p w14:paraId="6EA3FB2C"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1,616</w:t>
            </w:r>
          </w:p>
        </w:tc>
        <w:tc>
          <w:tcPr>
            <w:tcW w:w="349" w:type="pct"/>
          </w:tcPr>
          <w:p w14:paraId="23E7B701"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189</w:t>
            </w:r>
          </w:p>
        </w:tc>
      </w:tr>
      <w:tr w:rsidR="00B51B4B" w:rsidRPr="00430A79" w14:paraId="7F44D187" w14:textId="77777777" w:rsidTr="00B51B4B">
        <w:tc>
          <w:tcPr>
            <w:tcW w:w="2024" w:type="pct"/>
          </w:tcPr>
          <w:p w14:paraId="2647E90D" w14:textId="52864988"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Kërkohen kontejnerë të veçantë grumbullimi:</w:t>
            </w:r>
            <w:r w:rsidRPr="00BE2534">
              <w:rPr>
                <w:rStyle w:val="FootnoteReference"/>
                <w:rFonts w:eastAsia="Calibri" w:cs="Calibri"/>
                <w:szCs w:val="20"/>
                <w:lang w:val="sq-AL"/>
              </w:rPr>
              <w:footnoteReference w:id="23"/>
            </w:r>
          </w:p>
        </w:tc>
        <w:tc>
          <w:tcPr>
            <w:tcW w:w="334" w:type="pct"/>
          </w:tcPr>
          <w:p w14:paraId="2FC45DA2"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p>
        </w:tc>
        <w:tc>
          <w:tcPr>
            <w:tcW w:w="349" w:type="pct"/>
          </w:tcPr>
          <w:p w14:paraId="1B48D563"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p>
        </w:tc>
        <w:tc>
          <w:tcPr>
            <w:tcW w:w="333" w:type="pct"/>
          </w:tcPr>
          <w:p w14:paraId="542F0005"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p>
        </w:tc>
        <w:tc>
          <w:tcPr>
            <w:tcW w:w="314" w:type="pct"/>
          </w:tcPr>
          <w:p w14:paraId="2A209D7A"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p>
        </w:tc>
        <w:tc>
          <w:tcPr>
            <w:tcW w:w="317" w:type="pct"/>
          </w:tcPr>
          <w:p w14:paraId="40462D1C"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p>
        </w:tc>
        <w:tc>
          <w:tcPr>
            <w:tcW w:w="349" w:type="pct"/>
          </w:tcPr>
          <w:p w14:paraId="5F3D5234"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p>
        </w:tc>
        <w:tc>
          <w:tcPr>
            <w:tcW w:w="345" w:type="pct"/>
          </w:tcPr>
          <w:p w14:paraId="4E877639"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p>
        </w:tc>
        <w:tc>
          <w:tcPr>
            <w:tcW w:w="286" w:type="pct"/>
          </w:tcPr>
          <w:p w14:paraId="3DCF40AC"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p>
        </w:tc>
        <w:tc>
          <w:tcPr>
            <w:tcW w:w="349" w:type="pct"/>
          </w:tcPr>
          <w:p w14:paraId="52F0E9C3"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p>
        </w:tc>
      </w:tr>
      <w:tr w:rsidR="00B51B4B" w:rsidRPr="00430A79" w14:paraId="54B33A78" w14:textId="77777777" w:rsidTr="00B51B4B">
        <w:tc>
          <w:tcPr>
            <w:tcW w:w="2024" w:type="pct"/>
          </w:tcPr>
          <w:p w14:paraId="0E271345" w14:textId="00BCFDE2"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Shporta individuale 240 l</w:t>
            </w:r>
          </w:p>
        </w:tc>
        <w:tc>
          <w:tcPr>
            <w:tcW w:w="334" w:type="pct"/>
          </w:tcPr>
          <w:p w14:paraId="0C1AEED9"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349" w:type="pct"/>
          </w:tcPr>
          <w:p w14:paraId="0049B7D4"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16,207</w:t>
            </w:r>
          </w:p>
        </w:tc>
        <w:tc>
          <w:tcPr>
            <w:tcW w:w="333" w:type="pct"/>
          </w:tcPr>
          <w:p w14:paraId="271DEDF3"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314" w:type="pct"/>
          </w:tcPr>
          <w:p w14:paraId="423E4404"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4,529</w:t>
            </w:r>
          </w:p>
        </w:tc>
        <w:tc>
          <w:tcPr>
            <w:tcW w:w="317" w:type="pct"/>
          </w:tcPr>
          <w:p w14:paraId="69C43347"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349" w:type="pct"/>
          </w:tcPr>
          <w:p w14:paraId="26F0253A"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6,589</w:t>
            </w:r>
          </w:p>
        </w:tc>
        <w:tc>
          <w:tcPr>
            <w:tcW w:w="345" w:type="pct"/>
          </w:tcPr>
          <w:p w14:paraId="65D0F444"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286" w:type="pct"/>
          </w:tcPr>
          <w:p w14:paraId="1C37B883"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5,972</w:t>
            </w:r>
          </w:p>
        </w:tc>
        <w:tc>
          <w:tcPr>
            <w:tcW w:w="349" w:type="pct"/>
          </w:tcPr>
          <w:p w14:paraId="20AE2AF8"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711</w:t>
            </w:r>
          </w:p>
        </w:tc>
      </w:tr>
      <w:tr w:rsidR="00B51B4B" w:rsidRPr="00430A79" w14:paraId="272162AA" w14:textId="77777777" w:rsidTr="00B51B4B">
        <w:tc>
          <w:tcPr>
            <w:tcW w:w="2024" w:type="pct"/>
          </w:tcPr>
          <w:p w14:paraId="7AD6E748" w14:textId="4509B70E"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Igloo 1.5 m³ për letër dhe karton</w:t>
            </w:r>
          </w:p>
        </w:tc>
        <w:tc>
          <w:tcPr>
            <w:tcW w:w="334" w:type="pct"/>
          </w:tcPr>
          <w:p w14:paraId="21739F42"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799</w:t>
            </w:r>
          </w:p>
        </w:tc>
        <w:tc>
          <w:tcPr>
            <w:tcW w:w="349" w:type="pct"/>
          </w:tcPr>
          <w:p w14:paraId="6BB1623E"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333" w:type="pct"/>
          </w:tcPr>
          <w:p w14:paraId="0F12D85E"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217</w:t>
            </w:r>
          </w:p>
        </w:tc>
        <w:tc>
          <w:tcPr>
            <w:tcW w:w="314" w:type="pct"/>
          </w:tcPr>
          <w:p w14:paraId="61033ABB"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317" w:type="pct"/>
          </w:tcPr>
          <w:p w14:paraId="53F0F4B2"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145</w:t>
            </w:r>
          </w:p>
        </w:tc>
        <w:tc>
          <w:tcPr>
            <w:tcW w:w="349" w:type="pct"/>
          </w:tcPr>
          <w:p w14:paraId="5DE8258E"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345" w:type="pct"/>
          </w:tcPr>
          <w:p w14:paraId="2DF5B112"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133</w:t>
            </w:r>
          </w:p>
        </w:tc>
        <w:tc>
          <w:tcPr>
            <w:tcW w:w="286" w:type="pct"/>
          </w:tcPr>
          <w:p w14:paraId="4596DC60"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349" w:type="pct"/>
          </w:tcPr>
          <w:p w14:paraId="47912ABD"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r>
      <w:tr w:rsidR="00B51B4B" w:rsidRPr="00430A79" w14:paraId="0FDB9BBA" w14:textId="77777777" w:rsidTr="00B51B4B">
        <w:tc>
          <w:tcPr>
            <w:tcW w:w="2024" w:type="pct"/>
          </w:tcPr>
          <w:p w14:paraId="46D2CA9B" w14:textId="136DD5F1" w:rsidR="00B51B4B" w:rsidRPr="00430A79" w:rsidRDefault="00B51B4B" w:rsidP="00B51B4B">
            <w:pPr>
              <w:widowControl w:val="0"/>
              <w:autoSpaceDE w:val="0"/>
              <w:autoSpaceDN w:val="0"/>
              <w:spacing w:before="60" w:after="60"/>
              <w:ind w:right="123"/>
              <w:rPr>
                <w:rFonts w:eastAsia="Calibri" w:cs="Calibri"/>
                <w:sz w:val="20"/>
                <w:szCs w:val="20"/>
              </w:rPr>
            </w:pPr>
            <w:r w:rsidRPr="00BE2534">
              <w:rPr>
                <w:rFonts w:ascii="Arial Narrow" w:eastAsia="Calibri" w:hAnsi="Arial Narrow" w:cs="Calibri"/>
                <w:sz w:val="20"/>
                <w:szCs w:val="20"/>
                <w:lang w:val="sq-AL"/>
              </w:rPr>
              <w:t>Igloo 1.5 m³ për plastikë dhe metale</w:t>
            </w:r>
          </w:p>
        </w:tc>
        <w:tc>
          <w:tcPr>
            <w:tcW w:w="334" w:type="pct"/>
          </w:tcPr>
          <w:p w14:paraId="1FB374A7" w14:textId="77777777" w:rsidR="00B51B4B" w:rsidRPr="00430A79" w:rsidRDefault="00B51B4B" w:rsidP="00B51B4B">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799</w:t>
            </w:r>
          </w:p>
        </w:tc>
        <w:tc>
          <w:tcPr>
            <w:tcW w:w="349" w:type="pct"/>
          </w:tcPr>
          <w:p w14:paraId="428EE410" w14:textId="77777777" w:rsidR="00B51B4B" w:rsidRPr="00430A79" w:rsidRDefault="00B51B4B" w:rsidP="00B51B4B">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w:t>
            </w:r>
          </w:p>
        </w:tc>
        <w:tc>
          <w:tcPr>
            <w:tcW w:w="333" w:type="pct"/>
          </w:tcPr>
          <w:p w14:paraId="7ED018E5"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217</w:t>
            </w:r>
          </w:p>
        </w:tc>
        <w:tc>
          <w:tcPr>
            <w:tcW w:w="314" w:type="pct"/>
          </w:tcPr>
          <w:p w14:paraId="1057F64A"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317" w:type="pct"/>
          </w:tcPr>
          <w:p w14:paraId="19903A58"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145</w:t>
            </w:r>
          </w:p>
        </w:tc>
        <w:tc>
          <w:tcPr>
            <w:tcW w:w="349" w:type="pct"/>
          </w:tcPr>
          <w:p w14:paraId="4D1B040E"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345" w:type="pct"/>
          </w:tcPr>
          <w:p w14:paraId="20776EDF"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133</w:t>
            </w:r>
          </w:p>
        </w:tc>
        <w:tc>
          <w:tcPr>
            <w:tcW w:w="286" w:type="pct"/>
          </w:tcPr>
          <w:p w14:paraId="20E51610"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349" w:type="pct"/>
          </w:tcPr>
          <w:p w14:paraId="0F8C2E5F"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r>
      <w:tr w:rsidR="00B51B4B" w:rsidRPr="00430A79" w14:paraId="62830373" w14:textId="77777777" w:rsidTr="00B51B4B">
        <w:tc>
          <w:tcPr>
            <w:tcW w:w="2024" w:type="pct"/>
          </w:tcPr>
          <w:p w14:paraId="76F1DE4C" w14:textId="7F63B028" w:rsidR="00B51B4B" w:rsidRPr="00430A79" w:rsidRDefault="00B51B4B" w:rsidP="00B51B4B">
            <w:pPr>
              <w:widowControl w:val="0"/>
              <w:autoSpaceDE w:val="0"/>
              <w:autoSpaceDN w:val="0"/>
              <w:spacing w:before="60" w:after="60"/>
              <w:ind w:right="123"/>
              <w:rPr>
                <w:rFonts w:eastAsia="Calibri" w:cs="Calibri"/>
                <w:sz w:val="20"/>
                <w:szCs w:val="20"/>
              </w:rPr>
            </w:pPr>
            <w:r w:rsidRPr="00BE2534">
              <w:rPr>
                <w:rFonts w:ascii="Arial Narrow" w:eastAsia="Calibri" w:hAnsi="Arial Narrow" w:cs="Calibri"/>
                <w:sz w:val="20"/>
                <w:szCs w:val="20"/>
                <w:lang w:val="sq-AL"/>
              </w:rPr>
              <w:t>Igloo 1.5 m³ për xhami</w:t>
            </w:r>
          </w:p>
        </w:tc>
        <w:tc>
          <w:tcPr>
            <w:tcW w:w="334" w:type="pct"/>
          </w:tcPr>
          <w:p w14:paraId="37E9FE80" w14:textId="77777777" w:rsidR="00B51B4B" w:rsidRPr="00430A79" w:rsidRDefault="00B51B4B" w:rsidP="00B51B4B">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509</w:t>
            </w:r>
          </w:p>
        </w:tc>
        <w:tc>
          <w:tcPr>
            <w:tcW w:w="349" w:type="pct"/>
          </w:tcPr>
          <w:p w14:paraId="26D535C4" w14:textId="77777777" w:rsidR="00B51B4B" w:rsidRPr="00430A79" w:rsidRDefault="00B51B4B" w:rsidP="00B51B4B">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239</w:t>
            </w:r>
          </w:p>
        </w:tc>
        <w:tc>
          <w:tcPr>
            <w:tcW w:w="333" w:type="pct"/>
          </w:tcPr>
          <w:p w14:paraId="5C7C5BB2"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94</w:t>
            </w:r>
          </w:p>
        </w:tc>
        <w:tc>
          <w:tcPr>
            <w:tcW w:w="314" w:type="pct"/>
          </w:tcPr>
          <w:p w14:paraId="29D69E0C"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94</w:t>
            </w:r>
          </w:p>
        </w:tc>
        <w:tc>
          <w:tcPr>
            <w:tcW w:w="317" w:type="pct"/>
          </w:tcPr>
          <w:p w14:paraId="2979F8CB"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64</w:t>
            </w:r>
          </w:p>
        </w:tc>
        <w:tc>
          <w:tcPr>
            <w:tcW w:w="349" w:type="pct"/>
          </w:tcPr>
          <w:p w14:paraId="474A53B2"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64</w:t>
            </w:r>
          </w:p>
        </w:tc>
        <w:tc>
          <w:tcPr>
            <w:tcW w:w="345" w:type="pct"/>
          </w:tcPr>
          <w:p w14:paraId="0979A63D"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55</w:t>
            </w:r>
          </w:p>
        </w:tc>
        <w:tc>
          <w:tcPr>
            <w:tcW w:w="286" w:type="pct"/>
          </w:tcPr>
          <w:p w14:paraId="1AEB2C15"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55</w:t>
            </w:r>
          </w:p>
        </w:tc>
        <w:tc>
          <w:tcPr>
            <w:tcW w:w="349" w:type="pct"/>
          </w:tcPr>
          <w:p w14:paraId="4B06E4C4"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w:t>
            </w:r>
          </w:p>
        </w:tc>
      </w:tr>
      <w:tr w:rsidR="00B51B4B" w:rsidRPr="00430A79" w14:paraId="4A702E68" w14:textId="77777777" w:rsidTr="00B51B4B">
        <w:tc>
          <w:tcPr>
            <w:tcW w:w="2024" w:type="pct"/>
          </w:tcPr>
          <w:p w14:paraId="57284138" w14:textId="3103F387" w:rsidR="00B51B4B" w:rsidRPr="00430A79" w:rsidRDefault="00B51B4B" w:rsidP="00B51B4B">
            <w:pPr>
              <w:widowControl w:val="0"/>
              <w:autoSpaceDE w:val="0"/>
              <w:autoSpaceDN w:val="0"/>
              <w:spacing w:before="60" w:after="60"/>
              <w:ind w:right="123"/>
              <w:rPr>
                <w:rFonts w:eastAsia="Calibri" w:cs="Calibri"/>
                <w:sz w:val="20"/>
                <w:szCs w:val="20"/>
              </w:rPr>
            </w:pPr>
            <w:r w:rsidRPr="00BE2534">
              <w:rPr>
                <w:rFonts w:ascii="Arial Narrow" w:eastAsia="Calibri" w:hAnsi="Arial Narrow" w:cs="Calibri"/>
                <w:sz w:val="20"/>
                <w:szCs w:val="20"/>
                <w:lang w:val="sq-AL"/>
              </w:rPr>
              <w:t>Kërkohen automjete për grumbullimin e mbeturinave</w:t>
            </w:r>
          </w:p>
        </w:tc>
        <w:tc>
          <w:tcPr>
            <w:tcW w:w="334" w:type="pct"/>
          </w:tcPr>
          <w:p w14:paraId="3E5AF782" w14:textId="77777777" w:rsidR="00B51B4B" w:rsidRPr="00430A79" w:rsidRDefault="00B51B4B" w:rsidP="00B51B4B">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6.9</w:t>
            </w:r>
          </w:p>
        </w:tc>
        <w:tc>
          <w:tcPr>
            <w:tcW w:w="349" w:type="pct"/>
          </w:tcPr>
          <w:p w14:paraId="42D5FADC" w14:textId="77777777" w:rsidR="00B51B4B" w:rsidRPr="00430A79" w:rsidRDefault="00B51B4B" w:rsidP="00B51B4B">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4.4</w:t>
            </w:r>
          </w:p>
        </w:tc>
        <w:tc>
          <w:tcPr>
            <w:tcW w:w="333" w:type="pct"/>
          </w:tcPr>
          <w:p w14:paraId="2605B273"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2.3</w:t>
            </w:r>
          </w:p>
        </w:tc>
        <w:tc>
          <w:tcPr>
            <w:tcW w:w="314" w:type="pct"/>
          </w:tcPr>
          <w:p w14:paraId="439BA82A"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1.9</w:t>
            </w:r>
          </w:p>
        </w:tc>
        <w:tc>
          <w:tcPr>
            <w:tcW w:w="317" w:type="pct"/>
          </w:tcPr>
          <w:p w14:paraId="458F2A8D"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1.5</w:t>
            </w:r>
          </w:p>
        </w:tc>
        <w:tc>
          <w:tcPr>
            <w:tcW w:w="349" w:type="pct"/>
          </w:tcPr>
          <w:p w14:paraId="20602E27"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0.8</w:t>
            </w:r>
          </w:p>
        </w:tc>
        <w:tc>
          <w:tcPr>
            <w:tcW w:w="345" w:type="pct"/>
          </w:tcPr>
          <w:p w14:paraId="24D75A39"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w:t>
            </w:r>
          </w:p>
        </w:tc>
        <w:tc>
          <w:tcPr>
            <w:tcW w:w="286" w:type="pct"/>
          </w:tcPr>
          <w:p w14:paraId="74ACFE31"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0.9</w:t>
            </w:r>
          </w:p>
        </w:tc>
        <w:tc>
          <w:tcPr>
            <w:tcW w:w="349" w:type="pct"/>
          </w:tcPr>
          <w:p w14:paraId="2BA09490"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0.2</w:t>
            </w:r>
          </w:p>
        </w:tc>
      </w:tr>
      <w:tr w:rsidR="00B51B4B" w:rsidRPr="00430A79" w14:paraId="5334E647" w14:textId="77777777" w:rsidTr="00B51B4B">
        <w:tc>
          <w:tcPr>
            <w:tcW w:w="2024" w:type="pct"/>
          </w:tcPr>
          <w:p w14:paraId="4CB11A4E" w14:textId="112D6FFA" w:rsidR="00B51B4B" w:rsidRPr="00430A79" w:rsidRDefault="00B51B4B" w:rsidP="00B51B4B">
            <w:pPr>
              <w:widowControl w:val="0"/>
              <w:autoSpaceDE w:val="0"/>
              <w:autoSpaceDN w:val="0"/>
              <w:spacing w:before="60" w:after="60"/>
              <w:ind w:right="123"/>
              <w:rPr>
                <w:rFonts w:eastAsia="Calibri" w:cs="Calibri"/>
                <w:sz w:val="20"/>
                <w:szCs w:val="20"/>
              </w:rPr>
            </w:pPr>
            <w:r w:rsidRPr="00BE2534">
              <w:rPr>
                <w:rFonts w:ascii="Arial Narrow" w:eastAsia="Calibri" w:hAnsi="Arial Narrow" w:cs="Calibri"/>
                <w:sz w:val="20"/>
                <w:szCs w:val="20"/>
                <w:lang w:val="sq-AL"/>
              </w:rPr>
              <w:t>Automjetet e koleksionit që do të blihen</w:t>
            </w:r>
          </w:p>
        </w:tc>
        <w:tc>
          <w:tcPr>
            <w:tcW w:w="334" w:type="pct"/>
          </w:tcPr>
          <w:p w14:paraId="414B09F6" w14:textId="77777777" w:rsidR="00B51B4B" w:rsidRPr="00430A79" w:rsidRDefault="00B51B4B" w:rsidP="00B51B4B">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9.0</w:t>
            </w:r>
          </w:p>
        </w:tc>
        <w:tc>
          <w:tcPr>
            <w:tcW w:w="349" w:type="pct"/>
          </w:tcPr>
          <w:p w14:paraId="76CA0438" w14:textId="77777777" w:rsidR="00B51B4B" w:rsidRPr="00430A79" w:rsidRDefault="00B51B4B" w:rsidP="00B51B4B">
            <w:pPr>
              <w:widowControl w:val="0"/>
              <w:autoSpaceDE w:val="0"/>
              <w:autoSpaceDN w:val="0"/>
              <w:spacing w:before="60" w:after="60"/>
              <w:ind w:right="123"/>
              <w:rPr>
                <w:rFonts w:eastAsia="Calibri" w:cs="Calibri"/>
                <w:sz w:val="20"/>
                <w:szCs w:val="20"/>
              </w:rPr>
            </w:pPr>
            <w:r w:rsidRPr="00430A79">
              <w:rPr>
                <w:rFonts w:ascii="Arial Narrow" w:eastAsia="Calibri" w:hAnsi="Arial Narrow" w:cs="Calibri"/>
                <w:sz w:val="20"/>
                <w:szCs w:val="20"/>
              </w:rPr>
              <w:t>6.0</w:t>
            </w:r>
          </w:p>
        </w:tc>
        <w:tc>
          <w:tcPr>
            <w:tcW w:w="333" w:type="pct"/>
          </w:tcPr>
          <w:p w14:paraId="3F10E117"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4.0</w:t>
            </w:r>
          </w:p>
        </w:tc>
        <w:tc>
          <w:tcPr>
            <w:tcW w:w="314" w:type="pct"/>
          </w:tcPr>
          <w:p w14:paraId="0597F5DE"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3.0</w:t>
            </w:r>
          </w:p>
        </w:tc>
        <w:tc>
          <w:tcPr>
            <w:tcW w:w="317" w:type="pct"/>
          </w:tcPr>
          <w:p w14:paraId="31BFF634"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2.0</w:t>
            </w:r>
          </w:p>
        </w:tc>
        <w:tc>
          <w:tcPr>
            <w:tcW w:w="349" w:type="pct"/>
          </w:tcPr>
          <w:p w14:paraId="2C54F758"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w:t>
            </w:r>
          </w:p>
        </w:tc>
        <w:tc>
          <w:tcPr>
            <w:tcW w:w="345" w:type="pct"/>
          </w:tcPr>
          <w:p w14:paraId="52A1A543"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2.0</w:t>
            </w:r>
          </w:p>
        </w:tc>
        <w:tc>
          <w:tcPr>
            <w:tcW w:w="286" w:type="pct"/>
          </w:tcPr>
          <w:p w14:paraId="1E4DE152"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w:t>
            </w:r>
          </w:p>
        </w:tc>
        <w:tc>
          <w:tcPr>
            <w:tcW w:w="349" w:type="pct"/>
          </w:tcPr>
          <w:p w14:paraId="2CC9C26F"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0.3</w:t>
            </w:r>
            <w:r w:rsidRPr="00430A79">
              <w:rPr>
                <w:rFonts w:ascii="Arial" w:eastAsia="Calibri" w:hAnsi="Arial" w:cs="Calibri"/>
                <w:color w:val="4472C4" w:themeColor="accent1"/>
                <w:position w:val="6"/>
                <w:sz w:val="16"/>
                <w:szCs w:val="20"/>
              </w:rPr>
              <w:footnoteReference w:id="24"/>
            </w:r>
          </w:p>
        </w:tc>
      </w:tr>
      <w:tr w:rsidR="00B51B4B" w:rsidRPr="00430A79" w14:paraId="1DD42E30" w14:textId="77777777" w:rsidTr="00B51B4B">
        <w:tc>
          <w:tcPr>
            <w:tcW w:w="2024" w:type="pct"/>
          </w:tcPr>
          <w:p w14:paraId="2F731659" w14:textId="48C4CBEB"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Investimet, mijë €</w:t>
            </w:r>
            <w:r w:rsidRPr="00BE2534">
              <w:rPr>
                <w:rStyle w:val="FootnoteReference"/>
                <w:rFonts w:eastAsia="Calibri" w:cs="Calibri"/>
                <w:szCs w:val="20"/>
                <w:lang w:val="sq-AL"/>
              </w:rPr>
              <w:footnoteReference w:id="25"/>
            </w:r>
            <w:r w:rsidRPr="00BE2534">
              <w:rPr>
                <w:rFonts w:ascii="Arial Narrow" w:eastAsia="Calibri" w:hAnsi="Arial Narrow" w:cs="Calibri"/>
                <w:sz w:val="20"/>
                <w:szCs w:val="20"/>
                <w:lang w:val="sq-AL"/>
              </w:rPr>
              <w:t xml:space="preserve"> </w:t>
            </w:r>
          </w:p>
        </w:tc>
        <w:tc>
          <w:tcPr>
            <w:tcW w:w="334" w:type="pct"/>
          </w:tcPr>
          <w:p w14:paraId="6D2D2507"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3,492.8</w:t>
            </w:r>
          </w:p>
        </w:tc>
        <w:tc>
          <w:tcPr>
            <w:tcW w:w="349" w:type="pct"/>
          </w:tcPr>
          <w:p w14:paraId="77F26F6E"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2,342.0</w:t>
            </w:r>
          </w:p>
        </w:tc>
        <w:tc>
          <w:tcPr>
            <w:tcW w:w="333" w:type="pct"/>
          </w:tcPr>
          <w:p w14:paraId="2AA9D2C3"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1,208.7</w:t>
            </w:r>
          </w:p>
        </w:tc>
        <w:tc>
          <w:tcPr>
            <w:tcW w:w="314" w:type="pct"/>
          </w:tcPr>
          <w:p w14:paraId="500749CC"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777.2</w:t>
            </w:r>
          </w:p>
        </w:tc>
        <w:tc>
          <w:tcPr>
            <w:tcW w:w="317" w:type="pct"/>
          </w:tcPr>
          <w:p w14:paraId="42A6F179"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691,1</w:t>
            </w:r>
          </w:p>
        </w:tc>
        <w:tc>
          <w:tcPr>
            <w:tcW w:w="349" w:type="pct"/>
          </w:tcPr>
          <w:p w14:paraId="198A8B0C"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754.0</w:t>
            </w:r>
          </w:p>
        </w:tc>
        <w:tc>
          <w:tcPr>
            <w:tcW w:w="345" w:type="pct"/>
          </w:tcPr>
          <w:p w14:paraId="730507E6"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659.3</w:t>
            </w:r>
          </w:p>
        </w:tc>
        <w:tc>
          <w:tcPr>
            <w:tcW w:w="286" w:type="pct"/>
          </w:tcPr>
          <w:p w14:paraId="230CF9C5"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693.6</w:t>
            </w:r>
          </w:p>
        </w:tc>
        <w:tc>
          <w:tcPr>
            <w:tcW w:w="349" w:type="pct"/>
          </w:tcPr>
          <w:p w14:paraId="43D6ADBE"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106.4</w:t>
            </w:r>
          </w:p>
        </w:tc>
      </w:tr>
      <w:tr w:rsidR="00B51B4B" w:rsidRPr="00430A79" w14:paraId="18275A21" w14:textId="77777777" w:rsidTr="00B51B4B">
        <w:tc>
          <w:tcPr>
            <w:tcW w:w="2024" w:type="pct"/>
          </w:tcPr>
          <w:p w14:paraId="6FFCAAF2" w14:textId="7698A424"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Amortizimi, mijë €</w:t>
            </w:r>
          </w:p>
        </w:tc>
        <w:tc>
          <w:tcPr>
            <w:tcW w:w="334" w:type="pct"/>
          </w:tcPr>
          <w:p w14:paraId="4B36F901"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429.7</w:t>
            </w:r>
          </w:p>
        </w:tc>
        <w:tc>
          <w:tcPr>
            <w:tcW w:w="349" w:type="pct"/>
          </w:tcPr>
          <w:p w14:paraId="16FB7535"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302.2</w:t>
            </w:r>
          </w:p>
        </w:tc>
        <w:tc>
          <w:tcPr>
            <w:tcW w:w="333" w:type="pct"/>
          </w:tcPr>
          <w:p w14:paraId="47CC1D90"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142.6</w:t>
            </w:r>
          </w:p>
        </w:tc>
        <w:tc>
          <w:tcPr>
            <w:tcW w:w="314" w:type="pct"/>
          </w:tcPr>
          <w:p w14:paraId="7C96F6B3"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97.8</w:t>
            </w:r>
          </w:p>
        </w:tc>
        <w:tc>
          <w:tcPr>
            <w:tcW w:w="317" w:type="pct"/>
          </w:tcPr>
          <w:p w14:paraId="4683259E"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83,7</w:t>
            </w:r>
          </w:p>
        </w:tc>
        <w:tc>
          <w:tcPr>
            <w:tcW w:w="349" w:type="pct"/>
          </w:tcPr>
          <w:p w14:paraId="3046EA27"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101.7</w:t>
            </w:r>
          </w:p>
        </w:tc>
        <w:tc>
          <w:tcPr>
            <w:tcW w:w="345" w:type="pct"/>
          </w:tcPr>
          <w:p w14:paraId="2B91A626"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79.2</w:t>
            </w:r>
          </w:p>
        </w:tc>
        <w:tc>
          <w:tcPr>
            <w:tcW w:w="286" w:type="pct"/>
          </w:tcPr>
          <w:p w14:paraId="0D9FBA54"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93.1</w:t>
            </w:r>
          </w:p>
        </w:tc>
        <w:tc>
          <w:tcPr>
            <w:tcW w:w="349" w:type="pct"/>
          </w:tcPr>
          <w:p w14:paraId="43BBD6AC"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13.4</w:t>
            </w:r>
          </w:p>
        </w:tc>
      </w:tr>
      <w:tr w:rsidR="00B51B4B" w:rsidRPr="00430A79" w14:paraId="712D52CA" w14:textId="77777777" w:rsidTr="00B51B4B">
        <w:tc>
          <w:tcPr>
            <w:tcW w:w="2024" w:type="pct"/>
          </w:tcPr>
          <w:p w14:paraId="38B96F11" w14:textId="53137A8C"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operacionale, mijë €</w:t>
            </w:r>
            <w:r w:rsidRPr="00BE2534">
              <w:rPr>
                <w:rStyle w:val="FootnoteReference"/>
                <w:rFonts w:eastAsia="Calibri" w:cs="Calibri"/>
                <w:szCs w:val="20"/>
                <w:lang w:val="sq-AL"/>
              </w:rPr>
              <w:footnoteReference w:id="26"/>
            </w:r>
          </w:p>
        </w:tc>
        <w:tc>
          <w:tcPr>
            <w:tcW w:w="334" w:type="pct"/>
          </w:tcPr>
          <w:p w14:paraId="3CE6B92A"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807.3</w:t>
            </w:r>
          </w:p>
        </w:tc>
        <w:tc>
          <w:tcPr>
            <w:tcW w:w="349" w:type="pct"/>
          </w:tcPr>
          <w:p w14:paraId="7A5A5FDD"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507.9</w:t>
            </w:r>
          </w:p>
        </w:tc>
        <w:tc>
          <w:tcPr>
            <w:tcW w:w="333" w:type="pct"/>
          </w:tcPr>
          <w:p w14:paraId="781C98CB"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280.2</w:t>
            </w:r>
          </w:p>
        </w:tc>
        <w:tc>
          <w:tcPr>
            <w:tcW w:w="314" w:type="pct"/>
          </w:tcPr>
          <w:p w14:paraId="7C1E9928"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233.2</w:t>
            </w:r>
          </w:p>
        </w:tc>
        <w:tc>
          <w:tcPr>
            <w:tcW w:w="317" w:type="pct"/>
          </w:tcPr>
          <w:p w14:paraId="3CE685A6"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159,6</w:t>
            </w:r>
          </w:p>
        </w:tc>
        <w:tc>
          <w:tcPr>
            <w:tcW w:w="349" w:type="pct"/>
          </w:tcPr>
          <w:p w14:paraId="72A1FD5B"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120.9</w:t>
            </w:r>
          </w:p>
        </w:tc>
        <w:tc>
          <w:tcPr>
            <w:tcW w:w="345" w:type="pct"/>
          </w:tcPr>
          <w:p w14:paraId="4B8173E9"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157,6</w:t>
            </w:r>
          </w:p>
        </w:tc>
        <w:tc>
          <w:tcPr>
            <w:tcW w:w="286" w:type="pct"/>
          </w:tcPr>
          <w:p w14:paraId="40488231"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119.6</w:t>
            </w:r>
          </w:p>
        </w:tc>
        <w:tc>
          <w:tcPr>
            <w:tcW w:w="349" w:type="pct"/>
          </w:tcPr>
          <w:p w14:paraId="38B775C2"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25.8</w:t>
            </w:r>
          </w:p>
        </w:tc>
      </w:tr>
      <w:tr w:rsidR="00B51B4B" w:rsidRPr="00430A79" w14:paraId="599F868B" w14:textId="77777777" w:rsidTr="00B51B4B">
        <w:tc>
          <w:tcPr>
            <w:tcW w:w="2024" w:type="pct"/>
          </w:tcPr>
          <w:p w14:paraId="72CDFBE0" w14:textId="36D635DE"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Ulja e kostos për njësi për ton të gjeneruar, €/ ton</w:t>
            </w:r>
          </w:p>
        </w:tc>
        <w:tc>
          <w:tcPr>
            <w:tcW w:w="334" w:type="pct"/>
          </w:tcPr>
          <w:p w14:paraId="6344C12D"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26.1</w:t>
            </w:r>
          </w:p>
        </w:tc>
        <w:tc>
          <w:tcPr>
            <w:tcW w:w="349" w:type="pct"/>
          </w:tcPr>
          <w:p w14:paraId="5FB3BE7A"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16.88</w:t>
            </w:r>
          </w:p>
        </w:tc>
        <w:tc>
          <w:tcPr>
            <w:tcW w:w="333" w:type="pct"/>
          </w:tcPr>
          <w:p w14:paraId="0D9F3414"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27.60</w:t>
            </w:r>
          </w:p>
        </w:tc>
        <w:tc>
          <w:tcPr>
            <w:tcW w:w="314" w:type="pct"/>
          </w:tcPr>
          <w:p w14:paraId="2F9D8A01"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22.40</w:t>
            </w:r>
          </w:p>
        </w:tc>
        <w:tc>
          <w:tcPr>
            <w:tcW w:w="317" w:type="pct"/>
          </w:tcPr>
          <w:p w14:paraId="49C41EAE"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26.25</w:t>
            </w:r>
          </w:p>
        </w:tc>
        <w:tc>
          <w:tcPr>
            <w:tcW w:w="349" w:type="pct"/>
          </w:tcPr>
          <w:p w14:paraId="03D9DCA5"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23.75</w:t>
            </w:r>
          </w:p>
        </w:tc>
        <w:tc>
          <w:tcPr>
            <w:tcW w:w="345" w:type="pct"/>
          </w:tcPr>
          <w:p w14:paraId="57F25AD7"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25.19</w:t>
            </w:r>
          </w:p>
        </w:tc>
        <w:tc>
          <w:tcPr>
            <w:tcW w:w="286" w:type="pct"/>
          </w:tcPr>
          <w:p w14:paraId="0793CD17"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24.50</w:t>
            </w:r>
          </w:p>
        </w:tc>
        <w:tc>
          <w:tcPr>
            <w:tcW w:w="349" w:type="pct"/>
          </w:tcPr>
          <w:p w14:paraId="4C2F9CCF" w14:textId="77777777" w:rsidR="00B51B4B" w:rsidRPr="00430A79" w:rsidRDefault="00B51B4B" w:rsidP="00B51B4B">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32.80</w:t>
            </w:r>
          </w:p>
        </w:tc>
      </w:tr>
    </w:tbl>
    <w:p w14:paraId="57F95810" w14:textId="77777777" w:rsidR="00430A79" w:rsidRPr="00430A79" w:rsidRDefault="00430A79" w:rsidP="00430A79">
      <w:pPr>
        <w:jc w:val="both"/>
        <w:rPr>
          <w:rFonts w:ascii="Arial Narrow" w:eastAsia="Calibri" w:hAnsi="Arial Narrow" w:cs="Calibri"/>
          <w:color w:val="000000" w:themeColor="text1"/>
          <w:sz w:val="22"/>
          <w:szCs w:val="22"/>
          <w:lang w:val="en-GB"/>
        </w:rPr>
      </w:pPr>
    </w:p>
    <w:p w14:paraId="13B4484A" w14:textId="77777777" w:rsidR="00430A79" w:rsidRPr="00430A79" w:rsidRDefault="00430A79" w:rsidP="00430A79">
      <w:pPr>
        <w:jc w:val="both"/>
        <w:rPr>
          <w:rFonts w:ascii="Arial Narrow" w:eastAsia="Calibri" w:hAnsi="Arial Narrow" w:cs="Calibri"/>
          <w:color w:val="000000" w:themeColor="text1"/>
          <w:sz w:val="22"/>
          <w:szCs w:val="22"/>
          <w:lang w:val="en-GB"/>
        </w:rPr>
        <w:sectPr w:rsidR="00430A79" w:rsidRPr="00430A79" w:rsidSect="00430A79">
          <w:pgSz w:w="16838" w:h="11906" w:orient="landscape"/>
          <w:pgMar w:top="1440" w:right="1440" w:bottom="1440" w:left="1440" w:header="708" w:footer="708" w:gutter="0"/>
          <w:cols w:space="708"/>
          <w:docGrid w:linePitch="360"/>
        </w:sectPr>
      </w:pPr>
    </w:p>
    <w:p w14:paraId="69C9E764" w14:textId="77777777" w:rsidR="00B51B4B" w:rsidRPr="00B51B4B" w:rsidRDefault="00B51B4B" w:rsidP="00B51B4B">
      <w:pPr>
        <w:pStyle w:val="Paragraph"/>
        <w:spacing w:after="0"/>
        <w:rPr>
          <w:rFonts w:eastAsia="Calibri" w:cs="Calibri"/>
          <w:lang w:val="sq-AL"/>
        </w:rPr>
      </w:pPr>
      <w:r w:rsidRPr="00B51B4B">
        <w:rPr>
          <w:rFonts w:eastAsia="Calibri" w:cs="Calibri"/>
          <w:lang w:val="sq-AL"/>
        </w:rPr>
        <w:lastRenderedPageBreak/>
        <w:t>Sistemi i veçantë i grumbullimit i bazuar në shporta plastikë individualë për mbeturina të përziera të riciklueshme dheai i kontejnerëve Igloo për grumbullimin e ambalazheve prej qelqi rekomandohet për zbatim në të ardhmen.</w:t>
      </w:r>
    </w:p>
    <w:p w14:paraId="01BEC704" w14:textId="77777777" w:rsidR="00B51B4B" w:rsidRPr="00B51B4B" w:rsidRDefault="00B51B4B" w:rsidP="00B51B4B">
      <w:pPr>
        <w:pStyle w:val="Paragraph"/>
        <w:spacing w:after="0"/>
        <w:rPr>
          <w:rFonts w:eastAsia="Calibri" w:cs="Calibri"/>
          <w:lang w:val="sq-AL"/>
        </w:rPr>
      </w:pPr>
      <w:r w:rsidRPr="00B51B4B">
        <w:rPr>
          <w:rFonts w:eastAsia="Calibri" w:cs="Calibri"/>
          <w:lang w:val="sq-AL"/>
        </w:rPr>
        <w:t>Sistemi për grumbullimin ndaras të materialeve të riciklueshme duhet të krijohet bazuar në parimin PZP. Për mbeturinat komunale, PZP do të duhet të mbulojë të gjitha mbeturinat e ambalazhit. Pritet që skema(t) e PZP për mbeturinat e ambalazhit të bëhen funksionale në vitin 2026. Pasi të vendosen skemat PZP, komunat do të duhet të bashkëpunojnë me Organizatën e Përgjegjësisë së Prodhuesit (OPP) në ngritjen e sistemeve të veçanta të grumbullimit të mbeturinave në territoret e tyre.</w:t>
      </w:r>
    </w:p>
    <w:p w14:paraId="68B4B2F4" w14:textId="0EE59635" w:rsidR="00430A79" w:rsidRPr="009F5CA1" w:rsidRDefault="00B51B4B" w:rsidP="00B51B4B">
      <w:pPr>
        <w:jc w:val="both"/>
        <w:rPr>
          <w:rFonts w:ascii="Arial Narrow" w:eastAsia="Calibri" w:hAnsi="Arial Narrow" w:cs="Calibri"/>
          <w:color w:val="000000" w:themeColor="text1"/>
          <w:sz w:val="22"/>
          <w:szCs w:val="22"/>
          <w:lang w:val="sq-AL"/>
        </w:rPr>
      </w:pPr>
      <w:r w:rsidRPr="00B51B4B">
        <w:rPr>
          <w:rFonts w:ascii="Arial Narrow" w:eastAsia="Calibri" w:hAnsi="Arial Narrow" w:cs="Calibri"/>
          <w:sz w:val="22"/>
          <w:szCs w:val="22"/>
          <w:lang w:val="sq-AL"/>
        </w:rPr>
        <w:t>Skemat PZP do të jenë përgjegjëse për mbulimin e kostove të sistemit për grumbullimin veç eveç të mbeturinave. Përkatësisht, të hyrat nga shitja e lëndëve të riciklueshme do t'i takojnë OPP-së</w:t>
      </w:r>
      <w:r w:rsidR="00430A79" w:rsidRPr="009F5CA1">
        <w:rPr>
          <w:rFonts w:ascii="Arial Narrow" w:eastAsia="Calibri" w:hAnsi="Arial Narrow" w:cs="Calibri"/>
          <w:color w:val="000000" w:themeColor="text1"/>
          <w:sz w:val="22"/>
          <w:szCs w:val="22"/>
          <w:lang w:val="sq-AL"/>
        </w:rPr>
        <w:t>.</w:t>
      </w:r>
    </w:p>
    <w:p w14:paraId="116BE5C7" w14:textId="6D606B40" w:rsidR="00B51B4B" w:rsidRPr="009F5CA1" w:rsidRDefault="00B51B4B" w:rsidP="00B51B4B">
      <w:pPr>
        <w:jc w:val="both"/>
        <w:rPr>
          <w:rFonts w:ascii="Arial Narrow" w:eastAsia="Calibri" w:hAnsi="Arial Narrow" w:cs="Calibri"/>
          <w:color w:val="000000" w:themeColor="text1"/>
          <w:sz w:val="22"/>
          <w:szCs w:val="22"/>
          <w:lang w:val="sq-AL"/>
        </w:rPr>
      </w:pPr>
    </w:p>
    <w:p w14:paraId="1B9B489C" w14:textId="26FF6E49" w:rsidR="00B51B4B" w:rsidRPr="009F5CA1" w:rsidRDefault="00B47E37" w:rsidP="00B51B4B">
      <w:pPr>
        <w:jc w:val="both"/>
        <w:rPr>
          <w:rFonts w:ascii="Arial Narrow" w:eastAsia="Calibri" w:hAnsi="Arial Narrow" w:cs="Calibri"/>
          <w:color w:val="000000" w:themeColor="text1"/>
          <w:sz w:val="22"/>
          <w:szCs w:val="22"/>
          <w:lang w:val="sq-AL"/>
        </w:rPr>
      </w:pPr>
      <w:r w:rsidRPr="00BE2534">
        <w:rPr>
          <w:rFonts w:eastAsia="Calibri" w:cs="Calibri"/>
          <w:noProof/>
          <w:lang w:val="sq-AL"/>
        </w:rPr>
        <mc:AlternateContent>
          <mc:Choice Requires="wps">
            <w:drawing>
              <wp:anchor distT="0" distB="0" distL="114300" distR="114300" simplePos="0" relativeHeight="251694080" behindDoc="0" locked="0" layoutInCell="1" allowOverlap="1" wp14:anchorId="32F533B5" wp14:editId="4CB963DC">
                <wp:simplePos x="0" y="0"/>
                <wp:positionH relativeFrom="margin">
                  <wp:align>left</wp:align>
                </wp:positionH>
                <wp:positionV relativeFrom="paragraph">
                  <wp:posOffset>7620</wp:posOffset>
                </wp:positionV>
                <wp:extent cx="5797550" cy="6500692"/>
                <wp:effectExtent l="0" t="0" r="12700" b="14605"/>
                <wp:wrapNone/>
                <wp:docPr id="1425964116" name="Rectangle 12"/>
                <wp:cNvGraphicFramePr/>
                <a:graphic xmlns:a="http://schemas.openxmlformats.org/drawingml/2006/main">
                  <a:graphicData uri="http://schemas.microsoft.com/office/word/2010/wordprocessingShape">
                    <wps:wsp>
                      <wps:cNvSpPr/>
                      <wps:spPr>
                        <a:xfrm>
                          <a:off x="0" y="0"/>
                          <a:ext cx="5797550" cy="6500692"/>
                        </a:xfrm>
                        <a:prstGeom prst="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9148D6B" w14:textId="77777777" w:rsidR="009B1BBF" w:rsidRPr="00B47E37" w:rsidRDefault="009B1BBF" w:rsidP="00B47E37">
                            <w:pPr>
                              <w:jc w:val="both"/>
                              <w:rPr>
                                <w:rFonts w:ascii="Arial Narrow" w:hAnsi="Arial Narrow"/>
                                <w:b/>
                                <w:bCs/>
                                <w:color w:val="000000" w:themeColor="text1"/>
                                <w:sz w:val="22"/>
                                <w:szCs w:val="22"/>
                              </w:rPr>
                            </w:pPr>
                            <w:r w:rsidRPr="00B47E37">
                              <w:rPr>
                                <w:rFonts w:ascii="Arial Narrow" w:hAnsi="Arial Narrow"/>
                                <w:b/>
                                <w:bCs/>
                                <w:color w:val="000000" w:themeColor="text1"/>
                                <w:sz w:val="22"/>
                                <w:szCs w:val="22"/>
                              </w:rPr>
                              <w:t>Përgjegjësia e Zgjeruar e Prodhuesit për mbeturinat e ambalazhit</w:t>
                            </w:r>
                          </w:p>
                          <w:p w14:paraId="148200D0" w14:textId="77777777" w:rsidR="009B1BBF" w:rsidRPr="00B47E37" w:rsidRDefault="009B1BBF" w:rsidP="00B47E37">
                            <w:pPr>
                              <w:jc w:val="both"/>
                              <w:rPr>
                                <w:rFonts w:ascii="Arial Narrow" w:hAnsi="Arial Narrow"/>
                                <w:b/>
                                <w:bCs/>
                                <w:color w:val="000000" w:themeColor="text1"/>
                                <w:sz w:val="22"/>
                                <w:szCs w:val="22"/>
                              </w:rPr>
                            </w:pPr>
                          </w:p>
                          <w:p w14:paraId="5A65F537" w14:textId="77777777" w:rsidR="009B1BBF" w:rsidRDefault="009B1BBF" w:rsidP="00B47E37">
                            <w:pPr>
                              <w:jc w:val="both"/>
                              <w:rPr>
                                <w:rFonts w:ascii="Arial Narrow" w:hAnsi="Arial Narrow"/>
                                <w:color w:val="000000" w:themeColor="text1"/>
                                <w:sz w:val="22"/>
                                <w:szCs w:val="22"/>
                              </w:rPr>
                            </w:pPr>
                            <w:r w:rsidRPr="00B47E37">
                              <w:rPr>
                                <w:rFonts w:ascii="Arial Narrow" w:hAnsi="Arial Narrow"/>
                                <w:color w:val="000000" w:themeColor="text1"/>
                                <w:sz w:val="22"/>
                                <w:szCs w:val="22"/>
                              </w:rPr>
                              <w:t>Për të forcuar parandalimin, ripërdorimin, riciklimin dhe rikuperimin e mbeturinave, vendet mund të marrin masa legjislative ose jo legjislative për të siguruar që çdo person fizik ose juridik që zhvillon, prodhon, përpunon, trajton, shet ose importon produkte në mënyrë profesionale (prodhuesi i produktit) ka përgjegjësi të zgjeruar të prodhuesit. Masa të tilla mund të përfshijnë pranimin e produkteve të kthyera dhe të mbeturinave që mbeten pasi ato produkte janë përdorur, si dhe menaxhimin e mëpasshëm të mbeturinave dhe përgjegjësinë financiare për aktivitete të tilla. Masat gjithashtu mund të nxisin dizajnimin e produkteve me qëllim që të reduktohen ndikimet e tyre mjedisore dhe gjenerimi i mbeturinave gjatë prodhimit dhe përdorimit pasues të produkteve. Masa të tilla mund të nxisin zhvillimin, prodhimin dhe marketingun e produkteve që janë të përshtatshme për përdorim të shumëfishtë, që janë teknikisht të qëndrueshme dhe që, pasi janë bërë mbeturinë, janë të përshtatshme për rikuperim të duhur e të sigurt dhe për deponim në pajtueshmëri me mjedisin.</w:t>
                            </w:r>
                          </w:p>
                          <w:p w14:paraId="25F073BF" w14:textId="77777777" w:rsidR="00B47E37" w:rsidRPr="00B47E37" w:rsidRDefault="00B47E37" w:rsidP="00B47E37">
                            <w:pPr>
                              <w:jc w:val="both"/>
                              <w:rPr>
                                <w:rFonts w:ascii="Arial Narrow" w:hAnsi="Arial Narrow"/>
                                <w:color w:val="000000" w:themeColor="text1"/>
                                <w:sz w:val="22"/>
                                <w:szCs w:val="22"/>
                              </w:rPr>
                            </w:pPr>
                          </w:p>
                          <w:p w14:paraId="147D2E07" w14:textId="77777777" w:rsidR="009B1BBF" w:rsidRPr="00B47E37" w:rsidRDefault="009B1BBF" w:rsidP="00B47E37">
                            <w:pPr>
                              <w:jc w:val="both"/>
                              <w:rPr>
                                <w:rFonts w:ascii="Arial Narrow" w:hAnsi="Arial Narrow"/>
                                <w:color w:val="000000" w:themeColor="text1"/>
                                <w:sz w:val="22"/>
                                <w:szCs w:val="22"/>
                              </w:rPr>
                            </w:pPr>
                            <w:r w:rsidRPr="00B47E37">
                              <w:rPr>
                                <w:rFonts w:ascii="Arial Narrow" w:hAnsi="Arial Narrow"/>
                                <w:color w:val="000000" w:themeColor="text1"/>
                                <w:sz w:val="22"/>
                                <w:szCs w:val="22"/>
                              </w:rPr>
                              <w:t>Mbeturinat e ambalazhimit paraqesin një pjesë të konsiderueshme të fraksioneve të mbeturinave të riciklueshme që ndodhen në mbeturinat komunale.</w:t>
                            </w:r>
                          </w:p>
                          <w:p w14:paraId="215B7D5D" w14:textId="77777777" w:rsidR="009B1BBF" w:rsidRDefault="009B1BBF" w:rsidP="00B47E37">
                            <w:pPr>
                              <w:jc w:val="both"/>
                              <w:rPr>
                                <w:rFonts w:ascii="Arial Narrow" w:hAnsi="Arial Narrow"/>
                                <w:color w:val="000000" w:themeColor="text1"/>
                                <w:sz w:val="22"/>
                                <w:szCs w:val="22"/>
                              </w:rPr>
                            </w:pPr>
                            <w:r w:rsidRPr="00B47E37">
                              <w:rPr>
                                <w:rFonts w:ascii="Arial Narrow" w:hAnsi="Arial Narrow"/>
                                <w:color w:val="000000" w:themeColor="text1"/>
                                <w:sz w:val="22"/>
                                <w:szCs w:val="22"/>
                              </w:rPr>
                              <w:t>Skemat e Përgjegjësisë së Prodhuesit (ose PZP) konsiderohen si një mjet kryesor zbatimi për krijimin e një sistemi të grumbullimit dhe riciklimit të mbeturinave të ambalazhit për të garantuar arritjen e objektivave siç parashihen në Strategjinë e re të Menaxhimit të Integruar të Mbeturinave në Kosovë.</w:t>
                            </w:r>
                          </w:p>
                          <w:p w14:paraId="3C55082D" w14:textId="77777777" w:rsidR="00B47E37" w:rsidRPr="00B47E37" w:rsidRDefault="00B47E37" w:rsidP="00B47E37">
                            <w:pPr>
                              <w:jc w:val="both"/>
                              <w:rPr>
                                <w:rFonts w:ascii="Arial Narrow" w:hAnsi="Arial Narrow"/>
                                <w:color w:val="000000" w:themeColor="text1"/>
                                <w:sz w:val="22"/>
                                <w:szCs w:val="22"/>
                              </w:rPr>
                            </w:pPr>
                          </w:p>
                          <w:p w14:paraId="4DE522D0" w14:textId="1DB74328" w:rsidR="009B1BBF" w:rsidRPr="00B47E37" w:rsidRDefault="009B1BBF" w:rsidP="00B47E37">
                            <w:pPr>
                              <w:jc w:val="both"/>
                              <w:rPr>
                                <w:rFonts w:ascii="Arial Narrow" w:hAnsi="Arial Narrow"/>
                                <w:color w:val="000000" w:themeColor="text1"/>
                                <w:sz w:val="22"/>
                                <w:szCs w:val="22"/>
                              </w:rPr>
                            </w:pPr>
                            <w:r w:rsidRPr="00B47E37">
                              <w:rPr>
                                <w:rFonts w:ascii="Arial Narrow" w:hAnsi="Arial Narrow"/>
                                <w:color w:val="000000" w:themeColor="text1"/>
                                <w:sz w:val="22"/>
                                <w:szCs w:val="22"/>
                              </w:rPr>
                              <w:t>“Skemat e Përgjegjësisë së Prodhuesit” (</w:t>
                            </w:r>
                            <w:r w:rsidR="00B47E37">
                              <w:rPr>
                                <w:rFonts w:ascii="Arial Narrow" w:hAnsi="Arial Narrow"/>
                                <w:color w:val="000000" w:themeColor="text1"/>
                                <w:sz w:val="22"/>
                                <w:szCs w:val="22"/>
                              </w:rPr>
                              <w:t>SP</w:t>
                            </w:r>
                            <w:r w:rsidRPr="00B47E37">
                              <w:rPr>
                                <w:rFonts w:ascii="Arial Narrow" w:hAnsi="Arial Narrow"/>
                                <w:color w:val="000000" w:themeColor="text1"/>
                                <w:sz w:val="22"/>
                                <w:szCs w:val="22"/>
                              </w:rPr>
                              <w:t>P) në fushën e ambalazhit dhe mbeturinave të ambalazhit mund të përkufizohet si: 'Prodhuesit, shpërndarësit dhe importuesit e ambalazheve dhe mallrave të paketuara janë përgjegjës për grumbullimin dhe rikuperimin e mbeturinave të ambalazhit rezultojnë prej tyre.'</w:t>
                            </w:r>
                          </w:p>
                          <w:p w14:paraId="6A757115" w14:textId="77777777" w:rsidR="009B1BBF" w:rsidRPr="00B47E37" w:rsidRDefault="009B1BBF" w:rsidP="00B47E37">
                            <w:pPr>
                              <w:jc w:val="both"/>
                              <w:rPr>
                                <w:rFonts w:ascii="Arial Narrow" w:hAnsi="Arial Narrow"/>
                                <w:color w:val="000000" w:themeColor="text1"/>
                                <w:sz w:val="22"/>
                                <w:szCs w:val="22"/>
                              </w:rPr>
                            </w:pPr>
                            <w:r w:rsidRPr="00B47E37">
                              <w:rPr>
                                <w:rFonts w:ascii="Arial Narrow" w:hAnsi="Arial Narrow"/>
                                <w:color w:val="000000" w:themeColor="text1"/>
                                <w:sz w:val="22"/>
                                <w:szCs w:val="22"/>
                              </w:rPr>
                              <w:t>Krijimi i skemës PZP për mbeturinat e ambalazhit ka këto objektiva kryesore:</w:t>
                            </w:r>
                          </w:p>
                          <w:p w14:paraId="36802592" w14:textId="77777777" w:rsidR="009B1BBF" w:rsidRPr="00B47E37" w:rsidRDefault="009B1BBF" w:rsidP="00B47E37">
                            <w:pPr>
                              <w:pStyle w:val="ListParagraph"/>
                              <w:numPr>
                                <w:ilvl w:val="0"/>
                                <w:numId w:val="29"/>
                              </w:numPr>
                              <w:rPr>
                                <w:color w:val="000000" w:themeColor="text1"/>
                                <w:sz w:val="22"/>
                                <w:szCs w:val="22"/>
                              </w:rPr>
                            </w:pPr>
                            <w:r w:rsidRPr="00B47E37">
                              <w:rPr>
                                <w:color w:val="000000" w:themeColor="text1"/>
                                <w:sz w:val="22"/>
                                <w:szCs w:val="22"/>
                              </w:rPr>
                              <w:t>Të garantojë arritjen e objektivave të riciklimit dhe rikuperimit të përcaktuara në politikën/legjislacionin shtetëror.</w:t>
                            </w:r>
                          </w:p>
                          <w:p w14:paraId="6D2E1DF0" w14:textId="77777777" w:rsidR="009B1BBF" w:rsidRPr="00B47E37" w:rsidRDefault="009B1BBF" w:rsidP="00B47E37">
                            <w:pPr>
                              <w:pStyle w:val="ListParagraph"/>
                              <w:numPr>
                                <w:ilvl w:val="0"/>
                                <w:numId w:val="29"/>
                              </w:numPr>
                              <w:rPr>
                                <w:color w:val="000000" w:themeColor="text1"/>
                                <w:sz w:val="22"/>
                                <w:szCs w:val="22"/>
                              </w:rPr>
                            </w:pPr>
                            <w:r w:rsidRPr="00B47E37">
                              <w:rPr>
                                <w:color w:val="000000" w:themeColor="text1"/>
                                <w:sz w:val="22"/>
                                <w:szCs w:val="22"/>
                              </w:rPr>
                              <w:t>Të ofrojë rrjedha financiare shtesë dhe stimuj për grumbullim ndaras, klasifikim dhe riciklim.</w:t>
                            </w:r>
                          </w:p>
                          <w:p w14:paraId="1D3F8078" w14:textId="77777777" w:rsidR="009B1BBF" w:rsidRPr="00B47E37" w:rsidRDefault="009B1BBF" w:rsidP="00B47E37">
                            <w:pPr>
                              <w:pStyle w:val="ListParagraph"/>
                              <w:numPr>
                                <w:ilvl w:val="0"/>
                                <w:numId w:val="29"/>
                              </w:numPr>
                              <w:rPr>
                                <w:color w:val="000000" w:themeColor="text1"/>
                                <w:sz w:val="22"/>
                                <w:szCs w:val="22"/>
                              </w:rPr>
                            </w:pPr>
                            <w:r w:rsidRPr="00B47E37">
                              <w:rPr>
                                <w:color w:val="000000" w:themeColor="text1"/>
                                <w:sz w:val="22"/>
                                <w:szCs w:val="22"/>
                              </w:rPr>
                              <w:t>Të shmang ndërprerjet e përkohshme në proceset e grumbullimit në rast të tendencave negative të çmimeve të mbeturinave të riciklueshme.</w:t>
                            </w:r>
                          </w:p>
                          <w:p w14:paraId="28302DDF" w14:textId="77777777" w:rsidR="009B1BBF" w:rsidRPr="00B47E37" w:rsidRDefault="009B1BBF" w:rsidP="00B47E37">
                            <w:pPr>
                              <w:pStyle w:val="ListParagraph"/>
                              <w:numPr>
                                <w:ilvl w:val="0"/>
                                <w:numId w:val="29"/>
                              </w:numPr>
                              <w:rPr>
                                <w:color w:val="000000" w:themeColor="text1"/>
                                <w:sz w:val="22"/>
                                <w:szCs w:val="22"/>
                              </w:rPr>
                            </w:pPr>
                            <w:r w:rsidRPr="00B47E37">
                              <w:rPr>
                                <w:color w:val="000000" w:themeColor="text1"/>
                                <w:sz w:val="22"/>
                                <w:szCs w:val="22"/>
                              </w:rPr>
                              <w:t>Të përfshijë çështjet e parandalimit, ripërdorimit dhe riciklimit të mbeturinave në dizajnimin e produktit.</w:t>
                            </w:r>
                          </w:p>
                          <w:p w14:paraId="259D2498" w14:textId="77777777" w:rsidR="00B47E37" w:rsidRDefault="00B47E37" w:rsidP="00B47E37">
                            <w:pPr>
                              <w:jc w:val="both"/>
                              <w:rPr>
                                <w:rFonts w:ascii="Arial Narrow" w:hAnsi="Arial Narrow"/>
                                <w:color w:val="000000" w:themeColor="text1"/>
                                <w:sz w:val="22"/>
                                <w:szCs w:val="22"/>
                              </w:rPr>
                            </w:pPr>
                          </w:p>
                          <w:p w14:paraId="5B5C9947" w14:textId="6F3028E1" w:rsidR="009B1BBF" w:rsidRPr="00B47E37" w:rsidRDefault="009B1BBF" w:rsidP="00B47E37">
                            <w:pPr>
                              <w:jc w:val="both"/>
                              <w:rPr>
                                <w:rFonts w:ascii="Arial Narrow" w:hAnsi="Arial Narrow"/>
                                <w:color w:val="000000" w:themeColor="text1"/>
                                <w:sz w:val="22"/>
                                <w:szCs w:val="22"/>
                              </w:rPr>
                            </w:pPr>
                            <w:r w:rsidRPr="00B47E37">
                              <w:rPr>
                                <w:rFonts w:ascii="Arial Narrow" w:hAnsi="Arial Narrow"/>
                                <w:color w:val="000000" w:themeColor="text1"/>
                                <w:sz w:val="22"/>
                                <w:szCs w:val="22"/>
                              </w:rPr>
                              <w:t>Krijimi i një skeme të përgjegjësisë së prodhuesit për t'u marrë me mbeturinat e ambalazhit supozon se industria do të jetë përgjegjëse për financimin dhe organizimin e grumbullimit ndaras dhe klasifikimin e mbeturinave të ambalazhit. Për këtë qëllim kompanitë që vendosin mallra të ambalazhuara në tregun e Kosovës duhet të themelojnë një ose disa Organizata të Përgjegjësisë së Prodhuesit (OPP) për të zbatuar obligimet e tyre dhe për të paguar tarifat. OPP do të ketë obligim për të nënshkruar kontrata me komunat për organizimin e grumbullimit ndaras dhe riciklimit të mbeturinave të ambalazhit dhe financimin e kostove përkatëse. Modalitetet e sakta të zbatimit do të përcaktohen në legjislacionin shtetëror.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533B5" id="Rectangle 12" o:spid="_x0000_s1033" style="position:absolute;left:0;text-align:left;margin-left:0;margin-top:.6pt;width:456.5pt;height:511.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" fillcolor="#bdd6ee [1304]" strokecolor="#09101d [484]" strokeweight="1pt">
                <v:textbox>
                  <w:txbxContent>
                    <w:p w14:paraId="29148D6B" w14:textId="77777777" w:rsidR="009B1BBF" w:rsidRPr="00B47E37" w:rsidRDefault="009B1BBF" w:rsidP="00B47E37">
                      <w:pPr>
                        <w:jc w:val="both"/>
                        <w:rPr>
                          <w:rFonts w:ascii="Arial Narrow" w:hAnsi="Arial Narrow"/>
                          <w:b/>
                          <w:bCs/>
                          <w:color w:val="000000" w:themeColor="text1"/>
                          <w:sz w:val="22"/>
                          <w:szCs w:val="22"/>
                        </w:rPr>
                      </w:pPr>
                      <w:r w:rsidRPr="00B47E37">
                        <w:rPr>
                          <w:rFonts w:ascii="Arial Narrow" w:hAnsi="Arial Narrow"/>
                          <w:b/>
                          <w:bCs/>
                          <w:color w:val="000000" w:themeColor="text1"/>
                          <w:sz w:val="22"/>
                          <w:szCs w:val="22"/>
                        </w:rPr>
                        <w:t>Përgjegjësia e Zgjeruar e Prodhuesit për mbeturinat e ambalazhit</w:t>
                      </w:r>
                    </w:p>
                    <w:p w14:paraId="148200D0" w14:textId="77777777" w:rsidR="009B1BBF" w:rsidRPr="00B47E37" w:rsidRDefault="009B1BBF" w:rsidP="00B47E37">
                      <w:pPr>
                        <w:jc w:val="both"/>
                        <w:rPr>
                          <w:rFonts w:ascii="Arial Narrow" w:hAnsi="Arial Narrow"/>
                          <w:b/>
                          <w:bCs/>
                          <w:color w:val="000000" w:themeColor="text1"/>
                          <w:sz w:val="22"/>
                          <w:szCs w:val="22"/>
                        </w:rPr>
                      </w:pPr>
                    </w:p>
                    <w:p w14:paraId="5A65F537" w14:textId="77777777" w:rsidR="009B1BBF" w:rsidRDefault="009B1BBF" w:rsidP="00B47E37">
                      <w:pPr>
                        <w:jc w:val="both"/>
                        <w:rPr>
                          <w:rFonts w:ascii="Arial Narrow" w:hAnsi="Arial Narrow"/>
                          <w:color w:val="000000" w:themeColor="text1"/>
                          <w:sz w:val="22"/>
                          <w:szCs w:val="22"/>
                        </w:rPr>
                      </w:pPr>
                      <w:r w:rsidRPr="00B47E37">
                        <w:rPr>
                          <w:rFonts w:ascii="Arial Narrow" w:hAnsi="Arial Narrow"/>
                          <w:color w:val="000000" w:themeColor="text1"/>
                          <w:sz w:val="22"/>
                          <w:szCs w:val="22"/>
                        </w:rPr>
                        <w:t>Për të forcuar parandalimin, ripërdorimin, riciklimin dhe rikuperimin e mbeturinave, vendet mund të marrin masa legjislative ose jo legjislative për të siguruar që çdo person fizik ose juridik që zhvillon, prodhon, përpunon, trajton, shet ose importon produkte në mënyrë profesionale (prodhuesi i produktit) ka përgjegjësi të zgjeruar të prodhuesit. Masa të tilla mund të përfshijnë pranimin e produkteve të kthyera dhe të mbeturinave që mbeten pasi ato produkte janë përdorur, si dhe menaxhimin e mëpasshëm të mbeturinave dhe përgjegjësinë financiare për aktivitete të tilla. Masat gjithashtu mund të nxisin dizajnimin e produkteve me qëllim që të reduktohen ndikimet e tyre mjedisore dhe gjenerimi i mbeturinave gjatë prodhimit dhe përdorimit pasues të produkteve. Masa të tilla mund të nxisin zhvillimin, prodhimin dhe marketingun e produkteve që janë të përshtatshme për përdorim të shumëfishtë, që janë teknikisht të qëndrueshme dhe që, pasi janë bërë mbeturinë, janë të përshtatshme për rikuperim të duhur e të sigurt dhe për deponim në pajtueshmëri me mjedisin.</w:t>
                      </w:r>
                    </w:p>
                    <w:p w14:paraId="25F073BF" w14:textId="77777777" w:rsidR="00B47E37" w:rsidRPr="00B47E37" w:rsidRDefault="00B47E37" w:rsidP="00B47E37">
                      <w:pPr>
                        <w:jc w:val="both"/>
                        <w:rPr>
                          <w:rFonts w:ascii="Arial Narrow" w:hAnsi="Arial Narrow"/>
                          <w:color w:val="000000" w:themeColor="text1"/>
                          <w:sz w:val="22"/>
                          <w:szCs w:val="22"/>
                        </w:rPr>
                      </w:pPr>
                    </w:p>
                    <w:p w14:paraId="147D2E07" w14:textId="77777777" w:rsidR="009B1BBF" w:rsidRPr="00B47E37" w:rsidRDefault="009B1BBF" w:rsidP="00B47E37">
                      <w:pPr>
                        <w:jc w:val="both"/>
                        <w:rPr>
                          <w:rFonts w:ascii="Arial Narrow" w:hAnsi="Arial Narrow"/>
                          <w:color w:val="000000" w:themeColor="text1"/>
                          <w:sz w:val="22"/>
                          <w:szCs w:val="22"/>
                        </w:rPr>
                      </w:pPr>
                      <w:r w:rsidRPr="00B47E37">
                        <w:rPr>
                          <w:rFonts w:ascii="Arial Narrow" w:hAnsi="Arial Narrow"/>
                          <w:color w:val="000000" w:themeColor="text1"/>
                          <w:sz w:val="22"/>
                          <w:szCs w:val="22"/>
                        </w:rPr>
                        <w:t>Mbeturinat e ambalazhimit paraqesin një pjesë të konsiderueshme të fraksioneve të mbeturinave të riciklueshme që ndodhen në mbeturinat komunale.</w:t>
                      </w:r>
                    </w:p>
                    <w:p w14:paraId="215B7D5D" w14:textId="77777777" w:rsidR="009B1BBF" w:rsidRDefault="009B1BBF" w:rsidP="00B47E37">
                      <w:pPr>
                        <w:jc w:val="both"/>
                        <w:rPr>
                          <w:rFonts w:ascii="Arial Narrow" w:hAnsi="Arial Narrow"/>
                          <w:color w:val="000000" w:themeColor="text1"/>
                          <w:sz w:val="22"/>
                          <w:szCs w:val="22"/>
                        </w:rPr>
                      </w:pPr>
                      <w:r w:rsidRPr="00B47E37">
                        <w:rPr>
                          <w:rFonts w:ascii="Arial Narrow" w:hAnsi="Arial Narrow"/>
                          <w:color w:val="000000" w:themeColor="text1"/>
                          <w:sz w:val="22"/>
                          <w:szCs w:val="22"/>
                        </w:rPr>
                        <w:t>Skemat e Përgjegjësisë së Prodhuesit (ose PZP) konsiderohen si një mjet kryesor zbatimi për krijimin e një sistemi të grumbullimit dhe riciklimit të mbeturinave të ambalazhit për të garantuar arritjen e objektivave siç parashihen në Strategjinë e re të Menaxhimit të Integruar të Mbeturinave në Kosovë.</w:t>
                      </w:r>
                    </w:p>
                    <w:p w14:paraId="3C55082D" w14:textId="77777777" w:rsidR="00B47E37" w:rsidRPr="00B47E37" w:rsidRDefault="00B47E37" w:rsidP="00B47E37">
                      <w:pPr>
                        <w:jc w:val="both"/>
                        <w:rPr>
                          <w:rFonts w:ascii="Arial Narrow" w:hAnsi="Arial Narrow"/>
                          <w:color w:val="000000" w:themeColor="text1"/>
                          <w:sz w:val="22"/>
                          <w:szCs w:val="22"/>
                        </w:rPr>
                      </w:pPr>
                    </w:p>
                    <w:p w14:paraId="4DE522D0" w14:textId="1DB74328" w:rsidR="009B1BBF" w:rsidRPr="00B47E37" w:rsidRDefault="009B1BBF" w:rsidP="00B47E37">
                      <w:pPr>
                        <w:jc w:val="both"/>
                        <w:rPr>
                          <w:rFonts w:ascii="Arial Narrow" w:hAnsi="Arial Narrow"/>
                          <w:color w:val="000000" w:themeColor="text1"/>
                          <w:sz w:val="22"/>
                          <w:szCs w:val="22"/>
                        </w:rPr>
                      </w:pPr>
                      <w:r w:rsidRPr="00B47E37">
                        <w:rPr>
                          <w:rFonts w:ascii="Arial Narrow" w:hAnsi="Arial Narrow"/>
                          <w:color w:val="000000" w:themeColor="text1"/>
                          <w:sz w:val="22"/>
                          <w:szCs w:val="22"/>
                        </w:rPr>
                        <w:t>“Skemat e Përgjegjësisë së Prodhuesit” (</w:t>
                      </w:r>
                      <w:r w:rsidR="00B47E37">
                        <w:rPr>
                          <w:rFonts w:ascii="Arial Narrow" w:hAnsi="Arial Narrow"/>
                          <w:color w:val="000000" w:themeColor="text1"/>
                          <w:sz w:val="22"/>
                          <w:szCs w:val="22"/>
                        </w:rPr>
                        <w:t>SP</w:t>
                      </w:r>
                      <w:r w:rsidRPr="00B47E37">
                        <w:rPr>
                          <w:rFonts w:ascii="Arial Narrow" w:hAnsi="Arial Narrow"/>
                          <w:color w:val="000000" w:themeColor="text1"/>
                          <w:sz w:val="22"/>
                          <w:szCs w:val="22"/>
                        </w:rPr>
                        <w:t>P) në fushën e ambalazhit dhe mbeturinave të ambalazhit mund të përkufizohet si: 'Prodhuesit, shpërndarësit dhe importuesit e ambalazheve dhe mallrave të paketuara janë përgjegjës për grumbullimin dhe rikuperimin e mbeturinave të ambalazhit rezultojnë prej tyre.'</w:t>
                      </w:r>
                    </w:p>
                    <w:p w14:paraId="6A757115" w14:textId="77777777" w:rsidR="009B1BBF" w:rsidRPr="00B47E37" w:rsidRDefault="009B1BBF" w:rsidP="00B47E37">
                      <w:pPr>
                        <w:jc w:val="both"/>
                        <w:rPr>
                          <w:rFonts w:ascii="Arial Narrow" w:hAnsi="Arial Narrow"/>
                          <w:color w:val="000000" w:themeColor="text1"/>
                          <w:sz w:val="22"/>
                          <w:szCs w:val="22"/>
                        </w:rPr>
                      </w:pPr>
                      <w:r w:rsidRPr="00B47E37">
                        <w:rPr>
                          <w:rFonts w:ascii="Arial Narrow" w:hAnsi="Arial Narrow"/>
                          <w:color w:val="000000" w:themeColor="text1"/>
                          <w:sz w:val="22"/>
                          <w:szCs w:val="22"/>
                        </w:rPr>
                        <w:t>Krijimi i skemës PZP për mbeturinat e ambalazhit ka këto objektiva kryesore:</w:t>
                      </w:r>
                    </w:p>
                    <w:p w14:paraId="36802592" w14:textId="77777777" w:rsidR="009B1BBF" w:rsidRPr="00B47E37" w:rsidRDefault="009B1BBF" w:rsidP="00B47E37">
                      <w:pPr>
                        <w:pStyle w:val="ListParagraph"/>
                        <w:numPr>
                          <w:ilvl w:val="0"/>
                          <w:numId w:val="29"/>
                        </w:numPr>
                        <w:rPr>
                          <w:color w:val="000000" w:themeColor="text1"/>
                          <w:sz w:val="22"/>
                          <w:szCs w:val="22"/>
                        </w:rPr>
                      </w:pPr>
                      <w:r w:rsidRPr="00B47E37">
                        <w:rPr>
                          <w:color w:val="000000" w:themeColor="text1"/>
                          <w:sz w:val="22"/>
                          <w:szCs w:val="22"/>
                        </w:rPr>
                        <w:t>Të garantojë arritjen e objektivave të riciklimit dhe rikuperimit të përcaktuara në politikën/legjislacionin shtetëror.</w:t>
                      </w:r>
                    </w:p>
                    <w:p w14:paraId="6D2E1DF0" w14:textId="77777777" w:rsidR="009B1BBF" w:rsidRPr="00B47E37" w:rsidRDefault="009B1BBF" w:rsidP="00B47E37">
                      <w:pPr>
                        <w:pStyle w:val="ListParagraph"/>
                        <w:numPr>
                          <w:ilvl w:val="0"/>
                          <w:numId w:val="29"/>
                        </w:numPr>
                        <w:rPr>
                          <w:color w:val="000000" w:themeColor="text1"/>
                          <w:sz w:val="22"/>
                          <w:szCs w:val="22"/>
                        </w:rPr>
                      </w:pPr>
                      <w:r w:rsidRPr="00B47E37">
                        <w:rPr>
                          <w:color w:val="000000" w:themeColor="text1"/>
                          <w:sz w:val="22"/>
                          <w:szCs w:val="22"/>
                        </w:rPr>
                        <w:t>Të ofrojë rrjedha financiare shtesë dhe stimuj për grumbullim ndaras, klasifikim dhe riciklim.</w:t>
                      </w:r>
                    </w:p>
                    <w:p w14:paraId="1D3F8078" w14:textId="77777777" w:rsidR="009B1BBF" w:rsidRPr="00B47E37" w:rsidRDefault="009B1BBF" w:rsidP="00B47E37">
                      <w:pPr>
                        <w:pStyle w:val="ListParagraph"/>
                        <w:numPr>
                          <w:ilvl w:val="0"/>
                          <w:numId w:val="29"/>
                        </w:numPr>
                        <w:rPr>
                          <w:color w:val="000000" w:themeColor="text1"/>
                          <w:sz w:val="22"/>
                          <w:szCs w:val="22"/>
                        </w:rPr>
                      </w:pPr>
                      <w:r w:rsidRPr="00B47E37">
                        <w:rPr>
                          <w:color w:val="000000" w:themeColor="text1"/>
                          <w:sz w:val="22"/>
                          <w:szCs w:val="22"/>
                        </w:rPr>
                        <w:t>Të shmang ndërprerjet e përkohshme në proceset e grumbullimit në rast të tendencave negative të çmimeve të mbeturinave të riciklueshme.</w:t>
                      </w:r>
                    </w:p>
                    <w:p w14:paraId="28302DDF" w14:textId="77777777" w:rsidR="009B1BBF" w:rsidRPr="00B47E37" w:rsidRDefault="009B1BBF" w:rsidP="00B47E37">
                      <w:pPr>
                        <w:pStyle w:val="ListParagraph"/>
                        <w:numPr>
                          <w:ilvl w:val="0"/>
                          <w:numId w:val="29"/>
                        </w:numPr>
                        <w:rPr>
                          <w:color w:val="000000" w:themeColor="text1"/>
                          <w:sz w:val="22"/>
                          <w:szCs w:val="22"/>
                        </w:rPr>
                      </w:pPr>
                      <w:r w:rsidRPr="00B47E37">
                        <w:rPr>
                          <w:color w:val="000000" w:themeColor="text1"/>
                          <w:sz w:val="22"/>
                          <w:szCs w:val="22"/>
                        </w:rPr>
                        <w:t>Të përfshijë çështjet e parandalimit, ripërdorimit dhe riciklimit të mbeturinave në dizajnimin e produktit.</w:t>
                      </w:r>
                    </w:p>
                    <w:p w14:paraId="259D2498" w14:textId="77777777" w:rsidR="00B47E37" w:rsidRDefault="00B47E37" w:rsidP="00B47E37">
                      <w:pPr>
                        <w:jc w:val="both"/>
                        <w:rPr>
                          <w:rFonts w:ascii="Arial Narrow" w:hAnsi="Arial Narrow"/>
                          <w:color w:val="000000" w:themeColor="text1"/>
                          <w:sz w:val="22"/>
                          <w:szCs w:val="22"/>
                        </w:rPr>
                      </w:pPr>
                    </w:p>
                    <w:p w14:paraId="5B5C9947" w14:textId="6F3028E1" w:rsidR="009B1BBF" w:rsidRPr="00B47E37" w:rsidRDefault="009B1BBF" w:rsidP="00B47E37">
                      <w:pPr>
                        <w:jc w:val="both"/>
                        <w:rPr>
                          <w:rFonts w:ascii="Arial Narrow" w:hAnsi="Arial Narrow"/>
                          <w:color w:val="000000" w:themeColor="text1"/>
                          <w:sz w:val="22"/>
                          <w:szCs w:val="22"/>
                        </w:rPr>
                      </w:pPr>
                      <w:r w:rsidRPr="00B47E37">
                        <w:rPr>
                          <w:rFonts w:ascii="Arial Narrow" w:hAnsi="Arial Narrow"/>
                          <w:color w:val="000000" w:themeColor="text1"/>
                          <w:sz w:val="22"/>
                          <w:szCs w:val="22"/>
                        </w:rPr>
                        <w:t>Krijimi i një skeme të përgjegjësisë së prodhuesit për t'u marrë me mbeturinat e ambalazhit supozon se industria do të jetë përgjegjëse për financimin dhe organizimin e grumbullimit ndaras dhe klasifikimin e mbeturinave të ambalazhit. Për këtë qëllim kompanitë që vendosin mallra të ambalazhuara në tregun e Kosovës duhet të themelojnë një ose disa Organizata të Përgjegjësisë së Prodhuesit (OPP) për të zbatuar obligimet e tyre dhe për të paguar tarifat. OPP do të ketë obligim për të nënshkruar kontrata me komunat për organizimin e grumbullimit ndaras dhe riciklimit të mbeturinave të ambalazhit dhe financimin e kostove përkatëse. Modalitetet e sakta të zbatimit do të përcaktohen në legjislacionin shtetëror.</w:t>
                      </w:r>
                    </w:p>
                  </w:txbxContent>
                </v:textbox>
                <w10:wrap anchorx="margin"/>
              </v:rect>
            </w:pict>
          </mc:Fallback>
        </mc:AlternateContent>
      </w:r>
    </w:p>
    <w:p w14:paraId="7980B966" w14:textId="41B338DD" w:rsidR="002E4DDE" w:rsidRPr="009F5CA1" w:rsidRDefault="002E4DDE" w:rsidP="00430A79">
      <w:pPr>
        <w:jc w:val="both"/>
        <w:rPr>
          <w:rFonts w:ascii="Arial Narrow" w:eastAsia="Calibri" w:hAnsi="Arial Narrow" w:cs="Calibri"/>
          <w:color w:val="000000" w:themeColor="text1"/>
          <w:sz w:val="22"/>
          <w:szCs w:val="22"/>
          <w:lang w:val="sq-AL"/>
        </w:rPr>
      </w:pPr>
    </w:p>
    <w:p w14:paraId="774223D6" w14:textId="5672F0EA" w:rsidR="00430A79" w:rsidRDefault="00430A79" w:rsidP="00430A79">
      <w:pPr>
        <w:jc w:val="both"/>
        <w:rPr>
          <w:rFonts w:ascii="Arial Narrow" w:hAnsi="Arial Narrow"/>
          <w:b/>
          <w:bCs/>
          <w:sz w:val="22"/>
          <w:szCs w:val="22"/>
        </w:rPr>
      </w:pPr>
    </w:p>
    <w:p w14:paraId="51A8ABC3" w14:textId="77777777" w:rsidR="009B1BBF" w:rsidRDefault="009B1BBF" w:rsidP="00430A79">
      <w:pPr>
        <w:jc w:val="both"/>
        <w:rPr>
          <w:rFonts w:ascii="Arial Narrow" w:hAnsi="Arial Narrow"/>
          <w:b/>
          <w:bCs/>
          <w:sz w:val="22"/>
          <w:szCs w:val="22"/>
        </w:rPr>
      </w:pPr>
    </w:p>
    <w:p w14:paraId="36F3364E" w14:textId="77777777" w:rsidR="009B1BBF" w:rsidRDefault="009B1BBF" w:rsidP="00430A79">
      <w:pPr>
        <w:jc w:val="both"/>
        <w:rPr>
          <w:rFonts w:ascii="Arial Narrow" w:hAnsi="Arial Narrow"/>
          <w:b/>
          <w:bCs/>
          <w:sz w:val="22"/>
          <w:szCs w:val="22"/>
        </w:rPr>
      </w:pPr>
    </w:p>
    <w:p w14:paraId="13339035" w14:textId="77777777" w:rsidR="009B1BBF" w:rsidRDefault="009B1BBF" w:rsidP="00430A79">
      <w:pPr>
        <w:jc w:val="both"/>
        <w:rPr>
          <w:rFonts w:ascii="Arial Narrow" w:hAnsi="Arial Narrow"/>
          <w:b/>
          <w:bCs/>
          <w:sz w:val="22"/>
          <w:szCs w:val="22"/>
        </w:rPr>
      </w:pPr>
    </w:p>
    <w:p w14:paraId="173C9691" w14:textId="77777777" w:rsidR="009B1BBF" w:rsidRDefault="009B1BBF" w:rsidP="00430A79">
      <w:pPr>
        <w:jc w:val="both"/>
        <w:rPr>
          <w:rFonts w:ascii="Arial Narrow" w:hAnsi="Arial Narrow"/>
          <w:b/>
          <w:bCs/>
          <w:sz w:val="22"/>
          <w:szCs w:val="22"/>
        </w:rPr>
      </w:pPr>
    </w:p>
    <w:p w14:paraId="75105328" w14:textId="77777777" w:rsidR="009B1BBF" w:rsidRDefault="009B1BBF" w:rsidP="00430A79">
      <w:pPr>
        <w:jc w:val="both"/>
        <w:rPr>
          <w:rFonts w:ascii="Arial Narrow" w:hAnsi="Arial Narrow"/>
          <w:b/>
          <w:bCs/>
          <w:sz w:val="22"/>
          <w:szCs w:val="22"/>
        </w:rPr>
      </w:pPr>
    </w:p>
    <w:p w14:paraId="27290BA1" w14:textId="77777777" w:rsidR="009B1BBF" w:rsidRDefault="009B1BBF" w:rsidP="00430A79">
      <w:pPr>
        <w:jc w:val="both"/>
        <w:rPr>
          <w:rFonts w:ascii="Arial Narrow" w:hAnsi="Arial Narrow"/>
          <w:b/>
          <w:bCs/>
          <w:sz w:val="22"/>
          <w:szCs w:val="22"/>
        </w:rPr>
      </w:pPr>
    </w:p>
    <w:p w14:paraId="32D52187" w14:textId="77777777" w:rsidR="009B1BBF" w:rsidRDefault="009B1BBF" w:rsidP="00430A79">
      <w:pPr>
        <w:jc w:val="both"/>
        <w:rPr>
          <w:rFonts w:ascii="Arial Narrow" w:hAnsi="Arial Narrow"/>
          <w:b/>
          <w:bCs/>
          <w:sz w:val="22"/>
          <w:szCs w:val="22"/>
        </w:rPr>
      </w:pPr>
    </w:p>
    <w:p w14:paraId="41E19122" w14:textId="0589AB7C" w:rsidR="009B1BBF" w:rsidRDefault="009B1BBF">
      <w:pPr>
        <w:rPr>
          <w:rFonts w:ascii="Arial Narrow" w:hAnsi="Arial Narrow"/>
          <w:b/>
          <w:bCs/>
          <w:sz w:val="22"/>
          <w:szCs w:val="22"/>
        </w:rPr>
      </w:pPr>
      <w:r>
        <w:rPr>
          <w:rFonts w:ascii="Arial Narrow" w:hAnsi="Arial Narrow"/>
          <w:b/>
          <w:bCs/>
          <w:sz w:val="22"/>
          <w:szCs w:val="22"/>
        </w:rPr>
        <w:br w:type="page"/>
      </w:r>
    </w:p>
    <w:p w14:paraId="533238D2" w14:textId="77777777" w:rsidR="009B1BBF" w:rsidRPr="009F5CA1" w:rsidRDefault="009B1BBF" w:rsidP="009B1BBF">
      <w:pPr>
        <w:jc w:val="right"/>
        <w:rPr>
          <w:rFonts w:ascii="Arial Narrow" w:eastAsia="Calibri" w:hAnsi="Arial Narrow" w:cs="Calibri"/>
          <w:sz w:val="22"/>
          <w:szCs w:val="22"/>
          <w:lang w:val="sq-AL"/>
        </w:rPr>
      </w:pPr>
    </w:p>
    <w:p w14:paraId="3EFD3C1C" w14:textId="77777777" w:rsidR="00430A79" w:rsidRPr="00430A79" w:rsidRDefault="00430A79" w:rsidP="000D7AD0">
      <w:pPr>
        <w:pStyle w:val="Heading2"/>
      </w:pPr>
      <w:bookmarkStart w:id="358" w:name="_Toc185866119"/>
      <w:bookmarkStart w:id="359" w:name="_Toc197472016"/>
      <w:r w:rsidRPr="00430A79">
        <w:t>Riciklimi dhe rikuperimi i mbeturinave</w:t>
      </w:r>
      <w:bookmarkEnd w:id="358"/>
      <w:bookmarkEnd w:id="359"/>
    </w:p>
    <w:p w14:paraId="257764A7" w14:textId="6462494B" w:rsidR="00430A79" w:rsidRPr="00430A79" w:rsidRDefault="009B1BBF" w:rsidP="000D7AD0">
      <w:pPr>
        <w:pStyle w:val="Heading3"/>
      </w:pPr>
      <w:bookmarkStart w:id="360" w:name="_Toc185866120"/>
      <w:bookmarkStart w:id="361" w:name="_Toc197472017"/>
      <w:r>
        <w:t xml:space="preserve">Gjendja </w:t>
      </w:r>
      <w:r w:rsidR="00430A79" w:rsidRPr="00430A79">
        <w:t>aktuale</w:t>
      </w:r>
      <w:bookmarkEnd w:id="360"/>
      <w:bookmarkEnd w:id="361"/>
    </w:p>
    <w:p w14:paraId="705D22E5" w14:textId="77777777" w:rsidR="00430A79" w:rsidRPr="00430A79" w:rsidRDefault="00430A79" w:rsidP="00430A79">
      <w:pPr>
        <w:jc w:val="both"/>
        <w:rPr>
          <w:rFonts w:ascii="Arial Narrow" w:eastAsia="Calibri" w:hAnsi="Arial Narrow" w:cs="Calibri"/>
          <w:color w:val="000000" w:themeColor="text1"/>
          <w:sz w:val="22"/>
          <w:szCs w:val="22"/>
          <w:lang w:val="en-GB"/>
        </w:rPr>
      </w:pPr>
    </w:p>
    <w:p w14:paraId="2C04FCDB" w14:textId="77777777" w:rsidR="009B1BBF" w:rsidRPr="009B1BBF" w:rsidRDefault="009B1BBF" w:rsidP="009B1BBF">
      <w:pPr>
        <w:pStyle w:val="Paragraph"/>
        <w:spacing w:after="0"/>
        <w:rPr>
          <w:rFonts w:eastAsia="Calibri" w:cs="Calibri"/>
          <w:lang w:val="sq-AL"/>
        </w:rPr>
      </w:pPr>
      <w:r w:rsidRPr="009B1BBF">
        <w:rPr>
          <w:rFonts w:eastAsia="Calibri" w:cs="Calibri"/>
          <w:lang w:val="sq-AL"/>
        </w:rPr>
        <w:t>ZMM-ve ju mungojnë objektet formale për trajtimin e fraksionet e ndryshme të mbeturinave që gjenerohen në rajon. Ky është një nga faktorët kryesorë kufizues për trajtimin e duhur të mbeturinave në ZMM.</w:t>
      </w:r>
    </w:p>
    <w:p w14:paraId="404F89E7" w14:textId="77777777" w:rsidR="009B1BBF" w:rsidRPr="009B1BBF" w:rsidRDefault="009B1BBF" w:rsidP="009B1BBF">
      <w:pPr>
        <w:pStyle w:val="Paragraph"/>
        <w:spacing w:after="0"/>
        <w:rPr>
          <w:rFonts w:eastAsia="Calibri" w:cs="Calibri"/>
          <w:lang w:val="sq-AL"/>
        </w:rPr>
      </w:pPr>
    </w:p>
    <w:p w14:paraId="3120125C" w14:textId="56651FDE" w:rsidR="00430A79" w:rsidRPr="009F5CA1" w:rsidRDefault="009B1BBF" w:rsidP="009B1BBF">
      <w:pPr>
        <w:jc w:val="both"/>
        <w:rPr>
          <w:rFonts w:ascii="Arial Narrow" w:eastAsia="Calibri" w:hAnsi="Arial Narrow" w:cs="Calibri"/>
          <w:color w:val="000000" w:themeColor="text1"/>
          <w:sz w:val="22"/>
          <w:szCs w:val="22"/>
          <w:lang w:val="sq-AL"/>
        </w:rPr>
      </w:pPr>
      <w:r w:rsidRPr="009B1BBF">
        <w:rPr>
          <w:rFonts w:ascii="Arial Narrow" w:eastAsia="Calibri" w:hAnsi="Arial Narrow" w:cs="Calibri"/>
          <w:sz w:val="22"/>
          <w:szCs w:val="22"/>
          <w:lang w:val="sq-AL"/>
        </w:rPr>
        <w:t>Seksionet e mëposhtme shqyrtojnë teknologjitë dhe zgjidhjet teknike të mundshme për klasifikimin e fraksioneve të mbledhura ndaras dhe mbeturinave të përziera, kompostimin e mbeturinave të gjelbërta/kopshtit, trajtimin e mbeturinave organike të mbledhura ndaras si dhe trajtimin e mbeturinave të përziera komunale</w:t>
      </w:r>
      <w:r w:rsidR="00430A79" w:rsidRPr="009F5CA1">
        <w:rPr>
          <w:rFonts w:ascii="Arial Narrow" w:eastAsia="Calibri" w:hAnsi="Arial Narrow" w:cs="Calibri"/>
          <w:color w:val="000000" w:themeColor="text1"/>
          <w:sz w:val="22"/>
          <w:szCs w:val="22"/>
          <w:lang w:val="sq-AL"/>
        </w:rPr>
        <w:t>.</w:t>
      </w:r>
    </w:p>
    <w:p w14:paraId="31A7C9B6" w14:textId="77777777" w:rsidR="00B47E37" w:rsidRPr="009F5CA1" w:rsidRDefault="00B47E37" w:rsidP="009B1BBF">
      <w:pPr>
        <w:jc w:val="both"/>
        <w:rPr>
          <w:rFonts w:ascii="Arial Narrow" w:eastAsia="Calibri" w:hAnsi="Arial Narrow" w:cs="Calibri"/>
          <w:color w:val="000000" w:themeColor="text1"/>
          <w:sz w:val="22"/>
          <w:szCs w:val="22"/>
          <w:lang w:val="sq-AL"/>
        </w:rPr>
      </w:pPr>
    </w:p>
    <w:p w14:paraId="15FDEE8C" w14:textId="77777777" w:rsidR="00430A79" w:rsidRPr="00430A79" w:rsidRDefault="00430A79" w:rsidP="000D7AD0">
      <w:pPr>
        <w:pStyle w:val="Heading3"/>
      </w:pPr>
      <w:bookmarkStart w:id="362" w:name="_Toc185861581"/>
      <w:bookmarkStart w:id="363" w:name="_Toc185861582"/>
      <w:bookmarkStart w:id="364" w:name="_Toc185866121"/>
      <w:bookmarkStart w:id="365" w:name="_Toc197472018"/>
      <w:bookmarkEnd w:id="362"/>
      <w:bookmarkEnd w:id="363"/>
      <w:r w:rsidRPr="00430A79">
        <w:t>Teknologjitë për klasifikimin e mbeturinave</w:t>
      </w:r>
      <w:bookmarkEnd w:id="364"/>
      <w:bookmarkEnd w:id="365"/>
    </w:p>
    <w:p w14:paraId="49B53C03" w14:textId="77777777" w:rsidR="00430A79" w:rsidRPr="009B1BBF" w:rsidRDefault="00430A79" w:rsidP="00430A79">
      <w:pPr>
        <w:jc w:val="both"/>
        <w:rPr>
          <w:rFonts w:ascii="Arial Narrow" w:eastAsia="Calibri" w:hAnsi="Arial Narrow" w:cs="Calibri"/>
          <w:color w:val="000000" w:themeColor="text1"/>
          <w:sz w:val="22"/>
          <w:szCs w:val="22"/>
          <w:lang w:val="en-GB"/>
        </w:rPr>
      </w:pPr>
    </w:p>
    <w:p w14:paraId="48CC200C" w14:textId="6FCF5EE1" w:rsidR="00430A79" w:rsidRPr="009B1BBF" w:rsidRDefault="009B1BBF" w:rsidP="00430A79">
      <w:pPr>
        <w:jc w:val="both"/>
        <w:rPr>
          <w:rFonts w:ascii="Arial Narrow" w:eastAsia="Calibri" w:hAnsi="Arial Narrow" w:cs="Calibri"/>
          <w:color w:val="000000" w:themeColor="text1"/>
          <w:sz w:val="22"/>
          <w:szCs w:val="22"/>
          <w:lang w:val="en-GB"/>
        </w:rPr>
      </w:pPr>
      <w:r w:rsidRPr="009B1BBF">
        <w:rPr>
          <w:rFonts w:ascii="Arial Narrow" w:eastAsia="Calibri" w:hAnsi="Arial Narrow" w:cs="Calibri"/>
          <w:sz w:val="22"/>
          <w:szCs w:val="22"/>
          <w:lang w:val="sq-AL"/>
        </w:rPr>
        <w:t>Klasifikimi i mbeturinave komunale dhe përgatitja për riciklim, në thelb, mund të zbatohet në dy mënyra</w:t>
      </w:r>
      <w:r w:rsidR="00430A79" w:rsidRPr="009B1BBF">
        <w:rPr>
          <w:rFonts w:ascii="Arial Narrow" w:eastAsia="Calibri" w:hAnsi="Arial Narrow" w:cs="Calibri"/>
          <w:color w:val="000000" w:themeColor="text1"/>
          <w:sz w:val="22"/>
          <w:szCs w:val="22"/>
          <w:lang w:val="en-GB"/>
        </w:rPr>
        <w:t>:</w:t>
      </w:r>
    </w:p>
    <w:p w14:paraId="59F647D8" w14:textId="77777777" w:rsidR="00430A79" w:rsidRPr="009B1BBF" w:rsidRDefault="00430A79" w:rsidP="00430A79">
      <w:pPr>
        <w:jc w:val="both"/>
        <w:rPr>
          <w:rFonts w:ascii="Arial Narrow" w:eastAsia="Calibri" w:hAnsi="Arial Narrow" w:cs="Calibri"/>
          <w:color w:val="000000" w:themeColor="text1"/>
          <w:sz w:val="22"/>
          <w:szCs w:val="22"/>
          <w:lang w:val="en-GB"/>
        </w:rPr>
      </w:pPr>
    </w:p>
    <w:p w14:paraId="25A94202" w14:textId="77777777" w:rsidR="009B1BBF" w:rsidRPr="00BE2534" w:rsidRDefault="009B1BBF" w:rsidP="009B1BBF">
      <w:pPr>
        <w:pStyle w:val="Paragraph"/>
        <w:numPr>
          <w:ilvl w:val="0"/>
          <w:numId w:val="15"/>
        </w:numPr>
        <w:spacing w:after="0"/>
        <w:rPr>
          <w:rFonts w:eastAsia="Calibri" w:cs="Calibri"/>
          <w:lang w:val="sq-AL"/>
        </w:rPr>
      </w:pPr>
      <w:r w:rsidRPr="00BE2534">
        <w:rPr>
          <w:rFonts w:eastAsia="Calibri" w:cs="Calibri"/>
          <w:lang w:val="sq-AL"/>
        </w:rPr>
        <w:t xml:space="preserve">Ndarja e lëndëve të riciklueshme nga mbeturinat e përziera komunale të grumbulluara në stacionin e seleksionimit dmth e gjithë fraksionet e mbeturinave komunale i nënshtrohet klasifikimit; </w:t>
      </w:r>
    </w:p>
    <w:p w14:paraId="695617CC" w14:textId="77777777" w:rsidR="009B1BBF" w:rsidRPr="009B1BBF" w:rsidRDefault="009B1BBF" w:rsidP="009B1BBF">
      <w:pPr>
        <w:pStyle w:val="Paragraph"/>
        <w:numPr>
          <w:ilvl w:val="0"/>
          <w:numId w:val="15"/>
        </w:numPr>
        <w:spacing w:after="0"/>
        <w:rPr>
          <w:rFonts w:eastAsia="Calibri" w:cs="Calibri"/>
          <w:lang w:val="sq-AL"/>
        </w:rPr>
      </w:pPr>
      <w:r w:rsidRPr="00BE2534">
        <w:rPr>
          <w:rFonts w:eastAsia="Calibri" w:cs="Calibri"/>
          <w:lang w:val="sq-AL"/>
        </w:rPr>
        <w:t xml:space="preserve">Ndarja e materialeve të riciklueshme në stacionin e klasifikimit nga fraksionet e mbeturinave të grumbulluara </w:t>
      </w:r>
      <w:r>
        <w:rPr>
          <w:rFonts w:eastAsia="Calibri" w:cs="Calibri"/>
          <w:lang w:val="sq-AL"/>
        </w:rPr>
        <w:t>ndaras</w:t>
      </w:r>
      <w:r w:rsidRPr="00BE2534">
        <w:rPr>
          <w:rFonts w:eastAsia="Calibri" w:cs="Calibri"/>
          <w:lang w:val="sq-AL"/>
        </w:rPr>
        <w:t xml:space="preserve">, p.sh. mbeturinat e përziera të grumbulluara nuk i nënshtrohet ndarjes së </w:t>
      </w:r>
      <w:r w:rsidRPr="009B1BBF">
        <w:rPr>
          <w:rFonts w:eastAsia="Calibri" w:cs="Calibri"/>
          <w:lang w:val="sq-AL"/>
        </w:rPr>
        <w:t>mëtejshme.</w:t>
      </w:r>
    </w:p>
    <w:p w14:paraId="076C5710"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6254A573" w14:textId="393FD260" w:rsidR="00430A79" w:rsidRPr="009F5CA1" w:rsidRDefault="009B1BBF" w:rsidP="00430A79">
      <w:pPr>
        <w:jc w:val="both"/>
        <w:rPr>
          <w:rFonts w:ascii="Arial Narrow" w:eastAsia="Calibri" w:hAnsi="Arial Narrow" w:cs="Calibri"/>
          <w:color w:val="000000" w:themeColor="text1"/>
          <w:sz w:val="22"/>
          <w:szCs w:val="22"/>
          <w:lang w:val="sq-AL"/>
        </w:rPr>
      </w:pPr>
      <w:r w:rsidRPr="009B1BBF">
        <w:rPr>
          <w:rFonts w:ascii="Arial Narrow" w:eastAsia="Calibri" w:hAnsi="Arial Narrow" w:cs="Calibri"/>
          <w:sz w:val="22"/>
          <w:szCs w:val="22"/>
          <w:lang w:val="sq-AL"/>
        </w:rPr>
        <w:t>Tabela e mëposhtme paraqet avantazhet dhe disavantazhet e këtyre dy alternativave</w:t>
      </w:r>
      <w:r w:rsidR="00430A79" w:rsidRPr="009F5CA1">
        <w:rPr>
          <w:rFonts w:ascii="Arial Narrow" w:eastAsia="Calibri" w:hAnsi="Arial Narrow" w:cs="Calibri"/>
          <w:color w:val="000000" w:themeColor="text1"/>
          <w:sz w:val="22"/>
          <w:szCs w:val="22"/>
          <w:lang w:val="sq-AL"/>
        </w:rPr>
        <w:t>.</w:t>
      </w:r>
    </w:p>
    <w:p w14:paraId="645C2629"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3E30D6A0" w14:textId="610FAFCE" w:rsidR="00430A79" w:rsidRPr="00430A79" w:rsidRDefault="00430A79" w:rsidP="00430A79">
      <w:pPr>
        <w:rPr>
          <w:rFonts w:ascii="Arial Narrow" w:eastAsia="Calibri" w:hAnsi="Arial Narrow" w:cs="Calibri"/>
          <w:color w:val="1F497D"/>
          <w:sz w:val="20"/>
          <w:szCs w:val="20"/>
          <w:lang w:val="en-GB"/>
        </w:rPr>
      </w:pPr>
      <w:bookmarkStart w:id="366" w:name="_Toc185866207"/>
      <w:bookmarkStart w:id="367" w:name="_Toc197472236"/>
      <w:r w:rsidRPr="009F5CA1">
        <w:rPr>
          <w:rFonts w:ascii="Arial Narrow" w:eastAsia="Calibri" w:hAnsi="Arial Narrow" w:cs="Calibri"/>
          <w:color w:val="1F497D"/>
          <w:sz w:val="20"/>
          <w:szCs w:val="20"/>
          <w:lang w:val="sq-AL"/>
        </w:rPr>
        <w:t xml:space="preserve">Tabela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lang w:val="sq-AL"/>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lang w:val="sq-AL"/>
        </w:rPr>
        <w:t xml:space="preserve">51. </w:t>
      </w:r>
      <w:r w:rsidRPr="00430A79">
        <w:rPr>
          <w:rFonts w:ascii="Arial Narrow" w:eastAsia="Calibri" w:hAnsi="Arial Narrow" w:cs="Calibri"/>
          <w:color w:val="1F497D"/>
          <w:sz w:val="20"/>
          <w:szCs w:val="20"/>
          <w:lang w:val="en-GB"/>
        </w:rPr>
        <w:fldChar w:fldCharType="end"/>
      </w:r>
      <w:proofErr w:type="spellStart"/>
      <w:r w:rsidRPr="00430A79">
        <w:rPr>
          <w:rFonts w:ascii="Arial Narrow" w:eastAsia="Calibri" w:hAnsi="Arial Narrow" w:cs="Calibri"/>
          <w:color w:val="1F497D"/>
          <w:sz w:val="20"/>
          <w:szCs w:val="20"/>
          <w:lang w:val="en-GB"/>
        </w:rPr>
        <w:t>Avantazhet</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dhe</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disavantazhet</w:t>
      </w:r>
      <w:proofErr w:type="spellEnd"/>
      <w:r w:rsidRPr="00430A79">
        <w:rPr>
          <w:rFonts w:ascii="Arial Narrow" w:eastAsia="Calibri" w:hAnsi="Arial Narrow" w:cs="Calibri"/>
          <w:color w:val="1F497D"/>
          <w:sz w:val="20"/>
          <w:szCs w:val="20"/>
          <w:lang w:val="en-GB"/>
        </w:rPr>
        <w:t xml:space="preserve"> e </w:t>
      </w:r>
      <w:proofErr w:type="spellStart"/>
      <w:r w:rsidRPr="00430A79">
        <w:rPr>
          <w:rFonts w:ascii="Arial Narrow" w:eastAsia="Calibri" w:hAnsi="Arial Narrow" w:cs="Calibri"/>
          <w:color w:val="1F497D"/>
          <w:sz w:val="20"/>
          <w:szCs w:val="20"/>
          <w:lang w:val="en-GB"/>
        </w:rPr>
        <w:t>alternativave</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të</w:t>
      </w:r>
      <w:proofErr w:type="spellEnd"/>
      <w:r w:rsidRPr="00430A79">
        <w:rPr>
          <w:rFonts w:ascii="Arial Narrow" w:eastAsia="Calibri" w:hAnsi="Arial Narrow" w:cs="Calibri"/>
          <w:color w:val="1F497D"/>
          <w:sz w:val="20"/>
          <w:szCs w:val="20"/>
          <w:lang w:val="en-GB"/>
        </w:rPr>
        <w:t xml:space="preserve"> </w:t>
      </w:r>
      <w:proofErr w:type="spellStart"/>
      <w:r w:rsidR="009B1BBF">
        <w:rPr>
          <w:rFonts w:ascii="Arial Narrow" w:eastAsia="Calibri" w:hAnsi="Arial Narrow" w:cs="Calibri"/>
          <w:color w:val="1F497D"/>
          <w:sz w:val="20"/>
          <w:szCs w:val="20"/>
          <w:lang w:val="en-GB"/>
        </w:rPr>
        <w:t>klasifikimit</w:t>
      </w:r>
      <w:bookmarkEnd w:id="366"/>
      <w:bookmarkEnd w:id="367"/>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4"/>
        <w:gridCol w:w="3561"/>
        <w:gridCol w:w="3561"/>
      </w:tblGrid>
      <w:tr w:rsidR="00430A79" w:rsidRPr="00430A79" w14:paraId="08FD04D7" w14:textId="77777777" w:rsidTr="00D03949">
        <w:trPr>
          <w:tblHeader/>
        </w:trPr>
        <w:tc>
          <w:tcPr>
            <w:tcW w:w="1050" w:type="pct"/>
            <w:shd w:val="clear" w:color="auto" w:fill="365F91"/>
          </w:tcPr>
          <w:p w14:paraId="72A688E5" w14:textId="5379EAE5" w:rsidR="00430A79" w:rsidRPr="00430A79" w:rsidRDefault="00430A79" w:rsidP="00430A79">
            <w:pPr>
              <w:keepNext/>
              <w:keepLines/>
              <w:tabs>
                <w:tab w:val="left" w:pos="0"/>
              </w:tabs>
              <w:spacing w:before="60" w:after="60"/>
              <w:rPr>
                <w:rFonts w:ascii="Arial Narrow" w:hAnsi="Arial Narrow" w:cs="Arial"/>
                <w:b/>
                <w:iCs/>
                <w:color w:val="FFFFFF" w:themeColor="background1"/>
                <w:sz w:val="20"/>
                <w:szCs w:val="20"/>
                <w:lang w:val="fr-FR" w:eastAsia="de-DE"/>
              </w:rPr>
            </w:pPr>
            <w:proofErr w:type="spellStart"/>
            <w:r w:rsidRPr="00430A79">
              <w:rPr>
                <w:rFonts w:ascii="Arial Narrow" w:hAnsi="Arial Narrow" w:cs="Arial"/>
                <w:b/>
                <w:iCs/>
                <w:color w:val="FFFFFF" w:themeColor="background1"/>
                <w:sz w:val="20"/>
                <w:szCs w:val="20"/>
                <w:lang w:val="fr-FR" w:eastAsia="de-DE"/>
              </w:rPr>
              <w:t>Alternativ</w:t>
            </w:r>
            <w:r w:rsidR="009B1BBF">
              <w:rPr>
                <w:rFonts w:ascii="Arial Narrow" w:hAnsi="Arial Narrow" w:cs="Arial"/>
                <w:b/>
                <w:iCs/>
                <w:color w:val="FFFFFF" w:themeColor="background1"/>
                <w:sz w:val="20"/>
                <w:szCs w:val="20"/>
                <w:lang w:val="fr-FR" w:eastAsia="de-DE"/>
              </w:rPr>
              <w:t>a</w:t>
            </w:r>
            <w:proofErr w:type="spellEnd"/>
          </w:p>
        </w:tc>
        <w:tc>
          <w:tcPr>
            <w:tcW w:w="1975" w:type="pct"/>
            <w:shd w:val="clear" w:color="auto" w:fill="365F91"/>
          </w:tcPr>
          <w:p w14:paraId="79DEB20C" w14:textId="08D4DF41" w:rsidR="00430A79" w:rsidRPr="00430A79" w:rsidRDefault="009B1BBF" w:rsidP="00430A79">
            <w:pPr>
              <w:keepNext/>
              <w:keepLines/>
              <w:tabs>
                <w:tab w:val="left" w:pos="0"/>
              </w:tabs>
              <w:spacing w:before="60" w:after="60"/>
              <w:rPr>
                <w:rFonts w:ascii="Arial Narrow" w:hAnsi="Arial Narrow" w:cs="Arial"/>
                <w:b/>
                <w:iCs/>
                <w:color w:val="FFFFFF" w:themeColor="background1"/>
                <w:sz w:val="20"/>
                <w:szCs w:val="20"/>
                <w:lang w:val="fr-FR" w:eastAsia="de-DE"/>
              </w:rPr>
            </w:pPr>
            <w:proofErr w:type="spellStart"/>
            <w:r>
              <w:rPr>
                <w:rFonts w:ascii="Arial Narrow" w:hAnsi="Arial Narrow" w:cs="Arial"/>
                <w:b/>
                <w:iCs/>
                <w:color w:val="FFFFFF" w:themeColor="background1"/>
                <w:sz w:val="20"/>
                <w:szCs w:val="20"/>
                <w:lang w:val="fr-FR" w:eastAsia="de-DE"/>
              </w:rPr>
              <w:t>Avantazhet</w:t>
            </w:r>
            <w:proofErr w:type="spellEnd"/>
            <w:r w:rsidR="00430A79" w:rsidRPr="00430A79">
              <w:rPr>
                <w:rFonts w:ascii="Arial Narrow" w:hAnsi="Arial Narrow" w:cs="Arial"/>
                <w:b/>
                <w:iCs/>
                <w:color w:val="FFFFFF" w:themeColor="background1"/>
                <w:sz w:val="20"/>
                <w:szCs w:val="20"/>
                <w:lang w:val="fr-FR" w:eastAsia="de-DE"/>
              </w:rPr>
              <w:t xml:space="preserve"> </w:t>
            </w:r>
            <w:proofErr w:type="spellStart"/>
            <w:r w:rsidR="00430A79" w:rsidRPr="00430A79">
              <w:rPr>
                <w:rFonts w:ascii="Arial Narrow" w:hAnsi="Arial Narrow" w:cs="Arial"/>
                <w:b/>
                <w:iCs/>
                <w:color w:val="FFFFFF" w:themeColor="background1"/>
                <w:sz w:val="20"/>
                <w:szCs w:val="20"/>
                <w:lang w:val="fr-FR" w:eastAsia="de-DE"/>
              </w:rPr>
              <w:t>kryesore</w:t>
            </w:r>
            <w:proofErr w:type="spellEnd"/>
          </w:p>
        </w:tc>
        <w:tc>
          <w:tcPr>
            <w:tcW w:w="1975" w:type="pct"/>
            <w:shd w:val="clear" w:color="auto" w:fill="365F91"/>
          </w:tcPr>
          <w:p w14:paraId="6F61761C" w14:textId="77777777" w:rsidR="00430A79" w:rsidRPr="00430A79" w:rsidRDefault="00430A79" w:rsidP="00430A79">
            <w:pPr>
              <w:keepNext/>
              <w:keepLines/>
              <w:tabs>
                <w:tab w:val="left" w:pos="0"/>
              </w:tabs>
              <w:spacing w:before="60" w:after="60"/>
              <w:rPr>
                <w:rFonts w:ascii="Arial Narrow" w:hAnsi="Arial Narrow" w:cs="Arial"/>
                <w:b/>
                <w:iCs/>
                <w:color w:val="FFFFFF" w:themeColor="background1"/>
                <w:sz w:val="20"/>
                <w:szCs w:val="20"/>
                <w:lang w:val="fr-FR" w:eastAsia="de-DE"/>
              </w:rPr>
            </w:pPr>
            <w:proofErr w:type="spellStart"/>
            <w:r w:rsidRPr="00430A79">
              <w:rPr>
                <w:rFonts w:ascii="Arial Narrow" w:hAnsi="Arial Narrow" w:cs="Arial"/>
                <w:b/>
                <w:iCs/>
                <w:color w:val="FFFFFF" w:themeColor="background1"/>
                <w:sz w:val="20"/>
                <w:szCs w:val="20"/>
                <w:lang w:val="fr-FR" w:eastAsia="de-DE"/>
              </w:rPr>
              <w:t>Disavantazhet</w:t>
            </w:r>
            <w:proofErr w:type="spellEnd"/>
            <w:r w:rsidRPr="00430A79">
              <w:rPr>
                <w:rFonts w:ascii="Arial Narrow" w:hAnsi="Arial Narrow" w:cs="Arial"/>
                <w:b/>
                <w:iCs/>
                <w:color w:val="FFFFFF" w:themeColor="background1"/>
                <w:sz w:val="20"/>
                <w:szCs w:val="20"/>
                <w:lang w:val="fr-FR" w:eastAsia="de-DE"/>
              </w:rPr>
              <w:t xml:space="preserve"> </w:t>
            </w:r>
            <w:proofErr w:type="spellStart"/>
            <w:r w:rsidRPr="00430A79">
              <w:rPr>
                <w:rFonts w:ascii="Arial Narrow" w:hAnsi="Arial Narrow" w:cs="Arial"/>
                <w:b/>
                <w:iCs/>
                <w:color w:val="FFFFFF" w:themeColor="background1"/>
                <w:sz w:val="20"/>
                <w:szCs w:val="20"/>
                <w:lang w:val="fr-FR" w:eastAsia="de-DE"/>
              </w:rPr>
              <w:t>kryesore</w:t>
            </w:r>
            <w:proofErr w:type="spellEnd"/>
          </w:p>
        </w:tc>
      </w:tr>
      <w:tr w:rsidR="009B1BBF" w:rsidRPr="00430A79" w14:paraId="0184F358" w14:textId="77777777" w:rsidTr="00D03949">
        <w:tc>
          <w:tcPr>
            <w:tcW w:w="1050" w:type="pct"/>
          </w:tcPr>
          <w:p w14:paraId="6DAF5889" w14:textId="41F3AF82" w:rsidR="009B1BBF" w:rsidRPr="009F5CA1" w:rsidRDefault="009B1BBF" w:rsidP="009B1BBF">
            <w:pPr>
              <w:keepLines/>
              <w:tabs>
                <w:tab w:val="left" w:pos="0"/>
              </w:tabs>
              <w:spacing w:before="60" w:after="60"/>
              <w:rPr>
                <w:rFonts w:ascii="Arial Narrow" w:hAnsi="Arial Narrow" w:cs="Arial"/>
                <w:b/>
                <w:bCs/>
                <w:iCs/>
                <w:sz w:val="20"/>
                <w:szCs w:val="20"/>
                <w:lang w:val="de-DE" w:eastAsia="de-DE"/>
              </w:rPr>
            </w:pPr>
            <w:r w:rsidRPr="00BE2534">
              <w:rPr>
                <w:rFonts w:ascii="Arial Narrow" w:hAnsi="Arial Narrow" w:cs="Arial"/>
                <w:b/>
                <w:bCs/>
                <w:iCs/>
                <w:sz w:val="20"/>
                <w:szCs w:val="20"/>
                <w:lang w:val="sq-AL" w:eastAsia="de-DE"/>
              </w:rPr>
              <w:t>Objektet e klasifikimit për mbeturinat e përziera inerte</w:t>
            </w:r>
          </w:p>
        </w:tc>
        <w:tc>
          <w:tcPr>
            <w:tcW w:w="1975" w:type="pct"/>
          </w:tcPr>
          <w:p w14:paraId="0283B668" w14:textId="77777777" w:rsidR="009B1BBF" w:rsidRPr="00BE2534" w:rsidRDefault="009B1BBF" w:rsidP="009B1BBF">
            <w:pPr>
              <w:keepLines/>
              <w:numPr>
                <w:ilvl w:val="0"/>
                <w:numId w:val="16"/>
              </w:numPr>
              <w:tabs>
                <w:tab w:val="left" w:pos="0"/>
              </w:tabs>
              <w:spacing w:before="60" w:after="60"/>
              <w:ind w:left="295" w:hanging="284"/>
              <w:rPr>
                <w:rFonts w:ascii="Arial Narrow" w:eastAsia="Calibri" w:hAnsi="Arial Narrow" w:cs="Arial"/>
                <w:bCs/>
                <w:iCs/>
                <w:sz w:val="20"/>
                <w:szCs w:val="20"/>
                <w:lang w:val="sq-AL"/>
              </w:rPr>
            </w:pPr>
            <w:r w:rsidRPr="00BE2534">
              <w:rPr>
                <w:rFonts w:ascii="Arial Narrow" w:eastAsia="Calibri" w:hAnsi="Arial Narrow" w:cs="Arial"/>
                <w:bCs/>
                <w:iCs/>
                <w:sz w:val="20"/>
                <w:szCs w:val="20"/>
                <w:lang w:val="sq-AL"/>
              </w:rPr>
              <w:t>Nuk kërkon kosto shtesë grumbullimi dhe ndryshim praktike</w:t>
            </w:r>
          </w:p>
          <w:p w14:paraId="11F95D38" w14:textId="77777777" w:rsidR="009B1BBF" w:rsidRPr="00BE2534" w:rsidRDefault="009B1BBF" w:rsidP="009B1BBF">
            <w:pPr>
              <w:keepLines/>
              <w:numPr>
                <w:ilvl w:val="0"/>
                <w:numId w:val="16"/>
              </w:numPr>
              <w:tabs>
                <w:tab w:val="left" w:pos="0"/>
              </w:tabs>
              <w:spacing w:before="60" w:after="60"/>
              <w:ind w:left="295" w:hanging="284"/>
              <w:rPr>
                <w:rFonts w:ascii="Arial Narrow" w:eastAsia="Calibri" w:hAnsi="Arial Narrow" w:cs="Arial"/>
                <w:bCs/>
                <w:iCs/>
                <w:sz w:val="20"/>
                <w:szCs w:val="20"/>
                <w:lang w:val="sq-AL"/>
              </w:rPr>
            </w:pPr>
            <w:r w:rsidRPr="00BE2534">
              <w:rPr>
                <w:rFonts w:ascii="Arial Narrow" w:eastAsia="Calibri" w:hAnsi="Arial Narrow" w:cs="Arial"/>
                <w:bCs/>
                <w:iCs/>
                <w:sz w:val="20"/>
                <w:szCs w:val="20"/>
                <w:lang w:val="sq-AL"/>
              </w:rPr>
              <w:t>Fleksibilitet në klasifikimin e një numri më të madh të materialeve në varësi të potencialit të tregut</w:t>
            </w:r>
          </w:p>
          <w:p w14:paraId="0B100E87" w14:textId="2679F1FB" w:rsidR="009B1BBF" w:rsidRPr="00430A79" w:rsidRDefault="009B1BBF" w:rsidP="009B1BBF">
            <w:pPr>
              <w:keepLines/>
              <w:numPr>
                <w:ilvl w:val="0"/>
                <w:numId w:val="16"/>
              </w:numPr>
              <w:tabs>
                <w:tab w:val="left" w:pos="0"/>
              </w:tabs>
              <w:spacing w:before="60" w:after="60"/>
              <w:ind w:left="295" w:hanging="284"/>
              <w:rPr>
                <w:rFonts w:ascii="Arial Narrow" w:eastAsia="Calibri" w:hAnsi="Arial Narrow" w:cs="Arial"/>
                <w:bCs/>
                <w:iCs/>
                <w:sz w:val="20"/>
                <w:szCs w:val="20"/>
              </w:rPr>
            </w:pPr>
            <w:r w:rsidRPr="00BE2534">
              <w:rPr>
                <w:rFonts w:ascii="Arial Narrow" w:eastAsia="Calibri" w:hAnsi="Arial Narrow" w:cs="Arial"/>
                <w:bCs/>
                <w:iCs/>
                <w:sz w:val="20"/>
                <w:szCs w:val="20"/>
                <w:lang w:val="sq-AL"/>
              </w:rPr>
              <w:t>Fleksibilitet për ta përshtatur potencialisht me teknologjinë e trajtimit mekanik-biologjik (TMB)</w:t>
            </w:r>
          </w:p>
        </w:tc>
        <w:tc>
          <w:tcPr>
            <w:tcW w:w="1975" w:type="pct"/>
          </w:tcPr>
          <w:p w14:paraId="059E4D05" w14:textId="77777777" w:rsidR="009B1BBF" w:rsidRPr="00BE2534" w:rsidRDefault="009B1BBF" w:rsidP="009B1BBF">
            <w:pPr>
              <w:keepLines/>
              <w:numPr>
                <w:ilvl w:val="0"/>
                <w:numId w:val="16"/>
              </w:numPr>
              <w:tabs>
                <w:tab w:val="left" w:pos="0"/>
              </w:tabs>
              <w:spacing w:before="60" w:after="60"/>
              <w:ind w:left="295" w:hanging="284"/>
              <w:rPr>
                <w:rFonts w:ascii="Arial Narrow" w:eastAsia="Calibri" w:hAnsi="Arial Narrow" w:cs="Arial"/>
                <w:bCs/>
                <w:iCs/>
                <w:sz w:val="20"/>
                <w:szCs w:val="20"/>
                <w:lang w:val="sq-AL"/>
              </w:rPr>
            </w:pPr>
            <w:r w:rsidRPr="00BE2534">
              <w:rPr>
                <w:rFonts w:ascii="Arial Narrow" w:eastAsia="Calibri" w:hAnsi="Arial Narrow" w:cs="Arial"/>
                <w:bCs/>
                <w:iCs/>
                <w:sz w:val="20"/>
                <w:szCs w:val="20"/>
                <w:lang w:val="sq-AL"/>
              </w:rPr>
              <w:t>Materialet e riciklueshme janë të kontaminuara, me më pak vlerë, letra dhe kartoni vështirë se mund të riciklohen</w:t>
            </w:r>
          </w:p>
          <w:p w14:paraId="24FD6A92" w14:textId="77777777" w:rsidR="009B1BBF" w:rsidRPr="00BE2534" w:rsidRDefault="009B1BBF" w:rsidP="009B1BBF">
            <w:pPr>
              <w:keepLines/>
              <w:numPr>
                <w:ilvl w:val="0"/>
                <w:numId w:val="16"/>
              </w:numPr>
              <w:tabs>
                <w:tab w:val="left" w:pos="0"/>
              </w:tabs>
              <w:spacing w:before="60" w:after="60"/>
              <w:ind w:left="295" w:hanging="284"/>
              <w:rPr>
                <w:rFonts w:ascii="Arial Narrow" w:eastAsia="Calibri" w:hAnsi="Arial Narrow" w:cs="Arial"/>
                <w:bCs/>
                <w:iCs/>
                <w:sz w:val="20"/>
                <w:szCs w:val="20"/>
                <w:lang w:val="sq-AL"/>
              </w:rPr>
            </w:pPr>
            <w:r w:rsidRPr="00BE2534">
              <w:rPr>
                <w:rFonts w:ascii="Arial Narrow" w:eastAsia="Calibri" w:hAnsi="Arial Narrow" w:cs="Arial"/>
                <w:bCs/>
                <w:iCs/>
                <w:sz w:val="20"/>
                <w:szCs w:val="20"/>
                <w:lang w:val="sq-AL"/>
              </w:rPr>
              <w:t>Kosto më të larta investimi</w:t>
            </w:r>
          </w:p>
          <w:p w14:paraId="28EE2DE5" w14:textId="77777777" w:rsidR="009B1BBF" w:rsidRPr="00BE2534" w:rsidRDefault="009B1BBF" w:rsidP="009B1BBF">
            <w:pPr>
              <w:keepLines/>
              <w:numPr>
                <w:ilvl w:val="0"/>
                <w:numId w:val="16"/>
              </w:numPr>
              <w:tabs>
                <w:tab w:val="left" w:pos="0"/>
              </w:tabs>
              <w:spacing w:before="60" w:after="60"/>
              <w:ind w:left="295" w:hanging="284"/>
              <w:rPr>
                <w:rFonts w:ascii="Arial Narrow" w:eastAsia="Calibri" w:hAnsi="Arial Narrow" w:cs="Arial"/>
                <w:bCs/>
                <w:iCs/>
                <w:sz w:val="20"/>
                <w:szCs w:val="20"/>
                <w:lang w:val="sq-AL"/>
              </w:rPr>
            </w:pPr>
            <w:r w:rsidRPr="00BE2534">
              <w:rPr>
                <w:rFonts w:ascii="Arial Narrow" w:eastAsia="Calibri" w:hAnsi="Arial Narrow" w:cs="Arial"/>
                <w:bCs/>
                <w:iCs/>
                <w:sz w:val="20"/>
                <w:szCs w:val="20"/>
                <w:lang w:val="sq-AL"/>
              </w:rPr>
              <w:t xml:space="preserve">I kufizuar për sa i përket </w:t>
            </w:r>
            <w:bookmarkStart w:id="368" w:name="_Hlk183104487"/>
            <w:r w:rsidRPr="00BE2534">
              <w:rPr>
                <w:rFonts w:ascii="Arial Narrow" w:eastAsia="Calibri" w:hAnsi="Arial Narrow" w:cs="Arial"/>
                <w:bCs/>
                <w:iCs/>
                <w:sz w:val="20"/>
                <w:szCs w:val="20"/>
                <w:lang w:val="sq-AL"/>
              </w:rPr>
              <w:t>rikuperimit të burimeve (midis 5 dhe 10% të sasive totale të mbeturinave)</w:t>
            </w:r>
            <w:bookmarkEnd w:id="368"/>
          </w:p>
          <w:p w14:paraId="16316F3B" w14:textId="54636F46" w:rsidR="009B1BBF" w:rsidRPr="00430A79" w:rsidRDefault="009B1BBF" w:rsidP="009B1BBF">
            <w:pPr>
              <w:keepLines/>
              <w:numPr>
                <w:ilvl w:val="0"/>
                <w:numId w:val="16"/>
              </w:numPr>
              <w:tabs>
                <w:tab w:val="left" w:pos="0"/>
              </w:tabs>
              <w:spacing w:before="60" w:after="60"/>
              <w:ind w:left="295" w:hanging="284"/>
              <w:rPr>
                <w:rFonts w:ascii="Arial Narrow" w:eastAsia="Calibri" w:hAnsi="Arial Narrow" w:cs="Arial"/>
                <w:bCs/>
                <w:iCs/>
                <w:sz w:val="20"/>
                <w:szCs w:val="20"/>
              </w:rPr>
            </w:pPr>
            <w:r w:rsidRPr="00BE2534">
              <w:rPr>
                <w:rFonts w:ascii="Arial Narrow" w:eastAsia="Calibri" w:hAnsi="Arial Narrow" w:cs="Arial"/>
                <w:bCs/>
                <w:iCs/>
                <w:sz w:val="20"/>
                <w:szCs w:val="20"/>
                <w:lang w:val="sq-AL"/>
              </w:rPr>
              <w:t>Nuk çon në zhvillimin e sistemit të riciklimit dhe nuk ndryshon sjelljen e konsumatorit</w:t>
            </w:r>
          </w:p>
        </w:tc>
      </w:tr>
      <w:tr w:rsidR="009B1BBF" w:rsidRPr="00430A79" w14:paraId="0FDF91F4" w14:textId="77777777" w:rsidTr="00D03949">
        <w:tc>
          <w:tcPr>
            <w:tcW w:w="1050" w:type="pct"/>
          </w:tcPr>
          <w:p w14:paraId="64782054" w14:textId="49774604" w:rsidR="009B1BBF" w:rsidRPr="009F5CA1" w:rsidRDefault="009B1BBF" w:rsidP="009B1BBF">
            <w:pPr>
              <w:keepLines/>
              <w:tabs>
                <w:tab w:val="left" w:pos="0"/>
              </w:tabs>
              <w:spacing w:before="60" w:after="60"/>
              <w:rPr>
                <w:rFonts w:ascii="Arial Narrow" w:hAnsi="Arial Narrow" w:cs="Arial"/>
                <w:b/>
                <w:bCs/>
                <w:iCs/>
                <w:sz w:val="20"/>
                <w:szCs w:val="20"/>
                <w:lang w:eastAsia="de-DE"/>
              </w:rPr>
            </w:pPr>
            <w:r w:rsidRPr="00BE2534">
              <w:rPr>
                <w:rFonts w:ascii="Arial Narrow" w:hAnsi="Arial Narrow" w:cs="Arial"/>
                <w:b/>
                <w:bCs/>
                <w:iCs/>
                <w:sz w:val="20"/>
                <w:szCs w:val="20"/>
                <w:lang w:val="sq-AL" w:eastAsia="de-DE"/>
              </w:rPr>
              <w:t xml:space="preserve">Stacion klasifikimi për materialet e riciklueshme të mbledhura </w:t>
            </w:r>
            <w:r>
              <w:rPr>
                <w:rFonts w:ascii="Arial Narrow" w:hAnsi="Arial Narrow" w:cs="Arial"/>
                <w:b/>
                <w:bCs/>
                <w:iCs/>
                <w:sz w:val="20"/>
                <w:szCs w:val="20"/>
                <w:lang w:val="sq-AL" w:eastAsia="de-DE"/>
              </w:rPr>
              <w:t>ndaras</w:t>
            </w:r>
          </w:p>
        </w:tc>
        <w:tc>
          <w:tcPr>
            <w:tcW w:w="1975" w:type="pct"/>
          </w:tcPr>
          <w:p w14:paraId="7FC5F213" w14:textId="77777777" w:rsidR="009B1BBF" w:rsidRPr="00BE2534" w:rsidRDefault="009B1BBF" w:rsidP="009B1BBF">
            <w:pPr>
              <w:keepLines/>
              <w:numPr>
                <w:ilvl w:val="0"/>
                <w:numId w:val="16"/>
              </w:numPr>
              <w:tabs>
                <w:tab w:val="left" w:pos="0"/>
              </w:tabs>
              <w:spacing w:before="60" w:after="60"/>
              <w:ind w:left="295" w:hanging="284"/>
              <w:rPr>
                <w:rFonts w:ascii="Arial Narrow" w:eastAsia="Calibri" w:hAnsi="Arial Narrow" w:cs="Arial"/>
                <w:bCs/>
                <w:iCs/>
                <w:sz w:val="20"/>
                <w:szCs w:val="20"/>
                <w:lang w:val="sq-AL"/>
              </w:rPr>
            </w:pPr>
            <w:r w:rsidRPr="00BE2534">
              <w:rPr>
                <w:rFonts w:ascii="Arial Narrow" w:eastAsia="Calibri" w:hAnsi="Arial Narrow" w:cs="Arial"/>
                <w:bCs/>
                <w:iCs/>
                <w:sz w:val="20"/>
                <w:szCs w:val="20"/>
                <w:lang w:val="sq-AL"/>
              </w:rPr>
              <w:t>Kosto më të ulëta investimi</w:t>
            </w:r>
          </w:p>
          <w:p w14:paraId="67E4AEF2" w14:textId="77777777" w:rsidR="009B1BBF" w:rsidRPr="00BE2534" w:rsidRDefault="009B1BBF" w:rsidP="009B1BBF">
            <w:pPr>
              <w:keepLines/>
              <w:numPr>
                <w:ilvl w:val="0"/>
                <w:numId w:val="16"/>
              </w:numPr>
              <w:tabs>
                <w:tab w:val="left" w:pos="0"/>
              </w:tabs>
              <w:spacing w:before="60" w:after="60"/>
              <w:ind w:left="295" w:hanging="284"/>
              <w:rPr>
                <w:rFonts w:ascii="Arial Narrow" w:eastAsia="Calibri" w:hAnsi="Arial Narrow" w:cs="Arial"/>
                <w:bCs/>
                <w:iCs/>
                <w:sz w:val="20"/>
                <w:szCs w:val="20"/>
                <w:lang w:val="sq-AL"/>
              </w:rPr>
            </w:pPr>
            <w:r w:rsidRPr="00BE2534">
              <w:rPr>
                <w:rFonts w:ascii="Arial Narrow" w:eastAsia="Calibri" w:hAnsi="Arial Narrow" w:cs="Arial"/>
                <w:bCs/>
                <w:iCs/>
                <w:sz w:val="20"/>
                <w:szCs w:val="20"/>
                <w:lang w:val="sq-AL"/>
              </w:rPr>
              <w:t>Materiale të riciklueshme më të pastra me vlerë më të lartë tregu.</w:t>
            </w:r>
          </w:p>
          <w:p w14:paraId="4B18776B" w14:textId="77777777" w:rsidR="009B1BBF" w:rsidRPr="00BE2534" w:rsidRDefault="009B1BBF" w:rsidP="009B1BBF">
            <w:pPr>
              <w:keepLines/>
              <w:numPr>
                <w:ilvl w:val="0"/>
                <w:numId w:val="16"/>
              </w:numPr>
              <w:tabs>
                <w:tab w:val="left" w:pos="0"/>
              </w:tabs>
              <w:spacing w:before="60" w:after="60"/>
              <w:ind w:left="295" w:hanging="284"/>
              <w:rPr>
                <w:rFonts w:ascii="Arial Narrow" w:eastAsia="Calibri" w:hAnsi="Arial Narrow" w:cs="Arial"/>
                <w:bCs/>
                <w:iCs/>
                <w:sz w:val="20"/>
                <w:szCs w:val="20"/>
                <w:lang w:val="sq-AL"/>
              </w:rPr>
            </w:pPr>
            <w:r w:rsidRPr="00BE2534">
              <w:rPr>
                <w:rFonts w:ascii="Arial Narrow" w:eastAsia="Calibri" w:hAnsi="Arial Narrow" w:cs="Arial"/>
                <w:bCs/>
                <w:iCs/>
                <w:sz w:val="20"/>
                <w:szCs w:val="20"/>
                <w:lang w:val="sq-AL"/>
              </w:rPr>
              <w:t>Siguron zhvillimin e mëtejshëm të sistemit të riciklimit dhe rritjen e përfshirjes së publikut</w:t>
            </w:r>
          </w:p>
          <w:p w14:paraId="20096A19" w14:textId="77777777" w:rsidR="009B1BBF" w:rsidRPr="00430A79" w:rsidRDefault="009B1BBF" w:rsidP="009B1BBF">
            <w:pPr>
              <w:keepLines/>
              <w:tabs>
                <w:tab w:val="left" w:pos="0"/>
              </w:tabs>
              <w:spacing w:before="60" w:after="60"/>
              <w:rPr>
                <w:rFonts w:ascii="Arial Narrow" w:eastAsia="Calibri" w:hAnsi="Arial Narrow" w:cs="Arial"/>
                <w:bCs/>
                <w:iCs/>
                <w:sz w:val="20"/>
                <w:szCs w:val="20"/>
              </w:rPr>
            </w:pPr>
          </w:p>
        </w:tc>
        <w:tc>
          <w:tcPr>
            <w:tcW w:w="1975" w:type="pct"/>
          </w:tcPr>
          <w:p w14:paraId="0EAFB05E" w14:textId="77777777" w:rsidR="009B1BBF" w:rsidRPr="00BE2534" w:rsidRDefault="009B1BBF" w:rsidP="009B1BBF">
            <w:pPr>
              <w:keepLines/>
              <w:numPr>
                <w:ilvl w:val="0"/>
                <w:numId w:val="16"/>
              </w:numPr>
              <w:tabs>
                <w:tab w:val="left" w:pos="0"/>
              </w:tabs>
              <w:spacing w:before="60" w:after="60"/>
              <w:ind w:left="295" w:hanging="284"/>
              <w:rPr>
                <w:rFonts w:ascii="Arial Narrow" w:eastAsia="Calibri" w:hAnsi="Arial Narrow" w:cs="Arial"/>
                <w:bCs/>
                <w:iCs/>
                <w:sz w:val="20"/>
                <w:szCs w:val="20"/>
                <w:lang w:val="sq-AL"/>
              </w:rPr>
            </w:pPr>
            <w:r w:rsidRPr="00BE2534">
              <w:rPr>
                <w:rFonts w:ascii="Arial Narrow" w:eastAsia="Calibri" w:hAnsi="Arial Narrow" w:cs="Arial"/>
                <w:bCs/>
                <w:iCs/>
                <w:sz w:val="20"/>
                <w:szCs w:val="20"/>
                <w:lang w:val="sq-AL"/>
              </w:rPr>
              <w:t>Kosto më të ulëta të zbatimit ; por të kombinuara me përpjekjet më të larta të grumbullimit çojnë në kosto të përafrta totale</w:t>
            </w:r>
          </w:p>
          <w:p w14:paraId="050DC6E4" w14:textId="77777777" w:rsidR="009B1BBF" w:rsidRPr="00BE2534" w:rsidRDefault="009B1BBF" w:rsidP="009B1BBF">
            <w:pPr>
              <w:keepLines/>
              <w:numPr>
                <w:ilvl w:val="0"/>
                <w:numId w:val="16"/>
              </w:numPr>
              <w:tabs>
                <w:tab w:val="left" w:pos="0"/>
              </w:tabs>
              <w:spacing w:before="60" w:after="60"/>
              <w:ind w:left="295" w:hanging="284"/>
              <w:rPr>
                <w:rFonts w:ascii="Arial Narrow" w:eastAsia="Calibri" w:hAnsi="Arial Narrow" w:cs="Arial"/>
                <w:bCs/>
                <w:iCs/>
                <w:sz w:val="20"/>
                <w:szCs w:val="20"/>
                <w:lang w:val="sq-AL"/>
              </w:rPr>
            </w:pPr>
            <w:r w:rsidRPr="00BE2534">
              <w:rPr>
                <w:rFonts w:ascii="Arial Narrow" w:eastAsia="Calibri" w:hAnsi="Arial Narrow" w:cs="Arial"/>
                <w:bCs/>
                <w:iCs/>
                <w:sz w:val="20"/>
                <w:szCs w:val="20"/>
                <w:lang w:val="sq-AL"/>
              </w:rPr>
              <w:t>Kërkon ndryshim të qëndrimit dhe praktikës së banorëve</w:t>
            </w:r>
          </w:p>
          <w:p w14:paraId="5E5F7A31" w14:textId="7C93C9E7" w:rsidR="009B1BBF" w:rsidRPr="00430A79" w:rsidRDefault="009B1BBF" w:rsidP="009B1BBF">
            <w:pPr>
              <w:keepLines/>
              <w:numPr>
                <w:ilvl w:val="0"/>
                <w:numId w:val="16"/>
              </w:numPr>
              <w:tabs>
                <w:tab w:val="left" w:pos="0"/>
              </w:tabs>
              <w:spacing w:before="60" w:after="60"/>
              <w:ind w:left="295" w:hanging="284"/>
              <w:rPr>
                <w:rFonts w:ascii="Arial Narrow" w:eastAsia="Calibri" w:hAnsi="Arial Narrow" w:cs="Arial"/>
                <w:bCs/>
                <w:iCs/>
                <w:sz w:val="20"/>
                <w:szCs w:val="20"/>
              </w:rPr>
            </w:pPr>
            <w:r w:rsidRPr="00BE2534">
              <w:rPr>
                <w:rFonts w:ascii="Arial Narrow" w:eastAsia="Calibri" w:hAnsi="Arial Narrow" w:cs="Arial"/>
                <w:bCs/>
                <w:iCs/>
                <w:sz w:val="20"/>
                <w:szCs w:val="20"/>
                <w:lang w:val="sq-AL"/>
              </w:rPr>
              <w:t>Kërkon përpjekje të vazhdueshme për përfshirjen e publikut dhe kosto për rritjen e ndërgjegjësimit publik</w:t>
            </w:r>
          </w:p>
        </w:tc>
      </w:tr>
    </w:tbl>
    <w:p w14:paraId="0EEF038D"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0267FDC3" w14:textId="2F4C942F" w:rsidR="00430A79" w:rsidRPr="009B1BBF" w:rsidRDefault="009B1BBF" w:rsidP="009B1BBF">
      <w:pPr>
        <w:pStyle w:val="Paragraph"/>
        <w:spacing w:after="0"/>
        <w:rPr>
          <w:rFonts w:eastAsia="Calibri" w:cs="Calibri"/>
          <w:lang w:val="sq-AL"/>
        </w:rPr>
      </w:pPr>
      <w:r w:rsidRPr="00BE2534">
        <w:rPr>
          <w:rFonts w:eastAsia="Calibri" w:cs="Calibri"/>
          <w:lang w:val="sq-AL"/>
        </w:rPr>
        <w:t xml:space="preserve">Duke marrë në konsideratë objektivat e larta të riciklimit që duhet të arrihen nga e gjithë ZMM, objektet e klasifikimit për mbeturinat e përziera inerte nuk janë të përshtatshme për shkak të sasive të ulëta të mbeturinave që nxirren </w:t>
      </w:r>
      <w:r w:rsidRPr="00BE2534">
        <w:rPr>
          <w:rFonts w:eastAsia="Calibri" w:cs="Calibri"/>
          <w:lang w:val="sq-AL"/>
        </w:rPr>
        <w:lastRenderedPageBreak/>
        <w:t xml:space="preserve">si rikuperimi materialeve të riciklueshme (midis 5 dhe 10% të sasive totale të mbeturinave). Përveç kësaj, të gjitha komunat në ZMM synojnë të fillojne me sisteme për grumbullimin </w:t>
      </w:r>
      <w:r>
        <w:rPr>
          <w:rFonts w:eastAsia="Calibri" w:cs="Calibri"/>
          <w:lang w:val="sq-AL"/>
        </w:rPr>
        <w:t>ndaras</w:t>
      </w:r>
      <w:r w:rsidRPr="00BE2534">
        <w:rPr>
          <w:rFonts w:eastAsia="Calibri" w:cs="Calibri"/>
          <w:lang w:val="sq-AL"/>
        </w:rPr>
        <w:t xml:space="preserve"> të materialeve të riciklueshme të thata, gjë që do të kërkojë instalimin e sistemit  për klasifikimin e materialeve të grumbulluara </w:t>
      </w:r>
      <w:r>
        <w:rPr>
          <w:rFonts w:eastAsia="Calibri" w:cs="Calibri"/>
          <w:lang w:val="sq-AL"/>
        </w:rPr>
        <w:t>ndaras</w:t>
      </w:r>
      <w:r w:rsidRPr="00BE2534">
        <w:rPr>
          <w:rFonts w:eastAsia="Calibri" w:cs="Calibri"/>
          <w:lang w:val="sq-AL"/>
        </w:rPr>
        <w:t xml:space="preserve">. Prandaj, </w:t>
      </w:r>
      <w:r w:rsidRPr="00BE2534">
        <w:rPr>
          <w:rFonts w:eastAsia="Calibri" w:cs="Calibri"/>
          <w:b/>
          <w:bCs/>
          <w:lang w:val="sq-AL"/>
        </w:rPr>
        <w:t xml:space="preserve">sistemi i klasifikimit në rajon duhet të bazohet në objektin(et) e klasifikimit të materialeve të riciklueshme të mbledhura </w:t>
      </w:r>
      <w:r>
        <w:rPr>
          <w:rFonts w:eastAsia="Calibri" w:cs="Calibri"/>
          <w:b/>
          <w:bCs/>
          <w:lang w:val="sq-AL"/>
        </w:rPr>
        <w:t>ndaras</w:t>
      </w:r>
      <w:r w:rsidRPr="00BE2534">
        <w:rPr>
          <w:rFonts w:eastAsia="Calibri" w:cs="Calibri"/>
          <w:lang w:val="sq-AL"/>
        </w:rPr>
        <w:t>. Klasifikimi i mbeturinave të përziera nuk siguron individualisht reduktim të konsiderueshëm të sasive mneturinave të përcaktuara për deponim dhe mund të zbatohet vetëm si një objekt më i madh trajtimi (p.sh. impianti TMB)</w:t>
      </w:r>
      <w:r w:rsidR="00430A79" w:rsidRPr="009F5CA1">
        <w:rPr>
          <w:rFonts w:eastAsia="Calibri" w:cs="Calibri"/>
          <w:lang w:val="sq-AL"/>
        </w:rPr>
        <w:t>.</w:t>
      </w:r>
    </w:p>
    <w:p w14:paraId="0992E0AD" w14:textId="77777777" w:rsidR="002E4DDE" w:rsidRPr="009F5CA1" w:rsidRDefault="002E4DDE" w:rsidP="00430A79">
      <w:pPr>
        <w:jc w:val="both"/>
        <w:rPr>
          <w:rFonts w:ascii="Arial Narrow" w:eastAsia="Calibri" w:hAnsi="Arial Narrow" w:cs="Calibri"/>
          <w:color w:val="000000" w:themeColor="text1"/>
          <w:sz w:val="22"/>
          <w:szCs w:val="22"/>
          <w:lang w:val="sq-AL"/>
        </w:rPr>
      </w:pPr>
    </w:p>
    <w:p w14:paraId="6A7EC488" w14:textId="5520AA30" w:rsidR="00430A79" w:rsidRPr="009F5CA1" w:rsidRDefault="00430A79" w:rsidP="002E4DDE">
      <w:pPr>
        <w:jc w:val="both"/>
        <w:rPr>
          <w:rFonts w:ascii="Arial Narrow" w:hAnsi="Arial Narrow" w:cs="Calibri"/>
          <w:b/>
          <w:bCs/>
          <w:sz w:val="22"/>
          <w:szCs w:val="22"/>
          <w:lang w:val="sq-AL" w:eastAsia="bg-BG"/>
        </w:rPr>
      </w:pPr>
      <w:bookmarkStart w:id="369" w:name="_Toc185866122"/>
      <w:r w:rsidRPr="009F5CA1">
        <w:rPr>
          <w:rFonts w:ascii="Arial Narrow" w:hAnsi="Arial Narrow" w:cs="Calibri"/>
          <w:b/>
          <w:bCs/>
          <w:sz w:val="22"/>
          <w:szCs w:val="22"/>
          <w:lang w:val="sq-AL" w:eastAsia="bg-BG"/>
        </w:rPr>
        <w:t xml:space="preserve">Opsionet për </w:t>
      </w:r>
      <w:r w:rsidR="009B1BBF" w:rsidRPr="009F5CA1">
        <w:rPr>
          <w:rFonts w:ascii="Arial Narrow" w:hAnsi="Arial Narrow" w:cs="Calibri"/>
          <w:b/>
          <w:bCs/>
          <w:sz w:val="22"/>
          <w:szCs w:val="22"/>
          <w:lang w:val="sq-AL" w:eastAsia="bg-BG"/>
        </w:rPr>
        <w:t xml:space="preserve">klasifikimin e </w:t>
      </w:r>
      <w:r w:rsidRPr="009F5CA1">
        <w:rPr>
          <w:rFonts w:ascii="Arial Narrow" w:hAnsi="Arial Narrow" w:cs="Calibri"/>
          <w:b/>
          <w:bCs/>
          <w:sz w:val="22"/>
          <w:szCs w:val="22"/>
          <w:lang w:val="sq-AL" w:eastAsia="bg-BG"/>
        </w:rPr>
        <w:t xml:space="preserve">mbeturinave të </w:t>
      </w:r>
      <w:r w:rsidR="009B1BBF" w:rsidRPr="009F5CA1">
        <w:rPr>
          <w:rFonts w:ascii="Arial Narrow" w:hAnsi="Arial Narrow" w:cs="Calibri"/>
          <w:b/>
          <w:bCs/>
          <w:sz w:val="22"/>
          <w:szCs w:val="22"/>
          <w:lang w:val="sq-AL" w:eastAsia="bg-BG"/>
        </w:rPr>
        <w:t>grumbulluara ndaras</w:t>
      </w:r>
      <w:bookmarkEnd w:id="369"/>
    </w:p>
    <w:p w14:paraId="1C467312" w14:textId="57103046" w:rsidR="00430A79" w:rsidRPr="009F5CA1" w:rsidRDefault="009B1BBF" w:rsidP="00430A79">
      <w:pPr>
        <w:jc w:val="both"/>
        <w:rPr>
          <w:rFonts w:ascii="Arial Narrow" w:hAnsi="Arial Narrow" w:cs="Calibri"/>
          <w:sz w:val="22"/>
          <w:szCs w:val="22"/>
          <w:lang w:val="sq-AL" w:eastAsia="bg-BG"/>
        </w:rPr>
      </w:pPr>
      <w:r w:rsidRPr="00BE2534">
        <w:rPr>
          <w:rFonts w:ascii="Arial Narrow" w:hAnsi="Arial Narrow" w:cs="Calibri"/>
          <w:sz w:val="22"/>
          <w:szCs w:val="22"/>
          <w:lang w:val="sq-AL" w:eastAsia="bg-BG"/>
        </w:rPr>
        <w:t xml:space="preserve">Sasia totale e materialeve të mbledhura </w:t>
      </w:r>
      <w:r>
        <w:rPr>
          <w:rFonts w:ascii="Arial Narrow" w:hAnsi="Arial Narrow" w:cs="Calibri"/>
          <w:sz w:val="22"/>
          <w:szCs w:val="22"/>
          <w:lang w:val="sq-AL" w:eastAsia="bg-BG"/>
        </w:rPr>
        <w:t>ndaras</w:t>
      </w:r>
      <w:r w:rsidRPr="00BE2534">
        <w:rPr>
          <w:rFonts w:ascii="Arial Narrow" w:hAnsi="Arial Narrow" w:cs="Calibri"/>
          <w:sz w:val="22"/>
          <w:szCs w:val="22"/>
          <w:lang w:val="sq-AL" w:eastAsia="bg-BG"/>
        </w:rPr>
        <w:t xml:space="preserve"> në rajon vlerësohet të rritet nga 8,608 tonë në vitin 2026 në 18,915 tonë në vitin 2035. Këto sasi janë relativisht të ulëta dhe supozojnë krijimin e një objekti të centralizuar klasifikimi për të gjithë zonën e menaxhimit të mbeturinave. Megjithatë, duke marrë parasysh ndërtimin e mundshëm të stacioneve të transfertit dhe oborreve të riciklimit, një qasje e decentralizuar për mbeturinat gjithashtu konsiderohet</w:t>
      </w:r>
      <w:r w:rsidR="00430A79" w:rsidRPr="009F5CA1">
        <w:rPr>
          <w:rFonts w:ascii="Arial Narrow" w:hAnsi="Arial Narrow" w:cs="Calibri"/>
          <w:sz w:val="22"/>
          <w:szCs w:val="22"/>
          <w:lang w:val="sq-AL" w:eastAsia="bg-BG"/>
        </w:rPr>
        <w:t>.</w:t>
      </w:r>
    </w:p>
    <w:p w14:paraId="55B945F7" w14:textId="77777777" w:rsidR="00430A79" w:rsidRPr="009F5CA1" w:rsidRDefault="00430A79" w:rsidP="00430A79">
      <w:pPr>
        <w:jc w:val="both"/>
        <w:rPr>
          <w:rFonts w:ascii="Arial Narrow" w:hAnsi="Arial Narrow" w:cs="Calibri"/>
          <w:color w:val="000000" w:themeColor="text1"/>
          <w:sz w:val="22"/>
          <w:szCs w:val="22"/>
          <w:lang w:val="sq-AL" w:eastAsia="bg-BG"/>
        </w:rPr>
      </w:pPr>
    </w:p>
    <w:p w14:paraId="3FBDF90F" w14:textId="4D816327" w:rsidR="00430A79" w:rsidRPr="009F5CA1" w:rsidRDefault="00430A79" w:rsidP="00430A79">
      <w:pPr>
        <w:jc w:val="both"/>
        <w:rPr>
          <w:rFonts w:ascii="Arial Narrow" w:hAnsi="Arial Narrow" w:cs="Calibri"/>
          <w:color w:val="000000" w:themeColor="text1"/>
          <w:sz w:val="22"/>
          <w:szCs w:val="22"/>
          <w:lang w:val="sq-AL" w:eastAsia="bg-BG"/>
        </w:rPr>
      </w:pPr>
      <w:r w:rsidRPr="009F5CA1">
        <w:rPr>
          <w:rFonts w:ascii="Arial Narrow" w:hAnsi="Arial Narrow" w:cs="Calibri"/>
          <w:color w:val="000000" w:themeColor="text1"/>
          <w:sz w:val="22"/>
          <w:szCs w:val="22"/>
          <w:lang w:val="sq-AL" w:eastAsia="bg-BG"/>
        </w:rPr>
        <w:t xml:space="preserve">Tabela më poshtë paraqet çmimet mesatare aktuale të tregut </w:t>
      </w:r>
      <w:r w:rsidR="009B1BBF" w:rsidRPr="009F5CA1">
        <w:rPr>
          <w:rFonts w:ascii="Arial Narrow" w:hAnsi="Arial Narrow" w:cs="Calibri"/>
          <w:color w:val="000000" w:themeColor="text1"/>
          <w:sz w:val="22"/>
          <w:szCs w:val="22"/>
          <w:lang w:val="sq-AL" w:eastAsia="bg-BG"/>
        </w:rPr>
        <w:t>për</w:t>
      </w:r>
      <w:r w:rsidRPr="009F5CA1">
        <w:rPr>
          <w:rFonts w:ascii="Arial Narrow" w:hAnsi="Arial Narrow" w:cs="Calibri"/>
          <w:color w:val="000000" w:themeColor="text1"/>
          <w:sz w:val="22"/>
          <w:szCs w:val="22"/>
          <w:lang w:val="sq-AL" w:eastAsia="bg-BG"/>
        </w:rPr>
        <w:t xml:space="preserve"> materiale</w:t>
      </w:r>
      <w:r w:rsidR="009B1BBF" w:rsidRPr="009F5CA1">
        <w:rPr>
          <w:rFonts w:ascii="Arial Narrow" w:hAnsi="Arial Narrow" w:cs="Calibri"/>
          <w:color w:val="000000" w:themeColor="text1"/>
          <w:sz w:val="22"/>
          <w:szCs w:val="22"/>
          <w:lang w:val="sq-AL" w:eastAsia="bg-BG"/>
        </w:rPr>
        <w:t>t e</w:t>
      </w:r>
      <w:r w:rsidRPr="009F5CA1">
        <w:rPr>
          <w:rFonts w:ascii="Arial Narrow" w:hAnsi="Arial Narrow" w:cs="Calibri"/>
          <w:color w:val="000000" w:themeColor="text1"/>
          <w:sz w:val="22"/>
          <w:szCs w:val="22"/>
          <w:lang w:val="sq-AL" w:eastAsia="bg-BG"/>
        </w:rPr>
        <w:t xml:space="preserve"> riciklueshme të përdorura për vlerësimin e të </w:t>
      </w:r>
      <w:r w:rsidR="009B1BBF" w:rsidRPr="009F5CA1">
        <w:rPr>
          <w:rFonts w:ascii="Arial Narrow" w:hAnsi="Arial Narrow" w:cs="Calibri"/>
          <w:color w:val="000000" w:themeColor="text1"/>
          <w:sz w:val="22"/>
          <w:szCs w:val="22"/>
          <w:lang w:val="sq-AL" w:eastAsia="bg-BG"/>
        </w:rPr>
        <w:t>hyrave</w:t>
      </w:r>
      <w:r w:rsidRPr="009F5CA1">
        <w:rPr>
          <w:rFonts w:ascii="Arial Narrow" w:hAnsi="Arial Narrow" w:cs="Calibri"/>
          <w:color w:val="000000" w:themeColor="text1"/>
          <w:sz w:val="22"/>
          <w:szCs w:val="22"/>
          <w:lang w:val="sq-AL" w:eastAsia="bg-BG"/>
        </w:rPr>
        <w:t>.</w:t>
      </w:r>
    </w:p>
    <w:p w14:paraId="7608969A" w14:textId="77777777" w:rsidR="00430A79" w:rsidRPr="009F5CA1" w:rsidRDefault="00430A79" w:rsidP="00430A79">
      <w:pPr>
        <w:jc w:val="both"/>
        <w:rPr>
          <w:rFonts w:ascii="Arial Narrow" w:hAnsi="Arial Narrow" w:cs="Calibri"/>
          <w:color w:val="000000" w:themeColor="text1"/>
          <w:sz w:val="22"/>
          <w:szCs w:val="22"/>
          <w:lang w:val="sq-AL" w:eastAsia="bg-BG"/>
        </w:rPr>
      </w:pPr>
    </w:p>
    <w:p w14:paraId="42869033" w14:textId="52B29A23" w:rsidR="00430A79" w:rsidRPr="009F5CA1" w:rsidRDefault="00430A79" w:rsidP="00430A79">
      <w:pPr>
        <w:spacing w:after="120"/>
        <w:jc w:val="both"/>
        <w:rPr>
          <w:rFonts w:ascii="Arial Narrow" w:eastAsia="Calibri" w:hAnsi="Arial Narrow" w:cs="Calibri"/>
          <w:color w:val="1F497D"/>
          <w:sz w:val="20"/>
          <w:szCs w:val="20"/>
          <w:lang w:val="sq-AL"/>
        </w:rPr>
      </w:pPr>
      <w:bookmarkStart w:id="370" w:name="_Toc185866208"/>
      <w:bookmarkStart w:id="371" w:name="_Toc197472237"/>
      <w:r w:rsidRPr="009F5CA1">
        <w:rPr>
          <w:rFonts w:ascii="Arial Narrow" w:eastAsia="Calibri" w:hAnsi="Arial Narrow" w:cs="Calibri"/>
          <w:color w:val="1F497D"/>
          <w:sz w:val="20"/>
          <w:szCs w:val="20"/>
          <w:lang w:val="sq-AL"/>
        </w:rPr>
        <w:t xml:space="preserve">Tabela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lang w:val="sq-AL"/>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lang w:val="sq-AL"/>
        </w:rPr>
        <w:t xml:space="preserve">52. </w:t>
      </w:r>
      <w:r w:rsidRPr="00430A79">
        <w:rPr>
          <w:rFonts w:ascii="Arial Narrow" w:eastAsia="Calibri" w:hAnsi="Arial Narrow" w:cs="Calibri"/>
          <w:color w:val="1F497D"/>
          <w:sz w:val="20"/>
          <w:szCs w:val="20"/>
          <w:lang w:val="en-GB"/>
        </w:rPr>
        <w:fldChar w:fldCharType="end"/>
      </w:r>
      <w:r w:rsidRPr="009F5CA1">
        <w:rPr>
          <w:rFonts w:ascii="Arial Narrow" w:eastAsia="Calibri" w:hAnsi="Arial Narrow" w:cs="Calibri"/>
          <w:color w:val="1F497D"/>
          <w:sz w:val="20"/>
          <w:szCs w:val="20"/>
          <w:lang w:val="sq-AL"/>
        </w:rPr>
        <w:t xml:space="preserve">Çmimet e supozuara të tregut për </w:t>
      </w:r>
      <w:r w:rsidR="009B1BBF" w:rsidRPr="009F5CA1">
        <w:rPr>
          <w:rFonts w:ascii="Arial Narrow" w:eastAsia="Calibri" w:hAnsi="Arial Narrow" w:cs="Calibri"/>
          <w:color w:val="1F497D"/>
          <w:sz w:val="20"/>
          <w:szCs w:val="20"/>
          <w:lang w:val="sq-AL"/>
        </w:rPr>
        <w:t>mbeturinat e artikujve</w:t>
      </w:r>
      <w:r w:rsidRPr="009F5CA1">
        <w:rPr>
          <w:rFonts w:ascii="Arial Narrow" w:eastAsia="Calibri" w:hAnsi="Arial Narrow" w:cs="Calibri"/>
          <w:color w:val="1F497D"/>
          <w:sz w:val="20"/>
          <w:szCs w:val="20"/>
          <w:lang w:val="sq-AL"/>
        </w:rPr>
        <w:t xml:space="preserve"> të ricikluesh</w:t>
      </w:r>
      <w:r w:rsidR="00615797" w:rsidRPr="009F5CA1">
        <w:rPr>
          <w:rFonts w:ascii="Arial Narrow" w:eastAsia="Calibri" w:hAnsi="Arial Narrow" w:cs="Calibri"/>
          <w:color w:val="1F497D"/>
          <w:sz w:val="20"/>
          <w:szCs w:val="20"/>
          <w:lang w:val="sq-AL"/>
        </w:rPr>
        <w:t>ë</w:t>
      </w:r>
      <w:r w:rsidRPr="009F5CA1">
        <w:rPr>
          <w:rFonts w:ascii="Arial Narrow" w:eastAsia="Calibri" w:hAnsi="Arial Narrow" w:cs="Calibri"/>
          <w:color w:val="1F497D"/>
          <w:sz w:val="20"/>
          <w:szCs w:val="20"/>
          <w:lang w:val="sq-AL"/>
        </w:rPr>
        <w:t>m</w:t>
      </w:r>
      <w:bookmarkEnd w:id="370"/>
      <w:bookmarkEnd w:id="371"/>
      <w:r w:rsidRPr="009F5CA1">
        <w:rPr>
          <w:rFonts w:ascii="Arial Narrow" w:eastAsia="Calibri" w:hAnsi="Arial Narrow" w:cs="Calibri"/>
          <w:color w:val="1F497D"/>
          <w:sz w:val="20"/>
          <w:szCs w:val="20"/>
          <w:lang w:val="sq-AL"/>
        </w:rPr>
        <w:t xml:space="preserve"> </w:t>
      </w:r>
    </w:p>
    <w:tbl>
      <w:tblPr>
        <w:tblW w:w="0" w:type="auto"/>
        <w:tblInd w:w="91" w:type="dxa"/>
        <w:tblLayout w:type="fixed"/>
        <w:tblCellMar>
          <w:left w:w="0" w:type="dxa"/>
          <w:right w:w="0" w:type="dxa"/>
        </w:tblCellMar>
        <w:tblLook w:val="0000" w:firstRow="0" w:lastRow="0" w:firstColumn="0" w:lastColumn="0" w:noHBand="0" w:noVBand="0"/>
      </w:tblPr>
      <w:tblGrid>
        <w:gridCol w:w="2314"/>
        <w:gridCol w:w="3402"/>
        <w:gridCol w:w="2693"/>
      </w:tblGrid>
      <w:tr w:rsidR="00430A79" w:rsidRPr="00430A79" w14:paraId="53B55A55" w14:textId="77777777" w:rsidTr="00615797">
        <w:trPr>
          <w:trHeight w:hRule="exact" w:val="340"/>
          <w:tblHeader/>
        </w:trPr>
        <w:tc>
          <w:tcPr>
            <w:tcW w:w="2314" w:type="dxa"/>
            <w:tcBorders>
              <w:top w:val="single" w:sz="4" w:space="0" w:color="000000"/>
              <w:left w:val="single" w:sz="4" w:space="0" w:color="000000"/>
              <w:bottom w:val="single" w:sz="4" w:space="0" w:color="000000"/>
              <w:right w:val="single" w:sz="4" w:space="0" w:color="000000"/>
            </w:tcBorders>
            <w:shd w:val="clear" w:color="auto" w:fill="365F91"/>
          </w:tcPr>
          <w:p w14:paraId="3F56D0EA"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Material i riciklueshëm</w:t>
            </w:r>
          </w:p>
        </w:tc>
        <w:tc>
          <w:tcPr>
            <w:tcW w:w="3402" w:type="dxa"/>
            <w:tcBorders>
              <w:top w:val="single" w:sz="4" w:space="0" w:color="000000"/>
              <w:left w:val="single" w:sz="4" w:space="0" w:color="000000"/>
              <w:bottom w:val="single" w:sz="4" w:space="0" w:color="000000"/>
              <w:right w:val="single" w:sz="4" w:space="0" w:color="000000"/>
            </w:tcBorders>
            <w:shd w:val="clear" w:color="auto" w:fill="365F91"/>
          </w:tcPr>
          <w:p w14:paraId="0099796D" w14:textId="30D6DE05"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 xml:space="preserve">Mbeturinat e </w:t>
            </w:r>
            <w:r w:rsidR="00615797">
              <w:rPr>
                <w:rFonts w:ascii="Arial Narrow" w:eastAsia="Calibri" w:hAnsi="Arial Narrow" w:cs="Calibri"/>
                <w:b/>
                <w:color w:val="FFFFFF"/>
                <w:sz w:val="20"/>
                <w:szCs w:val="20"/>
              </w:rPr>
              <w:t>grumbulluara ndaras</w:t>
            </w:r>
            <w:r w:rsidRPr="00430A79">
              <w:rPr>
                <w:rFonts w:ascii="Arial Narrow" w:eastAsia="Calibri" w:hAnsi="Arial Narrow" w:cs="Calibri"/>
                <w:b/>
                <w:color w:val="FFFFFF"/>
                <w:sz w:val="20"/>
                <w:szCs w:val="20"/>
              </w:rPr>
              <w:t>, €/ton</w:t>
            </w:r>
          </w:p>
        </w:tc>
        <w:tc>
          <w:tcPr>
            <w:tcW w:w="2693" w:type="dxa"/>
            <w:tcBorders>
              <w:top w:val="single" w:sz="4" w:space="0" w:color="000000"/>
              <w:left w:val="single" w:sz="4" w:space="0" w:color="000000"/>
              <w:bottom w:val="single" w:sz="4" w:space="0" w:color="000000"/>
              <w:right w:val="single" w:sz="4" w:space="0" w:color="000000"/>
            </w:tcBorders>
            <w:shd w:val="clear" w:color="auto" w:fill="1F4E79" w:themeFill="accent5" w:themeFillShade="80"/>
          </w:tcPr>
          <w:p w14:paraId="1AD40AF7" w14:textId="6E817328"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Mbet</w:t>
            </w:r>
            <w:r w:rsidR="00615797">
              <w:rPr>
                <w:rFonts w:ascii="Arial Narrow" w:eastAsia="Calibri" w:hAnsi="Arial Narrow" w:cs="Calibri"/>
                <w:b/>
                <w:color w:val="FFFFFF"/>
                <w:sz w:val="20"/>
                <w:szCs w:val="20"/>
              </w:rPr>
              <w:t>urinat e përziera</w:t>
            </w:r>
            <w:r w:rsidRPr="00430A79">
              <w:rPr>
                <w:rFonts w:ascii="Arial Narrow" w:eastAsia="Calibri" w:hAnsi="Arial Narrow" w:cs="Calibri"/>
                <w:b/>
                <w:color w:val="FFFFFF"/>
                <w:sz w:val="20"/>
                <w:szCs w:val="20"/>
              </w:rPr>
              <w:t>, €/ton</w:t>
            </w:r>
          </w:p>
        </w:tc>
      </w:tr>
      <w:tr w:rsidR="00430A79" w:rsidRPr="00430A79" w14:paraId="7C386092" w14:textId="77777777" w:rsidTr="00615797">
        <w:trPr>
          <w:trHeight w:hRule="exact" w:val="340"/>
        </w:trPr>
        <w:tc>
          <w:tcPr>
            <w:tcW w:w="2314" w:type="dxa"/>
            <w:tcBorders>
              <w:top w:val="single" w:sz="4" w:space="0" w:color="000000"/>
              <w:left w:val="single" w:sz="4" w:space="0" w:color="000000"/>
              <w:bottom w:val="single" w:sz="4" w:space="0" w:color="000000"/>
              <w:right w:val="single" w:sz="4" w:space="0" w:color="000000"/>
            </w:tcBorders>
          </w:tcPr>
          <w:p w14:paraId="6F57417C"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Plastikë</w:t>
            </w:r>
          </w:p>
        </w:tc>
        <w:tc>
          <w:tcPr>
            <w:tcW w:w="3402" w:type="dxa"/>
            <w:tcBorders>
              <w:top w:val="single" w:sz="4" w:space="0" w:color="000000"/>
              <w:left w:val="single" w:sz="4" w:space="0" w:color="000000"/>
              <w:bottom w:val="single" w:sz="4" w:space="0" w:color="000000"/>
              <w:right w:val="single" w:sz="4" w:space="0" w:color="000000"/>
            </w:tcBorders>
          </w:tcPr>
          <w:p w14:paraId="0178290A"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180</w:t>
            </w:r>
          </w:p>
        </w:tc>
        <w:tc>
          <w:tcPr>
            <w:tcW w:w="2693" w:type="dxa"/>
            <w:tcBorders>
              <w:top w:val="single" w:sz="4" w:space="0" w:color="000000"/>
              <w:left w:val="single" w:sz="4" w:space="0" w:color="000000"/>
              <w:bottom w:val="single" w:sz="4" w:space="0" w:color="000000"/>
              <w:right w:val="single" w:sz="4" w:space="0" w:color="000000"/>
            </w:tcBorders>
          </w:tcPr>
          <w:p w14:paraId="79CB02D3"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50</w:t>
            </w:r>
          </w:p>
        </w:tc>
      </w:tr>
      <w:tr w:rsidR="00430A79" w:rsidRPr="00430A79" w14:paraId="5BDA469D" w14:textId="77777777" w:rsidTr="00615797">
        <w:trPr>
          <w:trHeight w:hRule="exact" w:val="340"/>
        </w:trPr>
        <w:tc>
          <w:tcPr>
            <w:tcW w:w="2314" w:type="dxa"/>
            <w:tcBorders>
              <w:top w:val="single" w:sz="4" w:space="0" w:color="000000"/>
              <w:left w:val="single" w:sz="4" w:space="0" w:color="000000"/>
              <w:bottom w:val="single" w:sz="4" w:space="0" w:color="000000"/>
              <w:right w:val="single" w:sz="4" w:space="0" w:color="000000"/>
            </w:tcBorders>
          </w:tcPr>
          <w:p w14:paraId="19DDB974"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Letër dhe karton</w:t>
            </w:r>
          </w:p>
        </w:tc>
        <w:tc>
          <w:tcPr>
            <w:tcW w:w="3402" w:type="dxa"/>
            <w:tcBorders>
              <w:top w:val="single" w:sz="4" w:space="0" w:color="000000"/>
              <w:left w:val="single" w:sz="4" w:space="0" w:color="000000"/>
              <w:bottom w:val="single" w:sz="4" w:space="0" w:color="000000"/>
              <w:right w:val="single" w:sz="4" w:space="0" w:color="000000"/>
            </w:tcBorders>
          </w:tcPr>
          <w:p w14:paraId="6A2046B8"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75</w:t>
            </w:r>
          </w:p>
        </w:tc>
        <w:tc>
          <w:tcPr>
            <w:tcW w:w="2693" w:type="dxa"/>
            <w:tcBorders>
              <w:top w:val="single" w:sz="4" w:space="0" w:color="000000"/>
              <w:left w:val="single" w:sz="4" w:space="0" w:color="000000"/>
              <w:bottom w:val="single" w:sz="4" w:space="0" w:color="000000"/>
              <w:right w:val="single" w:sz="4" w:space="0" w:color="000000"/>
            </w:tcBorders>
          </w:tcPr>
          <w:p w14:paraId="7345E7CB"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w:t>
            </w:r>
          </w:p>
        </w:tc>
      </w:tr>
      <w:tr w:rsidR="00430A79" w:rsidRPr="00430A79" w14:paraId="74C5F9D8" w14:textId="77777777" w:rsidTr="00615797">
        <w:trPr>
          <w:trHeight w:hRule="exact" w:val="340"/>
        </w:trPr>
        <w:tc>
          <w:tcPr>
            <w:tcW w:w="2314" w:type="dxa"/>
            <w:tcBorders>
              <w:top w:val="single" w:sz="4" w:space="0" w:color="000000"/>
              <w:left w:val="single" w:sz="4" w:space="0" w:color="000000"/>
              <w:bottom w:val="single" w:sz="4" w:space="0" w:color="000000"/>
              <w:right w:val="single" w:sz="4" w:space="0" w:color="000000"/>
            </w:tcBorders>
          </w:tcPr>
          <w:p w14:paraId="5FD3D637" w14:textId="28D01CD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Qelq</w:t>
            </w:r>
          </w:p>
        </w:tc>
        <w:tc>
          <w:tcPr>
            <w:tcW w:w="3402" w:type="dxa"/>
            <w:tcBorders>
              <w:top w:val="single" w:sz="4" w:space="0" w:color="000000"/>
              <w:left w:val="single" w:sz="4" w:space="0" w:color="000000"/>
              <w:bottom w:val="single" w:sz="4" w:space="0" w:color="000000"/>
              <w:right w:val="single" w:sz="4" w:space="0" w:color="000000"/>
            </w:tcBorders>
          </w:tcPr>
          <w:p w14:paraId="5CCDEC5F"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w:t>
            </w:r>
          </w:p>
        </w:tc>
        <w:tc>
          <w:tcPr>
            <w:tcW w:w="2693" w:type="dxa"/>
            <w:tcBorders>
              <w:top w:val="single" w:sz="4" w:space="0" w:color="000000"/>
              <w:left w:val="single" w:sz="4" w:space="0" w:color="000000"/>
              <w:bottom w:val="single" w:sz="4" w:space="0" w:color="000000"/>
              <w:right w:val="single" w:sz="4" w:space="0" w:color="000000"/>
            </w:tcBorders>
          </w:tcPr>
          <w:p w14:paraId="62F1E408"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w:t>
            </w:r>
          </w:p>
        </w:tc>
      </w:tr>
      <w:tr w:rsidR="00430A79" w:rsidRPr="00430A79" w14:paraId="0D6DE224" w14:textId="77777777" w:rsidTr="00615797">
        <w:trPr>
          <w:trHeight w:hRule="exact" w:val="340"/>
        </w:trPr>
        <w:tc>
          <w:tcPr>
            <w:tcW w:w="2314" w:type="dxa"/>
            <w:tcBorders>
              <w:top w:val="single" w:sz="4" w:space="0" w:color="000000"/>
              <w:left w:val="single" w:sz="4" w:space="0" w:color="000000"/>
              <w:bottom w:val="single" w:sz="4" w:space="0" w:color="000000"/>
              <w:right w:val="single" w:sz="4" w:space="0" w:color="000000"/>
            </w:tcBorders>
          </w:tcPr>
          <w:p w14:paraId="6A0EC5BB"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Metal</w:t>
            </w:r>
          </w:p>
        </w:tc>
        <w:tc>
          <w:tcPr>
            <w:tcW w:w="3402" w:type="dxa"/>
            <w:tcBorders>
              <w:top w:val="single" w:sz="4" w:space="0" w:color="000000"/>
              <w:left w:val="single" w:sz="4" w:space="0" w:color="000000"/>
              <w:bottom w:val="single" w:sz="4" w:space="0" w:color="000000"/>
              <w:right w:val="single" w:sz="4" w:space="0" w:color="000000"/>
            </w:tcBorders>
          </w:tcPr>
          <w:p w14:paraId="53C49749"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200</w:t>
            </w:r>
          </w:p>
        </w:tc>
        <w:tc>
          <w:tcPr>
            <w:tcW w:w="2693" w:type="dxa"/>
            <w:tcBorders>
              <w:top w:val="single" w:sz="4" w:space="0" w:color="000000"/>
              <w:left w:val="single" w:sz="4" w:space="0" w:color="000000"/>
              <w:bottom w:val="single" w:sz="4" w:space="0" w:color="000000"/>
              <w:right w:val="single" w:sz="4" w:space="0" w:color="000000"/>
            </w:tcBorders>
          </w:tcPr>
          <w:p w14:paraId="37ECAB21" w14:textId="77777777" w:rsidR="00430A79" w:rsidRPr="00430A79" w:rsidRDefault="00430A79" w:rsidP="00430A79">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200</w:t>
            </w:r>
          </w:p>
        </w:tc>
      </w:tr>
    </w:tbl>
    <w:p w14:paraId="49EC06CB" w14:textId="77777777" w:rsidR="002E4DDE" w:rsidRDefault="002E4DDE" w:rsidP="00430A79">
      <w:pPr>
        <w:jc w:val="both"/>
        <w:rPr>
          <w:rFonts w:ascii="Arial Narrow" w:hAnsi="Arial Narrow" w:cs="Calibri"/>
          <w:color w:val="000000" w:themeColor="text1"/>
          <w:sz w:val="22"/>
          <w:szCs w:val="22"/>
          <w:lang w:val="en-GB" w:eastAsia="bg-BG"/>
        </w:rPr>
      </w:pPr>
    </w:p>
    <w:p w14:paraId="4B8927B0" w14:textId="61DE12D9" w:rsidR="00430A79" w:rsidRPr="00FB4247" w:rsidRDefault="00615797" w:rsidP="00430A79">
      <w:pPr>
        <w:jc w:val="both"/>
        <w:rPr>
          <w:rFonts w:ascii="Arial Narrow" w:hAnsi="Arial Narrow" w:cs="Calibri"/>
          <w:color w:val="000000" w:themeColor="text1"/>
          <w:sz w:val="22"/>
          <w:szCs w:val="22"/>
          <w:lang w:val="en-GB" w:eastAsia="bg-BG"/>
        </w:rPr>
      </w:pPr>
      <w:r w:rsidRPr="00FB4247">
        <w:rPr>
          <w:rFonts w:ascii="Arial Narrow" w:hAnsi="Arial Narrow" w:cs="Calibri"/>
          <w:sz w:val="22"/>
          <w:szCs w:val="22"/>
          <w:lang w:val="sq-AL" w:eastAsia="bg-BG"/>
        </w:rPr>
        <w:t>Çmimet e mësipërme janë nga ‘vendi i gjenerimit’ objekti i klasifikimit/impianti TMB</w:t>
      </w:r>
      <w:r w:rsidR="00430A79" w:rsidRPr="00FB4247">
        <w:rPr>
          <w:rFonts w:ascii="Arial Narrow" w:hAnsi="Arial Narrow" w:cs="Calibri"/>
          <w:color w:val="000000" w:themeColor="text1"/>
          <w:sz w:val="22"/>
          <w:szCs w:val="22"/>
          <w:lang w:val="en-GB" w:eastAsia="bg-BG"/>
        </w:rPr>
        <w:t>.</w:t>
      </w:r>
    </w:p>
    <w:p w14:paraId="67C47602" w14:textId="77777777" w:rsidR="00430A79" w:rsidRPr="00FB4247" w:rsidRDefault="00430A79" w:rsidP="00430A79">
      <w:pPr>
        <w:jc w:val="both"/>
        <w:rPr>
          <w:rFonts w:ascii="Arial Narrow" w:eastAsia="Calibri" w:hAnsi="Arial Narrow" w:cs="Calibri"/>
          <w:color w:val="000000" w:themeColor="text1"/>
          <w:sz w:val="22"/>
          <w:szCs w:val="22"/>
          <w:lang w:val="en-GB"/>
        </w:rPr>
      </w:pPr>
    </w:p>
    <w:p w14:paraId="76F01A38" w14:textId="273B2781" w:rsidR="00430A79" w:rsidRPr="00FB4247" w:rsidRDefault="00FB4247" w:rsidP="00430A79">
      <w:pPr>
        <w:jc w:val="both"/>
        <w:rPr>
          <w:rFonts w:ascii="Arial Narrow" w:eastAsia="Calibri" w:hAnsi="Arial Narrow" w:cs="Calibri"/>
          <w:color w:val="000000" w:themeColor="text1"/>
          <w:sz w:val="22"/>
          <w:szCs w:val="22"/>
        </w:rPr>
      </w:pPr>
      <w:r w:rsidRPr="00FB4247">
        <w:rPr>
          <w:rFonts w:ascii="Arial Narrow" w:eastAsia="Calibri" w:hAnsi="Arial Narrow" w:cs="Calibri"/>
          <w:sz w:val="22"/>
          <w:szCs w:val="22"/>
          <w:lang w:val="sq-AL"/>
        </w:rPr>
        <w:t>Janë konsideruar dy alternativa për klasifikimin e mbeturinave të grumbulluara ndaras</w:t>
      </w:r>
      <w:r w:rsidR="00430A79" w:rsidRPr="00FB4247">
        <w:rPr>
          <w:rFonts w:ascii="Arial Narrow" w:eastAsia="Calibri" w:hAnsi="Arial Narrow" w:cs="Calibri"/>
          <w:color w:val="000000" w:themeColor="text1"/>
          <w:sz w:val="22"/>
          <w:szCs w:val="22"/>
        </w:rPr>
        <w:t>:</w:t>
      </w:r>
    </w:p>
    <w:p w14:paraId="78CDA7F9" w14:textId="77777777" w:rsidR="00FB4247" w:rsidRPr="00BE2534" w:rsidRDefault="00FB4247" w:rsidP="00FB4247">
      <w:pPr>
        <w:pStyle w:val="Paragraph"/>
        <w:numPr>
          <w:ilvl w:val="0"/>
          <w:numId w:val="15"/>
        </w:numPr>
        <w:spacing w:after="0"/>
        <w:rPr>
          <w:rFonts w:eastAsia="Calibri" w:cs="Calibri"/>
          <w:lang w:val="sq-AL"/>
        </w:rPr>
      </w:pPr>
      <w:r w:rsidRPr="00BE2534">
        <w:rPr>
          <w:rFonts w:eastAsia="Calibri" w:cs="Calibri"/>
          <w:lang w:val="sq-AL"/>
        </w:rPr>
        <w:t>Alternativa 1 – Objekti i përbashkët i centralizuar i klasifikimit, i vendosur në komunën e Pejës.</w:t>
      </w:r>
    </w:p>
    <w:p w14:paraId="04B2022F" w14:textId="77777777" w:rsidR="00FB4247" w:rsidRPr="00BE2534" w:rsidRDefault="00FB4247" w:rsidP="00FB4247">
      <w:pPr>
        <w:pStyle w:val="Paragraph"/>
        <w:spacing w:after="0"/>
        <w:ind w:left="720"/>
        <w:rPr>
          <w:rFonts w:eastAsia="Calibri" w:cs="Calibri"/>
          <w:lang w:val="sq-AL"/>
        </w:rPr>
      </w:pPr>
      <w:r w:rsidRPr="00BE2534">
        <w:rPr>
          <w:rFonts w:eastAsia="Calibri" w:cs="Calibri"/>
          <w:lang w:val="sq-AL"/>
        </w:rPr>
        <w:t>Objekti i centralizuar i klasifikimit do të jetë i pajisur me kabinën e ventiluar të klasifikimit, shiritat transportues, kanalin e automatizuar për presim.</w:t>
      </w:r>
    </w:p>
    <w:p w14:paraId="3C0A68F7" w14:textId="77777777" w:rsidR="00FB4247" w:rsidRPr="00FB4247" w:rsidRDefault="00FB4247" w:rsidP="00FB4247">
      <w:pPr>
        <w:pStyle w:val="Paragraph"/>
        <w:numPr>
          <w:ilvl w:val="0"/>
          <w:numId w:val="15"/>
        </w:numPr>
        <w:spacing w:after="0"/>
        <w:rPr>
          <w:rFonts w:eastAsia="Calibri" w:cs="Calibri"/>
          <w:lang w:val="sq-AL"/>
        </w:rPr>
      </w:pPr>
      <w:r w:rsidRPr="00BE2534">
        <w:rPr>
          <w:rFonts w:eastAsia="Calibri" w:cs="Calibri"/>
          <w:lang w:val="sq-AL"/>
        </w:rPr>
        <w:t xml:space="preserve">Alternativa 2 – Objektet e vogla individuale (të decentralizuara) të klasifikimit të vendosura në komunat e Pejës, Istogut , Klinës dhe Deçanit. Mbeturinat e mbledhura </w:t>
      </w:r>
      <w:r>
        <w:rPr>
          <w:rFonts w:eastAsia="Calibri" w:cs="Calibri"/>
          <w:lang w:val="sq-AL"/>
        </w:rPr>
        <w:t>ndaras</w:t>
      </w:r>
      <w:r w:rsidRPr="00BE2534">
        <w:rPr>
          <w:rFonts w:eastAsia="Calibri" w:cs="Calibri"/>
          <w:lang w:val="sq-AL"/>
        </w:rPr>
        <w:t xml:space="preserve"> nga komuna e Junikut do të dedikohen në një nga këto objekte të klasifikimit. Në instalimet më të vogla të klasifikimit në Istog , Klinë dhe Deçan do të sigurohet presa më e vogël topthuese me perforator dhe nuk do të vendosen kabina për klasifikim. </w:t>
      </w:r>
      <w:r w:rsidRPr="00FB4247">
        <w:rPr>
          <w:rFonts w:eastAsia="Calibri" w:cs="Calibri"/>
          <w:lang w:val="sq-AL"/>
        </w:rPr>
        <w:t>Klasifikimi do të organizohet në platonë e rripit transportues direkt në nivelin e tokës.</w:t>
      </w:r>
    </w:p>
    <w:p w14:paraId="289ACB7B"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557CED72" w14:textId="2EB7903A" w:rsidR="00430A79" w:rsidRPr="009F5CA1" w:rsidRDefault="00FB4247" w:rsidP="00430A79">
      <w:pPr>
        <w:jc w:val="both"/>
        <w:rPr>
          <w:rFonts w:ascii="Arial Narrow" w:eastAsia="Calibri" w:hAnsi="Arial Narrow" w:cs="Calibri"/>
          <w:color w:val="000000" w:themeColor="text1"/>
          <w:sz w:val="22"/>
          <w:szCs w:val="22"/>
          <w:lang w:val="sq-AL"/>
        </w:rPr>
      </w:pPr>
      <w:r w:rsidRPr="00FB4247">
        <w:rPr>
          <w:rFonts w:ascii="Arial Narrow" w:eastAsia="Calibri" w:hAnsi="Arial Narrow" w:cs="Calibri"/>
          <w:sz w:val="22"/>
          <w:szCs w:val="22"/>
          <w:lang w:val="sq-AL"/>
        </w:rPr>
        <w:t>Të dyja alternativat nuk parashikojnë klasifikim/trajtim të qelqit të mbledhur veçmas për shkak të sasive të vogla të grumbulluara</w:t>
      </w:r>
      <w:r w:rsidR="00430A79" w:rsidRPr="009F5CA1">
        <w:rPr>
          <w:rFonts w:ascii="Arial Narrow" w:eastAsia="Calibri" w:hAnsi="Arial Narrow" w:cs="Calibri"/>
          <w:color w:val="000000" w:themeColor="text1"/>
          <w:sz w:val="22"/>
          <w:szCs w:val="22"/>
          <w:lang w:val="sq-AL"/>
        </w:rPr>
        <w:t>.</w:t>
      </w:r>
    </w:p>
    <w:p w14:paraId="34AE1E5C"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16CF7123" w14:textId="77777777" w:rsidR="00430A79" w:rsidRPr="009F5CA1" w:rsidRDefault="00430A79" w:rsidP="00430A79">
      <w:pPr>
        <w:jc w:val="both"/>
        <w:rPr>
          <w:rFonts w:ascii="Arial Narrow" w:eastAsia="Calibri" w:hAnsi="Arial Narrow" w:cs="Calibri"/>
          <w:color w:val="000000" w:themeColor="text1"/>
          <w:sz w:val="22"/>
          <w:szCs w:val="22"/>
          <w:lang w:val="sq-AL"/>
        </w:rPr>
      </w:pPr>
      <w:r w:rsidRPr="009F5CA1">
        <w:rPr>
          <w:rFonts w:ascii="Arial Narrow" w:eastAsia="Calibri" w:hAnsi="Arial Narrow" w:cs="Calibri"/>
          <w:color w:val="000000" w:themeColor="text1"/>
          <w:sz w:val="22"/>
          <w:szCs w:val="22"/>
          <w:lang w:val="sq-AL"/>
        </w:rPr>
        <w:t>Kostot për zbatimin e alternativave të ndryshme janë përmbledhur në tabelën vijuese.</w:t>
      </w:r>
    </w:p>
    <w:p w14:paraId="70219A2D" w14:textId="77777777" w:rsidR="00FB4247" w:rsidRPr="009F5CA1" w:rsidRDefault="00FB4247" w:rsidP="00430A79">
      <w:pPr>
        <w:jc w:val="both"/>
        <w:rPr>
          <w:rFonts w:ascii="Arial Narrow" w:eastAsia="Calibri" w:hAnsi="Arial Narrow" w:cs="Calibri"/>
          <w:color w:val="000000" w:themeColor="text1"/>
          <w:sz w:val="22"/>
          <w:szCs w:val="22"/>
          <w:lang w:val="sq-AL"/>
        </w:rPr>
      </w:pPr>
    </w:p>
    <w:p w14:paraId="1AD00E6D" w14:textId="77777777" w:rsidR="00FB4247" w:rsidRPr="009F5CA1" w:rsidRDefault="00FB4247" w:rsidP="00430A79">
      <w:pPr>
        <w:jc w:val="both"/>
        <w:rPr>
          <w:rFonts w:ascii="Arial Narrow" w:eastAsia="Calibri" w:hAnsi="Arial Narrow" w:cs="Calibri"/>
          <w:color w:val="000000" w:themeColor="text1"/>
          <w:sz w:val="22"/>
          <w:szCs w:val="22"/>
          <w:lang w:val="sq-AL"/>
        </w:rPr>
      </w:pPr>
    </w:p>
    <w:p w14:paraId="5F26FC1D" w14:textId="77777777" w:rsidR="00FB4247" w:rsidRPr="009F5CA1" w:rsidRDefault="00FB4247" w:rsidP="00430A79">
      <w:pPr>
        <w:jc w:val="both"/>
        <w:rPr>
          <w:rFonts w:ascii="Arial Narrow" w:eastAsia="Calibri" w:hAnsi="Arial Narrow" w:cs="Calibri"/>
          <w:color w:val="000000" w:themeColor="text1"/>
          <w:sz w:val="22"/>
          <w:szCs w:val="22"/>
          <w:lang w:val="sq-AL"/>
        </w:rPr>
      </w:pPr>
    </w:p>
    <w:p w14:paraId="0239FA59" w14:textId="77777777" w:rsidR="00FB4247" w:rsidRPr="009F5CA1" w:rsidRDefault="00FB4247" w:rsidP="00430A79">
      <w:pPr>
        <w:jc w:val="both"/>
        <w:rPr>
          <w:rFonts w:ascii="Arial Narrow" w:eastAsia="Calibri" w:hAnsi="Arial Narrow" w:cs="Calibri"/>
          <w:color w:val="000000" w:themeColor="text1"/>
          <w:sz w:val="22"/>
          <w:szCs w:val="22"/>
          <w:lang w:val="sq-AL"/>
        </w:rPr>
      </w:pPr>
    </w:p>
    <w:p w14:paraId="6572D5D6" w14:textId="77777777" w:rsidR="00FB4247" w:rsidRPr="009F5CA1" w:rsidRDefault="00FB4247" w:rsidP="00430A79">
      <w:pPr>
        <w:jc w:val="both"/>
        <w:rPr>
          <w:rFonts w:ascii="Arial Narrow" w:eastAsia="Calibri" w:hAnsi="Arial Narrow" w:cs="Calibri"/>
          <w:color w:val="000000" w:themeColor="text1"/>
          <w:sz w:val="22"/>
          <w:szCs w:val="22"/>
          <w:lang w:val="sq-AL"/>
        </w:rPr>
      </w:pPr>
    </w:p>
    <w:p w14:paraId="004A3413" w14:textId="77777777" w:rsidR="00FB4247" w:rsidRPr="009F5CA1" w:rsidRDefault="00FB4247" w:rsidP="00430A79">
      <w:pPr>
        <w:jc w:val="both"/>
        <w:rPr>
          <w:rFonts w:ascii="Arial Narrow" w:eastAsia="Calibri" w:hAnsi="Arial Narrow" w:cs="Calibri"/>
          <w:color w:val="000000" w:themeColor="text1"/>
          <w:sz w:val="22"/>
          <w:szCs w:val="22"/>
          <w:lang w:val="sq-AL"/>
        </w:rPr>
      </w:pPr>
    </w:p>
    <w:p w14:paraId="46BB1E53" w14:textId="77777777" w:rsidR="009C5275" w:rsidRPr="009F5CA1" w:rsidRDefault="009C5275" w:rsidP="00430A79">
      <w:pPr>
        <w:jc w:val="both"/>
        <w:rPr>
          <w:rFonts w:ascii="Arial Narrow" w:eastAsia="Calibri" w:hAnsi="Arial Narrow" w:cs="Calibri"/>
          <w:color w:val="000000" w:themeColor="text1"/>
          <w:sz w:val="22"/>
          <w:szCs w:val="22"/>
          <w:lang w:val="sq-AL"/>
        </w:rPr>
      </w:pPr>
    </w:p>
    <w:p w14:paraId="15C66D65" w14:textId="77777777" w:rsidR="009C5275" w:rsidRPr="009F5CA1" w:rsidRDefault="009C5275" w:rsidP="00430A79">
      <w:pPr>
        <w:jc w:val="both"/>
        <w:rPr>
          <w:rFonts w:ascii="Arial Narrow" w:eastAsia="Calibri" w:hAnsi="Arial Narrow" w:cs="Calibri"/>
          <w:color w:val="000000" w:themeColor="text1"/>
          <w:sz w:val="22"/>
          <w:szCs w:val="22"/>
          <w:lang w:val="sq-AL"/>
        </w:rPr>
      </w:pPr>
    </w:p>
    <w:p w14:paraId="2F340AA8"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7A8998AF" w14:textId="0165949B" w:rsidR="00430A79" w:rsidRPr="009F5CA1" w:rsidRDefault="00430A79" w:rsidP="00430A79">
      <w:pPr>
        <w:spacing w:after="120"/>
        <w:jc w:val="both"/>
        <w:rPr>
          <w:rFonts w:ascii="Arial Narrow" w:eastAsia="Calibri" w:hAnsi="Arial Narrow" w:cs="Calibri"/>
          <w:color w:val="1F497D"/>
          <w:sz w:val="20"/>
          <w:szCs w:val="20"/>
          <w:lang w:val="sq-AL"/>
        </w:rPr>
      </w:pPr>
      <w:bookmarkStart w:id="372" w:name="_Toc185866209"/>
      <w:bookmarkStart w:id="373" w:name="_Toc197472238"/>
      <w:r w:rsidRPr="009F5CA1">
        <w:rPr>
          <w:rFonts w:ascii="Arial Narrow" w:eastAsia="Calibri" w:hAnsi="Arial Narrow" w:cs="Calibri"/>
          <w:color w:val="1F497D"/>
          <w:sz w:val="20"/>
          <w:szCs w:val="20"/>
          <w:lang w:val="sq-AL"/>
        </w:rPr>
        <w:lastRenderedPageBreak/>
        <w:t xml:space="preserve">Tabela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lang w:val="sq-AL"/>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lang w:val="sq-AL"/>
        </w:rPr>
        <w:t xml:space="preserve">53. </w:t>
      </w:r>
      <w:r w:rsidRPr="00430A79">
        <w:rPr>
          <w:rFonts w:ascii="Arial Narrow" w:eastAsia="Calibri" w:hAnsi="Arial Narrow" w:cs="Calibri"/>
          <w:color w:val="1F497D"/>
          <w:sz w:val="20"/>
          <w:szCs w:val="20"/>
          <w:lang w:val="en-GB"/>
        </w:rPr>
        <w:fldChar w:fldCharType="end"/>
      </w:r>
      <w:r w:rsidRPr="009F5CA1">
        <w:rPr>
          <w:rFonts w:ascii="Arial Narrow" w:eastAsia="Calibri" w:hAnsi="Arial Narrow" w:cs="Calibri"/>
          <w:color w:val="1F497D"/>
          <w:sz w:val="20"/>
          <w:szCs w:val="20"/>
          <w:lang w:val="sq-AL"/>
        </w:rPr>
        <w:t xml:space="preserve">Vlerësimet e kostos për alternativa të ndryshme për </w:t>
      </w:r>
      <w:r w:rsidR="00FB4247" w:rsidRPr="009F5CA1">
        <w:rPr>
          <w:rFonts w:ascii="Arial Narrow" w:eastAsia="Calibri" w:hAnsi="Arial Narrow" w:cs="Calibri"/>
          <w:color w:val="1F497D"/>
          <w:sz w:val="20"/>
          <w:szCs w:val="20"/>
          <w:lang w:val="sq-AL"/>
        </w:rPr>
        <w:t xml:space="preserve">klasifikimin e mbeturinave </w:t>
      </w:r>
      <w:r w:rsidRPr="009F5CA1">
        <w:rPr>
          <w:rFonts w:ascii="Arial Narrow" w:eastAsia="Calibri" w:hAnsi="Arial Narrow" w:cs="Calibri"/>
          <w:color w:val="1F497D"/>
          <w:sz w:val="20"/>
          <w:szCs w:val="20"/>
          <w:lang w:val="sq-AL"/>
        </w:rPr>
        <w:t xml:space="preserve">të riciklueshme të </w:t>
      </w:r>
      <w:r w:rsidR="00FB4247" w:rsidRPr="009F5CA1">
        <w:rPr>
          <w:rFonts w:ascii="Arial Narrow" w:eastAsia="Calibri" w:hAnsi="Arial Narrow" w:cs="Calibri"/>
          <w:color w:val="1F497D"/>
          <w:sz w:val="20"/>
          <w:szCs w:val="20"/>
          <w:lang w:val="sq-AL"/>
        </w:rPr>
        <w:t>grumbulluara ndaras</w:t>
      </w:r>
      <w:bookmarkEnd w:id="372"/>
      <w:bookmarkEnd w:id="373"/>
      <w:r w:rsidRPr="009F5CA1">
        <w:rPr>
          <w:rFonts w:ascii="Arial Narrow" w:eastAsia="Calibri" w:hAnsi="Arial Narrow" w:cs="Calibri"/>
          <w:color w:val="1F497D"/>
          <w:sz w:val="20"/>
          <w:szCs w:val="20"/>
          <w:lang w:val="sq-AL"/>
        </w:rPr>
        <w:t xml:space="preserve"> </w:t>
      </w:r>
    </w:p>
    <w:tbl>
      <w:tblPr>
        <w:tblStyle w:val="TableGrid"/>
        <w:tblW w:w="5000" w:type="pct"/>
        <w:tblLook w:val="04A0" w:firstRow="1" w:lastRow="0" w:firstColumn="1" w:lastColumn="0" w:noHBand="0" w:noVBand="1"/>
      </w:tblPr>
      <w:tblGrid>
        <w:gridCol w:w="3822"/>
        <w:gridCol w:w="1251"/>
        <w:gridCol w:w="985"/>
        <w:gridCol w:w="985"/>
        <w:gridCol w:w="985"/>
        <w:gridCol w:w="988"/>
      </w:tblGrid>
      <w:tr w:rsidR="00430A79" w:rsidRPr="00430A79" w14:paraId="45E001FC" w14:textId="77777777" w:rsidTr="00FB4247">
        <w:trPr>
          <w:tblHeader/>
        </w:trPr>
        <w:tc>
          <w:tcPr>
            <w:tcW w:w="2120" w:type="pct"/>
            <w:vMerge w:val="restart"/>
            <w:shd w:val="clear" w:color="auto" w:fill="365F91"/>
            <w:vAlign w:val="center"/>
          </w:tcPr>
          <w:p w14:paraId="0BB3609F"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Parametri</w:t>
            </w:r>
          </w:p>
        </w:tc>
        <w:tc>
          <w:tcPr>
            <w:tcW w:w="694" w:type="pct"/>
            <w:vMerge w:val="restart"/>
            <w:shd w:val="clear" w:color="auto" w:fill="365F91"/>
            <w:vAlign w:val="center"/>
          </w:tcPr>
          <w:p w14:paraId="7B8E6EBA" w14:textId="253E15D7" w:rsidR="00430A79" w:rsidRPr="00430A79" w:rsidRDefault="00FB4247" w:rsidP="00430A79">
            <w:pPr>
              <w:widowControl w:val="0"/>
              <w:autoSpaceDE w:val="0"/>
              <w:autoSpaceDN w:val="0"/>
              <w:spacing w:before="60" w:after="60"/>
              <w:rPr>
                <w:rFonts w:ascii="Arial Narrow" w:eastAsia="Calibri" w:hAnsi="Arial Narrow" w:cs="Calibri"/>
                <w:b/>
                <w:color w:val="FFFFFF"/>
                <w:sz w:val="20"/>
                <w:szCs w:val="20"/>
              </w:rPr>
            </w:pPr>
            <w:r w:rsidRPr="00BE2534">
              <w:rPr>
                <w:rFonts w:ascii="Arial Narrow" w:eastAsia="Calibri" w:hAnsi="Arial Narrow" w:cs="Calibri"/>
                <w:b/>
                <w:color w:val="FFFFFF"/>
                <w:sz w:val="20"/>
                <w:szCs w:val="20"/>
                <w:lang w:val="sq-AL"/>
              </w:rPr>
              <w:t>Klasifikimi i  përbashkët</w:t>
            </w:r>
          </w:p>
        </w:tc>
        <w:tc>
          <w:tcPr>
            <w:tcW w:w="2187" w:type="pct"/>
            <w:gridSpan w:val="4"/>
            <w:shd w:val="clear" w:color="auto" w:fill="365F91"/>
            <w:vAlign w:val="center"/>
          </w:tcPr>
          <w:p w14:paraId="223AD3E7" w14:textId="376A7299" w:rsidR="00430A79" w:rsidRPr="00430A79" w:rsidRDefault="00FB4247" w:rsidP="00430A79">
            <w:pPr>
              <w:widowControl w:val="0"/>
              <w:autoSpaceDE w:val="0"/>
              <w:autoSpaceDN w:val="0"/>
              <w:spacing w:before="60" w:after="60"/>
              <w:rPr>
                <w:rFonts w:ascii="Arial Narrow" w:eastAsia="Calibri" w:hAnsi="Arial Narrow" w:cs="Calibri"/>
                <w:b/>
                <w:color w:val="FFFFFF"/>
                <w:sz w:val="20"/>
                <w:szCs w:val="20"/>
              </w:rPr>
            </w:pPr>
            <w:r w:rsidRPr="00BE2534">
              <w:rPr>
                <w:rFonts w:ascii="Arial Narrow" w:eastAsia="Calibri" w:hAnsi="Arial Narrow" w:cs="Calibri"/>
                <w:b/>
                <w:color w:val="FFFFFF"/>
                <w:sz w:val="20"/>
                <w:szCs w:val="20"/>
                <w:lang w:val="sq-AL"/>
              </w:rPr>
              <w:t>Objektet individuale të klasifikimit</w:t>
            </w:r>
          </w:p>
        </w:tc>
      </w:tr>
      <w:tr w:rsidR="00430A79" w:rsidRPr="00430A79" w14:paraId="1A4D2EDA" w14:textId="77777777" w:rsidTr="00FB4247">
        <w:trPr>
          <w:tblHeader/>
        </w:trPr>
        <w:tc>
          <w:tcPr>
            <w:tcW w:w="2120" w:type="pct"/>
            <w:vMerge/>
            <w:shd w:val="clear" w:color="auto" w:fill="365F91"/>
            <w:vAlign w:val="center"/>
          </w:tcPr>
          <w:p w14:paraId="3DB8FBCF"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p>
        </w:tc>
        <w:tc>
          <w:tcPr>
            <w:tcW w:w="694" w:type="pct"/>
            <w:vMerge/>
            <w:shd w:val="clear" w:color="auto" w:fill="365F91"/>
            <w:vAlign w:val="center"/>
          </w:tcPr>
          <w:p w14:paraId="7CA1172D"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p>
        </w:tc>
        <w:tc>
          <w:tcPr>
            <w:tcW w:w="546" w:type="pct"/>
            <w:shd w:val="clear" w:color="auto" w:fill="365F91"/>
            <w:vAlign w:val="center"/>
          </w:tcPr>
          <w:p w14:paraId="4B031787"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Pejë</w:t>
            </w:r>
          </w:p>
        </w:tc>
        <w:tc>
          <w:tcPr>
            <w:tcW w:w="546" w:type="pct"/>
            <w:shd w:val="clear" w:color="auto" w:fill="365F91"/>
            <w:vAlign w:val="center"/>
          </w:tcPr>
          <w:p w14:paraId="50AA6B63"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Istog</w:t>
            </w:r>
          </w:p>
        </w:tc>
        <w:tc>
          <w:tcPr>
            <w:tcW w:w="546" w:type="pct"/>
            <w:shd w:val="clear" w:color="auto" w:fill="365F91"/>
            <w:vAlign w:val="center"/>
          </w:tcPr>
          <w:p w14:paraId="34E68A89" w14:textId="340D1A9C"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Klin</w:t>
            </w:r>
            <w:r w:rsidR="00FB4247">
              <w:rPr>
                <w:rFonts w:ascii="Arial Narrow" w:eastAsia="Calibri" w:hAnsi="Arial Narrow" w:cs="Calibri"/>
                <w:b/>
                <w:color w:val="FFFFFF"/>
                <w:sz w:val="20"/>
                <w:szCs w:val="20"/>
              </w:rPr>
              <w:t>ë</w:t>
            </w:r>
          </w:p>
        </w:tc>
        <w:tc>
          <w:tcPr>
            <w:tcW w:w="548" w:type="pct"/>
            <w:shd w:val="clear" w:color="auto" w:fill="365F91"/>
            <w:vAlign w:val="center"/>
          </w:tcPr>
          <w:p w14:paraId="0B5D6DE2" w14:textId="4835D134"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De</w:t>
            </w:r>
            <w:r w:rsidR="00FB4247">
              <w:rPr>
                <w:rFonts w:ascii="Arial Narrow" w:eastAsia="Calibri" w:hAnsi="Arial Narrow" w:cs="Calibri"/>
                <w:b/>
                <w:color w:val="FFFFFF"/>
                <w:sz w:val="20"/>
                <w:szCs w:val="20"/>
              </w:rPr>
              <w:t>ç</w:t>
            </w:r>
            <w:r w:rsidRPr="00430A79">
              <w:rPr>
                <w:rFonts w:ascii="Arial Narrow" w:eastAsia="Calibri" w:hAnsi="Arial Narrow" w:cs="Calibri"/>
                <w:b/>
                <w:color w:val="FFFFFF"/>
                <w:sz w:val="20"/>
                <w:szCs w:val="20"/>
              </w:rPr>
              <w:t>an</w:t>
            </w:r>
            <w:r w:rsidRPr="00430A79">
              <w:rPr>
                <w:rFonts w:ascii="Arial Narrow" w:eastAsia="Calibri" w:hAnsi="Arial Narrow" w:cs="Calibri"/>
                <w:b/>
                <w:color w:val="4472C4" w:themeColor="accent1"/>
                <w:position w:val="6"/>
                <w:sz w:val="20"/>
                <w:szCs w:val="20"/>
              </w:rPr>
              <w:footnoteReference w:id="27"/>
            </w:r>
          </w:p>
        </w:tc>
      </w:tr>
      <w:tr w:rsidR="00FB4247" w:rsidRPr="00430A79" w14:paraId="06E5D82B" w14:textId="77777777" w:rsidTr="00FB4247">
        <w:trPr>
          <w:trHeight w:val="242"/>
        </w:trPr>
        <w:tc>
          <w:tcPr>
            <w:tcW w:w="2120" w:type="pct"/>
          </w:tcPr>
          <w:p w14:paraId="1E0B1A11" w14:textId="63250B28" w:rsidR="00FB4247" w:rsidRPr="00FB4247" w:rsidRDefault="00FB4247" w:rsidP="00FB4247">
            <w:pPr>
              <w:jc w:val="both"/>
              <w:rPr>
                <w:rFonts w:ascii="Arial Narrow" w:eastAsia="Calibri" w:hAnsi="Arial Narrow" w:cs="Calibri"/>
                <w:color w:val="000000" w:themeColor="text1"/>
                <w:sz w:val="20"/>
                <w:szCs w:val="20"/>
                <w:lang w:val="en-GB"/>
              </w:rPr>
            </w:pPr>
            <w:r w:rsidRPr="00FB4247">
              <w:rPr>
                <w:rFonts w:ascii="Arial Narrow" w:eastAsia="Calibri" w:hAnsi="Arial Narrow" w:cs="Calibri"/>
                <w:sz w:val="20"/>
                <w:szCs w:val="20"/>
                <w:lang w:val="sq-AL"/>
              </w:rPr>
              <w:t>Inputi i mbeturinave (2035), ton</w:t>
            </w:r>
          </w:p>
        </w:tc>
        <w:tc>
          <w:tcPr>
            <w:tcW w:w="694" w:type="pct"/>
          </w:tcPr>
          <w:p w14:paraId="2AF3D2D9"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21,065</w:t>
            </w:r>
          </w:p>
        </w:tc>
        <w:tc>
          <w:tcPr>
            <w:tcW w:w="546" w:type="pct"/>
          </w:tcPr>
          <w:p w14:paraId="66EC8C0C"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12,859</w:t>
            </w:r>
          </w:p>
        </w:tc>
        <w:tc>
          <w:tcPr>
            <w:tcW w:w="546" w:type="pct"/>
          </w:tcPr>
          <w:p w14:paraId="1BC59190"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3,495</w:t>
            </w:r>
          </w:p>
        </w:tc>
        <w:tc>
          <w:tcPr>
            <w:tcW w:w="546" w:type="pct"/>
          </w:tcPr>
          <w:p w14:paraId="056DF5B1" w14:textId="77777777" w:rsidR="00FB4247" w:rsidRPr="00430A79" w:rsidRDefault="00FB4247" w:rsidP="00FB4247">
            <w:pPr>
              <w:spacing w:after="120"/>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2,350</w:t>
            </w:r>
          </w:p>
        </w:tc>
        <w:tc>
          <w:tcPr>
            <w:tcW w:w="548" w:type="pct"/>
          </w:tcPr>
          <w:p w14:paraId="66773980" w14:textId="77777777" w:rsidR="00FB4247" w:rsidRPr="00430A79" w:rsidRDefault="00FB4247" w:rsidP="00FB4247">
            <w:pPr>
              <w:spacing w:after="120"/>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2,361</w:t>
            </w:r>
          </w:p>
        </w:tc>
      </w:tr>
      <w:tr w:rsidR="00FB4247" w:rsidRPr="00430A79" w14:paraId="62A26116" w14:textId="77777777" w:rsidTr="00FB4247">
        <w:tc>
          <w:tcPr>
            <w:tcW w:w="2120" w:type="pct"/>
          </w:tcPr>
          <w:p w14:paraId="3AA295FB" w14:textId="2714FCB3" w:rsidR="00FB4247" w:rsidRPr="009F5CA1" w:rsidRDefault="00FB4247" w:rsidP="00FB4247">
            <w:pPr>
              <w:jc w:val="both"/>
              <w:rPr>
                <w:rFonts w:ascii="Arial Narrow" w:eastAsia="Calibri" w:hAnsi="Arial Narrow" w:cs="Calibri"/>
                <w:color w:val="000000" w:themeColor="text1"/>
                <w:sz w:val="20"/>
                <w:szCs w:val="20"/>
                <w:lang w:val="de-DE"/>
              </w:rPr>
            </w:pPr>
            <w:r w:rsidRPr="00FB4247">
              <w:rPr>
                <w:rFonts w:ascii="Arial Narrow" w:eastAsia="Calibri" w:hAnsi="Arial Narrow" w:cs="Calibri"/>
                <w:sz w:val="20"/>
                <w:szCs w:val="20"/>
                <w:lang w:val="sq-AL"/>
              </w:rPr>
              <w:t>Mbeturinat e ndara për riciklim (2035), ton</w:t>
            </w:r>
          </w:p>
        </w:tc>
        <w:tc>
          <w:tcPr>
            <w:tcW w:w="694" w:type="pct"/>
          </w:tcPr>
          <w:p w14:paraId="0A60860B"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18,915</w:t>
            </w:r>
          </w:p>
        </w:tc>
        <w:tc>
          <w:tcPr>
            <w:tcW w:w="546" w:type="pct"/>
          </w:tcPr>
          <w:p w14:paraId="34030EE4"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11,529</w:t>
            </w:r>
          </w:p>
        </w:tc>
        <w:tc>
          <w:tcPr>
            <w:tcW w:w="546" w:type="pct"/>
          </w:tcPr>
          <w:p w14:paraId="745F11D3"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3,147</w:t>
            </w:r>
          </w:p>
        </w:tc>
        <w:tc>
          <w:tcPr>
            <w:tcW w:w="546" w:type="pct"/>
          </w:tcPr>
          <w:p w14:paraId="7E3BB30D"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2,116</w:t>
            </w:r>
          </w:p>
        </w:tc>
        <w:tc>
          <w:tcPr>
            <w:tcW w:w="548" w:type="pct"/>
          </w:tcPr>
          <w:p w14:paraId="5350ED09"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2,123</w:t>
            </w:r>
          </w:p>
        </w:tc>
      </w:tr>
      <w:tr w:rsidR="00FB4247" w:rsidRPr="00430A79" w14:paraId="29E2322C" w14:textId="77777777" w:rsidTr="00FB4247">
        <w:tc>
          <w:tcPr>
            <w:tcW w:w="2120" w:type="pct"/>
          </w:tcPr>
          <w:p w14:paraId="0A737BA3" w14:textId="08196E36" w:rsidR="00FB4247" w:rsidRPr="00FB4247" w:rsidRDefault="00FB4247" w:rsidP="00FB4247">
            <w:pPr>
              <w:jc w:val="both"/>
              <w:rPr>
                <w:rFonts w:ascii="Arial Narrow" w:eastAsia="Calibri" w:hAnsi="Arial Narrow" w:cs="Calibri"/>
                <w:color w:val="000000" w:themeColor="text1"/>
                <w:sz w:val="20"/>
                <w:szCs w:val="20"/>
                <w:lang w:val="en-GB"/>
              </w:rPr>
            </w:pPr>
            <w:r w:rsidRPr="00FB4247">
              <w:rPr>
                <w:rFonts w:ascii="Arial Narrow" w:eastAsia="Calibri" w:hAnsi="Arial Narrow" w:cs="Calibri"/>
                <w:sz w:val="20"/>
                <w:szCs w:val="20"/>
                <w:lang w:val="sq-AL"/>
              </w:rPr>
              <w:t>Kostot e investimit, mijë €</w:t>
            </w:r>
          </w:p>
        </w:tc>
        <w:tc>
          <w:tcPr>
            <w:tcW w:w="694" w:type="pct"/>
          </w:tcPr>
          <w:p w14:paraId="0B5ACC3F"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1,570</w:t>
            </w:r>
          </w:p>
        </w:tc>
        <w:tc>
          <w:tcPr>
            <w:tcW w:w="546" w:type="pct"/>
          </w:tcPr>
          <w:p w14:paraId="355A50EC"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1,007</w:t>
            </w:r>
          </w:p>
        </w:tc>
        <w:tc>
          <w:tcPr>
            <w:tcW w:w="546" w:type="pct"/>
          </w:tcPr>
          <w:p w14:paraId="64DF44E0"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346</w:t>
            </w:r>
          </w:p>
        </w:tc>
        <w:tc>
          <w:tcPr>
            <w:tcW w:w="546" w:type="pct"/>
          </w:tcPr>
          <w:p w14:paraId="646228BA"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339</w:t>
            </w:r>
          </w:p>
        </w:tc>
        <w:tc>
          <w:tcPr>
            <w:tcW w:w="548" w:type="pct"/>
          </w:tcPr>
          <w:p w14:paraId="24C1623B"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339</w:t>
            </w:r>
          </w:p>
        </w:tc>
      </w:tr>
      <w:tr w:rsidR="00FB4247" w:rsidRPr="00430A79" w14:paraId="6AEF113B" w14:textId="77777777" w:rsidTr="00FB4247">
        <w:tc>
          <w:tcPr>
            <w:tcW w:w="2120" w:type="pct"/>
          </w:tcPr>
          <w:p w14:paraId="65AB996C" w14:textId="3C3E03C5" w:rsidR="00FB4247" w:rsidRPr="00FB4247" w:rsidRDefault="00FB4247" w:rsidP="00FB4247">
            <w:pPr>
              <w:jc w:val="both"/>
              <w:rPr>
                <w:rFonts w:ascii="Arial Narrow" w:eastAsia="Calibri" w:hAnsi="Arial Narrow" w:cs="Calibri"/>
                <w:color w:val="000000" w:themeColor="text1"/>
                <w:sz w:val="20"/>
                <w:szCs w:val="20"/>
                <w:lang w:val="en-GB"/>
              </w:rPr>
            </w:pPr>
            <w:r w:rsidRPr="00FB4247">
              <w:rPr>
                <w:rFonts w:ascii="Arial Narrow" w:eastAsia="Calibri" w:hAnsi="Arial Narrow" w:cs="Calibri"/>
                <w:sz w:val="20"/>
                <w:szCs w:val="20"/>
                <w:lang w:val="sq-AL"/>
              </w:rPr>
              <w:t>Kostot operacionale, mijë €</w:t>
            </w:r>
          </w:p>
        </w:tc>
        <w:tc>
          <w:tcPr>
            <w:tcW w:w="694" w:type="pct"/>
          </w:tcPr>
          <w:p w14:paraId="0329C377"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677</w:t>
            </w:r>
          </w:p>
        </w:tc>
        <w:tc>
          <w:tcPr>
            <w:tcW w:w="546" w:type="pct"/>
          </w:tcPr>
          <w:p w14:paraId="743C700A"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530</w:t>
            </w:r>
          </w:p>
        </w:tc>
        <w:tc>
          <w:tcPr>
            <w:tcW w:w="546" w:type="pct"/>
          </w:tcPr>
          <w:p w14:paraId="4DA3183C"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172</w:t>
            </w:r>
          </w:p>
        </w:tc>
        <w:tc>
          <w:tcPr>
            <w:tcW w:w="546" w:type="pct"/>
          </w:tcPr>
          <w:p w14:paraId="04E5963C"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140</w:t>
            </w:r>
          </w:p>
        </w:tc>
        <w:tc>
          <w:tcPr>
            <w:tcW w:w="548" w:type="pct"/>
          </w:tcPr>
          <w:p w14:paraId="76C12681"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140</w:t>
            </w:r>
          </w:p>
        </w:tc>
      </w:tr>
      <w:tr w:rsidR="00FB4247" w:rsidRPr="00430A79" w14:paraId="2E6C4367" w14:textId="77777777" w:rsidTr="00FB4247">
        <w:tc>
          <w:tcPr>
            <w:tcW w:w="2120" w:type="pct"/>
          </w:tcPr>
          <w:p w14:paraId="7074F3B3" w14:textId="156586C0" w:rsidR="00FB4247" w:rsidRPr="009F5CA1" w:rsidRDefault="00FB4247" w:rsidP="00FB4247">
            <w:pPr>
              <w:jc w:val="both"/>
              <w:rPr>
                <w:rFonts w:ascii="Arial Narrow" w:eastAsia="Calibri" w:hAnsi="Arial Narrow" w:cs="Calibri"/>
                <w:color w:val="000000" w:themeColor="text1"/>
                <w:sz w:val="20"/>
                <w:szCs w:val="20"/>
              </w:rPr>
            </w:pPr>
            <w:r w:rsidRPr="00FB4247">
              <w:rPr>
                <w:rFonts w:ascii="Arial Narrow" w:eastAsia="Calibri" w:hAnsi="Arial Narrow" w:cs="Calibri"/>
                <w:sz w:val="20"/>
                <w:szCs w:val="20"/>
                <w:lang w:val="sq-AL"/>
              </w:rPr>
              <w:t>Të hyrat nga shitjet, mijë €</w:t>
            </w:r>
          </w:p>
        </w:tc>
        <w:tc>
          <w:tcPr>
            <w:tcW w:w="694" w:type="pct"/>
          </w:tcPr>
          <w:p w14:paraId="51B61030"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2,096</w:t>
            </w:r>
          </w:p>
        </w:tc>
        <w:tc>
          <w:tcPr>
            <w:tcW w:w="546" w:type="pct"/>
          </w:tcPr>
          <w:p w14:paraId="5097EC82"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1,260</w:t>
            </w:r>
          </w:p>
        </w:tc>
        <w:tc>
          <w:tcPr>
            <w:tcW w:w="546" w:type="pct"/>
          </w:tcPr>
          <w:p w14:paraId="6F5926B8"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356</w:t>
            </w:r>
          </w:p>
        </w:tc>
        <w:tc>
          <w:tcPr>
            <w:tcW w:w="546" w:type="pct"/>
          </w:tcPr>
          <w:p w14:paraId="4A2F4579"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239</w:t>
            </w:r>
          </w:p>
        </w:tc>
        <w:tc>
          <w:tcPr>
            <w:tcW w:w="548" w:type="pct"/>
          </w:tcPr>
          <w:p w14:paraId="12890AB3"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242</w:t>
            </w:r>
          </w:p>
        </w:tc>
      </w:tr>
      <w:tr w:rsidR="00FB4247" w:rsidRPr="00430A79" w14:paraId="35CACE62" w14:textId="77777777" w:rsidTr="00FB4247">
        <w:tc>
          <w:tcPr>
            <w:tcW w:w="2120" w:type="pct"/>
          </w:tcPr>
          <w:p w14:paraId="0A62A01C" w14:textId="5C1CA99A" w:rsidR="00FB4247" w:rsidRPr="009F5CA1" w:rsidRDefault="00FB4247" w:rsidP="00FB4247">
            <w:pPr>
              <w:jc w:val="both"/>
              <w:rPr>
                <w:rFonts w:ascii="Arial Narrow" w:eastAsia="Calibri" w:hAnsi="Arial Narrow" w:cs="Calibri"/>
                <w:color w:val="000000" w:themeColor="text1"/>
                <w:sz w:val="20"/>
                <w:szCs w:val="20"/>
              </w:rPr>
            </w:pPr>
            <w:r w:rsidRPr="00FB4247">
              <w:rPr>
                <w:rFonts w:ascii="Arial Narrow" w:eastAsia="Calibri" w:hAnsi="Arial Narrow" w:cs="Calibri"/>
                <w:sz w:val="20"/>
                <w:szCs w:val="20"/>
                <w:lang w:val="sq-AL"/>
              </w:rPr>
              <w:t>Kostot e zbritura për njësi, input €/ton</w:t>
            </w:r>
          </w:p>
        </w:tc>
        <w:tc>
          <w:tcPr>
            <w:tcW w:w="694" w:type="pct"/>
          </w:tcPr>
          <w:p w14:paraId="04A515E9"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- 44.83</w:t>
            </w:r>
          </w:p>
        </w:tc>
        <w:tc>
          <w:tcPr>
            <w:tcW w:w="546" w:type="pct"/>
          </w:tcPr>
          <w:p w14:paraId="4C4646EA"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-54.44</w:t>
            </w:r>
          </w:p>
        </w:tc>
        <w:tc>
          <w:tcPr>
            <w:tcW w:w="546" w:type="pct"/>
          </w:tcPr>
          <w:p w14:paraId="3F1B4C7C"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-59.53</w:t>
            </w:r>
          </w:p>
        </w:tc>
        <w:tc>
          <w:tcPr>
            <w:tcW w:w="546" w:type="pct"/>
          </w:tcPr>
          <w:p w14:paraId="155203D8"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-86.13</w:t>
            </w:r>
          </w:p>
        </w:tc>
        <w:tc>
          <w:tcPr>
            <w:tcW w:w="548" w:type="pct"/>
          </w:tcPr>
          <w:p w14:paraId="066A444C"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-84.93</w:t>
            </w:r>
          </w:p>
        </w:tc>
      </w:tr>
      <w:tr w:rsidR="00FB4247" w:rsidRPr="00430A79" w14:paraId="4FF058D4" w14:textId="77777777" w:rsidTr="00FB4247">
        <w:tc>
          <w:tcPr>
            <w:tcW w:w="2120" w:type="pct"/>
          </w:tcPr>
          <w:p w14:paraId="405C56F9" w14:textId="61DC15F6" w:rsidR="00FB4247" w:rsidRPr="009F5CA1" w:rsidRDefault="00FB4247" w:rsidP="00FB4247">
            <w:pPr>
              <w:jc w:val="both"/>
              <w:rPr>
                <w:rFonts w:ascii="Arial Narrow" w:eastAsia="Calibri" w:hAnsi="Arial Narrow" w:cs="Calibri"/>
                <w:color w:val="000000" w:themeColor="text1"/>
                <w:sz w:val="20"/>
                <w:szCs w:val="20"/>
              </w:rPr>
            </w:pPr>
            <w:r w:rsidRPr="00FB4247">
              <w:rPr>
                <w:rFonts w:ascii="Arial Narrow" w:eastAsia="Calibri" w:hAnsi="Arial Narrow" w:cs="Calibri"/>
                <w:sz w:val="20"/>
                <w:szCs w:val="20"/>
                <w:lang w:val="sq-AL"/>
              </w:rPr>
              <w:t>Të ardhura me ulje për njësi, input €/ton</w:t>
            </w:r>
          </w:p>
        </w:tc>
        <w:tc>
          <w:tcPr>
            <w:tcW w:w="694" w:type="pct"/>
          </w:tcPr>
          <w:p w14:paraId="31817256"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100.87</w:t>
            </w:r>
          </w:p>
        </w:tc>
        <w:tc>
          <w:tcPr>
            <w:tcW w:w="546" w:type="pct"/>
          </w:tcPr>
          <w:p w14:paraId="4E0C2BF3"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98.28</w:t>
            </w:r>
          </w:p>
        </w:tc>
        <w:tc>
          <w:tcPr>
            <w:tcW w:w="546" w:type="pct"/>
          </w:tcPr>
          <w:p w14:paraId="43FEF9E5"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102.73</w:t>
            </w:r>
          </w:p>
        </w:tc>
        <w:tc>
          <w:tcPr>
            <w:tcW w:w="546" w:type="pct"/>
          </w:tcPr>
          <w:p w14:paraId="27C5A042"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102.53</w:t>
            </w:r>
          </w:p>
        </w:tc>
        <w:tc>
          <w:tcPr>
            <w:tcW w:w="548" w:type="pct"/>
          </w:tcPr>
          <w:p w14:paraId="63A1C430"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103.48</w:t>
            </w:r>
          </w:p>
        </w:tc>
      </w:tr>
      <w:tr w:rsidR="00FB4247" w:rsidRPr="00430A79" w14:paraId="7C205819" w14:textId="77777777" w:rsidTr="00FB4247">
        <w:tc>
          <w:tcPr>
            <w:tcW w:w="2120" w:type="pct"/>
          </w:tcPr>
          <w:p w14:paraId="528C8C5D" w14:textId="5C5EDB1C" w:rsidR="00FB4247" w:rsidRPr="009F5CA1" w:rsidRDefault="00FB4247" w:rsidP="00FB4247">
            <w:pPr>
              <w:jc w:val="both"/>
              <w:rPr>
                <w:rFonts w:ascii="Arial Narrow" w:eastAsia="Calibri" w:hAnsi="Arial Narrow" w:cs="Calibri"/>
                <w:color w:val="000000" w:themeColor="text1"/>
                <w:sz w:val="20"/>
                <w:szCs w:val="20"/>
              </w:rPr>
            </w:pPr>
            <w:r w:rsidRPr="00FB4247">
              <w:rPr>
                <w:rFonts w:ascii="Arial Narrow" w:eastAsia="Calibri" w:hAnsi="Arial Narrow" w:cs="Calibri"/>
                <w:sz w:val="20"/>
                <w:szCs w:val="20"/>
                <w:lang w:val="sq-AL"/>
              </w:rPr>
              <w:t>Kostot me ulje neto për njësi, input €/ton</w:t>
            </w:r>
          </w:p>
        </w:tc>
        <w:tc>
          <w:tcPr>
            <w:tcW w:w="694" w:type="pct"/>
          </w:tcPr>
          <w:p w14:paraId="74F1B355"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55.24</w:t>
            </w:r>
            <w:r w:rsidRPr="00430A79">
              <w:rPr>
                <w:rFonts w:ascii="Arial Narrow" w:eastAsia="Calibri" w:hAnsi="Arial Narrow" w:cs="Calibri"/>
                <w:color w:val="4472C4" w:themeColor="accent1"/>
                <w:position w:val="6"/>
                <w:sz w:val="20"/>
                <w:szCs w:val="20"/>
                <w:lang w:val="en-GB"/>
              </w:rPr>
              <w:footnoteReference w:id="28"/>
            </w:r>
          </w:p>
        </w:tc>
        <w:tc>
          <w:tcPr>
            <w:tcW w:w="546" w:type="pct"/>
          </w:tcPr>
          <w:p w14:paraId="7779C521"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43.84</w:t>
            </w:r>
          </w:p>
        </w:tc>
        <w:tc>
          <w:tcPr>
            <w:tcW w:w="546" w:type="pct"/>
          </w:tcPr>
          <w:p w14:paraId="158C6991"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43.20</w:t>
            </w:r>
          </w:p>
        </w:tc>
        <w:tc>
          <w:tcPr>
            <w:tcW w:w="546" w:type="pct"/>
          </w:tcPr>
          <w:p w14:paraId="46BAACC7"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16.40</w:t>
            </w:r>
          </w:p>
        </w:tc>
        <w:tc>
          <w:tcPr>
            <w:tcW w:w="548" w:type="pct"/>
          </w:tcPr>
          <w:p w14:paraId="0283249D" w14:textId="77777777" w:rsidR="00FB4247" w:rsidRPr="00430A79" w:rsidRDefault="00FB4247" w:rsidP="00FB4247">
            <w:pPr>
              <w:jc w:val="both"/>
              <w:rPr>
                <w:rFonts w:ascii="Arial Narrow" w:eastAsia="Calibri" w:hAnsi="Arial Narrow" w:cs="Calibri"/>
                <w:color w:val="000000" w:themeColor="text1"/>
                <w:sz w:val="20"/>
                <w:szCs w:val="20"/>
                <w:lang w:val="en-GB"/>
              </w:rPr>
            </w:pPr>
            <w:r w:rsidRPr="00430A79">
              <w:rPr>
                <w:rFonts w:ascii="Arial Narrow" w:eastAsia="Calibri" w:hAnsi="Arial Narrow" w:cs="Calibri"/>
                <w:color w:val="000000" w:themeColor="text1"/>
                <w:sz w:val="20"/>
                <w:szCs w:val="20"/>
                <w:lang w:val="en-GB"/>
              </w:rPr>
              <w:t>18.54</w:t>
            </w:r>
          </w:p>
        </w:tc>
      </w:tr>
    </w:tbl>
    <w:p w14:paraId="7FE0B8B5" w14:textId="72C2FD0C" w:rsidR="00430A79" w:rsidRPr="009F5CA1" w:rsidRDefault="00430A79" w:rsidP="00430A79">
      <w:pPr>
        <w:jc w:val="both"/>
        <w:rPr>
          <w:rFonts w:ascii="Arial Narrow" w:eastAsia="Calibri" w:hAnsi="Arial Narrow" w:cs="Calibri"/>
          <w:color w:val="000000" w:themeColor="text1"/>
          <w:sz w:val="22"/>
          <w:szCs w:val="22"/>
        </w:rPr>
      </w:pPr>
      <w:r w:rsidRPr="009F5CA1">
        <w:rPr>
          <w:rFonts w:ascii="Arial Narrow" w:eastAsia="Calibri" w:hAnsi="Arial Narrow" w:cs="Calibri"/>
          <w:color w:val="000000" w:themeColor="text1"/>
          <w:sz w:val="22"/>
          <w:szCs w:val="22"/>
        </w:rPr>
        <w:t xml:space="preserve">Krahasimi tregon se </w:t>
      </w:r>
      <w:r w:rsidR="00FB4247" w:rsidRPr="009F5CA1">
        <w:rPr>
          <w:rFonts w:ascii="Arial Narrow" w:eastAsia="Calibri" w:hAnsi="Arial Narrow" w:cs="Calibri"/>
          <w:color w:val="000000" w:themeColor="text1"/>
          <w:sz w:val="22"/>
          <w:szCs w:val="22"/>
        </w:rPr>
        <w:t xml:space="preserve">klasifikimi I përbashkët ka kosto </w:t>
      </w:r>
      <w:r w:rsidRPr="009F5CA1">
        <w:rPr>
          <w:rFonts w:ascii="Arial Narrow" w:eastAsia="Calibri" w:hAnsi="Arial Narrow" w:cs="Calibri"/>
          <w:color w:val="000000" w:themeColor="text1"/>
          <w:sz w:val="22"/>
          <w:szCs w:val="22"/>
        </w:rPr>
        <w:t xml:space="preserve">më të ulët zbatimi krahasuar me </w:t>
      </w:r>
      <w:r w:rsidR="00FB4247" w:rsidRPr="009F5CA1">
        <w:rPr>
          <w:rFonts w:ascii="Arial Narrow" w:eastAsia="Calibri" w:hAnsi="Arial Narrow" w:cs="Calibri"/>
          <w:color w:val="000000" w:themeColor="text1"/>
          <w:sz w:val="22"/>
          <w:szCs w:val="22"/>
        </w:rPr>
        <w:t xml:space="preserve">klasifikimin </w:t>
      </w:r>
      <w:r w:rsidRPr="009F5CA1">
        <w:rPr>
          <w:rFonts w:ascii="Arial Narrow" w:eastAsia="Calibri" w:hAnsi="Arial Narrow" w:cs="Calibri"/>
          <w:color w:val="000000" w:themeColor="text1"/>
          <w:sz w:val="22"/>
          <w:szCs w:val="22"/>
        </w:rPr>
        <w:t>e decentralizuar.</w:t>
      </w:r>
    </w:p>
    <w:p w14:paraId="6B1AF1CF" w14:textId="77777777" w:rsidR="00430A79" w:rsidRPr="00430A79" w:rsidRDefault="00430A79" w:rsidP="00430A79">
      <w:pPr>
        <w:jc w:val="both"/>
        <w:rPr>
          <w:rFonts w:ascii="Arial Narrow" w:eastAsia="Calibri" w:hAnsi="Arial Narrow" w:cs="Calibri"/>
          <w:color w:val="000000" w:themeColor="text1"/>
          <w:sz w:val="22"/>
          <w:szCs w:val="22"/>
        </w:rPr>
      </w:pPr>
    </w:p>
    <w:p w14:paraId="03BB8E5C" w14:textId="77777777" w:rsidR="00430A79" w:rsidRPr="00430A79" w:rsidRDefault="00430A79" w:rsidP="000D7AD0">
      <w:pPr>
        <w:pStyle w:val="Heading3"/>
      </w:pPr>
      <w:bookmarkStart w:id="374" w:name="_Toc185866123"/>
      <w:bookmarkStart w:id="375" w:name="_Toc197472019"/>
      <w:r w:rsidRPr="00430A79">
        <w:t>Teknologjitë për trajtimin dhe rikuperimin e mbeturinave komunale</w:t>
      </w:r>
      <w:bookmarkEnd w:id="374"/>
      <w:bookmarkEnd w:id="375"/>
      <w:r w:rsidRPr="00430A79">
        <w:t xml:space="preserve"> </w:t>
      </w:r>
    </w:p>
    <w:p w14:paraId="4D511226" w14:textId="77777777" w:rsidR="00430A79" w:rsidRPr="00430A79" w:rsidRDefault="00430A79" w:rsidP="00430A79">
      <w:pPr>
        <w:jc w:val="both"/>
        <w:rPr>
          <w:rFonts w:ascii="Arial Narrow" w:eastAsia="Calibri" w:hAnsi="Arial Narrow" w:cs="Calibri"/>
          <w:color w:val="000000" w:themeColor="text1"/>
          <w:sz w:val="22"/>
          <w:szCs w:val="22"/>
        </w:rPr>
      </w:pPr>
    </w:p>
    <w:p w14:paraId="1C266D98" w14:textId="77777777" w:rsidR="00FB4247" w:rsidRPr="00BE2534" w:rsidRDefault="00FB4247" w:rsidP="00FB4247">
      <w:pPr>
        <w:rPr>
          <w:rFonts w:ascii="Arial Narrow" w:eastAsia="Calibri" w:hAnsi="Arial Narrow"/>
          <w:kern w:val="2"/>
          <w:sz w:val="22"/>
          <w:szCs w:val="22"/>
          <w:lang w:val="sq-AL"/>
          <w14:ligatures w14:val="standardContextual"/>
        </w:rPr>
      </w:pPr>
      <w:r w:rsidRPr="00BE2534">
        <w:rPr>
          <w:rFonts w:ascii="Arial Narrow" w:eastAsia="Calibri" w:hAnsi="Arial Narrow"/>
          <w:kern w:val="2"/>
          <w:sz w:val="22"/>
          <w:szCs w:val="22"/>
          <w:lang w:val="sq-AL"/>
          <w14:ligatures w14:val="standardContextual"/>
        </w:rPr>
        <w:t>Ekzistojnë disa teknologji të trajtimit të mbeturinave. Teknologjitë më të rëndësishme janë:</w:t>
      </w:r>
    </w:p>
    <w:p w14:paraId="094711C0" w14:textId="77777777" w:rsidR="00FB4247" w:rsidRPr="00BE2534" w:rsidRDefault="00FB4247" w:rsidP="00FB4247">
      <w:pPr>
        <w:numPr>
          <w:ilvl w:val="0"/>
          <w:numId w:val="17"/>
        </w:numPr>
        <w:contextualSpacing/>
        <w:rPr>
          <w:rFonts w:ascii="Arial Narrow" w:eastAsia="Calibri" w:hAnsi="Arial Narrow"/>
          <w:kern w:val="2"/>
          <w:sz w:val="22"/>
          <w:szCs w:val="22"/>
          <w:lang w:val="sq-AL"/>
          <w14:ligatures w14:val="standardContextual"/>
        </w:rPr>
      </w:pPr>
      <w:r w:rsidRPr="00BE2534">
        <w:rPr>
          <w:rFonts w:ascii="Arial Narrow" w:eastAsia="Calibri" w:hAnsi="Arial Narrow"/>
          <w:kern w:val="2"/>
          <w:sz w:val="22"/>
          <w:szCs w:val="22"/>
          <w:lang w:val="sq-AL"/>
          <w14:ligatures w14:val="standardContextual"/>
        </w:rPr>
        <w:t>Teknologjitë e mbeturinave për energji</w:t>
      </w:r>
    </w:p>
    <w:p w14:paraId="0680A8B4" w14:textId="77777777" w:rsidR="00FB4247" w:rsidRDefault="00FB4247" w:rsidP="00FB4247">
      <w:pPr>
        <w:numPr>
          <w:ilvl w:val="0"/>
          <w:numId w:val="17"/>
        </w:numPr>
        <w:contextualSpacing/>
        <w:rPr>
          <w:rFonts w:ascii="Arial Narrow" w:eastAsia="Calibri" w:hAnsi="Arial Narrow"/>
          <w:kern w:val="2"/>
          <w:sz w:val="22"/>
          <w:szCs w:val="22"/>
          <w:lang w:val="sq-AL"/>
          <w14:ligatures w14:val="standardContextual"/>
        </w:rPr>
      </w:pPr>
      <w:r w:rsidRPr="00BE2534">
        <w:rPr>
          <w:rFonts w:ascii="Arial Narrow" w:eastAsia="Calibri" w:hAnsi="Arial Narrow"/>
          <w:kern w:val="2"/>
          <w:sz w:val="22"/>
          <w:szCs w:val="22"/>
          <w:lang w:val="sq-AL"/>
          <w14:ligatures w14:val="standardContextual"/>
        </w:rPr>
        <w:t>Trajtimi mekanik biologjik (TMB) i lidhur me kompostimin e centralizuar</w:t>
      </w:r>
    </w:p>
    <w:p w14:paraId="0309C46A" w14:textId="77777777" w:rsidR="00FB4247" w:rsidRPr="00BE2534" w:rsidRDefault="00FB4247" w:rsidP="00FB4247">
      <w:pPr>
        <w:ind w:left="720"/>
        <w:contextualSpacing/>
        <w:rPr>
          <w:rFonts w:ascii="Arial Narrow" w:eastAsia="Calibri" w:hAnsi="Arial Narrow"/>
          <w:kern w:val="2"/>
          <w:sz w:val="22"/>
          <w:szCs w:val="22"/>
          <w:lang w:val="sq-AL"/>
          <w14:ligatures w14:val="standardContextual"/>
        </w:rPr>
      </w:pPr>
    </w:p>
    <w:p w14:paraId="65A0BEDE" w14:textId="10D4AC7A" w:rsidR="00430A79" w:rsidRPr="009F5CA1" w:rsidRDefault="00FB4247" w:rsidP="00FB4247">
      <w:pPr>
        <w:contextualSpacing/>
        <w:rPr>
          <w:rFonts w:ascii="Arial Narrow" w:eastAsia="Calibri" w:hAnsi="Arial Narrow"/>
          <w:kern w:val="2"/>
          <w:sz w:val="22"/>
          <w:szCs w:val="22"/>
          <w:lang w:val="sq-AL"/>
          <w14:ligatures w14:val="standardContextual"/>
        </w:rPr>
      </w:pPr>
      <w:r w:rsidRPr="00BE2534">
        <w:rPr>
          <w:rFonts w:ascii="Arial Narrow" w:eastAsia="Calibri" w:hAnsi="Arial Narrow"/>
          <w:kern w:val="2"/>
          <w:sz w:val="22"/>
          <w:szCs w:val="22"/>
          <w:lang w:val="sq-AL"/>
          <w14:ligatures w14:val="standardContextual"/>
        </w:rPr>
        <w:t xml:space="preserve">Teknologjitë për trajtimin e fraksioneve të mbledhura </w:t>
      </w:r>
      <w:r>
        <w:rPr>
          <w:rFonts w:ascii="Arial Narrow" w:eastAsia="Calibri" w:hAnsi="Arial Narrow"/>
          <w:kern w:val="2"/>
          <w:sz w:val="22"/>
          <w:szCs w:val="22"/>
          <w:lang w:val="sq-AL"/>
          <w14:ligatures w14:val="standardContextual"/>
        </w:rPr>
        <w:t>ndaras</w:t>
      </w:r>
      <w:r w:rsidRPr="00BE2534">
        <w:rPr>
          <w:rFonts w:ascii="Arial Narrow" w:eastAsia="Calibri" w:hAnsi="Arial Narrow"/>
          <w:kern w:val="2"/>
          <w:sz w:val="22"/>
          <w:szCs w:val="22"/>
          <w:lang w:val="sq-AL"/>
          <w14:ligatures w14:val="standardContextual"/>
        </w:rPr>
        <w:t xml:space="preserve"> të mbeturinave organike si kompostimi dhe tretja anaerobe janë konsideruar veçmas në seksionet e mëposhtme</w:t>
      </w:r>
      <w:r w:rsidR="00430A79" w:rsidRPr="009F5CA1">
        <w:rPr>
          <w:rFonts w:ascii="Arial Narrow" w:eastAsia="Calibri" w:hAnsi="Arial Narrow"/>
          <w:kern w:val="2"/>
          <w:sz w:val="22"/>
          <w:szCs w:val="22"/>
          <w:lang w:val="sq-AL"/>
          <w14:ligatures w14:val="standardContextual"/>
        </w:rPr>
        <w:t>.</w:t>
      </w:r>
    </w:p>
    <w:p w14:paraId="2FBECE89" w14:textId="77777777" w:rsidR="002E4DDE" w:rsidRPr="009F5CA1" w:rsidRDefault="002E4DDE" w:rsidP="00430A79">
      <w:pPr>
        <w:contextualSpacing/>
        <w:rPr>
          <w:rFonts w:ascii="Arial Narrow" w:eastAsia="Calibri" w:hAnsi="Arial Narrow"/>
          <w:kern w:val="2"/>
          <w:sz w:val="22"/>
          <w:szCs w:val="22"/>
          <w:lang w:val="sq-AL"/>
          <w14:ligatures w14:val="standardContextual"/>
        </w:rPr>
      </w:pPr>
    </w:p>
    <w:p w14:paraId="62C73F29" w14:textId="77777777" w:rsidR="00430A79" w:rsidRPr="002E4DDE" w:rsidRDefault="00430A79" w:rsidP="002E4DDE">
      <w:pPr>
        <w:rPr>
          <w:rFonts w:ascii="Arial Narrow" w:eastAsiaTheme="majorEastAsia" w:hAnsi="Arial Narrow"/>
          <w:b/>
          <w:bCs/>
          <w:sz w:val="22"/>
          <w:szCs w:val="22"/>
        </w:rPr>
      </w:pPr>
      <w:bookmarkStart w:id="376" w:name="_Toc185866124"/>
      <w:r w:rsidRPr="002E4DDE">
        <w:rPr>
          <w:rFonts w:ascii="Arial Narrow" w:eastAsiaTheme="majorEastAsia" w:hAnsi="Arial Narrow"/>
          <w:b/>
          <w:bCs/>
          <w:sz w:val="22"/>
          <w:szCs w:val="22"/>
        </w:rPr>
        <w:t>Teknologjitë e shndërrimit të mbeturinave në energji</w:t>
      </w:r>
      <w:bookmarkEnd w:id="376"/>
    </w:p>
    <w:p w14:paraId="10CEF30C" w14:textId="69D30427" w:rsidR="00430A79" w:rsidRPr="009F5CA1" w:rsidRDefault="00FB4247" w:rsidP="00430A79">
      <w:pPr>
        <w:jc w:val="both"/>
        <w:rPr>
          <w:rFonts w:ascii="Arial Narrow" w:eastAsia="Calibri" w:hAnsi="Arial Narrow"/>
          <w:kern w:val="2"/>
          <w:sz w:val="22"/>
          <w:szCs w:val="22"/>
          <w:lang w:val="sq-AL"/>
          <w14:ligatures w14:val="standardContextual"/>
        </w:rPr>
      </w:pPr>
      <w:r w:rsidRPr="00BE2534">
        <w:rPr>
          <w:rFonts w:ascii="Arial Narrow" w:eastAsia="Calibri" w:hAnsi="Arial Narrow"/>
          <w:kern w:val="2"/>
          <w:sz w:val="22"/>
          <w:szCs w:val="22"/>
          <w:lang w:val="sq-AL"/>
          <w14:ligatures w14:val="standardContextual"/>
        </w:rPr>
        <w:t>Mbeturinat për energji (MpE) përfshijnë metodat sipas të cilave energjia që ndodhet në mbeturina nxirret për prodhimin e energjisë elektrike dhe nxehtësisë. Tabela e mëposhtme paraqet disa nga teknologjitë më të përdorura</w:t>
      </w:r>
      <w:r w:rsidR="00430A79" w:rsidRPr="009F5CA1">
        <w:rPr>
          <w:rFonts w:ascii="Arial Narrow" w:eastAsia="Calibri" w:hAnsi="Arial Narrow"/>
          <w:kern w:val="2"/>
          <w:sz w:val="22"/>
          <w:szCs w:val="22"/>
          <w:lang w:val="sq-AL"/>
          <w14:ligatures w14:val="standardContextual"/>
        </w:rPr>
        <w:t>.</w:t>
      </w:r>
    </w:p>
    <w:p w14:paraId="6E4EBD18" w14:textId="77777777" w:rsidR="00430A79" w:rsidRPr="009F5CA1" w:rsidRDefault="00430A79" w:rsidP="00430A79">
      <w:pPr>
        <w:rPr>
          <w:rFonts w:ascii="Arial Narrow" w:eastAsia="Calibri" w:hAnsi="Arial Narrow"/>
          <w:kern w:val="2"/>
          <w:sz w:val="22"/>
          <w:szCs w:val="22"/>
          <w:lang w:val="sq-AL"/>
          <w14:ligatures w14:val="standardContextual"/>
        </w:rPr>
      </w:pPr>
    </w:p>
    <w:p w14:paraId="5DB9223A" w14:textId="60BD6C6C" w:rsidR="00430A79" w:rsidRPr="00430A79" w:rsidRDefault="00430A79" w:rsidP="00430A79">
      <w:pPr>
        <w:rPr>
          <w:rFonts w:ascii="Arial Narrow" w:eastAsia="Calibri" w:hAnsi="Arial Narrow" w:cs="Calibri"/>
          <w:color w:val="1F497D"/>
          <w:sz w:val="20"/>
          <w:szCs w:val="20"/>
          <w:lang w:val="en-GB"/>
        </w:rPr>
      </w:pPr>
      <w:bookmarkStart w:id="377" w:name="_Toc149729913"/>
      <w:bookmarkStart w:id="378" w:name="_Toc153381572"/>
      <w:bookmarkStart w:id="379" w:name="_Toc185866210"/>
      <w:bookmarkStart w:id="380" w:name="_Toc197472239"/>
      <w:proofErr w:type="spellStart"/>
      <w:r w:rsidRPr="00430A79">
        <w:rPr>
          <w:rFonts w:ascii="Arial Narrow" w:eastAsia="Calibri" w:hAnsi="Arial Narrow" w:cs="Calibri"/>
          <w:color w:val="1F497D"/>
          <w:sz w:val="20"/>
          <w:szCs w:val="20"/>
          <w:lang w:val="en-GB"/>
        </w:rPr>
        <w:t>Tabela</w:t>
      </w:r>
      <w:proofErr w:type="spellEnd"/>
      <w:r w:rsidRPr="00430A79">
        <w:rPr>
          <w:rFonts w:ascii="Arial Narrow" w:eastAsia="Calibri" w:hAnsi="Arial Narrow" w:cs="Calibri"/>
          <w:color w:val="1F497D"/>
          <w:sz w:val="20"/>
          <w:szCs w:val="20"/>
          <w:lang w:val="en-GB"/>
        </w:rPr>
        <w:t xml:space="preserve"> </w:t>
      </w:r>
      <w:r w:rsidRPr="00430A79">
        <w:rPr>
          <w:rFonts w:ascii="Arial Narrow" w:eastAsia="Calibri" w:hAnsi="Arial Narrow" w:cs="Calibri"/>
          <w:color w:val="1F497D"/>
          <w:sz w:val="20"/>
          <w:szCs w:val="20"/>
          <w:lang w:val="en-GB"/>
        </w:rPr>
        <w:fldChar w:fldCharType="begin"/>
      </w:r>
      <w:r w:rsidRPr="00430A79">
        <w:rPr>
          <w:rFonts w:ascii="Arial Narrow" w:eastAsia="Calibri" w:hAnsi="Arial Narrow" w:cs="Calibri"/>
          <w:color w:val="1F497D"/>
          <w:sz w:val="20"/>
          <w:szCs w:val="20"/>
          <w:lang w:val="en-GB"/>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Pr>
          <w:rFonts w:ascii="Arial Narrow" w:eastAsia="Calibri" w:hAnsi="Arial Narrow" w:cs="Calibri"/>
          <w:noProof/>
          <w:color w:val="1F497D"/>
          <w:sz w:val="20"/>
          <w:szCs w:val="20"/>
          <w:lang w:val="en-GB"/>
        </w:rPr>
        <w:t xml:space="preserve">54. </w:t>
      </w:r>
      <w:r w:rsidRPr="00430A79">
        <w:rPr>
          <w:rFonts w:ascii="Arial Narrow" w:eastAsia="Calibri" w:hAnsi="Arial Narrow" w:cs="Calibri"/>
          <w:color w:val="1F497D"/>
          <w:sz w:val="20"/>
          <w:szCs w:val="20"/>
          <w:lang w:val="en-GB"/>
        </w:rPr>
        <w:fldChar w:fldCharType="end"/>
      </w:r>
      <w:proofErr w:type="spellStart"/>
      <w:r w:rsidRPr="00430A79">
        <w:rPr>
          <w:rFonts w:ascii="Arial Narrow" w:eastAsia="Calibri" w:hAnsi="Arial Narrow" w:cs="Calibri"/>
          <w:color w:val="1F497D"/>
          <w:sz w:val="20"/>
          <w:szCs w:val="20"/>
          <w:lang w:val="en-GB"/>
        </w:rPr>
        <w:t>Teknologjitë</w:t>
      </w:r>
      <w:proofErr w:type="spellEnd"/>
      <w:r w:rsidRPr="00430A79">
        <w:rPr>
          <w:rFonts w:ascii="Arial Narrow" w:eastAsia="Calibri" w:hAnsi="Arial Narrow" w:cs="Calibri"/>
          <w:color w:val="1F497D"/>
          <w:sz w:val="20"/>
          <w:szCs w:val="20"/>
          <w:lang w:val="en-GB"/>
        </w:rPr>
        <w:t xml:space="preserve"> e </w:t>
      </w:r>
      <w:proofErr w:type="spellStart"/>
      <w:r w:rsidRPr="00430A79">
        <w:rPr>
          <w:rFonts w:ascii="Arial Narrow" w:eastAsia="Calibri" w:hAnsi="Arial Narrow" w:cs="Calibri"/>
          <w:color w:val="1F497D"/>
          <w:sz w:val="20"/>
          <w:szCs w:val="20"/>
          <w:lang w:val="en-GB"/>
        </w:rPr>
        <w:t>shndërrimit</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të</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mbeturinave</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në</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energji</w:t>
      </w:r>
      <w:bookmarkEnd w:id="377"/>
      <w:bookmarkEnd w:id="378"/>
      <w:bookmarkEnd w:id="379"/>
      <w:bookmarkEnd w:id="380"/>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9"/>
        <w:gridCol w:w="6847"/>
      </w:tblGrid>
      <w:tr w:rsidR="00430A79" w:rsidRPr="00430A79" w14:paraId="58B75F70" w14:textId="77777777" w:rsidTr="00D03949">
        <w:trPr>
          <w:tblHeader/>
        </w:trPr>
        <w:tc>
          <w:tcPr>
            <w:tcW w:w="1203" w:type="pct"/>
            <w:shd w:val="clear" w:color="auto" w:fill="365F91"/>
          </w:tcPr>
          <w:p w14:paraId="2262E31D" w14:textId="2D54B992" w:rsidR="00430A79" w:rsidRPr="00430A79" w:rsidRDefault="00430A79" w:rsidP="00430A79">
            <w:pPr>
              <w:keepNext/>
              <w:keepLines/>
              <w:tabs>
                <w:tab w:val="left" w:pos="0"/>
              </w:tabs>
              <w:spacing w:before="60" w:after="60"/>
              <w:rPr>
                <w:rFonts w:ascii="Arial Narrow" w:hAnsi="Arial Narrow" w:cs="Calibri"/>
                <w:b/>
                <w:iCs/>
                <w:color w:val="FFFFFF"/>
                <w:sz w:val="20"/>
                <w:szCs w:val="20"/>
                <w:lang w:val="fr-FR" w:eastAsia="de-DE"/>
              </w:rPr>
            </w:pPr>
            <w:proofErr w:type="spellStart"/>
            <w:r w:rsidRPr="00430A79">
              <w:rPr>
                <w:rFonts w:ascii="Arial Narrow" w:hAnsi="Arial Narrow" w:cs="Calibri"/>
                <w:b/>
                <w:iCs/>
                <w:color w:val="FFFFFF"/>
                <w:sz w:val="20"/>
                <w:szCs w:val="20"/>
                <w:lang w:val="fr-FR" w:eastAsia="de-DE"/>
              </w:rPr>
              <w:t>Teknologjitë</w:t>
            </w:r>
            <w:proofErr w:type="spellEnd"/>
            <w:r w:rsidRPr="00430A79">
              <w:rPr>
                <w:rFonts w:ascii="Arial Narrow" w:hAnsi="Arial Narrow" w:cs="Calibri"/>
                <w:b/>
                <w:iCs/>
                <w:color w:val="FFFFFF"/>
                <w:sz w:val="20"/>
                <w:szCs w:val="20"/>
                <w:lang w:val="fr-FR" w:eastAsia="de-DE"/>
              </w:rPr>
              <w:t xml:space="preserve"> </w:t>
            </w:r>
            <w:proofErr w:type="spellStart"/>
            <w:r w:rsidR="00FB4247">
              <w:rPr>
                <w:rFonts w:ascii="Arial Narrow" w:hAnsi="Arial Narrow" w:cs="Calibri"/>
                <w:b/>
                <w:iCs/>
                <w:color w:val="FFFFFF"/>
                <w:sz w:val="20"/>
                <w:szCs w:val="20"/>
                <w:lang w:val="fr-FR" w:eastAsia="de-DE"/>
              </w:rPr>
              <w:t>MpE</w:t>
            </w:r>
            <w:proofErr w:type="spellEnd"/>
          </w:p>
        </w:tc>
        <w:tc>
          <w:tcPr>
            <w:tcW w:w="3797" w:type="pct"/>
            <w:shd w:val="clear" w:color="auto" w:fill="365F91"/>
          </w:tcPr>
          <w:p w14:paraId="46AF936C" w14:textId="77777777" w:rsidR="00430A79" w:rsidRPr="00430A79" w:rsidRDefault="00430A79" w:rsidP="00430A79">
            <w:pPr>
              <w:keepNext/>
              <w:keepLines/>
              <w:tabs>
                <w:tab w:val="left" w:pos="0"/>
              </w:tabs>
              <w:spacing w:before="60" w:after="60"/>
              <w:jc w:val="center"/>
              <w:rPr>
                <w:rFonts w:ascii="Arial Narrow" w:hAnsi="Arial Narrow" w:cs="Calibri"/>
                <w:b/>
                <w:iCs/>
                <w:color w:val="FFFFFF"/>
                <w:sz w:val="20"/>
                <w:szCs w:val="20"/>
                <w:lang w:val="fr-FR" w:eastAsia="de-DE"/>
              </w:rPr>
            </w:pPr>
            <w:proofErr w:type="spellStart"/>
            <w:r w:rsidRPr="00430A79">
              <w:rPr>
                <w:rFonts w:ascii="Arial Narrow" w:hAnsi="Arial Narrow" w:cs="Calibri"/>
                <w:b/>
                <w:iCs/>
                <w:color w:val="FFFFFF"/>
                <w:sz w:val="20"/>
                <w:szCs w:val="20"/>
                <w:lang w:val="fr-FR" w:eastAsia="de-DE"/>
              </w:rPr>
              <w:t>Përshkrimi</w:t>
            </w:r>
            <w:proofErr w:type="spellEnd"/>
          </w:p>
        </w:tc>
      </w:tr>
      <w:tr w:rsidR="00430A79" w:rsidRPr="00430A79" w14:paraId="47B6BF10" w14:textId="77777777" w:rsidTr="00D03949">
        <w:tc>
          <w:tcPr>
            <w:tcW w:w="5000" w:type="pct"/>
            <w:gridSpan w:val="2"/>
          </w:tcPr>
          <w:p w14:paraId="0DD5374A" w14:textId="77777777" w:rsidR="00430A79" w:rsidRPr="00430A79" w:rsidRDefault="00430A79" w:rsidP="00430A79">
            <w:pPr>
              <w:spacing w:before="60" w:after="60"/>
              <w:ind w:firstLine="1985"/>
              <w:jc w:val="center"/>
              <w:rPr>
                <w:rFonts w:ascii="Arial Narrow" w:hAnsi="Arial Narrow" w:cs="Calibri"/>
                <w:b/>
                <w:sz w:val="20"/>
                <w:szCs w:val="20"/>
                <w:lang w:val="en-GB" w:eastAsia="bg-BG"/>
              </w:rPr>
            </w:pPr>
            <w:proofErr w:type="spellStart"/>
            <w:r w:rsidRPr="00430A79">
              <w:rPr>
                <w:rFonts w:ascii="Arial Narrow" w:hAnsi="Arial Narrow" w:cs="Calibri"/>
                <w:b/>
                <w:sz w:val="20"/>
                <w:szCs w:val="20"/>
                <w:lang w:val="en-GB" w:eastAsia="bg-BG"/>
              </w:rPr>
              <w:t>Teknologjitë</w:t>
            </w:r>
            <w:proofErr w:type="spellEnd"/>
            <w:r w:rsidRPr="00430A79">
              <w:rPr>
                <w:rFonts w:ascii="Arial Narrow" w:hAnsi="Arial Narrow" w:cs="Calibri"/>
                <w:b/>
                <w:sz w:val="20"/>
                <w:szCs w:val="20"/>
                <w:lang w:val="en-GB" w:eastAsia="bg-BG"/>
              </w:rPr>
              <w:t xml:space="preserve"> </w:t>
            </w:r>
            <w:proofErr w:type="spellStart"/>
            <w:r w:rsidRPr="00430A79">
              <w:rPr>
                <w:rFonts w:ascii="Arial Narrow" w:hAnsi="Arial Narrow" w:cs="Calibri"/>
                <w:b/>
                <w:sz w:val="20"/>
                <w:szCs w:val="20"/>
                <w:lang w:val="en-GB" w:eastAsia="bg-BG"/>
              </w:rPr>
              <w:t>termike</w:t>
            </w:r>
            <w:proofErr w:type="spellEnd"/>
          </w:p>
        </w:tc>
      </w:tr>
      <w:tr w:rsidR="00FB4247" w:rsidRPr="00430A79" w14:paraId="6CB8A55D" w14:textId="77777777" w:rsidTr="00D03949">
        <w:tc>
          <w:tcPr>
            <w:tcW w:w="1203" w:type="pct"/>
          </w:tcPr>
          <w:p w14:paraId="48CCB6F5" w14:textId="64325EDF" w:rsidR="00FB4247" w:rsidRPr="00430A79" w:rsidRDefault="00FB4247" w:rsidP="00FB4247">
            <w:pPr>
              <w:keepLines/>
              <w:tabs>
                <w:tab w:val="left" w:pos="0"/>
              </w:tabs>
              <w:spacing w:before="60" w:after="60"/>
              <w:rPr>
                <w:rFonts w:ascii="Arial Narrow" w:hAnsi="Arial Narrow" w:cs="Calibri"/>
                <w:bCs/>
                <w:iCs/>
                <w:sz w:val="20"/>
                <w:szCs w:val="20"/>
                <w:lang w:val="en-GB" w:eastAsia="de-DE"/>
              </w:rPr>
            </w:pPr>
            <w:r w:rsidRPr="00BE2534">
              <w:rPr>
                <w:rFonts w:ascii="Arial Narrow" w:hAnsi="Arial Narrow" w:cs="Calibri"/>
                <w:bCs/>
                <w:iCs/>
                <w:sz w:val="20"/>
                <w:szCs w:val="20"/>
                <w:lang w:val="sq-AL" w:eastAsia="de-DE"/>
              </w:rPr>
              <w:t>Djegia</w:t>
            </w:r>
          </w:p>
        </w:tc>
        <w:tc>
          <w:tcPr>
            <w:tcW w:w="3797" w:type="pct"/>
          </w:tcPr>
          <w:p w14:paraId="7093AF4A" w14:textId="579E2C80" w:rsidR="00FB4247" w:rsidRPr="009F5CA1" w:rsidRDefault="00FB4247" w:rsidP="00FB4247">
            <w:pPr>
              <w:keepLines/>
              <w:tabs>
                <w:tab w:val="left" w:pos="0"/>
              </w:tabs>
              <w:spacing w:before="60" w:after="60"/>
              <w:jc w:val="both"/>
              <w:rPr>
                <w:rFonts w:ascii="Arial Narrow" w:hAnsi="Arial Narrow" w:cs="Calibri"/>
                <w:bCs/>
                <w:iCs/>
                <w:sz w:val="20"/>
                <w:szCs w:val="20"/>
                <w:lang w:val="sq-AL" w:eastAsia="de-DE"/>
              </w:rPr>
            </w:pPr>
            <w:r w:rsidRPr="00BE2534">
              <w:rPr>
                <w:rFonts w:ascii="Arial Narrow" w:hAnsi="Arial Narrow" w:cs="Calibri"/>
                <w:bCs/>
                <w:iCs/>
                <w:sz w:val="20"/>
                <w:szCs w:val="20"/>
                <w:lang w:val="sq-AL" w:eastAsia="de-DE"/>
              </w:rPr>
              <w:t>Djegia e mbeturinave i referohet trajtimit të kontrolluar në temperaturë të lartë të mbeturinave, shoqëruar me trajtim/filtrim të gjerë të emetimeve në ajër dhe hirit të mbetur. Në mënyrë tipike, energjia e nxehtësisë përdoret për të prodhuar energji elektrike. Avantazhi kryesor i djegies së mbeturinave është se procesi çon në një reduktim të ndjeshëm të sasive të mbeturinave që deponohen – dhe rreth 95% e mbeturinave digjen.</w:t>
            </w:r>
          </w:p>
        </w:tc>
      </w:tr>
      <w:tr w:rsidR="00FB4247" w:rsidRPr="00430A79" w14:paraId="2306E121" w14:textId="77777777" w:rsidTr="00D03949">
        <w:tc>
          <w:tcPr>
            <w:tcW w:w="1203" w:type="pct"/>
          </w:tcPr>
          <w:p w14:paraId="02ACC7D1" w14:textId="20D21EA7" w:rsidR="00FB4247" w:rsidRPr="00430A79" w:rsidRDefault="00FB4247" w:rsidP="00FB4247">
            <w:pPr>
              <w:keepLines/>
              <w:tabs>
                <w:tab w:val="left" w:pos="0"/>
              </w:tabs>
              <w:spacing w:before="60" w:after="60"/>
              <w:rPr>
                <w:rFonts w:ascii="Arial Narrow" w:hAnsi="Arial Narrow" w:cs="Calibri"/>
                <w:bCs/>
                <w:iCs/>
                <w:sz w:val="20"/>
                <w:szCs w:val="20"/>
                <w:lang w:val="en-GB" w:eastAsia="de-DE"/>
              </w:rPr>
            </w:pPr>
            <w:r w:rsidRPr="00BE2534">
              <w:rPr>
                <w:rFonts w:ascii="Arial Narrow" w:hAnsi="Arial Narrow" w:cs="Calibri"/>
                <w:bCs/>
                <w:iCs/>
                <w:sz w:val="20"/>
                <w:szCs w:val="20"/>
                <w:lang w:val="sq-AL" w:eastAsia="de-DE"/>
              </w:rPr>
              <w:t>Gazifikimi</w:t>
            </w:r>
          </w:p>
        </w:tc>
        <w:tc>
          <w:tcPr>
            <w:tcW w:w="3797" w:type="pct"/>
          </w:tcPr>
          <w:p w14:paraId="397A471C" w14:textId="5BF2158A" w:rsidR="00FB4247" w:rsidRPr="00430A79" w:rsidRDefault="00FB4247" w:rsidP="00FB4247">
            <w:pPr>
              <w:keepLines/>
              <w:tabs>
                <w:tab w:val="left" w:pos="0"/>
              </w:tabs>
              <w:spacing w:before="60" w:after="60"/>
              <w:jc w:val="both"/>
              <w:rPr>
                <w:rFonts w:ascii="Arial Narrow" w:hAnsi="Arial Narrow" w:cs="Calibri"/>
                <w:bCs/>
                <w:iCs/>
                <w:sz w:val="20"/>
                <w:szCs w:val="20"/>
                <w:lang w:val="en-GB" w:eastAsia="de-DE"/>
              </w:rPr>
            </w:pPr>
            <w:r w:rsidRPr="00BE2534">
              <w:rPr>
                <w:rFonts w:ascii="Arial Narrow" w:hAnsi="Arial Narrow" w:cs="Calibri"/>
                <w:bCs/>
                <w:iCs/>
                <w:sz w:val="20"/>
                <w:szCs w:val="20"/>
                <w:lang w:val="sq-AL" w:eastAsia="de-DE"/>
              </w:rPr>
              <w:t>Ky është një proces termo-kimik në të cilin inputi organik nxehet në një atmosferë me mungesë oksigjeni për të prodhuar një të ashtuquajtur gaz sintetik, i cili më pas mund të përdoret si lëndë djegëse në një turbinë ose motor me djegie për të prodhuar energji elektrike ose nxehtësi.</w:t>
            </w:r>
          </w:p>
        </w:tc>
      </w:tr>
      <w:tr w:rsidR="00FB4247" w:rsidRPr="00430A79" w14:paraId="34720E78" w14:textId="77777777" w:rsidTr="00D03949">
        <w:tc>
          <w:tcPr>
            <w:tcW w:w="1203" w:type="pct"/>
          </w:tcPr>
          <w:p w14:paraId="59F7854E" w14:textId="556D747A" w:rsidR="00FB4247" w:rsidRPr="00430A79" w:rsidRDefault="00FB4247" w:rsidP="00FB4247">
            <w:pPr>
              <w:keepLines/>
              <w:tabs>
                <w:tab w:val="left" w:pos="0"/>
              </w:tabs>
              <w:spacing w:before="60" w:after="60"/>
              <w:rPr>
                <w:rFonts w:ascii="Arial Narrow" w:hAnsi="Arial Narrow" w:cs="Calibri"/>
                <w:bCs/>
                <w:iCs/>
                <w:sz w:val="20"/>
                <w:szCs w:val="20"/>
                <w:lang w:val="en-GB" w:eastAsia="de-DE"/>
              </w:rPr>
            </w:pPr>
            <w:r w:rsidRPr="00BE2534">
              <w:rPr>
                <w:rFonts w:ascii="Arial Narrow" w:hAnsi="Arial Narrow" w:cs="Calibri"/>
                <w:bCs/>
                <w:iCs/>
                <w:sz w:val="20"/>
                <w:szCs w:val="20"/>
                <w:lang w:val="sq-AL" w:eastAsia="de-DE"/>
              </w:rPr>
              <w:lastRenderedPageBreak/>
              <w:t>Depolimerizimi</w:t>
            </w:r>
          </w:p>
        </w:tc>
        <w:tc>
          <w:tcPr>
            <w:tcW w:w="3797" w:type="pct"/>
          </w:tcPr>
          <w:p w14:paraId="07C1E4C5" w14:textId="048C0758" w:rsidR="00FB4247" w:rsidRPr="009F5CA1" w:rsidRDefault="00FB4247" w:rsidP="00FB4247">
            <w:pPr>
              <w:keepLines/>
              <w:tabs>
                <w:tab w:val="left" w:pos="0"/>
              </w:tabs>
              <w:spacing w:before="60" w:after="60"/>
              <w:jc w:val="both"/>
              <w:rPr>
                <w:rFonts w:ascii="Arial Narrow" w:hAnsi="Arial Narrow" w:cs="Calibri"/>
                <w:bCs/>
                <w:iCs/>
                <w:sz w:val="20"/>
                <w:szCs w:val="20"/>
                <w:lang w:val="sq-AL" w:eastAsia="de-DE"/>
              </w:rPr>
            </w:pPr>
            <w:r w:rsidRPr="00BE2534">
              <w:rPr>
                <w:rFonts w:ascii="Arial Narrow" w:hAnsi="Arial Narrow" w:cs="Calibri"/>
                <w:bCs/>
                <w:iCs/>
                <w:sz w:val="20"/>
                <w:szCs w:val="20"/>
                <w:lang w:val="sq-AL" w:eastAsia="de-DE"/>
              </w:rPr>
              <w:t>Depolimerizimi termik (ose vajrimi) i mbeturinave i shndërron ato në një lloj karburanti me naftë. Në fakt kjo teknologji është projektuar për të punuar me lloje të ndryshme të xhiros - lloje të ndryshme materialesh organike, gome, yndyrna të të gjitha llojeve etj. Substancat e dëmshme si klori, dioksidi dhe furanet neutralizohen nga katalizatorët dhe përgatiten për asgjësim të sigurt.</w:t>
            </w:r>
          </w:p>
        </w:tc>
      </w:tr>
      <w:tr w:rsidR="00FB4247" w:rsidRPr="00430A79" w14:paraId="795308AA" w14:textId="77777777" w:rsidTr="00D03949">
        <w:tc>
          <w:tcPr>
            <w:tcW w:w="1203" w:type="pct"/>
          </w:tcPr>
          <w:p w14:paraId="16A1CE37" w14:textId="75AA7039" w:rsidR="00FB4247" w:rsidRPr="00430A79" w:rsidRDefault="00FB4247" w:rsidP="00FB4247">
            <w:pPr>
              <w:spacing w:before="60" w:after="60"/>
              <w:rPr>
                <w:rFonts w:ascii="Arial Narrow" w:hAnsi="Arial Narrow" w:cs="Calibri"/>
                <w:sz w:val="20"/>
                <w:szCs w:val="20"/>
                <w:lang w:val="en-GB" w:eastAsia="bg-BG"/>
              </w:rPr>
            </w:pPr>
            <w:r w:rsidRPr="00BE2534">
              <w:rPr>
                <w:rFonts w:ascii="Arial Narrow" w:hAnsi="Arial Narrow" w:cs="Calibri"/>
                <w:sz w:val="20"/>
                <w:szCs w:val="20"/>
                <w:lang w:val="sq-AL" w:eastAsia="bg-BG"/>
              </w:rPr>
              <w:t>Piroliza</w:t>
            </w:r>
          </w:p>
        </w:tc>
        <w:tc>
          <w:tcPr>
            <w:tcW w:w="3797" w:type="pct"/>
          </w:tcPr>
          <w:p w14:paraId="5870C56F" w14:textId="6B5A15E4" w:rsidR="00FB4247" w:rsidRPr="009F5CA1" w:rsidRDefault="00FB4247" w:rsidP="00FB4247">
            <w:pPr>
              <w:spacing w:before="60" w:after="60"/>
              <w:jc w:val="both"/>
              <w:rPr>
                <w:rFonts w:ascii="Arial Narrow" w:hAnsi="Arial Narrow" w:cs="Calibri"/>
                <w:sz w:val="20"/>
                <w:szCs w:val="20"/>
                <w:lang w:val="sq-AL" w:eastAsia="bg-BG"/>
              </w:rPr>
            </w:pPr>
            <w:r w:rsidRPr="00BE2534">
              <w:rPr>
                <w:rFonts w:ascii="Arial Narrow" w:hAnsi="Arial Narrow" w:cs="Calibri"/>
                <w:sz w:val="20"/>
                <w:szCs w:val="20"/>
                <w:lang w:val="sq-AL" w:eastAsia="bg-BG"/>
              </w:rPr>
              <w:t>Teknologjia përfshin degradimin e materialit organik në mbeturina nga nxehtësia në mungesë të oksigjenit, gjë që rezulton në prodhimin e qymyrit, produkteve të lëngshme dhe të gazta. Nëse qëllimi është të maksimizohet prodhimi i produkteve të lëngshme që rrjedhin nga piroliza e materialit organik, do të kërkohet një temperaturë e ulët me shpejtësi të lartë ngrohjeje dhe proces të shkurtër qëndrimi në gaz. Nëse qëllimi është të maksimizohet prodhimi i karbonit të lartë, atëherë do të kërkohet një temperaturë e ulët me një proces të ulët ngrohjeje. Dhe, për prodhimin e gazit me lëndë djegëse të lartë, do të zgjidhej një temperaturë e lartë me shpejtësi të ulët ngrohjeje dhe një proces të gjatë qëndrimi në gaz.</w:t>
            </w:r>
          </w:p>
        </w:tc>
      </w:tr>
      <w:tr w:rsidR="00FB4247" w:rsidRPr="00430A79" w14:paraId="22D64100" w14:textId="77777777" w:rsidTr="00D03949">
        <w:tc>
          <w:tcPr>
            <w:tcW w:w="1203" w:type="pct"/>
          </w:tcPr>
          <w:p w14:paraId="01805DB1" w14:textId="6E5BA847" w:rsidR="00FB4247" w:rsidRPr="00430A79" w:rsidRDefault="00FB4247" w:rsidP="00FB4247">
            <w:pPr>
              <w:spacing w:before="60" w:after="60"/>
              <w:rPr>
                <w:rFonts w:ascii="Arial Narrow" w:hAnsi="Arial Narrow" w:cs="Calibri"/>
                <w:sz w:val="20"/>
                <w:szCs w:val="20"/>
                <w:lang w:val="en-GB" w:eastAsia="bg-BG"/>
              </w:rPr>
            </w:pPr>
            <w:r w:rsidRPr="00BE2534">
              <w:rPr>
                <w:rFonts w:ascii="Arial Narrow" w:hAnsi="Arial Narrow" w:cs="Calibri"/>
                <w:sz w:val="20"/>
                <w:szCs w:val="20"/>
                <w:lang w:val="sq-AL" w:eastAsia="bg-BG"/>
              </w:rPr>
              <w:t>Gazifikimi i harkut plazmatik</w:t>
            </w:r>
          </w:p>
        </w:tc>
        <w:tc>
          <w:tcPr>
            <w:tcW w:w="3797" w:type="pct"/>
          </w:tcPr>
          <w:p w14:paraId="34971390" w14:textId="1DCC2975" w:rsidR="00FB4247" w:rsidRPr="009F5CA1" w:rsidRDefault="00FB4247" w:rsidP="00FB4247">
            <w:pPr>
              <w:spacing w:before="60" w:after="60"/>
              <w:jc w:val="both"/>
              <w:rPr>
                <w:rFonts w:ascii="Arial Narrow" w:hAnsi="Arial Narrow" w:cs="Calibri"/>
                <w:sz w:val="20"/>
                <w:szCs w:val="20"/>
                <w:lang w:val="sq-AL" w:eastAsia="bg-BG"/>
              </w:rPr>
            </w:pPr>
            <w:r w:rsidRPr="00BE2534">
              <w:rPr>
                <w:rFonts w:ascii="Arial Narrow" w:hAnsi="Arial Narrow" w:cs="Calibri"/>
                <w:sz w:val="20"/>
                <w:szCs w:val="20"/>
                <w:lang w:val="sq-AL" w:eastAsia="bg-BG"/>
              </w:rPr>
              <w:t>Kjo teknologji bazohet në një pajisje të quajtur konvertues plazmatik, i cili përdor energjinë elektrike për të arritur temperaturën e lartë, ku mbeturinat grupohen në gaz të thjeshtë dhe baltë mbeturinash. Gazifikimi i harkut të plazmës lejon që sasi të mëdha mbeturinash të mënjanohen nga deponia dhe të prodhojnë energji elektrike, e cila varet nga përbërja e mbeturinave hyrëse.</w:t>
            </w:r>
          </w:p>
        </w:tc>
      </w:tr>
      <w:tr w:rsidR="00430A79" w:rsidRPr="00430A79" w14:paraId="59D02B0E" w14:textId="77777777" w:rsidTr="00D03949">
        <w:tc>
          <w:tcPr>
            <w:tcW w:w="5000" w:type="pct"/>
            <w:gridSpan w:val="2"/>
          </w:tcPr>
          <w:p w14:paraId="10885922" w14:textId="77777777" w:rsidR="00430A79" w:rsidRPr="00430A79" w:rsidRDefault="00430A79" w:rsidP="00430A79">
            <w:pPr>
              <w:spacing w:before="60" w:after="60"/>
              <w:ind w:firstLine="1985"/>
              <w:jc w:val="center"/>
              <w:rPr>
                <w:rFonts w:ascii="Arial Narrow" w:hAnsi="Arial Narrow" w:cs="Calibri"/>
                <w:b/>
                <w:sz w:val="20"/>
                <w:szCs w:val="20"/>
                <w:lang w:val="en-GB" w:eastAsia="bg-BG"/>
              </w:rPr>
            </w:pPr>
            <w:proofErr w:type="spellStart"/>
            <w:r w:rsidRPr="00430A79">
              <w:rPr>
                <w:rFonts w:ascii="Arial Narrow" w:hAnsi="Arial Narrow" w:cs="Calibri"/>
                <w:b/>
                <w:sz w:val="20"/>
                <w:szCs w:val="20"/>
                <w:lang w:val="en-GB" w:eastAsia="bg-BG"/>
              </w:rPr>
              <w:t>Teknologjitë</w:t>
            </w:r>
            <w:proofErr w:type="spellEnd"/>
            <w:r w:rsidRPr="00430A79">
              <w:rPr>
                <w:rFonts w:ascii="Arial Narrow" w:hAnsi="Arial Narrow" w:cs="Calibri"/>
                <w:b/>
                <w:sz w:val="20"/>
                <w:szCs w:val="20"/>
                <w:lang w:val="en-GB" w:eastAsia="bg-BG"/>
              </w:rPr>
              <w:t xml:space="preserve"> jo-</w:t>
            </w:r>
            <w:proofErr w:type="spellStart"/>
            <w:r w:rsidRPr="00430A79">
              <w:rPr>
                <w:rFonts w:ascii="Arial Narrow" w:hAnsi="Arial Narrow" w:cs="Calibri"/>
                <w:b/>
                <w:sz w:val="20"/>
                <w:szCs w:val="20"/>
                <w:lang w:val="en-GB" w:eastAsia="bg-BG"/>
              </w:rPr>
              <w:t>termike</w:t>
            </w:r>
            <w:proofErr w:type="spellEnd"/>
          </w:p>
        </w:tc>
      </w:tr>
      <w:tr w:rsidR="00FB4247" w:rsidRPr="00430A79" w14:paraId="31D1B35B" w14:textId="77777777" w:rsidTr="00D03949">
        <w:tc>
          <w:tcPr>
            <w:tcW w:w="1203" w:type="pct"/>
          </w:tcPr>
          <w:p w14:paraId="22109509" w14:textId="64DDDA8A" w:rsidR="00FB4247" w:rsidRPr="00430A79" w:rsidRDefault="00FB4247" w:rsidP="00FB4247">
            <w:pPr>
              <w:tabs>
                <w:tab w:val="num" w:pos="1080"/>
              </w:tabs>
              <w:spacing w:before="60" w:after="60"/>
              <w:rPr>
                <w:rFonts w:ascii="Arial Narrow" w:hAnsi="Arial Narrow" w:cs="Calibri"/>
                <w:sz w:val="20"/>
                <w:szCs w:val="20"/>
                <w:lang w:val="en-GB" w:eastAsia="bg-BG"/>
              </w:rPr>
            </w:pPr>
            <w:r w:rsidRPr="00BE2534">
              <w:rPr>
                <w:rFonts w:ascii="Arial Narrow" w:hAnsi="Arial Narrow" w:cs="Calibri"/>
                <w:sz w:val="20"/>
                <w:szCs w:val="20"/>
                <w:lang w:val="sq-AL" w:eastAsia="bg-BG"/>
              </w:rPr>
              <w:t>Tretje anaerobe</w:t>
            </w:r>
          </w:p>
        </w:tc>
        <w:tc>
          <w:tcPr>
            <w:tcW w:w="3797" w:type="pct"/>
          </w:tcPr>
          <w:p w14:paraId="71324D70" w14:textId="1683097B" w:rsidR="00FB4247" w:rsidRPr="009F5CA1" w:rsidRDefault="00FB4247" w:rsidP="00FB4247">
            <w:pPr>
              <w:spacing w:before="60" w:after="60"/>
              <w:jc w:val="both"/>
              <w:rPr>
                <w:rFonts w:ascii="Arial Narrow" w:hAnsi="Arial Narrow" w:cs="Calibri"/>
                <w:sz w:val="20"/>
                <w:szCs w:val="20"/>
                <w:lang w:val="sq-AL" w:eastAsia="bg-BG"/>
              </w:rPr>
            </w:pPr>
            <w:r w:rsidRPr="00BE2534">
              <w:rPr>
                <w:rFonts w:ascii="Arial Narrow" w:hAnsi="Arial Narrow" w:cs="Calibri"/>
                <w:sz w:val="20"/>
                <w:szCs w:val="20"/>
                <w:lang w:val="sq-AL" w:eastAsia="bg-BG"/>
              </w:rPr>
              <w:t>Pjesa organike në mbetuirna dekompozohet dhe mineralizohet pjesërisht në një mjedis pa oksigjen. Si rezultat gjenerohet metani dhe ai mund të përdoret për të gjeneruar energji elektrike ose nxehtësi. Në varësi të cilësisë së prodhimit nga procesi, ai ose mund të përdoret drejtpërdrejt si kondicioner i tokës, ose, nëse ende nuk është plotësisht i degraduar, mund të kompostohet më tej. Tretja anaerobe nuk kërkon zona të mëdha, megjithatë praktika tregon se zakonisht është një qasje më e kushtueshme sesa sistemet e trajtimit aerobik.</w:t>
            </w:r>
          </w:p>
        </w:tc>
      </w:tr>
      <w:tr w:rsidR="00430A79" w:rsidRPr="00430A79" w14:paraId="1C1DC79C" w14:textId="77777777" w:rsidTr="00D03949">
        <w:tc>
          <w:tcPr>
            <w:tcW w:w="1203" w:type="pct"/>
          </w:tcPr>
          <w:p w14:paraId="54DA72AA" w14:textId="77777777" w:rsidR="00430A79" w:rsidRPr="00430A79" w:rsidRDefault="00430A79" w:rsidP="00430A79">
            <w:pPr>
              <w:spacing w:before="60" w:after="60"/>
              <w:rPr>
                <w:rFonts w:ascii="Arial Narrow" w:hAnsi="Arial Narrow" w:cs="Calibri"/>
                <w:sz w:val="20"/>
                <w:szCs w:val="20"/>
                <w:lang w:val="en-GB" w:eastAsia="bg-BG"/>
              </w:rPr>
            </w:pPr>
            <w:proofErr w:type="spellStart"/>
            <w:r w:rsidRPr="00430A79">
              <w:rPr>
                <w:rFonts w:ascii="Arial Narrow" w:hAnsi="Arial Narrow" w:cs="Calibri"/>
                <w:sz w:val="20"/>
                <w:szCs w:val="20"/>
                <w:lang w:val="en-GB" w:eastAsia="bg-BG"/>
              </w:rPr>
              <w:t>Trajtim</w:t>
            </w:r>
            <w:proofErr w:type="spellEnd"/>
            <w:r w:rsidRPr="00430A79">
              <w:rPr>
                <w:rFonts w:ascii="Arial Narrow" w:hAnsi="Arial Narrow" w:cs="Calibri"/>
                <w:sz w:val="20"/>
                <w:szCs w:val="20"/>
                <w:lang w:val="en-GB" w:eastAsia="bg-BG"/>
              </w:rPr>
              <w:t xml:space="preserve"> </w:t>
            </w:r>
            <w:proofErr w:type="spellStart"/>
            <w:r w:rsidRPr="00430A79">
              <w:rPr>
                <w:rFonts w:ascii="Arial Narrow" w:hAnsi="Arial Narrow" w:cs="Calibri"/>
                <w:sz w:val="20"/>
                <w:szCs w:val="20"/>
                <w:lang w:val="en-GB" w:eastAsia="bg-BG"/>
              </w:rPr>
              <w:t>mekanik</w:t>
            </w:r>
            <w:proofErr w:type="spellEnd"/>
            <w:r w:rsidRPr="00430A79">
              <w:rPr>
                <w:rFonts w:ascii="Arial Narrow" w:hAnsi="Arial Narrow" w:cs="Calibri"/>
                <w:sz w:val="20"/>
                <w:szCs w:val="20"/>
                <w:lang w:val="en-GB" w:eastAsia="bg-BG"/>
              </w:rPr>
              <w:t xml:space="preserve"> </w:t>
            </w:r>
            <w:proofErr w:type="spellStart"/>
            <w:r w:rsidRPr="00430A79">
              <w:rPr>
                <w:rFonts w:ascii="Arial Narrow" w:hAnsi="Arial Narrow" w:cs="Calibri"/>
                <w:sz w:val="20"/>
                <w:szCs w:val="20"/>
                <w:lang w:val="en-GB" w:eastAsia="bg-BG"/>
              </w:rPr>
              <w:t>biologjik</w:t>
            </w:r>
            <w:proofErr w:type="spellEnd"/>
          </w:p>
        </w:tc>
        <w:tc>
          <w:tcPr>
            <w:tcW w:w="3797" w:type="pct"/>
          </w:tcPr>
          <w:p w14:paraId="5B6DBDF8" w14:textId="72A1A6E4" w:rsidR="00430A79" w:rsidRPr="00430A79" w:rsidRDefault="00430A79" w:rsidP="00430A79">
            <w:pPr>
              <w:spacing w:before="60" w:after="60"/>
              <w:rPr>
                <w:rFonts w:ascii="Arial Narrow" w:hAnsi="Arial Narrow" w:cs="Calibri"/>
                <w:sz w:val="20"/>
                <w:szCs w:val="20"/>
                <w:lang w:val="en-GB" w:eastAsia="bg-BG"/>
              </w:rPr>
            </w:pPr>
            <w:r w:rsidRPr="00430A79">
              <w:rPr>
                <w:rFonts w:ascii="Arial Narrow" w:hAnsi="Arial Narrow" w:cs="Calibri"/>
                <w:sz w:val="20"/>
                <w:szCs w:val="20"/>
                <w:lang w:val="en-GB" w:eastAsia="bg-BG"/>
              </w:rPr>
              <w:t xml:space="preserve">Disa </w:t>
            </w:r>
            <w:proofErr w:type="spellStart"/>
            <w:r w:rsidRPr="00430A79">
              <w:rPr>
                <w:rFonts w:ascii="Arial Narrow" w:hAnsi="Arial Narrow" w:cs="Calibri"/>
                <w:sz w:val="20"/>
                <w:szCs w:val="20"/>
                <w:lang w:val="en-GB" w:eastAsia="bg-BG"/>
              </w:rPr>
              <w:t>teknologji</w:t>
            </w:r>
            <w:proofErr w:type="spellEnd"/>
            <w:r w:rsidRPr="00430A79">
              <w:rPr>
                <w:rFonts w:ascii="Arial Narrow" w:hAnsi="Arial Narrow" w:cs="Calibri"/>
                <w:sz w:val="20"/>
                <w:szCs w:val="20"/>
                <w:lang w:val="en-GB" w:eastAsia="bg-BG"/>
              </w:rPr>
              <w:t xml:space="preserve"> MBT </w:t>
            </w:r>
            <w:proofErr w:type="spellStart"/>
            <w:r w:rsidRPr="00430A79">
              <w:rPr>
                <w:rFonts w:ascii="Arial Narrow" w:hAnsi="Arial Narrow" w:cs="Calibri"/>
                <w:sz w:val="20"/>
                <w:szCs w:val="20"/>
                <w:lang w:val="en-GB" w:eastAsia="bg-BG"/>
              </w:rPr>
              <w:t>përshkruhen</w:t>
            </w:r>
            <w:proofErr w:type="spellEnd"/>
            <w:r w:rsidRPr="00430A79">
              <w:rPr>
                <w:rFonts w:ascii="Arial Narrow" w:hAnsi="Arial Narrow" w:cs="Calibri"/>
                <w:sz w:val="20"/>
                <w:szCs w:val="20"/>
                <w:lang w:val="en-GB" w:eastAsia="bg-BG"/>
              </w:rPr>
              <w:t xml:space="preserve"> </w:t>
            </w:r>
            <w:proofErr w:type="spellStart"/>
            <w:r w:rsidR="00FB4247">
              <w:rPr>
                <w:rFonts w:ascii="Arial Narrow" w:hAnsi="Arial Narrow" w:cs="Calibri"/>
                <w:sz w:val="20"/>
                <w:szCs w:val="20"/>
                <w:lang w:val="en-GB" w:eastAsia="bg-BG"/>
              </w:rPr>
              <w:t>më</w:t>
            </w:r>
            <w:proofErr w:type="spellEnd"/>
            <w:r w:rsidR="00FB4247">
              <w:rPr>
                <w:rFonts w:ascii="Arial Narrow" w:hAnsi="Arial Narrow" w:cs="Calibri"/>
                <w:sz w:val="20"/>
                <w:szCs w:val="20"/>
                <w:lang w:val="en-GB" w:eastAsia="bg-BG"/>
              </w:rPr>
              <w:t xml:space="preserve"> </w:t>
            </w:r>
            <w:proofErr w:type="spellStart"/>
            <w:r w:rsidR="00FB4247">
              <w:rPr>
                <w:rFonts w:ascii="Arial Narrow" w:hAnsi="Arial Narrow" w:cs="Calibri"/>
                <w:sz w:val="20"/>
                <w:szCs w:val="20"/>
                <w:lang w:val="en-GB" w:eastAsia="bg-BG"/>
              </w:rPr>
              <w:t>poshtë</w:t>
            </w:r>
            <w:proofErr w:type="spellEnd"/>
            <w:r w:rsidR="00FB4247">
              <w:rPr>
                <w:rFonts w:ascii="Arial Narrow" w:hAnsi="Arial Narrow" w:cs="Calibri"/>
                <w:sz w:val="20"/>
                <w:szCs w:val="20"/>
                <w:lang w:val="en-GB" w:eastAsia="bg-BG"/>
              </w:rPr>
              <w:t xml:space="preserve"> </w:t>
            </w:r>
            <w:proofErr w:type="spellStart"/>
            <w:r w:rsidRPr="00430A79">
              <w:rPr>
                <w:rFonts w:ascii="Arial Narrow" w:hAnsi="Arial Narrow" w:cs="Calibri"/>
                <w:sz w:val="20"/>
                <w:szCs w:val="20"/>
                <w:lang w:val="en-GB" w:eastAsia="bg-BG"/>
              </w:rPr>
              <w:t>në</w:t>
            </w:r>
            <w:proofErr w:type="spellEnd"/>
            <w:r w:rsidRPr="00430A79">
              <w:rPr>
                <w:rFonts w:ascii="Arial Narrow" w:hAnsi="Arial Narrow" w:cs="Calibri"/>
                <w:sz w:val="20"/>
                <w:szCs w:val="20"/>
                <w:lang w:val="en-GB" w:eastAsia="bg-BG"/>
              </w:rPr>
              <w:t xml:space="preserve"> </w:t>
            </w:r>
            <w:proofErr w:type="spellStart"/>
            <w:r w:rsidRPr="00430A79">
              <w:rPr>
                <w:rFonts w:ascii="Arial Narrow" w:hAnsi="Arial Narrow" w:cs="Calibri"/>
                <w:sz w:val="20"/>
                <w:szCs w:val="20"/>
                <w:lang w:val="en-GB" w:eastAsia="bg-BG"/>
              </w:rPr>
              <w:t>seksionin</w:t>
            </w:r>
            <w:proofErr w:type="spellEnd"/>
            <w:r w:rsidRPr="00430A79">
              <w:rPr>
                <w:rFonts w:ascii="Arial Narrow" w:hAnsi="Arial Narrow" w:cs="Calibri"/>
                <w:sz w:val="20"/>
                <w:szCs w:val="20"/>
                <w:lang w:val="en-GB" w:eastAsia="bg-BG"/>
              </w:rPr>
              <w:t xml:space="preserve"> 4.1.3.2.</w:t>
            </w:r>
          </w:p>
        </w:tc>
      </w:tr>
      <w:tr w:rsidR="00430A79" w:rsidRPr="00430A79" w14:paraId="5D0A089A" w14:textId="77777777" w:rsidTr="00D03949">
        <w:tc>
          <w:tcPr>
            <w:tcW w:w="5000" w:type="pct"/>
            <w:gridSpan w:val="2"/>
          </w:tcPr>
          <w:p w14:paraId="3D7F7075" w14:textId="5C498205" w:rsidR="00430A79" w:rsidRPr="00430A79" w:rsidRDefault="00FB4247" w:rsidP="00430A79">
            <w:pPr>
              <w:spacing w:before="60" w:after="60"/>
              <w:ind w:firstLine="1985"/>
              <w:jc w:val="center"/>
              <w:rPr>
                <w:rFonts w:ascii="Arial Narrow" w:hAnsi="Arial Narrow" w:cs="Calibri"/>
                <w:b/>
                <w:sz w:val="20"/>
                <w:szCs w:val="20"/>
                <w:lang w:val="en-GB" w:eastAsia="bg-BG"/>
              </w:rPr>
            </w:pPr>
            <w:proofErr w:type="spellStart"/>
            <w:r>
              <w:rPr>
                <w:rFonts w:ascii="Arial Narrow" w:hAnsi="Arial Narrow" w:cs="Calibri"/>
                <w:b/>
                <w:sz w:val="20"/>
                <w:szCs w:val="20"/>
                <w:lang w:val="en-GB" w:eastAsia="bg-BG"/>
              </w:rPr>
              <w:t>Shfrytëzimi</w:t>
            </w:r>
            <w:proofErr w:type="spellEnd"/>
            <w:r>
              <w:rPr>
                <w:rFonts w:ascii="Arial Narrow" w:hAnsi="Arial Narrow" w:cs="Calibri"/>
                <w:b/>
                <w:sz w:val="20"/>
                <w:szCs w:val="20"/>
                <w:lang w:val="en-GB" w:eastAsia="bg-BG"/>
              </w:rPr>
              <w:t xml:space="preserve"> </w:t>
            </w:r>
            <w:r w:rsidR="00430A79" w:rsidRPr="00430A79">
              <w:rPr>
                <w:rFonts w:ascii="Arial Narrow" w:hAnsi="Arial Narrow" w:cs="Calibri"/>
                <w:b/>
                <w:sz w:val="20"/>
                <w:szCs w:val="20"/>
                <w:lang w:val="en-GB" w:eastAsia="bg-BG"/>
              </w:rPr>
              <w:t xml:space="preserve">i </w:t>
            </w:r>
            <w:proofErr w:type="spellStart"/>
            <w:r w:rsidR="00430A79" w:rsidRPr="00430A79">
              <w:rPr>
                <w:rFonts w:ascii="Arial Narrow" w:hAnsi="Arial Narrow" w:cs="Calibri"/>
                <w:b/>
                <w:sz w:val="20"/>
                <w:szCs w:val="20"/>
                <w:lang w:val="en-GB" w:eastAsia="bg-BG"/>
              </w:rPr>
              <w:t>gazit</w:t>
            </w:r>
            <w:proofErr w:type="spellEnd"/>
            <w:r w:rsidR="00430A79" w:rsidRPr="00430A79">
              <w:rPr>
                <w:rFonts w:ascii="Arial Narrow" w:hAnsi="Arial Narrow" w:cs="Calibri"/>
                <w:b/>
                <w:sz w:val="20"/>
                <w:szCs w:val="20"/>
                <w:lang w:val="en-GB" w:eastAsia="bg-BG"/>
              </w:rPr>
              <w:t xml:space="preserve"> </w:t>
            </w:r>
            <w:proofErr w:type="spellStart"/>
            <w:r w:rsidR="00430A79" w:rsidRPr="00430A79">
              <w:rPr>
                <w:rFonts w:ascii="Arial Narrow" w:hAnsi="Arial Narrow" w:cs="Calibri"/>
                <w:b/>
                <w:sz w:val="20"/>
                <w:szCs w:val="20"/>
                <w:lang w:val="en-GB" w:eastAsia="bg-BG"/>
              </w:rPr>
              <w:t>të</w:t>
            </w:r>
            <w:proofErr w:type="spellEnd"/>
            <w:r w:rsidR="00430A79" w:rsidRPr="00430A79">
              <w:rPr>
                <w:rFonts w:ascii="Arial Narrow" w:hAnsi="Arial Narrow" w:cs="Calibri"/>
                <w:b/>
                <w:sz w:val="20"/>
                <w:szCs w:val="20"/>
                <w:lang w:val="en-GB" w:eastAsia="bg-BG"/>
              </w:rPr>
              <w:t xml:space="preserve"> </w:t>
            </w:r>
            <w:proofErr w:type="spellStart"/>
            <w:r w:rsidR="00430A79" w:rsidRPr="00430A79">
              <w:rPr>
                <w:rFonts w:ascii="Arial Narrow" w:hAnsi="Arial Narrow" w:cs="Calibri"/>
                <w:b/>
                <w:sz w:val="20"/>
                <w:szCs w:val="20"/>
                <w:lang w:val="en-GB" w:eastAsia="bg-BG"/>
              </w:rPr>
              <w:t>deponive</w:t>
            </w:r>
            <w:proofErr w:type="spellEnd"/>
          </w:p>
        </w:tc>
      </w:tr>
      <w:tr w:rsidR="00FB4247" w:rsidRPr="00430A79" w14:paraId="177B9CF6" w14:textId="77777777" w:rsidTr="00D03949">
        <w:tc>
          <w:tcPr>
            <w:tcW w:w="1203" w:type="pct"/>
          </w:tcPr>
          <w:p w14:paraId="64F8DC73" w14:textId="7261C4CE" w:rsidR="00FB4247" w:rsidRPr="00430A79" w:rsidRDefault="00FB4247" w:rsidP="00FB4247">
            <w:pPr>
              <w:spacing w:before="60" w:after="60"/>
              <w:rPr>
                <w:rFonts w:ascii="Arial Narrow" w:hAnsi="Arial Narrow" w:cs="Calibri"/>
                <w:sz w:val="20"/>
                <w:szCs w:val="20"/>
                <w:lang w:val="en-GB" w:eastAsia="bg-BG"/>
              </w:rPr>
            </w:pPr>
            <w:r w:rsidRPr="00BE2534">
              <w:rPr>
                <w:rFonts w:ascii="Arial Narrow" w:hAnsi="Arial Narrow" w:cs="Calibri"/>
                <w:sz w:val="20"/>
                <w:szCs w:val="20"/>
                <w:lang w:val="sq-AL" w:eastAsia="bg-BG"/>
              </w:rPr>
              <w:t>Shfrytëzimi i gazit në deponi</w:t>
            </w:r>
          </w:p>
        </w:tc>
        <w:tc>
          <w:tcPr>
            <w:tcW w:w="3797" w:type="pct"/>
          </w:tcPr>
          <w:p w14:paraId="3A2E262F" w14:textId="33D76C3E" w:rsidR="00FB4247" w:rsidRPr="009F5CA1" w:rsidRDefault="00FB4247" w:rsidP="00FB4247">
            <w:pPr>
              <w:spacing w:before="60" w:after="60"/>
              <w:jc w:val="both"/>
              <w:rPr>
                <w:rFonts w:ascii="Arial Narrow" w:hAnsi="Arial Narrow" w:cs="Calibri"/>
                <w:sz w:val="20"/>
                <w:szCs w:val="20"/>
                <w:lang w:val="sq-AL" w:eastAsia="bg-BG"/>
              </w:rPr>
            </w:pPr>
            <w:r w:rsidRPr="00BE2534">
              <w:rPr>
                <w:rFonts w:ascii="Arial Narrow" w:hAnsi="Arial Narrow" w:cs="Calibri"/>
                <w:sz w:val="20"/>
                <w:szCs w:val="20"/>
                <w:lang w:val="sq-AL" w:eastAsia="bg-BG"/>
              </w:rPr>
              <w:t>Megjithëse deponia e mbeturinave nuk është një opsion trajtimi, metani që prodhohet nga degradimi i mbeturinave organike mund të përdoret për të gjeneruar energji. Ky opsion mbështetet në fizibilitetin e teknologjive për kapjen e gazit të deponisë, nxjerrjen e metanit dhe përdorimin e tij direkt si lëndë djegëse dhe për prodhimin e energjisë elektrike. Kjo është një metodë me kosto relativisht të ulët për rikuperimin e energjisë nga mbeturinat organike. Prodhimi i metanit ndryshon shumë nga deponia në deponi në varësi të karakteristikave specifike të vendit , si p.sh. mbeturinat e deponuara, përbërja e mbeturinave, përmbajtja e lagështisë, dizajni i deponisë dhe praktikat e funksionimit.</w:t>
            </w:r>
          </w:p>
        </w:tc>
      </w:tr>
    </w:tbl>
    <w:p w14:paraId="7C415292" w14:textId="77777777" w:rsidR="00430A79" w:rsidRPr="009F5CA1" w:rsidRDefault="00430A79" w:rsidP="00430A79">
      <w:pPr>
        <w:rPr>
          <w:rFonts w:ascii="Arial Narrow" w:eastAsia="Calibri" w:hAnsi="Arial Narrow"/>
          <w:kern w:val="2"/>
          <w:sz w:val="22"/>
          <w:szCs w:val="22"/>
          <w:lang w:val="sq-AL"/>
          <w14:ligatures w14:val="standardContextual"/>
        </w:rPr>
      </w:pPr>
    </w:p>
    <w:p w14:paraId="0D477D87" w14:textId="77777777" w:rsidR="00FB4247" w:rsidRPr="00BE2534" w:rsidRDefault="00FB4247" w:rsidP="00FB4247">
      <w:pPr>
        <w:jc w:val="both"/>
        <w:rPr>
          <w:rFonts w:ascii="Arial Narrow" w:hAnsi="Arial Narrow" w:cs="Calibri"/>
          <w:sz w:val="22"/>
          <w:szCs w:val="22"/>
          <w:lang w:val="sq-AL" w:eastAsia="bg-BG"/>
        </w:rPr>
      </w:pPr>
      <w:r w:rsidRPr="00BE2534">
        <w:rPr>
          <w:rFonts w:ascii="Arial Narrow" w:hAnsi="Arial Narrow" w:cs="Calibri"/>
          <w:sz w:val="22"/>
          <w:szCs w:val="22"/>
          <w:lang w:val="sq-AL" w:eastAsia="bg-BG"/>
        </w:rPr>
        <w:t xml:space="preserve">Kostot e lidhura me depolimerizimin termik, pirolizën dhe gazifikimin e harkut të plazmës janë të ngjashme me djegien e mbeturinave komunale inerte – mbi </w:t>
      </w:r>
      <w:r w:rsidRPr="00BE2534">
        <w:rPr>
          <w:rFonts w:ascii="Arial Narrow" w:hAnsi="Arial Narrow" w:cs="Calibri"/>
          <w:color w:val="000000"/>
          <w:sz w:val="22"/>
          <w:szCs w:val="22"/>
          <w:lang w:val="sq-AL" w:eastAsia="de-DE"/>
        </w:rPr>
        <w:t>100-200 €/t (kosto totale)</w:t>
      </w:r>
      <w:r w:rsidRPr="00BE2534">
        <w:rPr>
          <w:rFonts w:ascii="Arial Narrow" w:hAnsi="Arial Narrow" w:cs="Calibri"/>
          <w:color w:val="000000"/>
          <w:sz w:val="22"/>
          <w:szCs w:val="22"/>
          <w:vertAlign w:val="superscript"/>
          <w:lang w:val="sq-AL" w:eastAsia="de-DE"/>
        </w:rPr>
        <w:footnoteReference w:id="29"/>
      </w:r>
      <w:r w:rsidRPr="00BE2534">
        <w:rPr>
          <w:rFonts w:ascii="Arial Narrow" w:hAnsi="Arial Narrow" w:cs="Calibri"/>
          <w:color w:val="000000"/>
          <w:sz w:val="22"/>
          <w:szCs w:val="22"/>
          <w:lang w:val="sq-AL" w:eastAsia="de-DE"/>
        </w:rPr>
        <w:t xml:space="preserve">. </w:t>
      </w:r>
      <w:r w:rsidRPr="00BE2534">
        <w:rPr>
          <w:rFonts w:ascii="Arial Narrow" w:hAnsi="Arial Narrow" w:cs="Calibri"/>
          <w:sz w:val="22"/>
          <w:szCs w:val="22"/>
          <w:lang w:val="sq-AL" w:eastAsia="bg-BG"/>
        </w:rPr>
        <w:t xml:space="preserve">Ashtu si djegia e MKI, zbatimi i teknologjive termike MpE në ZMM do të ishte shumë i kushtueshëm dhe kostot e shërbimit të MMI do të rriteshin në një nivel që do ta bënte mbulimin e kostos të paarritshëm. Prandaj, </w:t>
      </w:r>
      <w:r w:rsidRPr="00BE2534">
        <w:rPr>
          <w:rFonts w:ascii="Arial Narrow" w:hAnsi="Arial Narrow" w:cs="Calibri"/>
          <w:b/>
          <w:bCs/>
          <w:sz w:val="22"/>
          <w:szCs w:val="22"/>
          <w:lang w:val="sq-AL" w:eastAsia="bg-BG"/>
        </w:rPr>
        <w:t>zbatimi i teknologjive MpE në ZMM nuk konsiderohet më tej në PNMIM</w:t>
      </w:r>
      <w:r w:rsidRPr="00BE2534">
        <w:rPr>
          <w:rFonts w:ascii="Arial Narrow" w:hAnsi="Arial Narrow" w:cs="Calibri"/>
          <w:sz w:val="22"/>
          <w:szCs w:val="22"/>
          <w:lang w:val="sq-AL" w:eastAsia="bg-BG"/>
        </w:rPr>
        <w:t>.</w:t>
      </w:r>
    </w:p>
    <w:p w14:paraId="0AA767A2" w14:textId="77777777" w:rsidR="00FB4247" w:rsidRPr="00BE2534" w:rsidRDefault="00FB4247" w:rsidP="00FB4247">
      <w:pPr>
        <w:jc w:val="both"/>
        <w:rPr>
          <w:rFonts w:ascii="Arial Narrow" w:hAnsi="Arial Narrow" w:cs="Calibri"/>
          <w:sz w:val="22"/>
          <w:szCs w:val="22"/>
          <w:lang w:val="sq-AL" w:eastAsia="bg-BG"/>
        </w:rPr>
      </w:pPr>
    </w:p>
    <w:p w14:paraId="533F5F2F" w14:textId="77777777" w:rsidR="00FB4247" w:rsidRPr="00BE2534" w:rsidRDefault="00FB4247" w:rsidP="00FB4247">
      <w:pPr>
        <w:jc w:val="both"/>
        <w:rPr>
          <w:rFonts w:ascii="Arial Narrow" w:hAnsi="Arial Narrow" w:cs="Calibri"/>
          <w:sz w:val="22"/>
          <w:szCs w:val="22"/>
          <w:lang w:val="sq-AL" w:eastAsia="bg-BG"/>
        </w:rPr>
      </w:pPr>
      <w:r w:rsidRPr="00BE2534">
        <w:rPr>
          <w:rFonts w:ascii="Arial Narrow" w:hAnsi="Arial Narrow" w:cs="Calibri"/>
          <w:sz w:val="22"/>
          <w:szCs w:val="22"/>
          <w:lang w:val="sq-AL" w:eastAsia="bg-BG"/>
        </w:rPr>
        <w:t>Kostot e lidhura me tretjen anaerobe (TA) në vendet e BE-së janë brenda intervalit 25-50 €/t (kostot operacionale dhe të mirëmbajtjes) ose 50-90 €/t (kostot totale)</w:t>
      </w:r>
      <w:r w:rsidRPr="00BE2534">
        <w:rPr>
          <w:rFonts w:ascii="Arial Narrow" w:hAnsi="Arial Narrow" w:cs="Calibri"/>
          <w:sz w:val="22"/>
          <w:szCs w:val="22"/>
          <w:vertAlign w:val="superscript"/>
          <w:lang w:val="sq-AL" w:eastAsia="bg-BG"/>
        </w:rPr>
        <w:footnoteReference w:id="30"/>
      </w:r>
      <w:r w:rsidRPr="00BE2534">
        <w:rPr>
          <w:rFonts w:ascii="Arial Narrow" w:hAnsi="Arial Narrow" w:cs="Calibri"/>
          <w:sz w:val="22"/>
          <w:szCs w:val="22"/>
          <w:lang w:val="sq-AL" w:eastAsia="bg-BG"/>
        </w:rPr>
        <w:t xml:space="preserve"> dhe janë teknologjikisht të besueshme kur aplikohen vetëm për mbeturina organike të mbledhura </w:t>
      </w:r>
      <w:r>
        <w:rPr>
          <w:rFonts w:ascii="Arial Narrow" w:hAnsi="Arial Narrow" w:cs="Calibri"/>
          <w:sz w:val="22"/>
          <w:szCs w:val="22"/>
          <w:lang w:val="sq-AL" w:eastAsia="bg-BG"/>
        </w:rPr>
        <w:t>ndaras</w:t>
      </w:r>
      <w:r w:rsidRPr="00BE2534">
        <w:rPr>
          <w:rFonts w:ascii="Arial Narrow" w:hAnsi="Arial Narrow" w:cs="Calibri"/>
          <w:sz w:val="22"/>
          <w:szCs w:val="22"/>
          <w:lang w:val="sq-AL" w:eastAsia="bg-BG"/>
        </w:rPr>
        <w:t xml:space="preserve">. Duke marrë parasysh objektivin për riciklimin 50% të MKI deri në vitin </w:t>
      </w:r>
      <w:r w:rsidRPr="00BE2534">
        <w:rPr>
          <w:rFonts w:ascii="Arial Narrow" w:hAnsi="Arial Narrow" w:cs="Calibri"/>
          <w:sz w:val="22"/>
          <w:szCs w:val="22"/>
          <w:lang w:val="sq-AL" w:eastAsia="bg-BG"/>
        </w:rPr>
        <w:lastRenderedPageBreak/>
        <w:t>2035, bëhet e qartë se TA do të duhet të merret parasysh për periudhën pas vitit 2030 në mënyrë që të arrihen objektivat e riciklimit.</w:t>
      </w:r>
    </w:p>
    <w:p w14:paraId="413363CB" w14:textId="77777777" w:rsidR="00FB4247" w:rsidRPr="00BE2534" w:rsidRDefault="00FB4247" w:rsidP="00FB4247">
      <w:pPr>
        <w:jc w:val="both"/>
        <w:rPr>
          <w:rFonts w:ascii="Arial Narrow" w:hAnsi="Arial Narrow" w:cs="Calibri"/>
          <w:sz w:val="22"/>
          <w:szCs w:val="22"/>
          <w:lang w:val="sq-AL" w:eastAsia="bg-BG"/>
        </w:rPr>
      </w:pPr>
    </w:p>
    <w:p w14:paraId="735E1DBB" w14:textId="6B8834CA" w:rsidR="00430A79" w:rsidRPr="009F5CA1" w:rsidRDefault="00FB4247" w:rsidP="00FB4247">
      <w:pPr>
        <w:jc w:val="both"/>
        <w:rPr>
          <w:rFonts w:ascii="Arial Narrow" w:hAnsi="Arial Narrow" w:cs="Calibri"/>
          <w:sz w:val="22"/>
          <w:szCs w:val="22"/>
          <w:lang w:val="sq-AL" w:eastAsia="bg-BG"/>
        </w:rPr>
      </w:pPr>
      <w:r w:rsidRPr="00BE2534">
        <w:rPr>
          <w:rFonts w:ascii="Arial Narrow" w:hAnsi="Arial Narrow" w:cs="Calibri"/>
          <w:sz w:val="22"/>
          <w:szCs w:val="22"/>
          <w:lang w:val="sq-AL" w:eastAsia="bg-BG"/>
        </w:rPr>
        <w:t>Megjithatë, duke qenë se kostot që lidhen me teknologjitë jotermike, veçanërisht trajtimin mekanik-biologjik (TMB), janë dukshëm më të ulëta se teknologjitë termike, seksioni në vijim do të ofrojë analiza të opsioneve të mundshme për trajtimin mekanik-biologjik në ZMM</w:t>
      </w:r>
      <w:r w:rsidR="00430A79" w:rsidRPr="009F5CA1">
        <w:rPr>
          <w:rFonts w:ascii="Arial Narrow" w:hAnsi="Arial Narrow" w:cs="Calibri"/>
          <w:sz w:val="22"/>
          <w:szCs w:val="22"/>
          <w:lang w:val="sq-AL" w:eastAsia="bg-BG"/>
        </w:rPr>
        <w:t>.</w:t>
      </w:r>
    </w:p>
    <w:p w14:paraId="1094A7C0" w14:textId="77777777" w:rsidR="002E4DDE" w:rsidRPr="009F5CA1" w:rsidRDefault="002E4DDE" w:rsidP="00430A79">
      <w:pPr>
        <w:jc w:val="both"/>
        <w:rPr>
          <w:rFonts w:ascii="Arial Narrow" w:hAnsi="Arial Narrow" w:cs="Calibri"/>
          <w:sz w:val="22"/>
          <w:szCs w:val="22"/>
          <w:lang w:val="sq-AL" w:eastAsia="bg-BG"/>
        </w:rPr>
      </w:pPr>
    </w:p>
    <w:p w14:paraId="7CA77655" w14:textId="116D55BD" w:rsidR="00430A79" w:rsidRPr="00430A79" w:rsidRDefault="00430A79" w:rsidP="002E4DDE">
      <w:pPr>
        <w:rPr>
          <w:rFonts w:ascii="Arial Narrow" w:eastAsiaTheme="majorEastAsia" w:hAnsi="Arial Narrow"/>
          <w:b/>
          <w:bCs/>
          <w:sz w:val="22"/>
          <w:szCs w:val="22"/>
        </w:rPr>
      </w:pPr>
      <w:bookmarkStart w:id="381" w:name="_Toc185866125"/>
      <w:r w:rsidRPr="00430A79">
        <w:rPr>
          <w:rFonts w:ascii="Arial Narrow" w:eastAsiaTheme="majorEastAsia" w:hAnsi="Arial Narrow"/>
          <w:b/>
          <w:bCs/>
          <w:sz w:val="22"/>
          <w:szCs w:val="22"/>
        </w:rPr>
        <w:t>Trajtimi mekanik biologjik (</w:t>
      </w:r>
      <w:r w:rsidR="0095342A">
        <w:rPr>
          <w:rFonts w:ascii="Arial Narrow" w:eastAsiaTheme="majorEastAsia" w:hAnsi="Arial Narrow"/>
          <w:b/>
          <w:bCs/>
          <w:sz w:val="22"/>
          <w:szCs w:val="22"/>
        </w:rPr>
        <w:t>T</w:t>
      </w:r>
      <w:r w:rsidRPr="00430A79">
        <w:rPr>
          <w:rFonts w:ascii="Arial Narrow" w:eastAsiaTheme="majorEastAsia" w:hAnsi="Arial Narrow"/>
          <w:b/>
          <w:bCs/>
          <w:sz w:val="22"/>
          <w:szCs w:val="22"/>
        </w:rPr>
        <w:t>MB)</w:t>
      </w:r>
      <w:bookmarkEnd w:id="381"/>
      <w:r w:rsidRPr="00430A79">
        <w:rPr>
          <w:rFonts w:ascii="Arial Narrow" w:eastAsiaTheme="majorEastAsia" w:hAnsi="Arial Narrow"/>
          <w:b/>
          <w:bCs/>
          <w:sz w:val="22"/>
          <w:szCs w:val="22"/>
        </w:rPr>
        <w:t xml:space="preserve"> </w:t>
      </w:r>
    </w:p>
    <w:p w14:paraId="0E4794AC" w14:textId="77777777" w:rsidR="0095342A" w:rsidRPr="00BE2534" w:rsidRDefault="0095342A" w:rsidP="0095342A">
      <w:pPr>
        <w:jc w:val="both"/>
        <w:rPr>
          <w:rFonts w:ascii="Arial Narrow" w:hAnsi="Arial Narrow" w:cs="Calibri"/>
          <w:sz w:val="22"/>
          <w:szCs w:val="22"/>
          <w:lang w:val="sq-AL" w:eastAsia="bg-BG"/>
        </w:rPr>
      </w:pPr>
      <w:r w:rsidRPr="00BE2534">
        <w:rPr>
          <w:rFonts w:ascii="Arial Narrow" w:hAnsi="Arial Narrow" w:cs="Calibri"/>
          <w:sz w:val="22"/>
          <w:szCs w:val="22"/>
          <w:lang w:val="sq-AL" w:eastAsia="bg-BG"/>
        </w:rPr>
        <w:t>TMB është një familje teknologjish me kosto dhe kompleksitete të ndryshme. Teknologjitë TMB janë teknologji të pranueshme dhe solide në vendet e BE-së. Teknologji të ndryshme janë aktualisht në funksion pasi proceset e ndryshme janë testuar dhe optimizuar për një periudhë të gjatë kohore.</w:t>
      </w:r>
    </w:p>
    <w:p w14:paraId="6B1F3052" w14:textId="77777777" w:rsidR="0095342A" w:rsidRPr="00BE2534" w:rsidRDefault="0095342A" w:rsidP="0095342A">
      <w:pPr>
        <w:jc w:val="both"/>
        <w:rPr>
          <w:rFonts w:ascii="Arial Narrow" w:hAnsi="Arial Narrow" w:cs="Calibri"/>
          <w:sz w:val="22"/>
          <w:szCs w:val="22"/>
          <w:lang w:val="sq-AL" w:eastAsia="bg-BG"/>
        </w:rPr>
      </w:pPr>
    </w:p>
    <w:p w14:paraId="268DAF94" w14:textId="77777777" w:rsidR="0095342A" w:rsidRPr="00BE2534" w:rsidRDefault="0095342A" w:rsidP="0095342A">
      <w:pPr>
        <w:jc w:val="both"/>
        <w:rPr>
          <w:rFonts w:ascii="Arial Narrow" w:hAnsi="Arial Narrow" w:cs="Calibri"/>
          <w:sz w:val="22"/>
          <w:szCs w:val="22"/>
          <w:lang w:val="sq-AL" w:eastAsia="bg-BG"/>
        </w:rPr>
      </w:pPr>
      <w:r w:rsidRPr="00BE2534">
        <w:rPr>
          <w:rFonts w:ascii="Arial Narrow" w:hAnsi="Arial Narrow" w:cs="Calibri"/>
          <w:sz w:val="22"/>
          <w:szCs w:val="22"/>
          <w:lang w:val="sq-AL" w:eastAsia="bg-BG"/>
        </w:rPr>
        <w:t>Zhvillimi i teknologjive TMB u inkurajua nga ndryshimet në politikën e përgjithshme të BE-së për menaxhimin e mbeturinave dhe objektivat e caktuara të vendosura. Këto përfshijnë:</w:t>
      </w:r>
    </w:p>
    <w:p w14:paraId="249588EC" w14:textId="77777777" w:rsidR="0095342A" w:rsidRPr="00BE2534" w:rsidRDefault="0095342A" w:rsidP="0095342A">
      <w:pPr>
        <w:jc w:val="both"/>
        <w:rPr>
          <w:rFonts w:ascii="Arial Narrow" w:hAnsi="Arial Narrow" w:cs="Calibri"/>
          <w:sz w:val="22"/>
          <w:szCs w:val="22"/>
          <w:lang w:val="sq-AL" w:eastAsia="bg-BG"/>
        </w:rPr>
      </w:pPr>
    </w:p>
    <w:p w14:paraId="17B29C81" w14:textId="77777777" w:rsidR="0095342A" w:rsidRPr="00BE2534" w:rsidRDefault="0095342A" w:rsidP="0095342A">
      <w:pPr>
        <w:numPr>
          <w:ilvl w:val="0"/>
          <w:numId w:val="17"/>
        </w:numPr>
        <w:spacing w:after="160" w:line="259" w:lineRule="auto"/>
        <w:contextualSpacing/>
        <w:rPr>
          <w:rFonts w:ascii="Arial Narrow" w:eastAsia="Calibri" w:hAnsi="Arial Narrow" w:cs="Calibri"/>
          <w:kern w:val="2"/>
          <w:sz w:val="22"/>
          <w:szCs w:val="22"/>
          <w:lang w:val="sq-AL"/>
          <w14:ligatures w14:val="standardContextual"/>
        </w:rPr>
      </w:pPr>
      <w:r w:rsidRPr="00BE2534">
        <w:rPr>
          <w:rFonts w:ascii="Arial Narrow" w:eastAsia="Calibri" w:hAnsi="Arial Narrow" w:cs="Calibri"/>
          <w:kern w:val="2"/>
          <w:sz w:val="22"/>
          <w:szCs w:val="22"/>
          <w:lang w:val="sq-AL"/>
          <w14:ligatures w14:val="standardContextual"/>
        </w:rPr>
        <w:t>Ndalimi i deponimit të MKI të patrajtuara; dhe</w:t>
      </w:r>
    </w:p>
    <w:p w14:paraId="3A2AC161" w14:textId="77777777" w:rsidR="0095342A" w:rsidRPr="00BE2534" w:rsidRDefault="0095342A" w:rsidP="0095342A">
      <w:pPr>
        <w:numPr>
          <w:ilvl w:val="0"/>
          <w:numId w:val="17"/>
        </w:numPr>
        <w:spacing w:after="160" w:line="259" w:lineRule="auto"/>
        <w:contextualSpacing/>
        <w:rPr>
          <w:rFonts w:ascii="Arial Narrow" w:eastAsia="Calibri" w:hAnsi="Arial Narrow" w:cs="Calibri"/>
          <w:kern w:val="2"/>
          <w:sz w:val="22"/>
          <w:szCs w:val="22"/>
          <w:lang w:val="sq-AL"/>
          <w14:ligatures w14:val="standardContextual"/>
        </w:rPr>
      </w:pPr>
      <w:r w:rsidRPr="00BE2534">
        <w:rPr>
          <w:rFonts w:ascii="Arial Narrow" w:eastAsia="Calibri" w:hAnsi="Arial Narrow" w:cs="Calibri"/>
          <w:kern w:val="2"/>
          <w:sz w:val="22"/>
          <w:szCs w:val="22"/>
          <w:lang w:val="sq-AL"/>
          <w14:ligatures w14:val="standardContextual"/>
        </w:rPr>
        <w:t>Reduktimi i sasive të mbeturinave të biodegradueshme npër deponi.</w:t>
      </w:r>
    </w:p>
    <w:p w14:paraId="154968C7" w14:textId="77777777" w:rsidR="0095342A" w:rsidRPr="00BE2534" w:rsidRDefault="0095342A" w:rsidP="0095342A">
      <w:pPr>
        <w:jc w:val="both"/>
        <w:rPr>
          <w:rFonts w:ascii="Arial Narrow" w:hAnsi="Arial Narrow" w:cs="Calibri"/>
          <w:sz w:val="22"/>
          <w:szCs w:val="22"/>
          <w:lang w:val="sq-AL" w:eastAsia="bg-BG"/>
        </w:rPr>
      </w:pPr>
    </w:p>
    <w:p w14:paraId="2F53F283" w14:textId="0D799E16" w:rsidR="00430A79" w:rsidRPr="009F5CA1" w:rsidRDefault="0095342A" w:rsidP="0095342A">
      <w:pPr>
        <w:jc w:val="both"/>
        <w:rPr>
          <w:rFonts w:ascii="Arial Narrow" w:hAnsi="Arial Narrow" w:cs="Calibri"/>
          <w:sz w:val="22"/>
          <w:szCs w:val="22"/>
          <w:lang w:val="sq-AL" w:eastAsia="bg-BG"/>
        </w:rPr>
      </w:pPr>
      <w:r w:rsidRPr="00BE2534">
        <w:rPr>
          <w:rFonts w:ascii="Arial Narrow" w:hAnsi="Arial Narrow" w:cs="Calibri"/>
          <w:sz w:val="22"/>
          <w:szCs w:val="22"/>
          <w:lang w:val="sq-AL" w:eastAsia="bg-BG"/>
        </w:rPr>
        <w:t>TMB mund të përfshijë një sërë teknologjish të ndryshme procesesh. Disa sisteme përfshijnë pajisje për të para-vlerësuar mbeturinat dhe në këtë mënyrë prodhojnë një fraksion të kompostueshëm të përshtatshëm për proceset e kompostimit në natyrë, të mbuluar ose të kontrolluar brenda kontenjerit. Një tjetër qasje TMB përfshin nxjerrjen fillestare të materialeve të riciklueshme, e ndjekur nga homogjenizimi i mbeturinavetë përziera përpara përpunimit të tyre në një impiant tretjeje anaerobe ose një impianti trajtimi aerobik</w:t>
      </w:r>
      <w:r w:rsidR="00430A79" w:rsidRPr="009F5CA1">
        <w:rPr>
          <w:rFonts w:ascii="Arial Narrow" w:hAnsi="Arial Narrow" w:cs="Calibri"/>
          <w:sz w:val="22"/>
          <w:szCs w:val="22"/>
          <w:lang w:val="sq-AL" w:eastAsia="bg-BG"/>
        </w:rPr>
        <w:t>.</w:t>
      </w:r>
    </w:p>
    <w:p w14:paraId="428B4C54" w14:textId="77777777" w:rsidR="00430A79" w:rsidRPr="009F5CA1" w:rsidRDefault="00430A79" w:rsidP="00430A79">
      <w:pPr>
        <w:jc w:val="both"/>
        <w:rPr>
          <w:rFonts w:ascii="Arial Narrow" w:hAnsi="Arial Narrow" w:cs="Calibri"/>
          <w:sz w:val="22"/>
          <w:szCs w:val="22"/>
          <w:lang w:val="sq-AL" w:eastAsia="bg-BG"/>
        </w:rPr>
      </w:pPr>
    </w:p>
    <w:p w14:paraId="74FC09F4" w14:textId="77777777" w:rsidR="00430A79" w:rsidRPr="00430A79" w:rsidRDefault="00430A79" w:rsidP="00430A79">
      <w:pPr>
        <w:jc w:val="center"/>
        <w:rPr>
          <w:rFonts w:ascii="Arial Narrow" w:eastAsia="Calibri" w:hAnsi="Arial Narrow" w:cs="Calibri"/>
          <w:bCs/>
          <w:color w:val="0F0D29"/>
          <w:sz w:val="22"/>
          <w:szCs w:val="22"/>
        </w:rPr>
      </w:pPr>
      <w:r w:rsidRPr="00430A79">
        <w:rPr>
          <w:rFonts w:ascii="Arial Narrow" w:eastAsia="Calibri" w:hAnsi="Arial Narrow" w:cs="Calibri"/>
          <w:bCs/>
          <w:noProof/>
          <w:color w:val="0F0D29"/>
          <w:sz w:val="22"/>
          <w:szCs w:val="22"/>
        </w:rPr>
        <w:drawing>
          <wp:inline distT="0" distB="0" distL="0" distR="0" wp14:anchorId="0521572D" wp14:editId="6B1A1883">
            <wp:extent cx="2513537" cy="1589049"/>
            <wp:effectExtent l="0" t="0" r="1270" b="0"/>
            <wp:docPr id="744616452" name="Picture 744616452" descr="A large factory with a large machine&#10;&#10;Description automatically generated with medium confidence">
              <a:extLst xmlns:a="http://schemas.openxmlformats.org/drawingml/2006/main">
                <a:ext uri="{FF2B5EF4-FFF2-40B4-BE49-F238E27FC236}">
                  <a16:creationId xmlns:a16="http://schemas.microsoft.com/office/drawing/2014/main" id="{A16993D7-6257-D949-52F9-157E4ADBD3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16452" name="Picture 744616452" descr="A large factory with a large machine&#10;&#10;Description automatically generated with medium confidence">
                      <a:extLst>
                        <a:ext uri="{FF2B5EF4-FFF2-40B4-BE49-F238E27FC236}">
                          <a16:creationId xmlns:a16="http://schemas.microsoft.com/office/drawing/2014/main" id="{A16993D7-6257-D949-52F9-157E4ADBD3AD}"/>
                        </a:ext>
                      </a:extLst>
                    </pic:cNvPr>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6786"/>
                    <a:stretch/>
                  </pic:blipFill>
                  <pic:spPr bwMode="auto">
                    <a:xfrm>
                      <a:off x="0" y="0"/>
                      <a:ext cx="2532152" cy="1600817"/>
                    </a:xfrm>
                    <a:prstGeom prst="rect">
                      <a:avLst/>
                    </a:prstGeom>
                    <a:noFill/>
                    <a:ln>
                      <a:noFill/>
                    </a:ln>
                    <a:effectLst/>
                  </pic:spPr>
                </pic:pic>
              </a:graphicData>
            </a:graphic>
          </wp:inline>
        </w:drawing>
      </w:r>
      <w:r w:rsidRPr="00430A79">
        <w:rPr>
          <w:rFonts w:ascii="Arial Narrow" w:eastAsia="Calibri" w:hAnsi="Arial Narrow" w:cs="Calibri"/>
          <w:bCs/>
          <w:noProof/>
          <w:color w:val="0F0D29"/>
          <w:sz w:val="22"/>
          <w:szCs w:val="22"/>
        </w:rPr>
        <w:drawing>
          <wp:inline distT="0" distB="0" distL="0" distR="0" wp14:anchorId="632B3826" wp14:editId="0C15ECA3">
            <wp:extent cx="2845273" cy="1599043"/>
            <wp:effectExtent l="0" t="0" r="0" b="1270"/>
            <wp:docPr id="938459981" name="Picture 938459981" descr="A yellow crane lifting a garbage&#10;&#10;Description automatically generated with medium confidence">
              <a:extLst xmlns:a="http://schemas.openxmlformats.org/drawingml/2006/main">
                <a:ext uri="{FF2B5EF4-FFF2-40B4-BE49-F238E27FC236}">
                  <a16:creationId xmlns:a16="http://schemas.microsoft.com/office/drawing/2014/main" id="{1D308831-682F-EF33-5CE5-CDB7C2D893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59981" name="Picture 938459981" descr="A yellow crane lifting a garbage&#10;&#10;Description automatically generated with medium confidence">
                      <a:extLst>
                        <a:ext uri="{FF2B5EF4-FFF2-40B4-BE49-F238E27FC236}">
                          <a16:creationId xmlns:a16="http://schemas.microsoft.com/office/drawing/2014/main" id="{1D308831-682F-EF33-5CE5-CDB7C2D89337}"/>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90043" cy="1624204"/>
                    </a:xfrm>
                    <a:prstGeom prst="rect">
                      <a:avLst/>
                    </a:prstGeom>
                    <a:noFill/>
                    <a:ln>
                      <a:noFill/>
                    </a:ln>
                    <a:effectLst/>
                  </pic:spPr>
                </pic:pic>
              </a:graphicData>
            </a:graphic>
          </wp:inline>
        </w:drawing>
      </w:r>
    </w:p>
    <w:p w14:paraId="0416D4DF" w14:textId="75D3289E" w:rsidR="00430A79" w:rsidRPr="00430A79" w:rsidRDefault="00430A79" w:rsidP="006347D6">
      <w:pPr>
        <w:pStyle w:val="Figure"/>
        <w:rPr>
          <w:rFonts w:eastAsia="Calibri" w:cs="Calibri"/>
          <w:sz w:val="20"/>
          <w:szCs w:val="20"/>
        </w:rPr>
      </w:pPr>
      <w:bookmarkStart w:id="382" w:name="_Toc149729926"/>
      <w:bookmarkStart w:id="383" w:name="_Toc153381609"/>
      <w:bookmarkStart w:id="384" w:name="_Toc185866248"/>
      <w:bookmarkStart w:id="385" w:name="_Toc197472326"/>
      <w:r w:rsidRPr="00430A79">
        <w:rPr>
          <w:rFonts w:eastAsia="Calibri" w:cs="Calibri"/>
          <w:sz w:val="20"/>
          <w:szCs w:val="20"/>
        </w:rPr>
        <w:t xml:space="preserve">Figura </w:t>
      </w:r>
      <w:r w:rsidRPr="00430A79">
        <w:rPr>
          <w:rFonts w:eastAsia="Calibri" w:cs="Calibri"/>
          <w:sz w:val="20"/>
          <w:szCs w:val="20"/>
        </w:rPr>
        <w:fldChar w:fldCharType="begin"/>
      </w:r>
      <w:r w:rsidRPr="00430A79">
        <w:rPr>
          <w:rFonts w:eastAsia="Calibri" w:cs="Calibri"/>
          <w:sz w:val="20"/>
          <w:szCs w:val="20"/>
        </w:rPr>
        <w:instrText xml:space="preserve"> SEQ Figure \* ARABIC </w:instrText>
      </w:r>
      <w:r w:rsidRPr="00430A79">
        <w:rPr>
          <w:rFonts w:eastAsia="Calibri" w:cs="Calibri"/>
          <w:sz w:val="20"/>
          <w:szCs w:val="20"/>
        </w:rPr>
        <w:fldChar w:fldCharType="separate"/>
      </w:r>
      <w:r w:rsidR="00C97DF3">
        <w:rPr>
          <w:rFonts w:eastAsia="Calibri" w:cs="Calibri"/>
          <w:noProof/>
          <w:sz w:val="20"/>
          <w:szCs w:val="20"/>
        </w:rPr>
        <w:t xml:space="preserve">25. </w:t>
      </w:r>
      <w:r w:rsidRPr="00430A79">
        <w:rPr>
          <w:rFonts w:eastAsia="Calibri" w:cs="Calibri"/>
          <w:sz w:val="20"/>
          <w:szCs w:val="20"/>
        </w:rPr>
        <w:fldChar w:fldCharType="end"/>
      </w:r>
      <w:r w:rsidRPr="00430A79">
        <w:rPr>
          <w:rFonts w:eastAsia="Calibri" w:cs="Calibri"/>
          <w:sz w:val="20"/>
          <w:szCs w:val="20"/>
        </w:rPr>
        <w:t xml:space="preserve">Shembuj </w:t>
      </w:r>
      <w:r w:rsidR="0095342A">
        <w:rPr>
          <w:rFonts w:eastAsia="Calibri" w:cs="Calibri"/>
          <w:sz w:val="20"/>
          <w:szCs w:val="20"/>
        </w:rPr>
        <w:t>të T</w:t>
      </w:r>
      <w:r w:rsidRPr="00430A79">
        <w:rPr>
          <w:rFonts w:eastAsia="Calibri" w:cs="Calibri"/>
          <w:sz w:val="20"/>
          <w:szCs w:val="20"/>
        </w:rPr>
        <w:t>MB</w:t>
      </w:r>
      <w:bookmarkEnd w:id="382"/>
      <w:bookmarkEnd w:id="383"/>
      <w:bookmarkEnd w:id="384"/>
      <w:bookmarkEnd w:id="385"/>
    </w:p>
    <w:p w14:paraId="7AF132F8" w14:textId="77777777" w:rsidR="00430A79" w:rsidRPr="009F5CA1" w:rsidRDefault="00430A79" w:rsidP="00430A79">
      <w:pPr>
        <w:jc w:val="both"/>
        <w:rPr>
          <w:rFonts w:ascii="Arial Narrow" w:hAnsi="Arial Narrow" w:cs="Calibri"/>
          <w:sz w:val="22"/>
          <w:szCs w:val="22"/>
          <w:lang w:eastAsia="bg-BG"/>
        </w:rPr>
      </w:pPr>
    </w:p>
    <w:p w14:paraId="2E97F643" w14:textId="77777777" w:rsidR="0095342A" w:rsidRPr="00BE2534" w:rsidRDefault="0095342A" w:rsidP="0095342A">
      <w:pPr>
        <w:jc w:val="both"/>
        <w:rPr>
          <w:rFonts w:ascii="Arial Narrow" w:hAnsi="Arial Narrow" w:cs="Calibri"/>
          <w:sz w:val="22"/>
          <w:szCs w:val="22"/>
          <w:lang w:val="sq-AL" w:eastAsia="bg-BG"/>
        </w:rPr>
      </w:pPr>
      <w:r w:rsidRPr="00BE2534">
        <w:rPr>
          <w:rFonts w:ascii="Arial Narrow" w:hAnsi="Arial Narrow" w:cs="Calibri"/>
          <w:sz w:val="22"/>
          <w:szCs w:val="22"/>
          <w:lang w:val="sq-AL" w:eastAsia="bg-BG"/>
        </w:rPr>
        <w:t>Bazuar në llojin e trajtimit biologjik, MBT në thelb mund të ndahet në tre teknologji kryesore:</w:t>
      </w:r>
    </w:p>
    <w:p w14:paraId="16CF4242" w14:textId="77777777" w:rsidR="0095342A" w:rsidRPr="00BE2534" w:rsidRDefault="0095342A" w:rsidP="0095342A">
      <w:pPr>
        <w:jc w:val="both"/>
        <w:rPr>
          <w:rFonts w:ascii="Arial Narrow" w:hAnsi="Arial Narrow" w:cs="Calibri"/>
          <w:sz w:val="22"/>
          <w:szCs w:val="22"/>
          <w:lang w:val="sq-AL" w:eastAsia="bg-BG"/>
        </w:rPr>
      </w:pPr>
    </w:p>
    <w:p w14:paraId="282D9041" w14:textId="77777777" w:rsidR="0095342A" w:rsidRPr="00BE2534" w:rsidRDefault="0095342A" w:rsidP="0095342A">
      <w:pPr>
        <w:numPr>
          <w:ilvl w:val="0"/>
          <w:numId w:val="17"/>
        </w:numPr>
        <w:spacing w:after="160" w:line="259" w:lineRule="auto"/>
        <w:contextualSpacing/>
        <w:jc w:val="both"/>
        <w:rPr>
          <w:rFonts w:ascii="Arial Narrow" w:eastAsia="Calibri" w:hAnsi="Arial Narrow" w:cs="Calibri"/>
          <w:kern w:val="2"/>
          <w:sz w:val="22"/>
          <w:szCs w:val="22"/>
          <w:lang w:val="sq-AL"/>
          <w14:ligatures w14:val="standardContextual"/>
        </w:rPr>
      </w:pPr>
      <w:r w:rsidRPr="00BE2534">
        <w:rPr>
          <w:rFonts w:ascii="Arial Narrow" w:eastAsia="Calibri" w:hAnsi="Arial Narrow" w:cs="Calibri"/>
          <w:kern w:val="2"/>
          <w:sz w:val="22"/>
          <w:szCs w:val="22"/>
          <w:lang w:val="sq-AL"/>
          <w14:ligatures w14:val="standardContextual"/>
        </w:rPr>
        <w:t>Bio-stabilizimi. Kjo teknologji përfshin nxjerrjen e materialeve të riciklueshme të ndjekura nga bio-stabilizimi i fraksionit të mbeturinave të biodegradueshme, të kryera në mjedis aerobik, përpara dërgimit në deponi ose përdorimit në aplikime jo bujqësore si rehanilitimi i minierave;</w:t>
      </w:r>
    </w:p>
    <w:p w14:paraId="7703E2E1" w14:textId="77777777" w:rsidR="0095342A" w:rsidRPr="00BE2534" w:rsidRDefault="0095342A" w:rsidP="0095342A">
      <w:pPr>
        <w:numPr>
          <w:ilvl w:val="0"/>
          <w:numId w:val="17"/>
        </w:numPr>
        <w:spacing w:after="160" w:line="259" w:lineRule="auto"/>
        <w:contextualSpacing/>
        <w:jc w:val="both"/>
        <w:rPr>
          <w:rFonts w:ascii="Arial Narrow" w:eastAsia="Calibri" w:hAnsi="Arial Narrow" w:cs="Calibri"/>
          <w:kern w:val="2"/>
          <w:sz w:val="22"/>
          <w:szCs w:val="22"/>
          <w:lang w:val="sq-AL"/>
          <w14:ligatures w14:val="standardContextual"/>
        </w:rPr>
      </w:pPr>
      <w:r w:rsidRPr="00BE2534">
        <w:rPr>
          <w:rFonts w:ascii="Arial Narrow" w:eastAsia="Calibri" w:hAnsi="Arial Narrow" w:cs="Calibri"/>
          <w:kern w:val="2"/>
          <w:sz w:val="22"/>
          <w:szCs w:val="22"/>
          <w:lang w:val="sq-AL"/>
          <w14:ligatures w14:val="standardContextual"/>
        </w:rPr>
        <w:t xml:space="preserve">Bio-tharje. Me këtë teknologji prodhohet karburant nga mbeturinat e jo reciklueshme (SRF) përmes trajtimit intensiv aerobik të mbeturinave komunale. Prodhimi i këtij fraksioni me kalori të lartë pason nxjerrjen e metaleve të riciklueshme dhe materialeve inerte;  </w:t>
      </w:r>
    </w:p>
    <w:p w14:paraId="305CCE8D" w14:textId="6B23C6B3" w:rsidR="00430A79" w:rsidRPr="009F5CA1" w:rsidRDefault="0095342A" w:rsidP="0095342A">
      <w:pPr>
        <w:numPr>
          <w:ilvl w:val="0"/>
          <w:numId w:val="17"/>
        </w:numPr>
        <w:spacing w:after="160" w:line="259" w:lineRule="auto"/>
        <w:contextualSpacing/>
        <w:jc w:val="both"/>
        <w:rPr>
          <w:rFonts w:ascii="Arial Narrow" w:eastAsia="Calibri" w:hAnsi="Arial Narrow" w:cs="Calibri"/>
          <w:kern w:val="2"/>
          <w:sz w:val="22"/>
          <w:szCs w:val="22"/>
          <w:lang w:val="sq-AL"/>
          <w14:ligatures w14:val="standardContextual"/>
        </w:rPr>
      </w:pPr>
      <w:r w:rsidRPr="00BE2534">
        <w:rPr>
          <w:rFonts w:ascii="Arial Narrow" w:eastAsia="Calibri" w:hAnsi="Arial Narrow" w:cs="Calibri"/>
          <w:kern w:val="2"/>
          <w:sz w:val="22"/>
          <w:szCs w:val="22"/>
          <w:lang w:val="sq-AL"/>
          <w14:ligatures w14:val="standardContextual"/>
        </w:rPr>
        <w:t>TMB me rikuperim energjie. Me këtë teknologji prodhohet një fraksion i ndryshëm me kalori të lartë (karburante që Derivojnë nga Mbeturinat – KDM/RDF). Pas nxjerrjes së materialeve të riciklueshme dhe materialeve inerte, fraksioni më i lehtë përgatitet për prodhimin e KDM me trajtim paralel aerobik/anaerobik të fraksionit organik më të rëndë. Ambbientet e mundshme për KDM-në janë furrat e çimentos, inceneratorët e ndërtuar për qëllime me fuqi dhe prodhim të nxehtësisë (CHP), bashkëndezje me qymyr në termocentrale</w:t>
      </w:r>
      <w:r w:rsidR="00430A79" w:rsidRPr="009F5CA1">
        <w:rPr>
          <w:rFonts w:ascii="Arial Narrow" w:eastAsia="Calibri" w:hAnsi="Arial Narrow" w:cs="Calibri"/>
          <w:kern w:val="2"/>
          <w:sz w:val="22"/>
          <w:szCs w:val="22"/>
          <w:lang w:val="sq-AL"/>
          <w14:ligatures w14:val="standardContextual"/>
        </w:rPr>
        <w:t>.</w:t>
      </w:r>
    </w:p>
    <w:p w14:paraId="736CC72B" w14:textId="77777777" w:rsidR="00430A79" w:rsidRPr="009F5CA1" w:rsidRDefault="00430A79" w:rsidP="00430A79">
      <w:pPr>
        <w:ind w:left="357"/>
        <w:jc w:val="both"/>
        <w:rPr>
          <w:rFonts w:ascii="Arial Narrow" w:hAnsi="Arial Narrow" w:cs="Calibri"/>
          <w:i/>
          <w:sz w:val="22"/>
          <w:szCs w:val="22"/>
          <w:lang w:val="sq-AL" w:eastAsia="de-DE"/>
        </w:rPr>
      </w:pPr>
    </w:p>
    <w:p w14:paraId="2F21B58F" w14:textId="6B304F35" w:rsidR="00430A79" w:rsidRPr="009F5CA1" w:rsidRDefault="0095342A" w:rsidP="00430A79">
      <w:pPr>
        <w:jc w:val="both"/>
        <w:rPr>
          <w:rFonts w:ascii="Arial Narrow" w:hAnsi="Arial Narrow" w:cs="Calibri"/>
          <w:sz w:val="22"/>
          <w:szCs w:val="22"/>
          <w:lang w:val="sq-AL" w:eastAsia="de-DE"/>
        </w:rPr>
      </w:pPr>
      <w:r w:rsidRPr="00BE2534">
        <w:rPr>
          <w:rFonts w:ascii="Arial Narrow" w:hAnsi="Arial Narrow" w:cs="Calibri"/>
          <w:sz w:val="22"/>
          <w:szCs w:val="22"/>
          <w:lang w:val="sq-AL" w:eastAsia="de-DE"/>
        </w:rPr>
        <w:t>Bio-stabilizimi është metoda më pak e kushtueshme. Megjithatë, si synimet e shkarkimit të deponive ashtu edhe synimet e riciklimit për MKI mund të arrihen vetëm me sasi maksimale të MKI që riciklohen dhe/ose rikuperohen energjikisht. Prandaj, TMB me rikuperim të energjisë (prodhimi KDM) është teknologjia e preferuar për Rajonin. Është gjithashtu një nga dispozitat në Strategjinë e Kosovës për Menaxhimin e Integruar të Mbeturinave 2024-2035 për Rajonin e Dukagjinit</w:t>
      </w:r>
      <w:r w:rsidR="00430A79" w:rsidRPr="009F5CA1">
        <w:rPr>
          <w:rFonts w:ascii="Arial Narrow" w:hAnsi="Arial Narrow" w:cs="Calibri"/>
          <w:sz w:val="22"/>
          <w:szCs w:val="22"/>
          <w:lang w:val="sq-AL" w:eastAsia="de-DE"/>
        </w:rPr>
        <w:t>.</w:t>
      </w:r>
    </w:p>
    <w:p w14:paraId="3AD8AFDF" w14:textId="77777777" w:rsidR="002E4DDE" w:rsidRPr="009F5CA1" w:rsidRDefault="002E4DDE" w:rsidP="00430A79">
      <w:pPr>
        <w:jc w:val="both"/>
        <w:rPr>
          <w:rFonts w:ascii="Arial Narrow" w:hAnsi="Arial Narrow" w:cs="Calibri"/>
          <w:sz w:val="22"/>
          <w:szCs w:val="22"/>
          <w:lang w:val="sq-AL" w:eastAsia="de-DE"/>
        </w:rPr>
      </w:pPr>
    </w:p>
    <w:p w14:paraId="3B3EE905" w14:textId="13D536A7" w:rsidR="00430A79" w:rsidRPr="00430A79" w:rsidRDefault="0095342A" w:rsidP="002E4DDE">
      <w:pPr>
        <w:rPr>
          <w:rFonts w:ascii="Arial Narrow" w:eastAsiaTheme="majorEastAsia" w:hAnsi="Arial Narrow"/>
          <w:b/>
          <w:bCs/>
          <w:sz w:val="22"/>
          <w:szCs w:val="22"/>
        </w:rPr>
      </w:pPr>
      <w:bookmarkStart w:id="386" w:name="_Toc185866126"/>
      <w:r>
        <w:rPr>
          <w:rFonts w:ascii="Arial Narrow" w:eastAsiaTheme="majorEastAsia" w:hAnsi="Arial Narrow"/>
          <w:b/>
          <w:bCs/>
          <w:sz w:val="22"/>
          <w:szCs w:val="22"/>
        </w:rPr>
        <w:t>Objekti</w:t>
      </w:r>
      <w:r w:rsidR="00430A79" w:rsidRPr="00430A79">
        <w:rPr>
          <w:rFonts w:ascii="Arial Narrow" w:eastAsiaTheme="majorEastAsia" w:hAnsi="Arial Narrow"/>
          <w:b/>
          <w:bCs/>
          <w:sz w:val="22"/>
          <w:szCs w:val="22"/>
        </w:rPr>
        <w:t xml:space="preserve"> i centralizuar </w:t>
      </w:r>
      <w:r>
        <w:rPr>
          <w:rFonts w:ascii="Arial Narrow" w:eastAsiaTheme="majorEastAsia" w:hAnsi="Arial Narrow"/>
          <w:b/>
          <w:bCs/>
          <w:sz w:val="22"/>
          <w:szCs w:val="22"/>
        </w:rPr>
        <w:t>T</w:t>
      </w:r>
      <w:r w:rsidR="00430A79" w:rsidRPr="00430A79">
        <w:rPr>
          <w:rFonts w:ascii="Arial Narrow" w:eastAsiaTheme="majorEastAsia" w:hAnsi="Arial Narrow"/>
          <w:b/>
          <w:bCs/>
          <w:sz w:val="22"/>
          <w:szCs w:val="22"/>
        </w:rPr>
        <w:t xml:space="preserve">MB për trajtimin e mbeturinave të </w:t>
      </w:r>
      <w:r>
        <w:rPr>
          <w:rFonts w:ascii="Arial Narrow" w:eastAsiaTheme="majorEastAsia" w:hAnsi="Arial Narrow"/>
          <w:b/>
          <w:bCs/>
          <w:sz w:val="22"/>
          <w:szCs w:val="22"/>
        </w:rPr>
        <w:t>përziera</w:t>
      </w:r>
      <w:bookmarkEnd w:id="386"/>
    </w:p>
    <w:p w14:paraId="37A3FAA6" w14:textId="585FEA5F" w:rsidR="0095342A" w:rsidRPr="0095342A" w:rsidRDefault="0095342A" w:rsidP="0095342A">
      <w:pPr>
        <w:pStyle w:val="Paragraph"/>
        <w:spacing w:after="0"/>
        <w:rPr>
          <w:rFonts w:eastAsia="Calibri" w:cs="Calibri"/>
          <w:lang w:val="sq-AL"/>
        </w:rPr>
      </w:pPr>
      <w:r w:rsidRPr="0095342A">
        <w:rPr>
          <w:rFonts w:eastAsia="Calibri" w:cs="Calibri"/>
          <w:lang w:val="sq-AL"/>
        </w:rPr>
        <w:t>Arritja e synimeve të riciklimit dhe shkarkimit të deponive do të kërkojë ngritjen e objektit TMB për të marrë mbeturinat e përziera nga i gjithë rajonin.</w:t>
      </w:r>
    </w:p>
    <w:p w14:paraId="28D375BE" w14:textId="77777777" w:rsidR="0095342A" w:rsidRPr="0095342A" w:rsidRDefault="0095342A" w:rsidP="0095342A">
      <w:pPr>
        <w:pStyle w:val="Paragraph"/>
        <w:spacing w:after="0"/>
        <w:rPr>
          <w:rFonts w:eastAsia="Calibri" w:cs="Calibri"/>
          <w:lang w:val="sq-AL"/>
        </w:rPr>
      </w:pPr>
      <w:r w:rsidRPr="0095342A">
        <w:rPr>
          <w:rFonts w:eastAsia="Calibri" w:cs="Calibri"/>
          <w:lang w:val="sq-AL"/>
        </w:rPr>
        <w:t>Kapaciteti i kërkuar i instalimit vlerësohet në 40,000 tonë mbeturina të përziera në vit dhe supozohet se do të ngritet në hapësirën e deponisë rajonale. Trajtimi biologjik në tunele dhe prodhimi i KDM konsiderohet si teknologji më e përshtatshme e trajtimit.</w:t>
      </w:r>
    </w:p>
    <w:p w14:paraId="5358BFC8" w14:textId="77777777" w:rsidR="0095342A" w:rsidRPr="0095342A" w:rsidRDefault="0095342A" w:rsidP="0095342A">
      <w:pPr>
        <w:pStyle w:val="Paragraph"/>
        <w:spacing w:after="0"/>
        <w:rPr>
          <w:rFonts w:eastAsia="Calibri" w:cs="Calibri"/>
          <w:lang w:val="sq-AL"/>
        </w:rPr>
      </w:pPr>
    </w:p>
    <w:p w14:paraId="7D5F61A5" w14:textId="0EC2399F" w:rsidR="00430A79" w:rsidRPr="009F5CA1" w:rsidRDefault="0095342A" w:rsidP="0095342A">
      <w:pPr>
        <w:jc w:val="both"/>
        <w:rPr>
          <w:rFonts w:ascii="Arial Narrow" w:eastAsia="Calibri" w:hAnsi="Arial Narrow" w:cs="Calibri"/>
          <w:color w:val="000000" w:themeColor="text1"/>
          <w:sz w:val="22"/>
          <w:szCs w:val="22"/>
          <w:lang w:val="sq-AL"/>
        </w:rPr>
      </w:pPr>
      <w:r w:rsidRPr="0095342A">
        <w:rPr>
          <w:rFonts w:ascii="Arial Narrow" w:eastAsia="Calibri" w:hAnsi="Arial Narrow" w:cs="Calibri"/>
          <w:sz w:val="22"/>
          <w:szCs w:val="22"/>
          <w:lang w:val="sq-AL"/>
        </w:rPr>
        <w:t>Vlerësimet treguese të kostos për ndërtimin e instalimit TMB janë paraqitur në tabelën e mëposhtme</w:t>
      </w:r>
      <w:r w:rsidR="00430A79" w:rsidRPr="009F5CA1">
        <w:rPr>
          <w:rFonts w:ascii="Arial Narrow" w:eastAsia="Calibri" w:hAnsi="Arial Narrow" w:cs="Calibri"/>
          <w:color w:val="000000" w:themeColor="text1"/>
          <w:sz w:val="22"/>
          <w:szCs w:val="22"/>
          <w:lang w:val="sq-AL"/>
        </w:rPr>
        <w:t>.</w:t>
      </w:r>
    </w:p>
    <w:p w14:paraId="10ECA805" w14:textId="77777777" w:rsidR="0095342A" w:rsidRPr="009F5CA1" w:rsidRDefault="0095342A" w:rsidP="00430A79">
      <w:pPr>
        <w:spacing w:after="120"/>
        <w:jc w:val="both"/>
        <w:rPr>
          <w:rFonts w:ascii="Arial Narrow" w:eastAsia="Calibri" w:hAnsi="Arial Narrow" w:cs="Calibri"/>
          <w:color w:val="1F497D"/>
          <w:sz w:val="20"/>
          <w:szCs w:val="20"/>
          <w:lang w:val="sq-AL"/>
        </w:rPr>
      </w:pPr>
      <w:bookmarkStart w:id="387" w:name="_Toc185866211"/>
    </w:p>
    <w:p w14:paraId="1D7CABF4" w14:textId="462CF1B4" w:rsidR="00430A79" w:rsidRPr="00430A79" w:rsidRDefault="00430A79" w:rsidP="00430A79">
      <w:pPr>
        <w:spacing w:after="120"/>
        <w:jc w:val="both"/>
        <w:rPr>
          <w:rFonts w:ascii="Arial Narrow" w:eastAsia="Calibri" w:hAnsi="Arial Narrow" w:cs="Calibri"/>
          <w:color w:val="1F497D"/>
          <w:sz w:val="20"/>
          <w:szCs w:val="20"/>
          <w:lang w:val="en-GB"/>
        </w:rPr>
      </w:pPr>
      <w:bookmarkStart w:id="388" w:name="_Toc197472240"/>
      <w:proofErr w:type="spellStart"/>
      <w:r w:rsidRPr="00430A79">
        <w:rPr>
          <w:rFonts w:ascii="Arial Narrow" w:eastAsia="Calibri" w:hAnsi="Arial Narrow" w:cs="Calibri"/>
          <w:color w:val="1F497D"/>
          <w:sz w:val="20"/>
          <w:szCs w:val="20"/>
          <w:lang w:val="en-GB"/>
        </w:rPr>
        <w:t>Tabela</w:t>
      </w:r>
      <w:proofErr w:type="spellEnd"/>
      <w:r w:rsidRPr="00430A79">
        <w:rPr>
          <w:rFonts w:ascii="Arial Narrow" w:eastAsia="Calibri" w:hAnsi="Arial Narrow" w:cs="Calibri"/>
          <w:color w:val="1F497D"/>
          <w:sz w:val="20"/>
          <w:szCs w:val="20"/>
          <w:lang w:val="en-GB"/>
        </w:rPr>
        <w:t xml:space="preserve"> </w:t>
      </w:r>
      <w:r w:rsidRPr="00430A79">
        <w:rPr>
          <w:rFonts w:ascii="Arial Narrow" w:eastAsia="Calibri" w:hAnsi="Arial Narrow" w:cs="Calibri"/>
          <w:color w:val="1F497D"/>
          <w:sz w:val="20"/>
          <w:szCs w:val="20"/>
          <w:lang w:val="en-GB"/>
        </w:rPr>
        <w:fldChar w:fldCharType="begin"/>
      </w:r>
      <w:r w:rsidRPr="00430A79">
        <w:rPr>
          <w:rFonts w:ascii="Arial Narrow" w:eastAsia="Calibri" w:hAnsi="Arial Narrow" w:cs="Calibri"/>
          <w:color w:val="1F497D"/>
          <w:sz w:val="20"/>
          <w:szCs w:val="20"/>
          <w:lang w:val="en-GB"/>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Pr>
          <w:rFonts w:ascii="Arial Narrow" w:eastAsia="Calibri" w:hAnsi="Arial Narrow" w:cs="Calibri"/>
          <w:noProof/>
          <w:color w:val="1F497D"/>
          <w:sz w:val="20"/>
          <w:szCs w:val="20"/>
          <w:lang w:val="en-GB"/>
        </w:rPr>
        <w:t xml:space="preserve">55. </w:t>
      </w:r>
      <w:r w:rsidRPr="00430A79">
        <w:rPr>
          <w:rFonts w:ascii="Arial Narrow" w:eastAsia="Calibri" w:hAnsi="Arial Narrow" w:cs="Calibri"/>
          <w:color w:val="1F497D"/>
          <w:sz w:val="20"/>
          <w:szCs w:val="20"/>
          <w:lang w:val="en-GB"/>
        </w:rPr>
        <w:fldChar w:fldCharType="end"/>
      </w:r>
      <w:proofErr w:type="spellStart"/>
      <w:r w:rsidRPr="00430A79">
        <w:rPr>
          <w:rFonts w:ascii="Arial Narrow" w:eastAsia="Calibri" w:hAnsi="Arial Narrow" w:cs="Calibri"/>
          <w:color w:val="1F497D"/>
          <w:sz w:val="20"/>
          <w:szCs w:val="20"/>
          <w:lang w:val="en-GB"/>
        </w:rPr>
        <w:t>Vlerësimet</w:t>
      </w:r>
      <w:proofErr w:type="spellEnd"/>
      <w:r w:rsidRPr="00430A79">
        <w:rPr>
          <w:rFonts w:ascii="Arial Narrow" w:eastAsia="Calibri" w:hAnsi="Arial Narrow" w:cs="Calibri"/>
          <w:color w:val="1F497D"/>
          <w:sz w:val="20"/>
          <w:szCs w:val="20"/>
          <w:lang w:val="en-GB"/>
        </w:rPr>
        <w:t xml:space="preserve"> e </w:t>
      </w:r>
      <w:proofErr w:type="spellStart"/>
      <w:r w:rsidRPr="00430A79">
        <w:rPr>
          <w:rFonts w:ascii="Arial Narrow" w:eastAsia="Calibri" w:hAnsi="Arial Narrow" w:cs="Calibri"/>
          <w:color w:val="1F497D"/>
          <w:sz w:val="20"/>
          <w:szCs w:val="20"/>
          <w:lang w:val="en-GB"/>
        </w:rPr>
        <w:t>kostos</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së</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investimit</w:t>
      </w:r>
      <w:proofErr w:type="spellEnd"/>
      <w:r w:rsidRPr="00430A79">
        <w:rPr>
          <w:rFonts w:ascii="Arial Narrow" w:eastAsia="Calibri" w:hAnsi="Arial Narrow" w:cs="Calibri"/>
          <w:color w:val="1F497D"/>
          <w:sz w:val="20"/>
          <w:szCs w:val="20"/>
          <w:lang w:val="en-GB"/>
        </w:rPr>
        <w:t xml:space="preserve"> </w:t>
      </w:r>
      <w:r w:rsidR="0095342A">
        <w:rPr>
          <w:rFonts w:ascii="Arial Narrow" w:eastAsia="Calibri" w:hAnsi="Arial Narrow" w:cs="Calibri"/>
          <w:color w:val="1F497D"/>
          <w:sz w:val="20"/>
          <w:szCs w:val="20"/>
          <w:lang w:val="en-GB"/>
        </w:rPr>
        <w:t>T</w:t>
      </w:r>
      <w:r w:rsidRPr="00430A79">
        <w:rPr>
          <w:rFonts w:ascii="Arial Narrow" w:eastAsia="Calibri" w:hAnsi="Arial Narrow" w:cs="Calibri"/>
          <w:color w:val="1F497D"/>
          <w:sz w:val="20"/>
          <w:szCs w:val="20"/>
          <w:lang w:val="en-GB"/>
        </w:rPr>
        <w:t>MB</w:t>
      </w:r>
      <w:bookmarkEnd w:id="387"/>
      <w:bookmarkEnd w:id="388"/>
    </w:p>
    <w:tbl>
      <w:tblPr>
        <w:tblW w:w="6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8"/>
        <w:gridCol w:w="2527"/>
      </w:tblGrid>
      <w:tr w:rsidR="00430A79" w:rsidRPr="00430A79" w14:paraId="7AC9E601" w14:textId="77777777" w:rsidTr="00750949">
        <w:trPr>
          <w:trHeight w:val="264"/>
        </w:trPr>
        <w:tc>
          <w:tcPr>
            <w:tcW w:w="3858" w:type="dxa"/>
            <w:shd w:val="clear" w:color="auto" w:fill="365F91"/>
            <w:noWrap/>
            <w:vAlign w:val="bottom"/>
          </w:tcPr>
          <w:p w14:paraId="52DD6417" w14:textId="099CE914" w:rsidR="00430A79" w:rsidRPr="00430A79" w:rsidRDefault="0095342A" w:rsidP="00430A79">
            <w:pPr>
              <w:rPr>
                <w:rFonts w:ascii="Arial" w:hAnsi="Arial" w:cs="Arial"/>
                <w:sz w:val="20"/>
                <w:szCs w:val="20"/>
              </w:rPr>
            </w:pPr>
            <w:r>
              <w:rPr>
                <w:rFonts w:ascii="Arial Narrow" w:hAnsi="Arial Narrow"/>
                <w:b/>
                <w:bCs/>
                <w:color w:val="FFFFFF" w:themeColor="background1"/>
                <w:sz w:val="20"/>
                <w:szCs w:val="20"/>
              </w:rPr>
              <w:t>Përbërësit e</w:t>
            </w:r>
            <w:r w:rsidR="00430A79" w:rsidRPr="00430A79">
              <w:rPr>
                <w:rFonts w:ascii="Arial Narrow" w:hAnsi="Arial Narrow"/>
                <w:b/>
                <w:bCs/>
                <w:color w:val="FFFFFF" w:themeColor="background1"/>
                <w:sz w:val="20"/>
                <w:szCs w:val="20"/>
              </w:rPr>
              <w:t xml:space="preserve"> kostos</w:t>
            </w:r>
          </w:p>
        </w:tc>
        <w:tc>
          <w:tcPr>
            <w:tcW w:w="2527" w:type="dxa"/>
            <w:shd w:val="clear" w:color="auto" w:fill="365F91"/>
            <w:noWrap/>
            <w:vAlign w:val="bottom"/>
          </w:tcPr>
          <w:p w14:paraId="1255A5E4" w14:textId="77777777" w:rsidR="00430A79" w:rsidRPr="00430A79" w:rsidRDefault="00430A79" w:rsidP="00430A79">
            <w:pPr>
              <w:jc w:val="right"/>
              <w:rPr>
                <w:rFonts w:ascii="Arial" w:hAnsi="Arial" w:cs="Arial"/>
                <w:sz w:val="20"/>
                <w:szCs w:val="20"/>
              </w:rPr>
            </w:pPr>
            <w:r w:rsidRPr="00430A79">
              <w:rPr>
                <w:rFonts w:ascii="Arial Narrow" w:hAnsi="Arial Narrow"/>
                <w:b/>
                <w:bCs/>
                <w:color w:val="FFFFFF" w:themeColor="background1"/>
                <w:sz w:val="20"/>
                <w:szCs w:val="20"/>
              </w:rPr>
              <w:t xml:space="preserve">Vlera, </w:t>
            </w:r>
            <w:r w:rsidRPr="00430A79">
              <w:rPr>
                <w:rFonts w:ascii="Calibri" w:hAnsi="Calibri" w:cs="Calibri"/>
                <w:b/>
                <w:bCs/>
                <w:color w:val="FFFFFF" w:themeColor="background1"/>
                <w:sz w:val="20"/>
                <w:szCs w:val="20"/>
              </w:rPr>
              <w:t>€</w:t>
            </w:r>
          </w:p>
        </w:tc>
      </w:tr>
      <w:tr w:rsidR="00430A79" w:rsidRPr="00430A79" w14:paraId="52B3056F" w14:textId="77777777" w:rsidTr="00D03949">
        <w:trPr>
          <w:trHeight w:val="264"/>
        </w:trPr>
        <w:tc>
          <w:tcPr>
            <w:tcW w:w="3858" w:type="dxa"/>
            <w:shd w:val="clear" w:color="auto" w:fill="auto"/>
            <w:noWrap/>
            <w:vAlign w:val="bottom"/>
            <w:hideMark/>
          </w:tcPr>
          <w:p w14:paraId="2E89ADD3" w14:textId="77777777"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Tokë</w:t>
            </w:r>
          </w:p>
        </w:tc>
        <w:tc>
          <w:tcPr>
            <w:tcW w:w="2527" w:type="dxa"/>
            <w:shd w:val="clear" w:color="auto" w:fill="auto"/>
            <w:noWrap/>
            <w:vAlign w:val="bottom"/>
            <w:hideMark/>
          </w:tcPr>
          <w:p w14:paraId="72DE3C0F" w14:textId="77777777"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w:t>
            </w:r>
          </w:p>
        </w:tc>
      </w:tr>
      <w:tr w:rsidR="00430A79" w:rsidRPr="00430A79" w14:paraId="31ADED09" w14:textId="77777777" w:rsidTr="00D03949">
        <w:trPr>
          <w:trHeight w:val="264"/>
        </w:trPr>
        <w:tc>
          <w:tcPr>
            <w:tcW w:w="3858" w:type="dxa"/>
            <w:shd w:val="clear" w:color="auto" w:fill="auto"/>
            <w:noWrap/>
            <w:vAlign w:val="bottom"/>
            <w:hideMark/>
          </w:tcPr>
          <w:p w14:paraId="38E44213" w14:textId="77777777"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Punime civile</w:t>
            </w:r>
          </w:p>
        </w:tc>
        <w:tc>
          <w:tcPr>
            <w:tcW w:w="2527" w:type="dxa"/>
            <w:shd w:val="clear" w:color="auto" w:fill="auto"/>
            <w:noWrap/>
            <w:vAlign w:val="bottom"/>
            <w:hideMark/>
          </w:tcPr>
          <w:p w14:paraId="27C7A912" w14:textId="77777777"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3,140,000</w:t>
            </w:r>
          </w:p>
        </w:tc>
      </w:tr>
      <w:tr w:rsidR="00430A79" w:rsidRPr="00430A79" w14:paraId="72CF8ECE" w14:textId="77777777" w:rsidTr="00D03949">
        <w:trPr>
          <w:trHeight w:val="264"/>
        </w:trPr>
        <w:tc>
          <w:tcPr>
            <w:tcW w:w="3858" w:type="dxa"/>
            <w:shd w:val="clear" w:color="auto" w:fill="auto"/>
            <w:noWrap/>
            <w:vAlign w:val="bottom"/>
            <w:hideMark/>
          </w:tcPr>
          <w:p w14:paraId="786B2F68" w14:textId="77777777"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Mekanike</w:t>
            </w:r>
          </w:p>
        </w:tc>
        <w:tc>
          <w:tcPr>
            <w:tcW w:w="2527" w:type="dxa"/>
            <w:shd w:val="clear" w:color="auto" w:fill="auto"/>
            <w:noWrap/>
            <w:vAlign w:val="bottom"/>
            <w:hideMark/>
          </w:tcPr>
          <w:p w14:paraId="4306B160" w14:textId="77777777"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8,275,000</w:t>
            </w:r>
          </w:p>
        </w:tc>
      </w:tr>
      <w:tr w:rsidR="00430A79" w:rsidRPr="00430A79" w14:paraId="2DF1F1B5" w14:textId="77777777" w:rsidTr="00D03949">
        <w:trPr>
          <w:trHeight w:val="264"/>
        </w:trPr>
        <w:tc>
          <w:tcPr>
            <w:tcW w:w="3858" w:type="dxa"/>
            <w:shd w:val="clear" w:color="auto" w:fill="auto"/>
            <w:noWrap/>
            <w:vAlign w:val="bottom"/>
            <w:hideMark/>
          </w:tcPr>
          <w:p w14:paraId="1FA67A5C" w14:textId="63A66BBF"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Automjete</w:t>
            </w:r>
            <w:r w:rsidR="0095342A">
              <w:rPr>
                <w:rFonts w:ascii="Arial Narrow" w:hAnsi="Arial Narrow"/>
                <w:color w:val="000000"/>
                <w:sz w:val="20"/>
                <w:szCs w:val="20"/>
              </w:rPr>
              <w:t>t</w:t>
            </w:r>
          </w:p>
        </w:tc>
        <w:tc>
          <w:tcPr>
            <w:tcW w:w="2527" w:type="dxa"/>
            <w:shd w:val="clear" w:color="auto" w:fill="auto"/>
            <w:noWrap/>
            <w:vAlign w:val="bottom"/>
            <w:hideMark/>
          </w:tcPr>
          <w:p w14:paraId="50B0E946" w14:textId="77777777"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469,000</w:t>
            </w:r>
          </w:p>
        </w:tc>
      </w:tr>
      <w:tr w:rsidR="00430A79" w:rsidRPr="00430A79" w14:paraId="20D3E45C" w14:textId="77777777" w:rsidTr="00D03949">
        <w:trPr>
          <w:trHeight w:val="264"/>
        </w:trPr>
        <w:tc>
          <w:tcPr>
            <w:tcW w:w="3858" w:type="dxa"/>
            <w:shd w:val="clear" w:color="auto" w:fill="auto"/>
            <w:noWrap/>
            <w:vAlign w:val="bottom"/>
            <w:hideMark/>
          </w:tcPr>
          <w:p w14:paraId="35D266F9" w14:textId="4D04413E"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Kontingjen</w:t>
            </w:r>
            <w:r w:rsidR="0095342A">
              <w:rPr>
                <w:rFonts w:ascii="Arial Narrow" w:hAnsi="Arial Narrow"/>
                <w:color w:val="000000"/>
                <w:sz w:val="20"/>
                <w:szCs w:val="20"/>
              </w:rPr>
              <w:t>ca</w:t>
            </w:r>
            <w:r w:rsidRPr="00430A79">
              <w:rPr>
                <w:rFonts w:ascii="Arial Narrow" w:hAnsi="Arial Narrow"/>
                <w:color w:val="000000"/>
                <w:sz w:val="20"/>
                <w:szCs w:val="20"/>
              </w:rPr>
              <w:t xml:space="preserve">, inxhinieri, </w:t>
            </w:r>
            <w:r w:rsidR="0095342A">
              <w:rPr>
                <w:rFonts w:ascii="Arial Narrow" w:hAnsi="Arial Narrow"/>
                <w:color w:val="000000"/>
                <w:sz w:val="20"/>
                <w:szCs w:val="20"/>
              </w:rPr>
              <w:t>komisione</w:t>
            </w:r>
          </w:p>
        </w:tc>
        <w:tc>
          <w:tcPr>
            <w:tcW w:w="2527" w:type="dxa"/>
            <w:shd w:val="clear" w:color="auto" w:fill="auto"/>
            <w:noWrap/>
            <w:vAlign w:val="bottom"/>
            <w:hideMark/>
          </w:tcPr>
          <w:p w14:paraId="63C53D77" w14:textId="77777777"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3,370,000</w:t>
            </w:r>
          </w:p>
        </w:tc>
      </w:tr>
      <w:tr w:rsidR="00430A79" w:rsidRPr="00430A79" w14:paraId="06D7E549" w14:textId="77777777" w:rsidTr="00D03949">
        <w:trPr>
          <w:trHeight w:val="264"/>
        </w:trPr>
        <w:tc>
          <w:tcPr>
            <w:tcW w:w="3858" w:type="dxa"/>
            <w:shd w:val="clear" w:color="auto" w:fill="auto"/>
            <w:noWrap/>
            <w:vAlign w:val="bottom"/>
            <w:hideMark/>
          </w:tcPr>
          <w:p w14:paraId="7BEC6700" w14:textId="77777777"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Kostot totale të investimit</w:t>
            </w:r>
          </w:p>
        </w:tc>
        <w:tc>
          <w:tcPr>
            <w:tcW w:w="2527" w:type="dxa"/>
            <w:shd w:val="clear" w:color="auto" w:fill="auto"/>
            <w:noWrap/>
            <w:vAlign w:val="bottom"/>
            <w:hideMark/>
          </w:tcPr>
          <w:p w14:paraId="37385314" w14:textId="77777777"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15,254,000</w:t>
            </w:r>
          </w:p>
        </w:tc>
      </w:tr>
    </w:tbl>
    <w:p w14:paraId="2383CBC8" w14:textId="77777777" w:rsidR="00430A79" w:rsidRPr="00430A79" w:rsidRDefault="00430A79" w:rsidP="00430A79">
      <w:pPr>
        <w:jc w:val="both"/>
        <w:rPr>
          <w:rFonts w:ascii="Arial Narrow" w:eastAsia="Calibri" w:hAnsi="Arial Narrow" w:cs="Calibri"/>
          <w:color w:val="000000" w:themeColor="text1"/>
          <w:sz w:val="22"/>
          <w:szCs w:val="22"/>
          <w:lang w:val="en-GB"/>
        </w:rPr>
      </w:pPr>
    </w:p>
    <w:p w14:paraId="122D7C38" w14:textId="070E5777" w:rsidR="00430A79" w:rsidRPr="00430A79" w:rsidRDefault="00430A79" w:rsidP="00430A79">
      <w:pPr>
        <w:jc w:val="both"/>
        <w:rPr>
          <w:rFonts w:ascii="Arial Narrow" w:eastAsia="Calibri" w:hAnsi="Arial Narrow" w:cs="Calibri"/>
          <w:color w:val="000000" w:themeColor="text1"/>
          <w:sz w:val="22"/>
          <w:szCs w:val="22"/>
          <w:lang w:val="en-GB"/>
        </w:rPr>
      </w:pPr>
      <w:proofErr w:type="spellStart"/>
      <w:r w:rsidRPr="00430A79">
        <w:rPr>
          <w:rFonts w:ascii="Arial Narrow" w:eastAsia="Calibri" w:hAnsi="Arial Narrow" w:cs="Calibri"/>
          <w:color w:val="000000" w:themeColor="text1"/>
          <w:sz w:val="22"/>
          <w:szCs w:val="22"/>
          <w:lang w:val="en-GB"/>
        </w:rPr>
        <w:t>Kostot</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opera</w:t>
      </w:r>
      <w:r w:rsidR="0095342A">
        <w:rPr>
          <w:rFonts w:ascii="Arial Narrow" w:eastAsia="Calibri" w:hAnsi="Arial Narrow" w:cs="Calibri"/>
          <w:color w:val="000000" w:themeColor="text1"/>
          <w:sz w:val="22"/>
          <w:szCs w:val="22"/>
          <w:lang w:val="en-GB"/>
        </w:rPr>
        <w:t>cionale</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për</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vitin</w:t>
      </w:r>
      <w:proofErr w:type="spellEnd"/>
      <w:r w:rsidRPr="00430A79">
        <w:rPr>
          <w:rFonts w:ascii="Arial Narrow" w:eastAsia="Calibri" w:hAnsi="Arial Narrow" w:cs="Calibri"/>
          <w:color w:val="000000" w:themeColor="text1"/>
          <w:sz w:val="22"/>
          <w:szCs w:val="22"/>
          <w:lang w:val="en-GB"/>
        </w:rPr>
        <w:t xml:space="preserve"> e </w:t>
      </w:r>
      <w:proofErr w:type="spellStart"/>
      <w:r w:rsidRPr="00430A79">
        <w:rPr>
          <w:rFonts w:ascii="Arial Narrow" w:eastAsia="Calibri" w:hAnsi="Arial Narrow" w:cs="Calibri"/>
          <w:color w:val="000000" w:themeColor="text1"/>
          <w:sz w:val="22"/>
          <w:szCs w:val="22"/>
          <w:lang w:val="en-GB"/>
        </w:rPr>
        <w:t>parë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të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funksionimit</w:t>
      </w:r>
      <w:proofErr w:type="spellEnd"/>
      <w:r w:rsidRPr="00430A79">
        <w:rPr>
          <w:rFonts w:ascii="Arial Narrow" w:eastAsia="Calibri" w:hAnsi="Arial Narrow" w:cs="Calibri"/>
          <w:color w:val="000000" w:themeColor="text1"/>
          <w:sz w:val="22"/>
          <w:szCs w:val="22"/>
          <w:lang w:val="en-GB"/>
        </w:rPr>
        <w:t xml:space="preserve"> (2031) </w:t>
      </w:r>
      <w:proofErr w:type="spellStart"/>
      <w:r w:rsidRPr="00430A79">
        <w:rPr>
          <w:rFonts w:ascii="Arial Narrow" w:eastAsia="Calibri" w:hAnsi="Arial Narrow" w:cs="Calibri"/>
          <w:color w:val="000000" w:themeColor="text1"/>
          <w:sz w:val="22"/>
          <w:szCs w:val="22"/>
          <w:lang w:val="en-GB"/>
        </w:rPr>
        <w:t>paraqiten</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në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tabelën</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vijuese</w:t>
      </w:r>
      <w:proofErr w:type="spellEnd"/>
      <w:r w:rsidRPr="00430A79">
        <w:rPr>
          <w:rFonts w:ascii="Arial Narrow" w:eastAsia="Calibri" w:hAnsi="Arial Narrow" w:cs="Calibri"/>
          <w:color w:val="000000" w:themeColor="text1"/>
          <w:sz w:val="22"/>
          <w:szCs w:val="22"/>
          <w:lang w:val="en-GB"/>
        </w:rPr>
        <w:t>.</w:t>
      </w:r>
    </w:p>
    <w:p w14:paraId="76032B89" w14:textId="77777777" w:rsidR="00430A79" w:rsidRPr="00430A79" w:rsidRDefault="00430A79" w:rsidP="00430A79">
      <w:pPr>
        <w:jc w:val="both"/>
        <w:rPr>
          <w:rFonts w:ascii="Arial Narrow" w:eastAsia="Calibri" w:hAnsi="Arial Narrow" w:cs="Calibri"/>
          <w:color w:val="000000" w:themeColor="text1"/>
          <w:sz w:val="22"/>
          <w:szCs w:val="22"/>
          <w:lang w:val="en-GB"/>
        </w:rPr>
      </w:pPr>
    </w:p>
    <w:p w14:paraId="72AA13A3" w14:textId="2317CF0B" w:rsidR="00430A79" w:rsidRPr="009F5CA1" w:rsidRDefault="00430A79" w:rsidP="00430A79">
      <w:pPr>
        <w:spacing w:after="120"/>
        <w:jc w:val="both"/>
        <w:rPr>
          <w:rFonts w:ascii="Arial Narrow" w:eastAsia="Calibri" w:hAnsi="Arial Narrow" w:cs="Calibri"/>
          <w:color w:val="1F497D"/>
          <w:sz w:val="20"/>
          <w:szCs w:val="20"/>
          <w:lang w:val="es-ES"/>
        </w:rPr>
      </w:pPr>
      <w:bookmarkStart w:id="389" w:name="_Toc185866212"/>
      <w:bookmarkStart w:id="390" w:name="_Toc197472241"/>
      <w:proofErr w:type="spellStart"/>
      <w:r w:rsidRPr="009F5CA1">
        <w:rPr>
          <w:rFonts w:ascii="Arial Narrow" w:eastAsia="Calibri" w:hAnsi="Arial Narrow" w:cs="Calibri"/>
          <w:color w:val="1F497D"/>
          <w:sz w:val="20"/>
          <w:szCs w:val="20"/>
          <w:lang w:val="es-ES"/>
        </w:rPr>
        <w:t>Tabela</w:t>
      </w:r>
      <w:proofErr w:type="spellEnd"/>
      <w:r w:rsidRPr="009F5CA1">
        <w:rPr>
          <w:rFonts w:ascii="Arial Narrow" w:eastAsia="Calibri" w:hAnsi="Arial Narrow" w:cs="Calibri"/>
          <w:color w:val="1F497D"/>
          <w:sz w:val="20"/>
          <w:szCs w:val="20"/>
          <w:lang w:val="es-ES"/>
        </w:rPr>
        <w:t xml:space="preserve">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lang w:val="es-ES"/>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lang w:val="es-ES"/>
        </w:rPr>
        <w:t xml:space="preserve">56. </w:t>
      </w:r>
      <w:r w:rsidRPr="00430A79">
        <w:rPr>
          <w:rFonts w:ascii="Arial Narrow" w:eastAsia="Calibri" w:hAnsi="Arial Narrow" w:cs="Calibri"/>
          <w:color w:val="1F497D"/>
          <w:sz w:val="20"/>
          <w:szCs w:val="20"/>
          <w:lang w:val="en-GB"/>
        </w:rPr>
        <w:fldChar w:fldCharType="end"/>
      </w:r>
      <w:proofErr w:type="spellStart"/>
      <w:r w:rsidRPr="009F5CA1">
        <w:rPr>
          <w:rFonts w:ascii="Arial Narrow" w:eastAsia="Calibri" w:hAnsi="Arial Narrow" w:cs="Calibri"/>
          <w:color w:val="1F497D"/>
          <w:sz w:val="20"/>
          <w:szCs w:val="20"/>
          <w:lang w:val="es-ES"/>
        </w:rPr>
        <w:t>Vlerësimet</w:t>
      </w:r>
      <w:proofErr w:type="spellEnd"/>
      <w:r w:rsidRPr="009F5CA1">
        <w:rPr>
          <w:rFonts w:ascii="Arial Narrow" w:eastAsia="Calibri" w:hAnsi="Arial Narrow" w:cs="Calibri"/>
          <w:color w:val="1F497D"/>
          <w:sz w:val="20"/>
          <w:szCs w:val="20"/>
          <w:lang w:val="es-ES"/>
        </w:rPr>
        <w:t xml:space="preserve"> e </w:t>
      </w:r>
      <w:proofErr w:type="spellStart"/>
      <w:r w:rsidRPr="009F5CA1">
        <w:rPr>
          <w:rFonts w:ascii="Arial Narrow" w:eastAsia="Calibri" w:hAnsi="Arial Narrow" w:cs="Calibri"/>
          <w:color w:val="1F497D"/>
          <w:sz w:val="20"/>
          <w:szCs w:val="20"/>
          <w:lang w:val="es-ES"/>
        </w:rPr>
        <w:t>kostove</w:t>
      </w:r>
      <w:proofErr w:type="spellEnd"/>
      <w:r w:rsidRPr="009F5CA1">
        <w:rPr>
          <w:rFonts w:ascii="Arial Narrow" w:eastAsia="Calibri" w:hAnsi="Arial Narrow" w:cs="Calibri"/>
          <w:color w:val="1F497D"/>
          <w:sz w:val="20"/>
          <w:szCs w:val="20"/>
          <w:lang w:val="es-ES"/>
        </w:rPr>
        <w:t xml:space="preserve"> </w:t>
      </w:r>
      <w:proofErr w:type="spellStart"/>
      <w:r w:rsidRPr="009F5CA1">
        <w:rPr>
          <w:rFonts w:ascii="Arial Narrow" w:eastAsia="Calibri" w:hAnsi="Arial Narrow" w:cs="Calibri"/>
          <w:color w:val="1F497D"/>
          <w:sz w:val="20"/>
          <w:szCs w:val="20"/>
          <w:lang w:val="es-ES"/>
        </w:rPr>
        <w:t>opera</w:t>
      </w:r>
      <w:r w:rsidR="0095342A" w:rsidRPr="009F5CA1">
        <w:rPr>
          <w:rFonts w:ascii="Arial Narrow" w:eastAsia="Calibri" w:hAnsi="Arial Narrow" w:cs="Calibri"/>
          <w:color w:val="1F497D"/>
          <w:sz w:val="20"/>
          <w:szCs w:val="20"/>
          <w:lang w:val="es-ES"/>
        </w:rPr>
        <w:t>cionale</w:t>
      </w:r>
      <w:proofErr w:type="spellEnd"/>
      <w:r w:rsidRPr="009F5CA1">
        <w:rPr>
          <w:rFonts w:ascii="Arial Narrow" w:eastAsia="Calibri" w:hAnsi="Arial Narrow" w:cs="Calibri"/>
          <w:color w:val="1F497D"/>
          <w:sz w:val="20"/>
          <w:szCs w:val="20"/>
          <w:lang w:val="es-ES"/>
        </w:rPr>
        <w:t xml:space="preserve"> </w:t>
      </w:r>
      <w:proofErr w:type="spellStart"/>
      <w:r w:rsidRPr="009F5CA1">
        <w:rPr>
          <w:rFonts w:ascii="Arial Narrow" w:eastAsia="Calibri" w:hAnsi="Arial Narrow" w:cs="Calibri"/>
          <w:color w:val="1F497D"/>
          <w:sz w:val="20"/>
          <w:szCs w:val="20"/>
          <w:lang w:val="es-ES"/>
        </w:rPr>
        <w:t>të</w:t>
      </w:r>
      <w:proofErr w:type="spellEnd"/>
      <w:r w:rsidRPr="009F5CA1">
        <w:rPr>
          <w:rFonts w:ascii="Arial Narrow" w:eastAsia="Calibri" w:hAnsi="Arial Narrow" w:cs="Calibri"/>
          <w:color w:val="1F497D"/>
          <w:sz w:val="20"/>
          <w:szCs w:val="20"/>
          <w:lang w:val="es-ES"/>
        </w:rPr>
        <w:t xml:space="preserve"> </w:t>
      </w:r>
      <w:proofErr w:type="spellStart"/>
      <w:r w:rsidRPr="009F5CA1">
        <w:rPr>
          <w:rFonts w:ascii="Arial Narrow" w:eastAsia="Calibri" w:hAnsi="Arial Narrow" w:cs="Calibri"/>
          <w:color w:val="1F497D"/>
          <w:sz w:val="20"/>
          <w:szCs w:val="20"/>
          <w:lang w:val="es-ES"/>
        </w:rPr>
        <w:t>instalimit</w:t>
      </w:r>
      <w:proofErr w:type="spellEnd"/>
      <w:r w:rsidRPr="009F5CA1">
        <w:rPr>
          <w:rFonts w:ascii="Arial Narrow" w:eastAsia="Calibri" w:hAnsi="Arial Narrow" w:cs="Calibri"/>
          <w:color w:val="1F497D"/>
          <w:sz w:val="20"/>
          <w:szCs w:val="20"/>
          <w:lang w:val="es-ES"/>
        </w:rPr>
        <w:t xml:space="preserve"> </w:t>
      </w:r>
      <w:proofErr w:type="spellStart"/>
      <w:r w:rsidR="0095342A" w:rsidRPr="009F5CA1">
        <w:rPr>
          <w:rFonts w:ascii="Arial Narrow" w:eastAsia="Calibri" w:hAnsi="Arial Narrow" w:cs="Calibri"/>
          <w:color w:val="1F497D"/>
          <w:sz w:val="20"/>
          <w:szCs w:val="20"/>
          <w:lang w:val="es-ES"/>
        </w:rPr>
        <w:t>të</w:t>
      </w:r>
      <w:proofErr w:type="spellEnd"/>
      <w:r w:rsidR="0095342A" w:rsidRPr="009F5CA1">
        <w:rPr>
          <w:rFonts w:ascii="Arial Narrow" w:eastAsia="Calibri" w:hAnsi="Arial Narrow" w:cs="Calibri"/>
          <w:color w:val="1F497D"/>
          <w:sz w:val="20"/>
          <w:szCs w:val="20"/>
          <w:lang w:val="es-ES"/>
        </w:rPr>
        <w:t xml:space="preserve"> T</w:t>
      </w:r>
      <w:r w:rsidRPr="009F5CA1">
        <w:rPr>
          <w:rFonts w:ascii="Arial Narrow" w:eastAsia="Calibri" w:hAnsi="Arial Narrow" w:cs="Calibri"/>
          <w:color w:val="1F497D"/>
          <w:sz w:val="20"/>
          <w:szCs w:val="20"/>
          <w:lang w:val="es-ES"/>
        </w:rPr>
        <w:t>MB</w:t>
      </w:r>
      <w:bookmarkEnd w:id="389"/>
      <w:bookmarkEnd w:id="390"/>
    </w:p>
    <w:tbl>
      <w:tblPr>
        <w:tblW w:w="6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8"/>
        <w:gridCol w:w="2527"/>
      </w:tblGrid>
      <w:tr w:rsidR="00430A79" w:rsidRPr="00430A79" w14:paraId="688DFBE9" w14:textId="77777777" w:rsidTr="00750949">
        <w:trPr>
          <w:trHeight w:val="264"/>
        </w:trPr>
        <w:tc>
          <w:tcPr>
            <w:tcW w:w="3858" w:type="dxa"/>
            <w:shd w:val="clear" w:color="auto" w:fill="365F91"/>
            <w:noWrap/>
            <w:vAlign w:val="bottom"/>
          </w:tcPr>
          <w:p w14:paraId="01C05193" w14:textId="1D08C362" w:rsidR="00430A79" w:rsidRPr="00430A79" w:rsidRDefault="0095342A" w:rsidP="00430A79">
            <w:pPr>
              <w:rPr>
                <w:rFonts w:ascii="Arial" w:hAnsi="Arial" w:cs="Arial"/>
                <w:sz w:val="20"/>
                <w:szCs w:val="20"/>
              </w:rPr>
            </w:pPr>
            <w:r>
              <w:rPr>
                <w:rFonts w:ascii="Arial Narrow" w:hAnsi="Arial Narrow"/>
                <w:b/>
                <w:bCs/>
                <w:color w:val="FFFFFF" w:themeColor="background1"/>
                <w:sz w:val="20"/>
                <w:szCs w:val="20"/>
              </w:rPr>
              <w:t xml:space="preserve">Përbërësit e </w:t>
            </w:r>
            <w:r w:rsidR="00430A79" w:rsidRPr="00430A79">
              <w:rPr>
                <w:rFonts w:ascii="Arial Narrow" w:hAnsi="Arial Narrow"/>
                <w:b/>
                <w:bCs/>
                <w:color w:val="FFFFFF" w:themeColor="background1"/>
                <w:sz w:val="20"/>
                <w:szCs w:val="20"/>
              </w:rPr>
              <w:t>kostos</w:t>
            </w:r>
          </w:p>
        </w:tc>
        <w:tc>
          <w:tcPr>
            <w:tcW w:w="2527" w:type="dxa"/>
            <w:shd w:val="clear" w:color="auto" w:fill="365F91"/>
            <w:noWrap/>
            <w:vAlign w:val="bottom"/>
          </w:tcPr>
          <w:p w14:paraId="4A062388" w14:textId="77777777" w:rsidR="00430A79" w:rsidRPr="00430A79" w:rsidRDefault="00430A79" w:rsidP="00430A79">
            <w:pPr>
              <w:jc w:val="right"/>
              <w:rPr>
                <w:rFonts w:ascii="Arial" w:hAnsi="Arial" w:cs="Arial"/>
                <w:sz w:val="20"/>
                <w:szCs w:val="20"/>
              </w:rPr>
            </w:pPr>
            <w:r w:rsidRPr="00430A79">
              <w:rPr>
                <w:rFonts w:ascii="Arial Narrow" w:hAnsi="Arial Narrow"/>
                <w:b/>
                <w:bCs/>
                <w:color w:val="FFFFFF" w:themeColor="background1"/>
                <w:sz w:val="20"/>
                <w:szCs w:val="20"/>
              </w:rPr>
              <w:t xml:space="preserve">Vlera, </w:t>
            </w:r>
            <w:r w:rsidRPr="00430A79">
              <w:rPr>
                <w:rFonts w:ascii="Calibri" w:hAnsi="Calibri" w:cs="Calibri"/>
                <w:b/>
                <w:bCs/>
                <w:color w:val="FFFFFF" w:themeColor="background1"/>
                <w:sz w:val="20"/>
                <w:szCs w:val="20"/>
              </w:rPr>
              <w:t>€</w:t>
            </w:r>
          </w:p>
        </w:tc>
      </w:tr>
      <w:tr w:rsidR="0095342A" w:rsidRPr="00430A79" w14:paraId="4C06956C" w14:textId="77777777" w:rsidTr="00D03949">
        <w:trPr>
          <w:trHeight w:val="264"/>
        </w:trPr>
        <w:tc>
          <w:tcPr>
            <w:tcW w:w="3858" w:type="dxa"/>
            <w:shd w:val="clear" w:color="auto" w:fill="auto"/>
            <w:noWrap/>
            <w:vAlign w:val="bottom"/>
            <w:hideMark/>
          </w:tcPr>
          <w:p w14:paraId="2A0612E1" w14:textId="2D5FD0C0" w:rsidR="0095342A" w:rsidRPr="00430A79" w:rsidRDefault="0095342A" w:rsidP="0095342A">
            <w:pPr>
              <w:rPr>
                <w:rFonts w:ascii="Arial Narrow" w:hAnsi="Arial Narrow"/>
                <w:color w:val="000000"/>
                <w:sz w:val="20"/>
                <w:szCs w:val="20"/>
              </w:rPr>
            </w:pPr>
            <w:r w:rsidRPr="00BE2534">
              <w:rPr>
                <w:rFonts w:ascii="Arial Narrow" w:hAnsi="Arial Narrow"/>
                <w:color w:val="000000"/>
                <w:sz w:val="20"/>
                <w:szCs w:val="20"/>
                <w:lang w:val="sq-AL"/>
              </w:rPr>
              <w:t>Personeli</w:t>
            </w:r>
          </w:p>
        </w:tc>
        <w:tc>
          <w:tcPr>
            <w:tcW w:w="2527" w:type="dxa"/>
            <w:shd w:val="clear" w:color="auto" w:fill="auto"/>
            <w:noWrap/>
            <w:vAlign w:val="bottom"/>
          </w:tcPr>
          <w:p w14:paraId="460F1788" w14:textId="77777777" w:rsidR="0095342A" w:rsidRPr="00430A79" w:rsidRDefault="0095342A" w:rsidP="0095342A">
            <w:pPr>
              <w:jc w:val="center"/>
              <w:rPr>
                <w:rFonts w:ascii="Arial Narrow" w:hAnsi="Arial Narrow"/>
                <w:color w:val="000000"/>
                <w:sz w:val="20"/>
                <w:szCs w:val="20"/>
              </w:rPr>
            </w:pPr>
            <w:r w:rsidRPr="00430A79">
              <w:rPr>
                <w:rFonts w:ascii="Arial Narrow" w:hAnsi="Arial Narrow"/>
                <w:color w:val="000000"/>
                <w:sz w:val="20"/>
                <w:szCs w:val="20"/>
              </w:rPr>
              <w:t>270,000</w:t>
            </w:r>
          </w:p>
        </w:tc>
      </w:tr>
      <w:tr w:rsidR="0095342A" w:rsidRPr="00430A79" w14:paraId="1D54F09A" w14:textId="77777777" w:rsidTr="00D03949">
        <w:trPr>
          <w:trHeight w:val="264"/>
        </w:trPr>
        <w:tc>
          <w:tcPr>
            <w:tcW w:w="3858" w:type="dxa"/>
            <w:shd w:val="clear" w:color="auto" w:fill="auto"/>
            <w:noWrap/>
            <w:vAlign w:val="bottom"/>
            <w:hideMark/>
          </w:tcPr>
          <w:p w14:paraId="339F21FB" w14:textId="314520F2" w:rsidR="0095342A" w:rsidRPr="00430A79" w:rsidRDefault="0095342A" w:rsidP="0095342A">
            <w:pPr>
              <w:rPr>
                <w:rFonts w:ascii="Arial Narrow" w:hAnsi="Arial Narrow"/>
                <w:color w:val="000000"/>
                <w:sz w:val="20"/>
                <w:szCs w:val="20"/>
              </w:rPr>
            </w:pPr>
            <w:r w:rsidRPr="00BE2534">
              <w:rPr>
                <w:rFonts w:ascii="Arial Narrow" w:hAnsi="Arial Narrow"/>
                <w:color w:val="000000"/>
                <w:sz w:val="20"/>
                <w:szCs w:val="20"/>
                <w:lang w:val="sq-AL"/>
              </w:rPr>
              <w:t>Mirëmbajtja</w:t>
            </w:r>
          </w:p>
        </w:tc>
        <w:tc>
          <w:tcPr>
            <w:tcW w:w="2527" w:type="dxa"/>
            <w:shd w:val="clear" w:color="auto" w:fill="auto"/>
            <w:noWrap/>
            <w:vAlign w:val="bottom"/>
          </w:tcPr>
          <w:p w14:paraId="7AE77A8A" w14:textId="77777777" w:rsidR="0095342A" w:rsidRPr="00430A79" w:rsidRDefault="0095342A" w:rsidP="0095342A">
            <w:pPr>
              <w:jc w:val="center"/>
              <w:rPr>
                <w:rFonts w:ascii="Arial Narrow" w:hAnsi="Arial Narrow"/>
                <w:color w:val="000000"/>
                <w:sz w:val="20"/>
                <w:szCs w:val="20"/>
              </w:rPr>
            </w:pPr>
            <w:r w:rsidRPr="00430A79">
              <w:rPr>
                <w:rFonts w:ascii="Arial Narrow" w:hAnsi="Arial Narrow"/>
                <w:color w:val="000000"/>
                <w:sz w:val="20"/>
                <w:szCs w:val="20"/>
              </w:rPr>
              <w:t>683,000</w:t>
            </w:r>
          </w:p>
        </w:tc>
      </w:tr>
      <w:tr w:rsidR="0095342A" w:rsidRPr="00430A79" w14:paraId="59A80C97" w14:textId="77777777" w:rsidTr="00D03949">
        <w:trPr>
          <w:trHeight w:val="264"/>
        </w:trPr>
        <w:tc>
          <w:tcPr>
            <w:tcW w:w="3858" w:type="dxa"/>
            <w:shd w:val="clear" w:color="auto" w:fill="auto"/>
            <w:noWrap/>
            <w:vAlign w:val="bottom"/>
            <w:hideMark/>
          </w:tcPr>
          <w:p w14:paraId="5E9F1025" w14:textId="5CD6B690" w:rsidR="0095342A" w:rsidRPr="00430A79" w:rsidRDefault="0095342A" w:rsidP="0095342A">
            <w:pPr>
              <w:rPr>
                <w:rFonts w:ascii="Arial Narrow" w:hAnsi="Arial Narrow"/>
                <w:color w:val="000000"/>
                <w:sz w:val="20"/>
                <w:szCs w:val="20"/>
              </w:rPr>
            </w:pPr>
            <w:r w:rsidRPr="00BE2534">
              <w:rPr>
                <w:rFonts w:ascii="Arial Narrow" w:hAnsi="Arial Narrow"/>
                <w:color w:val="000000"/>
                <w:sz w:val="20"/>
                <w:szCs w:val="20"/>
                <w:lang w:val="sq-AL"/>
              </w:rPr>
              <w:t>Materialet harxhuese</w:t>
            </w:r>
          </w:p>
        </w:tc>
        <w:tc>
          <w:tcPr>
            <w:tcW w:w="2527" w:type="dxa"/>
            <w:shd w:val="clear" w:color="auto" w:fill="auto"/>
            <w:noWrap/>
            <w:vAlign w:val="bottom"/>
          </w:tcPr>
          <w:p w14:paraId="173B513B" w14:textId="77777777" w:rsidR="0095342A" w:rsidRPr="00430A79" w:rsidRDefault="0095342A" w:rsidP="0095342A">
            <w:pPr>
              <w:jc w:val="center"/>
              <w:rPr>
                <w:rFonts w:ascii="Arial Narrow" w:hAnsi="Arial Narrow"/>
                <w:color w:val="000000"/>
                <w:sz w:val="20"/>
                <w:szCs w:val="20"/>
              </w:rPr>
            </w:pPr>
            <w:r w:rsidRPr="00430A79">
              <w:rPr>
                <w:rFonts w:ascii="Arial Narrow" w:hAnsi="Arial Narrow"/>
                <w:color w:val="000000"/>
                <w:sz w:val="20"/>
                <w:szCs w:val="20"/>
              </w:rPr>
              <w:t>157,000</w:t>
            </w:r>
          </w:p>
        </w:tc>
      </w:tr>
      <w:tr w:rsidR="0095342A" w:rsidRPr="00430A79" w14:paraId="1F74931E" w14:textId="77777777" w:rsidTr="00D03949">
        <w:trPr>
          <w:trHeight w:val="264"/>
        </w:trPr>
        <w:tc>
          <w:tcPr>
            <w:tcW w:w="3858" w:type="dxa"/>
            <w:shd w:val="clear" w:color="auto" w:fill="auto"/>
            <w:noWrap/>
            <w:vAlign w:val="bottom"/>
            <w:hideMark/>
          </w:tcPr>
          <w:p w14:paraId="1EF7D3A0" w14:textId="46657FA2" w:rsidR="0095342A" w:rsidRPr="00430A79" w:rsidRDefault="0095342A" w:rsidP="0095342A">
            <w:pPr>
              <w:rPr>
                <w:rFonts w:ascii="Arial Narrow" w:hAnsi="Arial Narrow"/>
                <w:color w:val="000000"/>
                <w:sz w:val="20"/>
                <w:szCs w:val="20"/>
              </w:rPr>
            </w:pPr>
            <w:r w:rsidRPr="00BE2534">
              <w:rPr>
                <w:rFonts w:ascii="Arial Narrow" w:hAnsi="Arial Narrow"/>
                <w:color w:val="000000"/>
                <w:sz w:val="20"/>
                <w:szCs w:val="20"/>
                <w:lang w:val="sq-AL"/>
              </w:rPr>
              <w:t>Transporti i mbeturinave në deponi</w:t>
            </w:r>
          </w:p>
        </w:tc>
        <w:tc>
          <w:tcPr>
            <w:tcW w:w="2527" w:type="dxa"/>
            <w:shd w:val="clear" w:color="auto" w:fill="auto"/>
            <w:noWrap/>
            <w:vAlign w:val="bottom"/>
          </w:tcPr>
          <w:p w14:paraId="247E61A4" w14:textId="77777777" w:rsidR="0095342A" w:rsidRPr="00430A79" w:rsidRDefault="0095342A" w:rsidP="0095342A">
            <w:pPr>
              <w:jc w:val="center"/>
              <w:rPr>
                <w:rFonts w:ascii="Arial Narrow" w:hAnsi="Arial Narrow"/>
                <w:color w:val="000000"/>
                <w:sz w:val="20"/>
                <w:szCs w:val="20"/>
              </w:rPr>
            </w:pPr>
            <w:r w:rsidRPr="00430A79">
              <w:rPr>
                <w:rFonts w:ascii="Arial Narrow" w:hAnsi="Arial Narrow"/>
                <w:color w:val="000000"/>
                <w:sz w:val="20"/>
                <w:szCs w:val="20"/>
              </w:rPr>
              <w:t>24,000</w:t>
            </w:r>
          </w:p>
        </w:tc>
      </w:tr>
      <w:tr w:rsidR="0095342A" w:rsidRPr="00430A79" w14:paraId="1113B8A2" w14:textId="77777777" w:rsidTr="00D03949">
        <w:trPr>
          <w:trHeight w:val="264"/>
        </w:trPr>
        <w:tc>
          <w:tcPr>
            <w:tcW w:w="3858" w:type="dxa"/>
            <w:shd w:val="clear" w:color="auto" w:fill="auto"/>
            <w:noWrap/>
            <w:vAlign w:val="bottom"/>
            <w:hideMark/>
          </w:tcPr>
          <w:p w14:paraId="563CA4C3" w14:textId="6EE07A18" w:rsidR="0095342A" w:rsidRPr="00430A79" w:rsidRDefault="0095342A" w:rsidP="0095342A">
            <w:pPr>
              <w:rPr>
                <w:rFonts w:ascii="Arial Narrow" w:hAnsi="Arial Narrow"/>
                <w:color w:val="000000"/>
                <w:sz w:val="20"/>
                <w:szCs w:val="20"/>
              </w:rPr>
            </w:pPr>
            <w:r w:rsidRPr="00BE2534">
              <w:rPr>
                <w:rFonts w:ascii="Arial Narrow" w:hAnsi="Arial Narrow"/>
                <w:color w:val="000000"/>
                <w:sz w:val="20"/>
                <w:szCs w:val="20"/>
                <w:lang w:val="sq-AL"/>
              </w:rPr>
              <w:t>Administrata</w:t>
            </w:r>
          </w:p>
        </w:tc>
        <w:tc>
          <w:tcPr>
            <w:tcW w:w="2527" w:type="dxa"/>
            <w:shd w:val="clear" w:color="auto" w:fill="auto"/>
            <w:noWrap/>
            <w:vAlign w:val="bottom"/>
          </w:tcPr>
          <w:p w14:paraId="6F89B5E3" w14:textId="77777777" w:rsidR="0095342A" w:rsidRPr="00430A79" w:rsidRDefault="0095342A" w:rsidP="0095342A">
            <w:pPr>
              <w:jc w:val="center"/>
              <w:rPr>
                <w:rFonts w:ascii="Arial Narrow" w:hAnsi="Arial Narrow"/>
                <w:color w:val="000000"/>
                <w:sz w:val="20"/>
                <w:szCs w:val="20"/>
              </w:rPr>
            </w:pPr>
            <w:r w:rsidRPr="00430A79">
              <w:rPr>
                <w:rFonts w:ascii="Arial Narrow" w:hAnsi="Arial Narrow"/>
                <w:color w:val="000000"/>
                <w:sz w:val="20"/>
                <w:szCs w:val="20"/>
              </w:rPr>
              <w:t>200,000</w:t>
            </w:r>
          </w:p>
        </w:tc>
      </w:tr>
      <w:tr w:rsidR="0095342A" w:rsidRPr="00430A79" w14:paraId="3E56968D" w14:textId="77777777" w:rsidTr="00D03949">
        <w:trPr>
          <w:trHeight w:val="264"/>
        </w:trPr>
        <w:tc>
          <w:tcPr>
            <w:tcW w:w="3858" w:type="dxa"/>
            <w:shd w:val="clear" w:color="auto" w:fill="auto"/>
            <w:noWrap/>
            <w:vAlign w:val="bottom"/>
            <w:hideMark/>
          </w:tcPr>
          <w:p w14:paraId="3C9ED95F" w14:textId="30A6E4B2" w:rsidR="0095342A" w:rsidRPr="00430A79" w:rsidRDefault="0095342A" w:rsidP="0095342A">
            <w:pPr>
              <w:rPr>
                <w:rFonts w:ascii="Arial Narrow" w:hAnsi="Arial Narrow"/>
                <w:color w:val="000000"/>
                <w:sz w:val="20"/>
                <w:szCs w:val="20"/>
              </w:rPr>
            </w:pPr>
            <w:r w:rsidRPr="00BE2534">
              <w:rPr>
                <w:rFonts w:ascii="Arial Narrow" w:hAnsi="Arial Narrow"/>
                <w:color w:val="000000"/>
                <w:sz w:val="20"/>
                <w:szCs w:val="20"/>
                <w:lang w:val="sq-AL"/>
              </w:rPr>
              <w:t>Taksat, sigurimet</w:t>
            </w:r>
          </w:p>
        </w:tc>
        <w:tc>
          <w:tcPr>
            <w:tcW w:w="2527" w:type="dxa"/>
            <w:shd w:val="clear" w:color="auto" w:fill="auto"/>
            <w:noWrap/>
            <w:vAlign w:val="bottom"/>
          </w:tcPr>
          <w:p w14:paraId="3505E608" w14:textId="77777777" w:rsidR="0095342A" w:rsidRPr="00430A79" w:rsidRDefault="0095342A" w:rsidP="0095342A">
            <w:pPr>
              <w:jc w:val="center"/>
              <w:rPr>
                <w:rFonts w:ascii="Arial Narrow" w:hAnsi="Arial Narrow"/>
                <w:color w:val="000000"/>
                <w:sz w:val="20"/>
                <w:szCs w:val="20"/>
              </w:rPr>
            </w:pPr>
            <w:r w:rsidRPr="00430A79">
              <w:rPr>
                <w:rFonts w:ascii="Arial Narrow" w:hAnsi="Arial Narrow"/>
                <w:color w:val="000000"/>
                <w:sz w:val="20"/>
                <w:szCs w:val="20"/>
              </w:rPr>
              <w:t>80,000</w:t>
            </w:r>
          </w:p>
        </w:tc>
      </w:tr>
      <w:tr w:rsidR="0095342A" w:rsidRPr="00430A79" w14:paraId="7D7EEDF9" w14:textId="77777777" w:rsidTr="00D03949">
        <w:trPr>
          <w:trHeight w:val="264"/>
        </w:trPr>
        <w:tc>
          <w:tcPr>
            <w:tcW w:w="3858" w:type="dxa"/>
            <w:shd w:val="clear" w:color="auto" w:fill="auto"/>
            <w:noWrap/>
            <w:vAlign w:val="bottom"/>
          </w:tcPr>
          <w:p w14:paraId="1ADA6A4E" w14:textId="5A108BCE" w:rsidR="0095342A" w:rsidRPr="00430A79" w:rsidRDefault="0095342A" w:rsidP="0095342A">
            <w:pPr>
              <w:rPr>
                <w:rFonts w:ascii="Arial Narrow" w:hAnsi="Arial Narrow"/>
                <w:color w:val="000000"/>
                <w:sz w:val="20"/>
                <w:szCs w:val="20"/>
              </w:rPr>
            </w:pPr>
            <w:r w:rsidRPr="00BE2534">
              <w:rPr>
                <w:rFonts w:ascii="Arial Narrow" w:hAnsi="Arial Narrow"/>
                <w:color w:val="000000"/>
                <w:sz w:val="20"/>
                <w:szCs w:val="20"/>
                <w:lang w:val="sq-AL"/>
              </w:rPr>
              <w:t>Kostot totale operacionale</w:t>
            </w:r>
          </w:p>
        </w:tc>
        <w:tc>
          <w:tcPr>
            <w:tcW w:w="2527" w:type="dxa"/>
            <w:shd w:val="clear" w:color="auto" w:fill="auto"/>
            <w:noWrap/>
            <w:vAlign w:val="bottom"/>
          </w:tcPr>
          <w:p w14:paraId="482CE5F6" w14:textId="77777777" w:rsidR="0095342A" w:rsidRPr="00430A79" w:rsidRDefault="0095342A" w:rsidP="0095342A">
            <w:pPr>
              <w:jc w:val="center"/>
              <w:rPr>
                <w:rFonts w:ascii="Arial Narrow" w:hAnsi="Arial Narrow"/>
                <w:color w:val="000000"/>
                <w:sz w:val="20"/>
                <w:szCs w:val="20"/>
              </w:rPr>
            </w:pPr>
            <w:r w:rsidRPr="00430A79">
              <w:rPr>
                <w:rFonts w:ascii="Arial Narrow" w:hAnsi="Arial Narrow"/>
                <w:color w:val="000000"/>
                <w:sz w:val="20"/>
                <w:szCs w:val="20"/>
              </w:rPr>
              <w:t>1,481,000</w:t>
            </w:r>
          </w:p>
        </w:tc>
      </w:tr>
    </w:tbl>
    <w:p w14:paraId="097C60F9" w14:textId="11AABF09" w:rsidR="00430A79" w:rsidRPr="009F5CA1" w:rsidRDefault="0095342A" w:rsidP="00430A79">
      <w:pPr>
        <w:jc w:val="both"/>
        <w:rPr>
          <w:rFonts w:ascii="Arial Narrow" w:eastAsia="Calibri" w:hAnsi="Arial Narrow" w:cs="Calibri"/>
          <w:color w:val="000000" w:themeColor="text1"/>
          <w:sz w:val="22"/>
          <w:szCs w:val="22"/>
        </w:rPr>
      </w:pPr>
      <w:r w:rsidRPr="0095342A">
        <w:rPr>
          <w:rFonts w:ascii="Arial Narrow" w:eastAsia="Calibri" w:hAnsi="Arial Narrow" w:cs="Calibri"/>
          <w:sz w:val="22"/>
          <w:szCs w:val="22"/>
          <w:lang w:val="sq-AL"/>
        </w:rPr>
        <w:t>Kostoja mesatare me ulje për ton të mbeturinave hyrëse është vlerësuar në 76 €/ton, ndërsa kostot neto duke marrë parasysh të hyrat nga shitja e materialeve të riciklueshme janë 69 €/ton</w:t>
      </w:r>
      <w:r w:rsidR="00430A79" w:rsidRPr="009F5CA1">
        <w:rPr>
          <w:rFonts w:ascii="Arial Narrow" w:eastAsia="Calibri" w:hAnsi="Arial Narrow" w:cs="Calibri"/>
          <w:color w:val="000000" w:themeColor="text1"/>
          <w:sz w:val="22"/>
          <w:szCs w:val="22"/>
        </w:rPr>
        <w:t>.</w:t>
      </w:r>
    </w:p>
    <w:p w14:paraId="6F2CE0AE" w14:textId="77777777" w:rsidR="003F742B" w:rsidRPr="009F5CA1" w:rsidRDefault="003F742B" w:rsidP="00430A79">
      <w:pPr>
        <w:jc w:val="both"/>
        <w:rPr>
          <w:rFonts w:ascii="Arial Narrow" w:eastAsia="Calibri" w:hAnsi="Arial Narrow" w:cs="Calibri"/>
          <w:color w:val="000000" w:themeColor="text1"/>
          <w:sz w:val="22"/>
          <w:szCs w:val="22"/>
        </w:rPr>
      </w:pPr>
    </w:p>
    <w:p w14:paraId="4CB72C1E" w14:textId="72964F1A" w:rsidR="00430A79" w:rsidRPr="00430A79" w:rsidRDefault="00430A79" w:rsidP="000D7AD0">
      <w:pPr>
        <w:pStyle w:val="Heading3"/>
      </w:pPr>
      <w:bookmarkStart w:id="391" w:name="_Toc185866127"/>
      <w:bookmarkStart w:id="392" w:name="_Toc197472020"/>
      <w:r w:rsidRPr="00430A79">
        <w:t>Kompostimi i mbet</w:t>
      </w:r>
      <w:r w:rsidR="0095342A">
        <w:t>urinave</w:t>
      </w:r>
      <w:r w:rsidRPr="00430A79">
        <w:t xml:space="preserve"> të gjelbra</w:t>
      </w:r>
      <w:bookmarkEnd w:id="391"/>
      <w:bookmarkEnd w:id="392"/>
    </w:p>
    <w:p w14:paraId="4BEE329B" w14:textId="77777777" w:rsidR="003F742B" w:rsidRDefault="003F742B" w:rsidP="00430A79">
      <w:pPr>
        <w:jc w:val="both"/>
        <w:rPr>
          <w:rFonts w:ascii="Arial Narrow" w:hAnsi="Arial Narrow" w:cs="Calibri"/>
          <w:sz w:val="22"/>
          <w:szCs w:val="22"/>
          <w:lang w:val="sq-AL" w:eastAsia="bg-BG"/>
        </w:rPr>
      </w:pPr>
    </w:p>
    <w:p w14:paraId="51744A12" w14:textId="27B45359" w:rsidR="00430A79" w:rsidRPr="009F5CA1" w:rsidRDefault="0095342A" w:rsidP="00430A79">
      <w:pPr>
        <w:jc w:val="both"/>
        <w:rPr>
          <w:rFonts w:ascii="Arial Narrow" w:hAnsi="Arial Narrow" w:cs="Calibri"/>
          <w:sz w:val="22"/>
          <w:szCs w:val="22"/>
          <w:lang w:val="sq-AL" w:eastAsia="bg-BG"/>
        </w:rPr>
      </w:pPr>
      <w:r w:rsidRPr="00BE2534">
        <w:rPr>
          <w:rFonts w:ascii="Arial Narrow" w:hAnsi="Arial Narrow" w:cs="Calibri"/>
          <w:sz w:val="22"/>
          <w:szCs w:val="22"/>
          <w:lang w:val="sq-AL" w:eastAsia="bg-BG"/>
        </w:rPr>
        <w:t>Trajtimi i mbeturinave organike në ZMM mund të fillojë me metoda relativisht të thjeshta, si kompostimi i mbeturinave organike të gjelbra (p.sh. mbeturinat fushore, mbeturinat nga kopshtet etj.) që kërkon një paraprocesim minimal dhe që do të rezultojë në cilësinë më të lartë të produktit përfundimtar të kompostimit i cili mund të përdoret si kondicioner i tokës dhe do të jetë i përshtatshëm për përdorime bujqësore dhe të tjera</w:t>
      </w:r>
      <w:r w:rsidR="00430A79" w:rsidRPr="009F5CA1">
        <w:rPr>
          <w:rFonts w:ascii="Arial Narrow" w:hAnsi="Arial Narrow" w:cs="Calibri"/>
          <w:sz w:val="22"/>
          <w:szCs w:val="22"/>
          <w:lang w:val="sq-AL" w:eastAsia="bg-BG"/>
        </w:rPr>
        <w:t>.</w:t>
      </w:r>
    </w:p>
    <w:p w14:paraId="754A68AE" w14:textId="77777777" w:rsidR="00430A79" w:rsidRPr="009F5CA1" w:rsidRDefault="00430A79" w:rsidP="00430A79">
      <w:pPr>
        <w:jc w:val="both"/>
        <w:rPr>
          <w:rFonts w:ascii="Arial Narrow" w:hAnsi="Arial Narrow" w:cs="Calibri"/>
          <w:sz w:val="22"/>
          <w:szCs w:val="22"/>
          <w:lang w:val="sq-AL" w:eastAsia="bg-BG"/>
        </w:rPr>
      </w:pPr>
    </w:p>
    <w:p w14:paraId="40F5B2D9" w14:textId="77777777" w:rsidR="0095342A" w:rsidRPr="00BE2534" w:rsidRDefault="0095342A" w:rsidP="0095342A">
      <w:pPr>
        <w:jc w:val="both"/>
        <w:rPr>
          <w:rFonts w:ascii="Arial Narrow" w:hAnsi="Arial Narrow" w:cs="Calibri"/>
          <w:sz w:val="22"/>
          <w:szCs w:val="22"/>
          <w:lang w:val="sq-AL" w:eastAsia="bg-BG"/>
        </w:rPr>
      </w:pPr>
      <w:r w:rsidRPr="00BE2534">
        <w:rPr>
          <w:rFonts w:ascii="Arial Narrow" w:hAnsi="Arial Narrow" w:cs="Calibri"/>
          <w:sz w:val="22"/>
          <w:szCs w:val="22"/>
          <w:lang w:val="sq-AL" w:eastAsia="bg-BG"/>
        </w:rPr>
        <w:lastRenderedPageBreak/>
        <w:t xml:space="preserve">Dallimi kryesor midis kësaj metode dhe bio-stabilizimit të mbeturinave organike të përziera është se për të prodhuar një kompost të cilësisë së lartë, i cili mund të aplikohet për qëllime të ndryshme (dhe të shmanget nga deponia), metoda kërkon që materiali hyrës të mblidhet </w:t>
      </w:r>
      <w:r>
        <w:rPr>
          <w:rFonts w:ascii="Arial Narrow" w:hAnsi="Arial Narrow" w:cs="Calibri"/>
          <w:sz w:val="22"/>
          <w:szCs w:val="22"/>
          <w:lang w:val="sq-AL" w:eastAsia="bg-BG"/>
        </w:rPr>
        <w:t>ndaras</w:t>
      </w:r>
      <w:r w:rsidRPr="00BE2534">
        <w:rPr>
          <w:rFonts w:ascii="Arial Narrow" w:hAnsi="Arial Narrow" w:cs="Calibri"/>
          <w:sz w:val="22"/>
          <w:szCs w:val="22"/>
          <w:lang w:val="sq-AL" w:eastAsia="bg-BG"/>
        </w:rPr>
        <w:t xml:space="preserve"> për të shmangur kontaminimin e produktit përfundimtar.</w:t>
      </w:r>
    </w:p>
    <w:p w14:paraId="2CDAF8CA" w14:textId="77777777" w:rsidR="0095342A" w:rsidRPr="00BE2534" w:rsidRDefault="0095342A" w:rsidP="0095342A">
      <w:pPr>
        <w:jc w:val="both"/>
        <w:rPr>
          <w:rFonts w:ascii="Arial Narrow" w:hAnsi="Arial Narrow" w:cs="Calibri"/>
          <w:sz w:val="22"/>
          <w:szCs w:val="22"/>
          <w:lang w:val="sq-AL" w:eastAsia="bg-BG"/>
        </w:rPr>
      </w:pPr>
    </w:p>
    <w:p w14:paraId="67871B92" w14:textId="77777777" w:rsidR="0095342A" w:rsidRPr="00BE2534" w:rsidRDefault="0095342A" w:rsidP="0095342A">
      <w:pPr>
        <w:jc w:val="both"/>
        <w:rPr>
          <w:rFonts w:ascii="Arial Narrow" w:hAnsi="Arial Narrow" w:cs="Calibri"/>
          <w:sz w:val="22"/>
          <w:szCs w:val="22"/>
          <w:lang w:val="sq-AL" w:eastAsia="bg-BG"/>
        </w:rPr>
      </w:pPr>
      <w:r w:rsidRPr="00BE2534">
        <w:rPr>
          <w:rFonts w:ascii="Arial Narrow" w:hAnsi="Arial Narrow" w:cs="Calibri"/>
          <w:sz w:val="22"/>
          <w:szCs w:val="22"/>
          <w:lang w:val="sq-AL" w:eastAsia="bg-BG"/>
        </w:rPr>
        <w:t>Aktivitetet e kompostimit synojnë të arrijnë:</w:t>
      </w:r>
    </w:p>
    <w:p w14:paraId="4539A71A" w14:textId="77777777" w:rsidR="0095342A" w:rsidRPr="00BE2534" w:rsidRDefault="0095342A" w:rsidP="0095342A">
      <w:pPr>
        <w:jc w:val="both"/>
        <w:rPr>
          <w:rFonts w:ascii="Arial Narrow" w:hAnsi="Arial Narrow" w:cs="Calibri"/>
          <w:sz w:val="22"/>
          <w:szCs w:val="22"/>
          <w:lang w:val="sq-AL" w:eastAsia="bg-BG"/>
        </w:rPr>
      </w:pPr>
    </w:p>
    <w:p w14:paraId="4FCC5BF9" w14:textId="77777777" w:rsidR="0095342A" w:rsidRPr="00BE2534" w:rsidRDefault="0095342A" w:rsidP="0095342A">
      <w:pPr>
        <w:numPr>
          <w:ilvl w:val="0"/>
          <w:numId w:val="18"/>
        </w:numPr>
        <w:spacing w:after="160" w:line="259" w:lineRule="auto"/>
        <w:contextualSpacing/>
        <w:jc w:val="both"/>
        <w:rPr>
          <w:rFonts w:ascii="Arial Narrow" w:hAnsi="Arial Narrow" w:cs="Calibri"/>
          <w:sz w:val="22"/>
          <w:szCs w:val="22"/>
          <w:lang w:val="sq-AL" w:eastAsia="bg-BG"/>
        </w:rPr>
      </w:pPr>
      <w:r w:rsidRPr="00BE2534">
        <w:rPr>
          <w:rFonts w:ascii="Arial Narrow" w:hAnsi="Arial Narrow" w:cs="Calibri"/>
          <w:sz w:val="22"/>
          <w:szCs w:val="22"/>
          <w:lang w:val="sq-AL" w:eastAsia="bg-BG"/>
        </w:rPr>
        <w:t>Reduktimi i mbeturinave organike në rrjedhën totale të mbeturinave për deponim, dhe</w:t>
      </w:r>
    </w:p>
    <w:p w14:paraId="6DF13CE4" w14:textId="77777777" w:rsidR="0095342A" w:rsidRPr="00BE2534" w:rsidRDefault="0095342A" w:rsidP="0095342A">
      <w:pPr>
        <w:numPr>
          <w:ilvl w:val="0"/>
          <w:numId w:val="18"/>
        </w:numPr>
        <w:spacing w:after="160" w:line="259" w:lineRule="auto"/>
        <w:contextualSpacing/>
        <w:jc w:val="both"/>
        <w:rPr>
          <w:rFonts w:ascii="Arial Narrow" w:hAnsi="Arial Narrow" w:cs="Calibri"/>
          <w:sz w:val="22"/>
          <w:szCs w:val="22"/>
          <w:lang w:val="sq-AL" w:eastAsia="bg-BG"/>
        </w:rPr>
      </w:pPr>
      <w:r w:rsidRPr="00BE2534">
        <w:rPr>
          <w:rFonts w:ascii="Arial Narrow" w:hAnsi="Arial Narrow" w:cs="Calibri"/>
          <w:sz w:val="22"/>
          <w:szCs w:val="22"/>
          <w:lang w:val="sq-AL" w:eastAsia="bg-BG"/>
        </w:rPr>
        <w:t>Kthimi i një pjese të fraksionit organik për ripërdorim</w:t>
      </w:r>
    </w:p>
    <w:p w14:paraId="5AB9E413" w14:textId="77777777" w:rsidR="0095342A" w:rsidRPr="00BE2534" w:rsidRDefault="0095342A" w:rsidP="0095342A">
      <w:pPr>
        <w:jc w:val="both"/>
        <w:rPr>
          <w:rFonts w:ascii="Arial Narrow" w:hAnsi="Arial Narrow" w:cs="Calibri"/>
          <w:sz w:val="22"/>
          <w:szCs w:val="22"/>
          <w:lang w:val="sq-AL" w:eastAsia="bg-BG"/>
        </w:rPr>
      </w:pPr>
    </w:p>
    <w:p w14:paraId="286F8073" w14:textId="77777777" w:rsidR="0095342A" w:rsidRPr="00BE2534" w:rsidRDefault="0095342A" w:rsidP="0095342A">
      <w:pPr>
        <w:jc w:val="both"/>
        <w:rPr>
          <w:rFonts w:ascii="Arial Narrow" w:hAnsi="Arial Narrow" w:cs="Calibri"/>
          <w:sz w:val="22"/>
          <w:szCs w:val="22"/>
          <w:lang w:val="sq-AL" w:eastAsia="bg-BG"/>
        </w:rPr>
      </w:pPr>
      <w:r w:rsidRPr="00BE2534">
        <w:rPr>
          <w:rFonts w:ascii="Arial Narrow" w:hAnsi="Arial Narrow" w:cs="Calibri"/>
          <w:sz w:val="22"/>
          <w:szCs w:val="22"/>
          <w:lang w:val="sq-AL" w:eastAsia="bg-BG"/>
        </w:rPr>
        <w:t>Kompostimi zakonisht bëhet në të ashtuquajturat dritare. Është një zgjidhje e thjeshtë dhe e lirë. Është gjithashtu i adaptueshëm ndaj zgjerimit të ardhshëm (rritjes së kapacitetit) ose përditësimit të pajisjeve. Disavantazhi është periudha relativisht e gjatë e nevojshme për maturimin e kompostit.</w:t>
      </w:r>
    </w:p>
    <w:p w14:paraId="589F838F" w14:textId="77777777" w:rsidR="0095342A" w:rsidRPr="00BE2534" w:rsidRDefault="0095342A" w:rsidP="0095342A">
      <w:pPr>
        <w:jc w:val="both"/>
        <w:rPr>
          <w:rFonts w:ascii="Arial Narrow" w:hAnsi="Arial Narrow" w:cs="Calibri"/>
          <w:sz w:val="22"/>
          <w:szCs w:val="22"/>
          <w:lang w:val="sq-AL" w:eastAsia="bg-BG"/>
        </w:rPr>
      </w:pPr>
    </w:p>
    <w:p w14:paraId="0D06E2A0" w14:textId="7A86DF3C" w:rsidR="00430A79" w:rsidRPr="009F5CA1" w:rsidRDefault="0095342A" w:rsidP="0095342A">
      <w:pPr>
        <w:jc w:val="both"/>
        <w:rPr>
          <w:rFonts w:ascii="Arial Narrow" w:hAnsi="Arial Narrow" w:cs="Calibri"/>
          <w:sz w:val="22"/>
          <w:szCs w:val="22"/>
          <w:lang w:val="sq-AL" w:eastAsia="bg-BG"/>
        </w:rPr>
      </w:pPr>
      <w:r w:rsidRPr="00BE2534">
        <w:rPr>
          <w:rFonts w:ascii="Arial Narrow" w:hAnsi="Arial Narrow" w:cs="Calibri"/>
          <w:sz w:val="22"/>
          <w:szCs w:val="22"/>
          <w:lang w:val="sq-AL" w:eastAsia="bg-BG"/>
        </w:rPr>
        <w:t xml:space="preserve">Kompostimi i mbeturinave të gjelbra të mbledhura </w:t>
      </w:r>
      <w:r>
        <w:rPr>
          <w:rFonts w:ascii="Arial Narrow" w:hAnsi="Arial Narrow" w:cs="Calibri"/>
          <w:sz w:val="22"/>
          <w:szCs w:val="22"/>
          <w:lang w:val="sq-AL" w:eastAsia="bg-BG"/>
        </w:rPr>
        <w:t>ndaras</w:t>
      </w:r>
      <w:r w:rsidRPr="00BE2534">
        <w:rPr>
          <w:rFonts w:ascii="Arial Narrow" w:hAnsi="Arial Narrow" w:cs="Calibri"/>
          <w:sz w:val="22"/>
          <w:szCs w:val="22"/>
          <w:lang w:val="sq-AL" w:eastAsia="bg-BG"/>
        </w:rPr>
        <w:t xml:space="preserve"> përfshin shkarkimin e tyre në një vend të caktuar, copëtimin dhe vendosjen e tyre në piramida. Për qëllime të ajrosjes, materiali duhet të rrotullohet rregullisht nga një rrotullues i shtresave të grumbulluarai, ose përmes një pajisje të projektuara posaçërisht për këtë, siç tregohet në figurën më poshtë</w:t>
      </w:r>
      <w:r w:rsidR="00430A79" w:rsidRPr="009F5CA1">
        <w:rPr>
          <w:rFonts w:ascii="Arial Narrow" w:hAnsi="Arial Narrow" w:cs="Calibri"/>
          <w:sz w:val="22"/>
          <w:szCs w:val="22"/>
          <w:lang w:val="sq-AL" w:eastAsia="bg-BG"/>
        </w:rPr>
        <w:t>.</w:t>
      </w:r>
    </w:p>
    <w:p w14:paraId="5C30C919" w14:textId="77777777" w:rsidR="00430A79" w:rsidRPr="009F5CA1" w:rsidRDefault="00430A79" w:rsidP="00430A79">
      <w:pPr>
        <w:jc w:val="both"/>
        <w:rPr>
          <w:rFonts w:ascii="Arial Narrow" w:hAnsi="Arial Narrow" w:cs="Calibri"/>
          <w:sz w:val="22"/>
          <w:szCs w:val="22"/>
          <w:lang w:val="sq-AL" w:eastAsia="bg-BG"/>
        </w:rPr>
      </w:pPr>
    </w:p>
    <w:p w14:paraId="569FAE08" w14:textId="77777777" w:rsidR="00430A79" w:rsidRPr="00430A79" w:rsidRDefault="00430A79" w:rsidP="00430A79">
      <w:pPr>
        <w:jc w:val="both"/>
        <w:rPr>
          <w:rFonts w:ascii="Arial Narrow" w:eastAsia="Calibri" w:hAnsi="Arial Narrow" w:cs="Calibri"/>
          <w:bCs/>
          <w:color w:val="0F0D29"/>
          <w:sz w:val="22"/>
          <w:szCs w:val="22"/>
        </w:rPr>
      </w:pPr>
      <w:r w:rsidRPr="00430A79">
        <w:rPr>
          <w:rFonts w:ascii="Arial Narrow" w:eastAsia="Calibri" w:hAnsi="Arial Narrow" w:cs="Calibri"/>
          <w:bCs/>
          <w:noProof/>
          <w:color w:val="0F0D29"/>
          <w:sz w:val="22"/>
          <w:szCs w:val="22"/>
        </w:rPr>
        <w:drawing>
          <wp:inline distT="0" distB="0" distL="0" distR="0" wp14:anchorId="4023F318" wp14:editId="3E31BD4E">
            <wp:extent cx="2112191" cy="1182828"/>
            <wp:effectExtent l="0" t="0" r="2540" b="0"/>
            <wp:docPr id="1640143793" name="Picture 1640143793" descr="compost turner.png">
              <a:extLst xmlns:a="http://schemas.openxmlformats.org/drawingml/2006/main">
                <a:ext uri="{FF2B5EF4-FFF2-40B4-BE49-F238E27FC236}">
                  <a16:creationId xmlns:a16="http://schemas.microsoft.com/office/drawing/2014/main" id="{9A5D6FD9-BBFA-D394-D982-61585A28AF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ompost turner.png">
                      <a:extLst>
                        <a:ext uri="{FF2B5EF4-FFF2-40B4-BE49-F238E27FC236}">
                          <a16:creationId xmlns:a16="http://schemas.microsoft.com/office/drawing/2014/main" id="{9A5D6FD9-BBFA-D394-D982-61585A28AF3A}"/>
                        </a:ext>
                      </a:extLst>
                    </pic:cNvPr>
                    <pic:cNvPicPr>
                      <a:picLocks noChangeAspect="1"/>
                    </pic:cNvPicPr>
                  </pic:nvPicPr>
                  <pic:blipFill>
                    <a:blip r:embed="rId77" cstate="print"/>
                    <a:stretch>
                      <a:fillRect/>
                    </a:stretch>
                  </pic:blipFill>
                  <pic:spPr>
                    <a:xfrm>
                      <a:off x="0" y="0"/>
                      <a:ext cx="2122640" cy="1188679"/>
                    </a:xfrm>
                    <a:prstGeom prst="rect">
                      <a:avLst/>
                    </a:prstGeom>
                  </pic:spPr>
                </pic:pic>
              </a:graphicData>
            </a:graphic>
          </wp:inline>
        </w:drawing>
      </w:r>
      <w:r w:rsidRPr="00430A79">
        <w:rPr>
          <w:rFonts w:ascii="Arial Narrow" w:eastAsia="Calibri" w:hAnsi="Arial Narrow" w:cs="Calibri"/>
          <w:bCs/>
          <w:noProof/>
          <w:color w:val="0F0D29"/>
          <w:sz w:val="22"/>
          <w:szCs w:val="22"/>
        </w:rPr>
        <w:drawing>
          <wp:inline distT="0" distB="0" distL="0" distR="0" wp14:anchorId="15382E28" wp14:editId="274F7FB0">
            <wp:extent cx="1760319" cy="1174292"/>
            <wp:effectExtent l="0" t="0" r="0" b="6985"/>
            <wp:docPr id="1457824019" name="Picture 1457824019" descr="A tractor moving a green container&#10;&#10;Description automatically generated with medium confidence">
              <a:extLst xmlns:a="http://schemas.openxmlformats.org/drawingml/2006/main">
                <a:ext uri="{FF2B5EF4-FFF2-40B4-BE49-F238E27FC236}">
                  <a16:creationId xmlns:a16="http://schemas.microsoft.com/office/drawing/2014/main" id="{BB184D16-896C-7916-C22C-516533CB42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24019" name="Picture 1457824019" descr="A tractor moving a green container&#10;&#10;Description automatically generated with medium confidence">
                      <a:extLst>
                        <a:ext uri="{FF2B5EF4-FFF2-40B4-BE49-F238E27FC236}">
                          <a16:creationId xmlns:a16="http://schemas.microsoft.com/office/drawing/2014/main" id="{BB184D16-896C-7916-C22C-516533CB4213}"/>
                        </a:ext>
                      </a:extLst>
                    </pic:cNvPr>
                    <pic:cNvPicPr>
                      <a:picLocks noChangeAspect="1" noChangeArrowheads="1"/>
                    </pic:cNvPicPr>
                  </pic:nvPicPr>
                  <pic:blipFill>
                    <a:blip r:embed="rId78" cstate="print"/>
                    <a:srcRect/>
                    <a:stretch>
                      <a:fillRect/>
                    </a:stretch>
                  </pic:blipFill>
                  <pic:spPr bwMode="auto">
                    <a:xfrm>
                      <a:off x="0" y="0"/>
                      <a:ext cx="1766677" cy="1178534"/>
                    </a:xfrm>
                    <a:prstGeom prst="rect">
                      <a:avLst/>
                    </a:prstGeom>
                    <a:noFill/>
                    <a:ln w="9525">
                      <a:noFill/>
                      <a:miter lim="800000"/>
                      <a:headEnd/>
                      <a:tailEnd/>
                    </a:ln>
                  </pic:spPr>
                </pic:pic>
              </a:graphicData>
            </a:graphic>
          </wp:inline>
        </w:drawing>
      </w:r>
      <w:r w:rsidRPr="00430A79">
        <w:rPr>
          <w:rFonts w:ascii="Arial Narrow" w:eastAsia="Calibri" w:hAnsi="Arial Narrow" w:cs="Calibri"/>
          <w:bCs/>
          <w:noProof/>
          <w:color w:val="0F0D29"/>
          <w:sz w:val="22"/>
          <w:szCs w:val="22"/>
        </w:rPr>
        <w:drawing>
          <wp:inline distT="0" distB="0" distL="0" distR="0" wp14:anchorId="2FE23D88" wp14:editId="155F65E6">
            <wp:extent cx="1786935" cy="1177896"/>
            <wp:effectExtent l="0" t="0" r="3810" b="3810"/>
            <wp:docPr id="467540494" name="Picture 467540494" descr="A dirt hill with a yellow tape&#10;&#10;Description automatically generated with medium confidence">
              <a:extLst xmlns:a="http://schemas.openxmlformats.org/drawingml/2006/main">
                <a:ext uri="{FF2B5EF4-FFF2-40B4-BE49-F238E27FC236}">
                  <a16:creationId xmlns:a16="http://schemas.microsoft.com/office/drawing/2014/main" id="{D340DEE0-6A21-7547-52B1-47B3732B7A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40494" name="Picture 467540494" descr="A dirt hill with a yellow tape&#10;&#10;Description automatically generated with medium confidence">
                      <a:extLst>
                        <a:ext uri="{FF2B5EF4-FFF2-40B4-BE49-F238E27FC236}">
                          <a16:creationId xmlns:a16="http://schemas.microsoft.com/office/drawing/2014/main" id="{D340DEE0-6A21-7547-52B1-47B3732B7AD9}"/>
                        </a:ext>
                      </a:extLst>
                    </pic:cNvPr>
                    <pic:cNvPicPr>
                      <a:picLocks noChangeAspect="1" noChangeArrowheads="1"/>
                    </pic:cNvPicPr>
                  </pic:nvPicPr>
                  <pic:blipFill>
                    <a:blip r:embed="rId79" cstate="print"/>
                    <a:srcRect b="12885"/>
                    <a:stretch>
                      <a:fillRect/>
                    </a:stretch>
                  </pic:blipFill>
                  <pic:spPr bwMode="auto">
                    <a:xfrm flipH="1">
                      <a:off x="0" y="0"/>
                      <a:ext cx="1806345" cy="1190691"/>
                    </a:xfrm>
                    <a:prstGeom prst="rect">
                      <a:avLst/>
                    </a:prstGeom>
                    <a:noFill/>
                    <a:ln w="9525">
                      <a:noFill/>
                      <a:miter lim="800000"/>
                      <a:headEnd/>
                      <a:tailEnd/>
                    </a:ln>
                  </pic:spPr>
                </pic:pic>
              </a:graphicData>
            </a:graphic>
          </wp:inline>
        </w:drawing>
      </w:r>
    </w:p>
    <w:p w14:paraId="46E43C9A" w14:textId="6B5C0C2D" w:rsidR="00430A79" w:rsidRPr="00430A79" w:rsidRDefault="00430A79" w:rsidP="006347D6">
      <w:pPr>
        <w:pStyle w:val="Figure"/>
        <w:rPr>
          <w:rFonts w:eastAsia="Calibri" w:cs="Calibri"/>
          <w:sz w:val="20"/>
          <w:szCs w:val="20"/>
        </w:rPr>
      </w:pPr>
      <w:bookmarkStart w:id="393" w:name="_Toc149729927"/>
      <w:bookmarkStart w:id="394" w:name="_Toc153381610"/>
      <w:bookmarkStart w:id="395" w:name="_Toc185866249"/>
      <w:bookmarkStart w:id="396" w:name="_Toc197472327"/>
      <w:r w:rsidRPr="00430A79">
        <w:rPr>
          <w:rFonts w:eastAsia="Calibri" w:cs="Calibri"/>
          <w:sz w:val="20"/>
          <w:szCs w:val="20"/>
        </w:rPr>
        <w:t xml:space="preserve">Figura </w:t>
      </w:r>
      <w:r w:rsidRPr="00430A79">
        <w:rPr>
          <w:rFonts w:eastAsia="Calibri" w:cs="Calibri"/>
          <w:sz w:val="20"/>
          <w:szCs w:val="20"/>
        </w:rPr>
        <w:fldChar w:fldCharType="begin"/>
      </w:r>
      <w:r w:rsidRPr="00430A79">
        <w:rPr>
          <w:rFonts w:eastAsia="Calibri" w:cs="Calibri"/>
          <w:sz w:val="20"/>
          <w:szCs w:val="20"/>
        </w:rPr>
        <w:instrText xml:space="preserve"> SEQ Figure \* ARABIC </w:instrText>
      </w:r>
      <w:r w:rsidRPr="00430A79">
        <w:rPr>
          <w:rFonts w:eastAsia="Calibri" w:cs="Calibri"/>
          <w:sz w:val="20"/>
          <w:szCs w:val="20"/>
        </w:rPr>
        <w:fldChar w:fldCharType="separate"/>
      </w:r>
      <w:r w:rsidR="00C97DF3">
        <w:rPr>
          <w:rFonts w:eastAsia="Calibri" w:cs="Calibri"/>
          <w:noProof/>
          <w:sz w:val="20"/>
          <w:szCs w:val="20"/>
        </w:rPr>
        <w:t xml:space="preserve">26. </w:t>
      </w:r>
      <w:r w:rsidRPr="00430A79">
        <w:rPr>
          <w:rFonts w:eastAsia="Calibri" w:cs="Calibri"/>
          <w:sz w:val="20"/>
          <w:szCs w:val="20"/>
        </w:rPr>
        <w:fldChar w:fldCharType="end"/>
      </w:r>
      <w:r w:rsidRPr="00430A79">
        <w:rPr>
          <w:rFonts w:eastAsia="Calibri" w:cs="Calibri"/>
          <w:sz w:val="20"/>
          <w:szCs w:val="20"/>
        </w:rPr>
        <w:t>Sistemet e kompostimit</w:t>
      </w:r>
      <w:bookmarkEnd w:id="393"/>
      <w:bookmarkEnd w:id="394"/>
      <w:bookmarkEnd w:id="395"/>
      <w:bookmarkEnd w:id="396"/>
    </w:p>
    <w:p w14:paraId="3CF5B5AA" w14:textId="77777777" w:rsidR="00430A79" w:rsidRPr="009F5CA1" w:rsidRDefault="00430A79" w:rsidP="00430A79">
      <w:pPr>
        <w:jc w:val="both"/>
        <w:rPr>
          <w:rFonts w:ascii="Arial Narrow" w:hAnsi="Arial Narrow" w:cs="Calibri"/>
          <w:sz w:val="22"/>
          <w:szCs w:val="22"/>
          <w:lang w:eastAsia="bg-BG"/>
        </w:rPr>
      </w:pPr>
    </w:p>
    <w:p w14:paraId="3E494091" w14:textId="77777777" w:rsidR="0095342A" w:rsidRPr="00BE2534" w:rsidRDefault="0095342A" w:rsidP="0095342A">
      <w:pPr>
        <w:jc w:val="both"/>
        <w:rPr>
          <w:rFonts w:ascii="Arial Narrow" w:hAnsi="Arial Narrow" w:cs="Calibri"/>
          <w:sz w:val="22"/>
          <w:szCs w:val="22"/>
          <w:lang w:val="sq-AL" w:eastAsia="bg-BG"/>
        </w:rPr>
      </w:pPr>
      <w:r w:rsidRPr="00BE2534">
        <w:rPr>
          <w:rFonts w:ascii="Arial Narrow" w:hAnsi="Arial Narrow" w:cs="Calibri"/>
          <w:sz w:val="22"/>
          <w:szCs w:val="22"/>
          <w:lang w:val="sq-AL" w:eastAsia="bg-BG"/>
        </w:rPr>
        <w:t>Duhet të kryhen teste të rregullta për temperaturën, lagështinë dhe fertilizimin e kompostit. Për të prodhuar një produkt cilësor (komposto), i cili mund të përdoret për qëllime bujqësore, duhet të bëhet analiza periodike e përmbajtjes së metaleve të rënda, veçanërisht nëse lënda e parë përmban mbeturina tjera përveç "mbeturinave të gjelbra", si mbeturinat ushqimore nga tregjet. Cilësitë më të ulëta të kompostos janë të përshtatshme për rehabilitimin e tokës dhe ndërtimin e fushave sportive, autostradave dhe aplikime të tjera.</w:t>
      </w:r>
    </w:p>
    <w:p w14:paraId="1B3ED74B" w14:textId="77777777" w:rsidR="0095342A" w:rsidRPr="00BE2534" w:rsidRDefault="0095342A" w:rsidP="0095342A">
      <w:pPr>
        <w:pStyle w:val="Paragraph"/>
        <w:rPr>
          <w:rFonts w:eastAsia="Calibri" w:cs="Calibri"/>
          <w:lang w:val="sq-AL"/>
        </w:rPr>
      </w:pPr>
    </w:p>
    <w:p w14:paraId="54D60FD8" w14:textId="77777777" w:rsidR="0095342A" w:rsidRPr="00BE2534" w:rsidRDefault="0095342A" w:rsidP="0095342A">
      <w:pPr>
        <w:pStyle w:val="Paragraph"/>
        <w:rPr>
          <w:rFonts w:eastAsia="Calibri" w:cs="Calibri"/>
          <w:lang w:val="sq-AL"/>
        </w:rPr>
      </w:pPr>
      <w:r w:rsidRPr="00BE2534">
        <w:rPr>
          <w:rFonts w:eastAsia="Calibri" w:cs="Calibri"/>
          <w:lang w:val="sq-AL"/>
        </w:rPr>
        <w:t>Grumbullimi i mbeturinave të gjelbra nga kopshtet private është një sistem më i vështirë, duke qenë se në secilin rast mbeturinat krijohen në sasi relativisht të vogla gjatë gjithë vitit, duke arritur kulmin në pranverë dhe vjeshtë. Si më poshtë, ekzistojnë mundësi të grumbullimit:</w:t>
      </w:r>
    </w:p>
    <w:p w14:paraId="332AA2C4" w14:textId="77777777" w:rsidR="0095342A" w:rsidRPr="0095342A" w:rsidRDefault="0095342A" w:rsidP="0095342A">
      <w:pPr>
        <w:numPr>
          <w:ilvl w:val="0"/>
          <w:numId w:val="18"/>
        </w:numPr>
        <w:spacing w:after="160" w:line="259" w:lineRule="auto"/>
        <w:contextualSpacing/>
        <w:jc w:val="both"/>
        <w:rPr>
          <w:rFonts w:ascii="Arial Narrow" w:hAnsi="Arial Narrow" w:cs="Calibri"/>
          <w:sz w:val="22"/>
          <w:szCs w:val="22"/>
          <w:lang w:val="sq-AL" w:eastAsia="bg-BG"/>
        </w:rPr>
      </w:pPr>
      <w:r w:rsidRPr="0095342A">
        <w:rPr>
          <w:rFonts w:ascii="Arial Narrow" w:hAnsi="Arial Narrow" w:cs="Calibri"/>
          <w:sz w:val="22"/>
          <w:szCs w:val="22"/>
          <w:lang w:val="sq-AL" w:eastAsia="bg-BG"/>
        </w:rPr>
        <w:t>Deponimi i mbeturinave të gjelbra ashtu siç janë, dmth vendosni mbeturinat skaj rrugës menjëherë pas gjenerimit, në të njëjtën mënyrë siç bëni me mbeturinat e vëllimshme.</w:t>
      </w:r>
    </w:p>
    <w:p w14:paraId="05B3161E" w14:textId="77777777" w:rsidR="0095342A" w:rsidRPr="0095342A" w:rsidRDefault="0095342A" w:rsidP="0095342A">
      <w:pPr>
        <w:numPr>
          <w:ilvl w:val="0"/>
          <w:numId w:val="18"/>
        </w:numPr>
        <w:spacing w:after="160" w:line="259" w:lineRule="auto"/>
        <w:contextualSpacing/>
        <w:jc w:val="both"/>
        <w:rPr>
          <w:rFonts w:ascii="Arial Narrow" w:hAnsi="Arial Narrow" w:cs="Calibri"/>
          <w:sz w:val="22"/>
          <w:szCs w:val="22"/>
          <w:lang w:val="sq-AL" w:eastAsia="bg-BG"/>
        </w:rPr>
      </w:pPr>
      <w:r w:rsidRPr="0095342A">
        <w:rPr>
          <w:rFonts w:ascii="Arial Narrow" w:hAnsi="Arial Narrow" w:cs="Calibri"/>
          <w:sz w:val="22"/>
          <w:szCs w:val="22"/>
          <w:lang w:val="sq-AL" w:eastAsia="bg-BG"/>
        </w:rPr>
        <w:t>Midis marsit dhe nëntorit, një herë në muaj mbledhja shtëpi më shtëpi në data të caktuara.</w:t>
      </w:r>
    </w:p>
    <w:p w14:paraId="4264395E" w14:textId="77777777" w:rsidR="0095342A" w:rsidRPr="0095342A" w:rsidRDefault="0095342A" w:rsidP="0095342A">
      <w:pPr>
        <w:numPr>
          <w:ilvl w:val="0"/>
          <w:numId w:val="18"/>
        </w:numPr>
        <w:spacing w:after="160" w:line="259" w:lineRule="auto"/>
        <w:contextualSpacing/>
        <w:jc w:val="both"/>
        <w:rPr>
          <w:rFonts w:ascii="Arial Narrow" w:hAnsi="Arial Narrow" w:cs="Calibri"/>
          <w:sz w:val="22"/>
          <w:szCs w:val="22"/>
          <w:lang w:val="sq-AL" w:eastAsia="bg-BG"/>
        </w:rPr>
      </w:pPr>
      <w:r w:rsidRPr="0095342A">
        <w:rPr>
          <w:rFonts w:ascii="Arial Narrow" w:hAnsi="Arial Narrow" w:cs="Calibri"/>
          <w:sz w:val="22"/>
          <w:szCs w:val="22"/>
          <w:lang w:val="sq-AL" w:eastAsia="bg-BG"/>
        </w:rPr>
        <w:t>Vendosja e kontejnerëve të mbeturinave të gjelbra (7 deri në 10 m³) në vende të caktuara që mbulojnë një sipërfaqe një rreze prej 500 m deri në 1 km, në ambientet e shtëpive familjare dhe kopshteve, një herë në muaj gjatë pranverës, verës dhe vjeshtës.</w:t>
      </w:r>
    </w:p>
    <w:p w14:paraId="19F99508" w14:textId="77777777" w:rsidR="0095342A" w:rsidRPr="0095342A" w:rsidRDefault="0095342A" w:rsidP="0095342A">
      <w:pPr>
        <w:numPr>
          <w:ilvl w:val="0"/>
          <w:numId w:val="18"/>
        </w:numPr>
        <w:spacing w:after="160" w:line="259" w:lineRule="auto"/>
        <w:contextualSpacing/>
        <w:jc w:val="both"/>
        <w:rPr>
          <w:rFonts w:ascii="Arial Narrow" w:hAnsi="Arial Narrow" w:cs="Calibri"/>
          <w:sz w:val="22"/>
          <w:szCs w:val="22"/>
          <w:lang w:val="sq-AL" w:eastAsia="bg-BG"/>
        </w:rPr>
      </w:pPr>
      <w:r w:rsidRPr="0095342A">
        <w:rPr>
          <w:rFonts w:ascii="Arial Narrow" w:hAnsi="Arial Narrow" w:cs="Calibri"/>
          <w:sz w:val="22"/>
          <w:szCs w:val="22"/>
          <w:lang w:val="sq-AL" w:eastAsia="bg-BG"/>
        </w:rPr>
        <w:t>Mbledhja bazuar në thirrje, disa herë në vit pa pagesë, arkëtime të mëtejshme me një tarifë të caktuar;</w:t>
      </w:r>
    </w:p>
    <w:p w14:paraId="16D70B22" w14:textId="77777777" w:rsidR="0095342A" w:rsidRPr="0095342A" w:rsidRDefault="0095342A" w:rsidP="0095342A">
      <w:pPr>
        <w:numPr>
          <w:ilvl w:val="0"/>
          <w:numId w:val="18"/>
        </w:numPr>
        <w:spacing w:after="160" w:line="259" w:lineRule="auto"/>
        <w:contextualSpacing/>
        <w:jc w:val="both"/>
        <w:rPr>
          <w:rFonts w:ascii="Arial Narrow" w:hAnsi="Arial Narrow" w:cs="Calibri"/>
          <w:sz w:val="22"/>
          <w:szCs w:val="22"/>
          <w:lang w:val="sq-AL" w:eastAsia="bg-BG"/>
        </w:rPr>
      </w:pPr>
      <w:r w:rsidRPr="0095342A">
        <w:rPr>
          <w:rFonts w:ascii="Arial Narrow" w:hAnsi="Arial Narrow" w:cs="Calibri"/>
          <w:sz w:val="22"/>
          <w:szCs w:val="22"/>
          <w:lang w:val="sq-AL" w:eastAsia="bg-BG"/>
        </w:rPr>
        <w:t>Instalimi i oborreve të riciklimit për mbeturina të gjelbra, ku njerëzit mund të sjellin mbeturinat e tyre të gjelbra pa pagesë. Oborret e tilla të riciklimit mund të funksionojnë gjithashtu si magazinim i përkohshme për mbeturinave të gjelbra, derisa grirësi i lëvizshëm të vijë herë pas here dhe të copëtojë mbeturinat e gjelbra. Më pas ato transportohen në impiantin e kompostimit të mbeturinave të gjelbra.</w:t>
      </w:r>
    </w:p>
    <w:p w14:paraId="036F10C0" w14:textId="52D2C5CE" w:rsidR="00430A79" w:rsidRPr="009F5CA1" w:rsidRDefault="0095342A" w:rsidP="0095342A">
      <w:pPr>
        <w:jc w:val="both"/>
        <w:rPr>
          <w:rFonts w:ascii="Arial Narrow" w:eastAsia="Calibri" w:hAnsi="Arial Narrow" w:cs="Calibri"/>
          <w:color w:val="000000" w:themeColor="text1"/>
          <w:sz w:val="22"/>
          <w:szCs w:val="22"/>
          <w:lang w:val="sq-AL"/>
        </w:rPr>
      </w:pPr>
      <w:r w:rsidRPr="0095342A">
        <w:rPr>
          <w:rFonts w:ascii="Arial Narrow" w:eastAsia="Calibri" w:hAnsi="Arial Narrow" w:cs="Calibri"/>
          <w:sz w:val="22"/>
          <w:szCs w:val="22"/>
          <w:lang w:val="sq-AL"/>
        </w:rPr>
        <w:t>Në tabelën e mëposhtme, krahasohen sistemet e ndryshme të grumbullimit</w:t>
      </w:r>
      <w:r w:rsidR="00430A79" w:rsidRPr="009F5CA1">
        <w:rPr>
          <w:rFonts w:ascii="Arial Narrow" w:eastAsia="Calibri" w:hAnsi="Arial Narrow" w:cs="Calibri"/>
          <w:color w:val="000000" w:themeColor="text1"/>
          <w:sz w:val="22"/>
          <w:szCs w:val="22"/>
          <w:lang w:val="sq-AL"/>
        </w:rPr>
        <w:t>:</w:t>
      </w:r>
    </w:p>
    <w:p w14:paraId="56E2506B"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4333FB54" w14:textId="3DE83F74" w:rsidR="00430A79" w:rsidRPr="009F5CA1" w:rsidRDefault="00430A79" w:rsidP="00430A79">
      <w:pPr>
        <w:spacing w:after="120"/>
        <w:jc w:val="both"/>
        <w:rPr>
          <w:rFonts w:ascii="Arial Narrow" w:eastAsia="Calibri" w:hAnsi="Arial Narrow" w:cs="Calibri"/>
          <w:color w:val="1F497D"/>
          <w:sz w:val="20"/>
          <w:szCs w:val="20"/>
          <w:lang w:val="sq-AL"/>
        </w:rPr>
      </w:pPr>
      <w:bookmarkStart w:id="397" w:name="_Toc185866213"/>
      <w:bookmarkStart w:id="398" w:name="_Toc197472242"/>
      <w:r w:rsidRPr="009F5CA1">
        <w:rPr>
          <w:rFonts w:ascii="Arial Narrow" w:eastAsia="Calibri" w:hAnsi="Arial Narrow" w:cs="Calibri"/>
          <w:color w:val="1F497D"/>
          <w:sz w:val="20"/>
          <w:szCs w:val="20"/>
          <w:lang w:val="sq-AL"/>
        </w:rPr>
        <w:t xml:space="preserve">Tabela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lang w:val="sq-AL"/>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lang w:val="sq-AL"/>
        </w:rPr>
        <w:t xml:space="preserve">57. </w:t>
      </w:r>
      <w:r w:rsidRPr="00430A79">
        <w:rPr>
          <w:rFonts w:ascii="Arial Narrow" w:eastAsia="Calibri" w:hAnsi="Arial Narrow" w:cs="Calibri"/>
          <w:color w:val="1F497D"/>
          <w:sz w:val="20"/>
          <w:szCs w:val="20"/>
          <w:lang w:val="en-GB"/>
        </w:rPr>
        <w:fldChar w:fldCharType="end"/>
      </w:r>
      <w:r w:rsidRPr="009F5CA1">
        <w:rPr>
          <w:rFonts w:ascii="Arial Narrow" w:eastAsia="Calibri" w:hAnsi="Arial Narrow" w:cs="Calibri"/>
          <w:color w:val="1F497D"/>
          <w:sz w:val="20"/>
          <w:szCs w:val="20"/>
          <w:lang w:val="sq-AL"/>
        </w:rPr>
        <w:t xml:space="preserve">Krahasimi i skemave të ndryshme të </w:t>
      </w:r>
      <w:r w:rsidR="0095342A" w:rsidRPr="009F5CA1">
        <w:rPr>
          <w:rFonts w:ascii="Arial Narrow" w:eastAsia="Calibri" w:hAnsi="Arial Narrow" w:cs="Calibri"/>
          <w:color w:val="1F497D"/>
          <w:sz w:val="20"/>
          <w:szCs w:val="20"/>
          <w:lang w:val="sq-AL"/>
        </w:rPr>
        <w:t>grumbullimit t</w:t>
      </w:r>
      <w:r w:rsidRPr="009F5CA1">
        <w:rPr>
          <w:rFonts w:ascii="Arial Narrow" w:eastAsia="Calibri" w:hAnsi="Arial Narrow" w:cs="Calibri"/>
          <w:color w:val="1F497D"/>
          <w:sz w:val="20"/>
          <w:szCs w:val="20"/>
          <w:lang w:val="sq-AL"/>
        </w:rPr>
        <w:t>ë mbeturinave të kopshtit</w:t>
      </w:r>
      <w:bookmarkEnd w:id="397"/>
      <w:bookmarkEnd w:id="398"/>
    </w:p>
    <w:tbl>
      <w:tblPr>
        <w:tblW w:w="917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4"/>
        <w:gridCol w:w="1276"/>
        <w:gridCol w:w="1418"/>
        <w:gridCol w:w="1588"/>
        <w:gridCol w:w="1559"/>
        <w:gridCol w:w="1984"/>
      </w:tblGrid>
      <w:tr w:rsidR="0095342A" w:rsidRPr="00430A79" w14:paraId="44DAB1D6" w14:textId="77777777" w:rsidTr="00750949">
        <w:trPr>
          <w:tblHeader/>
        </w:trPr>
        <w:tc>
          <w:tcPr>
            <w:tcW w:w="1354" w:type="dxa"/>
            <w:shd w:val="clear" w:color="auto" w:fill="365F91"/>
          </w:tcPr>
          <w:p w14:paraId="3C3D92EB" w14:textId="7511358A" w:rsidR="0095342A" w:rsidRPr="00430A79" w:rsidRDefault="0095342A" w:rsidP="0095342A">
            <w:pPr>
              <w:widowControl w:val="0"/>
              <w:autoSpaceDE w:val="0"/>
              <w:autoSpaceDN w:val="0"/>
              <w:spacing w:before="60" w:after="60"/>
              <w:rPr>
                <w:rFonts w:ascii="Arial Narrow" w:eastAsia="Calibri" w:hAnsi="Arial Narrow" w:cs="Calibri"/>
                <w:b/>
                <w:color w:val="FFFFFF"/>
                <w:sz w:val="20"/>
                <w:szCs w:val="20"/>
              </w:rPr>
            </w:pPr>
            <w:r w:rsidRPr="00BE2534">
              <w:rPr>
                <w:rFonts w:ascii="Arial Narrow" w:eastAsia="Calibri" w:hAnsi="Arial Narrow" w:cs="Calibri"/>
                <w:b/>
                <w:color w:val="FFFFFF"/>
                <w:sz w:val="20"/>
                <w:szCs w:val="20"/>
                <w:lang w:val="sq-AL"/>
              </w:rPr>
              <w:t>Kriteret</w:t>
            </w:r>
          </w:p>
        </w:tc>
        <w:tc>
          <w:tcPr>
            <w:tcW w:w="1276" w:type="dxa"/>
            <w:shd w:val="clear" w:color="auto" w:fill="365F91"/>
          </w:tcPr>
          <w:p w14:paraId="1D6F0334" w14:textId="77777777" w:rsidR="0095342A" w:rsidRPr="00BE2534" w:rsidRDefault="0095342A" w:rsidP="0095342A">
            <w:pPr>
              <w:widowControl w:val="0"/>
              <w:autoSpaceDE w:val="0"/>
              <w:autoSpaceDN w:val="0"/>
              <w:spacing w:before="60" w:after="60"/>
              <w:rPr>
                <w:rFonts w:ascii="Arial Narrow" w:eastAsia="Calibri" w:hAnsi="Arial Narrow" w:cs="Calibri"/>
                <w:b/>
                <w:color w:val="FFFFFF"/>
                <w:sz w:val="20"/>
                <w:szCs w:val="20"/>
                <w:lang w:val="sq-AL"/>
              </w:rPr>
            </w:pPr>
            <w:r w:rsidRPr="00BE2534">
              <w:rPr>
                <w:rFonts w:ascii="Arial Narrow" w:eastAsia="Calibri" w:hAnsi="Arial Narrow" w:cs="Calibri"/>
                <w:b/>
                <w:color w:val="FFFFFF"/>
                <w:sz w:val="20"/>
                <w:szCs w:val="20"/>
                <w:lang w:val="sq-AL"/>
              </w:rPr>
              <w:t>Opsioni 1</w:t>
            </w:r>
          </w:p>
          <w:p w14:paraId="4B193079" w14:textId="46DAAE78" w:rsidR="0095342A" w:rsidRPr="00430A79" w:rsidRDefault="0095342A" w:rsidP="0095342A">
            <w:pPr>
              <w:widowControl w:val="0"/>
              <w:autoSpaceDE w:val="0"/>
              <w:autoSpaceDN w:val="0"/>
              <w:spacing w:before="60" w:after="60"/>
              <w:rPr>
                <w:rFonts w:ascii="Arial Narrow" w:eastAsia="Calibri" w:hAnsi="Arial Narrow" w:cs="Calibri"/>
                <w:b/>
                <w:color w:val="FFFFFF"/>
                <w:sz w:val="20"/>
                <w:szCs w:val="20"/>
              </w:rPr>
            </w:pPr>
            <w:r w:rsidRPr="00BE2534">
              <w:rPr>
                <w:rFonts w:ascii="Arial Narrow" w:eastAsia="Calibri" w:hAnsi="Arial Narrow" w:cs="Calibri"/>
                <w:b/>
                <w:color w:val="FFFFFF"/>
                <w:sz w:val="20"/>
                <w:szCs w:val="20"/>
                <w:lang w:val="sq-AL"/>
              </w:rPr>
              <w:t>Deponimi i mbeturinave ashtu siç gjenerohen</w:t>
            </w:r>
          </w:p>
        </w:tc>
        <w:tc>
          <w:tcPr>
            <w:tcW w:w="1418" w:type="dxa"/>
            <w:shd w:val="clear" w:color="auto" w:fill="365F91"/>
          </w:tcPr>
          <w:p w14:paraId="6D00CB0C" w14:textId="77777777" w:rsidR="0095342A" w:rsidRPr="00BE2534" w:rsidRDefault="0095342A" w:rsidP="0095342A">
            <w:pPr>
              <w:widowControl w:val="0"/>
              <w:autoSpaceDE w:val="0"/>
              <w:autoSpaceDN w:val="0"/>
              <w:spacing w:before="60" w:after="60"/>
              <w:rPr>
                <w:rFonts w:ascii="Arial Narrow" w:eastAsia="Calibri" w:hAnsi="Arial Narrow" w:cs="Calibri"/>
                <w:b/>
                <w:color w:val="FFFFFF"/>
                <w:sz w:val="20"/>
                <w:szCs w:val="20"/>
                <w:lang w:val="sq-AL"/>
              </w:rPr>
            </w:pPr>
            <w:r w:rsidRPr="00BE2534">
              <w:rPr>
                <w:rFonts w:ascii="Arial Narrow" w:eastAsia="Calibri" w:hAnsi="Arial Narrow" w:cs="Calibri"/>
                <w:b/>
                <w:color w:val="FFFFFF"/>
                <w:sz w:val="20"/>
                <w:szCs w:val="20"/>
                <w:lang w:val="sq-AL"/>
              </w:rPr>
              <w:t>Opsioni 2</w:t>
            </w:r>
          </w:p>
          <w:p w14:paraId="6E555DBC" w14:textId="527A8A5D" w:rsidR="0095342A" w:rsidRPr="00430A79" w:rsidRDefault="0095342A" w:rsidP="0095342A">
            <w:pPr>
              <w:widowControl w:val="0"/>
              <w:autoSpaceDE w:val="0"/>
              <w:autoSpaceDN w:val="0"/>
              <w:spacing w:before="60" w:after="60"/>
              <w:rPr>
                <w:rFonts w:ascii="Arial Narrow" w:eastAsia="Calibri" w:hAnsi="Arial Narrow" w:cs="Calibri"/>
                <w:b/>
                <w:color w:val="FFFFFF"/>
                <w:sz w:val="20"/>
                <w:szCs w:val="20"/>
              </w:rPr>
            </w:pPr>
            <w:r w:rsidRPr="00BE2534">
              <w:rPr>
                <w:rFonts w:ascii="Arial Narrow" w:eastAsia="Calibri" w:hAnsi="Arial Narrow" w:cs="Calibri"/>
                <w:b/>
                <w:color w:val="FFFFFF"/>
                <w:sz w:val="20"/>
                <w:szCs w:val="20"/>
                <w:lang w:val="sq-AL"/>
              </w:rPr>
              <w:t>Grumbullimi javor shtëpi më shtëpi</w:t>
            </w:r>
          </w:p>
        </w:tc>
        <w:tc>
          <w:tcPr>
            <w:tcW w:w="1588" w:type="dxa"/>
            <w:shd w:val="clear" w:color="auto" w:fill="365F91"/>
          </w:tcPr>
          <w:p w14:paraId="1D21B28F" w14:textId="77777777" w:rsidR="0095342A" w:rsidRPr="00BE2534" w:rsidRDefault="0095342A" w:rsidP="0095342A">
            <w:pPr>
              <w:widowControl w:val="0"/>
              <w:autoSpaceDE w:val="0"/>
              <w:autoSpaceDN w:val="0"/>
              <w:spacing w:before="60" w:after="60"/>
              <w:rPr>
                <w:rFonts w:ascii="Arial Narrow" w:eastAsia="Calibri" w:hAnsi="Arial Narrow" w:cs="Calibri"/>
                <w:b/>
                <w:color w:val="FFFFFF"/>
                <w:sz w:val="20"/>
                <w:szCs w:val="20"/>
                <w:lang w:val="sq-AL"/>
              </w:rPr>
            </w:pPr>
            <w:r w:rsidRPr="00BE2534">
              <w:rPr>
                <w:rFonts w:ascii="Arial Narrow" w:eastAsia="Calibri" w:hAnsi="Arial Narrow" w:cs="Calibri"/>
                <w:b/>
                <w:color w:val="FFFFFF"/>
                <w:sz w:val="20"/>
                <w:szCs w:val="20"/>
                <w:lang w:val="sq-AL"/>
              </w:rPr>
              <w:t>Opsioni 3</w:t>
            </w:r>
          </w:p>
          <w:p w14:paraId="1E23EE7F" w14:textId="30CBDC0F" w:rsidR="0095342A" w:rsidRPr="00430A79" w:rsidRDefault="0095342A" w:rsidP="0095342A">
            <w:pPr>
              <w:widowControl w:val="0"/>
              <w:autoSpaceDE w:val="0"/>
              <w:autoSpaceDN w:val="0"/>
              <w:spacing w:before="60" w:after="60"/>
              <w:rPr>
                <w:rFonts w:ascii="Arial Narrow" w:eastAsia="Calibri" w:hAnsi="Arial Narrow" w:cs="Calibri"/>
                <w:b/>
                <w:color w:val="FFFFFF"/>
                <w:sz w:val="20"/>
                <w:szCs w:val="20"/>
              </w:rPr>
            </w:pPr>
            <w:r w:rsidRPr="00BE2534">
              <w:rPr>
                <w:rFonts w:ascii="Arial Narrow" w:eastAsia="Calibri" w:hAnsi="Arial Narrow" w:cs="Calibri"/>
                <w:b/>
                <w:color w:val="FFFFFF"/>
                <w:sz w:val="20"/>
                <w:szCs w:val="20"/>
                <w:lang w:val="sq-AL"/>
              </w:rPr>
              <w:t>Vendosja e kontejnerëve të mbeturinave të gjelbra</w:t>
            </w:r>
          </w:p>
        </w:tc>
        <w:tc>
          <w:tcPr>
            <w:tcW w:w="1559" w:type="dxa"/>
            <w:shd w:val="clear" w:color="auto" w:fill="365F91"/>
          </w:tcPr>
          <w:p w14:paraId="2369922F" w14:textId="77777777" w:rsidR="0095342A" w:rsidRPr="00BE2534" w:rsidRDefault="0095342A" w:rsidP="0095342A">
            <w:pPr>
              <w:widowControl w:val="0"/>
              <w:autoSpaceDE w:val="0"/>
              <w:autoSpaceDN w:val="0"/>
              <w:spacing w:before="60" w:after="60"/>
              <w:rPr>
                <w:rFonts w:ascii="Arial Narrow" w:eastAsia="Calibri" w:hAnsi="Arial Narrow" w:cs="Calibri"/>
                <w:b/>
                <w:color w:val="FFFFFF"/>
                <w:sz w:val="20"/>
                <w:szCs w:val="20"/>
                <w:lang w:val="sq-AL"/>
              </w:rPr>
            </w:pPr>
            <w:r w:rsidRPr="00BE2534">
              <w:rPr>
                <w:rFonts w:ascii="Arial Narrow" w:eastAsia="Calibri" w:hAnsi="Arial Narrow" w:cs="Calibri"/>
                <w:b/>
                <w:color w:val="FFFFFF"/>
                <w:sz w:val="20"/>
                <w:szCs w:val="20"/>
                <w:lang w:val="sq-AL"/>
              </w:rPr>
              <w:t>Opsioni 4</w:t>
            </w:r>
          </w:p>
          <w:p w14:paraId="6EA6C236" w14:textId="2419E9BF" w:rsidR="0095342A" w:rsidRPr="00430A79" w:rsidRDefault="0095342A" w:rsidP="0095342A">
            <w:pPr>
              <w:widowControl w:val="0"/>
              <w:autoSpaceDE w:val="0"/>
              <w:autoSpaceDN w:val="0"/>
              <w:spacing w:before="60" w:after="60"/>
              <w:rPr>
                <w:rFonts w:ascii="Arial Narrow" w:eastAsia="Calibri" w:hAnsi="Arial Narrow" w:cs="Calibri"/>
                <w:b/>
                <w:color w:val="FFFFFF"/>
                <w:sz w:val="20"/>
                <w:szCs w:val="20"/>
              </w:rPr>
            </w:pPr>
            <w:r w:rsidRPr="00BE2534">
              <w:rPr>
                <w:rFonts w:ascii="Arial Narrow" w:eastAsia="Calibri" w:hAnsi="Arial Narrow" w:cs="Calibri"/>
                <w:b/>
                <w:color w:val="FFFFFF"/>
                <w:sz w:val="20"/>
                <w:szCs w:val="20"/>
                <w:lang w:val="sq-AL"/>
              </w:rPr>
              <w:t>Grumbullimi në bazë të thirrjeve</w:t>
            </w:r>
          </w:p>
        </w:tc>
        <w:tc>
          <w:tcPr>
            <w:tcW w:w="1984" w:type="dxa"/>
            <w:shd w:val="clear" w:color="auto" w:fill="365F91"/>
          </w:tcPr>
          <w:p w14:paraId="6D2F5A24" w14:textId="77777777" w:rsidR="0095342A" w:rsidRPr="00BE2534" w:rsidRDefault="0095342A" w:rsidP="0095342A">
            <w:pPr>
              <w:widowControl w:val="0"/>
              <w:autoSpaceDE w:val="0"/>
              <w:autoSpaceDN w:val="0"/>
              <w:spacing w:before="60" w:after="60"/>
              <w:rPr>
                <w:rFonts w:ascii="Arial Narrow" w:eastAsia="Calibri" w:hAnsi="Arial Narrow" w:cs="Calibri"/>
                <w:b/>
                <w:color w:val="FFFFFF"/>
                <w:sz w:val="20"/>
                <w:szCs w:val="20"/>
                <w:lang w:val="sq-AL"/>
              </w:rPr>
            </w:pPr>
            <w:r w:rsidRPr="00BE2534">
              <w:rPr>
                <w:rFonts w:ascii="Arial Narrow" w:eastAsia="Calibri" w:hAnsi="Arial Narrow" w:cs="Calibri"/>
                <w:b/>
                <w:color w:val="FFFFFF"/>
                <w:sz w:val="20"/>
                <w:szCs w:val="20"/>
                <w:lang w:val="sq-AL"/>
              </w:rPr>
              <w:t>Opsioni 5</w:t>
            </w:r>
          </w:p>
          <w:p w14:paraId="4FE95124" w14:textId="4CA2182E" w:rsidR="0095342A" w:rsidRPr="00430A79" w:rsidRDefault="0095342A" w:rsidP="0095342A">
            <w:pPr>
              <w:widowControl w:val="0"/>
              <w:autoSpaceDE w:val="0"/>
              <w:autoSpaceDN w:val="0"/>
              <w:spacing w:before="60" w:after="60"/>
              <w:rPr>
                <w:rFonts w:ascii="Arial Narrow" w:eastAsia="Calibri" w:hAnsi="Arial Narrow" w:cs="Calibri"/>
                <w:b/>
                <w:color w:val="FFFFFF"/>
                <w:sz w:val="20"/>
                <w:szCs w:val="20"/>
              </w:rPr>
            </w:pPr>
            <w:r w:rsidRPr="00BE2534">
              <w:rPr>
                <w:rFonts w:ascii="Arial Narrow" w:eastAsia="Calibri" w:hAnsi="Arial Narrow" w:cs="Calibri"/>
                <w:b/>
                <w:color w:val="FFFFFF"/>
                <w:sz w:val="20"/>
                <w:szCs w:val="20"/>
                <w:lang w:val="sq-AL"/>
              </w:rPr>
              <w:t>Oborret e riciklimit me magazinim</w:t>
            </w:r>
          </w:p>
        </w:tc>
      </w:tr>
      <w:tr w:rsidR="0095342A" w:rsidRPr="00430A79" w14:paraId="56E22540" w14:textId="77777777" w:rsidTr="00D03949">
        <w:tc>
          <w:tcPr>
            <w:tcW w:w="1354" w:type="dxa"/>
            <w:shd w:val="clear" w:color="auto" w:fill="9CC2E5" w:themeFill="accent5" w:themeFillTint="99"/>
            <w:vAlign w:val="center"/>
          </w:tcPr>
          <w:p w14:paraId="14E53DD4" w14:textId="5031CB07" w:rsidR="0095342A" w:rsidRPr="00430A79" w:rsidRDefault="0095342A" w:rsidP="0095342A">
            <w:pPr>
              <w:widowControl w:val="0"/>
              <w:autoSpaceDE w:val="0"/>
              <w:autoSpaceDN w:val="0"/>
              <w:spacing w:before="60" w:after="60"/>
              <w:ind w:right="123"/>
              <w:rPr>
                <w:rFonts w:ascii="Arial Narrow" w:eastAsia="Calibri" w:hAnsi="Arial Narrow" w:cs="Calibri"/>
              </w:rPr>
            </w:pPr>
            <w:r w:rsidRPr="00BE2534">
              <w:rPr>
                <w:rFonts w:ascii="Arial Narrow" w:eastAsia="Calibri" w:hAnsi="Arial Narrow" w:cs="Calibri"/>
                <w:sz w:val="20"/>
                <w:szCs w:val="20"/>
                <w:lang w:val="sq-AL"/>
              </w:rPr>
              <w:t>Komoditet për gjeneruesit e mbeturinave</w:t>
            </w:r>
          </w:p>
        </w:tc>
        <w:tc>
          <w:tcPr>
            <w:tcW w:w="1276" w:type="dxa"/>
          </w:tcPr>
          <w:p w14:paraId="3981B4C0" w14:textId="30A4D6DC"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Shumë i përshtatshëm, sepse mbeturinat mblidhen menjëherë</w:t>
            </w:r>
          </w:p>
        </w:tc>
        <w:tc>
          <w:tcPr>
            <w:tcW w:w="1418" w:type="dxa"/>
          </w:tcPr>
          <w:p w14:paraId="3ED371A4" w14:textId="77777777" w:rsidR="0095342A" w:rsidRPr="00BE2534" w:rsidRDefault="0095342A" w:rsidP="0095342A">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Sistem i përshtatshëm grumbullimi për gjenruesin.</w:t>
            </w:r>
          </w:p>
          <w:p w14:paraId="50BB7180" w14:textId="77777777" w:rsidR="0095342A" w:rsidRPr="00BE2534" w:rsidRDefault="0095342A" w:rsidP="0095342A">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Nisur nga grumbullimi javor, edhe mbetuirnat shumë të lagështa nuk përbëjnë problem të madh</w:t>
            </w:r>
          </w:p>
          <w:p w14:paraId="0E56572D" w14:textId="77777777"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p>
        </w:tc>
        <w:tc>
          <w:tcPr>
            <w:tcW w:w="1588" w:type="dxa"/>
          </w:tcPr>
          <w:p w14:paraId="215B0E66" w14:textId="4C8270E5"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Skemë relativisht e përshtatshme, pasi kontejnerët do të vendoseshin në një distancë të përshtatshme</w:t>
            </w:r>
          </w:p>
        </w:tc>
        <w:tc>
          <w:tcPr>
            <w:tcW w:w="1559" w:type="dxa"/>
          </w:tcPr>
          <w:p w14:paraId="6DC03024" w14:textId="77777777" w:rsidR="0095342A" w:rsidRPr="00BE2534" w:rsidRDefault="0095342A" w:rsidP="0095342A">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Grumbullim i përshtatshëm i mbetuirnave nga ambientet.</w:t>
            </w:r>
          </w:p>
          <w:p w14:paraId="7AFD153E" w14:textId="0103C433"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E papërshtatshme, sepse prerja e pemëve dhe shkurreve duhet të koordinohet me mbledhjen e aranzhuar.</w:t>
            </w:r>
          </w:p>
        </w:tc>
        <w:tc>
          <w:tcPr>
            <w:tcW w:w="1984" w:type="dxa"/>
          </w:tcPr>
          <w:p w14:paraId="4851BB35" w14:textId="77777777" w:rsidR="0095342A" w:rsidRPr="00BE2534" w:rsidRDefault="0095342A" w:rsidP="0095342A">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E papërshtatshme, sepse gjeneruesit e mbeturinave duhet t'i transportojnë ato në oborrin riciklues për disa km. Jo çdo prodhues i mbeturinave ka një automjet të përshtatshëm.</w:t>
            </w:r>
          </w:p>
          <w:p w14:paraId="54E456C8" w14:textId="0287AD2C"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I përshtatshëm nga pikëpamja që mbeturinat mund të largohen sa herë që shfaqen.</w:t>
            </w:r>
          </w:p>
        </w:tc>
      </w:tr>
      <w:tr w:rsidR="0095342A" w:rsidRPr="00430A79" w14:paraId="0C08D487" w14:textId="77777777" w:rsidTr="00D03949">
        <w:tc>
          <w:tcPr>
            <w:tcW w:w="1354" w:type="dxa"/>
            <w:shd w:val="clear" w:color="auto" w:fill="9CC2E5" w:themeFill="accent5" w:themeFillTint="99"/>
            <w:vAlign w:val="center"/>
          </w:tcPr>
          <w:p w14:paraId="3CBBE5FC" w14:textId="0EA91C10" w:rsidR="0095342A" w:rsidRPr="00430A79" w:rsidRDefault="0095342A" w:rsidP="0095342A">
            <w:pPr>
              <w:widowControl w:val="0"/>
              <w:autoSpaceDE w:val="0"/>
              <w:autoSpaceDN w:val="0"/>
              <w:spacing w:before="60" w:after="60"/>
              <w:ind w:right="123"/>
              <w:rPr>
                <w:rFonts w:ascii="Arial Narrow" w:eastAsia="Calibri" w:hAnsi="Arial Narrow" w:cs="Calibri"/>
              </w:rPr>
            </w:pPr>
            <w:r w:rsidRPr="00BE2534">
              <w:rPr>
                <w:rFonts w:ascii="Arial Narrow" w:eastAsia="Calibri" w:hAnsi="Arial Narrow" w:cs="Calibri"/>
                <w:sz w:val="20"/>
                <w:szCs w:val="20"/>
                <w:lang w:val="sq-AL"/>
              </w:rPr>
              <w:t>Komoditet për autoritetet lokale</w:t>
            </w:r>
          </w:p>
        </w:tc>
        <w:tc>
          <w:tcPr>
            <w:tcW w:w="1276" w:type="dxa"/>
          </w:tcPr>
          <w:p w14:paraId="0F72D74E" w14:textId="6EAE6EB0"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AL duhet të organizojnë në mënyrë të përhershme grumbullimin ad hoc të mbetjurinave të gjelbra</w:t>
            </w:r>
          </w:p>
        </w:tc>
        <w:tc>
          <w:tcPr>
            <w:tcW w:w="1418" w:type="dxa"/>
          </w:tcPr>
          <w:p w14:paraId="43BA8E3F" w14:textId="1096B728"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AL duhet të organizojnë mbledhjen me kosto relativisht të lartë.</w:t>
            </w:r>
          </w:p>
        </w:tc>
        <w:tc>
          <w:tcPr>
            <w:tcW w:w="1588" w:type="dxa"/>
          </w:tcPr>
          <w:p w14:paraId="66EFE897" w14:textId="0C4CD08C"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AL duhet organizojnë datat kur vendosen kontejnerët.</w:t>
            </w:r>
          </w:p>
        </w:tc>
        <w:tc>
          <w:tcPr>
            <w:tcW w:w="1559" w:type="dxa"/>
          </w:tcPr>
          <w:p w14:paraId="1CBAE3AA" w14:textId="05BB52E4"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Kompania e grumbullimit duhet të organizojë itinerarin më të mirë të grumbullimit.</w:t>
            </w:r>
          </w:p>
        </w:tc>
        <w:tc>
          <w:tcPr>
            <w:tcW w:w="1984" w:type="dxa"/>
          </w:tcPr>
          <w:p w14:paraId="48BCBF6F" w14:textId="6A90BFEB"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Kërkohet operacionalizimi i disa oborreve të riciklimit (mbulimi me diametër 5 deri në 10 km).</w:t>
            </w:r>
          </w:p>
        </w:tc>
      </w:tr>
      <w:tr w:rsidR="0095342A" w:rsidRPr="00430A79" w14:paraId="4CB18737" w14:textId="77777777" w:rsidTr="00D03949">
        <w:tc>
          <w:tcPr>
            <w:tcW w:w="1354" w:type="dxa"/>
            <w:shd w:val="clear" w:color="auto" w:fill="9CC2E5" w:themeFill="accent5" w:themeFillTint="99"/>
            <w:vAlign w:val="center"/>
          </w:tcPr>
          <w:p w14:paraId="49CDF24B" w14:textId="68EEE105" w:rsidR="0095342A" w:rsidRPr="00430A79" w:rsidRDefault="0095342A" w:rsidP="0095342A">
            <w:pPr>
              <w:widowControl w:val="0"/>
              <w:autoSpaceDE w:val="0"/>
              <w:autoSpaceDN w:val="0"/>
              <w:spacing w:before="60" w:after="60"/>
              <w:ind w:right="123"/>
              <w:rPr>
                <w:rFonts w:ascii="Arial Narrow" w:eastAsia="Calibri" w:hAnsi="Arial Narrow" w:cs="Calibri"/>
              </w:rPr>
            </w:pPr>
            <w:r w:rsidRPr="00BE2534">
              <w:rPr>
                <w:rFonts w:ascii="Arial Narrow" w:eastAsia="Calibri" w:hAnsi="Arial Narrow" w:cs="Calibri"/>
                <w:sz w:val="20"/>
                <w:szCs w:val="20"/>
                <w:lang w:val="sq-AL"/>
              </w:rPr>
              <w:t>Cilësia e mbeturinave</w:t>
            </w:r>
          </w:p>
        </w:tc>
        <w:tc>
          <w:tcPr>
            <w:tcW w:w="1276" w:type="dxa"/>
          </w:tcPr>
          <w:p w14:paraId="170FE7D0" w14:textId="77777777" w:rsidR="0095342A" w:rsidRPr="00BE2534" w:rsidRDefault="0095342A" w:rsidP="0095342A">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Cilësi e lartë, sepse do të merren vetëm mbeturinat e gjelbra.</w:t>
            </w:r>
          </w:p>
          <w:p w14:paraId="13FBEAA1" w14:textId="583CCC0F"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Mbeturinatt e gjelbra janë të freskëta.</w:t>
            </w:r>
          </w:p>
        </w:tc>
        <w:tc>
          <w:tcPr>
            <w:tcW w:w="1418" w:type="dxa"/>
          </w:tcPr>
          <w:p w14:paraId="0F9BBBC7" w14:textId="77777777" w:rsidR="0095342A" w:rsidRPr="00BE2534" w:rsidRDefault="0095342A" w:rsidP="0095342A">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Cilësi e lartë, sepse do të merren vetëm mbeturinat e gjelbra.</w:t>
            </w:r>
          </w:p>
          <w:p w14:paraId="354E09EA" w14:textId="647F7345"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Mbeturinat e gjelbra kanë një moshë maksimale 1 javore.</w:t>
            </w:r>
          </w:p>
        </w:tc>
        <w:tc>
          <w:tcPr>
            <w:tcW w:w="1588" w:type="dxa"/>
          </w:tcPr>
          <w:p w14:paraId="319766BD" w14:textId="77777777" w:rsidR="0095342A" w:rsidRPr="00BE2534" w:rsidRDefault="0095342A" w:rsidP="0095342A">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Kualitet mesatar, kontejnerët mund të përdoren gjithashtu për mbetu</w:t>
            </w:r>
            <w:r>
              <w:rPr>
                <w:rFonts w:ascii="Arial Narrow" w:eastAsia="Calibri" w:hAnsi="Arial Narrow" w:cs="Calibri"/>
                <w:sz w:val="20"/>
                <w:szCs w:val="20"/>
                <w:lang w:val="sq-AL"/>
              </w:rPr>
              <w:t>r</w:t>
            </w:r>
            <w:r w:rsidRPr="00BE2534">
              <w:rPr>
                <w:rFonts w:ascii="Arial Narrow" w:eastAsia="Calibri" w:hAnsi="Arial Narrow" w:cs="Calibri"/>
                <w:sz w:val="20"/>
                <w:szCs w:val="20"/>
                <w:lang w:val="sq-AL"/>
              </w:rPr>
              <w:t>ina të vëllimshme dhe mbeturina ndërtimi.</w:t>
            </w:r>
          </w:p>
          <w:p w14:paraId="466F272D" w14:textId="184D2765"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Mbeturinat e gjelbra mund të jenë ruajtur për ca kohë.</w:t>
            </w:r>
          </w:p>
        </w:tc>
        <w:tc>
          <w:tcPr>
            <w:tcW w:w="1559" w:type="dxa"/>
          </w:tcPr>
          <w:p w14:paraId="3C048141" w14:textId="77777777" w:rsidR="0095342A" w:rsidRPr="00BE2534" w:rsidRDefault="0095342A" w:rsidP="0095342A">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Cilësi e lartë, sepse do të merren vetëm mbeturinat e gjelbra.</w:t>
            </w:r>
          </w:p>
          <w:p w14:paraId="5023567D" w14:textId="13DF7C66"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Mbeturinat e gjelbra mund të jenë ruajtur për ca kohë.</w:t>
            </w:r>
          </w:p>
        </w:tc>
        <w:tc>
          <w:tcPr>
            <w:tcW w:w="1984" w:type="dxa"/>
          </w:tcPr>
          <w:p w14:paraId="38F4785D" w14:textId="77777777" w:rsidR="0095342A" w:rsidRPr="00BE2534" w:rsidRDefault="0095342A" w:rsidP="0095342A">
            <w:pPr>
              <w:widowControl w:val="0"/>
              <w:autoSpaceDE w:val="0"/>
              <w:autoSpaceDN w:val="0"/>
              <w:spacing w:before="60" w:after="60"/>
              <w:ind w:right="123"/>
              <w:rPr>
                <w:rFonts w:ascii="Arial Narrow" w:eastAsia="Calibri" w:hAnsi="Arial Narrow" w:cs="Calibri"/>
                <w:sz w:val="20"/>
                <w:szCs w:val="20"/>
                <w:lang w:val="sq-AL"/>
              </w:rPr>
            </w:pPr>
            <w:r w:rsidRPr="00BE2534">
              <w:rPr>
                <w:rFonts w:ascii="Arial Narrow" w:eastAsia="Calibri" w:hAnsi="Arial Narrow" w:cs="Calibri"/>
                <w:sz w:val="20"/>
                <w:szCs w:val="20"/>
                <w:lang w:val="sq-AL"/>
              </w:rPr>
              <w:t>Cilësi e lartë, sepse do të pranohen vetëm mbeturinat e gjelbra.</w:t>
            </w:r>
          </w:p>
          <w:p w14:paraId="51CD5137" w14:textId="15BA5770"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Mbeturinat e gjelbra janë të freskëta.</w:t>
            </w:r>
          </w:p>
        </w:tc>
      </w:tr>
      <w:tr w:rsidR="0095342A" w:rsidRPr="00430A79" w14:paraId="59727E2C" w14:textId="77777777" w:rsidTr="00D03949">
        <w:tc>
          <w:tcPr>
            <w:tcW w:w="1354" w:type="dxa"/>
            <w:shd w:val="clear" w:color="auto" w:fill="9CC2E5" w:themeFill="accent5" w:themeFillTint="99"/>
            <w:vAlign w:val="center"/>
          </w:tcPr>
          <w:p w14:paraId="519D39D2" w14:textId="2F246D09" w:rsidR="0095342A" w:rsidRPr="00430A79" w:rsidRDefault="0095342A" w:rsidP="0095342A">
            <w:pPr>
              <w:widowControl w:val="0"/>
              <w:autoSpaceDE w:val="0"/>
              <w:autoSpaceDN w:val="0"/>
              <w:spacing w:before="60" w:after="60"/>
              <w:ind w:right="123"/>
              <w:rPr>
                <w:rFonts w:ascii="Arial Narrow" w:eastAsia="Calibri" w:hAnsi="Arial Narrow" w:cs="Calibri"/>
              </w:rPr>
            </w:pPr>
            <w:r w:rsidRPr="00BE2534">
              <w:rPr>
                <w:rFonts w:ascii="Arial Narrow" w:eastAsia="Calibri" w:hAnsi="Arial Narrow" w:cs="Calibri"/>
                <w:sz w:val="20"/>
                <w:szCs w:val="20"/>
                <w:lang w:val="sq-AL"/>
              </w:rPr>
              <w:t>Sasitë</w:t>
            </w:r>
          </w:p>
        </w:tc>
        <w:tc>
          <w:tcPr>
            <w:tcW w:w="1276" w:type="dxa"/>
          </w:tcPr>
          <w:p w14:paraId="17C01C43" w14:textId="41D62E46"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E tëtë sasia e gjeneruar mblidhet</w:t>
            </w:r>
          </w:p>
        </w:tc>
        <w:tc>
          <w:tcPr>
            <w:tcW w:w="1418" w:type="dxa"/>
          </w:tcPr>
          <w:p w14:paraId="4008EA31" w14:textId="0BCCE10B"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Sasi të larta të mbeturinave të gjelbra të grumbulluara nga ata që kanë aplikuar për një </w:t>
            </w:r>
            <w:r w:rsidR="00FC2BA4">
              <w:rPr>
                <w:rFonts w:ascii="Arial Narrow" w:eastAsia="Calibri" w:hAnsi="Arial Narrow" w:cs="Calibri"/>
                <w:sz w:val="20"/>
                <w:szCs w:val="20"/>
                <w:lang w:val="sq-AL"/>
              </w:rPr>
              <w:t>shportë</w:t>
            </w:r>
            <w:r w:rsidRPr="00BE2534">
              <w:rPr>
                <w:rFonts w:ascii="Arial Narrow" w:eastAsia="Calibri" w:hAnsi="Arial Narrow" w:cs="Calibri"/>
                <w:sz w:val="20"/>
                <w:szCs w:val="20"/>
                <w:lang w:val="sq-AL"/>
              </w:rPr>
              <w:t xml:space="preserve"> të mbeturinave </w:t>
            </w:r>
            <w:r w:rsidRPr="00BE2534">
              <w:rPr>
                <w:rFonts w:ascii="Arial Narrow" w:eastAsia="Calibri" w:hAnsi="Arial Narrow" w:cs="Calibri"/>
                <w:sz w:val="20"/>
                <w:szCs w:val="20"/>
                <w:lang w:val="sq-AL"/>
              </w:rPr>
              <w:lastRenderedPageBreak/>
              <w:t>të gjelbra.</w:t>
            </w:r>
          </w:p>
        </w:tc>
        <w:tc>
          <w:tcPr>
            <w:tcW w:w="1588" w:type="dxa"/>
          </w:tcPr>
          <w:p w14:paraId="310D27F4" w14:textId="7CC8A783"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lastRenderedPageBreak/>
              <w:t>Sasia e mbledhur e reduktuar. Mbeturinat e gjelbra mund të përzihen me mbeturinat komunale</w:t>
            </w:r>
          </w:p>
        </w:tc>
        <w:tc>
          <w:tcPr>
            <w:tcW w:w="1559" w:type="dxa"/>
          </w:tcPr>
          <w:p w14:paraId="60C2806C" w14:textId="01C51076"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Sasia e mbledhur e reduktuar. Mbetjurinat e gjelbra mund të përzihen me mbeturinat komunale</w:t>
            </w:r>
          </w:p>
        </w:tc>
        <w:tc>
          <w:tcPr>
            <w:tcW w:w="1984" w:type="dxa"/>
          </w:tcPr>
          <w:p w14:paraId="20C5A5B3" w14:textId="4A52B375" w:rsidR="0095342A" w:rsidRPr="00430A79" w:rsidRDefault="0095342A" w:rsidP="0095342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Sasia e mbledhur e reduktuar. Mbeturinat e gjelbra mund të përzihen me mbeturinat komunale</w:t>
            </w:r>
          </w:p>
        </w:tc>
      </w:tr>
      <w:tr w:rsidR="00EF2BB9" w:rsidRPr="00430A79" w14:paraId="0527E826" w14:textId="77777777" w:rsidTr="00D03949">
        <w:tc>
          <w:tcPr>
            <w:tcW w:w="1354" w:type="dxa"/>
            <w:shd w:val="clear" w:color="auto" w:fill="9CC2E5" w:themeFill="accent5" w:themeFillTint="99"/>
            <w:vAlign w:val="center"/>
          </w:tcPr>
          <w:p w14:paraId="185F3607" w14:textId="23F2F80C" w:rsidR="00EF2BB9" w:rsidRPr="00430A79" w:rsidRDefault="00EF2BB9" w:rsidP="00EF2BB9">
            <w:pPr>
              <w:widowControl w:val="0"/>
              <w:autoSpaceDE w:val="0"/>
              <w:autoSpaceDN w:val="0"/>
              <w:spacing w:before="60" w:after="60"/>
              <w:ind w:right="123"/>
              <w:rPr>
                <w:rFonts w:ascii="Arial Narrow" w:eastAsia="Calibri" w:hAnsi="Arial Narrow" w:cs="Calibri"/>
              </w:rPr>
            </w:pPr>
            <w:r w:rsidRPr="00BE2534">
              <w:rPr>
                <w:rFonts w:ascii="Arial Narrow" w:eastAsia="Calibri" w:hAnsi="Arial Narrow" w:cs="Calibri"/>
                <w:sz w:val="20"/>
                <w:szCs w:val="20"/>
                <w:lang w:val="sq-AL"/>
              </w:rPr>
              <w:t>Rreziqet</w:t>
            </w:r>
          </w:p>
        </w:tc>
        <w:tc>
          <w:tcPr>
            <w:tcW w:w="1276" w:type="dxa"/>
          </w:tcPr>
          <w:p w14:paraId="17A86E6E" w14:textId="3A838EC4" w:rsidR="00EF2BB9" w:rsidRPr="00430A79" w:rsidRDefault="00EF2BB9" w:rsidP="00EF2BB9">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Asnjë</w:t>
            </w:r>
          </w:p>
        </w:tc>
        <w:tc>
          <w:tcPr>
            <w:tcW w:w="1418" w:type="dxa"/>
          </w:tcPr>
          <w:p w14:paraId="33A13B2B" w14:textId="40ED4B51" w:rsidR="00EF2BB9" w:rsidRPr="00430A79" w:rsidRDefault="00EF2BB9" w:rsidP="00EF2BB9">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Mbeturinat e gjelbra vendosen skaj rrugës sa herë që gjenerohen</w:t>
            </w:r>
          </w:p>
        </w:tc>
        <w:tc>
          <w:tcPr>
            <w:tcW w:w="1588" w:type="dxa"/>
          </w:tcPr>
          <w:p w14:paraId="4B67A5DB" w14:textId="45AD4DCD" w:rsidR="00EF2BB9" w:rsidRPr="00430A79" w:rsidRDefault="00EF2BB9" w:rsidP="00EF2BB9">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Mbeturinat e gjelbra vendosen skaj rrugës sa herë që gjenerohen</w:t>
            </w:r>
          </w:p>
        </w:tc>
        <w:tc>
          <w:tcPr>
            <w:tcW w:w="1559" w:type="dxa"/>
          </w:tcPr>
          <w:p w14:paraId="6252961A" w14:textId="0C0A67A9" w:rsidR="00EF2BB9" w:rsidRPr="00430A79" w:rsidRDefault="00EF2BB9" w:rsidP="00EF2BB9">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Mbeturinat e gjelbra vendosen skaj rrugës sa herë që gjenerohen</w:t>
            </w:r>
          </w:p>
        </w:tc>
        <w:tc>
          <w:tcPr>
            <w:tcW w:w="1984" w:type="dxa"/>
          </w:tcPr>
          <w:p w14:paraId="15555198" w14:textId="17BF2DB2" w:rsidR="00EF2BB9" w:rsidRPr="00430A79" w:rsidRDefault="00EF2BB9" w:rsidP="00EF2BB9">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Mbeturinat e gjelbra vendosen skaj rrugës sa herë që gjenerohen</w:t>
            </w:r>
          </w:p>
        </w:tc>
      </w:tr>
      <w:tr w:rsidR="00EF2BB9" w:rsidRPr="00430A79" w14:paraId="558D57CE" w14:textId="77777777" w:rsidTr="00D03949">
        <w:tc>
          <w:tcPr>
            <w:tcW w:w="1354" w:type="dxa"/>
            <w:shd w:val="clear" w:color="auto" w:fill="9CC2E5" w:themeFill="accent5" w:themeFillTint="99"/>
            <w:vAlign w:val="center"/>
          </w:tcPr>
          <w:p w14:paraId="6701A88F" w14:textId="3CE947C8" w:rsidR="00EF2BB9" w:rsidRPr="00EF2BB9" w:rsidRDefault="00EF2BB9" w:rsidP="00EF2BB9">
            <w:pPr>
              <w:widowControl w:val="0"/>
              <w:autoSpaceDE w:val="0"/>
              <w:autoSpaceDN w:val="0"/>
              <w:spacing w:before="60" w:after="60"/>
              <w:ind w:right="123"/>
              <w:rPr>
                <w:rFonts w:ascii="Arial Narrow" w:eastAsia="Calibri" w:hAnsi="Arial Narrow" w:cs="Calibri"/>
              </w:rPr>
            </w:pPr>
            <w:r w:rsidRPr="00EF2BB9">
              <w:rPr>
                <w:rFonts w:ascii="Arial Narrow" w:eastAsia="Calibri" w:hAnsi="Arial Narrow" w:cs="Calibri"/>
                <w:color w:val="FFFFFF" w:themeColor="background1"/>
                <w:sz w:val="20"/>
                <w:szCs w:val="20"/>
                <w:lang w:val="sq-AL"/>
              </w:rPr>
              <w:t>Koment</w:t>
            </w:r>
          </w:p>
        </w:tc>
        <w:tc>
          <w:tcPr>
            <w:tcW w:w="1276" w:type="dxa"/>
          </w:tcPr>
          <w:p w14:paraId="5B95F57D" w14:textId="77777777" w:rsidR="00EF2BB9" w:rsidRPr="00EF2BB9" w:rsidRDefault="00EF2BB9" w:rsidP="00EF2BB9">
            <w:pPr>
              <w:widowControl w:val="0"/>
              <w:autoSpaceDE w:val="0"/>
              <w:autoSpaceDN w:val="0"/>
              <w:spacing w:before="60" w:after="60"/>
              <w:ind w:right="123"/>
              <w:rPr>
                <w:rFonts w:ascii="Arial Narrow" w:eastAsia="Calibri" w:hAnsi="Arial Narrow" w:cs="Calibri"/>
                <w:sz w:val="20"/>
                <w:szCs w:val="20"/>
                <w:lang w:val="sq-AL"/>
              </w:rPr>
            </w:pPr>
            <w:r w:rsidRPr="00EF2BB9">
              <w:rPr>
                <w:rFonts w:ascii="Arial Narrow" w:eastAsia="Calibri" w:hAnsi="Arial Narrow" w:cs="Calibri"/>
                <w:sz w:val="20"/>
                <w:szCs w:val="20"/>
                <w:lang w:val="sq-AL"/>
              </w:rPr>
              <w:t>Sistemi është i ngjashëm me sistemin ekzistues të grumbullimit të mbeturinave të vëllimshme.</w:t>
            </w:r>
          </w:p>
          <w:p w14:paraId="0077B34C" w14:textId="22F79354" w:rsidR="00EF2BB9" w:rsidRPr="00EF2BB9" w:rsidRDefault="00EF2BB9" w:rsidP="00EF2BB9">
            <w:pPr>
              <w:widowControl w:val="0"/>
              <w:autoSpaceDE w:val="0"/>
              <w:autoSpaceDN w:val="0"/>
              <w:spacing w:before="60" w:after="60"/>
              <w:ind w:right="123"/>
              <w:rPr>
                <w:rFonts w:ascii="Arial Narrow" w:eastAsia="Calibri" w:hAnsi="Arial Narrow" w:cs="Calibri"/>
                <w:sz w:val="20"/>
                <w:szCs w:val="20"/>
              </w:rPr>
            </w:pPr>
            <w:bookmarkStart w:id="399" w:name="OLE_LINK17"/>
            <w:bookmarkStart w:id="400" w:name="OLE_LINK18"/>
            <w:r w:rsidRPr="00EF2BB9">
              <w:rPr>
                <w:rFonts w:ascii="Arial Narrow" w:eastAsia="Calibri" w:hAnsi="Arial Narrow" w:cs="Calibri"/>
                <w:sz w:val="20"/>
                <w:szCs w:val="20"/>
                <w:lang w:val="sq-AL"/>
              </w:rPr>
              <w:t>Relativisht e shtrenjtë, por më e përshtatshme për gjenruesit e mbeturinave</w:t>
            </w:r>
            <w:bookmarkEnd w:id="399"/>
            <w:bookmarkEnd w:id="400"/>
          </w:p>
        </w:tc>
        <w:tc>
          <w:tcPr>
            <w:tcW w:w="1418" w:type="dxa"/>
          </w:tcPr>
          <w:p w14:paraId="212CA364" w14:textId="77777777" w:rsidR="00EF2BB9" w:rsidRPr="00EF2BB9" w:rsidRDefault="00EF2BB9" w:rsidP="00EF2BB9">
            <w:pPr>
              <w:widowControl w:val="0"/>
              <w:autoSpaceDE w:val="0"/>
              <w:autoSpaceDN w:val="0"/>
              <w:spacing w:before="60" w:after="60"/>
              <w:ind w:right="123"/>
              <w:rPr>
                <w:rFonts w:ascii="Arial Narrow" w:eastAsia="Calibri" w:hAnsi="Arial Narrow" w:cs="Calibri"/>
                <w:sz w:val="20"/>
                <w:szCs w:val="20"/>
                <w:lang w:val="sq-AL"/>
              </w:rPr>
            </w:pPr>
            <w:r w:rsidRPr="00EF2BB9">
              <w:rPr>
                <w:rFonts w:ascii="Arial Narrow" w:eastAsia="Calibri" w:hAnsi="Arial Narrow" w:cs="Calibri"/>
                <w:sz w:val="20"/>
                <w:szCs w:val="20"/>
                <w:lang w:val="sq-AL"/>
              </w:rPr>
              <w:t>Ky është një sistem i organizuar mirë.</w:t>
            </w:r>
          </w:p>
          <w:p w14:paraId="50D5BE3C" w14:textId="4884F2F1" w:rsidR="00EF2BB9" w:rsidRPr="00EF2BB9" w:rsidRDefault="00EF2BB9" w:rsidP="00EF2BB9">
            <w:pPr>
              <w:widowControl w:val="0"/>
              <w:autoSpaceDE w:val="0"/>
              <w:autoSpaceDN w:val="0"/>
              <w:spacing w:before="60" w:after="60"/>
              <w:ind w:right="123"/>
              <w:rPr>
                <w:rFonts w:ascii="Arial Narrow" w:eastAsia="Calibri" w:hAnsi="Arial Narrow" w:cs="Calibri"/>
                <w:sz w:val="20"/>
                <w:szCs w:val="20"/>
              </w:rPr>
            </w:pPr>
            <w:r w:rsidRPr="00EF2BB9">
              <w:rPr>
                <w:rFonts w:ascii="Arial Narrow" w:eastAsia="Calibri" w:hAnsi="Arial Narrow" w:cs="Calibri"/>
                <w:sz w:val="20"/>
                <w:szCs w:val="20"/>
                <w:lang w:val="sq-AL"/>
              </w:rPr>
              <w:t>Relativisht i shtrenjtë, por shumë i përshtatshme për gjeneruesit e mbeturinave</w:t>
            </w:r>
          </w:p>
        </w:tc>
        <w:tc>
          <w:tcPr>
            <w:tcW w:w="1588" w:type="dxa"/>
          </w:tcPr>
          <w:p w14:paraId="66D4DCE7" w14:textId="77777777" w:rsidR="00EF2BB9" w:rsidRPr="00EF2BB9" w:rsidRDefault="00EF2BB9" w:rsidP="00EF2BB9">
            <w:pPr>
              <w:widowControl w:val="0"/>
              <w:autoSpaceDE w:val="0"/>
              <w:autoSpaceDN w:val="0"/>
              <w:spacing w:before="60" w:after="60"/>
              <w:ind w:right="123"/>
              <w:rPr>
                <w:rFonts w:ascii="Arial Narrow" w:eastAsia="Calibri" w:hAnsi="Arial Narrow" w:cs="Calibri"/>
                <w:sz w:val="20"/>
                <w:szCs w:val="20"/>
                <w:lang w:val="sq-AL"/>
              </w:rPr>
            </w:pPr>
            <w:r w:rsidRPr="00EF2BB9">
              <w:rPr>
                <w:rFonts w:ascii="Arial Narrow" w:eastAsia="Calibri" w:hAnsi="Arial Narrow" w:cs="Calibri"/>
                <w:sz w:val="20"/>
                <w:szCs w:val="20"/>
                <w:lang w:val="sq-AL"/>
              </w:rPr>
              <w:t>Në parim, një sistem i mirë, megjithatë, ka një rrezik të lartë, që të ketë mbeturina të tjera në kontejnerë.</w:t>
            </w:r>
          </w:p>
          <w:p w14:paraId="35CD66BC" w14:textId="0F2B6E7A" w:rsidR="00EF2BB9" w:rsidRPr="00EF2BB9" w:rsidRDefault="00EF2BB9" w:rsidP="00EF2BB9">
            <w:pPr>
              <w:widowControl w:val="0"/>
              <w:autoSpaceDE w:val="0"/>
              <w:autoSpaceDN w:val="0"/>
              <w:spacing w:before="60" w:after="60"/>
              <w:ind w:right="123"/>
              <w:rPr>
                <w:rFonts w:ascii="Arial Narrow" w:eastAsia="Calibri" w:hAnsi="Arial Narrow" w:cs="Calibri"/>
                <w:sz w:val="20"/>
                <w:szCs w:val="20"/>
              </w:rPr>
            </w:pPr>
            <w:r w:rsidRPr="00EF2BB9">
              <w:rPr>
                <w:rFonts w:ascii="Arial Narrow" w:eastAsia="Calibri" w:hAnsi="Arial Narrow" w:cs="Calibri"/>
                <w:sz w:val="20"/>
                <w:szCs w:val="20"/>
                <w:lang w:val="sq-AL"/>
              </w:rPr>
              <w:t>Sistemi duhet të testohet përpara prezantimit.</w:t>
            </w:r>
          </w:p>
        </w:tc>
        <w:tc>
          <w:tcPr>
            <w:tcW w:w="1559" w:type="dxa"/>
          </w:tcPr>
          <w:p w14:paraId="189F4090" w14:textId="77777777" w:rsidR="00EF2BB9" w:rsidRPr="00EF2BB9" w:rsidRDefault="00EF2BB9" w:rsidP="00EF2BB9">
            <w:pPr>
              <w:widowControl w:val="0"/>
              <w:autoSpaceDE w:val="0"/>
              <w:autoSpaceDN w:val="0"/>
              <w:spacing w:before="60" w:after="60"/>
              <w:ind w:right="123"/>
              <w:rPr>
                <w:rFonts w:ascii="Arial Narrow" w:eastAsia="Calibri" w:hAnsi="Arial Narrow" w:cs="Calibri"/>
                <w:sz w:val="20"/>
                <w:szCs w:val="20"/>
                <w:lang w:val="sq-AL"/>
              </w:rPr>
            </w:pPr>
            <w:r w:rsidRPr="00EF2BB9">
              <w:rPr>
                <w:rFonts w:ascii="Arial Narrow" w:eastAsia="Calibri" w:hAnsi="Arial Narrow" w:cs="Calibri"/>
                <w:sz w:val="20"/>
                <w:szCs w:val="20"/>
                <w:lang w:val="sq-AL"/>
              </w:rPr>
              <w:t>Ky sistem i mban vendbanimet të pastra, pasi që mbeturinat vendosen vetëm në datën e caktuar.</w:t>
            </w:r>
          </w:p>
          <w:p w14:paraId="08DE3D84" w14:textId="307C8B63" w:rsidR="00EF2BB9" w:rsidRPr="00EF2BB9" w:rsidRDefault="00EF2BB9" w:rsidP="00EF2BB9">
            <w:pPr>
              <w:widowControl w:val="0"/>
              <w:autoSpaceDE w:val="0"/>
              <w:autoSpaceDN w:val="0"/>
              <w:spacing w:before="60" w:after="60"/>
              <w:ind w:right="123"/>
              <w:rPr>
                <w:rFonts w:ascii="Arial Narrow" w:eastAsia="Calibri" w:hAnsi="Arial Narrow" w:cs="Calibri"/>
                <w:sz w:val="20"/>
                <w:szCs w:val="20"/>
              </w:rPr>
            </w:pPr>
            <w:r w:rsidRPr="00EF2BB9">
              <w:rPr>
                <w:rFonts w:ascii="Arial Narrow" w:eastAsia="Calibri" w:hAnsi="Arial Narrow" w:cs="Calibri"/>
                <w:sz w:val="20"/>
                <w:szCs w:val="20"/>
                <w:lang w:val="sq-AL"/>
              </w:rPr>
              <w:t>Megjithatë, mund të ketë shumë njerëz që nuk do ta pëlqenin sistemin e thirrjeve.</w:t>
            </w:r>
          </w:p>
        </w:tc>
        <w:tc>
          <w:tcPr>
            <w:tcW w:w="1984" w:type="dxa"/>
          </w:tcPr>
          <w:p w14:paraId="50EAAA1F" w14:textId="46C5273A" w:rsidR="00EF2BB9" w:rsidRPr="00EF2BB9" w:rsidRDefault="00EF2BB9" w:rsidP="00EF2BB9">
            <w:pPr>
              <w:widowControl w:val="0"/>
              <w:autoSpaceDE w:val="0"/>
              <w:autoSpaceDN w:val="0"/>
              <w:spacing w:before="60" w:after="60"/>
              <w:ind w:right="123"/>
              <w:rPr>
                <w:rFonts w:ascii="Arial Narrow" w:eastAsia="Calibri" w:hAnsi="Arial Narrow" w:cs="Calibri"/>
                <w:sz w:val="20"/>
                <w:szCs w:val="20"/>
              </w:rPr>
            </w:pPr>
            <w:r w:rsidRPr="00EF2BB9">
              <w:rPr>
                <w:rFonts w:ascii="Arial Narrow" w:eastAsia="Calibri" w:hAnsi="Arial Narrow" w:cs="Calibri"/>
                <w:sz w:val="20"/>
                <w:szCs w:val="20"/>
                <w:lang w:val="sq-AL"/>
              </w:rPr>
              <w:t>Ky opsion ka kuptim, nëse një sistem i oborreve ricikluese parashikohet edhe për lloje të tjera mbeturinash. Jo i përshtatshëm për zonat rurale</w:t>
            </w:r>
          </w:p>
        </w:tc>
      </w:tr>
      <w:tr w:rsidR="00EF2BB9" w:rsidRPr="00430A79" w14:paraId="042B363E" w14:textId="77777777" w:rsidTr="00D03949">
        <w:tc>
          <w:tcPr>
            <w:tcW w:w="1354" w:type="dxa"/>
            <w:shd w:val="clear" w:color="auto" w:fill="9CC2E5" w:themeFill="accent5" w:themeFillTint="99"/>
            <w:vAlign w:val="center"/>
          </w:tcPr>
          <w:p w14:paraId="2A6E4CEF" w14:textId="6532AE2C" w:rsidR="00EF2BB9" w:rsidRPr="00430A79" w:rsidRDefault="00EF2BB9" w:rsidP="00EF2BB9">
            <w:pPr>
              <w:widowControl w:val="0"/>
              <w:autoSpaceDE w:val="0"/>
              <w:autoSpaceDN w:val="0"/>
              <w:spacing w:before="60" w:after="60"/>
              <w:ind w:right="123"/>
              <w:rPr>
                <w:rFonts w:ascii="Arial Narrow" w:eastAsia="Calibri" w:hAnsi="Arial Narrow" w:cs="Calibri"/>
              </w:rPr>
            </w:pPr>
            <w:r w:rsidRPr="00BE2534">
              <w:rPr>
                <w:rFonts w:ascii="Arial Narrow" w:eastAsia="Calibri" w:hAnsi="Arial Narrow" w:cs="Calibri"/>
                <w:color w:val="FFFFFF" w:themeColor="background1"/>
                <w:sz w:val="20"/>
                <w:szCs w:val="20"/>
                <w:lang w:val="sq-AL"/>
              </w:rPr>
              <w:t>Rekomandim</w:t>
            </w:r>
          </w:p>
        </w:tc>
        <w:tc>
          <w:tcPr>
            <w:tcW w:w="1276" w:type="dxa"/>
          </w:tcPr>
          <w:p w14:paraId="648A3128" w14:textId="0A6A7FF8" w:rsidR="00EF2BB9" w:rsidRPr="00430A79" w:rsidRDefault="00EF2BB9" w:rsidP="00EF2BB9">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Rekomandohet, bazuar në sistemin ekzistues, ku grumbullimi i mbeturinave të vëllimshme tashmë funksionon në baza ad-hoc, derisa të fillohet me një sistem më të organizuar .</w:t>
            </w:r>
          </w:p>
        </w:tc>
        <w:tc>
          <w:tcPr>
            <w:tcW w:w="1418" w:type="dxa"/>
          </w:tcPr>
          <w:p w14:paraId="248CBE8C" w14:textId="6F9A27CA" w:rsidR="00EF2BB9" w:rsidRPr="00430A79" w:rsidRDefault="00EF2BB9" w:rsidP="00EF2BB9">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Nuk rekomandohet në afat të shkurtër. Në periudhën afatmesme mund të konsiderohet në të ardhmen të fillohet me një sistem vullnetar shportash për mbeturina të gjelbra .</w:t>
            </w:r>
          </w:p>
        </w:tc>
        <w:tc>
          <w:tcPr>
            <w:tcW w:w="1588" w:type="dxa"/>
          </w:tcPr>
          <w:p w14:paraId="4676D3BB" w14:textId="6B0A3D8C" w:rsidR="00EF2BB9" w:rsidRPr="00430A79" w:rsidRDefault="00EF2BB9" w:rsidP="00EF2BB9">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Nuk rekomandohet derisa të ketë një disiplinë të qëndrueshme në ndarjen e mbeturinave.</w:t>
            </w:r>
          </w:p>
        </w:tc>
        <w:tc>
          <w:tcPr>
            <w:tcW w:w="1559" w:type="dxa"/>
          </w:tcPr>
          <w:p w14:paraId="57A582BA" w14:textId="1E7FEE5A" w:rsidR="00EF2BB9" w:rsidRPr="00430A79" w:rsidRDefault="00EF2BB9" w:rsidP="00EF2BB9">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Nuk rekomandohet. Duke pasur parasysh frekuencën e lartë të prerjeve të barit, kjo do të kërkonte thirrje dhe mbledhje të shpeshta. Kështu, një sistem i rregullt është më i përshtatshëm.</w:t>
            </w:r>
          </w:p>
        </w:tc>
        <w:tc>
          <w:tcPr>
            <w:tcW w:w="1984" w:type="dxa"/>
          </w:tcPr>
          <w:p w14:paraId="0394F297" w14:textId="515CC670" w:rsidR="00EF2BB9" w:rsidRPr="00430A79" w:rsidRDefault="00EF2BB9" w:rsidP="00EF2BB9">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Nuk rekomandohet. Nuk ka gjasa që një numër i konsiderueshëm njerëzish të transportojnë mbeturinat e tyre në oborret e ricklimit .</w:t>
            </w:r>
          </w:p>
        </w:tc>
      </w:tr>
    </w:tbl>
    <w:p w14:paraId="6C072890" w14:textId="77777777" w:rsidR="002E4DDE" w:rsidRDefault="002E4DDE" w:rsidP="002E4DDE">
      <w:pPr>
        <w:rPr>
          <w:rFonts w:ascii="Arial Narrow" w:eastAsiaTheme="majorEastAsia" w:hAnsi="Arial Narrow"/>
          <w:b/>
          <w:bCs/>
          <w:sz w:val="22"/>
          <w:szCs w:val="22"/>
        </w:rPr>
      </w:pPr>
      <w:bookmarkStart w:id="401" w:name="_Toc185866128"/>
    </w:p>
    <w:p w14:paraId="08CCA286" w14:textId="6630A4B4" w:rsidR="00430A79" w:rsidRPr="00EF2BB9" w:rsidRDefault="00430A79" w:rsidP="002E4DDE">
      <w:pPr>
        <w:rPr>
          <w:rFonts w:ascii="Arial Narrow" w:eastAsiaTheme="majorEastAsia" w:hAnsi="Arial Narrow"/>
          <w:b/>
          <w:bCs/>
          <w:sz w:val="22"/>
          <w:szCs w:val="22"/>
        </w:rPr>
      </w:pPr>
      <w:r w:rsidRPr="00EF2BB9">
        <w:rPr>
          <w:rFonts w:ascii="Arial Narrow" w:eastAsiaTheme="majorEastAsia" w:hAnsi="Arial Narrow"/>
          <w:b/>
          <w:bCs/>
          <w:sz w:val="22"/>
          <w:szCs w:val="22"/>
        </w:rPr>
        <w:t>Kompostimi shtëpi</w:t>
      </w:r>
      <w:bookmarkEnd w:id="401"/>
      <w:r w:rsidR="00EF2BB9" w:rsidRPr="00EF2BB9">
        <w:rPr>
          <w:rFonts w:ascii="Arial Narrow" w:eastAsiaTheme="majorEastAsia" w:hAnsi="Arial Narrow"/>
          <w:b/>
          <w:bCs/>
          <w:sz w:val="22"/>
          <w:szCs w:val="22"/>
        </w:rPr>
        <w:t>ak</w:t>
      </w:r>
    </w:p>
    <w:p w14:paraId="2D83926C" w14:textId="5A408B0B" w:rsidR="00430A79" w:rsidRPr="009F5CA1" w:rsidRDefault="00EF2BB9" w:rsidP="00430A79">
      <w:pPr>
        <w:jc w:val="both"/>
        <w:rPr>
          <w:rFonts w:ascii="Arial Narrow" w:eastAsia="Calibri" w:hAnsi="Arial Narrow" w:cs="Calibri"/>
          <w:color w:val="000000" w:themeColor="text1"/>
          <w:sz w:val="22"/>
          <w:szCs w:val="22"/>
          <w:lang w:val="sq-AL"/>
        </w:rPr>
      </w:pPr>
      <w:r w:rsidRPr="00EF2BB9">
        <w:rPr>
          <w:rFonts w:ascii="Arial Narrow" w:eastAsia="Calibri" w:hAnsi="Arial Narrow" w:cs="Calibri"/>
          <w:sz w:val="22"/>
          <w:szCs w:val="22"/>
          <w:lang w:val="sq-AL"/>
        </w:rPr>
        <w:t>Një tjetër mundësi praktike për reduktimin e sasive të mbeturinave për deponi është të fillohet me kompostimin shtëpiak. Kjo është një metodë riciklimi që ndihmon në transformimin e sasive të mbeturinave të gjelbra në kompost të vlefshëm, i cili mund të përdoret nga banorët drejtpërdrejt në tokën e tyre për të rritur prodhimin e perimeve dhe luleve. Në të njëjtën kohë, kompostimi shtëpik rezulton në sasi të reduktuara të mbeturinave që kërkojnë grumbullim dhe në këtë kuptim mund të ndihmojë në uljen e kostove për grumbullimin e mbeturinave dhe menaxhimin e mëvonshëm</w:t>
      </w:r>
      <w:r w:rsidR="00430A79" w:rsidRPr="009F5CA1">
        <w:rPr>
          <w:rFonts w:ascii="Arial Narrow" w:eastAsia="Calibri" w:hAnsi="Arial Narrow" w:cs="Calibri"/>
          <w:color w:val="000000" w:themeColor="text1"/>
          <w:sz w:val="22"/>
          <w:szCs w:val="22"/>
          <w:lang w:val="sq-AL"/>
        </w:rPr>
        <w:t>.</w:t>
      </w:r>
    </w:p>
    <w:p w14:paraId="2B95055D"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0EFB893E" w14:textId="613BD625" w:rsidR="00430A79" w:rsidRPr="009F5CA1" w:rsidRDefault="00430A79" w:rsidP="00430A79">
      <w:pPr>
        <w:jc w:val="both"/>
        <w:rPr>
          <w:rFonts w:ascii="Arial Narrow" w:eastAsia="Calibri" w:hAnsi="Arial Narrow" w:cs="Calibri"/>
          <w:color w:val="000000" w:themeColor="text1"/>
          <w:sz w:val="22"/>
          <w:szCs w:val="22"/>
          <w:lang w:val="sq-AL"/>
        </w:rPr>
      </w:pPr>
      <w:r w:rsidRPr="00EF2BB9">
        <w:rPr>
          <w:rFonts w:ascii="Arial Narrow" w:hAnsi="Arial Narrow"/>
          <w:noProof/>
          <w:color w:val="000000" w:themeColor="text1"/>
          <w:sz w:val="22"/>
          <w:szCs w:val="22"/>
          <w:lang w:val="en-GB"/>
        </w:rPr>
        <w:drawing>
          <wp:anchor distT="0" distB="0" distL="114300" distR="114300" simplePos="0" relativeHeight="251683840" behindDoc="1" locked="0" layoutInCell="1" allowOverlap="1" wp14:anchorId="07D4D3B8" wp14:editId="3FDC969A">
            <wp:simplePos x="0" y="0"/>
            <wp:positionH relativeFrom="column">
              <wp:posOffset>3027045</wp:posOffset>
            </wp:positionH>
            <wp:positionV relativeFrom="paragraph">
              <wp:posOffset>594995</wp:posOffset>
            </wp:positionV>
            <wp:extent cx="2668270" cy="1860550"/>
            <wp:effectExtent l="0" t="0" r="0" b="6350"/>
            <wp:wrapTight wrapText="bothSides">
              <wp:wrapPolygon edited="0">
                <wp:start x="0" y="0"/>
                <wp:lineTo x="0" y="21453"/>
                <wp:lineTo x="21436" y="21453"/>
                <wp:lineTo x="21436" y="0"/>
                <wp:lineTo x="0" y="0"/>
              </wp:wrapPolygon>
            </wp:wrapTight>
            <wp:docPr id="385360532" name="Picture 385360532" descr="A black crat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crate on a white background&#10;&#10;AI-generated content may be incorrec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68270" cy="186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2BB9">
        <w:rPr>
          <w:rFonts w:ascii="Arial Narrow" w:eastAsia="Calibri" w:hAnsi="Arial Narrow" w:cs="Calibri"/>
          <w:noProof/>
          <w:color w:val="000000" w:themeColor="text1"/>
          <w:sz w:val="22"/>
          <w:szCs w:val="22"/>
          <w:lang w:val="en-GB"/>
        </w:rPr>
        <mc:AlternateContent>
          <mc:Choice Requires="wps">
            <w:drawing>
              <wp:anchor distT="45720" distB="45720" distL="114300" distR="114300" simplePos="0" relativeHeight="251682816" behindDoc="0" locked="0" layoutInCell="1" allowOverlap="1" wp14:anchorId="23D74D4B" wp14:editId="15BD0141">
                <wp:simplePos x="0" y="0"/>
                <wp:positionH relativeFrom="column">
                  <wp:posOffset>3314700</wp:posOffset>
                </wp:positionH>
                <wp:positionV relativeFrom="paragraph">
                  <wp:posOffset>644525</wp:posOffset>
                </wp:positionV>
                <wp:extent cx="2520950" cy="1714500"/>
                <wp:effectExtent l="0" t="0" r="0" b="0"/>
                <wp:wrapSquare wrapText="bothSides"/>
                <wp:docPr id="1918122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1714500"/>
                        </a:xfrm>
                        <a:prstGeom prst="rect">
                          <a:avLst/>
                        </a:prstGeom>
                        <a:solidFill>
                          <a:srgbClr val="FFFFFF"/>
                        </a:solidFill>
                        <a:ln w="9525">
                          <a:noFill/>
                          <a:miter lim="800000"/>
                          <a:headEnd/>
                          <a:tailEnd/>
                        </a:ln>
                      </wps:spPr>
                      <wps:txbx>
                        <w:txbxContent>
                          <w:p w14:paraId="4C9C40E2" w14:textId="77777777" w:rsidR="00430A79" w:rsidRDefault="00430A79" w:rsidP="00430A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74D4B" id="_x0000_s1034" type="#_x0000_t202" style="position:absolute;left:0;text-align:left;margin-left:261pt;margin-top:50.75pt;width:198.5pt;height:13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" stroked="f">
                <v:textbox>
                  <w:txbxContent>
                    <w:p w14:paraId="4C9C40E2" w14:textId="77777777" w:rsidR="00430A79" w:rsidRDefault="00430A79" w:rsidP="00430A79"/>
                  </w:txbxContent>
                </v:textbox>
                <w10:wrap type="square"/>
              </v:shape>
            </w:pict>
          </mc:Fallback>
        </mc:AlternateContent>
      </w:r>
      <w:r w:rsidR="00EF2BB9" w:rsidRPr="00EF2BB9">
        <w:rPr>
          <w:rFonts w:ascii="Arial Narrow" w:eastAsia="Calibri" w:hAnsi="Arial Narrow" w:cs="Calibri"/>
          <w:sz w:val="22"/>
          <w:szCs w:val="22"/>
          <w:lang w:val="sq-AL"/>
        </w:rPr>
        <w:t>Në mënyrën më të zakonshme, procesi i kompostimit kërkon thjesht grumbullimin e mbeturinave të gjelbra. Procesi i dekompozimit ndihmohet nga copëtimi i bimëve dhe degëve nga pemët. Për të përshpejtuar procesin e dekompozimit duhet të sigurohet ajsja e duhur duke e rrotulluar rregullisht masën e mbeturinave. Mbeturinat e kuzhinës mund të shtohen gjithashtu në proces, por vetëm mbeturinat e zgjedhura ushqimore. Produktet e qumështit dhe mishi duhet të shmangen pasi tërheqin parazitë dhe brejtës. Në përgjithësi, mbeturinat e kuzhinës në vendbanimet rurale përdoren kryesisht për ushqimin e kafshëve dhe kompostuesit shtëpiak pritet të përdoren kryesisht për mbeturinat e gjelbra nga oborret</w:t>
      </w:r>
      <w:r w:rsidRPr="009F5CA1">
        <w:rPr>
          <w:rFonts w:ascii="Arial Narrow" w:eastAsia="Calibri" w:hAnsi="Arial Narrow" w:cs="Calibri"/>
          <w:color w:val="000000" w:themeColor="text1"/>
          <w:sz w:val="22"/>
          <w:szCs w:val="22"/>
          <w:lang w:val="sq-AL"/>
        </w:rPr>
        <w:t>.</w:t>
      </w:r>
      <w:r w:rsidRPr="009F5CA1">
        <w:rPr>
          <w:rFonts w:ascii="Arial Narrow" w:hAnsi="Arial Narrow"/>
          <w:noProof/>
          <w:color w:val="000000" w:themeColor="text1"/>
          <w:sz w:val="22"/>
          <w:szCs w:val="22"/>
          <w:lang w:val="sq-AL"/>
        </w:rPr>
        <w:t xml:space="preserve"> </w:t>
      </w:r>
    </w:p>
    <w:p w14:paraId="62CCDBCC"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041502BB" w14:textId="4BDA4E8B" w:rsidR="00EF2BB9" w:rsidRPr="00EF2BB9" w:rsidRDefault="00430A79" w:rsidP="00EF2BB9">
      <w:pPr>
        <w:pStyle w:val="Paragraph"/>
        <w:spacing w:after="0"/>
        <w:rPr>
          <w:rFonts w:eastAsia="Calibri" w:cs="Calibri"/>
          <w:lang w:val="sq-AL"/>
        </w:rPr>
      </w:pPr>
      <w:r w:rsidRPr="00EF2BB9">
        <w:rPr>
          <w:noProof/>
          <w:lang w:val="en-GB"/>
        </w:rPr>
        <mc:AlternateContent>
          <mc:Choice Requires="wps">
            <w:drawing>
              <wp:anchor distT="0" distB="0" distL="114300" distR="114300" simplePos="0" relativeHeight="251684864" behindDoc="0" locked="0" layoutInCell="1" allowOverlap="1" wp14:anchorId="0EE5C746" wp14:editId="740F969E">
                <wp:simplePos x="0" y="0"/>
                <wp:positionH relativeFrom="column">
                  <wp:posOffset>3279802</wp:posOffset>
                </wp:positionH>
                <wp:positionV relativeFrom="paragraph">
                  <wp:posOffset>676302</wp:posOffset>
                </wp:positionV>
                <wp:extent cx="2603500" cy="635"/>
                <wp:effectExtent l="0" t="0" r="6350" b="0"/>
                <wp:wrapSquare wrapText="bothSides"/>
                <wp:docPr id="1789605388" name="Text Box 1"/>
                <wp:cNvGraphicFramePr/>
                <a:graphic xmlns:a="http://schemas.openxmlformats.org/drawingml/2006/main">
                  <a:graphicData uri="http://schemas.microsoft.com/office/word/2010/wordprocessingShape">
                    <wps:wsp>
                      <wps:cNvSpPr txBox="1"/>
                      <wps:spPr>
                        <a:xfrm>
                          <a:off x="0" y="0"/>
                          <a:ext cx="2603500" cy="635"/>
                        </a:xfrm>
                        <a:prstGeom prst="rect">
                          <a:avLst/>
                        </a:prstGeom>
                        <a:solidFill>
                          <a:prstClr val="white"/>
                        </a:solidFill>
                        <a:ln>
                          <a:noFill/>
                        </a:ln>
                      </wps:spPr>
                      <wps:txbx>
                        <w:txbxContent>
                          <w:p w14:paraId="2BBA904D" w14:textId="54483C12" w:rsidR="00430A79" w:rsidRPr="00EF2BB9" w:rsidRDefault="00430A79" w:rsidP="006347D6">
                            <w:pPr>
                              <w:pStyle w:val="Figure"/>
                              <w:rPr>
                                <w:rFonts w:eastAsia="Calibri" w:cs="Calibri"/>
                                <w:sz w:val="20"/>
                                <w:szCs w:val="20"/>
                              </w:rPr>
                            </w:pPr>
                            <w:bookmarkStart w:id="402" w:name="_Toc197472328"/>
                            <w:r w:rsidRPr="00EF2BB9">
                              <w:rPr>
                                <w:rFonts w:eastAsia="Calibri" w:cs="Calibri"/>
                                <w:sz w:val="20"/>
                                <w:szCs w:val="20"/>
                              </w:rPr>
                              <w:t xml:space="preserve">Figure </w:t>
                            </w:r>
                            <w:r w:rsidRPr="00EF2BB9">
                              <w:rPr>
                                <w:rFonts w:eastAsia="Calibri" w:cs="Calibri"/>
                                <w:sz w:val="20"/>
                                <w:szCs w:val="20"/>
                              </w:rPr>
                              <w:fldChar w:fldCharType="begin"/>
                            </w:r>
                            <w:r w:rsidRPr="00EF2BB9">
                              <w:rPr>
                                <w:rFonts w:eastAsia="Calibri" w:cs="Calibri"/>
                                <w:sz w:val="20"/>
                                <w:szCs w:val="20"/>
                              </w:rPr>
                              <w:instrText xml:space="preserve"> SEQ Figure \* ARABIC </w:instrText>
                            </w:r>
                            <w:r w:rsidRPr="00EF2BB9">
                              <w:rPr>
                                <w:rFonts w:eastAsia="Calibri" w:cs="Calibri"/>
                                <w:sz w:val="20"/>
                                <w:szCs w:val="20"/>
                              </w:rPr>
                              <w:fldChar w:fldCharType="separate"/>
                            </w:r>
                            <w:r w:rsidR="00C97DF3" w:rsidRPr="00EF2BB9">
                              <w:rPr>
                                <w:rFonts w:eastAsia="Calibri" w:cs="Calibri"/>
                                <w:noProof/>
                                <w:sz w:val="20"/>
                                <w:szCs w:val="20"/>
                              </w:rPr>
                              <w:t>27</w:t>
                            </w:r>
                            <w:r w:rsidRPr="00EF2BB9">
                              <w:rPr>
                                <w:rFonts w:eastAsia="Calibri" w:cs="Calibri"/>
                                <w:sz w:val="20"/>
                                <w:szCs w:val="20"/>
                              </w:rPr>
                              <w:fldChar w:fldCharType="end"/>
                            </w:r>
                            <w:r w:rsidRPr="00EF2BB9">
                              <w:rPr>
                                <w:rFonts w:eastAsia="Calibri" w:cs="Calibri"/>
                                <w:sz w:val="20"/>
                                <w:szCs w:val="20"/>
                              </w:rPr>
                              <w:t xml:space="preserve">. </w:t>
                            </w:r>
                            <w:r w:rsidR="00EF2BB9" w:rsidRPr="00EF2BB9">
                              <w:rPr>
                                <w:rFonts w:eastAsia="Calibri" w:cs="Calibri"/>
                                <w:color w:val="1F497D"/>
                                <w:sz w:val="20"/>
                                <w:szCs w:val="20"/>
                                <w:lang w:val="en-GB"/>
                              </w:rPr>
                              <w:t>Shembull i një komposteri jo të kushtueshëm</w:t>
                            </w:r>
                            <w:bookmarkEnd w:id="4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E5C746" id="_x0000_s1035" type="#_x0000_t202" style="position:absolute;left:0;text-align:left;margin-left:258.25pt;margin-top:53.25pt;width:205pt;height:.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" stroked="f">
                <v:textbox style="mso-fit-shape-to-text:t" inset="0,0,0,0">
                  <w:txbxContent>
                    <w:p w14:paraId="2BBA904D" w14:textId="54483C12" w:rsidR="00430A79" w:rsidRPr="00EF2BB9" w:rsidRDefault="00430A79" w:rsidP="006347D6">
                      <w:pPr>
                        <w:pStyle w:val="Figure"/>
                        <w:rPr>
                          <w:rFonts w:eastAsia="Calibri" w:cs="Calibri"/>
                          <w:sz w:val="20"/>
                          <w:szCs w:val="20"/>
                        </w:rPr>
                      </w:pPr>
                      <w:bookmarkStart w:id="403" w:name="_Toc197472328"/>
                      <w:r w:rsidRPr="00EF2BB9">
                        <w:rPr>
                          <w:rFonts w:eastAsia="Calibri" w:cs="Calibri"/>
                          <w:sz w:val="20"/>
                          <w:szCs w:val="20"/>
                        </w:rPr>
                        <w:t xml:space="preserve">Figure </w:t>
                      </w:r>
                      <w:r w:rsidRPr="00EF2BB9">
                        <w:rPr>
                          <w:rFonts w:eastAsia="Calibri" w:cs="Calibri"/>
                          <w:sz w:val="20"/>
                          <w:szCs w:val="20"/>
                        </w:rPr>
                        <w:fldChar w:fldCharType="begin"/>
                      </w:r>
                      <w:r w:rsidRPr="00EF2BB9">
                        <w:rPr>
                          <w:rFonts w:eastAsia="Calibri" w:cs="Calibri"/>
                          <w:sz w:val="20"/>
                          <w:szCs w:val="20"/>
                        </w:rPr>
                        <w:instrText xml:space="preserve"> SEQ Figure \* ARABIC </w:instrText>
                      </w:r>
                      <w:r w:rsidRPr="00EF2BB9">
                        <w:rPr>
                          <w:rFonts w:eastAsia="Calibri" w:cs="Calibri"/>
                          <w:sz w:val="20"/>
                          <w:szCs w:val="20"/>
                        </w:rPr>
                        <w:fldChar w:fldCharType="separate"/>
                      </w:r>
                      <w:r w:rsidR="00C97DF3" w:rsidRPr="00EF2BB9">
                        <w:rPr>
                          <w:rFonts w:eastAsia="Calibri" w:cs="Calibri"/>
                          <w:noProof/>
                          <w:sz w:val="20"/>
                          <w:szCs w:val="20"/>
                        </w:rPr>
                        <w:t>27</w:t>
                      </w:r>
                      <w:r w:rsidRPr="00EF2BB9">
                        <w:rPr>
                          <w:rFonts w:eastAsia="Calibri" w:cs="Calibri"/>
                          <w:sz w:val="20"/>
                          <w:szCs w:val="20"/>
                        </w:rPr>
                        <w:fldChar w:fldCharType="end"/>
                      </w:r>
                      <w:r w:rsidRPr="00EF2BB9">
                        <w:rPr>
                          <w:rFonts w:eastAsia="Calibri" w:cs="Calibri"/>
                          <w:sz w:val="20"/>
                          <w:szCs w:val="20"/>
                        </w:rPr>
                        <w:t xml:space="preserve">. </w:t>
                      </w:r>
                      <w:r w:rsidR="00EF2BB9" w:rsidRPr="00EF2BB9">
                        <w:rPr>
                          <w:rFonts w:eastAsia="Calibri" w:cs="Calibri"/>
                          <w:color w:val="1F497D"/>
                          <w:sz w:val="20"/>
                          <w:szCs w:val="20"/>
                          <w:lang w:val="en-GB"/>
                        </w:rPr>
                        <w:t>Shembull i një komposteri jo të kushtueshëm</w:t>
                      </w:r>
                      <w:bookmarkEnd w:id="403"/>
                    </w:p>
                  </w:txbxContent>
                </v:textbox>
                <w10:wrap type="square"/>
              </v:shape>
            </w:pict>
          </mc:Fallback>
        </mc:AlternateContent>
      </w:r>
      <w:r w:rsidR="00EF2BB9" w:rsidRPr="00EF2BB9">
        <w:rPr>
          <w:rFonts w:eastAsia="Calibri" w:cs="Calibri"/>
          <w:lang w:val="sq-AL"/>
        </w:rPr>
        <w:t>Kompostimi në shtëpi mund të lehtësohet duke përdorur pajisje speciale. Këto pajisje (komposterët shtëpiak) janë të qëndrueshme (zakonisht prej plastike) dhe kanë një periudhë funksionimi 7-10 vjet. Çmimet e kompostuesve të tillë variojnë nga 40 deri në 100 euro.</w:t>
      </w:r>
    </w:p>
    <w:p w14:paraId="351672D0" w14:textId="77777777" w:rsidR="00EF2BB9" w:rsidRPr="00EF2BB9" w:rsidRDefault="00EF2BB9" w:rsidP="00EF2BB9">
      <w:pPr>
        <w:pStyle w:val="Paragraph"/>
        <w:spacing w:after="0"/>
        <w:rPr>
          <w:rFonts w:eastAsia="Calibri" w:cs="Calibri"/>
          <w:lang w:val="sq-AL"/>
        </w:rPr>
      </w:pPr>
    </w:p>
    <w:p w14:paraId="393F55DA" w14:textId="77777777" w:rsidR="00EF2BB9" w:rsidRPr="00EF2BB9" w:rsidRDefault="00EF2BB9" w:rsidP="00EF2BB9">
      <w:pPr>
        <w:pStyle w:val="Paragraph"/>
        <w:spacing w:after="0"/>
        <w:rPr>
          <w:rFonts w:eastAsia="Calibri" w:cs="Calibri"/>
          <w:lang w:val="sq-AL"/>
        </w:rPr>
      </w:pPr>
      <w:r w:rsidRPr="00EF2BB9">
        <w:rPr>
          <w:rFonts w:eastAsia="Calibri" w:cs="Calibri"/>
          <w:lang w:val="sq-AL"/>
        </w:rPr>
        <w:t>Një njësi kompostimi shtëpiak mund të bëhet gjithashtu nga druri, ose materiale të tjera dhe mund të jetë shumë e thjeshtë dhe më pak e kushtueshme.</w:t>
      </w:r>
    </w:p>
    <w:p w14:paraId="2811B71B" w14:textId="440AA290" w:rsidR="002E4DDE" w:rsidRPr="00EF2BB9" w:rsidRDefault="00EF2BB9" w:rsidP="00EF2BB9">
      <w:pPr>
        <w:jc w:val="both"/>
        <w:rPr>
          <w:rFonts w:ascii="Arial Narrow" w:eastAsia="Calibri" w:hAnsi="Arial Narrow" w:cs="Calibri"/>
          <w:lang w:val="sq-AL"/>
        </w:rPr>
      </w:pPr>
      <w:r w:rsidRPr="00EF2BB9">
        <w:rPr>
          <w:rFonts w:ascii="Arial Narrow" w:eastAsia="Calibri" w:hAnsi="Arial Narrow" w:cs="Calibri"/>
          <w:sz w:val="22"/>
          <w:szCs w:val="22"/>
          <w:lang w:val="sq-AL"/>
        </w:rPr>
        <w:t>Zbatimi i programit të kompostimit shtëpiak rekomandohet për të gjitha zonat rurale dhe për shtëpitë familjare në zonat urban</w:t>
      </w:r>
      <w:r w:rsidRPr="00EF2BB9">
        <w:rPr>
          <w:rFonts w:ascii="Arial Narrow" w:eastAsia="Calibri" w:hAnsi="Arial Narrow" w:cs="Calibri"/>
          <w:lang w:val="sq-AL"/>
        </w:rPr>
        <w:t>.</w:t>
      </w:r>
    </w:p>
    <w:p w14:paraId="3779EABA" w14:textId="77777777" w:rsidR="00EF2BB9" w:rsidRPr="009F5CA1" w:rsidRDefault="00EF2BB9" w:rsidP="00EF2BB9">
      <w:pPr>
        <w:jc w:val="both"/>
        <w:rPr>
          <w:rFonts w:ascii="Arial Narrow" w:eastAsia="Calibri" w:hAnsi="Arial Narrow" w:cs="Calibri"/>
          <w:color w:val="000000" w:themeColor="text1"/>
          <w:sz w:val="22"/>
          <w:szCs w:val="22"/>
          <w:lang w:val="sq-AL"/>
        </w:rPr>
      </w:pPr>
    </w:p>
    <w:p w14:paraId="1DEAF8D6" w14:textId="77777777" w:rsidR="00430A79" w:rsidRPr="00430A79" w:rsidRDefault="00430A79" w:rsidP="002E4DDE">
      <w:pPr>
        <w:rPr>
          <w:rFonts w:ascii="Arial Narrow" w:eastAsiaTheme="majorEastAsia" w:hAnsi="Arial Narrow"/>
          <w:b/>
          <w:bCs/>
          <w:sz w:val="22"/>
          <w:szCs w:val="22"/>
        </w:rPr>
      </w:pPr>
      <w:bookmarkStart w:id="404" w:name="_Toc185866129"/>
      <w:r w:rsidRPr="00EF2BB9">
        <w:rPr>
          <w:rFonts w:ascii="Arial Narrow" w:eastAsiaTheme="majorEastAsia" w:hAnsi="Arial Narrow"/>
          <w:b/>
          <w:bCs/>
          <w:sz w:val="22"/>
          <w:szCs w:val="22"/>
        </w:rPr>
        <w:t>Vlerësimet</w:t>
      </w:r>
      <w:r w:rsidRPr="00430A79">
        <w:rPr>
          <w:rFonts w:ascii="Arial Narrow" w:eastAsiaTheme="majorEastAsia" w:hAnsi="Arial Narrow"/>
          <w:b/>
          <w:bCs/>
          <w:sz w:val="22"/>
          <w:szCs w:val="22"/>
        </w:rPr>
        <w:t xml:space="preserve"> e kostove për kompostimin e mbeturinave të gjelbra</w:t>
      </w:r>
      <w:bookmarkEnd w:id="404"/>
      <w:r w:rsidRPr="00430A79">
        <w:rPr>
          <w:rFonts w:ascii="Arial Narrow" w:eastAsiaTheme="majorEastAsia" w:hAnsi="Arial Narrow"/>
          <w:b/>
          <w:bCs/>
          <w:sz w:val="22"/>
          <w:szCs w:val="22"/>
        </w:rPr>
        <w:t xml:space="preserve">  </w:t>
      </w:r>
    </w:p>
    <w:p w14:paraId="6048B7E7" w14:textId="77777777" w:rsidR="00EF2BB9" w:rsidRPr="00BE2534" w:rsidRDefault="00EF2BB9" w:rsidP="00EF2BB9">
      <w:pPr>
        <w:pStyle w:val="Paragraph"/>
        <w:spacing w:after="0"/>
        <w:rPr>
          <w:rFonts w:eastAsia="Calibri" w:cs="Calibri"/>
          <w:lang w:val="sq-AL"/>
        </w:rPr>
      </w:pPr>
      <w:r w:rsidRPr="00BE2534">
        <w:rPr>
          <w:rFonts w:eastAsia="Calibri" w:cs="Calibri"/>
          <w:lang w:val="sq-AL"/>
        </w:rPr>
        <w:t>Lloji i objekteve të përshtatshme për kompostimin e mbeturinave të gjelbra duhet të vendoset në bazë të sasive të vlerësuara të mbeturinave të gjelbra të grumbulluara.</w:t>
      </w:r>
    </w:p>
    <w:p w14:paraId="60C3F4EE" w14:textId="77777777" w:rsidR="00EF2BB9" w:rsidRPr="00BE2534" w:rsidRDefault="00EF2BB9" w:rsidP="00EF2BB9">
      <w:pPr>
        <w:pStyle w:val="Paragraph"/>
        <w:spacing w:after="0"/>
        <w:rPr>
          <w:rFonts w:eastAsia="Calibri" w:cs="Calibri"/>
          <w:lang w:val="sq-AL"/>
        </w:rPr>
      </w:pPr>
      <w:r w:rsidRPr="00BE2534">
        <w:rPr>
          <w:rFonts w:eastAsia="Calibri" w:cs="Calibri"/>
          <w:lang w:val="sq-AL"/>
        </w:rPr>
        <w:t>Ndërsa kompostimi shtëpiak do të jetë alternativa parësore për mbeturinat e gjelbra të krijuara në zonat rurale dhe shtëpitë familjare në zonat urbane, ndërtimi i instalimeve të kompostimit duhet të konsiderohet për mbeturinat nga mirëmbajtja e zonave të gjelbra publike. Për të shmangur transportimin e mbeturinave të gjelbra në distanca të mëdha, kompostimi do të organizohet në nivel komunal.</w:t>
      </w:r>
    </w:p>
    <w:p w14:paraId="58982A66" w14:textId="77777777" w:rsidR="00EF2BB9" w:rsidRPr="00BE2534" w:rsidRDefault="00EF2BB9" w:rsidP="00EF2BB9">
      <w:pPr>
        <w:pStyle w:val="Paragraph"/>
        <w:spacing w:after="0"/>
        <w:rPr>
          <w:rFonts w:eastAsia="Calibri" w:cs="Calibri"/>
          <w:lang w:val="sq-AL"/>
        </w:rPr>
      </w:pPr>
      <w:r w:rsidRPr="00BE2534">
        <w:rPr>
          <w:rFonts w:eastAsia="Calibri" w:cs="Calibri"/>
          <w:lang w:val="sq-AL"/>
        </w:rPr>
        <w:t xml:space="preserve">Sasitë e vlerësuara të mbeturinave të gjelbra të përcaktuara për kompostim të organizuar përcaktojnë llojet e përshtatshme të objekteve që do të përdoren. Në këtë drejtim, përcaktimi i lokacionit të centralizuar të kompostimit është i justifikuar vetëm në komunën e Pejës ku sasia e mbeturinave të gjelbra të grumbulluara </w:t>
      </w:r>
      <w:r>
        <w:rPr>
          <w:rFonts w:eastAsia="Calibri" w:cs="Calibri"/>
          <w:lang w:val="sq-AL"/>
        </w:rPr>
        <w:t>ndaras</w:t>
      </w:r>
      <w:r w:rsidRPr="00BE2534">
        <w:rPr>
          <w:rFonts w:eastAsia="Calibri" w:cs="Calibri"/>
          <w:lang w:val="sq-AL"/>
        </w:rPr>
        <w:t xml:space="preserve"> tejkalon 2,000 tonë në vit. Skemat e decentralizuara të kompostimit duke përdorur pajisje të lëvizshme përfshirë traktorin, pajisjen për prerjen e drnjve dhe pajisjen tërheqëse do të jenë më të përshtatshme për komunat e Istogut , Klinës dhe Deçanit ku sasia e mbeturinave të gjelbërta është nën 600 tonë në vit. Për komunën e Junikut ku sasitë e mbeturinave të gjelbra janë shumë të vogla, rekomandohet kompostimi në vend.</w:t>
      </w:r>
    </w:p>
    <w:p w14:paraId="609F6006" w14:textId="77777777" w:rsidR="00EF2BB9" w:rsidRPr="00BE2534" w:rsidRDefault="00EF2BB9" w:rsidP="00EF2BB9">
      <w:pPr>
        <w:pStyle w:val="Paragraph"/>
        <w:spacing w:after="0"/>
        <w:rPr>
          <w:rFonts w:eastAsia="Calibri" w:cs="Calibri"/>
          <w:lang w:val="sq-AL"/>
        </w:rPr>
      </w:pPr>
      <w:r w:rsidRPr="00BE2534">
        <w:rPr>
          <w:rFonts w:eastAsia="Calibri" w:cs="Calibri"/>
          <w:lang w:val="sq-AL"/>
        </w:rPr>
        <w:t>Tabela e mëposhtme paraqet vlerësimin e kostos për zbatimin e kompostimit të mbeturinave të gjelbra nëpër komuna.</w:t>
      </w:r>
    </w:p>
    <w:p w14:paraId="7E12ED09"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371C5ADF" w14:textId="4BC02B6D" w:rsidR="00430A79" w:rsidRPr="009F5CA1" w:rsidRDefault="00430A79" w:rsidP="00430A79">
      <w:pPr>
        <w:spacing w:after="120"/>
        <w:jc w:val="both"/>
        <w:rPr>
          <w:rFonts w:ascii="Arial Narrow" w:eastAsia="Calibri" w:hAnsi="Arial Narrow" w:cs="Calibri"/>
          <w:color w:val="1F497D"/>
          <w:sz w:val="20"/>
          <w:szCs w:val="20"/>
          <w:lang w:val="sq-AL"/>
        </w:rPr>
      </w:pPr>
      <w:bookmarkStart w:id="405" w:name="_Toc185866214"/>
      <w:bookmarkStart w:id="406" w:name="_Toc197472243"/>
      <w:r w:rsidRPr="009F5CA1">
        <w:rPr>
          <w:rFonts w:ascii="Arial Narrow" w:eastAsia="Calibri" w:hAnsi="Arial Narrow" w:cs="Calibri"/>
          <w:color w:val="1F497D"/>
          <w:sz w:val="20"/>
          <w:szCs w:val="20"/>
          <w:lang w:val="sq-AL"/>
        </w:rPr>
        <w:t xml:space="preserve">Tabela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lang w:val="sq-AL"/>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lang w:val="sq-AL"/>
        </w:rPr>
        <w:t xml:space="preserve">58. </w:t>
      </w:r>
      <w:r w:rsidRPr="00430A79">
        <w:rPr>
          <w:rFonts w:ascii="Arial Narrow" w:eastAsia="Calibri" w:hAnsi="Arial Narrow" w:cs="Calibri"/>
          <w:color w:val="1F497D"/>
          <w:sz w:val="20"/>
          <w:szCs w:val="20"/>
          <w:lang w:val="en-GB"/>
        </w:rPr>
        <w:fldChar w:fldCharType="end"/>
      </w:r>
      <w:r w:rsidRPr="009F5CA1">
        <w:rPr>
          <w:rFonts w:ascii="Arial Narrow" w:eastAsia="Calibri" w:hAnsi="Arial Narrow" w:cs="Calibri"/>
          <w:color w:val="1F497D"/>
          <w:sz w:val="20"/>
          <w:szCs w:val="20"/>
          <w:lang w:val="sq-AL"/>
        </w:rPr>
        <w:t xml:space="preserve">Karakteristikat kryesore dhe vlerësimet e kostove </w:t>
      </w:r>
      <w:r w:rsidR="00EF2BB9" w:rsidRPr="009F5CA1">
        <w:rPr>
          <w:rFonts w:ascii="Arial Narrow" w:eastAsia="Calibri" w:hAnsi="Arial Narrow" w:cs="Calibri"/>
          <w:color w:val="1F497D"/>
          <w:sz w:val="20"/>
          <w:szCs w:val="20"/>
          <w:lang w:val="sq-AL"/>
        </w:rPr>
        <w:t xml:space="preserve">nëpër </w:t>
      </w:r>
      <w:r w:rsidRPr="009F5CA1">
        <w:rPr>
          <w:rFonts w:ascii="Arial Narrow" w:eastAsia="Calibri" w:hAnsi="Arial Narrow" w:cs="Calibri"/>
          <w:color w:val="1F497D"/>
          <w:sz w:val="20"/>
          <w:szCs w:val="20"/>
          <w:lang w:val="sq-AL"/>
        </w:rPr>
        <w:t xml:space="preserve">për kompostimin e mbeturinave të gjelbra në </w:t>
      </w:r>
      <w:r w:rsidR="00EF2BB9" w:rsidRPr="009F5CA1">
        <w:rPr>
          <w:rFonts w:ascii="Arial Narrow" w:eastAsia="Calibri" w:hAnsi="Arial Narrow" w:cs="Calibri"/>
          <w:color w:val="1F497D"/>
          <w:sz w:val="20"/>
          <w:szCs w:val="20"/>
          <w:lang w:val="sq-AL"/>
        </w:rPr>
        <w:t>shtresa</w:t>
      </w:r>
      <w:bookmarkEnd w:id="405"/>
      <w:bookmarkEnd w:id="406"/>
    </w:p>
    <w:tbl>
      <w:tblPr>
        <w:tblStyle w:val="TableGrid"/>
        <w:tblW w:w="0" w:type="auto"/>
        <w:tblLook w:val="04A0" w:firstRow="1" w:lastRow="0" w:firstColumn="1" w:lastColumn="0" w:noHBand="0" w:noVBand="1"/>
      </w:tblPr>
      <w:tblGrid>
        <w:gridCol w:w="1885"/>
        <w:gridCol w:w="1119"/>
        <w:gridCol w:w="1503"/>
        <w:gridCol w:w="1503"/>
        <w:gridCol w:w="1503"/>
        <w:gridCol w:w="1503"/>
      </w:tblGrid>
      <w:tr w:rsidR="00430A79" w:rsidRPr="00430A79" w14:paraId="67CF218D" w14:textId="77777777" w:rsidTr="00750949">
        <w:trPr>
          <w:tblHeader/>
        </w:trPr>
        <w:tc>
          <w:tcPr>
            <w:tcW w:w="1885" w:type="dxa"/>
            <w:shd w:val="clear" w:color="auto" w:fill="365F91"/>
          </w:tcPr>
          <w:p w14:paraId="55D6E65E" w14:textId="77777777" w:rsidR="00430A79" w:rsidRPr="00430A79" w:rsidRDefault="00430A79" w:rsidP="00430A79">
            <w:pPr>
              <w:rPr>
                <w:rFonts w:ascii="Arial Narrow" w:hAnsi="Arial Narrow"/>
                <w:b/>
                <w:bCs/>
                <w:color w:val="FFFFFF" w:themeColor="background1"/>
                <w:sz w:val="20"/>
                <w:szCs w:val="20"/>
              </w:rPr>
            </w:pPr>
            <w:r w:rsidRPr="00430A79">
              <w:rPr>
                <w:rFonts w:ascii="Arial Narrow" w:hAnsi="Arial Narrow"/>
                <w:b/>
                <w:bCs/>
                <w:color w:val="FFFFFF" w:themeColor="background1"/>
                <w:sz w:val="20"/>
                <w:szCs w:val="20"/>
              </w:rPr>
              <w:t>Parametri</w:t>
            </w:r>
          </w:p>
        </w:tc>
        <w:tc>
          <w:tcPr>
            <w:tcW w:w="1119" w:type="dxa"/>
            <w:shd w:val="clear" w:color="auto" w:fill="365F91"/>
          </w:tcPr>
          <w:p w14:paraId="30507752" w14:textId="77777777" w:rsidR="00430A79" w:rsidRPr="00430A79" w:rsidRDefault="00430A79" w:rsidP="00430A79">
            <w:pPr>
              <w:rPr>
                <w:rFonts w:ascii="Arial Narrow" w:hAnsi="Arial Narrow"/>
                <w:b/>
                <w:bCs/>
                <w:color w:val="FFFFFF" w:themeColor="background1"/>
                <w:sz w:val="20"/>
                <w:szCs w:val="20"/>
              </w:rPr>
            </w:pPr>
            <w:r w:rsidRPr="00430A79">
              <w:rPr>
                <w:rFonts w:ascii="Arial Narrow" w:hAnsi="Arial Narrow"/>
                <w:b/>
                <w:bCs/>
                <w:color w:val="FFFFFF" w:themeColor="background1"/>
                <w:sz w:val="20"/>
                <w:szCs w:val="20"/>
              </w:rPr>
              <w:t>Pejë</w:t>
            </w:r>
          </w:p>
        </w:tc>
        <w:tc>
          <w:tcPr>
            <w:tcW w:w="1503" w:type="dxa"/>
            <w:shd w:val="clear" w:color="auto" w:fill="365F91"/>
          </w:tcPr>
          <w:p w14:paraId="19FE5018" w14:textId="77777777" w:rsidR="00430A79" w:rsidRPr="00430A79" w:rsidRDefault="00430A79" w:rsidP="00430A79">
            <w:pPr>
              <w:rPr>
                <w:rFonts w:ascii="Arial Narrow" w:hAnsi="Arial Narrow"/>
                <w:b/>
                <w:bCs/>
                <w:color w:val="FFFFFF" w:themeColor="background1"/>
                <w:sz w:val="20"/>
                <w:szCs w:val="20"/>
              </w:rPr>
            </w:pPr>
            <w:r w:rsidRPr="00430A79">
              <w:rPr>
                <w:rFonts w:ascii="Arial Narrow" w:hAnsi="Arial Narrow"/>
                <w:b/>
                <w:bCs/>
                <w:color w:val="FFFFFF" w:themeColor="background1"/>
                <w:sz w:val="20"/>
                <w:szCs w:val="20"/>
              </w:rPr>
              <w:t>Istog</w:t>
            </w:r>
          </w:p>
        </w:tc>
        <w:tc>
          <w:tcPr>
            <w:tcW w:w="1503" w:type="dxa"/>
            <w:shd w:val="clear" w:color="auto" w:fill="365F91"/>
          </w:tcPr>
          <w:p w14:paraId="4C537140" w14:textId="7014F134" w:rsidR="00430A79" w:rsidRPr="00430A79" w:rsidRDefault="00430A79" w:rsidP="00430A79">
            <w:pPr>
              <w:rPr>
                <w:rFonts w:ascii="Arial Narrow" w:hAnsi="Arial Narrow"/>
                <w:b/>
                <w:bCs/>
                <w:color w:val="FFFFFF" w:themeColor="background1"/>
                <w:sz w:val="20"/>
                <w:szCs w:val="20"/>
              </w:rPr>
            </w:pPr>
            <w:r w:rsidRPr="00430A79">
              <w:rPr>
                <w:rFonts w:ascii="Arial Narrow" w:hAnsi="Arial Narrow"/>
                <w:b/>
                <w:bCs/>
                <w:color w:val="FFFFFF" w:themeColor="background1"/>
                <w:sz w:val="20"/>
                <w:szCs w:val="20"/>
              </w:rPr>
              <w:t>Klin</w:t>
            </w:r>
            <w:r w:rsidR="00EF2BB9">
              <w:rPr>
                <w:rFonts w:ascii="Arial Narrow" w:hAnsi="Arial Narrow"/>
                <w:b/>
                <w:bCs/>
                <w:color w:val="FFFFFF" w:themeColor="background1"/>
                <w:sz w:val="20"/>
                <w:szCs w:val="20"/>
              </w:rPr>
              <w:t>ë</w:t>
            </w:r>
          </w:p>
        </w:tc>
        <w:tc>
          <w:tcPr>
            <w:tcW w:w="1503" w:type="dxa"/>
            <w:shd w:val="clear" w:color="auto" w:fill="365F91"/>
          </w:tcPr>
          <w:p w14:paraId="382C777F" w14:textId="3AD65364" w:rsidR="00430A79" w:rsidRPr="00430A79" w:rsidRDefault="00430A79" w:rsidP="00430A79">
            <w:pPr>
              <w:rPr>
                <w:rFonts w:ascii="Arial Narrow" w:hAnsi="Arial Narrow"/>
                <w:b/>
                <w:bCs/>
                <w:color w:val="FFFFFF" w:themeColor="background1"/>
                <w:sz w:val="20"/>
                <w:szCs w:val="20"/>
              </w:rPr>
            </w:pPr>
            <w:r w:rsidRPr="00430A79">
              <w:rPr>
                <w:rFonts w:ascii="Arial Narrow" w:hAnsi="Arial Narrow"/>
                <w:b/>
                <w:bCs/>
                <w:color w:val="FFFFFF" w:themeColor="background1"/>
                <w:sz w:val="20"/>
                <w:szCs w:val="20"/>
              </w:rPr>
              <w:t>De</w:t>
            </w:r>
            <w:r w:rsidR="00EF2BB9">
              <w:rPr>
                <w:rFonts w:ascii="Arial Narrow" w:hAnsi="Arial Narrow"/>
                <w:b/>
                <w:bCs/>
                <w:color w:val="FFFFFF" w:themeColor="background1"/>
                <w:sz w:val="20"/>
                <w:szCs w:val="20"/>
              </w:rPr>
              <w:t>ç</w:t>
            </w:r>
            <w:r w:rsidRPr="00430A79">
              <w:rPr>
                <w:rFonts w:ascii="Arial Narrow" w:hAnsi="Arial Narrow"/>
                <w:b/>
                <w:bCs/>
                <w:color w:val="FFFFFF" w:themeColor="background1"/>
                <w:sz w:val="20"/>
                <w:szCs w:val="20"/>
              </w:rPr>
              <w:t>an</w:t>
            </w:r>
          </w:p>
        </w:tc>
        <w:tc>
          <w:tcPr>
            <w:tcW w:w="1503" w:type="dxa"/>
            <w:shd w:val="clear" w:color="auto" w:fill="365F91"/>
          </w:tcPr>
          <w:p w14:paraId="1CF11569" w14:textId="77777777" w:rsidR="00430A79" w:rsidRPr="00430A79" w:rsidRDefault="00430A79" w:rsidP="00430A79">
            <w:pPr>
              <w:rPr>
                <w:rFonts w:ascii="Arial Narrow" w:hAnsi="Arial Narrow"/>
                <w:b/>
                <w:bCs/>
                <w:color w:val="FFFFFF" w:themeColor="background1"/>
                <w:sz w:val="20"/>
                <w:szCs w:val="20"/>
              </w:rPr>
            </w:pPr>
            <w:r w:rsidRPr="00430A79">
              <w:rPr>
                <w:rFonts w:ascii="Arial Narrow" w:hAnsi="Arial Narrow"/>
                <w:b/>
                <w:bCs/>
                <w:color w:val="FFFFFF" w:themeColor="background1"/>
                <w:sz w:val="20"/>
                <w:szCs w:val="20"/>
              </w:rPr>
              <w:t>Junik</w:t>
            </w:r>
          </w:p>
        </w:tc>
      </w:tr>
      <w:tr w:rsidR="00430A79" w:rsidRPr="00430A79" w14:paraId="4E644412" w14:textId="77777777" w:rsidTr="00D03949">
        <w:tc>
          <w:tcPr>
            <w:tcW w:w="1885" w:type="dxa"/>
          </w:tcPr>
          <w:p w14:paraId="10471836" w14:textId="239B33BB" w:rsidR="00430A79" w:rsidRPr="00430A79" w:rsidRDefault="00EF2BB9" w:rsidP="00430A79">
            <w:pPr>
              <w:rPr>
                <w:rFonts w:ascii="Arial Narrow" w:hAnsi="Arial Narrow"/>
                <w:b/>
                <w:bCs/>
                <w:color w:val="000000"/>
                <w:sz w:val="20"/>
                <w:szCs w:val="20"/>
              </w:rPr>
            </w:pPr>
            <w:r w:rsidRPr="00BE2534">
              <w:rPr>
                <w:rFonts w:ascii="Arial Narrow" w:hAnsi="Arial Narrow"/>
                <w:b/>
                <w:bCs/>
                <w:color w:val="000000"/>
                <w:sz w:val="20"/>
                <w:szCs w:val="20"/>
                <w:lang w:val="sq-AL"/>
              </w:rPr>
              <w:t>Mbeturinat e gjelbra të mbledhura veçmas, ton</w:t>
            </w:r>
          </w:p>
        </w:tc>
        <w:tc>
          <w:tcPr>
            <w:tcW w:w="1119" w:type="dxa"/>
          </w:tcPr>
          <w:p w14:paraId="12787802" w14:textId="77777777" w:rsidR="00430A79" w:rsidRPr="00430A79" w:rsidRDefault="00430A79" w:rsidP="00430A79">
            <w:pPr>
              <w:rPr>
                <w:rFonts w:ascii="Arial Narrow" w:hAnsi="Arial Narrow"/>
                <w:b/>
                <w:bCs/>
                <w:color w:val="000000"/>
                <w:sz w:val="20"/>
                <w:szCs w:val="20"/>
              </w:rPr>
            </w:pPr>
            <w:r w:rsidRPr="00430A79">
              <w:rPr>
                <w:rFonts w:ascii="Arial Narrow" w:hAnsi="Arial Narrow"/>
                <w:b/>
                <w:bCs/>
                <w:color w:val="000000"/>
                <w:sz w:val="20"/>
                <w:szCs w:val="20"/>
              </w:rPr>
              <w:t>2,400</w:t>
            </w:r>
          </w:p>
        </w:tc>
        <w:tc>
          <w:tcPr>
            <w:tcW w:w="1503" w:type="dxa"/>
          </w:tcPr>
          <w:p w14:paraId="32A09488" w14:textId="77777777" w:rsidR="00430A79" w:rsidRPr="00430A79" w:rsidRDefault="00430A79" w:rsidP="00430A79">
            <w:pPr>
              <w:rPr>
                <w:rFonts w:ascii="Arial Narrow" w:hAnsi="Arial Narrow"/>
                <w:b/>
                <w:bCs/>
                <w:color w:val="000000"/>
                <w:sz w:val="20"/>
                <w:szCs w:val="20"/>
              </w:rPr>
            </w:pPr>
            <w:r w:rsidRPr="00430A79">
              <w:rPr>
                <w:rFonts w:ascii="Arial Narrow" w:hAnsi="Arial Narrow"/>
                <w:b/>
                <w:bCs/>
                <w:color w:val="000000"/>
                <w:sz w:val="20"/>
                <w:szCs w:val="20"/>
              </w:rPr>
              <w:t>600</w:t>
            </w:r>
          </w:p>
        </w:tc>
        <w:tc>
          <w:tcPr>
            <w:tcW w:w="1503" w:type="dxa"/>
          </w:tcPr>
          <w:p w14:paraId="556EFAE6" w14:textId="77777777" w:rsidR="00430A79" w:rsidRPr="00430A79" w:rsidRDefault="00430A79" w:rsidP="00430A79">
            <w:pPr>
              <w:rPr>
                <w:rFonts w:ascii="Arial Narrow" w:hAnsi="Arial Narrow"/>
                <w:b/>
                <w:bCs/>
                <w:color w:val="000000"/>
                <w:sz w:val="20"/>
                <w:szCs w:val="20"/>
              </w:rPr>
            </w:pPr>
            <w:r w:rsidRPr="00430A79">
              <w:rPr>
                <w:rFonts w:ascii="Arial Narrow" w:hAnsi="Arial Narrow"/>
                <w:b/>
                <w:bCs/>
                <w:color w:val="000000"/>
                <w:sz w:val="20"/>
                <w:szCs w:val="20"/>
              </w:rPr>
              <w:t>600</w:t>
            </w:r>
          </w:p>
        </w:tc>
        <w:tc>
          <w:tcPr>
            <w:tcW w:w="1503" w:type="dxa"/>
          </w:tcPr>
          <w:p w14:paraId="1D9C2D10" w14:textId="77777777" w:rsidR="00430A79" w:rsidRPr="00430A79" w:rsidRDefault="00430A79" w:rsidP="00430A79">
            <w:pPr>
              <w:rPr>
                <w:rFonts w:ascii="Arial Narrow" w:hAnsi="Arial Narrow"/>
                <w:b/>
                <w:bCs/>
                <w:color w:val="000000"/>
                <w:sz w:val="20"/>
                <w:szCs w:val="20"/>
              </w:rPr>
            </w:pPr>
            <w:r w:rsidRPr="00430A79">
              <w:rPr>
                <w:rFonts w:ascii="Arial Narrow" w:hAnsi="Arial Narrow"/>
                <w:b/>
                <w:bCs/>
                <w:color w:val="000000"/>
                <w:sz w:val="20"/>
                <w:szCs w:val="20"/>
              </w:rPr>
              <w:t>550</w:t>
            </w:r>
          </w:p>
        </w:tc>
        <w:tc>
          <w:tcPr>
            <w:tcW w:w="1503" w:type="dxa"/>
          </w:tcPr>
          <w:p w14:paraId="0B797AAF" w14:textId="77777777" w:rsidR="00430A79" w:rsidRPr="00430A79" w:rsidRDefault="00430A79" w:rsidP="00430A79">
            <w:pPr>
              <w:rPr>
                <w:rFonts w:ascii="Arial Narrow" w:hAnsi="Arial Narrow"/>
                <w:b/>
                <w:bCs/>
                <w:color w:val="000000"/>
                <w:sz w:val="20"/>
                <w:szCs w:val="20"/>
              </w:rPr>
            </w:pPr>
            <w:r w:rsidRPr="00430A79">
              <w:rPr>
                <w:rFonts w:ascii="Arial Narrow" w:hAnsi="Arial Narrow"/>
                <w:b/>
                <w:bCs/>
                <w:color w:val="000000"/>
                <w:sz w:val="20"/>
                <w:szCs w:val="20"/>
              </w:rPr>
              <w:t>65</w:t>
            </w:r>
          </w:p>
        </w:tc>
      </w:tr>
      <w:tr w:rsidR="00EF2BB9" w:rsidRPr="00430A79" w14:paraId="78389E51" w14:textId="77777777" w:rsidTr="00D03949">
        <w:tc>
          <w:tcPr>
            <w:tcW w:w="1885" w:type="dxa"/>
          </w:tcPr>
          <w:p w14:paraId="77943EBA" w14:textId="2911C818" w:rsidR="00EF2BB9" w:rsidRPr="00430A79" w:rsidRDefault="00EF2BB9" w:rsidP="00EF2BB9">
            <w:pPr>
              <w:rPr>
                <w:rFonts w:ascii="Arial Narrow" w:hAnsi="Arial Narrow"/>
                <w:color w:val="000000"/>
                <w:sz w:val="20"/>
                <w:szCs w:val="20"/>
              </w:rPr>
            </w:pPr>
            <w:r w:rsidRPr="00BE2534">
              <w:rPr>
                <w:rFonts w:ascii="Arial Narrow" w:hAnsi="Arial Narrow"/>
                <w:color w:val="000000"/>
                <w:sz w:val="20"/>
                <w:szCs w:val="20"/>
                <w:lang w:val="sq-AL"/>
              </w:rPr>
              <w:t>Lloji i objektit</w:t>
            </w:r>
          </w:p>
        </w:tc>
        <w:tc>
          <w:tcPr>
            <w:tcW w:w="1119" w:type="dxa"/>
          </w:tcPr>
          <w:p w14:paraId="0D375DC2" w14:textId="7569D6DD" w:rsidR="00EF2BB9" w:rsidRPr="00430A79" w:rsidRDefault="00EF2BB9" w:rsidP="00EF2BB9">
            <w:pPr>
              <w:rPr>
                <w:rFonts w:ascii="Arial Narrow" w:hAnsi="Arial Narrow"/>
                <w:color w:val="000000"/>
                <w:sz w:val="20"/>
                <w:szCs w:val="20"/>
              </w:rPr>
            </w:pPr>
            <w:r w:rsidRPr="00BE2534">
              <w:rPr>
                <w:rFonts w:ascii="Arial Narrow" w:hAnsi="Arial Narrow"/>
                <w:color w:val="000000"/>
                <w:sz w:val="20"/>
                <w:szCs w:val="20"/>
                <w:lang w:val="sq-AL"/>
              </w:rPr>
              <w:t>Vend i përhershëm i centralizuar</w:t>
            </w:r>
          </w:p>
        </w:tc>
        <w:tc>
          <w:tcPr>
            <w:tcW w:w="1503" w:type="dxa"/>
          </w:tcPr>
          <w:p w14:paraId="20149C71" w14:textId="4FFE3E12" w:rsidR="00EF2BB9" w:rsidRPr="00430A79" w:rsidRDefault="00EF2BB9" w:rsidP="00EF2BB9">
            <w:pPr>
              <w:rPr>
                <w:rFonts w:ascii="Arial Narrow" w:hAnsi="Arial Narrow"/>
                <w:color w:val="000000"/>
                <w:sz w:val="20"/>
                <w:szCs w:val="20"/>
              </w:rPr>
            </w:pPr>
            <w:r w:rsidRPr="00BE2534">
              <w:rPr>
                <w:rFonts w:ascii="Arial Narrow" w:hAnsi="Arial Narrow"/>
                <w:color w:val="000000"/>
                <w:sz w:val="20"/>
                <w:szCs w:val="20"/>
                <w:lang w:val="sq-AL"/>
              </w:rPr>
              <w:t>Kompostimi i decentralizuar me pajisje të lëvizshme</w:t>
            </w:r>
          </w:p>
        </w:tc>
        <w:tc>
          <w:tcPr>
            <w:tcW w:w="1503" w:type="dxa"/>
          </w:tcPr>
          <w:p w14:paraId="51C26108" w14:textId="0463941A" w:rsidR="00EF2BB9" w:rsidRPr="00430A79" w:rsidRDefault="00EF2BB9" w:rsidP="00EF2BB9">
            <w:pPr>
              <w:rPr>
                <w:rFonts w:ascii="Arial Narrow" w:hAnsi="Arial Narrow"/>
                <w:color w:val="000000"/>
                <w:sz w:val="20"/>
                <w:szCs w:val="20"/>
              </w:rPr>
            </w:pPr>
            <w:r w:rsidRPr="00BE2534">
              <w:rPr>
                <w:rFonts w:ascii="Arial Narrow" w:hAnsi="Arial Narrow"/>
                <w:color w:val="000000"/>
                <w:sz w:val="20"/>
                <w:szCs w:val="20"/>
                <w:lang w:val="sq-AL"/>
              </w:rPr>
              <w:t>Kompostimi i decentralizuar me pajisje të lëvizshme</w:t>
            </w:r>
          </w:p>
        </w:tc>
        <w:tc>
          <w:tcPr>
            <w:tcW w:w="1503" w:type="dxa"/>
          </w:tcPr>
          <w:p w14:paraId="291162C6" w14:textId="495D19DB" w:rsidR="00EF2BB9" w:rsidRPr="00430A79" w:rsidRDefault="00EF2BB9" w:rsidP="00EF2BB9">
            <w:pPr>
              <w:rPr>
                <w:rFonts w:ascii="Arial Narrow" w:hAnsi="Arial Narrow"/>
                <w:color w:val="000000"/>
                <w:sz w:val="20"/>
                <w:szCs w:val="20"/>
              </w:rPr>
            </w:pPr>
            <w:r w:rsidRPr="00BE2534">
              <w:rPr>
                <w:rFonts w:ascii="Arial Narrow" w:hAnsi="Arial Narrow"/>
                <w:color w:val="000000"/>
                <w:sz w:val="20"/>
                <w:szCs w:val="20"/>
                <w:lang w:val="sq-AL"/>
              </w:rPr>
              <w:t>Kompostimi i decentralizuar me pajisje të lëvizshme</w:t>
            </w:r>
          </w:p>
        </w:tc>
        <w:tc>
          <w:tcPr>
            <w:tcW w:w="1503" w:type="dxa"/>
          </w:tcPr>
          <w:p w14:paraId="1B070ADE" w14:textId="3CEDEE62" w:rsidR="00EF2BB9" w:rsidRPr="00430A79" w:rsidRDefault="00EF2BB9" w:rsidP="00EF2BB9">
            <w:pPr>
              <w:rPr>
                <w:rFonts w:ascii="Arial Narrow" w:hAnsi="Arial Narrow"/>
                <w:color w:val="000000"/>
                <w:sz w:val="20"/>
                <w:szCs w:val="20"/>
              </w:rPr>
            </w:pPr>
            <w:r w:rsidRPr="00BE2534">
              <w:rPr>
                <w:rFonts w:ascii="Arial Narrow" w:hAnsi="Arial Narrow"/>
                <w:color w:val="000000"/>
                <w:sz w:val="20"/>
                <w:szCs w:val="20"/>
                <w:lang w:val="sq-AL"/>
              </w:rPr>
              <w:t>Kompostimi i decentralizuar me pajisje të lëvizshme</w:t>
            </w:r>
          </w:p>
        </w:tc>
      </w:tr>
      <w:tr w:rsidR="00EF2BB9" w:rsidRPr="00430A79" w14:paraId="5A5F0B9C" w14:textId="77777777" w:rsidTr="00D03949">
        <w:tc>
          <w:tcPr>
            <w:tcW w:w="1885" w:type="dxa"/>
          </w:tcPr>
          <w:p w14:paraId="2F1E880E" w14:textId="3AF787C2" w:rsidR="00EF2BB9" w:rsidRPr="00430A79" w:rsidRDefault="00EF2BB9" w:rsidP="00EF2BB9">
            <w:pPr>
              <w:rPr>
                <w:rFonts w:ascii="Arial Narrow" w:hAnsi="Arial Narrow"/>
                <w:b/>
                <w:bCs/>
                <w:color w:val="000000"/>
                <w:sz w:val="20"/>
                <w:szCs w:val="20"/>
              </w:rPr>
            </w:pPr>
            <w:r w:rsidRPr="00BE2534">
              <w:rPr>
                <w:rFonts w:ascii="Arial Narrow" w:hAnsi="Arial Narrow"/>
                <w:b/>
                <w:bCs/>
                <w:color w:val="000000"/>
                <w:sz w:val="20"/>
                <w:szCs w:val="20"/>
                <w:lang w:val="sq-AL"/>
              </w:rPr>
              <w:t xml:space="preserve">Kostot e investimit, mijë </w:t>
            </w:r>
            <w:r w:rsidRPr="00BE2534">
              <w:rPr>
                <w:rFonts w:ascii="Calibri" w:hAnsi="Calibri" w:cs="Calibri"/>
                <w:b/>
                <w:bCs/>
                <w:color w:val="000000"/>
                <w:sz w:val="20"/>
                <w:szCs w:val="20"/>
                <w:lang w:val="sq-AL"/>
              </w:rPr>
              <w:t>€</w:t>
            </w:r>
          </w:p>
        </w:tc>
        <w:tc>
          <w:tcPr>
            <w:tcW w:w="1119" w:type="dxa"/>
          </w:tcPr>
          <w:p w14:paraId="41565A07" w14:textId="77777777" w:rsidR="00EF2BB9" w:rsidRPr="00430A79" w:rsidRDefault="00EF2BB9" w:rsidP="00EF2BB9">
            <w:pPr>
              <w:rPr>
                <w:rFonts w:ascii="Arial Narrow" w:hAnsi="Arial Narrow"/>
                <w:b/>
                <w:bCs/>
                <w:color w:val="000000"/>
                <w:sz w:val="20"/>
                <w:szCs w:val="20"/>
              </w:rPr>
            </w:pPr>
          </w:p>
        </w:tc>
        <w:tc>
          <w:tcPr>
            <w:tcW w:w="1503" w:type="dxa"/>
          </w:tcPr>
          <w:p w14:paraId="28C88953" w14:textId="77777777" w:rsidR="00EF2BB9" w:rsidRPr="00430A79" w:rsidRDefault="00EF2BB9" w:rsidP="00EF2BB9">
            <w:pPr>
              <w:rPr>
                <w:rFonts w:ascii="Arial Narrow" w:hAnsi="Arial Narrow"/>
                <w:b/>
                <w:bCs/>
                <w:color w:val="000000"/>
                <w:sz w:val="20"/>
                <w:szCs w:val="20"/>
              </w:rPr>
            </w:pPr>
          </w:p>
        </w:tc>
        <w:tc>
          <w:tcPr>
            <w:tcW w:w="1503" w:type="dxa"/>
          </w:tcPr>
          <w:p w14:paraId="3048F345" w14:textId="77777777" w:rsidR="00EF2BB9" w:rsidRPr="00430A79" w:rsidRDefault="00EF2BB9" w:rsidP="00EF2BB9">
            <w:pPr>
              <w:rPr>
                <w:rFonts w:ascii="Arial Narrow" w:hAnsi="Arial Narrow"/>
                <w:b/>
                <w:bCs/>
                <w:color w:val="000000"/>
                <w:sz w:val="20"/>
                <w:szCs w:val="20"/>
              </w:rPr>
            </w:pPr>
          </w:p>
        </w:tc>
        <w:tc>
          <w:tcPr>
            <w:tcW w:w="1503" w:type="dxa"/>
          </w:tcPr>
          <w:p w14:paraId="79A967CB" w14:textId="77777777" w:rsidR="00EF2BB9" w:rsidRPr="00430A79" w:rsidRDefault="00EF2BB9" w:rsidP="00EF2BB9">
            <w:pPr>
              <w:rPr>
                <w:rFonts w:ascii="Arial Narrow" w:hAnsi="Arial Narrow"/>
                <w:b/>
                <w:bCs/>
                <w:color w:val="000000"/>
                <w:sz w:val="20"/>
                <w:szCs w:val="20"/>
              </w:rPr>
            </w:pPr>
          </w:p>
        </w:tc>
        <w:tc>
          <w:tcPr>
            <w:tcW w:w="1503" w:type="dxa"/>
            <w:vMerge w:val="restart"/>
          </w:tcPr>
          <w:p w14:paraId="730A423B" w14:textId="77777777" w:rsidR="00EF2BB9" w:rsidRDefault="00EF2BB9" w:rsidP="00EF2BB9">
            <w:pPr>
              <w:rPr>
                <w:rFonts w:ascii="Arial Narrow" w:hAnsi="Arial Narrow"/>
                <w:color w:val="000000"/>
                <w:sz w:val="20"/>
                <w:szCs w:val="20"/>
                <w:lang w:val="sq-AL"/>
              </w:rPr>
            </w:pPr>
          </w:p>
          <w:p w14:paraId="72FFCCC1" w14:textId="56B18363" w:rsidR="00EF2BB9" w:rsidRPr="00430A79" w:rsidRDefault="00EF2BB9" w:rsidP="00EF2BB9">
            <w:pPr>
              <w:rPr>
                <w:rFonts w:ascii="Arial Narrow" w:hAnsi="Arial Narrow"/>
                <w:color w:val="000000"/>
                <w:sz w:val="20"/>
                <w:szCs w:val="20"/>
              </w:rPr>
            </w:pPr>
            <w:r w:rsidRPr="00BE2534">
              <w:rPr>
                <w:rFonts w:ascii="Arial Narrow" w:hAnsi="Arial Narrow"/>
                <w:color w:val="000000"/>
                <w:sz w:val="20"/>
                <w:szCs w:val="20"/>
                <w:lang w:val="sq-AL"/>
              </w:rPr>
              <w:t xml:space="preserve">Shërbyer në mënyrë periodike </w:t>
            </w:r>
            <w:r w:rsidRPr="00BE2534">
              <w:rPr>
                <w:rFonts w:ascii="Arial Narrow" w:hAnsi="Arial Narrow"/>
                <w:color w:val="000000"/>
                <w:sz w:val="20"/>
                <w:szCs w:val="20"/>
                <w:lang w:val="sq-AL"/>
              </w:rPr>
              <w:lastRenderedPageBreak/>
              <w:t>me pajisje të lëvizshme të siguruara nga komunat e tjera</w:t>
            </w:r>
          </w:p>
        </w:tc>
      </w:tr>
      <w:tr w:rsidR="00EF2BB9" w:rsidRPr="00430A79" w14:paraId="1A9353D4" w14:textId="77777777" w:rsidTr="00D03949">
        <w:tc>
          <w:tcPr>
            <w:tcW w:w="1885" w:type="dxa"/>
          </w:tcPr>
          <w:p w14:paraId="0B4D577C" w14:textId="7434E90E" w:rsidR="00EF2BB9" w:rsidRPr="00430A79" w:rsidRDefault="00EF2BB9" w:rsidP="00EF2BB9">
            <w:pPr>
              <w:rPr>
                <w:rFonts w:ascii="Arial Narrow" w:hAnsi="Arial Narrow"/>
                <w:color w:val="000000"/>
                <w:sz w:val="20"/>
                <w:szCs w:val="20"/>
              </w:rPr>
            </w:pPr>
            <w:r w:rsidRPr="00BE2534">
              <w:rPr>
                <w:rFonts w:ascii="Arial Narrow" w:hAnsi="Arial Narrow"/>
                <w:color w:val="000000"/>
                <w:sz w:val="20"/>
                <w:szCs w:val="20"/>
                <w:lang w:val="sq-AL"/>
              </w:rPr>
              <w:t>Tokë</w:t>
            </w:r>
          </w:p>
        </w:tc>
        <w:tc>
          <w:tcPr>
            <w:tcW w:w="1119" w:type="dxa"/>
          </w:tcPr>
          <w:p w14:paraId="3121F488"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w:t>
            </w:r>
          </w:p>
        </w:tc>
        <w:tc>
          <w:tcPr>
            <w:tcW w:w="1503" w:type="dxa"/>
          </w:tcPr>
          <w:p w14:paraId="7EAEDFFE"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w:t>
            </w:r>
          </w:p>
        </w:tc>
        <w:tc>
          <w:tcPr>
            <w:tcW w:w="1503" w:type="dxa"/>
          </w:tcPr>
          <w:p w14:paraId="15D40445"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w:t>
            </w:r>
          </w:p>
        </w:tc>
        <w:tc>
          <w:tcPr>
            <w:tcW w:w="1503" w:type="dxa"/>
          </w:tcPr>
          <w:p w14:paraId="01B47B40"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w:t>
            </w:r>
          </w:p>
        </w:tc>
        <w:tc>
          <w:tcPr>
            <w:tcW w:w="1503" w:type="dxa"/>
            <w:vMerge/>
          </w:tcPr>
          <w:p w14:paraId="03E8F1DD" w14:textId="77777777" w:rsidR="00EF2BB9" w:rsidRPr="00430A79" w:rsidRDefault="00EF2BB9" w:rsidP="00EF2BB9">
            <w:pPr>
              <w:rPr>
                <w:rFonts w:ascii="Arial Narrow" w:hAnsi="Arial Narrow"/>
                <w:color w:val="000000"/>
                <w:sz w:val="20"/>
                <w:szCs w:val="20"/>
              </w:rPr>
            </w:pPr>
          </w:p>
        </w:tc>
      </w:tr>
      <w:tr w:rsidR="00EF2BB9" w:rsidRPr="00430A79" w14:paraId="43612164" w14:textId="77777777" w:rsidTr="00D03949">
        <w:tc>
          <w:tcPr>
            <w:tcW w:w="1885" w:type="dxa"/>
          </w:tcPr>
          <w:p w14:paraId="21039A64" w14:textId="503EE10C" w:rsidR="00EF2BB9" w:rsidRPr="00430A79" w:rsidRDefault="00EF2BB9" w:rsidP="00EF2BB9">
            <w:pPr>
              <w:rPr>
                <w:rFonts w:ascii="Arial Narrow" w:hAnsi="Arial Narrow"/>
                <w:color w:val="000000"/>
                <w:sz w:val="20"/>
                <w:szCs w:val="20"/>
              </w:rPr>
            </w:pPr>
            <w:r w:rsidRPr="00BE2534">
              <w:rPr>
                <w:rFonts w:ascii="Arial Narrow" w:hAnsi="Arial Narrow"/>
                <w:color w:val="000000"/>
                <w:sz w:val="20"/>
                <w:szCs w:val="20"/>
                <w:lang w:val="sq-AL"/>
              </w:rPr>
              <w:lastRenderedPageBreak/>
              <w:t>Punime civile</w:t>
            </w:r>
          </w:p>
        </w:tc>
        <w:tc>
          <w:tcPr>
            <w:tcW w:w="1119" w:type="dxa"/>
          </w:tcPr>
          <w:p w14:paraId="2246A344"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125</w:t>
            </w:r>
          </w:p>
        </w:tc>
        <w:tc>
          <w:tcPr>
            <w:tcW w:w="1503" w:type="dxa"/>
          </w:tcPr>
          <w:p w14:paraId="0AF23AFD"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w:t>
            </w:r>
          </w:p>
        </w:tc>
        <w:tc>
          <w:tcPr>
            <w:tcW w:w="1503" w:type="dxa"/>
          </w:tcPr>
          <w:p w14:paraId="09CDBE7D"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w:t>
            </w:r>
          </w:p>
        </w:tc>
        <w:tc>
          <w:tcPr>
            <w:tcW w:w="1503" w:type="dxa"/>
          </w:tcPr>
          <w:p w14:paraId="35117094"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w:t>
            </w:r>
          </w:p>
        </w:tc>
        <w:tc>
          <w:tcPr>
            <w:tcW w:w="1503" w:type="dxa"/>
            <w:vMerge/>
          </w:tcPr>
          <w:p w14:paraId="7918B192" w14:textId="77777777" w:rsidR="00EF2BB9" w:rsidRPr="00430A79" w:rsidRDefault="00EF2BB9" w:rsidP="00EF2BB9">
            <w:pPr>
              <w:rPr>
                <w:rFonts w:ascii="Arial Narrow" w:hAnsi="Arial Narrow"/>
                <w:color w:val="000000"/>
                <w:sz w:val="20"/>
                <w:szCs w:val="20"/>
              </w:rPr>
            </w:pPr>
          </w:p>
        </w:tc>
      </w:tr>
      <w:tr w:rsidR="00EF2BB9" w:rsidRPr="00430A79" w14:paraId="18F44931" w14:textId="77777777" w:rsidTr="00D03949">
        <w:trPr>
          <w:trHeight w:val="278"/>
        </w:trPr>
        <w:tc>
          <w:tcPr>
            <w:tcW w:w="1885" w:type="dxa"/>
          </w:tcPr>
          <w:p w14:paraId="004AD86B" w14:textId="6A88F60C" w:rsidR="00EF2BB9" w:rsidRPr="00430A79" w:rsidRDefault="00EF2BB9" w:rsidP="00EF2BB9">
            <w:pPr>
              <w:rPr>
                <w:rFonts w:ascii="Arial Narrow" w:hAnsi="Arial Narrow"/>
                <w:color w:val="000000"/>
                <w:sz w:val="20"/>
                <w:szCs w:val="20"/>
              </w:rPr>
            </w:pPr>
            <w:r w:rsidRPr="00BE2534">
              <w:rPr>
                <w:rFonts w:ascii="Arial Narrow" w:hAnsi="Arial Narrow"/>
                <w:color w:val="000000"/>
                <w:sz w:val="20"/>
                <w:szCs w:val="20"/>
                <w:lang w:val="sq-AL"/>
              </w:rPr>
              <w:t>Makineri</w:t>
            </w:r>
          </w:p>
        </w:tc>
        <w:tc>
          <w:tcPr>
            <w:tcW w:w="1119" w:type="dxa"/>
          </w:tcPr>
          <w:p w14:paraId="525D213D"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370</w:t>
            </w:r>
          </w:p>
        </w:tc>
        <w:tc>
          <w:tcPr>
            <w:tcW w:w="1503" w:type="dxa"/>
          </w:tcPr>
          <w:p w14:paraId="59D10CFB"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39</w:t>
            </w:r>
          </w:p>
        </w:tc>
        <w:tc>
          <w:tcPr>
            <w:tcW w:w="1503" w:type="dxa"/>
          </w:tcPr>
          <w:p w14:paraId="43EBF005"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39</w:t>
            </w:r>
          </w:p>
        </w:tc>
        <w:tc>
          <w:tcPr>
            <w:tcW w:w="1503" w:type="dxa"/>
          </w:tcPr>
          <w:p w14:paraId="4D63CCCD"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39</w:t>
            </w:r>
          </w:p>
        </w:tc>
        <w:tc>
          <w:tcPr>
            <w:tcW w:w="1503" w:type="dxa"/>
            <w:vMerge/>
          </w:tcPr>
          <w:p w14:paraId="08B4BE46" w14:textId="77777777" w:rsidR="00EF2BB9" w:rsidRPr="00430A79" w:rsidRDefault="00EF2BB9" w:rsidP="00EF2BB9">
            <w:pPr>
              <w:rPr>
                <w:rFonts w:ascii="Arial Narrow" w:hAnsi="Arial Narrow"/>
                <w:color w:val="000000"/>
                <w:sz w:val="20"/>
                <w:szCs w:val="20"/>
              </w:rPr>
            </w:pPr>
          </w:p>
        </w:tc>
      </w:tr>
      <w:tr w:rsidR="00EF2BB9" w:rsidRPr="00430A79" w14:paraId="707BEF31" w14:textId="77777777" w:rsidTr="00D03949">
        <w:tc>
          <w:tcPr>
            <w:tcW w:w="1885" w:type="dxa"/>
          </w:tcPr>
          <w:p w14:paraId="6EA89465" w14:textId="6D9017E4" w:rsidR="00EF2BB9" w:rsidRPr="00430A79" w:rsidRDefault="00EF2BB9" w:rsidP="00EF2BB9">
            <w:pPr>
              <w:rPr>
                <w:rFonts w:ascii="Arial Narrow" w:hAnsi="Arial Narrow"/>
                <w:color w:val="000000"/>
                <w:sz w:val="20"/>
                <w:szCs w:val="20"/>
              </w:rPr>
            </w:pPr>
            <w:r w:rsidRPr="00BE2534">
              <w:rPr>
                <w:rFonts w:ascii="Arial Narrow" w:hAnsi="Arial Narrow"/>
                <w:color w:val="000000"/>
                <w:sz w:val="20"/>
                <w:szCs w:val="20"/>
                <w:lang w:val="sq-AL"/>
              </w:rPr>
              <w:t>Automjetet</w:t>
            </w:r>
          </w:p>
        </w:tc>
        <w:tc>
          <w:tcPr>
            <w:tcW w:w="1119" w:type="dxa"/>
          </w:tcPr>
          <w:p w14:paraId="5451DE5A"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12</w:t>
            </w:r>
          </w:p>
        </w:tc>
        <w:tc>
          <w:tcPr>
            <w:tcW w:w="1503" w:type="dxa"/>
          </w:tcPr>
          <w:p w14:paraId="63CBFFAE"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75</w:t>
            </w:r>
          </w:p>
        </w:tc>
        <w:tc>
          <w:tcPr>
            <w:tcW w:w="1503" w:type="dxa"/>
          </w:tcPr>
          <w:p w14:paraId="241CA003"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75</w:t>
            </w:r>
          </w:p>
        </w:tc>
        <w:tc>
          <w:tcPr>
            <w:tcW w:w="1503" w:type="dxa"/>
          </w:tcPr>
          <w:p w14:paraId="793358D8"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75</w:t>
            </w:r>
          </w:p>
        </w:tc>
        <w:tc>
          <w:tcPr>
            <w:tcW w:w="1503" w:type="dxa"/>
            <w:vMerge/>
          </w:tcPr>
          <w:p w14:paraId="41E45ACB" w14:textId="77777777" w:rsidR="00EF2BB9" w:rsidRPr="00430A79" w:rsidRDefault="00EF2BB9" w:rsidP="00EF2BB9">
            <w:pPr>
              <w:rPr>
                <w:rFonts w:ascii="Arial Narrow" w:hAnsi="Arial Narrow"/>
                <w:color w:val="000000"/>
                <w:sz w:val="20"/>
                <w:szCs w:val="20"/>
              </w:rPr>
            </w:pPr>
          </w:p>
        </w:tc>
      </w:tr>
      <w:tr w:rsidR="00EF2BB9" w:rsidRPr="00430A79" w14:paraId="6073A522" w14:textId="77777777" w:rsidTr="00D03949">
        <w:tc>
          <w:tcPr>
            <w:tcW w:w="1885" w:type="dxa"/>
          </w:tcPr>
          <w:p w14:paraId="5D9415A6" w14:textId="071807A0" w:rsidR="00EF2BB9" w:rsidRPr="00430A79" w:rsidRDefault="00EF2BB9" w:rsidP="00EF2BB9">
            <w:pPr>
              <w:rPr>
                <w:rFonts w:ascii="Arial Narrow" w:hAnsi="Arial Narrow"/>
                <w:color w:val="000000"/>
                <w:sz w:val="20"/>
                <w:szCs w:val="20"/>
              </w:rPr>
            </w:pPr>
            <w:r w:rsidRPr="00BE2534">
              <w:rPr>
                <w:rFonts w:ascii="Arial Narrow" w:hAnsi="Arial Narrow"/>
                <w:color w:val="000000"/>
                <w:sz w:val="20"/>
                <w:szCs w:val="20"/>
                <w:lang w:val="sq-AL"/>
              </w:rPr>
              <w:t>Inxhinieri, komisionim, kontingjente</w:t>
            </w:r>
          </w:p>
        </w:tc>
        <w:tc>
          <w:tcPr>
            <w:tcW w:w="1119" w:type="dxa"/>
          </w:tcPr>
          <w:p w14:paraId="150F5C0C"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25</w:t>
            </w:r>
          </w:p>
        </w:tc>
        <w:tc>
          <w:tcPr>
            <w:tcW w:w="1503" w:type="dxa"/>
          </w:tcPr>
          <w:p w14:paraId="094AEA91"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6</w:t>
            </w:r>
          </w:p>
        </w:tc>
        <w:tc>
          <w:tcPr>
            <w:tcW w:w="1503" w:type="dxa"/>
          </w:tcPr>
          <w:p w14:paraId="1A15649D"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6</w:t>
            </w:r>
          </w:p>
        </w:tc>
        <w:tc>
          <w:tcPr>
            <w:tcW w:w="1503" w:type="dxa"/>
          </w:tcPr>
          <w:p w14:paraId="41C1ADC2"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6</w:t>
            </w:r>
          </w:p>
        </w:tc>
        <w:tc>
          <w:tcPr>
            <w:tcW w:w="1503" w:type="dxa"/>
            <w:vMerge/>
          </w:tcPr>
          <w:p w14:paraId="3E33B355" w14:textId="77777777" w:rsidR="00EF2BB9" w:rsidRPr="00430A79" w:rsidRDefault="00EF2BB9" w:rsidP="00EF2BB9">
            <w:pPr>
              <w:rPr>
                <w:rFonts w:ascii="Arial Narrow" w:hAnsi="Arial Narrow"/>
                <w:color w:val="000000"/>
                <w:sz w:val="20"/>
                <w:szCs w:val="20"/>
              </w:rPr>
            </w:pPr>
          </w:p>
        </w:tc>
      </w:tr>
      <w:tr w:rsidR="00EF2BB9" w:rsidRPr="00430A79" w14:paraId="28B498D2" w14:textId="77777777" w:rsidTr="00D03949">
        <w:tc>
          <w:tcPr>
            <w:tcW w:w="1885" w:type="dxa"/>
          </w:tcPr>
          <w:p w14:paraId="4F9300B6" w14:textId="72D3CA9A" w:rsidR="00EF2BB9" w:rsidRPr="00430A79" w:rsidRDefault="00EF2BB9" w:rsidP="00EF2BB9">
            <w:pPr>
              <w:rPr>
                <w:rFonts w:ascii="Arial Narrow" w:hAnsi="Arial Narrow"/>
                <w:color w:val="000000"/>
                <w:sz w:val="20"/>
                <w:szCs w:val="20"/>
              </w:rPr>
            </w:pPr>
            <w:r w:rsidRPr="00BE2534">
              <w:rPr>
                <w:rFonts w:ascii="Arial Narrow" w:hAnsi="Arial Narrow"/>
                <w:color w:val="000000"/>
                <w:sz w:val="20"/>
                <w:szCs w:val="20"/>
                <w:lang w:val="sq-AL"/>
              </w:rPr>
              <w:t>Investimet totale</w:t>
            </w:r>
          </w:p>
        </w:tc>
        <w:tc>
          <w:tcPr>
            <w:tcW w:w="1119" w:type="dxa"/>
          </w:tcPr>
          <w:p w14:paraId="558F2D84"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532</w:t>
            </w:r>
          </w:p>
        </w:tc>
        <w:tc>
          <w:tcPr>
            <w:tcW w:w="1503" w:type="dxa"/>
          </w:tcPr>
          <w:p w14:paraId="70D21444"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119</w:t>
            </w:r>
          </w:p>
        </w:tc>
        <w:tc>
          <w:tcPr>
            <w:tcW w:w="1503" w:type="dxa"/>
          </w:tcPr>
          <w:p w14:paraId="46606372"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119</w:t>
            </w:r>
          </w:p>
        </w:tc>
        <w:tc>
          <w:tcPr>
            <w:tcW w:w="1503" w:type="dxa"/>
          </w:tcPr>
          <w:p w14:paraId="7AD3F83C"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119</w:t>
            </w:r>
          </w:p>
        </w:tc>
        <w:tc>
          <w:tcPr>
            <w:tcW w:w="1503" w:type="dxa"/>
            <w:vMerge/>
          </w:tcPr>
          <w:p w14:paraId="30E6FE40" w14:textId="77777777" w:rsidR="00EF2BB9" w:rsidRPr="00430A79" w:rsidRDefault="00EF2BB9" w:rsidP="00EF2BB9">
            <w:pPr>
              <w:rPr>
                <w:rFonts w:ascii="Arial Narrow" w:hAnsi="Arial Narrow"/>
                <w:color w:val="000000"/>
                <w:sz w:val="20"/>
                <w:szCs w:val="20"/>
              </w:rPr>
            </w:pPr>
          </w:p>
        </w:tc>
      </w:tr>
      <w:tr w:rsidR="00EF2BB9" w:rsidRPr="00430A79" w14:paraId="3B06665C" w14:textId="77777777" w:rsidTr="00D03949">
        <w:tc>
          <w:tcPr>
            <w:tcW w:w="1885" w:type="dxa"/>
          </w:tcPr>
          <w:p w14:paraId="33577347" w14:textId="0DB3B46B" w:rsidR="00EF2BB9" w:rsidRPr="00430A79" w:rsidRDefault="00EF2BB9" w:rsidP="00EF2BB9">
            <w:pPr>
              <w:rPr>
                <w:rFonts w:ascii="Arial Narrow" w:hAnsi="Arial Narrow"/>
                <w:b/>
                <w:bCs/>
                <w:color w:val="000000"/>
                <w:sz w:val="20"/>
                <w:szCs w:val="20"/>
              </w:rPr>
            </w:pPr>
            <w:r w:rsidRPr="00BE2534">
              <w:rPr>
                <w:rFonts w:ascii="Arial Narrow" w:hAnsi="Arial Narrow"/>
                <w:b/>
                <w:bCs/>
                <w:color w:val="000000"/>
                <w:sz w:val="20"/>
                <w:szCs w:val="20"/>
                <w:lang w:val="sq-AL"/>
              </w:rPr>
              <w:t xml:space="preserve">Amortizimi, mijë </w:t>
            </w:r>
            <w:r w:rsidRPr="00BE2534">
              <w:rPr>
                <w:rFonts w:ascii="Calibri" w:hAnsi="Calibri" w:cs="Calibri"/>
                <w:b/>
                <w:bCs/>
                <w:color w:val="000000"/>
                <w:sz w:val="20"/>
                <w:szCs w:val="20"/>
                <w:lang w:val="sq-AL"/>
              </w:rPr>
              <w:t>€</w:t>
            </w:r>
          </w:p>
        </w:tc>
        <w:tc>
          <w:tcPr>
            <w:tcW w:w="1119" w:type="dxa"/>
          </w:tcPr>
          <w:p w14:paraId="3CEE2D1B" w14:textId="77777777" w:rsidR="00EF2BB9" w:rsidRPr="00430A79" w:rsidRDefault="00EF2BB9" w:rsidP="00EF2BB9">
            <w:pPr>
              <w:rPr>
                <w:rFonts w:ascii="Arial Narrow" w:hAnsi="Arial Narrow"/>
                <w:b/>
                <w:bCs/>
                <w:color w:val="000000"/>
                <w:sz w:val="20"/>
                <w:szCs w:val="20"/>
              </w:rPr>
            </w:pPr>
            <w:r w:rsidRPr="00430A79">
              <w:rPr>
                <w:rFonts w:ascii="Arial Narrow" w:hAnsi="Arial Narrow"/>
                <w:b/>
                <w:bCs/>
                <w:color w:val="000000"/>
                <w:sz w:val="20"/>
                <w:szCs w:val="20"/>
              </w:rPr>
              <w:t>46</w:t>
            </w:r>
          </w:p>
        </w:tc>
        <w:tc>
          <w:tcPr>
            <w:tcW w:w="1503" w:type="dxa"/>
          </w:tcPr>
          <w:p w14:paraId="18453522" w14:textId="77777777" w:rsidR="00EF2BB9" w:rsidRPr="00430A79" w:rsidRDefault="00EF2BB9" w:rsidP="00EF2BB9">
            <w:pPr>
              <w:rPr>
                <w:rFonts w:ascii="Arial Narrow" w:hAnsi="Arial Narrow"/>
                <w:b/>
                <w:bCs/>
                <w:color w:val="000000"/>
                <w:sz w:val="20"/>
                <w:szCs w:val="20"/>
              </w:rPr>
            </w:pPr>
            <w:r w:rsidRPr="00430A79">
              <w:rPr>
                <w:rFonts w:ascii="Arial Narrow" w:hAnsi="Arial Narrow"/>
                <w:b/>
                <w:bCs/>
                <w:color w:val="000000"/>
                <w:sz w:val="20"/>
                <w:szCs w:val="20"/>
              </w:rPr>
              <w:t>12</w:t>
            </w:r>
          </w:p>
        </w:tc>
        <w:tc>
          <w:tcPr>
            <w:tcW w:w="1503" w:type="dxa"/>
          </w:tcPr>
          <w:p w14:paraId="32142867" w14:textId="77777777" w:rsidR="00EF2BB9" w:rsidRPr="00430A79" w:rsidRDefault="00EF2BB9" w:rsidP="00EF2BB9">
            <w:pPr>
              <w:rPr>
                <w:rFonts w:ascii="Arial Narrow" w:hAnsi="Arial Narrow"/>
                <w:b/>
                <w:bCs/>
                <w:color w:val="000000"/>
                <w:sz w:val="20"/>
                <w:szCs w:val="20"/>
              </w:rPr>
            </w:pPr>
            <w:r w:rsidRPr="00430A79">
              <w:rPr>
                <w:rFonts w:ascii="Arial Narrow" w:hAnsi="Arial Narrow"/>
                <w:b/>
                <w:bCs/>
                <w:color w:val="000000"/>
                <w:sz w:val="20"/>
                <w:szCs w:val="20"/>
              </w:rPr>
              <w:t>12</w:t>
            </w:r>
          </w:p>
        </w:tc>
        <w:tc>
          <w:tcPr>
            <w:tcW w:w="1503" w:type="dxa"/>
          </w:tcPr>
          <w:p w14:paraId="4A5EC318" w14:textId="77777777" w:rsidR="00EF2BB9" w:rsidRPr="00430A79" w:rsidRDefault="00EF2BB9" w:rsidP="00EF2BB9">
            <w:pPr>
              <w:rPr>
                <w:rFonts w:ascii="Arial Narrow" w:hAnsi="Arial Narrow"/>
                <w:b/>
                <w:bCs/>
                <w:color w:val="000000"/>
                <w:sz w:val="20"/>
                <w:szCs w:val="20"/>
              </w:rPr>
            </w:pPr>
            <w:r w:rsidRPr="00430A79">
              <w:rPr>
                <w:rFonts w:ascii="Arial Narrow" w:hAnsi="Arial Narrow"/>
                <w:b/>
                <w:bCs/>
                <w:color w:val="000000"/>
                <w:sz w:val="20"/>
                <w:szCs w:val="20"/>
              </w:rPr>
              <w:t>12</w:t>
            </w:r>
          </w:p>
        </w:tc>
        <w:tc>
          <w:tcPr>
            <w:tcW w:w="1503" w:type="dxa"/>
            <w:vMerge/>
          </w:tcPr>
          <w:p w14:paraId="306F5B18" w14:textId="77777777" w:rsidR="00EF2BB9" w:rsidRPr="00430A79" w:rsidRDefault="00EF2BB9" w:rsidP="00EF2BB9">
            <w:pPr>
              <w:rPr>
                <w:rFonts w:ascii="Arial Narrow" w:hAnsi="Arial Narrow"/>
                <w:b/>
                <w:bCs/>
                <w:color w:val="000000"/>
                <w:sz w:val="20"/>
                <w:szCs w:val="20"/>
              </w:rPr>
            </w:pPr>
          </w:p>
        </w:tc>
      </w:tr>
      <w:tr w:rsidR="00EF2BB9" w:rsidRPr="00430A79" w14:paraId="7FFB6AC9" w14:textId="77777777" w:rsidTr="00D03949">
        <w:tc>
          <w:tcPr>
            <w:tcW w:w="1885" w:type="dxa"/>
          </w:tcPr>
          <w:p w14:paraId="7F91AB90" w14:textId="733ADED2" w:rsidR="00EF2BB9" w:rsidRPr="00430A79" w:rsidRDefault="00EF2BB9" w:rsidP="00EF2BB9">
            <w:pPr>
              <w:rPr>
                <w:rFonts w:ascii="Arial Narrow" w:hAnsi="Arial Narrow"/>
                <w:b/>
                <w:bCs/>
                <w:color w:val="000000"/>
                <w:sz w:val="20"/>
                <w:szCs w:val="20"/>
              </w:rPr>
            </w:pPr>
            <w:r w:rsidRPr="00BE2534">
              <w:rPr>
                <w:rFonts w:ascii="Arial Narrow" w:hAnsi="Arial Narrow"/>
                <w:b/>
                <w:bCs/>
                <w:color w:val="000000"/>
                <w:sz w:val="20"/>
                <w:szCs w:val="20"/>
                <w:lang w:val="sq-AL"/>
              </w:rPr>
              <w:t xml:space="preserve">Kostot operacionale, mijë </w:t>
            </w:r>
            <w:r w:rsidRPr="00BE2534">
              <w:rPr>
                <w:rFonts w:ascii="Calibri" w:hAnsi="Calibri" w:cs="Calibri"/>
                <w:b/>
                <w:bCs/>
                <w:color w:val="000000"/>
                <w:sz w:val="20"/>
                <w:szCs w:val="20"/>
                <w:lang w:val="sq-AL"/>
              </w:rPr>
              <w:t>€</w:t>
            </w:r>
          </w:p>
        </w:tc>
        <w:tc>
          <w:tcPr>
            <w:tcW w:w="1119" w:type="dxa"/>
          </w:tcPr>
          <w:p w14:paraId="126FB2D8" w14:textId="77777777" w:rsidR="00EF2BB9" w:rsidRPr="00430A79" w:rsidRDefault="00EF2BB9" w:rsidP="00EF2BB9">
            <w:pPr>
              <w:rPr>
                <w:rFonts w:ascii="Arial Narrow" w:hAnsi="Arial Narrow"/>
                <w:b/>
                <w:bCs/>
                <w:color w:val="000000"/>
                <w:sz w:val="20"/>
                <w:szCs w:val="20"/>
              </w:rPr>
            </w:pPr>
          </w:p>
        </w:tc>
        <w:tc>
          <w:tcPr>
            <w:tcW w:w="1503" w:type="dxa"/>
          </w:tcPr>
          <w:p w14:paraId="622CC1F0" w14:textId="77777777" w:rsidR="00EF2BB9" w:rsidRPr="00430A79" w:rsidRDefault="00EF2BB9" w:rsidP="00EF2BB9">
            <w:pPr>
              <w:rPr>
                <w:rFonts w:ascii="Arial Narrow" w:hAnsi="Arial Narrow"/>
                <w:b/>
                <w:bCs/>
                <w:color w:val="000000"/>
                <w:sz w:val="20"/>
                <w:szCs w:val="20"/>
              </w:rPr>
            </w:pPr>
          </w:p>
        </w:tc>
        <w:tc>
          <w:tcPr>
            <w:tcW w:w="1503" w:type="dxa"/>
          </w:tcPr>
          <w:p w14:paraId="6A18FA3D" w14:textId="77777777" w:rsidR="00EF2BB9" w:rsidRPr="00430A79" w:rsidRDefault="00EF2BB9" w:rsidP="00EF2BB9">
            <w:pPr>
              <w:rPr>
                <w:rFonts w:ascii="Arial Narrow" w:hAnsi="Arial Narrow"/>
                <w:b/>
                <w:bCs/>
                <w:color w:val="000000"/>
                <w:sz w:val="20"/>
                <w:szCs w:val="20"/>
              </w:rPr>
            </w:pPr>
          </w:p>
        </w:tc>
        <w:tc>
          <w:tcPr>
            <w:tcW w:w="1503" w:type="dxa"/>
          </w:tcPr>
          <w:p w14:paraId="5B44DF22" w14:textId="77777777" w:rsidR="00EF2BB9" w:rsidRPr="00430A79" w:rsidRDefault="00EF2BB9" w:rsidP="00EF2BB9">
            <w:pPr>
              <w:rPr>
                <w:rFonts w:ascii="Arial Narrow" w:hAnsi="Arial Narrow"/>
                <w:b/>
                <w:bCs/>
                <w:color w:val="000000"/>
                <w:sz w:val="20"/>
                <w:szCs w:val="20"/>
              </w:rPr>
            </w:pPr>
          </w:p>
        </w:tc>
        <w:tc>
          <w:tcPr>
            <w:tcW w:w="1503" w:type="dxa"/>
            <w:vMerge/>
          </w:tcPr>
          <w:p w14:paraId="7C31078B" w14:textId="77777777" w:rsidR="00EF2BB9" w:rsidRPr="00430A79" w:rsidRDefault="00EF2BB9" w:rsidP="00EF2BB9">
            <w:pPr>
              <w:rPr>
                <w:rFonts w:ascii="Arial Narrow" w:hAnsi="Arial Narrow"/>
                <w:b/>
                <w:bCs/>
                <w:color w:val="000000"/>
                <w:sz w:val="20"/>
                <w:szCs w:val="20"/>
              </w:rPr>
            </w:pPr>
          </w:p>
        </w:tc>
      </w:tr>
      <w:tr w:rsidR="00EF2BB9" w:rsidRPr="00430A79" w14:paraId="1FC31724" w14:textId="77777777" w:rsidTr="00D03949">
        <w:tc>
          <w:tcPr>
            <w:tcW w:w="1885" w:type="dxa"/>
          </w:tcPr>
          <w:p w14:paraId="6B3C94A2" w14:textId="2189A3BD" w:rsidR="00EF2BB9" w:rsidRPr="00430A79" w:rsidRDefault="00EF2BB9" w:rsidP="00EF2BB9">
            <w:pPr>
              <w:rPr>
                <w:rFonts w:ascii="Arial Narrow" w:hAnsi="Arial Narrow"/>
                <w:color w:val="000000"/>
                <w:sz w:val="20"/>
                <w:szCs w:val="20"/>
              </w:rPr>
            </w:pPr>
            <w:r w:rsidRPr="00BE2534">
              <w:rPr>
                <w:rFonts w:ascii="Arial Narrow" w:hAnsi="Arial Narrow"/>
                <w:color w:val="000000"/>
                <w:sz w:val="20"/>
                <w:szCs w:val="20"/>
                <w:lang w:val="sq-AL"/>
              </w:rPr>
              <w:t>Mirëmbajtje dhe riparim</w:t>
            </w:r>
          </w:p>
        </w:tc>
        <w:tc>
          <w:tcPr>
            <w:tcW w:w="1119" w:type="dxa"/>
          </w:tcPr>
          <w:p w14:paraId="0E1EEF2F"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25</w:t>
            </w:r>
          </w:p>
        </w:tc>
        <w:tc>
          <w:tcPr>
            <w:tcW w:w="1503" w:type="dxa"/>
          </w:tcPr>
          <w:p w14:paraId="53CA99F1"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10</w:t>
            </w:r>
          </w:p>
        </w:tc>
        <w:tc>
          <w:tcPr>
            <w:tcW w:w="1503" w:type="dxa"/>
          </w:tcPr>
          <w:p w14:paraId="1E80916A"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10</w:t>
            </w:r>
          </w:p>
        </w:tc>
        <w:tc>
          <w:tcPr>
            <w:tcW w:w="1503" w:type="dxa"/>
          </w:tcPr>
          <w:p w14:paraId="45574156"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10</w:t>
            </w:r>
          </w:p>
        </w:tc>
        <w:tc>
          <w:tcPr>
            <w:tcW w:w="1503" w:type="dxa"/>
            <w:vMerge/>
          </w:tcPr>
          <w:p w14:paraId="3F725210" w14:textId="77777777" w:rsidR="00EF2BB9" w:rsidRPr="00430A79" w:rsidRDefault="00EF2BB9" w:rsidP="00EF2BB9">
            <w:pPr>
              <w:rPr>
                <w:rFonts w:ascii="Arial Narrow" w:hAnsi="Arial Narrow"/>
                <w:color w:val="000000"/>
                <w:sz w:val="20"/>
                <w:szCs w:val="20"/>
              </w:rPr>
            </w:pPr>
          </w:p>
        </w:tc>
      </w:tr>
      <w:tr w:rsidR="00EF2BB9" w:rsidRPr="00430A79" w14:paraId="6CB68127" w14:textId="77777777" w:rsidTr="00D03949">
        <w:tc>
          <w:tcPr>
            <w:tcW w:w="1885" w:type="dxa"/>
          </w:tcPr>
          <w:p w14:paraId="1A5B8610" w14:textId="1FEED1C2" w:rsidR="00EF2BB9" w:rsidRPr="00430A79" w:rsidRDefault="00EF2BB9" w:rsidP="00EF2BB9">
            <w:pPr>
              <w:rPr>
                <w:rFonts w:ascii="Arial Narrow" w:hAnsi="Arial Narrow"/>
                <w:color w:val="000000"/>
                <w:sz w:val="20"/>
                <w:szCs w:val="20"/>
              </w:rPr>
            </w:pPr>
            <w:r w:rsidRPr="00BE2534">
              <w:rPr>
                <w:rFonts w:ascii="Arial Narrow" w:hAnsi="Arial Narrow"/>
                <w:color w:val="000000"/>
                <w:sz w:val="20"/>
                <w:szCs w:val="20"/>
                <w:lang w:val="sq-AL"/>
              </w:rPr>
              <w:t>Personeli</w:t>
            </w:r>
          </w:p>
        </w:tc>
        <w:tc>
          <w:tcPr>
            <w:tcW w:w="1119" w:type="dxa"/>
          </w:tcPr>
          <w:p w14:paraId="4432E050"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55</w:t>
            </w:r>
          </w:p>
        </w:tc>
        <w:tc>
          <w:tcPr>
            <w:tcW w:w="1503" w:type="dxa"/>
          </w:tcPr>
          <w:p w14:paraId="6ED4485B"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24</w:t>
            </w:r>
          </w:p>
        </w:tc>
        <w:tc>
          <w:tcPr>
            <w:tcW w:w="1503" w:type="dxa"/>
          </w:tcPr>
          <w:p w14:paraId="60E8CF75"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24</w:t>
            </w:r>
          </w:p>
        </w:tc>
        <w:tc>
          <w:tcPr>
            <w:tcW w:w="1503" w:type="dxa"/>
          </w:tcPr>
          <w:p w14:paraId="5E6B93D8"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24</w:t>
            </w:r>
          </w:p>
        </w:tc>
        <w:tc>
          <w:tcPr>
            <w:tcW w:w="1503" w:type="dxa"/>
            <w:vMerge/>
          </w:tcPr>
          <w:p w14:paraId="6013A53A" w14:textId="77777777" w:rsidR="00EF2BB9" w:rsidRPr="00430A79" w:rsidRDefault="00EF2BB9" w:rsidP="00EF2BB9">
            <w:pPr>
              <w:rPr>
                <w:rFonts w:ascii="Arial Narrow" w:hAnsi="Arial Narrow"/>
                <w:color w:val="000000"/>
                <w:sz w:val="20"/>
                <w:szCs w:val="20"/>
              </w:rPr>
            </w:pPr>
          </w:p>
        </w:tc>
      </w:tr>
      <w:tr w:rsidR="00EF2BB9" w:rsidRPr="00430A79" w14:paraId="4F34F107" w14:textId="77777777" w:rsidTr="00D03949">
        <w:tc>
          <w:tcPr>
            <w:tcW w:w="1885" w:type="dxa"/>
          </w:tcPr>
          <w:p w14:paraId="3085A244" w14:textId="02284140" w:rsidR="00EF2BB9" w:rsidRPr="00430A79" w:rsidRDefault="00EF2BB9" w:rsidP="00EF2BB9">
            <w:pPr>
              <w:rPr>
                <w:rFonts w:ascii="Arial Narrow" w:hAnsi="Arial Narrow"/>
                <w:color w:val="000000"/>
                <w:sz w:val="20"/>
                <w:szCs w:val="20"/>
              </w:rPr>
            </w:pPr>
            <w:r w:rsidRPr="00BE2534">
              <w:rPr>
                <w:rFonts w:ascii="Arial Narrow" w:hAnsi="Arial Narrow"/>
                <w:color w:val="000000"/>
                <w:sz w:val="20"/>
                <w:szCs w:val="20"/>
                <w:lang w:val="sq-AL"/>
              </w:rPr>
              <w:t>Materiale harxhuese</w:t>
            </w:r>
          </w:p>
        </w:tc>
        <w:tc>
          <w:tcPr>
            <w:tcW w:w="1119" w:type="dxa"/>
          </w:tcPr>
          <w:p w14:paraId="11AED02A"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59</w:t>
            </w:r>
          </w:p>
        </w:tc>
        <w:tc>
          <w:tcPr>
            <w:tcW w:w="1503" w:type="dxa"/>
          </w:tcPr>
          <w:p w14:paraId="7A749D57"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11</w:t>
            </w:r>
          </w:p>
        </w:tc>
        <w:tc>
          <w:tcPr>
            <w:tcW w:w="1503" w:type="dxa"/>
          </w:tcPr>
          <w:p w14:paraId="66C51AC0"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11</w:t>
            </w:r>
          </w:p>
        </w:tc>
        <w:tc>
          <w:tcPr>
            <w:tcW w:w="1503" w:type="dxa"/>
          </w:tcPr>
          <w:p w14:paraId="32A0133D"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10</w:t>
            </w:r>
          </w:p>
        </w:tc>
        <w:tc>
          <w:tcPr>
            <w:tcW w:w="1503" w:type="dxa"/>
            <w:vMerge/>
          </w:tcPr>
          <w:p w14:paraId="420EDCAF" w14:textId="77777777" w:rsidR="00EF2BB9" w:rsidRPr="00430A79" w:rsidRDefault="00EF2BB9" w:rsidP="00EF2BB9">
            <w:pPr>
              <w:rPr>
                <w:rFonts w:ascii="Arial Narrow" w:hAnsi="Arial Narrow"/>
                <w:color w:val="000000"/>
                <w:sz w:val="20"/>
                <w:szCs w:val="20"/>
              </w:rPr>
            </w:pPr>
          </w:p>
        </w:tc>
      </w:tr>
      <w:tr w:rsidR="00EF2BB9" w:rsidRPr="00430A79" w14:paraId="175925DE" w14:textId="77777777" w:rsidTr="00D03949">
        <w:tc>
          <w:tcPr>
            <w:tcW w:w="1885" w:type="dxa"/>
          </w:tcPr>
          <w:p w14:paraId="3D0F7003" w14:textId="2B14ADE4" w:rsidR="00EF2BB9" w:rsidRPr="00430A79" w:rsidRDefault="00EF2BB9" w:rsidP="00EF2BB9">
            <w:pPr>
              <w:rPr>
                <w:rFonts w:ascii="Arial Narrow" w:hAnsi="Arial Narrow"/>
                <w:color w:val="000000"/>
                <w:sz w:val="20"/>
                <w:szCs w:val="20"/>
              </w:rPr>
            </w:pPr>
            <w:r w:rsidRPr="00BE2534">
              <w:rPr>
                <w:rFonts w:ascii="Arial Narrow" w:hAnsi="Arial Narrow"/>
                <w:color w:val="000000"/>
                <w:sz w:val="20"/>
                <w:szCs w:val="20"/>
                <w:lang w:val="sq-AL"/>
              </w:rPr>
              <w:t>Administrata</w:t>
            </w:r>
          </w:p>
        </w:tc>
        <w:tc>
          <w:tcPr>
            <w:tcW w:w="1119" w:type="dxa"/>
          </w:tcPr>
          <w:p w14:paraId="1448EE19"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14</w:t>
            </w:r>
          </w:p>
        </w:tc>
        <w:tc>
          <w:tcPr>
            <w:tcW w:w="1503" w:type="dxa"/>
          </w:tcPr>
          <w:p w14:paraId="4CE2E1BD"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4</w:t>
            </w:r>
          </w:p>
        </w:tc>
        <w:tc>
          <w:tcPr>
            <w:tcW w:w="1503" w:type="dxa"/>
          </w:tcPr>
          <w:p w14:paraId="36FAF364"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4</w:t>
            </w:r>
          </w:p>
        </w:tc>
        <w:tc>
          <w:tcPr>
            <w:tcW w:w="1503" w:type="dxa"/>
          </w:tcPr>
          <w:p w14:paraId="5458141A"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4</w:t>
            </w:r>
          </w:p>
        </w:tc>
        <w:tc>
          <w:tcPr>
            <w:tcW w:w="1503" w:type="dxa"/>
            <w:vMerge/>
          </w:tcPr>
          <w:p w14:paraId="5207FBF1" w14:textId="77777777" w:rsidR="00EF2BB9" w:rsidRPr="00430A79" w:rsidRDefault="00EF2BB9" w:rsidP="00EF2BB9">
            <w:pPr>
              <w:rPr>
                <w:rFonts w:ascii="Arial Narrow" w:hAnsi="Arial Narrow"/>
                <w:color w:val="000000"/>
                <w:sz w:val="20"/>
                <w:szCs w:val="20"/>
              </w:rPr>
            </w:pPr>
          </w:p>
        </w:tc>
      </w:tr>
      <w:tr w:rsidR="00EF2BB9" w:rsidRPr="00430A79" w14:paraId="6FAB754B" w14:textId="77777777" w:rsidTr="00D03949">
        <w:tc>
          <w:tcPr>
            <w:tcW w:w="1885" w:type="dxa"/>
          </w:tcPr>
          <w:p w14:paraId="520E7CE8" w14:textId="1DD9510A" w:rsidR="00EF2BB9" w:rsidRPr="00430A79" w:rsidRDefault="00EF2BB9" w:rsidP="00EF2BB9">
            <w:pPr>
              <w:rPr>
                <w:rFonts w:ascii="Arial Narrow" w:hAnsi="Arial Narrow"/>
                <w:color w:val="000000"/>
                <w:sz w:val="20"/>
                <w:szCs w:val="20"/>
              </w:rPr>
            </w:pPr>
            <w:r w:rsidRPr="00BE2534">
              <w:rPr>
                <w:rFonts w:ascii="Arial Narrow" w:hAnsi="Arial Narrow"/>
                <w:color w:val="000000"/>
                <w:sz w:val="20"/>
                <w:szCs w:val="20"/>
                <w:lang w:val="sq-AL"/>
              </w:rPr>
              <w:t>Taksat, sigurimet</w:t>
            </w:r>
          </w:p>
        </w:tc>
        <w:tc>
          <w:tcPr>
            <w:tcW w:w="1119" w:type="dxa"/>
          </w:tcPr>
          <w:p w14:paraId="10DAA028"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6</w:t>
            </w:r>
          </w:p>
        </w:tc>
        <w:tc>
          <w:tcPr>
            <w:tcW w:w="1503" w:type="dxa"/>
          </w:tcPr>
          <w:p w14:paraId="2E3EEA23"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2</w:t>
            </w:r>
          </w:p>
        </w:tc>
        <w:tc>
          <w:tcPr>
            <w:tcW w:w="1503" w:type="dxa"/>
          </w:tcPr>
          <w:p w14:paraId="3EA8FEC2"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2</w:t>
            </w:r>
          </w:p>
        </w:tc>
        <w:tc>
          <w:tcPr>
            <w:tcW w:w="1503" w:type="dxa"/>
          </w:tcPr>
          <w:p w14:paraId="74421B3C"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2</w:t>
            </w:r>
          </w:p>
        </w:tc>
        <w:tc>
          <w:tcPr>
            <w:tcW w:w="1503" w:type="dxa"/>
            <w:vMerge/>
          </w:tcPr>
          <w:p w14:paraId="271BC6EF" w14:textId="77777777" w:rsidR="00EF2BB9" w:rsidRPr="00430A79" w:rsidRDefault="00EF2BB9" w:rsidP="00EF2BB9">
            <w:pPr>
              <w:rPr>
                <w:rFonts w:ascii="Arial Narrow" w:hAnsi="Arial Narrow"/>
                <w:color w:val="000000"/>
                <w:sz w:val="20"/>
                <w:szCs w:val="20"/>
              </w:rPr>
            </w:pPr>
          </w:p>
        </w:tc>
      </w:tr>
      <w:tr w:rsidR="00EF2BB9" w:rsidRPr="00430A79" w14:paraId="3205DB76" w14:textId="77777777" w:rsidTr="00D03949">
        <w:tc>
          <w:tcPr>
            <w:tcW w:w="1885" w:type="dxa"/>
          </w:tcPr>
          <w:p w14:paraId="1FBFC079" w14:textId="5CE54510" w:rsidR="00EF2BB9" w:rsidRPr="00430A79" w:rsidRDefault="00EF2BB9" w:rsidP="00EF2BB9">
            <w:pPr>
              <w:rPr>
                <w:rFonts w:ascii="Arial Narrow" w:hAnsi="Arial Narrow"/>
                <w:color w:val="000000"/>
                <w:sz w:val="20"/>
                <w:szCs w:val="20"/>
              </w:rPr>
            </w:pPr>
            <w:r w:rsidRPr="00BE2534">
              <w:rPr>
                <w:rFonts w:ascii="Arial Narrow" w:hAnsi="Arial Narrow"/>
                <w:color w:val="000000"/>
                <w:sz w:val="20"/>
                <w:szCs w:val="20"/>
                <w:lang w:val="sq-AL"/>
              </w:rPr>
              <w:t>Kostot totale operacionale</w:t>
            </w:r>
          </w:p>
        </w:tc>
        <w:tc>
          <w:tcPr>
            <w:tcW w:w="1119" w:type="dxa"/>
          </w:tcPr>
          <w:p w14:paraId="1A47B01C"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158</w:t>
            </w:r>
          </w:p>
        </w:tc>
        <w:tc>
          <w:tcPr>
            <w:tcW w:w="1503" w:type="dxa"/>
          </w:tcPr>
          <w:p w14:paraId="4B3BE6F5"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51</w:t>
            </w:r>
          </w:p>
        </w:tc>
        <w:tc>
          <w:tcPr>
            <w:tcW w:w="1503" w:type="dxa"/>
          </w:tcPr>
          <w:p w14:paraId="5418151A"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51</w:t>
            </w:r>
          </w:p>
        </w:tc>
        <w:tc>
          <w:tcPr>
            <w:tcW w:w="1503" w:type="dxa"/>
          </w:tcPr>
          <w:p w14:paraId="3AEE66F4" w14:textId="77777777" w:rsidR="00EF2BB9" w:rsidRPr="00430A79" w:rsidRDefault="00EF2BB9" w:rsidP="00EF2BB9">
            <w:pPr>
              <w:rPr>
                <w:rFonts w:ascii="Arial Narrow" w:hAnsi="Arial Narrow"/>
                <w:color w:val="000000"/>
                <w:sz w:val="20"/>
                <w:szCs w:val="20"/>
              </w:rPr>
            </w:pPr>
            <w:r w:rsidRPr="00430A79">
              <w:rPr>
                <w:rFonts w:ascii="Arial Narrow" w:hAnsi="Arial Narrow"/>
                <w:color w:val="000000"/>
                <w:sz w:val="20"/>
                <w:szCs w:val="20"/>
              </w:rPr>
              <w:t>50</w:t>
            </w:r>
          </w:p>
        </w:tc>
        <w:tc>
          <w:tcPr>
            <w:tcW w:w="1503" w:type="dxa"/>
            <w:vMerge/>
          </w:tcPr>
          <w:p w14:paraId="66F076AE" w14:textId="77777777" w:rsidR="00EF2BB9" w:rsidRPr="00430A79" w:rsidRDefault="00EF2BB9" w:rsidP="00EF2BB9">
            <w:pPr>
              <w:rPr>
                <w:rFonts w:ascii="Arial Narrow" w:hAnsi="Arial Narrow"/>
                <w:color w:val="000000"/>
                <w:sz w:val="20"/>
                <w:szCs w:val="20"/>
              </w:rPr>
            </w:pPr>
          </w:p>
        </w:tc>
      </w:tr>
      <w:tr w:rsidR="00EF2BB9" w:rsidRPr="00430A79" w14:paraId="134816D6" w14:textId="77777777" w:rsidTr="00D03949">
        <w:tc>
          <w:tcPr>
            <w:tcW w:w="1885" w:type="dxa"/>
          </w:tcPr>
          <w:p w14:paraId="25C10713" w14:textId="646ACC67" w:rsidR="00EF2BB9" w:rsidRPr="00430A79" w:rsidRDefault="00EF2BB9" w:rsidP="00EF2BB9">
            <w:pPr>
              <w:rPr>
                <w:rFonts w:ascii="Arial Narrow" w:hAnsi="Arial Narrow"/>
                <w:b/>
                <w:bCs/>
                <w:color w:val="000000"/>
                <w:sz w:val="20"/>
                <w:szCs w:val="20"/>
              </w:rPr>
            </w:pPr>
            <w:r w:rsidRPr="00BE2534">
              <w:rPr>
                <w:rFonts w:ascii="Arial Narrow" w:hAnsi="Arial Narrow"/>
                <w:b/>
                <w:bCs/>
                <w:color w:val="000000"/>
                <w:sz w:val="20"/>
                <w:szCs w:val="20"/>
                <w:lang w:val="sq-AL"/>
              </w:rPr>
              <w:t xml:space="preserve">Grumbullimi i mbeturinave të gjelbra, mijë </w:t>
            </w:r>
            <w:r w:rsidRPr="00BE2534">
              <w:rPr>
                <w:rFonts w:ascii="Calibri" w:hAnsi="Calibri" w:cs="Calibri"/>
                <w:b/>
                <w:bCs/>
                <w:color w:val="000000"/>
                <w:sz w:val="20"/>
                <w:szCs w:val="20"/>
                <w:lang w:val="sq-AL"/>
              </w:rPr>
              <w:t>€</w:t>
            </w:r>
          </w:p>
        </w:tc>
        <w:tc>
          <w:tcPr>
            <w:tcW w:w="1119" w:type="dxa"/>
          </w:tcPr>
          <w:p w14:paraId="79392922" w14:textId="77777777" w:rsidR="00EF2BB9" w:rsidRPr="00430A79" w:rsidRDefault="00EF2BB9" w:rsidP="00EF2BB9">
            <w:pPr>
              <w:rPr>
                <w:rFonts w:ascii="Arial Narrow" w:hAnsi="Arial Narrow"/>
                <w:b/>
                <w:bCs/>
                <w:color w:val="000000"/>
                <w:sz w:val="20"/>
                <w:szCs w:val="20"/>
              </w:rPr>
            </w:pPr>
            <w:r w:rsidRPr="00430A79">
              <w:rPr>
                <w:rFonts w:ascii="Arial Narrow" w:hAnsi="Arial Narrow"/>
                <w:b/>
                <w:bCs/>
                <w:color w:val="000000"/>
                <w:sz w:val="20"/>
                <w:szCs w:val="20"/>
              </w:rPr>
              <w:t>47</w:t>
            </w:r>
          </w:p>
        </w:tc>
        <w:tc>
          <w:tcPr>
            <w:tcW w:w="1503" w:type="dxa"/>
          </w:tcPr>
          <w:p w14:paraId="20EBF743" w14:textId="77777777" w:rsidR="00EF2BB9" w:rsidRPr="00430A79" w:rsidRDefault="00EF2BB9" w:rsidP="00EF2BB9">
            <w:pPr>
              <w:rPr>
                <w:rFonts w:ascii="Arial Narrow" w:hAnsi="Arial Narrow"/>
                <w:b/>
                <w:bCs/>
                <w:color w:val="000000"/>
                <w:sz w:val="20"/>
                <w:szCs w:val="20"/>
              </w:rPr>
            </w:pPr>
            <w:r w:rsidRPr="00430A79">
              <w:rPr>
                <w:rFonts w:ascii="Arial Narrow" w:hAnsi="Arial Narrow"/>
                <w:b/>
                <w:bCs/>
                <w:color w:val="000000"/>
                <w:sz w:val="20"/>
                <w:szCs w:val="20"/>
              </w:rPr>
              <w:t>11</w:t>
            </w:r>
          </w:p>
        </w:tc>
        <w:tc>
          <w:tcPr>
            <w:tcW w:w="1503" w:type="dxa"/>
          </w:tcPr>
          <w:p w14:paraId="17798D33" w14:textId="77777777" w:rsidR="00EF2BB9" w:rsidRPr="00430A79" w:rsidRDefault="00EF2BB9" w:rsidP="00EF2BB9">
            <w:pPr>
              <w:rPr>
                <w:rFonts w:ascii="Arial Narrow" w:hAnsi="Arial Narrow"/>
                <w:b/>
                <w:bCs/>
                <w:color w:val="000000"/>
                <w:sz w:val="20"/>
                <w:szCs w:val="20"/>
              </w:rPr>
            </w:pPr>
            <w:r w:rsidRPr="00430A79">
              <w:rPr>
                <w:rFonts w:ascii="Arial Narrow" w:hAnsi="Arial Narrow"/>
                <w:b/>
                <w:bCs/>
                <w:color w:val="000000"/>
                <w:sz w:val="20"/>
                <w:szCs w:val="20"/>
              </w:rPr>
              <w:t>11</w:t>
            </w:r>
          </w:p>
        </w:tc>
        <w:tc>
          <w:tcPr>
            <w:tcW w:w="1503" w:type="dxa"/>
          </w:tcPr>
          <w:p w14:paraId="2D2A986C" w14:textId="77777777" w:rsidR="00EF2BB9" w:rsidRPr="00430A79" w:rsidRDefault="00EF2BB9" w:rsidP="00EF2BB9">
            <w:pPr>
              <w:rPr>
                <w:rFonts w:ascii="Arial Narrow" w:hAnsi="Arial Narrow"/>
                <w:b/>
                <w:bCs/>
                <w:color w:val="000000"/>
                <w:sz w:val="20"/>
                <w:szCs w:val="20"/>
              </w:rPr>
            </w:pPr>
            <w:r w:rsidRPr="00430A79">
              <w:rPr>
                <w:rFonts w:ascii="Arial Narrow" w:hAnsi="Arial Narrow"/>
                <w:b/>
                <w:bCs/>
                <w:color w:val="000000"/>
                <w:sz w:val="20"/>
                <w:szCs w:val="20"/>
              </w:rPr>
              <w:t>10</w:t>
            </w:r>
          </w:p>
        </w:tc>
        <w:tc>
          <w:tcPr>
            <w:tcW w:w="1503" w:type="dxa"/>
            <w:vMerge/>
          </w:tcPr>
          <w:p w14:paraId="5626383B" w14:textId="77777777" w:rsidR="00EF2BB9" w:rsidRPr="00430A79" w:rsidRDefault="00EF2BB9" w:rsidP="00EF2BB9">
            <w:pPr>
              <w:rPr>
                <w:rFonts w:ascii="Arial Narrow" w:hAnsi="Arial Narrow"/>
                <w:b/>
                <w:bCs/>
                <w:color w:val="000000"/>
                <w:sz w:val="20"/>
                <w:szCs w:val="20"/>
              </w:rPr>
            </w:pPr>
          </w:p>
        </w:tc>
      </w:tr>
    </w:tbl>
    <w:p w14:paraId="51DE95C0" w14:textId="77777777" w:rsidR="003F742B" w:rsidRDefault="003F742B" w:rsidP="003F742B">
      <w:pPr>
        <w:pStyle w:val="Heading3"/>
        <w:numPr>
          <w:ilvl w:val="0"/>
          <w:numId w:val="0"/>
        </w:numPr>
      </w:pPr>
      <w:bookmarkStart w:id="407" w:name="_Toc185866130"/>
    </w:p>
    <w:p w14:paraId="693F610B" w14:textId="26317191" w:rsidR="00430A79" w:rsidRPr="00430A79" w:rsidRDefault="00EF2BB9" w:rsidP="000D7AD0">
      <w:pPr>
        <w:pStyle w:val="Heading3"/>
      </w:pPr>
      <w:bookmarkStart w:id="408" w:name="_Toc197472021"/>
      <w:r>
        <w:t xml:space="preserve">Grumbullimi ndaras </w:t>
      </w:r>
      <w:r w:rsidR="00430A79" w:rsidRPr="00430A79">
        <w:t xml:space="preserve">dhe trajtimi i mbeturinave ushqimore (mbeturinave tjera </w:t>
      </w:r>
      <w:r>
        <w:t>organike</w:t>
      </w:r>
      <w:r w:rsidR="00430A79" w:rsidRPr="00430A79">
        <w:t>)</w:t>
      </w:r>
      <w:bookmarkEnd w:id="407"/>
      <w:bookmarkEnd w:id="408"/>
    </w:p>
    <w:p w14:paraId="519D9A33" w14:textId="77777777" w:rsidR="003F742B" w:rsidRDefault="003F742B" w:rsidP="00EF2BB9">
      <w:pPr>
        <w:pStyle w:val="Paragraph"/>
        <w:spacing w:after="0"/>
        <w:rPr>
          <w:rFonts w:eastAsia="Calibri" w:cs="Calibri"/>
          <w:lang w:val="sq-AL"/>
        </w:rPr>
      </w:pPr>
    </w:p>
    <w:p w14:paraId="2ABAEBD4" w14:textId="3EEE28BC" w:rsidR="00EF2BB9" w:rsidRPr="00BE2534" w:rsidRDefault="00EF2BB9" w:rsidP="00EF2BB9">
      <w:pPr>
        <w:pStyle w:val="Paragraph"/>
        <w:spacing w:after="0"/>
        <w:rPr>
          <w:rFonts w:eastAsia="Calibri" w:cs="Calibri"/>
          <w:lang w:val="sq-AL"/>
        </w:rPr>
      </w:pPr>
      <w:r w:rsidRPr="00BE2534">
        <w:rPr>
          <w:rFonts w:eastAsia="Calibri" w:cs="Calibri"/>
          <w:lang w:val="sq-AL"/>
        </w:rPr>
        <w:t xml:space="preserve">Mbeturinat ushqimore/kuzhinës janë fraksioni më i ndërlikuar i mbeturinave që grumbullohet </w:t>
      </w:r>
      <w:r>
        <w:rPr>
          <w:rFonts w:eastAsia="Calibri" w:cs="Calibri"/>
          <w:lang w:val="sq-AL"/>
        </w:rPr>
        <w:t>ndaras</w:t>
      </w:r>
      <w:r w:rsidRPr="00BE2534">
        <w:rPr>
          <w:rFonts w:eastAsia="Calibri" w:cs="Calibri"/>
          <w:lang w:val="sq-AL"/>
        </w:rPr>
        <w:t xml:space="preserve">. Megjithatë, duke marrë parasysh sasinë e konsiderueshme të fraksionit të mbeturinave ushqimore, do të kërkohet grumbullimi </w:t>
      </w:r>
      <w:r>
        <w:rPr>
          <w:rFonts w:eastAsia="Calibri" w:cs="Calibri"/>
          <w:lang w:val="sq-AL"/>
        </w:rPr>
        <w:t>ndaras</w:t>
      </w:r>
      <w:r w:rsidRPr="00BE2534">
        <w:rPr>
          <w:rFonts w:eastAsia="Calibri" w:cs="Calibri"/>
          <w:lang w:val="sq-AL"/>
        </w:rPr>
        <w:t xml:space="preserve"> për të arritur objektivat e riciklimit dhe shmangjes së deponive për mbeturinat komunale.</w:t>
      </w:r>
    </w:p>
    <w:p w14:paraId="5FF5F982" w14:textId="77777777" w:rsidR="00EF2BB9" w:rsidRDefault="00EF2BB9" w:rsidP="00EF2BB9">
      <w:pPr>
        <w:pStyle w:val="Paragraph"/>
        <w:spacing w:after="0"/>
        <w:rPr>
          <w:rFonts w:eastAsia="Calibri" w:cs="Calibri"/>
          <w:lang w:val="sq-AL"/>
        </w:rPr>
      </w:pPr>
      <w:r w:rsidRPr="00BE2534">
        <w:rPr>
          <w:rFonts w:eastAsia="Calibri" w:cs="Calibri"/>
          <w:lang w:val="sq-AL"/>
        </w:rPr>
        <w:t xml:space="preserve">Shumica e popullsisë në rajon jeton në zonat rurale ku mbarështimi i kafshëve (pulat, lepujt, etj) është ende i zakonshëm dhe shumica e mbeturinave organike tashmë ose kompostohen në shtëpi ose përdoren si ushqim për kafshët. Hyrja në praktikë e grumbullimit </w:t>
      </w:r>
      <w:r>
        <w:rPr>
          <w:rFonts w:eastAsia="Calibri" w:cs="Calibri"/>
          <w:lang w:val="sq-AL"/>
        </w:rPr>
        <w:t>ndaras</w:t>
      </w:r>
      <w:r w:rsidRPr="00BE2534">
        <w:rPr>
          <w:rFonts w:eastAsia="Calibri" w:cs="Calibri"/>
          <w:lang w:val="sq-AL"/>
        </w:rPr>
        <w:t xml:space="preserve"> të mbeturinave organike për momentin nuk do të jepte rezultate domethënëse.</w:t>
      </w:r>
    </w:p>
    <w:p w14:paraId="3C64B41A" w14:textId="77777777" w:rsidR="003F742B" w:rsidRPr="00BE2534" w:rsidRDefault="003F742B" w:rsidP="00EF2BB9">
      <w:pPr>
        <w:pStyle w:val="Paragraph"/>
        <w:spacing w:after="0"/>
        <w:rPr>
          <w:rFonts w:eastAsia="Calibri" w:cs="Calibri"/>
          <w:lang w:val="sq-AL"/>
        </w:rPr>
      </w:pPr>
    </w:p>
    <w:p w14:paraId="7A71D3BA" w14:textId="5701FB7C" w:rsidR="00EF2BB9" w:rsidRDefault="00EF2BB9" w:rsidP="00EF2BB9">
      <w:pPr>
        <w:pStyle w:val="Paragraph"/>
        <w:spacing w:after="0"/>
        <w:rPr>
          <w:rFonts w:eastAsia="Calibri" w:cs="Calibri"/>
          <w:lang w:val="sq-AL"/>
        </w:rPr>
      </w:pPr>
      <w:r w:rsidRPr="00BE2534">
        <w:rPr>
          <w:rFonts w:eastAsia="Calibri" w:cs="Calibri"/>
          <w:lang w:val="sq-AL"/>
        </w:rPr>
        <w:t xml:space="preserve">Prandaj, për zonat urbane në rajon rekomandohet grumbullimi </w:t>
      </w:r>
      <w:r>
        <w:rPr>
          <w:rFonts w:eastAsia="Calibri" w:cs="Calibri"/>
          <w:lang w:val="sq-AL"/>
        </w:rPr>
        <w:t>ndaras</w:t>
      </w:r>
      <w:r w:rsidRPr="00BE2534">
        <w:rPr>
          <w:rFonts w:eastAsia="Calibri" w:cs="Calibri"/>
          <w:lang w:val="sq-AL"/>
        </w:rPr>
        <w:t xml:space="preserve"> i mbeturinave të kuzhinës</w:t>
      </w:r>
      <w:r w:rsidR="00CA7708">
        <w:rPr>
          <w:rFonts w:eastAsia="Calibri" w:cs="Calibri"/>
          <w:lang w:val="sq-AL"/>
        </w:rPr>
        <w:t>.</w:t>
      </w:r>
    </w:p>
    <w:p w14:paraId="167F3188" w14:textId="77777777" w:rsidR="003F742B" w:rsidRPr="00BE2534" w:rsidRDefault="003F742B" w:rsidP="00EF2BB9">
      <w:pPr>
        <w:pStyle w:val="Paragraph"/>
        <w:spacing w:after="0"/>
        <w:rPr>
          <w:rFonts w:eastAsia="Calibri" w:cs="Calibri"/>
          <w:lang w:val="sq-AL"/>
        </w:rPr>
      </w:pPr>
    </w:p>
    <w:p w14:paraId="7BD48F29" w14:textId="77777777" w:rsidR="00EF2BB9" w:rsidRPr="003E303C" w:rsidRDefault="00EF2BB9" w:rsidP="00EF2BB9">
      <w:pPr>
        <w:pStyle w:val="Paragraph"/>
        <w:spacing w:after="0"/>
        <w:rPr>
          <w:rFonts w:eastAsia="Calibri" w:cs="Calibri"/>
          <w:lang w:val="sq-AL"/>
        </w:rPr>
      </w:pPr>
      <w:r w:rsidRPr="00BE2534">
        <w:rPr>
          <w:rFonts w:eastAsia="Calibri" w:cs="Calibri"/>
          <w:lang w:val="sq-AL"/>
        </w:rPr>
        <w:t>Për më tepër</w:t>
      </w:r>
      <w:r w:rsidRPr="003E303C">
        <w:rPr>
          <w:rFonts w:eastAsia="Calibri" w:cs="Calibri"/>
          <w:lang w:val="sq-AL"/>
        </w:rPr>
        <w:t>, prania e mbeturinave ushqimore në materialet e grumbulluara do të kërkojë zbatimin e teknologjive më të avancuara të trajtimit si sistemet e kompostimit të mbyllura ose tretja anaerobe. Metoda të tilla janë dukshëm më të shtrenjta në krahasim me kompostimin me dritare të hapur derisa do të kenë ndikim shtesë në tarifat për shërbimin e ofruar.</w:t>
      </w:r>
    </w:p>
    <w:p w14:paraId="28B5FDE8" w14:textId="03AB82C3" w:rsidR="00430A79" w:rsidRPr="009F5CA1" w:rsidRDefault="00EF2BB9" w:rsidP="00430A79">
      <w:pPr>
        <w:jc w:val="both"/>
        <w:rPr>
          <w:rFonts w:ascii="Arial Narrow" w:eastAsia="Calibri" w:hAnsi="Arial Narrow" w:cs="Calibri"/>
          <w:color w:val="000000" w:themeColor="text1"/>
          <w:sz w:val="22"/>
          <w:szCs w:val="22"/>
          <w:lang w:val="sq-AL"/>
        </w:rPr>
      </w:pPr>
      <w:r w:rsidRPr="003E303C">
        <w:rPr>
          <w:rFonts w:ascii="Arial Narrow" w:eastAsia="Calibri" w:hAnsi="Arial Narrow" w:cs="Calibri"/>
          <w:sz w:val="22"/>
          <w:szCs w:val="22"/>
          <w:lang w:val="sq-AL"/>
        </w:rPr>
        <w:t>Kostot e vlerësuara të investimit dhe ato operiacionale për ngritjen e një impianti të centralizuar të tretjes anaerobe ose impiantit të kompostimit të mbyllur me një kapacitet prej 3,500 tonë janë paraqitur në tabelën e mëposhtme</w:t>
      </w:r>
      <w:r w:rsidR="00430A79" w:rsidRPr="009F5CA1">
        <w:rPr>
          <w:rFonts w:ascii="Arial Narrow" w:eastAsia="Calibri" w:hAnsi="Arial Narrow" w:cs="Calibri"/>
          <w:color w:val="000000" w:themeColor="text1"/>
          <w:sz w:val="22"/>
          <w:szCs w:val="22"/>
          <w:lang w:val="sq-AL"/>
        </w:rPr>
        <w:t>.</w:t>
      </w:r>
    </w:p>
    <w:p w14:paraId="6E0136E4" w14:textId="77777777" w:rsidR="003E303C" w:rsidRPr="009F5CA1" w:rsidRDefault="003E303C" w:rsidP="00430A79">
      <w:pPr>
        <w:jc w:val="both"/>
        <w:rPr>
          <w:rFonts w:ascii="Arial Narrow" w:eastAsia="Calibri" w:hAnsi="Arial Narrow" w:cs="Calibri"/>
          <w:color w:val="000000" w:themeColor="text1"/>
          <w:sz w:val="22"/>
          <w:szCs w:val="22"/>
          <w:lang w:val="sq-AL"/>
        </w:rPr>
      </w:pPr>
    </w:p>
    <w:p w14:paraId="79DB78C8" w14:textId="77777777" w:rsidR="0030347F" w:rsidRPr="009F5CA1" w:rsidRDefault="0030347F" w:rsidP="00430A79">
      <w:pPr>
        <w:jc w:val="both"/>
        <w:rPr>
          <w:rFonts w:ascii="Arial Narrow" w:eastAsia="Calibri" w:hAnsi="Arial Narrow" w:cs="Calibri"/>
          <w:color w:val="000000" w:themeColor="text1"/>
          <w:sz w:val="22"/>
          <w:szCs w:val="22"/>
          <w:lang w:val="sq-AL"/>
        </w:rPr>
      </w:pPr>
    </w:p>
    <w:p w14:paraId="68DA78A8" w14:textId="0D174D37" w:rsidR="00430A79" w:rsidRPr="009F5CA1" w:rsidRDefault="00430A79" w:rsidP="00430A79">
      <w:pPr>
        <w:spacing w:after="120"/>
        <w:jc w:val="both"/>
        <w:rPr>
          <w:rFonts w:ascii="Arial Narrow" w:eastAsia="Calibri" w:hAnsi="Arial Narrow" w:cs="Calibri"/>
          <w:color w:val="1F497D"/>
          <w:sz w:val="20"/>
          <w:szCs w:val="20"/>
          <w:lang w:val="sq-AL"/>
        </w:rPr>
      </w:pPr>
      <w:bookmarkStart w:id="409" w:name="_Toc185866215"/>
      <w:bookmarkStart w:id="410" w:name="_Toc197472244"/>
      <w:r w:rsidRPr="009F5CA1">
        <w:rPr>
          <w:rFonts w:ascii="Arial Narrow" w:eastAsia="Calibri" w:hAnsi="Arial Narrow" w:cs="Calibri"/>
          <w:color w:val="1F497D"/>
          <w:sz w:val="20"/>
          <w:szCs w:val="20"/>
          <w:lang w:val="sq-AL"/>
        </w:rPr>
        <w:t xml:space="preserve">Tabela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lang w:val="sq-AL"/>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lang w:val="sq-AL"/>
        </w:rPr>
        <w:t xml:space="preserve">59. </w:t>
      </w:r>
      <w:r w:rsidRPr="00430A79">
        <w:rPr>
          <w:rFonts w:ascii="Arial Narrow" w:eastAsia="Calibri" w:hAnsi="Arial Narrow" w:cs="Calibri"/>
          <w:color w:val="1F497D"/>
          <w:sz w:val="20"/>
          <w:szCs w:val="20"/>
          <w:lang w:val="en-GB"/>
        </w:rPr>
        <w:fldChar w:fldCharType="end"/>
      </w:r>
      <w:r w:rsidRPr="009F5CA1">
        <w:rPr>
          <w:rFonts w:ascii="Arial Narrow" w:eastAsia="Calibri" w:hAnsi="Arial Narrow" w:cs="Calibri"/>
          <w:color w:val="1F497D"/>
          <w:sz w:val="20"/>
          <w:szCs w:val="20"/>
          <w:lang w:val="sq-AL"/>
        </w:rPr>
        <w:t>Krahasimi i kostos së alternativave për trajtimin e mbet</w:t>
      </w:r>
      <w:r w:rsidR="0030347F" w:rsidRPr="009F5CA1">
        <w:rPr>
          <w:rFonts w:ascii="Arial Narrow" w:eastAsia="Calibri" w:hAnsi="Arial Narrow" w:cs="Calibri"/>
          <w:color w:val="1F497D"/>
          <w:sz w:val="20"/>
          <w:szCs w:val="20"/>
          <w:lang w:val="sq-AL"/>
        </w:rPr>
        <w:t>urinave</w:t>
      </w:r>
      <w:r w:rsidRPr="009F5CA1">
        <w:rPr>
          <w:rFonts w:ascii="Arial Narrow" w:eastAsia="Calibri" w:hAnsi="Arial Narrow" w:cs="Calibri"/>
          <w:color w:val="1F497D"/>
          <w:sz w:val="20"/>
          <w:szCs w:val="20"/>
          <w:lang w:val="sq-AL"/>
        </w:rPr>
        <w:t xml:space="preserve"> ushqimore të mbledhura </w:t>
      </w:r>
      <w:r w:rsidR="0030347F" w:rsidRPr="009F5CA1">
        <w:rPr>
          <w:rFonts w:ascii="Arial Narrow" w:eastAsia="Calibri" w:hAnsi="Arial Narrow" w:cs="Calibri"/>
          <w:color w:val="1F497D"/>
          <w:sz w:val="20"/>
          <w:szCs w:val="20"/>
          <w:lang w:val="sq-AL"/>
        </w:rPr>
        <w:t>ndaras</w:t>
      </w:r>
      <w:bookmarkEnd w:id="409"/>
      <w:bookmarkEnd w:id="410"/>
    </w:p>
    <w:tbl>
      <w:tblPr>
        <w:tblStyle w:val="TableGrid"/>
        <w:tblW w:w="0" w:type="auto"/>
        <w:tblLook w:val="04A0" w:firstRow="1" w:lastRow="0" w:firstColumn="1" w:lastColumn="0" w:noHBand="0" w:noVBand="1"/>
      </w:tblPr>
      <w:tblGrid>
        <w:gridCol w:w="3005"/>
        <w:gridCol w:w="2802"/>
        <w:gridCol w:w="3209"/>
      </w:tblGrid>
      <w:tr w:rsidR="00430A79" w:rsidRPr="00430A79" w14:paraId="0337B9CB" w14:textId="77777777" w:rsidTr="003E303C">
        <w:tc>
          <w:tcPr>
            <w:tcW w:w="3005" w:type="dxa"/>
            <w:shd w:val="clear" w:color="auto" w:fill="365F91"/>
          </w:tcPr>
          <w:p w14:paraId="2053BAE5" w14:textId="77777777" w:rsidR="00430A79" w:rsidRPr="00430A79" w:rsidRDefault="00430A79" w:rsidP="00430A79">
            <w:pPr>
              <w:rPr>
                <w:b/>
                <w:bCs/>
                <w:color w:val="FFFFFF" w:themeColor="background1"/>
                <w:sz w:val="20"/>
                <w:szCs w:val="20"/>
              </w:rPr>
            </w:pPr>
            <w:r w:rsidRPr="00430A79">
              <w:rPr>
                <w:rFonts w:ascii="Arial Narrow" w:hAnsi="Arial Narrow"/>
                <w:b/>
                <w:bCs/>
                <w:color w:val="FFFFFF" w:themeColor="background1"/>
                <w:sz w:val="20"/>
                <w:szCs w:val="20"/>
              </w:rPr>
              <w:t>Parametri</w:t>
            </w:r>
          </w:p>
        </w:tc>
        <w:tc>
          <w:tcPr>
            <w:tcW w:w="2802" w:type="dxa"/>
            <w:shd w:val="clear" w:color="auto" w:fill="365F91"/>
          </w:tcPr>
          <w:p w14:paraId="4735B251" w14:textId="4DFEF0D8" w:rsidR="00430A79" w:rsidRPr="00430A79" w:rsidRDefault="00430A79" w:rsidP="00430A79">
            <w:pPr>
              <w:rPr>
                <w:b/>
                <w:bCs/>
                <w:color w:val="FFFFFF" w:themeColor="background1"/>
                <w:sz w:val="20"/>
                <w:szCs w:val="20"/>
              </w:rPr>
            </w:pPr>
            <w:r w:rsidRPr="00430A79">
              <w:rPr>
                <w:rFonts w:ascii="Arial Narrow" w:hAnsi="Arial Narrow"/>
                <w:b/>
                <w:bCs/>
                <w:color w:val="FFFFFF" w:themeColor="background1"/>
                <w:sz w:val="20"/>
                <w:szCs w:val="20"/>
              </w:rPr>
              <w:t>Impiant</w:t>
            </w:r>
            <w:r w:rsidR="003E303C">
              <w:rPr>
                <w:rFonts w:ascii="Arial Narrow" w:hAnsi="Arial Narrow"/>
                <w:b/>
                <w:bCs/>
                <w:color w:val="FFFFFF" w:themeColor="background1"/>
                <w:sz w:val="20"/>
                <w:szCs w:val="20"/>
              </w:rPr>
              <w:t xml:space="preserve"> për</w:t>
            </w:r>
            <w:r w:rsidRPr="00430A79">
              <w:rPr>
                <w:rFonts w:ascii="Arial Narrow" w:hAnsi="Arial Narrow"/>
                <w:b/>
                <w:bCs/>
                <w:color w:val="FFFFFF" w:themeColor="background1"/>
                <w:sz w:val="20"/>
                <w:szCs w:val="20"/>
              </w:rPr>
              <w:t xml:space="preserve"> </w:t>
            </w:r>
            <w:r w:rsidR="003E303C">
              <w:rPr>
                <w:rFonts w:ascii="Arial Narrow" w:hAnsi="Arial Narrow"/>
                <w:b/>
                <w:bCs/>
                <w:color w:val="FFFFFF" w:themeColor="background1"/>
                <w:sz w:val="20"/>
                <w:szCs w:val="20"/>
              </w:rPr>
              <w:t>t</w:t>
            </w:r>
            <w:r w:rsidRPr="00430A79">
              <w:rPr>
                <w:rFonts w:ascii="Arial Narrow" w:hAnsi="Arial Narrow"/>
                <w:b/>
                <w:bCs/>
                <w:color w:val="FFFFFF" w:themeColor="background1"/>
                <w:sz w:val="20"/>
                <w:szCs w:val="20"/>
              </w:rPr>
              <w:t>retje anaerobe</w:t>
            </w:r>
            <w:r w:rsidRPr="00430A79">
              <w:rPr>
                <w:rFonts w:ascii="Arial" w:hAnsi="Arial"/>
                <w:b/>
                <w:bCs/>
                <w:color w:val="4472C4" w:themeColor="accent1"/>
                <w:position w:val="6"/>
                <w:sz w:val="16"/>
                <w:szCs w:val="20"/>
              </w:rPr>
              <w:footnoteReference w:id="31"/>
            </w:r>
          </w:p>
        </w:tc>
        <w:tc>
          <w:tcPr>
            <w:tcW w:w="3209" w:type="dxa"/>
            <w:shd w:val="clear" w:color="auto" w:fill="365F91"/>
          </w:tcPr>
          <w:p w14:paraId="7206A012" w14:textId="4F44CD9B" w:rsidR="00430A79" w:rsidRPr="00430A79" w:rsidRDefault="00430A79" w:rsidP="00430A79">
            <w:pPr>
              <w:rPr>
                <w:b/>
                <w:bCs/>
                <w:color w:val="FFFFFF" w:themeColor="background1"/>
                <w:sz w:val="20"/>
                <w:szCs w:val="20"/>
              </w:rPr>
            </w:pPr>
            <w:r w:rsidRPr="00430A79">
              <w:rPr>
                <w:rFonts w:ascii="Arial Narrow" w:hAnsi="Arial Narrow"/>
                <w:b/>
                <w:bCs/>
                <w:color w:val="FFFFFF" w:themeColor="background1"/>
                <w:sz w:val="20"/>
                <w:szCs w:val="20"/>
              </w:rPr>
              <w:t xml:space="preserve">Kompostimi në </w:t>
            </w:r>
            <w:r w:rsidR="003E303C">
              <w:rPr>
                <w:rFonts w:ascii="Arial Narrow" w:hAnsi="Arial Narrow"/>
                <w:b/>
                <w:bCs/>
                <w:color w:val="FFFFFF" w:themeColor="background1"/>
                <w:sz w:val="20"/>
                <w:szCs w:val="20"/>
              </w:rPr>
              <w:t>kontejnerë të veçantë</w:t>
            </w:r>
          </w:p>
        </w:tc>
      </w:tr>
      <w:tr w:rsidR="00430A79" w:rsidRPr="00430A79" w14:paraId="284464AB" w14:textId="77777777" w:rsidTr="003E303C">
        <w:tc>
          <w:tcPr>
            <w:tcW w:w="3005" w:type="dxa"/>
          </w:tcPr>
          <w:p w14:paraId="0BDF5FEA" w14:textId="77777777" w:rsidR="00430A79" w:rsidRPr="00430A79" w:rsidRDefault="00430A79" w:rsidP="00430A79">
            <w:pPr>
              <w:rPr>
                <w:color w:val="000000"/>
                <w:sz w:val="20"/>
                <w:szCs w:val="20"/>
              </w:rPr>
            </w:pPr>
            <w:r w:rsidRPr="00430A79">
              <w:rPr>
                <w:rFonts w:ascii="Arial Narrow" w:hAnsi="Arial Narrow"/>
                <w:color w:val="000000"/>
                <w:sz w:val="20"/>
                <w:szCs w:val="20"/>
              </w:rPr>
              <w:t xml:space="preserve">Kostot e investimit, mijë </w:t>
            </w:r>
            <w:r w:rsidRPr="00430A79">
              <w:rPr>
                <w:rFonts w:ascii="Calibri" w:hAnsi="Calibri" w:cs="Calibri"/>
                <w:color w:val="000000"/>
                <w:sz w:val="20"/>
                <w:szCs w:val="20"/>
              </w:rPr>
              <w:t>€</w:t>
            </w:r>
          </w:p>
        </w:tc>
        <w:tc>
          <w:tcPr>
            <w:tcW w:w="2802" w:type="dxa"/>
          </w:tcPr>
          <w:p w14:paraId="136F4C36" w14:textId="77777777" w:rsidR="00430A79" w:rsidRPr="00430A79" w:rsidRDefault="00430A79" w:rsidP="00430A79">
            <w:pPr>
              <w:rPr>
                <w:color w:val="000000"/>
                <w:sz w:val="20"/>
                <w:szCs w:val="20"/>
              </w:rPr>
            </w:pPr>
            <w:r w:rsidRPr="00430A79">
              <w:rPr>
                <w:rFonts w:ascii="Arial Narrow" w:hAnsi="Arial Narrow"/>
                <w:color w:val="000000"/>
                <w:sz w:val="20"/>
                <w:szCs w:val="20"/>
              </w:rPr>
              <w:t>3,904</w:t>
            </w:r>
          </w:p>
        </w:tc>
        <w:tc>
          <w:tcPr>
            <w:tcW w:w="3209" w:type="dxa"/>
          </w:tcPr>
          <w:p w14:paraId="2FCB6091" w14:textId="77777777" w:rsidR="00430A79" w:rsidRPr="00430A79" w:rsidRDefault="00430A79" w:rsidP="00430A79">
            <w:pPr>
              <w:rPr>
                <w:color w:val="000000"/>
                <w:sz w:val="20"/>
                <w:szCs w:val="20"/>
              </w:rPr>
            </w:pPr>
            <w:r w:rsidRPr="00430A79">
              <w:rPr>
                <w:rFonts w:ascii="Arial Narrow" w:hAnsi="Arial Narrow"/>
                <w:color w:val="000000"/>
                <w:sz w:val="20"/>
                <w:szCs w:val="20"/>
              </w:rPr>
              <w:t>2,503</w:t>
            </w:r>
          </w:p>
        </w:tc>
      </w:tr>
      <w:tr w:rsidR="00430A79" w:rsidRPr="00430A79" w14:paraId="43B52BFC" w14:textId="77777777" w:rsidTr="003E303C">
        <w:tc>
          <w:tcPr>
            <w:tcW w:w="3005" w:type="dxa"/>
          </w:tcPr>
          <w:p w14:paraId="62D6C8FA" w14:textId="77777777" w:rsidR="00430A79" w:rsidRPr="00430A79" w:rsidRDefault="00430A79" w:rsidP="00430A79">
            <w:pPr>
              <w:rPr>
                <w:color w:val="000000"/>
                <w:sz w:val="20"/>
                <w:szCs w:val="20"/>
              </w:rPr>
            </w:pPr>
            <w:r w:rsidRPr="00430A79">
              <w:rPr>
                <w:rFonts w:ascii="Arial Narrow" w:hAnsi="Arial Narrow"/>
                <w:color w:val="000000"/>
                <w:sz w:val="20"/>
                <w:szCs w:val="20"/>
              </w:rPr>
              <w:t xml:space="preserve">Shpenzimet operative vjetore, mijë </w:t>
            </w:r>
            <w:r w:rsidRPr="00430A79">
              <w:rPr>
                <w:rFonts w:ascii="Calibri" w:hAnsi="Calibri" w:cs="Calibri"/>
                <w:color w:val="000000"/>
                <w:sz w:val="20"/>
                <w:szCs w:val="20"/>
              </w:rPr>
              <w:t>€</w:t>
            </w:r>
          </w:p>
        </w:tc>
        <w:tc>
          <w:tcPr>
            <w:tcW w:w="2802" w:type="dxa"/>
          </w:tcPr>
          <w:p w14:paraId="64E900A3" w14:textId="77777777" w:rsidR="00430A79" w:rsidRPr="00430A79" w:rsidRDefault="00430A79" w:rsidP="00430A79">
            <w:pPr>
              <w:rPr>
                <w:color w:val="000000"/>
                <w:sz w:val="20"/>
                <w:szCs w:val="20"/>
              </w:rPr>
            </w:pPr>
            <w:r w:rsidRPr="00430A79">
              <w:rPr>
                <w:rFonts w:ascii="Arial Narrow" w:hAnsi="Arial Narrow"/>
                <w:color w:val="000000"/>
                <w:sz w:val="20"/>
                <w:szCs w:val="20"/>
              </w:rPr>
              <w:t>471</w:t>
            </w:r>
          </w:p>
        </w:tc>
        <w:tc>
          <w:tcPr>
            <w:tcW w:w="3209" w:type="dxa"/>
          </w:tcPr>
          <w:p w14:paraId="59CA5F41" w14:textId="77777777" w:rsidR="00430A79" w:rsidRPr="00430A79" w:rsidRDefault="00430A79" w:rsidP="00430A79">
            <w:pPr>
              <w:rPr>
                <w:color w:val="000000"/>
                <w:sz w:val="20"/>
                <w:szCs w:val="20"/>
              </w:rPr>
            </w:pPr>
            <w:r w:rsidRPr="00430A79">
              <w:rPr>
                <w:rFonts w:ascii="Arial Narrow" w:hAnsi="Arial Narrow"/>
                <w:color w:val="000000"/>
                <w:sz w:val="20"/>
                <w:szCs w:val="20"/>
              </w:rPr>
              <w:t>333</w:t>
            </w:r>
          </w:p>
        </w:tc>
      </w:tr>
    </w:tbl>
    <w:p w14:paraId="1865478E" w14:textId="77777777" w:rsidR="00430A79" w:rsidRPr="00430A79" w:rsidRDefault="00430A79" w:rsidP="00430A79">
      <w:pPr>
        <w:jc w:val="both"/>
        <w:rPr>
          <w:rFonts w:ascii="Arial Narrow" w:eastAsia="Calibri" w:hAnsi="Arial Narrow" w:cs="Calibri"/>
          <w:color w:val="000000" w:themeColor="text1"/>
          <w:sz w:val="22"/>
          <w:szCs w:val="22"/>
          <w:lang w:val="en-GB"/>
        </w:rPr>
      </w:pPr>
    </w:p>
    <w:p w14:paraId="0076C05F" w14:textId="2969B76E" w:rsidR="00430A79" w:rsidRPr="00430A79" w:rsidRDefault="00430A79" w:rsidP="00430A79">
      <w:pPr>
        <w:jc w:val="both"/>
        <w:rPr>
          <w:rFonts w:ascii="Arial Narrow" w:eastAsia="Calibri" w:hAnsi="Arial Narrow" w:cs="Calibri"/>
          <w:color w:val="000000" w:themeColor="text1"/>
          <w:sz w:val="22"/>
          <w:szCs w:val="22"/>
          <w:lang w:val="en-GB"/>
        </w:rPr>
      </w:pPr>
      <w:proofErr w:type="spellStart"/>
      <w:r w:rsidRPr="00430A79">
        <w:rPr>
          <w:rFonts w:ascii="Arial Narrow" w:eastAsia="Calibri" w:hAnsi="Arial Narrow" w:cs="Calibri"/>
          <w:color w:val="000000" w:themeColor="text1"/>
          <w:sz w:val="22"/>
          <w:szCs w:val="22"/>
          <w:lang w:val="en-GB"/>
        </w:rPr>
        <w:lastRenderedPageBreak/>
        <w:t>Impianti</w:t>
      </w:r>
      <w:proofErr w:type="spellEnd"/>
      <w:r w:rsidRPr="00430A79">
        <w:rPr>
          <w:rFonts w:ascii="Arial Narrow" w:eastAsia="Calibri" w:hAnsi="Arial Narrow" w:cs="Calibri"/>
          <w:color w:val="000000" w:themeColor="text1"/>
          <w:sz w:val="22"/>
          <w:szCs w:val="22"/>
          <w:lang w:val="en-GB"/>
        </w:rPr>
        <w:t xml:space="preserve"> i </w:t>
      </w:r>
      <w:r w:rsidR="003E303C">
        <w:rPr>
          <w:rFonts w:ascii="Arial Narrow" w:eastAsia="Calibri" w:hAnsi="Arial Narrow" w:cs="Calibri"/>
          <w:color w:val="000000" w:themeColor="text1"/>
          <w:sz w:val="22"/>
          <w:szCs w:val="22"/>
          <w:lang w:val="en-GB"/>
        </w:rPr>
        <w:t>T</w:t>
      </w:r>
      <w:r w:rsidRPr="00430A79">
        <w:rPr>
          <w:rFonts w:ascii="Arial Narrow" w:eastAsia="Calibri" w:hAnsi="Arial Narrow" w:cs="Calibri"/>
          <w:color w:val="000000" w:themeColor="text1"/>
          <w:sz w:val="22"/>
          <w:szCs w:val="22"/>
          <w:lang w:val="en-GB"/>
        </w:rPr>
        <w:t xml:space="preserve">A ka </w:t>
      </w:r>
      <w:proofErr w:type="spellStart"/>
      <w:r w:rsidRPr="00430A79">
        <w:rPr>
          <w:rFonts w:ascii="Arial Narrow" w:eastAsia="Calibri" w:hAnsi="Arial Narrow" w:cs="Calibri"/>
          <w:color w:val="000000" w:themeColor="text1"/>
          <w:sz w:val="22"/>
          <w:szCs w:val="22"/>
          <w:lang w:val="en-GB"/>
        </w:rPr>
        <w:t>investim</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fillestar</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dhe</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kosto</w:t>
      </w:r>
      <w:proofErr w:type="spellEnd"/>
      <w:r w:rsidRPr="00430A79">
        <w:rPr>
          <w:rFonts w:ascii="Arial Narrow" w:eastAsia="Calibri" w:hAnsi="Arial Narrow" w:cs="Calibri"/>
          <w:color w:val="000000" w:themeColor="text1"/>
          <w:sz w:val="22"/>
          <w:szCs w:val="22"/>
          <w:lang w:val="en-GB"/>
        </w:rPr>
        <w:t xml:space="preserve"> operative </w:t>
      </w:r>
      <w:proofErr w:type="spellStart"/>
      <w:r w:rsidRPr="00430A79">
        <w:rPr>
          <w:rFonts w:ascii="Arial Narrow" w:eastAsia="Calibri" w:hAnsi="Arial Narrow" w:cs="Calibri"/>
          <w:color w:val="000000" w:themeColor="text1"/>
          <w:sz w:val="22"/>
          <w:szCs w:val="22"/>
          <w:lang w:val="en-GB"/>
        </w:rPr>
        <w:t>më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të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larta</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krahasuar</w:t>
      </w:r>
      <w:proofErr w:type="spellEnd"/>
      <w:r w:rsidRPr="00430A79">
        <w:rPr>
          <w:rFonts w:ascii="Arial Narrow" w:eastAsia="Calibri" w:hAnsi="Arial Narrow" w:cs="Calibri"/>
          <w:color w:val="000000" w:themeColor="text1"/>
          <w:sz w:val="22"/>
          <w:szCs w:val="22"/>
          <w:lang w:val="en-GB"/>
        </w:rPr>
        <w:t xml:space="preserve"> me </w:t>
      </w:r>
      <w:proofErr w:type="spellStart"/>
      <w:r w:rsidRPr="00430A79">
        <w:rPr>
          <w:rFonts w:ascii="Arial Narrow" w:eastAsia="Calibri" w:hAnsi="Arial Narrow" w:cs="Calibri"/>
          <w:color w:val="000000" w:themeColor="text1"/>
          <w:sz w:val="22"/>
          <w:szCs w:val="22"/>
          <w:lang w:val="en-GB"/>
        </w:rPr>
        <w:t>instalimin</w:t>
      </w:r>
      <w:proofErr w:type="spellEnd"/>
      <w:r w:rsidRPr="00430A79">
        <w:rPr>
          <w:rFonts w:ascii="Arial Narrow" w:eastAsia="Calibri" w:hAnsi="Arial Narrow" w:cs="Calibri"/>
          <w:color w:val="000000" w:themeColor="text1"/>
          <w:sz w:val="22"/>
          <w:szCs w:val="22"/>
          <w:lang w:val="en-GB"/>
        </w:rPr>
        <w:t xml:space="preserve"> e </w:t>
      </w:r>
      <w:proofErr w:type="spellStart"/>
      <w:r w:rsidRPr="00430A79">
        <w:rPr>
          <w:rFonts w:ascii="Arial Narrow" w:eastAsia="Calibri" w:hAnsi="Arial Narrow" w:cs="Calibri"/>
          <w:color w:val="000000" w:themeColor="text1"/>
          <w:sz w:val="22"/>
          <w:szCs w:val="22"/>
          <w:lang w:val="en-GB"/>
        </w:rPr>
        <w:t>kompostimit</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në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enë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Megjithatë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nuk</w:t>
      </w:r>
      <w:proofErr w:type="spellEnd"/>
      <w:r w:rsidRPr="00430A79">
        <w:rPr>
          <w:rFonts w:ascii="Arial Narrow" w:eastAsia="Calibri" w:hAnsi="Arial Narrow" w:cs="Calibri"/>
          <w:color w:val="000000" w:themeColor="text1"/>
          <w:sz w:val="22"/>
          <w:szCs w:val="22"/>
          <w:lang w:val="en-GB"/>
        </w:rPr>
        <w:t xml:space="preserve"> do </w:t>
      </w:r>
      <w:proofErr w:type="spellStart"/>
      <w:r w:rsidRPr="00430A79">
        <w:rPr>
          <w:rFonts w:ascii="Arial Narrow" w:eastAsia="Calibri" w:hAnsi="Arial Narrow" w:cs="Calibri"/>
          <w:color w:val="000000" w:themeColor="text1"/>
          <w:sz w:val="22"/>
          <w:szCs w:val="22"/>
          <w:lang w:val="en-GB"/>
        </w:rPr>
        <w:t>të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ketë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ndonjë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ndryshim</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të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rëndësishëm</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në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kosto</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nëse</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merren</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parasysh</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të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ardhurat</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nga</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shitjet</w:t>
      </w:r>
      <w:proofErr w:type="spellEnd"/>
      <w:r w:rsidRPr="00430A79">
        <w:rPr>
          <w:rFonts w:ascii="Arial Narrow" w:eastAsia="Calibri" w:hAnsi="Arial Narrow" w:cs="Calibri"/>
          <w:color w:val="000000" w:themeColor="text1"/>
          <w:sz w:val="22"/>
          <w:szCs w:val="22"/>
          <w:lang w:val="en-GB"/>
        </w:rPr>
        <w:t xml:space="preserve"> e </w:t>
      </w:r>
      <w:proofErr w:type="spellStart"/>
      <w:r w:rsidRPr="00430A79">
        <w:rPr>
          <w:rFonts w:ascii="Arial Narrow" w:eastAsia="Calibri" w:hAnsi="Arial Narrow" w:cs="Calibri"/>
          <w:color w:val="000000" w:themeColor="text1"/>
          <w:sz w:val="22"/>
          <w:szCs w:val="22"/>
          <w:lang w:val="en-GB"/>
        </w:rPr>
        <w:t>energjisë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elektrike</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të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prodhuar</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nga</w:t>
      </w:r>
      <w:proofErr w:type="spellEnd"/>
      <w:r w:rsidRPr="00430A79">
        <w:rPr>
          <w:rFonts w:ascii="Arial Narrow" w:eastAsia="Calibri" w:hAnsi="Arial Narrow" w:cs="Calibri"/>
          <w:color w:val="000000" w:themeColor="text1"/>
          <w:sz w:val="22"/>
          <w:szCs w:val="22"/>
          <w:lang w:val="en-GB"/>
        </w:rPr>
        <w:t xml:space="preserve"> </w:t>
      </w:r>
      <w:r w:rsidR="003E303C">
        <w:rPr>
          <w:rFonts w:ascii="Arial Narrow" w:eastAsia="Calibri" w:hAnsi="Arial Narrow" w:cs="Calibri"/>
          <w:color w:val="000000" w:themeColor="text1"/>
          <w:sz w:val="22"/>
          <w:szCs w:val="22"/>
          <w:lang w:val="en-GB"/>
        </w:rPr>
        <w:t>T</w:t>
      </w:r>
      <w:r w:rsidRPr="00430A79">
        <w:rPr>
          <w:rFonts w:ascii="Arial Narrow" w:eastAsia="Calibri" w:hAnsi="Arial Narrow" w:cs="Calibri"/>
          <w:color w:val="000000" w:themeColor="text1"/>
          <w:sz w:val="22"/>
          <w:szCs w:val="22"/>
          <w:lang w:val="en-GB"/>
        </w:rPr>
        <w:t xml:space="preserve">A, </w:t>
      </w:r>
      <w:proofErr w:type="spellStart"/>
      <w:r w:rsidRPr="00430A79">
        <w:rPr>
          <w:rFonts w:ascii="Arial Narrow" w:eastAsia="Calibri" w:hAnsi="Arial Narrow" w:cs="Calibri"/>
          <w:color w:val="000000" w:themeColor="text1"/>
          <w:sz w:val="22"/>
          <w:szCs w:val="22"/>
          <w:lang w:val="en-GB"/>
        </w:rPr>
        <w:t>të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cilat</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pritet</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të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mbulojnë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afërsisht</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gjysmën</w:t>
      </w:r>
      <w:proofErr w:type="spellEnd"/>
      <w:r w:rsidRPr="00430A79">
        <w:rPr>
          <w:rFonts w:ascii="Arial Narrow" w:eastAsia="Calibri" w:hAnsi="Arial Narrow" w:cs="Calibri"/>
          <w:color w:val="000000" w:themeColor="text1"/>
          <w:sz w:val="22"/>
          <w:szCs w:val="22"/>
          <w:lang w:val="en-GB"/>
        </w:rPr>
        <w:t xml:space="preserve"> e </w:t>
      </w:r>
      <w:proofErr w:type="spellStart"/>
      <w:r w:rsidRPr="00430A79">
        <w:rPr>
          <w:rFonts w:ascii="Arial Narrow" w:eastAsia="Calibri" w:hAnsi="Arial Narrow" w:cs="Calibri"/>
          <w:color w:val="000000" w:themeColor="text1"/>
          <w:sz w:val="22"/>
          <w:szCs w:val="22"/>
          <w:lang w:val="en-GB"/>
        </w:rPr>
        <w:t>kostove</w:t>
      </w:r>
      <w:proofErr w:type="spellEnd"/>
      <w:r w:rsidRPr="00430A79">
        <w:rPr>
          <w:rFonts w:ascii="Arial Narrow" w:eastAsia="Calibri" w:hAnsi="Arial Narrow" w:cs="Calibri"/>
          <w:color w:val="000000" w:themeColor="text1"/>
          <w:sz w:val="22"/>
          <w:szCs w:val="22"/>
          <w:lang w:val="en-GB"/>
        </w:rPr>
        <w:t xml:space="preserve"> operative.</w:t>
      </w:r>
    </w:p>
    <w:p w14:paraId="66BEAF50" w14:textId="66E3AD48" w:rsidR="00430A79" w:rsidRDefault="00430A79" w:rsidP="00430A79">
      <w:pPr>
        <w:jc w:val="both"/>
        <w:rPr>
          <w:rFonts w:ascii="Arial Narrow" w:eastAsia="Calibri" w:hAnsi="Arial Narrow" w:cs="Calibri"/>
          <w:color w:val="000000" w:themeColor="text1"/>
          <w:sz w:val="22"/>
          <w:szCs w:val="22"/>
          <w:lang w:val="en-GB"/>
        </w:rPr>
      </w:pPr>
      <w:r w:rsidRPr="00430A79">
        <w:rPr>
          <w:rFonts w:ascii="Arial Narrow" w:eastAsia="Calibri" w:hAnsi="Arial Narrow" w:cs="Calibri"/>
          <w:color w:val="000000" w:themeColor="text1"/>
          <w:sz w:val="22"/>
          <w:szCs w:val="22"/>
          <w:lang w:val="en-GB"/>
        </w:rPr>
        <w:t xml:space="preserve">Nga ana </w:t>
      </w:r>
      <w:proofErr w:type="spellStart"/>
      <w:r w:rsidRPr="00430A79">
        <w:rPr>
          <w:rFonts w:ascii="Arial Narrow" w:eastAsia="Calibri" w:hAnsi="Arial Narrow" w:cs="Calibri"/>
          <w:color w:val="000000" w:themeColor="text1"/>
          <w:sz w:val="22"/>
          <w:szCs w:val="22"/>
          <w:lang w:val="en-GB"/>
        </w:rPr>
        <w:t>tjetër</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kompostimi</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në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enë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mund</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të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kombinohet</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lehtësisht</w:t>
      </w:r>
      <w:proofErr w:type="spellEnd"/>
      <w:r w:rsidRPr="00430A79">
        <w:rPr>
          <w:rFonts w:ascii="Arial Narrow" w:eastAsia="Calibri" w:hAnsi="Arial Narrow" w:cs="Calibri"/>
          <w:color w:val="000000" w:themeColor="text1"/>
          <w:sz w:val="22"/>
          <w:szCs w:val="22"/>
          <w:lang w:val="en-GB"/>
        </w:rPr>
        <w:t xml:space="preserve"> me </w:t>
      </w:r>
      <w:proofErr w:type="spellStart"/>
      <w:r w:rsidRPr="00430A79">
        <w:rPr>
          <w:rFonts w:ascii="Arial Narrow" w:eastAsia="Calibri" w:hAnsi="Arial Narrow" w:cs="Calibri"/>
          <w:color w:val="000000" w:themeColor="text1"/>
          <w:sz w:val="22"/>
          <w:szCs w:val="22"/>
          <w:lang w:val="en-GB"/>
        </w:rPr>
        <w:t>impiantin</w:t>
      </w:r>
      <w:proofErr w:type="spellEnd"/>
      <w:r w:rsidRPr="00430A79">
        <w:rPr>
          <w:rFonts w:ascii="Arial Narrow" w:eastAsia="Calibri" w:hAnsi="Arial Narrow" w:cs="Calibri"/>
          <w:color w:val="000000" w:themeColor="text1"/>
          <w:sz w:val="22"/>
          <w:szCs w:val="22"/>
          <w:lang w:val="en-GB"/>
        </w:rPr>
        <w:t xml:space="preserve"> </w:t>
      </w:r>
      <w:r w:rsidR="003E303C">
        <w:rPr>
          <w:rFonts w:ascii="Arial Narrow" w:eastAsia="Calibri" w:hAnsi="Arial Narrow" w:cs="Calibri"/>
          <w:color w:val="000000" w:themeColor="text1"/>
          <w:sz w:val="22"/>
          <w:szCs w:val="22"/>
          <w:lang w:val="en-GB"/>
        </w:rPr>
        <w:t>T</w:t>
      </w:r>
      <w:r w:rsidRPr="00430A79">
        <w:rPr>
          <w:rFonts w:ascii="Arial Narrow" w:eastAsia="Calibri" w:hAnsi="Arial Narrow" w:cs="Calibri"/>
          <w:color w:val="000000" w:themeColor="text1"/>
          <w:sz w:val="22"/>
          <w:szCs w:val="22"/>
          <w:lang w:val="en-GB"/>
        </w:rPr>
        <w:t xml:space="preserve">MB </w:t>
      </w:r>
      <w:proofErr w:type="spellStart"/>
      <w:r w:rsidRPr="00430A79">
        <w:rPr>
          <w:rFonts w:ascii="Arial Narrow" w:eastAsia="Calibri" w:hAnsi="Arial Narrow" w:cs="Calibri"/>
          <w:color w:val="000000" w:themeColor="text1"/>
          <w:sz w:val="22"/>
          <w:szCs w:val="22"/>
          <w:lang w:val="en-GB"/>
        </w:rPr>
        <w:t>ose</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instalimin</w:t>
      </w:r>
      <w:proofErr w:type="spellEnd"/>
      <w:r w:rsidRPr="00430A79">
        <w:rPr>
          <w:rFonts w:ascii="Arial Narrow" w:eastAsia="Calibri" w:hAnsi="Arial Narrow" w:cs="Calibri"/>
          <w:color w:val="000000" w:themeColor="text1"/>
          <w:sz w:val="22"/>
          <w:szCs w:val="22"/>
          <w:lang w:val="en-GB"/>
        </w:rPr>
        <w:t xml:space="preserve"> e </w:t>
      </w:r>
      <w:proofErr w:type="spellStart"/>
      <w:r w:rsidRPr="00430A79">
        <w:rPr>
          <w:rFonts w:ascii="Arial Narrow" w:eastAsia="Calibri" w:hAnsi="Arial Narrow" w:cs="Calibri"/>
          <w:color w:val="000000" w:themeColor="text1"/>
          <w:sz w:val="22"/>
          <w:szCs w:val="22"/>
          <w:lang w:val="en-GB"/>
        </w:rPr>
        <w:t>kompostimit</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të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mbeturinave</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të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gjelbra</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në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komunën</w:t>
      </w:r>
      <w:proofErr w:type="spellEnd"/>
      <w:r w:rsidRPr="00430A79">
        <w:rPr>
          <w:rFonts w:ascii="Arial Narrow" w:eastAsia="Calibri" w:hAnsi="Arial Narrow" w:cs="Calibri"/>
          <w:color w:val="000000" w:themeColor="text1"/>
          <w:sz w:val="22"/>
          <w:szCs w:val="22"/>
          <w:lang w:val="en-GB"/>
        </w:rPr>
        <w:t xml:space="preserve"> e </w:t>
      </w:r>
      <w:proofErr w:type="spellStart"/>
      <w:r w:rsidRPr="00430A79">
        <w:rPr>
          <w:rFonts w:ascii="Arial Narrow" w:eastAsia="Calibri" w:hAnsi="Arial Narrow" w:cs="Calibri"/>
          <w:color w:val="000000" w:themeColor="text1"/>
          <w:sz w:val="22"/>
          <w:szCs w:val="22"/>
          <w:lang w:val="en-GB"/>
        </w:rPr>
        <w:t>Pejës</w:t>
      </w:r>
      <w:proofErr w:type="spellEnd"/>
      <w:r w:rsidRPr="00430A79">
        <w:rPr>
          <w:rFonts w:ascii="Arial Narrow" w:eastAsia="Calibri" w:hAnsi="Arial Narrow" w:cs="Calibri"/>
          <w:color w:val="000000" w:themeColor="text1"/>
          <w:sz w:val="22"/>
          <w:szCs w:val="22"/>
          <w:lang w:val="en-GB"/>
        </w:rPr>
        <w:t>.</w:t>
      </w:r>
    </w:p>
    <w:p w14:paraId="0B4EA2DE" w14:textId="77777777" w:rsidR="003F742B" w:rsidRPr="00430A79" w:rsidRDefault="003F742B" w:rsidP="00430A79">
      <w:pPr>
        <w:jc w:val="both"/>
        <w:rPr>
          <w:rFonts w:ascii="Arial Narrow" w:eastAsia="Calibri" w:hAnsi="Arial Narrow" w:cs="Calibri"/>
          <w:color w:val="000000" w:themeColor="text1"/>
          <w:sz w:val="22"/>
          <w:szCs w:val="22"/>
          <w:lang w:val="en-GB"/>
        </w:rPr>
      </w:pPr>
    </w:p>
    <w:p w14:paraId="27C3D5F8" w14:textId="77777777" w:rsidR="00430A79" w:rsidRPr="00430A79" w:rsidRDefault="00430A79" w:rsidP="000D7AD0">
      <w:pPr>
        <w:pStyle w:val="Heading2"/>
      </w:pPr>
      <w:bookmarkStart w:id="411" w:name="_Toc185866131"/>
      <w:bookmarkStart w:id="412" w:name="_Toc197472022"/>
      <w:r w:rsidRPr="00430A79">
        <w:t>Deponimi i mbeturinave</w:t>
      </w:r>
      <w:bookmarkEnd w:id="411"/>
      <w:bookmarkEnd w:id="412"/>
    </w:p>
    <w:p w14:paraId="1D5E7E34" w14:textId="3C7D6375" w:rsidR="00430A79" w:rsidRPr="003E303C" w:rsidRDefault="003E303C" w:rsidP="000D7AD0">
      <w:pPr>
        <w:pStyle w:val="Heading3"/>
      </w:pPr>
      <w:bookmarkStart w:id="413" w:name="_Toc185866132"/>
      <w:bookmarkStart w:id="414" w:name="_Toc197472023"/>
      <w:r w:rsidRPr="003E303C">
        <w:t>Gjendja</w:t>
      </w:r>
      <w:r w:rsidR="00430A79" w:rsidRPr="003E303C">
        <w:t xml:space="preserve"> aktuale</w:t>
      </w:r>
      <w:bookmarkEnd w:id="413"/>
      <w:bookmarkEnd w:id="414"/>
    </w:p>
    <w:p w14:paraId="5B0F1BDA" w14:textId="77777777" w:rsidR="003F742B" w:rsidRDefault="003F742B" w:rsidP="00430A79">
      <w:pPr>
        <w:jc w:val="both"/>
        <w:rPr>
          <w:rFonts w:ascii="Arial Narrow" w:eastAsia="Calibri" w:hAnsi="Arial Narrow" w:cs="Calibri"/>
          <w:sz w:val="22"/>
          <w:szCs w:val="22"/>
          <w:lang w:val="sq-AL"/>
        </w:rPr>
      </w:pPr>
    </w:p>
    <w:p w14:paraId="5046BE05" w14:textId="2F9DFD67" w:rsidR="00430A79" w:rsidRPr="009F5CA1" w:rsidRDefault="003E303C" w:rsidP="00430A79">
      <w:pPr>
        <w:jc w:val="both"/>
        <w:rPr>
          <w:rFonts w:ascii="Arial Narrow" w:eastAsia="Calibri" w:hAnsi="Arial Narrow" w:cs="Calibri"/>
          <w:color w:val="000000" w:themeColor="text1"/>
          <w:sz w:val="22"/>
          <w:szCs w:val="22"/>
          <w:lang w:val="sq-AL"/>
        </w:rPr>
      </w:pPr>
      <w:r w:rsidRPr="003E303C">
        <w:rPr>
          <w:rFonts w:ascii="Arial Narrow" w:eastAsia="Calibri" w:hAnsi="Arial Narrow" w:cs="Calibri"/>
          <w:sz w:val="22"/>
          <w:szCs w:val="22"/>
          <w:lang w:val="sq-AL"/>
        </w:rPr>
        <w:t>Të gjitha komunat e rajonit i deponojnë mbeturinat e tyre komunale në deponinë e Pejës.</w:t>
      </w:r>
      <w:r w:rsidRPr="003E303C">
        <w:rPr>
          <w:rFonts w:ascii="Arial Narrow" w:hAnsi="Arial Narrow"/>
          <w:sz w:val="22"/>
          <w:szCs w:val="22"/>
          <w:lang w:val="sq-AL"/>
        </w:rPr>
        <w:t xml:space="preserve"> </w:t>
      </w:r>
      <w:r w:rsidRPr="003E303C">
        <w:rPr>
          <w:rFonts w:ascii="Arial Narrow" w:eastAsia="Calibri" w:hAnsi="Arial Narrow" w:cs="Calibri"/>
          <w:sz w:val="22"/>
          <w:szCs w:val="22"/>
          <w:lang w:val="sq-AL"/>
        </w:rPr>
        <w:t>Kapaciteti i ldeponisë është varfëruar për një kohë të gjatë. Projektimi i detajuar dhe dokumentet e tenderit për mbylljen e lokacionit ekzistues dhe ndërtimin e deponisë së re janë në përgatitje dhe rishikim tash e disa vite</w:t>
      </w:r>
      <w:r w:rsidR="00430A79" w:rsidRPr="009F5CA1">
        <w:rPr>
          <w:rFonts w:ascii="Arial Narrow" w:eastAsia="Calibri" w:hAnsi="Arial Narrow" w:cs="Calibri"/>
          <w:color w:val="000000" w:themeColor="text1"/>
          <w:sz w:val="22"/>
          <w:szCs w:val="22"/>
          <w:lang w:val="sq-AL"/>
        </w:rPr>
        <w:t>.</w:t>
      </w:r>
    </w:p>
    <w:p w14:paraId="1D03F41A" w14:textId="77777777" w:rsidR="003F742B" w:rsidRPr="009F5CA1" w:rsidRDefault="003F742B" w:rsidP="00430A79">
      <w:pPr>
        <w:jc w:val="both"/>
        <w:rPr>
          <w:rFonts w:ascii="Arial Narrow" w:eastAsia="Calibri" w:hAnsi="Arial Narrow" w:cs="Calibri"/>
          <w:color w:val="000000" w:themeColor="text1"/>
          <w:sz w:val="22"/>
          <w:szCs w:val="22"/>
          <w:lang w:val="sq-AL"/>
        </w:rPr>
      </w:pPr>
    </w:p>
    <w:p w14:paraId="768CADFC" w14:textId="6C8811B9" w:rsidR="00430A79" w:rsidRPr="00430A79" w:rsidRDefault="00430A79" w:rsidP="000D7AD0">
      <w:pPr>
        <w:pStyle w:val="Heading3"/>
      </w:pPr>
      <w:bookmarkStart w:id="415" w:name="_Toc185866133"/>
      <w:bookmarkStart w:id="416" w:name="_Toc197472024"/>
      <w:r w:rsidRPr="003E303C">
        <w:t>Zhvillimi i sistemit</w:t>
      </w:r>
      <w:r w:rsidRPr="00430A79">
        <w:t xml:space="preserve"> të </w:t>
      </w:r>
      <w:r w:rsidR="003E303C">
        <w:t>deponimit</w:t>
      </w:r>
      <w:r w:rsidRPr="00430A79">
        <w:t xml:space="preserve"> të mbeturinave</w:t>
      </w:r>
      <w:bookmarkEnd w:id="415"/>
      <w:bookmarkEnd w:id="416"/>
    </w:p>
    <w:p w14:paraId="53098772" w14:textId="77777777" w:rsidR="003F742B" w:rsidRDefault="003F742B" w:rsidP="003E303C">
      <w:pPr>
        <w:pStyle w:val="Paragraph"/>
        <w:spacing w:after="0"/>
        <w:rPr>
          <w:rFonts w:eastAsia="Calibri" w:cs="Calibri"/>
          <w:lang w:val="sq-AL"/>
        </w:rPr>
      </w:pPr>
    </w:p>
    <w:p w14:paraId="152A2152" w14:textId="4AA9114D" w:rsidR="003E303C" w:rsidRPr="00BE2534" w:rsidRDefault="003E303C" w:rsidP="003E303C">
      <w:pPr>
        <w:pStyle w:val="Paragraph"/>
        <w:spacing w:after="0"/>
        <w:rPr>
          <w:rFonts w:eastAsia="Calibri" w:cs="Calibri"/>
          <w:lang w:val="sq-AL"/>
        </w:rPr>
      </w:pPr>
      <w:r w:rsidRPr="00BE2534">
        <w:rPr>
          <w:rFonts w:eastAsia="Calibri" w:cs="Calibri"/>
          <w:lang w:val="sq-AL"/>
        </w:rPr>
        <w:t>Pavarësisht nga të gjitha masat e ardhshme që lidhen me shmangien e mbeturinave, riciklimin dhe trajtimin e mbeturinave, një sasi e caktuar mbeturinash të përziera do të mbetet për deponim. Kështu, në çdo rast kërkohen deponi sanitare për deponim të sigurt dhe në përputhje me mjedisin.</w:t>
      </w:r>
    </w:p>
    <w:p w14:paraId="0C4D1026" w14:textId="77777777" w:rsidR="003E303C" w:rsidRPr="00BE2534" w:rsidRDefault="003E303C" w:rsidP="003E303C">
      <w:pPr>
        <w:pStyle w:val="Paragraph"/>
        <w:spacing w:after="0"/>
        <w:rPr>
          <w:rFonts w:eastAsia="Calibri" w:cs="Calibri"/>
          <w:lang w:val="sq-AL"/>
        </w:rPr>
      </w:pPr>
    </w:p>
    <w:p w14:paraId="03712E9E" w14:textId="77777777" w:rsidR="003E303C" w:rsidRPr="00BE2534" w:rsidRDefault="003E303C" w:rsidP="003E303C">
      <w:pPr>
        <w:pStyle w:val="Paragraph"/>
        <w:spacing w:after="0"/>
        <w:rPr>
          <w:rFonts w:eastAsia="Calibri" w:cs="Calibri"/>
          <w:lang w:val="sq-AL"/>
        </w:rPr>
      </w:pPr>
      <w:r w:rsidRPr="00BE2534">
        <w:rPr>
          <w:rFonts w:eastAsia="Calibri" w:cs="Calibri"/>
          <w:lang w:val="sq-AL"/>
        </w:rPr>
        <w:t>SKMIM 2024-2035 ka identifikuar se Rajoni i Dukagjinit duhet të shërbehet nga një deponi rajonale. Siç është përmendur tashmë, dizajni i detajuar për përmirësimin dhe zgjerimin e lokacionit aktual të deponimit të mbeturinave në Sferkë është në përgatitje e sipër. Bazuar në parcelën në dispozicion dhe sasitë e parashikuara të mbeturinave që do të deponohen, projekti i detajuar do të përcaktojë periudhën e funksionimit të deponisë në vazhdim.</w:t>
      </w:r>
    </w:p>
    <w:p w14:paraId="28160857" w14:textId="77777777" w:rsidR="003E303C" w:rsidRPr="00BE2534" w:rsidRDefault="003E303C" w:rsidP="003E303C">
      <w:pPr>
        <w:pStyle w:val="Paragraph"/>
        <w:rPr>
          <w:rFonts w:eastAsia="Calibri" w:cs="Calibri"/>
          <w:lang w:val="sq-AL"/>
        </w:rPr>
      </w:pPr>
      <w:r w:rsidRPr="00BE2534">
        <w:rPr>
          <w:rFonts w:eastAsia="Calibri" w:cs="Calibri"/>
          <w:lang w:val="sq-AL"/>
        </w:rPr>
        <w:t>Ndërtimi i deponisë duhet të kryhet në faza. Faza e parë duhet të përfshijë infrastrukturën e mëposhtme:</w:t>
      </w:r>
    </w:p>
    <w:p w14:paraId="704ABA22" w14:textId="77777777" w:rsidR="003E303C" w:rsidRPr="00BE2534" w:rsidRDefault="003E303C" w:rsidP="003E303C">
      <w:pPr>
        <w:numPr>
          <w:ilvl w:val="0"/>
          <w:numId w:val="18"/>
        </w:numPr>
        <w:spacing w:after="160" w:line="259" w:lineRule="auto"/>
        <w:contextualSpacing/>
        <w:jc w:val="both"/>
        <w:rPr>
          <w:rFonts w:cs="Calibri"/>
          <w:lang w:val="sq-AL" w:eastAsia="bg-BG"/>
        </w:rPr>
      </w:pPr>
      <w:r w:rsidRPr="00BE2534">
        <w:rPr>
          <w:rFonts w:ascii="Arial Narrow" w:hAnsi="Arial Narrow" w:cs="Calibri"/>
          <w:sz w:val="22"/>
          <w:szCs w:val="22"/>
          <w:lang w:val="sq-AL" w:eastAsia="bg-BG"/>
        </w:rPr>
        <w:t>Qelia e parë me kapacitet për t'u mjaftuar për 5 deri në 7 vjet deponim;</w:t>
      </w:r>
    </w:p>
    <w:p w14:paraId="7DD3A3F5" w14:textId="77777777" w:rsidR="003E303C" w:rsidRPr="00BE2534" w:rsidRDefault="003E303C" w:rsidP="003E303C">
      <w:pPr>
        <w:numPr>
          <w:ilvl w:val="0"/>
          <w:numId w:val="18"/>
        </w:numPr>
        <w:spacing w:after="160" w:line="259" w:lineRule="auto"/>
        <w:contextualSpacing/>
        <w:jc w:val="both"/>
        <w:rPr>
          <w:rFonts w:cs="Calibri"/>
          <w:lang w:val="sq-AL" w:eastAsia="bg-BG"/>
        </w:rPr>
      </w:pPr>
      <w:r w:rsidRPr="00BE2534">
        <w:rPr>
          <w:rFonts w:ascii="Arial Narrow" w:hAnsi="Arial Narrow" w:cs="Calibri"/>
          <w:sz w:val="22"/>
          <w:szCs w:val="22"/>
          <w:lang w:val="sq-AL" w:eastAsia="bg-BG"/>
        </w:rPr>
        <w:t>Sistemet e grumbullimit dhe trajtimit për kullimin dhe gazin në deponi;</w:t>
      </w:r>
    </w:p>
    <w:p w14:paraId="3B45E6B7" w14:textId="77777777" w:rsidR="003E303C" w:rsidRPr="00BE2534" w:rsidRDefault="003E303C" w:rsidP="003E303C">
      <w:pPr>
        <w:numPr>
          <w:ilvl w:val="0"/>
          <w:numId w:val="18"/>
        </w:numPr>
        <w:spacing w:after="160" w:line="259" w:lineRule="auto"/>
        <w:contextualSpacing/>
        <w:jc w:val="both"/>
        <w:rPr>
          <w:rFonts w:cs="Calibri"/>
          <w:lang w:val="sq-AL" w:eastAsia="bg-BG"/>
        </w:rPr>
      </w:pPr>
      <w:r w:rsidRPr="00BE2534">
        <w:rPr>
          <w:rFonts w:ascii="Arial Narrow" w:hAnsi="Arial Narrow" w:cs="Calibri"/>
          <w:sz w:val="22"/>
          <w:szCs w:val="22"/>
          <w:lang w:val="sq-AL" w:eastAsia="bg-BG"/>
        </w:rPr>
        <w:t>Infrastruktura shtesë, si: peshore, rrethojë, objekte zyrash dhe garazhesh;</w:t>
      </w:r>
    </w:p>
    <w:p w14:paraId="03B0C5F0" w14:textId="77777777" w:rsidR="003E303C" w:rsidRPr="00BE2534" w:rsidRDefault="003E303C" w:rsidP="003E303C">
      <w:pPr>
        <w:numPr>
          <w:ilvl w:val="0"/>
          <w:numId w:val="18"/>
        </w:numPr>
        <w:spacing w:after="160" w:line="259" w:lineRule="auto"/>
        <w:contextualSpacing/>
        <w:jc w:val="both"/>
        <w:rPr>
          <w:rFonts w:cs="Calibri"/>
          <w:lang w:val="sq-AL" w:eastAsia="bg-BG"/>
        </w:rPr>
      </w:pPr>
      <w:r w:rsidRPr="00BE2534">
        <w:rPr>
          <w:rFonts w:ascii="Arial Narrow" w:hAnsi="Arial Narrow" w:cs="Calibri"/>
          <w:sz w:val="22"/>
          <w:szCs w:val="22"/>
          <w:lang w:val="sq-AL" w:eastAsia="bg-BG"/>
        </w:rPr>
        <w:t>Pajisjet e nevojshme të lëvizshme, si kompaktori, kamioni, ngarkuesi i përparmë etj.</w:t>
      </w:r>
    </w:p>
    <w:p w14:paraId="2FA6384B" w14:textId="77777777" w:rsidR="003E303C" w:rsidRPr="00BE2534" w:rsidRDefault="003E303C" w:rsidP="003E303C">
      <w:pPr>
        <w:pStyle w:val="Paragraph"/>
        <w:rPr>
          <w:rFonts w:eastAsia="Calibri" w:cs="Calibri"/>
          <w:lang w:val="sq-AL"/>
        </w:rPr>
      </w:pPr>
      <w:r w:rsidRPr="00BE2534">
        <w:rPr>
          <w:rFonts w:eastAsia="Calibri" w:cs="Calibri"/>
          <w:lang w:val="sq-AL"/>
        </w:rPr>
        <w:t>Para përfundimit të qelisë së parë, duhet të fillojë ndërtimi i qelisë së dytë.</w:t>
      </w:r>
    </w:p>
    <w:p w14:paraId="16CA6041" w14:textId="77777777" w:rsidR="003E303C" w:rsidRPr="00BE2534" w:rsidRDefault="003E303C" w:rsidP="003E303C">
      <w:pPr>
        <w:pStyle w:val="Paragraph"/>
        <w:rPr>
          <w:rFonts w:eastAsia="Calibri" w:cs="Calibri"/>
          <w:lang w:val="sq-AL"/>
        </w:rPr>
      </w:pPr>
      <w:r w:rsidRPr="00BE2534">
        <w:rPr>
          <w:rFonts w:eastAsia="Calibri" w:cs="Calibri"/>
          <w:lang w:val="sq-AL"/>
        </w:rPr>
        <w:t>Secila prej qelive, e cila do të ndërtohet në fazën e parë, duhet të ketë jetëgjatësi jo më pak se 5 vjet.</w:t>
      </w:r>
    </w:p>
    <w:p w14:paraId="6CDB4A45" w14:textId="77777777" w:rsidR="003E303C" w:rsidRPr="00BE2534" w:rsidRDefault="003E303C" w:rsidP="003E303C">
      <w:pPr>
        <w:pStyle w:val="Paragraph"/>
        <w:rPr>
          <w:rFonts w:eastAsia="Calibri" w:cs="Calibri"/>
          <w:lang w:val="sq-AL"/>
        </w:rPr>
      </w:pPr>
      <w:r w:rsidRPr="00BE2534">
        <w:rPr>
          <w:rFonts w:eastAsia="Calibri" w:cs="Calibri"/>
          <w:lang w:val="sq-AL"/>
        </w:rPr>
        <w:t xml:space="preserve">Kapaciteti i nevojshëm i deponisë përcaktohet në bazë të parashikimeve të gjenerimit të mbeturinave dhe merren parasysh sasitë e reduktuara të mbeturinave që do të deponohen si rezultat i krijimit të planifikuar të grumbullimit </w:t>
      </w:r>
      <w:r>
        <w:rPr>
          <w:rFonts w:eastAsia="Calibri" w:cs="Calibri"/>
          <w:lang w:val="sq-AL"/>
        </w:rPr>
        <w:t>ndaras</w:t>
      </w:r>
      <w:r w:rsidRPr="00BE2534">
        <w:rPr>
          <w:rFonts w:eastAsia="Calibri" w:cs="Calibri"/>
          <w:lang w:val="sq-AL"/>
        </w:rPr>
        <w:t xml:space="preserve"> të mbeturinave të riciklueshme, kompostimit të mbeturinave të gjelbërta/kopshtit, trajtimit të mbeturinave tjera organike të grumbulluara </w:t>
      </w:r>
      <w:r>
        <w:rPr>
          <w:rFonts w:eastAsia="Calibri" w:cs="Calibri"/>
          <w:lang w:val="sq-AL"/>
        </w:rPr>
        <w:t>ndaras</w:t>
      </w:r>
      <w:r w:rsidRPr="00BE2534">
        <w:rPr>
          <w:rFonts w:eastAsia="Calibri" w:cs="Calibri"/>
          <w:lang w:val="sq-AL"/>
        </w:rPr>
        <w:t xml:space="preserve"> dhe TMB-së.</w:t>
      </w:r>
    </w:p>
    <w:p w14:paraId="33BD1CCC" w14:textId="77777777" w:rsidR="003E303C" w:rsidRPr="00BE2534" w:rsidRDefault="003E303C" w:rsidP="003E303C">
      <w:pPr>
        <w:pStyle w:val="Paragraph"/>
        <w:rPr>
          <w:rFonts w:eastAsia="Calibri" w:cs="Calibri"/>
          <w:lang w:val="sq-AL"/>
        </w:rPr>
      </w:pPr>
      <w:r w:rsidRPr="00BE2534">
        <w:rPr>
          <w:rFonts w:eastAsia="Calibri" w:cs="Calibri"/>
          <w:lang w:val="sq-AL"/>
        </w:rPr>
        <w:t>Supozohet se deponia do të përbëhet nga disa qelia deponimi, secila prej tyre me jetëgjatësi të vlerësuar prej 5 vjetësh. Kapaciteti i deponisë vlerësohet në 475 mijë tonë mbeturina të përziera komunale gjatë periudhës 20 vjeçare të funksionimit. Madhësia minimale e deponisë së kërkuar është 7.5 ha, duke supozuar një lartësi maksimale deponimi prej 10 m dhe me densitet të ngjeshur mbeturinash prej 1 ton/ m³. Duhet të theksohet se pas ndërtimit të impiantit TMB, sasitë e destinuara për deponim do të ulen ndjeshëm dhe vlerësohen në 14.5 mijë tonë në vitin 2035.</w:t>
      </w:r>
    </w:p>
    <w:p w14:paraId="79068EF4" w14:textId="77777777" w:rsidR="003E303C" w:rsidRPr="00BE2534" w:rsidRDefault="003E303C" w:rsidP="003E303C">
      <w:pPr>
        <w:pStyle w:val="Paragraph"/>
        <w:rPr>
          <w:rFonts w:eastAsia="Calibri" w:cs="Calibri"/>
          <w:lang w:val="sq-AL"/>
        </w:rPr>
      </w:pPr>
      <w:r w:rsidRPr="00BE2534">
        <w:rPr>
          <w:rFonts w:eastAsia="Calibri" w:cs="Calibri"/>
          <w:lang w:val="sq-AL"/>
        </w:rPr>
        <w:t>Deponia e re rajonale do të projektohet dhe funksionalizohet në përputhje me standardet e fundit teknike në mënyrë që të mbrojë shëndetin e njerëzve, të parandalojë shqetësimet, të mbrojë ujërat sipërfaqësore dhe nëntokësore nga ndotja dhe të minimizojë emetimin në ajër të metanit.</w:t>
      </w:r>
    </w:p>
    <w:p w14:paraId="0BA72679" w14:textId="77777777" w:rsidR="003E303C" w:rsidRPr="00BE2534" w:rsidRDefault="003E303C" w:rsidP="003E303C">
      <w:pPr>
        <w:pStyle w:val="Paragraph"/>
        <w:spacing w:after="0"/>
        <w:rPr>
          <w:rFonts w:eastAsia="Calibri" w:cs="Calibri"/>
          <w:lang w:val="sq-AL"/>
        </w:rPr>
      </w:pPr>
    </w:p>
    <w:p w14:paraId="58EFA1D0" w14:textId="77777777" w:rsidR="00430A79" w:rsidRPr="009F5CA1" w:rsidRDefault="00430A79" w:rsidP="00430A79">
      <w:pPr>
        <w:jc w:val="both"/>
        <w:rPr>
          <w:rFonts w:ascii="Arial Narrow" w:eastAsia="Calibri" w:hAnsi="Arial Narrow" w:cs="Calibri"/>
          <w:color w:val="000000" w:themeColor="text1"/>
          <w:sz w:val="22"/>
          <w:szCs w:val="22"/>
          <w:lang w:val="sq-AL"/>
        </w:rPr>
      </w:pPr>
    </w:p>
    <w:p w14:paraId="7C1FA0F8" w14:textId="73FC4EAB" w:rsidR="00430A79" w:rsidRPr="00430A79" w:rsidRDefault="00430A79" w:rsidP="000D7AD0">
      <w:pPr>
        <w:pStyle w:val="Heading3"/>
      </w:pPr>
      <w:bookmarkStart w:id="417" w:name="_Toc185866134"/>
      <w:bookmarkStart w:id="418" w:name="_Toc197472025"/>
      <w:r w:rsidRPr="00430A79">
        <w:t>Kosto</w:t>
      </w:r>
      <w:r w:rsidR="003E303C">
        <w:t>t e ndër</w:t>
      </w:r>
      <w:r w:rsidRPr="00430A79">
        <w:t>lidhur</w:t>
      </w:r>
      <w:bookmarkEnd w:id="417"/>
      <w:r w:rsidR="003E303C">
        <w:t>a</w:t>
      </w:r>
      <w:bookmarkEnd w:id="418"/>
    </w:p>
    <w:p w14:paraId="646F51C9" w14:textId="77777777" w:rsidR="00430A79" w:rsidRPr="00430A79" w:rsidRDefault="00430A79" w:rsidP="00430A79">
      <w:pPr>
        <w:jc w:val="both"/>
        <w:rPr>
          <w:rFonts w:ascii="Arial Narrow" w:eastAsia="Calibri" w:hAnsi="Arial Narrow" w:cs="Calibri"/>
          <w:color w:val="000000" w:themeColor="text1"/>
          <w:sz w:val="22"/>
          <w:szCs w:val="22"/>
          <w:lang w:val="en-GB"/>
        </w:rPr>
      </w:pPr>
    </w:p>
    <w:p w14:paraId="1DA18A6D" w14:textId="77777777" w:rsidR="00430A79" w:rsidRPr="00430A79" w:rsidRDefault="00430A79" w:rsidP="00430A79">
      <w:pPr>
        <w:jc w:val="both"/>
        <w:rPr>
          <w:rFonts w:ascii="Arial Narrow" w:eastAsia="Calibri" w:hAnsi="Arial Narrow" w:cs="Calibri"/>
          <w:color w:val="000000" w:themeColor="text1"/>
          <w:sz w:val="22"/>
          <w:szCs w:val="22"/>
          <w:lang w:val="en-GB"/>
        </w:rPr>
      </w:pPr>
      <w:proofErr w:type="spellStart"/>
      <w:r w:rsidRPr="00430A79">
        <w:rPr>
          <w:rFonts w:ascii="Arial Narrow" w:eastAsia="Calibri" w:hAnsi="Arial Narrow" w:cs="Calibri"/>
          <w:color w:val="000000" w:themeColor="text1"/>
          <w:sz w:val="22"/>
          <w:szCs w:val="22"/>
          <w:lang w:val="en-GB"/>
        </w:rPr>
        <w:t>Vlerësimet</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paraprake</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për</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ndërtimin</w:t>
      </w:r>
      <w:proofErr w:type="spellEnd"/>
      <w:r w:rsidRPr="00430A79">
        <w:rPr>
          <w:rFonts w:ascii="Arial Narrow" w:eastAsia="Calibri" w:hAnsi="Arial Narrow" w:cs="Calibri"/>
          <w:color w:val="000000" w:themeColor="text1"/>
          <w:sz w:val="22"/>
          <w:szCs w:val="22"/>
          <w:lang w:val="en-GB"/>
        </w:rPr>
        <w:t xml:space="preserve"> e </w:t>
      </w:r>
      <w:proofErr w:type="spellStart"/>
      <w:r w:rsidRPr="00430A79">
        <w:rPr>
          <w:rFonts w:ascii="Arial Narrow" w:eastAsia="Calibri" w:hAnsi="Arial Narrow" w:cs="Calibri"/>
          <w:color w:val="000000" w:themeColor="text1"/>
          <w:sz w:val="22"/>
          <w:szCs w:val="22"/>
          <w:lang w:val="en-GB"/>
        </w:rPr>
        <w:t>deponisë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rajonale</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të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mbeturinave</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janë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paraqitur</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në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tabelën</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vijuese</w:t>
      </w:r>
      <w:proofErr w:type="spellEnd"/>
      <w:r w:rsidRPr="00430A79">
        <w:rPr>
          <w:rFonts w:ascii="Arial Narrow" w:eastAsia="Calibri" w:hAnsi="Arial Narrow" w:cs="Calibri"/>
          <w:color w:val="000000" w:themeColor="text1"/>
          <w:sz w:val="22"/>
          <w:szCs w:val="22"/>
          <w:lang w:val="en-GB"/>
        </w:rPr>
        <w:t>.</w:t>
      </w:r>
    </w:p>
    <w:p w14:paraId="59483B7B" w14:textId="77777777" w:rsidR="00430A79" w:rsidRPr="00430A79" w:rsidRDefault="00430A79" w:rsidP="00430A79">
      <w:pPr>
        <w:jc w:val="both"/>
        <w:rPr>
          <w:rFonts w:ascii="Arial Narrow" w:eastAsia="Calibri" w:hAnsi="Arial Narrow" w:cs="Calibri"/>
          <w:color w:val="000000" w:themeColor="text1"/>
          <w:sz w:val="22"/>
          <w:szCs w:val="22"/>
          <w:lang w:val="en-GB"/>
        </w:rPr>
      </w:pPr>
    </w:p>
    <w:p w14:paraId="431ECD41" w14:textId="43A0444F" w:rsidR="00430A79" w:rsidRPr="00430A79" w:rsidRDefault="00430A79" w:rsidP="00430A79">
      <w:pPr>
        <w:spacing w:after="120"/>
        <w:jc w:val="both"/>
        <w:rPr>
          <w:rFonts w:ascii="Arial Narrow" w:eastAsia="Calibri" w:hAnsi="Arial Narrow" w:cs="Calibri"/>
          <w:color w:val="1F497D"/>
          <w:sz w:val="20"/>
          <w:szCs w:val="20"/>
          <w:lang w:val="en-GB"/>
        </w:rPr>
      </w:pPr>
      <w:bookmarkStart w:id="419" w:name="_Toc185866216"/>
      <w:bookmarkStart w:id="420" w:name="_Toc197472245"/>
      <w:proofErr w:type="spellStart"/>
      <w:r w:rsidRPr="00430A79">
        <w:rPr>
          <w:rFonts w:ascii="Arial Narrow" w:eastAsia="Calibri" w:hAnsi="Arial Narrow" w:cs="Calibri"/>
          <w:color w:val="1F497D"/>
          <w:sz w:val="20"/>
          <w:szCs w:val="20"/>
          <w:lang w:val="en-GB"/>
        </w:rPr>
        <w:t>Tabela</w:t>
      </w:r>
      <w:proofErr w:type="spellEnd"/>
      <w:r w:rsidRPr="00430A79">
        <w:rPr>
          <w:rFonts w:ascii="Arial Narrow" w:eastAsia="Calibri" w:hAnsi="Arial Narrow" w:cs="Calibri"/>
          <w:color w:val="1F497D"/>
          <w:sz w:val="20"/>
          <w:szCs w:val="20"/>
          <w:lang w:val="en-GB"/>
        </w:rPr>
        <w:t xml:space="preserve"> </w:t>
      </w:r>
      <w:r w:rsidRPr="00430A79">
        <w:rPr>
          <w:rFonts w:ascii="Arial Narrow" w:eastAsia="Calibri" w:hAnsi="Arial Narrow" w:cs="Calibri"/>
          <w:color w:val="1F497D"/>
          <w:sz w:val="20"/>
          <w:szCs w:val="20"/>
          <w:lang w:val="en-GB"/>
        </w:rPr>
        <w:fldChar w:fldCharType="begin"/>
      </w:r>
      <w:r w:rsidRPr="00430A79">
        <w:rPr>
          <w:rFonts w:ascii="Arial Narrow" w:eastAsia="Calibri" w:hAnsi="Arial Narrow" w:cs="Calibri"/>
          <w:color w:val="1F497D"/>
          <w:sz w:val="20"/>
          <w:szCs w:val="20"/>
          <w:lang w:val="en-GB"/>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Pr>
          <w:rFonts w:ascii="Arial Narrow" w:eastAsia="Calibri" w:hAnsi="Arial Narrow" w:cs="Calibri"/>
          <w:noProof/>
          <w:color w:val="1F497D"/>
          <w:sz w:val="20"/>
          <w:szCs w:val="20"/>
          <w:lang w:val="en-GB"/>
        </w:rPr>
        <w:t xml:space="preserve">60. </w:t>
      </w:r>
      <w:r w:rsidRPr="00430A79">
        <w:rPr>
          <w:rFonts w:ascii="Arial Narrow" w:eastAsia="Calibri" w:hAnsi="Arial Narrow" w:cs="Calibri"/>
          <w:color w:val="1F497D"/>
          <w:sz w:val="20"/>
          <w:szCs w:val="20"/>
          <w:lang w:val="en-GB"/>
        </w:rPr>
        <w:fldChar w:fldCharType="end"/>
      </w:r>
      <w:proofErr w:type="spellStart"/>
      <w:r w:rsidRPr="00430A79">
        <w:rPr>
          <w:rFonts w:ascii="Arial Narrow" w:eastAsia="Calibri" w:hAnsi="Arial Narrow" w:cs="Calibri"/>
          <w:color w:val="1F497D"/>
          <w:sz w:val="20"/>
          <w:szCs w:val="20"/>
          <w:lang w:val="en-GB"/>
        </w:rPr>
        <w:t>Vlerësimet</w:t>
      </w:r>
      <w:proofErr w:type="spellEnd"/>
      <w:r w:rsidRPr="00430A79">
        <w:rPr>
          <w:rFonts w:ascii="Arial Narrow" w:eastAsia="Calibri" w:hAnsi="Arial Narrow" w:cs="Calibri"/>
          <w:color w:val="1F497D"/>
          <w:sz w:val="20"/>
          <w:szCs w:val="20"/>
          <w:lang w:val="en-GB"/>
        </w:rPr>
        <w:t xml:space="preserve"> e </w:t>
      </w:r>
      <w:proofErr w:type="spellStart"/>
      <w:r w:rsidRPr="00430A79">
        <w:rPr>
          <w:rFonts w:ascii="Arial Narrow" w:eastAsia="Calibri" w:hAnsi="Arial Narrow" w:cs="Calibri"/>
          <w:color w:val="1F497D"/>
          <w:sz w:val="20"/>
          <w:szCs w:val="20"/>
          <w:lang w:val="en-GB"/>
        </w:rPr>
        <w:t>kostove</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të</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investimeve</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në</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deponi</w:t>
      </w:r>
      <w:bookmarkEnd w:id="419"/>
      <w:bookmarkEnd w:id="420"/>
      <w:proofErr w:type="spellEnd"/>
    </w:p>
    <w:tbl>
      <w:tblPr>
        <w:tblW w:w="6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6"/>
        <w:gridCol w:w="1736"/>
      </w:tblGrid>
      <w:tr w:rsidR="00430A79" w:rsidRPr="00430A79" w14:paraId="6D0C5C04" w14:textId="77777777" w:rsidTr="00750949">
        <w:trPr>
          <w:trHeight w:val="264"/>
        </w:trPr>
        <w:tc>
          <w:tcPr>
            <w:tcW w:w="4916" w:type="dxa"/>
            <w:shd w:val="clear" w:color="auto" w:fill="365F91"/>
            <w:noWrap/>
            <w:vAlign w:val="bottom"/>
          </w:tcPr>
          <w:p w14:paraId="0FB4FBDA" w14:textId="32615239" w:rsidR="00430A79" w:rsidRPr="00430A79" w:rsidRDefault="003E303C" w:rsidP="00430A79">
            <w:pPr>
              <w:rPr>
                <w:rFonts w:ascii="Arial Narrow" w:hAnsi="Arial Narrow"/>
                <w:b/>
                <w:bCs/>
                <w:color w:val="FFFFFF" w:themeColor="background1"/>
                <w:sz w:val="20"/>
                <w:szCs w:val="20"/>
              </w:rPr>
            </w:pPr>
            <w:r>
              <w:rPr>
                <w:rFonts w:ascii="Arial Narrow" w:hAnsi="Arial Narrow"/>
                <w:b/>
                <w:bCs/>
                <w:color w:val="FFFFFF" w:themeColor="background1"/>
                <w:sz w:val="20"/>
                <w:szCs w:val="20"/>
              </w:rPr>
              <w:t xml:space="preserve">Përbërësit e </w:t>
            </w:r>
            <w:r w:rsidR="00430A79" w:rsidRPr="00430A79">
              <w:rPr>
                <w:rFonts w:ascii="Arial Narrow" w:hAnsi="Arial Narrow"/>
                <w:b/>
                <w:bCs/>
                <w:color w:val="FFFFFF" w:themeColor="background1"/>
                <w:sz w:val="20"/>
                <w:szCs w:val="20"/>
              </w:rPr>
              <w:t>kosto</w:t>
            </w:r>
            <w:r>
              <w:rPr>
                <w:rFonts w:ascii="Arial Narrow" w:hAnsi="Arial Narrow"/>
                <w:b/>
                <w:bCs/>
                <w:color w:val="FFFFFF" w:themeColor="background1"/>
                <w:sz w:val="20"/>
                <w:szCs w:val="20"/>
              </w:rPr>
              <w:t>ve</w:t>
            </w:r>
          </w:p>
        </w:tc>
        <w:tc>
          <w:tcPr>
            <w:tcW w:w="1736" w:type="dxa"/>
            <w:shd w:val="clear" w:color="auto" w:fill="365F91"/>
            <w:noWrap/>
            <w:vAlign w:val="bottom"/>
          </w:tcPr>
          <w:p w14:paraId="2D2E8761" w14:textId="77777777" w:rsidR="00430A79" w:rsidRPr="00430A79" w:rsidRDefault="00430A79" w:rsidP="00430A79">
            <w:pPr>
              <w:rPr>
                <w:rFonts w:ascii="Arial Narrow" w:hAnsi="Arial Narrow"/>
                <w:b/>
                <w:bCs/>
                <w:color w:val="FFFFFF" w:themeColor="background1"/>
                <w:sz w:val="20"/>
                <w:szCs w:val="20"/>
              </w:rPr>
            </w:pPr>
            <w:r w:rsidRPr="00430A79">
              <w:rPr>
                <w:rFonts w:ascii="Arial Narrow" w:hAnsi="Arial Narrow"/>
                <w:b/>
                <w:bCs/>
                <w:color w:val="FFFFFF" w:themeColor="background1"/>
                <w:sz w:val="20"/>
                <w:szCs w:val="20"/>
              </w:rPr>
              <w:t xml:space="preserve">Vlera, mijë </w:t>
            </w:r>
            <w:r w:rsidRPr="00430A79">
              <w:rPr>
                <w:rFonts w:ascii="Calibri" w:hAnsi="Calibri" w:cs="Calibri"/>
                <w:b/>
                <w:bCs/>
                <w:color w:val="FFFFFF" w:themeColor="background1"/>
                <w:sz w:val="20"/>
                <w:szCs w:val="20"/>
              </w:rPr>
              <w:t>€</w:t>
            </w:r>
          </w:p>
        </w:tc>
      </w:tr>
      <w:tr w:rsidR="003E303C" w:rsidRPr="00430A79" w14:paraId="3D1260FF" w14:textId="77777777" w:rsidTr="00D03949">
        <w:trPr>
          <w:trHeight w:val="264"/>
        </w:trPr>
        <w:tc>
          <w:tcPr>
            <w:tcW w:w="4916" w:type="dxa"/>
            <w:shd w:val="clear" w:color="auto" w:fill="auto"/>
            <w:noWrap/>
            <w:vAlign w:val="bottom"/>
            <w:hideMark/>
          </w:tcPr>
          <w:p w14:paraId="0E33061C" w14:textId="49A93C4A" w:rsidR="003E303C" w:rsidRPr="00430A79" w:rsidRDefault="003E303C" w:rsidP="003E303C">
            <w:pPr>
              <w:rPr>
                <w:rFonts w:ascii="Arial Narrow" w:hAnsi="Arial Narrow"/>
                <w:color w:val="000000"/>
                <w:sz w:val="20"/>
                <w:szCs w:val="20"/>
              </w:rPr>
            </w:pPr>
            <w:r w:rsidRPr="00BE2534">
              <w:rPr>
                <w:rFonts w:ascii="Arial Narrow" w:hAnsi="Arial Narrow"/>
                <w:color w:val="000000"/>
                <w:sz w:val="20"/>
                <w:szCs w:val="20"/>
                <w:lang w:val="sq-AL"/>
              </w:rPr>
              <w:t>Tokë</w:t>
            </w:r>
          </w:p>
        </w:tc>
        <w:tc>
          <w:tcPr>
            <w:tcW w:w="1736" w:type="dxa"/>
            <w:shd w:val="clear" w:color="auto" w:fill="auto"/>
            <w:noWrap/>
            <w:vAlign w:val="bottom"/>
            <w:hideMark/>
          </w:tcPr>
          <w:p w14:paraId="567E0F00" w14:textId="77777777" w:rsidR="003E303C" w:rsidRPr="00430A79" w:rsidRDefault="003E303C" w:rsidP="003E303C">
            <w:pPr>
              <w:rPr>
                <w:rFonts w:ascii="Arial Narrow" w:hAnsi="Arial Narrow"/>
                <w:color w:val="000000"/>
                <w:sz w:val="20"/>
                <w:szCs w:val="20"/>
              </w:rPr>
            </w:pPr>
            <w:r w:rsidRPr="00430A79">
              <w:rPr>
                <w:rFonts w:ascii="Arial Narrow" w:hAnsi="Arial Narrow"/>
                <w:color w:val="000000"/>
                <w:sz w:val="20"/>
                <w:szCs w:val="20"/>
              </w:rPr>
              <w:t>-</w:t>
            </w:r>
          </w:p>
        </w:tc>
      </w:tr>
      <w:tr w:rsidR="003E303C" w:rsidRPr="00430A79" w14:paraId="33F5FA58" w14:textId="77777777" w:rsidTr="00D03949">
        <w:trPr>
          <w:trHeight w:val="264"/>
        </w:trPr>
        <w:tc>
          <w:tcPr>
            <w:tcW w:w="4916" w:type="dxa"/>
            <w:shd w:val="clear" w:color="auto" w:fill="auto"/>
            <w:noWrap/>
            <w:vAlign w:val="bottom"/>
            <w:hideMark/>
          </w:tcPr>
          <w:p w14:paraId="051FE2FE" w14:textId="0C984C05" w:rsidR="003E303C" w:rsidRPr="00430A79" w:rsidRDefault="003E303C" w:rsidP="003E303C">
            <w:pPr>
              <w:rPr>
                <w:rFonts w:ascii="Arial Narrow" w:hAnsi="Arial Narrow"/>
                <w:color w:val="000000"/>
                <w:sz w:val="20"/>
                <w:szCs w:val="20"/>
              </w:rPr>
            </w:pPr>
            <w:r w:rsidRPr="00BE2534">
              <w:rPr>
                <w:rFonts w:ascii="Arial Narrow" w:hAnsi="Arial Narrow"/>
                <w:color w:val="000000"/>
                <w:sz w:val="20"/>
                <w:szCs w:val="20"/>
                <w:lang w:val="sq-AL"/>
              </w:rPr>
              <w:t>Ndërtesat e punimeve civile dhe infrastruktura e përbashkët</w:t>
            </w:r>
          </w:p>
        </w:tc>
        <w:tc>
          <w:tcPr>
            <w:tcW w:w="1736" w:type="dxa"/>
            <w:shd w:val="clear" w:color="auto" w:fill="auto"/>
            <w:noWrap/>
            <w:vAlign w:val="bottom"/>
            <w:hideMark/>
          </w:tcPr>
          <w:p w14:paraId="3353E146" w14:textId="77777777" w:rsidR="003E303C" w:rsidRPr="00430A79" w:rsidRDefault="003E303C" w:rsidP="003E303C">
            <w:pPr>
              <w:rPr>
                <w:rFonts w:ascii="Arial Narrow" w:hAnsi="Arial Narrow"/>
                <w:color w:val="000000"/>
                <w:sz w:val="20"/>
                <w:szCs w:val="20"/>
              </w:rPr>
            </w:pPr>
            <w:r w:rsidRPr="00430A79">
              <w:rPr>
                <w:rFonts w:ascii="Arial Narrow" w:hAnsi="Arial Narrow"/>
                <w:color w:val="000000"/>
                <w:sz w:val="20"/>
                <w:szCs w:val="20"/>
              </w:rPr>
              <w:t>2,433</w:t>
            </w:r>
          </w:p>
        </w:tc>
      </w:tr>
      <w:tr w:rsidR="003E303C" w:rsidRPr="00430A79" w14:paraId="158C22DE" w14:textId="77777777" w:rsidTr="00D03949">
        <w:trPr>
          <w:trHeight w:val="264"/>
        </w:trPr>
        <w:tc>
          <w:tcPr>
            <w:tcW w:w="4916" w:type="dxa"/>
            <w:shd w:val="clear" w:color="auto" w:fill="auto"/>
            <w:noWrap/>
            <w:vAlign w:val="bottom"/>
            <w:hideMark/>
          </w:tcPr>
          <w:p w14:paraId="7E91D97B" w14:textId="758E83FC" w:rsidR="003E303C" w:rsidRPr="00430A79" w:rsidRDefault="003E303C" w:rsidP="003E303C">
            <w:pPr>
              <w:rPr>
                <w:rFonts w:ascii="Arial Narrow" w:hAnsi="Arial Narrow"/>
                <w:color w:val="000000"/>
                <w:sz w:val="20"/>
                <w:szCs w:val="20"/>
              </w:rPr>
            </w:pPr>
            <w:r w:rsidRPr="00BE2534">
              <w:rPr>
                <w:rFonts w:ascii="Arial Narrow" w:hAnsi="Arial Narrow"/>
                <w:color w:val="000000"/>
                <w:sz w:val="20"/>
                <w:szCs w:val="20"/>
                <w:lang w:val="sq-AL"/>
              </w:rPr>
              <w:t>Punimet civile Qelia 1</w:t>
            </w:r>
          </w:p>
        </w:tc>
        <w:tc>
          <w:tcPr>
            <w:tcW w:w="1736" w:type="dxa"/>
            <w:shd w:val="clear" w:color="auto" w:fill="auto"/>
            <w:noWrap/>
            <w:vAlign w:val="bottom"/>
            <w:hideMark/>
          </w:tcPr>
          <w:p w14:paraId="3C5149E1" w14:textId="77777777" w:rsidR="003E303C" w:rsidRPr="00430A79" w:rsidRDefault="003E303C" w:rsidP="003E303C">
            <w:pPr>
              <w:rPr>
                <w:rFonts w:ascii="Arial Narrow" w:hAnsi="Arial Narrow"/>
                <w:color w:val="000000"/>
                <w:sz w:val="20"/>
                <w:szCs w:val="20"/>
              </w:rPr>
            </w:pPr>
            <w:r w:rsidRPr="00430A79">
              <w:rPr>
                <w:rFonts w:ascii="Arial Narrow" w:hAnsi="Arial Narrow"/>
                <w:color w:val="000000"/>
                <w:sz w:val="20"/>
                <w:szCs w:val="20"/>
              </w:rPr>
              <w:t>2,979</w:t>
            </w:r>
          </w:p>
        </w:tc>
      </w:tr>
      <w:tr w:rsidR="003E303C" w:rsidRPr="00430A79" w14:paraId="5C6CADBE" w14:textId="77777777" w:rsidTr="00D03949">
        <w:trPr>
          <w:trHeight w:val="264"/>
        </w:trPr>
        <w:tc>
          <w:tcPr>
            <w:tcW w:w="4916" w:type="dxa"/>
            <w:shd w:val="clear" w:color="auto" w:fill="auto"/>
            <w:noWrap/>
            <w:vAlign w:val="bottom"/>
            <w:hideMark/>
          </w:tcPr>
          <w:p w14:paraId="3C22683B" w14:textId="44791CE5" w:rsidR="003E303C" w:rsidRPr="00430A79" w:rsidRDefault="003E303C" w:rsidP="003E303C">
            <w:pPr>
              <w:rPr>
                <w:rFonts w:ascii="Arial Narrow" w:hAnsi="Arial Narrow"/>
                <w:color w:val="000000"/>
                <w:sz w:val="20"/>
                <w:szCs w:val="20"/>
              </w:rPr>
            </w:pPr>
            <w:r w:rsidRPr="00BE2534">
              <w:rPr>
                <w:rFonts w:ascii="Arial Narrow" w:hAnsi="Arial Narrow"/>
                <w:color w:val="000000"/>
                <w:sz w:val="20"/>
                <w:szCs w:val="20"/>
                <w:lang w:val="sq-AL"/>
              </w:rPr>
              <w:t>Mekanike</w:t>
            </w:r>
          </w:p>
        </w:tc>
        <w:tc>
          <w:tcPr>
            <w:tcW w:w="1736" w:type="dxa"/>
            <w:shd w:val="clear" w:color="auto" w:fill="auto"/>
            <w:noWrap/>
            <w:vAlign w:val="bottom"/>
            <w:hideMark/>
          </w:tcPr>
          <w:p w14:paraId="0F056126" w14:textId="77777777" w:rsidR="003E303C" w:rsidRPr="00430A79" w:rsidRDefault="003E303C" w:rsidP="003E303C">
            <w:pPr>
              <w:rPr>
                <w:rFonts w:ascii="Arial Narrow" w:hAnsi="Arial Narrow"/>
                <w:color w:val="000000"/>
                <w:sz w:val="20"/>
                <w:szCs w:val="20"/>
              </w:rPr>
            </w:pPr>
            <w:r w:rsidRPr="00430A79">
              <w:rPr>
                <w:rFonts w:ascii="Arial Narrow" w:hAnsi="Arial Narrow"/>
                <w:color w:val="000000"/>
                <w:sz w:val="20"/>
                <w:szCs w:val="20"/>
              </w:rPr>
              <w:t>2,864</w:t>
            </w:r>
          </w:p>
        </w:tc>
      </w:tr>
      <w:tr w:rsidR="003E303C" w:rsidRPr="00430A79" w14:paraId="1D089608" w14:textId="77777777" w:rsidTr="00D03949">
        <w:trPr>
          <w:trHeight w:val="264"/>
        </w:trPr>
        <w:tc>
          <w:tcPr>
            <w:tcW w:w="4916" w:type="dxa"/>
            <w:shd w:val="clear" w:color="auto" w:fill="auto"/>
            <w:noWrap/>
            <w:vAlign w:val="bottom"/>
            <w:hideMark/>
          </w:tcPr>
          <w:p w14:paraId="5052420A" w14:textId="0DF94CB3" w:rsidR="003E303C" w:rsidRPr="00430A79" w:rsidRDefault="003E303C" w:rsidP="003E303C">
            <w:pPr>
              <w:rPr>
                <w:rFonts w:ascii="Arial Narrow" w:hAnsi="Arial Narrow"/>
                <w:color w:val="000000"/>
                <w:sz w:val="20"/>
                <w:szCs w:val="20"/>
              </w:rPr>
            </w:pPr>
            <w:r w:rsidRPr="00BE2534">
              <w:rPr>
                <w:rFonts w:ascii="Arial Narrow" w:hAnsi="Arial Narrow"/>
                <w:color w:val="000000"/>
                <w:sz w:val="20"/>
                <w:szCs w:val="20"/>
                <w:lang w:val="sq-AL"/>
              </w:rPr>
              <w:t>Automjetet</w:t>
            </w:r>
          </w:p>
        </w:tc>
        <w:tc>
          <w:tcPr>
            <w:tcW w:w="1736" w:type="dxa"/>
            <w:shd w:val="clear" w:color="auto" w:fill="auto"/>
            <w:noWrap/>
            <w:vAlign w:val="bottom"/>
            <w:hideMark/>
          </w:tcPr>
          <w:p w14:paraId="7EBC68AC" w14:textId="77777777" w:rsidR="003E303C" w:rsidRPr="00430A79" w:rsidRDefault="003E303C" w:rsidP="003E303C">
            <w:pPr>
              <w:rPr>
                <w:rFonts w:ascii="Arial Narrow" w:hAnsi="Arial Narrow"/>
                <w:color w:val="000000"/>
                <w:sz w:val="20"/>
                <w:szCs w:val="20"/>
              </w:rPr>
            </w:pPr>
            <w:r w:rsidRPr="00430A79">
              <w:rPr>
                <w:rFonts w:ascii="Arial Narrow" w:hAnsi="Arial Narrow"/>
                <w:color w:val="000000"/>
                <w:sz w:val="20"/>
                <w:szCs w:val="20"/>
              </w:rPr>
              <w:t>1,972</w:t>
            </w:r>
          </w:p>
        </w:tc>
      </w:tr>
      <w:tr w:rsidR="003E303C" w:rsidRPr="00430A79" w14:paraId="235EA2CD" w14:textId="77777777" w:rsidTr="00D03949">
        <w:trPr>
          <w:trHeight w:val="264"/>
        </w:trPr>
        <w:tc>
          <w:tcPr>
            <w:tcW w:w="4916" w:type="dxa"/>
            <w:shd w:val="clear" w:color="auto" w:fill="auto"/>
            <w:noWrap/>
            <w:vAlign w:val="bottom"/>
            <w:hideMark/>
          </w:tcPr>
          <w:p w14:paraId="6D707B02" w14:textId="11F8EC5D" w:rsidR="003E303C" w:rsidRPr="00430A79" w:rsidRDefault="003E303C" w:rsidP="003E303C">
            <w:pPr>
              <w:rPr>
                <w:rFonts w:ascii="Arial Narrow" w:hAnsi="Arial Narrow"/>
                <w:color w:val="000000"/>
                <w:sz w:val="20"/>
                <w:szCs w:val="20"/>
              </w:rPr>
            </w:pPr>
            <w:r w:rsidRPr="00BE2534">
              <w:rPr>
                <w:rFonts w:ascii="Arial Narrow" w:hAnsi="Arial Narrow"/>
                <w:color w:val="000000"/>
                <w:sz w:val="20"/>
                <w:szCs w:val="20"/>
                <w:lang w:val="sq-AL"/>
              </w:rPr>
              <w:t>Kostot totale të investimit</w:t>
            </w:r>
          </w:p>
        </w:tc>
        <w:tc>
          <w:tcPr>
            <w:tcW w:w="1736" w:type="dxa"/>
            <w:shd w:val="clear" w:color="auto" w:fill="auto"/>
            <w:noWrap/>
            <w:vAlign w:val="bottom"/>
            <w:hideMark/>
          </w:tcPr>
          <w:p w14:paraId="0F2BEE38" w14:textId="77777777" w:rsidR="003E303C" w:rsidRPr="00430A79" w:rsidRDefault="003E303C" w:rsidP="003E303C">
            <w:pPr>
              <w:rPr>
                <w:rFonts w:ascii="Arial Narrow" w:hAnsi="Arial Narrow"/>
                <w:color w:val="000000"/>
                <w:sz w:val="20"/>
                <w:szCs w:val="20"/>
              </w:rPr>
            </w:pPr>
            <w:r w:rsidRPr="00430A79">
              <w:rPr>
                <w:rFonts w:ascii="Arial Narrow" w:hAnsi="Arial Narrow"/>
                <w:color w:val="000000"/>
                <w:sz w:val="20"/>
                <w:szCs w:val="20"/>
              </w:rPr>
              <w:t>10,248</w:t>
            </w:r>
          </w:p>
        </w:tc>
      </w:tr>
    </w:tbl>
    <w:p w14:paraId="42D90560" w14:textId="77777777" w:rsidR="00427DCF" w:rsidRDefault="00427DCF" w:rsidP="00430A79">
      <w:pPr>
        <w:jc w:val="both"/>
        <w:rPr>
          <w:rFonts w:ascii="Arial Narrow" w:eastAsia="Calibri" w:hAnsi="Arial Narrow" w:cs="Calibri"/>
          <w:color w:val="000000" w:themeColor="text1"/>
          <w:sz w:val="22"/>
          <w:szCs w:val="22"/>
          <w:lang w:val="en-GB"/>
        </w:rPr>
      </w:pPr>
    </w:p>
    <w:p w14:paraId="00985EC1" w14:textId="474335FB" w:rsidR="00430A79" w:rsidRPr="003E303C" w:rsidRDefault="00430A79" w:rsidP="00430A79">
      <w:pPr>
        <w:jc w:val="both"/>
        <w:rPr>
          <w:rFonts w:ascii="Arial Narrow" w:eastAsia="Calibri" w:hAnsi="Arial Narrow" w:cs="Calibri"/>
          <w:color w:val="000000" w:themeColor="text1"/>
          <w:sz w:val="22"/>
          <w:szCs w:val="22"/>
          <w:lang w:val="en-GB"/>
        </w:rPr>
      </w:pPr>
      <w:proofErr w:type="spellStart"/>
      <w:r w:rsidRPr="003E303C">
        <w:rPr>
          <w:rFonts w:ascii="Arial Narrow" w:eastAsia="Calibri" w:hAnsi="Arial Narrow" w:cs="Calibri"/>
          <w:color w:val="000000" w:themeColor="text1"/>
          <w:sz w:val="22"/>
          <w:szCs w:val="22"/>
          <w:lang w:val="en-GB"/>
        </w:rPr>
        <w:t>Kostot</w:t>
      </w:r>
      <w:proofErr w:type="spellEnd"/>
      <w:r w:rsidRPr="003E303C">
        <w:rPr>
          <w:rFonts w:ascii="Arial Narrow" w:eastAsia="Calibri" w:hAnsi="Arial Narrow" w:cs="Calibri"/>
          <w:color w:val="000000" w:themeColor="text1"/>
          <w:sz w:val="22"/>
          <w:szCs w:val="22"/>
          <w:lang w:val="en-GB"/>
        </w:rPr>
        <w:t xml:space="preserve"> e </w:t>
      </w:r>
      <w:proofErr w:type="spellStart"/>
      <w:r w:rsidRPr="003E303C">
        <w:rPr>
          <w:rFonts w:ascii="Arial Narrow" w:eastAsia="Calibri" w:hAnsi="Arial Narrow" w:cs="Calibri"/>
          <w:color w:val="000000" w:themeColor="text1"/>
          <w:sz w:val="22"/>
          <w:szCs w:val="22"/>
          <w:lang w:val="en-GB"/>
        </w:rPr>
        <w:t>mësipërme</w:t>
      </w:r>
      <w:proofErr w:type="spellEnd"/>
      <w:r w:rsidRPr="003E303C">
        <w:rPr>
          <w:rFonts w:ascii="Arial Narrow" w:eastAsia="Calibri" w:hAnsi="Arial Narrow" w:cs="Calibri"/>
          <w:color w:val="000000" w:themeColor="text1"/>
          <w:sz w:val="22"/>
          <w:szCs w:val="22"/>
          <w:lang w:val="en-GB"/>
        </w:rPr>
        <w:t xml:space="preserve"> </w:t>
      </w:r>
      <w:proofErr w:type="spellStart"/>
      <w:r w:rsidRPr="003E303C">
        <w:rPr>
          <w:rFonts w:ascii="Arial Narrow" w:eastAsia="Calibri" w:hAnsi="Arial Narrow" w:cs="Calibri"/>
          <w:color w:val="000000" w:themeColor="text1"/>
          <w:sz w:val="22"/>
          <w:szCs w:val="22"/>
          <w:lang w:val="en-GB"/>
        </w:rPr>
        <w:t>nuk</w:t>
      </w:r>
      <w:proofErr w:type="spellEnd"/>
      <w:r w:rsidRPr="003E303C">
        <w:rPr>
          <w:rFonts w:ascii="Arial Narrow" w:eastAsia="Calibri" w:hAnsi="Arial Narrow" w:cs="Calibri"/>
          <w:color w:val="000000" w:themeColor="text1"/>
          <w:sz w:val="22"/>
          <w:szCs w:val="22"/>
          <w:lang w:val="en-GB"/>
        </w:rPr>
        <w:t xml:space="preserve"> </w:t>
      </w:r>
      <w:proofErr w:type="spellStart"/>
      <w:r w:rsidRPr="003E303C">
        <w:rPr>
          <w:rFonts w:ascii="Arial Narrow" w:eastAsia="Calibri" w:hAnsi="Arial Narrow" w:cs="Calibri"/>
          <w:color w:val="000000" w:themeColor="text1"/>
          <w:sz w:val="22"/>
          <w:szCs w:val="22"/>
          <w:lang w:val="en-GB"/>
        </w:rPr>
        <w:t>përfshijnë</w:t>
      </w:r>
      <w:proofErr w:type="spellEnd"/>
      <w:r w:rsidRPr="003E303C">
        <w:rPr>
          <w:rFonts w:ascii="Arial Narrow" w:eastAsia="Calibri" w:hAnsi="Arial Narrow" w:cs="Calibri"/>
          <w:color w:val="000000" w:themeColor="text1"/>
          <w:sz w:val="22"/>
          <w:szCs w:val="22"/>
          <w:lang w:val="en-GB"/>
        </w:rPr>
        <w:t xml:space="preserve"> </w:t>
      </w:r>
      <w:proofErr w:type="spellStart"/>
      <w:r w:rsidRPr="003E303C">
        <w:rPr>
          <w:rFonts w:ascii="Arial Narrow" w:eastAsia="Calibri" w:hAnsi="Arial Narrow" w:cs="Calibri"/>
          <w:color w:val="000000" w:themeColor="text1"/>
          <w:sz w:val="22"/>
          <w:szCs w:val="22"/>
          <w:lang w:val="en-GB"/>
        </w:rPr>
        <w:t>mbylljen</w:t>
      </w:r>
      <w:proofErr w:type="spellEnd"/>
      <w:r w:rsidRPr="003E303C">
        <w:rPr>
          <w:rFonts w:ascii="Arial Narrow" w:eastAsia="Calibri" w:hAnsi="Arial Narrow" w:cs="Calibri"/>
          <w:color w:val="000000" w:themeColor="text1"/>
          <w:sz w:val="22"/>
          <w:szCs w:val="22"/>
          <w:lang w:val="en-GB"/>
        </w:rPr>
        <w:t xml:space="preserve"> e </w:t>
      </w:r>
      <w:proofErr w:type="spellStart"/>
      <w:r w:rsidRPr="003E303C">
        <w:rPr>
          <w:rFonts w:ascii="Arial Narrow" w:eastAsia="Calibri" w:hAnsi="Arial Narrow" w:cs="Calibri"/>
          <w:color w:val="000000" w:themeColor="text1"/>
          <w:sz w:val="22"/>
          <w:szCs w:val="22"/>
          <w:lang w:val="en-GB"/>
        </w:rPr>
        <w:t>deponisë</w:t>
      </w:r>
      <w:proofErr w:type="spellEnd"/>
      <w:r w:rsidRPr="003E303C">
        <w:rPr>
          <w:rFonts w:ascii="Arial Narrow" w:eastAsia="Calibri" w:hAnsi="Arial Narrow" w:cs="Calibri"/>
          <w:color w:val="000000" w:themeColor="text1"/>
          <w:sz w:val="22"/>
          <w:szCs w:val="22"/>
          <w:lang w:val="en-GB"/>
        </w:rPr>
        <w:t xml:space="preserve"> </w:t>
      </w:r>
      <w:proofErr w:type="spellStart"/>
      <w:r w:rsidR="003E303C" w:rsidRPr="003E303C">
        <w:rPr>
          <w:rFonts w:ascii="Arial Narrow" w:eastAsia="Calibri" w:hAnsi="Arial Narrow" w:cs="Calibri"/>
          <w:color w:val="000000" w:themeColor="text1"/>
          <w:sz w:val="22"/>
          <w:szCs w:val="22"/>
          <w:lang w:val="en-GB"/>
        </w:rPr>
        <w:t>ekzistuese</w:t>
      </w:r>
      <w:proofErr w:type="spellEnd"/>
      <w:r w:rsidRPr="003E303C">
        <w:rPr>
          <w:rFonts w:ascii="Arial Narrow" w:eastAsia="Calibri" w:hAnsi="Arial Narrow" w:cs="Calibri"/>
          <w:color w:val="000000" w:themeColor="text1"/>
          <w:sz w:val="22"/>
          <w:szCs w:val="22"/>
          <w:lang w:val="en-GB"/>
        </w:rPr>
        <w:t>.</w:t>
      </w:r>
    </w:p>
    <w:p w14:paraId="71A5D925" w14:textId="77777777" w:rsidR="00427DCF" w:rsidRPr="003E303C" w:rsidRDefault="00427DCF" w:rsidP="00430A79">
      <w:pPr>
        <w:jc w:val="both"/>
        <w:rPr>
          <w:rFonts w:ascii="Arial Narrow" w:eastAsia="Calibri" w:hAnsi="Arial Narrow" w:cs="Calibri"/>
          <w:color w:val="000000" w:themeColor="text1"/>
          <w:sz w:val="22"/>
          <w:szCs w:val="22"/>
          <w:lang w:val="en-GB"/>
        </w:rPr>
      </w:pPr>
    </w:p>
    <w:p w14:paraId="7077C224" w14:textId="11ECA19D" w:rsidR="00430A79" w:rsidRDefault="003E303C" w:rsidP="00430A79">
      <w:pPr>
        <w:jc w:val="both"/>
        <w:rPr>
          <w:rFonts w:ascii="Arial Narrow" w:eastAsia="Calibri" w:hAnsi="Arial Narrow" w:cs="Calibri"/>
          <w:color w:val="000000" w:themeColor="text1"/>
          <w:sz w:val="22"/>
          <w:szCs w:val="22"/>
          <w:lang w:val="en-GB"/>
        </w:rPr>
      </w:pPr>
      <w:r w:rsidRPr="003E303C">
        <w:rPr>
          <w:rFonts w:ascii="Arial Narrow" w:eastAsia="Calibri" w:hAnsi="Arial Narrow" w:cs="Calibri"/>
          <w:sz w:val="22"/>
          <w:szCs w:val="22"/>
          <w:lang w:val="sq-AL"/>
        </w:rPr>
        <w:t>Kostot vjetore operacionale janë vlerësuar në 1,066 mijë € për vitin e parë të operimit dhe ulen pas ndërtimit të impiantit TMB</w:t>
      </w:r>
      <w:r w:rsidR="00430A79" w:rsidRPr="003E303C">
        <w:rPr>
          <w:rFonts w:ascii="Arial Narrow" w:eastAsia="Calibri" w:hAnsi="Arial Narrow" w:cs="Calibri"/>
          <w:color w:val="000000" w:themeColor="text1"/>
          <w:sz w:val="22"/>
          <w:szCs w:val="22"/>
          <w:lang w:val="en-GB"/>
        </w:rPr>
        <w:t>.</w:t>
      </w:r>
    </w:p>
    <w:p w14:paraId="4E394510" w14:textId="77777777" w:rsidR="003F742B" w:rsidRPr="003E303C" w:rsidRDefault="003F742B" w:rsidP="00430A79">
      <w:pPr>
        <w:jc w:val="both"/>
        <w:rPr>
          <w:rFonts w:ascii="Arial Narrow" w:eastAsia="Calibri" w:hAnsi="Arial Narrow" w:cs="Calibri"/>
          <w:color w:val="000000" w:themeColor="text1"/>
          <w:sz w:val="22"/>
          <w:szCs w:val="22"/>
          <w:lang w:val="en-GB"/>
        </w:rPr>
      </w:pPr>
    </w:p>
    <w:p w14:paraId="1EC13001" w14:textId="77777777" w:rsidR="00430A79" w:rsidRPr="003E303C" w:rsidRDefault="00430A79" w:rsidP="000D7AD0">
      <w:pPr>
        <w:pStyle w:val="Heading3"/>
      </w:pPr>
      <w:bookmarkStart w:id="421" w:name="_Toc185866135"/>
      <w:bookmarkStart w:id="422" w:name="_Toc197472026"/>
      <w:r w:rsidRPr="00430A79">
        <w:t xml:space="preserve">Mbyllja e </w:t>
      </w:r>
      <w:r w:rsidRPr="003E303C">
        <w:t>deponive të vjetra</w:t>
      </w:r>
      <w:bookmarkEnd w:id="421"/>
      <w:bookmarkEnd w:id="422"/>
    </w:p>
    <w:p w14:paraId="2E117E35" w14:textId="77777777" w:rsidR="003F742B" w:rsidRDefault="003F742B" w:rsidP="00430A79">
      <w:pPr>
        <w:jc w:val="both"/>
        <w:rPr>
          <w:rFonts w:ascii="Arial Narrow" w:eastAsia="Calibri" w:hAnsi="Arial Narrow" w:cs="Calibri"/>
          <w:sz w:val="22"/>
          <w:szCs w:val="22"/>
          <w:lang w:val="sq-AL"/>
        </w:rPr>
      </w:pPr>
    </w:p>
    <w:p w14:paraId="6E716029" w14:textId="32767D0E" w:rsidR="00430A79" w:rsidRPr="003E303C" w:rsidRDefault="003E303C" w:rsidP="00430A79">
      <w:pPr>
        <w:jc w:val="both"/>
        <w:rPr>
          <w:rFonts w:ascii="Arial Narrow" w:eastAsia="Calibri" w:hAnsi="Arial Narrow" w:cs="Calibri"/>
          <w:color w:val="000000" w:themeColor="text1"/>
          <w:sz w:val="22"/>
          <w:szCs w:val="22"/>
          <w:lang w:val="en-GB"/>
        </w:rPr>
      </w:pPr>
      <w:r w:rsidRPr="003E303C">
        <w:rPr>
          <w:rFonts w:ascii="Arial Narrow" w:eastAsia="Calibri" w:hAnsi="Arial Narrow" w:cs="Calibri"/>
          <w:sz w:val="22"/>
          <w:szCs w:val="22"/>
          <w:lang w:val="sq-AL"/>
        </w:rPr>
        <w:t xml:space="preserve">Në territorin e komunave ende janë </w:t>
      </w:r>
      <w:r w:rsidR="009C5275">
        <w:rPr>
          <w:rFonts w:ascii="Arial Narrow" w:eastAsia="Calibri" w:hAnsi="Arial Narrow" w:cs="Calibri"/>
          <w:sz w:val="22"/>
          <w:szCs w:val="22"/>
          <w:lang w:val="sq-AL"/>
        </w:rPr>
        <w:t>67</w:t>
      </w:r>
      <w:r w:rsidRPr="003E303C">
        <w:rPr>
          <w:rFonts w:ascii="Arial Narrow" w:eastAsia="Calibri" w:hAnsi="Arial Narrow" w:cs="Calibri"/>
          <w:sz w:val="22"/>
          <w:szCs w:val="22"/>
          <w:lang w:val="sq-AL"/>
        </w:rPr>
        <w:t xml:space="preserve"> deponi ilegale. Tabela e mëposhtme paraqet dispozitat për mbylljen e deponive të vjetra</w:t>
      </w:r>
      <w:r w:rsidR="00430A79" w:rsidRPr="003E303C">
        <w:rPr>
          <w:rFonts w:ascii="Arial Narrow" w:eastAsia="Calibri" w:hAnsi="Arial Narrow" w:cs="Calibri"/>
          <w:color w:val="000000" w:themeColor="text1"/>
          <w:sz w:val="22"/>
          <w:szCs w:val="22"/>
          <w:lang w:val="en-GB"/>
        </w:rPr>
        <w:t>.</w:t>
      </w:r>
    </w:p>
    <w:p w14:paraId="0E82FF68" w14:textId="77777777" w:rsidR="00430A79" w:rsidRPr="003E303C" w:rsidRDefault="00430A79" w:rsidP="00430A79">
      <w:pPr>
        <w:jc w:val="both"/>
        <w:rPr>
          <w:rFonts w:ascii="Arial Narrow" w:eastAsia="Calibri" w:hAnsi="Arial Narrow" w:cs="Calibri"/>
          <w:color w:val="000000" w:themeColor="text1"/>
          <w:sz w:val="22"/>
          <w:szCs w:val="22"/>
          <w:lang w:val="en-GB"/>
        </w:rPr>
      </w:pPr>
    </w:p>
    <w:p w14:paraId="528CEBA8" w14:textId="0EC9FF40" w:rsidR="00430A79" w:rsidRPr="00430A79" w:rsidRDefault="00430A79" w:rsidP="00430A79">
      <w:pPr>
        <w:keepNext/>
        <w:rPr>
          <w:rFonts w:ascii="Arial Narrow" w:eastAsia="Calibri" w:hAnsi="Arial Narrow" w:cs="Calibri"/>
          <w:color w:val="1F497D"/>
          <w:sz w:val="20"/>
          <w:szCs w:val="20"/>
          <w:lang w:val="en-GB"/>
        </w:rPr>
      </w:pPr>
      <w:bookmarkStart w:id="423" w:name="_Toc185866217"/>
      <w:bookmarkStart w:id="424" w:name="_Toc197472246"/>
      <w:proofErr w:type="spellStart"/>
      <w:r w:rsidRPr="00430A79">
        <w:rPr>
          <w:rFonts w:ascii="Arial Narrow" w:eastAsia="Calibri" w:hAnsi="Arial Narrow" w:cs="Calibri"/>
          <w:color w:val="1F497D"/>
          <w:sz w:val="20"/>
          <w:szCs w:val="20"/>
          <w:lang w:val="en-GB"/>
        </w:rPr>
        <w:t>Tabela</w:t>
      </w:r>
      <w:proofErr w:type="spellEnd"/>
      <w:r w:rsidRPr="00430A79">
        <w:rPr>
          <w:rFonts w:ascii="Arial Narrow" w:eastAsia="Calibri" w:hAnsi="Arial Narrow" w:cs="Calibri"/>
          <w:color w:val="1F497D"/>
          <w:sz w:val="20"/>
          <w:szCs w:val="20"/>
          <w:lang w:val="en-GB"/>
        </w:rPr>
        <w:t xml:space="preserve"> </w:t>
      </w:r>
      <w:r w:rsidRPr="00430A79">
        <w:rPr>
          <w:rFonts w:ascii="Arial Narrow" w:eastAsia="Calibri" w:hAnsi="Arial Narrow" w:cs="Calibri"/>
          <w:color w:val="1F497D"/>
          <w:sz w:val="20"/>
          <w:szCs w:val="20"/>
          <w:lang w:val="en-GB"/>
        </w:rPr>
        <w:fldChar w:fldCharType="begin"/>
      </w:r>
      <w:r w:rsidRPr="00430A79">
        <w:rPr>
          <w:rFonts w:ascii="Arial Narrow" w:eastAsia="Calibri" w:hAnsi="Arial Narrow" w:cs="Calibri"/>
          <w:color w:val="1F497D"/>
          <w:sz w:val="20"/>
          <w:szCs w:val="20"/>
          <w:lang w:val="en-GB"/>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Pr>
          <w:rFonts w:ascii="Arial Narrow" w:eastAsia="Calibri" w:hAnsi="Arial Narrow" w:cs="Calibri"/>
          <w:noProof/>
          <w:color w:val="1F497D"/>
          <w:sz w:val="20"/>
          <w:szCs w:val="20"/>
          <w:lang w:val="en-GB"/>
        </w:rPr>
        <w:t xml:space="preserve">61. </w:t>
      </w:r>
      <w:r w:rsidRPr="00430A79">
        <w:rPr>
          <w:rFonts w:ascii="Arial Narrow" w:eastAsia="Calibri" w:hAnsi="Arial Narrow" w:cs="Calibri"/>
          <w:color w:val="1F497D"/>
          <w:sz w:val="20"/>
          <w:szCs w:val="20"/>
          <w:lang w:val="en-GB"/>
        </w:rPr>
        <w:fldChar w:fldCharType="end"/>
      </w:r>
      <w:proofErr w:type="spellStart"/>
      <w:r w:rsidRPr="00430A79">
        <w:rPr>
          <w:rFonts w:ascii="Arial Narrow" w:eastAsia="Calibri" w:hAnsi="Arial Narrow" w:cs="Calibri"/>
          <w:color w:val="1F497D"/>
          <w:sz w:val="20"/>
          <w:szCs w:val="20"/>
          <w:lang w:val="en-GB"/>
        </w:rPr>
        <w:t>Dispozitat</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për</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mbylljen</w:t>
      </w:r>
      <w:proofErr w:type="spellEnd"/>
      <w:r w:rsidRPr="00430A79">
        <w:rPr>
          <w:rFonts w:ascii="Arial Narrow" w:eastAsia="Calibri" w:hAnsi="Arial Narrow" w:cs="Calibri"/>
          <w:color w:val="1F497D"/>
          <w:sz w:val="20"/>
          <w:szCs w:val="20"/>
          <w:lang w:val="en-GB"/>
        </w:rPr>
        <w:t xml:space="preserve"> e </w:t>
      </w:r>
      <w:proofErr w:type="spellStart"/>
      <w:r w:rsidRPr="00430A79">
        <w:rPr>
          <w:rFonts w:ascii="Arial Narrow" w:eastAsia="Calibri" w:hAnsi="Arial Narrow" w:cs="Calibri"/>
          <w:color w:val="1F497D"/>
          <w:sz w:val="20"/>
          <w:szCs w:val="20"/>
          <w:lang w:val="en-GB"/>
        </w:rPr>
        <w:t>deponive</w:t>
      </w:r>
      <w:proofErr w:type="spellEnd"/>
      <w:r w:rsidRPr="00430A79">
        <w:rPr>
          <w:rFonts w:ascii="Arial Narrow" w:eastAsia="Calibri" w:hAnsi="Arial Narrow" w:cs="Calibri"/>
          <w:color w:val="1F497D"/>
          <w:sz w:val="20"/>
          <w:szCs w:val="20"/>
          <w:lang w:val="en-GB"/>
        </w:rPr>
        <w:t xml:space="preserve"> </w:t>
      </w:r>
      <w:proofErr w:type="spellStart"/>
      <w:r w:rsidR="003E303C">
        <w:rPr>
          <w:rFonts w:ascii="Arial Narrow" w:eastAsia="Calibri" w:hAnsi="Arial Narrow" w:cs="Calibri"/>
          <w:color w:val="1F497D"/>
          <w:sz w:val="20"/>
          <w:szCs w:val="20"/>
          <w:lang w:val="en-GB"/>
        </w:rPr>
        <w:t>ilegale</w:t>
      </w:r>
      <w:proofErr w:type="spellEnd"/>
      <w:r w:rsidR="003E303C">
        <w:rPr>
          <w:rFonts w:ascii="Arial Narrow" w:eastAsia="Calibri" w:hAnsi="Arial Narrow" w:cs="Calibri"/>
          <w:color w:val="1F497D"/>
          <w:sz w:val="20"/>
          <w:szCs w:val="20"/>
          <w:lang w:val="en-GB"/>
        </w:rPr>
        <w:t>,</w:t>
      </w:r>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në</w:t>
      </w:r>
      <w:proofErr w:type="spellEnd"/>
      <w:r w:rsidRPr="00430A79">
        <w:rPr>
          <w:rFonts w:ascii="Arial Narrow" w:eastAsia="Calibri" w:hAnsi="Arial Narrow" w:cs="Calibri"/>
          <w:color w:val="1F497D"/>
          <w:sz w:val="20"/>
          <w:szCs w:val="20"/>
          <w:lang w:val="en-GB"/>
        </w:rPr>
        <w:t xml:space="preserve"> EUR</w:t>
      </w:r>
      <w:bookmarkEnd w:id="423"/>
      <w:bookmarkEnd w:id="424"/>
    </w:p>
    <w:tbl>
      <w:tblPr>
        <w:tblW w:w="5000" w:type="pct"/>
        <w:tblLook w:val="04A0" w:firstRow="1" w:lastRow="0" w:firstColumn="1" w:lastColumn="0" w:noHBand="0" w:noVBand="1"/>
      </w:tblPr>
      <w:tblGrid>
        <w:gridCol w:w="1632"/>
        <w:gridCol w:w="1225"/>
        <w:gridCol w:w="1226"/>
        <w:gridCol w:w="1226"/>
        <w:gridCol w:w="1226"/>
        <w:gridCol w:w="1226"/>
        <w:gridCol w:w="1255"/>
      </w:tblGrid>
      <w:tr w:rsidR="00430A79" w:rsidRPr="00430A79" w14:paraId="10F021E9" w14:textId="77777777" w:rsidTr="00D03949">
        <w:trPr>
          <w:trHeight w:val="290"/>
          <w:tblHeader/>
        </w:trPr>
        <w:tc>
          <w:tcPr>
            <w:tcW w:w="908" w:type="pct"/>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033972B0" w14:textId="49145075" w:rsidR="00430A79" w:rsidRPr="00430A79" w:rsidRDefault="003E303C" w:rsidP="00430A79">
            <w:pPr>
              <w:rPr>
                <w:rFonts w:ascii="Arial Narrow" w:hAnsi="Arial Narrow"/>
                <w:b/>
                <w:bCs/>
                <w:color w:val="FFFFFF" w:themeColor="background1"/>
                <w:sz w:val="20"/>
                <w:szCs w:val="20"/>
              </w:rPr>
            </w:pPr>
            <w:r>
              <w:rPr>
                <w:rFonts w:ascii="Arial Narrow" w:hAnsi="Arial Narrow"/>
                <w:b/>
                <w:bCs/>
                <w:color w:val="FFFFFF" w:themeColor="background1"/>
                <w:sz w:val="20"/>
                <w:szCs w:val="20"/>
              </w:rPr>
              <w:t>Komuna</w:t>
            </w:r>
          </w:p>
        </w:tc>
        <w:tc>
          <w:tcPr>
            <w:tcW w:w="682" w:type="pct"/>
            <w:tcBorders>
              <w:top w:val="single" w:sz="4" w:space="0" w:color="auto"/>
              <w:left w:val="nil"/>
              <w:bottom w:val="single" w:sz="4" w:space="0" w:color="auto"/>
              <w:right w:val="single" w:sz="4" w:space="0" w:color="auto"/>
            </w:tcBorders>
            <w:shd w:val="clear" w:color="auto" w:fill="365F91"/>
            <w:noWrap/>
            <w:vAlign w:val="center"/>
            <w:hideMark/>
          </w:tcPr>
          <w:p w14:paraId="4DF17791" w14:textId="77777777" w:rsidR="00430A79" w:rsidRPr="00430A79" w:rsidRDefault="00430A79" w:rsidP="00430A79">
            <w:pPr>
              <w:jc w:val="center"/>
              <w:rPr>
                <w:rFonts w:ascii="Arial Narrow" w:hAnsi="Arial Narrow"/>
                <w:b/>
                <w:bCs/>
                <w:color w:val="FFFFFF" w:themeColor="background1"/>
                <w:sz w:val="20"/>
                <w:szCs w:val="20"/>
              </w:rPr>
            </w:pPr>
            <w:r w:rsidRPr="00430A79">
              <w:rPr>
                <w:rFonts w:ascii="Arial Narrow" w:hAnsi="Arial Narrow"/>
                <w:b/>
                <w:bCs/>
                <w:color w:val="FFFFFF" w:themeColor="background1"/>
                <w:sz w:val="20"/>
                <w:szCs w:val="20"/>
              </w:rPr>
              <w:t>2023</w:t>
            </w:r>
          </w:p>
        </w:tc>
        <w:tc>
          <w:tcPr>
            <w:tcW w:w="682" w:type="pct"/>
            <w:tcBorders>
              <w:top w:val="single" w:sz="4" w:space="0" w:color="auto"/>
              <w:left w:val="nil"/>
              <w:bottom w:val="single" w:sz="4" w:space="0" w:color="auto"/>
              <w:right w:val="single" w:sz="4" w:space="0" w:color="auto"/>
            </w:tcBorders>
            <w:shd w:val="clear" w:color="auto" w:fill="365F91"/>
            <w:noWrap/>
            <w:vAlign w:val="center"/>
            <w:hideMark/>
          </w:tcPr>
          <w:p w14:paraId="4384E745" w14:textId="77777777" w:rsidR="00430A79" w:rsidRPr="00430A79" w:rsidRDefault="00430A79" w:rsidP="00430A79">
            <w:pPr>
              <w:jc w:val="center"/>
              <w:rPr>
                <w:rFonts w:ascii="Arial Narrow" w:hAnsi="Arial Narrow"/>
                <w:b/>
                <w:bCs/>
                <w:color w:val="FFFFFF" w:themeColor="background1"/>
                <w:sz w:val="20"/>
                <w:szCs w:val="20"/>
              </w:rPr>
            </w:pPr>
            <w:r w:rsidRPr="00430A79">
              <w:rPr>
                <w:rFonts w:ascii="Arial Narrow" w:hAnsi="Arial Narrow"/>
                <w:b/>
                <w:bCs/>
                <w:color w:val="FFFFFF" w:themeColor="background1"/>
                <w:sz w:val="20"/>
                <w:szCs w:val="20"/>
              </w:rPr>
              <w:t>2024</w:t>
            </w:r>
          </w:p>
        </w:tc>
        <w:tc>
          <w:tcPr>
            <w:tcW w:w="682" w:type="pct"/>
            <w:tcBorders>
              <w:top w:val="single" w:sz="4" w:space="0" w:color="auto"/>
              <w:left w:val="nil"/>
              <w:bottom w:val="single" w:sz="4" w:space="0" w:color="auto"/>
              <w:right w:val="single" w:sz="4" w:space="0" w:color="auto"/>
            </w:tcBorders>
            <w:shd w:val="clear" w:color="auto" w:fill="365F91"/>
            <w:noWrap/>
            <w:vAlign w:val="center"/>
            <w:hideMark/>
          </w:tcPr>
          <w:p w14:paraId="5CA91AA1" w14:textId="77777777" w:rsidR="00430A79" w:rsidRPr="00430A79" w:rsidRDefault="00430A79" w:rsidP="00430A79">
            <w:pPr>
              <w:jc w:val="center"/>
              <w:rPr>
                <w:rFonts w:ascii="Arial Narrow" w:hAnsi="Arial Narrow"/>
                <w:b/>
                <w:bCs/>
                <w:color w:val="FFFFFF" w:themeColor="background1"/>
                <w:sz w:val="20"/>
                <w:szCs w:val="20"/>
              </w:rPr>
            </w:pPr>
            <w:r w:rsidRPr="00430A79">
              <w:rPr>
                <w:rFonts w:ascii="Arial Narrow" w:hAnsi="Arial Narrow"/>
                <w:b/>
                <w:bCs/>
                <w:color w:val="FFFFFF" w:themeColor="background1"/>
                <w:sz w:val="20"/>
                <w:szCs w:val="20"/>
              </w:rPr>
              <w:t>2025</w:t>
            </w:r>
          </w:p>
        </w:tc>
        <w:tc>
          <w:tcPr>
            <w:tcW w:w="682" w:type="pct"/>
            <w:tcBorders>
              <w:top w:val="single" w:sz="4" w:space="0" w:color="auto"/>
              <w:left w:val="nil"/>
              <w:bottom w:val="single" w:sz="4" w:space="0" w:color="auto"/>
              <w:right w:val="single" w:sz="4" w:space="0" w:color="auto"/>
            </w:tcBorders>
            <w:shd w:val="clear" w:color="auto" w:fill="365F91"/>
            <w:noWrap/>
            <w:vAlign w:val="center"/>
            <w:hideMark/>
          </w:tcPr>
          <w:p w14:paraId="5E6F8726" w14:textId="77777777" w:rsidR="00430A79" w:rsidRPr="00430A79" w:rsidRDefault="00430A79" w:rsidP="00430A79">
            <w:pPr>
              <w:jc w:val="center"/>
              <w:rPr>
                <w:rFonts w:ascii="Arial Narrow" w:hAnsi="Arial Narrow"/>
                <w:b/>
                <w:bCs/>
                <w:color w:val="FFFFFF" w:themeColor="background1"/>
                <w:sz w:val="20"/>
                <w:szCs w:val="20"/>
              </w:rPr>
            </w:pPr>
            <w:r w:rsidRPr="00430A79">
              <w:rPr>
                <w:rFonts w:ascii="Arial Narrow" w:hAnsi="Arial Narrow"/>
                <w:b/>
                <w:bCs/>
                <w:color w:val="FFFFFF" w:themeColor="background1"/>
                <w:sz w:val="20"/>
                <w:szCs w:val="20"/>
              </w:rPr>
              <w:t>2026</w:t>
            </w:r>
          </w:p>
        </w:tc>
        <w:tc>
          <w:tcPr>
            <w:tcW w:w="682" w:type="pct"/>
            <w:tcBorders>
              <w:top w:val="single" w:sz="4" w:space="0" w:color="auto"/>
              <w:left w:val="nil"/>
              <w:bottom w:val="single" w:sz="4" w:space="0" w:color="auto"/>
              <w:right w:val="single" w:sz="4" w:space="0" w:color="auto"/>
            </w:tcBorders>
            <w:shd w:val="clear" w:color="auto" w:fill="365F91"/>
            <w:noWrap/>
            <w:vAlign w:val="center"/>
            <w:hideMark/>
          </w:tcPr>
          <w:p w14:paraId="77A0B5E3" w14:textId="77777777" w:rsidR="00430A79" w:rsidRPr="00430A79" w:rsidRDefault="00430A79" w:rsidP="00430A79">
            <w:pPr>
              <w:jc w:val="center"/>
              <w:rPr>
                <w:rFonts w:ascii="Arial Narrow" w:hAnsi="Arial Narrow"/>
                <w:b/>
                <w:bCs/>
                <w:color w:val="FFFFFF" w:themeColor="background1"/>
                <w:sz w:val="20"/>
                <w:szCs w:val="20"/>
              </w:rPr>
            </w:pPr>
            <w:r w:rsidRPr="00430A79">
              <w:rPr>
                <w:rFonts w:ascii="Arial Narrow" w:hAnsi="Arial Narrow"/>
                <w:b/>
                <w:bCs/>
                <w:color w:val="FFFFFF" w:themeColor="background1"/>
                <w:sz w:val="20"/>
                <w:szCs w:val="20"/>
              </w:rPr>
              <w:t>2027</w:t>
            </w:r>
          </w:p>
        </w:tc>
        <w:tc>
          <w:tcPr>
            <w:tcW w:w="681" w:type="pct"/>
            <w:tcBorders>
              <w:top w:val="single" w:sz="4" w:space="0" w:color="auto"/>
              <w:left w:val="nil"/>
              <w:bottom w:val="single" w:sz="4" w:space="0" w:color="auto"/>
              <w:right w:val="single" w:sz="4" w:space="0" w:color="auto"/>
            </w:tcBorders>
            <w:shd w:val="clear" w:color="auto" w:fill="365F91"/>
            <w:noWrap/>
            <w:vAlign w:val="center"/>
            <w:hideMark/>
          </w:tcPr>
          <w:p w14:paraId="6B6EB3AF" w14:textId="19227590" w:rsidR="00430A79" w:rsidRPr="00430A79" w:rsidRDefault="003E303C" w:rsidP="00430A79">
            <w:pPr>
              <w:jc w:val="center"/>
              <w:rPr>
                <w:rFonts w:ascii="Arial Narrow" w:hAnsi="Arial Narrow"/>
                <w:b/>
                <w:bCs/>
                <w:color w:val="FFFFFF" w:themeColor="background1"/>
                <w:sz w:val="20"/>
                <w:szCs w:val="20"/>
              </w:rPr>
            </w:pPr>
            <w:r>
              <w:rPr>
                <w:rFonts w:ascii="Arial Narrow" w:hAnsi="Arial Narrow"/>
                <w:b/>
                <w:bCs/>
                <w:color w:val="FFFFFF" w:themeColor="background1"/>
                <w:sz w:val="20"/>
                <w:szCs w:val="20"/>
              </w:rPr>
              <w:t>Gjithsej</w:t>
            </w:r>
            <w:r w:rsidR="00430A79" w:rsidRPr="00430A79">
              <w:rPr>
                <w:rFonts w:ascii="Arial Narrow" w:hAnsi="Arial Narrow"/>
                <w:b/>
                <w:bCs/>
                <w:color w:val="FFFFFF" w:themeColor="background1"/>
                <w:sz w:val="20"/>
                <w:szCs w:val="20"/>
              </w:rPr>
              <w:t>, EUR</w:t>
            </w:r>
          </w:p>
        </w:tc>
      </w:tr>
      <w:tr w:rsidR="00430A79" w:rsidRPr="00430A79" w14:paraId="7F8841DE" w14:textId="77777777" w:rsidTr="00D03949">
        <w:trPr>
          <w:trHeight w:val="290"/>
        </w:trPr>
        <w:tc>
          <w:tcPr>
            <w:tcW w:w="908" w:type="pct"/>
            <w:tcBorders>
              <w:top w:val="nil"/>
              <w:left w:val="single" w:sz="4" w:space="0" w:color="auto"/>
              <w:bottom w:val="single" w:sz="4" w:space="0" w:color="auto"/>
              <w:right w:val="single" w:sz="4" w:space="0" w:color="auto"/>
            </w:tcBorders>
            <w:shd w:val="clear" w:color="auto" w:fill="auto"/>
            <w:noWrap/>
            <w:vAlign w:val="bottom"/>
            <w:hideMark/>
          </w:tcPr>
          <w:p w14:paraId="67519952" w14:textId="77777777"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Pejë</w:t>
            </w:r>
          </w:p>
        </w:tc>
        <w:tc>
          <w:tcPr>
            <w:tcW w:w="682" w:type="pct"/>
            <w:tcBorders>
              <w:top w:val="nil"/>
              <w:left w:val="nil"/>
              <w:bottom w:val="single" w:sz="4" w:space="0" w:color="auto"/>
              <w:right w:val="single" w:sz="4" w:space="0" w:color="auto"/>
            </w:tcBorders>
            <w:shd w:val="clear" w:color="auto" w:fill="auto"/>
            <w:noWrap/>
            <w:vAlign w:val="bottom"/>
            <w:hideMark/>
          </w:tcPr>
          <w:p w14:paraId="4073C90A"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30,000</w:t>
            </w:r>
          </w:p>
        </w:tc>
        <w:tc>
          <w:tcPr>
            <w:tcW w:w="682" w:type="pct"/>
            <w:tcBorders>
              <w:top w:val="nil"/>
              <w:left w:val="nil"/>
              <w:bottom w:val="single" w:sz="4" w:space="0" w:color="auto"/>
              <w:right w:val="single" w:sz="4" w:space="0" w:color="auto"/>
            </w:tcBorders>
            <w:shd w:val="clear" w:color="auto" w:fill="auto"/>
            <w:noWrap/>
            <w:vAlign w:val="bottom"/>
            <w:hideMark/>
          </w:tcPr>
          <w:p w14:paraId="34F44DD7"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25,000</w:t>
            </w:r>
          </w:p>
        </w:tc>
        <w:tc>
          <w:tcPr>
            <w:tcW w:w="682" w:type="pct"/>
            <w:tcBorders>
              <w:top w:val="nil"/>
              <w:left w:val="nil"/>
              <w:bottom w:val="single" w:sz="4" w:space="0" w:color="auto"/>
              <w:right w:val="single" w:sz="4" w:space="0" w:color="auto"/>
            </w:tcBorders>
            <w:shd w:val="clear" w:color="auto" w:fill="auto"/>
            <w:noWrap/>
            <w:vAlign w:val="bottom"/>
            <w:hideMark/>
          </w:tcPr>
          <w:p w14:paraId="1B5AF657"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22,500</w:t>
            </w:r>
          </w:p>
        </w:tc>
        <w:tc>
          <w:tcPr>
            <w:tcW w:w="682" w:type="pct"/>
            <w:tcBorders>
              <w:top w:val="nil"/>
              <w:left w:val="nil"/>
              <w:bottom w:val="single" w:sz="4" w:space="0" w:color="auto"/>
              <w:right w:val="single" w:sz="4" w:space="0" w:color="auto"/>
            </w:tcBorders>
            <w:shd w:val="clear" w:color="auto" w:fill="auto"/>
            <w:noWrap/>
            <w:vAlign w:val="bottom"/>
            <w:hideMark/>
          </w:tcPr>
          <w:p w14:paraId="0BA93B27"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22,500</w:t>
            </w:r>
          </w:p>
        </w:tc>
        <w:tc>
          <w:tcPr>
            <w:tcW w:w="682" w:type="pct"/>
            <w:tcBorders>
              <w:top w:val="nil"/>
              <w:left w:val="nil"/>
              <w:bottom w:val="single" w:sz="4" w:space="0" w:color="auto"/>
              <w:right w:val="single" w:sz="4" w:space="0" w:color="auto"/>
            </w:tcBorders>
            <w:shd w:val="clear" w:color="auto" w:fill="auto"/>
            <w:noWrap/>
            <w:vAlign w:val="bottom"/>
            <w:hideMark/>
          </w:tcPr>
          <w:p w14:paraId="764F0EF2"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20,000</w:t>
            </w:r>
          </w:p>
        </w:tc>
        <w:tc>
          <w:tcPr>
            <w:tcW w:w="681" w:type="pct"/>
            <w:tcBorders>
              <w:top w:val="nil"/>
              <w:left w:val="nil"/>
              <w:bottom w:val="single" w:sz="4" w:space="0" w:color="auto"/>
              <w:right w:val="single" w:sz="4" w:space="0" w:color="auto"/>
            </w:tcBorders>
            <w:shd w:val="clear" w:color="auto" w:fill="auto"/>
            <w:noWrap/>
            <w:vAlign w:val="bottom"/>
            <w:hideMark/>
          </w:tcPr>
          <w:p w14:paraId="51FD5A91"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120,000</w:t>
            </w:r>
          </w:p>
        </w:tc>
      </w:tr>
      <w:tr w:rsidR="00430A79" w:rsidRPr="00430A79" w14:paraId="37A5B5D9" w14:textId="77777777" w:rsidTr="00D03949">
        <w:trPr>
          <w:trHeight w:val="290"/>
        </w:trPr>
        <w:tc>
          <w:tcPr>
            <w:tcW w:w="908" w:type="pct"/>
            <w:tcBorders>
              <w:top w:val="nil"/>
              <w:left w:val="single" w:sz="4" w:space="0" w:color="auto"/>
              <w:bottom w:val="single" w:sz="4" w:space="0" w:color="auto"/>
              <w:right w:val="single" w:sz="4" w:space="0" w:color="auto"/>
            </w:tcBorders>
            <w:shd w:val="clear" w:color="auto" w:fill="auto"/>
            <w:noWrap/>
            <w:vAlign w:val="bottom"/>
            <w:hideMark/>
          </w:tcPr>
          <w:p w14:paraId="2953CFA5" w14:textId="77777777"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Istog</w:t>
            </w:r>
          </w:p>
        </w:tc>
        <w:tc>
          <w:tcPr>
            <w:tcW w:w="682" w:type="pct"/>
            <w:tcBorders>
              <w:top w:val="nil"/>
              <w:left w:val="nil"/>
              <w:bottom w:val="single" w:sz="4" w:space="0" w:color="auto"/>
              <w:right w:val="single" w:sz="4" w:space="0" w:color="auto"/>
            </w:tcBorders>
            <w:shd w:val="clear" w:color="auto" w:fill="auto"/>
            <w:noWrap/>
            <w:vAlign w:val="bottom"/>
            <w:hideMark/>
          </w:tcPr>
          <w:p w14:paraId="0F51B94C"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30,000</w:t>
            </w:r>
          </w:p>
        </w:tc>
        <w:tc>
          <w:tcPr>
            <w:tcW w:w="682" w:type="pct"/>
            <w:tcBorders>
              <w:top w:val="nil"/>
              <w:left w:val="nil"/>
              <w:bottom w:val="single" w:sz="4" w:space="0" w:color="auto"/>
              <w:right w:val="single" w:sz="4" w:space="0" w:color="auto"/>
            </w:tcBorders>
            <w:shd w:val="clear" w:color="auto" w:fill="auto"/>
            <w:noWrap/>
            <w:vAlign w:val="bottom"/>
            <w:hideMark/>
          </w:tcPr>
          <w:p w14:paraId="4D3E4F9B"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25,000</w:t>
            </w:r>
          </w:p>
        </w:tc>
        <w:tc>
          <w:tcPr>
            <w:tcW w:w="682" w:type="pct"/>
            <w:tcBorders>
              <w:top w:val="nil"/>
              <w:left w:val="nil"/>
              <w:bottom w:val="single" w:sz="4" w:space="0" w:color="auto"/>
              <w:right w:val="single" w:sz="4" w:space="0" w:color="auto"/>
            </w:tcBorders>
            <w:shd w:val="clear" w:color="auto" w:fill="auto"/>
            <w:noWrap/>
            <w:vAlign w:val="bottom"/>
            <w:hideMark/>
          </w:tcPr>
          <w:p w14:paraId="6A80D395"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22,500</w:t>
            </w:r>
          </w:p>
        </w:tc>
        <w:tc>
          <w:tcPr>
            <w:tcW w:w="682" w:type="pct"/>
            <w:tcBorders>
              <w:top w:val="nil"/>
              <w:left w:val="nil"/>
              <w:bottom w:val="single" w:sz="4" w:space="0" w:color="auto"/>
              <w:right w:val="single" w:sz="4" w:space="0" w:color="auto"/>
            </w:tcBorders>
            <w:shd w:val="clear" w:color="auto" w:fill="auto"/>
            <w:noWrap/>
            <w:vAlign w:val="bottom"/>
            <w:hideMark/>
          </w:tcPr>
          <w:p w14:paraId="6B41F902"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22,500</w:t>
            </w:r>
          </w:p>
        </w:tc>
        <w:tc>
          <w:tcPr>
            <w:tcW w:w="682" w:type="pct"/>
            <w:tcBorders>
              <w:top w:val="nil"/>
              <w:left w:val="nil"/>
              <w:bottom w:val="single" w:sz="4" w:space="0" w:color="auto"/>
              <w:right w:val="single" w:sz="4" w:space="0" w:color="auto"/>
            </w:tcBorders>
            <w:shd w:val="clear" w:color="auto" w:fill="auto"/>
            <w:noWrap/>
            <w:vAlign w:val="bottom"/>
            <w:hideMark/>
          </w:tcPr>
          <w:p w14:paraId="5CFAA18F"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20,000</w:t>
            </w:r>
          </w:p>
        </w:tc>
        <w:tc>
          <w:tcPr>
            <w:tcW w:w="681" w:type="pct"/>
            <w:tcBorders>
              <w:top w:val="nil"/>
              <w:left w:val="nil"/>
              <w:bottom w:val="single" w:sz="4" w:space="0" w:color="auto"/>
              <w:right w:val="single" w:sz="4" w:space="0" w:color="auto"/>
            </w:tcBorders>
            <w:shd w:val="clear" w:color="auto" w:fill="auto"/>
            <w:noWrap/>
            <w:vAlign w:val="bottom"/>
            <w:hideMark/>
          </w:tcPr>
          <w:p w14:paraId="1614D114"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120,000</w:t>
            </w:r>
          </w:p>
        </w:tc>
      </w:tr>
      <w:tr w:rsidR="00430A79" w:rsidRPr="00430A79" w14:paraId="385DC32B" w14:textId="77777777" w:rsidTr="00D03949">
        <w:trPr>
          <w:trHeight w:val="290"/>
        </w:trPr>
        <w:tc>
          <w:tcPr>
            <w:tcW w:w="908" w:type="pct"/>
            <w:tcBorders>
              <w:top w:val="nil"/>
              <w:left w:val="single" w:sz="4" w:space="0" w:color="auto"/>
              <w:bottom w:val="single" w:sz="4" w:space="0" w:color="auto"/>
              <w:right w:val="single" w:sz="4" w:space="0" w:color="auto"/>
            </w:tcBorders>
            <w:shd w:val="clear" w:color="auto" w:fill="auto"/>
            <w:noWrap/>
            <w:vAlign w:val="bottom"/>
            <w:hideMark/>
          </w:tcPr>
          <w:p w14:paraId="6B3E078B" w14:textId="77777777"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Klinë</w:t>
            </w:r>
          </w:p>
        </w:tc>
        <w:tc>
          <w:tcPr>
            <w:tcW w:w="682" w:type="pct"/>
            <w:tcBorders>
              <w:top w:val="nil"/>
              <w:left w:val="nil"/>
              <w:bottom w:val="single" w:sz="4" w:space="0" w:color="auto"/>
              <w:right w:val="single" w:sz="4" w:space="0" w:color="auto"/>
            </w:tcBorders>
            <w:shd w:val="clear" w:color="auto" w:fill="auto"/>
            <w:noWrap/>
            <w:vAlign w:val="bottom"/>
            <w:hideMark/>
          </w:tcPr>
          <w:p w14:paraId="45B444CD"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5,000</w:t>
            </w:r>
          </w:p>
        </w:tc>
        <w:tc>
          <w:tcPr>
            <w:tcW w:w="682" w:type="pct"/>
            <w:tcBorders>
              <w:top w:val="nil"/>
              <w:left w:val="nil"/>
              <w:bottom w:val="single" w:sz="4" w:space="0" w:color="auto"/>
              <w:right w:val="single" w:sz="4" w:space="0" w:color="auto"/>
            </w:tcBorders>
            <w:shd w:val="clear" w:color="auto" w:fill="auto"/>
            <w:noWrap/>
            <w:vAlign w:val="bottom"/>
            <w:hideMark/>
          </w:tcPr>
          <w:p w14:paraId="2FC03621"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5,000</w:t>
            </w:r>
          </w:p>
        </w:tc>
        <w:tc>
          <w:tcPr>
            <w:tcW w:w="682" w:type="pct"/>
            <w:tcBorders>
              <w:top w:val="nil"/>
              <w:left w:val="nil"/>
              <w:bottom w:val="single" w:sz="4" w:space="0" w:color="auto"/>
              <w:right w:val="single" w:sz="4" w:space="0" w:color="auto"/>
            </w:tcBorders>
            <w:shd w:val="clear" w:color="auto" w:fill="auto"/>
            <w:noWrap/>
            <w:vAlign w:val="bottom"/>
            <w:hideMark/>
          </w:tcPr>
          <w:p w14:paraId="7BE958AA"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5,000</w:t>
            </w:r>
          </w:p>
        </w:tc>
        <w:tc>
          <w:tcPr>
            <w:tcW w:w="682" w:type="pct"/>
            <w:tcBorders>
              <w:top w:val="nil"/>
              <w:left w:val="nil"/>
              <w:bottom w:val="single" w:sz="4" w:space="0" w:color="auto"/>
              <w:right w:val="single" w:sz="4" w:space="0" w:color="auto"/>
            </w:tcBorders>
            <w:shd w:val="clear" w:color="auto" w:fill="auto"/>
            <w:noWrap/>
            <w:vAlign w:val="bottom"/>
            <w:hideMark/>
          </w:tcPr>
          <w:p w14:paraId="41FB794E"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5,000</w:t>
            </w:r>
          </w:p>
        </w:tc>
        <w:tc>
          <w:tcPr>
            <w:tcW w:w="682" w:type="pct"/>
            <w:tcBorders>
              <w:top w:val="nil"/>
              <w:left w:val="nil"/>
              <w:bottom w:val="single" w:sz="4" w:space="0" w:color="auto"/>
              <w:right w:val="single" w:sz="4" w:space="0" w:color="auto"/>
            </w:tcBorders>
            <w:shd w:val="clear" w:color="auto" w:fill="auto"/>
            <w:noWrap/>
            <w:vAlign w:val="bottom"/>
            <w:hideMark/>
          </w:tcPr>
          <w:p w14:paraId="67696F70"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5,000</w:t>
            </w:r>
          </w:p>
        </w:tc>
        <w:tc>
          <w:tcPr>
            <w:tcW w:w="681" w:type="pct"/>
            <w:tcBorders>
              <w:top w:val="nil"/>
              <w:left w:val="nil"/>
              <w:bottom w:val="single" w:sz="4" w:space="0" w:color="auto"/>
              <w:right w:val="single" w:sz="4" w:space="0" w:color="auto"/>
            </w:tcBorders>
            <w:shd w:val="clear" w:color="auto" w:fill="auto"/>
            <w:noWrap/>
            <w:vAlign w:val="bottom"/>
            <w:hideMark/>
          </w:tcPr>
          <w:p w14:paraId="52E50E2D"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25,000</w:t>
            </w:r>
          </w:p>
        </w:tc>
      </w:tr>
      <w:tr w:rsidR="00430A79" w:rsidRPr="00430A79" w14:paraId="2692452A" w14:textId="77777777" w:rsidTr="00D03949">
        <w:trPr>
          <w:trHeight w:val="290"/>
        </w:trPr>
        <w:tc>
          <w:tcPr>
            <w:tcW w:w="908" w:type="pct"/>
            <w:tcBorders>
              <w:top w:val="nil"/>
              <w:left w:val="single" w:sz="4" w:space="0" w:color="auto"/>
              <w:bottom w:val="single" w:sz="4" w:space="0" w:color="auto"/>
              <w:right w:val="single" w:sz="4" w:space="0" w:color="auto"/>
            </w:tcBorders>
            <w:shd w:val="clear" w:color="auto" w:fill="auto"/>
            <w:noWrap/>
            <w:vAlign w:val="bottom"/>
            <w:hideMark/>
          </w:tcPr>
          <w:p w14:paraId="001514E7" w14:textId="77777777"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Deçan</w:t>
            </w:r>
          </w:p>
        </w:tc>
        <w:tc>
          <w:tcPr>
            <w:tcW w:w="682" w:type="pct"/>
            <w:tcBorders>
              <w:top w:val="nil"/>
              <w:left w:val="nil"/>
              <w:bottom w:val="single" w:sz="4" w:space="0" w:color="auto"/>
              <w:right w:val="single" w:sz="4" w:space="0" w:color="auto"/>
            </w:tcBorders>
            <w:shd w:val="clear" w:color="auto" w:fill="auto"/>
            <w:noWrap/>
            <w:vAlign w:val="bottom"/>
            <w:hideMark/>
          </w:tcPr>
          <w:p w14:paraId="43CF91F2"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10,000</w:t>
            </w:r>
          </w:p>
        </w:tc>
        <w:tc>
          <w:tcPr>
            <w:tcW w:w="682" w:type="pct"/>
            <w:tcBorders>
              <w:top w:val="nil"/>
              <w:left w:val="nil"/>
              <w:bottom w:val="single" w:sz="4" w:space="0" w:color="auto"/>
              <w:right w:val="single" w:sz="4" w:space="0" w:color="auto"/>
            </w:tcBorders>
            <w:shd w:val="clear" w:color="auto" w:fill="auto"/>
            <w:noWrap/>
            <w:vAlign w:val="bottom"/>
            <w:hideMark/>
          </w:tcPr>
          <w:p w14:paraId="0D1EDB51"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10,000</w:t>
            </w:r>
          </w:p>
        </w:tc>
        <w:tc>
          <w:tcPr>
            <w:tcW w:w="682" w:type="pct"/>
            <w:tcBorders>
              <w:top w:val="nil"/>
              <w:left w:val="nil"/>
              <w:bottom w:val="single" w:sz="4" w:space="0" w:color="auto"/>
              <w:right w:val="single" w:sz="4" w:space="0" w:color="auto"/>
            </w:tcBorders>
            <w:shd w:val="clear" w:color="auto" w:fill="auto"/>
            <w:noWrap/>
            <w:vAlign w:val="bottom"/>
            <w:hideMark/>
          </w:tcPr>
          <w:p w14:paraId="73D070D7"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10,000</w:t>
            </w:r>
          </w:p>
        </w:tc>
        <w:tc>
          <w:tcPr>
            <w:tcW w:w="682" w:type="pct"/>
            <w:tcBorders>
              <w:top w:val="nil"/>
              <w:left w:val="nil"/>
              <w:bottom w:val="single" w:sz="4" w:space="0" w:color="auto"/>
              <w:right w:val="single" w:sz="4" w:space="0" w:color="auto"/>
            </w:tcBorders>
            <w:shd w:val="clear" w:color="auto" w:fill="auto"/>
            <w:noWrap/>
            <w:vAlign w:val="bottom"/>
            <w:hideMark/>
          </w:tcPr>
          <w:p w14:paraId="1E85CDB6"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10,000</w:t>
            </w:r>
          </w:p>
        </w:tc>
        <w:tc>
          <w:tcPr>
            <w:tcW w:w="682" w:type="pct"/>
            <w:tcBorders>
              <w:top w:val="nil"/>
              <w:left w:val="nil"/>
              <w:bottom w:val="single" w:sz="4" w:space="0" w:color="auto"/>
              <w:right w:val="single" w:sz="4" w:space="0" w:color="auto"/>
            </w:tcBorders>
            <w:shd w:val="clear" w:color="auto" w:fill="auto"/>
            <w:noWrap/>
            <w:vAlign w:val="bottom"/>
            <w:hideMark/>
          </w:tcPr>
          <w:p w14:paraId="0E317E49"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10,000</w:t>
            </w:r>
          </w:p>
        </w:tc>
        <w:tc>
          <w:tcPr>
            <w:tcW w:w="681" w:type="pct"/>
            <w:tcBorders>
              <w:top w:val="nil"/>
              <w:left w:val="nil"/>
              <w:bottom w:val="single" w:sz="4" w:space="0" w:color="auto"/>
              <w:right w:val="single" w:sz="4" w:space="0" w:color="auto"/>
            </w:tcBorders>
            <w:shd w:val="clear" w:color="auto" w:fill="auto"/>
            <w:noWrap/>
            <w:vAlign w:val="bottom"/>
            <w:hideMark/>
          </w:tcPr>
          <w:p w14:paraId="1BC66EB8"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50,000</w:t>
            </w:r>
          </w:p>
        </w:tc>
      </w:tr>
      <w:tr w:rsidR="00430A79" w:rsidRPr="00430A79" w14:paraId="37882058" w14:textId="77777777" w:rsidTr="00D03949">
        <w:trPr>
          <w:trHeight w:val="290"/>
        </w:trPr>
        <w:tc>
          <w:tcPr>
            <w:tcW w:w="908" w:type="pct"/>
            <w:tcBorders>
              <w:top w:val="nil"/>
              <w:left w:val="single" w:sz="4" w:space="0" w:color="auto"/>
              <w:bottom w:val="single" w:sz="4" w:space="0" w:color="auto"/>
              <w:right w:val="single" w:sz="4" w:space="0" w:color="auto"/>
            </w:tcBorders>
            <w:shd w:val="clear" w:color="auto" w:fill="auto"/>
            <w:noWrap/>
            <w:vAlign w:val="bottom"/>
            <w:hideMark/>
          </w:tcPr>
          <w:p w14:paraId="54741833" w14:textId="62FEAD07" w:rsidR="00430A79" w:rsidRPr="00430A79" w:rsidRDefault="003E303C" w:rsidP="00430A79">
            <w:pPr>
              <w:rPr>
                <w:rFonts w:ascii="Arial Narrow" w:hAnsi="Arial Narrow"/>
                <w:b/>
                <w:bCs/>
                <w:color w:val="000000"/>
                <w:sz w:val="20"/>
                <w:szCs w:val="20"/>
              </w:rPr>
            </w:pPr>
            <w:r>
              <w:rPr>
                <w:rFonts w:ascii="Arial Narrow" w:hAnsi="Arial Narrow"/>
                <w:b/>
                <w:bCs/>
                <w:color w:val="000000"/>
                <w:sz w:val="20"/>
                <w:szCs w:val="20"/>
              </w:rPr>
              <w:t>Gjithsej</w:t>
            </w:r>
          </w:p>
        </w:tc>
        <w:tc>
          <w:tcPr>
            <w:tcW w:w="682" w:type="pct"/>
            <w:tcBorders>
              <w:top w:val="nil"/>
              <w:left w:val="nil"/>
              <w:bottom w:val="single" w:sz="4" w:space="0" w:color="auto"/>
              <w:right w:val="single" w:sz="4" w:space="0" w:color="auto"/>
            </w:tcBorders>
            <w:shd w:val="clear" w:color="auto" w:fill="auto"/>
            <w:noWrap/>
            <w:vAlign w:val="bottom"/>
            <w:hideMark/>
          </w:tcPr>
          <w:p w14:paraId="04D1425C" w14:textId="77777777" w:rsidR="00430A79" w:rsidRPr="00430A79" w:rsidRDefault="00430A79" w:rsidP="00430A79">
            <w:pPr>
              <w:jc w:val="right"/>
              <w:rPr>
                <w:rFonts w:ascii="Arial Narrow" w:hAnsi="Arial Narrow"/>
                <w:b/>
                <w:bCs/>
                <w:color w:val="000000"/>
                <w:sz w:val="20"/>
                <w:szCs w:val="20"/>
              </w:rPr>
            </w:pPr>
            <w:r w:rsidRPr="00430A79">
              <w:rPr>
                <w:rFonts w:ascii="Arial Narrow" w:hAnsi="Arial Narrow"/>
                <w:b/>
                <w:bCs/>
                <w:color w:val="000000"/>
                <w:sz w:val="20"/>
                <w:szCs w:val="20"/>
              </w:rPr>
              <w:t>75,000</w:t>
            </w:r>
          </w:p>
        </w:tc>
        <w:tc>
          <w:tcPr>
            <w:tcW w:w="682" w:type="pct"/>
            <w:tcBorders>
              <w:top w:val="nil"/>
              <w:left w:val="nil"/>
              <w:bottom w:val="single" w:sz="4" w:space="0" w:color="auto"/>
              <w:right w:val="single" w:sz="4" w:space="0" w:color="auto"/>
            </w:tcBorders>
            <w:shd w:val="clear" w:color="auto" w:fill="auto"/>
            <w:noWrap/>
            <w:vAlign w:val="bottom"/>
            <w:hideMark/>
          </w:tcPr>
          <w:p w14:paraId="6AEB7120" w14:textId="77777777" w:rsidR="00430A79" w:rsidRPr="00430A79" w:rsidRDefault="00430A79" w:rsidP="00430A79">
            <w:pPr>
              <w:jc w:val="right"/>
              <w:rPr>
                <w:rFonts w:ascii="Arial Narrow" w:hAnsi="Arial Narrow"/>
                <w:b/>
                <w:bCs/>
                <w:color w:val="000000"/>
                <w:sz w:val="20"/>
                <w:szCs w:val="20"/>
              </w:rPr>
            </w:pPr>
            <w:r w:rsidRPr="00430A79">
              <w:rPr>
                <w:rFonts w:ascii="Arial Narrow" w:hAnsi="Arial Narrow"/>
                <w:b/>
                <w:bCs/>
                <w:color w:val="000000"/>
                <w:sz w:val="20"/>
                <w:szCs w:val="20"/>
              </w:rPr>
              <w:t>65,000</w:t>
            </w:r>
          </w:p>
        </w:tc>
        <w:tc>
          <w:tcPr>
            <w:tcW w:w="682" w:type="pct"/>
            <w:tcBorders>
              <w:top w:val="nil"/>
              <w:left w:val="nil"/>
              <w:bottom w:val="single" w:sz="4" w:space="0" w:color="auto"/>
              <w:right w:val="single" w:sz="4" w:space="0" w:color="auto"/>
            </w:tcBorders>
            <w:shd w:val="clear" w:color="auto" w:fill="auto"/>
            <w:noWrap/>
            <w:vAlign w:val="bottom"/>
            <w:hideMark/>
          </w:tcPr>
          <w:p w14:paraId="655FD12F" w14:textId="77777777" w:rsidR="00430A79" w:rsidRPr="00430A79" w:rsidRDefault="00430A79" w:rsidP="00430A79">
            <w:pPr>
              <w:jc w:val="right"/>
              <w:rPr>
                <w:rFonts w:ascii="Arial Narrow" w:hAnsi="Arial Narrow"/>
                <w:b/>
                <w:bCs/>
                <w:color w:val="000000"/>
                <w:sz w:val="20"/>
                <w:szCs w:val="20"/>
              </w:rPr>
            </w:pPr>
            <w:r w:rsidRPr="00430A79">
              <w:rPr>
                <w:rFonts w:ascii="Arial Narrow" w:hAnsi="Arial Narrow"/>
                <w:b/>
                <w:bCs/>
                <w:color w:val="000000"/>
                <w:sz w:val="20"/>
                <w:szCs w:val="20"/>
              </w:rPr>
              <w:t>60,000</w:t>
            </w:r>
          </w:p>
        </w:tc>
        <w:tc>
          <w:tcPr>
            <w:tcW w:w="682" w:type="pct"/>
            <w:tcBorders>
              <w:top w:val="nil"/>
              <w:left w:val="nil"/>
              <w:bottom w:val="single" w:sz="4" w:space="0" w:color="auto"/>
              <w:right w:val="single" w:sz="4" w:space="0" w:color="auto"/>
            </w:tcBorders>
            <w:shd w:val="clear" w:color="auto" w:fill="auto"/>
            <w:noWrap/>
            <w:vAlign w:val="bottom"/>
            <w:hideMark/>
          </w:tcPr>
          <w:p w14:paraId="27E8DBF5" w14:textId="77777777" w:rsidR="00430A79" w:rsidRPr="00430A79" w:rsidRDefault="00430A79" w:rsidP="00430A79">
            <w:pPr>
              <w:jc w:val="right"/>
              <w:rPr>
                <w:rFonts w:ascii="Arial Narrow" w:hAnsi="Arial Narrow"/>
                <w:b/>
                <w:bCs/>
                <w:color w:val="000000"/>
                <w:sz w:val="20"/>
                <w:szCs w:val="20"/>
              </w:rPr>
            </w:pPr>
            <w:r w:rsidRPr="00430A79">
              <w:rPr>
                <w:rFonts w:ascii="Arial Narrow" w:hAnsi="Arial Narrow"/>
                <w:b/>
                <w:bCs/>
                <w:color w:val="000000"/>
                <w:sz w:val="20"/>
                <w:szCs w:val="20"/>
              </w:rPr>
              <w:t>60,000</w:t>
            </w:r>
          </w:p>
        </w:tc>
        <w:tc>
          <w:tcPr>
            <w:tcW w:w="682" w:type="pct"/>
            <w:tcBorders>
              <w:top w:val="nil"/>
              <w:left w:val="nil"/>
              <w:bottom w:val="single" w:sz="4" w:space="0" w:color="auto"/>
              <w:right w:val="single" w:sz="4" w:space="0" w:color="auto"/>
            </w:tcBorders>
            <w:shd w:val="clear" w:color="auto" w:fill="auto"/>
            <w:noWrap/>
            <w:vAlign w:val="bottom"/>
            <w:hideMark/>
          </w:tcPr>
          <w:p w14:paraId="2B4AFE5A" w14:textId="77777777" w:rsidR="00430A79" w:rsidRPr="00430A79" w:rsidRDefault="00430A79" w:rsidP="00430A79">
            <w:pPr>
              <w:jc w:val="right"/>
              <w:rPr>
                <w:rFonts w:ascii="Arial Narrow" w:hAnsi="Arial Narrow"/>
                <w:b/>
                <w:bCs/>
                <w:color w:val="000000"/>
                <w:sz w:val="20"/>
                <w:szCs w:val="20"/>
              </w:rPr>
            </w:pPr>
            <w:r w:rsidRPr="00430A79">
              <w:rPr>
                <w:rFonts w:ascii="Arial Narrow" w:hAnsi="Arial Narrow"/>
                <w:b/>
                <w:bCs/>
                <w:color w:val="000000"/>
                <w:sz w:val="20"/>
                <w:szCs w:val="20"/>
              </w:rPr>
              <w:t>55,000</w:t>
            </w:r>
          </w:p>
        </w:tc>
        <w:tc>
          <w:tcPr>
            <w:tcW w:w="681" w:type="pct"/>
            <w:tcBorders>
              <w:top w:val="nil"/>
              <w:left w:val="nil"/>
              <w:bottom w:val="single" w:sz="4" w:space="0" w:color="auto"/>
              <w:right w:val="single" w:sz="4" w:space="0" w:color="auto"/>
            </w:tcBorders>
            <w:shd w:val="clear" w:color="auto" w:fill="auto"/>
            <w:noWrap/>
            <w:vAlign w:val="bottom"/>
            <w:hideMark/>
          </w:tcPr>
          <w:p w14:paraId="770C8CF2" w14:textId="77777777" w:rsidR="00430A79" w:rsidRPr="00430A79" w:rsidRDefault="00430A79" w:rsidP="00430A79">
            <w:pPr>
              <w:jc w:val="right"/>
              <w:rPr>
                <w:rFonts w:ascii="Arial Narrow" w:hAnsi="Arial Narrow"/>
                <w:b/>
                <w:bCs/>
                <w:color w:val="000000"/>
                <w:sz w:val="20"/>
                <w:szCs w:val="20"/>
              </w:rPr>
            </w:pPr>
            <w:r w:rsidRPr="00430A79">
              <w:rPr>
                <w:rFonts w:ascii="Arial Narrow" w:hAnsi="Arial Narrow"/>
                <w:b/>
                <w:bCs/>
                <w:color w:val="000000"/>
                <w:sz w:val="20"/>
                <w:szCs w:val="20"/>
              </w:rPr>
              <w:t>315,000</w:t>
            </w:r>
          </w:p>
        </w:tc>
      </w:tr>
    </w:tbl>
    <w:p w14:paraId="7C4D9054" w14:textId="7AD29698" w:rsidR="00430A79" w:rsidRPr="009F5CA1" w:rsidRDefault="00430A79" w:rsidP="00430A79">
      <w:pPr>
        <w:jc w:val="both"/>
        <w:rPr>
          <w:rFonts w:ascii="Arial Narrow" w:eastAsia="Calibri" w:hAnsi="Arial Narrow" w:cs="Calibri"/>
          <w:i/>
          <w:iCs/>
          <w:color w:val="000000" w:themeColor="text1"/>
          <w:sz w:val="20"/>
          <w:szCs w:val="20"/>
          <w:lang w:val="es-ES"/>
        </w:rPr>
      </w:pPr>
      <w:proofErr w:type="spellStart"/>
      <w:r w:rsidRPr="009F5CA1">
        <w:rPr>
          <w:rFonts w:ascii="Arial Narrow" w:eastAsia="Calibri" w:hAnsi="Arial Narrow" w:cs="Calibri"/>
          <w:i/>
          <w:iCs/>
          <w:color w:val="000000" w:themeColor="text1"/>
          <w:sz w:val="20"/>
          <w:szCs w:val="20"/>
          <w:lang w:val="es-ES"/>
        </w:rPr>
        <w:t>Burimi</w:t>
      </w:r>
      <w:proofErr w:type="spellEnd"/>
      <w:r w:rsidRPr="009F5CA1">
        <w:rPr>
          <w:rFonts w:ascii="Arial Narrow" w:eastAsia="Calibri" w:hAnsi="Arial Narrow" w:cs="Calibri"/>
          <w:i/>
          <w:iCs/>
          <w:color w:val="000000" w:themeColor="text1"/>
          <w:sz w:val="20"/>
          <w:szCs w:val="20"/>
          <w:lang w:val="es-ES"/>
        </w:rPr>
        <w:t xml:space="preserve">: </w:t>
      </w:r>
      <w:proofErr w:type="spellStart"/>
      <w:r w:rsidRPr="009F5CA1">
        <w:rPr>
          <w:rFonts w:ascii="Arial Narrow" w:eastAsia="Calibri" w:hAnsi="Arial Narrow" w:cs="Calibri"/>
          <w:i/>
          <w:iCs/>
          <w:color w:val="000000" w:themeColor="text1"/>
          <w:sz w:val="20"/>
          <w:szCs w:val="20"/>
          <w:lang w:val="es-ES"/>
        </w:rPr>
        <w:t>planet</w:t>
      </w:r>
      <w:proofErr w:type="spellEnd"/>
      <w:r w:rsidR="003E303C" w:rsidRPr="009F5CA1">
        <w:rPr>
          <w:rFonts w:ascii="Arial Narrow" w:eastAsia="Calibri" w:hAnsi="Arial Narrow" w:cs="Calibri"/>
          <w:i/>
          <w:iCs/>
          <w:color w:val="000000" w:themeColor="text1"/>
          <w:sz w:val="20"/>
          <w:szCs w:val="20"/>
          <w:lang w:val="es-ES"/>
        </w:rPr>
        <w:t xml:space="preserve"> </w:t>
      </w:r>
      <w:proofErr w:type="spellStart"/>
      <w:r w:rsidR="003E303C" w:rsidRPr="009F5CA1">
        <w:rPr>
          <w:rFonts w:ascii="Arial Narrow" w:eastAsia="Calibri" w:hAnsi="Arial Narrow" w:cs="Calibri"/>
          <w:i/>
          <w:iCs/>
          <w:color w:val="000000" w:themeColor="text1"/>
          <w:sz w:val="20"/>
          <w:szCs w:val="20"/>
          <w:lang w:val="es-ES"/>
        </w:rPr>
        <w:t>komunale</w:t>
      </w:r>
      <w:proofErr w:type="spellEnd"/>
      <w:r w:rsidR="003E303C" w:rsidRPr="009F5CA1">
        <w:rPr>
          <w:rFonts w:ascii="Arial Narrow" w:eastAsia="Calibri" w:hAnsi="Arial Narrow" w:cs="Calibri"/>
          <w:i/>
          <w:iCs/>
          <w:color w:val="000000" w:themeColor="text1"/>
          <w:sz w:val="20"/>
          <w:szCs w:val="20"/>
          <w:lang w:val="es-ES"/>
        </w:rPr>
        <w:t xml:space="preserve"> </w:t>
      </w:r>
      <w:proofErr w:type="spellStart"/>
      <w:r w:rsidR="003E303C" w:rsidRPr="009F5CA1">
        <w:rPr>
          <w:rFonts w:ascii="Arial Narrow" w:eastAsia="Calibri" w:hAnsi="Arial Narrow" w:cs="Calibri"/>
          <w:i/>
          <w:iCs/>
          <w:color w:val="000000" w:themeColor="text1"/>
          <w:sz w:val="20"/>
          <w:szCs w:val="20"/>
          <w:lang w:val="es-ES"/>
        </w:rPr>
        <w:t>për</w:t>
      </w:r>
      <w:proofErr w:type="spellEnd"/>
      <w:r w:rsidR="003E303C" w:rsidRPr="009F5CA1">
        <w:rPr>
          <w:rFonts w:ascii="Arial Narrow" w:eastAsia="Calibri" w:hAnsi="Arial Narrow" w:cs="Calibri"/>
          <w:i/>
          <w:iCs/>
          <w:color w:val="000000" w:themeColor="text1"/>
          <w:sz w:val="20"/>
          <w:szCs w:val="20"/>
          <w:lang w:val="es-ES"/>
        </w:rPr>
        <w:t xml:space="preserve"> </w:t>
      </w:r>
      <w:proofErr w:type="spellStart"/>
      <w:r w:rsidRPr="009F5CA1">
        <w:rPr>
          <w:rFonts w:ascii="Arial Narrow" w:eastAsia="Calibri" w:hAnsi="Arial Narrow" w:cs="Calibri"/>
          <w:i/>
          <w:iCs/>
          <w:color w:val="000000" w:themeColor="text1"/>
          <w:sz w:val="20"/>
          <w:szCs w:val="20"/>
          <w:lang w:val="es-ES"/>
        </w:rPr>
        <w:t>menaxhimi</w:t>
      </w:r>
      <w:r w:rsidR="003E303C" w:rsidRPr="009F5CA1">
        <w:rPr>
          <w:rFonts w:ascii="Arial Narrow" w:eastAsia="Calibri" w:hAnsi="Arial Narrow" w:cs="Calibri"/>
          <w:i/>
          <w:iCs/>
          <w:color w:val="000000" w:themeColor="text1"/>
          <w:sz w:val="20"/>
          <w:szCs w:val="20"/>
          <w:lang w:val="es-ES"/>
        </w:rPr>
        <w:t>n</w:t>
      </w:r>
      <w:proofErr w:type="spellEnd"/>
      <w:r w:rsidRPr="009F5CA1">
        <w:rPr>
          <w:rFonts w:ascii="Arial Narrow" w:eastAsia="Calibri" w:hAnsi="Arial Narrow" w:cs="Calibri"/>
          <w:i/>
          <w:iCs/>
          <w:color w:val="000000" w:themeColor="text1"/>
          <w:sz w:val="20"/>
          <w:szCs w:val="20"/>
          <w:lang w:val="es-ES"/>
        </w:rPr>
        <w:t xml:space="preserve"> </w:t>
      </w:r>
      <w:r w:rsidR="003E303C" w:rsidRPr="009F5CA1">
        <w:rPr>
          <w:rFonts w:ascii="Arial Narrow" w:eastAsia="Calibri" w:hAnsi="Arial Narrow" w:cs="Calibri"/>
          <w:i/>
          <w:iCs/>
          <w:color w:val="000000" w:themeColor="text1"/>
          <w:sz w:val="20"/>
          <w:szCs w:val="20"/>
          <w:lang w:val="es-ES"/>
        </w:rPr>
        <w:t>e</w:t>
      </w:r>
      <w:r w:rsidRPr="009F5CA1">
        <w:rPr>
          <w:rFonts w:ascii="Arial Narrow" w:eastAsia="Calibri" w:hAnsi="Arial Narrow" w:cs="Calibri"/>
          <w:i/>
          <w:iCs/>
          <w:color w:val="000000" w:themeColor="text1"/>
          <w:sz w:val="20"/>
          <w:szCs w:val="20"/>
          <w:lang w:val="es-ES"/>
        </w:rPr>
        <w:t xml:space="preserve"> </w:t>
      </w:r>
      <w:proofErr w:type="spellStart"/>
      <w:r w:rsidRPr="009F5CA1">
        <w:rPr>
          <w:rFonts w:ascii="Arial Narrow" w:eastAsia="Calibri" w:hAnsi="Arial Narrow" w:cs="Calibri"/>
          <w:i/>
          <w:iCs/>
          <w:color w:val="000000" w:themeColor="text1"/>
          <w:sz w:val="20"/>
          <w:szCs w:val="20"/>
          <w:lang w:val="es-ES"/>
        </w:rPr>
        <w:t>mbet</w:t>
      </w:r>
      <w:r w:rsidR="003E303C" w:rsidRPr="009F5CA1">
        <w:rPr>
          <w:rFonts w:ascii="Arial Narrow" w:eastAsia="Calibri" w:hAnsi="Arial Narrow" w:cs="Calibri"/>
          <w:i/>
          <w:iCs/>
          <w:color w:val="000000" w:themeColor="text1"/>
          <w:sz w:val="20"/>
          <w:szCs w:val="20"/>
          <w:lang w:val="es-ES"/>
        </w:rPr>
        <w:t>urinave</w:t>
      </w:r>
      <w:proofErr w:type="spellEnd"/>
    </w:p>
    <w:p w14:paraId="46A6E7D7" w14:textId="77777777" w:rsidR="00430A79" w:rsidRPr="009F5CA1" w:rsidRDefault="00430A79" w:rsidP="00430A79">
      <w:pPr>
        <w:jc w:val="both"/>
        <w:rPr>
          <w:rFonts w:ascii="Arial Narrow" w:eastAsia="Calibri" w:hAnsi="Arial Narrow" w:cs="Calibri"/>
          <w:color w:val="000000" w:themeColor="text1"/>
          <w:sz w:val="22"/>
          <w:szCs w:val="22"/>
          <w:lang w:val="es-ES"/>
        </w:rPr>
      </w:pPr>
    </w:p>
    <w:p w14:paraId="0C1910BB" w14:textId="08B4F2F1" w:rsidR="00430A79" w:rsidRPr="009F5CA1" w:rsidRDefault="00923894" w:rsidP="00430A79">
      <w:pPr>
        <w:jc w:val="both"/>
        <w:rPr>
          <w:rFonts w:ascii="Arial Narrow" w:eastAsia="Calibri" w:hAnsi="Arial Narrow" w:cs="Calibri"/>
          <w:color w:val="000000" w:themeColor="text1"/>
          <w:sz w:val="22"/>
          <w:szCs w:val="22"/>
          <w:lang w:val="sq-AL"/>
        </w:rPr>
      </w:pPr>
      <w:r w:rsidRPr="00923894">
        <w:rPr>
          <w:rFonts w:ascii="Arial Narrow" w:eastAsia="Calibri" w:hAnsi="Arial Narrow" w:cs="Calibri"/>
          <w:sz w:val="22"/>
          <w:szCs w:val="22"/>
          <w:lang w:val="sq-AL"/>
        </w:rPr>
        <w:t>Në planet e tyre të menaxhimit të mbetuirnave komunale, të gjitha komunat parashikojnë fonde për mbylljen graduale të të gjitha deponive në territorin e tyre deri në vitin 2027. Prandaj, aktivitetet që kanë të bëjnë me mbylljen e deponive nuk janë të përfshira në Planin e Veprimit të këtij PNMIM</w:t>
      </w:r>
      <w:r w:rsidR="00430A79" w:rsidRPr="009F5CA1">
        <w:rPr>
          <w:rFonts w:ascii="Arial Narrow" w:eastAsia="Calibri" w:hAnsi="Arial Narrow" w:cs="Calibri"/>
          <w:color w:val="000000" w:themeColor="text1"/>
          <w:sz w:val="22"/>
          <w:szCs w:val="22"/>
          <w:lang w:val="sq-AL"/>
        </w:rPr>
        <w:t>.</w:t>
      </w:r>
    </w:p>
    <w:p w14:paraId="3D032AAC" w14:textId="77777777" w:rsidR="003F742B" w:rsidRPr="009F5CA1" w:rsidRDefault="003F742B" w:rsidP="00430A79">
      <w:pPr>
        <w:jc w:val="both"/>
        <w:rPr>
          <w:rFonts w:ascii="Arial Narrow" w:eastAsia="Calibri" w:hAnsi="Arial Narrow" w:cs="Calibri"/>
          <w:color w:val="000000" w:themeColor="text1"/>
          <w:sz w:val="22"/>
          <w:szCs w:val="22"/>
          <w:lang w:val="sq-AL"/>
        </w:rPr>
      </w:pPr>
    </w:p>
    <w:p w14:paraId="735D0404" w14:textId="12F131F4" w:rsidR="00430A79" w:rsidRPr="00923894" w:rsidRDefault="00430A79" w:rsidP="000D7AD0">
      <w:pPr>
        <w:pStyle w:val="Heading2"/>
        <w:rPr>
          <w:sz w:val="22"/>
          <w:szCs w:val="22"/>
        </w:rPr>
      </w:pPr>
      <w:bookmarkStart w:id="425" w:name="_Toc185866136"/>
      <w:bookmarkStart w:id="426" w:name="_Toc197472027"/>
      <w:r w:rsidRPr="00923894">
        <w:rPr>
          <w:sz w:val="22"/>
          <w:szCs w:val="22"/>
        </w:rPr>
        <w:t>Skenarët për zhvillimin e një sistemi të integruar të menaxhimit të mbet</w:t>
      </w:r>
      <w:r w:rsidR="00923894" w:rsidRPr="00923894">
        <w:rPr>
          <w:sz w:val="22"/>
          <w:szCs w:val="22"/>
        </w:rPr>
        <w:t>urinave</w:t>
      </w:r>
      <w:bookmarkEnd w:id="425"/>
      <w:bookmarkEnd w:id="426"/>
    </w:p>
    <w:p w14:paraId="2DE3C13A" w14:textId="77777777" w:rsidR="003F742B" w:rsidRDefault="003F742B" w:rsidP="00430A79">
      <w:pPr>
        <w:spacing w:after="120"/>
        <w:jc w:val="both"/>
        <w:rPr>
          <w:rFonts w:ascii="Arial Narrow" w:eastAsia="Calibri" w:hAnsi="Arial Narrow" w:cs="Calibri"/>
          <w:sz w:val="22"/>
          <w:szCs w:val="22"/>
          <w:lang w:val="sq-AL"/>
        </w:rPr>
      </w:pPr>
      <w:bookmarkStart w:id="427" w:name="_Hlk195521114"/>
    </w:p>
    <w:p w14:paraId="2B9E47AF" w14:textId="659C07CA" w:rsidR="00430A79" w:rsidRPr="009F5CA1" w:rsidRDefault="00923894" w:rsidP="00430A79">
      <w:pPr>
        <w:spacing w:after="120"/>
        <w:jc w:val="both"/>
        <w:rPr>
          <w:rFonts w:ascii="Arial Narrow" w:eastAsia="Calibri" w:hAnsi="Arial Narrow" w:cs="Calibri"/>
          <w:color w:val="000000" w:themeColor="text1"/>
          <w:sz w:val="22"/>
          <w:szCs w:val="22"/>
          <w:lang w:val="sq-AL"/>
        </w:rPr>
      </w:pPr>
      <w:r w:rsidRPr="00923894">
        <w:rPr>
          <w:rFonts w:ascii="Arial Narrow" w:eastAsia="Calibri" w:hAnsi="Arial Narrow" w:cs="Calibri"/>
          <w:sz w:val="22"/>
          <w:szCs w:val="22"/>
          <w:lang w:val="sq-AL"/>
        </w:rPr>
        <w:t>Ky seksion shqyrton disa opsione të ndryshme, në mënyrë që të identifikojë shkallën e mundshme të kostove dhe përfitimeve që mund të rezultojnë nga skenarë të ndryshëm të riciklimit dhe trajtimit më intensiv në ZMM</w:t>
      </w:r>
      <w:r w:rsidR="00430A79" w:rsidRPr="009F5CA1">
        <w:rPr>
          <w:rFonts w:ascii="Arial Narrow" w:eastAsia="Calibri" w:hAnsi="Arial Narrow" w:cs="Calibri"/>
          <w:color w:val="000000" w:themeColor="text1"/>
          <w:sz w:val="22"/>
          <w:szCs w:val="22"/>
          <w:lang w:val="sq-AL"/>
        </w:rPr>
        <w:t>.</w:t>
      </w:r>
    </w:p>
    <w:p w14:paraId="2B05E9FD" w14:textId="77777777" w:rsidR="003F742B" w:rsidRPr="009F5CA1" w:rsidRDefault="003F742B" w:rsidP="00430A79">
      <w:pPr>
        <w:spacing w:after="120"/>
        <w:jc w:val="both"/>
        <w:rPr>
          <w:rFonts w:ascii="Arial Narrow" w:eastAsia="Calibri" w:hAnsi="Arial Narrow" w:cs="Calibri"/>
          <w:color w:val="000000" w:themeColor="text1"/>
          <w:sz w:val="22"/>
          <w:szCs w:val="22"/>
          <w:lang w:val="sq-AL"/>
        </w:rPr>
      </w:pPr>
    </w:p>
    <w:p w14:paraId="56E884A7" w14:textId="469E956F" w:rsidR="00430A79" w:rsidRPr="00430A79" w:rsidRDefault="00430A79" w:rsidP="000D7AD0">
      <w:pPr>
        <w:pStyle w:val="Heading3"/>
      </w:pPr>
      <w:bookmarkStart w:id="428" w:name="_Toc185866137"/>
      <w:bookmarkStart w:id="429" w:name="_Toc197472028"/>
      <w:bookmarkEnd w:id="427"/>
      <w:r w:rsidRPr="00923894">
        <w:lastRenderedPageBreak/>
        <w:t>Formulimi i skenarëve</w:t>
      </w:r>
      <w:r w:rsidRPr="00430A79">
        <w:t xml:space="preserve"> për sistemin e ardhshëm të menaxhimit të mbet</w:t>
      </w:r>
      <w:r w:rsidR="00923894">
        <w:t>urinave</w:t>
      </w:r>
      <w:r w:rsidRPr="00430A79">
        <w:t xml:space="preserve"> komunale</w:t>
      </w:r>
      <w:bookmarkEnd w:id="428"/>
      <w:bookmarkEnd w:id="429"/>
    </w:p>
    <w:p w14:paraId="2FFF377B" w14:textId="77777777" w:rsidR="003F742B" w:rsidRDefault="003F742B" w:rsidP="00923894">
      <w:pPr>
        <w:pStyle w:val="Paragraph"/>
        <w:spacing w:after="0"/>
        <w:rPr>
          <w:rFonts w:eastAsia="Calibri" w:cs="Calibri"/>
          <w:lang w:val="sq-AL"/>
        </w:rPr>
      </w:pPr>
    </w:p>
    <w:p w14:paraId="78A09BE2" w14:textId="12E9D78F" w:rsidR="00923894" w:rsidRPr="00923894" w:rsidRDefault="00923894" w:rsidP="00923894">
      <w:pPr>
        <w:pStyle w:val="Paragraph"/>
        <w:spacing w:after="0"/>
        <w:rPr>
          <w:rFonts w:eastAsia="Calibri" w:cs="Calibri"/>
          <w:lang w:val="sq-AL"/>
        </w:rPr>
      </w:pPr>
      <w:r w:rsidRPr="00923894">
        <w:rPr>
          <w:rFonts w:eastAsia="Calibri" w:cs="Calibri"/>
          <w:lang w:val="sq-AL"/>
        </w:rPr>
        <w:t>Skenarët për zhvillimin e sistemit të ardhshëm të menaxhimit të integruar të mbeturinave janë formuluar si kombinim i alternativave të ndryshme për operacionet individuale të menaxhimit të mbeturinave, të shqyrtuara në seksionet e mëparshme,</w:t>
      </w:r>
    </w:p>
    <w:p w14:paraId="448926EF" w14:textId="77777777" w:rsidR="00923894" w:rsidRPr="00923894" w:rsidRDefault="00923894" w:rsidP="00923894">
      <w:pPr>
        <w:pStyle w:val="Paragraph"/>
        <w:spacing w:after="0"/>
        <w:rPr>
          <w:rFonts w:eastAsia="Calibri" w:cs="Calibri"/>
          <w:lang w:val="sq-AL"/>
        </w:rPr>
      </w:pPr>
    </w:p>
    <w:p w14:paraId="28ECD9FF" w14:textId="5CA78626" w:rsidR="00430A79" w:rsidRPr="009F5CA1" w:rsidRDefault="00923894" w:rsidP="00923894">
      <w:pPr>
        <w:jc w:val="both"/>
        <w:rPr>
          <w:rFonts w:ascii="Arial Narrow" w:eastAsia="Calibri" w:hAnsi="Arial Narrow" w:cs="Calibri"/>
          <w:color w:val="000000" w:themeColor="text1"/>
          <w:sz w:val="22"/>
          <w:szCs w:val="22"/>
          <w:lang w:val="sq-AL"/>
        </w:rPr>
      </w:pPr>
      <w:r w:rsidRPr="00923894">
        <w:rPr>
          <w:rFonts w:ascii="Arial Narrow" w:eastAsia="Calibri" w:hAnsi="Arial Narrow" w:cs="Calibri"/>
          <w:sz w:val="22"/>
          <w:szCs w:val="22"/>
          <w:lang w:val="sq-AL"/>
        </w:rPr>
        <w:t>Tabela më poshtë paraqet grupimin e opsioneve të mundshme të sistemit</w:t>
      </w:r>
      <w:r w:rsidR="00430A79" w:rsidRPr="009F5CA1">
        <w:rPr>
          <w:rFonts w:ascii="Arial Narrow" w:eastAsia="Calibri" w:hAnsi="Arial Narrow" w:cs="Calibri"/>
          <w:color w:val="000000" w:themeColor="text1"/>
          <w:sz w:val="22"/>
          <w:szCs w:val="22"/>
          <w:lang w:val="sq-AL"/>
        </w:rPr>
        <w:t>.</w:t>
      </w:r>
    </w:p>
    <w:p w14:paraId="119CF0FA" w14:textId="77777777" w:rsidR="00923894" w:rsidRPr="009F5CA1" w:rsidRDefault="00923894" w:rsidP="00430A79">
      <w:pPr>
        <w:spacing w:after="120"/>
        <w:jc w:val="both"/>
        <w:rPr>
          <w:rFonts w:ascii="Arial Narrow" w:eastAsia="Calibri" w:hAnsi="Arial Narrow" w:cs="Calibri"/>
          <w:color w:val="1F497D"/>
          <w:sz w:val="22"/>
          <w:szCs w:val="22"/>
          <w:lang w:val="sq-AL"/>
        </w:rPr>
      </w:pPr>
    </w:p>
    <w:p w14:paraId="653CB037" w14:textId="2629C3CC" w:rsidR="00430A79" w:rsidRPr="00430A79" w:rsidRDefault="00430A79" w:rsidP="00430A79">
      <w:pPr>
        <w:spacing w:after="120"/>
        <w:jc w:val="both"/>
        <w:rPr>
          <w:rFonts w:ascii="Arial Narrow" w:eastAsia="Calibri" w:hAnsi="Arial Narrow" w:cs="Calibri"/>
          <w:color w:val="1F497D"/>
          <w:sz w:val="20"/>
          <w:szCs w:val="20"/>
          <w:lang w:val="en-GB"/>
        </w:rPr>
      </w:pPr>
      <w:bookmarkStart w:id="430" w:name="_Toc185866218"/>
      <w:bookmarkStart w:id="431" w:name="_Toc197472247"/>
      <w:r w:rsidRPr="009F5CA1">
        <w:rPr>
          <w:rFonts w:ascii="Arial Narrow" w:eastAsia="Calibri" w:hAnsi="Arial Narrow" w:cs="Calibri"/>
          <w:color w:val="1F497D"/>
          <w:sz w:val="22"/>
          <w:szCs w:val="22"/>
          <w:lang w:val="sq-AL"/>
        </w:rPr>
        <w:t xml:space="preserve">Tabela </w:t>
      </w:r>
      <w:r w:rsidRPr="00923894">
        <w:rPr>
          <w:rFonts w:ascii="Arial Narrow" w:eastAsia="Calibri" w:hAnsi="Arial Narrow" w:cs="Calibri"/>
          <w:color w:val="1F497D"/>
          <w:sz w:val="22"/>
          <w:szCs w:val="22"/>
          <w:lang w:val="en-GB"/>
        </w:rPr>
        <w:fldChar w:fldCharType="begin"/>
      </w:r>
      <w:r w:rsidRPr="009F5CA1">
        <w:rPr>
          <w:rFonts w:ascii="Arial Narrow" w:eastAsia="Calibri" w:hAnsi="Arial Narrow" w:cs="Calibri"/>
          <w:color w:val="1F497D"/>
          <w:sz w:val="22"/>
          <w:szCs w:val="22"/>
          <w:lang w:val="sq-AL"/>
        </w:rPr>
        <w:instrText xml:space="preserve"> SEQ Table \* ARABIC </w:instrText>
      </w:r>
      <w:r w:rsidRPr="00923894">
        <w:rPr>
          <w:rFonts w:ascii="Arial Narrow" w:eastAsia="Calibri" w:hAnsi="Arial Narrow" w:cs="Calibri"/>
          <w:color w:val="1F497D"/>
          <w:sz w:val="22"/>
          <w:szCs w:val="22"/>
          <w:lang w:val="en-GB"/>
        </w:rPr>
        <w:fldChar w:fldCharType="separate"/>
      </w:r>
      <w:r w:rsidR="00C97DF3" w:rsidRPr="009F5CA1">
        <w:rPr>
          <w:rFonts w:ascii="Arial Narrow" w:eastAsia="Calibri" w:hAnsi="Arial Narrow" w:cs="Calibri"/>
          <w:noProof/>
          <w:color w:val="1F497D"/>
          <w:sz w:val="22"/>
          <w:szCs w:val="22"/>
          <w:lang w:val="sq-AL"/>
        </w:rPr>
        <w:t xml:space="preserve">62. </w:t>
      </w:r>
      <w:r w:rsidRPr="00923894">
        <w:rPr>
          <w:rFonts w:ascii="Arial Narrow" w:eastAsia="Calibri" w:hAnsi="Arial Narrow" w:cs="Calibri"/>
          <w:color w:val="1F497D"/>
          <w:sz w:val="22"/>
          <w:szCs w:val="22"/>
          <w:lang w:val="en-GB"/>
        </w:rPr>
        <w:fldChar w:fldCharType="end"/>
      </w:r>
      <w:proofErr w:type="spellStart"/>
      <w:r w:rsidR="00923894">
        <w:rPr>
          <w:rFonts w:ascii="Arial Narrow" w:eastAsia="Calibri" w:hAnsi="Arial Narrow" w:cs="Calibri"/>
          <w:color w:val="1F497D"/>
          <w:sz w:val="22"/>
          <w:szCs w:val="22"/>
          <w:lang w:val="en-GB"/>
        </w:rPr>
        <w:t>Opsionet</w:t>
      </w:r>
      <w:proofErr w:type="spellEnd"/>
      <w:r w:rsidR="00923894">
        <w:rPr>
          <w:rFonts w:ascii="Arial Narrow" w:eastAsia="Calibri" w:hAnsi="Arial Narrow" w:cs="Calibri"/>
          <w:color w:val="1F497D"/>
          <w:sz w:val="22"/>
          <w:szCs w:val="22"/>
          <w:lang w:val="en-GB"/>
        </w:rPr>
        <w:t xml:space="preserve"> </w:t>
      </w:r>
      <w:proofErr w:type="spellStart"/>
      <w:r w:rsidR="00923894">
        <w:rPr>
          <w:rFonts w:ascii="Arial Narrow" w:eastAsia="Calibri" w:hAnsi="Arial Narrow" w:cs="Calibri"/>
          <w:color w:val="1F497D"/>
          <w:sz w:val="22"/>
          <w:szCs w:val="22"/>
          <w:lang w:val="en-GB"/>
        </w:rPr>
        <w:t>për</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sistemin</w:t>
      </w:r>
      <w:proofErr w:type="spellEnd"/>
      <w:r w:rsidRPr="00430A79">
        <w:rPr>
          <w:rFonts w:ascii="Arial Narrow" w:eastAsia="Calibri" w:hAnsi="Arial Narrow" w:cs="Calibri"/>
          <w:color w:val="1F497D"/>
          <w:sz w:val="20"/>
          <w:szCs w:val="20"/>
          <w:lang w:val="en-GB"/>
        </w:rPr>
        <w:t xml:space="preserve"> e </w:t>
      </w:r>
      <w:proofErr w:type="spellStart"/>
      <w:r w:rsidRPr="00430A79">
        <w:rPr>
          <w:rFonts w:ascii="Arial Narrow" w:eastAsia="Calibri" w:hAnsi="Arial Narrow" w:cs="Calibri"/>
          <w:color w:val="1F497D"/>
          <w:sz w:val="20"/>
          <w:szCs w:val="20"/>
          <w:lang w:val="en-GB"/>
        </w:rPr>
        <w:t>integruar</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të</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menaxhimit</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të</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mbet</w:t>
      </w:r>
      <w:r w:rsidR="00923894">
        <w:rPr>
          <w:rFonts w:ascii="Arial Narrow" w:eastAsia="Calibri" w:hAnsi="Arial Narrow" w:cs="Calibri"/>
          <w:color w:val="1F497D"/>
          <w:sz w:val="20"/>
          <w:szCs w:val="20"/>
          <w:lang w:val="en-GB"/>
        </w:rPr>
        <w:t>urinave</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komunale</w:t>
      </w:r>
      <w:bookmarkEnd w:id="430"/>
      <w:bookmarkEnd w:id="431"/>
      <w:proofErr w:type="spellEnd"/>
    </w:p>
    <w:tbl>
      <w:tblPr>
        <w:tblW w:w="5000" w:type="pct"/>
        <w:tblCellMar>
          <w:top w:w="28" w:type="dxa"/>
          <w:left w:w="28" w:type="dxa"/>
          <w:right w:w="28" w:type="dxa"/>
        </w:tblCellMar>
        <w:tblLook w:val="0000" w:firstRow="0" w:lastRow="0" w:firstColumn="0" w:lastColumn="0" w:noHBand="0" w:noVBand="0"/>
      </w:tblPr>
      <w:tblGrid>
        <w:gridCol w:w="1084"/>
        <w:gridCol w:w="1464"/>
        <w:gridCol w:w="1176"/>
        <w:gridCol w:w="1516"/>
        <w:gridCol w:w="1131"/>
        <w:gridCol w:w="1563"/>
        <w:gridCol w:w="1082"/>
      </w:tblGrid>
      <w:tr w:rsidR="00430A79" w:rsidRPr="00430A79" w14:paraId="3C60A9F3" w14:textId="77777777" w:rsidTr="009C5275">
        <w:trPr>
          <w:trHeight w:hRule="exact" w:val="778"/>
          <w:tblHeader/>
        </w:trPr>
        <w:tc>
          <w:tcPr>
            <w:tcW w:w="601" w:type="pct"/>
            <w:tcBorders>
              <w:top w:val="single" w:sz="4" w:space="0" w:color="000000"/>
              <w:left w:val="single" w:sz="4" w:space="0" w:color="000000"/>
              <w:bottom w:val="single" w:sz="4" w:space="0" w:color="000000"/>
              <w:right w:val="single" w:sz="4" w:space="0" w:color="000000"/>
            </w:tcBorders>
            <w:shd w:val="clear" w:color="auto" w:fill="365F91"/>
            <w:vAlign w:val="center"/>
          </w:tcPr>
          <w:p w14:paraId="31B2A879" w14:textId="65B77FCC" w:rsidR="00430A79" w:rsidRPr="00430A79" w:rsidRDefault="00923894" w:rsidP="00430A79">
            <w:pPr>
              <w:widowControl w:val="0"/>
              <w:autoSpaceDE w:val="0"/>
              <w:autoSpaceDN w:val="0"/>
              <w:spacing w:before="60" w:after="60"/>
              <w:rPr>
                <w:rFonts w:ascii="Arial Narrow" w:eastAsia="Calibri" w:hAnsi="Arial Narrow" w:cs="Calibri"/>
                <w:b/>
                <w:color w:val="FFFFFF"/>
                <w:sz w:val="20"/>
                <w:szCs w:val="20"/>
              </w:rPr>
            </w:pPr>
            <w:r>
              <w:rPr>
                <w:rFonts w:ascii="Arial Narrow" w:eastAsia="Calibri" w:hAnsi="Arial Narrow" w:cs="Calibri"/>
                <w:b/>
                <w:color w:val="FFFFFF"/>
                <w:sz w:val="20"/>
                <w:szCs w:val="20"/>
              </w:rPr>
              <w:t>Elementet e Sisitemit</w:t>
            </w:r>
          </w:p>
        </w:tc>
        <w:tc>
          <w:tcPr>
            <w:tcW w:w="812" w:type="pct"/>
            <w:tcBorders>
              <w:top w:val="single" w:sz="4" w:space="0" w:color="000000"/>
              <w:left w:val="single" w:sz="4" w:space="0" w:color="000000"/>
              <w:bottom w:val="single" w:sz="4" w:space="0" w:color="000000"/>
              <w:right w:val="single" w:sz="4" w:space="0" w:color="000000"/>
            </w:tcBorders>
            <w:shd w:val="clear" w:color="auto" w:fill="365F91"/>
            <w:vAlign w:val="center"/>
          </w:tcPr>
          <w:p w14:paraId="2DF60525"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1</w:t>
            </w:r>
          </w:p>
        </w:tc>
        <w:tc>
          <w:tcPr>
            <w:tcW w:w="652" w:type="pct"/>
            <w:tcBorders>
              <w:top w:val="single" w:sz="4" w:space="0" w:color="000000"/>
              <w:left w:val="single" w:sz="4" w:space="0" w:color="000000"/>
              <w:bottom w:val="single" w:sz="4" w:space="0" w:color="000000"/>
              <w:right w:val="single" w:sz="4" w:space="0" w:color="000000"/>
            </w:tcBorders>
            <w:shd w:val="clear" w:color="auto" w:fill="365F91"/>
            <w:vAlign w:val="center"/>
          </w:tcPr>
          <w:p w14:paraId="52303874"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1a</w:t>
            </w:r>
          </w:p>
        </w:tc>
        <w:tc>
          <w:tcPr>
            <w:tcW w:w="841" w:type="pct"/>
            <w:tcBorders>
              <w:top w:val="single" w:sz="4" w:space="0" w:color="000000"/>
              <w:left w:val="single" w:sz="4" w:space="0" w:color="000000"/>
              <w:bottom w:val="single" w:sz="4" w:space="0" w:color="000000"/>
              <w:right w:val="single" w:sz="4" w:space="0" w:color="000000"/>
            </w:tcBorders>
            <w:shd w:val="clear" w:color="auto" w:fill="365F91"/>
            <w:vAlign w:val="center"/>
          </w:tcPr>
          <w:p w14:paraId="1EF29614"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2</w:t>
            </w:r>
          </w:p>
        </w:tc>
        <w:tc>
          <w:tcPr>
            <w:tcW w:w="627" w:type="pct"/>
            <w:tcBorders>
              <w:top w:val="single" w:sz="4" w:space="0" w:color="000000"/>
              <w:left w:val="single" w:sz="4" w:space="0" w:color="000000"/>
              <w:bottom w:val="single" w:sz="4" w:space="0" w:color="000000"/>
              <w:right w:val="single" w:sz="4" w:space="0" w:color="000000"/>
            </w:tcBorders>
            <w:shd w:val="clear" w:color="auto" w:fill="365F91"/>
            <w:vAlign w:val="center"/>
          </w:tcPr>
          <w:p w14:paraId="5B74523C"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3</w:t>
            </w:r>
          </w:p>
        </w:tc>
        <w:tc>
          <w:tcPr>
            <w:tcW w:w="867" w:type="pct"/>
            <w:tcBorders>
              <w:top w:val="single" w:sz="4" w:space="0" w:color="000000"/>
              <w:left w:val="single" w:sz="4" w:space="0" w:color="000000"/>
              <w:bottom w:val="single" w:sz="4" w:space="0" w:color="000000"/>
              <w:right w:val="single" w:sz="4" w:space="0" w:color="000000"/>
            </w:tcBorders>
            <w:shd w:val="clear" w:color="auto" w:fill="365F91"/>
            <w:vAlign w:val="center"/>
          </w:tcPr>
          <w:p w14:paraId="1883A0E4"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4</w:t>
            </w:r>
          </w:p>
        </w:tc>
        <w:tc>
          <w:tcPr>
            <w:tcW w:w="601" w:type="pct"/>
            <w:tcBorders>
              <w:top w:val="single" w:sz="4" w:space="0" w:color="000000"/>
              <w:left w:val="single" w:sz="4" w:space="0" w:color="000000"/>
              <w:bottom w:val="single" w:sz="4" w:space="0" w:color="000000"/>
              <w:right w:val="single" w:sz="4" w:space="0" w:color="000000"/>
            </w:tcBorders>
            <w:shd w:val="clear" w:color="auto" w:fill="365F91"/>
            <w:vAlign w:val="center"/>
          </w:tcPr>
          <w:p w14:paraId="0CBFFD2F"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5</w:t>
            </w:r>
          </w:p>
        </w:tc>
      </w:tr>
      <w:tr w:rsidR="00923894" w:rsidRPr="00430A79" w14:paraId="52D7B580" w14:textId="77777777" w:rsidTr="009C5275">
        <w:trPr>
          <w:trHeight w:val="20"/>
        </w:trPr>
        <w:tc>
          <w:tcPr>
            <w:tcW w:w="601" w:type="pct"/>
            <w:tcBorders>
              <w:top w:val="single" w:sz="4" w:space="0" w:color="000000"/>
              <w:left w:val="single" w:sz="4" w:space="0" w:color="000000"/>
              <w:bottom w:val="single" w:sz="4" w:space="0" w:color="000000"/>
              <w:right w:val="single" w:sz="4" w:space="0" w:color="000000"/>
            </w:tcBorders>
          </w:tcPr>
          <w:p w14:paraId="636499C1" w14:textId="0EF1ED6E"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Grumbullimi i mbeturinave të përziera</w:t>
            </w:r>
            <w:r w:rsidRPr="00BE2534">
              <w:rPr>
                <w:rStyle w:val="FootnoteReference"/>
                <w:rFonts w:eastAsia="Calibri" w:cs="Calibri"/>
                <w:szCs w:val="20"/>
                <w:lang w:val="sq-AL"/>
              </w:rPr>
              <w:footnoteReference w:id="32"/>
            </w:r>
          </w:p>
        </w:tc>
        <w:tc>
          <w:tcPr>
            <w:tcW w:w="812" w:type="pct"/>
            <w:tcBorders>
              <w:top w:val="single" w:sz="4" w:space="0" w:color="000000"/>
              <w:left w:val="single" w:sz="4" w:space="0" w:color="000000"/>
              <w:bottom w:val="single" w:sz="4" w:space="0" w:color="000000"/>
              <w:right w:val="single" w:sz="4" w:space="0" w:color="000000"/>
            </w:tcBorders>
          </w:tcPr>
          <w:p w14:paraId="256B7016" w14:textId="1FC03542"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Sistemi aktual i grumbullimit i bazuar në kontejnerë 1.1 m³ dhe shporta individuale 240 l</w:t>
            </w:r>
          </w:p>
        </w:tc>
        <w:tc>
          <w:tcPr>
            <w:tcW w:w="652" w:type="pct"/>
            <w:tcBorders>
              <w:top w:val="single" w:sz="4" w:space="0" w:color="000000"/>
              <w:left w:val="single" w:sz="4" w:space="0" w:color="000000"/>
              <w:bottom w:val="single" w:sz="4" w:space="0" w:color="000000"/>
              <w:right w:val="single" w:sz="4" w:space="0" w:color="000000"/>
            </w:tcBorders>
          </w:tcPr>
          <w:p w14:paraId="25B7AFD8" w14:textId="2FCFC8E5"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Sistemi aktual i grumbullimit i bazuar në kontejnerë 1.1 m³ dhe shporta individuale 240 l</w:t>
            </w:r>
          </w:p>
        </w:tc>
        <w:tc>
          <w:tcPr>
            <w:tcW w:w="841" w:type="pct"/>
            <w:tcBorders>
              <w:top w:val="single" w:sz="4" w:space="0" w:color="000000"/>
              <w:left w:val="single" w:sz="4" w:space="0" w:color="000000"/>
              <w:bottom w:val="single" w:sz="4" w:space="0" w:color="000000"/>
              <w:right w:val="single" w:sz="4" w:space="0" w:color="000000"/>
            </w:tcBorders>
          </w:tcPr>
          <w:p w14:paraId="12E1BF9F" w14:textId="2447AC9D"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Sistemi aktual i grumbullimit i bazuar në kontejnerë 1.1 m³ dhe shporta individuale 240 l</w:t>
            </w:r>
          </w:p>
        </w:tc>
        <w:tc>
          <w:tcPr>
            <w:tcW w:w="627" w:type="pct"/>
            <w:tcBorders>
              <w:top w:val="single" w:sz="4" w:space="0" w:color="000000"/>
              <w:left w:val="single" w:sz="4" w:space="0" w:color="000000"/>
              <w:bottom w:val="single" w:sz="4" w:space="0" w:color="000000"/>
              <w:right w:val="single" w:sz="4" w:space="0" w:color="000000"/>
            </w:tcBorders>
          </w:tcPr>
          <w:p w14:paraId="7980FB8B" w14:textId="17071923"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Sistemi aktual i grumbullimit i bazuar në kontejnerë 1.1 m³ dhe shporta individuale 240 l</w:t>
            </w:r>
          </w:p>
        </w:tc>
        <w:tc>
          <w:tcPr>
            <w:tcW w:w="867" w:type="pct"/>
            <w:tcBorders>
              <w:top w:val="single" w:sz="4" w:space="0" w:color="000000"/>
              <w:left w:val="single" w:sz="4" w:space="0" w:color="000000"/>
              <w:bottom w:val="single" w:sz="4" w:space="0" w:color="000000"/>
              <w:right w:val="single" w:sz="4" w:space="0" w:color="000000"/>
            </w:tcBorders>
          </w:tcPr>
          <w:p w14:paraId="643EF9F5" w14:textId="15A91C2A"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Sistemi aktual i grumbullimit i bazuar në kontejnerë 1.1 m³ dhe shporta individuale 240 l</w:t>
            </w:r>
          </w:p>
        </w:tc>
        <w:tc>
          <w:tcPr>
            <w:tcW w:w="601" w:type="pct"/>
            <w:tcBorders>
              <w:top w:val="single" w:sz="4" w:space="0" w:color="000000"/>
              <w:left w:val="single" w:sz="4" w:space="0" w:color="000000"/>
              <w:bottom w:val="single" w:sz="4" w:space="0" w:color="000000"/>
              <w:right w:val="single" w:sz="4" w:space="0" w:color="000000"/>
            </w:tcBorders>
          </w:tcPr>
          <w:p w14:paraId="5F080C96" w14:textId="01058DAE"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Sistemi aktual i grumbullimit i bazuar në kontejnerë 1.1 m³ dhe shporta individuale 240 l</w:t>
            </w:r>
          </w:p>
        </w:tc>
      </w:tr>
      <w:tr w:rsidR="00923894" w:rsidRPr="00430A79" w14:paraId="04DC4C42" w14:textId="77777777" w:rsidTr="009C5275">
        <w:trPr>
          <w:trHeight w:val="20"/>
        </w:trPr>
        <w:tc>
          <w:tcPr>
            <w:tcW w:w="601" w:type="pct"/>
            <w:tcBorders>
              <w:top w:val="single" w:sz="4" w:space="0" w:color="000000"/>
              <w:left w:val="single" w:sz="4" w:space="0" w:color="000000"/>
              <w:bottom w:val="single" w:sz="4" w:space="0" w:color="000000"/>
              <w:right w:val="single" w:sz="4" w:space="0" w:color="000000"/>
            </w:tcBorders>
          </w:tcPr>
          <w:p w14:paraId="385AD5A1" w14:textId="4FFBBB8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Mbledhja e </w:t>
            </w:r>
            <w:r>
              <w:rPr>
                <w:rFonts w:ascii="Arial Narrow" w:eastAsia="Calibri" w:hAnsi="Arial Narrow" w:cs="Calibri"/>
                <w:sz w:val="20"/>
                <w:szCs w:val="20"/>
                <w:lang w:val="sq-AL"/>
              </w:rPr>
              <w:t>ndaras</w:t>
            </w:r>
            <w:r w:rsidRPr="00BE2534">
              <w:rPr>
                <w:rFonts w:ascii="Arial Narrow" w:eastAsia="Calibri" w:hAnsi="Arial Narrow" w:cs="Calibri"/>
                <w:sz w:val="20"/>
                <w:szCs w:val="20"/>
                <w:lang w:val="sq-AL"/>
              </w:rPr>
              <w:t xml:space="preserve"> e mbeturinave</w:t>
            </w:r>
          </w:p>
        </w:tc>
        <w:tc>
          <w:tcPr>
            <w:tcW w:w="812" w:type="pct"/>
            <w:tcBorders>
              <w:top w:val="single" w:sz="4" w:space="0" w:color="000000"/>
              <w:left w:val="single" w:sz="4" w:space="0" w:color="000000"/>
              <w:bottom w:val="single" w:sz="4" w:space="0" w:color="000000"/>
              <w:right w:val="single" w:sz="4" w:space="0" w:color="000000"/>
            </w:tcBorders>
          </w:tcPr>
          <w:p w14:paraId="0FC24B12" w14:textId="07F43CE4"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Shporta individuale plastike 240 l për ambalazhim të përzier dhe kontejnerë Igloo 1.5 m³ për qelq</w:t>
            </w:r>
          </w:p>
        </w:tc>
        <w:tc>
          <w:tcPr>
            <w:tcW w:w="652" w:type="pct"/>
            <w:tcBorders>
              <w:top w:val="single" w:sz="4" w:space="0" w:color="000000"/>
              <w:left w:val="single" w:sz="4" w:space="0" w:color="000000"/>
              <w:bottom w:val="single" w:sz="4" w:space="0" w:color="000000"/>
              <w:right w:val="single" w:sz="4" w:space="0" w:color="000000"/>
            </w:tcBorders>
          </w:tcPr>
          <w:p w14:paraId="00D7838F" w14:textId="45304C5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Sistemi për sjelljen e mbeturinave me kontejnerë të llojit Igloo me ngjyra 3x1.5 m³ </w:t>
            </w:r>
          </w:p>
        </w:tc>
        <w:tc>
          <w:tcPr>
            <w:tcW w:w="841" w:type="pct"/>
            <w:tcBorders>
              <w:top w:val="single" w:sz="4" w:space="0" w:color="000000"/>
              <w:left w:val="single" w:sz="4" w:space="0" w:color="000000"/>
              <w:bottom w:val="single" w:sz="4" w:space="0" w:color="000000"/>
              <w:right w:val="single" w:sz="4" w:space="0" w:color="000000"/>
            </w:tcBorders>
          </w:tcPr>
          <w:p w14:paraId="66DEA83D" w14:textId="7C24D43A"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Shporta individuale plastike 240 l për ambalazhim të përzier dhe kontejnerë Igloo 1.5 m³ për qelq</w:t>
            </w:r>
          </w:p>
        </w:tc>
        <w:tc>
          <w:tcPr>
            <w:tcW w:w="627" w:type="pct"/>
            <w:tcBorders>
              <w:top w:val="single" w:sz="4" w:space="0" w:color="000000"/>
              <w:left w:val="single" w:sz="4" w:space="0" w:color="000000"/>
              <w:bottom w:val="single" w:sz="4" w:space="0" w:color="000000"/>
              <w:right w:val="single" w:sz="4" w:space="0" w:color="000000"/>
            </w:tcBorders>
          </w:tcPr>
          <w:p w14:paraId="06E91B35" w14:textId="7EB8BB3E"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Shporta individuale plastike 240 l për ambalazhim të përzier dhe kontejnerë Igloo 1.5 m³ për qelq</w:t>
            </w:r>
          </w:p>
        </w:tc>
        <w:tc>
          <w:tcPr>
            <w:tcW w:w="867" w:type="pct"/>
            <w:tcBorders>
              <w:top w:val="single" w:sz="4" w:space="0" w:color="000000"/>
              <w:left w:val="single" w:sz="4" w:space="0" w:color="000000"/>
              <w:bottom w:val="single" w:sz="4" w:space="0" w:color="000000"/>
              <w:right w:val="single" w:sz="4" w:space="0" w:color="000000"/>
            </w:tcBorders>
          </w:tcPr>
          <w:p w14:paraId="37C5868A" w14:textId="245DA8AA"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Shporta individuale plastike 240 l për ambalazhim të përzier dhe kontejnerë Igloo 1.5 m³ për qelq</w:t>
            </w:r>
          </w:p>
        </w:tc>
        <w:tc>
          <w:tcPr>
            <w:tcW w:w="601" w:type="pct"/>
            <w:tcBorders>
              <w:top w:val="single" w:sz="4" w:space="0" w:color="000000"/>
              <w:left w:val="single" w:sz="4" w:space="0" w:color="000000"/>
              <w:bottom w:val="single" w:sz="4" w:space="0" w:color="000000"/>
              <w:right w:val="single" w:sz="4" w:space="0" w:color="000000"/>
            </w:tcBorders>
          </w:tcPr>
          <w:p w14:paraId="2FC71E25" w14:textId="31E77A48"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Shporta individuale plastike 240 l për ambalazhim të përzier dhe kontejnerë Igloo 1.5 m³ për qelq</w:t>
            </w:r>
          </w:p>
        </w:tc>
      </w:tr>
      <w:tr w:rsidR="00923894" w:rsidRPr="00430A79" w14:paraId="037B5F73" w14:textId="77777777" w:rsidTr="009C5275">
        <w:trPr>
          <w:trHeight w:val="20"/>
        </w:trPr>
        <w:tc>
          <w:tcPr>
            <w:tcW w:w="601" w:type="pct"/>
            <w:tcBorders>
              <w:top w:val="single" w:sz="4" w:space="0" w:color="000000"/>
              <w:left w:val="single" w:sz="4" w:space="0" w:color="000000"/>
              <w:bottom w:val="single" w:sz="4" w:space="0" w:color="000000"/>
              <w:right w:val="single" w:sz="4" w:space="0" w:color="000000"/>
            </w:tcBorders>
          </w:tcPr>
          <w:p w14:paraId="12663926" w14:textId="0768A9F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Transferimi dhe transporti</w:t>
            </w:r>
          </w:p>
        </w:tc>
        <w:tc>
          <w:tcPr>
            <w:tcW w:w="812" w:type="pct"/>
            <w:tcBorders>
              <w:top w:val="single" w:sz="4" w:space="0" w:color="000000"/>
              <w:left w:val="single" w:sz="4" w:space="0" w:color="000000"/>
              <w:bottom w:val="single" w:sz="4" w:space="0" w:color="000000"/>
              <w:right w:val="single" w:sz="4" w:space="0" w:color="000000"/>
            </w:tcBorders>
          </w:tcPr>
          <w:p w14:paraId="76AB30FB" w14:textId="0B14A55C"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ST pa ngjeshje në Istog , transport direkt për komunat tjera</w:t>
            </w:r>
          </w:p>
        </w:tc>
        <w:tc>
          <w:tcPr>
            <w:tcW w:w="652" w:type="pct"/>
            <w:tcBorders>
              <w:top w:val="single" w:sz="4" w:space="0" w:color="000000"/>
              <w:left w:val="single" w:sz="4" w:space="0" w:color="000000"/>
              <w:bottom w:val="single" w:sz="4" w:space="0" w:color="000000"/>
              <w:right w:val="single" w:sz="4" w:space="0" w:color="000000"/>
            </w:tcBorders>
          </w:tcPr>
          <w:p w14:paraId="208306A5" w14:textId="6E765FA3"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ST pa ngjeshje në Istog , Klinë dhe Deçan (që shërben edhe Junikun)</w:t>
            </w:r>
          </w:p>
        </w:tc>
        <w:tc>
          <w:tcPr>
            <w:tcW w:w="841" w:type="pct"/>
            <w:tcBorders>
              <w:top w:val="single" w:sz="4" w:space="0" w:color="000000"/>
              <w:left w:val="single" w:sz="4" w:space="0" w:color="000000"/>
              <w:bottom w:val="single" w:sz="4" w:space="0" w:color="000000"/>
              <w:right w:val="single" w:sz="4" w:space="0" w:color="000000"/>
            </w:tcBorders>
          </w:tcPr>
          <w:p w14:paraId="5DA2AC59" w14:textId="050B553A"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Transport direkt, pa stacione transfer</w:t>
            </w:r>
          </w:p>
        </w:tc>
        <w:tc>
          <w:tcPr>
            <w:tcW w:w="627" w:type="pct"/>
            <w:tcBorders>
              <w:top w:val="single" w:sz="4" w:space="0" w:color="000000"/>
              <w:left w:val="single" w:sz="4" w:space="0" w:color="000000"/>
              <w:bottom w:val="single" w:sz="4" w:space="0" w:color="000000"/>
              <w:right w:val="single" w:sz="4" w:space="0" w:color="000000"/>
            </w:tcBorders>
          </w:tcPr>
          <w:p w14:paraId="44BACC51" w14:textId="5D463EF4"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ST pa ngjeshje në Istog , Klinë dhe Deçan (që shërben edhe Junikun)</w:t>
            </w:r>
          </w:p>
        </w:tc>
        <w:tc>
          <w:tcPr>
            <w:tcW w:w="867" w:type="pct"/>
            <w:tcBorders>
              <w:top w:val="single" w:sz="4" w:space="0" w:color="000000"/>
              <w:left w:val="single" w:sz="4" w:space="0" w:color="000000"/>
              <w:bottom w:val="single" w:sz="4" w:space="0" w:color="000000"/>
              <w:right w:val="single" w:sz="4" w:space="0" w:color="000000"/>
            </w:tcBorders>
          </w:tcPr>
          <w:p w14:paraId="4D3D0E2D" w14:textId="2CB5851B"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Transport direkt, pa stacione transfer</w:t>
            </w:r>
          </w:p>
        </w:tc>
        <w:tc>
          <w:tcPr>
            <w:tcW w:w="601" w:type="pct"/>
            <w:tcBorders>
              <w:top w:val="single" w:sz="4" w:space="0" w:color="000000"/>
              <w:left w:val="single" w:sz="4" w:space="0" w:color="000000"/>
              <w:bottom w:val="single" w:sz="4" w:space="0" w:color="000000"/>
              <w:right w:val="single" w:sz="4" w:space="0" w:color="000000"/>
            </w:tcBorders>
          </w:tcPr>
          <w:p w14:paraId="3A55AA84" w14:textId="48F22783"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ST me ngjeshje në Istog dhe Deçan. Transport direkt për Klinë</w:t>
            </w:r>
          </w:p>
        </w:tc>
      </w:tr>
      <w:tr w:rsidR="00923894" w:rsidRPr="00430A79" w14:paraId="7C5EBEF7" w14:textId="77777777" w:rsidTr="009C5275">
        <w:trPr>
          <w:trHeight w:val="20"/>
        </w:trPr>
        <w:tc>
          <w:tcPr>
            <w:tcW w:w="601" w:type="pct"/>
            <w:tcBorders>
              <w:top w:val="single" w:sz="4" w:space="0" w:color="000000"/>
              <w:left w:val="single" w:sz="4" w:space="0" w:color="000000"/>
              <w:bottom w:val="single" w:sz="4" w:space="0" w:color="000000"/>
              <w:right w:val="single" w:sz="4" w:space="0" w:color="000000"/>
            </w:tcBorders>
          </w:tcPr>
          <w:p w14:paraId="2F097BEC" w14:textId="79ED3B74"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Klasifikimi i mbeturinave</w:t>
            </w:r>
          </w:p>
        </w:tc>
        <w:tc>
          <w:tcPr>
            <w:tcW w:w="812" w:type="pct"/>
            <w:tcBorders>
              <w:top w:val="single" w:sz="4" w:space="0" w:color="000000"/>
              <w:left w:val="single" w:sz="4" w:space="0" w:color="000000"/>
              <w:bottom w:val="single" w:sz="4" w:space="0" w:color="000000"/>
              <w:right w:val="single" w:sz="4" w:space="0" w:color="000000"/>
            </w:tcBorders>
          </w:tcPr>
          <w:p w14:paraId="19E3C89B" w14:textId="5C932DF0"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Objekt i centralizuar për klasifikim në Pejë</w:t>
            </w:r>
          </w:p>
        </w:tc>
        <w:tc>
          <w:tcPr>
            <w:tcW w:w="652" w:type="pct"/>
            <w:tcBorders>
              <w:top w:val="single" w:sz="4" w:space="0" w:color="000000"/>
              <w:left w:val="single" w:sz="4" w:space="0" w:color="000000"/>
              <w:bottom w:val="single" w:sz="4" w:space="0" w:color="000000"/>
              <w:right w:val="single" w:sz="4" w:space="0" w:color="000000"/>
            </w:tcBorders>
          </w:tcPr>
          <w:p w14:paraId="52939ACE" w14:textId="289C5D6E"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Objekt i centralizuar për klasifikim në Pejë</w:t>
            </w:r>
          </w:p>
        </w:tc>
        <w:tc>
          <w:tcPr>
            <w:tcW w:w="841" w:type="pct"/>
            <w:tcBorders>
              <w:top w:val="single" w:sz="4" w:space="0" w:color="000000"/>
              <w:left w:val="single" w:sz="4" w:space="0" w:color="000000"/>
              <w:bottom w:val="single" w:sz="4" w:space="0" w:color="000000"/>
              <w:right w:val="single" w:sz="4" w:space="0" w:color="000000"/>
            </w:tcBorders>
          </w:tcPr>
          <w:p w14:paraId="03A6A908" w14:textId="00A6CC49"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Objekt i centralizuar për klasifikim në Pejë</w:t>
            </w:r>
          </w:p>
        </w:tc>
        <w:tc>
          <w:tcPr>
            <w:tcW w:w="627" w:type="pct"/>
            <w:tcBorders>
              <w:top w:val="single" w:sz="4" w:space="0" w:color="000000"/>
              <w:left w:val="single" w:sz="4" w:space="0" w:color="000000"/>
              <w:bottom w:val="single" w:sz="4" w:space="0" w:color="000000"/>
              <w:right w:val="single" w:sz="4" w:space="0" w:color="000000"/>
            </w:tcBorders>
          </w:tcPr>
          <w:p w14:paraId="2BAF435E" w14:textId="50344F51"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Objekt i centralizuar për klasifikim në Pejë</w:t>
            </w:r>
          </w:p>
        </w:tc>
        <w:tc>
          <w:tcPr>
            <w:tcW w:w="867" w:type="pct"/>
            <w:tcBorders>
              <w:top w:val="single" w:sz="4" w:space="0" w:color="000000"/>
              <w:left w:val="single" w:sz="4" w:space="0" w:color="000000"/>
              <w:bottom w:val="single" w:sz="4" w:space="0" w:color="000000"/>
              <w:right w:val="single" w:sz="4" w:space="0" w:color="000000"/>
            </w:tcBorders>
          </w:tcPr>
          <w:p w14:paraId="7DB82E1C" w14:textId="34ABB968"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Instalime individuale të klasifikimit me kapacitet të vogël në Pejë, Istog , Klinë dhe Deçan</w:t>
            </w:r>
          </w:p>
        </w:tc>
        <w:tc>
          <w:tcPr>
            <w:tcW w:w="601" w:type="pct"/>
            <w:tcBorders>
              <w:top w:val="single" w:sz="4" w:space="0" w:color="000000"/>
              <w:left w:val="single" w:sz="4" w:space="0" w:color="000000"/>
              <w:bottom w:val="single" w:sz="4" w:space="0" w:color="000000"/>
              <w:right w:val="single" w:sz="4" w:space="0" w:color="000000"/>
            </w:tcBorders>
          </w:tcPr>
          <w:p w14:paraId="1DCDD485" w14:textId="55C6D729"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Objekt i centralizuar për klasifikim në Pejë</w:t>
            </w:r>
          </w:p>
        </w:tc>
      </w:tr>
      <w:tr w:rsidR="00923894" w:rsidRPr="00430A79" w14:paraId="2A1E6D79" w14:textId="77777777" w:rsidTr="009C5275">
        <w:trPr>
          <w:trHeight w:val="20"/>
        </w:trPr>
        <w:tc>
          <w:tcPr>
            <w:tcW w:w="601" w:type="pct"/>
            <w:tcBorders>
              <w:top w:val="single" w:sz="4" w:space="0" w:color="000000"/>
              <w:left w:val="single" w:sz="4" w:space="0" w:color="000000"/>
              <w:bottom w:val="single" w:sz="4" w:space="0" w:color="000000"/>
              <w:right w:val="single" w:sz="4" w:space="0" w:color="000000"/>
            </w:tcBorders>
          </w:tcPr>
          <w:p w14:paraId="59D102F7" w14:textId="38A0A8BE"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Kompostimi i mbeturinave të gjelbra</w:t>
            </w:r>
          </w:p>
        </w:tc>
        <w:tc>
          <w:tcPr>
            <w:tcW w:w="812" w:type="pct"/>
            <w:tcBorders>
              <w:top w:val="single" w:sz="4" w:space="0" w:color="000000"/>
              <w:left w:val="single" w:sz="4" w:space="0" w:color="000000"/>
              <w:bottom w:val="single" w:sz="4" w:space="0" w:color="000000"/>
              <w:right w:val="single" w:sz="4" w:space="0" w:color="000000"/>
            </w:tcBorders>
          </w:tcPr>
          <w:p w14:paraId="426B93AC" w14:textId="06E47250"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Vend për kompostim në Pejë, pajisje mobile kompostimi për </w:t>
            </w:r>
            <w:r w:rsidRPr="00BE2534">
              <w:rPr>
                <w:rFonts w:ascii="Arial Narrow" w:eastAsia="Calibri" w:hAnsi="Arial Narrow" w:cs="Calibri"/>
                <w:sz w:val="20"/>
                <w:szCs w:val="20"/>
                <w:lang w:val="sq-AL"/>
              </w:rPr>
              <w:lastRenderedPageBreak/>
              <w:t>Istog , Klinë, Deçan dhe Junik</w:t>
            </w:r>
          </w:p>
        </w:tc>
        <w:tc>
          <w:tcPr>
            <w:tcW w:w="652" w:type="pct"/>
            <w:tcBorders>
              <w:top w:val="single" w:sz="4" w:space="0" w:color="000000"/>
              <w:left w:val="single" w:sz="4" w:space="0" w:color="000000"/>
              <w:bottom w:val="single" w:sz="4" w:space="0" w:color="000000"/>
              <w:right w:val="single" w:sz="4" w:space="0" w:color="000000"/>
            </w:tcBorders>
          </w:tcPr>
          <w:p w14:paraId="340D1470" w14:textId="3CB29274"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lastRenderedPageBreak/>
              <w:t xml:space="preserve">Vend për kompostim në Pejë, pajisje mobile kompostimi </w:t>
            </w:r>
            <w:r w:rsidRPr="00BE2534">
              <w:rPr>
                <w:rFonts w:ascii="Arial Narrow" w:eastAsia="Calibri" w:hAnsi="Arial Narrow" w:cs="Calibri"/>
                <w:sz w:val="20"/>
                <w:szCs w:val="20"/>
                <w:lang w:val="sq-AL"/>
              </w:rPr>
              <w:lastRenderedPageBreak/>
              <w:t>për Istog , Klinë, Deçan dhe Junik</w:t>
            </w:r>
          </w:p>
        </w:tc>
        <w:tc>
          <w:tcPr>
            <w:tcW w:w="841" w:type="pct"/>
            <w:tcBorders>
              <w:top w:val="single" w:sz="4" w:space="0" w:color="000000"/>
              <w:left w:val="single" w:sz="4" w:space="0" w:color="000000"/>
              <w:bottom w:val="single" w:sz="4" w:space="0" w:color="000000"/>
              <w:right w:val="single" w:sz="4" w:space="0" w:color="000000"/>
            </w:tcBorders>
          </w:tcPr>
          <w:p w14:paraId="74D5D630" w14:textId="5B33FF48"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lastRenderedPageBreak/>
              <w:t xml:space="preserve">Vend për kompostim në Pejë, pajisje mobile kompostimi për </w:t>
            </w:r>
            <w:r w:rsidRPr="00BE2534">
              <w:rPr>
                <w:rFonts w:ascii="Arial Narrow" w:eastAsia="Calibri" w:hAnsi="Arial Narrow" w:cs="Calibri"/>
                <w:sz w:val="20"/>
                <w:szCs w:val="20"/>
                <w:lang w:val="sq-AL"/>
              </w:rPr>
              <w:lastRenderedPageBreak/>
              <w:t>Istog , Klinë, Deçan dhe Junik</w:t>
            </w:r>
          </w:p>
        </w:tc>
        <w:tc>
          <w:tcPr>
            <w:tcW w:w="627" w:type="pct"/>
            <w:tcBorders>
              <w:top w:val="single" w:sz="4" w:space="0" w:color="000000"/>
              <w:left w:val="single" w:sz="4" w:space="0" w:color="000000"/>
              <w:bottom w:val="single" w:sz="4" w:space="0" w:color="000000"/>
              <w:right w:val="single" w:sz="4" w:space="0" w:color="000000"/>
            </w:tcBorders>
          </w:tcPr>
          <w:p w14:paraId="4A86F6E8" w14:textId="3598903B"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lastRenderedPageBreak/>
              <w:t xml:space="preserve">Vend për kompostim në Pejë, pajisje mobile </w:t>
            </w:r>
            <w:r w:rsidRPr="00BE2534">
              <w:rPr>
                <w:rFonts w:ascii="Arial Narrow" w:eastAsia="Calibri" w:hAnsi="Arial Narrow" w:cs="Calibri"/>
                <w:sz w:val="20"/>
                <w:szCs w:val="20"/>
                <w:lang w:val="sq-AL"/>
              </w:rPr>
              <w:lastRenderedPageBreak/>
              <w:t>kompostimi për Istog , Klinë, Deçan dhe Junik</w:t>
            </w:r>
          </w:p>
        </w:tc>
        <w:tc>
          <w:tcPr>
            <w:tcW w:w="867" w:type="pct"/>
            <w:tcBorders>
              <w:top w:val="single" w:sz="4" w:space="0" w:color="000000"/>
              <w:left w:val="single" w:sz="4" w:space="0" w:color="000000"/>
              <w:bottom w:val="single" w:sz="4" w:space="0" w:color="000000"/>
              <w:right w:val="single" w:sz="4" w:space="0" w:color="000000"/>
            </w:tcBorders>
          </w:tcPr>
          <w:p w14:paraId="36BB0BB5" w14:textId="51016FFB"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lastRenderedPageBreak/>
              <w:t xml:space="preserve">Vend për kompostim në Pejë, pajisje mobile kompostimi për Istog , Klinë, </w:t>
            </w:r>
            <w:r w:rsidRPr="00BE2534">
              <w:rPr>
                <w:rFonts w:ascii="Arial Narrow" w:eastAsia="Calibri" w:hAnsi="Arial Narrow" w:cs="Calibri"/>
                <w:sz w:val="20"/>
                <w:szCs w:val="20"/>
                <w:lang w:val="sq-AL"/>
              </w:rPr>
              <w:lastRenderedPageBreak/>
              <w:t>Deçan dhe Junik</w:t>
            </w:r>
          </w:p>
        </w:tc>
        <w:tc>
          <w:tcPr>
            <w:tcW w:w="601" w:type="pct"/>
            <w:tcBorders>
              <w:top w:val="single" w:sz="4" w:space="0" w:color="000000"/>
              <w:left w:val="single" w:sz="4" w:space="0" w:color="000000"/>
              <w:bottom w:val="single" w:sz="4" w:space="0" w:color="000000"/>
              <w:right w:val="single" w:sz="4" w:space="0" w:color="000000"/>
            </w:tcBorders>
          </w:tcPr>
          <w:p w14:paraId="40BCE809" w14:textId="75568BE2"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lastRenderedPageBreak/>
              <w:t xml:space="preserve">Vend për kompostim në Pejë, pajisje mobile </w:t>
            </w:r>
            <w:r w:rsidRPr="00BE2534">
              <w:rPr>
                <w:rFonts w:ascii="Arial Narrow" w:eastAsia="Calibri" w:hAnsi="Arial Narrow" w:cs="Calibri"/>
                <w:sz w:val="20"/>
                <w:szCs w:val="20"/>
                <w:lang w:val="sq-AL"/>
              </w:rPr>
              <w:lastRenderedPageBreak/>
              <w:t>kompostimi për Istog , Klinë, Deçan dhe Junik</w:t>
            </w:r>
          </w:p>
        </w:tc>
      </w:tr>
      <w:tr w:rsidR="00923894" w:rsidRPr="00430A79" w14:paraId="301E72FB" w14:textId="77777777" w:rsidTr="009C5275">
        <w:trPr>
          <w:trHeight w:val="20"/>
        </w:trPr>
        <w:tc>
          <w:tcPr>
            <w:tcW w:w="601" w:type="pct"/>
            <w:tcBorders>
              <w:top w:val="single" w:sz="4" w:space="0" w:color="000000"/>
              <w:left w:val="single" w:sz="4" w:space="0" w:color="000000"/>
              <w:bottom w:val="single" w:sz="4" w:space="0" w:color="000000"/>
              <w:right w:val="single" w:sz="4" w:space="0" w:color="000000"/>
            </w:tcBorders>
          </w:tcPr>
          <w:p w14:paraId="687B99C1" w14:textId="6E868591" w:rsidR="00923894" w:rsidRPr="00430A79" w:rsidDel="0031289C"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lastRenderedPageBreak/>
              <w:t>Kompostimi shtëpiak</w:t>
            </w:r>
          </w:p>
        </w:tc>
        <w:tc>
          <w:tcPr>
            <w:tcW w:w="812" w:type="pct"/>
            <w:tcBorders>
              <w:top w:val="single" w:sz="4" w:space="0" w:color="000000"/>
              <w:left w:val="single" w:sz="4" w:space="0" w:color="000000"/>
              <w:bottom w:val="single" w:sz="4" w:space="0" w:color="000000"/>
              <w:right w:val="single" w:sz="4" w:space="0" w:color="000000"/>
            </w:tcBorders>
          </w:tcPr>
          <w:p w14:paraId="68C67E51" w14:textId="706891CB"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Të gjitha zonat rurale</w:t>
            </w:r>
          </w:p>
        </w:tc>
        <w:tc>
          <w:tcPr>
            <w:tcW w:w="652" w:type="pct"/>
            <w:tcBorders>
              <w:top w:val="single" w:sz="4" w:space="0" w:color="000000"/>
              <w:left w:val="single" w:sz="4" w:space="0" w:color="000000"/>
              <w:bottom w:val="single" w:sz="4" w:space="0" w:color="000000"/>
              <w:right w:val="single" w:sz="4" w:space="0" w:color="000000"/>
            </w:tcBorders>
          </w:tcPr>
          <w:p w14:paraId="21E8D746" w14:textId="0F731A70"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Të gjitha zonat rurale</w:t>
            </w:r>
          </w:p>
        </w:tc>
        <w:tc>
          <w:tcPr>
            <w:tcW w:w="841" w:type="pct"/>
            <w:tcBorders>
              <w:top w:val="single" w:sz="4" w:space="0" w:color="000000"/>
              <w:left w:val="single" w:sz="4" w:space="0" w:color="000000"/>
              <w:bottom w:val="single" w:sz="4" w:space="0" w:color="000000"/>
              <w:right w:val="single" w:sz="4" w:space="0" w:color="000000"/>
            </w:tcBorders>
          </w:tcPr>
          <w:p w14:paraId="7C9756D7" w14:textId="5A4EEA10"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Të gjitha zonat rurale</w:t>
            </w:r>
          </w:p>
        </w:tc>
        <w:tc>
          <w:tcPr>
            <w:tcW w:w="627" w:type="pct"/>
            <w:tcBorders>
              <w:top w:val="single" w:sz="4" w:space="0" w:color="000000"/>
              <w:left w:val="single" w:sz="4" w:space="0" w:color="000000"/>
              <w:bottom w:val="single" w:sz="4" w:space="0" w:color="000000"/>
              <w:right w:val="single" w:sz="4" w:space="0" w:color="000000"/>
            </w:tcBorders>
          </w:tcPr>
          <w:p w14:paraId="54EB8212" w14:textId="7400B27E"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Të gjitha zonat rurale</w:t>
            </w:r>
          </w:p>
        </w:tc>
        <w:tc>
          <w:tcPr>
            <w:tcW w:w="867" w:type="pct"/>
            <w:tcBorders>
              <w:top w:val="single" w:sz="4" w:space="0" w:color="000000"/>
              <w:left w:val="single" w:sz="4" w:space="0" w:color="000000"/>
              <w:bottom w:val="single" w:sz="4" w:space="0" w:color="000000"/>
              <w:right w:val="single" w:sz="4" w:space="0" w:color="000000"/>
            </w:tcBorders>
          </w:tcPr>
          <w:p w14:paraId="69E9D211" w14:textId="14FAE06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Të gjitha zonat rurale</w:t>
            </w:r>
          </w:p>
        </w:tc>
        <w:tc>
          <w:tcPr>
            <w:tcW w:w="601" w:type="pct"/>
            <w:tcBorders>
              <w:top w:val="single" w:sz="4" w:space="0" w:color="000000"/>
              <w:left w:val="single" w:sz="4" w:space="0" w:color="000000"/>
              <w:bottom w:val="single" w:sz="4" w:space="0" w:color="000000"/>
              <w:right w:val="single" w:sz="4" w:space="0" w:color="000000"/>
            </w:tcBorders>
          </w:tcPr>
          <w:p w14:paraId="4A2CB4BC" w14:textId="709F8A71"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Të gjitha zonat rurale</w:t>
            </w:r>
          </w:p>
        </w:tc>
      </w:tr>
      <w:tr w:rsidR="00923894" w:rsidRPr="00430A79" w14:paraId="38B5F895" w14:textId="77777777" w:rsidTr="009C5275">
        <w:trPr>
          <w:trHeight w:val="20"/>
        </w:trPr>
        <w:tc>
          <w:tcPr>
            <w:tcW w:w="601" w:type="pct"/>
            <w:tcBorders>
              <w:top w:val="single" w:sz="4" w:space="0" w:color="000000"/>
              <w:left w:val="single" w:sz="4" w:space="0" w:color="000000"/>
              <w:bottom w:val="single" w:sz="4" w:space="0" w:color="000000"/>
              <w:right w:val="single" w:sz="4" w:space="0" w:color="000000"/>
            </w:tcBorders>
          </w:tcPr>
          <w:p w14:paraId="1B2DC321" w14:textId="2C88F960"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Mbeturinat organike</w:t>
            </w:r>
          </w:p>
        </w:tc>
        <w:tc>
          <w:tcPr>
            <w:tcW w:w="812" w:type="pct"/>
            <w:tcBorders>
              <w:top w:val="single" w:sz="4" w:space="0" w:color="000000"/>
              <w:left w:val="single" w:sz="4" w:space="0" w:color="000000"/>
              <w:bottom w:val="single" w:sz="4" w:space="0" w:color="000000"/>
              <w:right w:val="single" w:sz="4" w:space="0" w:color="000000"/>
            </w:tcBorders>
          </w:tcPr>
          <w:p w14:paraId="45A38874" w14:textId="5A16D08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Objekti për djegje anaerobe në Pejë</w:t>
            </w:r>
          </w:p>
        </w:tc>
        <w:tc>
          <w:tcPr>
            <w:tcW w:w="652" w:type="pct"/>
            <w:tcBorders>
              <w:top w:val="single" w:sz="4" w:space="0" w:color="000000"/>
              <w:left w:val="single" w:sz="4" w:space="0" w:color="000000"/>
              <w:bottom w:val="single" w:sz="4" w:space="0" w:color="000000"/>
              <w:right w:val="single" w:sz="4" w:space="0" w:color="000000"/>
            </w:tcBorders>
          </w:tcPr>
          <w:p w14:paraId="2DB69E36" w14:textId="22D52194"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Objekti për djegje anaerobe në Pejë</w:t>
            </w:r>
          </w:p>
        </w:tc>
        <w:tc>
          <w:tcPr>
            <w:tcW w:w="841" w:type="pct"/>
            <w:tcBorders>
              <w:top w:val="single" w:sz="4" w:space="0" w:color="000000"/>
              <w:left w:val="single" w:sz="4" w:space="0" w:color="000000"/>
              <w:bottom w:val="single" w:sz="4" w:space="0" w:color="000000"/>
              <w:right w:val="single" w:sz="4" w:space="0" w:color="000000"/>
            </w:tcBorders>
          </w:tcPr>
          <w:p w14:paraId="51E04FD0" w14:textId="76CA5775"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Objekti për djegje anaerobe në Pejë</w:t>
            </w:r>
          </w:p>
        </w:tc>
        <w:tc>
          <w:tcPr>
            <w:tcW w:w="627" w:type="pct"/>
            <w:tcBorders>
              <w:top w:val="single" w:sz="4" w:space="0" w:color="000000"/>
              <w:left w:val="single" w:sz="4" w:space="0" w:color="000000"/>
              <w:bottom w:val="single" w:sz="4" w:space="0" w:color="000000"/>
              <w:right w:val="single" w:sz="4" w:space="0" w:color="000000"/>
            </w:tcBorders>
          </w:tcPr>
          <w:p w14:paraId="2562C25E" w14:textId="0DF303A5"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Impianti i kompostimit brenda kontejnerëve të specializuar në Pejë</w:t>
            </w:r>
          </w:p>
        </w:tc>
        <w:tc>
          <w:tcPr>
            <w:tcW w:w="867" w:type="pct"/>
            <w:tcBorders>
              <w:top w:val="single" w:sz="4" w:space="0" w:color="000000"/>
              <w:left w:val="single" w:sz="4" w:space="0" w:color="000000"/>
              <w:bottom w:val="single" w:sz="4" w:space="0" w:color="000000"/>
              <w:right w:val="single" w:sz="4" w:space="0" w:color="000000"/>
            </w:tcBorders>
          </w:tcPr>
          <w:p w14:paraId="58C767E3" w14:textId="1FFBEDA4"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Objekti për djegje anaerobe në Pejë</w:t>
            </w:r>
          </w:p>
        </w:tc>
        <w:tc>
          <w:tcPr>
            <w:tcW w:w="601" w:type="pct"/>
            <w:tcBorders>
              <w:top w:val="single" w:sz="4" w:space="0" w:color="000000"/>
              <w:left w:val="single" w:sz="4" w:space="0" w:color="000000"/>
              <w:bottom w:val="single" w:sz="4" w:space="0" w:color="000000"/>
              <w:right w:val="single" w:sz="4" w:space="0" w:color="000000"/>
            </w:tcBorders>
          </w:tcPr>
          <w:p w14:paraId="74E96433" w14:textId="6F459B1B"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Objekti për djegje anaerobe në Pejë</w:t>
            </w:r>
          </w:p>
        </w:tc>
      </w:tr>
      <w:tr w:rsidR="00923894" w:rsidRPr="00430A79" w14:paraId="5AB2E6DB" w14:textId="77777777" w:rsidTr="009C5275">
        <w:trPr>
          <w:trHeight w:val="20"/>
        </w:trPr>
        <w:tc>
          <w:tcPr>
            <w:tcW w:w="601" w:type="pct"/>
            <w:tcBorders>
              <w:top w:val="single" w:sz="4" w:space="0" w:color="000000"/>
              <w:left w:val="single" w:sz="4" w:space="0" w:color="000000"/>
              <w:bottom w:val="single" w:sz="4" w:space="0" w:color="000000"/>
              <w:right w:val="single" w:sz="4" w:space="0" w:color="000000"/>
            </w:tcBorders>
          </w:tcPr>
          <w:p w14:paraId="380E2FF1" w14:textId="1FEF4285" w:rsidR="00923894" w:rsidRPr="00430A79" w:rsidDel="0031289C"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TMB</w:t>
            </w:r>
          </w:p>
        </w:tc>
        <w:tc>
          <w:tcPr>
            <w:tcW w:w="812" w:type="pct"/>
            <w:tcBorders>
              <w:top w:val="single" w:sz="4" w:space="0" w:color="000000"/>
              <w:left w:val="single" w:sz="4" w:space="0" w:color="000000"/>
              <w:bottom w:val="single" w:sz="4" w:space="0" w:color="000000"/>
              <w:right w:val="single" w:sz="4" w:space="0" w:color="000000"/>
            </w:tcBorders>
          </w:tcPr>
          <w:p w14:paraId="1351F2CA" w14:textId="479F5172"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Impianti i centralizuar TMB</w:t>
            </w:r>
          </w:p>
        </w:tc>
        <w:tc>
          <w:tcPr>
            <w:tcW w:w="652" w:type="pct"/>
            <w:tcBorders>
              <w:top w:val="single" w:sz="4" w:space="0" w:color="000000"/>
              <w:left w:val="single" w:sz="4" w:space="0" w:color="000000"/>
              <w:bottom w:val="single" w:sz="4" w:space="0" w:color="000000"/>
              <w:right w:val="single" w:sz="4" w:space="0" w:color="000000"/>
            </w:tcBorders>
          </w:tcPr>
          <w:p w14:paraId="49DBF8BD" w14:textId="3059BB0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Impianti i centralizuar TMB</w:t>
            </w:r>
          </w:p>
        </w:tc>
        <w:tc>
          <w:tcPr>
            <w:tcW w:w="841" w:type="pct"/>
            <w:tcBorders>
              <w:top w:val="single" w:sz="4" w:space="0" w:color="000000"/>
              <w:left w:val="single" w:sz="4" w:space="0" w:color="000000"/>
              <w:bottom w:val="single" w:sz="4" w:space="0" w:color="000000"/>
              <w:right w:val="single" w:sz="4" w:space="0" w:color="000000"/>
            </w:tcBorders>
          </w:tcPr>
          <w:p w14:paraId="16E23DD5" w14:textId="3881714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Impianti i centralizuar TMB</w:t>
            </w:r>
          </w:p>
        </w:tc>
        <w:tc>
          <w:tcPr>
            <w:tcW w:w="627" w:type="pct"/>
            <w:tcBorders>
              <w:top w:val="single" w:sz="4" w:space="0" w:color="000000"/>
              <w:left w:val="single" w:sz="4" w:space="0" w:color="000000"/>
              <w:bottom w:val="single" w:sz="4" w:space="0" w:color="000000"/>
              <w:right w:val="single" w:sz="4" w:space="0" w:color="000000"/>
            </w:tcBorders>
          </w:tcPr>
          <w:p w14:paraId="006ADFB0" w14:textId="29255EBD"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Impianti i centralizuar TMB</w:t>
            </w:r>
          </w:p>
        </w:tc>
        <w:tc>
          <w:tcPr>
            <w:tcW w:w="867" w:type="pct"/>
            <w:tcBorders>
              <w:top w:val="single" w:sz="4" w:space="0" w:color="000000"/>
              <w:left w:val="single" w:sz="4" w:space="0" w:color="000000"/>
              <w:bottom w:val="single" w:sz="4" w:space="0" w:color="000000"/>
              <w:right w:val="single" w:sz="4" w:space="0" w:color="000000"/>
            </w:tcBorders>
          </w:tcPr>
          <w:p w14:paraId="1F14051B" w14:textId="16FBC7FE"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Impianti i centralizuar TMB</w:t>
            </w:r>
          </w:p>
        </w:tc>
        <w:tc>
          <w:tcPr>
            <w:tcW w:w="601" w:type="pct"/>
            <w:tcBorders>
              <w:top w:val="single" w:sz="4" w:space="0" w:color="000000"/>
              <w:left w:val="single" w:sz="4" w:space="0" w:color="000000"/>
              <w:bottom w:val="single" w:sz="4" w:space="0" w:color="000000"/>
              <w:right w:val="single" w:sz="4" w:space="0" w:color="000000"/>
            </w:tcBorders>
          </w:tcPr>
          <w:p w14:paraId="5E14B00E" w14:textId="6E15172D"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Impianti i centralizuar TMB</w:t>
            </w:r>
          </w:p>
        </w:tc>
      </w:tr>
      <w:tr w:rsidR="00923894" w:rsidRPr="00430A79" w14:paraId="18F09D46" w14:textId="77777777" w:rsidTr="009C5275">
        <w:trPr>
          <w:trHeight w:val="20"/>
        </w:trPr>
        <w:tc>
          <w:tcPr>
            <w:tcW w:w="601" w:type="pct"/>
            <w:tcBorders>
              <w:top w:val="single" w:sz="4" w:space="0" w:color="000000"/>
              <w:left w:val="single" w:sz="4" w:space="0" w:color="000000"/>
              <w:bottom w:val="single" w:sz="4" w:space="0" w:color="000000"/>
              <w:right w:val="single" w:sz="4" w:space="0" w:color="000000"/>
            </w:tcBorders>
          </w:tcPr>
          <w:p w14:paraId="1C4F58F2" w14:textId="0195A898"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Deponitë</w:t>
            </w:r>
          </w:p>
        </w:tc>
        <w:tc>
          <w:tcPr>
            <w:tcW w:w="812" w:type="pct"/>
            <w:tcBorders>
              <w:top w:val="single" w:sz="4" w:space="0" w:color="000000"/>
              <w:left w:val="single" w:sz="4" w:space="0" w:color="000000"/>
              <w:bottom w:val="single" w:sz="4" w:space="0" w:color="000000"/>
              <w:right w:val="single" w:sz="4" w:space="0" w:color="000000"/>
            </w:tcBorders>
          </w:tcPr>
          <w:p w14:paraId="2B13F948" w14:textId="4DA1847E"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Deponia rajonale</w:t>
            </w:r>
          </w:p>
        </w:tc>
        <w:tc>
          <w:tcPr>
            <w:tcW w:w="652" w:type="pct"/>
            <w:tcBorders>
              <w:top w:val="single" w:sz="4" w:space="0" w:color="000000"/>
              <w:left w:val="single" w:sz="4" w:space="0" w:color="000000"/>
              <w:bottom w:val="single" w:sz="4" w:space="0" w:color="000000"/>
              <w:right w:val="single" w:sz="4" w:space="0" w:color="000000"/>
            </w:tcBorders>
          </w:tcPr>
          <w:p w14:paraId="384F0FEE" w14:textId="5BE8323A"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Deponia rajonale</w:t>
            </w:r>
          </w:p>
        </w:tc>
        <w:tc>
          <w:tcPr>
            <w:tcW w:w="841" w:type="pct"/>
            <w:tcBorders>
              <w:top w:val="single" w:sz="4" w:space="0" w:color="000000"/>
              <w:left w:val="single" w:sz="4" w:space="0" w:color="000000"/>
              <w:bottom w:val="single" w:sz="4" w:space="0" w:color="000000"/>
              <w:right w:val="single" w:sz="4" w:space="0" w:color="000000"/>
            </w:tcBorders>
          </w:tcPr>
          <w:p w14:paraId="4C22EFF5" w14:textId="0D78099D"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Deponia rajonale</w:t>
            </w:r>
          </w:p>
        </w:tc>
        <w:tc>
          <w:tcPr>
            <w:tcW w:w="627" w:type="pct"/>
            <w:tcBorders>
              <w:top w:val="single" w:sz="4" w:space="0" w:color="000000"/>
              <w:left w:val="single" w:sz="4" w:space="0" w:color="000000"/>
              <w:bottom w:val="single" w:sz="4" w:space="0" w:color="000000"/>
              <w:right w:val="single" w:sz="4" w:space="0" w:color="000000"/>
            </w:tcBorders>
          </w:tcPr>
          <w:p w14:paraId="735C6351" w14:textId="43F431CB"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Deponia rajonale</w:t>
            </w:r>
          </w:p>
        </w:tc>
        <w:tc>
          <w:tcPr>
            <w:tcW w:w="867" w:type="pct"/>
            <w:tcBorders>
              <w:top w:val="single" w:sz="4" w:space="0" w:color="000000"/>
              <w:left w:val="single" w:sz="4" w:space="0" w:color="000000"/>
              <w:bottom w:val="single" w:sz="4" w:space="0" w:color="000000"/>
              <w:right w:val="single" w:sz="4" w:space="0" w:color="000000"/>
            </w:tcBorders>
          </w:tcPr>
          <w:p w14:paraId="3A5B080C" w14:textId="16406A5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Deponia rajonale</w:t>
            </w:r>
          </w:p>
        </w:tc>
        <w:tc>
          <w:tcPr>
            <w:tcW w:w="601" w:type="pct"/>
            <w:tcBorders>
              <w:top w:val="single" w:sz="4" w:space="0" w:color="000000"/>
              <w:left w:val="single" w:sz="4" w:space="0" w:color="000000"/>
              <w:bottom w:val="single" w:sz="4" w:space="0" w:color="000000"/>
              <w:right w:val="single" w:sz="4" w:space="0" w:color="000000"/>
            </w:tcBorders>
          </w:tcPr>
          <w:p w14:paraId="5150844F" w14:textId="6696E8E5"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Deponia rajonale</w:t>
            </w:r>
          </w:p>
        </w:tc>
      </w:tr>
    </w:tbl>
    <w:p w14:paraId="61CE4059" w14:textId="77777777" w:rsidR="00430A79" w:rsidRPr="00923894" w:rsidRDefault="00430A79" w:rsidP="00430A79">
      <w:pPr>
        <w:rPr>
          <w:rFonts w:ascii="Arial Narrow" w:eastAsiaTheme="majorEastAsia" w:hAnsi="Arial Narrow"/>
          <w:sz w:val="22"/>
          <w:szCs w:val="22"/>
        </w:rPr>
      </w:pPr>
    </w:p>
    <w:p w14:paraId="40877FD5" w14:textId="1806A0CD" w:rsidR="00430A79" w:rsidRPr="009F5CA1" w:rsidRDefault="00923894" w:rsidP="00430A79">
      <w:pPr>
        <w:spacing w:after="120"/>
        <w:jc w:val="both"/>
        <w:rPr>
          <w:rFonts w:ascii="Arial Narrow" w:eastAsia="Calibri" w:hAnsi="Arial Narrow" w:cs="Calibri"/>
          <w:color w:val="000000" w:themeColor="text1"/>
          <w:sz w:val="22"/>
          <w:szCs w:val="22"/>
        </w:rPr>
      </w:pPr>
      <w:r w:rsidRPr="00923894">
        <w:rPr>
          <w:rFonts w:ascii="Arial Narrow" w:eastAsia="Calibri" w:hAnsi="Arial Narrow" w:cs="Calibri"/>
          <w:sz w:val="22"/>
          <w:szCs w:val="22"/>
          <w:lang w:val="sq-AL"/>
        </w:rPr>
        <w:t>Të gjithë skenarët përmbajnë impiantin e centralizuar të TMB dhe deponinë rajonale që do të vendoset në deponinë ekzistuese në komunën e Pejës</w:t>
      </w:r>
      <w:r w:rsidR="00430A79" w:rsidRPr="009F5CA1">
        <w:rPr>
          <w:rFonts w:ascii="Arial Narrow" w:eastAsia="Calibri" w:hAnsi="Arial Narrow" w:cs="Calibri"/>
          <w:color w:val="000000" w:themeColor="text1"/>
          <w:sz w:val="22"/>
          <w:szCs w:val="22"/>
        </w:rPr>
        <w:t>.</w:t>
      </w:r>
    </w:p>
    <w:p w14:paraId="4C8AD279" w14:textId="77777777" w:rsidR="003F742B" w:rsidRPr="009F5CA1" w:rsidRDefault="003F742B" w:rsidP="00430A79">
      <w:pPr>
        <w:spacing w:after="120"/>
        <w:jc w:val="both"/>
        <w:rPr>
          <w:rFonts w:ascii="Arial Narrow" w:eastAsia="Calibri" w:hAnsi="Arial Narrow" w:cs="Calibri"/>
          <w:color w:val="000000" w:themeColor="text1"/>
          <w:sz w:val="22"/>
          <w:szCs w:val="22"/>
        </w:rPr>
      </w:pPr>
    </w:p>
    <w:p w14:paraId="124C8E93" w14:textId="6A45ED3C" w:rsidR="00430A79" w:rsidRPr="00430A79" w:rsidRDefault="00430A79" w:rsidP="000D7AD0">
      <w:pPr>
        <w:pStyle w:val="Heading3"/>
      </w:pPr>
      <w:bookmarkStart w:id="432" w:name="_Toc185866138"/>
      <w:bookmarkStart w:id="433" w:name="_Toc197472029"/>
      <w:r w:rsidRPr="00430A79">
        <w:t>Krahasimi i kosto</w:t>
      </w:r>
      <w:r w:rsidR="00923894">
        <w:t>ve t</w:t>
      </w:r>
      <w:r w:rsidRPr="00430A79">
        <w:t>ë skenarëve</w:t>
      </w:r>
      <w:bookmarkEnd w:id="432"/>
      <w:bookmarkEnd w:id="433"/>
    </w:p>
    <w:p w14:paraId="78BABFA2" w14:textId="77777777" w:rsidR="003F742B" w:rsidRDefault="003F742B" w:rsidP="00430A79">
      <w:pPr>
        <w:spacing w:after="120"/>
        <w:jc w:val="both"/>
        <w:rPr>
          <w:rFonts w:ascii="Arial Narrow" w:eastAsia="Calibri" w:hAnsi="Arial Narrow" w:cs="Calibri"/>
          <w:color w:val="000000" w:themeColor="text1"/>
          <w:sz w:val="22"/>
          <w:szCs w:val="22"/>
          <w:lang w:val="en-GB"/>
        </w:rPr>
      </w:pPr>
    </w:p>
    <w:p w14:paraId="71D86ABD" w14:textId="61905286" w:rsidR="00430A79" w:rsidRPr="00430A79" w:rsidRDefault="00430A79" w:rsidP="00430A79">
      <w:pPr>
        <w:spacing w:after="120"/>
        <w:jc w:val="both"/>
        <w:rPr>
          <w:rFonts w:ascii="Arial Narrow" w:eastAsia="Calibri" w:hAnsi="Arial Narrow" w:cs="Calibri"/>
          <w:color w:val="000000" w:themeColor="text1"/>
          <w:sz w:val="22"/>
          <w:szCs w:val="22"/>
          <w:lang w:val="en-GB"/>
        </w:rPr>
      </w:pPr>
      <w:proofErr w:type="spellStart"/>
      <w:r w:rsidRPr="00430A79">
        <w:rPr>
          <w:rFonts w:ascii="Arial Narrow" w:eastAsia="Calibri" w:hAnsi="Arial Narrow" w:cs="Calibri"/>
          <w:color w:val="000000" w:themeColor="text1"/>
          <w:sz w:val="22"/>
          <w:szCs w:val="22"/>
          <w:lang w:val="en-GB"/>
        </w:rPr>
        <w:t>Tabela</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më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poshtë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paraqet</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vlerën</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aktuale</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të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kostove</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të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investimit</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për</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secilin</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nga</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skenarët</w:t>
      </w:r>
      <w:proofErr w:type="spellEnd"/>
      <w:r w:rsidRPr="00430A79">
        <w:rPr>
          <w:rFonts w:ascii="Arial Narrow" w:eastAsia="Calibri" w:hAnsi="Arial Narrow" w:cs="Calibri"/>
          <w:color w:val="000000" w:themeColor="text1"/>
          <w:sz w:val="22"/>
          <w:szCs w:val="22"/>
          <w:lang w:val="en-GB"/>
        </w:rPr>
        <w:t xml:space="preserve"> e </w:t>
      </w:r>
      <w:proofErr w:type="spellStart"/>
      <w:r w:rsidRPr="00430A79">
        <w:rPr>
          <w:rFonts w:ascii="Arial Narrow" w:eastAsia="Calibri" w:hAnsi="Arial Narrow" w:cs="Calibri"/>
          <w:color w:val="000000" w:themeColor="text1"/>
          <w:sz w:val="22"/>
          <w:szCs w:val="22"/>
          <w:lang w:val="en-GB"/>
        </w:rPr>
        <w:t>konsideruar</w:t>
      </w:r>
      <w:proofErr w:type="spellEnd"/>
      <w:r w:rsidRPr="00430A79">
        <w:rPr>
          <w:rFonts w:ascii="Arial" w:eastAsia="Calibri" w:hAnsi="Arial" w:cs="Calibri"/>
          <w:color w:val="4472C4" w:themeColor="accent1"/>
          <w:position w:val="6"/>
          <w:sz w:val="16"/>
          <w:szCs w:val="22"/>
          <w:lang w:val="en-GB"/>
        </w:rPr>
        <w:footnoteReference w:id="33"/>
      </w:r>
      <w:r w:rsidRPr="00430A79">
        <w:rPr>
          <w:rFonts w:ascii="Arial Narrow" w:eastAsia="Calibri" w:hAnsi="Arial Narrow" w:cs="Calibri"/>
          <w:color w:val="000000" w:themeColor="text1"/>
          <w:sz w:val="22"/>
          <w:szCs w:val="22"/>
          <w:lang w:val="en-GB"/>
        </w:rPr>
        <w:t xml:space="preserve"> </w:t>
      </w:r>
    </w:p>
    <w:p w14:paraId="1683BD30" w14:textId="7F7BB023" w:rsidR="00430A79" w:rsidRDefault="00430A79" w:rsidP="00430A79">
      <w:pPr>
        <w:spacing w:after="120"/>
        <w:jc w:val="both"/>
        <w:rPr>
          <w:rFonts w:ascii="Calibri" w:eastAsia="Calibri" w:hAnsi="Calibri" w:cs="Calibri"/>
          <w:color w:val="1F497D"/>
          <w:sz w:val="20"/>
          <w:szCs w:val="20"/>
          <w:lang w:val="en-GB"/>
        </w:rPr>
      </w:pPr>
      <w:bookmarkStart w:id="434" w:name="_Toc185866219"/>
      <w:bookmarkStart w:id="435" w:name="_Toc197472248"/>
      <w:proofErr w:type="spellStart"/>
      <w:r w:rsidRPr="00430A79">
        <w:rPr>
          <w:rFonts w:ascii="Arial Narrow" w:eastAsia="Calibri" w:hAnsi="Arial Narrow" w:cs="Calibri"/>
          <w:color w:val="1F497D"/>
          <w:sz w:val="20"/>
          <w:szCs w:val="20"/>
          <w:lang w:val="en-GB"/>
        </w:rPr>
        <w:t>Tabela</w:t>
      </w:r>
      <w:proofErr w:type="spellEnd"/>
      <w:r w:rsidRPr="00430A79">
        <w:rPr>
          <w:rFonts w:ascii="Arial Narrow" w:eastAsia="Calibri" w:hAnsi="Arial Narrow" w:cs="Calibri"/>
          <w:color w:val="1F497D"/>
          <w:sz w:val="20"/>
          <w:szCs w:val="20"/>
          <w:lang w:val="en-GB"/>
        </w:rPr>
        <w:t xml:space="preserve"> </w:t>
      </w:r>
      <w:r w:rsidRPr="00430A79">
        <w:rPr>
          <w:rFonts w:ascii="Arial Narrow" w:eastAsia="Calibri" w:hAnsi="Arial Narrow" w:cs="Calibri"/>
          <w:color w:val="1F497D"/>
          <w:sz w:val="20"/>
          <w:szCs w:val="20"/>
          <w:lang w:val="en-GB"/>
        </w:rPr>
        <w:fldChar w:fldCharType="begin"/>
      </w:r>
      <w:r w:rsidRPr="00430A79">
        <w:rPr>
          <w:rFonts w:ascii="Arial Narrow" w:eastAsia="Calibri" w:hAnsi="Arial Narrow" w:cs="Calibri"/>
          <w:color w:val="1F497D"/>
          <w:sz w:val="20"/>
          <w:szCs w:val="20"/>
          <w:lang w:val="en-GB"/>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Pr>
          <w:rFonts w:ascii="Arial Narrow" w:eastAsia="Calibri" w:hAnsi="Arial Narrow" w:cs="Calibri"/>
          <w:noProof/>
          <w:color w:val="1F497D"/>
          <w:sz w:val="20"/>
          <w:szCs w:val="20"/>
          <w:lang w:val="en-GB"/>
        </w:rPr>
        <w:t xml:space="preserve">63. </w:t>
      </w:r>
      <w:r w:rsidRPr="00430A79">
        <w:rPr>
          <w:rFonts w:ascii="Arial Narrow" w:eastAsia="Calibri" w:hAnsi="Arial Narrow" w:cs="Calibri"/>
          <w:color w:val="1F497D"/>
          <w:sz w:val="20"/>
          <w:szCs w:val="20"/>
          <w:lang w:val="en-GB"/>
        </w:rPr>
        <w:fldChar w:fldCharType="end"/>
      </w:r>
      <w:r w:rsidRPr="00430A79">
        <w:rPr>
          <w:rFonts w:ascii="Arial Narrow" w:eastAsia="Calibri" w:hAnsi="Arial Narrow" w:cs="Calibri"/>
          <w:color w:val="1F497D"/>
          <w:sz w:val="20"/>
          <w:szCs w:val="20"/>
          <w:lang w:val="en-GB"/>
        </w:rPr>
        <w:t xml:space="preserve">Vlera </w:t>
      </w:r>
      <w:proofErr w:type="spellStart"/>
      <w:r w:rsidRPr="00430A79">
        <w:rPr>
          <w:rFonts w:ascii="Arial Narrow" w:eastAsia="Calibri" w:hAnsi="Arial Narrow" w:cs="Calibri"/>
          <w:color w:val="1F497D"/>
          <w:sz w:val="20"/>
          <w:szCs w:val="20"/>
          <w:lang w:val="en-GB"/>
        </w:rPr>
        <w:t>aktuale</w:t>
      </w:r>
      <w:proofErr w:type="spellEnd"/>
      <w:r w:rsidRPr="00430A79">
        <w:rPr>
          <w:rFonts w:ascii="Arial Narrow" w:eastAsia="Calibri" w:hAnsi="Arial Narrow" w:cs="Calibri"/>
          <w:color w:val="1F497D"/>
          <w:sz w:val="20"/>
          <w:szCs w:val="20"/>
          <w:lang w:val="en-GB"/>
        </w:rPr>
        <w:t xml:space="preserve"> e </w:t>
      </w:r>
      <w:proofErr w:type="spellStart"/>
      <w:r w:rsidRPr="00430A79">
        <w:rPr>
          <w:rFonts w:ascii="Arial Narrow" w:eastAsia="Calibri" w:hAnsi="Arial Narrow" w:cs="Calibri"/>
          <w:color w:val="1F497D"/>
          <w:sz w:val="20"/>
          <w:szCs w:val="20"/>
          <w:lang w:val="en-GB"/>
        </w:rPr>
        <w:t>kostove</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të</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investimit</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për</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skenarë</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të</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ndryshëm</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mijë</w:t>
      </w:r>
      <w:proofErr w:type="spellEnd"/>
      <w:r w:rsidRPr="00430A79">
        <w:rPr>
          <w:rFonts w:ascii="Arial Narrow" w:eastAsia="Calibri" w:hAnsi="Arial Narrow" w:cs="Calibri"/>
          <w:color w:val="1F497D"/>
          <w:sz w:val="20"/>
          <w:szCs w:val="20"/>
          <w:lang w:val="en-GB"/>
        </w:rPr>
        <w:t xml:space="preserve"> </w:t>
      </w:r>
      <w:r w:rsidRPr="00430A79">
        <w:rPr>
          <w:rFonts w:ascii="Calibri" w:eastAsia="Calibri" w:hAnsi="Calibri" w:cs="Calibri"/>
          <w:color w:val="1F497D"/>
          <w:sz w:val="20"/>
          <w:szCs w:val="20"/>
          <w:lang w:val="en-GB"/>
        </w:rPr>
        <w:t>€</w:t>
      </w:r>
      <w:bookmarkEnd w:id="434"/>
      <w:bookmarkEnd w:id="435"/>
    </w:p>
    <w:p w14:paraId="7E1127DD" w14:textId="77777777" w:rsidR="009C5275" w:rsidRPr="00430A79" w:rsidRDefault="009C5275" w:rsidP="00430A79">
      <w:pPr>
        <w:spacing w:after="120"/>
        <w:jc w:val="both"/>
        <w:rPr>
          <w:rFonts w:ascii="Arial Narrow" w:eastAsia="Calibri" w:hAnsi="Arial Narrow" w:cs="Calibri"/>
          <w:color w:val="1F497D"/>
          <w:sz w:val="20"/>
          <w:szCs w:val="20"/>
          <w:lang w:val="en-GB"/>
        </w:rPr>
      </w:pPr>
    </w:p>
    <w:tbl>
      <w:tblPr>
        <w:tblW w:w="5000" w:type="pct"/>
        <w:tblLook w:val="04A0" w:firstRow="1" w:lastRow="0" w:firstColumn="1" w:lastColumn="0" w:noHBand="0" w:noVBand="1"/>
      </w:tblPr>
      <w:tblGrid>
        <w:gridCol w:w="4275"/>
        <w:gridCol w:w="60"/>
        <w:gridCol w:w="769"/>
        <w:gridCol w:w="836"/>
        <w:gridCol w:w="769"/>
        <w:gridCol w:w="769"/>
        <w:gridCol w:w="769"/>
        <w:gridCol w:w="769"/>
      </w:tblGrid>
      <w:tr w:rsidR="009C5275" w:rsidRPr="00430A79" w14:paraId="4ECCDFF6" w14:textId="77777777" w:rsidTr="00A93D21">
        <w:trPr>
          <w:trHeight w:val="312"/>
        </w:trPr>
        <w:tc>
          <w:tcPr>
            <w:tcW w:w="2404" w:type="pct"/>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56FD9CE6"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Operacioni i menaxhimit të mbeturinave</w:t>
            </w:r>
          </w:p>
        </w:tc>
        <w:tc>
          <w:tcPr>
            <w:tcW w:w="426" w:type="pct"/>
            <w:tcBorders>
              <w:top w:val="single" w:sz="4" w:space="0" w:color="auto"/>
              <w:left w:val="nil"/>
              <w:bottom w:val="single" w:sz="4" w:space="0" w:color="auto"/>
              <w:right w:val="single" w:sz="4" w:space="0" w:color="auto"/>
            </w:tcBorders>
            <w:shd w:val="clear" w:color="auto" w:fill="365F91"/>
            <w:noWrap/>
            <w:vAlign w:val="bottom"/>
            <w:hideMark/>
          </w:tcPr>
          <w:p w14:paraId="5A7901D0"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1</w:t>
            </w:r>
          </w:p>
        </w:tc>
        <w:tc>
          <w:tcPr>
            <w:tcW w:w="464" w:type="pct"/>
            <w:tcBorders>
              <w:top w:val="single" w:sz="4" w:space="0" w:color="auto"/>
              <w:left w:val="nil"/>
              <w:bottom w:val="single" w:sz="4" w:space="0" w:color="auto"/>
              <w:right w:val="single" w:sz="4" w:space="0" w:color="auto"/>
            </w:tcBorders>
            <w:shd w:val="clear" w:color="auto" w:fill="365F91"/>
            <w:noWrap/>
            <w:vAlign w:val="bottom"/>
            <w:hideMark/>
          </w:tcPr>
          <w:p w14:paraId="6F4775BB"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1a</w:t>
            </w:r>
          </w:p>
        </w:tc>
        <w:tc>
          <w:tcPr>
            <w:tcW w:w="426" w:type="pct"/>
            <w:tcBorders>
              <w:top w:val="single" w:sz="4" w:space="0" w:color="auto"/>
              <w:left w:val="nil"/>
              <w:bottom w:val="single" w:sz="4" w:space="0" w:color="auto"/>
              <w:right w:val="single" w:sz="4" w:space="0" w:color="auto"/>
            </w:tcBorders>
            <w:shd w:val="clear" w:color="auto" w:fill="365F91"/>
            <w:noWrap/>
            <w:vAlign w:val="bottom"/>
            <w:hideMark/>
          </w:tcPr>
          <w:p w14:paraId="237C79BA"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2</w:t>
            </w:r>
          </w:p>
        </w:tc>
        <w:tc>
          <w:tcPr>
            <w:tcW w:w="426" w:type="pct"/>
            <w:tcBorders>
              <w:top w:val="single" w:sz="4" w:space="0" w:color="auto"/>
              <w:left w:val="nil"/>
              <w:bottom w:val="single" w:sz="4" w:space="0" w:color="auto"/>
              <w:right w:val="single" w:sz="4" w:space="0" w:color="auto"/>
            </w:tcBorders>
            <w:shd w:val="clear" w:color="auto" w:fill="365F91"/>
            <w:noWrap/>
            <w:vAlign w:val="bottom"/>
            <w:hideMark/>
          </w:tcPr>
          <w:p w14:paraId="79569288"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3</w:t>
            </w:r>
          </w:p>
        </w:tc>
        <w:tc>
          <w:tcPr>
            <w:tcW w:w="426" w:type="pct"/>
            <w:tcBorders>
              <w:top w:val="single" w:sz="4" w:space="0" w:color="auto"/>
              <w:left w:val="nil"/>
              <w:bottom w:val="single" w:sz="4" w:space="0" w:color="auto"/>
              <w:right w:val="single" w:sz="4" w:space="0" w:color="auto"/>
            </w:tcBorders>
            <w:shd w:val="clear" w:color="auto" w:fill="365F91"/>
            <w:noWrap/>
            <w:vAlign w:val="bottom"/>
            <w:hideMark/>
          </w:tcPr>
          <w:p w14:paraId="094073EE"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4</w:t>
            </w:r>
          </w:p>
        </w:tc>
        <w:tc>
          <w:tcPr>
            <w:tcW w:w="426" w:type="pct"/>
            <w:tcBorders>
              <w:top w:val="single" w:sz="4" w:space="0" w:color="auto"/>
              <w:left w:val="nil"/>
              <w:bottom w:val="single" w:sz="4" w:space="0" w:color="auto"/>
              <w:right w:val="single" w:sz="4" w:space="0" w:color="auto"/>
            </w:tcBorders>
            <w:shd w:val="clear" w:color="auto" w:fill="365F91"/>
            <w:noWrap/>
            <w:vAlign w:val="bottom"/>
            <w:hideMark/>
          </w:tcPr>
          <w:p w14:paraId="08AC2324"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5</w:t>
            </w:r>
          </w:p>
        </w:tc>
      </w:tr>
      <w:tr w:rsidR="009C5275" w:rsidRPr="00430A79" w14:paraId="046852DD" w14:textId="77777777" w:rsidTr="00A93D21">
        <w:trPr>
          <w:trHeight w:val="312"/>
        </w:trPr>
        <w:tc>
          <w:tcPr>
            <w:tcW w:w="22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8CFF0" w14:textId="1425292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Grumbullimi </w:t>
            </w:r>
            <w:r>
              <w:rPr>
                <w:rFonts w:ascii="Arial Narrow" w:eastAsia="Calibri" w:hAnsi="Arial Narrow" w:cs="Calibri"/>
                <w:sz w:val="20"/>
                <w:szCs w:val="20"/>
                <w:lang w:val="sq-AL"/>
              </w:rPr>
              <w:t>ndaras</w:t>
            </w:r>
          </w:p>
        </w:tc>
        <w:tc>
          <w:tcPr>
            <w:tcW w:w="553" w:type="pct"/>
            <w:gridSpan w:val="2"/>
            <w:tcBorders>
              <w:top w:val="single" w:sz="4" w:space="0" w:color="auto"/>
              <w:left w:val="nil"/>
              <w:bottom w:val="single" w:sz="4" w:space="0" w:color="auto"/>
              <w:right w:val="single" w:sz="4" w:space="0" w:color="auto"/>
            </w:tcBorders>
            <w:shd w:val="clear" w:color="auto" w:fill="auto"/>
            <w:noWrap/>
            <w:vAlign w:val="bottom"/>
            <w:hideMark/>
          </w:tcPr>
          <w:p w14:paraId="610DEF6B"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5,604</w:t>
            </w:r>
          </w:p>
        </w:tc>
        <w:tc>
          <w:tcPr>
            <w:tcW w:w="464" w:type="pct"/>
            <w:tcBorders>
              <w:top w:val="single" w:sz="4" w:space="0" w:color="auto"/>
              <w:left w:val="nil"/>
              <w:bottom w:val="single" w:sz="4" w:space="0" w:color="auto"/>
              <w:right w:val="single" w:sz="4" w:space="0" w:color="auto"/>
            </w:tcBorders>
            <w:shd w:val="clear" w:color="auto" w:fill="auto"/>
            <w:noWrap/>
            <w:vAlign w:val="bottom"/>
            <w:hideMark/>
          </w:tcPr>
          <w:p w14:paraId="6EA6D5C7"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5,604</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42171"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7,190</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3A020"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5,604</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2CEAF"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5,459</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FC7FF"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5,604</w:t>
            </w:r>
          </w:p>
        </w:tc>
      </w:tr>
      <w:tr w:rsidR="009C5275" w:rsidRPr="00430A79" w14:paraId="692AD8C4" w14:textId="77777777" w:rsidTr="00A93D21">
        <w:trPr>
          <w:trHeight w:val="288"/>
        </w:trPr>
        <w:tc>
          <w:tcPr>
            <w:tcW w:w="22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F97DE" w14:textId="0B773EC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Grumbullimi i mbeturinave të përziera</w:t>
            </w:r>
          </w:p>
        </w:tc>
        <w:tc>
          <w:tcPr>
            <w:tcW w:w="553" w:type="pct"/>
            <w:gridSpan w:val="2"/>
            <w:tcBorders>
              <w:top w:val="single" w:sz="4" w:space="0" w:color="auto"/>
              <w:left w:val="nil"/>
              <w:bottom w:val="single" w:sz="4" w:space="0" w:color="auto"/>
              <w:right w:val="single" w:sz="4" w:space="0" w:color="auto"/>
            </w:tcBorders>
            <w:shd w:val="clear" w:color="auto" w:fill="auto"/>
            <w:noWrap/>
            <w:vAlign w:val="bottom"/>
          </w:tcPr>
          <w:p w14:paraId="6FB1E03C"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7,285</w:t>
            </w:r>
          </w:p>
        </w:tc>
        <w:tc>
          <w:tcPr>
            <w:tcW w:w="464" w:type="pct"/>
            <w:tcBorders>
              <w:top w:val="single" w:sz="4" w:space="0" w:color="auto"/>
              <w:left w:val="nil"/>
              <w:bottom w:val="single" w:sz="4" w:space="0" w:color="auto"/>
              <w:right w:val="single" w:sz="4" w:space="0" w:color="auto"/>
            </w:tcBorders>
            <w:shd w:val="clear" w:color="auto" w:fill="auto"/>
            <w:noWrap/>
            <w:vAlign w:val="bottom"/>
          </w:tcPr>
          <w:p w14:paraId="15F44DAB"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6,931</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5453F0"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7,678</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250E95"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7,093</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AD2F4A"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8,054</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FBF675"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6,931</w:t>
            </w:r>
          </w:p>
        </w:tc>
      </w:tr>
      <w:tr w:rsidR="009C5275" w:rsidRPr="00430A79" w14:paraId="7C2C4AC8" w14:textId="77777777" w:rsidTr="00A93D21">
        <w:trPr>
          <w:trHeight w:val="288"/>
        </w:trPr>
        <w:tc>
          <w:tcPr>
            <w:tcW w:w="22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AD78F" w14:textId="14F413EA"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Transferimi i mbeturinave të përziera</w:t>
            </w:r>
          </w:p>
        </w:tc>
        <w:tc>
          <w:tcPr>
            <w:tcW w:w="553" w:type="pct"/>
            <w:gridSpan w:val="2"/>
            <w:tcBorders>
              <w:top w:val="single" w:sz="4" w:space="0" w:color="auto"/>
              <w:left w:val="nil"/>
              <w:bottom w:val="single" w:sz="4" w:space="0" w:color="auto"/>
              <w:right w:val="single" w:sz="4" w:space="0" w:color="auto"/>
            </w:tcBorders>
            <w:shd w:val="clear" w:color="auto" w:fill="auto"/>
            <w:noWrap/>
            <w:vAlign w:val="bottom"/>
          </w:tcPr>
          <w:p w14:paraId="1FBC4232"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371</w:t>
            </w:r>
          </w:p>
        </w:tc>
        <w:tc>
          <w:tcPr>
            <w:tcW w:w="464" w:type="pct"/>
            <w:tcBorders>
              <w:top w:val="single" w:sz="4" w:space="0" w:color="auto"/>
              <w:left w:val="nil"/>
              <w:bottom w:val="single" w:sz="4" w:space="0" w:color="auto"/>
              <w:right w:val="single" w:sz="4" w:space="0" w:color="auto"/>
            </w:tcBorders>
            <w:shd w:val="clear" w:color="auto" w:fill="auto"/>
            <w:noWrap/>
            <w:vAlign w:val="bottom"/>
          </w:tcPr>
          <w:p w14:paraId="14444950"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1,143</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BD510A"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DAB157"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701</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D24619"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D811B7"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2,113</w:t>
            </w:r>
          </w:p>
        </w:tc>
      </w:tr>
      <w:tr w:rsidR="009C5275" w:rsidRPr="00430A79" w14:paraId="19598284" w14:textId="77777777" w:rsidTr="00A93D21">
        <w:trPr>
          <w:trHeight w:val="288"/>
        </w:trPr>
        <w:tc>
          <w:tcPr>
            <w:tcW w:w="22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3DC86D" w14:textId="658C0218"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Kompostimi i mbeurinave të gjelbra</w:t>
            </w:r>
          </w:p>
        </w:tc>
        <w:tc>
          <w:tcPr>
            <w:tcW w:w="553" w:type="pct"/>
            <w:gridSpan w:val="2"/>
            <w:tcBorders>
              <w:top w:val="single" w:sz="4" w:space="0" w:color="auto"/>
              <w:left w:val="nil"/>
              <w:bottom w:val="single" w:sz="4" w:space="0" w:color="auto"/>
              <w:right w:val="single" w:sz="4" w:space="0" w:color="auto"/>
            </w:tcBorders>
            <w:shd w:val="clear" w:color="auto" w:fill="auto"/>
            <w:noWrap/>
            <w:vAlign w:val="bottom"/>
          </w:tcPr>
          <w:p w14:paraId="3F3EE706"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818</w:t>
            </w:r>
          </w:p>
        </w:tc>
        <w:tc>
          <w:tcPr>
            <w:tcW w:w="464" w:type="pct"/>
            <w:tcBorders>
              <w:top w:val="single" w:sz="4" w:space="0" w:color="auto"/>
              <w:left w:val="nil"/>
              <w:bottom w:val="single" w:sz="4" w:space="0" w:color="auto"/>
              <w:right w:val="single" w:sz="4" w:space="0" w:color="auto"/>
            </w:tcBorders>
            <w:shd w:val="clear" w:color="auto" w:fill="auto"/>
            <w:noWrap/>
            <w:vAlign w:val="bottom"/>
          </w:tcPr>
          <w:p w14:paraId="6B319A75"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818</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FF6D11"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818</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081B0A"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818</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021DC3"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818</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3C6E20"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818</w:t>
            </w:r>
          </w:p>
        </w:tc>
      </w:tr>
      <w:tr w:rsidR="009C5275" w:rsidRPr="00430A79" w14:paraId="3F1A07AA" w14:textId="77777777" w:rsidTr="00A93D21">
        <w:trPr>
          <w:trHeight w:val="288"/>
        </w:trPr>
        <w:tc>
          <w:tcPr>
            <w:tcW w:w="22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F0C0F8" w14:textId="7D17FA70"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Klasifikimi i mbledhjes </w:t>
            </w:r>
            <w:r>
              <w:rPr>
                <w:rFonts w:ascii="Arial Narrow" w:eastAsia="Calibri" w:hAnsi="Arial Narrow" w:cs="Calibri"/>
                <w:sz w:val="20"/>
                <w:szCs w:val="20"/>
                <w:lang w:val="sq-AL"/>
              </w:rPr>
              <w:t>ndaras</w:t>
            </w:r>
          </w:p>
        </w:tc>
        <w:tc>
          <w:tcPr>
            <w:tcW w:w="553" w:type="pct"/>
            <w:gridSpan w:val="2"/>
            <w:tcBorders>
              <w:top w:val="single" w:sz="4" w:space="0" w:color="auto"/>
              <w:left w:val="nil"/>
              <w:bottom w:val="single" w:sz="4" w:space="0" w:color="auto"/>
              <w:right w:val="single" w:sz="4" w:space="0" w:color="auto"/>
            </w:tcBorders>
            <w:shd w:val="clear" w:color="auto" w:fill="auto"/>
            <w:noWrap/>
            <w:vAlign w:val="bottom"/>
          </w:tcPr>
          <w:p w14:paraId="4427BAB7"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1,156</w:t>
            </w:r>
          </w:p>
        </w:tc>
        <w:tc>
          <w:tcPr>
            <w:tcW w:w="464" w:type="pct"/>
            <w:tcBorders>
              <w:top w:val="single" w:sz="4" w:space="0" w:color="auto"/>
              <w:left w:val="nil"/>
              <w:bottom w:val="single" w:sz="4" w:space="0" w:color="auto"/>
              <w:right w:val="single" w:sz="4" w:space="0" w:color="auto"/>
            </w:tcBorders>
            <w:shd w:val="clear" w:color="auto" w:fill="auto"/>
            <w:noWrap/>
            <w:vAlign w:val="bottom"/>
          </w:tcPr>
          <w:p w14:paraId="4332E967"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1,156</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30F5FA"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1,156</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593E54"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1,156</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B8F36E"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1,365</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5FB7C6"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1,156</w:t>
            </w:r>
          </w:p>
        </w:tc>
      </w:tr>
      <w:tr w:rsidR="009C5275" w:rsidRPr="00430A79" w14:paraId="6080A7AE" w14:textId="77777777" w:rsidTr="00A93D21">
        <w:trPr>
          <w:trHeight w:val="288"/>
        </w:trPr>
        <w:tc>
          <w:tcPr>
            <w:tcW w:w="22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A4CB57" w14:textId="5135B8A9"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Trajtimi i mbeturinave të përziera (TMB)</w:t>
            </w:r>
          </w:p>
        </w:tc>
        <w:tc>
          <w:tcPr>
            <w:tcW w:w="553" w:type="pct"/>
            <w:gridSpan w:val="2"/>
            <w:tcBorders>
              <w:top w:val="single" w:sz="4" w:space="0" w:color="auto"/>
              <w:left w:val="nil"/>
              <w:bottom w:val="single" w:sz="4" w:space="0" w:color="auto"/>
              <w:right w:val="single" w:sz="4" w:space="0" w:color="auto"/>
            </w:tcBorders>
            <w:shd w:val="clear" w:color="auto" w:fill="auto"/>
            <w:noWrap/>
            <w:vAlign w:val="bottom"/>
          </w:tcPr>
          <w:p w14:paraId="2119A67E"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5,726</w:t>
            </w:r>
          </w:p>
        </w:tc>
        <w:tc>
          <w:tcPr>
            <w:tcW w:w="464" w:type="pct"/>
            <w:tcBorders>
              <w:top w:val="single" w:sz="4" w:space="0" w:color="auto"/>
              <w:left w:val="nil"/>
              <w:bottom w:val="single" w:sz="4" w:space="0" w:color="auto"/>
              <w:right w:val="single" w:sz="4" w:space="0" w:color="auto"/>
            </w:tcBorders>
            <w:shd w:val="clear" w:color="auto" w:fill="auto"/>
            <w:noWrap/>
            <w:vAlign w:val="bottom"/>
          </w:tcPr>
          <w:p w14:paraId="7014FA1A"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5,726</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CB987A"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5,726</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A562D9"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5,726</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CE19A4"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5,726</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BA7753"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5,726</w:t>
            </w:r>
          </w:p>
        </w:tc>
      </w:tr>
      <w:tr w:rsidR="009C5275" w:rsidRPr="00430A79" w14:paraId="1D665490" w14:textId="77777777" w:rsidTr="00A93D21">
        <w:trPr>
          <w:trHeight w:val="288"/>
        </w:trPr>
        <w:tc>
          <w:tcPr>
            <w:tcW w:w="22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ADBA11" w14:textId="1CA5C1A2" w:rsidR="00923894" w:rsidRPr="00430A79" w:rsidRDefault="0067721A" w:rsidP="00923894">
            <w:pPr>
              <w:widowControl w:val="0"/>
              <w:autoSpaceDE w:val="0"/>
              <w:autoSpaceDN w:val="0"/>
              <w:spacing w:before="60" w:after="60"/>
              <w:ind w:right="123"/>
              <w:rPr>
                <w:rFonts w:ascii="Arial Narrow" w:eastAsia="Calibri" w:hAnsi="Arial Narrow" w:cs="Calibri"/>
                <w:sz w:val="20"/>
                <w:szCs w:val="20"/>
              </w:rPr>
            </w:pPr>
            <w:r>
              <w:rPr>
                <w:rFonts w:ascii="Arial Narrow" w:eastAsia="Calibri" w:hAnsi="Arial Narrow" w:cs="Calibri"/>
                <w:sz w:val="20"/>
                <w:szCs w:val="20"/>
                <w:lang w:val="sq-AL"/>
              </w:rPr>
              <w:t>T</w:t>
            </w:r>
            <w:r w:rsidR="00923894" w:rsidRPr="00BE2534">
              <w:rPr>
                <w:rFonts w:ascii="Arial Narrow" w:eastAsia="Calibri" w:hAnsi="Arial Narrow" w:cs="Calibri"/>
                <w:sz w:val="20"/>
                <w:szCs w:val="20"/>
                <w:lang w:val="sq-AL"/>
              </w:rPr>
              <w:t>A ose kompostimi i mbeturinave ushqimore në kontejnerë të specializuar</w:t>
            </w:r>
          </w:p>
        </w:tc>
        <w:tc>
          <w:tcPr>
            <w:tcW w:w="553" w:type="pct"/>
            <w:gridSpan w:val="2"/>
            <w:tcBorders>
              <w:top w:val="single" w:sz="4" w:space="0" w:color="auto"/>
              <w:left w:val="nil"/>
              <w:bottom w:val="single" w:sz="4" w:space="0" w:color="auto"/>
              <w:right w:val="single" w:sz="4" w:space="0" w:color="auto"/>
            </w:tcBorders>
            <w:shd w:val="clear" w:color="auto" w:fill="auto"/>
            <w:noWrap/>
            <w:vAlign w:val="bottom"/>
          </w:tcPr>
          <w:p w14:paraId="1DC801AF"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1,392</w:t>
            </w:r>
          </w:p>
        </w:tc>
        <w:tc>
          <w:tcPr>
            <w:tcW w:w="464" w:type="pct"/>
            <w:tcBorders>
              <w:top w:val="single" w:sz="4" w:space="0" w:color="auto"/>
              <w:left w:val="nil"/>
              <w:bottom w:val="single" w:sz="4" w:space="0" w:color="auto"/>
              <w:right w:val="single" w:sz="4" w:space="0" w:color="auto"/>
            </w:tcBorders>
            <w:shd w:val="clear" w:color="auto" w:fill="auto"/>
            <w:noWrap/>
            <w:vAlign w:val="bottom"/>
          </w:tcPr>
          <w:p w14:paraId="1CF55272"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1,392</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6897EA"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1,392</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989DD5"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1,077</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EBEC91"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835</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DF37A3"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1,392</w:t>
            </w:r>
          </w:p>
        </w:tc>
      </w:tr>
      <w:tr w:rsidR="009C5275" w:rsidRPr="00430A79" w14:paraId="5D95D74B" w14:textId="77777777" w:rsidTr="00A93D21">
        <w:trPr>
          <w:trHeight w:val="288"/>
        </w:trPr>
        <w:tc>
          <w:tcPr>
            <w:tcW w:w="22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C6E4D0" w14:textId="525E3EC0"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lastRenderedPageBreak/>
              <w:t>Impianti KDM MpE</w:t>
            </w:r>
          </w:p>
        </w:tc>
        <w:tc>
          <w:tcPr>
            <w:tcW w:w="553" w:type="pct"/>
            <w:gridSpan w:val="2"/>
            <w:tcBorders>
              <w:top w:val="single" w:sz="4" w:space="0" w:color="auto"/>
              <w:left w:val="nil"/>
              <w:bottom w:val="single" w:sz="4" w:space="0" w:color="auto"/>
              <w:right w:val="single" w:sz="4" w:space="0" w:color="auto"/>
            </w:tcBorders>
            <w:shd w:val="clear" w:color="auto" w:fill="auto"/>
            <w:noWrap/>
            <w:vAlign w:val="bottom"/>
          </w:tcPr>
          <w:p w14:paraId="5E44EADC"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464" w:type="pct"/>
            <w:tcBorders>
              <w:top w:val="single" w:sz="4" w:space="0" w:color="auto"/>
              <w:left w:val="nil"/>
              <w:bottom w:val="single" w:sz="4" w:space="0" w:color="auto"/>
              <w:right w:val="single" w:sz="4" w:space="0" w:color="auto"/>
            </w:tcBorders>
            <w:shd w:val="clear" w:color="auto" w:fill="auto"/>
            <w:noWrap/>
            <w:vAlign w:val="bottom"/>
          </w:tcPr>
          <w:p w14:paraId="14F2D7F6"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53AA45"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B7F1DA"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C641C3"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D5C291"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r>
      <w:tr w:rsidR="009C5275" w:rsidRPr="00430A79" w14:paraId="63FE23DB" w14:textId="77777777" w:rsidTr="00A93D21">
        <w:trPr>
          <w:trHeight w:val="288"/>
        </w:trPr>
        <w:tc>
          <w:tcPr>
            <w:tcW w:w="22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712EF0" w14:textId="27B26544"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Deponia</w:t>
            </w:r>
          </w:p>
        </w:tc>
        <w:tc>
          <w:tcPr>
            <w:tcW w:w="553" w:type="pct"/>
            <w:gridSpan w:val="2"/>
            <w:tcBorders>
              <w:top w:val="single" w:sz="4" w:space="0" w:color="auto"/>
              <w:left w:val="nil"/>
              <w:bottom w:val="single" w:sz="4" w:space="0" w:color="auto"/>
              <w:right w:val="single" w:sz="4" w:space="0" w:color="auto"/>
            </w:tcBorders>
            <w:shd w:val="clear" w:color="auto" w:fill="auto"/>
            <w:noWrap/>
            <w:vAlign w:val="bottom"/>
          </w:tcPr>
          <w:p w14:paraId="0922A41A"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11,200</w:t>
            </w:r>
          </w:p>
        </w:tc>
        <w:tc>
          <w:tcPr>
            <w:tcW w:w="464" w:type="pct"/>
            <w:tcBorders>
              <w:top w:val="single" w:sz="4" w:space="0" w:color="auto"/>
              <w:left w:val="nil"/>
              <w:bottom w:val="single" w:sz="4" w:space="0" w:color="auto"/>
              <w:right w:val="single" w:sz="4" w:space="0" w:color="auto"/>
            </w:tcBorders>
            <w:shd w:val="clear" w:color="auto" w:fill="auto"/>
            <w:noWrap/>
            <w:vAlign w:val="bottom"/>
          </w:tcPr>
          <w:p w14:paraId="10FE370A"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11,200</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9239F4"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11,200</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C5E56A"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11,200</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FEC796"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11,200</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3B822E"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11,200</w:t>
            </w:r>
          </w:p>
        </w:tc>
      </w:tr>
      <w:tr w:rsidR="009C5275" w:rsidRPr="00430A79" w14:paraId="5194FB0F" w14:textId="77777777" w:rsidTr="00A93D21">
        <w:trPr>
          <w:trHeight w:val="288"/>
        </w:trPr>
        <w:tc>
          <w:tcPr>
            <w:tcW w:w="22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B28039" w14:textId="16B5EB28"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totale të investimit</w:t>
            </w:r>
          </w:p>
        </w:tc>
        <w:tc>
          <w:tcPr>
            <w:tcW w:w="553" w:type="pct"/>
            <w:gridSpan w:val="2"/>
            <w:tcBorders>
              <w:top w:val="single" w:sz="4" w:space="0" w:color="auto"/>
              <w:left w:val="nil"/>
              <w:bottom w:val="single" w:sz="4" w:space="0" w:color="auto"/>
              <w:right w:val="single" w:sz="4" w:space="0" w:color="auto"/>
            </w:tcBorders>
            <w:shd w:val="clear" w:color="auto" w:fill="auto"/>
            <w:noWrap/>
            <w:vAlign w:val="bottom"/>
          </w:tcPr>
          <w:p w14:paraId="05EDC142"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33,552</w:t>
            </w:r>
          </w:p>
        </w:tc>
        <w:tc>
          <w:tcPr>
            <w:tcW w:w="464" w:type="pct"/>
            <w:tcBorders>
              <w:top w:val="single" w:sz="4" w:space="0" w:color="auto"/>
              <w:left w:val="nil"/>
              <w:bottom w:val="single" w:sz="4" w:space="0" w:color="auto"/>
              <w:right w:val="single" w:sz="4" w:space="0" w:color="auto"/>
            </w:tcBorders>
            <w:shd w:val="clear" w:color="auto" w:fill="auto"/>
            <w:noWrap/>
            <w:vAlign w:val="bottom"/>
          </w:tcPr>
          <w:p w14:paraId="0D1BBD72"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33,969</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3F884A"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35,160</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5C82D5"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33,376</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13FA45"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33,457</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75218D" w14:textId="77777777" w:rsidR="00923894" w:rsidRPr="00430A79" w:rsidRDefault="00923894" w:rsidP="00923894">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34,940</w:t>
            </w:r>
          </w:p>
        </w:tc>
      </w:tr>
    </w:tbl>
    <w:p w14:paraId="6CCCE5EF" w14:textId="77777777" w:rsidR="00A93D21" w:rsidRDefault="00A93D21" w:rsidP="00430A79">
      <w:pPr>
        <w:spacing w:after="120"/>
        <w:jc w:val="both"/>
        <w:rPr>
          <w:rFonts w:ascii="Arial Narrow" w:eastAsia="Calibri" w:hAnsi="Arial Narrow" w:cs="Calibri"/>
          <w:sz w:val="22"/>
          <w:szCs w:val="22"/>
          <w:lang w:val="sq-AL"/>
        </w:rPr>
      </w:pPr>
    </w:p>
    <w:p w14:paraId="5B704A4F" w14:textId="6BB729D6" w:rsidR="00430A79" w:rsidRPr="009F5CA1" w:rsidRDefault="0067721A" w:rsidP="00430A79">
      <w:pPr>
        <w:spacing w:after="120"/>
        <w:jc w:val="both"/>
        <w:rPr>
          <w:rFonts w:ascii="Arial Narrow" w:eastAsia="Calibri" w:hAnsi="Arial Narrow" w:cs="Calibri"/>
          <w:color w:val="000000" w:themeColor="text1"/>
          <w:sz w:val="22"/>
          <w:szCs w:val="22"/>
          <w:lang w:val="sq-AL"/>
        </w:rPr>
      </w:pPr>
      <w:r w:rsidRPr="0067721A">
        <w:rPr>
          <w:rFonts w:ascii="Arial Narrow" w:eastAsia="Calibri" w:hAnsi="Arial Narrow" w:cs="Calibri"/>
          <w:sz w:val="22"/>
          <w:szCs w:val="22"/>
          <w:lang w:val="sq-AL"/>
        </w:rPr>
        <w:t>Kostot e vlerësuara operacionale për operacione të ndryshme të menaxhimit të mbeturinave në vitin e fundit të periudhës së planifikimit (2035) janë paraqitur në tabelën e mëposhtme</w:t>
      </w:r>
      <w:r w:rsidR="00430A79" w:rsidRPr="009F5CA1">
        <w:rPr>
          <w:rFonts w:ascii="Arial Narrow" w:eastAsia="Calibri" w:hAnsi="Arial Narrow" w:cs="Calibri"/>
          <w:color w:val="000000" w:themeColor="text1"/>
          <w:sz w:val="22"/>
          <w:szCs w:val="22"/>
          <w:lang w:val="sq-AL"/>
        </w:rPr>
        <w:t>.</w:t>
      </w:r>
    </w:p>
    <w:p w14:paraId="7DDFAD0F" w14:textId="305909C5" w:rsidR="00430A79" w:rsidRPr="009F5CA1" w:rsidRDefault="00430A79" w:rsidP="00430A79">
      <w:pPr>
        <w:spacing w:after="120"/>
        <w:jc w:val="both"/>
        <w:rPr>
          <w:rFonts w:ascii="Arial Narrow" w:eastAsia="Calibri" w:hAnsi="Arial Narrow" w:cs="Calibri"/>
          <w:color w:val="1F497D"/>
          <w:sz w:val="20"/>
          <w:szCs w:val="20"/>
          <w:lang w:val="sq-AL"/>
        </w:rPr>
      </w:pPr>
      <w:bookmarkStart w:id="436" w:name="_Toc185866220"/>
      <w:bookmarkStart w:id="437" w:name="_Toc197472249"/>
      <w:r w:rsidRPr="009F5CA1">
        <w:rPr>
          <w:rFonts w:ascii="Arial Narrow" w:eastAsia="Calibri" w:hAnsi="Arial Narrow" w:cs="Calibri"/>
          <w:color w:val="1F497D"/>
          <w:sz w:val="20"/>
          <w:szCs w:val="20"/>
          <w:lang w:val="sq-AL"/>
        </w:rPr>
        <w:t xml:space="preserve">Tabela </w:t>
      </w:r>
      <w:r w:rsidRPr="0067721A">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lang w:val="sq-AL"/>
        </w:rPr>
        <w:instrText xml:space="preserve"> SEQ Table \* ARABIC </w:instrText>
      </w:r>
      <w:r w:rsidRPr="0067721A">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lang w:val="sq-AL"/>
        </w:rPr>
        <w:t xml:space="preserve">64. </w:t>
      </w:r>
      <w:r w:rsidRPr="0067721A">
        <w:rPr>
          <w:rFonts w:ascii="Arial Narrow" w:eastAsia="Calibri" w:hAnsi="Arial Narrow" w:cs="Calibri"/>
          <w:color w:val="1F497D"/>
          <w:sz w:val="20"/>
          <w:szCs w:val="20"/>
          <w:lang w:val="en-GB"/>
        </w:rPr>
        <w:fldChar w:fldCharType="end"/>
      </w:r>
      <w:r w:rsidRPr="009F5CA1">
        <w:rPr>
          <w:rFonts w:ascii="Arial Narrow" w:eastAsia="Calibri" w:hAnsi="Arial Narrow" w:cs="Calibri"/>
          <w:color w:val="1F497D"/>
          <w:sz w:val="20"/>
          <w:szCs w:val="20"/>
          <w:lang w:val="sq-AL"/>
        </w:rPr>
        <w:t>Kostot operative në vitin 2035 për skenarë të ndryshëm, mijë €</w:t>
      </w:r>
      <w:bookmarkEnd w:id="436"/>
      <w:bookmarkEnd w:id="437"/>
    </w:p>
    <w:tbl>
      <w:tblPr>
        <w:tblW w:w="5000" w:type="pct"/>
        <w:tblLook w:val="04A0" w:firstRow="1" w:lastRow="0" w:firstColumn="1" w:lastColumn="0" w:noHBand="0" w:noVBand="1"/>
      </w:tblPr>
      <w:tblGrid>
        <w:gridCol w:w="4309"/>
        <w:gridCol w:w="774"/>
        <w:gridCol w:w="841"/>
        <w:gridCol w:w="773"/>
        <w:gridCol w:w="773"/>
        <w:gridCol w:w="773"/>
        <w:gridCol w:w="773"/>
      </w:tblGrid>
      <w:tr w:rsidR="00430A79" w:rsidRPr="00430A79" w14:paraId="13BA21A6" w14:textId="77777777" w:rsidTr="0067721A">
        <w:trPr>
          <w:trHeight w:val="312"/>
          <w:tblHeader/>
        </w:trPr>
        <w:tc>
          <w:tcPr>
            <w:tcW w:w="2041" w:type="pct"/>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08FF1C07"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Operacioni i menaxhimit të mbeturinave</w:t>
            </w:r>
          </w:p>
        </w:tc>
        <w:tc>
          <w:tcPr>
            <w:tcW w:w="486" w:type="pct"/>
            <w:tcBorders>
              <w:top w:val="single" w:sz="4" w:space="0" w:color="auto"/>
              <w:left w:val="nil"/>
              <w:bottom w:val="single" w:sz="4" w:space="0" w:color="auto"/>
              <w:right w:val="single" w:sz="4" w:space="0" w:color="auto"/>
            </w:tcBorders>
            <w:shd w:val="clear" w:color="auto" w:fill="365F91"/>
            <w:noWrap/>
            <w:vAlign w:val="bottom"/>
            <w:hideMark/>
          </w:tcPr>
          <w:p w14:paraId="3DE2EA85"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1</w:t>
            </w:r>
          </w:p>
        </w:tc>
        <w:tc>
          <w:tcPr>
            <w:tcW w:w="530" w:type="pct"/>
            <w:tcBorders>
              <w:top w:val="single" w:sz="4" w:space="0" w:color="auto"/>
              <w:left w:val="nil"/>
              <w:bottom w:val="single" w:sz="4" w:space="0" w:color="auto"/>
              <w:right w:val="single" w:sz="4" w:space="0" w:color="auto"/>
            </w:tcBorders>
            <w:shd w:val="clear" w:color="auto" w:fill="365F91"/>
            <w:noWrap/>
            <w:vAlign w:val="bottom"/>
            <w:hideMark/>
          </w:tcPr>
          <w:p w14:paraId="454BD013"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1a</w:t>
            </w:r>
          </w:p>
        </w:tc>
        <w:tc>
          <w:tcPr>
            <w:tcW w:w="486" w:type="pct"/>
            <w:tcBorders>
              <w:top w:val="single" w:sz="4" w:space="0" w:color="auto"/>
              <w:left w:val="nil"/>
              <w:bottom w:val="single" w:sz="4" w:space="0" w:color="auto"/>
              <w:right w:val="single" w:sz="4" w:space="0" w:color="auto"/>
            </w:tcBorders>
            <w:shd w:val="clear" w:color="auto" w:fill="365F91"/>
            <w:noWrap/>
            <w:vAlign w:val="bottom"/>
            <w:hideMark/>
          </w:tcPr>
          <w:p w14:paraId="087A47FD"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2</w:t>
            </w:r>
          </w:p>
        </w:tc>
        <w:tc>
          <w:tcPr>
            <w:tcW w:w="486" w:type="pct"/>
            <w:tcBorders>
              <w:top w:val="single" w:sz="4" w:space="0" w:color="auto"/>
              <w:left w:val="nil"/>
              <w:bottom w:val="single" w:sz="4" w:space="0" w:color="auto"/>
              <w:right w:val="single" w:sz="4" w:space="0" w:color="auto"/>
            </w:tcBorders>
            <w:shd w:val="clear" w:color="auto" w:fill="365F91"/>
            <w:noWrap/>
            <w:vAlign w:val="bottom"/>
            <w:hideMark/>
          </w:tcPr>
          <w:p w14:paraId="56287BA4"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3</w:t>
            </w:r>
          </w:p>
        </w:tc>
        <w:tc>
          <w:tcPr>
            <w:tcW w:w="486" w:type="pct"/>
            <w:tcBorders>
              <w:top w:val="single" w:sz="4" w:space="0" w:color="auto"/>
              <w:left w:val="nil"/>
              <w:bottom w:val="single" w:sz="4" w:space="0" w:color="auto"/>
              <w:right w:val="single" w:sz="4" w:space="0" w:color="auto"/>
            </w:tcBorders>
            <w:shd w:val="clear" w:color="auto" w:fill="365F91"/>
            <w:noWrap/>
            <w:vAlign w:val="bottom"/>
            <w:hideMark/>
          </w:tcPr>
          <w:p w14:paraId="6A1C2E66"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4</w:t>
            </w:r>
          </w:p>
        </w:tc>
        <w:tc>
          <w:tcPr>
            <w:tcW w:w="486" w:type="pct"/>
            <w:tcBorders>
              <w:top w:val="single" w:sz="4" w:space="0" w:color="auto"/>
              <w:left w:val="nil"/>
              <w:bottom w:val="single" w:sz="4" w:space="0" w:color="auto"/>
              <w:right w:val="single" w:sz="4" w:space="0" w:color="auto"/>
            </w:tcBorders>
            <w:shd w:val="clear" w:color="auto" w:fill="365F91"/>
            <w:noWrap/>
            <w:vAlign w:val="bottom"/>
            <w:hideMark/>
          </w:tcPr>
          <w:p w14:paraId="562CE781"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5</w:t>
            </w:r>
          </w:p>
        </w:tc>
      </w:tr>
      <w:tr w:rsidR="0067721A" w:rsidRPr="00430A79" w14:paraId="2DD2D512" w14:textId="77777777" w:rsidTr="0067721A">
        <w:trPr>
          <w:trHeight w:val="312"/>
        </w:trPr>
        <w:tc>
          <w:tcPr>
            <w:tcW w:w="20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9925A" w14:textId="6C220630"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Grubmullimi </w:t>
            </w:r>
            <w:r>
              <w:rPr>
                <w:rFonts w:ascii="Arial Narrow" w:eastAsia="Calibri" w:hAnsi="Arial Narrow" w:cs="Calibri"/>
                <w:sz w:val="20"/>
                <w:szCs w:val="20"/>
                <w:lang w:val="sq-AL"/>
              </w:rPr>
              <w:t>ndaras</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1260779E"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1,331</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9919D"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1,331</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3E3C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1,793</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5A4B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1,331</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D5B3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1,181</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06F1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1,331</w:t>
            </w:r>
          </w:p>
        </w:tc>
      </w:tr>
      <w:tr w:rsidR="0067721A" w:rsidRPr="00430A79" w14:paraId="491E7B83" w14:textId="77777777" w:rsidTr="0067721A">
        <w:trPr>
          <w:trHeight w:val="288"/>
        </w:trPr>
        <w:tc>
          <w:tcPr>
            <w:tcW w:w="20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4D5DB" w14:textId="6D5685CF"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Grumbullimi i mbeturinave të përziera</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47CCDC85"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2,186</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34A95E"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1,921</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5246D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2,383</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73F80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2,049</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FEE330"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2,435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5E563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1,921</w:t>
            </w:r>
          </w:p>
        </w:tc>
      </w:tr>
      <w:tr w:rsidR="0067721A" w:rsidRPr="00430A79" w14:paraId="4E95C242" w14:textId="77777777" w:rsidTr="0067721A">
        <w:trPr>
          <w:trHeight w:val="288"/>
        </w:trPr>
        <w:tc>
          <w:tcPr>
            <w:tcW w:w="20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520E8" w14:textId="75091568"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Transferimi i mbeturinave të përziera</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757C240B"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131</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7FA9F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310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A7446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F86362"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222</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098E6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A7E8AC"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416</w:t>
            </w:r>
          </w:p>
        </w:tc>
      </w:tr>
      <w:tr w:rsidR="0067721A" w:rsidRPr="00430A79" w14:paraId="2C67BB1C" w14:textId="77777777" w:rsidTr="0067721A">
        <w:trPr>
          <w:trHeight w:val="288"/>
        </w:trPr>
        <w:tc>
          <w:tcPr>
            <w:tcW w:w="20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4A4B85" w14:textId="744CEAC6"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Kompostimi i mbeturinave të gjelbra</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57401C95"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393</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95763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393</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E50002"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393</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3E3960"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393</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2BDA0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393</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587406"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393</w:t>
            </w:r>
          </w:p>
        </w:tc>
      </w:tr>
      <w:tr w:rsidR="0067721A" w:rsidRPr="00430A79" w14:paraId="2C4A7FD6" w14:textId="77777777" w:rsidTr="0067721A">
        <w:trPr>
          <w:trHeight w:val="288"/>
        </w:trPr>
        <w:tc>
          <w:tcPr>
            <w:tcW w:w="20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81EC1A" w14:textId="7D152D8B"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Kompostimi shtëpiak</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6D4B6D7F"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334</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B488FE"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334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F82276"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334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4EC67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334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20732D"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334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EF598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334</w:t>
            </w:r>
          </w:p>
        </w:tc>
      </w:tr>
      <w:tr w:rsidR="0067721A" w:rsidRPr="00430A79" w14:paraId="22130E66" w14:textId="77777777" w:rsidTr="0067721A">
        <w:trPr>
          <w:trHeight w:val="288"/>
        </w:trPr>
        <w:tc>
          <w:tcPr>
            <w:tcW w:w="20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170EE2" w14:textId="68BA073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Klasifikimi i mbledhjes </w:t>
            </w:r>
            <w:r>
              <w:rPr>
                <w:rFonts w:ascii="Arial Narrow" w:eastAsia="Calibri" w:hAnsi="Arial Narrow" w:cs="Calibri"/>
                <w:sz w:val="20"/>
                <w:szCs w:val="20"/>
                <w:lang w:val="sq-AL"/>
              </w:rPr>
              <w:t>ndaras</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2CA2BB4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677</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F7A86C"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677</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052D5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677</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A886D2"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677</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48EC92"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982</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A8856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677</w:t>
            </w:r>
          </w:p>
        </w:tc>
      </w:tr>
      <w:tr w:rsidR="0067721A" w:rsidRPr="00430A79" w14:paraId="7A5E7F7D" w14:textId="77777777" w:rsidTr="0067721A">
        <w:trPr>
          <w:trHeight w:val="288"/>
        </w:trPr>
        <w:tc>
          <w:tcPr>
            <w:tcW w:w="20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1C1F45" w14:textId="60A79F5C"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Trajtimi i mbeturinave të përziera (TMB)</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61E8671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1,446</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C7D312"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1,446</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F91AB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1,446</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832C76"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1,446</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4D6B0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1,450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0EF1C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1,446</w:t>
            </w:r>
          </w:p>
        </w:tc>
      </w:tr>
      <w:tr w:rsidR="0067721A" w:rsidRPr="00430A79" w14:paraId="36270720" w14:textId="77777777" w:rsidTr="0067721A">
        <w:trPr>
          <w:trHeight w:val="288"/>
        </w:trPr>
        <w:tc>
          <w:tcPr>
            <w:tcW w:w="20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4DC597" w14:textId="3D5770A3"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Pr>
                <w:rFonts w:ascii="Arial Narrow" w:eastAsia="Calibri" w:hAnsi="Arial Narrow" w:cs="Calibri"/>
                <w:sz w:val="20"/>
                <w:szCs w:val="20"/>
                <w:lang w:val="sq-AL"/>
              </w:rPr>
              <w:t>T</w:t>
            </w:r>
            <w:r w:rsidRPr="00BE2534">
              <w:rPr>
                <w:rFonts w:ascii="Arial Narrow" w:eastAsia="Calibri" w:hAnsi="Arial Narrow" w:cs="Calibri"/>
                <w:sz w:val="20"/>
                <w:szCs w:val="20"/>
                <w:lang w:val="sq-AL"/>
              </w:rPr>
              <w:t>A ose kompostimi i mbeturinave ushqimore në kontejnerë të specializuar</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40A1E9F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471</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99F78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471</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BA02D6"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336</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0B8AD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333</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D9E4F8"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336</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31E4E6"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471</w:t>
            </w:r>
          </w:p>
        </w:tc>
      </w:tr>
      <w:tr w:rsidR="0067721A" w:rsidRPr="00430A79" w14:paraId="2945AE8E" w14:textId="77777777" w:rsidTr="0067721A">
        <w:trPr>
          <w:trHeight w:val="288"/>
        </w:trPr>
        <w:tc>
          <w:tcPr>
            <w:tcW w:w="20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49199D" w14:textId="7C03DFF0"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Impianti KDM MpE</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19685E5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286</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F84CA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286</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A1981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286</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54294F"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286</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C180DB"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286</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794480"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286</w:t>
            </w:r>
          </w:p>
        </w:tc>
      </w:tr>
      <w:tr w:rsidR="0067721A" w:rsidRPr="00430A79" w14:paraId="70F62122" w14:textId="77777777" w:rsidTr="0067721A">
        <w:trPr>
          <w:trHeight w:val="288"/>
        </w:trPr>
        <w:tc>
          <w:tcPr>
            <w:tcW w:w="20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463F12" w14:textId="5C425FD1"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Deponia</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2EEE8C4D"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788</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893C12"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788</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D226B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788</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2388A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788</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3E509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793</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A6E6EE"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788</w:t>
            </w:r>
          </w:p>
        </w:tc>
      </w:tr>
      <w:tr w:rsidR="0067721A" w:rsidRPr="00430A79" w14:paraId="694CB81A" w14:textId="77777777" w:rsidTr="0067721A">
        <w:trPr>
          <w:trHeight w:val="288"/>
        </w:trPr>
        <w:tc>
          <w:tcPr>
            <w:tcW w:w="20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620C1D" w14:textId="599549D9"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totale operacionale</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25778AA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7,910</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0E110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7,824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AF87B8"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8,438</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F6596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7,861</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D0FA7F"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8,192</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269C7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7,930</w:t>
            </w:r>
          </w:p>
        </w:tc>
      </w:tr>
    </w:tbl>
    <w:p w14:paraId="3F3FA37F" w14:textId="77777777" w:rsidR="00430A79" w:rsidRPr="00430A79" w:rsidRDefault="00430A79" w:rsidP="00430A79">
      <w:pPr>
        <w:spacing w:after="120"/>
        <w:jc w:val="both"/>
        <w:rPr>
          <w:rFonts w:ascii="Arial Narrow" w:eastAsia="Calibri" w:hAnsi="Arial Narrow" w:cs="Calibri"/>
          <w:color w:val="000000" w:themeColor="text1"/>
          <w:sz w:val="22"/>
          <w:szCs w:val="22"/>
          <w:lang w:val="en-GB"/>
        </w:rPr>
      </w:pPr>
    </w:p>
    <w:p w14:paraId="0770281D" w14:textId="55CDC3A8" w:rsidR="00430A79" w:rsidRPr="00430A79" w:rsidRDefault="00430A79" w:rsidP="00430A79">
      <w:pPr>
        <w:spacing w:after="120"/>
        <w:jc w:val="both"/>
        <w:rPr>
          <w:rFonts w:ascii="Arial Narrow" w:eastAsia="Calibri" w:hAnsi="Arial Narrow" w:cs="Calibri"/>
          <w:color w:val="000000" w:themeColor="text1"/>
          <w:sz w:val="22"/>
          <w:szCs w:val="22"/>
          <w:lang w:val="en-GB"/>
        </w:rPr>
      </w:pPr>
      <w:proofErr w:type="spellStart"/>
      <w:r w:rsidRPr="00430A79">
        <w:rPr>
          <w:rFonts w:ascii="Arial Narrow" w:eastAsia="Calibri" w:hAnsi="Arial Narrow" w:cs="Calibri"/>
          <w:color w:val="000000" w:themeColor="text1"/>
          <w:sz w:val="22"/>
          <w:szCs w:val="22"/>
          <w:lang w:val="en-GB"/>
        </w:rPr>
        <w:t>Skenarët</w:t>
      </w:r>
      <w:proofErr w:type="spellEnd"/>
      <w:r w:rsidRPr="00430A79">
        <w:rPr>
          <w:rFonts w:ascii="Arial Narrow" w:eastAsia="Calibri" w:hAnsi="Arial Narrow" w:cs="Calibri"/>
          <w:color w:val="000000" w:themeColor="text1"/>
          <w:sz w:val="22"/>
          <w:szCs w:val="22"/>
          <w:lang w:val="en-GB"/>
        </w:rPr>
        <w:t xml:space="preserve"> </w:t>
      </w:r>
      <w:proofErr w:type="spellStart"/>
      <w:r w:rsidR="0067721A">
        <w:rPr>
          <w:rFonts w:ascii="Arial Narrow" w:eastAsia="Calibri" w:hAnsi="Arial Narrow" w:cs="Calibri"/>
          <w:color w:val="000000" w:themeColor="text1"/>
          <w:sz w:val="22"/>
          <w:szCs w:val="22"/>
          <w:lang w:val="en-GB"/>
        </w:rPr>
        <w:t>janë</w:t>
      </w:r>
      <w:proofErr w:type="spellEnd"/>
      <w:r w:rsidR="0067721A">
        <w:rPr>
          <w:rFonts w:ascii="Arial Narrow" w:eastAsia="Calibri" w:hAnsi="Arial Narrow" w:cs="Calibri"/>
          <w:color w:val="000000" w:themeColor="text1"/>
          <w:sz w:val="22"/>
          <w:szCs w:val="22"/>
          <w:lang w:val="en-GB"/>
        </w:rPr>
        <w:t xml:space="preserve"> </w:t>
      </w:r>
      <w:proofErr w:type="spellStart"/>
      <w:r w:rsidR="0067721A">
        <w:rPr>
          <w:rFonts w:ascii="Arial Narrow" w:eastAsia="Calibri" w:hAnsi="Arial Narrow" w:cs="Calibri"/>
          <w:color w:val="000000" w:themeColor="text1"/>
          <w:sz w:val="22"/>
          <w:szCs w:val="22"/>
          <w:lang w:val="en-GB"/>
        </w:rPr>
        <w:t>krahasuar</w:t>
      </w:r>
      <w:proofErr w:type="spellEnd"/>
      <w:r w:rsidR="0067721A">
        <w:rPr>
          <w:rFonts w:ascii="Arial Narrow" w:eastAsia="Calibri" w:hAnsi="Arial Narrow" w:cs="Calibri"/>
          <w:color w:val="000000" w:themeColor="text1"/>
          <w:sz w:val="22"/>
          <w:szCs w:val="22"/>
          <w:lang w:val="en-GB"/>
        </w:rPr>
        <w:t xml:space="preserve"> </w:t>
      </w:r>
      <w:r w:rsidRPr="00430A79">
        <w:rPr>
          <w:rFonts w:ascii="Arial Narrow" w:eastAsia="Calibri" w:hAnsi="Arial Narrow" w:cs="Calibri"/>
          <w:color w:val="000000" w:themeColor="text1"/>
          <w:sz w:val="22"/>
          <w:szCs w:val="22"/>
          <w:lang w:val="en-GB"/>
        </w:rPr>
        <w:t xml:space="preserve">gjithashtu </w:t>
      </w:r>
      <w:proofErr w:type="spellStart"/>
      <w:r w:rsidRPr="00430A79">
        <w:rPr>
          <w:rFonts w:ascii="Arial Narrow" w:eastAsia="Calibri" w:hAnsi="Arial Narrow" w:cs="Calibri"/>
          <w:color w:val="000000" w:themeColor="text1"/>
          <w:sz w:val="22"/>
          <w:szCs w:val="22"/>
          <w:lang w:val="en-GB"/>
        </w:rPr>
        <w:t>bazuar</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në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kostot</w:t>
      </w:r>
      <w:proofErr w:type="spellEnd"/>
      <w:r w:rsidRPr="00430A79">
        <w:rPr>
          <w:rFonts w:ascii="Arial Narrow" w:eastAsia="Calibri" w:hAnsi="Arial Narrow" w:cs="Calibri"/>
          <w:color w:val="000000" w:themeColor="text1"/>
          <w:sz w:val="22"/>
          <w:szCs w:val="22"/>
          <w:lang w:val="en-GB"/>
        </w:rPr>
        <w:t xml:space="preserve"> e </w:t>
      </w:r>
      <w:proofErr w:type="spellStart"/>
      <w:r w:rsidRPr="00430A79">
        <w:rPr>
          <w:rFonts w:ascii="Arial Narrow" w:eastAsia="Calibri" w:hAnsi="Arial Narrow" w:cs="Calibri"/>
          <w:color w:val="000000" w:themeColor="text1"/>
          <w:sz w:val="22"/>
          <w:szCs w:val="22"/>
          <w:lang w:val="en-GB"/>
        </w:rPr>
        <w:t>zbritura</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për</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njësi</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për</w:t>
      </w:r>
      <w:proofErr w:type="spellEnd"/>
      <w:r w:rsidRPr="00430A79">
        <w:rPr>
          <w:rFonts w:ascii="Arial Narrow" w:eastAsia="Calibri" w:hAnsi="Arial Narrow" w:cs="Calibri"/>
          <w:color w:val="000000" w:themeColor="text1"/>
          <w:sz w:val="22"/>
          <w:szCs w:val="22"/>
          <w:lang w:val="en-GB"/>
        </w:rPr>
        <w:t xml:space="preserve"> ton </w:t>
      </w:r>
      <w:proofErr w:type="spellStart"/>
      <w:r w:rsidRPr="00430A79">
        <w:rPr>
          <w:rFonts w:ascii="Arial Narrow" w:eastAsia="Calibri" w:hAnsi="Arial Narrow" w:cs="Calibri"/>
          <w:color w:val="000000" w:themeColor="text1"/>
          <w:sz w:val="22"/>
          <w:szCs w:val="22"/>
          <w:lang w:val="en-GB"/>
        </w:rPr>
        <w:t>të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mbeturinave</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të</w:t>
      </w:r>
      <w:proofErr w:type="spellEnd"/>
      <w:r w:rsidRPr="00430A79">
        <w:rPr>
          <w:rFonts w:ascii="Arial Narrow" w:eastAsia="Calibri" w:hAnsi="Arial Narrow" w:cs="Calibri"/>
          <w:color w:val="000000" w:themeColor="text1"/>
          <w:sz w:val="22"/>
          <w:szCs w:val="22"/>
          <w:lang w:val="en-GB"/>
        </w:rPr>
        <w:t xml:space="preserve"> </w:t>
      </w:r>
      <w:proofErr w:type="spellStart"/>
      <w:r w:rsidRPr="00430A79">
        <w:rPr>
          <w:rFonts w:ascii="Arial Narrow" w:eastAsia="Calibri" w:hAnsi="Arial Narrow" w:cs="Calibri"/>
          <w:color w:val="000000" w:themeColor="text1"/>
          <w:sz w:val="22"/>
          <w:szCs w:val="22"/>
          <w:lang w:val="en-GB"/>
        </w:rPr>
        <w:t>gjeneruara</w:t>
      </w:r>
      <w:proofErr w:type="spellEnd"/>
      <w:r w:rsidRPr="00430A79">
        <w:rPr>
          <w:rFonts w:ascii="Arial Narrow" w:eastAsia="Calibri" w:hAnsi="Arial Narrow" w:cs="Calibri"/>
          <w:color w:val="000000" w:themeColor="text1"/>
          <w:sz w:val="22"/>
          <w:szCs w:val="22"/>
          <w:lang w:val="en-GB"/>
        </w:rPr>
        <w:t>.</w:t>
      </w:r>
    </w:p>
    <w:p w14:paraId="74BFA65E" w14:textId="77777777" w:rsidR="00430A79" w:rsidRPr="00430A79" w:rsidRDefault="00430A79" w:rsidP="00430A79">
      <w:pPr>
        <w:spacing w:after="120"/>
        <w:jc w:val="both"/>
        <w:rPr>
          <w:rFonts w:ascii="Arial Narrow" w:eastAsia="Calibri" w:hAnsi="Arial Narrow" w:cs="Calibri"/>
          <w:color w:val="1F497D"/>
          <w:sz w:val="20"/>
          <w:szCs w:val="20"/>
          <w:lang w:val="en-GB"/>
        </w:rPr>
      </w:pPr>
    </w:p>
    <w:p w14:paraId="775E4913" w14:textId="27E752AC" w:rsidR="00430A79" w:rsidRPr="00430A79" w:rsidRDefault="00430A79" w:rsidP="00430A79">
      <w:pPr>
        <w:spacing w:after="120"/>
        <w:jc w:val="both"/>
        <w:rPr>
          <w:rFonts w:ascii="Arial Narrow" w:eastAsia="Calibri" w:hAnsi="Arial Narrow" w:cs="Calibri"/>
          <w:color w:val="1F497D"/>
          <w:sz w:val="20"/>
          <w:szCs w:val="20"/>
          <w:lang w:val="en-GB"/>
        </w:rPr>
      </w:pPr>
      <w:bookmarkStart w:id="438" w:name="_Toc185866221"/>
      <w:bookmarkStart w:id="439" w:name="_Toc197472250"/>
      <w:proofErr w:type="spellStart"/>
      <w:r w:rsidRPr="00430A79">
        <w:rPr>
          <w:rFonts w:ascii="Arial Narrow" w:eastAsia="Calibri" w:hAnsi="Arial Narrow" w:cs="Calibri"/>
          <w:color w:val="1F497D"/>
          <w:sz w:val="20"/>
          <w:szCs w:val="20"/>
          <w:lang w:val="en-GB"/>
        </w:rPr>
        <w:t>Tabela</w:t>
      </w:r>
      <w:proofErr w:type="spellEnd"/>
      <w:r w:rsidRPr="00430A79">
        <w:rPr>
          <w:rFonts w:ascii="Arial Narrow" w:eastAsia="Calibri" w:hAnsi="Arial Narrow" w:cs="Calibri"/>
          <w:color w:val="1F497D"/>
          <w:sz w:val="20"/>
          <w:szCs w:val="20"/>
          <w:lang w:val="en-GB"/>
        </w:rPr>
        <w:t xml:space="preserve"> </w:t>
      </w:r>
      <w:r w:rsidRPr="00430A79">
        <w:rPr>
          <w:rFonts w:ascii="Arial Narrow" w:eastAsia="Calibri" w:hAnsi="Arial Narrow" w:cs="Calibri"/>
          <w:color w:val="1F497D"/>
          <w:sz w:val="20"/>
          <w:szCs w:val="20"/>
          <w:lang w:val="en-GB"/>
        </w:rPr>
        <w:fldChar w:fldCharType="begin"/>
      </w:r>
      <w:r w:rsidRPr="00430A79">
        <w:rPr>
          <w:rFonts w:ascii="Arial Narrow" w:eastAsia="Calibri" w:hAnsi="Arial Narrow" w:cs="Calibri"/>
          <w:color w:val="1F497D"/>
          <w:sz w:val="20"/>
          <w:szCs w:val="20"/>
          <w:lang w:val="en-GB"/>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Pr>
          <w:rFonts w:ascii="Arial Narrow" w:eastAsia="Calibri" w:hAnsi="Arial Narrow" w:cs="Calibri"/>
          <w:noProof/>
          <w:color w:val="1F497D"/>
          <w:sz w:val="20"/>
          <w:szCs w:val="20"/>
          <w:lang w:val="en-GB"/>
        </w:rPr>
        <w:t xml:space="preserve">65. </w:t>
      </w:r>
      <w:r w:rsidRPr="00430A79">
        <w:rPr>
          <w:rFonts w:ascii="Arial Narrow" w:eastAsia="Calibri" w:hAnsi="Arial Narrow" w:cs="Calibri"/>
          <w:color w:val="1F497D"/>
          <w:sz w:val="20"/>
          <w:szCs w:val="20"/>
          <w:lang w:val="en-GB"/>
        </w:rPr>
        <w:fldChar w:fldCharType="end"/>
      </w:r>
      <w:proofErr w:type="spellStart"/>
      <w:r w:rsidRPr="00430A79">
        <w:rPr>
          <w:rFonts w:ascii="Arial Narrow" w:eastAsia="Calibri" w:hAnsi="Arial Narrow" w:cs="Calibri"/>
          <w:color w:val="1F497D"/>
          <w:sz w:val="20"/>
          <w:szCs w:val="20"/>
          <w:lang w:val="en-GB"/>
        </w:rPr>
        <w:t>Krahasimi</w:t>
      </w:r>
      <w:proofErr w:type="spellEnd"/>
      <w:r w:rsidRPr="00430A79">
        <w:rPr>
          <w:rFonts w:ascii="Arial Narrow" w:eastAsia="Calibri" w:hAnsi="Arial Narrow" w:cs="Calibri"/>
          <w:color w:val="1F497D"/>
          <w:sz w:val="20"/>
          <w:szCs w:val="20"/>
          <w:lang w:val="en-GB"/>
        </w:rPr>
        <w:t xml:space="preserve"> i </w:t>
      </w:r>
      <w:proofErr w:type="spellStart"/>
      <w:r w:rsidRPr="00430A79">
        <w:rPr>
          <w:rFonts w:ascii="Arial Narrow" w:eastAsia="Calibri" w:hAnsi="Arial Narrow" w:cs="Calibri"/>
          <w:color w:val="1F497D"/>
          <w:sz w:val="20"/>
          <w:szCs w:val="20"/>
          <w:lang w:val="en-GB"/>
        </w:rPr>
        <w:t>kostove</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të</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zbritura</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për</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njësi</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për</w:t>
      </w:r>
      <w:proofErr w:type="spellEnd"/>
      <w:r w:rsidRPr="00430A79">
        <w:rPr>
          <w:rFonts w:ascii="Arial Narrow" w:eastAsia="Calibri" w:hAnsi="Arial Narrow" w:cs="Calibri"/>
          <w:color w:val="1F497D"/>
          <w:sz w:val="20"/>
          <w:szCs w:val="20"/>
          <w:lang w:val="en-GB"/>
        </w:rPr>
        <w:t xml:space="preserve"> ton </w:t>
      </w:r>
      <w:proofErr w:type="spellStart"/>
      <w:r w:rsidRPr="00430A79">
        <w:rPr>
          <w:rFonts w:ascii="Arial Narrow" w:eastAsia="Calibri" w:hAnsi="Arial Narrow" w:cs="Calibri"/>
          <w:color w:val="1F497D"/>
          <w:sz w:val="20"/>
          <w:szCs w:val="20"/>
          <w:lang w:val="en-GB"/>
        </w:rPr>
        <w:t>mbet</w:t>
      </w:r>
      <w:r w:rsidR="0030347F">
        <w:rPr>
          <w:rFonts w:ascii="Arial Narrow" w:eastAsia="Calibri" w:hAnsi="Arial Narrow" w:cs="Calibri"/>
          <w:color w:val="1F497D"/>
          <w:sz w:val="20"/>
          <w:szCs w:val="20"/>
          <w:lang w:val="en-GB"/>
        </w:rPr>
        <w:t>urinash</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të</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gjeneruara</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për</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opsionet</w:t>
      </w:r>
      <w:proofErr w:type="spellEnd"/>
      <w:r w:rsidRPr="00430A79">
        <w:rPr>
          <w:rFonts w:ascii="Arial Narrow" w:eastAsia="Calibri" w:hAnsi="Arial Narrow" w:cs="Calibri"/>
          <w:color w:val="1F497D"/>
          <w:sz w:val="20"/>
          <w:szCs w:val="20"/>
          <w:lang w:val="en-GB"/>
        </w:rPr>
        <w:t xml:space="preserve"> e </w:t>
      </w:r>
      <w:proofErr w:type="spellStart"/>
      <w:r w:rsidRPr="00430A79">
        <w:rPr>
          <w:rFonts w:ascii="Arial Narrow" w:eastAsia="Calibri" w:hAnsi="Arial Narrow" w:cs="Calibri"/>
          <w:color w:val="1F497D"/>
          <w:sz w:val="20"/>
          <w:szCs w:val="20"/>
          <w:lang w:val="en-GB"/>
        </w:rPr>
        <w:t>ndryshme</w:t>
      </w:r>
      <w:bookmarkEnd w:id="438"/>
      <w:bookmarkEnd w:id="439"/>
      <w:proofErr w:type="spellEnd"/>
    </w:p>
    <w:tbl>
      <w:tblPr>
        <w:tblW w:w="5000" w:type="pct"/>
        <w:tblLook w:val="04A0" w:firstRow="1" w:lastRow="0" w:firstColumn="1" w:lastColumn="0" w:noHBand="0" w:noVBand="1"/>
      </w:tblPr>
      <w:tblGrid>
        <w:gridCol w:w="3907"/>
        <w:gridCol w:w="839"/>
        <w:gridCol w:w="914"/>
        <w:gridCol w:w="839"/>
        <w:gridCol w:w="839"/>
        <w:gridCol w:w="839"/>
        <w:gridCol w:w="839"/>
      </w:tblGrid>
      <w:tr w:rsidR="00430A79" w:rsidRPr="00430A79" w14:paraId="58D1C299" w14:textId="77777777" w:rsidTr="0067721A">
        <w:trPr>
          <w:trHeight w:val="312"/>
          <w:tblHeader/>
        </w:trPr>
        <w:tc>
          <w:tcPr>
            <w:tcW w:w="2081" w:type="pct"/>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77265183"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Operacioni i menaxhimit të mbeturinave</w:t>
            </w:r>
          </w:p>
        </w:tc>
        <w:tc>
          <w:tcPr>
            <w:tcW w:w="479" w:type="pct"/>
            <w:tcBorders>
              <w:top w:val="single" w:sz="4" w:space="0" w:color="auto"/>
              <w:left w:val="nil"/>
              <w:bottom w:val="single" w:sz="4" w:space="0" w:color="auto"/>
              <w:right w:val="single" w:sz="4" w:space="0" w:color="auto"/>
            </w:tcBorders>
            <w:shd w:val="clear" w:color="auto" w:fill="365F91"/>
            <w:noWrap/>
            <w:vAlign w:val="bottom"/>
            <w:hideMark/>
          </w:tcPr>
          <w:p w14:paraId="14121949"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1</w:t>
            </w:r>
          </w:p>
        </w:tc>
        <w:tc>
          <w:tcPr>
            <w:tcW w:w="523" w:type="pct"/>
            <w:tcBorders>
              <w:top w:val="single" w:sz="4" w:space="0" w:color="auto"/>
              <w:left w:val="nil"/>
              <w:bottom w:val="single" w:sz="4" w:space="0" w:color="auto"/>
              <w:right w:val="single" w:sz="4" w:space="0" w:color="auto"/>
            </w:tcBorders>
            <w:shd w:val="clear" w:color="auto" w:fill="365F91"/>
            <w:noWrap/>
            <w:vAlign w:val="bottom"/>
            <w:hideMark/>
          </w:tcPr>
          <w:p w14:paraId="1560C164"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1a</w:t>
            </w:r>
          </w:p>
        </w:tc>
        <w:tc>
          <w:tcPr>
            <w:tcW w:w="479" w:type="pct"/>
            <w:tcBorders>
              <w:top w:val="single" w:sz="4" w:space="0" w:color="auto"/>
              <w:left w:val="nil"/>
              <w:bottom w:val="single" w:sz="4" w:space="0" w:color="auto"/>
              <w:right w:val="single" w:sz="4" w:space="0" w:color="auto"/>
            </w:tcBorders>
            <w:shd w:val="clear" w:color="auto" w:fill="365F91"/>
            <w:noWrap/>
            <w:vAlign w:val="bottom"/>
            <w:hideMark/>
          </w:tcPr>
          <w:p w14:paraId="3BE7D1D3"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2</w:t>
            </w:r>
          </w:p>
        </w:tc>
        <w:tc>
          <w:tcPr>
            <w:tcW w:w="479" w:type="pct"/>
            <w:tcBorders>
              <w:top w:val="single" w:sz="4" w:space="0" w:color="auto"/>
              <w:left w:val="nil"/>
              <w:bottom w:val="single" w:sz="4" w:space="0" w:color="auto"/>
              <w:right w:val="single" w:sz="4" w:space="0" w:color="auto"/>
            </w:tcBorders>
            <w:shd w:val="clear" w:color="auto" w:fill="365F91"/>
            <w:noWrap/>
            <w:vAlign w:val="bottom"/>
            <w:hideMark/>
          </w:tcPr>
          <w:p w14:paraId="476963D8"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3</w:t>
            </w:r>
          </w:p>
        </w:tc>
        <w:tc>
          <w:tcPr>
            <w:tcW w:w="479" w:type="pct"/>
            <w:tcBorders>
              <w:top w:val="single" w:sz="4" w:space="0" w:color="auto"/>
              <w:left w:val="nil"/>
              <w:bottom w:val="single" w:sz="4" w:space="0" w:color="auto"/>
              <w:right w:val="single" w:sz="4" w:space="0" w:color="auto"/>
            </w:tcBorders>
            <w:shd w:val="clear" w:color="auto" w:fill="365F91"/>
            <w:noWrap/>
            <w:vAlign w:val="bottom"/>
            <w:hideMark/>
          </w:tcPr>
          <w:p w14:paraId="3128274B"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4</w:t>
            </w:r>
          </w:p>
        </w:tc>
        <w:tc>
          <w:tcPr>
            <w:tcW w:w="479" w:type="pct"/>
            <w:tcBorders>
              <w:top w:val="single" w:sz="4" w:space="0" w:color="auto"/>
              <w:left w:val="nil"/>
              <w:bottom w:val="single" w:sz="4" w:space="0" w:color="auto"/>
              <w:right w:val="single" w:sz="4" w:space="0" w:color="auto"/>
            </w:tcBorders>
            <w:shd w:val="clear" w:color="auto" w:fill="365F91"/>
            <w:noWrap/>
            <w:vAlign w:val="bottom"/>
            <w:hideMark/>
          </w:tcPr>
          <w:p w14:paraId="6C782935" w14:textId="77777777" w:rsidR="00430A79" w:rsidRPr="00430A79" w:rsidRDefault="00430A79" w:rsidP="00430A79">
            <w:pPr>
              <w:widowControl w:val="0"/>
              <w:autoSpaceDE w:val="0"/>
              <w:autoSpaceDN w:val="0"/>
              <w:spacing w:before="60" w:after="60"/>
              <w:rPr>
                <w:rFonts w:ascii="Arial Narrow" w:eastAsia="Calibri" w:hAnsi="Arial Narrow" w:cs="Calibri"/>
                <w:b/>
                <w:color w:val="FFFFFF"/>
                <w:sz w:val="20"/>
                <w:szCs w:val="20"/>
              </w:rPr>
            </w:pPr>
            <w:r w:rsidRPr="00430A79">
              <w:rPr>
                <w:rFonts w:ascii="Arial Narrow" w:eastAsia="Calibri" w:hAnsi="Arial Narrow" w:cs="Calibri"/>
                <w:b/>
                <w:color w:val="FFFFFF"/>
                <w:sz w:val="20"/>
                <w:szCs w:val="20"/>
              </w:rPr>
              <w:t>Opsioni 5</w:t>
            </w:r>
          </w:p>
        </w:tc>
      </w:tr>
      <w:tr w:rsidR="0067721A" w:rsidRPr="00430A79" w14:paraId="617A1BB5" w14:textId="77777777" w:rsidTr="0067721A">
        <w:trPr>
          <w:trHeight w:val="312"/>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02235A9A" w14:textId="3A75DA6F"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BE2534">
              <w:rPr>
                <w:rFonts w:ascii="Arial Narrow" w:eastAsia="Calibri" w:hAnsi="Arial Narrow" w:cs="Calibri"/>
                <w:i/>
                <w:iCs/>
                <w:sz w:val="20"/>
                <w:szCs w:val="20"/>
                <w:lang w:val="sq-AL"/>
              </w:rPr>
              <w:t xml:space="preserve">Grumbullimi </w:t>
            </w:r>
            <w:r>
              <w:rPr>
                <w:rFonts w:ascii="Arial Narrow" w:eastAsia="Calibri" w:hAnsi="Arial Narrow" w:cs="Calibri"/>
                <w:i/>
                <w:iCs/>
                <w:sz w:val="20"/>
                <w:szCs w:val="20"/>
                <w:lang w:val="sq-AL"/>
              </w:rPr>
              <w:t>ndaras</w:t>
            </w:r>
          </w:p>
        </w:tc>
        <w:tc>
          <w:tcPr>
            <w:tcW w:w="479" w:type="pct"/>
            <w:tcBorders>
              <w:top w:val="nil"/>
              <w:left w:val="nil"/>
              <w:bottom w:val="single" w:sz="4" w:space="0" w:color="auto"/>
              <w:right w:val="single" w:sz="4" w:space="0" w:color="auto"/>
            </w:tcBorders>
            <w:shd w:val="clear" w:color="auto" w:fill="auto"/>
            <w:noWrap/>
            <w:vAlign w:val="bottom"/>
            <w:hideMark/>
          </w:tcPr>
          <w:p w14:paraId="21577274"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14:paraId="32CEA1F0"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3C273DD8"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487C5026"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641BA2FC"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13488DF1"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r>
      <w:tr w:rsidR="0067721A" w:rsidRPr="00430A79" w14:paraId="7F53D31C"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2485E1B2" w14:textId="651582A2"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e investimit</w:t>
            </w:r>
          </w:p>
        </w:tc>
        <w:tc>
          <w:tcPr>
            <w:tcW w:w="479" w:type="pct"/>
            <w:tcBorders>
              <w:top w:val="nil"/>
              <w:left w:val="nil"/>
              <w:bottom w:val="single" w:sz="4" w:space="0" w:color="auto"/>
              <w:right w:val="single" w:sz="4" w:space="0" w:color="auto"/>
            </w:tcBorders>
            <w:shd w:val="clear" w:color="auto" w:fill="auto"/>
            <w:noWrap/>
            <w:vAlign w:val="bottom"/>
            <w:hideMark/>
          </w:tcPr>
          <w:p w14:paraId="3F30359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8.06</w:t>
            </w:r>
          </w:p>
        </w:tc>
        <w:tc>
          <w:tcPr>
            <w:tcW w:w="523" w:type="pct"/>
            <w:tcBorders>
              <w:top w:val="nil"/>
              <w:left w:val="nil"/>
              <w:bottom w:val="single" w:sz="4" w:space="0" w:color="auto"/>
              <w:right w:val="single" w:sz="4" w:space="0" w:color="auto"/>
            </w:tcBorders>
            <w:shd w:val="clear" w:color="auto" w:fill="auto"/>
            <w:noWrap/>
            <w:vAlign w:val="bottom"/>
            <w:hideMark/>
          </w:tcPr>
          <w:p w14:paraId="3783D59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8.06</w:t>
            </w:r>
          </w:p>
        </w:tc>
        <w:tc>
          <w:tcPr>
            <w:tcW w:w="479" w:type="pct"/>
            <w:tcBorders>
              <w:top w:val="nil"/>
              <w:left w:val="nil"/>
              <w:bottom w:val="single" w:sz="4" w:space="0" w:color="auto"/>
              <w:right w:val="single" w:sz="4" w:space="0" w:color="auto"/>
            </w:tcBorders>
            <w:shd w:val="clear" w:color="auto" w:fill="auto"/>
            <w:noWrap/>
            <w:vAlign w:val="bottom"/>
            <w:hideMark/>
          </w:tcPr>
          <w:p w14:paraId="57A5DA7F"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10.34</w:t>
            </w:r>
          </w:p>
        </w:tc>
        <w:tc>
          <w:tcPr>
            <w:tcW w:w="479" w:type="pct"/>
            <w:tcBorders>
              <w:top w:val="nil"/>
              <w:left w:val="nil"/>
              <w:bottom w:val="single" w:sz="4" w:space="0" w:color="auto"/>
              <w:right w:val="single" w:sz="4" w:space="0" w:color="auto"/>
            </w:tcBorders>
            <w:shd w:val="clear" w:color="auto" w:fill="auto"/>
            <w:noWrap/>
            <w:vAlign w:val="bottom"/>
            <w:hideMark/>
          </w:tcPr>
          <w:p w14:paraId="10BC0F6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8.06</w:t>
            </w:r>
          </w:p>
        </w:tc>
        <w:tc>
          <w:tcPr>
            <w:tcW w:w="479" w:type="pct"/>
            <w:tcBorders>
              <w:top w:val="nil"/>
              <w:left w:val="nil"/>
              <w:bottom w:val="single" w:sz="4" w:space="0" w:color="auto"/>
              <w:right w:val="single" w:sz="4" w:space="0" w:color="auto"/>
            </w:tcBorders>
            <w:shd w:val="clear" w:color="auto" w:fill="auto"/>
            <w:noWrap/>
            <w:vAlign w:val="bottom"/>
            <w:hideMark/>
          </w:tcPr>
          <w:p w14:paraId="19A7D762"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7.85</w:t>
            </w:r>
          </w:p>
        </w:tc>
        <w:tc>
          <w:tcPr>
            <w:tcW w:w="479" w:type="pct"/>
            <w:tcBorders>
              <w:top w:val="nil"/>
              <w:left w:val="nil"/>
              <w:bottom w:val="single" w:sz="4" w:space="0" w:color="auto"/>
              <w:right w:val="single" w:sz="4" w:space="0" w:color="auto"/>
            </w:tcBorders>
            <w:shd w:val="clear" w:color="auto" w:fill="auto"/>
            <w:noWrap/>
            <w:vAlign w:val="bottom"/>
            <w:hideMark/>
          </w:tcPr>
          <w:p w14:paraId="56FE92D5"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8.06</w:t>
            </w:r>
          </w:p>
        </w:tc>
      </w:tr>
      <w:tr w:rsidR="0067721A" w:rsidRPr="00430A79" w14:paraId="74178470"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4DD6E24A" w14:textId="39DBEBF8"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operacionale</w:t>
            </w:r>
          </w:p>
        </w:tc>
        <w:tc>
          <w:tcPr>
            <w:tcW w:w="479" w:type="pct"/>
            <w:tcBorders>
              <w:top w:val="nil"/>
              <w:left w:val="nil"/>
              <w:bottom w:val="single" w:sz="4" w:space="0" w:color="auto"/>
              <w:right w:val="single" w:sz="4" w:space="0" w:color="auto"/>
            </w:tcBorders>
            <w:shd w:val="clear" w:color="auto" w:fill="auto"/>
            <w:noWrap/>
            <w:vAlign w:val="bottom"/>
            <w:hideMark/>
          </w:tcPr>
          <w:p w14:paraId="47B41A4F"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11.70</w:t>
            </w:r>
          </w:p>
        </w:tc>
        <w:tc>
          <w:tcPr>
            <w:tcW w:w="523" w:type="pct"/>
            <w:tcBorders>
              <w:top w:val="nil"/>
              <w:left w:val="nil"/>
              <w:bottom w:val="single" w:sz="4" w:space="0" w:color="auto"/>
              <w:right w:val="single" w:sz="4" w:space="0" w:color="auto"/>
            </w:tcBorders>
            <w:shd w:val="clear" w:color="auto" w:fill="auto"/>
            <w:noWrap/>
            <w:vAlign w:val="bottom"/>
            <w:hideMark/>
          </w:tcPr>
          <w:p w14:paraId="636211F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11.70</w:t>
            </w:r>
          </w:p>
        </w:tc>
        <w:tc>
          <w:tcPr>
            <w:tcW w:w="479" w:type="pct"/>
            <w:tcBorders>
              <w:top w:val="nil"/>
              <w:left w:val="nil"/>
              <w:bottom w:val="single" w:sz="4" w:space="0" w:color="auto"/>
              <w:right w:val="single" w:sz="4" w:space="0" w:color="auto"/>
            </w:tcBorders>
            <w:shd w:val="clear" w:color="auto" w:fill="auto"/>
            <w:noWrap/>
            <w:vAlign w:val="bottom"/>
            <w:hideMark/>
          </w:tcPr>
          <w:p w14:paraId="4458966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16.39</w:t>
            </w:r>
          </w:p>
        </w:tc>
        <w:tc>
          <w:tcPr>
            <w:tcW w:w="479" w:type="pct"/>
            <w:tcBorders>
              <w:top w:val="nil"/>
              <w:left w:val="nil"/>
              <w:bottom w:val="single" w:sz="4" w:space="0" w:color="auto"/>
              <w:right w:val="single" w:sz="4" w:space="0" w:color="auto"/>
            </w:tcBorders>
            <w:shd w:val="clear" w:color="auto" w:fill="auto"/>
            <w:noWrap/>
            <w:vAlign w:val="bottom"/>
            <w:hideMark/>
          </w:tcPr>
          <w:p w14:paraId="158E236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11.70</w:t>
            </w:r>
          </w:p>
        </w:tc>
        <w:tc>
          <w:tcPr>
            <w:tcW w:w="479" w:type="pct"/>
            <w:tcBorders>
              <w:top w:val="nil"/>
              <w:left w:val="nil"/>
              <w:bottom w:val="single" w:sz="4" w:space="0" w:color="auto"/>
              <w:right w:val="single" w:sz="4" w:space="0" w:color="auto"/>
            </w:tcBorders>
            <w:shd w:val="clear" w:color="auto" w:fill="auto"/>
            <w:noWrap/>
            <w:vAlign w:val="bottom"/>
            <w:hideMark/>
          </w:tcPr>
          <w:p w14:paraId="08F07B7D"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10.46</w:t>
            </w:r>
          </w:p>
        </w:tc>
        <w:tc>
          <w:tcPr>
            <w:tcW w:w="479" w:type="pct"/>
            <w:tcBorders>
              <w:top w:val="nil"/>
              <w:left w:val="nil"/>
              <w:bottom w:val="single" w:sz="4" w:space="0" w:color="auto"/>
              <w:right w:val="single" w:sz="4" w:space="0" w:color="auto"/>
            </w:tcBorders>
            <w:shd w:val="clear" w:color="auto" w:fill="auto"/>
            <w:noWrap/>
            <w:vAlign w:val="bottom"/>
            <w:hideMark/>
          </w:tcPr>
          <w:p w14:paraId="0CBE1AD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11.70</w:t>
            </w:r>
          </w:p>
        </w:tc>
      </w:tr>
      <w:tr w:rsidR="0067721A" w:rsidRPr="00430A79" w14:paraId="4BCB453A"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4540A596" w14:textId="0859F81A"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Kostot totale të grumbullimit </w:t>
            </w:r>
            <w:r>
              <w:rPr>
                <w:rFonts w:ascii="Arial Narrow" w:eastAsia="Calibri" w:hAnsi="Arial Narrow" w:cs="Calibri"/>
                <w:sz w:val="20"/>
                <w:szCs w:val="20"/>
                <w:lang w:val="sq-AL"/>
              </w:rPr>
              <w:t>ndaras</w:t>
            </w:r>
          </w:p>
        </w:tc>
        <w:tc>
          <w:tcPr>
            <w:tcW w:w="479" w:type="pct"/>
            <w:tcBorders>
              <w:top w:val="nil"/>
              <w:left w:val="nil"/>
              <w:bottom w:val="single" w:sz="4" w:space="0" w:color="auto"/>
              <w:right w:val="single" w:sz="4" w:space="0" w:color="auto"/>
            </w:tcBorders>
            <w:shd w:val="clear" w:color="auto" w:fill="auto"/>
            <w:noWrap/>
            <w:vAlign w:val="bottom"/>
            <w:hideMark/>
          </w:tcPr>
          <w:p w14:paraId="5C1D50B8"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19.76</w:t>
            </w:r>
          </w:p>
        </w:tc>
        <w:tc>
          <w:tcPr>
            <w:tcW w:w="523" w:type="pct"/>
            <w:tcBorders>
              <w:top w:val="nil"/>
              <w:left w:val="nil"/>
              <w:bottom w:val="single" w:sz="4" w:space="0" w:color="auto"/>
              <w:right w:val="single" w:sz="4" w:space="0" w:color="auto"/>
            </w:tcBorders>
            <w:shd w:val="clear" w:color="auto" w:fill="auto"/>
            <w:noWrap/>
            <w:vAlign w:val="bottom"/>
            <w:hideMark/>
          </w:tcPr>
          <w:p w14:paraId="6BAE8BE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19.76</w:t>
            </w:r>
          </w:p>
        </w:tc>
        <w:tc>
          <w:tcPr>
            <w:tcW w:w="479" w:type="pct"/>
            <w:tcBorders>
              <w:top w:val="nil"/>
              <w:left w:val="nil"/>
              <w:bottom w:val="single" w:sz="4" w:space="0" w:color="auto"/>
              <w:right w:val="single" w:sz="4" w:space="0" w:color="auto"/>
            </w:tcBorders>
            <w:shd w:val="clear" w:color="auto" w:fill="auto"/>
            <w:noWrap/>
            <w:vAlign w:val="bottom"/>
            <w:hideMark/>
          </w:tcPr>
          <w:p w14:paraId="22399CFF"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26.74</w:t>
            </w:r>
          </w:p>
        </w:tc>
        <w:tc>
          <w:tcPr>
            <w:tcW w:w="479" w:type="pct"/>
            <w:tcBorders>
              <w:top w:val="nil"/>
              <w:left w:val="nil"/>
              <w:bottom w:val="single" w:sz="4" w:space="0" w:color="auto"/>
              <w:right w:val="single" w:sz="4" w:space="0" w:color="auto"/>
            </w:tcBorders>
            <w:shd w:val="clear" w:color="auto" w:fill="auto"/>
            <w:noWrap/>
            <w:vAlign w:val="bottom"/>
            <w:hideMark/>
          </w:tcPr>
          <w:p w14:paraId="17489D2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19.76</w:t>
            </w:r>
          </w:p>
        </w:tc>
        <w:tc>
          <w:tcPr>
            <w:tcW w:w="479" w:type="pct"/>
            <w:tcBorders>
              <w:top w:val="nil"/>
              <w:left w:val="nil"/>
              <w:bottom w:val="single" w:sz="4" w:space="0" w:color="auto"/>
              <w:right w:val="single" w:sz="4" w:space="0" w:color="auto"/>
            </w:tcBorders>
            <w:shd w:val="clear" w:color="auto" w:fill="auto"/>
            <w:noWrap/>
            <w:vAlign w:val="bottom"/>
            <w:hideMark/>
          </w:tcPr>
          <w:p w14:paraId="57C1DC0D"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18.31</w:t>
            </w:r>
          </w:p>
        </w:tc>
        <w:tc>
          <w:tcPr>
            <w:tcW w:w="479" w:type="pct"/>
            <w:tcBorders>
              <w:top w:val="nil"/>
              <w:left w:val="nil"/>
              <w:bottom w:val="single" w:sz="4" w:space="0" w:color="auto"/>
              <w:right w:val="single" w:sz="4" w:space="0" w:color="auto"/>
            </w:tcBorders>
            <w:shd w:val="clear" w:color="auto" w:fill="auto"/>
            <w:noWrap/>
            <w:vAlign w:val="bottom"/>
            <w:hideMark/>
          </w:tcPr>
          <w:p w14:paraId="4323B45E"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19.76</w:t>
            </w:r>
          </w:p>
        </w:tc>
      </w:tr>
      <w:tr w:rsidR="0067721A" w:rsidRPr="00430A79" w14:paraId="2C898221" w14:textId="77777777" w:rsidTr="0067721A">
        <w:trPr>
          <w:trHeight w:val="312"/>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502B9C0F" w14:textId="6B718929"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BE2534">
              <w:rPr>
                <w:rFonts w:ascii="Arial Narrow" w:eastAsia="Calibri" w:hAnsi="Arial Narrow" w:cs="Calibri"/>
                <w:i/>
                <w:iCs/>
                <w:sz w:val="20"/>
                <w:szCs w:val="20"/>
                <w:lang w:val="sq-AL"/>
              </w:rPr>
              <w:t>Mbledhja e mbeturinave të përziera</w:t>
            </w:r>
          </w:p>
        </w:tc>
        <w:tc>
          <w:tcPr>
            <w:tcW w:w="479" w:type="pct"/>
            <w:tcBorders>
              <w:top w:val="nil"/>
              <w:left w:val="nil"/>
              <w:bottom w:val="single" w:sz="4" w:space="0" w:color="auto"/>
              <w:right w:val="single" w:sz="4" w:space="0" w:color="auto"/>
            </w:tcBorders>
            <w:shd w:val="clear" w:color="auto" w:fill="auto"/>
            <w:noWrap/>
            <w:vAlign w:val="bottom"/>
            <w:hideMark/>
          </w:tcPr>
          <w:p w14:paraId="340ECB0F"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14:paraId="3690CF99"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6C78EF8E"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768B05A8"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4E64ED99"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10FBF242"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r>
      <w:tr w:rsidR="0067721A" w:rsidRPr="00430A79" w14:paraId="5E57228E"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3251EFA6" w14:textId="2B03B2E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e investimit</w:t>
            </w:r>
          </w:p>
        </w:tc>
        <w:tc>
          <w:tcPr>
            <w:tcW w:w="479" w:type="pct"/>
            <w:tcBorders>
              <w:top w:val="nil"/>
              <w:left w:val="nil"/>
              <w:bottom w:val="single" w:sz="4" w:space="0" w:color="auto"/>
              <w:right w:val="single" w:sz="4" w:space="0" w:color="auto"/>
            </w:tcBorders>
            <w:shd w:val="clear" w:color="auto" w:fill="auto"/>
            <w:noWrap/>
            <w:vAlign w:val="bottom"/>
            <w:hideMark/>
          </w:tcPr>
          <w:p w14:paraId="0C638DF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10.48</w:t>
            </w:r>
          </w:p>
        </w:tc>
        <w:tc>
          <w:tcPr>
            <w:tcW w:w="523" w:type="pct"/>
            <w:tcBorders>
              <w:top w:val="nil"/>
              <w:left w:val="nil"/>
              <w:bottom w:val="single" w:sz="4" w:space="0" w:color="auto"/>
              <w:right w:val="single" w:sz="4" w:space="0" w:color="auto"/>
            </w:tcBorders>
            <w:shd w:val="clear" w:color="auto" w:fill="auto"/>
            <w:noWrap/>
            <w:vAlign w:val="bottom"/>
            <w:hideMark/>
          </w:tcPr>
          <w:p w14:paraId="624A34B0"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9.97</w:t>
            </w:r>
          </w:p>
        </w:tc>
        <w:tc>
          <w:tcPr>
            <w:tcW w:w="479" w:type="pct"/>
            <w:tcBorders>
              <w:top w:val="nil"/>
              <w:left w:val="nil"/>
              <w:bottom w:val="single" w:sz="4" w:space="0" w:color="auto"/>
              <w:right w:val="single" w:sz="4" w:space="0" w:color="auto"/>
            </w:tcBorders>
            <w:shd w:val="clear" w:color="auto" w:fill="auto"/>
            <w:noWrap/>
            <w:vAlign w:val="bottom"/>
            <w:hideMark/>
          </w:tcPr>
          <w:p w14:paraId="53D43CB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11.05</w:t>
            </w:r>
          </w:p>
        </w:tc>
        <w:tc>
          <w:tcPr>
            <w:tcW w:w="479" w:type="pct"/>
            <w:tcBorders>
              <w:top w:val="nil"/>
              <w:left w:val="nil"/>
              <w:bottom w:val="single" w:sz="4" w:space="0" w:color="auto"/>
              <w:right w:val="single" w:sz="4" w:space="0" w:color="auto"/>
            </w:tcBorders>
            <w:shd w:val="clear" w:color="auto" w:fill="auto"/>
            <w:noWrap/>
            <w:vAlign w:val="bottom"/>
            <w:hideMark/>
          </w:tcPr>
          <w:p w14:paraId="102A578E"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9.97</w:t>
            </w:r>
          </w:p>
        </w:tc>
        <w:tc>
          <w:tcPr>
            <w:tcW w:w="479" w:type="pct"/>
            <w:tcBorders>
              <w:top w:val="nil"/>
              <w:left w:val="nil"/>
              <w:bottom w:val="single" w:sz="4" w:space="0" w:color="auto"/>
              <w:right w:val="single" w:sz="4" w:space="0" w:color="auto"/>
            </w:tcBorders>
            <w:shd w:val="clear" w:color="auto" w:fill="auto"/>
            <w:noWrap/>
            <w:vAlign w:val="bottom"/>
            <w:hideMark/>
          </w:tcPr>
          <w:p w14:paraId="436DADF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11.59</w:t>
            </w:r>
          </w:p>
        </w:tc>
        <w:tc>
          <w:tcPr>
            <w:tcW w:w="479" w:type="pct"/>
            <w:tcBorders>
              <w:top w:val="nil"/>
              <w:left w:val="nil"/>
              <w:bottom w:val="single" w:sz="4" w:space="0" w:color="auto"/>
              <w:right w:val="single" w:sz="4" w:space="0" w:color="auto"/>
            </w:tcBorders>
            <w:shd w:val="clear" w:color="auto" w:fill="auto"/>
            <w:noWrap/>
            <w:vAlign w:val="bottom"/>
            <w:hideMark/>
          </w:tcPr>
          <w:p w14:paraId="61B7AC3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9.97</w:t>
            </w:r>
          </w:p>
        </w:tc>
      </w:tr>
      <w:tr w:rsidR="0067721A" w:rsidRPr="00430A79" w14:paraId="6C82F05B"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4FD59A98" w14:textId="544EED90"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operacionale</w:t>
            </w:r>
          </w:p>
        </w:tc>
        <w:tc>
          <w:tcPr>
            <w:tcW w:w="479" w:type="pct"/>
            <w:tcBorders>
              <w:top w:val="nil"/>
              <w:left w:val="nil"/>
              <w:bottom w:val="single" w:sz="4" w:space="0" w:color="auto"/>
              <w:right w:val="single" w:sz="4" w:space="0" w:color="auto"/>
            </w:tcBorders>
            <w:shd w:val="clear" w:color="auto" w:fill="auto"/>
            <w:noWrap/>
            <w:vAlign w:val="bottom"/>
            <w:hideMark/>
          </w:tcPr>
          <w:p w14:paraId="5098A078"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26.20</w:t>
            </w:r>
          </w:p>
        </w:tc>
        <w:tc>
          <w:tcPr>
            <w:tcW w:w="523" w:type="pct"/>
            <w:tcBorders>
              <w:top w:val="nil"/>
              <w:left w:val="nil"/>
              <w:bottom w:val="single" w:sz="4" w:space="0" w:color="auto"/>
              <w:right w:val="single" w:sz="4" w:space="0" w:color="auto"/>
            </w:tcBorders>
            <w:shd w:val="clear" w:color="auto" w:fill="auto"/>
            <w:noWrap/>
            <w:vAlign w:val="bottom"/>
            <w:hideMark/>
          </w:tcPr>
          <w:p w14:paraId="0A5100F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23.06</w:t>
            </w:r>
          </w:p>
        </w:tc>
        <w:tc>
          <w:tcPr>
            <w:tcW w:w="479" w:type="pct"/>
            <w:tcBorders>
              <w:top w:val="nil"/>
              <w:left w:val="nil"/>
              <w:bottom w:val="single" w:sz="4" w:space="0" w:color="auto"/>
              <w:right w:val="single" w:sz="4" w:space="0" w:color="auto"/>
            </w:tcBorders>
            <w:shd w:val="clear" w:color="auto" w:fill="auto"/>
            <w:noWrap/>
            <w:vAlign w:val="bottom"/>
            <w:hideMark/>
          </w:tcPr>
          <w:p w14:paraId="609F211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28.70</w:t>
            </w:r>
          </w:p>
        </w:tc>
        <w:tc>
          <w:tcPr>
            <w:tcW w:w="479" w:type="pct"/>
            <w:tcBorders>
              <w:top w:val="nil"/>
              <w:left w:val="nil"/>
              <w:bottom w:val="single" w:sz="4" w:space="0" w:color="auto"/>
              <w:right w:val="single" w:sz="4" w:space="0" w:color="auto"/>
            </w:tcBorders>
            <w:shd w:val="clear" w:color="auto" w:fill="auto"/>
            <w:noWrap/>
            <w:vAlign w:val="bottom"/>
            <w:hideMark/>
          </w:tcPr>
          <w:p w14:paraId="53C4E730"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23.06</w:t>
            </w:r>
          </w:p>
        </w:tc>
        <w:tc>
          <w:tcPr>
            <w:tcW w:w="479" w:type="pct"/>
            <w:tcBorders>
              <w:top w:val="nil"/>
              <w:left w:val="nil"/>
              <w:bottom w:val="single" w:sz="4" w:space="0" w:color="auto"/>
              <w:right w:val="single" w:sz="4" w:space="0" w:color="auto"/>
            </w:tcBorders>
            <w:shd w:val="clear" w:color="auto" w:fill="auto"/>
            <w:noWrap/>
            <w:vAlign w:val="bottom"/>
            <w:hideMark/>
          </w:tcPr>
          <w:p w14:paraId="43E5FDFF"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29.15</w:t>
            </w:r>
          </w:p>
        </w:tc>
        <w:tc>
          <w:tcPr>
            <w:tcW w:w="479" w:type="pct"/>
            <w:tcBorders>
              <w:top w:val="nil"/>
              <w:left w:val="nil"/>
              <w:bottom w:val="single" w:sz="4" w:space="0" w:color="auto"/>
              <w:right w:val="single" w:sz="4" w:space="0" w:color="auto"/>
            </w:tcBorders>
            <w:shd w:val="clear" w:color="auto" w:fill="auto"/>
            <w:noWrap/>
            <w:vAlign w:val="bottom"/>
            <w:hideMark/>
          </w:tcPr>
          <w:p w14:paraId="694DE62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23.06</w:t>
            </w:r>
          </w:p>
        </w:tc>
      </w:tr>
      <w:tr w:rsidR="0067721A" w:rsidRPr="00430A79" w14:paraId="030685A8"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764BC7DE" w14:textId="5E9460EC"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totale të grumbullimit të mbetuinave të përziera</w:t>
            </w:r>
          </w:p>
        </w:tc>
        <w:tc>
          <w:tcPr>
            <w:tcW w:w="479" w:type="pct"/>
            <w:tcBorders>
              <w:top w:val="nil"/>
              <w:left w:val="nil"/>
              <w:bottom w:val="single" w:sz="4" w:space="0" w:color="auto"/>
              <w:right w:val="single" w:sz="4" w:space="0" w:color="auto"/>
            </w:tcBorders>
            <w:shd w:val="clear" w:color="auto" w:fill="auto"/>
            <w:noWrap/>
            <w:vAlign w:val="bottom"/>
            <w:hideMark/>
          </w:tcPr>
          <w:p w14:paraId="543F96BE"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36.68</w:t>
            </w:r>
          </w:p>
        </w:tc>
        <w:tc>
          <w:tcPr>
            <w:tcW w:w="523" w:type="pct"/>
            <w:tcBorders>
              <w:top w:val="nil"/>
              <w:left w:val="nil"/>
              <w:bottom w:val="single" w:sz="4" w:space="0" w:color="auto"/>
              <w:right w:val="single" w:sz="4" w:space="0" w:color="auto"/>
            </w:tcBorders>
            <w:shd w:val="clear" w:color="auto" w:fill="auto"/>
            <w:noWrap/>
            <w:vAlign w:val="bottom"/>
            <w:hideMark/>
          </w:tcPr>
          <w:p w14:paraId="2686E40C"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33.04</w:t>
            </w:r>
          </w:p>
        </w:tc>
        <w:tc>
          <w:tcPr>
            <w:tcW w:w="479" w:type="pct"/>
            <w:tcBorders>
              <w:top w:val="nil"/>
              <w:left w:val="nil"/>
              <w:bottom w:val="single" w:sz="4" w:space="0" w:color="auto"/>
              <w:right w:val="single" w:sz="4" w:space="0" w:color="auto"/>
            </w:tcBorders>
            <w:shd w:val="clear" w:color="auto" w:fill="auto"/>
            <w:noWrap/>
            <w:vAlign w:val="bottom"/>
            <w:hideMark/>
          </w:tcPr>
          <w:p w14:paraId="1FE75ED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39.75</w:t>
            </w:r>
          </w:p>
        </w:tc>
        <w:tc>
          <w:tcPr>
            <w:tcW w:w="479" w:type="pct"/>
            <w:tcBorders>
              <w:top w:val="nil"/>
              <w:left w:val="nil"/>
              <w:bottom w:val="single" w:sz="4" w:space="0" w:color="auto"/>
              <w:right w:val="single" w:sz="4" w:space="0" w:color="auto"/>
            </w:tcBorders>
            <w:shd w:val="clear" w:color="auto" w:fill="auto"/>
            <w:noWrap/>
            <w:vAlign w:val="bottom"/>
            <w:hideMark/>
          </w:tcPr>
          <w:p w14:paraId="0A2E9768"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33.04</w:t>
            </w:r>
          </w:p>
        </w:tc>
        <w:tc>
          <w:tcPr>
            <w:tcW w:w="479" w:type="pct"/>
            <w:tcBorders>
              <w:top w:val="nil"/>
              <w:left w:val="nil"/>
              <w:bottom w:val="single" w:sz="4" w:space="0" w:color="auto"/>
              <w:right w:val="single" w:sz="4" w:space="0" w:color="auto"/>
            </w:tcBorders>
            <w:shd w:val="clear" w:color="auto" w:fill="auto"/>
            <w:noWrap/>
            <w:vAlign w:val="bottom"/>
            <w:hideMark/>
          </w:tcPr>
          <w:p w14:paraId="38732BD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40.73</w:t>
            </w:r>
          </w:p>
        </w:tc>
        <w:tc>
          <w:tcPr>
            <w:tcW w:w="479" w:type="pct"/>
            <w:tcBorders>
              <w:top w:val="nil"/>
              <w:left w:val="nil"/>
              <w:bottom w:val="single" w:sz="4" w:space="0" w:color="auto"/>
              <w:right w:val="single" w:sz="4" w:space="0" w:color="auto"/>
            </w:tcBorders>
            <w:shd w:val="clear" w:color="auto" w:fill="auto"/>
            <w:noWrap/>
            <w:vAlign w:val="bottom"/>
            <w:hideMark/>
          </w:tcPr>
          <w:p w14:paraId="35651C96"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33.04</w:t>
            </w:r>
          </w:p>
        </w:tc>
      </w:tr>
      <w:tr w:rsidR="0067721A" w:rsidRPr="00430A79" w14:paraId="517B0BFC" w14:textId="77777777" w:rsidTr="0067721A">
        <w:trPr>
          <w:trHeight w:val="312"/>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2C42255F" w14:textId="13BF969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BE2534">
              <w:rPr>
                <w:rFonts w:ascii="Arial Narrow" w:eastAsia="Calibri" w:hAnsi="Arial Narrow" w:cs="Calibri"/>
                <w:i/>
                <w:iCs/>
                <w:sz w:val="20"/>
                <w:szCs w:val="20"/>
                <w:lang w:val="sq-AL"/>
              </w:rPr>
              <w:t>Transferimi i mbeturinave të përziera</w:t>
            </w:r>
          </w:p>
        </w:tc>
        <w:tc>
          <w:tcPr>
            <w:tcW w:w="479" w:type="pct"/>
            <w:tcBorders>
              <w:top w:val="nil"/>
              <w:left w:val="nil"/>
              <w:bottom w:val="single" w:sz="4" w:space="0" w:color="auto"/>
              <w:right w:val="single" w:sz="4" w:space="0" w:color="auto"/>
            </w:tcBorders>
            <w:shd w:val="clear" w:color="auto" w:fill="auto"/>
            <w:noWrap/>
            <w:vAlign w:val="bottom"/>
            <w:hideMark/>
          </w:tcPr>
          <w:p w14:paraId="00A06EDB"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14:paraId="25C97AA9"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3D737A97"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1232C5FE"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40E255E0"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4605397B"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r>
      <w:tr w:rsidR="0067721A" w:rsidRPr="00430A79" w14:paraId="3EB90A7E"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78879663" w14:textId="1571B772"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lastRenderedPageBreak/>
              <w:t>Kostot e investimit</w:t>
            </w:r>
          </w:p>
        </w:tc>
        <w:tc>
          <w:tcPr>
            <w:tcW w:w="479" w:type="pct"/>
            <w:tcBorders>
              <w:top w:val="nil"/>
              <w:left w:val="nil"/>
              <w:bottom w:val="single" w:sz="4" w:space="0" w:color="auto"/>
              <w:right w:val="single" w:sz="4" w:space="0" w:color="auto"/>
            </w:tcBorders>
            <w:shd w:val="clear" w:color="auto" w:fill="auto"/>
            <w:noWrap/>
            <w:vAlign w:val="bottom"/>
            <w:hideMark/>
          </w:tcPr>
          <w:p w14:paraId="04A15DFD"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0.53</w:t>
            </w:r>
          </w:p>
        </w:tc>
        <w:tc>
          <w:tcPr>
            <w:tcW w:w="523" w:type="pct"/>
            <w:tcBorders>
              <w:top w:val="nil"/>
              <w:left w:val="nil"/>
              <w:bottom w:val="single" w:sz="4" w:space="0" w:color="auto"/>
              <w:right w:val="single" w:sz="4" w:space="0" w:color="auto"/>
            </w:tcBorders>
            <w:shd w:val="clear" w:color="auto" w:fill="auto"/>
            <w:noWrap/>
            <w:vAlign w:val="bottom"/>
            <w:hideMark/>
          </w:tcPr>
          <w:p w14:paraId="3D9F5680"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1.64</w:t>
            </w:r>
          </w:p>
        </w:tc>
        <w:tc>
          <w:tcPr>
            <w:tcW w:w="479" w:type="pct"/>
            <w:tcBorders>
              <w:top w:val="nil"/>
              <w:left w:val="nil"/>
              <w:bottom w:val="single" w:sz="4" w:space="0" w:color="auto"/>
              <w:right w:val="single" w:sz="4" w:space="0" w:color="auto"/>
            </w:tcBorders>
            <w:shd w:val="clear" w:color="auto" w:fill="auto"/>
            <w:noWrap/>
            <w:vAlign w:val="bottom"/>
            <w:hideMark/>
          </w:tcPr>
          <w:p w14:paraId="24C6510E"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479" w:type="pct"/>
            <w:tcBorders>
              <w:top w:val="nil"/>
              <w:left w:val="nil"/>
              <w:bottom w:val="single" w:sz="4" w:space="0" w:color="auto"/>
              <w:right w:val="single" w:sz="4" w:space="0" w:color="auto"/>
            </w:tcBorders>
            <w:shd w:val="clear" w:color="auto" w:fill="auto"/>
            <w:noWrap/>
            <w:vAlign w:val="bottom"/>
            <w:hideMark/>
          </w:tcPr>
          <w:p w14:paraId="672056C8"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1.64</w:t>
            </w:r>
          </w:p>
        </w:tc>
        <w:tc>
          <w:tcPr>
            <w:tcW w:w="479" w:type="pct"/>
            <w:tcBorders>
              <w:top w:val="nil"/>
              <w:left w:val="nil"/>
              <w:bottom w:val="single" w:sz="4" w:space="0" w:color="auto"/>
              <w:right w:val="single" w:sz="4" w:space="0" w:color="auto"/>
            </w:tcBorders>
            <w:shd w:val="clear" w:color="auto" w:fill="auto"/>
            <w:noWrap/>
            <w:vAlign w:val="bottom"/>
            <w:hideMark/>
          </w:tcPr>
          <w:p w14:paraId="5EAE288C"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479" w:type="pct"/>
            <w:tcBorders>
              <w:top w:val="nil"/>
              <w:left w:val="nil"/>
              <w:bottom w:val="single" w:sz="4" w:space="0" w:color="auto"/>
              <w:right w:val="single" w:sz="4" w:space="0" w:color="auto"/>
            </w:tcBorders>
            <w:shd w:val="clear" w:color="auto" w:fill="auto"/>
            <w:noWrap/>
            <w:vAlign w:val="bottom"/>
            <w:hideMark/>
          </w:tcPr>
          <w:p w14:paraId="5A56604B"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3.04</w:t>
            </w:r>
          </w:p>
        </w:tc>
      </w:tr>
      <w:tr w:rsidR="0067721A" w:rsidRPr="00430A79" w14:paraId="0AA8E234"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5BD4572B" w14:textId="36E2F32B"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operacionale</w:t>
            </w:r>
          </w:p>
        </w:tc>
        <w:tc>
          <w:tcPr>
            <w:tcW w:w="479" w:type="pct"/>
            <w:tcBorders>
              <w:top w:val="nil"/>
              <w:left w:val="nil"/>
              <w:bottom w:val="single" w:sz="4" w:space="0" w:color="auto"/>
              <w:right w:val="single" w:sz="4" w:space="0" w:color="auto"/>
            </w:tcBorders>
            <w:shd w:val="clear" w:color="auto" w:fill="auto"/>
            <w:noWrap/>
            <w:vAlign w:val="bottom"/>
            <w:hideMark/>
          </w:tcPr>
          <w:p w14:paraId="7C20ECD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1.59</w:t>
            </w:r>
          </w:p>
        </w:tc>
        <w:tc>
          <w:tcPr>
            <w:tcW w:w="523" w:type="pct"/>
            <w:tcBorders>
              <w:top w:val="nil"/>
              <w:left w:val="nil"/>
              <w:bottom w:val="single" w:sz="4" w:space="0" w:color="auto"/>
              <w:right w:val="single" w:sz="4" w:space="0" w:color="auto"/>
            </w:tcBorders>
            <w:shd w:val="clear" w:color="auto" w:fill="auto"/>
            <w:noWrap/>
            <w:vAlign w:val="bottom"/>
            <w:hideMark/>
          </w:tcPr>
          <w:p w14:paraId="162A638D"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4.07</w:t>
            </w:r>
          </w:p>
        </w:tc>
        <w:tc>
          <w:tcPr>
            <w:tcW w:w="479" w:type="pct"/>
            <w:tcBorders>
              <w:top w:val="nil"/>
              <w:left w:val="nil"/>
              <w:bottom w:val="single" w:sz="4" w:space="0" w:color="auto"/>
              <w:right w:val="single" w:sz="4" w:space="0" w:color="auto"/>
            </w:tcBorders>
            <w:shd w:val="clear" w:color="auto" w:fill="auto"/>
            <w:noWrap/>
            <w:vAlign w:val="bottom"/>
            <w:hideMark/>
          </w:tcPr>
          <w:p w14:paraId="7339C64D"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479" w:type="pct"/>
            <w:tcBorders>
              <w:top w:val="nil"/>
              <w:left w:val="nil"/>
              <w:bottom w:val="single" w:sz="4" w:space="0" w:color="auto"/>
              <w:right w:val="single" w:sz="4" w:space="0" w:color="auto"/>
            </w:tcBorders>
            <w:shd w:val="clear" w:color="auto" w:fill="auto"/>
            <w:noWrap/>
            <w:vAlign w:val="bottom"/>
            <w:hideMark/>
          </w:tcPr>
          <w:p w14:paraId="0A796D0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4.07</w:t>
            </w:r>
          </w:p>
        </w:tc>
        <w:tc>
          <w:tcPr>
            <w:tcW w:w="479" w:type="pct"/>
            <w:tcBorders>
              <w:top w:val="nil"/>
              <w:left w:val="nil"/>
              <w:bottom w:val="single" w:sz="4" w:space="0" w:color="auto"/>
              <w:right w:val="single" w:sz="4" w:space="0" w:color="auto"/>
            </w:tcBorders>
            <w:shd w:val="clear" w:color="auto" w:fill="auto"/>
            <w:noWrap/>
            <w:vAlign w:val="bottom"/>
            <w:hideMark/>
          </w:tcPr>
          <w:p w14:paraId="6F57DB70"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479" w:type="pct"/>
            <w:tcBorders>
              <w:top w:val="nil"/>
              <w:left w:val="nil"/>
              <w:bottom w:val="single" w:sz="4" w:space="0" w:color="auto"/>
              <w:right w:val="single" w:sz="4" w:space="0" w:color="auto"/>
            </w:tcBorders>
            <w:shd w:val="clear" w:color="auto" w:fill="auto"/>
            <w:noWrap/>
            <w:vAlign w:val="bottom"/>
            <w:hideMark/>
          </w:tcPr>
          <w:p w14:paraId="188A3F3E"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5.35</w:t>
            </w:r>
          </w:p>
        </w:tc>
      </w:tr>
      <w:tr w:rsidR="0067721A" w:rsidRPr="00430A79" w14:paraId="5EE6A230" w14:textId="77777777" w:rsidTr="0067721A">
        <w:trPr>
          <w:trHeight w:val="46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0BFA8C9B" w14:textId="419E01BF"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totale të transferimit të mbeturinave</w:t>
            </w:r>
          </w:p>
        </w:tc>
        <w:tc>
          <w:tcPr>
            <w:tcW w:w="479" w:type="pct"/>
            <w:tcBorders>
              <w:top w:val="nil"/>
              <w:left w:val="nil"/>
              <w:bottom w:val="single" w:sz="4" w:space="0" w:color="auto"/>
              <w:right w:val="single" w:sz="4" w:space="0" w:color="auto"/>
            </w:tcBorders>
            <w:shd w:val="clear" w:color="auto" w:fill="auto"/>
            <w:noWrap/>
            <w:vAlign w:val="bottom"/>
            <w:hideMark/>
          </w:tcPr>
          <w:p w14:paraId="25F0D420"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2.12</w:t>
            </w:r>
          </w:p>
        </w:tc>
        <w:tc>
          <w:tcPr>
            <w:tcW w:w="523" w:type="pct"/>
            <w:tcBorders>
              <w:top w:val="nil"/>
              <w:left w:val="nil"/>
              <w:bottom w:val="single" w:sz="4" w:space="0" w:color="auto"/>
              <w:right w:val="single" w:sz="4" w:space="0" w:color="auto"/>
            </w:tcBorders>
            <w:shd w:val="clear" w:color="auto" w:fill="auto"/>
            <w:noWrap/>
            <w:vAlign w:val="bottom"/>
            <w:hideMark/>
          </w:tcPr>
          <w:p w14:paraId="2306A3D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5.71</w:t>
            </w:r>
          </w:p>
        </w:tc>
        <w:tc>
          <w:tcPr>
            <w:tcW w:w="479" w:type="pct"/>
            <w:tcBorders>
              <w:top w:val="nil"/>
              <w:left w:val="nil"/>
              <w:bottom w:val="single" w:sz="4" w:space="0" w:color="auto"/>
              <w:right w:val="single" w:sz="4" w:space="0" w:color="auto"/>
            </w:tcBorders>
            <w:shd w:val="clear" w:color="auto" w:fill="auto"/>
            <w:noWrap/>
            <w:vAlign w:val="bottom"/>
            <w:hideMark/>
          </w:tcPr>
          <w:p w14:paraId="50C8759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479" w:type="pct"/>
            <w:tcBorders>
              <w:top w:val="nil"/>
              <w:left w:val="nil"/>
              <w:bottom w:val="single" w:sz="4" w:space="0" w:color="auto"/>
              <w:right w:val="single" w:sz="4" w:space="0" w:color="auto"/>
            </w:tcBorders>
            <w:shd w:val="clear" w:color="auto" w:fill="auto"/>
            <w:noWrap/>
            <w:vAlign w:val="bottom"/>
            <w:hideMark/>
          </w:tcPr>
          <w:p w14:paraId="35547082"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5.71</w:t>
            </w:r>
          </w:p>
        </w:tc>
        <w:tc>
          <w:tcPr>
            <w:tcW w:w="479" w:type="pct"/>
            <w:tcBorders>
              <w:top w:val="nil"/>
              <w:left w:val="nil"/>
              <w:bottom w:val="single" w:sz="4" w:space="0" w:color="auto"/>
              <w:right w:val="single" w:sz="4" w:space="0" w:color="auto"/>
            </w:tcBorders>
            <w:shd w:val="clear" w:color="auto" w:fill="auto"/>
            <w:noWrap/>
            <w:vAlign w:val="bottom"/>
            <w:hideMark/>
          </w:tcPr>
          <w:p w14:paraId="036D03B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w:t>
            </w:r>
          </w:p>
        </w:tc>
        <w:tc>
          <w:tcPr>
            <w:tcW w:w="479" w:type="pct"/>
            <w:tcBorders>
              <w:top w:val="nil"/>
              <w:left w:val="nil"/>
              <w:bottom w:val="single" w:sz="4" w:space="0" w:color="auto"/>
              <w:right w:val="single" w:sz="4" w:space="0" w:color="auto"/>
            </w:tcBorders>
            <w:shd w:val="clear" w:color="auto" w:fill="auto"/>
            <w:noWrap/>
            <w:vAlign w:val="bottom"/>
            <w:hideMark/>
          </w:tcPr>
          <w:p w14:paraId="0834712E"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8.39</w:t>
            </w:r>
          </w:p>
        </w:tc>
      </w:tr>
      <w:tr w:rsidR="0067721A" w:rsidRPr="00430A79" w14:paraId="27A53FB3" w14:textId="77777777" w:rsidTr="0067721A">
        <w:trPr>
          <w:trHeight w:val="312"/>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50E8F948" w14:textId="0A1695B2"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BE2534">
              <w:rPr>
                <w:rFonts w:ascii="Arial Narrow" w:eastAsia="Calibri" w:hAnsi="Arial Narrow" w:cs="Calibri"/>
                <w:i/>
                <w:iCs/>
                <w:sz w:val="20"/>
                <w:szCs w:val="20"/>
                <w:lang w:val="sq-AL"/>
              </w:rPr>
              <w:t>Mbledhja dhe kompostimi i mbeturinave të gjelbra</w:t>
            </w:r>
          </w:p>
        </w:tc>
        <w:tc>
          <w:tcPr>
            <w:tcW w:w="479" w:type="pct"/>
            <w:tcBorders>
              <w:top w:val="nil"/>
              <w:left w:val="nil"/>
              <w:bottom w:val="single" w:sz="4" w:space="0" w:color="auto"/>
              <w:right w:val="single" w:sz="4" w:space="0" w:color="auto"/>
            </w:tcBorders>
            <w:shd w:val="clear" w:color="auto" w:fill="auto"/>
            <w:noWrap/>
            <w:vAlign w:val="bottom"/>
            <w:hideMark/>
          </w:tcPr>
          <w:p w14:paraId="14B023F0"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14:paraId="445F6D6D"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1BF5D421"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40D7AE2F"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2D4223C2"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5D62856B"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r>
      <w:tr w:rsidR="0067721A" w:rsidRPr="00430A79" w14:paraId="5B772D30"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09898A1A" w14:textId="159AF9E3"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e investimit</w:t>
            </w:r>
          </w:p>
        </w:tc>
        <w:tc>
          <w:tcPr>
            <w:tcW w:w="479" w:type="pct"/>
            <w:tcBorders>
              <w:top w:val="nil"/>
              <w:left w:val="nil"/>
              <w:bottom w:val="single" w:sz="4" w:space="0" w:color="auto"/>
              <w:right w:val="single" w:sz="4" w:space="0" w:color="auto"/>
            </w:tcBorders>
            <w:shd w:val="clear" w:color="auto" w:fill="auto"/>
            <w:noWrap/>
            <w:vAlign w:val="bottom"/>
            <w:hideMark/>
          </w:tcPr>
          <w:p w14:paraId="7C83B346"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1.18</w:t>
            </w:r>
          </w:p>
        </w:tc>
        <w:tc>
          <w:tcPr>
            <w:tcW w:w="523" w:type="pct"/>
            <w:tcBorders>
              <w:top w:val="nil"/>
              <w:left w:val="nil"/>
              <w:bottom w:val="single" w:sz="4" w:space="0" w:color="auto"/>
              <w:right w:val="single" w:sz="4" w:space="0" w:color="auto"/>
            </w:tcBorders>
            <w:shd w:val="clear" w:color="auto" w:fill="auto"/>
            <w:noWrap/>
            <w:vAlign w:val="bottom"/>
            <w:hideMark/>
          </w:tcPr>
          <w:p w14:paraId="63818E98"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1.18</w:t>
            </w:r>
          </w:p>
        </w:tc>
        <w:tc>
          <w:tcPr>
            <w:tcW w:w="479" w:type="pct"/>
            <w:tcBorders>
              <w:top w:val="nil"/>
              <w:left w:val="nil"/>
              <w:bottom w:val="single" w:sz="4" w:space="0" w:color="auto"/>
              <w:right w:val="single" w:sz="4" w:space="0" w:color="auto"/>
            </w:tcBorders>
            <w:shd w:val="clear" w:color="auto" w:fill="auto"/>
            <w:noWrap/>
            <w:vAlign w:val="bottom"/>
            <w:hideMark/>
          </w:tcPr>
          <w:p w14:paraId="7C485B52"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1.18</w:t>
            </w:r>
          </w:p>
        </w:tc>
        <w:tc>
          <w:tcPr>
            <w:tcW w:w="479" w:type="pct"/>
            <w:tcBorders>
              <w:top w:val="nil"/>
              <w:left w:val="nil"/>
              <w:bottom w:val="single" w:sz="4" w:space="0" w:color="auto"/>
              <w:right w:val="single" w:sz="4" w:space="0" w:color="auto"/>
            </w:tcBorders>
            <w:shd w:val="clear" w:color="auto" w:fill="auto"/>
            <w:noWrap/>
            <w:vAlign w:val="bottom"/>
            <w:hideMark/>
          </w:tcPr>
          <w:p w14:paraId="7EE44D86"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1.18</w:t>
            </w:r>
          </w:p>
        </w:tc>
        <w:tc>
          <w:tcPr>
            <w:tcW w:w="479" w:type="pct"/>
            <w:tcBorders>
              <w:top w:val="nil"/>
              <w:left w:val="nil"/>
              <w:bottom w:val="single" w:sz="4" w:space="0" w:color="auto"/>
              <w:right w:val="single" w:sz="4" w:space="0" w:color="auto"/>
            </w:tcBorders>
            <w:shd w:val="clear" w:color="auto" w:fill="auto"/>
            <w:noWrap/>
            <w:vAlign w:val="bottom"/>
            <w:hideMark/>
          </w:tcPr>
          <w:p w14:paraId="177F0DE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1.18</w:t>
            </w:r>
          </w:p>
        </w:tc>
        <w:tc>
          <w:tcPr>
            <w:tcW w:w="479" w:type="pct"/>
            <w:tcBorders>
              <w:top w:val="nil"/>
              <w:left w:val="nil"/>
              <w:bottom w:val="single" w:sz="4" w:space="0" w:color="auto"/>
              <w:right w:val="single" w:sz="4" w:space="0" w:color="auto"/>
            </w:tcBorders>
            <w:shd w:val="clear" w:color="auto" w:fill="auto"/>
            <w:noWrap/>
            <w:vAlign w:val="bottom"/>
            <w:hideMark/>
          </w:tcPr>
          <w:p w14:paraId="004468D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1.18</w:t>
            </w:r>
          </w:p>
        </w:tc>
      </w:tr>
      <w:tr w:rsidR="0067721A" w:rsidRPr="00430A79" w14:paraId="47CFD68E"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060D7AE9" w14:textId="14BB89DC"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operacionale</w:t>
            </w:r>
          </w:p>
        </w:tc>
        <w:tc>
          <w:tcPr>
            <w:tcW w:w="479" w:type="pct"/>
            <w:tcBorders>
              <w:top w:val="nil"/>
              <w:left w:val="nil"/>
              <w:bottom w:val="single" w:sz="4" w:space="0" w:color="auto"/>
              <w:right w:val="single" w:sz="4" w:space="0" w:color="auto"/>
            </w:tcBorders>
            <w:shd w:val="clear" w:color="auto" w:fill="auto"/>
            <w:noWrap/>
            <w:vAlign w:val="bottom"/>
            <w:hideMark/>
          </w:tcPr>
          <w:p w14:paraId="4E30F0CB"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4.46</w:t>
            </w:r>
          </w:p>
        </w:tc>
        <w:tc>
          <w:tcPr>
            <w:tcW w:w="523" w:type="pct"/>
            <w:tcBorders>
              <w:top w:val="nil"/>
              <w:left w:val="nil"/>
              <w:bottom w:val="single" w:sz="4" w:space="0" w:color="auto"/>
              <w:right w:val="single" w:sz="4" w:space="0" w:color="auto"/>
            </w:tcBorders>
            <w:shd w:val="clear" w:color="auto" w:fill="auto"/>
            <w:noWrap/>
            <w:vAlign w:val="bottom"/>
            <w:hideMark/>
          </w:tcPr>
          <w:p w14:paraId="469285C5"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4.46</w:t>
            </w:r>
          </w:p>
        </w:tc>
        <w:tc>
          <w:tcPr>
            <w:tcW w:w="479" w:type="pct"/>
            <w:tcBorders>
              <w:top w:val="nil"/>
              <w:left w:val="nil"/>
              <w:bottom w:val="single" w:sz="4" w:space="0" w:color="auto"/>
              <w:right w:val="single" w:sz="4" w:space="0" w:color="auto"/>
            </w:tcBorders>
            <w:shd w:val="clear" w:color="auto" w:fill="auto"/>
            <w:noWrap/>
            <w:vAlign w:val="bottom"/>
            <w:hideMark/>
          </w:tcPr>
          <w:p w14:paraId="7E22B13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4.46</w:t>
            </w:r>
          </w:p>
        </w:tc>
        <w:tc>
          <w:tcPr>
            <w:tcW w:w="479" w:type="pct"/>
            <w:tcBorders>
              <w:top w:val="nil"/>
              <w:left w:val="nil"/>
              <w:bottom w:val="single" w:sz="4" w:space="0" w:color="auto"/>
              <w:right w:val="single" w:sz="4" w:space="0" w:color="auto"/>
            </w:tcBorders>
            <w:shd w:val="clear" w:color="auto" w:fill="auto"/>
            <w:noWrap/>
            <w:vAlign w:val="bottom"/>
            <w:hideMark/>
          </w:tcPr>
          <w:p w14:paraId="13F5F60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4.46</w:t>
            </w:r>
          </w:p>
        </w:tc>
        <w:tc>
          <w:tcPr>
            <w:tcW w:w="479" w:type="pct"/>
            <w:tcBorders>
              <w:top w:val="nil"/>
              <w:left w:val="nil"/>
              <w:bottom w:val="single" w:sz="4" w:space="0" w:color="auto"/>
              <w:right w:val="single" w:sz="4" w:space="0" w:color="auto"/>
            </w:tcBorders>
            <w:shd w:val="clear" w:color="auto" w:fill="auto"/>
            <w:noWrap/>
            <w:vAlign w:val="bottom"/>
            <w:hideMark/>
          </w:tcPr>
          <w:p w14:paraId="5DEC636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4.46</w:t>
            </w:r>
          </w:p>
        </w:tc>
        <w:tc>
          <w:tcPr>
            <w:tcW w:w="479" w:type="pct"/>
            <w:tcBorders>
              <w:top w:val="nil"/>
              <w:left w:val="nil"/>
              <w:bottom w:val="single" w:sz="4" w:space="0" w:color="auto"/>
              <w:right w:val="single" w:sz="4" w:space="0" w:color="auto"/>
            </w:tcBorders>
            <w:shd w:val="clear" w:color="auto" w:fill="auto"/>
            <w:noWrap/>
            <w:vAlign w:val="bottom"/>
            <w:hideMark/>
          </w:tcPr>
          <w:p w14:paraId="50AE3FBB"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4.46</w:t>
            </w:r>
          </w:p>
        </w:tc>
      </w:tr>
      <w:tr w:rsidR="0067721A" w:rsidRPr="00430A79" w14:paraId="1778E5B8"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0B66D577" w14:textId="360B389F"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totale të kompostimit të mbeturinave të gjelbra</w:t>
            </w:r>
          </w:p>
        </w:tc>
        <w:tc>
          <w:tcPr>
            <w:tcW w:w="479" w:type="pct"/>
            <w:tcBorders>
              <w:top w:val="nil"/>
              <w:left w:val="nil"/>
              <w:bottom w:val="single" w:sz="4" w:space="0" w:color="auto"/>
              <w:right w:val="single" w:sz="4" w:space="0" w:color="auto"/>
            </w:tcBorders>
            <w:shd w:val="clear" w:color="auto" w:fill="auto"/>
            <w:noWrap/>
            <w:vAlign w:val="bottom"/>
            <w:hideMark/>
          </w:tcPr>
          <w:p w14:paraId="0317DB7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5.64</w:t>
            </w:r>
          </w:p>
        </w:tc>
        <w:tc>
          <w:tcPr>
            <w:tcW w:w="523" w:type="pct"/>
            <w:tcBorders>
              <w:top w:val="nil"/>
              <w:left w:val="nil"/>
              <w:bottom w:val="single" w:sz="4" w:space="0" w:color="auto"/>
              <w:right w:val="single" w:sz="4" w:space="0" w:color="auto"/>
            </w:tcBorders>
            <w:shd w:val="clear" w:color="auto" w:fill="auto"/>
            <w:noWrap/>
            <w:vAlign w:val="bottom"/>
            <w:hideMark/>
          </w:tcPr>
          <w:p w14:paraId="454B6EFF"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5.64</w:t>
            </w:r>
          </w:p>
        </w:tc>
        <w:tc>
          <w:tcPr>
            <w:tcW w:w="479" w:type="pct"/>
            <w:tcBorders>
              <w:top w:val="nil"/>
              <w:left w:val="nil"/>
              <w:bottom w:val="single" w:sz="4" w:space="0" w:color="auto"/>
              <w:right w:val="single" w:sz="4" w:space="0" w:color="auto"/>
            </w:tcBorders>
            <w:shd w:val="clear" w:color="auto" w:fill="auto"/>
            <w:noWrap/>
            <w:vAlign w:val="bottom"/>
            <w:hideMark/>
          </w:tcPr>
          <w:p w14:paraId="79EE15C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5.64</w:t>
            </w:r>
          </w:p>
        </w:tc>
        <w:tc>
          <w:tcPr>
            <w:tcW w:w="479" w:type="pct"/>
            <w:tcBorders>
              <w:top w:val="nil"/>
              <w:left w:val="nil"/>
              <w:bottom w:val="single" w:sz="4" w:space="0" w:color="auto"/>
              <w:right w:val="single" w:sz="4" w:space="0" w:color="auto"/>
            </w:tcBorders>
            <w:shd w:val="clear" w:color="auto" w:fill="auto"/>
            <w:noWrap/>
            <w:vAlign w:val="bottom"/>
            <w:hideMark/>
          </w:tcPr>
          <w:p w14:paraId="3DC5C49D"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5.64</w:t>
            </w:r>
          </w:p>
        </w:tc>
        <w:tc>
          <w:tcPr>
            <w:tcW w:w="479" w:type="pct"/>
            <w:tcBorders>
              <w:top w:val="nil"/>
              <w:left w:val="nil"/>
              <w:bottom w:val="single" w:sz="4" w:space="0" w:color="auto"/>
              <w:right w:val="single" w:sz="4" w:space="0" w:color="auto"/>
            </w:tcBorders>
            <w:shd w:val="clear" w:color="auto" w:fill="auto"/>
            <w:noWrap/>
            <w:vAlign w:val="bottom"/>
            <w:hideMark/>
          </w:tcPr>
          <w:p w14:paraId="67148EB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5.64</w:t>
            </w:r>
          </w:p>
        </w:tc>
        <w:tc>
          <w:tcPr>
            <w:tcW w:w="479" w:type="pct"/>
            <w:tcBorders>
              <w:top w:val="nil"/>
              <w:left w:val="nil"/>
              <w:bottom w:val="single" w:sz="4" w:space="0" w:color="auto"/>
              <w:right w:val="single" w:sz="4" w:space="0" w:color="auto"/>
            </w:tcBorders>
            <w:shd w:val="clear" w:color="auto" w:fill="auto"/>
            <w:noWrap/>
            <w:vAlign w:val="bottom"/>
            <w:hideMark/>
          </w:tcPr>
          <w:p w14:paraId="1AB471A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5.64</w:t>
            </w:r>
          </w:p>
        </w:tc>
      </w:tr>
      <w:tr w:rsidR="0067721A" w:rsidRPr="00430A79" w14:paraId="23F55815"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1411735A" w14:textId="6806B9B8"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BE2534">
              <w:rPr>
                <w:rFonts w:ascii="Arial Narrow" w:eastAsia="Calibri" w:hAnsi="Arial Narrow" w:cs="Calibri"/>
                <w:i/>
                <w:iCs/>
                <w:sz w:val="20"/>
                <w:szCs w:val="20"/>
                <w:lang w:val="sq-AL"/>
              </w:rPr>
              <w:t>Programi i kompostimit shtëpiak OPEX</w:t>
            </w:r>
          </w:p>
        </w:tc>
        <w:tc>
          <w:tcPr>
            <w:tcW w:w="479" w:type="pct"/>
            <w:tcBorders>
              <w:top w:val="nil"/>
              <w:left w:val="nil"/>
              <w:bottom w:val="single" w:sz="4" w:space="0" w:color="auto"/>
              <w:right w:val="single" w:sz="4" w:space="0" w:color="auto"/>
            </w:tcBorders>
            <w:shd w:val="clear" w:color="auto" w:fill="auto"/>
            <w:noWrap/>
            <w:vAlign w:val="bottom"/>
            <w:hideMark/>
          </w:tcPr>
          <w:p w14:paraId="7C82FD50"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3.17</w:t>
            </w:r>
          </w:p>
        </w:tc>
        <w:tc>
          <w:tcPr>
            <w:tcW w:w="523" w:type="pct"/>
            <w:tcBorders>
              <w:top w:val="nil"/>
              <w:left w:val="nil"/>
              <w:bottom w:val="single" w:sz="4" w:space="0" w:color="auto"/>
              <w:right w:val="single" w:sz="4" w:space="0" w:color="auto"/>
            </w:tcBorders>
            <w:shd w:val="clear" w:color="auto" w:fill="auto"/>
            <w:noWrap/>
            <w:vAlign w:val="bottom"/>
            <w:hideMark/>
          </w:tcPr>
          <w:p w14:paraId="483CDA0D"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3.17</w:t>
            </w:r>
          </w:p>
        </w:tc>
        <w:tc>
          <w:tcPr>
            <w:tcW w:w="479" w:type="pct"/>
            <w:tcBorders>
              <w:top w:val="nil"/>
              <w:left w:val="nil"/>
              <w:bottom w:val="single" w:sz="4" w:space="0" w:color="auto"/>
              <w:right w:val="single" w:sz="4" w:space="0" w:color="auto"/>
            </w:tcBorders>
            <w:shd w:val="clear" w:color="auto" w:fill="auto"/>
            <w:noWrap/>
            <w:vAlign w:val="bottom"/>
            <w:hideMark/>
          </w:tcPr>
          <w:p w14:paraId="61860574"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3.17</w:t>
            </w:r>
          </w:p>
        </w:tc>
        <w:tc>
          <w:tcPr>
            <w:tcW w:w="479" w:type="pct"/>
            <w:tcBorders>
              <w:top w:val="nil"/>
              <w:left w:val="nil"/>
              <w:bottom w:val="single" w:sz="4" w:space="0" w:color="auto"/>
              <w:right w:val="single" w:sz="4" w:space="0" w:color="auto"/>
            </w:tcBorders>
            <w:shd w:val="clear" w:color="auto" w:fill="auto"/>
            <w:noWrap/>
            <w:vAlign w:val="bottom"/>
            <w:hideMark/>
          </w:tcPr>
          <w:p w14:paraId="6D8C2015"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3.17</w:t>
            </w:r>
          </w:p>
        </w:tc>
        <w:tc>
          <w:tcPr>
            <w:tcW w:w="479" w:type="pct"/>
            <w:tcBorders>
              <w:top w:val="nil"/>
              <w:left w:val="nil"/>
              <w:bottom w:val="single" w:sz="4" w:space="0" w:color="auto"/>
              <w:right w:val="single" w:sz="4" w:space="0" w:color="auto"/>
            </w:tcBorders>
            <w:shd w:val="clear" w:color="auto" w:fill="auto"/>
            <w:noWrap/>
            <w:vAlign w:val="bottom"/>
            <w:hideMark/>
          </w:tcPr>
          <w:p w14:paraId="33B7C9E1"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3.17</w:t>
            </w:r>
          </w:p>
        </w:tc>
        <w:tc>
          <w:tcPr>
            <w:tcW w:w="479" w:type="pct"/>
            <w:tcBorders>
              <w:top w:val="nil"/>
              <w:left w:val="nil"/>
              <w:bottom w:val="single" w:sz="4" w:space="0" w:color="auto"/>
              <w:right w:val="single" w:sz="4" w:space="0" w:color="auto"/>
            </w:tcBorders>
            <w:shd w:val="clear" w:color="auto" w:fill="auto"/>
            <w:noWrap/>
            <w:vAlign w:val="bottom"/>
            <w:hideMark/>
          </w:tcPr>
          <w:p w14:paraId="2CC88725"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3.17</w:t>
            </w:r>
          </w:p>
        </w:tc>
      </w:tr>
      <w:tr w:rsidR="0067721A" w:rsidRPr="00430A79" w14:paraId="25F53102"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1640D59A" w14:textId="26FC22BE"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BE2534">
              <w:rPr>
                <w:rFonts w:ascii="Arial Narrow" w:eastAsia="Calibri" w:hAnsi="Arial Narrow" w:cs="Calibri"/>
                <w:i/>
                <w:iCs/>
                <w:sz w:val="20"/>
                <w:szCs w:val="20"/>
                <w:lang w:val="sq-AL"/>
              </w:rPr>
              <w:t xml:space="preserve">Impianti i klasifikimit të mbeturinave të grumbulluara </w:t>
            </w:r>
            <w:r>
              <w:rPr>
                <w:rFonts w:ascii="Arial Narrow" w:eastAsia="Calibri" w:hAnsi="Arial Narrow" w:cs="Calibri"/>
                <w:i/>
                <w:iCs/>
                <w:sz w:val="20"/>
                <w:szCs w:val="20"/>
                <w:lang w:val="sq-AL"/>
              </w:rPr>
              <w:t>ndaras</w:t>
            </w:r>
          </w:p>
        </w:tc>
        <w:tc>
          <w:tcPr>
            <w:tcW w:w="479" w:type="pct"/>
            <w:tcBorders>
              <w:top w:val="nil"/>
              <w:left w:val="nil"/>
              <w:bottom w:val="single" w:sz="4" w:space="0" w:color="auto"/>
              <w:right w:val="single" w:sz="4" w:space="0" w:color="auto"/>
            </w:tcBorders>
            <w:shd w:val="clear" w:color="auto" w:fill="auto"/>
            <w:noWrap/>
            <w:vAlign w:val="bottom"/>
            <w:hideMark/>
          </w:tcPr>
          <w:p w14:paraId="504F42B8"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14:paraId="0BBF7B84"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4BF2354B"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25F35CE2"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043F0D64"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01F16D27" w14:textId="77777777" w:rsidR="0067721A" w:rsidRPr="00430A79" w:rsidRDefault="0067721A" w:rsidP="0067721A">
            <w:pPr>
              <w:widowControl w:val="0"/>
              <w:autoSpaceDE w:val="0"/>
              <w:autoSpaceDN w:val="0"/>
              <w:spacing w:before="60" w:after="60"/>
              <w:ind w:right="123"/>
              <w:rPr>
                <w:rFonts w:ascii="Arial Narrow" w:eastAsia="Calibri" w:hAnsi="Arial Narrow" w:cs="Calibri"/>
                <w:i/>
                <w:iCs/>
                <w:sz w:val="20"/>
                <w:szCs w:val="20"/>
              </w:rPr>
            </w:pPr>
            <w:r w:rsidRPr="00430A79">
              <w:rPr>
                <w:rFonts w:ascii="Arial Narrow" w:eastAsia="Calibri" w:hAnsi="Arial Narrow" w:cs="Calibri"/>
                <w:i/>
                <w:iCs/>
                <w:sz w:val="20"/>
                <w:szCs w:val="20"/>
              </w:rPr>
              <w:t> </w:t>
            </w:r>
          </w:p>
        </w:tc>
      </w:tr>
      <w:tr w:rsidR="0067721A" w:rsidRPr="00430A79" w14:paraId="2A447420"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4A65EA47" w14:textId="397BF6D2"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e investimit</w:t>
            </w:r>
          </w:p>
        </w:tc>
        <w:tc>
          <w:tcPr>
            <w:tcW w:w="479" w:type="pct"/>
            <w:tcBorders>
              <w:top w:val="nil"/>
              <w:left w:val="nil"/>
              <w:bottom w:val="single" w:sz="4" w:space="0" w:color="auto"/>
              <w:right w:val="single" w:sz="4" w:space="0" w:color="auto"/>
            </w:tcBorders>
            <w:shd w:val="clear" w:color="auto" w:fill="auto"/>
            <w:noWrap/>
            <w:vAlign w:val="bottom"/>
            <w:hideMark/>
          </w:tcPr>
          <w:p w14:paraId="42D97A6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1.66</w:t>
            </w:r>
          </w:p>
        </w:tc>
        <w:tc>
          <w:tcPr>
            <w:tcW w:w="523" w:type="pct"/>
            <w:tcBorders>
              <w:top w:val="nil"/>
              <w:left w:val="nil"/>
              <w:bottom w:val="single" w:sz="4" w:space="0" w:color="auto"/>
              <w:right w:val="single" w:sz="4" w:space="0" w:color="auto"/>
            </w:tcBorders>
            <w:shd w:val="clear" w:color="auto" w:fill="auto"/>
            <w:noWrap/>
            <w:vAlign w:val="bottom"/>
            <w:hideMark/>
          </w:tcPr>
          <w:p w14:paraId="2C39049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1.66</w:t>
            </w:r>
          </w:p>
        </w:tc>
        <w:tc>
          <w:tcPr>
            <w:tcW w:w="479" w:type="pct"/>
            <w:tcBorders>
              <w:top w:val="nil"/>
              <w:left w:val="nil"/>
              <w:bottom w:val="single" w:sz="4" w:space="0" w:color="auto"/>
              <w:right w:val="single" w:sz="4" w:space="0" w:color="auto"/>
            </w:tcBorders>
            <w:shd w:val="clear" w:color="auto" w:fill="auto"/>
            <w:noWrap/>
            <w:vAlign w:val="bottom"/>
            <w:hideMark/>
          </w:tcPr>
          <w:p w14:paraId="227168B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1.66</w:t>
            </w:r>
          </w:p>
        </w:tc>
        <w:tc>
          <w:tcPr>
            <w:tcW w:w="479" w:type="pct"/>
            <w:tcBorders>
              <w:top w:val="nil"/>
              <w:left w:val="nil"/>
              <w:bottom w:val="single" w:sz="4" w:space="0" w:color="auto"/>
              <w:right w:val="single" w:sz="4" w:space="0" w:color="auto"/>
            </w:tcBorders>
            <w:shd w:val="clear" w:color="auto" w:fill="auto"/>
            <w:noWrap/>
            <w:vAlign w:val="bottom"/>
            <w:hideMark/>
          </w:tcPr>
          <w:p w14:paraId="73CB5B9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1.66</w:t>
            </w:r>
          </w:p>
        </w:tc>
        <w:tc>
          <w:tcPr>
            <w:tcW w:w="479" w:type="pct"/>
            <w:tcBorders>
              <w:top w:val="nil"/>
              <w:left w:val="nil"/>
              <w:bottom w:val="single" w:sz="4" w:space="0" w:color="auto"/>
              <w:right w:val="single" w:sz="4" w:space="0" w:color="auto"/>
            </w:tcBorders>
            <w:shd w:val="clear" w:color="auto" w:fill="auto"/>
            <w:noWrap/>
            <w:vAlign w:val="bottom"/>
            <w:hideMark/>
          </w:tcPr>
          <w:p w14:paraId="5B84CC20"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1.96</w:t>
            </w:r>
          </w:p>
        </w:tc>
        <w:tc>
          <w:tcPr>
            <w:tcW w:w="479" w:type="pct"/>
            <w:tcBorders>
              <w:top w:val="nil"/>
              <w:left w:val="nil"/>
              <w:bottom w:val="single" w:sz="4" w:space="0" w:color="auto"/>
              <w:right w:val="single" w:sz="4" w:space="0" w:color="auto"/>
            </w:tcBorders>
            <w:shd w:val="clear" w:color="auto" w:fill="auto"/>
            <w:noWrap/>
            <w:vAlign w:val="bottom"/>
            <w:hideMark/>
          </w:tcPr>
          <w:p w14:paraId="1097CA9C"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1.66</w:t>
            </w:r>
          </w:p>
        </w:tc>
      </w:tr>
      <w:tr w:rsidR="0067721A" w:rsidRPr="00430A79" w14:paraId="6232E5C8"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1F27C4F8" w14:textId="3F5AF2E2"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operacionale</w:t>
            </w:r>
          </w:p>
        </w:tc>
        <w:tc>
          <w:tcPr>
            <w:tcW w:w="479" w:type="pct"/>
            <w:tcBorders>
              <w:top w:val="nil"/>
              <w:left w:val="nil"/>
              <w:bottom w:val="single" w:sz="4" w:space="0" w:color="auto"/>
              <w:right w:val="single" w:sz="4" w:space="0" w:color="auto"/>
            </w:tcBorders>
            <w:shd w:val="clear" w:color="auto" w:fill="auto"/>
            <w:noWrap/>
            <w:vAlign w:val="bottom"/>
            <w:hideMark/>
          </w:tcPr>
          <w:p w14:paraId="53BC33A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6.56</w:t>
            </w:r>
          </w:p>
        </w:tc>
        <w:tc>
          <w:tcPr>
            <w:tcW w:w="523" w:type="pct"/>
            <w:tcBorders>
              <w:top w:val="nil"/>
              <w:left w:val="nil"/>
              <w:bottom w:val="single" w:sz="4" w:space="0" w:color="auto"/>
              <w:right w:val="single" w:sz="4" w:space="0" w:color="auto"/>
            </w:tcBorders>
            <w:shd w:val="clear" w:color="auto" w:fill="auto"/>
            <w:noWrap/>
            <w:vAlign w:val="bottom"/>
            <w:hideMark/>
          </w:tcPr>
          <w:p w14:paraId="7616C4DD"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6.56</w:t>
            </w:r>
          </w:p>
        </w:tc>
        <w:tc>
          <w:tcPr>
            <w:tcW w:w="479" w:type="pct"/>
            <w:tcBorders>
              <w:top w:val="nil"/>
              <w:left w:val="nil"/>
              <w:bottom w:val="single" w:sz="4" w:space="0" w:color="auto"/>
              <w:right w:val="single" w:sz="4" w:space="0" w:color="auto"/>
            </w:tcBorders>
            <w:shd w:val="clear" w:color="auto" w:fill="auto"/>
            <w:noWrap/>
            <w:vAlign w:val="bottom"/>
            <w:hideMark/>
          </w:tcPr>
          <w:p w14:paraId="628B56C2"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6.56</w:t>
            </w:r>
          </w:p>
        </w:tc>
        <w:tc>
          <w:tcPr>
            <w:tcW w:w="479" w:type="pct"/>
            <w:tcBorders>
              <w:top w:val="nil"/>
              <w:left w:val="nil"/>
              <w:bottom w:val="single" w:sz="4" w:space="0" w:color="auto"/>
              <w:right w:val="single" w:sz="4" w:space="0" w:color="auto"/>
            </w:tcBorders>
            <w:shd w:val="clear" w:color="auto" w:fill="auto"/>
            <w:noWrap/>
            <w:vAlign w:val="bottom"/>
            <w:hideMark/>
          </w:tcPr>
          <w:p w14:paraId="168C2FB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6.56</w:t>
            </w:r>
          </w:p>
        </w:tc>
        <w:tc>
          <w:tcPr>
            <w:tcW w:w="479" w:type="pct"/>
            <w:tcBorders>
              <w:top w:val="nil"/>
              <w:left w:val="nil"/>
              <w:bottom w:val="single" w:sz="4" w:space="0" w:color="auto"/>
              <w:right w:val="single" w:sz="4" w:space="0" w:color="auto"/>
            </w:tcBorders>
            <w:shd w:val="clear" w:color="auto" w:fill="auto"/>
            <w:noWrap/>
            <w:vAlign w:val="bottom"/>
            <w:hideMark/>
          </w:tcPr>
          <w:p w14:paraId="1B0F2DC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9.45</w:t>
            </w:r>
          </w:p>
        </w:tc>
        <w:tc>
          <w:tcPr>
            <w:tcW w:w="479" w:type="pct"/>
            <w:tcBorders>
              <w:top w:val="nil"/>
              <w:left w:val="nil"/>
              <w:bottom w:val="single" w:sz="4" w:space="0" w:color="auto"/>
              <w:right w:val="single" w:sz="4" w:space="0" w:color="auto"/>
            </w:tcBorders>
            <w:shd w:val="clear" w:color="auto" w:fill="auto"/>
            <w:noWrap/>
            <w:vAlign w:val="bottom"/>
            <w:hideMark/>
          </w:tcPr>
          <w:p w14:paraId="305C5B9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6.56</w:t>
            </w:r>
          </w:p>
        </w:tc>
      </w:tr>
      <w:tr w:rsidR="0067721A" w:rsidRPr="00430A79" w14:paraId="36DEC2E7"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55A60465" w14:textId="5D5F5576"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totale të impiantit të klasifikimit</w:t>
            </w:r>
          </w:p>
        </w:tc>
        <w:tc>
          <w:tcPr>
            <w:tcW w:w="479" w:type="pct"/>
            <w:tcBorders>
              <w:top w:val="nil"/>
              <w:left w:val="nil"/>
              <w:bottom w:val="single" w:sz="4" w:space="0" w:color="auto"/>
              <w:right w:val="single" w:sz="4" w:space="0" w:color="auto"/>
            </w:tcBorders>
            <w:shd w:val="clear" w:color="auto" w:fill="auto"/>
            <w:noWrap/>
            <w:vAlign w:val="bottom"/>
            <w:hideMark/>
          </w:tcPr>
          <w:p w14:paraId="5D036F4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8.22</w:t>
            </w:r>
          </w:p>
        </w:tc>
        <w:tc>
          <w:tcPr>
            <w:tcW w:w="523" w:type="pct"/>
            <w:tcBorders>
              <w:top w:val="nil"/>
              <w:left w:val="nil"/>
              <w:bottom w:val="single" w:sz="4" w:space="0" w:color="auto"/>
              <w:right w:val="single" w:sz="4" w:space="0" w:color="auto"/>
            </w:tcBorders>
            <w:shd w:val="clear" w:color="auto" w:fill="auto"/>
            <w:noWrap/>
            <w:vAlign w:val="bottom"/>
            <w:hideMark/>
          </w:tcPr>
          <w:p w14:paraId="67D00546"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8.22</w:t>
            </w:r>
          </w:p>
        </w:tc>
        <w:tc>
          <w:tcPr>
            <w:tcW w:w="479" w:type="pct"/>
            <w:tcBorders>
              <w:top w:val="nil"/>
              <w:left w:val="nil"/>
              <w:bottom w:val="single" w:sz="4" w:space="0" w:color="auto"/>
              <w:right w:val="single" w:sz="4" w:space="0" w:color="auto"/>
            </w:tcBorders>
            <w:shd w:val="clear" w:color="auto" w:fill="auto"/>
            <w:noWrap/>
            <w:vAlign w:val="bottom"/>
            <w:hideMark/>
          </w:tcPr>
          <w:p w14:paraId="3267478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8.22</w:t>
            </w:r>
          </w:p>
        </w:tc>
        <w:tc>
          <w:tcPr>
            <w:tcW w:w="479" w:type="pct"/>
            <w:tcBorders>
              <w:top w:val="nil"/>
              <w:left w:val="nil"/>
              <w:bottom w:val="single" w:sz="4" w:space="0" w:color="auto"/>
              <w:right w:val="single" w:sz="4" w:space="0" w:color="auto"/>
            </w:tcBorders>
            <w:shd w:val="clear" w:color="auto" w:fill="auto"/>
            <w:noWrap/>
            <w:vAlign w:val="bottom"/>
            <w:hideMark/>
          </w:tcPr>
          <w:p w14:paraId="3F2F5ACF"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8.22</w:t>
            </w:r>
          </w:p>
        </w:tc>
        <w:tc>
          <w:tcPr>
            <w:tcW w:w="479" w:type="pct"/>
            <w:tcBorders>
              <w:top w:val="nil"/>
              <w:left w:val="nil"/>
              <w:bottom w:val="single" w:sz="4" w:space="0" w:color="auto"/>
              <w:right w:val="single" w:sz="4" w:space="0" w:color="auto"/>
            </w:tcBorders>
            <w:shd w:val="clear" w:color="auto" w:fill="auto"/>
            <w:noWrap/>
            <w:vAlign w:val="bottom"/>
            <w:hideMark/>
          </w:tcPr>
          <w:p w14:paraId="16BB9876"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11.41</w:t>
            </w:r>
          </w:p>
        </w:tc>
        <w:tc>
          <w:tcPr>
            <w:tcW w:w="479" w:type="pct"/>
            <w:tcBorders>
              <w:top w:val="nil"/>
              <w:left w:val="nil"/>
              <w:bottom w:val="single" w:sz="4" w:space="0" w:color="auto"/>
              <w:right w:val="single" w:sz="4" w:space="0" w:color="auto"/>
            </w:tcBorders>
            <w:shd w:val="clear" w:color="auto" w:fill="auto"/>
            <w:noWrap/>
            <w:vAlign w:val="bottom"/>
            <w:hideMark/>
          </w:tcPr>
          <w:p w14:paraId="35D4918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8.22</w:t>
            </w:r>
          </w:p>
        </w:tc>
      </w:tr>
      <w:tr w:rsidR="0067721A" w:rsidRPr="00430A79" w14:paraId="2709B18C"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1AE7E4DF" w14:textId="1A82D0FF"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Trajtimi i mbetjurinave të përziera (TMB)</w:t>
            </w:r>
          </w:p>
        </w:tc>
        <w:tc>
          <w:tcPr>
            <w:tcW w:w="479" w:type="pct"/>
            <w:tcBorders>
              <w:top w:val="nil"/>
              <w:left w:val="nil"/>
              <w:bottom w:val="single" w:sz="4" w:space="0" w:color="auto"/>
              <w:right w:val="single" w:sz="4" w:space="0" w:color="auto"/>
            </w:tcBorders>
            <w:shd w:val="clear" w:color="auto" w:fill="auto"/>
            <w:noWrap/>
            <w:vAlign w:val="bottom"/>
            <w:hideMark/>
          </w:tcPr>
          <w:p w14:paraId="4D44076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p>
        </w:tc>
        <w:tc>
          <w:tcPr>
            <w:tcW w:w="523" w:type="pct"/>
            <w:tcBorders>
              <w:top w:val="nil"/>
              <w:left w:val="nil"/>
              <w:bottom w:val="single" w:sz="4" w:space="0" w:color="auto"/>
              <w:right w:val="single" w:sz="4" w:space="0" w:color="auto"/>
            </w:tcBorders>
            <w:shd w:val="clear" w:color="auto" w:fill="auto"/>
            <w:noWrap/>
            <w:vAlign w:val="bottom"/>
            <w:hideMark/>
          </w:tcPr>
          <w:p w14:paraId="45DC7300"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p>
        </w:tc>
        <w:tc>
          <w:tcPr>
            <w:tcW w:w="479" w:type="pct"/>
            <w:tcBorders>
              <w:top w:val="nil"/>
              <w:left w:val="nil"/>
              <w:bottom w:val="single" w:sz="4" w:space="0" w:color="auto"/>
              <w:right w:val="single" w:sz="4" w:space="0" w:color="auto"/>
            </w:tcBorders>
            <w:shd w:val="clear" w:color="auto" w:fill="auto"/>
            <w:noWrap/>
            <w:vAlign w:val="bottom"/>
            <w:hideMark/>
          </w:tcPr>
          <w:p w14:paraId="3534A18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p>
        </w:tc>
        <w:tc>
          <w:tcPr>
            <w:tcW w:w="479" w:type="pct"/>
            <w:tcBorders>
              <w:top w:val="nil"/>
              <w:left w:val="nil"/>
              <w:bottom w:val="single" w:sz="4" w:space="0" w:color="auto"/>
              <w:right w:val="single" w:sz="4" w:space="0" w:color="auto"/>
            </w:tcBorders>
            <w:shd w:val="clear" w:color="auto" w:fill="auto"/>
            <w:noWrap/>
            <w:vAlign w:val="bottom"/>
            <w:hideMark/>
          </w:tcPr>
          <w:p w14:paraId="3F25089D"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p>
        </w:tc>
        <w:tc>
          <w:tcPr>
            <w:tcW w:w="479" w:type="pct"/>
            <w:tcBorders>
              <w:top w:val="nil"/>
              <w:left w:val="nil"/>
              <w:bottom w:val="single" w:sz="4" w:space="0" w:color="auto"/>
              <w:right w:val="single" w:sz="4" w:space="0" w:color="auto"/>
            </w:tcBorders>
            <w:shd w:val="clear" w:color="auto" w:fill="auto"/>
            <w:noWrap/>
            <w:vAlign w:val="bottom"/>
            <w:hideMark/>
          </w:tcPr>
          <w:p w14:paraId="0AC849B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p>
        </w:tc>
        <w:tc>
          <w:tcPr>
            <w:tcW w:w="479" w:type="pct"/>
            <w:tcBorders>
              <w:top w:val="nil"/>
              <w:left w:val="nil"/>
              <w:bottom w:val="single" w:sz="4" w:space="0" w:color="auto"/>
              <w:right w:val="single" w:sz="4" w:space="0" w:color="auto"/>
            </w:tcBorders>
            <w:shd w:val="clear" w:color="auto" w:fill="auto"/>
            <w:noWrap/>
            <w:vAlign w:val="bottom"/>
            <w:hideMark/>
          </w:tcPr>
          <w:p w14:paraId="40C029A0"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p>
        </w:tc>
      </w:tr>
      <w:tr w:rsidR="0067721A" w:rsidRPr="00430A79" w14:paraId="7A2AA1C7"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39ED1A35" w14:textId="224EDCA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e investimit</w:t>
            </w:r>
          </w:p>
        </w:tc>
        <w:tc>
          <w:tcPr>
            <w:tcW w:w="479" w:type="pct"/>
            <w:tcBorders>
              <w:top w:val="nil"/>
              <w:left w:val="nil"/>
              <w:bottom w:val="single" w:sz="4" w:space="0" w:color="auto"/>
              <w:right w:val="single" w:sz="4" w:space="0" w:color="auto"/>
            </w:tcBorders>
            <w:shd w:val="clear" w:color="auto" w:fill="auto"/>
            <w:noWrap/>
            <w:vAlign w:val="bottom"/>
            <w:hideMark/>
          </w:tcPr>
          <w:p w14:paraId="58132EA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8.24</w:t>
            </w:r>
          </w:p>
        </w:tc>
        <w:tc>
          <w:tcPr>
            <w:tcW w:w="523" w:type="pct"/>
            <w:tcBorders>
              <w:top w:val="nil"/>
              <w:left w:val="nil"/>
              <w:bottom w:val="single" w:sz="4" w:space="0" w:color="auto"/>
              <w:right w:val="single" w:sz="4" w:space="0" w:color="auto"/>
            </w:tcBorders>
            <w:shd w:val="clear" w:color="auto" w:fill="auto"/>
            <w:noWrap/>
            <w:vAlign w:val="bottom"/>
            <w:hideMark/>
          </w:tcPr>
          <w:p w14:paraId="72F0CC5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8.24</w:t>
            </w:r>
          </w:p>
        </w:tc>
        <w:tc>
          <w:tcPr>
            <w:tcW w:w="479" w:type="pct"/>
            <w:tcBorders>
              <w:top w:val="nil"/>
              <w:left w:val="nil"/>
              <w:bottom w:val="single" w:sz="4" w:space="0" w:color="auto"/>
              <w:right w:val="single" w:sz="4" w:space="0" w:color="auto"/>
            </w:tcBorders>
            <w:shd w:val="clear" w:color="auto" w:fill="auto"/>
            <w:noWrap/>
            <w:vAlign w:val="bottom"/>
            <w:hideMark/>
          </w:tcPr>
          <w:p w14:paraId="1ADC67D2"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8.24</w:t>
            </w:r>
          </w:p>
        </w:tc>
        <w:tc>
          <w:tcPr>
            <w:tcW w:w="479" w:type="pct"/>
            <w:tcBorders>
              <w:top w:val="nil"/>
              <w:left w:val="nil"/>
              <w:bottom w:val="single" w:sz="4" w:space="0" w:color="auto"/>
              <w:right w:val="single" w:sz="4" w:space="0" w:color="auto"/>
            </w:tcBorders>
            <w:shd w:val="clear" w:color="auto" w:fill="auto"/>
            <w:noWrap/>
            <w:vAlign w:val="bottom"/>
            <w:hideMark/>
          </w:tcPr>
          <w:p w14:paraId="1487B5F0"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8.24</w:t>
            </w:r>
          </w:p>
        </w:tc>
        <w:tc>
          <w:tcPr>
            <w:tcW w:w="479" w:type="pct"/>
            <w:tcBorders>
              <w:top w:val="nil"/>
              <w:left w:val="nil"/>
              <w:bottom w:val="single" w:sz="4" w:space="0" w:color="auto"/>
              <w:right w:val="single" w:sz="4" w:space="0" w:color="auto"/>
            </w:tcBorders>
            <w:shd w:val="clear" w:color="auto" w:fill="auto"/>
            <w:noWrap/>
            <w:vAlign w:val="bottom"/>
            <w:hideMark/>
          </w:tcPr>
          <w:p w14:paraId="355B791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8.24</w:t>
            </w:r>
          </w:p>
        </w:tc>
        <w:tc>
          <w:tcPr>
            <w:tcW w:w="479" w:type="pct"/>
            <w:tcBorders>
              <w:top w:val="nil"/>
              <w:left w:val="nil"/>
              <w:bottom w:val="single" w:sz="4" w:space="0" w:color="auto"/>
              <w:right w:val="single" w:sz="4" w:space="0" w:color="auto"/>
            </w:tcBorders>
            <w:shd w:val="clear" w:color="auto" w:fill="auto"/>
            <w:noWrap/>
            <w:vAlign w:val="bottom"/>
            <w:hideMark/>
          </w:tcPr>
          <w:p w14:paraId="1140B34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8.24</w:t>
            </w:r>
          </w:p>
        </w:tc>
      </w:tr>
      <w:tr w:rsidR="0067721A" w:rsidRPr="00430A79" w14:paraId="5D43ADB0"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508D3A37" w14:textId="6231B7A4"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operacionale</w:t>
            </w:r>
          </w:p>
        </w:tc>
        <w:tc>
          <w:tcPr>
            <w:tcW w:w="479" w:type="pct"/>
            <w:tcBorders>
              <w:top w:val="nil"/>
              <w:left w:val="nil"/>
              <w:bottom w:val="single" w:sz="4" w:space="0" w:color="auto"/>
              <w:right w:val="single" w:sz="4" w:space="0" w:color="auto"/>
            </w:tcBorders>
            <w:shd w:val="clear" w:color="auto" w:fill="auto"/>
            <w:noWrap/>
            <w:vAlign w:val="bottom"/>
            <w:hideMark/>
          </w:tcPr>
          <w:p w14:paraId="54FF319C"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7.94</w:t>
            </w:r>
          </w:p>
        </w:tc>
        <w:tc>
          <w:tcPr>
            <w:tcW w:w="523" w:type="pct"/>
            <w:tcBorders>
              <w:top w:val="nil"/>
              <w:left w:val="nil"/>
              <w:bottom w:val="single" w:sz="4" w:space="0" w:color="auto"/>
              <w:right w:val="single" w:sz="4" w:space="0" w:color="auto"/>
            </w:tcBorders>
            <w:shd w:val="clear" w:color="auto" w:fill="auto"/>
            <w:noWrap/>
            <w:vAlign w:val="bottom"/>
            <w:hideMark/>
          </w:tcPr>
          <w:p w14:paraId="5D1F2182"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7.94</w:t>
            </w:r>
          </w:p>
        </w:tc>
        <w:tc>
          <w:tcPr>
            <w:tcW w:w="479" w:type="pct"/>
            <w:tcBorders>
              <w:top w:val="nil"/>
              <w:left w:val="nil"/>
              <w:bottom w:val="single" w:sz="4" w:space="0" w:color="auto"/>
              <w:right w:val="single" w:sz="4" w:space="0" w:color="auto"/>
            </w:tcBorders>
            <w:shd w:val="clear" w:color="auto" w:fill="auto"/>
            <w:noWrap/>
            <w:vAlign w:val="bottom"/>
            <w:hideMark/>
          </w:tcPr>
          <w:p w14:paraId="0E55716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7.94</w:t>
            </w:r>
          </w:p>
        </w:tc>
        <w:tc>
          <w:tcPr>
            <w:tcW w:w="479" w:type="pct"/>
            <w:tcBorders>
              <w:top w:val="nil"/>
              <w:left w:val="nil"/>
              <w:bottom w:val="single" w:sz="4" w:space="0" w:color="auto"/>
              <w:right w:val="single" w:sz="4" w:space="0" w:color="auto"/>
            </w:tcBorders>
            <w:shd w:val="clear" w:color="auto" w:fill="auto"/>
            <w:noWrap/>
            <w:vAlign w:val="bottom"/>
            <w:hideMark/>
          </w:tcPr>
          <w:p w14:paraId="7EEBB1C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7.94</w:t>
            </w:r>
          </w:p>
        </w:tc>
        <w:tc>
          <w:tcPr>
            <w:tcW w:w="479" w:type="pct"/>
            <w:tcBorders>
              <w:top w:val="nil"/>
              <w:left w:val="nil"/>
              <w:bottom w:val="single" w:sz="4" w:space="0" w:color="auto"/>
              <w:right w:val="single" w:sz="4" w:space="0" w:color="auto"/>
            </w:tcBorders>
            <w:shd w:val="clear" w:color="auto" w:fill="auto"/>
            <w:noWrap/>
            <w:vAlign w:val="bottom"/>
            <w:hideMark/>
          </w:tcPr>
          <w:p w14:paraId="33106F85"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7.96</w:t>
            </w:r>
          </w:p>
        </w:tc>
        <w:tc>
          <w:tcPr>
            <w:tcW w:w="479" w:type="pct"/>
            <w:tcBorders>
              <w:top w:val="nil"/>
              <w:left w:val="nil"/>
              <w:bottom w:val="single" w:sz="4" w:space="0" w:color="auto"/>
              <w:right w:val="single" w:sz="4" w:space="0" w:color="auto"/>
            </w:tcBorders>
            <w:shd w:val="clear" w:color="auto" w:fill="auto"/>
            <w:noWrap/>
            <w:vAlign w:val="bottom"/>
            <w:hideMark/>
          </w:tcPr>
          <w:p w14:paraId="189312C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7.94</w:t>
            </w:r>
          </w:p>
        </w:tc>
      </w:tr>
      <w:tr w:rsidR="0067721A" w:rsidRPr="00430A79" w14:paraId="46A0E1F6"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086B1388" w14:textId="5D601306"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totale të TMB</w:t>
            </w:r>
          </w:p>
        </w:tc>
        <w:tc>
          <w:tcPr>
            <w:tcW w:w="479" w:type="pct"/>
            <w:tcBorders>
              <w:top w:val="nil"/>
              <w:left w:val="nil"/>
              <w:bottom w:val="single" w:sz="4" w:space="0" w:color="auto"/>
              <w:right w:val="single" w:sz="4" w:space="0" w:color="auto"/>
            </w:tcBorders>
            <w:shd w:val="clear" w:color="auto" w:fill="auto"/>
            <w:noWrap/>
            <w:vAlign w:val="bottom"/>
            <w:hideMark/>
          </w:tcPr>
          <w:p w14:paraId="0ED8ECAD"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16.18</w:t>
            </w:r>
          </w:p>
        </w:tc>
        <w:tc>
          <w:tcPr>
            <w:tcW w:w="523" w:type="pct"/>
            <w:tcBorders>
              <w:top w:val="nil"/>
              <w:left w:val="nil"/>
              <w:bottom w:val="single" w:sz="4" w:space="0" w:color="auto"/>
              <w:right w:val="single" w:sz="4" w:space="0" w:color="auto"/>
            </w:tcBorders>
            <w:shd w:val="clear" w:color="auto" w:fill="auto"/>
            <w:noWrap/>
            <w:vAlign w:val="bottom"/>
            <w:hideMark/>
          </w:tcPr>
          <w:p w14:paraId="32FC590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16.18</w:t>
            </w:r>
          </w:p>
        </w:tc>
        <w:tc>
          <w:tcPr>
            <w:tcW w:w="479" w:type="pct"/>
            <w:tcBorders>
              <w:top w:val="nil"/>
              <w:left w:val="nil"/>
              <w:bottom w:val="single" w:sz="4" w:space="0" w:color="auto"/>
              <w:right w:val="single" w:sz="4" w:space="0" w:color="auto"/>
            </w:tcBorders>
            <w:shd w:val="clear" w:color="auto" w:fill="auto"/>
            <w:noWrap/>
            <w:vAlign w:val="bottom"/>
            <w:hideMark/>
          </w:tcPr>
          <w:p w14:paraId="15F0338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16.18</w:t>
            </w:r>
          </w:p>
        </w:tc>
        <w:tc>
          <w:tcPr>
            <w:tcW w:w="479" w:type="pct"/>
            <w:tcBorders>
              <w:top w:val="nil"/>
              <w:left w:val="nil"/>
              <w:bottom w:val="single" w:sz="4" w:space="0" w:color="auto"/>
              <w:right w:val="single" w:sz="4" w:space="0" w:color="auto"/>
            </w:tcBorders>
            <w:shd w:val="clear" w:color="auto" w:fill="auto"/>
            <w:noWrap/>
            <w:vAlign w:val="bottom"/>
            <w:hideMark/>
          </w:tcPr>
          <w:p w14:paraId="3AF51DD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16.18</w:t>
            </w:r>
          </w:p>
        </w:tc>
        <w:tc>
          <w:tcPr>
            <w:tcW w:w="479" w:type="pct"/>
            <w:tcBorders>
              <w:top w:val="nil"/>
              <w:left w:val="nil"/>
              <w:bottom w:val="single" w:sz="4" w:space="0" w:color="auto"/>
              <w:right w:val="single" w:sz="4" w:space="0" w:color="auto"/>
            </w:tcBorders>
            <w:shd w:val="clear" w:color="auto" w:fill="auto"/>
            <w:noWrap/>
            <w:vAlign w:val="bottom"/>
            <w:hideMark/>
          </w:tcPr>
          <w:p w14:paraId="6887184C"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16.20</w:t>
            </w:r>
          </w:p>
        </w:tc>
        <w:tc>
          <w:tcPr>
            <w:tcW w:w="479" w:type="pct"/>
            <w:tcBorders>
              <w:top w:val="nil"/>
              <w:left w:val="nil"/>
              <w:bottom w:val="single" w:sz="4" w:space="0" w:color="auto"/>
              <w:right w:val="single" w:sz="4" w:space="0" w:color="auto"/>
            </w:tcBorders>
            <w:shd w:val="clear" w:color="auto" w:fill="auto"/>
            <w:noWrap/>
            <w:vAlign w:val="bottom"/>
            <w:hideMark/>
          </w:tcPr>
          <w:p w14:paraId="21BC0F3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16.18</w:t>
            </w:r>
          </w:p>
        </w:tc>
      </w:tr>
      <w:tr w:rsidR="0067721A" w:rsidRPr="00430A79" w14:paraId="105AE486"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2509758F" w14:textId="6591F605"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Tretje anaerobe</w:t>
            </w:r>
          </w:p>
        </w:tc>
        <w:tc>
          <w:tcPr>
            <w:tcW w:w="479" w:type="pct"/>
            <w:tcBorders>
              <w:top w:val="nil"/>
              <w:left w:val="nil"/>
              <w:bottom w:val="single" w:sz="4" w:space="0" w:color="auto"/>
              <w:right w:val="single" w:sz="4" w:space="0" w:color="auto"/>
            </w:tcBorders>
            <w:shd w:val="clear" w:color="auto" w:fill="auto"/>
            <w:noWrap/>
            <w:vAlign w:val="bottom"/>
            <w:hideMark/>
          </w:tcPr>
          <w:p w14:paraId="76EFA498"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14:paraId="628A5D8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71328C5B"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3B3F857B"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0EF0946E"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3E7B0425"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 </w:t>
            </w:r>
          </w:p>
        </w:tc>
      </w:tr>
      <w:tr w:rsidR="0067721A" w:rsidRPr="00430A79" w14:paraId="66F8D087"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09FD9D6F" w14:textId="039110D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e investimit</w:t>
            </w:r>
          </w:p>
        </w:tc>
        <w:tc>
          <w:tcPr>
            <w:tcW w:w="479" w:type="pct"/>
            <w:tcBorders>
              <w:top w:val="nil"/>
              <w:left w:val="nil"/>
              <w:bottom w:val="single" w:sz="4" w:space="0" w:color="auto"/>
              <w:right w:val="single" w:sz="4" w:space="0" w:color="auto"/>
            </w:tcBorders>
            <w:shd w:val="clear" w:color="auto" w:fill="auto"/>
            <w:noWrap/>
            <w:vAlign w:val="bottom"/>
            <w:hideMark/>
          </w:tcPr>
          <w:p w14:paraId="618D5A0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2.00</w:t>
            </w:r>
          </w:p>
        </w:tc>
        <w:tc>
          <w:tcPr>
            <w:tcW w:w="523" w:type="pct"/>
            <w:tcBorders>
              <w:top w:val="nil"/>
              <w:left w:val="nil"/>
              <w:bottom w:val="single" w:sz="4" w:space="0" w:color="auto"/>
              <w:right w:val="single" w:sz="4" w:space="0" w:color="auto"/>
            </w:tcBorders>
            <w:shd w:val="clear" w:color="auto" w:fill="auto"/>
            <w:noWrap/>
            <w:vAlign w:val="bottom"/>
            <w:hideMark/>
          </w:tcPr>
          <w:p w14:paraId="06C2B86D"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2.00</w:t>
            </w:r>
          </w:p>
        </w:tc>
        <w:tc>
          <w:tcPr>
            <w:tcW w:w="479" w:type="pct"/>
            <w:tcBorders>
              <w:top w:val="nil"/>
              <w:left w:val="nil"/>
              <w:bottom w:val="single" w:sz="4" w:space="0" w:color="auto"/>
              <w:right w:val="single" w:sz="4" w:space="0" w:color="auto"/>
            </w:tcBorders>
            <w:shd w:val="clear" w:color="auto" w:fill="auto"/>
            <w:noWrap/>
            <w:vAlign w:val="bottom"/>
            <w:hideMark/>
          </w:tcPr>
          <w:p w14:paraId="7729DBD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2.00</w:t>
            </w:r>
          </w:p>
        </w:tc>
        <w:tc>
          <w:tcPr>
            <w:tcW w:w="479" w:type="pct"/>
            <w:tcBorders>
              <w:top w:val="nil"/>
              <w:left w:val="nil"/>
              <w:bottom w:val="single" w:sz="4" w:space="0" w:color="auto"/>
              <w:right w:val="single" w:sz="4" w:space="0" w:color="auto"/>
            </w:tcBorders>
            <w:shd w:val="clear" w:color="auto" w:fill="auto"/>
            <w:noWrap/>
            <w:vAlign w:val="bottom"/>
            <w:hideMark/>
          </w:tcPr>
          <w:p w14:paraId="1BE330A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1.55</w:t>
            </w:r>
          </w:p>
        </w:tc>
        <w:tc>
          <w:tcPr>
            <w:tcW w:w="479" w:type="pct"/>
            <w:tcBorders>
              <w:top w:val="nil"/>
              <w:left w:val="nil"/>
              <w:bottom w:val="single" w:sz="4" w:space="0" w:color="auto"/>
              <w:right w:val="single" w:sz="4" w:space="0" w:color="auto"/>
            </w:tcBorders>
            <w:shd w:val="clear" w:color="auto" w:fill="auto"/>
            <w:noWrap/>
            <w:vAlign w:val="bottom"/>
            <w:hideMark/>
          </w:tcPr>
          <w:p w14:paraId="75CD577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1.20</w:t>
            </w:r>
          </w:p>
        </w:tc>
        <w:tc>
          <w:tcPr>
            <w:tcW w:w="479" w:type="pct"/>
            <w:tcBorders>
              <w:top w:val="nil"/>
              <w:left w:val="nil"/>
              <w:bottom w:val="single" w:sz="4" w:space="0" w:color="auto"/>
              <w:right w:val="single" w:sz="4" w:space="0" w:color="auto"/>
            </w:tcBorders>
            <w:shd w:val="clear" w:color="auto" w:fill="auto"/>
            <w:noWrap/>
            <w:vAlign w:val="bottom"/>
            <w:hideMark/>
          </w:tcPr>
          <w:p w14:paraId="61A08AC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2.00</w:t>
            </w:r>
          </w:p>
        </w:tc>
      </w:tr>
      <w:tr w:rsidR="0067721A" w:rsidRPr="00430A79" w14:paraId="3A461452"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7264BBE2" w14:textId="7B4B51F4"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operacionale</w:t>
            </w:r>
          </w:p>
        </w:tc>
        <w:tc>
          <w:tcPr>
            <w:tcW w:w="479" w:type="pct"/>
            <w:tcBorders>
              <w:top w:val="nil"/>
              <w:left w:val="nil"/>
              <w:bottom w:val="single" w:sz="4" w:space="0" w:color="auto"/>
              <w:right w:val="single" w:sz="4" w:space="0" w:color="auto"/>
            </w:tcBorders>
            <w:shd w:val="clear" w:color="auto" w:fill="auto"/>
            <w:noWrap/>
            <w:vAlign w:val="bottom"/>
            <w:hideMark/>
          </w:tcPr>
          <w:p w14:paraId="1D88BC1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2.34</w:t>
            </w:r>
          </w:p>
        </w:tc>
        <w:tc>
          <w:tcPr>
            <w:tcW w:w="523" w:type="pct"/>
            <w:tcBorders>
              <w:top w:val="nil"/>
              <w:left w:val="nil"/>
              <w:bottom w:val="single" w:sz="4" w:space="0" w:color="auto"/>
              <w:right w:val="single" w:sz="4" w:space="0" w:color="auto"/>
            </w:tcBorders>
            <w:shd w:val="clear" w:color="auto" w:fill="auto"/>
            <w:noWrap/>
            <w:vAlign w:val="bottom"/>
            <w:hideMark/>
          </w:tcPr>
          <w:p w14:paraId="21A3D8D4"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2.34</w:t>
            </w:r>
          </w:p>
        </w:tc>
        <w:tc>
          <w:tcPr>
            <w:tcW w:w="479" w:type="pct"/>
            <w:tcBorders>
              <w:top w:val="nil"/>
              <w:left w:val="nil"/>
              <w:bottom w:val="single" w:sz="4" w:space="0" w:color="auto"/>
              <w:right w:val="single" w:sz="4" w:space="0" w:color="auto"/>
            </w:tcBorders>
            <w:shd w:val="clear" w:color="auto" w:fill="auto"/>
            <w:noWrap/>
            <w:vAlign w:val="bottom"/>
            <w:hideMark/>
          </w:tcPr>
          <w:p w14:paraId="25C2122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1.67</w:t>
            </w:r>
          </w:p>
        </w:tc>
        <w:tc>
          <w:tcPr>
            <w:tcW w:w="479" w:type="pct"/>
            <w:tcBorders>
              <w:top w:val="nil"/>
              <w:left w:val="nil"/>
              <w:bottom w:val="single" w:sz="4" w:space="0" w:color="auto"/>
              <w:right w:val="single" w:sz="4" w:space="0" w:color="auto"/>
            </w:tcBorders>
            <w:shd w:val="clear" w:color="auto" w:fill="auto"/>
            <w:noWrap/>
            <w:vAlign w:val="bottom"/>
            <w:hideMark/>
          </w:tcPr>
          <w:p w14:paraId="213E896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1.78</w:t>
            </w:r>
          </w:p>
        </w:tc>
        <w:tc>
          <w:tcPr>
            <w:tcW w:w="479" w:type="pct"/>
            <w:tcBorders>
              <w:top w:val="nil"/>
              <w:left w:val="nil"/>
              <w:bottom w:val="single" w:sz="4" w:space="0" w:color="auto"/>
              <w:right w:val="single" w:sz="4" w:space="0" w:color="auto"/>
            </w:tcBorders>
            <w:shd w:val="clear" w:color="auto" w:fill="auto"/>
            <w:noWrap/>
            <w:vAlign w:val="bottom"/>
            <w:hideMark/>
          </w:tcPr>
          <w:p w14:paraId="77291EB5"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1.67</w:t>
            </w:r>
          </w:p>
        </w:tc>
        <w:tc>
          <w:tcPr>
            <w:tcW w:w="479" w:type="pct"/>
            <w:tcBorders>
              <w:top w:val="nil"/>
              <w:left w:val="nil"/>
              <w:bottom w:val="single" w:sz="4" w:space="0" w:color="auto"/>
              <w:right w:val="single" w:sz="4" w:space="0" w:color="auto"/>
            </w:tcBorders>
            <w:shd w:val="clear" w:color="auto" w:fill="auto"/>
            <w:noWrap/>
            <w:vAlign w:val="bottom"/>
            <w:hideMark/>
          </w:tcPr>
          <w:p w14:paraId="7F8C091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2.34</w:t>
            </w:r>
          </w:p>
        </w:tc>
      </w:tr>
      <w:tr w:rsidR="0067721A" w:rsidRPr="00430A79" w14:paraId="13103DE3"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2D865A98" w14:textId="16D1EFBC"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 xml:space="preserve">Kostot totale të </w:t>
            </w:r>
            <w:r>
              <w:rPr>
                <w:rFonts w:ascii="Arial Narrow" w:eastAsia="Calibri" w:hAnsi="Arial Narrow" w:cs="Calibri"/>
                <w:sz w:val="20"/>
                <w:szCs w:val="20"/>
                <w:lang w:val="sq-AL"/>
              </w:rPr>
              <w:t>T</w:t>
            </w:r>
            <w:r w:rsidRPr="00BE2534">
              <w:rPr>
                <w:rFonts w:ascii="Arial Narrow" w:eastAsia="Calibri" w:hAnsi="Arial Narrow" w:cs="Calibri"/>
                <w:sz w:val="20"/>
                <w:szCs w:val="20"/>
                <w:lang w:val="sq-AL"/>
              </w:rPr>
              <w:t>A</w:t>
            </w:r>
          </w:p>
        </w:tc>
        <w:tc>
          <w:tcPr>
            <w:tcW w:w="479" w:type="pct"/>
            <w:tcBorders>
              <w:top w:val="nil"/>
              <w:left w:val="nil"/>
              <w:bottom w:val="single" w:sz="4" w:space="0" w:color="auto"/>
              <w:right w:val="single" w:sz="4" w:space="0" w:color="auto"/>
            </w:tcBorders>
            <w:shd w:val="clear" w:color="auto" w:fill="auto"/>
            <w:noWrap/>
            <w:vAlign w:val="bottom"/>
            <w:hideMark/>
          </w:tcPr>
          <w:p w14:paraId="164E33A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4.34</w:t>
            </w:r>
          </w:p>
        </w:tc>
        <w:tc>
          <w:tcPr>
            <w:tcW w:w="523" w:type="pct"/>
            <w:tcBorders>
              <w:top w:val="nil"/>
              <w:left w:val="nil"/>
              <w:bottom w:val="single" w:sz="4" w:space="0" w:color="auto"/>
              <w:right w:val="single" w:sz="4" w:space="0" w:color="auto"/>
            </w:tcBorders>
            <w:shd w:val="clear" w:color="auto" w:fill="auto"/>
            <w:noWrap/>
            <w:vAlign w:val="bottom"/>
            <w:hideMark/>
          </w:tcPr>
          <w:p w14:paraId="5120CE4F"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4.34</w:t>
            </w:r>
          </w:p>
        </w:tc>
        <w:tc>
          <w:tcPr>
            <w:tcW w:w="479" w:type="pct"/>
            <w:tcBorders>
              <w:top w:val="nil"/>
              <w:left w:val="nil"/>
              <w:bottom w:val="single" w:sz="4" w:space="0" w:color="auto"/>
              <w:right w:val="single" w:sz="4" w:space="0" w:color="auto"/>
            </w:tcBorders>
            <w:shd w:val="clear" w:color="auto" w:fill="auto"/>
            <w:noWrap/>
            <w:vAlign w:val="bottom"/>
            <w:hideMark/>
          </w:tcPr>
          <w:p w14:paraId="72978676"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3.67</w:t>
            </w:r>
          </w:p>
        </w:tc>
        <w:tc>
          <w:tcPr>
            <w:tcW w:w="479" w:type="pct"/>
            <w:tcBorders>
              <w:top w:val="nil"/>
              <w:left w:val="nil"/>
              <w:bottom w:val="single" w:sz="4" w:space="0" w:color="auto"/>
              <w:right w:val="single" w:sz="4" w:space="0" w:color="auto"/>
            </w:tcBorders>
            <w:shd w:val="clear" w:color="auto" w:fill="auto"/>
            <w:noWrap/>
            <w:vAlign w:val="bottom"/>
            <w:hideMark/>
          </w:tcPr>
          <w:p w14:paraId="3A0E4DEF"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3.33</w:t>
            </w:r>
          </w:p>
        </w:tc>
        <w:tc>
          <w:tcPr>
            <w:tcW w:w="479" w:type="pct"/>
            <w:tcBorders>
              <w:top w:val="nil"/>
              <w:left w:val="nil"/>
              <w:bottom w:val="single" w:sz="4" w:space="0" w:color="auto"/>
              <w:right w:val="single" w:sz="4" w:space="0" w:color="auto"/>
            </w:tcBorders>
            <w:shd w:val="clear" w:color="auto" w:fill="auto"/>
            <w:noWrap/>
            <w:vAlign w:val="bottom"/>
            <w:hideMark/>
          </w:tcPr>
          <w:p w14:paraId="51D0A76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2.87</w:t>
            </w:r>
          </w:p>
        </w:tc>
        <w:tc>
          <w:tcPr>
            <w:tcW w:w="479" w:type="pct"/>
            <w:tcBorders>
              <w:top w:val="nil"/>
              <w:left w:val="nil"/>
              <w:bottom w:val="single" w:sz="4" w:space="0" w:color="auto"/>
              <w:right w:val="single" w:sz="4" w:space="0" w:color="auto"/>
            </w:tcBorders>
            <w:shd w:val="clear" w:color="auto" w:fill="auto"/>
            <w:noWrap/>
            <w:vAlign w:val="bottom"/>
            <w:hideMark/>
          </w:tcPr>
          <w:p w14:paraId="4CB33BF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4.34</w:t>
            </w:r>
          </w:p>
        </w:tc>
      </w:tr>
      <w:tr w:rsidR="0067721A" w:rsidRPr="00430A79" w14:paraId="19EE6EC7"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7122E80E" w14:textId="247433C8"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e rikuperimit të RDF/KDM</w:t>
            </w:r>
          </w:p>
        </w:tc>
        <w:tc>
          <w:tcPr>
            <w:tcW w:w="479" w:type="pct"/>
            <w:tcBorders>
              <w:top w:val="nil"/>
              <w:left w:val="nil"/>
              <w:bottom w:val="single" w:sz="4" w:space="0" w:color="auto"/>
              <w:right w:val="single" w:sz="4" w:space="0" w:color="auto"/>
            </w:tcBorders>
            <w:shd w:val="clear" w:color="auto" w:fill="auto"/>
            <w:noWrap/>
            <w:vAlign w:val="bottom"/>
            <w:hideMark/>
          </w:tcPr>
          <w:p w14:paraId="632D62EF"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1.63</w:t>
            </w:r>
          </w:p>
        </w:tc>
        <w:tc>
          <w:tcPr>
            <w:tcW w:w="523" w:type="pct"/>
            <w:tcBorders>
              <w:top w:val="nil"/>
              <w:left w:val="nil"/>
              <w:bottom w:val="single" w:sz="4" w:space="0" w:color="auto"/>
              <w:right w:val="single" w:sz="4" w:space="0" w:color="auto"/>
            </w:tcBorders>
            <w:shd w:val="clear" w:color="auto" w:fill="auto"/>
            <w:noWrap/>
            <w:vAlign w:val="bottom"/>
            <w:hideMark/>
          </w:tcPr>
          <w:p w14:paraId="5F3962C8"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1.63</w:t>
            </w:r>
          </w:p>
        </w:tc>
        <w:tc>
          <w:tcPr>
            <w:tcW w:w="479" w:type="pct"/>
            <w:tcBorders>
              <w:top w:val="nil"/>
              <w:left w:val="nil"/>
              <w:bottom w:val="single" w:sz="4" w:space="0" w:color="auto"/>
              <w:right w:val="single" w:sz="4" w:space="0" w:color="auto"/>
            </w:tcBorders>
            <w:shd w:val="clear" w:color="auto" w:fill="auto"/>
            <w:noWrap/>
            <w:vAlign w:val="bottom"/>
            <w:hideMark/>
          </w:tcPr>
          <w:p w14:paraId="378F8B7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1.63</w:t>
            </w:r>
          </w:p>
        </w:tc>
        <w:tc>
          <w:tcPr>
            <w:tcW w:w="479" w:type="pct"/>
            <w:tcBorders>
              <w:top w:val="nil"/>
              <w:left w:val="nil"/>
              <w:bottom w:val="single" w:sz="4" w:space="0" w:color="auto"/>
              <w:right w:val="single" w:sz="4" w:space="0" w:color="auto"/>
            </w:tcBorders>
            <w:shd w:val="clear" w:color="auto" w:fill="auto"/>
            <w:noWrap/>
            <w:vAlign w:val="bottom"/>
            <w:hideMark/>
          </w:tcPr>
          <w:p w14:paraId="18E54066"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1.63</w:t>
            </w:r>
          </w:p>
        </w:tc>
        <w:tc>
          <w:tcPr>
            <w:tcW w:w="479" w:type="pct"/>
            <w:tcBorders>
              <w:top w:val="nil"/>
              <w:left w:val="nil"/>
              <w:bottom w:val="single" w:sz="4" w:space="0" w:color="auto"/>
              <w:right w:val="single" w:sz="4" w:space="0" w:color="auto"/>
            </w:tcBorders>
            <w:shd w:val="clear" w:color="auto" w:fill="auto"/>
            <w:noWrap/>
            <w:vAlign w:val="bottom"/>
            <w:hideMark/>
          </w:tcPr>
          <w:p w14:paraId="2DE4546F"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1.63</w:t>
            </w:r>
          </w:p>
        </w:tc>
        <w:tc>
          <w:tcPr>
            <w:tcW w:w="479" w:type="pct"/>
            <w:tcBorders>
              <w:top w:val="nil"/>
              <w:left w:val="nil"/>
              <w:bottom w:val="single" w:sz="4" w:space="0" w:color="auto"/>
              <w:right w:val="single" w:sz="4" w:space="0" w:color="auto"/>
            </w:tcBorders>
            <w:shd w:val="clear" w:color="auto" w:fill="auto"/>
            <w:noWrap/>
            <w:vAlign w:val="bottom"/>
            <w:hideMark/>
          </w:tcPr>
          <w:p w14:paraId="2B87F5D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1.63</w:t>
            </w:r>
          </w:p>
        </w:tc>
      </w:tr>
      <w:tr w:rsidR="0067721A" w:rsidRPr="00430A79" w14:paraId="673DA563"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6B1C9AF0" w14:textId="46873F4E"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Deponia</w:t>
            </w:r>
          </w:p>
        </w:tc>
        <w:tc>
          <w:tcPr>
            <w:tcW w:w="479" w:type="pct"/>
            <w:tcBorders>
              <w:top w:val="nil"/>
              <w:left w:val="nil"/>
              <w:bottom w:val="single" w:sz="4" w:space="0" w:color="auto"/>
              <w:right w:val="single" w:sz="4" w:space="0" w:color="auto"/>
            </w:tcBorders>
            <w:shd w:val="clear" w:color="auto" w:fill="auto"/>
            <w:noWrap/>
            <w:vAlign w:val="bottom"/>
            <w:hideMark/>
          </w:tcPr>
          <w:p w14:paraId="4370D070"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14:paraId="59F93E3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49D4A28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7D6C6ACF"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434A8FDE"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1E7E1D7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 </w:t>
            </w:r>
          </w:p>
        </w:tc>
      </w:tr>
      <w:tr w:rsidR="0067721A" w:rsidRPr="00430A79" w14:paraId="088DE2DB"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42FEBF86" w14:textId="53BCB70B"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e investimit</w:t>
            </w:r>
          </w:p>
        </w:tc>
        <w:tc>
          <w:tcPr>
            <w:tcW w:w="479" w:type="pct"/>
            <w:tcBorders>
              <w:top w:val="nil"/>
              <w:left w:val="nil"/>
              <w:bottom w:val="single" w:sz="4" w:space="0" w:color="auto"/>
              <w:right w:val="single" w:sz="4" w:space="0" w:color="auto"/>
            </w:tcBorders>
            <w:shd w:val="clear" w:color="auto" w:fill="auto"/>
            <w:noWrap/>
            <w:vAlign w:val="bottom"/>
            <w:hideMark/>
          </w:tcPr>
          <w:p w14:paraId="42065B7C"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16.11</w:t>
            </w:r>
          </w:p>
        </w:tc>
        <w:tc>
          <w:tcPr>
            <w:tcW w:w="523" w:type="pct"/>
            <w:tcBorders>
              <w:top w:val="nil"/>
              <w:left w:val="nil"/>
              <w:bottom w:val="single" w:sz="4" w:space="0" w:color="auto"/>
              <w:right w:val="single" w:sz="4" w:space="0" w:color="auto"/>
            </w:tcBorders>
            <w:shd w:val="clear" w:color="auto" w:fill="auto"/>
            <w:noWrap/>
            <w:vAlign w:val="bottom"/>
            <w:hideMark/>
          </w:tcPr>
          <w:p w14:paraId="08F07BCB"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16.11</w:t>
            </w:r>
          </w:p>
        </w:tc>
        <w:tc>
          <w:tcPr>
            <w:tcW w:w="479" w:type="pct"/>
            <w:tcBorders>
              <w:top w:val="nil"/>
              <w:left w:val="nil"/>
              <w:bottom w:val="single" w:sz="4" w:space="0" w:color="auto"/>
              <w:right w:val="single" w:sz="4" w:space="0" w:color="auto"/>
            </w:tcBorders>
            <w:shd w:val="clear" w:color="auto" w:fill="auto"/>
            <w:noWrap/>
            <w:vAlign w:val="bottom"/>
            <w:hideMark/>
          </w:tcPr>
          <w:p w14:paraId="0CC9C2C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16.11</w:t>
            </w:r>
          </w:p>
        </w:tc>
        <w:tc>
          <w:tcPr>
            <w:tcW w:w="479" w:type="pct"/>
            <w:tcBorders>
              <w:top w:val="nil"/>
              <w:left w:val="nil"/>
              <w:bottom w:val="single" w:sz="4" w:space="0" w:color="auto"/>
              <w:right w:val="single" w:sz="4" w:space="0" w:color="auto"/>
            </w:tcBorders>
            <w:shd w:val="clear" w:color="auto" w:fill="auto"/>
            <w:noWrap/>
            <w:vAlign w:val="bottom"/>
            <w:hideMark/>
          </w:tcPr>
          <w:p w14:paraId="3341662B"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16.11</w:t>
            </w:r>
          </w:p>
        </w:tc>
        <w:tc>
          <w:tcPr>
            <w:tcW w:w="479" w:type="pct"/>
            <w:tcBorders>
              <w:top w:val="nil"/>
              <w:left w:val="nil"/>
              <w:bottom w:val="single" w:sz="4" w:space="0" w:color="auto"/>
              <w:right w:val="single" w:sz="4" w:space="0" w:color="auto"/>
            </w:tcBorders>
            <w:shd w:val="clear" w:color="auto" w:fill="auto"/>
            <w:noWrap/>
            <w:vAlign w:val="bottom"/>
            <w:hideMark/>
          </w:tcPr>
          <w:p w14:paraId="6EF9435B"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16.11</w:t>
            </w:r>
          </w:p>
        </w:tc>
        <w:tc>
          <w:tcPr>
            <w:tcW w:w="479" w:type="pct"/>
            <w:tcBorders>
              <w:top w:val="nil"/>
              <w:left w:val="nil"/>
              <w:bottom w:val="single" w:sz="4" w:space="0" w:color="auto"/>
              <w:right w:val="single" w:sz="4" w:space="0" w:color="auto"/>
            </w:tcBorders>
            <w:shd w:val="clear" w:color="auto" w:fill="auto"/>
            <w:noWrap/>
            <w:vAlign w:val="bottom"/>
            <w:hideMark/>
          </w:tcPr>
          <w:p w14:paraId="6B99DBB0"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16.11</w:t>
            </w:r>
          </w:p>
        </w:tc>
      </w:tr>
      <w:tr w:rsidR="0067721A" w:rsidRPr="00430A79" w14:paraId="40250025"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46449F09" w14:textId="31E511AA"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operacionale</w:t>
            </w:r>
          </w:p>
        </w:tc>
        <w:tc>
          <w:tcPr>
            <w:tcW w:w="479" w:type="pct"/>
            <w:tcBorders>
              <w:top w:val="nil"/>
              <w:left w:val="nil"/>
              <w:bottom w:val="single" w:sz="4" w:space="0" w:color="auto"/>
              <w:right w:val="single" w:sz="4" w:space="0" w:color="auto"/>
            </w:tcBorders>
            <w:shd w:val="clear" w:color="auto" w:fill="auto"/>
            <w:noWrap/>
            <w:vAlign w:val="bottom"/>
            <w:hideMark/>
          </w:tcPr>
          <w:p w14:paraId="5195EDF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10.73</w:t>
            </w:r>
          </w:p>
        </w:tc>
        <w:tc>
          <w:tcPr>
            <w:tcW w:w="523" w:type="pct"/>
            <w:tcBorders>
              <w:top w:val="nil"/>
              <w:left w:val="nil"/>
              <w:bottom w:val="single" w:sz="4" w:space="0" w:color="auto"/>
              <w:right w:val="single" w:sz="4" w:space="0" w:color="auto"/>
            </w:tcBorders>
            <w:shd w:val="clear" w:color="auto" w:fill="auto"/>
            <w:noWrap/>
            <w:vAlign w:val="bottom"/>
            <w:hideMark/>
          </w:tcPr>
          <w:p w14:paraId="7FD60FF0"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10.73</w:t>
            </w:r>
          </w:p>
        </w:tc>
        <w:tc>
          <w:tcPr>
            <w:tcW w:w="479" w:type="pct"/>
            <w:tcBorders>
              <w:top w:val="nil"/>
              <w:left w:val="nil"/>
              <w:bottom w:val="single" w:sz="4" w:space="0" w:color="auto"/>
              <w:right w:val="single" w:sz="4" w:space="0" w:color="auto"/>
            </w:tcBorders>
            <w:shd w:val="clear" w:color="auto" w:fill="auto"/>
            <w:noWrap/>
            <w:vAlign w:val="bottom"/>
            <w:hideMark/>
          </w:tcPr>
          <w:p w14:paraId="522E5EC6"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10.73</w:t>
            </w:r>
          </w:p>
        </w:tc>
        <w:tc>
          <w:tcPr>
            <w:tcW w:w="479" w:type="pct"/>
            <w:tcBorders>
              <w:top w:val="nil"/>
              <w:left w:val="nil"/>
              <w:bottom w:val="single" w:sz="4" w:space="0" w:color="auto"/>
              <w:right w:val="single" w:sz="4" w:space="0" w:color="auto"/>
            </w:tcBorders>
            <w:shd w:val="clear" w:color="auto" w:fill="auto"/>
            <w:noWrap/>
            <w:vAlign w:val="bottom"/>
            <w:hideMark/>
          </w:tcPr>
          <w:p w14:paraId="57F6C40B"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10.73</w:t>
            </w:r>
          </w:p>
        </w:tc>
        <w:tc>
          <w:tcPr>
            <w:tcW w:w="479" w:type="pct"/>
            <w:tcBorders>
              <w:top w:val="nil"/>
              <w:left w:val="nil"/>
              <w:bottom w:val="single" w:sz="4" w:space="0" w:color="auto"/>
              <w:right w:val="single" w:sz="4" w:space="0" w:color="auto"/>
            </w:tcBorders>
            <w:shd w:val="clear" w:color="auto" w:fill="auto"/>
            <w:noWrap/>
            <w:vAlign w:val="bottom"/>
            <w:hideMark/>
          </w:tcPr>
          <w:p w14:paraId="30CBCC5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10.76</w:t>
            </w:r>
          </w:p>
        </w:tc>
        <w:tc>
          <w:tcPr>
            <w:tcW w:w="479" w:type="pct"/>
            <w:tcBorders>
              <w:top w:val="nil"/>
              <w:left w:val="nil"/>
              <w:bottom w:val="single" w:sz="4" w:space="0" w:color="auto"/>
              <w:right w:val="single" w:sz="4" w:space="0" w:color="auto"/>
            </w:tcBorders>
            <w:shd w:val="clear" w:color="auto" w:fill="auto"/>
            <w:noWrap/>
            <w:vAlign w:val="bottom"/>
            <w:hideMark/>
          </w:tcPr>
          <w:p w14:paraId="156AE02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10.73</w:t>
            </w:r>
          </w:p>
        </w:tc>
      </w:tr>
      <w:tr w:rsidR="0067721A" w:rsidRPr="00430A79" w14:paraId="0F8AE09F"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66836115" w14:textId="210E67AA"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totale të deponisë</w:t>
            </w:r>
          </w:p>
        </w:tc>
        <w:tc>
          <w:tcPr>
            <w:tcW w:w="479" w:type="pct"/>
            <w:tcBorders>
              <w:top w:val="nil"/>
              <w:left w:val="nil"/>
              <w:bottom w:val="single" w:sz="4" w:space="0" w:color="auto"/>
              <w:right w:val="single" w:sz="4" w:space="0" w:color="auto"/>
            </w:tcBorders>
            <w:shd w:val="clear" w:color="auto" w:fill="auto"/>
            <w:noWrap/>
            <w:vAlign w:val="bottom"/>
            <w:hideMark/>
          </w:tcPr>
          <w:p w14:paraId="59305412"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26.84</w:t>
            </w:r>
          </w:p>
        </w:tc>
        <w:tc>
          <w:tcPr>
            <w:tcW w:w="523" w:type="pct"/>
            <w:tcBorders>
              <w:top w:val="nil"/>
              <w:left w:val="nil"/>
              <w:bottom w:val="single" w:sz="4" w:space="0" w:color="auto"/>
              <w:right w:val="single" w:sz="4" w:space="0" w:color="auto"/>
            </w:tcBorders>
            <w:shd w:val="clear" w:color="auto" w:fill="auto"/>
            <w:noWrap/>
            <w:vAlign w:val="bottom"/>
            <w:hideMark/>
          </w:tcPr>
          <w:p w14:paraId="2E161088"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26.84</w:t>
            </w:r>
          </w:p>
        </w:tc>
        <w:tc>
          <w:tcPr>
            <w:tcW w:w="479" w:type="pct"/>
            <w:tcBorders>
              <w:top w:val="nil"/>
              <w:left w:val="nil"/>
              <w:bottom w:val="single" w:sz="4" w:space="0" w:color="auto"/>
              <w:right w:val="single" w:sz="4" w:space="0" w:color="auto"/>
            </w:tcBorders>
            <w:shd w:val="clear" w:color="auto" w:fill="auto"/>
            <w:noWrap/>
            <w:vAlign w:val="bottom"/>
            <w:hideMark/>
          </w:tcPr>
          <w:p w14:paraId="1F84EAA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26.84</w:t>
            </w:r>
          </w:p>
        </w:tc>
        <w:tc>
          <w:tcPr>
            <w:tcW w:w="479" w:type="pct"/>
            <w:tcBorders>
              <w:top w:val="nil"/>
              <w:left w:val="nil"/>
              <w:bottom w:val="single" w:sz="4" w:space="0" w:color="auto"/>
              <w:right w:val="single" w:sz="4" w:space="0" w:color="auto"/>
            </w:tcBorders>
            <w:shd w:val="clear" w:color="auto" w:fill="auto"/>
            <w:noWrap/>
            <w:vAlign w:val="bottom"/>
            <w:hideMark/>
          </w:tcPr>
          <w:p w14:paraId="492AD9D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26.84</w:t>
            </w:r>
          </w:p>
        </w:tc>
        <w:tc>
          <w:tcPr>
            <w:tcW w:w="479" w:type="pct"/>
            <w:tcBorders>
              <w:top w:val="nil"/>
              <w:left w:val="nil"/>
              <w:bottom w:val="single" w:sz="4" w:space="0" w:color="auto"/>
              <w:right w:val="single" w:sz="4" w:space="0" w:color="auto"/>
            </w:tcBorders>
            <w:shd w:val="clear" w:color="auto" w:fill="auto"/>
            <w:noWrap/>
            <w:vAlign w:val="bottom"/>
            <w:hideMark/>
          </w:tcPr>
          <w:p w14:paraId="0BF2F5E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26.87</w:t>
            </w:r>
          </w:p>
        </w:tc>
        <w:tc>
          <w:tcPr>
            <w:tcW w:w="479" w:type="pct"/>
            <w:tcBorders>
              <w:top w:val="nil"/>
              <w:left w:val="nil"/>
              <w:bottom w:val="single" w:sz="4" w:space="0" w:color="auto"/>
              <w:right w:val="single" w:sz="4" w:space="0" w:color="auto"/>
            </w:tcBorders>
            <w:shd w:val="clear" w:color="auto" w:fill="auto"/>
            <w:noWrap/>
            <w:vAlign w:val="bottom"/>
            <w:hideMark/>
          </w:tcPr>
          <w:p w14:paraId="02D063A2"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26.84</w:t>
            </w:r>
          </w:p>
        </w:tc>
      </w:tr>
      <w:tr w:rsidR="0067721A" w:rsidRPr="00430A79" w14:paraId="6335ACC1"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5DD7F207" w14:textId="11D0E969"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Totalet</w:t>
            </w:r>
          </w:p>
        </w:tc>
        <w:tc>
          <w:tcPr>
            <w:tcW w:w="479" w:type="pct"/>
            <w:tcBorders>
              <w:top w:val="nil"/>
              <w:left w:val="nil"/>
              <w:bottom w:val="single" w:sz="4" w:space="0" w:color="auto"/>
              <w:right w:val="single" w:sz="4" w:space="0" w:color="auto"/>
            </w:tcBorders>
            <w:shd w:val="clear" w:color="auto" w:fill="auto"/>
            <w:noWrap/>
            <w:vAlign w:val="bottom"/>
            <w:hideMark/>
          </w:tcPr>
          <w:p w14:paraId="406CE536"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14:paraId="2CA22D5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64B1816C"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08BEF5E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20EBBD4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 </w:t>
            </w:r>
          </w:p>
        </w:tc>
        <w:tc>
          <w:tcPr>
            <w:tcW w:w="479" w:type="pct"/>
            <w:tcBorders>
              <w:top w:val="nil"/>
              <w:left w:val="nil"/>
              <w:bottom w:val="single" w:sz="4" w:space="0" w:color="auto"/>
              <w:right w:val="single" w:sz="4" w:space="0" w:color="auto"/>
            </w:tcBorders>
            <w:shd w:val="clear" w:color="auto" w:fill="auto"/>
            <w:noWrap/>
            <w:vAlign w:val="bottom"/>
            <w:hideMark/>
          </w:tcPr>
          <w:p w14:paraId="0EC97FB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 </w:t>
            </w:r>
          </w:p>
        </w:tc>
      </w:tr>
      <w:tr w:rsidR="0067721A" w:rsidRPr="00430A79" w14:paraId="7225E6D2"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1D314C12" w14:textId="407161BB"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totale të investimit</w:t>
            </w:r>
          </w:p>
        </w:tc>
        <w:tc>
          <w:tcPr>
            <w:tcW w:w="479" w:type="pct"/>
            <w:tcBorders>
              <w:top w:val="nil"/>
              <w:left w:val="nil"/>
              <w:bottom w:val="single" w:sz="4" w:space="0" w:color="auto"/>
              <w:right w:val="single" w:sz="4" w:space="0" w:color="auto"/>
            </w:tcBorders>
            <w:shd w:val="clear" w:color="auto" w:fill="auto"/>
            <w:noWrap/>
            <w:vAlign w:val="bottom"/>
            <w:hideMark/>
          </w:tcPr>
          <w:p w14:paraId="07400DDB"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48.27</w:t>
            </w:r>
          </w:p>
        </w:tc>
        <w:tc>
          <w:tcPr>
            <w:tcW w:w="523" w:type="pct"/>
            <w:tcBorders>
              <w:top w:val="nil"/>
              <w:left w:val="nil"/>
              <w:bottom w:val="single" w:sz="4" w:space="0" w:color="auto"/>
              <w:right w:val="single" w:sz="4" w:space="0" w:color="auto"/>
            </w:tcBorders>
            <w:shd w:val="clear" w:color="auto" w:fill="auto"/>
            <w:noWrap/>
            <w:vAlign w:val="bottom"/>
            <w:hideMark/>
          </w:tcPr>
          <w:p w14:paraId="3F6050B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48.87</w:t>
            </w:r>
          </w:p>
        </w:tc>
        <w:tc>
          <w:tcPr>
            <w:tcW w:w="479" w:type="pct"/>
            <w:tcBorders>
              <w:top w:val="nil"/>
              <w:left w:val="nil"/>
              <w:bottom w:val="single" w:sz="4" w:space="0" w:color="auto"/>
              <w:right w:val="single" w:sz="4" w:space="0" w:color="auto"/>
            </w:tcBorders>
            <w:shd w:val="clear" w:color="auto" w:fill="auto"/>
            <w:noWrap/>
            <w:vAlign w:val="bottom"/>
            <w:hideMark/>
          </w:tcPr>
          <w:p w14:paraId="6D0470BD"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50.58</w:t>
            </w:r>
          </w:p>
        </w:tc>
        <w:tc>
          <w:tcPr>
            <w:tcW w:w="479" w:type="pct"/>
            <w:tcBorders>
              <w:top w:val="nil"/>
              <w:left w:val="nil"/>
              <w:bottom w:val="single" w:sz="4" w:space="0" w:color="auto"/>
              <w:right w:val="single" w:sz="4" w:space="0" w:color="auto"/>
            </w:tcBorders>
            <w:shd w:val="clear" w:color="auto" w:fill="auto"/>
            <w:noWrap/>
            <w:vAlign w:val="bottom"/>
            <w:hideMark/>
          </w:tcPr>
          <w:p w14:paraId="5E65E5B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48.42</w:t>
            </w:r>
          </w:p>
        </w:tc>
        <w:tc>
          <w:tcPr>
            <w:tcW w:w="479" w:type="pct"/>
            <w:tcBorders>
              <w:top w:val="nil"/>
              <w:left w:val="nil"/>
              <w:bottom w:val="single" w:sz="4" w:space="0" w:color="auto"/>
              <w:right w:val="single" w:sz="4" w:space="0" w:color="auto"/>
            </w:tcBorders>
            <w:shd w:val="clear" w:color="auto" w:fill="auto"/>
            <w:noWrap/>
            <w:vAlign w:val="bottom"/>
            <w:hideMark/>
          </w:tcPr>
          <w:p w14:paraId="062A7C6B"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48.13</w:t>
            </w:r>
          </w:p>
        </w:tc>
        <w:tc>
          <w:tcPr>
            <w:tcW w:w="479" w:type="pct"/>
            <w:tcBorders>
              <w:top w:val="nil"/>
              <w:left w:val="nil"/>
              <w:bottom w:val="single" w:sz="4" w:space="0" w:color="auto"/>
              <w:right w:val="single" w:sz="4" w:space="0" w:color="auto"/>
            </w:tcBorders>
            <w:shd w:val="clear" w:color="auto" w:fill="auto"/>
            <w:noWrap/>
            <w:vAlign w:val="bottom"/>
            <w:hideMark/>
          </w:tcPr>
          <w:p w14:paraId="26F3CDAB"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50.27</w:t>
            </w:r>
          </w:p>
        </w:tc>
      </w:tr>
      <w:tr w:rsidR="0067721A" w:rsidRPr="00430A79" w14:paraId="13A4B5E4"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3314EDFE" w14:textId="36CE08F5"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totale operatcionale</w:t>
            </w:r>
          </w:p>
        </w:tc>
        <w:tc>
          <w:tcPr>
            <w:tcW w:w="479" w:type="pct"/>
            <w:tcBorders>
              <w:top w:val="nil"/>
              <w:left w:val="nil"/>
              <w:bottom w:val="single" w:sz="4" w:space="0" w:color="auto"/>
              <w:right w:val="single" w:sz="4" w:space="0" w:color="auto"/>
            </w:tcBorders>
            <w:shd w:val="clear" w:color="auto" w:fill="auto"/>
            <w:noWrap/>
            <w:vAlign w:val="bottom"/>
            <w:hideMark/>
          </w:tcPr>
          <w:p w14:paraId="44FAEBBC"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92.79</w:t>
            </w:r>
          </w:p>
        </w:tc>
        <w:tc>
          <w:tcPr>
            <w:tcW w:w="523" w:type="pct"/>
            <w:tcBorders>
              <w:top w:val="nil"/>
              <w:left w:val="nil"/>
              <w:bottom w:val="single" w:sz="4" w:space="0" w:color="auto"/>
              <w:right w:val="single" w:sz="4" w:space="0" w:color="auto"/>
            </w:tcBorders>
            <w:shd w:val="clear" w:color="auto" w:fill="auto"/>
            <w:noWrap/>
            <w:vAlign w:val="bottom"/>
            <w:hideMark/>
          </w:tcPr>
          <w:p w14:paraId="6932698E"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92.13</w:t>
            </w:r>
          </w:p>
        </w:tc>
        <w:tc>
          <w:tcPr>
            <w:tcW w:w="479" w:type="pct"/>
            <w:tcBorders>
              <w:top w:val="nil"/>
              <w:left w:val="nil"/>
              <w:bottom w:val="single" w:sz="4" w:space="0" w:color="auto"/>
              <w:right w:val="single" w:sz="4" w:space="0" w:color="auto"/>
            </w:tcBorders>
            <w:shd w:val="clear" w:color="auto" w:fill="auto"/>
            <w:noWrap/>
            <w:vAlign w:val="bottom"/>
            <w:hideMark/>
          </w:tcPr>
          <w:p w14:paraId="4E0859C2"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97.73</w:t>
            </w:r>
          </w:p>
        </w:tc>
        <w:tc>
          <w:tcPr>
            <w:tcW w:w="479" w:type="pct"/>
            <w:tcBorders>
              <w:top w:val="nil"/>
              <w:left w:val="nil"/>
              <w:bottom w:val="single" w:sz="4" w:space="0" w:color="auto"/>
              <w:right w:val="single" w:sz="4" w:space="0" w:color="auto"/>
            </w:tcBorders>
            <w:shd w:val="clear" w:color="auto" w:fill="auto"/>
            <w:noWrap/>
            <w:vAlign w:val="bottom"/>
            <w:hideMark/>
          </w:tcPr>
          <w:p w14:paraId="316833E8"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91.57</w:t>
            </w:r>
          </w:p>
        </w:tc>
        <w:tc>
          <w:tcPr>
            <w:tcW w:w="479" w:type="pct"/>
            <w:tcBorders>
              <w:top w:val="nil"/>
              <w:left w:val="nil"/>
              <w:bottom w:val="single" w:sz="4" w:space="0" w:color="auto"/>
              <w:right w:val="single" w:sz="4" w:space="0" w:color="auto"/>
            </w:tcBorders>
            <w:shd w:val="clear" w:color="auto" w:fill="auto"/>
            <w:noWrap/>
            <w:vAlign w:val="bottom"/>
            <w:hideMark/>
          </w:tcPr>
          <w:p w14:paraId="059C0940"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95.17</w:t>
            </w:r>
          </w:p>
        </w:tc>
        <w:tc>
          <w:tcPr>
            <w:tcW w:w="479" w:type="pct"/>
            <w:tcBorders>
              <w:top w:val="nil"/>
              <w:left w:val="nil"/>
              <w:bottom w:val="single" w:sz="4" w:space="0" w:color="auto"/>
              <w:right w:val="single" w:sz="4" w:space="0" w:color="auto"/>
            </w:tcBorders>
            <w:shd w:val="clear" w:color="auto" w:fill="auto"/>
            <w:noWrap/>
            <w:vAlign w:val="bottom"/>
            <w:hideMark/>
          </w:tcPr>
          <w:p w14:paraId="4E1B980B"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93.41</w:t>
            </w:r>
          </w:p>
        </w:tc>
      </w:tr>
      <w:tr w:rsidR="0067721A" w:rsidRPr="00430A79" w14:paraId="20DA3D44"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30E2A1C7" w14:textId="70130C7B"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totale</w:t>
            </w:r>
          </w:p>
        </w:tc>
        <w:tc>
          <w:tcPr>
            <w:tcW w:w="479" w:type="pct"/>
            <w:tcBorders>
              <w:top w:val="nil"/>
              <w:left w:val="nil"/>
              <w:bottom w:val="single" w:sz="4" w:space="0" w:color="auto"/>
              <w:right w:val="single" w:sz="4" w:space="0" w:color="auto"/>
            </w:tcBorders>
            <w:shd w:val="clear" w:color="auto" w:fill="auto"/>
            <w:noWrap/>
            <w:vAlign w:val="bottom"/>
            <w:hideMark/>
          </w:tcPr>
          <w:p w14:paraId="016520BF"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141.06</w:t>
            </w:r>
          </w:p>
        </w:tc>
        <w:tc>
          <w:tcPr>
            <w:tcW w:w="523" w:type="pct"/>
            <w:tcBorders>
              <w:top w:val="nil"/>
              <w:left w:val="nil"/>
              <w:bottom w:val="single" w:sz="4" w:space="0" w:color="auto"/>
              <w:right w:val="single" w:sz="4" w:space="0" w:color="auto"/>
            </w:tcBorders>
            <w:shd w:val="clear" w:color="auto" w:fill="auto"/>
            <w:noWrap/>
            <w:vAlign w:val="bottom"/>
            <w:hideMark/>
          </w:tcPr>
          <w:p w14:paraId="1FA5DD8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141.00</w:t>
            </w:r>
          </w:p>
        </w:tc>
        <w:tc>
          <w:tcPr>
            <w:tcW w:w="479" w:type="pct"/>
            <w:tcBorders>
              <w:top w:val="nil"/>
              <w:left w:val="nil"/>
              <w:bottom w:val="single" w:sz="4" w:space="0" w:color="auto"/>
              <w:right w:val="single" w:sz="4" w:space="0" w:color="auto"/>
            </w:tcBorders>
            <w:shd w:val="clear" w:color="auto" w:fill="auto"/>
            <w:noWrap/>
            <w:vAlign w:val="bottom"/>
            <w:hideMark/>
          </w:tcPr>
          <w:p w14:paraId="392F9ED1"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148.31</w:t>
            </w:r>
          </w:p>
        </w:tc>
        <w:tc>
          <w:tcPr>
            <w:tcW w:w="479" w:type="pct"/>
            <w:tcBorders>
              <w:top w:val="nil"/>
              <w:left w:val="nil"/>
              <w:bottom w:val="single" w:sz="4" w:space="0" w:color="auto"/>
              <w:right w:val="single" w:sz="4" w:space="0" w:color="auto"/>
            </w:tcBorders>
            <w:shd w:val="clear" w:color="auto" w:fill="auto"/>
            <w:noWrap/>
            <w:vAlign w:val="bottom"/>
            <w:hideMark/>
          </w:tcPr>
          <w:p w14:paraId="72EC8E0E"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139.99</w:t>
            </w:r>
          </w:p>
        </w:tc>
        <w:tc>
          <w:tcPr>
            <w:tcW w:w="479" w:type="pct"/>
            <w:tcBorders>
              <w:top w:val="nil"/>
              <w:left w:val="nil"/>
              <w:bottom w:val="single" w:sz="4" w:space="0" w:color="auto"/>
              <w:right w:val="single" w:sz="4" w:space="0" w:color="auto"/>
            </w:tcBorders>
            <w:shd w:val="clear" w:color="auto" w:fill="auto"/>
            <w:noWrap/>
            <w:vAlign w:val="bottom"/>
            <w:hideMark/>
          </w:tcPr>
          <w:p w14:paraId="7812943C"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143.31</w:t>
            </w:r>
          </w:p>
        </w:tc>
        <w:tc>
          <w:tcPr>
            <w:tcW w:w="479" w:type="pct"/>
            <w:tcBorders>
              <w:top w:val="nil"/>
              <w:left w:val="nil"/>
              <w:bottom w:val="single" w:sz="4" w:space="0" w:color="auto"/>
              <w:right w:val="single" w:sz="4" w:space="0" w:color="auto"/>
            </w:tcBorders>
            <w:shd w:val="clear" w:color="auto" w:fill="auto"/>
            <w:noWrap/>
            <w:vAlign w:val="bottom"/>
            <w:hideMark/>
          </w:tcPr>
          <w:p w14:paraId="7BCDCA6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143.68</w:t>
            </w:r>
          </w:p>
        </w:tc>
      </w:tr>
      <w:tr w:rsidR="0067721A" w:rsidRPr="00430A79" w14:paraId="47289C75"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6F6D1292" w14:textId="1DFE4ED8"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Të hyrat totale</w:t>
            </w:r>
          </w:p>
        </w:tc>
        <w:tc>
          <w:tcPr>
            <w:tcW w:w="479" w:type="pct"/>
            <w:tcBorders>
              <w:top w:val="nil"/>
              <w:left w:val="nil"/>
              <w:bottom w:val="single" w:sz="4" w:space="0" w:color="auto"/>
              <w:right w:val="single" w:sz="4" w:space="0" w:color="auto"/>
            </w:tcBorders>
            <w:shd w:val="clear" w:color="auto" w:fill="auto"/>
            <w:noWrap/>
            <w:vAlign w:val="bottom"/>
            <w:hideMark/>
          </w:tcPr>
          <w:p w14:paraId="466E6612"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12.49</w:t>
            </w:r>
          </w:p>
        </w:tc>
        <w:tc>
          <w:tcPr>
            <w:tcW w:w="523" w:type="pct"/>
            <w:tcBorders>
              <w:top w:val="nil"/>
              <w:left w:val="nil"/>
              <w:bottom w:val="single" w:sz="4" w:space="0" w:color="auto"/>
              <w:right w:val="single" w:sz="4" w:space="0" w:color="auto"/>
            </w:tcBorders>
            <w:shd w:val="clear" w:color="auto" w:fill="auto"/>
            <w:noWrap/>
            <w:vAlign w:val="bottom"/>
            <w:hideMark/>
          </w:tcPr>
          <w:p w14:paraId="144EA446"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12.49</w:t>
            </w:r>
          </w:p>
        </w:tc>
        <w:tc>
          <w:tcPr>
            <w:tcW w:w="479" w:type="pct"/>
            <w:tcBorders>
              <w:top w:val="nil"/>
              <w:left w:val="nil"/>
              <w:bottom w:val="single" w:sz="4" w:space="0" w:color="auto"/>
              <w:right w:val="single" w:sz="4" w:space="0" w:color="auto"/>
            </w:tcBorders>
            <w:shd w:val="clear" w:color="auto" w:fill="auto"/>
            <w:noWrap/>
            <w:vAlign w:val="bottom"/>
            <w:hideMark/>
          </w:tcPr>
          <w:p w14:paraId="2800BBD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12.49</w:t>
            </w:r>
          </w:p>
        </w:tc>
        <w:tc>
          <w:tcPr>
            <w:tcW w:w="479" w:type="pct"/>
            <w:tcBorders>
              <w:top w:val="nil"/>
              <w:left w:val="nil"/>
              <w:bottom w:val="single" w:sz="4" w:space="0" w:color="auto"/>
              <w:right w:val="single" w:sz="4" w:space="0" w:color="auto"/>
            </w:tcBorders>
            <w:shd w:val="clear" w:color="auto" w:fill="auto"/>
            <w:noWrap/>
            <w:vAlign w:val="bottom"/>
            <w:hideMark/>
          </w:tcPr>
          <w:p w14:paraId="3F32F99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12.49</w:t>
            </w:r>
          </w:p>
        </w:tc>
        <w:tc>
          <w:tcPr>
            <w:tcW w:w="479" w:type="pct"/>
            <w:tcBorders>
              <w:top w:val="nil"/>
              <w:left w:val="nil"/>
              <w:bottom w:val="single" w:sz="4" w:space="0" w:color="auto"/>
              <w:right w:val="single" w:sz="4" w:space="0" w:color="auto"/>
            </w:tcBorders>
            <w:shd w:val="clear" w:color="auto" w:fill="auto"/>
            <w:noWrap/>
            <w:vAlign w:val="bottom"/>
            <w:hideMark/>
          </w:tcPr>
          <w:p w14:paraId="219E624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12.49</w:t>
            </w:r>
          </w:p>
        </w:tc>
        <w:tc>
          <w:tcPr>
            <w:tcW w:w="479" w:type="pct"/>
            <w:tcBorders>
              <w:top w:val="nil"/>
              <w:left w:val="nil"/>
              <w:bottom w:val="single" w:sz="4" w:space="0" w:color="auto"/>
              <w:right w:val="single" w:sz="4" w:space="0" w:color="auto"/>
            </w:tcBorders>
            <w:shd w:val="clear" w:color="auto" w:fill="auto"/>
            <w:noWrap/>
            <w:vAlign w:val="bottom"/>
            <w:hideMark/>
          </w:tcPr>
          <w:p w14:paraId="542C6B99"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12.49</w:t>
            </w:r>
          </w:p>
        </w:tc>
      </w:tr>
      <w:tr w:rsidR="0067721A" w:rsidRPr="00430A79" w14:paraId="771E963D" w14:textId="77777777" w:rsidTr="0067721A">
        <w:trPr>
          <w:trHeight w:val="288"/>
        </w:trPr>
        <w:tc>
          <w:tcPr>
            <w:tcW w:w="2081" w:type="pct"/>
            <w:tcBorders>
              <w:top w:val="nil"/>
              <w:left w:val="single" w:sz="4" w:space="0" w:color="auto"/>
              <w:bottom w:val="single" w:sz="4" w:space="0" w:color="auto"/>
              <w:right w:val="single" w:sz="4" w:space="0" w:color="auto"/>
            </w:tcBorders>
            <w:shd w:val="clear" w:color="auto" w:fill="auto"/>
            <w:noWrap/>
            <w:vAlign w:val="bottom"/>
            <w:hideMark/>
          </w:tcPr>
          <w:p w14:paraId="7C07001A" w14:textId="2BCD0444"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BE2534">
              <w:rPr>
                <w:rFonts w:ascii="Arial Narrow" w:eastAsia="Calibri" w:hAnsi="Arial Narrow" w:cs="Calibri"/>
                <w:sz w:val="20"/>
                <w:szCs w:val="20"/>
                <w:lang w:val="sq-AL"/>
              </w:rPr>
              <w:t>Kostot neto</w:t>
            </w:r>
          </w:p>
        </w:tc>
        <w:tc>
          <w:tcPr>
            <w:tcW w:w="479" w:type="pct"/>
            <w:tcBorders>
              <w:top w:val="nil"/>
              <w:left w:val="nil"/>
              <w:bottom w:val="single" w:sz="4" w:space="0" w:color="auto"/>
              <w:right w:val="single" w:sz="4" w:space="0" w:color="auto"/>
            </w:tcBorders>
            <w:shd w:val="clear" w:color="auto" w:fill="auto"/>
            <w:noWrap/>
            <w:vAlign w:val="bottom"/>
            <w:hideMark/>
          </w:tcPr>
          <w:p w14:paraId="339BF037"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127.90</w:t>
            </w:r>
          </w:p>
        </w:tc>
        <w:tc>
          <w:tcPr>
            <w:tcW w:w="523" w:type="pct"/>
            <w:tcBorders>
              <w:top w:val="nil"/>
              <w:left w:val="nil"/>
              <w:bottom w:val="single" w:sz="4" w:space="0" w:color="auto"/>
              <w:right w:val="single" w:sz="4" w:space="0" w:color="auto"/>
            </w:tcBorders>
            <w:shd w:val="clear" w:color="auto" w:fill="auto"/>
            <w:noWrap/>
            <w:vAlign w:val="bottom"/>
            <w:hideMark/>
          </w:tcPr>
          <w:p w14:paraId="005B30BF"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127.84</w:t>
            </w:r>
          </w:p>
        </w:tc>
        <w:tc>
          <w:tcPr>
            <w:tcW w:w="479" w:type="pct"/>
            <w:tcBorders>
              <w:top w:val="nil"/>
              <w:left w:val="nil"/>
              <w:bottom w:val="single" w:sz="4" w:space="0" w:color="auto"/>
              <w:right w:val="single" w:sz="4" w:space="0" w:color="auto"/>
            </w:tcBorders>
            <w:shd w:val="clear" w:color="auto" w:fill="auto"/>
            <w:noWrap/>
            <w:vAlign w:val="bottom"/>
            <w:hideMark/>
          </w:tcPr>
          <w:p w14:paraId="4569BCCB"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135.82</w:t>
            </w:r>
          </w:p>
        </w:tc>
        <w:tc>
          <w:tcPr>
            <w:tcW w:w="479" w:type="pct"/>
            <w:tcBorders>
              <w:top w:val="nil"/>
              <w:left w:val="nil"/>
              <w:bottom w:val="single" w:sz="4" w:space="0" w:color="auto"/>
              <w:right w:val="single" w:sz="4" w:space="0" w:color="auto"/>
            </w:tcBorders>
            <w:shd w:val="clear" w:color="auto" w:fill="auto"/>
            <w:noWrap/>
            <w:vAlign w:val="bottom"/>
            <w:hideMark/>
          </w:tcPr>
          <w:p w14:paraId="047C9470"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127.50</w:t>
            </w:r>
          </w:p>
        </w:tc>
        <w:tc>
          <w:tcPr>
            <w:tcW w:w="479" w:type="pct"/>
            <w:tcBorders>
              <w:top w:val="nil"/>
              <w:left w:val="nil"/>
              <w:bottom w:val="single" w:sz="4" w:space="0" w:color="auto"/>
              <w:right w:val="single" w:sz="4" w:space="0" w:color="auto"/>
            </w:tcBorders>
            <w:shd w:val="clear" w:color="auto" w:fill="auto"/>
            <w:noWrap/>
            <w:vAlign w:val="bottom"/>
            <w:hideMark/>
          </w:tcPr>
          <w:p w14:paraId="3A5742A3"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130.81</w:t>
            </w:r>
          </w:p>
        </w:tc>
        <w:tc>
          <w:tcPr>
            <w:tcW w:w="479" w:type="pct"/>
            <w:tcBorders>
              <w:top w:val="nil"/>
              <w:left w:val="nil"/>
              <w:bottom w:val="single" w:sz="4" w:space="0" w:color="auto"/>
              <w:right w:val="single" w:sz="4" w:space="0" w:color="auto"/>
            </w:tcBorders>
            <w:shd w:val="clear" w:color="auto" w:fill="auto"/>
            <w:noWrap/>
            <w:vAlign w:val="bottom"/>
            <w:hideMark/>
          </w:tcPr>
          <w:p w14:paraId="40A438AA" w14:textId="77777777" w:rsidR="0067721A" w:rsidRPr="00430A79" w:rsidRDefault="0067721A" w:rsidP="0067721A">
            <w:pPr>
              <w:widowControl w:val="0"/>
              <w:autoSpaceDE w:val="0"/>
              <w:autoSpaceDN w:val="0"/>
              <w:spacing w:before="60" w:after="60"/>
              <w:ind w:right="123"/>
              <w:rPr>
                <w:rFonts w:ascii="Arial Narrow" w:eastAsia="Calibri" w:hAnsi="Arial Narrow" w:cs="Calibri"/>
                <w:sz w:val="20"/>
                <w:szCs w:val="20"/>
              </w:rPr>
            </w:pPr>
            <w:r w:rsidRPr="00430A79">
              <w:rPr>
                <w:rFonts w:ascii="Arial Narrow" w:eastAsia="Calibri" w:hAnsi="Arial Narrow" w:cs="Calibri"/>
                <w:sz w:val="20"/>
                <w:szCs w:val="20"/>
              </w:rPr>
              <w:t>130.52</w:t>
            </w:r>
          </w:p>
        </w:tc>
      </w:tr>
    </w:tbl>
    <w:p w14:paraId="3DCA5335" w14:textId="77777777" w:rsidR="001B756B" w:rsidRPr="0067721A" w:rsidRDefault="001B756B" w:rsidP="00430A79">
      <w:pPr>
        <w:spacing w:after="120"/>
        <w:jc w:val="both"/>
        <w:rPr>
          <w:rFonts w:ascii="Arial Narrow" w:eastAsia="Calibri" w:hAnsi="Arial Narrow" w:cs="Calibri"/>
          <w:color w:val="000000" w:themeColor="text1"/>
          <w:sz w:val="22"/>
          <w:szCs w:val="22"/>
          <w:lang w:val="en-GB"/>
        </w:rPr>
      </w:pPr>
    </w:p>
    <w:p w14:paraId="6B76A31C" w14:textId="457D9A98" w:rsidR="00430A79" w:rsidRPr="009F5CA1" w:rsidRDefault="0067721A" w:rsidP="00430A79">
      <w:pPr>
        <w:spacing w:after="120"/>
        <w:jc w:val="both"/>
        <w:rPr>
          <w:rFonts w:ascii="Arial Narrow" w:eastAsia="Calibri" w:hAnsi="Arial Narrow" w:cs="Calibri"/>
          <w:color w:val="000000" w:themeColor="text1"/>
          <w:sz w:val="22"/>
          <w:szCs w:val="22"/>
          <w:lang w:val="sq-AL"/>
        </w:rPr>
      </w:pPr>
      <w:r w:rsidRPr="0067721A">
        <w:rPr>
          <w:rFonts w:ascii="Arial Narrow" w:eastAsia="Calibri" w:hAnsi="Arial Narrow" w:cs="Calibri"/>
          <w:sz w:val="22"/>
          <w:szCs w:val="22"/>
          <w:lang w:val="sq-AL"/>
        </w:rPr>
        <w:t>Duke marrë parasysh krahasimin e kostos së mësipërme, Skenari 3 rekomandohet për t’u zhvilliuar në të ardhmen. Megjithatë, duhet theksuar se të gjithë skenarët kanë kosto të krahasueshme për ton dhe të gjitha janë të mundshëm për zbatim</w:t>
      </w:r>
      <w:r w:rsidR="00430A79" w:rsidRPr="009F5CA1">
        <w:rPr>
          <w:rFonts w:ascii="Arial Narrow" w:eastAsia="Calibri" w:hAnsi="Arial Narrow" w:cs="Calibri"/>
          <w:color w:val="000000" w:themeColor="text1"/>
          <w:sz w:val="22"/>
          <w:szCs w:val="22"/>
          <w:lang w:val="sq-AL"/>
        </w:rPr>
        <w:t>.</w:t>
      </w:r>
    </w:p>
    <w:p w14:paraId="4188AC96" w14:textId="77777777" w:rsidR="003F742B" w:rsidRPr="009F5CA1" w:rsidRDefault="003F742B" w:rsidP="00430A79">
      <w:pPr>
        <w:spacing w:after="120"/>
        <w:jc w:val="both"/>
        <w:rPr>
          <w:rFonts w:ascii="Arial Narrow" w:eastAsia="Calibri" w:hAnsi="Arial Narrow" w:cs="Calibri"/>
          <w:color w:val="000000" w:themeColor="text1"/>
          <w:sz w:val="22"/>
          <w:szCs w:val="22"/>
          <w:lang w:val="sq-AL"/>
        </w:rPr>
      </w:pPr>
    </w:p>
    <w:p w14:paraId="34B08554" w14:textId="63416962" w:rsidR="003F742B" w:rsidRPr="003F742B" w:rsidRDefault="00430A79" w:rsidP="003F742B">
      <w:pPr>
        <w:pStyle w:val="Heading2"/>
      </w:pPr>
      <w:bookmarkStart w:id="440" w:name="_Toc185866139"/>
      <w:bookmarkStart w:id="441" w:name="_Toc197472030"/>
      <w:r w:rsidRPr="00430A79">
        <w:t xml:space="preserve">Menaxhimi i </w:t>
      </w:r>
      <w:r w:rsidR="0067721A">
        <w:t>fraksioneve</w:t>
      </w:r>
      <w:r w:rsidRPr="00430A79">
        <w:t xml:space="preserve"> tjera të mbeturinave</w:t>
      </w:r>
      <w:bookmarkEnd w:id="440"/>
      <w:bookmarkEnd w:id="441"/>
    </w:p>
    <w:p w14:paraId="7D7D6B67" w14:textId="2B7338C9" w:rsidR="00430A79" w:rsidRPr="00430A79" w:rsidRDefault="00430A79" w:rsidP="000D7AD0">
      <w:pPr>
        <w:pStyle w:val="Heading3"/>
      </w:pPr>
      <w:bookmarkStart w:id="442" w:name="_Toc185866140"/>
      <w:bookmarkStart w:id="443" w:name="_Toc197472031"/>
      <w:r w:rsidRPr="00430A79">
        <w:t>Mbet</w:t>
      </w:r>
      <w:r w:rsidR="0067721A">
        <w:t>urinat</w:t>
      </w:r>
      <w:r w:rsidRPr="00430A79">
        <w:t xml:space="preserve"> e ndërtimit dhe </w:t>
      </w:r>
      <w:r w:rsidR="0067721A">
        <w:t>rrënimit</w:t>
      </w:r>
      <w:bookmarkEnd w:id="442"/>
      <w:bookmarkEnd w:id="443"/>
    </w:p>
    <w:p w14:paraId="1E00EC6F" w14:textId="77777777" w:rsidR="003F742B" w:rsidRDefault="003F742B" w:rsidP="0067721A">
      <w:pPr>
        <w:jc w:val="both"/>
        <w:rPr>
          <w:rFonts w:ascii="Arial Narrow" w:hAnsi="Arial Narrow"/>
          <w:sz w:val="22"/>
          <w:szCs w:val="22"/>
          <w:lang w:val="sq-AL" w:eastAsia="bg-BG"/>
        </w:rPr>
      </w:pPr>
    </w:p>
    <w:p w14:paraId="3B027DD8" w14:textId="5F74C6F1" w:rsidR="0067721A" w:rsidRPr="00BE2534" w:rsidRDefault="0067721A" w:rsidP="0067721A">
      <w:pPr>
        <w:jc w:val="both"/>
        <w:rPr>
          <w:rFonts w:ascii="Arial Narrow" w:hAnsi="Arial Narrow"/>
          <w:sz w:val="22"/>
          <w:szCs w:val="22"/>
          <w:lang w:val="sq-AL" w:eastAsia="bg-BG"/>
        </w:rPr>
      </w:pPr>
      <w:r w:rsidRPr="00BE2534">
        <w:rPr>
          <w:rFonts w:ascii="Arial Narrow" w:hAnsi="Arial Narrow"/>
          <w:sz w:val="22"/>
          <w:szCs w:val="22"/>
          <w:lang w:val="sq-AL" w:eastAsia="bg-BG"/>
        </w:rPr>
        <w:t>Ndarja e mbeturinave të ndërtimit dhe rrënimit (MNRr) dhe shmangja e tyre nga deponia e ardhshme është shumë e rëndësishëm për t’i ikur shterimit të shpejtë të kapaciteteve deponuese në deponi. Për më tepër, mbeturinat ndërtimore mund të përmbajnë substanca të rrezikshme, si azbesti dhe llaqet, të cilat janë burime të mundshme të rreziqeve shëndetësore nga thithja e grimcave të pluhurit dhe ndotja e ujërave nëntokësore.</w:t>
      </w:r>
    </w:p>
    <w:p w14:paraId="69A28AD4" w14:textId="77777777" w:rsidR="0067721A" w:rsidRPr="00BE2534" w:rsidRDefault="0067721A" w:rsidP="0067721A">
      <w:pPr>
        <w:jc w:val="both"/>
        <w:rPr>
          <w:rFonts w:ascii="Arial Narrow" w:hAnsi="Arial Narrow"/>
          <w:sz w:val="22"/>
          <w:szCs w:val="22"/>
          <w:lang w:val="sq-AL" w:eastAsia="bg-BG"/>
        </w:rPr>
      </w:pPr>
    </w:p>
    <w:p w14:paraId="1BB4CC2C" w14:textId="77777777" w:rsidR="0067721A" w:rsidRPr="00BE2534" w:rsidRDefault="0067721A" w:rsidP="0067721A">
      <w:pPr>
        <w:jc w:val="both"/>
        <w:rPr>
          <w:rFonts w:ascii="Arial Narrow" w:hAnsi="Arial Narrow"/>
          <w:sz w:val="22"/>
          <w:szCs w:val="22"/>
          <w:lang w:val="sq-AL" w:eastAsia="bg-BG"/>
        </w:rPr>
      </w:pPr>
      <w:r w:rsidRPr="00BE2534">
        <w:rPr>
          <w:rFonts w:ascii="Arial Narrow" w:hAnsi="Arial Narrow"/>
          <w:sz w:val="22"/>
          <w:szCs w:val="22"/>
          <w:lang w:val="sq-AL" w:eastAsia="bg-BG"/>
        </w:rPr>
        <w:t>Lloje të ndryshme mbeturinash po gjenerohen në punishte ndërtimi komunale dhe private, si: (i) dheu nga gërmimi; (ii) mbeturinat e ndërtimit (mbeturinat minerale, tulla, dru); dhe (iii) mbeturinat nga rrënimi (tulla, beton, mobilieri, qelq i sheshtë, plastikë, asfalt).</w:t>
      </w:r>
    </w:p>
    <w:p w14:paraId="02096FB5" w14:textId="77777777" w:rsidR="0067721A" w:rsidRPr="00BE2534" w:rsidRDefault="0067721A" w:rsidP="0067721A">
      <w:pPr>
        <w:autoSpaceDE w:val="0"/>
        <w:autoSpaceDN w:val="0"/>
        <w:adjustRightInd w:val="0"/>
        <w:rPr>
          <w:rFonts w:ascii="Arial Narrow" w:hAnsi="Arial Narrow"/>
          <w:sz w:val="22"/>
          <w:szCs w:val="22"/>
          <w:lang w:val="sq-AL" w:eastAsia="bg-BG"/>
        </w:rPr>
      </w:pPr>
    </w:p>
    <w:p w14:paraId="3F0F1D50" w14:textId="77777777" w:rsidR="0067721A" w:rsidRPr="00BE2534" w:rsidRDefault="0067721A" w:rsidP="0067721A">
      <w:pPr>
        <w:autoSpaceDE w:val="0"/>
        <w:autoSpaceDN w:val="0"/>
        <w:adjustRightInd w:val="0"/>
        <w:rPr>
          <w:rFonts w:ascii="Arial Narrow" w:hAnsi="Arial Narrow" w:cs="TTE20C1E10t00"/>
          <w:sz w:val="22"/>
          <w:szCs w:val="22"/>
          <w:lang w:val="sq-AL" w:eastAsia="bg-BG"/>
        </w:rPr>
      </w:pPr>
      <w:r w:rsidRPr="00BE2534">
        <w:rPr>
          <w:rFonts w:ascii="Arial Narrow" w:hAnsi="Arial Narrow"/>
          <w:sz w:val="22"/>
          <w:szCs w:val="22"/>
          <w:lang w:val="sq-AL" w:eastAsia="bg-BG"/>
        </w:rPr>
        <w:t xml:space="preserve">MNRr ka potencialin për t'u ricikluar si material dytësor. </w:t>
      </w:r>
      <w:r w:rsidRPr="00BE2534">
        <w:rPr>
          <w:rFonts w:ascii="Arial Narrow" w:hAnsi="Arial Narrow" w:cs="TTE20C1E10t00"/>
          <w:sz w:val="22"/>
          <w:szCs w:val="22"/>
          <w:lang w:val="sq-AL" w:eastAsia="bg-BG"/>
        </w:rPr>
        <w:t>Llojet kryesore të MNRr që duhet të synohen për riciklim janë:</w:t>
      </w:r>
    </w:p>
    <w:p w14:paraId="41E4667F" w14:textId="77777777" w:rsidR="0067721A" w:rsidRPr="00BE2534" w:rsidRDefault="0067721A" w:rsidP="0067721A">
      <w:pPr>
        <w:numPr>
          <w:ilvl w:val="0"/>
          <w:numId w:val="10"/>
        </w:numPr>
        <w:autoSpaceDE w:val="0"/>
        <w:autoSpaceDN w:val="0"/>
        <w:adjustRightInd w:val="0"/>
        <w:spacing w:before="40" w:after="40" w:line="259" w:lineRule="auto"/>
        <w:ind w:left="714" w:hanging="357"/>
        <w:contextualSpacing/>
        <w:rPr>
          <w:rFonts w:ascii="Arial Narrow" w:eastAsia="Calibri" w:hAnsi="Arial Narrow"/>
          <w:sz w:val="22"/>
          <w:szCs w:val="22"/>
          <w:lang w:val="sq-AL"/>
        </w:rPr>
      </w:pPr>
      <w:r w:rsidRPr="00BE2534">
        <w:rPr>
          <w:rFonts w:ascii="Arial Narrow" w:eastAsia="Calibri" w:hAnsi="Arial Narrow"/>
          <w:sz w:val="22"/>
          <w:szCs w:val="22"/>
          <w:lang w:val="sq-AL"/>
        </w:rPr>
        <w:t>Betoni dhe betoni i armuar;</w:t>
      </w:r>
    </w:p>
    <w:p w14:paraId="723CFE36" w14:textId="77777777" w:rsidR="0067721A" w:rsidRPr="00BE2534" w:rsidRDefault="0067721A" w:rsidP="0067721A">
      <w:pPr>
        <w:numPr>
          <w:ilvl w:val="0"/>
          <w:numId w:val="10"/>
        </w:numPr>
        <w:autoSpaceDE w:val="0"/>
        <w:autoSpaceDN w:val="0"/>
        <w:adjustRightInd w:val="0"/>
        <w:spacing w:before="40" w:after="40" w:line="259" w:lineRule="auto"/>
        <w:ind w:left="714" w:hanging="357"/>
        <w:contextualSpacing/>
        <w:rPr>
          <w:rFonts w:ascii="Arial Narrow" w:eastAsia="Calibri" w:hAnsi="Arial Narrow"/>
          <w:sz w:val="22"/>
          <w:szCs w:val="22"/>
          <w:lang w:val="sq-AL"/>
        </w:rPr>
      </w:pPr>
      <w:r w:rsidRPr="00BE2534">
        <w:rPr>
          <w:rFonts w:ascii="Arial Narrow" w:eastAsia="Calibri" w:hAnsi="Arial Narrow"/>
          <w:sz w:val="22"/>
          <w:szCs w:val="22"/>
          <w:lang w:val="sq-AL"/>
        </w:rPr>
        <w:t>Asfaltobetoni;</w:t>
      </w:r>
    </w:p>
    <w:p w14:paraId="28F142EC" w14:textId="77777777" w:rsidR="0067721A" w:rsidRPr="00BE2534" w:rsidRDefault="0067721A" w:rsidP="0067721A">
      <w:pPr>
        <w:numPr>
          <w:ilvl w:val="0"/>
          <w:numId w:val="10"/>
        </w:numPr>
        <w:autoSpaceDE w:val="0"/>
        <w:autoSpaceDN w:val="0"/>
        <w:adjustRightInd w:val="0"/>
        <w:spacing w:before="40" w:after="40" w:line="259" w:lineRule="auto"/>
        <w:ind w:left="714" w:hanging="357"/>
        <w:contextualSpacing/>
        <w:rPr>
          <w:rFonts w:ascii="Arial Narrow" w:eastAsia="Calibri" w:hAnsi="Arial Narrow"/>
          <w:sz w:val="22"/>
          <w:szCs w:val="22"/>
          <w:lang w:val="sq-AL"/>
        </w:rPr>
      </w:pPr>
      <w:r w:rsidRPr="00BE2534">
        <w:rPr>
          <w:rFonts w:ascii="Arial Narrow" w:eastAsia="Calibri" w:hAnsi="Arial Narrow"/>
          <w:sz w:val="22"/>
          <w:szCs w:val="22"/>
          <w:lang w:val="sq-AL"/>
        </w:rPr>
        <w:t>Qeramika për ndërtim (tulla, etj);</w:t>
      </w:r>
    </w:p>
    <w:p w14:paraId="4AA12163" w14:textId="77777777" w:rsidR="0067721A" w:rsidRPr="00BE2534" w:rsidRDefault="0067721A" w:rsidP="0067721A">
      <w:pPr>
        <w:numPr>
          <w:ilvl w:val="0"/>
          <w:numId w:val="10"/>
        </w:numPr>
        <w:autoSpaceDE w:val="0"/>
        <w:autoSpaceDN w:val="0"/>
        <w:adjustRightInd w:val="0"/>
        <w:spacing w:before="40" w:after="40" w:line="259" w:lineRule="auto"/>
        <w:ind w:left="714" w:hanging="357"/>
        <w:contextualSpacing/>
        <w:rPr>
          <w:rFonts w:ascii="Arial Narrow" w:eastAsia="Calibri" w:hAnsi="Arial Narrow"/>
          <w:sz w:val="22"/>
          <w:szCs w:val="22"/>
          <w:lang w:val="sq-AL"/>
        </w:rPr>
      </w:pPr>
      <w:r w:rsidRPr="00BE2534">
        <w:rPr>
          <w:rFonts w:ascii="Arial Narrow" w:eastAsia="Calibri" w:hAnsi="Arial Narrow"/>
          <w:sz w:val="22"/>
          <w:szCs w:val="22"/>
          <w:lang w:val="sq-AL"/>
        </w:rPr>
        <w:t>Materiale shkëmbore të thyera; dhe</w:t>
      </w:r>
    </w:p>
    <w:p w14:paraId="228AC203" w14:textId="77777777" w:rsidR="0067721A" w:rsidRPr="00BE2534" w:rsidRDefault="0067721A" w:rsidP="0067721A">
      <w:pPr>
        <w:numPr>
          <w:ilvl w:val="0"/>
          <w:numId w:val="10"/>
        </w:numPr>
        <w:autoSpaceDE w:val="0"/>
        <w:autoSpaceDN w:val="0"/>
        <w:adjustRightInd w:val="0"/>
        <w:spacing w:before="40" w:after="40" w:line="259" w:lineRule="auto"/>
        <w:ind w:left="714" w:hanging="357"/>
        <w:contextualSpacing/>
        <w:rPr>
          <w:rFonts w:ascii="Arial Narrow" w:eastAsia="Calibri" w:hAnsi="Arial Narrow" w:cs="TTE20C1E10t00"/>
          <w:sz w:val="22"/>
          <w:szCs w:val="22"/>
          <w:lang w:val="sq-AL"/>
        </w:rPr>
      </w:pPr>
      <w:r w:rsidRPr="00BE2534">
        <w:rPr>
          <w:rFonts w:ascii="Arial Narrow" w:eastAsia="Calibri" w:hAnsi="Arial Narrow"/>
          <w:sz w:val="22"/>
          <w:szCs w:val="22"/>
          <w:lang w:val="sq-AL"/>
        </w:rPr>
        <w:t>Mbeturinat minerale (inerte).</w:t>
      </w:r>
    </w:p>
    <w:p w14:paraId="4041A7E9" w14:textId="77777777" w:rsidR="0067721A" w:rsidRPr="00BE2534" w:rsidRDefault="0067721A" w:rsidP="0067721A">
      <w:pPr>
        <w:autoSpaceDE w:val="0"/>
        <w:autoSpaceDN w:val="0"/>
        <w:adjustRightInd w:val="0"/>
        <w:rPr>
          <w:rFonts w:ascii="Arial Narrow" w:hAnsi="Arial Narrow"/>
          <w:sz w:val="22"/>
          <w:szCs w:val="22"/>
          <w:lang w:val="sq-AL" w:eastAsia="bg-BG"/>
        </w:rPr>
      </w:pPr>
    </w:p>
    <w:p w14:paraId="31D35FAD" w14:textId="77777777" w:rsidR="0067721A" w:rsidRPr="00BE2534" w:rsidRDefault="0067721A" w:rsidP="0067721A">
      <w:pPr>
        <w:autoSpaceDE w:val="0"/>
        <w:autoSpaceDN w:val="0"/>
        <w:adjustRightInd w:val="0"/>
        <w:jc w:val="both"/>
        <w:rPr>
          <w:rFonts w:ascii="Arial Narrow" w:hAnsi="Arial Narrow"/>
          <w:b/>
          <w:i/>
          <w:sz w:val="22"/>
          <w:szCs w:val="22"/>
          <w:lang w:val="sq-AL" w:eastAsia="bg-BG"/>
        </w:rPr>
      </w:pPr>
      <w:r w:rsidRPr="00BE2534">
        <w:rPr>
          <w:rFonts w:ascii="Arial Narrow" w:hAnsi="Arial Narrow"/>
          <w:sz w:val="22"/>
          <w:szCs w:val="22"/>
          <w:lang w:val="sq-AL" w:eastAsia="bg-BG"/>
        </w:rPr>
        <w:t xml:space="preserve">Të dhënat tregojnë se këto pesë lloje përbëjnë 80-85% të sasisë totale të </w:t>
      </w:r>
      <w:r w:rsidRPr="00BE2534">
        <w:rPr>
          <w:rFonts w:ascii="Arial Narrow" w:hAnsi="Arial Narrow" w:cs="TTE20C1E10t00"/>
          <w:sz w:val="22"/>
          <w:szCs w:val="22"/>
          <w:lang w:val="sq-AL" w:eastAsia="bg-BG"/>
        </w:rPr>
        <w:t>MNRr</w:t>
      </w:r>
      <w:r w:rsidRPr="00BE2534">
        <w:rPr>
          <w:rFonts w:ascii="Arial Narrow" w:hAnsi="Arial Narrow"/>
          <w:sz w:val="22"/>
          <w:szCs w:val="22"/>
          <w:lang w:val="sq-AL" w:eastAsia="bg-BG"/>
        </w:rPr>
        <w:t xml:space="preserve">-ve të gjeneruara. Pjesa mbizotëruese në mbeturinat e ndërtimit, si betoni dhe tulla, pas imtësimit, është i përshtatshëm për t'u përdorur në ndërtimin e rrugëve në vend të burimeve parësore si zhavorri dhe rëra. Në varësi të cilësisë fillestare të betonit, ai mund të ripërdoret edhe për të njëjtat qëllime ndërtimi. Më shpesh, betoni i ricikluar mund të përdoret për </w:t>
      </w:r>
      <w:r w:rsidRPr="00BE2534">
        <w:rPr>
          <w:rFonts w:ascii="Arial Narrow" w:hAnsi="Arial Narrow" w:cs="TTE20C1E10t00"/>
          <w:sz w:val="22"/>
          <w:szCs w:val="22"/>
          <w:lang w:val="sq-AL" w:eastAsia="bg-BG"/>
        </w:rPr>
        <w:t>përforcimin e dheut, barrierat mbrojtëse nga zhurma, argjinaturat, materialet kulluese, rrugët e përkohshme, objektet sportive etj.</w:t>
      </w:r>
    </w:p>
    <w:p w14:paraId="150A3502" w14:textId="77777777" w:rsidR="0067721A" w:rsidRPr="00BE2534" w:rsidRDefault="0067721A" w:rsidP="0067721A">
      <w:pPr>
        <w:jc w:val="both"/>
        <w:rPr>
          <w:rFonts w:ascii="Arial Narrow" w:hAnsi="Arial Narrow"/>
          <w:sz w:val="22"/>
          <w:szCs w:val="22"/>
          <w:lang w:val="sq-AL" w:eastAsia="bg-BG"/>
        </w:rPr>
      </w:pPr>
    </w:p>
    <w:p w14:paraId="089F288F" w14:textId="43A05A4E" w:rsidR="00430A79" w:rsidRPr="009F5CA1" w:rsidRDefault="0067721A" w:rsidP="0067721A">
      <w:pPr>
        <w:jc w:val="both"/>
        <w:rPr>
          <w:rFonts w:ascii="Arial Narrow" w:hAnsi="Arial Narrow"/>
          <w:sz w:val="22"/>
          <w:szCs w:val="22"/>
          <w:lang w:val="sq-AL" w:eastAsia="bg-BG"/>
        </w:rPr>
      </w:pPr>
      <w:r w:rsidRPr="00BE2534">
        <w:rPr>
          <w:rFonts w:ascii="Arial Narrow" w:hAnsi="Arial Narrow"/>
          <w:sz w:val="22"/>
          <w:szCs w:val="22"/>
          <w:lang w:val="sq-AL" w:eastAsia="bg-BG"/>
        </w:rPr>
        <w:t>Zhvillimi i sistemit të integruar të menaxhimit të mbeturinave në rajonin e Dukagjinit duhet të përfshijë një sistem për menaxhimin e mbeturinave të ndërtimit, në përputhje me dispozitat e Planit Kombëtar të Menaxhimit të Mbeturinave nga Ndërtimi dhe Rrënimi (PKMMNRr</w:t>
      </w:r>
      <w:r w:rsidR="00430A79" w:rsidRPr="009F5CA1">
        <w:rPr>
          <w:rFonts w:ascii="Arial Narrow" w:hAnsi="Arial Narrow"/>
          <w:sz w:val="22"/>
          <w:szCs w:val="22"/>
          <w:lang w:val="sq-AL" w:eastAsia="bg-BG"/>
        </w:rPr>
        <w:t>.</w:t>
      </w:r>
    </w:p>
    <w:p w14:paraId="5CE3AE12" w14:textId="77777777" w:rsidR="00430A79" w:rsidRPr="00430A79" w:rsidRDefault="00430A79" w:rsidP="00430A79">
      <w:pPr>
        <w:jc w:val="both"/>
        <w:rPr>
          <w:rFonts w:ascii="Arial Narrow" w:hAnsi="Arial Narrow"/>
          <w:sz w:val="22"/>
          <w:szCs w:val="22"/>
          <w:lang w:val="bg-BG" w:eastAsia="bg-BG"/>
        </w:rPr>
      </w:pPr>
    </w:p>
    <w:p w14:paraId="2599C441" w14:textId="4A71858F" w:rsidR="00430A79" w:rsidRPr="00430A79" w:rsidRDefault="00430A79" w:rsidP="00430A79">
      <w:pPr>
        <w:jc w:val="both"/>
        <w:rPr>
          <w:rFonts w:ascii="Arial Narrow" w:hAnsi="Arial Narrow"/>
          <w:b/>
          <w:bCs/>
          <w:sz w:val="22"/>
          <w:szCs w:val="22"/>
          <w:lang w:eastAsia="bg-BG"/>
        </w:rPr>
      </w:pPr>
      <w:r w:rsidRPr="00430A79">
        <w:rPr>
          <w:rFonts w:ascii="Arial Narrow" w:hAnsi="Arial Narrow"/>
          <w:b/>
          <w:bCs/>
          <w:sz w:val="22"/>
          <w:szCs w:val="22"/>
          <w:lang w:eastAsia="bg-BG"/>
        </w:rPr>
        <w:t xml:space="preserve">Sasitë e </w:t>
      </w:r>
      <w:r w:rsidR="0067721A">
        <w:rPr>
          <w:rFonts w:ascii="Arial Narrow" w:hAnsi="Arial Narrow"/>
          <w:b/>
          <w:bCs/>
          <w:sz w:val="22"/>
          <w:szCs w:val="22"/>
          <w:lang w:eastAsia="bg-BG"/>
        </w:rPr>
        <w:t>MNRr-ve</w:t>
      </w:r>
      <w:r w:rsidRPr="00430A79">
        <w:rPr>
          <w:rFonts w:ascii="Arial Narrow" w:hAnsi="Arial Narrow"/>
          <w:b/>
          <w:bCs/>
          <w:sz w:val="22"/>
          <w:szCs w:val="22"/>
          <w:lang w:eastAsia="bg-BG"/>
        </w:rPr>
        <w:t xml:space="preserve"> në Rajonin e Dukagjinit</w:t>
      </w:r>
    </w:p>
    <w:p w14:paraId="170AB1AE" w14:textId="2BDE31AC" w:rsidR="00430A79" w:rsidRPr="00430A79" w:rsidRDefault="0067721A" w:rsidP="00430A79">
      <w:pPr>
        <w:jc w:val="both"/>
        <w:rPr>
          <w:rFonts w:ascii="Arial Narrow" w:hAnsi="Arial Narrow"/>
          <w:sz w:val="22"/>
          <w:szCs w:val="22"/>
          <w:lang w:eastAsia="bg-BG"/>
        </w:rPr>
      </w:pPr>
      <w:r w:rsidRPr="00BE2534">
        <w:rPr>
          <w:rFonts w:ascii="Arial Narrow" w:hAnsi="Arial Narrow"/>
          <w:sz w:val="22"/>
          <w:szCs w:val="22"/>
          <w:lang w:val="sq-AL" w:eastAsia="bg-BG"/>
        </w:rPr>
        <w:t xml:space="preserve">Tabela e mëposhtme paraqet sasitë e </w:t>
      </w:r>
      <w:r w:rsidRPr="00BE2534">
        <w:rPr>
          <w:rFonts w:ascii="Arial Narrow" w:hAnsi="Arial Narrow" w:cs="TTE20C1E10t00"/>
          <w:sz w:val="22"/>
          <w:szCs w:val="22"/>
          <w:lang w:val="sq-AL" w:eastAsia="bg-BG"/>
        </w:rPr>
        <w:t>MNRr</w:t>
      </w:r>
      <w:r w:rsidRPr="00BE2534">
        <w:rPr>
          <w:rFonts w:ascii="Arial Narrow" w:hAnsi="Arial Narrow"/>
          <w:sz w:val="22"/>
          <w:szCs w:val="22"/>
          <w:lang w:val="sq-AL" w:eastAsia="bg-BG"/>
        </w:rPr>
        <w:t xml:space="preserve"> -ve të vlerësuara të gjeneruara nga rajoni dhe nga secila komunë në periudhën 2026 dhe 2030</w:t>
      </w:r>
      <w:r w:rsidR="00430A79" w:rsidRPr="00430A79">
        <w:rPr>
          <w:rFonts w:ascii="Arial Narrow" w:hAnsi="Arial Narrow"/>
          <w:sz w:val="22"/>
          <w:szCs w:val="22"/>
          <w:lang w:eastAsia="bg-BG"/>
        </w:rPr>
        <w:t>.</w:t>
      </w:r>
    </w:p>
    <w:p w14:paraId="104F1F4E" w14:textId="77777777" w:rsidR="00430A79" w:rsidRPr="00430A79" w:rsidRDefault="00430A79" w:rsidP="00430A79">
      <w:pPr>
        <w:jc w:val="both"/>
        <w:rPr>
          <w:rFonts w:ascii="Arial Narrow" w:hAnsi="Arial Narrow"/>
          <w:sz w:val="22"/>
          <w:szCs w:val="22"/>
          <w:lang w:eastAsia="bg-BG"/>
        </w:rPr>
      </w:pPr>
    </w:p>
    <w:p w14:paraId="4670A490" w14:textId="42E76F0B" w:rsidR="00430A79" w:rsidRPr="009F5CA1" w:rsidRDefault="00430A79" w:rsidP="00430A79">
      <w:pPr>
        <w:keepNext/>
        <w:spacing w:after="120"/>
        <w:rPr>
          <w:rFonts w:ascii="Arial Narrow" w:eastAsia="Calibri" w:hAnsi="Arial Narrow" w:cs="Calibri"/>
          <w:color w:val="1F497D"/>
          <w:sz w:val="20"/>
          <w:szCs w:val="20"/>
          <w:lang w:val="es-ES"/>
        </w:rPr>
      </w:pPr>
      <w:bookmarkStart w:id="444" w:name="_Toc185866222"/>
      <w:bookmarkStart w:id="445" w:name="_Toc197472251"/>
      <w:proofErr w:type="spellStart"/>
      <w:r w:rsidRPr="009F5CA1">
        <w:rPr>
          <w:rFonts w:ascii="Arial Narrow" w:eastAsia="Calibri" w:hAnsi="Arial Narrow" w:cs="Calibri"/>
          <w:color w:val="1F497D"/>
          <w:sz w:val="20"/>
          <w:szCs w:val="20"/>
          <w:lang w:val="es-ES"/>
        </w:rPr>
        <w:t>Tabela</w:t>
      </w:r>
      <w:proofErr w:type="spellEnd"/>
      <w:r w:rsidRPr="009F5CA1">
        <w:rPr>
          <w:rFonts w:ascii="Arial Narrow" w:eastAsia="Calibri" w:hAnsi="Arial Narrow" w:cs="Calibri"/>
          <w:color w:val="1F497D"/>
          <w:sz w:val="20"/>
          <w:szCs w:val="20"/>
          <w:lang w:val="es-ES"/>
        </w:rPr>
        <w:t xml:space="preserve">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lang w:val="es-ES"/>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lang w:val="es-ES"/>
        </w:rPr>
        <w:t xml:space="preserve">66. </w:t>
      </w:r>
      <w:r w:rsidRPr="00430A79">
        <w:rPr>
          <w:rFonts w:ascii="Arial Narrow" w:eastAsia="Calibri" w:hAnsi="Arial Narrow" w:cs="Calibri"/>
          <w:color w:val="1F497D"/>
          <w:sz w:val="20"/>
          <w:szCs w:val="20"/>
          <w:lang w:val="en-GB"/>
        </w:rPr>
        <w:fldChar w:fldCharType="end"/>
      </w:r>
      <w:proofErr w:type="spellStart"/>
      <w:r w:rsidRPr="009F5CA1">
        <w:rPr>
          <w:rFonts w:ascii="Arial Narrow" w:eastAsia="Calibri" w:hAnsi="Arial Narrow" w:cs="Calibri"/>
          <w:color w:val="1F497D"/>
          <w:sz w:val="20"/>
          <w:szCs w:val="20"/>
          <w:lang w:val="es-ES"/>
        </w:rPr>
        <w:t>Sasitë</w:t>
      </w:r>
      <w:proofErr w:type="spellEnd"/>
      <w:r w:rsidRPr="009F5CA1">
        <w:rPr>
          <w:rFonts w:ascii="Arial Narrow" w:eastAsia="Calibri" w:hAnsi="Arial Narrow" w:cs="Calibri"/>
          <w:color w:val="1F497D"/>
          <w:sz w:val="20"/>
          <w:szCs w:val="20"/>
          <w:lang w:val="es-ES"/>
        </w:rPr>
        <w:t xml:space="preserve"> e </w:t>
      </w:r>
      <w:proofErr w:type="spellStart"/>
      <w:r w:rsidR="0067721A" w:rsidRPr="009F5CA1">
        <w:rPr>
          <w:rFonts w:ascii="Arial Narrow" w:eastAsia="Calibri" w:hAnsi="Arial Narrow" w:cs="Calibri"/>
          <w:color w:val="1F497D"/>
          <w:sz w:val="20"/>
          <w:szCs w:val="20"/>
          <w:lang w:val="es-ES"/>
        </w:rPr>
        <w:t>MNRr</w:t>
      </w:r>
      <w:proofErr w:type="spellEnd"/>
      <w:r w:rsidR="0067721A" w:rsidRPr="009F5CA1">
        <w:rPr>
          <w:rFonts w:ascii="Arial Narrow" w:eastAsia="Calibri" w:hAnsi="Arial Narrow" w:cs="Calibri"/>
          <w:color w:val="1F497D"/>
          <w:sz w:val="20"/>
          <w:szCs w:val="20"/>
          <w:lang w:val="es-ES"/>
        </w:rPr>
        <w:t>-ve</w:t>
      </w:r>
      <w:r w:rsidRPr="009F5CA1">
        <w:rPr>
          <w:rFonts w:ascii="Arial Narrow" w:eastAsia="Calibri" w:hAnsi="Arial Narrow" w:cs="Calibri"/>
          <w:color w:val="1F497D"/>
          <w:sz w:val="20"/>
          <w:szCs w:val="20"/>
          <w:lang w:val="es-ES"/>
        </w:rPr>
        <w:t xml:space="preserve"> </w:t>
      </w:r>
      <w:proofErr w:type="spellStart"/>
      <w:r w:rsidRPr="009F5CA1">
        <w:rPr>
          <w:rFonts w:ascii="Arial Narrow" w:eastAsia="Calibri" w:hAnsi="Arial Narrow" w:cs="Calibri"/>
          <w:color w:val="1F497D"/>
          <w:sz w:val="20"/>
          <w:szCs w:val="20"/>
          <w:lang w:val="es-ES"/>
        </w:rPr>
        <w:t>në</w:t>
      </w:r>
      <w:proofErr w:type="spellEnd"/>
      <w:r w:rsidRPr="009F5CA1">
        <w:rPr>
          <w:rFonts w:ascii="Arial Narrow" w:eastAsia="Calibri" w:hAnsi="Arial Narrow" w:cs="Calibri"/>
          <w:color w:val="1F497D"/>
          <w:sz w:val="20"/>
          <w:szCs w:val="20"/>
          <w:lang w:val="es-ES"/>
        </w:rPr>
        <w:t xml:space="preserve"> </w:t>
      </w:r>
      <w:proofErr w:type="spellStart"/>
      <w:r w:rsidRPr="009F5CA1">
        <w:rPr>
          <w:rFonts w:ascii="Arial Narrow" w:eastAsia="Calibri" w:hAnsi="Arial Narrow" w:cs="Calibri"/>
          <w:color w:val="1F497D"/>
          <w:sz w:val="20"/>
          <w:szCs w:val="20"/>
          <w:lang w:val="es-ES"/>
        </w:rPr>
        <w:t>Rajonin</w:t>
      </w:r>
      <w:proofErr w:type="spellEnd"/>
      <w:r w:rsidRPr="009F5CA1">
        <w:rPr>
          <w:rFonts w:ascii="Arial Narrow" w:eastAsia="Calibri" w:hAnsi="Arial Narrow" w:cs="Calibri"/>
          <w:color w:val="1F497D"/>
          <w:sz w:val="20"/>
          <w:szCs w:val="20"/>
          <w:lang w:val="es-ES"/>
        </w:rPr>
        <w:t xml:space="preserve"> e </w:t>
      </w:r>
      <w:proofErr w:type="spellStart"/>
      <w:r w:rsidRPr="009F5CA1">
        <w:rPr>
          <w:rFonts w:ascii="Arial Narrow" w:eastAsia="Calibri" w:hAnsi="Arial Narrow" w:cs="Calibri"/>
          <w:color w:val="1F497D"/>
          <w:sz w:val="20"/>
          <w:szCs w:val="20"/>
          <w:lang w:val="es-ES"/>
        </w:rPr>
        <w:t>Dukagjinit</w:t>
      </w:r>
      <w:bookmarkEnd w:id="444"/>
      <w:bookmarkEnd w:id="445"/>
      <w:proofErr w:type="spellEnd"/>
    </w:p>
    <w:tbl>
      <w:tblPr>
        <w:tblW w:w="6580" w:type="dxa"/>
        <w:tblLook w:val="04A0" w:firstRow="1" w:lastRow="0" w:firstColumn="1" w:lastColumn="0" w:noHBand="0" w:noVBand="1"/>
      </w:tblPr>
      <w:tblGrid>
        <w:gridCol w:w="2480"/>
        <w:gridCol w:w="1960"/>
        <w:gridCol w:w="2140"/>
      </w:tblGrid>
      <w:tr w:rsidR="00430A79" w:rsidRPr="00430A79" w14:paraId="7090F170" w14:textId="77777777" w:rsidTr="00D03949">
        <w:trPr>
          <w:trHeight w:val="270"/>
          <w:tblHeader/>
        </w:trPr>
        <w:tc>
          <w:tcPr>
            <w:tcW w:w="2480"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6A660F1D" w14:textId="722ECFEC" w:rsidR="00430A79" w:rsidRPr="00430A79" w:rsidRDefault="0067721A" w:rsidP="00430A79">
            <w:pPr>
              <w:rPr>
                <w:rFonts w:ascii="Arial Narrow" w:hAnsi="Arial Narrow"/>
                <w:b/>
                <w:bCs/>
                <w:color w:val="FFFFFF" w:themeColor="background1"/>
                <w:sz w:val="20"/>
                <w:szCs w:val="20"/>
              </w:rPr>
            </w:pPr>
            <w:r>
              <w:rPr>
                <w:rFonts w:ascii="Arial Narrow" w:hAnsi="Arial Narrow"/>
                <w:b/>
                <w:bCs/>
                <w:color w:val="FFFFFF" w:themeColor="background1"/>
                <w:sz w:val="20"/>
                <w:szCs w:val="20"/>
              </w:rPr>
              <w:t>Komuna</w:t>
            </w:r>
          </w:p>
        </w:tc>
        <w:tc>
          <w:tcPr>
            <w:tcW w:w="1960" w:type="dxa"/>
            <w:tcBorders>
              <w:top w:val="single" w:sz="4" w:space="0" w:color="auto"/>
              <w:left w:val="nil"/>
              <w:bottom w:val="single" w:sz="4" w:space="0" w:color="auto"/>
              <w:right w:val="single" w:sz="4" w:space="0" w:color="auto"/>
            </w:tcBorders>
            <w:shd w:val="clear" w:color="auto" w:fill="365F91"/>
            <w:noWrap/>
            <w:vAlign w:val="bottom"/>
            <w:hideMark/>
          </w:tcPr>
          <w:p w14:paraId="685EAD77" w14:textId="77777777" w:rsidR="00430A79" w:rsidRPr="00430A79" w:rsidRDefault="00430A79" w:rsidP="00430A79">
            <w:pPr>
              <w:jc w:val="right"/>
              <w:rPr>
                <w:rFonts w:ascii="Arial Narrow" w:hAnsi="Arial Narrow"/>
                <w:b/>
                <w:bCs/>
                <w:color w:val="FFFFFF" w:themeColor="background1"/>
                <w:sz w:val="20"/>
                <w:szCs w:val="20"/>
              </w:rPr>
            </w:pPr>
            <w:r w:rsidRPr="00430A79">
              <w:rPr>
                <w:rFonts w:ascii="Arial Narrow" w:hAnsi="Arial Narrow"/>
                <w:b/>
                <w:bCs/>
                <w:color w:val="FFFFFF" w:themeColor="background1"/>
                <w:sz w:val="20"/>
                <w:szCs w:val="20"/>
              </w:rPr>
              <w:t>2026</w:t>
            </w:r>
          </w:p>
        </w:tc>
        <w:tc>
          <w:tcPr>
            <w:tcW w:w="2140" w:type="dxa"/>
            <w:tcBorders>
              <w:top w:val="single" w:sz="4" w:space="0" w:color="auto"/>
              <w:left w:val="nil"/>
              <w:bottom w:val="single" w:sz="4" w:space="0" w:color="auto"/>
              <w:right w:val="single" w:sz="4" w:space="0" w:color="auto"/>
            </w:tcBorders>
            <w:shd w:val="clear" w:color="auto" w:fill="365F91"/>
            <w:noWrap/>
            <w:vAlign w:val="bottom"/>
            <w:hideMark/>
          </w:tcPr>
          <w:p w14:paraId="13319795" w14:textId="77777777" w:rsidR="00430A79" w:rsidRPr="00430A79" w:rsidRDefault="00430A79" w:rsidP="00430A79">
            <w:pPr>
              <w:jc w:val="right"/>
              <w:rPr>
                <w:rFonts w:ascii="Arial Narrow" w:hAnsi="Arial Narrow"/>
                <w:b/>
                <w:bCs/>
                <w:color w:val="FFFFFF" w:themeColor="background1"/>
                <w:sz w:val="20"/>
                <w:szCs w:val="20"/>
              </w:rPr>
            </w:pPr>
            <w:r w:rsidRPr="00430A79">
              <w:rPr>
                <w:rFonts w:ascii="Arial Narrow" w:hAnsi="Arial Narrow"/>
                <w:b/>
                <w:bCs/>
                <w:color w:val="FFFFFF" w:themeColor="background1"/>
                <w:sz w:val="20"/>
                <w:szCs w:val="20"/>
              </w:rPr>
              <w:t>2030</w:t>
            </w:r>
          </w:p>
        </w:tc>
      </w:tr>
      <w:tr w:rsidR="00430A79" w:rsidRPr="00430A79" w14:paraId="1B103F4E" w14:textId="77777777" w:rsidTr="00D03949">
        <w:trPr>
          <w:trHeight w:val="27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38B4C61" w14:textId="77777777"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Pejë</w:t>
            </w:r>
          </w:p>
        </w:tc>
        <w:tc>
          <w:tcPr>
            <w:tcW w:w="1960" w:type="dxa"/>
            <w:tcBorders>
              <w:top w:val="nil"/>
              <w:left w:val="nil"/>
              <w:bottom w:val="single" w:sz="4" w:space="0" w:color="auto"/>
              <w:right w:val="single" w:sz="4" w:space="0" w:color="auto"/>
            </w:tcBorders>
            <w:shd w:val="clear" w:color="auto" w:fill="auto"/>
            <w:noWrap/>
            <w:vAlign w:val="bottom"/>
            <w:hideMark/>
          </w:tcPr>
          <w:p w14:paraId="11FDCDED"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22,387</w:t>
            </w:r>
          </w:p>
        </w:tc>
        <w:tc>
          <w:tcPr>
            <w:tcW w:w="2140" w:type="dxa"/>
            <w:tcBorders>
              <w:top w:val="nil"/>
              <w:left w:val="nil"/>
              <w:bottom w:val="single" w:sz="4" w:space="0" w:color="auto"/>
              <w:right w:val="single" w:sz="4" w:space="0" w:color="auto"/>
            </w:tcBorders>
            <w:shd w:val="clear" w:color="auto" w:fill="auto"/>
            <w:noWrap/>
            <w:vAlign w:val="bottom"/>
            <w:hideMark/>
          </w:tcPr>
          <w:p w14:paraId="50D1C8C6"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27,008</w:t>
            </w:r>
          </w:p>
        </w:tc>
      </w:tr>
      <w:tr w:rsidR="00430A79" w:rsidRPr="00430A79" w14:paraId="5D18CBE0" w14:textId="77777777" w:rsidTr="00D03949">
        <w:trPr>
          <w:trHeight w:val="27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95951FA" w14:textId="77777777"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Istog</w:t>
            </w:r>
          </w:p>
        </w:tc>
        <w:tc>
          <w:tcPr>
            <w:tcW w:w="1960" w:type="dxa"/>
            <w:tcBorders>
              <w:top w:val="nil"/>
              <w:left w:val="nil"/>
              <w:bottom w:val="single" w:sz="4" w:space="0" w:color="auto"/>
              <w:right w:val="single" w:sz="4" w:space="0" w:color="auto"/>
            </w:tcBorders>
            <w:shd w:val="clear" w:color="auto" w:fill="auto"/>
            <w:noWrap/>
            <w:vAlign w:val="bottom"/>
            <w:hideMark/>
          </w:tcPr>
          <w:p w14:paraId="52AAB7F7"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13,309</w:t>
            </w:r>
          </w:p>
        </w:tc>
        <w:tc>
          <w:tcPr>
            <w:tcW w:w="2140" w:type="dxa"/>
            <w:tcBorders>
              <w:top w:val="nil"/>
              <w:left w:val="nil"/>
              <w:bottom w:val="single" w:sz="4" w:space="0" w:color="auto"/>
              <w:right w:val="single" w:sz="4" w:space="0" w:color="auto"/>
            </w:tcBorders>
            <w:shd w:val="clear" w:color="auto" w:fill="auto"/>
            <w:noWrap/>
            <w:vAlign w:val="bottom"/>
            <w:hideMark/>
          </w:tcPr>
          <w:p w14:paraId="7A6057E4"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16,077</w:t>
            </w:r>
          </w:p>
        </w:tc>
      </w:tr>
      <w:tr w:rsidR="00430A79" w:rsidRPr="00430A79" w14:paraId="26892237" w14:textId="77777777" w:rsidTr="00D03949">
        <w:trPr>
          <w:trHeight w:val="27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B522891" w14:textId="77777777"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Klinë</w:t>
            </w:r>
          </w:p>
        </w:tc>
        <w:tc>
          <w:tcPr>
            <w:tcW w:w="1960" w:type="dxa"/>
            <w:tcBorders>
              <w:top w:val="nil"/>
              <w:left w:val="nil"/>
              <w:bottom w:val="single" w:sz="4" w:space="0" w:color="auto"/>
              <w:right w:val="single" w:sz="4" w:space="0" w:color="auto"/>
            </w:tcBorders>
            <w:shd w:val="clear" w:color="auto" w:fill="auto"/>
            <w:noWrap/>
            <w:vAlign w:val="bottom"/>
            <w:hideMark/>
          </w:tcPr>
          <w:p w14:paraId="39EB1480"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10,832</w:t>
            </w:r>
          </w:p>
        </w:tc>
        <w:tc>
          <w:tcPr>
            <w:tcW w:w="2140" w:type="dxa"/>
            <w:tcBorders>
              <w:top w:val="nil"/>
              <w:left w:val="nil"/>
              <w:bottom w:val="single" w:sz="4" w:space="0" w:color="auto"/>
              <w:right w:val="single" w:sz="4" w:space="0" w:color="auto"/>
            </w:tcBorders>
            <w:shd w:val="clear" w:color="auto" w:fill="auto"/>
            <w:noWrap/>
            <w:vAlign w:val="bottom"/>
            <w:hideMark/>
          </w:tcPr>
          <w:p w14:paraId="0A7E3377"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13,076</w:t>
            </w:r>
          </w:p>
        </w:tc>
      </w:tr>
      <w:tr w:rsidR="00430A79" w:rsidRPr="00430A79" w14:paraId="69DBC0AF" w14:textId="77777777" w:rsidTr="00D03949">
        <w:trPr>
          <w:trHeight w:val="27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5F2647B" w14:textId="77777777"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Deçan</w:t>
            </w:r>
          </w:p>
        </w:tc>
        <w:tc>
          <w:tcPr>
            <w:tcW w:w="1960" w:type="dxa"/>
            <w:tcBorders>
              <w:top w:val="nil"/>
              <w:left w:val="nil"/>
              <w:bottom w:val="single" w:sz="4" w:space="0" w:color="auto"/>
              <w:right w:val="single" w:sz="4" w:space="0" w:color="auto"/>
            </w:tcBorders>
            <w:shd w:val="clear" w:color="auto" w:fill="auto"/>
            <w:noWrap/>
            <w:vAlign w:val="bottom"/>
            <w:hideMark/>
          </w:tcPr>
          <w:p w14:paraId="6F05ADFA"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2,010</w:t>
            </w:r>
          </w:p>
        </w:tc>
        <w:tc>
          <w:tcPr>
            <w:tcW w:w="2140" w:type="dxa"/>
            <w:tcBorders>
              <w:top w:val="nil"/>
              <w:left w:val="nil"/>
              <w:bottom w:val="single" w:sz="4" w:space="0" w:color="auto"/>
              <w:right w:val="single" w:sz="4" w:space="0" w:color="auto"/>
            </w:tcBorders>
            <w:shd w:val="clear" w:color="auto" w:fill="auto"/>
            <w:noWrap/>
            <w:vAlign w:val="bottom"/>
            <w:hideMark/>
          </w:tcPr>
          <w:p w14:paraId="47F05438"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2,384</w:t>
            </w:r>
          </w:p>
        </w:tc>
      </w:tr>
      <w:tr w:rsidR="00430A79" w:rsidRPr="00430A79" w14:paraId="38ADECB1" w14:textId="77777777" w:rsidTr="00D03949">
        <w:trPr>
          <w:trHeight w:val="27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E7BD955" w14:textId="77777777" w:rsidR="00430A79" w:rsidRPr="00430A79" w:rsidRDefault="00430A79" w:rsidP="00430A79">
            <w:pPr>
              <w:rPr>
                <w:rFonts w:ascii="Arial Narrow" w:hAnsi="Arial Narrow"/>
                <w:color w:val="000000"/>
                <w:sz w:val="20"/>
                <w:szCs w:val="20"/>
              </w:rPr>
            </w:pPr>
            <w:r w:rsidRPr="00430A79">
              <w:rPr>
                <w:rFonts w:ascii="Arial Narrow" w:hAnsi="Arial Narrow"/>
                <w:color w:val="000000"/>
                <w:sz w:val="20"/>
                <w:szCs w:val="20"/>
              </w:rPr>
              <w:t>Junik</w:t>
            </w:r>
          </w:p>
        </w:tc>
        <w:tc>
          <w:tcPr>
            <w:tcW w:w="1960" w:type="dxa"/>
            <w:tcBorders>
              <w:top w:val="nil"/>
              <w:left w:val="nil"/>
              <w:bottom w:val="single" w:sz="4" w:space="0" w:color="auto"/>
              <w:right w:val="single" w:sz="4" w:space="0" w:color="auto"/>
            </w:tcBorders>
            <w:shd w:val="clear" w:color="auto" w:fill="auto"/>
            <w:noWrap/>
            <w:vAlign w:val="bottom"/>
            <w:hideMark/>
          </w:tcPr>
          <w:p w14:paraId="604D70F6"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390</w:t>
            </w:r>
          </w:p>
        </w:tc>
        <w:tc>
          <w:tcPr>
            <w:tcW w:w="2140" w:type="dxa"/>
            <w:tcBorders>
              <w:top w:val="nil"/>
              <w:left w:val="nil"/>
              <w:bottom w:val="single" w:sz="4" w:space="0" w:color="auto"/>
              <w:right w:val="single" w:sz="4" w:space="0" w:color="auto"/>
            </w:tcBorders>
            <w:shd w:val="clear" w:color="auto" w:fill="auto"/>
            <w:noWrap/>
            <w:vAlign w:val="bottom"/>
            <w:hideMark/>
          </w:tcPr>
          <w:p w14:paraId="15F37A77" w14:textId="77777777" w:rsidR="00430A79" w:rsidRPr="00430A79" w:rsidRDefault="00430A79" w:rsidP="00430A79">
            <w:pPr>
              <w:jc w:val="right"/>
              <w:rPr>
                <w:rFonts w:ascii="Arial Narrow" w:hAnsi="Arial Narrow"/>
                <w:color w:val="000000"/>
                <w:sz w:val="20"/>
                <w:szCs w:val="20"/>
              </w:rPr>
            </w:pPr>
            <w:r w:rsidRPr="00430A79">
              <w:rPr>
                <w:rFonts w:ascii="Arial Narrow" w:hAnsi="Arial Narrow"/>
                <w:color w:val="000000"/>
                <w:sz w:val="20"/>
                <w:szCs w:val="20"/>
              </w:rPr>
              <w:t>465</w:t>
            </w:r>
          </w:p>
        </w:tc>
      </w:tr>
      <w:tr w:rsidR="00430A79" w:rsidRPr="00430A79" w14:paraId="392C9807" w14:textId="77777777" w:rsidTr="00D03949">
        <w:trPr>
          <w:trHeight w:val="27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35E0464" w14:textId="77777777" w:rsidR="00430A79" w:rsidRPr="00430A79" w:rsidRDefault="00430A79" w:rsidP="00430A79">
            <w:pPr>
              <w:rPr>
                <w:rFonts w:ascii="Arial Narrow" w:hAnsi="Arial Narrow"/>
                <w:b/>
                <w:bCs/>
                <w:color w:val="000000"/>
                <w:sz w:val="20"/>
                <w:szCs w:val="20"/>
              </w:rPr>
            </w:pPr>
            <w:r w:rsidRPr="00430A79">
              <w:rPr>
                <w:rFonts w:ascii="Arial Narrow" w:hAnsi="Arial Narrow"/>
                <w:b/>
                <w:bCs/>
                <w:color w:val="000000"/>
                <w:sz w:val="20"/>
                <w:szCs w:val="20"/>
              </w:rPr>
              <w:lastRenderedPageBreak/>
              <w:t>Totali</w:t>
            </w:r>
          </w:p>
        </w:tc>
        <w:tc>
          <w:tcPr>
            <w:tcW w:w="1960" w:type="dxa"/>
            <w:tcBorders>
              <w:top w:val="nil"/>
              <w:left w:val="nil"/>
              <w:bottom w:val="single" w:sz="4" w:space="0" w:color="auto"/>
              <w:right w:val="single" w:sz="4" w:space="0" w:color="auto"/>
            </w:tcBorders>
            <w:shd w:val="clear" w:color="auto" w:fill="auto"/>
            <w:noWrap/>
            <w:vAlign w:val="bottom"/>
            <w:hideMark/>
          </w:tcPr>
          <w:p w14:paraId="48DB2BBF" w14:textId="77777777" w:rsidR="00430A79" w:rsidRPr="00430A79" w:rsidRDefault="00430A79" w:rsidP="00430A79">
            <w:pPr>
              <w:jc w:val="right"/>
              <w:rPr>
                <w:rFonts w:ascii="Arial Narrow" w:hAnsi="Arial Narrow"/>
                <w:b/>
                <w:bCs/>
                <w:color w:val="000000"/>
                <w:sz w:val="20"/>
                <w:szCs w:val="20"/>
              </w:rPr>
            </w:pPr>
            <w:r w:rsidRPr="00430A79">
              <w:rPr>
                <w:rFonts w:ascii="Arial Narrow" w:hAnsi="Arial Narrow"/>
                <w:b/>
                <w:bCs/>
                <w:color w:val="000000"/>
                <w:sz w:val="20"/>
                <w:szCs w:val="20"/>
              </w:rPr>
              <w:t>48,928</w:t>
            </w:r>
          </w:p>
        </w:tc>
        <w:tc>
          <w:tcPr>
            <w:tcW w:w="2140" w:type="dxa"/>
            <w:tcBorders>
              <w:top w:val="nil"/>
              <w:left w:val="nil"/>
              <w:bottom w:val="single" w:sz="4" w:space="0" w:color="auto"/>
              <w:right w:val="single" w:sz="4" w:space="0" w:color="auto"/>
            </w:tcBorders>
            <w:shd w:val="clear" w:color="auto" w:fill="auto"/>
            <w:noWrap/>
            <w:vAlign w:val="bottom"/>
            <w:hideMark/>
          </w:tcPr>
          <w:p w14:paraId="1B2A19CD" w14:textId="77777777" w:rsidR="00430A79" w:rsidRPr="00430A79" w:rsidRDefault="00430A79" w:rsidP="00430A79">
            <w:pPr>
              <w:jc w:val="right"/>
              <w:rPr>
                <w:rFonts w:ascii="Arial Narrow" w:hAnsi="Arial Narrow"/>
                <w:b/>
                <w:bCs/>
                <w:color w:val="000000"/>
                <w:sz w:val="20"/>
                <w:szCs w:val="20"/>
              </w:rPr>
            </w:pPr>
            <w:r w:rsidRPr="00430A79">
              <w:rPr>
                <w:rFonts w:ascii="Arial Narrow" w:hAnsi="Arial Narrow"/>
                <w:b/>
                <w:bCs/>
                <w:color w:val="000000"/>
                <w:sz w:val="20"/>
                <w:szCs w:val="20"/>
              </w:rPr>
              <w:t>59,010</w:t>
            </w:r>
          </w:p>
        </w:tc>
      </w:tr>
    </w:tbl>
    <w:p w14:paraId="72110A4F" w14:textId="77777777" w:rsidR="0067721A" w:rsidRDefault="00430A79" w:rsidP="00430A79">
      <w:pPr>
        <w:jc w:val="both"/>
        <w:rPr>
          <w:rFonts w:ascii="Arial Narrow" w:hAnsi="Arial Narrow"/>
          <w:i/>
          <w:iCs/>
          <w:sz w:val="20"/>
          <w:szCs w:val="20"/>
          <w:lang w:eastAsia="bg-BG"/>
        </w:rPr>
      </w:pPr>
      <w:r w:rsidRPr="00430A79">
        <w:rPr>
          <w:rFonts w:ascii="Arial Narrow" w:hAnsi="Arial Narrow"/>
          <w:i/>
          <w:iCs/>
          <w:sz w:val="20"/>
          <w:szCs w:val="20"/>
          <w:lang w:eastAsia="bg-BG"/>
        </w:rPr>
        <w:t xml:space="preserve">Burimi: </w:t>
      </w:r>
      <w:r w:rsidR="0067721A">
        <w:rPr>
          <w:rFonts w:ascii="Arial Narrow" w:hAnsi="Arial Narrow"/>
          <w:i/>
          <w:iCs/>
          <w:sz w:val="20"/>
          <w:szCs w:val="20"/>
          <w:lang w:eastAsia="bg-BG"/>
        </w:rPr>
        <w:t>PKMMNRr</w:t>
      </w:r>
    </w:p>
    <w:p w14:paraId="3A0746E8" w14:textId="77777777" w:rsidR="0067721A" w:rsidRDefault="0067721A" w:rsidP="00430A79">
      <w:pPr>
        <w:jc w:val="both"/>
        <w:rPr>
          <w:rFonts w:ascii="Arial Narrow" w:hAnsi="Arial Narrow"/>
          <w:i/>
          <w:iCs/>
          <w:sz w:val="20"/>
          <w:szCs w:val="20"/>
          <w:lang w:eastAsia="bg-BG"/>
        </w:rPr>
      </w:pPr>
    </w:p>
    <w:p w14:paraId="5CE316DF" w14:textId="7DFEC194" w:rsidR="00430A79" w:rsidRPr="00430A79" w:rsidRDefault="00430A79" w:rsidP="00430A79">
      <w:pPr>
        <w:jc w:val="both"/>
        <w:rPr>
          <w:rFonts w:ascii="Arial Narrow" w:hAnsi="Arial Narrow"/>
          <w:sz w:val="22"/>
          <w:szCs w:val="22"/>
          <w:lang w:val="bg-BG" w:eastAsia="bg-BG"/>
        </w:rPr>
      </w:pPr>
      <w:r w:rsidRPr="00430A79">
        <w:rPr>
          <w:rFonts w:ascii="Arial Narrow" w:hAnsi="Arial Narrow"/>
          <w:sz w:val="22"/>
          <w:szCs w:val="22"/>
          <w:lang w:eastAsia="bg-BG"/>
        </w:rPr>
        <w:t xml:space="preserve">Plani Kombëtar i Menaxhimit të Mbeturinave të </w:t>
      </w:r>
      <w:r w:rsidR="0067721A">
        <w:rPr>
          <w:rFonts w:ascii="Arial Narrow" w:hAnsi="Arial Narrow"/>
          <w:sz w:val="22"/>
          <w:szCs w:val="22"/>
          <w:lang w:eastAsia="bg-BG"/>
        </w:rPr>
        <w:t>Ndërtimit dhe Rrënimit</w:t>
      </w:r>
      <w:r w:rsidRPr="00430A79">
        <w:rPr>
          <w:rFonts w:ascii="Arial Narrow" w:hAnsi="Arial Narrow"/>
          <w:sz w:val="22"/>
          <w:szCs w:val="22"/>
          <w:lang w:eastAsia="bg-BG"/>
        </w:rPr>
        <w:t xml:space="preserve"> (</w:t>
      </w:r>
      <w:r w:rsidR="0067721A">
        <w:rPr>
          <w:rFonts w:ascii="Arial Narrow" w:hAnsi="Arial Narrow"/>
          <w:sz w:val="22"/>
          <w:szCs w:val="22"/>
          <w:lang w:eastAsia="bg-BG"/>
        </w:rPr>
        <w:t>PKMMNRr</w:t>
      </w:r>
      <w:r w:rsidRPr="00430A79">
        <w:rPr>
          <w:rFonts w:ascii="Arial Narrow" w:hAnsi="Arial Narrow"/>
          <w:sz w:val="22"/>
          <w:szCs w:val="22"/>
          <w:lang w:eastAsia="bg-BG"/>
        </w:rPr>
        <w:t>) vlerëso</w:t>
      </w:r>
      <w:r w:rsidR="0067721A">
        <w:rPr>
          <w:rFonts w:ascii="Arial Narrow" w:hAnsi="Arial Narrow"/>
          <w:sz w:val="22"/>
          <w:szCs w:val="22"/>
          <w:lang w:eastAsia="bg-BG"/>
        </w:rPr>
        <w:t xml:space="preserve">n se </w:t>
      </w:r>
      <w:r w:rsidRPr="00430A79">
        <w:rPr>
          <w:rFonts w:ascii="Arial Narrow" w:hAnsi="Arial Narrow"/>
          <w:sz w:val="22"/>
          <w:szCs w:val="22"/>
          <w:lang w:eastAsia="bg-BG"/>
        </w:rPr>
        <w:t>sasitë e M</w:t>
      </w:r>
      <w:r w:rsidR="00A82101">
        <w:rPr>
          <w:rFonts w:ascii="Arial Narrow" w:hAnsi="Arial Narrow"/>
          <w:sz w:val="22"/>
          <w:szCs w:val="22"/>
          <w:lang w:eastAsia="bg-BG"/>
        </w:rPr>
        <w:t xml:space="preserve">NRr-ve </w:t>
      </w:r>
      <w:r w:rsidRPr="00430A79">
        <w:rPr>
          <w:rFonts w:ascii="Arial Narrow" w:hAnsi="Arial Narrow"/>
          <w:sz w:val="22"/>
          <w:szCs w:val="22"/>
          <w:lang w:eastAsia="bg-BG"/>
        </w:rPr>
        <w:t xml:space="preserve">të gjeneruara në Rajonin e Dukagjinit </w:t>
      </w:r>
      <w:r w:rsidR="00A82101">
        <w:rPr>
          <w:rFonts w:ascii="Arial Narrow" w:hAnsi="Arial Narrow"/>
          <w:sz w:val="22"/>
          <w:szCs w:val="22"/>
          <w:lang w:eastAsia="bg-BG"/>
        </w:rPr>
        <w:t>prej</w:t>
      </w:r>
      <w:r w:rsidRPr="00430A79">
        <w:rPr>
          <w:rFonts w:ascii="Arial Narrow" w:hAnsi="Arial Narrow"/>
          <w:sz w:val="22"/>
          <w:szCs w:val="22"/>
          <w:lang w:eastAsia="bg-BG"/>
        </w:rPr>
        <w:t xml:space="preserve"> 59,010 ton</w:t>
      </w:r>
      <w:r w:rsidR="00A82101">
        <w:rPr>
          <w:rFonts w:ascii="Arial Narrow" w:hAnsi="Arial Narrow"/>
          <w:sz w:val="22"/>
          <w:szCs w:val="22"/>
          <w:lang w:eastAsia="bg-BG"/>
        </w:rPr>
        <w:t>ë</w:t>
      </w:r>
      <w:r w:rsidRPr="00430A79">
        <w:rPr>
          <w:rFonts w:ascii="Arial Narrow" w:hAnsi="Arial Narrow"/>
          <w:sz w:val="22"/>
          <w:szCs w:val="22"/>
          <w:lang w:eastAsia="bg-BG"/>
        </w:rPr>
        <w:t xml:space="preserve"> në vitin 2030, ose 71,045 m³.</w:t>
      </w:r>
    </w:p>
    <w:p w14:paraId="0EF1579C" w14:textId="77777777" w:rsidR="00430A79" w:rsidRPr="00430A79" w:rsidRDefault="00430A79" w:rsidP="00430A79">
      <w:pPr>
        <w:jc w:val="both"/>
        <w:rPr>
          <w:rFonts w:ascii="Arial Narrow" w:hAnsi="Arial Narrow"/>
          <w:sz w:val="22"/>
          <w:szCs w:val="22"/>
          <w:lang w:val="bg-BG" w:eastAsia="bg-BG"/>
        </w:rPr>
      </w:pPr>
    </w:p>
    <w:p w14:paraId="5BBAB30B" w14:textId="2F80045D" w:rsidR="00430A79" w:rsidRPr="009F5CA1" w:rsidRDefault="00430A79" w:rsidP="00430A79">
      <w:pPr>
        <w:jc w:val="both"/>
        <w:rPr>
          <w:rFonts w:ascii="Arial Narrow" w:hAnsi="Arial Narrow"/>
          <w:b/>
          <w:bCs/>
          <w:sz w:val="22"/>
          <w:szCs w:val="22"/>
          <w:lang w:val="bg-BG" w:eastAsia="bg-BG"/>
        </w:rPr>
      </w:pPr>
      <w:proofErr w:type="spellStart"/>
      <w:r w:rsidRPr="00430A79">
        <w:rPr>
          <w:rFonts w:ascii="Arial Narrow" w:hAnsi="Arial Narrow"/>
          <w:b/>
          <w:bCs/>
          <w:sz w:val="22"/>
          <w:szCs w:val="22"/>
          <w:lang w:val="en-GB" w:eastAsia="bg-BG"/>
        </w:rPr>
        <w:t>Pajisjet</w:t>
      </w:r>
      <w:proofErr w:type="spellEnd"/>
      <w:r w:rsidRPr="009F5CA1">
        <w:rPr>
          <w:rFonts w:ascii="Arial Narrow" w:hAnsi="Arial Narrow"/>
          <w:b/>
          <w:bCs/>
          <w:sz w:val="22"/>
          <w:szCs w:val="22"/>
          <w:lang w:val="bg-BG" w:eastAsia="bg-BG"/>
        </w:rPr>
        <w:t xml:space="preserve"> </w:t>
      </w:r>
      <w:r w:rsidR="00A82101">
        <w:rPr>
          <w:rFonts w:ascii="Arial Narrow" w:hAnsi="Arial Narrow"/>
          <w:b/>
          <w:bCs/>
          <w:sz w:val="22"/>
          <w:szCs w:val="22"/>
          <w:lang w:val="en-GB" w:eastAsia="bg-BG"/>
        </w:rPr>
        <w:t>p</w:t>
      </w:r>
      <w:r w:rsidR="00A82101" w:rsidRPr="009F5CA1">
        <w:rPr>
          <w:rFonts w:ascii="Arial Narrow" w:hAnsi="Arial Narrow"/>
          <w:b/>
          <w:bCs/>
          <w:sz w:val="22"/>
          <w:szCs w:val="22"/>
          <w:lang w:val="bg-BG" w:eastAsia="bg-BG"/>
        </w:rPr>
        <w:t>ë</w:t>
      </w:r>
      <w:r w:rsidR="00A82101">
        <w:rPr>
          <w:rFonts w:ascii="Arial Narrow" w:hAnsi="Arial Narrow"/>
          <w:b/>
          <w:bCs/>
          <w:sz w:val="22"/>
          <w:szCs w:val="22"/>
          <w:lang w:val="en-GB" w:eastAsia="bg-BG"/>
        </w:rPr>
        <w:t>r</w:t>
      </w:r>
      <w:r w:rsidR="00A82101" w:rsidRPr="009F5CA1">
        <w:rPr>
          <w:rFonts w:ascii="Arial Narrow" w:hAnsi="Arial Narrow"/>
          <w:b/>
          <w:bCs/>
          <w:sz w:val="22"/>
          <w:szCs w:val="22"/>
          <w:lang w:val="bg-BG" w:eastAsia="bg-BG"/>
        </w:rPr>
        <w:t xml:space="preserve"> </w:t>
      </w:r>
      <w:proofErr w:type="spellStart"/>
      <w:r w:rsidR="00A82101">
        <w:rPr>
          <w:rFonts w:ascii="Arial Narrow" w:hAnsi="Arial Narrow"/>
          <w:b/>
          <w:bCs/>
          <w:sz w:val="22"/>
          <w:szCs w:val="22"/>
          <w:lang w:val="en-GB" w:eastAsia="bg-BG"/>
        </w:rPr>
        <w:t>grumbullim</w:t>
      </w:r>
      <w:proofErr w:type="spellEnd"/>
      <w:r w:rsidR="00A82101" w:rsidRPr="009F5CA1">
        <w:rPr>
          <w:rFonts w:ascii="Arial Narrow" w:hAnsi="Arial Narrow"/>
          <w:b/>
          <w:bCs/>
          <w:sz w:val="22"/>
          <w:szCs w:val="22"/>
          <w:lang w:val="bg-BG" w:eastAsia="bg-BG"/>
        </w:rPr>
        <w:t xml:space="preserve"> </w:t>
      </w:r>
      <w:proofErr w:type="spellStart"/>
      <w:r w:rsidR="00A82101">
        <w:rPr>
          <w:rFonts w:ascii="Arial Narrow" w:hAnsi="Arial Narrow"/>
          <w:b/>
          <w:bCs/>
          <w:sz w:val="22"/>
          <w:szCs w:val="22"/>
          <w:lang w:val="en-GB" w:eastAsia="bg-BG"/>
        </w:rPr>
        <w:t>dhe</w:t>
      </w:r>
      <w:proofErr w:type="spellEnd"/>
      <w:r w:rsidR="00A82101" w:rsidRPr="009F5CA1">
        <w:rPr>
          <w:rFonts w:ascii="Arial Narrow" w:hAnsi="Arial Narrow"/>
          <w:b/>
          <w:bCs/>
          <w:sz w:val="22"/>
          <w:szCs w:val="22"/>
          <w:lang w:val="bg-BG" w:eastAsia="bg-BG"/>
        </w:rPr>
        <w:t xml:space="preserve"> </w:t>
      </w:r>
      <w:r w:rsidR="00A82101">
        <w:rPr>
          <w:rFonts w:ascii="Arial Narrow" w:hAnsi="Arial Narrow"/>
          <w:b/>
          <w:bCs/>
          <w:sz w:val="22"/>
          <w:szCs w:val="22"/>
          <w:lang w:val="en-GB" w:eastAsia="bg-BG"/>
        </w:rPr>
        <w:t>transport</w:t>
      </w:r>
    </w:p>
    <w:p w14:paraId="24738FC1" w14:textId="4789AA7B" w:rsidR="00430A79" w:rsidRPr="009F5CA1" w:rsidRDefault="00430A79" w:rsidP="00430A79">
      <w:pPr>
        <w:jc w:val="both"/>
        <w:rPr>
          <w:rFonts w:ascii="Arial Narrow" w:hAnsi="Arial Narrow"/>
          <w:sz w:val="22"/>
          <w:szCs w:val="22"/>
          <w:lang w:val="bg-BG" w:eastAsia="bg-BG"/>
        </w:rPr>
      </w:pPr>
      <w:proofErr w:type="spellStart"/>
      <w:r w:rsidRPr="00430A79">
        <w:rPr>
          <w:rFonts w:ascii="Arial Narrow" w:hAnsi="Arial Narrow"/>
          <w:sz w:val="22"/>
          <w:szCs w:val="22"/>
          <w:lang w:val="en-GB" w:eastAsia="bg-BG"/>
        </w:rPr>
        <w:t>Tabela</w:t>
      </w:r>
      <w:proofErr w:type="spellEnd"/>
      <w:r w:rsidRPr="009F5CA1">
        <w:rPr>
          <w:rFonts w:ascii="Arial Narrow" w:hAnsi="Arial Narrow"/>
          <w:sz w:val="22"/>
          <w:szCs w:val="22"/>
          <w:lang w:val="bg-BG" w:eastAsia="bg-BG"/>
        </w:rPr>
        <w:t xml:space="preserve"> </w:t>
      </w:r>
      <w:r w:rsidRPr="00430A79">
        <w:rPr>
          <w:rFonts w:ascii="Arial Narrow" w:hAnsi="Arial Narrow"/>
          <w:sz w:val="22"/>
          <w:szCs w:val="22"/>
          <w:lang w:val="en-GB" w:eastAsia="bg-BG"/>
        </w:rPr>
        <w:t>m</w:t>
      </w:r>
      <w:r w:rsidRPr="009F5CA1">
        <w:rPr>
          <w:rFonts w:ascii="Arial Narrow" w:hAnsi="Arial Narrow"/>
          <w:sz w:val="22"/>
          <w:szCs w:val="22"/>
          <w:lang w:val="bg-BG" w:eastAsia="bg-BG"/>
        </w:rPr>
        <w:t xml:space="preserve">ë </w:t>
      </w:r>
      <w:proofErr w:type="spellStart"/>
      <w:r w:rsidRPr="00430A79">
        <w:rPr>
          <w:rFonts w:ascii="Arial Narrow" w:hAnsi="Arial Narrow"/>
          <w:sz w:val="22"/>
          <w:szCs w:val="22"/>
          <w:lang w:val="en-GB" w:eastAsia="bg-BG"/>
        </w:rPr>
        <w:t>posht</w:t>
      </w:r>
      <w:proofErr w:type="spellEnd"/>
      <w:r w:rsidRPr="009F5CA1">
        <w:rPr>
          <w:rFonts w:ascii="Arial Narrow" w:hAnsi="Arial Narrow"/>
          <w:sz w:val="22"/>
          <w:szCs w:val="22"/>
          <w:lang w:val="bg-BG" w:eastAsia="bg-BG"/>
        </w:rPr>
        <w:t xml:space="preserve">ë </w:t>
      </w:r>
      <w:proofErr w:type="spellStart"/>
      <w:r w:rsidRPr="00430A79">
        <w:rPr>
          <w:rFonts w:ascii="Arial Narrow" w:hAnsi="Arial Narrow"/>
          <w:sz w:val="22"/>
          <w:szCs w:val="22"/>
          <w:lang w:val="en-GB" w:eastAsia="bg-BG"/>
        </w:rPr>
        <w:t>paraqet</w:t>
      </w:r>
      <w:proofErr w:type="spellEnd"/>
      <w:r w:rsidRPr="009F5CA1">
        <w:rPr>
          <w:rFonts w:ascii="Arial Narrow" w:hAnsi="Arial Narrow"/>
          <w:sz w:val="22"/>
          <w:szCs w:val="22"/>
          <w:lang w:val="bg-BG" w:eastAsia="bg-BG"/>
        </w:rPr>
        <w:t xml:space="preserve"> </w:t>
      </w:r>
      <w:proofErr w:type="spellStart"/>
      <w:r w:rsidRPr="00430A79">
        <w:rPr>
          <w:rFonts w:ascii="Arial Narrow" w:hAnsi="Arial Narrow"/>
          <w:sz w:val="22"/>
          <w:szCs w:val="22"/>
          <w:lang w:val="en-GB" w:eastAsia="bg-BG"/>
        </w:rPr>
        <w:t>pajisjet</w:t>
      </w:r>
      <w:proofErr w:type="spellEnd"/>
      <w:r w:rsidRPr="009F5CA1">
        <w:rPr>
          <w:rFonts w:ascii="Arial Narrow" w:hAnsi="Arial Narrow"/>
          <w:sz w:val="22"/>
          <w:szCs w:val="22"/>
          <w:lang w:val="bg-BG" w:eastAsia="bg-BG"/>
        </w:rPr>
        <w:t xml:space="preserve"> </w:t>
      </w:r>
      <w:r w:rsidRPr="00430A79">
        <w:rPr>
          <w:rFonts w:ascii="Arial Narrow" w:hAnsi="Arial Narrow"/>
          <w:sz w:val="22"/>
          <w:szCs w:val="22"/>
          <w:lang w:val="en-GB" w:eastAsia="bg-BG"/>
        </w:rPr>
        <w:t>e</w:t>
      </w:r>
      <w:r w:rsidRPr="009F5CA1">
        <w:rPr>
          <w:rFonts w:ascii="Arial Narrow" w:hAnsi="Arial Narrow"/>
          <w:sz w:val="22"/>
          <w:szCs w:val="22"/>
          <w:lang w:val="bg-BG" w:eastAsia="bg-BG"/>
        </w:rPr>
        <w:t xml:space="preserve"> </w:t>
      </w:r>
      <w:proofErr w:type="spellStart"/>
      <w:r w:rsidRPr="00430A79">
        <w:rPr>
          <w:rFonts w:ascii="Arial Narrow" w:hAnsi="Arial Narrow"/>
          <w:sz w:val="22"/>
          <w:szCs w:val="22"/>
          <w:lang w:val="en-GB" w:eastAsia="bg-BG"/>
        </w:rPr>
        <w:t>nevojshme</w:t>
      </w:r>
      <w:proofErr w:type="spellEnd"/>
      <w:r w:rsidRPr="009F5CA1">
        <w:rPr>
          <w:rFonts w:ascii="Arial Narrow" w:hAnsi="Arial Narrow"/>
          <w:sz w:val="22"/>
          <w:szCs w:val="22"/>
          <w:lang w:val="bg-BG" w:eastAsia="bg-BG"/>
        </w:rPr>
        <w:t xml:space="preserve"> </w:t>
      </w:r>
      <w:r w:rsidRPr="00430A79">
        <w:rPr>
          <w:rFonts w:ascii="Arial Narrow" w:hAnsi="Arial Narrow"/>
          <w:sz w:val="22"/>
          <w:szCs w:val="22"/>
          <w:lang w:val="en-GB" w:eastAsia="bg-BG"/>
        </w:rPr>
        <w:t>p</w:t>
      </w:r>
      <w:r w:rsidRPr="009F5CA1">
        <w:rPr>
          <w:rFonts w:ascii="Arial Narrow" w:hAnsi="Arial Narrow"/>
          <w:sz w:val="22"/>
          <w:szCs w:val="22"/>
          <w:lang w:val="bg-BG" w:eastAsia="bg-BG"/>
        </w:rPr>
        <w:t>ë</w:t>
      </w:r>
      <w:r w:rsidRPr="00430A79">
        <w:rPr>
          <w:rFonts w:ascii="Arial Narrow" w:hAnsi="Arial Narrow"/>
          <w:sz w:val="22"/>
          <w:szCs w:val="22"/>
          <w:lang w:val="en-GB" w:eastAsia="bg-BG"/>
        </w:rPr>
        <w:t>r</w:t>
      </w:r>
      <w:r w:rsidRPr="009F5CA1">
        <w:rPr>
          <w:rFonts w:ascii="Arial Narrow" w:hAnsi="Arial Narrow"/>
          <w:sz w:val="22"/>
          <w:szCs w:val="22"/>
          <w:lang w:val="bg-BG" w:eastAsia="bg-BG"/>
        </w:rPr>
        <w:t xml:space="preserve"> </w:t>
      </w:r>
      <w:r w:rsidRPr="00430A79">
        <w:rPr>
          <w:rFonts w:ascii="Arial Narrow" w:hAnsi="Arial Narrow"/>
          <w:sz w:val="22"/>
          <w:szCs w:val="22"/>
          <w:lang w:eastAsia="bg-BG"/>
        </w:rPr>
        <w:t xml:space="preserve">rajonin </w:t>
      </w:r>
      <w:r w:rsidRPr="00430A79">
        <w:rPr>
          <w:rFonts w:ascii="Arial Narrow" w:hAnsi="Arial Narrow"/>
          <w:sz w:val="22"/>
          <w:szCs w:val="22"/>
          <w:lang w:val="en-GB" w:eastAsia="bg-BG"/>
        </w:rPr>
        <w:t>p</w:t>
      </w:r>
      <w:r w:rsidRPr="009F5CA1">
        <w:rPr>
          <w:rFonts w:ascii="Arial Narrow" w:hAnsi="Arial Narrow"/>
          <w:sz w:val="22"/>
          <w:szCs w:val="22"/>
          <w:lang w:val="bg-BG" w:eastAsia="bg-BG"/>
        </w:rPr>
        <w:t>ë</w:t>
      </w:r>
      <w:r w:rsidRPr="00430A79">
        <w:rPr>
          <w:rFonts w:ascii="Arial Narrow" w:hAnsi="Arial Narrow"/>
          <w:sz w:val="22"/>
          <w:szCs w:val="22"/>
          <w:lang w:val="en-GB" w:eastAsia="bg-BG"/>
        </w:rPr>
        <w:t>r</w:t>
      </w:r>
      <w:r w:rsidRPr="009F5CA1">
        <w:rPr>
          <w:rFonts w:ascii="Arial Narrow" w:hAnsi="Arial Narrow"/>
          <w:sz w:val="22"/>
          <w:szCs w:val="22"/>
          <w:lang w:val="bg-BG" w:eastAsia="bg-BG"/>
        </w:rPr>
        <w:t xml:space="preserve"> </w:t>
      </w:r>
      <w:proofErr w:type="spellStart"/>
      <w:r w:rsidR="00A82101">
        <w:rPr>
          <w:rFonts w:ascii="Arial Narrow" w:hAnsi="Arial Narrow"/>
          <w:sz w:val="22"/>
          <w:szCs w:val="22"/>
          <w:lang w:val="en-GB" w:eastAsia="bg-BG"/>
        </w:rPr>
        <w:t>grumbullimin</w:t>
      </w:r>
      <w:proofErr w:type="spellEnd"/>
      <w:r w:rsidR="00A82101" w:rsidRPr="009F5CA1">
        <w:rPr>
          <w:rFonts w:ascii="Arial Narrow" w:hAnsi="Arial Narrow"/>
          <w:sz w:val="22"/>
          <w:szCs w:val="22"/>
          <w:lang w:val="bg-BG" w:eastAsia="bg-BG"/>
        </w:rPr>
        <w:t xml:space="preserve"> </w:t>
      </w:r>
      <w:proofErr w:type="spellStart"/>
      <w:r w:rsidR="00A82101">
        <w:rPr>
          <w:rFonts w:ascii="Arial Narrow" w:hAnsi="Arial Narrow"/>
          <w:sz w:val="22"/>
          <w:szCs w:val="22"/>
          <w:lang w:val="en-GB" w:eastAsia="bg-BG"/>
        </w:rPr>
        <w:t>dhe</w:t>
      </w:r>
      <w:proofErr w:type="spellEnd"/>
      <w:r w:rsidR="00A82101" w:rsidRPr="009F5CA1">
        <w:rPr>
          <w:rFonts w:ascii="Arial Narrow" w:hAnsi="Arial Narrow"/>
          <w:sz w:val="22"/>
          <w:szCs w:val="22"/>
          <w:lang w:val="bg-BG" w:eastAsia="bg-BG"/>
        </w:rPr>
        <w:t xml:space="preserve"> </w:t>
      </w:r>
      <w:proofErr w:type="spellStart"/>
      <w:r w:rsidRPr="00430A79">
        <w:rPr>
          <w:rFonts w:ascii="Arial Narrow" w:hAnsi="Arial Narrow"/>
          <w:sz w:val="22"/>
          <w:szCs w:val="22"/>
          <w:lang w:val="en-GB" w:eastAsia="bg-BG"/>
        </w:rPr>
        <w:t>transportin</w:t>
      </w:r>
      <w:proofErr w:type="spellEnd"/>
      <w:r w:rsidRPr="009F5CA1">
        <w:rPr>
          <w:rFonts w:ascii="Arial Narrow" w:hAnsi="Arial Narrow"/>
          <w:sz w:val="22"/>
          <w:szCs w:val="22"/>
          <w:lang w:val="bg-BG" w:eastAsia="bg-BG"/>
        </w:rPr>
        <w:t xml:space="preserve"> </w:t>
      </w:r>
      <w:r w:rsidRPr="00430A79">
        <w:rPr>
          <w:rFonts w:ascii="Arial Narrow" w:hAnsi="Arial Narrow"/>
          <w:sz w:val="22"/>
          <w:szCs w:val="22"/>
          <w:lang w:val="en-GB" w:eastAsia="bg-BG"/>
        </w:rPr>
        <w:t>e</w:t>
      </w:r>
      <w:r w:rsidRPr="009F5CA1">
        <w:rPr>
          <w:rFonts w:ascii="Arial Narrow" w:hAnsi="Arial Narrow"/>
          <w:sz w:val="22"/>
          <w:szCs w:val="22"/>
          <w:lang w:val="bg-BG" w:eastAsia="bg-BG"/>
        </w:rPr>
        <w:t xml:space="preserve"> </w:t>
      </w:r>
      <w:proofErr w:type="spellStart"/>
      <w:r w:rsidR="00A82101">
        <w:rPr>
          <w:rFonts w:ascii="Arial Narrow" w:hAnsi="Arial Narrow"/>
          <w:sz w:val="22"/>
          <w:szCs w:val="22"/>
          <w:lang w:val="en-GB" w:eastAsia="bg-BG"/>
        </w:rPr>
        <w:t>MNRr</w:t>
      </w:r>
      <w:proofErr w:type="spellEnd"/>
      <w:r w:rsidR="00A82101" w:rsidRPr="009F5CA1">
        <w:rPr>
          <w:rFonts w:ascii="Arial Narrow" w:hAnsi="Arial Narrow"/>
          <w:sz w:val="22"/>
          <w:szCs w:val="22"/>
          <w:lang w:val="bg-BG" w:eastAsia="bg-BG"/>
        </w:rPr>
        <w:t>-</w:t>
      </w:r>
      <w:proofErr w:type="spellStart"/>
      <w:r w:rsidR="00A82101">
        <w:rPr>
          <w:rFonts w:ascii="Arial Narrow" w:hAnsi="Arial Narrow"/>
          <w:sz w:val="22"/>
          <w:szCs w:val="22"/>
          <w:lang w:val="en-GB" w:eastAsia="bg-BG"/>
        </w:rPr>
        <w:t>ve</w:t>
      </w:r>
      <w:proofErr w:type="spellEnd"/>
      <w:r w:rsidRPr="009F5CA1">
        <w:rPr>
          <w:rFonts w:ascii="Arial Narrow" w:hAnsi="Arial Narrow"/>
          <w:sz w:val="22"/>
          <w:szCs w:val="22"/>
          <w:lang w:val="bg-BG" w:eastAsia="bg-BG"/>
        </w:rPr>
        <w:t>.</w:t>
      </w:r>
    </w:p>
    <w:p w14:paraId="005EA207" w14:textId="77777777" w:rsidR="00430A79" w:rsidRPr="009F5CA1" w:rsidRDefault="00430A79" w:rsidP="00430A79">
      <w:pPr>
        <w:jc w:val="both"/>
        <w:rPr>
          <w:rFonts w:ascii="Arial Narrow" w:hAnsi="Arial Narrow"/>
          <w:sz w:val="22"/>
          <w:szCs w:val="22"/>
          <w:lang w:val="bg-BG" w:eastAsia="bg-BG"/>
        </w:rPr>
      </w:pPr>
    </w:p>
    <w:p w14:paraId="497AA1E3" w14:textId="465312DB" w:rsidR="00430A79" w:rsidRPr="00430A79" w:rsidRDefault="00430A79" w:rsidP="00430A79">
      <w:pPr>
        <w:spacing w:after="120"/>
        <w:rPr>
          <w:rFonts w:ascii="Arial Narrow" w:eastAsia="Calibri" w:hAnsi="Arial Narrow" w:cs="Calibri"/>
          <w:color w:val="1F497D"/>
          <w:sz w:val="20"/>
          <w:szCs w:val="20"/>
          <w:lang w:val="en-GB"/>
        </w:rPr>
      </w:pPr>
      <w:bookmarkStart w:id="446" w:name="_Toc153381584"/>
      <w:bookmarkStart w:id="447" w:name="_Toc185866223"/>
      <w:bookmarkStart w:id="448" w:name="_Toc197472252"/>
      <w:proofErr w:type="spellStart"/>
      <w:r w:rsidRPr="00430A79">
        <w:rPr>
          <w:rFonts w:ascii="Arial Narrow" w:eastAsia="Calibri" w:hAnsi="Arial Narrow" w:cs="Calibri"/>
          <w:color w:val="1F497D"/>
          <w:sz w:val="20"/>
          <w:szCs w:val="20"/>
          <w:lang w:val="en-GB"/>
        </w:rPr>
        <w:t>Tabela</w:t>
      </w:r>
      <w:proofErr w:type="spellEnd"/>
      <w:r w:rsidRPr="00430A79">
        <w:rPr>
          <w:rFonts w:ascii="Arial Narrow" w:eastAsia="Calibri" w:hAnsi="Arial Narrow" w:cs="Calibri"/>
          <w:color w:val="1F497D"/>
          <w:sz w:val="20"/>
          <w:szCs w:val="20"/>
          <w:lang w:val="en-GB"/>
        </w:rPr>
        <w:t xml:space="preserve"> </w:t>
      </w:r>
      <w:r w:rsidRPr="00430A79">
        <w:rPr>
          <w:rFonts w:ascii="Arial Narrow" w:eastAsia="Calibri" w:hAnsi="Arial Narrow" w:cs="Calibri"/>
          <w:color w:val="1F497D"/>
          <w:sz w:val="20"/>
          <w:szCs w:val="20"/>
          <w:lang w:val="en-GB"/>
        </w:rPr>
        <w:fldChar w:fldCharType="begin"/>
      </w:r>
      <w:r w:rsidRPr="00430A79">
        <w:rPr>
          <w:rFonts w:ascii="Arial Narrow" w:eastAsia="Calibri" w:hAnsi="Arial Narrow" w:cs="Calibri"/>
          <w:color w:val="1F497D"/>
          <w:sz w:val="20"/>
          <w:szCs w:val="20"/>
          <w:lang w:val="en-GB"/>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Pr>
          <w:rFonts w:ascii="Arial Narrow" w:eastAsia="Calibri" w:hAnsi="Arial Narrow" w:cs="Calibri"/>
          <w:noProof/>
          <w:color w:val="1F497D"/>
          <w:sz w:val="20"/>
          <w:szCs w:val="20"/>
          <w:lang w:val="en-GB"/>
        </w:rPr>
        <w:t xml:space="preserve">67. </w:t>
      </w:r>
      <w:r w:rsidRPr="00430A79">
        <w:rPr>
          <w:rFonts w:ascii="Arial Narrow" w:eastAsia="Calibri" w:hAnsi="Arial Narrow" w:cs="Calibri"/>
          <w:color w:val="1F497D"/>
          <w:sz w:val="20"/>
          <w:szCs w:val="20"/>
          <w:lang w:val="en-GB"/>
        </w:rPr>
        <w:fldChar w:fldCharType="end"/>
      </w:r>
      <w:proofErr w:type="spellStart"/>
      <w:r w:rsidRPr="00430A79">
        <w:rPr>
          <w:rFonts w:ascii="Arial Narrow" w:eastAsia="Calibri" w:hAnsi="Arial Narrow" w:cs="Calibri"/>
          <w:color w:val="1F497D"/>
          <w:sz w:val="20"/>
          <w:szCs w:val="20"/>
          <w:lang w:val="en-GB"/>
        </w:rPr>
        <w:t>Pajisjet</w:t>
      </w:r>
      <w:proofErr w:type="spellEnd"/>
      <w:r w:rsidRPr="00430A79">
        <w:rPr>
          <w:rFonts w:ascii="Arial Narrow" w:eastAsia="Calibri" w:hAnsi="Arial Narrow" w:cs="Calibri"/>
          <w:color w:val="1F497D"/>
          <w:sz w:val="20"/>
          <w:szCs w:val="20"/>
          <w:lang w:val="en-GB"/>
        </w:rPr>
        <w:t xml:space="preserve"> </w:t>
      </w:r>
      <w:proofErr w:type="spellStart"/>
      <w:r w:rsidR="00A82101">
        <w:rPr>
          <w:rFonts w:ascii="Arial Narrow" w:eastAsia="Calibri" w:hAnsi="Arial Narrow" w:cs="Calibri"/>
          <w:color w:val="1F497D"/>
          <w:sz w:val="20"/>
          <w:szCs w:val="20"/>
          <w:lang w:val="en-GB"/>
        </w:rPr>
        <w:t>për</w:t>
      </w:r>
      <w:proofErr w:type="spellEnd"/>
      <w:r w:rsidR="00A82101">
        <w:rPr>
          <w:rFonts w:ascii="Arial Narrow" w:eastAsia="Calibri" w:hAnsi="Arial Narrow" w:cs="Calibri"/>
          <w:color w:val="1F497D"/>
          <w:sz w:val="20"/>
          <w:szCs w:val="20"/>
          <w:lang w:val="en-GB"/>
        </w:rPr>
        <w:t xml:space="preserve"> </w:t>
      </w:r>
      <w:proofErr w:type="spellStart"/>
      <w:r w:rsidR="00A82101">
        <w:rPr>
          <w:rFonts w:ascii="Arial Narrow" w:eastAsia="Calibri" w:hAnsi="Arial Narrow" w:cs="Calibri"/>
          <w:color w:val="1F497D"/>
          <w:sz w:val="20"/>
          <w:szCs w:val="20"/>
          <w:lang w:val="en-GB"/>
        </w:rPr>
        <w:t>grumbullim</w:t>
      </w:r>
      <w:proofErr w:type="spellEnd"/>
      <w:r w:rsidR="00A82101">
        <w:rPr>
          <w:rFonts w:ascii="Arial Narrow" w:eastAsia="Calibri" w:hAnsi="Arial Narrow" w:cs="Calibri"/>
          <w:color w:val="1F497D"/>
          <w:sz w:val="20"/>
          <w:szCs w:val="20"/>
          <w:lang w:val="en-GB"/>
        </w:rPr>
        <w:t xml:space="preserve"> </w:t>
      </w:r>
      <w:proofErr w:type="spellStart"/>
      <w:r w:rsidR="00A82101">
        <w:rPr>
          <w:rFonts w:ascii="Arial Narrow" w:eastAsia="Calibri" w:hAnsi="Arial Narrow" w:cs="Calibri"/>
          <w:color w:val="1F497D"/>
          <w:sz w:val="20"/>
          <w:szCs w:val="20"/>
          <w:lang w:val="en-GB"/>
        </w:rPr>
        <w:t>dhe</w:t>
      </w:r>
      <w:proofErr w:type="spellEnd"/>
      <w:r w:rsidR="00A82101">
        <w:rPr>
          <w:rFonts w:ascii="Arial Narrow" w:eastAsia="Calibri" w:hAnsi="Arial Narrow" w:cs="Calibri"/>
          <w:color w:val="1F497D"/>
          <w:sz w:val="20"/>
          <w:szCs w:val="20"/>
          <w:lang w:val="en-GB"/>
        </w:rPr>
        <w:t xml:space="preserve"> transport</w:t>
      </w:r>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të</w:t>
      </w:r>
      <w:proofErr w:type="spellEnd"/>
      <w:r w:rsidRPr="00430A79">
        <w:rPr>
          <w:rFonts w:ascii="Arial Narrow" w:eastAsia="Calibri" w:hAnsi="Arial Narrow" w:cs="Calibri"/>
          <w:color w:val="1F497D"/>
          <w:sz w:val="20"/>
          <w:szCs w:val="20"/>
          <w:lang w:val="en-GB"/>
        </w:rPr>
        <w:t xml:space="preserve"> </w:t>
      </w:r>
      <w:proofErr w:type="spellStart"/>
      <w:r w:rsidR="00A82101">
        <w:rPr>
          <w:rFonts w:ascii="Arial Narrow" w:eastAsia="Calibri" w:hAnsi="Arial Narrow" w:cs="Calibri"/>
          <w:color w:val="1F497D"/>
          <w:sz w:val="20"/>
          <w:szCs w:val="20"/>
          <w:lang w:val="en-GB"/>
        </w:rPr>
        <w:t>MNRr-ve</w:t>
      </w:r>
      <w:bookmarkEnd w:id="446"/>
      <w:bookmarkEnd w:id="447"/>
      <w:bookmarkEnd w:id="448"/>
      <w:proofErr w:type="spellEnd"/>
    </w:p>
    <w:tbl>
      <w:tblPr>
        <w:tblW w:w="3333"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3006"/>
        <w:gridCol w:w="3007"/>
      </w:tblGrid>
      <w:tr w:rsidR="00430A79" w:rsidRPr="00430A79" w14:paraId="1879F229" w14:textId="77777777" w:rsidTr="00D03949">
        <w:trPr>
          <w:trHeight w:val="265"/>
          <w:tblHeader/>
        </w:trPr>
        <w:tc>
          <w:tcPr>
            <w:tcW w:w="2500" w:type="pct"/>
            <w:shd w:val="clear" w:color="auto" w:fill="365F91"/>
            <w:tcMar>
              <w:left w:w="72" w:type="dxa"/>
              <w:right w:w="72" w:type="dxa"/>
            </w:tcMar>
          </w:tcPr>
          <w:p w14:paraId="00A155EA" w14:textId="3E3BDD56" w:rsidR="00430A79" w:rsidRPr="00430A79" w:rsidRDefault="00430A79" w:rsidP="00430A79">
            <w:pPr>
              <w:widowControl w:val="0"/>
              <w:autoSpaceDE w:val="0"/>
              <w:autoSpaceDN w:val="0"/>
              <w:spacing w:before="150"/>
              <w:ind w:left="8" w:right="5"/>
              <w:jc w:val="center"/>
              <w:rPr>
                <w:rFonts w:ascii="Arial Narrow" w:eastAsia="Arial MT" w:hAnsi="Arial Narrow" w:cs="Calibri"/>
                <w:b/>
                <w:color w:val="FFFFFF" w:themeColor="background1"/>
                <w:sz w:val="20"/>
                <w:szCs w:val="20"/>
              </w:rPr>
            </w:pPr>
            <w:r w:rsidRPr="00430A79">
              <w:rPr>
                <w:rFonts w:ascii="Arial Narrow" w:eastAsia="Arial MT" w:hAnsi="Arial Narrow" w:cs="Calibri"/>
                <w:b/>
                <w:color w:val="FFFFFF" w:themeColor="background1"/>
                <w:sz w:val="20"/>
                <w:szCs w:val="20"/>
              </w:rPr>
              <w:t>Lloji</w:t>
            </w:r>
            <w:r w:rsidRPr="00430A79">
              <w:rPr>
                <w:rFonts w:ascii="Arial Narrow" w:eastAsia="Arial MT" w:hAnsi="Arial Narrow" w:cs="Calibri"/>
                <w:b/>
                <w:color w:val="FFFFFF" w:themeColor="background1"/>
                <w:spacing w:val="-4"/>
                <w:sz w:val="20"/>
                <w:szCs w:val="20"/>
              </w:rPr>
              <w:t xml:space="preserve"> </w:t>
            </w:r>
            <w:r w:rsidR="00A82101">
              <w:rPr>
                <w:rFonts w:ascii="Arial Narrow" w:eastAsia="Arial MT" w:hAnsi="Arial Narrow" w:cs="Calibri"/>
                <w:b/>
                <w:color w:val="FFFFFF" w:themeColor="background1"/>
                <w:spacing w:val="-4"/>
                <w:sz w:val="20"/>
                <w:szCs w:val="20"/>
              </w:rPr>
              <w:t>i</w:t>
            </w:r>
            <w:r w:rsidRPr="00430A79">
              <w:rPr>
                <w:rFonts w:ascii="Arial Narrow" w:eastAsia="Arial MT" w:hAnsi="Arial Narrow" w:cs="Calibri"/>
                <w:b/>
                <w:color w:val="FFFFFF" w:themeColor="background1"/>
                <w:sz w:val="20"/>
                <w:szCs w:val="20"/>
              </w:rPr>
              <w:t xml:space="preserve"> </w:t>
            </w:r>
            <w:r w:rsidRPr="00430A79">
              <w:rPr>
                <w:rFonts w:ascii="Arial Narrow" w:eastAsia="Arial MT" w:hAnsi="Arial Narrow" w:cs="Calibri"/>
                <w:b/>
                <w:color w:val="FFFFFF" w:themeColor="background1"/>
                <w:spacing w:val="-2"/>
                <w:sz w:val="20"/>
                <w:szCs w:val="20"/>
              </w:rPr>
              <w:t>pajisjeve</w:t>
            </w:r>
          </w:p>
        </w:tc>
        <w:tc>
          <w:tcPr>
            <w:tcW w:w="2500" w:type="pct"/>
            <w:shd w:val="clear" w:color="auto" w:fill="365F91"/>
            <w:tcMar>
              <w:left w:w="72" w:type="dxa"/>
              <w:right w:w="72" w:type="dxa"/>
            </w:tcMar>
          </w:tcPr>
          <w:p w14:paraId="4869A8B5" w14:textId="77777777" w:rsidR="00430A79" w:rsidRPr="00430A79" w:rsidRDefault="00430A79" w:rsidP="00430A79">
            <w:pPr>
              <w:widowControl w:val="0"/>
              <w:autoSpaceDE w:val="0"/>
              <w:autoSpaceDN w:val="0"/>
              <w:spacing w:before="150"/>
              <w:ind w:left="10" w:right="2"/>
              <w:jc w:val="center"/>
              <w:rPr>
                <w:rFonts w:ascii="Arial Narrow" w:eastAsia="Arial MT" w:hAnsi="Arial Narrow" w:cs="Calibri"/>
                <w:b/>
                <w:color w:val="FFFFFF" w:themeColor="background1"/>
                <w:sz w:val="20"/>
                <w:szCs w:val="20"/>
              </w:rPr>
            </w:pPr>
            <w:r w:rsidRPr="00430A79">
              <w:rPr>
                <w:rFonts w:ascii="Arial Narrow" w:eastAsia="Arial MT" w:hAnsi="Arial Narrow" w:cs="Calibri"/>
                <w:b/>
                <w:color w:val="FFFFFF" w:themeColor="background1"/>
                <w:spacing w:val="-4"/>
                <w:sz w:val="20"/>
                <w:szCs w:val="20"/>
              </w:rPr>
              <w:t>Rajoni i Dukagjinit</w:t>
            </w:r>
          </w:p>
        </w:tc>
      </w:tr>
      <w:tr w:rsidR="00A82101" w:rsidRPr="00430A79" w14:paraId="52C2C312" w14:textId="77777777" w:rsidTr="00D03949">
        <w:trPr>
          <w:trHeight w:val="326"/>
        </w:trPr>
        <w:tc>
          <w:tcPr>
            <w:tcW w:w="2500" w:type="pct"/>
            <w:tcMar>
              <w:left w:w="72" w:type="dxa"/>
              <w:right w:w="72" w:type="dxa"/>
            </w:tcMar>
          </w:tcPr>
          <w:p w14:paraId="194BDC00" w14:textId="671C03A3" w:rsidR="00A82101" w:rsidRPr="00430A79" w:rsidRDefault="00A82101" w:rsidP="00A82101">
            <w:pPr>
              <w:widowControl w:val="0"/>
              <w:autoSpaceDE w:val="0"/>
              <w:autoSpaceDN w:val="0"/>
              <w:spacing w:before="55"/>
              <w:ind w:left="8"/>
              <w:rPr>
                <w:rFonts w:ascii="Arial Narrow" w:eastAsia="Arial MT" w:hAnsi="Arial Narrow" w:cs="Calibri"/>
                <w:spacing w:val="-4"/>
                <w:position w:val="6"/>
                <w:sz w:val="20"/>
                <w:szCs w:val="20"/>
              </w:rPr>
            </w:pPr>
            <w:r w:rsidRPr="00BE2534">
              <w:rPr>
                <w:rFonts w:ascii="Arial Narrow" w:eastAsia="Arial MT" w:hAnsi="Arial Narrow" w:cs="Calibri"/>
                <w:sz w:val="20"/>
                <w:szCs w:val="20"/>
                <w:lang w:val="sq-AL"/>
              </w:rPr>
              <w:t xml:space="preserve">Kontejnerë skip </w:t>
            </w:r>
            <w:r w:rsidRPr="00BE2534">
              <w:rPr>
                <w:rFonts w:ascii="Arial Narrow" w:eastAsia="Arial MT" w:hAnsi="Arial Narrow" w:cs="Calibri"/>
                <w:spacing w:val="-4"/>
                <w:sz w:val="20"/>
                <w:szCs w:val="20"/>
                <w:lang w:val="sq-AL"/>
              </w:rPr>
              <w:t>(7 m³)</w:t>
            </w:r>
          </w:p>
        </w:tc>
        <w:tc>
          <w:tcPr>
            <w:tcW w:w="2500" w:type="pct"/>
            <w:tcMar>
              <w:left w:w="72" w:type="dxa"/>
              <w:right w:w="72" w:type="dxa"/>
            </w:tcMar>
          </w:tcPr>
          <w:p w14:paraId="0E439BF5" w14:textId="77777777" w:rsidR="00A82101" w:rsidRPr="00430A79" w:rsidRDefault="00A82101" w:rsidP="00A82101">
            <w:pPr>
              <w:widowControl w:val="0"/>
              <w:autoSpaceDE w:val="0"/>
              <w:autoSpaceDN w:val="0"/>
              <w:spacing w:before="59"/>
              <w:ind w:left="10" w:right="1"/>
              <w:jc w:val="center"/>
              <w:rPr>
                <w:rFonts w:ascii="Arial Narrow" w:eastAsia="Arial MT" w:hAnsi="Arial Narrow" w:cs="Calibri"/>
                <w:sz w:val="20"/>
                <w:szCs w:val="20"/>
              </w:rPr>
            </w:pPr>
            <w:r w:rsidRPr="00430A79">
              <w:rPr>
                <w:rFonts w:ascii="Arial Narrow" w:eastAsia="Arial MT" w:hAnsi="Arial Narrow" w:cs="Calibri"/>
                <w:spacing w:val="-10"/>
                <w:sz w:val="20"/>
                <w:szCs w:val="20"/>
              </w:rPr>
              <w:t>7</w:t>
            </w:r>
          </w:p>
        </w:tc>
      </w:tr>
      <w:tr w:rsidR="00A82101" w:rsidRPr="00430A79" w14:paraId="5F6C0CF4" w14:textId="77777777" w:rsidTr="00D03949">
        <w:trPr>
          <w:trHeight w:val="326"/>
        </w:trPr>
        <w:tc>
          <w:tcPr>
            <w:tcW w:w="2500" w:type="pct"/>
            <w:tcMar>
              <w:left w:w="72" w:type="dxa"/>
              <w:right w:w="72" w:type="dxa"/>
            </w:tcMar>
          </w:tcPr>
          <w:p w14:paraId="14C264CE" w14:textId="64FF1B37" w:rsidR="00A82101" w:rsidRPr="00430A79" w:rsidRDefault="00A82101" w:rsidP="00A82101">
            <w:pPr>
              <w:widowControl w:val="0"/>
              <w:autoSpaceDE w:val="0"/>
              <w:autoSpaceDN w:val="0"/>
              <w:spacing w:before="59"/>
              <w:ind w:left="8" w:right="6"/>
              <w:rPr>
                <w:rFonts w:ascii="Arial Narrow" w:eastAsia="Arial MT" w:hAnsi="Arial Narrow" w:cs="Calibri"/>
                <w:sz w:val="20"/>
                <w:szCs w:val="20"/>
              </w:rPr>
            </w:pPr>
            <w:r w:rsidRPr="00BE2534">
              <w:rPr>
                <w:rFonts w:ascii="Arial Narrow" w:eastAsia="Arial MT" w:hAnsi="Arial Narrow" w:cs="Calibri"/>
                <w:spacing w:val="-2"/>
                <w:sz w:val="20"/>
                <w:szCs w:val="20"/>
                <w:lang w:val="sq-AL"/>
              </w:rPr>
              <w:t>Kamionë të llojit skip ngarkues</w:t>
            </w:r>
          </w:p>
        </w:tc>
        <w:tc>
          <w:tcPr>
            <w:tcW w:w="2500" w:type="pct"/>
            <w:tcMar>
              <w:left w:w="72" w:type="dxa"/>
              <w:right w:w="72" w:type="dxa"/>
            </w:tcMar>
          </w:tcPr>
          <w:p w14:paraId="00A1EF75" w14:textId="77777777" w:rsidR="00A82101" w:rsidRPr="00430A79" w:rsidRDefault="00A82101" w:rsidP="00A82101">
            <w:pPr>
              <w:widowControl w:val="0"/>
              <w:autoSpaceDE w:val="0"/>
              <w:autoSpaceDN w:val="0"/>
              <w:spacing w:before="59"/>
              <w:ind w:left="10" w:right="1"/>
              <w:jc w:val="center"/>
              <w:rPr>
                <w:rFonts w:ascii="Arial Narrow" w:eastAsia="Arial MT" w:hAnsi="Arial Narrow" w:cs="Calibri"/>
                <w:sz w:val="20"/>
                <w:szCs w:val="20"/>
              </w:rPr>
            </w:pPr>
            <w:r w:rsidRPr="00430A79">
              <w:rPr>
                <w:rFonts w:ascii="Arial Narrow" w:eastAsia="Arial MT" w:hAnsi="Arial Narrow" w:cs="Calibri"/>
                <w:spacing w:val="-10"/>
                <w:sz w:val="20"/>
                <w:szCs w:val="20"/>
              </w:rPr>
              <w:t>2</w:t>
            </w:r>
          </w:p>
        </w:tc>
      </w:tr>
      <w:tr w:rsidR="00A82101" w:rsidRPr="00430A79" w14:paraId="6489F53D" w14:textId="77777777" w:rsidTr="00D03949">
        <w:trPr>
          <w:trHeight w:val="328"/>
        </w:trPr>
        <w:tc>
          <w:tcPr>
            <w:tcW w:w="2500" w:type="pct"/>
            <w:tcMar>
              <w:left w:w="72" w:type="dxa"/>
              <w:right w:w="72" w:type="dxa"/>
            </w:tcMar>
          </w:tcPr>
          <w:p w14:paraId="4F39E859" w14:textId="5E71B5D1" w:rsidR="00A82101" w:rsidRPr="00430A79" w:rsidRDefault="00A82101" w:rsidP="00A82101">
            <w:pPr>
              <w:widowControl w:val="0"/>
              <w:autoSpaceDE w:val="0"/>
              <w:autoSpaceDN w:val="0"/>
              <w:spacing w:before="59"/>
              <w:ind w:left="8" w:right="4"/>
              <w:rPr>
                <w:rFonts w:ascii="Arial Narrow" w:eastAsia="Arial MT" w:hAnsi="Arial Narrow" w:cs="Calibri"/>
                <w:sz w:val="20"/>
                <w:szCs w:val="20"/>
              </w:rPr>
            </w:pPr>
            <w:r w:rsidRPr="00BE2534">
              <w:rPr>
                <w:rFonts w:ascii="Arial Narrow" w:eastAsia="Arial MT" w:hAnsi="Arial Narrow" w:cs="Calibri"/>
                <w:spacing w:val="-2"/>
                <w:sz w:val="20"/>
                <w:szCs w:val="20"/>
                <w:lang w:val="sq-AL"/>
              </w:rPr>
              <w:t>Kamionë për transportimin dhe shkarkimin e mbeturinave të vëllimshme</w:t>
            </w:r>
          </w:p>
        </w:tc>
        <w:tc>
          <w:tcPr>
            <w:tcW w:w="2500" w:type="pct"/>
            <w:tcMar>
              <w:left w:w="72" w:type="dxa"/>
              <w:right w:w="72" w:type="dxa"/>
            </w:tcMar>
          </w:tcPr>
          <w:p w14:paraId="7B937F5C" w14:textId="77777777" w:rsidR="00A82101" w:rsidRPr="00430A79" w:rsidRDefault="00A82101" w:rsidP="00A82101">
            <w:pPr>
              <w:widowControl w:val="0"/>
              <w:autoSpaceDE w:val="0"/>
              <w:autoSpaceDN w:val="0"/>
              <w:spacing w:before="59"/>
              <w:ind w:left="10" w:right="1"/>
              <w:jc w:val="center"/>
              <w:rPr>
                <w:rFonts w:ascii="Arial Narrow" w:eastAsia="Arial MT" w:hAnsi="Arial Narrow" w:cs="Calibri"/>
                <w:sz w:val="20"/>
                <w:szCs w:val="20"/>
              </w:rPr>
            </w:pPr>
            <w:r w:rsidRPr="00430A79">
              <w:rPr>
                <w:rFonts w:ascii="Arial Narrow" w:eastAsia="Arial MT" w:hAnsi="Arial Narrow" w:cs="Calibri"/>
                <w:spacing w:val="-10"/>
                <w:sz w:val="20"/>
                <w:szCs w:val="20"/>
              </w:rPr>
              <w:t>1</w:t>
            </w:r>
          </w:p>
        </w:tc>
      </w:tr>
    </w:tbl>
    <w:p w14:paraId="1B921914" w14:textId="5440578F" w:rsidR="00430A79" w:rsidRPr="00430A79" w:rsidRDefault="00430A79" w:rsidP="00430A79">
      <w:pPr>
        <w:jc w:val="both"/>
        <w:rPr>
          <w:rFonts w:ascii="Arial Narrow" w:hAnsi="Arial Narrow"/>
          <w:i/>
          <w:iCs/>
          <w:sz w:val="20"/>
          <w:szCs w:val="20"/>
          <w:lang w:eastAsia="bg-BG"/>
        </w:rPr>
      </w:pPr>
      <w:r w:rsidRPr="00430A79">
        <w:rPr>
          <w:rFonts w:ascii="Arial Narrow" w:hAnsi="Arial Narrow"/>
          <w:i/>
          <w:iCs/>
          <w:sz w:val="20"/>
          <w:szCs w:val="20"/>
          <w:lang w:eastAsia="bg-BG"/>
        </w:rPr>
        <w:t xml:space="preserve">Burimi: </w:t>
      </w:r>
      <w:r w:rsidR="00A82101">
        <w:rPr>
          <w:rFonts w:ascii="Arial Narrow" w:hAnsi="Arial Narrow"/>
          <w:i/>
          <w:iCs/>
          <w:sz w:val="20"/>
          <w:szCs w:val="20"/>
          <w:lang w:eastAsia="bg-BG"/>
        </w:rPr>
        <w:t>PKMMNRr</w:t>
      </w:r>
    </w:p>
    <w:p w14:paraId="4ED8C7AA" w14:textId="77777777" w:rsidR="00430A79" w:rsidRPr="00430A79" w:rsidRDefault="00430A79" w:rsidP="00430A79">
      <w:pPr>
        <w:jc w:val="both"/>
        <w:rPr>
          <w:rFonts w:ascii="Arial Narrow" w:hAnsi="Arial Narrow"/>
          <w:sz w:val="22"/>
          <w:szCs w:val="22"/>
          <w:lang w:val="en-GB" w:eastAsia="bg-BG"/>
        </w:rPr>
      </w:pPr>
    </w:p>
    <w:p w14:paraId="6D70B5D2" w14:textId="14DEAA6B" w:rsidR="00430A79" w:rsidRPr="00430A79" w:rsidRDefault="00430A79" w:rsidP="00430A79">
      <w:pPr>
        <w:jc w:val="both"/>
        <w:rPr>
          <w:rFonts w:ascii="Arial Narrow" w:hAnsi="Arial Narrow"/>
          <w:b/>
          <w:bCs/>
          <w:sz w:val="22"/>
          <w:szCs w:val="22"/>
          <w:lang w:val="en-GB" w:eastAsia="bg-BG"/>
        </w:rPr>
      </w:pPr>
      <w:bookmarkStart w:id="449" w:name="_Hlk183708513"/>
      <w:proofErr w:type="spellStart"/>
      <w:r w:rsidRPr="00430A79">
        <w:rPr>
          <w:rFonts w:ascii="Arial Narrow" w:hAnsi="Arial Narrow"/>
          <w:b/>
          <w:bCs/>
          <w:sz w:val="22"/>
          <w:szCs w:val="22"/>
          <w:lang w:val="en-GB" w:eastAsia="bg-BG"/>
        </w:rPr>
        <w:t>Pikat</w:t>
      </w:r>
      <w:proofErr w:type="spellEnd"/>
      <w:r w:rsidRPr="00430A79">
        <w:rPr>
          <w:rFonts w:ascii="Arial Narrow" w:hAnsi="Arial Narrow"/>
          <w:b/>
          <w:bCs/>
          <w:sz w:val="22"/>
          <w:szCs w:val="22"/>
          <w:lang w:val="en-GB" w:eastAsia="bg-BG"/>
        </w:rPr>
        <w:t xml:space="preserve"> e </w:t>
      </w:r>
      <w:proofErr w:type="spellStart"/>
      <w:r w:rsidR="00A82101">
        <w:rPr>
          <w:rFonts w:ascii="Arial Narrow" w:hAnsi="Arial Narrow"/>
          <w:b/>
          <w:bCs/>
          <w:sz w:val="22"/>
          <w:szCs w:val="22"/>
          <w:lang w:val="en-GB" w:eastAsia="bg-BG"/>
        </w:rPr>
        <w:t>hedhjes</w:t>
      </w:r>
      <w:proofErr w:type="spellEnd"/>
      <w:r w:rsidRPr="00430A79">
        <w:rPr>
          <w:rFonts w:ascii="Arial Narrow" w:hAnsi="Arial Narrow"/>
          <w:b/>
          <w:bCs/>
          <w:sz w:val="22"/>
          <w:szCs w:val="22"/>
          <w:lang w:val="en-GB" w:eastAsia="bg-BG"/>
        </w:rPr>
        <w:t xml:space="preserve"> (</w:t>
      </w:r>
      <w:r w:rsidR="00A82101">
        <w:rPr>
          <w:rFonts w:ascii="Arial Narrow" w:hAnsi="Arial Narrow"/>
          <w:b/>
          <w:bCs/>
          <w:sz w:val="22"/>
          <w:szCs w:val="22"/>
          <w:lang w:val="en-GB" w:eastAsia="bg-BG"/>
        </w:rPr>
        <w:t>PeH</w:t>
      </w:r>
      <w:r w:rsidRPr="00430A79">
        <w:rPr>
          <w:rFonts w:ascii="Arial Narrow" w:hAnsi="Arial Narrow"/>
          <w:b/>
          <w:bCs/>
          <w:sz w:val="22"/>
          <w:szCs w:val="22"/>
          <w:lang w:val="en-GB" w:eastAsia="bg-BG"/>
        </w:rPr>
        <w:t>)</w:t>
      </w:r>
    </w:p>
    <w:p w14:paraId="17FC3D2A" w14:textId="59742082" w:rsidR="00430A79" w:rsidRPr="009F5CA1" w:rsidRDefault="00A82101" w:rsidP="00430A79">
      <w:pPr>
        <w:jc w:val="both"/>
        <w:rPr>
          <w:rFonts w:ascii="Arial Narrow" w:hAnsi="Arial Narrow"/>
          <w:sz w:val="22"/>
          <w:szCs w:val="22"/>
          <w:lang w:val="sq-AL" w:eastAsia="bg-BG"/>
        </w:rPr>
      </w:pPr>
      <w:r w:rsidRPr="00BE2534">
        <w:rPr>
          <w:rFonts w:ascii="Arial Narrow" w:hAnsi="Arial Narrow"/>
          <w:sz w:val="22"/>
          <w:szCs w:val="22"/>
          <w:lang w:val="sq-AL" w:eastAsia="bg-BG"/>
        </w:rPr>
        <w:t>Duhet të krijohet një rrjet i pikave të h</w:t>
      </w:r>
      <w:r>
        <w:rPr>
          <w:rFonts w:ascii="Arial Narrow" w:hAnsi="Arial Narrow"/>
          <w:sz w:val="22"/>
          <w:szCs w:val="22"/>
          <w:lang w:val="sq-AL" w:eastAsia="bg-BG"/>
        </w:rPr>
        <w:t>e</w:t>
      </w:r>
      <w:r w:rsidRPr="00BE2534">
        <w:rPr>
          <w:rFonts w:ascii="Arial Narrow" w:hAnsi="Arial Narrow"/>
          <w:sz w:val="22"/>
          <w:szCs w:val="22"/>
          <w:lang w:val="sq-AL" w:eastAsia="bg-BG"/>
        </w:rPr>
        <w:t>dhjes, ku MNRr do të mblidhet dhe ruhet, përpara se të transportohet në objektet qendrore të trajtimit dhe deponimit. PeH parashikohet të ketë një sipërfaqe prej 2000 ~ 4000 m</w:t>
      </w:r>
      <w:r w:rsidRPr="00BE2534">
        <w:rPr>
          <w:rFonts w:ascii="Arial Narrow" w:hAnsi="Arial Narrow"/>
          <w:sz w:val="22"/>
          <w:szCs w:val="22"/>
          <w:vertAlign w:val="superscript"/>
          <w:lang w:val="sq-AL" w:eastAsia="bg-BG"/>
        </w:rPr>
        <w:t>2</w:t>
      </w:r>
      <w:r w:rsidRPr="00BE2534">
        <w:rPr>
          <w:rFonts w:ascii="Arial Narrow" w:hAnsi="Arial Narrow"/>
          <w:sz w:val="22"/>
          <w:szCs w:val="22"/>
          <w:lang w:val="sq-AL" w:eastAsia="bg-BG"/>
        </w:rPr>
        <w:t>. Grumbulluesit e MNRr-ve do t'i hedhin mbeturinat në kontejnerët e hapur përkatës. Vlen të theksohet se PKMMN</w:t>
      </w:r>
      <w:r>
        <w:rPr>
          <w:rFonts w:ascii="Arial Narrow" w:hAnsi="Arial Narrow"/>
          <w:sz w:val="22"/>
          <w:szCs w:val="22"/>
          <w:lang w:val="sq-AL" w:eastAsia="bg-BG"/>
        </w:rPr>
        <w:t>Rr</w:t>
      </w:r>
      <w:r w:rsidRPr="00BE2534">
        <w:rPr>
          <w:rFonts w:ascii="Arial Narrow" w:hAnsi="Arial Narrow"/>
          <w:sz w:val="22"/>
          <w:szCs w:val="22"/>
          <w:lang w:val="sq-AL" w:eastAsia="bg-BG"/>
        </w:rPr>
        <w:t xml:space="preserve"> parasheh ngritjen e pikave të h</w:t>
      </w:r>
      <w:r>
        <w:rPr>
          <w:rFonts w:ascii="Arial Narrow" w:hAnsi="Arial Narrow"/>
          <w:sz w:val="22"/>
          <w:szCs w:val="22"/>
          <w:lang w:val="sq-AL" w:eastAsia="bg-BG"/>
        </w:rPr>
        <w:t>e</w:t>
      </w:r>
      <w:r w:rsidRPr="00BE2534">
        <w:rPr>
          <w:rFonts w:ascii="Arial Narrow" w:hAnsi="Arial Narrow"/>
          <w:sz w:val="22"/>
          <w:szCs w:val="22"/>
          <w:lang w:val="sq-AL" w:eastAsia="bg-BG"/>
        </w:rPr>
        <w:t>dhjes në territorin e komunës së Pejës, Istogut dhe Klinës. Megjithatë, një PeH e tillë nevojitet edhe për komunën e Deçanit. PeH e Deçanit mund t'i shërbejë edhe komunës së Junikut</w:t>
      </w:r>
      <w:r w:rsidR="00430A79" w:rsidRPr="009F5CA1">
        <w:rPr>
          <w:rFonts w:ascii="Arial Narrow" w:hAnsi="Arial Narrow"/>
          <w:sz w:val="22"/>
          <w:szCs w:val="22"/>
          <w:lang w:val="sq-AL" w:eastAsia="bg-BG"/>
        </w:rPr>
        <w:t>.</w:t>
      </w:r>
    </w:p>
    <w:p w14:paraId="42C3421C" w14:textId="77777777" w:rsidR="00430A79" w:rsidRPr="009F5CA1" w:rsidRDefault="00430A79" w:rsidP="00430A79">
      <w:pPr>
        <w:jc w:val="both"/>
        <w:rPr>
          <w:rFonts w:ascii="Arial Narrow" w:hAnsi="Arial Narrow"/>
          <w:sz w:val="22"/>
          <w:szCs w:val="22"/>
          <w:lang w:val="sq-AL" w:eastAsia="bg-BG"/>
        </w:rPr>
      </w:pPr>
    </w:p>
    <w:p w14:paraId="57CBFB72" w14:textId="242A46AC" w:rsidR="00430A79" w:rsidRPr="009F5CA1" w:rsidRDefault="00430A79" w:rsidP="00430A79">
      <w:pPr>
        <w:jc w:val="both"/>
        <w:rPr>
          <w:rFonts w:ascii="Arial Narrow" w:hAnsi="Arial Narrow"/>
          <w:sz w:val="22"/>
          <w:szCs w:val="22"/>
          <w:lang w:val="sq-AL" w:eastAsia="bg-BG"/>
        </w:rPr>
      </w:pPr>
      <w:r w:rsidRPr="009F5CA1">
        <w:rPr>
          <w:rFonts w:ascii="Arial Narrow" w:hAnsi="Arial Narrow"/>
          <w:sz w:val="22"/>
          <w:szCs w:val="22"/>
          <w:lang w:val="sq-AL" w:eastAsia="bg-BG"/>
        </w:rPr>
        <w:t xml:space="preserve">Nevoja për </w:t>
      </w:r>
      <w:r w:rsidR="00A82101" w:rsidRPr="009F5CA1">
        <w:rPr>
          <w:rFonts w:ascii="Arial Narrow" w:hAnsi="Arial Narrow"/>
          <w:sz w:val="22"/>
          <w:szCs w:val="22"/>
          <w:lang w:val="sq-AL" w:eastAsia="bg-BG"/>
        </w:rPr>
        <w:t>PeH</w:t>
      </w:r>
      <w:r w:rsidRPr="009F5CA1">
        <w:rPr>
          <w:rFonts w:ascii="Arial Narrow" w:hAnsi="Arial Narrow"/>
          <w:sz w:val="22"/>
          <w:szCs w:val="22"/>
          <w:lang w:val="sq-AL" w:eastAsia="bg-BG"/>
        </w:rPr>
        <w:t xml:space="preserve"> paraqitet në tabelën më poshtë.</w:t>
      </w:r>
    </w:p>
    <w:p w14:paraId="477A24FF" w14:textId="77777777" w:rsidR="00430A79" w:rsidRPr="009F5CA1" w:rsidRDefault="00430A79" w:rsidP="00430A79">
      <w:pPr>
        <w:jc w:val="both"/>
        <w:rPr>
          <w:rFonts w:ascii="Arial Narrow" w:hAnsi="Arial Narrow"/>
          <w:sz w:val="22"/>
          <w:szCs w:val="22"/>
          <w:lang w:val="sq-AL" w:eastAsia="bg-BG"/>
        </w:rPr>
      </w:pPr>
    </w:p>
    <w:p w14:paraId="33EA29A6" w14:textId="7E0ED266" w:rsidR="00430A79" w:rsidRPr="009F5CA1" w:rsidRDefault="00430A79" w:rsidP="00430A79">
      <w:pPr>
        <w:spacing w:after="120"/>
        <w:rPr>
          <w:rFonts w:ascii="Arial Narrow" w:eastAsia="Calibri" w:hAnsi="Arial Narrow" w:cs="Calibri"/>
          <w:color w:val="1F497D"/>
          <w:sz w:val="20"/>
          <w:szCs w:val="20"/>
          <w:lang w:val="sq-AL"/>
        </w:rPr>
      </w:pPr>
      <w:bookmarkStart w:id="450" w:name="_Toc153381585"/>
      <w:bookmarkStart w:id="451" w:name="_Toc185866224"/>
      <w:bookmarkStart w:id="452" w:name="_Toc197472253"/>
      <w:r w:rsidRPr="009F5CA1">
        <w:rPr>
          <w:rFonts w:ascii="Arial Narrow" w:eastAsia="Calibri" w:hAnsi="Arial Narrow" w:cs="Calibri"/>
          <w:color w:val="1F497D"/>
          <w:sz w:val="20"/>
          <w:szCs w:val="20"/>
          <w:lang w:val="sq-AL"/>
        </w:rPr>
        <w:t xml:space="preserve">Tabela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lang w:val="sq-AL"/>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lang w:val="sq-AL"/>
        </w:rPr>
        <w:t xml:space="preserve">68. </w:t>
      </w:r>
      <w:r w:rsidRPr="00430A79">
        <w:rPr>
          <w:rFonts w:ascii="Arial Narrow" w:eastAsia="Calibri" w:hAnsi="Arial Narrow" w:cs="Calibri"/>
          <w:color w:val="1F497D"/>
          <w:sz w:val="20"/>
          <w:szCs w:val="20"/>
          <w:lang w:val="en-GB"/>
        </w:rPr>
        <w:fldChar w:fldCharType="end"/>
      </w:r>
      <w:r w:rsidRPr="009F5CA1">
        <w:rPr>
          <w:rFonts w:ascii="Arial Narrow" w:eastAsia="Calibri" w:hAnsi="Arial Narrow" w:cs="Calibri"/>
          <w:color w:val="1F497D"/>
          <w:sz w:val="20"/>
          <w:szCs w:val="20"/>
          <w:lang w:val="sq-AL"/>
        </w:rPr>
        <w:t xml:space="preserve">Rrjeti i pikave të </w:t>
      </w:r>
      <w:r w:rsidR="00A82101" w:rsidRPr="009F5CA1">
        <w:rPr>
          <w:rFonts w:ascii="Arial Narrow" w:eastAsia="Calibri" w:hAnsi="Arial Narrow" w:cs="Calibri"/>
          <w:color w:val="1F497D"/>
          <w:sz w:val="20"/>
          <w:szCs w:val="20"/>
          <w:lang w:val="sq-AL"/>
        </w:rPr>
        <w:t>hedhjes</w:t>
      </w:r>
      <w:bookmarkEnd w:id="450"/>
      <w:bookmarkEnd w:id="451"/>
      <w:bookmarkEnd w:id="452"/>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3431"/>
        <w:gridCol w:w="1604"/>
        <w:gridCol w:w="1533"/>
        <w:gridCol w:w="2452"/>
      </w:tblGrid>
      <w:tr w:rsidR="00A82101" w:rsidRPr="00430A79" w14:paraId="28655A7F" w14:textId="77777777" w:rsidTr="00D03949">
        <w:trPr>
          <w:trHeight w:val="274"/>
        </w:trPr>
        <w:tc>
          <w:tcPr>
            <w:tcW w:w="1902" w:type="pct"/>
            <w:shd w:val="clear" w:color="auto" w:fill="365F91"/>
            <w:tcMar>
              <w:left w:w="72" w:type="dxa"/>
              <w:right w:w="72" w:type="dxa"/>
            </w:tcMar>
          </w:tcPr>
          <w:p w14:paraId="394C8512" w14:textId="354AA008" w:rsidR="00A82101" w:rsidRPr="00430A79" w:rsidRDefault="00A82101" w:rsidP="00A82101">
            <w:pPr>
              <w:jc w:val="center"/>
              <w:rPr>
                <w:rFonts w:ascii="Arial Narrow" w:eastAsia="Calibri" w:hAnsi="Arial Narrow"/>
                <w:b/>
                <w:bCs/>
                <w:color w:val="FFFFFF"/>
                <w:kern w:val="2"/>
                <w:sz w:val="20"/>
                <w:szCs w:val="20"/>
                <w14:ligatures w14:val="standardContextual"/>
              </w:rPr>
            </w:pPr>
            <w:bookmarkStart w:id="453" w:name="_Hlk153288189"/>
            <w:r>
              <w:rPr>
                <w:rFonts w:ascii="Arial Narrow" w:eastAsia="Calibri" w:hAnsi="Arial Narrow"/>
                <w:b/>
                <w:bCs/>
                <w:color w:val="FFFFFF"/>
                <w:kern w:val="2"/>
                <w:sz w:val="20"/>
                <w:szCs w:val="20"/>
                <w14:ligatures w14:val="standardContextual"/>
              </w:rPr>
              <w:t>Komunat</w:t>
            </w:r>
          </w:p>
        </w:tc>
        <w:tc>
          <w:tcPr>
            <w:tcW w:w="889" w:type="pct"/>
            <w:shd w:val="clear" w:color="auto" w:fill="365F91"/>
            <w:tcMar>
              <w:left w:w="72" w:type="dxa"/>
              <w:right w:w="72" w:type="dxa"/>
            </w:tcMar>
          </w:tcPr>
          <w:p w14:paraId="4799CD1E" w14:textId="3F295AE3" w:rsidR="00A82101" w:rsidRPr="00430A79" w:rsidRDefault="00A82101" w:rsidP="00A82101">
            <w:pPr>
              <w:jc w:val="center"/>
              <w:rPr>
                <w:rFonts w:ascii="Arial Narrow" w:eastAsia="Calibri" w:hAnsi="Arial Narrow"/>
                <w:b/>
                <w:bCs/>
                <w:color w:val="FFFFFF"/>
                <w:kern w:val="2"/>
                <w:sz w:val="20"/>
                <w:szCs w:val="20"/>
                <w14:ligatures w14:val="standardContextual"/>
              </w:rPr>
            </w:pPr>
            <w:r w:rsidRPr="00BE2534">
              <w:rPr>
                <w:rFonts w:ascii="Arial Narrow" w:eastAsia="Calibri" w:hAnsi="Arial Narrow"/>
                <w:b/>
                <w:bCs/>
                <w:color w:val="FFFFFF"/>
                <w:kern w:val="2"/>
                <w:sz w:val="20"/>
                <w:szCs w:val="20"/>
                <w:lang w:val="sq-AL"/>
                <w14:ligatures w14:val="standardContextual"/>
              </w:rPr>
              <w:t>Numri</w:t>
            </w:r>
            <w:r w:rsidRPr="00BE2534">
              <w:rPr>
                <w:rFonts w:ascii="Arial Narrow" w:eastAsia="Calibri" w:hAnsi="Arial Narrow"/>
                <w:b/>
                <w:bCs/>
                <w:color w:val="FFFFFF"/>
                <w:spacing w:val="-7"/>
                <w:kern w:val="2"/>
                <w:sz w:val="20"/>
                <w:szCs w:val="20"/>
                <w:lang w:val="sq-AL"/>
                <w14:ligatures w14:val="standardContextual"/>
              </w:rPr>
              <w:t xml:space="preserve"> i PeH</w:t>
            </w:r>
          </w:p>
        </w:tc>
        <w:tc>
          <w:tcPr>
            <w:tcW w:w="850" w:type="pct"/>
            <w:shd w:val="clear" w:color="auto" w:fill="365F91"/>
            <w:tcMar>
              <w:left w:w="72" w:type="dxa"/>
              <w:right w:w="72" w:type="dxa"/>
            </w:tcMar>
          </w:tcPr>
          <w:p w14:paraId="725EDFF9" w14:textId="35336F8D" w:rsidR="00A82101" w:rsidRPr="00430A79" w:rsidRDefault="00A82101" w:rsidP="00A82101">
            <w:pPr>
              <w:jc w:val="center"/>
              <w:rPr>
                <w:rFonts w:ascii="Arial Narrow" w:eastAsia="Calibri" w:hAnsi="Arial Narrow"/>
                <w:b/>
                <w:bCs/>
                <w:color w:val="FFFFFF"/>
                <w:kern w:val="2"/>
                <w:sz w:val="20"/>
                <w:szCs w:val="20"/>
                <w14:ligatures w14:val="standardContextual"/>
              </w:rPr>
            </w:pPr>
            <w:r w:rsidRPr="00BE2534">
              <w:rPr>
                <w:rFonts w:ascii="Arial Narrow" w:eastAsia="Calibri" w:hAnsi="Arial Narrow"/>
                <w:b/>
                <w:bCs/>
                <w:color w:val="FFFFFF"/>
                <w:kern w:val="2"/>
                <w:sz w:val="20"/>
                <w:szCs w:val="20"/>
                <w:lang w:val="sq-AL"/>
                <w14:ligatures w14:val="standardContextual"/>
              </w:rPr>
              <w:t>Kapaciteti</w:t>
            </w:r>
            <w:r w:rsidRPr="00BE2534">
              <w:rPr>
                <w:rFonts w:ascii="Arial Narrow" w:eastAsia="Calibri" w:hAnsi="Arial Narrow"/>
                <w:b/>
                <w:bCs/>
                <w:color w:val="FFFFFF"/>
                <w:spacing w:val="-14"/>
                <w:kern w:val="2"/>
                <w:sz w:val="20"/>
                <w:szCs w:val="20"/>
                <w:lang w:val="sq-AL"/>
                <w14:ligatures w14:val="standardContextual"/>
              </w:rPr>
              <w:t xml:space="preserve"> </w:t>
            </w:r>
            <w:r w:rsidRPr="00BE2534">
              <w:rPr>
                <w:rFonts w:ascii="Arial Narrow" w:eastAsia="Calibri" w:hAnsi="Arial Narrow"/>
                <w:b/>
                <w:bCs/>
                <w:color w:val="FFFFFF"/>
                <w:kern w:val="2"/>
                <w:sz w:val="20"/>
                <w:szCs w:val="20"/>
                <w:lang w:val="sq-AL"/>
                <w14:ligatures w14:val="standardContextual"/>
              </w:rPr>
              <w:t>(m³/vit)</w:t>
            </w:r>
          </w:p>
        </w:tc>
        <w:tc>
          <w:tcPr>
            <w:tcW w:w="1359" w:type="pct"/>
            <w:shd w:val="clear" w:color="auto" w:fill="365F91"/>
            <w:tcMar>
              <w:left w:w="72" w:type="dxa"/>
              <w:right w:w="72" w:type="dxa"/>
            </w:tcMar>
          </w:tcPr>
          <w:p w14:paraId="3CC338C3" w14:textId="10B0F0FB" w:rsidR="00A82101" w:rsidRPr="00430A79" w:rsidRDefault="00A82101" w:rsidP="00A82101">
            <w:pPr>
              <w:jc w:val="center"/>
              <w:rPr>
                <w:rFonts w:ascii="Arial Narrow" w:eastAsia="Calibri" w:hAnsi="Arial Narrow"/>
                <w:b/>
                <w:bCs/>
                <w:color w:val="FFFFFF"/>
                <w:kern w:val="2"/>
                <w:sz w:val="20"/>
                <w:szCs w:val="20"/>
                <w14:ligatures w14:val="standardContextual"/>
              </w:rPr>
            </w:pPr>
            <w:r w:rsidRPr="00BE2534">
              <w:rPr>
                <w:rFonts w:ascii="Arial Narrow" w:eastAsia="Calibri" w:hAnsi="Arial Narrow"/>
                <w:b/>
                <w:bCs/>
                <w:color w:val="FFFFFF"/>
                <w:kern w:val="2"/>
                <w:sz w:val="20"/>
                <w:szCs w:val="20"/>
                <w:lang w:val="sq-AL"/>
                <w14:ligatures w14:val="standardContextual"/>
              </w:rPr>
              <w:t>Numri</w:t>
            </w:r>
            <w:r w:rsidRPr="00BE2534">
              <w:rPr>
                <w:rFonts w:ascii="Arial Narrow" w:eastAsia="Calibri" w:hAnsi="Arial Narrow"/>
                <w:b/>
                <w:bCs/>
                <w:color w:val="FFFFFF"/>
                <w:spacing w:val="-10"/>
                <w:kern w:val="2"/>
                <w:sz w:val="20"/>
                <w:szCs w:val="20"/>
                <w:lang w:val="sq-AL"/>
                <w14:ligatures w14:val="standardContextual"/>
              </w:rPr>
              <w:t xml:space="preserve"> i </w:t>
            </w:r>
            <w:r w:rsidRPr="00BE2534">
              <w:rPr>
                <w:rFonts w:ascii="Arial Narrow" w:eastAsia="Calibri" w:hAnsi="Arial Narrow"/>
                <w:b/>
                <w:bCs/>
                <w:color w:val="FFFFFF"/>
                <w:kern w:val="2"/>
                <w:sz w:val="20"/>
                <w:szCs w:val="20"/>
                <w:lang w:val="sq-AL"/>
                <w14:ligatures w14:val="standardContextual"/>
              </w:rPr>
              <w:t>kontejnerëve të nevojshëm</w:t>
            </w:r>
          </w:p>
        </w:tc>
      </w:tr>
      <w:tr w:rsidR="00A82101" w:rsidRPr="00430A79" w14:paraId="57930C4C" w14:textId="77777777" w:rsidTr="00D03949">
        <w:trPr>
          <w:trHeight w:val="373"/>
        </w:trPr>
        <w:tc>
          <w:tcPr>
            <w:tcW w:w="1902" w:type="pct"/>
            <w:tcMar>
              <w:left w:w="72" w:type="dxa"/>
              <w:right w:w="72" w:type="dxa"/>
            </w:tcMar>
          </w:tcPr>
          <w:p w14:paraId="534D82D1" w14:textId="64E862D2" w:rsidR="00A82101" w:rsidRPr="00430A79" w:rsidRDefault="00A82101" w:rsidP="00A82101">
            <w:pPr>
              <w:widowControl w:val="0"/>
              <w:autoSpaceDE w:val="0"/>
              <w:autoSpaceDN w:val="0"/>
              <w:ind w:left="3" w:right="7"/>
              <w:rPr>
                <w:rFonts w:ascii="Arial Narrow" w:eastAsia="Arial MT" w:hAnsi="Arial Narrow" w:cs="Arial MT"/>
                <w:sz w:val="18"/>
                <w:szCs w:val="22"/>
              </w:rPr>
            </w:pPr>
            <w:r w:rsidRPr="00BE2534">
              <w:rPr>
                <w:rFonts w:ascii="Arial Narrow" w:eastAsia="Arial MT" w:hAnsi="Arial Narrow" w:cs="Arial MT"/>
                <w:sz w:val="18"/>
                <w:szCs w:val="22"/>
                <w:lang w:val="sq-AL"/>
              </w:rPr>
              <w:t>Pejë (duke shërbyer edhe Deçanin dhe Junikun )</w:t>
            </w:r>
          </w:p>
        </w:tc>
        <w:tc>
          <w:tcPr>
            <w:tcW w:w="889" w:type="pct"/>
          </w:tcPr>
          <w:p w14:paraId="5FA06D1B" w14:textId="1C6BFE8A" w:rsidR="00A82101" w:rsidRPr="00430A79" w:rsidRDefault="00A82101" w:rsidP="00A82101">
            <w:pPr>
              <w:widowControl w:val="0"/>
              <w:autoSpaceDE w:val="0"/>
              <w:autoSpaceDN w:val="0"/>
              <w:ind w:left="3" w:right="2"/>
              <w:jc w:val="center"/>
              <w:rPr>
                <w:rFonts w:ascii="Arial Narrow" w:eastAsia="Arial MT" w:hAnsi="Arial Narrow" w:cs="Arial MT"/>
                <w:sz w:val="18"/>
                <w:szCs w:val="22"/>
              </w:rPr>
            </w:pPr>
            <w:r w:rsidRPr="00BE2534">
              <w:rPr>
                <w:rFonts w:ascii="Arial Narrow" w:eastAsia="Arial MT" w:hAnsi="Arial Narrow" w:cs="Arial MT"/>
                <w:sz w:val="18"/>
                <w:szCs w:val="22"/>
                <w:lang w:val="sq-AL"/>
              </w:rPr>
              <w:t>1 (e mesme)</w:t>
            </w:r>
          </w:p>
        </w:tc>
        <w:tc>
          <w:tcPr>
            <w:tcW w:w="850" w:type="pct"/>
          </w:tcPr>
          <w:p w14:paraId="28869534" w14:textId="77777777" w:rsidR="00A82101" w:rsidRPr="00430A79" w:rsidRDefault="00A82101" w:rsidP="00A82101">
            <w:pPr>
              <w:widowControl w:val="0"/>
              <w:autoSpaceDE w:val="0"/>
              <w:autoSpaceDN w:val="0"/>
              <w:ind w:left="3" w:right="2"/>
              <w:jc w:val="center"/>
              <w:rPr>
                <w:rFonts w:ascii="Arial Narrow" w:eastAsia="Arial MT" w:hAnsi="Arial Narrow" w:cs="Arial MT"/>
                <w:sz w:val="18"/>
                <w:szCs w:val="22"/>
              </w:rPr>
            </w:pPr>
            <w:r w:rsidRPr="00430A79">
              <w:rPr>
                <w:rFonts w:ascii="Arial Narrow" w:eastAsia="Arial MT" w:hAnsi="Arial Narrow" w:cs="Arial MT"/>
                <w:sz w:val="18"/>
                <w:szCs w:val="22"/>
              </w:rPr>
              <w:t>5,400</w:t>
            </w:r>
          </w:p>
        </w:tc>
        <w:tc>
          <w:tcPr>
            <w:tcW w:w="1359" w:type="pct"/>
          </w:tcPr>
          <w:p w14:paraId="4E16B10D" w14:textId="77777777" w:rsidR="00A82101" w:rsidRPr="00430A79" w:rsidRDefault="00A82101" w:rsidP="00A82101">
            <w:pPr>
              <w:widowControl w:val="0"/>
              <w:autoSpaceDE w:val="0"/>
              <w:autoSpaceDN w:val="0"/>
              <w:ind w:left="3" w:right="1"/>
              <w:jc w:val="center"/>
              <w:rPr>
                <w:rFonts w:ascii="Arial Narrow" w:eastAsia="Arial MT" w:hAnsi="Arial Narrow" w:cs="Arial MT"/>
                <w:sz w:val="18"/>
                <w:szCs w:val="22"/>
              </w:rPr>
            </w:pPr>
            <w:r w:rsidRPr="00430A79">
              <w:rPr>
                <w:rFonts w:ascii="Arial Narrow" w:eastAsia="Arial MT" w:hAnsi="Arial Narrow" w:cs="Arial MT"/>
                <w:sz w:val="18"/>
                <w:szCs w:val="22"/>
              </w:rPr>
              <w:t>6 (20 m³)</w:t>
            </w:r>
          </w:p>
        </w:tc>
      </w:tr>
      <w:tr w:rsidR="00A82101" w:rsidRPr="00430A79" w14:paraId="587C1CE1" w14:textId="77777777" w:rsidTr="00D03949">
        <w:trPr>
          <w:trHeight w:val="355"/>
        </w:trPr>
        <w:tc>
          <w:tcPr>
            <w:tcW w:w="1902" w:type="pct"/>
            <w:tcMar>
              <w:left w:w="72" w:type="dxa"/>
              <w:right w:w="72" w:type="dxa"/>
            </w:tcMar>
          </w:tcPr>
          <w:p w14:paraId="3F4BB1E0" w14:textId="7CCF3E7A" w:rsidR="00A82101" w:rsidRPr="00430A79" w:rsidRDefault="00A82101" w:rsidP="00A82101">
            <w:pPr>
              <w:widowControl w:val="0"/>
              <w:autoSpaceDE w:val="0"/>
              <w:autoSpaceDN w:val="0"/>
              <w:ind w:left="3" w:right="7"/>
              <w:rPr>
                <w:rFonts w:ascii="Arial Narrow" w:eastAsia="Arial MT" w:hAnsi="Arial Narrow" w:cs="Arial MT"/>
                <w:sz w:val="18"/>
                <w:szCs w:val="22"/>
              </w:rPr>
            </w:pPr>
            <w:r w:rsidRPr="00BE2534">
              <w:rPr>
                <w:rFonts w:ascii="Arial Narrow" w:eastAsia="Arial MT" w:hAnsi="Arial Narrow" w:cs="Arial MT"/>
                <w:sz w:val="18"/>
                <w:szCs w:val="22"/>
                <w:lang w:val="sq-AL"/>
              </w:rPr>
              <w:t>Istog</w:t>
            </w:r>
          </w:p>
        </w:tc>
        <w:tc>
          <w:tcPr>
            <w:tcW w:w="889" w:type="pct"/>
          </w:tcPr>
          <w:p w14:paraId="55F3B84A" w14:textId="7981CBC1" w:rsidR="00A82101" w:rsidRPr="00430A79" w:rsidRDefault="00A82101" w:rsidP="00A82101">
            <w:pPr>
              <w:widowControl w:val="0"/>
              <w:autoSpaceDE w:val="0"/>
              <w:autoSpaceDN w:val="0"/>
              <w:ind w:left="3" w:right="7"/>
              <w:jc w:val="center"/>
              <w:rPr>
                <w:rFonts w:ascii="Arial Narrow" w:eastAsia="Arial MT" w:hAnsi="Arial Narrow" w:cs="Arial MT"/>
                <w:sz w:val="18"/>
                <w:szCs w:val="22"/>
              </w:rPr>
            </w:pPr>
            <w:r w:rsidRPr="00BE2534">
              <w:rPr>
                <w:rFonts w:ascii="Arial Narrow" w:eastAsia="Arial MT" w:hAnsi="Arial Narrow" w:cs="Arial MT"/>
                <w:sz w:val="18"/>
                <w:szCs w:val="22"/>
                <w:lang w:val="sq-AL"/>
              </w:rPr>
              <w:t>1 (e mesme)</w:t>
            </w:r>
          </w:p>
        </w:tc>
        <w:tc>
          <w:tcPr>
            <w:tcW w:w="850" w:type="pct"/>
          </w:tcPr>
          <w:p w14:paraId="01F1C787" w14:textId="77777777" w:rsidR="00A82101" w:rsidRPr="00430A79" w:rsidRDefault="00A82101" w:rsidP="00A82101">
            <w:pPr>
              <w:widowControl w:val="0"/>
              <w:autoSpaceDE w:val="0"/>
              <w:autoSpaceDN w:val="0"/>
              <w:ind w:left="3" w:right="7"/>
              <w:jc w:val="center"/>
              <w:rPr>
                <w:rFonts w:ascii="Arial Narrow" w:eastAsia="Arial MT" w:hAnsi="Arial Narrow" w:cs="Arial MT"/>
                <w:sz w:val="18"/>
                <w:szCs w:val="22"/>
              </w:rPr>
            </w:pPr>
            <w:r w:rsidRPr="00430A79">
              <w:rPr>
                <w:rFonts w:ascii="Arial Narrow" w:eastAsia="Arial MT" w:hAnsi="Arial Narrow" w:cs="Arial MT"/>
                <w:sz w:val="18"/>
                <w:szCs w:val="22"/>
              </w:rPr>
              <w:t>2,900</w:t>
            </w:r>
          </w:p>
        </w:tc>
        <w:tc>
          <w:tcPr>
            <w:tcW w:w="1359" w:type="pct"/>
          </w:tcPr>
          <w:p w14:paraId="338034F3" w14:textId="77777777" w:rsidR="00A82101" w:rsidRPr="00430A79" w:rsidRDefault="00A82101" w:rsidP="00A82101">
            <w:pPr>
              <w:widowControl w:val="0"/>
              <w:autoSpaceDE w:val="0"/>
              <w:autoSpaceDN w:val="0"/>
              <w:ind w:left="3" w:right="7"/>
              <w:jc w:val="center"/>
              <w:rPr>
                <w:rFonts w:ascii="Arial Narrow" w:eastAsia="Arial MT" w:hAnsi="Arial Narrow" w:cs="Arial MT"/>
                <w:sz w:val="18"/>
                <w:szCs w:val="22"/>
              </w:rPr>
            </w:pPr>
            <w:r w:rsidRPr="00430A79">
              <w:rPr>
                <w:rFonts w:ascii="Arial Narrow" w:eastAsia="Arial MT" w:hAnsi="Arial Narrow" w:cs="Arial MT"/>
                <w:sz w:val="18"/>
                <w:szCs w:val="22"/>
              </w:rPr>
              <w:t>9 (7 m³)</w:t>
            </w:r>
          </w:p>
        </w:tc>
      </w:tr>
      <w:tr w:rsidR="00A82101" w:rsidRPr="00430A79" w14:paraId="5F1E3318" w14:textId="77777777" w:rsidTr="00D03949">
        <w:trPr>
          <w:trHeight w:val="355"/>
        </w:trPr>
        <w:tc>
          <w:tcPr>
            <w:tcW w:w="1902" w:type="pct"/>
            <w:tcMar>
              <w:left w:w="72" w:type="dxa"/>
              <w:right w:w="72" w:type="dxa"/>
            </w:tcMar>
          </w:tcPr>
          <w:p w14:paraId="2C6CC2F9" w14:textId="5ACB8683" w:rsidR="00A82101" w:rsidRPr="00430A79" w:rsidRDefault="00A82101" w:rsidP="00A82101">
            <w:pPr>
              <w:widowControl w:val="0"/>
              <w:autoSpaceDE w:val="0"/>
              <w:autoSpaceDN w:val="0"/>
              <w:rPr>
                <w:rFonts w:ascii="Arial Narrow" w:eastAsia="Arial MT" w:hAnsi="Arial Narrow" w:cs="Arial MT"/>
                <w:sz w:val="18"/>
                <w:szCs w:val="22"/>
              </w:rPr>
            </w:pPr>
            <w:r w:rsidRPr="00BE2534">
              <w:rPr>
                <w:rFonts w:ascii="Arial Narrow" w:eastAsia="Arial MT" w:hAnsi="Arial Narrow" w:cs="Arial MT"/>
                <w:sz w:val="18"/>
                <w:szCs w:val="22"/>
                <w:lang w:val="sq-AL"/>
              </w:rPr>
              <w:t>Klinë</w:t>
            </w:r>
          </w:p>
        </w:tc>
        <w:tc>
          <w:tcPr>
            <w:tcW w:w="889" w:type="pct"/>
          </w:tcPr>
          <w:p w14:paraId="63809F20" w14:textId="5D96BD0A" w:rsidR="00A82101" w:rsidRPr="00430A79" w:rsidRDefault="00A82101" w:rsidP="00A82101">
            <w:pPr>
              <w:widowControl w:val="0"/>
              <w:autoSpaceDE w:val="0"/>
              <w:autoSpaceDN w:val="0"/>
              <w:jc w:val="center"/>
              <w:rPr>
                <w:rFonts w:ascii="Arial Narrow" w:eastAsia="Arial MT" w:hAnsi="Arial Narrow" w:cs="Arial MT"/>
                <w:sz w:val="18"/>
                <w:szCs w:val="22"/>
              </w:rPr>
            </w:pPr>
            <w:r w:rsidRPr="00BE2534">
              <w:rPr>
                <w:rFonts w:ascii="Arial Narrow" w:eastAsia="Arial MT" w:hAnsi="Arial Narrow" w:cs="Arial MT"/>
                <w:sz w:val="18"/>
                <w:szCs w:val="22"/>
                <w:lang w:val="sq-AL"/>
              </w:rPr>
              <w:t>1 (e mesme)</w:t>
            </w:r>
          </w:p>
        </w:tc>
        <w:tc>
          <w:tcPr>
            <w:tcW w:w="850" w:type="pct"/>
          </w:tcPr>
          <w:p w14:paraId="58657234" w14:textId="77777777" w:rsidR="00A82101" w:rsidRPr="00430A79" w:rsidRDefault="00A82101" w:rsidP="00A82101">
            <w:pPr>
              <w:widowControl w:val="0"/>
              <w:autoSpaceDE w:val="0"/>
              <w:autoSpaceDN w:val="0"/>
              <w:jc w:val="center"/>
              <w:rPr>
                <w:rFonts w:ascii="Arial Narrow" w:eastAsia="Arial MT" w:hAnsi="Arial Narrow" w:cs="Arial MT"/>
                <w:sz w:val="18"/>
                <w:szCs w:val="22"/>
              </w:rPr>
            </w:pPr>
            <w:r w:rsidRPr="00430A79">
              <w:rPr>
                <w:rFonts w:ascii="Arial Narrow" w:eastAsia="Arial MT" w:hAnsi="Arial Narrow" w:cs="Arial MT"/>
                <w:sz w:val="18"/>
                <w:szCs w:val="22"/>
              </w:rPr>
              <w:t>2,400</w:t>
            </w:r>
          </w:p>
        </w:tc>
        <w:tc>
          <w:tcPr>
            <w:tcW w:w="1359" w:type="pct"/>
          </w:tcPr>
          <w:p w14:paraId="46DB1E17" w14:textId="77777777" w:rsidR="00A82101" w:rsidRPr="00430A79" w:rsidRDefault="00A82101" w:rsidP="00A82101">
            <w:pPr>
              <w:widowControl w:val="0"/>
              <w:autoSpaceDE w:val="0"/>
              <w:autoSpaceDN w:val="0"/>
              <w:jc w:val="center"/>
              <w:rPr>
                <w:rFonts w:ascii="Arial Narrow" w:eastAsia="Arial MT" w:hAnsi="Arial Narrow" w:cs="Arial MT"/>
                <w:sz w:val="18"/>
                <w:szCs w:val="22"/>
              </w:rPr>
            </w:pPr>
            <w:r w:rsidRPr="00430A79">
              <w:rPr>
                <w:rFonts w:ascii="Arial Narrow" w:eastAsia="Arial MT" w:hAnsi="Arial Narrow" w:cs="Arial MT"/>
                <w:sz w:val="18"/>
                <w:szCs w:val="22"/>
              </w:rPr>
              <w:t>7 (7 m³)</w:t>
            </w:r>
          </w:p>
        </w:tc>
      </w:tr>
      <w:tr w:rsidR="00A82101" w:rsidRPr="00430A79" w14:paraId="4DF4482C" w14:textId="77777777" w:rsidTr="00D03949">
        <w:trPr>
          <w:trHeight w:val="355"/>
        </w:trPr>
        <w:tc>
          <w:tcPr>
            <w:tcW w:w="1902" w:type="pct"/>
            <w:tcMar>
              <w:left w:w="72" w:type="dxa"/>
              <w:right w:w="72" w:type="dxa"/>
            </w:tcMar>
          </w:tcPr>
          <w:p w14:paraId="249AF849" w14:textId="510DEE4B" w:rsidR="00A82101" w:rsidRPr="00430A79" w:rsidRDefault="00A82101" w:rsidP="00A82101">
            <w:pPr>
              <w:widowControl w:val="0"/>
              <w:autoSpaceDE w:val="0"/>
              <w:autoSpaceDN w:val="0"/>
              <w:rPr>
                <w:rFonts w:ascii="Arial Narrow" w:eastAsia="Arial MT" w:hAnsi="Arial Narrow" w:cs="Arial MT"/>
                <w:sz w:val="18"/>
                <w:szCs w:val="22"/>
              </w:rPr>
            </w:pPr>
            <w:r w:rsidRPr="00BE2534">
              <w:rPr>
                <w:rFonts w:ascii="Arial Narrow" w:eastAsia="Arial MT" w:hAnsi="Arial Narrow" w:cs="Arial MT"/>
                <w:sz w:val="18"/>
                <w:szCs w:val="22"/>
                <w:lang w:val="sq-AL"/>
              </w:rPr>
              <w:t>Deçan</w:t>
            </w:r>
          </w:p>
        </w:tc>
        <w:tc>
          <w:tcPr>
            <w:tcW w:w="889" w:type="pct"/>
          </w:tcPr>
          <w:p w14:paraId="6833D6D1" w14:textId="591845FF" w:rsidR="00A82101" w:rsidRPr="00430A79" w:rsidRDefault="00A82101" w:rsidP="00A82101">
            <w:pPr>
              <w:widowControl w:val="0"/>
              <w:autoSpaceDE w:val="0"/>
              <w:autoSpaceDN w:val="0"/>
              <w:jc w:val="center"/>
              <w:rPr>
                <w:rFonts w:ascii="Arial Narrow" w:eastAsia="Arial MT" w:hAnsi="Arial Narrow" w:cs="Arial MT"/>
                <w:sz w:val="18"/>
                <w:szCs w:val="22"/>
              </w:rPr>
            </w:pPr>
            <w:r w:rsidRPr="00BE2534">
              <w:rPr>
                <w:rFonts w:ascii="Arial Narrow" w:eastAsia="Arial MT" w:hAnsi="Arial Narrow" w:cs="Arial MT"/>
                <w:sz w:val="18"/>
                <w:szCs w:val="22"/>
                <w:lang w:val="sq-AL"/>
              </w:rPr>
              <w:t>1 (e mesme)</w:t>
            </w:r>
          </w:p>
        </w:tc>
        <w:tc>
          <w:tcPr>
            <w:tcW w:w="850" w:type="pct"/>
          </w:tcPr>
          <w:p w14:paraId="27C50903" w14:textId="77777777" w:rsidR="00A82101" w:rsidRPr="00430A79" w:rsidRDefault="00A82101" w:rsidP="00A82101">
            <w:pPr>
              <w:widowControl w:val="0"/>
              <w:autoSpaceDE w:val="0"/>
              <w:autoSpaceDN w:val="0"/>
              <w:jc w:val="center"/>
              <w:rPr>
                <w:rFonts w:ascii="Arial Narrow" w:eastAsia="Arial MT" w:hAnsi="Arial Narrow" w:cs="Arial MT"/>
                <w:sz w:val="18"/>
                <w:szCs w:val="22"/>
              </w:rPr>
            </w:pPr>
            <w:r w:rsidRPr="00430A79">
              <w:rPr>
                <w:rFonts w:ascii="Arial Narrow" w:eastAsia="Arial MT" w:hAnsi="Arial Narrow" w:cs="Arial MT"/>
                <w:sz w:val="18"/>
                <w:szCs w:val="22"/>
              </w:rPr>
              <w:t>2,400</w:t>
            </w:r>
          </w:p>
        </w:tc>
        <w:tc>
          <w:tcPr>
            <w:tcW w:w="1359" w:type="pct"/>
          </w:tcPr>
          <w:p w14:paraId="4CF77FF2" w14:textId="77777777" w:rsidR="00A82101" w:rsidRPr="00430A79" w:rsidRDefault="00A82101" w:rsidP="00A82101">
            <w:pPr>
              <w:widowControl w:val="0"/>
              <w:autoSpaceDE w:val="0"/>
              <w:autoSpaceDN w:val="0"/>
              <w:jc w:val="center"/>
              <w:rPr>
                <w:rFonts w:ascii="Arial Narrow" w:eastAsia="Arial MT" w:hAnsi="Arial Narrow" w:cs="Arial MT"/>
                <w:sz w:val="18"/>
                <w:szCs w:val="22"/>
              </w:rPr>
            </w:pPr>
            <w:r w:rsidRPr="00430A79">
              <w:rPr>
                <w:rFonts w:ascii="Arial Narrow" w:eastAsia="Arial MT" w:hAnsi="Arial Narrow" w:cs="Arial MT"/>
                <w:sz w:val="18"/>
                <w:szCs w:val="22"/>
              </w:rPr>
              <w:t>7 (7 m³)</w:t>
            </w:r>
          </w:p>
        </w:tc>
      </w:tr>
      <w:bookmarkEnd w:id="453"/>
    </w:tbl>
    <w:p w14:paraId="2F8190FC" w14:textId="77777777" w:rsidR="00430A79" w:rsidRPr="00430A79" w:rsidRDefault="00430A79" w:rsidP="00430A79">
      <w:pPr>
        <w:jc w:val="both"/>
        <w:rPr>
          <w:rFonts w:ascii="Arial Narrow" w:hAnsi="Arial Narrow"/>
          <w:sz w:val="22"/>
          <w:szCs w:val="22"/>
          <w:lang w:val="en-GB" w:eastAsia="bg-BG"/>
        </w:rPr>
      </w:pPr>
    </w:p>
    <w:p w14:paraId="18A3D496" w14:textId="597820C6" w:rsidR="00430A79" w:rsidRPr="00430A79" w:rsidRDefault="00430A79" w:rsidP="00430A79">
      <w:pPr>
        <w:jc w:val="both"/>
        <w:rPr>
          <w:rFonts w:ascii="Arial Narrow" w:hAnsi="Arial Narrow"/>
          <w:sz w:val="22"/>
          <w:szCs w:val="22"/>
          <w:lang w:val="en-GB" w:eastAsia="bg-BG"/>
        </w:rPr>
      </w:pPr>
      <w:proofErr w:type="spellStart"/>
      <w:r w:rsidRPr="00430A79">
        <w:rPr>
          <w:rFonts w:ascii="Arial Narrow" w:hAnsi="Arial Narrow"/>
          <w:sz w:val="22"/>
          <w:szCs w:val="22"/>
          <w:lang w:val="en-GB" w:eastAsia="bg-BG"/>
        </w:rPr>
        <w:t>Çdo</w:t>
      </w:r>
      <w:proofErr w:type="spellEnd"/>
      <w:r w:rsidRPr="00430A79">
        <w:rPr>
          <w:rFonts w:ascii="Arial Narrow" w:hAnsi="Arial Narrow"/>
          <w:sz w:val="22"/>
          <w:szCs w:val="22"/>
          <w:lang w:val="en-GB" w:eastAsia="bg-BG"/>
        </w:rPr>
        <w:t xml:space="preserve"> </w:t>
      </w:r>
      <w:proofErr w:type="spellStart"/>
      <w:r w:rsidRPr="00430A79">
        <w:rPr>
          <w:rFonts w:ascii="Arial Narrow" w:hAnsi="Arial Narrow"/>
          <w:sz w:val="22"/>
          <w:szCs w:val="22"/>
          <w:lang w:val="en-GB" w:eastAsia="bg-BG"/>
        </w:rPr>
        <w:t>pikë</w:t>
      </w:r>
      <w:proofErr w:type="spellEnd"/>
      <w:r w:rsidRPr="00430A79">
        <w:rPr>
          <w:rFonts w:ascii="Arial Narrow" w:hAnsi="Arial Narrow"/>
          <w:sz w:val="22"/>
          <w:szCs w:val="22"/>
          <w:lang w:val="en-GB" w:eastAsia="bg-BG"/>
        </w:rPr>
        <w:t xml:space="preserve"> </w:t>
      </w:r>
      <w:r w:rsidR="00A82101">
        <w:rPr>
          <w:rFonts w:ascii="Arial Narrow" w:hAnsi="Arial Narrow"/>
          <w:sz w:val="22"/>
          <w:szCs w:val="22"/>
          <w:lang w:val="en-GB" w:eastAsia="bg-BG"/>
        </w:rPr>
        <w:t xml:space="preserve">e </w:t>
      </w:r>
      <w:proofErr w:type="spellStart"/>
      <w:r w:rsidR="00A82101">
        <w:rPr>
          <w:rFonts w:ascii="Arial Narrow" w:hAnsi="Arial Narrow"/>
          <w:sz w:val="22"/>
          <w:szCs w:val="22"/>
          <w:lang w:val="en-GB" w:eastAsia="bg-BG"/>
        </w:rPr>
        <w:t>hedhjes</w:t>
      </w:r>
      <w:proofErr w:type="spellEnd"/>
      <w:r w:rsidRPr="00430A79">
        <w:rPr>
          <w:rFonts w:ascii="Arial Narrow" w:hAnsi="Arial Narrow"/>
          <w:sz w:val="22"/>
          <w:szCs w:val="22"/>
          <w:lang w:val="en-GB" w:eastAsia="bg-BG"/>
        </w:rPr>
        <w:t xml:space="preserve"> do </w:t>
      </w:r>
      <w:proofErr w:type="spellStart"/>
      <w:r w:rsidRPr="00430A79">
        <w:rPr>
          <w:rFonts w:ascii="Arial Narrow" w:hAnsi="Arial Narrow"/>
          <w:sz w:val="22"/>
          <w:szCs w:val="22"/>
          <w:lang w:val="en-GB" w:eastAsia="bg-BG"/>
        </w:rPr>
        <w:t>të</w:t>
      </w:r>
      <w:proofErr w:type="spellEnd"/>
      <w:r w:rsidRPr="00430A79">
        <w:rPr>
          <w:rFonts w:ascii="Arial Narrow" w:hAnsi="Arial Narrow"/>
          <w:sz w:val="22"/>
          <w:szCs w:val="22"/>
          <w:lang w:val="en-GB" w:eastAsia="bg-BG"/>
        </w:rPr>
        <w:t xml:space="preserve"> </w:t>
      </w:r>
      <w:proofErr w:type="spellStart"/>
      <w:r w:rsidRPr="00430A79">
        <w:rPr>
          <w:rFonts w:ascii="Arial Narrow" w:hAnsi="Arial Narrow"/>
          <w:sz w:val="22"/>
          <w:szCs w:val="22"/>
          <w:lang w:val="en-GB" w:eastAsia="bg-BG"/>
        </w:rPr>
        <w:t>jetë</w:t>
      </w:r>
      <w:proofErr w:type="spellEnd"/>
      <w:r w:rsidRPr="00430A79">
        <w:rPr>
          <w:rFonts w:ascii="Arial Narrow" w:hAnsi="Arial Narrow"/>
          <w:sz w:val="22"/>
          <w:szCs w:val="22"/>
          <w:lang w:val="en-GB" w:eastAsia="bg-BG"/>
        </w:rPr>
        <w:t xml:space="preserve"> e </w:t>
      </w:r>
      <w:proofErr w:type="spellStart"/>
      <w:r w:rsidRPr="00430A79">
        <w:rPr>
          <w:rFonts w:ascii="Arial Narrow" w:hAnsi="Arial Narrow"/>
          <w:sz w:val="22"/>
          <w:szCs w:val="22"/>
          <w:lang w:val="en-GB" w:eastAsia="bg-BG"/>
        </w:rPr>
        <w:t>pajisur</w:t>
      </w:r>
      <w:proofErr w:type="spellEnd"/>
      <w:r w:rsidRPr="00430A79">
        <w:rPr>
          <w:rFonts w:ascii="Arial Narrow" w:hAnsi="Arial Narrow"/>
          <w:sz w:val="22"/>
          <w:szCs w:val="22"/>
          <w:lang w:val="en-GB" w:eastAsia="bg-BG"/>
        </w:rPr>
        <w:t xml:space="preserve"> me </w:t>
      </w:r>
      <w:proofErr w:type="spellStart"/>
      <w:r w:rsidRPr="00430A79">
        <w:rPr>
          <w:rFonts w:ascii="Arial Narrow" w:hAnsi="Arial Narrow"/>
          <w:sz w:val="22"/>
          <w:szCs w:val="22"/>
          <w:lang w:val="en-GB" w:eastAsia="bg-BG"/>
        </w:rPr>
        <w:t>ngarkues</w:t>
      </w:r>
      <w:r w:rsidR="00A82101">
        <w:rPr>
          <w:rFonts w:ascii="Arial Narrow" w:hAnsi="Arial Narrow"/>
          <w:sz w:val="22"/>
          <w:szCs w:val="22"/>
          <w:lang w:val="en-GB" w:eastAsia="bg-BG"/>
        </w:rPr>
        <w:t>in</w:t>
      </w:r>
      <w:proofErr w:type="spellEnd"/>
      <w:r w:rsidR="00A82101">
        <w:rPr>
          <w:rFonts w:ascii="Arial Narrow" w:hAnsi="Arial Narrow"/>
          <w:sz w:val="22"/>
          <w:szCs w:val="22"/>
          <w:lang w:val="en-GB" w:eastAsia="bg-BG"/>
        </w:rPr>
        <w:t xml:space="preserve"> me</w:t>
      </w:r>
      <w:r w:rsidRPr="00430A79">
        <w:rPr>
          <w:rFonts w:ascii="Arial Narrow" w:hAnsi="Arial Narrow"/>
          <w:sz w:val="22"/>
          <w:szCs w:val="22"/>
          <w:lang w:val="en-GB" w:eastAsia="bg-BG"/>
        </w:rPr>
        <w:t xml:space="preserve"> </w:t>
      </w:r>
      <w:proofErr w:type="spellStart"/>
      <w:r w:rsidRPr="00430A79">
        <w:rPr>
          <w:rFonts w:ascii="Arial Narrow" w:hAnsi="Arial Narrow"/>
          <w:sz w:val="22"/>
          <w:szCs w:val="22"/>
          <w:lang w:val="en-GB" w:eastAsia="bg-BG"/>
        </w:rPr>
        <w:t>rrëshqit</w:t>
      </w:r>
      <w:r w:rsidR="00A82101">
        <w:rPr>
          <w:rFonts w:ascii="Arial Narrow" w:hAnsi="Arial Narrow"/>
          <w:sz w:val="22"/>
          <w:szCs w:val="22"/>
          <w:lang w:val="en-GB" w:eastAsia="bg-BG"/>
        </w:rPr>
        <w:t>je</w:t>
      </w:r>
      <w:proofErr w:type="spellEnd"/>
      <w:r w:rsidRPr="00430A79">
        <w:rPr>
          <w:rFonts w:ascii="Arial Narrow" w:hAnsi="Arial Narrow"/>
          <w:sz w:val="22"/>
          <w:szCs w:val="22"/>
          <w:lang w:val="en-GB" w:eastAsia="bg-BG"/>
        </w:rPr>
        <w:t>.</w:t>
      </w:r>
    </w:p>
    <w:p w14:paraId="601F4B71" w14:textId="77777777" w:rsidR="00430A79" w:rsidRPr="00430A79" w:rsidRDefault="00430A79" w:rsidP="00430A79">
      <w:pPr>
        <w:jc w:val="both"/>
        <w:rPr>
          <w:rFonts w:ascii="Arial Narrow" w:hAnsi="Arial Narrow"/>
          <w:sz w:val="22"/>
          <w:szCs w:val="22"/>
          <w:lang w:val="en-GB" w:eastAsia="bg-BG"/>
        </w:rPr>
      </w:pPr>
    </w:p>
    <w:p w14:paraId="2B9E1CCC" w14:textId="3862D68F" w:rsidR="00430A79" w:rsidRPr="00430A79" w:rsidRDefault="00430A79" w:rsidP="00430A79">
      <w:pPr>
        <w:jc w:val="both"/>
        <w:rPr>
          <w:rFonts w:ascii="Arial Narrow" w:hAnsi="Arial Narrow"/>
          <w:b/>
          <w:bCs/>
          <w:sz w:val="22"/>
          <w:szCs w:val="22"/>
          <w:lang w:val="en-GB" w:eastAsia="bg-BG"/>
        </w:rPr>
      </w:pPr>
      <w:proofErr w:type="spellStart"/>
      <w:r w:rsidRPr="00430A79">
        <w:rPr>
          <w:rFonts w:ascii="Arial Narrow" w:hAnsi="Arial Narrow"/>
          <w:b/>
          <w:bCs/>
          <w:sz w:val="22"/>
          <w:szCs w:val="22"/>
          <w:lang w:val="en-GB" w:eastAsia="bg-BG"/>
        </w:rPr>
        <w:t>Riciklimi</w:t>
      </w:r>
      <w:proofErr w:type="spellEnd"/>
      <w:r w:rsidRPr="00430A79">
        <w:rPr>
          <w:rFonts w:ascii="Arial Narrow" w:hAnsi="Arial Narrow"/>
          <w:b/>
          <w:bCs/>
          <w:sz w:val="22"/>
          <w:szCs w:val="22"/>
          <w:lang w:val="en-GB" w:eastAsia="bg-BG"/>
        </w:rPr>
        <w:t xml:space="preserve"> i </w:t>
      </w:r>
      <w:proofErr w:type="spellStart"/>
      <w:r w:rsidR="00A82101">
        <w:rPr>
          <w:rFonts w:ascii="Arial Narrow" w:hAnsi="Arial Narrow"/>
          <w:b/>
          <w:bCs/>
          <w:sz w:val="22"/>
          <w:szCs w:val="22"/>
          <w:lang w:val="en-GB" w:eastAsia="bg-BG"/>
        </w:rPr>
        <w:t>MNRr-ve</w:t>
      </w:r>
      <w:proofErr w:type="spellEnd"/>
    </w:p>
    <w:p w14:paraId="6BC3836A" w14:textId="4DABF810" w:rsidR="00430A79" w:rsidRPr="009F5CA1" w:rsidRDefault="00515F70" w:rsidP="00430A79">
      <w:pPr>
        <w:jc w:val="both"/>
        <w:rPr>
          <w:rFonts w:ascii="Arial Narrow" w:hAnsi="Arial Narrow"/>
          <w:sz w:val="22"/>
          <w:szCs w:val="22"/>
          <w:lang w:val="sq-AL" w:eastAsia="bg-BG"/>
        </w:rPr>
      </w:pPr>
      <w:r w:rsidRPr="00BE2534">
        <w:rPr>
          <w:rFonts w:ascii="Arial Narrow" w:hAnsi="Arial Narrow"/>
          <w:sz w:val="22"/>
          <w:szCs w:val="22"/>
          <w:lang w:val="sq-AL" w:eastAsia="bg-BG"/>
        </w:rPr>
        <w:t>Për rajonin është parashikuar një objekt riciklimi, i pajisur me një dërrmues të lëvizshëm. Kapaciteti i objektit të riciklimit vlerësohet në 12,800 m³/vit. Vendi do të duhet të sigurojë: (i) zonë për thërmimin dhe ndarjen e fraksioneve nga MNRr; dhe (ii) zonë për ruajtjen e fraksioneve të ndara të gatshme për ripërdorim. Sipërfaqja e kërkuar është rreth 3000 m</w:t>
      </w:r>
      <w:r w:rsidRPr="00BE2534">
        <w:rPr>
          <w:rFonts w:ascii="Arial Narrow" w:hAnsi="Arial Narrow"/>
          <w:sz w:val="22"/>
          <w:szCs w:val="22"/>
          <w:vertAlign w:val="superscript"/>
          <w:lang w:val="sq-AL" w:eastAsia="bg-BG"/>
        </w:rPr>
        <w:t>2</w:t>
      </w:r>
      <w:r w:rsidRPr="00BE2534">
        <w:rPr>
          <w:rFonts w:ascii="Arial Narrow" w:hAnsi="Arial Narrow"/>
          <w:sz w:val="22"/>
          <w:szCs w:val="22"/>
          <w:lang w:val="sq-AL" w:eastAsia="bg-BG"/>
        </w:rPr>
        <w:t>. Të paktën 800 m</w:t>
      </w:r>
      <w:r w:rsidRPr="00BE2534">
        <w:rPr>
          <w:rFonts w:ascii="Arial Narrow" w:hAnsi="Arial Narrow"/>
          <w:sz w:val="22"/>
          <w:szCs w:val="22"/>
          <w:vertAlign w:val="superscript"/>
          <w:lang w:val="sq-AL" w:eastAsia="bg-BG"/>
        </w:rPr>
        <w:t xml:space="preserve">2 </w:t>
      </w:r>
      <w:r w:rsidRPr="00BE2534">
        <w:rPr>
          <w:rFonts w:ascii="Arial Narrow" w:hAnsi="Arial Narrow"/>
          <w:sz w:val="22"/>
          <w:szCs w:val="22"/>
          <w:lang w:val="sq-AL" w:eastAsia="bg-BG"/>
        </w:rPr>
        <w:t>e kësaj zone duhet të mbulohet me beton. Pjesa që nuk është e përdorshme mund të transferohet në deponinë rajonale dhe mund të përdoret si material mbulues si nënshtresa.</w:t>
      </w:r>
    </w:p>
    <w:p w14:paraId="63BBE972" w14:textId="77777777" w:rsidR="00CA7708" w:rsidRDefault="00CA7708" w:rsidP="00430A79">
      <w:pPr>
        <w:jc w:val="both"/>
        <w:rPr>
          <w:rFonts w:ascii="Arial Narrow" w:hAnsi="Arial Narrow"/>
          <w:sz w:val="22"/>
          <w:szCs w:val="22"/>
          <w:lang w:val="sq-AL" w:eastAsia="bg-BG"/>
        </w:rPr>
      </w:pPr>
    </w:p>
    <w:p w14:paraId="6F84EB9F" w14:textId="73FD9EA4" w:rsidR="00430A79" w:rsidRPr="009F5CA1" w:rsidRDefault="00430A79" w:rsidP="00430A79">
      <w:pPr>
        <w:jc w:val="both"/>
        <w:rPr>
          <w:rFonts w:ascii="Arial Narrow" w:hAnsi="Arial Narrow"/>
          <w:sz w:val="22"/>
          <w:szCs w:val="22"/>
          <w:lang w:val="sq-AL" w:eastAsia="bg-BG"/>
        </w:rPr>
      </w:pPr>
      <w:r w:rsidRPr="00430A79">
        <w:rPr>
          <w:noProof/>
          <w:sz w:val="22"/>
          <w:szCs w:val="22"/>
        </w:rPr>
        <w:lastRenderedPageBreak/>
        <mc:AlternateContent>
          <mc:Choice Requires="wps">
            <w:drawing>
              <wp:anchor distT="0" distB="0" distL="114300" distR="114300" simplePos="0" relativeHeight="251681792" behindDoc="0" locked="0" layoutInCell="1" allowOverlap="1" wp14:anchorId="348BB3E2" wp14:editId="00ED2C87">
                <wp:simplePos x="0" y="0"/>
                <wp:positionH relativeFrom="column">
                  <wp:posOffset>2926495</wp:posOffset>
                </wp:positionH>
                <wp:positionV relativeFrom="paragraph">
                  <wp:posOffset>1639598</wp:posOffset>
                </wp:positionV>
                <wp:extent cx="2743200" cy="283210"/>
                <wp:effectExtent l="0" t="0" r="0" b="2540"/>
                <wp:wrapSquare wrapText="bothSides"/>
                <wp:docPr id="312460254" name="Text Box 1"/>
                <wp:cNvGraphicFramePr/>
                <a:graphic xmlns:a="http://schemas.openxmlformats.org/drawingml/2006/main">
                  <a:graphicData uri="http://schemas.microsoft.com/office/word/2010/wordprocessingShape">
                    <wps:wsp>
                      <wps:cNvSpPr txBox="1"/>
                      <wps:spPr>
                        <a:xfrm>
                          <a:off x="0" y="0"/>
                          <a:ext cx="2743200" cy="283210"/>
                        </a:xfrm>
                        <a:prstGeom prst="rect">
                          <a:avLst/>
                        </a:prstGeom>
                        <a:solidFill>
                          <a:prstClr val="white"/>
                        </a:solidFill>
                        <a:ln>
                          <a:noFill/>
                        </a:ln>
                      </wps:spPr>
                      <wps:txbx>
                        <w:txbxContent>
                          <w:p w14:paraId="13BBA1C8" w14:textId="3A4661F8" w:rsidR="00430A79" w:rsidRPr="006347D6" w:rsidRDefault="00430A79" w:rsidP="006347D6">
                            <w:pPr>
                              <w:pStyle w:val="Figure"/>
                              <w:rPr>
                                <w:rFonts w:eastAsia="Calibri" w:cs="Calibri"/>
                                <w:sz w:val="20"/>
                                <w:szCs w:val="20"/>
                              </w:rPr>
                            </w:pPr>
                            <w:bookmarkStart w:id="454" w:name="_Toc185866250"/>
                            <w:bookmarkStart w:id="455" w:name="_Toc197472329"/>
                            <w:r w:rsidRPr="006347D6">
                              <w:rPr>
                                <w:rFonts w:eastAsia="Calibri" w:cs="Calibri"/>
                                <w:sz w:val="20"/>
                                <w:szCs w:val="20"/>
                              </w:rPr>
                              <w:t xml:space="preserve">Figure </w:t>
                            </w:r>
                            <w:r w:rsidRPr="006347D6">
                              <w:rPr>
                                <w:rFonts w:eastAsia="Calibri" w:cs="Calibri"/>
                                <w:sz w:val="20"/>
                                <w:szCs w:val="20"/>
                              </w:rPr>
                              <w:fldChar w:fldCharType="begin"/>
                            </w:r>
                            <w:r w:rsidRPr="006347D6">
                              <w:rPr>
                                <w:rFonts w:eastAsia="Calibri" w:cs="Calibri"/>
                                <w:sz w:val="20"/>
                                <w:szCs w:val="20"/>
                              </w:rPr>
                              <w:instrText xml:space="preserve"> SEQ Figure \* ARABIC </w:instrText>
                            </w:r>
                            <w:r w:rsidRPr="006347D6">
                              <w:rPr>
                                <w:rFonts w:eastAsia="Calibri" w:cs="Calibri"/>
                                <w:sz w:val="20"/>
                                <w:szCs w:val="20"/>
                              </w:rPr>
                              <w:fldChar w:fldCharType="separate"/>
                            </w:r>
                            <w:r w:rsidR="00C97DF3">
                              <w:rPr>
                                <w:rFonts w:eastAsia="Calibri" w:cs="Calibri"/>
                                <w:noProof/>
                                <w:sz w:val="20"/>
                                <w:szCs w:val="20"/>
                              </w:rPr>
                              <w:t>28</w:t>
                            </w:r>
                            <w:r w:rsidRPr="006347D6">
                              <w:rPr>
                                <w:rFonts w:eastAsia="Calibri" w:cs="Calibri"/>
                                <w:sz w:val="20"/>
                                <w:szCs w:val="20"/>
                              </w:rPr>
                              <w:fldChar w:fldCharType="end"/>
                            </w:r>
                            <w:r w:rsidRPr="006347D6">
                              <w:rPr>
                                <w:rFonts w:eastAsia="Calibri" w:cs="Calibri"/>
                                <w:sz w:val="20"/>
                                <w:szCs w:val="20"/>
                              </w:rPr>
                              <w:t xml:space="preserve">. </w:t>
                            </w:r>
                            <w:r w:rsidR="00515F70">
                              <w:rPr>
                                <w:rFonts w:eastAsia="Calibri" w:cs="Calibri"/>
                                <w:sz w:val="20"/>
                                <w:szCs w:val="20"/>
                              </w:rPr>
                              <w:t>Thërrmuesi për MNRr</w:t>
                            </w:r>
                            <w:bookmarkEnd w:id="454"/>
                            <w:bookmarkEnd w:id="45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8BB3E2" id="_x0000_s1036" type="#_x0000_t202" style="position:absolute;left:0;text-align:left;margin-left:230.45pt;margin-top:129.1pt;width:3in;height:22.3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" stroked="f">
                <v:textbox inset="0,0,0,0">
                  <w:txbxContent>
                    <w:p w14:paraId="13BBA1C8" w14:textId="3A4661F8" w:rsidR="00430A79" w:rsidRPr="006347D6" w:rsidRDefault="00430A79" w:rsidP="006347D6">
                      <w:pPr>
                        <w:pStyle w:val="Figure"/>
                        <w:rPr>
                          <w:rFonts w:eastAsia="Calibri" w:cs="Calibri"/>
                          <w:sz w:val="20"/>
                          <w:szCs w:val="20"/>
                        </w:rPr>
                      </w:pPr>
                      <w:bookmarkStart w:id="456" w:name="_Toc185866250"/>
                      <w:bookmarkStart w:id="457" w:name="_Toc197472329"/>
                      <w:r w:rsidRPr="006347D6">
                        <w:rPr>
                          <w:rFonts w:eastAsia="Calibri" w:cs="Calibri"/>
                          <w:sz w:val="20"/>
                          <w:szCs w:val="20"/>
                        </w:rPr>
                        <w:t xml:space="preserve">Figure </w:t>
                      </w:r>
                      <w:r w:rsidRPr="006347D6">
                        <w:rPr>
                          <w:rFonts w:eastAsia="Calibri" w:cs="Calibri"/>
                          <w:sz w:val="20"/>
                          <w:szCs w:val="20"/>
                        </w:rPr>
                        <w:fldChar w:fldCharType="begin"/>
                      </w:r>
                      <w:r w:rsidRPr="006347D6">
                        <w:rPr>
                          <w:rFonts w:eastAsia="Calibri" w:cs="Calibri"/>
                          <w:sz w:val="20"/>
                          <w:szCs w:val="20"/>
                        </w:rPr>
                        <w:instrText xml:space="preserve"> SEQ Figure \* ARABIC </w:instrText>
                      </w:r>
                      <w:r w:rsidRPr="006347D6">
                        <w:rPr>
                          <w:rFonts w:eastAsia="Calibri" w:cs="Calibri"/>
                          <w:sz w:val="20"/>
                          <w:szCs w:val="20"/>
                        </w:rPr>
                        <w:fldChar w:fldCharType="separate"/>
                      </w:r>
                      <w:r w:rsidR="00C97DF3">
                        <w:rPr>
                          <w:rFonts w:eastAsia="Calibri" w:cs="Calibri"/>
                          <w:noProof/>
                          <w:sz w:val="20"/>
                          <w:szCs w:val="20"/>
                        </w:rPr>
                        <w:t>28</w:t>
                      </w:r>
                      <w:r w:rsidRPr="006347D6">
                        <w:rPr>
                          <w:rFonts w:eastAsia="Calibri" w:cs="Calibri"/>
                          <w:sz w:val="20"/>
                          <w:szCs w:val="20"/>
                        </w:rPr>
                        <w:fldChar w:fldCharType="end"/>
                      </w:r>
                      <w:r w:rsidRPr="006347D6">
                        <w:rPr>
                          <w:rFonts w:eastAsia="Calibri" w:cs="Calibri"/>
                          <w:sz w:val="20"/>
                          <w:szCs w:val="20"/>
                        </w:rPr>
                        <w:t xml:space="preserve">. </w:t>
                      </w:r>
                      <w:r w:rsidR="00515F70">
                        <w:rPr>
                          <w:rFonts w:eastAsia="Calibri" w:cs="Calibri"/>
                          <w:sz w:val="20"/>
                          <w:szCs w:val="20"/>
                        </w:rPr>
                        <w:t>Thërrmuesi për MNRr</w:t>
                      </w:r>
                      <w:bookmarkEnd w:id="456"/>
                      <w:bookmarkEnd w:id="457"/>
                    </w:p>
                  </w:txbxContent>
                </v:textbox>
                <w10:wrap type="square"/>
              </v:shape>
            </w:pict>
          </mc:Fallback>
        </mc:AlternateContent>
      </w:r>
      <w:r w:rsidRPr="00430A79">
        <w:rPr>
          <w:rFonts w:ascii="Arial Narrow" w:hAnsi="Arial Narrow"/>
          <w:noProof/>
          <w:lang w:val="bg-BG" w:eastAsia="bg-BG"/>
        </w:rPr>
        <mc:AlternateContent>
          <mc:Choice Requires="wps">
            <w:drawing>
              <wp:anchor distT="0" distB="0" distL="114300" distR="114300" simplePos="0" relativeHeight="251664384" behindDoc="0" locked="0" layoutInCell="1" allowOverlap="1" wp14:anchorId="5B1041E5" wp14:editId="5E1307D8">
                <wp:simplePos x="0" y="0"/>
                <wp:positionH relativeFrom="column">
                  <wp:posOffset>2698750</wp:posOffset>
                </wp:positionH>
                <wp:positionV relativeFrom="paragraph">
                  <wp:posOffset>54610</wp:posOffset>
                </wp:positionV>
                <wp:extent cx="3276600" cy="1651000"/>
                <wp:effectExtent l="0" t="0" r="0" b="6350"/>
                <wp:wrapSquare wrapText="bothSides"/>
                <wp:docPr id="17168475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651000"/>
                        </a:xfrm>
                        <a:prstGeom prst="rect">
                          <a:avLst/>
                        </a:prstGeom>
                        <a:solidFill>
                          <a:srgbClr val="FFFFFF"/>
                        </a:solidFill>
                        <a:ln w="9525">
                          <a:noFill/>
                          <a:miter lim="800000"/>
                          <a:headEnd/>
                          <a:tailEnd/>
                        </a:ln>
                      </wps:spPr>
                      <wps:txbx>
                        <w:txbxContent>
                          <w:p w14:paraId="71FB3283" w14:textId="77777777" w:rsidR="00430A79" w:rsidRDefault="00430A79" w:rsidP="00430A79">
                            <w:r w:rsidRPr="00271B0E">
                              <w:rPr>
                                <w:noProof/>
                                <w:lang w:eastAsia="en-GB"/>
                              </w:rPr>
                              <w:drawing>
                                <wp:inline distT="0" distB="0" distL="0" distR="0" wp14:anchorId="0D6C23F1" wp14:editId="348820DD">
                                  <wp:extent cx="3070860" cy="1511058"/>
                                  <wp:effectExtent l="0" t="0" r="0" b="0"/>
                                  <wp:docPr id="240235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86283" cy="151864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041E5" id="_x0000_s1037" type="#_x0000_t202" style="position:absolute;left:0;text-align:left;margin-left:212.5pt;margin-top:4.3pt;width:258pt;height:1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" stroked="f">
                <v:textbox>
                  <w:txbxContent>
                    <w:p w14:paraId="71FB3283" w14:textId="77777777" w:rsidR="00430A79" w:rsidRDefault="00430A79" w:rsidP="00430A79">
                      <w:r w:rsidRPr="00271B0E">
                        <w:rPr>
                          <w:noProof/>
                          <w:lang w:eastAsia="en-GB"/>
                        </w:rPr>
                        <w:drawing>
                          <wp:inline distT="0" distB="0" distL="0" distR="0" wp14:anchorId="0D6C23F1" wp14:editId="348820DD">
                            <wp:extent cx="3070860" cy="1511058"/>
                            <wp:effectExtent l="0" t="0" r="0" b="0"/>
                            <wp:docPr id="240235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86283" cy="1518647"/>
                                    </a:xfrm>
                                    <a:prstGeom prst="rect">
                                      <a:avLst/>
                                    </a:prstGeom>
                                    <a:noFill/>
                                    <a:ln>
                                      <a:noFill/>
                                    </a:ln>
                                  </pic:spPr>
                                </pic:pic>
                              </a:graphicData>
                            </a:graphic>
                          </wp:inline>
                        </w:drawing>
                      </w:r>
                    </w:p>
                  </w:txbxContent>
                </v:textbox>
                <w10:wrap type="square"/>
              </v:shape>
            </w:pict>
          </mc:Fallback>
        </mc:AlternateContent>
      </w:r>
      <w:r w:rsidR="00515F70" w:rsidRPr="00BE2534">
        <w:rPr>
          <w:rFonts w:ascii="Arial Narrow" w:hAnsi="Arial Narrow"/>
          <w:sz w:val="22"/>
          <w:szCs w:val="22"/>
          <w:lang w:val="sq-AL" w:eastAsia="bg-BG"/>
        </w:rPr>
        <w:t>Vendi(et) duhet të pajiset me një thërrmues mobil (foto në të djathtë). Thërrmuesi i parashikuar është pajisje me kapacitet 50-70 tonë në orë për të përpunuar të gjitha fraksionet e mundshme të MNRr - beton, beton i gazuar, tulla etj. Madhësia grimcave që dalin mund të rregullohet me sitë. Duke qenë i transportueshëm, thërrmuesi mund të transferohet me një rimorkio nëpër vendet\pikat e hudhjes për riciklimin e MNRr-ve. Për më tepër, thërrmuesi mund të transportohet në punishtet aktive të ndërtimit me kërkesë të kompanive private të ndërtimit. Ky është një shërbim i mundshëm që mund të ofrohet nga operatori i objektit të riciklimit</w:t>
      </w:r>
      <w:r w:rsidRPr="009F5CA1">
        <w:rPr>
          <w:rFonts w:ascii="Arial Narrow" w:hAnsi="Arial Narrow"/>
          <w:sz w:val="22"/>
          <w:szCs w:val="22"/>
          <w:lang w:val="sq-AL" w:eastAsia="bg-BG"/>
        </w:rPr>
        <w:t>.</w:t>
      </w:r>
    </w:p>
    <w:p w14:paraId="595033C9" w14:textId="77777777" w:rsidR="00430A79" w:rsidRPr="009F5CA1" w:rsidRDefault="00430A79" w:rsidP="00430A79">
      <w:pPr>
        <w:jc w:val="both"/>
        <w:rPr>
          <w:rFonts w:ascii="Arial Narrow" w:hAnsi="Arial Narrow"/>
          <w:sz w:val="22"/>
          <w:szCs w:val="22"/>
          <w:lang w:val="sq-AL" w:eastAsia="bg-BG"/>
        </w:rPr>
      </w:pPr>
    </w:p>
    <w:p w14:paraId="74DF9E20" w14:textId="10B2A342" w:rsidR="00430A79" w:rsidRPr="009F5CA1" w:rsidRDefault="00515F70" w:rsidP="00430A79">
      <w:pPr>
        <w:jc w:val="both"/>
        <w:rPr>
          <w:rFonts w:ascii="Arial Narrow" w:hAnsi="Arial Narrow"/>
          <w:sz w:val="22"/>
          <w:szCs w:val="22"/>
          <w:lang w:val="sq-AL" w:eastAsia="bg-BG"/>
        </w:rPr>
      </w:pPr>
      <w:r w:rsidRPr="00BE2534">
        <w:rPr>
          <w:rFonts w:ascii="Arial Narrow" w:hAnsi="Arial Narrow"/>
          <w:sz w:val="22"/>
          <w:szCs w:val="22"/>
          <w:lang w:val="sq-AL" w:eastAsia="bg-BG"/>
        </w:rPr>
        <w:t>Për të rritur efektivitetin, autoritetet lokale mund të kërkojnë, për projekte më të mëdha ndërtimi, ndarjen e materialeve të riciklueshme që duhet të kryhen nga kompanitë e ndërtimit në vendpunishte</w:t>
      </w:r>
      <w:r w:rsidR="00430A79" w:rsidRPr="009F5CA1">
        <w:rPr>
          <w:rFonts w:ascii="Arial Narrow" w:hAnsi="Arial Narrow"/>
          <w:sz w:val="22"/>
          <w:szCs w:val="22"/>
          <w:lang w:val="sq-AL" w:eastAsia="bg-BG"/>
        </w:rPr>
        <w:t>.</w:t>
      </w:r>
    </w:p>
    <w:p w14:paraId="41C23859" w14:textId="77777777" w:rsidR="00430A79" w:rsidRPr="009F5CA1" w:rsidRDefault="00430A79" w:rsidP="00430A79">
      <w:pPr>
        <w:jc w:val="both"/>
        <w:rPr>
          <w:rFonts w:ascii="Arial Narrow" w:hAnsi="Arial Narrow"/>
          <w:sz w:val="22"/>
          <w:szCs w:val="22"/>
          <w:lang w:val="sq-AL" w:eastAsia="bg-BG"/>
        </w:rPr>
      </w:pPr>
    </w:p>
    <w:bookmarkEnd w:id="449"/>
    <w:p w14:paraId="4ADE9BE6" w14:textId="77777777" w:rsidR="00515F70" w:rsidRPr="00BE2534" w:rsidRDefault="00515F70" w:rsidP="00515F70">
      <w:pPr>
        <w:jc w:val="both"/>
        <w:rPr>
          <w:rFonts w:ascii="Arial Narrow" w:hAnsi="Arial Narrow"/>
          <w:b/>
          <w:bCs/>
          <w:sz w:val="22"/>
          <w:szCs w:val="22"/>
          <w:lang w:val="sq-AL" w:eastAsia="bg-BG"/>
        </w:rPr>
      </w:pPr>
      <w:r w:rsidRPr="00BE2534">
        <w:rPr>
          <w:rFonts w:ascii="Arial Narrow" w:hAnsi="Arial Narrow"/>
          <w:b/>
          <w:bCs/>
          <w:sz w:val="22"/>
          <w:szCs w:val="22"/>
          <w:lang w:val="sq-AL" w:eastAsia="bg-BG"/>
        </w:rPr>
        <w:t>Deponimi i MNRr-ve</w:t>
      </w:r>
    </w:p>
    <w:p w14:paraId="590F9454" w14:textId="77777777" w:rsidR="00515F70" w:rsidRPr="00BE2534" w:rsidRDefault="00515F70" w:rsidP="00515F70">
      <w:pPr>
        <w:jc w:val="both"/>
        <w:rPr>
          <w:rFonts w:ascii="Arial Narrow" w:hAnsi="Arial Narrow"/>
          <w:sz w:val="22"/>
          <w:szCs w:val="22"/>
          <w:lang w:val="sq-AL" w:eastAsia="bg-BG"/>
        </w:rPr>
      </w:pPr>
      <w:r w:rsidRPr="00BE2534">
        <w:rPr>
          <w:rFonts w:ascii="Arial Narrow" w:hAnsi="Arial Narrow"/>
          <w:sz w:val="22"/>
          <w:szCs w:val="22"/>
          <w:lang w:val="sq-AL" w:eastAsia="bg-BG"/>
        </w:rPr>
        <w:t xml:space="preserve">Sa i përket deponimit, 15% e inputit në objektet e riciklimit pritet të deponohet. Përveç kësaj, 30% e MNRr-ve që nuk mblidhet në sistemin e grumbullimit </w:t>
      </w:r>
      <w:r>
        <w:rPr>
          <w:rFonts w:ascii="Arial Narrow" w:hAnsi="Arial Narrow"/>
          <w:sz w:val="22"/>
          <w:szCs w:val="22"/>
          <w:lang w:val="sq-AL" w:eastAsia="bg-BG"/>
        </w:rPr>
        <w:t>ndaras</w:t>
      </w:r>
      <w:r w:rsidRPr="00BE2534">
        <w:rPr>
          <w:rFonts w:ascii="Arial Narrow" w:hAnsi="Arial Narrow"/>
          <w:sz w:val="22"/>
          <w:szCs w:val="22"/>
          <w:lang w:val="sq-AL" w:eastAsia="bg-BG"/>
        </w:rPr>
        <w:t xml:space="preserve"> pritet të arrijë edhe në objektin e deponimit. Për të gjithë ZMM-në parashikohet një objekt deponimi me kapacitet vjetor prej 19,300 m³.</w:t>
      </w:r>
    </w:p>
    <w:p w14:paraId="45BA492F" w14:textId="77777777" w:rsidR="00515F70" w:rsidRPr="00BE2534" w:rsidRDefault="00515F70" w:rsidP="00515F70">
      <w:pPr>
        <w:jc w:val="both"/>
        <w:rPr>
          <w:rFonts w:ascii="Arial Narrow" w:hAnsi="Arial Narrow"/>
          <w:sz w:val="22"/>
          <w:szCs w:val="22"/>
          <w:lang w:val="sq-AL" w:eastAsia="bg-BG"/>
        </w:rPr>
      </w:pPr>
    </w:p>
    <w:p w14:paraId="169674C8" w14:textId="77777777" w:rsidR="00515F70" w:rsidRPr="00BE2534" w:rsidRDefault="00515F70" w:rsidP="00515F70">
      <w:pPr>
        <w:jc w:val="both"/>
        <w:rPr>
          <w:rFonts w:ascii="Arial Narrow" w:hAnsi="Arial Narrow"/>
          <w:b/>
          <w:bCs/>
          <w:sz w:val="22"/>
          <w:szCs w:val="22"/>
          <w:lang w:val="sq-AL" w:eastAsia="bg-BG"/>
        </w:rPr>
      </w:pPr>
      <w:r w:rsidRPr="00BE2534">
        <w:rPr>
          <w:rFonts w:ascii="Arial Narrow" w:hAnsi="Arial Narrow"/>
          <w:b/>
          <w:bCs/>
          <w:sz w:val="22"/>
          <w:szCs w:val="22"/>
          <w:lang w:val="sq-AL" w:eastAsia="bg-BG"/>
        </w:rPr>
        <w:t>Menaxhimi i asbestit</w:t>
      </w:r>
    </w:p>
    <w:p w14:paraId="250AD4EE" w14:textId="77777777" w:rsidR="00515F70" w:rsidRPr="00BE2534" w:rsidRDefault="00515F70" w:rsidP="00515F70">
      <w:pPr>
        <w:jc w:val="both"/>
        <w:rPr>
          <w:rFonts w:ascii="Arial Narrow" w:hAnsi="Arial Narrow"/>
          <w:sz w:val="22"/>
          <w:szCs w:val="22"/>
          <w:lang w:val="sq-AL" w:eastAsia="bg-BG"/>
        </w:rPr>
      </w:pPr>
      <w:r w:rsidRPr="00BE2534">
        <w:rPr>
          <w:rFonts w:ascii="Arial Narrow" w:hAnsi="Arial Narrow"/>
          <w:sz w:val="22"/>
          <w:szCs w:val="22"/>
          <w:lang w:val="sq-AL" w:eastAsia="bg-BG"/>
        </w:rPr>
        <w:t>Sasi të asbestit të të mbledhur veçmas do të hidhen në një qeli të veçantë për mbeturinat e rrezikshme në deponi. Për të gjithë ZMM-në, llogaritet se sasitë vjetore të asbestit që do të deponohen arrijnë në 500 m³.</w:t>
      </w:r>
    </w:p>
    <w:p w14:paraId="2B9771C0" w14:textId="77777777" w:rsidR="00515F70" w:rsidRPr="00BE2534" w:rsidRDefault="00515F70" w:rsidP="00515F70">
      <w:pPr>
        <w:jc w:val="both"/>
        <w:rPr>
          <w:rFonts w:ascii="Arial Narrow" w:hAnsi="Arial Narrow"/>
          <w:sz w:val="22"/>
          <w:szCs w:val="22"/>
          <w:lang w:val="sq-AL" w:eastAsia="bg-BG"/>
        </w:rPr>
      </w:pPr>
    </w:p>
    <w:p w14:paraId="6BF38A92" w14:textId="77777777" w:rsidR="00515F70" w:rsidRPr="00BE2534" w:rsidRDefault="00515F70" w:rsidP="00515F70">
      <w:pPr>
        <w:jc w:val="both"/>
        <w:rPr>
          <w:rFonts w:ascii="Arial Narrow" w:hAnsi="Arial Narrow"/>
          <w:b/>
          <w:bCs/>
          <w:sz w:val="22"/>
          <w:szCs w:val="22"/>
          <w:lang w:val="sq-AL" w:eastAsia="bg-BG"/>
        </w:rPr>
      </w:pPr>
      <w:r w:rsidRPr="00BE2534">
        <w:rPr>
          <w:rFonts w:ascii="Arial Narrow" w:hAnsi="Arial Narrow"/>
          <w:b/>
          <w:bCs/>
          <w:sz w:val="22"/>
          <w:szCs w:val="22"/>
          <w:lang w:val="sq-AL" w:eastAsia="bg-BG"/>
        </w:rPr>
        <w:t>Kostot e menaxhimit të MNRr</w:t>
      </w:r>
    </w:p>
    <w:p w14:paraId="7917E93D" w14:textId="77777777" w:rsidR="00515F70" w:rsidRPr="00BE2534" w:rsidRDefault="00515F70" w:rsidP="00515F70">
      <w:pPr>
        <w:jc w:val="both"/>
        <w:rPr>
          <w:rFonts w:ascii="Arial Narrow" w:hAnsi="Arial Narrow"/>
          <w:sz w:val="22"/>
          <w:szCs w:val="22"/>
          <w:lang w:val="sq-AL" w:eastAsia="bg-BG"/>
        </w:rPr>
      </w:pPr>
      <w:r w:rsidRPr="00BE2534">
        <w:rPr>
          <w:rFonts w:ascii="Arial Narrow" w:hAnsi="Arial Narrow"/>
          <w:sz w:val="22"/>
          <w:szCs w:val="22"/>
          <w:lang w:val="sq-AL" w:eastAsia="bg-BG"/>
        </w:rPr>
        <w:t>Kostoja e menaxhimit në të ardhdhmen të mbeturinave të ndërtimit dhe rrënimit të shkaktuara në objekt nuk duhet të jetë pjesë e llogaritjes së tarifave shtëpiake. Në vend të kësaj, kostoja duhet të mbulohet/paguhet plotësisht nga përdoruesit e objektit.</w:t>
      </w:r>
    </w:p>
    <w:p w14:paraId="255BC013" w14:textId="77777777" w:rsidR="00515F70" w:rsidRPr="00BE2534" w:rsidRDefault="00515F70" w:rsidP="00515F70">
      <w:pPr>
        <w:jc w:val="both"/>
        <w:rPr>
          <w:rFonts w:ascii="Arial Narrow" w:hAnsi="Arial Narrow"/>
          <w:sz w:val="22"/>
          <w:szCs w:val="22"/>
          <w:lang w:val="sq-AL" w:eastAsia="bg-BG"/>
        </w:rPr>
      </w:pPr>
    </w:p>
    <w:p w14:paraId="4BE45691" w14:textId="77777777" w:rsidR="00515F70" w:rsidRPr="00BE2534" w:rsidRDefault="00515F70" w:rsidP="00515F70">
      <w:pPr>
        <w:jc w:val="both"/>
        <w:rPr>
          <w:rFonts w:ascii="Arial Narrow" w:hAnsi="Arial Narrow"/>
          <w:sz w:val="22"/>
          <w:szCs w:val="22"/>
          <w:lang w:val="sq-AL" w:eastAsia="bg-BG"/>
        </w:rPr>
      </w:pPr>
      <w:r w:rsidRPr="00BE2534">
        <w:rPr>
          <w:rFonts w:ascii="Arial Narrow" w:hAnsi="Arial Narrow"/>
          <w:sz w:val="22"/>
          <w:szCs w:val="22"/>
          <w:lang w:val="sq-AL" w:eastAsia="bg-BG"/>
        </w:rPr>
        <w:t>Kostot e investimeve të nevojshme për vendosjen e sistemit të menaxhimit të MNRr-ve ndërkomunale në ZMM janë paraqitur në tabelën më poshtë.</w:t>
      </w:r>
    </w:p>
    <w:p w14:paraId="45AF0FE7" w14:textId="77777777" w:rsidR="00430A79" w:rsidRPr="009F5CA1" w:rsidRDefault="00430A79" w:rsidP="00430A79">
      <w:pPr>
        <w:jc w:val="both"/>
        <w:rPr>
          <w:rFonts w:ascii="Arial Narrow" w:hAnsi="Arial Narrow"/>
          <w:sz w:val="22"/>
          <w:szCs w:val="22"/>
          <w:lang w:val="sq-AL" w:eastAsia="bg-BG"/>
        </w:rPr>
      </w:pPr>
    </w:p>
    <w:p w14:paraId="6801F026" w14:textId="2E8D5D8E" w:rsidR="00430A79" w:rsidRPr="009F5CA1" w:rsidRDefault="00430A79" w:rsidP="00430A79">
      <w:pPr>
        <w:spacing w:after="120"/>
        <w:rPr>
          <w:rFonts w:ascii="Arial Narrow" w:eastAsia="Calibri" w:hAnsi="Arial Narrow" w:cs="Calibri"/>
          <w:color w:val="FFFFFF"/>
          <w:sz w:val="20"/>
          <w:szCs w:val="20"/>
          <w:lang w:val="de-DE"/>
        </w:rPr>
      </w:pPr>
      <w:bookmarkStart w:id="458" w:name="_Toc153381587"/>
      <w:bookmarkStart w:id="459" w:name="_Toc185866225"/>
      <w:bookmarkStart w:id="460" w:name="_Toc197472254"/>
      <w:proofErr w:type="spellStart"/>
      <w:r w:rsidRPr="009F5CA1">
        <w:rPr>
          <w:rFonts w:ascii="Arial Narrow" w:eastAsia="Calibri" w:hAnsi="Arial Narrow" w:cs="Calibri"/>
          <w:color w:val="1F497D"/>
          <w:sz w:val="20"/>
          <w:szCs w:val="20"/>
          <w:lang w:val="de-DE"/>
        </w:rPr>
        <w:t>Tabela</w:t>
      </w:r>
      <w:proofErr w:type="spellEnd"/>
      <w:r w:rsidRPr="009F5CA1">
        <w:rPr>
          <w:rFonts w:ascii="Arial Narrow" w:eastAsia="Calibri" w:hAnsi="Arial Narrow" w:cs="Calibri"/>
          <w:color w:val="1F497D"/>
          <w:sz w:val="20"/>
          <w:szCs w:val="20"/>
          <w:lang w:val="de-DE"/>
        </w:rPr>
        <w:t xml:space="preserve">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lang w:val="de-DE"/>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lang w:val="de-DE"/>
        </w:rPr>
        <w:t xml:space="preserve">69. </w:t>
      </w:r>
      <w:r w:rsidRPr="00430A79">
        <w:rPr>
          <w:rFonts w:ascii="Arial Narrow" w:eastAsia="Calibri" w:hAnsi="Arial Narrow" w:cs="Calibri"/>
          <w:color w:val="1F497D"/>
          <w:sz w:val="20"/>
          <w:szCs w:val="20"/>
          <w:lang w:val="en-GB"/>
        </w:rPr>
        <w:fldChar w:fldCharType="end"/>
      </w:r>
      <w:proofErr w:type="spellStart"/>
      <w:r w:rsidRPr="009F5CA1">
        <w:rPr>
          <w:rFonts w:ascii="Arial Narrow" w:eastAsia="Calibri" w:hAnsi="Arial Narrow" w:cs="Calibri"/>
          <w:color w:val="1F497D"/>
          <w:sz w:val="20"/>
          <w:szCs w:val="20"/>
          <w:lang w:val="de-DE"/>
        </w:rPr>
        <w:t>Kostot</w:t>
      </w:r>
      <w:proofErr w:type="spellEnd"/>
      <w:r w:rsidRPr="009F5CA1">
        <w:rPr>
          <w:rFonts w:ascii="Arial Narrow" w:eastAsia="Calibri" w:hAnsi="Arial Narrow" w:cs="Calibri"/>
          <w:color w:val="1F497D"/>
          <w:sz w:val="20"/>
          <w:szCs w:val="20"/>
          <w:lang w:val="de-DE"/>
        </w:rPr>
        <w:t xml:space="preserve"> e </w:t>
      </w:r>
      <w:proofErr w:type="spellStart"/>
      <w:r w:rsidRPr="009F5CA1">
        <w:rPr>
          <w:rFonts w:ascii="Arial Narrow" w:eastAsia="Calibri" w:hAnsi="Arial Narrow" w:cs="Calibri"/>
          <w:color w:val="1F497D"/>
          <w:sz w:val="20"/>
          <w:szCs w:val="20"/>
          <w:lang w:val="de-DE"/>
        </w:rPr>
        <w:t>investimit</w:t>
      </w:r>
      <w:proofErr w:type="spellEnd"/>
      <w:r w:rsidRPr="009F5CA1">
        <w:rPr>
          <w:rFonts w:ascii="Arial Narrow" w:eastAsia="Calibri" w:hAnsi="Arial Narrow" w:cs="Calibri"/>
          <w:color w:val="1F497D"/>
          <w:sz w:val="20"/>
          <w:szCs w:val="20"/>
          <w:lang w:val="de-DE"/>
        </w:rPr>
        <w:t xml:space="preserve"> </w:t>
      </w:r>
      <w:proofErr w:type="spellStart"/>
      <w:r w:rsidRPr="009F5CA1">
        <w:rPr>
          <w:rFonts w:ascii="Arial Narrow" w:eastAsia="Calibri" w:hAnsi="Arial Narrow" w:cs="Calibri"/>
          <w:color w:val="1F497D"/>
          <w:sz w:val="20"/>
          <w:szCs w:val="20"/>
          <w:lang w:val="de-DE"/>
        </w:rPr>
        <w:t>për</w:t>
      </w:r>
      <w:proofErr w:type="spellEnd"/>
      <w:r w:rsidRPr="009F5CA1">
        <w:rPr>
          <w:rFonts w:ascii="Arial Narrow" w:eastAsia="Calibri" w:hAnsi="Arial Narrow" w:cs="Calibri"/>
          <w:color w:val="1F497D"/>
          <w:sz w:val="20"/>
          <w:szCs w:val="20"/>
          <w:lang w:val="de-DE"/>
        </w:rPr>
        <w:t xml:space="preserve"> </w:t>
      </w:r>
      <w:proofErr w:type="spellStart"/>
      <w:r w:rsidRPr="009F5CA1">
        <w:rPr>
          <w:rFonts w:ascii="Arial Narrow" w:eastAsia="Calibri" w:hAnsi="Arial Narrow" w:cs="Calibri"/>
          <w:color w:val="1F497D"/>
          <w:sz w:val="20"/>
          <w:szCs w:val="20"/>
          <w:lang w:val="de-DE"/>
        </w:rPr>
        <w:t>menaxhimin</w:t>
      </w:r>
      <w:proofErr w:type="spellEnd"/>
      <w:r w:rsidRPr="009F5CA1">
        <w:rPr>
          <w:rFonts w:ascii="Arial Narrow" w:eastAsia="Calibri" w:hAnsi="Arial Narrow" w:cs="Calibri"/>
          <w:color w:val="1F497D"/>
          <w:sz w:val="20"/>
          <w:szCs w:val="20"/>
          <w:lang w:val="de-DE"/>
        </w:rPr>
        <w:t xml:space="preserve"> e </w:t>
      </w:r>
      <w:proofErr w:type="spellStart"/>
      <w:r w:rsidR="00515F70" w:rsidRPr="009F5CA1">
        <w:rPr>
          <w:rFonts w:ascii="Arial Narrow" w:eastAsia="Calibri" w:hAnsi="Arial Narrow" w:cs="Calibri"/>
          <w:color w:val="1F497D"/>
          <w:sz w:val="20"/>
          <w:szCs w:val="20"/>
          <w:lang w:val="de-DE"/>
        </w:rPr>
        <w:t>MNRr-ve</w:t>
      </w:r>
      <w:bookmarkEnd w:id="458"/>
      <w:bookmarkEnd w:id="459"/>
      <w:bookmarkEnd w:id="460"/>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99"/>
        <w:gridCol w:w="2041"/>
        <w:gridCol w:w="1565"/>
        <w:gridCol w:w="1352"/>
        <w:gridCol w:w="1459"/>
      </w:tblGrid>
      <w:tr w:rsidR="00430A79" w:rsidRPr="00430A79" w14:paraId="0F60A051" w14:textId="77777777" w:rsidTr="00D03949">
        <w:trPr>
          <w:trHeight w:val="80"/>
          <w:tblHeader/>
        </w:trPr>
        <w:tc>
          <w:tcPr>
            <w:tcW w:w="1441" w:type="pct"/>
            <w:shd w:val="clear" w:color="auto" w:fill="365F91"/>
            <w:tcMar>
              <w:left w:w="72" w:type="dxa"/>
              <w:right w:w="72" w:type="dxa"/>
            </w:tcMar>
          </w:tcPr>
          <w:p w14:paraId="2D66DCD7" w14:textId="77777777" w:rsidR="00430A79" w:rsidRPr="00430A79" w:rsidRDefault="00430A79" w:rsidP="00430A79">
            <w:pPr>
              <w:rPr>
                <w:rFonts w:ascii="Arial Narrow" w:eastAsia="Calibri" w:hAnsi="Arial Narrow" w:cs="Calibri"/>
                <w:b/>
                <w:bCs/>
                <w:color w:val="FFFFFF"/>
                <w:kern w:val="2"/>
                <w:sz w:val="20"/>
                <w:szCs w:val="20"/>
                <w14:ligatures w14:val="standardContextual"/>
              </w:rPr>
            </w:pPr>
            <w:bookmarkStart w:id="461" w:name="_Hlk153286652"/>
            <w:r w:rsidRPr="00430A79">
              <w:rPr>
                <w:rFonts w:ascii="Arial Narrow" w:eastAsia="Calibri" w:hAnsi="Arial Narrow" w:cs="Calibri"/>
                <w:b/>
                <w:bCs/>
                <w:color w:val="FFFFFF"/>
                <w:kern w:val="2"/>
                <w:sz w:val="20"/>
                <w:szCs w:val="20"/>
                <w14:ligatures w14:val="standardContextual"/>
              </w:rPr>
              <w:t>Kategoria</w:t>
            </w:r>
          </w:p>
        </w:tc>
        <w:tc>
          <w:tcPr>
            <w:tcW w:w="1132" w:type="pct"/>
            <w:shd w:val="clear" w:color="auto" w:fill="365F91"/>
            <w:tcMar>
              <w:left w:w="72" w:type="dxa"/>
              <w:right w:w="72" w:type="dxa"/>
            </w:tcMar>
          </w:tcPr>
          <w:p w14:paraId="5E32E152" w14:textId="77777777" w:rsidR="00430A79" w:rsidRPr="00430A79" w:rsidRDefault="00430A79" w:rsidP="00430A79">
            <w:pPr>
              <w:jc w:val="center"/>
              <w:rPr>
                <w:rFonts w:ascii="Arial Narrow" w:eastAsia="Calibri" w:hAnsi="Arial Narrow" w:cs="Calibri"/>
                <w:b/>
                <w:bCs/>
                <w:color w:val="FFFFFF"/>
                <w:kern w:val="2"/>
                <w:sz w:val="20"/>
                <w:szCs w:val="20"/>
                <w14:ligatures w14:val="standardContextual"/>
              </w:rPr>
            </w:pPr>
            <w:r w:rsidRPr="00430A79">
              <w:rPr>
                <w:rFonts w:ascii="Arial Narrow" w:eastAsia="Calibri" w:hAnsi="Arial Narrow" w:cs="Calibri"/>
                <w:b/>
                <w:bCs/>
                <w:color w:val="FFFFFF"/>
                <w:kern w:val="2"/>
                <w:sz w:val="20"/>
                <w:szCs w:val="20"/>
                <w14:ligatures w14:val="standardContextual"/>
              </w:rPr>
              <w:t>Njësia</w:t>
            </w:r>
          </w:p>
        </w:tc>
        <w:tc>
          <w:tcPr>
            <w:tcW w:w="868" w:type="pct"/>
            <w:shd w:val="clear" w:color="auto" w:fill="365F91"/>
            <w:tcMar>
              <w:left w:w="72" w:type="dxa"/>
              <w:right w:w="72" w:type="dxa"/>
            </w:tcMar>
          </w:tcPr>
          <w:p w14:paraId="60FAEFFD" w14:textId="77777777" w:rsidR="00430A79" w:rsidRPr="00430A79" w:rsidRDefault="00430A79" w:rsidP="00430A79">
            <w:pPr>
              <w:jc w:val="center"/>
              <w:rPr>
                <w:rFonts w:ascii="Arial Narrow" w:eastAsia="Calibri" w:hAnsi="Arial Narrow" w:cs="Calibri"/>
                <w:b/>
                <w:bCs/>
                <w:color w:val="FFFFFF"/>
                <w:kern w:val="2"/>
                <w:sz w:val="20"/>
                <w:szCs w:val="20"/>
                <w14:ligatures w14:val="standardContextual"/>
              </w:rPr>
            </w:pPr>
            <w:r w:rsidRPr="00430A79">
              <w:rPr>
                <w:rFonts w:ascii="Arial Narrow" w:eastAsia="Calibri" w:hAnsi="Arial Narrow" w:cs="Calibri"/>
                <w:b/>
                <w:bCs/>
                <w:color w:val="FFFFFF"/>
                <w:spacing w:val="-4"/>
                <w:kern w:val="2"/>
                <w:sz w:val="20"/>
                <w:szCs w:val="20"/>
                <w14:ligatures w14:val="standardContextual"/>
              </w:rPr>
              <w:t xml:space="preserve">Kosto </w:t>
            </w:r>
            <w:r w:rsidRPr="00430A79">
              <w:rPr>
                <w:rFonts w:ascii="Arial Narrow" w:eastAsia="Calibri" w:hAnsi="Arial Narrow" w:cs="Calibri"/>
                <w:b/>
                <w:bCs/>
                <w:color w:val="FFFFFF"/>
                <w:kern w:val="2"/>
                <w:sz w:val="20"/>
                <w:szCs w:val="20"/>
                <w14:ligatures w14:val="standardContextual"/>
              </w:rPr>
              <w:t>për njësi</w:t>
            </w:r>
          </w:p>
        </w:tc>
        <w:tc>
          <w:tcPr>
            <w:tcW w:w="750" w:type="pct"/>
            <w:tcBorders>
              <w:right w:val="single" w:sz="4" w:space="0" w:color="auto"/>
            </w:tcBorders>
            <w:shd w:val="clear" w:color="auto" w:fill="365F91"/>
            <w:tcMar>
              <w:left w:w="72" w:type="dxa"/>
              <w:right w:w="72" w:type="dxa"/>
            </w:tcMar>
          </w:tcPr>
          <w:p w14:paraId="15D597A7" w14:textId="4F7B8039" w:rsidR="00430A79" w:rsidRPr="00430A79" w:rsidRDefault="00515F70" w:rsidP="00430A79">
            <w:pPr>
              <w:jc w:val="center"/>
              <w:rPr>
                <w:rFonts w:ascii="Arial Narrow" w:eastAsia="Calibri" w:hAnsi="Arial Narrow" w:cs="Calibri"/>
                <w:b/>
                <w:bCs/>
                <w:color w:val="FFFFFF"/>
                <w:kern w:val="2"/>
                <w:sz w:val="20"/>
                <w:szCs w:val="20"/>
                <w14:ligatures w14:val="standardContextual"/>
              </w:rPr>
            </w:pPr>
            <w:r>
              <w:rPr>
                <w:rFonts w:ascii="Arial Narrow" w:eastAsia="Calibri" w:hAnsi="Arial Narrow" w:cs="Calibri"/>
                <w:b/>
                <w:bCs/>
                <w:color w:val="FFFFFF"/>
                <w:kern w:val="2"/>
                <w:sz w:val="20"/>
                <w:szCs w:val="20"/>
                <w14:ligatures w14:val="standardContextual"/>
              </w:rPr>
              <w:t>Nr i njësive</w:t>
            </w:r>
          </w:p>
        </w:tc>
        <w:tc>
          <w:tcPr>
            <w:tcW w:w="809" w:type="pct"/>
            <w:tcBorders>
              <w:top w:val="single" w:sz="4" w:space="0" w:color="auto"/>
              <w:left w:val="single" w:sz="4" w:space="0" w:color="auto"/>
              <w:bottom w:val="single" w:sz="4" w:space="0" w:color="auto"/>
              <w:right w:val="single" w:sz="4" w:space="0" w:color="auto"/>
            </w:tcBorders>
            <w:shd w:val="clear" w:color="auto" w:fill="365F91"/>
            <w:tcMar>
              <w:left w:w="72" w:type="dxa"/>
              <w:right w:w="72" w:type="dxa"/>
            </w:tcMar>
          </w:tcPr>
          <w:p w14:paraId="3E2793DF" w14:textId="77777777" w:rsidR="00430A79" w:rsidRPr="00430A79" w:rsidRDefault="00430A79" w:rsidP="00430A79">
            <w:pPr>
              <w:jc w:val="center"/>
              <w:rPr>
                <w:rFonts w:ascii="Arial Narrow" w:eastAsia="Calibri" w:hAnsi="Arial Narrow" w:cs="Calibri"/>
                <w:b/>
                <w:bCs/>
                <w:color w:val="FFFFFF"/>
                <w:kern w:val="2"/>
                <w:sz w:val="20"/>
                <w:szCs w:val="20"/>
                <w14:ligatures w14:val="standardContextual"/>
              </w:rPr>
            </w:pPr>
            <w:r w:rsidRPr="00430A79">
              <w:rPr>
                <w:rFonts w:ascii="Arial Narrow" w:eastAsia="Calibri" w:hAnsi="Arial Narrow" w:cs="Calibri"/>
                <w:b/>
                <w:bCs/>
                <w:color w:val="FFFFFF"/>
                <w:kern w:val="2"/>
                <w:sz w:val="20"/>
                <w:szCs w:val="20"/>
                <w14:ligatures w14:val="standardContextual"/>
              </w:rPr>
              <w:t>Vlera, EUR</w:t>
            </w:r>
          </w:p>
        </w:tc>
      </w:tr>
      <w:tr w:rsidR="00515F70" w:rsidRPr="00430A79" w14:paraId="0A382CAF" w14:textId="77777777" w:rsidTr="00D03949">
        <w:trPr>
          <w:trHeight w:val="188"/>
        </w:trPr>
        <w:tc>
          <w:tcPr>
            <w:tcW w:w="1441" w:type="pct"/>
            <w:tcMar>
              <w:left w:w="72" w:type="dxa"/>
              <w:right w:w="72" w:type="dxa"/>
            </w:tcMar>
          </w:tcPr>
          <w:p w14:paraId="08F2EFC9" w14:textId="188F5027" w:rsidR="00515F70" w:rsidRPr="00430A79" w:rsidRDefault="00515F70" w:rsidP="00515F70">
            <w:pPr>
              <w:rPr>
                <w:rFonts w:ascii="Arial Narrow" w:eastAsia="Calibri" w:hAnsi="Arial Narrow" w:cs="Calibri"/>
                <w:b/>
                <w:bCs/>
                <w:kern w:val="2"/>
                <w:sz w:val="20"/>
                <w:szCs w:val="20"/>
                <w14:ligatures w14:val="standardContextual"/>
              </w:rPr>
            </w:pPr>
            <w:r w:rsidRPr="00BE2534">
              <w:rPr>
                <w:rFonts w:ascii="Arial Narrow" w:eastAsia="Calibri" w:hAnsi="Arial Narrow" w:cs="Calibri"/>
                <w:b/>
                <w:bCs/>
                <w:kern w:val="2"/>
                <w:sz w:val="20"/>
                <w:szCs w:val="20"/>
                <w:lang w:val="sq-AL"/>
                <w14:ligatures w14:val="standardContextual"/>
              </w:rPr>
              <w:t>Pajisjet për grumbullimin e mbeturinave</w:t>
            </w:r>
          </w:p>
        </w:tc>
        <w:tc>
          <w:tcPr>
            <w:tcW w:w="1132" w:type="pct"/>
            <w:tcMar>
              <w:left w:w="72" w:type="dxa"/>
              <w:right w:w="72" w:type="dxa"/>
            </w:tcMar>
          </w:tcPr>
          <w:p w14:paraId="6AE5B9E0" w14:textId="77777777" w:rsidR="00515F70" w:rsidRPr="00430A79" w:rsidRDefault="00515F70" w:rsidP="00515F70">
            <w:pPr>
              <w:rPr>
                <w:rFonts w:ascii="Arial Narrow" w:eastAsia="Calibri" w:hAnsi="Arial Narrow" w:cs="Calibri"/>
                <w:b/>
                <w:bCs/>
                <w:kern w:val="2"/>
                <w:sz w:val="20"/>
                <w:szCs w:val="20"/>
                <w14:ligatures w14:val="standardContextual"/>
              </w:rPr>
            </w:pPr>
          </w:p>
        </w:tc>
        <w:tc>
          <w:tcPr>
            <w:tcW w:w="868" w:type="pct"/>
            <w:tcMar>
              <w:left w:w="72" w:type="dxa"/>
              <w:right w:w="72" w:type="dxa"/>
            </w:tcMar>
          </w:tcPr>
          <w:p w14:paraId="0A18A7A3" w14:textId="77777777" w:rsidR="00515F70" w:rsidRPr="00430A79" w:rsidRDefault="00515F70" w:rsidP="00515F70">
            <w:pPr>
              <w:jc w:val="center"/>
              <w:rPr>
                <w:rFonts w:ascii="Arial Narrow" w:eastAsia="Calibri" w:hAnsi="Arial Narrow" w:cs="Calibri"/>
                <w:b/>
                <w:bCs/>
                <w:kern w:val="2"/>
                <w:sz w:val="20"/>
                <w:szCs w:val="20"/>
                <w14:ligatures w14:val="standardContextual"/>
              </w:rPr>
            </w:pPr>
          </w:p>
        </w:tc>
        <w:tc>
          <w:tcPr>
            <w:tcW w:w="750" w:type="pct"/>
            <w:tcBorders>
              <w:right w:val="single" w:sz="4" w:space="0" w:color="auto"/>
            </w:tcBorders>
            <w:tcMar>
              <w:left w:w="72" w:type="dxa"/>
              <w:right w:w="72" w:type="dxa"/>
            </w:tcMar>
          </w:tcPr>
          <w:p w14:paraId="6EE3C2FF" w14:textId="77777777" w:rsidR="00515F70" w:rsidRPr="00430A79" w:rsidRDefault="00515F70" w:rsidP="00515F70">
            <w:pPr>
              <w:jc w:val="center"/>
              <w:rPr>
                <w:rFonts w:ascii="Arial Narrow" w:eastAsia="Calibri" w:hAnsi="Arial Narrow" w:cs="Calibri"/>
                <w:b/>
                <w:bCs/>
                <w:kern w:val="2"/>
                <w:sz w:val="20"/>
                <w:szCs w:val="20"/>
                <w14:ligatures w14:val="standardContextual"/>
              </w:rPr>
            </w:pPr>
          </w:p>
        </w:tc>
        <w:tc>
          <w:tcPr>
            <w:tcW w:w="809" w:type="pct"/>
            <w:tcBorders>
              <w:top w:val="single" w:sz="4" w:space="0" w:color="auto"/>
              <w:left w:val="single" w:sz="4" w:space="0" w:color="auto"/>
              <w:bottom w:val="single" w:sz="4" w:space="0" w:color="auto"/>
              <w:right w:val="single" w:sz="4" w:space="0" w:color="auto"/>
            </w:tcBorders>
            <w:shd w:val="clear" w:color="auto" w:fill="auto"/>
            <w:tcMar>
              <w:left w:w="72" w:type="dxa"/>
              <w:right w:w="72" w:type="dxa"/>
            </w:tcMar>
            <w:vAlign w:val="center"/>
          </w:tcPr>
          <w:p w14:paraId="32BCA5FA" w14:textId="77777777" w:rsidR="00515F70" w:rsidRPr="00430A79" w:rsidRDefault="00515F70" w:rsidP="00515F70">
            <w:pPr>
              <w:jc w:val="right"/>
              <w:rPr>
                <w:rFonts w:ascii="Arial Narrow" w:eastAsia="Calibri" w:hAnsi="Arial Narrow" w:cs="Calibri"/>
                <w:b/>
                <w:bCs/>
                <w:kern w:val="2"/>
                <w:sz w:val="20"/>
                <w:szCs w:val="20"/>
                <w14:ligatures w14:val="standardContextual"/>
              </w:rPr>
            </w:pPr>
            <w:r w:rsidRPr="00430A79">
              <w:rPr>
                <w:rFonts w:ascii="Arial Narrow" w:hAnsi="Arial Narrow"/>
                <w:b/>
                <w:bCs/>
                <w:color w:val="000000"/>
                <w:sz w:val="20"/>
                <w:szCs w:val="20"/>
              </w:rPr>
              <w:t>439,000</w:t>
            </w:r>
          </w:p>
        </w:tc>
      </w:tr>
      <w:tr w:rsidR="00515F70" w:rsidRPr="00430A79" w14:paraId="0AC87660" w14:textId="77777777" w:rsidTr="00D03949">
        <w:trPr>
          <w:trHeight w:val="107"/>
        </w:trPr>
        <w:tc>
          <w:tcPr>
            <w:tcW w:w="1441" w:type="pct"/>
            <w:tcMar>
              <w:left w:w="72" w:type="dxa"/>
              <w:right w:w="72" w:type="dxa"/>
            </w:tcMar>
          </w:tcPr>
          <w:p w14:paraId="2816E648" w14:textId="79788AD5" w:rsidR="00515F70" w:rsidRPr="00430A79" w:rsidRDefault="00515F70" w:rsidP="00515F70">
            <w:pPr>
              <w:rPr>
                <w:rFonts w:ascii="Arial Narrow" w:eastAsia="Calibri" w:hAnsi="Arial Narrow" w:cs="Calibri"/>
                <w:kern w:val="2"/>
                <w:sz w:val="20"/>
                <w:szCs w:val="20"/>
                <w14:ligatures w14:val="standardContextual"/>
              </w:rPr>
            </w:pPr>
            <w:r w:rsidRPr="00BE2534">
              <w:rPr>
                <w:rFonts w:ascii="Arial Narrow" w:eastAsia="Calibri" w:hAnsi="Arial Narrow" w:cs="Calibri"/>
                <w:kern w:val="2"/>
                <w:sz w:val="20"/>
                <w:szCs w:val="20"/>
                <w:lang w:val="sq-AL"/>
                <w14:ligatures w14:val="standardContextual"/>
              </w:rPr>
              <w:t>Kontejnerë skip 7 m³</w:t>
            </w:r>
            <w:r w:rsidRPr="00BE2534">
              <w:rPr>
                <w:rFonts w:ascii="Arial Narrow" w:eastAsia="Calibri" w:hAnsi="Arial Narrow" w:cs="Calibri"/>
                <w:spacing w:val="16"/>
                <w:kern w:val="2"/>
                <w:position w:val="6"/>
                <w:sz w:val="20"/>
                <w:szCs w:val="20"/>
                <w:lang w:val="sq-AL"/>
                <w14:ligatures w14:val="standardContextual"/>
              </w:rPr>
              <w:t xml:space="preserve"> </w:t>
            </w:r>
          </w:p>
        </w:tc>
        <w:tc>
          <w:tcPr>
            <w:tcW w:w="1132" w:type="pct"/>
            <w:tcMar>
              <w:left w:w="72" w:type="dxa"/>
              <w:right w:w="72" w:type="dxa"/>
            </w:tcMar>
          </w:tcPr>
          <w:p w14:paraId="118D0E2F" w14:textId="1E671E95" w:rsidR="00515F70" w:rsidRPr="00430A79" w:rsidRDefault="00515F70" w:rsidP="00515F70">
            <w:pPr>
              <w:rPr>
                <w:rFonts w:ascii="Arial Narrow" w:eastAsia="Calibri" w:hAnsi="Arial Narrow" w:cs="Calibri"/>
                <w:spacing w:val="-2"/>
                <w:kern w:val="2"/>
                <w:sz w:val="20"/>
                <w:szCs w:val="20"/>
                <w14:ligatures w14:val="standardContextual"/>
              </w:rPr>
            </w:pPr>
            <w:r w:rsidRPr="00BE2534">
              <w:rPr>
                <w:rFonts w:ascii="Arial Narrow" w:eastAsia="Calibri" w:hAnsi="Arial Narrow" w:cs="Calibri"/>
                <w:spacing w:val="-2"/>
                <w:kern w:val="2"/>
                <w:sz w:val="20"/>
                <w:szCs w:val="20"/>
                <w:lang w:val="sq-AL"/>
                <w14:ligatures w14:val="standardContextual"/>
              </w:rPr>
              <w:t>EUR/kontejner</w:t>
            </w:r>
          </w:p>
        </w:tc>
        <w:tc>
          <w:tcPr>
            <w:tcW w:w="868" w:type="pct"/>
            <w:tcMar>
              <w:left w:w="72" w:type="dxa"/>
              <w:right w:w="72" w:type="dxa"/>
            </w:tcMar>
          </w:tcPr>
          <w:p w14:paraId="6B65D320" w14:textId="77777777" w:rsidR="00515F70" w:rsidRPr="00430A79" w:rsidRDefault="00515F70" w:rsidP="00515F70">
            <w:pPr>
              <w:jc w:val="center"/>
              <w:rPr>
                <w:rFonts w:ascii="Arial Narrow" w:eastAsia="Calibri" w:hAnsi="Arial Narrow" w:cs="Calibri"/>
                <w:kern w:val="2"/>
                <w:sz w:val="20"/>
                <w:szCs w:val="20"/>
                <w14:ligatures w14:val="standardContextual"/>
              </w:rPr>
            </w:pPr>
            <w:r w:rsidRPr="00430A79">
              <w:rPr>
                <w:rFonts w:ascii="Arial Narrow" w:eastAsia="Calibri" w:hAnsi="Arial Narrow" w:cs="Calibri"/>
                <w:spacing w:val="-2"/>
                <w:kern w:val="2"/>
                <w:sz w:val="20"/>
                <w:szCs w:val="20"/>
                <w14:ligatures w14:val="standardContextual"/>
              </w:rPr>
              <w:t>2,000</w:t>
            </w:r>
          </w:p>
        </w:tc>
        <w:tc>
          <w:tcPr>
            <w:tcW w:w="750" w:type="pct"/>
            <w:tcBorders>
              <w:right w:val="single" w:sz="4" w:space="0" w:color="auto"/>
            </w:tcBorders>
            <w:tcMar>
              <w:left w:w="72" w:type="dxa"/>
              <w:right w:w="72" w:type="dxa"/>
            </w:tcMar>
          </w:tcPr>
          <w:p w14:paraId="3C61595A" w14:textId="77777777" w:rsidR="00515F70" w:rsidRPr="00430A79" w:rsidRDefault="00515F70" w:rsidP="00515F70">
            <w:pPr>
              <w:jc w:val="center"/>
              <w:rPr>
                <w:rFonts w:ascii="Arial Narrow" w:eastAsia="Calibri" w:hAnsi="Arial Narrow" w:cs="Calibri"/>
                <w:kern w:val="2"/>
                <w:sz w:val="20"/>
                <w:szCs w:val="20"/>
                <w:lang w:val="bg-BG"/>
                <w14:ligatures w14:val="standardContextual"/>
              </w:rPr>
            </w:pPr>
            <w:r w:rsidRPr="00430A79">
              <w:rPr>
                <w:rFonts w:ascii="Arial Narrow" w:eastAsia="Calibri" w:hAnsi="Arial Narrow" w:cs="Calibri"/>
                <w:spacing w:val="-5"/>
                <w:kern w:val="2"/>
                <w:sz w:val="20"/>
                <w:szCs w:val="20"/>
                <w:lang w:val="bg-BG"/>
                <w14:ligatures w14:val="standardContextual"/>
              </w:rPr>
              <w:t>7</w:t>
            </w:r>
          </w:p>
        </w:tc>
        <w:tc>
          <w:tcPr>
            <w:tcW w:w="809" w:type="pct"/>
            <w:tcBorders>
              <w:top w:val="single" w:sz="4" w:space="0" w:color="auto"/>
              <w:left w:val="single" w:sz="4" w:space="0" w:color="auto"/>
              <w:bottom w:val="single" w:sz="4" w:space="0" w:color="auto"/>
              <w:right w:val="single" w:sz="4" w:space="0" w:color="auto"/>
            </w:tcBorders>
            <w:shd w:val="clear" w:color="auto" w:fill="auto"/>
            <w:tcMar>
              <w:left w:w="72" w:type="dxa"/>
              <w:right w:w="72" w:type="dxa"/>
            </w:tcMar>
            <w:vAlign w:val="center"/>
          </w:tcPr>
          <w:p w14:paraId="7DADACBB" w14:textId="77777777" w:rsidR="00515F70" w:rsidRPr="00430A79" w:rsidRDefault="00515F70" w:rsidP="00515F70">
            <w:pPr>
              <w:jc w:val="right"/>
              <w:rPr>
                <w:rFonts w:ascii="Arial Narrow" w:eastAsia="Calibri" w:hAnsi="Arial Narrow" w:cs="Calibri"/>
                <w:kern w:val="2"/>
                <w:sz w:val="20"/>
                <w:szCs w:val="20"/>
                <w14:ligatures w14:val="standardContextual"/>
              </w:rPr>
            </w:pPr>
            <w:r w:rsidRPr="00430A79">
              <w:rPr>
                <w:rFonts w:ascii="Arial Narrow" w:hAnsi="Arial Narrow"/>
                <w:color w:val="000000"/>
                <w:sz w:val="20"/>
                <w:szCs w:val="20"/>
              </w:rPr>
              <w:t>14,000</w:t>
            </w:r>
          </w:p>
        </w:tc>
      </w:tr>
      <w:tr w:rsidR="00515F70" w:rsidRPr="00430A79" w14:paraId="26AF24FD" w14:textId="77777777" w:rsidTr="00D03949">
        <w:trPr>
          <w:trHeight w:val="161"/>
        </w:trPr>
        <w:tc>
          <w:tcPr>
            <w:tcW w:w="1441" w:type="pct"/>
            <w:tcMar>
              <w:left w:w="72" w:type="dxa"/>
              <w:right w:w="72" w:type="dxa"/>
            </w:tcMar>
          </w:tcPr>
          <w:p w14:paraId="4771FED7" w14:textId="783066A2" w:rsidR="00515F70" w:rsidRPr="00430A79" w:rsidRDefault="00515F70" w:rsidP="00515F70">
            <w:pPr>
              <w:rPr>
                <w:rFonts w:ascii="Arial Narrow" w:eastAsia="Calibri" w:hAnsi="Arial Narrow" w:cs="Calibri"/>
                <w:kern w:val="2"/>
                <w:sz w:val="20"/>
                <w:szCs w:val="20"/>
                <w14:ligatures w14:val="standardContextual"/>
              </w:rPr>
            </w:pPr>
            <w:r w:rsidRPr="00BE2534">
              <w:rPr>
                <w:rFonts w:ascii="Arial Narrow" w:eastAsia="Calibri" w:hAnsi="Arial Narrow" w:cs="Calibri"/>
                <w:kern w:val="2"/>
                <w:sz w:val="20"/>
                <w:szCs w:val="20"/>
                <w:lang w:val="sq-AL"/>
                <w14:ligatures w14:val="standardContextual"/>
              </w:rPr>
              <w:t>Kamion për mbeturina me hapje të krahu</w:t>
            </w:r>
          </w:p>
        </w:tc>
        <w:tc>
          <w:tcPr>
            <w:tcW w:w="1132" w:type="pct"/>
            <w:tcMar>
              <w:left w:w="72" w:type="dxa"/>
              <w:right w:w="72" w:type="dxa"/>
            </w:tcMar>
          </w:tcPr>
          <w:p w14:paraId="7B4A6042" w14:textId="107951A4" w:rsidR="00515F70" w:rsidRPr="00430A79" w:rsidRDefault="00515F70" w:rsidP="00515F70">
            <w:pPr>
              <w:rPr>
                <w:rFonts w:ascii="Arial Narrow" w:eastAsia="Calibri" w:hAnsi="Arial Narrow" w:cs="Calibri"/>
                <w:spacing w:val="-2"/>
                <w:kern w:val="2"/>
                <w:sz w:val="20"/>
                <w:szCs w:val="20"/>
                <w14:ligatures w14:val="standardContextual"/>
              </w:rPr>
            </w:pPr>
            <w:r w:rsidRPr="00BE2534">
              <w:rPr>
                <w:rFonts w:ascii="Arial Narrow" w:eastAsia="Calibri" w:hAnsi="Arial Narrow" w:cs="Calibri"/>
                <w:spacing w:val="-2"/>
                <w:kern w:val="2"/>
                <w:sz w:val="20"/>
                <w:szCs w:val="20"/>
                <w:lang w:val="sq-AL"/>
                <w14:ligatures w14:val="standardContextual"/>
              </w:rPr>
              <w:t>EUR/kamion</w:t>
            </w:r>
          </w:p>
        </w:tc>
        <w:tc>
          <w:tcPr>
            <w:tcW w:w="868" w:type="pct"/>
            <w:tcMar>
              <w:left w:w="72" w:type="dxa"/>
              <w:right w:w="72" w:type="dxa"/>
            </w:tcMar>
          </w:tcPr>
          <w:p w14:paraId="6F5BC23A" w14:textId="77777777" w:rsidR="00515F70" w:rsidRPr="00430A79" w:rsidRDefault="00515F70" w:rsidP="00515F70">
            <w:pPr>
              <w:jc w:val="center"/>
              <w:rPr>
                <w:rFonts w:ascii="Arial Narrow" w:eastAsia="Calibri" w:hAnsi="Arial Narrow" w:cs="Calibri"/>
                <w:kern w:val="2"/>
                <w:sz w:val="20"/>
                <w:szCs w:val="20"/>
                <w14:ligatures w14:val="standardContextual"/>
              </w:rPr>
            </w:pPr>
            <w:r w:rsidRPr="00430A79">
              <w:rPr>
                <w:rFonts w:ascii="Arial Narrow" w:eastAsia="Calibri" w:hAnsi="Arial Narrow" w:cs="Calibri"/>
                <w:spacing w:val="-2"/>
                <w:kern w:val="2"/>
                <w:sz w:val="20"/>
                <w:szCs w:val="20"/>
                <w14:ligatures w14:val="standardContextual"/>
              </w:rPr>
              <w:t>150,000</w:t>
            </w:r>
          </w:p>
        </w:tc>
        <w:tc>
          <w:tcPr>
            <w:tcW w:w="750" w:type="pct"/>
            <w:tcBorders>
              <w:right w:val="single" w:sz="4" w:space="0" w:color="auto"/>
            </w:tcBorders>
            <w:tcMar>
              <w:left w:w="72" w:type="dxa"/>
              <w:right w:w="72" w:type="dxa"/>
            </w:tcMar>
          </w:tcPr>
          <w:p w14:paraId="2E372DD2" w14:textId="77777777" w:rsidR="00515F70" w:rsidRPr="00430A79" w:rsidRDefault="00515F70" w:rsidP="00515F70">
            <w:pPr>
              <w:jc w:val="center"/>
              <w:rPr>
                <w:rFonts w:ascii="Arial Narrow" w:eastAsia="Calibri" w:hAnsi="Arial Narrow" w:cs="Calibri"/>
                <w:kern w:val="2"/>
                <w:sz w:val="20"/>
                <w:szCs w:val="20"/>
                <w:lang w:val="bg-BG"/>
                <w14:ligatures w14:val="standardContextual"/>
              </w:rPr>
            </w:pPr>
            <w:r w:rsidRPr="00430A79">
              <w:rPr>
                <w:rFonts w:ascii="Arial Narrow" w:eastAsia="Calibri" w:hAnsi="Arial Narrow" w:cs="Calibri"/>
                <w:spacing w:val="-5"/>
                <w:kern w:val="2"/>
                <w:sz w:val="20"/>
                <w:szCs w:val="20"/>
                <w:lang w:val="bg-BG"/>
                <w14:ligatures w14:val="standardContextual"/>
              </w:rPr>
              <w:t>2</w:t>
            </w:r>
          </w:p>
        </w:tc>
        <w:tc>
          <w:tcPr>
            <w:tcW w:w="809" w:type="pct"/>
            <w:tcBorders>
              <w:top w:val="single" w:sz="4" w:space="0" w:color="auto"/>
              <w:left w:val="single" w:sz="4" w:space="0" w:color="auto"/>
              <w:bottom w:val="single" w:sz="4" w:space="0" w:color="auto"/>
              <w:right w:val="single" w:sz="4" w:space="0" w:color="auto"/>
            </w:tcBorders>
            <w:shd w:val="clear" w:color="auto" w:fill="auto"/>
            <w:tcMar>
              <w:left w:w="72" w:type="dxa"/>
              <w:right w:w="72" w:type="dxa"/>
            </w:tcMar>
            <w:vAlign w:val="center"/>
          </w:tcPr>
          <w:p w14:paraId="15E5A9C8" w14:textId="77777777" w:rsidR="00515F70" w:rsidRPr="00430A79" w:rsidRDefault="00515F70" w:rsidP="00515F70">
            <w:pPr>
              <w:jc w:val="right"/>
              <w:rPr>
                <w:rFonts w:ascii="Arial Narrow" w:eastAsia="Calibri" w:hAnsi="Arial Narrow" w:cs="Calibri"/>
                <w:kern w:val="2"/>
                <w:sz w:val="20"/>
                <w:szCs w:val="20"/>
                <w14:ligatures w14:val="standardContextual"/>
              </w:rPr>
            </w:pPr>
            <w:r w:rsidRPr="00430A79">
              <w:rPr>
                <w:rFonts w:ascii="Arial Narrow" w:hAnsi="Arial Narrow"/>
                <w:color w:val="000000"/>
                <w:sz w:val="20"/>
                <w:szCs w:val="20"/>
              </w:rPr>
              <w:t>300,000</w:t>
            </w:r>
          </w:p>
        </w:tc>
      </w:tr>
      <w:tr w:rsidR="00515F70" w:rsidRPr="00430A79" w14:paraId="17FC3D80" w14:textId="77777777" w:rsidTr="00D03949">
        <w:trPr>
          <w:trHeight w:val="80"/>
        </w:trPr>
        <w:tc>
          <w:tcPr>
            <w:tcW w:w="1441" w:type="pct"/>
            <w:tcMar>
              <w:left w:w="72" w:type="dxa"/>
              <w:right w:w="72" w:type="dxa"/>
            </w:tcMar>
          </w:tcPr>
          <w:p w14:paraId="282AD4C1" w14:textId="313B8563" w:rsidR="00515F70" w:rsidRPr="00430A79" w:rsidRDefault="00515F70" w:rsidP="00515F70">
            <w:pPr>
              <w:rPr>
                <w:rFonts w:ascii="Arial Narrow" w:eastAsia="Calibri" w:hAnsi="Arial Narrow" w:cs="Calibri"/>
                <w:kern w:val="2"/>
                <w:sz w:val="20"/>
                <w:szCs w:val="20"/>
                <w14:ligatures w14:val="standardContextual"/>
              </w:rPr>
            </w:pPr>
            <w:r w:rsidRPr="00BE2534">
              <w:rPr>
                <w:rFonts w:ascii="Arial Narrow" w:eastAsia="Calibri" w:hAnsi="Arial Narrow" w:cs="Calibri"/>
                <w:spacing w:val="-2"/>
                <w:kern w:val="2"/>
                <w:sz w:val="20"/>
                <w:szCs w:val="20"/>
                <w:lang w:val="sq-AL"/>
                <w14:ligatures w14:val="standardContextual"/>
              </w:rPr>
              <w:t>Kamionë të hapur</w:t>
            </w:r>
          </w:p>
        </w:tc>
        <w:tc>
          <w:tcPr>
            <w:tcW w:w="1132" w:type="pct"/>
            <w:tcMar>
              <w:left w:w="72" w:type="dxa"/>
              <w:right w:w="72" w:type="dxa"/>
            </w:tcMar>
          </w:tcPr>
          <w:p w14:paraId="0E30B799" w14:textId="712B37FE" w:rsidR="00515F70" w:rsidRPr="00430A79" w:rsidRDefault="00515F70" w:rsidP="00515F70">
            <w:pPr>
              <w:rPr>
                <w:rFonts w:ascii="Arial Narrow" w:eastAsia="Calibri" w:hAnsi="Arial Narrow" w:cs="Calibri"/>
                <w:spacing w:val="-2"/>
                <w:kern w:val="2"/>
                <w:sz w:val="20"/>
                <w:szCs w:val="20"/>
                <w14:ligatures w14:val="standardContextual"/>
              </w:rPr>
            </w:pPr>
            <w:r w:rsidRPr="00BE2534">
              <w:rPr>
                <w:rFonts w:ascii="Arial Narrow" w:eastAsia="Calibri" w:hAnsi="Arial Narrow" w:cs="Calibri"/>
                <w:spacing w:val="-2"/>
                <w:kern w:val="2"/>
                <w:sz w:val="20"/>
                <w:szCs w:val="20"/>
                <w:lang w:val="sq-AL"/>
                <w14:ligatures w14:val="standardContextual"/>
              </w:rPr>
              <w:t>EUR/kamion</w:t>
            </w:r>
          </w:p>
        </w:tc>
        <w:tc>
          <w:tcPr>
            <w:tcW w:w="868" w:type="pct"/>
            <w:tcMar>
              <w:left w:w="72" w:type="dxa"/>
              <w:right w:w="72" w:type="dxa"/>
            </w:tcMar>
          </w:tcPr>
          <w:p w14:paraId="7E0026FE" w14:textId="77777777" w:rsidR="00515F70" w:rsidRPr="00430A79" w:rsidRDefault="00515F70" w:rsidP="00515F70">
            <w:pPr>
              <w:jc w:val="center"/>
              <w:rPr>
                <w:rFonts w:ascii="Arial Narrow" w:eastAsia="Calibri" w:hAnsi="Arial Narrow" w:cs="Calibri"/>
                <w:kern w:val="2"/>
                <w:sz w:val="20"/>
                <w:szCs w:val="20"/>
                <w14:ligatures w14:val="standardContextual"/>
              </w:rPr>
            </w:pPr>
            <w:r w:rsidRPr="00430A79">
              <w:rPr>
                <w:rFonts w:ascii="Arial Narrow" w:eastAsia="Calibri" w:hAnsi="Arial Narrow" w:cs="Calibri"/>
                <w:spacing w:val="-2"/>
                <w:kern w:val="2"/>
                <w:sz w:val="20"/>
                <w:szCs w:val="20"/>
                <w14:ligatures w14:val="standardContextual"/>
              </w:rPr>
              <w:t>125,000</w:t>
            </w:r>
          </w:p>
        </w:tc>
        <w:tc>
          <w:tcPr>
            <w:tcW w:w="750" w:type="pct"/>
            <w:tcBorders>
              <w:right w:val="single" w:sz="4" w:space="0" w:color="auto"/>
            </w:tcBorders>
            <w:tcMar>
              <w:left w:w="72" w:type="dxa"/>
              <w:right w:w="72" w:type="dxa"/>
            </w:tcMar>
          </w:tcPr>
          <w:p w14:paraId="66E4EA3D" w14:textId="77777777" w:rsidR="00515F70" w:rsidRPr="00430A79" w:rsidRDefault="00515F70" w:rsidP="00515F70">
            <w:pPr>
              <w:jc w:val="center"/>
              <w:rPr>
                <w:rFonts w:ascii="Arial Narrow" w:eastAsia="Calibri" w:hAnsi="Arial Narrow" w:cs="Calibri"/>
                <w:kern w:val="2"/>
                <w:sz w:val="20"/>
                <w:szCs w:val="20"/>
                <w:lang w:val="bg-BG"/>
                <w14:ligatures w14:val="standardContextual"/>
              </w:rPr>
            </w:pPr>
            <w:r w:rsidRPr="00430A79">
              <w:rPr>
                <w:rFonts w:ascii="Arial Narrow" w:eastAsia="Calibri" w:hAnsi="Arial Narrow" w:cs="Calibri"/>
                <w:spacing w:val="-10"/>
                <w:kern w:val="2"/>
                <w:sz w:val="20"/>
                <w:szCs w:val="20"/>
                <w:lang w:val="bg-BG"/>
                <w14:ligatures w14:val="standardContextual"/>
              </w:rPr>
              <w:t>1</w:t>
            </w:r>
          </w:p>
        </w:tc>
        <w:tc>
          <w:tcPr>
            <w:tcW w:w="809" w:type="pct"/>
            <w:tcBorders>
              <w:top w:val="single" w:sz="4" w:space="0" w:color="auto"/>
              <w:left w:val="single" w:sz="4" w:space="0" w:color="auto"/>
              <w:bottom w:val="single" w:sz="4" w:space="0" w:color="auto"/>
              <w:right w:val="single" w:sz="4" w:space="0" w:color="auto"/>
            </w:tcBorders>
            <w:shd w:val="clear" w:color="auto" w:fill="auto"/>
            <w:tcMar>
              <w:left w:w="72" w:type="dxa"/>
              <w:right w:w="72" w:type="dxa"/>
            </w:tcMar>
            <w:vAlign w:val="center"/>
          </w:tcPr>
          <w:p w14:paraId="76FB0BAF" w14:textId="77777777" w:rsidR="00515F70" w:rsidRPr="00430A79" w:rsidRDefault="00515F70" w:rsidP="00515F70">
            <w:pPr>
              <w:jc w:val="right"/>
              <w:rPr>
                <w:rFonts w:ascii="Arial Narrow" w:eastAsia="Calibri" w:hAnsi="Arial Narrow" w:cs="Calibri"/>
                <w:kern w:val="2"/>
                <w:sz w:val="20"/>
                <w:szCs w:val="20"/>
                <w14:ligatures w14:val="standardContextual"/>
              </w:rPr>
            </w:pPr>
            <w:r w:rsidRPr="00430A79">
              <w:rPr>
                <w:rFonts w:ascii="Arial Narrow" w:hAnsi="Arial Narrow"/>
                <w:color w:val="000000"/>
                <w:sz w:val="20"/>
                <w:szCs w:val="20"/>
              </w:rPr>
              <w:t>125,000</w:t>
            </w:r>
          </w:p>
        </w:tc>
      </w:tr>
      <w:tr w:rsidR="00515F70" w:rsidRPr="00430A79" w14:paraId="5FE1134C" w14:textId="77777777" w:rsidTr="00D03949">
        <w:trPr>
          <w:trHeight w:val="50"/>
        </w:trPr>
        <w:tc>
          <w:tcPr>
            <w:tcW w:w="1441" w:type="pct"/>
            <w:tcMar>
              <w:left w:w="72" w:type="dxa"/>
              <w:right w:w="72" w:type="dxa"/>
            </w:tcMar>
          </w:tcPr>
          <w:p w14:paraId="42D013F8" w14:textId="6157D094" w:rsidR="00515F70" w:rsidRPr="00430A79" w:rsidRDefault="00515F70" w:rsidP="00515F70">
            <w:pPr>
              <w:rPr>
                <w:rFonts w:ascii="Arial Narrow" w:eastAsia="Calibri" w:hAnsi="Arial Narrow" w:cs="Calibri"/>
                <w:b/>
                <w:bCs/>
                <w:kern w:val="2"/>
                <w:sz w:val="20"/>
                <w:szCs w:val="20"/>
                <w14:ligatures w14:val="standardContextual"/>
              </w:rPr>
            </w:pPr>
            <w:r w:rsidRPr="00BE2534">
              <w:rPr>
                <w:rFonts w:ascii="Arial Narrow" w:eastAsia="Calibri" w:hAnsi="Arial Narrow" w:cs="Calibri"/>
                <w:b/>
                <w:bCs/>
                <w:kern w:val="2"/>
                <w:sz w:val="20"/>
                <w:szCs w:val="20"/>
                <w:lang w:val="sq-AL"/>
                <w14:ligatures w14:val="standardContextual"/>
              </w:rPr>
              <w:t>Pikat e hedhjes</w:t>
            </w:r>
          </w:p>
        </w:tc>
        <w:tc>
          <w:tcPr>
            <w:tcW w:w="1132" w:type="pct"/>
            <w:tcMar>
              <w:left w:w="72" w:type="dxa"/>
              <w:right w:w="72" w:type="dxa"/>
            </w:tcMar>
          </w:tcPr>
          <w:p w14:paraId="439ADAF9" w14:textId="77777777" w:rsidR="00515F70" w:rsidRPr="00430A79" w:rsidRDefault="00515F70" w:rsidP="00515F70">
            <w:pPr>
              <w:rPr>
                <w:rFonts w:ascii="Arial Narrow" w:eastAsia="Calibri" w:hAnsi="Arial Narrow" w:cs="Calibri"/>
                <w:b/>
                <w:bCs/>
                <w:kern w:val="2"/>
                <w:sz w:val="20"/>
                <w:szCs w:val="20"/>
                <w14:ligatures w14:val="standardContextual"/>
              </w:rPr>
            </w:pPr>
          </w:p>
        </w:tc>
        <w:tc>
          <w:tcPr>
            <w:tcW w:w="868" w:type="pct"/>
            <w:tcMar>
              <w:left w:w="72" w:type="dxa"/>
              <w:right w:w="72" w:type="dxa"/>
            </w:tcMar>
          </w:tcPr>
          <w:p w14:paraId="26CF600B" w14:textId="77777777" w:rsidR="00515F70" w:rsidRPr="00430A79" w:rsidRDefault="00515F70" w:rsidP="00515F70">
            <w:pPr>
              <w:jc w:val="center"/>
              <w:rPr>
                <w:rFonts w:ascii="Arial Narrow" w:eastAsia="Calibri" w:hAnsi="Arial Narrow" w:cs="Calibri"/>
                <w:b/>
                <w:bCs/>
                <w:kern w:val="2"/>
                <w:sz w:val="20"/>
                <w:szCs w:val="20"/>
                <w14:ligatures w14:val="standardContextual"/>
              </w:rPr>
            </w:pPr>
          </w:p>
        </w:tc>
        <w:tc>
          <w:tcPr>
            <w:tcW w:w="750" w:type="pct"/>
            <w:tcBorders>
              <w:right w:val="single" w:sz="4" w:space="0" w:color="auto"/>
            </w:tcBorders>
            <w:tcMar>
              <w:left w:w="72" w:type="dxa"/>
              <w:right w:w="72" w:type="dxa"/>
            </w:tcMar>
          </w:tcPr>
          <w:p w14:paraId="7CA45AD0" w14:textId="77777777" w:rsidR="00515F70" w:rsidRPr="00430A79" w:rsidRDefault="00515F70" w:rsidP="00515F70">
            <w:pPr>
              <w:jc w:val="center"/>
              <w:rPr>
                <w:rFonts w:ascii="Arial Narrow" w:eastAsia="Calibri" w:hAnsi="Arial Narrow" w:cs="Calibri"/>
                <w:b/>
                <w:bCs/>
                <w:kern w:val="2"/>
                <w:sz w:val="20"/>
                <w:szCs w:val="20"/>
                <w14:ligatures w14:val="standardContextual"/>
              </w:rPr>
            </w:pPr>
          </w:p>
        </w:tc>
        <w:tc>
          <w:tcPr>
            <w:tcW w:w="809" w:type="pct"/>
            <w:tcBorders>
              <w:top w:val="single" w:sz="4" w:space="0" w:color="auto"/>
              <w:left w:val="single" w:sz="4" w:space="0" w:color="auto"/>
              <w:bottom w:val="single" w:sz="4" w:space="0" w:color="auto"/>
              <w:right w:val="single" w:sz="4" w:space="0" w:color="auto"/>
            </w:tcBorders>
            <w:shd w:val="clear" w:color="auto" w:fill="auto"/>
            <w:tcMar>
              <w:left w:w="72" w:type="dxa"/>
              <w:right w:w="72" w:type="dxa"/>
            </w:tcMar>
            <w:vAlign w:val="center"/>
          </w:tcPr>
          <w:p w14:paraId="483CCF14" w14:textId="77777777" w:rsidR="00515F70" w:rsidRPr="00430A79" w:rsidRDefault="00515F70" w:rsidP="00515F70">
            <w:pPr>
              <w:jc w:val="right"/>
              <w:rPr>
                <w:rFonts w:ascii="Arial Narrow" w:eastAsia="Calibri" w:hAnsi="Arial Narrow" w:cs="Calibri"/>
                <w:b/>
                <w:bCs/>
                <w:kern w:val="2"/>
                <w:sz w:val="20"/>
                <w:szCs w:val="20"/>
                <w14:ligatures w14:val="standardContextual"/>
              </w:rPr>
            </w:pPr>
            <w:r w:rsidRPr="00430A79">
              <w:rPr>
                <w:rFonts w:ascii="Arial Narrow" w:hAnsi="Arial Narrow"/>
                <w:b/>
                <w:bCs/>
                <w:color w:val="000000"/>
                <w:sz w:val="20"/>
                <w:szCs w:val="20"/>
              </w:rPr>
              <w:t>812,000</w:t>
            </w:r>
          </w:p>
        </w:tc>
      </w:tr>
      <w:tr w:rsidR="00515F70" w:rsidRPr="00430A79" w14:paraId="58724CB4" w14:textId="77777777" w:rsidTr="00D03949">
        <w:trPr>
          <w:trHeight w:val="116"/>
        </w:trPr>
        <w:tc>
          <w:tcPr>
            <w:tcW w:w="1441" w:type="pct"/>
            <w:tcMar>
              <w:left w:w="72" w:type="dxa"/>
              <w:right w:w="72" w:type="dxa"/>
            </w:tcMar>
          </w:tcPr>
          <w:p w14:paraId="58AE2D10" w14:textId="20077D57" w:rsidR="00515F70" w:rsidRPr="00430A79" w:rsidRDefault="00515F70" w:rsidP="00515F70">
            <w:pPr>
              <w:rPr>
                <w:rFonts w:ascii="Arial Narrow" w:eastAsia="Calibri" w:hAnsi="Arial Narrow" w:cs="Calibri"/>
                <w:kern w:val="2"/>
                <w:sz w:val="20"/>
                <w:szCs w:val="20"/>
                <w14:ligatures w14:val="standardContextual"/>
              </w:rPr>
            </w:pPr>
            <w:r w:rsidRPr="00BE2534">
              <w:rPr>
                <w:rFonts w:ascii="Arial Narrow" w:eastAsia="Calibri" w:hAnsi="Arial Narrow" w:cs="Calibri"/>
                <w:kern w:val="2"/>
                <w:sz w:val="20"/>
                <w:szCs w:val="20"/>
                <w:lang w:val="sq-AL"/>
                <w14:ligatures w14:val="standardContextual"/>
              </w:rPr>
              <w:t>PeH mesatare</w:t>
            </w:r>
          </w:p>
        </w:tc>
        <w:tc>
          <w:tcPr>
            <w:tcW w:w="1132" w:type="pct"/>
            <w:tcMar>
              <w:left w:w="72" w:type="dxa"/>
              <w:right w:w="72" w:type="dxa"/>
            </w:tcMar>
          </w:tcPr>
          <w:p w14:paraId="2D03B294" w14:textId="5D0DD3A2" w:rsidR="00515F70" w:rsidRPr="00430A79" w:rsidRDefault="00515F70" w:rsidP="00515F70">
            <w:pPr>
              <w:rPr>
                <w:rFonts w:ascii="Arial Narrow" w:eastAsia="Calibri" w:hAnsi="Arial Narrow" w:cs="Calibri"/>
                <w:spacing w:val="-2"/>
                <w:kern w:val="2"/>
                <w:sz w:val="20"/>
                <w:szCs w:val="20"/>
                <w14:ligatures w14:val="standardContextual"/>
              </w:rPr>
            </w:pPr>
            <w:r w:rsidRPr="00BE2534">
              <w:rPr>
                <w:rFonts w:ascii="Arial Narrow" w:eastAsia="Calibri" w:hAnsi="Arial Narrow" w:cs="Calibri"/>
                <w:spacing w:val="-2"/>
                <w:kern w:val="2"/>
                <w:sz w:val="20"/>
                <w:szCs w:val="20"/>
                <w:lang w:val="sq-AL"/>
                <w14:ligatures w14:val="standardContextual"/>
              </w:rPr>
              <w:t>EUR/PeH</w:t>
            </w:r>
          </w:p>
        </w:tc>
        <w:tc>
          <w:tcPr>
            <w:tcW w:w="868" w:type="pct"/>
            <w:tcMar>
              <w:left w:w="72" w:type="dxa"/>
              <w:right w:w="72" w:type="dxa"/>
            </w:tcMar>
          </w:tcPr>
          <w:p w14:paraId="01E6A399" w14:textId="77777777" w:rsidR="00515F70" w:rsidRPr="00430A79" w:rsidRDefault="00515F70" w:rsidP="00515F70">
            <w:pPr>
              <w:jc w:val="center"/>
              <w:rPr>
                <w:rFonts w:ascii="Arial Narrow" w:eastAsia="Calibri" w:hAnsi="Arial Narrow" w:cs="Calibri"/>
                <w:kern w:val="2"/>
                <w:sz w:val="20"/>
                <w:szCs w:val="20"/>
                <w14:ligatures w14:val="standardContextual"/>
              </w:rPr>
            </w:pPr>
            <w:r w:rsidRPr="00430A79">
              <w:rPr>
                <w:rFonts w:ascii="Arial Narrow" w:eastAsia="Calibri" w:hAnsi="Arial Narrow" w:cs="Calibri"/>
                <w:spacing w:val="-2"/>
                <w:kern w:val="2"/>
                <w:sz w:val="20"/>
                <w:szCs w:val="20"/>
                <w14:ligatures w14:val="standardContextual"/>
              </w:rPr>
              <w:t>150,000</w:t>
            </w:r>
          </w:p>
        </w:tc>
        <w:tc>
          <w:tcPr>
            <w:tcW w:w="750" w:type="pct"/>
            <w:tcBorders>
              <w:right w:val="single" w:sz="4" w:space="0" w:color="auto"/>
            </w:tcBorders>
            <w:tcMar>
              <w:left w:w="72" w:type="dxa"/>
              <w:right w:w="72" w:type="dxa"/>
            </w:tcMar>
          </w:tcPr>
          <w:p w14:paraId="081ED12B" w14:textId="77777777" w:rsidR="00515F70" w:rsidRPr="00430A79" w:rsidRDefault="00515F70" w:rsidP="00515F70">
            <w:pPr>
              <w:jc w:val="center"/>
              <w:rPr>
                <w:rFonts w:ascii="Arial Narrow" w:eastAsia="Calibri" w:hAnsi="Arial Narrow" w:cs="Calibri"/>
                <w:kern w:val="2"/>
                <w:sz w:val="20"/>
                <w:szCs w:val="20"/>
                <w14:ligatures w14:val="standardContextual"/>
              </w:rPr>
            </w:pPr>
            <w:r w:rsidRPr="00430A79">
              <w:rPr>
                <w:rFonts w:ascii="Arial Narrow" w:eastAsia="Calibri" w:hAnsi="Arial Narrow" w:cs="Calibri"/>
                <w:spacing w:val="-5"/>
                <w:kern w:val="2"/>
                <w:sz w:val="20"/>
                <w:szCs w:val="20"/>
                <w14:ligatures w14:val="standardContextual"/>
              </w:rPr>
              <w:t>4</w:t>
            </w:r>
          </w:p>
        </w:tc>
        <w:tc>
          <w:tcPr>
            <w:tcW w:w="809" w:type="pct"/>
            <w:tcBorders>
              <w:top w:val="single" w:sz="4" w:space="0" w:color="auto"/>
              <w:left w:val="single" w:sz="4" w:space="0" w:color="auto"/>
              <w:bottom w:val="single" w:sz="4" w:space="0" w:color="auto"/>
              <w:right w:val="single" w:sz="4" w:space="0" w:color="auto"/>
            </w:tcBorders>
            <w:shd w:val="clear" w:color="auto" w:fill="auto"/>
            <w:tcMar>
              <w:left w:w="72" w:type="dxa"/>
              <w:right w:w="72" w:type="dxa"/>
            </w:tcMar>
            <w:vAlign w:val="center"/>
          </w:tcPr>
          <w:p w14:paraId="214B1506" w14:textId="77777777" w:rsidR="00515F70" w:rsidRPr="00430A79" w:rsidRDefault="00515F70" w:rsidP="00515F70">
            <w:pPr>
              <w:jc w:val="right"/>
              <w:rPr>
                <w:rFonts w:ascii="Arial Narrow" w:eastAsia="Calibri" w:hAnsi="Arial Narrow" w:cs="Calibri"/>
                <w:kern w:val="2"/>
                <w:sz w:val="20"/>
                <w:szCs w:val="20"/>
                <w14:ligatures w14:val="standardContextual"/>
              </w:rPr>
            </w:pPr>
            <w:r w:rsidRPr="00430A79">
              <w:rPr>
                <w:rFonts w:ascii="Arial Narrow" w:hAnsi="Arial Narrow"/>
                <w:color w:val="000000"/>
                <w:sz w:val="20"/>
                <w:szCs w:val="20"/>
              </w:rPr>
              <w:t>600,000</w:t>
            </w:r>
          </w:p>
        </w:tc>
      </w:tr>
      <w:tr w:rsidR="00515F70" w:rsidRPr="00430A79" w14:paraId="2CCDEC89" w14:textId="77777777" w:rsidTr="00D03949">
        <w:trPr>
          <w:trHeight w:val="143"/>
        </w:trPr>
        <w:tc>
          <w:tcPr>
            <w:tcW w:w="1441" w:type="pct"/>
            <w:tcMar>
              <w:left w:w="72" w:type="dxa"/>
              <w:right w:w="72" w:type="dxa"/>
            </w:tcMar>
          </w:tcPr>
          <w:p w14:paraId="33F57590" w14:textId="37EC366C" w:rsidR="00515F70" w:rsidRPr="00430A79" w:rsidRDefault="00515F70" w:rsidP="00515F70">
            <w:pPr>
              <w:rPr>
                <w:rFonts w:ascii="Arial Narrow" w:eastAsia="Calibri" w:hAnsi="Arial Narrow" w:cs="Calibri"/>
                <w:kern w:val="2"/>
                <w:sz w:val="20"/>
                <w:szCs w:val="20"/>
                <w14:ligatures w14:val="standardContextual"/>
              </w:rPr>
            </w:pPr>
            <w:r w:rsidRPr="00BE2534">
              <w:rPr>
                <w:rFonts w:ascii="Arial Narrow" w:eastAsia="Calibri" w:hAnsi="Arial Narrow" w:cs="Calibri"/>
                <w:kern w:val="2"/>
                <w:sz w:val="20"/>
                <w:szCs w:val="20"/>
                <w:lang w:val="sq-AL"/>
                <w14:ligatures w14:val="standardContextual"/>
              </w:rPr>
              <w:t>Kontejnerë skip 7 m³</w:t>
            </w:r>
            <w:r w:rsidRPr="00BE2534">
              <w:rPr>
                <w:rFonts w:ascii="Arial Narrow" w:eastAsia="Calibri" w:hAnsi="Arial Narrow" w:cs="Calibri"/>
                <w:spacing w:val="16"/>
                <w:kern w:val="2"/>
                <w:position w:val="6"/>
                <w:sz w:val="20"/>
                <w:szCs w:val="20"/>
                <w:lang w:val="sq-AL"/>
                <w14:ligatures w14:val="standardContextual"/>
              </w:rPr>
              <w:t xml:space="preserve"> </w:t>
            </w:r>
          </w:p>
        </w:tc>
        <w:tc>
          <w:tcPr>
            <w:tcW w:w="1132" w:type="pct"/>
            <w:tcMar>
              <w:left w:w="72" w:type="dxa"/>
              <w:right w:w="72" w:type="dxa"/>
            </w:tcMar>
          </w:tcPr>
          <w:p w14:paraId="6AABE123" w14:textId="2FCE5764" w:rsidR="00515F70" w:rsidRPr="00430A79" w:rsidRDefault="00515F70" w:rsidP="00515F70">
            <w:pPr>
              <w:rPr>
                <w:rFonts w:ascii="Arial Narrow" w:eastAsia="Calibri" w:hAnsi="Arial Narrow" w:cs="Calibri"/>
                <w:spacing w:val="-2"/>
                <w:kern w:val="2"/>
                <w:sz w:val="20"/>
                <w:szCs w:val="20"/>
                <w14:ligatures w14:val="standardContextual"/>
              </w:rPr>
            </w:pPr>
            <w:r w:rsidRPr="00BE2534">
              <w:rPr>
                <w:rFonts w:ascii="Arial Narrow" w:eastAsia="Calibri" w:hAnsi="Arial Narrow" w:cs="Calibri"/>
                <w:spacing w:val="-2"/>
                <w:kern w:val="2"/>
                <w:sz w:val="20"/>
                <w:szCs w:val="20"/>
                <w:lang w:val="sq-AL"/>
                <w14:ligatures w14:val="standardContextual"/>
              </w:rPr>
              <w:t>EUR/kontejner</w:t>
            </w:r>
          </w:p>
        </w:tc>
        <w:tc>
          <w:tcPr>
            <w:tcW w:w="868" w:type="pct"/>
            <w:tcMar>
              <w:left w:w="72" w:type="dxa"/>
              <w:right w:w="72" w:type="dxa"/>
            </w:tcMar>
          </w:tcPr>
          <w:p w14:paraId="5EE8F506" w14:textId="77777777" w:rsidR="00515F70" w:rsidRPr="00430A79" w:rsidRDefault="00515F70" w:rsidP="00515F70">
            <w:pPr>
              <w:jc w:val="center"/>
              <w:rPr>
                <w:rFonts w:ascii="Arial Narrow" w:eastAsia="Calibri" w:hAnsi="Arial Narrow" w:cs="Calibri"/>
                <w:kern w:val="2"/>
                <w:sz w:val="20"/>
                <w:szCs w:val="20"/>
                <w14:ligatures w14:val="standardContextual"/>
              </w:rPr>
            </w:pPr>
            <w:r w:rsidRPr="00430A79">
              <w:rPr>
                <w:rFonts w:ascii="Arial Narrow" w:eastAsia="Calibri" w:hAnsi="Arial Narrow" w:cs="Calibri"/>
                <w:spacing w:val="-2"/>
                <w:kern w:val="2"/>
                <w:sz w:val="20"/>
                <w:szCs w:val="20"/>
                <w14:ligatures w14:val="standardContextual"/>
              </w:rPr>
              <w:t>2,000</w:t>
            </w:r>
          </w:p>
        </w:tc>
        <w:tc>
          <w:tcPr>
            <w:tcW w:w="750" w:type="pct"/>
            <w:tcBorders>
              <w:right w:val="single" w:sz="4" w:space="0" w:color="auto"/>
            </w:tcBorders>
            <w:tcMar>
              <w:left w:w="72" w:type="dxa"/>
              <w:right w:w="72" w:type="dxa"/>
            </w:tcMar>
          </w:tcPr>
          <w:p w14:paraId="2A0CC3F1" w14:textId="77777777" w:rsidR="00515F70" w:rsidRPr="00430A79" w:rsidRDefault="00515F70" w:rsidP="00515F70">
            <w:pPr>
              <w:jc w:val="center"/>
              <w:rPr>
                <w:rFonts w:ascii="Arial Narrow" w:eastAsia="Calibri" w:hAnsi="Arial Narrow" w:cs="Calibri"/>
                <w:kern w:val="2"/>
                <w:sz w:val="20"/>
                <w:szCs w:val="20"/>
                <w:lang w:val="bg-BG"/>
                <w14:ligatures w14:val="standardContextual"/>
              </w:rPr>
            </w:pPr>
            <w:r w:rsidRPr="00430A79">
              <w:rPr>
                <w:rFonts w:ascii="Arial Narrow" w:eastAsia="Calibri" w:hAnsi="Arial Narrow" w:cs="Calibri"/>
                <w:spacing w:val="-5"/>
                <w:kern w:val="2"/>
                <w:sz w:val="20"/>
                <w:szCs w:val="20"/>
                <w:lang w:val="bg-BG"/>
                <w14:ligatures w14:val="standardContextual"/>
              </w:rPr>
              <w:t>16</w:t>
            </w:r>
          </w:p>
        </w:tc>
        <w:tc>
          <w:tcPr>
            <w:tcW w:w="809" w:type="pct"/>
            <w:tcBorders>
              <w:top w:val="single" w:sz="4" w:space="0" w:color="auto"/>
              <w:left w:val="single" w:sz="4" w:space="0" w:color="auto"/>
              <w:bottom w:val="single" w:sz="4" w:space="0" w:color="auto"/>
              <w:right w:val="single" w:sz="4" w:space="0" w:color="auto"/>
            </w:tcBorders>
            <w:shd w:val="clear" w:color="auto" w:fill="auto"/>
            <w:tcMar>
              <w:left w:w="72" w:type="dxa"/>
              <w:right w:w="72" w:type="dxa"/>
            </w:tcMar>
            <w:vAlign w:val="center"/>
          </w:tcPr>
          <w:p w14:paraId="46C5C972" w14:textId="77777777" w:rsidR="00515F70" w:rsidRPr="00430A79" w:rsidRDefault="00515F70" w:rsidP="00515F70">
            <w:pPr>
              <w:jc w:val="right"/>
              <w:rPr>
                <w:rFonts w:ascii="Arial Narrow" w:eastAsia="Calibri" w:hAnsi="Arial Narrow" w:cs="Calibri"/>
                <w:kern w:val="2"/>
                <w:sz w:val="20"/>
                <w:szCs w:val="20"/>
                <w14:ligatures w14:val="standardContextual"/>
              </w:rPr>
            </w:pPr>
            <w:r w:rsidRPr="00430A79">
              <w:rPr>
                <w:rFonts w:ascii="Arial Narrow" w:hAnsi="Arial Narrow"/>
                <w:color w:val="000000"/>
                <w:sz w:val="20"/>
                <w:szCs w:val="20"/>
              </w:rPr>
              <w:t>32,000</w:t>
            </w:r>
          </w:p>
        </w:tc>
      </w:tr>
      <w:tr w:rsidR="00515F70" w:rsidRPr="00430A79" w14:paraId="15690318" w14:textId="77777777" w:rsidTr="00D03949">
        <w:trPr>
          <w:trHeight w:val="188"/>
        </w:trPr>
        <w:tc>
          <w:tcPr>
            <w:tcW w:w="1441" w:type="pct"/>
            <w:tcMar>
              <w:left w:w="72" w:type="dxa"/>
              <w:right w:w="72" w:type="dxa"/>
            </w:tcMar>
          </w:tcPr>
          <w:p w14:paraId="72F8209A" w14:textId="572459A8" w:rsidR="00515F70" w:rsidRPr="00430A79" w:rsidRDefault="00515F70" w:rsidP="00515F70">
            <w:pPr>
              <w:rPr>
                <w:rFonts w:ascii="Arial Narrow" w:eastAsia="Calibri" w:hAnsi="Arial Narrow" w:cs="Calibri"/>
                <w:kern w:val="2"/>
                <w:sz w:val="20"/>
                <w:szCs w:val="20"/>
                <w14:ligatures w14:val="standardContextual"/>
              </w:rPr>
            </w:pPr>
            <w:r w:rsidRPr="00BE2534">
              <w:rPr>
                <w:rFonts w:ascii="Arial Narrow" w:eastAsia="Calibri" w:hAnsi="Arial Narrow" w:cs="Calibri"/>
                <w:kern w:val="2"/>
                <w:sz w:val="20"/>
                <w:szCs w:val="20"/>
                <w:lang w:val="sq-AL"/>
                <w14:ligatures w14:val="standardContextual"/>
              </w:rPr>
              <w:t>Kontejnerë skip 20 m³</w:t>
            </w:r>
            <w:r w:rsidRPr="00BE2534">
              <w:rPr>
                <w:rFonts w:ascii="Arial Narrow" w:eastAsia="Calibri" w:hAnsi="Arial Narrow" w:cs="Calibri"/>
                <w:spacing w:val="16"/>
                <w:kern w:val="2"/>
                <w:position w:val="6"/>
                <w:sz w:val="20"/>
                <w:szCs w:val="20"/>
                <w:lang w:val="sq-AL"/>
                <w14:ligatures w14:val="standardContextual"/>
              </w:rPr>
              <w:t xml:space="preserve"> </w:t>
            </w:r>
          </w:p>
        </w:tc>
        <w:tc>
          <w:tcPr>
            <w:tcW w:w="1132" w:type="pct"/>
            <w:tcMar>
              <w:left w:w="72" w:type="dxa"/>
              <w:right w:w="72" w:type="dxa"/>
            </w:tcMar>
          </w:tcPr>
          <w:p w14:paraId="3407B62C" w14:textId="5CFADE42" w:rsidR="00515F70" w:rsidRPr="00430A79" w:rsidRDefault="00515F70" w:rsidP="00515F70">
            <w:pPr>
              <w:rPr>
                <w:rFonts w:ascii="Arial Narrow" w:eastAsia="Calibri" w:hAnsi="Arial Narrow" w:cs="Calibri"/>
                <w:spacing w:val="-2"/>
                <w:kern w:val="2"/>
                <w:sz w:val="20"/>
                <w:szCs w:val="20"/>
                <w14:ligatures w14:val="standardContextual"/>
              </w:rPr>
            </w:pPr>
            <w:r w:rsidRPr="00BE2534">
              <w:rPr>
                <w:rFonts w:ascii="Arial Narrow" w:eastAsia="Calibri" w:hAnsi="Arial Narrow" w:cs="Calibri"/>
                <w:spacing w:val="-2"/>
                <w:kern w:val="2"/>
                <w:sz w:val="20"/>
                <w:szCs w:val="20"/>
                <w:lang w:val="sq-AL"/>
                <w14:ligatures w14:val="standardContextual"/>
              </w:rPr>
              <w:t>EUR/kontejner</w:t>
            </w:r>
          </w:p>
        </w:tc>
        <w:tc>
          <w:tcPr>
            <w:tcW w:w="868" w:type="pct"/>
            <w:tcMar>
              <w:left w:w="72" w:type="dxa"/>
              <w:right w:w="72" w:type="dxa"/>
            </w:tcMar>
          </w:tcPr>
          <w:p w14:paraId="26E48423" w14:textId="77777777" w:rsidR="00515F70" w:rsidRPr="00430A79" w:rsidRDefault="00515F70" w:rsidP="00515F70">
            <w:pPr>
              <w:jc w:val="center"/>
              <w:rPr>
                <w:rFonts w:ascii="Arial Narrow" w:eastAsia="Calibri" w:hAnsi="Arial Narrow" w:cs="Calibri"/>
                <w:kern w:val="2"/>
                <w:sz w:val="20"/>
                <w:szCs w:val="20"/>
                <w14:ligatures w14:val="standardContextual"/>
              </w:rPr>
            </w:pPr>
            <w:r w:rsidRPr="00430A79">
              <w:rPr>
                <w:rFonts w:ascii="Arial Narrow" w:eastAsia="Calibri" w:hAnsi="Arial Narrow" w:cs="Calibri"/>
                <w:spacing w:val="-2"/>
                <w:kern w:val="2"/>
                <w:sz w:val="20"/>
                <w:szCs w:val="20"/>
                <w14:ligatures w14:val="standardContextual"/>
              </w:rPr>
              <w:t>10,000</w:t>
            </w:r>
          </w:p>
        </w:tc>
        <w:tc>
          <w:tcPr>
            <w:tcW w:w="750" w:type="pct"/>
            <w:tcBorders>
              <w:right w:val="single" w:sz="4" w:space="0" w:color="auto"/>
            </w:tcBorders>
            <w:tcMar>
              <w:left w:w="72" w:type="dxa"/>
              <w:right w:w="72" w:type="dxa"/>
            </w:tcMar>
          </w:tcPr>
          <w:p w14:paraId="27ADF780" w14:textId="77777777" w:rsidR="00515F70" w:rsidRPr="00430A79" w:rsidRDefault="00515F70" w:rsidP="00515F70">
            <w:pPr>
              <w:jc w:val="center"/>
              <w:rPr>
                <w:rFonts w:ascii="Arial Narrow" w:eastAsia="Calibri" w:hAnsi="Arial Narrow" w:cs="Calibri"/>
                <w:kern w:val="2"/>
                <w:sz w:val="20"/>
                <w:szCs w:val="20"/>
                <w14:ligatures w14:val="standardContextual"/>
              </w:rPr>
            </w:pPr>
            <w:r w:rsidRPr="00430A79">
              <w:rPr>
                <w:rFonts w:ascii="Arial Narrow" w:eastAsia="Calibri" w:hAnsi="Arial Narrow" w:cs="Calibri"/>
                <w:spacing w:val="-5"/>
                <w:kern w:val="2"/>
                <w:sz w:val="20"/>
                <w:szCs w:val="20"/>
                <w14:ligatures w14:val="standardContextual"/>
              </w:rPr>
              <w:t>6</w:t>
            </w:r>
          </w:p>
        </w:tc>
        <w:tc>
          <w:tcPr>
            <w:tcW w:w="809" w:type="pct"/>
            <w:tcBorders>
              <w:top w:val="single" w:sz="4" w:space="0" w:color="auto"/>
              <w:left w:val="single" w:sz="4" w:space="0" w:color="auto"/>
              <w:bottom w:val="single" w:sz="4" w:space="0" w:color="auto"/>
              <w:right w:val="single" w:sz="4" w:space="0" w:color="auto"/>
            </w:tcBorders>
            <w:shd w:val="clear" w:color="auto" w:fill="auto"/>
            <w:tcMar>
              <w:left w:w="72" w:type="dxa"/>
              <w:right w:w="72" w:type="dxa"/>
            </w:tcMar>
            <w:vAlign w:val="center"/>
          </w:tcPr>
          <w:p w14:paraId="57FCB999" w14:textId="77777777" w:rsidR="00515F70" w:rsidRPr="00430A79" w:rsidRDefault="00515F70" w:rsidP="00515F70">
            <w:pPr>
              <w:jc w:val="right"/>
              <w:rPr>
                <w:rFonts w:ascii="Arial Narrow" w:eastAsia="Calibri" w:hAnsi="Arial Narrow" w:cs="Calibri"/>
                <w:kern w:val="2"/>
                <w:sz w:val="20"/>
                <w:szCs w:val="20"/>
                <w14:ligatures w14:val="standardContextual"/>
              </w:rPr>
            </w:pPr>
            <w:r w:rsidRPr="00430A79">
              <w:rPr>
                <w:rFonts w:ascii="Arial Narrow" w:hAnsi="Arial Narrow"/>
                <w:color w:val="000000"/>
                <w:sz w:val="20"/>
                <w:szCs w:val="20"/>
              </w:rPr>
              <w:t>60,000</w:t>
            </w:r>
          </w:p>
        </w:tc>
      </w:tr>
      <w:tr w:rsidR="00515F70" w:rsidRPr="00430A79" w14:paraId="035D46D7" w14:textId="77777777" w:rsidTr="00D03949">
        <w:trPr>
          <w:trHeight w:val="224"/>
        </w:trPr>
        <w:tc>
          <w:tcPr>
            <w:tcW w:w="1441" w:type="pct"/>
            <w:tcMar>
              <w:left w:w="72" w:type="dxa"/>
              <w:right w:w="72" w:type="dxa"/>
            </w:tcMar>
          </w:tcPr>
          <w:p w14:paraId="78A86165" w14:textId="44E7CE45" w:rsidR="00515F70" w:rsidRPr="00430A79" w:rsidRDefault="00515F70" w:rsidP="00515F70">
            <w:pPr>
              <w:rPr>
                <w:rFonts w:ascii="Arial Narrow" w:eastAsia="Calibri" w:hAnsi="Arial Narrow" w:cs="Calibri"/>
                <w:kern w:val="2"/>
                <w:sz w:val="20"/>
                <w:szCs w:val="20"/>
                <w14:ligatures w14:val="standardContextual"/>
              </w:rPr>
            </w:pPr>
            <w:r w:rsidRPr="00BE2534">
              <w:rPr>
                <w:rFonts w:ascii="Arial Narrow" w:eastAsia="Calibri" w:hAnsi="Arial Narrow" w:cs="Calibri"/>
                <w:kern w:val="2"/>
                <w:sz w:val="20"/>
                <w:szCs w:val="20"/>
                <w:lang w:val="sq-AL"/>
                <w14:ligatures w14:val="standardContextual"/>
              </w:rPr>
              <w:t>Ngarkues me rrëshqitje</w:t>
            </w:r>
          </w:p>
        </w:tc>
        <w:tc>
          <w:tcPr>
            <w:tcW w:w="1132" w:type="pct"/>
            <w:tcMar>
              <w:left w:w="72" w:type="dxa"/>
              <w:right w:w="72" w:type="dxa"/>
            </w:tcMar>
          </w:tcPr>
          <w:p w14:paraId="6EAD49F0" w14:textId="2EBF338B" w:rsidR="00515F70" w:rsidRPr="00430A79" w:rsidRDefault="00515F70" w:rsidP="00515F70">
            <w:pPr>
              <w:rPr>
                <w:rFonts w:ascii="Arial Narrow" w:eastAsia="Calibri" w:hAnsi="Arial Narrow" w:cs="Calibri"/>
                <w:spacing w:val="-2"/>
                <w:kern w:val="2"/>
                <w:sz w:val="20"/>
                <w:szCs w:val="20"/>
                <w14:ligatures w14:val="standardContextual"/>
              </w:rPr>
            </w:pPr>
            <w:r w:rsidRPr="00BE2534">
              <w:rPr>
                <w:rFonts w:ascii="Arial Narrow" w:eastAsia="Calibri" w:hAnsi="Arial Narrow" w:cs="Calibri"/>
                <w:spacing w:val="-2"/>
                <w:kern w:val="2"/>
                <w:sz w:val="20"/>
                <w:szCs w:val="20"/>
                <w:lang w:val="sq-AL"/>
                <w14:ligatures w14:val="standardContextual"/>
              </w:rPr>
              <w:t>EUR/ngarkues</w:t>
            </w:r>
          </w:p>
        </w:tc>
        <w:tc>
          <w:tcPr>
            <w:tcW w:w="868" w:type="pct"/>
            <w:tcMar>
              <w:left w:w="72" w:type="dxa"/>
              <w:right w:w="72" w:type="dxa"/>
            </w:tcMar>
          </w:tcPr>
          <w:p w14:paraId="08FA6BE9" w14:textId="77777777" w:rsidR="00515F70" w:rsidRPr="00430A79" w:rsidRDefault="00515F70" w:rsidP="00515F70">
            <w:pPr>
              <w:jc w:val="center"/>
              <w:rPr>
                <w:rFonts w:ascii="Arial Narrow" w:eastAsia="Calibri" w:hAnsi="Arial Narrow" w:cs="Calibri"/>
                <w:spacing w:val="-2"/>
                <w:kern w:val="2"/>
                <w:sz w:val="20"/>
                <w:szCs w:val="20"/>
                <w14:ligatures w14:val="standardContextual"/>
              </w:rPr>
            </w:pPr>
            <w:r w:rsidRPr="00430A79">
              <w:rPr>
                <w:rFonts w:ascii="Arial Narrow" w:eastAsia="Calibri" w:hAnsi="Arial Narrow" w:cs="Calibri"/>
                <w:spacing w:val="-2"/>
                <w:kern w:val="2"/>
                <w:sz w:val="20"/>
                <w:szCs w:val="20"/>
                <w14:ligatures w14:val="standardContextual"/>
              </w:rPr>
              <w:t>40,000</w:t>
            </w:r>
          </w:p>
        </w:tc>
        <w:tc>
          <w:tcPr>
            <w:tcW w:w="750" w:type="pct"/>
            <w:tcBorders>
              <w:right w:val="single" w:sz="4" w:space="0" w:color="auto"/>
            </w:tcBorders>
            <w:tcMar>
              <w:left w:w="72" w:type="dxa"/>
              <w:right w:w="72" w:type="dxa"/>
            </w:tcMar>
          </w:tcPr>
          <w:p w14:paraId="0A0A7688" w14:textId="77777777" w:rsidR="00515F70" w:rsidRPr="00430A79" w:rsidRDefault="00515F70" w:rsidP="00515F70">
            <w:pPr>
              <w:jc w:val="center"/>
              <w:rPr>
                <w:rFonts w:ascii="Arial Narrow" w:eastAsia="Calibri" w:hAnsi="Arial Narrow" w:cs="Calibri"/>
                <w:spacing w:val="-5"/>
                <w:kern w:val="2"/>
                <w:sz w:val="20"/>
                <w:szCs w:val="20"/>
                <w:lang w:val="bg-BG"/>
                <w14:ligatures w14:val="standardContextual"/>
              </w:rPr>
            </w:pPr>
            <w:r w:rsidRPr="00430A79">
              <w:rPr>
                <w:rFonts w:ascii="Arial Narrow" w:eastAsia="Calibri" w:hAnsi="Arial Narrow" w:cs="Calibri"/>
                <w:spacing w:val="-5"/>
                <w:kern w:val="2"/>
                <w:sz w:val="20"/>
                <w:szCs w:val="20"/>
                <w:lang w:val="bg-BG"/>
                <w14:ligatures w14:val="standardContextual"/>
              </w:rPr>
              <w:t>3</w:t>
            </w:r>
          </w:p>
        </w:tc>
        <w:tc>
          <w:tcPr>
            <w:tcW w:w="809" w:type="pct"/>
            <w:tcBorders>
              <w:top w:val="single" w:sz="4" w:space="0" w:color="auto"/>
              <w:left w:val="single" w:sz="4" w:space="0" w:color="auto"/>
              <w:bottom w:val="single" w:sz="4" w:space="0" w:color="auto"/>
              <w:right w:val="single" w:sz="4" w:space="0" w:color="auto"/>
            </w:tcBorders>
            <w:shd w:val="clear" w:color="auto" w:fill="auto"/>
            <w:tcMar>
              <w:left w:w="72" w:type="dxa"/>
              <w:right w:w="72" w:type="dxa"/>
            </w:tcMar>
            <w:vAlign w:val="center"/>
          </w:tcPr>
          <w:p w14:paraId="4E71EB50" w14:textId="77777777" w:rsidR="00515F70" w:rsidRPr="00430A79" w:rsidRDefault="00515F70" w:rsidP="00515F70">
            <w:pPr>
              <w:jc w:val="right"/>
              <w:rPr>
                <w:rFonts w:ascii="Arial Narrow" w:eastAsia="Calibri" w:hAnsi="Arial Narrow" w:cs="Calibri"/>
                <w:kern w:val="2"/>
                <w:sz w:val="20"/>
                <w:szCs w:val="20"/>
                <w14:ligatures w14:val="standardContextual"/>
              </w:rPr>
            </w:pPr>
            <w:r w:rsidRPr="00430A79">
              <w:rPr>
                <w:rFonts w:ascii="Arial Narrow" w:hAnsi="Arial Narrow"/>
                <w:color w:val="000000"/>
                <w:sz w:val="20"/>
                <w:szCs w:val="20"/>
              </w:rPr>
              <w:t>120,000</w:t>
            </w:r>
          </w:p>
        </w:tc>
      </w:tr>
      <w:tr w:rsidR="00515F70" w:rsidRPr="00430A79" w14:paraId="790D9EB5" w14:textId="77777777" w:rsidTr="00D03949">
        <w:trPr>
          <w:trHeight w:val="53"/>
        </w:trPr>
        <w:tc>
          <w:tcPr>
            <w:tcW w:w="1441" w:type="pct"/>
            <w:tcMar>
              <w:left w:w="72" w:type="dxa"/>
              <w:right w:w="72" w:type="dxa"/>
            </w:tcMar>
          </w:tcPr>
          <w:p w14:paraId="2C73535D" w14:textId="539BFAE6" w:rsidR="00515F70" w:rsidRPr="00430A79" w:rsidRDefault="00515F70" w:rsidP="00515F70">
            <w:pPr>
              <w:rPr>
                <w:rFonts w:ascii="Arial Narrow" w:eastAsia="Calibri" w:hAnsi="Arial Narrow" w:cs="Calibri"/>
                <w:b/>
                <w:bCs/>
                <w:kern w:val="2"/>
                <w:sz w:val="20"/>
                <w:szCs w:val="20"/>
                <w14:ligatures w14:val="standardContextual"/>
              </w:rPr>
            </w:pPr>
            <w:r w:rsidRPr="00BE2534">
              <w:rPr>
                <w:rFonts w:ascii="Arial Narrow" w:eastAsia="Calibri" w:hAnsi="Arial Narrow" w:cs="Calibri"/>
                <w:b/>
                <w:bCs/>
                <w:kern w:val="2"/>
                <w:sz w:val="20"/>
                <w:szCs w:val="20"/>
                <w:lang w:val="sq-AL"/>
                <w14:ligatures w14:val="standardContextual"/>
              </w:rPr>
              <w:t>Impiantet e trajtimit të MNRr-ve</w:t>
            </w:r>
          </w:p>
        </w:tc>
        <w:tc>
          <w:tcPr>
            <w:tcW w:w="1132" w:type="pct"/>
            <w:tcMar>
              <w:left w:w="72" w:type="dxa"/>
              <w:right w:w="72" w:type="dxa"/>
            </w:tcMar>
          </w:tcPr>
          <w:p w14:paraId="5F51E589" w14:textId="77777777" w:rsidR="00515F70" w:rsidRPr="00430A79" w:rsidRDefault="00515F70" w:rsidP="00515F70">
            <w:pPr>
              <w:rPr>
                <w:rFonts w:ascii="Arial Narrow" w:eastAsia="Calibri" w:hAnsi="Arial Narrow" w:cs="Calibri"/>
                <w:b/>
                <w:bCs/>
                <w:spacing w:val="-2"/>
                <w:kern w:val="2"/>
                <w:sz w:val="20"/>
                <w:szCs w:val="20"/>
                <w14:ligatures w14:val="standardContextual"/>
              </w:rPr>
            </w:pPr>
          </w:p>
        </w:tc>
        <w:tc>
          <w:tcPr>
            <w:tcW w:w="868" w:type="pct"/>
            <w:tcMar>
              <w:left w:w="72" w:type="dxa"/>
              <w:right w:w="72" w:type="dxa"/>
            </w:tcMar>
          </w:tcPr>
          <w:p w14:paraId="63DF8EEF" w14:textId="77777777" w:rsidR="00515F70" w:rsidRPr="00430A79" w:rsidRDefault="00515F70" w:rsidP="00515F70">
            <w:pPr>
              <w:jc w:val="center"/>
              <w:rPr>
                <w:rFonts w:ascii="Arial Narrow" w:eastAsia="Calibri" w:hAnsi="Arial Narrow" w:cs="Calibri"/>
                <w:b/>
                <w:bCs/>
                <w:spacing w:val="-2"/>
                <w:kern w:val="2"/>
                <w:sz w:val="20"/>
                <w:szCs w:val="20"/>
                <w14:ligatures w14:val="standardContextual"/>
              </w:rPr>
            </w:pPr>
          </w:p>
        </w:tc>
        <w:tc>
          <w:tcPr>
            <w:tcW w:w="750" w:type="pct"/>
            <w:tcBorders>
              <w:right w:val="single" w:sz="4" w:space="0" w:color="auto"/>
            </w:tcBorders>
            <w:tcMar>
              <w:left w:w="72" w:type="dxa"/>
              <w:right w:w="72" w:type="dxa"/>
            </w:tcMar>
          </w:tcPr>
          <w:p w14:paraId="127B62AF" w14:textId="77777777" w:rsidR="00515F70" w:rsidRPr="00430A79" w:rsidRDefault="00515F70" w:rsidP="00515F70">
            <w:pPr>
              <w:jc w:val="center"/>
              <w:rPr>
                <w:rFonts w:ascii="Arial Narrow" w:eastAsia="Calibri" w:hAnsi="Arial Narrow" w:cs="Calibri"/>
                <w:b/>
                <w:bCs/>
                <w:spacing w:val="-5"/>
                <w:kern w:val="2"/>
                <w:sz w:val="20"/>
                <w:szCs w:val="20"/>
                <w14:ligatures w14:val="standardContextual"/>
              </w:rPr>
            </w:pPr>
          </w:p>
        </w:tc>
        <w:tc>
          <w:tcPr>
            <w:tcW w:w="809" w:type="pct"/>
            <w:tcBorders>
              <w:top w:val="single" w:sz="4" w:space="0" w:color="auto"/>
              <w:left w:val="single" w:sz="4" w:space="0" w:color="auto"/>
              <w:bottom w:val="single" w:sz="4" w:space="0" w:color="auto"/>
              <w:right w:val="single" w:sz="4" w:space="0" w:color="auto"/>
            </w:tcBorders>
            <w:shd w:val="clear" w:color="auto" w:fill="auto"/>
            <w:tcMar>
              <w:left w:w="72" w:type="dxa"/>
              <w:right w:w="72" w:type="dxa"/>
            </w:tcMar>
            <w:vAlign w:val="center"/>
          </w:tcPr>
          <w:p w14:paraId="228590B8" w14:textId="77777777" w:rsidR="00515F70" w:rsidRPr="00430A79" w:rsidRDefault="00515F70" w:rsidP="00515F70">
            <w:pPr>
              <w:jc w:val="right"/>
              <w:rPr>
                <w:rFonts w:ascii="Arial Narrow" w:eastAsia="Calibri" w:hAnsi="Arial Narrow" w:cs="Calibri"/>
                <w:b/>
                <w:bCs/>
                <w:kern w:val="2"/>
                <w:sz w:val="20"/>
                <w:szCs w:val="20"/>
                <w14:ligatures w14:val="standardContextual"/>
              </w:rPr>
            </w:pPr>
            <w:r w:rsidRPr="00430A79">
              <w:rPr>
                <w:rFonts w:ascii="Arial Narrow" w:hAnsi="Arial Narrow"/>
                <w:b/>
                <w:bCs/>
                <w:color w:val="000000"/>
                <w:sz w:val="20"/>
                <w:szCs w:val="20"/>
              </w:rPr>
              <w:t>1,210,000</w:t>
            </w:r>
          </w:p>
        </w:tc>
      </w:tr>
      <w:tr w:rsidR="00515F70" w:rsidRPr="00430A79" w14:paraId="5F3BF629" w14:textId="77777777" w:rsidTr="00D03949">
        <w:trPr>
          <w:trHeight w:val="53"/>
        </w:trPr>
        <w:tc>
          <w:tcPr>
            <w:tcW w:w="1441" w:type="pct"/>
            <w:tcMar>
              <w:left w:w="72" w:type="dxa"/>
              <w:right w:w="72" w:type="dxa"/>
            </w:tcMar>
          </w:tcPr>
          <w:p w14:paraId="1A8E8AFB" w14:textId="570D8C53" w:rsidR="00515F70" w:rsidRPr="00430A79" w:rsidRDefault="00515F70" w:rsidP="00515F70">
            <w:pPr>
              <w:rPr>
                <w:rFonts w:ascii="Arial Narrow" w:eastAsia="Calibri" w:hAnsi="Arial Narrow" w:cs="Calibri"/>
                <w:kern w:val="2"/>
                <w:sz w:val="20"/>
                <w:szCs w:val="20"/>
                <w14:ligatures w14:val="standardContextual"/>
              </w:rPr>
            </w:pPr>
            <w:r w:rsidRPr="00BE2534">
              <w:rPr>
                <w:rFonts w:ascii="Arial Narrow" w:eastAsia="Calibri" w:hAnsi="Arial Narrow" w:cs="Calibri"/>
                <w:kern w:val="2"/>
                <w:sz w:val="20"/>
                <w:szCs w:val="20"/>
                <w:lang w:val="sq-AL"/>
                <w14:ligatures w14:val="standardContextual"/>
              </w:rPr>
              <w:t>Thërmues mobil</w:t>
            </w:r>
          </w:p>
        </w:tc>
        <w:tc>
          <w:tcPr>
            <w:tcW w:w="1132" w:type="pct"/>
            <w:tcMar>
              <w:left w:w="72" w:type="dxa"/>
              <w:right w:w="72" w:type="dxa"/>
            </w:tcMar>
          </w:tcPr>
          <w:p w14:paraId="69767129" w14:textId="5D5513EB" w:rsidR="00515F70" w:rsidRPr="00430A79" w:rsidRDefault="00515F70" w:rsidP="00515F70">
            <w:pPr>
              <w:rPr>
                <w:rFonts w:ascii="Arial Narrow" w:eastAsia="Calibri" w:hAnsi="Arial Narrow" w:cs="Calibri"/>
                <w:spacing w:val="-2"/>
                <w:kern w:val="2"/>
                <w:sz w:val="20"/>
                <w:szCs w:val="20"/>
                <w14:ligatures w14:val="standardContextual"/>
              </w:rPr>
            </w:pPr>
            <w:r w:rsidRPr="00BE2534">
              <w:rPr>
                <w:rFonts w:ascii="Arial Narrow" w:eastAsia="Calibri" w:hAnsi="Arial Narrow" w:cs="Calibri"/>
                <w:spacing w:val="-2"/>
                <w:kern w:val="2"/>
                <w:sz w:val="20"/>
                <w:szCs w:val="20"/>
                <w:lang w:val="sq-AL"/>
                <w14:ligatures w14:val="standardContextual"/>
              </w:rPr>
              <w:t>EUR/thërmues</w:t>
            </w:r>
          </w:p>
        </w:tc>
        <w:tc>
          <w:tcPr>
            <w:tcW w:w="868" w:type="pct"/>
            <w:tcMar>
              <w:left w:w="72" w:type="dxa"/>
              <w:right w:w="72" w:type="dxa"/>
            </w:tcMar>
          </w:tcPr>
          <w:p w14:paraId="7FE011A6" w14:textId="77777777" w:rsidR="00515F70" w:rsidRPr="00430A79" w:rsidRDefault="00515F70" w:rsidP="00515F70">
            <w:pPr>
              <w:jc w:val="center"/>
              <w:rPr>
                <w:rFonts w:ascii="Arial Narrow" w:eastAsia="Calibri" w:hAnsi="Arial Narrow" w:cs="Calibri"/>
                <w:spacing w:val="-2"/>
                <w:kern w:val="2"/>
                <w:sz w:val="20"/>
                <w:szCs w:val="20"/>
                <w14:ligatures w14:val="standardContextual"/>
              </w:rPr>
            </w:pPr>
            <w:r w:rsidRPr="00430A79">
              <w:rPr>
                <w:rFonts w:ascii="Arial Narrow" w:eastAsia="Calibri" w:hAnsi="Arial Narrow" w:cs="Calibri"/>
                <w:spacing w:val="-2"/>
                <w:kern w:val="2"/>
                <w:sz w:val="20"/>
                <w:szCs w:val="20"/>
                <w14:ligatures w14:val="standardContextual"/>
              </w:rPr>
              <w:t>200,000</w:t>
            </w:r>
          </w:p>
        </w:tc>
        <w:tc>
          <w:tcPr>
            <w:tcW w:w="750" w:type="pct"/>
            <w:tcBorders>
              <w:right w:val="single" w:sz="4" w:space="0" w:color="auto"/>
            </w:tcBorders>
            <w:tcMar>
              <w:left w:w="72" w:type="dxa"/>
              <w:right w:w="72" w:type="dxa"/>
            </w:tcMar>
          </w:tcPr>
          <w:p w14:paraId="521212C0" w14:textId="77777777" w:rsidR="00515F70" w:rsidRPr="00430A79" w:rsidRDefault="00515F70" w:rsidP="00515F70">
            <w:pPr>
              <w:jc w:val="center"/>
              <w:rPr>
                <w:rFonts w:ascii="Arial Narrow" w:eastAsia="Calibri" w:hAnsi="Arial Narrow" w:cs="Calibri"/>
                <w:spacing w:val="-5"/>
                <w:kern w:val="2"/>
                <w:sz w:val="20"/>
                <w:szCs w:val="20"/>
                <w14:ligatures w14:val="standardContextual"/>
              </w:rPr>
            </w:pPr>
            <w:r w:rsidRPr="00430A79">
              <w:rPr>
                <w:rFonts w:ascii="Arial Narrow" w:eastAsia="Calibri" w:hAnsi="Arial Narrow" w:cs="Calibri"/>
                <w:spacing w:val="-5"/>
                <w:kern w:val="2"/>
                <w:sz w:val="20"/>
                <w:szCs w:val="20"/>
                <w14:ligatures w14:val="standardContextual"/>
              </w:rPr>
              <w:t>1</w:t>
            </w:r>
          </w:p>
        </w:tc>
        <w:tc>
          <w:tcPr>
            <w:tcW w:w="809" w:type="pct"/>
            <w:tcBorders>
              <w:top w:val="single" w:sz="4" w:space="0" w:color="auto"/>
              <w:left w:val="single" w:sz="4" w:space="0" w:color="auto"/>
              <w:bottom w:val="single" w:sz="4" w:space="0" w:color="auto"/>
              <w:right w:val="single" w:sz="4" w:space="0" w:color="auto"/>
            </w:tcBorders>
            <w:shd w:val="clear" w:color="auto" w:fill="auto"/>
            <w:tcMar>
              <w:left w:w="72" w:type="dxa"/>
              <w:right w:w="72" w:type="dxa"/>
            </w:tcMar>
            <w:vAlign w:val="center"/>
          </w:tcPr>
          <w:p w14:paraId="1A663CEC" w14:textId="77777777" w:rsidR="00515F70" w:rsidRPr="00430A79" w:rsidRDefault="00515F70" w:rsidP="00515F70">
            <w:pPr>
              <w:jc w:val="right"/>
              <w:rPr>
                <w:rFonts w:ascii="Arial Narrow" w:eastAsia="Calibri" w:hAnsi="Arial Narrow" w:cs="Calibri"/>
                <w:kern w:val="2"/>
                <w:sz w:val="20"/>
                <w:szCs w:val="20"/>
                <w14:ligatures w14:val="standardContextual"/>
              </w:rPr>
            </w:pPr>
            <w:r w:rsidRPr="00430A79">
              <w:rPr>
                <w:rFonts w:ascii="Arial Narrow" w:hAnsi="Arial Narrow"/>
                <w:color w:val="000000"/>
                <w:sz w:val="20"/>
                <w:szCs w:val="20"/>
              </w:rPr>
              <w:t>200,000</w:t>
            </w:r>
          </w:p>
        </w:tc>
      </w:tr>
      <w:tr w:rsidR="00515F70" w:rsidRPr="00430A79" w14:paraId="2B7375F4" w14:textId="77777777" w:rsidTr="00D03949">
        <w:trPr>
          <w:trHeight w:val="53"/>
        </w:trPr>
        <w:tc>
          <w:tcPr>
            <w:tcW w:w="1441" w:type="pct"/>
            <w:tcMar>
              <w:left w:w="72" w:type="dxa"/>
              <w:right w:w="72" w:type="dxa"/>
            </w:tcMar>
          </w:tcPr>
          <w:p w14:paraId="1A5F673A" w14:textId="0368053E" w:rsidR="00515F70" w:rsidRPr="00430A79" w:rsidRDefault="00515F70" w:rsidP="00515F70">
            <w:pPr>
              <w:rPr>
                <w:rFonts w:ascii="Arial Narrow" w:eastAsia="Calibri" w:hAnsi="Arial Narrow" w:cs="Calibri"/>
                <w:kern w:val="2"/>
                <w:sz w:val="20"/>
                <w:szCs w:val="20"/>
                <w14:ligatures w14:val="standardContextual"/>
              </w:rPr>
            </w:pPr>
            <w:r w:rsidRPr="00BE2534">
              <w:rPr>
                <w:rFonts w:ascii="Arial Narrow" w:eastAsia="Calibri" w:hAnsi="Arial Narrow" w:cs="Calibri"/>
                <w:kern w:val="2"/>
                <w:sz w:val="20"/>
                <w:szCs w:val="20"/>
                <w:lang w:val="sq-AL"/>
                <w14:ligatures w14:val="standardContextual"/>
              </w:rPr>
              <w:t>Objekti i riciklimit</w:t>
            </w:r>
          </w:p>
        </w:tc>
        <w:tc>
          <w:tcPr>
            <w:tcW w:w="1132" w:type="pct"/>
            <w:tcMar>
              <w:left w:w="72" w:type="dxa"/>
              <w:right w:w="72" w:type="dxa"/>
            </w:tcMar>
          </w:tcPr>
          <w:p w14:paraId="5907D7DD" w14:textId="616586FA" w:rsidR="00515F70" w:rsidRPr="00430A79" w:rsidRDefault="00515F70" w:rsidP="00515F70">
            <w:pPr>
              <w:rPr>
                <w:rFonts w:ascii="Arial Narrow" w:eastAsia="Calibri" w:hAnsi="Arial Narrow" w:cs="Calibri"/>
                <w:spacing w:val="-2"/>
                <w:kern w:val="2"/>
                <w:sz w:val="20"/>
                <w:szCs w:val="20"/>
                <w:lang w:val="bg-BG"/>
                <w14:ligatures w14:val="standardContextual"/>
              </w:rPr>
            </w:pPr>
            <w:r w:rsidRPr="00BE2534">
              <w:rPr>
                <w:rFonts w:ascii="Arial Narrow" w:eastAsia="Calibri" w:hAnsi="Arial Narrow" w:cs="Calibri"/>
                <w:spacing w:val="-2"/>
                <w:kern w:val="2"/>
                <w:sz w:val="20"/>
                <w:szCs w:val="20"/>
                <w:lang w:val="sq-AL"/>
                <w14:ligatures w14:val="standardContextual"/>
              </w:rPr>
              <w:t>Punime</w:t>
            </w:r>
          </w:p>
        </w:tc>
        <w:tc>
          <w:tcPr>
            <w:tcW w:w="868" w:type="pct"/>
            <w:tcMar>
              <w:left w:w="72" w:type="dxa"/>
              <w:right w:w="72" w:type="dxa"/>
            </w:tcMar>
          </w:tcPr>
          <w:p w14:paraId="1CF1112E" w14:textId="77777777" w:rsidR="00515F70" w:rsidRPr="00430A79" w:rsidRDefault="00515F70" w:rsidP="00515F70">
            <w:pPr>
              <w:jc w:val="center"/>
              <w:rPr>
                <w:rFonts w:ascii="Arial Narrow" w:eastAsia="Calibri" w:hAnsi="Arial Narrow" w:cs="Calibri"/>
                <w:spacing w:val="-2"/>
                <w:kern w:val="2"/>
                <w:sz w:val="20"/>
                <w:szCs w:val="20"/>
                <w14:ligatures w14:val="standardContextual"/>
              </w:rPr>
            </w:pPr>
            <w:r w:rsidRPr="00430A79">
              <w:rPr>
                <w:rFonts w:ascii="Arial Narrow" w:eastAsia="Calibri" w:hAnsi="Arial Narrow" w:cs="Calibri"/>
                <w:spacing w:val="-2"/>
                <w:kern w:val="2"/>
                <w:sz w:val="20"/>
                <w:szCs w:val="20"/>
                <w14:ligatures w14:val="standardContextual"/>
              </w:rPr>
              <w:t>1,010,000</w:t>
            </w:r>
          </w:p>
        </w:tc>
        <w:tc>
          <w:tcPr>
            <w:tcW w:w="750" w:type="pct"/>
            <w:tcBorders>
              <w:right w:val="single" w:sz="4" w:space="0" w:color="auto"/>
            </w:tcBorders>
            <w:tcMar>
              <w:left w:w="72" w:type="dxa"/>
              <w:right w:w="72" w:type="dxa"/>
            </w:tcMar>
          </w:tcPr>
          <w:p w14:paraId="672CC7A8" w14:textId="77777777" w:rsidR="00515F70" w:rsidRPr="00430A79" w:rsidRDefault="00515F70" w:rsidP="00515F70">
            <w:pPr>
              <w:jc w:val="center"/>
              <w:rPr>
                <w:rFonts w:ascii="Arial Narrow" w:eastAsia="Calibri" w:hAnsi="Arial Narrow" w:cs="Calibri"/>
                <w:spacing w:val="-5"/>
                <w:kern w:val="2"/>
                <w:sz w:val="20"/>
                <w:szCs w:val="20"/>
                <w14:ligatures w14:val="standardContextual"/>
              </w:rPr>
            </w:pPr>
            <w:r w:rsidRPr="00430A79">
              <w:rPr>
                <w:rFonts w:ascii="Arial Narrow" w:eastAsia="Calibri" w:hAnsi="Arial Narrow" w:cs="Calibri"/>
                <w:spacing w:val="-5"/>
                <w:kern w:val="2"/>
                <w:sz w:val="20"/>
                <w:szCs w:val="20"/>
                <w14:ligatures w14:val="standardContextual"/>
              </w:rPr>
              <w:t>1</w:t>
            </w:r>
          </w:p>
        </w:tc>
        <w:tc>
          <w:tcPr>
            <w:tcW w:w="809" w:type="pct"/>
            <w:tcBorders>
              <w:top w:val="single" w:sz="4" w:space="0" w:color="auto"/>
              <w:left w:val="single" w:sz="4" w:space="0" w:color="auto"/>
              <w:bottom w:val="single" w:sz="4" w:space="0" w:color="auto"/>
              <w:right w:val="single" w:sz="4" w:space="0" w:color="auto"/>
            </w:tcBorders>
            <w:shd w:val="clear" w:color="auto" w:fill="auto"/>
            <w:tcMar>
              <w:left w:w="72" w:type="dxa"/>
              <w:right w:w="72" w:type="dxa"/>
            </w:tcMar>
            <w:vAlign w:val="center"/>
          </w:tcPr>
          <w:p w14:paraId="3BF46FD8" w14:textId="77777777" w:rsidR="00515F70" w:rsidRPr="00430A79" w:rsidRDefault="00515F70" w:rsidP="00515F70">
            <w:pPr>
              <w:jc w:val="right"/>
              <w:rPr>
                <w:rFonts w:ascii="Arial Narrow" w:eastAsia="Calibri" w:hAnsi="Arial Narrow" w:cs="Calibri"/>
                <w:kern w:val="2"/>
                <w:sz w:val="20"/>
                <w:szCs w:val="20"/>
                <w14:ligatures w14:val="standardContextual"/>
              </w:rPr>
            </w:pPr>
            <w:r w:rsidRPr="00430A79">
              <w:rPr>
                <w:rFonts w:ascii="Arial Narrow" w:hAnsi="Arial Narrow"/>
                <w:color w:val="000000"/>
                <w:sz w:val="20"/>
                <w:szCs w:val="20"/>
              </w:rPr>
              <w:t>1,010,000</w:t>
            </w:r>
          </w:p>
        </w:tc>
      </w:tr>
      <w:tr w:rsidR="00515F70" w:rsidRPr="00430A79" w14:paraId="078350D6" w14:textId="77777777" w:rsidTr="00D03949">
        <w:trPr>
          <w:trHeight w:val="53"/>
        </w:trPr>
        <w:tc>
          <w:tcPr>
            <w:tcW w:w="1441" w:type="pct"/>
            <w:tcMar>
              <w:left w:w="72" w:type="dxa"/>
              <w:right w:w="72" w:type="dxa"/>
            </w:tcMar>
          </w:tcPr>
          <w:p w14:paraId="0780EC3C" w14:textId="66D09F0D" w:rsidR="00515F70" w:rsidRPr="00430A79" w:rsidRDefault="00515F70" w:rsidP="00515F70">
            <w:pPr>
              <w:rPr>
                <w:rFonts w:ascii="Arial Narrow" w:eastAsia="Calibri" w:hAnsi="Arial Narrow" w:cs="Calibri"/>
                <w:b/>
                <w:bCs/>
                <w:kern w:val="2"/>
                <w:sz w:val="20"/>
                <w:szCs w:val="20"/>
                <w14:ligatures w14:val="standardContextual"/>
              </w:rPr>
            </w:pPr>
            <w:r w:rsidRPr="00BE2534">
              <w:rPr>
                <w:rFonts w:ascii="Arial Narrow" w:eastAsia="Calibri" w:hAnsi="Arial Narrow" w:cs="Calibri"/>
                <w:b/>
                <w:bCs/>
                <w:kern w:val="2"/>
                <w:sz w:val="20"/>
                <w:szCs w:val="20"/>
                <w:lang w:val="sq-AL"/>
                <w14:ligatures w14:val="standardContextual"/>
              </w:rPr>
              <w:t>objekti i deponimit të MNRr-ve</w:t>
            </w:r>
          </w:p>
        </w:tc>
        <w:tc>
          <w:tcPr>
            <w:tcW w:w="1132" w:type="pct"/>
            <w:tcMar>
              <w:left w:w="72" w:type="dxa"/>
              <w:right w:w="72" w:type="dxa"/>
            </w:tcMar>
          </w:tcPr>
          <w:p w14:paraId="77F35E0F" w14:textId="77777777" w:rsidR="00515F70" w:rsidRPr="00430A79" w:rsidRDefault="00515F70" w:rsidP="00515F70">
            <w:pPr>
              <w:rPr>
                <w:rFonts w:ascii="Arial Narrow" w:eastAsia="Calibri" w:hAnsi="Arial Narrow" w:cs="Calibri"/>
                <w:b/>
                <w:bCs/>
                <w:spacing w:val="-2"/>
                <w:kern w:val="2"/>
                <w:sz w:val="20"/>
                <w:szCs w:val="20"/>
                <w14:ligatures w14:val="standardContextual"/>
              </w:rPr>
            </w:pPr>
          </w:p>
        </w:tc>
        <w:tc>
          <w:tcPr>
            <w:tcW w:w="868" w:type="pct"/>
            <w:tcMar>
              <w:left w:w="72" w:type="dxa"/>
              <w:right w:w="72" w:type="dxa"/>
            </w:tcMar>
          </w:tcPr>
          <w:p w14:paraId="4E6C625B" w14:textId="77777777" w:rsidR="00515F70" w:rsidRPr="00430A79" w:rsidRDefault="00515F70" w:rsidP="00515F70">
            <w:pPr>
              <w:jc w:val="center"/>
              <w:rPr>
                <w:rFonts w:ascii="Arial Narrow" w:eastAsia="Calibri" w:hAnsi="Arial Narrow" w:cs="Calibri"/>
                <w:b/>
                <w:bCs/>
                <w:spacing w:val="-2"/>
                <w:kern w:val="2"/>
                <w:sz w:val="20"/>
                <w:szCs w:val="20"/>
                <w14:ligatures w14:val="standardContextual"/>
              </w:rPr>
            </w:pPr>
          </w:p>
        </w:tc>
        <w:tc>
          <w:tcPr>
            <w:tcW w:w="750" w:type="pct"/>
            <w:tcBorders>
              <w:right w:val="single" w:sz="4" w:space="0" w:color="auto"/>
            </w:tcBorders>
            <w:tcMar>
              <w:left w:w="72" w:type="dxa"/>
              <w:right w:w="72" w:type="dxa"/>
            </w:tcMar>
          </w:tcPr>
          <w:p w14:paraId="2F060F1B" w14:textId="77777777" w:rsidR="00515F70" w:rsidRPr="00430A79" w:rsidRDefault="00515F70" w:rsidP="00515F70">
            <w:pPr>
              <w:jc w:val="center"/>
              <w:rPr>
                <w:rFonts w:ascii="Arial Narrow" w:eastAsia="Calibri" w:hAnsi="Arial Narrow" w:cs="Calibri"/>
                <w:b/>
                <w:bCs/>
                <w:spacing w:val="-5"/>
                <w:kern w:val="2"/>
                <w:sz w:val="20"/>
                <w:szCs w:val="20"/>
                <w14:ligatures w14:val="standardContextual"/>
              </w:rPr>
            </w:pPr>
          </w:p>
        </w:tc>
        <w:tc>
          <w:tcPr>
            <w:tcW w:w="809" w:type="pct"/>
            <w:tcBorders>
              <w:top w:val="single" w:sz="4" w:space="0" w:color="auto"/>
              <w:left w:val="single" w:sz="4" w:space="0" w:color="auto"/>
              <w:bottom w:val="single" w:sz="4" w:space="0" w:color="auto"/>
              <w:right w:val="single" w:sz="4" w:space="0" w:color="auto"/>
            </w:tcBorders>
            <w:shd w:val="clear" w:color="auto" w:fill="auto"/>
            <w:tcMar>
              <w:left w:w="72" w:type="dxa"/>
              <w:right w:w="72" w:type="dxa"/>
            </w:tcMar>
            <w:vAlign w:val="center"/>
          </w:tcPr>
          <w:p w14:paraId="167E54AE" w14:textId="77777777" w:rsidR="00515F70" w:rsidRPr="00430A79" w:rsidRDefault="00515F70" w:rsidP="00515F70">
            <w:pPr>
              <w:jc w:val="right"/>
              <w:rPr>
                <w:rFonts w:ascii="Arial Narrow" w:eastAsia="Calibri" w:hAnsi="Arial Narrow" w:cs="Calibri"/>
                <w:b/>
                <w:bCs/>
                <w:kern w:val="2"/>
                <w:sz w:val="20"/>
                <w:szCs w:val="20"/>
                <w14:ligatures w14:val="standardContextual"/>
              </w:rPr>
            </w:pPr>
            <w:r w:rsidRPr="00430A79">
              <w:rPr>
                <w:rFonts w:ascii="Arial Narrow" w:hAnsi="Arial Narrow"/>
                <w:b/>
                <w:bCs/>
                <w:color w:val="000000"/>
                <w:sz w:val="20"/>
                <w:szCs w:val="20"/>
              </w:rPr>
              <w:t>1,500,000</w:t>
            </w:r>
          </w:p>
        </w:tc>
      </w:tr>
      <w:tr w:rsidR="00515F70" w:rsidRPr="00430A79" w14:paraId="0E6CBFF9" w14:textId="77777777" w:rsidTr="00D03949">
        <w:trPr>
          <w:trHeight w:val="53"/>
        </w:trPr>
        <w:tc>
          <w:tcPr>
            <w:tcW w:w="1441" w:type="pct"/>
            <w:tcMar>
              <w:left w:w="72" w:type="dxa"/>
              <w:right w:w="72" w:type="dxa"/>
            </w:tcMar>
          </w:tcPr>
          <w:p w14:paraId="53C0C901" w14:textId="072A5D3D" w:rsidR="00515F70" w:rsidRPr="00430A79" w:rsidRDefault="00515F70" w:rsidP="00515F70">
            <w:pPr>
              <w:rPr>
                <w:rFonts w:ascii="Arial Narrow" w:eastAsia="Calibri" w:hAnsi="Arial Narrow" w:cs="Calibri"/>
                <w:kern w:val="2"/>
                <w:sz w:val="20"/>
                <w:szCs w:val="20"/>
                <w14:ligatures w14:val="standardContextual"/>
              </w:rPr>
            </w:pPr>
            <w:r w:rsidRPr="00BE2534">
              <w:rPr>
                <w:rFonts w:ascii="Arial Narrow" w:eastAsia="Calibri" w:hAnsi="Arial Narrow" w:cs="Calibri"/>
                <w:kern w:val="2"/>
                <w:sz w:val="20"/>
                <w:szCs w:val="20"/>
                <w:lang w:val="sq-AL"/>
                <w14:ligatures w14:val="standardContextual"/>
              </w:rPr>
              <w:t>Objekti për deponim</w:t>
            </w:r>
          </w:p>
        </w:tc>
        <w:tc>
          <w:tcPr>
            <w:tcW w:w="1132" w:type="pct"/>
            <w:tcMar>
              <w:left w:w="72" w:type="dxa"/>
              <w:right w:w="72" w:type="dxa"/>
            </w:tcMar>
          </w:tcPr>
          <w:p w14:paraId="25EC0C19" w14:textId="5F0D7BBB" w:rsidR="00515F70" w:rsidRPr="00430A79" w:rsidRDefault="00515F70" w:rsidP="00515F70">
            <w:pPr>
              <w:rPr>
                <w:rFonts w:ascii="Arial Narrow" w:eastAsia="Calibri" w:hAnsi="Arial Narrow" w:cs="Calibri"/>
                <w:spacing w:val="-2"/>
                <w:kern w:val="2"/>
                <w:sz w:val="20"/>
                <w:szCs w:val="20"/>
                <w14:ligatures w14:val="standardContextual"/>
              </w:rPr>
            </w:pPr>
            <w:r w:rsidRPr="00BE2534">
              <w:rPr>
                <w:rFonts w:ascii="Arial Narrow" w:eastAsia="Calibri" w:hAnsi="Arial Narrow" w:cs="Calibri"/>
                <w:spacing w:val="-2"/>
                <w:kern w:val="2"/>
                <w:sz w:val="20"/>
                <w:szCs w:val="20"/>
                <w:lang w:val="sq-AL"/>
                <w14:ligatures w14:val="standardContextual"/>
              </w:rPr>
              <w:t>Punime</w:t>
            </w:r>
          </w:p>
        </w:tc>
        <w:tc>
          <w:tcPr>
            <w:tcW w:w="868" w:type="pct"/>
            <w:tcMar>
              <w:left w:w="72" w:type="dxa"/>
              <w:right w:w="72" w:type="dxa"/>
            </w:tcMar>
          </w:tcPr>
          <w:p w14:paraId="6B98E1AA" w14:textId="77777777" w:rsidR="00515F70" w:rsidRPr="00430A79" w:rsidRDefault="00515F70" w:rsidP="00515F70">
            <w:pPr>
              <w:jc w:val="center"/>
              <w:rPr>
                <w:rFonts w:ascii="Arial Narrow" w:eastAsia="Calibri" w:hAnsi="Arial Narrow" w:cs="Calibri"/>
                <w:spacing w:val="-2"/>
                <w:kern w:val="2"/>
                <w:sz w:val="20"/>
                <w:szCs w:val="20"/>
                <w14:ligatures w14:val="standardContextual"/>
              </w:rPr>
            </w:pPr>
            <w:r w:rsidRPr="00430A79">
              <w:rPr>
                <w:rFonts w:ascii="Arial Narrow" w:eastAsia="Calibri" w:hAnsi="Arial Narrow" w:cs="Calibri"/>
                <w:spacing w:val="-2"/>
                <w:kern w:val="2"/>
                <w:sz w:val="20"/>
                <w:szCs w:val="20"/>
                <w14:ligatures w14:val="standardContextual"/>
              </w:rPr>
              <w:t>1,500,000</w:t>
            </w:r>
          </w:p>
        </w:tc>
        <w:tc>
          <w:tcPr>
            <w:tcW w:w="750" w:type="pct"/>
            <w:tcBorders>
              <w:right w:val="single" w:sz="4" w:space="0" w:color="auto"/>
            </w:tcBorders>
            <w:tcMar>
              <w:left w:w="72" w:type="dxa"/>
              <w:right w:w="72" w:type="dxa"/>
            </w:tcMar>
          </w:tcPr>
          <w:p w14:paraId="631614A4" w14:textId="77777777" w:rsidR="00515F70" w:rsidRPr="00430A79" w:rsidRDefault="00515F70" w:rsidP="00515F70">
            <w:pPr>
              <w:jc w:val="center"/>
              <w:rPr>
                <w:rFonts w:ascii="Arial Narrow" w:eastAsia="Calibri" w:hAnsi="Arial Narrow" w:cs="Calibri"/>
                <w:spacing w:val="-5"/>
                <w:kern w:val="2"/>
                <w:sz w:val="20"/>
                <w:szCs w:val="20"/>
                <w14:ligatures w14:val="standardContextual"/>
              </w:rPr>
            </w:pPr>
            <w:r w:rsidRPr="00430A79">
              <w:rPr>
                <w:rFonts w:ascii="Arial Narrow" w:eastAsia="Calibri" w:hAnsi="Arial Narrow" w:cs="Calibri"/>
                <w:spacing w:val="-5"/>
                <w:kern w:val="2"/>
                <w:sz w:val="20"/>
                <w:szCs w:val="20"/>
                <w14:ligatures w14:val="standardContextual"/>
              </w:rPr>
              <w:t>1</w:t>
            </w:r>
          </w:p>
        </w:tc>
        <w:tc>
          <w:tcPr>
            <w:tcW w:w="809" w:type="pct"/>
            <w:tcBorders>
              <w:top w:val="single" w:sz="4" w:space="0" w:color="auto"/>
              <w:left w:val="single" w:sz="4" w:space="0" w:color="auto"/>
              <w:bottom w:val="single" w:sz="4" w:space="0" w:color="auto"/>
              <w:right w:val="single" w:sz="4" w:space="0" w:color="auto"/>
            </w:tcBorders>
            <w:shd w:val="clear" w:color="auto" w:fill="auto"/>
            <w:tcMar>
              <w:left w:w="72" w:type="dxa"/>
              <w:right w:w="72" w:type="dxa"/>
            </w:tcMar>
            <w:vAlign w:val="center"/>
          </w:tcPr>
          <w:p w14:paraId="6122C858" w14:textId="77777777" w:rsidR="00515F70" w:rsidRPr="00430A79" w:rsidRDefault="00515F70" w:rsidP="00515F70">
            <w:pPr>
              <w:jc w:val="right"/>
              <w:rPr>
                <w:rFonts w:ascii="Arial Narrow" w:eastAsia="Calibri" w:hAnsi="Arial Narrow" w:cs="Calibri"/>
                <w:kern w:val="2"/>
                <w:sz w:val="20"/>
                <w:szCs w:val="20"/>
                <w14:ligatures w14:val="standardContextual"/>
              </w:rPr>
            </w:pPr>
            <w:r w:rsidRPr="00430A79">
              <w:rPr>
                <w:rFonts w:ascii="Arial Narrow" w:hAnsi="Arial Narrow"/>
                <w:color w:val="000000"/>
                <w:sz w:val="20"/>
                <w:szCs w:val="20"/>
              </w:rPr>
              <w:t>1,500,000</w:t>
            </w:r>
          </w:p>
        </w:tc>
      </w:tr>
      <w:tr w:rsidR="00515F70" w:rsidRPr="00430A79" w14:paraId="1E5E1310" w14:textId="77777777" w:rsidTr="00D03949">
        <w:trPr>
          <w:trHeight w:val="53"/>
        </w:trPr>
        <w:tc>
          <w:tcPr>
            <w:tcW w:w="1441" w:type="pct"/>
            <w:tcMar>
              <w:left w:w="72" w:type="dxa"/>
              <w:right w:w="72" w:type="dxa"/>
            </w:tcMar>
          </w:tcPr>
          <w:p w14:paraId="7D0D6B6D" w14:textId="7BFB4716" w:rsidR="00515F70" w:rsidRPr="00430A79" w:rsidRDefault="00515F70" w:rsidP="00515F70">
            <w:pPr>
              <w:rPr>
                <w:rFonts w:ascii="Arial Narrow" w:eastAsia="Calibri" w:hAnsi="Arial Narrow" w:cs="Calibri"/>
                <w:i/>
                <w:iCs/>
                <w:kern w:val="2"/>
                <w:sz w:val="20"/>
                <w:szCs w:val="20"/>
                <w14:ligatures w14:val="standardContextual"/>
              </w:rPr>
            </w:pPr>
            <w:r w:rsidRPr="00BE2534">
              <w:rPr>
                <w:rFonts w:ascii="Arial Narrow" w:eastAsia="Calibri" w:hAnsi="Arial Narrow" w:cs="Calibri"/>
                <w:i/>
                <w:iCs/>
                <w:kern w:val="2"/>
                <w:sz w:val="20"/>
                <w:szCs w:val="20"/>
                <w:lang w:val="sq-AL"/>
                <w14:ligatures w14:val="standardContextual"/>
              </w:rPr>
              <w:lastRenderedPageBreak/>
              <w:t>Kontingjent</w:t>
            </w:r>
          </w:p>
        </w:tc>
        <w:tc>
          <w:tcPr>
            <w:tcW w:w="1132" w:type="pct"/>
            <w:tcMar>
              <w:left w:w="72" w:type="dxa"/>
              <w:right w:w="72" w:type="dxa"/>
            </w:tcMar>
          </w:tcPr>
          <w:p w14:paraId="06DF28BE" w14:textId="685EE71C" w:rsidR="00515F70" w:rsidRPr="00430A79" w:rsidRDefault="00515F70" w:rsidP="00515F70">
            <w:pPr>
              <w:rPr>
                <w:rFonts w:ascii="Arial Narrow" w:eastAsia="Calibri" w:hAnsi="Arial Narrow" w:cs="Calibri"/>
                <w:i/>
                <w:iCs/>
                <w:spacing w:val="-2"/>
                <w:kern w:val="2"/>
                <w:sz w:val="20"/>
                <w:szCs w:val="20"/>
                <w14:ligatures w14:val="standardContextual"/>
              </w:rPr>
            </w:pPr>
            <w:r w:rsidRPr="00BE2534">
              <w:rPr>
                <w:rFonts w:ascii="Arial Narrow" w:eastAsia="Calibri" w:hAnsi="Arial Narrow" w:cs="Calibri"/>
                <w:i/>
                <w:iCs/>
                <w:spacing w:val="-2"/>
                <w:kern w:val="2"/>
                <w:sz w:val="20"/>
                <w:szCs w:val="20"/>
                <w:lang w:val="sq-AL"/>
                <w14:ligatures w14:val="standardContextual"/>
              </w:rPr>
              <w:t>10% e kostos së investimit (përjashtuar pajisjet mobile)</w:t>
            </w:r>
          </w:p>
        </w:tc>
        <w:tc>
          <w:tcPr>
            <w:tcW w:w="868" w:type="pct"/>
            <w:tcMar>
              <w:left w:w="72" w:type="dxa"/>
              <w:right w:w="72" w:type="dxa"/>
            </w:tcMar>
          </w:tcPr>
          <w:p w14:paraId="3A2AA31E" w14:textId="77777777" w:rsidR="00515F70" w:rsidRPr="00430A79" w:rsidRDefault="00515F70" w:rsidP="00515F70">
            <w:pPr>
              <w:jc w:val="center"/>
              <w:rPr>
                <w:rFonts w:ascii="Arial Narrow" w:eastAsia="Calibri" w:hAnsi="Arial Narrow" w:cs="Calibri"/>
                <w:i/>
                <w:iCs/>
                <w:spacing w:val="-2"/>
                <w:kern w:val="2"/>
                <w:sz w:val="20"/>
                <w:szCs w:val="20"/>
                <w14:ligatures w14:val="standardContextual"/>
              </w:rPr>
            </w:pPr>
          </w:p>
        </w:tc>
        <w:tc>
          <w:tcPr>
            <w:tcW w:w="750" w:type="pct"/>
            <w:tcBorders>
              <w:right w:val="single" w:sz="4" w:space="0" w:color="auto"/>
            </w:tcBorders>
            <w:tcMar>
              <w:left w:w="72" w:type="dxa"/>
              <w:right w:w="72" w:type="dxa"/>
            </w:tcMar>
          </w:tcPr>
          <w:p w14:paraId="10C0822E" w14:textId="77777777" w:rsidR="00515F70" w:rsidRPr="00430A79" w:rsidRDefault="00515F70" w:rsidP="00515F70">
            <w:pPr>
              <w:jc w:val="center"/>
              <w:rPr>
                <w:rFonts w:ascii="Arial Narrow" w:eastAsia="Calibri" w:hAnsi="Arial Narrow" w:cs="Calibri"/>
                <w:i/>
                <w:iCs/>
                <w:spacing w:val="-5"/>
                <w:kern w:val="2"/>
                <w:sz w:val="20"/>
                <w:szCs w:val="20"/>
                <w14:ligatures w14:val="standardContextual"/>
              </w:rPr>
            </w:pPr>
          </w:p>
        </w:tc>
        <w:tc>
          <w:tcPr>
            <w:tcW w:w="809" w:type="pct"/>
            <w:tcBorders>
              <w:top w:val="single" w:sz="4" w:space="0" w:color="auto"/>
              <w:left w:val="single" w:sz="4" w:space="0" w:color="auto"/>
              <w:bottom w:val="single" w:sz="4" w:space="0" w:color="auto"/>
              <w:right w:val="single" w:sz="4" w:space="0" w:color="auto"/>
            </w:tcBorders>
            <w:shd w:val="clear" w:color="auto" w:fill="auto"/>
            <w:tcMar>
              <w:left w:w="72" w:type="dxa"/>
              <w:right w:w="72" w:type="dxa"/>
            </w:tcMar>
            <w:vAlign w:val="center"/>
          </w:tcPr>
          <w:p w14:paraId="444ECEBD" w14:textId="77777777" w:rsidR="00515F70" w:rsidRPr="00430A79" w:rsidRDefault="00515F70" w:rsidP="00515F70">
            <w:pPr>
              <w:jc w:val="right"/>
              <w:rPr>
                <w:rFonts w:ascii="Arial Narrow" w:eastAsia="Calibri" w:hAnsi="Arial Narrow" w:cs="Calibri"/>
                <w:i/>
                <w:iCs/>
                <w:kern w:val="2"/>
                <w:sz w:val="20"/>
                <w:szCs w:val="20"/>
                <w14:ligatures w14:val="standardContextual"/>
              </w:rPr>
            </w:pPr>
            <w:r w:rsidRPr="00430A79">
              <w:rPr>
                <w:rFonts w:ascii="Arial Narrow" w:hAnsi="Arial Narrow"/>
                <w:i/>
                <w:iCs/>
                <w:color w:val="000000"/>
                <w:sz w:val="20"/>
                <w:szCs w:val="20"/>
              </w:rPr>
              <w:t>296,000</w:t>
            </w:r>
          </w:p>
        </w:tc>
      </w:tr>
      <w:tr w:rsidR="00515F70" w:rsidRPr="00430A79" w14:paraId="127328E2" w14:textId="77777777" w:rsidTr="00D03949">
        <w:trPr>
          <w:trHeight w:val="71"/>
        </w:trPr>
        <w:tc>
          <w:tcPr>
            <w:tcW w:w="1441" w:type="pct"/>
            <w:tcMar>
              <w:left w:w="72" w:type="dxa"/>
              <w:right w:w="72" w:type="dxa"/>
            </w:tcMar>
          </w:tcPr>
          <w:p w14:paraId="1A0DFD98" w14:textId="314B1BE9" w:rsidR="00515F70" w:rsidRPr="00430A79" w:rsidRDefault="00515F70" w:rsidP="00515F70">
            <w:pPr>
              <w:rPr>
                <w:rFonts w:ascii="Arial Narrow" w:eastAsia="Calibri" w:hAnsi="Arial Narrow" w:cs="Calibri"/>
                <w:i/>
                <w:iCs/>
                <w:kern w:val="2"/>
                <w:sz w:val="20"/>
                <w:szCs w:val="20"/>
                <w14:ligatures w14:val="standardContextual"/>
              </w:rPr>
            </w:pPr>
            <w:r w:rsidRPr="00BE2534">
              <w:rPr>
                <w:rFonts w:ascii="Arial Narrow" w:eastAsia="Calibri" w:hAnsi="Arial Narrow" w:cs="Calibri"/>
                <w:i/>
                <w:iCs/>
                <w:kern w:val="2"/>
                <w:sz w:val="20"/>
                <w:szCs w:val="20"/>
                <w:lang w:val="sq-AL"/>
                <w14:ligatures w14:val="standardContextual"/>
              </w:rPr>
              <w:t>Dizajn &amp; Mbikëqyrje</w:t>
            </w:r>
          </w:p>
        </w:tc>
        <w:tc>
          <w:tcPr>
            <w:tcW w:w="1132" w:type="pct"/>
            <w:tcMar>
              <w:left w:w="72" w:type="dxa"/>
              <w:right w:w="72" w:type="dxa"/>
            </w:tcMar>
          </w:tcPr>
          <w:p w14:paraId="25C66D36" w14:textId="5A087B38" w:rsidR="00515F70" w:rsidRPr="00430A79" w:rsidRDefault="00515F70" w:rsidP="00515F70">
            <w:pPr>
              <w:rPr>
                <w:rFonts w:ascii="Arial Narrow" w:eastAsia="Calibri" w:hAnsi="Arial Narrow" w:cs="Calibri"/>
                <w:i/>
                <w:iCs/>
                <w:spacing w:val="-2"/>
                <w:kern w:val="2"/>
                <w:sz w:val="20"/>
                <w:szCs w:val="20"/>
                <w14:ligatures w14:val="standardContextual"/>
              </w:rPr>
            </w:pPr>
            <w:r w:rsidRPr="00BE2534">
              <w:rPr>
                <w:rFonts w:ascii="Arial Narrow" w:eastAsia="Calibri" w:hAnsi="Arial Narrow" w:cs="Calibri"/>
                <w:i/>
                <w:iCs/>
                <w:spacing w:val="-2"/>
                <w:kern w:val="2"/>
                <w:sz w:val="20"/>
                <w:szCs w:val="20"/>
                <w:lang w:val="sq-AL"/>
                <w14:ligatures w14:val="standardContextual"/>
              </w:rPr>
              <w:t>4.5% e kostos së investimit (përjashtuar kostot e arkëtuara)</w:t>
            </w:r>
          </w:p>
        </w:tc>
        <w:tc>
          <w:tcPr>
            <w:tcW w:w="868" w:type="pct"/>
            <w:tcMar>
              <w:left w:w="72" w:type="dxa"/>
              <w:right w:w="72" w:type="dxa"/>
            </w:tcMar>
          </w:tcPr>
          <w:p w14:paraId="485884E9" w14:textId="77777777" w:rsidR="00515F70" w:rsidRPr="00430A79" w:rsidRDefault="00515F70" w:rsidP="00515F70">
            <w:pPr>
              <w:jc w:val="center"/>
              <w:rPr>
                <w:rFonts w:ascii="Arial Narrow" w:eastAsia="Calibri" w:hAnsi="Arial Narrow" w:cs="Calibri"/>
                <w:i/>
                <w:iCs/>
                <w:spacing w:val="-2"/>
                <w:kern w:val="2"/>
                <w:sz w:val="20"/>
                <w:szCs w:val="20"/>
                <w14:ligatures w14:val="standardContextual"/>
              </w:rPr>
            </w:pPr>
          </w:p>
        </w:tc>
        <w:tc>
          <w:tcPr>
            <w:tcW w:w="750" w:type="pct"/>
            <w:tcBorders>
              <w:right w:val="single" w:sz="4" w:space="0" w:color="auto"/>
            </w:tcBorders>
            <w:tcMar>
              <w:left w:w="72" w:type="dxa"/>
              <w:right w:w="72" w:type="dxa"/>
            </w:tcMar>
          </w:tcPr>
          <w:p w14:paraId="06EFC5C0" w14:textId="77777777" w:rsidR="00515F70" w:rsidRPr="00430A79" w:rsidRDefault="00515F70" w:rsidP="00515F70">
            <w:pPr>
              <w:jc w:val="center"/>
              <w:rPr>
                <w:rFonts w:ascii="Arial Narrow" w:eastAsia="Calibri" w:hAnsi="Arial Narrow" w:cs="Calibri"/>
                <w:i/>
                <w:iCs/>
                <w:spacing w:val="-5"/>
                <w:kern w:val="2"/>
                <w:sz w:val="20"/>
                <w:szCs w:val="20"/>
                <w14:ligatures w14:val="standardContextual"/>
              </w:rPr>
            </w:pPr>
          </w:p>
        </w:tc>
        <w:tc>
          <w:tcPr>
            <w:tcW w:w="809" w:type="pct"/>
            <w:tcBorders>
              <w:top w:val="single" w:sz="4" w:space="0" w:color="auto"/>
              <w:left w:val="single" w:sz="4" w:space="0" w:color="auto"/>
              <w:bottom w:val="single" w:sz="4" w:space="0" w:color="auto"/>
              <w:right w:val="single" w:sz="4" w:space="0" w:color="auto"/>
            </w:tcBorders>
            <w:shd w:val="clear" w:color="auto" w:fill="auto"/>
            <w:tcMar>
              <w:left w:w="72" w:type="dxa"/>
              <w:right w:w="72" w:type="dxa"/>
            </w:tcMar>
            <w:vAlign w:val="center"/>
          </w:tcPr>
          <w:p w14:paraId="378207D4" w14:textId="77777777" w:rsidR="00515F70" w:rsidRPr="00430A79" w:rsidRDefault="00515F70" w:rsidP="00515F70">
            <w:pPr>
              <w:jc w:val="right"/>
              <w:rPr>
                <w:rFonts w:ascii="Arial Narrow" w:eastAsia="Calibri" w:hAnsi="Arial Narrow" w:cs="Calibri"/>
                <w:i/>
                <w:iCs/>
                <w:kern w:val="2"/>
                <w:sz w:val="20"/>
                <w:szCs w:val="20"/>
                <w14:ligatures w14:val="standardContextual"/>
              </w:rPr>
            </w:pPr>
            <w:r w:rsidRPr="00430A79">
              <w:rPr>
                <w:rFonts w:ascii="Arial Narrow" w:hAnsi="Arial Narrow"/>
                <w:i/>
                <w:iCs/>
                <w:color w:val="000000"/>
                <w:sz w:val="20"/>
                <w:szCs w:val="20"/>
              </w:rPr>
              <w:t>151,740</w:t>
            </w:r>
          </w:p>
        </w:tc>
      </w:tr>
      <w:tr w:rsidR="00430A79" w:rsidRPr="00430A79" w14:paraId="0DCD4CA1" w14:textId="77777777" w:rsidTr="00D03949">
        <w:trPr>
          <w:trHeight w:val="71"/>
        </w:trPr>
        <w:tc>
          <w:tcPr>
            <w:tcW w:w="1441" w:type="pct"/>
            <w:tcMar>
              <w:left w:w="72" w:type="dxa"/>
              <w:right w:w="72" w:type="dxa"/>
            </w:tcMar>
          </w:tcPr>
          <w:p w14:paraId="66F429E9" w14:textId="77777777" w:rsidR="00430A79" w:rsidRPr="00430A79" w:rsidRDefault="00430A79" w:rsidP="00430A79">
            <w:pPr>
              <w:rPr>
                <w:rFonts w:ascii="Arial Narrow" w:eastAsia="Calibri" w:hAnsi="Arial Narrow" w:cs="Calibri"/>
                <w:b/>
                <w:bCs/>
                <w:kern w:val="2"/>
                <w:sz w:val="20"/>
                <w:szCs w:val="20"/>
                <w14:ligatures w14:val="standardContextual"/>
              </w:rPr>
            </w:pPr>
            <w:r w:rsidRPr="00430A79">
              <w:rPr>
                <w:rFonts w:ascii="Arial Narrow" w:eastAsia="Calibri" w:hAnsi="Arial Narrow" w:cs="Calibri"/>
                <w:b/>
                <w:bCs/>
                <w:kern w:val="2"/>
                <w:sz w:val="20"/>
                <w:szCs w:val="20"/>
                <w14:ligatures w14:val="standardContextual"/>
              </w:rPr>
              <w:t>TOTALI</w:t>
            </w:r>
          </w:p>
        </w:tc>
        <w:tc>
          <w:tcPr>
            <w:tcW w:w="1132" w:type="pct"/>
            <w:tcMar>
              <w:left w:w="72" w:type="dxa"/>
              <w:right w:w="72" w:type="dxa"/>
            </w:tcMar>
          </w:tcPr>
          <w:p w14:paraId="3FF8B83F" w14:textId="77777777" w:rsidR="00430A79" w:rsidRPr="00430A79" w:rsidRDefault="00430A79" w:rsidP="00430A79">
            <w:pPr>
              <w:rPr>
                <w:rFonts w:ascii="Arial Narrow" w:eastAsia="Calibri" w:hAnsi="Arial Narrow" w:cs="Calibri"/>
                <w:spacing w:val="-2"/>
                <w:kern w:val="2"/>
                <w:sz w:val="20"/>
                <w:szCs w:val="20"/>
                <w14:ligatures w14:val="standardContextual"/>
              </w:rPr>
            </w:pPr>
          </w:p>
        </w:tc>
        <w:tc>
          <w:tcPr>
            <w:tcW w:w="868" w:type="pct"/>
            <w:tcMar>
              <w:left w:w="72" w:type="dxa"/>
              <w:right w:w="72" w:type="dxa"/>
            </w:tcMar>
          </w:tcPr>
          <w:p w14:paraId="43C1123E" w14:textId="77777777" w:rsidR="00430A79" w:rsidRPr="00430A79" w:rsidRDefault="00430A79" w:rsidP="00430A79">
            <w:pPr>
              <w:jc w:val="center"/>
              <w:rPr>
                <w:rFonts w:ascii="Arial Narrow" w:eastAsia="Calibri" w:hAnsi="Arial Narrow" w:cs="Calibri"/>
                <w:spacing w:val="-2"/>
                <w:kern w:val="2"/>
                <w:sz w:val="20"/>
                <w:szCs w:val="20"/>
                <w14:ligatures w14:val="standardContextual"/>
              </w:rPr>
            </w:pPr>
          </w:p>
        </w:tc>
        <w:tc>
          <w:tcPr>
            <w:tcW w:w="750" w:type="pct"/>
            <w:tcBorders>
              <w:right w:val="single" w:sz="4" w:space="0" w:color="auto"/>
            </w:tcBorders>
            <w:tcMar>
              <w:left w:w="72" w:type="dxa"/>
              <w:right w:w="72" w:type="dxa"/>
            </w:tcMar>
          </w:tcPr>
          <w:p w14:paraId="60E5A7B1" w14:textId="77777777" w:rsidR="00430A79" w:rsidRPr="00430A79" w:rsidRDefault="00430A79" w:rsidP="00430A79">
            <w:pPr>
              <w:jc w:val="center"/>
              <w:rPr>
                <w:rFonts w:ascii="Arial Narrow" w:eastAsia="Calibri" w:hAnsi="Arial Narrow" w:cs="Calibri"/>
                <w:spacing w:val="-5"/>
                <w:kern w:val="2"/>
                <w:sz w:val="20"/>
                <w:szCs w:val="20"/>
                <w14:ligatures w14:val="standardContextual"/>
              </w:rPr>
            </w:pPr>
          </w:p>
        </w:tc>
        <w:tc>
          <w:tcPr>
            <w:tcW w:w="809" w:type="pct"/>
            <w:tcBorders>
              <w:top w:val="single" w:sz="4" w:space="0" w:color="auto"/>
              <w:left w:val="single" w:sz="4" w:space="0" w:color="auto"/>
              <w:bottom w:val="single" w:sz="4" w:space="0" w:color="auto"/>
              <w:right w:val="single" w:sz="4" w:space="0" w:color="auto"/>
            </w:tcBorders>
            <w:shd w:val="clear" w:color="auto" w:fill="auto"/>
            <w:tcMar>
              <w:left w:w="72" w:type="dxa"/>
              <w:right w:w="72" w:type="dxa"/>
            </w:tcMar>
            <w:vAlign w:val="center"/>
          </w:tcPr>
          <w:p w14:paraId="655F22F7" w14:textId="77777777" w:rsidR="00430A79" w:rsidRPr="00430A79" w:rsidRDefault="00430A79" w:rsidP="00430A79">
            <w:pPr>
              <w:jc w:val="right"/>
              <w:rPr>
                <w:rFonts w:ascii="Arial Narrow" w:eastAsia="Calibri" w:hAnsi="Arial Narrow" w:cs="Calibri"/>
                <w:kern w:val="2"/>
                <w:sz w:val="20"/>
                <w:szCs w:val="20"/>
                <w14:ligatures w14:val="standardContextual"/>
              </w:rPr>
            </w:pPr>
            <w:r w:rsidRPr="00430A79">
              <w:rPr>
                <w:rFonts w:ascii="Arial Narrow" w:hAnsi="Arial Narrow"/>
                <w:b/>
                <w:bCs/>
                <w:color w:val="000000"/>
                <w:sz w:val="20"/>
                <w:szCs w:val="20"/>
              </w:rPr>
              <w:t>4,430,490</w:t>
            </w:r>
          </w:p>
        </w:tc>
      </w:tr>
      <w:bookmarkEnd w:id="461"/>
    </w:tbl>
    <w:p w14:paraId="18016960" w14:textId="77777777" w:rsidR="00430A79" w:rsidRDefault="00430A79" w:rsidP="00430A79">
      <w:pPr>
        <w:rPr>
          <w:rFonts w:ascii="Arial Narrow" w:hAnsi="Arial Narrow"/>
          <w:lang w:val="en-GB"/>
        </w:rPr>
      </w:pPr>
    </w:p>
    <w:p w14:paraId="37F1B6BE" w14:textId="77777777" w:rsidR="00160C71" w:rsidRPr="00160C71" w:rsidRDefault="00160C71" w:rsidP="00430A79">
      <w:pPr>
        <w:rPr>
          <w:rFonts w:ascii="Arial Narrow" w:hAnsi="Arial Narrow"/>
          <w:lang w:val="en-GB"/>
        </w:rPr>
      </w:pPr>
    </w:p>
    <w:p w14:paraId="093433C9" w14:textId="61E61740" w:rsidR="00430A79" w:rsidRPr="00430A79" w:rsidRDefault="00430A79" w:rsidP="000D7AD0">
      <w:pPr>
        <w:pStyle w:val="Heading3"/>
      </w:pPr>
      <w:bookmarkStart w:id="462" w:name="_Toc185866141"/>
      <w:bookmarkStart w:id="463" w:name="_Toc197472032"/>
      <w:r w:rsidRPr="00430A79">
        <w:t>Mbeturinat</w:t>
      </w:r>
      <w:r w:rsidR="00515F70">
        <w:t xml:space="preserve"> e vëllimshme</w:t>
      </w:r>
      <w:bookmarkEnd w:id="462"/>
      <w:bookmarkEnd w:id="463"/>
    </w:p>
    <w:p w14:paraId="1ED7D933" w14:textId="77777777" w:rsidR="003F742B" w:rsidRDefault="003F742B" w:rsidP="00430A79">
      <w:pPr>
        <w:rPr>
          <w:rFonts w:ascii="Arial Narrow" w:hAnsi="Arial Narrow"/>
          <w:sz w:val="22"/>
          <w:szCs w:val="22"/>
          <w:lang w:val="en-GB"/>
        </w:rPr>
      </w:pPr>
    </w:p>
    <w:p w14:paraId="2806D195" w14:textId="6E2865D7" w:rsidR="00430A79" w:rsidRPr="00430A79" w:rsidRDefault="00430A79" w:rsidP="00430A79">
      <w:pPr>
        <w:rPr>
          <w:rFonts w:ascii="Arial Narrow" w:hAnsi="Arial Narrow"/>
          <w:sz w:val="22"/>
          <w:szCs w:val="22"/>
          <w:lang w:val="en-GB"/>
        </w:rPr>
      </w:pPr>
      <w:proofErr w:type="spellStart"/>
      <w:r w:rsidRPr="00430A79">
        <w:rPr>
          <w:rFonts w:ascii="Arial Narrow" w:hAnsi="Arial Narrow"/>
          <w:sz w:val="22"/>
          <w:szCs w:val="22"/>
          <w:lang w:val="en-GB"/>
        </w:rPr>
        <w:t>Praktika</w:t>
      </w:r>
      <w:proofErr w:type="spellEnd"/>
      <w:r w:rsidRPr="00430A79">
        <w:rPr>
          <w:rFonts w:ascii="Arial Narrow" w:hAnsi="Arial Narrow"/>
          <w:sz w:val="22"/>
          <w:szCs w:val="22"/>
          <w:lang w:val="en-GB"/>
        </w:rPr>
        <w:t xml:space="preserve"> </w:t>
      </w:r>
      <w:proofErr w:type="spellStart"/>
      <w:r w:rsidRPr="00430A79">
        <w:rPr>
          <w:rFonts w:ascii="Arial Narrow" w:hAnsi="Arial Narrow"/>
          <w:sz w:val="22"/>
          <w:szCs w:val="22"/>
          <w:lang w:val="en-GB"/>
        </w:rPr>
        <w:t>ndërkombëtare</w:t>
      </w:r>
      <w:proofErr w:type="spellEnd"/>
      <w:r w:rsidRPr="00430A79">
        <w:rPr>
          <w:rFonts w:ascii="Arial Narrow" w:hAnsi="Arial Narrow"/>
          <w:sz w:val="22"/>
          <w:szCs w:val="22"/>
          <w:lang w:val="en-GB"/>
        </w:rPr>
        <w:t xml:space="preserve"> </w:t>
      </w:r>
      <w:proofErr w:type="spellStart"/>
      <w:r w:rsidRPr="00430A79">
        <w:rPr>
          <w:rFonts w:ascii="Arial Narrow" w:hAnsi="Arial Narrow"/>
          <w:sz w:val="22"/>
          <w:szCs w:val="22"/>
          <w:lang w:val="en-GB"/>
        </w:rPr>
        <w:t>tregon</w:t>
      </w:r>
      <w:proofErr w:type="spellEnd"/>
      <w:r w:rsidRPr="00430A79">
        <w:rPr>
          <w:rFonts w:ascii="Arial Narrow" w:hAnsi="Arial Narrow"/>
          <w:sz w:val="22"/>
          <w:szCs w:val="22"/>
          <w:lang w:val="en-GB"/>
        </w:rPr>
        <w:t xml:space="preserve"> se </w:t>
      </w:r>
      <w:proofErr w:type="spellStart"/>
      <w:r w:rsidRPr="00430A79">
        <w:rPr>
          <w:rFonts w:ascii="Arial Narrow" w:hAnsi="Arial Narrow"/>
          <w:sz w:val="22"/>
          <w:szCs w:val="22"/>
          <w:lang w:val="en-GB"/>
        </w:rPr>
        <w:t>sasia</w:t>
      </w:r>
      <w:proofErr w:type="spellEnd"/>
      <w:r w:rsidRPr="00430A79">
        <w:rPr>
          <w:rFonts w:ascii="Arial Narrow" w:hAnsi="Arial Narrow"/>
          <w:sz w:val="22"/>
          <w:szCs w:val="22"/>
          <w:lang w:val="en-GB"/>
        </w:rPr>
        <w:t xml:space="preserve"> e </w:t>
      </w:r>
      <w:proofErr w:type="spellStart"/>
      <w:r w:rsidRPr="00430A79">
        <w:rPr>
          <w:rFonts w:ascii="Arial Narrow" w:hAnsi="Arial Narrow"/>
          <w:sz w:val="22"/>
          <w:szCs w:val="22"/>
          <w:lang w:val="en-GB"/>
        </w:rPr>
        <w:t>mbeturinave</w:t>
      </w:r>
      <w:proofErr w:type="spellEnd"/>
      <w:r w:rsidRPr="00430A79">
        <w:rPr>
          <w:rFonts w:ascii="Arial Narrow" w:hAnsi="Arial Narrow"/>
          <w:sz w:val="22"/>
          <w:szCs w:val="22"/>
          <w:lang w:val="en-GB"/>
        </w:rPr>
        <w:t xml:space="preserve"> </w:t>
      </w:r>
      <w:proofErr w:type="spellStart"/>
      <w:r w:rsidRPr="00430A79">
        <w:rPr>
          <w:rFonts w:ascii="Arial Narrow" w:hAnsi="Arial Narrow"/>
          <w:sz w:val="22"/>
          <w:szCs w:val="22"/>
          <w:lang w:val="en-GB"/>
        </w:rPr>
        <w:t>të</w:t>
      </w:r>
      <w:proofErr w:type="spellEnd"/>
      <w:r w:rsidRPr="00430A79">
        <w:rPr>
          <w:rFonts w:ascii="Arial Narrow" w:hAnsi="Arial Narrow"/>
          <w:sz w:val="22"/>
          <w:szCs w:val="22"/>
          <w:lang w:val="en-GB"/>
        </w:rPr>
        <w:t xml:space="preserve"> </w:t>
      </w:r>
      <w:proofErr w:type="spellStart"/>
      <w:r w:rsidR="00515F70">
        <w:rPr>
          <w:rFonts w:ascii="Arial Narrow" w:hAnsi="Arial Narrow"/>
          <w:sz w:val="22"/>
          <w:szCs w:val="22"/>
          <w:lang w:val="en-GB"/>
        </w:rPr>
        <w:t>vëllimshme</w:t>
      </w:r>
      <w:proofErr w:type="spellEnd"/>
      <w:r w:rsidRPr="00430A79">
        <w:rPr>
          <w:rFonts w:ascii="Arial Narrow" w:hAnsi="Arial Narrow"/>
          <w:sz w:val="22"/>
          <w:szCs w:val="22"/>
          <w:lang w:val="en-GB"/>
        </w:rPr>
        <w:t xml:space="preserve"> </w:t>
      </w:r>
      <w:proofErr w:type="spellStart"/>
      <w:r w:rsidRPr="00430A79">
        <w:rPr>
          <w:rFonts w:ascii="Arial Narrow" w:hAnsi="Arial Narrow"/>
          <w:sz w:val="22"/>
          <w:szCs w:val="22"/>
          <w:lang w:val="en-GB"/>
        </w:rPr>
        <w:t>është</w:t>
      </w:r>
      <w:proofErr w:type="spellEnd"/>
      <w:r w:rsidRPr="00430A79">
        <w:rPr>
          <w:rFonts w:ascii="Arial Narrow" w:hAnsi="Arial Narrow"/>
          <w:sz w:val="22"/>
          <w:szCs w:val="22"/>
          <w:lang w:val="en-GB"/>
        </w:rPr>
        <w:t xml:space="preserve"> </w:t>
      </w:r>
      <w:proofErr w:type="spellStart"/>
      <w:r w:rsidRPr="00430A79">
        <w:rPr>
          <w:rFonts w:ascii="Arial Narrow" w:hAnsi="Arial Narrow"/>
          <w:sz w:val="22"/>
          <w:szCs w:val="22"/>
          <w:lang w:val="en-GB"/>
        </w:rPr>
        <w:t>në</w:t>
      </w:r>
      <w:proofErr w:type="spellEnd"/>
      <w:r w:rsidRPr="00430A79">
        <w:rPr>
          <w:rFonts w:ascii="Arial Narrow" w:hAnsi="Arial Narrow"/>
          <w:sz w:val="22"/>
          <w:szCs w:val="22"/>
          <w:lang w:val="en-GB"/>
        </w:rPr>
        <w:t xml:space="preserve"> </w:t>
      </w:r>
      <w:proofErr w:type="spellStart"/>
      <w:r w:rsidRPr="00430A79">
        <w:rPr>
          <w:rFonts w:ascii="Arial Narrow" w:hAnsi="Arial Narrow"/>
          <w:sz w:val="22"/>
          <w:szCs w:val="22"/>
          <w:lang w:val="en-GB"/>
        </w:rPr>
        <w:t>përpjesëtim</w:t>
      </w:r>
      <w:proofErr w:type="spellEnd"/>
      <w:r w:rsidRPr="00430A79">
        <w:rPr>
          <w:rFonts w:ascii="Arial Narrow" w:hAnsi="Arial Narrow"/>
          <w:sz w:val="22"/>
          <w:szCs w:val="22"/>
          <w:lang w:val="en-GB"/>
        </w:rPr>
        <w:t xml:space="preserve"> me </w:t>
      </w:r>
      <w:proofErr w:type="spellStart"/>
      <w:r w:rsidRPr="00430A79">
        <w:rPr>
          <w:rFonts w:ascii="Arial Narrow" w:hAnsi="Arial Narrow"/>
          <w:sz w:val="22"/>
          <w:szCs w:val="22"/>
          <w:lang w:val="en-GB"/>
        </w:rPr>
        <w:t>sasinë</w:t>
      </w:r>
      <w:proofErr w:type="spellEnd"/>
      <w:r w:rsidRPr="00430A79">
        <w:rPr>
          <w:rFonts w:ascii="Arial Narrow" w:hAnsi="Arial Narrow"/>
          <w:sz w:val="22"/>
          <w:szCs w:val="22"/>
          <w:lang w:val="en-GB"/>
        </w:rPr>
        <w:t xml:space="preserve"> e </w:t>
      </w:r>
      <w:proofErr w:type="spellStart"/>
      <w:r w:rsidRPr="00430A79">
        <w:rPr>
          <w:rFonts w:ascii="Arial Narrow" w:hAnsi="Arial Narrow"/>
          <w:sz w:val="22"/>
          <w:szCs w:val="22"/>
          <w:lang w:val="en-GB"/>
        </w:rPr>
        <w:t>mbeturinave</w:t>
      </w:r>
      <w:proofErr w:type="spellEnd"/>
      <w:r w:rsidRPr="00430A79">
        <w:rPr>
          <w:rFonts w:ascii="Arial Narrow" w:hAnsi="Arial Narrow"/>
          <w:sz w:val="22"/>
          <w:szCs w:val="22"/>
          <w:lang w:val="en-GB"/>
        </w:rPr>
        <w:t xml:space="preserve"> </w:t>
      </w:r>
      <w:proofErr w:type="spellStart"/>
      <w:r w:rsidRPr="00430A79">
        <w:rPr>
          <w:rFonts w:ascii="Arial Narrow" w:hAnsi="Arial Narrow"/>
          <w:sz w:val="22"/>
          <w:szCs w:val="22"/>
          <w:lang w:val="en-GB"/>
        </w:rPr>
        <w:t>komunale</w:t>
      </w:r>
      <w:proofErr w:type="spellEnd"/>
      <w:r w:rsidRPr="00430A79">
        <w:rPr>
          <w:rFonts w:ascii="Arial Narrow" w:hAnsi="Arial Narrow"/>
          <w:sz w:val="22"/>
          <w:szCs w:val="22"/>
          <w:lang w:val="en-GB"/>
        </w:rPr>
        <w:t xml:space="preserve"> </w:t>
      </w:r>
      <w:proofErr w:type="spellStart"/>
      <w:r w:rsidRPr="00430A79">
        <w:rPr>
          <w:rFonts w:ascii="Arial Narrow" w:hAnsi="Arial Narrow"/>
          <w:sz w:val="22"/>
          <w:szCs w:val="22"/>
          <w:lang w:val="en-GB"/>
        </w:rPr>
        <w:t>të</w:t>
      </w:r>
      <w:proofErr w:type="spellEnd"/>
      <w:r w:rsidRPr="00430A79">
        <w:rPr>
          <w:rFonts w:ascii="Arial Narrow" w:hAnsi="Arial Narrow"/>
          <w:sz w:val="22"/>
          <w:szCs w:val="22"/>
          <w:lang w:val="en-GB"/>
        </w:rPr>
        <w:t xml:space="preserve"> </w:t>
      </w:r>
      <w:proofErr w:type="spellStart"/>
      <w:r w:rsidRPr="00430A79">
        <w:rPr>
          <w:rFonts w:ascii="Arial Narrow" w:hAnsi="Arial Narrow"/>
          <w:sz w:val="22"/>
          <w:szCs w:val="22"/>
          <w:lang w:val="en-GB"/>
        </w:rPr>
        <w:t>gjeneruara</w:t>
      </w:r>
      <w:proofErr w:type="spellEnd"/>
      <w:r w:rsidRPr="00430A79">
        <w:rPr>
          <w:rFonts w:ascii="Arial Narrow" w:hAnsi="Arial Narrow"/>
          <w:sz w:val="22"/>
          <w:szCs w:val="22"/>
          <w:lang w:val="en-GB"/>
        </w:rPr>
        <w:t xml:space="preserve"> - </w:t>
      </w:r>
      <w:proofErr w:type="spellStart"/>
      <w:r w:rsidRPr="00430A79">
        <w:rPr>
          <w:rFonts w:ascii="Arial Narrow" w:hAnsi="Arial Narrow"/>
          <w:sz w:val="22"/>
          <w:szCs w:val="22"/>
          <w:lang w:val="en-GB"/>
        </w:rPr>
        <w:t>rreth</w:t>
      </w:r>
      <w:proofErr w:type="spellEnd"/>
      <w:r w:rsidRPr="00430A79">
        <w:rPr>
          <w:rFonts w:ascii="Arial Narrow" w:hAnsi="Arial Narrow"/>
          <w:sz w:val="22"/>
          <w:szCs w:val="22"/>
          <w:lang w:val="en-GB"/>
        </w:rPr>
        <w:t xml:space="preserve"> 5%.</w:t>
      </w:r>
    </w:p>
    <w:p w14:paraId="28A30FE1" w14:textId="77777777" w:rsidR="00430A79" w:rsidRPr="00430A79" w:rsidRDefault="00430A79" w:rsidP="00430A79">
      <w:pPr>
        <w:rPr>
          <w:rFonts w:ascii="Arial Narrow" w:hAnsi="Arial Narrow"/>
          <w:sz w:val="22"/>
          <w:szCs w:val="22"/>
          <w:lang w:val="en-GB"/>
        </w:rPr>
      </w:pPr>
    </w:p>
    <w:p w14:paraId="12A500E9" w14:textId="00120C11" w:rsidR="00430A79" w:rsidRPr="009F5CA1" w:rsidRDefault="00515F70" w:rsidP="00430A79">
      <w:pPr>
        <w:rPr>
          <w:rFonts w:ascii="Arial Narrow" w:hAnsi="Arial Narrow"/>
          <w:sz w:val="22"/>
          <w:szCs w:val="22"/>
          <w:lang w:val="sq-AL"/>
        </w:rPr>
      </w:pPr>
      <w:r w:rsidRPr="00BE2534">
        <w:rPr>
          <w:rFonts w:ascii="Arial Narrow" w:hAnsi="Arial Narrow"/>
          <w:sz w:val="22"/>
          <w:szCs w:val="22"/>
          <w:lang w:val="sq-AL"/>
        </w:rPr>
        <w:t>Llojet kryesore të mbeturinave të vëllimshme janë orenditë e vjetra, duke përfshirë dyshekët, pajisjet e mëdha elektrike, mbulesat e dyshemesë dhe të ngjashme. Disa mbeturina të vëllimshme mund të shfaqen gjithashtu si mbeturina ndërtimi dhe demoëimi dhe si mbeturina kopshti</w:t>
      </w:r>
      <w:r w:rsidR="00430A79" w:rsidRPr="009F5CA1">
        <w:rPr>
          <w:rFonts w:ascii="Arial Narrow" w:hAnsi="Arial Narrow"/>
          <w:sz w:val="22"/>
          <w:szCs w:val="22"/>
          <w:lang w:val="sq-AL"/>
        </w:rPr>
        <w:t>.</w:t>
      </w:r>
    </w:p>
    <w:p w14:paraId="5F2099C6" w14:textId="77777777" w:rsidR="00430A79" w:rsidRPr="009F5CA1" w:rsidRDefault="00430A79" w:rsidP="00430A79">
      <w:pPr>
        <w:rPr>
          <w:rFonts w:ascii="Arial Narrow" w:hAnsi="Arial Narrow"/>
          <w:sz w:val="22"/>
          <w:szCs w:val="22"/>
          <w:lang w:val="sq-AL"/>
        </w:rPr>
      </w:pPr>
    </w:p>
    <w:p w14:paraId="64352E43" w14:textId="77777777" w:rsidR="00515F70" w:rsidRPr="00BE2534" w:rsidRDefault="00515F70" w:rsidP="00515F70">
      <w:pPr>
        <w:rPr>
          <w:rFonts w:ascii="Arial Narrow" w:hAnsi="Arial Narrow"/>
          <w:sz w:val="22"/>
          <w:szCs w:val="22"/>
          <w:lang w:val="sq-AL"/>
        </w:rPr>
      </w:pPr>
      <w:r w:rsidRPr="00BE2534">
        <w:rPr>
          <w:rFonts w:ascii="Arial Narrow" w:hAnsi="Arial Narrow"/>
          <w:sz w:val="22"/>
          <w:szCs w:val="22"/>
          <w:lang w:val="sq-AL"/>
        </w:rPr>
        <w:t>Mënyrat kryesore për grumbullimin e mbeturinave të vëllimshme përfshijnë:</w:t>
      </w:r>
    </w:p>
    <w:p w14:paraId="673C9F32" w14:textId="77777777" w:rsidR="00515F70" w:rsidRPr="00BE2534" w:rsidRDefault="00515F70" w:rsidP="00515F70">
      <w:pPr>
        <w:rPr>
          <w:rFonts w:ascii="Arial Narrow" w:hAnsi="Arial Narrow"/>
          <w:sz w:val="22"/>
          <w:szCs w:val="22"/>
          <w:lang w:val="sq-AL"/>
        </w:rPr>
      </w:pPr>
    </w:p>
    <w:p w14:paraId="1BB43FB8" w14:textId="77777777" w:rsidR="00515F70" w:rsidRPr="00BE2534" w:rsidRDefault="00515F70" w:rsidP="00515F70">
      <w:pPr>
        <w:pStyle w:val="ListParagraph"/>
        <w:numPr>
          <w:ilvl w:val="0"/>
          <w:numId w:val="11"/>
        </w:numPr>
        <w:rPr>
          <w:sz w:val="22"/>
          <w:szCs w:val="22"/>
          <w:lang w:val="sq-AL"/>
        </w:rPr>
      </w:pPr>
      <w:r w:rsidRPr="00BE2534">
        <w:rPr>
          <w:sz w:val="22"/>
          <w:szCs w:val="22"/>
          <w:lang w:val="sq-AL"/>
        </w:rPr>
        <w:t>Hedhja e mbeturinave të vëllimshme afër kontejnerëve për mbeturina të përziera pasuar nga grumbullimi i organizuar nga komuna (sistemi aktual). Një grumbullim i tillë mund të bëhet sipas planit të përcaktuar paraprakisht i cili kërkon që familjet të hedhin mbeturinat e vëllimshme në ditët specifike të muajit.</w:t>
      </w:r>
    </w:p>
    <w:p w14:paraId="6CFD47AA" w14:textId="77777777" w:rsidR="00515F70" w:rsidRPr="00BE2534" w:rsidRDefault="00515F70" w:rsidP="00515F70">
      <w:pPr>
        <w:pStyle w:val="ListParagraph"/>
        <w:numPr>
          <w:ilvl w:val="0"/>
          <w:numId w:val="11"/>
        </w:numPr>
        <w:rPr>
          <w:sz w:val="22"/>
          <w:szCs w:val="22"/>
          <w:lang w:val="sq-AL"/>
        </w:rPr>
      </w:pPr>
      <w:r w:rsidRPr="00BE2534">
        <w:rPr>
          <w:sz w:val="22"/>
          <w:szCs w:val="22"/>
          <w:lang w:val="sq-AL"/>
        </w:rPr>
        <w:t>Hedhja në oborret e riciklimit ose në pika të tjera grumbullimi komunale të përcaktuara për këtë.</w:t>
      </w:r>
    </w:p>
    <w:p w14:paraId="4BB32C15" w14:textId="77777777" w:rsidR="00515F70" w:rsidRPr="00BE2534" w:rsidRDefault="00515F70" w:rsidP="00515F70">
      <w:pPr>
        <w:pStyle w:val="ListParagraph"/>
        <w:numPr>
          <w:ilvl w:val="0"/>
          <w:numId w:val="11"/>
        </w:numPr>
        <w:rPr>
          <w:sz w:val="22"/>
          <w:szCs w:val="22"/>
          <w:lang w:val="sq-AL"/>
        </w:rPr>
      </w:pPr>
      <w:r w:rsidRPr="00BE2534">
        <w:rPr>
          <w:sz w:val="22"/>
          <w:szCs w:val="22"/>
          <w:lang w:val="sq-AL"/>
        </w:rPr>
        <w:t>Grumbullimi sipas kërkesës.</w:t>
      </w:r>
    </w:p>
    <w:p w14:paraId="33AF0E0D" w14:textId="77777777" w:rsidR="00515F70" w:rsidRPr="00BE2534" w:rsidRDefault="00515F70" w:rsidP="00515F70">
      <w:pPr>
        <w:rPr>
          <w:rFonts w:ascii="Arial Narrow" w:hAnsi="Arial Narrow"/>
          <w:sz w:val="22"/>
          <w:szCs w:val="22"/>
          <w:lang w:val="sq-AL"/>
        </w:rPr>
      </w:pPr>
    </w:p>
    <w:p w14:paraId="2EC0D57B" w14:textId="5DBADC31" w:rsidR="00430A79" w:rsidRPr="009F5CA1" w:rsidRDefault="00515F70" w:rsidP="00515F70">
      <w:pPr>
        <w:rPr>
          <w:rFonts w:ascii="Arial Narrow" w:hAnsi="Arial Narrow"/>
          <w:sz w:val="22"/>
          <w:szCs w:val="22"/>
          <w:lang w:val="sq-AL"/>
        </w:rPr>
      </w:pPr>
      <w:r w:rsidRPr="00BE2534">
        <w:rPr>
          <w:rFonts w:ascii="Arial Narrow" w:hAnsi="Arial Narrow"/>
          <w:sz w:val="22"/>
          <w:szCs w:val="22"/>
          <w:lang w:val="sq-AL"/>
        </w:rPr>
        <w:t>Për më tepër s</w:t>
      </w:r>
      <w:r>
        <w:rPr>
          <w:rFonts w:ascii="Arial Narrow" w:hAnsi="Arial Narrow"/>
          <w:sz w:val="22"/>
          <w:szCs w:val="22"/>
          <w:lang w:val="sq-AL"/>
        </w:rPr>
        <w:t>e</w:t>
      </w:r>
      <w:r w:rsidRPr="00BE2534">
        <w:rPr>
          <w:rFonts w:ascii="Arial Narrow" w:hAnsi="Arial Narrow"/>
          <w:sz w:val="22"/>
          <w:szCs w:val="22"/>
          <w:lang w:val="sq-AL"/>
        </w:rPr>
        <w:t xml:space="preserve"> çka u tha më lart, një pjesë e mbeturinave të vëllimshme mund të mblidhet përmes zinxhirëve të shitjes me pakicë kur dyqanet ofrojnë kthimin e mobiljeve ose pajisjeve të vjetra në momentin e shitjes</w:t>
      </w:r>
      <w:r w:rsidR="00430A79" w:rsidRPr="009F5CA1">
        <w:rPr>
          <w:rFonts w:ascii="Arial Narrow" w:hAnsi="Arial Narrow"/>
          <w:sz w:val="22"/>
          <w:szCs w:val="22"/>
          <w:lang w:val="sq-AL"/>
        </w:rPr>
        <w:t>.</w:t>
      </w:r>
    </w:p>
    <w:p w14:paraId="36CA98E4" w14:textId="77777777" w:rsidR="00430A79" w:rsidRPr="009F5CA1" w:rsidRDefault="00430A79" w:rsidP="00430A79">
      <w:pPr>
        <w:rPr>
          <w:rFonts w:ascii="Arial Narrow" w:hAnsi="Arial Narrow"/>
          <w:lang w:val="sq-AL"/>
        </w:rPr>
      </w:pPr>
      <w:r w:rsidRPr="00430A79">
        <w:rPr>
          <w:noProof/>
        </w:rPr>
        <w:drawing>
          <wp:anchor distT="0" distB="0" distL="114300" distR="114300" simplePos="0" relativeHeight="251665408" behindDoc="0" locked="0" layoutInCell="1" allowOverlap="1" wp14:anchorId="7D498A6F" wp14:editId="0950B64B">
            <wp:simplePos x="0" y="0"/>
            <wp:positionH relativeFrom="column">
              <wp:posOffset>2876550</wp:posOffset>
            </wp:positionH>
            <wp:positionV relativeFrom="paragraph">
              <wp:posOffset>125095</wp:posOffset>
            </wp:positionV>
            <wp:extent cx="2743200" cy="1985010"/>
            <wp:effectExtent l="0" t="0" r="0" b="0"/>
            <wp:wrapSquare wrapText="bothSides"/>
            <wp:docPr id="7" name="Picture 6" descr="Резултат с изображение за dechett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Резултат с изображение за dechetterie"/>
                    <pic:cNvPicPr>
                      <a:picLocks noChangeAspect="1" noChangeArrowheads="1"/>
                    </pic:cNvPicPr>
                  </pic:nvPicPr>
                  <pic:blipFill>
                    <a:blip r:embed="rId82" cstate="screen">
                      <a:extLst>
                        <a:ext uri="{28A0092B-C50C-407E-A947-70E740481C1C}">
                          <a14:useLocalDpi xmlns:a14="http://schemas.microsoft.com/office/drawing/2010/main" val="0"/>
                        </a:ext>
                      </a:extLst>
                    </a:blip>
                    <a:srcRect/>
                    <a:stretch>
                      <a:fillRect/>
                    </a:stretch>
                  </pic:blipFill>
                  <pic:spPr bwMode="auto">
                    <a:xfrm>
                      <a:off x="0" y="0"/>
                      <a:ext cx="2743200" cy="1985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6B8131" w14:textId="77777777" w:rsidR="00515F70" w:rsidRPr="00BE2534" w:rsidRDefault="00515F70" w:rsidP="00515F70">
      <w:pPr>
        <w:jc w:val="both"/>
        <w:rPr>
          <w:rFonts w:ascii="Arial Narrow" w:hAnsi="Arial Narrow"/>
          <w:sz w:val="22"/>
          <w:szCs w:val="22"/>
          <w:lang w:val="sq-AL"/>
        </w:rPr>
      </w:pPr>
      <w:r w:rsidRPr="00BE2534">
        <w:rPr>
          <w:rFonts w:ascii="Arial Narrow" w:hAnsi="Arial Narrow"/>
          <w:sz w:val="22"/>
          <w:szCs w:val="22"/>
          <w:lang w:val="sq-AL"/>
        </w:rPr>
        <w:t>Masat fillestare për mbeturinat e vëllimshme do të fokusohen në skemën</w:t>
      </w:r>
      <w:r w:rsidRPr="00BE2534">
        <w:rPr>
          <w:rFonts w:ascii="Arial Narrow" w:hAnsi="Arial Narrow"/>
          <w:noProof/>
          <w:sz w:val="22"/>
          <w:szCs w:val="22"/>
          <w:lang w:val="sq-AL"/>
        </w:rPr>
        <w:t xml:space="preserve"> e shërbimit të grumbullimit </w:t>
      </w:r>
      <w:r w:rsidRPr="00BE2534">
        <w:rPr>
          <w:rFonts w:ascii="Arial Narrow" w:hAnsi="Arial Narrow"/>
          <w:sz w:val="22"/>
          <w:szCs w:val="22"/>
          <w:lang w:val="sq-AL"/>
        </w:rPr>
        <w:t>të organizuar nga komunat. Përveç kësaj, familjeve do t'ju ofrohet gjithashtu mundësia për të dorëzuar mbeurinat e tyre të vëllimshme në oborret e centralizuara të riciklimit.</w:t>
      </w:r>
    </w:p>
    <w:p w14:paraId="7205C15B" w14:textId="77777777" w:rsidR="00430A79" w:rsidRPr="009F5CA1" w:rsidRDefault="00430A79" w:rsidP="00430A79">
      <w:pPr>
        <w:rPr>
          <w:rFonts w:ascii="Arial Narrow" w:hAnsi="Arial Narrow"/>
          <w:sz w:val="22"/>
          <w:szCs w:val="22"/>
          <w:lang w:val="sq-AL"/>
        </w:rPr>
      </w:pPr>
    </w:p>
    <w:p w14:paraId="6B77E907" w14:textId="60795FF0" w:rsidR="00515F70" w:rsidRPr="00BE2534" w:rsidRDefault="00430A79" w:rsidP="00515F70">
      <w:pPr>
        <w:jc w:val="both"/>
        <w:rPr>
          <w:rFonts w:ascii="Arial Narrow" w:hAnsi="Arial Narrow"/>
          <w:sz w:val="22"/>
          <w:szCs w:val="22"/>
          <w:lang w:val="sq-AL"/>
        </w:rPr>
      </w:pPr>
      <w:r w:rsidRPr="00430A79">
        <w:rPr>
          <w:noProof/>
          <w:sz w:val="22"/>
          <w:szCs w:val="22"/>
        </w:rPr>
        <mc:AlternateContent>
          <mc:Choice Requires="wps">
            <w:drawing>
              <wp:anchor distT="0" distB="0" distL="114300" distR="114300" simplePos="0" relativeHeight="251666432" behindDoc="0" locked="0" layoutInCell="1" allowOverlap="1" wp14:anchorId="786E195C" wp14:editId="619AD3BE">
                <wp:simplePos x="0" y="0"/>
                <wp:positionH relativeFrom="column">
                  <wp:posOffset>2868930</wp:posOffset>
                </wp:positionH>
                <wp:positionV relativeFrom="paragraph">
                  <wp:posOffset>880110</wp:posOffset>
                </wp:positionV>
                <wp:extent cx="2743200" cy="362585"/>
                <wp:effectExtent l="0" t="0" r="0" b="0"/>
                <wp:wrapSquare wrapText="bothSides"/>
                <wp:docPr id="613450711" name="Text Box 1"/>
                <wp:cNvGraphicFramePr/>
                <a:graphic xmlns:a="http://schemas.openxmlformats.org/drawingml/2006/main">
                  <a:graphicData uri="http://schemas.microsoft.com/office/word/2010/wordprocessingShape">
                    <wps:wsp>
                      <wps:cNvSpPr txBox="1"/>
                      <wps:spPr>
                        <a:xfrm>
                          <a:off x="0" y="0"/>
                          <a:ext cx="2743200" cy="362585"/>
                        </a:xfrm>
                        <a:prstGeom prst="rect">
                          <a:avLst/>
                        </a:prstGeom>
                        <a:solidFill>
                          <a:prstClr val="white"/>
                        </a:solidFill>
                        <a:ln>
                          <a:noFill/>
                        </a:ln>
                      </wps:spPr>
                      <wps:txbx>
                        <w:txbxContent>
                          <w:p w14:paraId="3A48C6CA" w14:textId="08FE6418" w:rsidR="00430A79" w:rsidRPr="006347D6" w:rsidRDefault="00430A79" w:rsidP="006347D6">
                            <w:pPr>
                              <w:pStyle w:val="Figure"/>
                              <w:rPr>
                                <w:rFonts w:eastAsia="Calibri" w:cs="Calibri"/>
                                <w:sz w:val="20"/>
                                <w:szCs w:val="20"/>
                              </w:rPr>
                            </w:pPr>
                            <w:bookmarkStart w:id="464" w:name="_Toc185866251"/>
                            <w:bookmarkStart w:id="465" w:name="_Toc197472330"/>
                            <w:r w:rsidRPr="006347D6">
                              <w:rPr>
                                <w:rFonts w:eastAsia="Calibri" w:cs="Calibri"/>
                                <w:sz w:val="20"/>
                                <w:szCs w:val="20"/>
                              </w:rPr>
                              <w:t xml:space="preserve">Figure </w:t>
                            </w:r>
                            <w:r w:rsidRPr="006347D6">
                              <w:rPr>
                                <w:rFonts w:eastAsia="Calibri" w:cs="Calibri"/>
                                <w:sz w:val="20"/>
                                <w:szCs w:val="20"/>
                              </w:rPr>
                              <w:fldChar w:fldCharType="begin"/>
                            </w:r>
                            <w:r w:rsidRPr="006347D6">
                              <w:rPr>
                                <w:rFonts w:eastAsia="Calibri" w:cs="Calibri"/>
                                <w:sz w:val="20"/>
                                <w:szCs w:val="20"/>
                              </w:rPr>
                              <w:instrText xml:space="preserve"> SEQ Figure \* ARABIC </w:instrText>
                            </w:r>
                            <w:r w:rsidRPr="006347D6">
                              <w:rPr>
                                <w:rFonts w:eastAsia="Calibri" w:cs="Calibri"/>
                                <w:sz w:val="20"/>
                                <w:szCs w:val="20"/>
                              </w:rPr>
                              <w:fldChar w:fldCharType="separate"/>
                            </w:r>
                            <w:r w:rsidR="00C97DF3">
                              <w:rPr>
                                <w:rFonts w:eastAsia="Calibri" w:cs="Calibri"/>
                                <w:noProof/>
                                <w:sz w:val="20"/>
                                <w:szCs w:val="20"/>
                              </w:rPr>
                              <w:t>29</w:t>
                            </w:r>
                            <w:r w:rsidRPr="006347D6">
                              <w:rPr>
                                <w:rFonts w:eastAsia="Calibri" w:cs="Calibri"/>
                                <w:sz w:val="20"/>
                                <w:szCs w:val="20"/>
                              </w:rPr>
                              <w:fldChar w:fldCharType="end"/>
                            </w:r>
                            <w:r w:rsidRPr="006347D6">
                              <w:rPr>
                                <w:rFonts w:eastAsia="Calibri" w:cs="Calibri"/>
                                <w:sz w:val="20"/>
                                <w:szCs w:val="20"/>
                              </w:rPr>
                              <w:t xml:space="preserve">. </w:t>
                            </w:r>
                            <w:r w:rsidR="00515F70">
                              <w:rPr>
                                <w:rFonts w:eastAsia="Calibri" w:cs="Calibri"/>
                                <w:sz w:val="20"/>
                                <w:szCs w:val="20"/>
                              </w:rPr>
                              <w:t>Pikë grumbullimi për mbeturinat e vëllimshme</w:t>
                            </w:r>
                            <w:bookmarkEnd w:id="464"/>
                            <w:bookmarkEnd w:id="46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6E195C" id="_x0000_s1038" type="#_x0000_t202" style="position:absolute;left:0;text-align:left;margin-left:225.9pt;margin-top:69.3pt;width:3in;height:28.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" stroked="f">
                <v:textbox inset="0,0,0,0">
                  <w:txbxContent>
                    <w:p w14:paraId="3A48C6CA" w14:textId="08FE6418" w:rsidR="00430A79" w:rsidRPr="006347D6" w:rsidRDefault="00430A79" w:rsidP="006347D6">
                      <w:pPr>
                        <w:pStyle w:val="Figure"/>
                        <w:rPr>
                          <w:rFonts w:eastAsia="Calibri" w:cs="Calibri"/>
                          <w:sz w:val="20"/>
                          <w:szCs w:val="20"/>
                        </w:rPr>
                      </w:pPr>
                      <w:bookmarkStart w:id="466" w:name="_Toc185866251"/>
                      <w:bookmarkStart w:id="467" w:name="_Toc197472330"/>
                      <w:r w:rsidRPr="006347D6">
                        <w:rPr>
                          <w:rFonts w:eastAsia="Calibri" w:cs="Calibri"/>
                          <w:sz w:val="20"/>
                          <w:szCs w:val="20"/>
                        </w:rPr>
                        <w:t xml:space="preserve">Figure </w:t>
                      </w:r>
                      <w:r w:rsidRPr="006347D6">
                        <w:rPr>
                          <w:rFonts w:eastAsia="Calibri" w:cs="Calibri"/>
                          <w:sz w:val="20"/>
                          <w:szCs w:val="20"/>
                        </w:rPr>
                        <w:fldChar w:fldCharType="begin"/>
                      </w:r>
                      <w:r w:rsidRPr="006347D6">
                        <w:rPr>
                          <w:rFonts w:eastAsia="Calibri" w:cs="Calibri"/>
                          <w:sz w:val="20"/>
                          <w:szCs w:val="20"/>
                        </w:rPr>
                        <w:instrText xml:space="preserve"> SEQ Figure \* ARABIC </w:instrText>
                      </w:r>
                      <w:r w:rsidRPr="006347D6">
                        <w:rPr>
                          <w:rFonts w:eastAsia="Calibri" w:cs="Calibri"/>
                          <w:sz w:val="20"/>
                          <w:szCs w:val="20"/>
                        </w:rPr>
                        <w:fldChar w:fldCharType="separate"/>
                      </w:r>
                      <w:r w:rsidR="00C97DF3">
                        <w:rPr>
                          <w:rFonts w:eastAsia="Calibri" w:cs="Calibri"/>
                          <w:noProof/>
                          <w:sz w:val="20"/>
                          <w:szCs w:val="20"/>
                        </w:rPr>
                        <w:t>29</w:t>
                      </w:r>
                      <w:r w:rsidRPr="006347D6">
                        <w:rPr>
                          <w:rFonts w:eastAsia="Calibri" w:cs="Calibri"/>
                          <w:sz w:val="20"/>
                          <w:szCs w:val="20"/>
                        </w:rPr>
                        <w:fldChar w:fldCharType="end"/>
                      </w:r>
                      <w:r w:rsidRPr="006347D6">
                        <w:rPr>
                          <w:rFonts w:eastAsia="Calibri" w:cs="Calibri"/>
                          <w:sz w:val="20"/>
                          <w:szCs w:val="20"/>
                        </w:rPr>
                        <w:t xml:space="preserve">. </w:t>
                      </w:r>
                      <w:r w:rsidR="00515F70">
                        <w:rPr>
                          <w:rFonts w:eastAsia="Calibri" w:cs="Calibri"/>
                          <w:sz w:val="20"/>
                          <w:szCs w:val="20"/>
                        </w:rPr>
                        <w:t>Pikë grumbullimi për mbeturinat e vëllimshme</w:t>
                      </w:r>
                      <w:bookmarkEnd w:id="466"/>
                      <w:bookmarkEnd w:id="467"/>
                    </w:p>
                  </w:txbxContent>
                </v:textbox>
                <w10:wrap type="square"/>
              </v:shape>
            </w:pict>
          </mc:Fallback>
        </mc:AlternateContent>
      </w:r>
      <w:r w:rsidR="00515F70" w:rsidRPr="009F5CA1">
        <w:rPr>
          <w:rFonts w:ascii="Arial Narrow" w:hAnsi="Arial Narrow"/>
          <w:sz w:val="22"/>
          <w:szCs w:val="22"/>
          <w:lang w:val="sq-AL"/>
        </w:rPr>
        <w:t>Ç</w:t>
      </w:r>
      <w:r w:rsidR="00515F70" w:rsidRPr="00BE2534">
        <w:rPr>
          <w:rFonts w:ascii="Arial Narrow" w:hAnsi="Arial Narrow"/>
          <w:sz w:val="22"/>
          <w:szCs w:val="22"/>
          <w:lang w:val="sq-AL"/>
        </w:rPr>
        <w:t>montimi i mbeturinave të vëllimshme dhe largimi i materialeve të riciklueshëm do të organizohet fillimisht në deponinë rajonale dhe më vonë në TMB. Vendi do të pajiset gjithashtu me grirëse për të reduktuar volumin e mbeturinave të vëllimshme të destinuara për rikuperimin dhe deponimin përfundimtar. Disa çmontime paraprakisht mund të organizohen edhe në stacionet e transferit.</w:t>
      </w:r>
    </w:p>
    <w:p w14:paraId="2A42DB55" w14:textId="72339A5D" w:rsidR="00430A79" w:rsidRPr="009F5CA1" w:rsidRDefault="00430A79" w:rsidP="00430A79">
      <w:pPr>
        <w:rPr>
          <w:rFonts w:ascii="Arial Narrow" w:hAnsi="Arial Narrow"/>
          <w:sz w:val="22"/>
          <w:szCs w:val="22"/>
          <w:lang w:val="sq-AL"/>
        </w:rPr>
      </w:pPr>
    </w:p>
    <w:p w14:paraId="5B501725" w14:textId="77777777" w:rsidR="00515F70" w:rsidRPr="00BE2534" w:rsidRDefault="00515F70" w:rsidP="00515F70">
      <w:pPr>
        <w:rPr>
          <w:rFonts w:ascii="Arial Narrow" w:hAnsi="Arial Narrow"/>
          <w:sz w:val="22"/>
          <w:szCs w:val="22"/>
          <w:lang w:val="sq-AL"/>
        </w:rPr>
      </w:pPr>
      <w:r w:rsidRPr="00BE2534">
        <w:rPr>
          <w:rFonts w:ascii="Arial Narrow" w:hAnsi="Arial Narrow"/>
          <w:sz w:val="22"/>
          <w:szCs w:val="22"/>
          <w:lang w:val="sq-AL"/>
        </w:rPr>
        <w:t>Në një periudhë afatgjatë, grumbullimi i mbeturinave të vëllimshme do të shqyrtojë mundësinë e riparimit dhe ripërdorimit të orendive dhe pajisjeve të vjetra të hedhura. Praktikat e mëposhtme do të promovohen:</w:t>
      </w:r>
    </w:p>
    <w:p w14:paraId="2A94BDE2" w14:textId="77777777" w:rsidR="00515F70" w:rsidRPr="00BE2534" w:rsidRDefault="00515F70" w:rsidP="00515F70">
      <w:pPr>
        <w:rPr>
          <w:rFonts w:ascii="Arial Narrow" w:hAnsi="Arial Narrow"/>
          <w:sz w:val="22"/>
          <w:szCs w:val="22"/>
          <w:lang w:val="sq-AL"/>
        </w:rPr>
      </w:pPr>
    </w:p>
    <w:p w14:paraId="27455FF8" w14:textId="51259657" w:rsidR="00515F70" w:rsidRPr="00BE2534" w:rsidRDefault="00515F70" w:rsidP="00515F70">
      <w:pPr>
        <w:pStyle w:val="ListParagraph"/>
        <w:numPr>
          <w:ilvl w:val="0"/>
          <w:numId w:val="12"/>
        </w:numPr>
        <w:rPr>
          <w:sz w:val="22"/>
          <w:szCs w:val="22"/>
          <w:lang w:val="sq-AL"/>
        </w:rPr>
      </w:pPr>
      <w:r w:rsidRPr="00BE2534">
        <w:rPr>
          <w:sz w:val="22"/>
          <w:szCs w:val="22"/>
          <w:lang w:val="sq-AL"/>
        </w:rPr>
        <w:lastRenderedPageBreak/>
        <w:t>dhurimi për qëllime bamirësie i orendive të vjetra dhe pajisjeve elektroshtëpiake të përshtatshme për ripërdorim</w:t>
      </w:r>
      <w:r>
        <w:rPr>
          <w:sz w:val="22"/>
          <w:szCs w:val="22"/>
          <w:lang w:val="sq-AL"/>
        </w:rPr>
        <w:t>.</w:t>
      </w:r>
      <w:r w:rsidRPr="00BE2534">
        <w:rPr>
          <w:sz w:val="22"/>
          <w:szCs w:val="22"/>
          <w:lang w:val="sq-AL"/>
        </w:rPr>
        <w:t xml:space="preserve"> </w:t>
      </w:r>
    </w:p>
    <w:p w14:paraId="2B7F70E8" w14:textId="2A057A3F" w:rsidR="00515F70" w:rsidRPr="00BE2534" w:rsidRDefault="00515F70" w:rsidP="00515F70">
      <w:pPr>
        <w:pStyle w:val="ListParagraph"/>
        <w:numPr>
          <w:ilvl w:val="0"/>
          <w:numId w:val="12"/>
        </w:numPr>
        <w:rPr>
          <w:sz w:val="22"/>
          <w:szCs w:val="22"/>
          <w:lang w:val="sq-AL"/>
        </w:rPr>
      </w:pPr>
      <w:r w:rsidRPr="00BE2534">
        <w:rPr>
          <w:sz w:val="22"/>
          <w:szCs w:val="22"/>
          <w:lang w:val="sq-AL"/>
        </w:rPr>
        <w:t>grumbullim nga/dorëzim tek tregtarët e mallrave të përdorura</w:t>
      </w:r>
      <w:r>
        <w:rPr>
          <w:sz w:val="22"/>
          <w:szCs w:val="22"/>
          <w:lang w:val="sq-AL"/>
        </w:rPr>
        <w:t>.</w:t>
      </w:r>
    </w:p>
    <w:p w14:paraId="531B3684" w14:textId="2F2F9948" w:rsidR="00515F70" w:rsidRPr="00BE2534" w:rsidRDefault="00515F70" w:rsidP="00515F70">
      <w:pPr>
        <w:pStyle w:val="ListParagraph"/>
        <w:numPr>
          <w:ilvl w:val="0"/>
          <w:numId w:val="12"/>
        </w:numPr>
        <w:rPr>
          <w:sz w:val="22"/>
          <w:szCs w:val="22"/>
          <w:lang w:val="sq-AL"/>
        </w:rPr>
      </w:pPr>
      <w:r w:rsidRPr="00BE2534">
        <w:rPr>
          <w:sz w:val="22"/>
          <w:szCs w:val="22"/>
          <w:lang w:val="sq-AL"/>
        </w:rPr>
        <w:t>dhurata ose shitja tek palët e treta si një iniciativë private (p.sh. nëpërmjet faqeve të shitjeve në internet)</w:t>
      </w:r>
      <w:r>
        <w:rPr>
          <w:sz w:val="22"/>
          <w:szCs w:val="22"/>
          <w:lang w:val="sq-AL"/>
        </w:rPr>
        <w:t>.</w:t>
      </w:r>
    </w:p>
    <w:p w14:paraId="560755AC" w14:textId="50182331" w:rsidR="00515F70" w:rsidRDefault="00515F70" w:rsidP="00515F70">
      <w:pPr>
        <w:pStyle w:val="ListParagraph"/>
        <w:numPr>
          <w:ilvl w:val="0"/>
          <w:numId w:val="12"/>
        </w:numPr>
        <w:rPr>
          <w:sz w:val="22"/>
          <w:szCs w:val="22"/>
          <w:lang w:val="sq-AL"/>
        </w:rPr>
      </w:pPr>
      <w:r w:rsidRPr="00BE2534">
        <w:rPr>
          <w:sz w:val="22"/>
          <w:szCs w:val="22"/>
          <w:lang w:val="sq-AL"/>
        </w:rPr>
        <w:t>dhënia si dhurata palëve të treta (familje, miq, të njohur)</w:t>
      </w:r>
      <w:r>
        <w:rPr>
          <w:sz w:val="22"/>
          <w:szCs w:val="22"/>
          <w:lang w:val="sq-AL"/>
        </w:rPr>
        <w:t>.</w:t>
      </w:r>
    </w:p>
    <w:p w14:paraId="3A1DFE11" w14:textId="3CFD013F" w:rsidR="00430A79" w:rsidRDefault="00515F70" w:rsidP="00515F70">
      <w:pPr>
        <w:pStyle w:val="ListParagraph"/>
        <w:numPr>
          <w:ilvl w:val="0"/>
          <w:numId w:val="12"/>
        </w:numPr>
        <w:rPr>
          <w:sz w:val="22"/>
          <w:szCs w:val="22"/>
          <w:lang w:val="sq-AL"/>
        </w:rPr>
      </w:pPr>
      <w:r w:rsidRPr="00515F70">
        <w:rPr>
          <w:sz w:val="22"/>
          <w:szCs w:val="22"/>
          <w:lang w:val="sq-AL"/>
        </w:rPr>
        <w:t>themelimi i qendrës rajonale për riparimin e orendive të vjetra dhe pajisjeve elektrike me mbështetjen e mundshme të sektorit joqeveritar dhe përfshirjen e personave nga grupet e cenueshme</w:t>
      </w:r>
      <w:r>
        <w:rPr>
          <w:sz w:val="22"/>
          <w:szCs w:val="22"/>
          <w:lang w:val="sq-AL"/>
        </w:rPr>
        <w:t>.</w:t>
      </w:r>
    </w:p>
    <w:p w14:paraId="10C5C962" w14:textId="77777777" w:rsidR="003F742B" w:rsidRDefault="003F742B" w:rsidP="003F742B">
      <w:pPr>
        <w:pStyle w:val="ListParagraph"/>
        <w:rPr>
          <w:sz w:val="22"/>
          <w:szCs w:val="22"/>
          <w:lang w:val="sq-AL"/>
        </w:rPr>
      </w:pPr>
    </w:p>
    <w:p w14:paraId="19D5328C" w14:textId="77777777" w:rsidR="00160C71" w:rsidRPr="00515F70" w:rsidRDefault="00160C71" w:rsidP="003F742B">
      <w:pPr>
        <w:pStyle w:val="ListParagraph"/>
        <w:rPr>
          <w:sz w:val="22"/>
          <w:szCs w:val="22"/>
          <w:lang w:val="sq-AL"/>
        </w:rPr>
      </w:pPr>
    </w:p>
    <w:p w14:paraId="2BA89816" w14:textId="6219B2F0" w:rsidR="00430A79" w:rsidRPr="00430A79" w:rsidRDefault="00515F70" w:rsidP="000D7AD0">
      <w:pPr>
        <w:pStyle w:val="Heading3"/>
      </w:pPr>
      <w:bookmarkStart w:id="468" w:name="_Toc185866142"/>
      <w:bookmarkStart w:id="469" w:name="_Ref193217988"/>
      <w:bookmarkStart w:id="470" w:name="_Toc197472033"/>
      <w:r>
        <w:t xml:space="preserve">Fraksionet e veçanta </w:t>
      </w:r>
      <w:r w:rsidR="00430A79" w:rsidRPr="00430A79">
        <w:t>të mbeturinave</w:t>
      </w:r>
      <w:bookmarkEnd w:id="468"/>
      <w:bookmarkEnd w:id="469"/>
      <w:bookmarkEnd w:id="470"/>
    </w:p>
    <w:p w14:paraId="21BD1702" w14:textId="77777777" w:rsidR="003F742B" w:rsidRDefault="003F742B" w:rsidP="00515F70">
      <w:pPr>
        <w:jc w:val="both"/>
        <w:rPr>
          <w:rFonts w:ascii="Arial Narrow" w:eastAsia="Calibri" w:hAnsi="Arial Narrow" w:cs="Calibri"/>
          <w:sz w:val="22"/>
          <w:szCs w:val="22"/>
          <w:lang w:val="sq-AL"/>
        </w:rPr>
      </w:pPr>
    </w:p>
    <w:p w14:paraId="7DF8535E" w14:textId="65810581" w:rsidR="00515F70" w:rsidRPr="00BE2534" w:rsidRDefault="00515F70" w:rsidP="00515F70">
      <w:pPr>
        <w:jc w:val="both"/>
        <w:rPr>
          <w:rFonts w:ascii="Arial Narrow" w:eastAsia="Calibri" w:hAnsi="Arial Narrow" w:cs="Calibri"/>
          <w:sz w:val="22"/>
          <w:szCs w:val="22"/>
          <w:lang w:val="sq-AL"/>
        </w:rPr>
      </w:pPr>
      <w:r w:rsidRPr="00BE2534">
        <w:rPr>
          <w:rFonts w:ascii="Arial Narrow" w:eastAsia="Calibri" w:hAnsi="Arial Narrow" w:cs="Calibri"/>
          <w:sz w:val="22"/>
          <w:szCs w:val="22"/>
          <w:lang w:val="sq-AL"/>
        </w:rPr>
        <w:t xml:space="preserve">Pasi që skemat e Përgjegjësisë së Zgjeruar të Prodhuesit (PZP) të funksionalizihet plotësisht në vend, komunat në ZMM do të lidhin kontrata me operatorët PZP për grumbullimin </w:t>
      </w:r>
      <w:r>
        <w:rPr>
          <w:rFonts w:ascii="Arial Narrow" w:eastAsia="Calibri" w:hAnsi="Arial Narrow" w:cs="Calibri"/>
          <w:sz w:val="22"/>
          <w:szCs w:val="22"/>
          <w:lang w:val="sq-AL"/>
        </w:rPr>
        <w:t>ndaras</w:t>
      </w:r>
      <w:r w:rsidRPr="00BE2534">
        <w:rPr>
          <w:rFonts w:ascii="Arial Narrow" w:eastAsia="Calibri" w:hAnsi="Arial Narrow" w:cs="Calibri"/>
          <w:sz w:val="22"/>
          <w:szCs w:val="22"/>
          <w:lang w:val="sq-AL"/>
        </w:rPr>
        <w:t xml:space="preserve"> të fraksioneve specifike të mbeturinave në vijim:</w:t>
      </w:r>
    </w:p>
    <w:p w14:paraId="3AA34285" w14:textId="77777777" w:rsidR="00515F70" w:rsidRPr="00BE2534" w:rsidRDefault="00515F70" w:rsidP="00515F70">
      <w:pPr>
        <w:jc w:val="both"/>
        <w:rPr>
          <w:rFonts w:ascii="Arial Narrow" w:eastAsia="Calibri" w:hAnsi="Arial Narrow" w:cs="Calibri"/>
          <w:sz w:val="22"/>
          <w:szCs w:val="22"/>
          <w:lang w:val="sq-AL"/>
        </w:rPr>
      </w:pPr>
    </w:p>
    <w:p w14:paraId="243BCE72" w14:textId="77777777" w:rsidR="00515F70" w:rsidRPr="00BE2534" w:rsidRDefault="00515F70" w:rsidP="00515F70">
      <w:pPr>
        <w:numPr>
          <w:ilvl w:val="0"/>
          <w:numId w:val="13"/>
        </w:numPr>
        <w:spacing w:after="160" w:line="259" w:lineRule="auto"/>
        <w:contextualSpacing/>
        <w:rPr>
          <w:rFonts w:ascii="Arial Narrow" w:eastAsia="Calibri" w:hAnsi="Arial Narrow" w:cs="Calibri"/>
          <w:sz w:val="22"/>
          <w:szCs w:val="22"/>
          <w:lang w:val="sq-AL"/>
        </w:rPr>
      </w:pPr>
      <w:r w:rsidRPr="00BE2534">
        <w:rPr>
          <w:rFonts w:ascii="Arial Narrow" w:eastAsia="Calibri" w:hAnsi="Arial Narrow" w:cs="Calibri"/>
          <w:sz w:val="22"/>
          <w:szCs w:val="22"/>
          <w:lang w:val="sq-AL"/>
        </w:rPr>
        <w:t>Mbeturinat e pajisjeve elektrike dhe elektronike</w:t>
      </w:r>
    </w:p>
    <w:p w14:paraId="256BB4FF" w14:textId="77777777" w:rsidR="00515F70" w:rsidRPr="00BE2534" w:rsidRDefault="00515F70" w:rsidP="00515F70">
      <w:pPr>
        <w:numPr>
          <w:ilvl w:val="0"/>
          <w:numId w:val="13"/>
        </w:numPr>
        <w:spacing w:after="160" w:line="259" w:lineRule="auto"/>
        <w:contextualSpacing/>
        <w:rPr>
          <w:rFonts w:ascii="Arial Narrow" w:eastAsia="Calibri" w:hAnsi="Arial Narrow" w:cs="Calibri"/>
          <w:sz w:val="22"/>
          <w:szCs w:val="22"/>
          <w:lang w:val="sq-AL"/>
        </w:rPr>
      </w:pPr>
      <w:r w:rsidRPr="00BE2534">
        <w:rPr>
          <w:rFonts w:ascii="Arial Narrow" w:eastAsia="Calibri" w:hAnsi="Arial Narrow" w:cs="Calibri"/>
          <w:sz w:val="22"/>
          <w:szCs w:val="22"/>
          <w:lang w:val="sq-AL"/>
        </w:rPr>
        <w:t>Vajra të përdorura</w:t>
      </w:r>
    </w:p>
    <w:p w14:paraId="300B5C5A" w14:textId="77777777" w:rsidR="00515F70" w:rsidRPr="00BE2534" w:rsidRDefault="00515F70" w:rsidP="00515F70">
      <w:pPr>
        <w:numPr>
          <w:ilvl w:val="0"/>
          <w:numId w:val="13"/>
        </w:numPr>
        <w:spacing w:after="160" w:line="259" w:lineRule="auto"/>
        <w:contextualSpacing/>
        <w:rPr>
          <w:rFonts w:ascii="Arial Narrow" w:eastAsia="Calibri" w:hAnsi="Arial Narrow" w:cs="Calibri"/>
          <w:sz w:val="22"/>
          <w:szCs w:val="22"/>
          <w:lang w:val="sq-AL"/>
        </w:rPr>
      </w:pPr>
      <w:r w:rsidRPr="00BE2534">
        <w:rPr>
          <w:rFonts w:ascii="Arial Narrow" w:eastAsia="Calibri" w:hAnsi="Arial Narrow" w:cs="Calibri"/>
          <w:sz w:val="22"/>
          <w:szCs w:val="22"/>
          <w:lang w:val="sq-AL"/>
        </w:rPr>
        <w:t>Automjetet e hedhura dhe mbeturinat e tyre</w:t>
      </w:r>
    </w:p>
    <w:p w14:paraId="3EE2A7A3" w14:textId="77777777" w:rsidR="00515F70" w:rsidRPr="00BE2534" w:rsidRDefault="00515F70" w:rsidP="00515F70">
      <w:pPr>
        <w:numPr>
          <w:ilvl w:val="0"/>
          <w:numId w:val="13"/>
        </w:numPr>
        <w:spacing w:after="160" w:line="259" w:lineRule="auto"/>
        <w:contextualSpacing/>
        <w:rPr>
          <w:rFonts w:ascii="Arial Narrow" w:eastAsia="Calibri" w:hAnsi="Arial Narrow" w:cs="Calibri"/>
          <w:sz w:val="22"/>
          <w:szCs w:val="22"/>
          <w:lang w:val="sq-AL"/>
        </w:rPr>
      </w:pPr>
      <w:r w:rsidRPr="00BE2534">
        <w:rPr>
          <w:rFonts w:ascii="Arial Narrow" w:eastAsia="Calibri" w:hAnsi="Arial Narrow" w:cs="Calibri"/>
          <w:sz w:val="22"/>
          <w:szCs w:val="22"/>
          <w:lang w:val="sq-AL"/>
        </w:rPr>
        <w:t>Bateritë dhe akumulatorët e harxhuar</w:t>
      </w:r>
    </w:p>
    <w:p w14:paraId="1845E1DF" w14:textId="77777777" w:rsidR="00515F70" w:rsidRPr="00BE2534" w:rsidRDefault="00515F70" w:rsidP="00515F70">
      <w:pPr>
        <w:numPr>
          <w:ilvl w:val="0"/>
          <w:numId w:val="13"/>
        </w:numPr>
        <w:spacing w:after="160" w:line="259" w:lineRule="auto"/>
        <w:contextualSpacing/>
        <w:rPr>
          <w:rFonts w:ascii="Arial Narrow" w:eastAsia="Calibri" w:hAnsi="Arial Narrow" w:cs="Calibri"/>
          <w:sz w:val="22"/>
          <w:szCs w:val="22"/>
          <w:lang w:val="sq-AL"/>
        </w:rPr>
      </w:pPr>
      <w:r w:rsidRPr="00BE2534">
        <w:rPr>
          <w:rFonts w:ascii="Arial Narrow" w:eastAsia="Calibri" w:hAnsi="Arial Narrow" w:cs="Calibri"/>
          <w:sz w:val="22"/>
          <w:szCs w:val="22"/>
          <w:lang w:val="sq-AL"/>
        </w:rPr>
        <w:t>Goma të shpenzuara</w:t>
      </w:r>
    </w:p>
    <w:p w14:paraId="63468B4C" w14:textId="77777777" w:rsidR="00430A79" w:rsidRPr="00430A79" w:rsidRDefault="00430A79" w:rsidP="00430A79">
      <w:pPr>
        <w:rPr>
          <w:rFonts w:ascii="Arial Narrow" w:eastAsia="Calibri" w:hAnsi="Arial Narrow" w:cs="Calibri"/>
          <w:sz w:val="22"/>
          <w:szCs w:val="22"/>
          <w:lang w:val="en-GB"/>
        </w:rPr>
      </w:pPr>
    </w:p>
    <w:p w14:paraId="245AE12A" w14:textId="2E7E7700" w:rsidR="00430A79" w:rsidRPr="009F5CA1" w:rsidRDefault="00430A79" w:rsidP="00430A79">
      <w:pPr>
        <w:jc w:val="both"/>
        <w:rPr>
          <w:rFonts w:ascii="Arial Narrow" w:eastAsia="Calibri" w:hAnsi="Arial Narrow" w:cs="Calibri"/>
          <w:sz w:val="22"/>
          <w:szCs w:val="22"/>
          <w:lang w:val="sq-AL"/>
        </w:rPr>
      </w:pPr>
      <w:r w:rsidRPr="00430A79">
        <w:rPr>
          <w:rFonts w:ascii="Arial Narrow" w:eastAsia="Calibri" w:hAnsi="Arial Narrow" w:cs="Calibri"/>
          <w:noProof/>
          <w:sz w:val="22"/>
          <w:szCs w:val="22"/>
          <w:lang w:val="en-GB"/>
        </w:rPr>
        <w:drawing>
          <wp:anchor distT="0" distB="0" distL="114300" distR="114300" simplePos="0" relativeHeight="251667456" behindDoc="1" locked="0" layoutInCell="1" allowOverlap="1" wp14:anchorId="69326D9A" wp14:editId="4EA38A01">
            <wp:simplePos x="0" y="0"/>
            <wp:positionH relativeFrom="column">
              <wp:posOffset>2324100</wp:posOffset>
            </wp:positionH>
            <wp:positionV relativeFrom="paragraph">
              <wp:posOffset>52070</wp:posOffset>
            </wp:positionV>
            <wp:extent cx="3620770" cy="1428750"/>
            <wp:effectExtent l="0" t="0" r="0" b="0"/>
            <wp:wrapTight wrapText="bothSides">
              <wp:wrapPolygon edited="0">
                <wp:start x="0" y="0"/>
                <wp:lineTo x="0" y="21312"/>
                <wp:lineTo x="21479" y="21312"/>
                <wp:lineTo x="21479" y="0"/>
                <wp:lineTo x="0" y="0"/>
              </wp:wrapPolygon>
            </wp:wrapTight>
            <wp:docPr id="1240248541" name="Picture 1240248541" descr="Several garbage cans in a parking lot&#10;&#10;Description automatically generated">
              <a:extLst xmlns:a="http://schemas.openxmlformats.org/drawingml/2006/main">
                <a:ext uri="{FF2B5EF4-FFF2-40B4-BE49-F238E27FC236}">
                  <a16:creationId xmlns:a16="http://schemas.microsoft.com/office/drawing/2014/main" id="{4AB87794-659A-91D5-F0E3-02BE7CCFD6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48541" name="Picture 1240248541" descr="Several garbage cans in a parking lot&#10;&#10;Description automatically generated">
                      <a:extLst>
                        <a:ext uri="{FF2B5EF4-FFF2-40B4-BE49-F238E27FC236}">
                          <a16:creationId xmlns:a16="http://schemas.microsoft.com/office/drawing/2014/main" id="{4AB87794-659A-91D5-F0E3-02BE7CCFD67A}"/>
                        </a:ext>
                      </a:extLst>
                    </pic:cNvPr>
                    <pic:cNvPicPr>
                      <a:picLocks noChangeAspect="1" noChangeArrowheads="1"/>
                    </pic:cNvPicPr>
                  </pic:nvPicPr>
                  <pic:blipFill rotWithShape="1">
                    <a:blip r:embed="rId83">
                      <a:extLst>
                        <a:ext uri="{28A0092B-C50C-407E-A947-70E740481C1C}">
                          <a14:useLocalDpi xmlns:a14="http://schemas.microsoft.com/office/drawing/2010/main" val="0"/>
                        </a:ext>
                      </a:extLst>
                    </a:blip>
                    <a:srcRect t="11050" b="28544"/>
                    <a:stretch/>
                  </pic:blipFill>
                  <pic:spPr bwMode="auto">
                    <a:xfrm>
                      <a:off x="0" y="0"/>
                      <a:ext cx="3620770" cy="1428750"/>
                    </a:xfrm>
                    <a:prstGeom prst="rect">
                      <a:avLst/>
                    </a:prstGeom>
                    <a:noFill/>
                  </pic:spPr>
                </pic:pic>
              </a:graphicData>
            </a:graphic>
            <wp14:sizeRelH relativeFrom="margin">
              <wp14:pctWidth>0</wp14:pctWidth>
            </wp14:sizeRelH>
            <wp14:sizeRelV relativeFrom="margin">
              <wp14:pctHeight>0</wp14:pctHeight>
            </wp14:sizeRelV>
          </wp:anchor>
        </w:drawing>
      </w:r>
      <w:r w:rsidRPr="00430A79">
        <w:rPr>
          <w:rFonts w:ascii="Arial Narrow" w:eastAsia="Calibri" w:hAnsi="Arial Narrow" w:cs="Calibri"/>
          <w:noProof/>
          <w:sz w:val="22"/>
          <w:szCs w:val="22"/>
          <w:lang w:val="en-GB"/>
        </w:rPr>
        <mc:AlternateContent>
          <mc:Choice Requires="wps">
            <w:drawing>
              <wp:anchor distT="0" distB="0" distL="114300" distR="114300" simplePos="0" relativeHeight="251668480" behindDoc="1" locked="0" layoutInCell="1" allowOverlap="1" wp14:anchorId="72F23921" wp14:editId="51868EFD">
                <wp:simplePos x="0" y="0"/>
                <wp:positionH relativeFrom="column">
                  <wp:posOffset>2489200</wp:posOffset>
                </wp:positionH>
                <wp:positionV relativeFrom="paragraph">
                  <wp:posOffset>1483995</wp:posOffset>
                </wp:positionV>
                <wp:extent cx="3562350" cy="635"/>
                <wp:effectExtent l="0" t="0" r="0" b="6985"/>
                <wp:wrapTight wrapText="bothSides">
                  <wp:wrapPolygon edited="0">
                    <wp:start x="0" y="0"/>
                    <wp:lineTo x="0" y="19808"/>
                    <wp:lineTo x="21484" y="19808"/>
                    <wp:lineTo x="21484" y="0"/>
                    <wp:lineTo x="0" y="0"/>
                  </wp:wrapPolygon>
                </wp:wrapTight>
                <wp:docPr id="1771207895" name="Text Box 1"/>
                <wp:cNvGraphicFramePr/>
                <a:graphic xmlns:a="http://schemas.openxmlformats.org/drawingml/2006/main">
                  <a:graphicData uri="http://schemas.microsoft.com/office/word/2010/wordprocessingShape">
                    <wps:wsp>
                      <wps:cNvSpPr txBox="1"/>
                      <wps:spPr>
                        <a:xfrm>
                          <a:off x="0" y="0"/>
                          <a:ext cx="3562350" cy="635"/>
                        </a:xfrm>
                        <a:prstGeom prst="rect">
                          <a:avLst/>
                        </a:prstGeom>
                        <a:solidFill>
                          <a:prstClr val="white"/>
                        </a:solidFill>
                        <a:ln>
                          <a:noFill/>
                        </a:ln>
                      </wps:spPr>
                      <wps:txbx>
                        <w:txbxContent>
                          <w:p w14:paraId="17017D03" w14:textId="5D377EDF" w:rsidR="00430A79" w:rsidRPr="006347D6" w:rsidRDefault="00430A79" w:rsidP="006347D6">
                            <w:pPr>
                              <w:pStyle w:val="Figure"/>
                              <w:rPr>
                                <w:rFonts w:eastAsia="Calibri" w:cs="Calibri"/>
                                <w:sz w:val="20"/>
                                <w:szCs w:val="20"/>
                              </w:rPr>
                            </w:pPr>
                            <w:bookmarkStart w:id="471" w:name="_Toc153381619"/>
                            <w:bookmarkStart w:id="472" w:name="_Toc185866252"/>
                            <w:bookmarkStart w:id="473" w:name="_Toc197472331"/>
                            <w:r w:rsidRPr="006347D6">
                              <w:rPr>
                                <w:rFonts w:eastAsia="Calibri" w:cs="Calibri"/>
                                <w:sz w:val="20"/>
                                <w:szCs w:val="20"/>
                              </w:rPr>
                              <w:t xml:space="preserve">Figure </w:t>
                            </w:r>
                            <w:r w:rsidRPr="006347D6">
                              <w:rPr>
                                <w:rFonts w:eastAsia="Calibri" w:cs="Calibri"/>
                                <w:sz w:val="20"/>
                                <w:szCs w:val="20"/>
                              </w:rPr>
                              <w:fldChar w:fldCharType="begin"/>
                            </w:r>
                            <w:r w:rsidRPr="006347D6">
                              <w:rPr>
                                <w:rFonts w:eastAsia="Calibri" w:cs="Calibri"/>
                                <w:sz w:val="20"/>
                                <w:szCs w:val="20"/>
                              </w:rPr>
                              <w:instrText xml:space="preserve"> SEQ Figure \* ARABIC </w:instrText>
                            </w:r>
                            <w:r w:rsidRPr="006347D6">
                              <w:rPr>
                                <w:rFonts w:eastAsia="Calibri" w:cs="Calibri"/>
                                <w:sz w:val="20"/>
                                <w:szCs w:val="20"/>
                              </w:rPr>
                              <w:fldChar w:fldCharType="separate"/>
                            </w:r>
                            <w:r w:rsidR="00C97DF3">
                              <w:rPr>
                                <w:rFonts w:eastAsia="Calibri" w:cs="Calibri"/>
                                <w:noProof/>
                                <w:sz w:val="20"/>
                                <w:szCs w:val="20"/>
                              </w:rPr>
                              <w:t>30</w:t>
                            </w:r>
                            <w:r w:rsidRPr="006347D6">
                              <w:rPr>
                                <w:rFonts w:eastAsia="Calibri" w:cs="Calibri"/>
                                <w:sz w:val="20"/>
                                <w:szCs w:val="20"/>
                              </w:rPr>
                              <w:fldChar w:fldCharType="end"/>
                            </w:r>
                            <w:r w:rsidRPr="006347D6">
                              <w:rPr>
                                <w:rFonts w:eastAsia="Calibri" w:cs="Calibri"/>
                                <w:sz w:val="20"/>
                                <w:szCs w:val="20"/>
                              </w:rPr>
                              <w:t xml:space="preserve">. </w:t>
                            </w:r>
                            <w:r w:rsidR="00515F70">
                              <w:rPr>
                                <w:rFonts w:eastAsia="Calibri" w:cs="Calibri"/>
                                <w:sz w:val="20"/>
                                <w:szCs w:val="20"/>
                              </w:rPr>
                              <w:t>Oborr tipik riciklimi</w:t>
                            </w:r>
                            <w:bookmarkEnd w:id="471"/>
                            <w:bookmarkEnd w:id="472"/>
                            <w:bookmarkEnd w:id="4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F23921" id="_x0000_s1039" type="#_x0000_t202" style="position:absolute;left:0;text-align:left;margin-left:196pt;margin-top:116.85pt;width:280.5pt;height:.0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" stroked="f">
                <v:textbox style="mso-fit-shape-to-text:t" inset="0,0,0,0">
                  <w:txbxContent>
                    <w:p w14:paraId="17017D03" w14:textId="5D377EDF" w:rsidR="00430A79" w:rsidRPr="006347D6" w:rsidRDefault="00430A79" w:rsidP="006347D6">
                      <w:pPr>
                        <w:pStyle w:val="Figure"/>
                        <w:rPr>
                          <w:rFonts w:eastAsia="Calibri" w:cs="Calibri"/>
                          <w:sz w:val="20"/>
                          <w:szCs w:val="20"/>
                        </w:rPr>
                      </w:pPr>
                      <w:bookmarkStart w:id="474" w:name="_Toc153381619"/>
                      <w:bookmarkStart w:id="475" w:name="_Toc185866252"/>
                      <w:bookmarkStart w:id="476" w:name="_Toc197472331"/>
                      <w:r w:rsidRPr="006347D6">
                        <w:rPr>
                          <w:rFonts w:eastAsia="Calibri" w:cs="Calibri"/>
                          <w:sz w:val="20"/>
                          <w:szCs w:val="20"/>
                        </w:rPr>
                        <w:t xml:space="preserve">Figure </w:t>
                      </w:r>
                      <w:r w:rsidRPr="006347D6">
                        <w:rPr>
                          <w:rFonts w:eastAsia="Calibri" w:cs="Calibri"/>
                          <w:sz w:val="20"/>
                          <w:szCs w:val="20"/>
                        </w:rPr>
                        <w:fldChar w:fldCharType="begin"/>
                      </w:r>
                      <w:r w:rsidRPr="006347D6">
                        <w:rPr>
                          <w:rFonts w:eastAsia="Calibri" w:cs="Calibri"/>
                          <w:sz w:val="20"/>
                          <w:szCs w:val="20"/>
                        </w:rPr>
                        <w:instrText xml:space="preserve"> SEQ Figure \* ARABIC </w:instrText>
                      </w:r>
                      <w:r w:rsidRPr="006347D6">
                        <w:rPr>
                          <w:rFonts w:eastAsia="Calibri" w:cs="Calibri"/>
                          <w:sz w:val="20"/>
                          <w:szCs w:val="20"/>
                        </w:rPr>
                        <w:fldChar w:fldCharType="separate"/>
                      </w:r>
                      <w:r w:rsidR="00C97DF3">
                        <w:rPr>
                          <w:rFonts w:eastAsia="Calibri" w:cs="Calibri"/>
                          <w:noProof/>
                          <w:sz w:val="20"/>
                          <w:szCs w:val="20"/>
                        </w:rPr>
                        <w:t>30</w:t>
                      </w:r>
                      <w:r w:rsidRPr="006347D6">
                        <w:rPr>
                          <w:rFonts w:eastAsia="Calibri" w:cs="Calibri"/>
                          <w:sz w:val="20"/>
                          <w:szCs w:val="20"/>
                        </w:rPr>
                        <w:fldChar w:fldCharType="end"/>
                      </w:r>
                      <w:r w:rsidRPr="006347D6">
                        <w:rPr>
                          <w:rFonts w:eastAsia="Calibri" w:cs="Calibri"/>
                          <w:sz w:val="20"/>
                          <w:szCs w:val="20"/>
                        </w:rPr>
                        <w:t xml:space="preserve">. </w:t>
                      </w:r>
                      <w:r w:rsidR="00515F70">
                        <w:rPr>
                          <w:rFonts w:eastAsia="Calibri" w:cs="Calibri"/>
                          <w:sz w:val="20"/>
                          <w:szCs w:val="20"/>
                        </w:rPr>
                        <w:t>Oborr tipik riciklimi</w:t>
                      </w:r>
                      <w:bookmarkEnd w:id="474"/>
                      <w:bookmarkEnd w:id="475"/>
                      <w:bookmarkEnd w:id="476"/>
                    </w:p>
                  </w:txbxContent>
                </v:textbox>
                <w10:wrap type="tight"/>
              </v:shape>
            </w:pict>
          </mc:Fallback>
        </mc:AlternateContent>
      </w:r>
      <w:bookmarkStart w:id="477" w:name="_Hlk195522536"/>
      <w:r w:rsidR="00515F70" w:rsidRPr="00BE2534">
        <w:rPr>
          <w:rFonts w:ascii="Arial Narrow" w:eastAsia="Calibri" w:hAnsi="Arial Narrow" w:cs="Calibri"/>
          <w:sz w:val="22"/>
          <w:szCs w:val="22"/>
          <w:lang w:val="sq-AL"/>
        </w:rPr>
        <w:t xml:space="preserve">Oborret e riciklimit do të krijohen në 5 qendrat komunale në ZMM. Amvisëritë do të lejohen të hedhin aty fraksione të ndryshme të mbledhura </w:t>
      </w:r>
      <w:r w:rsidR="00515F70">
        <w:rPr>
          <w:rFonts w:ascii="Arial Narrow" w:eastAsia="Calibri" w:hAnsi="Arial Narrow" w:cs="Calibri"/>
          <w:sz w:val="22"/>
          <w:szCs w:val="22"/>
          <w:lang w:val="sq-AL"/>
        </w:rPr>
        <w:t>ndaras</w:t>
      </w:r>
      <w:r w:rsidR="00515F70" w:rsidRPr="00BE2534">
        <w:rPr>
          <w:rFonts w:ascii="Arial Narrow" w:eastAsia="Calibri" w:hAnsi="Arial Narrow" w:cs="Calibri"/>
          <w:sz w:val="22"/>
          <w:szCs w:val="22"/>
          <w:lang w:val="sq-AL"/>
        </w:rPr>
        <w:t xml:space="preserve"> si lloje të ndryshme mbeturinash të riciklueshme, mbeturina të gjelbra, mbeturina të vëllimshme, vajra ushqimorë të përdorur, lloje specifike të mbeturinave ndërtimore dhe rrënimit. Oborret e riciklimit do të pajisen gjithashtu për grumbullimin e mbeturinave të rrezikshme shtëpiake</w:t>
      </w:r>
      <w:r w:rsidRPr="009F5CA1">
        <w:rPr>
          <w:rFonts w:ascii="Arial Narrow" w:eastAsia="Calibri" w:hAnsi="Arial Narrow" w:cs="Calibri"/>
          <w:sz w:val="22"/>
          <w:szCs w:val="22"/>
          <w:lang w:val="sq-AL"/>
        </w:rPr>
        <w:t>.</w:t>
      </w:r>
      <w:bookmarkEnd w:id="477"/>
      <w:r w:rsidRPr="009F5CA1">
        <w:rPr>
          <w:rFonts w:ascii="Arial Narrow" w:eastAsia="Calibri" w:hAnsi="Arial Narrow" w:cs="Calibri"/>
          <w:sz w:val="22"/>
          <w:szCs w:val="22"/>
          <w:lang w:val="sq-AL"/>
        </w:rPr>
        <w:t xml:space="preserve"> </w:t>
      </w:r>
    </w:p>
    <w:p w14:paraId="4D7CDA14" w14:textId="77777777" w:rsidR="00430A79" w:rsidRPr="00430A79" w:rsidRDefault="00430A79" w:rsidP="00430A79">
      <w:pPr>
        <w:rPr>
          <w:rFonts w:ascii="Arial Narrow" w:hAnsi="Arial Narrow"/>
        </w:rPr>
      </w:pPr>
    </w:p>
    <w:p w14:paraId="49C71897" w14:textId="5CBAE3F5" w:rsidR="00430A79" w:rsidRDefault="00515F70" w:rsidP="00430A79">
      <w:pPr>
        <w:rPr>
          <w:rFonts w:ascii="Arial Narrow" w:hAnsi="Arial Narrow"/>
          <w:sz w:val="22"/>
          <w:szCs w:val="22"/>
        </w:rPr>
      </w:pPr>
      <w:r w:rsidRPr="00BE2534">
        <w:rPr>
          <w:rFonts w:ascii="Arial Narrow" w:eastAsia="Calibri" w:hAnsi="Arial Narrow" w:cs="Calibri"/>
          <w:sz w:val="22"/>
          <w:szCs w:val="22"/>
          <w:lang w:val="sq-AL"/>
        </w:rPr>
        <w:t>Lokacionet e OR në të pesë komunat tashmë janë identifikuar. Sipërfaqet e disponueshme të OR-ve lejojnë krijimin e qendrave për grumbullimin e fraksioneve të veçanta të mbeturinave të synuara</w:t>
      </w:r>
      <w:r w:rsidR="00430A79" w:rsidRPr="00430A79">
        <w:rPr>
          <w:rFonts w:ascii="Arial Narrow" w:hAnsi="Arial Narrow"/>
          <w:sz w:val="22"/>
          <w:szCs w:val="22"/>
        </w:rPr>
        <w:t>.</w:t>
      </w:r>
    </w:p>
    <w:p w14:paraId="23EBF407" w14:textId="77777777" w:rsidR="003F742B" w:rsidRPr="00430A79" w:rsidRDefault="003F742B" w:rsidP="00430A79">
      <w:pPr>
        <w:rPr>
          <w:rFonts w:ascii="Arial Narrow" w:hAnsi="Arial Narrow"/>
          <w:sz w:val="22"/>
          <w:szCs w:val="22"/>
        </w:rPr>
      </w:pPr>
    </w:p>
    <w:p w14:paraId="0FF6A865" w14:textId="225F7D4F" w:rsidR="00430A79" w:rsidRPr="00430A79" w:rsidRDefault="00430A79" w:rsidP="000D7AD0">
      <w:pPr>
        <w:pStyle w:val="Heading3"/>
      </w:pPr>
      <w:bookmarkStart w:id="478" w:name="_Toc185866143"/>
      <w:bookmarkStart w:id="479" w:name="_Toc197472034"/>
      <w:r w:rsidRPr="00430A79">
        <w:t>Mbet</w:t>
      </w:r>
      <w:r w:rsidR="00515F70">
        <w:t xml:space="preserve">urinat </w:t>
      </w:r>
      <w:r w:rsidRPr="00430A79">
        <w:t>bujqësore</w:t>
      </w:r>
      <w:bookmarkEnd w:id="478"/>
      <w:bookmarkEnd w:id="479"/>
    </w:p>
    <w:p w14:paraId="72598748" w14:textId="77777777" w:rsidR="003F742B" w:rsidRDefault="003F742B" w:rsidP="005B0D46">
      <w:pPr>
        <w:jc w:val="both"/>
        <w:rPr>
          <w:rFonts w:ascii="Arial Narrow" w:hAnsi="Arial Narrow"/>
          <w:sz w:val="22"/>
          <w:szCs w:val="22"/>
          <w:lang w:val="sq-AL"/>
        </w:rPr>
      </w:pPr>
    </w:p>
    <w:p w14:paraId="70A994E7" w14:textId="2DFD8810" w:rsidR="005B0D46" w:rsidRPr="00BE2534" w:rsidRDefault="005B0D46" w:rsidP="005B0D46">
      <w:pPr>
        <w:jc w:val="both"/>
        <w:rPr>
          <w:rFonts w:ascii="Arial Narrow" w:eastAsia="Calibri" w:hAnsi="Arial Narrow" w:cs="Calibri"/>
          <w:sz w:val="22"/>
          <w:szCs w:val="22"/>
          <w:lang w:val="sq-AL"/>
        </w:rPr>
      </w:pPr>
      <w:r w:rsidRPr="00BE2534">
        <w:rPr>
          <w:rFonts w:ascii="Arial Narrow" w:hAnsi="Arial Narrow"/>
          <w:sz w:val="22"/>
          <w:szCs w:val="22"/>
          <w:lang w:val="sq-AL"/>
        </w:rPr>
        <w:t xml:space="preserve">Edhe pse bujqësia është një aktivitet i rëndësishëm ekonomik në Rajonin e Dukagjinit, nuk ka informacion se si menaxhohen aktualisht mbeturinat nga aktivitetet bujqësore. </w:t>
      </w:r>
      <w:r w:rsidRPr="00BE2534">
        <w:rPr>
          <w:rFonts w:ascii="Arial Narrow" w:eastAsia="Calibri" w:hAnsi="Arial Narrow" w:cs="Calibri"/>
          <w:sz w:val="22"/>
          <w:szCs w:val="22"/>
          <w:lang w:val="sq-AL"/>
        </w:rPr>
        <w:t>Menaxhimi i mbeturinave bujqësore duhet të ndjekë parimin “ndotësi-paguan”, që do të thotë se gjeneruesit e mbeturinave bujqësore duhet të jenë përgjegjës për menaxhimin e tyre dhe duhet të mbulojnë kostot e menaxhimit.</w:t>
      </w:r>
    </w:p>
    <w:p w14:paraId="34C24559" w14:textId="77777777" w:rsidR="005B0D46" w:rsidRPr="00BE2534" w:rsidRDefault="005B0D46" w:rsidP="005B0D46">
      <w:pPr>
        <w:jc w:val="both"/>
        <w:rPr>
          <w:rFonts w:ascii="Arial Narrow" w:eastAsia="Calibri" w:hAnsi="Arial Narrow" w:cs="Calibri"/>
          <w:sz w:val="22"/>
          <w:szCs w:val="22"/>
          <w:lang w:val="sq-AL"/>
        </w:rPr>
      </w:pPr>
    </w:p>
    <w:p w14:paraId="1BEB42AC" w14:textId="77777777" w:rsidR="005B0D46" w:rsidRPr="00BE2534" w:rsidRDefault="005B0D46" w:rsidP="005B0D46">
      <w:pPr>
        <w:jc w:val="both"/>
        <w:rPr>
          <w:rFonts w:ascii="Arial Narrow" w:eastAsia="Calibri" w:hAnsi="Arial Narrow" w:cs="Calibri"/>
          <w:sz w:val="22"/>
          <w:szCs w:val="22"/>
          <w:lang w:val="sq-AL"/>
        </w:rPr>
      </w:pPr>
      <w:r w:rsidRPr="00BE2534">
        <w:rPr>
          <w:rFonts w:ascii="Arial Narrow" w:eastAsia="Calibri" w:hAnsi="Arial Narrow" w:cs="Calibri"/>
          <w:sz w:val="22"/>
          <w:szCs w:val="22"/>
          <w:lang w:val="sq-AL"/>
        </w:rPr>
        <w:t>Gjenerohen katër lloje të mbeturinave bujqësore:</w:t>
      </w:r>
    </w:p>
    <w:p w14:paraId="2B698412" w14:textId="77777777" w:rsidR="005B0D46" w:rsidRPr="00BE2534" w:rsidRDefault="005B0D46" w:rsidP="005B0D46">
      <w:pPr>
        <w:numPr>
          <w:ilvl w:val="0"/>
          <w:numId w:val="28"/>
        </w:numPr>
        <w:spacing w:after="160" w:line="259" w:lineRule="auto"/>
        <w:contextualSpacing/>
        <w:jc w:val="both"/>
        <w:rPr>
          <w:rFonts w:ascii="Arial Narrow" w:eastAsia="Calibri" w:hAnsi="Arial Narrow" w:cs="Calibri"/>
          <w:sz w:val="22"/>
          <w:szCs w:val="22"/>
          <w:lang w:val="sq-AL"/>
        </w:rPr>
      </w:pPr>
      <w:r w:rsidRPr="00BE2534">
        <w:rPr>
          <w:rFonts w:ascii="Arial Narrow" w:eastAsia="Calibri" w:hAnsi="Arial Narrow" w:cs="Calibri"/>
          <w:sz w:val="22"/>
          <w:szCs w:val="22"/>
          <w:lang w:val="sq-AL"/>
        </w:rPr>
        <w:t>Mbeturinat e indeve bimore</w:t>
      </w:r>
    </w:p>
    <w:p w14:paraId="09FC7A3D" w14:textId="77777777" w:rsidR="005B0D46" w:rsidRPr="00BE2534" w:rsidRDefault="005B0D46" w:rsidP="005B0D46">
      <w:pPr>
        <w:numPr>
          <w:ilvl w:val="0"/>
          <w:numId w:val="28"/>
        </w:numPr>
        <w:spacing w:after="160" w:line="259" w:lineRule="auto"/>
        <w:contextualSpacing/>
        <w:jc w:val="both"/>
        <w:rPr>
          <w:rFonts w:ascii="Arial Narrow" w:eastAsia="Calibri" w:hAnsi="Arial Narrow" w:cs="Calibri"/>
          <w:sz w:val="22"/>
          <w:szCs w:val="22"/>
          <w:lang w:val="sq-AL"/>
        </w:rPr>
      </w:pPr>
      <w:r w:rsidRPr="00BE2534">
        <w:rPr>
          <w:rFonts w:ascii="Arial Narrow" w:eastAsia="Calibri" w:hAnsi="Arial Narrow" w:cs="Calibri"/>
          <w:sz w:val="22"/>
          <w:szCs w:val="22"/>
          <w:lang w:val="sq-AL"/>
        </w:rPr>
        <w:t>Nënproduktet e kafshëve</w:t>
      </w:r>
    </w:p>
    <w:p w14:paraId="35EA2584" w14:textId="77777777" w:rsidR="005B0D46" w:rsidRPr="00BE2534" w:rsidRDefault="005B0D46" w:rsidP="005B0D46">
      <w:pPr>
        <w:numPr>
          <w:ilvl w:val="0"/>
          <w:numId w:val="28"/>
        </w:numPr>
        <w:spacing w:after="160" w:line="259" w:lineRule="auto"/>
        <w:contextualSpacing/>
        <w:jc w:val="both"/>
        <w:rPr>
          <w:rFonts w:ascii="Arial Narrow" w:eastAsia="Calibri" w:hAnsi="Arial Narrow" w:cs="Calibri"/>
          <w:sz w:val="22"/>
          <w:szCs w:val="22"/>
          <w:lang w:val="sq-AL"/>
        </w:rPr>
      </w:pPr>
      <w:r w:rsidRPr="00BE2534">
        <w:rPr>
          <w:rFonts w:ascii="Arial Narrow" w:eastAsia="Calibri" w:hAnsi="Arial Narrow" w:cs="Calibri"/>
          <w:sz w:val="22"/>
          <w:szCs w:val="22"/>
          <w:lang w:val="sq-AL"/>
        </w:rPr>
        <w:t>Pleh organik</w:t>
      </w:r>
    </w:p>
    <w:p w14:paraId="72AE0AFF" w14:textId="77777777" w:rsidR="005B0D46" w:rsidRPr="00BE2534" w:rsidRDefault="005B0D46" w:rsidP="005B0D46">
      <w:pPr>
        <w:numPr>
          <w:ilvl w:val="0"/>
          <w:numId w:val="28"/>
        </w:numPr>
        <w:spacing w:after="160" w:line="259" w:lineRule="auto"/>
        <w:contextualSpacing/>
        <w:jc w:val="both"/>
        <w:rPr>
          <w:rFonts w:ascii="Arial Narrow" w:eastAsia="Calibri" w:hAnsi="Arial Narrow" w:cs="Calibri"/>
          <w:sz w:val="22"/>
          <w:szCs w:val="22"/>
          <w:lang w:val="sq-AL"/>
        </w:rPr>
      </w:pPr>
      <w:r w:rsidRPr="00BE2534">
        <w:rPr>
          <w:rFonts w:ascii="Arial Narrow" w:eastAsia="Calibri" w:hAnsi="Arial Narrow" w:cs="Calibri"/>
          <w:sz w:val="22"/>
          <w:szCs w:val="22"/>
          <w:lang w:val="sq-AL"/>
        </w:rPr>
        <w:lastRenderedPageBreak/>
        <w:t>Mbeturinat agrokimike</w:t>
      </w:r>
    </w:p>
    <w:p w14:paraId="640C9AA8" w14:textId="77777777" w:rsidR="00430A79" w:rsidRPr="00430A79" w:rsidRDefault="00430A79" w:rsidP="00430A79">
      <w:pPr>
        <w:jc w:val="both"/>
        <w:rPr>
          <w:rFonts w:ascii="Arial Narrow" w:eastAsia="Calibri" w:hAnsi="Arial Narrow" w:cs="Calibri"/>
          <w:sz w:val="22"/>
          <w:szCs w:val="22"/>
          <w:lang w:val="en-GB"/>
        </w:rPr>
      </w:pPr>
    </w:p>
    <w:p w14:paraId="529612B8" w14:textId="77777777" w:rsidR="00430A79" w:rsidRPr="00430A79" w:rsidRDefault="00430A79" w:rsidP="00430A79">
      <w:pPr>
        <w:jc w:val="both"/>
        <w:rPr>
          <w:rFonts w:ascii="Arial Narrow" w:eastAsia="Calibri" w:hAnsi="Arial Narrow" w:cs="Calibri"/>
          <w:b/>
          <w:bCs/>
          <w:sz w:val="22"/>
          <w:szCs w:val="22"/>
        </w:rPr>
      </w:pPr>
      <w:r w:rsidRPr="00430A79">
        <w:rPr>
          <w:rFonts w:ascii="Arial Narrow" w:eastAsia="Calibri" w:hAnsi="Arial Narrow" w:cs="Calibri"/>
          <w:b/>
          <w:bCs/>
          <w:sz w:val="22"/>
          <w:szCs w:val="22"/>
        </w:rPr>
        <w:t>Mbeturinat e indeve bimore</w:t>
      </w:r>
    </w:p>
    <w:p w14:paraId="75FD1E80" w14:textId="77777777" w:rsidR="005B0D46" w:rsidRPr="00BE2534" w:rsidRDefault="005B0D46" w:rsidP="005B0D46">
      <w:pPr>
        <w:jc w:val="both"/>
        <w:rPr>
          <w:rFonts w:ascii="Arial Narrow" w:eastAsia="Calibri" w:hAnsi="Arial Narrow" w:cs="Calibri"/>
          <w:sz w:val="22"/>
          <w:szCs w:val="22"/>
          <w:lang w:val="sq-AL"/>
        </w:rPr>
      </w:pPr>
      <w:r w:rsidRPr="00BE2534">
        <w:rPr>
          <w:rFonts w:ascii="Arial Narrow" w:eastAsia="Calibri" w:hAnsi="Arial Narrow" w:cs="Calibri"/>
          <w:sz w:val="22"/>
          <w:szCs w:val="22"/>
          <w:lang w:val="sq-AL"/>
        </w:rPr>
        <w:t>Mbeturinat e indeve bimore janë në fakt biomasa të cilat janë burim i rinovueshëm dhe që mund të shkaktojë probleme kur nuk përdoret. Rritja e shpejtë e vëllimit dhe e llojeve të mbeturinave të biomasës bujqësore mund të bëhet një problem në rritje, pasi biomasa bujqësore e mbeturinave të kalbura lëshon metan dhe rrjedhje, dhe djegia e hapur nga fermerët për të pastruar tokat gjeneron CO</w:t>
      </w:r>
      <w:r w:rsidRPr="00BE2534">
        <w:rPr>
          <w:rFonts w:ascii="Arial Narrow" w:eastAsia="Calibri" w:hAnsi="Arial Narrow" w:cs="Calibri"/>
          <w:sz w:val="22"/>
          <w:szCs w:val="22"/>
          <w:vertAlign w:val="subscript"/>
          <w:lang w:val="sq-AL"/>
        </w:rPr>
        <w:t xml:space="preserve">2 </w:t>
      </w:r>
      <w:r w:rsidRPr="00BE2534">
        <w:rPr>
          <w:rFonts w:ascii="Arial Narrow" w:eastAsia="Calibri" w:hAnsi="Arial Narrow" w:cs="Calibri"/>
          <w:sz w:val="22"/>
          <w:szCs w:val="22"/>
          <w:lang w:val="sq-AL"/>
        </w:rPr>
        <w:t>dhe ndotës të tjerë duke përbërë rrezik për pronën rurale. Prandaj, kërkohet menaxhimi i duhur i mbeturinave të biomasës bujqësore për të parandaluar ato të kontribuojnë në ndryshimet klimatike, ndotjen e ujit dhe tokës, dhe ndotjen e ajrit. Për më tepër, këto mbeturina janë me vlerë të lartë për sa i përket rikuperimit të materialit, lëndëve ushqyese dhe energjisë.</w:t>
      </w:r>
    </w:p>
    <w:p w14:paraId="0A87FEFA" w14:textId="77777777" w:rsidR="005B0D46" w:rsidRPr="00BE2534" w:rsidRDefault="005B0D46" w:rsidP="005B0D46">
      <w:pPr>
        <w:jc w:val="both"/>
        <w:rPr>
          <w:rFonts w:ascii="Arial Narrow" w:eastAsia="Calibri" w:hAnsi="Arial Narrow" w:cs="Calibri"/>
          <w:sz w:val="22"/>
          <w:szCs w:val="22"/>
          <w:lang w:val="sq-AL"/>
        </w:rPr>
      </w:pPr>
    </w:p>
    <w:p w14:paraId="1E4D74A5" w14:textId="77777777" w:rsidR="005B0D46" w:rsidRPr="00BE2534" w:rsidRDefault="005B0D46" w:rsidP="005B0D46">
      <w:pPr>
        <w:jc w:val="both"/>
        <w:rPr>
          <w:rFonts w:ascii="Arial Narrow" w:eastAsia="Calibri" w:hAnsi="Arial Narrow" w:cs="Calibri"/>
          <w:sz w:val="22"/>
          <w:szCs w:val="22"/>
          <w:lang w:val="sq-AL"/>
        </w:rPr>
      </w:pPr>
      <w:r w:rsidRPr="00BE2534">
        <w:rPr>
          <w:rFonts w:ascii="Arial Narrow" w:eastAsia="Calibri" w:hAnsi="Arial Narrow" w:cs="Calibri"/>
          <w:sz w:val="22"/>
          <w:szCs w:val="22"/>
          <w:lang w:val="sq-AL"/>
        </w:rPr>
        <w:t>Menaxhimi i biomasës bujqësore duhet të ndjekë hierarkinë e menaxhimit të mbetjurinave. Preferenca duhet t'i jepet riciklimit. Kompostimi është një teknologji e përshtatshme për shumicën e mbeturinave të indeve bimore. Është i mundur të bëhet kompostimi bashkë me mbeturinat e gjelbra komunale. Megjithatë, nëse kapacitetet e impianteve të ardhshme të kompostimit në Rajonin e Dukagjinit lejojnë pranimin e mbeturinave bujqësore, gjeneruesit e këtyre të fundit duhet të paguajnë koston e plotë të trajtimit.</w:t>
      </w:r>
    </w:p>
    <w:p w14:paraId="1C809DC8" w14:textId="77777777" w:rsidR="005B0D46" w:rsidRPr="00BE2534" w:rsidRDefault="005B0D46" w:rsidP="005B0D46">
      <w:pPr>
        <w:jc w:val="both"/>
        <w:rPr>
          <w:rFonts w:ascii="Arial Narrow" w:eastAsia="Calibri" w:hAnsi="Arial Narrow" w:cs="Calibri"/>
          <w:sz w:val="22"/>
          <w:szCs w:val="22"/>
          <w:lang w:val="sq-AL"/>
        </w:rPr>
      </w:pPr>
    </w:p>
    <w:p w14:paraId="0D31D235" w14:textId="77777777" w:rsidR="005B0D46" w:rsidRPr="00BE2534" w:rsidRDefault="005B0D46" w:rsidP="005B0D46">
      <w:pPr>
        <w:jc w:val="both"/>
        <w:rPr>
          <w:rFonts w:ascii="Arial Narrow" w:eastAsia="Calibri" w:hAnsi="Arial Narrow" w:cs="Calibri"/>
          <w:sz w:val="22"/>
          <w:szCs w:val="22"/>
          <w:lang w:val="sq-AL"/>
        </w:rPr>
      </w:pPr>
      <w:r w:rsidRPr="00BE2534">
        <w:rPr>
          <w:rFonts w:ascii="Arial Narrow" w:eastAsia="Calibri" w:hAnsi="Arial Narrow" w:cs="Calibri"/>
          <w:sz w:val="22"/>
          <w:szCs w:val="22"/>
          <w:lang w:val="sq-AL"/>
        </w:rPr>
        <w:t>Mbeturinat nga bujqësia mund të jenë burim për industrinë përpunuese. Simbioza industriale mund të mbështetet duke krijuar një platformë elektronike me sasitë e disponueshme/të parashikuara të mbeturinave bimore që do të gjenerohen sipas llojit dhe vendndodhjes.</w:t>
      </w:r>
    </w:p>
    <w:p w14:paraId="4B59F8D8" w14:textId="77777777" w:rsidR="005B0D46" w:rsidRPr="00BE2534" w:rsidRDefault="005B0D46" w:rsidP="005B0D46">
      <w:pPr>
        <w:jc w:val="both"/>
        <w:rPr>
          <w:rFonts w:ascii="Arial Narrow" w:eastAsia="Calibri" w:hAnsi="Arial Narrow" w:cs="Calibri"/>
          <w:sz w:val="22"/>
          <w:szCs w:val="22"/>
          <w:lang w:val="sq-AL"/>
        </w:rPr>
      </w:pPr>
    </w:p>
    <w:p w14:paraId="55AC5C25" w14:textId="77777777" w:rsidR="005B0D46" w:rsidRPr="00BE2534" w:rsidRDefault="005B0D46" w:rsidP="005B0D46">
      <w:pPr>
        <w:jc w:val="both"/>
        <w:rPr>
          <w:rFonts w:ascii="Arial Narrow" w:eastAsia="Calibri" w:hAnsi="Arial Narrow" w:cs="Calibri"/>
          <w:sz w:val="22"/>
          <w:szCs w:val="22"/>
          <w:lang w:val="sq-AL"/>
        </w:rPr>
      </w:pPr>
      <w:r w:rsidRPr="00BE2534">
        <w:rPr>
          <w:rFonts w:ascii="Arial Narrow" w:eastAsia="Calibri" w:hAnsi="Arial Narrow" w:cs="Calibri"/>
          <w:sz w:val="22"/>
          <w:szCs w:val="22"/>
          <w:lang w:val="sq-AL"/>
        </w:rPr>
        <w:t>Kur riciklimi dhe përdorimi i biomasës si material për industrinë nuk janë opsione, atëherë duhet të ndiqet rikuperimi i energjisë.</w:t>
      </w:r>
    </w:p>
    <w:p w14:paraId="441120FF" w14:textId="77777777" w:rsidR="00430A79" w:rsidRPr="00430A79" w:rsidRDefault="00430A79" w:rsidP="00430A79">
      <w:pPr>
        <w:jc w:val="both"/>
        <w:rPr>
          <w:rFonts w:ascii="Arial Narrow" w:eastAsia="Calibri" w:hAnsi="Arial Narrow" w:cs="Calibri"/>
          <w:sz w:val="22"/>
          <w:szCs w:val="22"/>
        </w:rPr>
      </w:pPr>
    </w:p>
    <w:p w14:paraId="602BB173" w14:textId="6AFFE3DD" w:rsidR="00430A79" w:rsidRPr="009F5CA1" w:rsidRDefault="00430A79" w:rsidP="00430A79">
      <w:pPr>
        <w:jc w:val="both"/>
        <w:rPr>
          <w:rFonts w:ascii="Arial Narrow" w:eastAsia="Calibri" w:hAnsi="Arial Narrow" w:cs="Calibri"/>
          <w:b/>
          <w:bCs/>
          <w:sz w:val="22"/>
          <w:szCs w:val="22"/>
        </w:rPr>
      </w:pPr>
      <w:r w:rsidRPr="009F5CA1">
        <w:rPr>
          <w:rFonts w:ascii="Arial Narrow" w:eastAsia="Calibri" w:hAnsi="Arial Narrow" w:cs="Calibri"/>
          <w:b/>
          <w:bCs/>
          <w:sz w:val="22"/>
          <w:szCs w:val="22"/>
        </w:rPr>
        <w:t xml:space="preserve">Nënproduktet </w:t>
      </w:r>
      <w:r w:rsidR="005B0D46" w:rsidRPr="009F5CA1">
        <w:rPr>
          <w:rFonts w:ascii="Arial Narrow" w:eastAsia="Calibri" w:hAnsi="Arial Narrow" w:cs="Calibri"/>
          <w:b/>
          <w:bCs/>
          <w:sz w:val="22"/>
          <w:szCs w:val="22"/>
        </w:rPr>
        <w:t xml:space="preserve">e kafshëve </w:t>
      </w:r>
      <w:r w:rsidRPr="009F5CA1">
        <w:rPr>
          <w:rFonts w:ascii="Arial Narrow" w:eastAsia="Calibri" w:hAnsi="Arial Narrow" w:cs="Calibri"/>
          <w:b/>
          <w:bCs/>
          <w:sz w:val="22"/>
          <w:szCs w:val="22"/>
        </w:rPr>
        <w:t>(</w:t>
      </w:r>
      <w:r w:rsidR="005B0D46" w:rsidRPr="009F5CA1">
        <w:rPr>
          <w:rFonts w:ascii="Arial Narrow" w:eastAsia="Calibri" w:hAnsi="Arial Narrow" w:cs="Calibri"/>
          <w:b/>
          <w:bCs/>
          <w:sz w:val="22"/>
          <w:szCs w:val="22"/>
        </w:rPr>
        <w:t>NeK</w:t>
      </w:r>
      <w:r w:rsidRPr="009F5CA1">
        <w:rPr>
          <w:rFonts w:ascii="Arial Narrow" w:eastAsia="Calibri" w:hAnsi="Arial Narrow" w:cs="Calibri"/>
          <w:b/>
          <w:bCs/>
          <w:sz w:val="22"/>
          <w:szCs w:val="22"/>
        </w:rPr>
        <w:t>)</w:t>
      </w:r>
    </w:p>
    <w:p w14:paraId="2B4DD764" w14:textId="77777777" w:rsidR="005B0D46" w:rsidRPr="00BE2534" w:rsidRDefault="005B0D46" w:rsidP="005B0D46">
      <w:pPr>
        <w:jc w:val="both"/>
        <w:rPr>
          <w:rFonts w:ascii="Arial Narrow" w:eastAsia="Calibri" w:hAnsi="Arial Narrow" w:cs="Calibri"/>
          <w:sz w:val="22"/>
          <w:szCs w:val="22"/>
          <w:lang w:val="sq-AL"/>
        </w:rPr>
      </w:pPr>
      <w:r w:rsidRPr="00BE2534">
        <w:rPr>
          <w:rFonts w:ascii="Arial Narrow" w:eastAsia="Calibri" w:hAnsi="Arial Narrow" w:cs="Calibri"/>
          <w:sz w:val="22"/>
          <w:szCs w:val="22"/>
          <w:lang w:val="sq-AL"/>
        </w:rPr>
        <w:t>Në nivel shtetëror, një objekt qendror për trajtimin e mbeturinave të NeK-ve është ndërtuar afër Prishtinës. Megjithatë, objekti i trajtimit nuk është ende funksional. Pasi të jetë në funksion, do të jetë në gjendje të ofrojë shërbimin e grumbullimit dhe trajtimit për të gjithë prodhuesit e NeK-ve në mbarë vendin. Ndërkohë deponimi i NeK-ve është i vetmi opsion, me kusht që të kryhet në venddepontë epërcaktuara nga autoritetet kompetente.</w:t>
      </w:r>
    </w:p>
    <w:p w14:paraId="644CDDD5" w14:textId="77777777" w:rsidR="005B0D46" w:rsidRPr="00BE2534" w:rsidRDefault="005B0D46" w:rsidP="005B0D46">
      <w:pPr>
        <w:jc w:val="both"/>
        <w:rPr>
          <w:rFonts w:ascii="Arial Narrow" w:eastAsia="Calibri" w:hAnsi="Arial Narrow" w:cs="Calibri"/>
          <w:sz w:val="22"/>
          <w:szCs w:val="22"/>
          <w:lang w:val="sq-AL"/>
        </w:rPr>
      </w:pPr>
    </w:p>
    <w:p w14:paraId="73E731A8" w14:textId="77777777" w:rsidR="005B0D46" w:rsidRPr="00BE2534" w:rsidRDefault="005B0D46" w:rsidP="005B0D46">
      <w:pPr>
        <w:jc w:val="both"/>
        <w:rPr>
          <w:rFonts w:ascii="Arial Narrow" w:eastAsia="Calibri" w:hAnsi="Arial Narrow" w:cs="Calibri"/>
          <w:b/>
          <w:bCs/>
          <w:sz w:val="22"/>
          <w:szCs w:val="22"/>
          <w:lang w:val="sq-AL"/>
        </w:rPr>
      </w:pPr>
      <w:r w:rsidRPr="00BE2534">
        <w:rPr>
          <w:rFonts w:ascii="Arial Narrow" w:eastAsia="Calibri" w:hAnsi="Arial Narrow" w:cs="Calibri"/>
          <w:b/>
          <w:bCs/>
          <w:sz w:val="22"/>
          <w:szCs w:val="22"/>
          <w:lang w:val="sq-AL"/>
        </w:rPr>
        <w:t>Plehu organik</w:t>
      </w:r>
    </w:p>
    <w:p w14:paraId="0768EED9" w14:textId="77777777" w:rsidR="005B0D46" w:rsidRPr="00BE2534" w:rsidRDefault="005B0D46" w:rsidP="005B0D46">
      <w:pPr>
        <w:jc w:val="both"/>
        <w:rPr>
          <w:rFonts w:ascii="Arial Narrow" w:eastAsia="Calibri" w:hAnsi="Arial Narrow" w:cs="Calibri"/>
          <w:sz w:val="22"/>
          <w:szCs w:val="22"/>
          <w:lang w:val="sq-AL"/>
        </w:rPr>
      </w:pPr>
      <w:r w:rsidRPr="00BE2534">
        <w:rPr>
          <w:rFonts w:ascii="Arial Narrow" w:eastAsia="Calibri" w:hAnsi="Arial Narrow" w:cs="Calibri"/>
          <w:sz w:val="22"/>
          <w:szCs w:val="22"/>
          <w:lang w:val="sq-AL"/>
        </w:rPr>
        <w:t>Përqendrimi total i materialeve inerte të plehut organik është karakteristika kryesore që tregon se si mund të trajtohet materiali. Plehrat e kafshëve mund të klasifikohen si inerte, gjysmë inerte ose të lëngshëm. E para përmban më shumë se 20% lëndë inerte (mund të grumbullohet dhe trajtohet nga çdo pajisje që lëviz materialet e vëllimshme), gjysm</w:t>
      </w:r>
      <w:r>
        <w:rPr>
          <w:rFonts w:ascii="Arial Narrow" w:eastAsia="Calibri" w:hAnsi="Arial Narrow" w:cs="Calibri"/>
          <w:sz w:val="22"/>
          <w:szCs w:val="22"/>
          <w:lang w:val="sq-AL"/>
        </w:rPr>
        <w:t>ë</w:t>
      </w:r>
      <w:r w:rsidRPr="00BE2534">
        <w:rPr>
          <w:rFonts w:ascii="Arial Narrow" w:eastAsia="Calibri" w:hAnsi="Arial Narrow" w:cs="Calibri"/>
          <w:sz w:val="22"/>
          <w:szCs w:val="22"/>
          <w:lang w:val="sq-AL"/>
        </w:rPr>
        <w:t xml:space="preserve"> inerte përmban 5 deri në 20% lëndë inerte, prodhohet në sistemet shtëpiake të bagëtive ku ku ofrohet një system i limituar sanitar dhe nuk rrjedh aq lehtë sa plehu i lëngshëm dhe as nuk mund të grumbullohet si plehu organik inert. Plehrat e lëngshme përmbajnë më pak se 5% lëndë inerte – lëngu shtesë vjen nga larja dhe derdhja nga sistemet e ujitjes – dhe, kur trazohet, mund të pompohet ose lëvizet nga rrjedha e gravitetit.</w:t>
      </w:r>
    </w:p>
    <w:p w14:paraId="5F9FB533" w14:textId="77777777" w:rsidR="005B0D46" w:rsidRPr="00BE2534" w:rsidRDefault="005B0D46" w:rsidP="005B0D46">
      <w:pPr>
        <w:jc w:val="both"/>
        <w:rPr>
          <w:rFonts w:ascii="Arial Narrow" w:eastAsia="Calibri" w:hAnsi="Arial Narrow" w:cs="Calibri"/>
          <w:sz w:val="22"/>
          <w:szCs w:val="22"/>
          <w:lang w:val="sq-AL"/>
        </w:rPr>
      </w:pPr>
    </w:p>
    <w:p w14:paraId="0CF7527A" w14:textId="77777777" w:rsidR="005B0D46" w:rsidRPr="00BE2534" w:rsidRDefault="005B0D46" w:rsidP="005B0D46">
      <w:pPr>
        <w:jc w:val="both"/>
        <w:rPr>
          <w:rFonts w:ascii="Arial Narrow" w:eastAsia="Calibri" w:hAnsi="Arial Narrow" w:cs="Calibri"/>
          <w:sz w:val="22"/>
          <w:szCs w:val="22"/>
          <w:lang w:val="sq-AL"/>
        </w:rPr>
      </w:pPr>
      <w:r w:rsidRPr="00BE2534">
        <w:rPr>
          <w:rFonts w:ascii="Arial Narrow" w:eastAsia="Calibri" w:hAnsi="Arial Narrow" w:cs="Calibri"/>
          <w:sz w:val="22"/>
          <w:szCs w:val="22"/>
          <w:lang w:val="sq-AL"/>
        </w:rPr>
        <w:t>Katër lloje të menaxhimit janë të disponueshme për plehun e kafshëve: magazinimi, aplikimi në tokë, kompostimi dhe tretja anaerobe.</w:t>
      </w:r>
    </w:p>
    <w:p w14:paraId="0723C9D9" w14:textId="77777777" w:rsidR="005B0D46" w:rsidRPr="00BE2534" w:rsidRDefault="005B0D46" w:rsidP="005B0D46">
      <w:pPr>
        <w:jc w:val="both"/>
        <w:rPr>
          <w:rFonts w:ascii="Arial Narrow" w:eastAsia="Calibri" w:hAnsi="Arial Narrow" w:cs="Calibri"/>
          <w:sz w:val="22"/>
          <w:szCs w:val="22"/>
          <w:lang w:val="sq-AL"/>
        </w:rPr>
      </w:pPr>
    </w:p>
    <w:p w14:paraId="03032DCD" w14:textId="77777777" w:rsidR="005B0D46" w:rsidRPr="00BE2534" w:rsidRDefault="005B0D46" w:rsidP="005B0D46">
      <w:pPr>
        <w:jc w:val="both"/>
        <w:rPr>
          <w:rFonts w:ascii="Arial Narrow" w:eastAsia="Calibri" w:hAnsi="Arial Narrow" w:cs="Calibri"/>
          <w:b/>
          <w:bCs/>
          <w:sz w:val="22"/>
          <w:szCs w:val="22"/>
          <w:lang w:val="sq-AL"/>
        </w:rPr>
      </w:pPr>
      <w:r w:rsidRPr="00BE2534">
        <w:rPr>
          <w:rFonts w:ascii="Arial Narrow" w:eastAsia="Calibri" w:hAnsi="Arial Narrow" w:cs="Calibri"/>
          <w:b/>
          <w:bCs/>
          <w:sz w:val="22"/>
          <w:szCs w:val="22"/>
          <w:lang w:val="sq-AL"/>
        </w:rPr>
        <w:t>Mbeturinat agrokimike</w:t>
      </w:r>
    </w:p>
    <w:p w14:paraId="2C00CC25" w14:textId="77777777" w:rsidR="005B0D46" w:rsidRPr="00BE2534" w:rsidRDefault="005B0D46" w:rsidP="005B0D46">
      <w:pPr>
        <w:jc w:val="both"/>
        <w:rPr>
          <w:rFonts w:ascii="Arial Narrow" w:eastAsia="Calibri" w:hAnsi="Arial Narrow" w:cs="Calibri"/>
          <w:sz w:val="22"/>
          <w:szCs w:val="22"/>
          <w:lang w:val="sq-AL"/>
        </w:rPr>
      </w:pPr>
      <w:r w:rsidRPr="00BE2534">
        <w:rPr>
          <w:rFonts w:ascii="Arial Narrow" w:eastAsia="Calibri" w:hAnsi="Arial Narrow" w:cs="Calibri"/>
          <w:sz w:val="22"/>
          <w:szCs w:val="22"/>
          <w:lang w:val="sq-AL"/>
        </w:rPr>
        <w:t>Disa mbeturina nga aktivitetet bujqësore mund të jenë të rrezikshme, duke përfshirë pesticidet dhe herbicidet e vjetra, si dhe lubrifikantët që mund të jenë përdorur në pajisjet e fermës. Mbeturinat e tilla kërkojnë menaxhim të veçantë. Ekzistojnë opsione për riciklimin e lubrifikantëve të përdorur në lubrifikantë të rinj.</w:t>
      </w:r>
    </w:p>
    <w:p w14:paraId="35A4638A" w14:textId="77777777" w:rsidR="005B0D46" w:rsidRPr="00BE2534" w:rsidRDefault="005B0D46" w:rsidP="005B0D46">
      <w:pPr>
        <w:jc w:val="both"/>
        <w:rPr>
          <w:rFonts w:ascii="Arial Narrow" w:eastAsia="Calibri" w:hAnsi="Arial Narrow" w:cs="Calibri"/>
          <w:sz w:val="22"/>
          <w:szCs w:val="22"/>
          <w:lang w:val="sq-AL"/>
        </w:rPr>
      </w:pPr>
    </w:p>
    <w:p w14:paraId="70F1241B" w14:textId="7E8B632C" w:rsidR="00430A79" w:rsidRPr="009F5CA1" w:rsidRDefault="005B0D46" w:rsidP="005B0D46">
      <w:pPr>
        <w:jc w:val="both"/>
        <w:rPr>
          <w:rFonts w:ascii="Arial Narrow" w:eastAsia="Calibri" w:hAnsi="Arial Narrow" w:cs="Calibri"/>
          <w:sz w:val="22"/>
          <w:szCs w:val="22"/>
          <w:lang w:val="sq-AL"/>
        </w:rPr>
      </w:pPr>
      <w:r w:rsidRPr="00BE2534">
        <w:rPr>
          <w:rFonts w:ascii="Arial Narrow" w:eastAsia="Calibri" w:hAnsi="Arial Narrow" w:cs="Calibri"/>
          <w:sz w:val="22"/>
          <w:szCs w:val="22"/>
          <w:lang w:val="sq-AL"/>
        </w:rPr>
        <w:t xml:space="preserve">Megjithatë, në të gjitha rastet e tjera, lubrifikantët, pesticidet dhe herbicidet e përdorura duhet të trajtohen në një incenerator të projektuar siç duhet; për këtë qëllim mund të merret parasysh mundësia e përdorimit të një furre ekzistuese të çimentos (siç bëhet në shumë vende të BE-së, ku furra duhet të plotësojë disa kushte teknike dhe të lejohet për këtë përdorim). Nëse trajtimi nuk është i realizueshëm, këto mbeturina duhet të ruhen ose hidhen në </w:t>
      </w:r>
      <w:r w:rsidRPr="00BE2534">
        <w:rPr>
          <w:rFonts w:ascii="Arial Narrow" w:eastAsia="Calibri" w:hAnsi="Arial Narrow" w:cs="Calibri"/>
          <w:sz w:val="22"/>
          <w:szCs w:val="22"/>
          <w:lang w:val="sq-AL"/>
        </w:rPr>
        <w:lastRenderedPageBreak/>
        <w:t>mënyrë të sigurtë në objekte që plotësojnë normat e pranuara ndërkombëtarisht derisa të identifikohen objektet e duhura të trajtimit. Një strukturë shtetërore për menaxhimin e mbeturinave të rrezikshme parashikohet nga SKMIM, e cila do të ofrojë mundësi dhe zgjidhje të sigurtë magazinimi për këto lloj mbeturinash</w:t>
      </w:r>
      <w:r w:rsidR="00430A79" w:rsidRPr="009F5CA1">
        <w:rPr>
          <w:rFonts w:ascii="Arial Narrow" w:eastAsia="Calibri" w:hAnsi="Arial Narrow" w:cs="Calibri"/>
          <w:sz w:val="22"/>
          <w:szCs w:val="22"/>
          <w:lang w:val="sq-AL"/>
        </w:rPr>
        <w:t>.</w:t>
      </w:r>
    </w:p>
    <w:p w14:paraId="076C7767" w14:textId="77777777" w:rsidR="002F45E2" w:rsidRPr="00430A79" w:rsidRDefault="002F45E2" w:rsidP="005B0D46">
      <w:pPr>
        <w:jc w:val="both"/>
        <w:rPr>
          <w:rFonts w:ascii="Arial Narrow" w:hAnsi="Arial Narrow"/>
        </w:rPr>
      </w:pPr>
    </w:p>
    <w:p w14:paraId="0899A8B8" w14:textId="2CDCD6D3" w:rsidR="00430A79" w:rsidRPr="00430A79" w:rsidRDefault="005B0D46" w:rsidP="000D7AD0">
      <w:pPr>
        <w:pStyle w:val="Heading2"/>
      </w:pPr>
      <w:bookmarkStart w:id="480" w:name="_Toc185866144"/>
      <w:bookmarkStart w:id="481" w:name="_Toc197472035"/>
      <w:r>
        <w:t xml:space="preserve">Opsionet për ndritjen </w:t>
      </w:r>
      <w:r w:rsidR="00430A79" w:rsidRPr="00430A79">
        <w:t>institucional</w:t>
      </w:r>
      <w:r>
        <w:t>e</w:t>
      </w:r>
      <w:r w:rsidR="00430A79" w:rsidRPr="00430A79">
        <w:t xml:space="preserve"> dhe organizativ</w:t>
      </w:r>
      <w:bookmarkEnd w:id="480"/>
      <w:r>
        <w:t>e</w:t>
      </w:r>
      <w:bookmarkEnd w:id="481"/>
    </w:p>
    <w:p w14:paraId="5372009C" w14:textId="77777777" w:rsidR="002F45E2" w:rsidRDefault="002F45E2" w:rsidP="00430A79">
      <w:pPr>
        <w:rPr>
          <w:rFonts w:ascii="Arial Narrow" w:eastAsia="Aptos" w:hAnsi="Arial Narrow"/>
          <w:kern w:val="2"/>
          <w:sz w:val="22"/>
          <w:szCs w:val="22"/>
          <w:lang w:val="sq-AL"/>
          <w14:ligatures w14:val="standardContextual"/>
        </w:rPr>
      </w:pPr>
    </w:p>
    <w:p w14:paraId="7F101755" w14:textId="672D6469" w:rsidR="00430A79" w:rsidRDefault="005B0D46" w:rsidP="002F45E2">
      <w:pPr>
        <w:jc w:val="both"/>
        <w:rPr>
          <w:rFonts w:ascii="Arial Narrow" w:eastAsia="Aptos" w:hAnsi="Arial Narrow"/>
          <w:kern w:val="2"/>
          <w:sz w:val="22"/>
          <w:szCs w:val="22"/>
          <w14:ligatures w14:val="standardContextual"/>
        </w:rPr>
      </w:pPr>
      <w:r w:rsidRPr="00BE2534">
        <w:rPr>
          <w:rFonts w:ascii="Arial Narrow" w:eastAsia="Aptos" w:hAnsi="Arial Narrow"/>
          <w:kern w:val="2"/>
          <w:sz w:val="22"/>
          <w:szCs w:val="22"/>
          <w:lang w:val="sq-AL"/>
          <w14:ligatures w14:val="standardContextual"/>
        </w:rPr>
        <w:t>Tashmë është vendosur që deponia e përmirësuar rajonale në Sferkë të operohet nga Kompania për Menaxhimin e Deponive në Kosovë (KMDK). Megjithatë, për aktivitetet e tjera të menaxhimit të mbeturinave janë të disponueshme opsione të ndryshme për aranzhime operacionale</w:t>
      </w:r>
      <w:r w:rsidR="00430A79" w:rsidRPr="00430A79">
        <w:rPr>
          <w:rFonts w:ascii="Arial Narrow" w:eastAsia="Aptos" w:hAnsi="Arial Narrow"/>
          <w:kern w:val="2"/>
          <w:sz w:val="22"/>
          <w:szCs w:val="22"/>
          <w14:ligatures w14:val="standardContextual"/>
        </w:rPr>
        <w:t>.</w:t>
      </w:r>
    </w:p>
    <w:p w14:paraId="56233065" w14:textId="77777777" w:rsidR="002F45E2" w:rsidRPr="00430A79" w:rsidRDefault="002F45E2" w:rsidP="00430A79">
      <w:pPr>
        <w:rPr>
          <w:rFonts w:ascii="Arial Narrow" w:eastAsia="Aptos" w:hAnsi="Arial Narrow"/>
          <w:kern w:val="2"/>
          <w:sz w:val="22"/>
          <w:szCs w:val="22"/>
          <w14:ligatures w14:val="standardContextual"/>
        </w:rPr>
      </w:pPr>
    </w:p>
    <w:p w14:paraId="14BE1C3D" w14:textId="112FC18A" w:rsidR="00430A79" w:rsidRPr="00430A79" w:rsidRDefault="005B0D46" w:rsidP="000D7AD0">
      <w:pPr>
        <w:pStyle w:val="Heading3"/>
      </w:pPr>
      <w:bookmarkStart w:id="482" w:name="_Toc185866145"/>
      <w:bookmarkStart w:id="483" w:name="_Toc197472036"/>
      <w:r>
        <w:t xml:space="preserve">Grumbullimi i </w:t>
      </w:r>
      <w:r w:rsidR="00430A79" w:rsidRPr="00430A79">
        <w:t>mbeturinave</w:t>
      </w:r>
      <w:bookmarkEnd w:id="482"/>
      <w:bookmarkEnd w:id="483"/>
    </w:p>
    <w:p w14:paraId="06B91B1C" w14:textId="77777777" w:rsidR="002F45E2" w:rsidRDefault="002F45E2" w:rsidP="005B0D46">
      <w:pPr>
        <w:rPr>
          <w:rFonts w:ascii="Arial Narrow" w:eastAsia="Aptos" w:hAnsi="Arial Narrow"/>
          <w:kern w:val="2"/>
          <w:sz w:val="22"/>
          <w:szCs w:val="22"/>
          <w:lang w:val="sq-AL"/>
          <w14:ligatures w14:val="standardContextual"/>
        </w:rPr>
      </w:pPr>
    </w:p>
    <w:p w14:paraId="247A11C9" w14:textId="1F046590" w:rsidR="005B0D46" w:rsidRPr="00BE2534" w:rsidRDefault="005B0D46" w:rsidP="005B0D46">
      <w:pPr>
        <w:rPr>
          <w:rFonts w:ascii="Arial Narrow" w:eastAsia="Aptos" w:hAnsi="Arial Narrow"/>
          <w:kern w:val="2"/>
          <w:sz w:val="22"/>
          <w:szCs w:val="22"/>
          <w:lang w:val="sq-AL"/>
          <w14:ligatures w14:val="standardContextual"/>
        </w:rPr>
      </w:pPr>
      <w:r w:rsidRPr="00BE2534">
        <w:rPr>
          <w:rFonts w:ascii="Arial Narrow" w:eastAsia="Aptos" w:hAnsi="Arial Narrow"/>
          <w:kern w:val="2"/>
          <w:sz w:val="22"/>
          <w:szCs w:val="22"/>
          <w:lang w:val="sq-AL"/>
          <w14:ligatures w14:val="standardContextual"/>
        </w:rPr>
        <w:t>Tri opsionet e mëposhtme janë në dispozicion të komunave në lidhje me grumbullimin e mbeturinave:</w:t>
      </w:r>
    </w:p>
    <w:p w14:paraId="7A090244" w14:textId="77777777" w:rsidR="005B0D46" w:rsidRPr="00BE2534" w:rsidRDefault="005B0D46" w:rsidP="002F45E2">
      <w:pPr>
        <w:numPr>
          <w:ilvl w:val="0"/>
          <w:numId w:val="23"/>
        </w:numPr>
        <w:spacing w:after="160" w:line="259" w:lineRule="auto"/>
        <w:contextualSpacing/>
        <w:jc w:val="both"/>
        <w:rPr>
          <w:rFonts w:ascii="Arial Narrow" w:eastAsia="Aptos" w:hAnsi="Arial Narrow"/>
          <w:kern w:val="2"/>
          <w:sz w:val="22"/>
          <w:szCs w:val="22"/>
          <w:lang w:val="sq-AL"/>
          <w14:ligatures w14:val="standardContextual"/>
        </w:rPr>
      </w:pPr>
      <w:r w:rsidRPr="00BE2534">
        <w:rPr>
          <w:rFonts w:ascii="Arial Narrow" w:eastAsia="Aptos" w:hAnsi="Arial Narrow"/>
          <w:b/>
          <w:bCs/>
          <w:kern w:val="2"/>
          <w:sz w:val="22"/>
          <w:szCs w:val="22"/>
          <w:lang w:val="sq-AL"/>
          <w14:ligatures w14:val="standardContextual"/>
        </w:rPr>
        <w:t xml:space="preserve">Opsioni 1: Ruajtja e situatës aktuale </w:t>
      </w:r>
      <w:r w:rsidRPr="00BE2534">
        <w:rPr>
          <w:rFonts w:ascii="Arial Narrow" w:eastAsia="Aptos" w:hAnsi="Arial Narrow"/>
          <w:kern w:val="2"/>
          <w:sz w:val="22"/>
          <w:szCs w:val="22"/>
          <w:lang w:val="sq-AL"/>
          <w14:ligatures w14:val="standardContextual"/>
        </w:rPr>
        <w:t>. Sipas këtij opsioni, KRU Ambienti do të vazhdojë të ofrojë shërbime për grumbullimin e mbeturinave për komunat e Pejës, Istogut dhe Klinës, ndërsa Deçani do të shërbehet nga kompania e saj komunale Higjiena, dhe Juniku do të vazhdojë me aranzhime vetanake.</w:t>
      </w:r>
    </w:p>
    <w:p w14:paraId="46A8D806" w14:textId="77777777" w:rsidR="005B0D46" w:rsidRPr="00BE2534" w:rsidRDefault="005B0D46" w:rsidP="002F45E2">
      <w:pPr>
        <w:numPr>
          <w:ilvl w:val="0"/>
          <w:numId w:val="23"/>
        </w:numPr>
        <w:spacing w:after="160" w:line="259" w:lineRule="auto"/>
        <w:contextualSpacing/>
        <w:jc w:val="both"/>
        <w:rPr>
          <w:rFonts w:ascii="Arial Narrow" w:eastAsia="Aptos" w:hAnsi="Arial Narrow"/>
          <w:kern w:val="2"/>
          <w:sz w:val="22"/>
          <w:szCs w:val="22"/>
          <w:lang w:val="sq-AL"/>
          <w14:ligatures w14:val="standardContextual"/>
        </w:rPr>
      </w:pPr>
      <w:r w:rsidRPr="00BE2534">
        <w:rPr>
          <w:rFonts w:ascii="Arial Narrow" w:eastAsia="Aptos" w:hAnsi="Arial Narrow"/>
          <w:b/>
          <w:bCs/>
          <w:kern w:val="2"/>
          <w:sz w:val="22"/>
          <w:szCs w:val="22"/>
          <w:lang w:val="sq-AL"/>
          <w14:ligatures w14:val="standardContextual"/>
        </w:rPr>
        <w:t xml:space="preserve">Opsioni 2: Ofrimi i shërbimit nga KRU </w:t>
      </w:r>
      <w:r w:rsidRPr="00BE2534">
        <w:rPr>
          <w:rFonts w:ascii="Arial Narrow" w:eastAsia="Aptos" w:hAnsi="Arial Narrow"/>
          <w:kern w:val="2"/>
          <w:sz w:val="22"/>
          <w:szCs w:val="22"/>
          <w:lang w:val="sq-AL"/>
          <w14:ligatures w14:val="standardContextual"/>
        </w:rPr>
        <w:t>. Sipas këtij opsioni, KRU do të ofronte shërbimin për të pesë komunat me qëllim të uljes së kostove të përgjithshme të grumbullimit të mbeturinave duke përfituar nga ekonomia e shkallës.</w:t>
      </w:r>
    </w:p>
    <w:p w14:paraId="5674389E" w14:textId="77777777" w:rsidR="005B0D46" w:rsidRPr="00BE2534" w:rsidRDefault="005B0D46" w:rsidP="005B0D46">
      <w:pPr>
        <w:numPr>
          <w:ilvl w:val="0"/>
          <w:numId w:val="23"/>
        </w:numPr>
        <w:spacing w:after="160" w:line="259" w:lineRule="auto"/>
        <w:contextualSpacing/>
        <w:rPr>
          <w:rFonts w:ascii="Arial Narrow" w:eastAsia="Aptos" w:hAnsi="Arial Narrow"/>
          <w:kern w:val="2"/>
          <w:sz w:val="22"/>
          <w:szCs w:val="22"/>
          <w:lang w:val="sq-AL"/>
          <w14:ligatures w14:val="standardContextual"/>
        </w:rPr>
      </w:pPr>
      <w:r w:rsidRPr="00BE2534">
        <w:rPr>
          <w:rFonts w:ascii="Arial Narrow" w:eastAsia="Aptos" w:hAnsi="Arial Narrow"/>
          <w:b/>
          <w:bCs/>
          <w:kern w:val="2"/>
          <w:sz w:val="22"/>
          <w:szCs w:val="22"/>
          <w:lang w:val="sq-AL"/>
          <w14:ligatures w14:val="standardContextual"/>
        </w:rPr>
        <w:t xml:space="preserve">Opsioni 3: Prokurimi i shërbimit tek operator(ët) privat </w:t>
      </w:r>
      <w:r w:rsidRPr="00BE2534">
        <w:rPr>
          <w:rFonts w:ascii="Arial Narrow" w:eastAsia="Aptos" w:hAnsi="Arial Narrow"/>
          <w:kern w:val="2"/>
          <w:sz w:val="22"/>
          <w:szCs w:val="22"/>
          <w:lang w:val="sq-AL"/>
          <w14:ligatures w14:val="standardContextual"/>
        </w:rPr>
        <w:t>. Ngjashëm me rajonet e tjera në vend, komunat do të prokuronin shërbimin e grumbullimit të mbeturinave tek për operatorët privatë.</w:t>
      </w:r>
    </w:p>
    <w:p w14:paraId="43ACE874" w14:textId="77777777" w:rsidR="005B0D46" w:rsidRPr="00BE2534" w:rsidRDefault="005B0D46" w:rsidP="005B0D46">
      <w:pPr>
        <w:rPr>
          <w:rFonts w:ascii="Arial Narrow" w:eastAsia="Aptos" w:hAnsi="Arial Narrow"/>
          <w:kern w:val="2"/>
          <w:sz w:val="22"/>
          <w:szCs w:val="22"/>
          <w:lang w:val="sq-AL"/>
          <w14:ligatures w14:val="standardContextual"/>
        </w:rPr>
      </w:pPr>
    </w:p>
    <w:p w14:paraId="2E5928A2" w14:textId="5B5E88EC" w:rsidR="00430A79" w:rsidRPr="00430A79" w:rsidRDefault="005B0D46" w:rsidP="005B0D46">
      <w:pPr>
        <w:rPr>
          <w:rFonts w:ascii="Arial Narrow" w:eastAsia="Aptos" w:hAnsi="Arial Narrow"/>
          <w:kern w:val="2"/>
          <w:sz w:val="22"/>
          <w:szCs w:val="22"/>
          <w14:ligatures w14:val="standardContextual"/>
        </w:rPr>
      </w:pPr>
      <w:r w:rsidRPr="00BE2534">
        <w:rPr>
          <w:rFonts w:ascii="Arial Narrow" w:eastAsia="Aptos" w:hAnsi="Arial Narrow"/>
          <w:kern w:val="2"/>
          <w:sz w:val="22"/>
          <w:szCs w:val="22"/>
          <w:lang w:val="sq-AL"/>
          <w14:ligatures w14:val="standardContextual"/>
        </w:rPr>
        <w:t>Tabela më poshtë paraqet avantazhet dhe disavantazhet e të 3 opsioneve</w:t>
      </w:r>
      <w:r w:rsidR="00430A79" w:rsidRPr="00430A79">
        <w:rPr>
          <w:rFonts w:ascii="Arial Narrow" w:eastAsia="Aptos" w:hAnsi="Arial Narrow"/>
          <w:kern w:val="2"/>
          <w:sz w:val="22"/>
          <w:szCs w:val="22"/>
          <w14:ligatures w14:val="standardContextual"/>
        </w:rPr>
        <w:t>.</w:t>
      </w:r>
    </w:p>
    <w:p w14:paraId="2D78AB17" w14:textId="77777777" w:rsidR="00430A79" w:rsidRPr="00430A79" w:rsidRDefault="00430A79" w:rsidP="00430A79">
      <w:pPr>
        <w:rPr>
          <w:rFonts w:ascii="Arial Narrow" w:eastAsia="Aptos" w:hAnsi="Arial Narrow"/>
          <w:kern w:val="2"/>
          <w:sz w:val="22"/>
          <w:szCs w:val="22"/>
          <w14:ligatures w14:val="standardContextual"/>
        </w:rPr>
      </w:pPr>
    </w:p>
    <w:p w14:paraId="09485BD6" w14:textId="114B685D" w:rsidR="00430A79" w:rsidRPr="009F5CA1" w:rsidRDefault="00430A79" w:rsidP="00430A79">
      <w:pPr>
        <w:spacing w:after="120"/>
        <w:rPr>
          <w:rFonts w:ascii="Arial Narrow" w:eastAsia="Calibri" w:hAnsi="Arial Narrow" w:cs="Calibri"/>
          <w:color w:val="1F497D"/>
          <w:sz w:val="20"/>
          <w:szCs w:val="20"/>
          <w:lang w:val="es-ES"/>
        </w:rPr>
      </w:pPr>
      <w:bookmarkStart w:id="484" w:name="_Toc185866226"/>
      <w:bookmarkStart w:id="485" w:name="_Toc197472255"/>
      <w:proofErr w:type="spellStart"/>
      <w:r w:rsidRPr="009F5CA1">
        <w:rPr>
          <w:rFonts w:ascii="Arial Narrow" w:eastAsia="Calibri" w:hAnsi="Arial Narrow" w:cs="Calibri"/>
          <w:color w:val="1F497D"/>
          <w:sz w:val="20"/>
          <w:szCs w:val="20"/>
          <w:lang w:val="es-ES"/>
        </w:rPr>
        <w:t>Tabela</w:t>
      </w:r>
      <w:proofErr w:type="spellEnd"/>
      <w:r w:rsidRPr="009F5CA1">
        <w:rPr>
          <w:rFonts w:ascii="Arial Narrow" w:eastAsia="Calibri" w:hAnsi="Arial Narrow" w:cs="Calibri"/>
          <w:color w:val="1F497D"/>
          <w:sz w:val="20"/>
          <w:szCs w:val="20"/>
          <w:lang w:val="es-ES"/>
        </w:rPr>
        <w:t xml:space="preserve">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lang w:val="es-ES"/>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lang w:val="es-ES"/>
        </w:rPr>
        <w:t xml:space="preserve">70. </w:t>
      </w:r>
      <w:r w:rsidRPr="00430A79">
        <w:rPr>
          <w:rFonts w:ascii="Arial Narrow" w:eastAsia="Calibri" w:hAnsi="Arial Narrow" w:cs="Calibri"/>
          <w:color w:val="1F497D"/>
          <w:sz w:val="20"/>
          <w:szCs w:val="20"/>
          <w:lang w:val="en-GB"/>
        </w:rPr>
        <w:fldChar w:fldCharType="end"/>
      </w:r>
      <w:proofErr w:type="spellStart"/>
      <w:r w:rsidRPr="009F5CA1">
        <w:rPr>
          <w:rFonts w:ascii="Arial Narrow" w:eastAsia="Calibri" w:hAnsi="Arial Narrow" w:cs="Calibri"/>
          <w:color w:val="1F497D"/>
          <w:sz w:val="20"/>
          <w:szCs w:val="20"/>
          <w:lang w:val="es-ES"/>
        </w:rPr>
        <w:t>Avantazhet</w:t>
      </w:r>
      <w:proofErr w:type="spellEnd"/>
      <w:r w:rsidRPr="009F5CA1">
        <w:rPr>
          <w:rFonts w:ascii="Arial Narrow" w:eastAsia="Calibri" w:hAnsi="Arial Narrow" w:cs="Calibri"/>
          <w:color w:val="1F497D"/>
          <w:sz w:val="20"/>
          <w:szCs w:val="20"/>
          <w:lang w:val="es-ES"/>
        </w:rPr>
        <w:t xml:space="preserve"> </w:t>
      </w:r>
      <w:proofErr w:type="spellStart"/>
      <w:r w:rsidRPr="009F5CA1">
        <w:rPr>
          <w:rFonts w:ascii="Arial Narrow" w:eastAsia="Calibri" w:hAnsi="Arial Narrow" w:cs="Calibri"/>
          <w:color w:val="1F497D"/>
          <w:sz w:val="20"/>
          <w:szCs w:val="20"/>
          <w:lang w:val="es-ES"/>
        </w:rPr>
        <w:t>dhe</w:t>
      </w:r>
      <w:proofErr w:type="spellEnd"/>
      <w:r w:rsidRPr="009F5CA1">
        <w:rPr>
          <w:rFonts w:ascii="Arial Narrow" w:eastAsia="Calibri" w:hAnsi="Arial Narrow" w:cs="Calibri"/>
          <w:color w:val="1F497D"/>
          <w:sz w:val="20"/>
          <w:szCs w:val="20"/>
          <w:lang w:val="es-ES"/>
        </w:rPr>
        <w:t xml:space="preserve"> </w:t>
      </w:r>
      <w:proofErr w:type="spellStart"/>
      <w:r w:rsidRPr="009F5CA1">
        <w:rPr>
          <w:rFonts w:ascii="Arial Narrow" w:eastAsia="Calibri" w:hAnsi="Arial Narrow" w:cs="Calibri"/>
          <w:color w:val="1F497D"/>
          <w:sz w:val="20"/>
          <w:szCs w:val="20"/>
          <w:lang w:val="es-ES"/>
        </w:rPr>
        <w:t>disavantazhet</w:t>
      </w:r>
      <w:proofErr w:type="spellEnd"/>
      <w:r w:rsidRPr="009F5CA1">
        <w:rPr>
          <w:rFonts w:ascii="Arial Narrow" w:eastAsia="Calibri" w:hAnsi="Arial Narrow" w:cs="Calibri"/>
          <w:color w:val="1F497D"/>
          <w:sz w:val="20"/>
          <w:szCs w:val="20"/>
          <w:lang w:val="es-ES"/>
        </w:rPr>
        <w:t xml:space="preserve"> e </w:t>
      </w:r>
      <w:proofErr w:type="spellStart"/>
      <w:r w:rsidRPr="009F5CA1">
        <w:rPr>
          <w:rFonts w:ascii="Arial Narrow" w:eastAsia="Calibri" w:hAnsi="Arial Narrow" w:cs="Calibri"/>
          <w:color w:val="1F497D"/>
          <w:sz w:val="20"/>
          <w:szCs w:val="20"/>
          <w:lang w:val="es-ES"/>
        </w:rPr>
        <w:t>opsioneve</w:t>
      </w:r>
      <w:proofErr w:type="spellEnd"/>
      <w:r w:rsidRPr="009F5CA1">
        <w:rPr>
          <w:rFonts w:ascii="Arial Narrow" w:eastAsia="Calibri" w:hAnsi="Arial Narrow" w:cs="Calibri"/>
          <w:color w:val="1F497D"/>
          <w:sz w:val="20"/>
          <w:szCs w:val="20"/>
          <w:lang w:val="es-ES"/>
        </w:rPr>
        <w:t xml:space="preserve"> </w:t>
      </w:r>
      <w:proofErr w:type="spellStart"/>
      <w:r w:rsidRPr="009F5CA1">
        <w:rPr>
          <w:rFonts w:ascii="Arial Narrow" w:eastAsia="Calibri" w:hAnsi="Arial Narrow" w:cs="Calibri"/>
          <w:color w:val="1F497D"/>
          <w:sz w:val="20"/>
          <w:szCs w:val="20"/>
          <w:lang w:val="es-ES"/>
        </w:rPr>
        <w:t>për</w:t>
      </w:r>
      <w:proofErr w:type="spellEnd"/>
      <w:r w:rsidRPr="009F5CA1">
        <w:rPr>
          <w:rFonts w:ascii="Arial Narrow" w:eastAsia="Calibri" w:hAnsi="Arial Narrow" w:cs="Calibri"/>
          <w:color w:val="1F497D"/>
          <w:sz w:val="20"/>
          <w:szCs w:val="20"/>
          <w:lang w:val="es-ES"/>
        </w:rPr>
        <w:t xml:space="preserve"> </w:t>
      </w:r>
      <w:proofErr w:type="spellStart"/>
      <w:r w:rsidR="005B0D46" w:rsidRPr="009F5CA1">
        <w:rPr>
          <w:rFonts w:ascii="Arial Narrow" w:eastAsia="Calibri" w:hAnsi="Arial Narrow" w:cs="Calibri"/>
          <w:color w:val="1F497D"/>
          <w:sz w:val="20"/>
          <w:szCs w:val="20"/>
          <w:lang w:val="es-ES"/>
        </w:rPr>
        <w:t>grumbullimin</w:t>
      </w:r>
      <w:proofErr w:type="spellEnd"/>
      <w:r w:rsidR="005B0D46" w:rsidRPr="009F5CA1">
        <w:rPr>
          <w:rFonts w:ascii="Arial Narrow" w:eastAsia="Calibri" w:hAnsi="Arial Narrow" w:cs="Calibri"/>
          <w:color w:val="1F497D"/>
          <w:sz w:val="20"/>
          <w:szCs w:val="20"/>
          <w:lang w:val="es-ES"/>
        </w:rPr>
        <w:t xml:space="preserve"> </w:t>
      </w:r>
      <w:r w:rsidRPr="009F5CA1">
        <w:rPr>
          <w:rFonts w:ascii="Arial Narrow" w:eastAsia="Calibri" w:hAnsi="Arial Narrow" w:cs="Calibri"/>
          <w:color w:val="1F497D"/>
          <w:sz w:val="20"/>
          <w:szCs w:val="20"/>
          <w:lang w:val="es-ES"/>
        </w:rPr>
        <w:t xml:space="preserve">e </w:t>
      </w:r>
      <w:proofErr w:type="spellStart"/>
      <w:r w:rsidRPr="009F5CA1">
        <w:rPr>
          <w:rFonts w:ascii="Arial Narrow" w:eastAsia="Calibri" w:hAnsi="Arial Narrow" w:cs="Calibri"/>
          <w:color w:val="1F497D"/>
          <w:sz w:val="20"/>
          <w:szCs w:val="20"/>
          <w:lang w:val="es-ES"/>
        </w:rPr>
        <w:t>mbeturinave</w:t>
      </w:r>
      <w:bookmarkEnd w:id="484"/>
      <w:bookmarkEnd w:id="485"/>
      <w:proofErr w:type="spellEnd"/>
    </w:p>
    <w:tbl>
      <w:tblPr>
        <w:tblStyle w:val="TableGrid15"/>
        <w:tblW w:w="0" w:type="auto"/>
        <w:tblLook w:val="04A0" w:firstRow="1" w:lastRow="0" w:firstColumn="1" w:lastColumn="0" w:noHBand="0" w:noVBand="1"/>
      </w:tblPr>
      <w:tblGrid>
        <w:gridCol w:w="3005"/>
        <w:gridCol w:w="3005"/>
        <w:gridCol w:w="3006"/>
      </w:tblGrid>
      <w:tr w:rsidR="00430A79" w:rsidRPr="00430A79" w14:paraId="380879E0" w14:textId="77777777" w:rsidTr="00D03949">
        <w:trPr>
          <w:tblHeader/>
        </w:trPr>
        <w:tc>
          <w:tcPr>
            <w:tcW w:w="3005" w:type="dxa"/>
            <w:shd w:val="clear" w:color="auto" w:fill="365F91"/>
          </w:tcPr>
          <w:p w14:paraId="37F7E959" w14:textId="14EF7AA0" w:rsidR="00430A79" w:rsidRPr="00430A79" w:rsidRDefault="00430A79" w:rsidP="00430A79">
            <w:pPr>
              <w:spacing w:before="60" w:after="60"/>
              <w:rPr>
                <w:rFonts w:ascii="Arial Narrow" w:eastAsia="Aptos" w:hAnsi="Arial Narrow"/>
                <w:b/>
                <w:bCs/>
                <w:color w:val="FFFFFF" w:themeColor="background1"/>
                <w:sz w:val="20"/>
                <w:szCs w:val="20"/>
              </w:rPr>
            </w:pPr>
            <w:r w:rsidRPr="00430A79">
              <w:rPr>
                <w:rFonts w:ascii="Arial Narrow" w:eastAsia="Aptos" w:hAnsi="Arial Narrow"/>
                <w:b/>
                <w:bCs/>
                <w:color w:val="FFFFFF" w:themeColor="background1"/>
                <w:sz w:val="20"/>
                <w:szCs w:val="20"/>
              </w:rPr>
              <w:t>Opsion</w:t>
            </w:r>
            <w:r w:rsidR="005B0D46">
              <w:rPr>
                <w:rFonts w:ascii="Arial Narrow" w:eastAsia="Aptos" w:hAnsi="Arial Narrow"/>
                <w:b/>
                <w:bCs/>
                <w:color w:val="FFFFFF" w:themeColor="background1"/>
                <w:sz w:val="20"/>
                <w:szCs w:val="20"/>
              </w:rPr>
              <w:t>i</w:t>
            </w:r>
          </w:p>
        </w:tc>
        <w:tc>
          <w:tcPr>
            <w:tcW w:w="3005" w:type="dxa"/>
            <w:shd w:val="clear" w:color="auto" w:fill="365F91"/>
          </w:tcPr>
          <w:p w14:paraId="3CBFD58C" w14:textId="77777777" w:rsidR="00430A79" w:rsidRPr="00430A79" w:rsidRDefault="00430A79" w:rsidP="00430A79">
            <w:pPr>
              <w:spacing w:before="60" w:after="60"/>
              <w:rPr>
                <w:rFonts w:ascii="Arial Narrow" w:eastAsia="Aptos" w:hAnsi="Arial Narrow"/>
                <w:b/>
                <w:bCs/>
                <w:color w:val="FFFFFF" w:themeColor="background1"/>
                <w:sz w:val="20"/>
                <w:szCs w:val="20"/>
              </w:rPr>
            </w:pPr>
            <w:r w:rsidRPr="00430A79">
              <w:rPr>
                <w:rFonts w:ascii="Arial Narrow" w:eastAsia="Aptos" w:hAnsi="Arial Narrow"/>
                <w:b/>
                <w:bCs/>
                <w:color w:val="FFFFFF" w:themeColor="background1"/>
                <w:sz w:val="20"/>
                <w:szCs w:val="20"/>
              </w:rPr>
              <w:t>Avantazhet</w:t>
            </w:r>
          </w:p>
        </w:tc>
        <w:tc>
          <w:tcPr>
            <w:tcW w:w="3006" w:type="dxa"/>
            <w:shd w:val="clear" w:color="auto" w:fill="365F91"/>
          </w:tcPr>
          <w:p w14:paraId="26702A03" w14:textId="77777777" w:rsidR="00430A79" w:rsidRPr="00430A79" w:rsidRDefault="00430A79" w:rsidP="00430A79">
            <w:pPr>
              <w:spacing w:before="60" w:after="60"/>
              <w:rPr>
                <w:rFonts w:ascii="Arial Narrow" w:eastAsia="Aptos" w:hAnsi="Arial Narrow"/>
                <w:b/>
                <w:bCs/>
                <w:color w:val="FFFFFF" w:themeColor="background1"/>
                <w:sz w:val="20"/>
                <w:szCs w:val="20"/>
              </w:rPr>
            </w:pPr>
            <w:r w:rsidRPr="00430A79">
              <w:rPr>
                <w:rFonts w:ascii="Arial Narrow" w:eastAsia="Aptos" w:hAnsi="Arial Narrow"/>
                <w:b/>
                <w:bCs/>
                <w:color w:val="FFFFFF" w:themeColor="background1"/>
                <w:sz w:val="20"/>
                <w:szCs w:val="20"/>
              </w:rPr>
              <w:t>Disavantazhet</w:t>
            </w:r>
          </w:p>
        </w:tc>
      </w:tr>
      <w:tr w:rsidR="005B0D46" w:rsidRPr="00430A79" w14:paraId="68AF31D3" w14:textId="77777777" w:rsidTr="00D03949">
        <w:tc>
          <w:tcPr>
            <w:tcW w:w="3005" w:type="dxa"/>
          </w:tcPr>
          <w:p w14:paraId="38385679" w14:textId="0172EA8E" w:rsidR="005B0D46" w:rsidRPr="00430A79" w:rsidRDefault="005B0D46" w:rsidP="005B0D46">
            <w:pPr>
              <w:spacing w:before="60" w:after="60"/>
              <w:rPr>
                <w:rFonts w:ascii="Arial Narrow" w:eastAsia="Aptos" w:hAnsi="Arial Narrow"/>
                <w:sz w:val="20"/>
                <w:szCs w:val="20"/>
              </w:rPr>
            </w:pPr>
            <w:r w:rsidRPr="00BE2534">
              <w:rPr>
                <w:rFonts w:ascii="Arial Narrow" w:eastAsia="Aptos" w:hAnsi="Arial Narrow"/>
                <w:sz w:val="20"/>
                <w:szCs w:val="20"/>
                <w:lang w:val="sq-AL"/>
              </w:rPr>
              <w:t>Opsioni 1: Ruajtja e situatës aktuale</w:t>
            </w:r>
          </w:p>
        </w:tc>
        <w:tc>
          <w:tcPr>
            <w:tcW w:w="3005" w:type="dxa"/>
          </w:tcPr>
          <w:p w14:paraId="10E1A948" w14:textId="77777777" w:rsidR="005B0D46" w:rsidRPr="00BE2534" w:rsidRDefault="005B0D46" w:rsidP="005B0D46">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t>Pranueshmëria politike</w:t>
            </w:r>
          </w:p>
          <w:p w14:paraId="3C27F960" w14:textId="77777777" w:rsidR="005B0D46" w:rsidRPr="00BE2534" w:rsidRDefault="005B0D46" w:rsidP="005B0D46">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t>Nuk ka nevojë për ndonjë ndryshim në sistem</w:t>
            </w:r>
          </w:p>
          <w:p w14:paraId="2F065A51" w14:textId="64969B45" w:rsidR="005B0D46" w:rsidRPr="00430A79" w:rsidRDefault="005B0D46" w:rsidP="005B0D46">
            <w:pPr>
              <w:spacing w:before="60" w:after="60"/>
              <w:rPr>
                <w:rFonts w:ascii="Arial Narrow" w:eastAsia="Aptos" w:hAnsi="Arial Narrow"/>
                <w:sz w:val="20"/>
                <w:szCs w:val="20"/>
              </w:rPr>
            </w:pPr>
            <w:r w:rsidRPr="00BE2534">
              <w:rPr>
                <w:rFonts w:ascii="Arial Narrow" w:eastAsia="Aptos" w:hAnsi="Arial Narrow"/>
                <w:sz w:val="20"/>
                <w:szCs w:val="20"/>
                <w:lang w:val="sq-AL"/>
              </w:rPr>
              <w:t>Kënaqshmëria aktuale me cilësinë e shërbimit të marrë</w:t>
            </w:r>
          </w:p>
        </w:tc>
        <w:tc>
          <w:tcPr>
            <w:tcW w:w="3006" w:type="dxa"/>
          </w:tcPr>
          <w:p w14:paraId="21C39EC8" w14:textId="3880DE5F" w:rsidR="005B0D46" w:rsidRPr="00430A79" w:rsidRDefault="005B0D46" w:rsidP="005B0D46">
            <w:pPr>
              <w:spacing w:before="60" w:after="60"/>
              <w:rPr>
                <w:rFonts w:ascii="Arial Narrow" w:eastAsia="Aptos" w:hAnsi="Arial Narrow"/>
                <w:sz w:val="20"/>
                <w:szCs w:val="20"/>
              </w:rPr>
            </w:pPr>
            <w:r w:rsidRPr="00BE2534">
              <w:rPr>
                <w:rFonts w:ascii="Arial Narrow" w:eastAsia="Aptos" w:hAnsi="Arial Narrow"/>
                <w:sz w:val="20"/>
                <w:szCs w:val="20"/>
                <w:lang w:val="sq-AL"/>
              </w:rPr>
              <w:t>Pamundësia për të përfituar nga ekonomia e shkallës që rezulton nga përdorimi i pajisjeve të përbashkëta të grumbullimit të mbeturinave dhe optimizimin e itinerarit</w:t>
            </w:r>
          </w:p>
        </w:tc>
      </w:tr>
      <w:tr w:rsidR="005B0D46" w:rsidRPr="00430A79" w14:paraId="069AEEE8" w14:textId="77777777" w:rsidTr="00D03949">
        <w:tc>
          <w:tcPr>
            <w:tcW w:w="3005" w:type="dxa"/>
          </w:tcPr>
          <w:p w14:paraId="24175D52" w14:textId="1869F274" w:rsidR="005B0D46" w:rsidRPr="00430A79" w:rsidRDefault="005B0D46" w:rsidP="005B0D46">
            <w:pPr>
              <w:spacing w:before="60" w:after="60"/>
              <w:rPr>
                <w:rFonts w:ascii="Arial Narrow" w:eastAsia="Aptos" w:hAnsi="Arial Narrow"/>
                <w:sz w:val="20"/>
                <w:szCs w:val="20"/>
              </w:rPr>
            </w:pPr>
            <w:r w:rsidRPr="00BE2534">
              <w:rPr>
                <w:rFonts w:ascii="Arial Narrow" w:eastAsia="Aptos" w:hAnsi="Arial Narrow"/>
                <w:sz w:val="20"/>
                <w:szCs w:val="20"/>
                <w:lang w:val="sq-AL"/>
              </w:rPr>
              <w:t>Opsioni 2: Ofrimi i shërbimit nga KRU</w:t>
            </w:r>
          </w:p>
        </w:tc>
        <w:tc>
          <w:tcPr>
            <w:tcW w:w="3005" w:type="dxa"/>
          </w:tcPr>
          <w:p w14:paraId="3386F979" w14:textId="77777777" w:rsidR="005B0D46" w:rsidRPr="00BE2534" w:rsidRDefault="005B0D46" w:rsidP="005B0D46">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t>Komunat mund të përfitojnë nga ekonomia e shkallës që rezulton nga përdorimi i përbashkët i pajisjeve të grumbullimit të mbeturinave dhe optimizimi i itinerarit</w:t>
            </w:r>
          </w:p>
          <w:p w14:paraId="24E1AC09" w14:textId="77777777" w:rsidR="005B0D46" w:rsidRPr="00430A79" w:rsidRDefault="005B0D46" w:rsidP="005B0D46">
            <w:pPr>
              <w:spacing w:before="60" w:after="60"/>
              <w:rPr>
                <w:rFonts w:ascii="Arial Narrow" w:eastAsia="Aptos" w:hAnsi="Arial Narrow"/>
                <w:sz w:val="20"/>
                <w:szCs w:val="20"/>
              </w:rPr>
            </w:pPr>
          </w:p>
        </w:tc>
        <w:tc>
          <w:tcPr>
            <w:tcW w:w="3006" w:type="dxa"/>
          </w:tcPr>
          <w:p w14:paraId="5C1D6CAC" w14:textId="77777777" w:rsidR="005B0D46" w:rsidRPr="00BE2534" w:rsidRDefault="005B0D46" w:rsidP="005B0D46">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t>Pranueshmëria politike nga komunat Deçan dhe Junik është e vështirë për shkak të kënaqshmërisë me aranzhimet e tyre aktuale</w:t>
            </w:r>
          </w:p>
          <w:p w14:paraId="6ED543E7" w14:textId="77777777" w:rsidR="005B0D46" w:rsidRPr="00430A79" w:rsidRDefault="005B0D46" w:rsidP="005B0D46">
            <w:pPr>
              <w:spacing w:before="60" w:after="60"/>
              <w:rPr>
                <w:rFonts w:ascii="Arial Narrow" w:eastAsia="Aptos" w:hAnsi="Arial Narrow"/>
                <w:sz w:val="20"/>
                <w:szCs w:val="20"/>
              </w:rPr>
            </w:pPr>
          </w:p>
        </w:tc>
      </w:tr>
      <w:tr w:rsidR="005B0D46" w:rsidRPr="00430A79" w14:paraId="7450434B" w14:textId="77777777" w:rsidTr="00D03949">
        <w:tc>
          <w:tcPr>
            <w:tcW w:w="3005" w:type="dxa"/>
          </w:tcPr>
          <w:p w14:paraId="00CBEE36" w14:textId="584BF90F" w:rsidR="005B0D46" w:rsidRPr="00430A79" w:rsidRDefault="005B0D46" w:rsidP="005B0D46">
            <w:pPr>
              <w:spacing w:before="60" w:after="60"/>
              <w:rPr>
                <w:rFonts w:ascii="Arial Narrow" w:eastAsia="Aptos" w:hAnsi="Arial Narrow"/>
                <w:sz w:val="20"/>
                <w:szCs w:val="20"/>
              </w:rPr>
            </w:pPr>
            <w:r w:rsidRPr="00BE2534">
              <w:rPr>
                <w:rFonts w:ascii="Arial Narrow" w:eastAsia="Aptos" w:hAnsi="Arial Narrow"/>
                <w:sz w:val="20"/>
                <w:szCs w:val="20"/>
                <w:lang w:val="sq-AL"/>
              </w:rPr>
              <w:t>Opsioni 3: Prokurimi i shërbimit tek operator(ët) privat</w:t>
            </w:r>
          </w:p>
        </w:tc>
        <w:tc>
          <w:tcPr>
            <w:tcW w:w="3005" w:type="dxa"/>
          </w:tcPr>
          <w:p w14:paraId="5FB6F3B1" w14:textId="77777777" w:rsidR="005B0D46" w:rsidRPr="00BE2534" w:rsidRDefault="005B0D46" w:rsidP="005B0D46">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t>Mundësi për t'u kontraktuar operatorë privatë me përvojë të dëshmuar në grumbullimin e mbeturinave urbane</w:t>
            </w:r>
          </w:p>
          <w:p w14:paraId="08AFA5F2" w14:textId="77777777" w:rsidR="005B0D46" w:rsidRPr="00BE2534" w:rsidRDefault="005B0D46" w:rsidP="005B0D46">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t>Në parim, operatorët privatë ka të ngjarë të ofrojnë shërbimin e grumbullimit të mbeturinave në mënyrë më efikase sesa operatorët komunalë.</w:t>
            </w:r>
          </w:p>
          <w:p w14:paraId="4E985D1B" w14:textId="557DE3D1" w:rsidR="005B0D46" w:rsidRPr="00430A79" w:rsidRDefault="005B0D46" w:rsidP="005B0D46">
            <w:pPr>
              <w:spacing w:before="60" w:after="60"/>
              <w:rPr>
                <w:rFonts w:ascii="Arial Narrow" w:eastAsia="Aptos" w:hAnsi="Arial Narrow"/>
                <w:sz w:val="20"/>
                <w:szCs w:val="20"/>
              </w:rPr>
            </w:pPr>
            <w:r w:rsidRPr="00BE2534">
              <w:rPr>
                <w:rFonts w:ascii="Arial Narrow" w:eastAsia="Aptos" w:hAnsi="Arial Narrow"/>
                <w:sz w:val="20"/>
                <w:szCs w:val="20"/>
                <w:lang w:val="sq-AL"/>
              </w:rPr>
              <w:lastRenderedPageBreak/>
              <w:t>Komuna e Junikut tashmë punon me një operator privat.</w:t>
            </w:r>
          </w:p>
        </w:tc>
        <w:tc>
          <w:tcPr>
            <w:tcW w:w="3006" w:type="dxa"/>
          </w:tcPr>
          <w:p w14:paraId="5999BDE3" w14:textId="77777777" w:rsidR="005B0D46" w:rsidRPr="00BE2534" w:rsidRDefault="005B0D46" w:rsidP="005B0D46">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lastRenderedPageBreak/>
              <w:t>Pranueshmëria politike nga të gjitha komunat është e vështirë për shkak të kënaqshmërisë me aranzhimet e tyre aktuale</w:t>
            </w:r>
          </w:p>
          <w:p w14:paraId="0A3A2954" w14:textId="77777777" w:rsidR="005B0D46" w:rsidRPr="00430A79" w:rsidRDefault="005B0D46" w:rsidP="005B0D46">
            <w:pPr>
              <w:spacing w:before="60" w:after="60"/>
              <w:rPr>
                <w:rFonts w:ascii="Arial Narrow" w:eastAsia="Aptos" w:hAnsi="Arial Narrow"/>
                <w:sz w:val="20"/>
                <w:szCs w:val="20"/>
                <w:lang w:val="bg-BG"/>
              </w:rPr>
            </w:pPr>
          </w:p>
        </w:tc>
      </w:tr>
    </w:tbl>
    <w:p w14:paraId="463294E6" w14:textId="77777777" w:rsidR="00430A79" w:rsidRPr="00430A79" w:rsidRDefault="00430A79" w:rsidP="00430A79">
      <w:pPr>
        <w:rPr>
          <w:rFonts w:ascii="Arial Narrow" w:eastAsia="Aptos" w:hAnsi="Arial Narrow"/>
          <w:kern w:val="2"/>
          <w:sz w:val="22"/>
          <w:szCs w:val="22"/>
          <w14:ligatures w14:val="standardContextual"/>
        </w:rPr>
      </w:pPr>
    </w:p>
    <w:p w14:paraId="1D8710C0" w14:textId="1ECBF2E8" w:rsidR="00430A79" w:rsidRDefault="005B0D46" w:rsidP="002F45E2">
      <w:pPr>
        <w:jc w:val="both"/>
        <w:rPr>
          <w:rFonts w:ascii="Arial Narrow" w:eastAsia="Aptos" w:hAnsi="Arial Narrow"/>
          <w:kern w:val="2"/>
          <w:sz w:val="22"/>
          <w:szCs w:val="22"/>
          <w14:ligatures w14:val="standardContextual"/>
        </w:rPr>
      </w:pPr>
      <w:r w:rsidRPr="00BE2534">
        <w:rPr>
          <w:rFonts w:ascii="Arial Narrow" w:eastAsia="Aptos" w:hAnsi="Arial Narrow"/>
          <w:kern w:val="2"/>
          <w:sz w:val="22"/>
          <w:szCs w:val="22"/>
          <w:lang w:val="sq-AL"/>
          <w14:ligatures w14:val="standardContextual"/>
        </w:rPr>
        <w:t>Siç shihet nga analiza e mësipërme, të tre opsionet kanë avantazhet e tyre. Megjithatë, opsioni i vetëm që mund të kënaqë të gjitha komunat është Opsioni 1. Është i vetmi opsion që mund të pranohet politik kryesisht për dy arsye: së pari nuk çon në ndonjë ndryshim në aranzhimet aktuale; dhe së dyti, të gjitha komunat janë të kënaqura me cilësinë e shërbimit të marrë aktualisht. Prandaj, opsioni 1 është opsioni i preferuar</w:t>
      </w:r>
      <w:r w:rsidR="00430A79" w:rsidRPr="00430A79">
        <w:rPr>
          <w:rFonts w:ascii="Arial Narrow" w:eastAsia="Aptos" w:hAnsi="Arial Narrow"/>
          <w:kern w:val="2"/>
          <w:sz w:val="22"/>
          <w:szCs w:val="22"/>
          <w14:ligatures w14:val="standardContextual"/>
        </w:rPr>
        <w:t>.</w:t>
      </w:r>
    </w:p>
    <w:p w14:paraId="01480A5B" w14:textId="77777777" w:rsidR="002F45E2" w:rsidRDefault="002F45E2" w:rsidP="00430A79">
      <w:pPr>
        <w:rPr>
          <w:rFonts w:ascii="Arial Narrow" w:eastAsia="Aptos" w:hAnsi="Arial Narrow"/>
          <w:kern w:val="2"/>
          <w:sz w:val="22"/>
          <w:szCs w:val="22"/>
          <w14:ligatures w14:val="standardContextual"/>
        </w:rPr>
      </w:pPr>
    </w:p>
    <w:p w14:paraId="49E42A1A" w14:textId="77777777" w:rsidR="00160C71" w:rsidRPr="00430A79" w:rsidRDefault="00160C71" w:rsidP="00430A79">
      <w:pPr>
        <w:rPr>
          <w:rFonts w:ascii="Arial Narrow" w:eastAsia="Aptos" w:hAnsi="Arial Narrow"/>
          <w:kern w:val="2"/>
          <w:sz w:val="22"/>
          <w:szCs w:val="22"/>
          <w14:ligatures w14:val="standardContextual"/>
        </w:rPr>
      </w:pPr>
    </w:p>
    <w:p w14:paraId="79FD44F3" w14:textId="77777777" w:rsidR="00430A79" w:rsidRPr="00430A79" w:rsidRDefault="00430A79" w:rsidP="000D7AD0">
      <w:pPr>
        <w:pStyle w:val="Heading3"/>
      </w:pPr>
      <w:bookmarkStart w:id="486" w:name="_Toc185866146"/>
      <w:bookmarkStart w:id="487" w:name="_Toc197472037"/>
      <w:r w:rsidRPr="00430A79">
        <w:t>Transferimi i mbeturinave</w:t>
      </w:r>
      <w:bookmarkEnd w:id="486"/>
      <w:bookmarkEnd w:id="487"/>
    </w:p>
    <w:p w14:paraId="0A882880" w14:textId="77777777" w:rsidR="002F45E2" w:rsidRDefault="002F45E2" w:rsidP="005B0D46">
      <w:pPr>
        <w:rPr>
          <w:rFonts w:ascii="Arial Narrow" w:eastAsia="Aptos" w:hAnsi="Arial Narrow"/>
          <w:kern w:val="2"/>
          <w:sz w:val="22"/>
          <w:szCs w:val="22"/>
          <w:lang w:val="sq-AL"/>
          <w14:ligatures w14:val="standardContextual"/>
        </w:rPr>
      </w:pPr>
    </w:p>
    <w:p w14:paraId="646269EF" w14:textId="1E49A693" w:rsidR="005B0D46" w:rsidRPr="00BE2534" w:rsidRDefault="005B0D46" w:rsidP="002F45E2">
      <w:pPr>
        <w:jc w:val="both"/>
        <w:rPr>
          <w:rFonts w:ascii="Arial Narrow" w:eastAsia="Aptos" w:hAnsi="Arial Narrow"/>
          <w:kern w:val="2"/>
          <w:sz w:val="22"/>
          <w:szCs w:val="22"/>
          <w:lang w:val="sq-AL"/>
          <w14:ligatures w14:val="standardContextual"/>
        </w:rPr>
      </w:pPr>
      <w:r w:rsidRPr="00BE2534">
        <w:rPr>
          <w:rFonts w:ascii="Arial Narrow" w:eastAsia="Aptos" w:hAnsi="Arial Narrow"/>
          <w:kern w:val="2"/>
          <w:sz w:val="22"/>
          <w:szCs w:val="22"/>
          <w:lang w:val="sq-AL"/>
          <w14:ligatures w14:val="standardContextual"/>
        </w:rPr>
        <w:t>Analiza teknike e opsioneve për transferimin e mbeturinave ka vërtetuar se stacionet e transferit janë të arsyeshme për komunat Istog dhe Deçan (që do t'i shërbente edhe Komunës së Junikut ). Lidhur me funksionimin e stacioneve të transferit, dy opsionet e mëposhtme janë në dispozicion të komunave:</w:t>
      </w:r>
    </w:p>
    <w:p w14:paraId="2E86DECD" w14:textId="77777777" w:rsidR="005B0D46" w:rsidRPr="00BE2534" w:rsidRDefault="005B0D46" w:rsidP="002F45E2">
      <w:pPr>
        <w:numPr>
          <w:ilvl w:val="0"/>
          <w:numId w:val="24"/>
        </w:numPr>
        <w:spacing w:after="160" w:line="259" w:lineRule="auto"/>
        <w:contextualSpacing/>
        <w:jc w:val="both"/>
        <w:rPr>
          <w:rFonts w:ascii="Arial Narrow" w:eastAsia="Aptos" w:hAnsi="Arial Narrow"/>
          <w:kern w:val="2"/>
          <w:sz w:val="22"/>
          <w:szCs w:val="22"/>
          <w:lang w:val="sq-AL"/>
          <w14:ligatures w14:val="standardContextual"/>
        </w:rPr>
      </w:pPr>
      <w:r w:rsidRPr="00BE2534">
        <w:rPr>
          <w:rFonts w:ascii="Arial Narrow" w:eastAsia="Aptos" w:hAnsi="Arial Narrow"/>
          <w:b/>
          <w:bCs/>
          <w:kern w:val="2"/>
          <w:sz w:val="22"/>
          <w:szCs w:val="22"/>
          <w:lang w:val="sq-AL"/>
          <w14:ligatures w14:val="standardContextual"/>
        </w:rPr>
        <w:t xml:space="preserve">Opsioni 1: Stacionet e transferit do të menaxhohen nga KMDK </w:t>
      </w:r>
      <w:r w:rsidRPr="00BE2534">
        <w:rPr>
          <w:rFonts w:ascii="Arial Narrow" w:eastAsia="Aptos" w:hAnsi="Arial Narrow"/>
          <w:kern w:val="2"/>
          <w:sz w:val="22"/>
          <w:szCs w:val="22"/>
          <w:lang w:val="sq-AL"/>
          <w14:ligatures w14:val="standardContextual"/>
        </w:rPr>
        <w:t>. KMDK u krijua me qëllim të menaxhimit të venddeponive të mbeturinave në vend. Megjithatë, ajo ka fituar përvojë në menaxhimin e stacionit të transferit edhe në Ferizaj .</w:t>
      </w:r>
    </w:p>
    <w:p w14:paraId="071E244F" w14:textId="77777777" w:rsidR="005B0D46" w:rsidRPr="00BE2534" w:rsidRDefault="005B0D46" w:rsidP="002F45E2">
      <w:pPr>
        <w:numPr>
          <w:ilvl w:val="0"/>
          <w:numId w:val="24"/>
        </w:numPr>
        <w:spacing w:after="160" w:line="259" w:lineRule="auto"/>
        <w:contextualSpacing/>
        <w:jc w:val="both"/>
        <w:rPr>
          <w:rFonts w:ascii="Arial Narrow" w:eastAsia="Aptos" w:hAnsi="Arial Narrow"/>
          <w:kern w:val="2"/>
          <w:sz w:val="22"/>
          <w:szCs w:val="22"/>
          <w:lang w:val="sq-AL"/>
          <w14:ligatures w14:val="standardContextual"/>
        </w:rPr>
      </w:pPr>
      <w:r w:rsidRPr="00BE2534">
        <w:rPr>
          <w:rFonts w:ascii="Arial Narrow" w:eastAsia="Aptos" w:hAnsi="Arial Narrow"/>
          <w:b/>
          <w:bCs/>
          <w:kern w:val="2"/>
          <w:sz w:val="22"/>
          <w:szCs w:val="22"/>
          <w:lang w:val="sq-AL"/>
          <w14:ligatures w14:val="standardContextual"/>
        </w:rPr>
        <w:t xml:space="preserve">Opsioni 2: Stacionet e transferit të operohen nga komunat </w:t>
      </w:r>
      <w:r w:rsidRPr="00BE2534">
        <w:rPr>
          <w:rFonts w:ascii="Arial Narrow" w:eastAsia="Aptos" w:hAnsi="Arial Narrow"/>
          <w:kern w:val="2"/>
          <w:sz w:val="22"/>
          <w:szCs w:val="22"/>
          <w:lang w:val="sq-AL"/>
          <w14:ligatures w14:val="standardContextual"/>
        </w:rPr>
        <w:t>. Sipas këtij opsioni, stacionet e transferit do të menaxhohen nga komunat përkatëse sipas marrëveshjeve që komunat do të arrijnë. Komuna e Istogut mund të vendos të themelojë/caktojë një entitet komunal si operator, ose në mënyrë alternative që të zgjedhë KRU Ambienti të menaxhojë ST. Në mënyrë të ngjashme, Komuna e Deçanit mund të vendosë për transferimin e menaxhimit të ST në kompaninë e saj komunale Higjiena , ose të prokurojë shërbimet e një operatori privat.</w:t>
      </w:r>
    </w:p>
    <w:p w14:paraId="2A63A944" w14:textId="77777777" w:rsidR="005B0D46" w:rsidRPr="00BE2534" w:rsidRDefault="005B0D46" w:rsidP="005B0D46">
      <w:pPr>
        <w:rPr>
          <w:rFonts w:ascii="Arial Narrow" w:eastAsia="Aptos" w:hAnsi="Arial Narrow"/>
          <w:kern w:val="2"/>
          <w:sz w:val="22"/>
          <w:szCs w:val="22"/>
          <w:lang w:val="sq-AL"/>
          <w14:ligatures w14:val="standardContextual"/>
        </w:rPr>
      </w:pPr>
    </w:p>
    <w:p w14:paraId="4BEB7837" w14:textId="03DA0D09" w:rsidR="00430A79" w:rsidRDefault="005B0D46" w:rsidP="005B0D46">
      <w:pPr>
        <w:rPr>
          <w:rFonts w:ascii="Arial Narrow" w:eastAsia="Aptos" w:hAnsi="Arial Narrow"/>
          <w:kern w:val="2"/>
          <w:sz w:val="22"/>
          <w:szCs w:val="22"/>
          <w14:ligatures w14:val="standardContextual"/>
        </w:rPr>
      </w:pPr>
      <w:r w:rsidRPr="00BE2534">
        <w:rPr>
          <w:rFonts w:ascii="Arial Narrow" w:eastAsia="Aptos" w:hAnsi="Arial Narrow"/>
          <w:kern w:val="2"/>
          <w:sz w:val="22"/>
          <w:szCs w:val="22"/>
          <w:lang w:val="sq-AL"/>
          <w14:ligatures w14:val="standardContextual"/>
        </w:rPr>
        <w:t>Tabela më poshtë paraqet avantazhet dhe disavantazhet e të dy opsioneve</w:t>
      </w:r>
      <w:r w:rsidR="00430A79" w:rsidRPr="00430A79">
        <w:rPr>
          <w:rFonts w:ascii="Arial Narrow" w:eastAsia="Aptos" w:hAnsi="Arial Narrow"/>
          <w:kern w:val="2"/>
          <w:sz w:val="22"/>
          <w:szCs w:val="22"/>
          <w14:ligatures w14:val="standardContextual"/>
        </w:rPr>
        <w:t>.</w:t>
      </w:r>
    </w:p>
    <w:p w14:paraId="236FBF55" w14:textId="77777777" w:rsidR="00430A79" w:rsidRPr="00430A79" w:rsidRDefault="00430A79" w:rsidP="00430A79">
      <w:pPr>
        <w:rPr>
          <w:rFonts w:ascii="Arial Narrow" w:eastAsia="Aptos" w:hAnsi="Arial Narrow"/>
          <w:kern w:val="2"/>
          <w:sz w:val="22"/>
          <w:szCs w:val="22"/>
          <w14:ligatures w14:val="standardContextual"/>
        </w:rPr>
      </w:pPr>
    </w:p>
    <w:p w14:paraId="110BE232" w14:textId="1AB1C118" w:rsidR="00430A79" w:rsidRPr="009F5CA1" w:rsidRDefault="00430A79" w:rsidP="00430A79">
      <w:pPr>
        <w:spacing w:after="120"/>
        <w:rPr>
          <w:rFonts w:ascii="Arial Narrow" w:eastAsia="Calibri" w:hAnsi="Arial Narrow" w:cs="Calibri"/>
          <w:color w:val="1F497D"/>
          <w:sz w:val="20"/>
          <w:szCs w:val="20"/>
          <w:lang w:val="es-ES"/>
        </w:rPr>
      </w:pPr>
      <w:bookmarkStart w:id="488" w:name="_Toc185866227"/>
      <w:bookmarkStart w:id="489" w:name="_Toc197472256"/>
      <w:proofErr w:type="spellStart"/>
      <w:r w:rsidRPr="009F5CA1">
        <w:rPr>
          <w:rFonts w:ascii="Arial Narrow" w:eastAsia="Calibri" w:hAnsi="Arial Narrow" w:cs="Calibri"/>
          <w:color w:val="1F497D"/>
          <w:sz w:val="20"/>
          <w:szCs w:val="20"/>
          <w:lang w:val="es-ES"/>
        </w:rPr>
        <w:t>Tabela</w:t>
      </w:r>
      <w:proofErr w:type="spellEnd"/>
      <w:r w:rsidRPr="009F5CA1">
        <w:rPr>
          <w:rFonts w:ascii="Arial Narrow" w:eastAsia="Calibri" w:hAnsi="Arial Narrow" w:cs="Calibri"/>
          <w:color w:val="1F497D"/>
          <w:sz w:val="20"/>
          <w:szCs w:val="20"/>
          <w:lang w:val="es-ES"/>
        </w:rPr>
        <w:t xml:space="preserve">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lang w:val="es-ES"/>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lang w:val="es-ES"/>
        </w:rPr>
        <w:t xml:space="preserve">71. </w:t>
      </w:r>
      <w:r w:rsidRPr="00430A79">
        <w:rPr>
          <w:rFonts w:ascii="Arial Narrow" w:eastAsia="Calibri" w:hAnsi="Arial Narrow" w:cs="Calibri"/>
          <w:color w:val="1F497D"/>
          <w:sz w:val="20"/>
          <w:szCs w:val="20"/>
          <w:lang w:val="en-GB"/>
        </w:rPr>
        <w:fldChar w:fldCharType="end"/>
      </w:r>
      <w:proofErr w:type="spellStart"/>
      <w:r w:rsidRPr="009F5CA1">
        <w:rPr>
          <w:rFonts w:ascii="Arial Narrow" w:eastAsia="Calibri" w:hAnsi="Arial Narrow" w:cs="Calibri"/>
          <w:color w:val="1F497D"/>
          <w:sz w:val="20"/>
          <w:szCs w:val="20"/>
          <w:lang w:val="es-ES"/>
        </w:rPr>
        <w:t>Avantazhet</w:t>
      </w:r>
      <w:proofErr w:type="spellEnd"/>
      <w:r w:rsidRPr="009F5CA1">
        <w:rPr>
          <w:rFonts w:ascii="Arial Narrow" w:eastAsia="Calibri" w:hAnsi="Arial Narrow" w:cs="Calibri"/>
          <w:color w:val="1F497D"/>
          <w:sz w:val="20"/>
          <w:szCs w:val="20"/>
          <w:lang w:val="es-ES"/>
        </w:rPr>
        <w:t xml:space="preserve"> </w:t>
      </w:r>
      <w:proofErr w:type="spellStart"/>
      <w:r w:rsidRPr="009F5CA1">
        <w:rPr>
          <w:rFonts w:ascii="Arial Narrow" w:eastAsia="Calibri" w:hAnsi="Arial Narrow" w:cs="Calibri"/>
          <w:color w:val="1F497D"/>
          <w:sz w:val="20"/>
          <w:szCs w:val="20"/>
          <w:lang w:val="es-ES"/>
        </w:rPr>
        <w:t>dhe</w:t>
      </w:r>
      <w:proofErr w:type="spellEnd"/>
      <w:r w:rsidRPr="009F5CA1">
        <w:rPr>
          <w:rFonts w:ascii="Arial Narrow" w:eastAsia="Calibri" w:hAnsi="Arial Narrow" w:cs="Calibri"/>
          <w:color w:val="1F497D"/>
          <w:sz w:val="20"/>
          <w:szCs w:val="20"/>
          <w:lang w:val="es-ES"/>
        </w:rPr>
        <w:t xml:space="preserve"> </w:t>
      </w:r>
      <w:proofErr w:type="spellStart"/>
      <w:r w:rsidRPr="009F5CA1">
        <w:rPr>
          <w:rFonts w:ascii="Arial Narrow" w:eastAsia="Calibri" w:hAnsi="Arial Narrow" w:cs="Calibri"/>
          <w:color w:val="1F497D"/>
          <w:sz w:val="20"/>
          <w:szCs w:val="20"/>
          <w:lang w:val="es-ES"/>
        </w:rPr>
        <w:t>disavantazhet</w:t>
      </w:r>
      <w:proofErr w:type="spellEnd"/>
      <w:r w:rsidRPr="009F5CA1">
        <w:rPr>
          <w:rFonts w:ascii="Arial Narrow" w:eastAsia="Calibri" w:hAnsi="Arial Narrow" w:cs="Calibri"/>
          <w:color w:val="1F497D"/>
          <w:sz w:val="20"/>
          <w:szCs w:val="20"/>
          <w:lang w:val="es-ES"/>
        </w:rPr>
        <w:t xml:space="preserve"> e </w:t>
      </w:r>
      <w:proofErr w:type="spellStart"/>
      <w:r w:rsidRPr="009F5CA1">
        <w:rPr>
          <w:rFonts w:ascii="Arial Narrow" w:eastAsia="Calibri" w:hAnsi="Arial Narrow" w:cs="Calibri"/>
          <w:color w:val="1F497D"/>
          <w:sz w:val="20"/>
          <w:szCs w:val="20"/>
          <w:lang w:val="es-ES"/>
        </w:rPr>
        <w:t>opsioneve</w:t>
      </w:r>
      <w:proofErr w:type="spellEnd"/>
      <w:r w:rsidRPr="009F5CA1">
        <w:rPr>
          <w:rFonts w:ascii="Arial Narrow" w:eastAsia="Calibri" w:hAnsi="Arial Narrow" w:cs="Calibri"/>
          <w:color w:val="1F497D"/>
          <w:sz w:val="20"/>
          <w:szCs w:val="20"/>
          <w:lang w:val="es-ES"/>
        </w:rPr>
        <w:t xml:space="preserve"> </w:t>
      </w:r>
      <w:proofErr w:type="spellStart"/>
      <w:r w:rsidRPr="009F5CA1">
        <w:rPr>
          <w:rFonts w:ascii="Arial Narrow" w:eastAsia="Calibri" w:hAnsi="Arial Narrow" w:cs="Calibri"/>
          <w:color w:val="1F497D"/>
          <w:sz w:val="20"/>
          <w:szCs w:val="20"/>
          <w:lang w:val="es-ES"/>
        </w:rPr>
        <w:t>për</w:t>
      </w:r>
      <w:proofErr w:type="spellEnd"/>
      <w:r w:rsidRPr="009F5CA1">
        <w:rPr>
          <w:rFonts w:ascii="Arial Narrow" w:eastAsia="Calibri" w:hAnsi="Arial Narrow" w:cs="Calibri"/>
          <w:color w:val="1F497D"/>
          <w:sz w:val="20"/>
          <w:szCs w:val="20"/>
          <w:lang w:val="es-ES"/>
        </w:rPr>
        <w:t xml:space="preserve"> </w:t>
      </w:r>
      <w:proofErr w:type="spellStart"/>
      <w:r w:rsidRPr="009F5CA1">
        <w:rPr>
          <w:rFonts w:ascii="Arial Narrow" w:eastAsia="Calibri" w:hAnsi="Arial Narrow" w:cs="Calibri"/>
          <w:color w:val="1F497D"/>
          <w:sz w:val="20"/>
          <w:szCs w:val="20"/>
          <w:lang w:val="es-ES"/>
        </w:rPr>
        <w:t>transferimin</w:t>
      </w:r>
      <w:proofErr w:type="spellEnd"/>
      <w:r w:rsidRPr="009F5CA1">
        <w:rPr>
          <w:rFonts w:ascii="Arial Narrow" w:eastAsia="Calibri" w:hAnsi="Arial Narrow" w:cs="Calibri"/>
          <w:color w:val="1F497D"/>
          <w:sz w:val="20"/>
          <w:szCs w:val="20"/>
          <w:lang w:val="es-ES"/>
        </w:rPr>
        <w:t xml:space="preserve"> e </w:t>
      </w:r>
      <w:proofErr w:type="spellStart"/>
      <w:r w:rsidRPr="009F5CA1">
        <w:rPr>
          <w:rFonts w:ascii="Arial Narrow" w:eastAsia="Calibri" w:hAnsi="Arial Narrow" w:cs="Calibri"/>
          <w:color w:val="1F497D"/>
          <w:sz w:val="20"/>
          <w:szCs w:val="20"/>
          <w:lang w:val="es-ES"/>
        </w:rPr>
        <w:t>mbeturinave</w:t>
      </w:r>
      <w:bookmarkEnd w:id="488"/>
      <w:bookmarkEnd w:id="489"/>
      <w:proofErr w:type="spellEnd"/>
    </w:p>
    <w:tbl>
      <w:tblPr>
        <w:tblStyle w:val="TableGrid15"/>
        <w:tblW w:w="0" w:type="auto"/>
        <w:tblLook w:val="04A0" w:firstRow="1" w:lastRow="0" w:firstColumn="1" w:lastColumn="0" w:noHBand="0" w:noVBand="1"/>
      </w:tblPr>
      <w:tblGrid>
        <w:gridCol w:w="3005"/>
        <w:gridCol w:w="3005"/>
        <w:gridCol w:w="3006"/>
      </w:tblGrid>
      <w:tr w:rsidR="00430A79" w:rsidRPr="00430A79" w14:paraId="0E4C0C0E" w14:textId="77777777" w:rsidTr="00750949">
        <w:trPr>
          <w:tblHeader/>
        </w:trPr>
        <w:tc>
          <w:tcPr>
            <w:tcW w:w="3005" w:type="dxa"/>
            <w:shd w:val="clear" w:color="auto" w:fill="365F91"/>
          </w:tcPr>
          <w:p w14:paraId="0FF14221" w14:textId="0FCF46E1" w:rsidR="00430A79" w:rsidRPr="00430A79" w:rsidRDefault="00430A79" w:rsidP="00430A79">
            <w:pPr>
              <w:spacing w:before="60" w:after="60"/>
              <w:rPr>
                <w:rFonts w:ascii="Arial Narrow" w:eastAsia="Aptos" w:hAnsi="Arial Narrow"/>
                <w:b/>
                <w:bCs/>
                <w:color w:val="FFFFFF" w:themeColor="background1"/>
                <w:sz w:val="20"/>
                <w:szCs w:val="20"/>
              </w:rPr>
            </w:pPr>
            <w:r w:rsidRPr="00430A79">
              <w:rPr>
                <w:rFonts w:ascii="Arial Narrow" w:eastAsia="Aptos" w:hAnsi="Arial Narrow"/>
                <w:b/>
                <w:bCs/>
                <w:color w:val="FFFFFF" w:themeColor="background1"/>
                <w:sz w:val="20"/>
                <w:szCs w:val="20"/>
              </w:rPr>
              <w:t>Opsion</w:t>
            </w:r>
            <w:r w:rsidR="005B0D46">
              <w:rPr>
                <w:rFonts w:ascii="Arial Narrow" w:eastAsia="Aptos" w:hAnsi="Arial Narrow"/>
                <w:b/>
                <w:bCs/>
                <w:color w:val="FFFFFF" w:themeColor="background1"/>
                <w:sz w:val="20"/>
                <w:szCs w:val="20"/>
              </w:rPr>
              <w:t>i</w:t>
            </w:r>
          </w:p>
        </w:tc>
        <w:tc>
          <w:tcPr>
            <w:tcW w:w="3005" w:type="dxa"/>
            <w:shd w:val="clear" w:color="auto" w:fill="365F91"/>
          </w:tcPr>
          <w:p w14:paraId="358294AD" w14:textId="77777777" w:rsidR="00430A79" w:rsidRPr="00430A79" w:rsidRDefault="00430A79" w:rsidP="00430A79">
            <w:pPr>
              <w:spacing w:before="60" w:after="60"/>
              <w:rPr>
                <w:rFonts w:ascii="Arial Narrow" w:eastAsia="Aptos" w:hAnsi="Arial Narrow"/>
                <w:b/>
                <w:bCs/>
                <w:color w:val="FFFFFF" w:themeColor="background1"/>
                <w:sz w:val="20"/>
                <w:szCs w:val="20"/>
              </w:rPr>
            </w:pPr>
            <w:r w:rsidRPr="00430A79">
              <w:rPr>
                <w:rFonts w:ascii="Arial Narrow" w:eastAsia="Aptos" w:hAnsi="Arial Narrow"/>
                <w:b/>
                <w:bCs/>
                <w:color w:val="FFFFFF" w:themeColor="background1"/>
                <w:sz w:val="20"/>
                <w:szCs w:val="20"/>
              </w:rPr>
              <w:t>Avantazhet</w:t>
            </w:r>
          </w:p>
        </w:tc>
        <w:tc>
          <w:tcPr>
            <w:tcW w:w="3006" w:type="dxa"/>
            <w:shd w:val="clear" w:color="auto" w:fill="365F91"/>
          </w:tcPr>
          <w:p w14:paraId="6D8E7C86" w14:textId="77777777" w:rsidR="00430A79" w:rsidRPr="00430A79" w:rsidRDefault="00430A79" w:rsidP="00430A79">
            <w:pPr>
              <w:spacing w:before="60" w:after="60"/>
              <w:rPr>
                <w:rFonts w:ascii="Arial Narrow" w:eastAsia="Aptos" w:hAnsi="Arial Narrow"/>
                <w:b/>
                <w:bCs/>
                <w:color w:val="FFFFFF" w:themeColor="background1"/>
                <w:sz w:val="20"/>
                <w:szCs w:val="20"/>
              </w:rPr>
            </w:pPr>
            <w:r w:rsidRPr="00430A79">
              <w:rPr>
                <w:rFonts w:ascii="Arial Narrow" w:eastAsia="Aptos" w:hAnsi="Arial Narrow"/>
                <w:b/>
                <w:bCs/>
                <w:color w:val="FFFFFF" w:themeColor="background1"/>
                <w:sz w:val="20"/>
                <w:szCs w:val="20"/>
              </w:rPr>
              <w:t>Disavantazhet</w:t>
            </w:r>
          </w:p>
        </w:tc>
      </w:tr>
      <w:tr w:rsidR="005B0D46" w:rsidRPr="00430A79" w14:paraId="2787E053" w14:textId="77777777" w:rsidTr="00D03949">
        <w:tc>
          <w:tcPr>
            <w:tcW w:w="3005" w:type="dxa"/>
          </w:tcPr>
          <w:p w14:paraId="167733CE" w14:textId="6D3F0494" w:rsidR="005B0D46" w:rsidRPr="00430A79" w:rsidRDefault="005B0D46" w:rsidP="005B0D46">
            <w:pPr>
              <w:spacing w:before="60" w:after="60"/>
              <w:rPr>
                <w:rFonts w:ascii="Arial Narrow" w:eastAsia="Aptos" w:hAnsi="Arial Narrow"/>
                <w:sz w:val="20"/>
                <w:szCs w:val="20"/>
              </w:rPr>
            </w:pPr>
            <w:r w:rsidRPr="00BE2534">
              <w:rPr>
                <w:rFonts w:ascii="Arial Narrow" w:eastAsia="Aptos" w:hAnsi="Arial Narrow"/>
                <w:sz w:val="20"/>
                <w:szCs w:val="20"/>
                <w:lang w:val="sq-AL"/>
              </w:rPr>
              <w:t>Opsioni 1: Stacionet e transferit do të operohen nga KMDK</w:t>
            </w:r>
          </w:p>
        </w:tc>
        <w:tc>
          <w:tcPr>
            <w:tcW w:w="3005" w:type="dxa"/>
          </w:tcPr>
          <w:p w14:paraId="259FA185" w14:textId="77777777" w:rsidR="005B0D46" w:rsidRPr="00BE2534" w:rsidRDefault="005B0D46" w:rsidP="005B0D46">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t>Eksperiencë e disponueshme në operacionalizimin e stacioneve të transferit dhe objekteve tjera të menaxhimit të mbeturinave (deponi)</w:t>
            </w:r>
          </w:p>
          <w:p w14:paraId="2307C18A" w14:textId="77777777" w:rsidR="005B0D46" w:rsidRPr="00430A79" w:rsidRDefault="005B0D46" w:rsidP="005B0D46">
            <w:pPr>
              <w:spacing w:before="60" w:after="60"/>
              <w:rPr>
                <w:rFonts w:ascii="Arial Narrow" w:eastAsia="Aptos" w:hAnsi="Arial Narrow"/>
                <w:sz w:val="20"/>
                <w:szCs w:val="20"/>
              </w:rPr>
            </w:pPr>
          </w:p>
        </w:tc>
        <w:tc>
          <w:tcPr>
            <w:tcW w:w="3006" w:type="dxa"/>
          </w:tcPr>
          <w:p w14:paraId="5523351E" w14:textId="77777777" w:rsidR="005B0D46" w:rsidRPr="00BE2534" w:rsidRDefault="005B0D46" w:rsidP="005B0D46">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t>Kontribuon në krijimin e një monopoli të shërbimeve të menaxhimit të mbeturinave.</w:t>
            </w:r>
          </w:p>
          <w:p w14:paraId="252F6D7B" w14:textId="42B9AE1E" w:rsidR="005B0D46" w:rsidRPr="00430A79" w:rsidRDefault="005B0D46" w:rsidP="005B0D46">
            <w:pPr>
              <w:spacing w:before="60" w:after="60"/>
              <w:rPr>
                <w:rFonts w:ascii="Arial Narrow" w:eastAsia="Aptos" w:hAnsi="Arial Narrow"/>
                <w:sz w:val="20"/>
                <w:szCs w:val="20"/>
              </w:rPr>
            </w:pPr>
            <w:r w:rsidRPr="00BE2534">
              <w:rPr>
                <w:rFonts w:ascii="Arial Narrow" w:eastAsia="Aptos" w:hAnsi="Arial Narrow"/>
                <w:sz w:val="20"/>
                <w:szCs w:val="20"/>
                <w:lang w:val="sq-AL"/>
              </w:rPr>
              <w:t>Mungesa e mundshme e transparencës në lidhje me sasitë e mbeturinave të transferuara dhe të deponuara.</w:t>
            </w:r>
          </w:p>
        </w:tc>
      </w:tr>
      <w:tr w:rsidR="005B0D46" w:rsidRPr="00430A79" w14:paraId="0875F78F" w14:textId="77777777" w:rsidTr="00D03949">
        <w:tc>
          <w:tcPr>
            <w:tcW w:w="3005" w:type="dxa"/>
          </w:tcPr>
          <w:p w14:paraId="22B5A56C" w14:textId="4FE24D87" w:rsidR="005B0D46" w:rsidRPr="00430A79" w:rsidRDefault="005B0D46" w:rsidP="005B0D46">
            <w:pPr>
              <w:spacing w:before="60" w:after="60"/>
              <w:rPr>
                <w:rFonts w:ascii="Arial Narrow" w:eastAsia="Aptos" w:hAnsi="Arial Narrow"/>
                <w:sz w:val="20"/>
                <w:szCs w:val="20"/>
              </w:rPr>
            </w:pPr>
            <w:r w:rsidRPr="00BE2534">
              <w:rPr>
                <w:rFonts w:ascii="Arial Narrow" w:eastAsia="Aptos" w:hAnsi="Arial Narrow"/>
                <w:sz w:val="20"/>
                <w:szCs w:val="20"/>
                <w:lang w:val="sq-AL"/>
              </w:rPr>
              <w:t>Opsioni 2: Stacionet e transferit të operohen nga komunat</w:t>
            </w:r>
          </w:p>
        </w:tc>
        <w:tc>
          <w:tcPr>
            <w:tcW w:w="3005" w:type="dxa"/>
          </w:tcPr>
          <w:p w14:paraId="1FBAB15E" w14:textId="77777777" w:rsidR="005B0D46" w:rsidRPr="00BE2534" w:rsidRDefault="005B0D46" w:rsidP="005B0D46">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t>Kompanitë e disponueshme të grumbullimit të mbeturinave të cilat mund të ndërmarrin shërbimin e transferit të mbeturinave.</w:t>
            </w:r>
          </w:p>
          <w:p w14:paraId="38B24FF9" w14:textId="58332B87" w:rsidR="005B0D46" w:rsidRPr="00430A79" w:rsidRDefault="005B0D46" w:rsidP="005B0D46">
            <w:pPr>
              <w:spacing w:before="60" w:after="60"/>
              <w:rPr>
                <w:rFonts w:ascii="Arial Narrow" w:eastAsia="Aptos" w:hAnsi="Arial Narrow"/>
                <w:sz w:val="20"/>
                <w:szCs w:val="20"/>
              </w:rPr>
            </w:pPr>
            <w:r w:rsidRPr="00BE2534">
              <w:rPr>
                <w:rFonts w:ascii="Arial Narrow" w:eastAsia="Aptos" w:hAnsi="Arial Narrow"/>
                <w:sz w:val="20"/>
                <w:szCs w:val="20"/>
                <w:lang w:val="sq-AL"/>
              </w:rPr>
              <w:t>Kontribuon në transparencën e sasive të mbeturinave të transferuara dhe të deponuara</w:t>
            </w:r>
          </w:p>
        </w:tc>
        <w:tc>
          <w:tcPr>
            <w:tcW w:w="3006" w:type="dxa"/>
          </w:tcPr>
          <w:p w14:paraId="2BB2E132" w14:textId="7DC2D7FE" w:rsidR="005B0D46" w:rsidRPr="00430A79" w:rsidRDefault="005B0D46" w:rsidP="005B0D46">
            <w:pPr>
              <w:spacing w:before="60" w:after="60"/>
              <w:rPr>
                <w:rFonts w:ascii="Arial Narrow" w:eastAsia="Aptos" w:hAnsi="Arial Narrow"/>
                <w:sz w:val="20"/>
                <w:szCs w:val="20"/>
              </w:rPr>
            </w:pPr>
            <w:r w:rsidRPr="00BE2534">
              <w:rPr>
                <w:rFonts w:ascii="Arial Narrow" w:eastAsia="Aptos" w:hAnsi="Arial Narrow"/>
                <w:sz w:val="20"/>
                <w:szCs w:val="20"/>
                <w:lang w:val="sq-AL"/>
              </w:rPr>
              <w:t>Mungesa e përvojës lokale në operacionalizimin e stacioneve të transferit.</w:t>
            </w:r>
          </w:p>
        </w:tc>
      </w:tr>
    </w:tbl>
    <w:p w14:paraId="30A6EBDD" w14:textId="77777777" w:rsidR="00430A79" w:rsidRPr="00430A79" w:rsidRDefault="00430A79" w:rsidP="00430A79">
      <w:pPr>
        <w:rPr>
          <w:rFonts w:ascii="Arial Narrow" w:eastAsia="Aptos" w:hAnsi="Arial Narrow"/>
          <w:kern w:val="2"/>
          <w:sz w:val="22"/>
          <w:szCs w:val="22"/>
          <w14:ligatures w14:val="standardContextual"/>
        </w:rPr>
      </w:pPr>
    </w:p>
    <w:p w14:paraId="0EB338A2" w14:textId="717B31E5" w:rsidR="00430A79" w:rsidRDefault="005B0D46" w:rsidP="005B0D46">
      <w:pPr>
        <w:jc w:val="both"/>
        <w:rPr>
          <w:rFonts w:ascii="Arial Narrow" w:eastAsia="Aptos" w:hAnsi="Arial Narrow"/>
          <w:kern w:val="2"/>
          <w:sz w:val="22"/>
          <w:szCs w:val="22"/>
          <w14:ligatures w14:val="standardContextual"/>
        </w:rPr>
      </w:pPr>
      <w:r w:rsidRPr="00BE2534">
        <w:rPr>
          <w:rFonts w:ascii="Arial Narrow" w:eastAsia="Aptos" w:hAnsi="Arial Narrow"/>
          <w:kern w:val="2"/>
          <w:sz w:val="22"/>
          <w:szCs w:val="22"/>
          <w:lang w:val="sq-AL"/>
          <w14:ligatures w14:val="standardContextual"/>
        </w:rPr>
        <w:t>Stacionet e transferit nuk do të jenë objekte rajonale dhe ka kuptim që komunat të vendosin vetë se si do të funksionojnë ato. Opsioni 2 lejon transparencë më të madhe në lidhje me sasitë e mbeturinave të transferuara në deponinë rajonal dhe tarifën përkatëse për deponim. Prandaj, opsioni 2 është i preferueshëm</w:t>
      </w:r>
      <w:r w:rsidR="00430A79" w:rsidRPr="00430A79">
        <w:rPr>
          <w:rFonts w:ascii="Arial Narrow" w:eastAsia="Aptos" w:hAnsi="Arial Narrow"/>
          <w:kern w:val="2"/>
          <w:sz w:val="22"/>
          <w:szCs w:val="22"/>
          <w14:ligatures w14:val="standardContextual"/>
        </w:rPr>
        <w:t>.</w:t>
      </w:r>
    </w:p>
    <w:p w14:paraId="5F141193" w14:textId="77777777" w:rsidR="002F45E2" w:rsidRPr="00430A79" w:rsidRDefault="002F45E2" w:rsidP="005B0D46">
      <w:pPr>
        <w:jc w:val="both"/>
        <w:rPr>
          <w:rFonts w:ascii="Arial Narrow" w:eastAsia="Aptos" w:hAnsi="Arial Narrow"/>
          <w:kern w:val="2"/>
          <w:sz w:val="22"/>
          <w:szCs w:val="22"/>
          <w14:ligatures w14:val="standardContextual"/>
        </w:rPr>
      </w:pPr>
    </w:p>
    <w:p w14:paraId="16E43B80" w14:textId="475226B2" w:rsidR="00430A79" w:rsidRPr="00430A79" w:rsidRDefault="00430A79" w:rsidP="000D7AD0">
      <w:pPr>
        <w:pStyle w:val="Heading3"/>
      </w:pPr>
      <w:bookmarkStart w:id="490" w:name="_Toc185866147"/>
      <w:bookmarkStart w:id="491" w:name="_Toc197472038"/>
      <w:r w:rsidRPr="00430A79">
        <w:lastRenderedPageBreak/>
        <w:t xml:space="preserve">Kompostimi i mbeturinave të gjelbra të </w:t>
      </w:r>
      <w:r w:rsidR="005B0D46">
        <w:t>grumbulluara ndaras</w:t>
      </w:r>
      <w:bookmarkEnd w:id="490"/>
      <w:bookmarkEnd w:id="491"/>
    </w:p>
    <w:p w14:paraId="4CA6B8FA" w14:textId="77777777" w:rsidR="002F45E2" w:rsidRDefault="002F45E2" w:rsidP="005B0D46">
      <w:pPr>
        <w:rPr>
          <w:rFonts w:ascii="Arial Narrow" w:eastAsia="Aptos" w:hAnsi="Arial Narrow"/>
          <w:kern w:val="2"/>
          <w:sz w:val="22"/>
          <w:szCs w:val="22"/>
          <w:lang w:val="sq-AL"/>
          <w14:ligatures w14:val="standardContextual"/>
        </w:rPr>
      </w:pPr>
    </w:p>
    <w:p w14:paraId="66524D13" w14:textId="1FF31CDB" w:rsidR="005B0D46" w:rsidRPr="00BE2534" w:rsidRDefault="005B0D46" w:rsidP="005B0D46">
      <w:pPr>
        <w:rPr>
          <w:rFonts w:ascii="Arial Narrow" w:eastAsia="Aptos" w:hAnsi="Arial Narrow"/>
          <w:kern w:val="2"/>
          <w:sz w:val="22"/>
          <w:szCs w:val="22"/>
          <w:lang w:val="sq-AL"/>
          <w14:ligatures w14:val="standardContextual"/>
        </w:rPr>
      </w:pPr>
      <w:r w:rsidRPr="00BE2534">
        <w:rPr>
          <w:rFonts w:ascii="Arial Narrow" w:eastAsia="Aptos" w:hAnsi="Arial Narrow"/>
          <w:kern w:val="2"/>
          <w:sz w:val="22"/>
          <w:szCs w:val="22"/>
          <w:lang w:val="sq-AL"/>
          <w14:ligatures w14:val="standardContextual"/>
        </w:rPr>
        <w:t xml:space="preserve">Analiza teknike e opsioneve për kompostimin e mbeturinave të gjelbra të grumbulluara </w:t>
      </w:r>
      <w:r>
        <w:rPr>
          <w:rFonts w:ascii="Arial Narrow" w:eastAsia="Aptos" w:hAnsi="Arial Narrow"/>
          <w:kern w:val="2"/>
          <w:sz w:val="22"/>
          <w:szCs w:val="22"/>
          <w:lang w:val="sq-AL"/>
          <w14:ligatures w14:val="standardContextual"/>
        </w:rPr>
        <w:t>ndaras</w:t>
      </w:r>
      <w:r w:rsidRPr="00BE2534">
        <w:rPr>
          <w:rFonts w:ascii="Arial Narrow" w:eastAsia="Aptos" w:hAnsi="Arial Narrow"/>
          <w:kern w:val="2"/>
          <w:sz w:val="22"/>
          <w:szCs w:val="22"/>
          <w:lang w:val="sq-AL"/>
          <w14:ligatures w14:val="standardContextual"/>
        </w:rPr>
        <w:t xml:space="preserve"> ka vërtetuar se modeli i decentralizuar është modeli i preferuar dhe se objektet e kompostimit janë të arsyeshme për secilën komunë. Lidhur me funksionimin e impianteve të kompostimit, dy opsionet e mëposhtme janë në dispozicion të komunave, të ngjashme me opsionet për ST:</w:t>
      </w:r>
    </w:p>
    <w:p w14:paraId="7E63AEF6" w14:textId="77777777" w:rsidR="005B0D46" w:rsidRPr="00BE2534" w:rsidRDefault="005B0D46" w:rsidP="005B0D46">
      <w:pPr>
        <w:numPr>
          <w:ilvl w:val="0"/>
          <w:numId w:val="24"/>
        </w:numPr>
        <w:spacing w:after="160" w:line="259" w:lineRule="auto"/>
        <w:contextualSpacing/>
        <w:rPr>
          <w:rFonts w:ascii="Arial Narrow" w:eastAsia="Aptos" w:hAnsi="Arial Narrow"/>
          <w:kern w:val="2"/>
          <w:sz w:val="22"/>
          <w:szCs w:val="22"/>
          <w:lang w:val="sq-AL"/>
          <w14:ligatures w14:val="standardContextual"/>
        </w:rPr>
      </w:pPr>
      <w:r w:rsidRPr="00BE2534">
        <w:rPr>
          <w:rFonts w:ascii="Arial Narrow" w:eastAsia="Aptos" w:hAnsi="Arial Narrow"/>
          <w:b/>
          <w:bCs/>
          <w:kern w:val="2"/>
          <w:sz w:val="22"/>
          <w:szCs w:val="22"/>
          <w:lang w:val="sq-AL"/>
          <w14:ligatures w14:val="standardContextual"/>
        </w:rPr>
        <w:t xml:space="preserve">Opsioni 1: Objektet e kompostimit të menaxhohen nga KDMK </w:t>
      </w:r>
      <w:r w:rsidRPr="00BE2534">
        <w:rPr>
          <w:rFonts w:ascii="Arial Narrow" w:eastAsia="Aptos" w:hAnsi="Arial Narrow"/>
          <w:kern w:val="2"/>
          <w:sz w:val="22"/>
          <w:szCs w:val="22"/>
          <w:lang w:val="sq-AL"/>
          <w14:ligatures w14:val="standardContextual"/>
        </w:rPr>
        <w:t>. KDMK u krijua me qëllim të menaxhimit të venddeponive të mbeturinave në vend dhe fitoi përvojë të konsiderueshme në menaxhimin e objekteve të mbeturinave.</w:t>
      </w:r>
    </w:p>
    <w:p w14:paraId="513C0422" w14:textId="77777777" w:rsidR="005B0D46" w:rsidRPr="00BE2534" w:rsidRDefault="005B0D46" w:rsidP="005B0D46">
      <w:pPr>
        <w:numPr>
          <w:ilvl w:val="0"/>
          <w:numId w:val="24"/>
        </w:numPr>
        <w:spacing w:after="160" w:line="259" w:lineRule="auto"/>
        <w:contextualSpacing/>
        <w:rPr>
          <w:rFonts w:ascii="Arial Narrow" w:eastAsia="Aptos" w:hAnsi="Arial Narrow"/>
          <w:kern w:val="2"/>
          <w:sz w:val="22"/>
          <w:szCs w:val="22"/>
          <w:lang w:val="sq-AL"/>
          <w14:ligatures w14:val="standardContextual"/>
        </w:rPr>
      </w:pPr>
      <w:r w:rsidRPr="00BE2534">
        <w:rPr>
          <w:rFonts w:ascii="Arial Narrow" w:eastAsia="Aptos" w:hAnsi="Arial Narrow"/>
          <w:b/>
          <w:bCs/>
          <w:kern w:val="2"/>
          <w:sz w:val="22"/>
          <w:szCs w:val="22"/>
          <w:lang w:val="sq-AL"/>
          <w14:ligatures w14:val="standardContextual"/>
        </w:rPr>
        <w:t xml:space="preserve">Opsioni 2: Objektet e kompostimit të menaxhohen nga komunat </w:t>
      </w:r>
      <w:r w:rsidRPr="00BE2534">
        <w:rPr>
          <w:rFonts w:ascii="Arial Narrow" w:eastAsia="Aptos" w:hAnsi="Arial Narrow"/>
          <w:kern w:val="2"/>
          <w:sz w:val="22"/>
          <w:szCs w:val="22"/>
          <w:lang w:val="sq-AL"/>
          <w14:ligatures w14:val="standardContextual"/>
        </w:rPr>
        <w:t>. Sipas këtij opsioni, objektet e kompostimit do të menaxhohen nga komunat përkatëse sipas marrëveshjeve që komunat do të arrijnë. Komunat e Pejës, Istogut dhe Klinës mund të vendosin të zgjedhin KRU Ambienti si operator të objekteve të kompostimit ose të prokurojnë shërbimet e një operatori privat. Në mënyrë të ngjashme, Komuna e Deçanit mund të vendosë për transferimin e menaxhimit të objektit të kompostimit tek kompania e saj komunale Higjiena, ose të prokurojë shërbimet e një operatori privat. Përndryshe, komunat mund të përdorin shërbimet e departamenteve të tyre përgjegjëse për mirëmbajtjen e hapësirave publike.</w:t>
      </w:r>
    </w:p>
    <w:p w14:paraId="0677746E" w14:textId="77777777" w:rsidR="005B0D46" w:rsidRPr="00BE2534" w:rsidRDefault="005B0D46" w:rsidP="005B0D46">
      <w:pPr>
        <w:rPr>
          <w:rFonts w:ascii="Arial Narrow" w:eastAsia="Aptos" w:hAnsi="Arial Narrow"/>
          <w:kern w:val="2"/>
          <w:sz w:val="22"/>
          <w:szCs w:val="22"/>
          <w:lang w:val="sq-AL"/>
          <w14:ligatures w14:val="standardContextual"/>
        </w:rPr>
      </w:pPr>
    </w:p>
    <w:p w14:paraId="6CC637D5" w14:textId="2FBA5EE7" w:rsidR="00430A79" w:rsidRPr="00430A79" w:rsidRDefault="005B0D46" w:rsidP="005B0D46">
      <w:pPr>
        <w:rPr>
          <w:rFonts w:ascii="Arial Narrow" w:eastAsia="Aptos" w:hAnsi="Arial Narrow"/>
          <w:kern w:val="2"/>
          <w:sz w:val="22"/>
          <w:szCs w:val="22"/>
          <w14:ligatures w14:val="standardContextual"/>
        </w:rPr>
      </w:pPr>
      <w:r w:rsidRPr="00BE2534">
        <w:rPr>
          <w:rFonts w:ascii="Arial Narrow" w:eastAsia="Aptos" w:hAnsi="Arial Narrow"/>
          <w:kern w:val="2"/>
          <w:sz w:val="22"/>
          <w:szCs w:val="22"/>
          <w:lang w:val="sq-AL"/>
          <w14:ligatures w14:val="standardContextual"/>
        </w:rPr>
        <w:t>Tabela më poshtë paraqet avantazhet dhe disavantazhet e dy opsioneve</w:t>
      </w:r>
      <w:r w:rsidR="00430A79" w:rsidRPr="00430A79">
        <w:rPr>
          <w:rFonts w:ascii="Arial Narrow" w:eastAsia="Aptos" w:hAnsi="Arial Narrow"/>
          <w:kern w:val="2"/>
          <w:sz w:val="22"/>
          <w:szCs w:val="22"/>
          <w14:ligatures w14:val="standardContextual"/>
        </w:rPr>
        <w:t>.</w:t>
      </w:r>
    </w:p>
    <w:p w14:paraId="0B58C9D0" w14:textId="77777777" w:rsidR="00430A79" w:rsidRPr="00430A79" w:rsidRDefault="00430A79" w:rsidP="00430A79">
      <w:pPr>
        <w:rPr>
          <w:rFonts w:ascii="Arial Narrow" w:eastAsia="Aptos" w:hAnsi="Arial Narrow"/>
          <w:kern w:val="2"/>
          <w:sz w:val="22"/>
          <w:szCs w:val="22"/>
          <w14:ligatures w14:val="standardContextual"/>
        </w:rPr>
      </w:pPr>
      <w:r w:rsidRPr="00430A79">
        <w:rPr>
          <w:rFonts w:ascii="Arial Narrow" w:eastAsia="Aptos" w:hAnsi="Arial Narrow"/>
          <w:kern w:val="2"/>
          <w:sz w:val="22"/>
          <w:szCs w:val="22"/>
          <w14:ligatures w14:val="standardContextual"/>
        </w:rPr>
        <w:t xml:space="preserve"> </w:t>
      </w:r>
    </w:p>
    <w:p w14:paraId="6842E589" w14:textId="3DF00EA9" w:rsidR="00430A79" w:rsidRPr="009F5CA1" w:rsidRDefault="00430A79" w:rsidP="00430A79">
      <w:pPr>
        <w:spacing w:after="120"/>
        <w:rPr>
          <w:rFonts w:ascii="Arial Narrow" w:eastAsia="Calibri" w:hAnsi="Arial Narrow" w:cs="Calibri"/>
          <w:color w:val="1F497D"/>
          <w:sz w:val="20"/>
          <w:szCs w:val="20"/>
        </w:rPr>
      </w:pPr>
      <w:bookmarkStart w:id="492" w:name="_Toc185866228"/>
      <w:bookmarkStart w:id="493" w:name="_Toc197472257"/>
      <w:r w:rsidRPr="009F5CA1">
        <w:rPr>
          <w:rFonts w:ascii="Arial Narrow" w:eastAsia="Calibri" w:hAnsi="Arial Narrow" w:cs="Calibri"/>
          <w:color w:val="1F497D"/>
          <w:sz w:val="20"/>
          <w:szCs w:val="20"/>
        </w:rPr>
        <w:t xml:space="preserve">Tabela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rPr>
        <w:t xml:space="preserve">72. </w:t>
      </w:r>
      <w:r w:rsidRPr="00430A79">
        <w:rPr>
          <w:rFonts w:ascii="Arial Narrow" w:eastAsia="Calibri" w:hAnsi="Arial Narrow" w:cs="Calibri"/>
          <w:color w:val="1F497D"/>
          <w:sz w:val="20"/>
          <w:szCs w:val="20"/>
          <w:lang w:val="en-GB"/>
        </w:rPr>
        <w:fldChar w:fldCharType="end"/>
      </w:r>
      <w:r w:rsidRPr="009F5CA1">
        <w:rPr>
          <w:rFonts w:ascii="Arial Narrow" w:eastAsia="Calibri" w:hAnsi="Arial Narrow" w:cs="Calibri"/>
          <w:color w:val="1F497D"/>
          <w:sz w:val="20"/>
          <w:szCs w:val="20"/>
        </w:rPr>
        <w:t xml:space="preserve">Avantazhet dhe disavantazhet e opsioneve për kompostimin e mbeturinave të gjelbra të </w:t>
      </w:r>
      <w:r w:rsidR="005B0D46" w:rsidRPr="009F5CA1">
        <w:rPr>
          <w:rFonts w:ascii="Arial Narrow" w:eastAsia="Calibri" w:hAnsi="Arial Narrow" w:cs="Calibri"/>
          <w:color w:val="1F497D"/>
          <w:sz w:val="20"/>
          <w:szCs w:val="20"/>
        </w:rPr>
        <w:t>grumbulluara ndaras</w:t>
      </w:r>
      <w:bookmarkEnd w:id="492"/>
      <w:bookmarkEnd w:id="493"/>
    </w:p>
    <w:tbl>
      <w:tblPr>
        <w:tblStyle w:val="TableGrid15"/>
        <w:tblW w:w="0" w:type="auto"/>
        <w:tblLook w:val="04A0" w:firstRow="1" w:lastRow="0" w:firstColumn="1" w:lastColumn="0" w:noHBand="0" w:noVBand="1"/>
      </w:tblPr>
      <w:tblGrid>
        <w:gridCol w:w="3005"/>
        <w:gridCol w:w="3005"/>
        <w:gridCol w:w="3006"/>
      </w:tblGrid>
      <w:tr w:rsidR="00430A79" w:rsidRPr="00430A79" w14:paraId="2381543E" w14:textId="77777777" w:rsidTr="00750949">
        <w:trPr>
          <w:tblHeader/>
        </w:trPr>
        <w:tc>
          <w:tcPr>
            <w:tcW w:w="3005" w:type="dxa"/>
            <w:shd w:val="clear" w:color="auto" w:fill="365F91"/>
          </w:tcPr>
          <w:p w14:paraId="696CA2B7" w14:textId="3D6F3A18" w:rsidR="00430A79" w:rsidRPr="00430A79" w:rsidRDefault="00430A79" w:rsidP="00430A79">
            <w:pPr>
              <w:spacing w:before="60" w:after="60"/>
              <w:rPr>
                <w:rFonts w:ascii="Arial Narrow" w:eastAsia="Aptos" w:hAnsi="Arial Narrow"/>
                <w:b/>
                <w:bCs/>
                <w:color w:val="FFFFFF" w:themeColor="background1"/>
                <w:sz w:val="20"/>
                <w:szCs w:val="20"/>
              </w:rPr>
            </w:pPr>
            <w:r w:rsidRPr="00430A79">
              <w:rPr>
                <w:rFonts w:ascii="Arial Narrow" w:eastAsia="Aptos" w:hAnsi="Arial Narrow"/>
                <w:b/>
                <w:bCs/>
                <w:color w:val="FFFFFF" w:themeColor="background1"/>
                <w:sz w:val="20"/>
                <w:szCs w:val="20"/>
              </w:rPr>
              <w:t>Opsion</w:t>
            </w:r>
            <w:r w:rsidR="005B0D46">
              <w:rPr>
                <w:rFonts w:ascii="Arial Narrow" w:eastAsia="Aptos" w:hAnsi="Arial Narrow"/>
                <w:b/>
                <w:bCs/>
                <w:color w:val="FFFFFF" w:themeColor="background1"/>
                <w:sz w:val="20"/>
                <w:szCs w:val="20"/>
              </w:rPr>
              <w:t>i</w:t>
            </w:r>
          </w:p>
        </w:tc>
        <w:tc>
          <w:tcPr>
            <w:tcW w:w="3005" w:type="dxa"/>
            <w:shd w:val="clear" w:color="auto" w:fill="365F91"/>
          </w:tcPr>
          <w:p w14:paraId="07AB408B" w14:textId="77777777" w:rsidR="00430A79" w:rsidRPr="00430A79" w:rsidRDefault="00430A79" w:rsidP="00430A79">
            <w:pPr>
              <w:spacing w:before="60" w:after="60"/>
              <w:rPr>
                <w:rFonts w:ascii="Arial Narrow" w:eastAsia="Aptos" w:hAnsi="Arial Narrow"/>
                <w:b/>
                <w:bCs/>
                <w:color w:val="FFFFFF" w:themeColor="background1"/>
                <w:sz w:val="20"/>
                <w:szCs w:val="20"/>
              </w:rPr>
            </w:pPr>
            <w:r w:rsidRPr="00430A79">
              <w:rPr>
                <w:rFonts w:ascii="Arial Narrow" w:eastAsia="Aptos" w:hAnsi="Arial Narrow"/>
                <w:b/>
                <w:bCs/>
                <w:color w:val="FFFFFF" w:themeColor="background1"/>
                <w:sz w:val="20"/>
                <w:szCs w:val="20"/>
              </w:rPr>
              <w:t>Avantazhet</w:t>
            </w:r>
          </w:p>
        </w:tc>
        <w:tc>
          <w:tcPr>
            <w:tcW w:w="3006" w:type="dxa"/>
            <w:shd w:val="clear" w:color="auto" w:fill="365F91"/>
          </w:tcPr>
          <w:p w14:paraId="4FD7C3DA" w14:textId="77777777" w:rsidR="00430A79" w:rsidRPr="00430A79" w:rsidRDefault="00430A79" w:rsidP="00430A79">
            <w:pPr>
              <w:spacing w:before="60" w:after="60"/>
              <w:rPr>
                <w:rFonts w:ascii="Arial Narrow" w:eastAsia="Aptos" w:hAnsi="Arial Narrow"/>
                <w:b/>
                <w:bCs/>
                <w:color w:val="FFFFFF" w:themeColor="background1"/>
                <w:sz w:val="20"/>
                <w:szCs w:val="20"/>
              </w:rPr>
            </w:pPr>
            <w:r w:rsidRPr="00430A79">
              <w:rPr>
                <w:rFonts w:ascii="Arial Narrow" w:eastAsia="Aptos" w:hAnsi="Arial Narrow"/>
                <w:b/>
                <w:bCs/>
                <w:color w:val="FFFFFF" w:themeColor="background1"/>
                <w:sz w:val="20"/>
                <w:szCs w:val="20"/>
              </w:rPr>
              <w:t>Disavantazhet</w:t>
            </w:r>
          </w:p>
        </w:tc>
      </w:tr>
      <w:tr w:rsidR="005B0D46" w:rsidRPr="00430A79" w14:paraId="3A7B4510" w14:textId="77777777" w:rsidTr="00D03949">
        <w:tc>
          <w:tcPr>
            <w:tcW w:w="3005" w:type="dxa"/>
          </w:tcPr>
          <w:p w14:paraId="3389A464" w14:textId="79A746AC" w:rsidR="005B0D46" w:rsidRPr="00430A79" w:rsidRDefault="005B0D46" w:rsidP="005B0D46">
            <w:pPr>
              <w:spacing w:before="60" w:after="60"/>
              <w:rPr>
                <w:rFonts w:ascii="Arial Narrow" w:eastAsia="Aptos" w:hAnsi="Arial Narrow"/>
                <w:sz w:val="20"/>
                <w:szCs w:val="20"/>
              </w:rPr>
            </w:pPr>
            <w:r w:rsidRPr="00BE2534">
              <w:rPr>
                <w:rFonts w:ascii="Arial Narrow" w:eastAsia="Aptos" w:hAnsi="Arial Narrow"/>
                <w:sz w:val="20"/>
                <w:szCs w:val="20"/>
                <w:lang w:val="sq-AL"/>
              </w:rPr>
              <w:t>Opsioni 1: Objektet e kompostimit të menaxhohen nga KDMK</w:t>
            </w:r>
          </w:p>
        </w:tc>
        <w:tc>
          <w:tcPr>
            <w:tcW w:w="3005" w:type="dxa"/>
          </w:tcPr>
          <w:p w14:paraId="72DC6157" w14:textId="77777777" w:rsidR="005B0D46" w:rsidRPr="00BE2534" w:rsidRDefault="005B0D46" w:rsidP="005B0D46">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t>Përvojë e disponueshme në funksionimin e objekteve të menaxhimit të mbeturinave (deponitë dhe një stacion transferi)</w:t>
            </w:r>
          </w:p>
          <w:p w14:paraId="08057AB1" w14:textId="0B8F35A7" w:rsidR="005B0D46" w:rsidRPr="00430A79" w:rsidRDefault="005B0D46" w:rsidP="005B0D46">
            <w:pPr>
              <w:spacing w:before="60" w:after="60"/>
              <w:rPr>
                <w:rFonts w:ascii="Arial Narrow" w:eastAsia="Aptos" w:hAnsi="Arial Narrow"/>
                <w:sz w:val="20"/>
                <w:szCs w:val="20"/>
              </w:rPr>
            </w:pPr>
            <w:r w:rsidRPr="00BE2534">
              <w:rPr>
                <w:rFonts w:ascii="Arial Narrow" w:eastAsia="Aptos" w:hAnsi="Arial Narrow"/>
                <w:sz w:val="20"/>
                <w:szCs w:val="20"/>
                <w:lang w:val="sq-AL"/>
              </w:rPr>
              <w:t>e centralizuar e cila mund të çojë në nivelizimin e kostove të shërbimeve në të gjitha komunat</w:t>
            </w:r>
          </w:p>
        </w:tc>
        <w:tc>
          <w:tcPr>
            <w:tcW w:w="3006" w:type="dxa"/>
          </w:tcPr>
          <w:p w14:paraId="6B13FF2E" w14:textId="77777777" w:rsidR="005B0D46" w:rsidRPr="00BE2534" w:rsidRDefault="005B0D46" w:rsidP="005B0D46">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t>Mungesa e përvojës në menaxhimin e objekteve të kompostimit</w:t>
            </w:r>
          </w:p>
          <w:p w14:paraId="29479712" w14:textId="79316AFD" w:rsidR="005B0D46" w:rsidRPr="00430A79" w:rsidRDefault="005B0D46" w:rsidP="005B0D46">
            <w:pPr>
              <w:spacing w:before="60" w:after="60"/>
              <w:rPr>
                <w:rFonts w:ascii="Arial Narrow" w:eastAsia="Aptos" w:hAnsi="Arial Narrow"/>
                <w:sz w:val="20"/>
                <w:szCs w:val="20"/>
              </w:rPr>
            </w:pPr>
            <w:r w:rsidRPr="00BE2534">
              <w:rPr>
                <w:rFonts w:ascii="Arial Narrow" w:eastAsia="Aptos" w:hAnsi="Arial Narrow"/>
                <w:sz w:val="20"/>
                <w:szCs w:val="20"/>
                <w:lang w:val="sq-AL"/>
              </w:rPr>
              <w:t>Kontribuon në krijimin e një monopoli të shërbimeve të menaxhimit të mbeturinave</w:t>
            </w:r>
          </w:p>
        </w:tc>
      </w:tr>
      <w:tr w:rsidR="005B0D46" w:rsidRPr="00430A79" w14:paraId="742429F9" w14:textId="77777777" w:rsidTr="00D03949">
        <w:tc>
          <w:tcPr>
            <w:tcW w:w="3005" w:type="dxa"/>
          </w:tcPr>
          <w:p w14:paraId="26154125" w14:textId="427D3BC0" w:rsidR="005B0D46" w:rsidRPr="00430A79" w:rsidRDefault="005B0D46" w:rsidP="005B0D46">
            <w:pPr>
              <w:spacing w:before="60" w:after="60"/>
              <w:rPr>
                <w:rFonts w:ascii="Arial Narrow" w:eastAsia="Aptos" w:hAnsi="Arial Narrow"/>
                <w:sz w:val="20"/>
                <w:szCs w:val="20"/>
              </w:rPr>
            </w:pPr>
            <w:r w:rsidRPr="00BE2534">
              <w:rPr>
                <w:rFonts w:ascii="Arial Narrow" w:eastAsia="Aptos" w:hAnsi="Arial Narrow"/>
                <w:sz w:val="20"/>
                <w:szCs w:val="20"/>
                <w:lang w:val="sq-AL"/>
              </w:rPr>
              <w:t>Opsioni 2: Objektet e kompostimit të menaxhohen nga komunat</w:t>
            </w:r>
          </w:p>
        </w:tc>
        <w:tc>
          <w:tcPr>
            <w:tcW w:w="3005" w:type="dxa"/>
          </w:tcPr>
          <w:p w14:paraId="54C44845" w14:textId="77777777" w:rsidR="005B0D46" w:rsidRPr="00BE2534" w:rsidRDefault="005B0D46" w:rsidP="005B0D46">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t>Kompanitë publike në dispozicion të cilat mund të ofrojnë shërbimin e kompostimit të mbeturinave të gjelbra</w:t>
            </w:r>
          </w:p>
          <w:p w14:paraId="09155038" w14:textId="77777777" w:rsidR="005B0D46" w:rsidRPr="00BE2534" w:rsidRDefault="005B0D46" w:rsidP="005B0D46">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t>Marrëveshje më të thjeshta në lidhje me mekanizmat e pagesës kur komunat vendosin të menaxhojnë objektet përmes departamenteve të tyre të mirëmbajtjes së zonave publike</w:t>
            </w:r>
          </w:p>
          <w:p w14:paraId="5E8A6CE3" w14:textId="11B31CF5" w:rsidR="005B0D46" w:rsidRPr="00430A79" w:rsidRDefault="005B0D46" w:rsidP="005B0D46">
            <w:pPr>
              <w:spacing w:before="60" w:after="60"/>
              <w:rPr>
                <w:rFonts w:ascii="Arial Narrow" w:eastAsia="Aptos" w:hAnsi="Arial Narrow"/>
                <w:sz w:val="20"/>
                <w:szCs w:val="20"/>
              </w:rPr>
            </w:pPr>
            <w:r w:rsidRPr="00BE2534">
              <w:rPr>
                <w:rFonts w:ascii="Arial Narrow" w:eastAsia="Aptos" w:hAnsi="Arial Narrow"/>
                <w:sz w:val="20"/>
                <w:szCs w:val="20"/>
                <w:lang w:val="sq-AL"/>
              </w:rPr>
              <w:t>Rregullim më i thjeshtë për përdorimin e kompostit të gjeneruar</w:t>
            </w:r>
          </w:p>
        </w:tc>
        <w:tc>
          <w:tcPr>
            <w:tcW w:w="3006" w:type="dxa"/>
          </w:tcPr>
          <w:p w14:paraId="7F8032A7" w14:textId="59B0E09C" w:rsidR="005B0D46" w:rsidRPr="00430A79" w:rsidRDefault="005B0D46" w:rsidP="005B0D46">
            <w:pPr>
              <w:spacing w:before="60" w:after="60"/>
              <w:rPr>
                <w:rFonts w:ascii="Arial Narrow" w:eastAsia="Aptos" w:hAnsi="Arial Narrow"/>
                <w:sz w:val="20"/>
                <w:szCs w:val="20"/>
              </w:rPr>
            </w:pPr>
            <w:r w:rsidRPr="00BE2534">
              <w:rPr>
                <w:rFonts w:ascii="Arial Narrow" w:eastAsia="Aptos" w:hAnsi="Arial Narrow"/>
                <w:sz w:val="20"/>
                <w:szCs w:val="20"/>
                <w:lang w:val="sq-AL"/>
              </w:rPr>
              <w:t>Mungesa e përvojës lokale në menaxhimin e objekteve të kompostimit ose objekteve tjera të trajtimit të mbeturinave</w:t>
            </w:r>
          </w:p>
        </w:tc>
      </w:tr>
    </w:tbl>
    <w:p w14:paraId="2A6B38A8" w14:textId="77777777" w:rsidR="00430A79" w:rsidRPr="00430A79" w:rsidRDefault="00430A79" w:rsidP="00430A79">
      <w:pPr>
        <w:rPr>
          <w:rFonts w:ascii="Arial Narrow" w:eastAsia="Aptos" w:hAnsi="Arial Narrow"/>
          <w:kern w:val="2"/>
          <w:sz w:val="22"/>
          <w:szCs w:val="22"/>
          <w14:ligatures w14:val="standardContextual"/>
        </w:rPr>
      </w:pPr>
    </w:p>
    <w:p w14:paraId="6E6960F7" w14:textId="75D47EF6" w:rsidR="00430A79" w:rsidRDefault="00682C3C" w:rsidP="00430A79">
      <w:pPr>
        <w:rPr>
          <w:rFonts w:ascii="Arial Narrow" w:eastAsia="Aptos" w:hAnsi="Arial Narrow"/>
          <w:kern w:val="2"/>
          <w:sz w:val="22"/>
          <w:szCs w:val="22"/>
          <w14:ligatures w14:val="standardContextual"/>
        </w:rPr>
      </w:pPr>
      <w:r w:rsidRPr="00BE2534">
        <w:rPr>
          <w:rFonts w:ascii="Arial Narrow" w:eastAsia="Aptos" w:hAnsi="Arial Narrow"/>
          <w:kern w:val="2"/>
          <w:sz w:val="22"/>
          <w:szCs w:val="22"/>
          <w:lang w:val="sq-AL"/>
          <w14:ligatures w14:val="standardContextual"/>
        </w:rPr>
        <w:t>Objektet e kompostimit nuk do të jenë objekte rajonale dhe ka kuptim që komunat të vendosin vetë se si do të menaxhohen ato. Opsioni 2 lejon fleksibilitet më të madh në lidhje me marrëveshjet e pagesës dhe përdorimin e kompostit të gjeneruar. Prandaj, opsioni 2 është i preferueshëm</w:t>
      </w:r>
      <w:r w:rsidR="00430A79" w:rsidRPr="00430A79">
        <w:rPr>
          <w:rFonts w:ascii="Arial Narrow" w:eastAsia="Aptos" w:hAnsi="Arial Narrow"/>
          <w:kern w:val="2"/>
          <w:sz w:val="22"/>
          <w:szCs w:val="22"/>
          <w14:ligatures w14:val="standardContextual"/>
        </w:rPr>
        <w:t>.</w:t>
      </w:r>
    </w:p>
    <w:p w14:paraId="2A0E0EF0" w14:textId="77777777" w:rsidR="002F45E2" w:rsidRPr="00430A79" w:rsidRDefault="002F45E2" w:rsidP="00430A79">
      <w:pPr>
        <w:rPr>
          <w:rFonts w:ascii="Arial Narrow" w:eastAsia="Aptos" w:hAnsi="Arial Narrow"/>
          <w:kern w:val="2"/>
          <w:sz w:val="22"/>
          <w:szCs w:val="22"/>
          <w14:ligatures w14:val="standardContextual"/>
        </w:rPr>
      </w:pPr>
    </w:p>
    <w:p w14:paraId="5BB9DF10" w14:textId="77777777" w:rsidR="00430A79" w:rsidRDefault="00430A79" w:rsidP="00430A79">
      <w:pPr>
        <w:rPr>
          <w:rFonts w:ascii="Arial Narrow" w:eastAsia="Aptos" w:hAnsi="Arial Narrow"/>
          <w:kern w:val="2"/>
          <w:sz w:val="22"/>
          <w:szCs w:val="22"/>
          <w14:ligatures w14:val="standardContextual"/>
        </w:rPr>
      </w:pPr>
    </w:p>
    <w:p w14:paraId="79232AA0" w14:textId="77777777" w:rsidR="00A93D21" w:rsidRDefault="00A93D21" w:rsidP="00430A79">
      <w:pPr>
        <w:rPr>
          <w:rFonts w:ascii="Arial Narrow" w:eastAsia="Aptos" w:hAnsi="Arial Narrow"/>
          <w:kern w:val="2"/>
          <w:sz w:val="22"/>
          <w:szCs w:val="22"/>
          <w14:ligatures w14:val="standardContextual"/>
        </w:rPr>
      </w:pPr>
    </w:p>
    <w:p w14:paraId="5BA40D0C" w14:textId="77777777" w:rsidR="00A93D21" w:rsidRPr="00430A79" w:rsidRDefault="00A93D21" w:rsidP="00430A79">
      <w:pPr>
        <w:rPr>
          <w:rFonts w:ascii="Arial Narrow" w:eastAsia="Aptos" w:hAnsi="Arial Narrow"/>
          <w:kern w:val="2"/>
          <w:sz w:val="22"/>
          <w:szCs w:val="22"/>
          <w14:ligatures w14:val="standardContextual"/>
        </w:rPr>
      </w:pPr>
    </w:p>
    <w:p w14:paraId="060D8B38" w14:textId="77777777" w:rsidR="00682C3C" w:rsidRPr="00BE2534" w:rsidRDefault="00682C3C" w:rsidP="00682C3C">
      <w:pPr>
        <w:pStyle w:val="Heading3"/>
        <w:spacing w:before="0" w:after="0"/>
        <w:rPr>
          <w:lang w:val="sq-AL"/>
        </w:rPr>
      </w:pPr>
      <w:bookmarkStart w:id="494" w:name="_Toc193831018"/>
      <w:bookmarkStart w:id="495" w:name="_Toc197472039"/>
      <w:r w:rsidRPr="00BE2534">
        <w:rPr>
          <w:lang w:val="sq-AL"/>
        </w:rPr>
        <w:lastRenderedPageBreak/>
        <w:t xml:space="preserve">Grumbullimi </w:t>
      </w:r>
      <w:r>
        <w:rPr>
          <w:lang w:val="sq-AL"/>
        </w:rPr>
        <w:t>ndaras</w:t>
      </w:r>
      <w:r w:rsidRPr="00BE2534">
        <w:rPr>
          <w:lang w:val="sq-AL"/>
        </w:rPr>
        <w:t xml:space="preserve"> dhe klasifikimi i mbeturinave të ambalazhit</w:t>
      </w:r>
      <w:bookmarkEnd w:id="494"/>
      <w:bookmarkEnd w:id="495"/>
    </w:p>
    <w:p w14:paraId="5285D360" w14:textId="77777777" w:rsidR="00430A79" w:rsidRPr="00430A79" w:rsidRDefault="00430A79" w:rsidP="00430A79">
      <w:pPr>
        <w:rPr>
          <w:rFonts w:ascii="Arial Narrow" w:eastAsia="Aptos" w:hAnsi="Arial Narrow"/>
          <w:kern w:val="2"/>
          <w:sz w:val="22"/>
          <w:szCs w:val="22"/>
          <w14:ligatures w14:val="standardContextual"/>
        </w:rPr>
      </w:pPr>
    </w:p>
    <w:p w14:paraId="6093256D" w14:textId="77777777" w:rsidR="002F45E2" w:rsidRDefault="002F45E2" w:rsidP="00682C3C">
      <w:pPr>
        <w:jc w:val="both"/>
        <w:rPr>
          <w:rFonts w:ascii="Arial Narrow" w:eastAsia="Aptos" w:hAnsi="Arial Narrow"/>
          <w:kern w:val="2"/>
          <w:sz w:val="22"/>
          <w:szCs w:val="22"/>
          <w:lang w:val="sq-AL"/>
          <w14:ligatures w14:val="standardContextual"/>
        </w:rPr>
      </w:pPr>
    </w:p>
    <w:p w14:paraId="730ADDDE" w14:textId="00A8A373" w:rsidR="00430A79" w:rsidRDefault="00682C3C" w:rsidP="00682C3C">
      <w:pPr>
        <w:jc w:val="both"/>
        <w:rPr>
          <w:rFonts w:ascii="Arial Narrow" w:eastAsia="Aptos" w:hAnsi="Arial Narrow"/>
          <w:kern w:val="2"/>
          <w:sz w:val="22"/>
          <w:szCs w:val="22"/>
          <w14:ligatures w14:val="standardContextual"/>
        </w:rPr>
      </w:pPr>
      <w:r w:rsidRPr="00BE2534">
        <w:rPr>
          <w:rFonts w:ascii="Arial Narrow" w:eastAsia="Aptos" w:hAnsi="Arial Narrow"/>
          <w:kern w:val="2"/>
          <w:sz w:val="22"/>
          <w:szCs w:val="22"/>
          <w:lang w:val="sq-AL"/>
          <w14:ligatures w14:val="standardContextual"/>
        </w:rPr>
        <w:t xml:space="preserve">Rekomandohet që grumbullimi </w:t>
      </w:r>
      <w:r>
        <w:rPr>
          <w:rFonts w:ascii="Arial Narrow" w:eastAsia="Aptos" w:hAnsi="Arial Narrow"/>
          <w:kern w:val="2"/>
          <w:sz w:val="22"/>
          <w:szCs w:val="22"/>
          <w:lang w:val="sq-AL"/>
          <w14:ligatures w14:val="standardContextual"/>
        </w:rPr>
        <w:t>ndaras</w:t>
      </w:r>
      <w:r w:rsidRPr="00BE2534">
        <w:rPr>
          <w:rFonts w:ascii="Arial Narrow" w:eastAsia="Aptos" w:hAnsi="Arial Narrow"/>
          <w:kern w:val="2"/>
          <w:sz w:val="22"/>
          <w:szCs w:val="22"/>
          <w:lang w:val="sq-AL"/>
          <w14:ligatures w14:val="standardContextual"/>
        </w:rPr>
        <w:t xml:space="preserve"> dhe klasifikimi i mëpasshëm i mbeturinave të ambalazhit të menaxhohet përmes skemave të ardhshme PZP. Arsyeja për këtë është se grumbullimi </w:t>
      </w:r>
      <w:r>
        <w:rPr>
          <w:rFonts w:ascii="Arial Narrow" w:eastAsia="Aptos" w:hAnsi="Arial Narrow"/>
          <w:kern w:val="2"/>
          <w:sz w:val="22"/>
          <w:szCs w:val="22"/>
          <w:lang w:val="sq-AL"/>
          <w14:ligatures w14:val="standardContextual"/>
        </w:rPr>
        <w:t>ndaras</w:t>
      </w:r>
      <w:r w:rsidRPr="00BE2534">
        <w:rPr>
          <w:rFonts w:ascii="Arial Narrow" w:eastAsia="Aptos" w:hAnsi="Arial Narrow"/>
          <w:kern w:val="2"/>
          <w:sz w:val="22"/>
          <w:szCs w:val="22"/>
          <w:lang w:val="sq-AL"/>
          <w14:ligatures w14:val="standardContextual"/>
        </w:rPr>
        <w:t xml:space="preserve"> dhe klasifikimi i mbeturinave të ambalazhit do të sjellë një kosto shtesë, e cila do të çojë në rritjen e tarifave të menaxhimit të mbeturinave për amvisëritë. Operatorët aktualë të objektit(eve ) të grumbullimit </w:t>
      </w:r>
      <w:r>
        <w:rPr>
          <w:rFonts w:ascii="Arial Narrow" w:eastAsia="Aptos" w:hAnsi="Arial Narrow"/>
          <w:kern w:val="2"/>
          <w:sz w:val="22"/>
          <w:szCs w:val="22"/>
          <w:lang w:val="sq-AL"/>
          <w14:ligatures w14:val="standardContextual"/>
        </w:rPr>
        <w:t>ndaras</w:t>
      </w:r>
      <w:r w:rsidRPr="00BE2534">
        <w:rPr>
          <w:rFonts w:ascii="Arial Narrow" w:eastAsia="Aptos" w:hAnsi="Arial Narrow"/>
          <w:kern w:val="2"/>
          <w:sz w:val="22"/>
          <w:szCs w:val="22"/>
          <w:lang w:val="sq-AL"/>
          <w14:ligatures w14:val="standardContextual"/>
        </w:rPr>
        <w:t xml:space="preserve"> dhe klasifikimit do të kontraktohen përmes skemës PZP. Ka të ngjarë që ofruesit aktualë të shërbimeve të grumbullimit të mbeturinave në komuna të jenë gjithashtu të kontraktuar përmes skemës PZP për të kryer grumbullimin </w:t>
      </w:r>
      <w:r>
        <w:rPr>
          <w:rFonts w:ascii="Arial Narrow" w:eastAsia="Aptos" w:hAnsi="Arial Narrow"/>
          <w:kern w:val="2"/>
          <w:sz w:val="22"/>
          <w:szCs w:val="22"/>
          <w:lang w:val="sq-AL"/>
          <w14:ligatures w14:val="standardContextual"/>
        </w:rPr>
        <w:t>ndaras</w:t>
      </w:r>
      <w:r w:rsidRPr="00BE2534">
        <w:rPr>
          <w:rFonts w:ascii="Arial Narrow" w:eastAsia="Aptos" w:hAnsi="Arial Narrow"/>
          <w:kern w:val="2"/>
          <w:sz w:val="22"/>
          <w:szCs w:val="22"/>
          <w:lang w:val="sq-AL"/>
          <w14:ligatures w14:val="standardContextual"/>
        </w:rPr>
        <w:t xml:space="preserve"> të mbeturinave të ambalazhit</w:t>
      </w:r>
      <w:r w:rsidR="00430A79" w:rsidRPr="00430A79">
        <w:rPr>
          <w:rFonts w:ascii="Arial Narrow" w:eastAsia="Aptos" w:hAnsi="Arial Narrow"/>
          <w:kern w:val="2"/>
          <w:sz w:val="22"/>
          <w:szCs w:val="22"/>
          <w14:ligatures w14:val="standardContextual"/>
        </w:rPr>
        <w:t>.</w:t>
      </w:r>
    </w:p>
    <w:p w14:paraId="316B03C7" w14:textId="77777777" w:rsidR="00160C71" w:rsidRPr="00430A79" w:rsidRDefault="00160C71" w:rsidP="00682C3C">
      <w:pPr>
        <w:jc w:val="both"/>
        <w:rPr>
          <w:rFonts w:ascii="Arial Narrow" w:eastAsia="Aptos" w:hAnsi="Arial Narrow"/>
          <w:kern w:val="2"/>
          <w:sz w:val="22"/>
          <w:szCs w:val="22"/>
          <w14:ligatures w14:val="standardContextual"/>
        </w:rPr>
      </w:pPr>
    </w:p>
    <w:p w14:paraId="12942F17" w14:textId="77777777" w:rsidR="00430A79" w:rsidRPr="00430A79" w:rsidRDefault="00430A79" w:rsidP="000D7AD0">
      <w:pPr>
        <w:pStyle w:val="Heading3"/>
      </w:pPr>
      <w:bookmarkStart w:id="496" w:name="_Toc185866149"/>
      <w:bookmarkStart w:id="497" w:name="_Toc197472040"/>
      <w:r w:rsidRPr="00430A79">
        <w:t>Operacionet e rikuperimit të mbeturinave</w:t>
      </w:r>
      <w:bookmarkEnd w:id="496"/>
      <w:bookmarkEnd w:id="497"/>
    </w:p>
    <w:p w14:paraId="77E0FC9E" w14:textId="77777777" w:rsidR="002F45E2" w:rsidRDefault="002F45E2" w:rsidP="00682C3C">
      <w:pPr>
        <w:jc w:val="both"/>
        <w:rPr>
          <w:rFonts w:ascii="Arial Narrow" w:eastAsia="Aptos" w:hAnsi="Arial Narrow"/>
          <w:kern w:val="2"/>
          <w:sz w:val="22"/>
          <w:szCs w:val="22"/>
          <w:lang w:val="sq-AL"/>
          <w14:ligatures w14:val="standardContextual"/>
        </w:rPr>
      </w:pPr>
    </w:p>
    <w:p w14:paraId="1872D76B" w14:textId="6B82115D" w:rsidR="00682C3C" w:rsidRPr="00BE2534" w:rsidRDefault="00682C3C" w:rsidP="00682C3C">
      <w:pPr>
        <w:jc w:val="both"/>
        <w:rPr>
          <w:rFonts w:ascii="Arial Narrow" w:eastAsia="Aptos" w:hAnsi="Arial Narrow"/>
          <w:kern w:val="2"/>
          <w:sz w:val="22"/>
          <w:szCs w:val="22"/>
          <w:lang w:val="sq-AL"/>
          <w14:ligatures w14:val="standardContextual"/>
        </w:rPr>
      </w:pPr>
      <w:r w:rsidRPr="00BE2534">
        <w:rPr>
          <w:rFonts w:ascii="Arial Narrow" w:eastAsia="Aptos" w:hAnsi="Arial Narrow"/>
          <w:kern w:val="2"/>
          <w:sz w:val="22"/>
          <w:szCs w:val="22"/>
          <w:lang w:val="sq-AL"/>
          <w14:ligatures w14:val="standardContextual"/>
        </w:rPr>
        <w:t xml:space="preserve">Për të arritur synimet e riciklimit dhe rikuperimit në rajon, analiza teknike e opsioneve për rikuperimin e mbeturinave arrin në konkludim se, përveç grumbullimit </w:t>
      </w:r>
      <w:r>
        <w:rPr>
          <w:rFonts w:ascii="Arial Narrow" w:eastAsia="Aptos" w:hAnsi="Arial Narrow"/>
          <w:kern w:val="2"/>
          <w:sz w:val="22"/>
          <w:szCs w:val="22"/>
          <w:lang w:val="sq-AL"/>
          <w14:ligatures w14:val="standardContextual"/>
        </w:rPr>
        <w:t>ndaras</w:t>
      </w:r>
      <w:r w:rsidRPr="00BE2534">
        <w:rPr>
          <w:rFonts w:ascii="Arial Narrow" w:eastAsia="Aptos" w:hAnsi="Arial Narrow"/>
          <w:kern w:val="2"/>
          <w:sz w:val="22"/>
          <w:szCs w:val="22"/>
          <w:lang w:val="sq-AL"/>
          <w14:ligatures w14:val="standardContextual"/>
        </w:rPr>
        <w:t xml:space="preserve"> dhe klasifikimit të mbeturinave të riciklueshme, objektet e centralizuara TMB dhe DA duhet të krijohen jo më vonë se në vitin 2032. Lokacioni optimal i objekteve për rikuperimin e mbeturinave do të jetë afër Komunës së Pejës, duke qenë gjeneruesi më i madh i mbeturinave në Rajonin e Dukagjinit. Për sa i përket menaxhimit të dy objekteve, opsionet e mëposhtme janë në dispozicion të komunave:</w:t>
      </w:r>
    </w:p>
    <w:p w14:paraId="08BEE86F" w14:textId="77777777" w:rsidR="00682C3C" w:rsidRPr="00BE2534" w:rsidRDefault="00682C3C" w:rsidP="00682C3C">
      <w:pPr>
        <w:rPr>
          <w:rFonts w:ascii="Arial Narrow" w:eastAsia="Aptos" w:hAnsi="Arial Narrow"/>
          <w:kern w:val="2"/>
          <w:sz w:val="22"/>
          <w:szCs w:val="22"/>
          <w:lang w:val="sq-AL"/>
          <w14:ligatures w14:val="standardContextual"/>
        </w:rPr>
      </w:pPr>
    </w:p>
    <w:p w14:paraId="1EE7A585" w14:textId="77777777" w:rsidR="00682C3C" w:rsidRPr="00BE2534" w:rsidRDefault="00682C3C" w:rsidP="00682C3C">
      <w:pPr>
        <w:numPr>
          <w:ilvl w:val="0"/>
          <w:numId w:val="24"/>
        </w:numPr>
        <w:spacing w:after="160" w:line="259" w:lineRule="auto"/>
        <w:contextualSpacing/>
        <w:rPr>
          <w:rFonts w:ascii="Arial Narrow" w:eastAsia="Aptos" w:hAnsi="Arial Narrow"/>
          <w:kern w:val="2"/>
          <w:sz w:val="22"/>
          <w:szCs w:val="22"/>
          <w:lang w:val="sq-AL"/>
          <w14:ligatures w14:val="standardContextual"/>
        </w:rPr>
      </w:pPr>
      <w:r w:rsidRPr="00BE2534">
        <w:rPr>
          <w:rFonts w:ascii="Arial Narrow" w:eastAsia="Aptos" w:hAnsi="Arial Narrow"/>
          <w:b/>
          <w:bCs/>
          <w:kern w:val="2"/>
          <w:sz w:val="22"/>
          <w:szCs w:val="22"/>
          <w:lang w:val="sq-AL"/>
          <w14:ligatures w14:val="standardContextual"/>
        </w:rPr>
        <w:t>Opsioni 1: Objektet e rikuperimit të mbeturinave të menaxhohen nga KDMK</w:t>
      </w:r>
      <w:r w:rsidRPr="00BE2534">
        <w:rPr>
          <w:rFonts w:ascii="Arial Narrow" w:eastAsia="Aptos" w:hAnsi="Arial Narrow"/>
          <w:kern w:val="2"/>
          <w:sz w:val="22"/>
          <w:szCs w:val="22"/>
          <w:lang w:val="sq-AL"/>
          <w14:ligatures w14:val="standardContextual"/>
        </w:rPr>
        <w:t>. KDMK u krijua me qëllim të menaxhimit të venddeponive të mbeturinave në vend dhe fitoi përvojë të konsiderueshme në menaxhimin e objekteve të mbeturinave.</w:t>
      </w:r>
    </w:p>
    <w:p w14:paraId="37C5A5D3" w14:textId="77777777" w:rsidR="00682C3C" w:rsidRPr="00BE2534" w:rsidRDefault="00682C3C" w:rsidP="00682C3C">
      <w:pPr>
        <w:numPr>
          <w:ilvl w:val="0"/>
          <w:numId w:val="24"/>
        </w:numPr>
        <w:spacing w:after="160" w:line="259" w:lineRule="auto"/>
        <w:contextualSpacing/>
        <w:jc w:val="both"/>
        <w:rPr>
          <w:rFonts w:ascii="Arial Narrow" w:eastAsia="Aptos" w:hAnsi="Arial Narrow"/>
          <w:kern w:val="2"/>
          <w:sz w:val="22"/>
          <w:szCs w:val="22"/>
          <w:lang w:val="sq-AL"/>
          <w14:ligatures w14:val="standardContextual"/>
        </w:rPr>
      </w:pPr>
      <w:r w:rsidRPr="00BE2534">
        <w:rPr>
          <w:rFonts w:ascii="Arial Narrow" w:eastAsia="Aptos" w:hAnsi="Arial Narrow"/>
          <w:b/>
          <w:bCs/>
          <w:kern w:val="2"/>
          <w:sz w:val="22"/>
          <w:szCs w:val="22"/>
          <w:lang w:val="sq-AL"/>
          <w14:ligatures w14:val="standardContextual"/>
        </w:rPr>
        <w:t xml:space="preserve">Opsioni 2: Objektet për rikuperimin e mbeturinave të menaxhohen nga Komuna e Pejës </w:t>
      </w:r>
      <w:r w:rsidRPr="00BE2534">
        <w:rPr>
          <w:rFonts w:ascii="Arial Narrow" w:eastAsia="Aptos" w:hAnsi="Arial Narrow"/>
          <w:kern w:val="2"/>
          <w:sz w:val="22"/>
          <w:szCs w:val="22"/>
          <w:lang w:val="sq-AL"/>
          <w14:ligatures w14:val="standardContextual"/>
        </w:rPr>
        <w:t>. Sipas këtij opsioni, Komuna e Pejës do të jetë përgjegjëse për menaxhimin e objekteve për rikuperimin e mbeturinave. Komuna e Pejës mund të bëjë përzgjedhjen e KRU Ambienti si operator të objekteve të rikuperimit të mbeturinave ose të prokurojnë shërbimet e një operatori privat.</w:t>
      </w:r>
    </w:p>
    <w:p w14:paraId="34776692" w14:textId="77777777" w:rsidR="00682C3C" w:rsidRPr="00BE2534" w:rsidRDefault="00682C3C" w:rsidP="00682C3C">
      <w:pPr>
        <w:rPr>
          <w:rFonts w:ascii="Arial Narrow" w:eastAsia="Aptos" w:hAnsi="Arial Narrow"/>
          <w:kern w:val="2"/>
          <w:sz w:val="22"/>
          <w:szCs w:val="22"/>
          <w:lang w:val="sq-AL"/>
          <w14:ligatures w14:val="standardContextual"/>
        </w:rPr>
      </w:pPr>
    </w:p>
    <w:p w14:paraId="086B1C3B" w14:textId="63A6BD7D" w:rsidR="00430A79" w:rsidRPr="00430A79" w:rsidRDefault="00682C3C" w:rsidP="00682C3C">
      <w:pPr>
        <w:rPr>
          <w:rFonts w:ascii="Arial Narrow" w:eastAsia="Aptos" w:hAnsi="Arial Narrow"/>
          <w:kern w:val="2"/>
          <w:sz w:val="22"/>
          <w:szCs w:val="22"/>
          <w14:ligatures w14:val="standardContextual"/>
        </w:rPr>
      </w:pPr>
      <w:r w:rsidRPr="00BE2534">
        <w:rPr>
          <w:rFonts w:ascii="Arial Narrow" w:eastAsia="Aptos" w:hAnsi="Arial Narrow"/>
          <w:kern w:val="2"/>
          <w:sz w:val="22"/>
          <w:szCs w:val="22"/>
          <w:lang w:val="sq-AL"/>
          <w14:ligatures w14:val="standardContextual"/>
        </w:rPr>
        <w:t>Tabela më poshtë paraqet avantazhet dhe disavantazhet e dy opsioneve</w:t>
      </w:r>
      <w:r w:rsidR="00430A79" w:rsidRPr="00430A79">
        <w:rPr>
          <w:rFonts w:ascii="Arial Narrow" w:eastAsia="Aptos" w:hAnsi="Arial Narrow"/>
          <w:kern w:val="2"/>
          <w:sz w:val="22"/>
          <w:szCs w:val="22"/>
          <w14:ligatures w14:val="standardContextual"/>
        </w:rPr>
        <w:t>.</w:t>
      </w:r>
    </w:p>
    <w:p w14:paraId="1026B6D6" w14:textId="77777777" w:rsidR="00430A79" w:rsidRDefault="00430A79" w:rsidP="00430A79">
      <w:pPr>
        <w:rPr>
          <w:rFonts w:ascii="Arial Narrow" w:eastAsia="Aptos" w:hAnsi="Arial Narrow"/>
          <w:kern w:val="2"/>
          <w:sz w:val="22"/>
          <w:szCs w:val="22"/>
          <w14:ligatures w14:val="standardContextual"/>
        </w:rPr>
      </w:pPr>
      <w:r w:rsidRPr="00430A79">
        <w:rPr>
          <w:rFonts w:ascii="Arial Narrow" w:eastAsia="Aptos" w:hAnsi="Arial Narrow"/>
          <w:kern w:val="2"/>
          <w:sz w:val="22"/>
          <w:szCs w:val="22"/>
          <w14:ligatures w14:val="standardContextual"/>
        </w:rPr>
        <w:t xml:space="preserve"> </w:t>
      </w:r>
    </w:p>
    <w:p w14:paraId="3840FA72" w14:textId="13C88C1D" w:rsidR="00430A79" w:rsidRPr="009F5CA1" w:rsidRDefault="00430A79" w:rsidP="00430A79">
      <w:pPr>
        <w:spacing w:after="120"/>
        <w:rPr>
          <w:rFonts w:ascii="Arial Narrow" w:eastAsia="Calibri" w:hAnsi="Arial Narrow" w:cs="Calibri"/>
          <w:color w:val="1F497D"/>
          <w:sz w:val="20"/>
          <w:szCs w:val="20"/>
          <w:lang w:val="es-ES"/>
        </w:rPr>
      </w:pPr>
      <w:bookmarkStart w:id="498" w:name="_Toc185866229"/>
      <w:bookmarkStart w:id="499" w:name="_Toc197472258"/>
      <w:proofErr w:type="spellStart"/>
      <w:r w:rsidRPr="009F5CA1">
        <w:rPr>
          <w:rFonts w:ascii="Arial Narrow" w:eastAsia="Calibri" w:hAnsi="Arial Narrow" w:cs="Calibri"/>
          <w:color w:val="1F497D"/>
          <w:sz w:val="20"/>
          <w:szCs w:val="20"/>
          <w:lang w:val="es-ES"/>
        </w:rPr>
        <w:t>Tabela</w:t>
      </w:r>
      <w:proofErr w:type="spellEnd"/>
      <w:r w:rsidRPr="009F5CA1">
        <w:rPr>
          <w:rFonts w:ascii="Arial Narrow" w:eastAsia="Calibri" w:hAnsi="Arial Narrow" w:cs="Calibri"/>
          <w:color w:val="1F497D"/>
          <w:sz w:val="20"/>
          <w:szCs w:val="20"/>
          <w:lang w:val="es-ES"/>
        </w:rPr>
        <w:t xml:space="preserve">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lang w:val="es-ES"/>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lang w:val="es-ES"/>
        </w:rPr>
        <w:t xml:space="preserve">73. </w:t>
      </w:r>
      <w:r w:rsidRPr="00430A79">
        <w:rPr>
          <w:rFonts w:ascii="Arial Narrow" w:eastAsia="Calibri" w:hAnsi="Arial Narrow" w:cs="Calibri"/>
          <w:color w:val="1F497D"/>
          <w:sz w:val="20"/>
          <w:szCs w:val="20"/>
          <w:lang w:val="en-GB"/>
        </w:rPr>
        <w:fldChar w:fldCharType="end"/>
      </w:r>
      <w:proofErr w:type="spellStart"/>
      <w:r w:rsidRPr="009F5CA1">
        <w:rPr>
          <w:rFonts w:ascii="Arial Narrow" w:eastAsia="Calibri" w:hAnsi="Arial Narrow" w:cs="Calibri"/>
          <w:color w:val="1F497D"/>
          <w:sz w:val="20"/>
          <w:szCs w:val="20"/>
          <w:lang w:val="es-ES"/>
        </w:rPr>
        <w:t>Avantazhet</w:t>
      </w:r>
      <w:proofErr w:type="spellEnd"/>
      <w:r w:rsidRPr="009F5CA1">
        <w:rPr>
          <w:rFonts w:ascii="Arial Narrow" w:eastAsia="Calibri" w:hAnsi="Arial Narrow" w:cs="Calibri"/>
          <w:color w:val="1F497D"/>
          <w:sz w:val="20"/>
          <w:szCs w:val="20"/>
          <w:lang w:val="es-ES"/>
        </w:rPr>
        <w:t xml:space="preserve"> </w:t>
      </w:r>
      <w:proofErr w:type="spellStart"/>
      <w:r w:rsidRPr="009F5CA1">
        <w:rPr>
          <w:rFonts w:ascii="Arial Narrow" w:eastAsia="Calibri" w:hAnsi="Arial Narrow" w:cs="Calibri"/>
          <w:color w:val="1F497D"/>
          <w:sz w:val="20"/>
          <w:szCs w:val="20"/>
          <w:lang w:val="es-ES"/>
        </w:rPr>
        <w:t>dhe</w:t>
      </w:r>
      <w:proofErr w:type="spellEnd"/>
      <w:r w:rsidRPr="009F5CA1">
        <w:rPr>
          <w:rFonts w:ascii="Arial Narrow" w:eastAsia="Calibri" w:hAnsi="Arial Narrow" w:cs="Calibri"/>
          <w:color w:val="1F497D"/>
          <w:sz w:val="20"/>
          <w:szCs w:val="20"/>
          <w:lang w:val="es-ES"/>
        </w:rPr>
        <w:t xml:space="preserve"> </w:t>
      </w:r>
      <w:proofErr w:type="spellStart"/>
      <w:r w:rsidRPr="009F5CA1">
        <w:rPr>
          <w:rFonts w:ascii="Arial Narrow" w:eastAsia="Calibri" w:hAnsi="Arial Narrow" w:cs="Calibri"/>
          <w:color w:val="1F497D"/>
          <w:sz w:val="20"/>
          <w:szCs w:val="20"/>
          <w:lang w:val="es-ES"/>
        </w:rPr>
        <w:t>disavantazhet</w:t>
      </w:r>
      <w:proofErr w:type="spellEnd"/>
      <w:r w:rsidRPr="009F5CA1">
        <w:rPr>
          <w:rFonts w:ascii="Arial Narrow" w:eastAsia="Calibri" w:hAnsi="Arial Narrow" w:cs="Calibri"/>
          <w:color w:val="1F497D"/>
          <w:sz w:val="20"/>
          <w:szCs w:val="20"/>
          <w:lang w:val="es-ES"/>
        </w:rPr>
        <w:t xml:space="preserve"> e </w:t>
      </w:r>
      <w:proofErr w:type="spellStart"/>
      <w:r w:rsidRPr="009F5CA1">
        <w:rPr>
          <w:rFonts w:ascii="Arial Narrow" w:eastAsia="Calibri" w:hAnsi="Arial Narrow" w:cs="Calibri"/>
          <w:color w:val="1F497D"/>
          <w:sz w:val="20"/>
          <w:szCs w:val="20"/>
          <w:lang w:val="es-ES"/>
        </w:rPr>
        <w:t>opsioneve</w:t>
      </w:r>
      <w:proofErr w:type="spellEnd"/>
      <w:r w:rsidRPr="009F5CA1">
        <w:rPr>
          <w:rFonts w:ascii="Arial Narrow" w:eastAsia="Calibri" w:hAnsi="Arial Narrow" w:cs="Calibri"/>
          <w:color w:val="1F497D"/>
          <w:sz w:val="20"/>
          <w:szCs w:val="20"/>
          <w:lang w:val="es-ES"/>
        </w:rPr>
        <w:t xml:space="preserve"> </w:t>
      </w:r>
      <w:proofErr w:type="spellStart"/>
      <w:r w:rsidRPr="009F5CA1">
        <w:rPr>
          <w:rFonts w:ascii="Arial Narrow" w:eastAsia="Calibri" w:hAnsi="Arial Narrow" w:cs="Calibri"/>
          <w:color w:val="1F497D"/>
          <w:sz w:val="20"/>
          <w:szCs w:val="20"/>
          <w:lang w:val="es-ES"/>
        </w:rPr>
        <w:t>për</w:t>
      </w:r>
      <w:proofErr w:type="spellEnd"/>
      <w:r w:rsidRPr="009F5CA1">
        <w:rPr>
          <w:rFonts w:ascii="Arial Narrow" w:eastAsia="Calibri" w:hAnsi="Arial Narrow" w:cs="Calibri"/>
          <w:color w:val="1F497D"/>
          <w:sz w:val="20"/>
          <w:szCs w:val="20"/>
          <w:lang w:val="es-ES"/>
        </w:rPr>
        <w:t xml:space="preserve"> </w:t>
      </w:r>
      <w:proofErr w:type="spellStart"/>
      <w:r w:rsidRPr="009F5CA1">
        <w:rPr>
          <w:rFonts w:ascii="Arial Narrow" w:eastAsia="Calibri" w:hAnsi="Arial Narrow" w:cs="Calibri"/>
          <w:color w:val="1F497D"/>
          <w:sz w:val="20"/>
          <w:szCs w:val="20"/>
          <w:lang w:val="es-ES"/>
        </w:rPr>
        <w:t>rikuperimin</w:t>
      </w:r>
      <w:proofErr w:type="spellEnd"/>
      <w:r w:rsidRPr="009F5CA1">
        <w:rPr>
          <w:rFonts w:ascii="Arial Narrow" w:eastAsia="Calibri" w:hAnsi="Arial Narrow" w:cs="Calibri"/>
          <w:color w:val="1F497D"/>
          <w:sz w:val="20"/>
          <w:szCs w:val="20"/>
          <w:lang w:val="es-ES"/>
        </w:rPr>
        <w:t xml:space="preserve"> e </w:t>
      </w:r>
      <w:proofErr w:type="spellStart"/>
      <w:r w:rsidRPr="009F5CA1">
        <w:rPr>
          <w:rFonts w:ascii="Arial Narrow" w:eastAsia="Calibri" w:hAnsi="Arial Narrow" w:cs="Calibri"/>
          <w:color w:val="1F497D"/>
          <w:sz w:val="20"/>
          <w:szCs w:val="20"/>
          <w:lang w:val="es-ES"/>
        </w:rPr>
        <w:t>mbet</w:t>
      </w:r>
      <w:r w:rsidR="004E5557" w:rsidRPr="009F5CA1">
        <w:rPr>
          <w:rFonts w:ascii="Arial Narrow" w:eastAsia="Calibri" w:hAnsi="Arial Narrow" w:cs="Calibri"/>
          <w:color w:val="1F497D"/>
          <w:sz w:val="20"/>
          <w:szCs w:val="20"/>
          <w:lang w:val="es-ES"/>
        </w:rPr>
        <w:t>urinave</w:t>
      </w:r>
      <w:bookmarkEnd w:id="498"/>
      <w:bookmarkEnd w:id="499"/>
      <w:proofErr w:type="spellEnd"/>
    </w:p>
    <w:tbl>
      <w:tblPr>
        <w:tblStyle w:val="TableGrid15"/>
        <w:tblW w:w="0" w:type="auto"/>
        <w:tblLook w:val="04A0" w:firstRow="1" w:lastRow="0" w:firstColumn="1" w:lastColumn="0" w:noHBand="0" w:noVBand="1"/>
      </w:tblPr>
      <w:tblGrid>
        <w:gridCol w:w="3005"/>
        <w:gridCol w:w="3005"/>
        <w:gridCol w:w="3006"/>
      </w:tblGrid>
      <w:tr w:rsidR="00430A79" w:rsidRPr="00430A79" w14:paraId="727E23CD" w14:textId="77777777" w:rsidTr="00750949">
        <w:trPr>
          <w:tblHeader/>
        </w:trPr>
        <w:tc>
          <w:tcPr>
            <w:tcW w:w="3005" w:type="dxa"/>
            <w:shd w:val="clear" w:color="auto" w:fill="365F91"/>
          </w:tcPr>
          <w:p w14:paraId="2FD4C4ED" w14:textId="5279E213" w:rsidR="00430A79" w:rsidRPr="00430A79" w:rsidRDefault="00430A79" w:rsidP="00430A79">
            <w:pPr>
              <w:spacing w:before="60" w:after="60"/>
              <w:rPr>
                <w:rFonts w:ascii="Arial Narrow" w:eastAsia="Aptos" w:hAnsi="Arial Narrow"/>
                <w:b/>
                <w:bCs/>
                <w:color w:val="FFFFFF" w:themeColor="background1"/>
                <w:sz w:val="20"/>
                <w:szCs w:val="20"/>
              </w:rPr>
            </w:pPr>
            <w:r w:rsidRPr="00430A79">
              <w:rPr>
                <w:rFonts w:ascii="Arial Narrow" w:eastAsia="Aptos" w:hAnsi="Arial Narrow"/>
                <w:b/>
                <w:bCs/>
                <w:color w:val="FFFFFF" w:themeColor="background1"/>
                <w:sz w:val="20"/>
                <w:szCs w:val="20"/>
              </w:rPr>
              <w:t>Opsion</w:t>
            </w:r>
            <w:r w:rsidR="004E5557">
              <w:rPr>
                <w:rFonts w:ascii="Arial Narrow" w:eastAsia="Aptos" w:hAnsi="Arial Narrow"/>
                <w:b/>
                <w:bCs/>
                <w:color w:val="FFFFFF" w:themeColor="background1"/>
                <w:sz w:val="20"/>
                <w:szCs w:val="20"/>
              </w:rPr>
              <w:t>i</w:t>
            </w:r>
          </w:p>
        </w:tc>
        <w:tc>
          <w:tcPr>
            <w:tcW w:w="3005" w:type="dxa"/>
            <w:shd w:val="clear" w:color="auto" w:fill="365F91"/>
          </w:tcPr>
          <w:p w14:paraId="109385F4" w14:textId="77777777" w:rsidR="00430A79" w:rsidRPr="00430A79" w:rsidRDefault="00430A79" w:rsidP="00430A79">
            <w:pPr>
              <w:spacing w:before="60" w:after="60"/>
              <w:rPr>
                <w:rFonts w:ascii="Arial Narrow" w:eastAsia="Aptos" w:hAnsi="Arial Narrow"/>
                <w:b/>
                <w:bCs/>
                <w:color w:val="FFFFFF" w:themeColor="background1"/>
                <w:sz w:val="20"/>
                <w:szCs w:val="20"/>
              </w:rPr>
            </w:pPr>
            <w:r w:rsidRPr="00430A79">
              <w:rPr>
                <w:rFonts w:ascii="Arial Narrow" w:eastAsia="Aptos" w:hAnsi="Arial Narrow"/>
                <w:b/>
                <w:bCs/>
                <w:color w:val="FFFFFF" w:themeColor="background1"/>
                <w:sz w:val="20"/>
                <w:szCs w:val="20"/>
              </w:rPr>
              <w:t>Avantazhet</w:t>
            </w:r>
          </w:p>
        </w:tc>
        <w:tc>
          <w:tcPr>
            <w:tcW w:w="3006" w:type="dxa"/>
            <w:shd w:val="clear" w:color="auto" w:fill="365F91"/>
          </w:tcPr>
          <w:p w14:paraId="06868A8E" w14:textId="77777777" w:rsidR="00430A79" w:rsidRPr="00430A79" w:rsidRDefault="00430A79" w:rsidP="00430A79">
            <w:pPr>
              <w:spacing w:before="60" w:after="60"/>
              <w:rPr>
                <w:rFonts w:ascii="Arial Narrow" w:eastAsia="Aptos" w:hAnsi="Arial Narrow"/>
                <w:b/>
                <w:bCs/>
                <w:color w:val="FFFFFF" w:themeColor="background1"/>
                <w:sz w:val="20"/>
                <w:szCs w:val="20"/>
              </w:rPr>
            </w:pPr>
            <w:r w:rsidRPr="00430A79">
              <w:rPr>
                <w:rFonts w:ascii="Arial Narrow" w:eastAsia="Aptos" w:hAnsi="Arial Narrow"/>
                <w:b/>
                <w:bCs/>
                <w:color w:val="FFFFFF" w:themeColor="background1"/>
                <w:sz w:val="20"/>
                <w:szCs w:val="20"/>
              </w:rPr>
              <w:t>Disavantazhet</w:t>
            </w:r>
          </w:p>
        </w:tc>
      </w:tr>
      <w:tr w:rsidR="004E5557" w:rsidRPr="00430A79" w14:paraId="07F0F5F4" w14:textId="77777777" w:rsidTr="00D03949">
        <w:tc>
          <w:tcPr>
            <w:tcW w:w="3005" w:type="dxa"/>
          </w:tcPr>
          <w:p w14:paraId="6C3074D8" w14:textId="64B55262" w:rsidR="004E5557" w:rsidRPr="00430A79" w:rsidRDefault="004E5557" w:rsidP="004E5557">
            <w:pPr>
              <w:spacing w:before="60" w:after="60"/>
              <w:rPr>
                <w:rFonts w:ascii="Arial Narrow" w:eastAsia="Aptos" w:hAnsi="Arial Narrow"/>
                <w:sz w:val="20"/>
                <w:szCs w:val="20"/>
              </w:rPr>
            </w:pPr>
            <w:r w:rsidRPr="00BE2534">
              <w:rPr>
                <w:rFonts w:ascii="Arial Narrow" w:eastAsia="Aptos" w:hAnsi="Arial Narrow"/>
                <w:sz w:val="20"/>
                <w:szCs w:val="20"/>
                <w:lang w:val="sq-AL"/>
              </w:rPr>
              <w:t>Opsioni 1: Objektet e rikuperimit të mbeturinave të menaxhohen nga KDMK</w:t>
            </w:r>
          </w:p>
        </w:tc>
        <w:tc>
          <w:tcPr>
            <w:tcW w:w="3005" w:type="dxa"/>
          </w:tcPr>
          <w:p w14:paraId="2B1F07E9" w14:textId="77777777" w:rsidR="004E5557" w:rsidRPr="00BE2534" w:rsidRDefault="004E5557" w:rsidP="004E5557">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t>Përvojë e disponueshme në menaxhimin e objekteve të menaxhimit të mbeturinave (deponitë dhe një stacion transferi)</w:t>
            </w:r>
          </w:p>
          <w:p w14:paraId="607F3EB3" w14:textId="77777777" w:rsidR="004E5557" w:rsidRPr="00BE2534" w:rsidRDefault="004E5557" w:rsidP="004E5557">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t>Wasje e centralizuar e cila do të çonte në nivelizimin e kostove të shërbimeve në të gjitha komunat</w:t>
            </w:r>
          </w:p>
          <w:p w14:paraId="558A0FD7" w14:textId="0C9536B1" w:rsidR="004E5557" w:rsidRPr="00430A79" w:rsidRDefault="004E5557" w:rsidP="004E5557">
            <w:pPr>
              <w:spacing w:before="60" w:after="60"/>
              <w:rPr>
                <w:rFonts w:ascii="Arial Narrow" w:eastAsia="Aptos" w:hAnsi="Arial Narrow"/>
                <w:sz w:val="20"/>
                <w:szCs w:val="20"/>
              </w:rPr>
            </w:pPr>
            <w:r w:rsidRPr="00BE2534">
              <w:rPr>
                <w:rFonts w:ascii="Arial Narrow" w:eastAsia="Aptos" w:hAnsi="Arial Narrow"/>
                <w:sz w:val="20"/>
                <w:szCs w:val="20"/>
                <w:lang w:val="sq-AL"/>
              </w:rPr>
              <w:t>Më e lehtë për të ndërtuar kapacitetet e nevojshme për funksionimin e objekteve të tilla</w:t>
            </w:r>
          </w:p>
        </w:tc>
        <w:tc>
          <w:tcPr>
            <w:tcW w:w="3006" w:type="dxa"/>
          </w:tcPr>
          <w:p w14:paraId="1F307B9B" w14:textId="77777777" w:rsidR="004E5557" w:rsidRPr="00BE2534" w:rsidRDefault="004E5557" w:rsidP="004E5557">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t>Mungesa e përvojës në menaxhimin e objekteve të rikuperimit të mbeturinave</w:t>
            </w:r>
          </w:p>
          <w:p w14:paraId="73AE7CA7" w14:textId="2202A448" w:rsidR="004E5557" w:rsidRPr="00430A79" w:rsidRDefault="004E5557" w:rsidP="004E5557">
            <w:pPr>
              <w:spacing w:before="60" w:after="60"/>
              <w:rPr>
                <w:rFonts w:ascii="Arial Narrow" w:eastAsia="Aptos" w:hAnsi="Arial Narrow"/>
                <w:sz w:val="20"/>
                <w:szCs w:val="20"/>
              </w:rPr>
            </w:pPr>
            <w:r w:rsidRPr="00BE2534">
              <w:rPr>
                <w:rFonts w:ascii="Arial Narrow" w:eastAsia="Aptos" w:hAnsi="Arial Narrow"/>
                <w:sz w:val="20"/>
                <w:szCs w:val="20"/>
                <w:lang w:val="sq-AL"/>
              </w:rPr>
              <w:t>Kontribuon në krijimin e një monopoli të shërbimeve të menaxhimit të mbeturinave</w:t>
            </w:r>
          </w:p>
        </w:tc>
      </w:tr>
      <w:tr w:rsidR="004E5557" w:rsidRPr="00430A79" w14:paraId="597B8E89" w14:textId="77777777" w:rsidTr="00D03949">
        <w:tc>
          <w:tcPr>
            <w:tcW w:w="3005" w:type="dxa"/>
          </w:tcPr>
          <w:p w14:paraId="421838AE" w14:textId="721A68C1" w:rsidR="004E5557" w:rsidRPr="00430A79" w:rsidRDefault="004E5557" w:rsidP="004E5557">
            <w:pPr>
              <w:spacing w:before="60" w:after="60"/>
              <w:rPr>
                <w:rFonts w:ascii="Arial Narrow" w:eastAsia="Aptos" w:hAnsi="Arial Narrow"/>
                <w:sz w:val="20"/>
                <w:szCs w:val="20"/>
              </w:rPr>
            </w:pPr>
            <w:r w:rsidRPr="00BE2534">
              <w:rPr>
                <w:rFonts w:ascii="Arial Narrow" w:eastAsia="Aptos" w:hAnsi="Arial Narrow"/>
                <w:sz w:val="20"/>
                <w:szCs w:val="20"/>
                <w:lang w:val="sq-AL"/>
              </w:rPr>
              <w:t>Opsioni 2: Objektet për rikuperimin e mbeturinave të menaxhohen nga Komuna e Pejës</w:t>
            </w:r>
          </w:p>
        </w:tc>
        <w:tc>
          <w:tcPr>
            <w:tcW w:w="3005" w:type="dxa"/>
          </w:tcPr>
          <w:p w14:paraId="5DFF4EB2" w14:textId="77777777" w:rsidR="004E5557" w:rsidRPr="00BE2534" w:rsidRDefault="004E5557" w:rsidP="004E5557">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t>Kompanitë publike të disponueshme të cilat mund të ofrojnë shërbimet e rikuperimit të mbeturinave</w:t>
            </w:r>
          </w:p>
          <w:p w14:paraId="4BA34D94" w14:textId="267AD9CF" w:rsidR="004E5557" w:rsidRPr="00430A79" w:rsidRDefault="004E5557" w:rsidP="004E5557">
            <w:pPr>
              <w:spacing w:before="60" w:after="60"/>
              <w:rPr>
                <w:rFonts w:ascii="Arial Narrow" w:eastAsia="Aptos" w:hAnsi="Arial Narrow"/>
                <w:sz w:val="20"/>
                <w:szCs w:val="20"/>
              </w:rPr>
            </w:pPr>
            <w:r w:rsidRPr="00BE2534">
              <w:rPr>
                <w:rFonts w:ascii="Arial Narrow" w:eastAsia="Aptos" w:hAnsi="Arial Narrow"/>
                <w:sz w:val="20"/>
                <w:szCs w:val="20"/>
                <w:lang w:val="sq-AL"/>
              </w:rPr>
              <w:t xml:space="preserve"> </w:t>
            </w:r>
          </w:p>
        </w:tc>
        <w:tc>
          <w:tcPr>
            <w:tcW w:w="3006" w:type="dxa"/>
          </w:tcPr>
          <w:p w14:paraId="486F0718" w14:textId="77777777" w:rsidR="004E5557" w:rsidRPr="00BE2534" w:rsidRDefault="004E5557" w:rsidP="004E5557">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t>Mungesa e përvojës lokale në menaxhimin e objekteve të trajtimit të mbeturinave</w:t>
            </w:r>
          </w:p>
          <w:p w14:paraId="66700AD1" w14:textId="77777777" w:rsidR="004E5557" w:rsidRPr="00BE2534" w:rsidRDefault="004E5557" w:rsidP="004E5557">
            <w:pPr>
              <w:spacing w:before="60" w:after="60"/>
              <w:rPr>
                <w:rFonts w:ascii="Arial Narrow" w:eastAsia="Aptos" w:hAnsi="Arial Narrow"/>
                <w:sz w:val="20"/>
                <w:szCs w:val="20"/>
                <w:lang w:val="sq-AL"/>
              </w:rPr>
            </w:pPr>
            <w:r w:rsidRPr="00BE2534">
              <w:rPr>
                <w:rFonts w:ascii="Arial Narrow" w:eastAsia="Aptos" w:hAnsi="Arial Narrow"/>
                <w:sz w:val="20"/>
                <w:szCs w:val="20"/>
                <w:lang w:val="sq-AL"/>
              </w:rPr>
              <w:t>Modeli i “komunës lider” mund të krijojë mungesë transparence në procedurat e funksionimit dhe tarifimit për komunat e tjera</w:t>
            </w:r>
          </w:p>
          <w:p w14:paraId="06AA9750" w14:textId="735BF1BA" w:rsidR="004E5557" w:rsidRPr="00430A79" w:rsidRDefault="004E5557" w:rsidP="004E5557">
            <w:pPr>
              <w:spacing w:before="60" w:after="60"/>
              <w:rPr>
                <w:rFonts w:ascii="Arial Narrow" w:eastAsia="Aptos" w:hAnsi="Arial Narrow"/>
                <w:sz w:val="20"/>
                <w:szCs w:val="20"/>
              </w:rPr>
            </w:pPr>
            <w:r w:rsidRPr="00BE2534">
              <w:rPr>
                <w:rFonts w:ascii="Arial Narrow" w:eastAsia="Aptos" w:hAnsi="Arial Narrow"/>
                <w:sz w:val="20"/>
                <w:szCs w:val="20"/>
                <w:lang w:val="sq-AL"/>
              </w:rPr>
              <w:lastRenderedPageBreak/>
              <w:t>Mund të mos jetë e lehtë të ndërtohet kapaciteti i KRU-së, nëse ky model zgjidhet nga Komuna e Pejës</w:t>
            </w:r>
          </w:p>
        </w:tc>
      </w:tr>
    </w:tbl>
    <w:p w14:paraId="04835288" w14:textId="77777777" w:rsidR="00E05867" w:rsidRDefault="00E05867" w:rsidP="00430A79">
      <w:pPr>
        <w:rPr>
          <w:rFonts w:ascii="Arial Narrow" w:eastAsia="Aptos" w:hAnsi="Arial Narrow"/>
          <w:kern w:val="2"/>
          <w:sz w:val="22"/>
          <w:szCs w:val="22"/>
          <w14:ligatures w14:val="standardContextual"/>
        </w:rPr>
      </w:pPr>
    </w:p>
    <w:p w14:paraId="7417F9A1" w14:textId="65D9B1AC" w:rsidR="00430A79" w:rsidRDefault="004E5557" w:rsidP="004E5557">
      <w:pPr>
        <w:jc w:val="both"/>
        <w:rPr>
          <w:rFonts w:ascii="Arial Narrow" w:eastAsia="Aptos" w:hAnsi="Arial Narrow"/>
          <w:kern w:val="2"/>
          <w:sz w:val="22"/>
          <w:szCs w:val="22"/>
          <w14:ligatures w14:val="standardContextual"/>
        </w:rPr>
      </w:pPr>
      <w:r w:rsidRPr="00BE2534">
        <w:rPr>
          <w:rFonts w:ascii="Arial Narrow" w:eastAsia="Aptos" w:hAnsi="Arial Narrow"/>
          <w:kern w:val="2"/>
          <w:sz w:val="22"/>
          <w:szCs w:val="22"/>
          <w:lang w:val="sq-AL"/>
          <w14:ligatures w14:val="standardContextual"/>
        </w:rPr>
        <w:t>Objektet e rikuperimit të mbeturinave do të jenë objekte rajonale dhe kjo ka kuptim që një kompani mbirajonale të ketë të drejtë të menaxhojë objekte të tilla,ngjashëm me modelin e menaxhimit të deponive rajonale. Përveç kësaj, SKMIM 2024-2035 rekomandon që KM</w:t>
      </w:r>
      <w:r w:rsidR="002F45E2">
        <w:rPr>
          <w:rFonts w:ascii="Arial Narrow" w:eastAsia="Aptos" w:hAnsi="Arial Narrow"/>
          <w:kern w:val="2"/>
          <w:sz w:val="22"/>
          <w:szCs w:val="22"/>
          <w:lang w:val="sq-AL"/>
          <w14:ligatures w14:val="standardContextual"/>
        </w:rPr>
        <w:t>D</w:t>
      </w:r>
      <w:r w:rsidRPr="00BE2534">
        <w:rPr>
          <w:rFonts w:ascii="Arial Narrow" w:eastAsia="Aptos" w:hAnsi="Arial Narrow"/>
          <w:kern w:val="2"/>
          <w:sz w:val="22"/>
          <w:szCs w:val="22"/>
          <w:lang w:val="sq-AL"/>
          <w14:ligatures w14:val="standardContextual"/>
        </w:rPr>
        <w:t>K-së t'i besohet menaxhimi i objekteve të rikuperimit të mbeturinave në nivel vendi. Do të ishte shumë më e lehtë të forcohej kapaciteti i KM</w:t>
      </w:r>
      <w:r w:rsidR="002F45E2">
        <w:rPr>
          <w:rFonts w:ascii="Arial Narrow" w:eastAsia="Aptos" w:hAnsi="Arial Narrow"/>
          <w:kern w:val="2"/>
          <w:sz w:val="22"/>
          <w:szCs w:val="22"/>
          <w:lang w:val="sq-AL"/>
          <w14:ligatures w14:val="standardContextual"/>
        </w:rPr>
        <w:t>D</w:t>
      </w:r>
      <w:r w:rsidRPr="00BE2534">
        <w:rPr>
          <w:rFonts w:ascii="Arial Narrow" w:eastAsia="Aptos" w:hAnsi="Arial Narrow"/>
          <w:kern w:val="2"/>
          <w:sz w:val="22"/>
          <w:szCs w:val="22"/>
          <w:lang w:val="sq-AL"/>
          <w14:ligatures w14:val="standardContextual"/>
        </w:rPr>
        <w:t>K-së për të menaxhuar të gjitha objektet e rikuperimit të mbeturinave në zona të ndryshme të menaxhimit të mbeturinave në vend. Prandaj, opsioni 1 është i preferuari</w:t>
      </w:r>
      <w:r w:rsidR="00430A79" w:rsidRPr="00430A79">
        <w:rPr>
          <w:rFonts w:ascii="Arial Narrow" w:eastAsia="Aptos" w:hAnsi="Arial Narrow"/>
          <w:kern w:val="2"/>
          <w:sz w:val="22"/>
          <w:szCs w:val="22"/>
          <w14:ligatures w14:val="standardContextual"/>
        </w:rPr>
        <w:t>.</w:t>
      </w:r>
    </w:p>
    <w:p w14:paraId="07482531" w14:textId="77777777" w:rsidR="002F45E2" w:rsidRPr="00430A79" w:rsidRDefault="002F45E2" w:rsidP="004E5557">
      <w:pPr>
        <w:jc w:val="both"/>
        <w:rPr>
          <w:rFonts w:ascii="Arial Narrow" w:eastAsia="Aptos" w:hAnsi="Arial Narrow"/>
          <w:kern w:val="2"/>
          <w:sz w:val="22"/>
          <w:szCs w:val="22"/>
          <w14:ligatures w14:val="standardContextual"/>
        </w:rPr>
      </w:pPr>
    </w:p>
    <w:p w14:paraId="19454D7C" w14:textId="77777777" w:rsidR="00430A79" w:rsidRPr="00430A79" w:rsidRDefault="00430A79" w:rsidP="000D7AD0">
      <w:pPr>
        <w:pStyle w:val="Heading2"/>
      </w:pPr>
      <w:bookmarkStart w:id="500" w:name="_Toc185866150"/>
      <w:bookmarkStart w:id="501" w:name="_Toc197472041"/>
      <w:r w:rsidRPr="00430A79">
        <w:t>Qëndrueshmëria financiare dhe përballueshmëria e shërbimeve</w:t>
      </w:r>
      <w:bookmarkEnd w:id="500"/>
      <w:bookmarkEnd w:id="501"/>
    </w:p>
    <w:p w14:paraId="01A3F9B6" w14:textId="77777777" w:rsidR="002F45E2" w:rsidRDefault="002F45E2" w:rsidP="004E5557">
      <w:pPr>
        <w:jc w:val="both"/>
        <w:rPr>
          <w:rFonts w:ascii="Arial Narrow" w:eastAsia="Calibri" w:hAnsi="Arial Narrow" w:cs="Calibri"/>
          <w:kern w:val="2"/>
          <w:sz w:val="22"/>
          <w:szCs w:val="22"/>
          <w:lang w:val="sq-AL"/>
          <w14:ligatures w14:val="standardContextual"/>
        </w:rPr>
      </w:pPr>
    </w:p>
    <w:p w14:paraId="34B08BFA" w14:textId="75C780C5" w:rsidR="004E5557" w:rsidRPr="00BE2534" w:rsidRDefault="004E5557" w:rsidP="004E5557">
      <w:pPr>
        <w:jc w:val="both"/>
        <w:rPr>
          <w:rFonts w:ascii="Arial Narrow" w:eastAsia="Calibri" w:hAnsi="Arial Narrow" w:cs="Calibri"/>
          <w:kern w:val="2"/>
          <w:sz w:val="22"/>
          <w:szCs w:val="22"/>
          <w:lang w:val="sq-AL"/>
          <w14:ligatures w14:val="standardContextual"/>
        </w:rPr>
      </w:pPr>
      <w:r w:rsidRPr="00BE2534">
        <w:rPr>
          <w:rFonts w:ascii="Arial Narrow" w:eastAsia="Calibri" w:hAnsi="Arial Narrow" w:cs="Calibri"/>
          <w:kern w:val="2"/>
          <w:sz w:val="22"/>
          <w:szCs w:val="22"/>
          <w:lang w:val="sq-AL"/>
          <w14:ligatures w14:val="standardContextual"/>
        </w:rPr>
        <w:t>Sipas nenit 59 të Ligjit për Mbeturina, financimi i shërbimeve të menaxhimit të mbeturinave sigurohet nga tarifat e mbeturinave për gjeneruesit e mbeturinave, si dhe nga burime të tjera si buxhetet komunale, buxheti qendror, grantet.</w:t>
      </w:r>
    </w:p>
    <w:p w14:paraId="73F6B5E2" w14:textId="77777777" w:rsidR="004E5557" w:rsidRPr="00BE2534" w:rsidRDefault="004E5557" w:rsidP="004E5557">
      <w:pPr>
        <w:jc w:val="both"/>
        <w:rPr>
          <w:rFonts w:ascii="Arial Narrow" w:eastAsia="Calibri" w:hAnsi="Arial Narrow" w:cs="Calibri"/>
          <w:kern w:val="2"/>
          <w:sz w:val="22"/>
          <w:szCs w:val="22"/>
          <w:lang w:val="sq-AL"/>
          <w14:ligatures w14:val="standardContextual"/>
        </w:rPr>
      </w:pPr>
    </w:p>
    <w:p w14:paraId="5AAC848E" w14:textId="77777777" w:rsidR="004E5557" w:rsidRPr="00BE2534" w:rsidRDefault="004E5557" w:rsidP="004E5557">
      <w:pPr>
        <w:jc w:val="both"/>
        <w:rPr>
          <w:rFonts w:ascii="Arial Narrow" w:eastAsia="Calibri" w:hAnsi="Arial Narrow" w:cs="Calibri"/>
          <w:kern w:val="2"/>
          <w:sz w:val="22"/>
          <w:szCs w:val="22"/>
          <w:lang w:val="sq-AL"/>
          <w14:ligatures w14:val="standardContextual"/>
        </w:rPr>
      </w:pPr>
      <w:r w:rsidRPr="00BE2534">
        <w:rPr>
          <w:rFonts w:ascii="Arial Narrow" w:eastAsia="Calibri" w:hAnsi="Arial Narrow" w:cs="Calibri"/>
          <w:kern w:val="2"/>
          <w:sz w:val="22"/>
          <w:szCs w:val="22"/>
          <w:lang w:val="sq-AL"/>
          <w14:ligatures w14:val="standardContextual"/>
        </w:rPr>
        <w:t>Financimi i grantit të BE-së sigurohet për (një pjesë) investimet që nuk mund të mbulohen nga tarifat e mbeturinave, duke rritur vazhdimisht pragun e përballueshmërisë. Granti i financuar nga BE kërkon që të hyrat nga tarifat e mbeturinave, të vendosura sipas parimit ‘Ndotësi paguan’ dhe që janë të përballueshme, të mbulojnë të paktën koston operacionale dhe ato të zëvendësimit në të ardhmen. Përballueshmëria lidhet me tarifat vetëm për amvisërinë, derisa entitetet juridike duhet të paguajnë koston e plotë në përpjesëtim me mbeturinat që gjenerojnë.</w:t>
      </w:r>
    </w:p>
    <w:p w14:paraId="27661354" w14:textId="77777777" w:rsidR="004E5557" w:rsidRPr="00BE2534" w:rsidRDefault="004E5557" w:rsidP="004E5557">
      <w:pPr>
        <w:jc w:val="both"/>
        <w:rPr>
          <w:rFonts w:ascii="Arial Narrow" w:eastAsia="Calibri" w:hAnsi="Arial Narrow" w:cs="Calibri"/>
          <w:kern w:val="2"/>
          <w:sz w:val="22"/>
          <w:szCs w:val="22"/>
          <w:lang w:val="sq-AL"/>
          <w14:ligatures w14:val="standardContextual"/>
        </w:rPr>
      </w:pPr>
    </w:p>
    <w:p w14:paraId="12004BE5" w14:textId="77777777" w:rsidR="004E5557" w:rsidRPr="00BE2534" w:rsidRDefault="004E5557" w:rsidP="004E5557">
      <w:pPr>
        <w:jc w:val="both"/>
        <w:rPr>
          <w:rFonts w:ascii="Arial Narrow" w:eastAsia="Calibri" w:hAnsi="Arial Narrow" w:cs="Calibri"/>
          <w:kern w:val="2"/>
          <w:sz w:val="22"/>
          <w:szCs w:val="22"/>
          <w:lang w:val="sq-AL"/>
          <w14:ligatures w14:val="standardContextual"/>
        </w:rPr>
      </w:pPr>
      <w:r w:rsidRPr="00BE2534">
        <w:rPr>
          <w:rFonts w:ascii="Arial Narrow" w:eastAsia="Calibri" w:hAnsi="Arial Narrow" w:cs="Calibri"/>
          <w:kern w:val="2"/>
          <w:sz w:val="22"/>
          <w:szCs w:val="22"/>
          <w:lang w:val="sq-AL"/>
          <w14:ligatures w14:val="standardContextual"/>
        </w:rPr>
        <w:t>P</w:t>
      </w:r>
      <w:r w:rsidRPr="00BE2534">
        <w:rPr>
          <w:rFonts w:ascii="Arial Narrow" w:eastAsia="Calibri" w:hAnsi="Arial Narrow" w:cs="Arial"/>
          <w:kern w:val="2"/>
          <w:sz w:val="22"/>
          <w:szCs w:val="22"/>
          <w:lang w:val="sq-AL"/>
          <w14:ligatures w14:val="standardContextual"/>
        </w:rPr>
        <w:t xml:space="preserve">ërballueshmëria </w:t>
      </w:r>
      <w:r w:rsidRPr="00BE2534">
        <w:rPr>
          <w:rFonts w:ascii="Arial Narrow" w:eastAsia="Calibri" w:hAnsi="Arial Narrow" w:cs="Calibri"/>
          <w:kern w:val="2"/>
          <w:sz w:val="22"/>
          <w:szCs w:val="22"/>
          <w:lang w:val="sq-AL"/>
          <w14:ligatures w14:val="standardContextual"/>
        </w:rPr>
        <w:t xml:space="preserve">përkufizohet si çmimi që popullsia mund </w:t>
      </w:r>
      <w:r w:rsidRPr="00BE2534">
        <w:rPr>
          <w:rFonts w:ascii="Arial Narrow" w:eastAsia="Calibri" w:hAnsi="Arial Narrow" w:cs="Arial"/>
          <w:kern w:val="2"/>
          <w:sz w:val="22"/>
          <w:szCs w:val="22"/>
          <w:lang w:val="sq-AL"/>
          <w14:ligatures w14:val="standardContextual"/>
        </w:rPr>
        <w:t xml:space="preserve">të </w:t>
      </w:r>
      <w:r w:rsidRPr="00BE2534">
        <w:rPr>
          <w:rFonts w:ascii="Arial Narrow" w:eastAsia="Calibri" w:hAnsi="Arial Narrow" w:cs="Calibri"/>
          <w:kern w:val="2"/>
          <w:sz w:val="22"/>
          <w:szCs w:val="22"/>
          <w:lang w:val="sq-AL"/>
          <w14:ligatures w14:val="standardContextual"/>
        </w:rPr>
        <w:t xml:space="preserve">paguajë pa rrezikuar aftësinë për të përmbushur nevojat e tjera bazë. Përballueshmëria është aftësia për të paguar, e cila vlerësohet nga të dhënat statistikore </w:t>
      </w:r>
      <w:r w:rsidRPr="00BE2534">
        <w:rPr>
          <w:rFonts w:ascii="Arial Narrow" w:eastAsia="Calibri" w:hAnsi="Arial Narrow" w:cs="Arial"/>
          <w:kern w:val="2"/>
          <w:sz w:val="22"/>
          <w:szCs w:val="22"/>
          <w:lang w:val="sq-AL"/>
          <w14:ligatures w14:val="standardContextual"/>
        </w:rPr>
        <w:t xml:space="preserve">. </w:t>
      </w:r>
      <w:r w:rsidRPr="00BE2534">
        <w:rPr>
          <w:rFonts w:ascii="Arial Narrow" w:eastAsia="Calibri" w:hAnsi="Arial Narrow" w:cs="Calibri"/>
          <w:kern w:val="2"/>
          <w:sz w:val="22"/>
          <w:szCs w:val="22"/>
          <w:lang w:val="sq-AL"/>
          <w14:ligatures w14:val="standardContextual"/>
        </w:rPr>
        <w:t>Pragjet ei përballueshmërisë zakonisht përcaktohen në lidhje me të ardhurat monetare të disponueshme të familjes</w:t>
      </w:r>
      <w:r w:rsidRPr="00BE2534">
        <w:rPr>
          <w:rFonts w:ascii="Arial Narrow" w:eastAsia="Calibri" w:hAnsi="Arial Narrow" w:cs="Calibri"/>
          <w:kern w:val="2"/>
          <w:sz w:val="22"/>
          <w:szCs w:val="22"/>
          <w:vertAlign w:val="superscript"/>
          <w:lang w:val="sq-AL"/>
          <w14:ligatures w14:val="standardContextual"/>
        </w:rPr>
        <w:footnoteReference w:id="34"/>
      </w:r>
      <w:r w:rsidRPr="00BE2534">
        <w:rPr>
          <w:rFonts w:ascii="Arial Narrow" w:eastAsia="Calibri" w:hAnsi="Arial Narrow" w:cs="Calibri"/>
          <w:kern w:val="2"/>
          <w:sz w:val="22"/>
          <w:szCs w:val="22"/>
          <w:lang w:val="sq-AL"/>
          <w14:ligatures w14:val="standardContextual"/>
        </w:rPr>
        <w:t xml:space="preserve"> (pas taksave dhe pagesave sociale). Në përgjithësi, për ekonomitë me të ardhura mesatare, siç është Kosova ,1% e të ardhurave familjare njihet si një prag i përballueshëm për tarifat e shërbimit të MKI.</w:t>
      </w:r>
    </w:p>
    <w:p w14:paraId="306C4385" w14:textId="77777777" w:rsidR="004E5557" w:rsidRPr="00BE2534" w:rsidRDefault="004E5557" w:rsidP="004E5557">
      <w:pPr>
        <w:jc w:val="both"/>
        <w:rPr>
          <w:rFonts w:ascii="Arial Narrow" w:eastAsia="Calibri" w:hAnsi="Arial Narrow" w:cs="Calibri"/>
          <w:kern w:val="2"/>
          <w:sz w:val="22"/>
          <w:szCs w:val="22"/>
          <w:lang w:val="sq-AL"/>
          <w14:ligatures w14:val="standardContextual"/>
        </w:rPr>
      </w:pPr>
    </w:p>
    <w:p w14:paraId="6F7AF0E0" w14:textId="2B254E9E" w:rsidR="00430A79" w:rsidRPr="00430A79" w:rsidRDefault="004E5557" w:rsidP="004E5557">
      <w:pPr>
        <w:jc w:val="both"/>
        <w:rPr>
          <w:rFonts w:ascii="Arial Narrow" w:eastAsia="Calibri" w:hAnsi="Arial Narrow" w:cs="Calibri"/>
          <w:kern w:val="2"/>
          <w:sz w:val="22"/>
          <w:szCs w:val="22"/>
          <w14:ligatures w14:val="standardContextual"/>
        </w:rPr>
      </w:pPr>
      <w:r w:rsidRPr="00BE2534">
        <w:rPr>
          <w:rFonts w:ascii="Arial Narrow" w:eastAsia="Calibri" w:hAnsi="Arial Narrow" w:cs="Calibri"/>
          <w:kern w:val="2"/>
          <w:sz w:val="22"/>
          <w:szCs w:val="22"/>
          <w:lang w:val="sq-AL"/>
          <w14:ligatures w14:val="standardContextual"/>
        </w:rPr>
        <w:t>ASK bën anketa për shpenzimet e ekonomive familjare, jo për të ardhurat e ekonomive familjare. Duke qenë se të ardhurat shpenzohen ose kursehen, ato janë më të larta se shpenzimet. Kështu, shpenzimet për tarifat e mbeturinave deri në 1% të shpenzimeve të familjeve janë të përballueshme. Anketa e shpenzimeve të ekonomive familjare të ASK-së</w:t>
      </w:r>
      <w:r w:rsidRPr="00BE2534">
        <w:rPr>
          <w:rFonts w:ascii="Arial Narrow" w:eastAsia="Calibri" w:hAnsi="Arial Narrow" w:cs="Calibri"/>
          <w:kern w:val="2"/>
          <w:sz w:val="22"/>
          <w:szCs w:val="22"/>
          <w:vertAlign w:val="superscript"/>
          <w:lang w:val="sq-AL"/>
          <w14:ligatures w14:val="standardContextual"/>
        </w:rPr>
        <w:footnoteReference w:id="35"/>
      </w:r>
      <w:r w:rsidRPr="00BE2534">
        <w:rPr>
          <w:rFonts w:ascii="Arial Narrow" w:eastAsia="Calibri" w:hAnsi="Arial Narrow" w:cs="Calibri"/>
          <w:kern w:val="2"/>
          <w:sz w:val="22"/>
          <w:szCs w:val="22"/>
          <w:lang w:val="sq-AL"/>
          <w14:ligatures w14:val="standardContextual"/>
        </w:rPr>
        <w:t xml:space="preserve"> ka përcaktuar këtë nivel të shpenzimeve në vitin 20</w:t>
      </w:r>
      <w:r>
        <w:rPr>
          <w:rFonts w:ascii="Arial Narrow" w:eastAsia="Calibri" w:hAnsi="Arial Narrow" w:cs="Calibri"/>
          <w:kern w:val="2"/>
          <w:sz w:val="22"/>
          <w:szCs w:val="22"/>
          <w:lang w:val="sq-AL"/>
          <w14:ligatures w14:val="standardContextual"/>
        </w:rPr>
        <w:t>22</w:t>
      </w:r>
      <w:r w:rsidR="00430A79" w:rsidRPr="00430A79">
        <w:rPr>
          <w:rFonts w:ascii="Arial Narrow" w:eastAsia="Calibri" w:hAnsi="Arial Narrow" w:cs="Calibri"/>
          <w:kern w:val="2"/>
          <w:sz w:val="22"/>
          <w:szCs w:val="22"/>
          <w14:ligatures w14:val="standardContextual"/>
        </w:rPr>
        <w:t>:</w:t>
      </w:r>
    </w:p>
    <w:p w14:paraId="5A77B882" w14:textId="77777777" w:rsidR="00430A79" w:rsidRPr="00430A79" w:rsidRDefault="00430A79" w:rsidP="00430A79">
      <w:pPr>
        <w:jc w:val="both"/>
        <w:rPr>
          <w:rFonts w:ascii="Arial Narrow" w:eastAsia="Calibri" w:hAnsi="Arial Narrow" w:cs="Calibri"/>
          <w:kern w:val="2"/>
          <w:sz w:val="22"/>
          <w:szCs w:val="22"/>
          <w14:ligatures w14:val="standardContextual"/>
        </w:rPr>
      </w:pPr>
    </w:p>
    <w:p w14:paraId="3DEE4C3C" w14:textId="30E4BC77" w:rsidR="00430A79" w:rsidRPr="009F5CA1" w:rsidRDefault="00430A79" w:rsidP="00430A79">
      <w:pPr>
        <w:spacing w:after="120"/>
        <w:rPr>
          <w:rFonts w:ascii="Arial Narrow" w:eastAsia="Calibri" w:hAnsi="Arial Narrow" w:cs="Calibri"/>
          <w:color w:val="1F497D"/>
          <w:sz w:val="20"/>
          <w:szCs w:val="20"/>
        </w:rPr>
      </w:pPr>
      <w:bookmarkStart w:id="502" w:name="_Toc185866230"/>
      <w:bookmarkStart w:id="503" w:name="_Toc197472259"/>
      <w:r w:rsidRPr="009F5CA1">
        <w:rPr>
          <w:rFonts w:ascii="Arial Narrow" w:eastAsia="Calibri" w:hAnsi="Arial Narrow" w:cs="Calibri"/>
          <w:color w:val="1F497D"/>
          <w:sz w:val="20"/>
          <w:szCs w:val="20"/>
        </w:rPr>
        <w:t xml:space="preserve">Tabela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rPr>
        <w:t xml:space="preserve">74. </w:t>
      </w:r>
      <w:r w:rsidRPr="00430A79">
        <w:rPr>
          <w:rFonts w:ascii="Arial Narrow" w:eastAsia="Calibri" w:hAnsi="Arial Narrow" w:cs="Calibri"/>
          <w:color w:val="1F497D"/>
          <w:sz w:val="20"/>
          <w:szCs w:val="20"/>
          <w:lang w:val="en-GB"/>
        </w:rPr>
        <w:fldChar w:fldCharType="end"/>
      </w:r>
      <w:r w:rsidRPr="009F5CA1">
        <w:rPr>
          <w:rFonts w:ascii="Arial Narrow" w:eastAsia="Calibri" w:hAnsi="Arial Narrow" w:cs="Calibri"/>
          <w:color w:val="1F497D"/>
          <w:sz w:val="20"/>
          <w:szCs w:val="20"/>
        </w:rPr>
        <w:t>Shpenzimet mesatare vjetore të familje</w:t>
      </w:r>
      <w:r w:rsidR="004E5557" w:rsidRPr="009F5CA1">
        <w:rPr>
          <w:rFonts w:ascii="Arial Narrow" w:eastAsia="Calibri" w:hAnsi="Arial Narrow" w:cs="Calibri"/>
          <w:color w:val="1F497D"/>
          <w:sz w:val="20"/>
          <w:szCs w:val="20"/>
        </w:rPr>
        <w:t>ve</w:t>
      </w:r>
      <w:r w:rsidRPr="009F5CA1">
        <w:rPr>
          <w:rFonts w:ascii="Arial Narrow" w:eastAsia="Calibri" w:hAnsi="Arial Narrow" w:cs="Calibri"/>
          <w:color w:val="1F497D"/>
          <w:sz w:val="20"/>
          <w:szCs w:val="20"/>
        </w:rPr>
        <w:t>, 2022</w:t>
      </w:r>
      <w:bookmarkEnd w:id="502"/>
      <w:bookmarkEnd w:id="503"/>
    </w:p>
    <w:tbl>
      <w:tblPr>
        <w:tblStyle w:val="TableGrid16"/>
        <w:tblW w:w="0" w:type="auto"/>
        <w:tblLook w:val="04A0" w:firstRow="1" w:lastRow="0" w:firstColumn="1" w:lastColumn="0" w:noHBand="0" w:noVBand="1"/>
      </w:tblPr>
      <w:tblGrid>
        <w:gridCol w:w="3114"/>
        <w:gridCol w:w="1843"/>
        <w:gridCol w:w="1805"/>
        <w:gridCol w:w="2254"/>
      </w:tblGrid>
      <w:tr w:rsidR="00430A79" w:rsidRPr="00430A79" w14:paraId="22F82CA9" w14:textId="77777777" w:rsidTr="00D03949">
        <w:tc>
          <w:tcPr>
            <w:tcW w:w="3114" w:type="dxa"/>
            <w:shd w:val="clear" w:color="auto" w:fill="365F91"/>
          </w:tcPr>
          <w:p w14:paraId="79EF810B" w14:textId="77777777" w:rsidR="00430A79" w:rsidRPr="00430A79" w:rsidRDefault="00430A79" w:rsidP="00430A79">
            <w:pPr>
              <w:spacing w:before="40" w:after="40"/>
              <w:jc w:val="center"/>
              <w:rPr>
                <w:rFonts w:ascii="Arial Narrow" w:eastAsia="Calibri" w:hAnsi="Arial Narrow" w:cs="Calibri"/>
                <w:b/>
                <w:bCs/>
                <w:color w:val="FFFFFF" w:themeColor="background1"/>
              </w:rPr>
            </w:pPr>
            <w:r w:rsidRPr="00430A79">
              <w:rPr>
                <w:rFonts w:ascii="Arial Narrow" w:eastAsia="Aptos" w:hAnsi="Arial Narrow" w:cs="Calibri"/>
                <w:b/>
                <w:bCs/>
                <w:color w:val="FFFFFF" w:themeColor="background1"/>
              </w:rPr>
              <w:t>Shpenzimet vjetore</w:t>
            </w:r>
          </w:p>
        </w:tc>
        <w:tc>
          <w:tcPr>
            <w:tcW w:w="1843" w:type="dxa"/>
            <w:shd w:val="clear" w:color="auto" w:fill="365F91"/>
          </w:tcPr>
          <w:p w14:paraId="74368EBC" w14:textId="111CDB67" w:rsidR="00430A79" w:rsidRPr="00430A79" w:rsidRDefault="00430A79" w:rsidP="00430A79">
            <w:pPr>
              <w:spacing w:before="40" w:after="40"/>
              <w:jc w:val="center"/>
              <w:rPr>
                <w:rFonts w:ascii="Arial Narrow" w:eastAsia="Calibri" w:hAnsi="Arial Narrow" w:cs="Calibri"/>
                <w:b/>
                <w:bCs/>
                <w:color w:val="FFFFFF" w:themeColor="background1"/>
              </w:rPr>
            </w:pPr>
            <w:r w:rsidRPr="00430A79">
              <w:rPr>
                <w:rFonts w:ascii="Arial Narrow" w:eastAsia="Aptos" w:hAnsi="Arial Narrow" w:cs="Calibri"/>
                <w:b/>
                <w:bCs/>
                <w:color w:val="FFFFFF" w:themeColor="background1"/>
              </w:rPr>
              <w:t>Mesatar</w:t>
            </w:r>
            <w:r w:rsidR="004E5557">
              <w:rPr>
                <w:rFonts w:ascii="Arial Narrow" w:eastAsia="Aptos" w:hAnsi="Arial Narrow" w:cs="Calibri"/>
                <w:b/>
                <w:bCs/>
                <w:color w:val="FFFFFF" w:themeColor="background1"/>
              </w:rPr>
              <w:t>e</w:t>
            </w:r>
          </w:p>
        </w:tc>
        <w:tc>
          <w:tcPr>
            <w:tcW w:w="1805" w:type="dxa"/>
            <w:shd w:val="clear" w:color="auto" w:fill="365F91"/>
          </w:tcPr>
          <w:p w14:paraId="6C0EB95B" w14:textId="77777777" w:rsidR="00430A79" w:rsidRPr="00430A79" w:rsidRDefault="00430A79" w:rsidP="00430A79">
            <w:pPr>
              <w:spacing w:before="40" w:after="40"/>
              <w:jc w:val="center"/>
              <w:rPr>
                <w:rFonts w:ascii="Arial Narrow" w:eastAsia="Calibri" w:hAnsi="Arial Narrow" w:cs="Calibri"/>
                <w:b/>
                <w:bCs/>
                <w:color w:val="FFFFFF" w:themeColor="background1"/>
              </w:rPr>
            </w:pPr>
            <w:r w:rsidRPr="00430A79">
              <w:rPr>
                <w:rFonts w:ascii="Arial Narrow" w:eastAsia="Aptos" w:hAnsi="Arial Narrow" w:cs="Calibri"/>
                <w:b/>
                <w:bCs/>
                <w:color w:val="FFFFFF" w:themeColor="background1"/>
              </w:rPr>
              <w:t>Zonë urbane</w:t>
            </w:r>
          </w:p>
        </w:tc>
        <w:tc>
          <w:tcPr>
            <w:tcW w:w="2254" w:type="dxa"/>
            <w:shd w:val="clear" w:color="auto" w:fill="365F91"/>
          </w:tcPr>
          <w:p w14:paraId="0BE9CA07" w14:textId="77777777" w:rsidR="00430A79" w:rsidRPr="00430A79" w:rsidRDefault="00430A79" w:rsidP="00430A79">
            <w:pPr>
              <w:spacing w:before="40" w:after="40"/>
              <w:jc w:val="center"/>
              <w:rPr>
                <w:rFonts w:ascii="Arial Narrow" w:eastAsia="Calibri" w:hAnsi="Arial Narrow" w:cs="Calibri"/>
                <w:b/>
                <w:bCs/>
                <w:color w:val="FFFFFF" w:themeColor="background1"/>
              </w:rPr>
            </w:pPr>
            <w:r w:rsidRPr="00430A79">
              <w:rPr>
                <w:rFonts w:ascii="Arial Narrow" w:eastAsia="Aptos" w:hAnsi="Arial Narrow" w:cs="Calibri"/>
                <w:b/>
                <w:bCs/>
                <w:color w:val="FFFFFF" w:themeColor="background1"/>
              </w:rPr>
              <w:t>Zonë rurale</w:t>
            </w:r>
          </w:p>
        </w:tc>
      </w:tr>
      <w:tr w:rsidR="00430A79" w:rsidRPr="00430A79" w14:paraId="032E3C6D" w14:textId="77777777" w:rsidTr="00D03949">
        <w:tc>
          <w:tcPr>
            <w:tcW w:w="3114" w:type="dxa"/>
          </w:tcPr>
          <w:p w14:paraId="25D61920" w14:textId="77777777" w:rsidR="00430A79" w:rsidRPr="00430A79" w:rsidRDefault="00430A79" w:rsidP="00430A79">
            <w:pPr>
              <w:spacing w:before="40" w:after="40"/>
              <w:jc w:val="both"/>
              <w:rPr>
                <w:rFonts w:ascii="Arial Narrow" w:eastAsia="Calibri" w:hAnsi="Arial Narrow" w:cs="Calibri"/>
              </w:rPr>
            </w:pPr>
            <w:r w:rsidRPr="00430A79">
              <w:rPr>
                <w:rFonts w:ascii="Arial Narrow" w:eastAsia="Aptos" w:hAnsi="Arial Narrow" w:cs="Calibri"/>
              </w:rPr>
              <w:t>Familje</w:t>
            </w:r>
          </w:p>
        </w:tc>
        <w:tc>
          <w:tcPr>
            <w:tcW w:w="1843" w:type="dxa"/>
          </w:tcPr>
          <w:p w14:paraId="218EB047" w14:textId="77777777" w:rsidR="00430A79" w:rsidRPr="00430A79" w:rsidRDefault="00430A79" w:rsidP="00430A79">
            <w:pPr>
              <w:spacing w:before="40" w:after="40"/>
              <w:jc w:val="center"/>
              <w:rPr>
                <w:rFonts w:ascii="Arial Narrow" w:eastAsia="Calibri" w:hAnsi="Arial Narrow" w:cs="Calibri"/>
              </w:rPr>
            </w:pPr>
            <w:r w:rsidRPr="00430A79">
              <w:rPr>
                <w:rFonts w:ascii="Arial Narrow" w:eastAsia="Aptos" w:hAnsi="Arial Narrow" w:cs="Calibri"/>
              </w:rPr>
              <w:t>8,106 €</w:t>
            </w:r>
          </w:p>
        </w:tc>
        <w:tc>
          <w:tcPr>
            <w:tcW w:w="1805" w:type="dxa"/>
          </w:tcPr>
          <w:p w14:paraId="7A0D4A7D" w14:textId="77777777" w:rsidR="00430A79" w:rsidRPr="00430A79" w:rsidRDefault="00430A79" w:rsidP="00430A79">
            <w:pPr>
              <w:spacing w:before="40" w:after="40"/>
              <w:jc w:val="center"/>
              <w:rPr>
                <w:rFonts w:ascii="Arial Narrow" w:eastAsia="Calibri" w:hAnsi="Arial Narrow" w:cs="Calibri"/>
              </w:rPr>
            </w:pPr>
            <w:r w:rsidRPr="00430A79">
              <w:rPr>
                <w:rFonts w:ascii="Arial Narrow" w:eastAsia="Aptos" w:hAnsi="Arial Narrow" w:cs="Calibri"/>
              </w:rPr>
              <w:t>8,255 €</w:t>
            </w:r>
          </w:p>
        </w:tc>
        <w:tc>
          <w:tcPr>
            <w:tcW w:w="2254" w:type="dxa"/>
          </w:tcPr>
          <w:p w14:paraId="6AEF8E2D" w14:textId="77777777" w:rsidR="00430A79" w:rsidRPr="00430A79" w:rsidRDefault="00430A79" w:rsidP="00430A79">
            <w:pPr>
              <w:spacing w:before="40" w:after="40"/>
              <w:jc w:val="center"/>
              <w:rPr>
                <w:rFonts w:ascii="Arial Narrow" w:eastAsia="Calibri" w:hAnsi="Arial Narrow" w:cs="Calibri"/>
              </w:rPr>
            </w:pPr>
            <w:r w:rsidRPr="00430A79">
              <w:rPr>
                <w:rFonts w:ascii="Arial Narrow" w:eastAsia="Aptos" w:hAnsi="Arial Narrow" w:cs="Calibri"/>
              </w:rPr>
              <w:t>7,971 €</w:t>
            </w:r>
          </w:p>
        </w:tc>
      </w:tr>
      <w:tr w:rsidR="00430A79" w:rsidRPr="00430A79" w14:paraId="4E9F7378" w14:textId="77777777" w:rsidTr="00D03949">
        <w:tc>
          <w:tcPr>
            <w:tcW w:w="3114" w:type="dxa"/>
          </w:tcPr>
          <w:p w14:paraId="1FD0E09D" w14:textId="77777777" w:rsidR="00430A79" w:rsidRPr="00430A79" w:rsidRDefault="00430A79" w:rsidP="00430A79">
            <w:pPr>
              <w:spacing w:before="40" w:after="40"/>
              <w:jc w:val="both"/>
              <w:rPr>
                <w:rFonts w:ascii="Arial Narrow" w:eastAsia="Calibri" w:hAnsi="Arial Narrow" w:cs="Calibri"/>
              </w:rPr>
            </w:pPr>
            <w:r w:rsidRPr="00430A79">
              <w:rPr>
                <w:rFonts w:ascii="Arial Narrow" w:eastAsia="Aptos" w:hAnsi="Arial Narrow" w:cs="Calibri"/>
              </w:rPr>
              <w:t>Për frymë</w:t>
            </w:r>
          </w:p>
        </w:tc>
        <w:tc>
          <w:tcPr>
            <w:tcW w:w="1843" w:type="dxa"/>
          </w:tcPr>
          <w:p w14:paraId="2B45B7A9" w14:textId="77777777" w:rsidR="00430A79" w:rsidRPr="00430A79" w:rsidRDefault="00430A79" w:rsidP="00430A79">
            <w:pPr>
              <w:spacing w:before="40" w:after="40"/>
              <w:jc w:val="center"/>
              <w:rPr>
                <w:rFonts w:ascii="Arial Narrow" w:eastAsia="Calibri" w:hAnsi="Arial Narrow" w:cs="Calibri"/>
              </w:rPr>
            </w:pPr>
            <w:r w:rsidRPr="00430A79">
              <w:rPr>
                <w:rFonts w:ascii="Arial Narrow" w:eastAsia="Aptos" w:hAnsi="Arial Narrow" w:cs="Calibri"/>
              </w:rPr>
              <w:t>1,903 €</w:t>
            </w:r>
          </w:p>
        </w:tc>
        <w:tc>
          <w:tcPr>
            <w:tcW w:w="1805" w:type="dxa"/>
          </w:tcPr>
          <w:p w14:paraId="2CA3A9F5" w14:textId="77777777" w:rsidR="00430A79" w:rsidRPr="00430A79" w:rsidRDefault="00430A79" w:rsidP="00430A79">
            <w:pPr>
              <w:spacing w:before="40" w:after="40"/>
              <w:jc w:val="center"/>
              <w:rPr>
                <w:rFonts w:ascii="Arial Narrow" w:eastAsia="Calibri" w:hAnsi="Arial Narrow" w:cs="Calibri"/>
              </w:rPr>
            </w:pPr>
            <w:r w:rsidRPr="00430A79">
              <w:rPr>
                <w:rFonts w:ascii="Arial Narrow" w:eastAsia="Aptos" w:hAnsi="Arial Narrow" w:cs="Calibri"/>
              </w:rPr>
              <w:t>2,004 €</w:t>
            </w:r>
          </w:p>
        </w:tc>
        <w:tc>
          <w:tcPr>
            <w:tcW w:w="2254" w:type="dxa"/>
          </w:tcPr>
          <w:p w14:paraId="1DBBF47F" w14:textId="77777777" w:rsidR="00430A79" w:rsidRPr="00430A79" w:rsidRDefault="00430A79" w:rsidP="00430A79">
            <w:pPr>
              <w:spacing w:before="40" w:after="40"/>
              <w:jc w:val="center"/>
              <w:rPr>
                <w:rFonts w:ascii="Arial Narrow" w:eastAsia="Calibri" w:hAnsi="Arial Narrow" w:cs="Calibri"/>
              </w:rPr>
            </w:pPr>
            <w:r w:rsidRPr="00430A79">
              <w:rPr>
                <w:rFonts w:ascii="Arial Narrow" w:eastAsia="Aptos" w:hAnsi="Arial Narrow" w:cs="Calibri"/>
              </w:rPr>
              <w:t>1,817 €</w:t>
            </w:r>
          </w:p>
        </w:tc>
      </w:tr>
    </w:tbl>
    <w:p w14:paraId="561D996F" w14:textId="00C7D0B1" w:rsidR="00430A79" w:rsidRPr="00430A79" w:rsidRDefault="004E5557" w:rsidP="00430A79">
      <w:pPr>
        <w:jc w:val="both"/>
        <w:rPr>
          <w:rFonts w:ascii="Arial Narrow" w:eastAsia="Calibri" w:hAnsi="Arial Narrow" w:cs="Calibri"/>
          <w:kern w:val="2"/>
          <w:sz w:val="22"/>
          <w:szCs w:val="22"/>
          <w14:ligatures w14:val="standardContextual"/>
        </w:rPr>
      </w:pPr>
      <w:r w:rsidRPr="00BE2534">
        <w:rPr>
          <w:rFonts w:ascii="Arial Narrow" w:eastAsia="Calibri" w:hAnsi="Arial Narrow" w:cs="Calibri"/>
          <w:kern w:val="2"/>
          <w:sz w:val="22"/>
          <w:szCs w:val="22"/>
          <w:lang w:val="sq-AL"/>
          <w14:ligatures w14:val="standardContextual"/>
        </w:rPr>
        <w:t>Për një familje mesatare prej 4.3</w:t>
      </w:r>
      <w:r w:rsidRPr="00BE2534">
        <w:rPr>
          <w:rFonts w:ascii="Arial Narrow" w:eastAsia="Calibri" w:hAnsi="Arial Narrow" w:cs="Calibri"/>
          <w:kern w:val="2"/>
          <w:sz w:val="22"/>
          <w:szCs w:val="22"/>
          <w:lang w:val="sq-AL"/>
          <w14:ligatures w14:val="standardContextual"/>
        </w:rPr>
        <w:footnoteReference w:id="36"/>
      </w:r>
      <w:r w:rsidRPr="00BE2534">
        <w:rPr>
          <w:rFonts w:ascii="Arial Narrow" w:eastAsia="Calibri" w:hAnsi="Arial Narrow" w:cs="Calibri"/>
          <w:kern w:val="2"/>
          <w:sz w:val="22"/>
          <w:szCs w:val="22"/>
          <w:lang w:val="sq-AL"/>
          <w14:ligatures w14:val="standardContextual"/>
        </w:rPr>
        <w:t>, tarifa mujore e mbeturinave prej 6.8 € ishte e përballueshme në vitin 2022, që korrespondon me një pagesë mujore prej 1.6 € për person. Përballueshmëria e tarifave të mbeturinave rritet me rritjen e të ardhurave monetare. Mbi bazën e rritjes aktuale të BPV-së për frymë në vitin 2023 (12.3%</w:t>
      </w:r>
      <w:r w:rsidRPr="00BE2534">
        <w:rPr>
          <w:rFonts w:ascii="Arial Narrow" w:eastAsia="Calibri" w:hAnsi="Arial Narrow" w:cs="Calibri"/>
          <w:kern w:val="2"/>
          <w:sz w:val="22"/>
          <w:szCs w:val="22"/>
          <w:vertAlign w:val="superscript"/>
          <w:lang w:val="sq-AL"/>
          <w14:ligatures w14:val="standardContextual"/>
        </w:rPr>
        <w:footnoteReference w:id="37"/>
      </w:r>
      <w:r w:rsidRPr="00BE2534">
        <w:rPr>
          <w:rFonts w:ascii="Arial Narrow" w:eastAsia="Calibri" w:hAnsi="Arial Narrow" w:cs="Calibri"/>
          <w:kern w:val="2"/>
          <w:sz w:val="22"/>
          <w:szCs w:val="22"/>
          <w:vertAlign w:val="superscript"/>
          <w:lang w:val="sq-AL"/>
          <w14:ligatures w14:val="standardContextual"/>
        </w:rPr>
        <w:t xml:space="preserve">) </w:t>
      </w:r>
      <w:r w:rsidRPr="00BE2534">
        <w:rPr>
          <w:rFonts w:ascii="Arial Narrow" w:eastAsia="Calibri" w:hAnsi="Arial Narrow" w:cs="Calibri"/>
          <w:kern w:val="2"/>
          <w:sz w:val="22"/>
          <w:szCs w:val="22"/>
          <w:lang w:val="sq-AL"/>
          <w14:ligatures w14:val="standardContextual"/>
        </w:rPr>
        <w:t xml:space="preserve">dhe </w:t>
      </w:r>
      <w:r w:rsidRPr="00BE2534">
        <w:rPr>
          <w:rFonts w:ascii="Arial Narrow" w:eastAsia="Calibri" w:hAnsi="Arial Narrow" w:cs="Calibri"/>
          <w:kern w:val="2"/>
          <w:sz w:val="22"/>
          <w:szCs w:val="22"/>
          <w:lang w:val="sq-AL"/>
          <w14:ligatures w14:val="standardContextual"/>
        </w:rPr>
        <w:lastRenderedPageBreak/>
        <w:t>vlerësimet për vitin 2024 (6%), dhe mbi supozimin se të ardhurat vjetore të BPV-së reale për frymë do të rriten me 3% (mbi inflacionin) deri në vitin 2035, bëhet parashikimi i mëposhtëm për rritjen konstante të çmimeve të përballueshmërisë së tarifave të mbeturinavederi më 2035 në një kondtante me çmimet e vitit 2024</w:t>
      </w:r>
      <w:r w:rsidR="00430A79" w:rsidRPr="00430A79">
        <w:rPr>
          <w:rFonts w:ascii="Arial Narrow" w:eastAsia="Calibri" w:hAnsi="Arial Narrow" w:cs="Calibri"/>
          <w:kern w:val="2"/>
          <w:sz w:val="22"/>
          <w:szCs w:val="22"/>
          <w14:ligatures w14:val="standardContextual"/>
        </w:rPr>
        <w:t>:</w:t>
      </w:r>
    </w:p>
    <w:p w14:paraId="4894252B" w14:textId="77777777" w:rsidR="00430A79" w:rsidRPr="009F5CA1" w:rsidRDefault="00430A79" w:rsidP="00430A79">
      <w:pPr>
        <w:jc w:val="both"/>
        <w:rPr>
          <w:rFonts w:ascii="Arial Narrow" w:eastAsia="Calibri" w:hAnsi="Arial Narrow" w:cs="Calibri"/>
          <w:kern w:val="2"/>
          <w:sz w:val="22"/>
          <w:szCs w:val="22"/>
          <w:lang w:val="sq-AL"/>
          <w14:ligatures w14:val="standardContextual"/>
        </w:rPr>
      </w:pPr>
    </w:p>
    <w:p w14:paraId="7662C766" w14:textId="3A3D704B" w:rsidR="00430A79" w:rsidRPr="009F5CA1" w:rsidRDefault="00430A79" w:rsidP="00430A79">
      <w:pPr>
        <w:spacing w:after="120"/>
        <w:rPr>
          <w:rFonts w:ascii="Arial Narrow" w:eastAsia="Calibri" w:hAnsi="Arial Narrow" w:cs="Calibri"/>
          <w:color w:val="1F497D"/>
          <w:sz w:val="20"/>
          <w:szCs w:val="20"/>
          <w:lang w:val="sq-AL"/>
        </w:rPr>
      </w:pPr>
      <w:bookmarkStart w:id="504" w:name="_Toc185866231"/>
      <w:bookmarkStart w:id="505" w:name="_Toc197472260"/>
      <w:r w:rsidRPr="009F5CA1">
        <w:rPr>
          <w:rFonts w:ascii="Arial Narrow" w:eastAsia="Calibri" w:hAnsi="Arial Narrow" w:cs="Calibri"/>
          <w:color w:val="1F497D"/>
          <w:sz w:val="20"/>
          <w:szCs w:val="20"/>
          <w:lang w:val="sq-AL"/>
        </w:rPr>
        <w:t xml:space="preserve">Tabela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lang w:val="sq-AL"/>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lang w:val="sq-AL"/>
        </w:rPr>
        <w:t xml:space="preserve">75. </w:t>
      </w:r>
      <w:r w:rsidRPr="00430A79">
        <w:rPr>
          <w:rFonts w:ascii="Arial Narrow" w:eastAsia="Calibri" w:hAnsi="Arial Narrow" w:cs="Calibri"/>
          <w:color w:val="1F497D"/>
          <w:sz w:val="20"/>
          <w:szCs w:val="20"/>
          <w:lang w:val="en-GB"/>
        </w:rPr>
        <w:fldChar w:fldCharType="end"/>
      </w:r>
      <w:r w:rsidRPr="009F5CA1">
        <w:rPr>
          <w:rFonts w:ascii="Arial Narrow" w:eastAsia="Calibri" w:hAnsi="Arial Narrow" w:cs="Calibri"/>
          <w:color w:val="1F497D"/>
          <w:sz w:val="20"/>
          <w:szCs w:val="20"/>
          <w:lang w:val="sq-AL"/>
        </w:rPr>
        <w:t>Parashikimi i përballueshmërisë së tarif</w:t>
      </w:r>
      <w:r w:rsidR="004E5557" w:rsidRPr="009F5CA1">
        <w:rPr>
          <w:rFonts w:ascii="Arial Narrow" w:eastAsia="Calibri" w:hAnsi="Arial Narrow" w:cs="Calibri"/>
          <w:color w:val="1F497D"/>
          <w:sz w:val="20"/>
          <w:szCs w:val="20"/>
          <w:lang w:val="sq-AL"/>
        </w:rPr>
        <w:t>ave të</w:t>
      </w:r>
      <w:r w:rsidRPr="009F5CA1">
        <w:rPr>
          <w:rFonts w:ascii="Arial Narrow" w:eastAsia="Calibri" w:hAnsi="Arial Narrow" w:cs="Calibri"/>
          <w:color w:val="1F497D"/>
          <w:sz w:val="20"/>
          <w:szCs w:val="20"/>
          <w:lang w:val="sq-AL"/>
        </w:rPr>
        <w:t xml:space="preserve"> mbeturinave, çmimet e vitit 2024</w:t>
      </w:r>
      <w:bookmarkEnd w:id="504"/>
      <w:bookmarkEnd w:id="505"/>
    </w:p>
    <w:tbl>
      <w:tblPr>
        <w:tblW w:w="5000" w:type="pct"/>
        <w:tblLook w:val="04A0" w:firstRow="1" w:lastRow="0" w:firstColumn="1" w:lastColumn="0" w:noHBand="0" w:noVBand="1"/>
      </w:tblPr>
      <w:tblGrid>
        <w:gridCol w:w="3642"/>
        <w:gridCol w:w="1177"/>
        <w:gridCol w:w="1556"/>
        <w:gridCol w:w="1161"/>
        <w:gridCol w:w="1480"/>
      </w:tblGrid>
      <w:tr w:rsidR="00430A79" w:rsidRPr="00430A79" w14:paraId="7447BA19" w14:textId="77777777" w:rsidTr="00D03949">
        <w:trPr>
          <w:trHeight w:val="290"/>
          <w:tblHeader/>
        </w:trPr>
        <w:tc>
          <w:tcPr>
            <w:tcW w:w="2019" w:type="pct"/>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468879A8" w14:textId="77777777" w:rsidR="00430A79" w:rsidRPr="00430A79" w:rsidRDefault="00430A79" w:rsidP="00430A79">
            <w:pPr>
              <w:spacing w:before="40" w:after="40"/>
              <w:rPr>
                <w:rFonts w:ascii="Arial Narrow" w:hAnsi="Arial Narrow" w:cs="Calibri"/>
                <w:b/>
                <w:bCs/>
                <w:color w:val="FFFFFF" w:themeColor="background1"/>
                <w:sz w:val="22"/>
                <w:szCs w:val="22"/>
                <w:lang w:val="en-GB" w:eastAsia="en-GB"/>
              </w:rPr>
            </w:pPr>
            <w:r w:rsidRPr="00430A79">
              <w:rPr>
                <w:rFonts w:ascii="Arial Narrow" w:hAnsi="Arial Narrow" w:cs="Calibri"/>
                <w:b/>
                <w:bCs/>
                <w:color w:val="FFFFFF" w:themeColor="background1"/>
                <w:sz w:val="22"/>
                <w:szCs w:val="22"/>
                <w:lang w:val="en-GB" w:eastAsia="en-GB"/>
              </w:rPr>
              <w:t xml:space="preserve">Tarifa e </w:t>
            </w:r>
            <w:proofErr w:type="spellStart"/>
            <w:r w:rsidRPr="00430A79">
              <w:rPr>
                <w:rFonts w:ascii="Arial Narrow" w:hAnsi="Arial Narrow" w:cs="Calibri"/>
                <w:b/>
                <w:bCs/>
                <w:color w:val="FFFFFF" w:themeColor="background1"/>
                <w:sz w:val="22"/>
                <w:szCs w:val="22"/>
                <w:lang w:val="en-GB" w:eastAsia="en-GB"/>
              </w:rPr>
              <w:t>mbeturinave</w:t>
            </w:r>
            <w:proofErr w:type="spellEnd"/>
          </w:p>
        </w:tc>
        <w:tc>
          <w:tcPr>
            <w:tcW w:w="652" w:type="pct"/>
            <w:tcBorders>
              <w:top w:val="single" w:sz="4" w:space="0" w:color="auto"/>
              <w:left w:val="nil"/>
              <w:bottom w:val="single" w:sz="4" w:space="0" w:color="auto"/>
              <w:right w:val="single" w:sz="4" w:space="0" w:color="auto"/>
            </w:tcBorders>
            <w:shd w:val="clear" w:color="auto" w:fill="365F91"/>
            <w:noWrap/>
            <w:vAlign w:val="bottom"/>
            <w:hideMark/>
          </w:tcPr>
          <w:p w14:paraId="7CB0078E" w14:textId="77777777" w:rsidR="00430A79" w:rsidRPr="00430A79" w:rsidRDefault="00430A79" w:rsidP="00430A79">
            <w:pPr>
              <w:spacing w:before="40" w:after="40"/>
              <w:jc w:val="right"/>
              <w:rPr>
                <w:rFonts w:ascii="Arial Narrow" w:hAnsi="Arial Narrow" w:cs="Calibri"/>
                <w:b/>
                <w:bCs/>
                <w:color w:val="FFFFFF" w:themeColor="background1"/>
                <w:sz w:val="22"/>
                <w:szCs w:val="22"/>
                <w:lang w:val="en-GB" w:eastAsia="en-GB"/>
              </w:rPr>
            </w:pPr>
            <w:r w:rsidRPr="00430A79">
              <w:rPr>
                <w:rFonts w:ascii="Arial Narrow" w:hAnsi="Arial Narrow" w:cs="Calibri"/>
                <w:b/>
                <w:bCs/>
                <w:color w:val="FFFFFF" w:themeColor="background1"/>
                <w:sz w:val="22"/>
                <w:szCs w:val="22"/>
                <w:lang w:val="en-GB" w:eastAsia="en-GB"/>
              </w:rPr>
              <w:t>2024</w:t>
            </w:r>
          </w:p>
        </w:tc>
        <w:tc>
          <w:tcPr>
            <w:tcW w:w="863" w:type="pct"/>
            <w:tcBorders>
              <w:top w:val="single" w:sz="4" w:space="0" w:color="auto"/>
              <w:left w:val="nil"/>
              <w:bottom w:val="single" w:sz="4" w:space="0" w:color="auto"/>
              <w:right w:val="single" w:sz="4" w:space="0" w:color="auto"/>
            </w:tcBorders>
            <w:shd w:val="clear" w:color="auto" w:fill="365F91"/>
            <w:noWrap/>
            <w:vAlign w:val="bottom"/>
            <w:hideMark/>
          </w:tcPr>
          <w:p w14:paraId="081ED783" w14:textId="77777777" w:rsidR="00430A79" w:rsidRPr="00430A79" w:rsidRDefault="00430A79" w:rsidP="00430A79">
            <w:pPr>
              <w:spacing w:before="40" w:after="40"/>
              <w:jc w:val="right"/>
              <w:rPr>
                <w:rFonts w:ascii="Arial Narrow" w:hAnsi="Arial Narrow" w:cs="Calibri"/>
                <w:b/>
                <w:bCs/>
                <w:color w:val="FFFFFF" w:themeColor="background1"/>
                <w:sz w:val="22"/>
                <w:szCs w:val="22"/>
                <w:lang w:val="en-GB" w:eastAsia="en-GB"/>
              </w:rPr>
            </w:pPr>
            <w:r w:rsidRPr="00430A79">
              <w:rPr>
                <w:rFonts w:ascii="Arial Narrow" w:hAnsi="Arial Narrow" w:cs="Calibri"/>
                <w:b/>
                <w:bCs/>
                <w:color w:val="FFFFFF" w:themeColor="background1"/>
                <w:sz w:val="22"/>
                <w:szCs w:val="22"/>
                <w:lang w:val="en-GB" w:eastAsia="en-GB"/>
              </w:rPr>
              <w:t>2025</w:t>
            </w:r>
          </w:p>
        </w:tc>
        <w:tc>
          <w:tcPr>
            <w:tcW w:w="644" w:type="pct"/>
            <w:tcBorders>
              <w:top w:val="single" w:sz="4" w:space="0" w:color="auto"/>
              <w:left w:val="nil"/>
              <w:bottom w:val="single" w:sz="4" w:space="0" w:color="auto"/>
              <w:right w:val="single" w:sz="4" w:space="0" w:color="auto"/>
            </w:tcBorders>
            <w:shd w:val="clear" w:color="auto" w:fill="365F91"/>
            <w:noWrap/>
            <w:vAlign w:val="bottom"/>
            <w:hideMark/>
          </w:tcPr>
          <w:p w14:paraId="223E790F" w14:textId="77777777" w:rsidR="00430A79" w:rsidRPr="00430A79" w:rsidRDefault="00430A79" w:rsidP="00430A79">
            <w:pPr>
              <w:spacing w:before="40" w:after="40"/>
              <w:jc w:val="right"/>
              <w:rPr>
                <w:rFonts w:ascii="Arial Narrow" w:hAnsi="Arial Narrow" w:cs="Calibri"/>
                <w:b/>
                <w:bCs/>
                <w:color w:val="FFFFFF" w:themeColor="background1"/>
                <w:sz w:val="22"/>
                <w:szCs w:val="22"/>
                <w:lang w:val="en-GB" w:eastAsia="en-GB"/>
              </w:rPr>
            </w:pPr>
            <w:r w:rsidRPr="00430A79">
              <w:rPr>
                <w:rFonts w:ascii="Arial Narrow" w:hAnsi="Arial Narrow" w:cs="Calibri"/>
                <w:b/>
                <w:bCs/>
                <w:color w:val="FFFFFF" w:themeColor="background1"/>
                <w:sz w:val="22"/>
                <w:szCs w:val="22"/>
                <w:lang w:val="en-GB" w:eastAsia="en-GB"/>
              </w:rPr>
              <w:t>2030</w:t>
            </w:r>
          </w:p>
        </w:tc>
        <w:tc>
          <w:tcPr>
            <w:tcW w:w="821" w:type="pct"/>
            <w:tcBorders>
              <w:top w:val="single" w:sz="4" w:space="0" w:color="auto"/>
              <w:left w:val="nil"/>
              <w:bottom w:val="single" w:sz="4" w:space="0" w:color="auto"/>
              <w:right w:val="single" w:sz="4" w:space="0" w:color="auto"/>
            </w:tcBorders>
            <w:shd w:val="clear" w:color="auto" w:fill="365F91"/>
            <w:noWrap/>
            <w:vAlign w:val="bottom"/>
            <w:hideMark/>
          </w:tcPr>
          <w:p w14:paraId="51B6FE54" w14:textId="77777777" w:rsidR="00430A79" w:rsidRPr="00430A79" w:rsidRDefault="00430A79" w:rsidP="00430A79">
            <w:pPr>
              <w:spacing w:before="40" w:after="40"/>
              <w:jc w:val="right"/>
              <w:rPr>
                <w:rFonts w:ascii="Arial Narrow" w:hAnsi="Arial Narrow" w:cs="Calibri"/>
                <w:b/>
                <w:bCs/>
                <w:color w:val="FFFFFF" w:themeColor="background1"/>
                <w:sz w:val="22"/>
                <w:szCs w:val="22"/>
                <w:lang w:val="en-GB" w:eastAsia="en-GB"/>
              </w:rPr>
            </w:pPr>
            <w:r w:rsidRPr="00430A79">
              <w:rPr>
                <w:rFonts w:ascii="Arial Narrow" w:hAnsi="Arial Narrow" w:cs="Calibri"/>
                <w:b/>
                <w:bCs/>
                <w:color w:val="FFFFFF" w:themeColor="background1"/>
                <w:sz w:val="22"/>
                <w:szCs w:val="22"/>
                <w:lang w:val="en-GB" w:eastAsia="en-GB"/>
              </w:rPr>
              <w:t>2035</w:t>
            </w:r>
          </w:p>
        </w:tc>
      </w:tr>
      <w:tr w:rsidR="00430A79" w:rsidRPr="00430A79" w14:paraId="07E508F4" w14:textId="77777777" w:rsidTr="00D03949">
        <w:trPr>
          <w:trHeight w:val="290"/>
        </w:trPr>
        <w:tc>
          <w:tcPr>
            <w:tcW w:w="2019" w:type="pct"/>
            <w:tcBorders>
              <w:top w:val="nil"/>
              <w:left w:val="single" w:sz="4" w:space="0" w:color="auto"/>
              <w:bottom w:val="single" w:sz="4" w:space="0" w:color="auto"/>
              <w:right w:val="single" w:sz="4" w:space="0" w:color="auto"/>
            </w:tcBorders>
            <w:shd w:val="clear" w:color="auto" w:fill="auto"/>
            <w:noWrap/>
            <w:vAlign w:val="bottom"/>
            <w:hideMark/>
          </w:tcPr>
          <w:p w14:paraId="7EBB4C43" w14:textId="77777777" w:rsidR="00430A79" w:rsidRPr="009F5CA1" w:rsidRDefault="00430A79" w:rsidP="00430A79">
            <w:pPr>
              <w:spacing w:before="40" w:after="40"/>
              <w:rPr>
                <w:rFonts w:ascii="Arial Narrow" w:hAnsi="Arial Narrow" w:cs="Calibri"/>
                <w:sz w:val="22"/>
                <w:szCs w:val="22"/>
                <w:lang w:val="es-ES" w:eastAsia="en-GB"/>
              </w:rPr>
            </w:pPr>
            <w:proofErr w:type="spellStart"/>
            <w:r w:rsidRPr="009F5CA1">
              <w:rPr>
                <w:rFonts w:ascii="Arial Narrow" w:hAnsi="Arial Narrow" w:cs="Calibri"/>
                <w:sz w:val="22"/>
                <w:szCs w:val="22"/>
                <w:lang w:val="es-ES" w:eastAsia="en-GB"/>
              </w:rPr>
              <w:t>Tarifë</w:t>
            </w:r>
            <w:proofErr w:type="spellEnd"/>
            <w:r w:rsidRPr="009F5CA1">
              <w:rPr>
                <w:rFonts w:ascii="Arial Narrow" w:hAnsi="Arial Narrow" w:cs="Calibri"/>
                <w:sz w:val="22"/>
                <w:szCs w:val="22"/>
                <w:lang w:val="es-ES" w:eastAsia="en-GB"/>
              </w:rPr>
              <w:t xml:space="preserve"> </w:t>
            </w:r>
            <w:proofErr w:type="spellStart"/>
            <w:r w:rsidRPr="009F5CA1">
              <w:rPr>
                <w:rFonts w:ascii="Arial Narrow" w:hAnsi="Arial Narrow" w:cs="Calibri"/>
                <w:sz w:val="22"/>
                <w:szCs w:val="22"/>
                <w:lang w:val="es-ES" w:eastAsia="en-GB"/>
              </w:rPr>
              <w:t>mujore</w:t>
            </w:r>
            <w:proofErr w:type="spellEnd"/>
            <w:r w:rsidRPr="009F5CA1">
              <w:rPr>
                <w:rFonts w:ascii="Arial Narrow" w:hAnsi="Arial Narrow" w:cs="Calibri"/>
                <w:sz w:val="22"/>
                <w:szCs w:val="22"/>
                <w:lang w:val="es-ES" w:eastAsia="en-GB"/>
              </w:rPr>
              <w:t xml:space="preserve"> e </w:t>
            </w:r>
            <w:proofErr w:type="spellStart"/>
            <w:r w:rsidRPr="009F5CA1">
              <w:rPr>
                <w:rFonts w:ascii="Arial Narrow" w:hAnsi="Arial Narrow" w:cs="Calibri"/>
                <w:sz w:val="22"/>
                <w:szCs w:val="22"/>
                <w:lang w:val="es-ES" w:eastAsia="en-GB"/>
              </w:rPr>
              <w:t>përballueshme</w:t>
            </w:r>
            <w:proofErr w:type="spellEnd"/>
            <w:r w:rsidRPr="009F5CA1">
              <w:rPr>
                <w:rFonts w:ascii="Arial Narrow" w:hAnsi="Arial Narrow" w:cs="Calibri"/>
                <w:sz w:val="22"/>
                <w:szCs w:val="22"/>
                <w:lang w:val="es-ES" w:eastAsia="en-GB"/>
              </w:rPr>
              <w:t xml:space="preserve"> </w:t>
            </w:r>
            <w:proofErr w:type="spellStart"/>
            <w:r w:rsidRPr="009F5CA1">
              <w:rPr>
                <w:rFonts w:ascii="Arial Narrow" w:hAnsi="Arial Narrow" w:cs="Calibri"/>
                <w:sz w:val="22"/>
                <w:szCs w:val="22"/>
                <w:lang w:val="es-ES" w:eastAsia="en-GB"/>
              </w:rPr>
              <w:t>për</w:t>
            </w:r>
            <w:proofErr w:type="spellEnd"/>
            <w:r w:rsidRPr="009F5CA1">
              <w:rPr>
                <w:rFonts w:ascii="Arial Narrow" w:hAnsi="Arial Narrow" w:cs="Calibri"/>
                <w:sz w:val="22"/>
                <w:szCs w:val="22"/>
                <w:lang w:val="es-ES" w:eastAsia="en-GB"/>
              </w:rPr>
              <w:t xml:space="preserve"> </w:t>
            </w:r>
            <w:proofErr w:type="spellStart"/>
            <w:r w:rsidRPr="009F5CA1">
              <w:rPr>
                <w:rFonts w:ascii="Arial Narrow" w:hAnsi="Arial Narrow" w:cs="Calibri"/>
                <w:sz w:val="22"/>
                <w:szCs w:val="22"/>
                <w:lang w:val="es-ES" w:eastAsia="en-GB"/>
              </w:rPr>
              <w:t>familje</w:t>
            </w:r>
            <w:proofErr w:type="spellEnd"/>
          </w:p>
        </w:tc>
        <w:tc>
          <w:tcPr>
            <w:tcW w:w="652" w:type="pct"/>
            <w:tcBorders>
              <w:top w:val="nil"/>
              <w:left w:val="nil"/>
              <w:bottom w:val="single" w:sz="4" w:space="0" w:color="auto"/>
              <w:right w:val="single" w:sz="4" w:space="0" w:color="auto"/>
            </w:tcBorders>
            <w:shd w:val="clear" w:color="auto" w:fill="auto"/>
            <w:noWrap/>
            <w:vAlign w:val="bottom"/>
            <w:hideMark/>
          </w:tcPr>
          <w:p w14:paraId="726997DA"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8.0 €</w:t>
            </w:r>
          </w:p>
        </w:tc>
        <w:tc>
          <w:tcPr>
            <w:tcW w:w="863" w:type="pct"/>
            <w:tcBorders>
              <w:top w:val="nil"/>
              <w:left w:val="nil"/>
              <w:bottom w:val="single" w:sz="4" w:space="0" w:color="auto"/>
              <w:right w:val="single" w:sz="4" w:space="0" w:color="auto"/>
            </w:tcBorders>
            <w:shd w:val="clear" w:color="auto" w:fill="auto"/>
            <w:noWrap/>
            <w:vAlign w:val="bottom"/>
            <w:hideMark/>
          </w:tcPr>
          <w:p w14:paraId="57F38D97"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8.5 €</w:t>
            </w:r>
          </w:p>
        </w:tc>
        <w:tc>
          <w:tcPr>
            <w:tcW w:w="644" w:type="pct"/>
            <w:tcBorders>
              <w:top w:val="nil"/>
              <w:left w:val="nil"/>
              <w:bottom w:val="single" w:sz="4" w:space="0" w:color="auto"/>
              <w:right w:val="single" w:sz="4" w:space="0" w:color="auto"/>
            </w:tcBorders>
            <w:shd w:val="clear" w:color="auto" w:fill="auto"/>
            <w:noWrap/>
            <w:vAlign w:val="bottom"/>
            <w:hideMark/>
          </w:tcPr>
          <w:p w14:paraId="358BBC63"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9.6 €</w:t>
            </w:r>
          </w:p>
        </w:tc>
        <w:tc>
          <w:tcPr>
            <w:tcW w:w="821" w:type="pct"/>
            <w:tcBorders>
              <w:top w:val="nil"/>
              <w:left w:val="nil"/>
              <w:bottom w:val="single" w:sz="4" w:space="0" w:color="auto"/>
              <w:right w:val="single" w:sz="4" w:space="0" w:color="auto"/>
            </w:tcBorders>
            <w:shd w:val="clear" w:color="auto" w:fill="auto"/>
            <w:noWrap/>
            <w:vAlign w:val="bottom"/>
            <w:hideMark/>
          </w:tcPr>
          <w:p w14:paraId="4CC6F655"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11.1 €</w:t>
            </w:r>
          </w:p>
        </w:tc>
      </w:tr>
      <w:tr w:rsidR="00430A79" w:rsidRPr="00430A79" w14:paraId="0ECB6820" w14:textId="77777777" w:rsidTr="00D03949">
        <w:trPr>
          <w:trHeight w:val="290"/>
        </w:trPr>
        <w:tc>
          <w:tcPr>
            <w:tcW w:w="2019" w:type="pct"/>
            <w:tcBorders>
              <w:top w:val="nil"/>
              <w:left w:val="single" w:sz="4" w:space="0" w:color="auto"/>
              <w:bottom w:val="single" w:sz="4" w:space="0" w:color="auto"/>
              <w:right w:val="single" w:sz="4" w:space="0" w:color="auto"/>
            </w:tcBorders>
            <w:shd w:val="clear" w:color="auto" w:fill="auto"/>
            <w:noWrap/>
            <w:vAlign w:val="bottom"/>
            <w:hideMark/>
          </w:tcPr>
          <w:p w14:paraId="78952598" w14:textId="77777777" w:rsidR="00430A79" w:rsidRPr="009F5CA1" w:rsidRDefault="00430A79" w:rsidP="00430A79">
            <w:pPr>
              <w:spacing w:before="40" w:after="40"/>
              <w:rPr>
                <w:rFonts w:ascii="Arial Narrow" w:hAnsi="Arial Narrow" w:cs="Calibri"/>
                <w:sz w:val="22"/>
                <w:szCs w:val="22"/>
                <w:lang w:val="es-ES" w:eastAsia="en-GB"/>
              </w:rPr>
            </w:pPr>
            <w:proofErr w:type="spellStart"/>
            <w:r w:rsidRPr="009F5CA1">
              <w:rPr>
                <w:rFonts w:ascii="Arial Narrow" w:hAnsi="Arial Narrow" w:cs="Calibri"/>
                <w:sz w:val="22"/>
                <w:szCs w:val="22"/>
                <w:lang w:val="es-ES" w:eastAsia="en-GB"/>
              </w:rPr>
              <w:t>Tarifë</w:t>
            </w:r>
            <w:proofErr w:type="spellEnd"/>
            <w:r w:rsidRPr="009F5CA1">
              <w:rPr>
                <w:rFonts w:ascii="Arial Narrow" w:hAnsi="Arial Narrow" w:cs="Calibri"/>
                <w:sz w:val="22"/>
                <w:szCs w:val="22"/>
                <w:lang w:val="es-ES" w:eastAsia="en-GB"/>
              </w:rPr>
              <w:t xml:space="preserve"> </w:t>
            </w:r>
            <w:proofErr w:type="spellStart"/>
            <w:r w:rsidRPr="009F5CA1">
              <w:rPr>
                <w:rFonts w:ascii="Arial Narrow" w:hAnsi="Arial Narrow" w:cs="Calibri"/>
                <w:sz w:val="22"/>
                <w:szCs w:val="22"/>
                <w:lang w:val="es-ES" w:eastAsia="en-GB"/>
              </w:rPr>
              <w:t>mujore</w:t>
            </w:r>
            <w:proofErr w:type="spellEnd"/>
            <w:r w:rsidRPr="009F5CA1">
              <w:rPr>
                <w:rFonts w:ascii="Arial Narrow" w:hAnsi="Arial Narrow" w:cs="Calibri"/>
                <w:sz w:val="22"/>
                <w:szCs w:val="22"/>
                <w:lang w:val="es-ES" w:eastAsia="en-GB"/>
              </w:rPr>
              <w:t xml:space="preserve"> e </w:t>
            </w:r>
            <w:proofErr w:type="spellStart"/>
            <w:r w:rsidRPr="009F5CA1">
              <w:rPr>
                <w:rFonts w:ascii="Arial Narrow" w:hAnsi="Arial Narrow" w:cs="Calibri"/>
                <w:sz w:val="22"/>
                <w:szCs w:val="22"/>
                <w:lang w:val="es-ES" w:eastAsia="en-GB"/>
              </w:rPr>
              <w:t>përballueshme</w:t>
            </w:r>
            <w:proofErr w:type="spellEnd"/>
            <w:r w:rsidRPr="009F5CA1">
              <w:rPr>
                <w:rFonts w:ascii="Arial Narrow" w:hAnsi="Arial Narrow" w:cs="Calibri"/>
                <w:sz w:val="22"/>
                <w:szCs w:val="22"/>
                <w:lang w:val="es-ES" w:eastAsia="en-GB"/>
              </w:rPr>
              <w:t xml:space="preserve"> </w:t>
            </w:r>
            <w:proofErr w:type="spellStart"/>
            <w:r w:rsidRPr="009F5CA1">
              <w:rPr>
                <w:rFonts w:ascii="Arial Narrow" w:hAnsi="Arial Narrow" w:cs="Calibri"/>
                <w:sz w:val="22"/>
                <w:szCs w:val="22"/>
                <w:lang w:val="es-ES" w:eastAsia="en-GB"/>
              </w:rPr>
              <w:t>për</w:t>
            </w:r>
            <w:proofErr w:type="spellEnd"/>
            <w:r w:rsidRPr="009F5CA1">
              <w:rPr>
                <w:rFonts w:ascii="Arial Narrow" w:hAnsi="Arial Narrow" w:cs="Calibri"/>
                <w:sz w:val="22"/>
                <w:szCs w:val="22"/>
                <w:lang w:val="es-ES" w:eastAsia="en-GB"/>
              </w:rPr>
              <w:t xml:space="preserve"> </w:t>
            </w:r>
            <w:proofErr w:type="spellStart"/>
            <w:r w:rsidRPr="009F5CA1">
              <w:rPr>
                <w:rFonts w:ascii="Arial Narrow" w:hAnsi="Arial Narrow" w:cs="Calibri"/>
                <w:sz w:val="22"/>
                <w:szCs w:val="22"/>
                <w:lang w:val="es-ES" w:eastAsia="en-GB"/>
              </w:rPr>
              <w:t>person</w:t>
            </w:r>
            <w:proofErr w:type="spellEnd"/>
          </w:p>
        </w:tc>
        <w:tc>
          <w:tcPr>
            <w:tcW w:w="652" w:type="pct"/>
            <w:tcBorders>
              <w:top w:val="nil"/>
              <w:left w:val="nil"/>
              <w:bottom w:val="single" w:sz="4" w:space="0" w:color="auto"/>
              <w:right w:val="single" w:sz="4" w:space="0" w:color="auto"/>
            </w:tcBorders>
            <w:shd w:val="clear" w:color="auto" w:fill="auto"/>
            <w:noWrap/>
            <w:vAlign w:val="bottom"/>
            <w:hideMark/>
          </w:tcPr>
          <w:p w14:paraId="0CD037D3"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1.9 €</w:t>
            </w:r>
          </w:p>
        </w:tc>
        <w:tc>
          <w:tcPr>
            <w:tcW w:w="863" w:type="pct"/>
            <w:tcBorders>
              <w:top w:val="nil"/>
              <w:left w:val="nil"/>
              <w:bottom w:val="single" w:sz="4" w:space="0" w:color="auto"/>
              <w:right w:val="single" w:sz="4" w:space="0" w:color="auto"/>
            </w:tcBorders>
            <w:shd w:val="clear" w:color="auto" w:fill="auto"/>
            <w:noWrap/>
            <w:vAlign w:val="bottom"/>
            <w:hideMark/>
          </w:tcPr>
          <w:p w14:paraId="2AFA5A04"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2.0 €</w:t>
            </w:r>
          </w:p>
        </w:tc>
        <w:tc>
          <w:tcPr>
            <w:tcW w:w="644" w:type="pct"/>
            <w:tcBorders>
              <w:top w:val="nil"/>
              <w:left w:val="nil"/>
              <w:bottom w:val="single" w:sz="4" w:space="0" w:color="auto"/>
              <w:right w:val="single" w:sz="4" w:space="0" w:color="auto"/>
            </w:tcBorders>
            <w:shd w:val="clear" w:color="auto" w:fill="auto"/>
            <w:noWrap/>
            <w:vAlign w:val="bottom"/>
            <w:hideMark/>
          </w:tcPr>
          <w:p w14:paraId="615C266A"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2.3 €</w:t>
            </w:r>
          </w:p>
        </w:tc>
        <w:tc>
          <w:tcPr>
            <w:tcW w:w="821" w:type="pct"/>
            <w:tcBorders>
              <w:top w:val="nil"/>
              <w:left w:val="nil"/>
              <w:bottom w:val="single" w:sz="4" w:space="0" w:color="auto"/>
              <w:right w:val="single" w:sz="4" w:space="0" w:color="auto"/>
            </w:tcBorders>
            <w:shd w:val="clear" w:color="auto" w:fill="auto"/>
            <w:noWrap/>
            <w:vAlign w:val="bottom"/>
            <w:hideMark/>
          </w:tcPr>
          <w:p w14:paraId="273A9DFB"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2.6 €</w:t>
            </w:r>
          </w:p>
        </w:tc>
      </w:tr>
    </w:tbl>
    <w:p w14:paraId="2B2A740C" w14:textId="77777777" w:rsidR="004E5557" w:rsidRDefault="004E5557" w:rsidP="00430A79">
      <w:pPr>
        <w:jc w:val="both"/>
        <w:rPr>
          <w:rFonts w:ascii="Arial Narrow" w:eastAsia="Calibri" w:hAnsi="Arial Narrow" w:cs="Calibri"/>
          <w:kern w:val="2"/>
          <w:sz w:val="22"/>
          <w:szCs w:val="22"/>
          <w:lang w:val="en-GB"/>
          <w14:ligatures w14:val="standardContextual"/>
        </w:rPr>
      </w:pPr>
    </w:p>
    <w:p w14:paraId="2C66411C" w14:textId="526A6C9B" w:rsidR="00430A79" w:rsidRPr="00430A79" w:rsidRDefault="004E5557" w:rsidP="00430A79">
      <w:pPr>
        <w:jc w:val="both"/>
        <w:rPr>
          <w:rFonts w:ascii="Arial Narrow" w:eastAsia="Calibri" w:hAnsi="Arial Narrow" w:cs="Calibri"/>
          <w:kern w:val="2"/>
          <w:sz w:val="22"/>
          <w:szCs w:val="22"/>
          <w:lang w:val="en-GB"/>
          <w14:ligatures w14:val="standardContextual"/>
        </w:rPr>
      </w:pPr>
      <w:r w:rsidRPr="00BE2534">
        <w:rPr>
          <w:rFonts w:ascii="Arial Narrow" w:eastAsia="Calibri" w:hAnsi="Arial Narrow" w:cs="Calibri"/>
          <w:kern w:val="2"/>
          <w:sz w:val="22"/>
          <w:szCs w:val="22"/>
          <w:lang w:val="sq-AL"/>
          <w14:ligatures w14:val="standardContextual"/>
        </w:rPr>
        <w:t>Për shkak të tendencës për zvogëlimin e madhësisë së familjes, tarifa për person duhet të jetë ajo kryesore për përcaktimin e përballueshmërisë së shërbimit</w:t>
      </w:r>
      <w:r w:rsidR="00430A79" w:rsidRPr="00430A79">
        <w:rPr>
          <w:rFonts w:ascii="Arial Narrow" w:eastAsia="Calibri" w:hAnsi="Arial Narrow" w:cs="Calibri"/>
          <w:kern w:val="2"/>
          <w:sz w:val="22"/>
          <w:szCs w:val="22"/>
          <w:lang w:val="en-GB"/>
          <w14:ligatures w14:val="standardContextual"/>
        </w:rPr>
        <w:t>.</w:t>
      </w:r>
    </w:p>
    <w:p w14:paraId="69DC8C76" w14:textId="77777777" w:rsidR="00430A79" w:rsidRPr="00430A79" w:rsidRDefault="00430A79" w:rsidP="00430A79">
      <w:pPr>
        <w:jc w:val="both"/>
        <w:rPr>
          <w:rFonts w:ascii="Arial Narrow" w:eastAsia="Calibri" w:hAnsi="Arial Narrow" w:cs="Calibri"/>
          <w:kern w:val="2"/>
          <w:sz w:val="22"/>
          <w:szCs w:val="22"/>
          <w14:ligatures w14:val="standardContextual"/>
        </w:rPr>
      </w:pPr>
    </w:p>
    <w:p w14:paraId="21747D2B" w14:textId="77777777" w:rsidR="004E5557" w:rsidRPr="00BE2534" w:rsidRDefault="004E5557" w:rsidP="004E5557">
      <w:pPr>
        <w:jc w:val="both"/>
        <w:rPr>
          <w:rFonts w:ascii="Arial Narrow" w:eastAsia="Aptos" w:hAnsi="Arial Narrow" w:cs="Calibri"/>
          <w:sz w:val="22"/>
          <w:szCs w:val="22"/>
          <w:lang w:val="sq-AL"/>
        </w:rPr>
      </w:pPr>
      <w:r w:rsidRPr="00BE2534">
        <w:rPr>
          <w:rFonts w:ascii="Arial Narrow" w:eastAsia="Aptos" w:hAnsi="Arial Narrow" w:cs="Calibri"/>
          <w:sz w:val="22"/>
          <w:szCs w:val="22"/>
          <w:lang w:val="sq-AL"/>
        </w:rPr>
        <w:t xml:space="preserve">Burimi i financimit të deponisë dhe investimi fillestar i objekteve të rikuperimit të ardhshëm, burimi i financimit të grumbullimit </w:t>
      </w:r>
      <w:r>
        <w:rPr>
          <w:rFonts w:ascii="Arial Narrow" w:eastAsia="Aptos" w:hAnsi="Arial Narrow" w:cs="Calibri"/>
          <w:sz w:val="22"/>
          <w:szCs w:val="22"/>
          <w:lang w:val="sq-AL"/>
        </w:rPr>
        <w:t>ndaras</w:t>
      </w:r>
      <w:r w:rsidRPr="00BE2534">
        <w:rPr>
          <w:rFonts w:ascii="Arial Narrow" w:eastAsia="Aptos" w:hAnsi="Arial Narrow" w:cs="Calibri"/>
          <w:sz w:val="22"/>
          <w:szCs w:val="22"/>
          <w:lang w:val="sq-AL"/>
        </w:rPr>
        <w:t xml:space="preserve"> i materialeve të riciklueshme dhe kostoja neto e klasifikimit (pas shitjes së lëndëve të riciklueshme) kanë ndikimin kryesor në kostot dhe përballueshmërinë e sistemit për menaxhimin e mbeturinave të përziera. Kostot e opsioneve 1 (stacioni i transferit vetëm për Istogun ), 1a (3 stacione transferi për të gjitha komunat) dhe opsioni 3 (2 stacione transferi për 3 komuna) janë pothuajse të njëjta, megjithatë opsioni 3 është opsioni me kosto më të ulët për arritjen e objektivave të strategjisë shtetërore për mbeturina.</w:t>
      </w:r>
    </w:p>
    <w:p w14:paraId="0CF29B96" w14:textId="77777777" w:rsidR="004E5557" w:rsidRPr="00BE2534" w:rsidRDefault="004E5557" w:rsidP="004E5557">
      <w:pPr>
        <w:jc w:val="both"/>
        <w:rPr>
          <w:rFonts w:ascii="Arial Narrow" w:eastAsia="Aptos" w:hAnsi="Arial Narrow" w:cs="Calibri"/>
          <w:sz w:val="22"/>
          <w:szCs w:val="22"/>
          <w:lang w:val="sq-AL"/>
        </w:rPr>
      </w:pPr>
    </w:p>
    <w:p w14:paraId="52478F79" w14:textId="77777777" w:rsidR="004E5557" w:rsidRPr="00BE2534" w:rsidRDefault="004E5557" w:rsidP="004E5557">
      <w:pPr>
        <w:jc w:val="both"/>
        <w:rPr>
          <w:rFonts w:ascii="Arial Narrow" w:eastAsia="Aptos" w:hAnsi="Arial Narrow" w:cs="Calibri"/>
          <w:sz w:val="22"/>
          <w:szCs w:val="22"/>
          <w:lang w:val="sq-AL"/>
        </w:rPr>
      </w:pPr>
      <w:r w:rsidRPr="00BE2534">
        <w:rPr>
          <w:rFonts w:ascii="Arial Narrow" w:eastAsia="Aptos" w:hAnsi="Arial Narrow" w:cs="Calibri"/>
          <w:sz w:val="22"/>
          <w:szCs w:val="22"/>
          <w:lang w:val="sq-AL"/>
        </w:rPr>
        <w:t>Tabela e mëposhtme paraqet koston e plotë të opsionit 3, në krahasim me koston e sistemit me investimin fillestar të grantit në objektet rajonale të rikuperimit dhe deponimit, dhe më tej në lidhje me një sistem me PZP në vend. Kostot janë dhënë drejt vitit 2035, kur do të vendoset sistemi i plotë, ,me çmimet e vitit 2024</w:t>
      </w:r>
      <w:r w:rsidRPr="00BE2534">
        <w:rPr>
          <w:rFonts w:ascii="Arial Narrow" w:eastAsia="Aptos" w:hAnsi="Arial Narrow" w:cs="Calibri"/>
          <w:sz w:val="22"/>
          <w:szCs w:val="22"/>
          <w:vertAlign w:val="superscript"/>
          <w:lang w:val="sq-AL"/>
        </w:rPr>
        <w:footnoteReference w:id="38"/>
      </w:r>
      <w:r w:rsidRPr="00BE2534">
        <w:rPr>
          <w:rFonts w:ascii="Arial Narrow" w:eastAsia="Aptos" w:hAnsi="Arial Narrow" w:cs="Calibri"/>
          <w:sz w:val="22"/>
          <w:szCs w:val="22"/>
          <w:lang w:val="sq-AL"/>
        </w:rPr>
        <w:t>, në lidhje me mbeturinat e grumbulluara</w:t>
      </w:r>
      <w:r w:rsidRPr="00BE2534">
        <w:rPr>
          <w:rFonts w:ascii="Arial Narrow" w:eastAsia="Aptos" w:hAnsi="Arial Narrow" w:cs="Calibri"/>
          <w:sz w:val="22"/>
          <w:szCs w:val="22"/>
          <w:vertAlign w:val="superscript"/>
          <w:lang w:val="sq-AL"/>
        </w:rPr>
        <w:footnoteReference w:id="39"/>
      </w:r>
      <w:r w:rsidRPr="00BE2534">
        <w:rPr>
          <w:rFonts w:ascii="Arial Narrow" w:eastAsia="Aptos" w:hAnsi="Arial Narrow" w:cs="Calibri"/>
          <w:sz w:val="22"/>
          <w:szCs w:val="22"/>
          <w:lang w:val="sq-AL"/>
        </w:rPr>
        <w:t>.</w:t>
      </w:r>
    </w:p>
    <w:p w14:paraId="61F9F78F" w14:textId="77777777" w:rsidR="00430A79" w:rsidRDefault="00430A79" w:rsidP="00430A79">
      <w:pPr>
        <w:rPr>
          <w:rFonts w:ascii="Arial Narrow" w:eastAsia="Calibri" w:hAnsi="Arial Narrow" w:cs="Calibri"/>
          <w:kern w:val="2"/>
          <w:sz w:val="22"/>
          <w:szCs w:val="22"/>
          <w14:ligatures w14:val="standardContextual"/>
        </w:rPr>
      </w:pPr>
    </w:p>
    <w:p w14:paraId="4D9B0D6D" w14:textId="6726EFB3" w:rsidR="00430A79" w:rsidRPr="00430A79" w:rsidRDefault="00430A79" w:rsidP="00430A79">
      <w:pPr>
        <w:spacing w:after="120"/>
        <w:rPr>
          <w:rFonts w:ascii="Arial Narrow" w:eastAsia="Calibri" w:hAnsi="Arial Narrow" w:cs="Calibri"/>
          <w:color w:val="1F497D"/>
          <w:sz w:val="20"/>
          <w:szCs w:val="20"/>
          <w:lang w:val="en-GB"/>
        </w:rPr>
      </w:pPr>
      <w:bookmarkStart w:id="506" w:name="_Toc185866232"/>
      <w:bookmarkStart w:id="507" w:name="_Toc197472261"/>
      <w:proofErr w:type="spellStart"/>
      <w:r w:rsidRPr="00430A79">
        <w:rPr>
          <w:rFonts w:ascii="Arial Narrow" w:eastAsia="Calibri" w:hAnsi="Arial Narrow" w:cs="Calibri"/>
          <w:color w:val="1F497D"/>
          <w:sz w:val="20"/>
          <w:szCs w:val="20"/>
          <w:lang w:val="en-GB"/>
        </w:rPr>
        <w:t>Tabela</w:t>
      </w:r>
      <w:proofErr w:type="spellEnd"/>
      <w:r w:rsidRPr="00430A79">
        <w:rPr>
          <w:rFonts w:ascii="Arial Narrow" w:eastAsia="Calibri" w:hAnsi="Arial Narrow" w:cs="Calibri"/>
          <w:color w:val="1F497D"/>
          <w:sz w:val="20"/>
          <w:szCs w:val="20"/>
          <w:lang w:val="en-GB"/>
        </w:rPr>
        <w:t xml:space="preserve"> </w:t>
      </w:r>
      <w:r w:rsidRPr="00430A79">
        <w:rPr>
          <w:rFonts w:ascii="Arial Narrow" w:eastAsia="Calibri" w:hAnsi="Arial Narrow" w:cs="Calibri"/>
          <w:color w:val="1F497D"/>
          <w:sz w:val="20"/>
          <w:szCs w:val="20"/>
          <w:lang w:val="en-GB"/>
        </w:rPr>
        <w:fldChar w:fldCharType="begin"/>
      </w:r>
      <w:r w:rsidRPr="00430A79">
        <w:rPr>
          <w:rFonts w:ascii="Arial Narrow" w:eastAsia="Calibri" w:hAnsi="Arial Narrow" w:cs="Calibri"/>
          <w:color w:val="1F497D"/>
          <w:sz w:val="20"/>
          <w:szCs w:val="20"/>
          <w:lang w:val="en-GB"/>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Pr>
          <w:rFonts w:ascii="Arial Narrow" w:eastAsia="Calibri" w:hAnsi="Arial Narrow" w:cs="Calibri"/>
          <w:noProof/>
          <w:color w:val="1F497D"/>
          <w:sz w:val="20"/>
          <w:szCs w:val="20"/>
          <w:lang w:val="en-GB"/>
        </w:rPr>
        <w:t xml:space="preserve">76. </w:t>
      </w:r>
      <w:r w:rsidRPr="00430A79">
        <w:rPr>
          <w:rFonts w:ascii="Arial Narrow" w:eastAsia="Calibri" w:hAnsi="Arial Narrow" w:cs="Calibri"/>
          <w:color w:val="1F497D"/>
          <w:sz w:val="20"/>
          <w:szCs w:val="20"/>
          <w:lang w:val="en-GB"/>
        </w:rPr>
        <w:fldChar w:fldCharType="end"/>
      </w:r>
      <w:r w:rsidRPr="00430A79">
        <w:rPr>
          <w:rFonts w:ascii="Arial Narrow" w:eastAsia="Calibri" w:hAnsi="Arial Narrow" w:cs="Calibri"/>
          <w:color w:val="1F497D"/>
          <w:sz w:val="20"/>
          <w:szCs w:val="20"/>
          <w:lang w:val="en-GB"/>
        </w:rPr>
        <w:t>Tarifa</w:t>
      </w:r>
      <w:r w:rsidR="004E5557">
        <w:rPr>
          <w:rFonts w:ascii="Arial Narrow" w:eastAsia="Calibri" w:hAnsi="Arial Narrow" w:cs="Calibri"/>
          <w:color w:val="1F497D"/>
          <w:sz w:val="20"/>
          <w:szCs w:val="20"/>
          <w:lang w:val="en-GB"/>
        </w:rPr>
        <w:t xml:space="preserve"> e</w:t>
      </w:r>
      <w:r w:rsidRPr="00430A79">
        <w:rPr>
          <w:rFonts w:ascii="Arial Narrow" w:eastAsia="Calibri" w:hAnsi="Arial Narrow" w:cs="Calibri"/>
          <w:color w:val="1F497D"/>
          <w:sz w:val="20"/>
          <w:szCs w:val="20"/>
          <w:lang w:val="en-GB"/>
        </w:rPr>
        <w:t xml:space="preserve"> </w:t>
      </w:r>
      <w:proofErr w:type="spellStart"/>
      <w:r w:rsidR="004E5557">
        <w:rPr>
          <w:rFonts w:ascii="Arial Narrow" w:eastAsia="Calibri" w:hAnsi="Arial Narrow" w:cs="Calibri"/>
          <w:color w:val="1F497D"/>
          <w:sz w:val="20"/>
          <w:szCs w:val="20"/>
          <w:lang w:val="en-GB"/>
        </w:rPr>
        <w:t>kostos</w:t>
      </w:r>
      <w:proofErr w:type="spellEnd"/>
      <w:r w:rsidR="004E5557">
        <w:rPr>
          <w:rFonts w:ascii="Arial Narrow" w:eastAsia="Calibri" w:hAnsi="Arial Narrow" w:cs="Calibri"/>
          <w:color w:val="1F497D"/>
          <w:sz w:val="20"/>
          <w:szCs w:val="20"/>
          <w:lang w:val="en-GB"/>
        </w:rPr>
        <w:t xml:space="preserve"> </w:t>
      </w:r>
      <w:proofErr w:type="spellStart"/>
      <w:r w:rsidR="004E5557">
        <w:rPr>
          <w:rFonts w:ascii="Arial Narrow" w:eastAsia="Calibri" w:hAnsi="Arial Narrow" w:cs="Calibri"/>
          <w:color w:val="1F497D"/>
          <w:sz w:val="20"/>
          <w:szCs w:val="20"/>
          <w:lang w:val="en-GB"/>
        </w:rPr>
        <w:t>mesatare</w:t>
      </w:r>
      <w:proofErr w:type="spellEnd"/>
      <w:r w:rsidR="004E5557">
        <w:rPr>
          <w:rFonts w:ascii="Arial Narrow" w:eastAsia="Calibri" w:hAnsi="Arial Narrow" w:cs="Calibri"/>
          <w:color w:val="1F497D"/>
          <w:sz w:val="20"/>
          <w:szCs w:val="20"/>
          <w:lang w:val="en-GB"/>
        </w:rPr>
        <w:t xml:space="preserve"> </w:t>
      </w:r>
      <w:proofErr w:type="spellStart"/>
      <w:r w:rsidR="004E5557">
        <w:rPr>
          <w:rFonts w:ascii="Arial Narrow" w:eastAsia="Calibri" w:hAnsi="Arial Narrow" w:cs="Calibri"/>
          <w:color w:val="1F497D"/>
          <w:sz w:val="20"/>
          <w:szCs w:val="20"/>
          <w:lang w:val="en-GB"/>
        </w:rPr>
        <w:t>të</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rikuperimit</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drejt</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vitit</w:t>
      </w:r>
      <w:proofErr w:type="spellEnd"/>
      <w:r w:rsidRPr="00430A79">
        <w:rPr>
          <w:rFonts w:ascii="Arial Narrow" w:eastAsia="Calibri" w:hAnsi="Arial Narrow" w:cs="Calibri"/>
          <w:color w:val="1F497D"/>
          <w:sz w:val="20"/>
          <w:szCs w:val="20"/>
          <w:lang w:val="en-GB"/>
        </w:rPr>
        <w:t xml:space="preserve"> 2035, </w:t>
      </w:r>
      <w:proofErr w:type="spellStart"/>
      <w:r w:rsidRPr="00430A79">
        <w:rPr>
          <w:rFonts w:ascii="Arial Narrow" w:eastAsia="Calibri" w:hAnsi="Arial Narrow" w:cs="Calibri"/>
          <w:color w:val="1F497D"/>
          <w:sz w:val="20"/>
          <w:szCs w:val="20"/>
          <w:lang w:val="en-GB"/>
        </w:rPr>
        <w:t>çmimet</w:t>
      </w:r>
      <w:proofErr w:type="spellEnd"/>
      <w:r w:rsidRPr="00430A79">
        <w:rPr>
          <w:rFonts w:ascii="Arial Narrow" w:eastAsia="Calibri" w:hAnsi="Arial Narrow" w:cs="Calibri"/>
          <w:color w:val="1F497D"/>
          <w:sz w:val="20"/>
          <w:szCs w:val="20"/>
          <w:lang w:val="en-GB"/>
        </w:rPr>
        <w:t xml:space="preserve"> e </w:t>
      </w:r>
      <w:proofErr w:type="spellStart"/>
      <w:r w:rsidRPr="00430A79">
        <w:rPr>
          <w:rFonts w:ascii="Arial Narrow" w:eastAsia="Calibri" w:hAnsi="Arial Narrow" w:cs="Calibri"/>
          <w:color w:val="1F497D"/>
          <w:sz w:val="20"/>
          <w:szCs w:val="20"/>
          <w:lang w:val="en-GB"/>
        </w:rPr>
        <w:t>vitit</w:t>
      </w:r>
      <w:proofErr w:type="spellEnd"/>
      <w:r w:rsidRPr="00430A79">
        <w:rPr>
          <w:rFonts w:ascii="Arial Narrow" w:eastAsia="Calibri" w:hAnsi="Arial Narrow" w:cs="Calibri"/>
          <w:color w:val="1F497D"/>
          <w:sz w:val="20"/>
          <w:szCs w:val="20"/>
          <w:lang w:val="en-GB"/>
        </w:rPr>
        <w:t xml:space="preserve"> 2024</w:t>
      </w:r>
      <w:bookmarkEnd w:id="506"/>
      <w:bookmarkEnd w:id="507"/>
    </w:p>
    <w:tbl>
      <w:tblPr>
        <w:tblStyle w:val="TableGrid16"/>
        <w:tblW w:w="0" w:type="auto"/>
        <w:tblLook w:val="04A0" w:firstRow="1" w:lastRow="0" w:firstColumn="1" w:lastColumn="0" w:noHBand="0" w:noVBand="1"/>
      </w:tblPr>
      <w:tblGrid>
        <w:gridCol w:w="5542"/>
        <w:gridCol w:w="1279"/>
        <w:gridCol w:w="1125"/>
        <w:gridCol w:w="1070"/>
      </w:tblGrid>
      <w:tr w:rsidR="00430A79" w:rsidRPr="00430A79" w14:paraId="63EEFEBA" w14:textId="77777777" w:rsidTr="00B93549">
        <w:trPr>
          <w:tblHeader/>
        </w:trPr>
        <w:tc>
          <w:tcPr>
            <w:tcW w:w="5542" w:type="dxa"/>
            <w:shd w:val="clear" w:color="auto" w:fill="365F91"/>
          </w:tcPr>
          <w:p w14:paraId="505EFEB1" w14:textId="37EBC47D" w:rsidR="00430A79" w:rsidRPr="00430A79" w:rsidRDefault="004E5557" w:rsidP="00430A79">
            <w:pPr>
              <w:spacing w:before="40" w:after="40"/>
              <w:rPr>
                <w:rFonts w:ascii="Arial Narrow" w:eastAsia="Calibri" w:hAnsi="Arial Narrow" w:cs="Calibri"/>
                <w:b/>
                <w:bCs/>
                <w:color w:val="FFFFFF" w:themeColor="background1"/>
              </w:rPr>
            </w:pPr>
            <w:r>
              <w:rPr>
                <w:rFonts w:ascii="Arial Narrow" w:eastAsia="Calibri" w:hAnsi="Arial Narrow" w:cs="Calibri"/>
                <w:b/>
                <w:bCs/>
                <w:color w:val="FFFFFF" w:themeColor="background1"/>
              </w:rPr>
              <w:t xml:space="preserve">Përbërësit e </w:t>
            </w:r>
            <w:r w:rsidR="00430A79" w:rsidRPr="00430A79">
              <w:rPr>
                <w:rFonts w:ascii="Arial Narrow" w:eastAsia="Calibri" w:hAnsi="Arial Narrow" w:cs="Calibri"/>
                <w:b/>
                <w:bCs/>
                <w:color w:val="FFFFFF" w:themeColor="background1"/>
              </w:rPr>
              <w:t>Kostos</w:t>
            </w:r>
          </w:p>
        </w:tc>
        <w:tc>
          <w:tcPr>
            <w:tcW w:w="1279" w:type="dxa"/>
            <w:shd w:val="clear" w:color="auto" w:fill="365F91"/>
          </w:tcPr>
          <w:p w14:paraId="675D9BF3" w14:textId="77777777" w:rsidR="00430A79" w:rsidRPr="00430A79" w:rsidRDefault="00430A79" w:rsidP="00430A79">
            <w:pPr>
              <w:spacing w:before="40" w:after="40"/>
              <w:rPr>
                <w:rFonts w:ascii="Arial Narrow" w:eastAsia="Calibri" w:hAnsi="Arial Narrow" w:cs="Calibri"/>
                <w:b/>
                <w:bCs/>
                <w:color w:val="FFFFFF" w:themeColor="background1"/>
              </w:rPr>
            </w:pPr>
            <w:r w:rsidRPr="00430A79">
              <w:rPr>
                <w:rFonts w:ascii="Arial Narrow" w:eastAsia="Calibri" w:hAnsi="Arial Narrow" w:cs="Calibri"/>
                <w:b/>
                <w:bCs/>
                <w:color w:val="FFFFFF" w:themeColor="background1"/>
              </w:rPr>
              <w:t>Rimëkëmbje e plotë e kostos</w:t>
            </w:r>
          </w:p>
        </w:tc>
        <w:tc>
          <w:tcPr>
            <w:tcW w:w="1125" w:type="dxa"/>
            <w:shd w:val="clear" w:color="auto" w:fill="365F91"/>
          </w:tcPr>
          <w:p w14:paraId="0D349657" w14:textId="77777777" w:rsidR="00430A79" w:rsidRPr="00430A79" w:rsidRDefault="00430A79" w:rsidP="00430A79">
            <w:pPr>
              <w:spacing w:before="40" w:after="40"/>
              <w:rPr>
                <w:rFonts w:ascii="Arial Narrow" w:eastAsia="Calibri" w:hAnsi="Arial Narrow" w:cs="Calibri"/>
                <w:b/>
                <w:bCs/>
                <w:color w:val="FFFFFF" w:themeColor="background1"/>
              </w:rPr>
            </w:pPr>
            <w:r w:rsidRPr="00430A79">
              <w:rPr>
                <w:rFonts w:ascii="Arial Narrow" w:eastAsia="Calibri" w:hAnsi="Arial Narrow" w:cs="Calibri"/>
                <w:b/>
                <w:bCs/>
                <w:color w:val="FFFFFF" w:themeColor="background1"/>
              </w:rPr>
              <w:t>Me grantin fillestar</w:t>
            </w:r>
          </w:p>
        </w:tc>
        <w:tc>
          <w:tcPr>
            <w:tcW w:w="1070" w:type="dxa"/>
            <w:shd w:val="clear" w:color="auto" w:fill="365F91"/>
          </w:tcPr>
          <w:p w14:paraId="35785203" w14:textId="3CD69E14" w:rsidR="00430A79" w:rsidRPr="00430A79" w:rsidRDefault="00430A79" w:rsidP="00430A79">
            <w:pPr>
              <w:spacing w:before="40" w:after="40"/>
              <w:rPr>
                <w:rFonts w:ascii="Arial Narrow" w:eastAsia="Calibri" w:hAnsi="Arial Narrow" w:cs="Calibri"/>
                <w:b/>
                <w:bCs/>
                <w:color w:val="FFFFFF" w:themeColor="background1"/>
              </w:rPr>
            </w:pPr>
            <w:r w:rsidRPr="00430A79">
              <w:rPr>
                <w:rFonts w:ascii="Arial Narrow" w:eastAsia="Calibri" w:hAnsi="Arial Narrow" w:cs="Calibri"/>
                <w:b/>
                <w:bCs/>
                <w:color w:val="FFFFFF" w:themeColor="background1"/>
              </w:rPr>
              <w:t xml:space="preserve">Me grant dhe </w:t>
            </w:r>
            <w:r w:rsidR="004E5557">
              <w:rPr>
                <w:rFonts w:ascii="Arial Narrow" w:eastAsia="Calibri" w:hAnsi="Arial Narrow" w:cs="Calibri"/>
                <w:b/>
                <w:bCs/>
                <w:color w:val="FFFFFF" w:themeColor="background1"/>
              </w:rPr>
              <w:t>PZP</w:t>
            </w:r>
          </w:p>
        </w:tc>
      </w:tr>
      <w:tr w:rsidR="00B93549" w:rsidRPr="00430A79" w14:paraId="214B6C82" w14:textId="77777777" w:rsidTr="00B93549">
        <w:tc>
          <w:tcPr>
            <w:tcW w:w="5542" w:type="dxa"/>
            <w:vAlign w:val="bottom"/>
          </w:tcPr>
          <w:p w14:paraId="62AF03E7" w14:textId="60B4C796" w:rsidR="00B93549" w:rsidRPr="00430A79" w:rsidRDefault="00B93549" w:rsidP="00B93549">
            <w:pPr>
              <w:spacing w:before="40" w:after="40"/>
              <w:rPr>
                <w:rFonts w:ascii="Arial Narrow" w:eastAsia="Calibri" w:hAnsi="Arial Narrow" w:cs="Calibri"/>
              </w:rPr>
            </w:pPr>
            <w:r w:rsidRPr="00BE2534">
              <w:rPr>
                <w:rFonts w:ascii="Arial Narrow" w:eastAsia="Aptos" w:hAnsi="Arial Narrow" w:cs="Calibri"/>
                <w:lang w:val="sq-AL"/>
              </w:rPr>
              <w:t>Gr</w:t>
            </w:r>
            <w:r>
              <w:rPr>
                <w:rFonts w:ascii="Arial Narrow" w:eastAsia="Aptos" w:hAnsi="Arial Narrow" w:cs="Calibri"/>
                <w:lang w:val="sq-AL"/>
              </w:rPr>
              <w:t>u</w:t>
            </w:r>
            <w:r w:rsidRPr="00BE2534">
              <w:rPr>
                <w:rFonts w:ascii="Arial Narrow" w:eastAsia="Aptos" w:hAnsi="Arial Narrow" w:cs="Calibri"/>
                <w:lang w:val="sq-AL"/>
              </w:rPr>
              <w:t>mbullimi i mbeturinave të përziera me kosto të plotë për ton të mbeturinave të mbledhura</w:t>
            </w:r>
          </w:p>
        </w:tc>
        <w:tc>
          <w:tcPr>
            <w:tcW w:w="1279" w:type="dxa"/>
            <w:vAlign w:val="bottom"/>
          </w:tcPr>
          <w:p w14:paraId="6F35A90E" w14:textId="135B38E4" w:rsidR="00B93549" w:rsidRPr="00430A79" w:rsidRDefault="00B93549" w:rsidP="00B93549">
            <w:pPr>
              <w:spacing w:before="40" w:after="40"/>
              <w:rPr>
                <w:rFonts w:ascii="Arial Narrow" w:eastAsia="Calibri" w:hAnsi="Arial Narrow" w:cs="Calibri"/>
              </w:rPr>
            </w:pPr>
            <w:r w:rsidRPr="00430A79">
              <w:rPr>
                <w:rFonts w:ascii="Arial Narrow" w:hAnsi="Arial Narrow" w:cs="Calibri"/>
              </w:rPr>
              <w:t>46 €/t</w:t>
            </w:r>
          </w:p>
        </w:tc>
        <w:tc>
          <w:tcPr>
            <w:tcW w:w="1125" w:type="dxa"/>
            <w:vAlign w:val="bottom"/>
          </w:tcPr>
          <w:p w14:paraId="78A36CC0" w14:textId="30E599C0" w:rsidR="00B93549" w:rsidRPr="00430A79" w:rsidRDefault="00B93549" w:rsidP="00B93549">
            <w:pPr>
              <w:spacing w:before="40" w:after="40"/>
              <w:rPr>
                <w:rFonts w:ascii="Arial Narrow" w:eastAsia="Calibri" w:hAnsi="Arial Narrow" w:cs="Calibri"/>
              </w:rPr>
            </w:pPr>
            <w:r w:rsidRPr="00430A79">
              <w:rPr>
                <w:rFonts w:ascii="Arial Narrow" w:hAnsi="Arial Narrow" w:cs="Calibri"/>
              </w:rPr>
              <w:t>46 €/t</w:t>
            </w:r>
          </w:p>
        </w:tc>
        <w:tc>
          <w:tcPr>
            <w:tcW w:w="1070" w:type="dxa"/>
            <w:vAlign w:val="bottom"/>
          </w:tcPr>
          <w:p w14:paraId="30900CE5" w14:textId="317A02AB" w:rsidR="00B93549" w:rsidRPr="00430A79" w:rsidRDefault="00B93549" w:rsidP="00B93549">
            <w:pPr>
              <w:spacing w:before="40" w:after="40"/>
              <w:rPr>
                <w:rFonts w:ascii="Arial Narrow" w:eastAsia="Calibri" w:hAnsi="Arial Narrow" w:cs="Calibri"/>
              </w:rPr>
            </w:pPr>
            <w:r w:rsidRPr="00430A79">
              <w:rPr>
                <w:rFonts w:ascii="Arial Narrow" w:hAnsi="Arial Narrow" w:cs="Calibri"/>
              </w:rPr>
              <w:t>46 €/t</w:t>
            </w:r>
          </w:p>
        </w:tc>
      </w:tr>
      <w:tr w:rsidR="00B93549" w:rsidRPr="00430A79" w14:paraId="59795288" w14:textId="77777777" w:rsidTr="00B93549">
        <w:tc>
          <w:tcPr>
            <w:tcW w:w="5542" w:type="dxa"/>
            <w:vAlign w:val="bottom"/>
          </w:tcPr>
          <w:p w14:paraId="658E7D5C" w14:textId="153C3ACB" w:rsidR="00B93549" w:rsidRPr="00430A79" w:rsidRDefault="00B93549" w:rsidP="00B93549">
            <w:pPr>
              <w:spacing w:before="40" w:after="40"/>
              <w:rPr>
                <w:rFonts w:ascii="Arial Narrow" w:eastAsia="Calibri" w:hAnsi="Arial Narrow" w:cs="Calibri"/>
              </w:rPr>
            </w:pPr>
            <w:r w:rsidRPr="00BE2534">
              <w:rPr>
                <w:rFonts w:ascii="Arial Narrow" w:eastAsia="Aptos" w:hAnsi="Arial Narrow" w:cs="Calibri"/>
                <w:lang w:val="sq-AL"/>
              </w:rPr>
              <w:t xml:space="preserve">Kostoja neto e grumbullimit </w:t>
            </w:r>
            <w:r>
              <w:rPr>
                <w:rFonts w:ascii="Arial Narrow" w:eastAsia="Aptos" w:hAnsi="Arial Narrow" w:cs="Calibri"/>
                <w:lang w:val="sq-AL"/>
              </w:rPr>
              <w:t>ndaras</w:t>
            </w:r>
            <w:r w:rsidRPr="00BE2534">
              <w:rPr>
                <w:rFonts w:ascii="Arial Narrow" w:eastAsia="Aptos" w:hAnsi="Arial Narrow" w:cs="Calibri"/>
                <w:lang w:val="sq-AL"/>
              </w:rPr>
              <w:t xml:space="preserve"> dhe klasifikimit (më pak të hyra nga shitjet)</w:t>
            </w:r>
          </w:p>
        </w:tc>
        <w:tc>
          <w:tcPr>
            <w:tcW w:w="1279" w:type="dxa"/>
            <w:vAlign w:val="bottom"/>
          </w:tcPr>
          <w:p w14:paraId="266C0CDD" w14:textId="28DA9DC5" w:rsidR="00B93549" w:rsidRPr="00430A79" w:rsidRDefault="00B93549" w:rsidP="00B93549">
            <w:pPr>
              <w:spacing w:before="40" w:after="40"/>
              <w:rPr>
                <w:rFonts w:ascii="Arial Narrow" w:eastAsia="Calibri" w:hAnsi="Arial Narrow" w:cs="Calibri"/>
              </w:rPr>
            </w:pPr>
            <w:r w:rsidRPr="00430A79">
              <w:rPr>
                <w:rFonts w:ascii="Arial Narrow" w:hAnsi="Arial Narrow" w:cs="Calibri"/>
              </w:rPr>
              <w:t>11 €/t</w:t>
            </w:r>
          </w:p>
        </w:tc>
        <w:tc>
          <w:tcPr>
            <w:tcW w:w="1125" w:type="dxa"/>
            <w:vAlign w:val="bottom"/>
          </w:tcPr>
          <w:p w14:paraId="1A3636FB" w14:textId="0BBC4DB7" w:rsidR="00B93549" w:rsidRPr="00430A79" w:rsidRDefault="00B93549" w:rsidP="00B93549">
            <w:pPr>
              <w:spacing w:before="40" w:after="40"/>
              <w:rPr>
                <w:rFonts w:ascii="Arial Narrow" w:eastAsia="Calibri" w:hAnsi="Arial Narrow" w:cs="Calibri"/>
              </w:rPr>
            </w:pPr>
            <w:r w:rsidRPr="00430A79">
              <w:rPr>
                <w:rFonts w:ascii="Arial Narrow" w:hAnsi="Arial Narrow" w:cs="Calibri"/>
              </w:rPr>
              <w:t>11 €/t</w:t>
            </w:r>
          </w:p>
        </w:tc>
        <w:tc>
          <w:tcPr>
            <w:tcW w:w="1070" w:type="dxa"/>
            <w:vAlign w:val="bottom"/>
          </w:tcPr>
          <w:p w14:paraId="2CE7F39B" w14:textId="77777777" w:rsidR="00B93549" w:rsidRPr="00430A79" w:rsidRDefault="00B93549" w:rsidP="00B93549">
            <w:pPr>
              <w:spacing w:before="40" w:after="40"/>
              <w:rPr>
                <w:rFonts w:ascii="Arial Narrow" w:eastAsia="Calibri" w:hAnsi="Arial Narrow" w:cs="Calibri"/>
              </w:rPr>
            </w:pPr>
          </w:p>
        </w:tc>
      </w:tr>
      <w:tr w:rsidR="00B93549" w:rsidRPr="00430A79" w14:paraId="658930F1" w14:textId="77777777" w:rsidTr="00B93549">
        <w:tc>
          <w:tcPr>
            <w:tcW w:w="5542" w:type="dxa"/>
            <w:vAlign w:val="bottom"/>
          </w:tcPr>
          <w:p w14:paraId="1E60015A" w14:textId="49EDE3F2" w:rsidR="00B93549" w:rsidRPr="00430A79" w:rsidRDefault="00B93549" w:rsidP="00B93549">
            <w:pPr>
              <w:spacing w:before="40" w:after="40"/>
              <w:rPr>
                <w:rFonts w:ascii="Arial Narrow" w:eastAsia="Calibri" w:hAnsi="Arial Narrow" w:cs="Calibri"/>
              </w:rPr>
            </w:pPr>
            <w:r w:rsidRPr="00BE2534">
              <w:rPr>
                <w:rFonts w:ascii="Arial Narrow" w:eastAsia="Aptos" w:hAnsi="Arial Narrow" w:cs="Calibri"/>
                <w:lang w:val="sq-AL"/>
              </w:rPr>
              <w:t>Transferimi i mbeturinave të përziera</w:t>
            </w:r>
          </w:p>
        </w:tc>
        <w:tc>
          <w:tcPr>
            <w:tcW w:w="1279" w:type="dxa"/>
            <w:vAlign w:val="bottom"/>
          </w:tcPr>
          <w:p w14:paraId="64209A48" w14:textId="5317D0E9" w:rsidR="00B93549" w:rsidRPr="00430A79" w:rsidRDefault="00B93549" w:rsidP="00B93549">
            <w:pPr>
              <w:spacing w:before="40" w:after="40"/>
              <w:rPr>
                <w:rFonts w:ascii="Arial Narrow" w:eastAsia="Calibri" w:hAnsi="Arial Narrow" w:cs="Calibri"/>
              </w:rPr>
            </w:pPr>
            <w:r w:rsidRPr="00430A79">
              <w:rPr>
                <w:rFonts w:ascii="Arial Narrow" w:hAnsi="Arial Narrow" w:cs="Calibri"/>
              </w:rPr>
              <w:t>5 €/t</w:t>
            </w:r>
          </w:p>
        </w:tc>
        <w:tc>
          <w:tcPr>
            <w:tcW w:w="1125" w:type="dxa"/>
            <w:vAlign w:val="bottom"/>
          </w:tcPr>
          <w:p w14:paraId="51CBAC06" w14:textId="6358B4F0" w:rsidR="00B93549" w:rsidRPr="00430A79" w:rsidRDefault="00B93549" w:rsidP="00B93549">
            <w:pPr>
              <w:spacing w:before="40" w:after="40"/>
              <w:rPr>
                <w:rFonts w:ascii="Arial Narrow" w:eastAsia="Calibri" w:hAnsi="Arial Narrow" w:cs="Calibri"/>
              </w:rPr>
            </w:pPr>
            <w:r w:rsidRPr="00430A79">
              <w:rPr>
                <w:rFonts w:ascii="Arial Narrow" w:hAnsi="Arial Narrow" w:cs="Calibri"/>
              </w:rPr>
              <w:t>5 €/t</w:t>
            </w:r>
          </w:p>
        </w:tc>
        <w:tc>
          <w:tcPr>
            <w:tcW w:w="1070" w:type="dxa"/>
            <w:vAlign w:val="bottom"/>
          </w:tcPr>
          <w:p w14:paraId="0D93434A" w14:textId="4BF632E5" w:rsidR="00B93549" w:rsidRPr="00430A79" w:rsidRDefault="00B93549" w:rsidP="00B93549">
            <w:pPr>
              <w:spacing w:before="40" w:after="40"/>
              <w:rPr>
                <w:rFonts w:ascii="Arial Narrow" w:eastAsia="Calibri" w:hAnsi="Arial Narrow" w:cs="Calibri"/>
              </w:rPr>
            </w:pPr>
            <w:r w:rsidRPr="00430A79">
              <w:rPr>
                <w:rFonts w:ascii="Arial Narrow" w:hAnsi="Arial Narrow" w:cs="Calibri"/>
              </w:rPr>
              <w:t>5 €/t</w:t>
            </w:r>
          </w:p>
        </w:tc>
      </w:tr>
      <w:tr w:rsidR="00B93549" w:rsidRPr="00430A79" w14:paraId="6D6DC3CA" w14:textId="77777777" w:rsidTr="00B93549">
        <w:tc>
          <w:tcPr>
            <w:tcW w:w="5542" w:type="dxa"/>
            <w:vAlign w:val="bottom"/>
          </w:tcPr>
          <w:p w14:paraId="5B277D31" w14:textId="526AE23B" w:rsidR="00B93549" w:rsidRPr="00430A79" w:rsidRDefault="00B93549" w:rsidP="00B93549">
            <w:pPr>
              <w:spacing w:before="40" w:after="40"/>
              <w:rPr>
                <w:rFonts w:ascii="Arial Narrow" w:eastAsia="Calibri" w:hAnsi="Arial Narrow" w:cs="Calibri"/>
              </w:rPr>
            </w:pPr>
            <w:r w:rsidRPr="00BE2534">
              <w:rPr>
                <w:rFonts w:ascii="Arial Narrow" w:eastAsia="Aptos" w:hAnsi="Arial Narrow" w:cs="Calibri"/>
                <w:lang w:val="sq-AL"/>
              </w:rPr>
              <w:t>Kostoja e deponimit për ton të mbeturinave të grumbulluara (grant fillestar i konsideruar)</w:t>
            </w:r>
          </w:p>
        </w:tc>
        <w:tc>
          <w:tcPr>
            <w:tcW w:w="1279" w:type="dxa"/>
            <w:vAlign w:val="bottom"/>
          </w:tcPr>
          <w:p w14:paraId="14FAB35E" w14:textId="5881E2B7" w:rsidR="00B93549" w:rsidRPr="00430A79" w:rsidRDefault="00B93549" w:rsidP="00B93549">
            <w:pPr>
              <w:spacing w:before="40" w:after="40"/>
              <w:rPr>
                <w:rFonts w:ascii="Arial Narrow" w:eastAsia="Calibri" w:hAnsi="Arial Narrow" w:cs="Calibri"/>
              </w:rPr>
            </w:pPr>
            <w:r w:rsidRPr="00430A79">
              <w:rPr>
                <w:rFonts w:ascii="Arial Narrow" w:hAnsi="Arial Narrow" w:cs="Calibri"/>
              </w:rPr>
              <w:t>17 €/t</w:t>
            </w:r>
          </w:p>
        </w:tc>
        <w:tc>
          <w:tcPr>
            <w:tcW w:w="1125" w:type="dxa"/>
            <w:vAlign w:val="bottom"/>
          </w:tcPr>
          <w:p w14:paraId="70BFEC92" w14:textId="3BF64654" w:rsidR="00B93549" w:rsidRPr="00430A79" w:rsidRDefault="00B93549" w:rsidP="00B93549">
            <w:pPr>
              <w:spacing w:before="40" w:after="40"/>
              <w:rPr>
                <w:rFonts w:ascii="Arial Narrow" w:eastAsia="Calibri" w:hAnsi="Arial Narrow" w:cs="Calibri"/>
              </w:rPr>
            </w:pPr>
            <w:r w:rsidRPr="00430A79">
              <w:rPr>
                <w:rFonts w:ascii="Arial Narrow" w:hAnsi="Arial Narrow" w:cs="Calibri"/>
              </w:rPr>
              <w:t>17 €/t</w:t>
            </w:r>
          </w:p>
        </w:tc>
        <w:tc>
          <w:tcPr>
            <w:tcW w:w="1070" w:type="dxa"/>
            <w:vAlign w:val="bottom"/>
          </w:tcPr>
          <w:p w14:paraId="0DE38B90" w14:textId="6634704F" w:rsidR="00B93549" w:rsidRPr="00430A79" w:rsidRDefault="00B93549" w:rsidP="00B93549">
            <w:pPr>
              <w:spacing w:before="40" w:after="40"/>
              <w:rPr>
                <w:rFonts w:ascii="Arial Narrow" w:eastAsia="Calibri" w:hAnsi="Arial Narrow" w:cs="Calibri"/>
              </w:rPr>
            </w:pPr>
            <w:r w:rsidRPr="00430A79">
              <w:rPr>
                <w:rFonts w:ascii="Arial Narrow" w:hAnsi="Arial Narrow" w:cs="Calibri"/>
              </w:rPr>
              <w:t>17 €/t</w:t>
            </w:r>
          </w:p>
        </w:tc>
      </w:tr>
      <w:tr w:rsidR="00B93549" w:rsidRPr="00430A79" w14:paraId="67E38229" w14:textId="77777777" w:rsidTr="00B93549">
        <w:tc>
          <w:tcPr>
            <w:tcW w:w="5542" w:type="dxa"/>
            <w:vAlign w:val="bottom"/>
          </w:tcPr>
          <w:p w14:paraId="26FD0A3B" w14:textId="65BC5CD8" w:rsidR="00B93549" w:rsidRPr="00430A79" w:rsidRDefault="00B93549" w:rsidP="00B93549">
            <w:pPr>
              <w:spacing w:before="40" w:after="40"/>
              <w:rPr>
                <w:rFonts w:ascii="Arial Narrow" w:eastAsia="Calibri" w:hAnsi="Arial Narrow" w:cs="Calibri"/>
              </w:rPr>
            </w:pPr>
            <w:r w:rsidRPr="00BE2534">
              <w:rPr>
                <w:rFonts w:ascii="Arial Narrow" w:eastAsia="Aptos" w:hAnsi="Arial Narrow" w:cs="Calibri"/>
                <w:lang w:val="sq-AL"/>
              </w:rPr>
              <w:t>Kostoja fillestare e investimit për ngritjen e deponisë</w:t>
            </w:r>
          </w:p>
        </w:tc>
        <w:tc>
          <w:tcPr>
            <w:tcW w:w="1279" w:type="dxa"/>
            <w:vAlign w:val="bottom"/>
          </w:tcPr>
          <w:p w14:paraId="547E37FF" w14:textId="6AC3FF8B" w:rsidR="00B93549" w:rsidRPr="00430A79" w:rsidRDefault="00B93549" w:rsidP="00B93549">
            <w:pPr>
              <w:spacing w:before="40" w:after="40"/>
              <w:rPr>
                <w:rFonts w:ascii="Arial Narrow" w:eastAsia="Calibri" w:hAnsi="Arial Narrow" w:cs="Calibri"/>
              </w:rPr>
            </w:pPr>
            <w:r w:rsidRPr="00430A79">
              <w:rPr>
                <w:rFonts w:ascii="Arial Narrow" w:hAnsi="Arial Narrow" w:cs="Calibri"/>
              </w:rPr>
              <w:t>18 €/t</w:t>
            </w:r>
          </w:p>
        </w:tc>
        <w:tc>
          <w:tcPr>
            <w:tcW w:w="1125" w:type="dxa"/>
            <w:vAlign w:val="bottom"/>
          </w:tcPr>
          <w:p w14:paraId="0937252E" w14:textId="77777777" w:rsidR="00B93549" w:rsidRPr="00430A79" w:rsidRDefault="00B93549" w:rsidP="00B93549">
            <w:pPr>
              <w:spacing w:before="40" w:after="40"/>
              <w:rPr>
                <w:rFonts w:ascii="Arial Narrow" w:eastAsia="Calibri" w:hAnsi="Arial Narrow" w:cs="Calibri"/>
              </w:rPr>
            </w:pPr>
          </w:p>
        </w:tc>
        <w:tc>
          <w:tcPr>
            <w:tcW w:w="1070" w:type="dxa"/>
            <w:vAlign w:val="bottom"/>
          </w:tcPr>
          <w:p w14:paraId="239A0CA3" w14:textId="77777777" w:rsidR="00B93549" w:rsidRPr="00430A79" w:rsidRDefault="00B93549" w:rsidP="00B93549">
            <w:pPr>
              <w:spacing w:before="40" w:after="40"/>
              <w:rPr>
                <w:rFonts w:ascii="Arial Narrow" w:eastAsia="Calibri" w:hAnsi="Arial Narrow" w:cs="Calibri"/>
              </w:rPr>
            </w:pPr>
          </w:p>
        </w:tc>
      </w:tr>
      <w:tr w:rsidR="00B93549" w:rsidRPr="00430A79" w14:paraId="70FF7509" w14:textId="77777777" w:rsidTr="00B93549">
        <w:tc>
          <w:tcPr>
            <w:tcW w:w="5542" w:type="dxa"/>
            <w:vAlign w:val="bottom"/>
          </w:tcPr>
          <w:p w14:paraId="1E053A89" w14:textId="46FF2CDA" w:rsidR="00B93549" w:rsidRPr="00430A79" w:rsidRDefault="00B93549" w:rsidP="00B93549">
            <w:pPr>
              <w:spacing w:before="40" w:after="40"/>
              <w:rPr>
                <w:rFonts w:ascii="Arial Narrow" w:eastAsia="Calibri" w:hAnsi="Arial Narrow" w:cs="Calibri"/>
              </w:rPr>
            </w:pPr>
            <w:r w:rsidRPr="00BE2534">
              <w:rPr>
                <w:rFonts w:ascii="Arial Narrow" w:eastAsia="Aptos" w:hAnsi="Arial Narrow" w:cs="Calibri"/>
                <w:lang w:val="sq-AL"/>
              </w:rPr>
              <w:t>Kostoja operacionale e rikuperimit të mbeturinave për ton të mbeturinave të grumbulluara (neto)</w:t>
            </w:r>
          </w:p>
        </w:tc>
        <w:tc>
          <w:tcPr>
            <w:tcW w:w="1279" w:type="dxa"/>
            <w:vAlign w:val="bottom"/>
          </w:tcPr>
          <w:p w14:paraId="49A352DD" w14:textId="77777777" w:rsidR="00B93549" w:rsidRPr="00430A79" w:rsidRDefault="00B93549" w:rsidP="00B93549">
            <w:pPr>
              <w:spacing w:before="40" w:after="40"/>
              <w:rPr>
                <w:rFonts w:ascii="Arial Narrow" w:eastAsia="Calibri" w:hAnsi="Arial Narrow" w:cs="Calibri"/>
              </w:rPr>
            </w:pPr>
            <w:r w:rsidRPr="00430A79">
              <w:rPr>
                <w:rFonts w:ascii="Arial Narrow" w:hAnsi="Arial Narrow" w:cs="Calibri"/>
              </w:rPr>
              <w:t>23 €/t</w:t>
            </w:r>
          </w:p>
        </w:tc>
        <w:tc>
          <w:tcPr>
            <w:tcW w:w="1125" w:type="dxa"/>
            <w:vAlign w:val="bottom"/>
          </w:tcPr>
          <w:p w14:paraId="19AED1DD" w14:textId="77777777" w:rsidR="00B93549" w:rsidRPr="00430A79" w:rsidRDefault="00B93549" w:rsidP="00B93549">
            <w:pPr>
              <w:spacing w:before="40" w:after="40"/>
              <w:rPr>
                <w:rFonts w:ascii="Arial Narrow" w:eastAsia="Calibri" w:hAnsi="Arial Narrow" w:cs="Calibri"/>
              </w:rPr>
            </w:pPr>
            <w:r w:rsidRPr="00430A79">
              <w:rPr>
                <w:rFonts w:ascii="Arial Narrow" w:hAnsi="Arial Narrow" w:cs="Calibri"/>
              </w:rPr>
              <w:t>23 €/t</w:t>
            </w:r>
          </w:p>
        </w:tc>
        <w:tc>
          <w:tcPr>
            <w:tcW w:w="1070" w:type="dxa"/>
            <w:vAlign w:val="bottom"/>
          </w:tcPr>
          <w:p w14:paraId="62B5BC23" w14:textId="77777777" w:rsidR="00B93549" w:rsidRPr="00430A79" w:rsidRDefault="00B93549" w:rsidP="00B93549">
            <w:pPr>
              <w:spacing w:before="40" w:after="40"/>
              <w:rPr>
                <w:rFonts w:ascii="Arial Narrow" w:eastAsia="Calibri" w:hAnsi="Arial Narrow" w:cs="Calibri"/>
              </w:rPr>
            </w:pPr>
            <w:r w:rsidRPr="00430A79">
              <w:rPr>
                <w:rFonts w:ascii="Arial Narrow" w:hAnsi="Arial Narrow" w:cs="Calibri"/>
              </w:rPr>
              <w:t>23 €/t</w:t>
            </w:r>
          </w:p>
        </w:tc>
      </w:tr>
      <w:tr w:rsidR="00B93549" w:rsidRPr="00430A79" w14:paraId="2CA2745D" w14:textId="77777777" w:rsidTr="00B93549">
        <w:tc>
          <w:tcPr>
            <w:tcW w:w="5542" w:type="dxa"/>
            <w:vAlign w:val="bottom"/>
          </w:tcPr>
          <w:p w14:paraId="1339D0CF" w14:textId="32BAC17A" w:rsidR="00B93549" w:rsidRPr="00430A79" w:rsidRDefault="00B93549" w:rsidP="00B93549">
            <w:pPr>
              <w:spacing w:before="40" w:after="40"/>
              <w:rPr>
                <w:rFonts w:ascii="Arial Narrow" w:eastAsia="Calibri" w:hAnsi="Arial Narrow" w:cs="Calibri"/>
              </w:rPr>
            </w:pPr>
            <w:r w:rsidRPr="00BE2534">
              <w:rPr>
                <w:rFonts w:ascii="Arial Narrow" w:eastAsia="Aptos" w:hAnsi="Arial Narrow" w:cs="Calibri"/>
                <w:lang w:val="sq-AL"/>
              </w:rPr>
              <w:t>Kostoja fillestare e investimit për objektet e rikuperimit</w:t>
            </w:r>
          </w:p>
        </w:tc>
        <w:tc>
          <w:tcPr>
            <w:tcW w:w="1279" w:type="dxa"/>
            <w:vAlign w:val="bottom"/>
          </w:tcPr>
          <w:p w14:paraId="2C0C5677" w14:textId="47FA3A9C" w:rsidR="00B93549" w:rsidRPr="00430A79" w:rsidRDefault="00B93549" w:rsidP="00B93549">
            <w:pPr>
              <w:spacing w:before="40" w:after="40"/>
              <w:rPr>
                <w:rFonts w:ascii="Arial Narrow" w:eastAsia="Calibri" w:hAnsi="Arial Narrow" w:cs="Calibri"/>
              </w:rPr>
            </w:pPr>
            <w:r w:rsidRPr="00430A79">
              <w:rPr>
                <w:rFonts w:ascii="Arial Narrow" w:hAnsi="Arial Narrow" w:cs="Calibri"/>
              </w:rPr>
              <w:t>14 €/t</w:t>
            </w:r>
          </w:p>
        </w:tc>
        <w:tc>
          <w:tcPr>
            <w:tcW w:w="1125" w:type="dxa"/>
            <w:vAlign w:val="bottom"/>
          </w:tcPr>
          <w:p w14:paraId="705DCEB9" w14:textId="77777777" w:rsidR="00B93549" w:rsidRPr="00430A79" w:rsidRDefault="00B93549" w:rsidP="00B93549">
            <w:pPr>
              <w:spacing w:before="40" w:after="40"/>
              <w:rPr>
                <w:rFonts w:ascii="Arial Narrow" w:eastAsia="Calibri" w:hAnsi="Arial Narrow" w:cs="Calibri"/>
              </w:rPr>
            </w:pPr>
          </w:p>
        </w:tc>
        <w:tc>
          <w:tcPr>
            <w:tcW w:w="1070" w:type="dxa"/>
            <w:vAlign w:val="bottom"/>
          </w:tcPr>
          <w:p w14:paraId="59D07196" w14:textId="77777777" w:rsidR="00B93549" w:rsidRPr="00430A79" w:rsidRDefault="00B93549" w:rsidP="00B93549">
            <w:pPr>
              <w:spacing w:before="40" w:after="40"/>
              <w:rPr>
                <w:rFonts w:ascii="Arial Narrow" w:eastAsia="Calibri" w:hAnsi="Arial Narrow" w:cs="Calibri"/>
              </w:rPr>
            </w:pPr>
          </w:p>
        </w:tc>
      </w:tr>
      <w:tr w:rsidR="00B93549" w:rsidRPr="00430A79" w14:paraId="6FB028B1" w14:textId="77777777" w:rsidTr="00B93549">
        <w:tc>
          <w:tcPr>
            <w:tcW w:w="5542" w:type="dxa"/>
            <w:vAlign w:val="bottom"/>
          </w:tcPr>
          <w:p w14:paraId="6F56EAB3" w14:textId="465972EA" w:rsidR="00B93549" w:rsidRPr="00430A79" w:rsidRDefault="00B93549" w:rsidP="00B93549">
            <w:pPr>
              <w:spacing w:before="40" w:after="40"/>
              <w:rPr>
                <w:rFonts w:ascii="Arial Narrow" w:eastAsia="Calibri" w:hAnsi="Arial Narrow" w:cs="Calibri"/>
              </w:rPr>
            </w:pPr>
            <w:r w:rsidRPr="00BE2534">
              <w:rPr>
                <w:rFonts w:ascii="Arial Narrow" w:eastAsia="Aptos" w:hAnsi="Arial Narrow" w:cs="Calibri"/>
                <w:lang w:val="sq-AL"/>
              </w:rPr>
              <w:t>Kostoja totale</w:t>
            </w:r>
          </w:p>
        </w:tc>
        <w:tc>
          <w:tcPr>
            <w:tcW w:w="1279" w:type="dxa"/>
            <w:vAlign w:val="bottom"/>
          </w:tcPr>
          <w:p w14:paraId="7476C9D6" w14:textId="77777777" w:rsidR="00B93549" w:rsidRPr="00430A79" w:rsidRDefault="00B93549" w:rsidP="00B93549">
            <w:pPr>
              <w:spacing w:before="40" w:after="40"/>
              <w:rPr>
                <w:rFonts w:ascii="Arial Narrow" w:eastAsia="Calibri" w:hAnsi="Arial Narrow" w:cs="Calibri"/>
              </w:rPr>
            </w:pPr>
            <w:r w:rsidRPr="00430A79">
              <w:rPr>
                <w:rFonts w:ascii="Arial Narrow" w:hAnsi="Arial Narrow" w:cs="Calibri"/>
              </w:rPr>
              <w:t>134 €/t</w:t>
            </w:r>
          </w:p>
        </w:tc>
        <w:tc>
          <w:tcPr>
            <w:tcW w:w="1125" w:type="dxa"/>
            <w:vAlign w:val="bottom"/>
          </w:tcPr>
          <w:p w14:paraId="0C2A1DD7" w14:textId="77777777" w:rsidR="00B93549" w:rsidRPr="00430A79" w:rsidRDefault="00B93549" w:rsidP="00B93549">
            <w:pPr>
              <w:spacing w:before="40" w:after="40"/>
              <w:rPr>
                <w:rFonts w:ascii="Arial Narrow" w:eastAsia="Calibri" w:hAnsi="Arial Narrow" w:cs="Calibri"/>
              </w:rPr>
            </w:pPr>
            <w:r w:rsidRPr="00430A79">
              <w:rPr>
                <w:rFonts w:ascii="Arial Narrow" w:hAnsi="Arial Narrow" w:cs="Calibri"/>
              </w:rPr>
              <w:t>102 €/t</w:t>
            </w:r>
          </w:p>
        </w:tc>
        <w:tc>
          <w:tcPr>
            <w:tcW w:w="1070" w:type="dxa"/>
            <w:vAlign w:val="bottom"/>
          </w:tcPr>
          <w:p w14:paraId="46C787C3" w14:textId="77777777" w:rsidR="00B93549" w:rsidRPr="00430A79" w:rsidRDefault="00B93549" w:rsidP="00B93549">
            <w:pPr>
              <w:spacing w:before="40" w:after="40"/>
              <w:rPr>
                <w:rFonts w:ascii="Arial Narrow" w:eastAsia="Calibri" w:hAnsi="Arial Narrow" w:cs="Calibri"/>
              </w:rPr>
            </w:pPr>
            <w:r w:rsidRPr="00430A79">
              <w:rPr>
                <w:rFonts w:ascii="Arial Narrow" w:hAnsi="Arial Narrow" w:cs="Calibri"/>
              </w:rPr>
              <w:t>90 €/t</w:t>
            </w:r>
          </w:p>
        </w:tc>
      </w:tr>
      <w:tr w:rsidR="00B93549" w:rsidRPr="00430A79" w14:paraId="097BF28B" w14:textId="77777777" w:rsidTr="00B93549">
        <w:tc>
          <w:tcPr>
            <w:tcW w:w="5542" w:type="dxa"/>
            <w:vAlign w:val="bottom"/>
          </w:tcPr>
          <w:p w14:paraId="5415FADF" w14:textId="6BF517A8" w:rsidR="00B93549" w:rsidRPr="00430A79" w:rsidRDefault="00B93549" w:rsidP="00B93549">
            <w:pPr>
              <w:spacing w:before="40" w:after="40"/>
              <w:rPr>
                <w:rFonts w:ascii="Arial Narrow" w:eastAsia="Calibri" w:hAnsi="Arial Narrow" w:cs="Calibri"/>
              </w:rPr>
            </w:pPr>
            <w:r w:rsidRPr="00BE2534">
              <w:rPr>
                <w:rFonts w:ascii="Arial Narrow" w:eastAsia="Aptos" w:hAnsi="Arial Narrow" w:cs="Calibri"/>
                <w:lang w:val="sq-AL"/>
              </w:rPr>
              <w:lastRenderedPageBreak/>
              <w:t>Mbeturinat vjetore 2035 të grumbulluara për person nga familjet (supozimi 75% e mbeturinave janë nga amvisëritë, 25% nga institucionet dhe entitetet juridikë)</w:t>
            </w:r>
          </w:p>
        </w:tc>
        <w:tc>
          <w:tcPr>
            <w:tcW w:w="1279" w:type="dxa"/>
            <w:vAlign w:val="bottom"/>
          </w:tcPr>
          <w:p w14:paraId="6A461E7E" w14:textId="77777777" w:rsidR="00B93549" w:rsidRPr="00430A79" w:rsidRDefault="00B93549" w:rsidP="00B93549">
            <w:pPr>
              <w:spacing w:before="40" w:after="40"/>
              <w:rPr>
                <w:rFonts w:ascii="Arial Narrow" w:eastAsia="Calibri" w:hAnsi="Arial Narrow" w:cs="Calibri"/>
              </w:rPr>
            </w:pPr>
            <w:r w:rsidRPr="00430A79">
              <w:rPr>
                <w:rFonts w:ascii="Arial Narrow" w:eastAsia="Aptos" w:hAnsi="Arial Narrow" w:cs="Calibri"/>
              </w:rPr>
              <w:t>0.284 t</w:t>
            </w:r>
          </w:p>
        </w:tc>
        <w:tc>
          <w:tcPr>
            <w:tcW w:w="1125" w:type="dxa"/>
            <w:vAlign w:val="bottom"/>
          </w:tcPr>
          <w:p w14:paraId="1F0CADAE" w14:textId="77777777" w:rsidR="00B93549" w:rsidRPr="00430A79" w:rsidRDefault="00B93549" w:rsidP="00B93549">
            <w:pPr>
              <w:spacing w:before="40" w:after="40"/>
              <w:rPr>
                <w:rFonts w:ascii="Arial Narrow" w:eastAsia="Calibri" w:hAnsi="Arial Narrow" w:cs="Calibri"/>
              </w:rPr>
            </w:pPr>
            <w:r w:rsidRPr="00430A79">
              <w:rPr>
                <w:rFonts w:ascii="Arial Narrow" w:eastAsia="Aptos" w:hAnsi="Arial Narrow" w:cs="Calibri"/>
              </w:rPr>
              <w:t>0.284 t</w:t>
            </w:r>
          </w:p>
        </w:tc>
        <w:tc>
          <w:tcPr>
            <w:tcW w:w="1070" w:type="dxa"/>
            <w:vAlign w:val="bottom"/>
          </w:tcPr>
          <w:p w14:paraId="446FA0E3" w14:textId="77777777" w:rsidR="00B93549" w:rsidRPr="00430A79" w:rsidRDefault="00B93549" w:rsidP="00B93549">
            <w:pPr>
              <w:spacing w:before="40" w:after="40"/>
              <w:rPr>
                <w:rFonts w:ascii="Arial Narrow" w:eastAsia="Calibri" w:hAnsi="Arial Narrow" w:cs="Calibri"/>
              </w:rPr>
            </w:pPr>
            <w:r w:rsidRPr="00430A79">
              <w:rPr>
                <w:rFonts w:ascii="Arial Narrow" w:eastAsia="Aptos" w:hAnsi="Arial Narrow" w:cs="Calibri"/>
              </w:rPr>
              <w:t>0.284 t</w:t>
            </w:r>
          </w:p>
        </w:tc>
      </w:tr>
      <w:tr w:rsidR="00B93549" w:rsidRPr="00430A79" w14:paraId="743782C6" w14:textId="77777777" w:rsidTr="00B93549">
        <w:tc>
          <w:tcPr>
            <w:tcW w:w="5542" w:type="dxa"/>
            <w:vAlign w:val="bottom"/>
          </w:tcPr>
          <w:p w14:paraId="73147C4F" w14:textId="7EE4505F" w:rsidR="00B93549" w:rsidRPr="00430A79" w:rsidRDefault="00B93549" w:rsidP="00B93549">
            <w:pPr>
              <w:spacing w:before="40" w:after="40"/>
              <w:rPr>
                <w:rFonts w:ascii="Arial Narrow" w:eastAsia="Aptos" w:hAnsi="Arial Narrow" w:cs="Calibri"/>
              </w:rPr>
            </w:pPr>
            <w:r w:rsidRPr="00BE2534">
              <w:rPr>
                <w:rFonts w:ascii="Arial Narrow" w:eastAsia="Aptos" w:hAnsi="Arial Narrow" w:cs="Calibri"/>
                <w:lang w:val="sq-AL"/>
              </w:rPr>
              <w:t>Tarifë mujore për person ( përfshirë 8% TVSH), 2035</w:t>
            </w:r>
          </w:p>
        </w:tc>
        <w:tc>
          <w:tcPr>
            <w:tcW w:w="1279" w:type="dxa"/>
            <w:vAlign w:val="center"/>
          </w:tcPr>
          <w:p w14:paraId="73F1DD47" w14:textId="77777777" w:rsidR="00B93549" w:rsidRPr="00430A79" w:rsidRDefault="00B93549" w:rsidP="00B93549">
            <w:pPr>
              <w:spacing w:before="40" w:after="40"/>
              <w:rPr>
                <w:rFonts w:ascii="Arial Narrow" w:eastAsia="Aptos" w:hAnsi="Arial Narrow" w:cs="Calibri"/>
              </w:rPr>
            </w:pPr>
            <w:r w:rsidRPr="00430A79">
              <w:rPr>
                <w:rFonts w:ascii="Arial Narrow" w:eastAsia="Aptos" w:hAnsi="Arial Narrow" w:cs="Calibri"/>
              </w:rPr>
              <w:t>3.4 €</w:t>
            </w:r>
          </w:p>
        </w:tc>
        <w:tc>
          <w:tcPr>
            <w:tcW w:w="1125" w:type="dxa"/>
            <w:vAlign w:val="center"/>
          </w:tcPr>
          <w:p w14:paraId="20C2F34B" w14:textId="77777777" w:rsidR="00B93549" w:rsidRPr="00430A79" w:rsidRDefault="00B93549" w:rsidP="00B93549">
            <w:pPr>
              <w:spacing w:before="40" w:after="40"/>
              <w:rPr>
                <w:rFonts w:ascii="Arial Narrow" w:eastAsia="Aptos" w:hAnsi="Arial Narrow" w:cs="Calibri"/>
              </w:rPr>
            </w:pPr>
            <w:r w:rsidRPr="00430A79">
              <w:rPr>
                <w:rFonts w:ascii="Arial Narrow" w:eastAsia="Aptos" w:hAnsi="Arial Narrow" w:cs="Calibri"/>
              </w:rPr>
              <w:t>2.6 €</w:t>
            </w:r>
          </w:p>
        </w:tc>
        <w:tc>
          <w:tcPr>
            <w:tcW w:w="1070" w:type="dxa"/>
            <w:vAlign w:val="center"/>
          </w:tcPr>
          <w:p w14:paraId="71FC3984" w14:textId="77777777" w:rsidR="00B93549" w:rsidRPr="00430A79" w:rsidRDefault="00B93549" w:rsidP="00B93549">
            <w:pPr>
              <w:spacing w:before="40" w:after="40"/>
              <w:rPr>
                <w:rFonts w:ascii="Arial Narrow" w:eastAsia="Aptos" w:hAnsi="Arial Narrow" w:cs="Calibri"/>
              </w:rPr>
            </w:pPr>
            <w:r w:rsidRPr="00430A79">
              <w:rPr>
                <w:rFonts w:ascii="Arial Narrow" w:eastAsia="Aptos" w:hAnsi="Arial Narrow" w:cs="Calibri"/>
              </w:rPr>
              <w:t>2.3 €</w:t>
            </w:r>
          </w:p>
        </w:tc>
      </w:tr>
      <w:tr w:rsidR="00B93549" w:rsidRPr="00430A79" w14:paraId="3457CBF6" w14:textId="77777777" w:rsidTr="00B93549">
        <w:tc>
          <w:tcPr>
            <w:tcW w:w="5542" w:type="dxa"/>
            <w:vAlign w:val="bottom"/>
          </w:tcPr>
          <w:p w14:paraId="10A0CFA8" w14:textId="5E1A07E1" w:rsidR="00B93549" w:rsidRPr="00430A79" w:rsidRDefault="00B93549" w:rsidP="00B93549">
            <w:pPr>
              <w:spacing w:before="40" w:after="40"/>
              <w:rPr>
                <w:rFonts w:ascii="Arial Narrow" w:eastAsia="Aptos" w:hAnsi="Arial Narrow" w:cs="Calibri"/>
              </w:rPr>
            </w:pPr>
            <w:r w:rsidRPr="00BE2534">
              <w:rPr>
                <w:rFonts w:ascii="Arial Narrow" w:eastAsia="Aptos" w:hAnsi="Arial Narrow" w:cs="Calibri"/>
                <w:lang w:val="sq-AL"/>
              </w:rPr>
              <w:t>Pragu i përballueshmërisë për tarifën mujore për person (2035)</w:t>
            </w:r>
          </w:p>
        </w:tc>
        <w:tc>
          <w:tcPr>
            <w:tcW w:w="1279" w:type="dxa"/>
            <w:vAlign w:val="center"/>
          </w:tcPr>
          <w:p w14:paraId="044B1EE6" w14:textId="77777777" w:rsidR="00B93549" w:rsidRPr="00430A79" w:rsidRDefault="00B93549" w:rsidP="00B93549">
            <w:pPr>
              <w:spacing w:before="40" w:after="40"/>
              <w:rPr>
                <w:rFonts w:ascii="Arial Narrow" w:eastAsia="Aptos" w:hAnsi="Arial Narrow" w:cs="Calibri"/>
              </w:rPr>
            </w:pPr>
            <w:r w:rsidRPr="00430A79">
              <w:rPr>
                <w:rFonts w:ascii="Arial Narrow" w:eastAsia="Aptos" w:hAnsi="Arial Narrow" w:cs="Calibri"/>
              </w:rPr>
              <w:t>2.6 €</w:t>
            </w:r>
          </w:p>
        </w:tc>
        <w:tc>
          <w:tcPr>
            <w:tcW w:w="1125" w:type="dxa"/>
            <w:vAlign w:val="center"/>
          </w:tcPr>
          <w:p w14:paraId="50ED203D" w14:textId="77777777" w:rsidR="00B93549" w:rsidRPr="00430A79" w:rsidRDefault="00B93549" w:rsidP="00B93549">
            <w:pPr>
              <w:spacing w:before="40" w:after="40"/>
              <w:rPr>
                <w:rFonts w:ascii="Arial Narrow" w:eastAsia="Aptos" w:hAnsi="Arial Narrow" w:cs="Calibri"/>
              </w:rPr>
            </w:pPr>
            <w:r w:rsidRPr="00430A79">
              <w:rPr>
                <w:rFonts w:ascii="Arial Narrow" w:eastAsia="Aptos" w:hAnsi="Arial Narrow" w:cs="Calibri"/>
              </w:rPr>
              <w:t>2.6 €</w:t>
            </w:r>
          </w:p>
        </w:tc>
        <w:tc>
          <w:tcPr>
            <w:tcW w:w="1070" w:type="dxa"/>
            <w:vAlign w:val="center"/>
          </w:tcPr>
          <w:p w14:paraId="33FAB753" w14:textId="77777777" w:rsidR="00B93549" w:rsidRPr="00430A79" w:rsidRDefault="00B93549" w:rsidP="00B93549">
            <w:pPr>
              <w:spacing w:before="40" w:after="40"/>
              <w:rPr>
                <w:rFonts w:ascii="Arial Narrow" w:eastAsia="Aptos" w:hAnsi="Arial Narrow" w:cs="Calibri"/>
              </w:rPr>
            </w:pPr>
            <w:r w:rsidRPr="00430A79">
              <w:rPr>
                <w:rFonts w:ascii="Arial Narrow" w:eastAsia="Aptos" w:hAnsi="Arial Narrow" w:cs="Calibri"/>
              </w:rPr>
              <w:t>2.6 €</w:t>
            </w:r>
          </w:p>
        </w:tc>
      </w:tr>
    </w:tbl>
    <w:p w14:paraId="33492E80" w14:textId="77777777" w:rsidR="00427DCF" w:rsidRDefault="00427DCF" w:rsidP="00430A79">
      <w:pPr>
        <w:rPr>
          <w:rFonts w:ascii="Arial Narrow" w:eastAsia="Calibri" w:hAnsi="Arial Narrow" w:cs="Calibri"/>
          <w:kern w:val="2"/>
          <w:sz w:val="22"/>
          <w:szCs w:val="22"/>
          <w14:ligatures w14:val="standardContextual"/>
        </w:rPr>
      </w:pPr>
    </w:p>
    <w:p w14:paraId="0A235069" w14:textId="77777777" w:rsidR="00B93549" w:rsidRPr="00BE2534" w:rsidRDefault="00B93549" w:rsidP="00B93549">
      <w:pPr>
        <w:jc w:val="both"/>
        <w:rPr>
          <w:rFonts w:ascii="Arial Narrow" w:eastAsia="Calibri" w:hAnsi="Arial Narrow" w:cs="Calibri"/>
          <w:kern w:val="2"/>
          <w:sz w:val="22"/>
          <w:szCs w:val="22"/>
          <w:lang w:val="sq-AL"/>
          <w14:ligatures w14:val="standardContextual"/>
        </w:rPr>
      </w:pPr>
      <w:r w:rsidRPr="00BE2534">
        <w:rPr>
          <w:rFonts w:ascii="Arial Narrow" w:eastAsia="Calibri" w:hAnsi="Arial Narrow" w:cs="Calibri"/>
          <w:kern w:val="2"/>
          <w:sz w:val="22"/>
          <w:szCs w:val="22"/>
          <w:lang w:val="sq-AL"/>
          <w14:ligatures w14:val="standardContextual"/>
        </w:rPr>
        <w:t>Siç shihet nga tabela e mësipërme, sistemi nuk mund të jetë financiarisht i qëndrueshëm dhe i përballueshëm pa financim fillestar nga granti. Investimet e mëtejshme në mbylljen e qelive të deponisë dhe ndërtimin e qelive të reja, zëvendësimi i pajisjeve të amortizuara të sigurohet nga komunat nga rritja e tarifave të mbeturinave në përputhje me rritjen e përballueshmërisë. Pa sistemin PZP, tarifa për popullsinë duhet të vendoset në pragun e përballueshmërisë.</w:t>
      </w:r>
    </w:p>
    <w:p w14:paraId="07D07CA0" w14:textId="77777777" w:rsidR="00B93549" w:rsidRPr="00BE2534" w:rsidRDefault="00B93549" w:rsidP="00B93549">
      <w:pPr>
        <w:rPr>
          <w:rFonts w:ascii="Arial Narrow" w:eastAsia="Calibri" w:hAnsi="Arial Narrow" w:cs="Calibri"/>
          <w:kern w:val="2"/>
          <w:sz w:val="22"/>
          <w:szCs w:val="22"/>
          <w:lang w:val="sq-AL"/>
          <w14:ligatures w14:val="standardContextual"/>
        </w:rPr>
      </w:pPr>
    </w:p>
    <w:p w14:paraId="65DDA76B" w14:textId="6449CD9B" w:rsidR="00430A79" w:rsidRPr="00430A79" w:rsidRDefault="00B93549" w:rsidP="00B93549">
      <w:pPr>
        <w:jc w:val="both"/>
        <w:rPr>
          <w:rFonts w:ascii="Arial Narrow" w:eastAsia="Calibri" w:hAnsi="Arial Narrow" w:cs="Calibri"/>
          <w:kern w:val="2"/>
          <w:sz w:val="22"/>
          <w:szCs w:val="22"/>
          <w14:ligatures w14:val="standardContextual"/>
        </w:rPr>
      </w:pPr>
      <w:r w:rsidRPr="00BE2534">
        <w:rPr>
          <w:rFonts w:ascii="Arial Narrow" w:eastAsia="Calibri" w:hAnsi="Arial Narrow" w:cs="Calibri"/>
          <w:kern w:val="2"/>
          <w:sz w:val="22"/>
          <w:szCs w:val="22"/>
          <w:lang w:val="sq-AL"/>
          <w14:ligatures w14:val="standardContextual"/>
        </w:rPr>
        <w:t>Për krahasim, tarifa mujore e vitit 2022 për person është shumë më e ulët. Të hyrat aktuale nga tarifat e mbeturinave për vitin 2022 janë përcaktuar në të dhënat e Raportit të Menaxhimit të Mbeturinave Komunale të AMMK-së për vitin 2022, Shtojca 3 për pagesat e mbledhura dhe të dhënat e Regjistrimit të Popullsisë 2024</w:t>
      </w:r>
      <w:r w:rsidRPr="00BE2534">
        <w:rPr>
          <w:rFonts w:ascii="Arial Narrow" w:eastAsia="Calibri" w:hAnsi="Arial Narrow" w:cs="Calibri"/>
          <w:kern w:val="2"/>
          <w:sz w:val="22"/>
          <w:szCs w:val="22"/>
          <w:vertAlign w:val="superscript"/>
          <w:lang w:val="sq-AL"/>
          <w14:ligatures w14:val="standardContextual"/>
        </w:rPr>
        <w:footnoteReference w:id="40"/>
      </w:r>
      <w:r w:rsidRPr="00BE2534">
        <w:rPr>
          <w:rFonts w:ascii="Arial Narrow" w:eastAsia="Calibri" w:hAnsi="Arial Narrow" w:cs="Calibri"/>
          <w:kern w:val="2"/>
          <w:sz w:val="22"/>
          <w:szCs w:val="22"/>
          <w:lang w:val="sq-AL"/>
          <w14:ligatures w14:val="standardContextual"/>
        </w:rPr>
        <w:t xml:space="preserve"> (rezultatet preliminare). Pagesa aktuale për person nga amvisëritë nga të gjitha komunat ishte e njëjtë, siç shihet në tabelën e mëposhtme</w:t>
      </w:r>
      <w:r w:rsidR="00430A79" w:rsidRPr="00430A79">
        <w:rPr>
          <w:rFonts w:ascii="Arial Narrow" w:eastAsia="Calibri" w:hAnsi="Arial Narrow" w:cs="Calibri"/>
          <w:kern w:val="2"/>
          <w:sz w:val="22"/>
          <w:szCs w:val="22"/>
          <w14:ligatures w14:val="standardContextual"/>
        </w:rPr>
        <w:t>:</w:t>
      </w:r>
    </w:p>
    <w:p w14:paraId="036C9163" w14:textId="77777777" w:rsidR="00430A79" w:rsidRPr="00430A79" w:rsidRDefault="00430A79" w:rsidP="00430A79">
      <w:pPr>
        <w:rPr>
          <w:rFonts w:ascii="Arial Narrow" w:eastAsia="Calibri" w:hAnsi="Arial Narrow" w:cs="Calibri"/>
          <w:kern w:val="2"/>
          <w:sz w:val="22"/>
          <w:szCs w:val="22"/>
          <w14:ligatures w14:val="standardContextual"/>
        </w:rPr>
      </w:pPr>
    </w:p>
    <w:p w14:paraId="77122A73" w14:textId="1175DAC5" w:rsidR="00430A79" w:rsidRPr="00430A79" w:rsidRDefault="00430A79" w:rsidP="00430A79">
      <w:pPr>
        <w:spacing w:after="120"/>
        <w:rPr>
          <w:rFonts w:ascii="Arial Narrow" w:eastAsia="Calibri" w:hAnsi="Arial Narrow" w:cs="Calibri"/>
          <w:color w:val="1F497D"/>
          <w:sz w:val="20"/>
          <w:szCs w:val="20"/>
          <w:lang w:val="en-GB"/>
        </w:rPr>
      </w:pPr>
      <w:bookmarkStart w:id="508" w:name="_Toc185866233"/>
      <w:bookmarkStart w:id="509" w:name="_Toc197472262"/>
      <w:proofErr w:type="spellStart"/>
      <w:r w:rsidRPr="00430A79">
        <w:rPr>
          <w:rFonts w:ascii="Arial Narrow" w:eastAsia="Calibri" w:hAnsi="Arial Narrow" w:cs="Calibri"/>
          <w:color w:val="1F497D"/>
          <w:sz w:val="20"/>
          <w:szCs w:val="20"/>
          <w:lang w:val="en-GB"/>
        </w:rPr>
        <w:t>Tabela</w:t>
      </w:r>
      <w:proofErr w:type="spellEnd"/>
      <w:r w:rsidRPr="00430A79">
        <w:rPr>
          <w:rFonts w:ascii="Arial Narrow" w:eastAsia="Calibri" w:hAnsi="Arial Narrow" w:cs="Calibri"/>
          <w:color w:val="1F497D"/>
          <w:sz w:val="20"/>
          <w:szCs w:val="20"/>
          <w:lang w:val="en-GB"/>
        </w:rPr>
        <w:t xml:space="preserve"> </w:t>
      </w:r>
      <w:r w:rsidRPr="00430A79">
        <w:rPr>
          <w:rFonts w:ascii="Arial Narrow" w:eastAsia="Calibri" w:hAnsi="Arial Narrow" w:cs="Calibri"/>
          <w:color w:val="1F497D"/>
          <w:sz w:val="20"/>
          <w:szCs w:val="20"/>
          <w:lang w:val="en-GB"/>
        </w:rPr>
        <w:fldChar w:fldCharType="begin"/>
      </w:r>
      <w:r w:rsidRPr="00430A79">
        <w:rPr>
          <w:rFonts w:ascii="Arial Narrow" w:eastAsia="Calibri" w:hAnsi="Arial Narrow" w:cs="Calibri"/>
          <w:color w:val="1F497D"/>
          <w:sz w:val="20"/>
          <w:szCs w:val="20"/>
          <w:lang w:val="en-GB"/>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Pr>
          <w:rFonts w:ascii="Arial Narrow" w:eastAsia="Calibri" w:hAnsi="Arial Narrow" w:cs="Calibri"/>
          <w:noProof/>
          <w:color w:val="1F497D"/>
          <w:sz w:val="20"/>
          <w:szCs w:val="20"/>
          <w:lang w:val="en-GB"/>
        </w:rPr>
        <w:t xml:space="preserve">77. </w:t>
      </w:r>
      <w:r w:rsidRPr="00430A79">
        <w:rPr>
          <w:rFonts w:ascii="Arial Narrow" w:eastAsia="Calibri" w:hAnsi="Arial Narrow" w:cs="Calibri"/>
          <w:color w:val="1F497D"/>
          <w:sz w:val="20"/>
          <w:szCs w:val="20"/>
          <w:lang w:val="en-GB"/>
        </w:rPr>
        <w:fldChar w:fldCharType="end"/>
      </w:r>
      <w:r w:rsidR="00B93549">
        <w:rPr>
          <w:rFonts w:ascii="Arial Narrow" w:eastAsia="Calibri" w:hAnsi="Arial Narrow" w:cs="Calibri"/>
          <w:color w:val="1F497D"/>
          <w:sz w:val="20"/>
          <w:szCs w:val="20"/>
          <w:lang w:val="en-GB"/>
        </w:rPr>
        <w:t xml:space="preserve">2022, </w:t>
      </w:r>
      <w:proofErr w:type="spellStart"/>
      <w:r w:rsidRPr="00430A79">
        <w:rPr>
          <w:rFonts w:ascii="Arial Narrow" w:eastAsia="Calibri" w:hAnsi="Arial Narrow" w:cs="Calibri"/>
          <w:color w:val="1F497D"/>
          <w:sz w:val="20"/>
          <w:szCs w:val="20"/>
          <w:lang w:val="en-GB"/>
        </w:rPr>
        <w:t>Pagesa</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aktuale</w:t>
      </w:r>
      <w:proofErr w:type="spellEnd"/>
      <w:r w:rsidRPr="00430A79">
        <w:rPr>
          <w:rFonts w:ascii="Arial Narrow" w:eastAsia="Calibri" w:hAnsi="Arial Narrow" w:cs="Calibri"/>
          <w:color w:val="1F497D"/>
          <w:sz w:val="20"/>
          <w:szCs w:val="20"/>
          <w:lang w:val="en-GB"/>
        </w:rPr>
        <w:t xml:space="preserve"> </w:t>
      </w:r>
      <w:proofErr w:type="spellStart"/>
      <w:r w:rsidRPr="00430A79">
        <w:rPr>
          <w:rFonts w:ascii="Arial Narrow" w:eastAsia="Calibri" w:hAnsi="Arial Narrow" w:cs="Calibri"/>
          <w:color w:val="1F497D"/>
          <w:sz w:val="20"/>
          <w:szCs w:val="20"/>
          <w:lang w:val="en-GB"/>
        </w:rPr>
        <w:t>për</w:t>
      </w:r>
      <w:proofErr w:type="spellEnd"/>
      <w:r w:rsidRPr="00430A79">
        <w:rPr>
          <w:rFonts w:ascii="Arial Narrow" w:eastAsia="Calibri" w:hAnsi="Arial Narrow" w:cs="Calibri"/>
          <w:color w:val="1F497D"/>
          <w:sz w:val="20"/>
          <w:szCs w:val="20"/>
          <w:lang w:val="en-GB"/>
        </w:rPr>
        <w:t xml:space="preserve"> person</w:t>
      </w:r>
      <w:bookmarkEnd w:id="508"/>
      <w:bookmarkEnd w:id="509"/>
    </w:p>
    <w:tbl>
      <w:tblPr>
        <w:tblW w:w="5000" w:type="pct"/>
        <w:tblLook w:val="04A0" w:firstRow="1" w:lastRow="0" w:firstColumn="1" w:lastColumn="0" w:noHBand="0" w:noVBand="1"/>
      </w:tblPr>
      <w:tblGrid>
        <w:gridCol w:w="4207"/>
        <w:gridCol w:w="981"/>
        <w:gridCol w:w="981"/>
        <w:gridCol w:w="981"/>
        <w:gridCol w:w="981"/>
        <w:gridCol w:w="885"/>
      </w:tblGrid>
      <w:tr w:rsidR="00B93549" w:rsidRPr="00430A79" w14:paraId="24026B39" w14:textId="77777777" w:rsidTr="00D03949">
        <w:trPr>
          <w:trHeight w:val="290"/>
          <w:tblHeader/>
        </w:trPr>
        <w:tc>
          <w:tcPr>
            <w:tcW w:w="2045" w:type="pct"/>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0EF3736B" w14:textId="77777777" w:rsidR="00430A79" w:rsidRPr="00430A79" w:rsidRDefault="00430A79" w:rsidP="00430A79">
            <w:pPr>
              <w:spacing w:before="40" w:after="40"/>
              <w:rPr>
                <w:rFonts w:ascii="Arial Narrow" w:hAnsi="Arial Narrow" w:cs="Calibri"/>
                <w:b/>
                <w:bCs/>
                <w:color w:val="FFFFFF" w:themeColor="background1"/>
                <w:sz w:val="22"/>
                <w:szCs w:val="22"/>
                <w:lang w:val="en-GB" w:eastAsia="en-GB"/>
              </w:rPr>
            </w:pPr>
            <w:proofErr w:type="spellStart"/>
            <w:r w:rsidRPr="00430A79">
              <w:rPr>
                <w:rFonts w:ascii="Arial Narrow" w:hAnsi="Arial Narrow" w:cs="Calibri"/>
                <w:b/>
                <w:bCs/>
                <w:color w:val="FFFFFF" w:themeColor="background1"/>
                <w:sz w:val="22"/>
                <w:szCs w:val="22"/>
                <w:lang w:val="en-GB" w:eastAsia="en-GB"/>
              </w:rPr>
              <w:t>Parametrat</w:t>
            </w:r>
            <w:proofErr w:type="spellEnd"/>
          </w:p>
        </w:tc>
        <w:tc>
          <w:tcPr>
            <w:tcW w:w="566" w:type="pct"/>
            <w:tcBorders>
              <w:top w:val="single" w:sz="4" w:space="0" w:color="auto"/>
              <w:left w:val="nil"/>
              <w:bottom w:val="single" w:sz="4" w:space="0" w:color="auto"/>
              <w:right w:val="single" w:sz="4" w:space="0" w:color="auto"/>
            </w:tcBorders>
            <w:shd w:val="clear" w:color="auto" w:fill="365F91"/>
            <w:noWrap/>
            <w:vAlign w:val="bottom"/>
            <w:hideMark/>
          </w:tcPr>
          <w:p w14:paraId="2C9F8A3E" w14:textId="77777777" w:rsidR="00430A79" w:rsidRPr="00430A79" w:rsidRDefault="00430A79" w:rsidP="00430A79">
            <w:pPr>
              <w:spacing w:before="40" w:after="40"/>
              <w:rPr>
                <w:rFonts w:ascii="Arial Narrow" w:hAnsi="Arial Narrow" w:cs="Calibri"/>
                <w:b/>
                <w:bCs/>
                <w:color w:val="FFFFFF" w:themeColor="background1"/>
                <w:sz w:val="22"/>
                <w:szCs w:val="22"/>
                <w:lang w:val="en-GB" w:eastAsia="en-GB"/>
              </w:rPr>
            </w:pPr>
            <w:r w:rsidRPr="00430A79">
              <w:rPr>
                <w:rFonts w:ascii="Arial Narrow" w:hAnsi="Arial Narrow"/>
                <w:b/>
                <w:bCs/>
                <w:color w:val="FFFFFF" w:themeColor="background1"/>
                <w:sz w:val="22"/>
                <w:szCs w:val="22"/>
              </w:rPr>
              <w:t>Pejë</w:t>
            </w:r>
          </w:p>
        </w:tc>
        <w:tc>
          <w:tcPr>
            <w:tcW w:w="566" w:type="pct"/>
            <w:tcBorders>
              <w:top w:val="single" w:sz="4" w:space="0" w:color="auto"/>
              <w:left w:val="nil"/>
              <w:bottom w:val="single" w:sz="4" w:space="0" w:color="auto"/>
              <w:right w:val="single" w:sz="4" w:space="0" w:color="auto"/>
            </w:tcBorders>
            <w:shd w:val="clear" w:color="auto" w:fill="365F91"/>
            <w:noWrap/>
            <w:vAlign w:val="bottom"/>
            <w:hideMark/>
          </w:tcPr>
          <w:p w14:paraId="7F87331A" w14:textId="77777777" w:rsidR="00430A79" w:rsidRPr="00430A79" w:rsidRDefault="00430A79" w:rsidP="00430A79">
            <w:pPr>
              <w:spacing w:before="40" w:after="40"/>
              <w:rPr>
                <w:rFonts w:ascii="Arial Narrow" w:hAnsi="Arial Narrow" w:cs="Calibri"/>
                <w:b/>
                <w:bCs/>
                <w:color w:val="FFFFFF" w:themeColor="background1"/>
                <w:sz w:val="22"/>
                <w:szCs w:val="22"/>
                <w:lang w:val="en-GB" w:eastAsia="en-GB"/>
              </w:rPr>
            </w:pPr>
            <w:proofErr w:type="spellStart"/>
            <w:r w:rsidRPr="00430A79">
              <w:rPr>
                <w:rFonts w:ascii="Arial Narrow" w:hAnsi="Arial Narrow" w:cs="Calibri"/>
                <w:b/>
                <w:bCs/>
                <w:color w:val="FFFFFF" w:themeColor="background1"/>
                <w:sz w:val="22"/>
                <w:szCs w:val="22"/>
                <w:lang w:val="en-GB" w:eastAsia="en-GB"/>
              </w:rPr>
              <w:t>Istog</w:t>
            </w:r>
            <w:proofErr w:type="spellEnd"/>
          </w:p>
        </w:tc>
        <w:tc>
          <w:tcPr>
            <w:tcW w:w="746" w:type="pct"/>
            <w:tcBorders>
              <w:top w:val="single" w:sz="4" w:space="0" w:color="auto"/>
              <w:left w:val="nil"/>
              <w:bottom w:val="single" w:sz="4" w:space="0" w:color="auto"/>
              <w:right w:val="single" w:sz="4" w:space="0" w:color="auto"/>
            </w:tcBorders>
            <w:shd w:val="clear" w:color="auto" w:fill="365F91"/>
            <w:noWrap/>
            <w:vAlign w:val="bottom"/>
            <w:hideMark/>
          </w:tcPr>
          <w:p w14:paraId="00C070B3" w14:textId="77777777" w:rsidR="00430A79" w:rsidRPr="00430A79" w:rsidRDefault="00430A79" w:rsidP="00430A79">
            <w:pPr>
              <w:spacing w:before="40" w:after="40"/>
              <w:rPr>
                <w:rFonts w:ascii="Arial Narrow" w:hAnsi="Arial Narrow" w:cs="Calibri"/>
                <w:b/>
                <w:bCs/>
                <w:color w:val="FFFFFF" w:themeColor="background1"/>
                <w:sz w:val="22"/>
                <w:szCs w:val="22"/>
                <w:lang w:val="en-GB" w:eastAsia="en-GB"/>
              </w:rPr>
            </w:pPr>
            <w:r w:rsidRPr="00430A79">
              <w:rPr>
                <w:rFonts w:ascii="Arial Narrow" w:hAnsi="Arial Narrow"/>
                <w:b/>
                <w:bCs/>
                <w:color w:val="FFFFFF" w:themeColor="background1"/>
                <w:sz w:val="22"/>
                <w:szCs w:val="22"/>
              </w:rPr>
              <w:t>Klinë</w:t>
            </w:r>
          </w:p>
        </w:tc>
        <w:tc>
          <w:tcPr>
            <w:tcW w:w="566" w:type="pct"/>
            <w:tcBorders>
              <w:top w:val="single" w:sz="4" w:space="0" w:color="auto"/>
              <w:left w:val="nil"/>
              <w:bottom w:val="single" w:sz="4" w:space="0" w:color="auto"/>
              <w:right w:val="single" w:sz="4" w:space="0" w:color="auto"/>
            </w:tcBorders>
            <w:shd w:val="clear" w:color="auto" w:fill="365F91"/>
            <w:noWrap/>
            <w:vAlign w:val="bottom"/>
            <w:hideMark/>
          </w:tcPr>
          <w:p w14:paraId="71B02711" w14:textId="77777777" w:rsidR="00430A79" w:rsidRPr="00430A79" w:rsidRDefault="00430A79" w:rsidP="00430A79">
            <w:pPr>
              <w:spacing w:before="40" w:after="40"/>
              <w:rPr>
                <w:rFonts w:ascii="Arial Narrow" w:hAnsi="Arial Narrow" w:cs="Calibri"/>
                <w:b/>
                <w:bCs/>
                <w:color w:val="FFFFFF" w:themeColor="background1"/>
                <w:sz w:val="22"/>
                <w:szCs w:val="22"/>
                <w:lang w:val="en-GB" w:eastAsia="en-GB"/>
              </w:rPr>
            </w:pPr>
            <w:r w:rsidRPr="00430A79">
              <w:rPr>
                <w:rFonts w:ascii="Arial Narrow" w:hAnsi="Arial Narrow"/>
                <w:b/>
                <w:bCs/>
                <w:color w:val="FFFFFF" w:themeColor="background1"/>
                <w:sz w:val="22"/>
                <w:szCs w:val="22"/>
              </w:rPr>
              <w:t>Deçan</w:t>
            </w:r>
          </w:p>
        </w:tc>
        <w:tc>
          <w:tcPr>
            <w:tcW w:w="510" w:type="pct"/>
            <w:tcBorders>
              <w:top w:val="single" w:sz="4" w:space="0" w:color="auto"/>
              <w:left w:val="nil"/>
              <w:bottom w:val="single" w:sz="4" w:space="0" w:color="auto"/>
              <w:right w:val="single" w:sz="4" w:space="0" w:color="auto"/>
            </w:tcBorders>
            <w:shd w:val="clear" w:color="auto" w:fill="365F91"/>
            <w:noWrap/>
            <w:vAlign w:val="bottom"/>
            <w:hideMark/>
          </w:tcPr>
          <w:p w14:paraId="0DD79F2E" w14:textId="77777777" w:rsidR="00430A79" w:rsidRPr="00430A79" w:rsidRDefault="00430A79" w:rsidP="00430A79">
            <w:pPr>
              <w:spacing w:before="40" w:after="40"/>
              <w:rPr>
                <w:rFonts w:ascii="Arial Narrow" w:hAnsi="Arial Narrow" w:cs="Calibri"/>
                <w:b/>
                <w:bCs/>
                <w:color w:val="FFFFFF" w:themeColor="background1"/>
                <w:sz w:val="22"/>
                <w:szCs w:val="22"/>
                <w:lang w:val="en-GB" w:eastAsia="en-GB"/>
              </w:rPr>
            </w:pPr>
            <w:proofErr w:type="spellStart"/>
            <w:r w:rsidRPr="00430A79">
              <w:rPr>
                <w:rFonts w:ascii="Arial Narrow" w:hAnsi="Arial Narrow" w:cs="Calibri"/>
                <w:b/>
                <w:bCs/>
                <w:color w:val="FFFFFF" w:themeColor="background1"/>
                <w:sz w:val="22"/>
                <w:szCs w:val="22"/>
                <w:lang w:val="en-GB" w:eastAsia="en-GB"/>
              </w:rPr>
              <w:t>Junik</w:t>
            </w:r>
            <w:proofErr w:type="spellEnd"/>
          </w:p>
        </w:tc>
      </w:tr>
      <w:tr w:rsidR="00B93549" w:rsidRPr="00430A79" w14:paraId="2E988F9B" w14:textId="77777777" w:rsidTr="00D03949">
        <w:trPr>
          <w:trHeight w:val="290"/>
        </w:trPr>
        <w:tc>
          <w:tcPr>
            <w:tcW w:w="2045" w:type="pct"/>
            <w:tcBorders>
              <w:top w:val="nil"/>
              <w:left w:val="single" w:sz="4" w:space="0" w:color="auto"/>
              <w:bottom w:val="single" w:sz="4" w:space="0" w:color="auto"/>
              <w:right w:val="single" w:sz="4" w:space="0" w:color="auto"/>
            </w:tcBorders>
            <w:shd w:val="clear" w:color="auto" w:fill="auto"/>
            <w:noWrap/>
            <w:vAlign w:val="bottom"/>
            <w:hideMark/>
          </w:tcPr>
          <w:p w14:paraId="0BD83670" w14:textId="56F7CA38" w:rsidR="00430A79" w:rsidRPr="009F5CA1" w:rsidRDefault="00430A79" w:rsidP="00430A79">
            <w:pPr>
              <w:spacing w:before="40" w:after="40"/>
              <w:rPr>
                <w:rFonts w:ascii="Arial Narrow" w:hAnsi="Arial Narrow" w:cs="Calibri"/>
                <w:sz w:val="22"/>
                <w:szCs w:val="22"/>
                <w:lang w:eastAsia="en-GB"/>
              </w:rPr>
            </w:pPr>
            <w:r w:rsidRPr="009F5CA1">
              <w:rPr>
                <w:rFonts w:ascii="Arial Narrow" w:hAnsi="Arial Narrow" w:cs="Calibri"/>
                <w:sz w:val="22"/>
                <w:szCs w:val="22"/>
                <w:lang w:eastAsia="en-GB"/>
              </w:rPr>
              <w:t xml:space="preserve">Pagesa e </w:t>
            </w:r>
            <w:r w:rsidR="00B93549" w:rsidRPr="009F5CA1">
              <w:rPr>
                <w:rFonts w:ascii="Arial Narrow" w:hAnsi="Arial Narrow" w:cs="Calibri"/>
                <w:sz w:val="22"/>
                <w:szCs w:val="22"/>
                <w:lang w:eastAsia="en-GB"/>
              </w:rPr>
              <w:t>arkëtuar</w:t>
            </w:r>
            <w:r w:rsidRPr="009F5CA1">
              <w:rPr>
                <w:rFonts w:ascii="Arial Narrow" w:hAnsi="Arial Narrow" w:cs="Calibri"/>
                <w:sz w:val="22"/>
                <w:szCs w:val="22"/>
                <w:lang w:eastAsia="en-GB"/>
              </w:rPr>
              <w:t xml:space="preserve"> për shërbime </w:t>
            </w:r>
            <w:r w:rsidR="00B93549" w:rsidRPr="009F5CA1">
              <w:rPr>
                <w:rFonts w:ascii="Arial Narrow" w:hAnsi="Arial Narrow" w:cs="Calibri"/>
                <w:sz w:val="22"/>
                <w:szCs w:val="22"/>
                <w:lang w:eastAsia="en-GB"/>
              </w:rPr>
              <w:t>të amvisërive</w:t>
            </w:r>
            <w:r w:rsidRPr="009F5CA1">
              <w:rPr>
                <w:rFonts w:ascii="Arial Narrow" w:hAnsi="Arial Narrow" w:cs="Calibri"/>
                <w:sz w:val="22"/>
                <w:szCs w:val="22"/>
                <w:lang w:eastAsia="en-GB"/>
              </w:rPr>
              <w:t>, 2022</w:t>
            </w:r>
          </w:p>
        </w:tc>
        <w:tc>
          <w:tcPr>
            <w:tcW w:w="566" w:type="pct"/>
            <w:tcBorders>
              <w:top w:val="nil"/>
              <w:left w:val="nil"/>
              <w:bottom w:val="single" w:sz="4" w:space="0" w:color="auto"/>
              <w:right w:val="single" w:sz="4" w:space="0" w:color="auto"/>
            </w:tcBorders>
            <w:shd w:val="clear" w:color="auto" w:fill="auto"/>
            <w:noWrap/>
            <w:vAlign w:val="bottom"/>
            <w:hideMark/>
          </w:tcPr>
          <w:p w14:paraId="00AD1A2B"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875,587 €</w:t>
            </w:r>
          </w:p>
        </w:tc>
        <w:tc>
          <w:tcPr>
            <w:tcW w:w="566" w:type="pct"/>
            <w:tcBorders>
              <w:top w:val="nil"/>
              <w:left w:val="nil"/>
              <w:bottom w:val="single" w:sz="4" w:space="0" w:color="auto"/>
              <w:right w:val="single" w:sz="4" w:space="0" w:color="auto"/>
            </w:tcBorders>
            <w:shd w:val="clear" w:color="auto" w:fill="auto"/>
            <w:noWrap/>
            <w:vAlign w:val="bottom"/>
            <w:hideMark/>
          </w:tcPr>
          <w:p w14:paraId="0BD18EEF"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351,352 €</w:t>
            </w:r>
          </w:p>
        </w:tc>
        <w:tc>
          <w:tcPr>
            <w:tcW w:w="746" w:type="pct"/>
            <w:tcBorders>
              <w:top w:val="nil"/>
              <w:left w:val="nil"/>
              <w:bottom w:val="single" w:sz="4" w:space="0" w:color="auto"/>
              <w:right w:val="single" w:sz="4" w:space="0" w:color="auto"/>
            </w:tcBorders>
            <w:shd w:val="clear" w:color="auto" w:fill="auto"/>
            <w:noWrap/>
            <w:vAlign w:val="bottom"/>
            <w:hideMark/>
          </w:tcPr>
          <w:p w14:paraId="016519DB"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316,528 €</w:t>
            </w:r>
          </w:p>
        </w:tc>
        <w:tc>
          <w:tcPr>
            <w:tcW w:w="566" w:type="pct"/>
            <w:tcBorders>
              <w:top w:val="nil"/>
              <w:left w:val="nil"/>
              <w:bottom w:val="single" w:sz="4" w:space="0" w:color="auto"/>
              <w:right w:val="single" w:sz="4" w:space="0" w:color="auto"/>
            </w:tcBorders>
            <w:shd w:val="clear" w:color="auto" w:fill="auto"/>
            <w:noWrap/>
            <w:vAlign w:val="bottom"/>
            <w:hideMark/>
          </w:tcPr>
          <w:p w14:paraId="1E9D99ED"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294,457 €</w:t>
            </w:r>
          </w:p>
        </w:tc>
        <w:tc>
          <w:tcPr>
            <w:tcW w:w="510" w:type="pct"/>
            <w:tcBorders>
              <w:top w:val="nil"/>
              <w:left w:val="nil"/>
              <w:bottom w:val="single" w:sz="4" w:space="0" w:color="auto"/>
              <w:right w:val="single" w:sz="4" w:space="0" w:color="auto"/>
            </w:tcBorders>
            <w:shd w:val="clear" w:color="auto" w:fill="auto"/>
            <w:noWrap/>
            <w:vAlign w:val="bottom"/>
            <w:hideMark/>
          </w:tcPr>
          <w:p w14:paraId="1F26CD24"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41,100 €</w:t>
            </w:r>
          </w:p>
        </w:tc>
      </w:tr>
      <w:tr w:rsidR="00B93549" w:rsidRPr="00430A79" w14:paraId="26C7600E" w14:textId="77777777" w:rsidTr="00D03949">
        <w:trPr>
          <w:trHeight w:val="290"/>
        </w:trPr>
        <w:tc>
          <w:tcPr>
            <w:tcW w:w="2045" w:type="pct"/>
            <w:tcBorders>
              <w:top w:val="nil"/>
              <w:left w:val="single" w:sz="4" w:space="0" w:color="auto"/>
              <w:bottom w:val="single" w:sz="4" w:space="0" w:color="auto"/>
              <w:right w:val="single" w:sz="4" w:space="0" w:color="auto"/>
            </w:tcBorders>
            <w:shd w:val="clear" w:color="auto" w:fill="auto"/>
            <w:noWrap/>
            <w:vAlign w:val="bottom"/>
            <w:hideMark/>
          </w:tcPr>
          <w:p w14:paraId="2DCA099F" w14:textId="77777777" w:rsidR="00430A79" w:rsidRPr="00430A79" w:rsidRDefault="00430A79" w:rsidP="00430A79">
            <w:pPr>
              <w:spacing w:before="40" w:after="40"/>
              <w:rPr>
                <w:rFonts w:ascii="Arial Narrow" w:hAnsi="Arial Narrow" w:cs="Calibri"/>
                <w:sz w:val="22"/>
                <w:szCs w:val="22"/>
                <w:lang w:val="en-GB" w:eastAsia="en-GB"/>
              </w:rPr>
            </w:pPr>
            <w:proofErr w:type="spellStart"/>
            <w:r w:rsidRPr="00430A79">
              <w:rPr>
                <w:rFonts w:ascii="Arial Narrow" w:hAnsi="Arial Narrow" w:cs="Calibri"/>
                <w:sz w:val="22"/>
                <w:szCs w:val="22"/>
                <w:lang w:val="en-GB" w:eastAsia="en-GB"/>
              </w:rPr>
              <w:t>Popullsia</w:t>
            </w:r>
            <w:proofErr w:type="spellEnd"/>
            <w:r w:rsidRPr="00430A79">
              <w:rPr>
                <w:rFonts w:ascii="Arial Narrow" w:hAnsi="Arial Narrow" w:cs="Calibri"/>
                <w:sz w:val="22"/>
                <w:szCs w:val="22"/>
                <w:lang w:val="en-GB" w:eastAsia="en-GB"/>
              </w:rPr>
              <w:t xml:space="preserve">, </w:t>
            </w:r>
            <w:proofErr w:type="spellStart"/>
            <w:r w:rsidRPr="00430A79">
              <w:rPr>
                <w:rFonts w:ascii="Arial Narrow" w:hAnsi="Arial Narrow" w:cs="Calibri"/>
                <w:sz w:val="22"/>
                <w:szCs w:val="22"/>
                <w:lang w:val="en-GB" w:eastAsia="en-GB"/>
              </w:rPr>
              <w:t>Regjistrimi</w:t>
            </w:r>
            <w:proofErr w:type="spellEnd"/>
            <w:r w:rsidRPr="00430A79">
              <w:rPr>
                <w:rFonts w:ascii="Arial Narrow" w:hAnsi="Arial Narrow" w:cs="Calibri"/>
                <w:sz w:val="22"/>
                <w:szCs w:val="22"/>
                <w:lang w:val="en-GB" w:eastAsia="en-GB"/>
              </w:rPr>
              <w:t xml:space="preserve"> i </w:t>
            </w:r>
            <w:proofErr w:type="spellStart"/>
            <w:r w:rsidRPr="00430A79">
              <w:rPr>
                <w:rFonts w:ascii="Arial Narrow" w:hAnsi="Arial Narrow" w:cs="Calibri"/>
                <w:sz w:val="22"/>
                <w:szCs w:val="22"/>
                <w:lang w:val="en-GB" w:eastAsia="en-GB"/>
              </w:rPr>
              <w:t>vitit</w:t>
            </w:r>
            <w:proofErr w:type="spellEnd"/>
            <w:r w:rsidRPr="00430A79">
              <w:rPr>
                <w:rFonts w:ascii="Arial Narrow" w:hAnsi="Arial Narrow" w:cs="Calibri"/>
                <w:sz w:val="22"/>
                <w:szCs w:val="22"/>
                <w:lang w:val="en-GB" w:eastAsia="en-GB"/>
              </w:rPr>
              <w:t xml:space="preserve"> 2024</w:t>
            </w:r>
          </w:p>
        </w:tc>
        <w:tc>
          <w:tcPr>
            <w:tcW w:w="566" w:type="pct"/>
            <w:tcBorders>
              <w:top w:val="nil"/>
              <w:left w:val="nil"/>
              <w:bottom w:val="single" w:sz="4" w:space="0" w:color="auto"/>
              <w:right w:val="single" w:sz="4" w:space="0" w:color="auto"/>
            </w:tcBorders>
            <w:shd w:val="clear" w:color="auto" w:fill="auto"/>
            <w:noWrap/>
            <w:vAlign w:val="bottom"/>
            <w:hideMark/>
          </w:tcPr>
          <w:p w14:paraId="3ADFEA36"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82,661</w:t>
            </w:r>
          </w:p>
        </w:tc>
        <w:tc>
          <w:tcPr>
            <w:tcW w:w="566" w:type="pct"/>
            <w:tcBorders>
              <w:top w:val="nil"/>
              <w:left w:val="nil"/>
              <w:bottom w:val="single" w:sz="4" w:space="0" w:color="auto"/>
              <w:right w:val="single" w:sz="4" w:space="0" w:color="auto"/>
            </w:tcBorders>
            <w:shd w:val="clear" w:color="auto" w:fill="auto"/>
            <w:noWrap/>
            <w:vAlign w:val="bottom"/>
            <w:hideMark/>
          </w:tcPr>
          <w:p w14:paraId="3B28DE1A"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33,066</w:t>
            </w:r>
          </w:p>
        </w:tc>
        <w:tc>
          <w:tcPr>
            <w:tcW w:w="746" w:type="pct"/>
            <w:tcBorders>
              <w:top w:val="nil"/>
              <w:left w:val="nil"/>
              <w:bottom w:val="single" w:sz="4" w:space="0" w:color="auto"/>
              <w:right w:val="single" w:sz="4" w:space="0" w:color="auto"/>
            </w:tcBorders>
            <w:shd w:val="clear" w:color="auto" w:fill="auto"/>
            <w:noWrap/>
            <w:vAlign w:val="bottom"/>
            <w:hideMark/>
          </w:tcPr>
          <w:p w14:paraId="29DD6609"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30,574</w:t>
            </w:r>
          </w:p>
        </w:tc>
        <w:tc>
          <w:tcPr>
            <w:tcW w:w="566" w:type="pct"/>
            <w:tcBorders>
              <w:top w:val="nil"/>
              <w:left w:val="nil"/>
              <w:bottom w:val="single" w:sz="4" w:space="0" w:color="auto"/>
              <w:right w:val="single" w:sz="4" w:space="0" w:color="auto"/>
            </w:tcBorders>
            <w:shd w:val="clear" w:color="auto" w:fill="auto"/>
            <w:noWrap/>
            <w:vAlign w:val="bottom"/>
            <w:hideMark/>
          </w:tcPr>
          <w:p w14:paraId="2DA031E6"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27,758</w:t>
            </w:r>
          </w:p>
        </w:tc>
        <w:tc>
          <w:tcPr>
            <w:tcW w:w="510" w:type="pct"/>
            <w:tcBorders>
              <w:top w:val="nil"/>
              <w:left w:val="nil"/>
              <w:bottom w:val="single" w:sz="4" w:space="0" w:color="auto"/>
              <w:right w:val="single" w:sz="4" w:space="0" w:color="auto"/>
            </w:tcBorders>
            <w:shd w:val="clear" w:color="auto" w:fill="auto"/>
            <w:noWrap/>
            <w:vAlign w:val="bottom"/>
            <w:hideMark/>
          </w:tcPr>
          <w:p w14:paraId="75A71B18"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3,952</w:t>
            </w:r>
          </w:p>
        </w:tc>
      </w:tr>
      <w:tr w:rsidR="00B93549" w:rsidRPr="00430A79" w14:paraId="00191B27" w14:textId="77777777" w:rsidTr="00D03949">
        <w:trPr>
          <w:trHeight w:val="283"/>
        </w:trPr>
        <w:tc>
          <w:tcPr>
            <w:tcW w:w="2045" w:type="pct"/>
            <w:tcBorders>
              <w:top w:val="nil"/>
              <w:left w:val="single" w:sz="4" w:space="0" w:color="auto"/>
              <w:bottom w:val="single" w:sz="4" w:space="0" w:color="auto"/>
              <w:right w:val="single" w:sz="4" w:space="0" w:color="auto"/>
            </w:tcBorders>
            <w:shd w:val="clear" w:color="auto" w:fill="auto"/>
            <w:noWrap/>
            <w:vAlign w:val="bottom"/>
            <w:hideMark/>
          </w:tcPr>
          <w:p w14:paraId="49BCC823" w14:textId="77777777" w:rsidR="00430A79" w:rsidRPr="00430A79" w:rsidRDefault="00430A79" w:rsidP="00430A79">
            <w:pPr>
              <w:spacing w:before="40" w:after="40"/>
              <w:rPr>
                <w:rFonts w:ascii="Arial Narrow" w:hAnsi="Arial Narrow" w:cs="Calibri"/>
                <w:sz w:val="22"/>
                <w:szCs w:val="22"/>
                <w:lang w:val="en-GB" w:eastAsia="en-GB"/>
              </w:rPr>
            </w:pPr>
            <w:proofErr w:type="spellStart"/>
            <w:r w:rsidRPr="00430A79">
              <w:rPr>
                <w:rFonts w:ascii="Arial Narrow" w:hAnsi="Arial Narrow" w:cs="Calibri"/>
                <w:sz w:val="22"/>
                <w:szCs w:val="22"/>
                <w:lang w:val="en-GB" w:eastAsia="en-GB"/>
              </w:rPr>
              <w:t>Pagesa</w:t>
            </w:r>
            <w:proofErr w:type="spellEnd"/>
            <w:r w:rsidRPr="00430A79">
              <w:rPr>
                <w:rFonts w:ascii="Arial Narrow" w:hAnsi="Arial Narrow" w:cs="Calibri"/>
                <w:sz w:val="22"/>
                <w:szCs w:val="22"/>
                <w:lang w:val="en-GB" w:eastAsia="en-GB"/>
              </w:rPr>
              <w:t xml:space="preserve"> </w:t>
            </w:r>
            <w:proofErr w:type="spellStart"/>
            <w:r w:rsidRPr="00430A79">
              <w:rPr>
                <w:rFonts w:ascii="Arial Narrow" w:hAnsi="Arial Narrow" w:cs="Calibri"/>
                <w:sz w:val="22"/>
                <w:szCs w:val="22"/>
                <w:lang w:val="en-GB" w:eastAsia="en-GB"/>
              </w:rPr>
              <w:t>aktuale</w:t>
            </w:r>
            <w:proofErr w:type="spellEnd"/>
            <w:r w:rsidRPr="00430A79">
              <w:rPr>
                <w:rFonts w:ascii="Arial Narrow" w:hAnsi="Arial Narrow" w:cs="Calibri"/>
                <w:sz w:val="22"/>
                <w:szCs w:val="22"/>
                <w:lang w:val="en-GB" w:eastAsia="en-GB"/>
              </w:rPr>
              <w:t xml:space="preserve"> </w:t>
            </w:r>
            <w:proofErr w:type="spellStart"/>
            <w:r w:rsidRPr="00430A79">
              <w:rPr>
                <w:rFonts w:ascii="Arial Narrow" w:hAnsi="Arial Narrow" w:cs="Calibri"/>
                <w:sz w:val="22"/>
                <w:szCs w:val="22"/>
                <w:lang w:val="en-GB" w:eastAsia="en-GB"/>
              </w:rPr>
              <w:t>mujore</w:t>
            </w:r>
            <w:proofErr w:type="spellEnd"/>
            <w:r w:rsidRPr="00430A79">
              <w:rPr>
                <w:rFonts w:ascii="Arial Narrow" w:hAnsi="Arial Narrow" w:cs="Calibri"/>
                <w:sz w:val="22"/>
                <w:szCs w:val="22"/>
                <w:lang w:val="en-GB" w:eastAsia="en-GB"/>
              </w:rPr>
              <w:t xml:space="preserve"> </w:t>
            </w:r>
            <w:proofErr w:type="spellStart"/>
            <w:r w:rsidRPr="00430A79">
              <w:rPr>
                <w:rFonts w:ascii="Arial Narrow" w:hAnsi="Arial Narrow" w:cs="Calibri"/>
                <w:sz w:val="22"/>
                <w:szCs w:val="22"/>
                <w:lang w:val="en-GB" w:eastAsia="en-GB"/>
              </w:rPr>
              <w:t>për</w:t>
            </w:r>
            <w:proofErr w:type="spellEnd"/>
            <w:r w:rsidRPr="00430A79">
              <w:rPr>
                <w:rFonts w:ascii="Arial Narrow" w:hAnsi="Arial Narrow" w:cs="Calibri"/>
                <w:sz w:val="22"/>
                <w:szCs w:val="22"/>
                <w:lang w:val="en-GB" w:eastAsia="en-GB"/>
              </w:rPr>
              <w:t xml:space="preserve"> person </w:t>
            </w:r>
            <w:proofErr w:type="spellStart"/>
            <w:r w:rsidRPr="00430A79">
              <w:rPr>
                <w:rFonts w:ascii="Arial Narrow" w:hAnsi="Arial Narrow" w:cs="Calibri"/>
                <w:sz w:val="22"/>
                <w:szCs w:val="22"/>
                <w:lang w:val="en-GB" w:eastAsia="en-GB"/>
              </w:rPr>
              <w:t>në</w:t>
            </w:r>
            <w:proofErr w:type="spellEnd"/>
            <w:r w:rsidRPr="00430A79">
              <w:rPr>
                <w:rFonts w:ascii="Arial Narrow" w:hAnsi="Arial Narrow" w:cs="Calibri"/>
                <w:sz w:val="22"/>
                <w:szCs w:val="22"/>
                <w:lang w:val="en-GB" w:eastAsia="en-GB"/>
              </w:rPr>
              <w:t xml:space="preserve"> </w:t>
            </w:r>
            <w:proofErr w:type="spellStart"/>
            <w:r w:rsidRPr="00430A79">
              <w:rPr>
                <w:rFonts w:ascii="Arial Narrow" w:hAnsi="Arial Narrow" w:cs="Calibri"/>
                <w:sz w:val="22"/>
                <w:szCs w:val="22"/>
                <w:lang w:val="en-GB" w:eastAsia="en-GB"/>
              </w:rPr>
              <w:t>vitin</w:t>
            </w:r>
            <w:proofErr w:type="spellEnd"/>
            <w:r w:rsidRPr="00430A79">
              <w:rPr>
                <w:rFonts w:ascii="Arial Narrow" w:hAnsi="Arial Narrow" w:cs="Calibri"/>
                <w:sz w:val="22"/>
                <w:szCs w:val="22"/>
                <w:lang w:val="en-GB" w:eastAsia="en-GB"/>
              </w:rPr>
              <w:t xml:space="preserve"> 2022</w:t>
            </w:r>
          </w:p>
        </w:tc>
        <w:tc>
          <w:tcPr>
            <w:tcW w:w="566" w:type="pct"/>
            <w:tcBorders>
              <w:top w:val="nil"/>
              <w:left w:val="nil"/>
              <w:bottom w:val="single" w:sz="4" w:space="0" w:color="auto"/>
              <w:right w:val="single" w:sz="4" w:space="0" w:color="auto"/>
            </w:tcBorders>
            <w:shd w:val="clear" w:color="auto" w:fill="auto"/>
            <w:noWrap/>
            <w:vAlign w:val="bottom"/>
            <w:hideMark/>
          </w:tcPr>
          <w:p w14:paraId="6A56B264"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0.9 €</w:t>
            </w:r>
          </w:p>
        </w:tc>
        <w:tc>
          <w:tcPr>
            <w:tcW w:w="566" w:type="pct"/>
            <w:tcBorders>
              <w:top w:val="nil"/>
              <w:left w:val="nil"/>
              <w:bottom w:val="single" w:sz="4" w:space="0" w:color="auto"/>
              <w:right w:val="single" w:sz="4" w:space="0" w:color="auto"/>
            </w:tcBorders>
            <w:shd w:val="clear" w:color="auto" w:fill="auto"/>
            <w:noWrap/>
            <w:vAlign w:val="bottom"/>
            <w:hideMark/>
          </w:tcPr>
          <w:p w14:paraId="1B0691B4"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0.9 €</w:t>
            </w:r>
          </w:p>
        </w:tc>
        <w:tc>
          <w:tcPr>
            <w:tcW w:w="746" w:type="pct"/>
            <w:tcBorders>
              <w:top w:val="nil"/>
              <w:left w:val="nil"/>
              <w:bottom w:val="single" w:sz="4" w:space="0" w:color="auto"/>
              <w:right w:val="single" w:sz="4" w:space="0" w:color="auto"/>
            </w:tcBorders>
            <w:shd w:val="clear" w:color="auto" w:fill="auto"/>
            <w:noWrap/>
            <w:vAlign w:val="bottom"/>
            <w:hideMark/>
          </w:tcPr>
          <w:p w14:paraId="66106507"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0.9 €</w:t>
            </w:r>
          </w:p>
        </w:tc>
        <w:tc>
          <w:tcPr>
            <w:tcW w:w="566" w:type="pct"/>
            <w:tcBorders>
              <w:top w:val="nil"/>
              <w:left w:val="nil"/>
              <w:bottom w:val="single" w:sz="4" w:space="0" w:color="auto"/>
              <w:right w:val="single" w:sz="4" w:space="0" w:color="auto"/>
            </w:tcBorders>
            <w:shd w:val="clear" w:color="auto" w:fill="auto"/>
            <w:noWrap/>
            <w:vAlign w:val="bottom"/>
            <w:hideMark/>
          </w:tcPr>
          <w:p w14:paraId="1E00B80E"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0.9 €</w:t>
            </w:r>
          </w:p>
        </w:tc>
        <w:tc>
          <w:tcPr>
            <w:tcW w:w="510" w:type="pct"/>
            <w:tcBorders>
              <w:top w:val="nil"/>
              <w:left w:val="nil"/>
              <w:bottom w:val="single" w:sz="4" w:space="0" w:color="auto"/>
              <w:right w:val="single" w:sz="4" w:space="0" w:color="auto"/>
            </w:tcBorders>
            <w:shd w:val="clear" w:color="auto" w:fill="auto"/>
            <w:noWrap/>
            <w:vAlign w:val="bottom"/>
            <w:hideMark/>
          </w:tcPr>
          <w:p w14:paraId="1CA1A3E4" w14:textId="77777777" w:rsidR="00430A79" w:rsidRPr="00430A79" w:rsidRDefault="00430A79" w:rsidP="00430A79">
            <w:pPr>
              <w:spacing w:before="40" w:after="40"/>
              <w:jc w:val="right"/>
              <w:rPr>
                <w:rFonts w:ascii="Arial Narrow" w:hAnsi="Arial Narrow" w:cs="Calibri"/>
                <w:sz w:val="22"/>
                <w:szCs w:val="22"/>
                <w:lang w:val="en-GB" w:eastAsia="en-GB"/>
              </w:rPr>
            </w:pPr>
            <w:r w:rsidRPr="00430A79">
              <w:rPr>
                <w:rFonts w:ascii="Arial Narrow" w:hAnsi="Arial Narrow" w:cs="Calibri"/>
                <w:sz w:val="22"/>
                <w:szCs w:val="22"/>
                <w:lang w:val="en-GB" w:eastAsia="en-GB"/>
              </w:rPr>
              <w:t>0.9 €</w:t>
            </w:r>
          </w:p>
        </w:tc>
      </w:tr>
    </w:tbl>
    <w:p w14:paraId="5E3358EB" w14:textId="77777777" w:rsidR="00430A79" w:rsidRPr="00430A79" w:rsidRDefault="00430A79" w:rsidP="00430A79">
      <w:pPr>
        <w:rPr>
          <w:rFonts w:ascii="Arial Narrow" w:eastAsia="Calibri" w:hAnsi="Arial Narrow" w:cs="Calibri"/>
          <w:kern w:val="2"/>
          <w:sz w:val="22"/>
          <w:szCs w:val="22"/>
          <w14:ligatures w14:val="standardContextual"/>
        </w:rPr>
      </w:pPr>
    </w:p>
    <w:p w14:paraId="70B2DCF3" w14:textId="77777777" w:rsidR="00B93549" w:rsidRPr="00BE2534" w:rsidRDefault="00B93549" w:rsidP="00B93549">
      <w:pPr>
        <w:rPr>
          <w:rFonts w:ascii="Arial Narrow" w:eastAsia="Calibri" w:hAnsi="Arial Narrow" w:cs="Calibri"/>
          <w:kern w:val="2"/>
          <w:sz w:val="22"/>
          <w:szCs w:val="22"/>
          <w:lang w:val="sq-AL"/>
          <w14:ligatures w14:val="standardContextual"/>
        </w:rPr>
      </w:pPr>
      <w:r w:rsidRPr="00BE2534">
        <w:rPr>
          <w:rFonts w:ascii="Arial Narrow" w:eastAsia="Calibri" w:hAnsi="Arial Narrow" w:cs="Calibri"/>
          <w:kern w:val="2"/>
          <w:sz w:val="22"/>
          <w:szCs w:val="22"/>
          <w:lang w:val="sq-AL"/>
          <w14:ligatures w14:val="standardContextual"/>
        </w:rPr>
        <w:t>Prandaj, edhe me financimin e granteve dhe sistemin PZP në fuqi, tarifa e mbeturinave për popullatën duhet të rritet mbi 2 herë, mbi inflacionin për të financuar zhvillimin e shërbimit të mbeturinave. Rikuperimi i plotë i kostos duhet të arrihet gradualisht, brenda përballueshmërisë, hapat kryesorë që janë:</w:t>
      </w:r>
    </w:p>
    <w:p w14:paraId="18D34686" w14:textId="77777777" w:rsidR="00B93549" w:rsidRPr="00BE2534" w:rsidRDefault="00B93549" w:rsidP="00B93549">
      <w:pPr>
        <w:numPr>
          <w:ilvl w:val="0"/>
          <w:numId w:val="26"/>
        </w:numPr>
        <w:spacing w:line="259" w:lineRule="auto"/>
        <w:ind w:left="714" w:hanging="357"/>
        <w:jc w:val="both"/>
        <w:rPr>
          <w:rFonts w:ascii="Arial Narrow" w:eastAsia="Calibri" w:hAnsi="Arial Narrow" w:cs="Calibri"/>
          <w:kern w:val="2"/>
          <w:sz w:val="22"/>
          <w:szCs w:val="22"/>
          <w:lang w:val="sq-AL"/>
          <w14:ligatures w14:val="standardContextual"/>
        </w:rPr>
      </w:pPr>
      <w:r w:rsidRPr="00BE2534">
        <w:rPr>
          <w:rFonts w:ascii="Arial Narrow" w:eastAsia="Calibri" w:hAnsi="Arial Narrow" w:cs="Calibri"/>
          <w:kern w:val="2"/>
          <w:sz w:val="22"/>
          <w:szCs w:val="22"/>
          <w:lang w:val="sq-AL"/>
          <w14:ligatures w14:val="standardContextual"/>
        </w:rPr>
        <w:t>Rikuperimi i plotë i kostos së nivelit aktual të kostove të justifikuara - grumbullimi i mbeturinave (kostot operacionale dhe të investimit) dhe kostot e transferimit dhe ato operacionale dhe mirëmbajtjes së deponisë.</w:t>
      </w:r>
    </w:p>
    <w:p w14:paraId="7C453A0C" w14:textId="77777777" w:rsidR="00B93549" w:rsidRPr="00BE2534" w:rsidRDefault="00B93549" w:rsidP="00B93549">
      <w:pPr>
        <w:numPr>
          <w:ilvl w:val="0"/>
          <w:numId w:val="26"/>
        </w:numPr>
        <w:spacing w:line="259" w:lineRule="auto"/>
        <w:ind w:left="714" w:hanging="357"/>
        <w:jc w:val="both"/>
        <w:rPr>
          <w:rFonts w:ascii="Arial Narrow" w:eastAsia="Calibri" w:hAnsi="Arial Narrow" w:cs="Calibri"/>
          <w:kern w:val="2"/>
          <w:sz w:val="22"/>
          <w:szCs w:val="22"/>
          <w:lang w:val="sq-AL"/>
          <w14:ligatures w14:val="standardContextual"/>
        </w:rPr>
      </w:pPr>
      <w:r w:rsidRPr="00BE2534">
        <w:rPr>
          <w:rFonts w:ascii="Arial Narrow" w:eastAsia="Calibri" w:hAnsi="Arial Narrow" w:cs="Calibri"/>
          <w:kern w:val="2"/>
          <w:sz w:val="22"/>
          <w:szCs w:val="22"/>
          <w:lang w:val="sq-AL"/>
          <w14:ligatures w14:val="standardContextual"/>
        </w:rPr>
        <w:t>Rikuperimi i plotë i kostos së grumbullimit dhe deponimit të mbeturinave (si investimi ashtu edhe operacionale) dhe kostot operacionale të riciklimit/rikuperimit të mbeturinave.</w:t>
      </w:r>
    </w:p>
    <w:p w14:paraId="06D0E77B" w14:textId="77777777" w:rsidR="00B93549" w:rsidRPr="00BE2534" w:rsidRDefault="00B93549" w:rsidP="00B93549">
      <w:pPr>
        <w:numPr>
          <w:ilvl w:val="0"/>
          <w:numId w:val="26"/>
        </w:numPr>
        <w:spacing w:line="259" w:lineRule="auto"/>
        <w:ind w:left="714" w:hanging="357"/>
        <w:jc w:val="both"/>
        <w:rPr>
          <w:rFonts w:ascii="Arial Narrow" w:eastAsia="Calibri" w:hAnsi="Arial Narrow" w:cs="Calibri"/>
          <w:kern w:val="2"/>
          <w:sz w:val="22"/>
          <w:szCs w:val="22"/>
          <w:lang w:val="sq-AL"/>
          <w14:ligatures w14:val="standardContextual"/>
        </w:rPr>
      </w:pPr>
      <w:r w:rsidRPr="00BE2534">
        <w:rPr>
          <w:rFonts w:ascii="Arial Narrow" w:eastAsia="Calibri" w:hAnsi="Arial Narrow" w:cs="Calibri"/>
          <w:kern w:val="2"/>
          <w:sz w:val="22"/>
          <w:szCs w:val="22"/>
          <w:lang w:val="sq-AL"/>
          <w14:ligatures w14:val="standardContextual"/>
        </w:rPr>
        <w:t>Rikuperimi i plotë i kostos së grumbullimit, riciklimit/rikuperimit dhe deponimit të mbeturinave.</w:t>
      </w:r>
    </w:p>
    <w:p w14:paraId="174D1CBF" w14:textId="77777777" w:rsidR="00B93549" w:rsidRPr="00BE2534" w:rsidRDefault="00B93549" w:rsidP="00B93549">
      <w:pPr>
        <w:rPr>
          <w:rFonts w:ascii="Arial Narrow" w:eastAsia="Calibri" w:hAnsi="Arial Narrow" w:cs="Calibri"/>
          <w:kern w:val="2"/>
          <w:sz w:val="22"/>
          <w:szCs w:val="22"/>
          <w:lang w:val="sq-AL"/>
          <w14:ligatures w14:val="standardContextual"/>
        </w:rPr>
      </w:pPr>
    </w:p>
    <w:p w14:paraId="53B78BB4" w14:textId="38474FE5" w:rsidR="00430A79" w:rsidRPr="00430A79" w:rsidRDefault="00B93549" w:rsidP="00B93549">
      <w:pPr>
        <w:rPr>
          <w:rFonts w:ascii="Arial Narrow" w:eastAsia="Calibri" w:hAnsi="Arial Narrow" w:cs="Calibri"/>
          <w:kern w:val="2"/>
          <w:sz w:val="22"/>
          <w:szCs w:val="22"/>
          <w14:ligatures w14:val="standardContextual"/>
        </w:rPr>
      </w:pPr>
      <w:r w:rsidRPr="00BE2534">
        <w:rPr>
          <w:rFonts w:ascii="Arial Narrow" w:eastAsia="Calibri" w:hAnsi="Arial Narrow" w:cs="Calibri"/>
          <w:kern w:val="2"/>
          <w:sz w:val="22"/>
          <w:szCs w:val="22"/>
          <w:lang w:val="sq-AL"/>
          <w14:ligatures w14:val="standardContextual"/>
        </w:rPr>
        <w:t>Tabela më poshtë përmbledh komponentin e kostos së shërbimit të mbeturinave sipas komunave në bazë të supozimit se investimi fillestar në ngritjen e deponisë dhe objekteve të rikuperimit të deponive do të sigurohet si grant dhe grumbullimi dhe klasifikimi i mbeturinave do të financohet përmes skemës PZP. Kështu kostot janë llogaritur në lidhje me mbeturinat e përziera të grumbulluara dhe menaxhuara nga komuna</w:t>
      </w:r>
      <w:r>
        <w:rPr>
          <w:rFonts w:ascii="Arial Narrow" w:eastAsia="Calibri" w:hAnsi="Arial Narrow" w:cs="Calibri"/>
          <w:kern w:val="2"/>
          <w:sz w:val="22"/>
          <w:szCs w:val="22"/>
          <w:lang w:val="sq-AL"/>
          <w14:ligatures w14:val="standardContextual"/>
        </w:rPr>
        <w:t>t.</w:t>
      </w:r>
    </w:p>
    <w:p w14:paraId="43776377" w14:textId="77777777" w:rsidR="00430A79" w:rsidRPr="00430A79" w:rsidRDefault="00430A79" w:rsidP="00430A79">
      <w:pPr>
        <w:rPr>
          <w:rFonts w:ascii="Arial Narrow" w:eastAsia="Calibri" w:hAnsi="Arial Narrow" w:cs="Calibri"/>
          <w:kern w:val="2"/>
          <w:sz w:val="22"/>
          <w:szCs w:val="22"/>
          <w14:ligatures w14:val="standardContextual"/>
        </w:rPr>
      </w:pPr>
    </w:p>
    <w:p w14:paraId="562F955C" w14:textId="2329C072" w:rsidR="00430A79" w:rsidRPr="009F5CA1" w:rsidRDefault="00430A79" w:rsidP="00430A79">
      <w:pPr>
        <w:spacing w:after="120"/>
        <w:rPr>
          <w:rFonts w:ascii="Arial Narrow" w:eastAsia="Calibri" w:hAnsi="Arial Narrow" w:cs="Calibri"/>
          <w:color w:val="1F497D"/>
          <w:sz w:val="20"/>
          <w:szCs w:val="20"/>
        </w:rPr>
      </w:pPr>
      <w:bookmarkStart w:id="510" w:name="_Toc185866234"/>
      <w:bookmarkStart w:id="511" w:name="_Toc197472263"/>
      <w:r w:rsidRPr="009F5CA1">
        <w:rPr>
          <w:rFonts w:ascii="Arial Narrow" w:eastAsia="Calibri" w:hAnsi="Arial Narrow" w:cs="Calibri"/>
          <w:color w:val="1F497D"/>
          <w:sz w:val="20"/>
          <w:szCs w:val="20"/>
        </w:rPr>
        <w:t xml:space="preserve">Tabela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rPr>
        <w:t xml:space="preserve">78. </w:t>
      </w:r>
      <w:r w:rsidRPr="00430A79">
        <w:rPr>
          <w:rFonts w:ascii="Arial Narrow" w:eastAsia="Calibri" w:hAnsi="Arial Narrow" w:cs="Calibri"/>
          <w:color w:val="1F497D"/>
          <w:sz w:val="20"/>
          <w:szCs w:val="20"/>
          <w:lang w:val="en-GB"/>
        </w:rPr>
        <w:fldChar w:fldCharType="end"/>
      </w:r>
      <w:bookmarkStart w:id="512" w:name="_Hlk197275366"/>
      <w:r w:rsidRPr="009F5CA1">
        <w:rPr>
          <w:rFonts w:ascii="Arial Narrow" w:eastAsia="Calibri" w:hAnsi="Arial Narrow" w:cs="Calibri"/>
          <w:color w:val="1F497D"/>
          <w:sz w:val="20"/>
          <w:szCs w:val="20"/>
        </w:rPr>
        <w:t>Tarifa e rikuperimit të kostos për mbeturinat e</w:t>
      </w:r>
      <w:r w:rsidR="002F45E2" w:rsidRPr="009F5CA1">
        <w:rPr>
          <w:rFonts w:ascii="Arial Narrow" w:eastAsia="Calibri" w:hAnsi="Arial Narrow" w:cs="Calibri"/>
          <w:color w:val="1F497D"/>
          <w:sz w:val="20"/>
          <w:szCs w:val="20"/>
        </w:rPr>
        <w:t xml:space="preserve"> </w:t>
      </w:r>
      <w:r w:rsidR="00DF1B1A" w:rsidRPr="009F5CA1">
        <w:rPr>
          <w:rFonts w:ascii="Arial Narrow" w:eastAsia="Calibri" w:hAnsi="Arial Narrow" w:cs="Calibri"/>
          <w:color w:val="1F497D"/>
          <w:sz w:val="20"/>
          <w:szCs w:val="20"/>
        </w:rPr>
        <w:t>përziera</w:t>
      </w:r>
      <w:r w:rsidRPr="009F5CA1">
        <w:rPr>
          <w:rFonts w:ascii="Arial Narrow" w:eastAsia="Calibri" w:hAnsi="Arial Narrow" w:cs="Calibri"/>
          <w:color w:val="1F497D"/>
          <w:sz w:val="20"/>
          <w:szCs w:val="20"/>
        </w:rPr>
        <w:t xml:space="preserve">, sipas </w:t>
      </w:r>
      <w:r w:rsidR="00DF1B1A" w:rsidRPr="009F5CA1">
        <w:rPr>
          <w:rFonts w:ascii="Arial Narrow" w:eastAsia="Calibri" w:hAnsi="Arial Narrow" w:cs="Calibri"/>
          <w:color w:val="1F497D"/>
          <w:sz w:val="20"/>
          <w:szCs w:val="20"/>
        </w:rPr>
        <w:t>komunave</w:t>
      </w:r>
      <w:r w:rsidRPr="009F5CA1">
        <w:rPr>
          <w:rFonts w:ascii="Arial Narrow" w:eastAsia="Calibri" w:hAnsi="Arial Narrow" w:cs="Calibri"/>
          <w:color w:val="1F497D"/>
          <w:sz w:val="20"/>
          <w:szCs w:val="20"/>
        </w:rPr>
        <w:t xml:space="preserve"> drejt vitit 2034</w:t>
      </w:r>
      <w:bookmarkEnd w:id="510"/>
      <w:bookmarkEnd w:id="5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851"/>
        <w:gridCol w:w="992"/>
        <w:gridCol w:w="851"/>
        <w:gridCol w:w="850"/>
        <w:gridCol w:w="941"/>
      </w:tblGrid>
      <w:tr w:rsidR="00430A79" w:rsidRPr="00430A79" w14:paraId="35B267C5" w14:textId="77777777" w:rsidTr="00D03949">
        <w:trPr>
          <w:trHeight w:val="310"/>
          <w:tblHeader/>
        </w:trPr>
        <w:tc>
          <w:tcPr>
            <w:tcW w:w="4531" w:type="dxa"/>
            <w:shd w:val="clear" w:color="auto" w:fill="365F91"/>
            <w:noWrap/>
            <w:vAlign w:val="bottom"/>
            <w:hideMark/>
          </w:tcPr>
          <w:bookmarkEnd w:id="512"/>
          <w:p w14:paraId="7A81CF0C" w14:textId="24DAD707" w:rsidR="00430A79" w:rsidRPr="00430A79" w:rsidRDefault="00430A79" w:rsidP="00430A79">
            <w:pPr>
              <w:rPr>
                <w:rFonts w:ascii="Arial Narrow" w:hAnsi="Arial Narrow" w:cs="Calibri"/>
                <w:b/>
                <w:bCs/>
                <w:color w:val="FFFFFF" w:themeColor="background1"/>
                <w:sz w:val="22"/>
                <w:szCs w:val="22"/>
                <w:lang w:val="en-GB" w:eastAsia="en-GB"/>
              </w:rPr>
            </w:pPr>
            <w:r w:rsidRPr="00430A79">
              <w:rPr>
                <w:rFonts w:ascii="Arial Narrow" w:eastAsia="Calibri" w:hAnsi="Arial Narrow" w:cs="Calibri"/>
                <w:b/>
                <w:bCs/>
                <w:color w:val="FFFFFF" w:themeColor="background1"/>
                <w:kern w:val="2"/>
                <w:sz w:val="22"/>
                <w:szCs w:val="22"/>
                <w14:ligatures w14:val="standardContextual"/>
              </w:rPr>
              <w:lastRenderedPageBreak/>
              <w:t xml:space="preserve">Komponenti i Kostos dhe tarifa </w:t>
            </w:r>
            <w:r w:rsidR="00DF1B1A">
              <w:rPr>
                <w:rFonts w:ascii="Arial Narrow" w:eastAsia="Calibri" w:hAnsi="Arial Narrow" w:cs="Calibri"/>
                <w:b/>
                <w:bCs/>
                <w:color w:val="FFFFFF" w:themeColor="background1"/>
                <w:kern w:val="2"/>
                <w:sz w:val="22"/>
                <w:szCs w:val="22"/>
                <w14:ligatures w14:val="standardContextual"/>
              </w:rPr>
              <w:t>për amvisëritë</w:t>
            </w:r>
          </w:p>
        </w:tc>
        <w:tc>
          <w:tcPr>
            <w:tcW w:w="851" w:type="dxa"/>
            <w:shd w:val="clear" w:color="auto" w:fill="365F91"/>
            <w:noWrap/>
            <w:vAlign w:val="bottom"/>
            <w:hideMark/>
          </w:tcPr>
          <w:p w14:paraId="60F0FD63" w14:textId="77777777" w:rsidR="00430A79" w:rsidRPr="00430A79" w:rsidRDefault="00430A79" w:rsidP="00430A79">
            <w:pPr>
              <w:rPr>
                <w:rFonts w:ascii="Arial Narrow" w:hAnsi="Arial Narrow" w:cs="Calibri"/>
                <w:b/>
                <w:bCs/>
                <w:color w:val="FFFFFF" w:themeColor="background1"/>
                <w:sz w:val="22"/>
                <w:szCs w:val="22"/>
                <w:lang w:val="en-GB" w:eastAsia="en-GB"/>
              </w:rPr>
            </w:pPr>
            <w:r w:rsidRPr="00430A79">
              <w:rPr>
                <w:rFonts w:ascii="Arial Narrow" w:hAnsi="Arial Narrow"/>
                <w:b/>
                <w:bCs/>
                <w:color w:val="FFFFFF" w:themeColor="background1"/>
                <w:sz w:val="22"/>
                <w:szCs w:val="22"/>
              </w:rPr>
              <w:t>Pejë</w:t>
            </w:r>
          </w:p>
        </w:tc>
        <w:tc>
          <w:tcPr>
            <w:tcW w:w="992" w:type="dxa"/>
            <w:shd w:val="clear" w:color="auto" w:fill="365F91"/>
            <w:noWrap/>
            <w:vAlign w:val="bottom"/>
            <w:hideMark/>
          </w:tcPr>
          <w:p w14:paraId="1835ACE3" w14:textId="77777777" w:rsidR="00430A79" w:rsidRPr="00430A79" w:rsidRDefault="00430A79" w:rsidP="00430A79">
            <w:pPr>
              <w:rPr>
                <w:rFonts w:ascii="Arial Narrow" w:hAnsi="Arial Narrow" w:cs="Calibri"/>
                <w:b/>
                <w:bCs/>
                <w:color w:val="FFFFFF" w:themeColor="background1"/>
                <w:sz w:val="22"/>
                <w:szCs w:val="22"/>
                <w:lang w:val="en-GB" w:eastAsia="en-GB"/>
              </w:rPr>
            </w:pPr>
            <w:proofErr w:type="spellStart"/>
            <w:r w:rsidRPr="00430A79">
              <w:rPr>
                <w:rFonts w:ascii="Arial Narrow" w:hAnsi="Arial Narrow" w:cs="Calibri"/>
                <w:b/>
                <w:bCs/>
                <w:color w:val="FFFFFF" w:themeColor="background1"/>
                <w:sz w:val="22"/>
                <w:szCs w:val="22"/>
                <w:lang w:val="en-GB" w:eastAsia="en-GB"/>
              </w:rPr>
              <w:t>Istog</w:t>
            </w:r>
            <w:proofErr w:type="spellEnd"/>
          </w:p>
        </w:tc>
        <w:tc>
          <w:tcPr>
            <w:tcW w:w="851" w:type="dxa"/>
            <w:shd w:val="clear" w:color="auto" w:fill="365F91"/>
            <w:noWrap/>
            <w:vAlign w:val="bottom"/>
            <w:hideMark/>
          </w:tcPr>
          <w:p w14:paraId="5E3645D9" w14:textId="77777777" w:rsidR="00430A79" w:rsidRPr="00430A79" w:rsidRDefault="00430A79" w:rsidP="00430A79">
            <w:pPr>
              <w:rPr>
                <w:rFonts w:ascii="Arial Narrow" w:hAnsi="Arial Narrow" w:cs="Calibri"/>
                <w:b/>
                <w:bCs/>
                <w:color w:val="FFFFFF" w:themeColor="background1"/>
                <w:sz w:val="22"/>
                <w:szCs w:val="22"/>
                <w:lang w:val="en-GB" w:eastAsia="en-GB"/>
              </w:rPr>
            </w:pPr>
            <w:r w:rsidRPr="00430A79">
              <w:rPr>
                <w:rFonts w:ascii="Arial Narrow" w:hAnsi="Arial Narrow"/>
                <w:b/>
                <w:bCs/>
                <w:color w:val="FFFFFF" w:themeColor="background1"/>
                <w:sz w:val="22"/>
                <w:szCs w:val="22"/>
              </w:rPr>
              <w:t>Klinë</w:t>
            </w:r>
          </w:p>
        </w:tc>
        <w:tc>
          <w:tcPr>
            <w:tcW w:w="850" w:type="dxa"/>
            <w:shd w:val="clear" w:color="auto" w:fill="365F91"/>
            <w:noWrap/>
            <w:vAlign w:val="bottom"/>
            <w:hideMark/>
          </w:tcPr>
          <w:p w14:paraId="63227750" w14:textId="77777777" w:rsidR="00430A79" w:rsidRPr="00430A79" w:rsidRDefault="00430A79" w:rsidP="00430A79">
            <w:pPr>
              <w:rPr>
                <w:rFonts w:ascii="Arial Narrow" w:hAnsi="Arial Narrow" w:cs="Calibri"/>
                <w:b/>
                <w:bCs/>
                <w:color w:val="FFFFFF" w:themeColor="background1"/>
                <w:sz w:val="22"/>
                <w:szCs w:val="22"/>
                <w:lang w:val="en-GB" w:eastAsia="en-GB"/>
              </w:rPr>
            </w:pPr>
            <w:r w:rsidRPr="00430A79">
              <w:rPr>
                <w:rFonts w:ascii="Arial Narrow" w:hAnsi="Arial Narrow"/>
                <w:b/>
                <w:bCs/>
                <w:color w:val="FFFFFF" w:themeColor="background1"/>
                <w:sz w:val="22"/>
                <w:szCs w:val="22"/>
              </w:rPr>
              <w:t>Deçan</w:t>
            </w:r>
          </w:p>
        </w:tc>
        <w:tc>
          <w:tcPr>
            <w:tcW w:w="941" w:type="dxa"/>
            <w:shd w:val="clear" w:color="auto" w:fill="365F91"/>
            <w:noWrap/>
            <w:vAlign w:val="bottom"/>
            <w:hideMark/>
          </w:tcPr>
          <w:p w14:paraId="3C481DF7" w14:textId="77777777" w:rsidR="00430A79" w:rsidRPr="00430A79" w:rsidRDefault="00430A79" w:rsidP="00430A79">
            <w:pPr>
              <w:rPr>
                <w:rFonts w:ascii="Arial Narrow" w:hAnsi="Arial Narrow" w:cs="Calibri"/>
                <w:b/>
                <w:bCs/>
                <w:color w:val="FFFFFF" w:themeColor="background1"/>
                <w:sz w:val="22"/>
                <w:szCs w:val="22"/>
                <w:lang w:val="en-GB" w:eastAsia="en-GB"/>
              </w:rPr>
            </w:pPr>
            <w:proofErr w:type="spellStart"/>
            <w:r w:rsidRPr="00430A79">
              <w:rPr>
                <w:rFonts w:ascii="Arial Narrow" w:hAnsi="Arial Narrow" w:cs="Calibri"/>
                <w:b/>
                <w:bCs/>
                <w:color w:val="FFFFFF" w:themeColor="background1"/>
                <w:sz w:val="22"/>
                <w:szCs w:val="22"/>
                <w:lang w:val="en-GB" w:eastAsia="en-GB"/>
              </w:rPr>
              <w:t>Junik</w:t>
            </w:r>
            <w:proofErr w:type="spellEnd"/>
          </w:p>
        </w:tc>
      </w:tr>
      <w:tr w:rsidR="00430A79" w:rsidRPr="00430A79" w14:paraId="2B3A33E5" w14:textId="77777777" w:rsidTr="00D03949">
        <w:trPr>
          <w:trHeight w:val="310"/>
        </w:trPr>
        <w:tc>
          <w:tcPr>
            <w:tcW w:w="4531" w:type="dxa"/>
            <w:shd w:val="clear" w:color="auto" w:fill="auto"/>
            <w:noWrap/>
            <w:vAlign w:val="bottom"/>
            <w:hideMark/>
          </w:tcPr>
          <w:p w14:paraId="1843BEA5" w14:textId="1C5E65DA" w:rsidR="00430A79" w:rsidRPr="009F5CA1" w:rsidRDefault="00430A79" w:rsidP="00430A79">
            <w:pPr>
              <w:rPr>
                <w:rFonts w:ascii="Arial Narrow" w:hAnsi="Arial Narrow" w:cs="Calibri"/>
                <w:sz w:val="22"/>
                <w:szCs w:val="22"/>
                <w:lang w:eastAsia="en-GB"/>
              </w:rPr>
            </w:pPr>
            <w:r w:rsidRPr="009F5CA1">
              <w:rPr>
                <w:rFonts w:ascii="Arial Narrow" w:hAnsi="Arial Narrow" w:cs="Calibri"/>
                <w:sz w:val="22"/>
                <w:szCs w:val="22"/>
                <w:lang w:eastAsia="en-GB"/>
              </w:rPr>
              <w:t xml:space="preserve">Kostoja e plotë e </w:t>
            </w:r>
            <w:r w:rsidR="00DF1B1A" w:rsidRPr="009F5CA1">
              <w:rPr>
                <w:rFonts w:ascii="Arial Narrow" w:hAnsi="Arial Narrow" w:cs="Calibri"/>
                <w:sz w:val="22"/>
                <w:szCs w:val="22"/>
                <w:lang w:eastAsia="en-GB"/>
              </w:rPr>
              <w:t>grumbullimit t</w:t>
            </w:r>
            <w:r w:rsidRPr="009F5CA1">
              <w:rPr>
                <w:rFonts w:ascii="Arial Narrow" w:hAnsi="Arial Narrow" w:cs="Calibri"/>
                <w:sz w:val="22"/>
                <w:szCs w:val="22"/>
                <w:lang w:eastAsia="en-GB"/>
              </w:rPr>
              <w:t xml:space="preserve">ë mbeturinave të </w:t>
            </w:r>
            <w:r w:rsidR="00DF1B1A" w:rsidRPr="009F5CA1">
              <w:rPr>
                <w:rFonts w:ascii="Arial Narrow" w:hAnsi="Arial Narrow" w:cs="Calibri"/>
                <w:sz w:val="22"/>
                <w:szCs w:val="22"/>
                <w:lang w:eastAsia="en-GB"/>
              </w:rPr>
              <w:t>përziera</w:t>
            </w:r>
            <w:r w:rsidRPr="009F5CA1">
              <w:rPr>
                <w:rFonts w:ascii="Arial Narrow" w:hAnsi="Arial Narrow" w:cs="Calibri"/>
                <w:sz w:val="22"/>
                <w:szCs w:val="22"/>
                <w:lang w:eastAsia="en-GB"/>
              </w:rPr>
              <w:t xml:space="preserve">, për ton të mbeturinave të </w:t>
            </w:r>
            <w:r w:rsidR="00DF1B1A" w:rsidRPr="009F5CA1">
              <w:rPr>
                <w:rFonts w:ascii="Arial Narrow" w:hAnsi="Arial Narrow" w:cs="Calibri"/>
                <w:sz w:val="22"/>
                <w:szCs w:val="22"/>
                <w:lang w:eastAsia="en-GB"/>
              </w:rPr>
              <w:t>përziera</w:t>
            </w:r>
            <w:r w:rsidRPr="009F5CA1">
              <w:rPr>
                <w:rFonts w:ascii="Arial Narrow" w:hAnsi="Arial Narrow" w:cs="Calibri"/>
                <w:sz w:val="22"/>
                <w:szCs w:val="22"/>
                <w:lang w:eastAsia="en-GB"/>
              </w:rPr>
              <w:t xml:space="preserve"> të mbledhura</w:t>
            </w:r>
          </w:p>
        </w:tc>
        <w:tc>
          <w:tcPr>
            <w:tcW w:w="851" w:type="dxa"/>
            <w:shd w:val="clear" w:color="auto" w:fill="auto"/>
            <w:noWrap/>
            <w:vAlign w:val="bottom"/>
            <w:hideMark/>
          </w:tcPr>
          <w:p w14:paraId="79F57DC1" w14:textId="77777777" w:rsidR="00430A79" w:rsidRPr="00430A79" w:rsidRDefault="00430A79" w:rsidP="00430A79">
            <w:pPr>
              <w:jc w:val="right"/>
              <w:rPr>
                <w:rFonts w:ascii="Arial Narrow" w:hAnsi="Arial Narrow" w:cs="Calibri"/>
                <w:sz w:val="22"/>
                <w:szCs w:val="22"/>
                <w:lang w:val="en-GB" w:eastAsia="en-GB"/>
              </w:rPr>
            </w:pPr>
            <w:r w:rsidRPr="00430A79">
              <w:rPr>
                <w:rFonts w:ascii="Arial Narrow" w:hAnsi="Arial Narrow" w:cs="Calibri"/>
                <w:sz w:val="22"/>
                <w:szCs w:val="22"/>
              </w:rPr>
              <w:t>52 €/t</w:t>
            </w:r>
          </w:p>
        </w:tc>
        <w:tc>
          <w:tcPr>
            <w:tcW w:w="992" w:type="dxa"/>
            <w:shd w:val="clear" w:color="auto" w:fill="auto"/>
            <w:noWrap/>
            <w:vAlign w:val="bottom"/>
            <w:hideMark/>
          </w:tcPr>
          <w:p w14:paraId="59E64FB2" w14:textId="77777777" w:rsidR="00430A79" w:rsidRPr="00430A79" w:rsidRDefault="00430A79" w:rsidP="00430A79">
            <w:pPr>
              <w:jc w:val="right"/>
              <w:rPr>
                <w:rFonts w:ascii="Arial Narrow" w:hAnsi="Arial Narrow" w:cs="Calibri"/>
                <w:sz w:val="22"/>
                <w:szCs w:val="22"/>
                <w:lang w:val="en-GB" w:eastAsia="en-GB"/>
              </w:rPr>
            </w:pPr>
            <w:r w:rsidRPr="00430A79">
              <w:rPr>
                <w:rFonts w:ascii="Arial Narrow" w:hAnsi="Arial Narrow" w:cs="Calibri"/>
                <w:sz w:val="22"/>
                <w:szCs w:val="22"/>
              </w:rPr>
              <w:t>60 €/t</w:t>
            </w:r>
          </w:p>
        </w:tc>
        <w:tc>
          <w:tcPr>
            <w:tcW w:w="851" w:type="dxa"/>
            <w:shd w:val="clear" w:color="auto" w:fill="auto"/>
            <w:noWrap/>
            <w:vAlign w:val="bottom"/>
            <w:hideMark/>
          </w:tcPr>
          <w:p w14:paraId="738C3FCB" w14:textId="77777777" w:rsidR="00430A79" w:rsidRPr="00430A79" w:rsidRDefault="00430A79" w:rsidP="00430A79">
            <w:pPr>
              <w:jc w:val="right"/>
              <w:rPr>
                <w:rFonts w:ascii="Arial Narrow" w:hAnsi="Arial Narrow" w:cs="Calibri"/>
                <w:sz w:val="22"/>
                <w:szCs w:val="22"/>
                <w:lang w:val="en-GB" w:eastAsia="en-GB"/>
              </w:rPr>
            </w:pPr>
            <w:r w:rsidRPr="00430A79">
              <w:rPr>
                <w:rFonts w:ascii="Arial Narrow" w:hAnsi="Arial Narrow" w:cs="Calibri"/>
                <w:sz w:val="22"/>
                <w:szCs w:val="22"/>
              </w:rPr>
              <w:t>85 €/t</w:t>
            </w:r>
          </w:p>
        </w:tc>
        <w:tc>
          <w:tcPr>
            <w:tcW w:w="850" w:type="dxa"/>
            <w:shd w:val="clear" w:color="auto" w:fill="auto"/>
            <w:noWrap/>
            <w:vAlign w:val="bottom"/>
            <w:hideMark/>
          </w:tcPr>
          <w:p w14:paraId="667850AB" w14:textId="77777777" w:rsidR="00430A79" w:rsidRPr="00430A79" w:rsidRDefault="00430A79" w:rsidP="00430A79">
            <w:pPr>
              <w:jc w:val="right"/>
              <w:rPr>
                <w:rFonts w:ascii="Arial Narrow" w:hAnsi="Arial Narrow" w:cs="Calibri"/>
                <w:sz w:val="22"/>
                <w:szCs w:val="22"/>
                <w:lang w:val="en-GB" w:eastAsia="en-GB"/>
              </w:rPr>
            </w:pPr>
            <w:r w:rsidRPr="00430A79">
              <w:rPr>
                <w:rFonts w:ascii="Arial Narrow" w:hAnsi="Arial Narrow" w:cs="Calibri"/>
                <w:sz w:val="22"/>
                <w:szCs w:val="22"/>
              </w:rPr>
              <w:t>54 €/t</w:t>
            </w:r>
          </w:p>
        </w:tc>
        <w:tc>
          <w:tcPr>
            <w:tcW w:w="941" w:type="dxa"/>
            <w:shd w:val="clear" w:color="auto" w:fill="auto"/>
            <w:noWrap/>
            <w:vAlign w:val="bottom"/>
            <w:hideMark/>
          </w:tcPr>
          <w:p w14:paraId="30BBAF20" w14:textId="77777777" w:rsidR="00430A79" w:rsidRPr="00430A79" w:rsidRDefault="00430A79" w:rsidP="00430A79">
            <w:pPr>
              <w:jc w:val="right"/>
              <w:rPr>
                <w:rFonts w:ascii="Arial Narrow" w:hAnsi="Arial Narrow" w:cs="Calibri"/>
                <w:sz w:val="22"/>
                <w:szCs w:val="22"/>
                <w:lang w:val="en-GB" w:eastAsia="en-GB"/>
              </w:rPr>
            </w:pPr>
            <w:r w:rsidRPr="00430A79">
              <w:rPr>
                <w:rFonts w:ascii="Arial Narrow" w:hAnsi="Arial Narrow" w:cs="Calibri"/>
                <w:sz w:val="22"/>
                <w:szCs w:val="22"/>
              </w:rPr>
              <w:t>56 €/t</w:t>
            </w:r>
          </w:p>
        </w:tc>
      </w:tr>
      <w:tr w:rsidR="00DF1B1A" w:rsidRPr="00430A79" w14:paraId="367A0E1A" w14:textId="77777777" w:rsidTr="00D03949">
        <w:trPr>
          <w:trHeight w:val="290"/>
        </w:trPr>
        <w:tc>
          <w:tcPr>
            <w:tcW w:w="4531" w:type="dxa"/>
            <w:shd w:val="clear" w:color="auto" w:fill="auto"/>
            <w:noWrap/>
            <w:vAlign w:val="bottom"/>
          </w:tcPr>
          <w:p w14:paraId="72E5A6CA" w14:textId="053A7862" w:rsidR="00DF1B1A" w:rsidRPr="009F5CA1" w:rsidRDefault="00DF1B1A" w:rsidP="00DF1B1A">
            <w:pPr>
              <w:rPr>
                <w:rFonts w:ascii="Arial Narrow" w:hAnsi="Arial Narrow" w:cs="Calibri"/>
                <w:sz w:val="22"/>
                <w:szCs w:val="22"/>
                <w:lang w:eastAsia="en-GB"/>
              </w:rPr>
            </w:pPr>
            <w:r w:rsidRPr="00BE2534">
              <w:rPr>
                <w:rFonts w:ascii="Arial Narrow" w:hAnsi="Arial Narrow" w:cs="Calibri"/>
                <w:sz w:val="22"/>
                <w:szCs w:val="22"/>
                <w:lang w:val="sq-AL" w:eastAsia="en-GB"/>
              </w:rPr>
              <w:t>Kostoja e transferimit të mbeturinave të përziera, për ton mbeturina të përziera të mbledhura</w:t>
            </w:r>
          </w:p>
        </w:tc>
        <w:tc>
          <w:tcPr>
            <w:tcW w:w="851" w:type="dxa"/>
            <w:shd w:val="clear" w:color="auto" w:fill="auto"/>
            <w:noWrap/>
            <w:vAlign w:val="bottom"/>
          </w:tcPr>
          <w:p w14:paraId="6F3C81F9" w14:textId="77777777" w:rsidR="00DF1B1A" w:rsidRPr="009F5CA1" w:rsidRDefault="00DF1B1A" w:rsidP="00DF1B1A">
            <w:pPr>
              <w:jc w:val="right"/>
              <w:rPr>
                <w:rFonts w:ascii="Arial Narrow" w:eastAsia="Aptos" w:hAnsi="Arial Narrow" w:cs="Calibri"/>
                <w:sz w:val="22"/>
                <w:szCs w:val="22"/>
              </w:rPr>
            </w:pPr>
          </w:p>
        </w:tc>
        <w:tc>
          <w:tcPr>
            <w:tcW w:w="992" w:type="dxa"/>
            <w:shd w:val="clear" w:color="auto" w:fill="auto"/>
            <w:noWrap/>
            <w:vAlign w:val="bottom"/>
          </w:tcPr>
          <w:p w14:paraId="7F53318D" w14:textId="77777777" w:rsidR="00DF1B1A" w:rsidRPr="00430A79" w:rsidRDefault="00DF1B1A" w:rsidP="00DF1B1A">
            <w:pPr>
              <w:jc w:val="right"/>
              <w:rPr>
                <w:rFonts w:ascii="Arial Narrow" w:eastAsia="Aptos" w:hAnsi="Arial Narrow" w:cs="Calibri"/>
                <w:sz w:val="22"/>
                <w:szCs w:val="22"/>
                <w:lang w:val="en-GB"/>
              </w:rPr>
            </w:pPr>
            <w:r w:rsidRPr="00430A79">
              <w:rPr>
                <w:rFonts w:ascii="Arial Narrow" w:hAnsi="Arial Narrow" w:cs="Calibri"/>
                <w:sz w:val="22"/>
                <w:szCs w:val="22"/>
              </w:rPr>
              <w:t>19 €/t</w:t>
            </w:r>
          </w:p>
        </w:tc>
        <w:tc>
          <w:tcPr>
            <w:tcW w:w="851" w:type="dxa"/>
            <w:shd w:val="clear" w:color="auto" w:fill="auto"/>
            <w:noWrap/>
            <w:vAlign w:val="bottom"/>
          </w:tcPr>
          <w:p w14:paraId="35A0F76B" w14:textId="77777777" w:rsidR="00DF1B1A" w:rsidRPr="00430A79" w:rsidRDefault="00DF1B1A" w:rsidP="00DF1B1A">
            <w:pPr>
              <w:jc w:val="right"/>
              <w:rPr>
                <w:rFonts w:ascii="Arial Narrow" w:eastAsia="Aptos" w:hAnsi="Arial Narrow" w:cs="Calibri"/>
                <w:sz w:val="22"/>
                <w:szCs w:val="22"/>
                <w:lang w:val="en-GB"/>
              </w:rPr>
            </w:pPr>
          </w:p>
        </w:tc>
        <w:tc>
          <w:tcPr>
            <w:tcW w:w="850" w:type="dxa"/>
            <w:shd w:val="clear" w:color="auto" w:fill="auto"/>
            <w:noWrap/>
            <w:vAlign w:val="bottom"/>
          </w:tcPr>
          <w:p w14:paraId="7B408DD2" w14:textId="77777777" w:rsidR="00DF1B1A" w:rsidRPr="00430A79" w:rsidRDefault="00DF1B1A" w:rsidP="00DF1B1A">
            <w:pPr>
              <w:jc w:val="right"/>
              <w:rPr>
                <w:rFonts w:ascii="Arial Narrow" w:eastAsia="Aptos" w:hAnsi="Arial Narrow" w:cs="Calibri"/>
                <w:sz w:val="22"/>
                <w:szCs w:val="22"/>
                <w:lang w:val="en-GB"/>
              </w:rPr>
            </w:pPr>
            <w:r w:rsidRPr="00430A79">
              <w:rPr>
                <w:rFonts w:ascii="Arial Narrow" w:hAnsi="Arial Narrow" w:cs="Calibri"/>
                <w:sz w:val="22"/>
                <w:szCs w:val="22"/>
              </w:rPr>
              <w:t>22 €/t</w:t>
            </w:r>
          </w:p>
        </w:tc>
        <w:tc>
          <w:tcPr>
            <w:tcW w:w="941" w:type="dxa"/>
            <w:shd w:val="clear" w:color="auto" w:fill="auto"/>
            <w:noWrap/>
            <w:vAlign w:val="bottom"/>
          </w:tcPr>
          <w:p w14:paraId="768DBC34" w14:textId="77777777" w:rsidR="00DF1B1A" w:rsidRPr="00430A79" w:rsidRDefault="00DF1B1A" w:rsidP="00DF1B1A">
            <w:pPr>
              <w:jc w:val="right"/>
              <w:rPr>
                <w:rFonts w:ascii="Arial Narrow" w:eastAsia="Aptos" w:hAnsi="Arial Narrow" w:cs="Calibri"/>
                <w:sz w:val="22"/>
                <w:szCs w:val="22"/>
                <w:lang w:val="en-GB"/>
              </w:rPr>
            </w:pPr>
            <w:r w:rsidRPr="00430A79">
              <w:rPr>
                <w:rFonts w:ascii="Arial Narrow" w:hAnsi="Arial Narrow" w:cs="Calibri"/>
                <w:sz w:val="22"/>
                <w:szCs w:val="22"/>
              </w:rPr>
              <w:t>23 €/t</w:t>
            </w:r>
          </w:p>
        </w:tc>
      </w:tr>
      <w:tr w:rsidR="00DF1B1A" w:rsidRPr="00430A79" w14:paraId="2ED02BC2" w14:textId="77777777" w:rsidTr="00D03949">
        <w:trPr>
          <w:trHeight w:val="290"/>
        </w:trPr>
        <w:tc>
          <w:tcPr>
            <w:tcW w:w="4531" w:type="dxa"/>
            <w:shd w:val="clear" w:color="auto" w:fill="auto"/>
            <w:noWrap/>
            <w:vAlign w:val="bottom"/>
            <w:hideMark/>
          </w:tcPr>
          <w:p w14:paraId="037BD4FD" w14:textId="50D36FD8" w:rsidR="00DF1B1A" w:rsidRPr="009F5CA1" w:rsidRDefault="00DF1B1A" w:rsidP="00DF1B1A">
            <w:pPr>
              <w:rPr>
                <w:rFonts w:ascii="Arial Narrow" w:hAnsi="Arial Narrow" w:cs="Calibri"/>
                <w:sz w:val="22"/>
                <w:szCs w:val="22"/>
                <w:lang w:eastAsia="en-GB"/>
              </w:rPr>
            </w:pPr>
            <w:r w:rsidRPr="00BE2534">
              <w:rPr>
                <w:rFonts w:ascii="Arial Narrow" w:hAnsi="Arial Narrow" w:cs="Calibri"/>
                <w:sz w:val="22"/>
                <w:szCs w:val="22"/>
                <w:lang w:val="sq-AL" w:eastAsia="en-GB"/>
              </w:rPr>
              <w:t>Kostoja e deponimit, për ton mbeturina të përziera të mbledhura</w:t>
            </w:r>
          </w:p>
        </w:tc>
        <w:tc>
          <w:tcPr>
            <w:tcW w:w="851" w:type="dxa"/>
            <w:shd w:val="clear" w:color="auto" w:fill="auto"/>
            <w:noWrap/>
            <w:vAlign w:val="bottom"/>
            <w:hideMark/>
          </w:tcPr>
          <w:p w14:paraId="40A6A3B5"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hAnsi="Arial Narrow" w:cs="Calibri"/>
                <w:sz w:val="22"/>
                <w:szCs w:val="22"/>
              </w:rPr>
              <w:t>20 €/t</w:t>
            </w:r>
          </w:p>
        </w:tc>
        <w:tc>
          <w:tcPr>
            <w:tcW w:w="992" w:type="dxa"/>
            <w:shd w:val="clear" w:color="auto" w:fill="auto"/>
            <w:noWrap/>
            <w:vAlign w:val="bottom"/>
            <w:hideMark/>
          </w:tcPr>
          <w:p w14:paraId="53E340A0"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hAnsi="Arial Narrow" w:cs="Calibri"/>
                <w:sz w:val="22"/>
                <w:szCs w:val="22"/>
              </w:rPr>
              <w:t>22 €/t</w:t>
            </w:r>
          </w:p>
        </w:tc>
        <w:tc>
          <w:tcPr>
            <w:tcW w:w="851" w:type="dxa"/>
            <w:shd w:val="clear" w:color="auto" w:fill="auto"/>
            <w:noWrap/>
            <w:vAlign w:val="bottom"/>
            <w:hideMark/>
          </w:tcPr>
          <w:p w14:paraId="50332D37"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hAnsi="Arial Narrow" w:cs="Calibri"/>
                <w:sz w:val="22"/>
                <w:szCs w:val="22"/>
              </w:rPr>
              <w:t>21 €/t</w:t>
            </w:r>
          </w:p>
        </w:tc>
        <w:tc>
          <w:tcPr>
            <w:tcW w:w="850" w:type="dxa"/>
            <w:shd w:val="clear" w:color="auto" w:fill="auto"/>
            <w:noWrap/>
            <w:vAlign w:val="bottom"/>
            <w:hideMark/>
          </w:tcPr>
          <w:p w14:paraId="565A70D2"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hAnsi="Arial Narrow" w:cs="Calibri"/>
                <w:sz w:val="22"/>
                <w:szCs w:val="22"/>
              </w:rPr>
              <w:t>20 €/t</w:t>
            </w:r>
          </w:p>
        </w:tc>
        <w:tc>
          <w:tcPr>
            <w:tcW w:w="941" w:type="dxa"/>
            <w:shd w:val="clear" w:color="auto" w:fill="auto"/>
            <w:noWrap/>
            <w:vAlign w:val="bottom"/>
            <w:hideMark/>
          </w:tcPr>
          <w:p w14:paraId="66A6F9F5"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hAnsi="Arial Narrow" w:cs="Calibri"/>
                <w:sz w:val="22"/>
                <w:szCs w:val="22"/>
              </w:rPr>
              <w:t>22 €/t</w:t>
            </w:r>
          </w:p>
        </w:tc>
      </w:tr>
      <w:tr w:rsidR="00DF1B1A" w:rsidRPr="00430A79" w14:paraId="384E4977" w14:textId="77777777" w:rsidTr="00D03949">
        <w:trPr>
          <w:trHeight w:val="310"/>
        </w:trPr>
        <w:tc>
          <w:tcPr>
            <w:tcW w:w="4531" w:type="dxa"/>
            <w:shd w:val="clear" w:color="auto" w:fill="auto"/>
            <w:noWrap/>
            <w:vAlign w:val="bottom"/>
            <w:hideMark/>
          </w:tcPr>
          <w:p w14:paraId="032B7FB5" w14:textId="11F33A0E" w:rsidR="00DF1B1A" w:rsidRPr="009F5CA1" w:rsidRDefault="00DF1B1A" w:rsidP="00DF1B1A">
            <w:pPr>
              <w:rPr>
                <w:rFonts w:ascii="Arial Narrow" w:hAnsi="Arial Narrow" w:cs="Calibri"/>
                <w:sz w:val="22"/>
                <w:szCs w:val="22"/>
                <w:lang w:eastAsia="en-GB"/>
              </w:rPr>
            </w:pPr>
            <w:r w:rsidRPr="00BE2534">
              <w:rPr>
                <w:rFonts w:ascii="Arial Narrow" w:hAnsi="Arial Narrow" w:cs="Calibri"/>
                <w:sz w:val="22"/>
                <w:szCs w:val="22"/>
                <w:lang w:val="sq-AL" w:eastAsia="en-GB"/>
              </w:rPr>
              <w:t>Kostoja operacionale e rikuperimit të mbeturinave, për ton mbeturina të përziera të mbledhura</w:t>
            </w:r>
          </w:p>
        </w:tc>
        <w:tc>
          <w:tcPr>
            <w:tcW w:w="851" w:type="dxa"/>
            <w:shd w:val="clear" w:color="auto" w:fill="auto"/>
            <w:noWrap/>
            <w:vAlign w:val="bottom"/>
            <w:hideMark/>
          </w:tcPr>
          <w:p w14:paraId="36CEE825"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hAnsi="Arial Narrow" w:cs="Calibri"/>
                <w:sz w:val="22"/>
                <w:szCs w:val="22"/>
              </w:rPr>
              <w:t>28 €/ton</w:t>
            </w:r>
          </w:p>
        </w:tc>
        <w:tc>
          <w:tcPr>
            <w:tcW w:w="992" w:type="dxa"/>
            <w:shd w:val="clear" w:color="auto" w:fill="auto"/>
            <w:noWrap/>
            <w:vAlign w:val="bottom"/>
            <w:hideMark/>
          </w:tcPr>
          <w:p w14:paraId="3AAC9F6C" w14:textId="77777777" w:rsidR="00DF1B1A" w:rsidRPr="00430A79" w:rsidRDefault="00DF1B1A" w:rsidP="00DF1B1A">
            <w:pPr>
              <w:jc w:val="right"/>
              <w:rPr>
                <w:rFonts w:ascii="Arial Narrow" w:hAnsi="Arial Narrow" w:cs="Calibri"/>
                <w:sz w:val="22"/>
                <w:szCs w:val="22"/>
                <w:highlight w:val="yellow"/>
                <w:lang w:val="en-GB" w:eastAsia="en-GB"/>
              </w:rPr>
            </w:pPr>
            <w:r w:rsidRPr="00430A79">
              <w:rPr>
                <w:rFonts w:ascii="Arial Narrow" w:hAnsi="Arial Narrow" w:cs="Calibri"/>
                <w:sz w:val="22"/>
                <w:szCs w:val="22"/>
              </w:rPr>
              <w:t>29 €/t</w:t>
            </w:r>
          </w:p>
        </w:tc>
        <w:tc>
          <w:tcPr>
            <w:tcW w:w="851" w:type="dxa"/>
            <w:shd w:val="clear" w:color="auto" w:fill="auto"/>
            <w:noWrap/>
            <w:vAlign w:val="bottom"/>
            <w:hideMark/>
          </w:tcPr>
          <w:p w14:paraId="0B6CC3C3" w14:textId="77777777" w:rsidR="00DF1B1A" w:rsidRPr="00430A79" w:rsidRDefault="00DF1B1A" w:rsidP="00DF1B1A">
            <w:pPr>
              <w:jc w:val="right"/>
              <w:rPr>
                <w:rFonts w:ascii="Arial Narrow" w:hAnsi="Arial Narrow" w:cs="Calibri"/>
                <w:sz w:val="22"/>
                <w:szCs w:val="22"/>
                <w:highlight w:val="yellow"/>
                <w:lang w:val="en-GB" w:eastAsia="en-GB"/>
              </w:rPr>
            </w:pPr>
            <w:r w:rsidRPr="00430A79">
              <w:rPr>
                <w:rFonts w:ascii="Arial Narrow" w:hAnsi="Arial Narrow" w:cs="Calibri"/>
                <w:sz w:val="22"/>
                <w:szCs w:val="22"/>
              </w:rPr>
              <w:t>33 €/t</w:t>
            </w:r>
          </w:p>
        </w:tc>
        <w:tc>
          <w:tcPr>
            <w:tcW w:w="850" w:type="dxa"/>
            <w:shd w:val="clear" w:color="auto" w:fill="auto"/>
            <w:noWrap/>
            <w:vAlign w:val="bottom"/>
            <w:hideMark/>
          </w:tcPr>
          <w:p w14:paraId="669EB4ED" w14:textId="77777777" w:rsidR="00DF1B1A" w:rsidRPr="00430A79" w:rsidRDefault="00DF1B1A" w:rsidP="00DF1B1A">
            <w:pPr>
              <w:jc w:val="right"/>
              <w:rPr>
                <w:rFonts w:ascii="Arial Narrow" w:hAnsi="Arial Narrow" w:cs="Calibri"/>
                <w:sz w:val="22"/>
                <w:szCs w:val="22"/>
                <w:highlight w:val="yellow"/>
                <w:lang w:val="en-GB" w:eastAsia="en-GB"/>
              </w:rPr>
            </w:pPr>
            <w:r w:rsidRPr="00430A79">
              <w:rPr>
                <w:rFonts w:ascii="Arial Narrow" w:hAnsi="Arial Narrow" w:cs="Calibri"/>
                <w:sz w:val="22"/>
                <w:szCs w:val="22"/>
              </w:rPr>
              <w:t>32 €/t</w:t>
            </w:r>
          </w:p>
        </w:tc>
        <w:tc>
          <w:tcPr>
            <w:tcW w:w="941" w:type="dxa"/>
            <w:shd w:val="clear" w:color="auto" w:fill="auto"/>
            <w:noWrap/>
            <w:vAlign w:val="bottom"/>
            <w:hideMark/>
          </w:tcPr>
          <w:p w14:paraId="718FE4ED"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hAnsi="Arial Narrow" w:cs="Calibri"/>
                <w:sz w:val="22"/>
                <w:szCs w:val="22"/>
              </w:rPr>
              <w:t>26 €/t</w:t>
            </w:r>
          </w:p>
        </w:tc>
      </w:tr>
      <w:tr w:rsidR="00DF1B1A" w:rsidRPr="00430A79" w14:paraId="115E804F" w14:textId="77777777" w:rsidTr="00D03949">
        <w:trPr>
          <w:trHeight w:val="290"/>
        </w:trPr>
        <w:tc>
          <w:tcPr>
            <w:tcW w:w="4531" w:type="dxa"/>
            <w:shd w:val="clear" w:color="auto" w:fill="auto"/>
            <w:noWrap/>
            <w:vAlign w:val="bottom"/>
            <w:hideMark/>
          </w:tcPr>
          <w:p w14:paraId="2E652D54" w14:textId="1124F108" w:rsidR="00DF1B1A" w:rsidRPr="009F5CA1" w:rsidRDefault="00DF1B1A" w:rsidP="00DF1B1A">
            <w:pPr>
              <w:rPr>
                <w:rFonts w:ascii="Arial Narrow" w:hAnsi="Arial Narrow" w:cs="Calibri"/>
                <w:sz w:val="22"/>
                <w:szCs w:val="22"/>
                <w:lang w:eastAsia="en-GB"/>
              </w:rPr>
            </w:pPr>
            <w:r w:rsidRPr="00BE2534">
              <w:rPr>
                <w:rFonts w:ascii="Arial Narrow" w:hAnsi="Arial Narrow" w:cs="Calibri"/>
                <w:sz w:val="22"/>
                <w:szCs w:val="22"/>
                <w:lang w:val="sq-AL" w:eastAsia="en-GB"/>
              </w:rPr>
              <w:t>Kostoja totale, për ton mbeturina të përziera të mbledhura</w:t>
            </w:r>
          </w:p>
        </w:tc>
        <w:tc>
          <w:tcPr>
            <w:tcW w:w="851" w:type="dxa"/>
            <w:shd w:val="clear" w:color="auto" w:fill="auto"/>
            <w:noWrap/>
            <w:vAlign w:val="bottom"/>
            <w:hideMark/>
          </w:tcPr>
          <w:p w14:paraId="7A88B3D9"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hAnsi="Arial Narrow" w:cs="Calibri"/>
                <w:sz w:val="22"/>
                <w:szCs w:val="22"/>
              </w:rPr>
              <w:t>99 €/t</w:t>
            </w:r>
          </w:p>
        </w:tc>
        <w:tc>
          <w:tcPr>
            <w:tcW w:w="992" w:type="dxa"/>
            <w:shd w:val="clear" w:color="auto" w:fill="auto"/>
            <w:noWrap/>
            <w:vAlign w:val="bottom"/>
            <w:hideMark/>
          </w:tcPr>
          <w:p w14:paraId="69687ED8"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hAnsi="Arial Narrow" w:cs="Calibri"/>
                <w:sz w:val="22"/>
                <w:szCs w:val="22"/>
              </w:rPr>
              <w:t>130 €/t</w:t>
            </w:r>
          </w:p>
        </w:tc>
        <w:tc>
          <w:tcPr>
            <w:tcW w:w="851" w:type="dxa"/>
            <w:shd w:val="clear" w:color="auto" w:fill="auto"/>
            <w:noWrap/>
            <w:vAlign w:val="bottom"/>
            <w:hideMark/>
          </w:tcPr>
          <w:p w14:paraId="68D71DC7"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hAnsi="Arial Narrow" w:cs="Calibri"/>
                <w:sz w:val="22"/>
                <w:szCs w:val="22"/>
              </w:rPr>
              <w:t>139 €/t</w:t>
            </w:r>
          </w:p>
        </w:tc>
        <w:tc>
          <w:tcPr>
            <w:tcW w:w="850" w:type="dxa"/>
            <w:shd w:val="clear" w:color="auto" w:fill="auto"/>
            <w:noWrap/>
            <w:vAlign w:val="bottom"/>
            <w:hideMark/>
          </w:tcPr>
          <w:p w14:paraId="1F9E380E"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hAnsi="Arial Narrow" w:cs="Calibri"/>
                <w:sz w:val="22"/>
                <w:szCs w:val="22"/>
              </w:rPr>
              <w:t>129 €/t</w:t>
            </w:r>
          </w:p>
        </w:tc>
        <w:tc>
          <w:tcPr>
            <w:tcW w:w="941" w:type="dxa"/>
            <w:shd w:val="clear" w:color="auto" w:fill="auto"/>
            <w:noWrap/>
            <w:vAlign w:val="bottom"/>
            <w:hideMark/>
          </w:tcPr>
          <w:p w14:paraId="13D945FC"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hAnsi="Arial Narrow" w:cs="Calibri"/>
                <w:sz w:val="22"/>
                <w:szCs w:val="22"/>
              </w:rPr>
              <w:t>127 €/t</w:t>
            </w:r>
          </w:p>
        </w:tc>
      </w:tr>
      <w:tr w:rsidR="00DF1B1A" w:rsidRPr="00430A79" w14:paraId="48EA9BC2" w14:textId="77777777" w:rsidTr="00D03949">
        <w:trPr>
          <w:trHeight w:val="290"/>
        </w:trPr>
        <w:tc>
          <w:tcPr>
            <w:tcW w:w="4531" w:type="dxa"/>
            <w:shd w:val="clear" w:color="auto" w:fill="auto"/>
            <w:noWrap/>
            <w:vAlign w:val="bottom"/>
            <w:hideMark/>
          </w:tcPr>
          <w:p w14:paraId="716D0D2B" w14:textId="0B3FDC82" w:rsidR="00DF1B1A" w:rsidRPr="009F5CA1" w:rsidRDefault="00DF1B1A" w:rsidP="00DF1B1A">
            <w:pPr>
              <w:rPr>
                <w:rFonts w:ascii="Arial Narrow" w:hAnsi="Arial Narrow" w:cs="Calibri"/>
                <w:sz w:val="22"/>
                <w:szCs w:val="22"/>
                <w:lang w:eastAsia="en-GB"/>
              </w:rPr>
            </w:pPr>
            <w:r w:rsidRPr="00BE2534">
              <w:rPr>
                <w:rFonts w:ascii="Arial Narrow" w:hAnsi="Arial Narrow" w:cs="Calibri"/>
                <w:sz w:val="22"/>
                <w:szCs w:val="22"/>
                <w:lang w:val="sq-AL" w:eastAsia="en-GB"/>
              </w:rPr>
              <w:t>Mbeturinat e përziera të grumbulluara për person nga amvisërinë (supozimi se 75% e mbeturinave janë nga amvisëritë, 25% nga institucionet dhe entitetet juridike), 2035</w:t>
            </w:r>
          </w:p>
        </w:tc>
        <w:tc>
          <w:tcPr>
            <w:tcW w:w="851" w:type="dxa"/>
            <w:shd w:val="clear" w:color="auto" w:fill="auto"/>
            <w:noWrap/>
            <w:vAlign w:val="bottom"/>
            <w:hideMark/>
          </w:tcPr>
          <w:p w14:paraId="7F9F2CD8"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eastAsia="Aptos" w:hAnsi="Arial Narrow" w:cs="Calibri"/>
                <w:sz w:val="22"/>
                <w:szCs w:val="22"/>
                <w:lang w:val="en-GB"/>
              </w:rPr>
              <w:t>0.255 t</w:t>
            </w:r>
          </w:p>
        </w:tc>
        <w:tc>
          <w:tcPr>
            <w:tcW w:w="992" w:type="dxa"/>
            <w:shd w:val="clear" w:color="auto" w:fill="auto"/>
            <w:noWrap/>
            <w:vAlign w:val="bottom"/>
            <w:hideMark/>
          </w:tcPr>
          <w:p w14:paraId="18884EFC"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eastAsia="Aptos" w:hAnsi="Arial Narrow" w:cs="Calibri"/>
                <w:sz w:val="22"/>
                <w:szCs w:val="22"/>
                <w:lang w:val="en-GB"/>
              </w:rPr>
              <w:t>0.192t</w:t>
            </w:r>
          </w:p>
        </w:tc>
        <w:tc>
          <w:tcPr>
            <w:tcW w:w="851" w:type="dxa"/>
            <w:shd w:val="clear" w:color="auto" w:fill="auto"/>
            <w:noWrap/>
            <w:vAlign w:val="bottom"/>
            <w:hideMark/>
          </w:tcPr>
          <w:p w14:paraId="404ADE68"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eastAsia="Aptos" w:hAnsi="Arial Narrow" w:cs="Calibri"/>
                <w:sz w:val="22"/>
                <w:szCs w:val="22"/>
                <w:lang w:val="en-GB"/>
              </w:rPr>
              <w:t>0.143t</w:t>
            </w:r>
          </w:p>
        </w:tc>
        <w:tc>
          <w:tcPr>
            <w:tcW w:w="850" w:type="dxa"/>
            <w:shd w:val="clear" w:color="auto" w:fill="auto"/>
            <w:noWrap/>
            <w:vAlign w:val="bottom"/>
            <w:hideMark/>
          </w:tcPr>
          <w:p w14:paraId="134312DA"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eastAsia="Aptos" w:hAnsi="Arial Narrow" w:cs="Calibri"/>
                <w:sz w:val="22"/>
                <w:szCs w:val="22"/>
                <w:lang w:val="en-GB"/>
              </w:rPr>
              <w:t>0.145t</w:t>
            </w:r>
          </w:p>
        </w:tc>
        <w:tc>
          <w:tcPr>
            <w:tcW w:w="941" w:type="dxa"/>
            <w:shd w:val="clear" w:color="auto" w:fill="auto"/>
            <w:noWrap/>
            <w:vAlign w:val="bottom"/>
            <w:hideMark/>
          </w:tcPr>
          <w:p w14:paraId="0F36EB39"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eastAsia="Aptos" w:hAnsi="Arial Narrow" w:cs="Calibri"/>
                <w:sz w:val="22"/>
                <w:szCs w:val="22"/>
                <w:lang w:val="en-GB"/>
              </w:rPr>
              <w:t>0.123t</w:t>
            </w:r>
          </w:p>
        </w:tc>
      </w:tr>
      <w:tr w:rsidR="00DF1B1A" w:rsidRPr="00430A79" w14:paraId="55486C76" w14:textId="77777777" w:rsidTr="00D03949">
        <w:trPr>
          <w:trHeight w:val="290"/>
        </w:trPr>
        <w:tc>
          <w:tcPr>
            <w:tcW w:w="4531" w:type="dxa"/>
            <w:shd w:val="clear" w:color="auto" w:fill="auto"/>
            <w:noWrap/>
            <w:vAlign w:val="bottom"/>
            <w:hideMark/>
          </w:tcPr>
          <w:p w14:paraId="6B664833" w14:textId="5C758EF7" w:rsidR="00DF1B1A" w:rsidRPr="009F5CA1" w:rsidRDefault="00DF1B1A" w:rsidP="00DF1B1A">
            <w:pPr>
              <w:rPr>
                <w:rFonts w:ascii="Arial Narrow" w:hAnsi="Arial Narrow" w:cs="Calibri"/>
                <w:sz w:val="22"/>
                <w:szCs w:val="22"/>
                <w:lang w:val="es-ES" w:eastAsia="en-GB"/>
              </w:rPr>
            </w:pPr>
            <w:r w:rsidRPr="00BE2534">
              <w:rPr>
                <w:rFonts w:ascii="Arial Narrow" w:hAnsi="Arial Narrow" w:cs="Calibri"/>
                <w:sz w:val="22"/>
                <w:szCs w:val="22"/>
                <w:lang w:val="sq-AL" w:eastAsia="en-GB"/>
              </w:rPr>
              <w:t>Tarifa mujore për person ( përfshirë 8% TVSH)</w:t>
            </w:r>
          </w:p>
        </w:tc>
        <w:tc>
          <w:tcPr>
            <w:tcW w:w="851" w:type="dxa"/>
            <w:shd w:val="clear" w:color="auto" w:fill="auto"/>
            <w:noWrap/>
            <w:vAlign w:val="center"/>
            <w:hideMark/>
          </w:tcPr>
          <w:p w14:paraId="4DECCDDA"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eastAsia="Aptos" w:hAnsi="Arial Narrow" w:cs="Calibri"/>
                <w:sz w:val="22"/>
                <w:szCs w:val="22"/>
                <w:lang w:val="en-GB"/>
              </w:rPr>
              <w:t>2.3 €</w:t>
            </w:r>
          </w:p>
        </w:tc>
        <w:tc>
          <w:tcPr>
            <w:tcW w:w="992" w:type="dxa"/>
            <w:shd w:val="clear" w:color="auto" w:fill="auto"/>
            <w:noWrap/>
            <w:vAlign w:val="center"/>
            <w:hideMark/>
          </w:tcPr>
          <w:p w14:paraId="10A211D2"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eastAsia="Aptos" w:hAnsi="Arial Narrow" w:cs="Calibri"/>
                <w:sz w:val="22"/>
                <w:szCs w:val="22"/>
                <w:lang w:val="en-GB"/>
              </w:rPr>
              <w:t>2.3 €</w:t>
            </w:r>
          </w:p>
        </w:tc>
        <w:tc>
          <w:tcPr>
            <w:tcW w:w="851" w:type="dxa"/>
            <w:shd w:val="clear" w:color="auto" w:fill="auto"/>
            <w:noWrap/>
            <w:vAlign w:val="center"/>
            <w:hideMark/>
          </w:tcPr>
          <w:p w14:paraId="34924ECD"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eastAsia="Aptos" w:hAnsi="Arial Narrow" w:cs="Calibri"/>
                <w:sz w:val="22"/>
                <w:szCs w:val="22"/>
                <w:lang w:val="en-GB"/>
              </w:rPr>
              <w:t>1.8 €</w:t>
            </w:r>
          </w:p>
        </w:tc>
        <w:tc>
          <w:tcPr>
            <w:tcW w:w="850" w:type="dxa"/>
            <w:shd w:val="clear" w:color="auto" w:fill="auto"/>
            <w:noWrap/>
            <w:vAlign w:val="center"/>
            <w:hideMark/>
          </w:tcPr>
          <w:p w14:paraId="6BE5DA13"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eastAsia="Aptos" w:hAnsi="Arial Narrow" w:cs="Calibri"/>
                <w:sz w:val="22"/>
                <w:szCs w:val="22"/>
                <w:lang w:val="en-GB"/>
              </w:rPr>
              <w:t>1.7 €</w:t>
            </w:r>
          </w:p>
        </w:tc>
        <w:tc>
          <w:tcPr>
            <w:tcW w:w="941" w:type="dxa"/>
            <w:shd w:val="clear" w:color="auto" w:fill="auto"/>
            <w:noWrap/>
            <w:vAlign w:val="center"/>
            <w:hideMark/>
          </w:tcPr>
          <w:p w14:paraId="6BEBEF4E"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eastAsia="Aptos" w:hAnsi="Arial Narrow" w:cs="Calibri"/>
                <w:sz w:val="22"/>
                <w:szCs w:val="22"/>
                <w:lang w:val="en-GB"/>
              </w:rPr>
              <w:t>1.4 €</w:t>
            </w:r>
          </w:p>
        </w:tc>
      </w:tr>
      <w:tr w:rsidR="00DF1B1A" w:rsidRPr="00430A79" w14:paraId="49B8CE07" w14:textId="77777777" w:rsidTr="00D03949">
        <w:trPr>
          <w:trHeight w:val="310"/>
        </w:trPr>
        <w:tc>
          <w:tcPr>
            <w:tcW w:w="4531" w:type="dxa"/>
            <w:shd w:val="clear" w:color="auto" w:fill="auto"/>
            <w:noWrap/>
            <w:vAlign w:val="bottom"/>
            <w:hideMark/>
          </w:tcPr>
          <w:p w14:paraId="5675BEB6" w14:textId="730F3ADE" w:rsidR="00DF1B1A" w:rsidRPr="009F5CA1" w:rsidRDefault="00DF1B1A" w:rsidP="00DF1B1A">
            <w:pPr>
              <w:rPr>
                <w:rFonts w:ascii="Arial Narrow" w:hAnsi="Arial Narrow" w:cs="Calibri"/>
                <w:sz w:val="22"/>
                <w:szCs w:val="22"/>
                <w:lang w:eastAsia="en-GB"/>
              </w:rPr>
            </w:pPr>
            <w:r w:rsidRPr="00BE2534">
              <w:rPr>
                <w:rFonts w:ascii="Arial Narrow" w:hAnsi="Arial Narrow" w:cs="Calibri"/>
                <w:sz w:val="22"/>
                <w:szCs w:val="22"/>
                <w:lang w:val="sq-AL" w:eastAsia="en-GB"/>
              </w:rPr>
              <w:t>Prag</w:t>
            </w:r>
            <w:r>
              <w:rPr>
                <w:rFonts w:ascii="Arial Narrow" w:hAnsi="Arial Narrow" w:cs="Calibri"/>
                <w:sz w:val="22"/>
                <w:szCs w:val="22"/>
                <w:lang w:val="sq-AL" w:eastAsia="en-GB"/>
              </w:rPr>
              <w:t>u</w:t>
            </w:r>
            <w:r w:rsidRPr="00BE2534">
              <w:rPr>
                <w:rFonts w:ascii="Arial Narrow" w:hAnsi="Arial Narrow" w:cs="Calibri"/>
                <w:sz w:val="22"/>
                <w:szCs w:val="22"/>
                <w:lang w:val="sq-AL" w:eastAsia="en-GB"/>
              </w:rPr>
              <w:t xml:space="preserve"> i përballueshëm 2035, tarifë mujore për person</w:t>
            </w:r>
          </w:p>
        </w:tc>
        <w:tc>
          <w:tcPr>
            <w:tcW w:w="851" w:type="dxa"/>
            <w:shd w:val="clear" w:color="auto" w:fill="auto"/>
            <w:noWrap/>
            <w:vAlign w:val="center"/>
            <w:hideMark/>
          </w:tcPr>
          <w:p w14:paraId="7E222FC5"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eastAsia="Aptos" w:hAnsi="Arial Narrow" w:cs="Calibri"/>
                <w:sz w:val="22"/>
                <w:szCs w:val="22"/>
                <w:lang w:val="en-GB"/>
              </w:rPr>
              <w:t>2.6 €</w:t>
            </w:r>
          </w:p>
        </w:tc>
        <w:tc>
          <w:tcPr>
            <w:tcW w:w="992" w:type="dxa"/>
            <w:shd w:val="clear" w:color="auto" w:fill="auto"/>
            <w:noWrap/>
            <w:vAlign w:val="center"/>
            <w:hideMark/>
          </w:tcPr>
          <w:p w14:paraId="008F88BD"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eastAsia="Aptos" w:hAnsi="Arial Narrow" w:cs="Calibri"/>
                <w:sz w:val="22"/>
                <w:szCs w:val="22"/>
                <w:lang w:val="en-GB"/>
              </w:rPr>
              <w:t>2.6 €</w:t>
            </w:r>
          </w:p>
        </w:tc>
        <w:tc>
          <w:tcPr>
            <w:tcW w:w="851" w:type="dxa"/>
            <w:shd w:val="clear" w:color="auto" w:fill="auto"/>
            <w:noWrap/>
            <w:vAlign w:val="center"/>
            <w:hideMark/>
          </w:tcPr>
          <w:p w14:paraId="1D7D6AFE"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eastAsia="Aptos" w:hAnsi="Arial Narrow" w:cs="Calibri"/>
                <w:sz w:val="22"/>
                <w:szCs w:val="22"/>
                <w:lang w:val="en-GB"/>
              </w:rPr>
              <w:t>2.6 €</w:t>
            </w:r>
          </w:p>
        </w:tc>
        <w:tc>
          <w:tcPr>
            <w:tcW w:w="850" w:type="dxa"/>
            <w:shd w:val="clear" w:color="auto" w:fill="auto"/>
            <w:noWrap/>
            <w:vAlign w:val="center"/>
            <w:hideMark/>
          </w:tcPr>
          <w:p w14:paraId="6F7E4BD1"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eastAsia="Aptos" w:hAnsi="Arial Narrow" w:cs="Calibri"/>
                <w:sz w:val="22"/>
                <w:szCs w:val="22"/>
                <w:lang w:val="en-GB"/>
              </w:rPr>
              <w:t>2.6 €</w:t>
            </w:r>
          </w:p>
        </w:tc>
        <w:tc>
          <w:tcPr>
            <w:tcW w:w="941" w:type="dxa"/>
            <w:shd w:val="clear" w:color="auto" w:fill="auto"/>
            <w:noWrap/>
            <w:vAlign w:val="center"/>
            <w:hideMark/>
          </w:tcPr>
          <w:p w14:paraId="5B2F8972" w14:textId="77777777" w:rsidR="00DF1B1A" w:rsidRPr="00430A79" w:rsidRDefault="00DF1B1A" w:rsidP="00DF1B1A">
            <w:pPr>
              <w:jc w:val="right"/>
              <w:rPr>
                <w:rFonts w:ascii="Arial Narrow" w:hAnsi="Arial Narrow" w:cs="Calibri"/>
                <w:sz w:val="22"/>
                <w:szCs w:val="22"/>
                <w:lang w:val="en-GB" w:eastAsia="en-GB"/>
              </w:rPr>
            </w:pPr>
            <w:r w:rsidRPr="00430A79">
              <w:rPr>
                <w:rFonts w:ascii="Arial Narrow" w:eastAsia="Aptos" w:hAnsi="Arial Narrow" w:cs="Calibri"/>
                <w:sz w:val="22"/>
                <w:szCs w:val="22"/>
                <w:lang w:val="en-GB"/>
              </w:rPr>
              <w:t>2.6 €</w:t>
            </w:r>
          </w:p>
        </w:tc>
      </w:tr>
    </w:tbl>
    <w:p w14:paraId="51C4C6CC" w14:textId="77777777" w:rsidR="00430A79" w:rsidRPr="00430A79" w:rsidRDefault="00430A79" w:rsidP="00430A79">
      <w:pPr>
        <w:jc w:val="both"/>
        <w:rPr>
          <w:rFonts w:ascii="Arial Narrow" w:eastAsia="Aptos" w:hAnsi="Arial Narrow" w:cs="Calibri"/>
          <w:sz w:val="22"/>
          <w:szCs w:val="22"/>
          <w:lang w:val="en-GB"/>
        </w:rPr>
      </w:pPr>
    </w:p>
    <w:p w14:paraId="48339E97" w14:textId="77777777" w:rsidR="00DF1B1A" w:rsidRPr="00BE2534" w:rsidRDefault="00DF1B1A" w:rsidP="00DF1B1A">
      <w:pPr>
        <w:jc w:val="both"/>
        <w:rPr>
          <w:rFonts w:ascii="Arial Narrow" w:eastAsia="Calibri" w:hAnsi="Arial Narrow" w:cs="Calibri"/>
          <w:kern w:val="2"/>
          <w:sz w:val="22"/>
          <w:szCs w:val="22"/>
          <w:lang w:val="sq-AL"/>
          <w14:ligatures w14:val="standardContextual"/>
        </w:rPr>
      </w:pPr>
      <w:r w:rsidRPr="00BE2534">
        <w:rPr>
          <w:rFonts w:ascii="Arial Narrow" w:eastAsia="Calibri" w:hAnsi="Arial Narrow" w:cs="Calibri"/>
          <w:kern w:val="2"/>
          <w:sz w:val="22"/>
          <w:szCs w:val="22"/>
          <w:lang w:val="sq-AL"/>
          <w14:ligatures w14:val="standardContextual"/>
        </w:rPr>
        <w:t xml:space="preserve">Ndërsa kostoja për ton për Pejën është më e ulëta, pagesa mujore për person është më e larta për shkak të gjenerimit më të madh të mbeturinave. Kostoja për ton në deponi është e njëjtë për të gjitha komunat, megjithatë për shkak të dallimeve në përbërjen e mbeturinave, pjesë të ndryshme të mbeturinave shmangen nga grumbullimi </w:t>
      </w:r>
      <w:r>
        <w:rPr>
          <w:rFonts w:ascii="Arial Narrow" w:eastAsia="Calibri" w:hAnsi="Arial Narrow" w:cs="Calibri"/>
          <w:kern w:val="2"/>
          <w:sz w:val="22"/>
          <w:szCs w:val="22"/>
          <w:lang w:val="sq-AL"/>
          <w14:ligatures w14:val="standardContextual"/>
        </w:rPr>
        <w:t>ndaras</w:t>
      </w:r>
      <w:r w:rsidRPr="00BE2534">
        <w:rPr>
          <w:rFonts w:ascii="Arial Narrow" w:eastAsia="Calibri" w:hAnsi="Arial Narrow" w:cs="Calibri"/>
          <w:kern w:val="2"/>
          <w:sz w:val="22"/>
          <w:szCs w:val="22"/>
          <w:lang w:val="sq-AL"/>
          <w14:ligatures w14:val="standardContextual"/>
        </w:rPr>
        <w:t>, klasifikimi, kompostimi i mbeturinave të gjelbra, kështu që kostot për ton mbeturina të përziera ndryshojnë.</w:t>
      </w:r>
    </w:p>
    <w:p w14:paraId="7F57D7B3" w14:textId="77777777" w:rsidR="00DF1B1A" w:rsidRPr="00BE2534" w:rsidRDefault="00DF1B1A" w:rsidP="00DF1B1A">
      <w:pPr>
        <w:jc w:val="both"/>
        <w:rPr>
          <w:rFonts w:ascii="Arial Narrow" w:eastAsia="Aptos" w:hAnsi="Arial Narrow"/>
          <w:sz w:val="22"/>
          <w:szCs w:val="22"/>
          <w:lang w:val="sq-AL"/>
        </w:rPr>
      </w:pPr>
    </w:p>
    <w:p w14:paraId="67FAEDDA" w14:textId="0E619441" w:rsidR="00DF1B1A" w:rsidRPr="00BE2534" w:rsidRDefault="00DF1B1A" w:rsidP="00DF1B1A">
      <w:pPr>
        <w:jc w:val="both"/>
        <w:rPr>
          <w:rFonts w:ascii="Arial Narrow" w:eastAsia="Aptos" w:hAnsi="Arial Narrow" w:cs="Calibri"/>
          <w:sz w:val="22"/>
          <w:szCs w:val="22"/>
          <w:lang w:val="sq-AL"/>
        </w:rPr>
      </w:pPr>
      <w:r w:rsidRPr="00BE2534">
        <w:rPr>
          <w:rFonts w:ascii="Arial Narrow" w:eastAsia="Aptos" w:hAnsi="Arial Narrow" w:cs="Calibri"/>
          <w:sz w:val="22"/>
          <w:szCs w:val="22"/>
          <w:lang w:val="sq-AL"/>
        </w:rPr>
        <w:t>Krahasim shtesë është bërë për 3 komunat me transfer mbeturinash për opsionin e stacionit të transferit me ngjeshje dhe është paraqitur në tabelën e mëposhtme. Opsioni për stacionet e transferimit me ngjeshje është 85% më i shtrenjtë si kosto investimi dhe 30% më shumë si kosto operacionale në krahasim me opsionin pa ngjeshje, duke çuar në një kosto shtesë totale prej 50%</w:t>
      </w:r>
      <w:r>
        <w:rPr>
          <w:rFonts w:ascii="Arial Narrow" w:eastAsia="Aptos" w:hAnsi="Arial Narrow" w:cs="Calibri"/>
          <w:sz w:val="22"/>
          <w:szCs w:val="22"/>
          <w:lang w:val="sq-AL"/>
        </w:rPr>
        <w:t>.</w:t>
      </w:r>
    </w:p>
    <w:p w14:paraId="01FA5159" w14:textId="77777777" w:rsidR="002F45E2" w:rsidRPr="009F5CA1" w:rsidRDefault="002F45E2" w:rsidP="00430A79">
      <w:pPr>
        <w:jc w:val="both"/>
        <w:rPr>
          <w:rFonts w:ascii="Arial Narrow" w:eastAsia="Aptos" w:hAnsi="Arial Narrow" w:cs="Calibri"/>
          <w:sz w:val="22"/>
          <w:szCs w:val="22"/>
          <w:lang w:val="sq-AL"/>
        </w:rPr>
      </w:pPr>
    </w:p>
    <w:p w14:paraId="46F8A7BA" w14:textId="52FF917C" w:rsidR="00430A79" w:rsidRPr="009F5CA1" w:rsidRDefault="00430A79" w:rsidP="00430A79">
      <w:pPr>
        <w:spacing w:after="120"/>
        <w:rPr>
          <w:rFonts w:ascii="Arial Narrow" w:eastAsia="Calibri" w:hAnsi="Arial Narrow" w:cs="Calibri"/>
          <w:color w:val="1F497D"/>
          <w:sz w:val="20"/>
          <w:szCs w:val="20"/>
          <w:lang w:val="es-ES"/>
        </w:rPr>
      </w:pPr>
      <w:bookmarkStart w:id="513" w:name="_Toc185866235"/>
      <w:bookmarkStart w:id="514" w:name="_Toc197472264"/>
      <w:proofErr w:type="spellStart"/>
      <w:r w:rsidRPr="009F5CA1">
        <w:rPr>
          <w:rFonts w:ascii="Arial Narrow" w:eastAsia="Calibri" w:hAnsi="Arial Narrow" w:cs="Calibri"/>
          <w:color w:val="1F497D"/>
          <w:sz w:val="20"/>
          <w:szCs w:val="20"/>
          <w:lang w:val="es-ES"/>
        </w:rPr>
        <w:t>Tabela</w:t>
      </w:r>
      <w:proofErr w:type="spellEnd"/>
      <w:r w:rsidRPr="009F5CA1">
        <w:rPr>
          <w:rFonts w:ascii="Arial Narrow" w:eastAsia="Calibri" w:hAnsi="Arial Narrow" w:cs="Calibri"/>
          <w:color w:val="1F497D"/>
          <w:sz w:val="20"/>
          <w:szCs w:val="20"/>
          <w:lang w:val="es-ES"/>
        </w:rPr>
        <w:t xml:space="preserve">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lang w:val="es-ES"/>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lang w:val="es-ES"/>
        </w:rPr>
        <w:t xml:space="preserve">79. </w:t>
      </w:r>
      <w:r w:rsidRPr="00430A79">
        <w:rPr>
          <w:rFonts w:ascii="Arial Narrow" w:eastAsia="Calibri" w:hAnsi="Arial Narrow" w:cs="Calibri"/>
          <w:color w:val="1F497D"/>
          <w:sz w:val="20"/>
          <w:szCs w:val="20"/>
          <w:lang w:val="en-GB"/>
        </w:rPr>
        <w:fldChar w:fldCharType="end"/>
      </w:r>
      <w:bookmarkEnd w:id="513"/>
      <w:r w:rsidR="00DF1B1A" w:rsidRPr="00DF1B1A">
        <w:rPr>
          <w:rFonts w:ascii="Arial Narrow" w:eastAsia="Calibri" w:hAnsi="Arial Narrow" w:cs="Calibri"/>
          <w:color w:val="1F497D"/>
          <w:sz w:val="20"/>
          <w:szCs w:val="20"/>
          <w:lang w:val="sq-AL"/>
        </w:rPr>
        <w:t xml:space="preserve"> </w:t>
      </w:r>
      <w:r w:rsidR="00DF1B1A" w:rsidRPr="00BE2534">
        <w:rPr>
          <w:rFonts w:ascii="Arial Narrow" w:eastAsia="Calibri" w:hAnsi="Arial Narrow" w:cs="Calibri"/>
          <w:color w:val="1F497D"/>
          <w:sz w:val="20"/>
          <w:szCs w:val="20"/>
          <w:lang w:val="sq-AL"/>
        </w:rPr>
        <w:t>Kostoja e rikuperimit për mbeturinat e përziera me stacion transferi me ngjeshje, 2035</w:t>
      </w:r>
      <w:bookmarkEnd w:id="514"/>
    </w:p>
    <w:tbl>
      <w:tblPr>
        <w:tblW w:w="5000" w:type="pct"/>
        <w:tblLayout w:type="fixed"/>
        <w:tblLook w:val="0420" w:firstRow="1" w:lastRow="0" w:firstColumn="0" w:lastColumn="0" w:noHBand="0" w:noVBand="1"/>
      </w:tblPr>
      <w:tblGrid>
        <w:gridCol w:w="6374"/>
        <w:gridCol w:w="992"/>
        <w:gridCol w:w="851"/>
        <w:gridCol w:w="799"/>
      </w:tblGrid>
      <w:tr w:rsidR="00430A79" w:rsidRPr="00430A79" w14:paraId="5636E8F6" w14:textId="77777777" w:rsidTr="00D03949">
        <w:trPr>
          <w:trHeight w:val="290"/>
          <w:tblHeader/>
        </w:trPr>
        <w:tc>
          <w:tcPr>
            <w:tcW w:w="3535" w:type="pct"/>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4C476349" w14:textId="106512B4" w:rsidR="00430A79" w:rsidRPr="00430A79" w:rsidRDefault="00DF1B1A" w:rsidP="00430A79">
            <w:pPr>
              <w:spacing w:before="40" w:after="40"/>
              <w:rPr>
                <w:rFonts w:ascii="Arial Narrow" w:hAnsi="Arial Narrow" w:cs="Calibri"/>
                <w:b/>
                <w:bCs/>
                <w:color w:val="FFFFFF" w:themeColor="background1"/>
                <w:sz w:val="22"/>
                <w:szCs w:val="22"/>
                <w:lang w:val="en-GB" w:eastAsia="en-GB"/>
              </w:rPr>
            </w:pPr>
            <w:proofErr w:type="spellStart"/>
            <w:r>
              <w:rPr>
                <w:rFonts w:ascii="Arial Narrow" w:hAnsi="Arial Narrow" w:cs="Calibri"/>
                <w:b/>
                <w:bCs/>
                <w:color w:val="FFFFFF" w:themeColor="background1"/>
                <w:sz w:val="22"/>
                <w:szCs w:val="22"/>
                <w:lang w:val="en-GB" w:eastAsia="en-GB"/>
              </w:rPr>
              <w:t>Përbërësit</w:t>
            </w:r>
            <w:proofErr w:type="spellEnd"/>
            <w:r>
              <w:rPr>
                <w:rFonts w:ascii="Arial Narrow" w:hAnsi="Arial Narrow" w:cs="Calibri"/>
                <w:b/>
                <w:bCs/>
                <w:color w:val="FFFFFF" w:themeColor="background1"/>
                <w:sz w:val="22"/>
                <w:szCs w:val="22"/>
                <w:lang w:val="en-GB" w:eastAsia="en-GB"/>
              </w:rPr>
              <w:t xml:space="preserve"> </w:t>
            </w:r>
            <w:r w:rsidR="00430A79" w:rsidRPr="00430A79">
              <w:rPr>
                <w:rFonts w:ascii="Arial Narrow" w:hAnsi="Arial Narrow" w:cs="Calibri"/>
                <w:b/>
                <w:bCs/>
                <w:color w:val="FFFFFF" w:themeColor="background1"/>
                <w:sz w:val="22"/>
                <w:szCs w:val="22"/>
                <w:lang w:val="en-GB" w:eastAsia="en-GB"/>
              </w:rPr>
              <w:t xml:space="preserve">e </w:t>
            </w:r>
            <w:proofErr w:type="spellStart"/>
            <w:r>
              <w:rPr>
                <w:rFonts w:ascii="Arial Narrow" w:hAnsi="Arial Narrow" w:cs="Calibri"/>
                <w:b/>
                <w:bCs/>
                <w:color w:val="FFFFFF" w:themeColor="background1"/>
                <w:sz w:val="22"/>
                <w:szCs w:val="22"/>
                <w:lang w:val="en-GB" w:eastAsia="en-GB"/>
              </w:rPr>
              <w:t>k</w:t>
            </w:r>
            <w:r w:rsidR="00430A79" w:rsidRPr="00430A79">
              <w:rPr>
                <w:rFonts w:ascii="Arial Narrow" w:hAnsi="Arial Narrow" w:cs="Calibri"/>
                <w:b/>
                <w:bCs/>
                <w:color w:val="FFFFFF" w:themeColor="background1"/>
                <w:sz w:val="22"/>
                <w:szCs w:val="22"/>
                <w:lang w:val="en-GB" w:eastAsia="en-GB"/>
              </w:rPr>
              <w:t>ostos</w:t>
            </w:r>
            <w:proofErr w:type="spellEnd"/>
          </w:p>
        </w:tc>
        <w:tc>
          <w:tcPr>
            <w:tcW w:w="550" w:type="pct"/>
            <w:tcBorders>
              <w:top w:val="single" w:sz="4" w:space="0" w:color="auto"/>
              <w:left w:val="nil"/>
              <w:bottom w:val="single" w:sz="4" w:space="0" w:color="auto"/>
              <w:right w:val="single" w:sz="4" w:space="0" w:color="auto"/>
            </w:tcBorders>
            <w:shd w:val="clear" w:color="auto" w:fill="365F91"/>
            <w:noWrap/>
            <w:vAlign w:val="bottom"/>
            <w:hideMark/>
          </w:tcPr>
          <w:p w14:paraId="69B8C3C1" w14:textId="77777777" w:rsidR="00430A79" w:rsidRPr="00430A79" w:rsidRDefault="00430A79" w:rsidP="00430A79">
            <w:pPr>
              <w:spacing w:before="40" w:after="40"/>
              <w:rPr>
                <w:rFonts w:ascii="Arial Narrow" w:hAnsi="Arial Narrow" w:cs="Calibri"/>
                <w:b/>
                <w:bCs/>
                <w:color w:val="FFFFFF" w:themeColor="background1"/>
                <w:sz w:val="22"/>
                <w:szCs w:val="22"/>
                <w:lang w:val="en-GB" w:eastAsia="en-GB"/>
              </w:rPr>
            </w:pPr>
            <w:proofErr w:type="spellStart"/>
            <w:r w:rsidRPr="00430A79">
              <w:rPr>
                <w:rFonts w:ascii="Arial Narrow" w:hAnsi="Arial Narrow" w:cs="Calibri"/>
                <w:b/>
                <w:bCs/>
                <w:color w:val="FFFFFF" w:themeColor="background1"/>
                <w:sz w:val="22"/>
                <w:szCs w:val="22"/>
                <w:lang w:val="en-GB" w:eastAsia="en-GB"/>
              </w:rPr>
              <w:t>Istog</w:t>
            </w:r>
            <w:proofErr w:type="spellEnd"/>
          </w:p>
        </w:tc>
        <w:tc>
          <w:tcPr>
            <w:tcW w:w="472" w:type="pct"/>
            <w:tcBorders>
              <w:top w:val="single" w:sz="4" w:space="0" w:color="auto"/>
              <w:left w:val="nil"/>
              <w:bottom w:val="single" w:sz="4" w:space="0" w:color="auto"/>
              <w:right w:val="single" w:sz="4" w:space="0" w:color="auto"/>
            </w:tcBorders>
            <w:shd w:val="clear" w:color="auto" w:fill="365F91"/>
            <w:noWrap/>
            <w:vAlign w:val="bottom"/>
            <w:hideMark/>
          </w:tcPr>
          <w:p w14:paraId="703AB3F4" w14:textId="77777777" w:rsidR="00430A79" w:rsidRPr="00430A79" w:rsidRDefault="00430A79" w:rsidP="00430A79">
            <w:pPr>
              <w:spacing w:before="40" w:after="40"/>
              <w:rPr>
                <w:rFonts w:ascii="Arial Narrow" w:hAnsi="Arial Narrow" w:cs="Calibri"/>
                <w:b/>
                <w:bCs/>
                <w:color w:val="FFFFFF" w:themeColor="background1"/>
                <w:sz w:val="22"/>
                <w:szCs w:val="22"/>
                <w:lang w:val="en-GB" w:eastAsia="en-GB"/>
              </w:rPr>
            </w:pPr>
            <w:r w:rsidRPr="00430A79">
              <w:rPr>
                <w:rFonts w:ascii="Arial Narrow" w:hAnsi="Arial Narrow"/>
                <w:b/>
                <w:bCs/>
                <w:color w:val="FFFFFF" w:themeColor="background1"/>
                <w:sz w:val="22"/>
                <w:szCs w:val="22"/>
              </w:rPr>
              <w:t>Deçan</w:t>
            </w:r>
          </w:p>
        </w:tc>
        <w:tc>
          <w:tcPr>
            <w:tcW w:w="443" w:type="pct"/>
            <w:tcBorders>
              <w:top w:val="single" w:sz="4" w:space="0" w:color="auto"/>
              <w:left w:val="nil"/>
              <w:bottom w:val="single" w:sz="4" w:space="0" w:color="auto"/>
              <w:right w:val="single" w:sz="4" w:space="0" w:color="auto"/>
            </w:tcBorders>
            <w:shd w:val="clear" w:color="auto" w:fill="365F91"/>
            <w:noWrap/>
            <w:vAlign w:val="bottom"/>
            <w:hideMark/>
          </w:tcPr>
          <w:p w14:paraId="1716869D" w14:textId="77777777" w:rsidR="00430A79" w:rsidRPr="00430A79" w:rsidRDefault="00430A79" w:rsidP="00430A79">
            <w:pPr>
              <w:spacing w:before="40" w:after="40"/>
              <w:rPr>
                <w:rFonts w:ascii="Arial Narrow" w:hAnsi="Arial Narrow" w:cs="Calibri"/>
                <w:b/>
                <w:bCs/>
                <w:color w:val="FFFFFF" w:themeColor="background1"/>
                <w:sz w:val="22"/>
                <w:szCs w:val="22"/>
                <w:lang w:val="en-GB" w:eastAsia="en-GB"/>
              </w:rPr>
            </w:pPr>
            <w:proofErr w:type="spellStart"/>
            <w:r w:rsidRPr="00430A79">
              <w:rPr>
                <w:rFonts w:ascii="Arial Narrow" w:hAnsi="Arial Narrow" w:cs="Calibri"/>
                <w:b/>
                <w:bCs/>
                <w:color w:val="FFFFFF" w:themeColor="background1"/>
                <w:sz w:val="22"/>
                <w:szCs w:val="22"/>
                <w:lang w:val="en-GB" w:eastAsia="en-GB"/>
              </w:rPr>
              <w:t>Junik</w:t>
            </w:r>
            <w:proofErr w:type="spellEnd"/>
          </w:p>
        </w:tc>
      </w:tr>
      <w:tr w:rsidR="00DF1B1A" w:rsidRPr="00430A79" w14:paraId="7F60FBB8" w14:textId="77777777" w:rsidTr="00D03949">
        <w:trPr>
          <w:trHeight w:val="290"/>
        </w:trPr>
        <w:tc>
          <w:tcPr>
            <w:tcW w:w="3535" w:type="pct"/>
            <w:tcBorders>
              <w:top w:val="nil"/>
              <w:left w:val="single" w:sz="4" w:space="0" w:color="auto"/>
              <w:bottom w:val="single" w:sz="4" w:space="0" w:color="auto"/>
              <w:right w:val="single" w:sz="4" w:space="0" w:color="auto"/>
            </w:tcBorders>
            <w:shd w:val="clear" w:color="auto" w:fill="auto"/>
            <w:noWrap/>
            <w:vAlign w:val="bottom"/>
            <w:hideMark/>
          </w:tcPr>
          <w:p w14:paraId="1393FA7D" w14:textId="362EA342" w:rsidR="00DF1B1A" w:rsidRPr="009F5CA1" w:rsidRDefault="00DF1B1A" w:rsidP="00DF1B1A">
            <w:pPr>
              <w:spacing w:before="40" w:after="40"/>
              <w:rPr>
                <w:rFonts w:ascii="Arial Narrow" w:hAnsi="Arial Narrow" w:cs="Calibri"/>
                <w:sz w:val="22"/>
                <w:szCs w:val="22"/>
                <w:lang w:eastAsia="en-GB"/>
              </w:rPr>
            </w:pPr>
            <w:r w:rsidRPr="00BE2534">
              <w:rPr>
                <w:rFonts w:ascii="Arial Narrow" w:hAnsi="Arial Narrow" w:cs="Calibri"/>
                <w:sz w:val="22"/>
                <w:szCs w:val="22"/>
                <w:lang w:val="sq-AL" w:eastAsia="en-GB"/>
              </w:rPr>
              <w:t>Kosto shtesë në rast ngjeshjeje në lidhje me mbeturinat e përziera të grumbulluara</w:t>
            </w:r>
          </w:p>
        </w:tc>
        <w:tc>
          <w:tcPr>
            <w:tcW w:w="550" w:type="pct"/>
            <w:tcBorders>
              <w:top w:val="nil"/>
              <w:left w:val="nil"/>
              <w:bottom w:val="single" w:sz="4" w:space="0" w:color="auto"/>
              <w:right w:val="single" w:sz="4" w:space="0" w:color="auto"/>
            </w:tcBorders>
            <w:shd w:val="clear" w:color="auto" w:fill="auto"/>
            <w:noWrap/>
            <w:hideMark/>
          </w:tcPr>
          <w:p w14:paraId="2EFD4E13" w14:textId="1E7573FC" w:rsidR="00DF1B1A" w:rsidRPr="00430A79" w:rsidRDefault="00DF1B1A" w:rsidP="00DF1B1A">
            <w:pPr>
              <w:spacing w:before="40" w:after="40"/>
              <w:jc w:val="right"/>
              <w:rPr>
                <w:rFonts w:ascii="Arial Narrow" w:hAnsi="Arial Narrow" w:cs="Calibri"/>
                <w:sz w:val="22"/>
                <w:szCs w:val="22"/>
                <w:lang w:val="en-GB" w:eastAsia="en-GB"/>
              </w:rPr>
            </w:pPr>
            <w:r w:rsidRPr="00430A79">
              <w:rPr>
                <w:rFonts w:ascii="Arial Narrow" w:hAnsi="Arial Narrow"/>
                <w:sz w:val="22"/>
                <w:szCs w:val="22"/>
              </w:rPr>
              <w:t>10 €/t</w:t>
            </w:r>
          </w:p>
        </w:tc>
        <w:tc>
          <w:tcPr>
            <w:tcW w:w="472" w:type="pct"/>
            <w:tcBorders>
              <w:top w:val="nil"/>
              <w:left w:val="nil"/>
              <w:bottom w:val="single" w:sz="4" w:space="0" w:color="auto"/>
              <w:right w:val="single" w:sz="4" w:space="0" w:color="auto"/>
            </w:tcBorders>
            <w:shd w:val="clear" w:color="auto" w:fill="auto"/>
            <w:noWrap/>
            <w:hideMark/>
          </w:tcPr>
          <w:p w14:paraId="46A8FF60" w14:textId="7F8E956B" w:rsidR="00DF1B1A" w:rsidRPr="00430A79" w:rsidRDefault="00DF1B1A" w:rsidP="00DF1B1A">
            <w:pPr>
              <w:spacing w:before="40" w:after="40"/>
              <w:jc w:val="right"/>
              <w:rPr>
                <w:rFonts w:ascii="Arial Narrow" w:hAnsi="Arial Narrow" w:cs="Calibri"/>
                <w:sz w:val="22"/>
                <w:szCs w:val="22"/>
                <w:lang w:val="en-GB" w:eastAsia="en-GB"/>
              </w:rPr>
            </w:pPr>
            <w:r w:rsidRPr="00430A79">
              <w:rPr>
                <w:rFonts w:ascii="Arial Narrow" w:hAnsi="Arial Narrow"/>
                <w:sz w:val="22"/>
                <w:szCs w:val="22"/>
              </w:rPr>
              <w:t>11 €/t</w:t>
            </w:r>
          </w:p>
        </w:tc>
        <w:tc>
          <w:tcPr>
            <w:tcW w:w="443" w:type="pct"/>
            <w:tcBorders>
              <w:top w:val="nil"/>
              <w:left w:val="nil"/>
              <w:bottom w:val="single" w:sz="4" w:space="0" w:color="auto"/>
              <w:right w:val="single" w:sz="4" w:space="0" w:color="auto"/>
            </w:tcBorders>
            <w:shd w:val="clear" w:color="auto" w:fill="auto"/>
            <w:noWrap/>
            <w:hideMark/>
          </w:tcPr>
          <w:p w14:paraId="5C59E2DC" w14:textId="65518819" w:rsidR="00DF1B1A" w:rsidRPr="00430A79" w:rsidRDefault="00DF1B1A" w:rsidP="00DF1B1A">
            <w:pPr>
              <w:spacing w:before="40" w:after="40"/>
              <w:jc w:val="right"/>
              <w:rPr>
                <w:rFonts w:ascii="Arial Narrow" w:hAnsi="Arial Narrow" w:cs="Calibri"/>
                <w:sz w:val="22"/>
                <w:szCs w:val="22"/>
                <w:lang w:val="en-GB" w:eastAsia="en-GB"/>
              </w:rPr>
            </w:pPr>
            <w:r w:rsidRPr="00430A79">
              <w:rPr>
                <w:rFonts w:ascii="Arial Narrow" w:hAnsi="Arial Narrow"/>
                <w:sz w:val="22"/>
                <w:szCs w:val="22"/>
              </w:rPr>
              <w:t>11 €/t</w:t>
            </w:r>
          </w:p>
        </w:tc>
      </w:tr>
      <w:tr w:rsidR="00DF1B1A" w:rsidRPr="00430A79" w14:paraId="792567CE" w14:textId="77777777" w:rsidTr="00D03949">
        <w:trPr>
          <w:trHeight w:val="310"/>
        </w:trPr>
        <w:tc>
          <w:tcPr>
            <w:tcW w:w="3535" w:type="pct"/>
            <w:tcBorders>
              <w:top w:val="nil"/>
              <w:left w:val="single" w:sz="4" w:space="0" w:color="auto"/>
              <w:bottom w:val="single" w:sz="4" w:space="0" w:color="auto"/>
              <w:right w:val="single" w:sz="4" w:space="0" w:color="auto"/>
            </w:tcBorders>
            <w:shd w:val="clear" w:color="auto" w:fill="auto"/>
            <w:noWrap/>
            <w:vAlign w:val="bottom"/>
            <w:hideMark/>
          </w:tcPr>
          <w:p w14:paraId="46A5ADF7" w14:textId="66AB9C07" w:rsidR="00DF1B1A" w:rsidRPr="009F5CA1" w:rsidRDefault="00DF1B1A" w:rsidP="00DF1B1A">
            <w:pPr>
              <w:spacing w:before="40" w:after="40"/>
              <w:rPr>
                <w:rFonts w:ascii="Arial Narrow" w:hAnsi="Arial Narrow" w:cs="Calibri"/>
                <w:sz w:val="22"/>
                <w:szCs w:val="22"/>
                <w:lang w:eastAsia="en-GB"/>
              </w:rPr>
            </w:pPr>
            <w:r w:rsidRPr="00BE2534">
              <w:rPr>
                <w:rFonts w:ascii="Arial Narrow" w:hAnsi="Arial Narrow" w:cs="Calibri"/>
                <w:sz w:val="22"/>
                <w:szCs w:val="22"/>
                <w:lang w:val="sq-AL" w:eastAsia="en-GB"/>
              </w:rPr>
              <w:t>Kostoja totale për ton mbeturina të përziera të grumbulluara</w:t>
            </w:r>
          </w:p>
        </w:tc>
        <w:tc>
          <w:tcPr>
            <w:tcW w:w="550" w:type="pct"/>
            <w:tcBorders>
              <w:top w:val="nil"/>
              <w:left w:val="nil"/>
              <w:bottom w:val="single" w:sz="4" w:space="0" w:color="auto"/>
              <w:right w:val="single" w:sz="4" w:space="0" w:color="auto"/>
            </w:tcBorders>
            <w:shd w:val="clear" w:color="auto" w:fill="auto"/>
            <w:noWrap/>
            <w:hideMark/>
          </w:tcPr>
          <w:p w14:paraId="5D0FBAC4" w14:textId="77777777" w:rsidR="00DF1B1A" w:rsidRPr="00430A79" w:rsidRDefault="00DF1B1A" w:rsidP="00DF1B1A">
            <w:pPr>
              <w:spacing w:before="40" w:after="40"/>
              <w:jc w:val="right"/>
              <w:rPr>
                <w:rFonts w:ascii="Arial Narrow" w:hAnsi="Arial Narrow" w:cs="Calibri"/>
                <w:sz w:val="22"/>
                <w:szCs w:val="22"/>
                <w:lang w:val="en-GB" w:eastAsia="en-GB"/>
              </w:rPr>
            </w:pPr>
            <w:r w:rsidRPr="00430A79">
              <w:rPr>
                <w:rFonts w:ascii="Arial Narrow" w:hAnsi="Arial Narrow"/>
                <w:sz w:val="22"/>
                <w:szCs w:val="22"/>
              </w:rPr>
              <w:t>140 €/t</w:t>
            </w:r>
          </w:p>
        </w:tc>
        <w:tc>
          <w:tcPr>
            <w:tcW w:w="472" w:type="pct"/>
            <w:tcBorders>
              <w:top w:val="nil"/>
              <w:left w:val="nil"/>
              <w:bottom w:val="single" w:sz="4" w:space="0" w:color="auto"/>
              <w:right w:val="single" w:sz="4" w:space="0" w:color="auto"/>
            </w:tcBorders>
            <w:shd w:val="clear" w:color="auto" w:fill="auto"/>
            <w:noWrap/>
            <w:hideMark/>
          </w:tcPr>
          <w:p w14:paraId="3F7CC978" w14:textId="77777777" w:rsidR="00DF1B1A" w:rsidRPr="00430A79" w:rsidRDefault="00DF1B1A" w:rsidP="00DF1B1A">
            <w:pPr>
              <w:spacing w:before="40" w:after="40"/>
              <w:jc w:val="right"/>
              <w:rPr>
                <w:rFonts w:ascii="Arial Narrow" w:hAnsi="Arial Narrow" w:cs="Calibri"/>
                <w:sz w:val="22"/>
                <w:szCs w:val="22"/>
                <w:lang w:val="en-GB" w:eastAsia="en-GB"/>
              </w:rPr>
            </w:pPr>
            <w:r w:rsidRPr="00430A79">
              <w:rPr>
                <w:rFonts w:ascii="Arial Narrow" w:hAnsi="Arial Narrow"/>
                <w:sz w:val="22"/>
                <w:szCs w:val="22"/>
              </w:rPr>
              <w:t>140 €/t</w:t>
            </w:r>
          </w:p>
        </w:tc>
        <w:tc>
          <w:tcPr>
            <w:tcW w:w="443" w:type="pct"/>
            <w:tcBorders>
              <w:top w:val="nil"/>
              <w:left w:val="nil"/>
              <w:bottom w:val="single" w:sz="4" w:space="0" w:color="auto"/>
              <w:right w:val="single" w:sz="4" w:space="0" w:color="auto"/>
            </w:tcBorders>
            <w:shd w:val="clear" w:color="auto" w:fill="auto"/>
            <w:noWrap/>
            <w:hideMark/>
          </w:tcPr>
          <w:p w14:paraId="3149D963" w14:textId="77777777" w:rsidR="00DF1B1A" w:rsidRPr="00430A79" w:rsidRDefault="00DF1B1A" w:rsidP="00DF1B1A">
            <w:pPr>
              <w:spacing w:before="40" w:after="40"/>
              <w:jc w:val="right"/>
              <w:rPr>
                <w:rFonts w:ascii="Arial Narrow" w:hAnsi="Arial Narrow" w:cs="Calibri"/>
                <w:sz w:val="22"/>
                <w:szCs w:val="22"/>
                <w:lang w:val="en-GB" w:eastAsia="en-GB"/>
              </w:rPr>
            </w:pPr>
            <w:r w:rsidRPr="00430A79">
              <w:rPr>
                <w:rFonts w:ascii="Arial Narrow" w:hAnsi="Arial Narrow"/>
                <w:sz w:val="22"/>
                <w:szCs w:val="22"/>
              </w:rPr>
              <w:t>138 €/t</w:t>
            </w:r>
          </w:p>
        </w:tc>
      </w:tr>
      <w:tr w:rsidR="00DF1B1A" w:rsidRPr="00430A79" w14:paraId="35585B20" w14:textId="77777777" w:rsidTr="00D03949">
        <w:trPr>
          <w:trHeight w:val="290"/>
        </w:trPr>
        <w:tc>
          <w:tcPr>
            <w:tcW w:w="3535" w:type="pct"/>
            <w:tcBorders>
              <w:top w:val="nil"/>
              <w:left w:val="single" w:sz="4" w:space="0" w:color="auto"/>
              <w:bottom w:val="single" w:sz="4" w:space="0" w:color="auto"/>
              <w:right w:val="single" w:sz="4" w:space="0" w:color="auto"/>
            </w:tcBorders>
            <w:shd w:val="clear" w:color="auto" w:fill="auto"/>
            <w:noWrap/>
            <w:vAlign w:val="bottom"/>
            <w:hideMark/>
          </w:tcPr>
          <w:p w14:paraId="2B0C368F" w14:textId="37BBCBA5" w:rsidR="00DF1B1A" w:rsidRPr="009F5CA1" w:rsidRDefault="00DF1B1A" w:rsidP="00DF1B1A">
            <w:pPr>
              <w:spacing w:before="40" w:after="40"/>
              <w:rPr>
                <w:rFonts w:ascii="Arial Narrow" w:hAnsi="Arial Narrow" w:cs="Calibri"/>
                <w:sz w:val="22"/>
                <w:szCs w:val="22"/>
                <w:lang w:eastAsia="en-GB"/>
              </w:rPr>
            </w:pPr>
            <w:r w:rsidRPr="00BE2534">
              <w:rPr>
                <w:rFonts w:ascii="Arial Narrow" w:hAnsi="Arial Narrow" w:cs="Calibri"/>
                <w:sz w:val="22"/>
                <w:szCs w:val="22"/>
                <w:lang w:val="sq-AL" w:eastAsia="en-GB"/>
              </w:rPr>
              <w:t>Mbeturinat e përziera të grumbulluara për person nga amvisëritë (supozimi se 75% e tyre janë mbeturina nga amvisëritë, 25% nga institucionet dhe entitetet juridikë), 2035</w:t>
            </w:r>
          </w:p>
        </w:tc>
        <w:tc>
          <w:tcPr>
            <w:tcW w:w="550" w:type="pct"/>
            <w:tcBorders>
              <w:top w:val="nil"/>
              <w:left w:val="nil"/>
              <w:bottom w:val="single" w:sz="4" w:space="0" w:color="auto"/>
              <w:right w:val="single" w:sz="4" w:space="0" w:color="auto"/>
            </w:tcBorders>
            <w:shd w:val="clear" w:color="auto" w:fill="auto"/>
            <w:noWrap/>
            <w:hideMark/>
          </w:tcPr>
          <w:p w14:paraId="0E95D502" w14:textId="77777777" w:rsidR="00DF1B1A" w:rsidRPr="00430A79" w:rsidRDefault="00DF1B1A" w:rsidP="00DF1B1A">
            <w:pPr>
              <w:spacing w:before="40" w:after="40"/>
              <w:jc w:val="right"/>
              <w:rPr>
                <w:rFonts w:ascii="Arial Narrow" w:hAnsi="Arial Narrow" w:cs="Calibri"/>
                <w:sz w:val="22"/>
                <w:szCs w:val="22"/>
                <w:lang w:val="en-GB" w:eastAsia="en-GB"/>
              </w:rPr>
            </w:pPr>
            <w:r w:rsidRPr="00430A79">
              <w:rPr>
                <w:rFonts w:ascii="Arial Narrow" w:hAnsi="Arial Narrow"/>
                <w:sz w:val="22"/>
                <w:szCs w:val="22"/>
              </w:rPr>
              <w:t>0.192</w:t>
            </w:r>
          </w:p>
        </w:tc>
        <w:tc>
          <w:tcPr>
            <w:tcW w:w="472" w:type="pct"/>
            <w:tcBorders>
              <w:top w:val="nil"/>
              <w:left w:val="nil"/>
              <w:bottom w:val="single" w:sz="4" w:space="0" w:color="auto"/>
              <w:right w:val="single" w:sz="4" w:space="0" w:color="auto"/>
            </w:tcBorders>
            <w:shd w:val="clear" w:color="auto" w:fill="auto"/>
            <w:noWrap/>
            <w:hideMark/>
          </w:tcPr>
          <w:p w14:paraId="25196507" w14:textId="77777777" w:rsidR="00DF1B1A" w:rsidRPr="00430A79" w:rsidRDefault="00DF1B1A" w:rsidP="00DF1B1A">
            <w:pPr>
              <w:spacing w:before="40" w:after="40"/>
              <w:jc w:val="right"/>
              <w:rPr>
                <w:rFonts w:ascii="Arial Narrow" w:hAnsi="Arial Narrow" w:cs="Calibri"/>
                <w:sz w:val="22"/>
                <w:szCs w:val="22"/>
                <w:lang w:val="en-GB" w:eastAsia="en-GB"/>
              </w:rPr>
            </w:pPr>
            <w:r w:rsidRPr="00430A79">
              <w:rPr>
                <w:rFonts w:ascii="Arial Narrow" w:hAnsi="Arial Narrow"/>
                <w:sz w:val="22"/>
                <w:szCs w:val="22"/>
              </w:rPr>
              <w:t>0.145</w:t>
            </w:r>
          </w:p>
        </w:tc>
        <w:tc>
          <w:tcPr>
            <w:tcW w:w="443" w:type="pct"/>
            <w:tcBorders>
              <w:top w:val="nil"/>
              <w:left w:val="nil"/>
              <w:bottom w:val="single" w:sz="4" w:space="0" w:color="auto"/>
              <w:right w:val="single" w:sz="4" w:space="0" w:color="auto"/>
            </w:tcBorders>
            <w:shd w:val="clear" w:color="auto" w:fill="auto"/>
            <w:noWrap/>
            <w:hideMark/>
          </w:tcPr>
          <w:p w14:paraId="5A4572F7" w14:textId="77777777" w:rsidR="00DF1B1A" w:rsidRPr="00430A79" w:rsidRDefault="00DF1B1A" w:rsidP="00DF1B1A">
            <w:pPr>
              <w:spacing w:before="40" w:after="40"/>
              <w:jc w:val="right"/>
              <w:rPr>
                <w:rFonts w:ascii="Arial Narrow" w:hAnsi="Arial Narrow" w:cs="Calibri"/>
                <w:sz w:val="22"/>
                <w:szCs w:val="22"/>
                <w:lang w:val="en-GB" w:eastAsia="en-GB"/>
              </w:rPr>
            </w:pPr>
            <w:r w:rsidRPr="00430A79">
              <w:rPr>
                <w:rFonts w:ascii="Arial Narrow" w:hAnsi="Arial Narrow"/>
                <w:sz w:val="22"/>
                <w:szCs w:val="22"/>
              </w:rPr>
              <w:t>0.123</w:t>
            </w:r>
          </w:p>
        </w:tc>
      </w:tr>
      <w:tr w:rsidR="00DF1B1A" w:rsidRPr="00430A79" w14:paraId="1C23A5C1" w14:textId="77777777" w:rsidTr="00D03949">
        <w:trPr>
          <w:trHeight w:val="290"/>
        </w:trPr>
        <w:tc>
          <w:tcPr>
            <w:tcW w:w="3535" w:type="pct"/>
            <w:tcBorders>
              <w:top w:val="nil"/>
              <w:left w:val="single" w:sz="4" w:space="0" w:color="auto"/>
              <w:bottom w:val="single" w:sz="4" w:space="0" w:color="auto"/>
              <w:right w:val="single" w:sz="4" w:space="0" w:color="auto"/>
            </w:tcBorders>
            <w:shd w:val="clear" w:color="auto" w:fill="auto"/>
            <w:noWrap/>
            <w:vAlign w:val="bottom"/>
            <w:hideMark/>
          </w:tcPr>
          <w:p w14:paraId="19ACBBF6" w14:textId="68BDCB46" w:rsidR="00DF1B1A" w:rsidRPr="009F5CA1" w:rsidRDefault="00DF1B1A" w:rsidP="00DF1B1A">
            <w:pPr>
              <w:spacing w:before="40" w:after="40"/>
              <w:rPr>
                <w:rFonts w:ascii="Arial Narrow" w:hAnsi="Arial Narrow" w:cs="Calibri"/>
                <w:sz w:val="22"/>
                <w:szCs w:val="22"/>
                <w:lang w:val="es-ES" w:eastAsia="en-GB"/>
              </w:rPr>
            </w:pPr>
            <w:r w:rsidRPr="00BE2534">
              <w:rPr>
                <w:rFonts w:ascii="Arial Narrow" w:hAnsi="Arial Narrow" w:cs="Calibri"/>
                <w:sz w:val="22"/>
                <w:szCs w:val="22"/>
                <w:lang w:val="sq-AL" w:eastAsia="en-GB"/>
              </w:rPr>
              <w:t>Tarifa mujore për person ( përfshirë 8% TVSH)</w:t>
            </w:r>
          </w:p>
        </w:tc>
        <w:tc>
          <w:tcPr>
            <w:tcW w:w="550" w:type="pct"/>
            <w:tcBorders>
              <w:top w:val="nil"/>
              <w:left w:val="nil"/>
              <w:bottom w:val="single" w:sz="4" w:space="0" w:color="auto"/>
              <w:right w:val="single" w:sz="4" w:space="0" w:color="auto"/>
            </w:tcBorders>
            <w:shd w:val="clear" w:color="auto" w:fill="auto"/>
            <w:noWrap/>
            <w:hideMark/>
          </w:tcPr>
          <w:p w14:paraId="12B37DF9" w14:textId="77777777" w:rsidR="00DF1B1A" w:rsidRPr="00430A79" w:rsidRDefault="00DF1B1A" w:rsidP="00DF1B1A">
            <w:pPr>
              <w:spacing w:before="40" w:after="40"/>
              <w:jc w:val="right"/>
              <w:rPr>
                <w:rFonts w:ascii="Arial Narrow" w:hAnsi="Arial Narrow" w:cs="Calibri"/>
                <w:sz w:val="22"/>
                <w:szCs w:val="22"/>
                <w:lang w:val="en-GB" w:eastAsia="en-GB"/>
              </w:rPr>
            </w:pPr>
            <w:r w:rsidRPr="00430A79">
              <w:rPr>
                <w:rFonts w:ascii="Arial Narrow" w:hAnsi="Arial Narrow"/>
                <w:sz w:val="22"/>
                <w:szCs w:val="22"/>
              </w:rPr>
              <w:t>2.4 €</w:t>
            </w:r>
          </w:p>
        </w:tc>
        <w:tc>
          <w:tcPr>
            <w:tcW w:w="472" w:type="pct"/>
            <w:tcBorders>
              <w:top w:val="nil"/>
              <w:left w:val="nil"/>
              <w:bottom w:val="single" w:sz="4" w:space="0" w:color="auto"/>
              <w:right w:val="single" w:sz="4" w:space="0" w:color="auto"/>
            </w:tcBorders>
            <w:shd w:val="clear" w:color="auto" w:fill="auto"/>
            <w:noWrap/>
            <w:hideMark/>
          </w:tcPr>
          <w:p w14:paraId="0AF47661" w14:textId="77777777" w:rsidR="00DF1B1A" w:rsidRPr="00430A79" w:rsidRDefault="00DF1B1A" w:rsidP="00DF1B1A">
            <w:pPr>
              <w:spacing w:before="40" w:after="40"/>
              <w:jc w:val="right"/>
              <w:rPr>
                <w:rFonts w:ascii="Arial Narrow" w:hAnsi="Arial Narrow" w:cs="Calibri"/>
                <w:sz w:val="22"/>
                <w:szCs w:val="22"/>
                <w:lang w:val="en-GB" w:eastAsia="en-GB"/>
              </w:rPr>
            </w:pPr>
            <w:r w:rsidRPr="00430A79">
              <w:rPr>
                <w:rFonts w:ascii="Arial Narrow" w:hAnsi="Arial Narrow"/>
                <w:sz w:val="22"/>
                <w:szCs w:val="22"/>
              </w:rPr>
              <w:t>1.8 €</w:t>
            </w:r>
          </w:p>
        </w:tc>
        <w:tc>
          <w:tcPr>
            <w:tcW w:w="443" w:type="pct"/>
            <w:tcBorders>
              <w:top w:val="nil"/>
              <w:left w:val="nil"/>
              <w:bottom w:val="single" w:sz="4" w:space="0" w:color="auto"/>
              <w:right w:val="single" w:sz="4" w:space="0" w:color="auto"/>
            </w:tcBorders>
            <w:shd w:val="clear" w:color="auto" w:fill="auto"/>
            <w:noWrap/>
            <w:hideMark/>
          </w:tcPr>
          <w:p w14:paraId="5F6E0E33" w14:textId="77777777" w:rsidR="00DF1B1A" w:rsidRPr="00430A79" w:rsidRDefault="00DF1B1A" w:rsidP="00DF1B1A">
            <w:pPr>
              <w:spacing w:before="40" w:after="40"/>
              <w:jc w:val="right"/>
              <w:rPr>
                <w:rFonts w:ascii="Arial Narrow" w:hAnsi="Arial Narrow" w:cs="Calibri"/>
                <w:sz w:val="22"/>
                <w:szCs w:val="22"/>
                <w:lang w:val="en-GB" w:eastAsia="en-GB"/>
              </w:rPr>
            </w:pPr>
            <w:r w:rsidRPr="00430A79">
              <w:rPr>
                <w:rFonts w:ascii="Arial Narrow" w:hAnsi="Arial Narrow"/>
                <w:sz w:val="22"/>
                <w:szCs w:val="22"/>
              </w:rPr>
              <w:t>1.5 €</w:t>
            </w:r>
          </w:p>
        </w:tc>
      </w:tr>
    </w:tbl>
    <w:p w14:paraId="1E9A8DD2" w14:textId="77777777" w:rsidR="00430A79" w:rsidRPr="00430A79" w:rsidRDefault="00430A79" w:rsidP="00430A79">
      <w:pPr>
        <w:jc w:val="both"/>
        <w:rPr>
          <w:rFonts w:ascii="Arial Narrow" w:eastAsia="Aptos" w:hAnsi="Arial Narrow" w:cs="Calibri"/>
          <w:sz w:val="22"/>
          <w:szCs w:val="22"/>
          <w:lang w:val="en-GB"/>
        </w:rPr>
      </w:pPr>
    </w:p>
    <w:p w14:paraId="2A3F6750" w14:textId="51613FCF" w:rsidR="00430A79" w:rsidRPr="009F5CA1" w:rsidRDefault="00DF1B1A" w:rsidP="00430A79">
      <w:pPr>
        <w:jc w:val="both"/>
        <w:rPr>
          <w:rFonts w:ascii="Arial Narrow" w:eastAsia="Aptos" w:hAnsi="Arial Narrow" w:cs="Calibri"/>
          <w:sz w:val="22"/>
          <w:szCs w:val="22"/>
          <w:lang w:val="sq-AL"/>
        </w:rPr>
      </w:pPr>
      <w:r w:rsidRPr="00BE2534">
        <w:rPr>
          <w:rFonts w:ascii="Arial Narrow" w:eastAsia="Aptos" w:hAnsi="Arial Narrow" w:cs="Calibri"/>
          <w:sz w:val="22"/>
          <w:szCs w:val="22"/>
          <w:lang w:val="sq-AL"/>
        </w:rPr>
        <w:t>Prandaj, nëse komunat preferojnë të kenë stacione transferi me ngjeshje, edhepse pak më të shtrenjta, janë të përballueshme. Gjithashtu, transporti i drejtpërdrejtë, megjithëse është pak më i shtrenjtë për transferimin e mbeturinave pa ngjeshje, është ende i përballueshëm</w:t>
      </w:r>
      <w:r w:rsidR="00430A79" w:rsidRPr="009F5CA1">
        <w:rPr>
          <w:rFonts w:ascii="Arial Narrow" w:eastAsia="Aptos" w:hAnsi="Arial Narrow" w:cs="Calibri"/>
          <w:sz w:val="22"/>
          <w:szCs w:val="22"/>
          <w:lang w:val="sq-AL"/>
        </w:rPr>
        <w:t>.</w:t>
      </w:r>
    </w:p>
    <w:p w14:paraId="5D6B407A" w14:textId="77777777" w:rsidR="00430A79" w:rsidRPr="009F5CA1" w:rsidRDefault="00430A79" w:rsidP="00430A79">
      <w:pPr>
        <w:rPr>
          <w:rFonts w:ascii="Arial Narrow" w:hAnsi="Arial Narrow"/>
          <w:lang w:val="sq-AL"/>
        </w:rPr>
      </w:pPr>
    </w:p>
    <w:p w14:paraId="76956F0B" w14:textId="0460EB4C" w:rsidR="00430A79" w:rsidRPr="00430A79" w:rsidRDefault="00430A79" w:rsidP="000D7AD0">
      <w:pPr>
        <w:pStyle w:val="Heading2"/>
      </w:pPr>
      <w:bookmarkStart w:id="515" w:name="_Toc185866151"/>
      <w:bookmarkStart w:id="516" w:name="_Toc197472042"/>
      <w:r w:rsidRPr="00430A79">
        <w:t xml:space="preserve">Integrimi gjinor dhe përfshirja e grupeve </w:t>
      </w:r>
      <w:r w:rsidR="00DF1B1A">
        <w:t>të cenueshme</w:t>
      </w:r>
      <w:bookmarkEnd w:id="515"/>
      <w:bookmarkEnd w:id="516"/>
    </w:p>
    <w:p w14:paraId="5DD1FA52" w14:textId="77777777" w:rsidR="00430A79" w:rsidRPr="00430A79" w:rsidRDefault="00430A79" w:rsidP="00430A79">
      <w:pPr>
        <w:rPr>
          <w:rFonts w:ascii="Arial Narrow" w:hAnsi="Arial Narrow"/>
        </w:rPr>
      </w:pPr>
    </w:p>
    <w:p w14:paraId="6E79481B" w14:textId="77777777" w:rsidR="00DF1B1A" w:rsidRPr="00BE2534" w:rsidRDefault="00DF1B1A" w:rsidP="00DF1B1A">
      <w:pPr>
        <w:jc w:val="both"/>
        <w:rPr>
          <w:rFonts w:ascii="Arial Narrow" w:eastAsia="Aptos" w:hAnsi="Arial Narrow" w:cs="Aptos"/>
          <w:sz w:val="22"/>
          <w:szCs w:val="22"/>
          <w:lang w:val="sq-AL"/>
        </w:rPr>
      </w:pPr>
      <w:r w:rsidRPr="00BE2534">
        <w:rPr>
          <w:rFonts w:ascii="Arial Narrow" w:eastAsia="Aptos" w:hAnsi="Arial Narrow" w:cs="Aptos"/>
          <w:sz w:val="22"/>
          <w:szCs w:val="22"/>
          <w:lang w:val="sq-AL"/>
        </w:rPr>
        <w:t xml:space="preserve">Menaxhimi i mbeturinave ka një ndikim të rëndësishëm në shëndetin dhe mirëqenien e njerëzve, si dhe në cilësinë e mjedisit. Një sistem i avancuar i menaxhimit të mbeturinave kërkon kapacitete të fuqizuara profesionale, </w:t>
      </w:r>
      <w:r w:rsidRPr="00BE2534">
        <w:rPr>
          <w:rFonts w:ascii="Arial Narrow" w:eastAsia="Aptos" w:hAnsi="Arial Narrow" w:cs="Aptos"/>
          <w:sz w:val="22"/>
          <w:szCs w:val="22"/>
          <w:lang w:val="sq-AL"/>
        </w:rPr>
        <w:lastRenderedPageBreak/>
        <w:t>njerëzore dhe financiare, një ndryshim në mentalitetin midis individëve, bizneseve dhe institucioneve, si dhe integrimin e një qasjeje transformuese gjinore.</w:t>
      </w:r>
    </w:p>
    <w:p w14:paraId="3DD02F97" w14:textId="77777777" w:rsidR="00DF1B1A" w:rsidRPr="00BE2534" w:rsidRDefault="00DF1B1A" w:rsidP="00DF1B1A">
      <w:pPr>
        <w:rPr>
          <w:rFonts w:ascii="Arial Narrow" w:eastAsia="Aptos" w:hAnsi="Arial Narrow" w:cs="Aptos"/>
          <w:sz w:val="22"/>
          <w:szCs w:val="22"/>
          <w:lang w:val="sq-AL"/>
        </w:rPr>
      </w:pPr>
    </w:p>
    <w:p w14:paraId="76BE9064" w14:textId="77777777" w:rsidR="00DF1B1A" w:rsidRPr="00BE2534" w:rsidRDefault="00DF1B1A" w:rsidP="00DF1B1A">
      <w:pPr>
        <w:jc w:val="both"/>
        <w:rPr>
          <w:rFonts w:ascii="Arial Narrow" w:eastAsia="Aptos" w:hAnsi="Arial Narrow" w:cs="Aptos"/>
          <w:sz w:val="22"/>
          <w:szCs w:val="22"/>
          <w:lang w:val="sq-AL"/>
        </w:rPr>
      </w:pPr>
      <w:r w:rsidRPr="00BE2534">
        <w:rPr>
          <w:rFonts w:ascii="Arial Narrow" w:eastAsia="Aptos" w:hAnsi="Arial Narrow" w:cs="Aptos"/>
          <w:sz w:val="22"/>
          <w:szCs w:val="22"/>
          <w:lang w:val="sq-AL"/>
        </w:rPr>
        <w:t>Koncept Dokumenti për Menaxhimin e Integruar të Mbeturinave thekson shkurtimisht se ndikimet gjinore nuk ka gjasa të përfshihen për shkak të ndryshimeve minimale në sistemet ekzistuese. Ai thekson se gjinia është e integruar në mënyrë të pamjaftueshme në ligj dhe se qasja në punësim me pagesë në sektorin e mbeturinave shfaq paragjykime domethënëse gjinore. Një raport i fundit konstatoi se në institucionet e nivelit vendor nga 688 punonjës, 32.5% janë gra dhe 67.5% burra. Në nivel menaxherial, 31% janë gra dhe 69% janë burra</w:t>
      </w:r>
      <w:r w:rsidRPr="00BE2534">
        <w:rPr>
          <w:rStyle w:val="FootnoteReference"/>
          <w:rFonts w:eastAsia="Aptos" w:cs="Aptos"/>
          <w:szCs w:val="22"/>
          <w:lang w:val="sq-AL"/>
        </w:rPr>
        <w:footnoteReference w:id="41"/>
      </w:r>
      <w:r w:rsidRPr="00BE2534">
        <w:rPr>
          <w:rFonts w:ascii="Arial Narrow" w:eastAsia="Aptos" w:hAnsi="Arial Narrow" w:cs="Aptos"/>
          <w:sz w:val="22"/>
          <w:szCs w:val="22"/>
          <w:lang w:val="sq-AL"/>
        </w:rPr>
        <w:t>.</w:t>
      </w:r>
    </w:p>
    <w:p w14:paraId="07B632AF" w14:textId="77777777" w:rsidR="00DF1B1A" w:rsidRPr="00BE2534" w:rsidRDefault="00DF1B1A" w:rsidP="00DF1B1A">
      <w:pPr>
        <w:rPr>
          <w:rFonts w:ascii="Arial Narrow" w:eastAsia="Aptos" w:hAnsi="Arial Narrow" w:cs="Aptos"/>
          <w:sz w:val="22"/>
          <w:szCs w:val="22"/>
          <w:lang w:val="sq-AL"/>
        </w:rPr>
      </w:pPr>
    </w:p>
    <w:p w14:paraId="73C31BD8" w14:textId="77777777" w:rsidR="00DF1B1A" w:rsidRPr="00BE2534" w:rsidRDefault="00DF1B1A" w:rsidP="00DF1B1A">
      <w:pPr>
        <w:jc w:val="both"/>
        <w:rPr>
          <w:rFonts w:ascii="Arial Narrow" w:eastAsia="Aptos" w:hAnsi="Arial Narrow" w:cs="Aptos"/>
          <w:sz w:val="22"/>
          <w:szCs w:val="22"/>
          <w:lang w:val="sq-AL"/>
        </w:rPr>
      </w:pPr>
      <w:r w:rsidRPr="00BE2534">
        <w:rPr>
          <w:rFonts w:ascii="Arial Narrow" w:eastAsia="Aptos" w:hAnsi="Arial Narrow" w:cs="Aptos"/>
          <w:sz w:val="22"/>
          <w:szCs w:val="22"/>
          <w:lang w:val="sq-AL"/>
        </w:rPr>
        <w:t>Opsionet e propozuara marrin parasysh gjithashtu aspektet e barazisë gjinore dhe përfshirjen sociale. Situata aktuale tregon se në zonat ekzistuese të deponimit të mbeturinave nuk ka aktivitete informale të grumbullimit apo klasifikimit të mbeturinave. Megjithatë, sipas të dhënave të disponueshme në nivel shtetëror, sektori informal është i angazhuar në grumbullimin e materialeve të riciklueshme me vlerë. Grumbulluesit joformal të mbeturinave luajnë një rol të rëndësishëm në grumbullimin e materialeve të riciklueshme në Kosovë. Vlerësohet se rreth 2000 individë mund të jenë të përfshirë në grumbullimin informal të mbeturinave në gjithë vendin, megjithëse nuk ka të dhëna zyrtare për të matur me saktësi shkallën e aktiviteteve të tyre. Këta mbledhës zakonisht vijnë nga komunitete të margjinalizuara dhe të pafavorizuara ekonomikisht dhe fokusohen në grumbullimin e artikujve të tillë si plastika, metalet, letra, kartoni, bateritë dhe mbeturinat e pajisjeve elektrike dhe elektronike (MPEE). Ata shpesh ua shesin këto materiale kompanive të licencuara të vogla dhe të mesme, kryesisht për eksport.</w:t>
      </w:r>
    </w:p>
    <w:p w14:paraId="1F10171F" w14:textId="77777777" w:rsidR="00DF1B1A" w:rsidRPr="00BE2534" w:rsidRDefault="00DF1B1A" w:rsidP="00DF1B1A">
      <w:pPr>
        <w:rPr>
          <w:rFonts w:ascii="Arial Narrow" w:eastAsia="Aptos" w:hAnsi="Arial Narrow" w:cs="Aptos"/>
          <w:sz w:val="22"/>
          <w:szCs w:val="22"/>
          <w:lang w:val="sq-AL"/>
        </w:rPr>
      </w:pPr>
    </w:p>
    <w:p w14:paraId="4753B83C" w14:textId="77777777" w:rsidR="00DF1B1A" w:rsidRPr="00BE2534" w:rsidRDefault="00DF1B1A" w:rsidP="00DF1B1A">
      <w:pPr>
        <w:jc w:val="both"/>
        <w:rPr>
          <w:rFonts w:ascii="Arial Narrow" w:eastAsia="Aptos" w:hAnsi="Arial Narrow" w:cs="Aptos"/>
          <w:sz w:val="22"/>
          <w:szCs w:val="22"/>
          <w:lang w:val="sq-AL"/>
        </w:rPr>
      </w:pPr>
      <w:r w:rsidRPr="00BE2534">
        <w:rPr>
          <w:rFonts w:ascii="Arial Narrow" w:eastAsia="Aptos" w:hAnsi="Arial Narrow" w:cs="Aptos"/>
          <w:sz w:val="22"/>
          <w:szCs w:val="22"/>
          <w:lang w:val="sq-AL"/>
        </w:rPr>
        <w:t>Me kalimin e kohës, sektori informal ka evoluar, duke u zhvendosur nga përpjekjet individuale në operacione grupore më të organizuara. Këto grupe tani mbledhin dhe klasifikojnë mbeturinat sipas llojit përpara se t'ua shesin ato përpunuesve ose tregtarëve. Pavarësisht përpjekjeve të kufizuara për të integruar mbledhësit joformalë të mbeturinave në sistemin formal të menaxhimit të mbeturinave, nisma të tilla kanë qenë kryesisht të pasuksesshme (Agjencia për Mbrojtjen e Mjedisit të Kosovës, 2021).</w:t>
      </w:r>
    </w:p>
    <w:p w14:paraId="71CFA392" w14:textId="77777777" w:rsidR="00DF1B1A" w:rsidRPr="00BE2534" w:rsidRDefault="00DF1B1A" w:rsidP="00DF1B1A">
      <w:pPr>
        <w:rPr>
          <w:rFonts w:ascii="Arial Narrow" w:eastAsia="Aptos" w:hAnsi="Arial Narrow" w:cs="Aptos"/>
          <w:sz w:val="22"/>
          <w:szCs w:val="22"/>
          <w:lang w:val="sq-AL"/>
        </w:rPr>
      </w:pPr>
    </w:p>
    <w:p w14:paraId="45C306B5" w14:textId="77777777" w:rsidR="00DF1B1A" w:rsidRPr="00BE2534" w:rsidRDefault="00DF1B1A" w:rsidP="00DF1B1A">
      <w:pPr>
        <w:jc w:val="both"/>
        <w:rPr>
          <w:rFonts w:ascii="Arial Narrow" w:eastAsia="Aptos" w:hAnsi="Arial Narrow" w:cs="Aptos"/>
          <w:sz w:val="22"/>
          <w:szCs w:val="22"/>
          <w:lang w:val="sq-AL"/>
        </w:rPr>
      </w:pPr>
      <w:r w:rsidRPr="00BE2534">
        <w:rPr>
          <w:rFonts w:ascii="Arial Narrow" w:eastAsia="Aptos" w:hAnsi="Arial Narrow" w:cs="Aptos"/>
          <w:sz w:val="22"/>
          <w:szCs w:val="22"/>
          <w:lang w:val="sq-AL"/>
        </w:rPr>
        <w:t>Gjithashtu, shumë familje në rajonin e Pejës përballen me varfëri ose janë të cenueshme ndaj shkundjeve ekonomike, pavarësisht përpjekjeve për të përmirësuar standardin e jetesës. Ekziston një hendek i ndjeshëm midis familjeve me të ardhura të larta dhe atzre me të ardhura të ulëta, duke kontribuar në pabarazinë sociale.</w:t>
      </w:r>
    </w:p>
    <w:p w14:paraId="65E53288" w14:textId="77777777" w:rsidR="00DF1B1A" w:rsidRPr="00BE2534" w:rsidRDefault="00DF1B1A" w:rsidP="00DF1B1A">
      <w:pPr>
        <w:rPr>
          <w:rFonts w:ascii="Arial Narrow" w:eastAsia="Aptos" w:hAnsi="Arial Narrow" w:cs="Aptos"/>
          <w:sz w:val="22"/>
          <w:szCs w:val="22"/>
          <w:lang w:val="sq-AL"/>
        </w:rPr>
      </w:pPr>
    </w:p>
    <w:p w14:paraId="24D07103" w14:textId="77777777" w:rsidR="00DF1B1A" w:rsidRPr="00BE2534" w:rsidRDefault="00DF1B1A" w:rsidP="00DF1B1A">
      <w:pPr>
        <w:jc w:val="both"/>
        <w:rPr>
          <w:rFonts w:ascii="Arial Narrow" w:eastAsia="Aptos" w:hAnsi="Arial Narrow" w:cs="Aptos"/>
          <w:sz w:val="22"/>
          <w:szCs w:val="22"/>
          <w:lang w:val="sq-AL"/>
        </w:rPr>
      </w:pPr>
      <w:r w:rsidRPr="00BE2534">
        <w:rPr>
          <w:rFonts w:ascii="Arial Narrow" w:eastAsia="Aptos" w:hAnsi="Arial Narrow" w:cs="Aptos"/>
          <w:sz w:val="22"/>
          <w:szCs w:val="22"/>
          <w:lang w:val="sq-AL"/>
        </w:rPr>
        <w:t>Kështu, megjithëse investimet e propozuara po sjellin ndikime pozitive në shoqëri dhe mjedis, mund të ketë ndikime negative të lidhura me personat e cenueshëm dhe mbledhësit informalë të mbeturinave, si dhe pabarazitë e perceptuara gjinore.</w:t>
      </w:r>
    </w:p>
    <w:p w14:paraId="6B8C3F41" w14:textId="77777777" w:rsidR="00DF1B1A" w:rsidRPr="00BE2534" w:rsidRDefault="00DF1B1A" w:rsidP="00DF1B1A">
      <w:pPr>
        <w:rPr>
          <w:rFonts w:ascii="Arial Narrow" w:eastAsia="Aptos" w:hAnsi="Arial Narrow" w:cs="Aptos"/>
          <w:sz w:val="22"/>
          <w:szCs w:val="22"/>
          <w:lang w:val="sq-AL"/>
        </w:rPr>
      </w:pPr>
    </w:p>
    <w:p w14:paraId="69A93EC7" w14:textId="7F8AAD3B" w:rsidR="00430A79" w:rsidRPr="00430A79" w:rsidRDefault="00DF1B1A" w:rsidP="00DF1B1A">
      <w:pPr>
        <w:rPr>
          <w:rFonts w:ascii="Arial Narrow" w:eastAsia="Aptos" w:hAnsi="Arial Narrow" w:cs="Aptos"/>
          <w:sz w:val="22"/>
          <w:szCs w:val="22"/>
        </w:rPr>
      </w:pPr>
      <w:r w:rsidRPr="00BE2534">
        <w:rPr>
          <w:rFonts w:ascii="Arial Narrow" w:eastAsia="Aptos" w:hAnsi="Arial Narrow" w:cs="Aptos"/>
          <w:sz w:val="22"/>
          <w:szCs w:val="22"/>
          <w:lang w:val="sq-AL"/>
        </w:rPr>
        <w:t>Tabela e mëposhtme paraqet një vlerësim të shkurtër të ndikimeve të mundshme mbi personat e cenueshëm dhe masat specifike për integrimin gjinor dhe përfshirjen sociale</w:t>
      </w:r>
      <w:r w:rsidR="00430A79" w:rsidRPr="00430A79">
        <w:rPr>
          <w:rFonts w:ascii="Arial Narrow" w:eastAsia="Aptos" w:hAnsi="Arial Narrow" w:cs="Aptos"/>
          <w:sz w:val="22"/>
          <w:szCs w:val="22"/>
        </w:rPr>
        <w:t>.</w:t>
      </w:r>
    </w:p>
    <w:p w14:paraId="1CDA3EB9" w14:textId="77777777" w:rsidR="00430A79" w:rsidRPr="00430A79" w:rsidRDefault="00430A79" w:rsidP="00430A79">
      <w:pPr>
        <w:rPr>
          <w:rFonts w:ascii="Aptos Display" w:eastAsia="Aptos" w:hAnsi="Aptos Display" w:cs="Aptos"/>
        </w:rPr>
      </w:pPr>
    </w:p>
    <w:p w14:paraId="7BA4FE4B" w14:textId="6962E39B" w:rsidR="00430A79" w:rsidRPr="009F5CA1" w:rsidRDefault="00430A79" w:rsidP="00430A79">
      <w:pPr>
        <w:spacing w:after="120"/>
        <w:rPr>
          <w:rFonts w:ascii="Arial Narrow" w:eastAsia="Calibri" w:hAnsi="Arial Narrow" w:cs="Calibri"/>
          <w:color w:val="1F497D"/>
          <w:sz w:val="20"/>
          <w:szCs w:val="20"/>
        </w:rPr>
      </w:pPr>
      <w:bookmarkStart w:id="517" w:name="_Toc185866236"/>
      <w:bookmarkStart w:id="518" w:name="_Toc197472265"/>
      <w:r w:rsidRPr="009F5CA1">
        <w:rPr>
          <w:rFonts w:ascii="Arial Narrow" w:eastAsia="Calibri" w:hAnsi="Arial Narrow" w:cs="Calibri"/>
          <w:color w:val="1F497D"/>
          <w:sz w:val="20"/>
          <w:szCs w:val="20"/>
        </w:rPr>
        <w:t xml:space="preserve">Tabela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rPr>
        <w:t xml:space="preserve">80. </w:t>
      </w:r>
      <w:r w:rsidRPr="00430A79">
        <w:rPr>
          <w:rFonts w:ascii="Arial Narrow" w:eastAsia="Calibri" w:hAnsi="Arial Narrow" w:cs="Calibri"/>
          <w:color w:val="1F497D"/>
          <w:sz w:val="20"/>
          <w:szCs w:val="20"/>
          <w:lang w:val="en-GB"/>
        </w:rPr>
        <w:fldChar w:fldCharType="end"/>
      </w:r>
      <w:bookmarkEnd w:id="517"/>
      <w:r w:rsidR="00DF1B1A" w:rsidRPr="00DF1B1A">
        <w:rPr>
          <w:rFonts w:ascii="Arial Narrow" w:eastAsia="Calibri" w:hAnsi="Arial Narrow" w:cs="Calibri"/>
          <w:color w:val="1F497D"/>
          <w:sz w:val="20"/>
          <w:szCs w:val="20"/>
          <w:lang w:val="sq-AL"/>
        </w:rPr>
        <w:t xml:space="preserve"> </w:t>
      </w:r>
      <w:r w:rsidR="00DF1B1A" w:rsidRPr="00BE2534">
        <w:rPr>
          <w:rFonts w:ascii="Arial Narrow" w:eastAsia="Calibri" w:hAnsi="Arial Narrow" w:cs="Calibri"/>
          <w:color w:val="1F497D"/>
          <w:sz w:val="20"/>
          <w:szCs w:val="20"/>
          <w:lang w:val="sq-AL"/>
        </w:rPr>
        <w:t>Vlerësimi i ndikimeve të mundshme tek personat e cenueshëm dhe masat specifike për integrimin gjinor dhe përfshirjen sociale</w:t>
      </w:r>
      <w:bookmarkEnd w:id="518"/>
    </w:p>
    <w:tbl>
      <w:tblPr>
        <w:tblStyle w:val="TableGrid14"/>
        <w:tblW w:w="0" w:type="auto"/>
        <w:tblLook w:val="04A0" w:firstRow="1" w:lastRow="0" w:firstColumn="1" w:lastColumn="0" w:noHBand="0" w:noVBand="1"/>
      </w:tblPr>
      <w:tblGrid>
        <w:gridCol w:w="2887"/>
        <w:gridCol w:w="2702"/>
        <w:gridCol w:w="3427"/>
      </w:tblGrid>
      <w:tr w:rsidR="00430A79" w:rsidRPr="00430A79" w14:paraId="76ABA8A7" w14:textId="77777777" w:rsidTr="00DF1B1A">
        <w:trPr>
          <w:trHeight w:val="247"/>
          <w:tblHeader/>
        </w:trPr>
        <w:tc>
          <w:tcPr>
            <w:tcW w:w="2887" w:type="dxa"/>
            <w:shd w:val="clear" w:color="auto" w:fill="365F91"/>
          </w:tcPr>
          <w:p w14:paraId="03BC8134" w14:textId="77777777" w:rsidR="00430A79" w:rsidRPr="00430A79" w:rsidRDefault="00430A79" w:rsidP="00430A79">
            <w:pPr>
              <w:rPr>
                <w:rFonts w:ascii="Arial Narrow" w:hAnsi="Arial Narrow"/>
                <w:b/>
                <w:bCs/>
                <w:color w:val="FFFFFF" w:themeColor="background1"/>
                <w:kern w:val="0"/>
                <w:sz w:val="20"/>
                <w:szCs w:val="20"/>
                <w14:ligatures w14:val="none"/>
              </w:rPr>
            </w:pPr>
            <w:r w:rsidRPr="00430A79">
              <w:rPr>
                <w:rFonts w:ascii="Arial Narrow" w:hAnsi="Arial Narrow"/>
                <w:b/>
                <w:bCs/>
                <w:color w:val="FFFFFF" w:themeColor="background1"/>
                <w:kern w:val="0"/>
                <w:sz w:val="20"/>
                <w:szCs w:val="20"/>
                <w14:ligatures w14:val="none"/>
              </w:rPr>
              <w:t>Masat e propozuara</w:t>
            </w:r>
          </w:p>
        </w:tc>
        <w:tc>
          <w:tcPr>
            <w:tcW w:w="2702" w:type="dxa"/>
            <w:shd w:val="clear" w:color="auto" w:fill="365F91"/>
          </w:tcPr>
          <w:p w14:paraId="71B56867" w14:textId="77777777" w:rsidR="00430A79" w:rsidRPr="00430A79" w:rsidRDefault="00430A79" w:rsidP="00430A79">
            <w:pPr>
              <w:rPr>
                <w:rFonts w:ascii="Arial Narrow" w:hAnsi="Arial Narrow"/>
                <w:b/>
                <w:bCs/>
                <w:color w:val="FFFFFF" w:themeColor="background1"/>
                <w:kern w:val="0"/>
                <w:sz w:val="20"/>
                <w:szCs w:val="20"/>
                <w14:ligatures w14:val="none"/>
              </w:rPr>
            </w:pPr>
            <w:r w:rsidRPr="00430A79">
              <w:rPr>
                <w:rFonts w:ascii="Arial Narrow" w:hAnsi="Arial Narrow"/>
                <w:b/>
                <w:bCs/>
                <w:color w:val="FFFFFF" w:themeColor="background1"/>
                <w:kern w:val="0"/>
                <w:sz w:val="20"/>
                <w:szCs w:val="20"/>
                <w14:ligatures w14:val="none"/>
              </w:rPr>
              <w:t>Ndikimet e mundshme</w:t>
            </w:r>
          </w:p>
        </w:tc>
        <w:tc>
          <w:tcPr>
            <w:tcW w:w="3427" w:type="dxa"/>
            <w:shd w:val="clear" w:color="auto" w:fill="365F91"/>
          </w:tcPr>
          <w:p w14:paraId="57732051" w14:textId="77777777" w:rsidR="00430A79" w:rsidRPr="00430A79" w:rsidRDefault="00430A79" w:rsidP="00430A79">
            <w:pPr>
              <w:rPr>
                <w:rFonts w:ascii="Arial Narrow" w:hAnsi="Arial Narrow"/>
                <w:b/>
                <w:bCs/>
                <w:color w:val="FFFFFF" w:themeColor="background1"/>
                <w:kern w:val="0"/>
                <w:sz w:val="20"/>
                <w:szCs w:val="20"/>
                <w14:ligatures w14:val="none"/>
              </w:rPr>
            </w:pPr>
            <w:r w:rsidRPr="00430A79">
              <w:rPr>
                <w:rFonts w:ascii="Arial Narrow" w:hAnsi="Arial Narrow"/>
                <w:b/>
                <w:bCs/>
                <w:color w:val="FFFFFF" w:themeColor="background1"/>
                <w:kern w:val="0"/>
                <w:sz w:val="20"/>
                <w:szCs w:val="20"/>
                <w14:ligatures w14:val="none"/>
              </w:rPr>
              <w:t>Masat e propozuara</w:t>
            </w:r>
          </w:p>
        </w:tc>
      </w:tr>
      <w:tr w:rsidR="00DF1B1A" w:rsidRPr="00430A79" w14:paraId="5AC6CAD5" w14:textId="77777777" w:rsidTr="00DF1B1A">
        <w:trPr>
          <w:trHeight w:val="247"/>
        </w:trPr>
        <w:tc>
          <w:tcPr>
            <w:tcW w:w="2887" w:type="dxa"/>
          </w:tcPr>
          <w:p w14:paraId="29A9AB10" w14:textId="77777777" w:rsidR="00DF1B1A" w:rsidRPr="00BE2534" w:rsidRDefault="00DF1B1A" w:rsidP="00DF1B1A">
            <w:pPr>
              <w:rPr>
                <w:rFonts w:ascii="Arial Narrow" w:hAnsi="Arial Narrow" w:cs="Aptos"/>
                <w:sz w:val="20"/>
                <w:szCs w:val="20"/>
                <w:lang w:val="sq-AL"/>
              </w:rPr>
            </w:pPr>
            <w:r w:rsidRPr="00BE2534">
              <w:rPr>
                <w:rFonts w:ascii="Arial Narrow" w:hAnsi="Arial Narrow" w:cs="Aptos"/>
                <w:b/>
                <w:bCs/>
                <w:sz w:val="20"/>
                <w:szCs w:val="20"/>
                <w:lang w:val="sq-AL"/>
              </w:rPr>
              <w:t>Parandalimi i mbeturinave</w:t>
            </w:r>
            <w:r w:rsidRPr="00BE2534">
              <w:rPr>
                <w:rFonts w:ascii="Arial Narrow" w:hAnsi="Arial Narrow" w:cs="Aptos"/>
                <w:sz w:val="20"/>
                <w:szCs w:val="20"/>
                <w:lang w:val="sq-AL"/>
              </w:rPr>
              <w:t xml:space="preserve"> </w:t>
            </w:r>
          </w:p>
          <w:p w14:paraId="6D144BD8" w14:textId="77777777" w:rsidR="00DF1B1A" w:rsidRPr="00BE2534" w:rsidRDefault="00DF1B1A" w:rsidP="00DF1B1A">
            <w:pPr>
              <w:numPr>
                <w:ilvl w:val="0"/>
                <w:numId w:val="22"/>
              </w:numPr>
              <w:contextualSpacing/>
              <w:rPr>
                <w:rFonts w:ascii="Arial Narrow" w:eastAsia="Aptos" w:hAnsi="Arial Narrow" w:cs="Aptos"/>
                <w:sz w:val="20"/>
                <w:szCs w:val="20"/>
                <w:lang w:val="sq-AL"/>
              </w:rPr>
            </w:pPr>
            <w:r w:rsidRPr="00BE2534">
              <w:rPr>
                <w:rFonts w:ascii="Arial Narrow" w:eastAsia="Aptos" w:hAnsi="Arial Narrow" w:cs="Aptos"/>
                <w:sz w:val="20"/>
                <w:szCs w:val="20"/>
                <w:lang w:val="sq-AL"/>
              </w:rPr>
              <w:t xml:space="preserve">Të fillohet me grumbullimin </w:t>
            </w:r>
            <w:r>
              <w:rPr>
                <w:rFonts w:ascii="Arial Narrow" w:eastAsia="Aptos" w:hAnsi="Arial Narrow" w:cs="Aptos"/>
                <w:sz w:val="20"/>
                <w:szCs w:val="20"/>
                <w:lang w:val="sq-AL"/>
              </w:rPr>
              <w:t>ndaras</w:t>
            </w:r>
            <w:r w:rsidRPr="00BE2534">
              <w:rPr>
                <w:rFonts w:ascii="Arial Narrow" w:eastAsia="Aptos" w:hAnsi="Arial Narrow" w:cs="Aptos"/>
                <w:sz w:val="20"/>
                <w:szCs w:val="20"/>
                <w:lang w:val="sq-AL"/>
              </w:rPr>
              <w:t xml:space="preserve"> të materialeve të riciklueshme</w:t>
            </w:r>
          </w:p>
          <w:p w14:paraId="3EAE7ECD" w14:textId="77777777" w:rsidR="00DF1B1A" w:rsidRPr="00BE2534" w:rsidRDefault="00DF1B1A" w:rsidP="00DF1B1A">
            <w:pPr>
              <w:numPr>
                <w:ilvl w:val="0"/>
                <w:numId w:val="22"/>
              </w:numPr>
              <w:contextualSpacing/>
              <w:rPr>
                <w:rFonts w:ascii="Arial Narrow" w:eastAsia="Aptos" w:hAnsi="Arial Narrow" w:cs="Aptos"/>
                <w:sz w:val="20"/>
                <w:szCs w:val="20"/>
                <w:lang w:val="sq-AL"/>
              </w:rPr>
            </w:pPr>
            <w:r w:rsidRPr="00BE2534">
              <w:rPr>
                <w:rFonts w:ascii="Arial Narrow" w:eastAsia="Aptos" w:hAnsi="Arial Narrow" w:cs="Aptos"/>
                <w:sz w:val="20"/>
                <w:szCs w:val="20"/>
                <w:lang w:val="sq-AL"/>
              </w:rPr>
              <w:t>Kompostimi shtëpiak</w:t>
            </w:r>
          </w:p>
          <w:p w14:paraId="0542C316" w14:textId="77777777" w:rsidR="00DF1B1A" w:rsidRPr="00430A79" w:rsidRDefault="00DF1B1A" w:rsidP="00DF1B1A">
            <w:pPr>
              <w:rPr>
                <w:rFonts w:ascii="Arial Narrow" w:eastAsia="Aptos" w:hAnsi="Arial Narrow" w:cs="Arial"/>
                <w:sz w:val="20"/>
                <w:szCs w:val="20"/>
              </w:rPr>
            </w:pPr>
          </w:p>
        </w:tc>
        <w:tc>
          <w:tcPr>
            <w:tcW w:w="2702" w:type="dxa"/>
          </w:tcPr>
          <w:p w14:paraId="6D42D737" w14:textId="77777777" w:rsidR="00DF1B1A" w:rsidRPr="00430A79" w:rsidRDefault="00DF1B1A" w:rsidP="00DF1B1A">
            <w:pPr>
              <w:rPr>
                <w:rFonts w:ascii="Arial Narrow" w:eastAsia="Aptos" w:hAnsi="Arial Narrow" w:cs="Arial"/>
                <w:sz w:val="20"/>
                <w:szCs w:val="20"/>
              </w:rPr>
            </w:pPr>
            <w:r w:rsidRPr="00430A79">
              <w:rPr>
                <w:rFonts w:ascii="Arial Narrow" w:eastAsia="Aptos" w:hAnsi="Arial Narrow" w:cs="Arial"/>
                <w:sz w:val="20"/>
                <w:szCs w:val="20"/>
              </w:rPr>
              <w:t>Zvogëlimi i aksesit në burime për mbledhësit informalë të mbeturinave, duke përkeqësuar jetesën e tyre.</w:t>
            </w:r>
          </w:p>
          <w:p w14:paraId="384749F9" w14:textId="77777777" w:rsidR="00DF1B1A" w:rsidRPr="00430A79" w:rsidRDefault="00DF1B1A" w:rsidP="00DF1B1A">
            <w:pPr>
              <w:rPr>
                <w:rFonts w:ascii="Arial Narrow" w:eastAsia="Aptos" w:hAnsi="Arial Narrow" w:cs="Arial"/>
                <w:sz w:val="20"/>
                <w:szCs w:val="20"/>
              </w:rPr>
            </w:pPr>
          </w:p>
          <w:p w14:paraId="21EDAC00" w14:textId="77777777" w:rsidR="00DF1B1A" w:rsidRPr="00430A79" w:rsidRDefault="00DF1B1A" w:rsidP="00DF1B1A">
            <w:pPr>
              <w:rPr>
                <w:rFonts w:ascii="Arial Narrow" w:eastAsia="Aptos" w:hAnsi="Arial Narrow" w:cs="Arial"/>
                <w:sz w:val="20"/>
                <w:szCs w:val="20"/>
              </w:rPr>
            </w:pPr>
            <w:r w:rsidRPr="00430A79">
              <w:rPr>
                <w:rFonts w:ascii="Arial Narrow" w:eastAsia="Aptos" w:hAnsi="Arial Narrow" w:cs="Arial"/>
                <w:sz w:val="20"/>
                <w:szCs w:val="20"/>
              </w:rPr>
              <w:t>Rritja e barrës mbi gratë për shkak të aktiviteteve të kompostimit në shtëpi</w:t>
            </w:r>
          </w:p>
          <w:p w14:paraId="35EC4DF9" w14:textId="77777777" w:rsidR="00DF1B1A" w:rsidRPr="00430A79" w:rsidRDefault="00DF1B1A" w:rsidP="00DF1B1A">
            <w:pPr>
              <w:rPr>
                <w:rFonts w:ascii="Arial Narrow" w:eastAsia="Aptos" w:hAnsi="Arial Narrow" w:cs="Arial"/>
                <w:sz w:val="20"/>
                <w:szCs w:val="20"/>
              </w:rPr>
            </w:pPr>
          </w:p>
          <w:p w14:paraId="4578185B" w14:textId="77777777" w:rsidR="00DF1B1A" w:rsidRPr="00430A79" w:rsidRDefault="00DF1B1A" w:rsidP="00DF1B1A">
            <w:pPr>
              <w:rPr>
                <w:rFonts w:ascii="Arial Narrow" w:eastAsia="Aptos" w:hAnsi="Arial Narrow" w:cs="Arial"/>
                <w:sz w:val="20"/>
                <w:szCs w:val="20"/>
              </w:rPr>
            </w:pPr>
            <w:r w:rsidRPr="00430A79">
              <w:rPr>
                <w:rFonts w:ascii="Arial Narrow" w:eastAsia="Aptos" w:hAnsi="Arial Narrow" w:cs="Arial"/>
                <w:sz w:val="20"/>
                <w:szCs w:val="20"/>
              </w:rPr>
              <w:lastRenderedPageBreak/>
              <w:t>Rritja e kostove të familjeve për shërbimet komunale mund të çojë në një barrë më të lartë për familjet vulnerabël.</w:t>
            </w:r>
          </w:p>
          <w:p w14:paraId="2B4B3F2A" w14:textId="77777777" w:rsidR="00DF1B1A" w:rsidRPr="00430A79" w:rsidRDefault="00DF1B1A" w:rsidP="00DF1B1A">
            <w:pPr>
              <w:rPr>
                <w:rFonts w:ascii="Arial Narrow" w:eastAsia="Aptos" w:hAnsi="Arial Narrow" w:cs="Arial"/>
                <w:sz w:val="20"/>
                <w:szCs w:val="20"/>
              </w:rPr>
            </w:pPr>
          </w:p>
          <w:p w14:paraId="00C2FB83" w14:textId="77777777" w:rsidR="00DF1B1A" w:rsidRPr="00430A79" w:rsidRDefault="00DF1B1A" w:rsidP="00DF1B1A">
            <w:pPr>
              <w:rPr>
                <w:rFonts w:ascii="Arial Narrow" w:eastAsia="Aptos" w:hAnsi="Arial Narrow" w:cs="Arial"/>
                <w:sz w:val="20"/>
                <w:szCs w:val="20"/>
              </w:rPr>
            </w:pPr>
          </w:p>
        </w:tc>
        <w:tc>
          <w:tcPr>
            <w:tcW w:w="3427" w:type="dxa"/>
          </w:tcPr>
          <w:p w14:paraId="53378E7B" w14:textId="77777777" w:rsidR="00DF1B1A" w:rsidRPr="00430A79" w:rsidRDefault="00DF1B1A" w:rsidP="00DF1B1A">
            <w:pPr>
              <w:spacing w:before="100" w:beforeAutospacing="1" w:after="100" w:afterAutospacing="1"/>
              <w:rPr>
                <w:rFonts w:ascii="Arial Narrow" w:hAnsi="Arial Narrow"/>
                <w:sz w:val="20"/>
                <w:szCs w:val="20"/>
              </w:rPr>
            </w:pPr>
            <w:r w:rsidRPr="00430A79">
              <w:rPr>
                <w:rFonts w:ascii="Arial Narrow" w:hAnsi="Arial Narrow"/>
                <w:sz w:val="20"/>
                <w:szCs w:val="20"/>
              </w:rPr>
              <w:lastRenderedPageBreak/>
              <w:t>Mblidhni të dhëna për të përcaktuar nivelin bazë për:</w:t>
            </w:r>
          </w:p>
          <w:p w14:paraId="1561DFE0" w14:textId="77777777" w:rsidR="00DF1B1A" w:rsidRPr="00430A79" w:rsidRDefault="00DF1B1A" w:rsidP="00DF1B1A">
            <w:pPr>
              <w:numPr>
                <w:ilvl w:val="1"/>
                <w:numId w:val="21"/>
              </w:numPr>
              <w:spacing w:before="100" w:beforeAutospacing="1" w:after="100" w:afterAutospacing="1"/>
              <w:ind w:left="603" w:hanging="554"/>
              <w:rPr>
                <w:rFonts w:ascii="Arial Narrow" w:hAnsi="Arial Narrow"/>
                <w:sz w:val="20"/>
                <w:szCs w:val="20"/>
              </w:rPr>
            </w:pPr>
            <w:r w:rsidRPr="00430A79">
              <w:rPr>
                <w:rFonts w:ascii="Arial Narrow" w:hAnsi="Arial Narrow"/>
                <w:sz w:val="20"/>
                <w:szCs w:val="20"/>
              </w:rPr>
              <w:t>aktivitete informale të kryera në shënjestër;</w:t>
            </w:r>
          </w:p>
          <w:p w14:paraId="66D6557C" w14:textId="77777777" w:rsidR="00DF1B1A" w:rsidRPr="00430A79" w:rsidRDefault="00DF1B1A" w:rsidP="00DF1B1A">
            <w:pPr>
              <w:numPr>
                <w:ilvl w:val="1"/>
                <w:numId w:val="21"/>
              </w:numPr>
              <w:spacing w:before="100" w:beforeAutospacing="1" w:after="100" w:afterAutospacing="1"/>
              <w:ind w:left="603" w:hanging="554"/>
              <w:rPr>
                <w:rFonts w:ascii="Arial Narrow" w:hAnsi="Arial Narrow"/>
                <w:sz w:val="20"/>
                <w:szCs w:val="20"/>
              </w:rPr>
            </w:pPr>
            <w:r w:rsidRPr="00430A79">
              <w:rPr>
                <w:rFonts w:ascii="Arial Narrow" w:hAnsi="Arial Narrow"/>
                <w:sz w:val="20"/>
                <w:szCs w:val="20"/>
              </w:rPr>
              <w:t>vlerësimin e përballueshmërisë së mbeturinave dhe përcaktimin e masave për të mbështetur familjet në nevojë;</w:t>
            </w:r>
          </w:p>
          <w:p w14:paraId="479A7054" w14:textId="77777777" w:rsidR="00DF1B1A" w:rsidRPr="00430A79" w:rsidRDefault="00DF1B1A" w:rsidP="00DF1B1A">
            <w:pPr>
              <w:numPr>
                <w:ilvl w:val="1"/>
                <w:numId w:val="21"/>
              </w:numPr>
              <w:spacing w:before="100" w:beforeAutospacing="1" w:after="100" w:afterAutospacing="1"/>
              <w:ind w:left="603" w:hanging="554"/>
              <w:rPr>
                <w:rFonts w:ascii="Arial Narrow" w:hAnsi="Arial Narrow"/>
                <w:sz w:val="20"/>
                <w:szCs w:val="20"/>
              </w:rPr>
            </w:pPr>
            <w:r w:rsidRPr="00430A79">
              <w:rPr>
                <w:rFonts w:ascii="Arial Narrow" w:hAnsi="Arial Narrow"/>
                <w:sz w:val="20"/>
                <w:szCs w:val="20"/>
              </w:rPr>
              <w:lastRenderedPageBreak/>
              <w:t>gratë që punojnë në sektorin e menaxhimit të mbeturinave</w:t>
            </w:r>
          </w:p>
          <w:p w14:paraId="0AD43124" w14:textId="77777777" w:rsidR="00DF1B1A" w:rsidRPr="00430A79" w:rsidRDefault="00DF1B1A" w:rsidP="00DF1B1A">
            <w:pPr>
              <w:spacing w:before="100" w:beforeAutospacing="1" w:after="100" w:afterAutospacing="1"/>
              <w:ind w:left="49"/>
              <w:rPr>
                <w:rFonts w:ascii="Arial Narrow" w:hAnsi="Arial Narrow"/>
                <w:sz w:val="20"/>
                <w:szCs w:val="20"/>
              </w:rPr>
            </w:pPr>
            <w:r w:rsidRPr="00430A79">
              <w:rPr>
                <w:rFonts w:ascii="Arial Narrow" w:hAnsi="Arial Narrow"/>
                <w:sz w:val="20"/>
                <w:szCs w:val="20"/>
              </w:rPr>
              <w:t>Kryeni konsultime me të gjitha palët e interesuara, përfshirë OJQ-të që përfaqësojnë gratë, para dhe gjatë zhvillimit dhe zbatimit të projekteve.</w:t>
            </w:r>
          </w:p>
          <w:p w14:paraId="096DF7C4" w14:textId="1FEB693D" w:rsidR="00DF1B1A" w:rsidRPr="00430A79" w:rsidRDefault="00DF1B1A" w:rsidP="00DF1B1A">
            <w:pPr>
              <w:rPr>
                <w:rFonts w:ascii="Arial Narrow" w:eastAsia="Aptos" w:hAnsi="Arial Narrow" w:cs="Arial"/>
                <w:sz w:val="20"/>
                <w:szCs w:val="20"/>
              </w:rPr>
            </w:pPr>
            <w:r w:rsidRPr="00430A79">
              <w:rPr>
                <w:rFonts w:ascii="Arial Narrow" w:hAnsi="Arial Narrow"/>
                <w:sz w:val="20"/>
                <w:szCs w:val="20"/>
              </w:rPr>
              <w:t>Zhvilloni një program koherent ndërgjegjësimi për mbledhjen ndar</w:t>
            </w:r>
            <w:r w:rsidR="0030347F">
              <w:rPr>
                <w:rFonts w:ascii="Arial Narrow" w:hAnsi="Arial Narrow"/>
                <w:sz w:val="20"/>
                <w:szCs w:val="20"/>
              </w:rPr>
              <w:t>as</w:t>
            </w:r>
            <w:r w:rsidRPr="00430A79">
              <w:rPr>
                <w:rFonts w:ascii="Arial Narrow" w:hAnsi="Arial Narrow"/>
                <w:sz w:val="20"/>
                <w:szCs w:val="20"/>
              </w:rPr>
              <w:t xml:space="preserve"> të mbet</w:t>
            </w:r>
            <w:r w:rsidR="0030347F">
              <w:rPr>
                <w:rFonts w:ascii="Arial Narrow" w:hAnsi="Arial Narrow"/>
                <w:sz w:val="20"/>
                <w:szCs w:val="20"/>
              </w:rPr>
              <w:t>urinave</w:t>
            </w:r>
            <w:r w:rsidRPr="00430A79">
              <w:rPr>
                <w:rFonts w:ascii="Arial Narrow" w:hAnsi="Arial Narrow"/>
                <w:sz w:val="20"/>
                <w:szCs w:val="20"/>
              </w:rPr>
              <w:t xml:space="preserve"> dhe kompostimin në shtëpi. Fushatat duhet të jenë të ndjeshme ndaj aspekteve gjinore dhe aktivitetet specifike ndërgjegjësuese duhet të synojnë gratë dhe grupet vulnerabël, duke përfshirë mbledhësit informal të mbet</w:t>
            </w:r>
            <w:r w:rsidR="0030347F">
              <w:rPr>
                <w:rFonts w:ascii="Arial Narrow" w:hAnsi="Arial Narrow"/>
                <w:sz w:val="20"/>
                <w:szCs w:val="20"/>
              </w:rPr>
              <w:t>urinave</w:t>
            </w:r>
            <w:r w:rsidRPr="00430A79">
              <w:rPr>
                <w:rFonts w:ascii="Arial Narrow" w:hAnsi="Arial Narrow"/>
                <w:sz w:val="20"/>
                <w:szCs w:val="20"/>
              </w:rPr>
              <w:t>.</w:t>
            </w:r>
          </w:p>
        </w:tc>
      </w:tr>
      <w:tr w:rsidR="00DF1B1A" w:rsidRPr="00430A79" w14:paraId="218A38A6" w14:textId="77777777" w:rsidTr="00DF1B1A">
        <w:trPr>
          <w:trHeight w:val="247"/>
        </w:trPr>
        <w:tc>
          <w:tcPr>
            <w:tcW w:w="2887" w:type="dxa"/>
          </w:tcPr>
          <w:p w14:paraId="47435683" w14:textId="77777777" w:rsidR="00DF1B1A" w:rsidRPr="00BE2534" w:rsidRDefault="00DF1B1A" w:rsidP="00DF1B1A">
            <w:pPr>
              <w:rPr>
                <w:rFonts w:ascii="Arial Narrow" w:hAnsi="Arial Narrow" w:cs="Aptos"/>
                <w:b/>
                <w:bCs/>
                <w:sz w:val="20"/>
                <w:szCs w:val="20"/>
                <w:lang w:val="sq-AL"/>
              </w:rPr>
            </w:pPr>
            <w:r w:rsidRPr="00BE2534">
              <w:rPr>
                <w:rFonts w:ascii="Arial Narrow" w:hAnsi="Arial Narrow" w:cs="Aptos"/>
                <w:b/>
                <w:bCs/>
                <w:sz w:val="20"/>
                <w:szCs w:val="20"/>
                <w:lang w:val="sq-AL"/>
              </w:rPr>
              <w:lastRenderedPageBreak/>
              <w:t>Stacionet e transferit të mbeturinave</w:t>
            </w:r>
          </w:p>
          <w:p w14:paraId="5E23C8A5" w14:textId="77777777" w:rsidR="00DF1B1A" w:rsidRPr="00430A79" w:rsidRDefault="00DF1B1A" w:rsidP="00DF1B1A">
            <w:pPr>
              <w:rPr>
                <w:rFonts w:ascii="Arial Narrow" w:eastAsia="Aptos" w:hAnsi="Arial Narrow" w:cs="Arial"/>
                <w:sz w:val="20"/>
                <w:szCs w:val="20"/>
              </w:rPr>
            </w:pPr>
          </w:p>
        </w:tc>
        <w:tc>
          <w:tcPr>
            <w:tcW w:w="2702" w:type="dxa"/>
          </w:tcPr>
          <w:p w14:paraId="1DD5484C" w14:textId="77777777" w:rsidR="00DF1B1A" w:rsidRPr="00430A79" w:rsidRDefault="00DF1B1A" w:rsidP="00DF1B1A">
            <w:pPr>
              <w:rPr>
                <w:rFonts w:ascii="Arial Narrow" w:eastAsia="Aptos" w:hAnsi="Arial Narrow" w:cs="Arial"/>
                <w:sz w:val="20"/>
                <w:szCs w:val="20"/>
              </w:rPr>
            </w:pPr>
            <w:r w:rsidRPr="00430A79">
              <w:rPr>
                <w:rFonts w:ascii="Arial Narrow" w:eastAsia="Aptos" w:hAnsi="Arial Narrow" w:cs="Arial"/>
                <w:sz w:val="20"/>
                <w:szCs w:val="20"/>
              </w:rPr>
              <w:t>Asnjë ndikim joproporcional mbi grupet vulnerabël</w:t>
            </w:r>
          </w:p>
        </w:tc>
        <w:tc>
          <w:tcPr>
            <w:tcW w:w="3427" w:type="dxa"/>
          </w:tcPr>
          <w:p w14:paraId="1A4343BC" w14:textId="77777777" w:rsidR="00DF1B1A" w:rsidRPr="00430A79" w:rsidRDefault="00DF1B1A" w:rsidP="00DF1B1A">
            <w:pPr>
              <w:rPr>
                <w:rFonts w:ascii="Arial Narrow" w:eastAsia="Aptos" w:hAnsi="Arial Narrow" w:cs="Arial"/>
                <w:sz w:val="20"/>
                <w:szCs w:val="20"/>
              </w:rPr>
            </w:pPr>
            <w:r w:rsidRPr="00430A79">
              <w:rPr>
                <w:rFonts w:ascii="Arial Narrow" w:eastAsia="Aptos" w:hAnsi="Arial Narrow" w:cs="Arial"/>
                <w:sz w:val="20"/>
                <w:szCs w:val="20"/>
              </w:rPr>
              <w:t>Fushatat e ndërgjegjësimit duhet të përfshijnë gjithashtu informacion në lidhje me stacionet e transferimit dhe mesazhi duhet të përshtatet në mënyrë që të jetë i arritshëm për të gjitha grupet, përfshirë ato vulnerabël. Gjithashtu, mesazhi duhet të integrohet në aspektin gjinor.</w:t>
            </w:r>
          </w:p>
        </w:tc>
      </w:tr>
      <w:tr w:rsidR="00DF1B1A" w:rsidRPr="00430A79" w14:paraId="2EE26DDB" w14:textId="77777777" w:rsidTr="00DF1B1A">
        <w:trPr>
          <w:trHeight w:val="247"/>
        </w:trPr>
        <w:tc>
          <w:tcPr>
            <w:tcW w:w="2887" w:type="dxa"/>
          </w:tcPr>
          <w:p w14:paraId="1EFE0650" w14:textId="77777777" w:rsidR="00DF1B1A" w:rsidRPr="00BE2534" w:rsidRDefault="00DF1B1A" w:rsidP="00DF1B1A">
            <w:pPr>
              <w:rPr>
                <w:rFonts w:ascii="Arial Narrow" w:hAnsi="Arial Narrow" w:cs="Aptos"/>
                <w:b/>
                <w:bCs/>
                <w:sz w:val="20"/>
                <w:szCs w:val="20"/>
                <w:lang w:val="sq-AL"/>
              </w:rPr>
            </w:pPr>
            <w:r w:rsidRPr="00BE2534">
              <w:rPr>
                <w:rFonts w:ascii="Arial Narrow" w:hAnsi="Arial Narrow" w:cs="Aptos"/>
                <w:b/>
                <w:bCs/>
                <w:sz w:val="20"/>
                <w:szCs w:val="20"/>
                <w:lang w:val="sq-AL"/>
              </w:rPr>
              <w:t>Oborret e riciklimit</w:t>
            </w:r>
          </w:p>
          <w:p w14:paraId="1244F060" w14:textId="77777777" w:rsidR="00DF1B1A" w:rsidRPr="00BE2534" w:rsidRDefault="00DF1B1A" w:rsidP="00DF1B1A">
            <w:pPr>
              <w:numPr>
                <w:ilvl w:val="0"/>
                <w:numId w:val="22"/>
              </w:numPr>
              <w:contextualSpacing/>
              <w:rPr>
                <w:rFonts w:ascii="Arial Narrow" w:eastAsia="Aptos" w:hAnsi="Arial Narrow" w:cs="Aptos"/>
                <w:sz w:val="20"/>
                <w:szCs w:val="20"/>
                <w:lang w:val="sq-AL"/>
              </w:rPr>
            </w:pPr>
            <w:r w:rsidRPr="00BE2534">
              <w:rPr>
                <w:rFonts w:ascii="Arial Narrow" w:eastAsia="Aptos" w:hAnsi="Arial Narrow" w:cs="Aptos"/>
                <w:sz w:val="20"/>
                <w:szCs w:val="20"/>
                <w:lang w:val="sq-AL"/>
              </w:rPr>
              <w:t>1 deponi rajonale në Pejë (përmirësimi i ekzistueses). Aktualisht nuk raportohet për prani joformale atje.</w:t>
            </w:r>
          </w:p>
          <w:p w14:paraId="79C64706" w14:textId="77777777" w:rsidR="00DF1B1A" w:rsidRPr="00BE2534" w:rsidRDefault="00DF1B1A" w:rsidP="00DF1B1A">
            <w:pPr>
              <w:numPr>
                <w:ilvl w:val="0"/>
                <w:numId w:val="22"/>
              </w:numPr>
              <w:contextualSpacing/>
              <w:rPr>
                <w:rFonts w:ascii="Arial Narrow" w:eastAsia="Aptos" w:hAnsi="Arial Narrow" w:cs="Aptos"/>
                <w:sz w:val="20"/>
                <w:szCs w:val="20"/>
                <w:lang w:val="sq-AL"/>
              </w:rPr>
            </w:pPr>
            <w:r w:rsidRPr="00BE2534">
              <w:rPr>
                <w:rFonts w:ascii="Arial Narrow" w:eastAsia="Aptos" w:hAnsi="Arial Narrow" w:cs="Aptos"/>
                <w:sz w:val="20"/>
                <w:szCs w:val="20"/>
                <w:lang w:val="sq-AL"/>
              </w:rPr>
              <w:t>1 ORM për materiale të pastra në Pejë</w:t>
            </w:r>
          </w:p>
          <w:p w14:paraId="469F9B34" w14:textId="77777777" w:rsidR="00DF1B1A" w:rsidRPr="00BE2534" w:rsidRDefault="00DF1B1A" w:rsidP="00DF1B1A">
            <w:pPr>
              <w:numPr>
                <w:ilvl w:val="0"/>
                <w:numId w:val="22"/>
              </w:numPr>
              <w:contextualSpacing/>
              <w:rPr>
                <w:rFonts w:ascii="Arial Narrow" w:eastAsia="Aptos" w:hAnsi="Arial Narrow" w:cs="Aptos"/>
                <w:sz w:val="20"/>
                <w:szCs w:val="20"/>
                <w:lang w:val="sq-AL"/>
              </w:rPr>
            </w:pPr>
            <w:r w:rsidRPr="00BE2534">
              <w:rPr>
                <w:rFonts w:ascii="Arial Narrow" w:eastAsia="Aptos" w:hAnsi="Arial Narrow" w:cs="Aptos"/>
                <w:sz w:val="20"/>
                <w:szCs w:val="20"/>
                <w:lang w:val="sq-AL"/>
              </w:rPr>
              <w:t>1 TMB në Pejë</w:t>
            </w:r>
          </w:p>
          <w:p w14:paraId="7411F4A0" w14:textId="77777777" w:rsidR="00DF1B1A" w:rsidRPr="00BE2534" w:rsidRDefault="00DF1B1A" w:rsidP="00DF1B1A">
            <w:pPr>
              <w:numPr>
                <w:ilvl w:val="0"/>
                <w:numId w:val="22"/>
              </w:numPr>
              <w:contextualSpacing/>
              <w:rPr>
                <w:rFonts w:ascii="Arial Narrow" w:eastAsia="Aptos" w:hAnsi="Arial Narrow" w:cs="Aptos"/>
                <w:sz w:val="20"/>
                <w:szCs w:val="20"/>
                <w:lang w:val="sq-AL"/>
              </w:rPr>
            </w:pPr>
            <w:r w:rsidRPr="00BE2534">
              <w:rPr>
                <w:rFonts w:ascii="Arial Narrow" w:eastAsia="Aptos" w:hAnsi="Arial Narrow" w:cs="Aptos"/>
                <w:sz w:val="20"/>
                <w:szCs w:val="20"/>
                <w:lang w:val="sq-AL"/>
              </w:rPr>
              <w:t>Mundësisht sistem i decentralizuar i vendeve të kompostimit – 1 në secilën nga 5 komunat</w:t>
            </w:r>
          </w:p>
          <w:p w14:paraId="00B80572" w14:textId="6FE29D0D" w:rsidR="00DF1B1A" w:rsidRPr="00430A79" w:rsidRDefault="00DF1B1A" w:rsidP="00DF1B1A">
            <w:pPr>
              <w:numPr>
                <w:ilvl w:val="0"/>
                <w:numId w:val="22"/>
              </w:numPr>
              <w:contextualSpacing/>
              <w:rPr>
                <w:rFonts w:ascii="Arial Narrow" w:eastAsia="Aptos" w:hAnsi="Arial Narrow" w:cs="Aptos"/>
                <w:sz w:val="20"/>
                <w:szCs w:val="20"/>
              </w:rPr>
            </w:pPr>
            <w:r w:rsidRPr="00BE2534">
              <w:rPr>
                <w:rFonts w:ascii="Arial Narrow" w:eastAsia="Aptos" w:hAnsi="Arial Narrow" w:cs="Aptos"/>
                <w:sz w:val="20"/>
                <w:szCs w:val="20"/>
                <w:lang w:val="sq-AL"/>
              </w:rPr>
              <w:t>Objekt riciklimi dhe venddeponimi për mbeturinat e ndërtimit dhe rrënimit</w:t>
            </w:r>
          </w:p>
        </w:tc>
        <w:tc>
          <w:tcPr>
            <w:tcW w:w="2702" w:type="dxa"/>
          </w:tcPr>
          <w:p w14:paraId="2EB5A8E0" w14:textId="77777777" w:rsidR="00DF1B1A" w:rsidRPr="00430A79" w:rsidRDefault="00DF1B1A" w:rsidP="00DF1B1A">
            <w:pPr>
              <w:rPr>
                <w:rFonts w:ascii="Arial Narrow" w:eastAsia="Aptos" w:hAnsi="Arial Narrow" w:cs="Arial"/>
                <w:sz w:val="20"/>
                <w:szCs w:val="20"/>
              </w:rPr>
            </w:pPr>
            <w:r w:rsidRPr="00430A79">
              <w:rPr>
                <w:rFonts w:ascii="Arial Narrow" w:eastAsia="Aptos" w:hAnsi="Arial Narrow" w:cs="Arial"/>
                <w:sz w:val="20"/>
                <w:szCs w:val="20"/>
              </w:rPr>
              <w:t>Mundësi të reja pune / mundësi biznesi</w:t>
            </w:r>
          </w:p>
        </w:tc>
        <w:tc>
          <w:tcPr>
            <w:tcW w:w="3427" w:type="dxa"/>
          </w:tcPr>
          <w:p w14:paraId="0A1C77A4" w14:textId="77777777" w:rsidR="00DF1B1A" w:rsidRPr="00430A79" w:rsidRDefault="00DF1B1A" w:rsidP="00DF1B1A">
            <w:pPr>
              <w:rPr>
                <w:rFonts w:ascii="Arial Narrow" w:eastAsia="Aptos" w:hAnsi="Arial Narrow" w:cs="Arial"/>
                <w:sz w:val="20"/>
                <w:szCs w:val="20"/>
              </w:rPr>
            </w:pPr>
            <w:r w:rsidRPr="00430A79">
              <w:rPr>
                <w:rFonts w:ascii="Arial Narrow" w:eastAsia="Aptos" w:hAnsi="Arial Narrow" w:cs="Arial"/>
                <w:sz w:val="20"/>
                <w:szCs w:val="20"/>
              </w:rPr>
              <w:t>Njoftimet për punë duhet të promovohen dhe të bëhen të arritshme për të gjitha grupet, përfshirë ato vulnerabël. Gjithashtu, mundësitë e punës nuk duhet të kufizohen në një kategori të caktuar personash, por duhet të jenë neutrale ndaj gjinisë.</w:t>
            </w:r>
          </w:p>
          <w:p w14:paraId="01267A87" w14:textId="77777777" w:rsidR="00DF1B1A" w:rsidRPr="00430A79" w:rsidRDefault="00DF1B1A" w:rsidP="00DF1B1A">
            <w:pPr>
              <w:rPr>
                <w:rFonts w:ascii="Arial Narrow" w:eastAsia="Aptos" w:hAnsi="Arial Narrow" w:cs="Arial"/>
                <w:sz w:val="20"/>
                <w:szCs w:val="20"/>
              </w:rPr>
            </w:pPr>
          </w:p>
          <w:p w14:paraId="3C3741C1" w14:textId="77777777" w:rsidR="00DF1B1A" w:rsidRPr="00430A79" w:rsidRDefault="00DF1B1A" w:rsidP="00DF1B1A">
            <w:pPr>
              <w:rPr>
                <w:rFonts w:ascii="Arial Narrow" w:eastAsia="Aptos" w:hAnsi="Arial Narrow" w:cs="Arial"/>
                <w:sz w:val="20"/>
                <w:szCs w:val="20"/>
              </w:rPr>
            </w:pPr>
            <w:r w:rsidRPr="00430A79">
              <w:rPr>
                <w:rFonts w:ascii="Arial Narrow" w:eastAsia="Aptos" w:hAnsi="Arial Narrow" w:cs="Arial"/>
                <w:sz w:val="20"/>
                <w:szCs w:val="20"/>
              </w:rPr>
              <w:t>Në rast se do të promovohen mundësitë e biznesit, atëherë përpiquni të mbështesni gratë sipërmarrëse që të angazhohen në bizneset e riciklimit.</w:t>
            </w:r>
          </w:p>
        </w:tc>
      </w:tr>
    </w:tbl>
    <w:p w14:paraId="3F9D44FF" w14:textId="57193493" w:rsidR="00A93D21" w:rsidRDefault="00A93D21" w:rsidP="00430A79">
      <w:pPr>
        <w:rPr>
          <w:rFonts w:ascii="Aptos Display" w:eastAsia="Aptos" w:hAnsi="Aptos Display" w:cs="Arial"/>
        </w:rPr>
      </w:pPr>
    </w:p>
    <w:p w14:paraId="7D02DE6A" w14:textId="77777777" w:rsidR="00A93D21" w:rsidRDefault="00A93D21">
      <w:pPr>
        <w:rPr>
          <w:rFonts w:ascii="Aptos Display" w:eastAsia="Aptos" w:hAnsi="Aptos Display" w:cs="Arial"/>
        </w:rPr>
      </w:pPr>
      <w:r>
        <w:rPr>
          <w:rFonts w:ascii="Aptos Display" w:eastAsia="Aptos" w:hAnsi="Aptos Display" w:cs="Arial"/>
        </w:rPr>
        <w:br w:type="page"/>
      </w:r>
    </w:p>
    <w:p w14:paraId="3423C337" w14:textId="72476835" w:rsidR="00430A79" w:rsidRPr="00430A79" w:rsidRDefault="00430A79" w:rsidP="007D1EDC">
      <w:pPr>
        <w:pStyle w:val="Heading1"/>
        <w:ind w:left="1134" w:hanging="1134"/>
      </w:pPr>
      <w:bookmarkStart w:id="519" w:name="_Toc185866152"/>
      <w:bookmarkStart w:id="520" w:name="_Toc197472043"/>
      <w:r w:rsidRPr="00430A79">
        <w:lastRenderedPageBreak/>
        <w:t xml:space="preserve">Zhvillimi i </w:t>
      </w:r>
      <w:r w:rsidR="00DF1B1A">
        <w:t xml:space="preserve">SISTEMIT TË </w:t>
      </w:r>
      <w:r w:rsidRPr="00430A79">
        <w:t>rekomanduar</w:t>
      </w:r>
      <w:bookmarkEnd w:id="519"/>
      <w:bookmarkEnd w:id="520"/>
    </w:p>
    <w:p w14:paraId="66B546AF" w14:textId="77777777" w:rsidR="00430A79" w:rsidRPr="00430A79" w:rsidRDefault="00430A79" w:rsidP="000D7AD0">
      <w:pPr>
        <w:pStyle w:val="Heading2"/>
      </w:pPr>
      <w:bookmarkStart w:id="521" w:name="_Toc185866153"/>
      <w:bookmarkStart w:id="522" w:name="_Toc197472044"/>
      <w:r w:rsidRPr="00430A79">
        <w:t>Konfigurimi i sistemit</w:t>
      </w:r>
      <w:bookmarkEnd w:id="521"/>
      <w:bookmarkEnd w:id="522"/>
    </w:p>
    <w:p w14:paraId="53659771" w14:textId="77777777" w:rsidR="00430A79" w:rsidRPr="00430A79" w:rsidRDefault="00430A79" w:rsidP="00430A79">
      <w:pPr>
        <w:rPr>
          <w:rFonts w:ascii="Arial Narrow" w:hAnsi="Arial Narrow"/>
          <w:color w:val="000000"/>
          <w:sz w:val="22"/>
          <w:szCs w:val="22"/>
          <w:lang w:val="en-GB" w:eastAsia="de-DE"/>
        </w:rPr>
      </w:pPr>
    </w:p>
    <w:p w14:paraId="7B6FAB28" w14:textId="3F85ADE9" w:rsidR="00430A79" w:rsidRPr="00430A79" w:rsidRDefault="00DF1B1A" w:rsidP="00430A79">
      <w:pPr>
        <w:rPr>
          <w:rFonts w:ascii="Arial Narrow" w:hAnsi="Arial Narrow"/>
          <w:color w:val="000000"/>
          <w:sz w:val="22"/>
          <w:szCs w:val="22"/>
          <w:lang w:val="en-GB" w:eastAsia="de-DE"/>
        </w:rPr>
      </w:pPr>
      <w:r w:rsidRPr="00BE2534">
        <w:rPr>
          <w:rFonts w:ascii="Arial Narrow" w:hAnsi="Arial Narrow"/>
          <w:color w:val="000000"/>
          <w:sz w:val="22"/>
          <w:szCs w:val="22"/>
          <w:lang w:val="sq-AL" w:eastAsia="de-DE"/>
        </w:rPr>
        <w:t>Tabela e mëposhtme përmbledh në detaje sistemin e preferuar për sistemin e integruar të menaxhimit të mbeturinave inerte</w:t>
      </w:r>
      <w:r w:rsidR="00430A79" w:rsidRPr="00430A79">
        <w:rPr>
          <w:rFonts w:ascii="Arial Narrow" w:hAnsi="Arial Narrow"/>
          <w:color w:val="000000"/>
          <w:sz w:val="22"/>
          <w:szCs w:val="22"/>
          <w:lang w:val="en-GB" w:eastAsia="de-DE"/>
        </w:rPr>
        <w:t>.</w:t>
      </w:r>
    </w:p>
    <w:p w14:paraId="060606F6" w14:textId="77777777" w:rsidR="00430A79" w:rsidRPr="00430A79" w:rsidRDefault="00430A79" w:rsidP="00430A79">
      <w:pPr>
        <w:rPr>
          <w:rFonts w:ascii="Arial Narrow" w:hAnsi="Arial Narrow"/>
          <w:color w:val="000000"/>
          <w:sz w:val="22"/>
          <w:szCs w:val="22"/>
          <w:lang w:val="en-GB" w:eastAsia="de-DE"/>
        </w:rPr>
      </w:pPr>
    </w:p>
    <w:p w14:paraId="3045AE5C" w14:textId="3A8761DE" w:rsidR="00430A79" w:rsidRPr="009F5CA1" w:rsidRDefault="00430A79" w:rsidP="00430A79">
      <w:pPr>
        <w:rPr>
          <w:rFonts w:ascii="Arial Narrow" w:eastAsia="Calibri" w:hAnsi="Arial Narrow" w:cs="Calibri"/>
          <w:color w:val="1F497D"/>
          <w:sz w:val="20"/>
          <w:szCs w:val="20"/>
          <w:lang w:val="es-ES"/>
        </w:rPr>
      </w:pPr>
      <w:bookmarkStart w:id="523" w:name="_Toc429755040"/>
      <w:bookmarkStart w:id="524" w:name="_Toc185866237"/>
      <w:bookmarkStart w:id="525" w:name="_Toc197472266"/>
      <w:proofErr w:type="spellStart"/>
      <w:r w:rsidRPr="009F5CA1">
        <w:rPr>
          <w:rFonts w:ascii="Arial Narrow" w:eastAsia="Calibri" w:hAnsi="Arial Narrow" w:cs="Calibri"/>
          <w:color w:val="1F497D"/>
          <w:sz w:val="20"/>
          <w:szCs w:val="20"/>
          <w:lang w:val="es-ES"/>
        </w:rPr>
        <w:t>Tabela</w:t>
      </w:r>
      <w:proofErr w:type="spellEnd"/>
      <w:r w:rsidRPr="009F5CA1">
        <w:rPr>
          <w:rFonts w:ascii="Arial Narrow" w:eastAsia="Calibri" w:hAnsi="Arial Narrow" w:cs="Calibri"/>
          <w:color w:val="1F497D"/>
          <w:sz w:val="20"/>
          <w:szCs w:val="20"/>
          <w:lang w:val="es-ES"/>
        </w:rPr>
        <w:t xml:space="preserve">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lang w:val="es-ES"/>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lang w:val="es-ES"/>
        </w:rPr>
        <w:t xml:space="preserve">81. </w:t>
      </w:r>
      <w:r w:rsidRPr="00430A79">
        <w:rPr>
          <w:rFonts w:ascii="Arial Narrow" w:eastAsia="Calibri" w:hAnsi="Arial Narrow" w:cs="Calibri"/>
          <w:color w:val="1F497D"/>
          <w:sz w:val="20"/>
          <w:szCs w:val="20"/>
          <w:lang w:val="en-GB"/>
        </w:rPr>
        <w:fldChar w:fldCharType="end"/>
      </w:r>
      <w:proofErr w:type="spellStart"/>
      <w:r w:rsidRPr="009F5CA1">
        <w:rPr>
          <w:rFonts w:ascii="Arial Narrow" w:eastAsia="Calibri" w:hAnsi="Arial Narrow" w:cs="Calibri"/>
          <w:color w:val="1F497D"/>
          <w:sz w:val="20"/>
          <w:szCs w:val="20"/>
          <w:lang w:val="es-ES"/>
        </w:rPr>
        <w:t>Prezantimi</w:t>
      </w:r>
      <w:proofErr w:type="spellEnd"/>
      <w:r w:rsidRPr="009F5CA1">
        <w:rPr>
          <w:rFonts w:ascii="Arial Narrow" w:eastAsia="Calibri" w:hAnsi="Arial Narrow" w:cs="Calibri"/>
          <w:color w:val="1F497D"/>
          <w:sz w:val="20"/>
          <w:szCs w:val="20"/>
          <w:lang w:val="es-ES"/>
        </w:rPr>
        <w:t xml:space="preserve"> i </w:t>
      </w:r>
      <w:proofErr w:type="spellStart"/>
      <w:r w:rsidRPr="009F5CA1">
        <w:rPr>
          <w:rFonts w:ascii="Arial Narrow" w:eastAsia="Calibri" w:hAnsi="Arial Narrow" w:cs="Calibri"/>
          <w:color w:val="1F497D"/>
          <w:sz w:val="20"/>
          <w:szCs w:val="20"/>
          <w:lang w:val="es-ES"/>
        </w:rPr>
        <w:t>sistemit</w:t>
      </w:r>
      <w:proofErr w:type="spellEnd"/>
      <w:r w:rsidRPr="009F5CA1">
        <w:rPr>
          <w:rFonts w:ascii="Arial Narrow" w:eastAsia="Calibri" w:hAnsi="Arial Narrow" w:cs="Calibri"/>
          <w:color w:val="1F497D"/>
          <w:sz w:val="20"/>
          <w:szCs w:val="20"/>
          <w:lang w:val="es-ES"/>
        </w:rPr>
        <w:t xml:space="preserve"> </w:t>
      </w:r>
      <w:proofErr w:type="spellStart"/>
      <w:r w:rsidRPr="009F5CA1">
        <w:rPr>
          <w:rFonts w:ascii="Arial Narrow" w:eastAsia="Calibri" w:hAnsi="Arial Narrow" w:cs="Calibri"/>
          <w:color w:val="1F497D"/>
          <w:sz w:val="20"/>
          <w:szCs w:val="20"/>
          <w:lang w:val="es-ES"/>
        </w:rPr>
        <w:t>të</w:t>
      </w:r>
      <w:proofErr w:type="spellEnd"/>
      <w:r w:rsidRPr="009F5CA1">
        <w:rPr>
          <w:rFonts w:ascii="Arial Narrow" w:eastAsia="Calibri" w:hAnsi="Arial Narrow" w:cs="Calibri"/>
          <w:color w:val="1F497D"/>
          <w:sz w:val="20"/>
          <w:szCs w:val="20"/>
          <w:lang w:val="es-ES"/>
        </w:rPr>
        <w:t xml:space="preserve"> </w:t>
      </w:r>
      <w:proofErr w:type="spellStart"/>
      <w:r w:rsidRPr="009F5CA1">
        <w:rPr>
          <w:rFonts w:ascii="Arial Narrow" w:eastAsia="Calibri" w:hAnsi="Arial Narrow" w:cs="Calibri"/>
          <w:color w:val="1F497D"/>
          <w:sz w:val="20"/>
          <w:szCs w:val="20"/>
          <w:lang w:val="es-ES"/>
        </w:rPr>
        <w:t>preferuar</w:t>
      </w:r>
      <w:bookmarkEnd w:id="523"/>
      <w:bookmarkEnd w:id="524"/>
      <w:bookmarkEnd w:id="525"/>
      <w:proofErr w:type="spellEnd"/>
    </w:p>
    <w:tbl>
      <w:tblPr>
        <w:tblStyle w:val="TableGrid13"/>
        <w:tblW w:w="5000" w:type="pct"/>
        <w:tblLook w:val="04A0" w:firstRow="1" w:lastRow="0" w:firstColumn="1" w:lastColumn="0" w:noHBand="0" w:noVBand="1"/>
      </w:tblPr>
      <w:tblGrid>
        <w:gridCol w:w="2155"/>
        <w:gridCol w:w="2699"/>
        <w:gridCol w:w="2882"/>
        <w:gridCol w:w="1280"/>
      </w:tblGrid>
      <w:tr w:rsidR="00430A79" w:rsidRPr="00430A79" w14:paraId="0B492D73" w14:textId="77777777" w:rsidTr="00D03949">
        <w:trPr>
          <w:tblHeader/>
        </w:trPr>
        <w:tc>
          <w:tcPr>
            <w:tcW w:w="1195" w:type="pct"/>
            <w:shd w:val="clear" w:color="auto" w:fill="365F91"/>
            <w:tcMar>
              <w:left w:w="58" w:type="dxa"/>
              <w:right w:w="58" w:type="dxa"/>
            </w:tcMar>
          </w:tcPr>
          <w:p w14:paraId="7C3ED297" w14:textId="404E294C" w:rsidR="00430A79" w:rsidRPr="00430A79" w:rsidRDefault="00DF1B1A" w:rsidP="00750949">
            <w:pPr>
              <w:spacing w:line="240" w:lineRule="auto"/>
              <w:rPr>
                <w:rFonts w:ascii="Arial Narrow" w:hAnsi="Arial Narrow"/>
                <w:b/>
                <w:bCs/>
                <w:color w:val="FFFFFF" w:themeColor="background1"/>
                <w:lang w:eastAsia="en-US"/>
              </w:rPr>
            </w:pPr>
            <w:r>
              <w:rPr>
                <w:rFonts w:ascii="Arial Narrow" w:hAnsi="Arial Narrow"/>
                <w:b/>
                <w:bCs/>
                <w:color w:val="FFFFFF" w:themeColor="background1"/>
                <w:lang w:eastAsia="en-US"/>
              </w:rPr>
              <w:t>Përbërësit e</w:t>
            </w:r>
            <w:r w:rsidR="00430A79" w:rsidRPr="00430A79">
              <w:rPr>
                <w:rFonts w:ascii="Arial Narrow" w:hAnsi="Arial Narrow"/>
                <w:b/>
                <w:bCs/>
                <w:color w:val="FFFFFF" w:themeColor="background1"/>
                <w:lang w:eastAsia="en-US"/>
              </w:rPr>
              <w:t xml:space="preserve"> sistemit</w:t>
            </w:r>
          </w:p>
        </w:tc>
        <w:tc>
          <w:tcPr>
            <w:tcW w:w="1497" w:type="pct"/>
            <w:shd w:val="clear" w:color="auto" w:fill="365F91"/>
            <w:tcMar>
              <w:left w:w="58" w:type="dxa"/>
              <w:right w:w="58" w:type="dxa"/>
            </w:tcMar>
          </w:tcPr>
          <w:p w14:paraId="1121DC86" w14:textId="77777777" w:rsidR="00430A79" w:rsidRPr="00430A79" w:rsidRDefault="00430A79" w:rsidP="00750949">
            <w:pPr>
              <w:spacing w:line="240" w:lineRule="auto"/>
              <w:rPr>
                <w:rFonts w:ascii="Arial Narrow" w:hAnsi="Arial Narrow"/>
                <w:b/>
                <w:bCs/>
                <w:color w:val="FFFFFF" w:themeColor="background1"/>
                <w:lang w:eastAsia="en-US"/>
              </w:rPr>
            </w:pPr>
            <w:r w:rsidRPr="00430A79">
              <w:rPr>
                <w:rFonts w:ascii="Arial Narrow" w:hAnsi="Arial Narrow"/>
                <w:b/>
                <w:bCs/>
                <w:color w:val="FFFFFF" w:themeColor="background1"/>
                <w:lang w:eastAsia="en-US"/>
              </w:rPr>
              <w:t>Përshkrimi</w:t>
            </w:r>
          </w:p>
        </w:tc>
        <w:tc>
          <w:tcPr>
            <w:tcW w:w="1598" w:type="pct"/>
            <w:shd w:val="clear" w:color="auto" w:fill="365F91"/>
            <w:tcMar>
              <w:left w:w="58" w:type="dxa"/>
              <w:right w:w="58" w:type="dxa"/>
            </w:tcMar>
          </w:tcPr>
          <w:p w14:paraId="5B15C949" w14:textId="77777777" w:rsidR="00430A79" w:rsidRPr="00430A79" w:rsidRDefault="00430A79" w:rsidP="00750949">
            <w:pPr>
              <w:spacing w:line="240" w:lineRule="auto"/>
              <w:rPr>
                <w:rFonts w:ascii="Arial Narrow" w:hAnsi="Arial Narrow"/>
                <w:b/>
                <w:bCs/>
                <w:color w:val="FFFFFF" w:themeColor="background1"/>
                <w:lang w:eastAsia="en-US"/>
              </w:rPr>
            </w:pPr>
            <w:r w:rsidRPr="00430A79">
              <w:rPr>
                <w:rFonts w:ascii="Arial Narrow" w:hAnsi="Arial Narrow"/>
                <w:b/>
                <w:bCs/>
                <w:color w:val="FFFFFF" w:themeColor="background1"/>
                <w:lang w:eastAsia="en-US"/>
              </w:rPr>
              <w:t>Kapaciteti</w:t>
            </w:r>
          </w:p>
        </w:tc>
        <w:tc>
          <w:tcPr>
            <w:tcW w:w="710" w:type="pct"/>
            <w:shd w:val="clear" w:color="auto" w:fill="365F91"/>
            <w:tcMar>
              <w:left w:w="58" w:type="dxa"/>
              <w:right w:w="58" w:type="dxa"/>
            </w:tcMar>
          </w:tcPr>
          <w:p w14:paraId="6DD7CFBB" w14:textId="77777777" w:rsidR="00430A79" w:rsidRPr="00430A79" w:rsidRDefault="00430A79" w:rsidP="00750949">
            <w:pPr>
              <w:spacing w:line="240" w:lineRule="auto"/>
              <w:rPr>
                <w:rFonts w:ascii="Arial Narrow" w:hAnsi="Arial Narrow"/>
                <w:b/>
                <w:bCs/>
                <w:color w:val="FFFFFF" w:themeColor="background1"/>
                <w:lang w:eastAsia="en-US"/>
              </w:rPr>
            </w:pPr>
            <w:r w:rsidRPr="00430A79">
              <w:rPr>
                <w:rFonts w:ascii="Arial Narrow" w:hAnsi="Arial Narrow"/>
                <w:b/>
                <w:bCs/>
                <w:color w:val="FFFFFF" w:themeColor="background1"/>
                <w:lang w:eastAsia="en-US"/>
              </w:rPr>
              <w:t>Viti/periudha</w:t>
            </w:r>
          </w:p>
        </w:tc>
      </w:tr>
      <w:tr w:rsidR="00DF1B1A" w:rsidRPr="00430A79" w14:paraId="5BEBDFE5" w14:textId="77777777" w:rsidTr="00D03949">
        <w:tc>
          <w:tcPr>
            <w:tcW w:w="1195" w:type="pct"/>
            <w:tcMar>
              <w:left w:w="58" w:type="dxa"/>
              <w:right w:w="58" w:type="dxa"/>
            </w:tcMar>
          </w:tcPr>
          <w:p w14:paraId="116159A4" w14:textId="2742DC22" w:rsidR="00DF1B1A" w:rsidRPr="00430A79" w:rsidRDefault="00DF1B1A" w:rsidP="00DF1B1A">
            <w:pPr>
              <w:spacing w:before="40" w:after="40"/>
              <w:rPr>
                <w:rFonts w:ascii="Arial Narrow" w:hAnsi="Arial Narrow"/>
                <w:color w:val="000000"/>
                <w:lang w:eastAsia="de-DE"/>
              </w:rPr>
            </w:pPr>
            <w:r w:rsidRPr="00BE2534">
              <w:rPr>
                <w:rFonts w:ascii="Arial Narrow" w:hAnsi="Arial Narrow"/>
                <w:color w:val="000000"/>
                <w:lang w:val="sq-AL" w:eastAsia="de-DE"/>
              </w:rPr>
              <w:t>Parandalimi i mbeturinave</w:t>
            </w:r>
          </w:p>
        </w:tc>
        <w:tc>
          <w:tcPr>
            <w:tcW w:w="1497" w:type="pct"/>
            <w:tcMar>
              <w:left w:w="58" w:type="dxa"/>
              <w:right w:w="58" w:type="dxa"/>
            </w:tcMar>
          </w:tcPr>
          <w:p w14:paraId="6DD77653" w14:textId="77777777" w:rsidR="00DF1B1A" w:rsidRPr="00BE2534" w:rsidRDefault="00DF1B1A" w:rsidP="00DF1B1A">
            <w:pPr>
              <w:spacing w:before="40" w:after="40"/>
              <w:rPr>
                <w:rFonts w:ascii="Arial Narrow" w:hAnsi="Arial Narrow"/>
                <w:color w:val="000000"/>
                <w:lang w:val="sq-AL" w:eastAsia="de-DE"/>
              </w:rPr>
            </w:pPr>
            <w:r w:rsidRPr="00BE2534">
              <w:rPr>
                <w:rFonts w:ascii="Arial Narrow" w:hAnsi="Arial Narrow"/>
                <w:color w:val="000000"/>
                <w:lang w:val="sq-AL" w:eastAsia="de-DE"/>
              </w:rPr>
              <w:t>Zhvillimi dhe zbatimi i programeve të kompostimit shtëpiak</w:t>
            </w:r>
          </w:p>
          <w:p w14:paraId="7DE34223" w14:textId="77777777" w:rsidR="00DF1B1A" w:rsidRPr="00BE2534" w:rsidRDefault="00DF1B1A" w:rsidP="00DF1B1A">
            <w:pPr>
              <w:spacing w:before="40" w:after="40"/>
              <w:rPr>
                <w:rFonts w:ascii="Arial Narrow" w:hAnsi="Arial Narrow"/>
                <w:color w:val="000000"/>
                <w:lang w:val="sq-AL" w:eastAsia="de-DE"/>
              </w:rPr>
            </w:pPr>
            <w:r w:rsidRPr="00BE2534">
              <w:rPr>
                <w:rFonts w:ascii="Arial Narrow" w:hAnsi="Arial Narrow"/>
                <w:color w:val="000000"/>
                <w:lang w:val="sq-AL" w:eastAsia="de-DE"/>
              </w:rPr>
              <w:t>Miratimi i udhëzimeve për prokurimin e gjelbër publik</w:t>
            </w:r>
          </w:p>
          <w:p w14:paraId="126D3FD0" w14:textId="77777777" w:rsidR="00DF1B1A" w:rsidRPr="00BE2534" w:rsidRDefault="00DF1B1A" w:rsidP="00DF1B1A">
            <w:pPr>
              <w:spacing w:before="40" w:after="40"/>
              <w:rPr>
                <w:rFonts w:ascii="Arial Narrow" w:hAnsi="Arial Narrow"/>
                <w:color w:val="000000"/>
                <w:lang w:val="sq-AL" w:eastAsia="de-DE"/>
              </w:rPr>
            </w:pPr>
            <w:r w:rsidRPr="00BE2534">
              <w:rPr>
                <w:rFonts w:ascii="Arial Narrow" w:hAnsi="Arial Narrow"/>
                <w:color w:val="000000"/>
                <w:lang w:val="sq-AL" w:eastAsia="de-DE"/>
              </w:rPr>
              <w:t>Mbështetja e bizneseve lokale në zbatimin e masave për parandalimin e mbeturinave ushqimore</w:t>
            </w:r>
          </w:p>
          <w:p w14:paraId="3735A05F" w14:textId="0435D539" w:rsidR="00DF1B1A" w:rsidRPr="00430A79" w:rsidRDefault="00DF1B1A" w:rsidP="00DF1B1A">
            <w:pPr>
              <w:spacing w:before="40" w:after="40"/>
              <w:rPr>
                <w:rFonts w:ascii="Arial Narrow" w:hAnsi="Arial Narrow"/>
                <w:color w:val="000000"/>
                <w:lang w:eastAsia="de-DE"/>
              </w:rPr>
            </w:pPr>
            <w:r w:rsidRPr="00BE2534">
              <w:rPr>
                <w:rFonts w:ascii="Arial Narrow" w:hAnsi="Arial Narrow"/>
                <w:color w:val="000000"/>
                <w:lang w:val="sq-AL" w:eastAsia="de-DE"/>
              </w:rPr>
              <w:t>Pjesëmarrja në nismat kombëtare për reduktimin e plastikës njëpërdorimshe</w:t>
            </w:r>
          </w:p>
        </w:tc>
        <w:tc>
          <w:tcPr>
            <w:tcW w:w="1598" w:type="pct"/>
            <w:tcMar>
              <w:left w:w="58" w:type="dxa"/>
              <w:right w:w="58" w:type="dxa"/>
            </w:tcMar>
          </w:tcPr>
          <w:p w14:paraId="1F56377A" w14:textId="122B2CBD" w:rsidR="00DF1B1A" w:rsidRPr="00430A79" w:rsidRDefault="00DF1B1A" w:rsidP="00DF1B1A">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n/a</w:t>
            </w:r>
          </w:p>
        </w:tc>
        <w:tc>
          <w:tcPr>
            <w:tcW w:w="710" w:type="pct"/>
            <w:tcMar>
              <w:left w:w="58" w:type="dxa"/>
              <w:right w:w="58" w:type="dxa"/>
            </w:tcMar>
          </w:tcPr>
          <w:p w14:paraId="499B0A6D" w14:textId="08611D54" w:rsidR="00DF1B1A" w:rsidRPr="00430A79" w:rsidRDefault="00DF1B1A" w:rsidP="00DF1B1A">
            <w:pPr>
              <w:spacing w:before="40" w:after="40"/>
              <w:contextualSpacing/>
              <w:rPr>
                <w:rFonts w:ascii="Arial Narrow" w:hAnsi="Arial Narrow"/>
                <w:color w:val="000000"/>
                <w:lang w:eastAsia="de-DE"/>
              </w:rPr>
            </w:pPr>
            <w:r w:rsidRPr="00BE2534">
              <w:rPr>
                <w:rFonts w:ascii="Arial Narrow" w:hAnsi="Arial Narrow"/>
                <w:color w:val="000000"/>
                <w:lang w:val="sq-AL" w:eastAsia="de-DE"/>
              </w:rPr>
              <w:t>Vazhdimisht</w:t>
            </w:r>
          </w:p>
        </w:tc>
      </w:tr>
      <w:tr w:rsidR="00DF1B1A" w:rsidRPr="00430A79" w14:paraId="5D4537BE" w14:textId="77777777" w:rsidTr="00D03949">
        <w:tc>
          <w:tcPr>
            <w:tcW w:w="1195" w:type="pct"/>
            <w:tcMar>
              <w:left w:w="58" w:type="dxa"/>
              <w:right w:w="58" w:type="dxa"/>
            </w:tcMar>
          </w:tcPr>
          <w:p w14:paraId="02F94E67" w14:textId="1EAD42C4" w:rsidR="00DF1B1A" w:rsidRPr="00430A79" w:rsidRDefault="00DF1B1A" w:rsidP="00DF1B1A">
            <w:pPr>
              <w:spacing w:before="40" w:after="40"/>
              <w:rPr>
                <w:rFonts w:ascii="Arial Narrow" w:hAnsi="Arial Narrow"/>
                <w:color w:val="000000"/>
                <w:lang w:eastAsia="de-DE"/>
              </w:rPr>
            </w:pPr>
            <w:r w:rsidRPr="00BE2534">
              <w:rPr>
                <w:rFonts w:ascii="Arial Narrow" w:hAnsi="Arial Narrow"/>
                <w:color w:val="000000"/>
                <w:lang w:val="sq-AL" w:eastAsia="de-DE"/>
              </w:rPr>
              <w:t>Grumbullimi i mbeturinave të përziera</w:t>
            </w:r>
          </w:p>
        </w:tc>
        <w:tc>
          <w:tcPr>
            <w:tcW w:w="1497" w:type="pct"/>
            <w:tcMar>
              <w:left w:w="58" w:type="dxa"/>
              <w:right w:w="58" w:type="dxa"/>
            </w:tcMar>
          </w:tcPr>
          <w:p w14:paraId="77F208F4" w14:textId="77777777" w:rsidR="00DF1B1A" w:rsidRPr="00BE2534" w:rsidRDefault="00DF1B1A" w:rsidP="00DF1B1A">
            <w:pPr>
              <w:spacing w:before="40" w:after="40"/>
              <w:rPr>
                <w:rFonts w:ascii="Arial Narrow" w:hAnsi="Arial Narrow" w:cs="Arial"/>
                <w:color w:val="000000"/>
                <w:lang w:val="sq-AL" w:eastAsia="de-DE"/>
              </w:rPr>
            </w:pPr>
            <w:r w:rsidRPr="00BE2534">
              <w:rPr>
                <w:rFonts w:ascii="Arial Narrow" w:hAnsi="Arial Narrow" w:cs="Arial"/>
                <w:color w:val="000000"/>
                <w:lang w:val="sq-AL" w:eastAsia="de-DE"/>
              </w:rPr>
              <w:t>Shporta individuale plastike 120/240 l për shtëpi familjare</w:t>
            </w:r>
          </w:p>
          <w:p w14:paraId="394049ED" w14:textId="1B4E7D57" w:rsidR="00DF1B1A" w:rsidRPr="009F5CA1" w:rsidRDefault="00DF1B1A" w:rsidP="00DF1B1A">
            <w:pPr>
              <w:spacing w:before="40" w:after="40"/>
              <w:rPr>
                <w:rFonts w:ascii="Arial Narrow" w:hAnsi="Arial Narrow" w:cs="Arial"/>
                <w:color w:val="000000"/>
                <w:lang w:eastAsia="de-DE"/>
              </w:rPr>
            </w:pPr>
            <w:r w:rsidRPr="00BE2534">
              <w:rPr>
                <w:rFonts w:ascii="Arial Narrow" w:hAnsi="Arial Narrow" w:cs="Arial"/>
                <w:color w:val="000000"/>
                <w:lang w:val="sq-AL" w:eastAsia="de-DE"/>
              </w:rPr>
              <w:t>Shporta plastike individuale 120/240 l ose kontejnerë 1.1 m³ për ndërtesa shumëkatëshe në zonat urbane</w:t>
            </w:r>
          </w:p>
        </w:tc>
        <w:tc>
          <w:tcPr>
            <w:tcW w:w="1598" w:type="pct"/>
            <w:tcMar>
              <w:left w:w="58" w:type="dxa"/>
              <w:right w:w="58" w:type="dxa"/>
            </w:tcMar>
          </w:tcPr>
          <w:p w14:paraId="6F5497C7" w14:textId="77777777" w:rsidR="00DF1B1A" w:rsidRPr="00BE2534" w:rsidRDefault="00DF1B1A" w:rsidP="00DF1B1A">
            <w:pPr>
              <w:numPr>
                <w:ilvl w:val="0"/>
                <w:numId w:val="9"/>
              </w:numPr>
              <w:spacing w:before="40" w:after="40"/>
              <w:ind w:left="176" w:hanging="141"/>
              <w:contextualSpacing/>
              <w:rPr>
                <w:rFonts w:ascii="Arial Narrow" w:hAnsi="Arial Narrow"/>
                <w:color w:val="000000"/>
                <w:lang w:val="sq-AL" w:eastAsia="de-DE"/>
              </w:rPr>
            </w:pPr>
            <w:r w:rsidRPr="00BE2534">
              <w:rPr>
                <w:rFonts w:ascii="Arial Narrow" w:hAnsi="Arial Narrow"/>
                <w:color w:val="000000"/>
                <w:lang w:val="sq-AL" w:eastAsia="de-DE"/>
              </w:rPr>
              <w:t>54,234 tonë mbeturina të përziera të mbledhura në vitin 2026</w:t>
            </w:r>
          </w:p>
          <w:p w14:paraId="072602F0" w14:textId="1B4F8DE1" w:rsidR="00DF1B1A" w:rsidRPr="00430A79" w:rsidRDefault="00DF1B1A" w:rsidP="00DF1B1A">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37,644 ton të mbledhura në vitin 2035</w:t>
            </w:r>
          </w:p>
        </w:tc>
        <w:tc>
          <w:tcPr>
            <w:tcW w:w="710" w:type="pct"/>
            <w:tcMar>
              <w:left w:w="58" w:type="dxa"/>
              <w:right w:w="58" w:type="dxa"/>
            </w:tcMar>
          </w:tcPr>
          <w:p w14:paraId="584B5693" w14:textId="3F2BDA9A" w:rsidR="00DF1B1A" w:rsidRPr="00430A79" w:rsidRDefault="00DF1B1A" w:rsidP="00DF1B1A">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Ndërrimi gradual i kontejnerëve dhe automjeteve grumbulluese</w:t>
            </w:r>
          </w:p>
        </w:tc>
      </w:tr>
      <w:tr w:rsidR="00DF1B1A" w:rsidRPr="00430A79" w14:paraId="6CBAF98B" w14:textId="77777777" w:rsidTr="00D03949">
        <w:tc>
          <w:tcPr>
            <w:tcW w:w="1195" w:type="pct"/>
            <w:tcMar>
              <w:left w:w="58" w:type="dxa"/>
              <w:right w:w="58" w:type="dxa"/>
            </w:tcMar>
          </w:tcPr>
          <w:p w14:paraId="437854E8" w14:textId="68B856DE" w:rsidR="00DF1B1A" w:rsidRPr="00430A79" w:rsidRDefault="00DF1B1A" w:rsidP="00DF1B1A">
            <w:pPr>
              <w:spacing w:before="40" w:after="40"/>
              <w:rPr>
                <w:rFonts w:ascii="Arial Narrow" w:hAnsi="Arial Narrow"/>
                <w:color w:val="000000"/>
                <w:lang w:eastAsia="de-DE"/>
              </w:rPr>
            </w:pPr>
            <w:r w:rsidRPr="00BE2534">
              <w:rPr>
                <w:rFonts w:ascii="Arial Narrow" w:hAnsi="Arial Narrow"/>
                <w:color w:val="000000"/>
                <w:lang w:val="sq-AL" w:eastAsia="de-DE"/>
              </w:rPr>
              <w:t xml:space="preserve">Mbledhja </w:t>
            </w:r>
            <w:r>
              <w:rPr>
                <w:rFonts w:ascii="Arial Narrow" w:hAnsi="Arial Narrow"/>
                <w:color w:val="000000"/>
                <w:lang w:val="sq-AL" w:eastAsia="de-DE"/>
              </w:rPr>
              <w:t>ndaras</w:t>
            </w:r>
            <w:r w:rsidRPr="00BE2534">
              <w:rPr>
                <w:rFonts w:ascii="Arial Narrow" w:hAnsi="Arial Narrow"/>
                <w:color w:val="000000"/>
                <w:lang w:val="sq-AL" w:eastAsia="de-DE"/>
              </w:rPr>
              <w:t xml:space="preserve"> e mbeturinave</w:t>
            </w:r>
          </w:p>
        </w:tc>
        <w:tc>
          <w:tcPr>
            <w:tcW w:w="1497" w:type="pct"/>
            <w:tcMar>
              <w:left w:w="58" w:type="dxa"/>
              <w:right w:w="58" w:type="dxa"/>
            </w:tcMar>
          </w:tcPr>
          <w:p w14:paraId="4EBEAB5F" w14:textId="77777777" w:rsidR="00DF1B1A" w:rsidRPr="00BE2534" w:rsidRDefault="00DF1B1A" w:rsidP="00DF1B1A">
            <w:pPr>
              <w:spacing w:before="40" w:after="40" w:line="240" w:lineRule="auto"/>
              <w:rPr>
                <w:rFonts w:ascii="Arial Narrow" w:hAnsi="Arial Narrow"/>
                <w:color w:val="000000"/>
                <w:lang w:val="sq-AL" w:eastAsia="de-DE"/>
              </w:rPr>
            </w:pPr>
            <w:r w:rsidRPr="00BE2534">
              <w:rPr>
                <w:rFonts w:ascii="Arial Narrow" w:hAnsi="Arial Narrow"/>
                <w:color w:val="000000"/>
                <w:lang w:val="sq-AL" w:eastAsia="de-DE"/>
              </w:rPr>
              <w:t>Shporta individuale plastike 120/240 l për grumbullimin e materialeve të riciklueshme,</w:t>
            </w:r>
          </w:p>
          <w:p w14:paraId="0783BA1F" w14:textId="03C14C6F" w:rsidR="00DF1B1A" w:rsidRPr="00430A79" w:rsidRDefault="00DF1B1A" w:rsidP="00DF1B1A">
            <w:pPr>
              <w:spacing w:before="40" w:after="40"/>
              <w:rPr>
                <w:rFonts w:ascii="Arial Narrow" w:hAnsi="Arial Narrow"/>
                <w:color w:val="000000"/>
                <w:lang w:eastAsia="de-DE"/>
              </w:rPr>
            </w:pPr>
            <w:r w:rsidRPr="00BE2534">
              <w:rPr>
                <w:rFonts w:ascii="Arial Narrow" w:hAnsi="Arial Narrow"/>
                <w:color w:val="000000"/>
                <w:lang w:val="sq-AL" w:eastAsia="de-DE"/>
              </w:rPr>
              <w:t>Kontejnerë 1.1 - 1.5 m³ për grumbullimin e veçantë të qelqit</w:t>
            </w:r>
          </w:p>
        </w:tc>
        <w:tc>
          <w:tcPr>
            <w:tcW w:w="1598" w:type="pct"/>
            <w:tcMar>
              <w:left w:w="58" w:type="dxa"/>
              <w:right w:w="58" w:type="dxa"/>
            </w:tcMar>
          </w:tcPr>
          <w:p w14:paraId="2D3AC129" w14:textId="77777777" w:rsidR="00DF1B1A" w:rsidRPr="00BE2534" w:rsidRDefault="00DF1B1A" w:rsidP="00DF1B1A">
            <w:pPr>
              <w:numPr>
                <w:ilvl w:val="0"/>
                <w:numId w:val="9"/>
              </w:numPr>
              <w:spacing w:before="40" w:after="40" w:line="240" w:lineRule="auto"/>
              <w:ind w:left="176" w:hanging="141"/>
              <w:contextualSpacing/>
              <w:rPr>
                <w:rFonts w:ascii="Arial Narrow" w:hAnsi="Arial Narrow"/>
                <w:color w:val="000000"/>
                <w:lang w:val="sq-AL" w:eastAsia="de-DE"/>
              </w:rPr>
            </w:pPr>
            <w:r w:rsidRPr="00BE2534">
              <w:rPr>
                <w:rFonts w:ascii="Arial Narrow" w:hAnsi="Arial Narrow"/>
                <w:color w:val="000000"/>
                <w:lang w:val="sq-AL" w:eastAsia="de-DE"/>
              </w:rPr>
              <w:t>100% e banorëve në zonat urbane dhe 80% e banorëve në zonat rurale</w:t>
            </w:r>
          </w:p>
          <w:p w14:paraId="6E11BFAD" w14:textId="4211113E" w:rsidR="00DF1B1A" w:rsidRPr="00430A79" w:rsidRDefault="00DF1B1A" w:rsidP="00DF1B1A">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 xml:space="preserve">19,000 tonë mbeturina të mbledhura </w:t>
            </w:r>
            <w:r>
              <w:rPr>
                <w:rFonts w:ascii="Arial Narrow" w:hAnsi="Arial Narrow"/>
                <w:color w:val="000000"/>
                <w:lang w:val="sq-AL" w:eastAsia="de-DE"/>
              </w:rPr>
              <w:t>ndaras</w:t>
            </w:r>
            <w:r w:rsidRPr="00BE2534">
              <w:rPr>
                <w:rFonts w:ascii="Arial Narrow" w:hAnsi="Arial Narrow"/>
                <w:color w:val="000000"/>
                <w:lang w:val="sq-AL" w:eastAsia="de-DE"/>
              </w:rPr>
              <w:t xml:space="preserve"> më 2035</w:t>
            </w:r>
          </w:p>
        </w:tc>
        <w:tc>
          <w:tcPr>
            <w:tcW w:w="710" w:type="pct"/>
            <w:tcMar>
              <w:left w:w="58" w:type="dxa"/>
              <w:right w:w="58" w:type="dxa"/>
            </w:tcMar>
          </w:tcPr>
          <w:p w14:paraId="657F36CA" w14:textId="77777777" w:rsidR="00DF1B1A" w:rsidRPr="00BE2534" w:rsidRDefault="00DF1B1A" w:rsidP="00DF1B1A">
            <w:pPr>
              <w:spacing w:before="40" w:after="40"/>
              <w:ind w:left="35"/>
              <w:contextualSpacing/>
              <w:rPr>
                <w:rFonts w:ascii="Arial Narrow" w:hAnsi="Arial Narrow"/>
                <w:color w:val="000000"/>
                <w:lang w:val="sq-AL" w:eastAsia="de-DE"/>
              </w:rPr>
            </w:pPr>
            <w:r w:rsidRPr="00BE2534">
              <w:rPr>
                <w:rFonts w:ascii="Arial Narrow" w:hAnsi="Arial Narrow"/>
                <w:color w:val="000000"/>
                <w:lang w:val="sq-AL" w:eastAsia="de-DE"/>
              </w:rPr>
              <w:t>2026 në zonat urbane</w:t>
            </w:r>
          </w:p>
          <w:p w14:paraId="469211A0" w14:textId="5C65C9E2" w:rsidR="00DF1B1A" w:rsidRPr="00430A79" w:rsidRDefault="00DF1B1A" w:rsidP="00DF1B1A">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2030 për zonat rurale</w:t>
            </w:r>
          </w:p>
        </w:tc>
      </w:tr>
      <w:tr w:rsidR="00DF1B1A" w:rsidRPr="00430A79" w14:paraId="667DAA15" w14:textId="77777777" w:rsidTr="00D03949">
        <w:tc>
          <w:tcPr>
            <w:tcW w:w="1195" w:type="pct"/>
            <w:tcMar>
              <w:left w:w="58" w:type="dxa"/>
              <w:right w:w="58" w:type="dxa"/>
            </w:tcMar>
          </w:tcPr>
          <w:p w14:paraId="5C044234" w14:textId="156C1B27" w:rsidR="00DF1B1A" w:rsidRPr="00430A79" w:rsidRDefault="00DF1B1A" w:rsidP="00DF1B1A">
            <w:pPr>
              <w:spacing w:before="40" w:after="40"/>
              <w:rPr>
                <w:rFonts w:ascii="Arial Narrow" w:hAnsi="Arial Narrow"/>
                <w:color w:val="000000"/>
                <w:lang w:eastAsia="de-DE"/>
              </w:rPr>
            </w:pPr>
            <w:r w:rsidRPr="00BE2534">
              <w:rPr>
                <w:rFonts w:ascii="Arial Narrow" w:hAnsi="Arial Narrow"/>
                <w:color w:val="000000"/>
                <w:lang w:val="sq-AL" w:eastAsia="de-DE"/>
              </w:rPr>
              <w:t>Oborret e Riciklimit (OR)</w:t>
            </w:r>
          </w:p>
        </w:tc>
        <w:tc>
          <w:tcPr>
            <w:tcW w:w="1497" w:type="pct"/>
            <w:tcMar>
              <w:left w:w="58" w:type="dxa"/>
              <w:right w:w="58" w:type="dxa"/>
            </w:tcMar>
          </w:tcPr>
          <w:p w14:paraId="2A6CB6B5" w14:textId="7A53E697" w:rsidR="00DF1B1A" w:rsidRPr="009F5CA1" w:rsidRDefault="00DF1B1A" w:rsidP="00DF1B1A">
            <w:pPr>
              <w:spacing w:before="40" w:after="40"/>
              <w:rPr>
                <w:rFonts w:ascii="Arial Narrow" w:hAnsi="Arial Narrow" w:cs="Arial"/>
                <w:color w:val="000000"/>
                <w:lang w:eastAsia="de-DE"/>
              </w:rPr>
            </w:pPr>
            <w:r w:rsidRPr="00BE2534">
              <w:rPr>
                <w:rFonts w:ascii="Arial Narrow" w:hAnsi="Arial Narrow" w:cs="Arial"/>
                <w:color w:val="000000"/>
                <w:lang w:val="sq-AL" w:eastAsia="de-DE"/>
              </w:rPr>
              <w:t>Do të krijohen 5 OR, një në secilën komunë</w:t>
            </w:r>
          </w:p>
        </w:tc>
        <w:tc>
          <w:tcPr>
            <w:tcW w:w="1598" w:type="pct"/>
            <w:tcMar>
              <w:left w:w="58" w:type="dxa"/>
              <w:right w:w="58" w:type="dxa"/>
            </w:tcMar>
          </w:tcPr>
          <w:p w14:paraId="56D0ACFD" w14:textId="77777777" w:rsidR="00DF1B1A" w:rsidRPr="00BE2534" w:rsidRDefault="00DF1B1A" w:rsidP="00DF1B1A">
            <w:pPr>
              <w:spacing w:before="40" w:after="40"/>
              <w:contextualSpacing/>
              <w:rPr>
                <w:rFonts w:ascii="Arial Narrow" w:hAnsi="Arial Narrow"/>
                <w:color w:val="000000"/>
                <w:lang w:val="sq-AL" w:eastAsia="de-DE"/>
              </w:rPr>
            </w:pPr>
            <w:r w:rsidRPr="00BE2534">
              <w:rPr>
                <w:rFonts w:ascii="Arial Narrow" w:hAnsi="Arial Narrow"/>
                <w:color w:val="000000"/>
                <w:lang w:val="sq-AL" w:eastAsia="de-DE"/>
              </w:rPr>
              <w:t>Fraksionet e mbeturinave që do të grumbullohen:</w:t>
            </w:r>
          </w:p>
          <w:p w14:paraId="1E895209" w14:textId="77777777" w:rsidR="00DF1B1A" w:rsidRPr="00BE2534" w:rsidRDefault="00DF1B1A" w:rsidP="00DF1B1A">
            <w:pPr>
              <w:numPr>
                <w:ilvl w:val="0"/>
                <w:numId w:val="9"/>
              </w:numPr>
              <w:spacing w:before="40" w:after="40" w:line="240" w:lineRule="auto"/>
              <w:ind w:left="176" w:hanging="141"/>
              <w:contextualSpacing/>
              <w:rPr>
                <w:rFonts w:ascii="Arial Narrow" w:hAnsi="Arial Narrow"/>
                <w:color w:val="000000"/>
                <w:lang w:val="sq-AL" w:eastAsia="de-DE"/>
              </w:rPr>
            </w:pPr>
            <w:r w:rsidRPr="00BE2534">
              <w:rPr>
                <w:rFonts w:ascii="Arial Narrow" w:hAnsi="Arial Narrow"/>
                <w:color w:val="000000"/>
                <w:lang w:val="sq-AL" w:eastAsia="de-DE"/>
              </w:rPr>
              <w:t>Mbeturinat e vëllimshme</w:t>
            </w:r>
          </w:p>
          <w:p w14:paraId="151CDADF" w14:textId="77777777" w:rsidR="00DF1B1A" w:rsidRPr="00BE2534" w:rsidRDefault="00DF1B1A" w:rsidP="00DF1B1A">
            <w:pPr>
              <w:numPr>
                <w:ilvl w:val="0"/>
                <w:numId w:val="9"/>
              </w:numPr>
              <w:spacing w:before="40" w:after="40" w:line="240" w:lineRule="auto"/>
              <w:ind w:left="176" w:hanging="141"/>
              <w:contextualSpacing/>
              <w:rPr>
                <w:rFonts w:ascii="Arial Narrow" w:hAnsi="Arial Narrow"/>
                <w:color w:val="000000"/>
                <w:lang w:val="sq-AL" w:eastAsia="de-DE"/>
              </w:rPr>
            </w:pPr>
            <w:r w:rsidRPr="00BE2534">
              <w:rPr>
                <w:rFonts w:ascii="Arial Narrow" w:hAnsi="Arial Narrow"/>
                <w:color w:val="000000"/>
                <w:lang w:val="sq-AL" w:eastAsia="de-DE"/>
              </w:rPr>
              <w:t>Mbeturinat e rrezikshme shtëpiake</w:t>
            </w:r>
          </w:p>
          <w:p w14:paraId="7CCC5871" w14:textId="0F0547F3" w:rsidR="00DF1B1A" w:rsidRPr="00430A79" w:rsidRDefault="00DF1B1A" w:rsidP="00DF1B1A">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Fraksionet e veçanta të mbeturinave</w:t>
            </w:r>
          </w:p>
        </w:tc>
        <w:tc>
          <w:tcPr>
            <w:tcW w:w="710" w:type="pct"/>
            <w:tcMar>
              <w:left w:w="58" w:type="dxa"/>
              <w:right w:w="58" w:type="dxa"/>
            </w:tcMar>
          </w:tcPr>
          <w:p w14:paraId="4669DE30" w14:textId="7054E07B" w:rsidR="00DF1B1A" w:rsidRPr="00430A79" w:rsidRDefault="00DF1B1A" w:rsidP="00DF1B1A">
            <w:pPr>
              <w:spacing w:before="40" w:after="40"/>
              <w:contextualSpacing/>
              <w:rPr>
                <w:rFonts w:ascii="Arial Narrow" w:hAnsi="Arial Narrow"/>
                <w:color w:val="000000"/>
                <w:lang w:eastAsia="de-DE"/>
              </w:rPr>
            </w:pPr>
            <w:r w:rsidRPr="00BE2534">
              <w:rPr>
                <w:rFonts w:ascii="Arial Narrow" w:hAnsi="Arial Narrow"/>
                <w:color w:val="000000"/>
                <w:lang w:val="sq-AL" w:eastAsia="de-DE"/>
              </w:rPr>
              <w:t>2025</w:t>
            </w:r>
          </w:p>
        </w:tc>
      </w:tr>
      <w:tr w:rsidR="00DF1B1A" w:rsidRPr="00430A79" w14:paraId="578A498E" w14:textId="77777777" w:rsidTr="00D03949">
        <w:tc>
          <w:tcPr>
            <w:tcW w:w="1195" w:type="pct"/>
            <w:tcMar>
              <w:left w:w="58" w:type="dxa"/>
              <w:right w:w="58" w:type="dxa"/>
            </w:tcMar>
          </w:tcPr>
          <w:p w14:paraId="7DF2CEE0" w14:textId="198D67D6" w:rsidR="00DF1B1A" w:rsidRPr="00430A79" w:rsidRDefault="00DF1B1A" w:rsidP="00DF1B1A">
            <w:pPr>
              <w:spacing w:before="40" w:after="40"/>
              <w:rPr>
                <w:rFonts w:ascii="Arial Narrow" w:hAnsi="Arial Narrow"/>
                <w:color w:val="000000"/>
                <w:lang w:eastAsia="de-DE"/>
              </w:rPr>
            </w:pPr>
            <w:r w:rsidRPr="00BE2534">
              <w:rPr>
                <w:rFonts w:ascii="Arial Narrow" w:hAnsi="Arial Narrow"/>
                <w:color w:val="000000"/>
                <w:lang w:val="sq-AL" w:eastAsia="de-DE"/>
              </w:rPr>
              <w:t>Transporti dhe transferimi</w:t>
            </w:r>
          </w:p>
        </w:tc>
        <w:tc>
          <w:tcPr>
            <w:tcW w:w="1497" w:type="pct"/>
            <w:tcMar>
              <w:left w:w="58" w:type="dxa"/>
              <w:right w:w="58" w:type="dxa"/>
            </w:tcMar>
          </w:tcPr>
          <w:p w14:paraId="66F7731D" w14:textId="6EFDCDA0" w:rsidR="00DF1B1A" w:rsidRPr="00430A79" w:rsidRDefault="00DF1B1A" w:rsidP="00DF1B1A">
            <w:pPr>
              <w:spacing w:before="40" w:after="40"/>
              <w:rPr>
                <w:rFonts w:ascii="Arial Narrow" w:hAnsi="Arial Narrow"/>
                <w:color w:val="000000"/>
                <w:lang w:eastAsia="de-DE"/>
              </w:rPr>
            </w:pPr>
            <w:r w:rsidRPr="00BE2534">
              <w:rPr>
                <w:rFonts w:ascii="Arial Narrow" w:hAnsi="Arial Narrow" w:cs="Arial"/>
                <w:color w:val="000000"/>
                <w:lang w:val="sq-AL" w:eastAsia="de-DE"/>
              </w:rPr>
              <w:t>Stacionet e transferit do të ngriten në Istog dhe Deçan</w:t>
            </w:r>
          </w:p>
        </w:tc>
        <w:tc>
          <w:tcPr>
            <w:tcW w:w="1598" w:type="pct"/>
            <w:tcMar>
              <w:left w:w="58" w:type="dxa"/>
              <w:right w:w="58" w:type="dxa"/>
            </w:tcMar>
          </w:tcPr>
          <w:p w14:paraId="6D153154" w14:textId="77777777" w:rsidR="00DF1B1A" w:rsidRPr="00BE2534" w:rsidRDefault="00DF1B1A" w:rsidP="00DF1B1A">
            <w:pPr>
              <w:numPr>
                <w:ilvl w:val="0"/>
                <w:numId w:val="9"/>
              </w:numPr>
              <w:spacing w:before="40" w:after="40" w:line="240" w:lineRule="auto"/>
              <w:ind w:left="176" w:hanging="141"/>
              <w:contextualSpacing/>
              <w:rPr>
                <w:rFonts w:ascii="Arial Narrow" w:hAnsi="Arial Narrow"/>
                <w:color w:val="000000"/>
                <w:lang w:val="sq-AL" w:eastAsia="de-DE"/>
              </w:rPr>
            </w:pPr>
            <w:r w:rsidRPr="00BE2534">
              <w:rPr>
                <w:rFonts w:ascii="Arial Narrow" w:hAnsi="Arial Narrow"/>
                <w:color w:val="000000"/>
                <w:lang w:val="sq-AL" w:eastAsia="de-DE"/>
              </w:rPr>
              <w:t>Istog – kapacitet prej 9,700 tonë /vit</w:t>
            </w:r>
          </w:p>
          <w:p w14:paraId="5757B71C" w14:textId="61125F72" w:rsidR="00DF1B1A" w:rsidRPr="00430A79" w:rsidRDefault="00DF1B1A" w:rsidP="00DF1B1A">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Deçan – kapacitet prej 6,700 tonë/vit</w:t>
            </w:r>
          </w:p>
        </w:tc>
        <w:tc>
          <w:tcPr>
            <w:tcW w:w="710" w:type="pct"/>
            <w:tcMar>
              <w:left w:w="58" w:type="dxa"/>
              <w:right w:w="58" w:type="dxa"/>
            </w:tcMar>
          </w:tcPr>
          <w:p w14:paraId="5B188A9B" w14:textId="1183DC52" w:rsidR="00DF1B1A" w:rsidRPr="00430A79" w:rsidRDefault="00DF1B1A" w:rsidP="00DF1B1A">
            <w:pPr>
              <w:spacing w:before="40" w:after="40"/>
              <w:contextualSpacing/>
              <w:rPr>
                <w:rFonts w:ascii="Arial Narrow" w:hAnsi="Arial Narrow"/>
                <w:color w:val="000000"/>
                <w:lang w:eastAsia="de-DE"/>
              </w:rPr>
            </w:pPr>
            <w:r w:rsidRPr="00BE2534">
              <w:rPr>
                <w:rFonts w:ascii="Arial Narrow" w:hAnsi="Arial Narrow"/>
                <w:color w:val="000000"/>
                <w:lang w:val="sq-AL" w:eastAsia="de-DE"/>
              </w:rPr>
              <w:t>2026</w:t>
            </w:r>
          </w:p>
        </w:tc>
      </w:tr>
      <w:tr w:rsidR="00DF1B1A" w:rsidRPr="00430A79" w14:paraId="1B5DAEF4" w14:textId="77777777" w:rsidTr="00D03949">
        <w:tc>
          <w:tcPr>
            <w:tcW w:w="1195" w:type="pct"/>
            <w:tcMar>
              <w:left w:w="58" w:type="dxa"/>
              <w:right w:w="58" w:type="dxa"/>
            </w:tcMar>
          </w:tcPr>
          <w:p w14:paraId="6F349FFB" w14:textId="663F6C4A" w:rsidR="00DF1B1A" w:rsidRPr="00430A79" w:rsidRDefault="00DF1B1A" w:rsidP="00DF1B1A">
            <w:pPr>
              <w:spacing w:before="40" w:after="40"/>
              <w:rPr>
                <w:rFonts w:ascii="Arial Narrow" w:hAnsi="Arial Narrow"/>
                <w:color w:val="000000"/>
                <w:lang w:eastAsia="de-DE"/>
              </w:rPr>
            </w:pPr>
            <w:r w:rsidRPr="00BE2534">
              <w:rPr>
                <w:rFonts w:ascii="Arial Narrow" w:hAnsi="Arial Narrow"/>
                <w:color w:val="000000"/>
                <w:lang w:val="sq-AL" w:eastAsia="de-DE"/>
              </w:rPr>
              <w:t>Klasifikimi i mbeturinave</w:t>
            </w:r>
          </w:p>
        </w:tc>
        <w:tc>
          <w:tcPr>
            <w:tcW w:w="1497" w:type="pct"/>
            <w:tcMar>
              <w:left w:w="58" w:type="dxa"/>
              <w:right w:w="58" w:type="dxa"/>
            </w:tcMar>
          </w:tcPr>
          <w:p w14:paraId="50EA4064" w14:textId="2F6A0239" w:rsidR="00DF1B1A" w:rsidRPr="00430A79" w:rsidRDefault="00DF1B1A" w:rsidP="00DF1B1A">
            <w:pPr>
              <w:spacing w:before="40" w:after="40"/>
              <w:rPr>
                <w:rFonts w:ascii="Arial Narrow" w:hAnsi="Arial Narrow"/>
                <w:color w:val="000000"/>
                <w:lang w:eastAsia="de-DE"/>
              </w:rPr>
            </w:pPr>
            <w:r w:rsidRPr="00BE2534">
              <w:rPr>
                <w:rFonts w:ascii="Arial Narrow" w:hAnsi="Arial Narrow" w:cs="Arial"/>
                <w:color w:val="000000"/>
                <w:lang w:val="sq-AL" w:eastAsia="de-DE"/>
              </w:rPr>
              <w:t xml:space="preserve">Një stacion klasifikimi për materialet e grumbulluara </w:t>
            </w:r>
            <w:r>
              <w:rPr>
                <w:rFonts w:ascii="Arial Narrow" w:hAnsi="Arial Narrow" w:cs="Arial"/>
                <w:color w:val="000000"/>
                <w:lang w:val="sq-AL" w:eastAsia="de-DE"/>
              </w:rPr>
              <w:t>ndaras</w:t>
            </w:r>
            <w:r w:rsidRPr="00BE2534">
              <w:rPr>
                <w:rFonts w:ascii="Arial Narrow" w:hAnsi="Arial Narrow" w:cs="Arial"/>
                <w:color w:val="000000"/>
                <w:lang w:val="sq-AL" w:eastAsia="de-DE"/>
              </w:rPr>
              <w:t xml:space="preserve"> do të ngritet në deponinë rajonale në Sferkë</w:t>
            </w:r>
          </w:p>
        </w:tc>
        <w:tc>
          <w:tcPr>
            <w:tcW w:w="1598" w:type="pct"/>
            <w:tcMar>
              <w:left w:w="58" w:type="dxa"/>
              <w:right w:w="58" w:type="dxa"/>
            </w:tcMar>
          </w:tcPr>
          <w:p w14:paraId="45B51EDC" w14:textId="1B26EA84" w:rsidR="00DF1B1A" w:rsidRPr="00430A79" w:rsidRDefault="00DF1B1A" w:rsidP="00DF1B1A">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 xml:space="preserve">Kapaciteti i objektit ORM – 21,000 tonë/vit të lëndëve të riciklueshme të mbledhura </w:t>
            </w:r>
            <w:r>
              <w:rPr>
                <w:rFonts w:ascii="Arial Narrow" w:hAnsi="Arial Narrow"/>
                <w:color w:val="000000"/>
                <w:lang w:val="sq-AL" w:eastAsia="de-DE"/>
              </w:rPr>
              <w:t>ndaras</w:t>
            </w:r>
          </w:p>
        </w:tc>
        <w:tc>
          <w:tcPr>
            <w:tcW w:w="710" w:type="pct"/>
            <w:tcMar>
              <w:left w:w="58" w:type="dxa"/>
              <w:right w:w="58" w:type="dxa"/>
            </w:tcMar>
          </w:tcPr>
          <w:p w14:paraId="506DB24A" w14:textId="6C5EA0E7" w:rsidR="00DF1B1A" w:rsidRPr="00430A79" w:rsidRDefault="00DF1B1A" w:rsidP="00DF1B1A">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2026</w:t>
            </w:r>
          </w:p>
        </w:tc>
      </w:tr>
      <w:tr w:rsidR="00DF1B1A" w:rsidRPr="00430A79" w14:paraId="2FF4E84C" w14:textId="77777777" w:rsidTr="00D03949">
        <w:tc>
          <w:tcPr>
            <w:tcW w:w="1195" w:type="pct"/>
            <w:tcBorders>
              <w:bottom w:val="nil"/>
            </w:tcBorders>
            <w:tcMar>
              <w:left w:w="58" w:type="dxa"/>
              <w:right w:w="58" w:type="dxa"/>
            </w:tcMar>
          </w:tcPr>
          <w:p w14:paraId="740D99F5" w14:textId="5EE740E3" w:rsidR="00DF1B1A" w:rsidRPr="00430A79" w:rsidRDefault="00DF1B1A" w:rsidP="00DF1B1A">
            <w:pPr>
              <w:spacing w:before="40" w:after="40"/>
              <w:rPr>
                <w:rFonts w:ascii="Arial Narrow" w:hAnsi="Arial Narrow"/>
                <w:color w:val="000000"/>
                <w:lang w:eastAsia="de-DE"/>
              </w:rPr>
            </w:pPr>
            <w:r w:rsidRPr="00BE2534">
              <w:rPr>
                <w:rFonts w:ascii="Arial Narrow" w:hAnsi="Arial Narrow"/>
                <w:color w:val="000000"/>
                <w:lang w:val="sq-AL" w:eastAsia="de-DE"/>
              </w:rPr>
              <w:t>Kompostimi</w:t>
            </w:r>
          </w:p>
        </w:tc>
        <w:tc>
          <w:tcPr>
            <w:tcW w:w="1497" w:type="pct"/>
            <w:tcMar>
              <w:left w:w="58" w:type="dxa"/>
              <w:right w:w="58" w:type="dxa"/>
            </w:tcMar>
          </w:tcPr>
          <w:p w14:paraId="68B12D5D" w14:textId="77777777" w:rsidR="00DF1B1A" w:rsidRPr="00BE2534" w:rsidRDefault="00DF1B1A" w:rsidP="00DF1B1A">
            <w:pPr>
              <w:spacing w:before="40" w:after="40" w:line="240" w:lineRule="auto"/>
              <w:rPr>
                <w:rFonts w:ascii="Arial Narrow" w:hAnsi="Arial Narrow"/>
                <w:color w:val="000000"/>
                <w:lang w:val="sq-AL" w:eastAsia="de-DE"/>
              </w:rPr>
            </w:pPr>
            <w:r w:rsidRPr="00BE2534">
              <w:rPr>
                <w:rFonts w:ascii="Arial Narrow" w:hAnsi="Arial Narrow"/>
                <w:color w:val="000000"/>
                <w:lang w:val="sq-AL" w:eastAsia="de-DE"/>
              </w:rPr>
              <w:t>Katër objekte kompostimi për mbeturinat e gjelbra të grumbulluara veçmas do të ngriten në komunat Pejë, Istog , Klinë dhe Deçan.</w:t>
            </w:r>
          </w:p>
          <w:p w14:paraId="70262E03" w14:textId="77777777" w:rsidR="00DF1B1A" w:rsidRPr="00BE2534" w:rsidRDefault="00DF1B1A" w:rsidP="00DF1B1A">
            <w:pPr>
              <w:spacing w:before="40" w:after="40" w:line="240" w:lineRule="auto"/>
              <w:rPr>
                <w:rFonts w:ascii="Arial Narrow" w:hAnsi="Arial Narrow"/>
                <w:color w:val="000000"/>
                <w:lang w:val="sq-AL" w:eastAsia="de-DE"/>
              </w:rPr>
            </w:pPr>
            <w:r w:rsidRPr="00BE2534">
              <w:rPr>
                <w:rFonts w:ascii="Arial Narrow" w:hAnsi="Arial Narrow"/>
                <w:color w:val="000000"/>
                <w:lang w:val="sq-AL" w:eastAsia="de-DE"/>
              </w:rPr>
              <w:lastRenderedPageBreak/>
              <w:t>Kompostimi në Pejë do të organizohet në lokacion të përhershëm, ndërsa në komunat tjera do të zbatohet kompostimi i decentralizuar duke përdorur pajisje mobile.</w:t>
            </w:r>
          </w:p>
          <w:p w14:paraId="2A46143C" w14:textId="77777777" w:rsidR="00DF1B1A" w:rsidRPr="00430A79" w:rsidRDefault="00DF1B1A" w:rsidP="00DF1B1A">
            <w:pPr>
              <w:spacing w:before="40" w:after="40"/>
              <w:rPr>
                <w:rFonts w:ascii="Arial Narrow" w:hAnsi="Arial Narrow"/>
                <w:color w:val="000000"/>
                <w:lang w:eastAsia="de-DE"/>
              </w:rPr>
            </w:pPr>
          </w:p>
        </w:tc>
        <w:tc>
          <w:tcPr>
            <w:tcW w:w="1598" w:type="pct"/>
            <w:tcMar>
              <w:left w:w="58" w:type="dxa"/>
              <w:right w:w="58" w:type="dxa"/>
            </w:tcMar>
          </w:tcPr>
          <w:p w14:paraId="7A84BC07" w14:textId="77777777" w:rsidR="00DF1B1A" w:rsidRPr="00BE2534" w:rsidRDefault="00DF1B1A" w:rsidP="00DF1B1A">
            <w:pPr>
              <w:numPr>
                <w:ilvl w:val="0"/>
                <w:numId w:val="9"/>
              </w:numPr>
              <w:spacing w:before="40" w:after="40" w:line="240" w:lineRule="auto"/>
              <w:ind w:left="176" w:hanging="141"/>
              <w:contextualSpacing/>
              <w:rPr>
                <w:rFonts w:ascii="Arial Narrow" w:hAnsi="Arial Narrow"/>
                <w:color w:val="000000"/>
                <w:lang w:val="sq-AL" w:eastAsia="de-DE"/>
              </w:rPr>
            </w:pPr>
            <w:r w:rsidRPr="00BE2534">
              <w:rPr>
                <w:rFonts w:ascii="Arial Narrow" w:hAnsi="Arial Narrow"/>
                <w:color w:val="000000"/>
                <w:lang w:val="sq-AL" w:eastAsia="de-DE"/>
              </w:rPr>
              <w:lastRenderedPageBreak/>
              <w:t>Objekti i kompostimit në Pejë – kapacitet prej 2,400 tonë/vit</w:t>
            </w:r>
          </w:p>
          <w:p w14:paraId="512E4749" w14:textId="77777777" w:rsidR="00DF1B1A" w:rsidRPr="00BE2534" w:rsidRDefault="00DF1B1A" w:rsidP="00DF1B1A">
            <w:pPr>
              <w:numPr>
                <w:ilvl w:val="0"/>
                <w:numId w:val="9"/>
              </w:numPr>
              <w:spacing w:before="40" w:after="40" w:line="240" w:lineRule="auto"/>
              <w:ind w:left="176" w:hanging="141"/>
              <w:contextualSpacing/>
              <w:rPr>
                <w:rFonts w:ascii="Arial Narrow" w:hAnsi="Arial Narrow"/>
                <w:color w:val="000000"/>
                <w:lang w:val="sq-AL" w:eastAsia="de-DE"/>
              </w:rPr>
            </w:pPr>
            <w:r w:rsidRPr="00BE2534">
              <w:rPr>
                <w:rFonts w:ascii="Arial Narrow" w:hAnsi="Arial Narrow"/>
                <w:color w:val="000000"/>
                <w:lang w:val="sq-AL" w:eastAsia="de-DE"/>
              </w:rPr>
              <w:t>Objekti i kompostimit në Istog – kapacitet 600 tonë/vit</w:t>
            </w:r>
          </w:p>
          <w:p w14:paraId="7771A757" w14:textId="77777777" w:rsidR="00DF1B1A" w:rsidRPr="00BE2534" w:rsidRDefault="00DF1B1A" w:rsidP="00DF1B1A">
            <w:pPr>
              <w:numPr>
                <w:ilvl w:val="0"/>
                <w:numId w:val="9"/>
              </w:numPr>
              <w:spacing w:before="40" w:after="40" w:line="240" w:lineRule="auto"/>
              <w:ind w:left="176" w:hanging="141"/>
              <w:contextualSpacing/>
              <w:rPr>
                <w:rFonts w:ascii="Arial Narrow" w:hAnsi="Arial Narrow"/>
                <w:color w:val="000000"/>
                <w:lang w:val="sq-AL" w:eastAsia="de-DE"/>
              </w:rPr>
            </w:pPr>
            <w:r w:rsidRPr="00BE2534">
              <w:rPr>
                <w:rFonts w:ascii="Arial Narrow" w:hAnsi="Arial Narrow"/>
                <w:color w:val="000000"/>
                <w:lang w:val="sq-AL" w:eastAsia="de-DE"/>
              </w:rPr>
              <w:lastRenderedPageBreak/>
              <w:t>Objekti i kompostimit në Klinë – kapacitet 600 tonë/vit</w:t>
            </w:r>
          </w:p>
          <w:p w14:paraId="4A26CB18" w14:textId="5E2D9D0E" w:rsidR="00DF1B1A" w:rsidRPr="00430A79" w:rsidRDefault="00DF1B1A" w:rsidP="00DF1B1A">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Objekti i kompostimit në Deçan – kapacitet 550 tonë/vit</w:t>
            </w:r>
          </w:p>
        </w:tc>
        <w:tc>
          <w:tcPr>
            <w:tcW w:w="710" w:type="pct"/>
            <w:tcMar>
              <w:left w:w="58" w:type="dxa"/>
              <w:right w:w="58" w:type="dxa"/>
            </w:tcMar>
          </w:tcPr>
          <w:p w14:paraId="4D4A2186" w14:textId="6A79F6CD" w:rsidR="00DF1B1A" w:rsidRPr="00430A79" w:rsidRDefault="00DF1B1A" w:rsidP="00DF1B1A">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lastRenderedPageBreak/>
              <w:t>2026</w:t>
            </w:r>
          </w:p>
        </w:tc>
      </w:tr>
      <w:tr w:rsidR="00DF1B1A" w:rsidRPr="00430A79" w14:paraId="50486E28" w14:textId="77777777" w:rsidTr="00D03949">
        <w:tc>
          <w:tcPr>
            <w:tcW w:w="1195" w:type="pct"/>
            <w:tcBorders>
              <w:top w:val="nil"/>
              <w:bottom w:val="single" w:sz="4" w:space="0" w:color="auto"/>
            </w:tcBorders>
            <w:tcMar>
              <w:left w:w="58" w:type="dxa"/>
              <w:right w:w="58" w:type="dxa"/>
            </w:tcMar>
          </w:tcPr>
          <w:p w14:paraId="6180848C" w14:textId="77777777" w:rsidR="00DF1B1A" w:rsidRPr="00430A79" w:rsidRDefault="00DF1B1A" w:rsidP="00DF1B1A">
            <w:pPr>
              <w:spacing w:before="40" w:after="40"/>
              <w:rPr>
                <w:rFonts w:ascii="Arial Narrow" w:hAnsi="Arial Narrow"/>
                <w:color w:val="000000"/>
                <w:lang w:eastAsia="de-DE"/>
              </w:rPr>
            </w:pPr>
          </w:p>
        </w:tc>
        <w:tc>
          <w:tcPr>
            <w:tcW w:w="1497" w:type="pct"/>
            <w:tcMar>
              <w:left w:w="58" w:type="dxa"/>
              <w:right w:w="58" w:type="dxa"/>
            </w:tcMar>
          </w:tcPr>
          <w:p w14:paraId="1A69E001" w14:textId="22322521" w:rsidR="00DF1B1A" w:rsidRPr="00430A79" w:rsidRDefault="00DF1B1A" w:rsidP="00DF1B1A">
            <w:pPr>
              <w:spacing w:before="40" w:after="40"/>
              <w:rPr>
                <w:rFonts w:ascii="Arial Narrow" w:hAnsi="Arial Narrow"/>
                <w:color w:val="000000"/>
                <w:lang w:eastAsia="de-DE"/>
              </w:rPr>
            </w:pPr>
            <w:r w:rsidRPr="00BE2534">
              <w:rPr>
                <w:rFonts w:ascii="Arial Narrow" w:hAnsi="Arial Narrow"/>
                <w:color w:val="000000"/>
                <w:lang w:val="sq-AL" w:eastAsia="de-DE"/>
              </w:rPr>
              <w:t xml:space="preserve">Filiimi me </w:t>
            </w:r>
            <w:r>
              <w:rPr>
                <w:rFonts w:ascii="Arial Narrow" w:hAnsi="Arial Narrow"/>
                <w:color w:val="000000"/>
                <w:lang w:val="sq-AL" w:eastAsia="de-DE"/>
              </w:rPr>
              <w:t>k</w:t>
            </w:r>
            <w:r w:rsidRPr="00BE2534">
              <w:rPr>
                <w:rFonts w:ascii="Arial Narrow" w:hAnsi="Arial Narrow"/>
                <w:color w:val="000000"/>
                <w:lang w:val="sq-AL" w:eastAsia="de-DE"/>
              </w:rPr>
              <w:t>ompostimin shtëpiak në zonat rurale</w:t>
            </w:r>
          </w:p>
        </w:tc>
        <w:tc>
          <w:tcPr>
            <w:tcW w:w="1598" w:type="pct"/>
            <w:tcMar>
              <w:left w:w="58" w:type="dxa"/>
              <w:right w:w="58" w:type="dxa"/>
            </w:tcMar>
          </w:tcPr>
          <w:p w14:paraId="6AC3447A" w14:textId="0CD77550" w:rsidR="00DF1B1A" w:rsidRPr="00430A79" w:rsidRDefault="00DF1B1A" w:rsidP="00DF1B1A">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n/a</w:t>
            </w:r>
          </w:p>
        </w:tc>
        <w:tc>
          <w:tcPr>
            <w:tcW w:w="710" w:type="pct"/>
            <w:tcMar>
              <w:left w:w="58" w:type="dxa"/>
              <w:right w:w="58" w:type="dxa"/>
            </w:tcMar>
          </w:tcPr>
          <w:p w14:paraId="6026EC69" w14:textId="116BAE49" w:rsidR="00DF1B1A" w:rsidRPr="00430A79" w:rsidRDefault="00DF1B1A" w:rsidP="00DF1B1A">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I perhershem</w:t>
            </w:r>
          </w:p>
        </w:tc>
      </w:tr>
      <w:tr w:rsidR="00DF1B1A" w:rsidRPr="00430A79" w14:paraId="73E603EE" w14:textId="77777777" w:rsidTr="00D03949">
        <w:tc>
          <w:tcPr>
            <w:tcW w:w="1195" w:type="pct"/>
            <w:tcBorders>
              <w:bottom w:val="nil"/>
            </w:tcBorders>
            <w:tcMar>
              <w:left w:w="58" w:type="dxa"/>
              <w:right w:w="58" w:type="dxa"/>
            </w:tcMar>
          </w:tcPr>
          <w:p w14:paraId="05B6D199" w14:textId="77A5F325" w:rsidR="00DF1B1A" w:rsidRPr="00430A79" w:rsidRDefault="00DF1B1A" w:rsidP="00DF1B1A">
            <w:pPr>
              <w:spacing w:before="40" w:after="40"/>
              <w:rPr>
                <w:rFonts w:ascii="Arial Narrow" w:hAnsi="Arial Narrow"/>
                <w:color w:val="000000"/>
                <w:lang w:eastAsia="de-DE"/>
              </w:rPr>
            </w:pPr>
            <w:r w:rsidRPr="00BE2534">
              <w:rPr>
                <w:rFonts w:ascii="Arial Narrow" w:hAnsi="Arial Narrow"/>
                <w:color w:val="000000"/>
                <w:lang w:val="sq-AL" w:eastAsia="de-DE"/>
              </w:rPr>
              <w:t>Rikuperimi i mbeturinave</w:t>
            </w:r>
          </w:p>
        </w:tc>
        <w:tc>
          <w:tcPr>
            <w:tcW w:w="1497" w:type="pct"/>
            <w:tcMar>
              <w:left w:w="58" w:type="dxa"/>
              <w:right w:w="58" w:type="dxa"/>
            </w:tcMar>
          </w:tcPr>
          <w:p w14:paraId="51937E9F" w14:textId="7408D7C1" w:rsidR="00DF1B1A" w:rsidRPr="00430A79" w:rsidRDefault="00DF1B1A" w:rsidP="00DF1B1A">
            <w:pPr>
              <w:spacing w:before="40" w:after="40"/>
              <w:rPr>
                <w:rFonts w:ascii="Arial Narrow" w:hAnsi="Arial Narrow"/>
                <w:color w:val="000000"/>
                <w:lang w:eastAsia="de-DE"/>
              </w:rPr>
            </w:pPr>
            <w:r w:rsidRPr="00BE2534">
              <w:rPr>
                <w:rFonts w:ascii="Arial Narrow" w:hAnsi="Arial Narrow"/>
                <w:color w:val="000000"/>
                <w:lang w:val="sq-AL" w:eastAsia="de-DE"/>
              </w:rPr>
              <w:t>Do të ngritet 1 impiant TMB i cili do të trajtojë mbeturinat e përziera komunale nga të pesë komunat</w:t>
            </w:r>
          </w:p>
        </w:tc>
        <w:tc>
          <w:tcPr>
            <w:tcW w:w="1598" w:type="pct"/>
            <w:tcMar>
              <w:left w:w="58" w:type="dxa"/>
              <w:right w:w="58" w:type="dxa"/>
            </w:tcMar>
          </w:tcPr>
          <w:p w14:paraId="3C63A79F" w14:textId="77777777" w:rsidR="00DF1B1A" w:rsidRPr="00BE2534" w:rsidRDefault="00DF1B1A" w:rsidP="00DF1B1A">
            <w:pPr>
              <w:numPr>
                <w:ilvl w:val="0"/>
                <w:numId w:val="9"/>
              </w:numPr>
              <w:spacing w:before="40" w:after="40"/>
              <w:ind w:left="176" w:hanging="141"/>
              <w:contextualSpacing/>
              <w:rPr>
                <w:rFonts w:ascii="Arial Narrow" w:hAnsi="Arial Narrow"/>
                <w:color w:val="000000"/>
                <w:lang w:val="sq-AL" w:eastAsia="de-DE"/>
              </w:rPr>
            </w:pPr>
            <w:r w:rsidRPr="00BE2534">
              <w:rPr>
                <w:rFonts w:ascii="Arial Narrow" w:hAnsi="Arial Narrow"/>
                <w:color w:val="000000"/>
                <w:lang w:val="sq-AL" w:eastAsia="de-DE"/>
              </w:rPr>
              <w:t>Kapaciteti prej 40,000 tonë/ vit</w:t>
            </w:r>
          </w:p>
          <w:p w14:paraId="5E17F42C" w14:textId="56224472" w:rsidR="00DF1B1A" w:rsidRPr="00430A79" w:rsidRDefault="00DF1B1A" w:rsidP="00DF1B1A">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Prodhimi prej 12,000 tonë/vit KDM</w:t>
            </w:r>
          </w:p>
        </w:tc>
        <w:tc>
          <w:tcPr>
            <w:tcW w:w="710" w:type="pct"/>
            <w:tcMar>
              <w:left w:w="58" w:type="dxa"/>
              <w:right w:w="58" w:type="dxa"/>
            </w:tcMar>
          </w:tcPr>
          <w:p w14:paraId="57FF301F" w14:textId="0F1E8B34" w:rsidR="00DF1B1A" w:rsidRPr="00430A79" w:rsidRDefault="00DF1B1A" w:rsidP="00DF1B1A">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2031</w:t>
            </w:r>
          </w:p>
        </w:tc>
      </w:tr>
      <w:tr w:rsidR="00DF1B1A" w:rsidRPr="00430A79" w14:paraId="418A1011" w14:textId="77777777" w:rsidTr="00D03949">
        <w:tc>
          <w:tcPr>
            <w:tcW w:w="1195" w:type="pct"/>
            <w:tcBorders>
              <w:top w:val="nil"/>
            </w:tcBorders>
            <w:tcMar>
              <w:left w:w="58" w:type="dxa"/>
              <w:right w:w="58" w:type="dxa"/>
            </w:tcMar>
          </w:tcPr>
          <w:p w14:paraId="5A31A62A" w14:textId="77777777" w:rsidR="00DF1B1A" w:rsidRPr="00430A79" w:rsidRDefault="00DF1B1A" w:rsidP="00DF1B1A">
            <w:pPr>
              <w:spacing w:before="40" w:after="40"/>
              <w:rPr>
                <w:rFonts w:ascii="Arial Narrow" w:hAnsi="Arial Narrow"/>
                <w:color w:val="000000"/>
                <w:lang w:eastAsia="de-DE"/>
              </w:rPr>
            </w:pPr>
          </w:p>
        </w:tc>
        <w:tc>
          <w:tcPr>
            <w:tcW w:w="1497" w:type="pct"/>
            <w:tcMar>
              <w:left w:w="58" w:type="dxa"/>
              <w:right w:w="58" w:type="dxa"/>
            </w:tcMar>
          </w:tcPr>
          <w:p w14:paraId="3DC077E5" w14:textId="1D424C2B" w:rsidR="00DF1B1A" w:rsidRPr="00430A79" w:rsidRDefault="00DF1B1A" w:rsidP="00DF1B1A">
            <w:pPr>
              <w:spacing w:before="40" w:after="40"/>
              <w:rPr>
                <w:rFonts w:ascii="Arial Narrow" w:hAnsi="Arial Narrow"/>
                <w:color w:val="000000"/>
                <w:lang w:eastAsia="de-DE"/>
              </w:rPr>
            </w:pPr>
            <w:r w:rsidRPr="00BE2534">
              <w:rPr>
                <w:rFonts w:ascii="Arial Narrow" w:hAnsi="Arial Narrow"/>
                <w:color w:val="000000"/>
                <w:lang w:val="sq-AL" w:eastAsia="de-DE"/>
              </w:rPr>
              <w:t>1 impiant kompostimi brenda kontonjerëve të specializuar do të ngritet</w:t>
            </w:r>
            <w:r w:rsidRPr="00BE2534">
              <w:rPr>
                <w:rStyle w:val="FootnoteReference"/>
                <w:rFonts w:ascii="Arial Narrow" w:hAnsi="Arial Narrow"/>
                <w:lang w:val="sq-AL" w:eastAsia="de-DE"/>
              </w:rPr>
              <w:footnoteReference w:id="42"/>
            </w:r>
            <w:r w:rsidRPr="00BE2534">
              <w:rPr>
                <w:rFonts w:ascii="Arial Narrow" w:hAnsi="Arial Narrow"/>
                <w:color w:val="000000"/>
                <w:lang w:val="sq-AL" w:eastAsia="de-DE"/>
              </w:rPr>
              <w:t>në hapësirën e impiantit TMB ose në objektin e kompostimit në Pejë</w:t>
            </w:r>
          </w:p>
        </w:tc>
        <w:tc>
          <w:tcPr>
            <w:tcW w:w="1598" w:type="pct"/>
            <w:tcMar>
              <w:left w:w="58" w:type="dxa"/>
              <w:right w:w="58" w:type="dxa"/>
            </w:tcMar>
          </w:tcPr>
          <w:p w14:paraId="1BC44F7B" w14:textId="1BA043BA" w:rsidR="00DF1B1A" w:rsidRPr="00430A79" w:rsidRDefault="00DF1B1A" w:rsidP="00DF1B1A">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Kapaciteti prej 3</w:t>
            </w:r>
            <w:r>
              <w:rPr>
                <w:rFonts w:ascii="Arial Narrow" w:hAnsi="Arial Narrow"/>
                <w:color w:val="000000"/>
                <w:lang w:val="sq-AL" w:eastAsia="de-DE"/>
              </w:rPr>
              <w:t>,</w:t>
            </w:r>
            <w:r w:rsidRPr="00BE2534">
              <w:rPr>
                <w:rFonts w:ascii="Arial Narrow" w:hAnsi="Arial Narrow"/>
                <w:color w:val="000000"/>
                <w:lang w:val="sq-AL" w:eastAsia="de-DE"/>
              </w:rPr>
              <w:t>500 tonë/vit</w:t>
            </w:r>
          </w:p>
        </w:tc>
        <w:tc>
          <w:tcPr>
            <w:tcW w:w="710" w:type="pct"/>
            <w:tcMar>
              <w:left w:w="58" w:type="dxa"/>
              <w:right w:w="58" w:type="dxa"/>
            </w:tcMar>
          </w:tcPr>
          <w:p w14:paraId="5529D981" w14:textId="7FA72BFB" w:rsidR="00DF1B1A" w:rsidRPr="00430A79" w:rsidRDefault="00DF1B1A" w:rsidP="00DF1B1A">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2031</w:t>
            </w:r>
          </w:p>
        </w:tc>
      </w:tr>
      <w:tr w:rsidR="00DF1B1A" w:rsidRPr="00430A79" w14:paraId="471AB235" w14:textId="77777777" w:rsidTr="00D03949">
        <w:tc>
          <w:tcPr>
            <w:tcW w:w="1195" w:type="pct"/>
            <w:tcBorders>
              <w:bottom w:val="single" w:sz="4" w:space="0" w:color="auto"/>
            </w:tcBorders>
            <w:tcMar>
              <w:left w:w="58" w:type="dxa"/>
              <w:right w:w="58" w:type="dxa"/>
            </w:tcMar>
          </w:tcPr>
          <w:p w14:paraId="68972CB9" w14:textId="3BC09D36" w:rsidR="00DF1B1A" w:rsidRPr="00430A79" w:rsidRDefault="00DF1B1A" w:rsidP="00DF1B1A">
            <w:pPr>
              <w:spacing w:before="40" w:after="40"/>
              <w:rPr>
                <w:rFonts w:ascii="Arial Narrow" w:hAnsi="Arial Narrow"/>
                <w:color w:val="000000"/>
                <w:lang w:eastAsia="de-DE"/>
              </w:rPr>
            </w:pPr>
            <w:r w:rsidRPr="00BE2534">
              <w:rPr>
                <w:rFonts w:ascii="Arial Narrow" w:hAnsi="Arial Narrow"/>
                <w:color w:val="000000"/>
                <w:lang w:val="sq-AL" w:eastAsia="de-DE"/>
              </w:rPr>
              <w:t>Deponimi i mbeturinave</w:t>
            </w:r>
          </w:p>
        </w:tc>
        <w:tc>
          <w:tcPr>
            <w:tcW w:w="1497" w:type="pct"/>
            <w:tcBorders>
              <w:bottom w:val="single" w:sz="4" w:space="0" w:color="auto"/>
            </w:tcBorders>
            <w:tcMar>
              <w:left w:w="58" w:type="dxa"/>
              <w:right w:w="58" w:type="dxa"/>
            </w:tcMar>
          </w:tcPr>
          <w:p w14:paraId="0A9B992A" w14:textId="4BA4AEB5" w:rsidR="00DF1B1A" w:rsidRPr="00430A79" w:rsidRDefault="00DF1B1A" w:rsidP="00DF1B1A">
            <w:pPr>
              <w:spacing w:before="40" w:after="40"/>
              <w:rPr>
                <w:rFonts w:ascii="Arial Narrow" w:hAnsi="Arial Narrow"/>
                <w:color w:val="000000"/>
                <w:lang w:eastAsia="de-DE"/>
              </w:rPr>
            </w:pPr>
            <w:r w:rsidRPr="00BE2534">
              <w:rPr>
                <w:rFonts w:ascii="Arial Narrow" w:hAnsi="Arial Narrow"/>
                <w:color w:val="000000"/>
                <w:lang w:val="sq-AL" w:eastAsia="de-DE"/>
              </w:rPr>
              <w:t>Përmirësimi ildeponisë sanitare rajonale ekzistues për të gjithë ZMM</w:t>
            </w:r>
          </w:p>
        </w:tc>
        <w:tc>
          <w:tcPr>
            <w:tcW w:w="1598" w:type="pct"/>
            <w:tcMar>
              <w:left w:w="58" w:type="dxa"/>
              <w:right w:w="58" w:type="dxa"/>
            </w:tcMar>
          </w:tcPr>
          <w:p w14:paraId="0E4F9F93" w14:textId="307BE1BF" w:rsidR="00DF1B1A" w:rsidRPr="00430A79" w:rsidRDefault="00DF1B1A" w:rsidP="00DF1B1A">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Kapaciteti i deponisë prej rreth 475 mijë tonë</w:t>
            </w:r>
            <w:r w:rsidRPr="00BE2534">
              <w:rPr>
                <w:rStyle w:val="FootnoteReference"/>
                <w:lang w:val="sq-AL" w:eastAsia="de-DE"/>
              </w:rPr>
              <w:footnoteReference w:id="43"/>
            </w:r>
            <w:r w:rsidRPr="00BE2534">
              <w:rPr>
                <w:rFonts w:ascii="Arial Narrow" w:hAnsi="Arial Narrow"/>
                <w:color w:val="000000"/>
                <w:lang w:val="sq-AL" w:eastAsia="de-DE"/>
              </w:rPr>
              <w:t>për një periudhë 20-vjeçare</w:t>
            </w:r>
          </w:p>
        </w:tc>
        <w:tc>
          <w:tcPr>
            <w:tcW w:w="710" w:type="pct"/>
            <w:tcMar>
              <w:left w:w="58" w:type="dxa"/>
              <w:right w:w="58" w:type="dxa"/>
            </w:tcMar>
          </w:tcPr>
          <w:p w14:paraId="1FA9908A" w14:textId="7B72246E" w:rsidR="00DF1B1A" w:rsidRPr="00430A79" w:rsidRDefault="00DF1B1A" w:rsidP="00DF1B1A">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2026 për qelinë e parë dhe infrastrukturën e përbashkët</w:t>
            </w:r>
          </w:p>
        </w:tc>
      </w:tr>
      <w:tr w:rsidR="00DF1B1A" w:rsidRPr="00430A79" w14:paraId="62BB09AD" w14:textId="77777777" w:rsidTr="00D03949">
        <w:tc>
          <w:tcPr>
            <w:tcW w:w="1195" w:type="pct"/>
            <w:tcBorders>
              <w:bottom w:val="nil"/>
            </w:tcBorders>
            <w:tcMar>
              <w:left w:w="58" w:type="dxa"/>
              <w:right w:w="58" w:type="dxa"/>
            </w:tcMar>
          </w:tcPr>
          <w:p w14:paraId="66337E4F" w14:textId="5EFF540F" w:rsidR="00DF1B1A" w:rsidRPr="00430A79" w:rsidRDefault="00DF1B1A" w:rsidP="00DF1B1A">
            <w:pPr>
              <w:spacing w:before="40" w:after="40"/>
              <w:rPr>
                <w:rFonts w:ascii="Arial Narrow" w:hAnsi="Arial Narrow"/>
                <w:color w:val="000000"/>
                <w:lang w:eastAsia="de-DE"/>
              </w:rPr>
            </w:pPr>
            <w:r w:rsidRPr="00BE2534">
              <w:rPr>
                <w:rFonts w:ascii="Arial Narrow" w:hAnsi="Arial Narrow"/>
                <w:color w:val="000000"/>
                <w:lang w:val="sq-AL" w:eastAsia="de-DE"/>
              </w:rPr>
              <w:t>MNRr</w:t>
            </w:r>
          </w:p>
        </w:tc>
        <w:tc>
          <w:tcPr>
            <w:tcW w:w="1497" w:type="pct"/>
            <w:tcBorders>
              <w:bottom w:val="nil"/>
            </w:tcBorders>
            <w:tcMar>
              <w:left w:w="58" w:type="dxa"/>
              <w:right w:w="58" w:type="dxa"/>
            </w:tcMar>
          </w:tcPr>
          <w:p w14:paraId="60817B7B" w14:textId="744AA913" w:rsidR="00DF1B1A" w:rsidRPr="00430A79" w:rsidRDefault="00DF1B1A" w:rsidP="00DF1B1A">
            <w:pPr>
              <w:spacing w:before="40" w:after="40"/>
              <w:rPr>
                <w:rFonts w:ascii="Arial Narrow" w:hAnsi="Arial Narrow"/>
                <w:color w:val="000000"/>
                <w:lang w:eastAsia="de-DE"/>
              </w:rPr>
            </w:pPr>
            <w:r w:rsidRPr="00BE2534">
              <w:rPr>
                <w:rFonts w:ascii="Arial Narrow" w:hAnsi="Arial Narrow"/>
                <w:color w:val="000000"/>
                <w:lang w:val="sq-AL" w:eastAsia="de-DE"/>
              </w:rPr>
              <w:t>Rrjeti i pikave të hedhjes</w:t>
            </w:r>
          </w:p>
        </w:tc>
        <w:tc>
          <w:tcPr>
            <w:tcW w:w="1598" w:type="pct"/>
            <w:tcMar>
              <w:left w:w="58" w:type="dxa"/>
              <w:right w:w="58" w:type="dxa"/>
            </w:tcMar>
          </w:tcPr>
          <w:p w14:paraId="626B1544" w14:textId="3CC4A3DF" w:rsidR="00DF1B1A" w:rsidRPr="00430A79" w:rsidRDefault="00DF1B1A" w:rsidP="00DF1B1A">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Pejë me kapacitet prej 5,400 m³/vit</w:t>
            </w:r>
          </w:p>
        </w:tc>
        <w:tc>
          <w:tcPr>
            <w:tcW w:w="710" w:type="pct"/>
            <w:tcMar>
              <w:left w:w="58" w:type="dxa"/>
              <w:right w:w="58" w:type="dxa"/>
            </w:tcMar>
          </w:tcPr>
          <w:p w14:paraId="411BCE02" w14:textId="3BFB6BE2" w:rsidR="00DF1B1A" w:rsidRPr="00430A79" w:rsidRDefault="00DF1B1A" w:rsidP="00DF1B1A">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2025-2027</w:t>
            </w:r>
          </w:p>
        </w:tc>
      </w:tr>
      <w:tr w:rsidR="00DF1B1A" w:rsidRPr="00430A79" w14:paraId="0F67FFE0" w14:textId="77777777" w:rsidTr="00D03949">
        <w:tc>
          <w:tcPr>
            <w:tcW w:w="1195" w:type="pct"/>
            <w:tcBorders>
              <w:top w:val="nil"/>
              <w:bottom w:val="nil"/>
            </w:tcBorders>
            <w:tcMar>
              <w:left w:w="58" w:type="dxa"/>
              <w:right w:w="58" w:type="dxa"/>
            </w:tcMar>
          </w:tcPr>
          <w:p w14:paraId="3C6F21B7" w14:textId="77777777" w:rsidR="00DF1B1A" w:rsidRPr="00430A79" w:rsidRDefault="00DF1B1A" w:rsidP="00DF1B1A">
            <w:pPr>
              <w:spacing w:before="40" w:after="40"/>
              <w:rPr>
                <w:rFonts w:ascii="Arial Narrow" w:hAnsi="Arial Narrow"/>
                <w:color w:val="000000"/>
                <w:lang w:eastAsia="de-DE"/>
              </w:rPr>
            </w:pPr>
          </w:p>
        </w:tc>
        <w:tc>
          <w:tcPr>
            <w:tcW w:w="1497" w:type="pct"/>
            <w:tcBorders>
              <w:top w:val="nil"/>
              <w:bottom w:val="nil"/>
            </w:tcBorders>
            <w:tcMar>
              <w:left w:w="58" w:type="dxa"/>
              <w:right w:w="58" w:type="dxa"/>
            </w:tcMar>
          </w:tcPr>
          <w:p w14:paraId="0E6D4A97" w14:textId="77777777" w:rsidR="00DF1B1A" w:rsidRPr="00430A79" w:rsidRDefault="00DF1B1A" w:rsidP="00DF1B1A">
            <w:pPr>
              <w:spacing w:before="40" w:after="40"/>
              <w:rPr>
                <w:rFonts w:ascii="Arial Narrow" w:hAnsi="Arial Narrow"/>
                <w:color w:val="000000"/>
                <w:lang w:eastAsia="de-DE"/>
              </w:rPr>
            </w:pPr>
          </w:p>
        </w:tc>
        <w:tc>
          <w:tcPr>
            <w:tcW w:w="1598" w:type="pct"/>
            <w:tcMar>
              <w:left w:w="58" w:type="dxa"/>
              <w:right w:w="58" w:type="dxa"/>
            </w:tcMar>
          </w:tcPr>
          <w:p w14:paraId="11D345EB" w14:textId="72275658" w:rsidR="00DF1B1A" w:rsidRPr="00430A79" w:rsidRDefault="00DF1B1A" w:rsidP="00DF1B1A">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Istog - kapaciteti 2,900 m³/vit</w:t>
            </w:r>
          </w:p>
        </w:tc>
        <w:tc>
          <w:tcPr>
            <w:tcW w:w="710" w:type="pct"/>
            <w:tcMar>
              <w:left w:w="58" w:type="dxa"/>
              <w:right w:w="58" w:type="dxa"/>
            </w:tcMar>
          </w:tcPr>
          <w:p w14:paraId="712E11A6" w14:textId="2CF1D5E7" w:rsidR="00DF1B1A" w:rsidRPr="00430A79" w:rsidRDefault="00DF1B1A" w:rsidP="00DF1B1A">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2025-2027</w:t>
            </w:r>
          </w:p>
        </w:tc>
      </w:tr>
      <w:tr w:rsidR="00DF1B1A" w:rsidRPr="00430A79" w14:paraId="48E814A0" w14:textId="77777777" w:rsidTr="00D03949">
        <w:tc>
          <w:tcPr>
            <w:tcW w:w="1195" w:type="pct"/>
            <w:tcBorders>
              <w:top w:val="nil"/>
              <w:bottom w:val="nil"/>
            </w:tcBorders>
            <w:tcMar>
              <w:left w:w="58" w:type="dxa"/>
              <w:right w:w="58" w:type="dxa"/>
            </w:tcMar>
          </w:tcPr>
          <w:p w14:paraId="23CFDD83" w14:textId="77777777" w:rsidR="00DF1B1A" w:rsidRPr="00430A79" w:rsidRDefault="00DF1B1A" w:rsidP="00DF1B1A">
            <w:pPr>
              <w:spacing w:before="40" w:after="40"/>
              <w:rPr>
                <w:rFonts w:ascii="Arial Narrow" w:hAnsi="Arial Narrow"/>
                <w:color w:val="000000"/>
                <w:lang w:eastAsia="de-DE"/>
              </w:rPr>
            </w:pPr>
          </w:p>
        </w:tc>
        <w:tc>
          <w:tcPr>
            <w:tcW w:w="1497" w:type="pct"/>
            <w:tcBorders>
              <w:top w:val="nil"/>
              <w:bottom w:val="nil"/>
            </w:tcBorders>
            <w:tcMar>
              <w:left w:w="58" w:type="dxa"/>
              <w:right w:w="58" w:type="dxa"/>
            </w:tcMar>
          </w:tcPr>
          <w:p w14:paraId="7871B9B6" w14:textId="77777777" w:rsidR="00DF1B1A" w:rsidRPr="00430A79" w:rsidRDefault="00DF1B1A" w:rsidP="00DF1B1A">
            <w:pPr>
              <w:spacing w:before="40" w:after="40"/>
              <w:rPr>
                <w:rFonts w:ascii="Arial Narrow" w:hAnsi="Arial Narrow"/>
                <w:color w:val="000000"/>
                <w:lang w:eastAsia="de-DE"/>
              </w:rPr>
            </w:pPr>
          </w:p>
        </w:tc>
        <w:tc>
          <w:tcPr>
            <w:tcW w:w="1598" w:type="pct"/>
            <w:tcMar>
              <w:left w:w="58" w:type="dxa"/>
              <w:right w:w="58" w:type="dxa"/>
            </w:tcMar>
          </w:tcPr>
          <w:p w14:paraId="3DEE7420" w14:textId="463BFBC3" w:rsidR="00DF1B1A" w:rsidRPr="00430A79" w:rsidRDefault="00DF1B1A" w:rsidP="00DF1B1A">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Klinë - kapaciteti 2,400 m³/vit</w:t>
            </w:r>
          </w:p>
        </w:tc>
        <w:tc>
          <w:tcPr>
            <w:tcW w:w="710" w:type="pct"/>
            <w:tcMar>
              <w:left w:w="58" w:type="dxa"/>
              <w:right w:w="58" w:type="dxa"/>
            </w:tcMar>
          </w:tcPr>
          <w:p w14:paraId="7FE9D6F3" w14:textId="6896F7FF" w:rsidR="00DF1B1A" w:rsidRPr="00430A79" w:rsidRDefault="00DF1B1A" w:rsidP="00DF1B1A">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2025-2027</w:t>
            </w:r>
          </w:p>
        </w:tc>
      </w:tr>
      <w:tr w:rsidR="00DF1B1A" w:rsidRPr="00430A79" w14:paraId="34070F47" w14:textId="77777777" w:rsidTr="00D03949">
        <w:tc>
          <w:tcPr>
            <w:tcW w:w="1195" w:type="pct"/>
            <w:tcBorders>
              <w:top w:val="nil"/>
              <w:bottom w:val="nil"/>
            </w:tcBorders>
            <w:tcMar>
              <w:left w:w="58" w:type="dxa"/>
              <w:right w:w="58" w:type="dxa"/>
            </w:tcMar>
          </w:tcPr>
          <w:p w14:paraId="0A6C0AC8" w14:textId="77777777" w:rsidR="00DF1B1A" w:rsidRPr="00430A79" w:rsidRDefault="00DF1B1A" w:rsidP="00DF1B1A">
            <w:pPr>
              <w:spacing w:before="40" w:after="40"/>
              <w:rPr>
                <w:rFonts w:ascii="Arial Narrow" w:hAnsi="Arial Narrow"/>
                <w:color w:val="000000"/>
                <w:lang w:eastAsia="de-DE"/>
              </w:rPr>
            </w:pPr>
          </w:p>
        </w:tc>
        <w:tc>
          <w:tcPr>
            <w:tcW w:w="1497" w:type="pct"/>
            <w:tcBorders>
              <w:top w:val="nil"/>
              <w:bottom w:val="single" w:sz="4" w:space="0" w:color="auto"/>
            </w:tcBorders>
            <w:tcMar>
              <w:left w:w="58" w:type="dxa"/>
              <w:right w:w="58" w:type="dxa"/>
            </w:tcMar>
          </w:tcPr>
          <w:p w14:paraId="6DE64729" w14:textId="77777777" w:rsidR="00DF1B1A" w:rsidRPr="00430A79" w:rsidRDefault="00DF1B1A" w:rsidP="00DF1B1A">
            <w:pPr>
              <w:spacing w:before="40" w:after="40"/>
              <w:rPr>
                <w:rFonts w:ascii="Arial Narrow" w:hAnsi="Arial Narrow"/>
                <w:color w:val="000000"/>
                <w:lang w:eastAsia="de-DE"/>
              </w:rPr>
            </w:pPr>
          </w:p>
        </w:tc>
        <w:tc>
          <w:tcPr>
            <w:tcW w:w="1598" w:type="pct"/>
            <w:tcMar>
              <w:left w:w="58" w:type="dxa"/>
              <w:right w:w="58" w:type="dxa"/>
            </w:tcMar>
          </w:tcPr>
          <w:p w14:paraId="3644EC0D" w14:textId="6EFCE153" w:rsidR="00DF1B1A" w:rsidRPr="00430A79" w:rsidRDefault="00DF1B1A" w:rsidP="00DF1B1A">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Deçan (që shërben edhe Junikun ) me kapacitet 2,400 m³/vit</w:t>
            </w:r>
          </w:p>
        </w:tc>
        <w:tc>
          <w:tcPr>
            <w:tcW w:w="710" w:type="pct"/>
            <w:tcMar>
              <w:left w:w="58" w:type="dxa"/>
              <w:right w:w="58" w:type="dxa"/>
            </w:tcMar>
          </w:tcPr>
          <w:p w14:paraId="0D2087D1" w14:textId="6BC7F12A" w:rsidR="00DF1B1A" w:rsidRPr="00430A79" w:rsidRDefault="00DF1B1A" w:rsidP="00DF1B1A">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2025-2027</w:t>
            </w:r>
          </w:p>
        </w:tc>
      </w:tr>
      <w:tr w:rsidR="00DF1B1A" w:rsidRPr="00430A79" w14:paraId="46F5DCC3" w14:textId="77777777" w:rsidTr="00D03949">
        <w:tc>
          <w:tcPr>
            <w:tcW w:w="1195" w:type="pct"/>
            <w:tcBorders>
              <w:top w:val="nil"/>
              <w:bottom w:val="nil"/>
            </w:tcBorders>
            <w:tcMar>
              <w:left w:w="58" w:type="dxa"/>
              <w:right w:w="58" w:type="dxa"/>
            </w:tcMar>
          </w:tcPr>
          <w:p w14:paraId="0DE1F308" w14:textId="77777777" w:rsidR="00DF1B1A" w:rsidRPr="00430A79" w:rsidRDefault="00DF1B1A" w:rsidP="00DF1B1A">
            <w:pPr>
              <w:spacing w:before="40" w:after="40"/>
              <w:rPr>
                <w:rFonts w:ascii="Arial Narrow" w:hAnsi="Arial Narrow"/>
                <w:color w:val="000000"/>
                <w:lang w:eastAsia="de-DE"/>
              </w:rPr>
            </w:pPr>
          </w:p>
        </w:tc>
        <w:tc>
          <w:tcPr>
            <w:tcW w:w="1497" w:type="pct"/>
            <w:tcBorders>
              <w:top w:val="single" w:sz="4" w:space="0" w:color="auto"/>
            </w:tcBorders>
            <w:tcMar>
              <w:left w:w="58" w:type="dxa"/>
              <w:right w:w="58" w:type="dxa"/>
            </w:tcMar>
          </w:tcPr>
          <w:p w14:paraId="30354463" w14:textId="58EA0719" w:rsidR="00DF1B1A" w:rsidRPr="00430A79" w:rsidRDefault="00DF1B1A" w:rsidP="00DF1B1A">
            <w:pPr>
              <w:spacing w:before="40" w:after="40"/>
              <w:rPr>
                <w:rFonts w:ascii="Arial Narrow" w:hAnsi="Arial Narrow"/>
                <w:color w:val="000000"/>
                <w:lang w:val="bg-BG" w:eastAsia="de-DE"/>
              </w:rPr>
            </w:pPr>
            <w:r w:rsidRPr="00BE2534">
              <w:rPr>
                <w:rFonts w:ascii="Arial Narrow" w:hAnsi="Arial Narrow"/>
                <w:color w:val="000000"/>
                <w:lang w:val="sq-AL" w:eastAsia="de-DE"/>
              </w:rPr>
              <w:t>Një objekt riciklimi me një thërmues mobil</w:t>
            </w:r>
          </w:p>
        </w:tc>
        <w:tc>
          <w:tcPr>
            <w:tcW w:w="1598" w:type="pct"/>
            <w:tcMar>
              <w:left w:w="58" w:type="dxa"/>
              <w:right w:w="58" w:type="dxa"/>
            </w:tcMar>
          </w:tcPr>
          <w:p w14:paraId="068D5293" w14:textId="37DCD8F5" w:rsidR="00DF1B1A" w:rsidRPr="00430A79" w:rsidRDefault="00DF1B1A" w:rsidP="00DF1B1A">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Kapaciteti 12,800 m³/vit</w:t>
            </w:r>
          </w:p>
        </w:tc>
        <w:tc>
          <w:tcPr>
            <w:tcW w:w="710" w:type="pct"/>
            <w:tcMar>
              <w:left w:w="58" w:type="dxa"/>
              <w:right w:w="58" w:type="dxa"/>
            </w:tcMar>
          </w:tcPr>
          <w:p w14:paraId="76A58540" w14:textId="665DE44C" w:rsidR="00DF1B1A" w:rsidRPr="00430A79" w:rsidRDefault="00DF1B1A" w:rsidP="00DF1B1A">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2027</w:t>
            </w:r>
          </w:p>
        </w:tc>
      </w:tr>
      <w:tr w:rsidR="00DF1B1A" w:rsidRPr="00430A79" w14:paraId="00E16A5D" w14:textId="77777777" w:rsidTr="00D03949">
        <w:tc>
          <w:tcPr>
            <w:tcW w:w="1195" w:type="pct"/>
            <w:tcBorders>
              <w:top w:val="nil"/>
            </w:tcBorders>
            <w:tcMar>
              <w:left w:w="58" w:type="dxa"/>
              <w:right w:w="58" w:type="dxa"/>
            </w:tcMar>
          </w:tcPr>
          <w:p w14:paraId="6123100F" w14:textId="77777777" w:rsidR="00DF1B1A" w:rsidRPr="00430A79" w:rsidRDefault="00DF1B1A" w:rsidP="00DF1B1A">
            <w:pPr>
              <w:spacing w:before="40" w:after="40"/>
              <w:rPr>
                <w:rFonts w:ascii="Arial Narrow" w:hAnsi="Arial Narrow"/>
                <w:color w:val="000000"/>
                <w:lang w:eastAsia="de-DE"/>
              </w:rPr>
            </w:pPr>
          </w:p>
        </w:tc>
        <w:tc>
          <w:tcPr>
            <w:tcW w:w="1497" w:type="pct"/>
            <w:tcMar>
              <w:left w:w="58" w:type="dxa"/>
              <w:right w:w="58" w:type="dxa"/>
            </w:tcMar>
          </w:tcPr>
          <w:p w14:paraId="192C0CE2" w14:textId="5984B4C2" w:rsidR="00DF1B1A" w:rsidRPr="00430A79" w:rsidRDefault="00DF1B1A" w:rsidP="00DF1B1A">
            <w:pPr>
              <w:spacing w:before="40" w:after="40"/>
              <w:rPr>
                <w:rFonts w:ascii="Arial Narrow" w:hAnsi="Arial Narrow"/>
                <w:color w:val="000000"/>
                <w:lang w:eastAsia="de-DE"/>
              </w:rPr>
            </w:pPr>
            <w:r w:rsidRPr="00BE2534">
              <w:rPr>
                <w:rFonts w:ascii="Arial Narrow" w:hAnsi="Arial Narrow"/>
                <w:color w:val="000000"/>
                <w:lang w:val="sq-AL" w:eastAsia="de-DE"/>
              </w:rPr>
              <w:t>Një objekt deponimi</w:t>
            </w:r>
          </w:p>
        </w:tc>
        <w:tc>
          <w:tcPr>
            <w:tcW w:w="1598" w:type="pct"/>
            <w:tcMar>
              <w:left w:w="58" w:type="dxa"/>
              <w:right w:w="58" w:type="dxa"/>
            </w:tcMar>
          </w:tcPr>
          <w:p w14:paraId="49F6F020" w14:textId="41F233C5" w:rsidR="00DF1B1A" w:rsidRPr="00430A79" w:rsidRDefault="00DF1B1A" w:rsidP="00DF1B1A">
            <w:pPr>
              <w:numPr>
                <w:ilvl w:val="0"/>
                <w:numId w:val="9"/>
              </w:numPr>
              <w:spacing w:before="40" w:after="40"/>
              <w:ind w:left="176" w:hanging="141"/>
              <w:contextualSpacing/>
              <w:rPr>
                <w:rFonts w:ascii="Arial Narrow" w:hAnsi="Arial Narrow"/>
                <w:color w:val="000000"/>
                <w:lang w:eastAsia="de-DE"/>
              </w:rPr>
            </w:pPr>
            <w:r w:rsidRPr="00BE2534">
              <w:rPr>
                <w:rFonts w:ascii="Arial Narrow" w:hAnsi="Arial Narrow"/>
                <w:color w:val="000000"/>
                <w:lang w:val="sq-AL" w:eastAsia="de-DE"/>
              </w:rPr>
              <w:t>Kapaciteti 19,300 m³/vit</w:t>
            </w:r>
          </w:p>
        </w:tc>
        <w:tc>
          <w:tcPr>
            <w:tcW w:w="710" w:type="pct"/>
            <w:tcMar>
              <w:left w:w="58" w:type="dxa"/>
              <w:right w:w="58" w:type="dxa"/>
            </w:tcMar>
          </w:tcPr>
          <w:p w14:paraId="2166D40B" w14:textId="6516105A" w:rsidR="00DF1B1A" w:rsidRPr="00430A79" w:rsidRDefault="00DF1B1A" w:rsidP="00DF1B1A">
            <w:pPr>
              <w:spacing w:before="40" w:after="40"/>
              <w:ind w:left="35"/>
              <w:contextualSpacing/>
              <w:rPr>
                <w:rFonts w:ascii="Arial Narrow" w:hAnsi="Arial Narrow"/>
                <w:color w:val="000000"/>
                <w:lang w:eastAsia="de-DE"/>
              </w:rPr>
            </w:pPr>
            <w:r w:rsidRPr="00BE2534">
              <w:rPr>
                <w:rFonts w:ascii="Arial Narrow" w:hAnsi="Arial Narrow"/>
                <w:color w:val="000000"/>
                <w:lang w:val="sq-AL" w:eastAsia="de-DE"/>
              </w:rPr>
              <w:t>2027</w:t>
            </w:r>
          </w:p>
        </w:tc>
      </w:tr>
    </w:tbl>
    <w:p w14:paraId="62BA2662" w14:textId="77777777" w:rsidR="00430A79" w:rsidRPr="00430A79" w:rsidRDefault="00430A79" w:rsidP="00430A79">
      <w:pPr>
        <w:rPr>
          <w:rFonts w:ascii="Arial Narrow" w:hAnsi="Arial Narrow"/>
          <w:color w:val="000000"/>
          <w:sz w:val="22"/>
          <w:szCs w:val="22"/>
          <w:lang w:val="en-GB" w:eastAsia="de-DE"/>
        </w:rPr>
      </w:pPr>
    </w:p>
    <w:p w14:paraId="1A5F6B13" w14:textId="0551F6E0" w:rsidR="00430A79" w:rsidRPr="00430A79" w:rsidRDefault="0024332F" w:rsidP="00430A79">
      <w:pPr>
        <w:rPr>
          <w:rFonts w:ascii="Arial Narrow" w:hAnsi="Arial Narrow"/>
          <w:color w:val="000000"/>
          <w:sz w:val="22"/>
          <w:szCs w:val="22"/>
          <w:lang w:val="en-GB" w:eastAsia="de-DE"/>
        </w:rPr>
      </w:pPr>
      <w:r w:rsidRPr="00BE2534">
        <w:rPr>
          <w:rFonts w:ascii="Arial Narrow" w:hAnsi="Arial Narrow"/>
          <w:color w:val="000000"/>
          <w:sz w:val="22"/>
          <w:szCs w:val="22"/>
          <w:lang w:val="sq-AL" w:eastAsia="de-DE"/>
        </w:rPr>
        <w:t xml:space="preserve">Shifrat e mëposhtme paraqesin </w:t>
      </w:r>
      <w:bookmarkStart w:id="526" w:name="_Hlk183707534"/>
      <w:r w:rsidRPr="00BE2534">
        <w:rPr>
          <w:rFonts w:ascii="Arial Narrow" w:hAnsi="Arial Narrow"/>
          <w:color w:val="000000"/>
          <w:sz w:val="22"/>
          <w:szCs w:val="22"/>
          <w:lang w:val="sq-AL" w:eastAsia="de-DE"/>
        </w:rPr>
        <w:t>vendndodhjen e objekteve të parashikuara për menaxhimin e mbeturinave në ZMM</w:t>
      </w:r>
      <w:bookmarkEnd w:id="526"/>
      <w:r w:rsidR="00430A79" w:rsidRPr="00430A79">
        <w:rPr>
          <w:rFonts w:ascii="Arial Narrow" w:hAnsi="Arial Narrow"/>
          <w:color w:val="000000"/>
          <w:sz w:val="22"/>
          <w:szCs w:val="22"/>
          <w:lang w:val="en-GB" w:eastAsia="de-DE"/>
        </w:rPr>
        <w:t>.</w:t>
      </w:r>
    </w:p>
    <w:p w14:paraId="599B854D" w14:textId="77777777" w:rsidR="00430A79" w:rsidRPr="00430A79" w:rsidRDefault="00430A79" w:rsidP="00430A79">
      <w:pPr>
        <w:rPr>
          <w:rFonts w:ascii="Arial Narrow" w:hAnsi="Arial Narrow"/>
          <w:color w:val="000000"/>
          <w:sz w:val="22"/>
          <w:szCs w:val="22"/>
          <w:lang w:val="en-GB" w:eastAsia="de-DE"/>
        </w:rPr>
      </w:pPr>
    </w:p>
    <w:p w14:paraId="3E55CD2A" w14:textId="2DD38BE2" w:rsidR="00430A79" w:rsidRPr="00430A79" w:rsidRDefault="0024332F" w:rsidP="00430A79">
      <w:pPr>
        <w:jc w:val="center"/>
        <w:rPr>
          <w:rFonts w:ascii="Arial Narrow" w:hAnsi="Arial Narrow"/>
          <w:color w:val="000000"/>
          <w:sz w:val="22"/>
          <w:szCs w:val="22"/>
          <w:lang w:val="bg-BG" w:eastAsia="de-DE"/>
        </w:rPr>
      </w:pPr>
      <w:r>
        <w:rPr>
          <w:noProof/>
        </w:rPr>
        <w:lastRenderedPageBreak/>
        <w:drawing>
          <wp:inline distT="0" distB="0" distL="0" distR="0" wp14:anchorId="27AA2F1D" wp14:editId="46DE2ABD">
            <wp:extent cx="5547790" cy="4065563"/>
            <wp:effectExtent l="0" t="0" r="0" b="0"/>
            <wp:docPr id="61760846" name="Picture 61760846" descr="A map of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256827" name="Picture 1988256827" descr="A map of different colored areas&#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5948" cy="4078870"/>
                    </a:xfrm>
                    <a:prstGeom prst="rect">
                      <a:avLst/>
                    </a:prstGeom>
                    <a:noFill/>
                    <a:ln>
                      <a:noFill/>
                    </a:ln>
                  </pic:spPr>
                </pic:pic>
              </a:graphicData>
            </a:graphic>
          </wp:inline>
        </w:drawing>
      </w:r>
    </w:p>
    <w:p w14:paraId="7CAC9733" w14:textId="65CF5B27" w:rsidR="00430A79" w:rsidRPr="00430A79" w:rsidRDefault="00430A79" w:rsidP="006347D6">
      <w:pPr>
        <w:pStyle w:val="Figure"/>
        <w:rPr>
          <w:rFonts w:eastAsia="Calibri" w:cs="Calibri"/>
          <w:sz w:val="20"/>
          <w:szCs w:val="20"/>
        </w:rPr>
      </w:pPr>
      <w:bookmarkStart w:id="527" w:name="_Toc185866253"/>
      <w:bookmarkStart w:id="528" w:name="_Toc197472332"/>
      <w:r w:rsidRPr="00430A79">
        <w:rPr>
          <w:rFonts w:eastAsia="Calibri" w:cs="Calibri"/>
          <w:sz w:val="20"/>
          <w:szCs w:val="20"/>
        </w:rPr>
        <w:t xml:space="preserve">Figura </w:t>
      </w:r>
      <w:r w:rsidRPr="00430A79">
        <w:rPr>
          <w:rFonts w:eastAsia="Calibri" w:cs="Calibri"/>
          <w:sz w:val="20"/>
          <w:szCs w:val="20"/>
        </w:rPr>
        <w:fldChar w:fldCharType="begin"/>
      </w:r>
      <w:r w:rsidRPr="00430A79">
        <w:rPr>
          <w:rFonts w:eastAsia="Calibri" w:cs="Calibri"/>
          <w:sz w:val="20"/>
          <w:szCs w:val="20"/>
        </w:rPr>
        <w:instrText xml:space="preserve"> SEQ Figure \* ARABIC </w:instrText>
      </w:r>
      <w:r w:rsidRPr="00430A79">
        <w:rPr>
          <w:rFonts w:eastAsia="Calibri" w:cs="Calibri"/>
          <w:sz w:val="20"/>
          <w:szCs w:val="20"/>
        </w:rPr>
        <w:fldChar w:fldCharType="separate"/>
      </w:r>
      <w:r w:rsidR="00C97DF3">
        <w:rPr>
          <w:rFonts w:eastAsia="Calibri" w:cs="Calibri"/>
          <w:noProof/>
          <w:sz w:val="20"/>
          <w:szCs w:val="20"/>
        </w:rPr>
        <w:t xml:space="preserve">31. </w:t>
      </w:r>
      <w:r w:rsidRPr="00430A79">
        <w:rPr>
          <w:rFonts w:eastAsia="Calibri" w:cs="Calibri"/>
          <w:sz w:val="20"/>
          <w:szCs w:val="20"/>
        </w:rPr>
        <w:fldChar w:fldCharType="end"/>
      </w:r>
      <w:r w:rsidRPr="00430A79">
        <w:rPr>
          <w:rFonts w:eastAsia="Calibri" w:cs="Calibri"/>
          <w:sz w:val="20"/>
          <w:szCs w:val="20"/>
        </w:rPr>
        <w:t xml:space="preserve">Vendndodhja e </w:t>
      </w:r>
      <w:r w:rsidR="0024332F">
        <w:rPr>
          <w:rFonts w:eastAsia="Calibri" w:cs="Calibri"/>
          <w:sz w:val="20"/>
          <w:szCs w:val="20"/>
        </w:rPr>
        <w:t xml:space="preserve">objekteve </w:t>
      </w:r>
      <w:r w:rsidRPr="00430A79">
        <w:rPr>
          <w:rFonts w:eastAsia="Calibri" w:cs="Calibri"/>
          <w:sz w:val="20"/>
          <w:szCs w:val="20"/>
        </w:rPr>
        <w:t xml:space="preserve">të parashikuara </w:t>
      </w:r>
      <w:r w:rsidR="0024332F">
        <w:rPr>
          <w:rFonts w:eastAsia="Calibri" w:cs="Calibri"/>
          <w:sz w:val="20"/>
          <w:szCs w:val="20"/>
        </w:rPr>
        <w:t>për</w:t>
      </w:r>
      <w:r w:rsidRPr="00430A79">
        <w:rPr>
          <w:rFonts w:eastAsia="Calibri" w:cs="Calibri"/>
          <w:sz w:val="20"/>
          <w:szCs w:val="20"/>
        </w:rPr>
        <w:t xml:space="preserve"> menaxhimi</w:t>
      </w:r>
      <w:r w:rsidR="0024332F">
        <w:rPr>
          <w:rFonts w:eastAsia="Calibri" w:cs="Calibri"/>
          <w:sz w:val="20"/>
          <w:szCs w:val="20"/>
        </w:rPr>
        <w:t>n e</w:t>
      </w:r>
      <w:r w:rsidRPr="00430A79">
        <w:rPr>
          <w:rFonts w:eastAsia="Calibri" w:cs="Calibri"/>
          <w:sz w:val="20"/>
          <w:szCs w:val="20"/>
        </w:rPr>
        <w:t xml:space="preserve"> mbet</w:t>
      </w:r>
      <w:r w:rsidR="0024332F">
        <w:rPr>
          <w:rFonts w:eastAsia="Calibri" w:cs="Calibri"/>
          <w:sz w:val="20"/>
          <w:szCs w:val="20"/>
        </w:rPr>
        <w:t>urinave</w:t>
      </w:r>
      <w:r w:rsidRPr="00430A79">
        <w:rPr>
          <w:rFonts w:eastAsia="Calibri" w:cs="Calibri"/>
          <w:sz w:val="20"/>
          <w:szCs w:val="20"/>
        </w:rPr>
        <w:t xml:space="preserve"> në WMZ</w:t>
      </w:r>
      <w:bookmarkEnd w:id="527"/>
      <w:bookmarkEnd w:id="528"/>
    </w:p>
    <w:p w14:paraId="043182A8" w14:textId="0B34D357" w:rsidR="00430A79" w:rsidRPr="00430A79" w:rsidRDefault="00430A79" w:rsidP="00430A79">
      <w:pPr>
        <w:rPr>
          <w:rFonts w:ascii="Arial Narrow" w:hAnsi="Arial Narrow"/>
        </w:rPr>
      </w:pPr>
    </w:p>
    <w:p w14:paraId="6C43C72C" w14:textId="2B15D1C2" w:rsidR="00430A79" w:rsidRPr="00430A79" w:rsidRDefault="00430A79" w:rsidP="000D7AD0">
      <w:pPr>
        <w:pStyle w:val="Heading2"/>
      </w:pPr>
      <w:bookmarkStart w:id="529" w:name="_Toc185866154"/>
      <w:bookmarkStart w:id="530" w:name="_Toc197472045"/>
      <w:r w:rsidRPr="00430A79">
        <w:t>Kostot e investi</w:t>
      </w:r>
      <w:r w:rsidR="0024332F">
        <w:t>ve dhe</w:t>
      </w:r>
      <w:r w:rsidRPr="00430A79">
        <w:t xml:space="preserve"> oper</w:t>
      </w:r>
      <w:r w:rsidR="0024332F">
        <w:t>acionale</w:t>
      </w:r>
      <w:bookmarkEnd w:id="529"/>
      <w:bookmarkEnd w:id="530"/>
    </w:p>
    <w:p w14:paraId="7F3CDE17" w14:textId="77777777" w:rsidR="00430A79" w:rsidRPr="001B756B" w:rsidRDefault="00430A79" w:rsidP="00430A79">
      <w:pPr>
        <w:rPr>
          <w:rFonts w:ascii="Arial Narrow" w:hAnsi="Arial Narrow"/>
          <w:sz w:val="22"/>
          <w:szCs w:val="22"/>
        </w:rPr>
      </w:pPr>
    </w:p>
    <w:p w14:paraId="6C69653D" w14:textId="77777777" w:rsidR="0024332F" w:rsidRDefault="0024332F" w:rsidP="0024332F">
      <w:pPr>
        <w:rPr>
          <w:rFonts w:ascii="Arial Narrow" w:hAnsi="Arial Narrow"/>
          <w:sz w:val="22"/>
          <w:szCs w:val="22"/>
          <w:lang w:val="sq-AL"/>
        </w:rPr>
      </w:pPr>
      <w:bookmarkStart w:id="531" w:name="_Hlk195525377"/>
      <w:r w:rsidRPr="00BE2534">
        <w:rPr>
          <w:rFonts w:ascii="Arial Narrow" w:hAnsi="Arial Narrow"/>
          <w:sz w:val="22"/>
          <w:szCs w:val="22"/>
          <w:lang w:val="sq-AL"/>
        </w:rPr>
        <w:t>Një përmbledhje e kostove të zbatimit për sistemin e ardhshëm të menaxhimit të mbeturinave është paraqitur në figurat e mëposhtme.</w:t>
      </w:r>
    </w:p>
    <w:p w14:paraId="7B36927B" w14:textId="77777777" w:rsidR="0024332F" w:rsidRPr="00BE2534" w:rsidRDefault="0024332F" w:rsidP="0024332F">
      <w:pPr>
        <w:rPr>
          <w:rFonts w:ascii="Arial Narrow" w:hAnsi="Arial Narrow"/>
          <w:sz w:val="22"/>
          <w:szCs w:val="22"/>
          <w:lang w:val="sq-AL"/>
        </w:rPr>
      </w:pPr>
    </w:p>
    <w:p w14:paraId="225DCE2C" w14:textId="77777777" w:rsidR="0024332F" w:rsidRDefault="0024332F" w:rsidP="0024332F">
      <w:pPr>
        <w:rPr>
          <w:rFonts w:ascii="Arial Narrow" w:hAnsi="Arial Narrow"/>
          <w:sz w:val="22"/>
          <w:szCs w:val="22"/>
          <w:lang w:val="sq-AL"/>
        </w:rPr>
      </w:pPr>
      <w:r w:rsidRPr="00BE2534">
        <w:rPr>
          <w:rFonts w:ascii="Arial Narrow" w:hAnsi="Arial Narrow"/>
          <w:sz w:val="22"/>
          <w:szCs w:val="22"/>
          <w:lang w:val="sq-AL"/>
        </w:rPr>
        <w:t xml:space="preserve">Kostot e investimit gjatë periudhës së planifikimit vlerësohen në 54.6 milionë </w:t>
      </w:r>
      <w:r w:rsidRPr="00BE2534">
        <w:rPr>
          <w:rFonts w:ascii="Arial Narrow" w:hAnsi="Arial Narrow" w:cs="Calibri"/>
          <w:sz w:val="22"/>
          <w:szCs w:val="22"/>
          <w:lang w:val="sq-AL"/>
        </w:rPr>
        <w:t>€</w:t>
      </w:r>
      <w:r w:rsidRPr="00BE2534">
        <w:rPr>
          <w:rFonts w:ascii="Arial Narrow" w:hAnsi="Arial Narrow"/>
          <w:sz w:val="22"/>
          <w:szCs w:val="22"/>
          <w:lang w:val="sq-AL"/>
        </w:rPr>
        <w:t>, duke përfshirë kostot për zëvendësimin e aseteve.</w:t>
      </w:r>
    </w:p>
    <w:p w14:paraId="0750D68E" w14:textId="77777777" w:rsidR="00AA382A" w:rsidRDefault="00AA382A" w:rsidP="0024332F">
      <w:pPr>
        <w:rPr>
          <w:rFonts w:ascii="Arial Narrow" w:hAnsi="Arial Narrow"/>
          <w:sz w:val="22"/>
          <w:szCs w:val="22"/>
          <w:lang w:val="sq-AL"/>
        </w:rPr>
      </w:pPr>
    </w:p>
    <w:p w14:paraId="4D8EF809" w14:textId="3F23B632" w:rsidR="00AA382A" w:rsidRDefault="00AA382A" w:rsidP="0024332F">
      <w:pPr>
        <w:rPr>
          <w:rFonts w:ascii="Arial Narrow" w:hAnsi="Arial Narrow"/>
          <w:sz w:val="22"/>
          <w:szCs w:val="22"/>
          <w:lang w:val="sq-AL"/>
        </w:rPr>
      </w:pPr>
    </w:p>
    <w:p w14:paraId="5E46ABA3" w14:textId="77777777" w:rsidR="00AA382A" w:rsidRDefault="00AA382A" w:rsidP="0024332F">
      <w:pPr>
        <w:rPr>
          <w:rFonts w:ascii="Arial Narrow" w:hAnsi="Arial Narrow"/>
          <w:sz w:val="22"/>
          <w:szCs w:val="22"/>
          <w:lang w:val="sq-AL"/>
        </w:rPr>
      </w:pPr>
    </w:p>
    <w:p w14:paraId="3A8BF1DD" w14:textId="250190F6" w:rsidR="00AA382A" w:rsidRPr="00BE2534" w:rsidRDefault="00AA382A" w:rsidP="0024332F">
      <w:pPr>
        <w:rPr>
          <w:rFonts w:ascii="Arial Narrow" w:hAnsi="Arial Narrow"/>
          <w:sz w:val="22"/>
          <w:szCs w:val="22"/>
          <w:lang w:val="sq-AL"/>
        </w:rPr>
      </w:pPr>
    </w:p>
    <w:p w14:paraId="726F2782" w14:textId="50A4658E" w:rsidR="00430A79" w:rsidRPr="00430A79" w:rsidRDefault="00832B34" w:rsidP="001105E2">
      <w:pPr>
        <w:jc w:val="center"/>
        <w:rPr>
          <w:rFonts w:ascii="Arial Narrow" w:hAnsi="Arial Narrow"/>
        </w:rPr>
      </w:pPr>
      <w:r>
        <w:rPr>
          <w:noProof/>
        </w:rPr>
        <w:lastRenderedPageBreak/>
        <w:drawing>
          <wp:inline distT="0" distB="0" distL="0" distR="0" wp14:anchorId="4DD8DA71" wp14:editId="1341036F">
            <wp:extent cx="5223510" cy="2865755"/>
            <wp:effectExtent l="0" t="0" r="15240" b="10795"/>
            <wp:docPr id="142257722" name="Chart 1">
              <a:extLst xmlns:a="http://schemas.openxmlformats.org/drawingml/2006/main">
                <a:ext uri="{FF2B5EF4-FFF2-40B4-BE49-F238E27FC236}">
                  <a16:creationId xmlns:a16="http://schemas.microsoft.com/office/drawing/2014/main" id="{A54B7892-7707-0A26-C258-328500AB41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D4B9DE3" w14:textId="2BC5182F" w:rsidR="00430A79" w:rsidRPr="00430A79" w:rsidRDefault="00430A79" w:rsidP="006347D6">
      <w:pPr>
        <w:pStyle w:val="Figure"/>
        <w:rPr>
          <w:rFonts w:eastAsia="Calibri" w:cs="Calibri"/>
          <w:sz w:val="20"/>
          <w:szCs w:val="20"/>
        </w:rPr>
      </w:pPr>
      <w:bookmarkStart w:id="532" w:name="_Toc185866254"/>
      <w:bookmarkStart w:id="533" w:name="_Toc197472333"/>
      <w:r w:rsidRPr="00430A79">
        <w:rPr>
          <w:rFonts w:eastAsia="Calibri" w:cs="Calibri"/>
          <w:sz w:val="20"/>
          <w:szCs w:val="20"/>
        </w:rPr>
        <w:t xml:space="preserve">Figura </w:t>
      </w:r>
      <w:r w:rsidRPr="00430A79">
        <w:rPr>
          <w:rFonts w:eastAsia="Calibri" w:cs="Calibri"/>
          <w:sz w:val="20"/>
          <w:szCs w:val="20"/>
        </w:rPr>
        <w:fldChar w:fldCharType="begin"/>
      </w:r>
      <w:r w:rsidRPr="00430A79">
        <w:rPr>
          <w:rFonts w:eastAsia="Calibri" w:cs="Calibri"/>
          <w:sz w:val="20"/>
          <w:szCs w:val="20"/>
        </w:rPr>
        <w:instrText xml:space="preserve"> SEQ Figure \* ARABIC </w:instrText>
      </w:r>
      <w:r w:rsidRPr="00430A79">
        <w:rPr>
          <w:rFonts w:eastAsia="Calibri" w:cs="Calibri"/>
          <w:sz w:val="20"/>
          <w:szCs w:val="20"/>
        </w:rPr>
        <w:fldChar w:fldCharType="separate"/>
      </w:r>
      <w:r w:rsidR="00C97DF3">
        <w:rPr>
          <w:rFonts w:eastAsia="Calibri" w:cs="Calibri"/>
          <w:noProof/>
          <w:sz w:val="20"/>
          <w:szCs w:val="20"/>
        </w:rPr>
        <w:t xml:space="preserve">32. </w:t>
      </w:r>
      <w:r w:rsidRPr="00430A79">
        <w:rPr>
          <w:rFonts w:eastAsia="Calibri" w:cs="Calibri"/>
          <w:sz w:val="20"/>
          <w:szCs w:val="20"/>
        </w:rPr>
        <w:fldChar w:fldCharType="end"/>
      </w:r>
      <w:r w:rsidRPr="00430A79">
        <w:rPr>
          <w:rFonts w:eastAsia="Calibri" w:cs="Calibri"/>
          <w:sz w:val="20"/>
          <w:szCs w:val="20"/>
        </w:rPr>
        <w:t>Kostot e investimit për operacion</w:t>
      </w:r>
      <w:r w:rsidR="00AA382A">
        <w:rPr>
          <w:rFonts w:eastAsia="Calibri" w:cs="Calibri"/>
          <w:sz w:val="20"/>
          <w:szCs w:val="20"/>
        </w:rPr>
        <w:t>alizimin e</w:t>
      </w:r>
      <w:r w:rsidRPr="00430A79">
        <w:rPr>
          <w:rFonts w:eastAsia="Calibri" w:cs="Calibri"/>
          <w:sz w:val="20"/>
          <w:szCs w:val="20"/>
        </w:rPr>
        <w:t xml:space="preserve"> menaxhimit të mbet</w:t>
      </w:r>
      <w:r w:rsidR="00AA382A">
        <w:rPr>
          <w:rFonts w:eastAsia="Calibri" w:cs="Calibri"/>
          <w:sz w:val="20"/>
          <w:szCs w:val="20"/>
        </w:rPr>
        <w:t>urinave</w:t>
      </w:r>
      <w:bookmarkEnd w:id="532"/>
      <w:bookmarkEnd w:id="533"/>
    </w:p>
    <w:p w14:paraId="15D780F4" w14:textId="77777777" w:rsidR="00AA382A" w:rsidRPr="00BE2534" w:rsidRDefault="00AA382A" w:rsidP="00AA382A">
      <w:pPr>
        <w:rPr>
          <w:rFonts w:ascii="Arial Narrow" w:hAnsi="Arial Narrow"/>
          <w:sz w:val="22"/>
          <w:szCs w:val="22"/>
          <w:lang w:val="sq-AL"/>
        </w:rPr>
      </w:pPr>
      <w:bookmarkStart w:id="534" w:name="_Hlk197111619"/>
      <w:r w:rsidRPr="00BE2534">
        <w:rPr>
          <w:rFonts w:ascii="Arial Narrow" w:hAnsi="Arial Narrow"/>
          <w:sz w:val="22"/>
          <w:szCs w:val="22"/>
          <w:lang w:val="sq-AL"/>
        </w:rPr>
        <w:t xml:space="preserve">Kostot vjetore të operacionale pritet të rriten me ndërtimin e deponisë së re dhe me filimin e grumbullimit </w:t>
      </w:r>
      <w:r>
        <w:rPr>
          <w:rFonts w:ascii="Arial Narrow" w:hAnsi="Arial Narrow"/>
          <w:sz w:val="22"/>
          <w:szCs w:val="22"/>
          <w:lang w:val="sq-AL"/>
        </w:rPr>
        <w:t>ndaras</w:t>
      </w:r>
      <w:r w:rsidRPr="00BE2534">
        <w:rPr>
          <w:rFonts w:ascii="Arial Narrow" w:hAnsi="Arial Narrow"/>
          <w:sz w:val="22"/>
          <w:szCs w:val="22"/>
          <w:lang w:val="sq-AL"/>
        </w:rPr>
        <w:t xml:space="preserve"> të mbeturinave të riciklueshme dhe kompostimit të mbeturinave të gjelbra, nga 5.3 milionë </w:t>
      </w:r>
      <w:r w:rsidRPr="00BE2534">
        <w:rPr>
          <w:rFonts w:ascii="Arial Narrow" w:hAnsi="Arial Narrow" w:cs="Calibri"/>
          <w:sz w:val="22"/>
          <w:szCs w:val="22"/>
          <w:lang w:val="sq-AL"/>
        </w:rPr>
        <w:t xml:space="preserve">€ </w:t>
      </w:r>
      <w:r w:rsidRPr="00BE2534">
        <w:rPr>
          <w:rFonts w:ascii="Arial Narrow" w:hAnsi="Arial Narrow"/>
          <w:sz w:val="22"/>
          <w:szCs w:val="22"/>
          <w:lang w:val="sq-AL"/>
        </w:rPr>
        <w:t xml:space="preserve">në 2026 në 7.8 milionë </w:t>
      </w:r>
      <w:r w:rsidRPr="00BE2534">
        <w:rPr>
          <w:rFonts w:ascii="Arial Narrow" w:hAnsi="Arial Narrow" w:cs="Calibri"/>
          <w:sz w:val="22"/>
          <w:szCs w:val="22"/>
          <w:lang w:val="sq-AL"/>
        </w:rPr>
        <w:t xml:space="preserve">€ </w:t>
      </w:r>
      <w:r w:rsidRPr="00BE2534">
        <w:rPr>
          <w:rFonts w:ascii="Arial Narrow" w:hAnsi="Arial Narrow"/>
          <w:sz w:val="22"/>
          <w:szCs w:val="22"/>
          <w:lang w:val="sq-AL"/>
        </w:rPr>
        <w:t xml:space="preserve">në 2031 kur priten të funksionalizohen impianti TMB si dhe grumbullimi </w:t>
      </w:r>
      <w:r>
        <w:rPr>
          <w:rFonts w:ascii="Arial Narrow" w:hAnsi="Arial Narrow"/>
          <w:sz w:val="22"/>
          <w:szCs w:val="22"/>
          <w:lang w:val="sq-AL"/>
        </w:rPr>
        <w:t>ndaras</w:t>
      </w:r>
      <w:r w:rsidRPr="00BE2534">
        <w:rPr>
          <w:rFonts w:ascii="Arial Narrow" w:hAnsi="Arial Narrow"/>
          <w:sz w:val="22"/>
          <w:szCs w:val="22"/>
          <w:lang w:val="sq-AL"/>
        </w:rPr>
        <w:t xml:space="preserve"> i mbeturinave ushqimore.</w:t>
      </w:r>
    </w:p>
    <w:bookmarkEnd w:id="534"/>
    <w:p w14:paraId="79C012C4" w14:textId="77777777" w:rsidR="00427DCF" w:rsidRPr="00430A79" w:rsidRDefault="00427DCF" w:rsidP="00430A79">
      <w:pPr>
        <w:rPr>
          <w:rFonts w:ascii="Arial Narrow" w:hAnsi="Arial Narrow"/>
        </w:rPr>
      </w:pPr>
    </w:p>
    <w:p w14:paraId="76D32793" w14:textId="25B16B46" w:rsidR="00430A79" w:rsidRPr="00430A79" w:rsidRDefault="00C634BF" w:rsidP="001105E2">
      <w:pPr>
        <w:jc w:val="center"/>
        <w:rPr>
          <w:rFonts w:ascii="Arial Narrow" w:hAnsi="Arial Narrow"/>
        </w:rPr>
      </w:pPr>
      <w:r>
        <w:rPr>
          <w:noProof/>
        </w:rPr>
        <w:lastRenderedPageBreak/>
        <w:drawing>
          <wp:inline distT="0" distB="0" distL="0" distR="0" wp14:anchorId="226D10CF" wp14:editId="32BC8EDC">
            <wp:extent cx="4784063" cy="4458512"/>
            <wp:effectExtent l="0" t="0" r="17145" b="18415"/>
            <wp:docPr id="1150365333" name="Chart 1">
              <a:extLst xmlns:a="http://schemas.openxmlformats.org/drawingml/2006/main">
                <a:ext uri="{FF2B5EF4-FFF2-40B4-BE49-F238E27FC236}">
                  <a16:creationId xmlns:a16="http://schemas.microsoft.com/office/drawing/2014/main" id="{CA3FD248-5076-4587-96BA-FA41401636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DA21E87" w14:textId="4C3A6775" w:rsidR="00430A79" w:rsidRPr="009F5CA1" w:rsidRDefault="00430A79" w:rsidP="006347D6">
      <w:pPr>
        <w:pStyle w:val="Figure"/>
        <w:rPr>
          <w:rFonts w:eastAsia="Calibri" w:cs="Calibri"/>
          <w:color w:val="1F497D"/>
          <w:sz w:val="22"/>
          <w:szCs w:val="22"/>
          <w:lang w:val="es-ES"/>
        </w:rPr>
      </w:pPr>
      <w:bookmarkStart w:id="535" w:name="_Toc185866255"/>
      <w:bookmarkStart w:id="536" w:name="_Toc197472334"/>
      <w:r w:rsidRPr="00430A79">
        <w:rPr>
          <w:rFonts w:eastAsia="Calibri" w:cs="Calibri"/>
          <w:sz w:val="20"/>
          <w:szCs w:val="20"/>
        </w:rPr>
        <w:t xml:space="preserve">Figura </w:t>
      </w:r>
      <w:r w:rsidRPr="00430A79">
        <w:rPr>
          <w:rFonts w:eastAsia="Calibri" w:cs="Calibri"/>
          <w:sz w:val="20"/>
          <w:szCs w:val="20"/>
        </w:rPr>
        <w:fldChar w:fldCharType="begin"/>
      </w:r>
      <w:r w:rsidRPr="00430A79">
        <w:rPr>
          <w:rFonts w:eastAsia="Calibri" w:cs="Calibri"/>
          <w:sz w:val="20"/>
          <w:szCs w:val="20"/>
        </w:rPr>
        <w:instrText xml:space="preserve"> SEQ Figure \* ARABIC </w:instrText>
      </w:r>
      <w:r w:rsidRPr="00430A79">
        <w:rPr>
          <w:rFonts w:eastAsia="Calibri" w:cs="Calibri"/>
          <w:sz w:val="20"/>
          <w:szCs w:val="20"/>
        </w:rPr>
        <w:fldChar w:fldCharType="separate"/>
      </w:r>
      <w:r w:rsidR="00C97DF3">
        <w:rPr>
          <w:rFonts w:eastAsia="Calibri" w:cs="Calibri"/>
          <w:noProof/>
          <w:sz w:val="20"/>
          <w:szCs w:val="20"/>
        </w:rPr>
        <w:t xml:space="preserve">33. </w:t>
      </w:r>
      <w:r w:rsidRPr="00430A79">
        <w:rPr>
          <w:rFonts w:eastAsia="Calibri" w:cs="Calibri"/>
          <w:sz w:val="20"/>
          <w:szCs w:val="20"/>
        </w:rPr>
        <w:fldChar w:fldCharType="end"/>
      </w:r>
      <w:r w:rsidRPr="00430A79">
        <w:rPr>
          <w:rFonts w:eastAsia="Calibri" w:cs="Calibri"/>
          <w:sz w:val="20"/>
          <w:szCs w:val="20"/>
        </w:rPr>
        <w:t xml:space="preserve">Kostot </w:t>
      </w:r>
      <w:r w:rsidR="00AA382A">
        <w:rPr>
          <w:rFonts w:eastAsia="Calibri" w:cs="Calibri"/>
          <w:sz w:val="20"/>
          <w:szCs w:val="20"/>
        </w:rPr>
        <w:t>v</w:t>
      </w:r>
      <w:r w:rsidRPr="00430A79">
        <w:rPr>
          <w:rFonts w:eastAsia="Calibri" w:cs="Calibri"/>
          <w:sz w:val="20"/>
          <w:szCs w:val="20"/>
        </w:rPr>
        <w:t xml:space="preserve">jetore </w:t>
      </w:r>
      <w:r w:rsidR="00AA382A">
        <w:rPr>
          <w:rFonts w:eastAsia="Calibri" w:cs="Calibri"/>
          <w:sz w:val="20"/>
          <w:szCs w:val="20"/>
        </w:rPr>
        <w:t>operacionale për</w:t>
      </w:r>
      <w:r w:rsidRPr="00430A79">
        <w:rPr>
          <w:rFonts w:eastAsia="Calibri" w:cs="Calibri"/>
          <w:sz w:val="20"/>
          <w:szCs w:val="20"/>
        </w:rPr>
        <w:t xml:space="preserve"> operacion</w:t>
      </w:r>
      <w:r w:rsidR="00AA382A">
        <w:rPr>
          <w:rFonts w:eastAsia="Calibri" w:cs="Calibri"/>
          <w:sz w:val="20"/>
          <w:szCs w:val="20"/>
        </w:rPr>
        <w:t xml:space="preserve">et </w:t>
      </w:r>
      <w:r w:rsidR="000B3678">
        <w:rPr>
          <w:rFonts w:eastAsia="Calibri" w:cs="Calibri"/>
          <w:sz w:val="20"/>
          <w:szCs w:val="20"/>
        </w:rPr>
        <w:t>t</w:t>
      </w:r>
      <w:r w:rsidRPr="00430A79">
        <w:rPr>
          <w:rFonts w:eastAsia="Calibri" w:cs="Calibri"/>
          <w:sz w:val="20"/>
          <w:szCs w:val="20"/>
        </w:rPr>
        <w:t>ë menaxhimit të mbet</w:t>
      </w:r>
      <w:r w:rsidR="00AA382A">
        <w:rPr>
          <w:rFonts w:eastAsia="Calibri" w:cs="Calibri"/>
          <w:sz w:val="20"/>
          <w:szCs w:val="20"/>
        </w:rPr>
        <w:t>urinave</w:t>
      </w:r>
      <w:bookmarkEnd w:id="535"/>
      <w:bookmarkEnd w:id="536"/>
    </w:p>
    <w:p w14:paraId="6F79D8B6" w14:textId="77777777" w:rsidR="00430A79" w:rsidRPr="00430A79" w:rsidRDefault="00430A79" w:rsidP="00430A79">
      <w:pPr>
        <w:rPr>
          <w:rFonts w:ascii="Arial Narrow" w:hAnsi="Arial Narrow"/>
        </w:rPr>
      </w:pPr>
    </w:p>
    <w:bookmarkEnd w:id="531"/>
    <w:p w14:paraId="29A94560" w14:textId="77777777" w:rsidR="00AA382A" w:rsidRPr="00BE2534" w:rsidRDefault="00AA382A" w:rsidP="00AA382A">
      <w:pPr>
        <w:rPr>
          <w:rFonts w:ascii="Arial Narrow" w:hAnsi="Arial Narrow"/>
          <w:sz w:val="22"/>
          <w:szCs w:val="22"/>
          <w:lang w:val="sq-AL"/>
        </w:rPr>
      </w:pPr>
      <w:r w:rsidRPr="00BE2534">
        <w:rPr>
          <w:rFonts w:ascii="Arial Narrow" w:hAnsi="Arial Narrow"/>
          <w:sz w:val="22"/>
          <w:szCs w:val="22"/>
          <w:lang w:val="sq-AL"/>
        </w:rPr>
        <w:t>Kostot totale vjetore që përbëhen nga kostot operacionale dhe atë të amortizimi janë paraqitur në dy figurat e mëposhtme.</w:t>
      </w:r>
    </w:p>
    <w:p w14:paraId="1604C454" w14:textId="2F5CC66F" w:rsidR="00430A79" w:rsidRPr="00430A79" w:rsidRDefault="00C634BF" w:rsidP="00430A79">
      <w:pPr>
        <w:jc w:val="center"/>
        <w:rPr>
          <w:rFonts w:ascii="Arial Narrow" w:hAnsi="Arial Narrow"/>
        </w:rPr>
      </w:pPr>
      <w:r>
        <w:rPr>
          <w:noProof/>
        </w:rPr>
        <w:lastRenderedPageBreak/>
        <w:drawing>
          <wp:inline distT="0" distB="0" distL="0" distR="0" wp14:anchorId="15355B41" wp14:editId="3AFA98AB">
            <wp:extent cx="4784063" cy="4458512"/>
            <wp:effectExtent l="0" t="0" r="17145" b="18415"/>
            <wp:docPr id="986457244" name="Chart 1">
              <a:extLst xmlns:a="http://schemas.openxmlformats.org/drawingml/2006/main">
                <a:ext uri="{FF2B5EF4-FFF2-40B4-BE49-F238E27FC236}">
                  <a16:creationId xmlns:a16="http://schemas.microsoft.com/office/drawing/2014/main" id="{CA3FD248-5076-4587-96BA-FA41401636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4FEC954B" w14:textId="45D4F2C2" w:rsidR="00430A79" w:rsidRDefault="00430A79" w:rsidP="006347D6">
      <w:pPr>
        <w:pStyle w:val="Figure"/>
        <w:rPr>
          <w:rFonts w:eastAsia="Calibri" w:cs="Calibri"/>
          <w:sz w:val="20"/>
          <w:szCs w:val="20"/>
        </w:rPr>
      </w:pPr>
      <w:bookmarkStart w:id="537" w:name="_Toc185866256"/>
      <w:bookmarkStart w:id="538" w:name="_Toc197472335"/>
      <w:r w:rsidRPr="00430A79">
        <w:rPr>
          <w:rFonts w:eastAsia="Calibri" w:cs="Calibri"/>
          <w:sz w:val="20"/>
          <w:szCs w:val="20"/>
        </w:rPr>
        <w:t xml:space="preserve">Figura </w:t>
      </w:r>
      <w:r w:rsidRPr="00430A79">
        <w:rPr>
          <w:rFonts w:eastAsia="Calibri" w:cs="Calibri"/>
          <w:sz w:val="20"/>
          <w:szCs w:val="20"/>
        </w:rPr>
        <w:fldChar w:fldCharType="begin"/>
      </w:r>
      <w:r w:rsidRPr="00430A79">
        <w:rPr>
          <w:rFonts w:eastAsia="Calibri" w:cs="Calibri"/>
          <w:sz w:val="20"/>
          <w:szCs w:val="20"/>
        </w:rPr>
        <w:instrText xml:space="preserve"> SEQ Figure \* ARABIC </w:instrText>
      </w:r>
      <w:r w:rsidRPr="00430A79">
        <w:rPr>
          <w:rFonts w:eastAsia="Calibri" w:cs="Calibri"/>
          <w:sz w:val="20"/>
          <w:szCs w:val="20"/>
        </w:rPr>
        <w:fldChar w:fldCharType="separate"/>
      </w:r>
      <w:r w:rsidR="00C97DF3">
        <w:rPr>
          <w:rFonts w:eastAsia="Calibri" w:cs="Calibri"/>
          <w:noProof/>
          <w:sz w:val="20"/>
          <w:szCs w:val="20"/>
        </w:rPr>
        <w:t xml:space="preserve">34. </w:t>
      </w:r>
      <w:r w:rsidRPr="00430A79">
        <w:rPr>
          <w:rFonts w:eastAsia="Calibri" w:cs="Calibri"/>
          <w:sz w:val="20"/>
          <w:szCs w:val="20"/>
        </w:rPr>
        <w:fldChar w:fldCharType="end"/>
      </w:r>
      <w:r w:rsidRPr="00430A79">
        <w:rPr>
          <w:rFonts w:eastAsia="Calibri" w:cs="Calibri"/>
          <w:sz w:val="20"/>
          <w:szCs w:val="20"/>
        </w:rPr>
        <w:t>Kostot vjetore për operacion</w:t>
      </w:r>
      <w:r w:rsidR="000B3678">
        <w:rPr>
          <w:rFonts w:eastAsia="Calibri" w:cs="Calibri"/>
          <w:sz w:val="20"/>
          <w:szCs w:val="20"/>
        </w:rPr>
        <w:t>e</w:t>
      </w:r>
      <w:r w:rsidRPr="00430A79">
        <w:rPr>
          <w:rFonts w:eastAsia="Calibri" w:cs="Calibri"/>
          <w:sz w:val="20"/>
          <w:szCs w:val="20"/>
        </w:rPr>
        <w:t xml:space="preserve"> të menaxhimit të mbet</w:t>
      </w:r>
      <w:r w:rsidR="000B3678">
        <w:rPr>
          <w:rFonts w:eastAsia="Calibri" w:cs="Calibri"/>
          <w:sz w:val="20"/>
          <w:szCs w:val="20"/>
        </w:rPr>
        <w:t>u</w:t>
      </w:r>
      <w:r w:rsidR="00F10E36">
        <w:rPr>
          <w:rFonts w:eastAsia="Calibri" w:cs="Calibri"/>
          <w:sz w:val="20"/>
          <w:szCs w:val="20"/>
        </w:rPr>
        <w:t>rinave</w:t>
      </w:r>
      <w:bookmarkEnd w:id="537"/>
      <w:bookmarkEnd w:id="538"/>
    </w:p>
    <w:p w14:paraId="6CCC58CB" w14:textId="77777777" w:rsidR="00EA6989" w:rsidRPr="00430A79" w:rsidRDefault="00EA6989" w:rsidP="00EA6989">
      <w:pPr>
        <w:pStyle w:val="Figure"/>
        <w:jc w:val="right"/>
        <w:rPr>
          <w:rFonts w:eastAsia="Calibri" w:cs="Calibri"/>
          <w:sz w:val="20"/>
          <w:szCs w:val="20"/>
        </w:rPr>
      </w:pPr>
    </w:p>
    <w:p w14:paraId="422842BA" w14:textId="1E04C32E" w:rsidR="00430A79" w:rsidRDefault="00EA6989" w:rsidP="00EA6989">
      <w:pPr>
        <w:jc w:val="center"/>
        <w:rPr>
          <w:rFonts w:ascii="Arial Narrow" w:hAnsi="Arial Narrow"/>
        </w:rPr>
      </w:pPr>
      <w:r>
        <w:rPr>
          <w:noProof/>
        </w:rPr>
        <w:drawing>
          <wp:inline distT="0" distB="0" distL="0" distR="0" wp14:anchorId="37C07555" wp14:editId="3EDFA204">
            <wp:extent cx="4532811" cy="2775858"/>
            <wp:effectExtent l="0" t="0" r="1270" b="5715"/>
            <wp:docPr id="1314315841" name="Chart 1">
              <a:extLst xmlns:a="http://schemas.openxmlformats.org/drawingml/2006/main">
                <a:ext uri="{FF2B5EF4-FFF2-40B4-BE49-F238E27FC236}">
                  <a16:creationId xmlns:a16="http://schemas.microsoft.com/office/drawing/2014/main" id="{2C54D41E-CF92-4B61-A8FC-96D484BF0C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6A49909F" w14:textId="6C97833E" w:rsidR="00430A79" w:rsidRPr="00430A79" w:rsidRDefault="00430A79" w:rsidP="006347D6">
      <w:pPr>
        <w:pStyle w:val="Figure"/>
        <w:rPr>
          <w:rFonts w:eastAsia="Calibri" w:cs="Calibri"/>
          <w:sz w:val="20"/>
          <w:szCs w:val="20"/>
        </w:rPr>
      </w:pPr>
      <w:bookmarkStart w:id="539" w:name="_Toc185866257"/>
      <w:bookmarkStart w:id="540" w:name="_Toc197472336"/>
      <w:r w:rsidRPr="00430A79">
        <w:rPr>
          <w:rFonts w:eastAsia="Calibri" w:cs="Calibri"/>
          <w:sz w:val="20"/>
          <w:szCs w:val="20"/>
        </w:rPr>
        <w:t xml:space="preserve">Figura </w:t>
      </w:r>
      <w:r w:rsidRPr="00430A79">
        <w:rPr>
          <w:rFonts w:eastAsia="Calibri" w:cs="Calibri"/>
          <w:sz w:val="20"/>
          <w:szCs w:val="20"/>
        </w:rPr>
        <w:fldChar w:fldCharType="begin"/>
      </w:r>
      <w:r w:rsidRPr="00430A79">
        <w:rPr>
          <w:rFonts w:eastAsia="Calibri" w:cs="Calibri"/>
          <w:sz w:val="20"/>
          <w:szCs w:val="20"/>
        </w:rPr>
        <w:instrText xml:space="preserve"> SEQ Figure \* ARABIC </w:instrText>
      </w:r>
      <w:r w:rsidRPr="00430A79">
        <w:rPr>
          <w:rFonts w:eastAsia="Calibri" w:cs="Calibri"/>
          <w:sz w:val="20"/>
          <w:szCs w:val="20"/>
        </w:rPr>
        <w:fldChar w:fldCharType="separate"/>
      </w:r>
      <w:r w:rsidR="00C97DF3">
        <w:rPr>
          <w:rFonts w:eastAsia="Calibri" w:cs="Calibri"/>
          <w:noProof/>
          <w:sz w:val="20"/>
          <w:szCs w:val="20"/>
        </w:rPr>
        <w:t xml:space="preserve">35. </w:t>
      </w:r>
      <w:r w:rsidRPr="00430A79">
        <w:rPr>
          <w:rFonts w:eastAsia="Calibri" w:cs="Calibri"/>
          <w:sz w:val="20"/>
          <w:szCs w:val="20"/>
        </w:rPr>
        <w:fldChar w:fldCharType="end"/>
      </w:r>
      <w:r w:rsidRPr="00430A79">
        <w:rPr>
          <w:rFonts w:eastAsia="Calibri" w:cs="Calibri"/>
          <w:sz w:val="20"/>
          <w:szCs w:val="20"/>
        </w:rPr>
        <w:t>Kostot vjetore për llojin e kostos</w:t>
      </w:r>
      <w:bookmarkEnd w:id="539"/>
      <w:bookmarkEnd w:id="540"/>
    </w:p>
    <w:p w14:paraId="233E00D3" w14:textId="77777777" w:rsidR="00430A79" w:rsidRPr="00430A79" w:rsidRDefault="00430A79" w:rsidP="00430A79">
      <w:pPr>
        <w:rPr>
          <w:rFonts w:ascii="Arial Narrow" w:hAnsi="Arial Narrow"/>
        </w:rPr>
      </w:pPr>
    </w:p>
    <w:p w14:paraId="4AD8A1FE" w14:textId="42184A73" w:rsidR="00F10E36" w:rsidRPr="00BE2534" w:rsidRDefault="00F10E36" w:rsidP="00F10E36">
      <w:pPr>
        <w:rPr>
          <w:rFonts w:ascii="Arial Narrow" w:hAnsi="Arial Narrow"/>
          <w:sz w:val="22"/>
          <w:szCs w:val="22"/>
          <w:lang w:val="sq-AL"/>
        </w:rPr>
      </w:pPr>
      <w:r w:rsidRPr="00BE2534">
        <w:rPr>
          <w:rFonts w:ascii="Arial Narrow" w:hAnsi="Arial Narrow"/>
          <w:sz w:val="22"/>
          <w:szCs w:val="22"/>
          <w:lang w:val="sq-AL"/>
        </w:rPr>
        <w:lastRenderedPageBreak/>
        <w:t xml:space="preserve">Kostot vjetore për njësi për ton mbeturina të gjeneruara pritet të rriten nga </w:t>
      </w:r>
      <w:r w:rsidRPr="00BE2534">
        <w:rPr>
          <w:rFonts w:ascii="Arial Narrow" w:hAnsi="Arial Narrow" w:cs="Calibri"/>
          <w:sz w:val="22"/>
          <w:szCs w:val="22"/>
          <w:lang w:val="sq-AL"/>
        </w:rPr>
        <w:t xml:space="preserve">116,4 €/ton në vitin </w:t>
      </w:r>
      <w:r w:rsidR="00A61797" w:rsidRPr="00BE2534">
        <w:rPr>
          <w:rFonts w:ascii="Arial Narrow" w:hAnsi="Arial Narrow" w:cs="Calibri"/>
          <w:sz w:val="22"/>
          <w:szCs w:val="22"/>
          <w:lang w:val="sq-AL"/>
        </w:rPr>
        <w:t>202</w:t>
      </w:r>
      <w:r w:rsidR="00A61797">
        <w:rPr>
          <w:rFonts w:ascii="Arial Narrow" w:hAnsi="Arial Narrow" w:cs="Calibri"/>
          <w:sz w:val="22"/>
          <w:szCs w:val="22"/>
          <w:lang w:val="sq-AL"/>
        </w:rPr>
        <w:t>7</w:t>
      </w:r>
      <w:r w:rsidR="00A61797" w:rsidRPr="00BE2534">
        <w:rPr>
          <w:rFonts w:ascii="Arial Narrow" w:hAnsi="Arial Narrow" w:cs="Calibri"/>
          <w:sz w:val="22"/>
          <w:szCs w:val="22"/>
          <w:lang w:val="sq-AL"/>
        </w:rPr>
        <w:t xml:space="preserve"> </w:t>
      </w:r>
      <w:r w:rsidRPr="00BE2534">
        <w:rPr>
          <w:rFonts w:ascii="Arial Narrow" w:hAnsi="Arial Narrow" w:cs="Calibri"/>
          <w:sz w:val="22"/>
          <w:szCs w:val="22"/>
          <w:lang w:val="sq-AL"/>
        </w:rPr>
        <w:t>në 157,5 €/ton në vitin 2035.</w:t>
      </w:r>
    </w:p>
    <w:p w14:paraId="03752617" w14:textId="77777777" w:rsidR="00430A79" w:rsidRDefault="00430A79" w:rsidP="00430A79">
      <w:pPr>
        <w:rPr>
          <w:rFonts w:ascii="Arial Narrow" w:hAnsi="Arial Narrow"/>
        </w:rPr>
      </w:pPr>
    </w:p>
    <w:p w14:paraId="118595E6" w14:textId="2038AAB0" w:rsidR="00940B59" w:rsidRDefault="00940B59" w:rsidP="00940B59">
      <w:pPr>
        <w:jc w:val="center"/>
        <w:rPr>
          <w:rFonts w:ascii="Arial Narrow" w:hAnsi="Arial Narrow"/>
        </w:rPr>
      </w:pPr>
      <w:r>
        <w:rPr>
          <w:noProof/>
        </w:rPr>
        <w:drawing>
          <wp:inline distT="0" distB="0" distL="0" distR="0" wp14:anchorId="38F8E54C" wp14:editId="4640F5BD">
            <wp:extent cx="4604657" cy="2775857"/>
            <wp:effectExtent l="0" t="0" r="5715" b="5715"/>
            <wp:docPr id="425267212" name="Chart 1">
              <a:extLst xmlns:a="http://schemas.openxmlformats.org/drawingml/2006/main">
                <a:ext uri="{FF2B5EF4-FFF2-40B4-BE49-F238E27FC236}">
                  <a16:creationId xmlns:a16="http://schemas.microsoft.com/office/drawing/2014/main" id="{0957D379-FB42-4415-98F3-58719C716A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43D7C4A" w14:textId="75300C18" w:rsidR="00430A79" w:rsidRPr="00430A79" w:rsidRDefault="00430A79" w:rsidP="006347D6">
      <w:pPr>
        <w:pStyle w:val="Figure"/>
        <w:rPr>
          <w:rFonts w:eastAsia="Calibri" w:cs="Calibri"/>
          <w:sz w:val="20"/>
          <w:szCs w:val="20"/>
        </w:rPr>
      </w:pPr>
      <w:bookmarkStart w:id="541" w:name="_Toc185866258"/>
      <w:bookmarkStart w:id="542" w:name="_Toc197472337"/>
      <w:r w:rsidRPr="00430A79">
        <w:rPr>
          <w:rFonts w:eastAsia="Calibri" w:cs="Calibri"/>
          <w:sz w:val="20"/>
          <w:szCs w:val="20"/>
        </w:rPr>
        <w:t xml:space="preserve">Figura </w:t>
      </w:r>
      <w:r w:rsidRPr="00430A79">
        <w:rPr>
          <w:rFonts w:eastAsia="Calibri" w:cs="Calibri"/>
          <w:sz w:val="20"/>
          <w:szCs w:val="20"/>
        </w:rPr>
        <w:fldChar w:fldCharType="begin"/>
      </w:r>
      <w:r w:rsidRPr="00430A79">
        <w:rPr>
          <w:rFonts w:eastAsia="Calibri" w:cs="Calibri"/>
          <w:sz w:val="20"/>
          <w:szCs w:val="20"/>
        </w:rPr>
        <w:instrText xml:space="preserve"> SEQ Figure \* ARABIC </w:instrText>
      </w:r>
      <w:r w:rsidRPr="00430A79">
        <w:rPr>
          <w:rFonts w:eastAsia="Calibri" w:cs="Calibri"/>
          <w:sz w:val="20"/>
          <w:szCs w:val="20"/>
        </w:rPr>
        <w:fldChar w:fldCharType="separate"/>
      </w:r>
      <w:r w:rsidR="00C97DF3">
        <w:rPr>
          <w:rFonts w:eastAsia="Calibri" w:cs="Calibri"/>
          <w:noProof/>
          <w:sz w:val="20"/>
          <w:szCs w:val="20"/>
        </w:rPr>
        <w:t xml:space="preserve">36. </w:t>
      </w:r>
      <w:r w:rsidRPr="00430A79">
        <w:rPr>
          <w:rFonts w:eastAsia="Calibri" w:cs="Calibri"/>
          <w:sz w:val="20"/>
          <w:szCs w:val="20"/>
        </w:rPr>
        <w:fldChar w:fldCharType="end"/>
      </w:r>
      <w:r w:rsidRPr="00430A79">
        <w:rPr>
          <w:rFonts w:eastAsia="Calibri" w:cs="Calibri"/>
          <w:sz w:val="20"/>
          <w:szCs w:val="20"/>
        </w:rPr>
        <w:t>Kostot vjetore për njësi për ton mbet</w:t>
      </w:r>
      <w:r w:rsidR="00F10E36">
        <w:rPr>
          <w:rFonts w:eastAsia="Calibri" w:cs="Calibri"/>
          <w:sz w:val="20"/>
          <w:szCs w:val="20"/>
        </w:rPr>
        <w:t>urina</w:t>
      </w:r>
      <w:r w:rsidRPr="00430A79">
        <w:rPr>
          <w:rFonts w:eastAsia="Calibri" w:cs="Calibri"/>
          <w:sz w:val="20"/>
          <w:szCs w:val="20"/>
        </w:rPr>
        <w:t xml:space="preserve"> të gjeneruara</w:t>
      </w:r>
      <w:bookmarkEnd w:id="541"/>
      <w:bookmarkEnd w:id="542"/>
    </w:p>
    <w:p w14:paraId="25D6118E" w14:textId="77777777" w:rsidR="00430A79" w:rsidRPr="00430A79" w:rsidRDefault="00430A79" w:rsidP="00430A79">
      <w:pPr>
        <w:rPr>
          <w:rFonts w:ascii="Arial Narrow" w:hAnsi="Arial Narrow"/>
        </w:rPr>
      </w:pPr>
    </w:p>
    <w:p w14:paraId="7819ADD9" w14:textId="77777777" w:rsidR="00F10E36" w:rsidRPr="00BE2534" w:rsidRDefault="00F10E36" w:rsidP="00F10E36">
      <w:pPr>
        <w:rPr>
          <w:rFonts w:ascii="Arial Narrow" w:hAnsi="Arial Narrow"/>
          <w:sz w:val="22"/>
          <w:szCs w:val="22"/>
          <w:lang w:val="sq-AL"/>
        </w:rPr>
      </w:pPr>
      <w:r w:rsidRPr="00BE2534">
        <w:rPr>
          <w:rFonts w:ascii="Arial Narrow" w:hAnsi="Arial Narrow"/>
          <w:sz w:val="22"/>
          <w:szCs w:val="22"/>
          <w:lang w:val="sq-AL"/>
        </w:rPr>
        <w:t>Kostot mesatare me ulje për njësi gjatë periudhës së planifikimit për ton mbeturina të gjeneruara janë paraqitur në tabelën e mëposhtme.</w:t>
      </w:r>
    </w:p>
    <w:p w14:paraId="71EA8CBB" w14:textId="77777777" w:rsidR="00430A79" w:rsidRPr="001B756B" w:rsidRDefault="00430A79" w:rsidP="00430A79">
      <w:pPr>
        <w:rPr>
          <w:rFonts w:ascii="Arial Narrow" w:hAnsi="Arial Narrow"/>
          <w:sz w:val="22"/>
          <w:szCs w:val="22"/>
        </w:rPr>
      </w:pPr>
    </w:p>
    <w:p w14:paraId="4E25CB95" w14:textId="00AF9059" w:rsidR="00430A79" w:rsidRPr="009F5CA1" w:rsidRDefault="00430A79" w:rsidP="00430A79">
      <w:pPr>
        <w:spacing w:after="120"/>
        <w:jc w:val="both"/>
        <w:rPr>
          <w:rFonts w:ascii="Arial Narrow" w:eastAsia="Calibri" w:hAnsi="Arial Narrow" w:cs="Calibri"/>
          <w:color w:val="1F497D"/>
          <w:sz w:val="20"/>
          <w:szCs w:val="20"/>
        </w:rPr>
      </w:pPr>
      <w:bookmarkStart w:id="543" w:name="_Toc185866238"/>
      <w:bookmarkStart w:id="544" w:name="_Toc197472267"/>
      <w:r w:rsidRPr="009F5CA1">
        <w:rPr>
          <w:rFonts w:ascii="Arial Narrow" w:eastAsia="Calibri" w:hAnsi="Arial Narrow" w:cs="Calibri"/>
          <w:color w:val="1F497D"/>
          <w:sz w:val="20"/>
          <w:szCs w:val="20"/>
        </w:rPr>
        <w:t xml:space="preserve">Tabela </w:t>
      </w:r>
      <w:r w:rsidRPr="00430A79">
        <w:rPr>
          <w:rFonts w:ascii="Arial Narrow" w:eastAsia="Calibri" w:hAnsi="Arial Narrow" w:cs="Calibri"/>
          <w:color w:val="1F497D"/>
          <w:sz w:val="20"/>
          <w:szCs w:val="20"/>
          <w:lang w:val="en-GB"/>
        </w:rPr>
        <w:fldChar w:fldCharType="begin"/>
      </w:r>
      <w:r w:rsidRPr="009F5CA1">
        <w:rPr>
          <w:rFonts w:ascii="Arial Narrow" w:eastAsia="Calibri" w:hAnsi="Arial Narrow" w:cs="Calibri"/>
          <w:color w:val="1F497D"/>
          <w:sz w:val="20"/>
          <w:szCs w:val="20"/>
        </w:rPr>
        <w:instrText xml:space="preserve"> SEQ Table \* ARABIC </w:instrText>
      </w:r>
      <w:r w:rsidRPr="00430A79">
        <w:rPr>
          <w:rFonts w:ascii="Arial Narrow" w:eastAsia="Calibri" w:hAnsi="Arial Narrow" w:cs="Calibri"/>
          <w:color w:val="1F497D"/>
          <w:sz w:val="20"/>
          <w:szCs w:val="20"/>
          <w:lang w:val="en-GB"/>
        </w:rPr>
        <w:fldChar w:fldCharType="separate"/>
      </w:r>
      <w:r w:rsidR="00C97DF3" w:rsidRPr="009F5CA1">
        <w:rPr>
          <w:rFonts w:ascii="Arial Narrow" w:eastAsia="Calibri" w:hAnsi="Arial Narrow" w:cs="Calibri"/>
          <w:noProof/>
          <w:color w:val="1F497D"/>
          <w:sz w:val="20"/>
          <w:szCs w:val="20"/>
        </w:rPr>
        <w:t xml:space="preserve">82. </w:t>
      </w:r>
      <w:r w:rsidRPr="00430A79">
        <w:rPr>
          <w:rFonts w:ascii="Arial Narrow" w:eastAsia="Calibri" w:hAnsi="Arial Narrow" w:cs="Calibri"/>
          <w:color w:val="1F497D"/>
          <w:sz w:val="20"/>
          <w:szCs w:val="20"/>
          <w:lang w:val="en-GB"/>
        </w:rPr>
        <w:fldChar w:fldCharType="end"/>
      </w:r>
      <w:r w:rsidRPr="009F5CA1">
        <w:rPr>
          <w:rFonts w:ascii="Arial Narrow" w:eastAsia="Calibri" w:hAnsi="Arial Narrow" w:cs="Calibri"/>
          <w:color w:val="1F497D"/>
          <w:sz w:val="20"/>
          <w:szCs w:val="20"/>
        </w:rPr>
        <w:t>Kostot e zbritura për njësi për sistemin e integruar të menaxhimit të mbet</w:t>
      </w:r>
      <w:r w:rsidR="0030347F" w:rsidRPr="009F5CA1">
        <w:rPr>
          <w:rFonts w:ascii="Arial Narrow" w:eastAsia="Calibri" w:hAnsi="Arial Narrow" w:cs="Calibri"/>
          <w:color w:val="1F497D"/>
          <w:sz w:val="20"/>
          <w:szCs w:val="20"/>
        </w:rPr>
        <w:t>urinave</w:t>
      </w:r>
      <w:r w:rsidRPr="009F5CA1">
        <w:rPr>
          <w:rFonts w:ascii="Arial Narrow" w:eastAsia="Calibri" w:hAnsi="Arial Narrow" w:cs="Calibri"/>
          <w:color w:val="1F497D"/>
          <w:sz w:val="20"/>
          <w:szCs w:val="20"/>
        </w:rPr>
        <w:t xml:space="preserve"> për ton mbet</w:t>
      </w:r>
      <w:r w:rsidR="0030347F" w:rsidRPr="009F5CA1">
        <w:rPr>
          <w:rFonts w:ascii="Arial Narrow" w:eastAsia="Calibri" w:hAnsi="Arial Narrow" w:cs="Calibri"/>
          <w:color w:val="1F497D"/>
          <w:sz w:val="20"/>
          <w:szCs w:val="20"/>
        </w:rPr>
        <w:t>urina</w:t>
      </w:r>
      <w:r w:rsidRPr="009F5CA1">
        <w:rPr>
          <w:rFonts w:ascii="Arial Narrow" w:eastAsia="Calibri" w:hAnsi="Arial Narrow" w:cs="Calibri"/>
          <w:color w:val="1F497D"/>
          <w:sz w:val="20"/>
          <w:szCs w:val="20"/>
        </w:rPr>
        <w:t xml:space="preserve"> të gjeneruara, </w:t>
      </w:r>
      <w:r w:rsidRPr="009F5CA1">
        <w:rPr>
          <w:rFonts w:ascii="Calibri" w:eastAsia="Calibri" w:hAnsi="Calibri" w:cs="Calibri"/>
          <w:color w:val="1F497D"/>
          <w:sz w:val="20"/>
          <w:szCs w:val="20"/>
        </w:rPr>
        <w:t xml:space="preserve">€ </w:t>
      </w:r>
      <w:r w:rsidRPr="009F5CA1">
        <w:rPr>
          <w:rFonts w:ascii="Arial Narrow" w:eastAsia="Calibri" w:hAnsi="Arial Narrow" w:cs="Calibri"/>
          <w:color w:val="1F497D"/>
          <w:sz w:val="20"/>
          <w:szCs w:val="20"/>
        </w:rPr>
        <w:t>/ton</w:t>
      </w:r>
      <w:bookmarkEnd w:id="543"/>
      <w:bookmarkEnd w:id="544"/>
    </w:p>
    <w:tbl>
      <w:tblPr>
        <w:tblW w:w="5000" w:type="pct"/>
        <w:tblLook w:val="04A0" w:firstRow="1" w:lastRow="0" w:firstColumn="1" w:lastColumn="0" w:noHBand="0" w:noVBand="1"/>
      </w:tblPr>
      <w:tblGrid>
        <w:gridCol w:w="3415"/>
        <w:gridCol w:w="900"/>
        <w:gridCol w:w="990"/>
        <w:gridCol w:w="900"/>
        <w:gridCol w:w="900"/>
        <w:gridCol w:w="923"/>
        <w:gridCol w:w="988"/>
      </w:tblGrid>
      <w:tr w:rsidR="00430A79" w:rsidRPr="00B94B76" w14:paraId="56BBAD22" w14:textId="77777777" w:rsidTr="00750949">
        <w:trPr>
          <w:trHeight w:val="312"/>
          <w:tblHeader/>
        </w:trPr>
        <w:tc>
          <w:tcPr>
            <w:tcW w:w="1894" w:type="pct"/>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1AFFF177" w14:textId="77777777" w:rsidR="00430A79" w:rsidRPr="00B94B76" w:rsidRDefault="00430A79" w:rsidP="00430A79">
            <w:pPr>
              <w:rPr>
                <w:rFonts w:ascii="Arial Narrow" w:hAnsi="Arial Narrow"/>
                <w:b/>
                <w:bCs/>
                <w:color w:val="FFFFFF" w:themeColor="background1"/>
                <w:sz w:val="20"/>
                <w:szCs w:val="20"/>
              </w:rPr>
            </w:pPr>
            <w:r w:rsidRPr="00B94B76">
              <w:rPr>
                <w:rFonts w:ascii="Arial Narrow" w:hAnsi="Arial Narrow"/>
                <w:b/>
                <w:bCs/>
                <w:color w:val="FFFFFF" w:themeColor="background1"/>
                <w:sz w:val="20"/>
                <w:szCs w:val="20"/>
              </w:rPr>
              <w:t>Parametri</w:t>
            </w:r>
          </w:p>
        </w:tc>
        <w:tc>
          <w:tcPr>
            <w:tcW w:w="499" w:type="pct"/>
            <w:tcBorders>
              <w:top w:val="single" w:sz="4" w:space="0" w:color="auto"/>
              <w:left w:val="nil"/>
              <w:bottom w:val="single" w:sz="4" w:space="0" w:color="auto"/>
              <w:right w:val="single" w:sz="4" w:space="0" w:color="auto"/>
            </w:tcBorders>
            <w:shd w:val="clear" w:color="auto" w:fill="365F91"/>
            <w:noWrap/>
            <w:vAlign w:val="bottom"/>
            <w:hideMark/>
          </w:tcPr>
          <w:p w14:paraId="67DF3001" w14:textId="77777777" w:rsidR="00430A79" w:rsidRPr="00B94B76" w:rsidRDefault="00430A79" w:rsidP="00430A79">
            <w:pPr>
              <w:rPr>
                <w:rFonts w:ascii="Arial Narrow" w:hAnsi="Arial Narrow"/>
                <w:b/>
                <w:bCs/>
                <w:color w:val="FFFFFF" w:themeColor="background1"/>
                <w:sz w:val="20"/>
                <w:szCs w:val="20"/>
              </w:rPr>
            </w:pPr>
            <w:r w:rsidRPr="00B94B76">
              <w:rPr>
                <w:rFonts w:ascii="Arial Narrow" w:hAnsi="Arial Narrow"/>
                <w:b/>
                <w:bCs/>
                <w:color w:val="FFFFFF" w:themeColor="background1"/>
                <w:sz w:val="20"/>
                <w:szCs w:val="20"/>
              </w:rPr>
              <w:t>Pejë</w:t>
            </w:r>
          </w:p>
        </w:tc>
        <w:tc>
          <w:tcPr>
            <w:tcW w:w="549" w:type="pct"/>
            <w:tcBorders>
              <w:top w:val="single" w:sz="4" w:space="0" w:color="auto"/>
              <w:left w:val="nil"/>
              <w:bottom w:val="single" w:sz="4" w:space="0" w:color="auto"/>
              <w:right w:val="single" w:sz="4" w:space="0" w:color="auto"/>
            </w:tcBorders>
            <w:shd w:val="clear" w:color="auto" w:fill="365F91"/>
            <w:noWrap/>
            <w:vAlign w:val="bottom"/>
            <w:hideMark/>
          </w:tcPr>
          <w:p w14:paraId="78418507" w14:textId="77777777" w:rsidR="00430A79" w:rsidRPr="00B94B76" w:rsidRDefault="00430A79" w:rsidP="00430A79">
            <w:pPr>
              <w:rPr>
                <w:rFonts w:ascii="Arial Narrow" w:hAnsi="Arial Narrow"/>
                <w:b/>
                <w:bCs/>
                <w:color w:val="FFFFFF" w:themeColor="background1"/>
                <w:sz w:val="20"/>
                <w:szCs w:val="20"/>
              </w:rPr>
            </w:pPr>
            <w:r w:rsidRPr="00B94B76">
              <w:rPr>
                <w:rFonts w:ascii="Arial Narrow" w:hAnsi="Arial Narrow"/>
                <w:b/>
                <w:bCs/>
                <w:color w:val="FFFFFF" w:themeColor="background1"/>
                <w:sz w:val="20"/>
                <w:szCs w:val="20"/>
              </w:rPr>
              <w:t>Istog</w:t>
            </w:r>
          </w:p>
        </w:tc>
        <w:tc>
          <w:tcPr>
            <w:tcW w:w="499" w:type="pct"/>
            <w:tcBorders>
              <w:top w:val="single" w:sz="4" w:space="0" w:color="auto"/>
              <w:left w:val="nil"/>
              <w:bottom w:val="single" w:sz="4" w:space="0" w:color="auto"/>
              <w:right w:val="single" w:sz="4" w:space="0" w:color="auto"/>
            </w:tcBorders>
            <w:shd w:val="clear" w:color="auto" w:fill="365F91"/>
            <w:noWrap/>
            <w:vAlign w:val="bottom"/>
            <w:hideMark/>
          </w:tcPr>
          <w:p w14:paraId="0499689D" w14:textId="77777777" w:rsidR="00430A79" w:rsidRPr="00B94B76" w:rsidRDefault="00430A79" w:rsidP="00430A79">
            <w:pPr>
              <w:rPr>
                <w:rFonts w:ascii="Arial Narrow" w:hAnsi="Arial Narrow"/>
                <w:b/>
                <w:bCs/>
                <w:color w:val="FFFFFF" w:themeColor="background1"/>
                <w:sz w:val="20"/>
                <w:szCs w:val="20"/>
              </w:rPr>
            </w:pPr>
            <w:r w:rsidRPr="00B94B76">
              <w:rPr>
                <w:rFonts w:ascii="Arial Narrow" w:hAnsi="Arial Narrow"/>
                <w:b/>
                <w:bCs/>
                <w:color w:val="FFFFFF" w:themeColor="background1"/>
                <w:sz w:val="20"/>
                <w:szCs w:val="20"/>
              </w:rPr>
              <w:t>Klinë</w:t>
            </w:r>
          </w:p>
        </w:tc>
        <w:tc>
          <w:tcPr>
            <w:tcW w:w="499" w:type="pct"/>
            <w:tcBorders>
              <w:top w:val="single" w:sz="4" w:space="0" w:color="auto"/>
              <w:left w:val="nil"/>
              <w:bottom w:val="single" w:sz="4" w:space="0" w:color="auto"/>
              <w:right w:val="single" w:sz="4" w:space="0" w:color="auto"/>
            </w:tcBorders>
            <w:shd w:val="clear" w:color="auto" w:fill="365F91"/>
            <w:noWrap/>
            <w:vAlign w:val="bottom"/>
            <w:hideMark/>
          </w:tcPr>
          <w:p w14:paraId="0C4F074F" w14:textId="77777777" w:rsidR="00430A79" w:rsidRPr="00B94B76" w:rsidRDefault="00430A79" w:rsidP="00430A79">
            <w:pPr>
              <w:rPr>
                <w:rFonts w:ascii="Arial Narrow" w:hAnsi="Arial Narrow"/>
                <w:b/>
                <w:bCs/>
                <w:color w:val="FFFFFF" w:themeColor="background1"/>
                <w:sz w:val="20"/>
                <w:szCs w:val="20"/>
              </w:rPr>
            </w:pPr>
            <w:r w:rsidRPr="00B94B76">
              <w:rPr>
                <w:rFonts w:ascii="Arial Narrow" w:hAnsi="Arial Narrow"/>
                <w:b/>
                <w:bCs/>
                <w:color w:val="FFFFFF" w:themeColor="background1"/>
                <w:sz w:val="20"/>
                <w:szCs w:val="20"/>
              </w:rPr>
              <w:t>Deçan</w:t>
            </w:r>
          </w:p>
        </w:tc>
        <w:tc>
          <w:tcPr>
            <w:tcW w:w="512" w:type="pct"/>
            <w:tcBorders>
              <w:top w:val="single" w:sz="4" w:space="0" w:color="auto"/>
              <w:left w:val="nil"/>
              <w:bottom w:val="single" w:sz="4" w:space="0" w:color="auto"/>
              <w:right w:val="single" w:sz="4" w:space="0" w:color="auto"/>
            </w:tcBorders>
            <w:shd w:val="clear" w:color="auto" w:fill="365F91"/>
            <w:noWrap/>
            <w:vAlign w:val="bottom"/>
            <w:hideMark/>
          </w:tcPr>
          <w:p w14:paraId="4ED824FC" w14:textId="77777777" w:rsidR="00430A79" w:rsidRPr="00B94B76" w:rsidRDefault="00430A79" w:rsidP="00430A79">
            <w:pPr>
              <w:rPr>
                <w:rFonts w:ascii="Arial Narrow" w:hAnsi="Arial Narrow"/>
                <w:b/>
                <w:bCs/>
                <w:color w:val="FFFFFF" w:themeColor="background1"/>
                <w:sz w:val="20"/>
                <w:szCs w:val="20"/>
              </w:rPr>
            </w:pPr>
            <w:r w:rsidRPr="00B94B76">
              <w:rPr>
                <w:rFonts w:ascii="Arial Narrow" w:hAnsi="Arial Narrow"/>
                <w:b/>
                <w:bCs/>
                <w:color w:val="FFFFFF" w:themeColor="background1"/>
                <w:sz w:val="20"/>
                <w:szCs w:val="20"/>
              </w:rPr>
              <w:t>Junik</w:t>
            </w:r>
          </w:p>
        </w:tc>
        <w:tc>
          <w:tcPr>
            <w:tcW w:w="548" w:type="pct"/>
            <w:tcBorders>
              <w:top w:val="single" w:sz="4" w:space="0" w:color="auto"/>
              <w:left w:val="nil"/>
              <w:bottom w:val="single" w:sz="4" w:space="0" w:color="auto"/>
              <w:right w:val="single" w:sz="4" w:space="0" w:color="auto"/>
            </w:tcBorders>
            <w:shd w:val="clear" w:color="auto" w:fill="365F91"/>
            <w:noWrap/>
            <w:vAlign w:val="bottom"/>
            <w:hideMark/>
          </w:tcPr>
          <w:p w14:paraId="550FB5BB" w14:textId="77777777" w:rsidR="00430A79" w:rsidRPr="00B94B76" w:rsidRDefault="00430A79" w:rsidP="00430A79">
            <w:pPr>
              <w:rPr>
                <w:rFonts w:ascii="Arial Narrow" w:hAnsi="Arial Narrow"/>
                <w:b/>
                <w:bCs/>
                <w:color w:val="FFFFFF" w:themeColor="background1"/>
                <w:sz w:val="20"/>
                <w:szCs w:val="20"/>
              </w:rPr>
            </w:pPr>
            <w:r w:rsidRPr="00B94B76">
              <w:rPr>
                <w:rFonts w:ascii="Arial Narrow" w:hAnsi="Arial Narrow"/>
                <w:b/>
                <w:bCs/>
                <w:color w:val="FFFFFF" w:themeColor="background1"/>
                <w:sz w:val="20"/>
                <w:szCs w:val="20"/>
              </w:rPr>
              <w:t>Mesatarja</w:t>
            </w:r>
          </w:p>
        </w:tc>
      </w:tr>
      <w:tr w:rsidR="00F10E36" w:rsidRPr="00B94B76" w14:paraId="6D349366" w14:textId="77777777" w:rsidTr="00D03949">
        <w:trPr>
          <w:trHeight w:val="312"/>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78EDE842" w14:textId="0E6BA0C8" w:rsidR="00F10E36" w:rsidRPr="00B94B76" w:rsidRDefault="00F10E36" w:rsidP="00F10E36">
            <w:pPr>
              <w:rPr>
                <w:rFonts w:ascii="Arial Narrow" w:hAnsi="Arial Narrow" w:cs="Calibri"/>
                <w:b/>
                <w:bCs/>
                <w:sz w:val="20"/>
                <w:szCs w:val="20"/>
              </w:rPr>
            </w:pPr>
            <w:r w:rsidRPr="00BE2534">
              <w:rPr>
                <w:rFonts w:ascii="Arial Narrow" w:hAnsi="Arial Narrow" w:cs="Calibri"/>
                <w:i/>
                <w:iCs/>
                <w:sz w:val="20"/>
                <w:szCs w:val="20"/>
                <w:lang w:val="sq-AL"/>
              </w:rPr>
              <w:t xml:space="preserve">Klasifikimi </w:t>
            </w:r>
            <w:r>
              <w:rPr>
                <w:rFonts w:ascii="Arial Narrow" w:hAnsi="Arial Narrow" w:cs="Calibri"/>
                <w:i/>
                <w:iCs/>
                <w:sz w:val="20"/>
                <w:szCs w:val="20"/>
                <w:lang w:val="sq-AL"/>
              </w:rPr>
              <w:t>ndaras</w:t>
            </w:r>
          </w:p>
        </w:tc>
        <w:tc>
          <w:tcPr>
            <w:tcW w:w="499" w:type="pct"/>
            <w:tcBorders>
              <w:top w:val="nil"/>
              <w:left w:val="nil"/>
              <w:bottom w:val="single" w:sz="4" w:space="0" w:color="auto"/>
              <w:right w:val="single" w:sz="4" w:space="0" w:color="auto"/>
            </w:tcBorders>
            <w:shd w:val="clear" w:color="auto" w:fill="auto"/>
            <w:noWrap/>
            <w:vAlign w:val="bottom"/>
            <w:hideMark/>
          </w:tcPr>
          <w:p w14:paraId="59F4364B" w14:textId="77777777" w:rsidR="00F10E36" w:rsidRPr="00B94B76" w:rsidRDefault="00F10E36" w:rsidP="00F10E36">
            <w:pPr>
              <w:rPr>
                <w:rFonts w:ascii="Arial Narrow" w:hAnsi="Arial Narrow" w:cs="Arial"/>
                <w:b/>
                <w:bCs/>
                <w:sz w:val="20"/>
                <w:szCs w:val="20"/>
              </w:rPr>
            </w:pPr>
          </w:p>
        </w:tc>
        <w:tc>
          <w:tcPr>
            <w:tcW w:w="549" w:type="pct"/>
            <w:tcBorders>
              <w:top w:val="nil"/>
              <w:left w:val="nil"/>
              <w:bottom w:val="single" w:sz="4" w:space="0" w:color="auto"/>
              <w:right w:val="single" w:sz="4" w:space="0" w:color="auto"/>
            </w:tcBorders>
            <w:shd w:val="clear" w:color="auto" w:fill="auto"/>
            <w:noWrap/>
            <w:vAlign w:val="bottom"/>
            <w:hideMark/>
          </w:tcPr>
          <w:p w14:paraId="08D3C114" w14:textId="77777777" w:rsidR="00F10E36" w:rsidRPr="00B94B76" w:rsidRDefault="00F10E36" w:rsidP="00F10E36">
            <w:pPr>
              <w:rPr>
                <w:rFonts w:ascii="Arial Narrow" w:hAnsi="Arial Narrow" w:cs="Arial"/>
                <w:b/>
                <w:bCs/>
                <w:sz w:val="20"/>
                <w:szCs w:val="20"/>
              </w:rPr>
            </w:pPr>
          </w:p>
        </w:tc>
        <w:tc>
          <w:tcPr>
            <w:tcW w:w="499" w:type="pct"/>
            <w:tcBorders>
              <w:top w:val="nil"/>
              <w:left w:val="nil"/>
              <w:bottom w:val="single" w:sz="4" w:space="0" w:color="auto"/>
              <w:right w:val="single" w:sz="4" w:space="0" w:color="auto"/>
            </w:tcBorders>
            <w:shd w:val="clear" w:color="auto" w:fill="auto"/>
            <w:noWrap/>
            <w:vAlign w:val="bottom"/>
            <w:hideMark/>
          </w:tcPr>
          <w:p w14:paraId="3EA2C9F9" w14:textId="77777777" w:rsidR="00F10E36" w:rsidRPr="00B94B76" w:rsidRDefault="00F10E36" w:rsidP="00F10E36">
            <w:pPr>
              <w:rPr>
                <w:rFonts w:ascii="Arial Narrow" w:hAnsi="Arial Narrow" w:cs="Arial"/>
                <w:b/>
                <w:bCs/>
                <w:sz w:val="20"/>
                <w:szCs w:val="20"/>
              </w:rPr>
            </w:pPr>
          </w:p>
        </w:tc>
        <w:tc>
          <w:tcPr>
            <w:tcW w:w="499" w:type="pct"/>
            <w:tcBorders>
              <w:top w:val="nil"/>
              <w:left w:val="nil"/>
              <w:bottom w:val="single" w:sz="4" w:space="0" w:color="auto"/>
              <w:right w:val="single" w:sz="4" w:space="0" w:color="auto"/>
            </w:tcBorders>
            <w:shd w:val="clear" w:color="auto" w:fill="auto"/>
            <w:noWrap/>
            <w:vAlign w:val="bottom"/>
            <w:hideMark/>
          </w:tcPr>
          <w:p w14:paraId="062B27A8" w14:textId="77777777" w:rsidR="00F10E36" w:rsidRPr="00B94B76" w:rsidRDefault="00F10E36" w:rsidP="00F10E36">
            <w:pPr>
              <w:rPr>
                <w:rFonts w:ascii="Arial Narrow" w:hAnsi="Arial Narrow" w:cs="Arial"/>
                <w:b/>
                <w:bCs/>
                <w:sz w:val="20"/>
                <w:szCs w:val="20"/>
              </w:rPr>
            </w:pPr>
          </w:p>
        </w:tc>
        <w:tc>
          <w:tcPr>
            <w:tcW w:w="512" w:type="pct"/>
            <w:tcBorders>
              <w:top w:val="nil"/>
              <w:left w:val="nil"/>
              <w:bottom w:val="single" w:sz="4" w:space="0" w:color="auto"/>
              <w:right w:val="single" w:sz="4" w:space="0" w:color="auto"/>
            </w:tcBorders>
            <w:shd w:val="clear" w:color="auto" w:fill="auto"/>
            <w:noWrap/>
            <w:vAlign w:val="bottom"/>
            <w:hideMark/>
          </w:tcPr>
          <w:p w14:paraId="409D1579" w14:textId="77777777" w:rsidR="00F10E36" w:rsidRPr="00B94B76" w:rsidRDefault="00F10E36" w:rsidP="00F10E36">
            <w:pPr>
              <w:rPr>
                <w:rFonts w:ascii="Arial Narrow" w:hAnsi="Arial Narrow" w:cs="Arial"/>
                <w:b/>
                <w:bCs/>
                <w:sz w:val="20"/>
                <w:szCs w:val="20"/>
              </w:rPr>
            </w:pPr>
          </w:p>
        </w:tc>
        <w:tc>
          <w:tcPr>
            <w:tcW w:w="548" w:type="pct"/>
            <w:tcBorders>
              <w:top w:val="nil"/>
              <w:left w:val="nil"/>
              <w:bottom w:val="single" w:sz="4" w:space="0" w:color="auto"/>
              <w:right w:val="single" w:sz="4" w:space="0" w:color="auto"/>
            </w:tcBorders>
            <w:shd w:val="clear" w:color="auto" w:fill="auto"/>
            <w:noWrap/>
            <w:vAlign w:val="bottom"/>
            <w:hideMark/>
          </w:tcPr>
          <w:p w14:paraId="654D9AB2" w14:textId="77777777" w:rsidR="00F10E36" w:rsidRPr="00B94B76" w:rsidRDefault="00F10E36" w:rsidP="00F10E36">
            <w:pPr>
              <w:rPr>
                <w:rFonts w:ascii="Arial Narrow" w:hAnsi="Arial Narrow" w:cs="Arial"/>
                <w:b/>
                <w:bCs/>
                <w:sz w:val="20"/>
                <w:szCs w:val="20"/>
              </w:rPr>
            </w:pPr>
          </w:p>
        </w:tc>
      </w:tr>
      <w:tr w:rsidR="00F10E36" w:rsidRPr="00B94B76" w14:paraId="0E37B769"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1507B01C" w14:textId="771FA17E" w:rsidR="00F10E36" w:rsidRPr="00B94B76" w:rsidRDefault="00F10E36" w:rsidP="00F10E36">
            <w:pPr>
              <w:rPr>
                <w:rFonts w:ascii="Arial Narrow" w:hAnsi="Arial Narrow" w:cs="Calibri"/>
                <w:sz w:val="20"/>
                <w:szCs w:val="20"/>
              </w:rPr>
            </w:pPr>
            <w:r w:rsidRPr="00BE2534">
              <w:rPr>
                <w:rFonts w:ascii="Arial Narrow" w:hAnsi="Arial Narrow" w:cs="Calibri"/>
                <w:sz w:val="20"/>
                <w:szCs w:val="20"/>
                <w:lang w:val="sq-AL"/>
              </w:rPr>
              <w:t>Kostot investive</w:t>
            </w:r>
          </w:p>
        </w:tc>
        <w:tc>
          <w:tcPr>
            <w:tcW w:w="499" w:type="pct"/>
            <w:tcBorders>
              <w:top w:val="nil"/>
              <w:left w:val="nil"/>
              <w:bottom w:val="single" w:sz="4" w:space="0" w:color="auto"/>
              <w:right w:val="single" w:sz="4" w:space="0" w:color="auto"/>
            </w:tcBorders>
            <w:shd w:val="clear" w:color="auto" w:fill="auto"/>
            <w:noWrap/>
            <w:vAlign w:val="bottom"/>
            <w:hideMark/>
          </w:tcPr>
          <w:p w14:paraId="62FBE5FB"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6.89</w:t>
            </w:r>
          </w:p>
        </w:tc>
        <w:tc>
          <w:tcPr>
            <w:tcW w:w="549" w:type="pct"/>
            <w:tcBorders>
              <w:top w:val="nil"/>
              <w:left w:val="nil"/>
              <w:bottom w:val="single" w:sz="4" w:space="0" w:color="auto"/>
              <w:right w:val="single" w:sz="4" w:space="0" w:color="auto"/>
            </w:tcBorders>
            <w:shd w:val="clear" w:color="auto" w:fill="auto"/>
            <w:noWrap/>
            <w:vAlign w:val="bottom"/>
            <w:hideMark/>
          </w:tcPr>
          <w:p w14:paraId="74B2B6C8"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7.51</w:t>
            </w:r>
          </w:p>
        </w:tc>
        <w:tc>
          <w:tcPr>
            <w:tcW w:w="499" w:type="pct"/>
            <w:tcBorders>
              <w:top w:val="nil"/>
              <w:left w:val="nil"/>
              <w:bottom w:val="single" w:sz="4" w:space="0" w:color="auto"/>
              <w:right w:val="single" w:sz="4" w:space="0" w:color="auto"/>
            </w:tcBorders>
            <w:shd w:val="clear" w:color="auto" w:fill="auto"/>
            <w:noWrap/>
            <w:vAlign w:val="bottom"/>
            <w:hideMark/>
          </w:tcPr>
          <w:p w14:paraId="071B0661"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11.18</w:t>
            </w:r>
          </w:p>
        </w:tc>
        <w:tc>
          <w:tcPr>
            <w:tcW w:w="499" w:type="pct"/>
            <w:tcBorders>
              <w:top w:val="nil"/>
              <w:left w:val="nil"/>
              <w:bottom w:val="single" w:sz="4" w:space="0" w:color="auto"/>
              <w:right w:val="single" w:sz="4" w:space="0" w:color="auto"/>
            </w:tcBorders>
            <w:shd w:val="clear" w:color="auto" w:fill="auto"/>
            <w:noWrap/>
            <w:vAlign w:val="bottom"/>
            <w:hideMark/>
          </w:tcPr>
          <w:p w14:paraId="32D0641F"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11.05</w:t>
            </w:r>
          </w:p>
        </w:tc>
        <w:tc>
          <w:tcPr>
            <w:tcW w:w="512" w:type="pct"/>
            <w:tcBorders>
              <w:top w:val="nil"/>
              <w:left w:val="nil"/>
              <w:bottom w:val="single" w:sz="4" w:space="0" w:color="auto"/>
              <w:right w:val="single" w:sz="4" w:space="0" w:color="auto"/>
            </w:tcBorders>
            <w:shd w:val="clear" w:color="auto" w:fill="auto"/>
            <w:noWrap/>
            <w:vAlign w:val="bottom"/>
            <w:hideMark/>
          </w:tcPr>
          <w:p w14:paraId="7F9DCB88"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12.85</w:t>
            </w:r>
          </w:p>
        </w:tc>
        <w:tc>
          <w:tcPr>
            <w:tcW w:w="548" w:type="pct"/>
            <w:tcBorders>
              <w:top w:val="nil"/>
              <w:left w:val="nil"/>
              <w:bottom w:val="single" w:sz="4" w:space="0" w:color="auto"/>
              <w:right w:val="single" w:sz="4" w:space="0" w:color="auto"/>
            </w:tcBorders>
            <w:shd w:val="clear" w:color="auto" w:fill="auto"/>
            <w:noWrap/>
            <w:vAlign w:val="bottom"/>
            <w:hideMark/>
          </w:tcPr>
          <w:p w14:paraId="63960B2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8.06</w:t>
            </w:r>
          </w:p>
        </w:tc>
      </w:tr>
      <w:tr w:rsidR="00F10E36" w:rsidRPr="00B94B76" w14:paraId="117FE61C"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0A83E681" w14:textId="332FBF5D" w:rsidR="00F10E36" w:rsidRPr="00B94B76" w:rsidRDefault="00F10E36" w:rsidP="00F10E36">
            <w:pPr>
              <w:rPr>
                <w:rFonts w:ascii="Arial Narrow" w:hAnsi="Arial Narrow" w:cs="Calibri"/>
                <w:sz w:val="20"/>
                <w:szCs w:val="20"/>
              </w:rPr>
            </w:pPr>
            <w:r w:rsidRPr="00BE2534">
              <w:rPr>
                <w:rFonts w:ascii="Arial Narrow" w:hAnsi="Arial Narrow" w:cs="Calibri"/>
                <w:sz w:val="20"/>
                <w:szCs w:val="20"/>
                <w:lang w:val="sq-AL"/>
              </w:rPr>
              <w:t>Kostot operacionale</w:t>
            </w:r>
          </w:p>
        </w:tc>
        <w:tc>
          <w:tcPr>
            <w:tcW w:w="499" w:type="pct"/>
            <w:tcBorders>
              <w:top w:val="nil"/>
              <w:left w:val="nil"/>
              <w:bottom w:val="single" w:sz="4" w:space="0" w:color="auto"/>
              <w:right w:val="single" w:sz="4" w:space="0" w:color="auto"/>
            </w:tcBorders>
            <w:shd w:val="clear" w:color="auto" w:fill="auto"/>
            <w:noWrap/>
            <w:vAlign w:val="bottom"/>
            <w:hideMark/>
          </w:tcPr>
          <w:p w14:paraId="012E8E8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10.00</w:t>
            </w:r>
          </w:p>
        </w:tc>
        <w:tc>
          <w:tcPr>
            <w:tcW w:w="549" w:type="pct"/>
            <w:tcBorders>
              <w:top w:val="nil"/>
              <w:left w:val="nil"/>
              <w:bottom w:val="single" w:sz="4" w:space="0" w:color="auto"/>
              <w:right w:val="single" w:sz="4" w:space="0" w:color="auto"/>
            </w:tcBorders>
            <w:shd w:val="clear" w:color="auto" w:fill="auto"/>
            <w:noWrap/>
            <w:vAlign w:val="bottom"/>
            <w:hideMark/>
          </w:tcPr>
          <w:p w14:paraId="721F66B9"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14.89</w:t>
            </w:r>
          </w:p>
        </w:tc>
        <w:tc>
          <w:tcPr>
            <w:tcW w:w="499" w:type="pct"/>
            <w:tcBorders>
              <w:top w:val="nil"/>
              <w:left w:val="nil"/>
              <w:bottom w:val="single" w:sz="4" w:space="0" w:color="auto"/>
              <w:right w:val="single" w:sz="4" w:space="0" w:color="auto"/>
            </w:tcBorders>
            <w:shd w:val="clear" w:color="auto" w:fill="auto"/>
            <w:noWrap/>
            <w:vAlign w:val="bottom"/>
            <w:hideMark/>
          </w:tcPr>
          <w:p w14:paraId="39B4CD8E"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12.57</w:t>
            </w:r>
          </w:p>
        </w:tc>
        <w:tc>
          <w:tcPr>
            <w:tcW w:w="499" w:type="pct"/>
            <w:tcBorders>
              <w:top w:val="nil"/>
              <w:left w:val="nil"/>
              <w:bottom w:val="single" w:sz="4" w:space="0" w:color="auto"/>
              <w:right w:val="single" w:sz="4" w:space="0" w:color="auto"/>
            </w:tcBorders>
            <w:shd w:val="clear" w:color="auto" w:fill="auto"/>
            <w:noWrap/>
            <w:vAlign w:val="bottom"/>
            <w:hideMark/>
          </w:tcPr>
          <w:p w14:paraId="683E99D3"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13.46</w:t>
            </w:r>
          </w:p>
        </w:tc>
        <w:tc>
          <w:tcPr>
            <w:tcW w:w="512" w:type="pct"/>
            <w:tcBorders>
              <w:top w:val="nil"/>
              <w:left w:val="nil"/>
              <w:bottom w:val="single" w:sz="4" w:space="0" w:color="auto"/>
              <w:right w:val="single" w:sz="4" w:space="0" w:color="auto"/>
            </w:tcBorders>
            <w:shd w:val="clear" w:color="auto" w:fill="auto"/>
            <w:noWrap/>
            <w:vAlign w:val="bottom"/>
            <w:hideMark/>
          </w:tcPr>
          <w:p w14:paraId="44A01A4E"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19.94</w:t>
            </w:r>
          </w:p>
        </w:tc>
        <w:tc>
          <w:tcPr>
            <w:tcW w:w="548" w:type="pct"/>
            <w:tcBorders>
              <w:top w:val="nil"/>
              <w:left w:val="nil"/>
              <w:bottom w:val="single" w:sz="4" w:space="0" w:color="auto"/>
              <w:right w:val="single" w:sz="4" w:space="0" w:color="auto"/>
            </w:tcBorders>
            <w:shd w:val="clear" w:color="auto" w:fill="auto"/>
            <w:noWrap/>
            <w:vAlign w:val="bottom"/>
            <w:hideMark/>
          </w:tcPr>
          <w:p w14:paraId="4D1DF655"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11.70</w:t>
            </w:r>
          </w:p>
        </w:tc>
      </w:tr>
      <w:tr w:rsidR="00F10E36" w:rsidRPr="00B94B76" w14:paraId="4A9907C9"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72AB81BB" w14:textId="5BE00E35" w:rsidR="00F10E36" w:rsidRPr="00B94B76" w:rsidRDefault="00F10E36" w:rsidP="00F10E36">
            <w:pPr>
              <w:rPr>
                <w:rFonts w:ascii="Arial Narrow" w:hAnsi="Arial Narrow" w:cs="Calibri"/>
                <w:i/>
                <w:iCs/>
                <w:sz w:val="20"/>
                <w:szCs w:val="20"/>
              </w:rPr>
            </w:pPr>
            <w:r w:rsidRPr="00BE2534">
              <w:rPr>
                <w:rFonts w:ascii="Arial Narrow" w:hAnsi="Arial Narrow" w:cs="Calibri"/>
                <w:i/>
                <w:iCs/>
                <w:sz w:val="20"/>
                <w:szCs w:val="20"/>
                <w:lang w:val="sq-AL"/>
              </w:rPr>
              <w:t xml:space="preserve">Kostot totale të mbledhjes </w:t>
            </w:r>
            <w:r>
              <w:rPr>
                <w:rFonts w:ascii="Arial Narrow" w:hAnsi="Arial Narrow" w:cs="Calibri"/>
                <w:i/>
                <w:iCs/>
                <w:sz w:val="20"/>
                <w:szCs w:val="20"/>
                <w:lang w:val="sq-AL"/>
              </w:rPr>
              <w:t>ndaras</w:t>
            </w:r>
          </w:p>
        </w:tc>
        <w:tc>
          <w:tcPr>
            <w:tcW w:w="499" w:type="pct"/>
            <w:tcBorders>
              <w:top w:val="nil"/>
              <w:left w:val="nil"/>
              <w:bottom w:val="single" w:sz="4" w:space="0" w:color="auto"/>
              <w:right w:val="single" w:sz="4" w:space="0" w:color="auto"/>
            </w:tcBorders>
            <w:shd w:val="clear" w:color="auto" w:fill="auto"/>
            <w:noWrap/>
            <w:vAlign w:val="bottom"/>
            <w:hideMark/>
          </w:tcPr>
          <w:p w14:paraId="389CE0AA"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16.88</w:t>
            </w:r>
          </w:p>
        </w:tc>
        <w:tc>
          <w:tcPr>
            <w:tcW w:w="549" w:type="pct"/>
            <w:tcBorders>
              <w:top w:val="nil"/>
              <w:left w:val="nil"/>
              <w:bottom w:val="single" w:sz="4" w:space="0" w:color="auto"/>
              <w:right w:val="single" w:sz="4" w:space="0" w:color="auto"/>
            </w:tcBorders>
            <w:shd w:val="clear" w:color="auto" w:fill="auto"/>
            <w:noWrap/>
            <w:vAlign w:val="bottom"/>
            <w:hideMark/>
          </w:tcPr>
          <w:p w14:paraId="7563ABC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22.40</w:t>
            </w:r>
          </w:p>
        </w:tc>
        <w:tc>
          <w:tcPr>
            <w:tcW w:w="499" w:type="pct"/>
            <w:tcBorders>
              <w:top w:val="nil"/>
              <w:left w:val="nil"/>
              <w:bottom w:val="single" w:sz="4" w:space="0" w:color="auto"/>
              <w:right w:val="single" w:sz="4" w:space="0" w:color="auto"/>
            </w:tcBorders>
            <w:shd w:val="clear" w:color="auto" w:fill="auto"/>
            <w:noWrap/>
            <w:vAlign w:val="bottom"/>
            <w:hideMark/>
          </w:tcPr>
          <w:p w14:paraId="0BC2D3B5"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23.75</w:t>
            </w:r>
          </w:p>
        </w:tc>
        <w:tc>
          <w:tcPr>
            <w:tcW w:w="499" w:type="pct"/>
            <w:tcBorders>
              <w:top w:val="nil"/>
              <w:left w:val="nil"/>
              <w:bottom w:val="single" w:sz="4" w:space="0" w:color="auto"/>
              <w:right w:val="single" w:sz="4" w:space="0" w:color="auto"/>
            </w:tcBorders>
            <w:shd w:val="clear" w:color="auto" w:fill="auto"/>
            <w:noWrap/>
            <w:vAlign w:val="bottom"/>
            <w:hideMark/>
          </w:tcPr>
          <w:p w14:paraId="4C408086"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24.50</w:t>
            </w:r>
          </w:p>
        </w:tc>
        <w:tc>
          <w:tcPr>
            <w:tcW w:w="512" w:type="pct"/>
            <w:tcBorders>
              <w:top w:val="nil"/>
              <w:left w:val="nil"/>
              <w:bottom w:val="single" w:sz="4" w:space="0" w:color="auto"/>
              <w:right w:val="single" w:sz="4" w:space="0" w:color="auto"/>
            </w:tcBorders>
            <w:shd w:val="clear" w:color="auto" w:fill="auto"/>
            <w:noWrap/>
            <w:vAlign w:val="bottom"/>
            <w:hideMark/>
          </w:tcPr>
          <w:p w14:paraId="618F703E"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32.80</w:t>
            </w:r>
          </w:p>
        </w:tc>
        <w:tc>
          <w:tcPr>
            <w:tcW w:w="548" w:type="pct"/>
            <w:tcBorders>
              <w:top w:val="nil"/>
              <w:left w:val="nil"/>
              <w:bottom w:val="single" w:sz="4" w:space="0" w:color="auto"/>
              <w:right w:val="single" w:sz="4" w:space="0" w:color="auto"/>
            </w:tcBorders>
            <w:shd w:val="clear" w:color="auto" w:fill="auto"/>
            <w:noWrap/>
            <w:vAlign w:val="bottom"/>
            <w:hideMark/>
          </w:tcPr>
          <w:p w14:paraId="56D1D303"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19.76</w:t>
            </w:r>
          </w:p>
        </w:tc>
      </w:tr>
      <w:tr w:rsidR="00F10E36" w:rsidRPr="00B94B76" w14:paraId="4EC16357" w14:textId="77777777" w:rsidTr="00D03949">
        <w:trPr>
          <w:trHeight w:val="312"/>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6BCC80DC" w14:textId="06630E82" w:rsidR="00F10E36" w:rsidRPr="00B94B76" w:rsidRDefault="00F10E36" w:rsidP="00F10E36">
            <w:pPr>
              <w:rPr>
                <w:rFonts w:ascii="Arial Narrow" w:hAnsi="Arial Narrow" w:cs="Calibri"/>
                <w:i/>
                <w:iCs/>
                <w:sz w:val="20"/>
                <w:szCs w:val="20"/>
              </w:rPr>
            </w:pPr>
            <w:r w:rsidRPr="00BE2534">
              <w:rPr>
                <w:rFonts w:ascii="Arial Narrow" w:hAnsi="Arial Narrow" w:cs="Calibri"/>
                <w:i/>
                <w:iCs/>
                <w:sz w:val="20"/>
                <w:szCs w:val="20"/>
                <w:lang w:val="sq-AL"/>
              </w:rPr>
              <w:t>Grumbullimi i përzier</w:t>
            </w:r>
          </w:p>
        </w:tc>
        <w:tc>
          <w:tcPr>
            <w:tcW w:w="499" w:type="pct"/>
            <w:tcBorders>
              <w:top w:val="nil"/>
              <w:left w:val="nil"/>
              <w:bottom w:val="single" w:sz="4" w:space="0" w:color="auto"/>
              <w:right w:val="single" w:sz="4" w:space="0" w:color="auto"/>
            </w:tcBorders>
            <w:shd w:val="clear" w:color="auto" w:fill="auto"/>
            <w:noWrap/>
            <w:vAlign w:val="bottom"/>
            <w:hideMark/>
          </w:tcPr>
          <w:p w14:paraId="1F7865C5" w14:textId="77777777" w:rsidR="00F10E36" w:rsidRPr="00B94B76" w:rsidRDefault="00F10E36" w:rsidP="00F10E36">
            <w:pPr>
              <w:jc w:val="center"/>
              <w:rPr>
                <w:rFonts w:ascii="Arial Narrow" w:hAnsi="Arial Narrow" w:cs="Calibri"/>
                <w:color w:val="000000"/>
                <w:sz w:val="20"/>
                <w:szCs w:val="20"/>
              </w:rPr>
            </w:pPr>
          </w:p>
        </w:tc>
        <w:tc>
          <w:tcPr>
            <w:tcW w:w="549" w:type="pct"/>
            <w:tcBorders>
              <w:top w:val="nil"/>
              <w:left w:val="nil"/>
              <w:bottom w:val="single" w:sz="4" w:space="0" w:color="auto"/>
              <w:right w:val="single" w:sz="4" w:space="0" w:color="auto"/>
            </w:tcBorders>
            <w:shd w:val="clear" w:color="auto" w:fill="auto"/>
            <w:noWrap/>
            <w:vAlign w:val="bottom"/>
            <w:hideMark/>
          </w:tcPr>
          <w:p w14:paraId="68E4F521" w14:textId="77777777" w:rsidR="00F10E36" w:rsidRPr="00B94B76" w:rsidRDefault="00F10E36" w:rsidP="00F10E36">
            <w:pPr>
              <w:jc w:val="center"/>
              <w:rPr>
                <w:rFonts w:ascii="Arial Narrow" w:hAnsi="Arial Narrow" w:cs="Calibri"/>
                <w:color w:val="000000"/>
                <w:sz w:val="20"/>
                <w:szCs w:val="20"/>
              </w:rPr>
            </w:pPr>
          </w:p>
        </w:tc>
        <w:tc>
          <w:tcPr>
            <w:tcW w:w="499" w:type="pct"/>
            <w:tcBorders>
              <w:top w:val="nil"/>
              <w:left w:val="nil"/>
              <w:bottom w:val="single" w:sz="4" w:space="0" w:color="auto"/>
              <w:right w:val="single" w:sz="4" w:space="0" w:color="auto"/>
            </w:tcBorders>
            <w:shd w:val="clear" w:color="auto" w:fill="auto"/>
            <w:noWrap/>
            <w:vAlign w:val="bottom"/>
            <w:hideMark/>
          </w:tcPr>
          <w:p w14:paraId="329CE687" w14:textId="77777777" w:rsidR="00F10E36" w:rsidRPr="00B94B76" w:rsidRDefault="00F10E36" w:rsidP="00F10E36">
            <w:pPr>
              <w:jc w:val="center"/>
              <w:rPr>
                <w:rFonts w:ascii="Arial Narrow" w:hAnsi="Arial Narrow" w:cs="Calibri"/>
                <w:color w:val="000000"/>
                <w:sz w:val="20"/>
                <w:szCs w:val="20"/>
              </w:rPr>
            </w:pPr>
          </w:p>
        </w:tc>
        <w:tc>
          <w:tcPr>
            <w:tcW w:w="499" w:type="pct"/>
            <w:tcBorders>
              <w:top w:val="nil"/>
              <w:left w:val="nil"/>
              <w:bottom w:val="single" w:sz="4" w:space="0" w:color="auto"/>
              <w:right w:val="single" w:sz="4" w:space="0" w:color="auto"/>
            </w:tcBorders>
            <w:shd w:val="clear" w:color="auto" w:fill="auto"/>
            <w:noWrap/>
            <w:vAlign w:val="bottom"/>
            <w:hideMark/>
          </w:tcPr>
          <w:p w14:paraId="4844A654" w14:textId="77777777" w:rsidR="00F10E36" w:rsidRPr="00B94B76" w:rsidRDefault="00F10E36" w:rsidP="00F10E36">
            <w:pPr>
              <w:jc w:val="center"/>
              <w:rPr>
                <w:rFonts w:ascii="Arial Narrow" w:hAnsi="Arial Narrow" w:cs="Calibri"/>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bottom"/>
            <w:hideMark/>
          </w:tcPr>
          <w:p w14:paraId="0CADC3D4" w14:textId="77777777" w:rsidR="00F10E36" w:rsidRPr="00B94B76" w:rsidRDefault="00F10E36" w:rsidP="00F10E36">
            <w:pPr>
              <w:jc w:val="center"/>
              <w:rPr>
                <w:rFonts w:ascii="Arial Narrow" w:hAnsi="Arial Narrow" w:cs="Calibri"/>
                <w:color w:val="000000"/>
                <w:sz w:val="20"/>
                <w:szCs w:val="20"/>
              </w:rPr>
            </w:pPr>
          </w:p>
        </w:tc>
        <w:tc>
          <w:tcPr>
            <w:tcW w:w="548" w:type="pct"/>
            <w:tcBorders>
              <w:top w:val="nil"/>
              <w:left w:val="nil"/>
              <w:bottom w:val="single" w:sz="4" w:space="0" w:color="auto"/>
              <w:right w:val="single" w:sz="4" w:space="0" w:color="auto"/>
            </w:tcBorders>
            <w:shd w:val="clear" w:color="auto" w:fill="auto"/>
            <w:noWrap/>
            <w:vAlign w:val="bottom"/>
            <w:hideMark/>
          </w:tcPr>
          <w:p w14:paraId="013E514B" w14:textId="77777777" w:rsidR="00F10E36" w:rsidRPr="00B94B76" w:rsidRDefault="00F10E36" w:rsidP="00F10E36">
            <w:pPr>
              <w:rPr>
                <w:rFonts w:ascii="Arial Narrow" w:hAnsi="Arial Narrow" w:cs="Arial"/>
                <w:sz w:val="20"/>
                <w:szCs w:val="20"/>
              </w:rPr>
            </w:pPr>
          </w:p>
        </w:tc>
      </w:tr>
      <w:tr w:rsidR="00F10E36" w:rsidRPr="00B94B76" w14:paraId="0256A50B"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6C0CEA2E" w14:textId="533025EA" w:rsidR="00F10E36" w:rsidRPr="00B94B76" w:rsidRDefault="00F10E36" w:rsidP="00F10E36">
            <w:pPr>
              <w:rPr>
                <w:rFonts w:ascii="Arial Narrow" w:hAnsi="Arial Narrow" w:cs="Calibri"/>
                <w:sz w:val="20"/>
                <w:szCs w:val="20"/>
              </w:rPr>
            </w:pPr>
            <w:r w:rsidRPr="00BE2534">
              <w:rPr>
                <w:rFonts w:ascii="Arial Narrow" w:hAnsi="Arial Narrow" w:cs="Calibri"/>
                <w:sz w:val="20"/>
                <w:szCs w:val="20"/>
                <w:lang w:val="sq-AL"/>
              </w:rPr>
              <w:t>Kostot investive</w:t>
            </w:r>
          </w:p>
        </w:tc>
        <w:tc>
          <w:tcPr>
            <w:tcW w:w="499" w:type="pct"/>
            <w:tcBorders>
              <w:top w:val="nil"/>
              <w:left w:val="nil"/>
              <w:bottom w:val="single" w:sz="4" w:space="0" w:color="auto"/>
              <w:right w:val="single" w:sz="4" w:space="0" w:color="auto"/>
            </w:tcBorders>
            <w:shd w:val="clear" w:color="auto" w:fill="auto"/>
            <w:noWrap/>
            <w:vAlign w:val="bottom"/>
            <w:hideMark/>
          </w:tcPr>
          <w:p w14:paraId="4680C964"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8.96</w:t>
            </w:r>
          </w:p>
        </w:tc>
        <w:tc>
          <w:tcPr>
            <w:tcW w:w="549" w:type="pct"/>
            <w:tcBorders>
              <w:top w:val="nil"/>
              <w:left w:val="nil"/>
              <w:bottom w:val="single" w:sz="4" w:space="0" w:color="auto"/>
              <w:right w:val="single" w:sz="4" w:space="0" w:color="auto"/>
            </w:tcBorders>
            <w:shd w:val="clear" w:color="auto" w:fill="auto"/>
            <w:noWrap/>
            <w:vAlign w:val="bottom"/>
            <w:hideMark/>
          </w:tcPr>
          <w:p w14:paraId="55BAE3B5"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10.33</w:t>
            </w:r>
          </w:p>
        </w:tc>
        <w:tc>
          <w:tcPr>
            <w:tcW w:w="499" w:type="pct"/>
            <w:tcBorders>
              <w:top w:val="nil"/>
              <w:left w:val="nil"/>
              <w:bottom w:val="single" w:sz="4" w:space="0" w:color="auto"/>
              <w:right w:val="single" w:sz="4" w:space="0" w:color="auto"/>
            </w:tcBorders>
            <w:shd w:val="clear" w:color="auto" w:fill="auto"/>
            <w:noWrap/>
            <w:vAlign w:val="bottom"/>
            <w:hideMark/>
          </w:tcPr>
          <w:p w14:paraId="7DBE838C"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14.49</w:t>
            </w:r>
          </w:p>
        </w:tc>
        <w:tc>
          <w:tcPr>
            <w:tcW w:w="499" w:type="pct"/>
            <w:tcBorders>
              <w:top w:val="nil"/>
              <w:left w:val="nil"/>
              <w:bottom w:val="single" w:sz="4" w:space="0" w:color="auto"/>
              <w:right w:val="single" w:sz="4" w:space="0" w:color="auto"/>
            </w:tcBorders>
            <w:shd w:val="clear" w:color="auto" w:fill="auto"/>
            <w:noWrap/>
            <w:vAlign w:val="bottom"/>
            <w:hideMark/>
          </w:tcPr>
          <w:p w14:paraId="10C9882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11.66</w:t>
            </w:r>
          </w:p>
        </w:tc>
        <w:tc>
          <w:tcPr>
            <w:tcW w:w="512" w:type="pct"/>
            <w:tcBorders>
              <w:top w:val="nil"/>
              <w:left w:val="nil"/>
              <w:bottom w:val="single" w:sz="4" w:space="0" w:color="auto"/>
              <w:right w:val="single" w:sz="4" w:space="0" w:color="auto"/>
            </w:tcBorders>
            <w:shd w:val="clear" w:color="auto" w:fill="auto"/>
            <w:noWrap/>
            <w:vAlign w:val="bottom"/>
            <w:hideMark/>
          </w:tcPr>
          <w:p w14:paraId="1E79D2A2"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11.13</w:t>
            </w:r>
          </w:p>
        </w:tc>
        <w:tc>
          <w:tcPr>
            <w:tcW w:w="548" w:type="pct"/>
            <w:tcBorders>
              <w:top w:val="nil"/>
              <w:left w:val="nil"/>
              <w:bottom w:val="single" w:sz="4" w:space="0" w:color="auto"/>
              <w:right w:val="single" w:sz="4" w:space="0" w:color="auto"/>
            </w:tcBorders>
            <w:shd w:val="clear" w:color="auto" w:fill="auto"/>
            <w:noWrap/>
            <w:vAlign w:val="bottom"/>
            <w:hideMark/>
          </w:tcPr>
          <w:p w14:paraId="429251B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10.21</w:t>
            </w:r>
          </w:p>
        </w:tc>
      </w:tr>
      <w:tr w:rsidR="00F10E36" w:rsidRPr="00B94B76" w14:paraId="56AA9E96"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51064141" w14:textId="135A985F" w:rsidR="00F10E36" w:rsidRPr="00B94B76" w:rsidRDefault="00F10E36" w:rsidP="00F10E36">
            <w:pPr>
              <w:rPr>
                <w:rFonts w:ascii="Arial Narrow" w:hAnsi="Arial Narrow" w:cs="Calibri"/>
                <w:sz w:val="20"/>
                <w:szCs w:val="20"/>
              </w:rPr>
            </w:pPr>
            <w:r w:rsidRPr="00BE2534">
              <w:rPr>
                <w:rFonts w:ascii="Arial Narrow" w:hAnsi="Arial Narrow" w:cs="Calibri"/>
                <w:sz w:val="20"/>
                <w:szCs w:val="20"/>
                <w:lang w:val="sq-AL"/>
              </w:rPr>
              <w:t>Kostot operacionale</w:t>
            </w:r>
          </w:p>
        </w:tc>
        <w:tc>
          <w:tcPr>
            <w:tcW w:w="499" w:type="pct"/>
            <w:tcBorders>
              <w:top w:val="nil"/>
              <w:left w:val="nil"/>
              <w:bottom w:val="single" w:sz="4" w:space="0" w:color="auto"/>
              <w:right w:val="single" w:sz="4" w:space="0" w:color="auto"/>
            </w:tcBorders>
            <w:shd w:val="clear" w:color="auto" w:fill="auto"/>
            <w:noWrap/>
            <w:vAlign w:val="bottom"/>
            <w:hideMark/>
          </w:tcPr>
          <w:p w14:paraId="78024589"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22.06</w:t>
            </w:r>
          </w:p>
        </w:tc>
        <w:tc>
          <w:tcPr>
            <w:tcW w:w="549" w:type="pct"/>
            <w:tcBorders>
              <w:top w:val="nil"/>
              <w:left w:val="nil"/>
              <w:bottom w:val="single" w:sz="4" w:space="0" w:color="auto"/>
              <w:right w:val="single" w:sz="4" w:space="0" w:color="auto"/>
            </w:tcBorders>
            <w:shd w:val="clear" w:color="auto" w:fill="auto"/>
            <w:noWrap/>
            <w:vAlign w:val="bottom"/>
            <w:hideMark/>
          </w:tcPr>
          <w:p w14:paraId="0A329155"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25.05</w:t>
            </w:r>
          </w:p>
        </w:tc>
        <w:tc>
          <w:tcPr>
            <w:tcW w:w="499" w:type="pct"/>
            <w:tcBorders>
              <w:top w:val="nil"/>
              <w:left w:val="nil"/>
              <w:bottom w:val="single" w:sz="4" w:space="0" w:color="auto"/>
              <w:right w:val="single" w:sz="4" w:space="0" w:color="auto"/>
            </w:tcBorders>
            <w:shd w:val="clear" w:color="auto" w:fill="auto"/>
            <w:noWrap/>
            <w:vAlign w:val="bottom"/>
            <w:hideMark/>
          </w:tcPr>
          <w:p w14:paraId="50FE2765"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37.64</w:t>
            </w:r>
          </w:p>
        </w:tc>
        <w:tc>
          <w:tcPr>
            <w:tcW w:w="499" w:type="pct"/>
            <w:tcBorders>
              <w:top w:val="nil"/>
              <w:left w:val="nil"/>
              <w:bottom w:val="single" w:sz="4" w:space="0" w:color="auto"/>
              <w:right w:val="single" w:sz="4" w:space="0" w:color="auto"/>
            </w:tcBorders>
            <w:shd w:val="clear" w:color="auto" w:fill="auto"/>
            <w:noWrap/>
            <w:vAlign w:val="bottom"/>
            <w:hideMark/>
          </w:tcPr>
          <w:p w14:paraId="413A2C67"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23.00</w:t>
            </w:r>
          </w:p>
        </w:tc>
        <w:tc>
          <w:tcPr>
            <w:tcW w:w="512" w:type="pct"/>
            <w:tcBorders>
              <w:top w:val="nil"/>
              <w:left w:val="nil"/>
              <w:bottom w:val="single" w:sz="4" w:space="0" w:color="auto"/>
              <w:right w:val="single" w:sz="4" w:space="0" w:color="auto"/>
            </w:tcBorders>
            <w:shd w:val="clear" w:color="auto" w:fill="auto"/>
            <w:noWrap/>
            <w:vAlign w:val="bottom"/>
            <w:hideMark/>
          </w:tcPr>
          <w:p w14:paraId="6FC635AB"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21.44</w:t>
            </w:r>
          </w:p>
        </w:tc>
        <w:tc>
          <w:tcPr>
            <w:tcW w:w="548" w:type="pct"/>
            <w:tcBorders>
              <w:top w:val="nil"/>
              <w:left w:val="nil"/>
              <w:bottom w:val="single" w:sz="4" w:space="0" w:color="auto"/>
              <w:right w:val="single" w:sz="4" w:space="0" w:color="auto"/>
            </w:tcBorders>
            <w:shd w:val="clear" w:color="auto" w:fill="auto"/>
            <w:noWrap/>
            <w:vAlign w:val="bottom"/>
            <w:hideMark/>
          </w:tcPr>
          <w:p w14:paraId="2205E18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24.57</w:t>
            </w:r>
          </w:p>
        </w:tc>
      </w:tr>
      <w:tr w:rsidR="00F10E36" w:rsidRPr="00B94B76" w14:paraId="1036E32C"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6A92BB74" w14:textId="72AEC579" w:rsidR="00F10E36" w:rsidRPr="00B94B76" w:rsidRDefault="00F10E36" w:rsidP="00F10E36">
            <w:pPr>
              <w:rPr>
                <w:rFonts w:ascii="Arial Narrow" w:hAnsi="Arial Narrow" w:cs="Calibri"/>
                <w:i/>
                <w:iCs/>
                <w:sz w:val="20"/>
                <w:szCs w:val="20"/>
              </w:rPr>
            </w:pPr>
            <w:r w:rsidRPr="00BE2534">
              <w:rPr>
                <w:rFonts w:ascii="Arial Narrow" w:hAnsi="Arial Narrow" w:cs="Calibri"/>
                <w:i/>
                <w:iCs/>
                <w:sz w:val="20"/>
                <w:szCs w:val="20"/>
                <w:lang w:val="sq-AL"/>
              </w:rPr>
              <w:t>Kostot totale të grumbullimit të përzier</w:t>
            </w:r>
          </w:p>
        </w:tc>
        <w:tc>
          <w:tcPr>
            <w:tcW w:w="499" w:type="pct"/>
            <w:tcBorders>
              <w:top w:val="nil"/>
              <w:left w:val="nil"/>
              <w:bottom w:val="single" w:sz="4" w:space="0" w:color="auto"/>
              <w:right w:val="single" w:sz="4" w:space="0" w:color="auto"/>
            </w:tcBorders>
            <w:shd w:val="clear" w:color="auto" w:fill="auto"/>
            <w:noWrap/>
            <w:vAlign w:val="bottom"/>
            <w:hideMark/>
          </w:tcPr>
          <w:p w14:paraId="1A2E3E9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31.02</w:t>
            </w:r>
          </w:p>
        </w:tc>
        <w:tc>
          <w:tcPr>
            <w:tcW w:w="549" w:type="pct"/>
            <w:tcBorders>
              <w:top w:val="nil"/>
              <w:left w:val="nil"/>
              <w:bottom w:val="single" w:sz="4" w:space="0" w:color="auto"/>
              <w:right w:val="single" w:sz="4" w:space="0" w:color="auto"/>
            </w:tcBorders>
            <w:shd w:val="clear" w:color="auto" w:fill="auto"/>
            <w:noWrap/>
            <w:vAlign w:val="bottom"/>
            <w:hideMark/>
          </w:tcPr>
          <w:p w14:paraId="7B24CEF8"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35.38</w:t>
            </w:r>
          </w:p>
        </w:tc>
        <w:tc>
          <w:tcPr>
            <w:tcW w:w="499" w:type="pct"/>
            <w:tcBorders>
              <w:top w:val="nil"/>
              <w:left w:val="nil"/>
              <w:bottom w:val="single" w:sz="4" w:space="0" w:color="auto"/>
              <w:right w:val="single" w:sz="4" w:space="0" w:color="auto"/>
            </w:tcBorders>
            <w:shd w:val="clear" w:color="auto" w:fill="auto"/>
            <w:noWrap/>
            <w:vAlign w:val="bottom"/>
            <w:hideMark/>
          </w:tcPr>
          <w:p w14:paraId="4E24FA4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52.13</w:t>
            </w:r>
          </w:p>
        </w:tc>
        <w:tc>
          <w:tcPr>
            <w:tcW w:w="499" w:type="pct"/>
            <w:tcBorders>
              <w:top w:val="nil"/>
              <w:left w:val="nil"/>
              <w:bottom w:val="single" w:sz="4" w:space="0" w:color="auto"/>
              <w:right w:val="single" w:sz="4" w:space="0" w:color="auto"/>
            </w:tcBorders>
            <w:shd w:val="clear" w:color="auto" w:fill="auto"/>
            <w:noWrap/>
            <w:vAlign w:val="bottom"/>
            <w:hideMark/>
          </w:tcPr>
          <w:p w14:paraId="7BA33FB3"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34.66</w:t>
            </w:r>
          </w:p>
        </w:tc>
        <w:tc>
          <w:tcPr>
            <w:tcW w:w="512" w:type="pct"/>
            <w:tcBorders>
              <w:top w:val="nil"/>
              <w:left w:val="nil"/>
              <w:bottom w:val="single" w:sz="4" w:space="0" w:color="auto"/>
              <w:right w:val="single" w:sz="4" w:space="0" w:color="auto"/>
            </w:tcBorders>
            <w:shd w:val="clear" w:color="auto" w:fill="auto"/>
            <w:noWrap/>
            <w:vAlign w:val="bottom"/>
            <w:hideMark/>
          </w:tcPr>
          <w:p w14:paraId="40CFAD2A"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32.57</w:t>
            </w:r>
          </w:p>
        </w:tc>
        <w:tc>
          <w:tcPr>
            <w:tcW w:w="548" w:type="pct"/>
            <w:tcBorders>
              <w:top w:val="nil"/>
              <w:left w:val="nil"/>
              <w:bottom w:val="single" w:sz="4" w:space="0" w:color="auto"/>
              <w:right w:val="single" w:sz="4" w:space="0" w:color="auto"/>
            </w:tcBorders>
            <w:shd w:val="clear" w:color="auto" w:fill="auto"/>
            <w:noWrap/>
            <w:vAlign w:val="bottom"/>
            <w:hideMark/>
          </w:tcPr>
          <w:p w14:paraId="7A32F6E7"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34.78</w:t>
            </w:r>
          </w:p>
        </w:tc>
      </w:tr>
      <w:tr w:rsidR="00F10E36" w:rsidRPr="00B94B76" w14:paraId="5C5612AA" w14:textId="77777777" w:rsidTr="00D03949">
        <w:trPr>
          <w:trHeight w:val="312"/>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24B5CE27" w14:textId="1F26DF87" w:rsidR="00F10E36" w:rsidRPr="00B94B76" w:rsidRDefault="00F10E36" w:rsidP="00F10E36">
            <w:pPr>
              <w:rPr>
                <w:rFonts w:ascii="Arial Narrow" w:hAnsi="Arial Narrow" w:cs="Calibri"/>
                <w:i/>
                <w:iCs/>
                <w:sz w:val="20"/>
                <w:szCs w:val="20"/>
              </w:rPr>
            </w:pPr>
            <w:r w:rsidRPr="00BE2534">
              <w:rPr>
                <w:rFonts w:ascii="Arial Narrow" w:hAnsi="Arial Narrow" w:cs="Calibri"/>
                <w:i/>
                <w:iCs/>
                <w:sz w:val="20"/>
                <w:szCs w:val="20"/>
                <w:lang w:val="sq-AL"/>
              </w:rPr>
              <w:t>Transferimi i mbeturinave të përziera</w:t>
            </w:r>
          </w:p>
        </w:tc>
        <w:tc>
          <w:tcPr>
            <w:tcW w:w="499" w:type="pct"/>
            <w:tcBorders>
              <w:top w:val="nil"/>
              <w:left w:val="nil"/>
              <w:bottom w:val="single" w:sz="4" w:space="0" w:color="auto"/>
              <w:right w:val="single" w:sz="4" w:space="0" w:color="auto"/>
            </w:tcBorders>
            <w:shd w:val="clear" w:color="auto" w:fill="auto"/>
            <w:noWrap/>
            <w:vAlign w:val="bottom"/>
            <w:hideMark/>
          </w:tcPr>
          <w:p w14:paraId="6DB2665D" w14:textId="77777777" w:rsidR="00F10E36" w:rsidRPr="00B94B76" w:rsidRDefault="00F10E36" w:rsidP="00F10E36">
            <w:pPr>
              <w:jc w:val="center"/>
              <w:rPr>
                <w:rFonts w:ascii="Arial Narrow" w:hAnsi="Arial Narrow" w:cs="Calibri"/>
                <w:color w:val="000000"/>
                <w:sz w:val="20"/>
                <w:szCs w:val="20"/>
              </w:rPr>
            </w:pPr>
          </w:p>
        </w:tc>
        <w:tc>
          <w:tcPr>
            <w:tcW w:w="549" w:type="pct"/>
            <w:tcBorders>
              <w:top w:val="nil"/>
              <w:left w:val="nil"/>
              <w:bottom w:val="single" w:sz="4" w:space="0" w:color="auto"/>
              <w:right w:val="single" w:sz="4" w:space="0" w:color="auto"/>
            </w:tcBorders>
            <w:shd w:val="clear" w:color="auto" w:fill="auto"/>
            <w:noWrap/>
            <w:vAlign w:val="bottom"/>
            <w:hideMark/>
          </w:tcPr>
          <w:p w14:paraId="700DE077" w14:textId="77777777" w:rsidR="00F10E36" w:rsidRPr="00B94B76" w:rsidRDefault="00F10E36" w:rsidP="00F10E36">
            <w:pPr>
              <w:jc w:val="center"/>
              <w:rPr>
                <w:rFonts w:ascii="Arial Narrow" w:hAnsi="Arial Narrow" w:cs="Calibri"/>
                <w:color w:val="000000"/>
                <w:sz w:val="20"/>
                <w:szCs w:val="20"/>
              </w:rPr>
            </w:pPr>
          </w:p>
        </w:tc>
        <w:tc>
          <w:tcPr>
            <w:tcW w:w="499" w:type="pct"/>
            <w:tcBorders>
              <w:top w:val="nil"/>
              <w:left w:val="nil"/>
              <w:bottom w:val="single" w:sz="4" w:space="0" w:color="auto"/>
              <w:right w:val="single" w:sz="4" w:space="0" w:color="auto"/>
            </w:tcBorders>
            <w:shd w:val="clear" w:color="auto" w:fill="auto"/>
            <w:noWrap/>
            <w:vAlign w:val="bottom"/>
            <w:hideMark/>
          </w:tcPr>
          <w:p w14:paraId="5F69179C" w14:textId="77777777" w:rsidR="00F10E36" w:rsidRPr="00B94B76" w:rsidRDefault="00F10E36" w:rsidP="00F10E36">
            <w:pPr>
              <w:jc w:val="center"/>
              <w:rPr>
                <w:rFonts w:ascii="Arial Narrow" w:hAnsi="Arial Narrow" w:cs="Calibri"/>
                <w:color w:val="000000"/>
                <w:sz w:val="20"/>
                <w:szCs w:val="20"/>
              </w:rPr>
            </w:pPr>
          </w:p>
        </w:tc>
        <w:tc>
          <w:tcPr>
            <w:tcW w:w="499" w:type="pct"/>
            <w:tcBorders>
              <w:top w:val="nil"/>
              <w:left w:val="nil"/>
              <w:bottom w:val="single" w:sz="4" w:space="0" w:color="auto"/>
              <w:right w:val="single" w:sz="4" w:space="0" w:color="auto"/>
            </w:tcBorders>
            <w:shd w:val="clear" w:color="auto" w:fill="auto"/>
            <w:noWrap/>
            <w:vAlign w:val="bottom"/>
            <w:hideMark/>
          </w:tcPr>
          <w:p w14:paraId="5DBBA88B" w14:textId="77777777" w:rsidR="00F10E36" w:rsidRPr="00B94B76" w:rsidRDefault="00F10E36" w:rsidP="00F10E36">
            <w:pPr>
              <w:jc w:val="center"/>
              <w:rPr>
                <w:rFonts w:ascii="Arial Narrow" w:hAnsi="Arial Narrow" w:cs="Calibri"/>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bottom"/>
            <w:hideMark/>
          </w:tcPr>
          <w:p w14:paraId="033DB36B" w14:textId="77777777" w:rsidR="00F10E36" w:rsidRPr="00B94B76" w:rsidRDefault="00F10E36" w:rsidP="00F10E36">
            <w:pPr>
              <w:jc w:val="center"/>
              <w:rPr>
                <w:rFonts w:ascii="Arial Narrow" w:hAnsi="Arial Narrow" w:cs="Calibri"/>
                <w:color w:val="000000"/>
                <w:sz w:val="20"/>
                <w:szCs w:val="20"/>
              </w:rPr>
            </w:pPr>
          </w:p>
        </w:tc>
        <w:tc>
          <w:tcPr>
            <w:tcW w:w="548" w:type="pct"/>
            <w:tcBorders>
              <w:top w:val="nil"/>
              <w:left w:val="nil"/>
              <w:bottom w:val="single" w:sz="4" w:space="0" w:color="auto"/>
              <w:right w:val="single" w:sz="4" w:space="0" w:color="auto"/>
            </w:tcBorders>
            <w:shd w:val="clear" w:color="auto" w:fill="auto"/>
            <w:noWrap/>
            <w:vAlign w:val="bottom"/>
            <w:hideMark/>
          </w:tcPr>
          <w:p w14:paraId="7118B7F4" w14:textId="77777777" w:rsidR="00F10E36" w:rsidRPr="00B94B76" w:rsidRDefault="00F10E36" w:rsidP="00F10E36">
            <w:pPr>
              <w:rPr>
                <w:rFonts w:ascii="Arial Narrow" w:hAnsi="Arial Narrow" w:cs="Arial"/>
                <w:sz w:val="20"/>
                <w:szCs w:val="20"/>
              </w:rPr>
            </w:pPr>
          </w:p>
        </w:tc>
      </w:tr>
      <w:tr w:rsidR="00F10E36" w:rsidRPr="00B94B76" w14:paraId="5820332F"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6D16DA73" w14:textId="6462182A" w:rsidR="00F10E36" w:rsidRPr="00B94B76" w:rsidRDefault="00F10E36" w:rsidP="00F10E36">
            <w:pPr>
              <w:rPr>
                <w:rFonts w:ascii="Arial Narrow" w:hAnsi="Arial Narrow" w:cs="Calibri"/>
                <w:sz w:val="20"/>
                <w:szCs w:val="20"/>
              </w:rPr>
            </w:pPr>
            <w:r w:rsidRPr="00BE2534">
              <w:rPr>
                <w:rFonts w:ascii="Arial Narrow" w:hAnsi="Arial Narrow" w:cs="Calibri"/>
                <w:sz w:val="20"/>
                <w:szCs w:val="20"/>
                <w:lang w:val="sq-AL"/>
              </w:rPr>
              <w:t>Kostot investive</w:t>
            </w:r>
          </w:p>
        </w:tc>
        <w:tc>
          <w:tcPr>
            <w:tcW w:w="499" w:type="pct"/>
            <w:tcBorders>
              <w:top w:val="nil"/>
              <w:left w:val="nil"/>
              <w:bottom w:val="single" w:sz="4" w:space="0" w:color="auto"/>
              <w:right w:val="single" w:sz="4" w:space="0" w:color="auto"/>
            </w:tcBorders>
            <w:shd w:val="clear" w:color="auto" w:fill="auto"/>
            <w:noWrap/>
            <w:vAlign w:val="bottom"/>
            <w:hideMark/>
          </w:tcPr>
          <w:p w14:paraId="20C74DB0"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w:t>
            </w:r>
          </w:p>
        </w:tc>
        <w:tc>
          <w:tcPr>
            <w:tcW w:w="549" w:type="pct"/>
            <w:tcBorders>
              <w:top w:val="nil"/>
              <w:left w:val="nil"/>
              <w:bottom w:val="single" w:sz="4" w:space="0" w:color="auto"/>
              <w:right w:val="single" w:sz="4" w:space="0" w:color="auto"/>
            </w:tcBorders>
            <w:shd w:val="clear" w:color="auto" w:fill="auto"/>
            <w:noWrap/>
            <w:vAlign w:val="bottom"/>
            <w:hideMark/>
          </w:tcPr>
          <w:p w14:paraId="18FC1F99"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2.72</w:t>
            </w:r>
          </w:p>
        </w:tc>
        <w:tc>
          <w:tcPr>
            <w:tcW w:w="499" w:type="pct"/>
            <w:tcBorders>
              <w:top w:val="nil"/>
              <w:left w:val="nil"/>
              <w:bottom w:val="single" w:sz="4" w:space="0" w:color="auto"/>
              <w:right w:val="single" w:sz="4" w:space="0" w:color="auto"/>
            </w:tcBorders>
            <w:shd w:val="clear" w:color="auto" w:fill="auto"/>
            <w:noWrap/>
            <w:vAlign w:val="bottom"/>
            <w:hideMark/>
          </w:tcPr>
          <w:p w14:paraId="1B54EF13"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w:t>
            </w:r>
          </w:p>
        </w:tc>
        <w:tc>
          <w:tcPr>
            <w:tcW w:w="499" w:type="pct"/>
            <w:tcBorders>
              <w:top w:val="nil"/>
              <w:left w:val="nil"/>
              <w:bottom w:val="single" w:sz="4" w:space="0" w:color="auto"/>
              <w:right w:val="single" w:sz="4" w:space="0" w:color="auto"/>
            </w:tcBorders>
            <w:shd w:val="clear" w:color="auto" w:fill="auto"/>
            <w:noWrap/>
            <w:vAlign w:val="bottom"/>
            <w:hideMark/>
          </w:tcPr>
          <w:p w14:paraId="2464721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4.23</w:t>
            </w:r>
          </w:p>
        </w:tc>
        <w:tc>
          <w:tcPr>
            <w:tcW w:w="512" w:type="pct"/>
            <w:tcBorders>
              <w:top w:val="nil"/>
              <w:left w:val="nil"/>
              <w:bottom w:val="single" w:sz="4" w:space="0" w:color="auto"/>
              <w:right w:val="single" w:sz="4" w:space="0" w:color="auto"/>
            </w:tcBorders>
            <w:shd w:val="clear" w:color="auto" w:fill="auto"/>
            <w:noWrap/>
            <w:vAlign w:val="bottom"/>
            <w:hideMark/>
          </w:tcPr>
          <w:p w14:paraId="3C7A7D94"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3.97</w:t>
            </w:r>
          </w:p>
        </w:tc>
        <w:tc>
          <w:tcPr>
            <w:tcW w:w="548" w:type="pct"/>
            <w:tcBorders>
              <w:top w:val="nil"/>
              <w:left w:val="nil"/>
              <w:bottom w:val="single" w:sz="4" w:space="0" w:color="auto"/>
              <w:right w:val="single" w:sz="4" w:space="0" w:color="auto"/>
            </w:tcBorders>
            <w:shd w:val="clear" w:color="auto" w:fill="auto"/>
            <w:noWrap/>
            <w:vAlign w:val="bottom"/>
            <w:hideMark/>
          </w:tcPr>
          <w:p w14:paraId="423075B3"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1.01</w:t>
            </w:r>
          </w:p>
        </w:tc>
      </w:tr>
      <w:tr w:rsidR="00F10E36" w:rsidRPr="00B94B76" w14:paraId="1D8D800F"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66588623" w14:textId="713C4BD7" w:rsidR="00F10E36" w:rsidRPr="00B94B76" w:rsidRDefault="00F10E36" w:rsidP="00F10E36">
            <w:pPr>
              <w:rPr>
                <w:rFonts w:ascii="Arial Narrow" w:hAnsi="Arial Narrow" w:cs="Calibri"/>
                <w:sz w:val="20"/>
                <w:szCs w:val="20"/>
              </w:rPr>
            </w:pPr>
            <w:r w:rsidRPr="00BE2534">
              <w:rPr>
                <w:rFonts w:ascii="Arial Narrow" w:hAnsi="Arial Narrow" w:cs="Calibri"/>
                <w:sz w:val="20"/>
                <w:szCs w:val="20"/>
                <w:lang w:val="sq-AL"/>
              </w:rPr>
              <w:t>Kostot operacionale</w:t>
            </w:r>
          </w:p>
        </w:tc>
        <w:tc>
          <w:tcPr>
            <w:tcW w:w="499" w:type="pct"/>
            <w:tcBorders>
              <w:top w:val="nil"/>
              <w:left w:val="nil"/>
              <w:bottom w:val="single" w:sz="4" w:space="0" w:color="auto"/>
              <w:right w:val="single" w:sz="4" w:space="0" w:color="auto"/>
            </w:tcBorders>
            <w:shd w:val="clear" w:color="auto" w:fill="auto"/>
            <w:noWrap/>
            <w:vAlign w:val="bottom"/>
            <w:hideMark/>
          </w:tcPr>
          <w:p w14:paraId="6D1ED46A"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w:t>
            </w:r>
          </w:p>
        </w:tc>
        <w:tc>
          <w:tcPr>
            <w:tcW w:w="549" w:type="pct"/>
            <w:tcBorders>
              <w:top w:val="nil"/>
              <w:left w:val="nil"/>
              <w:bottom w:val="single" w:sz="4" w:space="0" w:color="auto"/>
              <w:right w:val="single" w:sz="4" w:space="0" w:color="auto"/>
            </w:tcBorders>
            <w:shd w:val="clear" w:color="auto" w:fill="auto"/>
            <w:noWrap/>
            <w:vAlign w:val="bottom"/>
            <w:hideMark/>
          </w:tcPr>
          <w:p w14:paraId="52C7CF55"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8.57</w:t>
            </w:r>
          </w:p>
        </w:tc>
        <w:tc>
          <w:tcPr>
            <w:tcW w:w="499" w:type="pct"/>
            <w:tcBorders>
              <w:top w:val="nil"/>
              <w:left w:val="nil"/>
              <w:bottom w:val="single" w:sz="4" w:space="0" w:color="auto"/>
              <w:right w:val="single" w:sz="4" w:space="0" w:color="auto"/>
            </w:tcBorders>
            <w:shd w:val="clear" w:color="auto" w:fill="auto"/>
            <w:noWrap/>
            <w:vAlign w:val="bottom"/>
            <w:hideMark/>
          </w:tcPr>
          <w:p w14:paraId="5669CE36"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w:t>
            </w:r>
          </w:p>
        </w:tc>
        <w:tc>
          <w:tcPr>
            <w:tcW w:w="499" w:type="pct"/>
            <w:tcBorders>
              <w:top w:val="nil"/>
              <w:left w:val="nil"/>
              <w:bottom w:val="single" w:sz="4" w:space="0" w:color="auto"/>
              <w:right w:val="single" w:sz="4" w:space="0" w:color="auto"/>
            </w:tcBorders>
            <w:shd w:val="clear" w:color="auto" w:fill="auto"/>
            <w:noWrap/>
            <w:vAlign w:val="bottom"/>
            <w:hideMark/>
          </w:tcPr>
          <w:p w14:paraId="3418E1C2"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9.85</w:t>
            </w:r>
          </w:p>
        </w:tc>
        <w:tc>
          <w:tcPr>
            <w:tcW w:w="512" w:type="pct"/>
            <w:tcBorders>
              <w:top w:val="nil"/>
              <w:left w:val="nil"/>
              <w:bottom w:val="single" w:sz="4" w:space="0" w:color="auto"/>
              <w:right w:val="single" w:sz="4" w:space="0" w:color="auto"/>
            </w:tcBorders>
            <w:shd w:val="clear" w:color="auto" w:fill="auto"/>
            <w:noWrap/>
            <w:vAlign w:val="bottom"/>
            <w:hideMark/>
          </w:tcPr>
          <w:p w14:paraId="399997C8"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9.24</w:t>
            </w:r>
          </w:p>
        </w:tc>
        <w:tc>
          <w:tcPr>
            <w:tcW w:w="548" w:type="pct"/>
            <w:tcBorders>
              <w:top w:val="nil"/>
              <w:left w:val="nil"/>
              <w:bottom w:val="single" w:sz="4" w:space="0" w:color="auto"/>
              <w:right w:val="single" w:sz="4" w:space="0" w:color="auto"/>
            </w:tcBorders>
            <w:shd w:val="clear" w:color="auto" w:fill="auto"/>
            <w:noWrap/>
            <w:vAlign w:val="bottom"/>
            <w:hideMark/>
          </w:tcPr>
          <w:p w14:paraId="5460B85C"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2.75</w:t>
            </w:r>
          </w:p>
        </w:tc>
      </w:tr>
      <w:tr w:rsidR="00F10E36" w:rsidRPr="00B94B76" w14:paraId="11C2C2CE"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587682BC" w14:textId="10B44D13" w:rsidR="00F10E36" w:rsidRPr="00B94B76" w:rsidRDefault="00F10E36" w:rsidP="00F10E36">
            <w:pPr>
              <w:rPr>
                <w:rFonts w:ascii="Arial Narrow" w:hAnsi="Arial Narrow" w:cs="Calibri"/>
                <w:i/>
                <w:iCs/>
                <w:sz w:val="20"/>
                <w:szCs w:val="20"/>
              </w:rPr>
            </w:pPr>
            <w:r w:rsidRPr="00BE2534">
              <w:rPr>
                <w:rFonts w:ascii="Arial Narrow" w:hAnsi="Arial Narrow" w:cs="Calibri"/>
                <w:i/>
                <w:iCs/>
                <w:sz w:val="20"/>
                <w:szCs w:val="20"/>
                <w:lang w:val="sq-AL"/>
              </w:rPr>
              <w:t>Kostot totale të transferimit të mbeturinave</w:t>
            </w:r>
          </w:p>
        </w:tc>
        <w:tc>
          <w:tcPr>
            <w:tcW w:w="499" w:type="pct"/>
            <w:tcBorders>
              <w:top w:val="nil"/>
              <w:left w:val="nil"/>
              <w:bottom w:val="single" w:sz="4" w:space="0" w:color="auto"/>
              <w:right w:val="single" w:sz="4" w:space="0" w:color="auto"/>
            </w:tcBorders>
            <w:shd w:val="clear" w:color="auto" w:fill="auto"/>
            <w:noWrap/>
            <w:vAlign w:val="bottom"/>
            <w:hideMark/>
          </w:tcPr>
          <w:p w14:paraId="5582447B"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w:t>
            </w:r>
          </w:p>
        </w:tc>
        <w:tc>
          <w:tcPr>
            <w:tcW w:w="549" w:type="pct"/>
            <w:tcBorders>
              <w:top w:val="nil"/>
              <w:left w:val="nil"/>
              <w:bottom w:val="single" w:sz="4" w:space="0" w:color="auto"/>
              <w:right w:val="single" w:sz="4" w:space="0" w:color="auto"/>
            </w:tcBorders>
            <w:shd w:val="clear" w:color="auto" w:fill="auto"/>
            <w:noWrap/>
            <w:vAlign w:val="bottom"/>
            <w:hideMark/>
          </w:tcPr>
          <w:p w14:paraId="018A08E4"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11.29</w:t>
            </w:r>
          </w:p>
        </w:tc>
        <w:tc>
          <w:tcPr>
            <w:tcW w:w="499" w:type="pct"/>
            <w:tcBorders>
              <w:top w:val="nil"/>
              <w:left w:val="nil"/>
              <w:bottom w:val="single" w:sz="4" w:space="0" w:color="auto"/>
              <w:right w:val="single" w:sz="4" w:space="0" w:color="auto"/>
            </w:tcBorders>
            <w:shd w:val="clear" w:color="auto" w:fill="auto"/>
            <w:noWrap/>
            <w:vAlign w:val="bottom"/>
            <w:hideMark/>
          </w:tcPr>
          <w:p w14:paraId="2783BD04"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w:t>
            </w:r>
          </w:p>
        </w:tc>
        <w:tc>
          <w:tcPr>
            <w:tcW w:w="499" w:type="pct"/>
            <w:tcBorders>
              <w:top w:val="nil"/>
              <w:left w:val="nil"/>
              <w:bottom w:val="single" w:sz="4" w:space="0" w:color="auto"/>
              <w:right w:val="single" w:sz="4" w:space="0" w:color="auto"/>
            </w:tcBorders>
            <w:shd w:val="clear" w:color="auto" w:fill="auto"/>
            <w:noWrap/>
            <w:vAlign w:val="bottom"/>
            <w:hideMark/>
          </w:tcPr>
          <w:p w14:paraId="03F7000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14.08</w:t>
            </w:r>
          </w:p>
        </w:tc>
        <w:tc>
          <w:tcPr>
            <w:tcW w:w="512" w:type="pct"/>
            <w:tcBorders>
              <w:top w:val="nil"/>
              <w:left w:val="nil"/>
              <w:bottom w:val="single" w:sz="4" w:space="0" w:color="auto"/>
              <w:right w:val="single" w:sz="4" w:space="0" w:color="auto"/>
            </w:tcBorders>
            <w:shd w:val="clear" w:color="auto" w:fill="auto"/>
            <w:noWrap/>
            <w:vAlign w:val="bottom"/>
            <w:hideMark/>
          </w:tcPr>
          <w:p w14:paraId="35C9972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13.21</w:t>
            </w:r>
          </w:p>
        </w:tc>
        <w:tc>
          <w:tcPr>
            <w:tcW w:w="548" w:type="pct"/>
            <w:tcBorders>
              <w:top w:val="nil"/>
              <w:left w:val="nil"/>
              <w:bottom w:val="single" w:sz="4" w:space="0" w:color="auto"/>
              <w:right w:val="single" w:sz="4" w:space="0" w:color="auto"/>
            </w:tcBorders>
            <w:shd w:val="clear" w:color="auto" w:fill="auto"/>
            <w:noWrap/>
            <w:vAlign w:val="bottom"/>
            <w:hideMark/>
          </w:tcPr>
          <w:p w14:paraId="11B96E22"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3.75</w:t>
            </w:r>
          </w:p>
        </w:tc>
      </w:tr>
      <w:tr w:rsidR="00F10E36" w:rsidRPr="00B94B76" w14:paraId="4FED7340" w14:textId="77777777" w:rsidTr="00D03949">
        <w:trPr>
          <w:trHeight w:val="27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77B81201" w14:textId="6C34C8EF" w:rsidR="00F10E36" w:rsidRPr="00B94B76" w:rsidRDefault="00F10E36" w:rsidP="00F10E36">
            <w:pPr>
              <w:rPr>
                <w:rFonts w:ascii="Arial Narrow" w:hAnsi="Arial Narrow" w:cs="Calibri"/>
                <w:i/>
                <w:iCs/>
                <w:sz w:val="20"/>
                <w:szCs w:val="20"/>
              </w:rPr>
            </w:pPr>
            <w:r w:rsidRPr="00BE2534">
              <w:rPr>
                <w:rFonts w:ascii="Arial Narrow" w:hAnsi="Arial Narrow" w:cs="Calibri"/>
                <w:i/>
                <w:iCs/>
                <w:sz w:val="20"/>
                <w:szCs w:val="20"/>
                <w:lang w:val="sq-AL"/>
              </w:rPr>
              <w:t>Kompostimi i mbeturinave të gjelbra</w:t>
            </w:r>
          </w:p>
        </w:tc>
        <w:tc>
          <w:tcPr>
            <w:tcW w:w="499" w:type="pct"/>
            <w:tcBorders>
              <w:top w:val="nil"/>
              <w:left w:val="nil"/>
              <w:bottom w:val="single" w:sz="4" w:space="0" w:color="auto"/>
              <w:right w:val="single" w:sz="4" w:space="0" w:color="auto"/>
            </w:tcBorders>
            <w:shd w:val="clear" w:color="auto" w:fill="auto"/>
            <w:noWrap/>
            <w:vAlign w:val="bottom"/>
            <w:hideMark/>
          </w:tcPr>
          <w:p w14:paraId="6B97A0E7" w14:textId="77777777" w:rsidR="00F10E36" w:rsidRPr="00B94B76" w:rsidRDefault="00F10E36" w:rsidP="00F10E36">
            <w:pPr>
              <w:jc w:val="center"/>
              <w:rPr>
                <w:rFonts w:ascii="Arial Narrow" w:hAnsi="Arial Narrow" w:cs="Calibri"/>
                <w:color w:val="000000"/>
                <w:sz w:val="20"/>
                <w:szCs w:val="20"/>
              </w:rPr>
            </w:pPr>
          </w:p>
        </w:tc>
        <w:tc>
          <w:tcPr>
            <w:tcW w:w="549" w:type="pct"/>
            <w:tcBorders>
              <w:top w:val="nil"/>
              <w:left w:val="nil"/>
              <w:bottom w:val="single" w:sz="4" w:space="0" w:color="auto"/>
              <w:right w:val="single" w:sz="4" w:space="0" w:color="auto"/>
            </w:tcBorders>
            <w:shd w:val="clear" w:color="auto" w:fill="auto"/>
            <w:noWrap/>
            <w:vAlign w:val="bottom"/>
            <w:hideMark/>
          </w:tcPr>
          <w:p w14:paraId="3304B787" w14:textId="77777777" w:rsidR="00F10E36" w:rsidRPr="00B94B76" w:rsidRDefault="00F10E36" w:rsidP="00F10E36">
            <w:pPr>
              <w:jc w:val="center"/>
              <w:rPr>
                <w:rFonts w:ascii="Arial Narrow" w:hAnsi="Arial Narrow" w:cs="Calibri"/>
                <w:color w:val="000000"/>
                <w:sz w:val="20"/>
                <w:szCs w:val="20"/>
              </w:rPr>
            </w:pPr>
          </w:p>
        </w:tc>
        <w:tc>
          <w:tcPr>
            <w:tcW w:w="499" w:type="pct"/>
            <w:tcBorders>
              <w:top w:val="nil"/>
              <w:left w:val="nil"/>
              <w:bottom w:val="single" w:sz="4" w:space="0" w:color="auto"/>
              <w:right w:val="single" w:sz="4" w:space="0" w:color="auto"/>
            </w:tcBorders>
            <w:shd w:val="clear" w:color="auto" w:fill="auto"/>
            <w:noWrap/>
            <w:vAlign w:val="bottom"/>
            <w:hideMark/>
          </w:tcPr>
          <w:p w14:paraId="57018863" w14:textId="77777777" w:rsidR="00F10E36" w:rsidRPr="00B94B76" w:rsidRDefault="00F10E36" w:rsidP="00F10E36">
            <w:pPr>
              <w:jc w:val="center"/>
              <w:rPr>
                <w:rFonts w:ascii="Arial Narrow" w:hAnsi="Arial Narrow" w:cs="Calibri"/>
                <w:color w:val="000000"/>
                <w:sz w:val="20"/>
                <w:szCs w:val="20"/>
              </w:rPr>
            </w:pPr>
          </w:p>
        </w:tc>
        <w:tc>
          <w:tcPr>
            <w:tcW w:w="499" w:type="pct"/>
            <w:tcBorders>
              <w:top w:val="nil"/>
              <w:left w:val="nil"/>
              <w:bottom w:val="single" w:sz="4" w:space="0" w:color="auto"/>
              <w:right w:val="single" w:sz="4" w:space="0" w:color="auto"/>
            </w:tcBorders>
            <w:shd w:val="clear" w:color="auto" w:fill="auto"/>
            <w:noWrap/>
            <w:vAlign w:val="bottom"/>
            <w:hideMark/>
          </w:tcPr>
          <w:p w14:paraId="70DA2FB4" w14:textId="77777777" w:rsidR="00F10E36" w:rsidRPr="00B94B76" w:rsidRDefault="00F10E36" w:rsidP="00F10E36">
            <w:pPr>
              <w:jc w:val="center"/>
              <w:rPr>
                <w:rFonts w:ascii="Arial Narrow" w:hAnsi="Arial Narrow" w:cs="Calibri"/>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bottom"/>
            <w:hideMark/>
          </w:tcPr>
          <w:p w14:paraId="7D650240" w14:textId="77777777" w:rsidR="00F10E36" w:rsidRPr="00B94B76" w:rsidRDefault="00F10E36" w:rsidP="00F10E36">
            <w:pPr>
              <w:jc w:val="center"/>
              <w:rPr>
                <w:rFonts w:ascii="Arial Narrow" w:hAnsi="Arial Narrow" w:cs="Calibri"/>
                <w:color w:val="000000"/>
                <w:sz w:val="20"/>
                <w:szCs w:val="20"/>
              </w:rPr>
            </w:pPr>
          </w:p>
        </w:tc>
        <w:tc>
          <w:tcPr>
            <w:tcW w:w="548" w:type="pct"/>
            <w:tcBorders>
              <w:top w:val="nil"/>
              <w:left w:val="nil"/>
              <w:bottom w:val="single" w:sz="4" w:space="0" w:color="auto"/>
              <w:right w:val="single" w:sz="4" w:space="0" w:color="auto"/>
            </w:tcBorders>
            <w:shd w:val="clear" w:color="auto" w:fill="auto"/>
            <w:noWrap/>
            <w:vAlign w:val="bottom"/>
            <w:hideMark/>
          </w:tcPr>
          <w:p w14:paraId="271446D0" w14:textId="77777777" w:rsidR="00F10E36" w:rsidRPr="00B94B76" w:rsidRDefault="00F10E36" w:rsidP="00F10E36">
            <w:pPr>
              <w:rPr>
                <w:rFonts w:ascii="Arial Narrow" w:hAnsi="Arial Narrow" w:cs="Arial"/>
                <w:sz w:val="20"/>
                <w:szCs w:val="20"/>
              </w:rPr>
            </w:pPr>
          </w:p>
        </w:tc>
      </w:tr>
      <w:tr w:rsidR="00F10E36" w:rsidRPr="00B94B76" w14:paraId="72D474C1"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636B4859" w14:textId="5D25B31A" w:rsidR="00F10E36" w:rsidRPr="00B94B76" w:rsidRDefault="00F10E36" w:rsidP="00F10E36">
            <w:pPr>
              <w:rPr>
                <w:rFonts w:ascii="Arial Narrow" w:hAnsi="Arial Narrow" w:cs="Calibri"/>
                <w:sz w:val="20"/>
                <w:szCs w:val="20"/>
              </w:rPr>
            </w:pPr>
            <w:r w:rsidRPr="00BE2534">
              <w:rPr>
                <w:rFonts w:ascii="Arial Narrow" w:hAnsi="Arial Narrow" w:cs="Calibri"/>
                <w:sz w:val="20"/>
                <w:szCs w:val="20"/>
                <w:lang w:val="sq-AL"/>
              </w:rPr>
              <w:t>Kostot investive</w:t>
            </w:r>
          </w:p>
        </w:tc>
        <w:tc>
          <w:tcPr>
            <w:tcW w:w="499" w:type="pct"/>
            <w:tcBorders>
              <w:top w:val="nil"/>
              <w:left w:val="nil"/>
              <w:bottom w:val="single" w:sz="4" w:space="0" w:color="auto"/>
              <w:right w:val="single" w:sz="4" w:space="0" w:color="auto"/>
            </w:tcBorders>
            <w:shd w:val="clear" w:color="auto" w:fill="auto"/>
            <w:noWrap/>
            <w:vAlign w:val="bottom"/>
            <w:hideMark/>
          </w:tcPr>
          <w:p w14:paraId="25C35FF7"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1.17</w:t>
            </w:r>
          </w:p>
        </w:tc>
        <w:tc>
          <w:tcPr>
            <w:tcW w:w="549" w:type="pct"/>
            <w:tcBorders>
              <w:top w:val="nil"/>
              <w:left w:val="nil"/>
              <w:bottom w:val="single" w:sz="4" w:space="0" w:color="auto"/>
              <w:right w:val="single" w:sz="4" w:space="0" w:color="auto"/>
            </w:tcBorders>
            <w:shd w:val="clear" w:color="auto" w:fill="auto"/>
            <w:noWrap/>
            <w:vAlign w:val="bottom"/>
            <w:hideMark/>
          </w:tcPr>
          <w:p w14:paraId="53455435"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0.94</w:t>
            </w:r>
          </w:p>
        </w:tc>
        <w:tc>
          <w:tcPr>
            <w:tcW w:w="499" w:type="pct"/>
            <w:tcBorders>
              <w:top w:val="nil"/>
              <w:left w:val="nil"/>
              <w:bottom w:val="single" w:sz="4" w:space="0" w:color="auto"/>
              <w:right w:val="single" w:sz="4" w:space="0" w:color="auto"/>
            </w:tcBorders>
            <w:shd w:val="clear" w:color="auto" w:fill="auto"/>
            <w:noWrap/>
            <w:vAlign w:val="bottom"/>
            <w:hideMark/>
          </w:tcPr>
          <w:p w14:paraId="25BC480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1.38</w:t>
            </w:r>
          </w:p>
        </w:tc>
        <w:tc>
          <w:tcPr>
            <w:tcW w:w="499" w:type="pct"/>
            <w:tcBorders>
              <w:top w:val="nil"/>
              <w:left w:val="nil"/>
              <w:bottom w:val="single" w:sz="4" w:space="0" w:color="auto"/>
              <w:right w:val="single" w:sz="4" w:space="0" w:color="auto"/>
            </w:tcBorders>
            <w:shd w:val="clear" w:color="auto" w:fill="auto"/>
            <w:noWrap/>
            <w:vAlign w:val="bottom"/>
            <w:hideMark/>
          </w:tcPr>
          <w:p w14:paraId="4324E98C"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1.50</w:t>
            </w:r>
          </w:p>
        </w:tc>
        <w:tc>
          <w:tcPr>
            <w:tcW w:w="512" w:type="pct"/>
            <w:tcBorders>
              <w:top w:val="nil"/>
              <w:left w:val="nil"/>
              <w:bottom w:val="single" w:sz="4" w:space="0" w:color="auto"/>
              <w:right w:val="single" w:sz="4" w:space="0" w:color="auto"/>
            </w:tcBorders>
            <w:shd w:val="clear" w:color="auto" w:fill="auto"/>
            <w:noWrap/>
            <w:vAlign w:val="bottom"/>
            <w:hideMark/>
          </w:tcPr>
          <w:p w14:paraId="7A207CFE"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w:t>
            </w:r>
          </w:p>
        </w:tc>
        <w:tc>
          <w:tcPr>
            <w:tcW w:w="548" w:type="pct"/>
            <w:tcBorders>
              <w:top w:val="nil"/>
              <w:left w:val="nil"/>
              <w:bottom w:val="single" w:sz="4" w:space="0" w:color="auto"/>
              <w:right w:val="single" w:sz="4" w:space="0" w:color="auto"/>
            </w:tcBorders>
            <w:shd w:val="clear" w:color="auto" w:fill="auto"/>
            <w:noWrap/>
            <w:vAlign w:val="bottom"/>
            <w:hideMark/>
          </w:tcPr>
          <w:p w14:paraId="4B681402"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1.18</w:t>
            </w:r>
          </w:p>
        </w:tc>
      </w:tr>
      <w:tr w:rsidR="00F10E36" w:rsidRPr="00B94B76" w14:paraId="6278B66D"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5B8FFCC2" w14:textId="74B468BE" w:rsidR="00F10E36" w:rsidRPr="00B94B76" w:rsidRDefault="00F10E36" w:rsidP="00F10E36">
            <w:pPr>
              <w:rPr>
                <w:rFonts w:ascii="Arial Narrow" w:hAnsi="Arial Narrow" w:cs="Calibri"/>
                <w:sz w:val="20"/>
                <w:szCs w:val="20"/>
              </w:rPr>
            </w:pPr>
            <w:r w:rsidRPr="00BE2534">
              <w:rPr>
                <w:rFonts w:ascii="Arial Narrow" w:hAnsi="Arial Narrow" w:cs="Calibri"/>
                <w:sz w:val="20"/>
                <w:szCs w:val="20"/>
                <w:lang w:val="sq-AL"/>
              </w:rPr>
              <w:t>Kostot operacionale</w:t>
            </w:r>
          </w:p>
        </w:tc>
        <w:tc>
          <w:tcPr>
            <w:tcW w:w="499" w:type="pct"/>
            <w:tcBorders>
              <w:top w:val="nil"/>
              <w:left w:val="nil"/>
              <w:bottom w:val="single" w:sz="4" w:space="0" w:color="auto"/>
              <w:right w:val="single" w:sz="4" w:space="0" w:color="auto"/>
            </w:tcBorders>
            <w:shd w:val="clear" w:color="auto" w:fill="auto"/>
            <w:noWrap/>
            <w:vAlign w:val="bottom"/>
            <w:hideMark/>
          </w:tcPr>
          <w:p w14:paraId="3DE08701"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4.08</w:t>
            </w:r>
          </w:p>
        </w:tc>
        <w:tc>
          <w:tcPr>
            <w:tcW w:w="549" w:type="pct"/>
            <w:tcBorders>
              <w:top w:val="nil"/>
              <w:left w:val="nil"/>
              <w:bottom w:val="single" w:sz="4" w:space="0" w:color="auto"/>
              <w:right w:val="single" w:sz="4" w:space="0" w:color="auto"/>
            </w:tcBorders>
            <w:shd w:val="clear" w:color="auto" w:fill="auto"/>
            <w:noWrap/>
            <w:vAlign w:val="bottom"/>
            <w:hideMark/>
          </w:tcPr>
          <w:p w14:paraId="69A7F3BF"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4.00</w:t>
            </w:r>
          </w:p>
        </w:tc>
        <w:tc>
          <w:tcPr>
            <w:tcW w:w="499" w:type="pct"/>
            <w:tcBorders>
              <w:top w:val="nil"/>
              <w:left w:val="nil"/>
              <w:bottom w:val="single" w:sz="4" w:space="0" w:color="auto"/>
              <w:right w:val="single" w:sz="4" w:space="0" w:color="auto"/>
            </w:tcBorders>
            <w:shd w:val="clear" w:color="auto" w:fill="auto"/>
            <w:noWrap/>
            <w:vAlign w:val="bottom"/>
            <w:hideMark/>
          </w:tcPr>
          <w:p w14:paraId="6B3EE40A"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5.86</w:t>
            </w:r>
          </w:p>
        </w:tc>
        <w:tc>
          <w:tcPr>
            <w:tcW w:w="499" w:type="pct"/>
            <w:tcBorders>
              <w:top w:val="nil"/>
              <w:left w:val="nil"/>
              <w:bottom w:val="single" w:sz="4" w:space="0" w:color="auto"/>
              <w:right w:val="single" w:sz="4" w:space="0" w:color="auto"/>
            </w:tcBorders>
            <w:shd w:val="clear" w:color="auto" w:fill="auto"/>
            <w:noWrap/>
            <w:vAlign w:val="bottom"/>
            <w:hideMark/>
          </w:tcPr>
          <w:p w14:paraId="66BF44EC"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6.22</w:t>
            </w:r>
          </w:p>
        </w:tc>
        <w:tc>
          <w:tcPr>
            <w:tcW w:w="512" w:type="pct"/>
            <w:tcBorders>
              <w:top w:val="nil"/>
              <w:left w:val="nil"/>
              <w:bottom w:val="single" w:sz="4" w:space="0" w:color="auto"/>
              <w:right w:val="single" w:sz="4" w:space="0" w:color="auto"/>
            </w:tcBorders>
            <w:shd w:val="clear" w:color="auto" w:fill="auto"/>
            <w:noWrap/>
            <w:vAlign w:val="bottom"/>
            <w:hideMark/>
          </w:tcPr>
          <w:p w14:paraId="52C40426"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w:t>
            </w:r>
          </w:p>
        </w:tc>
        <w:tc>
          <w:tcPr>
            <w:tcW w:w="548" w:type="pct"/>
            <w:tcBorders>
              <w:top w:val="nil"/>
              <w:left w:val="nil"/>
              <w:bottom w:val="single" w:sz="4" w:space="0" w:color="auto"/>
              <w:right w:val="single" w:sz="4" w:space="0" w:color="auto"/>
            </w:tcBorders>
            <w:shd w:val="clear" w:color="auto" w:fill="auto"/>
            <w:noWrap/>
            <w:vAlign w:val="bottom"/>
            <w:hideMark/>
          </w:tcPr>
          <w:p w14:paraId="44E00DA8"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4.46</w:t>
            </w:r>
          </w:p>
        </w:tc>
      </w:tr>
      <w:tr w:rsidR="00F10E36" w:rsidRPr="00B94B76" w14:paraId="75AD7D24"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4BFB6FFA" w14:textId="0CD4B106" w:rsidR="00F10E36" w:rsidRPr="00B94B76" w:rsidRDefault="00F10E36" w:rsidP="00F10E36">
            <w:pPr>
              <w:rPr>
                <w:rFonts w:ascii="Arial Narrow" w:hAnsi="Arial Narrow" w:cs="Calibri"/>
                <w:i/>
                <w:iCs/>
                <w:sz w:val="20"/>
                <w:szCs w:val="20"/>
              </w:rPr>
            </w:pPr>
            <w:r w:rsidRPr="00BE2534">
              <w:rPr>
                <w:rFonts w:ascii="Arial Narrow" w:hAnsi="Arial Narrow" w:cs="Calibri"/>
                <w:i/>
                <w:iCs/>
                <w:sz w:val="20"/>
                <w:szCs w:val="20"/>
                <w:lang w:val="sq-AL"/>
              </w:rPr>
              <w:t>Kostot totale të kompostimit të mbeturinave të gjelbra</w:t>
            </w:r>
          </w:p>
        </w:tc>
        <w:tc>
          <w:tcPr>
            <w:tcW w:w="499" w:type="pct"/>
            <w:tcBorders>
              <w:top w:val="nil"/>
              <w:left w:val="nil"/>
              <w:bottom w:val="single" w:sz="4" w:space="0" w:color="auto"/>
              <w:right w:val="single" w:sz="4" w:space="0" w:color="auto"/>
            </w:tcBorders>
            <w:shd w:val="clear" w:color="auto" w:fill="auto"/>
            <w:noWrap/>
            <w:vAlign w:val="bottom"/>
            <w:hideMark/>
          </w:tcPr>
          <w:p w14:paraId="0803B7BE"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5.25</w:t>
            </w:r>
          </w:p>
        </w:tc>
        <w:tc>
          <w:tcPr>
            <w:tcW w:w="549" w:type="pct"/>
            <w:tcBorders>
              <w:top w:val="nil"/>
              <w:left w:val="nil"/>
              <w:bottom w:val="single" w:sz="4" w:space="0" w:color="auto"/>
              <w:right w:val="single" w:sz="4" w:space="0" w:color="auto"/>
            </w:tcBorders>
            <w:shd w:val="clear" w:color="auto" w:fill="auto"/>
            <w:noWrap/>
            <w:vAlign w:val="bottom"/>
            <w:hideMark/>
          </w:tcPr>
          <w:p w14:paraId="11ACB969"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4.94</w:t>
            </w:r>
          </w:p>
        </w:tc>
        <w:tc>
          <w:tcPr>
            <w:tcW w:w="499" w:type="pct"/>
            <w:tcBorders>
              <w:top w:val="nil"/>
              <w:left w:val="nil"/>
              <w:bottom w:val="single" w:sz="4" w:space="0" w:color="auto"/>
              <w:right w:val="single" w:sz="4" w:space="0" w:color="auto"/>
            </w:tcBorders>
            <w:shd w:val="clear" w:color="auto" w:fill="auto"/>
            <w:noWrap/>
            <w:vAlign w:val="bottom"/>
            <w:hideMark/>
          </w:tcPr>
          <w:p w14:paraId="2A51AC44"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7.24</w:t>
            </w:r>
          </w:p>
        </w:tc>
        <w:tc>
          <w:tcPr>
            <w:tcW w:w="499" w:type="pct"/>
            <w:tcBorders>
              <w:top w:val="nil"/>
              <w:left w:val="nil"/>
              <w:bottom w:val="single" w:sz="4" w:space="0" w:color="auto"/>
              <w:right w:val="single" w:sz="4" w:space="0" w:color="auto"/>
            </w:tcBorders>
            <w:shd w:val="clear" w:color="auto" w:fill="auto"/>
            <w:noWrap/>
            <w:vAlign w:val="bottom"/>
            <w:hideMark/>
          </w:tcPr>
          <w:p w14:paraId="1A4A6C3F"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7.71</w:t>
            </w:r>
          </w:p>
        </w:tc>
        <w:tc>
          <w:tcPr>
            <w:tcW w:w="512" w:type="pct"/>
            <w:tcBorders>
              <w:top w:val="nil"/>
              <w:left w:val="nil"/>
              <w:bottom w:val="single" w:sz="4" w:space="0" w:color="auto"/>
              <w:right w:val="single" w:sz="4" w:space="0" w:color="auto"/>
            </w:tcBorders>
            <w:shd w:val="clear" w:color="auto" w:fill="auto"/>
            <w:noWrap/>
            <w:vAlign w:val="bottom"/>
            <w:hideMark/>
          </w:tcPr>
          <w:p w14:paraId="34276190"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w:t>
            </w:r>
          </w:p>
        </w:tc>
        <w:tc>
          <w:tcPr>
            <w:tcW w:w="548" w:type="pct"/>
            <w:tcBorders>
              <w:top w:val="nil"/>
              <w:left w:val="nil"/>
              <w:bottom w:val="single" w:sz="4" w:space="0" w:color="auto"/>
              <w:right w:val="single" w:sz="4" w:space="0" w:color="auto"/>
            </w:tcBorders>
            <w:shd w:val="clear" w:color="auto" w:fill="auto"/>
            <w:noWrap/>
            <w:vAlign w:val="bottom"/>
            <w:hideMark/>
          </w:tcPr>
          <w:p w14:paraId="65D69F63"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5.64</w:t>
            </w:r>
          </w:p>
        </w:tc>
      </w:tr>
      <w:tr w:rsidR="00F10E36" w:rsidRPr="00B94B76" w14:paraId="46AFA814"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1BA6C8AA" w14:textId="1C75ACD6" w:rsidR="00F10E36" w:rsidRPr="00B94B76" w:rsidRDefault="00F10E36" w:rsidP="00F10E36">
            <w:pPr>
              <w:rPr>
                <w:rFonts w:ascii="Arial Narrow" w:hAnsi="Arial Narrow" w:cs="Calibri"/>
                <w:i/>
                <w:iCs/>
                <w:sz w:val="20"/>
                <w:szCs w:val="20"/>
              </w:rPr>
            </w:pPr>
            <w:r w:rsidRPr="00BE2534">
              <w:rPr>
                <w:rFonts w:ascii="Arial Narrow" w:hAnsi="Arial Narrow" w:cs="Calibri"/>
                <w:i/>
                <w:iCs/>
                <w:sz w:val="20"/>
                <w:szCs w:val="20"/>
                <w:lang w:val="sq-AL"/>
              </w:rPr>
              <w:t>Programi i kompostimit shtëpiak OPEX</w:t>
            </w:r>
          </w:p>
        </w:tc>
        <w:tc>
          <w:tcPr>
            <w:tcW w:w="499" w:type="pct"/>
            <w:tcBorders>
              <w:top w:val="nil"/>
              <w:left w:val="nil"/>
              <w:bottom w:val="single" w:sz="4" w:space="0" w:color="auto"/>
              <w:right w:val="single" w:sz="4" w:space="0" w:color="auto"/>
            </w:tcBorders>
            <w:shd w:val="clear" w:color="auto" w:fill="auto"/>
            <w:noWrap/>
            <w:vAlign w:val="bottom"/>
            <w:hideMark/>
          </w:tcPr>
          <w:p w14:paraId="686CDB86"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1.80</w:t>
            </w:r>
          </w:p>
        </w:tc>
        <w:tc>
          <w:tcPr>
            <w:tcW w:w="549" w:type="pct"/>
            <w:tcBorders>
              <w:top w:val="nil"/>
              <w:left w:val="nil"/>
              <w:bottom w:val="single" w:sz="4" w:space="0" w:color="auto"/>
              <w:right w:val="single" w:sz="4" w:space="0" w:color="auto"/>
            </w:tcBorders>
            <w:shd w:val="clear" w:color="auto" w:fill="auto"/>
            <w:noWrap/>
            <w:vAlign w:val="bottom"/>
            <w:hideMark/>
          </w:tcPr>
          <w:p w14:paraId="332EA59B"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4.13</w:t>
            </w:r>
          </w:p>
        </w:tc>
        <w:tc>
          <w:tcPr>
            <w:tcW w:w="499" w:type="pct"/>
            <w:tcBorders>
              <w:top w:val="nil"/>
              <w:left w:val="nil"/>
              <w:bottom w:val="single" w:sz="4" w:space="0" w:color="auto"/>
              <w:right w:val="single" w:sz="4" w:space="0" w:color="auto"/>
            </w:tcBorders>
            <w:shd w:val="clear" w:color="auto" w:fill="auto"/>
            <w:noWrap/>
            <w:vAlign w:val="bottom"/>
            <w:hideMark/>
          </w:tcPr>
          <w:p w14:paraId="1F9403C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5.49</w:t>
            </w:r>
          </w:p>
        </w:tc>
        <w:tc>
          <w:tcPr>
            <w:tcW w:w="499" w:type="pct"/>
            <w:tcBorders>
              <w:top w:val="nil"/>
              <w:left w:val="nil"/>
              <w:bottom w:val="single" w:sz="4" w:space="0" w:color="auto"/>
              <w:right w:val="single" w:sz="4" w:space="0" w:color="auto"/>
            </w:tcBorders>
            <w:shd w:val="clear" w:color="auto" w:fill="auto"/>
            <w:noWrap/>
            <w:vAlign w:val="bottom"/>
            <w:hideMark/>
          </w:tcPr>
          <w:p w14:paraId="0C6296CF"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5.72</w:t>
            </w:r>
          </w:p>
        </w:tc>
        <w:tc>
          <w:tcPr>
            <w:tcW w:w="512" w:type="pct"/>
            <w:tcBorders>
              <w:top w:val="nil"/>
              <w:left w:val="nil"/>
              <w:bottom w:val="single" w:sz="4" w:space="0" w:color="auto"/>
              <w:right w:val="single" w:sz="4" w:space="0" w:color="auto"/>
            </w:tcBorders>
            <w:shd w:val="clear" w:color="auto" w:fill="auto"/>
            <w:noWrap/>
            <w:vAlign w:val="bottom"/>
            <w:hideMark/>
          </w:tcPr>
          <w:p w14:paraId="3D4033AE"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7.42</w:t>
            </w:r>
          </w:p>
        </w:tc>
        <w:tc>
          <w:tcPr>
            <w:tcW w:w="548" w:type="pct"/>
            <w:tcBorders>
              <w:top w:val="nil"/>
              <w:left w:val="nil"/>
              <w:bottom w:val="single" w:sz="4" w:space="0" w:color="auto"/>
              <w:right w:val="single" w:sz="4" w:space="0" w:color="auto"/>
            </w:tcBorders>
            <w:shd w:val="clear" w:color="auto" w:fill="auto"/>
            <w:noWrap/>
            <w:vAlign w:val="bottom"/>
            <w:hideMark/>
          </w:tcPr>
          <w:p w14:paraId="630B61B1"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3.17</w:t>
            </w:r>
          </w:p>
        </w:tc>
      </w:tr>
      <w:tr w:rsidR="00F10E36" w:rsidRPr="00B94B76" w14:paraId="59A766D2"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5BCFECDE" w14:textId="2C83ACAE" w:rsidR="00F10E36" w:rsidRPr="00B94B76" w:rsidRDefault="00F10E36" w:rsidP="00F10E36">
            <w:pPr>
              <w:rPr>
                <w:rFonts w:ascii="Arial Narrow" w:hAnsi="Arial Narrow" w:cs="Calibri"/>
                <w:i/>
                <w:iCs/>
                <w:color w:val="000000"/>
                <w:sz w:val="20"/>
                <w:szCs w:val="20"/>
              </w:rPr>
            </w:pPr>
            <w:r w:rsidRPr="00BE2534">
              <w:rPr>
                <w:rFonts w:ascii="Arial Narrow" w:hAnsi="Arial Narrow" w:cs="Calibri"/>
                <w:i/>
                <w:iCs/>
                <w:color w:val="000000"/>
                <w:sz w:val="20"/>
                <w:szCs w:val="20"/>
                <w:lang w:val="sq-AL"/>
              </w:rPr>
              <w:t xml:space="preserve">Impianti klasifikues për grumbullimin </w:t>
            </w:r>
            <w:r>
              <w:rPr>
                <w:rFonts w:ascii="Arial Narrow" w:hAnsi="Arial Narrow" w:cs="Calibri"/>
                <w:i/>
                <w:iCs/>
                <w:color w:val="000000"/>
                <w:sz w:val="20"/>
                <w:szCs w:val="20"/>
                <w:lang w:val="sq-AL"/>
              </w:rPr>
              <w:t>ndaras</w:t>
            </w:r>
          </w:p>
        </w:tc>
        <w:tc>
          <w:tcPr>
            <w:tcW w:w="499" w:type="pct"/>
            <w:tcBorders>
              <w:top w:val="nil"/>
              <w:left w:val="nil"/>
              <w:bottom w:val="single" w:sz="4" w:space="0" w:color="auto"/>
              <w:right w:val="single" w:sz="4" w:space="0" w:color="auto"/>
            </w:tcBorders>
            <w:shd w:val="clear" w:color="auto" w:fill="auto"/>
            <w:noWrap/>
            <w:vAlign w:val="bottom"/>
            <w:hideMark/>
          </w:tcPr>
          <w:p w14:paraId="52BEE62D" w14:textId="77777777" w:rsidR="00F10E36" w:rsidRPr="00B94B76" w:rsidRDefault="00F10E36" w:rsidP="00F10E36">
            <w:pPr>
              <w:jc w:val="center"/>
              <w:rPr>
                <w:rFonts w:ascii="Arial Narrow" w:hAnsi="Arial Narrow" w:cs="Calibri"/>
                <w:color w:val="000000"/>
                <w:sz w:val="20"/>
                <w:szCs w:val="20"/>
              </w:rPr>
            </w:pPr>
          </w:p>
        </w:tc>
        <w:tc>
          <w:tcPr>
            <w:tcW w:w="549" w:type="pct"/>
            <w:tcBorders>
              <w:top w:val="nil"/>
              <w:left w:val="nil"/>
              <w:bottom w:val="single" w:sz="4" w:space="0" w:color="auto"/>
              <w:right w:val="single" w:sz="4" w:space="0" w:color="auto"/>
            </w:tcBorders>
            <w:shd w:val="clear" w:color="auto" w:fill="auto"/>
            <w:noWrap/>
            <w:vAlign w:val="bottom"/>
            <w:hideMark/>
          </w:tcPr>
          <w:p w14:paraId="00912AE9" w14:textId="77777777" w:rsidR="00F10E36" w:rsidRPr="00B94B76" w:rsidRDefault="00F10E36" w:rsidP="00F10E36">
            <w:pPr>
              <w:jc w:val="center"/>
              <w:rPr>
                <w:rFonts w:ascii="Arial Narrow" w:hAnsi="Arial Narrow" w:cs="Calibri"/>
                <w:color w:val="000000"/>
                <w:sz w:val="20"/>
                <w:szCs w:val="20"/>
              </w:rPr>
            </w:pPr>
          </w:p>
        </w:tc>
        <w:tc>
          <w:tcPr>
            <w:tcW w:w="499" w:type="pct"/>
            <w:tcBorders>
              <w:top w:val="nil"/>
              <w:left w:val="nil"/>
              <w:bottom w:val="single" w:sz="4" w:space="0" w:color="auto"/>
              <w:right w:val="single" w:sz="4" w:space="0" w:color="auto"/>
            </w:tcBorders>
            <w:shd w:val="clear" w:color="auto" w:fill="auto"/>
            <w:noWrap/>
            <w:vAlign w:val="bottom"/>
            <w:hideMark/>
          </w:tcPr>
          <w:p w14:paraId="5C27E8F6" w14:textId="77777777" w:rsidR="00F10E36" w:rsidRPr="00B94B76" w:rsidRDefault="00F10E36" w:rsidP="00F10E36">
            <w:pPr>
              <w:jc w:val="center"/>
              <w:rPr>
                <w:rFonts w:ascii="Arial Narrow" w:hAnsi="Arial Narrow" w:cs="Calibri"/>
                <w:color w:val="000000"/>
                <w:sz w:val="20"/>
                <w:szCs w:val="20"/>
              </w:rPr>
            </w:pPr>
          </w:p>
        </w:tc>
        <w:tc>
          <w:tcPr>
            <w:tcW w:w="499" w:type="pct"/>
            <w:tcBorders>
              <w:top w:val="nil"/>
              <w:left w:val="nil"/>
              <w:bottom w:val="single" w:sz="4" w:space="0" w:color="auto"/>
              <w:right w:val="single" w:sz="4" w:space="0" w:color="auto"/>
            </w:tcBorders>
            <w:shd w:val="clear" w:color="auto" w:fill="auto"/>
            <w:noWrap/>
            <w:vAlign w:val="bottom"/>
            <w:hideMark/>
          </w:tcPr>
          <w:p w14:paraId="022107AE" w14:textId="77777777" w:rsidR="00F10E36" w:rsidRPr="00B94B76" w:rsidRDefault="00F10E36" w:rsidP="00F10E36">
            <w:pPr>
              <w:jc w:val="center"/>
              <w:rPr>
                <w:rFonts w:ascii="Arial Narrow" w:hAnsi="Arial Narrow" w:cs="Calibri"/>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bottom"/>
            <w:hideMark/>
          </w:tcPr>
          <w:p w14:paraId="483042C7" w14:textId="77777777" w:rsidR="00F10E36" w:rsidRPr="00B94B76" w:rsidRDefault="00F10E36" w:rsidP="00F10E36">
            <w:pPr>
              <w:jc w:val="center"/>
              <w:rPr>
                <w:rFonts w:ascii="Arial Narrow" w:hAnsi="Arial Narrow" w:cs="Calibri"/>
                <w:color w:val="000000"/>
                <w:sz w:val="20"/>
                <w:szCs w:val="20"/>
              </w:rPr>
            </w:pPr>
          </w:p>
        </w:tc>
        <w:tc>
          <w:tcPr>
            <w:tcW w:w="548" w:type="pct"/>
            <w:tcBorders>
              <w:top w:val="nil"/>
              <w:left w:val="nil"/>
              <w:bottom w:val="single" w:sz="4" w:space="0" w:color="auto"/>
              <w:right w:val="single" w:sz="4" w:space="0" w:color="auto"/>
            </w:tcBorders>
            <w:shd w:val="clear" w:color="auto" w:fill="auto"/>
            <w:noWrap/>
            <w:vAlign w:val="bottom"/>
            <w:hideMark/>
          </w:tcPr>
          <w:p w14:paraId="7E7E9858" w14:textId="77777777" w:rsidR="00F10E36" w:rsidRPr="00B94B76" w:rsidRDefault="00F10E36" w:rsidP="00F10E36">
            <w:pPr>
              <w:rPr>
                <w:rFonts w:ascii="Arial Narrow" w:hAnsi="Arial Narrow" w:cs="Arial"/>
                <w:sz w:val="20"/>
                <w:szCs w:val="20"/>
              </w:rPr>
            </w:pPr>
          </w:p>
        </w:tc>
      </w:tr>
      <w:tr w:rsidR="00F10E36" w:rsidRPr="00B94B76" w14:paraId="24EAF6F5"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06207410" w14:textId="3B299BA1" w:rsidR="00F10E36" w:rsidRPr="00B94B76" w:rsidRDefault="00F10E36" w:rsidP="00F10E36">
            <w:pPr>
              <w:rPr>
                <w:rFonts w:ascii="Arial Narrow" w:hAnsi="Arial Narrow" w:cs="Calibri"/>
                <w:color w:val="000000"/>
                <w:sz w:val="20"/>
                <w:szCs w:val="20"/>
              </w:rPr>
            </w:pPr>
            <w:r w:rsidRPr="00BE2534">
              <w:rPr>
                <w:rFonts w:ascii="Arial Narrow" w:hAnsi="Arial Narrow" w:cs="Calibri"/>
                <w:color w:val="000000"/>
                <w:sz w:val="20"/>
                <w:szCs w:val="20"/>
                <w:lang w:val="sq-AL"/>
              </w:rPr>
              <w:lastRenderedPageBreak/>
              <w:t>Kostot investive</w:t>
            </w:r>
          </w:p>
        </w:tc>
        <w:tc>
          <w:tcPr>
            <w:tcW w:w="499" w:type="pct"/>
            <w:tcBorders>
              <w:top w:val="nil"/>
              <w:left w:val="nil"/>
              <w:bottom w:val="single" w:sz="4" w:space="0" w:color="auto"/>
              <w:right w:val="single" w:sz="4" w:space="0" w:color="auto"/>
            </w:tcBorders>
            <w:shd w:val="clear" w:color="auto" w:fill="auto"/>
            <w:noWrap/>
            <w:vAlign w:val="bottom"/>
            <w:hideMark/>
          </w:tcPr>
          <w:p w14:paraId="26114143"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1.76</w:t>
            </w:r>
          </w:p>
        </w:tc>
        <w:tc>
          <w:tcPr>
            <w:tcW w:w="549" w:type="pct"/>
            <w:tcBorders>
              <w:top w:val="nil"/>
              <w:left w:val="nil"/>
              <w:bottom w:val="single" w:sz="4" w:space="0" w:color="auto"/>
              <w:right w:val="single" w:sz="4" w:space="0" w:color="auto"/>
            </w:tcBorders>
            <w:shd w:val="clear" w:color="auto" w:fill="auto"/>
            <w:noWrap/>
            <w:vAlign w:val="bottom"/>
            <w:hideMark/>
          </w:tcPr>
          <w:p w14:paraId="7F016AB2"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1.56</w:t>
            </w:r>
          </w:p>
        </w:tc>
        <w:tc>
          <w:tcPr>
            <w:tcW w:w="499" w:type="pct"/>
            <w:tcBorders>
              <w:top w:val="nil"/>
              <w:left w:val="nil"/>
              <w:bottom w:val="single" w:sz="4" w:space="0" w:color="auto"/>
              <w:right w:val="single" w:sz="4" w:space="0" w:color="auto"/>
            </w:tcBorders>
            <w:shd w:val="clear" w:color="auto" w:fill="auto"/>
            <w:noWrap/>
            <w:vAlign w:val="bottom"/>
            <w:hideMark/>
          </w:tcPr>
          <w:p w14:paraId="74673A2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1.53</w:t>
            </w:r>
          </w:p>
        </w:tc>
        <w:tc>
          <w:tcPr>
            <w:tcW w:w="499" w:type="pct"/>
            <w:tcBorders>
              <w:top w:val="nil"/>
              <w:left w:val="nil"/>
              <w:bottom w:val="single" w:sz="4" w:space="0" w:color="auto"/>
              <w:right w:val="single" w:sz="4" w:space="0" w:color="auto"/>
            </w:tcBorders>
            <w:shd w:val="clear" w:color="auto" w:fill="auto"/>
            <w:noWrap/>
            <w:vAlign w:val="bottom"/>
            <w:hideMark/>
          </w:tcPr>
          <w:p w14:paraId="372FD8F1"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1.48</w:t>
            </w:r>
          </w:p>
        </w:tc>
        <w:tc>
          <w:tcPr>
            <w:tcW w:w="512" w:type="pct"/>
            <w:tcBorders>
              <w:top w:val="nil"/>
              <w:left w:val="nil"/>
              <w:bottom w:val="single" w:sz="4" w:space="0" w:color="auto"/>
              <w:right w:val="single" w:sz="4" w:space="0" w:color="auto"/>
            </w:tcBorders>
            <w:shd w:val="clear" w:color="auto" w:fill="auto"/>
            <w:noWrap/>
            <w:vAlign w:val="bottom"/>
            <w:hideMark/>
          </w:tcPr>
          <w:p w14:paraId="41A2747C"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1.43</w:t>
            </w:r>
          </w:p>
        </w:tc>
        <w:tc>
          <w:tcPr>
            <w:tcW w:w="548" w:type="pct"/>
            <w:tcBorders>
              <w:top w:val="nil"/>
              <w:left w:val="nil"/>
              <w:bottom w:val="single" w:sz="4" w:space="0" w:color="auto"/>
              <w:right w:val="single" w:sz="4" w:space="0" w:color="auto"/>
            </w:tcBorders>
            <w:shd w:val="clear" w:color="auto" w:fill="auto"/>
            <w:noWrap/>
            <w:vAlign w:val="bottom"/>
            <w:hideMark/>
          </w:tcPr>
          <w:p w14:paraId="105B9836"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1.66</w:t>
            </w:r>
          </w:p>
        </w:tc>
      </w:tr>
      <w:tr w:rsidR="00F10E36" w:rsidRPr="00B94B76" w14:paraId="0102A247"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6510D657" w14:textId="45844444" w:rsidR="00F10E36" w:rsidRPr="00B94B76" w:rsidRDefault="00F10E36" w:rsidP="00F10E36">
            <w:pPr>
              <w:rPr>
                <w:rFonts w:ascii="Arial Narrow" w:hAnsi="Arial Narrow" w:cs="Calibri"/>
                <w:color w:val="000000"/>
                <w:sz w:val="20"/>
                <w:szCs w:val="20"/>
              </w:rPr>
            </w:pPr>
            <w:r w:rsidRPr="00BE2534">
              <w:rPr>
                <w:rFonts w:ascii="Arial Narrow" w:hAnsi="Arial Narrow" w:cs="Calibri"/>
                <w:color w:val="000000"/>
                <w:sz w:val="20"/>
                <w:szCs w:val="20"/>
                <w:lang w:val="sq-AL"/>
              </w:rPr>
              <w:t>Kostot operacionale</w:t>
            </w:r>
          </w:p>
        </w:tc>
        <w:tc>
          <w:tcPr>
            <w:tcW w:w="499" w:type="pct"/>
            <w:tcBorders>
              <w:top w:val="nil"/>
              <w:left w:val="nil"/>
              <w:bottom w:val="single" w:sz="4" w:space="0" w:color="auto"/>
              <w:right w:val="single" w:sz="4" w:space="0" w:color="auto"/>
            </w:tcBorders>
            <w:shd w:val="clear" w:color="auto" w:fill="auto"/>
            <w:noWrap/>
            <w:vAlign w:val="bottom"/>
            <w:hideMark/>
          </w:tcPr>
          <w:p w14:paraId="51FBB06E"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6.96</w:t>
            </w:r>
          </w:p>
        </w:tc>
        <w:tc>
          <w:tcPr>
            <w:tcW w:w="549" w:type="pct"/>
            <w:tcBorders>
              <w:top w:val="nil"/>
              <w:left w:val="nil"/>
              <w:bottom w:val="single" w:sz="4" w:space="0" w:color="auto"/>
              <w:right w:val="single" w:sz="4" w:space="0" w:color="auto"/>
            </w:tcBorders>
            <w:shd w:val="clear" w:color="auto" w:fill="auto"/>
            <w:noWrap/>
            <w:vAlign w:val="bottom"/>
            <w:hideMark/>
          </w:tcPr>
          <w:p w14:paraId="3FAC4A39"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6.15</w:t>
            </w:r>
          </w:p>
        </w:tc>
        <w:tc>
          <w:tcPr>
            <w:tcW w:w="499" w:type="pct"/>
            <w:tcBorders>
              <w:top w:val="nil"/>
              <w:left w:val="nil"/>
              <w:bottom w:val="single" w:sz="4" w:space="0" w:color="auto"/>
              <w:right w:val="single" w:sz="4" w:space="0" w:color="auto"/>
            </w:tcBorders>
            <w:shd w:val="clear" w:color="auto" w:fill="auto"/>
            <w:noWrap/>
            <w:vAlign w:val="bottom"/>
            <w:hideMark/>
          </w:tcPr>
          <w:p w14:paraId="4FA83383"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6.05</w:t>
            </w:r>
          </w:p>
        </w:tc>
        <w:tc>
          <w:tcPr>
            <w:tcW w:w="499" w:type="pct"/>
            <w:tcBorders>
              <w:top w:val="nil"/>
              <w:left w:val="nil"/>
              <w:bottom w:val="single" w:sz="4" w:space="0" w:color="auto"/>
              <w:right w:val="single" w:sz="4" w:space="0" w:color="auto"/>
            </w:tcBorders>
            <w:shd w:val="clear" w:color="auto" w:fill="auto"/>
            <w:noWrap/>
            <w:vAlign w:val="bottom"/>
            <w:hideMark/>
          </w:tcPr>
          <w:p w14:paraId="02CD1B62"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5.83</w:t>
            </w:r>
          </w:p>
        </w:tc>
        <w:tc>
          <w:tcPr>
            <w:tcW w:w="512" w:type="pct"/>
            <w:tcBorders>
              <w:top w:val="nil"/>
              <w:left w:val="nil"/>
              <w:bottom w:val="single" w:sz="4" w:space="0" w:color="auto"/>
              <w:right w:val="single" w:sz="4" w:space="0" w:color="auto"/>
            </w:tcBorders>
            <w:shd w:val="clear" w:color="auto" w:fill="auto"/>
            <w:noWrap/>
            <w:vAlign w:val="bottom"/>
            <w:hideMark/>
          </w:tcPr>
          <w:p w14:paraId="11A03C92"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5.65</w:t>
            </w:r>
          </w:p>
        </w:tc>
        <w:tc>
          <w:tcPr>
            <w:tcW w:w="548" w:type="pct"/>
            <w:tcBorders>
              <w:top w:val="nil"/>
              <w:left w:val="nil"/>
              <w:bottom w:val="single" w:sz="4" w:space="0" w:color="auto"/>
              <w:right w:val="single" w:sz="4" w:space="0" w:color="auto"/>
            </w:tcBorders>
            <w:shd w:val="clear" w:color="auto" w:fill="auto"/>
            <w:noWrap/>
            <w:vAlign w:val="bottom"/>
            <w:hideMark/>
          </w:tcPr>
          <w:p w14:paraId="4B4068D5"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6.56</w:t>
            </w:r>
          </w:p>
        </w:tc>
      </w:tr>
      <w:tr w:rsidR="00F10E36" w:rsidRPr="00B94B76" w14:paraId="0FDF3CD9"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5D182AAC" w14:textId="5299E83B" w:rsidR="00F10E36" w:rsidRPr="00B94B76" w:rsidRDefault="00F10E36" w:rsidP="00F10E36">
            <w:pPr>
              <w:rPr>
                <w:rFonts w:ascii="Arial Narrow" w:hAnsi="Arial Narrow" w:cs="Calibri"/>
                <w:i/>
                <w:iCs/>
                <w:color w:val="000000"/>
                <w:sz w:val="20"/>
                <w:szCs w:val="20"/>
              </w:rPr>
            </w:pPr>
            <w:r w:rsidRPr="00BE2534">
              <w:rPr>
                <w:rFonts w:ascii="Arial Narrow" w:hAnsi="Arial Narrow" w:cs="Calibri"/>
                <w:i/>
                <w:iCs/>
                <w:color w:val="000000"/>
                <w:sz w:val="20"/>
                <w:szCs w:val="20"/>
                <w:lang w:val="sq-AL"/>
              </w:rPr>
              <w:t>Kostot totale të impianteve të klasifikimit</w:t>
            </w:r>
          </w:p>
        </w:tc>
        <w:tc>
          <w:tcPr>
            <w:tcW w:w="499" w:type="pct"/>
            <w:tcBorders>
              <w:top w:val="nil"/>
              <w:left w:val="nil"/>
              <w:bottom w:val="single" w:sz="4" w:space="0" w:color="auto"/>
              <w:right w:val="single" w:sz="4" w:space="0" w:color="auto"/>
            </w:tcBorders>
            <w:shd w:val="clear" w:color="auto" w:fill="auto"/>
            <w:noWrap/>
            <w:vAlign w:val="bottom"/>
            <w:hideMark/>
          </w:tcPr>
          <w:p w14:paraId="032A0120"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8.72</w:t>
            </w:r>
          </w:p>
        </w:tc>
        <w:tc>
          <w:tcPr>
            <w:tcW w:w="549" w:type="pct"/>
            <w:tcBorders>
              <w:top w:val="nil"/>
              <w:left w:val="nil"/>
              <w:bottom w:val="single" w:sz="4" w:space="0" w:color="auto"/>
              <w:right w:val="single" w:sz="4" w:space="0" w:color="auto"/>
            </w:tcBorders>
            <w:shd w:val="clear" w:color="auto" w:fill="auto"/>
            <w:noWrap/>
            <w:vAlign w:val="bottom"/>
            <w:hideMark/>
          </w:tcPr>
          <w:p w14:paraId="7D79D222"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7.71</w:t>
            </w:r>
          </w:p>
        </w:tc>
        <w:tc>
          <w:tcPr>
            <w:tcW w:w="499" w:type="pct"/>
            <w:tcBorders>
              <w:top w:val="nil"/>
              <w:left w:val="nil"/>
              <w:bottom w:val="single" w:sz="4" w:space="0" w:color="auto"/>
              <w:right w:val="single" w:sz="4" w:space="0" w:color="auto"/>
            </w:tcBorders>
            <w:shd w:val="clear" w:color="auto" w:fill="auto"/>
            <w:noWrap/>
            <w:vAlign w:val="bottom"/>
            <w:hideMark/>
          </w:tcPr>
          <w:p w14:paraId="457F5452"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7.59</w:t>
            </w:r>
          </w:p>
        </w:tc>
        <w:tc>
          <w:tcPr>
            <w:tcW w:w="499" w:type="pct"/>
            <w:tcBorders>
              <w:top w:val="nil"/>
              <w:left w:val="nil"/>
              <w:bottom w:val="single" w:sz="4" w:space="0" w:color="auto"/>
              <w:right w:val="single" w:sz="4" w:space="0" w:color="auto"/>
            </w:tcBorders>
            <w:shd w:val="clear" w:color="auto" w:fill="auto"/>
            <w:noWrap/>
            <w:vAlign w:val="bottom"/>
            <w:hideMark/>
          </w:tcPr>
          <w:p w14:paraId="40D2A2D5"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7.30</w:t>
            </w:r>
          </w:p>
        </w:tc>
        <w:tc>
          <w:tcPr>
            <w:tcW w:w="512" w:type="pct"/>
            <w:tcBorders>
              <w:top w:val="nil"/>
              <w:left w:val="nil"/>
              <w:bottom w:val="single" w:sz="4" w:space="0" w:color="auto"/>
              <w:right w:val="single" w:sz="4" w:space="0" w:color="auto"/>
            </w:tcBorders>
            <w:shd w:val="clear" w:color="auto" w:fill="auto"/>
            <w:noWrap/>
            <w:vAlign w:val="bottom"/>
            <w:hideMark/>
          </w:tcPr>
          <w:p w14:paraId="6BBDA56F"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7.08</w:t>
            </w:r>
          </w:p>
        </w:tc>
        <w:tc>
          <w:tcPr>
            <w:tcW w:w="548" w:type="pct"/>
            <w:tcBorders>
              <w:top w:val="nil"/>
              <w:left w:val="nil"/>
              <w:bottom w:val="single" w:sz="4" w:space="0" w:color="auto"/>
              <w:right w:val="single" w:sz="4" w:space="0" w:color="auto"/>
            </w:tcBorders>
            <w:shd w:val="clear" w:color="auto" w:fill="auto"/>
            <w:noWrap/>
            <w:vAlign w:val="bottom"/>
            <w:hideMark/>
          </w:tcPr>
          <w:p w14:paraId="65808E48"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8.22</w:t>
            </w:r>
          </w:p>
        </w:tc>
      </w:tr>
      <w:tr w:rsidR="00F10E36" w:rsidRPr="00B94B76" w14:paraId="5DB0C878"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022DF866" w14:textId="3F187030" w:rsidR="00F10E36" w:rsidRPr="00B94B76" w:rsidRDefault="00F10E36" w:rsidP="00F10E36">
            <w:pPr>
              <w:rPr>
                <w:rFonts w:ascii="Arial Narrow" w:hAnsi="Arial Narrow" w:cs="Calibri"/>
                <w:i/>
                <w:iCs/>
                <w:color w:val="000000"/>
                <w:sz w:val="20"/>
                <w:szCs w:val="20"/>
              </w:rPr>
            </w:pPr>
            <w:r w:rsidRPr="00BE2534">
              <w:rPr>
                <w:rFonts w:ascii="Arial Narrow" w:hAnsi="Arial Narrow" w:cs="Calibri"/>
                <w:i/>
                <w:iCs/>
                <w:color w:val="000000"/>
                <w:sz w:val="20"/>
                <w:szCs w:val="20"/>
                <w:lang w:val="sq-AL"/>
              </w:rPr>
              <w:t>Trajtimi i mbeturinave të përziera (TMB)</w:t>
            </w:r>
          </w:p>
        </w:tc>
        <w:tc>
          <w:tcPr>
            <w:tcW w:w="499" w:type="pct"/>
            <w:tcBorders>
              <w:top w:val="nil"/>
              <w:left w:val="nil"/>
              <w:bottom w:val="single" w:sz="4" w:space="0" w:color="auto"/>
              <w:right w:val="single" w:sz="4" w:space="0" w:color="auto"/>
            </w:tcBorders>
            <w:shd w:val="clear" w:color="auto" w:fill="auto"/>
            <w:noWrap/>
            <w:vAlign w:val="bottom"/>
            <w:hideMark/>
          </w:tcPr>
          <w:p w14:paraId="389F10EF" w14:textId="77777777" w:rsidR="00F10E36" w:rsidRPr="00B94B76" w:rsidRDefault="00F10E36" w:rsidP="00F10E36">
            <w:pPr>
              <w:jc w:val="center"/>
              <w:rPr>
                <w:rFonts w:ascii="Arial Narrow" w:hAnsi="Arial Narrow" w:cs="Calibri"/>
                <w:color w:val="000000"/>
                <w:sz w:val="20"/>
                <w:szCs w:val="20"/>
              </w:rPr>
            </w:pPr>
          </w:p>
        </w:tc>
        <w:tc>
          <w:tcPr>
            <w:tcW w:w="549" w:type="pct"/>
            <w:tcBorders>
              <w:top w:val="nil"/>
              <w:left w:val="nil"/>
              <w:bottom w:val="single" w:sz="4" w:space="0" w:color="auto"/>
              <w:right w:val="single" w:sz="4" w:space="0" w:color="auto"/>
            </w:tcBorders>
            <w:shd w:val="clear" w:color="auto" w:fill="auto"/>
            <w:noWrap/>
            <w:vAlign w:val="bottom"/>
            <w:hideMark/>
          </w:tcPr>
          <w:p w14:paraId="49597D4A" w14:textId="77777777" w:rsidR="00F10E36" w:rsidRPr="00B94B76" w:rsidRDefault="00F10E36" w:rsidP="00F10E36">
            <w:pPr>
              <w:rPr>
                <w:rFonts w:ascii="Arial Narrow" w:hAnsi="Arial Narrow" w:cs="Calibri"/>
                <w:color w:val="000000"/>
                <w:sz w:val="20"/>
                <w:szCs w:val="20"/>
              </w:rPr>
            </w:pPr>
          </w:p>
        </w:tc>
        <w:tc>
          <w:tcPr>
            <w:tcW w:w="499" w:type="pct"/>
            <w:tcBorders>
              <w:top w:val="nil"/>
              <w:left w:val="nil"/>
              <w:bottom w:val="single" w:sz="4" w:space="0" w:color="auto"/>
              <w:right w:val="single" w:sz="4" w:space="0" w:color="auto"/>
            </w:tcBorders>
            <w:shd w:val="clear" w:color="auto" w:fill="auto"/>
            <w:noWrap/>
            <w:vAlign w:val="bottom"/>
            <w:hideMark/>
          </w:tcPr>
          <w:p w14:paraId="09284FE9" w14:textId="77777777" w:rsidR="00F10E36" w:rsidRPr="00B94B76" w:rsidRDefault="00F10E36" w:rsidP="00F10E36">
            <w:pPr>
              <w:rPr>
                <w:rFonts w:ascii="Arial Narrow" w:hAnsi="Arial Narrow" w:cs="Calibri"/>
                <w:color w:val="000000"/>
                <w:sz w:val="20"/>
                <w:szCs w:val="20"/>
              </w:rPr>
            </w:pPr>
          </w:p>
        </w:tc>
        <w:tc>
          <w:tcPr>
            <w:tcW w:w="499" w:type="pct"/>
            <w:tcBorders>
              <w:top w:val="nil"/>
              <w:left w:val="nil"/>
              <w:bottom w:val="single" w:sz="4" w:space="0" w:color="auto"/>
              <w:right w:val="single" w:sz="4" w:space="0" w:color="auto"/>
            </w:tcBorders>
            <w:shd w:val="clear" w:color="auto" w:fill="auto"/>
            <w:noWrap/>
            <w:vAlign w:val="bottom"/>
            <w:hideMark/>
          </w:tcPr>
          <w:p w14:paraId="6A8E50D1" w14:textId="77777777" w:rsidR="00F10E36" w:rsidRPr="00B94B76" w:rsidRDefault="00F10E36" w:rsidP="00F10E36">
            <w:pPr>
              <w:rPr>
                <w:rFonts w:ascii="Arial Narrow" w:hAnsi="Arial Narrow" w:cs="Calibri"/>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bottom"/>
            <w:hideMark/>
          </w:tcPr>
          <w:p w14:paraId="70BF6473" w14:textId="77777777" w:rsidR="00F10E36" w:rsidRPr="00B94B76" w:rsidRDefault="00F10E36" w:rsidP="00F10E36">
            <w:pPr>
              <w:rPr>
                <w:rFonts w:ascii="Arial Narrow" w:hAnsi="Arial Narrow" w:cs="Calibri"/>
                <w:color w:val="000000"/>
                <w:sz w:val="20"/>
                <w:szCs w:val="20"/>
              </w:rPr>
            </w:pPr>
          </w:p>
        </w:tc>
        <w:tc>
          <w:tcPr>
            <w:tcW w:w="548" w:type="pct"/>
            <w:tcBorders>
              <w:top w:val="nil"/>
              <w:left w:val="nil"/>
              <w:bottom w:val="single" w:sz="4" w:space="0" w:color="auto"/>
              <w:right w:val="single" w:sz="4" w:space="0" w:color="auto"/>
            </w:tcBorders>
            <w:shd w:val="clear" w:color="auto" w:fill="auto"/>
            <w:noWrap/>
            <w:vAlign w:val="bottom"/>
            <w:hideMark/>
          </w:tcPr>
          <w:p w14:paraId="797D79A6" w14:textId="77777777" w:rsidR="00F10E36" w:rsidRPr="00B94B76" w:rsidRDefault="00F10E36" w:rsidP="00F10E36">
            <w:pPr>
              <w:rPr>
                <w:rFonts w:ascii="Arial Narrow" w:hAnsi="Arial Narrow" w:cs="Calibri"/>
                <w:color w:val="000000"/>
                <w:sz w:val="20"/>
                <w:szCs w:val="20"/>
              </w:rPr>
            </w:pPr>
          </w:p>
        </w:tc>
      </w:tr>
      <w:tr w:rsidR="00F10E36" w:rsidRPr="00B94B76" w14:paraId="42843748"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62078479" w14:textId="0CB10932" w:rsidR="00F10E36" w:rsidRPr="00B94B76" w:rsidRDefault="00F10E36" w:rsidP="00F10E36">
            <w:pPr>
              <w:rPr>
                <w:rFonts w:ascii="Arial Narrow" w:hAnsi="Arial Narrow" w:cs="Calibri"/>
                <w:color w:val="000000"/>
                <w:sz w:val="20"/>
                <w:szCs w:val="20"/>
              </w:rPr>
            </w:pPr>
            <w:r w:rsidRPr="00BE2534">
              <w:rPr>
                <w:rFonts w:ascii="Arial Narrow" w:hAnsi="Arial Narrow" w:cs="Calibri"/>
                <w:color w:val="000000"/>
                <w:sz w:val="20"/>
                <w:szCs w:val="20"/>
                <w:lang w:val="sq-AL"/>
              </w:rPr>
              <w:t>Kostot investive</w:t>
            </w:r>
          </w:p>
        </w:tc>
        <w:tc>
          <w:tcPr>
            <w:tcW w:w="499" w:type="pct"/>
            <w:tcBorders>
              <w:top w:val="nil"/>
              <w:left w:val="nil"/>
              <w:bottom w:val="single" w:sz="4" w:space="0" w:color="auto"/>
              <w:right w:val="single" w:sz="4" w:space="0" w:color="auto"/>
            </w:tcBorders>
            <w:shd w:val="clear" w:color="auto" w:fill="auto"/>
            <w:noWrap/>
            <w:vAlign w:val="bottom"/>
            <w:hideMark/>
          </w:tcPr>
          <w:p w14:paraId="557210D7"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8.09</w:t>
            </w:r>
          </w:p>
        </w:tc>
        <w:tc>
          <w:tcPr>
            <w:tcW w:w="549" w:type="pct"/>
            <w:tcBorders>
              <w:top w:val="nil"/>
              <w:left w:val="nil"/>
              <w:bottom w:val="single" w:sz="4" w:space="0" w:color="auto"/>
              <w:right w:val="single" w:sz="4" w:space="0" w:color="auto"/>
            </w:tcBorders>
            <w:shd w:val="clear" w:color="auto" w:fill="auto"/>
            <w:noWrap/>
            <w:vAlign w:val="bottom"/>
            <w:hideMark/>
          </w:tcPr>
          <w:p w14:paraId="13FCDDC0"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8.54</w:t>
            </w:r>
          </w:p>
        </w:tc>
        <w:tc>
          <w:tcPr>
            <w:tcW w:w="499" w:type="pct"/>
            <w:tcBorders>
              <w:top w:val="nil"/>
              <w:left w:val="nil"/>
              <w:bottom w:val="single" w:sz="4" w:space="0" w:color="auto"/>
              <w:right w:val="single" w:sz="4" w:space="0" w:color="auto"/>
            </w:tcBorders>
            <w:shd w:val="clear" w:color="auto" w:fill="auto"/>
            <w:noWrap/>
            <w:vAlign w:val="bottom"/>
            <w:hideMark/>
          </w:tcPr>
          <w:p w14:paraId="66D3D9D3"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8.34</w:t>
            </w:r>
          </w:p>
        </w:tc>
        <w:tc>
          <w:tcPr>
            <w:tcW w:w="499" w:type="pct"/>
            <w:tcBorders>
              <w:top w:val="nil"/>
              <w:left w:val="nil"/>
              <w:bottom w:val="single" w:sz="4" w:space="0" w:color="auto"/>
              <w:right w:val="single" w:sz="4" w:space="0" w:color="auto"/>
            </w:tcBorders>
            <w:shd w:val="clear" w:color="auto" w:fill="auto"/>
            <w:noWrap/>
            <w:vAlign w:val="bottom"/>
            <w:hideMark/>
          </w:tcPr>
          <w:p w14:paraId="68587401"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8.41</w:t>
            </w:r>
          </w:p>
        </w:tc>
        <w:tc>
          <w:tcPr>
            <w:tcW w:w="512" w:type="pct"/>
            <w:tcBorders>
              <w:top w:val="nil"/>
              <w:left w:val="nil"/>
              <w:bottom w:val="single" w:sz="4" w:space="0" w:color="auto"/>
              <w:right w:val="single" w:sz="4" w:space="0" w:color="auto"/>
            </w:tcBorders>
            <w:shd w:val="clear" w:color="auto" w:fill="auto"/>
            <w:noWrap/>
            <w:vAlign w:val="bottom"/>
            <w:hideMark/>
          </w:tcPr>
          <w:p w14:paraId="246729F9"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8.17</w:t>
            </w:r>
          </w:p>
        </w:tc>
        <w:tc>
          <w:tcPr>
            <w:tcW w:w="548" w:type="pct"/>
            <w:tcBorders>
              <w:top w:val="nil"/>
              <w:left w:val="nil"/>
              <w:bottom w:val="single" w:sz="4" w:space="0" w:color="auto"/>
              <w:right w:val="single" w:sz="4" w:space="0" w:color="auto"/>
            </w:tcBorders>
            <w:shd w:val="clear" w:color="auto" w:fill="auto"/>
            <w:noWrap/>
            <w:vAlign w:val="bottom"/>
            <w:hideMark/>
          </w:tcPr>
          <w:p w14:paraId="24C2069B"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8.24</w:t>
            </w:r>
          </w:p>
        </w:tc>
      </w:tr>
      <w:tr w:rsidR="00F10E36" w:rsidRPr="00B94B76" w14:paraId="27A045A4"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6549B03A" w14:textId="55406266" w:rsidR="00F10E36" w:rsidRPr="00B94B76" w:rsidRDefault="00F10E36" w:rsidP="00F10E36">
            <w:pPr>
              <w:rPr>
                <w:rFonts w:ascii="Arial Narrow" w:hAnsi="Arial Narrow" w:cs="Calibri"/>
                <w:color w:val="000000"/>
                <w:sz w:val="20"/>
                <w:szCs w:val="20"/>
              </w:rPr>
            </w:pPr>
            <w:r w:rsidRPr="00BE2534">
              <w:rPr>
                <w:rFonts w:ascii="Arial Narrow" w:hAnsi="Arial Narrow" w:cs="Calibri"/>
                <w:color w:val="000000"/>
                <w:sz w:val="20"/>
                <w:szCs w:val="20"/>
                <w:lang w:val="sq-AL"/>
              </w:rPr>
              <w:t>Kostot operacionale</w:t>
            </w:r>
          </w:p>
        </w:tc>
        <w:tc>
          <w:tcPr>
            <w:tcW w:w="499" w:type="pct"/>
            <w:tcBorders>
              <w:top w:val="nil"/>
              <w:left w:val="nil"/>
              <w:bottom w:val="single" w:sz="4" w:space="0" w:color="auto"/>
              <w:right w:val="single" w:sz="4" w:space="0" w:color="auto"/>
            </w:tcBorders>
            <w:shd w:val="clear" w:color="auto" w:fill="auto"/>
            <w:noWrap/>
            <w:vAlign w:val="bottom"/>
            <w:hideMark/>
          </w:tcPr>
          <w:p w14:paraId="56FA9090"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7.80</w:t>
            </w:r>
          </w:p>
        </w:tc>
        <w:tc>
          <w:tcPr>
            <w:tcW w:w="549" w:type="pct"/>
            <w:tcBorders>
              <w:top w:val="nil"/>
              <w:left w:val="nil"/>
              <w:bottom w:val="single" w:sz="4" w:space="0" w:color="auto"/>
              <w:right w:val="single" w:sz="4" w:space="0" w:color="auto"/>
            </w:tcBorders>
            <w:shd w:val="clear" w:color="auto" w:fill="auto"/>
            <w:noWrap/>
            <w:vAlign w:val="bottom"/>
            <w:hideMark/>
          </w:tcPr>
          <w:p w14:paraId="6588C8F0"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8.23</w:t>
            </w:r>
          </w:p>
        </w:tc>
        <w:tc>
          <w:tcPr>
            <w:tcW w:w="499" w:type="pct"/>
            <w:tcBorders>
              <w:top w:val="nil"/>
              <w:left w:val="nil"/>
              <w:bottom w:val="single" w:sz="4" w:space="0" w:color="auto"/>
              <w:right w:val="single" w:sz="4" w:space="0" w:color="auto"/>
            </w:tcBorders>
            <w:shd w:val="clear" w:color="auto" w:fill="auto"/>
            <w:noWrap/>
            <w:vAlign w:val="bottom"/>
            <w:hideMark/>
          </w:tcPr>
          <w:p w14:paraId="4B919D37"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8.04</w:t>
            </w:r>
          </w:p>
        </w:tc>
        <w:tc>
          <w:tcPr>
            <w:tcW w:w="499" w:type="pct"/>
            <w:tcBorders>
              <w:top w:val="nil"/>
              <w:left w:val="nil"/>
              <w:bottom w:val="single" w:sz="4" w:space="0" w:color="auto"/>
              <w:right w:val="single" w:sz="4" w:space="0" w:color="auto"/>
            </w:tcBorders>
            <w:shd w:val="clear" w:color="auto" w:fill="auto"/>
            <w:noWrap/>
            <w:vAlign w:val="bottom"/>
            <w:hideMark/>
          </w:tcPr>
          <w:p w14:paraId="2C4934C0"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8.11</w:t>
            </w:r>
          </w:p>
        </w:tc>
        <w:tc>
          <w:tcPr>
            <w:tcW w:w="512" w:type="pct"/>
            <w:tcBorders>
              <w:top w:val="nil"/>
              <w:left w:val="nil"/>
              <w:bottom w:val="single" w:sz="4" w:space="0" w:color="auto"/>
              <w:right w:val="single" w:sz="4" w:space="0" w:color="auto"/>
            </w:tcBorders>
            <w:shd w:val="clear" w:color="auto" w:fill="auto"/>
            <w:noWrap/>
            <w:vAlign w:val="bottom"/>
            <w:hideMark/>
          </w:tcPr>
          <w:p w14:paraId="0F798790"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7.88</w:t>
            </w:r>
          </w:p>
        </w:tc>
        <w:tc>
          <w:tcPr>
            <w:tcW w:w="548" w:type="pct"/>
            <w:tcBorders>
              <w:top w:val="nil"/>
              <w:left w:val="nil"/>
              <w:bottom w:val="single" w:sz="4" w:space="0" w:color="auto"/>
              <w:right w:val="single" w:sz="4" w:space="0" w:color="auto"/>
            </w:tcBorders>
            <w:shd w:val="clear" w:color="auto" w:fill="auto"/>
            <w:noWrap/>
            <w:vAlign w:val="bottom"/>
            <w:hideMark/>
          </w:tcPr>
          <w:p w14:paraId="445262AC"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7.94</w:t>
            </w:r>
          </w:p>
        </w:tc>
      </w:tr>
      <w:tr w:rsidR="00F10E36" w:rsidRPr="00B94B76" w14:paraId="444CDD77"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4A9C604C" w14:textId="3B65404E" w:rsidR="00F10E36" w:rsidRPr="00B94B76" w:rsidRDefault="00F10E36" w:rsidP="00F10E36">
            <w:pPr>
              <w:rPr>
                <w:rFonts w:ascii="Arial Narrow" w:hAnsi="Arial Narrow" w:cs="Calibri"/>
                <w:i/>
                <w:iCs/>
                <w:color w:val="000000"/>
                <w:sz w:val="20"/>
                <w:szCs w:val="20"/>
              </w:rPr>
            </w:pPr>
            <w:r w:rsidRPr="00BE2534">
              <w:rPr>
                <w:rFonts w:ascii="Arial Narrow" w:hAnsi="Arial Narrow" w:cs="Calibri"/>
                <w:i/>
                <w:iCs/>
                <w:color w:val="000000"/>
                <w:sz w:val="20"/>
                <w:szCs w:val="20"/>
                <w:lang w:val="sq-AL"/>
              </w:rPr>
              <w:t>Kostot totale tëT MB</w:t>
            </w:r>
          </w:p>
        </w:tc>
        <w:tc>
          <w:tcPr>
            <w:tcW w:w="499" w:type="pct"/>
            <w:tcBorders>
              <w:top w:val="nil"/>
              <w:left w:val="nil"/>
              <w:bottom w:val="single" w:sz="4" w:space="0" w:color="auto"/>
              <w:right w:val="single" w:sz="4" w:space="0" w:color="auto"/>
            </w:tcBorders>
            <w:shd w:val="clear" w:color="auto" w:fill="auto"/>
            <w:noWrap/>
            <w:vAlign w:val="bottom"/>
            <w:hideMark/>
          </w:tcPr>
          <w:p w14:paraId="6C271488"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15.89</w:t>
            </w:r>
          </w:p>
        </w:tc>
        <w:tc>
          <w:tcPr>
            <w:tcW w:w="549" w:type="pct"/>
            <w:tcBorders>
              <w:top w:val="nil"/>
              <w:left w:val="nil"/>
              <w:bottom w:val="single" w:sz="4" w:space="0" w:color="auto"/>
              <w:right w:val="single" w:sz="4" w:space="0" w:color="auto"/>
            </w:tcBorders>
            <w:shd w:val="clear" w:color="auto" w:fill="auto"/>
            <w:noWrap/>
            <w:vAlign w:val="bottom"/>
            <w:hideMark/>
          </w:tcPr>
          <w:p w14:paraId="324B85D7"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16.77</w:t>
            </w:r>
          </w:p>
        </w:tc>
        <w:tc>
          <w:tcPr>
            <w:tcW w:w="499" w:type="pct"/>
            <w:tcBorders>
              <w:top w:val="nil"/>
              <w:left w:val="nil"/>
              <w:bottom w:val="single" w:sz="4" w:space="0" w:color="auto"/>
              <w:right w:val="single" w:sz="4" w:space="0" w:color="auto"/>
            </w:tcBorders>
            <w:shd w:val="clear" w:color="auto" w:fill="auto"/>
            <w:noWrap/>
            <w:vAlign w:val="bottom"/>
            <w:hideMark/>
          </w:tcPr>
          <w:p w14:paraId="165A5A41"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16.38</w:t>
            </w:r>
          </w:p>
        </w:tc>
        <w:tc>
          <w:tcPr>
            <w:tcW w:w="499" w:type="pct"/>
            <w:tcBorders>
              <w:top w:val="nil"/>
              <w:left w:val="nil"/>
              <w:bottom w:val="single" w:sz="4" w:space="0" w:color="auto"/>
              <w:right w:val="single" w:sz="4" w:space="0" w:color="auto"/>
            </w:tcBorders>
            <w:shd w:val="clear" w:color="auto" w:fill="auto"/>
            <w:noWrap/>
            <w:vAlign w:val="bottom"/>
            <w:hideMark/>
          </w:tcPr>
          <w:p w14:paraId="23453E97"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16.52</w:t>
            </w:r>
          </w:p>
        </w:tc>
        <w:tc>
          <w:tcPr>
            <w:tcW w:w="512" w:type="pct"/>
            <w:tcBorders>
              <w:top w:val="nil"/>
              <w:left w:val="nil"/>
              <w:bottom w:val="single" w:sz="4" w:space="0" w:color="auto"/>
              <w:right w:val="single" w:sz="4" w:space="0" w:color="auto"/>
            </w:tcBorders>
            <w:shd w:val="clear" w:color="auto" w:fill="auto"/>
            <w:noWrap/>
            <w:vAlign w:val="bottom"/>
            <w:hideMark/>
          </w:tcPr>
          <w:p w14:paraId="327EEB91"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16.05</w:t>
            </w:r>
          </w:p>
        </w:tc>
        <w:tc>
          <w:tcPr>
            <w:tcW w:w="548" w:type="pct"/>
            <w:tcBorders>
              <w:top w:val="nil"/>
              <w:left w:val="nil"/>
              <w:bottom w:val="single" w:sz="4" w:space="0" w:color="auto"/>
              <w:right w:val="single" w:sz="4" w:space="0" w:color="auto"/>
            </w:tcBorders>
            <w:shd w:val="clear" w:color="auto" w:fill="auto"/>
            <w:noWrap/>
            <w:vAlign w:val="bottom"/>
            <w:hideMark/>
          </w:tcPr>
          <w:p w14:paraId="4A1FE2CE"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16.18</w:t>
            </w:r>
          </w:p>
        </w:tc>
      </w:tr>
      <w:tr w:rsidR="00F10E36" w:rsidRPr="00B94B76" w14:paraId="19837E1D"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53D8F5E5" w14:textId="3C0A9D12" w:rsidR="00F10E36" w:rsidRPr="00B94B76" w:rsidRDefault="00F10E36" w:rsidP="00F10E36">
            <w:pPr>
              <w:rPr>
                <w:rFonts w:ascii="Arial Narrow" w:hAnsi="Arial Narrow" w:cs="Calibri"/>
                <w:i/>
                <w:iCs/>
                <w:color w:val="000000"/>
                <w:sz w:val="20"/>
                <w:szCs w:val="20"/>
              </w:rPr>
            </w:pPr>
            <w:r w:rsidRPr="00BE2534">
              <w:rPr>
                <w:rFonts w:ascii="Arial Narrow" w:hAnsi="Arial Narrow" w:cs="Calibri"/>
                <w:i/>
                <w:iCs/>
                <w:color w:val="000000"/>
                <w:sz w:val="20"/>
                <w:szCs w:val="20"/>
                <w:lang w:val="sq-AL"/>
              </w:rPr>
              <w:t>Kompostimi i mbeturinave ushqimore në kontejnerë të specializuar</w:t>
            </w:r>
          </w:p>
        </w:tc>
        <w:tc>
          <w:tcPr>
            <w:tcW w:w="499" w:type="pct"/>
            <w:tcBorders>
              <w:top w:val="nil"/>
              <w:left w:val="nil"/>
              <w:bottom w:val="single" w:sz="4" w:space="0" w:color="auto"/>
              <w:right w:val="single" w:sz="4" w:space="0" w:color="auto"/>
            </w:tcBorders>
            <w:shd w:val="clear" w:color="auto" w:fill="auto"/>
            <w:noWrap/>
            <w:vAlign w:val="bottom"/>
            <w:hideMark/>
          </w:tcPr>
          <w:p w14:paraId="455E3FF6" w14:textId="77777777" w:rsidR="00F10E36" w:rsidRPr="00B94B76" w:rsidRDefault="00F10E36" w:rsidP="00F10E36">
            <w:pPr>
              <w:rPr>
                <w:rFonts w:ascii="Arial Narrow" w:hAnsi="Arial Narrow" w:cs="Calibri"/>
                <w:color w:val="000000"/>
                <w:sz w:val="20"/>
                <w:szCs w:val="20"/>
              </w:rPr>
            </w:pPr>
          </w:p>
        </w:tc>
        <w:tc>
          <w:tcPr>
            <w:tcW w:w="549" w:type="pct"/>
            <w:tcBorders>
              <w:top w:val="nil"/>
              <w:left w:val="nil"/>
              <w:bottom w:val="single" w:sz="4" w:space="0" w:color="auto"/>
              <w:right w:val="single" w:sz="4" w:space="0" w:color="auto"/>
            </w:tcBorders>
            <w:shd w:val="clear" w:color="auto" w:fill="auto"/>
            <w:noWrap/>
            <w:vAlign w:val="bottom"/>
            <w:hideMark/>
          </w:tcPr>
          <w:p w14:paraId="4BC89E2D" w14:textId="77777777" w:rsidR="00F10E36" w:rsidRPr="00B94B76" w:rsidRDefault="00F10E36" w:rsidP="00F10E36">
            <w:pPr>
              <w:jc w:val="center"/>
              <w:rPr>
                <w:rFonts w:ascii="Arial Narrow" w:hAnsi="Arial Narrow" w:cs="Calibri"/>
                <w:color w:val="000000"/>
                <w:sz w:val="20"/>
                <w:szCs w:val="20"/>
              </w:rPr>
            </w:pPr>
          </w:p>
        </w:tc>
        <w:tc>
          <w:tcPr>
            <w:tcW w:w="499" w:type="pct"/>
            <w:tcBorders>
              <w:top w:val="nil"/>
              <w:left w:val="nil"/>
              <w:bottom w:val="single" w:sz="4" w:space="0" w:color="auto"/>
              <w:right w:val="single" w:sz="4" w:space="0" w:color="auto"/>
            </w:tcBorders>
            <w:shd w:val="clear" w:color="auto" w:fill="auto"/>
            <w:noWrap/>
            <w:vAlign w:val="bottom"/>
            <w:hideMark/>
          </w:tcPr>
          <w:p w14:paraId="6A690E12" w14:textId="77777777" w:rsidR="00F10E36" w:rsidRPr="00B94B76" w:rsidRDefault="00F10E36" w:rsidP="00F10E36">
            <w:pPr>
              <w:jc w:val="center"/>
              <w:rPr>
                <w:rFonts w:ascii="Arial Narrow" w:hAnsi="Arial Narrow" w:cs="Calibri"/>
                <w:color w:val="000000"/>
                <w:sz w:val="20"/>
                <w:szCs w:val="20"/>
              </w:rPr>
            </w:pPr>
          </w:p>
        </w:tc>
        <w:tc>
          <w:tcPr>
            <w:tcW w:w="499" w:type="pct"/>
            <w:tcBorders>
              <w:top w:val="nil"/>
              <w:left w:val="nil"/>
              <w:bottom w:val="single" w:sz="4" w:space="0" w:color="auto"/>
              <w:right w:val="single" w:sz="4" w:space="0" w:color="auto"/>
            </w:tcBorders>
            <w:shd w:val="clear" w:color="auto" w:fill="auto"/>
            <w:noWrap/>
            <w:vAlign w:val="bottom"/>
            <w:hideMark/>
          </w:tcPr>
          <w:p w14:paraId="5B4DADB1" w14:textId="77777777" w:rsidR="00F10E36" w:rsidRPr="00B94B76" w:rsidRDefault="00F10E36" w:rsidP="00F10E36">
            <w:pPr>
              <w:jc w:val="center"/>
              <w:rPr>
                <w:rFonts w:ascii="Arial Narrow" w:hAnsi="Arial Narrow" w:cs="Calibri"/>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bottom"/>
            <w:hideMark/>
          </w:tcPr>
          <w:p w14:paraId="4E0D4162" w14:textId="77777777" w:rsidR="00F10E36" w:rsidRPr="00B94B76" w:rsidRDefault="00F10E36" w:rsidP="00F10E36">
            <w:pPr>
              <w:jc w:val="center"/>
              <w:rPr>
                <w:rFonts w:ascii="Arial Narrow" w:hAnsi="Arial Narrow" w:cs="Calibri"/>
                <w:color w:val="000000"/>
                <w:sz w:val="20"/>
                <w:szCs w:val="20"/>
              </w:rPr>
            </w:pPr>
          </w:p>
        </w:tc>
        <w:tc>
          <w:tcPr>
            <w:tcW w:w="548" w:type="pct"/>
            <w:tcBorders>
              <w:top w:val="nil"/>
              <w:left w:val="nil"/>
              <w:bottom w:val="single" w:sz="4" w:space="0" w:color="auto"/>
              <w:right w:val="single" w:sz="4" w:space="0" w:color="auto"/>
            </w:tcBorders>
            <w:shd w:val="clear" w:color="auto" w:fill="auto"/>
            <w:noWrap/>
            <w:vAlign w:val="bottom"/>
            <w:hideMark/>
          </w:tcPr>
          <w:p w14:paraId="6D921D86" w14:textId="77777777" w:rsidR="00F10E36" w:rsidRPr="00B94B76" w:rsidRDefault="00F10E36" w:rsidP="00F10E36">
            <w:pPr>
              <w:jc w:val="center"/>
              <w:rPr>
                <w:rFonts w:ascii="Arial Narrow" w:hAnsi="Arial Narrow" w:cs="Calibri"/>
                <w:color w:val="000000"/>
                <w:sz w:val="20"/>
                <w:szCs w:val="20"/>
              </w:rPr>
            </w:pPr>
          </w:p>
        </w:tc>
      </w:tr>
      <w:tr w:rsidR="00F10E36" w:rsidRPr="00B94B76" w14:paraId="39D291F1"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6489EFAE" w14:textId="59661753" w:rsidR="00F10E36" w:rsidRPr="00B94B76" w:rsidRDefault="00F10E36" w:rsidP="00F10E36">
            <w:pPr>
              <w:rPr>
                <w:rFonts w:ascii="Arial Narrow" w:hAnsi="Arial Narrow" w:cs="Calibri"/>
                <w:i/>
                <w:iCs/>
                <w:color w:val="000000"/>
                <w:sz w:val="20"/>
                <w:szCs w:val="20"/>
              </w:rPr>
            </w:pPr>
            <w:r w:rsidRPr="00BE2534">
              <w:rPr>
                <w:rFonts w:ascii="Arial Narrow" w:hAnsi="Arial Narrow" w:cs="Calibri"/>
                <w:i/>
                <w:iCs/>
                <w:color w:val="000000"/>
                <w:sz w:val="20"/>
                <w:szCs w:val="20"/>
                <w:lang w:val="sq-AL"/>
              </w:rPr>
              <w:t>Kostot investive</w:t>
            </w:r>
          </w:p>
        </w:tc>
        <w:tc>
          <w:tcPr>
            <w:tcW w:w="499" w:type="pct"/>
            <w:tcBorders>
              <w:top w:val="nil"/>
              <w:left w:val="nil"/>
              <w:bottom w:val="single" w:sz="4" w:space="0" w:color="auto"/>
              <w:right w:val="single" w:sz="4" w:space="0" w:color="auto"/>
            </w:tcBorders>
            <w:shd w:val="clear" w:color="auto" w:fill="auto"/>
            <w:noWrap/>
            <w:vAlign w:val="bottom"/>
            <w:hideMark/>
          </w:tcPr>
          <w:p w14:paraId="1ABCDB8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2.29</w:t>
            </w:r>
          </w:p>
        </w:tc>
        <w:tc>
          <w:tcPr>
            <w:tcW w:w="549" w:type="pct"/>
            <w:tcBorders>
              <w:top w:val="nil"/>
              <w:left w:val="nil"/>
              <w:bottom w:val="single" w:sz="4" w:space="0" w:color="auto"/>
              <w:right w:val="single" w:sz="4" w:space="0" w:color="auto"/>
            </w:tcBorders>
            <w:shd w:val="clear" w:color="auto" w:fill="auto"/>
            <w:noWrap/>
            <w:vAlign w:val="bottom"/>
            <w:hideMark/>
          </w:tcPr>
          <w:p w14:paraId="5A3F74EE"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0.59</w:t>
            </w:r>
          </w:p>
        </w:tc>
        <w:tc>
          <w:tcPr>
            <w:tcW w:w="499" w:type="pct"/>
            <w:tcBorders>
              <w:top w:val="nil"/>
              <w:left w:val="nil"/>
              <w:bottom w:val="single" w:sz="4" w:space="0" w:color="auto"/>
              <w:right w:val="single" w:sz="4" w:space="0" w:color="auto"/>
            </w:tcBorders>
            <w:shd w:val="clear" w:color="auto" w:fill="auto"/>
            <w:noWrap/>
            <w:vAlign w:val="bottom"/>
            <w:hideMark/>
          </w:tcPr>
          <w:p w14:paraId="4F75BDF4"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0.64</w:t>
            </w:r>
          </w:p>
        </w:tc>
        <w:tc>
          <w:tcPr>
            <w:tcW w:w="499" w:type="pct"/>
            <w:tcBorders>
              <w:top w:val="nil"/>
              <w:left w:val="nil"/>
              <w:bottom w:val="single" w:sz="4" w:space="0" w:color="auto"/>
              <w:right w:val="single" w:sz="4" w:space="0" w:color="auto"/>
            </w:tcBorders>
            <w:shd w:val="clear" w:color="auto" w:fill="auto"/>
            <w:noWrap/>
            <w:vAlign w:val="bottom"/>
            <w:hideMark/>
          </w:tcPr>
          <w:p w14:paraId="73051E44"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0.42</w:t>
            </w:r>
          </w:p>
        </w:tc>
        <w:tc>
          <w:tcPr>
            <w:tcW w:w="512" w:type="pct"/>
            <w:tcBorders>
              <w:top w:val="nil"/>
              <w:left w:val="nil"/>
              <w:bottom w:val="single" w:sz="4" w:space="0" w:color="auto"/>
              <w:right w:val="single" w:sz="4" w:space="0" w:color="auto"/>
            </w:tcBorders>
            <w:shd w:val="clear" w:color="auto" w:fill="auto"/>
            <w:noWrap/>
            <w:vAlign w:val="bottom"/>
            <w:hideMark/>
          </w:tcPr>
          <w:p w14:paraId="266714BC"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w:t>
            </w:r>
          </w:p>
        </w:tc>
        <w:tc>
          <w:tcPr>
            <w:tcW w:w="548" w:type="pct"/>
            <w:tcBorders>
              <w:top w:val="nil"/>
              <w:left w:val="nil"/>
              <w:bottom w:val="single" w:sz="4" w:space="0" w:color="auto"/>
              <w:right w:val="single" w:sz="4" w:space="0" w:color="auto"/>
            </w:tcBorders>
            <w:shd w:val="clear" w:color="auto" w:fill="auto"/>
            <w:noWrap/>
            <w:vAlign w:val="bottom"/>
            <w:hideMark/>
          </w:tcPr>
          <w:p w14:paraId="5B9337DA"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1.55</w:t>
            </w:r>
          </w:p>
        </w:tc>
      </w:tr>
      <w:tr w:rsidR="00F10E36" w:rsidRPr="00B94B76" w14:paraId="46E90C3F"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5E35AC08" w14:textId="71C2433F" w:rsidR="00F10E36" w:rsidRPr="00B94B76" w:rsidRDefault="00F10E36" w:rsidP="00F10E36">
            <w:pPr>
              <w:rPr>
                <w:rFonts w:ascii="Arial Narrow" w:hAnsi="Arial Narrow" w:cs="Calibri"/>
                <w:i/>
                <w:iCs/>
                <w:color w:val="000000"/>
                <w:sz w:val="20"/>
                <w:szCs w:val="20"/>
              </w:rPr>
            </w:pPr>
            <w:r w:rsidRPr="00BE2534">
              <w:rPr>
                <w:rFonts w:ascii="Arial Narrow" w:hAnsi="Arial Narrow" w:cs="Calibri"/>
                <w:i/>
                <w:iCs/>
                <w:color w:val="000000"/>
                <w:sz w:val="20"/>
                <w:szCs w:val="20"/>
                <w:lang w:val="sq-AL"/>
              </w:rPr>
              <w:t>Kostot operacionale</w:t>
            </w:r>
          </w:p>
        </w:tc>
        <w:tc>
          <w:tcPr>
            <w:tcW w:w="499" w:type="pct"/>
            <w:tcBorders>
              <w:top w:val="nil"/>
              <w:left w:val="nil"/>
              <w:bottom w:val="single" w:sz="4" w:space="0" w:color="auto"/>
              <w:right w:val="single" w:sz="4" w:space="0" w:color="auto"/>
            </w:tcBorders>
            <w:shd w:val="clear" w:color="auto" w:fill="auto"/>
            <w:noWrap/>
            <w:vAlign w:val="bottom"/>
            <w:hideMark/>
          </w:tcPr>
          <w:p w14:paraId="4C1594CF"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2.63</w:t>
            </w:r>
          </w:p>
        </w:tc>
        <w:tc>
          <w:tcPr>
            <w:tcW w:w="549" w:type="pct"/>
            <w:tcBorders>
              <w:top w:val="nil"/>
              <w:left w:val="nil"/>
              <w:bottom w:val="single" w:sz="4" w:space="0" w:color="auto"/>
              <w:right w:val="single" w:sz="4" w:space="0" w:color="auto"/>
            </w:tcBorders>
            <w:shd w:val="clear" w:color="auto" w:fill="auto"/>
            <w:noWrap/>
            <w:vAlign w:val="bottom"/>
            <w:hideMark/>
          </w:tcPr>
          <w:p w14:paraId="72FAA43C"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0.68</w:t>
            </w:r>
          </w:p>
        </w:tc>
        <w:tc>
          <w:tcPr>
            <w:tcW w:w="499" w:type="pct"/>
            <w:tcBorders>
              <w:top w:val="nil"/>
              <w:left w:val="nil"/>
              <w:bottom w:val="single" w:sz="4" w:space="0" w:color="auto"/>
              <w:right w:val="single" w:sz="4" w:space="0" w:color="auto"/>
            </w:tcBorders>
            <w:shd w:val="clear" w:color="auto" w:fill="auto"/>
            <w:noWrap/>
            <w:vAlign w:val="bottom"/>
            <w:hideMark/>
          </w:tcPr>
          <w:p w14:paraId="147B863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0.74</w:t>
            </w:r>
          </w:p>
        </w:tc>
        <w:tc>
          <w:tcPr>
            <w:tcW w:w="499" w:type="pct"/>
            <w:tcBorders>
              <w:top w:val="nil"/>
              <w:left w:val="nil"/>
              <w:bottom w:val="single" w:sz="4" w:space="0" w:color="auto"/>
              <w:right w:val="single" w:sz="4" w:space="0" w:color="auto"/>
            </w:tcBorders>
            <w:shd w:val="clear" w:color="auto" w:fill="auto"/>
            <w:noWrap/>
            <w:vAlign w:val="bottom"/>
            <w:hideMark/>
          </w:tcPr>
          <w:p w14:paraId="61D99020"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0.48</w:t>
            </w:r>
          </w:p>
        </w:tc>
        <w:tc>
          <w:tcPr>
            <w:tcW w:w="512" w:type="pct"/>
            <w:tcBorders>
              <w:top w:val="nil"/>
              <w:left w:val="nil"/>
              <w:bottom w:val="single" w:sz="4" w:space="0" w:color="auto"/>
              <w:right w:val="single" w:sz="4" w:space="0" w:color="auto"/>
            </w:tcBorders>
            <w:shd w:val="clear" w:color="auto" w:fill="auto"/>
            <w:noWrap/>
            <w:vAlign w:val="bottom"/>
            <w:hideMark/>
          </w:tcPr>
          <w:p w14:paraId="727AFDC7"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w:t>
            </w:r>
          </w:p>
        </w:tc>
        <w:tc>
          <w:tcPr>
            <w:tcW w:w="548" w:type="pct"/>
            <w:tcBorders>
              <w:top w:val="nil"/>
              <w:left w:val="nil"/>
              <w:bottom w:val="single" w:sz="4" w:space="0" w:color="auto"/>
              <w:right w:val="single" w:sz="4" w:space="0" w:color="auto"/>
            </w:tcBorders>
            <w:shd w:val="clear" w:color="auto" w:fill="auto"/>
            <w:noWrap/>
            <w:vAlign w:val="bottom"/>
            <w:hideMark/>
          </w:tcPr>
          <w:p w14:paraId="7366B98B"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1.78</w:t>
            </w:r>
          </w:p>
        </w:tc>
      </w:tr>
      <w:tr w:rsidR="00F10E36" w:rsidRPr="00B94B76" w14:paraId="410AEF6B"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7587A560" w14:textId="0048B420" w:rsidR="00F10E36" w:rsidRPr="00B94B76" w:rsidRDefault="00F10E36" w:rsidP="00F10E36">
            <w:pPr>
              <w:rPr>
                <w:rFonts w:ascii="Arial Narrow" w:hAnsi="Arial Narrow" w:cs="Calibri"/>
                <w:i/>
                <w:iCs/>
                <w:color w:val="000000"/>
                <w:sz w:val="20"/>
                <w:szCs w:val="20"/>
              </w:rPr>
            </w:pPr>
            <w:r w:rsidRPr="00BE2534">
              <w:rPr>
                <w:rFonts w:ascii="Arial Narrow" w:hAnsi="Arial Narrow" w:cs="Calibri"/>
                <w:i/>
                <w:iCs/>
                <w:color w:val="000000"/>
                <w:sz w:val="20"/>
                <w:szCs w:val="20"/>
                <w:lang w:val="sq-AL"/>
              </w:rPr>
              <w:t>Kostot totale të DA</w:t>
            </w:r>
          </w:p>
        </w:tc>
        <w:tc>
          <w:tcPr>
            <w:tcW w:w="499" w:type="pct"/>
            <w:tcBorders>
              <w:top w:val="nil"/>
              <w:left w:val="nil"/>
              <w:bottom w:val="single" w:sz="4" w:space="0" w:color="auto"/>
              <w:right w:val="single" w:sz="4" w:space="0" w:color="auto"/>
            </w:tcBorders>
            <w:shd w:val="clear" w:color="auto" w:fill="auto"/>
            <w:noWrap/>
            <w:vAlign w:val="bottom"/>
            <w:hideMark/>
          </w:tcPr>
          <w:p w14:paraId="6FE04191"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4.92</w:t>
            </w:r>
          </w:p>
        </w:tc>
        <w:tc>
          <w:tcPr>
            <w:tcW w:w="549" w:type="pct"/>
            <w:tcBorders>
              <w:top w:val="nil"/>
              <w:left w:val="nil"/>
              <w:bottom w:val="single" w:sz="4" w:space="0" w:color="auto"/>
              <w:right w:val="single" w:sz="4" w:space="0" w:color="auto"/>
            </w:tcBorders>
            <w:shd w:val="clear" w:color="auto" w:fill="auto"/>
            <w:noWrap/>
            <w:vAlign w:val="bottom"/>
            <w:hideMark/>
          </w:tcPr>
          <w:p w14:paraId="094054E2"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1.27</w:t>
            </w:r>
          </w:p>
        </w:tc>
        <w:tc>
          <w:tcPr>
            <w:tcW w:w="499" w:type="pct"/>
            <w:tcBorders>
              <w:top w:val="nil"/>
              <w:left w:val="nil"/>
              <w:bottom w:val="single" w:sz="4" w:space="0" w:color="auto"/>
              <w:right w:val="single" w:sz="4" w:space="0" w:color="auto"/>
            </w:tcBorders>
            <w:shd w:val="clear" w:color="auto" w:fill="auto"/>
            <w:noWrap/>
            <w:vAlign w:val="bottom"/>
            <w:hideMark/>
          </w:tcPr>
          <w:p w14:paraId="040529A9"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1.38</w:t>
            </w:r>
          </w:p>
        </w:tc>
        <w:tc>
          <w:tcPr>
            <w:tcW w:w="499" w:type="pct"/>
            <w:tcBorders>
              <w:top w:val="nil"/>
              <w:left w:val="nil"/>
              <w:bottom w:val="single" w:sz="4" w:space="0" w:color="auto"/>
              <w:right w:val="single" w:sz="4" w:space="0" w:color="auto"/>
            </w:tcBorders>
            <w:shd w:val="clear" w:color="auto" w:fill="auto"/>
            <w:noWrap/>
            <w:vAlign w:val="bottom"/>
            <w:hideMark/>
          </w:tcPr>
          <w:p w14:paraId="551BFDC7"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0.91</w:t>
            </w:r>
          </w:p>
        </w:tc>
        <w:tc>
          <w:tcPr>
            <w:tcW w:w="512" w:type="pct"/>
            <w:tcBorders>
              <w:top w:val="nil"/>
              <w:left w:val="nil"/>
              <w:bottom w:val="single" w:sz="4" w:space="0" w:color="auto"/>
              <w:right w:val="single" w:sz="4" w:space="0" w:color="auto"/>
            </w:tcBorders>
            <w:shd w:val="clear" w:color="auto" w:fill="auto"/>
            <w:noWrap/>
            <w:vAlign w:val="bottom"/>
            <w:hideMark/>
          </w:tcPr>
          <w:p w14:paraId="2DE39CC7"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w:t>
            </w:r>
          </w:p>
        </w:tc>
        <w:tc>
          <w:tcPr>
            <w:tcW w:w="548" w:type="pct"/>
            <w:tcBorders>
              <w:top w:val="nil"/>
              <w:left w:val="nil"/>
              <w:bottom w:val="single" w:sz="4" w:space="0" w:color="auto"/>
              <w:right w:val="single" w:sz="4" w:space="0" w:color="auto"/>
            </w:tcBorders>
            <w:shd w:val="clear" w:color="auto" w:fill="auto"/>
            <w:noWrap/>
            <w:vAlign w:val="bottom"/>
            <w:hideMark/>
          </w:tcPr>
          <w:p w14:paraId="10023DD6"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3.33</w:t>
            </w:r>
          </w:p>
        </w:tc>
      </w:tr>
      <w:tr w:rsidR="00F10E36" w:rsidRPr="00B94B76" w14:paraId="2E303269"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5B8FA9F2" w14:textId="3A45195F" w:rsidR="00F10E36" w:rsidRPr="00B94B76" w:rsidRDefault="00F10E36" w:rsidP="00F10E36">
            <w:pPr>
              <w:rPr>
                <w:rFonts w:ascii="Arial Narrow" w:hAnsi="Arial Narrow" w:cs="Calibri"/>
                <w:i/>
                <w:iCs/>
                <w:sz w:val="20"/>
                <w:szCs w:val="20"/>
              </w:rPr>
            </w:pPr>
            <w:r w:rsidRPr="00BE2534">
              <w:rPr>
                <w:rFonts w:ascii="Arial Narrow" w:hAnsi="Arial Narrow" w:cs="Calibri"/>
                <w:i/>
                <w:iCs/>
                <w:sz w:val="20"/>
                <w:szCs w:val="20"/>
                <w:lang w:val="sq-AL"/>
              </w:rPr>
              <w:t>Impianti RDF/KDM WtE/MpE</w:t>
            </w:r>
          </w:p>
        </w:tc>
        <w:tc>
          <w:tcPr>
            <w:tcW w:w="499" w:type="pct"/>
            <w:tcBorders>
              <w:top w:val="nil"/>
              <w:left w:val="nil"/>
              <w:bottom w:val="single" w:sz="4" w:space="0" w:color="auto"/>
              <w:right w:val="single" w:sz="4" w:space="0" w:color="auto"/>
            </w:tcBorders>
            <w:shd w:val="clear" w:color="auto" w:fill="auto"/>
            <w:noWrap/>
            <w:vAlign w:val="bottom"/>
            <w:hideMark/>
          </w:tcPr>
          <w:p w14:paraId="31778D18" w14:textId="77777777" w:rsidR="00F10E36" w:rsidRPr="00B94B76" w:rsidRDefault="00F10E36" w:rsidP="00F10E36">
            <w:pPr>
              <w:jc w:val="center"/>
              <w:rPr>
                <w:rFonts w:ascii="Arial Narrow" w:hAnsi="Arial Narrow" w:cs="Calibri"/>
                <w:sz w:val="20"/>
                <w:szCs w:val="20"/>
              </w:rPr>
            </w:pPr>
            <w:r w:rsidRPr="00B94B76">
              <w:rPr>
                <w:rFonts w:ascii="Arial Narrow" w:hAnsi="Arial Narrow" w:cs="Calibri"/>
                <w:sz w:val="20"/>
                <w:szCs w:val="20"/>
              </w:rPr>
              <w:t>1.60</w:t>
            </w:r>
          </w:p>
        </w:tc>
        <w:tc>
          <w:tcPr>
            <w:tcW w:w="549" w:type="pct"/>
            <w:tcBorders>
              <w:top w:val="nil"/>
              <w:left w:val="nil"/>
              <w:bottom w:val="single" w:sz="4" w:space="0" w:color="auto"/>
              <w:right w:val="single" w:sz="4" w:space="0" w:color="auto"/>
            </w:tcBorders>
            <w:shd w:val="clear" w:color="auto" w:fill="auto"/>
            <w:noWrap/>
            <w:vAlign w:val="bottom"/>
            <w:hideMark/>
          </w:tcPr>
          <w:p w14:paraId="526CA5F0" w14:textId="77777777" w:rsidR="00F10E36" w:rsidRPr="00B94B76" w:rsidRDefault="00F10E36" w:rsidP="00F10E36">
            <w:pPr>
              <w:jc w:val="center"/>
              <w:rPr>
                <w:rFonts w:ascii="Arial Narrow" w:hAnsi="Arial Narrow" w:cs="Calibri"/>
                <w:sz w:val="20"/>
                <w:szCs w:val="20"/>
              </w:rPr>
            </w:pPr>
            <w:r w:rsidRPr="00B94B76">
              <w:rPr>
                <w:rFonts w:ascii="Arial Narrow" w:hAnsi="Arial Narrow" w:cs="Calibri"/>
                <w:sz w:val="20"/>
                <w:szCs w:val="20"/>
              </w:rPr>
              <w:t>1.69</w:t>
            </w:r>
          </w:p>
        </w:tc>
        <w:tc>
          <w:tcPr>
            <w:tcW w:w="499" w:type="pct"/>
            <w:tcBorders>
              <w:top w:val="nil"/>
              <w:left w:val="nil"/>
              <w:bottom w:val="single" w:sz="4" w:space="0" w:color="auto"/>
              <w:right w:val="single" w:sz="4" w:space="0" w:color="auto"/>
            </w:tcBorders>
            <w:shd w:val="clear" w:color="auto" w:fill="auto"/>
            <w:noWrap/>
            <w:vAlign w:val="bottom"/>
            <w:hideMark/>
          </w:tcPr>
          <w:p w14:paraId="2D26C852" w14:textId="77777777" w:rsidR="00F10E36" w:rsidRPr="00B94B76" w:rsidRDefault="00F10E36" w:rsidP="00F10E36">
            <w:pPr>
              <w:jc w:val="center"/>
              <w:rPr>
                <w:rFonts w:ascii="Arial Narrow" w:hAnsi="Arial Narrow" w:cs="Calibri"/>
                <w:sz w:val="20"/>
                <w:szCs w:val="20"/>
              </w:rPr>
            </w:pPr>
            <w:r w:rsidRPr="00B94B76">
              <w:rPr>
                <w:rFonts w:ascii="Arial Narrow" w:hAnsi="Arial Narrow" w:cs="Calibri"/>
                <w:sz w:val="20"/>
                <w:szCs w:val="20"/>
              </w:rPr>
              <w:t>1.65</w:t>
            </w:r>
          </w:p>
        </w:tc>
        <w:tc>
          <w:tcPr>
            <w:tcW w:w="499" w:type="pct"/>
            <w:tcBorders>
              <w:top w:val="nil"/>
              <w:left w:val="nil"/>
              <w:bottom w:val="single" w:sz="4" w:space="0" w:color="auto"/>
              <w:right w:val="single" w:sz="4" w:space="0" w:color="auto"/>
            </w:tcBorders>
            <w:shd w:val="clear" w:color="auto" w:fill="auto"/>
            <w:noWrap/>
            <w:vAlign w:val="bottom"/>
            <w:hideMark/>
          </w:tcPr>
          <w:p w14:paraId="43DFCD5A" w14:textId="77777777" w:rsidR="00F10E36" w:rsidRPr="00B94B76" w:rsidRDefault="00F10E36" w:rsidP="00F10E36">
            <w:pPr>
              <w:jc w:val="center"/>
              <w:rPr>
                <w:rFonts w:ascii="Arial Narrow" w:hAnsi="Arial Narrow" w:cs="Calibri"/>
                <w:sz w:val="20"/>
                <w:szCs w:val="20"/>
              </w:rPr>
            </w:pPr>
            <w:r w:rsidRPr="00B94B76">
              <w:rPr>
                <w:rFonts w:ascii="Arial Narrow" w:hAnsi="Arial Narrow" w:cs="Calibri"/>
                <w:sz w:val="20"/>
                <w:szCs w:val="20"/>
              </w:rPr>
              <w:t>1.67</w:t>
            </w:r>
          </w:p>
        </w:tc>
        <w:tc>
          <w:tcPr>
            <w:tcW w:w="512" w:type="pct"/>
            <w:tcBorders>
              <w:top w:val="nil"/>
              <w:left w:val="nil"/>
              <w:bottom w:val="single" w:sz="4" w:space="0" w:color="auto"/>
              <w:right w:val="single" w:sz="4" w:space="0" w:color="auto"/>
            </w:tcBorders>
            <w:shd w:val="clear" w:color="auto" w:fill="auto"/>
            <w:noWrap/>
            <w:vAlign w:val="bottom"/>
            <w:hideMark/>
          </w:tcPr>
          <w:p w14:paraId="7BD5CE2F" w14:textId="77777777" w:rsidR="00F10E36" w:rsidRPr="00B94B76" w:rsidRDefault="00F10E36" w:rsidP="00F10E36">
            <w:pPr>
              <w:jc w:val="center"/>
              <w:rPr>
                <w:rFonts w:ascii="Arial Narrow" w:hAnsi="Arial Narrow" w:cs="Calibri"/>
                <w:sz w:val="20"/>
                <w:szCs w:val="20"/>
              </w:rPr>
            </w:pPr>
            <w:r w:rsidRPr="00B94B76">
              <w:rPr>
                <w:rFonts w:ascii="Arial Narrow" w:hAnsi="Arial Narrow" w:cs="Calibri"/>
                <w:sz w:val="20"/>
                <w:szCs w:val="20"/>
              </w:rPr>
              <w:t>1.62</w:t>
            </w:r>
          </w:p>
        </w:tc>
        <w:tc>
          <w:tcPr>
            <w:tcW w:w="548" w:type="pct"/>
            <w:tcBorders>
              <w:top w:val="nil"/>
              <w:left w:val="nil"/>
              <w:bottom w:val="single" w:sz="4" w:space="0" w:color="auto"/>
              <w:right w:val="single" w:sz="4" w:space="0" w:color="auto"/>
            </w:tcBorders>
            <w:shd w:val="clear" w:color="auto" w:fill="auto"/>
            <w:noWrap/>
            <w:vAlign w:val="bottom"/>
            <w:hideMark/>
          </w:tcPr>
          <w:p w14:paraId="5453CEC5" w14:textId="77777777" w:rsidR="00F10E36" w:rsidRPr="00B94B76" w:rsidRDefault="00F10E36" w:rsidP="00F10E36">
            <w:pPr>
              <w:jc w:val="center"/>
              <w:rPr>
                <w:rFonts w:ascii="Arial Narrow" w:hAnsi="Arial Narrow" w:cs="Calibri"/>
                <w:sz w:val="20"/>
                <w:szCs w:val="20"/>
              </w:rPr>
            </w:pPr>
            <w:r w:rsidRPr="00B94B76">
              <w:rPr>
                <w:rFonts w:ascii="Arial Narrow" w:hAnsi="Arial Narrow" w:cs="Calibri"/>
                <w:sz w:val="20"/>
                <w:szCs w:val="20"/>
              </w:rPr>
              <w:t>1.63</w:t>
            </w:r>
          </w:p>
        </w:tc>
      </w:tr>
      <w:tr w:rsidR="00F10E36" w:rsidRPr="00B94B76" w14:paraId="021312CB"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0A0AADA1" w14:textId="623E27ED" w:rsidR="00F10E36" w:rsidRPr="00B94B76" w:rsidRDefault="00F10E36" w:rsidP="00F10E36">
            <w:pPr>
              <w:rPr>
                <w:rFonts w:ascii="Arial Narrow" w:hAnsi="Arial Narrow" w:cs="Calibri"/>
                <w:i/>
                <w:iCs/>
                <w:sz w:val="20"/>
                <w:szCs w:val="20"/>
              </w:rPr>
            </w:pPr>
            <w:r w:rsidRPr="00BE2534">
              <w:rPr>
                <w:rFonts w:ascii="Arial Narrow" w:hAnsi="Arial Narrow" w:cs="Calibri"/>
                <w:i/>
                <w:iCs/>
                <w:sz w:val="20"/>
                <w:szCs w:val="20"/>
                <w:lang w:val="sq-AL"/>
              </w:rPr>
              <w:t>Deponia</w:t>
            </w:r>
          </w:p>
        </w:tc>
        <w:tc>
          <w:tcPr>
            <w:tcW w:w="499" w:type="pct"/>
            <w:tcBorders>
              <w:top w:val="nil"/>
              <w:left w:val="nil"/>
              <w:bottom w:val="single" w:sz="4" w:space="0" w:color="auto"/>
              <w:right w:val="single" w:sz="4" w:space="0" w:color="auto"/>
            </w:tcBorders>
            <w:shd w:val="clear" w:color="auto" w:fill="auto"/>
            <w:noWrap/>
            <w:vAlign w:val="bottom"/>
            <w:hideMark/>
          </w:tcPr>
          <w:p w14:paraId="56B3B7E7" w14:textId="77777777" w:rsidR="00F10E36" w:rsidRPr="00B94B76" w:rsidRDefault="00F10E36" w:rsidP="00F10E36">
            <w:pPr>
              <w:jc w:val="center"/>
              <w:rPr>
                <w:rFonts w:ascii="Arial Narrow" w:hAnsi="Arial Narrow" w:cs="Calibri"/>
                <w:color w:val="000000"/>
                <w:sz w:val="20"/>
                <w:szCs w:val="20"/>
              </w:rPr>
            </w:pPr>
          </w:p>
        </w:tc>
        <w:tc>
          <w:tcPr>
            <w:tcW w:w="549" w:type="pct"/>
            <w:tcBorders>
              <w:top w:val="nil"/>
              <w:left w:val="nil"/>
              <w:bottom w:val="single" w:sz="4" w:space="0" w:color="auto"/>
              <w:right w:val="single" w:sz="4" w:space="0" w:color="auto"/>
            </w:tcBorders>
            <w:shd w:val="clear" w:color="auto" w:fill="auto"/>
            <w:noWrap/>
            <w:vAlign w:val="bottom"/>
            <w:hideMark/>
          </w:tcPr>
          <w:p w14:paraId="47A2FE85" w14:textId="77777777" w:rsidR="00F10E36" w:rsidRPr="00B94B76" w:rsidRDefault="00F10E36" w:rsidP="00F10E36">
            <w:pPr>
              <w:jc w:val="center"/>
              <w:rPr>
                <w:rFonts w:ascii="Arial Narrow" w:hAnsi="Arial Narrow" w:cs="Calibri"/>
                <w:color w:val="000000"/>
                <w:sz w:val="20"/>
                <w:szCs w:val="20"/>
              </w:rPr>
            </w:pPr>
          </w:p>
        </w:tc>
        <w:tc>
          <w:tcPr>
            <w:tcW w:w="499" w:type="pct"/>
            <w:tcBorders>
              <w:top w:val="nil"/>
              <w:left w:val="nil"/>
              <w:bottom w:val="single" w:sz="4" w:space="0" w:color="auto"/>
              <w:right w:val="single" w:sz="4" w:space="0" w:color="auto"/>
            </w:tcBorders>
            <w:shd w:val="clear" w:color="auto" w:fill="auto"/>
            <w:noWrap/>
            <w:vAlign w:val="bottom"/>
            <w:hideMark/>
          </w:tcPr>
          <w:p w14:paraId="530B19D8" w14:textId="77777777" w:rsidR="00F10E36" w:rsidRPr="00B94B76" w:rsidRDefault="00F10E36" w:rsidP="00F10E36">
            <w:pPr>
              <w:jc w:val="center"/>
              <w:rPr>
                <w:rFonts w:ascii="Arial Narrow" w:hAnsi="Arial Narrow" w:cs="Calibri"/>
                <w:color w:val="000000"/>
                <w:sz w:val="20"/>
                <w:szCs w:val="20"/>
              </w:rPr>
            </w:pPr>
          </w:p>
        </w:tc>
        <w:tc>
          <w:tcPr>
            <w:tcW w:w="499" w:type="pct"/>
            <w:tcBorders>
              <w:top w:val="nil"/>
              <w:left w:val="nil"/>
              <w:bottom w:val="single" w:sz="4" w:space="0" w:color="auto"/>
              <w:right w:val="single" w:sz="4" w:space="0" w:color="auto"/>
            </w:tcBorders>
            <w:shd w:val="clear" w:color="auto" w:fill="auto"/>
            <w:noWrap/>
            <w:vAlign w:val="bottom"/>
            <w:hideMark/>
          </w:tcPr>
          <w:p w14:paraId="6BEB5207" w14:textId="77777777" w:rsidR="00F10E36" w:rsidRPr="00B94B76" w:rsidRDefault="00F10E36" w:rsidP="00F10E36">
            <w:pPr>
              <w:jc w:val="center"/>
              <w:rPr>
                <w:rFonts w:ascii="Arial Narrow" w:hAnsi="Arial Narrow" w:cs="Calibri"/>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bottom"/>
            <w:hideMark/>
          </w:tcPr>
          <w:p w14:paraId="3DB6B939" w14:textId="77777777" w:rsidR="00F10E36" w:rsidRPr="00B94B76" w:rsidRDefault="00F10E36" w:rsidP="00F10E36">
            <w:pPr>
              <w:jc w:val="center"/>
              <w:rPr>
                <w:rFonts w:ascii="Arial Narrow" w:hAnsi="Arial Narrow" w:cs="Calibri"/>
                <w:color w:val="000000"/>
                <w:sz w:val="20"/>
                <w:szCs w:val="20"/>
              </w:rPr>
            </w:pPr>
          </w:p>
        </w:tc>
        <w:tc>
          <w:tcPr>
            <w:tcW w:w="548" w:type="pct"/>
            <w:tcBorders>
              <w:top w:val="nil"/>
              <w:left w:val="nil"/>
              <w:bottom w:val="single" w:sz="4" w:space="0" w:color="auto"/>
              <w:right w:val="single" w:sz="4" w:space="0" w:color="auto"/>
            </w:tcBorders>
            <w:shd w:val="clear" w:color="auto" w:fill="auto"/>
            <w:noWrap/>
            <w:vAlign w:val="bottom"/>
            <w:hideMark/>
          </w:tcPr>
          <w:p w14:paraId="25ECA217" w14:textId="77777777" w:rsidR="00F10E36" w:rsidRPr="00B94B76" w:rsidRDefault="00F10E36" w:rsidP="00F10E36">
            <w:pPr>
              <w:rPr>
                <w:rFonts w:ascii="Arial Narrow" w:hAnsi="Arial Narrow" w:cs="Arial"/>
                <w:sz w:val="20"/>
                <w:szCs w:val="20"/>
              </w:rPr>
            </w:pPr>
          </w:p>
        </w:tc>
      </w:tr>
      <w:tr w:rsidR="00F10E36" w:rsidRPr="00B94B76" w14:paraId="5ADBF520"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30C49F55" w14:textId="4A4A584A" w:rsidR="00F10E36" w:rsidRPr="00B94B76" w:rsidRDefault="00F10E36" w:rsidP="00F10E36">
            <w:pPr>
              <w:rPr>
                <w:rFonts w:ascii="Arial Narrow" w:hAnsi="Arial Narrow" w:cs="Calibri"/>
                <w:sz w:val="20"/>
                <w:szCs w:val="20"/>
              </w:rPr>
            </w:pPr>
            <w:r w:rsidRPr="00BE2534">
              <w:rPr>
                <w:rFonts w:ascii="Arial Narrow" w:hAnsi="Arial Narrow" w:cs="Calibri"/>
                <w:sz w:val="20"/>
                <w:szCs w:val="20"/>
                <w:lang w:val="sq-AL"/>
              </w:rPr>
              <w:t>Kostot investive</w:t>
            </w:r>
          </w:p>
        </w:tc>
        <w:tc>
          <w:tcPr>
            <w:tcW w:w="499" w:type="pct"/>
            <w:tcBorders>
              <w:top w:val="nil"/>
              <w:left w:val="nil"/>
              <w:bottom w:val="single" w:sz="4" w:space="0" w:color="auto"/>
              <w:right w:val="single" w:sz="4" w:space="0" w:color="auto"/>
            </w:tcBorders>
            <w:shd w:val="clear" w:color="auto" w:fill="auto"/>
            <w:noWrap/>
            <w:vAlign w:val="bottom"/>
            <w:hideMark/>
          </w:tcPr>
          <w:p w14:paraId="02215275"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15.83</w:t>
            </w:r>
          </w:p>
        </w:tc>
        <w:tc>
          <w:tcPr>
            <w:tcW w:w="549" w:type="pct"/>
            <w:tcBorders>
              <w:top w:val="nil"/>
              <w:left w:val="nil"/>
              <w:bottom w:val="single" w:sz="4" w:space="0" w:color="auto"/>
              <w:right w:val="single" w:sz="4" w:space="0" w:color="auto"/>
            </w:tcBorders>
            <w:shd w:val="clear" w:color="auto" w:fill="auto"/>
            <w:noWrap/>
            <w:vAlign w:val="bottom"/>
            <w:hideMark/>
          </w:tcPr>
          <w:p w14:paraId="5364FD10"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16.70</w:t>
            </w:r>
          </w:p>
        </w:tc>
        <w:tc>
          <w:tcPr>
            <w:tcW w:w="499" w:type="pct"/>
            <w:tcBorders>
              <w:top w:val="nil"/>
              <w:left w:val="nil"/>
              <w:bottom w:val="single" w:sz="4" w:space="0" w:color="auto"/>
              <w:right w:val="single" w:sz="4" w:space="0" w:color="auto"/>
            </w:tcBorders>
            <w:shd w:val="clear" w:color="auto" w:fill="auto"/>
            <w:noWrap/>
            <w:vAlign w:val="bottom"/>
            <w:hideMark/>
          </w:tcPr>
          <w:p w14:paraId="644D2F3F"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16.31</w:t>
            </w:r>
          </w:p>
        </w:tc>
        <w:tc>
          <w:tcPr>
            <w:tcW w:w="499" w:type="pct"/>
            <w:tcBorders>
              <w:top w:val="nil"/>
              <w:left w:val="nil"/>
              <w:bottom w:val="single" w:sz="4" w:space="0" w:color="auto"/>
              <w:right w:val="single" w:sz="4" w:space="0" w:color="auto"/>
            </w:tcBorders>
            <w:shd w:val="clear" w:color="auto" w:fill="auto"/>
            <w:noWrap/>
            <w:vAlign w:val="bottom"/>
            <w:hideMark/>
          </w:tcPr>
          <w:p w14:paraId="001A6BF7"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16.46</w:t>
            </w:r>
          </w:p>
        </w:tc>
        <w:tc>
          <w:tcPr>
            <w:tcW w:w="512" w:type="pct"/>
            <w:tcBorders>
              <w:top w:val="nil"/>
              <w:left w:val="nil"/>
              <w:bottom w:val="single" w:sz="4" w:space="0" w:color="auto"/>
              <w:right w:val="single" w:sz="4" w:space="0" w:color="auto"/>
            </w:tcBorders>
            <w:shd w:val="clear" w:color="auto" w:fill="auto"/>
            <w:noWrap/>
            <w:vAlign w:val="bottom"/>
            <w:hideMark/>
          </w:tcPr>
          <w:p w14:paraId="10ACA1AC"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15.98</w:t>
            </w:r>
          </w:p>
        </w:tc>
        <w:tc>
          <w:tcPr>
            <w:tcW w:w="548" w:type="pct"/>
            <w:tcBorders>
              <w:top w:val="nil"/>
              <w:left w:val="nil"/>
              <w:bottom w:val="single" w:sz="4" w:space="0" w:color="auto"/>
              <w:right w:val="single" w:sz="4" w:space="0" w:color="auto"/>
            </w:tcBorders>
            <w:shd w:val="clear" w:color="auto" w:fill="auto"/>
            <w:noWrap/>
            <w:vAlign w:val="bottom"/>
            <w:hideMark/>
          </w:tcPr>
          <w:p w14:paraId="49C30D24"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16.11</w:t>
            </w:r>
          </w:p>
        </w:tc>
      </w:tr>
      <w:tr w:rsidR="00F10E36" w:rsidRPr="00B94B76" w14:paraId="7882727A"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4357B0E1" w14:textId="5D64EED0" w:rsidR="00F10E36" w:rsidRPr="00B94B76" w:rsidRDefault="00F10E36" w:rsidP="00F10E36">
            <w:pPr>
              <w:rPr>
                <w:rFonts w:ascii="Arial Narrow" w:hAnsi="Arial Narrow" w:cs="Calibri"/>
                <w:sz w:val="20"/>
                <w:szCs w:val="20"/>
              </w:rPr>
            </w:pPr>
            <w:r w:rsidRPr="00BE2534">
              <w:rPr>
                <w:rFonts w:ascii="Arial Narrow" w:hAnsi="Arial Narrow" w:cs="Calibri"/>
                <w:sz w:val="20"/>
                <w:szCs w:val="20"/>
                <w:lang w:val="sq-AL"/>
              </w:rPr>
              <w:t>Kostot operacionale</w:t>
            </w:r>
          </w:p>
        </w:tc>
        <w:tc>
          <w:tcPr>
            <w:tcW w:w="499" w:type="pct"/>
            <w:tcBorders>
              <w:top w:val="nil"/>
              <w:left w:val="nil"/>
              <w:bottom w:val="single" w:sz="4" w:space="0" w:color="auto"/>
              <w:right w:val="single" w:sz="4" w:space="0" w:color="auto"/>
            </w:tcBorders>
            <w:shd w:val="clear" w:color="auto" w:fill="auto"/>
            <w:noWrap/>
            <w:vAlign w:val="bottom"/>
            <w:hideMark/>
          </w:tcPr>
          <w:p w14:paraId="162982EE"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10.54</w:t>
            </w:r>
          </w:p>
        </w:tc>
        <w:tc>
          <w:tcPr>
            <w:tcW w:w="549" w:type="pct"/>
            <w:tcBorders>
              <w:top w:val="nil"/>
              <w:left w:val="nil"/>
              <w:bottom w:val="single" w:sz="4" w:space="0" w:color="auto"/>
              <w:right w:val="single" w:sz="4" w:space="0" w:color="auto"/>
            </w:tcBorders>
            <w:shd w:val="clear" w:color="auto" w:fill="auto"/>
            <w:noWrap/>
            <w:vAlign w:val="bottom"/>
            <w:hideMark/>
          </w:tcPr>
          <w:p w14:paraId="51909A1C"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11.12</w:t>
            </w:r>
          </w:p>
        </w:tc>
        <w:tc>
          <w:tcPr>
            <w:tcW w:w="499" w:type="pct"/>
            <w:tcBorders>
              <w:top w:val="nil"/>
              <w:left w:val="nil"/>
              <w:bottom w:val="single" w:sz="4" w:space="0" w:color="auto"/>
              <w:right w:val="single" w:sz="4" w:space="0" w:color="auto"/>
            </w:tcBorders>
            <w:shd w:val="clear" w:color="auto" w:fill="auto"/>
            <w:noWrap/>
            <w:vAlign w:val="bottom"/>
            <w:hideMark/>
          </w:tcPr>
          <w:p w14:paraId="3375001C"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10.86</w:t>
            </w:r>
          </w:p>
        </w:tc>
        <w:tc>
          <w:tcPr>
            <w:tcW w:w="499" w:type="pct"/>
            <w:tcBorders>
              <w:top w:val="nil"/>
              <w:left w:val="nil"/>
              <w:bottom w:val="single" w:sz="4" w:space="0" w:color="auto"/>
              <w:right w:val="single" w:sz="4" w:space="0" w:color="auto"/>
            </w:tcBorders>
            <w:shd w:val="clear" w:color="auto" w:fill="auto"/>
            <w:noWrap/>
            <w:vAlign w:val="bottom"/>
            <w:hideMark/>
          </w:tcPr>
          <w:p w14:paraId="2A920724"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10.95</w:t>
            </w:r>
          </w:p>
        </w:tc>
        <w:tc>
          <w:tcPr>
            <w:tcW w:w="512" w:type="pct"/>
            <w:tcBorders>
              <w:top w:val="nil"/>
              <w:left w:val="nil"/>
              <w:bottom w:val="single" w:sz="4" w:space="0" w:color="auto"/>
              <w:right w:val="single" w:sz="4" w:space="0" w:color="auto"/>
            </w:tcBorders>
            <w:shd w:val="clear" w:color="auto" w:fill="auto"/>
            <w:noWrap/>
            <w:vAlign w:val="bottom"/>
            <w:hideMark/>
          </w:tcPr>
          <w:p w14:paraId="3F28C92B"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10.64</w:t>
            </w:r>
          </w:p>
        </w:tc>
        <w:tc>
          <w:tcPr>
            <w:tcW w:w="548" w:type="pct"/>
            <w:tcBorders>
              <w:top w:val="nil"/>
              <w:left w:val="nil"/>
              <w:bottom w:val="single" w:sz="4" w:space="0" w:color="auto"/>
              <w:right w:val="single" w:sz="4" w:space="0" w:color="auto"/>
            </w:tcBorders>
            <w:shd w:val="clear" w:color="auto" w:fill="auto"/>
            <w:noWrap/>
            <w:vAlign w:val="bottom"/>
            <w:hideMark/>
          </w:tcPr>
          <w:p w14:paraId="1ABA4F57"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10.73</w:t>
            </w:r>
          </w:p>
        </w:tc>
      </w:tr>
      <w:tr w:rsidR="00F10E36" w:rsidRPr="00B94B76" w14:paraId="4AB83378"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3F6EA32A" w14:textId="6DE6A36A" w:rsidR="00F10E36" w:rsidRPr="00B94B76" w:rsidRDefault="00F10E36" w:rsidP="00F10E36">
            <w:pPr>
              <w:rPr>
                <w:rFonts w:ascii="Arial Narrow" w:hAnsi="Arial Narrow" w:cs="Calibri"/>
                <w:i/>
                <w:iCs/>
                <w:sz w:val="20"/>
                <w:szCs w:val="20"/>
              </w:rPr>
            </w:pPr>
            <w:r w:rsidRPr="00BE2534">
              <w:rPr>
                <w:rFonts w:ascii="Arial Narrow" w:hAnsi="Arial Narrow" w:cs="Calibri"/>
                <w:i/>
                <w:iCs/>
                <w:sz w:val="20"/>
                <w:szCs w:val="20"/>
                <w:lang w:val="sq-AL"/>
              </w:rPr>
              <w:t>Kostot totale të deponisë</w:t>
            </w:r>
          </w:p>
        </w:tc>
        <w:tc>
          <w:tcPr>
            <w:tcW w:w="499" w:type="pct"/>
            <w:tcBorders>
              <w:top w:val="nil"/>
              <w:left w:val="nil"/>
              <w:bottom w:val="single" w:sz="4" w:space="0" w:color="auto"/>
              <w:right w:val="single" w:sz="4" w:space="0" w:color="auto"/>
            </w:tcBorders>
            <w:shd w:val="clear" w:color="auto" w:fill="auto"/>
            <w:noWrap/>
            <w:vAlign w:val="bottom"/>
            <w:hideMark/>
          </w:tcPr>
          <w:p w14:paraId="12764B04"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26.36</w:t>
            </w:r>
          </w:p>
        </w:tc>
        <w:tc>
          <w:tcPr>
            <w:tcW w:w="549" w:type="pct"/>
            <w:tcBorders>
              <w:top w:val="nil"/>
              <w:left w:val="nil"/>
              <w:bottom w:val="single" w:sz="4" w:space="0" w:color="auto"/>
              <w:right w:val="single" w:sz="4" w:space="0" w:color="auto"/>
            </w:tcBorders>
            <w:shd w:val="clear" w:color="auto" w:fill="auto"/>
            <w:noWrap/>
            <w:vAlign w:val="bottom"/>
            <w:hideMark/>
          </w:tcPr>
          <w:p w14:paraId="5F289A3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27.82</w:t>
            </w:r>
          </w:p>
        </w:tc>
        <w:tc>
          <w:tcPr>
            <w:tcW w:w="499" w:type="pct"/>
            <w:tcBorders>
              <w:top w:val="nil"/>
              <w:left w:val="nil"/>
              <w:bottom w:val="single" w:sz="4" w:space="0" w:color="auto"/>
              <w:right w:val="single" w:sz="4" w:space="0" w:color="auto"/>
            </w:tcBorders>
            <w:shd w:val="clear" w:color="auto" w:fill="auto"/>
            <w:noWrap/>
            <w:vAlign w:val="bottom"/>
            <w:hideMark/>
          </w:tcPr>
          <w:p w14:paraId="33B2026F"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27.17</w:t>
            </w:r>
          </w:p>
        </w:tc>
        <w:tc>
          <w:tcPr>
            <w:tcW w:w="499" w:type="pct"/>
            <w:tcBorders>
              <w:top w:val="nil"/>
              <w:left w:val="nil"/>
              <w:bottom w:val="single" w:sz="4" w:space="0" w:color="auto"/>
              <w:right w:val="single" w:sz="4" w:space="0" w:color="auto"/>
            </w:tcBorders>
            <w:shd w:val="clear" w:color="auto" w:fill="auto"/>
            <w:noWrap/>
            <w:vAlign w:val="bottom"/>
            <w:hideMark/>
          </w:tcPr>
          <w:p w14:paraId="4F1421DB"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27.41</w:t>
            </w:r>
          </w:p>
        </w:tc>
        <w:tc>
          <w:tcPr>
            <w:tcW w:w="512" w:type="pct"/>
            <w:tcBorders>
              <w:top w:val="nil"/>
              <w:left w:val="nil"/>
              <w:bottom w:val="single" w:sz="4" w:space="0" w:color="auto"/>
              <w:right w:val="single" w:sz="4" w:space="0" w:color="auto"/>
            </w:tcBorders>
            <w:shd w:val="clear" w:color="auto" w:fill="auto"/>
            <w:noWrap/>
            <w:vAlign w:val="bottom"/>
            <w:hideMark/>
          </w:tcPr>
          <w:p w14:paraId="5263BDFA"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26.62</w:t>
            </w:r>
          </w:p>
        </w:tc>
        <w:tc>
          <w:tcPr>
            <w:tcW w:w="548" w:type="pct"/>
            <w:tcBorders>
              <w:top w:val="nil"/>
              <w:left w:val="nil"/>
              <w:bottom w:val="single" w:sz="4" w:space="0" w:color="auto"/>
              <w:right w:val="single" w:sz="4" w:space="0" w:color="auto"/>
            </w:tcBorders>
            <w:shd w:val="clear" w:color="auto" w:fill="auto"/>
            <w:noWrap/>
            <w:vAlign w:val="bottom"/>
            <w:hideMark/>
          </w:tcPr>
          <w:p w14:paraId="577BFD7B"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26.84</w:t>
            </w:r>
          </w:p>
        </w:tc>
      </w:tr>
      <w:tr w:rsidR="00F10E36" w:rsidRPr="00B94B76" w14:paraId="40B05071"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179B6FFE" w14:textId="6885D08E" w:rsidR="00F10E36" w:rsidRPr="00B94B76" w:rsidRDefault="00F10E36" w:rsidP="00F10E36">
            <w:pPr>
              <w:rPr>
                <w:rFonts w:ascii="Arial Narrow" w:hAnsi="Arial Narrow" w:cs="Calibri"/>
                <w:i/>
                <w:iCs/>
                <w:sz w:val="20"/>
                <w:szCs w:val="20"/>
              </w:rPr>
            </w:pPr>
            <w:r w:rsidRPr="00BE2534">
              <w:rPr>
                <w:rFonts w:ascii="Arial Narrow" w:hAnsi="Arial Narrow" w:cs="Calibri"/>
                <w:i/>
                <w:iCs/>
                <w:sz w:val="20"/>
                <w:szCs w:val="20"/>
                <w:lang w:val="sq-AL"/>
              </w:rPr>
              <w:t>Totalet</w:t>
            </w:r>
          </w:p>
        </w:tc>
        <w:tc>
          <w:tcPr>
            <w:tcW w:w="499" w:type="pct"/>
            <w:tcBorders>
              <w:top w:val="nil"/>
              <w:left w:val="nil"/>
              <w:bottom w:val="single" w:sz="4" w:space="0" w:color="auto"/>
              <w:right w:val="single" w:sz="4" w:space="0" w:color="auto"/>
            </w:tcBorders>
            <w:shd w:val="clear" w:color="auto" w:fill="auto"/>
            <w:noWrap/>
            <w:vAlign w:val="bottom"/>
            <w:hideMark/>
          </w:tcPr>
          <w:p w14:paraId="41241E3E" w14:textId="77777777" w:rsidR="00F10E36" w:rsidRPr="00B94B76" w:rsidRDefault="00F10E36" w:rsidP="00F10E36">
            <w:pPr>
              <w:jc w:val="center"/>
              <w:rPr>
                <w:rFonts w:ascii="Arial Narrow" w:hAnsi="Arial Narrow" w:cs="Calibri"/>
                <w:color w:val="000000"/>
                <w:sz w:val="20"/>
                <w:szCs w:val="20"/>
              </w:rPr>
            </w:pPr>
          </w:p>
        </w:tc>
        <w:tc>
          <w:tcPr>
            <w:tcW w:w="549" w:type="pct"/>
            <w:tcBorders>
              <w:top w:val="nil"/>
              <w:left w:val="nil"/>
              <w:bottom w:val="single" w:sz="4" w:space="0" w:color="auto"/>
              <w:right w:val="single" w:sz="4" w:space="0" w:color="auto"/>
            </w:tcBorders>
            <w:shd w:val="clear" w:color="auto" w:fill="auto"/>
            <w:noWrap/>
            <w:vAlign w:val="bottom"/>
            <w:hideMark/>
          </w:tcPr>
          <w:p w14:paraId="21A9087E" w14:textId="77777777" w:rsidR="00F10E36" w:rsidRPr="00B94B76" w:rsidRDefault="00F10E36" w:rsidP="00F10E36">
            <w:pPr>
              <w:jc w:val="center"/>
              <w:rPr>
                <w:rFonts w:ascii="Arial Narrow" w:hAnsi="Arial Narrow" w:cs="Calibri"/>
                <w:color w:val="000000"/>
                <w:sz w:val="20"/>
                <w:szCs w:val="20"/>
              </w:rPr>
            </w:pPr>
          </w:p>
        </w:tc>
        <w:tc>
          <w:tcPr>
            <w:tcW w:w="499" w:type="pct"/>
            <w:tcBorders>
              <w:top w:val="nil"/>
              <w:left w:val="nil"/>
              <w:bottom w:val="single" w:sz="4" w:space="0" w:color="auto"/>
              <w:right w:val="single" w:sz="4" w:space="0" w:color="auto"/>
            </w:tcBorders>
            <w:shd w:val="clear" w:color="auto" w:fill="auto"/>
            <w:noWrap/>
            <w:vAlign w:val="bottom"/>
            <w:hideMark/>
          </w:tcPr>
          <w:p w14:paraId="6CB786B0" w14:textId="77777777" w:rsidR="00F10E36" w:rsidRPr="00B94B76" w:rsidRDefault="00F10E36" w:rsidP="00F10E36">
            <w:pPr>
              <w:jc w:val="center"/>
              <w:rPr>
                <w:rFonts w:ascii="Arial Narrow" w:hAnsi="Arial Narrow" w:cs="Calibri"/>
                <w:color w:val="000000"/>
                <w:sz w:val="20"/>
                <w:szCs w:val="20"/>
              </w:rPr>
            </w:pPr>
          </w:p>
        </w:tc>
        <w:tc>
          <w:tcPr>
            <w:tcW w:w="499" w:type="pct"/>
            <w:tcBorders>
              <w:top w:val="nil"/>
              <w:left w:val="nil"/>
              <w:bottom w:val="single" w:sz="4" w:space="0" w:color="auto"/>
              <w:right w:val="single" w:sz="4" w:space="0" w:color="auto"/>
            </w:tcBorders>
            <w:shd w:val="clear" w:color="auto" w:fill="auto"/>
            <w:noWrap/>
            <w:vAlign w:val="bottom"/>
            <w:hideMark/>
          </w:tcPr>
          <w:p w14:paraId="57B701A0" w14:textId="77777777" w:rsidR="00F10E36" w:rsidRPr="00B94B76" w:rsidRDefault="00F10E36" w:rsidP="00F10E36">
            <w:pPr>
              <w:jc w:val="center"/>
              <w:rPr>
                <w:rFonts w:ascii="Arial Narrow" w:hAnsi="Arial Narrow" w:cs="Calibri"/>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bottom"/>
            <w:hideMark/>
          </w:tcPr>
          <w:p w14:paraId="22C64259" w14:textId="77777777" w:rsidR="00F10E36" w:rsidRPr="00B94B76" w:rsidRDefault="00F10E36" w:rsidP="00F10E36">
            <w:pPr>
              <w:jc w:val="center"/>
              <w:rPr>
                <w:rFonts w:ascii="Arial Narrow" w:hAnsi="Arial Narrow" w:cs="Calibri"/>
                <w:color w:val="000000"/>
                <w:sz w:val="20"/>
                <w:szCs w:val="20"/>
              </w:rPr>
            </w:pPr>
          </w:p>
        </w:tc>
        <w:tc>
          <w:tcPr>
            <w:tcW w:w="548" w:type="pct"/>
            <w:tcBorders>
              <w:top w:val="nil"/>
              <w:left w:val="nil"/>
              <w:bottom w:val="single" w:sz="4" w:space="0" w:color="auto"/>
              <w:right w:val="single" w:sz="4" w:space="0" w:color="auto"/>
            </w:tcBorders>
            <w:shd w:val="clear" w:color="auto" w:fill="auto"/>
            <w:noWrap/>
            <w:vAlign w:val="bottom"/>
            <w:hideMark/>
          </w:tcPr>
          <w:p w14:paraId="2AEC2766" w14:textId="77777777" w:rsidR="00F10E36" w:rsidRPr="00B94B76" w:rsidRDefault="00F10E36" w:rsidP="00F10E36">
            <w:pPr>
              <w:rPr>
                <w:rFonts w:ascii="Arial Narrow" w:hAnsi="Arial Narrow" w:cs="Arial"/>
                <w:sz w:val="20"/>
                <w:szCs w:val="20"/>
              </w:rPr>
            </w:pPr>
          </w:p>
        </w:tc>
      </w:tr>
      <w:tr w:rsidR="00F10E36" w:rsidRPr="00B94B76" w14:paraId="6A9B5E70"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470AD777" w14:textId="17BDDE16" w:rsidR="00F10E36" w:rsidRPr="00B94B76" w:rsidRDefault="00F10E36" w:rsidP="00F10E36">
            <w:pPr>
              <w:rPr>
                <w:rFonts w:ascii="Arial Narrow" w:hAnsi="Arial Narrow" w:cs="Calibri"/>
                <w:sz w:val="20"/>
                <w:szCs w:val="20"/>
              </w:rPr>
            </w:pPr>
            <w:r w:rsidRPr="00BE2534">
              <w:rPr>
                <w:rFonts w:ascii="Arial Narrow" w:hAnsi="Arial Narrow" w:cs="Calibri"/>
                <w:sz w:val="20"/>
                <w:szCs w:val="20"/>
                <w:lang w:val="sq-AL"/>
              </w:rPr>
              <w:t>Kostot totale të investimit</w:t>
            </w:r>
          </w:p>
        </w:tc>
        <w:tc>
          <w:tcPr>
            <w:tcW w:w="499" w:type="pct"/>
            <w:tcBorders>
              <w:top w:val="nil"/>
              <w:left w:val="nil"/>
              <w:bottom w:val="single" w:sz="4" w:space="0" w:color="auto"/>
              <w:right w:val="single" w:sz="4" w:space="0" w:color="auto"/>
            </w:tcBorders>
            <w:shd w:val="clear" w:color="auto" w:fill="auto"/>
            <w:noWrap/>
            <w:vAlign w:val="bottom"/>
            <w:hideMark/>
          </w:tcPr>
          <w:p w14:paraId="05F8D6F6"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44.99</w:t>
            </w:r>
          </w:p>
        </w:tc>
        <w:tc>
          <w:tcPr>
            <w:tcW w:w="549" w:type="pct"/>
            <w:tcBorders>
              <w:top w:val="nil"/>
              <w:left w:val="nil"/>
              <w:bottom w:val="single" w:sz="4" w:space="0" w:color="auto"/>
              <w:right w:val="single" w:sz="4" w:space="0" w:color="auto"/>
            </w:tcBorders>
            <w:shd w:val="clear" w:color="auto" w:fill="auto"/>
            <w:noWrap/>
            <w:vAlign w:val="bottom"/>
            <w:hideMark/>
          </w:tcPr>
          <w:p w14:paraId="365B4FF8"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48.89</w:t>
            </w:r>
          </w:p>
        </w:tc>
        <w:tc>
          <w:tcPr>
            <w:tcW w:w="499" w:type="pct"/>
            <w:tcBorders>
              <w:top w:val="nil"/>
              <w:left w:val="nil"/>
              <w:bottom w:val="single" w:sz="4" w:space="0" w:color="auto"/>
              <w:right w:val="single" w:sz="4" w:space="0" w:color="auto"/>
            </w:tcBorders>
            <w:shd w:val="clear" w:color="auto" w:fill="auto"/>
            <w:noWrap/>
            <w:vAlign w:val="bottom"/>
            <w:hideMark/>
          </w:tcPr>
          <w:p w14:paraId="6817A433"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53.88</w:t>
            </w:r>
          </w:p>
        </w:tc>
        <w:tc>
          <w:tcPr>
            <w:tcW w:w="499" w:type="pct"/>
            <w:tcBorders>
              <w:top w:val="nil"/>
              <w:left w:val="nil"/>
              <w:bottom w:val="single" w:sz="4" w:space="0" w:color="auto"/>
              <w:right w:val="single" w:sz="4" w:space="0" w:color="auto"/>
            </w:tcBorders>
            <w:shd w:val="clear" w:color="auto" w:fill="auto"/>
            <w:noWrap/>
            <w:vAlign w:val="bottom"/>
            <w:hideMark/>
          </w:tcPr>
          <w:p w14:paraId="6E0320D3"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55.20</w:t>
            </w:r>
          </w:p>
        </w:tc>
        <w:tc>
          <w:tcPr>
            <w:tcW w:w="512" w:type="pct"/>
            <w:tcBorders>
              <w:top w:val="nil"/>
              <w:left w:val="nil"/>
              <w:bottom w:val="single" w:sz="4" w:space="0" w:color="auto"/>
              <w:right w:val="single" w:sz="4" w:space="0" w:color="auto"/>
            </w:tcBorders>
            <w:shd w:val="clear" w:color="auto" w:fill="auto"/>
            <w:noWrap/>
            <w:vAlign w:val="bottom"/>
            <w:hideMark/>
          </w:tcPr>
          <w:p w14:paraId="090F38D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53.54</w:t>
            </w:r>
          </w:p>
        </w:tc>
        <w:tc>
          <w:tcPr>
            <w:tcW w:w="548" w:type="pct"/>
            <w:tcBorders>
              <w:top w:val="nil"/>
              <w:left w:val="nil"/>
              <w:bottom w:val="single" w:sz="4" w:space="0" w:color="auto"/>
              <w:right w:val="single" w:sz="4" w:space="0" w:color="auto"/>
            </w:tcBorders>
            <w:shd w:val="clear" w:color="auto" w:fill="auto"/>
            <w:noWrap/>
            <w:vAlign w:val="bottom"/>
            <w:hideMark/>
          </w:tcPr>
          <w:p w14:paraId="280533A7"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48.02</w:t>
            </w:r>
          </w:p>
        </w:tc>
      </w:tr>
      <w:tr w:rsidR="00F10E36" w:rsidRPr="00B94B76" w14:paraId="3DAC5989"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6582E78B" w14:textId="42A4FF8F" w:rsidR="00F10E36" w:rsidRPr="00B94B76" w:rsidRDefault="00F10E36" w:rsidP="00F10E36">
            <w:pPr>
              <w:rPr>
                <w:rFonts w:ascii="Arial Narrow" w:hAnsi="Arial Narrow" w:cs="Calibri"/>
                <w:sz w:val="20"/>
                <w:szCs w:val="20"/>
              </w:rPr>
            </w:pPr>
            <w:r w:rsidRPr="00BE2534">
              <w:rPr>
                <w:rFonts w:ascii="Arial Narrow" w:hAnsi="Arial Narrow" w:cs="Calibri"/>
                <w:sz w:val="20"/>
                <w:szCs w:val="20"/>
                <w:lang w:val="sq-AL"/>
              </w:rPr>
              <w:t>Kostot totale operacionale</w:t>
            </w:r>
          </w:p>
        </w:tc>
        <w:tc>
          <w:tcPr>
            <w:tcW w:w="499" w:type="pct"/>
            <w:tcBorders>
              <w:top w:val="nil"/>
              <w:left w:val="nil"/>
              <w:bottom w:val="single" w:sz="4" w:space="0" w:color="auto"/>
              <w:right w:val="single" w:sz="4" w:space="0" w:color="auto"/>
            </w:tcBorders>
            <w:shd w:val="clear" w:color="auto" w:fill="auto"/>
            <w:noWrap/>
            <w:vAlign w:val="bottom"/>
            <w:hideMark/>
          </w:tcPr>
          <w:p w14:paraId="69F9BF2C"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83.97</w:t>
            </w:r>
          </w:p>
        </w:tc>
        <w:tc>
          <w:tcPr>
            <w:tcW w:w="549" w:type="pct"/>
            <w:tcBorders>
              <w:top w:val="nil"/>
              <w:left w:val="nil"/>
              <w:bottom w:val="single" w:sz="4" w:space="0" w:color="auto"/>
              <w:right w:val="single" w:sz="4" w:space="0" w:color="auto"/>
            </w:tcBorders>
            <w:shd w:val="clear" w:color="auto" w:fill="auto"/>
            <w:noWrap/>
            <w:vAlign w:val="bottom"/>
            <w:hideMark/>
          </w:tcPr>
          <w:p w14:paraId="2D27E89B"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101.14</w:t>
            </w:r>
          </w:p>
        </w:tc>
        <w:tc>
          <w:tcPr>
            <w:tcW w:w="499" w:type="pct"/>
            <w:tcBorders>
              <w:top w:val="nil"/>
              <w:left w:val="nil"/>
              <w:bottom w:val="single" w:sz="4" w:space="0" w:color="auto"/>
              <w:right w:val="single" w:sz="4" w:space="0" w:color="auto"/>
            </w:tcBorders>
            <w:shd w:val="clear" w:color="auto" w:fill="auto"/>
            <w:noWrap/>
            <w:vAlign w:val="bottom"/>
            <w:hideMark/>
          </w:tcPr>
          <w:p w14:paraId="6F13522E"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105.18</w:t>
            </w:r>
          </w:p>
        </w:tc>
        <w:tc>
          <w:tcPr>
            <w:tcW w:w="499" w:type="pct"/>
            <w:tcBorders>
              <w:top w:val="nil"/>
              <w:left w:val="nil"/>
              <w:bottom w:val="single" w:sz="4" w:space="0" w:color="auto"/>
              <w:right w:val="single" w:sz="4" w:space="0" w:color="auto"/>
            </w:tcBorders>
            <w:shd w:val="clear" w:color="auto" w:fill="auto"/>
            <w:noWrap/>
            <w:vAlign w:val="bottom"/>
            <w:hideMark/>
          </w:tcPr>
          <w:p w14:paraId="5344A0A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101.53</w:t>
            </w:r>
          </w:p>
        </w:tc>
        <w:tc>
          <w:tcPr>
            <w:tcW w:w="512" w:type="pct"/>
            <w:tcBorders>
              <w:top w:val="nil"/>
              <w:left w:val="nil"/>
              <w:bottom w:val="single" w:sz="4" w:space="0" w:color="auto"/>
              <w:right w:val="single" w:sz="4" w:space="0" w:color="auto"/>
            </w:tcBorders>
            <w:shd w:val="clear" w:color="auto" w:fill="auto"/>
            <w:noWrap/>
            <w:vAlign w:val="bottom"/>
            <w:hideMark/>
          </w:tcPr>
          <w:p w14:paraId="0AD4F154"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100.02</w:t>
            </w:r>
          </w:p>
        </w:tc>
        <w:tc>
          <w:tcPr>
            <w:tcW w:w="548" w:type="pct"/>
            <w:tcBorders>
              <w:top w:val="nil"/>
              <w:left w:val="nil"/>
              <w:bottom w:val="single" w:sz="4" w:space="0" w:color="auto"/>
              <w:right w:val="single" w:sz="4" w:space="0" w:color="auto"/>
            </w:tcBorders>
            <w:shd w:val="clear" w:color="auto" w:fill="auto"/>
            <w:noWrap/>
            <w:vAlign w:val="bottom"/>
            <w:hideMark/>
          </w:tcPr>
          <w:p w14:paraId="263AED3F"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91.76</w:t>
            </w:r>
          </w:p>
        </w:tc>
      </w:tr>
      <w:tr w:rsidR="00F10E36" w:rsidRPr="00B94B76" w14:paraId="6BEA57E5"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17F3B9D5" w14:textId="725414EA" w:rsidR="00F10E36" w:rsidRPr="00B94B76" w:rsidRDefault="00F10E36" w:rsidP="00F10E36">
            <w:pPr>
              <w:rPr>
                <w:rFonts w:ascii="Arial Narrow" w:hAnsi="Arial Narrow" w:cs="Calibri"/>
                <w:i/>
                <w:iCs/>
                <w:sz w:val="20"/>
                <w:szCs w:val="20"/>
              </w:rPr>
            </w:pPr>
            <w:r w:rsidRPr="00BE2534">
              <w:rPr>
                <w:rFonts w:ascii="Arial Narrow" w:hAnsi="Arial Narrow" w:cs="Calibri"/>
                <w:i/>
                <w:iCs/>
                <w:sz w:val="20"/>
                <w:szCs w:val="20"/>
                <w:lang w:val="sq-AL"/>
              </w:rPr>
              <w:t>Kostot totale</w:t>
            </w:r>
          </w:p>
        </w:tc>
        <w:tc>
          <w:tcPr>
            <w:tcW w:w="499" w:type="pct"/>
            <w:tcBorders>
              <w:top w:val="nil"/>
              <w:left w:val="nil"/>
              <w:bottom w:val="single" w:sz="4" w:space="0" w:color="auto"/>
              <w:right w:val="single" w:sz="4" w:space="0" w:color="auto"/>
            </w:tcBorders>
            <w:shd w:val="clear" w:color="auto" w:fill="auto"/>
            <w:noWrap/>
            <w:vAlign w:val="bottom"/>
            <w:hideMark/>
          </w:tcPr>
          <w:p w14:paraId="7C2CEAC8"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128.96</w:t>
            </w:r>
          </w:p>
        </w:tc>
        <w:tc>
          <w:tcPr>
            <w:tcW w:w="549" w:type="pct"/>
            <w:tcBorders>
              <w:top w:val="nil"/>
              <w:left w:val="nil"/>
              <w:bottom w:val="single" w:sz="4" w:space="0" w:color="auto"/>
              <w:right w:val="single" w:sz="4" w:space="0" w:color="auto"/>
            </w:tcBorders>
            <w:shd w:val="clear" w:color="auto" w:fill="auto"/>
            <w:noWrap/>
            <w:vAlign w:val="bottom"/>
            <w:hideMark/>
          </w:tcPr>
          <w:p w14:paraId="6237E2A8"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150.03</w:t>
            </w:r>
          </w:p>
        </w:tc>
        <w:tc>
          <w:tcPr>
            <w:tcW w:w="499" w:type="pct"/>
            <w:tcBorders>
              <w:top w:val="nil"/>
              <w:left w:val="nil"/>
              <w:bottom w:val="single" w:sz="4" w:space="0" w:color="auto"/>
              <w:right w:val="single" w:sz="4" w:space="0" w:color="auto"/>
            </w:tcBorders>
            <w:shd w:val="clear" w:color="auto" w:fill="auto"/>
            <w:noWrap/>
            <w:vAlign w:val="bottom"/>
            <w:hideMark/>
          </w:tcPr>
          <w:p w14:paraId="14FF255E"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159.05</w:t>
            </w:r>
          </w:p>
        </w:tc>
        <w:tc>
          <w:tcPr>
            <w:tcW w:w="499" w:type="pct"/>
            <w:tcBorders>
              <w:top w:val="nil"/>
              <w:left w:val="nil"/>
              <w:bottom w:val="single" w:sz="4" w:space="0" w:color="auto"/>
              <w:right w:val="single" w:sz="4" w:space="0" w:color="auto"/>
            </w:tcBorders>
            <w:shd w:val="clear" w:color="auto" w:fill="auto"/>
            <w:noWrap/>
            <w:vAlign w:val="bottom"/>
            <w:hideMark/>
          </w:tcPr>
          <w:p w14:paraId="1B4954E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156.73</w:t>
            </w:r>
          </w:p>
        </w:tc>
        <w:tc>
          <w:tcPr>
            <w:tcW w:w="512" w:type="pct"/>
            <w:tcBorders>
              <w:top w:val="nil"/>
              <w:left w:val="nil"/>
              <w:bottom w:val="single" w:sz="4" w:space="0" w:color="auto"/>
              <w:right w:val="single" w:sz="4" w:space="0" w:color="auto"/>
            </w:tcBorders>
            <w:shd w:val="clear" w:color="auto" w:fill="auto"/>
            <w:noWrap/>
            <w:vAlign w:val="bottom"/>
            <w:hideMark/>
          </w:tcPr>
          <w:p w14:paraId="674BD067"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153.55</w:t>
            </w:r>
          </w:p>
        </w:tc>
        <w:tc>
          <w:tcPr>
            <w:tcW w:w="548" w:type="pct"/>
            <w:tcBorders>
              <w:top w:val="nil"/>
              <w:left w:val="nil"/>
              <w:bottom w:val="single" w:sz="4" w:space="0" w:color="auto"/>
              <w:right w:val="single" w:sz="4" w:space="0" w:color="auto"/>
            </w:tcBorders>
            <w:shd w:val="clear" w:color="auto" w:fill="auto"/>
            <w:noWrap/>
            <w:vAlign w:val="bottom"/>
            <w:hideMark/>
          </w:tcPr>
          <w:p w14:paraId="6286E41F"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139.78</w:t>
            </w:r>
          </w:p>
        </w:tc>
      </w:tr>
      <w:tr w:rsidR="00F10E36" w:rsidRPr="00B94B76" w14:paraId="19F3EB26"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183AD5D8" w14:textId="5E43A81B" w:rsidR="00F10E36" w:rsidRPr="00B94B76" w:rsidRDefault="00F10E36" w:rsidP="00F10E36">
            <w:pPr>
              <w:rPr>
                <w:rFonts w:ascii="Arial Narrow" w:hAnsi="Arial Narrow" w:cs="Calibri"/>
                <w:i/>
                <w:iCs/>
                <w:sz w:val="20"/>
                <w:szCs w:val="20"/>
              </w:rPr>
            </w:pPr>
            <w:r w:rsidRPr="00BE2534">
              <w:rPr>
                <w:rFonts w:ascii="Arial Narrow" w:hAnsi="Arial Narrow" w:cs="Calibri"/>
                <w:i/>
                <w:iCs/>
                <w:sz w:val="20"/>
                <w:szCs w:val="20"/>
                <w:lang w:val="sq-AL"/>
              </w:rPr>
              <w:t>Të hyrat totale</w:t>
            </w:r>
          </w:p>
        </w:tc>
        <w:tc>
          <w:tcPr>
            <w:tcW w:w="499" w:type="pct"/>
            <w:tcBorders>
              <w:top w:val="nil"/>
              <w:left w:val="nil"/>
              <w:bottom w:val="single" w:sz="4" w:space="0" w:color="auto"/>
              <w:right w:val="single" w:sz="4" w:space="0" w:color="auto"/>
            </w:tcBorders>
            <w:shd w:val="clear" w:color="auto" w:fill="auto"/>
            <w:noWrap/>
            <w:vAlign w:val="bottom"/>
            <w:hideMark/>
          </w:tcPr>
          <w:p w14:paraId="242A7771"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13.14</w:t>
            </w:r>
          </w:p>
        </w:tc>
        <w:tc>
          <w:tcPr>
            <w:tcW w:w="549" w:type="pct"/>
            <w:tcBorders>
              <w:top w:val="nil"/>
              <w:left w:val="nil"/>
              <w:bottom w:val="single" w:sz="4" w:space="0" w:color="auto"/>
              <w:right w:val="single" w:sz="4" w:space="0" w:color="auto"/>
            </w:tcBorders>
            <w:shd w:val="clear" w:color="auto" w:fill="auto"/>
            <w:noWrap/>
            <w:vAlign w:val="bottom"/>
            <w:hideMark/>
          </w:tcPr>
          <w:p w14:paraId="0C34F7D4"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11.85</w:t>
            </w:r>
          </w:p>
        </w:tc>
        <w:tc>
          <w:tcPr>
            <w:tcW w:w="499" w:type="pct"/>
            <w:tcBorders>
              <w:top w:val="nil"/>
              <w:left w:val="nil"/>
              <w:bottom w:val="single" w:sz="4" w:space="0" w:color="auto"/>
              <w:right w:val="single" w:sz="4" w:space="0" w:color="auto"/>
            </w:tcBorders>
            <w:shd w:val="clear" w:color="auto" w:fill="auto"/>
            <w:noWrap/>
            <w:vAlign w:val="bottom"/>
            <w:hideMark/>
          </w:tcPr>
          <w:p w14:paraId="67144852"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11.66</w:t>
            </w:r>
          </w:p>
        </w:tc>
        <w:tc>
          <w:tcPr>
            <w:tcW w:w="499" w:type="pct"/>
            <w:tcBorders>
              <w:top w:val="nil"/>
              <w:left w:val="nil"/>
              <w:bottom w:val="single" w:sz="4" w:space="0" w:color="auto"/>
              <w:right w:val="single" w:sz="4" w:space="0" w:color="auto"/>
            </w:tcBorders>
            <w:shd w:val="clear" w:color="auto" w:fill="auto"/>
            <w:noWrap/>
            <w:vAlign w:val="bottom"/>
            <w:hideMark/>
          </w:tcPr>
          <w:p w14:paraId="1027567F"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11.29</w:t>
            </w:r>
          </w:p>
        </w:tc>
        <w:tc>
          <w:tcPr>
            <w:tcW w:w="512" w:type="pct"/>
            <w:tcBorders>
              <w:top w:val="nil"/>
              <w:left w:val="nil"/>
              <w:bottom w:val="single" w:sz="4" w:space="0" w:color="auto"/>
              <w:right w:val="single" w:sz="4" w:space="0" w:color="auto"/>
            </w:tcBorders>
            <w:shd w:val="clear" w:color="auto" w:fill="auto"/>
            <w:noWrap/>
            <w:vAlign w:val="bottom"/>
            <w:hideMark/>
          </w:tcPr>
          <w:p w14:paraId="502DFE68"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10.94</w:t>
            </w:r>
          </w:p>
        </w:tc>
        <w:tc>
          <w:tcPr>
            <w:tcW w:w="548" w:type="pct"/>
            <w:tcBorders>
              <w:top w:val="nil"/>
              <w:left w:val="nil"/>
              <w:bottom w:val="single" w:sz="4" w:space="0" w:color="auto"/>
              <w:right w:val="single" w:sz="4" w:space="0" w:color="auto"/>
            </w:tcBorders>
            <w:shd w:val="clear" w:color="auto" w:fill="auto"/>
            <w:noWrap/>
            <w:vAlign w:val="bottom"/>
            <w:hideMark/>
          </w:tcPr>
          <w:p w14:paraId="0F85C56F"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12.49</w:t>
            </w:r>
          </w:p>
        </w:tc>
      </w:tr>
      <w:tr w:rsidR="00F10E36" w:rsidRPr="00B94B76" w14:paraId="1F515C75" w14:textId="77777777" w:rsidTr="00D03949">
        <w:trPr>
          <w:trHeight w:val="288"/>
        </w:trPr>
        <w:tc>
          <w:tcPr>
            <w:tcW w:w="1894" w:type="pct"/>
            <w:tcBorders>
              <w:top w:val="nil"/>
              <w:left w:val="single" w:sz="4" w:space="0" w:color="auto"/>
              <w:bottom w:val="single" w:sz="4" w:space="0" w:color="auto"/>
              <w:right w:val="single" w:sz="4" w:space="0" w:color="auto"/>
            </w:tcBorders>
            <w:shd w:val="clear" w:color="auto" w:fill="auto"/>
            <w:vAlign w:val="bottom"/>
            <w:hideMark/>
          </w:tcPr>
          <w:p w14:paraId="3D90D0A5" w14:textId="457870E9" w:rsidR="00F10E36" w:rsidRPr="00B94B76" w:rsidRDefault="00F10E36" w:rsidP="00F10E36">
            <w:pPr>
              <w:rPr>
                <w:rFonts w:ascii="Arial Narrow" w:hAnsi="Arial Narrow" w:cs="Calibri"/>
                <w:i/>
                <w:iCs/>
                <w:sz w:val="20"/>
                <w:szCs w:val="20"/>
              </w:rPr>
            </w:pPr>
            <w:r w:rsidRPr="00BE2534">
              <w:rPr>
                <w:rFonts w:ascii="Arial Narrow" w:hAnsi="Arial Narrow" w:cs="Calibri"/>
                <w:i/>
                <w:iCs/>
                <w:sz w:val="20"/>
                <w:szCs w:val="20"/>
                <w:lang w:val="sq-AL"/>
              </w:rPr>
              <w:t>Kostot neto</w:t>
            </w:r>
          </w:p>
        </w:tc>
        <w:tc>
          <w:tcPr>
            <w:tcW w:w="499" w:type="pct"/>
            <w:tcBorders>
              <w:top w:val="nil"/>
              <w:left w:val="nil"/>
              <w:bottom w:val="single" w:sz="4" w:space="0" w:color="auto"/>
              <w:right w:val="single" w:sz="4" w:space="0" w:color="auto"/>
            </w:tcBorders>
            <w:shd w:val="clear" w:color="auto" w:fill="auto"/>
            <w:noWrap/>
            <w:vAlign w:val="bottom"/>
            <w:hideMark/>
          </w:tcPr>
          <w:p w14:paraId="77A11A7C"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115.82</w:t>
            </w:r>
          </w:p>
        </w:tc>
        <w:tc>
          <w:tcPr>
            <w:tcW w:w="549" w:type="pct"/>
            <w:tcBorders>
              <w:top w:val="nil"/>
              <w:left w:val="nil"/>
              <w:bottom w:val="single" w:sz="4" w:space="0" w:color="auto"/>
              <w:right w:val="single" w:sz="4" w:space="0" w:color="auto"/>
            </w:tcBorders>
            <w:shd w:val="clear" w:color="auto" w:fill="auto"/>
            <w:noWrap/>
            <w:vAlign w:val="bottom"/>
            <w:hideMark/>
          </w:tcPr>
          <w:p w14:paraId="7A82115C"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138.18</w:t>
            </w:r>
          </w:p>
        </w:tc>
        <w:tc>
          <w:tcPr>
            <w:tcW w:w="499" w:type="pct"/>
            <w:tcBorders>
              <w:top w:val="nil"/>
              <w:left w:val="nil"/>
              <w:bottom w:val="single" w:sz="4" w:space="0" w:color="auto"/>
              <w:right w:val="single" w:sz="4" w:space="0" w:color="auto"/>
            </w:tcBorders>
            <w:shd w:val="clear" w:color="auto" w:fill="auto"/>
            <w:noWrap/>
            <w:vAlign w:val="bottom"/>
            <w:hideMark/>
          </w:tcPr>
          <w:p w14:paraId="6AE1029C"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147.40</w:t>
            </w:r>
          </w:p>
        </w:tc>
        <w:tc>
          <w:tcPr>
            <w:tcW w:w="499" w:type="pct"/>
            <w:tcBorders>
              <w:top w:val="nil"/>
              <w:left w:val="nil"/>
              <w:bottom w:val="single" w:sz="4" w:space="0" w:color="auto"/>
              <w:right w:val="single" w:sz="4" w:space="0" w:color="auto"/>
            </w:tcBorders>
            <w:shd w:val="clear" w:color="auto" w:fill="auto"/>
            <w:noWrap/>
            <w:vAlign w:val="bottom"/>
            <w:hideMark/>
          </w:tcPr>
          <w:p w14:paraId="552E152E"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145.44</w:t>
            </w:r>
          </w:p>
        </w:tc>
        <w:tc>
          <w:tcPr>
            <w:tcW w:w="512" w:type="pct"/>
            <w:tcBorders>
              <w:top w:val="nil"/>
              <w:left w:val="nil"/>
              <w:bottom w:val="single" w:sz="4" w:space="0" w:color="auto"/>
              <w:right w:val="single" w:sz="4" w:space="0" w:color="auto"/>
            </w:tcBorders>
            <w:shd w:val="clear" w:color="auto" w:fill="auto"/>
            <w:noWrap/>
            <w:vAlign w:val="bottom"/>
            <w:hideMark/>
          </w:tcPr>
          <w:p w14:paraId="63EF5EF3"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142.61</w:t>
            </w:r>
          </w:p>
        </w:tc>
        <w:tc>
          <w:tcPr>
            <w:tcW w:w="548" w:type="pct"/>
            <w:tcBorders>
              <w:top w:val="nil"/>
              <w:left w:val="nil"/>
              <w:bottom w:val="single" w:sz="4" w:space="0" w:color="auto"/>
              <w:right w:val="single" w:sz="4" w:space="0" w:color="auto"/>
            </w:tcBorders>
            <w:shd w:val="clear" w:color="auto" w:fill="auto"/>
            <w:noWrap/>
            <w:vAlign w:val="bottom"/>
            <w:hideMark/>
          </w:tcPr>
          <w:p w14:paraId="711A76ED" w14:textId="77777777" w:rsidR="00F10E36" w:rsidRPr="00B94B76" w:rsidRDefault="00F10E36" w:rsidP="00F10E36">
            <w:pPr>
              <w:jc w:val="center"/>
              <w:rPr>
                <w:rFonts w:ascii="Arial Narrow" w:hAnsi="Arial Narrow" w:cs="Calibri"/>
                <w:color w:val="000000"/>
                <w:sz w:val="20"/>
                <w:szCs w:val="20"/>
              </w:rPr>
            </w:pPr>
            <w:r w:rsidRPr="00B94B76">
              <w:rPr>
                <w:rFonts w:ascii="Arial Narrow" w:hAnsi="Arial Narrow" w:cs="Calibri"/>
                <w:color w:val="000000"/>
                <w:sz w:val="20"/>
                <w:szCs w:val="20"/>
              </w:rPr>
              <w:t>127.29</w:t>
            </w:r>
          </w:p>
        </w:tc>
      </w:tr>
    </w:tbl>
    <w:p w14:paraId="2F1A0E65" w14:textId="77777777" w:rsidR="00430A79" w:rsidRDefault="00430A79" w:rsidP="00430A79">
      <w:pPr>
        <w:rPr>
          <w:rFonts w:ascii="Arial Narrow" w:hAnsi="Arial Narrow"/>
        </w:rPr>
      </w:pPr>
    </w:p>
    <w:p w14:paraId="414F30BB" w14:textId="6161D9E6" w:rsidR="00430A79" w:rsidRPr="001B756B" w:rsidRDefault="00F10E36" w:rsidP="00430A79">
      <w:pPr>
        <w:rPr>
          <w:rFonts w:ascii="Arial Narrow" w:hAnsi="Arial Narrow"/>
          <w:sz w:val="22"/>
          <w:szCs w:val="22"/>
        </w:rPr>
      </w:pPr>
      <w:r w:rsidRPr="00BE2534">
        <w:rPr>
          <w:rFonts w:ascii="Arial Narrow" w:hAnsi="Arial Narrow"/>
          <w:sz w:val="22"/>
          <w:szCs w:val="22"/>
          <w:lang w:val="sq-AL"/>
        </w:rPr>
        <w:t>Kostot me ulje për njësi për ton mbeturina të gjeneruara janë më të ulëtat në komunën e Pejës dhe vlerësohen në 115,82 €/ton dhe më e lartat në komunën e Klinës 147,40 €/ton, ndërsa vlera mesatare për rajonin është 127,29 €/ton</w:t>
      </w:r>
      <w:r w:rsidR="00430A79" w:rsidRPr="001B756B">
        <w:rPr>
          <w:rFonts w:ascii="Arial Narrow" w:hAnsi="Arial Narrow"/>
          <w:sz w:val="22"/>
          <w:szCs w:val="22"/>
        </w:rPr>
        <w:t>.</w:t>
      </w:r>
    </w:p>
    <w:p w14:paraId="160D492F" w14:textId="77777777" w:rsidR="00430A79" w:rsidRPr="00430A79" w:rsidRDefault="00430A79" w:rsidP="00430A79">
      <w:pPr>
        <w:rPr>
          <w:rFonts w:ascii="Arial Narrow" w:hAnsi="Arial Narrow"/>
        </w:rPr>
      </w:pPr>
    </w:p>
    <w:p w14:paraId="16BD3BFC" w14:textId="1A67F4CF" w:rsidR="00430A79" w:rsidRPr="00430A79" w:rsidRDefault="00430A79" w:rsidP="000D7AD0">
      <w:pPr>
        <w:pStyle w:val="Heading2"/>
      </w:pPr>
      <w:bookmarkStart w:id="545" w:name="_Toc185866155"/>
      <w:bookmarkStart w:id="546" w:name="_Toc197472046"/>
      <w:r w:rsidRPr="00430A79">
        <w:t>Rrjedhat e mbeturinave dhe b</w:t>
      </w:r>
      <w:r w:rsidR="008509F4">
        <w:t>a</w:t>
      </w:r>
      <w:r w:rsidRPr="00430A79">
        <w:t>lanc</w:t>
      </w:r>
      <w:r w:rsidR="00F10E36">
        <w:t>a</w:t>
      </w:r>
      <w:r w:rsidRPr="00430A79">
        <w:t xml:space="preserve"> </w:t>
      </w:r>
      <w:r w:rsidR="00F10E36">
        <w:t>e përgjithshme/</w:t>
      </w:r>
      <w:r w:rsidRPr="00430A79">
        <w:t>mas</w:t>
      </w:r>
      <w:r w:rsidR="008509F4">
        <w:t>ës</w:t>
      </w:r>
      <w:r w:rsidRPr="00430A79">
        <w:t xml:space="preserve"> i sistemit të rekomanduar</w:t>
      </w:r>
      <w:bookmarkEnd w:id="545"/>
      <w:bookmarkEnd w:id="546"/>
    </w:p>
    <w:p w14:paraId="74B2F6F4" w14:textId="77777777" w:rsidR="00430A79" w:rsidRPr="00430A79" w:rsidRDefault="00430A79" w:rsidP="00430A79">
      <w:pPr>
        <w:rPr>
          <w:rFonts w:ascii="Arial Narrow" w:hAnsi="Arial Narrow"/>
          <w:color w:val="000000"/>
          <w:sz w:val="22"/>
          <w:szCs w:val="22"/>
          <w:lang w:val="en-GB" w:eastAsia="de-DE"/>
        </w:rPr>
      </w:pPr>
    </w:p>
    <w:p w14:paraId="34A64AE2" w14:textId="3D04E99A" w:rsidR="00F10E36" w:rsidRPr="00BE2534" w:rsidRDefault="00F10E36" w:rsidP="00F10E36">
      <w:pPr>
        <w:rPr>
          <w:rFonts w:ascii="Arial Narrow" w:hAnsi="Arial Narrow"/>
          <w:color w:val="000000"/>
          <w:sz w:val="22"/>
          <w:szCs w:val="22"/>
          <w:lang w:val="sq-AL" w:eastAsia="de-DE"/>
        </w:rPr>
      </w:pPr>
      <w:bookmarkStart w:id="547" w:name="_Hlk195524236"/>
      <w:r w:rsidRPr="00BE2534">
        <w:rPr>
          <w:rFonts w:ascii="Arial Narrow" w:hAnsi="Arial Narrow"/>
          <w:color w:val="000000"/>
          <w:sz w:val="22"/>
          <w:szCs w:val="22"/>
          <w:lang w:val="sq-AL" w:eastAsia="de-DE"/>
        </w:rPr>
        <w:t>Shifrat e mëposhtme tregojnë balancën e përgjithshme</w:t>
      </w:r>
      <w:r w:rsidR="008509F4">
        <w:rPr>
          <w:rFonts w:ascii="Arial Narrow" w:hAnsi="Arial Narrow"/>
          <w:color w:val="000000"/>
          <w:sz w:val="22"/>
          <w:szCs w:val="22"/>
          <w:lang w:val="sq-AL" w:eastAsia="de-DE"/>
        </w:rPr>
        <w:t>/masës</w:t>
      </w:r>
      <w:r w:rsidRPr="00BE2534">
        <w:rPr>
          <w:rFonts w:ascii="Arial Narrow" w:hAnsi="Arial Narrow"/>
          <w:color w:val="000000"/>
          <w:sz w:val="22"/>
          <w:szCs w:val="22"/>
          <w:lang w:val="sq-AL" w:eastAsia="de-DE"/>
        </w:rPr>
        <w:t xml:space="preserve"> </w:t>
      </w:r>
      <w:r w:rsidR="008509F4">
        <w:rPr>
          <w:rFonts w:ascii="Arial Narrow" w:hAnsi="Arial Narrow"/>
          <w:color w:val="000000"/>
          <w:sz w:val="22"/>
          <w:szCs w:val="22"/>
          <w:lang w:val="sq-AL" w:eastAsia="de-DE"/>
        </w:rPr>
        <w:t>s</w:t>
      </w:r>
      <w:r w:rsidRPr="00BE2534">
        <w:rPr>
          <w:rFonts w:ascii="Arial Narrow" w:hAnsi="Arial Narrow"/>
          <w:color w:val="000000"/>
          <w:sz w:val="22"/>
          <w:szCs w:val="22"/>
          <w:lang w:val="sq-AL" w:eastAsia="de-DE"/>
        </w:rPr>
        <w:t>ë sasive të mbeturinave për periudhën e planifikimit dhe për referencën e vitit të kaluar (2035).</w:t>
      </w:r>
    </w:p>
    <w:p w14:paraId="20C110E0" w14:textId="421927F0" w:rsidR="00430A79" w:rsidRDefault="00430A79" w:rsidP="00430A79">
      <w:pPr>
        <w:rPr>
          <w:rFonts w:ascii="Arial Narrow" w:hAnsi="Arial Narrow"/>
          <w:color w:val="000000"/>
          <w:sz w:val="22"/>
          <w:szCs w:val="22"/>
          <w:lang w:val="en-GB" w:eastAsia="de-DE"/>
        </w:rPr>
      </w:pPr>
    </w:p>
    <w:p w14:paraId="7C06CEF2" w14:textId="6B718C85" w:rsidR="001105E2" w:rsidRPr="00430A79" w:rsidRDefault="001105E2" w:rsidP="001105E2">
      <w:pPr>
        <w:jc w:val="center"/>
        <w:rPr>
          <w:rFonts w:ascii="Arial Narrow" w:hAnsi="Arial Narrow"/>
          <w:color w:val="000000"/>
          <w:sz w:val="22"/>
          <w:szCs w:val="22"/>
          <w:lang w:val="en-GB" w:eastAsia="de-DE"/>
        </w:rPr>
      </w:pPr>
    </w:p>
    <w:p w14:paraId="7D2F82E6" w14:textId="77777777" w:rsidR="00B62511" w:rsidRDefault="00B62511" w:rsidP="006347D6">
      <w:pPr>
        <w:pStyle w:val="Figure"/>
        <w:rPr>
          <w:rFonts w:eastAsia="Calibri" w:cs="Calibri"/>
          <w:sz w:val="20"/>
          <w:szCs w:val="20"/>
        </w:rPr>
      </w:pPr>
      <w:bookmarkStart w:id="548" w:name="_Toc185866259"/>
    </w:p>
    <w:p w14:paraId="6B99317C" w14:textId="2147393F" w:rsidR="00B62511" w:rsidRDefault="00B62511" w:rsidP="006347D6">
      <w:pPr>
        <w:pStyle w:val="Figure"/>
        <w:rPr>
          <w:rFonts w:eastAsia="Calibri" w:cs="Calibri"/>
          <w:sz w:val="20"/>
          <w:szCs w:val="20"/>
        </w:rPr>
      </w:pPr>
      <w:r>
        <w:rPr>
          <w:noProof/>
        </w:rPr>
        <w:lastRenderedPageBreak/>
        <w:drawing>
          <wp:inline distT="0" distB="0" distL="0" distR="0" wp14:anchorId="446BDF35" wp14:editId="4EA8349A">
            <wp:extent cx="6013174" cy="3840480"/>
            <wp:effectExtent l="0" t="0" r="6985" b="7620"/>
            <wp:docPr id="1774159504" name="Chart 1">
              <a:extLst xmlns:a="http://schemas.openxmlformats.org/drawingml/2006/main">
                <a:ext uri="{FF2B5EF4-FFF2-40B4-BE49-F238E27FC236}">
                  <a16:creationId xmlns:a16="http://schemas.microsoft.com/office/drawing/2014/main" id="{F6526070-9337-4F84-9FD9-1E6A6AE6F5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29B1378B" w14:textId="03E68372" w:rsidR="00430A79" w:rsidRDefault="00430A79" w:rsidP="006347D6">
      <w:pPr>
        <w:pStyle w:val="Figure"/>
        <w:rPr>
          <w:rFonts w:eastAsia="Calibri" w:cs="Calibri"/>
          <w:sz w:val="20"/>
          <w:szCs w:val="20"/>
        </w:rPr>
      </w:pPr>
      <w:bookmarkStart w:id="549" w:name="_Toc197472338"/>
      <w:r w:rsidRPr="00430A79">
        <w:rPr>
          <w:rFonts w:eastAsia="Calibri" w:cs="Calibri"/>
          <w:sz w:val="20"/>
          <w:szCs w:val="20"/>
        </w:rPr>
        <w:t xml:space="preserve">Figura </w:t>
      </w:r>
      <w:r w:rsidRPr="00430A79">
        <w:rPr>
          <w:rFonts w:eastAsia="Calibri" w:cs="Calibri"/>
          <w:sz w:val="20"/>
          <w:szCs w:val="20"/>
        </w:rPr>
        <w:fldChar w:fldCharType="begin"/>
      </w:r>
      <w:r w:rsidRPr="00430A79">
        <w:rPr>
          <w:rFonts w:eastAsia="Calibri" w:cs="Calibri"/>
          <w:sz w:val="20"/>
          <w:szCs w:val="20"/>
        </w:rPr>
        <w:instrText xml:space="preserve"> SEQ Figure \* ARABIC </w:instrText>
      </w:r>
      <w:r w:rsidRPr="00430A79">
        <w:rPr>
          <w:rFonts w:eastAsia="Calibri" w:cs="Calibri"/>
          <w:sz w:val="20"/>
          <w:szCs w:val="20"/>
        </w:rPr>
        <w:fldChar w:fldCharType="separate"/>
      </w:r>
      <w:r w:rsidR="00C97DF3">
        <w:rPr>
          <w:rFonts w:eastAsia="Calibri" w:cs="Calibri"/>
          <w:noProof/>
          <w:sz w:val="20"/>
          <w:szCs w:val="20"/>
        </w:rPr>
        <w:t xml:space="preserve">37. </w:t>
      </w:r>
      <w:r w:rsidRPr="00430A79">
        <w:rPr>
          <w:rFonts w:eastAsia="Calibri" w:cs="Calibri"/>
          <w:sz w:val="20"/>
          <w:szCs w:val="20"/>
        </w:rPr>
        <w:fldChar w:fldCharType="end"/>
      </w:r>
      <w:r w:rsidRPr="00430A79">
        <w:rPr>
          <w:rFonts w:eastAsia="Calibri" w:cs="Calibri"/>
          <w:sz w:val="20"/>
          <w:szCs w:val="20"/>
        </w:rPr>
        <w:t>Bilanc</w:t>
      </w:r>
      <w:r w:rsidR="00F10E36">
        <w:rPr>
          <w:rFonts w:eastAsia="Calibri" w:cs="Calibri"/>
          <w:sz w:val="20"/>
          <w:szCs w:val="20"/>
        </w:rPr>
        <w:t>a e përgjithshme/mas</w:t>
      </w:r>
      <w:r w:rsidR="008509F4">
        <w:rPr>
          <w:rFonts w:eastAsia="Calibri" w:cs="Calibri"/>
          <w:sz w:val="20"/>
          <w:szCs w:val="20"/>
        </w:rPr>
        <w:t>ës</w:t>
      </w:r>
      <w:r w:rsidRPr="00430A79">
        <w:rPr>
          <w:rFonts w:eastAsia="Calibri" w:cs="Calibri"/>
          <w:sz w:val="20"/>
          <w:szCs w:val="20"/>
        </w:rPr>
        <w:t xml:space="preserve"> </w:t>
      </w:r>
      <w:r w:rsidR="00F10E36">
        <w:rPr>
          <w:rFonts w:eastAsia="Calibri" w:cs="Calibri"/>
          <w:sz w:val="20"/>
          <w:szCs w:val="20"/>
        </w:rPr>
        <w:t>e</w:t>
      </w:r>
      <w:r w:rsidRPr="00430A79">
        <w:rPr>
          <w:rFonts w:eastAsia="Calibri" w:cs="Calibri"/>
          <w:sz w:val="20"/>
          <w:szCs w:val="20"/>
        </w:rPr>
        <w:t xml:space="preserve"> sistemit të propozuar të menaxhimit të mbet</w:t>
      </w:r>
      <w:r w:rsidR="00F10E36">
        <w:rPr>
          <w:rFonts w:eastAsia="Calibri" w:cs="Calibri"/>
          <w:sz w:val="20"/>
          <w:szCs w:val="20"/>
        </w:rPr>
        <w:t>urinave</w:t>
      </w:r>
      <w:r w:rsidRPr="00430A79">
        <w:rPr>
          <w:rFonts w:eastAsia="Calibri" w:cs="Calibri"/>
          <w:sz w:val="20"/>
          <w:szCs w:val="20"/>
        </w:rPr>
        <w:t xml:space="preserve"> gjatë periudhës së planifikimit.</w:t>
      </w:r>
      <w:bookmarkEnd w:id="548"/>
      <w:bookmarkEnd w:id="549"/>
    </w:p>
    <w:p w14:paraId="0EACA4FE" w14:textId="3D6D9E7B" w:rsidR="00430A79" w:rsidRPr="00430A79" w:rsidRDefault="00F10E36" w:rsidP="00430A79">
      <w:pPr>
        <w:rPr>
          <w:rFonts w:ascii="Arial Narrow" w:hAnsi="Arial Narrow"/>
          <w:color w:val="000000"/>
          <w:sz w:val="22"/>
          <w:szCs w:val="22"/>
          <w:lang w:val="en-GB" w:eastAsia="de-DE"/>
        </w:rPr>
      </w:pPr>
      <w:r>
        <w:rPr>
          <w:noProof/>
          <w:lang w:val="en-GB"/>
        </w:rPr>
        <w:drawing>
          <wp:inline distT="0" distB="0" distL="0" distR="0" wp14:anchorId="31659BCB" wp14:editId="79C69C94">
            <wp:extent cx="5274310" cy="3077168"/>
            <wp:effectExtent l="0" t="0" r="2540" b="9525"/>
            <wp:docPr id="19044856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r:link="rId31" cstate="print">
                      <a:extLst>
                        <a:ext uri="{28A0092B-C50C-407E-A947-70E740481C1C}">
                          <a14:useLocalDpi xmlns:a14="http://schemas.microsoft.com/office/drawing/2010/main" val="0"/>
                        </a:ext>
                      </a:extLst>
                    </a:blip>
                    <a:srcRect/>
                    <a:stretch>
                      <a:fillRect/>
                    </a:stretch>
                  </pic:blipFill>
                  <pic:spPr bwMode="auto">
                    <a:xfrm>
                      <a:off x="0" y="0"/>
                      <a:ext cx="5280154" cy="3080578"/>
                    </a:xfrm>
                    <a:prstGeom prst="rect">
                      <a:avLst/>
                    </a:prstGeom>
                    <a:noFill/>
                    <a:ln>
                      <a:noFill/>
                    </a:ln>
                  </pic:spPr>
                </pic:pic>
              </a:graphicData>
            </a:graphic>
          </wp:inline>
        </w:drawing>
      </w:r>
    </w:p>
    <w:p w14:paraId="5E6F8E85" w14:textId="33BCD54B" w:rsidR="00430A79" w:rsidRPr="00430A79" w:rsidRDefault="00430A79" w:rsidP="006347D6">
      <w:pPr>
        <w:pStyle w:val="Figure"/>
        <w:rPr>
          <w:rFonts w:eastAsia="Calibri" w:cs="Calibri"/>
          <w:sz w:val="20"/>
          <w:szCs w:val="20"/>
        </w:rPr>
      </w:pPr>
      <w:bookmarkStart w:id="550" w:name="_Toc185866260"/>
      <w:bookmarkStart w:id="551" w:name="_Toc197472339"/>
      <w:r w:rsidRPr="00430A79">
        <w:rPr>
          <w:rFonts w:eastAsia="Calibri" w:cs="Calibri"/>
          <w:sz w:val="20"/>
          <w:szCs w:val="20"/>
        </w:rPr>
        <w:t xml:space="preserve">Figura </w:t>
      </w:r>
      <w:r w:rsidRPr="00430A79">
        <w:rPr>
          <w:rFonts w:eastAsia="Calibri" w:cs="Calibri"/>
          <w:sz w:val="20"/>
          <w:szCs w:val="20"/>
        </w:rPr>
        <w:fldChar w:fldCharType="begin"/>
      </w:r>
      <w:r w:rsidRPr="00430A79">
        <w:rPr>
          <w:rFonts w:eastAsia="Calibri" w:cs="Calibri"/>
          <w:sz w:val="20"/>
          <w:szCs w:val="20"/>
        </w:rPr>
        <w:instrText xml:space="preserve"> SEQ Figure \* ARABIC </w:instrText>
      </w:r>
      <w:r w:rsidRPr="00430A79">
        <w:rPr>
          <w:rFonts w:eastAsia="Calibri" w:cs="Calibri"/>
          <w:sz w:val="20"/>
          <w:szCs w:val="20"/>
        </w:rPr>
        <w:fldChar w:fldCharType="separate"/>
      </w:r>
      <w:r w:rsidR="00C97DF3">
        <w:rPr>
          <w:rFonts w:eastAsia="Calibri" w:cs="Calibri"/>
          <w:noProof/>
          <w:sz w:val="20"/>
          <w:szCs w:val="20"/>
        </w:rPr>
        <w:t xml:space="preserve">38. </w:t>
      </w:r>
      <w:r w:rsidRPr="00430A79">
        <w:rPr>
          <w:rFonts w:eastAsia="Calibri" w:cs="Calibri"/>
          <w:sz w:val="20"/>
          <w:szCs w:val="20"/>
        </w:rPr>
        <w:fldChar w:fldCharType="end"/>
      </w:r>
      <w:r w:rsidRPr="00430A79">
        <w:rPr>
          <w:rFonts w:eastAsia="Calibri" w:cs="Calibri"/>
          <w:sz w:val="20"/>
          <w:szCs w:val="20"/>
        </w:rPr>
        <w:t>B</w:t>
      </w:r>
      <w:r w:rsidR="008509F4">
        <w:rPr>
          <w:rFonts w:eastAsia="Calibri" w:cs="Calibri"/>
          <w:sz w:val="20"/>
          <w:szCs w:val="20"/>
        </w:rPr>
        <w:t>a</w:t>
      </w:r>
      <w:r w:rsidRPr="00430A79">
        <w:rPr>
          <w:rFonts w:eastAsia="Calibri" w:cs="Calibri"/>
          <w:sz w:val="20"/>
          <w:szCs w:val="20"/>
        </w:rPr>
        <w:t>lanc</w:t>
      </w:r>
      <w:r w:rsidR="00F10E36">
        <w:rPr>
          <w:rFonts w:eastAsia="Calibri" w:cs="Calibri"/>
          <w:sz w:val="20"/>
          <w:szCs w:val="20"/>
        </w:rPr>
        <w:t>a e përgjithshme/</w:t>
      </w:r>
      <w:r w:rsidRPr="00430A79">
        <w:rPr>
          <w:rFonts w:eastAsia="Calibri" w:cs="Calibri"/>
          <w:sz w:val="20"/>
          <w:szCs w:val="20"/>
        </w:rPr>
        <w:t>mas</w:t>
      </w:r>
      <w:r w:rsidR="00596CDF">
        <w:rPr>
          <w:rFonts w:eastAsia="Calibri" w:cs="Calibri"/>
          <w:sz w:val="20"/>
          <w:szCs w:val="20"/>
        </w:rPr>
        <w:t>ës</w:t>
      </w:r>
      <w:r w:rsidRPr="00430A79">
        <w:rPr>
          <w:rFonts w:eastAsia="Calibri" w:cs="Calibri"/>
          <w:sz w:val="20"/>
          <w:szCs w:val="20"/>
        </w:rPr>
        <w:t xml:space="preserve"> </w:t>
      </w:r>
      <w:r w:rsidR="00F10E36">
        <w:rPr>
          <w:rFonts w:eastAsia="Calibri" w:cs="Calibri"/>
          <w:sz w:val="20"/>
          <w:szCs w:val="20"/>
        </w:rPr>
        <w:t>e</w:t>
      </w:r>
      <w:r w:rsidRPr="00430A79">
        <w:rPr>
          <w:rFonts w:eastAsia="Calibri" w:cs="Calibri"/>
          <w:sz w:val="20"/>
          <w:szCs w:val="20"/>
        </w:rPr>
        <w:t xml:space="preserve"> sistemit në vitin 2035</w:t>
      </w:r>
      <w:bookmarkEnd w:id="550"/>
      <w:bookmarkEnd w:id="551"/>
    </w:p>
    <w:p w14:paraId="78BB5C81" w14:textId="77777777" w:rsidR="00430A79" w:rsidRPr="009F5CA1" w:rsidRDefault="00430A79" w:rsidP="00430A79">
      <w:pPr>
        <w:rPr>
          <w:rFonts w:ascii="Arial Narrow" w:hAnsi="Arial Narrow"/>
          <w:color w:val="000000"/>
          <w:sz w:val="22"/>
          <w:szCs w:val="22"/>
          <w:lang w:val="es-ES" w:eastAsia="de-DE"/>
        </w:rPr>
      </w:pPr>
    </w:p>
    <w:bookmarkEnd w:id="547"/>
    <w:p w14:paraId="1CD7A8DC" w14:textId="49A33704" w:rsidR="00F10E36" w:rsidRPr="009F5CA1" w:rsidRDefault="00F10E36">
      <w:pPr>
        <w:rPr>
          <w:rFonts w:ascii="Arial Narrow" w:hAnsi="Arial Narrow"/>
          <w:color w:val="000000"/>
          <w:sz w:val="22"/>
          <w:szCs w:val="22"/>
          <w:lang w:val="es-ES" w:eastAsia="de-DE"/>
        </w:rPr>
      </w:pPr>
      <w:r w:rsidRPr="00BE2534">
        <w:rPr>
          <w:rFonts w:ascii="Arial Narrow" w:hAnsi="Arial Narrow"/>
          <w:color w:val="000000"/>
          <w:sz w:val="22"/>
          <w:szCs w:val="22"/>
          <w:lang w:val="sq-AL" w:eastAsia="de-DE"/>
        </w:rPr>
        <w:t>B</w:t>
      </w:r>
      <w:r>
        <w:rPr>
          <w:rFonts w:ascii="Arial Narrow" w:hAnsi="Arial Narrow"/>
          <w:color w:val="000000"/>
          <w:sz w:val="22"/>
          <w:szCs w:val="22"/>
          <w:lang w:val="sq-AL" w:eastAsia="de-DE"/>
        </w:rPr>
        <w:t xml:space="preserve">alanca e </w:t>
      </w:r>
      <w:r w:rsidRPr="00BE2534">
        <w:rPr>
          <w:rFonts w:ascii="Arial Narrow" w:hAnsi="Arial Narrow"/>
          <w:color w:val="000000"/>
          <w:sz w:val="22"/>
          <w:szCs w:val="22"/>
          <w:lang w:val="sq-AL" w:eastAsia="de-DE"/>
        </w:rPr>
        <w:t>përgjithsh</w:t>
      </w:r>
      <w:r>
        <w:rPr>
          <w:rFonts w:ascii="Arial Narrow" w:hAnsi="Arial Narrow"/>
          <w:color w:val="000000"/>
          <w:sz w:val="22"/>
          <w:szCs w:val="22"/>
          <w:lang w:val="sq-AL" w:eastAsia="de-DE"/>
        </w:rPr>
        <w:t>me/mas</w:t>
      </w:r>
      <w:r w:rsidR="00596CDF">
        <w:rPr>
          <w:rFonts w:ascii="Arial Narrow" w:hAnsi="Arial Narrow"/>
          <w:color w:val="000000"/>
          <w:sz w:val="22"/>
          <w:szCs w:val="22"/>
          <w:lang w:val="sq-AL" w:eastAsia="de-DE"/>
        </w:rPr>
        <w:t>ës</w:t>
      </w:r>
      <w:r w:rsidRPr="00BE2534">
        <w:rPr>
          <w:rFonts w:ascii="Arial Narrow" w:hAnsi="Arial Narrow"/>
          <w:color w:val="000000"/>
          <w:sz w:val="22"/>
          <w:szCs w:val="22"/>
          <w:lang w:val="sq-AL" w:eastAsia="de-DE"/>
        </w:rPr>
        <w:t xml:space="preserve"> tregon se në vitin 2035 do të arrihet një shkallë riciklimi 50.1% për peshën e mbeturinave të gjeneruara komunale ndërsa sasia e mbeturinave komunale të deponuara do të reduktohet në 17.8%.</w:t>
      </w:r>
    </w:p>
    <w:p w14:paraId="5E1E41A4" w14:textId="77777777" w:rsidR="00160C71" w:rsidRPr="009F5CA1" w:rsidRDefault="00160C71">
      <w:pPr>
        <w:rPr>
          <w:rFonts w:ascii="Arial Narrow" w:hAnsi="Arial Narrow"/>
          <w:color w:val="000000"/>
          <w:sz w:val="22"/>
          <w:szCs w:val="22"/>
          <w:lang w:val="es-ES" w:eastAsia="de-DE"/>
        </w:rPr>
      </w:pPr>
    </w:p>
    <w:p w14:paraId="63E1152D" w14:textId="707D008A" w:rsidR="007D1EDC" w:rsidRDefault="007D1EDC" w:rsidP="007D1EDC">
      <w:pPr>
        <w:pStyle w:val="Heading1"/>
        <w:ind w:left="1134" w:hanging="1134"/>
      </w:pPr>
      <w:bookmarkStart w:id="552" w:name="_Toc197472047"/>
      <w:bookmarkStart w:id="553" w:name="_Toc190967399"/>
      <w:r w:rsidRPr="007D1EDC">
        <w:t>Plani i Veprimit</w:t>
      </w:r>
      <w:bookmarkEnd w:id="552"/>
    </w:p>
    <w:p w14:paraId="262D2050" w14:textId="4C17DA7E" w:rsidR="00596CDF" w:rsidRPr="00596CDF" w:rsidRDefault="00596CDF" w:rsidP="00596CDF">
      <w:pPr>
        <w:pStyle w:val="Heading2"/>
      </w:pPr>
      <w:r>
        <w:t xml:space="preserve">           </w:t>
      </w:r>
      <w:bookmarkStart w:id="554" w:name="_Toc197472048"/>
      <w:r w:rsidRPr="00596CDF">
        <w:t>Aktivitetet kryesor</w:t>
      </w:r>
      <w:r>
        <w:t>e</w:t>
      </w:r>
      <w:bookmarkEnd w:id="554"/>
    </w:p>
    <w:p w14:paraId="66DA01C5" w14:textId="77777777" w:rsidR="007D1EDC" w:rsidRPr="007D1EDC" w:rsidRDefault="007D1EDC" w:rsidP="002E4DDE">
      <w:pPr>
        <w:pStyle w:val="Heading3"/>
        <w:ind w:left="1134" w:hanging="1134"/>
      </w:pPr>
      <w:bookmarkStart w:id="555" w:name="_Toc190967400"/>
      <w:bookmarkStart w:id="556" w:name="_Toc197472049"/>
      <w:bookmarkEnd w:id="553"/>
      <w:r w:rsidRPr="007D1EDC">
        <w:t>Aktivitetet dhe përgjegjësitë kryesore</w:t>
      </w:r>
      <w:bookmarkEnd w:id="555"/>
      <w:bookmarkEnd w:id="556"/>
    </w:p>
    <w:p w14:paraId="5482BFA0" w14:textId="77777777" w:rsidR="007D1EDC" w:rsidRPr="007D1EDC" w:rsidRDefault="007D1EDC" w:rsidP="007D1EDC">
      <w:pPr>
        <w:suppressAutoHyphens/>
        <w:rPr>
          <w:rFonts w:ascii="Arial Narrow" w:eastAsia="Calibri" w:hAnsi="Arial Narrow" w:cs="Calibri"/>
          <w:sz w:val="22"/>
          <w:szCs w:val="22"/>
        </w:rPr>
      </w:pPr>
    </w:p>
    <w:p w14:paraId="10E9892E" w14:textId="77777777" w:rsidR="0067343B" w:rsidRDefault="0067343B" w:rsidP="0067343B">
      <w:pPr>
        <w:suppressAutoHyphens/>
        <w:rPr>
          <w:rFonts w:eastAsia="Calibri" w:cs="Calibri"/>
          <w:sz w:val="22"/>
          <w:szCs w:val="22"/>
        </w:rPr>
      </w:pPr>
      <w:r>
        <w:rPr>
          <w:rFonts w:eastAsia="Calibri" w:cs="Calibri"/>
          <w:sz w:val="22"/>
          <w:szCs w:val="22"/>
        </w:rPr>
        <w:t>Plani i Veprimit përmban aktivitete të cilat do të jenë përgjegjësi individuale e komunave dhe si të tilla të ndërlidhen me ngritjen e objekteve rajonale për menaxhimin e mbeturinave dhe rrjedhimisht do të jenë përgjegjësi e të gjitha komunave.</w:t>
      </w:r>
    </w:p>
    <w:p w14:paraId="6A4058FD" w14:textId="77777777" w:rsidR="0067343B" w:rsidRDefault="0067343B" w:rsidP="0067343B">
      <w:pPr>
        <w:suppressAutoHyphens/>
        <w:rPr>
          <w:rFonts w:eastAsia="Calibri" w:cs="Calibri"/>
          <w:sz w:val="22"/>
          <w:szCs w:val="22"/>
        </w:rPr>
      </w:pPr>
    </w:p>
    <w:p w14:paraId="41A2D35A" w14:textId="77777777" w:rsidR="0067343B" w:rsidRPr="008A23F1" w:rsidRDefault="0067343B" w:rsidP="0067343B">
      <w:pPr>
        <w:suppressAutoHyphens/>
        <w:rPr>
          <w:rFonts w:eastAsia="Calibri" w:cs="Calibri"/>
          <w:sz w:val="22"/>
          <w:szCs w:val="22"/>
        </w:rPr>
      </w:pPr>
      <w:r w:rsidRPr="008A23F1">
        <w:rPr>
          <w:rFonts w:eastAsia="Calibri" w:cs="Calibri"/>
          <w:sz w:val="22"/>
          <w:szCs w:val="22"/>
        </w:rPr>
        <w:t xml:space="preserve">Më poshtë janë renditur aktivitetet kryesore të cilat do të jenë përgjegjësi e </w:t>
      </w:r>
      <w:r w:rsidRPr="0095422E">
        <w:rPr>
          <w:rFonts w:eastAsia="Calibri" w:cs="Calibri"/>
          <w:sz w:val="22"/>
          <w:szCs w:val="22"/>
          <w:u w:val="single"/>
        </w:rPr>
        <w:t xml:space="preserve">komunave individuale </w:t>
      </w:r>
      <w:r w:rsidRPr="008A23F1">
        <w:rPr>
          <w:rFonts w:eastAsia="Calibri" w:cs="Calibri"/>
          <w:sz w:val="22"/>
          <w:szCs w:val="22"/>
        </w:rPr>
        <w:t>:</w:t>
      </w:r>
    </w:p>
    <w:p w14:paraId="1E92FDB0" w14:textId="77777777" w:rsidR="0067343B" w:rsidRPr="008A23F1" w:rsidRDefault="0067343B" w:rsidP="0067343B">
      <w:pPr>
        <w:pStyle w:val="ListParagraph"/>
        <w:numPr>
          <w:ilvl w:val="0"/>
          <w:numId w:val="31"/>
        </w:numPr>
        <w:suppressAutoHyphens/>
        <w:rPr>
          <w:rFonts w:eastAsia="Calibri" w:cs="Calibri"/>
          <w:sz w:val="22"/>
          <w:szCs w:val="22"/>
        </w:rPr>
      </w:pPr>
      <w:r w:rsidRPr="008A23F1">
        <w:rPr>
          <w:rFonts w:eastAsia="Calibri" w:cs="Calibri"/>
          <w:sz w:val="22"/>
          <w:szCs w:val="22"/>
        </w:rPr>
        <w:t>Masat për parandalimin e mbet</w:t>
      </w:r>
      <w:r>
        <w:rPr>
          <w:rFonts w:eastAsia="Calibri" w:cs="Calibri"/>
          <w:sz w:val="22"/>
          <w:szCs w:val="22"/>
        </w:rPr>
        <w:t>urinave</w:t>
      </w:r>
      <w:r w:rsidRPr="008A23F1">
        <w:rPr>
          <w:rFonts w:eastAsia="Calibri" w:cs="Calibri"/>
          <w:sz w:val="22"/>
          <w:szCs w:val="22"/>
        </w:rPr>
        <w:t xml:space="preserve"> (të 5 </w:t>
      </w:r>
      <w:r>
        <w:rPr>
          <w:rFonts w:eastAsia="Calibri" w:cs="Calibri"/>
          <w:sz w:val="22"/>
          <w:szCs w:val="22"/>
        </w:rPr>
        <w:t>komunat</w:t>
      </w:r>
      <w:r w:rsidRPr="008A23F1">
        <w:rPr>
          <w:rFonts w:eastAsia="Calibri" w:cs="Calibri"/>
          <w:sz w:val="22"/>
          <w:szCs w:val="22"/>
        </w:rPr>
        <w:t>)</w:t>
      </w:r>
    </w:p>
    <w:p w14:paraId="081B0230" w14:textId="7F12B740" w:rsidR="0067343B" w:rsidRPr="008A23F1" w:rsidRDefault="0067343B" w:rsidP="0067343B">
      <w:pPr>
        <w:pStyle w:val="ListParagraph"/>
        <w:numPr>
          <w:ilvl w:val="0"/>
          <w:numId w:val="31"/>
        </w:numPr>
        <w:suppressAutoHyphens/>
        <w:rPr>
          <w:rFonts w:eastAsia="Calibri" w:cs="Calibri"/>
          <w:sz w:val="22"/>
          <w:szCs w:val="22"/>
        </w:rPr>
      </w:pPr>
      <w:r>
        <w:rPr>
          <w:rFonts w:eastAsia="Calibri" w:cs="Calibri"/>
          <w:sz w:val="22"/>
          <w:szCs w:val="22"/>
        </w:rPr>
        <w:t xml:space="preserve">Të fillohet me </w:t>
      </w:r>
      <w:r w:rsidRPr="008A23F1">
        <w:rPr>
          <w:rFonts w:eastAsia="Calibri" w:cs="Calibri"/>
          <w:sz w:val="22"/>
          <w:szCs w:val="22"/>
        </w:rPr>
        <w:t>grumbullimi</w:t>
      </w:r>
      <w:r>
        <w:rPr>
          <w:rFonts w:eastAsia="Calibri" w:cs="Calibri"/>
          <w:sz w:val="22"/>
          <w:szCs w:val="22"/>
        </w:rPr>
        <w:t xml:space="preserve">n </w:t>
      </w:r>
      <w:r w:rsidR="008A72DD">
        <w:rPr>
          <w:rFonts w:eastAsia="Calibri" w:cs="Calibri"/>
          <w:sz w:val="22"/>
          <w:szCs w:val="22"/>
        </w:rPr>
        <w:t>ndaras</w:t>
      </w:r>
      <w:r w:rsidRPr="008A23F1">
        <w:rPr>
          <w:rFonts w:eastAsia="Calibri" w:cs="Calibri"/>
          <w:sz w:val="22"/>
          <w:szCs w:val="22"/>
        </w:rPr>
        <w:t xml:space="preserve"> të mbet</w:t>
      </w:r>
      <w:r>
        <w:rPr>
          <w:rFonts w:eastAsia="Calibri" w:cs="Calibri"/>
          <w:sz w:val="22"/>
          <w:szCs w:val="22"/>
        </w:rPr>
        <w:t>urinave të</w:t>
      </w:r>
      <w:r w:rsidRPr="008A23F1">
        <w:rPr>
          <w:rFonts w:eastAsia="Calibri" w:cs="Calibri"/>
          <w:sz w:val="22"/>
          <w:szCs w:val="22"/>
        </w:rPr>
        <w:t xml:space="preserve"> riciklueshme të thata (të 5 </w:t>
      </w:r>
      <w:r>
        <w:rPr>
          <w:rFonts w:eastAsia="Calibri" w:cs="Calibri"/>
          <w:sz w:val="22"/>
          <w:szCs w:val="22"/>
        </w:rPr>
        <w:t>komunat</w:t>
      </w:r>
      <w:r w:rsidRPr="008A23F1">
        <w:rPr>
          <w:rFonts w:eastAsia="Calibri" w:cs="Calibri"/>
          <w:sz w:val="22"/>
          <w:szCs w:val="22"/>
        </w:rPr>
        <w:t>)</w:t>
      </w:r>
    </w:p>
    <w:p w14:paraId="0F2F963A" w14:textId="77777777" w:rsidR="0067343B" w:rsidRPr="008A23F1" w:rsidRDefault="0067343B" w:rsidP="0067343B">
      <w:pPr>
        <w:pStyle w:val="ListParagraph"/>
        <w:numPr>
          <w:ilvl w:val="0"/>
          <w:numId w:val="31"/>
        </w:numPr>
        <w:suppressAutoHyphens/>
        <w:rPr>
          <w:rFonts w:eastAsia="Calibri" w:cs="Calibri"/>
          <w:sz w:val="22"/>
          <w:szCs w:val="22"/>
        </w:rPr>
      </w:pPr>
      <w:r w:rsidRPr="008A23F1">
        <w:rPr>
          <w:rFonts w:eastAsia="Calibri" w:cs="Calibri"/>
          <w:sz w:val="22"/>
          <w:szCs w:val="22"/>
        </w:rPr>
        <w:t xml:space="preserve">Ngritja e </w:t>
      </w:r>
      <w:r>
        <w:rPr>
          <w:rFonts w:eastAsia="Calibri" w:cs="Calibri"/>
          <w:sz w:val="22"/>
          <w:szCs w:val="22"/>
        </w:rPr>
        <w:t>oborreve të riciklimit</w:t>
      </w:r>
      <w:r w:rsidRPr="008A23F1">
        <w:rPr>
          <w:rFonts w:eastAsia="Calibri" w:cs="Calibri"/>
          <w:sz w:val="22"/>
          <w:szCs w:val="22"/>
        </w:rPr>
        <w:t xml:space="preserve"> (të 5 </w:t>
      </w:r>
      <w:r>
        <w:rPr>
          <w:rFonts w:eastAsia="Calibri" w:cs="Calibri"/>
          <w:sz w:val="22"/>
          <w:szCs w:val="22"/>
        </w:rPr>
        <w:t>komunat</w:t>
      </w:r>
      <w:r w:rsidRPr="008A23F1">
        <w:rPr>
          <w:rFonts w:eastAsia="Calibri" w:cs="Calibri"/>
          <w:sz w:val="22"/>
          <w:szCs w:val="22"/>
        </w:rPr>
        <w:t>)</w:t>
      </w:r>
    </w:p>
    <w:p w14:paraId="2FA2D7AF" w14:textId="77777777" w:rsidR="0067343B" w:rsidRPr="008A23F1" w:rsidRDefault="0067343B" w:rsidP="0067343B">
      <w:pPr>
        <w:pStyle w:val="ListParagraph"/>
        <w:numPr>
          <w:ilvl w:val="0"/>
          <w:numId w:val="31"/>
        </w:numPr>
        <w:suppressAutoHyphens/>
        <w:rPr>
          <w:rFonts w:eastAsia="Calibri" w:cs="Calibri"/>
          <w:sz w:val="22"/>
          <w:szCs w:val="22"/>
        </w:rPr>
      </w:pPr>
      <w:r w:rsidRPr="008A23F1">
        <w:rPr>
          <w:rFonts w:eastAsia="Calibri" w:cs="Calibri"/>
          <w:sz w:val="22"/>
          <w:szCs w:val="22"/>
        </w:rPr>
        <w:t>Krijimi i dy stacioneve të transfer</w:t>
      </w:r>
      <w:r>
        <w:rPr>
          <w:rFonts w:eastAsia="Calibri" w:cs="Calibri"/>
          <w:sz w:val="22"/>
          <w:szCs w:val="22"/>
        </w:rPr>
        <w:t>it</w:t>
      </w:r>
      <w:r w:rsidRPr="008A23F1">
        <w:rPr>
          <w:rFonts w:eastAsia="Calibri" w:cs="Calibri"/>
          <w:sz w:val="22"/>
          <w:szCs w:val="22"/>
        </w:rPr>
        <w:t xml:space="preserve"> (për komunën e Istogut dhe Deçanit)</w:t>
      </w:r>
    </w:p>
    <w:p w14:paraId="15391949" w14:textId="523A183E" w:rsidR="0067343B" w:rsidRPr="008A23F1" w:rsidRDefault="0067343B" w:rsidP="0067343B">
      <w:pPr>
        <w:pStyle w:val="ListParagraph"/>
        <w:numPr>
          <w:ilvl w:val="0"/>
          <w:numId w:val="31"/>
        </w:numPr>
        <w:suppressAutoHyphens/>
        <w:rPr>
          <w:rFonts w:eastAsia="Calibri" w:cs="Calibri"/>
          <w:sz w:val="22"/>
          <w:szCs w:val="22"/>
        </w:rPr>
      </w:pPr>
      <w:r w:rsidRPr="008A23F1">
        <w:rPr>
          <w:rFonts w:eastAsia="Calibri" w:cs="Calibri"/>
          <w:sz w:val="22"/>
          <w:szCs w:val="22"/>
        </w:rPr>
        <w:t xml:space="preserve">Krijimi i një objekti kompostimi për mbeturinat e gjelbra të grumbulluara </w:t>
      </w:r>
      <w:r w:rsidR="008A72DD">
        <w:rPr>
          <w:rFonts w:eastAsia="Calibri" w:cs="Calibri"/>
          <w:sz w:val="22"/>
          <w:szCs w:val="22"/>
        </w:rPr>
        <w:t>ndaras</w:t>
      </w:r>
      <w:r w:rsidRPr="008A23F1">
        <w:rPr>
          <w:rFonts w:eastAsia="Calibri" w:cs="Calibri"/>
          <w:sz w:val="22"/>
          <w:szCs w:val="22"/>
        </w:rPr>
        <w:t xml:space="preserve"> (në komunën e Pejës) dhe zbatimi i kompostimit të decentralizuar të mbeturinave të gjelbra duke përdorur pajisje mobile në komunat Istog, Klinë</w:t>
      </w:r>
      <w:r>
        <w:rPr>
          <w:rFonts w:eastAsia="Calibri" w:cs="Calibri"/>
          <w:sz w:val="22"/>
          <w:szCs w:val="22"/>
        </w:rPr>
        <w:t>, Deçan dhe Junik.</w:t>
      </w:r>
    </w:p>
    <w:p w14:paraId="4A8BCEA6" w14:textId="77777777" w:rsidR="0067343B" w:rsidRPr="008A23F1" w:rsidRDefault="0067343B" w:rsidP="0067343B">
      <w:pPr>
        <w:pStyle w:val="ListParagraph"/>
        <w:numPr>
          <w:ilvl w:val="0"/>
          <w:numId w:val="31"/>
        </w:numPr>
        <w:suppressAutoHyphens/>
        <w:rPr>
          <w:rFonts w:eastAsia="Calibri" w:cs="Calibri"/>
          <w:sz w:val="22"/>
          <w:szCs w:val="22"/>
        </w:rPr>
      </w:pPr>
      <w:r>
        <w:rPr>
          <w:rFonts w:eastAsia="Calibri" w:cs="Calibri"/>
          <w:sz w:val="22"/>
          <w:szCs w:val="22"/>
        </w:rPr>
        <w:t xml:space="preserve">Të fillohet me </w:t>
      </w:r>
      <w:r w:rsidRPr="008A23F1">
        <w:rPr>
          <w:rFonts w:eastAsia="Calibri" w:cs="Calibri"/>
          <w:sz w:val="22"/>
          <w:szCs w:val="22"/>
        </w:rPr>
        <w:t>kompostimi</w:t>
      </w:r>
      <w:r>
        <w:rPr>
          <w:rFonts w:eastAsia="Calibri" w:cs="Calibri"/>
          <w:sz w:val="22"/>
          <w:szCs w:val="22"/>
        </w:rPr>
        <w:t>n</w:t>
      </w:r>
      <w:r w:rsidRPr="008A23F1">
        <w:rPr>
          <w:rFonts w:eastAsia="Calibri" w:cs="Calibri"/>
          <w:sz w:val="22"/>
          <w:szCs w:val="22"/>
        </w:rPr>
        <w:t xml:space="preserve"> shtëpi</w:t>
      </w:r>
      <w:r>
        <w:rPr>
          <w:rFonts w:eastAsia="Calibri" w:cs="Calibri"/>
          <w:sz w:val="22"/>
          <w:szCs w:val="22"/>
        </w:rPr>
        <w:t>ak</w:t>
      </w:r>
      <w:r w:rsidRPr="008A23F1">
        <w:rPr>
          <w:rFonts w:eastAsia="Calibri" w:cs="Calibri"/>
          <w:sz w:val="22"/>
          <w:szCs w:val="22"/>
        </w:rPr>
        <w:t xml:space="preserve"> në zonat rurale (të 5 </w:t>
      </w:r>
      <w:r>
        <w:rPr>
          <w:rFonts w:eastAsia="Calibri" w:cs="Calibri"/>
          <w:sz w:val="22"/>
          <w:szCs w:val="22"/>
        </w:rPr>
        <w:t>komunat</w:t>
      </w:r>
      <w:r w:rsidRPr="008A23F1">
        <w:rPr>
          <w:rFonts w:eastAsia="Calibri" w:cs="Calibri"/>
          <w:sz w:val="22"/>
          <w:szCs w:val="22"/>
        </w:rPr>
        <w:t>)</w:t>
      </w:r>
    </w:p>
    <w:p w14:paraId="70839AEE" w14:textId="77777777" w:rsidR="0067343B" w:rsidRPr="008A23F1" w:rsidRDefault="0067343B" w:rsidP="0067343B">
      <w:pPr>
        <w:pStyle w:val="ListParagraph"/>
        <w:numPr>
          <w:ilvl w:val="0"/>
          <w:numId w:val="31"/>
        </w:numPr>
        <w:suppressAutoHyphens/>
        <w:rPr>
          <w:rFonts w:eastAsia="Calibri" w:cs="Calibri"/>
          <w:sz w:val="22"/>
          <w:szCs w:val="22"/>
        </w:rPr>
      </w:pPr>
      <w:r w:rsidRPr="008A23F1">
        <w:rPr>
          <w:rFonts w:eastAsia="Calibri" w:cs="Calibri"/>
          <w:sz w:val="22"/>
          <w:szCs w:val="22"/>
        </w:rPr>
        <w:t>Krijimi i katër pikave të hedhjes së mbeturinave nga ndërtimi dhe rrënimi (në komuna</w:t>
      </w:r>
      <w:r>
        <w:rPr>
          <w:rFonts w:eastAsia="Calibri" w:cs="Calibri"/>
          <w:sz w:val="22"/>
          <w:szCs w:val="22"/>
        </w:rPr>
        <w:t>t</w:t>
      </w:r>
      <w:r w:rsidRPr="008A23F1">
        <w:rPr>
          <w:rFonts w:eastAsia="Calibri" w:cs="Calibri"/>
          <w:sz w:val="22"/>
          <w:szCs w:val="22"/>
        </w:rPr>
        <w:t xml:space="preserve"> Pejë, Istog, Klinë dhe Deçan)</w:t>
      </w:r>
    </w:p>
    <w:p w14:paraId="03DB9A7F" w14:textId="77777777" w:rsidR="0067343B" w:rsidRDefault="0067343B" w:rsidP="0067343B">
      <w:pPr>
        <w:suppressAutoHyphens/>
        <w:rPr>
          <w:rFonts w:eastAsia="Calibri" w:cs="Calibri"/>
          <w:sz w:val="22"/>
          <w:szCs w:val="22"/>
        </w:rPr>
      </w:pPr>
    </w:p>
    <w:p w14:paraId="1AC29B55" w14:textId="77777777" w:rsidR="0067343B" w:rsidRDefault="0067343B" w:rsidP="0067343B">
      <w:pPr>
        <w:suppressAutoHyphens/>
        <w:rPr>
          <w:rFonts w:eastAsia="Calibri" w:cs="Calibri"/>
          <w:sz w:val="22"/>
          <w:szCs w:val="22"/>
        </w:rPr>
      </w:pPr>
      <w:r>
        <w:rPr>
          <w:rFonts w:eastAsia="Calibri" w:cs="Calibri"/>
          <w:sz w:val="22"/>
          <w:szCs w:val="22"/>
        </w:rPr>
        <w:t xml:space="preserve">Lista e mëposhtme tregon aktivitetet kryesore që do të zbatohen në </w:t>
      </w:r>
      <w:r w:rsidRPr="0095422E">
        <w:rPr>
          <w:rFonts w:eastAsia="Calibri" w:cs="Calibri"/>
          <w:sz w:val="22"/>
          <w:szCs w:val="22"/>
          <w:u w:val="single"/>
        </w:rPr>
        <w:t xml:space="preserve">nivel rajonal </w:t>
      </w:r>
      <w:r>
        <w:rPr>
          <w:rFonts w:eastAsia="Calibri" w:cs="Calibri"/>
          <w:sz w:val="22"/>
          <w:szCs w:val="22"/>
        </w:rPr>
        <w:t>:</w:t>
      </w:r>
    </w:p>
    <w:p w14:paraId="36CDD143" w14:textId="77777777" w:rsidR="0067343B" w:rsidRPr="00774B72" w:rsidRDefault="0067343B" w:rsidP="0067343B">
      <w:pPr>
        <w:pStyle w:val="ListParagraph"/>
        <w:numPr>
          <w:ilvl w:val="0"/>
          <w:numId w:val="32"/>
        </w:numPr>
        <w:suppressAutoHyphens/>
        <w:rPr>
          <w:rFonts w:eastAsia="Calibri" w:cs="Calibri"/>
          <w:sz w:val="22"/>
          <w:szCs w:val="22"/>
        </w:rPr>
      </w:pPr>
      <w:r w:rsidRPr="00774B72">
        <w:rPr>
          <w:rFonts w:eastAsia="Calibri" w:cs="Calibri"/>
          <w:sz w:val="22"/>
          <w:szCs w:val="22"/>
        </w:rPr>
        <w:t xml:space="preserve">Përmirësimi i </w:t>
      </w:r>
      <w:r>
        <w:rPr>
          <w:rFonts w:eastAsia="Calibri" w:cs="Calibri"/>
          <w:sz w:val="22"/>
          <w:szCs w:val="22"/>
        </w:rPr>
        <w:t>deponisë</w:t>
      </w:r>
      <w:r w:rsidRPr="00774B72">
        <w:rPr>
          <w:rFonts w:eastAsia="Calibri" w:cs="Calibri"/>
          <w:sz w:val="22"/>
          <w:szCs w:val="22"/>
        </w:rPr>
        <w:t xml:space="preserve"> sanitar</w:t>
      </w:r>
      <w:r>
        <w:rPr>
          <w:rFonts w:eastAsia="Calibri" w:cs="Calibri"/>
          <w:sz w:val="22"/>
          <w:szCs w:val="22"/>
        </w:rPr>
        <w:t>e</w:t>
      </w:r>
      <w:r w:rsidRPr="00774B72">
        <w:rPr>
          <w:rFonts w:eastAsia="Calibri" w:cs="Calibri"/>
          <w:sz w:val="22"/>
          <w:szCs w:val="22"/>
        </w:rPr>
        <w:t xml:space="preserve"> rajonal</w:t>
      </w:r>
      <w:r>
        <w:rPr>
          <w:rFonts w:eastAsia="Calibri" w:cs="Calibri"/>
          <w:sz w:val="22"/>
          <w:szCs w:val="22"/>
        </w:rPr>
        <w:t>e</w:t>
      </w:r>
      <w:r w:rsidRPr="00774B72">
        <w:rPr>
          <w:rFonts w:eastAsia="Calibri" w:cs="Calibri"/>
          <w:sz w:val="22"/>
          <w:szCs w:val="22"/>
        </w:rPr>
        <w:t xml:space="preserve"> ekzistues</w:t>
      </w:r>
      <w:r>
        <w:rPr>
          <w:rFonts w:eastAsia="Calibri" w:cs="Calibri"/>
          <w:sz w:val="22"/>
          <w:szCs w:val="22"/>
        </w:rPr>
        <w:t>e</w:t>
      </w:r>
    </w:p>
    <w:p w14:paraId="10E1D8D3" w14:textId="75A113E4" w:rsidR="0067343B" w:rsidRPr="00774B72" w:rsidRDefault="0067343B" w:rsidP="0067343B">
      <w:pPr>
        <w:pStyle w:val="ListParagraph"/>
        <w:numPr>
          <w:ilvl w:val="0"/>
          <w:numId w:val="32"/>
        </w:numPr>
        <w:suppressAutoHyphens/>
        <w:rPr>
          <w:rFonts w:eastAsia="Calibri" w:cs="Calibri"/>
          <w:sz w:val="22"/>
          <w:szCs w:val="22"/>
        </w:rPr>
      </w:pPr>
      <w:r w:rsidRPr="00774B72">
        <w:rPr>
          <w:rFonts w:eastAsia="Calibri" w:cs="Calibri"/>
          <w:sz w:val="22"/>
          <w:szCs w:val="22"/>
        </w:rPr>
        <w:t>Krijimi i një objekti klasifikimi për mbet</w:t>
      </w:r>
      <w:r>
        <w:rPr>
          <w:rFonts w:eastAsia="Calibri" w:cs="Calibri"/>
          <w:sz w:val="22"/>
          <w:szCs w:val="22"/>
        </w:rPr>
        <w:t>urinave</w:t>
      </w:r>
      <w:r w:rsidRPr="00774B72">
        <w:rPr>
          <w:rFonts w:eastAsia="Calibri" w:cs="Calibri"/>
          <w:sz w:val="22"/>
          <w:szCs w:val="22"/>
        </w:rPr>
        <w:t xml:space="preserve"> </w:t>
      </w:r>
      <w:r>
        <w:rPr>
          <w:rFonts w:eastAsia="Calibri" w:cs="Calibri"/>
          <w:sz w:val="22"/>
          <w:szCs w:val="22"/>
        </w:rPr>
        <w:t xml:space="preserve">të </w:t>
      </w:r>
      <w:r w:rsidRPr="00774B72">
        <w:rPr>
          <w:rFonts w:eastAsia="Calibri" w:cs="Calibri"/>
          <w:sz w:val="22"/>
          <w:szCs w:val="22"/>
        </w:rPr>
        <w:t xml:space="preserve">riciklueshme të grumbulluara </w:t>
      </w:r>
      <w:r w:rsidR="008A72DD">
        <w:rPr>
          <w:rFonts w:eastAsia="Calibri" w:cs="Calibri"/>
          <w:sz w:val="22"/>
          <w:szCs w:val="22"/>
        </w:rPr>
        <w:t>ndaras</w:t>
      </w:r>
    </w:p>
    <w:p w14:paraId="4347D631" w14:textId="77777777" w:rsidR="0067343B" w:rsidRPr="00774B72" w:rsidRDefault="0067343B" w:rsidP="0067343B">
      <w:pPr>
        <w:pStyle w:val="ListParagraph"/>
        <w:numPr>
          <w:ilvl w:val="0"/>
          <w:numId w:val="32"/>
        </w:numPr>
        <w:suppressAutoHyphens/>
        <w:rPr>
          <w:rFonts w:eastAsia="Calibri" w:cs="Calibri"/>
          <w:sz w:val="22"/>
          <w:szCs w:val="22"/>
        </w:rPr>
      </w:pPr>
      <w:r w:rsidRPr="00774B72">
        <w:rPr>
          <w:rFonts w:eastAsia="Calibri" w:cs="Calibri"/>
          <w:sz w:val="22"/>
          <w:szCs w:val="22"/>
        </w:rPr>
        <w:t xml:space="preserve">Ngritja e një impianti </w:t>
      </w:r>
      <w:r>
        <w:rPr>
          <w:rFonts w:eastAsia="Calibri" w:cs="Calibri"/>
          <w:sz w:val="22"/>
          <w:szCs w:val="22"/>
        </w:rPr>
        <w:t>T</w:t>
      </w:r>
      <w:r w:rsidRPr="00774B72">
        <w:rPr>
          <w:rFonts w:eastAsia="Calibri" w:cs="Calibri"/>
          <w:sz w:val="22"/>
          <w:szCs w:val="22"/>
        </w:rPr>
        <w:t>MB për trajtimin e mbet</w:t>
      </w:r>
      <w:r>
        <w:rPr>
          <w:rFonts w:eastAsia="Calibri" w:cs="Calibri"/>
          <w:sz w:val="22"/>
          <w:szCs w:val="22"/>
        </w:rPr>
        <w:t>urinave</w:t>
      </w:r>
      <w:r w:rsidRPr="00774B72">
        <w:rPr>
          <w:rFonts w:eastAsia="Calibri" w:cs="Calibri"/>
          <w:sz w:val="22"/>
          <w:szCs w:val="22"/>
        </w:rPr>
        <w:t xml:space="preserve"> </w:t>
      </w:r>
      <w:r>
        <w:rPr>
          <w:rFonts w:eastAsia="Calibri" w:cs="Calibri"/>
          <w:sz w:val="22"/>
          <w:szCs w:val="22"/>
        </w:rPr>
        <w:t xml:space="preserve">të përziera </w:t>
      </w:r>
      <w:r w:rsidRPr="00774B72">
        <w:rPr>
          <w:rFonts w:eastAsia="Calibri" w:cs="Calibri"/>
          <w:sz w:val="22"/>
          <w:szCs w:val="22"/>
        </w:rPr>
        <w:t>komunale</w:t>
      </w:r>
    </w:p>
    <w:p w14:paraId="35F0F0D7" w14:textId="77777777" w:rsidR="0067343B" w:rsidRPr="00774B72" w:rsidRDefault="0067343B" w:rsidP="0067343B">
      <w:pPr>
        <w:pStyle w:val="ListParagraph"/>
        <w:numPr>
          <w:ilvl w:val="0"/>
          <w:numId w:val="32"/>
        </w:numPr>
        <w:suppressAutoHyphens/>
        <w:rPr>
          <w:rFonts w:eastAsia="Calibri" w:cs="Calibri"/>
          <w:sz w:val="22"/>
          <w:szCs w:val="22"/>
        </w:rPr>
      </w:pPr>
      <w:r w:rsidRPr="00774B72">
        <w:rPr>
          <w:rFonts w:eastAsia="Calibri" w:cs="Calibri"/>
          <w:sz w:val="22"/>
          <w:szCs w:val="22"/>
        </w:rPr>
        <w:t>Ngritja e një impianti për trajtimin e mbet</w:t>
      </w:r>
      <w:r>
        <w:rPr>
          <w:rFonts w:eastAsia="Calibri" w:cs="Calibri"/>
          <w:sz w:val="22"/>
          <w:szCs w:val="22"/>
        </w:rPr>
        <w:t>urinave</w:t>
      </w:r>
      <w:r w:rsidRPr="00774B72">
        <w:rPr>
          <w:rFonts w:eastAsia="Calibri" w:cs="Calibri"/>
          <w:sz w:val="22"/>
          <w:szCs w:val="22"/>
        </w:rPr>
        <w:t xml:space="preserve"> organike (kompostimi në </w:t>
      </w:r>
      <w:r>
        <w:rPr>
          <w:rFonts w:eastAsia="Calibri" w:cs="Calibri"/>
          <w:sz w:val="22"/>
          <w:szCs w:val="22"/>
        </w:rPr>
        <w:t xml:space="preserve">kontenjerë të specializuar </w:t>
      </w:r>
      <w:r w:rsidRPr="00774B72">
        <w:rPr>
          <w:rFonts w:eastAsia="Calibri" w:cs="Calibri"/>
          <w:sz w:val="22"/>
          <w:szCs w:val="22"/>
        </w:rPr>
        <w:t xml:space="preserve">ose impiant </w:t>
      </w:r>
      <w:r>
        <w:rPr>
          <w:rFonts w:eastAsia="Calibri" w:cs="Calibri"/>
          <w:sz w:val="22"/>
          <w:szCs w:val="22"/>
        </w:rPr>
        <w:t xml:space="preserve">të </w:t>
      </w:r>
      <w:r w:rsidRPr="00774B72">
        <w:rPr>
          <w:rFonts w:eastAsia="Calibri" w:cs="Calibri"/>
          <w:sz w:val="22"/>
          <w:szCs w:val="22"/>
        </w:rPr>
        <w:t>tretjes anaerobe)</w:t>
      </w:r>
    </w:p>
    <w:p w14:paraId="7754362D" w14:textId="77777777" w:rsidR="0067343B" w:rsidRPr="00774B72" w:rsidRDefault="0067343B" w:rsidP="0067343B">
      <w:pPr>
        <w:pStyle w:val="ListParagraph"/>
        <w:numPr>
          <w:ilvl w:val="0"/>
          <w:numId w:val="32"/>
        </w:numPr>
        <w:suppressAutoHyphens/>
        <w:rPr>
          <w:rFonts w:eastAsia="Calibri" w:cs="Calibri"/>
          <w:sz w:val="22"/>
          <w:szCs w:val="22"/>
        </w:rPr>
      </w:pPr>
      <w:r w:rsidRPr="00774B72">
        <w:rPr>
          <w:rFonts w:eastAsia="Calibri" w:cs="Calibri"/>
          <w:sz w:val="22"/>
          <w:szCs w:val="22"/>
        </w:rPr>
        <w:t>Ngritja e një objekti riciklimi për mbet</w:t>
      </w:r>
      <w:r>
        <w:rPr>
          <w:rFonts w:eastAsia="Calibri" w:cs="Calibri"/>
          <w:sz w:val="22"/>
          <w:szCs w:val="22"/>
        </w:rPr>
        <w:t>urinat</w:t>
      </w:r>
      <w:r w:rsidRPr="00774B72">
        <w:rPr>
          <w:rFonts w:eastAsia="Calibri" w:cs="Calibri"/>
          <w:sz w:val="22"/>
          <w:szCs w:val="22"/>
        </w:rPr>
        <w:t xml:space="preserve"> e ndërtimit dhe </w:t>
      </w:r>
      <w:r>
        <w:rPr>
          <w:rFonts w:eastAsia="Calibri" w:cs="Calibri"/>
          <w:sz w:val="22"/>
          <w:szCs w:val="22"/>
        </w:rPr>
        <w:t>rrënimit</w:t>
      </w:r>
    </w:p>
    <w:p w14:paraId="74AF66E3" w14:textId="77777777" w:rsidR="0067343B" w:rsidRPr="00774B72" w:rsidRDefault="0067343B" w:rsidP="0067343B">
      <w:pPr>
        <w:pStyle w:val="ListParagraph"/>
        <w:numPr>
          <w:ilvl w:val="0"/>
          <w:numId w:val="32"/>
        </w:numPr>
        <w:suppressAutoHyphens/>
        <w:rPr>
          <w:rFonts w:eastAsia="Calibri" w:cs="Calibri"/>
          <w:sz w:val="22"/>
          <w:szCs w:val="22"/>
        </w:rPr>
      </w:pPr>
      <w:r w:rsidRPr="00774B72">
        <w:rPr>
          <w:rFonts w:eastAsia="Calibri" w:cs="Calibri"/>
          <w:sz w:val="22"/>
          <w:szCs w:val="22"/>
        </w:rPr>
        <w:t>Ngritja e një venddepo</w:t>
      </w:r>
      <w:r>
        <w:rPr>
          <w:rFonts w:eastAsia="Calibri" w:cs="Calibri"/>
          <w:sz w:val="22"/>
          <w:szCs w:val="22"/>
        </w:rPr>
        <w:t>nimi</w:t>
      </w:r>
      <w:r w:rsidRPr="00774B72">
        <w:rPr>
          <w:rFonts w:eastAsia="Calibri" w:cs="Calibri"/>
          <w:sz w:val="22"/>
          <w:szCs w:val="22"/>
        </w:rPr>
        <w:t xml:space="preserve"> për mbet</w:t>
      </w:r>
      <w:r>
        <w:rPr>
          <w:rFonts w:eastAsia="Calibri" w:cs="Calibri"/>
          <w:sz w:val="22"/>
          <w:szCs w:val="22"/>
        </w:rPr>
        <w:t>urinat</w:t>
      </w:r>
      <w:r w:rsidRPr="00774B72">
        <w:rPr>
          <w:rFonts w:eastAsia="Calibri" w:cs="Calibri"/>
          <w:sz w:val="22"/>
          <w:szCs w:val="22"/>
        </w:rPr>
        <w:t xml:space="preserve"> e ndërtimit dhe </w:t>
      </w:r>
      <w:r>
        <w:rPr>
          <w:rFonts w:eastAsia="Calibri" w:cs="Calibri"/>
          <w:sz w:val="22"/>
          <w:szCs w:val="22"/>
        </w:rPr>
        <w:t>rrënimit</w:t>
      </w:r>
    </w:p>
    <w:p w14:paraId="19CB984F" w14:textId="77777777" w:rsidR="007D1EDC" w:rsidRPr="007D1EDC" w:rsidRDefault="007D1EDC" w:rsidP="007D1EDC">
      <w:pPr>
        <w:suppressAutoHyphens/>
        <w:rPr>
          <w:rFonts w:ascii="Arial Narrow" w:eastAsia="Calibri" w:hAnsi="Arial Narrow" w:cs="Calibri"/>
          <w:sz w:val="22"/>
          <w:szCs w:val="22"/>
        </w:rPr>
      </w:pPr>
    </w:p>
    <w:p w14:paraId="329ECB2B" w14:textId="58EC3158" w:rsidR="007D1EDC" w:rsidRPr="007D1EDC" w:rsidRDefault="0067343B" w:rsidP="002E4DDE">
      <w:pPr>
        <w:pStyle w:val="Heading3"/>
        <w:ind w:left="1134" w:hanging="1134"/>
      </w:pPr>
      <w:bookmarkStart w:id="557" w:name="_Toc190967401"/>
      <w:bookmarkStart w:id="558" w:name="_Toc197472050"/>
      <w:r>
        <w:t>Ndërli</w:t>
      </w:r>
      <w:r w:rsidR="007D1EDC" w:rsidRPr="007D1EDC">
        <w:t xml:space="preserve">dhjet </w:t>
      </w:r>
      <w:r>
        <w:t>ndërmjet</w:t>
      </w:r>
      <w:r w:rsidR="007D1EDC" w:rsidRPr="007D1EDC">
        <w:t xml:space="preserve"> detyrave</w:t>
      </w:r>
      <w:bookmarkEnd w:id="557"/>
      <w:bookmarkEnd w:id="558"/>
    </w:p>
    <w:p w14:paraId="10E4FA81" w14:textId="77777777" w:rsidR="007D1EDC" w:rsidRPr="0067343B" w:rsidRDefault="007D1EDC" w:rsidP="0067343B">
      <w:pPr>
        <w:suppressAutoHyphens/>
        <w:rPr>
          <w:rFonts w:ascii="Arial Narrow" w:eastAsia="Calibri" w:hAnsi="Arial Narrow" w:cs="Calibri"/>
          <w:sz w:val="22"/>
          <w:szCs w:val="22"/>
        </w:rPr>
      </w:pPr>
    </w:p>
    <w:p w14:paraId="775CF1EC" w14:textId="77777777" w:rsidR="0067343B" w:rsidRPr="0067343B" w:rsidRDefault="0067343B" w:rsidP="0067343B">
      <w:pPr>
        <w:suppressAutoHyphens/>
        <w:rPr>
          <w:rFonts w:ascii="Arial Narrow" w:eastAsia="Calibri" w:hAnsi="Arial Narrow" w:cs="Calibri"/>
          <w:b/>
          <w:bCs/>
          <w:sz w:val="22"/>
          <w:szCs w:val="22"/>
        </w:rPr>
      </w:pPr>
      <w:r w:rsidRPr="0067343B">
        <w:rPr>
          <w:rFonts w:ascii="Arial Narrow" w:eastAsia="Calibri" w:hAnsi="Arial Narrow" w:cs="Calibri"/>
          <w:b/>
          <w:bCs/>
          <w:sz w:val="22"/>
          <w:szCs w:val="22"/>
        </w:rPr>
        <w:t>Transporti dhe transferimi i mbeturinave</w:t>
      </w:r>
    </w:p>
    <w:p w14:paraId="43B9D32F" w14:textId="77777777" w:rsidR="0067343B" w:rsidRPr="0067343B" w:rsidRDefault="0067343B" w:rsidP="00BD1EDD">
      <w:pPr>
        <w:suppressAutoHyphens/>
        <w:jc w:val="both"/>
        <w:rPr>
          <w:rFonts w:ascii="Arial Narrow" w:eastAsia="Calibri" w:hAnsi="Arial Narrow" w:cs="Calibri"/>
          <w:sz w:val="22"/>
          <w:szCs w:val="22"/>
        </w:rPr>
      </w:pPr>
      <w:r w:rsidRPr="0067343B">
        <w:rPr>
          <w:rFonts w:ascii="Arial Narrow" w:eastAsia="Calibri" w:hAnsi="Arial Narrow" w:cs="Calibri"/>
          <w:sz w:val="22"/>
          <w:szCs w:val="22"/>
        </w:rPr>
        <w:t>Që nga viti 2025 është duke u bërë një studim i financuar nga KfW për ngritjen e stacionit të transferit për komunën e Istogut. Pas identifikimit të vendit të përshtatshëm dhe teknologjisë së transferit, duhej përgatitej një projekt i detajuar i ndjekur nga punimet e ndërtimit. Afati kohor për ngritjen e stacionit të transferit për komunën e Istogut është viti 2026.</w:t>
      </w:r>
    </w:p>
    <w:p w14:paraId="4AE79401" w14:textId="77777777" w:rsidR="0067343B" w:rsidRPr="0067343B" w:rsidRDefault="0067343B" w:rsidP="0067343B">
      <w:pPr>
        <w:suppressAutoHyphens/>
        <w:rPr>
          <w:rFonts w:ascii="Arial Narrow" w:eastAsia="Calibri" w:hAnsi="Arial Narrow" w:cs="Calibri"/>
          <w:sz w:val="22"/>
          <w:szCs w:val="22"/>
        </w:rPr>
      </w:pPr>
    </w:p>
    <w:p w14:paraId="3125D3B7" w14:textId="77777777" w:rsidR="0067343B" w:rsidRDefault="0067343B" w:rsidP="0067343B">
      <w:pPr>
        <w:suppressAutoHyphens/>
        <w:jc w:val="both"/>
        <w:rPr>
          <w:rFonts w:ascii="Arial Narrow" w:eastAsia="Calibri" w:hAnsi="Arial Narrow" w:cs="Calibri"/>
          <w:sz w:val="22"/>
          <w:szCs w:val="22"/>
        </w:rPr>
      </w:pPr>
      <w:r w:rsidRPr="0067343B">
        <w:rPr>
          <w:rFonts w:ascii="Arial Narrow" w:eastAsia="Calibri" w:hAnsi="Arial Narrow" w:cs="Calibri"/>
          <w:sz w:val="22"/>
          <w:szCs w:val="22"/>
        </w:rPr>
        <w:t>Gjithashtu, duhet të krijohet një stacion transferi në komunën e Deçanit. Duhet të parashikohet që kapaciteti i stacionit të transferit të mund të akomodojë sasitë e mbeturinave të përziera nga komuna e Junikut. Aktualisht, ngritjes së stacionit të transferit duhet t'i paraprijë një studim fizibiliteti i cili do të identifikojë vendin e ndërtimit të tij si dhe teknologjinë optimale të transferit si dhe projektimi i detajuar për ndërtimin e tij. Afati kohor për ngritjen e stacionit të transferit në Komunën e Deçanit është 2026-2027.</w:t>
      </w:r>
    </w:p>
    <w:p w14:paraId="38E6D172" w14:textId="77777777" w:rsidR="00160C71" w:rsidRPr="0067343B" w:rsidRDefault="00160C71" w:rsidP="0067343B">
      <w:pPr>
        <w:suppressAutoHyphens/>
        <w:jc w:val="both"/>
        <w:rPr>
          <w:rFonts w:ascii="Arial Narrow" w:eastAsia="Calibri" w:hAnsi="Arial Narrow" w:cs="Calibri"/>
          <w:sz w:val="22"/>
          <w:szCs w:val="22"/>
        </w:rPr>
      </w:pPr>
    </w:p>
    <w:p w14:paraId="1337D5CC" w14:textId="77777777" w:rsidR="0067343B" w:rsidRPr="0067343B" w:rsidRDefault="0067343B" w:rsidP="0067343B">
      <w:pPr>
        <w:suppressAutoHyphens/>
        <w:rPr>
          <w:rFonts w:ascii="Arial Narrow" w:eastAsia="Calibri" w:hAnsi="Arial Narrow" w:cs="Calibri"/>
          <w:sz w:val="22"/>
          <w:szCs w:val="22"/>
        </w:rPr>
      </w:pPr>
    </w:p>
    <w:p w14:paraId="60119D11" w14:textId="64079410" w:rsidR="0067343B" w:rsidRPr="0067343B" w:rsidRDefault="0067343B" w:rsidP="0067343B">
      <w:pPr>
        <w:suppressAutoHyphens/>
        <w:rPr>
          <w:rFonts w:ascii="Arial Narrow" w:eastAsia="Calibri" w:hAnsi="Arial Narrow" w:cs="Calibri"/>
          <w:b/>
          <w:bCs/>
          <w:sz w:val="22"/>
          <w:szCs w:val="22"/>
        </w:rPr>
      </w:pPr>
      <w:r w:rsidRPr="0067343B">
        <w:rPr>
          <w:rFonts w:ascii="Arial Narrow" w:eastAsia="Calibri" w:hAnsi="Arial Narrow" w:cs="Calibri"/>
          <w:b/>
          <w:bCs/>
          <w:sz w:val="22"/>
          <w:szCs w:val="22"/>
        </w:rPr>
        <w:lastRenderedPageBreak/>
        <w:t>Grumbullimi ndaras i mbeturinave dhe riciklimi i materialeve të ndara n</w:t>
      </w:r>
      <w:r w:rsidR="00BD1EDD">
        <w:rPr>
          <w:rFonts w:ascii="Arial Narrow" w:eastAsia="Calibri" w:hAnsi="Arial Narrow" w:cs="Calibri"/>
          <w:b/>
          <w:bCs/>
          <w:sz w:val="22"/>
          <w:szCs w:val="22"/>
        </w:rPr>
        <w:t>ë</w:t>
      </w:r>
      <w:r w:rsidRPr="0067343B">
        <w:rPr>
          <w:rFonts w:ascii="Arial Narrow" w:eastAsia="Calibri" w:hAnsi="Arial Narrow" w:cs="Calibri"/>
          <w:b/>
          <w:bCs/>
          <w:sz w:val="22"/>
          <w:szCs w:val="22"/>
        </w:rPr>
        <w:t xml:space="preserve"> burimi</w:t>
      </w:r>
    </w:p>
    <w:p w14:paraId="1EC38A97" w14:textId="6D5BC74F" w:rsidR="0067343B" w:rsidRPr="0067343B" w:rsidRDefault="0067343B" w:rsidP="0067343B">
      <w:pPr>
        <w:suppressAutoHyphens/>
        <w:jc w:val="both"/>
        <w:rPr>
          <w:rFonts w:ascii="Arial Narrow" w:eastAsia="Calibri" w:hAnsi="Arial Narrow" w:cs="Calibri"/>
          <w:sz w:val="22"/>
          <w:szCs w:val="22"/>
        </w:rPr>
      </w:pPr>
      <w:r w:rsidRPr="0067343B">
        <w:rPr>
          <w:rFonts w:ascii="Arial Narrow" w:eastAsia="Calibri" w:hAnsi="Arial Narrow" w:cs="Calibri"/>
          <w:sz w:val="22"/>
          <w:szCs w:val="22"/>
        </w:rPr>
        <w:t xml:space="preserve">Krijimi i një objekti të klasifikimit për materialet e ndara në burimi duhet t'i paraprijë vendosjes së sistemeve të grumbullimit </w:t>
      </w:r>
      <w:r w:rsidR="00BD1EDD">
        <w:rPr>
          <w:rFonts w:ascii="Arial Narrow" w:eastAsia="Calibri" w:hAnsi="Arial Narrow" w:cs="Calibri"/>
          <w:sz w:val="22"/>
          <w:szCs w:val="22"/>
        </w:rPr>
        <w:t>ndaras</w:t>
      </w:r>
      <w:r w:rsidRPr="0067343B">
        <w:rPr>
          <w:rFonts w:ascii="Arial Narrow" w:eastAsia="Calibri" w:hAnsi="Arial Narrow" w:cs="Calibri"/>
          <w:sz w:val="22"/>
          <w:szCs w:val="22"/>
        </w:rPr>
        <w:t xml:space="preserve"> të mbeturinave në komuna. Rekomandohet që grumbullimi ndaras dhe klasifikimi i mëpasshëm i mbeturinave të ambalazhit të menaxhohet përmes skemave të ardhshme PZP. Arsyeja për këtë është se grumbullimi ndaras dhe klasifikimi i i mbeturinave të ambalazhit do të rezultojë me një kosto shtesë, e cila do të çojë në rritjen e tarifave të menaxhimit të mbeturinave për familjet.</w:t>
      </w:r>
    </w:p>
    <w:p w14:paraId="4EA88E88" w14:textId="77777777" w:rsidR="0067343B" w:rsidRPr="0067343B" w:rsidRDefault="0067343B" w:rsidP="0067343B">
      <w:pPr>
        <w:suppressAutoHyphens/>
        <w:rPr>
          <w:rFonts w:ascii="Arial Narrow" w:eastAsia="Calibri" w:hAnsi="Arial Narrow" w:cs="Calibri"/>
          <w:sz w:val="22"/>
          <w:szCs w:val="22"/>
        </w:rPr>
      </w:pPr>
    </w:p>
    <w:p w14:paraId="3370E2C8" w14:textId="0F1507A5" w:rsidR="0067343B" w:rsidRPr="0067343B" w:rsidRDefault="0067343B" w:rsidP="0067343B">
      <w:pPr>
        <w:suppressAutoHyphens/>
        <w:jc w:val="both"/>
        <w:rPr>
          <w:rFonts w:ascii="Arial Narrow" w:eastAsia="Calibri" w:hAnsi="Arial Narrow" w:cs="Calibri"/>
          <w:sz w:val="22"/>
          <w:szCs w:val="22"/>
        </w:rPr>
      </w:pPr>
      <w:r w:rsidRPr="0067343B">
        <w:rPr>
          <w:rFonts w:ascii="Arial Narrow" w:eastAsia="Calibri" w:hAnsi="Arial Narrow" w:cs="Calibri"/>
          <w:sz w:val="22"/>
          <w:szCs w:val="22"/>
        </w:rPr>
        <w:t xml:space="preserve">Pasi të krijohen skemat PZP, gjë e cila pritet të ndodhë në vitin 2026, komunat do të duhet të bashkëpunojnë me Organizatat e Përgjegjësisë së Prodhuesit (OPP) në ngritjen e sistemeve të grumbullimit </w:t>
      </w:r>
      <w:r w:rsidR="008A72DD">
        <w:rPr>
          <w:rFonts w:ascii="Arial Narrow" w:eastAsia="Calibri" w:hAnsi="Arial Narrow" w:cs="Calibri"/>
          <w:sz w:val="22"/>
          <w:szCs w:val="22"/>
        </w:rPr>
        <w:t>ndaras</w:t>
      </w:r>
      <w:r w:rsidRPr="0067343B">
        <w:rPr>
          <w:rFonts w:ascii="Arial Narrow" w:eastAsia="Calibri" w:hAnsi="Arial Narrow" w:cs="Calibri"/>
          <w:sz w:val="22"/>
          <w:szCs w:val="22"/>
        </w:rPr>
        <w:t xml:space="preserve"> të mbeturinave në territoret e tyre. Sistemi i ndarjes në burimi do të bazohet në sistemin ekzistues të grumbullimit të mbeturinave – sistemin e sjelljes së mbeturinave te vendi i caktuar për blloqe banesash dhe </w:t>
      </w:r>
      <w:r w:rsidR="00FC2BA4">
        <w:rPr>
          <w:rFonts w:ascii="Arial Narrow" w:eastAsia="Calibri" w:hAnsi="Arial Narrow" w:cs="Calibri"/>
          <w:sz w:val="22"/>
          <w:szCs w:val="22"/>
        </w:rPr>
        <w:t>shporta</w:t>
      </w:r>
      <w:r w:rsidRPr="0067343B">
        <w:rPr>
          <w:rFonts w:ascii="Arial Narrow" w:eastAsia="Calibri" w:hAnsi="Arial Narrow" w:cs="Calibri"/>
          <w:sz w:val="22"/>
          <w:szCs w:val="22"/>
        </w:rPr>
        <w:t xml:space="preserve"> individual</w:t>
      </w:r>
      <w:r w:rsidR="00FC2BA4">
        <w:rPr>
          <w:rFonts w:ascii="Arial Narrow" w:eastAsia="Calibri" w:hAnsi="Arial Narrow" w:cs="Calibri"/>
          <w:sz w:val="22"/>
          <w:szCs w:val="22"/>
        </w:rPr>
        <w:t>e</w:t>
      </w:r>
      <w:r w:rsidRPr="0067343B">
        <w:rPr>
          <w:rFonts w:ascii="Arial Narrow" w:eastAsia="Calibri" w:hAnsi="Arial Narrow" w:cs="Calibri"/>
          <w:sz w:val="22"/>
          <w:szCs w:val="22"/>
        </w:rPr>
        <w:t xml:space="preserve"> për familjet që jetojnë në shtëpi individuale. Sistemi i ndarjes në burimi do të nisë fillimisht në zonat urbane, duke arritur mbulimin 100% në vitin 2030. Kjo do të zgjerohet gradualisht drejt zonave rurale, duke arritur mbulimin 80% në 2033.</w:t>
      </w:r>
    </w:p>
    <w:p w14:paraId="141FF2F8" w14:textId="77777777" w:rsidR="007D1EDC" w:rsidRPr="0067343B" w:rsidRDefault="007D1EDC" w:rsidP="0067343B">
      <w:pPr>
        <w:suppressAutoHyphens/>
        <w:rPr>
          <w:rFonts w:ascii="Arial Narrow" w:eastAsia="Calibri" w:hAnsi="Arial Narrow" w:cs="Calibri"/>
          <w:sz w:val="22"/>
          <w:szCs w:val="22"/>
        </w:rPr>
      </w:pPr>
    </w:p>
    <w:p w14:paraId="64C62AD4" w14:textId="77777777" w:rsidR="0067343B" w:rsidRPr="0067343B" w:rsidRDefault="0067343B" w:rsidP="0067343B">
      <w:pPr>
        <w:suppressAutoHyphens/>
        <w:rPr>
          <w:rFonts w:ascii="Arial Narrow" w:eastAsia="Calibri" w:hAnsi="Arial Narrow" w:cs="Calibri"/>
          <w:b/>
          <w:bCs/>
          <w:sz w:val="22"/>
          <w:szCs w:val="22"/>
        </w:rPr>
      </w:pPr>
      <w:r w:rsidRPr="0067343B">
        <w:rPr>
          <w:rFonts w:ascii="Arial Narrow" w:eastAsia="Calibri" w:hAnsi="Arial Narrow" w:cs="Calibri"/>
          <w:b/>
          <w:bCs/>
          <w:sz w:val="22"/>
          <w:szCs w:val="22"/>
        </w:rPr>
        <w:t>Oborret e Riciklimit</w:t>
      </w:r>
    </w:p>
    <w:p w14:paraId="2165E368" w14:textId="77777777" w:rsidR="0067343B" w:rsidRPr="0067343B" w:rsidRDefault="0067343B" w:rsidP="0067343B">
      <w:pPr>
        <w:suppressAutoHyphens/>
        <w:jc w:val="both"/>
        <w:rPr>
          <w:rFonts w:ascii="Arial Narrow" w:eastAsia="Calibri" w:hAnsi="Arial Narrow" w:cs="Calibri"/>
          <w:sz w:val="22"/>
          <w:szCs w:val="22"/>
        </w:rPr>
      </w:pPr>
      <w:r w:rsidRPr="0067343B">
        <w:rPr>
          <w:rFonts w:ascii="Arial Narrow" w:eastAsia="Calibri" w:hAnsi="Arial Narrow" w:cs="Calibri"/>
          <w:sz w:val="22"/>
          <w:szCs w:val="22"/>
        </w:rPr>
        <w:t>Do të krijohen 5 OR, një në secilën komunë. Fraksionet e mbeturinave që do të grumbullohen kryesisht përfshijnë mbeturina të vëllimshme, mbeturinat e rrezikshme shtëpiake, fraksione të veçanta mbeturinash (pajisje elektrike dhe elektronike të përdorura, bateri etj. ). Që nga viti 2025, po përgatitet një studim i cili do të identifikojë vendet për oborret e riciklimit dhe do të përgatiten konceptet e planit dhe pajisjeve të nevojshme. Kjo do të pasohet nga projektimi i detajuar i ndërtimit aktual të OR-ve. Parashikohet që OR-të të ndërtohen deri në fund të vitit 2026. Njëkohësisht do të prokurohen punimet e ndërtimit dhe pajisje (kryesisht kontejnerë të mëdhenj dhe të mesëm).</w:t>
      </w:r>
    </w:p>
    <w:p w14:paraId="5CD1BED5" w14:textId="77777777" w:rsidR="0067343B" w:rsidRPr="0067343B" w:rsidRDefault="0067343B" w:rsidP="0067343B">
      <w:pPr>
        <w:suppressAutoHyphens/>
        <w:rPr>
          <w:rFonts w:ascii="Arial Narrow" w:eastAsia="Calibri" w:hAnsi="Arial Narrow" w:cs="Calibri"/>
          <w:sz w:val="22"/>
          <w:szCs w:val="22"/>
        </w:rPr>
      </w:pPr>
    </w:p>
    <w:p w14:paraId="7592D81A" w14:textId="77777777" w:rsidR="0067343B" w:rsidRPr="0067343B" w:rsidRDefault="0067343B" w:rsidP="0067343B">
      <w:pPr>
        <w:suppressAutoHyphens/>
        <w:rPr>
          <w:rFonts w:ascii="Arial Narrow" w:eastAsia="Calibri" w:hAnsi="Arial Narrow" w:cs="Calibri"/>
          <w:b/>
          <w:bCs/>
          <w:sz w:val="22"/>
          <w:szCs w:val="22"/>
          <w:lang w:val="bg-BG"/>
        </w:rPr>
      </w:pPr>
      <w:r w:rsidRPr="0067343B">
        <w:rPr>
          <w:rFonts w:ascii="Arial Narrow" w:eastAsia="Calibri" w:hAnsi="Arial Narrow" w:cs="Calibri"/>
          <w:b/>
          <w:bCs/>
          <w:sz w:val="22"/>
          <w:szCs w:val="22"/>
        </w:rPr>
        <w:t>Kompostimi i mbeturinave të gjelbra të grumbulluara ndaras në hapësirat publike</w:t>
      </w:r>
    </w:p>
    <w:p w14:paraId="1D795EC6" w14:textId="77777777" w:rsidR="0067343B" w:rsidRPr="0067343B" w:rsidRDefault="0067343B" w:rsidP="0067343B">
      <w:pPr>
        <w:suppressAutoHyphens/>
        <w:jc w:val="both"/>
        <w:rPr>
          <w:rFonts w:ascii="Arial Narrow" w:eastAsia="Calibri" w:hAnsi="Arial Narrow" w:cs="Calibri"/>
          <w:sz w:val="22"/>
          <w:szCs w:val="22"/>
        </w:rPr>
      </w:pPr>
      <w:r w:rsidRPr="0067343B">
        <w:rPr>
          <w:rFonts w:ascii="Arial Narrow" w:eastAsia="Calibri" w:hAnsi="Arial Narrow" w:cs="Calibri"/>
          <w:sz w:val="22"/>
          <w:szCs w:val="22"/>
        </w:rPr>
        <w:t>Kompostimi i mbeturinave të gjelbra të grumbulluara veç ne veç nga mirëmbajtja e sipërfaqeve të gjelbra do të organizohet në të gjitha komunatë. Kompostimi në Pejë do të organizohet në një vend të përhershëm, ndërsa në komunat tjera do të zbatohet kompostimi i decentralizuar duke përdorur pajisje mobile. Ngritja e impiantit të kompostimit duhet të paraprihet nga një studim fizibiliteti i cili do të identifikojë vendndodhjen e punishtes, teknologjinë që do të përdoret dhe pajisjet e nevojshme për të gjitha komunat. Vendi i kompostimit është planifikuar të jetë i disponueshëm dhe aktivitetet të fillojnë në të gjitha komunat në vitin 2027.</w:t>
      </w:r>
    </w:p>
    <w:p w14:paraId="54359930" w14:textId="77777777" w:rsidR="0067343B" w:rsidRPr="0067343B" w:rsidRDefault="0067343B" w:rsidP="0067343B">
      <w:pPr>
        <w:suppressAutoHyphens/>
        <w:rPr>
          <w:rFonts w:ascii="Arial Narrow" w:eastAsia="Calibri" w:hAnsi="Arial Narrow" w:cs="Calibri"/>
          <w:sz w:val="22"/>
          <w:szCs w:val="22"/>
        </w:rPr>
      </w:pPr>
    </w:p>
    <w:p w14:paraId="27429650" w14:textId="77777777" w:rsidR="0067343B" w:rsidRPr="0067343B" w:rsidRDefault="0067343B" w:rsidP="0067343B">
      <w:pPr>
        <w:suppressAutoHyphens/>
        <w:rPr>
          <w:rFonts w:ascii="Arial Narrow" w:eastAsia="Calibri" w:hAnsi="Arial Narrow" w:cs="Calibri"/>
          <w:b/>
          <w:bCs/>
          <w:sz w:val="22"/>
          <w:szCs w:val="22"/>
        </w:rPr>
      </w:pPr>
      <w:r w:rsidRPr="0067343B">
        <w:rPr>
          <w:rFonts w:ascii="Arial Narrow" w:eastAsia="Calibri" w:hAnsi="Arial Narrow" w:cs="Calibri"/>
          <w:b/>
          <w:bCs/>
          <w:sz w:val="22"/>
          <w:szCs w:val="22"/>
        </w:rPr>
        <w:t>Objektet e rikuperimit të mbeturinave</w:t>
      </w:r>
    </w:p>
    <w:p w14:paraId="408D46AA" w14:textId="77777777" w:rsidR="0067343B" w:rsidRPr="0067343B" w:rsidRDefault="0067343B" w:rsidP="0067343B">
      <w:pPr>
        <w:suppressAutoHyphens/>
        <w:jc w:val="both"/>
        <w:rPr>
          <w:rFonts w:ascii="Arial Narrow" w:eastAsia="Calibri" w:hAnsi="Arial Narrow" w:cs="Calibri"/>
          <w:sz w:val="22"/>
          <w:szCs w:val="22"/>
        </w:rPr>
      </w:pPr>
      <w:r w:rsidRPr="0067343B">
        <w:rPr>
          <w:rFonts w:ascii="Arial Narrow" w:eastAsia="Calibri" w:hAnsi="Arial Narrow" w:cs="Calibri"/>
          <w:sz w:val="22"/>
          <w:szCs w:val="22"/>
        </w:rPr>
        <w:t>Për të reduktuar sasinë e mbeturinave komunale që shkojnë në deponi, do të ngrihet një impiant TMB i cili do të trajtojë mbeturinat e përziera komunale nga të pesë komunat. Objekti TMB duhet të ngrihet në vitin 2031, si një fazë e dytë e zhvillimit të infrastrukturës së mbeturinave në rajon. Idealisht, objekti TMB duhet të ndërtohet në vendin e deponisë aktuale. Megjithatë, si detyrë e parë, një studim fizibiliteti do të përcaktojë vendndodhjen e saktë të objektit dhe të gjitha aspektet operacionale  bazuar në sasitë e vlerësuara të mbeturinave të përziera nga të 5 komunat.</w:t>
      </w:r>
    </w:p>
    <w:p w14:paraId="06DCCC2A" w14:textId="77777777" w:rsidR="0067343B" w:rsidRPr="0067343B" w:rsidRDefault="0067343B" w:rsidP="0067343B">
      <w:pPr>
        <w:suppressAutoHyphens/>
        <w:rPr>
          <w:rFonts w:ascii="Arial Narrow" w:eastAsia="Calibri" w:hAnsi="Arial Narrow" w:cs="Calibri"/>
          <w:sz w:val="22"/>
          <w:szCs w:val="22"/>
        </w:rPr>
      </w:pPr>
    </w:p>
    <w:p w14:paraId="5F912A04" w14:textId="205CB3A0" w:rsidR="0067343B" w:rsidRPr="0067343B" w:rsidRDefault="0067343B" w:rsidP="0067343B">
      <w:pPr>
        <w:suppressAutoHyphens/>
        <w:jc w:val="both"/>
        <w:rPr>
          <w:rFonts w:ascii="Arial Narrow" w:eastAsia="Calibri" w:hAnsi="Arial Narrow" w:cs="Calibri"/>
          <w:sz w:val="22"/>
          <w:szCs w:val="22"/>
        </w:rPr>
      </w:pPr>
      <w:r w:rsidRPr="0067343B">
        <w:rPr>
          <w:rFonts w:ascii="Arial Narrow" w:eastAsia="Calibri" w:hAnsi="Arial Narrow" w:cs="Calibri"/>
          <w:sz w:val="22"/>
          <w:szCs w:val="22"/>
        </w:rPr>
        <w:t xml:space="preserve">Për të arritur objektivin për mbeturinat komunale të përgatitura për ripërdorim dhe riciklim (50% deri në vitin 2035), do të duhet të krijohet një objekt shtesë për rikuperimin e mbeturinave organike, si pjesë e fazës së dytë të zhvillimit të infrastrukturës së mbeturinave në rajon. Si hap i parë, një studim fizibiliteti do të përcaktojë se çfarë lloj objekti trajtimi do të jetë më i përshtatshëm. Duhet të analizohen dhe krahasohen disa opsione: (i) një objekt për tretje anaerobe; (ii) impiant kompostimi brenda kontejnerëve të specializuar në vendin e impiantit TMB; ose (iii) impianti i kompostimit brenda kontejnerëve të specializuar në vendin e objektit të kompostimit në Pejë. Me të gjitha mundlësitë, objekti do të projektohet për të trajtuar mbeturinat ushqimore të grumbulluara </w:t>
      </w:r>
      <w:r w:rsidR="008A72DD">
        <w:rPr>
          <w:rFonts w:ascii="Arial Narrow" w:eastAsia="Calibri" w:hAnsi="Arial Narrow" w:cs="Calibri"/>
          <w:sz w:val="22"/>
          <w:szCs w:val="22"/>
        </w:rPr>
        <w:t>ndaras</w:t>
      </w:r>
      <w:r w:rsidRPr="0067343B">
        <w:rPr>
          <w:rFonts w:ascii="Arial Narrow" w:eastAsia="Calibri" w:hAnsi="Arial Narrow" w:cs="Calibri"/>
          <w:sz w:val="22"/>
          <w:szCs w:val="22"/>
        </w:rPr>
        <w:t xml:space="preserve"> si nga bizneset ashtu edhe nga familjet. Në mënyrë që objekti i trajtimit organik të ndërtohet në vitin 2031, studimi i fizibilitetit duhet të fillojë në vitin 2028.</w:t>
      </w:r>
    </w:p>
    <w:p w14:paraId="5FC645C1" w14:textId="77777777" w:rsidR="007D1EDC" w:rsidRPr="0067343B" w:rsidRDefault="007D1EDC" w:rsidP="007D1EDC">
      <w:pPr>
        <w:suppressAutoHyphens/>
        <w:rPr>
          <w:rFonts w:ascii="Arial Narrow" w:eastAsia="Calibri" w:hAnsi="Arial Narrow" w:cs="Calibri"/>
          <w:sz w:val="22"/>
          <w:szCs w:val="22"/>
        </w:rPr>
      </w:pPr>
    </w:p>
    <w:p w14:paraId="07F9FA48" w14:textId="77777777" w:rsidR="0067343B" w:rsidRPr="0067343B" w:rsidRDefault="0067343B" w:rsidP="0067343B">
      <w:pPr>
        <w:suppressAutoHyphens/>
        <w:rPr>
          <w:rFonts w:ascii="Arial Narrow" w:eastAsia="Calibri" w:hAnsi="Arial Narrow" w:cs="Calibri"/>
          <w:b/>
          <w:bCs/>
          <w:sz w:val="22"/>
          <w:szCs w:val="22"/>
        </w:rPr>
      </w:pPr>
      <w:r w:rsidRPr="0067343B">
        <w:rPr>
          <w:rFonts w:ascii="Arial Narrow" w:eastAsia="Calibri" w:hAnsi="Arial Narrow" w:cs="Calibri"/>
          <w:b/>
          <w:bCs/>
          <w:sz w:val="22"/>
          <w:szCs w:val="22"/>
        </w:rPr>
        <w:t>Menaxhimi i mbeturinave të ndërtimit dhe rrënimit</w:t>
      </w:r>
    </w:p>
    <w:p w14:paraId="1C035328" w14:textId="77777777" w:rsidR="0067343B" w:rsidRPr="0067343B" w:rsidRDefault="0067343B" w:rsidP="0067343B">
      <w:pPr>
        <w:suppressAutoHyphens/>
        <w:jc w:val="both"/>
        <w:rPr>
          <w:rFonts w:ascii="Arial Narrow" w:eastAsia="Calibri" w:hAnsi="Arial Narrow" w:cs="Calibri"/>
          <w:sz w:val="22"/>
          <w:szCs w:val="22"/>
        </w:rPr>
      </w:pPr>
      <w:r w:rsidRPr="0067343B">
        <w:rPr>
          <w:rFonts w:ascii="Arial Narrow" w:eastAsia="Calibri" w:hAnsi="Arial Narrow" w:cs="Calibri"/>
          <w:sz w:val="22"/>
          <w:szCs w:val="22"/>
        </w:rPr>
        <w:t xml:space="preserve">Sistemi për menaxhimin e mbeturinave të ndërtimit dhe rrënimit do të përbëhet nga: (i) 4 pika të hedhjes në komunat Pejë, Istog , Klinë dhe Deçan; (ii) një objekt riciklimi me një thërmues mobil; dhe (iii) një objekt deponimi. Krijimi i sistemit do të paraprihet nga përzgjedhja e vendeve për të gjithë elementët. Pasi të krijohen lokacionet </w:t>
      </w:r>
      <w:r w:rsidRPr="0067343B">
        <w:rPr>
          <w:rFonts w:ascii="Arial Narrow" w:eastAsia="Calibri" w:hAnsi="Arial Narrow" w:cs="Calibri"/>
          <w:sz w:val="22"/>
          <w:szCs w:val="22"/>
        </w:rPr>
        <w:lastRenderedPageBreak/>
        <w:t>dhe të përcaktohen për menaxhimin e MNRr, mund të prokurohen punimet e ndërtimit. Punimet e ndërtimit do të prokurohen për objektin e riciklimit dhe atë të deponimit. Komunat e veçanta do të jenë përgjegjëse për përcaktimin dhe profilizimin e pikave individuale të hedhjes. Përzgjedhja e lokacionit në të gjitha lokalitetet duhet të fillojë në vitin 2026, ndërsa punimet e ndërtimit për objektin e riciklimit dhe atë të deponimit mund të prokurohen dhe të finalizohen në vitin 2027.</w:t>
      </w:r>
    </w:p>
    <w:p w14:paraId="4699E572" w14:textId="77777777" w:rsidR="0067343B" w:rsidRPr="0067343B" w:rsidRDefault="0067343B" w:rsidP="0067343B">
      <w:pPr>
        <w:suppressAutoHyphens/>
        <w:rPr>
          <w:rFonts w:ascii="Arial Narrow" w:eastAsia="Calibri" w:hAnsi="Arial Narrow" w:cs="Calibri"/>
          <w:sz w:val="22"/>
          <w:szCs w:val="22"/>
        </w:rPr>
      </w:pPr>
    </w:p>
    <w:p w14:paraId="19041DEF" w14:textId="77777777" w:rsidR="0067343B" w:rsidRPr="0067343B" w:rsidRDefault="0067343B" w:rsidP="0067343B">
      <w:pPr>
        <w:suppressAutoHyphens/>
        <w:rPr>
          <w:rFonts w:ascii="Arial Narrow" w:eastAsia="Calibri" w:hAnsi="Arial Narrow" w:cs="Calibri"/>
          <w:b/>
          <w:bCs/>
          <w:sz w:val="22"/>
          <w:szCs w:val="22"/>
        </w:rPr>
      </w:pPr>
      <w:r w:rsidRPr="0067343B">
        <w:rPr>
          <w:rFonts w:ascii="Arial Narrow" w:eastAsia="Calibri" w:hAnsi="Arial Narrow" w:cs="Calibri"/>
          <w:b/>
          <w:bCs/>
          <w:sz w:val="22"/>
          <w:szCs w:val="22"/>
        </w:rPr>
        <w:t>Menaxhimi i mbeturinave bujqësore</w:t>
      </w:r>
    </w:p>
    <w:p w14:paraId="4DFD134B" w14:textId="77777777" w:rsidR="0067343B" w:rsidRPr="0067343B" w:rsidRDefault="0067343B" w:rsidP="0067343B">
      <w:pPr>
        <w:suppressAutoHyphens/>
        <w:rPr>
          <w:rFonts w:ascii="Arial Narrow" w:eastAsia="Calibri" w:hAnsi="Arial Narrow" w:cs="Calibri"/>
          <w:sz w:val="22"/>
          <w:szCs w:val="22"/>
        </w:rPr>
      </w:pPr>
      <w:r w:rsidRPr="0067343B">
        <w:rPr>
          <w:rFonts w:ascii="Arial Narrow" w:eastAsia="Calibri" w:hAnsi="Arial Narrow" w:cs="Calibri"/>
          <w:sz w:val="22"/>
          <w:szCs w:val="22"/>
        </w:rPr>
        <w:t>Menaxhimi i mbeturinave bujqësore do të jetë përgjegjësi kryesore e fermerëve lokal dhe gjeneruesve të tjerë të mbeturinave.</w:t>
      </w:r>
    </w:p>
    <w:p w14:paraId="00DA0A4D" w14:textId="77777777" w:rsidR="0067343B" w:rsidRPr="0067343B" w:rsidRDefault="0067343B" w:rsidP="0067343B">
      <w:pPr>
        <w:suppressAutoHyphens/>
        <w:rPr>
          <w:rFonts w:ascii="Arial Narrow" w:eastAsia="Calibri" w:hAnsi="Arial Narrow" w:cs="Calibri"/>
          <w:sz w:val="22"/>
          <w:szCs w:val="22"/>
        </w:rPr>
      </w:pPr>
    </w:p>
    <w:p w14:paraId="03819CDA" w14:textId="77777777" w:rsidR="0067343B" w:rsidRPr="0067343B" w:rsidRDefault="0067343B" w:rsidP="0067343B">
      <w:pPr>
        <w:suppressAutoHyphens/>
        <w:rPr>
          <w:rFonts w:ascii="Arial Narrow" w:eastAsia="Calibri" w:hAnsi="Arial Narrow" w:cs="Calibri"/>
          <w:b/>
          <w:bCs/>
          <w:sz w:val="22"/>
          <w:szCs w:val="22"/>
        </w:rPr>
      </w:pPr>
      <w:r w:rsidRPr="0067343B">
        <w:rPr>
          <w:rFonts w:ascii="Arial Narrow" w:eastAsia="Calibri" w:hAnsi="Arial Narrow" w:cs="Calibri"/>
          <w:b/>
          <w:bCs/>
          <w:sz w:val="22"/>
          <w:szCs w:val="22"/>
        </w:rPr>
        <w:t>Menaxhimi i fraksioneve të veçanta të mbeturinave</w:t>
      </w:r>
    </w:p>
    <w:p w14:paraId="1E6B0654" w14:textId="77777777" w:rsidR="0067343B" w:rsidRPr="0067343B" w:rsidRDefault="0067343B" w:rsidP="0067343B">
      <w:pPr>
        <w:suppressAutoHyphens/>
        <w:rPr>
          <w:rFonts w:ascii="Arial Narrow" w:eastAsia="Calibri" w:hAnsi="Arial Narrow" w:cs="Calibri"/>
          <w:sz w:val="22"/>
          <w:szCs w:val="22"/>
        </w:rPr>
      </w:pPr>
      <w:r w:rsidRPr="0067343B">
        <w:rPr>
          <w:rFonts w:ascii="Arial Narrow" w:eastAsia="Calibri" w:hAnsi="Arial Narrow" w:cs="Calibri"/>
          <w:sz w:val="22"/>
          <w:szCs w:val="22"/>
        </w:rPr>
        <w:t>Fraksionet e veçanta të mbeturinave përfshijnë:</w:t>
      </w:r>
    </w:p>
    <w:p w14:paraId="0ADE81A9" w14:textId="77777777" w:rsidR="0067343B" w:rsidRPr="0067343B" w:rsidRDefault="0067343B" w:rsidP="0067343B">
      <w:pPr>
        <w:pStyle w:val="ListParagraph"/>
        <w:numPr>
          <w:ilvl w:val="0"/>
          <w:numId w:val="33"/>
        </w:numPr>
        <w:suppressAutoHyphens/>
        <w:rPr>
          <w:rFonts w:eastAsia="Calibri" w:cs="Calibri"/>
          <w:sz w:val="22"/>
          <w:szCs w:val="22"/>
        </w:rPr>
      </w:pPr>
      <w:r w:rsidRPr="0067343B">
        <w:rPr>
          <w:rFonts w:eastAsia="Calibri" w:cs="Calibri"/>
          <w:sz w:val="22"/>
          <w:szCs w:val="22"/>
        </w:rPr>
        <w:t>Mbeturinat nga pajisjet elektrike dhe elektronike (MPEE)</w:t>
      </w:r>
    </w:p>
    <w:p w14:paraId="1520EC44" w14:textId="77777777" w:rsidR="0067343B" w:rsidRPr="0067343B" w:rsidRDefault="0067343B" w:rsidP="0067343B">
      <w:pPr>
        <w:pStyle w:val="ListParagraph"/>
        <w:numPr>
          <w:ilvl w:val="0"/>
          <w:numId w:val="33"/>
        </w:numPr>
        <w:suppressAutoHyphens/>
        <w:rPr>
          <w:rFonts w:eastAsia="Calibri" w:cs="Calibri"/>
          <w:sz w:val="22"/>
          <w:szCs w:val="22"/>
        </w:rPr>
      </w:pPr>
      <w:r w:rsidRPr="0067343B">
        <w:rPr>
          <w:rFonts w:eastAsia="Calibri" w:cs="Calibri"/>
          <w:sz w:val="22"/>
          <w:szCs w:val="22"/>
        </w:rPr>
        <w:t>Bateritë dhe akumulatorët</w:t>
      </w:r>
    </w:p>
    <w:p w14:paraId="2B14A533" w14:textId="5F66F2E5" w:rsidR="0067343B" w:rsidRPr="0067343B" w:rsidRDefault="0067343B" w:rsidP="0067343B">
      <w:pPr>
        <w:pStyle w:val="ListParagraph"/>
        <w:numPr>
          <w:ilvl w:val="0"/>
          <w:numId w:val="33"/>
        </w:numPr>
        <w:suppressAutoHyphens/>
        <w:rPr>
          <w:rFonts w:eastAsia="Calibri" w:cs="Calibri"/>
          <w:sz w:val="22"/>
          <w:szCs w:val="22"/>
        </w:rPr>
      </w:pPr>
      <w:r w:rsidRPr="0067343B">
        <w:rPr>
          <w:rFonts w:eastAsia="Calibri" w:cs="Calibri"/>
          <w:sz w:val="22"/>
          <w:szCs w:val="22"/>
        </w:rPr>
        <w:t>Automjetet e hedhura dhe mbeturinat e tyre</w:t>
      </w:r>
      <w:r w:rsidR="00BD1EDD">
        <w:rPr>
          <w:rFonts w:eastAsia="Calibri" w:cs="Calibri"/>
          <w:sz w:val="22"/>
          <w:szCs w:val="22"/>
        </w:rPr>
        <w:t xml:space="preserve"> (AM)</w:t>
      </w:r>
    </w:p>
    <w:p w14:paraId="52126DB8" w14:textId="77777777" w:rsidR="0067343B" w:rsidRPr="0067343B" w:rsidRDefault="0067343B" w:rsidP="0067343B">
      <w:pPr>
        <w:pStyle w:val="ListParagraph"/>
        <w:numPr>
          <w:ilvl w:val="0"/>
          <w:numId w:val="33"/>
        </w:numPr>
        <w:suppressAutoHyphens/>
        <w:rPr>
          <w:rFonts w:eastAsia="Calibri" w:cs="Calibri"/>
          <w:sz w:val="22"/>
          <w:szCs w:val="22"/>
        </w:rPr>
      </w:pPr>
      <w:r w:rsidRPr="0067343B">
        <w:rPr>
          <w:rFonts w:eastAsia="Calibri" w:cs="Calibri"/>
          <w:sz w:val="22"/>
          <w:szCs w:val="22"/>
        </w:rPr>
        <w:t>Gomat e harxhuara</w:t>
      </w:r>
    </w:p>
    <w:p w14:paraId="2807FDAB" w14:textId="77777777" w:rsidR="0067343B" w:rsidRPr="0067343B" w:rsidRDefault="0067343B" w:rsidP="0067343B">
      <w:pPr>
        <w:pStyle w:val="ListParagraph"/>
        <w:numPr>
          <w:ilvl w:val="0"/>
          <w:numId w:val="33"/>
        </w:numPr>
        <w:suppressAutoHyphens/>
        <w:rPr>
          <w:rFonts w:eastAsia="Calibri" w:cs="Calibri"/>
          <w:sz w:val="22"/>
          <w:szCs w:val="22"/>
        </w:rPr>
      </w:pPr>
      <w:r w:rsidRPr="0067343B">
        <w:rPr>
          <w:rFonts w:eastAsia="Calibri" w:cs="Calibri"/>
          <w:sz w:val="22"/>
          <w:szCs w:val="22"/>
        </w:rPr>
        <w:t>Vajrat e përdorura</w:t>
      </w:r>
    </w:p>
    <w:p w14:paraId="559B4A15" w14:textId="77777777" w:rsidR="0067343B" w:rsidRPr="0067343B" w:rsidRDefault="0067343B" w:rsidP="0067343B">
      <w:pPr>
        <w:suppressAutoHyphens/>
        <w:rPr>
          <w:rFonts w:ascii="Arial Narrow" w:eastAsia="Calibri" w:hAnsi="Arial Narrow" w:cs="Calibri"/>
          <w:sz w:val="22"/>
          <w:szCs w:val="22"/>
        </w:rPr>
      </w:pPr>
    </w:p>
    <w:p w14:paraId="4175F3FA" w14:textId="77777777" w:rsidR="0067343B" w:rsidRPr="0067343B" w:rsidRDefault="0067343B" w:rsidP="0067343B">
      <w:pPr>
        <w:suppressAutoHyphens/>
        <w:jc w:val="both"/>
        <w:rPr>
          <w:rFonts w:ascii="Arial Narrow" w:eastAsia="Calibri" w:hAnsi="Arial Narrow" w:cs="Calibri"/>
          <w:sz w:val="22"/>
          <w:szCs w:val="22"/>
        </w:rPr>
      </w:pPr>
      <w:r w:rsidRPr="0067343B">
        <w:rPr>
          <w:rFonts w:ascii="Arial Narrow" w:eastAsia="Calibri" w:hAnsi="Arial Narrow" w:cs="Calibri"/>
          <w:sz w:val="22"/>
          <w:szCs w:val="22"/>
        </w:rPr>
        <w:t>Ngjashëm me mbeturinat e ambalazhit, këto fraksione të veçanta mbeturinash do të duhet të menaxhohen përmes mekanizmit PZP. Skema të ndryshme PZP do të ngriten për çdo fraksion të veçantë mbeturinash. Prodhuesit dhe importuesit e këtyre produkteve specifike do të duhet të krijojnë Organizata të Përgjegjësisë së Prodhuesit (OPP). Pas miratimit të kërkesave ligjore për zgjerimin e përgjegjësive të prodhuesve dhe themelimin e OPP-ve, komunat do të nënshkruajnë marrëveshje me OPP-të për vendosjen e sistemeve të grumbullimit në vendet e caktuara. Kostot për menaxhimin e këtyre fraksioneve të veçanta të mbeturinave do të mbulohen nga OPP-të. Pritet që legjislacioni për PZP të jetë në i gatshshëm dhe në fuqi në vitin 2026 dhe se skemat e PZP do të ngriten deri në vitin 2027.</w:t>
      </w:r>
    </w:p>
    <w:p w14:paraId="55C0640B" w14:textId="77777777" w:rsidR="007D1EDC" w:rsidRPr="007D1EDC" w:rsidRDefault="007D1EDC" w:rsidP="007D1EDC">
      <w:pPr>
        <w:suppressAutoHyphens/>
        <w:rPr>
          <w:rFonts w:ascii="Arial Narrow" w:eastAsia="Calibri" w:hAnsi="Arial Narrow" w:cs="Calibri"/>
          <w:sz w:val="22"/>
          <w:szCs w:val="22"/>
        </w:rPr>
        <w:sectPr w:rsidR="007D1EDC" w:rsidRPr="007D1EDC" w:rsidSect="007D1EDC">
          <w:headerReference w:type="default" r:id="rId91"/>
          <w:footerReference w:type="default" r:id="rId92"/>
          <w:pgSz w:w="11906" w:h="16838"/>
          <w:pgMar w:top="1440" w:right="1440" w:bottom="1440" w:left="1440" w:header="708" w:footer="708" w:gutter="0"/>
          <w:cols w:space="708"/>
          <w:docGrid w:linePitch="360"/>
        </w:sectPr>
      </w:pPr>
    </w:p>
    <w:p w14:paraId="50CAE152" w14:textId="77777777" w:rsidR="007D1EDC" w:rsidRPr="007D1EDC" w:rsidRDefault="007D1EDC" w:rsidP="007D1EDC">
      <w:pPr>
        <w:pStyle w:val="Heading2"/>
        <w:ind w:left="1134" w:hanging="1134"/>
      </w:pPr>
      <w:bookmarkStart w:id="559" w:name="_Toc190967402"/>
      <w:bookmarkStart w:id="560" w:name="_Toc197472051"/>
      <w:r w:rsidRPr="007D1EDC">
        <w:lastRenderedPageBreak/>
        <w:t>Orari për zbatim</w:t>
      </w:r>
      <w:bookmarkEnd w:id="559"/>
      <w:bookmarkEnd w:id="560"/>
    </w:p>
    <w:p w14:paraId="1232F323" w14:textId="77777777" w:rsidR="007D1EDC" w:rsidRPr="0067343B" w:rsidRDefault="007D1EDC" w:rsidP="007D1EDC">
      <w:pPr>
        <w:suppressAutoHyphens/>
        <w:rPr>
          <w:rFonts w:ascii="Arial Narrow" w:eastAsia="Calibri" w:hAnsi="Arial Narrow" w:cs="Calibri"/>
          <w:sz w:val="22"/>
          <w:szCs w:val="22"/>
        </w:rPr>
      </w:pPr>
    </w:p>
    <w:p w14:paraId="04CAF614" w14:textId="77777777" w:rsidR="0067343B" w:rsidRPr="0067343B" w:rsidRDefault="0067343B" w:rsidP="0067343B">
      <w:pPr>
        <w:suppressAutoHyphens/>
        <w:rPr>
          <w:rFonts w:ascii="Arial Narrow" w:eastAsia="Calibri" w:hAnsi="Arial Narrow" w:cs="Calibri"/>
          <w:sz w:val="22"/>
          <w:szCs w:val="22"/>
        </w:rPr>
      </w:pPr>
      <w:r w:rsidRPr="0067343B">
        <w:rPr>
          <w:rFonts w:ascii="Arial Narrow" w:eastAsia="Calibri" w:hAnsi="Arial Narrow" w:cs="Calibri"/>
          <w:sz w:val="22"/>
          <w:szCs w:val="22"/>
        </w:rPr>
        <w:t>Plani i Veprimit mbulon të gjitha fraksionet prioritare të mbeturinave dhe përfshin të gjitha veprimet e nevojshme për zbatimin e masave të parashikuara në PNMIM për periudhën 2025-2035. Plani i Veprimit përfshin gjithashtu buxhetin për secilin aktivitet, burimin e financimit, përgjegjësitë për zbatim, shtyllat kryesore dhe treguesin e performancës për secilin aktivitet. Treguesit e performancës, të përfshirë në Planin e Veprimit, synojnë të sigurojnë bazën për monitorimin e zbatimit të PNMIM duke përfshirë treguesit specifik dhe të matshëm.</w:t>
      </w:r>
    </w:p>
    <w:p w14:paraId="52ACF347" w14:textId="77777777" w:rsidR="007D1EDC" w:rsidRPr="0067343B" w:rsidRDefault="007D1EDC" w:rsidP="007D1EDC">
      <w:pPr>
        <w:suppressAutoHyphens/>
        <w:rPr>
          <w:rFonts w:ascii="Arial Narrow" w:eastAsia="Calibri" w:hAnsi="Arial Narrow" w:cs="Calibri"/>
          <w:sz w:val="22"/>
          <w:szCs w:val="22"/>
        </w:rPr>
      </w:pPr>
    </w:p>
    <w:p w14:paraId="560E4548" w14:textId="77777777" w:rsidR="007D1EDC" w:rsidRPr="007D1EDC" w:rsidRDefault="007D1EDC" w:rsidP="002E4DDE">
      <w:pPr>
        <w:pStyle w:val="Heading3"/>
        <w:ind w:left="1134" w:hanging="1134"/>
      </w:pPr>
      <w:bookmarkStart w:id="561" w:name="_Toc190967403"/>
      <w:bookmarkStart w:id="562" w:name="_Toc197472052"/>
      <w:r w:rsidRPr="0067343B">
        <w:t>Aktivitete</w:t>
      </w:r>
      <w:r w:rsidRPr="007D1EDC">
        <w:t xml:space="preserve"> afatshkurtra për zbatim</w:t>
      </w:r>
      <w:bookmarkEnd w:id="561"/>
      <w:bookmarkEnd w:id="562"/>
      <w:r w:rsidRPr="007D1EDC">
        <w:t xml:space="preserve"> </w:t>
      </w:r>
    </w:p>
    <w:p w14:paraId="7C84B3F1" w14:textId="77777777" w:rsidR="007D1EDC" w:rsidRPr="0067343B" w:rsidRDefault="007D1EDC" w:rsidP="007D1EDC">
      <w:pPr>
        <w:suppressAutoHyphens/>
        <w:rPr>
          <w:rFonts w:ascii="Arial Narrow" w:eastAsia="Calibri" w:hAnsi="Arial Narrow" w:cs="Calibri"/>
          <w:sz w:val="22"/>
          <w:szCs w:val="22"/>
        </w:rPr>
      </w:pPr>
    </w:p>
    <w:p w14:paraId="7417C3BA" w14:textId="77777777" w:rsidR="0067343B" w:rsidRPr="0067343B" w:rsidRDefault="0067343B" w:rsidP="0067343B">
      <w:pPr>
        <w:suppressAutoHyphens/>
        <w:rPr>
          <w:rFonts w:ascii="Arial Narrow" w:eastAsia="Calibri" w:hAnsi="Arial Narrow" w:cs="Calibri"/>
          <w:sz w:val="22"/>
          <w:szCs w:val="22"/>
        </w:rPr>
      </w:pPr>
      <w:r w:rsidRPr="0067343B">
        <w:rPr>
          <w:rFonts w:ascii="Arial Narrow" w:eastAsia="Calibri" w:hAnsi="Arial Narrow" w:cs="Calibri"/>
          <w:sz w:val="22"/>
          <w:szCs w:val="22"/>
        </w:rPr>
        <w:t>Aktivitetet e parashikuara për zbatim deri në vitin 2027 synojnë adresimin e problemeve më urgjente dhe prioriteteve kryesore për sistemin ekzistues të menaxhimit të mbeturinave.</w:t>
      </w:r>
    </w:p>
    <w:p w14:paraId="4EBCA4DD" w14:textId="77777777" w:rsidR="0067343B" w:rsidRPr="0067343B" w:rsidRDefault="0067343B" w:rsidP="0067343B">
      <w:pPr>
        <w:suppressAutoHyphens/>
        <w:rPr>
          <w:rFonts w:ascii="Arial Narrow" w:eastAsia="Calibri" w:hAnsi="Arial Narrow" w:cs="Calibri"/>
          <w:sz w:val="22"/>
          <w:szCs w:val="22"/>
        </w:rPr>
      </w:pPr>
    </w:p>
    <w:p w14:paraId="662C99BD" w14:textId="360D9A83" w:rsidR="007D1EDC" w:rsidRPr="0067343B" w:rsidRDefault="0067343B" w:rsidP="0067343B">
      <w:pPr>
        <w:suppressAutoHyphens/>
        <w:rPr>
          <w:rFonts w:ascii="Arial Narrow" w:eastAsia="Calibri" w:hAnsi="Arial Narrow" w:cs="Calibri"/>
          <w:sz w:val="22"/>
          <w:szCs w:val="22"/>
        </w:rPr>
      </w:pPr>
      <w:r w:rsidRPr="0067343B">
        <w:rPr>
          <w:rFonts w:ascii="Arial Narrow" w:eastAsia="Calibri" w:hAnsi="Arial Narrow" w:cs="Calibri"/>
          <w:sz w:val="22"/>
          <w:szCs w:val="22"/>
        </w:rPr>
        <w:t xml:space="preserve">Tabela e mëposhtme paraqet aktivitetet të cilat duhet të jenë me prioritet në </w:t>
      </w:r>
      <w:r w:rsidRPr="0067343B">
        <w:rPr>
          <w:rFonts w:ascii="Arial Narrow" w:eastAsia="Calibri" w:hAnsi="Arial Narrow" w:cs="Calibri"/>
          <w:b/>
          <w:bCs/>
          <w:sz w:val="22"/>
          <w:szCs w:val="22"/>
        </w:rPr>
        <w:t>periudhën 2025-2027</w:t>
      </w:r>
      <w:r w:rsidR="007D1EDC" w:rsidRPr="0067343B">
        <w:rPr>
          <w:rFonts w:ascii="Arial Narrow" w:eastAsia="Calibri" w:hAnsi="Arial Narrow" w:cs="Calibri"/>
          <w:sz w:val="22"/>
          <w:szCs w:val="22"/>
        </w:rPr>
        <w:t>.</w:t>
      </w:r>
    </w:p>
    <w:p w14:paraId="5812E4B7" w14:textId="77777777" w:rsidR="007D1EDC" w:rsidRPr="0067343B" w:rsidRDefault="007D1EDC" w:rsidP="007D1EDC">
      <w:pPr>
        <w:suppressAutoHyphens/>
        <w:rPr>
          <w:rFonts w:ascii="Arial Narrow" w:eastAsia="Calibri" w:hAnsi="Arial Narrow" w:cs="Calibri"/>
          <w:sz w:val="22"/>
          <w:szCs w:val="22"/>
          <w:lang w:val="bg-BG"/>
        </w:rPr>
      </w:pPr>
    </w:p>
    <w:p w14:paraId="67DD2063" w14:textId="364DA3B0" w:rsidR="007D1EDC" w:rsidRPr="0067343B" w:rsidRDefault="007D1EDC" w:rsidP="007D1EDC">
      <w:pPr>
        <w:suppressAutoHyphens/>
        <w:rPr>
          <w:rFonts w:ascii="Arial Narrow" w:eastAsia="Calibri" w:hAnsi="Arial Narrow" w:cs="Calibri"/>
          <w:color w:val="1F497D"/>
          <w:sz w:val="22"/>
          <w:szCs w:val="22"/>
        </w:rPr>
      </w:pPr>
      <w:bookmarkStart w:id="563" w:name="_Toc190966771"/>
      <w:bookmarkStart w:id="564" w:name="_Toc197472268"/>
      <w:r w:rsidRPr="0067343B">
        <w:rPr>
          <w:rFonts w:ascii="Arial Narrow" w:eastAsia="Calibri" w:hAnsi="Arial Narrow" w:cs="Calibri"/>
          <w:color w:val="1F497D"/>
          <w:sz w:val="22"/>
          <w:szCs w:val="22"/>
        </w:rPr>
        <w:t xml:space="preserve">Tabela </w:t>
      </w:r>
      <w:r w:rsidRPr="0067343B">
        <w:rPr>
          <w:rFonts w:ascii="Arial Narrow" w:eastAsia="Calibri" w:hAnsi="Arial Narrow" w:cs="Calibri"/>
          <w:color w:val="1F497D"/>
          <w:sz w:val="22"/>
          <w:szCs w:val="22"/>
        </w:rPr>
        <w:fldChar w:fldCharType="begin"/>
      </w:r>
      <w:r w:rsidRPr="0067343B">
        <w:rPr>
          <w:rFonts w:ascii="Arial Narrow" w:eastAsia="Calibri" w:hAnsi="Arial Narrow" w:cs="Calibri"/>
          <w:color w:val="1F497D"/>
          <w:sz w:val="22"/>
          <w:szCs w:val="22"/>
        </w:rPr>
        <w:instrText xml:space="preserve"> SEQ Table \* ARABIC </w:instrText>
      </w:r>
      <w:r w:rsidRPr="0067343B">
        <w:rPr>
          <w:rFonts w:ascii="Arial Narrow" w:eastAsia="Calibri" w:hAnsi="Arial Narrow" w:cs="Calibri"/>
          <w:color w:val="1F497D"/>
          <w:sz w:val="22"/>
          <w:szCs w:val="22"/>
        </w:rPr>
        <w:fldChar w:fldCharType="separate"/>
      </w:r>
      <w:r w:rsidR="00C97DF3" w:rsidRPr="0067343B">
        <w:rPr>
          <w:rFonts w:ascii="Arial Narrow" w:eastAsia="Calibri" w:hAnsi="Arial Narrow" w:cs="Calibri"/>
          <w:noProof/>
          <w:color w:val="1F497D"/>
          <w:sz w:val="22"/>
          <w:szCs w:val="22"/>
        </w:rPr>
        <w:t xml:space="preserve">83. </w:t>
      </w:r>
      <w:r w:rsidRPr="0067343B">
        <w:rPr>
          <w:rFonts w:ascii="Arial Narrow" w:eastAsia="Calibri" w:hAnsi="Arial Narrow" w:cs="Calibri"/>
          <w:color w:val="1F497D"/>
          <w:sz w:val="22"/>
          <w:szCs w:val="22"/>
        </w:rPr>
        <w:fldChar w:fldCharType="end"/>
      </w:r>
      <w:r w:rsidRPr="0067343B">
        <w:rPr>
          <w:rFonts w:ascii="Arial Narrow" w:eastAsia="Calibri" w:hAnsi="Arial Narrow" w:cs="Calibri"/>
          <w:color w:val="1F497D"/>
          <w:sz w:val="22"/>
          <w:szCs w:val="22"/>
        </w:rPr>
        <w:t>Transporti dhe transferimi i mbeturinave</w:t>
      </w:r>
      <w:bookmarkEnd w:id="563"/>
      <w:bookmarkEnd w:id="564"/>
    </w:p>
    <w:tbl>
      <w:tblPr>
        <w:tblStyle w:val="TableGrid"/>
        <w:tblW w:w="5000" w:type="pct"/>
        <w:tblLook w:val="04A0" w:firstRow="1" w:lastRow="0" w:firstColumn="1" w:lastColumn="0" w:noHBand="0" w:noVBand="1"/>
      </w:tblPr>
      <w:tblGrid>
        <w:gridCol w:w="725"/>
        <w:gridCol w:w="3813"/>
        <w:gridCol w:w="1289"/>
        <w:gridCol w:w="1612"/>
        <w:gridCol w:w="1858"/>
        <w:gridCol w:w="2338"/>
        <w:gridCol w:w="2313"/>
      </w:tblGrid>
      <w:tr w:rsidR="00800D8F" w:rsidRPr="007D1EDC" w14:paraId="18344EA0" w14:textId="77777777" w:rsidTr="0067343B">
        <w:trPr>
          <w:trHeight w:val="440"/>
          <w:tblHeader/>
        </w:trPr>
        <w:tc>
          <w:tcPr>
            <w:tcW w:w="260" w:type="pct"/>
            <w:shd w:val="clear" w:color="auto" w:fill="365F91"/>
            <w:tcMar>
              <w:left w:w="72" w:type="dxa"/>
              <w:right w:w="72" w:type="dxa"/>
            </w:tcMar>
          </w:tcPr>
          <w:p w14:paraId="293062FD" w14:textId="77777777" w:rsidR="0067343B" w:rsidRPr="007D1EDC" w:rsidRDefault="0067343B" w:rsidP="0067343B">
            <w:pPr>
              <w:widowControl w:val="0"/>
              <w:suppressAutoHyphens/>
              <w:autoSpaceDE w:val="0"/>
              <w:autoSpaceDN w:val="0"/>
              <w:spacing w:before="60" w:after="60"/>
              <w:rPr>
                <w:rFonts w:ascii="Arial Narrow" w:eastAsia="Calibri" w:hAnsi="Arial Narrow" w:cs="Calibri"/>
                <w:b/>
                <w:color w:val="FFFFFF"/>
                <w:sz w:val="20"/>
                <w:szCs w:val="20"/>
              </w:rPr>
            </w:pPr>
            <w:r w:rsidRPr="007D1EDC">
              <w:rPr>
                <w:rFonts w:ascii="Arial Narrow" w:eastAsia="Calibri" w:hAnsi="Arial Narrow" w:cs="Calibri"/>
                <w:b/>
                <w:color w:val="FFFFFF"/>
                <w:sz w:val="20"/>
                <w:szCs w:val="20"/>
              </w:rPr>
              <w:t>Nr.</w:t>
            </w:r>
          </w:p>
        </w:tc>
        <w:tc>
          <w:tcPr>
            <w:tcW w:w="1367" w:type="pct"/>
            <w:shd w:val="clear" w:color="auto" w:fill="365F91"/>
            <w:tcMar>
              <w:left w:w="72" w:type="dxa"/>
              <w:right w:w="72" w:type="dxa"/>
            </w:tcMar>
          </w:tcPr>
          <w:p w14:paraId="40524267" w14:textId="4E1B1353" w:rsidR="0067343B" w:rsidRPr="0067343B" w:rsidRDefault="0067343B" w:rsidP="0067343B">
            <w:pPr>
              <w:widowControl w:val="0"/>
              <w:suppressAutoHyphens/>
              <w:autoSpaceDE w:val="0"/>
              <w:autoSpaceDN w:val="0"/>
              <w:spacing w:before="60" w:after="60"/>
              <w:rPr>
                <w:rFonts w:ascii="Arial Narrow" w:eastAsia="Calibri" w:hAnsi="Arial Narrow" w:cs="Calibri"/>
                <w:b/>
                <w:color w:val="FFFFFF"/>
                <w:sz w:val="20"/>
                <w:szCs w:val="20"/>
              </w:rPr>
            </w:pPr>
            <w:r w:rsidRPr="0067343B">
              <w:rPr>
                <w:rFonts w:ascii="Arial Narrow" w:eastAsia="Calibri" w:hAnsi="Arial Narrow" w:cs="Calibri"/>
                <w:b/>
                <w:color w:val="FFFFFF"/>
                <w:sz w:val="20"/>
                <w:szCs w:val="20"/>
              </w:rPr>
              <w:t>Aktiviteti</w:t>
            </w:r>
          </w:p>
        </w:tc>
        <w:tc>
          <w:tcPr>
            <w:tcW w:w="462" w:type="pct"/>
            <w:shd w:val="clear" w:color="auto" w:fill="365F91"/>
            <w:tcMar>
              <w:left w:w="72" w:type="dxa"/>
              <w:right w:w="72" w:type="dxa"/>
            </w:tcMar>
          </w:tcPr>
          <w:p w14:paraId="2ECA2FA1" w14:textId="33D1774E" w:rsidR="0067343B" w:rsidRPr="0067343B" w:rsidRDefault="0067343B" w:rsidP="0067343B">
            <w:pPr>
              <w:widowControl w:val="0"/>
              <w:suppressAutoHyphens/>
              <w:autoSpaceDE w:val="0"/>
              <w:autoSpaceDN w:val="0"/>
              <w:spacing w:before="60" w:after="60"/>
              <w:rPr>
                <w:rFonts w:ascii="Arial Narrow" w:eastAsia="Calibri" w:hAnsi="Arial Narrow" w:cs="Calibri"/>
                <w:b/>
                <w:color w:val="FFFFFF"/>
                <w:sz w:val="20"/>
                <w:szCs w:val="20"/>
              </w:rPr>
            </w:pPr>
            <w:r w:rsidRPr="0067343B">
              <w:rPr>
                <w:rFonts w:ascii="Arial Narrow" w:eastAsia="Calibri" w:hAnsi="Arial Narrow" w:cs="Calibri"/>
                <w:b/>
                <w:color w:val="FFFFFF"/>
                <w:sz w:val="20"/>
                <w:szCs w:val="20"/>
              </w:rPr>
              <w:t>Afati kohor</w:t>
            </w:r>
          </w:p>
        </w:tc>
        <w:tc>
          <w:tcPr>
            <w:tcW w:w="578" w:type="pct"/>
            <w:shd w:val="clear" w:color="auto" w:fill="365F91"/>
            <w:tcMar>
              <w:left w:w="72" w:type="dxa"/>
              <w:right w:w="72" w:type="dxa"/>
            </w:tcMar>
          </w:tcPr>
          <w:p w14:paraId="1D91EE89" w14:textId="33FC2A55" w:rsidR="0067343B" w:rsidRPr="0067343B" w:rsidRDefault="0067343B" w:rsidP="0067343B">
            <w:pPr>
              <w:widowControl w:val="0"/>
              <w:suppressAutoHyphens/>
              <w:autoSpaceDE w:val="0"/>
              <w:autoSpaceDN w:val="0"/>
              <w:spacing w:before="60" w:after="60"/>
              <w:jc w:val="center"/>
              <w:rPr>
                <w:rFonts w:ascii="Arial Narrow" w:eastAsia="Calibri" w:hAnsi="Arial Narrow" w:cs="Calibri"/>
                <w:b/>
                <w:color w:val="FFFFFF"/>
                <w:sz w:val="20"/>
                <w:szCs w:val="20"/>
              </w:rPr>
            </w:pPr>
            <w:r w:rsidRPr="0067343B">
              <w:rPr>
                <w:rFonts w:ascii="Arial Narrow" w:eastAsia="Calibri" w:hAnsi="Arial Narrow" w:cs="Calibri"/>
                <w:b/>
                <w:color w:val="FFFFFF"/>
                <w:sz w:val="20"/>
                <w:szCs w:val="20"/>
              </w:rPr>
              <w:t>Buxheti, Euro</w:t>
            </w:r>
          </w:p>
        </w:tc>
        <w:tc>
          <w:tcPr>
            <w:tcW w:w="666" w:type="pct"/>
            <w:shd w:val="clear" w:color="auto" w:fill="365F91"/>
            <w:tcMar>
              <w:left w:w="72" w:type="dxa"/>
              <w:right w:w="72" w:type="dxa"/>
            </w:tcMar>
          </w:tcPr>
          <w:p w14:paraId="0278B658" w14:textId="101EAEE2" w:rsidR="0067343B" w:rsidRPr="0067343B" w:rsidRDefault="0067343B" w:rsidP="0067343B">
            <w:pPr>
              <w:widowControl w:val="0"/>
              <w:suppressAutoHyphens/>
              <w:autoSpaceDE w:val="0"/>
              <w:autoSpaceDN w:val="0"/>
              <w:spacing w:before="60" w:after="60"/>
              <w:jc w:val="center"/>
              <w:rPr>
                <w:rFonts w:ascii="Arial Narrow" w:eastAsia="Calibri" w:hAnsi="Arial Narrow" w:cs="Calibri"/>
                <w:b/>
                <w:color w:val="FFFFFF"/>
                <w:sz w:val="20"/>
                <w:szCs w:val="20"/>
              </w:rPr>
            </w:pPr>
            <w:r w:rsidRPr="0067343B">
              <w:rPr>
                <w:rFonts w:ascii="Arial Narrow" w:eastAsia="Calibri" w:hAnsi="Arial Narrow" w:cs="Calibri"/>
                <w:b/>
                <w:color w:val="FFFFFF"/>
                <w:sz w:val="20"/>
                <w:szCs w:val="20"/>
              </w:rPr>
              <w:t>Burimi i financimit</w:t>
            </w:r>
          </w:p>
        </w:tc>
        <w:tc>
          <w:tcPr>
            <w:tcW w:w="838" w:type="pct"/>
            <w:shd w:val="clear" w:color="auto" w:fill="365F91"/>
            <w:tcMar>
              <w:left w:w="72" w:type="dxa"/>
              <w:right w:w="72" w:type="dxa"/>
            </w:tcMar>
          </w:tcPr>
          <w:p w14:paraId="6BF806C3" w14:textId="0684BA68" w:rsidR="0067343B" w:rsidRPr="0067343B" w:rsidRDefault="0067343B" w:rsidP="0067343B">
            <w:pPr>
              <w:widowControl w:val="0"/>
              <w:suppressAutoHyphens/>
              <w:autoSpaceDE w:val="0"/>
              <w:autoSpaceDN w:val="0"/>
              <w:spacing w:before="60" w:after="60"/>
              <w:jc w:val="center"/>
              <w:rPr>
                <w:rFonts w:ascii="Arial Narrow" w:eastAsia="Calibri" w:hAnsi="Arial Narrow" w:cs="Calibri"/>
                <w:b/>
                <w:color w:val="FFFFFF"/>
                <w:sz w:val="20"/>
                <w:szCs w:val="20"/>
              </w:rPr>
            </w:pPr>
            <w:r w:rsidRPr="0067343B">
              <w:rPr>
                <w:rFonts w:ascii="Arial Narrow" w:eastAsia="Calibri" w:hAnsi="Arial Narrow" w:cs="Calibri"/>
                <w:b/>
                <w:color w:val="FFFFFF"/>
                <w:sz w:val="20"/>
                <w:szCs w:val="20"/>
              </w:rPr>
              <w:t>Përgjegjësia</w:t>
            </w:r>
          </w:p>
        </w:tc>
        <w:tc>
          <w:tcPr>
            <w:tcW w:w="829" w:type="pct"/>
            <w:shd w:val="clear" w:color="auto" w:fill="365F91"/>
            <w:tcMar>
              <w:left w:w="72" w:type="dxa"/>
              <w:right w:w="72" w:type="dxa"/>
            </w:tcMar>
          </w:tcPr>
          <w:p w14:paraId="25285AE8" w14:textId="06D29AA3" w:rsidR="0067343B" w:rsidRPr="0067343B" w:rsidRDefault="0067343B" w:rsidP="0067343B">
            <w:pPr>
              <w:widowControl w:val="0"/>
              <w:suppressAutoHyphens/>
              <w:autoSpaceDE w:val="0"/>
              <w:autoSpaceDN w:val="0"/>
              <w:spacing w:before="60" w:after="60"/>
              <w:jc w:val="center"/>
              <w:rPr>
                <w:rFonts w:ascii="Arial Narrow" w:eastAsia="Calibri" w:hAnsi="Arial Narrow" w:cs="Calibri"/>
                <w:b/>
                <w:color w:val="FFFFFF"/>
                <w:sz w:val="20"/>
                <w:szCs w:val="20"/>
              </w:rPr>
            </w:pPr>
            <w:r w:rsidRPr="0067343B">
              <w:rPr>
                <w:rFonts w:ascii="Arial Narrow" w:eastAsia="Calibri" w:hAnsi="Arial Narrow" w:cs="Calibri"/>
                <w:b/>
                <w:color w:val="FFFFFF"/>
                <w:sz w:val="20"/>
                <w:szCs w:val="20"/>
              </w:rPr>
              <w:t>Treguesi i performancës/shtylla</w:t>
            </w:r>
          </w:p>
        </w:tc>
      </w:tr>
      <w:tr w:rsidR="00800D8F" w:rsidRPr="007D1EDC" w14:paraId="7F105BF6" w14:textId="77777777" w:rsidTr="0067343B">
        <w:trPr>
          <w:cantSplit/>
        </w:trPr>
        <w:tc>
          <w:tcPr>
            <w:tcW w:w="260" w:type="pct"/>
            <w:shd w:val="clear" w:color="auto" w:fill="C1E4F5"/>
            <w:tcMar>
              <w:left w:w="72" w:type="dxa"/>
              <w:right w:w="72" w:type="dxa"/>
            </w:tcMar>
          </w:tcPr>
          <w:p w14:paraId="29B90986"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1.</w:t>
            </w:r>
          </w:p>
        </w:tc>
        <w:tc>
          <w:tcPr>
            <w:tcW w:w="1367" w:type="pct"/>
            <w:shd w:val="clear" w:color="auto" w:fill="C1E4F5"/>
            <w:tcMar>
              <w:left w:w="72" w:type="dxa"/>
              <w:right w:w="72" w:type="dxa"/>
            </w:tcMar>
          </w:tcPr>
          <w:p w14:paraId="3AAF1267" w14:textId="39D8A790"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Prioritet - Parandalimi i Mbet</w:t>
            </w:r>
            <w:r w:rsidR="0067343B">
              <w:rPr>
                <w:rFonts w:ascii="Arial Narrow" w:eastAsia="Calibri" w:hAnsi="Arial Narrow" w:cs="Calibri"/>
                <w:b/>
                <w:bCs/>
                <w:sz w:val="20"/>
                <w:szCs w:val="20"/>
              </w:rPr>
              <w:t>urinave</w:t>
            </w:r>
          </w:p>
        </w:tc>
        <w:tc>
          <w:tcPr>
            <w:tcW w:w="462" w:type="pct"/>
            <w:shd w:val="clear" w:color="auto" w:fill="C1E4F5"/>
            <w:tcMar>
              <w:left w:w="72" w:type="dxa"/>
              <w:right w:w="72" w:type="dxa"/>
            </w:tcMar>
          </w:tcPr>
          <w:p w14:paraId="6961C026"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p>
        </w:tc>
        <w:tc>
          <w:tcPr>
            <w:tcW w:w="578" w:type="pct"/>
            <w:shd w:val="clear" w:color="auto" w:fill="C1E4F5"/>
            <w:tcMar>
              <w:left w:w="72" w:type="dxa"/>
              <w:right w:w="72" w:type="dxa"/>
            </w:tcMar>
          </w:tcPr>
          <w:p w14:paraId="66155DA0"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p>
        </w:tc>
        <w:tc>
          <w:tcPr>
            <w:tcW w:w="666" w:type="pct"/>
            <w:shd w:val="clear" w:color="auto" w:fill="C1E4F5"/>
            <w:tcMar>
              <w:left w:w="72" w:type="dxa"/>
              <w:right w:w="72" w:type="dxa"/>
            </w:tcMar>
          </w:tcPr>
          <w:p w14:paraId="5CB5AB93"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p>
        </w:tc>
        <w:tc>
          <w:tcPr>
            <w:tcW w:w="838" w:type="pct"/>
            <w:shd w:val="clear" w:color="auto" w:fill="C1E4F5"/>
            <w:tcMar>
              <w:left w:w="72" w:type="dxa"/>
              <w:right w:w="72" w:type="dxa"/>
            </w:tcMar>
          </w:tcPr>
          <w:p w14:paraId="4084082F"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p>
        </w:tc>
        <w:tc>
          <w:tcPr>
            <w:tcW w:w="829" w:type="pct"/>
            <w:shd w:val="clear" w:color="auto" w:fill="C1E4F5"/>
            <w:tcMar>
              <w:left w:w="72" w:type="dxa"/>
              <w:right w:w="72" w:type="dxa"/>
            </w:tcMar>
          </w:tcPr>
          <w:p w14:paraId="243ACE7D"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p>
        </w:tc>
      </w:tr>
      <w:tr w:rsidR="00800D8F" w:rsidRPr="007D1EDC" w14:paraId="473E993A" w14:textId="77777777" w:rsidTr="0067343B">
        <w:trPr>
          <w:cantSplit/>
        </w:trPr>
        <w:tc>
          <w:tcPr>
            <w:tcW w:w="260" w:type="pct"/>
            <w:tcMar>
              <w:left w:w="72" w:type="dxa"/>
              <w:right w:w="72" w:type="dxa"/>
            </w:tcMar>
          </w:tcPr>
          <w:p w14:paraId="31A4E24E" w14:textId="77777777" w:rsidR="0067343B" w:rsidRPr="007D1EDC" w:rsidRDefault="0067343B" w:rsidP="0067343B">
            <w:pPr>
              <w:widowControl w:val="0"/>
              <w:numPr>
                <w:ilvl w:val="0"/>
                <w:numId w:val="39"/>
              </w:numPr>
              <w:suppressAutoHyphens/>
              <w:autoSpaceDE w:val="0"/>
              <w:autoSpaceDN w:val="0"/>
              <w:spacing w:before="60" w:after="60"/>
              <w:ind w:right="130"/>
              <w:contextualSpacing/>
              <w:rPr>
                <w:rFonts w:ascii="Arial Narrow" w:eastAsia="Aptos" w:hAnsi="Arial Narrow" w:cs="Arial"/>
                <w:bCs/>
                <w:sz w:val="20"/>
                <w:szCs w:val="20"/>
                <w:lang w:val="en-GB" w:eastAsia="uk-UA"/>
              </w:rPr>
            </w:pPr>
          </w:p>
        </w:tc>
        <w:tc>
          <w:tcPr>
            <w:tcW w:w="1367" w:type="pct"/>
            <w:tcMar>
              <w:left w:w="72" w:type="dxa"/>
              <w:right w:w="72" w:type="dxa"/>
            </w:tcMar>
          </w:tcPr>
          <w:p w14:paraId="1D8AA095" w14:textId="4526124C" w:rsidR="0067343B" w:rsidRPr="0067343B" w:rsidRDefault="0067343B" w:rsidP="0067343B">
            <w:pPr>
              <w:widowControl w:val="0"/>
              <w:suppressAutoHyphens/>
              <w:autoSpaceDE w:val="0"/>
              <w:autoSpaceDN w:val="0"/>
              <w:spacing w:before="60" w:after="60"/>
              <w:ind w:right="130"/>
              <w:rPr>
                <w:rFonts w:ascii="Arial Narrow" w:eastAsia="Calibri" w:hAnsi="Arial Narrow" w:cs="Calibri"/>
                <w:sz w:val="20"/>
                <w:szCs w:val="20"/>
                <w:lang w:val="bg-BG"/>
              </w:rPr>
            </w:pPr>
            <w:r w:rsidRPr="0067343B">
              <w:rPr>
                <w:rFonts w:ascii="Arial Narrow" w:eastAsia="Aptos" w:hAnsi="Arial Narrow" w:cs="Arial"/>
                <w:bCs/>
                <w:sz w:val="20"/>
                <w:szCs w:val="20"/>
                <w:lang w:eastAsia="uk-UA"/>
              </w:rPr>
              <w:t>Zhvillimi dhe zbatimi i programeve të kompostimit shtëpiak /shpërndarja e kompostuesve shtëpiak tek amvisëritëe</w:t>
            </w:r>
          </w:p>
        </w:tc>
        <w:tc>
          <w:tcPr>
            <w:tcW w:w="462" w:type="pct"/>
            <w:tcMar>
              <w:left w:w="72" w:type="dxa"/>
              <w:right w:w="72" w:type="dxa"/>
            </w:tcMar>
          </w:tcPr>
          <w:p w14:paraId="6A3F2A3A" w14:textId="5F847FD2" w:rsidR="0067343B" w:rsidRPr="0067343B" w:rsidRDefault="0067343B" w:rsidP="0067343B">
            <w:pPr>
              <w:widowControl w:val="0"/>
              <w:suppressAutoHyphens/>
              <w:autoSpaceDE w:val="0"/>
              <w:autoSpaceDN w:val="0"/>
              <w:spacing w:before="60" w:after="60"/>
              <w:ind w:right="123"/>
              <w:rPr>
                <w:rFonts w:ascii="Arial Narrow" w:eastAsia="Calibri" w:hAnsi="Arial Narrow" w:cs="Calibri"/>
                <w:sz w:val="20"/>
                <w:szCs w:val="20"/>
              </w:rPr>
            </w:pPr>
            <w:r w:rsidRPr="0067343B">
              <w:rPr>
                <w:rFonts w:ascii="Arial Narrow" w:eastAsia="Aptos" w:hAnsi="Arial Narrow" w:cs="Arial"/>
                <w:bCs/>
                <w:sz w:val="20"/>
                <w:szCs w:val="20"/>
                <w:lang w:eastAsia="uk-UA"/>
              </w:rPr>
              <w:t>Çdo vit</w:t>
            </w:r>
          </w:p>
        </w:tc>
        <w:tc>
          <w:tcPr>
            <w:tcW w:w="578" w:type="pct"/>
            <w:tcMar>
              <w:left w:w="72" w:type="dxa"/>
              <w:right w:w="72" w:type="dxa"/>
            </w:tcMar>
          </w:tcPr>
          <w:p w14:paraId="1443D275" w14:textId="20C61D4A" w:rsidR="0067343B" w:rsidRPr="0067343B" w:rsidRDefault="0067343B" w:rsidP="0067343B">
            <w:pPr>
              <w:widowControl w:val="0"/>
              <w:suppressAutoHyphens/>
              <w:autoSpaceDE w:val="0"/>
              <w:autoSpaceDN w:val="0"/>
              <w:spacing w:before="60" w:after="60"/>
              <w:ind w:right="123"/>
              <w:rPr>
                <w:rFonts w:ascii="Arial Narrow" w:eastAsia="Calibri" w:hAnsi="Arial Narrow" w:cs="Calibri"/>
                <w:sz w:val="20"/>
                <w:szCs w:val="20"/>
              </w:rPr>
            </w:pPr>
            <w:r w:rsidRPr="0067343B">
              <w:rPr>
                <w:rFonts w:ascii="Arial Narrow" w:eastAsia="Aptos" w:hAnsi="Arial Narrow" w:cs="Arial"/>
                <w:bCs/>
                <w:sz w:val="20"/>
                <w:szCs w:val="20"/>
                <w:lang w:eastAsia="uk-UA"/>
              </w:rPr>
              <w:t>Në kuadër të buxheteve të alokuara në planet komunale për menaxhimin e mbeturinave</w:t>
            </w:r>
          </w:p>
        </w:tc>
        <w:tc>
          <w:tcPr>
            <w:tcW w:w="666" w:type="pct"/>
            <w:tcMar>
              <w:left w:w="72" w:type="dxa"/>
              <w:right w:w="72" w:type="dxa"/>
            </w:tcMar>
          </w:tcPr>
          <w:p w14:paraId="08ED8EC0" w14:textId="21AD08AD" w:rsidR="0067343B" w:rsidRPr="0067343B" w:rsidRDefault="0067343B" w:rsidP="0067343B">
            <w:pPr>
              <w:widowControl w:val="0"/>
              <w:suppressAutoHyphens/>
              <w:autoSpaceDE w:val="0"/>
              <w:autoSpaceDN w:val="0"/>
              <w:spacing w:before="60" w:after="60"/>
              <w:ind w:right="123"/>
              <w:rPr>
                <w:rFonts w:ascii="Arial Narrow" w:eastAsia="Calibri" w:hAnsi="Arial Narrow" w:cs="Calibri"/>
                <w:sz w:val="20"/>
                <w:szCs w:val="20"/>
              </w:rPr>
            </w:pPr>
            <w:r w:rsidRPr="0067343B">
              <w:rPr>
                <w:rFonts w:ascii="Arial Narrow" w:eastAsia="Aptos" w:hAnsi="Arial Narrow" w:cs="Arial"/>
                <w:bCs/>
                <w:sz w:val="20"/>
                <w:szCs w:val="20"/>
                <w:lang w:eastAsia="uk-UA"/>
              </w:rPr>
              <w:t>Buxhetet e komunave</w:t>
            </w:r>
          </w:p>
        </w:tc>
        <w:tc>
          <w:tcPr>
            <w:tcW w:w="838" w:type="pct"/>
            <w:tcMar>
              <w:left w:w="72" w:type="dxa"/>
              <w:right w:w="72" w:type="dxa"/>
            </w:tcMar>
          </w:tcPr>
          <w:p w14:paraId="1C8A10BA" w14:textId="5D59962A" w:rsidR="0067343B" w:rsidRPr="0067343B" w:rsidRDefault="0067343B" w:rsidP="0067343B">
            <w:pPr>
              <w:widowControl w:val="0"/>
              <w:suppressAutoHyphens/>
              <w:autoSpaceDE w:val="0"/>
              <w:autoSpaceDN w:val="0"/>
              <w:spacing w:before="60" w:after="60"/>
              <w:ind w:right="123"/>
              <w:rPr>
                <w:rFonts w:ascii="Arial Narrow" w:eastAsia="Calibri" w:hAnsi="Arial Narrow" w:cs="Calibri"/>
                <w:sz w:val="20"/>
                <w:szCs w:val="20"/>
              </w:rPr>
            </w:pPr>
            <w:r w:rsidRPr="0067343B">
              <w:rPr>
                <w:rFonts w:ascii="Arial Narrow" w:eastAsia="Aptos" w:hAnsi="Arial Narrow" w:cs="Arial"/>
                <w:bCs/>
                <w:sz w:val="20"/>
                <w:szCs w:val="20"/>
                <w:lang w:eastAsia="uk-UA"/>
              </w:rPr>
              <w:t>Të gjitha komunat</w:t>
            </w:r>
          </w:p>
        </w:tc>
        <w:tc>
          <w:tcPr>
            <w:tcW w:w="829" w:type="pct"/>
            <w:tcMar>
              <w:left w:w="72" w:type="dxa"/>
              <w:right w:w="72" w:type="dxa"/>
            </w:tcMar>
          </w:tcPr>
          <w:p w14:paraId="77B07327" w14:textId="25635C0B" w:rsidR="0067343B" w:rsidRPr="0067343B" w:rsidRDefault="0067343B" w:rsidP="0067343B">
            <w:pPr>
              <w:widowControl w:val="0"/>
              <w:suppressAutoHyphens/>
              <w:autoSpaceDE w:val="0"/>
              <w:autoSpaceDN w:val="0"/>
              <w:spacing w:before="60" w:after="60"/>
              <w:ind w:right="123"/>
              <w:rPr>
                <w:rFonts w:ascii="Arial Narrow" w:eastAsia="Calibri" w:hAnsi="Arial Narrow" w:cs="Calibri"/>
                <w:sz w:val="20"/>
                <w:szCs w:val="20"/>
              </w:rPr>
            </w:pPr>
            <w:r w:rsidRPr="0067343B">
              <w:rPr>
                <w:rFonts w:ascii="Arial Narrow" w:eastAsia="Aptos" w:hAnsi="Arial Narrow" w:cs="Arial"/>
                <w:bCs/>
                <w:sz w:val="20"/>
                <w:szCs w:val="20"/>
                <w:lang w:eastAsia="uk-UA"/>
              </w:rPr>
              <w:t>Numri i familjeve që zbatojnë kompostimin shtëpiak</w:t>
            </w:r>
          </w:p>
        </w:tc>
      </w:tr>
      <w:tr w:rsidR="00800D8F" w:rsidRPr="007D1EDC" w14:paraId="7FDB1009" w14:textId="77777777" w:rsidTr="0067343B">
        <w:trPr>
          <w:cantSplit/>
        </w:trPr>
        <w:tc>
          <w:tcPr>
            <w:tcW w:w="260" w:type="pct"/>
            <w:tcMar>
              <w:left w:w="72" w:type="dxa"/>
              <w:right w:w="72" w:type="dxa"/>
            </w:tcMar>
          </w:tcPr>
          <w:p w14:paraId="47891BDD" w14:textId="77777777" w:rsidR="0067343B" w:rsidRPr="009F5CA1" w:rsidRDefault="0067343B" w:rsidP="0067343B">
            <w:pPr>
              <w:widowControl w:val="0"/>
              <w:numPr>
                <w:ilvl w:val="0"/>
                <w:numId w:val="39"/>
              </w:numPr>
              <w:suppressAutoHyphens/>
              <w:autoSpaceDE w:val="0"/>
              <w:autoSpaceDN w:val="0"/>
              <w:spacing w:before="60" w:after="60"/>
              <w:ind w:right="130"/>
              <w:contextualSpacing/>
              <w:rPr>
                <w:rFonts w:ascii="Arial Narrow" w:eastAsia="Aptos" w:hAnsi="Arial Narrow" w:cs="Arial"/>
                <w:bCs/>
                <w:sz w:val="20"/>
                <w:szCs w:val="20"/>
                <w:lang w:eastAsia="uk-UA"/>
              </w:rPr>
            </w:pPr>
          </w:p>
        </w:tc>
        <w:tc>
          <w:tcPr>
            <w:tcW w:w="1367" w:type="pct"/>
            <w:tcMar>
              <w:left w:w="72" w:type="dxa"/>
              <w:right w:w="72" w:type="dxa"/>
            </w:tcMar>
          </w:tcPr>
          <w:p w14:paraId="71FEC64C" w14:textId="5C172292" w:rsidR="0067343B" w:rsidRPr="0067343B" w:rsidRDefault="0067343B" w:rsidP="0067343B">
            <w:pPr>
              <w:widowControl w:val="0"/>
              <w:suppressAutoHyphens/>
              <w:autoSpaceDE w:val="0"/>
              <w:autoSpaceDN w:val="0"/>
              <w:spacing w:before="60" w:after="60"/>
              <w:ind w:right="130"/>
              <w:rPr>
                <w:rFonts w:ascii="Arial Narrow" w:eastAsia="Aptos" w:hAnsi="Arial Narrow" w:cs="Arial"/>
                <w:bCs/>
                <w:sz w:val="20"/>
                <w:szCs w:val="20"/>
                <w:lang w:eastAsia="uk-UA"/>
              </w:rPr>
            </w:pPr>
            <w:r w:rsidRPr="0067343B">
              <w:rPr>
                <w:rFonts w:ascii="Arial Narrow" w:eastAsia="Aptos" w:hAnsi="Arial Narrow" w:cs="Arial"/>
                <w:bCs/>
                <w:sz w:val="20"/>
                <w:szCs w:val="20"/>
                <w:lang w:eastAsia="uk-UA"/>
              </w:rPr>
              <w:t>Aktivitete ndërgjegjësuese lidhur me zhvillimin dhe zbatimin e programeve të kompostimit shtëpiak</w:t>
            </w:r>
          </w:p>
        </w:tc>
        <w:tc>
          <w:tcPr>
            <w:tcW w:w="462" w:type="pct"/>
            <w:tcMar>
              <w:left w:w="72" w:type="dxa"/>
              <w:right w:w="72" w:type="dxa"/>
            </w:tcMar>
          </w:tcPr>
          <w:p w14:paraId="560A49B8" w14:textId="620FE65A" w:rsidR="0067343B" w:rsidRPr="0067343B" w:rsidRDefault="0067343B" w:rsidP="0067343B">
            <w:pPr>
              <w:widowControl w:val="0"/>
              <w:suppressAutoHyphens/>
              <w:autoSpaceDE w:val="0"/>
              <w:autoSpaceDN w:val="0"/>
              <w:spacing w:before="60" w:after="60"/>
              <w:ind w:right="123"/>
              <w:rPr>
                <w:rFonts w:ascii="Arial Narrow" w:eastAsia="Aptos" w:hAnsi="Arial Narrow" w:cs="Arial"/>
                <w:bCs/>
                <w:sz w:val="20"/>
                <w:szCs w:val="20"/>
                <w:lang w:eastAsia="uk-UA"/>
              </w:rPr>
            </w:pPr>
            <w:r w:rsidRPr="0067343B">
              <w:rPr>
                <w:rFonts w:ascii="Arial Narrow" w:eastAsia="Aptos" w:hAnsi="Arial Narrow" w:cs="Arial"/>
                <w:bCs/>
                <w:sz w:val="20"/>
                <w:szCs w:val="20"/>
                <w:lang w:eastAsia="uk-UA"/>
              </w:rPr>
              <w:t>Çdo vit</w:t>
            </w:r>
          </w:p>
        </w:tc>
        <w:tc>
          <w:tcPr>
            <w:tcW w:w="578" w:type="pct"/>
            <w:tcMar>
              <w:left w:w="72" w:type="dxa"/>
              <w:right w:w="72" w:type="dxa"/>
            </w:tcMar>
          </w:tcPr>
          <w:p w14:paraId="63BAF846" w14:textId="34E5093B" w:rsidR="0067343B" w:rsidRPr="0067343B" w:rsidRDefault="0067343B" w:rsidP="0067343B">
            <w:pPr>
              <w:widowControl w:val="0"/>
              <w:suppressAutoHyphens/>
              <w:autoSpaceDE w:val="0"/>
              <w:autoSpaceDN w:val="0"/>
              <w:spacing w:before="60" w:after="60"/>
              <w:ind w:right="123"/>
              <w:rPr>
                <w:rFonts w:ascii="Arial Narrow" w:eastAsia="Aptos" w:hAnsi="Arial Narrow" w:cs="Arial"/>
                <w:bCs/>
                <w:sz w:val="20"/>
                <w:szCs w:val="20"/>
                <w:lang w:eastAsia="uk-UA"/>
              </w:rPr>
            </w:pPr>
            <w:r w:rsidRPr="0067343B">
              <w:rPr>
                <w:rFonts w:ascii="Arial Narrow" w:eastAsia="Aptos" w:hAnsi="Arial Narrow" w:cs="Arial"/>
                <w:bCs/>
                <w:sz w:val="20"/>
                <w:szCs w:val="20"/>
                <w:lang w:eastAsia="uk-UA"/>
              </w:rPr>
              <w:t>Në kuadër të buxheteve të alokuara në planet komunale për menaxhimin e mbeturinave</w:t>
            </w:r>
          </w:p>
        </w:tc>
        <w:tc>
          <w:tcPr>
            <w:tcW w:w="666" w:type="pct"/>
            <w:tcMar>
              <w:left w:w="72" w:type="dxa"/>
              <w:right w:w="72" w:type="dxa"/>
            </w:tcMar>
          </w:tcPr>
          <w:p w14:paraId="16D38CDE" w14:textId="0033730E" w:rsidR="0067343B" w:rsidRPr="0067343B" w:rsidRDefault="0067343B" w:rsidP="0067343B">
            <w:pPr>
              <w:widowControl w:val="0"/>
              <w:suppressAutoHyphens/>
              <w:autoSpaceDE w:val="0"/>
              <w:autoSpaceDN w:val="0"/>
              <w:spacing w:before="60" w:after="60"/>
              <w:ind w:right="123"/>
              <w:rPr>
                <w:rFonts w:ascii="Arial Narrow" w:eastAsia="Aptos" w:hAnsi="Arial Narrow" w:cs="Arial"/>
                <w:bCs/>
                <w:sz w:val="20"/>
                <w:szCs w:val="20"/>
                <w:lang w:eastAsia="uk-UA"/>
              </w:rPr>
            </w:pPr>
            <w:r w:rsidRPr="0067343B">
              <w:rPr>
                <w:rFonts w:ascii="Arial Narrow" w:eastAsia="Aptos" w:hAnsi="Arial Narrow" w:cs="Arial"/>
                <w:bCs/>
                <w:sz w:val="20"/>
                <w:szCs w:val="20"/>
                <w:lang w:eastAsia="uk-UA"/>
              </w:rPr>
              <w:t>Buxhetet e komunave</w:t>
            </w:r>
          </w:p>
        </w:tc>
        <w:tc>
          <w:tcPr>
            <w:tcW w:w="838" w:type="pct"/>
            <w:tcMar>
              <w:left w:w="72" w:type="dxa"/>
              <w:right w:w="72" w:type="dxa"/>
            </w:tcMar>
          </w:tcPr>
          <w:p w14:paraId="4CCFE8A7" w14:textId="12AF51A5" w:rsidR="0067343B" w:rsidRPr="0067343B" w:rsidRDefault="0067343B" w:rsidP="0067343B">
            <w:pPr>
              <w:widowControl w:val="0"/>
              <w:suppressAutoHyphens/>
              <w:autoSpaceDE w:val="0"/>
              <w:autoSpaceDN w:val="0"/>
              <w:spacing w:before="60" w:after="60"/>
              <w:ind w:right="123"/>
              <w:rPr>
                <w:rFonts w:ascii="Arial Narrow" w:eastAsia="Aptos" w:hAnsi="Arial Narrow" w:cs="Arial"/>
                <w:bCs/>
                <w:sz w:val="20"/>
                <w:szCs w:val="20"/>
                <w:lang w:eastAsia="uk-UA"/>
              </w:rPr>
            </w:pPr>
            <w:r w:rsidRPr="0067343B">
              <w:rPr>
                <w:rFonts w:ascii="Arial Narrow" w:eastAsia="Aptos" w:hAnsi="Arial Narrow" w:cs="Arial"/>
                <w:bCs/>
                <w:sz w:val="20"/>
                <w:szCs w:val="20"/>
                <w:lang w:eastAsia="uk-UA"/>
              </w:rPr>
              <w:t>Të gjitha komunat</w:t>
            </w:r>
          </w:p>
        </w:tc>
        <w:tc>
          <w:tcPr>
            <w:tcW w:w="829" w:type="pct"/>
            <w:tcMar>
              <w:left w:w="72" w:type="dxa"/>
              <w:right w:w="72" w:type="dxa"/>
            </w:tcMar>
          </w:tcPr>
          <w:p w14:paraId="5F1D3DDC" w14:textId="10AA3D49" w:rsidR="0067343B" w:rsidRPr="0067343B" w:rsidRDefault="0067343B" w:rsidP="0067343B">
            <w:pPr>
              <w:widowControl w:val="0"/>
              <w:suppressAutoHyphens/>
              <w:autoSpaceDE w:val="0"/>
              <w:autoSpaceDN w:val="0"/>
              <w:spacing w:before="60" w:after="60"/>
              <w:ind w:right="123"/>
              <w:rPr>
                <w:rFonts w:ascii="Arial Narrow" w:eastAsia="Aptos" w:hAnsi="Arial Narrow" w:cs="Arial"/>
                <w:bCs/>
                <w:sz w:val="20"/>
                <w:szCs w:val="20"/>
                <w:lang w:eastAsia="uk-UA"/>
              </w:rPr>
            </w:pPr>
            <w:r w:rsidRPr="0067343B">
              <w:rPr>
                <w:rFonts w:ascii="Arial Narrow" w:eastAsia="Aptos" w:hAnsi="Arial Narrow" w:cs="Arial"/>
                <w:bCs/>
                <w:sz w:val="20"/>
                <w:szCs w:val="20"/>
                <w:lang w:eastAsia="uk-UA"/>
              </w:rPr>
              <w:t>Numri i familjeve që zbatojnë kompostimin shtëpiak</w:t>
            </w:r>
          </w:p>
        </w:tc>
      </w:tr>
      <w:tr w:rsidR="00800D8F" w:rsidRPr="007D1EDC" w14:paraId="625A6FF4" w14:textId="77777777" w:rsidTr="0067343B">
        <w:trPr>
          <w:cantSplit/>
        </w:trPr>
        <w:tc>
          <w:tcPr>
            <w:tcW w:w="260" w:type="pct"/>
            <w:tcMar>
              <w:left w:w="72" w:type="dxa"/>
              <w:right w:w="72" w:type="dxa"/>
            </w:tcMar>
          </w:tcPr>
          <w:p w14:paraId="120337C9" w14:textId="77777777" w:rsidR="0067343B" w:rsidRPr="009F5CA1" w:rsidRDefault="0067343B" w:rsidP="0067343B">
            <w:pPr>
              <w:widowControl w:val="0"/>
              <w:numPr>
                <w:ilvl w:val="0"/>
                <w:numId w:val="39"/>
              </w:numPr>
              <w:suppressAutoHyphens/>
              <w:autoSpaceDE w:val="0"/>
              <w:autoSpaceDN w:val="0"/>
              <w:spacing w:before="60" w:after="60"/>
              <w:ind w:right="130"/>
              <w:contextualSpacing/>
              <w:rPr>
                <w:rFonts w:ascii="Arial Narrow" w:eastAsia="Aptos" w:hAnsi="Arial Narrow" w:cs="Arial"/>
                <w:bCs/>
                <w:sz w:val="20"/>
                <w:szCs w:val="20"/>
                <w:lang w:eastAsia="uk-UA"/>
              </w:rPr>
            </w:pPr>
          </w:p>
        </w:tc>
        <w:tc>
          <w:tcPr>
            <w:tcW w:w="1367" w:type="pct"/>
            <w:tcMar>
              <w:left w:w="72" w:type="dxa"/>
              <w:right w:w="72" w:type="dxa"/>
            </w:tcMar>
          </w:tcPr>
          <w:p w14:paraId="207FE014" w14:textId="1CAB96E7" w:rsidR="0067343B" w:rsidRPr="0067343B" w:rsidRDefault="0067343B" w:rsidP="0067343B">
            <w:pPr>
              <w:widowControl w:val="0"/>
              <w:suppressAutoHyphens/>
              <w:autoSpaceDE w:val="0"/>
              <w:autoSpaceDN w:val="0"/>
              <w:spacing w:before="60" w:after="60"/>
              <w:ind w:right="123"/>
              <w:rPr>
                <w:rFonts w:ascii="Arial Narrow" w:eastAsia="Calibri" w:hAnsi="Arial Narrow" w:cs="Calibri"/>
                <w:sz w:val="20"/>
                <w:szCs w:val="20"/>
              </w:rPr>
            </w:pPr>
            <w:r w:rsidRPr="0067343B">
              <w:rPr>
                <w:rFonts w:ascii="Arial Narrow" w:eastAsia="Aptos" w:hAnsi="Arial Narrow" w:cs="Arial"/>
                <w:bCs/>
                <w:sz w:val="20"/>
                <w:szCs w:val="20"/>
                <w:lang w:eastAsia="uk-UA"/>
              </w:rPr>
              <w:t>Miratimi i udhëzuesve për prokurimin publik të gjelbër</w:t>
            </w:r>
          </w:p>
        </w:tc>
        <w:tc>
          <w:tcPr>
            <w:tcW w:w="462" w:type="pct"/>
            <w:tcMar>
              <w:left w:w="72" w:type="dxa"/>
              <w:right w:w="72" w:type="dxa"/>
            </w:tcMar>
          </w:tcPr>
          <w:p w14:paraId="64C432BC" w14:textId="1BA6A8EB" w:rsidR="0067343B" w:rsidRPr="0067343B" w:rsidRDefault="0067343B" w:rsidP="0067343B">
            <w:pPr>
              <w:widowControl w:val="0"/>
              <w:suppressAutoHyphens/>
              <w:autoSpaceDE w:val="0"/>
              <w:autoSpaceDN w:val="0"/>
              <w:spacing w:before="60" w:after="60"/>
              <w:ind w:right="123"/>
              <w:rPr>
                <w:rFonts w:ascii="Arial Narrow" w:eastAsia="Calibri" w:hAnsi="Arial Narrow" w:cs="Calibri"/>
                <w:sz w:val="20"/>
                <w:szCs w:val="20"/>
              </w:rPr>
            </w:pPr>
            <w:r w:rsidRPr="0067343B">
              <w:rPr>
                <w:rFonts w:ascii="Arial Narrow" w:eastAsia="Aptos" w:hAnsi="Arial Narrow" w:cs="Arial"/>
                <w:bCs/>
                <w:sz w:val="20"/>
                <w:szCs w:val="20"/>
                <w:lang w:eastAsia="uk-UA"/>
              </w:rPr>
              <w:t>2026</w:t>
            </w:r>
          </w:p>
        </w:tc>
        <w:tc>
          <w:tcPr>
            <w:tcW w:w="578" w:type="pct"/>
            <w:tcMar>
              <w:left w:w="72" w:type="dxa"/>
              <w:right w:w="72" w:type="dxa"/>
            </w:tcMar>
          </w:tcPr>
          <w:p w14:paraId="55DB3D79" w14:textId="31D12DE2" w:rsidR="0067343B" w:rsidRPr="0067343B" w:rsidRDefault="0067343B" w:rsidP="0067343B">
            <w:pPr>
              <w:widowControl w:val="0"/>
              <w:suppressAutoHyphens/>
              <w:autoSpaceDE w:val="0"/>
              <w:autoSpaceDN w:val="0"/>
              <w:spacing w:before="60" w:after="60"/>
              <w:ind w:right="123"/>
              <w:rPr>
                <w:rFonts w:ascii="Arial Narrow" w:eastAsia="Calibri" w:hAnsi="Arial Narrow" w:cs="Calibri"/>
                <w:sz w:val="20"/>
                <w:szCs w:val="20"/>
              </w:rPr>
            </w:pPr>
            <w:r w:rsidRPr="0067343B">
              <w:rPr>
                <w:rFonts w:ascii="Arial Narrow" w:eastAsia="Aptos" w:hAnsi="Arial Narrow" w:cs="Arial"/>
                <w:bCs/>
                <w:sz w:val="20"/>
                <w:szCs w:val="20"/>
                <w:lang w:eastAsia="uk-UA"/>
              </w:rPr>
              <w:t>-</w:t>
            </w:r>
          </w:p>
        </w:tc>
        <w:tc>
          <w:tcPr>
            <w:tcW w:w="666" w:type="pct"/>
            <w:tcMar>
              <w:left w:w="72" w:type="dxa"/>
              <w:right w:w="72" w:type="dxa"/>
            </w:tcMar>
          </w:tcPr>
          <w:p w14:paraId="56D2295E" w14:textId="06059F0A" w:rsidR="0067343B" w:rsidRPr="0067343B" w:rsidRDefault="0067343B" w:rsidP="0067343B">
            <w:pPr>
              <w:widowControl w:val="0"/>
              <w:suppressAutoHyphens/>
              <w:autoSpaceDE w:val="0"/>
              <w:autoSpaceDN w:val="0"/>
              <w:spacing w:before="60" w:after="60"/>
              <w:ind w:right="123"/>
              <w:rPr>
                <w:rFonts w:ascii="Arial Narrow" w:eastAsia="Calibri" w:hAnsi="Arial Narrow" w:cs="Calibri"/>
                <w:sz w:val="20"/>
                <w:szCs w:val="20"/>
              </w:rPr>
            </w:pPr>
            <w:r w:rsidRPr="0067343B">
              <w:rPr>
                <w:rFonts w:ascii="Arial Narrow" w:eastAsia="Aptos" w:hAnsi="Arial Narrow" w:cs="Arial"/>
                <w:bCs/>
                <w:sz w:val="20"/>
                <w:szCs w:val="20"/>
                <w:lang w:eastAsia="uk-UA"/>
              </w:rPr>
              <w:t>-</w:t>
            </w:r>
          </w:p>
        </w:tc>
        <w:tc>
          <w:tcPr>
            <w:tcW w:w="838" w:type="pct"/>
            <w:tcMar>
              <w:left w:w="72" w:type="dxa"/>
              <w:right w:w="72" w:type="dxa"/>
            </w:tcMar>
          </w:tcPr>
          <w:p w14:paraId="5789CFE4" w14:textId="0EF9C66E" w:rsidR="0067343B" w:rsidRPr="0067343B" w:rsidRDefault="0067343B" w:rsidP="0067343B">
            <w:pPr>
              <w:widowControl w:val="0"/>
              <w:suppressAutoHyphens/>
              <w:autoSpaceDE w:val="0"/>
              <w:autoSpaceDN w:val="0"/>
              <w:spacing w:before="60" w:after="60"/>
              <w:ind w:right="123"/>
              <w:rPr>
                <w:rFonts w:ascii="Arial Narrow" w:eastAsia="Calibri" w:hAnsi="Arial Narrow" w:cs="Calibri"/>
                <w:sz w:val="20"/>
                <w:szCs w:val="20"/>
              </w:rPr>
            </w:pPr>
            <w:r w:rsidRPr="0067343B">
              <w:rPr>
                <w:rFonts w:ascii="Arial Narrow" w:eastAsia="Aptos" w:hAnsi="Arial Narrow" w:cs="Arial"/>
                <w:bCs/>
                <w:sz w:val="20"/>
                <w:szCs w:val="20"/>
                <w:lang w:eastAsia="uk-UA"/>
              </w:rPr>
              <w:t>Koordinator i MNK-së</w:t>
            </w:r>
          </w:p>
        </w:tc>
        <w:tc>
          <w:tcPr>
            <w:tcW w:w="829" w:type="pct"/>
            <w:tcMar>
              <w:left w:w="72" w:type="dxa"/>
              <w:right w:w="72" w:type="dxa"/>
            </w:tcMar>
          </w:tcPr>
          <w:p w14:paraId="5CF94860" w14:textId="2E385523" w:rsidR="0067343B" w:rsidRPr="0067343B" w:rsidRDefault="0067343B" w:rsidP="0067343B">
            <w:pPr>
              <w:widowControl w:val="0"/>
              <w:suppressAutoHyphens/>
              <w:autoSpaceDE w:val="0"/>
              <w:autoSpaceDN w:val="0"/>
              <w:spacing w:before="60" w:after="60"/>
              <w:ind w:right="123"/>
              <w:rPr>
                <w:rFonts w:ascii="Arial Narrow" w:eastAsia="Calibri" w:hAnsi="Arial Narrow" w:cs="Calibri"/>
                <w:sz w:val="20"/>
                <w:szCs w:val="20"/>
              </w:rPr>
            </w:pPr>
            <w:r w:rsidRPr="0067343B">
              <w:rPr>
                <w:rFonts w:ascii="Arial Narrow" w:eastAsia="Aptos" w:hAnsi="Arial Narrow" w:cs="Arial"/>
                <w:bCs/>
                <w:sz w:val="20"/>
                <w:szCs w:val="20"/>
                <w:lang w:eastAsia="uk-UA"/>
              </w:rPr>
              <w:t>Udhëzuesit e përgatitur dhe miratuar</w:t>
            </w:r>
            <w:r w:rsidRPr="0067343B">
              <w:rPr>
                <w:rFonts w:ascii="Arial Narrow" w:eastAsia="Aptos" w:hAnsi="Arial Narrow" w:cs="Arial"/>
                <w:bCs/>
                <w:sz w:val="20"/>
                <w:szCs w:val="20"/>
                <w:lang w:val="bg-BG" w:eastAsia="uk-UA"/>
              </w:rPr>
              <w:t xml:space="preserve"> </w:t>
            </w:r>
            <w:r w:rsidRPr="0067343B">
              <w:rPr>
                <w:rFonts w:ascii="Arial Narrow" w:eastAsia="Aptos" w:hAnsi="Arial Narrow" w:cs="Arial"/>
                <w:bCs/>
                <w:sz w:val="20"/>
                <w:szCs w:val="20"/>
                <w:lang w:eastAsia="uk-UA"/>
              </w:rPr>
              <w:t>nga secila komunë</w:t>
            </w:r>
          </w:p>
        </w:tc>
      </w:tr>
      <w:tr w:rsidR="00800D8F" w:rsidRPr="007D1EDC" w14:paraId="00EC2958" w14:textId="77777777" w:rsidTr="0067343B">
        <w:trPr>
          <w:cantSplit/>
        </w:trPr>
        <w:tc>
          <w:tcPr>
            <w:tcW w:w="260" w:type="pct"/>
            <w:tcMar>
              <w:left w:w="72" w:type="dxa"/>
              <w:right w:w="72" w:type="dxa"/>
            </w:tcMar>
          </w:tcPr>
          <w:p w14:paraId="4285BEC1" w14:textId="77777777" w:rsidR="0067343B" w:rsidRPr="007D1EDC" w:rsidRDefault="0067343B" w:rsidP="0067343B">
            <w:pPr>
              <w:widowControl w:val="0"/>
              <w:numPr>
                <w:ilvl w:val="0"/>
                <w:numId w:val="39"/>
              </w:numPr>
              <w:suppressAutoHyphens/>
              <w:autoSpaceDE w:val="0"/>
              <w:autoSpaceDN w:val="0"/>
              <w:spacing w:before="60" w:after="60"/>
              <w:ind w:right="130"/>
              <w:contextualSpacing/>
              <w:rPr>
                <w:rFonts w:ascii="Arial Narrow" w:eastAsia="Aptos" w:hAnsi="Arial Narrow" w:cs="Arial"/>
                <w:bCs/>
                <w:sz w:val="20"/>
                <w:szCs w:val="20"/>
                <w:lang w:val="en-GB" w:eastAsia="uk-UA"/>
              </w:rPr>
            </w:pPr>
          </w:p>
        </w:tc>
        <w:tc>
          <w:tcPr>
            <w:tcW w:w="1367" w:type="pct"/>
            <w:tcMar>
              <w:left w:w="72" w:type="dxa"/>
              <w:right w:w="72" w:type="dxa"/>
            </w:tcMar>
          </w:tcPr>
          <w:p w14:paraId="1FF3C729" w14:textId="677DC517" w:rsidR="0067343B" w:rsidRPr="0067343B" w:rsidRDefault="0067343B" w:rsidP="0067343B">
            <w:pPr>
              <w:widowControl w:val="0"/>
              <w:suppressAutoHyphens/>
              <w:autoSpaceDE w:val="0"/>
              <w:autoSpaceDN w:val="0"/>
              <w:spacing w:before="60" w:after="60"/>
              <w:ind w:right="123"/>
              <w:rPr>
                <w:rFonts w:ascii="Arial Narrow" w:eastAsia="Aptos" w:hAnsi="Arial Narrow" w:cs="Arial"/>
                <w:bCs/>
                <w:sz w:val="20"/>
                <w:szCs w:val="20"/>
                <w:lang w:eastAsia="uk-UA"/>
              </w:rPr>
            </w:pPr>
            <w:r w:rsidRPr="0067343B">
              <w:rPr>
                <w:rFonts w:ascii="Arial Narrow" w:eastAsia="Aptos" w:hAnsi="Arial Narrow" w:cs="Arial"/>
                <w:bCs/>
                <w:sz w:val="20"/>
                <w:szCs w:val="20"/>
                <w:lang w:eastAsia="uk-UA"/>
              </w:rPr>
              <w:t>Mbështetja e bizneseve lokale në zbatimin e masave për parandalimin e mbeturinave ushqimore</w:t>
            </w:r>
          </w:p>
        </w:tc>
        <w:tc>
          <w:tcPr>
            <w:tcW w:w="462" w:type="pct"/>
            <w:tcMar>
              <w:left w:w="72" w:type="dxa"/>
              <w:right w:w="72" w:type="dxa"/>
            </w:tcMar>
          </w:tcPr>
          <w:p w14:paraId="662C2996" w14:textId="758C3566" w:rsidR="0067343B" w:rsidRPr="0067343B" w:rsidRDefault="0067343B" w:rsidP="0067343B">
            <w:pPr>
              <w:widowControl w:val="0"/>
              <w:suppressAutoHyphens/>
              <w:autoSpaceDE w:val="0"/>
              <w:autoSpaceDN w:val="0"/>
              <w:spacing w:before="60" w:after="60"/>
              <w:ind w:right="123"/>
              <w:rPr>
                <w:rFonts w:ascii="Arial Narrow" w:eastAsia="Aptos" w:hAnsi="Arial Narrow" w:cs="Arial"/>
                <w:bCs/>
                <w:sz w:val="20"/>
                <w:szCs w:val="20"/>
                <w:lang w:eastAsia="uk-UA"/>
              </w:rPr>
            </w:pPr>
            <w:r w:rsidRPr="0067343B">
              <w:rPr>
                <w:rFonts w:ascii="Arial Narrow" w:eastAsia="Aptos" w:hAnsi="Arial Narrow" w:cs="Arial"/>
                <w:bCs/>
                <w:sz w:val="20"/>
                <w:szCs w:val="20"/>
                <w:lang w:eastAsia="uk-UA"/>
              </w:rPr>
              <w:t>Çdo vit</w:t>
            </w:r>
          </w:p>
        </w:tc>
        <w:tc>
          <w:tcPr>
            <w:tcW w:w="578" w:type="pct"/>
            <w:tcMar>
              <w:left w:w="72" w:type="dxa"/>
              <w:right w:w="72" w:type="dxa"/>
            </w:tcMar>
          </w:tcPr>
          <w:p w14:paraId="47445A73" w14:textId="7DDA7535" w:rsidR="0067343B" w:rsidRPr="0067343B" w:rsidRDefault="0067343B" w:rsidP="0067343B">
            <w:pPr>
              <w:widowControl w:val="0"/>
              <w:suppressAutoHyphens/>
              <w:autoSpaceDE w:val="0"/>
              <w:autoSpaceDN w:val="0"/>
              <w:spacing w:before="60" w:after="60"/>
              <w:ind w:right="123"/>
              <w:rPr>
                <w:rFonts w:ascii="Arial Narrow" w:eastAsia="Aptos" w:hAnsi="Arial Narrow" w:cs="Arial"/>
                <w:bCs/>
                <w:sz w:val="20"/>
                <w:szCs w:val="20"/>
                <w:lang w:eastAsia="uk-UA"/>
              </w:rPr>
            </w:pPr>
            <w:r w:rsidRPr="0067343B">
              <w:rPr>
                <w:rFonts w:ascii="Arial Narrow" w:eastAsia="Aptos" w:hAnsi="Arial Narrow" w:cs="Arial"/>
                <w:bCs/>
                <w:sz w:val="20"/>
                <w:szCs w:val="20"/>
                <w:lang w:eastAsia="uk-UA"/>
              </w:rPr>
              <w:t>Çmime për ata që zbatojnë masat sukses</w:t>
            </w:r>
          </w:p>
        </w:tc>
        <w:tc>
          <w:tcPr>
            <w:tcW w:w="666" w:type="pct"/>
            <w:tcMar>
              <w:left w:w="72" w:type="dxa"/>
              <w:right w:w="72" w:type="dxa"/>
            </w:tcMar>
          </w:tcPr>
          <w:p w14:paraId="244ECA64" w14:textId="6F757AB2" w:rsidR="0067343B" w:rsidRPr="0067343B" w:rsidRDefault="0067343B" w:rsidP="0067343B">
            <w:pPr>
              <w:widowControl w:val="0"/>
              <w:suppressAutoHyphens/>
              <w:autoSpaceDE w:val="0"/>
              <w:autoSpaceDN w:val="0"/>
              <w:spacing w:before="60" w:after="60"/>
              <w:ind w:right="123"/>
              <w:rPr>
                <w:rFonts w:ascii="Arial Narrow" w:eastAsia="Aptos" w:hAnsi="Arial Narrow" w:cs="Arial"/>
                <w:bCs/>
                <w:sz w:val="20"/>
                <w:szCs w:val="20"/>
                <w:lang w:eastAsia="uk-UA"/>
              </w:rPr>
            </w:pPr>
            <w:r w:rsidRPr="0067343B">
              <w:rPr>
                <w:rFonts w:ascii="Arial Narrow" w:eastAsia="Aptos" w:hAnsi="Arial Narrow" w:cs="Arial"/>
                <w:bCs/>
                <w:sz w:val="20"/>
                <w:szCs w:val="20"/>
                <w:lang w:eastAsia="uk-UA"/>
              </w:rPr>
              <w:t>Buxhetet e komunave</w:t>
            </w:r>
          </w:p>
        </w:tc>
        <w:tc>
          <w:tcPr>
            <w:tcW w:w="838" w:type="pct"/>
            <w:tcMar>
              <w:left w:w="72" w:type="dxa"/>
              <w:right w:w="72" w:type="dxa"/>
            </w:tcMar>
          </w:tcPr>
          <w:p w14:paraId="7DB72548" w14:textId="200F80BD" w:rsidR="0067343B" w:rsidRPr="0067343B" w:rsidRDefault="0067343B" w:rsidP="0067343B">
            <w:pPr>
              <w:widowControl w:val="0"/>
              <w:suppressAutoHyphens/>
              <w:autoSpaceDE w:val="0"/>
              <w:autoSpaceDN w:val="0"/>
              <w:spacing w:before="60" w:after="60"/>
              <w:ind w:right="123"/>
              <w:rPr>
                <w:rFonts w:ascii="Arial Narrow" w:eastAsia="Aptos" w:hAnsi="Arial Narrow" w:cs="Arial"/>
                <w:bCs/>
                <w:sz w:val="20"/>
                <w:szCs w:val="20"/>
                <w:lang w:eastAsia="uk-UA"/>
              </w:rPr>
            </w:pPr>
            <w:r w:rsidRPr="0067343B">
              <w:rPr>
                <w:rFonts w:ascii="Arial Narrow" w:eastAsia="Aptos" w:hAnsi="Arial Narrow" w:cs="Arial"/>
                <w:bCs/>
                <w:sz w:val="20"/>
                <w:szCs w:val="20"/>
                <w:lang w:eastAsia="uk-UA"/>
              </w:rPr>
              <w:t>Komunat, OJQ-të</w:t>
            </w:r>
          </w:p>
        </w:tc>
        <w:tc>
          <w:tcPr>
            <w:tcW w:w="829" w:type="pct"/>
            <w:tcMar>
              <w:left w:w="72" w:type="dxa"/>
              <w:right w:w="72" w:type="dxa"/>
            </w:tcMar>
          </w:tcPr>
          <w:p w14:paraId="761E3BE1" w14:textId="32B02307" w:rsidR="0067343B" w:rsidRPr="0067343B" w:rsidRDefault="0067343B" w:rsidP="0067343B">
            <w:pPr>
              <w:widowControl w:val="0"/>
              <w:suppressAutoHyphens/>
              <w:autoSpaceDE w:val="0"/>
              <w:autoSpaceDN w:val="0"/>
              <w:spacing w:before="60" w:after="60"/>
              <w:ind w:right="123"/>
              <w:rPr>
                <w:rFonts w:ascii="Arial Narrow" w:eastAsia="Aptos" w:hAnsi="Arial Narrow" w:cs="Arial"/>
                <w:bCs/>
                <w:sz w:val="20"/>
                <w:szCs w:val="20"/>
                <w:lang w:eastAsia="uk-UA"/>
              </w:rPr>
            </w:pPr>
            <w:r w:rsidRPr="0067343B">
              <w:rPr>
                <w:rFonts w:ascii="Arial Narrow" w:eastAsia="Aptos" w:hAnsi="Arial Narrow" w:cs="Arial"/>
                <w:bCs/>
                <w:sz w:val="20"/>
                <w:szCs w:val="20"/>
                <w:lang w:eastAsia="uk-UA"/>
              </w:rPr>
              <w:t>Numri i bizneseve që zbatojnë nisma për reduktimin e mbeturinave ushqimore</w:t>
            </w:r>
          </w:p>
        </w:tc>
      </w:tr>
      <w:tr w:rsidR="00800D8F" w:rsidRPr="007D1EDC" w14:paraId="67051767" w14:textId="77777777" w:rsidTr="0067343B">
        <w:trPr>
          <w:cantSplit/>
          <w:trHeight w:val="215"/>
        </w:trPr>
        <w:tc>
          <w:tcPr>
            <w:tcW w:w="260" w:type="pct"/>
            <w:tcMar>
              <w:left w:w="72" w:type="dxa"/>
              <w:right w:w="72" w:type="dxa"/>
            </w:tcMar>
          </w:tcPr>
          <w:p w14:paraId="7EFAB928" w14:textId="77777777" w:rsidR="0067343B" w:rsidRPr="009F5CA1" w:rsidRDefault="0067343B" w:rsidP="0067343B">
            <w:pPr>
              <w:widowControl w:val="0"/>
              <w:numPr>
                <w:ilvl w:val="0"/>
                <w:numId w:val="39"/>
              </w:numPr>
              <w:suppressAutoHyphens/>
              <w:autoSpaceDE w:val="0"/>
              <w:autoSpaceDN w:val="0"/>
              <w:spacing w:before="60" w:after="60"/>
              <w:ind w:right="123"/>
              <w:contextualSpacing/>
              <w:rPr>
                <w:rFonts w:ascii="Arial Narrow" w:eastAsia="Aptos" w:hAnsi="Arial Narrow" w:cs="Arial"/>
                <w:bCs/>
                <w:sz w:val="20"/>
                <w:szCs w:val="20"/>
                <w:lang w:eastAsia="uk-UA"/>
              </w:rPr>
            </w:pPr>
          </w:p>
        </w:tc>
        <w:tc>
          <w:tcPr>
            <w:tcW w:w="1367" w:type="pct"/>
            <w:tcMar>
              <w:left w:w="72" w:type="dxa"/>
              <w:right w:w="72" w:type="dxa"/>
            </w:tcMar>
          </w:tcPr>
          <w:p w14:paraId="739E2977" w14:textId="7099FF5A" w:rsidR="0067343B" w:rsidRPr="0067343B" w:rsidRDefault="0067343B" w:rsidP="0067343B">
            <w:pPr>
              <w:widowControl w:val="0"/>
              <w:suppressAutoHyphens/>
              <w:autoSpaceDE w:val="0"/>
              <w:autoSpaceDN w:val="0"/>
              <w:spacing w:before="60" w:after="60"/>
              <w:ind w:right="123"/>
              <w:rPr>
                <w:rFonts w:ascii="Arial Narrow" w:eastAsia="Calibri" w:hAnsi="Arial Narrow" w:cs="Calibri"/>
                <w:b/>
                <w:bCs/>
                <w:sz w:val="20"/>
                <w:szCs w:val="20"/>
              </w:rPr>
            </w:pPr>
            <w:r w:rsidRPr="0067343B">
              <w:rPr>
                <w:rFonts w:ascii="Arial Narrow" w:eastAsia="Aptos" w:hAnsi="Arial Narrow" w:cs="Arial"/>
                <w:bCs/>
                <w:sz w:val="20"/>
                <w:szCs w:val="20"/>
                <w:lang w:eastAsia="uk-UA"/>
              </w:rPr>
              <w:t>Pjesëmarrja në nismat kombëtare për reduktimin e plastikës njëpërdorimshe</w:t>
            </w:r>
          </w:p>
        </w:tc>
        <w:tc>
          <w:tcPr>
            <w:tcW w:w="462" w:type="pct"/>
            <w:tcMar>
              <w:left w:w="72" w:type="dxa"/>
              <w:right w:w="72" w:type="dxa"/>
            </w:tcMar>
          </w:tcPr>
          <w:p w14:paraId="15A9C23A" w14:textId="3A7FCD9D" w:rsidR="0067343B" w:rsidRPr="0067343B" w:rsidRDefault="0067343B" w:rsidP="0067343B">
            <w:pPr>
              <w:widowControl w:val="0"/>
              <w:suppressAutoHyphens/>
              <w:autoSpaceDE w:val="0"/>
              <w:autoSpaceDN w:val="0"/>
              <w:spacing w:before="60" w:after="60"/>
              <w:ind w:right="123"/>
              <w:rPr>
                <w:rFonts w:ascii="Arial Narrow" w:eastAsia="Calibri" w:hAnsi="Arial Narrow" w:cs="Calibri"/>
                <w:b/>
                <w:bCs/>
                <w:sz w:val="20"/>
                <w:szCs w:val="20"/>
              </w:rPr>
            </w:pPr>
            <w:r w:rsidRPr="0067343B">
              <w:rPr>
                <w:rFonts w:ascii="Arial Narrow" w:eastAsia="Aptos" w:hAnsi="Arial Narrow" w:cs="Arial"/>
                <w:bCs/>
                <w:sz w:val="20"/>
                <w:szCs w:val="20"/>
                <w:lang w:eastAsia="uk-UA"/>
              </w:rPr>
              <w:t>Çdo vit</w:t>
            </w:r>
          </w:p>
        </w:tc>
        <w:tc>
          <w:tcPr>
            <w:tcW w:w="578" w:type="pct"/>
            <w:tcMar>
              <w:left w:w="72" w:type="dxa"/>
              <w:right w:w="72" w:type="dxa"/>
            </w:tcMar>
          </w:tcPr>
          <w:p w14:paraId="2C8CF89F" w14:textId="1919DAC4" w:rsidR="0067343B" w:rsidRPr="0067343B" w:rsidRDefault="0067343B" w:rsidP="0067343B">
            <w:pPr>
              <w:widowControl w:val="0"/>
              <w:suppressAutoHyphens/>
              <w:autoSpaceDE w:val="0"/>
              <w:autoSpaceDN w:val="0"/>
              <w:spacing w:before="60" w:after="60"/>
              <w:ind w:right="123"/>
              <w:rPr>
                <w:rFonts w:ascii="Arial Narrow" w:eastAsia="Calibri" w:hAnsi="Arial Narrow" w:cs="Calibri"/>
                <w:b/>
                <w:bCs/>
                <w:sz w:val="20"/>
                <w:szCs w:val="20"/>
              </w:rPr>
            </w:pPr>
            <w:r w:rsidRPr="0067343B">
              <w:rPr>
                <w:rFonts w:ascii="Arial Narrow" w:eastAsia="Aptos" w:hAnsi="Arial Narrow" w:cs="Arial"/>
                <w:bCs/>
                <w:sz w:val="20"/>
                <w:szCs w:val="20"/>
                <w:lang w:eastAsia="uk-UA"/>
              </w:rPr>
              <w:t>5,000 (në çmime për masat e zbatuara me sukses)</w:t>
            </w:r>
          </w:p>
        </w:tc>
        <w:tc>
          <w:tcPr>
            <w:tcW w:w="666" w:type="pct"/>
            <w:tcMar>
              <w:left w:w="72" w:type="dxa"/>
              <w:right w:w="72" w:type="dxa"/>
            </w:tcMar>
          </w:tcPr>
          <w:p w14:paraId="372AC587" w14:textId="2AC0E8B8" w:rsidR="0067343B" w:rsidRPr="0067343B" w:rsidRDefault="0067343B" w:rsidP="0067343B">
            <w:pPr>
              <w:widowControl w:val="0"/>
              <w:suppressAutoHyphens/>
              <w:autoSpaceDE w:val="0"/>
              <w:autoSpaceDN w:val="0"/>
              <w:spacing w:before="60" w:after="60"/>
              <w:ind w:right="123"/>
              <w:rPr>
                <w:rFonts w:ascii="Arial Narrow" w:eastAsia="Calibri" w:hAnsi="Arial Narrow" w:cs="Calibri"/>
                <w:b/>
                <w:bCs/>
                <w:sz w:val="20"/>
                <w:szCs w:val="20"/>
              </w:rPr>
            </w:pPr>
            <w:r w:rsidRPr="0067343B">
              <w:rPr>
                <w:rFonts w:ascii="Arial Narrow" w:eastAsia="Aptos" w:hAnsi="Arial Narrow" w:cs="Arial"/>
                <w:bCs/>
                <w:sz w:val="20"/>
                <w:szCs w:val="20"/>
                <w:lang w:eastAsia="uk-UA"/>
              </w:rPr>
              <w:t>Buxhetet e komunave</w:t>
            </w:r>
          </w:p>
        </w:tc>
        <w:tc>
          <w:tcPr>
            <w:tcW w:w="838" w:type="pct"/>
            <w:tcMar>
              <w:left w:w="72" w:type="dxa"/>
              <w:right w:w="72" w:type="dxa"/>
            </w:tcMar>
          </w:tcPr>
          <w:p w14:paraId="7EE896BE" w14:textId="0B15AC59" w:rsidR="0067343B" w:rsidRPr="0067343B" w:rsidRDefault="0067343B" w:rsidP="0067343B">
            <w:pPr>
              <w:widowControl w:val="0"/>
              <w:suppressAutoHyphens/>
              <w:autoSpaceDE w:val="0"/>
              <w:autoSpaceDN w:val="0"/>
              <w:spacing w:before="60" w:after="60"/>
              <w:ind w:right="123"/>
              <w:rPr>
                <w:rFonts w:ascii="Arial Narrow" w:eastAsia="Calibri" w:hAnsi="Arial Narrow" w:cs="Calibri"/>
                <w:b/>
                <w:bCs/>
                <w:sz w:val="20"/>
                <w:szCs w:val="20"/>
              </w:rPr>
            </w:pPr>
            <w:r w:rsidRPr="0067343B">
              <w:rPr>
                <w:rFonts w:ascii="Arial Narrow" w:eastAsia="Aptos" w:hAnsi="Arial Narrow" w:cs="Arial"/>
                <w:bCs/>
                <w:sz w:val="20"/>
                <w:szCs w:val="20"/>
                <w:lang w:eastAsia="uk-UA"/>
              </w:rPr>
              <w:t>Komunat, OJQ-të</w:t>
            </w:r>
          </w:p>
        </w:tc>
        <w:tc>
          <w:tcPr>
            <w:tcW w:w="829" w:type="pct"/>
            <w:tcMar>
              <w:left w:w="72" w:type="dxa"/>
              <w:right w:w="72" w:type="dxa"/>
            </w:tcMar>
          </w:tcPr>
          <w:p w14:paraId="3BEBFAE6" w14:textId="59DFFD65" w:rsidR="0067343B" w:rsidRPr="0067343B" w:rsidRDefault="0067343B" w:rsidP="0067343B">
            <w:pPr>
              <w:widowControl w:val="0"/>
              <w:suppressAutoHyphens/>
              <w:autoSpaceDE w:val="0"/>
              <w:autoSpaceDN w:val="0"/>
              <w:spacing w:before="60" w:after="60"/>
              <w:ind w:right="123"/>
              <w:rPr>
                <w:rFonts w:ascii="Arial Narrow" w:eastAsia="Calibri" w:hAnsi="Arial Narrow" w:cs="Calibri"/>
                <w:b/>
                <w:bCs/>
                <w:sz w:val="20"/>
                <w:szCs w:val="20"/>
              </w:rPr>
            </w:pPr>
            <w:r w:rsidRPr="0067343B">
              <w:rPr>
                <w:rFonts w:ascii="Arial Narrow" w:eastAsia="Aptos" w:hAnsi="Arial Narrow" w:cs="Arial"/>
                <w:bCs/>
                <w:sz w:val="20"/>
                <w:szCs w:val="20"/>
                <w:lang w:eastAsia="uk-UA"/>
              </w:rPr>
              <w:t>Numri i iniciativave që zbatojnë reduktimin e plastikës njëpërdorimshe</w:t>
            </w:r>
          </w:p>
        </w:tc>
      </w:tr>
      <w:tr w:rsidR="00800D8F" w:rsidRPr="007D1EDC" w14:paraId="5D337F29" w14:textId="77777777" w:rsidTr="0067343B">
        <w:trPr>
          <w:cantSplit/>
        </w:trPr>
        <w:tc>
          <w:tcPr>
            <w:tcW w:w="260" w:type="pct"/>
            <w:shd w:val="clear" w:color="auto" w:fill="C1E4F5"/>
            <w:tcMar>
              <w:left w:w="72" w:type="dxa"/>
              <w:right w:w="72" w:type="dxa"/>
            </w:tcMar>
          </w:tcPr>
          <w:p w14:paraId="495FC00E"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2.</w:t>
            </w:r>
          </w:p>
        </w:tc>
        <w:tc>
          <w:tcPr>
            <w:tcW w:w="1367" w:type="pct"/>
            <w:tcBorders>
              <w:right w:val="nil"/>
            </w:tcBorders>
            <w:shd w:val="clear" w:color="auto" w:fill="C1E4F5"/>
            <w:tcMar>
              <w:left w:w="72" w:type="dxa"/>
              <w:right w:w="72" w:type="dxa"/>
            </w:tcMar>
          </w:tcPr>
          <w:p w14:paraId="7957B9AA" w14:textId="5753735D"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 xml:space="preserve">Prioritet - </w:t>
            </w:r>
            <w:r w:rsidR="00B646DB">
              <w:rPr>
                <w:rFonts w:ascii="Arial Narrow" w:eastAsia="Calibri" w:hAnsi="Arial Narrow" w:cs="Calibri"/>
                <w:b/>
                <w:bCs/>
                <w:sz w:val="20"/>
                <w:szCs w:val="20"/>
              </w:rPr>
              <w:t>Deponimi</w:t>
            </w:r>
            <w:r w:rsidRPr="007D1EDC">
              <w:rPr>
                <w:rFonts w:ascii="Arial Narrow" w:eastAsia="Calibri" w:hAnsi="Arial Narrow" w:cs="Calibri"/>
                <w:b/>
                <w:bCs/>
                <w:sz w:val="20"/>
                <w:szCs w:val="20"/>
              </w:rPr>
              <w:t xml:space="preserve"> i mbeturinave</w:t>
            </w:r>
          </w:p>
        </w:tc>
        <w:tc>
          <w:tcPr>
            <w:tcW w:w="462" w:type="pct"/>
            <w:tcBorders>
              <w:left w:val="nil"/>
              <w:right w:val="nil"/>
            </w:tcBorders>
            <w:shd w:val="clear" w:color="auto" w:fill="C1E4F5"/>
            <w:tcMar>
              <w:left w:w="72" w:type="dxa"/>
              <w:right w:w="72" w:type="dxa"/>
            </w:tcMar>
          </w:tcPr>
          <w:p w14:paraId="357AB422"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p>
        </w:tc>
        <w:tc>
          <w:tcPr>
            <w:tcW w:w="578" w:type="pct"/>
            <w:tcBorders>
              <w:left w:val="nil"/>
              <w:right w:val="nil"/>
            </w:tcBorders>
            <w:shd w:val="clear" w:color="auto" w:fill="C1E4F5"/>
            <w:tcMar>
              <w:left w:w="72" w:type="dxa"/>
              <w:right w:w="72" w:type="dxa"/>
            </w:tcMar>
          </w:tcPr>
          <w:p w14:paraId="3F5D3C1E"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p>
        </w:tc>
        <w:tc>
          <w:tcPr>
            <w:tcW w:w="666" w:type="pct"/>
            <w:tcBorders>
              <w:left w:val="nil"/>
              <w:right w:val="nil"/>
            </w:tcBorders>
            <w:shd w:val="clear" w:color="auto" w:fill="C1E4F5"/>
            <w:tcMar>
              <w:left w:w="72" w:type="dxa"/>
              <w:right w:w="72" w:type="dxa"/>
            </w:tcMar>
          </w:tcPr>
          <w:p w14:paraId="76D8147A"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p>
        </w:tc>
        <w:tc>
          <w:tcPr>
            <w:tcW w:w="838" w:type="pct"/>
            <w:tcBorders>
              <w:left w:val="nil"/>
              <w:right w:val="nil"/>
            </w:tcBorders>
            <w:shd w:val="clear" w:color="auto" w:fill="C1E4F5"/>
            <w:tcMar>
              <w:left w:w="72" w:type="dxa"/>
              <w:right w:w="72" w:type="dxa"/>
            </w:tcMar>
          </w:tcPr>
          <w:p w14:paraId="5A967465"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p>
        </w:tc>
        <w:tc>
          <w:tcPr>
            <w:tcW w:w="829" w:type="pct"/>
            <w:tcBorders>
              <w:left w:val="nil"/>
            </w:tcBorders>
            <w:shd w:val="clear" w:color="auto" w:fill="C1E4F5"/>
            <w:tcMar>
              <w:left w:w="72" w:type="dxa"/>
              <w:right w:w="72" w:type="dxa"/>
            </w:tcMar>
          </w:tcPr>
          <w:p w14:paraId="58FC2C11"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p>
        </w:tc>
      </w:tr>
      <w:tr w:rsidR="00800D8F" w:rsidRPr="007D1EDC" w14:paraId="7A9BF84B" w14:textId="77777777" w:rsidTr="0067343B">
        <w:trPr>
          <w:cantSplit/>
          <w:trHeight w:val="341"/>
        </w:trPr>
        <w:tc>
          <w:tcPr>
            <w:tcW w:w="260" w:type="pct"/>
            <w:tcMar>
              <w:left w:w="72" w:type="dxa"/>
              <w:right w:w="72" w:type="dxa"/>
            </w:tcMar>
          </w:tcPr>
          <w:p w14:paraId="1BA232D2" w14:textId="77777777" w:rsidR="00B646DB" w:rsidRPr="007D1EDC"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7D1EDC">
              <w:rPr>
                <w:rFonts w:ascii="Arial Narrow" w:eastAsia="Calibri" w:hAnsi="Arial Narrow" w:cs="Calibri"/>
                <w:sz w:val="20"/>
                <w:szCs w:val="20"/>
              </w:rPr>
              <w:t>2.1</w:t>
            </w:r>
          </w:p>
        </w:tc>
        <w:tc>
          <w:tcPr>
            <w:tcW w:w="1367" w:type="pct"/>
            <w:tcMar>
              <w:left w:w="72" w:type="dxa"/>
              <w:right w:w="72" w:type="dxa"/>
            </w:tcMar>
          </w:tcPr>
          <w:p w14:paraId="38845D7C" w14:textId="4789DCDE"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Përfundimi i projektit të detajuar për përmirësimin e deponisë së Sferkës</w:t>
            </w:r>
          </w:p>
        </w:tc>
        <w:tc>
          <w:tcPr>
            <w:tcW w:w="462" w:type="pct"/>
            <w:tcMar>
              <w:left w:w="72" w:type="dxa"/>
              <w:right w:w="72" w:type="dxa"/>
            </w:tcMar>
          </w:tcPr>
          <w:p w14:paraId="4903248E" w14:textId="6A7129E8"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2025</w:t>
            </w:r>
          </w:p>
        </w:tc>
        <w:tc>
          <w:tcPr>
            <w:tcW w:w="578" w:type="pct"/>
            <w:tcMar>
              <w:left w:w="72" w:type="dxa"/>
              <w:right w:w="72" w:type="dxa"/>
            </w:tcMar>
          </w:tcPr>
          <w:p w14:paraId="189E3281" w14:textId="45E9A027"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w:t>
            </w:r>
          </w:p>
        </w:tc>
        <w:tc>
          <w:tcPr>
            <w:tcW w:w="666" w:type="pct"/>
            <w:tcMar>
              <w:left w:w="72" w:type="dxa"/>
              <w:right w:w="72" w:type="dxa"/>
            </w:tcMar>
          </w:tcPr>
          <w:p w14:paraId="08044D51" w14:textId="7698EAFB"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Granti i asistencës teknike</w:t>
            </w:r>
          </w:p>
        </w:tc>
        <w:tc>
          <w:tcPr>
            <w:tcW w:w="838" w:type="pct"/>
            <w:tcMar>
              <w:left w:w="72" w:type="dxa"/>
              <w:right w:w="72" w:type="dxa"/>
            </w:tcMar>
          </w:tcPr>
          <w:p w14:paraId="2816D6B9" w14:textId="1967A1A9"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 xml:space="preserve">Komuna e Pejës, </w:t>
            </w:r>
            <w:r w:rsidRPr="00B646DB">
              <w:rPr>
                <w:rFonts w:ascii="Arial Narrow" w:eastAsia="Aptos" w:hAnsi="Arial Narrow" w:cs="Arial"/>
                <w:bCs/>
                <w:sz w:val="20"/>
                <w:szCs w:val="20"/>
                <w:lang w:eastAsia="uk-UA"/>
              </w:rPr>
              <w:t>(përkrahja e institucionit financiar ndërkombëtar)</w:t>
            </w:r>
          </w:p>
        </w:tc>
        <w:tc>
          <w:tcPr>
            <w:tcW w:w="829" w:type="pct"/>
            <w:tcMar>
              <w:left w:w="72" w:type="dxa"/>
              <w:right w:w="72" w:type="dxa"/>
            </w:tcMar>
          </w:tcPr>
          <w:p w14:paraId="0F3836D3" w14:textId="33DA089E"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Dizajni i detajuar i përfunduar</w:t>
            </w:r>
          </w:p>
        </w:tc>
      </w:tr>
      <w:tr w:rsidR="00800D8F" w:rsidRPr="007D1EDC" w14:paraId="0262383E" w14:textId="77777777" w:rsidTr="0067343B">
        <w:trPr>
          <w:cantSplit/>
        </w:trPr>
        <w:tc>
          <w:tcPr>
            <w:tcW w:w="260" w:type="pct"/>
            <w:tcMar>
              <w:left w:w="72" w:type="dxa"/>
              <w:right w:w="72" w:type="dxa"/>
            </w:tcMar>
          </w:tcPr>
          <w:p w14:paraId="4C914590" w14:textId="77777777" w:rsidR="00B646DB" w:rsidRPr="007D1EDC"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7D1EDC">
              <w:rPr>
                <w:rFonts w:ascii="Arial Narrow" w:eastAsia="Calibri" w:hAnsi="Arial Narrow" w:cs="Calibri"/>
                <w:sz w:val="20"/>
                <w:szCs w:val="20"/>
              </w:rPr>
              <w:t>2.2</w:t>
            </w:r>
          </w:p>
        </w:tc>
        <w:tc>
          <w:tcPr>
            <w:tcW w:w="1367" w:type="pct"/>
            <w:tcMar>
              <w:left w:w="72" w:type="dxa"/>
              <w:right w:w="72" w:type="dxa"/>
            </w:tcMar>
          </w:tcPr>
          <w:p w14:paraId="7C2689F0" w14:textId="0ABC5A7B"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Punimet e ndërtimit për përmirësimin e deponisë së Sverkës</w:t>
            </w:r>
          </w:p>
        </w:tc>
        <w:tc>
          <w:tcPr>
            <w:tcW w:w="462" w:type="pct"/>
            <w:tcBorders>
              <w:bottom w:val="single" w:sz="4" w:space="0" w:color="auto"/>
            </w:tcBorders>
            <w:tcMar>
              <w:left w:w="72" w:type="dxa"/>
              <w:right w:w="72" w:type="dxa"/>
            </w:tcMar>
          </w:tcPr>
          <w:p w14:paraId="6D86BA37" w14:textId="3721D64D"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2026-2027</w:t>
            </w:r>
          </w:p>
        </w:tc>
        <w:tc>
          <w:tcPr>
            <w:tcW w:w="578" w:type="pct"/>
            <w:tcBorders>
              <w:bottom w:val="single" w:sz="4" w:space="0" w:color="auto"/>
            </w:tcBorders>
            <w:tcMar>
              <w:left w:w="72" w:type="dxa"/>
              <w:right w:w="72" w:type="dxa"/>
            </w:tcMar>
          </w:tcPr>
          <w:p w14:paraId="64A2BDE6" w14:textId="7D189EF6"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10,248,000</w:t>
            </w:r>
          </w:p>
        </w:tc>
        <w:tc>
          <w:tcPr>
            <w:tcW w:w="666" w:type="pct"/>
            <w:tcBorders>
              <w:bottom w:val="single" w:sz="4" w:space="0" w:color="auto"/>
            </w:tcBorders>
            <w:tcMar>
              <w:left w:w="72" w:type="dxa"/>
              <w:right w:w="72" w:type="dxa"/>
            </w:tcMar>
          </w:tcPr>
          <w:p w14:paraId="525C0C60" w14:textId="27226B27"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Granti kapital</w:t>
            </w:r>
          </w:p>
        </w:tc>
        <w:tc>
          <w:tcPr>
            <w:tcW w:w="838" w:type="pct"/>
            <w:tcBorders>
              <w:bottom w:val="single" w:sz="4" w:space="0" w:color="auto"/>
            </w:tcBorders>
            <w:tcMar>
              <w:left w:w="72" w:type="dxa"/>
              <w:right w:w="72" w:type="dxa"/>
            </w:tcMar>
          </w:tcPr>
          <w:p w14:paraId="3053A754" w14:textId="2E9F3308"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 xml:space="preserve">Komuna e Pejës, </w:t>
            </w:r>
            <w:r w:rsidRPr="00B646DB">
              <w:rPr>
                <w:rFonts w:ascii="Arial Narrow" w:eastAsia="Aptos" w:hAnsi="Arial Narrow" w:cs="Arial"/>
                <w:bCs/>
                <w:sz w:val="20"/>
                <w:szCs w:val="20"/>
                <w:lang w:eastAsia="uk-UA"/>
              </w:rPr>
              <w:t>(përkrahja e institucionit financiar ndërkombëtar)</w:t>
            </w:r>
          </w:p>
        </w:tc>
        <w:tc>
          <w:tcPr>
            <w:tcW w:w="829" w:type="pct"/>
            <w:tcBorders>
              <w:bottom w:val="single" w:sz="4" w:space="0" w:color="auto"/>
            </w:tcBorders>
            <w:tcMar>
              <w:left w:w="72" w:type="dxa"/>
              <w:right w:w="72" w:type="dxa"/>
            </w:tcMar>
          </w:tcPr>
          <w:p w14:paraId="1446FCF0" w14:textId="31D5048C"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 xml:space="preserve">Qeliat e reja janë autorizuar </w:t>
            </w:r>
          </w:p>
        </w:tc>
      </w:tr>
      <w:tr w:rsidR="00800D8F" w:rsidRPr="007D1EDC" w14:paraId="69C0923E" w14:textId="77777777" w:rsidTr="0067343B">
        <w:trPr>
          <w:cantSplit/>
        </w:trPr>
        <w:tc>
          <w:tcPr>
            <w:tcW w:w="260" w:type="pct"/>
            <w:shd w:val="clear" w:color="auto" w:fill="C1E4F5"/>
            <w:tcMar>
              <w:left w:w="72" w:type="dxa"/>
              <w:right w:w="72" w:type="dxa"/>
            </w:tcMar>
          </w:tcPr>
          <w:p w14:paraId="0D1446B8"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3.</w:t>
            </w:r>
          </w:p>
        </w:tc>
        <w:tc>
          <w:tcPr>
            <w:tcW w:w="1367" w:type="pct"/>
            <w:tcBorders>
              <w:right w:val="nil"/>
            </w:tcBorders>
            <w:shd w:val="clear" w:color="auto" w:fill="C1E4F5"/>
            <w:tcMar>
              <w:left w:w="72" w:type="dxa"/>
              <w:right w:w="72" w:type="dxa"/>
            </w:tcMar>
          </w:tcPr>
          <w:p w14:paraId="5DE9AA0E"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Prioriteti - Transporti dhe transferimi i mbeturinave</w:t>
            </w:r>
          </w:p>
        </w:tc>
        <w:tc>
          <w:tcPr>
            <w:tcW w:w="462" w:type="pct"/>
            <w:tcBorders>
              <w:left w:val="nil"/>
              <w:right w:val="nil"/>
            </w:tcBorders>
            <w:shd w:val="clear" w:color="auto" w:fill="C1E4F5"/>
            <w:tcMar>
              <w:left w:w="72" w:type="dxa"/>
              <w:right w:w="72" w:type="dxa"/>
            </w:tcMar>
          </w:tcPr>
          <w:p w14:paraId="682DC82C"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578" w:type="pct"/>
            <w:tcBorders>
              <w:left w:val="nil"/>
              <w:right w:val="nil"/>
            </w:tcBorders>
            <w:shd w:val="clear" w:color="auto" w:fill="C1E4F5"/>
            <w:tcMar>
              <w:left w:w="72" w:type="dxa"/>
              <w:right w:w="72" w:type="dxa"/>
            </w:tcMar>
          </w:tcPr>
          <w:p w14:paraId="3F651C85"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666" w:type="pct"/>
            <w:tcBorders>
              <w:left w:val="nil"/>
              <w:right w:val="nil"/>
            </w:tcBorders>
            <w:shd w:val="clear" w:color="auto" w:fill="C1E4F5"/>
            <w:tcMar>
              <w:left w:w="72" w:type="dxa"/>
              <w:right w:w="72" w:type="dxa"/>
            </w:tcMar>
          </w:tcPr>
          <w:p w14:paraId="250400AC"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838" w:type="pct"/>
            <w:tcBorders>
              <w:left w:val="nil"/>
              <w:right w:val="nil"/>
            </w:tcBorders>
            <w:shd w:val="clear" w:color="auto" w:fill="C1E4F5"/>
            <w:tcMar>
              <w:left w:w="72" w:type="dxa"/>
              <w:right w:w="72" w:type="dxa"/>
            </w:tcMar>
          </w:tcPr>
          <w:p w14:paraId="259A7E9C"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829" w:type="pct"/>
            <w:tcBorders>
              <w:left w:val="nil"/>
            </w:tcBorders>
            <w:shd w:val="clear" w:color="auto" w:fill="C1E4F5"/>
            <w:tcMar>
              <w:left w:w="72" w:type="dxa"/>
              <w:right w:w="72" w:type="dxa"/>
            </w:tcMar>
          </w:tcPr>
          <w:p w14:paraId="32F7DC06"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800D8F" w:rsidRPr="007D1EDC" w14:paraId="6BB45D8D" w14:textId="77777777" w:rsidTr="0067343B">
        <w:trPr>
          <w:cantSplit/>
        </w:trPr>
        <w:tc>
          <w:tcPr>
            <w:tcW w:w="260" w:type="pct"/>
            <w:tcMar>
              <w:left w:w="72" w:type="dxa"/>
              <w:right w:w="72" w:type="dxa"/>
            </w:tcMar>
          </w:tcPr>
          <w:p w14:paraId="1BB739FB" w14:textId="77777777" w:rsidR="00B646DB" w:rsidRPr="007D1EDC"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7D1EDC">
              <w:rPr>
                <w:rFonts w:ascii="Arial Narrow" w:eastAsia="Calibri" w:hAnsi="Arial Narrow" w:cs="Calibri"/>
                <w:sz w:val="20"/>
                <w:szCs w:val="20"/>
              </w:rPr>
              <w:t>3.1</w:t>
            </w:r>
          </w:p>
        </w:tc>
        <w:tc>
          <w:tcPr>
            <w:tcW w:w="1367" w:type="pct"/>
            <w:tcMar>
              <w:left w:w="72" w:type="dxa"/>
              <w:right w:w="72" w:type="dxa"/>
            </w:tcMar>
          </w:tcPr>
          <w:p w14:paraId="5F380369" w14:textId="4C3DE9E9"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Identifikimi i lokacionit dhe dizajni i detajuar për stacionin e transferit për Komunën e Istogut</w:t>
            </w:r>
          </w:p>
        </w:tc>
        <w:tc>
          <w:tcPr>
            <w:tcW w:w="462" w:type="pct"/>
            <w:tcMar>
              <w:left w:w="72" w:type="dxa"/>
              <w:right w:w="72" w:type="dxa"/>
            </w:tcMar>
          </w:tcPr>
          <w:p w14:paraId="02E7B9F3" w14:textId="7A1BB843"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2025</w:t>
            </w:r>
          </w:p>
        </w:tc>
        <w:tc>
          <w:tcPr>
            <w:tcW w:w="578" w:type="pct"/>
            <w:tcMar>
              <w:left w:w="72" w:type="dxa"/>
              <w:right w:w="72" w:type="dxa"/>
            </w:tcMar>
          </w:tcPr>
          <w:p w14:paraId="0ED55AD9" w14:textId="7933A74C"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w:t>
            </w:r>
          </w:p>
        </w:tc>
        <w:tc>
          <w:tcPr>
            <w:tcW w:w="666" w:type="pct"/>
            <w:tcMar>
              <w:left w:w="72" w:type="dxa"/>
              <w:right w:w="72" w:type="dxa"/>
            </w:tcMar>
          </w:tcPr>
          <w:p w14:paraId="2A0AF9D2" w14:textId="74570CF8"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Granti i asistencës teknike</w:t>
            </w:r>
          </w:p>
        </w:tc>
        <w:tc>
          <w:tcPr>
            <w:tcW w:w="838" w:type="pct"/>
            <w:tcMar>
              <w:left w:w="72" w:type="dxa"/>
              <w:right w:w="72" w:type="dxa"/>
            </w:tcMar>
          </w:tcPr>
          <w:p w14:paraId="021EC69C" w14:textId="7B1BAD75"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 xml:space="preserve">Komuna e Istogut , </w:t>
            </w:r>
            <w:r w:rsidRPr="00B646DB">
              <w:rPr>
                <w:rFonts w:ascii="Arial Narrow" w:eastAsia="Aptos" w:hAnsi="Arial Narrow" w:cs="Arial"/>
                <w:bCs/>
                <w:sz w:val="20"/>
                <w:szCs w:val="20"/>
                <w:lang w:eastAsia="uk-UA"/>
              </w:rPr>
              <w:t>(përkrahja e institucionit financiar ndërkombëtar)</w:t>
            </w:r>
          </w:p>
        </w:tc>
        <w:tc>
          <w:tcPr>
            <w:tcW w:w="829" w:type="pct"/>
            <w:tcMar>
              <w:left w:w="72" w:type="dxa"/>
              <w:right w:w="72" w:type="dxa"/>
            </w:tcMar>
          </w:tcPr>
          <w:p w14:paraId="71B5EF90" w14:textId="29673D1E"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Dizajni i detajuar i përfunduar</w:t>
            </w:r>
          </w:p>
        </w:tc>
      </w:tr>
      <w:tr w:rsidR="00800D8F" w:rsidRPr="007D1EDC" w14:paraId="377FF30B" w14:textId="77777777" w:rsidTr="0067343B">
        <w:trPr>
          <w:cantSplit/>
        </w:trPr>
        <w:tc>
          <w:tcPr>
            <w:tcW w:w="260" w:type="pct"/>
            <w:tcMar>
              <w:left w:w="72" w:type="dxa"/>
              <w:right w:w="72" w:type="dxa"/>
            </w:tcMar>
          </w:tcPr>
          <w:p w14:paraId="0175CCE8" w14:textId="77777777" w:rsidR="00B646DB" w:rsidRPr="007D1EDC"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7D1EDC">
              <w:rPr>
                <w:rFonts w:ascii="Arial Narrow" w:eastAsia="Calibri" w:hAnsi="Arial Narrow" w:cs="Calibri"/>
                <w:sz w:val="20"/>
                <w:szCs w:val="20"/>
              </w:rPr>
              <w:lastRenderedPageBreak/>
              <w:t>3.2</w:t>
            </w:r>
          </w:p>
        </w:tc>
        <w:tc>
          <w:tcPr>
            <w:tcW w:w="1367" w:type="pct"/>
            <w:tcMar>
              <w:left w:w="72" w:type="dxa"/>
              <w:right w:w="72" w:type="dxa"/>
            </w:tcMar>
          </w:tcPr>
          <w:p w14:paraId="1F429C4D" w14:textId="3FC38B29"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Punimet e ndërtimit të stacionit të transferit për Komunën e Istogut</w:t>
            </w:r>
          </w:p>
        </w:tc>
        <w:tc>
          <w:tcPr>
            <w:tcW w:w="462" w:type="pct"/>
            <w:tcMar>
              <w:left w:w="72" w:type="dxa"/>
              <w:right w:w="72" w:type="dxa"/>
            </w:tcMar>
          </w:tcPr>
          <w:p w14:paraId="5972FC68" w14:textId="66D05C9F"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2026-2027</w:t>
            </w:r>
          </w:p>
        </w:tc>
        <w:tc>
          <w:tcPr>
            <w:tcW w:w="578" w:type="pct"/>
            <w:tcMar>
              <w:left w:w="72" w:type="dxa"/>
              <w:right w:w="72" w:type="dxa"/>
            </w:tcMar>
          </w:tcPr>
          <w:p w14:paraId="2B49FD3C" w14:textId="1CEDA07F"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694,000</w:t>
            </w:r>
          </w:p>
        </w:tc>
        <w:tc>
          <w:tcPr>
            <w:tcW w:w="666" w:type="pct"/>
            <w:tcMar>
              <w:left w:w="72" w:type="dxa"/>
              <w:right w:w="72" w:type="dxa"/>
            </w:tcMar>
          </w:tcPr>
          <w:p w14:paraId="5084A1B1" w14:textId="32C95491"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Granti kapital</w:t>
            </w:r>
          </w:p>
        </w:tc>
        <w:tc>
          <w:tcPr>
            <w:tcW w:w="838" w:type="pct"/>
            <w:tcMar>
              <w:left w:w="72" w:type="dxa"/>
              <w:right w:w="72" w:type="dxa"/>
            </w:tcMar>
          </w:tcPr>
          <w:p w14:paraId="0B3BD44D" w14:textId="48438BAD"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 xml:space="preserve">Komuna e Istogut , </w:t>
            </w:r>
            <w:r w:rsidRPr="00B646DB">
              <w:rPr>
                <w:rFonts w:ascii="Arial Narrow" w:eastAsia="Aptos" w:hAnsi="Arial Narrow" w:cs="Arial"/>
                <w:bCs/>
                <w:sz w:val="20"/>
                <w:szCs w:val="20"/>
                <w:lang w:eastAsia="uk-UA"/>
              </w:rPr>
              <w:t>(përkrahja e institucionit financiar ndërkombëtar)</w:t>
            </w:r>
          </w:p>
        </w:tc>
        <w:tc>
          <w:tcPr>
            <w:tcW w:w="829" w:type="pct"/>
            <w:tcMar>
              <w:left w:w="72" w:type="dxa"/>
              <w:right w:w="72" w:type="dxa"/>
            </w:tcMar>
          </w:tcPr>
          <w:p w14:paraId="114C4F03" w14:textId="098D3F82"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Stacioni i transferit i ngritur</w:t>
            </w:r>
          </w:p>
        </w:tc>
      </w:tr>
      <w:tr w:rsidR="00800D8F" w:rsidRPr="007D1EDC" w14:paraId="42D203C0" w14:textId="77777777" w:rsidTr="0067343B">
        <w:trPr>
          <w:cantSplit/>
        </w:trPr>
        <w:tc>
          <w:tcPr>
            <w:tcW w:w="260" w:type="pct"/>
            <w:tcMar>
              <w:left w:w="72" w:type="dxa"/>
              <w:right w:w="72" w:type="dxa"/>
            </w:tcMar>
          </w:tcPr>
          <w:p w14:paraId="429BB561" w14:textId="77777777" w:rsidR="00B646DB" w:rsidRPr="007D1EDC"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7D1EDC">
              <w:rPr>
                <w:rFonts w:ascii="Arial Narrow" w:eastAsia="Calibri" w:hAnsi="Arial Narrow" w:cs="Calibri"/>
                <w:sz w:val="20"/>
                <w:szCs w:val="20"/>
              </w:rPr>
              <w:t>3.3</w:t>
            </w:r>
          </w:p>
        </w:tc>
        <w:tc>
          <w:tcPr>
            <w:tcW w:w="1367" w:type="pct"/>
            <w:tcMar>
              <w:left w:w="72" w:type="dxa"/>
              <w:right w:w="72" w:type="dxa"/>
            </w:tcMar>
          </w:tcPr>
          <w:p w14:paraId="6A8A0F8B" w14:textId="07719CE8"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Hartimi i studimit të fizibilitetit dhe dokumentacionit të projektimit për ngritjen e stacionit të transferit për Komunën e Deçanit (që shërben edhe për komunën e Junikut )</w:t>
            </w:r>
          </w:p>
        </w:tc>
        <w:tc>
          <w:tcPr>
            <w:tcW w:w="462" w:type="pct"/>
            <w:tcMar>
              <w:left w:w="72" w:type="dxa"/>
              <w:right w:w="72" w:type="dxa"/>
            </w:tcMar>
          </w:tcPr>
          <w:p w14:paraId="4D83485F" w14:textId="25E9FEB3"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2025-2026</w:t>
            </w:r>
          </w:p>
        </w:tc>
        <w:tc>
          <w:tcPr>
            <w:tcW w:w="578" w:type="pct"/>
            <w:tcMar>
              <w:left w:w="72" w:type="dxa"/>
              <w:right w:w="72" w:type="dxa"/>
            </w:tcMar>
          </w:tcPr>
          <w:p w14:paraId="407C4E89" w14:textId="5FA96AFF"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35,000</w:t>
            </w:r>
          </w:p>
        </w:tc>
        <w:tc>
          <w:tcPr>
            <w:tcW w:w="666" w:type="pct"/>
            <w:tcMar>
              <w:left w:w="72" w:type="dxa"/>
              <w:right w:w="72" w:type="dxa"/>
            </w:tcMar>
          </w:tcPr>
          <w:p w14:paraId="7BDDB86E" w14:textId="58D60706"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Granti i asistencës teknike</w:t>
            </w:r>
          </w:p>
        </w:tc>
        <w:tc>
          <w:tcPr>
            <w:tcW w:w="838" w:type="pct"/>
            <w:tcMar>
              <w:left w:w="72" w:type="dxa"/>
              <w:right w:w="72" w:type="dxa"/>
            </w:tcMar>
          </w:tcPr>
          <w:p w14:paraId="03F94BED" w14:textId="7555A0DD"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Komuna e Deçanit</w:t>
            </w:r>
          </w:p>
        </w:tc>
        <w:tc>
          <w:tcPr>
            <w:tcW w:w="829" w:type="pct"/>
            <w:tcMar>
              <w:left w:w="72" w:type="dxa"/>
              <w:right w:w="72" w:type="dxa"/>
            </w:tcMar>
          </w:tcPr>
          <w:p w14:paraId="0DE26F3C" w14:textId="09E2FC45"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Studimi i fizibilitetit dhe dizajni i detajuar i përfunduar</w:t>
            </w:r>
          </w:p>
        </w:tc>
      </w:tr>
      <w:tr w:rsidR="00800D8F" w:rsidRPr="007D1EDC" w14:paraId="73863BEF" w14:textId="77777777" w:rsidTr="0067343B">
        <w:trPr>
          <w:cantSplit/>
        </w:trPr>
        <w:tc>
          <w:tcPr>
            <w:tcW w:w="260" w:type="pct"/>
            <w:tcMar>
              <w:left w:w="72" w:type="dxa"/>
              <w:right w:w="72" w:type="dxa"/>
            </w:tcMar>
          </w:tcPr>
          <w:p w14:paraId="0DE6A403" w14:textId="77777777" w:rsidR="00B646DB" w:rsidRPr="007D1EDC"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7D1EDC">
              <w:rPr>
                <w:rFonts w:ascii="Arial Narrow" w:eastAsia="Calibri" w:hAnsi="Arial Narrow" w:cs="Calibri"/>
                <w:sz w:val="20"/>
                <w:szCs w:val="20"/>
              </w:rPr>
              <w:t>3.4</w:t>
            </w:r>
          </w:p>
        </w:tc>
        <w:tc>
          <w:tcPr>
            <w:tcW w:w="1367" w:type="pct"/>
            <w:tcMar>
              <w:left w:w="72" w:type="dxa"/>
              <w:right w:w="72" w:type="dxa"/>
            </w:tcMar>
          </w:tcPr>
          <w:p w14:paraId="642EB099" w14:textId="370CBD84"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Punimet për ndërtimin e stacionit të transferit për Komunën e Deçanit</w:t>
            </w:r>
          </w:p>
        </w:tc>
        <w:tc>
          <w:tcPr>
            <w:tcW w:w="462" w:type="pct"/>
            <w:tcBorders>
              <w:bottom w:val="single" w:sz="4" w:space="0" w:color="auto"/>
            </w:tcBorders>
            <w:tcMar>
              <w:left w:w="72" w:type="dxa"/>
              <w:right w:w="72" w:type="dxa"/>
            </w:tcMar>
          </w:tcPr>
          <w:p w14:paraId="6E39CF8C" w14:textId="71B45C92"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2027</w:t>
            </w:r>
          </w:p>
        </w:tc>
        <w:tc>
          <w:tcPr>
            <w:tcW w:w="578" w:type="pct"/>
            <w:tcBorders>
              <w:bottom w:val="single" w:sz="4" w:space="0" w:color="auto"/>
            </w:tcBorders>
            <w:tcMar>
              <w:left w:w="72" w:type="dxa"/>
              <w:right w:w="72" w:type="dxa"/>
            </w:tcMar>
          </w:tcPr>
          <w:p w14:paraId="3ADC1244" w14:textId="34882E1A"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726,000</w:t>
            </w:r>
          </w:p>
        </w:tc>
        <w:tc>
          <w:tcPr>
            <w:tcW w:w="666" w:type="pct"/>
            <w:tcBorders>
              <w:bottom w:val="single" w:sz="4" w:space="0" w:color="auto"/>
            </w:tcBorders>
            <w:tcMar>
              <w:left w:w="72" w:type="dxa"/>
              <w:right w:w="72" w:type="dxa"/>
            </w:tcMar>
          </w:tcPr>
          <w:p w14:paraId="27B57D77" w14:textId="063B70C6"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Granti kapital</w:t>
            </w:r>
          </w:p>
        </w:tc>
        <w:tc>
          <w:tcPr>
            <w:tcW w:w="838" w:type="pct"/>
            <w:tcBorders>
              <w:bottom w:val="single" w:sz="4" w:space="0" w:color="auto"/>
            </w:tcBorders>
            <w:tcMar>
              <w:left w:w="72" w:type="dxa"/>
              <w:right w:w="72" w:type="dxa"/>
            </w:tcMar>
          </w:tcPr>
          <w:p w14:paraId="789B11FF" w14:textId="1B7FA8BD"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Komuna e Deçanit</w:t>
            </w:r>
          </w:p>
        </w:tc>
        <w:tc>
          <w:tcPr>
            <w:tcW w:w="829" w:type="pct"/>
            <w:tcBorders>
              <w:bottom w:val="single" w:sz="4" w:space="0" w:color="auto"/>
            </w:tcBorders>
            <w:tcMar>
              <w:left w:w="72" w:type="dxa"/>
              <w:right w:w="72" w:type="dxa"/>
            </w:tcMar>
          </w:tcPr>
          <w:p w14:paraId="700E66AF" w14:textId="3FAFB469"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Stacioni i transferit i ngritur</w:t>
            </w:r>
          </w:p>
        </w:tc>
      </w:tr>
      <w:tr w:rsidR="00800D8F" w:rsidRPr="007D1EDC" w14:paraId="7471AC80" w14:textId="77777777" w:rsidTr="0067343B">
        <w:trPr>
          <w:cantSplit/>
        </w:trPr>
        <w:tc>
          <w:tcPr>
            <w:tcW w:w="260" w:type="pct"/>
            <w:shd w:val="clear" w:color="auto" w:fill="C1E4F5"/>
            <w:tcMar>
              <w:left w:w="72" w:type="dxa"/>
              <w:right w:w="72" w:type="dxa"/>
            </w:tcMar>
          </w:tcPr>
          <w:p w14:paraId="7FB64378"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4.</w:t>
            </w:r>
          </w:p>
        </w:tc>
        <w:tc>
          <w:tcPr>
            <w:tcW w:w="1367" w:type="pct"/>
            <w:tcBorders>
              <w:right w:val="nil"/>
            </w:tcBorders>
            <w:shd w:val="clear" w:color="auto" w:fill="C1E4F5"/>
            <w:tcMar>
              <w:left w:w="72" w:type="dxa"/>
              <w:right w:w="72" w:type="dxa"/>
            </w:tcMar>
          </w:tcPr>
          <w:p w14:paraId="0E475858" w14:textId="6D2D64E2"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Prioriteti – Ngritja e sistemeve të riciklimit dhe rikuperimit të mbet</w:t>
            </w:r>
            <w:r w:rsidR="00B646DB">
              <w:rPr>
                <w:rFonts w:ascii="Arial Narrow" w:eastAsia="Calibri" w:hAnsi="Arial Narrow" w:cs="Calibri"/>
                <w:b/>
                <w:bCs/>
                <w:sz w:val="20"/>
                <w:szCs w:val="20"/>
              </w:rPr>
              <w:t>urinave</w:t>
            </w:r>
          </w:p>
        </w:tc>
        <w:tc>
          <w:tcPr>
            <w:tcW w:w="462" w:type="pct"/>
            <w:tcBorders>
              <w:left w:val="nil"/>
              <w:right w:val="nil"/>
            </w:tcBorders>
            <w:shd w:val="clear" w:color="auto" w:fill="C1E4F5"/>
            <w:tcMar>
              <w:left w:w="72" w:type="dxa"/>
              <w:right w:w="72" w:type="dxa"/>
            </w:tcMar>
          </w:tcPr>
          <w:p w14:paraId="6214E449"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578" w:type="pct"/>
            <w:tcBorders>
              <w:left w:val="nil"/>
              <w:right w:val="nil"/>
            </w:tcBorders>
            <w:shd w:val="clear" w:color="auto" w:fill="C1E4F5"/>
            <w:tcMar>
              <w:left w:w="72" w:type="dxa"/>
              <w:right w:w="72" w:type="dxa"/>
            </w:tcMar>
          </w:tcPr>
          <w:p w14:paraId="5686A6D3"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highlight w:val="yellow"/>
              </w:rPr>
            </w:pPr>
          </w:p>
        </w:tc>
        <w:tc>
          <w:tcPr>
            <w:tcW w:w="666" w:type="pct"/>
            <w:tcBorders>
              <w:left w:val="nil"/>
              <w:right w:val="nil"/>
            </w:tcBorders>
            <w:shd w:val="clear" w:color="auto" w:fill="C1E4F5"/>
            <w:tcMar>
              <w:left w:w="72" w:type="dxa"/>
              <w:right w:w="72" w:type="dxa"/>
            </w:tcMar>
          </w:tcPr>
          <w:p w14:paraId="06BAD27C"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838" w:type="pct"/>
            <w:tcBorders>
              <w:left w:val="nil"/>
              <w:right w:val="nil"/>
            </w:tcBorders>
            <w:shd w:val="clear" w:color="auto" w:fill="C1E4F5"/>
            <w:tcMar>
              <w:left w:w="72" w:type="dxa"/>
              <w:right w:w="72" w:type="dxa"/>
            </w:tcMar>
          </w:tcPr>
          <w:p w14:paraId="48298CC1"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829" w:type="pct"/>
            <w:tcBorders>
              <w:left w:val="nil"/>
            </w:tcBorders>
            <w:shd w:val="clear" w:color="auto" w:fill="C1E4F5"/>
            <w:tcMar>
              <w:left w:w="72" w:type="dxa"/>
              <w:right w:w="72" w:type="dxa"/>
            </w:tcMar>
          </w:tcPr>
          <w:p w14:paraId="7D099A4E"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800D8F" w:rsidRPr="007D1EDC" w14:paraId="65F8907A" w14:textId="77777777" w:rsidTr="0067343B">
        <w:trPr>
          <w:cantSplit/>
        </w:trPr>
        <w:tc>
          <w:tcPr>
            <w:tcW w:w="260" w:type="pct"/>
            <w:tcMar>
              <w:left w:w="72" w:type="dxa"/>
              <w:right w:w="72" w:type="dxa"/>
            </w:tcMar>
          </w:tcPr>
          <w:p w14:paraId="47F3A89B" w14:textId="77777777" w:rsidR="00B646DB" w:rsidRPr="007D1EDC" w:rsidRDefault="00B646DB" w:rsidP="00B646DB">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4.1</w:t>
            </w:r>
          </w:p>
        </w:tc>
        <w:tc>
          <w:tcPr>
            <w:tcW w:w="1367" w:type="pct"/>
            <w:tcMar>
              <w:left w:w="72" w:type="dxa"/>
              <w:right w:w="72" w:type="dxa"/>
            </w:tcMar>
          </w:tcPr>
          <w:p w14:paraId="699810C2" w14:textId="3AF9C96C" w:rsidR="00B646DB" w:rsidRPr="00B646DB" w:rsidRDefault="00B646DB" w:rsidP="00B646DB">
            <w:pPr>
              <w:widowControl w:val="0"/>
              <w:suppressAutoHyphens/>
              <w:autoSpaceDE w:val="0"/>
              <w:autoSpaceDN w:val="0"/>
              <w:spacing w:before="60" w:after="60"/>
              <w:ind w:right="123"/>
              <w:rPr>
                <w:rFonts w:ascii="Arial Narrow" w:eastAsia="Calibri" w:hAnsi="Arial Narrow" w:cs="Calibri"/>
                <w:b/>
                <w:bCs/>
                <w:i/>
                <w:iCs/>
                <w:sz w:val="20"/>
                <w:szCs w:val="20"/>
              </w:rPr>
            </w:pPr>
            <w:r w:rsidRPr="00B646DB">
              <w:rPr>
                <w:rFonts w:ascii="Arial Narrow" w:eastAsia="Calibri" w:hAnsi="Arial Narrow" w:cs="Calibri"/>
                <w:b/>
                <w:bCs/>
                <w:i/>
                <w:iCs/>
                <w:sz w:val="20"/>
                <w:szCs w:val="20"/>
              </w:rPr>
              <w:t>Detyrë – Krijimi i Oborreve të Riciklimit</w:t>
            </w:r>
          </w:p>
        </w:tc>
        <w:tc>
          <w:tcPr>
            <w:tcW w:w="462" w:type="pct"/>
            <w:tcMar>
              <w:left w:w="72" w:type="dxa"/>
              <w:right w:w="72" w:type="dxa"/>
            </w:tcMar>
          </w:tcPr>
          <w:p w14:paraId="09C7C323" w14:textId="77777777" w:rsidR="00B646DB" w:rsidRPr="00B646DB" w:rsidRDefault="00B646DB" w:rsidP="00B646DB">
            <w:pPr>
              <w:widowControl w:val="0"/>
              <w:suppressAutoHyphens/>
              <w:autoSpaceDE w:val="0"/>
              <w:autoSpaceDN w:val="0"/>
              <w:spacing w:before="60" w:after="60"/>
              <w:ind w:right="123"/>
              <w:rPr>
                <w:rFonts w:ascii="Arial Narrow" w:eastAsia="Calibri" w:hAnsi="Arial Narrow" w:cs="Calibri"/>
                <w:b/>
                <w:bCs/>
                <w:i/>
                <w:iCs/>
                <w:sz w:val="20"/>
                <w:szCs w:val="20"/>
              </w:rPr>
            </w:pPr>
          </w:p>
        </w:tc>
        <w:tc>
          <w:tcPr>
            <w:tcW w:w="578" w:type="pct"/>
            <w:tcMar>
              <w:left w:w="72" w:type="dxa"/>
              <w:right w:w="72" w:type="dxa"/>
            </w:tcMar>
          </w:tcPr>
          <w:p w14:paraId="4F95D554" w14:textId="77777777" w:rsidR="00B646DB" w:rsidRPr="00B646DB" w:rsidRDefault="00B646DB" w:rsidP="00B646DB">
            <w:pPr>
              <w:widowControl w:val="0"/>
              <w:suppressAutoHyphens/>
              <w:autoSpaceDE w:val="0"/>
              <w:autoSpaceDN w:val="0"/>
              <w:spacing w:before="60" w:after="60"/>
              <w:ind w:right="123"/>
              <w:rPr>
                <w:rFonts w:ascii="Arial Narrow" w:eastAsia="Calibri" w:hAnsi="Arial Narrow" w:cs="Calibri"/>
                <w:b/>
                <w:bCs/>
                <w:i/>
                <w:iCs/>
                <w:sz w:val="20"/>
                <w:szCs w:val="20"/>
                <w:highlight w:val="yellow"/>
              </w:rPr>
            </w:pPr>
          </w:p>
        </w:tc>
        <w:tc>
          <w:tcPr>
            <w:tcW w:w="666" w:type="pct"/>
            <w:tcMar>
              <w:left w:w="72" w:type="dxa"/>
              <w:right w:w="72" w:type="dxa"/>
            </w:tcMar>
          </w:tcPr>
          <w:p w14:paraId="4225D986" w14:textId="77777777" w:rsidR="00B646DB" w:rsidRPr="00B646DB" w:rsidRDefault="00B646DB" w:rsidP="00B646DB">
            <w:pPr>
              <w:widowControl w:val="0"/>
              <w:suppressAutoHyphens/>
              <w:autoSpaceDE w:val="0"/>
              <w:autoSpaceDN w:val="0"/>
              <w:spacing w:before="60" w:after="60"/>
              <w:ind w:right="123"/>
              <w:rPr>
                <w:rFonts w:ascii="Arial Narrow" w:eastAsia="Calibri" w:hAnsi="Arial Narrow" w:cs="Calibri"/>
                <w:b/>
                <w:bCs/>
                <w:i/>
                <w:iCs/>
                <w:sz w:val="20"/>
                <w:szCs w:val="20"/>
              </w:rPr>
            </w:pPr>
          </w:p>
        </w:tc>
        <w:tc>
          <w:tcPr>
            <w:tcW w:w="838" w:type="pct"/>
            <w:tcMar>
              <w:left w:w="72" w:type="dxa"/>
              <w:right w:w="72" w:type="dxa"/>
            </w:tcMar>
          </w:tcPr>
          <w:p w14:paraId="4116B3A2" w14:textId="77777777" w:rsidR="00B646DB" w:rsidRPr="00B646DB" w:rsidRDefault="00B646DB" w:rsidP="00B646DB">
            <w:pPr>
              <w:widowControl w:val="0"/>
              <w:suppressAutoHyphens/>
              <w:autoSpaceDE w:val="0"/>
              <w:autoSpaceDN w:val="0"/>
              <w:spacing w:before="60" w:after="60"/>
              <w:ind w:right="123"/>
              <w:rPr>
                <w:rFonts w:ascii="Arial Narrow" w:eastAsia="Calibri" w:hAnsi="Arial Narrow" w:cs="Calibri"/>
                <w:b/>
                <w:bCs/>
                <w:i/>
                <w:iCs/>
                <w:sz w:val="20"/>
                <w:szCs w:val="20"/>
              </w:rPr>
            </w:pPr>
          </w:p>
        </w:tc>
        <w:tc>
          <w:tcPr>
            <w:tcW w:w="829" w:type="pct"/>
            <w:tcMar>
              <w:left w:w="72" w:type="dxa"/>
              <w:right w:w="72" w:type="dxa"/>
            </w:tcMar>
          </w:tcPr>
          <w:p w14:paraId="1EF63268" w14:textId="77777777" w:rsidR="00B646DB" w:rsidRPr="00B646DB" w:rsidRDefault="00B646DB" w:rsidP="00B646DB">
            <w:pPr>
              <w:widowControl w:val="0"/>
              <w:suppressAutoHyphens/>
              <w:autoSpaceDE w:val="0"/>
              <w:autoSpaceDN w:val="0"/>
              <w:spacing w:before="60" w:after="60"/>
              <w:ind w:right="123"/>
              <w:rPr>
                <w:rFonts w:ascii="Arial Narrow" w:eastAsia="Calibri" w:hAnsi="Arial Narrow" w:cs="Calibri"/>
                <w:b/>
                <w:bCs/>
                <w:i/>
                <w:iCs/>
                <w:sz w:val="20"/>
                <w:szCs w:val="20"/>
              </w:rPr>
            </w:pPr>
          </w:p>
        </w:tc>
      </w:tr>
      <w:tr w:rsidR="00800D8F" w:rsidRPr="007D1EDC" w14:paraId="5E03063C" w14:textId="77777777" w:rsidTr="0067343B">
        <w:trPr>
          <w:cantSplit/>
        </w:trPr>
        <w:tc>
          <w:tcPr>
            <w:tcW w:w="260" w:type="pct"/>
            <w:tcMar>
              <w:left w:w="72" w:type="dxa"/>
              <w:right w:w="72" w:type="dxa"/>
            </w:tcMar>
          </w:tcPr>
          <w:p w14:paraId="0BCB8A37" w14:textId="77777777" w:rsidR="00B646DB" w:rsidRPr="007D1EDC" w:rsidRDefault="00B646DB" w:rsidP="00B646DB">
            <w:pPr>
              <w:widowControl w:val="0"/>
              <w:numPr>
                <w:ilvl w:val="0"/>
                <w:numId w:val="40"/>
              </w:numPr>
              <w:suppressAutoHyphens/>
              <w:autoSpaceDE w:val="0"/>
              <w:autoSpaceDN w:val="0"/>
              <w:spacing w:before="60" w:after="60"/>
              <w:ind w:right="123"/>
              <w:contextualSpacing/>
              <w:jc w:val="both"/>
              <w:rPr>
                <w:rFonts w:ascii="Arial Narrow" w:eastAsia="Aptos" w:hAnsi="Arial Narrow" w:cs="Arial"/>
                <w:sz w:val="20"/>
                <w:szCs w:val="20"/>
                <w:lang w:val="en-GB" w:eastAsia="uk-UA"/>
              </w:rPr>
            </w:pPr>
          </w:p>
        </w:tc>
        <w:tc>
          <w:tcPr>
            <w:tcW w:w="1367" w:type="pct"/>
            <w:tcMar>
              <w:left w:w="72" w:type="dxa"/>
              <w:right w:w="72" w:type="dxa"/>
            </w:tcMar>
          </w:tcPr>
          <w:p w14:paraId="1A82170E" w14:textId="736735B5"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Aptos" w:hAnsi="Arial Narrow" w:cs="Arial"/>
                <w:sz w:val="20"/>
                <w:szCs w:val="20"/>
                <w:lang w:eastAsia="uk-UA"/>
              </w:rPr>
              <w:t>Zhvillimi dhe dizajnimi i dokumentacionit për ngritjen e Oborreve të Riciklimit</w:t>
            </w:r>
          </w:p>
        </w:tc>
        <w:tc>
          <w:tcPr>
            <w:tcW w:w="462" w:type="pct"/>
            <w:tcMar>
              <w:left w:w="72" w:type="dxa"/>
              <w:right w:w="72" w:type="dxa"/>
            </w:tcMar>
          </w:tcPr>
          <w:p w14:paraId="0BBB3AF9" w14:textId="4654AB14"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Calibri" w:hAnsi="Arial Narrow" w:cs="Calibri"/>
                <w:sz w:val="20"/>
                <w:szCs w:val="20"/>
              </w:rPr>
              <w:t>2025</w:t>
            </w:r>
          </w:p>
        </w:tc>
        <w:tc>
          <w:tcPr>
            <w:tcW w:w="578" w:type="pct"/>
            <w:tcMar>
              <w:left w:w="72" w:type="dxa"/>
              <w:right w:w="72" w:type="dxa"/>
            </w:tcMar>
          </w:tcPr>
          <w:p w14:paraId="28D20F7E" w14:textId="25B204F0"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666" w:type="pct"/>
            <w:tcMar>
              <w:left w:w="72" w:type="dxa"/>
              <w:right w:w="72" w:type="dxa"/>
            </w:tcMar>
          </w:tcPr>
          <w:p w14:paraId="1DA90E9F" w14:textId="7F13C6DF"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Aptos" w:hAnsi="Arial Narrow" w:cs="Arial"/>
                <w:sz w:val="20"/>
                <w:szCs w:val="20"/>
                <w:lang w:eastAsia="uk-UA"/>
              </w:rPr>
              <w:t>Granti i Asistencës Teknike</w:t>
            </w:r>
          </w:p>
        </w:tc>
        <w:tc>
          <w:tcPr>
            <w:tcW w:w="838" w:type="pct"/>
            <w:tcMar>
              <w:left w:w="72" w:type="dxa"/>
              <w:right w:w="72" w:type="dxa"/>
            </w:tcMar>
          </w:tcPr>
          <w:p w14:paraId="79A2A5ED" w14:textId="7732540A"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Aptos" w:hAnsi="Arial Narrow" w:cs="Arial"/>
                <w:sz w:val="20"/>
                <w:szCs w:val="20"/>
                <w:lang w:eastAsia="uk-UA"/>
              </w:rPr>
              <w:t>Të gjitha komunat</w:t>
            </w:r>
          </w:p>
        </w:tc>
        <w:tc>
          <w:tcPr>
            <w:tcW w:w="829" w:type="pct"/>
            <w:tcMar>
              <w:left w:w="72" w:type="dxa"/>
              <w:right w:w="72" w:type="dxa"/>
            </w:tcMar>
          </w:tcPr>
          <w:p w14:paraId="6FC46FD4" w14:textId="7F82A9B1"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Calibri" w:hAnsi="Arial Narrow" w:cs="Calibri"/>
                <w:sz w:val="20"/>
                <w:szCs w:val="20"/>
              </w:rPr>
              <w:t>Dizajnet e përgatitura dhe të aprovuara</w:t>
            </w:r>
          </w:p>
        </w:tc>
      </w:tr>
      <w:tr w:rsidR="00800D8F" w:rsidRPr="007D1EDC" w14:paraId="51DC88B3" w14:textId="77777777" w:rsidTr="0067343B">
        <w:trPr>
          <w:cantSplit/>
        </w:trPr>
        <w:tc>
          <w:tcPr>
            <w:tcW w:w="260" w:type="pct"/>
            <w:tcMar>
              <w:left w:w="72" w:type="dxa"/>
              <w:right w:w="72" w:type="dxa"/>
            </w:tcMar>
          </w:tcPr>
          <w:p w14:paraId="35130D21" w14:textId="77777777" w:rsidR="00B646DB" w:rsidRPr="009F5CA1" w:rsidRDefault="00B646DB" w:rsidP="00B646DB">
            <w:pPr>
              <w:widowControl w:val="0"/>
              <w:numPr>
                <w:ilvl w:val="0"/>
                <w:numId w:val="40"/>
              </w:numPr>
              <w:suppressAutoHyphens/>
              <w:autoSpaceDE w:val="0"/>
              <w:autoSpaceDN w:val="0"/>
              <w:spacing w:before="60" w:after="60"/>
              <w:ind w:right="123"/>
              <w:contextualSpacing/>
              <w:jc w:val="both"/>
              <w:rPr>
                <w:rFonts w:ascii="Arial Narrow" w:eastAsia="Aptos" w:hAnsi="Arial Narrow" w:cs="Arial"/>
                <w:sz w:val="20"/>
                <w:szCs w:val="20"/>
                <w:lang w:val="es-ES" w:eastAsia="uk-UA"/>
              </w:rPr>
            </w:pPr>
          </w:p>
        </w:tc>
        <w:tc>
          <w:tcPr>
            <w:tcW w:w="1367" w:type="pct"/>
            <w:tcMar>
              <w:left w:w="72" w:type="dxa"/>
              <w:right w:w="72" w:type="dxa"/>
            </w:tcMar>
          </w:tcPr>
          <w:p w14:paraId="36EB82F4" w14:textId="0145AAFE"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Punimet e ndërtimit dhe furnizimi me pajisje për OR në Komunën e Pejës</w:t>
            </w:r>
          </w:p>
        </w:tc>
        <w:tc>
          <w:tcPr>
            <w:tcW w:w="462" w:type="pct"/>
            <w:tcMar>
              <w:left w:w="72" w:type="dxa"/>
              <w:right w:w="72" w:type="dxa"/>
            </w:tcMar>
          </w:tcPr>
          <w:p w14:paraId="040BADED" w14:textId="48599897"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2025-2026</w:t>
            </w:r>
          </w:p>
        </w:tc>
        <w:tc>
          <w:tcPr>
            <w:tcW w:w="578" w:type="pct"/>
            <w:tcMar>
              <w:left w:w="72" w:type="dxa"/>
              <w:right w:w="72" w:type="dxa"/>
            </w:tcMar>
          </w:tcPr>
          <w:p w14:paraId="4F1C040F" w14:textId="15137B38"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lang w:val="bg-BG"/>
              </w:rPr>
            </w:pPr>
            <w:r w:rsidRPr="00B646DB">
              <w:rPr>
                <w:rFonts w:ascii="Arial Narrow" w:eastAsia="Calibri" w:hAnsi="Arial Narrow" w:cs="Calibri"/>
                <w:sz w:val="20"/>
                <w:szCs w:val="20"/>
              </w:rPr>
              <w:t>400,000</w:t>
            </w:r>
          </w:p>
        </w:tc>
        <w:tc>
          <w:tcPr>
            <w:tcW w:w="666" w:type="pct"/>
            <w:shd w:val="clear" w:color="auto" w:fill="auto"/>
            <w:tcMar>
              <w:left w:w="72" w:type="dxa"/>
              <w:right w:w="72" w:type="dxa"/>
            </w:tcMar>
          </w:tcPr>
          <w:p w14:paraId="00D49EAD" w14:textId="4A370B79"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Buxheti komunal/Granti kapital</w:t>
            </w:r>
          </w:p>
        </w:tc>
        <w:tc>
          <w:tcPr>
            <w:tcW w:w="838" w:type="pct"/>
            <w:tcMar>
              <w:left w:w="72" w:type="dxa"/>
              <w:right w:w="72" w:type="dxa"/>
            </w:tcMar>
          </w:tcPr>
          <w:p w14:paraId="77D8038C" w14:textId="2C38F374"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Komuna e Pejës</w:t>
            </w:r>
          </w:p>
        </w:tc>
        <w:tc>
          <w:tcPr>
            <w:tcW w:w="829" w:type="pct"/>
            <w:tcMar>
              <w:left w:w="72" w:type="dxa"/>
              <w:right w:w="72" w:type="dxa"/>
            </w:tcMar>
          </w:tcPr>
          <w:p w14:paraId="350D149D" w14:textId="035E253D"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OR i gatshëm për punë</w:t>
            </w:r>
          </w:p>
        </w:tc>
      </w:tr>
      <w:tr w:rsidR="00800D8F" w:rsidRPr="007D1EDC" w14:paraId="3E59F151" w14:textId="77777777" w:rsidTr="0067343B">
        <w:trPr>
          <w:cantSplit/>
        </w:trPr>
        <w:tc>
          <w:tcPr>
            <w:tcW w:w="260" w:type="pct"/>
            <w:tcMar>
              <w:left w:w="72" w:type="dxa"/>
              <w:right w:w="72" w:type="dxa"/>
            </w:tcMar>
          </w:tcPr>
          <w:p w14:paraId="147527AD" w14:textId="77777777" w:rsidR="00B646DB" w:rsidRPr="007D1EDC" w:rsidRDefault="00B646DB" w:rsidP="00B646DB">
            <w:pPr>
              <w:widowControl w:val="0"/>
              <w:numPr>
                <w:ilvl w:val="0"/>
                <w:numId w:val="40"/>
              </w:numPr>
              <w:suppressAutoHyphens/>
              <w:autoSpaceDE w:val="0"/>
              <w:autoSpaceDN w:val="0"/>
              <w:spacing w:before="60" w:after="60"/>
              <w:ind w:right="123"/>
              <w:contextualSpacing/>
              <w:jc w:val="both"/>
              <w:rPr>
                <w:rFonts w:ascii="Arial Narrow" w:eastAsia="Aptos" w:hAnsi="Arial Narrow" w:cs="Arial"/>
                <w:sz w:val="20"/>
                <w:szCs w:val="20"/>
                <w:lang w:val="en-GB" w:eastAsia="uk-UA"/>
              </w:rPr>
            </w:pPr>
          </w:p>
        </w:tc>
        <w:tc>
          <w:tcPr>
            <w:tcW w:w="1367" w:type="pct"/>
            <w:tcMar>
              <w:left w:w="72" w:type="dxa"/>
              <w:right w:w="72" w:type="dxa"/>
            </w:tcMar>
          </w:tcPr>
          <w:p w14:paraId="6D7FD9DB" w14:textId="711DA82D"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Punimet e ndërtimit dhe furnizimi me pajisje për OR në Komunën e Istogut</w:t>
            </w:r>
          </w:p>
        </w:tc>
        <w:tc>
          <w:tcPr>
            <w:tcW w:w="462" w:type="pct"/>
            <w:tcMar>
              <w:left w:w="72" w:type="dxa"/>
              <w:right w:w="72" w:type="dxa"/>
            </w:tcMar>
          </w:tcPr>
          <w:p w14:paraId="5CD5A7BC" w14:textId="6D2EDCD4"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2025-2026</w:t>
            </w:r>
          </w:p>
        </w:tc>
        <w:tc>
          <w:tcPr>
            <w:tcW w:w="578" w:type="pct"/>
            <w:tcMar>
              <w:left w:w="72" w:type="dxa"/>
              <w:right w:w="72" w:type="dxa"/>
            </w:tcMar>
          </w:tcPr>
          <w:p w14:paraId="0B90B6D5" w14:textId="1443B4E3"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lang w:val="bg-BG"/>
              </w:rPr>
            </w:pPr>
            <w:r w:rsidRPr="00B646DB">
              <w:rPr>
                <w:rFonts w:ascii="Arial Narrow" w:eastAsia="Calibri" w:hAnsi="Arial Narrow" w:cs="Calibri"/>
                <w:sz w:val="20"/>
                <w:szCs w:val="20"/>
              </w:rPr>
              <w:t>344,000</w:t>
            </w:r>
          </w:p>
        </w:tc>
        <w:tc>
          <w:tcPr>
            <w:tcW w:w="666" w:type="pct"/>
            <w:shd w:val="clear" w:color="auto" w:fill="auto"/>
            <w:tcMar>
              <w:left w:w="72" w:type="dxa"/>
              <w:right w:w="72" w:type="dxa"/>
            </w:tcMar>
          </w:tcPr>
          <w:p w14:paraId="49C2D38F" w14:textId="1BC459B3"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Buxheti komunal/Granti kapital</w:t>
            </w:r>
          </w:p>
        </w:tc>
        <w:tc>
          <w:tcPr>
            <w:tcW w:w="838" w:type="pct"/>
            <w:tcMar>
              <w:left w:w="72" w:type="dxa"/>
              <w:right w:w="72" w:type="dxa"/>
            </w:tcMar>
          </w:tcPr>
          <w:p w14:paraId="523AE80B" w14:textId="018F0668"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Komuna e Istogut</w:t>
            </w:r>
          </w:p>
        </w:tc>
        <w:tc>
          <w:tcPr>
            <w:tcW w:w="829" w:type="pct"/>
            <w:tcMar>
              <w:left w:w="72" w:type="dxa"/>
              <w:right w:w="72" w:type="dxa"/>
            </w:tcMar>
          </w:tcPr>
          <w:p w14:paraId="38E4D8B2" w14:textId="7456F4D7"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OR i gatshëm për punë</w:t>
            </w:r>
          </w:p>
        </w:tc>
      </w:tr>
      <w:tr w:rsidR="00800D8F" w:rsidRPr="007D1EDC" w14:paraId="6D5BAF22" w14:textId="77777777" w:rsidTr="0067343B">
        <w:trPr>
          <w:cantSplit/>
        </w:trPr>
        <w:tc>
          <w:tcPr>
            <w:tcW w:w="260" w:type="pct"/>
            <w:tcMar>
              <w:left w:w="72" w:type="dxa"/>
              <w:right w:w="72" w:type="dxa"/>
            </w:tcMar>
          </w:tcPr>
          <w:p w14:paraId="1B8B834D" w14:textId="77777777" w:rsidR="00B646DB" w:rsidRPr="007D1EDC" w:rsidRDefault="00B646DB" w:rsidP="00B646DB">
            <w:pPr>
              <w:widowControl w:val="0"/>
              <w:numPr>
                <w:ilvl w:val="0"/>
                <w:numId w:val="40"/>
              </w:numPr>
              <w:suppressAutoHyphens/>
              <w:autoSpaceDE w:val="0"/>
              <w:autoSpaceDN w:val="0"/>
              <w:spacing w:before="60" w:after="60"/>
              <w:ind w:right="123"/>
              <w:contextualSpacing/>
              <w:jc w:val="both"/>
              <w:rPr>
                <w:rFonts w:ascii="Arial Narrow" w:eastAsia="Aptos" w:hAnsi="Arial Narrow" w:cs="Arial"/>
                <w:sz w:val="20"/>
                <w:szCs w:val="20"/>
                <w:lang w:val="en-GB" w:eastAsia="uk-UA"/>
              </w:rPr>
            </w:pPr>
          </w:p>
        </w:tc>
        <w:tc>
          <w:tcPr>
            <w:tcW w:w="1367" w:type="pct"/>
            <w:tcMar>
              <w:left w:w="72" w:type="dxa"/>
              <w:right w:w="72" w:type="dxa"/>
            </w:tcMar>
          </w:tcPr>
          <w:p w14:paraId="5238D067" w14:textId="485947C6"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Punimet e ndërtimit dhe furnizimi me pajisje për OR në Komunën e Klinës</w:t>
            </w:r>
          </w:p>
        </w:tc>
        <w:tc>
          <w:tcPr>
            <w:tcW w:w="462" w:type="pct"/>
            <w:tcMar>
              <w:left w:w="72" w:type="dxa"/>
              <w:right w:w="72" w:type="dxa"/>
            </w:tcMar>
          </w:tcPr>
          <w:p w14:paraId="689FD86E" w14:textId="77D05EE7"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2026</w:t>
            </w:r>
          </w:p>
        </w:tc>
        <w:tc>
          <w:tcPr>
            <w:tcW w:w="578" w:type="pct"/>
            <w:tcMar>
              <w:left w:w="72" w:type="dxa"/>
              <w:right w:w="72" w:type="dxa"/>
            </w:tcMar>
          </w:tcPr>
          <w:p w14:paraId="573EEC12" w14:textId="14C9627F"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lang w:val="bg-BG"/>
              </w:rPr>
            </w:pPr>
            <w:r w:rsidRPr="00B646DB">
              <w:rPr>
                <w:rFonts w:ascii="Arial Narrow" w:eastAsia="Calibri" w:hAnsi="Arial Narrow" w:cs="Calibri"/>
                <w:sz w:val="20"/>
                <w:szCs w:val="20"/>
              </w:rPr>
              <w:t>344,000</w:t>
            </w:r>
          </w:p>
        </w:tc>
        <w:tc>
          <w:tcPr>
            <w:tcW w:w="666" w:type="pct"/>
            <w:shd w:val="clear" w:color="auto" w:fill="auto"/>
            <w:tcMar>
              <w:left w:w="72" w:type="dxa"/>
              <w:right w:w="72" w:type="dxa"/>
            </w:tcMar>
          </w:tcPr>
          <w:p w14:paraId="23F34EE6" w14:textId="47B76749"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Buxheti komunal/Granti kapital</w:t>
            </w:r>
          </w:p>
        </w:tc>
        <w:tc>
          <w:tcPr>
            <w:tcW w:w="838" w:type="pct"/>
            <w:tcMar>
              <w:left w:w="72" w:type="dxa"/>
              <w:right w:w="72" w:type="dxa"/>
            </w:tcMar>
          </w:tcPr>
          <w:p w14:paraId="482697A9" w14:textId="0B4FAA61"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Komuna e Klinës</w:t>
            </w:r>
          </w:p>
        </w:tc>
        <w:tc>
          <w:tcPr>
            <w:tcW w:w="829" w:type="pct"/>
            <w:tcMar>
              <w:left w:w="72" w:type="dxa"/>
              <w:right w:w="72" w:type="dxa"/>
            </w:tcMar>
          </w:tcPr>
          <w:p w14:paraId="0B94FA86" w14:textId="0893122E"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OR i gatshëm për punë</w:t>
            </w:r>
          </w:p>
        </w:tc>
      </w:tr>
      <w:tr w:rsidR="00800D8F" w:rsidRPr="007D1EDC" w14:paraId="4114DC06" w14:textId="77777777" w:rsidTr="0067343B">
        <w:trPr>
          <w:cantSplit/>
        </w:trPr>
        <w:tc>
          <w:tcPr>
            <w:tcW w:w="260" w:type="pct"/>
            <w:tcMar>
              <w:left w:w="72" w:type="dxa"/>
              <w:right w:w="72" w:type="dxa"/>
            </w:tcMar>
          </w:tcPr>
          <w:p w14:paraId="715A9DFD" w14:textId="77777777" w:rsidR="00B646DB" w:rsidRPr="007D1EDC" w:rsidRDefault="00B646DB" w:rsidP="00B646DB">
            <w:pPr>
              <w:widowControl w:val="0"/>
              <w:numPr>
                <w:ilvl w:val="0"/>
                <w:numId w:val="40"/>
              </w:numPr>
              <w:suppressAutoHyphens/>
              <w:autoSpaceDE w:val="0"/>
              <w:autoSpaceDN w:val="0"/>
              <w:spacing w:before="60" w:after="60"/>
              <w:ind w:right="123"/>
              <w:contextualSpacing/>
              <w:jc w:val="both"/>
              <w:rPr>
                <w:rFonts w:ascii="Arial Narrow" w:eastAsia="Aptos" w:hAnsi="Arial Narrow" w:cs="Arial"/>
                <w:sz w:val="20"/>
                <w:szCs w:val="20"/>
                <w:lang w:val="en-GB" w:eastAsia="uk-UA"/>
              </w:rPr>
            </w:pPr>
          </w:p>
        </w:tc>
        <w:tc>
          <w:tcPr>
            <w:tcW w:w="1367" w:type="pct"/>
            <w:tcMar>
              <w:left w:w="72" w:type="dxa"/>
              <w:right w:w="72" w:type="dxa"/>
            </w:tcMar>
          </w:tcPr>
          <w:p w14:paraId="3C6BEFD1" w14:textId="17D8B95D"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Punimet e ndërtimit dhe furnizimi me pajisje për OR në Komunën e Deçanit</w:t>
            </w:r>
          </w:p>
        </w:tc>
        <w:tc>
          <w:tcPr>
            <w:tcW w:w="462" w:type="pct"/>
            <w:tcMar>
              <w:left w:w="72" w:type="dxa"/>
              <w:right w:w="72" w:type="dxa"/>
            </w:tcMar>
          </w:tcPr>
          <w:p w14:paraId="13DBF6FA" w14:textId="27F97C6B"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2026</w:t>
            </w:r>
          </w:p>
        </w:tc>
        <w:tc>
          <w:tcPr>
            <w:tcW w:w="578" w:type="pct"/>
            <w:tcMar>
              <w:left w:w="72" w:type="dxa"/>
              <w:right w:w="72" w:type="dxa"/>
            </w:tcMar>
          </w:tcPr>
          <w:p w14:paraId="789E8452" w14:textId="55784F99"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lang w:val="bg-BG"/>
              </w:rPr>
            </w:pPr>
            <w:r w:rsidRPr="00B646DB">
              <w:rPr>
                <w:rFonts w:ascii="Arial Narrow" w:eastAsia="Calibri" w:hAnsi="Arial Narrow" w:cs="Calibri"/>
                <w:sz w:val="20"/>
                <w:szCs w:val="20"/>
              </w:rPr>
              <w:t>382,000</w:t>
            </w:r>
          </w:p>
        </w:tc>
        <w:tc>
          <w:tcPr>
            <w:tcW w:w="666" w:type="pct"/>
            <w:shd w:val="clear" w:color="auto" w:fill="auto"/>
            <w:tcMar>
              <w:left w:w="72" w:type="dxa"/>
              <w:right w:w="72" w:type="dxa"/>
            </w:tcMar>
          </w:tcPr>
          <w:p w14:paraId="74474422" w14:textId="2843B251"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Buxheti komunal/Granti kapital</w:t>
            </w:r>
          </w:p>
        </w:tc>
        <w:tc>
          <w:tcPr>
            <w:tcW w:w="838" w:type="pct"/>
            <w:tcMar>
              <w:left w:w="72" w:type="dxa"/>
              <w:right w:w="72" w:type="dxa"/>
            </w:tcMar>
          </w:tcPr>
          <w:p w14:paraId="6D0DC06A" w14:textId="0DD0F2CF"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Komuna e Deçanit</w:t>
            </w:r>
          </w:p>
        </w:tc>
        <w:tc>
          <w:tcPr>
            <w:tcW w:w="829" w:type="pct"/>
            <w:tcMar>
              <w:left w:w="72" w:type="dxa"/>
              <w:right w:w="72" w:type="dxa"/>
            </w:tcMar>
          </w:tcPr>
          <w:p w14:paraId="439B8A49" w14:textId="23F0776A"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OR i gatshëm për punë</w:t>
            </w:r>
          </w:p>
        </w:tc>
      </w:tr>
      <w:tr w:rsidR="00800D8F" w:rsidRPr="007D1EDC" w14:paraId="14815A5C" w14:textId="77777777" w:rsidTr="0067343B">
        <w:trPr>
          <w:cantSplit/>
        </w:trPr>
        <w:tc>
          <w:tcPr>
            <w:tcW w:w="260" w:type="pct"/>
            <w:tcMar>
              <w:left w:w="72" w:type="dxa"/>
              <w:right w:w="72" w:type="dxa"/>
            </w:tcMar>
          </w:tcPr>
          <w:p w14:paraId="5849B349" w14:textId="77777777" w:rsidR="00B646DB" w:rsidRPr="007D1EDC" w:rsidRDefault="00B646DB" w:rsidP="00B646DB">
            <w:pPr>
              <w:widowControl w:val="0"/>
              <w:numPr>
                <w:ilvl w:val="0"/>
                <w:numId w:val="40"/>
              </w:numPr>
              <w:suppressAutoHyphens/>
              <w:autoSpaceDE w:val="0"/>
              <w:autoSpaceDN w:val="0"/>
              <w:spacing w:before="60" w:after="60"/>
              <w:ind w:right="123"/>
              <w:contextualSpacing/>
              <w:jc w:val="both"/>
              <w:rPr>
                <w:rFonts w:ascii="Arial Narrow" w:eastAsia="Aptos" w:hAnsi="Arial Narrow" w:cs="Arial"/>
                <w:sz w:val="20"/>
                <w:szCs w:val="20"/>
                <w:lang w:val="en-GB" w:eastAsia="uk-UA"/>
              </w:rPr>
            </w:pPr>
          </w:p>
        </w:tc>
        <w:tc>
          <w:tcPr>
            <w:tcW w:w="1367" w:type="pct"/>
            <w:tcMar>
              <w:left w:w="72" w:type="dxa"/>
              <w:right w:w="72" w:type="dxa"/>
            </w:tcMar>
          </w:tcPr>
          <w:p w14:paraId="1E6FE0F2" w14:textId="3E29C4E3"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Punimet e ndërtimit dhe furnizimi me pajisje për OR në Komunën e Junikut</w:t>
            </w:r>
          </w:p>
        </w:tc>
        <w:tc>
          <w:tcPr>
            <w:tcW w:w="462" w:type="pct"/>
            <w:tcMar>
              <w:left w:w="72" w:type="dxa"/>
              <w:right w:w="72" w:type="dxa"/>
            </w:tcMar>
          </w:tcPr>
          <w:p w14:paraId="45156D32" w14:textId="51558336"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2026</w:t>
            </w:r>
          </w:p>
        </w:tc>
        <w:tc>
          <w:tcPr>
            <w:tcW w:w="578" w:type="pct"/>
            <w:tcMar>
              <w:left w:w="72" w:type="dxa"/>
              <w:right w:w="72" w:type="dxa"/>
            </w:tcMar>
          </w:tcPr>
          <w:p w14:paraId="620AE35D" w14:textId="4C48D4E9"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lang w:val="bg-BG"/>
              </w:rPr>
            </w:pPr>
            <w:r w:rsidRPr="00B646DB">
              <w:rPr>
                <w:rFonts w:ascii="Arial Narrow" w:eastAsia="Calibri" w:hAnsi="Arial Narrow" w:cs="Calibri"/>
                <w:sz w:val="20"/>
                <w:szCs w:val="20"/>
              </w:rPr>
              <w:t>181,000</w:t>
            </w:r>
          </w:p>
        </w:tc>
        <w:tc>
          <w:tcPr>
            <w:tcW w:w="666" w:type="pct"/>
            <w:shd w:val="clear" w:color="auto" w:fill="auto"/>
            <w:tcMar>
              <w:left w:w="72" w:type="dxa"/>
              <w:right w:w="72" w:type="dxa"/>
            </w:tcMar>
          </w:tcPr>
          <w:p w14:paraId="56C15C92" w14:textId="6A82F4DA"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Buxheti komunal/Granti kapital</w:t>
            </w:r>
          </w:p>
        </w:tc>
        <w:tc>
          <w:tcPr>
            <w:tcW w:w="838" w:type="pct"/>
            <w:tcMar>
              <w:left w:w="72" w:type="dxa"/>
              <w:right w:w="72" w:type="dxa"/>
            </w:tcMar>
          </w:tcPr>
          <w:p w14:paraId="53093B8F" w14:textId="1A30AE94"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Komuna e Deçanit</w:t>
            </w:r>
          </w:p>
        </w:tc>
        <w:tc>
          <w:tcPr>
            <w:tcW w:w="829" w:type="pct"/>
            <w:tcMar>
              <w:left w:w="72" w:type="dxa"/>
              <w:right w:w="72" w:type="dxa"/>
            </w:tcMar>
          </w:tcPr>
          <w:p w14:paraId="243EB3B8" w14:textId="7868E516"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OR i gatshëm për punë</w:t>
            </w:r>
          </w:p>
        </w:tc>
      </w:tr>
      <w:tr w:rsidR="00800D8F" w:rsidRPr="007D1EDC" w14:paraId="4B3FC5D1" w14:textId="77777777" w:rsidTr="0067343B">
        <w:trPr>
          <w:cantSplit/>
        </w:trPr>
        <w:tc>
          <w:tcPr>
            <w:tcW w:w="260" w:type="pct"/>
            <w:tcMar>
              <w:left w:w="72" w:type="dxa"/>
              <w:right w:w="72" w:type="dxa"/>
            </w:tcMar>
          </w:tcPr>
          <w:p w14:paraId="41743DF5" w14:textId="77777777" w:rsidR="00B646DB" w:rsidRPr="007D1EDC" w:rsidRDefault="00B646DB" w:rsidP="00B646DB">
            <w:pPr>
              <w:widowControl w:val="0"/>
              <w:numPr>
                <w:ilvl w:val="0"/>
                <w:numId w:val="40"/>
              </w:numPr>
              <w:suppressAutoHyphens/>
              <w:autoSpaceDE w:val="0"/>
              <w:autoSpaceDN w:val="0"/>
              <w:spacing w:before="60" w:after="60"/>
              <w:ind w:right="123"/>
              <w:contextualSpacing/>
              <w:jc w:val="both"/>
              <w:rPr>
                <w:rFonts w:ascii="Arial Narrow" w:eastAsia="Aptos" w:hAnsi="Arial Narrow" w:cs="Arial"/>
                <w:sz w:val="20"/>
                <w:szCs w:val="20"/>
                <w:lang w:val="en-GB" w:eastAsia="uk-UA"/>
              </w:rPr>
            </w:pPr>
          </w:p>
        </w:tc>
        <w:tc>
          <w:tcPr>
            <w:tcW w:w="1367" w:type="pct"/>
            <w:tcMar>
              <w:left w:w="72" w:type="dxa"/>
              <w:right w:w="72" w:type="dxa"/>
            </w:tcMar>
          </w:tcPr>
          <w:p w14:paraId="2379C53C" w14:textId="3169FC46"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Aptos" w:hAnsi="Arial Narrow" w:cs="Arial"/>
                <w:sz w:val="20"/>
                <w:szCs w:val="20"/>
                <w:lang w:eastAsia="uk-UA"/>
              </w:rPr>
              <w:t>Aktivitete ndërgjegjësuese lidhur me përdorimin e OR në komuna</w:t>
            </w:r>
          </w:p>
        </w:tc>
        <w:tc>
          <w:tcPr>
            <w:tcW w:w="462" w:type="pct"/>
            <w:tcMar>
              <w:left w:w="72" w:type="dxa"/>
              <w:right w:w="72" w:type="dxa"/>
            </w:tcMar>
          </w:tcPr>
          <w:p w14:paraId="1190517C" w14:textId="788AE210"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Çdo vit nga viti 2026 e në vazhdim</w:t>
            </w:r>
          </w:p>
        </w:tc>
        <w:tc>
          <w:tcPr>
            <w:tcW w:w="578" w:type="pct"/>
            <w:tcMar>
              <w:left w:w="72" w:type="dxa"/>
              <w:right w:w="72" w:type="dxa"/>
            </w:tcMar>
          </w:tcPr>
          <w:p w14:paraId="6892CED9" w14:textId="043BF060"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2000 (çdo komunë)</w:t>
            </w:r>
          </w:p>
        </w:tc>
        <w:tc>
          <w:tcPr>
            <w:tcW w:w="666" w:type="pct"/>
            <w:shd w:val="clear" w:color="auto" w:fill="auto"/>
            <w:tcMar>
              <w:left w:w="72" w:type="dxa"/>
              <w:right w:w="72" w:type="dxa"/>
            </w:tcMar>
          </w:tcPr>
          <w:p w14:paraId="63163BA3" w14:textId="1F23D474"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Aptos" w:hAnsi="Arial Narrow" w:cs="Arial"/>
                <w:sz w:val="20"/>
                <w:szCs w:val="20"/>
                <w:lang w:eastAsia="uk-UA"/>
              </w:rPr>
              <w:t>Buxhetet e komunave</w:t>
            </w:r>
          </w:p>
        </w:tc>
        <w:tc>
          <w:tcPr>
            <w:tcW w:w="838" w:type="pct"/>
            <w:tcMar>
              <w:left w:w="72" w:type="dxa"/>
              <w:right w:w="72" w:type="dxa"/>
            </w:tcMar>
          </w:tcPr>
          <w:p w14:paraId="66FAD020" w14:textId="02BEFB08"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Aptos" w:hAnsi="Arial Narrow" w:cs="Arial"/>
                <w:sz w:val="20"/>
                <w:szCs w:val="20"/>
                <w:lang w:eastAsia="uk-UA"/>
              </w:rPr>
              <w:t>Të gjitha komunat</w:t>
            </w:r>
          </w:p>
        </w:tc>
        <w:tc>
          <w:tcPr>
            <w:tcW w:w="829" w:type="pct"/>
            <w:tcMar>
              <w:left w:w="72" w:type="dxa"/>
              <w:right w:w="72" w:type="dxa"/>
            </w:tcMar>
          </w:tcPr>
          <w:p w14:paraId="3F0F5BC1" w14:textId="692F9D90"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Sasitë e materialeve të mbledhura</w:t>
            </w:r>
          </w:p>
        </w:tc>
      </w:tr>
      <w:tr w:rsidR="00800D8F" w:rsidRPr="007D1EDC" w14:paraId="78671E95" w14:textId="77777777" w:rsidTr="0067343B">
        <w:trPr>
          <w:cantSplit/>
        </w:trPr>
        <w:tc>
          <w:tcPr>
            <w:tcW w:w="260" w:type="pct"/>
            <w:tcMar>
              <w:left w:w="72" w:type="dxa"/>
              <w:right w:w="72" w:type="dxa"/>
            </w:tcMar>
          </w:tcPr>
          <w:p w14:paraId="6894C06F"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4.2</w:t>
            </w:r>
          </w:p>
        </w:tc>
        <w:tc>
          <w:tcPr>
            <w:tcW w:w="1367" w:type="pct"/>
            <w:tcMar>
              <w:left w:w="72" w:type="dxa"/>
              <w:right w:w="72" w:type="dxa"/>
            </w:tcMar>
          </w:tcPr>
          <w:p w14:paraId="2DA7568A" w14:textId="0AE0C0BD"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 xml:space="preserve">Detyrë – Menaxhimi i mbeturinave të </w:t>
            </w:r>
            <w:r w:rsidR="00B646DB">
              <w:rPr>
                <w:rFonts w:ascii="Arial Narrow" w:eastAsia="Calibri" w:hAnsi="Arial Narrow" w:cs="Calibri"/>
                <w:b/>
                <w:bCs/>
                <w:i/>
                <w:iCs/>
                <w:sz w:val="20"/>
                <w:szCs w:val="20"/>
              </w:rPr>
              <w:t>ambalazhit</w:t>
            </w:r>
          </w:p>
        </w:tc>
        <w:tc>
          <w:tcPr>
            <w:tcW w:w="462" w:type="pct"/>
            <w:tcMar>
              <w:left w:w="72" w:type="dxa"/>
              <w:right w:w="72" w:type="dxa"/>
            </w:tcMar>
          </w:tcPr>
          <w:p w14:paraId="07AFBB69"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578" w:type="pct"/>
            <w:tcMar>
              <w:left w:w="72" w:type="dxa"/>
              <w:right w:w="72" w:type="dxa"/>
            </w:tcMar>
          </w:tcPr>
          <w:p w14:paraId="7BB5655C"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highlight w:val="yellow"/>
              </w:rPr>
            </w:pPr>
          </w:p>
        </w:tc>
        <w:tc>
          <w:tcPr>
            <w:tcW w:w="666" w:type="pct"/>
            <w:tcMar>
              <w:left w:w="72" w:type="dxa"/>
              <w:right w:w="72" w:type="dxa"/>
            </w:tcMar>
          </w:tcPr>
          <w:p w14:paraId="78FE7FCB"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838" w:type="pct"/>
            <w:tcMar>
              <w:left w:w="72" w:type="dxa"/>
              <w:right w:w="72" w:type="dxa"/>
            </w:tcMar>
          </w:tcPr>
          <w:p w14:paraId="567974DF"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829" w:type="pct"/>
            <w:tcMar>
              <w:left w:w="72" w:type="dxa"/>
              <w:right w:w="72" w:type="dxa"/>
            </w:tcMar>
          </w:tcPr>
          <w:p w14:paraId="0C857F08"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800D8F" w:rsidRPr="007D1EDC" w14:paraId="219B2400" w14:textId="77777777" w:rsidTr="0067343B">
        <w:trPr>
          <w:cantSplit/>
        </w:trPr>
        <w:tc>
          <w:tcPr>
            <w:tcW w:w="260" w:type="pct"/>
            <w:tcMar>
              <w:left w:w="72" w:type="dxa"/>
              <w:right w:w="72" w:type="dxa"/>
            </w:tcMar>
          </w:tcPr>
          <w:p w14:paraId="270D41AD" w14:textId="77777777" w:rsidR="00B646DB" w:rsidRPr="007D1EDC"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4.2.1</w:t>
            </w:r>
          </w:p>
        </w:tc>
        <w:tc>
          <w:tcPr>
            <w:tcW w:w="1367" w:type="pct"/>
            <w:tcMar>
              <w:left w:w="72" w:type="dxa"/>
              <w:right w:w="72" w:type="dxa"/>
            </w:tcMar>
          </w:tcPr>
          <w:p w14:paraId="429D53F4" w14:textId="640E03A1"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Nënshkrimi i marrëveshjes ndërmjet komunave dhe OPP-ve për mbeturinat e ambalazhit (pas miratimit të kërkesave ligjore për përgjegjësinë e zgjeruar të prodhuesit dhe themelimin e OPP-ve)</w:t>
            </w:r>
          </w:p>
        </w:tc>
        <w:tc>
          <w:tcPr>
            <w:tcW w:w="462" w:type="pct"/>
            <w:tcMar>
              <w:left w:w="72" w:type="dxa"/>
              <w:right w:w="72" w:type="dxa"/>
            </w:tcMar>
          </w:tcPr>
          <w:p w14:paraId="28AA83C5" w14:textId="1E4AD699"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2026 - 2027 (në varësi të miratimit të legjislacionit kombëtar)</w:t>
            </w:r>
          </w:p>
        </w:tc>
        <w:tc>
          <w:tcPr>
            <w:tcW w:w="578" w:type="pct"/>
            <w:tcMar>
              <w:left w:w="72" w:type="dxa"/>
              <w:right w:w="72" w:type="dxa"/>
            </w:tcMar>
          </w:tcPr>
          <w:p w14:paraId="308DE506" w14:textId="73A0D460"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highlight w:val="yellow"/>
              </w:rPr>
            </w:pPr>
            <w:r w:rsidRPr="00B646DB">
              <w:rPr>
                <w:rFonts w:ascii="Arial Narrow" w:eastAsia="Aptos" w:hAnsi="Arial Narrow" w:cs="Arial"/>
                <w:sz w:val="20"/>
                <w:szCs w:val="20"/>
                <w:lang w:eastAsia="uk-UA"/>
              </w:rPr>
              <w:t>Nuk kërkon financim shtesë</w:t>
            </w:r>
          </w:p>
        </w:tc>
        <w:tc>
          <w:tcPr>
            <w:tcW w:w="666" w:type="pct"/>
            <w:tcMar>
              <w:left w:w="72" w:type="dxa"/>
              <w:right w:w="72" w:type="dxa"/>
            </w:tcMar>
          </w:tcPr>
          <w:p w14:paraId="4E97E375" w14:textId="37AA2E90"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w:t>
            </w:r>
          </w:p>
        </w:tc>
        <w:tc>
          <w:tcPr>
            <w:tcW w:w="838" w:type="pct"/>
            <w:tcMar>
              <w:left w:w="72" w:type="dxa"/>
              <w:right w:w="72" w:type="dxa"/>
            </w:tcMar>
          </w:tcPr>
          <w:p w14:paraId="33FDD5E6" w14:textId="3D7CBDD7"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OPP, komuna</w:t>
            </w:r>
          </w:p>
        </w:tc>
        <w:tc>
          <w:tcPr>
            <w:tcW w:w="829" w:type="pct"/>
            <w:tcMar>
              <w:left w:w="72" w:type="dxa"/>
              <w:right w:w="72" w:type="dxa"/>
            </w:tcMar>
          </w:tcPr>
          <w:p w14:paraId="2C039C97" w14:textId="0C7E685E"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Marrëveshjet e nënshkruara</w:t>
            </w:r>
          </w:p>
        </w:tc>
      </w:tr>
      <w:tr w:rsidR="00800D8F" w:rsidRPr="007D1EDC" w14:paraId="7FA8B3BD" w14:textId="77777777" w:rsidTr="0067343B">
        <w:trPr>
          <w:cantSplit/>
        </w:trPr>
        <w:tc>
          <w:tcPr>
            <w:tcW w:w="260" w:type="pct"/>
            <w:tcMar>
              <w:left w:w="72" w:type="dxa"/>
              <w:right w:w="72" w:type="dxa"/>
            </w:tcMar>
          </w:tcPr>
          <w:p w14:paraId="57C0D0FE" w14:textId="77777777" w:rsidR="00B646DB" w:rsidRPr="007D1EDC"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4.2.2</w:t>
            </w:r>
          </w:p>
        </w:tc>
        <w:tc>
          <w:tcPr>
            <w:tcW w:w="1367" w:type="pct"/>
            <w:tcMar>
              <w:left w:w="72" w:type="dxa"/>
              <w:right w:w="72" w:type="dxa"/>
            </w:tcMar>
          </w:tcPr>
          <w:p w14:paraId="1B1E7492" w14:textId="25A1111D"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Zhvillimi i sistemeve për grumbullimin ndaras të mbeturinave komunale të riciklueshme, duke përfshirë mbeturinat e ambalazhit</w:t>
            </w:r>
          </w:p>
        </w:tc>
        <w:tc>
          <w:tcPr>
            <w:tcW w:w="462" w:type="pct"/>
            <w:tcMar>
              <w:left w:w="72" w:type="dxa"/>
              <w:right w:w="72" w:type="dxa"/>
            </w:tcMar>
          </w:tcPr>
          <w:p w14:paraId="7A6AC5C6" w14:textId="1D182D9C"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2027 – e në vazhdim</w:t>
            </w:r>
          </w:p>
        </w:tc>
        <w:tc>
          <w:tcPr>
            <w:tcW w:w="578" w:type="pct"/>
            <w:tcMar>
              <w:left w:w="72" w:type="dxa"/>
              <w:right w:w="72" w:type="dxa"/>
            </w:tcMar>
          </w:tcPr>
          <w:p w14:paraId="6D323ABB" w14:textId="15B923B9"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highlight w:val="yellow"/>
              </w:rPr>
            </w:pPr>
            <w:r w:rsidRPr="00B646DB">
              <w:rPr>
                <w:rFonts w:ascii="Arial Narrow" w:eastAsia="Aptos" w:hAnsi="Arial Narrow" w:cs="Arial"/>
                <w:sz w:val="20"/>
                <w:szCs w:val="20"/>
                <w:lang w:eastAsia="uk-UA"/>
              </w:rPr>
              <w:t>Në kuadër të buxhetit të OPP-ve</w:t>
            </w:r>
          </w:p>
        </w:tc>
        <w:tc>
          <w:tcPr>
            <w:tcW w:w="666" w:type="pct"/>
            <w:tcMar>
              <w:left w:w="72" w:type="dxa"/>
              <w:right w:w="72" w:type="dxa"/>
            </w:tcMar>
          </w:tcPr>
          <w:p w14:paraId="3B04173D" w14:textId="531781FD"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OPP, ofruesit e shërbimeve</w:t>
            </w:r>
          </w:p>
        </w:tc>
        <w:tc>
          <w:tcPr>
            <w:tcW w:w="838" w:type="pct"/>
            <w:tcMar>
              <w:left w:w="72" w:type="dxa"/>
              <w:right w:w="72" w:type="dxa"/>
            </w:tcMar>
          </w:tcPr>
          <w:p w14:paraId="26FC4A04" w14:textId="5AF0466C" w:rsidR="00B646DB" w:rsidRPr="00B646DB" w:rsidRDefault="00B646DB" w:rsidP="00B646DB">
            <w:pPr>
              <w:suppressAutoHyphens/>
              <w:spacing w:before="60" w:after="60"/>
              <w:rPr>
                <w:rFonts w:ascii="Arial Narrow" w:eastAsia="Calibri" w:hAnsi="Arial Narrow" w:cs="Calibri"/>
                <w:sz w:val="20"/>
                <w:szCs w:val="20"/>
              </w:rPr>
            </w:pPr>
            <w:r w:rsidRPr="00B646DB">
              <w:rPr>
                <w:rFonts w:ascii="Arial Narrow" w:eastAsia="Aptos" w:hAnsi="Arial Narrow" w:cs="Arial"/>
                <w:sz w:val="20"/>
                <w:szCs w:val="20"/>
                <w:lang w:eastAsia="uk-UA"/>
              </w:rPr>
              <w:t>OPP, administratat lokale</w:t>
            </w:r>
          </w:p>
        </w:tc>
        <w:tc>
          <w:tcPr>
            <w:tcW w:w="829" w:type="pct"/>
            <w:tcMar>
              <w:left w:w="72" w:type="dxa"/>
              <w:right w:w="72" w:type="dxa"/>
            </w:tcMar>
          </w:tcPr>
          <w:p w14:paraId="37B0408A" w14:textId="4ADC07D4"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Popullata që i ofrohen shërbime të grumbullimit ndaras të mbeturinave (100% e popullsisë urbane në 2030; 80% e zonave rurale në 2033)</w:t>
            </w:r>
          </w:p>
        </w:tc>
      </w:tr>
      <w:tr w:rsidR="00800D8F" w:rsidRPr="007D1EDC" w14:paraId="27C2F159" w14:textId="77777777" w:rsidTr="0067343B">
        <w:trPr>
          <w:cantSplit/>
        </w:trPr>
        <w:tc>
          <w:tcPr>
            <w:tcW w:w="260" w:type="pct"/>
            <w:tcMar>
              <w:left w:w="72" w:type="dxa"/>
              <w:right w:w="72" w:type="dxa"/>
            </w:tcMar>
          </w:tcPr>
          <w:p w14:paraId="0604500D" w14:textId="77777777" w:rsidR="00B646DB" w:rsidRPr="007D1EDC"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4.2.3</w:t>
            </w:r>
          </w:p>
        </w:tc>
        <w:tc>
          <w:tcPr>
            <w:tcW w:w="1367" w:type="pct"/>
            <w:tcMar>
              <w:left w:w="72" w:type="dxa"/>
              <w:right w:w="72" w:type="dxa"/>
            </w:tcMar>
          </w:tcPr>
          <w:p w14:paraId="6E7FB5E5" w14:textId="0C61759C"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Aptos" w:hAnsi="Arial Narrow" w:cs="Arial"/>
                <w:sz w:val="20"/>
                <w:szCs w:val="20"/>
                <w:lang w:eastAsia="uk-UA"/>
              </w:rPr>
              <w:t>Ngritja e objektit të klasifikimit për mbeturinat e riciklueshme të grumbulluara ndaras</w:t>
            </w:r>
          </w:p>
        </w:tc>
        <w:tc>
          <w:tcPr>
            <w:tcW w:w="462" w:type="pct"/>
            <w:tcMar>
              <w:left w:w="72" w:type="dxa"/>
              <w:right w:w="72" w:type="dxa"/>
            </w:tcMar>
          </w:tcPr>
          <w:p w14:paraId="347214B8" w14:textId="4C0E01D1"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Aptos" w:hAnsi="Arial Narrow" w:cs="Arial"/>
                <w:sz w:val="20"/>
                <w:szCs w:val="20"/>
                <w:lang w:eastAsia="uk-UA"/>
              </w:rPr>
              <w:t>2027</w:t>
            </w:r>
          </w:p>
        </w:tc>
        <w:tc>
          <w:tcPr>
            <w:tcW w:w="578" w:type="pct"/>
            <w:tcMar>
              <w:left w:w="72" w:type="dxa"/>
              <w:right w:w="72" w:type="dxa"/>
            </w:tcMar>
          </w:tcPr>
          <w:p w14:paraId="17919A82" w14:textId="5678CBAF"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Calibri" w:hAnsi="Arial Narrow" w:cs="Calibri"/>
                <w:sz w:val="20"/>
                <w:szCs w:val="20"/>
              </w:rPr>
              <w:t>1,575,000</w:t>
            </w:r>
          </w:p>
        </w:tc>
        <w:tc>
          <w:tcPr>
            <w:tcW w:w="666" w:type="pct"/>
            <w:tcMar>
              <w:left w:w="72" w:type="dxa"/>
              <w:right w:w="72" w:type="dxa"/>
            </w:tcMar>
          </w:tcPr>
          <w:p w14:paraId="47E12187" w14:textId="4D04FC1C"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Aptos" w:hAnsi="Arial Narrow" w:cs="Arial"/>
                <w:sz w:val="20"/>
                <w:szCs w:val="20"/>
                <w:lang w:eastAsia="uk-UA"/>
              </w:rPr>
              <w:t>OPP, ofruesit e shërbimeve</w:t>
            </w:r>
          </w:p>
        </w:tc>
        <w:tc>
          <w:tcPr>
            <w:tcW w:w="838" w:type="pct"/>
            <w:tcMar>
              <w:left w:w="72" w:type="dxa"/>
              <w:right w:w="72" w:type="dxa"/>
            </w:tcMar>
          </w:tcPr>
          <w:p w14:paraId="22D009A4" w14:textId="248EEAA8"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Aptos" w:hAnsi="Arial Narrow" w:cs="Arial"/>
                <w:sz w:val="20"/>
                <w:szCs w:val="20"/>
                <w:lang w:eastAsia="uk-UA"/>
              </w:rPr>
              <w:t>OPP (sipas kontratave me komunat për grumbullim ndaras)</w:t>
            </w:r>
          </w:p>
        </w:tc>
        <w:tc>
          <w:tcPr>
            <w:tcW w:w="829" w:type="pct"/>
            <w:tcMar>
              <w:left w:w="72" w:type="dxa"/>
              <w:right w:w="72" w:type="dxa"/>
            </w:tcMar>
          </w:tcPr>
          <w:p w14:paraId="220EAB00" w14:textId="698F680B"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Objekti funksional i klasifikimit për fraksionet e riciklueshme të mbledhura ndaras</w:t>
            </w:r>
          </w:p>
        </w:tc>
      </w:tr>
      <w:tr w:rsidR="00800D8F" w:rsidRPr="007D1EDC" w14:paraId="417A2AC4" w14:textId="77777777" w:rsidTr="0067343B">
        <w:trPr>
          <w:cantSplit/>
        </w:trPr>
        <w:tc>
          <w:tcPr>
            <w:tcW w:w="260" w:type="pct"/>
            <w:tcMar>
              <w:left w:w="72" w:type="dxa"/>
              <w:right w:w="72" w:type="dxa"/>
            </w:tcMar>
          </w:tcPr>
          <w:p w14:paraId="7CB1AEB5" w14:textId="77777777" w:rsidR="00B646DB" w:rsidRPr="007D1EDC"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lastRenderedPageBreak/>
              <w:t>4.2.4</w:t>
            </w:r>
          </w:p>
        </w:tc>
        <w:tc>
          <w:tcPr>
            <w:tcW w:w="1367" w:type="pct"/>
            <w:tcMar>
              <w:left w:w="72" w:type="dxa"/>
              <w:right w:w="72" w:type="dxa"/>
            </w:tcMar>
          </w:tcPr>
          <w:p w14:paraId="47884B9E" w14:textId="74297AAE"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Zbatimi i fushatave ndërgjegjësuese të dizajnuara për të rritur pjesëmarrjen e publikut në skemat e grumbullimit ndarasë</w:t>
            </w:r>
          </w:p>
        </w:tc>
        <w:tc>
          <w:tcPr>
            <w:tcW w:w="462" w:type="pct"/>
            <w:tcMar>
              <w:left w:w="72" w:type="dxa"/>
              <w:right w:w="72" w:type="dxa"/>
            </w:tcMar>
          </w:tcPr>
          <w:p w14:paraId="52C9BB99" w14:textId="1EE023F7"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2027 – e në vazhdim</w:t>
            </w:r>
          </w:p>
        </w:tc>
        <w:tc>
          <w:tcPr>
            <w:tcW w:w="578" w:type="pct"/>
            <w:tcMar>
              <w:left w:w="72" w:type="dxa"/>
              <w:right w:w="72" w:type="dxa"/>
            </w:tcMar>
          </w:tcPr>
          <w:p w14:paraId="202EB633" w14:textId="32B07276"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highlight w:val="yellow"/>
              </w:rPr>
            </w:pPr>
            <w:r w:rsidRPr="00B646DB">
              <w:rPr>
                <w:rFonts w:ascii="Arial Narrow" w:eastAsia="Aptos" w:hAnsi="Arial Narrow" w:cs="Arial"/>
                <w:sz w:val="20"/>
                <w:szCs w:val="20"/>
                <w:lang w:eastAsia="uk-UA"/>
              </w:rPr>
              <w:t>1 euro për banor të shërbyer në vit</w:t>
            </w:r>
          </w:p>
        </w:tc>
        <w:tc>
          <w:tcPr>
            <w:tcW w:w="666" w:type="pct"/>
            <w:tcMar>
              <w:left w:w="72" w:type="dxa"/>
              <w:right w:w="72" w:type="dxa"/>
            </w:tcMar>
          </w:tcPr>
          <w:p w14:paraId="3B107F4B" w14:textId="19EF74C7"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OPP, ofruesit e shërbimeve</w:t>
            </w:r>
          </w:p>
        </w:tc>
        <w:tc>
          <w:tcPr>
            <w:tcW w:w="838" w:type="pct"/>
            <w:tcMar>
              <w:left w:w="72" w:type="dxa"/>
              <w:right w:w="72" w:type="dxa"/>
            </w:tcMar>
          </w:tcPr>
          <w:p w14:paraId="02F04601" w14:textId="7B3FF964"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Administratat lokale (koordinim)</w:t>
            </w:r>
          </w:p>
        </w:tc>
        <w:tc>
          <w:tcPr>
            <w:tcW w:w="829" w:type="pct"/>
            <w:tcMar>
              <w:left w:w="72" w:type="dxa"/>
              <w:right w:w="72" w:type="dxa"/>
            </w:tcMar>
          </w:tcPr>
          <w:p w14:paraId="609B58FB" w14:textId="77777777"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Numri i fushatave ndërgjegjësuese të realizuara; numri i banorëve që ju ofrohet informacion</w:t>
            </w:r>
          </w:p>
          <w:p w14:paraId="42B18D85" w14:textId="77777777"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p>
          <w:p w14:paraId="308EF638" w14:textId="77777777"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p>
          <w:p w14:paraId="77888015" w14:textId="77777777"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p>
          <w:p w14:paraId="56BA3B1A" w14:textId="604F6324"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p>
        </w:tc>
      </w:tr>
      <w:tr w:rsidR="00800D8F" w:rsidRPr="007D1EDC" w14:paraId="2C0EA73B" w14:textId="77777777" w:rsidTr="0067343B">
        <w:trPr>
          <w:cantSplit/>
        </w:trPr>
        <w:tc>
          <w:tcPr>
            <w:tcW w:w="260" w:type="pct"/>
            <w:tcMar>
              <w:left w:w="72" w:type="dxa"/>
              <w:right w:w="72" w:type="dxa"/>
            </w:tcMar>
          </w:tcPr>
          <w:p w14:paraId="06C77547"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4.3</w:t>
            </w:r>
          </w:p>
        </w:tc>
        <w:tc>
          <w:tcPr>
            <w:tcW w:w="1367" w:type="pct"/>
            <w:tcMar>
              <w:left w:w="72" w:type="dxa"/>
              <w:right w:w="72" w:type="dxa"/>
            </w:tcMar>
          </w:tcPr>
          <w:p w14:paraId="2CEAD0A1" w14:textId="730FDD58"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Detyrë – Menaxhimi i mbet</w:t>
            </w:r>
            <w:r w:rsidR="00B646DB">
              <w:rPr>
                <w:rFonts w:ascii="Arial Narrow" w:eastAsia="Calibri" w:hAnsi="Arial Narrow" w:cs="Calibri"/>
                <w:b/>
                <w:bCs/>
                <w:i/>
                <w:iCs/>
                <w:sz w:val="20"/>
                <w:szCs w:val="20"/>
              </w:rPr>
              <w:t>urinave</w:t>
            </w:r>
            <w:r w:rsidRPr="007D1EDC">
              <w:rPr>
                <w:rFonts w:ascii="Arial Narrow" w:eastAsia="Calibri" w:hAnsi="Arial Narrow" w:cs="Calibri"/>
                <w:b/>
                <w:bCs/>
                <w:i/>
                <w:iCs/>
                <w:sz w:val="20"/>
                <w:szCs w:val="20"/>
              </w:rPr>
              <w:t xml:space="preserve"> të gjelbra</w:t>
            </w:r>
          </w:p>
        </w:tc>
        <w:tc>
          <w:tcPr>
            <w:tcW w:w="462" w:type="pct"/>
            <w:tcMar>
              <w:left w:w="72" w:type="dxa"/>
              <w:right w:w="72" w:type="dxa"/>
            </w:tcMar>
          </w:tcPr>
          <w:p w14:paraId="47526DEE"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578" w:type="pct"/>
            <w:tcMar>
              <w:left w:w="72" w:type="dxa"/>
              <w:right w:w="72" w:type="dxa"/>
            </w:tcMar>
          </w:tcPr>
          <w:p w14:paraId="40501B34"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highlight w:val="yellow"/>
              </w:rPr>
            </w:pPr>
          </w:p>
        </w:tc>
        <w:tc>
          <w:tcPr>
            <w:tcW w:w="666" w:type="pct"/>
            <w:tcMar>
              <w:left w:w="72" w:type="dxa"/>
              <w:right w:w="72" w:type="dxa"/>
            </w:tcMar>
          </w:tcPr>
          <w:p w14:paraId="5C306844"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838" w:type="pct"/>
            <w:tcMar>
              <w:left w:w="72" w:type="dxa"/>
              <w:right w:w="72" w:type="dxa"/>
            </w:tcMar>
          </w:tcPr>
          <w:p w14:paraId="481CD264"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829" w:type="pct"/>
            <w:tcMar>
              <w:left w:w="72" w:type="dxa"/>
              <w:right w:w="72" w:type="dxa"/>
            </w:tcMar>
          </w:tcPr>
          <w:p w14:paraId="14C0306E"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800D8F" w:rsidRPr="007D1EDC" w14:paraId="5D70E4D6" w14:textId="77777777" w:rsidTr="0067343B">
        <w:trPr>
          <w:cantSplit/>
        </w:trPr>
        <w:tc>
          <w:tcPr>
            <w:tcW w:w="260" w:type="pct"/>
            <w:tcMar>
              <w:left w:w="72" w:type="dxa"/>
              <w:right w:w="72" w:type="dxa"/>
            </w:tcMar>
          </w:tcPr>
          <w:p w14:paraId="49324FE9" w14:textId="77777777" w:rsidR="00B646DB" w:rsidRPr="007D1EDC" w:rsidRDefault="00B646DB" w:rsidP="00B646DB">
            <w:pPr>
              <w:widowControl w:val="0"/>
              <w:suppressAutoHyphens/>
              <w:autoSpaceDE w:val="0"/>
              <w:autoSpaceDN w:val="0"/>
              <w:spacing w:before="60" w:after="60"/>
              <w:ind w:right="123"/>
              <w:rPr>
                <w:rFonts w:ascii="Arial Narrow" w:eastAsia="Aptos" w:hAnsi="Arial Narrow" w:cs="Arial"/>
                <w:bCs/>
                <w:sz w:val="20"/>
                <w:szCs w:val="20"/>
                <w:lang w:eastAsia="uk-UA"/>
              </w:rPr>
            </w:pPr>
            <w:r w:rsidRPr="007D1EDC">
              <w:rPr>
                <w:rFonts w:ascii="Arial Narrow" w:eastAsia="Aptos" w:hAnsi="Arial Narrow" w:cs="Arial"/>
                <w:bCs/>
                <w:sz w:val="20"/>
                <w:szCs w:val="20"/>
                <w:lang w:eastAsia="uk-UA"/>
              </w:rPr>
              <w:t>4.3.1</w:t>
            </w:r>
          </w:p>
        </w:tc>
        <w:tc>
          <w:tcPr>
            <w:tcW w:w="1367" w:type="pct"/>
            <w:tcMar>
              <w:left w:w="72" w:type="dxa"/>
              <w:right w:w="72" w:type="dxa"/>
            </w:tcMar>
          </w:tcPr>
          <w:p w14:paraId="2A307071" w14:textId="4BAA4DA4"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lang w:val="bg-BG"/>
              </w:rPr>
            </w:pPr>
            <w:r w:rsidRPr="00B646DB">
              <w:rPr>
                <w:rFonts w:ascii="Arial Narrow" w:eastAsia="Aptos" w:hAnsi="Arial Narrow" w:cs="Arial"/>
                <w:bCs/>
                <w:sz w:val="20"/>
                <w:szCs w:val="20"/>
                <w:lang w:eastAsia="uk-UA"/>
              </w:rPr>
              <w:t>Zhvillimi i studimit të fizibilitetit dhe dokumentacionit të projektimit për ngritjen e objektit të kompostimit në komunën e Pejës dhe për furnizimin me pajisje për komunën e Istogut , Klinës dhe Deçanit.</w:t>
            </w:r>
          </w:p>
        </w:tc>
        <w:tc>
          <w:tcPr>
            <w:tcW w:w="462" w:type="pct"/>
            <w:tcMar>
              <w:left w:w="72" w:type="dxa"/>
              <w:right w:w="72" w:type="dxa"/>
            </w:tcMar>
          </w:tcPr>
          <w:p w14:paraId="1F566DE1" w14:textId="1A3F81E5"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bCs/>
                <w:sz w:val="20"/>
                <w:szCs w:val="20"/>
                <w:lang w:eastAsia="uk-UA"/>
              </w:rPr>
              <w:t>2026</w:t>
            </w:r>
          </w:p>
        </w:tc>
        <w:tc>
          <w:tcPr>
            <w:tcW w:w="578" w:type="pct"/>
            <w:tcMar>
              <w:left w:w="72" w:type="dxa"/>
              <w:right w:w="72" w:type="dxa"/>
            </w:tcMar>
          </w:tcPr>
          <w:p w14:paraId="51C20783" w14:textId="332B6BF3"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bCs/>
                <w:sz w:val="20"/>
                <w:szCs w:val="20"/>
                <w:lang w:eastAsia="uk-UA"/>
              </w:rPr>
              <w:t>60,000</w:t>
            </w:r>
          </w:p>
        </w:tc>
        <w:tc>
          <w:tcPr>
            <w:tcW w:w="666" w:type="pct"/>
            <w:tcMar>
              <w:left w:w="72" w:type="dxa"/>
              <w:right w:w="72" w:type="dxa"/>
            </w:tcMar>
          </w:tcPr>
          <w:p w14:paraId="1BA6FDF7" w14:textId="59FD2066"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bCs/>
                <w:sz w:val="20"/>
                <w:szCs w:val="20"/>
                <w:lang w:eastAsia="uk-UA"/>
              </w:rPr>
              <w:t>Granti i asistencës teknike</w:t>
            </w:r>
          </w:p>
        </w:tc>
        <w:tc>
          <w:tcPr>
            <w:tcW w:w="838" w:type="pct"/>
            <w:tcMar>
              <w:left w:w="72" w:type="dxa"/>
              <w:right w:w="72" w:type="dxa"/>
            </w:tcMar>
          </w:tcPr>
          <w:p w14:paraId="7069AA3E" w14:textId="0D583442"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bCs/>
                <w:sz w:val="20"/>
                <w:szCs w:val="20"/>
                <w:lang w:eastAsia="uk-UA"/>
              </w:rPr>
              <w:t>Komunat e Pejës, Istogut , Klinës dhe Deçanit (përkrahja e institucionit financiar ndërkombëtar)</w:t>
            </w:r>
          </w:p>
        </w:tc>
        <w:tc>
          <w:tcPr>
            <w:tcW w:w="829" w:type="pct"/>
            <w:tcMar>
              <w:left w:w="72" w:type="dxa"/>
              <w:right w:w="72" w:type="dxa"/>
            </w:tcMar>
          </w:tcPr>
          <w:p w14:paraId="20B51199" w14:textId="32DD51BE"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bCs/>
                <w:sz w:val="20"/>
                <w:szCs w:val="20"/>
                <w:lang w:eastAsia="uk-UA"/>
              </w:rPr>
              <w:t>Studimi i Fizibilitetit i përgatitur dhe i miratuar</w:t>
            </w:r>
          </w:p>
        </w:tc>
      </w:tr>
      <w:tr w:rsidR="00800D8F" w:rsidRPr="007D1EDC" w14:paraId="4260E666" w14:textId="77777777" w:rsidTr="0067343B">
        <w:trPr>
          <w:cantSplit/>
        </w:trPr>
        <w:tc>
          <w:tcPr>
            <w:tcW w:w="260" w:type="pct"/>
            <w:tcMar>
              <w:left w:w="72" w:type="dxa"/>
              <w:right w:w="72" w:type="dxa"/>
            </w:tcMar>
          </w:tcPr>
          <w:p w14:paraId="4F07BFCE" w14:textId="77777777" w:rsidR="00B646DB" w:rsidRPr="007D1EDC" w:rsidRDefault="00B646DB" w:rsidP="00B646DB">
            <w:pPr>
              <w:widowControl w:val="0"/>
              <w:suppressAutoHyphens/>
              <w:autoSpaceDE w:val="0"/>
              <w:autoSpaceDN w:val="0"/>
              <w:spacing w:before="60" w:after="60"/>
              <w:ind w:right="123"/>
              <w:rPr>
                <w:rFonts w:ascii="Arial Narrow" w:eastAsia="Aptos" w:hAnsi="Arial Narrow" w:cs="Arial"/>
                <w:bCs/>
                <w:sz w:val="20"/>
                <w:szCs w:val="20"/>
                <w:lang w:eastAsia="uk-UA"/>
              </w:rPr>
            </w:pPr>
            <w:r w:rsidRPr="007D1EDC">
              <w:rPr>
                <w:rFonts w:ascii="Arial Narrow" w:eastAsia="Aptos" w:hAnsi="Arial Narrow" w:cs="Arial"/>
                <w:bCs/>
                <w:sz w:val="20"/>
                <w:szCs w:val="20"/>
                <w:lang w:eastAsia="uk-UA"/>
              </w:rPr>
              <w:t>4.3.2</w:t>
            </w:r>
          </w:p>
        </w:tc>
        <w:tc>
          <w:tcPr>
            <w:tcW w:w="1367" w:type="pct"/>
            <w:tcMar>
              <w:left w:w="72" w:type="dxa"/>
              <w:right w:w="72" w:type="dxa"/>
            </w:tcMar>
          </w:tcPr>
          <w:p w14:paraId="77562869" w14:textId="5DD49FA1"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bCs/>
                <w:sz w:val="20"/>
                <w:szCs w:val="20"/>
                <w:lang w:eastAsia="uk-UA"/>
              </w:rPr>
              <w:t>Ndërtimi i objektit për kompostim në komunën e Pejës</w:t>
            </w:r>
          </w:p>
        </w:tc>
        <w:tc>
          <w:tcPr>
            <w:tcW w:w="462" w:type="pct"/>
            <w:tcMar>
              <w:left w:w="72" w:type="dxa"/>
              <w:right w:w="72" w:type="dxa"/>
            </w:tcMar>
          </w:tcPr>
          <w:p w14:paraId="3F593789" w14:textId="3DEEEF0C"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bCs/>
                <w:sz w:val="20"/>
                <w:szCs w:val="20"/>
                <w:lang w:eastAsia="uk-UA"/>
              </w:rPr>
              <w:t>2027</w:t>
            </w:r>
          </w:p>
        </w:tc>
        <w:tc>
          <w:tcPr>
            <w:tcW w:w="578" w:type="pct"/>
            <w:tcMar>
              <w:left w:w="72" w:type="dxa"/>
              <w:right w:w="72" w:type="dxa"/>
            </w:tcMar>
          </w:tcPr>
          <w:p w14:paraId="5CB4521E" w14:textId="71F543C5"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bCs/>
                <w:sz w:val="20"/>
                <w:szCs w:val="20"/>
                <w:lang w:eastAsia="uk-UA"/>
              </w:rPr>
              <w:t>912,000</w:t>
            </w:r>
          </w:p>
        </w:tc>
        <w:tc>
          <w:tcPr>
            <w:tcW w:w="666" w:type="pct"/>
            <w:tcMar>
              <w:left w:w="72" w:type="dxa"/>
              <w:right w:w="72" w:type="dxa"/>
            </w:tcMar>
          </w:tcPr>
          <w:p w14:paraId="0CBF3074" w14:textId="4EEDEB25"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bCs/>
                <w:sz w:val="20"/>
                <w:szCs w:val="20"/>
                <w:lang w:eastAsia="uk-UA"/>
              </w:rPr>
              <w:t>Granti kapital</w:t>
            </w:r>
          </w:p>
        </w:tc>
        <w:tc>
          <w:tcPr>
            <w:tcW w:w="838" w:type="pct"/>
            <w:tcMar>
              <w:left w:w="72" w:type="dxa"/>
              <w:right w:w="72" w:type="dxa"/>
            </w:tcMar>
          </w:tcPr>
          <w:p w14:paraId="1DB286AB" w14:textId="21895EE3"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bCs/>
                <w:sz w:val="20"/>
                <w:szCs w:val="20"/>
                <w:lang w:eastAsia="uk-UA"/>
              </w:rPr>
              <w:t>Komuna e Pejës, (përkrahja e institucionit financiar ndërkombëtar)</w:t>
            </w:r>
          </w:p>
        </w:tc>
        <w:tc>
          <w:tcPr>
            <w:tcW w:w="829" w:type="pct"/>
            <w:tcMar>
              <w:left w:w="72" w:type="dxa"/>
              <w:right w:w="72" w:type="dxa"/>
            </w:tcMar>
          </w:tcPr>
          <w:p w14:paraId="64E50E42" w14:textId="50D85B91"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bCs/>
                <w:sz w:val="20"/>
                <w:szCs w:val="20"/>
                <w:lang w:eastAsia="uk-UA"/>
              </w:rPr>
              <w:t>1 impiant kompostimi i vënë në punë</w:t>
            </w:r>
          </w:p>
        </w:tc>
      </w:tr>
      <w:tr w:rsidR="00800D8F" w:rsidRPr="007D1EDC" w14:paraId="6C4FF0BA" w14:textId="77777777" w:rsidTr="0067343B">
        <w:trPr>
          <w:cantSplit/>
        </w:trPr>
        <w:tc>
          <w:tcPr>
            <w:tcW w:w="260" w:type="pct"/>
            <w:tcMar>
              <w:left w:w="72" w:type="dxa"/>
              <w:right w:w="72" w:type="dxa"/>
            </w:tcMar>
          </w:tcPr>
          <w:p w14:paraId="1A73AA87" w14:textId="77777777" w:rsidR="00B646DB" w:rsidRPr="007D1EDC" w:rsidRDefault="00B646DB" w:rsidP="00B646DB">
            <w:pPr>
              <w:widowControl w:val="0"/>
              <w:suppressAutoHyphens/>
              <w:autoSpaceDE w:val="0"/>
              <w:autoSpaceDN w:val="0"/>
              <w:spacing w:before="60" w:after="60"/>
              <w:ind w:right="123"/>
              <w:rPr>
                <w:rFonts w:ascii="Arial Narrow" w:eastAsia="Aptos" w:hAnsi="Arial Narrow" w:cs="Arial"/>
                <w:bCs/>
                <w:sz w:val="20"/>
                <w:szCs w:val="20"/>
                <w:lang w:eastAsia="uk-UA"/>
              </w:rPr>
            </w:pPr>
            <w:r w:rsidRPr="007D1EDC">
              <w:rPr>
                <w:rFonts w:ascii="Arial Narrow" w:eastAsia="Aptos" w:hAnsi="Arial Narrow" w:cs="Arial"/>
                <w:bCs/>
                <w:sz w:val="20"/>
                <w:szCs w:val="20"/>
                <w:lang w:eastAsia="uk-UA"/>
              </w:rPr>
              <w:t>4.3.3</w:t>
            </w:r>
          </w:p>
        </w:tc>
        <w:tc>
          <w:tcPr>
            <w:tcW w:w="1367" w:type="pct"/>
            <w:tcMar>
              <w:left w:w="72" w:type="dxa"/>
              <w:right w:w="72" w:type="dxa"/>
            </w:tcMar>
          </w:tcPr>
          <w:p w14:paraId="6261BDDB" w14:textId="3634C868"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bCs/>
                <w:sz w:val="20"/>
                <w:szCs w:val="20"/>
                <w:lang w:eastAsia="uk-UA"/>
              </w:rPr>
              <w:t>Furnizimi me pajisje mobile për kompostim për komunat Istog, Klinë dhe Deçan</w:t>
            </w:r>
          </w:p>
        </w:tc>
        <w:tc>
          <w:tcPr>
            <w:tcW w:w="462" w:type="pct"/>
            <w:tcMar>
              <w:left w:w="72" w:type="dxa"/>
              <w:right w:w="72" w:type="dxa"/>
            </w:tcMar>
          </w:tcPr>
          <w:p w14:paraId="5ABD58F8" w14:textId="69A1FC3D"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bCs/>
                <w:sz w:val="20"/>
                <w:szCs w:val="20"/>
                <w:lang w:eastAsia="uk-UA"/>
              </w:rPr>
              <w:t>2027</w:t>
            </w:r>
          </w:p>
        </w:tc>
        <w:tc>
          <w:tcPr>
            <w:tcW w:w="578" w:type="pct"/>
            <w:tcMar>
              <w:left w:w="72" w:type="dxa"/>
              <w:right w:w="72" w:type="dxa"/>
            </w:tcMar>
          </w:tcPr>
          <w:p w14:paraId="2D0AF6D7" w14:textId="41748E1C"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highlight w:val="yellow"/>
              </w:rPr>
            </w:pPr>
            <w:r w:rsidRPr="00B646DB">
              <w:rPr>
                <w:rFonts w:ascii="Arial Narrow" w:eastAsia="Aptos" w:hAnsi="Arial Narrow" w:cs="Arial"/>
                <w:bCs/>
                <w:sz w:val="20"/>
                <w:szCs w:val="20"/>
                <w:lang w:eastAsia="uk-UA"/>
              </w:rPr>
              <w:t>701.505</w:t>
            </w:r>
          </w:p>
        </w:tc>
        <w:tc>
          <w:tcPr>
            <w:tcW w:w="666" w:type="pct"/>
            <w:tcMar>
              <w:left w:w="72" w:type="dxa"/>
              <w:right w:w="72" w:type="dxa"/>
            </w:tcMar>
          </w:tcPr>
          <w:p w14:paraId="18AC5A4B" w14:textId="5D7F6651"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bCs/>
                <w:sz w:val="20"/>
                <w:szCs w:val="20"/>
                <w:lang w:eastAsia="uk-UA"/>
              </w:rPr>
              <w:t>Granti kapital</w:t>
            </w:r>
          </w:p>
        </w:tc>
        <w:tc>
          <w:tcPr>
            <w:tcW w:w="838" w:type="pct"/>
            <w:tcMar>
              <w:left w:w="72" w:type="dxa"/>
              <w:right w:w="72" w:type="dxa"/>
            </w:tcMar>
          </w:tcPr>
          <w:p w14:paraId="2710ADF7" w14:textId="3DFEF3FB"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bCs/>
                <w:sz w:val="20"/>
                <w:szCs w:val="20"/>
                <w:lang w:eastAsia="uk-UA"/>
              </w:rPr>
              <w:t>Komunat e Istogut , Klinës dhe Deçanit (përkrahja e institucionit financiar ndërkombëtar)</w:t>
            </w:r>
          </w:p>
        </w:tc>
        <w:tc>
          <w:tcPr>
            <w:tcW w:w="829" w:type="pct"/>
            <w:tcMar>
              <w:left w:w="72" w:type="dxa"/>
              <w:right w:w="72" w:type="dxa"/>
            </w:tcMar>
          </w:tcPr>
          <w:p w14:paraId="45EE917B" w14:textId="2F446AF9"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bCs/>
                <w:sz w:val="20"/>
                <w:szCs w:val="20"/>
                <w:lang w:eastAsia="uk-UA"/>
              </w:rPr>
              <w:t>3 komuna pajisen me pajisje për kompostim të decentralizuar</w:t>
            </w:r>
          </w:p>
        </w:tc>
      </w:tr>
      <w:tr w:rsidR="00800D8F" w:rsidRPr="007D1EDC" w14:paraId="78034AF1" w14:textId="77777777" w:rsidTr="0067343B">
        <w:trPr>
          <w:cantSplit/>
        </w:trPr>
        <w:tc>
          <w:tcPr>
            <w:tcW w:w="260" w:type="pct"/>
            <w:tcMar>
              <w:left w:w="72" w:type="dxa"/>
              <w:right w:w="72" w:type="dxa"/>
            </w:tcMar>
          </w:tcPr>
          <w:p w14:paraId="51D2EFA1"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4.4</w:t>
            </w:r>
          </w:p>
        </w:tc>
        <w:tc>
          <w:tcPr>
            <w:tcW w:w="1367" w:type="pct"/>
            <w:tcMar>
              <w:left w:w="72" w:type="dxa"/>
              <w:right w:w="72" w:type="dxa"/>
            </w:tcMar>
          </w:tcPr>
          <w:p w14:paraId="243FC83C" w14:textId="147974AD"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Detyrë – Menaxhimi i</w:t>
            </w:r>
            <w:r w:rsidR="00B646DB">
              <w:rPr>
                <w:rFonts w:ascii="Arial Narrow" w:eastAsia="Calibri" w:hAnsi="Arial Narrow" w:cs="Calibri"/>
                <w:b/>
                <w:bCs/>
                <w:i/>
                <w:iCs/>
                <w:sz w:val="20"/>
                <w:szCs w:val="20"/>
              </w:rPr>
              <w:t xml:space="preserve"> MNRr-ve</w:t>
            </w:r>
          </w:p>
        </w:tc>
        <w:tc>
          <w:tcPr>
            <w:tcW w:w="462" w:type="pct"/>
            <w:tcMar>
              <w:left w:w="72" w:type="dxa"/>
              <w:right w:w="72" w:type="dxa"/>
            </w:tcMar>
          </w:tcPr>
          <w:p w14:paraId="3DF169FB"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578" w:type="pct"/>
            <w:tcMar>
              <w:left w:w="72" w:type="dxa"/>
              <w:right w:w="72" w:type="dxa"/>
            </w:tcMar>
          </w:tcPr>
          <w:p w14:paraId="717BA742"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highlight w:val="yellow"/>
              </w:rPr>
            </w:pPr>
          </w:p>
        </w:tc>
        <w:tc>
          <w:tcPr>
            <w:tcW w:w="666" w:type="pct"/>
            <w:tcMar>
              <w:left w:w="72" w:type="dxa"/>
              <w:right w:w="72" w:type="dxa"/>
            </w:tcMar>
          </w:tcPr>
          <w:p w14:paraId="2FCC9074"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838" w:type="pct"/>
            <w:tcMar>
              <w:left w:w="72" w:type="dxa"/>
              <w:right w:w="72" w:type="dxa"/>
            </w:tcMar>
          </w:tcPr>
          <w:p w14:paraId="55CE872F"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829" w:type="pct"/>
            <w:tcMar>
              <w:left w:w="72" w:type="dxa"/>
              <w:right w:w="72" w:type="dxa"/>
            </w:tcMar>
          </w:tcPr>
          <w:p w14:paraId="6F24F621"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800D8F" w:rsidRPr="007D1EDC" w14:paraId="20902279" w14:textId="77777777" w:rsidTr="0067343B">
        <w:trPr>
          <w:cantSplit/>
        </w:trPr>
        <w:tc>
          <w:tcPr>
            <w:tcW w:w="260" w:type="pct"/>
            <w:tcMar>
              <w:left w:w="72" w:type="dxa"/>
              <w:right w:w="72" w:type="dxa"/>
            </w:tcMar>
          </w:tcPr>
          <w:p w14:paraId="315F029A" w14:textId="77777777" w:rsidR="00B646DB" w:rsidRPr="007D1EDC"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4.4.1</w:t>
            </w:r>
          </w:p>
        </w:tc>
        <w:tc>
          <w:tcPr>
            <w:tcW w:w="1367" w:type="pct"/>
            <w:tcMar>
              <w:left w:w="72" w:type="dxa"/>
              <w:right w:w="72" w:type="dxa"/>
            </w:tcMar>
          </w:tcPr>
          <w:p w14:paraId="24F39BF3" w14:textId="1B9F185C"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Zgjedhja e lokacionit për pikën e hedhjes në Komunën e Pejës</w:t>
            </w:r>
          </w:p>
        </w:tc>
        <w:tc>
          <w:tcPr>
            <w:tcW w:w="462" w:type="pct"/>
            <w:tcMar>
              <w:left w:w="72" w:type="dxa"/>
              <w:right w:w="72" w:type="dxa"/>
            </w:tcMar>
          </w:tcPr>
          <w:p w14:paraId="30B27020" w14:textId="739256C7"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2026</w:t>
            </w:r>
          </w:p>
        </w:tc>
        <w:tc>
          <w:tcPr>
            <w:tcW w:w="578" w:type="pct"/>
            <w:tcMar>
              <w:left w:w="72" w:type="dxa"/>
              <w:right w:w="72" w:type="dxa"/>
            </w:tcMar>
          </w:tcPr>
          <w:p w14:paraId="488453F7" w14:textId="44E1D99B"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w:t>
            </w:r>
          </w:p>
        </w:tc>
        <w:tc>
          <w:tcPr>
            <w:tcW w:w="666" w:type="pct"/>
            <w:tcMar>
              <w:left w:w="72" w:type="dxa"/>
              <w:right w:w="72" w:type="dxa"/>
            </w:tcMar>
          </w:tcPr>
          <w:p w14:paraId="17960A7E" w14:textId="0DB0B155"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w:t>
            </w:r>
          </w:p>
        </w:tc>
        <w:tc>
          <w:tcPr>
            <w:tcW w:w="838" w:type="pct"/>
            <w:tcMar>
              <w:left w:w="72" w:type="dxa"/>
              <w:right w:w="72" w:type="dxa"/>
            </w:tcMar>
          </w:tcPr>
          <w:p w14:paraId="721D3C7E" w14:textId="79FE8DA2"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Komuna e Pejës</w:t>
            </w:r>
          </w:p>
        </w:tc>
        <w:tc>
          <w:tcPr>
            <w:tcW w:w="829" w:type="pct"/>
            <w:tcMar>
              <w:left w:w="72" w:type="dxa"/>
              <w:right w:w="72" w:type="dxa"/>
            </w:tcMar>
          </w:tcPr>
          <w:p w14:paraId="66A69ADE" w14:textId="6B417D96"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Vendi i zgjedhur dhe i përcaktuar</w:t>
            </w:r>
          </w:p>
        </w:tc>
      </w:tr>
      <w:tr w:rsidR="00800D8F" w:rsidRPr="007D1EDC" w14:paraId="2C1B0A85" w14:textId="77777777" w:rsidTr="0067343B">
        <w:trPr>
          <w:cantSplit/>
        </w:trPr>
        <w:tc>
          <w:tcPr>
            <w:tcW w:w="260" w:type="pct"/>
            <w:tcMar>
              <w:left w:w="72" w:type="dxa"/>
              <w:right w:w="72" w:type="dxa"/>
            </w:tcMar>
          </w:tcPr>
          <w:p w14:paraId="54873E0B" w14:textId="77777777" w:rsidR="00B646DB" w:rsidRPr="007D1EDC"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4.4.2</w:t>
            </w:r>
          </w:p>
        </w:tc>
        <w:tc>
          <w:tcPr>
            <w:tcW w:w="1367" w:type="pct"/>
            <w:tcMar>
              <w:left w:w="72" w:type="dxa"/>
              <w:right w:w="72" w:type="dxa"/>
            </w:tcMar>
          </w:tcPr>
          <w:p w14:paraId="63640DC7" w14:textId="09C1C4B1"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Zgjedhja e lokacionit për pikën e hedhjes në Komunën e Istogut</w:t>
            </w:r>
          </w:p>
        </w:tc>
        <w:tc>
          <w:tcPr>
            <w:tcW w:w="462" w:type="pct"/>
            <w:tcMar>
              <w:left w:w="72" w:type="dxa"/>
              <w:right w:w="72" w:type="dxa"/>
            </w:tcMar>
          </w:tcPr>
          <w:p w14:paraId="107166B5" w14:textId="40F037D9"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2026</w:t>
            </w:r>
          </w:p>
        </w:tc>
        <w:tc>
          <w:tcPr>
            <w:tcW w:w="578" w:type="pct"/>
            <w:tcMar>
              <w:left w:w="72" w:type="dxa"/>
              <w:right w:w="72" w:type="dxa"/>
            </w:tcMar>
          </w:tcPr>
          <w:p w14:paraId="697DF84E" w14:textId="15B4C2AF"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w:t>
            </w:r>
          </w:p>
        </w:tc>
        <w:tc>
          <w:tcPr>
            <w:tcW w:w="666" w:type="pct"/>
            <w:tcMar>
              <w:left w:w="72" w:type="dxa"/>
              <w:right w:w="72" w:type="dxa"/>
            </w:tcMar>
          </w:tcPr>
          <w:p w14:paraId="20ABBE46" w14:textId="7D2DBC61"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w:t>
            </w:r>
          </w:p>
        </w:tc>
        <w:tc>
          <w:tcPr>
            <w:tcW w:w="838" w:type="pct"/>
            <w:tcMar>
              <w:left w:w="72" w:type="dxa"/>
              <w:right w:w="72" w:type="dxa"/>
            </w:tcMar>
          </w:tcPr>
          <w:p w14:paraId="77AF5985" w14:textId="5C4B74A9"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Komuna e Istogut</w:t>
            </w:r>
          </w:p>
        </w:tc>
        <w:tc>
          <w:tcPr>
            <w:tcW w:w="829" w:type="pct"/>
            <w:tcMar>
              <w:left w:w="72" w:type="dxa"/>
              <w:right w:w="72" w:type="dxa"/>
            </w:tcMar>
          </w:tcPr>
          <w:p w14:paraId="1D0A3835" w14:textId="5B505349"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Vendi i zgjedhur dhe i pëcaktuar</w:t>
            </w:r>
          </w:p>
        </w:tc>
      </w:tr>
      <w:tr w:rsidR="00800D8F" w:rsidRPr="007D1EDC" w14:paraId="7509A8D4" w14:textId="77777777" w:rsidTr="0067343B">
        <w:trPr>
          <w:cantSplit/>
        </w:trPr>
        <w:tc>
          <w:tcPr>
            <w:tcW w:w="260" w:type="pct"/>
            <w:tcMar>
              <w:left w:w="72" w:type="dxa"/>
              <w:right w:w="72" w:type="dxa"/>
            </w:tcMar>
          </w:tcPr>
          <w:p w14:paraId="246F4BD0" w14:textId="77777777" w:rsidR="00B646DB" w:rsidRPr="007D1EDC"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lastRenderedPageBreak/>
              <w:t>4.4.3</w:t>
            </w:r>
          </w:p>
        </w:tc>
        <w:tc>
          <w:tcPr>
            <w:tcW w:w="1367" w:type="pct"/>
            <w:tcMar>
              <w:left w:w="72" w:type="dxa"/>
              <w:right w:w="72" w:type="dxa"/>
            </w:tcMar>
          </w:tcPr>
          <w:p w14:paraId="5CBC2694" w14:textId="6926F02B"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Zgjedhja e lokacionit për pikën e zbritjes në Komunën e Klinës</w:t>
            </w:r>
          </w:p>
        </w:tc>
        <w:tc>
          <w:tcPr>
            <w:tcW w:w="462" w:type="pct"/>
            <w:tcMar>
              <w:left w:w="72" w:type="dxa"/>
              <w:right w:w="72" w:type="dxa"/>
            </w:tcMar>
          </w:tcPr>
          <w:p w14:paraId="3920E890" w14:textId="2DAEC7E9"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2026</w:t>
            </w:r>
          </w:p>
        </w:tc>
        <w:tc>
          <w:tcPr>
            <w:tcW w:w="578" w:type="pct"/>
            <w:tcMar>
              <w:left w:w="72" w:type="dxa"/>
              <w:right w:w="72" w:type="dxa"/>
            </w:tcMar>
          </w:tcPr>
          <w:p w14:paraId="3E86AC43" w14:textId="70B450DE"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w:t>
            </w:r>
          </w:p>
        </w:tc>
        <w:tc>
          <w:tcPr>
            <w:tcW w:w="666" w:type="pct"/>
            <w:tcMar>
              <w:left w:w="72" w:type="dxa"/>
              <w:right w:w="72" w:type="dxa"/>
            </w:tcMar>
          </w:tcPr>
          <w:p w14:paraId="4F8B58E9" w14:textId="213654E1"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w:t>
            </w:r>
          </w:p>
        </w:tc>
        <w:tc>
          <w:tcPr>
            <w:tcW w:w="838" w:type="pct"/>
            <w:tcMar>
              <w:left w:w="72" w:type="dxa"/>
              <w:right w:w="72" w:type="dxa"/>
            </w:tcMar>
          </w:tcPr>
          <w:p w14:paraId="2FDEC2EE" w14:textId="3CF56655"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Komuna e Klinës</w:t>
            </w:r>
          </w:p>
        </w:tc>
        <w:tc>
          <w:tcPr>
            <w:tcW w:w="829" w:type="pct"/>
            <w:tcMar>
              <w:left w:w="72" w:type="dxa"/>
              <w:right w:w="72" w:type="dxa"/>
            </w:tcMar>
          </w:tcPr>
          <w:p w14:paraId="0FE8E79A" w14:textId="5F9C7C14"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Vendi i zgjedhur dhe i caktuar</w:t>
            </w:r>
          </w:p>
        </w:tc>
      </w:tr>
      <w:tr w:rsidR="00800D8F" w:rsidRPr="007D1EDC" w14:paraId="28336346" w14:textId="77777777" w:rsidTr="0067343B">
        <w:trPr>
          <w:cantSplit/>
        </w:trPr>
        <w:tc>
          <w:tcPr>
            <w:tcW w:w="260" w:type="pct"/>
            <w:tcMar>
              <w:left w:w="72" w:type="dxa"/>
              <w:right w:w="72" w:type="dxa"/>
            </w:tcMar>
          </w:tcPr>
          <w:p w14:paraId="0E9EBB77" w14:textId="77777777" w:rsidR="00B646DB" w:rsidRPr="007D1EDC"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4.4.4</w:t>
            </w:r>
          </w:p>
        </w:tc>
        <w:tc>
          <w:tcPr>
            <w:tcW w:w="1367" w:type="pct"/>
            <w:tcMar>
              <w:left w:w="72" w:type="dxa"/>
              <w:right w:w="72" w:type="dxa"/>
            </w:tcMar>
          </w:tcPr>
          <w:p w14:paraId="7A8A6DD0" w14:textId="6A7D0B6E"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Zgjedhja e lokacionit për pikën e hedhjes në Komunën e Deçanit</w:t>
            </w:r>
          </w:p>
        </w:tc>
        <w:tc>
          <w:tcPr>
            <w:tcW w:w="462" w:type="pct"/>
            <w:tcMar>
              <w:left w:w="72" w:type="dxa"/>
              <w:right w:w="72" w:type="dxa"/>
            </w:tcMar>
          </w:tcPr>
          <w:p w14:paraId="2BA3BD80" w14:textId="76C8B413"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2026</w:t>
            </w:r>
          </w:p>
        </w:tc>
        <w:tc>
          <w:tcPr>
            <w:tcW w:w="578" w:type="pct"/>
            <w:tcMar>
              <w:left w:w="72" w:type="dxa"/>
              <w:right w:w="72" w:type="dxa"/>
            </w:tcMar>
          </w:tcPr>
          <w:p w14:paraId="43A99192" w14:textId="051AB6CD"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w:t>
            </w:r>
          </w:p>
        </w:tc>
        <w:tc>
          <w:tcPr>
            <w:tcW w:w="666" w:type="pct"/>
            <w:tcMar>
              <w:left w:w="72" w:type="dxa"/>
              <w:right w:w="72" w:type="dxa"/>
            </w:tcMar>
          </w:tcPr>
          <w:p w14:paraId="5B425F1C" w14:textId="6EEB2F8F"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w:t>
            </w:r>
          </w:p>
        </w:tc>
        <w:tc>
          <w:tcPr>
            <w:tcW w:w="838" w:type="pct"/>
            <w:tcMar>
              <w:left w:w="72" w:type="dxa"/>
              <w:right w:w="72" w:type="dxa"/>
            </w:tcMar>
          </w:tcPr>
          <w:p w14:paraId="1C47A38B" w14:textId="5D013E61"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Komuna e Deçanit</w:t>
            </w:r>
          </w:p>
        </w:tc>
        <w:tc>
          <w:tcPr>
            <w:tcW w:w="829" w:type="pct"/>
            <w:tcMar>
              <w:left w:w="72" w:type="dxa"/>
              <w:right w:w="72" w:type="dxa"/>
            </w:tcMar>
          </w:tcPr>
          <w:p w14:paraId="0359D455" w14:textId="37EA50A3"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Vendi i zgjedhur dhe i përcaktuar</w:t>
            </w:r>
          </w:p>
        </w:tc>
      </w:tr>
      <w:tr w:rsidR="00800D8F" w:rsidRPr="007D1EDC" w14:paraId="4306E388" w14:textId="77777777" w:rsidTr="0067343B">
        <w:trPr>
          <w:cantSplit/>
        </w:trPr>
        <w:tc>
          <w:tcPr>
            <w:tcW w:w="260" w:type="pct"/>
            <w:tcMar>
              <w:left w:w="72" w:type="dxa"/>
              <w:right w:w="72" w:type="dxa"/>
            </w:tcMar>
          </w:tcPr>
          <w:p w14:paraId="56743637" w14:textId="77777777" w:rsidR="00B646DB" w:rsidRPr="007D1EDC"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4.4.5</w:t>
            </w:r>
          </w:p>
        </w:tc>
        <w:tc>
          <w:tcPr>
            <w:tcW w:w="1367" w:type="pct"/>
            <w:tcMar>
              <w:left w:w="72" w:type="dxa"/>
              <w:right w:w="72" w:type="dxa"/>
            </w:tcMar>
          </w:tcPr>
          <w:p w14:paraId="4350C841" w14:textId="11C8414F"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Aptos" w:hAnsi="Arial Narrow" w:cs="Arial"/>
                <w:sz w:val="20"/>
                <w:szCs w:val="20"/>
                <w:lang w:eastAsia="uk-UA"/>
              </w:rPr>
              <w:t>Ndërtimi i pikave të hedhjes</w:t>
            </w:r>
          </w:p>
        </w:tc>
        <w:tc>
          <w:tcPr>
            <w:tcW w:w="462" w:type="pct"/>
            <w:tcMar>
              <w:left w:w="72" w:type="dxa"/>
              <w:right w:w="72" w:type="dxa"/>
            </w:tcMar>
          </w:tcPr>
          <w:p w14:paraId="0D1F2B26" w14:textId="63F123AF"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Aptos" w:hAnsi="Arial Narrow" w:cs="Arial"/>
                <w:sz w:val="20"/>
                <w:szCs w:val="20"/>
                <w:lang w:eastAsia="uk-UA"/>
              </w:rPr>
              <w:t>2027</w:t>
            </w:r>
          </w:p>
        </w:tc>
        <w:tc>
          <w:tcPr>
            <w:tcW w:w="578" w:type="pct"/>
            <w:tcMar>
              <w:left w:w="72" w:type="dxa"/>
              <w:right w:w="72" w:type="dxa"/>
            </w:tcMar>
          </w:tcPr>
          <w:p w14:paraId="7FC719DB" w14:textId="625D29E4"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600,000 (150,000 euro secila)</w:t>
            </w:r>
          </w:p>
        </w:tc>
        <w:tc>
          <w:tcPr>
            <w:tcW w:w="666" w:type="pct"/>
            <w:tcMar>
              <w:left w:w="72" w:type="dxa"/>
              <w:right w:w="72" w:type="dxa"/>
            </w:tcMar>
          </w:tcPr>
          <w:p w14:paraId="1437EA96" w14:textId="13BDC2F0"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Granti kapital</w:t>
            </w:r>
          </w:p>
        </w:tc>
        <w:tc>
          <w:tcPr>
            <w:tcW w:w="838" w:type="pct"/>
            <w:tcMar>
              <w:left w:w="72" w:type="dxa"/>
              <w:right w:w="72" w:type="dxa"/>
            </w:tcMar>
          </w:tcPr>
          <w:p w14:paraId="402F3211" w14:textId="0AC60541"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Aptos" w:hAnsi="Arial Narrow" w:cs="Arial"/>
                <w:sz w:val="20"/>
                <w:szCs w:val="20"/>
                <w:lang w:eastAsia="uk-UA"/>
              </w:rPr>
              <w:t>Të gjitha komunat</w:t>
            </w:r>
          </w:p>
        </w:tc>
        <w:tc>
          <w:tcPr>
            <w:tcW w:w="829" w:type="pct"/>
            <w:tcMar>
              <w:left w:w="72" w:type="dxa"/>
              <w:right w:w="72" w:type="dxa"/>
            </w:tcMar>
          </w:tcPr>
          <w:p w14:paraId="6DA08B24" w14:textId="282589AB"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Ngritja e pikave të hedhjes</w:t>
            </w:r>
          </w:p>
        </w:tc>
      </w:tr>
      <w:tr w:rsidR="00800D8F" w:rsidRPr="007D1EDC" w14:paraId="5914A005" w14:textId="77777777" w:rsidTr="0067343B">
        <w:trPr>
          <w:cantSplit/>
        </w:trPr>
        <w:tc>
          <w:tcPr>
            <w:tcW w:w="260" w:type="pct"/>
            <w:tcMar>
              <w:left w:w="72" w:type="dxa"/>
              <w:right w:w="72" w:type="dxa"/>
            </w:tcMar>
          </w:tcPr>
          <w:p w14:paraId="7A53B131" w14:textId="77777777" w:rsidR="00B646DB" w:rsidRPr="007D1EDC"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4.4.6</w:t>
            </w:r>
          </w:p>
        </w:tc>
        <w:tc>
          <w:tcPr>
            <w:tcW w:w="1367" w:type="pct"/>
            <w:tcMar>
              <w:left w:w="72" w:type="dxa"/>
              <w:right w:w="72" w:type="dxa"/>
            </w:tcMar>
          </w:tcPr>
          <w:p w14:paraId="77C1AE5E" w14:textId="1EC54BCD"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Furnizimi me pajisje të grumbullimit dhe transportit</w:t>
            </w:r>
          </w:p>
        </w:tc>
        <w:tc>
          <w:tcPr>
            <w:tcW w:w="462" w:type="pct"/>
            <w:tcMar>
              <w:left w:w="72" w:type="dxa"/>
              <w:right w:w="72" w:type="dxa"/>
            </w:tcMar>
          </w:tcPr>
          <w:p w14:paraId="5C4B38DE" w14:textId="374482B8"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2027</w:t>
            </w:r>
          </w:p>
        </w:tc>
        <w:tc>
          <w:tcPr>
            <w:tcW w:w="578" w:type="pct"/>
            <w:tcMar>
              <w:left w:w="72" w:type="dxa"/>
              <w:right w:w="72" w:type="dxa"/>
            </w:tcMar>
          </w:tcPr>
          <w:p w14:paraId="4CD18C11" w14:textId="6E6BE736"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439,000</w:t>
            </w:r>
          </w:p>
        </w:tc>
        <w:tc>
          <w:tcPr>
            <w:tcW w:w="666" w:type="pct"/>
            <w:tcMar>
              <w:left w:w="72" w:type="dxa"/>
              <w:right w:w="72" w:type="dxa"/>
            </w:tcMar>
          </w:tcPr>
          <w:p w14:paraId="1DF745D7" w14:textId="46275F32"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Granti kapital</w:t>
            </w:r>
          </w:p>
        </w:tc>
        <w:tc>
          <w:tcPr>
            <w:tcW w:w="838" w:type="pct"/>
            <w:tcMar>
              <w:left w:w="72" w:type="dxa"/>
              <w:right w:w="72" w:type="dxa"/>
            </w:tcMar>
          </w:tcPr>
          <w:p w14:paraId="323EFE88" w14:textId="7BFDF902"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Të gjitha komunat</w:t>
            </w:r>
          </w:p>
        </w:tc>
        <w:tc>
          <w:tcPr>
            <w:tcW w:w="829" w:type="pct"/>
            <w:tcMar>
              <w:left w:w="72" w:type="dxa"/>
              <w:right w:w="72" w:type="dxa"/>
            </w:tcMar>
          </w:tcPr>
          <w:p w14:paraId="35B76E70" w14:textId="0A179E62"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Pajisjet e furnizuara</w:t>
            </w:r>
          </w:p>
        </w:tc>
      </w:tr>
      <w:tr w:rsidR="00800D8F" w:rsidRPr="007D1EDC" w14:paraId="3C35AD50" w14:textId="77777777" w:rsidTr="0067343B">
        <w:trPr>
          <w:cantSplit/>
        </w:trPr>
        <w:tc>
          <w:tcPr>
            <w:tcW w:w="260" w:type="pct"/>
            <w:tcMar>
              <w:left w:w="72" w:type="dxa"/>
              <w:right w:w="72" w:type="dxa"/>
            </w:tcMar>
          </w:tcPr>
          <w:p w14:paraId="074BB7C9" w14:textId="77777777" w:rsidR="00B646DB" w:rsidRPr="007D1EDC"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4.4.7</w:t>
            </w:r>
          </w:p>
        </w:tc>
        <w:tc>
          <w:tcPr>
            <w:tcW w:w="1367" w:type="pct"/>
            <w:tcMar>
              <w:left w:w="72" w:type="dxa"/>
              <w:right w:w="72" w:type="dxa"/>
            </w:tcMar>
            <w:vAlign w:val="center"/>
          </w:tcPr>
          <w:p w14:paraId="7ED656EF" w14:textId="4594D707"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Furnizimi me pajisje për pikat e hedhjes</w:t>
            </w:r>
          </w:p>
        </w:tc>
        <w:tc>
          <w:tcPr>
            <w:tcW w:w="462" w:type="pct"/>
            <w:tcMar>
              <w:left w:w="72" w:type="dxa"/>
              <w:right w:w="72" w:type="dxa"/>
            </w:tcMar>
            <w:vAlign w:val="center"/>
          </w:tcPr>
          <w:p w14:paraId="7FD20283" w14:textId="6EB2A973"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2027</w:t>
            </w:r>
          </w:p>
        </w:tc>
        <w:tc>
          <w:tcPr>
            <w:tcW w:w="578" w:type="pct"/>
            <w:tcMar>
              <w:left w:w="72" w:type="dxa"/>
              <w:right w:w="72" w:type="dxa"/>
            </w:tcMar>
            <w:vAlign w:val="center"/>
          </w:tcPr>
          <w:p w14:paraId="36B746D0" w14:textId="583B231B"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252,000</w:t>
            </w:r>
          </w:p>
        </w:tc>
        <w:tc>
          <w:tcPr>
            <w:tcW w:w="666" w:type="pct"/>
            <w:tcMar>
              <w:left w:w="72" w:type="dxa"/>
              <w:right w:w="72" w:type="dxa"/>
            </w:tcMar>
            <w:vAlign w:val="center"/>
          </w:tcPr>
          <w:p w14:paraId="302470B5" w14:textId="7E2202C2"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Granti kapital</w:t>
            </w:r>
          </w:p>
        </w:tc>
        <w:tc>
          <w:tcPr>
            <w:tcW w:w="838" w:type="pct"/>
            <w:tcMar>
              <w:left w:w="72" w:type="dxa"/>
              <w:right w:w="72" w:type="dxa"/>
            </w:tcMar>
            <w:vAlign w:val="center"/>
          </w:tcPr>
          <w:p w14:paraId="01048CC0" w14:textId="5A154349"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Të gjitha komunat</w:t>
            </w:r>
          </w:p>
        </w:tc>
        <w:tc>
          <w:tcPr>
            <w:tcW w:w="829" w:type="pct"/>
            <w:tcMar>
              <w:left w:w="72" w:type="dxa"/>
              <w:right w:w="72" w:type="dxa"/>
            </w:tcMar>
          </w:tcPr>
          <w:p w14:paraId="26984FAF" w14:textId="657ED11C"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Pajisjet e furnizuara</w:t>
            </w:r>
          </w:p>
        </w:tc>
      </w:tr>
      <w:tr w:rsidR="00800D8F" w:rsidRPr="007D1EDC" w14:paraId="2ACC5C67" w14:textId="77777777" w:rsidTr="0067343B">
        <w:trPr>
          <w:cantSplit/>
        </w:trPr>
        <w:tc>
          <w:tcPr>
            <w:tcW w:w="260" w:type="pct"/>
            <w:tcMar>
              <w:left w:w="72" w:type="dxa"/>
              <w:right w:w="72" w:type="dxa"/>
            </w:tcMar>
          </w:tcPr>
          <w:p w14:paraId="7246B901" w14:textId="77777777" w:rsidR="00B646DB" w:rsidRPr="007D1EDC"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4.4.8</w:t>
            </w:r>
          </w:p>
        </w:tc>
        <w:tc>
          <w:tcPr>
            <w:tcW w:w="1367" w:type="pct"/>
            <w:tcMar>
              <w:left w:w="72" w:type="dxa"/>
              <w:right w:w="72" w:type="dxa"/>
            </w:tcMar>
            <w:vAlign w:val="center"/>
          </w:tcPr>
          <w:p w14:paraId="1E3442EB" w14:textId="38F9AD59"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Aptos" w:hAnsi="Arial Narrow" w:cs="Arial"/>
                <w:sz w:val="20"/>
                <w:szCs w:val="20"/>
                <w:lang w:eastAsia="uk-UA"/>
              </w:rPr>
              <w:t>Punimet e ndërtimit për objektin e riciklimit (me vendndodhje në Komunën e Pejës)</w:t>
            </w:r>
          </w:p>
        </w:tc>
        <w:tc>
          <w:tcPr>
            <w:tcW w:w="462" w:type="pct"/>
            <w:tcMar>
              <w:left w:w="72" w:type="dxa"/>
              <w:right w:w="72" w:type="dxa"/>
            </w:tcMar>
            <w:vAlign w:val="center"/>
          </w:tcPr>
          <w:p w14:paraId="55F7E60B" w14:textId="789B841F"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Aptos" w:hAnsi="Arial Narrow" w:cs="Arial"/>
                <w:sz w:val="20"/>
                <w:szCs w:val="20"/>
                <w:lang w:eastAsia="uk-UA"/>
              </w:rPr>
              <w:t>2027</w:t>
            </w:r>
          </w:p>
        </w:tc>
        <w:tc>
          <w:tcPr>
            <w:tcW w:w="578" w:type="pct"/>
            <w:tcMar>
              <w:left w:w="72" w:type="dxa"/>
              <w:right w:w="72" w:type="dxa"/>
            </w:tcMar>
            <w:vAlign w:val="center"/>
          </w:tcPr>
          <w:p w14:paraId="22412870" w14:textId="0C8BC7E1"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Aptos" w:hAnsi="Arial Narrow" w:cs="Arial"/>
                <w:sz w:val="20"/>
                <w:szCs w:val="20"/>
                <w:lang w:eastAsia="uk-UA"/>
              </w:rPr>
              <w:t>1,010,000</w:t>
            </w:r>
          </w:p>
        </w:tc>
        <w:tc>
          <w:tcPr>
            <w:tcW w:w="666" w:type="pct"/>
            <w:tcMar>
              <w:left w:w="72" w:type="dxa"/>
              <w:right w:w="72" w:type="dxa"/>
            </w:tcMar>
          </w:tcPr>
          <w:p w14:paraId="38B90E81" w14:textId="63CBD5A9"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Calibri" w:hAnsi="Arial Narrow" w:cs="Calibri"/>
                <w:sz w:val="20"/>
                <w:szCs w:val="20"/>
              </w:rPr>
              <w:t>Granti kapital</w:t>
            </w:r>
          </w:p>
        </w:tc>
        <w:tc>
          <w:tcPr>
            <w:tcW w:w="838" w:type="pct"/>
            <w:tcMar>
              <w:left w:w="72" w:type="dxa"/>
              <w:right w:w="72" w:type="dxa"/>
            </w:tcMar>
          </w:tcPr>
          <w:p w14:paraId="2E6E3F16" w14:textId="67A2264D" w:rsidR="00B646DB" w:rsidRPr="00B646DB"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B646DB">
              <w:rPr>
                <w:rFonts w:ascii="Arial Narrow" w:eastAsia="Aptos" w:hAnsi="Arial Narrow" w:cs="Arial"/>
                <w:sz w:val="20"/>
                <w:szCs w:val="20"/>
                <w:lang w:eastAsia="uk-UA"/>
              </w:rPr>
              <w:t>Komuna e Pejës</w:t>
            </w:r>
          </w:p>
        </w:tc>
        <w:tc>
          <w:tcPr>
            <w:tcW w:w="829" w:type="pct"/>
            <w:tcMar>
              <w:left w:w="72" w:type="dxa"/>
              <w:right w:w="72" w:type="dxa"/>
            </w:tcMar>
          </w:tcPr>
          <w:p w14:paraId="5676E8C3" w14:textId="00AA63A5"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Impianti i riciklimit është vënë në punë</w:t>
            </w:r>
          </w:p>
        </w:tc>
      </w:tr>
      <w:tr w:rsidR="00800D8F" w:rsidRPr="007D1EDC" w14:paraId="0DE94135" w14:textId="77777777" w:rsidTr="0067343B">
        <w:trPr>
          <w:cantSplit/>
        </w:trPr>
        <w:tc>
          <w:tcPr>
            <w:tcW w:w="260" w:type="pct"/>
            <w:tcMar>
              <w:left w:w="72" w:type="dxa"/>
              <w:right w:w="72" w:type="dxa"/>
            </w:tcMar>
          </w:tcPr>
          <w:p w14:paraId="7D01B3E8" w14:textId="77777777" w:rsidR="00B646DB" w:rsidRPr="007D1EDC"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4.4.9</w:t>
            </w:r>
          </w:p>
        </w:tc>
        <w:tc>
          <w:tcPr>
            <w:tcW w:w="1367" w:type="pct"/>
            <w:tcMar>
              <w:left w:w="72" w:type="dxa"/>
              <w:right w:w="72" w:type="dxa"/>
            </w:tcMar>
          </w:tcPr>
          <w:p w14:paraId="455FB8FA" w14:textId="30F0AF02"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Furnizimi me pajisje për objektin e riciklimit</w:t>
            </w:r>
          </w:p>
        </w:tc>
        <w:tc>
          <w:tcPr>
            <w:tcW w:w="462" w:type="pct"/>
            <w:tcMar>
              <w:left w:w="72" w:type="dxa"/>
              <w:right w:w="72" w:type="dxa"/>
            </w:tcMar>
          </w:tcPr>
          <w:p w14:paraId="044825AB" w14:textId="0D6B62F3"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2027</w:t>
            </w:r>
          </w:p>
        </w:tc>
        <w:tc>
          <w:tcPr>
            <w:tcW w:w="578" w:type="pct"/>
            <w:tcMar>
              <w:left w:w="72" w:type="dxa"/>
              <w:right w:w="72" w:type="dxa"/>
            </w:tcMar>
          </w:tcPr>
          <w:p w14:paraId="5ED9B23D" w14:textId="3328FDAC"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500,000</w:t>
            </w:r>
          </w:p>
        </w:tc>
        <w:tc>
          <w:tcPr>
            <w:tcW w:w="666" w:type="pct"/>
            <w:tcMar>
              <w:left w:w="72" w:type="dxa"/>
              <w:right w:w="72" w:type="dxa"/>
            </w:tcMar>
          </w:tcPr>
          <w:p w14:paraId="6097B2F0" w14:textId="63ED516D"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Granti kapital</w:t>
            </w:r>
          </w:p>
        </w:tc>
        <w:tc>
          <w:tcPr>
            <w:tcW w:w="838" w:type="pct"/>
            <w:tcMar>
              <w:left w:w="72" w:type="dxa"/>
              <w:right w:w="72" w:type="dxa"/>
            </w:tcMar>
          </w:tcPr>
          <w:p w14:paraId="36B886CB" w14:textId="67681198"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Komuna e Pejës</w:t>
            </w:r>
          </w:p>
        </w:tc>
        <w:tc>
          <w:tcPr>
            <w:tcW w:w="829" w:type="pct"/>
            <w:tcMar>
              <w:left w:w="72" w:type="dxa"/>
              <w:right w:w="72" w:type="dxa"/>
            </w:tcMar>
          </w:tcPr>
          <w:p w14:paraId="6017D8E9" w14:textId="76149C83"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Pajisjet e furnizuara</w:t>
            </w:r>
          </w:p>
        </w:tc>
      </w:tr>
      <w:tr w:rsidR="00800D8F" w:rsidRPr="007D1EDC" w14:paraId="02BAFBAD" w14:textId="77777777" w:rsidTr="0067343B">
        <w:trPr>
          <w:cantSplit/>
        </w:trPr>
        <w:tc>
          <w:tcPr>
            <w:tcW w:w="260" w:type="pct"/>
            <w:tcMar>
              <w:left w:w="72" w:type="dxa"/>
              <w:right w:w="72" w:type="dxa"/>
            </w:tcMar>
          </w:tcPr>
          <w:p w14:paraId="48774A92" w14:textId="77777777" w:rsidR="00B646DB" w:rsidRPr="007D1EDC" w:rsidRDefault="00B646DB" w:rsidP="00B646DB">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4.4.10</w:t>
            </w:r>
          </w:p>
        </w:tc>
        <w:tc>
          <w:tcPr>
            <w:tcW w:w="1367" w:type="pct"/>
            <w:tcMar>
              <w:left w:w="72" w:type="dxa"/>
              <w:right w:w="72" w:type="dxa"/>
            </w:tcMar>
          </w:tcPr>
          <w:p w14:paraId="2374A559" w14:textId="204EAA99"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Punimet ndërtimore për deponimin (me vendndodhje në Komunën e Pejës)</w:t>
            </w:r>
          </w:p>
        </w:tc>
        <w:tc>
          <w:tcPr>
            <w:tcW w:w="462" w:type="pct"/>
            <w:tcBorders>
              <w:bottom w:val="single" w:sz="4" w:space="0" w:color="auto"/>
            </w:tcBorders>
            <w:tcMar>
              <w:left w:w="72" w:type="dxa"/>
              <w:right w:w="72" w:type="dxa"/>
            </w:tcMar>
          </w:tcPr>
          <w:p w14:paraId="4CF806CC" w14:textId="09D2951D"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2027</w:t>
            </w:r>
          </w:p>
        </w:tc>
        <w:tc>
          <w:tcPr>
            <w:tcW w:w="578" w:type="pct"/>
            <w:tcBorders>
              <w:bottom w:val="single" w:sz="4" w:space="0" w:color="auto"/>
            </w:tcBorders>
            <w:tcMar>
              <w:left w:w="72" w:type="dxa"/>
              <w:right w:w="72" w:type="dxa"/>
            </w:tcMar>
          </w:tcPr>
          <w:p w14:paraId="6229942D" w14:textId="5280F0B3"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1 000 000</w:t>
            </w:r>
          </w:p>
        </w:tc>
        <w:tc>
          <w:tcPr>
            <w:tcW w:w="666" w:type="pct"/>
            <w:tcBorders>
              <w:bottom w:val="single" w:sz="4" w:space="0" w:color="auto"/>
            </w:tcBorders>
            <w:tcMar>
              <w:left w:w="72" w:type="dxa"/>
              <w:right w:w="72" w:type="dxa"/>
            </w:tcMar>
          </w:tcPr>
          <w:p w14:paraId="70267AE8" w14:textId="655AF902"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Granti kapital</w:t>
            </w:r>
          </w:p>
        </w:tc>
        <w:tc>
          <w:tcPr>
            <w:tcW w:w="838" w:type="pct"/>
            <w:tcBorders>
              <w:bottom w:val="single" w:sz="4" w:space="0" w:color="auto"/>
            </w:tcBorders>
            <w:tcMar>
              <w:left w:w="72" w:type="dxa"/>
              <w:right w:w="72" w:type="dxa"/>
            </w:tcMar>
          </w:tcPr>
          <w:p w14:paraId="0F45FA17" w14:textId="69458A88"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Aptos" w:hAnsi="Arial Narrow" w:cs="Arial"/>
                <w:sz w:val="20"/>
                <w:szCs w:val="20"/>
                <w:lang w:eastAsia="uk-UA"/>
              </w:rPr>
              <w:t>Komuna e Pejës</w:t>
            </w:r>
          </w:p>
        </w:tc>
        <w:tc>
          <w:tcPr>
            <w:tcW w:w="829" w:type="pct"/>
            <w:tcBorders>
              <w:bottom w:val="single" w:sz="4" w:space="0" w:color="auto"/>
            </w:tcBorders>
            <w:tcMar>
              <w:left w:w="72" w:type="dxa"/>
              <w:right w:w="72" w:type="dxa"/>
            </w:tcMar>
          </w:tcPr>
          <w:p w14:paraId="0A97F5BD" w14:textId="5F4847CA" w:rsidR="00B646DB" w:rsidRPr="00B646DB" w:rsidRDefault="00B646DB" w:rsidP="00B646DB">
            <w:pPr>
              <w:widowControl w:val="0"/>
              <w:suppressAutoHyphens/>
              <w:autoSpaceDE w:val="0"/>
              <w:autoSpaceDN w:val="0"/>
              <w:spacing w:before="60" w:after="60"/>
              <w:ind w:right="123"/>
              <w:rPr>
                <w:rFonts w:ascii="Arial Narrow" w:eastAsia="Calibri" w:hAnsi="Arial Narrow" w:cs="Calibri"/>
                <w:sz w:val="20"/>
                <w:szCs w:val="20"/>
              </w:rPr>
            </w:pPr>
            <w:r w:rsidRPr="00B646DB">
              <w:rPr>
                <w:rFonts w:ascii="Arial Narrow" w:eastAsia="Calibri" w:hAnsi="Arial Narrow" w:cs="Calibri"/>
                <w:sz w:val="20"/>
                <w:szCs w:val="20"/>
              </w:rPr>
              <w:t>Objekti i deponimit është vënë në punë</w:t>
            </w:r>
          </w:p>
        </w:tc>
      </w:tr>
      <w:tr w:rsidR="00800D8F" w:rsidRPr="007D1EDC" w14:paraId="6EFA8E83" w14:textId="77777777" w:rsidTr="0067343B">
        <w:trPr>
          <w:cantSplit/>
        </w:trPr>
        <w:tc>
          <w:tcPr>
            <w:tcW w:w="260" w:type="pct"/>
            <w:shd w:val="clear" w:color="auto" w:fill="C1E4F5"/>
            <w:tcMar>
              <w:left w:w="72" w:type="dxa"/>
              <w:right w:w="72" w:type="dxa"/>
            </w:tcMar>
          </w:tcPr>
          <w:p w14:paraId="5A55CF2C"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5</w:t>
            </w:r>
          </w:p>
        </w:tc>
        <w:tc>
          <w:tcPr>
            <w:tcW w:w="1367" w:type="pct"/>
            <w:tcBorders>
              <w:right w:val="nil"/>
            </w:tcBorders>
            <w:shd w:val="clear" w:color="auto" w:fill="C1E4F5"/>
            <w:tcMar>
              <w:left w:w="72" w:type="dxa"/>
              <w:right w:w="72" w:type="dxa"/>
            </w:tcMar>
          </w:tcPr>
          <w:p w14:paraId="28F9B516" w14:textId="1E8FD5FA"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Prioriteti – Menaxhimi i mbet</w:t>
            </w:r>
            <w:r w:rsidR="00800D8F">
              <w:rPr>
                <w:rFonts w:ascii="Arial Narrow" w:eastAsia="Calibri" w:hAnsi="Arial Narrow" w:cs="Calibri"/>
                <w:b/>
                <w:bCs/>
                <w:sz w:val="20"/>
                <w:szCs w:val="20"/>
              </w:rPr>
              <w:t>urinave</w:t>
            </w:r>
            <w:r w:rsidRPr="007D1EDC">
              <w:rPr>
                <w:rFonts w:ascii="Arial Narrow" w:eastAsia="Calibri" w:hAnsi="Arial Narrow" w:cs="Calibri"/>
                <w:b/>
                <w:bCs/>
                <w:sz w:val="20"/>
                <w:szCs w:val="20"/>
              </w:rPr>
              <w:t xml:space="preserve"> bujqësore</w:t>
            </w:r>
          </w:p>
        </w:tc>
        <w:tc>
          <w:tcPr>
            <w:tcW w:w="462" w:type="pct"/>
            <w:tcBorders>
              <w:left w:val="nil"/>
              <w:right w:val="nil"/>
            </w:tcBorders>
            <w:shd w:val="clear" w:color="auto" w:fill="C1E4F5"/>
            <w:tcMar>
              <w:left w:w="72" w:type="dxa"/>
              <w:right w:w="72" w:type="dxa"/>
            </w:tcMar>
          </w:tcPr>
          <w:p w14:paraId="0EA4DF44"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578" w:type="pct"/>
            <w:tcBorders>
              <w:left w:val="nil"/>
              <w:right w:val="nil"/>
            </w:tcBorders>
            <w:shd w:val="clear" w:color="auto" w:fill="C1E4F5"/>
            <w:tcMar>
              <w:left w:w="72" w:type="dxa"/>
              <w:right w:w="72" w:type="dxa"/>
            </w:tcMar>
          </w:tcPr>
          <w:p w14:paraId="6615F81C"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highlight w:val="yellow"/>
              </w:rPr>
            </w:pPr>
          </w:p>
        </w:tc>
        <w:tc>
          <w:tcPr>
            <w:tcW w:w="666" w:type="pct"/>
            <w:tcBorders>
              <w:left w:val="nil"/>
              <w:right w:val="nil"/>
            </w:tcBorders>
            <w:shd w:val="clear" w:color="auto" w:fill="C1E4F5"/>
            <w:tcMar>
              <w:left w:w="72" w:type="dxa"/>
              <w:right w:w="72" w:type="dxa"/>
            </w:tcMar>
          </w:tcPr>
          <w:p w14:paraId="73DC4427"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838" w:type="pct"/>
            <w:tcBorders>
              <w:left w:val="nil"/>
              <w:right w:val="nil"/>
            </w:tcBorders>
            <w:shd w:val="clear" w:color="auto" w:fill="C1E4F5"/>
            <w:tcMar>
              <w:left w:w="72" w:type="dxa"/>
              <w:right w:w="72" w:type="dxa"/>
            </w:tcMar>
          </w:tcPr>
          <w:p w14:paraId="642F8147"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829" w:type="pct"/>
            <w:tcBorders>
              <w:left w:val="nil"/>
            </w:tcBorders>
            <w:shd w:val="clear" w:color="auto" w:fill="C1E4F5"/>
            <w:tcMar>
              <w:left w:w="72" w:type="dxa"/>
              <w:right w:w="72" w:type="dxa"/>
            </w:tcMar>
          </w:tcPr>
          <w:p w14:paraId="0D7F7D67"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800D8F" w:rsidRPr="007D1EDC" w14:paraId="4D0B2286" w14:textId="77777777" w:rsidTr="0067343B">
        <w:trPr>
          <w:cantSplit/>
        </w:trPr>
        <w:tc>
          <w:tcPr>
            <w:tcW w:w="260" w:type="pct"/>
            <w:tcMar>
              <w:left w:w="72" w:type="dxa"/>
              <w:right w:w="72" w:type="dxa"/>
            </w:tcMar>
          </w:tcPr>
          <w:p w14:paraId="1D3A3D57"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5.1</w:t>
            </w:r>
          </w:p>
        </w:tc>
        <w:tc>
          <w:tcPr>
            <w:tcW w:w="1367" w:type="pct"/>
            <w:tcMar>
              <w:left w:w="72" w:type="dxa"/>
              <w:right w:w="72" w:type="dxa"/>
            </w:tcMar>
          </w:tcPr>
          <w:p w14:paraId="5E4FEEEC" w14:textId="106F80DF"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Zhvillimi dhe shpërndarja e materialeve informative mbi menaxhimin e mbeurinave bujqësore (p.sh. udhëzime për ruajtjen e plehut organik në fermë, kompostimin e mbeturinave bujqësore, rikuperimin e energjisë nga biomasa, etj.)</w:t>
            </w:r>
          </w:p>
        </w:tc>
        <w:tc>
          <w:tcPr>
            <w:tcW w:w="462" w:type="pct"/>
            <w:tcMar>
              <w:left w:w="72" w:type="dxa"/>
              <w:right w:w="72" w:type="dxa"/>
            </w:tcMar>
          </w:tcPr>
          <w:p w14:paraId="3B8DB60A" w14:textId="0EDB3681"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lang w:val="bg-BG"/>
              </w:rPr>
            </w:pPr>
            <w:r w:rsidRPr="00800D8F">
              <w:rPr>
                <w:rFonts w:ascii="Arial Narrow" w:eastAsia="Aptos" w:hAnsi="Arial Narrow" w:cs="Arial"/>
                <w:sz w:val="20"/>
                <w:szCs w:val="20"/>
                <w:lang w:eastAsia="uk-UA"/>
              </w:rPr>
              <w:t xml:space="preserve">202 </w:t>
            </w:r>
            <w:r w:rsidRPr="00800D8F">
              <w:rPr>
                <w:rFonts w:ascii="Arial Narrow" w:eastAsia="Aptos" w:hAnsi="Arial Narrow" w:cs="Arial"/>
                <w:sz w:val="20"/>
                <w:szCs w:val="20"/>
                <w:lang w:val="bg-BG" w:eastAsia="uk-UA"/>
              </w:rPr>
              <w:t xml:space="preserve">5 </w:t>
            </w:r>
            <w:r w:rsidRPr="00800D8F">
              <w:rPr>
                <w:rFonts w:ascii="Arial Narrow" w:eastAsia="Aptos" w:hAnsi="Arial Narrow" w:cs="Arial"/>
                <w:sz w:val="20"/>
                <w:szCs w:val="20"/>
                <w:lang w:eastAsia="uk-UA"/>
              </w:rPr>
              <w:t>– për çdo vit në vazhdim</w:t>
            </w:r>
          </w:p>
        </w:tc>
        <w:tc>
          <w:tcPr>
            <w:tcW w:w="578" w:type="pct"/>
            <w:tcMar>
              <w:left w:w="72" w:type="dxa"/>
              <w:right w:w="72" w:type="dxa"/>
            </w:tcMar>
          </w:tcPr>
          <w:p w14:paraId="468D8376" w14:textId="035538DB"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highlight w:val="yellow"/>
              </w:rPr>
            </w:pPr>
            <w:r w:rsidRPr="00800D8F">
              <w:rPr>
                <w:rFonts w:ascii="Arial Narrow" w:eastAsia="Aptos" w:hAnsi="Arial Narrow" w:cs="Arial"/>
                <w:sz w:val="20"/>
                <w:szCs w:val="20"/>
                <w:lang w:eastAsia="uk-UA"/>
              </w:rPr>
              <w:t>-</w:t>
            </w:r>
          </w:p>
        </w:tc>
        <w:tc>
          <w:tcPr>
            <w:tcW w:w="666" w:type="pct"/>
            <w:tcMar>
              <w:left w:w="72" w:type="dxa"/>
              <w:right w:w="72" w:type="dxa"/>
            </w:tcMar>
          </w:tcPr>
          <w:p w14:paraId="3DF919F0" w14:textId="0E933D0E"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Calibri" w:hAnsi="Arial Narrow" w:cs="Calibri"/>
                <w:sz w:val="20"/>
                <w:szCs w:val="20"/>
              </w:rPr>
              <w:t>Buxhetet komunale, financimi kombëtar, financimi i donatorëve</w:t>
            </w:r>
          </w:p>
        </w:tc>
        <w:tc>
          <w:tcPr>
            <w:tcW w:w="838" w:type="pct"/>
            <w:tcMar>
              <w:left w:w="72" w:type="dxa"/>
              <w:right w:w="72" w:type="dxa"/>
            </w:tcMar>
          </w:tcPr>
          <w:p w14:paraId="1864DE63" w14:textId="4DBB80F6"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Të gjitha komunat</w:t>
            </w:r>
          </w:p>
        </w:tc>
        <w:tc>
          <w:tcPr>
            <w:tcW w:w="829" w:type="pct"/>
            <w:tcMar>
              <w:left w:w="72" w:type="dxa"/>
              <w:right w:w="72" w:type="dxa"/>
            </w:tcMar>
          </w:tcPr>
          <w:p w14:paraId="70B43967" w14:textId="555BA306"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Calibri" w:hAnsi="Arial Narrow" w:cs="Calibri"/>
                <w:sz w:val="20"/>
                <w:szCs w:val="20"/>
              </w:rPr>
              <w:t>Fushatat informative të zbatuara</w:t>
            </w:r>
          </w:p>
        </w:tc>
      </w:tr>
      <w:tr w:rsidR="00800D8F" w:rsidRPr="007D1EDC" w14:paraId="6CC1565F" w14:textId="77777777" w:rsidTr="0067343B">
        <w:trPr>
          <w:cantSplit/>
        </w:trPr>
        <w:tc>
          <w:tcPr>
            <w:tcW w:w="260" w:type="pct"/>
            <w:tcMar>
              <w:left w:w="72" w:type="dxa"/>
              <w:right w:w="72" w:type="dxa"/>
            </w:tcMar>
          </w:tcPr>
          <w:p w14:paraId="3F383D21"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5.2</w:t>
            </w:r>
          </w:p>
        </w:tc>
        <w:tc>
          <w:tcPr>
            <w:tcW w:w="1367" w:type="pct"/>
            <w:tcMar>
              <w:left w:w="72" w:type="dxa"/>
              <w:right w:w="72" w:type="dxa"/>
            </w:tcMar>
          </w:tcPr>
          <w:p w14:paraId="6B8DFBA5" w14:textId="468AE1D0"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Përmirësimi i kushteve për ruajtjen dhe trajtimin e plehut organik të kafshëve</w:t>
            </w:r>
          </w:p>
        </w:tc>
        <w:tc>
          <w:tcPr>
            <w:tcW w:w="462" w:type="pct"/>
            <w:tcMar>
              <w:left w:w="72" w:type="dxa"/>
              <w:right w:w="72" w:type="dxa"/>
            </w:tcMar>
          </w:tcPr>
          <w:p w14:paraId="40FBCEEB" w14:textId="4A59599C"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2025 – për çdo vit në vazhdim</w:t>
            </w:r>
          </w:p>
        </w:tc>
        <w:tc>
          <w:tcPr>
            <w:tcW w:w="578" w:type="pct"/>
            <w:tcMar>
              <w:left w:w="72" w:type="dxa"/>
              <w:right w:w="72" w:type="dxa"/>
            </w:tcMar>
          </w:tcPr>
          <w:p w14:paraId="173DEF74" w14:textId="17B58FC3"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highlight w:val="yellow"/>
              </w:rPr>
            </w:pPr>
            <w:r w:rsidRPr="00800D8F">
              <w:rPr>
                <w:rFonts w:ascii="Arial Narrow" w:eastAsia="Aptos" w:hAnsi="Arial Narrow" w:cs="Arial"/>
                <w:sz w:val="20"/>
                <w:szCs w:val="20"/>
                <w:lang w:eastAsia="uk-UA"/>
              </w:rPr>
              <w:t>-</w:t>
            </w:r>
          </w:p>
        </w:tc>
        <w:tc>
          <w:tcPr>
            <w:tcW w:w="666" w:type="pct"/>
            <w:tcMar>
              <w:left w:w="72" w:type="dxa"/>
              <w:right w:w="72" w:type="dxa"/>
            </w:tcMar>
          </w:tcPr>
          <w:p w14:paraId="3E180610" w14:textId="0D30E472"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Fermerët</w:t>
            </w:r>
          </w:p>
        </w:tc>
        <w:tc>
          <w:tcPr>
            <w:tcW w:w="838" w:type="pct"/>
            <w:tcMar>
              <w:left w:w="72" w:type="dxa"/>
              <w:right w:w="72" w:type="dxa"/>
            </w:tcMar>
          </w:tcPr>
          <w:p w14:paraId="3AAD743F" w14:textId="6E737F00"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Komunat</w:t>
            </w:r>
          </w:p>
        </w:tc>
        <w:tc>
          <w:tcPr>
            <w:tcW w:w="829" w:type="pct"/>
            <w:tcMar>
              <w:left w:w="72" w:type="dxa"/>
              <w:right w:w="72" w:type="dxa"/>
            </w:tcMar>
          </w:tcPr>
          <w:p w14:paraId="2B5165F6" w14:textId="1967E8D9"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Numri i fermave që zbatojnë planet e menaxhimit të plehut organik</w:t>
            </w:r>
          </w:p>
        </w:tc>
      </w:tr>
      <w:tr w:rsidR="00800D8F" w:rsidRPr="007D1EDC" w14:paraId="02A961E1" w14:textId="77777777" w:rsidTr="0067343B">
        <w:trPr>
          <w:cantSplit/>
        </w:trPr>
        <w:tc>
          <w:tcPr>
            <w:tcW w:w="260" w:type="pct"/>
            <w:tcMar>
              <w:left w:w="72" w:type="dxa"/>
              <w:right w:w="72" w:type="dxa"/>
            </w:tcMar>
          </w:tcPr>
          <w:p w14:paraId="501B69B4"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lastRenderedPageBreak/>
              <w:t>5.3</w:t>
            </w:r>
          </w:p>
        </w:tc>
        <w:tc>
          <w:tcPr>
            <w:tcW w:w="1367" w:type="pct"/>
            <w:tcMar>
              <w:left w:w="72" w:type="dxa"/>
              <w:right w:w="72" w:type="dxa"/>
            </w:tcMar>
          </w:tcPr>
          <w:p w14:paraId="46B30D82" w14:textId="76399440"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Masat për parandalimin e djegies së mbeturinave bujqësore në mjedise të hapura, duke përfshirë djegien e fushave, në instalime që nuk janë të pajisura me sisteme të trajtimit të gazrave të rrjedhshme dhe në instalime pa rikuperim të energjisë;</w:t>
            </w:r>
          </w:p>
        </w:tc>
        <w:tc>
          <w:tcPr>
            <w:tcW w:w="462" w:type="pct"/>
            <w:tcMar>
              <w:left w:w="72" w:type="dxa"/>
              <w:right w:w="72" w:type="dxa"/>
            </w:tcMar>
          </w:tcPr>
          <w:p w14:paraId="5E1A1C60" w14:textId="0C78B6DD"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2025 – e çdo vit në vazhdim</w:t>
            </w:r>
          </w:p>
        </w:tc>
        <w:tc>
          <w:tcPr>
            <w:tcW w:w="578" w:type="pct"/>
            <w:tcMar>
              <w:left w:w="72" w:type="dxa"/>
              <w:right w:w="72" w:type="dxa"/>
            </w:tcMar>
          </w:tcPr>
          <w:p w14:paraId="2ABF7B26" w14:textId="78E6156F"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w:t>
            </w:r>
          </w:p>
        </w:tc>
        <w:tc>
          <w:tcPr>
            <w:tcW w:w="666" w:type="pct"/>
            <w:tcMar>
              <w:left w:w="72" w:type="dxa"/>
              <w:right w:w="72" w:type="dxa"/>
            </w:tcMar>
          </w:tcPr>
          <w:p w14:paraId="0EE42657" w14:textId="4F4C4CE5"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Brenda buxhetit të autoriteteve të kontrollit</w:t>
            </w:r>
          </w:p>
        </w:tc>
        <w:tc>
          <w:tcPr>
            <w:tcW w:w="838" w:type="pct"/>
            <w:tcMar>
              <w:left w:w="72" w:type="dxa"/>
              <w:right w:w="72" w:type="dxa"/>
            </w:tcMar>
          </w:tcPr>
          <w:p w14:paraId="619FA0A9" w14:textId="4A1FC6D7"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Komunat</w:t>
            </w:r>
          </w:p>
        </w:tc>
        <w:tc>
          <w:tcPr>
            <w:tcW w:w="829" w:type="pct"/>
            <w:tcMar>
              <w:left w:w="72" w:type="dxa"/>
              <w:right w:w="72" w:type="dxa"/>
            </w:tcMar>
          </w:tcPr>
          <w:p w14:paraId="43E3510E" w14:textId="0E140EA2"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Numri i inspektimeve</w:t>
            </w:r>
          </w:p>
        </w:tc>
      </w:tr>
      <w:tr w:rsidR="00800D8F" w:rsidRPr="007D1EDC" w14:paraId="5BF6A37F" w14:textId="77777777" w:rsidTr="0067343B">
        <w:trPr>
          <w:cantSplit/>
        </w:trPr>
        <w:tc>
          <w:tcPr>
            <w:tcW w:w="260" w:type="pct"/>
            <w:tcMar>
              <w:left w:w="72" w:type="dxa"/>
              <w:right w:w="72" w:type="dxa"/>
            </w:tcMar>
          </w:tcPr>
          <w:p w14:paraId="371C9568"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5.4</w:t>
            </w:r>
          </w:p>
        </w:tc>
        <w:tc>
          <w:tcPr>
            <w:tcW w:w="1367" w:type="pct"/>
            <w:tcMar>
              <w:left w:w="72" w:type="dxa"/>
              <w:right w:w="72" w:type="dxa"/>
            </w:tcMar>
          </w:tcPr>
          <w:p w14:paraId="5E9C981D" w14:textId="41186AF1"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Mirëmbajtja dhe përditësimi i rregullt i inventarit të magazinave të agrokimikateve të vjetruara</w:t>
            </w:r>
          </w:p>
        </w:tc>
        <w:tc>
          <w:tcPr>
            <w:tcW w:w="462" w:type="pct"/>
            <w:tcMar>
              <w:left w:w="72" w:type="dxa"/>
              <w:right w:w="72" w:type="dxa"/>
            </w:tcMar>
          </w:tcPr>
          <w:p w14:paraId="38847F81" w14:textId="767BBFD6"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2025 – e çdo vit në vazhdim</w:t>
            </w:r>
          </w:p>
        </w:tc>
        <w:tc>
          <w:tcPr>
            <w:tcW w:w="578" w:type="pct"/>
            <w:tcMar>
              <w:left w:w="72" w:type="dxa"/>
              <w:right w:w="72" w:type="dxa"/>
            </w:tcMar>
          </w:tcPr>
          <w:p w14:paraId="4E1C5214" w14:textId="0EEEDD7D"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w:t>
            </w:r>
          </w:p>
        </w:tc>
        <w:tc>
          <w:tcPr>
            <w:tcW w:w="666" w:type="pct"/>
            <w:tcMar>
              <w:left w:w="72" w:type="dxa"/>
              <w:right w:w="72" w:type="dxa"/>
            </w:tcMar>
          </w:tcPr>
          <w:p w14:paraId="1851523B" w14:textId="77777777"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Brenda buxhetit të autoriteteve të kontrollit</w:t>
            </w:r>
          </w:p>
          <w:p w14:paraId="2F85976B" w14:textId="7CB3C9CA"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838" w:type="pct"/>
            <w:tcMar>
              <w:left w:w="72" w:type="dxa"/>
              <w:right w:w="72" w:type="dxa"/>
            </w:tcMar>
          </w:tcPr>
          <w:p w14:paraId="330EA8A8" w14:textId="75B3EB5D"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Komunat</w:t>
            </w:r>
          </w:p>
        </w:tc>
        <w:tc>
          <w:tcPr>
            <w:tcW w:w="829" w:type="pct"/>
            <w:tcMar>
              <w:left w:w="72" w:type="dxa"/>
              <w:right w:w="72" w:type="dxa"/>
            </w:tcMar>
          </w:tcPr>
          <w:p w14:paraId="54690521" w14:textId="04D6C402"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Inventarët e kompletuar</w:t>
            </w:r>
          </w:p>
        </w:tc>
      </w:tr>
      <w:tr w:rsidR="00800D8F" w:rsidRPr="007D1EDC" w14:paraId="027629C3" w14:textId="77777777" w:rsidTr="0067343B">
        <w:trPr>
          <w:cantSplit/>
        </w:trPr>
        <w:tc>
          <w:tcPr>
            <w:tcW w:w="260" w:type="pct"/>
            <w:shd w:val="clear" w:color="auto" w:fill="C1E4F5"/>
            <w:tcMar>
              <w:left w:w="72" w:type="dxa"/>
              <w:right w:w="72" w:type="dxa"/>
            </w:tcMar>
          </w:tcPr>
          <w:p w14:paraId="1FEB172E"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6.</w:t>
            </w:r>
          </w:p>
        </w:tc>
        <w:tc>
          <w:tcPr>
            <w:tcW w:w="1367" w:type="pct"/>
            <w:tcBorders>
              <w:right w:val="nil"/>
            </w:tcBorders>
            <w:shd w:val="clear" w:color="auto" w:fill="C1E4F5"/>
            <w:tcMar>
              <w:left w:w="72" w:type="dxa"/>
              <w:right w:w="72" w:type="dxa"/>
            </w:tcMar>
          </w:tcPr>
          <w:p w14:paraId="18E50399" w14:textId="519758C6"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 xml:space="preserve">Prioriteti – Menaxhimi i </w:t>
            </w:r>
            <w:r w:rsidR="00800D8F">
              <w:rPr>
                <w:rFonts w:ascii="Arial Narrow" w:eastAsia="Calibri" w:hAnsi="Arial Narrow" w:cs="Calibri"/>
                <w:b/>
                <w:bCs/>
                <w:sz w:val="20"/>
                <w:szCs w:val="20"/>
              </w:rPr>
              <w:t>fraksioeve</w:t>
            </w:r>
            <w:r w:rsidRPr="007D1EDC">
              <w:rPr>
                <w:rFonts w:ascii="Arial Narrow" w:eastAsia="Calibri" w:hAnsi="Arial Narrow" w:cs="Calibri"/>
                <w:b/>
                <w:bCs/>
                <w:sz w:val="20"/>
                <w:szCs w:val="20"/>
              </w:rPr>
              <w:t xml:space="preserve"> tjera të mbeturinave</w:t>
            </w:r>
          </w:p>
        </w:tc>
        <w:tc>
          <w:tcPr>
            <w:tcW w:w="462" w:type="pct"/>
            <w:tcBorders>
              <w:left w:val="nil"/>
              <w:right w:val="nil"/>
            </w:tcBorders>
            <w:shd w:val="clear" w:color="auto" w:fill="C1E4F5"/>
            <w:tcMar>
              <w:left w:w="72" w:type="dxa"/>
              <w:right w:w="72" w:type="dxa"/>
            </w:tcMar>
          </w:tcPr>
          <w:p w14:paraId="24C7CDCA"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578" w:type="pct"/>
            <w:tcBorders>
              <w:left w:val="nil"/>
              <w:right w:val="nil"/>
            </w:tcBorders>
            <w:shd w:val="clear" w:color="auto" w:fill="C1E4F5"/>
            <w:tcMar>
              <w:left w:w="72" w:type="dxa"/>
              <w:right w:w="72" w:type="dxa"/>
            </w:tcMar>
          </w:tcPr>
          <w:p w14:paraId="202E839E"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highlight w:val="yellow"/>
              </w:rPr>
            </w:pPr>
          </w:p>
        </w:tc>
        <w:tc>
          <w:tcPr>
            <w:tcW w:w="666" w:type="pct"/>
            <w:tcBorders>
              <w:left w:val="nil"/>
              <w:right w:val="nil"/>
            </w:tcBorders>
            <w:shd w:val="clear" w:color="auto" w:fill="C1E4F5"/>
            <w:tcMar>
              <w:left w:w="72" w:type="dxa"/>
              <w:right w:w="72" w:type="dxa"/>
            </w:tcMar>
          </w:tcPr>
          <w:p w14:paraId="337C17F2"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838" w:type="pct"/>
            <w:tcBorders>
              <w:left w:val="nil"/>
              <w:right w:val="nil"/>
            </w:tcBorders>
            <w:shd w:val="clear" w:color="auto" w:fill="C1E4F5"/>
            <w:tcMar>
              <w:left w:w="72" w:type="dxa"/>
              <w:right w:w="72" w:type="dxa"/>
            </w:tcMar>
          </w:tcPr>
          <w:p w14:paraId="3AAF66B2"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829" w:type="pct"/>
            <w:tcBorders>
              <w:left w:val="nil"/>
            </w:tcBorders>
            <w:shd w:val="clear" w:color="auto" w:fill="C1E4F5"/>
            <w:tcMar>
              <w:left w:w="72" w:type="dxa"/>
              <w:right w:w="72" w:type="dxa"/>
            </w:tcMar>
          </w:tcPr>
          <w:p w14:paraId="760394F3"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800D8F" w:rsidRPr="007D1EDC" w14:paraId="58235C9B" w14:textId="77777777" w:rsidTr="0067343B">
        <w:trPr>
          <w:cantSplit/>
        </w:trPr>
        <w:tc>
          <w:tcPr>
            <w:tcW w:w="260" w:type="pct"/>
            <w:tcMar>
              <w:left w:w="72" w:type="dxa"/>
              <w:right w:w="72" w:type="dxa"/>
            </w:tcMar>
          </w:tcPr>
          <w:p w14:paraId="0A2CDE82"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6.1</w:t>
            </w:r>
          </w:p>
        </w:tc>
        <w:tc>
          <w:tcPr>
            <w:tcW w:w="1367" w:type="pct"/>
            <w:tcMar>
              <w:left w:w="72" w:type="dxa"/>
              <w:right w:w="72" w:type="dxa"/>
            </w:tcMar>
          </w:tcPr>
          <w:p w14:paraId="7660CB56" w14:textId="33F41509"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 xml:space="preserve">Detyrë - Menaxhimi i </w:t>
            </w:r>
            <w:r w:rsidR="00800D8F">
              <w:rPr>
                <w:rFonts w:ascii="Arial Narrow" w:eastAsia="Calibri" w:hAnsi="Arial Narrow" w:cs="Calibri"/>
                <w:b/>
                <w:bCs/>
                <w:i/>
                <w:iCs/>
                <w:sz w:val="20"/>
                <w:szCs w:val="20"/>
              </w:rPr>
              <w:t>MPEE</w:t>
            </w:r>
            <w:r w:rsidRPr="007D1EDC">
              <w:rPr>
                <w:rFonts w:ascii="Arial Narrow" w:eastAsia="Calibri" w:hAnsi="Arial Narrow" w:cs="Calibri"/>
                <w:b/>
                <w:bCs/>
                <w:i/>
                <w:iCs/>
                <w:sz w:val="20"/>
                <w:szCs w:val="20"/>
              </w:rPr>
              <w:t>-</w:t>
            </w:r>
            <w:r w:rsidR="00800D8F">
              <w:rPr>
                <w:rFonts w:ascii="Arial Narrow" w:eastAsia="Calibri" w:hAnsi="Arial Narrow" w:cs="Calibri"/>
                <w:b/>
                <w:bCs/>
                <w:i/>
                <w:iCs/>
                <w:sz w:val="20"/>
                <w:szCs w:val="20"/>
              </w:rPr>
              <w:t>ve</w:t>
            </w:r>
          </w:p>
        </w:tc>
        <w:tc>
          <w:tcPr>
            <w:tcW w:w="462" w:type="pct"/>
            <w:tcMar>
              <w:left w:w="72" w:type="dxa"/>
              <w:right w:w="72" w:type="dxa"/>
            </w:tcMar>
          </w:tcPr>
          <w:p w14:paraId="7A659638"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578" w:type="pct"/>
            <w:tcMar>
              <w:left w:w="72" w:type="dxa"/>
              <w:right w:w="72" w:type="dxa"/>
            </w:tcMar>
          </w:tcPr>
          <w:p w14:paraId="2640DA4E"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highlight w:val="yellow"/>
              </w:rPr>
            </w:pPr>
          </w:p>
        </w:tc>
        <w:tc>
          <w:tcPr>
            <w:tcW w:w="666" w:type="pct"/>
            <w:tcMar>
              <w:left w:w="72" w:type="dxa"/>
              <w:right w:w="72" w:type="dxa"/>
            </w:tcMar>
          </w:tcPr>
          <w:p w14:paraId="2103B4D6"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838" w:type="pct"/>
            <w:tcMar>
              <w:left w:w="72" w:type="dxa"/>
              <w:right w:w="72" w:type="dxa"/>
            </w:tcMar>
          </w:tcPr>
          <w:p w14:paraId="263D28B2"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829" w:type="pct"/>
            <w:tcMar>
              <w:left w:w="72" w:type="dxa"/>
              <w:right w:w="72" w:type="dxa"/>
            </w:tcMar>
          </w:tcPr>
          <w:p w14:paraId="134EFBED"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800D8F" w:rsidRPr="007D1EDC" w14:paraId="0F4A8C2C" w14:textId="77777777" w:rsidTr="0067343B">
        <w:trPr>
          <w:cantSplit/>
        </w:trPr>
        <w:tc>
          <w:tcPr>
            <w:tcW w:w="260" w:type="pct"/>
            <w:tcMar>
              <w:left w:w="72" w:type="dxa"/>
              <w:right w:w="72" w:type="dxa"/>
            </w:tcMar>
          </w:tcPr>
          <w:p w14:paraId="5FA49846"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6.1.1</w:t>
            </w:r>
          </w:p>
        </w:tc>
        <w:tc>
          <w:tcPr>
            <w:tcW w:w="1367" w:type="pct"/>
            <w:tcMar>
              <w:left w:w="72" w:type="dxa"/>
              <w:right w:w="72" w:type="dxa"/>
            </w:tcMar>
          </w:tcPr>
          <w:p w14:paraId="487299D5" w14:textId="75EC34E8"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Nënshkrimi i marrëveshjes me OPP-të për MPEE (pas miratimit të kërkesave ligjore për përgjegjësitë e zgjeruara të prodhuesit dhe themelimin e OPP-ve)</w:t>
            </w:r>
          </w:p>
        </w:tc>
        <w:tc>
          <w:tcPr>
            <w:tcW w:w="462" w:type="pct"/>
            <w:tcMar>
              <w:left w:w="72" w:type="dxa"/>
              <w:right w:w="72" w:type="dxa"/>
            </w:tcMar>
          </w:tcPr>
          <w:p w14:paraId="6F846980" w14:textId="53F236D4"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2026 - 2027 (në varësi të miratimit të legjislacionit kombëtar)</w:t>
            </w:r>
          </w:p>
        </w:tc>
        <w:tc>
          <w:tcPr>
            <w:tcW w:w="578" w:type="pct"/>
            <w:tcMar>
              <w:left w:w="72" w:type="dxa"/>
              <w:right w:w="72" w:type="dxa"/>
            </w:tcMar>
          </w:tcPr>
          <w:p w14:paraId="45D04DA2" w14:textId="22038227"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highlight w:val="yellow"/>
              </w:rPr>
            </w:pPr>
            <w:r w:rsidRPr="00800D8F">
              <w:rPr>
                <w:rFonts w:ascii="Arial Narrow" w:eastAsia="Aptos" w:hAnsi="Arial Narrow" w:cs="Arial"/>
                <w:sz w:val="20"/>
                <w:szCs w:val="20"/>
                <w:lang w:eastAsia="uk-UA"/>
              </w:rPr>
              <w:t>-</w:t>
            </w:r>
          </w:p>
        </w:tc>
        <w:tc>
          <w:tcPr>
            <w:tcW w:w="666" w:type="pct"/>
            <w:tcMar>
              <w:left w:w="72" w:type="dxa"/>
              <w:right w:w="72" w:type="dxa"/>
            </w:tcMar>
          </w:tcPr>
          <w:p w14:paraId="633F1CB0" w14:textId="7FBCE8E1"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w:t>
            </w:r>
          </w:p>
        </w:tc>
        <w:tc>
          <w:tcPr>
            <w:tcW w:w="838" w:type="pct"/>
            <w:tcMar>
              <w:left w:w="72" w:type="dxa"/>
              <w:right w:w="72" w:type="dxa"/>
            </w:tcMar>
          </w:tcPr>
          <w:p w14:paraId="073C67CE" w14:textId="451010BF"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OPP-të, komuna</w:t>
            </w:r>
          </w:p>
        </w:tc>
        <w:tc>
          <w:tcPr>
            <w:tcW w:w="829" w:type="pct"/>
            <w:tcMar>
              <w:left w:w="72" w:type="dxa"/>
              <w:right w:w="72" w:type="dxa"/>
            </w:tcMar>
          </w:tcPr>
          <w:p w14:paraId="3366F179" w14:textId="25D9AFA2"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Calibri" w:hAnsi="Arial Narrow" w:cs="Calibri"/>
                <w:sz w:val="20"/>
                <w:szCs w:val="20"/>
              </w:rPr>
              <w:t>Marrëveshjet e nënshkruara midis 5 komunave dhe PRO-ve</w:t>
            </w:r>
          </w:p>
        </w:tc>
      </w:tr>
      <w:tr w:rsidR="00800D8F" w:rsidRPr="007D1EDC" w14:paraId="7A9751B2" w14:textId="77777777" w:rsidTr="0067343B">
        <w:trPr>
          <w:cantSplit/>
        </w:trPr>
        <w:tc>
          <w:tcPr>
            <w:tcW w:w="260" w:type="pct"/>
            <w:tcMar>
              <w:left w:w="72" w:type="dxa"/>
              <w:right w:w="72" w:type="dxa"/>
            </w:tcMar>
          </w:tcPr>
          <w:p w14:paraId="39F025F6"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6.1.2</w:t>
            </w:r>
          </w:p>
        </w:tc>
        <w:tc>
          <w:tcPr>
            <w:tcW w:w="1367" w:type="pct"/>
            <w:tcMar>
              <w:left w:w="72" w:type="dxa"/>
              <w:right w:w="72" w:type="dxa"/>
            </w:tcMar>
          </w:tcPr>
          <w:p w14:paraId="4CED2E20" w14:textId="76DDDD5C"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Zhvillimi dhe zbatimi i sistemit të grumbullimit ndaras të MPEEnë përputhje me marrëveshjet me OPP-të</w:t>
            </w:r>
          </w:p>
        </w:tc>
        <w:tc>
          <w:tcPr>
            <w:tcW w:w="462" w:type="pct"/>
            <w:tcMar>
              <w:left w:w="72" w:type="dxa"/>
              <w:right w:w="72" w:type="dxa"/>
            </w:tcMar>
          </w:tcPr>
          <w:p w14:paraId="420F60B6" w14:textId="7267668E"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2027 e në vazhdim</w:t>
            </w:r>
          </w:p>
        </w:tc>
        <w:tc>
          <w:tcPr>
            <w:tcW w:w="578" w:type="pct"/>
            <w:tcMar>
              <w:left w:w="72" w:type="dxa"/>
              <w:right w:w="72" w:type="dxa"/>
            </w:tcMar>
          </w:tcPr>
          <w:p w14:paraId="62FDECD9" w14:textId="4E2AB4C9"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highlight w:val="yellow"/>
              </w:rPr>
            </w:pPr>
            <w:r w:rsidRPr="00800D8F">
              <w:rPr>
                <w:rFonts w:ascii="Arial Narrow" w:eastAsia="Aptos" w:hAnsi="Arial Narrow" w:cs="Arial"/>
                <w:sz w:val="20"/>
                <w:szCs w:val="20"/>
                <w:lang w:eastAsia="uk-UA"/>
              </w:rPr>
              <w:t>Në kuadër të buxhetit të OPP-ve</w:t>
            </w:r>
          </w:p>
        </w:tc>
        <w:tc>
          <w:tcPr>
            <w:tcW w:w="666" w:type="pct"/>
            <w:tcMar>
              <w:left w:w="72" w:type="dxa"/>
              <w:right w:w="72" w:type="dxa"/>
            </w:tcMar>
          </w:tcPr>
          <w:p w14:paraId="42742CA7" w14:textId="0D8C4F85"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OPP, ofruesit e shërbimeve</w:t>
            </w:r>
          </w:p>
        </w:tc>
        <w:tc>
          <w:tcPr>
            <w:tcW w:w="838" w:type="pct"/>
            <w:tcMar>
              <w:left w:w="72" w:type="dxa"/>
              <w:right w:w="72" w:type="dxa"/>
            </w:tcMar>
          </w:tcPr>
          <w:p w14:paraId="7DE1EB1D" w14:textId="780FA56D"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OPP-të, komunat (për koordinim)</w:t>
            </w:r>
          </w:p>
        </w:tc>
        <w:tc>
          <w:tcPr>
            <w:tcW w:w="829" w:type="pct"/>
            <w:tcMar>
              <w:left w:w="72" w:type="dxa"/>
              <w:right w:w="72" w:type="dxa"/>
            </w:tcMar>
          </w:tcPr>
          <w:p w14:paraId="5F05BFAE" w14:textId="379FC56E"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Calibri" w:hAnsi="Arial Narrow" w:cs="Calibri"/>
                <w:sz w:val="20"/>
                <w:szCs w:val="20"/>
              </w:rPr>
              <w:t>Funksionimi i sistemit të grumbullimit ndaras për MPEE</w:t>
            </w:r>
          </w:p>
        </w:tc>
      </w:tr>
      <w:tr w:rsidR="00800D8F" w:rsidRPr="007D1EDC" w14:paraId="323FD427" w14:textId="77777777" w:rsidTr="0067343B">
        <w:trPr>
          <w:cantSplit/>
        </w:trPr>
        <w:tc>
          <w:tcPr>
            <w:tcW w:w="260" w:type="pct"/>
            <w:tcMar>
              <w:left w:w="72" w:type="dxa"/>
              <w:right w:w="72" w:type="dxa"/>
            </w:tcMar>
          </w:tcPr>
          <w:p w14:paraId="1A26118D"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6.1.3</w:t>
            </w:r>
          </w:p>
        </w:tc>
        <w:tc>
          <w:tcPr>
            <w:tcW w:w="1367" w:type="pct"/>
            <w:tcMar>
              <w:left w:w="72" w:type="dxa"/>
              <w:right w:w="72" w:type="dxa"/>
            </w:tcMar>
          </w:tcPr>
          <w:p w14:paraId="6A6B429E" w14:textId="77777777"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Zbatimi i fushatave të ndërgjegjësimit të publikut të përcaktuara për modelet e reja të konsumit të qëndrueshëm dhe pjesëmarrja në skemat e grumbullimit ndaras</w:t>
            </w:r>
          </w:p>
          <w:p w14:paraId="2FE79BB0" w14:textId="77777777"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p>
          <w:p w14:paraId="417C19AD" w14:textId="0765E0BC"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p>
        </w:tc>
        <w:tc>
          <w:tcPr>
            <w:tcW w:w="462" w:type="pct"/>
            <w:tcMar>
              <w:left w:w="72" w:type="dxa"/>
              <w:right w:w="72" w:type="dxa"/>
            </w:tcMar>
          </w:tcPr>
          <w:p w14:paraId="50F1D850" w14:textId="099E122D"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2027 dhe për çdo vit në vazhdim</w:t>
            </w:r>
          </w:p>
        </w:tc>
        <w:tc>
          <w:tcPr>
            <w:tcW w:w="578" w:type="pct"/>
            <w:tcMar>
              <w:left w:w="72" w:type="dxa"/>
              <w:right w:w="72" w:type="dxa"/>
            </w:tcMar>
          </w:tcPr>
          <w:p w14:paraId="6904666D" w14:textId="033D55C2"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highlight w:val="yellow"/>
              </w:rPr>
            </w:pPr>
            <w:r w:rsidRPr="00800D8F">
              <w:rPr>
                <w:rFonts w:ascii="Arial Narrow" w:eastAsia="Aptos" w:hAnsi="Arial Narrow" w:cs="Arial"/>
                <w:sz w:val="20"/>
                <w:szCs w:val="20"/>
                <w:lang w:eastAsia="uk-UA"/>
              </w:rPr>
              <w:t>-</w:t>
            </w:r>
          </w:p>
        </w:tc>
        <w:tc>
          <w:tcPr>
            <w:tcW w:w="666" w:type="pct"/>
            <w:tcMar>
              <w:left w:w="72" w:type="dxa"/>
              <w:right w:w="72" w:type="dxa"/>
            </w:tcMar>
          </w:tcPr>
          <w:p w14:paraId="68DA5CFB" w14:textId="6ABE2DBA"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OPP, ofruesit e shërbimeve</w:t>
            </w:r>
          </w:p>
        </w:tc>
        <w:tc>
          <w:tcPr>
            <w:tcW w:w="838" w:type="pct"/>
            <w:tcMar>
              <w:left w:w="72" w:type="dxa"/>
              <w:right w:w="72" w:type="dxa"/>
            </w:tcMar>
          </w:tcPr>
          <w:p w14:paraId="1C2DECEA" w14:textId="506EDAB8"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Komunat (për koordinim)</w:t>
            </w:r>
          </w:p>
        </w:tc>
        <w:tc>
          <w:tcPr>
            <w:tcW w:w="829" w:type="pct"/>
            <w:tcMar>
              <w:left w:w="72" w:type="dxa"/>
              <w:right w:w="72" w:type="dxa"/>
            </w:tcMar>
          </w:tcPr>
          <w:p w14:paraId="28E69DC8" w14:textId="1BCE1D47"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Calibri" w:hAnsi="Arial Narrow" w:cs="Calibri"/>
                <w:sz w:val="20"/>
                <w:szCs w:val="20"/>
              </w:rPr>
              <w:t>Numri i fushatave ndërgjegjësuese të realizuara; numri i banorëve që marrin informacion</w:t>
            </w:r>
          </w:p>
        </w:tc>
      </w:tr>
      <w:tr w:rsidR="00800D8F" w:rsidRPr="007D1EDC" w14:paraId="53428DCA" w14:textId="77777777" w:rsidTr="0067343B">
        <w:trPr>
          <w:cantSplit/>
        </w:trPr>
        <w:tc>
          <w:tcPr>
            <w:tcW w:w="260" w:type="pct"/>
            <w:tcMar>
              <w:left w:w="72" w:type="dxa"/>
              <w:right w:w="72" w:type="dxa"/>
            </w:tcMar>
          </w:tcPr>
          <w:p w14:paraId="55BAB57B"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lastRenderedPageBreak/>
              <w:t>6.2</w:t>
            </w:r>
          </w:p>
        </w:tc>
        <w:tc>
          <w:tcPr>
            <w:tcW w:w="1367" w:type="pct"/>
            <w:tcMar>
              <w:left w:w="72" w:type="dxa"/>
              <w:right w:w="72" w:type="dxa"/>
            </w:tcMar>
          </w:tcPr>
          <w:p w14:paraId="76D11D4D"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Detyrë - Menaxhimi i baterive dhe akumulatorëve</w:t>
            </w:r>
          </w:p>
        </w:tc>
        <w:tc>
          <w:tcPr>
            <w:tcW w:w="462" w:type="pct"/>
            <w:tcMar>
              <w:left w:w="72" w:type="dxa"/>
              <w:right w:w="72" w:type="dxa"/>
            </w:tcMar>
          </w:tcPr>
          <w:p w14:paraId="4F5E0935"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578" w:type="pct"/>
            <w:tcMar>
              <w:left w:w="72" w:type="dxa"/>
              <w:right w:w="72" w:type="dxa"/>
            </w:tcMar>
          </w:tcPr>
          <w:p w14:paraId="6594285E"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highlight w:val="yellow"/>
              </w:rPr>
            </w:pPr>
          </w:p>
        </w:tc>
        <w:tc>
          <w:tcPr>
            <w:tcW w:w="666" w:type="pct"/>
            <w:tcMar>
              <w:left w:w="72" w:type="dxa"/>
              <w:right w:w="72" w:type="dxa"/>
            </w:tcMar>
          </w:tcPr>
          <w:p w14:paraId="7FDD907C"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838" w:type="pct"/>
            <w:tcMar>
              <w:left w:w="72" w:type="dxa"/>
              <w:right w:w="72" w:type="dxa"/>
            </w:tcMar>
          </w:tcPr>
          <w:p w14:paraId="71FCEC4A"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829" w:type="pct"/>
            <w:tcMar>
              <w:left w:w="72" w:type="dxa"/>
              <w:right w:w="72" w:type="dxa"/>
            </w:tcMar>
          </w:tcPr>
          <w:p w14:paraId="0F01CDD8"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800D8F" w:rsidRPr="007D1EDC" w14:paraId="2A0F52CF" w14:textId="77777777" w:rsidTr="0067343B">
        <w:trPr>
          <w:cantSplit/>
        </w:trPr>
        <w:tc>
          <w:tcPr>
            <w:tcW w:w="260" w:type="pct"/>
            <w:tcMar>
              <w:left w:w="72" w:type="dxa"/>
              <w:right w:w="72" w:type="dxa"/>
            </w:tcMar>
          </w:tcPr>
          <w:p w14:paraId="3B4672AC"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6.2.1</w:t>
            </w:r>
          </w:p>
        </w:tc>
        <w:tc>
          <w:tcPr>
            <w:tcW w:w="1367" w:type="pct"/>
            <w:tcMar>
              <w:left w:w="72" w:type="dxa"/>
              <w:right w:w="72" w:type="dxa"/>
            </w:tcMar>
          </w:tcPr>
          <w:p w14:paraId="18AA06BB" w14:textId="667760C8"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Nënshkrimi i marrëveshjes me OPP-të për bateritë dhe akumulatorët e përdorur (pas miratimit të kërkesave ligjore për përgjegjësitë e zgjeruara të prodhuesit dhe ngritjen e OPP-ve)</w:t>
            </w:r>
          </w:p>
        </w:tc>
        <w:tc>
          <w:tcPr>
            <w:tcW w:w="462" w:type="pct"/>
            <w:tcMar>
              <w:left w:w="72" w:type="dxa"/>
              <w:right w:w="72" w:type="dxa"/>
            </w:tcMar>
          </w:tcPr>
          <w:p w14:paraId="4DD0EA08" w14:textId="0BB67554"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2026 - 2027 (në varësi të miratimit të legjislacionit kombëtar)</w:t>
            </w:r>
          </w:p>
        </w:tc>
        <w:tc>
          <w:tcPr>
            <w:tcW w:w="578" w:type="pct"/>
            <w:tcMar>
              <w:left w:w="72" w:type="dxa"/>
              <w:right w:w="72" w:type="dxa"/>
            </w:tcMar>
          </w:tcPr>
          <w:p w14:paraId="62AF144A" w14:textId="659C06CA"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highlight w:val="yellow"/>
              </w:rPr>
            </w:pPr>
            <w:r w:rsidRPr="00800D8F">
              <w:rPr>
                <w:rFonts w:ascii="Arial Narrow" w:eastAsia="Aptos" w:hAnsi="Arial Narrow" w:cs="Arial"/>
                <w:sz w:val="20"/>
                <w:szCs w:val="20"/>
                <w:lang w:eastAsia="uk-UA"/>
              </w:rPr>
              <w:t>-</w:t>
            </w:r>
          </w:p>
        </w:tc>
        <w:tc>
          <w:tcPr>
            <w:tcW w:w="666" w:type="pct"/>
            <w:tcMar>
              <w:left w:w="72" w:type="dxa"/>
              <w:right w:w="72" w:type="dxa"/>
            </w:tcMar>
          </w:tcPr>
          <w:p w14:paraId="71AA3D7C" w14:textId="544DBE19"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Calibri" w:hAnsi="Arial Narrow" w:cs="Calibri"/>
                <w:sz w:val="20"/>
                <w:szCs w:val="20"/>
              </w:rPr>
              <w:t>-</w:t>
            </w:r>
          </w:p>
        </w:tc>
        <w:tc>
          <w:tcPr>
            <w:tcW w:w="838" w:type="pct"/>
            <w:tcMar>
              <w:left w:w="72" w:type="dxa"/>
              <w:right w:w="72" w:type="dxa"/>
            </w:tcMar>
          </w:tcPr>
          <w:p w14:paraId="2B05BFC0" w14:textId="42D7AA36"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PRO-të, komunat</w:t>
            </w:r>
          </w:p>
        </w:tc>
        <w:tc>
          <w:tcPr>
            <w:tcW w:w="829" w:type="pct"/>
            <w:tcMar>
              <w:left w:w="72" w:type="dxa"/>
              <w:right w:w="72" w:type="dxa"/>
            </w:tcMar>
          </w:tcPr>
          <w:p w14:paraId="1699EC6A" w14:textId="17F759F0"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Calibri" w:hAnsi="Arial Narrow" w:cs="Calibri"/>
                <w:sz w:val="20"/>
                <w:szCs w:val="20"/>
              </w:rPr>
              <w:t>Marrëveshjet e nënshkruara midis 5 komunave dhe PRO-ve</w:t>
            </w:r>
          </w:p>
        </w:tc>
      </w:tr>
      <w:tr w:rsidR="00800D8F" w:rsidRPr="007D1EDC" w14:paraId="6614AB0D" w14:textId="77777777" w:rsidTr="0067343B">
        <w:trPr>
          <w:cantSplit/>
        </w:trPr>
        <w:tc>
          <w:tcPr>
            <w:tcW w:w="260" w:type="pct"/>
            <w:tcMar>
              <w:left w:w="72" w:type="dxa"/>
              <w:right w:w="72" w:type="dxa"/>
            </w:tcMar>
          </w:tcPr>
          <w:p w14:paraId="28E8A0CC"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6.2.2</w:t>
            </w:r>
          </w:p>
        </w:tc>
        <w:tc>
          <w:tcPr>
            <w:tcW w:w="1367" w:type="pct"/>
            <w:tcMar>
              <w:left w:w="72" w:type="dxa"/>
              <w:right w:w="72" w:type="dxa"/>
            </w:tcMar>
          </w:tcPr>
          <w:p w14:paraId="7F6D8487" w14:textId="09D1B03E"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Inventarizimi i dyqaneve për shitjen e baterive të automjeteve dhe baterive portative</w:t>
            </w:r>
          </w:p>
        </w:tc>
        <w:tc>
          <w:tcPr>
            <w:tcW w:w="462" w:type="pct"/>
            <w:tcMar>
              <w:left w:w="72" w:type="dxa"/>
              <w:right w:w="72" w:type="dxa"/>
            </w:tcMar>
          </w:tcPr>
          <w:p w14:paraId="278227C1" w14:textId="0D25A716"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2026</w:t>
            </w:r>
          </w:p>
        </w:tc>
        <w:tc>
          <w:tcPr>
            <w:tcW w:w="578" w:type="pct"/>
            <w:tcMar>
              <w:left w:w="72" w:type="dxa"/>
              <w:right w:w="72" w:type="dxa"/>
            </w:tcMar>
          </w:tcPr>
          <w:p w14:paraId="473BE291" w14:textId="072AD4B3"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w:t>
            </w:r>
          </w:p>
        </w:tc>
        <w:tc>
          <w:tcPr>
            <w:tcW w:w="666" w:type="pct"/>
            <w:tcMar>
              <w:left w:w="72" w:type="dxa"/>
              <w:right w:w="72" w:type="dxa"/>
            </w:tcMar>
          </w:tcPr>
          <w:p w14:paraId="5F6FAB24" w14:textId="4464276E"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w:t>
            </w:r>
          </w:p>
        </w:tc>
        <w:tc>
          <w:tcPr>
            <w:tcW w:w="838" w:type="pct"/>
            <w:tcMar>
              <w:left w:w="72" w:type="dxa"/>
              <w:right w:w="72" w:type="dxa"/>
            </w:tcMar>
          </w:tcPr>
          <w:p w14:paraId="5A057572" w14:textId="08EDEC08"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Komunat</w:t>
            </w:r>
          </w:p>
        </w:tc>
        <w:tc>
          <w:tcPr>
            <w:tcW w:w="829" w:type="pct"/>
            <w:tcMar>
              <w:left w:w="72" w:type="dxa"/>
              <w:right w:w="72" w:type="dxa"/>
            </w:tcMar>
          </w:tcPr>
          <w:p w14:paraId="1E776970" w14:textId="3E19D27B"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Inventarizimi i komunës i kompletuar</w:t>
            </w:r>
          </w:p>
        </w:tc>
      </w:tr>
      <w:tr w:rsidR="00800D8F" w:rsidRPr="007D1EDC" w14:paraId="39CC5D5B" w14:textId="77777777" w:rsidTr="0067343B">
        <w:trPr>
          <w:cantSplit/>
        </w:trPr>
        <w:tc>
          <w:tcPr>
            <w:tcW w:w="260" w:type="pct"/>
            <w:tcMar>
              <w:left w:w="72" w:type="dxa"/>
              <w:right w:w="72" w:type="dxa"/>
            </w:tcMar>
          </w:tcPr>
          <w:p w14:paraId="41F308DC"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6.2.3</w:t>
            </w:r>
          </w:p>
        </w:tc>
        <w:tc>
          <w:tcPr>
            <w:tcW w:w="1367" w:type="pct"/>
            <w:tcMar>
              <w:left w:w="72" w:type="dxa"/>
              <w:right w:w="72" w:type="dxa"/>
            </w:tcMar>
          </w:tcPr>
          <w:p w14:paraId="18AC454E" w14:textId="77777777"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Zhvillimi dhe zbatimi i sistemit të grumbullimit ndaras i baterive dhe akumulatorëve të përdorur në përputhje me marrëveshjet me OPP-të</w:t>
            </w:r>
          </w:p>
          <w:p w14:paraId="23A7B26C" w14:textId="7FAC8661"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p>
        </w:tc>
        <w:tc>
          <w:tcPr>
            <w:tcW w:w="462" w:type="pct"/>
            <w:tcMar>
              <w:left w:w="72" w:type="dxa"/>
              <w:right w:w="72" w:type="dxa"/>
            </w:tcMar>
          </w:tcPr>
          <w:p w14:paraId="73748C2F" w14:textId="1D2C075F"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2027 e në vazhdim</w:t>
            </w:r>
          </w:p>
        </w:tc>
        <w:tc>
          <w:tcPr>
            <w:tcW w:w="578" w:type="pct"/>
            <w:tcMar>
              <w:left w:w="72" w:type="dxa"/>
              <w:right w:w="72" w:type="dxa"/>
            </w:tcMar>
          </w:tcPr>
          <w:p w14:paraId="5932D4B1" w14:textId="1817AC38"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highlight w:val="yellow"/>
              </w:rPr>
            </w:pPr>
            <w:r w:rsidRPr="00800D8F">
              <w:rPr>
                <w:rFonts w:ascii="Arial Narrow" w:eastAsia="Aptos" w:hAnsi="Arial Narrow" w:cs="Arial"/>
                <w:sz w:val="20"/>
                <w:szCs w:val="20"/>
                <w:lang w:eastAsia="uk-UA"/>
              </w:rPr>
              <w:t>Në kuadër të buxhetit të OPP-ve</w:t>
            </w:r>
          </w:p>
        </w:tc>
        <w:tc>
          <w:tcPr>
            <w:tcW w:w="666" w:type="pct"/>
            <w:tcMar>
              <w:left w:w="72" w:type="dxa"/>
              <w:right w:w="72" w:type="dxa"/>
            </w:tcMar>
          </w:tcPr>
          <w:p w14:paraId="0E16809E" w14:textId="4D641EDB"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OPP-të, ofruesit e shërbimeve</w:t>
            </w:r>
          </w:p>
        </w:tc>
        <w:tc>
          <w:tcPr>
            <w:tcW w:w="838" w:type="pct"/>
            <w:tcMar>
              <w:left w:w="72" w:type="dxa"/>
              <w:right w:w="72" w:type="dxa"/>
            </w:tcMar>
          </w:tcPr>
          <w:p w14:paraId="1050D99C" w14:textId="518C0B17"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OPPtë, komunat (për koordinim)</w:t>
            </w:r>
          </w:p>
        </w:tc>
        <w:tc>
          <w:tcPr>
            <w:tcW w:w="829" w:type="pct"/>
            <w:tcMar>
              <w:left w:w="72" w:type="dxa"/>
              <w:right w:w="72" w:type="dxa"/>
            </w:tcMar>
          </w:tcPr>
          <w:p w14:paraId="08B8EF98" w14:textId="7A199D51"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Funksionimi i një sistemi të grumbullimit ndaras për bateritë</w:t>
            </w:r>
          </w:p>
        </w:tc>
      </w:tr>
      <w:tr w:rsidR="00800D8F" w:rsidRPr="007D1EDC" w14:paraId="2E9BF2EE" w14:textId="77777777" w:rsidTr="0067343B">
        <w:trPr>
          <w:cantSplit/>
        </w:trPr>
        <w:tc>
          <w:tcPr>
            <w:tcW w:w="260" w:type="pct"/>
            <w:tcMar>
              <w:left w:w="72" w:type="dxa"/>
              <w:right w:w="72" w:type="dxa"/>
            </w:tcMar>
          </w:tcPr>
          <w:p w14:paraId="70263C4E"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6.3</w:t>
            </w:r>
          </w:p>
        </w:tc>
        <w:tc>
          <w:tcPr>
            <w:tcW w:w="1367" w:type="pct"/>
            <w:tcMar>
              <w:left w:w="72" w:type="dxa"/>
              <w:right w:w="72" w:type="dxa"/>
            </w:tcMar>
          </w:tcPr>
          <w:p w14:paraId="05E46AC9" w14:textId="125590B6"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 xml:space="preserve">Detyrë - Menaxhimi i automjeteve </w:t>
            </w:r>
            <w:r w:rsidR="00800D8F">
              <w:rPr>
                <w:rFonts w:ascii="Arial Narrow" w:eastAsia="Calibri" w:hAnsi="Arial Narrow" w:cs="Calibri"/>
                <w:b/>
                <w:bCs/>
                <w:i/>
                <w:iCs/>
                <w:sz w:val="20"/>
                <w:szCs w:val="20"/>
              </w:rPr>
              <w:t>mbeturinë (AM)</w:t>
            </w:r>
          </w:p>
        </w:tc>
        <w:tc>
          <w:tcPr>
            <w:tcW w:w="462" w:type="pct"/>
            <w:tcMar>
              <w:left w:w="72" w:type="dxa"/>
              <w:right w:w="72" w:type="dxa"/>
            </w:tcMar>
          </w:tcPr>
          <w:p w14:paraId="26E14A9B"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578" w:type="pct"/>
            <w:tcMar>
              <w:left w:w="72" w:type="dxa"/>
              <w:right w:w="72" w:type="dxa"/>
            </w:tcMar>
          </w:tcPr>
          <w:p w14:paraId="2BF7EEE2"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highlight w:val="yellow"/>
              </w:rPr>
            </w:pPr>
          </w:p>
        </w:tc>
        <w:tc>
          <w:tcPr>
            <w:tcW w:w="666" w:type="pct"/>
            <w:tcMar>
              <w:left w:w="72" w:type="dxa"/>
              <w:right w:w="72" w:type="dxa"/>
            </w:tcMar>
          </w:tcPr>
          <w:p w14:paraId="61940E05"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838" w:type="pct"/>
            <w:tcMar>
              <w:left w:w="72" w:type="dxa"/>
              <w:right w:w="72" w:type="dxa"/>
            </w:tcMar>
          </w:tcPr>
          <w:p w14:paraId="07EABF52"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829" w:type="pct"/>
            <w:tcMar>
              <w:left w:w="72" w:type="dxa"/>
              <w:right w:w="72" w:type="dxa"/>
            </w:tcMar>
          </w:tcPr>
          <w:p w14:paraId="53BA56AC"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800D8F" w:rsidRPr="007D1EDC" w14:paraId="4BF13044" w14:textId="77777777" w:rsidTr="0067343B">
        <w:trPr>
          <w:cantSplit/>
        </w:trPr>
        <w:tc>
          <w:tcPr>
            <w:tcW w:w="260" w:type="pct"/>
            <w:tcMar>
              <w:left w:w="72" w:type="dxa"/>
              <w:right w:w="72" w:type="dxa"/>
            </w:tcMar>
          </w:tcPr>
          <w:p w14:paraId="2FC36443"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6.3.1</w:t>
            </w:r>
          </w:p>
        </w:tc>
        <w:tc>
          <w:tcPr>
            <w:tcW w:w="1367" w:type="pct"/>
            <w:tcMar>
              <w:left w:w="72" w:type="dxa"/>
              <w:right w:w="72" w:type="dxa"/>
            </w:tcMar>
          </w:tcPr>
          <w:p w14:paraId="75EA22F9" w14:textId="48415A5D"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Nënshkrimi i marrëveshjeve me OPP-të për AM-të (pas miratimit të kërkesave ligjore për përgjegjësitë e zgjeruara të prodhuesit dhe themelimin e OPP-ve)</w:t>
            </w:r>
          </w:p>
        </w:tc>
        <w:tc>
          <w:tcPr>
            <w:tcW w:w="462" w:type="pct"/>
            <w:tcMar>
              <w:left w:w="72" w:type="dxa"/>
              <w:right w:w="72" w:type="dxa"/>
            </w:tcMar>
          </w:tcPr>
          <w:p w14:paraId="324C92FC" w14:textId="0E7A5AAC"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202</w:t>
            </w:r>
            <w:r w:rsidRPr="00800D8F">
              <w:rPr>
                <w:rFonts w:ascii="Arial Narrow" w:eastAsia="Aptos" w:hAnsi="Arial Narrow" w:cs="Arial"/>
                <w:sz w:val="20"/>
                <w:szCs w:val="20"/>
                <w:lang w:val="bg-BG" w:eastAsia="uk-UA"/>
              </w:rPr>
              <w:t xml:space="preserve">6 - </w:t>
            </w:r>
            <w:r w:rsidRPr="00800D8F">
              <w:rPr>
                <w:rFonts w:ascii="Arial Narrow" w:eastAsia="Aptos" w:hAnsi="Arial Narrow" w:cs="Arial"/>
                <w:sz w:val="20"/>
                <w:szCs w:val="20"/>
                <w:lang w:eastAsia="uk-UA"/>
              </w:rPr>
              <w:t>2027</w:t>
            </w:r>
            <w:r w:rsidRPr="00800D8F">
              <w:rPr>
                <w:rFonts w:ascii="Arial Narrow" w:eastAsia="Aptos" w:hAnsi="Arial Narrow" w:cs="Arial"/>
                <w:sz w:val="20"/>
                <w:szCs w:val="20"/>
                <w:lang w:val="bg-BG" w:eastAsia="uk-UA"/>
              </w:rPr>
              <w:t xml:space="preserve"> </w:t>
            </w:r>
            <w:r w:rsidRPr="00800D8F">
              <w:rPr>
                <w:rFonts w:ascii="Arial Narrow" w:eastAsia="Aptos" w:hAnsi="Arial Narrow" w:cs="Arial"/>
                <w:sz w:val="20"/>
                <w:szCs w:val="20"/>
                <w:lang w:eastAsia="uk-UA"/>
              </w:rPr>
              <w:t>(në varësi të miratimit të legjislacionit kombëtar)</w:t>
            </w:r>
          </w:p>
        </w:tc>
        <w:tc>
          <w:tcPr>
            <w:tcW w:w="578" w:type="pct"/>
            <w:tcMar>
              <w:left w:w="72" w:type="dxa"/>
              <w:right w:w="72" w:type="dxa"/>
            </w:tcMar>
          </w:tcPr>
          <w:p w14:paraId="3EAF9002" w14:textId="05F4F5EF"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highlight w:val="yellow"/>
              </w:rPr>
            </w:pPr>
            <w:r w:rsidRPr="00800D8F">
              <w:rPr>
                <w:rFonts w:ascii="Arial Narrow" w:eastAsia="Aptos" w:hAnsi="Arial Narrow" w:cs="Arial"/>
                <w:sz w:val="20"/>
                <w:szCs w:val="20"/>
                <w:lang w:eastAsia="uk-UA"/>
              </w:rPr>
              <w:t>Nuk kërkon financim shtesë</w:t>
            </w:r>
          </w:p>
        </w:tc>
        <w:tc>
          <w:tcPr>
            <w:tcW w:w="666" w:type="pct"/>
            <w:tcMar>
              <w:left w:w="72" w:type="dxa"/>
              <w:right w:w="72" w:type="dxa"/>
            </w:tcMar>
          </w:tcPr>
          <w:p w14:paraId="70347AFC" w14:textId="7DE22B08"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lang w:val="bg-BG"/>
              </w:rPr>
            </w:pPr>
            <w:r w:rsidRPr="00800D8F">
              <w:rPr>
                <w:rFonts w:ascii="Arial Narrow" w:eastAsia="Calibri" w:hAnsi="Arial Narrow" w:cs="Calibri"/>
                <w:sz w:val="20"/>
                <w:szCs w:val="20"/>
                <w:lang w:val="bg-BG"/>
              </w:rPr>
              <w:t>-</w:t>
            </w:r>
          </w:p>
        </w:tc>
        <w:tc>
          <w:tcPr>
            <w:tcW w:w="838" w:type="pct"/>
            <w:tcMar>
              <w:left w:w="72" w:type="dxa"/>
              <w:right w:w="72" w:type="dxa"/>
            </w:tcMar>
          </w:tcPr>
          <w:p w14:paraId="285F02B8" w14:textId="71745E9A"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OPP-të, komunat</w:t>
            </w:r>
          </w:p>
        </w:tc>
        <w:tc>
          <w:tcPr>
            <w:tcW w:w="829" w:type="pct"/>
            <w:tcMar>
              <w:left w:w="72" w:type="dxa"/>
              <w:right w:w="72" w:type="dxa"/>
            </w:tcMar>
          </w:tcPr>
          <w:p w14:paraId="5FF81958" w14:textId="6F6E5234"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Marrëveshjet e nënshkruara</w:t>
            </w:r>
          </w:p>
        </w:tc>
      </w:tr>
      <w:tr w:rsidR="00800D8F" w:rsidRPr="007D1EDC" w14:paraId="26FE7951" w14:textId="77777777" w:rsidTr="0067343B">
        <w:trPr>
          <w:cantSplit/>
        </w:trPr>
        <w:tc>
          <w:tcPr>
            <w:tcW w:w="260" w:type="pct"/>
            <w:tcMar>
              <w:left w:w="72" w:type="dxa"/>
              <w:right w:w="72" w:type="dxa"/>
            </w:tcMar>
          </w:tcPr>
          <w:p w14:paraId="7ED57EBC"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6.3.2</w:t>
            </w:r>
          </w:p>
        </w:tc>
        <w:tc>
          <w:tcPr>
            <w:tcW w:w="1367" w:type="pct"/>
            <w:tcMar>
              <w:left w:w="72" w:type="dxa"/>
              <w:right w:w="72" w:type="dxa"/>
            </w:tcMar>
          </w:tcPr>
          <w:p w14:paraId="5F6BF0ED" w14:textId="266FA577"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Përcaktimi i vendeve për magazinimin e përkohshëm (dhe çmontimin) e AM-ve</w:t>
            </w:r>
          </w:p>
        </w:tc>
        <w:tc>
          <w:tcPr>
            <w:tcW w:w="462" w:type="pct"/>
            <w:tcMar>
              <w:left w:w="72" w:type="dxa"/>
              <w:right w:w="72" w:type="dxa"/>
            </w:tcMar>
          </w:tcPr>
          <w:p w14:paraId="4B068D0A" w14:textId="34A95240"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2027</w:t>
            </w:r>
          </w:p>
        </w:tc>
        <w:tc>
          <w:tcPr>
            <w:tcW w:w="578" w:type="pct"/>
            <w:tcMar>
              <w:left w:w="72" w:type="dxa"/>
              <w:right w:w="72" w:type="dxa"/>
            </w:tcMar>
          </w:tcPr>
          <w:p w14:paraId="555D8369" w14:textId="50CBE3C4"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w:t>
            </w:r>
          </w:p>
        </w:tc>
        <w:tc>
          <w:tcPr>
            <w:tcW w:w="666" w:type="pct"/>
            <w:tcMar>
              <w:left w:w="72" w:type="dxa"/>
              <w:right w:w="72" w:type="dxa"/>
            </w:tcMar>
          </w:tcPr>
          <w:p w14:paraId="7F87379F" w14:textId="135352FB"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Calibri" w:hAnsi="Arial Narrow" w:cs="Calibri"/>
                <w:sz w:val="20"/>
                <w:szCs w:val="20"/>
              </w:rPr>
              <w:t>Ofruesit e shërbimeve në bazë të kontratës me OPP</w:t>
            </w:r>
          </w:p>
        </w:tc>
        <w:tc>
          <w:tcPr>
            <w:tcW w:w="838" w:type="pct"/>
            <w:tcMar>
              <w:left w:w="72" w:type="dxa"/>
              <w:right w:w="72" w:type="dxa"/>
            </w:tcMar>
          </w:tcPr>
          <w:p w14:paraId="016DBEDC" w14:textId="511D6442" w:rsidR="00800D8F" w:rsidRPr="00800D8F" w:rsidDel="006A33E5"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OPP-të, komunat për koordinim</w:t>
            </w:r>
          </w:p>
        </w:tc>
        <w:tc>
          <w:tcPr>
            <w:tcW w:w="829" w:type="pct"/>
            <w:tcMar>
              <w:left w:w="72" w:type="dxa"/>
              <w:right w:w="72" w:type="dxa"/>
            </w:tcMar>
          </w:tcPr>
          <w:p w14:paraId="6A3FA735" w14:textId="5113D438"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Vende magazinimi të përkohshëm për AM-të e krijuara dhe të licencuara për funksionim</w:t>
            </w:r>
          </w:p>
        </w:tc>
      </w:tr>
      <w:tr w:rsidR="00800D8F" w:rsidRPr="007D1EDC" w14:paraId="6E950FD7" w14:textId="77777777" w:rsidTr="0067343B">
        <w:trPr>
          <w:cantSplit/>
        </w:trPr>
        <w:tc>
          <w:tcPr>
            <w:tcW w:w="260" w:type="pct"/>
            <w:tcMar>
              <w:left w:w="72" w:type="dxa"/>
              <w:right w:w="72" w:type="dxa"/>
            </w:tcMar>
          </w:tcPr>
          <w:p w14:paraId="0B80EE4C"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6.3.3</w:t>
            </w:r>
          </w:p>
        </w:tc>
        <w:tc>
          <w:tcPr>
            <w:tcW w:w="1367" w:type="pct"/>
            <w:tcMar>
              <w:left w:w="72" w:type="dxa"/>
              <w:right w:w="72" w:type="dxa"/>
            </w:tcMar>
          </w:tcPr>
          <w:p w14:paraId="1114D6C0" w14:textId="77777777"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Zhvillimi dhe zbatimi i kërkesave për largimin dhe grumbullimin e AM-ve të braktisura në rrugë publike dhe zona parkimi</w:t>
            </w:r>
          </w:p>
          <w:p w14:paraId="6C42933A" w14:textId="00C14230"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lang w:val="bg-BG"/>
              </w:rPr>
            </w:pPr>
          </w:p>
        </w:tc>
        <w:tc>
          <w:tcPr>
            <w:tcW w:w="462" w:type="pct"/>
            <w:tcMar>
              <w:left w:w="72" w:type="dxa"/>
              <w:right w:w="72" w:type="dxa"/>
            </w:tcMar>
          </w:tcPr>
          <w:p w14:paraId="51170C0F" w14:textId="16654A06"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202</w:t>
            </w:r>
            <w:r w:rsidRPr="00800D8F">
              <w:rPr>
                <w:rFonts w:ascii="Arial Narrow" w:eastAsia="Aptos" w:hAnsi="Arial Narrow" w:cs="Arial"/>
                <w:sz w:val="20"/>
                <w:szCs w:val="20"/>
                <w:lang w:val="bg-BG" w:eastAsia="uk-UA"/>
              </w:rPr>
              <w:t xml:space="preserve">7 </w:t>
            </w:r>
            <w:r w:rsidRPr="00800D8F">
              <w:rPr>
                <w:rFonts w:ascii="Arial Narrow" w:eastAsia="Aptos" w:hAnsi="Arial Narrow" w:cs="Arial"/>
                <w:sz w:val="20"/>
                <w:szCs w:val="20"/>
                <w:lang w:val="en-GB" w:eastAsia="uk-UA"/>
              </w:rPr>
              <w:t>dh</w:t>
            </w:r>
            <w:r w:rsidRPr="00800D8F">
              <w:rPr>
                <w:rFonts w:ascii="Arial Narrow" w:eastAsia="Aptos" w:hAnsi="Arial Narrow" w:cs="Arial"/>
                <w:sz w:val="20"/>
                <w:szCs w:val="20"/>
                <w:lang w:val="bg-BG" w:eastAsia="uk-UA"/>
              </w:rPr>
              <w:t xml:space="preserve">e në vazhdim </w:t>
            </w:r>
            <w:r w:rsidRPr="00800D8F">
              <w:rPr>
                <w:rFonts w:ascii="Arial Narrow" w:eastAsia="Aptos" w:hAnsi="Arial Narrow" w:cs="Arial"/>
                <w:sz w:val="20"/>
                <w:szCs w:val="20"/>
                <w:lang w:eastAsia="uk-UA"/>
              </w:rPr>
              <w:t>deri në vitin 2030</w:t>
            </w:r>
          </w:p>
        </w:tc>
        <w:tc>
          <w:tcPr>
            <w:tcW w:w="578" w:type="pct"/>
            <w:tcMar>
              <w:left w:w="72" w:type="dxa"/>
              <w:right w:w="72" w:type="dxa"/>
            </w:tcMar>
          </w:tcPr>
          <w:p w14:paraId="7C367C2E" w14:textId="0709CCCD"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highlight w:val="yellow"/>
              </w:rPr>
            </w:pPr>
            <w:r w:rsidRPr="00800D8F">
              <w:rPr>
                <w:rFonts w:ascii="Arial Narrow" w:eastAsia="Aptos" w:hAnsi="Arial Narrow" w:cs="Arial"/>
                <w:sz w:val="20"/>
                <w:szCs w:val="20"/>
                <w:lang w:eastAsia="uk-UA"/>
              </w:rPr>
              <w:t>Nuk kërkon financim shtesë</w:t>
            </w:r>
          </w:p>
        </w:tc>
        <w:tc>
          <w:tcPr>
            <w:tcW w:w="666" w:type="pct"/>
            <w:tcMar>
              <w:left w:w="72" w:type="dxa"/>
              <w:right w:w="72" w:type="dxa"/>
            </w:tcMar>
          </w:tcPr>
          <w:p w14:paraId="5146DDA8" w14:textId="6382174D"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lang w:val="bg-BG"/>
              </w:rPr>
            </w:pPr>
            <w:r w:rsidRPr="00800D8F">
              <w:rPr>
                <w:rFonts w:ascii="Arial Narrow" w:eastAsia="Calibri" w:hAnsi="Arial Narrow" w:cs="Calibri"/>
                <w:sz w:val="20"/>
                <w:szCs w:val="20"/>
                <w:lang w:val="bg-BG"/>
              </w:rPr>
              <w:t>-</w:t>
            </w:r>
          </w:p>
        </w:tc>
        <w:tc>
          <w:tcPr>
            <w:tcW w:w="838" w:type="pct"/>
            <w:tcMar>
              <w:left w:w="72" w:type="dxa"/>
              <w:right w:w="72" w:type="dxa"/>
            </w:tcMar>
          </w:tcPr>
          <w:p w14:paraId="26B25411" w14:textId="66CAA3E1"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Komunat</w:t>
            </w:r>
          </w:p>
        </w:tc>
        <w:tc>
          <w:tcPr>
            <w:tcW w:w="829" w:type="pct"/>
            <w:tcMar>
              <w:left w:w="72" w:type="dxa"/>
              <w:right w:w="72" w:type="dxa"/>
            </w:tcMar>
          </w:tcPr>
          <w:p w14:paraId="224FE872" w14:textId="5409E4A6"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Kërkesat e përcaktuara në rregulloret lokale dhe dispozitat administrative</w:t>
            </w:r>
          </w:p>
        </w:tc>
      </w:tr>
      <w:tr w:rsidR="00800D8F" w:rsidRPr="007D1EDC" w14:paraId="663A32A5" w14:textId="77777777" w:rsidTr="0067343B">
        <w:trPr>
          <w:cantSplit/>
        </w:trPr>
        <w:tc>
          <w:tcPr>
            <w:tcW w:w="260" w:type="pct"/>
            <w:tcMar>
              <w:left w:w="72" w:type="dxa"/>
              <w:right w:w="72" w:type="dxa"/>
            </w:tcMar>
          </w:tcPr>
          <w:p w14:paraId="678D8E4F"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lastRenderedPageBreak/>
              <w:t>6.4</w:t>
            </w:r>
          </w:p>
        </w:tc>
        <w:tc>
          <w:tcPr>
            <w:tcW w:w="1367" w:type="pct"/>
            <w:tcMar>
              <w:left w:w="72" w:type="dxa"/>
              <w:right w:w="72" w:type="dxa"/>
            </w:tcMar>
          </w:tcPr>
          <w:p w14:paraId="3C99596C" w14:textId="5FDFE304"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 xml:space="preserve">Detyrë - Menaxhimi i gomave të </w:t>
            </w:r>
            <w:r w:rsidR="00800D8F">
              <w:rPr>
                <w:rFonts w:ascii="Arial Narrow" w:eastAsia="Calibri" w:hAnsi="Arial Narrow" w:cs="Calibri"/>
                <w:b/>
                <w:bCs/>
                <w:i/>
                <w:iCs/>
                <w:sz w:val="20"/>
                <w:szCs w:val="20"/>
              </w:rPr>
              <w:t>të shpenzuara</w:t>
            </w:r>
          </w:p>
        </w:tc>
        <w:tc>
          <w:tcPr>
            <w:tcW w:w="462" w:type="pct"/>
            <w:tcMar>
              <w:left w:w="72" w:type="dxa"/>
              <w:right w:w="72" w:type="dxa"/>
            </w:tcMar>
          </w:tcPr>
          <w:p w14:paraId="62084D36"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578" w:type="pct"/>
            <w:tcMar>
              <w:left w:w="72" w:type="dxa"/>
              <w:right w:w="72" w:type="dxa"/>
            </w:tcMar>
          </w:tcPr>
          <w:p w14:paraId="73870DAB"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highlight w:val="yellow"/>
              </w:rPr>
            </w:pPr>
          </w:p>
        </w:tc>
        <w:tc>
          <w:tcPr>
            <w:tcW w:w="666" w:type="pct"/>
            <w:tcMar>
              <w:left w:w="72" w:type="dxa"/>
              <w:right w:w="72" w:type="dxa"/>
            </w:tcMar>
          </w:tcPr>
          <w:p w14:paraId="1F245F65"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838" w:type="pct"/>
            <w:tcMar>
              <w:left w:w="72" w:type="dxa"/>
              <w:right w:w="72" w:type="dxa"/>
            </w:tcMar>
          </w:tcPr>
          <w:p w14:paraId="516C6C59"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829" w:type="pct"/>
            <w:tcMar>
              <w:left w:w="72" w:type="dxa"/>
              <w:right w:w="72" w:type="dxa"/>
            </w:tcMar>
          </w:tcPr>
          <w:p w14:paraId="4785772F"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800D8F" w:rsidRPr="007D1EDC" w14:paraId="7C9B8FEA" w14:textId="77777777" w:rsidTr="0067343B">
        <w:trPr>
          <w:cantSplit/>
        </w:trPr>
        <w:tc>
          <w:tcPr>
            <w:tcW w:w="260" w:type="pct"/>
            <w:tcMar>
              <w:left w:w="72" w:type="dxa"/>
              <w:right w:w="72" w:type="dxa"/>
            </w:tcMar>
          </w:tcPr>
          <w:p w14:paraId="61B5C559"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6.4.1</w:t>
            </w:r>
          </w:p>
        </w:tc>
        <w:tc>
          <w:tcPr>
            <w:tcW w:w="1367" w:type="pct"/>
            <w:tcMar>
              <w:left w:w="72" w:type="dxa"/>
              <w:right w:w="72" w:type="dxa"/>
            </w:tcMar>
          </w:tcPr>
          <w:p w14:paraId="1560C645" w14:textId="19C7A811"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Nënshkrimi i marrëveshjeve ndërmjet komunave dhe OPP-ve për gomat e përdorura dhe shpenzuara (pas miratimit të kërkesave ligjore për përgjegjësitë e zgjeruara të prodhuesit dhe themelimit të OPP-ve)</w:t>
            </w:r>
          </w:p>
        </w:tc>
        <w:tc>
          <w:tcPr>
            <w:tcW w:w="462" w:type="pct"/>
            <w:tcMar>
              <w:left w:w="72" w:type="dxa"/>
              <w:right w:w="72" w:type="dxa"/>
            </w:tcMar>
          </w:tcPr>
          <w:p w14:paraId="3CA2FDDD" w14:textId="31C8CCD7"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2026 – 2027 (në varësi të miratimit të legjislacionit kombëtar)</w:t>
            </w:r>
          </w:p>
        </w:tc>
        <w:tc>
          <w:tcPr>
            <w:tcW w:w="578" w:type="pct"/>
            <w:tcMar>
              <w:left w:w="72" w:type="dxa"/>
              <w:right w:w="72" w:type="dxa"/>
            </w:tcMar>
          </w:tcPr>
          <w:p w14:paraId="53F1D4FC" w14:textId="304F9D25"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highlight w:val="yellow"/>
              </w:rPr>
            </w:pPr>
            <w:r w:rsidRPr="00800D8F">
              <w:rPr>
                <w:rFonts w:ascii="Arial Narrow" w:eastAsia="Aptos" w:hAnsi="Arial Narrow" w:cs="Arial"/>
                <w:sz w:val="20"/>
                <w:szCs w:val="20"/>
                <w:lang w:eastAsia="uk-UA"/>
              </w:rPr>
              <w:t>Nuk kërkon financim shtesë</w:t>
            </w:r>
          </w:p>
        </w:tc>
        <w:tc>
          <w:tcPr>
            <w:tcW w:w="666" w:type="pct"/>
            <w:tcMar>
              <w:left w:w="72" w:type="dxa"/>
              <w:right w:w="72" w:type="dxa"/>
            </w:tcMar>
          </w:tcPr>
          <w:p w14:paraId="7F84AF3E" w14:textId="02412814"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Calibri" w:hAnsi="Arial Narrow" w:cs="Calibri"/>
                <w:sz w:val="20"/>
                <w:szCs w:val="20"/>
              </w:rPr>
              <w:t>-</w:t>
            </w:r>
          </w:p>
        </w:tc>
        <w:tc>
          <w:tcPr>
            <w:tcW w:w="838" w:type="pct"/>
            <w:tcMar>
              <w:left w:w="72" w:type="dxa"/>
              <w:right w:w="72" w:type="dxa"/>
            </w:tcMar>
          </w:tcPr>
          <w:p w14:paraId="2043ECB7" w14:textId="78EB7FDF"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OPP-të, komunat</w:t>
            </w:r>
          </w:p>
        </w:tc>
        <w:tc>
          <w:tcPr>
            <w:tcW w:w="829" w:type="pct"/>
            <w:tcMar>
              <w:left w:w="72" w:type="dxa"/>
              <w:right w:w="72" w:type="dxa"/>
            </w:tcMar>
          </w:tcPr>
          <w:p w14:paraId="68DCE073" w14:textId="6C611274"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Marrëveshjet e nënshkruara midis 5 komunave dhe PRO-ve</w:t>
            </w:r>
          </w:p>
        </w:tc>
      </w:tr>
      <w:tr w:rsidR="00800D8F" w:rsidRPr="007D1EDC" w14:paraId="2E75FA43" w14:textId="77777777" w:rsidTr="0067343B">
        <w:trPr>
          <w:cantSplit/>
        </w:trPr>
        <w:tc>
          <w:tcPr>
            <w:tcW w:w="260" w:type="pct"/>
            <w:tcMar>
              <w:left w:w="72" w:type="dxa"/>
              <w:right w:w="72" w:type="dxa"/>
            </w:tcMar>
          </w:tcPr>
          <w:p w14:paraId="76ECF2AD"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6.4.2</w:t>
            </w:r>
          </w:p>
        </w:tc>
        <w:tc>
          <w:tcPr>
            <w:tcW w:w="1367" w:type="pct"/>
            <w:tcMar>
              <w:left w:w="72" w:type="dxa"/>
              <w:right w:w="72" w:type="dxa"/>
            </w:tcMar>
          </w:tcPr>
          <w:p w14:paraId="7B26BB9F" w14:textId="2608D68C"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Inventarizimi i vendeve për ndërrimin e gomave të përdorura në territorin e komunave</w:t>
            </w:r>
          </w:p>
        </w:tc>
        <w:tc>
          <w:tcPr>
            <w:tcW w:w="462" w:type="pct"/>
            <w:tcMar>
              <w:left w:w="72" w:type="dxa"/>
              <w:right w:w="72" w:type="dxa"/>
            </w:tcMar>
          </w:tcPr>
          <w:p w14:paraId="17F8CECE" w14:textId="07A9DC48"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2026</w:t>
            </w:r>
          </w:p>
        </w:tc>
        <w:tc>
          <w:tcPr>
            <w:tcW w:w="578" w:type="pct"/>
            <w:tcMar>
              <w:left w:w="72" w:type="dxa"/>
              <w:right w:w="72" w:type="dxa"/>
            </w:tcMar>
          </w:tcPr>
          <w:p w14:paraId="3F227B0B" w14:textId="008F0BCF"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Nuk kërkon financim shtesë</w:t>
            </w:r>
          </w:p>
        </w:tc>
        <w:tc>
          <w:tcPr>
            <w:tcW w:w="666" w:type="pct"/>
            <w:tcMar>
              <w:left w:w="72" w:type="dxa"/>
              <w:right w:w="72" w:type="dxa"/>
            </w:tcMar>
          </w:tcPr>
          <w:p w14:paraId="28D73668" w14:textId="3956C78C"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w:t>
            </w:r>
          </w:p>
        </w:tc>
        <w:tc>
          <w:tcPr>
            <w:tcW w:w="838" w:type="pct"/>
            <w:tcMar>
              <w:left w:w="72" w:type="dxa"/>
              <w:right w:w="72" w:type="dxa"/>
            </w:tcMar>
          </w:tcPr>
          <w:p w14:paraId="634EEC5A" w14:textId="0743C247"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Komunat</w:t>
            </w:r>
          </w:p>
        </w:tc>
        <w:tc>
          <w:tcPr>
            <w:tcW w:w="829" w:type="pct"/>
            <w:tcMar>
              <w:left w:w="72" w:type="dxa"/>
              <w:right w:w="72" w:type="dxa"/>
            </w:tcMar>
          </w:tcPr>
          <w:p w14:paraId="65CE17DA" w14:textId="63984256"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Inventarizimi në komuna i kompletuar</w:t>
            </w:r>
          </w:p>
        </w:tc>
      </w:tr>
      <w:tr w:rsidR="00800D8F" w:rsidRPr="007D1EDC" w14:paraId="36AAD9CE" w14:textId="77777777" w:rsidTr="0067343B">
        <w:trPr>
          <w:cantSplit/>
        </w:trPr>
        <w:tc>
          <w:tcPr>
            <w:tcW w:w="260" w:type="pct"/>
            <w:tcMar>
              <w:left w:w="72" w:type="dxa"/>
              <w:right w:w="72" w:type="dxa"/>
            </w:tcMar>
          </w:tcPr>
          <w:p w14:paraId="7F0E9DAC"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6.4.3</w:t>
            </w:r>
          </w:p>
        </w:tc>
        <w:tc>
          <w:tcPr>
            <w:tcW w:w="1367" w:type="pct"/>
            <w:tcMar>
              <w:left w:w="72" w:type="dxa"/>
              <w:right w:w="72" w:type="dxa"/>
            </w:tcMar>
          </w:tcPr>
          <w:p w14:paraId="6EC3DEAB" w14:textId="23C5385D"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Krijimi i infrastrukturës së grumbullimit të gomave të përdorura në oborret e riciklimit për mbeturinat specifike komunale</w:t>
            </w:r>
          </w:p>
        </w:tc>
        <w:tc>
          <w:tcPr>
            <w:tcW w:w="462" w:type="pct"/>
            <w:tcMar>
              <w:left w:w="72" w:type="dxa"/>
              <w:right w:w="72" w:type="dxa"/>
            </w:tcMar>
          </w:tcPr>
          <w:p w14:paraId="6B424AD1" w14:textId="651D91D9"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2027 (në varësi të miratimit të legjislacionit kombëtar)</w:t>
            </w:r>
          </w:p>
        </w:tc>
        <w:tc>
          <w:tcPr>
            <w:tcW w:w="578" w:type="pct"/>
            <w:tcMar>
              <w:left w:w="72" w:type="dxa"/>
              <w:right w:w="72" w:type="dxa"/>
            </w:tcMar>
          </w:tcPr>
          <w:p w14:paraId="693D2823" w14:textId="20C4F589"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highlight w:val="yellow"/>
              </w:rPr>
            </w:pPr>
            <w:r w:rsidRPr="00800D8F">
              <w:rPr>
                <w:rFonts w:ascii="Arial Narrow" w:eastAsia="Aptos" w:hAnsi="Arial Narrow" w:cs="Arial"/>
                <w:sz w:val="20"/>
                <w:szCs w:val="20"/>
                <w:lang w:eastAsia="uk-UA"/>
              </w:rPr>
              <w:t>Nuk kërkon financim shtesë</w:t>
            </w:r>
          </w:p>
        </w:tc>
        <w:tc>
          <w:tcPr>
            <w:tcW w:w="666" w:type="pct"/>
            <w:tcMar>
              <w:left w:w="72" w:type="dxa"/>
              <w:right w:w="72" w:type="dxa"/>
            </w:tcMar>
          </w:tcPr>
          <w:p w14:paraId="6A39BC6D" w14:textId="53C64AAE"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Në kuadër të shpenzimeve për ngritjen e oborreve të riciklimit për mbeturinat komunale</w:t>
            </w:r>
          </w:p>
        </w:tc>
        <w:tc>
          <w:tcPr>
            <w:tcW w:w="838" w:type="pct"/>
            <w:tcMar>
              <w:left w:w="72" w:type="dxa"/>
              <w:right w:w="72" w:type="dxa"/>
            </w:tcMar>
          </w:tcPr>
          <w:p w14:paraId="43FE8926" w14:textId="1F5A06EA"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OPP-të, komunat</w:t>
            </w:r>
          </w:p>
        </w:tc>
        <w:tc>
          <w:tcPr>
            <w:tcW w:w="829" w:type="pct"/>
            <w:tcMar>
              <w:left w:w="72" w:type="dxa"/>
              <w:right w:w="72" w:type="dxa"/>
            </w:tcMar>
          </w:tcPr>
          <w:p w14:paraId="16E051B2" w14:textId="25C19644"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Vendet e grumbullimit të përcaktuara</w:t>
            </w:r>
          </w:p>
        </w:tc>
      </w:tr>
      <w:tr w:rsidR="00800D8F" w:rsidRPr="007D1EDC" w14:paraId="1DAA45CB" w14:textId="77777777" w:rsidTr="0067343B">
        <w:trPr>
          <w:cantSplit/>
        </w:trPr>
        <w:tc>
          <w:tcPr>
            <w:tcW w:w="260" w:type="pct"/>
            <w:tcMar>
              <w:left w:w="72" w:type="dxa"/>
              <w:right w:w="72" w:type="dxa"/>
            </w:tcMar>
          </w:tcPr>
          <w:p w14:paraId="537279E5"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6.5</w:t>
            </w:r>
          </w:p>
        </w:tc>
        <w:tc>
          <w:tcPr>
            <w:tcW w:w="1367" w:type="pct"/>
            <w:tcMar>
              <w:left w:w="72" w:type="dxa"/>
              <w:right w:w="72" w:type="dxa"/>
            </w:tcMar>
          </w:tcPr>
          <w:p w14:paraId="69BB19A9"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r w:rsidRPr="007D1EDC">
              <w:rPr>
                <w:rFonts w:ascii="Arial Narrow" w:eastAsia="Calibri" w:hAnsi="Arial Narrow" w:cs="Calibri"/>
                <w:b/>
                <w:bCs/>
                <w:i/>
                <w:iCs/>
                <w:sz w:val="20"/>
                <w:szCs w:val="20"/>
              </w:rPr>
              <w:t>Detyrë - Menaxhimi i vajrave të përdorura</w:t>
            </w:r>
          </w:p>
        </w:tc>
        <w:tc>
          <w:tcPr>
            <w:tcW w:w="462" w:type="pct"/>
            <w:tcMar>
              <w:left w:w="72" w:type="dxa"/>
              <w:right w:w="72" w:type="dxa"/>
            </w:tcMar>
          </w:tcPr>
          <w:p w14:paraId="49D44F92"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578" w:type="pct"/>
            <w:tcMar>
              <w:left w:w="72" w:type="dxa"/>
              <w:right w:w="72" w:type="dxa"/>
            </w:tcMar>
          </w:tcPr>
          <w:p w14:paraId="70FD7272"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highlight w:val="yellow"/>
              </w:rPr>
            </w:pPr>
          </w:p>
        </w:tc>
        <w:tc>
          <w:tcPr>
            <w:tcW w:w="666" w:type="pct"/>
            <w:tcMar>
              <w:left w:w="72" w:type="dxa"/>
              <w:right w:w="72" w:type="dxa"/>
            </w:tcMar>
          </w:tcPr>
          <w:p w14:paraId="461C7A85"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838" w:type="pct"/>
            <w:tcMar>
              <w:left w:w="72" w:type="dxa"/>
              <w:right w:w="72" w:type="dxa"/>
            </w:tcMar>
          </w:tcPr>
          <w:p w14:paraId="4D952AF0"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829" w:type="pct"/>
            <w:tcMar>
              <w:left w:w="72" w:type="dxa"/>
              <w:right w:w="72" w:type="dxa"/>
            </w:tcMar>
          </w:tcPr>
          <w:p w14:paraId="6E9D253B"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800D8F" w:rsidRPr="007D1EDC" w14:paraId="6E5C8B8A" w14:textId="77777777" w:rsidTr="0067343B">
        <w:trPr>
          <w:cantSplit/>
        </w:trPr>
        <w:tc>
          <w:tcPr>
            <w:tcW w:w="260" w:type="pct"/>
            <w:tcMar>
              <w:left w:w="72" w:type="dxa"/>
              <w:right w:w="72" w:type="dxa"/>
            </w:tcMar>
          </w:tcPr>
          <w:p w14:paraId="28442BE1"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6.5.1</w:t>
            </w:r>
          </w:p>
        </w:tc>
        <w:tc>
          <w:tcPr>
            <w:tcW w:w="1367" w:type="pct"/>
            <w:tcMar>
              <w:left w:w="72" w:type="dxa"/>
              <w:right w:w="72" w:type="dxa"/>
            </w:tcMar>
          </w:tcPr>
          <w:p w14:paraId="5A5413E1" w14:textId="016A2E55"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Nënshkrimi i marrëveshjeve me OPP-të për vajrat e përdorura (pas miratimit të kërkesave ligjore për përgjegjësitë e zgjeruara të prodhuesit dhe themelimin e OPP-ve)</w:t>
            </w:r>
          </w:p>
        </w:tc>
        <w:tc>
          <w:tcPr>
            <w:tcW w:w="462" w:type="pct"/>
            <w:tcMar>
              <w:left w:w="72" w:type="dxa"/>
              <w:right w:w="72" w:type="dxa"/>
            </w:tcMar>
          </w:tcPr>
          <w:p w14:paraId="668B80F8" w14:textId="09C29FF6"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2026 – 2027 (në varësi të miratimit të legjislacionit kombëtar)</w:t>
            </w:r>
          </w:p>
        </w:tc>
        <w:tc>
          <w:tcPr>
            <w:tcW w:w="578" w:type="pct"/>
            <w:tcMar>
              <w:left w:w="72" w:type="dxa"/>
              <w:right w:w="72" w:type="dxa"/>
            </w:tcMar>
          </w:tcPr>
          <w:p w14:paraId="10DF88F5" w14:textId="54FF11C4"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highlight w:val="yellow"/>
              </w:rPr>
            </w:pPr>
            <w:r w:rsidRPr="00800D8F">
              <w:rPr>
                <w:rFonts w:ascii="Arial Narrow" w:eastAsia="Aptos" w:hAnsi="Arial Narrow" w:cs="Arial"/>
                <w:sz w:val="20"/>
                <w:szCs w:val="20"/>
                <w:lang w:eastAsia="uk-UA"/>
              </w:rPr>
              <w:t>Nuk kërkon financim shtesë</w:t>
            </w:r>
          </w:p>
        </w:tc>
        <w:tc>
          <w:tcPr>
            <w:tcW w:w="666" w:type="pct"/>
            <w:tcMar>
              <w:left w:w="72" w:type="dxa"/>
              <w:right w:w="72" w:type="dxa"/>
            </w:tcMar>
          </w:tcPr>
          <w:p w14:paraId="6A95D0D4" w14:textId="7859296A"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Calibri" w:hAnsi="Arial Narrow" w:cs="Calibri"/>
                <w:sz w:val="20"/>
                <w:szCs w:val="20"/>
              </w:rPr>
              <w:t>-</w:t>
            </w:r>
          </w:p>
        </w:tc>
        <w:tc>
          <w:tcPr>
            <w:tcW w:w="838" w:type="pct"/>
            <w:tcMar>
              <w:left w:w="72" w:type="dxa"/>
              <w:right w:w="72" w:type="dxa"/>
            </w:tcMar>
          </w:tcPr>
          <w:p w14:paraId="10794D34" w14:textId="2710BBF0"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OPP-të, komunat</w:t>
            </w:r>
          </w:p>
        </w:tc>
        <w:tc>
          <w:tcPr>
            <w:tcW w:w="829" w:type="pct"/>
            <w:tcMar>
              <w:left w:w="72" w:type="dxa"/>
              <w:right w:w="72" w:type="dxa"/>
            </w:tcMar>
          </w:tcPr>
          <w:p w14:paraId="189384DB" w14:textId="41F3ECE7"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Marrëveshjet e nënshkruara midis 5 komunave dhe OPP-ve</w:t>
            </w:r>
          </w:p>
        </w:tc>
      </w:tr>
      <w:tr w:rsidR="00800D8F" w:rsidRPr="007D1EDC" w14:paraId="4C903649" w14:textId="77777777" w:rsidTr="0067343B">
        <w:trPr>
          <w:cantSplit/>
        </w:trPr>
        <w:tc>
          <w:tcPr>
            <w:tcW w:w="260" w:type="pct"/>
            <w:tcMar>
              <w:left w:w="72" w:type="dxa"/>
              <w:right w:w="72" w:type="dxa"/>
            </w:tcMar>
          </w:tcPr>
          <w:p w14:paraId="6F621FFF"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6.5.2</w:t>
            </w:r>
          </w:p>
        </w:tc>
        <w:tc>
          <w:tcPr>
            <w:tcW w:w="1367" w:type="pct"/>
            <w:tcMar>
              <w:left w:w="72" w:type="dxa"/>
              <w:right w:w="72" w:type="dxa"/>
            </w:tcMar>
          </w:tcPr>
          <w:p w14:paraId="22726503" w14:textId="777C5A89"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Inventarizimi i dyqaneve të riparimit të makinave dhe vendeve për zëvendësimin e vajrave motorikë</w:t>
            </w:r>
          </w:p>
        </w:tc>
        <w:tc>
          <w:tcPr>
            <w:tcW w:w="462" w:type="pct"/>
            <w:tcMar>
              <w:left w:w="72" w:type="dxa"/>
              <w:right w:w="72" w:type="dxa"/>
            </w:tcMar>
          </w:tcPr>
          <w:p w14:paraId="1999E2CF" w14:textId="342E8669"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2026</w:t>
            </w:r>
          </w:p>
        </w:tc>
        <w:tc>
          <w:tcPr>
            <w:tcW w:w="578" w:type="pct"/>
            <w:tcMar>
              <w:left w:w="72" w:type="dxa"/>
              <w:right w:w="72" w:type="dxa"/>
            </w:tcMar>
          </w:tcPr>
          <w:p w14:paraId="3F9ED3F3" w14:textId="7DB4F163"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Nuk kërkon financim shtesë</w:t>
            </w:r>
          </w:p>
        </w:tc>
        <w:tc>
          <w:tcPr>
            <w:tcW w:w="666" w:type="pct"/>
            <w:tcMar>
              <w:left w:w="72" w:type="dxa"/>
              <w:right w:w="72" w:type="dxa"/>
            </w:tcMar>
          </w:tcPr>
          <w:p w14:paraId="4B35E652" w14:textId="2F9BA73B"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Calibri" w:hAnsi="Arial Narrow" w:cs="Calibri"/>
                <w:sz w:val="20"/>
                <w:szCs w:val="20"/>
              </w:rPr>
              <w:t>-</w:t>
            </w:r>
          </w:p>
        </w:tc>
        <w:tc>
          <w:tcPr>
            <w:tcW w:w="838" w:type="pct"/>
            <w:tcMar>
              <w:left w:w="72" w:type="dxa"/>
              <w:right w:w="72" w:type="dxa"/>
            </w:tcMar>
          </w:tcPr>
          <w:p w14:paraId="6DD1B7D8" w14:textId="0A8F8B58" w:rsidR="00800D8F" w:rsidRPr="00800D8F" w:rsidDel="006A33E5"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Komunat</w:t>
            </w:r>
          </w:p>
        </w:tc>
        <w:tc>
          <w:tcPr>
            <w:tcW w:w="829" w:type="pct"/>
            <w:tcMar>
              <w:left w:w="72" w:type="dxa"/>
              <w:right w:w="72" w:type="dxa"/>
            </w:tcMar>
          </w:tcPr>
          <w:p w14:paraId="2186D46E" w14:textId="44DDE8D6"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Inventarizimi i komunave i kompletuar</w:t>
            </w:r>
          </w:p>
        </w:tc>
      </w:tr>
      <w:tr w:rsidR="00800D8F" w:rsidRPr="007D1EDC" w14:paraId="4FDBBA2E" w14:textId="77777777" w:rsidTr="0067343B">
        <w:trPr>
          <w:cantSplit/>
        </w:trPr>
        <w:tc>
          <w:tcPr>
            <w:tcW w:w="260" w:type="pct"/>
            <w:tcMar>
              <w:left w:w="72" w:type="dxa"/>
              <w:right w:w="72" w:type="dxa"/>
            </w:tcMar>
          </w:tcPr>
          <w:p w14:paraId="537F5C72"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6.5.3</w:t>
            </w:r>
          </w:p>
        </w:tc>
        <w:tc>
          <w:tcPr>
            <w:tcW w:w="1367" w:type="pct"/>
            <w:tcMar>
              <w:left w:w="72" w:type="dxa"/>
              <w:right w:w="72" w:type="dxa"/>
            </w:tcMar>
          </w:tcPr>
          <w:p w14:paraId="172FD391" w14:textId="77777777" w:rsid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Ndalimi i zëvendësimit të vajrave të përdorura motorike në zona publike dhe vende të papajisura për këtë qëllim</w:t>
            </w:r>
          </w:p>
          <w:p w14:paraId="2BCEFF93" w14:textId="77777777" w:rsidR="006C3E6F" w:rsidRDefault="006C3E6F" w:rsidP="00800D8F">
            <w:pPr>
              <w:widowControl w:val="0"/>
              <w:suppressAutoHyphens/>
              <w:autoSpaceDE w:val="0"/>
              <w:autoSpaceDN w:val="0"/>
              <w:spacing w:before="60" w:after="60"/>
              <w:ind w:right="123"/>
              <w:rPr>
                <w:rFonts w:ascii="Arial Narrow" w:eastAsia="Aptos" w:hAnsi="Arial Narrow" w:cs="Arial"/>
                <w:sz w:val="20"/>
                <w:szCs w:val="20"/>
                <w:lang w:eastAsia="uk-UA"/>
              </w:rPr>
            </w:pPr>
          </w:p>
          <w:p w14:paraId="580A57A8" w14:textId="25523BDC" w:rsidR="006C3E6F" w:rsidRPr="00800D8F" w:rsidRDefault="006C3E6F" w:rsidP="00800D8F">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462" w:type="pct"/>
            <w:tcMar>
              <w:left w:w="72" w:type="dxa"/>
              <w:right w:w="72" w:type="dxa"/>
            </w:tcMar>
          </w:tcPr>
          <w:p w14:paraId="1FD1A47F" w14:textId="4F78B012"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2027</w:t>
            </w:r>
          </w:p>
        </w:tc>
        <w:tc>
          <w:tcPr>
            <w:tcW w:w="578" w:type="pct"/>
            <w:tcMar>
              <w:left w:w="72" w:type="dxa"/>
              <w:right w:w="72" w:type="dxa"/>
            </w:tcMar>
          </w:tcPr>
          <w:p w14:paraId="48A05528" w14:textId="11B95EB1"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Nuk kërkon financim shtesë</w:t>
            </w:r>
          </w:p>
        </w:tc>
        <w:tc>
          <w:tcPr>
            <w:tcW w:w="666" w:type="pct"/>
            <w:tcMar>
              <w:left w:w="72" w:type="dxa"/>
              <w:right w:w="72" w:type="dxa"/>
            </w:tcMar>
          </w:tcPr>
          <w:p w14:paraId="49EFC223" w14:textId="3526E08E"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w:t>
            </w:r>
          </w:p>
        </w:tc>
        <w:tc>
          <w:tcPr>
            <w:tcW w:w="838" w:type="pct"/>
            <w:tcMar>
              <w:left w:w="72" w:type="dxa"/>
              <w:right w:w="72" w:type="dxa"/>
            </w:tcMar>
          </w:tcPr>
          <w:p w14:paraId="0DF7940E" w14:textId="16CA9EB6"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Komunat</w:t>
            </w:r>
          </w:p>
        </w:tc>
        <w:tc>
          <w:tcPr>
            <w:tcW w:w="829" w:type="pct"/>
            <w:tcMar>
              <w:left w:w="72" w:type="dxa"/>
              <w:right w:w="72" w:type="dxa"/>
            </w:tcMar>
          </w:tcPr>
          <w:p w14:paraId="6DF7A0AB" w14:textId="477A6373"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Ndalimi është vendosur dhe zbatuar</w:t>
            </w:r>
          </w:p>
        </w:tc>
      </w:tr>
      <w:tr w:rsidR="00800D8F" w:rsidRPr="007D1EDC" w14:paraId="78ADD232" w14:textId="77777777" w:rsidTr="0067343B">
        <w:trPr>
          <w:cantSplit/>
        </w:trPr>
        <w:tc>
          <w:tcPr>
            <w:tcW w:w="260" w:type="pct"/>
            <w:shd w:val="clear" w:color="auto" w:fill="C1E4F5"/>
            <w:tcMar>
              <w:left w:w="72" w:type="dxa"/>
              <w:right w:w="72" w:type="dxa"/>
            </w:tcMar>
          </w:tcPr>
          <w:p w14:paraId="3B824C81"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lastRenderedPageBreak/>
              <w:t>7.</w:t>
            </w:r>
          </w:p>
        </w:tc>
        <w:tc>
          <w:tcPr>
            <w:tcW w:w="1367" w:type="pct"/>
            <w:tcBorders>
              <w:right w:val="nil"/>
            </w:tcBorders>
            <w:shd w:val="clear" w:color="auto" w:fill="C1E4F5"/>
            <w:tcMar>
              <w:left w:w="72" w:type="dxa"/>
              <w:right w:w="72" w:type="dxa"/>
            </w:tcMar>
          </w:tcPr>
          <w:p w14:paraId="10BDC9E2"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Prioriteti - Forcimi i strukturës institucionale</w:t>
            </w:r>
          </w:p>
        </w:tc>
        <w:tc>
          <w:tcPr>
            <w:tcW w:w="462" w:type="pct"/>
            <w:tcBorders>
              <w:left w:val="nil"/>
              <w:right w:val="nil"/>
            </w:tcBorders>
            <w:shd w:val="clear" w:color="auto" w:fill="C1E4F5"/>
            <w:tcMar>
              <w:left w:w="72" w:type="dxa"/>
              <w:right w:w="72" w:type="dxa"/>
            </w:tcMar>
          </w:tcPr>
          <w:p w14:paraId="5BF68E7C"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578" w:type="pct"/>
            <w:tcBorders>
              <w:left w:val="nil"/>
              <w:right w:val="nil"/>
            </w:tcBorders>
            <w:shd w:val="clear" w:color="auto" w:fill="C1E4F5"/>
            <w:tcMar>
              <w:left w:w="72" w:type="dxa"/>
              <w:right w:w="72" w:type="dxa"/>
            </w:tcMar>
          </w:tcPr>
          <w:p w14:paraId="1CC50B68"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highlight w:val="yellow"/>
              </w:rPr>
            </w:pPr>
          </w:p>
        </w:tc>
        <w:tc>
          <w:tcPr>
            <w:tcW w:w="666" w:type="pct"/>
            <w:tcBorders>
              <w:left w:val="nil"/>
              <w:right w:val="nil"/>
            </w:tcBorders>
            <w:shd w:val="clear" w:color="auto" w:fill="C1E4F5"/>
            <w:tcMar>
              <w:left w:w="72" w:type="dxa"/>
              <w:right w:w="72" w:type="dxa"/>
            </w:tcMar>
          </w:tcPr>
          <w:p w14:paraId="4E535EE3"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838" w:type="pct"/>
            <w:tcBorders>
              <w:left w:val="nil"/>
              <w:right w:val="nil"/>
            </w:tcBorders>
            <w:shd w:val="clear" w:color="auto" w:fill="C1E4F5"/>
            <w:tcMar>
              <w:left w:w="72" w:type="dxa"/>
              <w:right w:w="72" w:type="dxa"/>
            </w:tcMar>
          </w:tcPr>
          <w:p w14:paraId="6F6BF697"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829" w:type="pct"/>
            <w:tcBorders>
              <w:left w:val="nil"/>
            </w:tcBorders>
            <w:shd w:val="clear" w:color="auto" w:fill="C1E4F5"/>
            <w:tcMar>
              <w:left w:w="72" w:type="dxa"/>
              <w:right w:w="72" w:type="dxa"/>
            </w:tcMar>
          </w:tcPr>
          <w:p w14:paraId="1BDFEDAD"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800D8F" w:rsidRPr="007D1EDC" w14:paraId="7128DECF" w14:textId="77777777" w:rsidTr="0067343B">
        <w:trPr>
          <w:cantSplit/>
        </w:trPr>
        <w:tc>
          <w:tcPr>
            <w:tcW w:w="260" w:type="pct"/>
            <w:tcMar>
              <w:left w:w="72" w:type="dxa"/>
              <w:right w:w="72" w:type="dxa"/>
            </w:tcMar>
          </w:tcPr>
          <w:p w14:paraId="3F65CBE3"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7.1</w:t>
            </w:r>
          </w:p>
        </w:tc>
        <w:tc>
          <w:tcPr>
            <w:tcW w:w="1367" w:type="pct"/>
            <w:tcMar>
              <w:left w:w="72" w:type="dxa"/>
              <w:right w:w="72" w:type="dxa"/>
            </w:tcMar>
          </w:tcPr>
          <w:p w14:paraId="3F4BA9E4" w14:textId="5D3ADB28"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Përgatitja dhe nënshkrimi i marrëveshjes së bashkëpunimit ndërkomunal (MBNK)</w:t>
            </w:r>
          </w:p>
        </w:tc>
        <w:tc>
          <w:tcPr>
            <w:tcW w:w="462" w:type="pct"/>
            <w:tcMar>
              <w:left w:w="72" w:type="dxa"/>
              <w:right w:w="72" w:type="dxa"/>
            </w:tcMar>
          </w:tcPr>
          <w:p w14:paraId="54C17548" w14:textId="4DC8010E"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lang w:val="bg-BG"/>
              </w:rPr>
            </w:pPr>
            <w:r w:rsidRPr="00800D8F">
              <w:rPr>
                <w:rFonts w:ascii="Arial Narrow" w:eastAsia="Aptos" w:hAnsi="Arial Narrow" w:cs="Arial"/>
                <w:sz w:val="20"/>
                <w:szCs w:val="20"/>
                <w:lang w:eastAsia="uk-UA"/>
              </w:rPr>
              <w:t>202</w:t>
            </w:r>
            <w:r w:rsidRPr="00800D8F">
              <w:rPr>
                <w:rFonts w:ascii="Arial Narrow" w:eastAsia="Aptos" w:hAnsi="Arial Narrow" w:cs="Arial"/>
                <w:sz w:val="20"/>
                <w:szCs w:val="20"/>
                <w:lang w:val="bg-BG" w:eastAsia="uk-UA"/>
              </w:rPr>
              <w:t>5</w:t>
            </w:r>
          </w:p>
        </w:tc>
        <w:tc>
          <w:tcPr>
            <w:tcW w:w="578" w:type="pct"/>
            <w:tcMar>
              <w:left w:w="72" w:type="dxa"/>
              <w:right w:w="72" w:type="dxa"/>
            </w:tcMar>
          </w:tcPr>
          <w:p w14:paraId="1CBD22C0" w14:textId="236C7075"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highlight w:val="yellow"/>
              </w:rPr>
            </w:pPr>
            <w:r w:rsidRPr="00800D8F">
              <w:rPr>
                <w:rFonts w:ascii="Arial Narrow" w:eastAsia="Aptos" w:hAnsi="Arial Narrow" w:cs="Arial"/>
                <w:sz w:val="20"/>
                <w:szCs w:val="20"/>
                <w:lang w:eastAsia="uk-UA"/>
              </w:rPr>
              <w:t>-</w:t>
            </w:r>
          </w:p>
        </w:tc>
        <w:tc>
          <w:tcPr>
            <w:tcW w:w="666" w:type="pct"/>
            <w:tcMar>
              <w:left w:w="72" w:type="dxa"/>
              <w:right w:w="72" w:type="dxa"/>
            </w:tcMar>
          </w:tcPr>
          <w:p w14:paraId="1EEAE031" w14:textId="6552D959"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lang w:val="bg-BG"/>
              </w:rPr>
            </w:pPr>
            <w:r w:rsidRPr="00800D8F">
              <w:rPr>
                <w:rFonts w:ascii="Arial Narrow" w:eastAsia="Calibri" w:hAnsi="Arial Narrow" w:cs="Calibri"/>
                <w:sz w:val="20"/>
                <w:szCs w:val="20"/>
                <w:lang w:val="bg-BG"/>
              </w:rPr>
              <w:t>-</w:t>
            </w:r>
          </w:p>
        </w:tc>
        <w:tc>
          <w:tcPr>
            <w:tcW w:w="838" w:type="pct"/>
            <w:tcMar>
              <w:left w:w="72" w:type="dxa"/>
              <w:right w:w="72" w:type="dxa"/>
            </w:tcMar>
          </w:tcPr>
          <w:p w14:paraId="33A7735F" w14:textId="782021D3"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Të gjitha komunat</w:t>
            </w:r>
          </w:p>
        </w:tc>
        <w:tc>
          <w:tcPr>
            <w:tcW w:w="829" w:type="pct"/>
            <w:tcMar>
              <w:left w:w="72" w:type="dxa"/>
              <w:right w:w="72" w:type="dxa"/>
            </w:tcMar>
          </w:tcPr>
          <w:p w14:paraId="3A01C680" w14:textId="3EC4DC77"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Calibri" w:hAnsi="Arial Narrow" w:cs="Calibri"/>
                <w:sz w:val="20"/>
                <w:szCs w:val="20"/>
              </w:rPr>
              <w:t>MBNK-të e nënshkruara</w:t>
            </w:r>
          </w:p>
        </w:tc>
      </w:tr>
      <w:tr w:rsidR="00800D8F" w:rsidRPr="007D1EDC" w14:paraId="73F71C7D" w14:textId="77777777" w:rsidTr="0067343B">
        <w:trPr>
          <w:cantSplit/>
        </w:trPr>
        <w:tc>
          <w:tcPr>
            <w:tcW w:w="260" w:type="pct"/>
            <w:tcMar>
              <w:left w:w="72" w:type="dxa"/>
              <w:right w:w="72" w:type="dxa"/>
            </w:tcMar>
          </w:tcPr>
          <w:p w14:paraId="47F8A1E3"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7.2</w:t>
            </w:r>
          </w:p>
        </w:tc>
        <w:tc>
          <w:tcPr>
            <w:tcW w:w="1367" w:type="pct"/>
            <w:tcMar>
              <w:left w:w="72" w:type="dxa"/>
              <w:right w:w="72" w:type="dxa"/>
            </w:tcMar>
          </w:tcPr>
          <w:p w14:paraId="28675084" w14:textId="4742A6AB"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6C3E6F">
              <w:rPr>
                <w:rFonts w:ascii="Arial Narrow" w:eastAsia="Aptos" w:hAnsi="Arial Narrow" w:cs="Arial"/>
                <w:sz w:val="20"/>
                <w:szCs w:val="20"/>
                <w:lang w:eastAsia="uk-UA"/>
              </w:rPr>
              <w:t>Emërimi i koordinatorit të BNK-së</w:t>
            </w:r>
          </w:p>
        </w:tc>
        <w:tc>
          <w:tcPr>
            <w:tcW w:w="462" w:type="pct"/>
            <w:tcMar>
              <w:left w:w="72" w:type="dxa"/>
              <w:right w:w="72" w:type="dxa"/>
            </w:tcMar>
          </w:tcPr>
          <w:p w14:paraId="1E88A3A2" w14:textId="2D88B69F"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2025 – çdo vit e në vazhdim</w:t>
            </w:r>
          </w:p>
        </w:tc>
        <w:tc>
          <w:tcPr>
            <w:tcW w:w="578" w:type="pct"/>
            <w:tcMar>
              <w:left w:w="72" w:type="dxa"/>
              <w:right w:w="72" w:type="dxa"/>
            </w:tcMar>
          </w:tcPr>
          <w:p w14:paraId="7AFA42DB" w14:textId="604A1698"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12,000 (në vit)</w:t>
            </w:r>
          </w:p>
        </w:tc>
        <w:tc>
          <w:tcPr>
            <w:tcW w:w="666" w:type="pct"/>
            <w:tcMar>
              <w:left w:w="72" w:type="dxa"/>
              <w:right w:w="72" w:type="dxa"/>
            </w:tcMar>
          </w:tcPr>
          <w:p w14:paraId="6DE3D6EC" w14:textId="76DCD94B"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Buxhetet komunale, KRM-të</w:t>
            </w:r>
          </w:p>
        </w:tc>
        <w:tc>
          <w:tcPr>
            <w:tcW w:w="838" w:type="pct"/>
            <w:tcMar>
              <w:left w:w="72" w:type="dxa"/>
              <w:right w:w="72" w:type="dxa"/>
            </w:tcMar>
          </w:tcPr>
          <w:p w14:paraId="58B9163E" w14:textId="4E7986DB"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Komunat, KRM-të</w:t>
            </w:r>
          </w:p>
        </w:tc>
        <w:tc>
          <w:tcPr>
            <w:tcW w:w="829" w:type="pct"/>
            <w:tcMar>
              <w:left w:w="72" w:type="dxa"/>
              <w:right w:w="72" w:type="dxa"/>
            </w:tcMar>
          </w:tcPr>
          <w:p w14:paraId="4F9721C3" w14:textId="14392F87"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Koordinatori i caktuar me funksione të dakorduara</w:t>
            </w:r>
          </w:p>
        </w:tc>
      </w:tr>
      <w:tr w:rsidR="00800D8F" w:rsidRPr="007D1EDC" w14:paraId="1846B071" w14:textId="77777777" w:rsidTr="0067343B">
        <w:trPr>
          <w:cantSplit/>
        </w:trPr>
        <w:tc>
          <w:tcPr>
            <w:tcW w:w="260" w:type="pct"/>
            <w:tcMar>
              <w:left w:w="72" w:type="dxa"/>
              <w:right w:w="72" w:type="dxa"/>
            </w:tcMar>
          </w:tcPr>
          <w:p w14:paraId="6A0CE1C4"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7.3</w:t>
            </w:r>
          </w:p>
        </w:tc>
        <w:tc>
          <w:tcPr>
            <w:tcW w:w="1367" w:type="pct"/>
            <w:tcMar>
              <w:left w:w="72" w:type="dxa"/>
              <w:right w:w="72" w:type="dxa"/>
            </w:tcMar>
          </w:tcPr>
          <w:p w14:paraId="0B3E0DDF" w14:textId="0FD2FF99"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Takime dy-vjeçare për zbatimin e marrëveshjes së PNMIM-së dhe marrëveshjes për BNK</w:t>
            </w:r>
          </w:p>
        </w:tc>
        <w:tc>
          <w:tcPr>
            <w:tcW w:w="462" w:type="pct"/>
            <w:tcMar>
              <w:left w:w="72" w:type="dxa"/>
              <w:right w:w="72" w:type="dxa"/>
            </w:tcMar>
          </w:tcPr>
          <w:p w14:paraId="66A6EC8A" w14:textId="660E9402"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Çdo vit</w:t>
            </w:r>
          </w:p>
        </w:tc>
        <w:tc>
          <w:tcPr>
            <w:tcW w:w="578" w:type="pct"/>
            <w:tcMar>
              <w:left w:w="72" w:type="dxa"/>
              <w:right w:w="72" w:type="dxa"/>
            </w:tcMar>
          </w:tcPr>
          <w:p w14:paraId="2CCD63BE" w14:textId="349C7ED4"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w:t>
            </w:r>
          </w:p>
        </w:tc>
        <w:tc>
          <w:tcPr>
            <w:tcW w:w="666" w:type="pct"/>
            <w:tcMar>
              <w:left w:w="72" w:type="dxa"/>
              <w:right w:w="72" w:type="dxa"/>
            </w:tcMar>
          </w:tcPr>
          <w:p w14:paraId="5E78424B" w14:textId="744BB0C3"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w:t>
            </w:r>
          </w:p>
        </w:tc>
        <w:tc>
          <w:tcPr>
            <w:tcW w:w="838" w:type="pct"/>
            <w:tcMar>
              <w:left w:w="72" w:type="dxa"/>
              <w:right w:w="72" w:type="dxa"/>
            </w:tcMar>
          </w:tcPr>
          <w:p w14:paraId="46942205" w14:textId="3C04F617" w:rsidR="00800D8F" w:rsidRPr="006C3E6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6C3E6F">
              <w:rPr>
                <w:rFonts w:ascii="Arial Narrow" w:eastAsia="Aptos" w:hAnsi="Arial Narrow" w:cs="Arial"/>
                <w:sz w:val="20"/>
                <w:szCs w:val="20"/>
                <w:lang w:eastAsia="uk-UA"/>
              </w:rPr>
              <w:t>Koordinatori i BNK-së, të gjitha komunat</w:t>
            </w:r>
          </w:p>
        </w:tc>
        <w:tc>
          <w:tcPr>
            <w:tcW w:w="829" w:type="pct"/>
            <w:tcMar>
              <w:left w:w="72" w:type="dxa"/>
              <w:right w:w="72" w:type="dxa"/>
            </w:tcMar>
          </w:tcPr>
          <w:p w14:paraId="3BE9ED70" w14:textId="3015A2F7"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Zbatimi i monitoruar</w:t>
            </w:r>
          </w:p>
        </w:tc>
      </w:tr>
      <w:tr w:rsidR="00800D8F" w:rsidRPr="007D1EDC" w14:paraId="0CA76F0C" w14:textId="77777777" w:rsidTr="0067343B">
        <w:trPr>
          <w:cantSplit/>
        </w:trPr>
        <w:tc>
          <w:tcPr>
            <w:tcW w:w="260" w:type="pct"/>
            <w:tcMar>
              <w:left w:w="72" w:type="dxa"/>
              <w:right w:w="72" w:type="dxa"/>
            </w:tcMar>
          </w:tcPr>
          <w:p w14:paraId="6AEB8EDA"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7.4</w:t>
            </w:r>
          </w:p>
        </w:tc>
        <w:tc>
          <w:tcPr>
            <w:tcW w:w="1367" w:type="pct"/>
            <w:tcMar>
              <w:left w:w="72" w:type="dxa"/>
              <w:right w:w="72" w:type="dxa"/>
            </w:tcMar>
          </w:tcPr>
          <w:p w14:paraId="69D43D0D" w14:textId="788AA5E4"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Zhvillimi i një modeli për kontratën e shërbimit publik (KShP) që do të përdoret për ofrimin e shërbimeve të menaxhimit të mbeturinave</w:t>
            </w:r>
          </w:p>
        </w:tc>
        <w:tc>
          <w:tcPr>
            <w:tcW w:w="462" w:type="pct"/>
            <w:tcMar>
              <w:left w:w="72" w:type="dxa"/>
              <w:right w:w="72" w:type="dxa"/>
            </w:tcMar>
          </w:tcPr>
          <w:p w14:paraId="0E36FF4E" w14:textId="17AF4BB0"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2025</w:t>
            </w:r>
          </w:p>
        </w:tc>
        <w:tc>
          <w:tcPr>
            <w:tcW w:w="578" w:type="pct"/>
            <w:tcMar>
              <w:left w:w="72" w:type="dxa"/>
              <w:right w:w="72" w:type="dxa"/>
            </w:tcMar>
          </w:tcPr>
          <w:p w14:paraId="6EED162B" w14:textId="3E12F351"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5,000</w:t>
            </w:r>
          </w:p>
        </w:tc>
        <w:tc>
          <w:tcPr>
            <w:tcW w:w="666" w:type="pct"/>
            <w:tcMar>
              <w:left w:w="72" w:type="dxa"/>
              <w:right w:w="72" w:type="dxa"/>
            </w:tcMar>
          </w:tcPr>
          <w:p w14:paraId="187870BA" w14:textId="2FCCF8B4"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lang w:val="bg-BG"/>
              </w:rPr>
            </w:pPr>
            <w:r w:rsidRPr="00800D8F">
              <w:rPr>
                <w:rFonts w:ascii="Arial Narrow" w:eastAsia="Aptos" w:hAnsi="Arial Narrow" w:cs="Arial"/>
                <w:sz w:val="20"/>
                <w:szCs w:val="20"/>
                <w:lang w:eastAsia="uk-UA"/>
              </w:rPr>
              <w:t>Grant i Asistencës Teknike</w:t>
            </w:r>
            <w:r w:rsidRPr="00800D8F">
              <w:rPr>
                <w:rFonts w:ascii="Arial Narrow" w:eastAsia="Aptos" w:hAnsi="Arial Narrow" w:cs="Arial"/>
                <w:sz w:val="20"/>
                <w:szCs w:val="20"/>
                <w:lang w:val="bg-BG" w:eastAsia="uk-UA"/>
              </w:rPr>
              <w:t xml:space="preserve"> </w:t>
            </w:r>
          </w:p>
        </w:tc>
        <w:tc>
          <w:tcPr>
            <w:tcW w:w="838" w:type="pct"/>
            <w:tcMar>
              <w:left w:w="72" w:type="dxa"/>
              <w:right w:w="72" w:type="dxa"/>
            </w:tcMar>
          </w:tcPr>
          <w:p w14:paraId="5F8941D8" w14:textId="44730D47" w:rsidR="00800D8F" w:rsidRPr="006C3E6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6C3E6F">
              <w:rPr>
                <w:rFonts w:ascii="Arial Narrow" w:eastAsia="Aptos" w:hAnsi="Arial Narrow" w:cs="Arial"/>
                <w:sz w:val="20"/>
                <w:szCs w:val="20"/>
                <w:lang w:eastAsia="uk-UA"/>
              </w:rPr>
              <w:t>Koordinator i BNK-së, komunat</w:t>
            </w:r>
          </w:p>
        </w:tc>
        <w:tc>
          <w:tcPr>
            <w:tcW w:w="829" w:type="pct"/>
            <w:tcMar>
              <w:left w:w="72" w:type="dxa"/>
              <w:right w:w="72" w:type="dxa"/>
            </w:tcMar>
          </w:tcPr>
          <w:p w14:paraId="2FAFF71A" w14:textId="52CD63A4"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KShP e përgatitur</w:t>
            </w:r>
          </w:p>
        </w:tc>
      </w:tr>
      <w:tr w:rsidR="00800D8F" w:rsidRPr="007D1EDC" w14:paraId="53C04D66" w14:textId="77777777" w:rsidTr="0067343B">
        <w:trPr>
          <w:cantSplit/>
        </w:trPr>
        <w:tc>
          <w:tcPr>
            <w:tcW w:w="260" w:type="pct"/>
            <w:tcMar>
              <w:left w:w="72" w:type="dxa"/>
              <w:right w:w="72" w:type="dxa"/>
            </w:tcMar>
          </w:tcPr>
          <w:p w14:paraId="0E5BE798"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7.5</w:t>
            </w:r>
          </w:p>
        </w:tc>
        <w:tc>
          <w:tcPr>
            <w:tcW w:w="1367" w:type="pct"/>
            <w:tcMar>
              <w:left w:w="72" w:type="dxa"/>
              <w:right w:w="72" w:type="dxa"/>
            </w:tcMar>
          </w:tcPr>
          <w:p w14:paraId="76D06996" w14:textId="09FD9A5F"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Hartimi dhe miratimi i planit të biznesit për KRM ‘Ambienti’</w:t>
            </w:r>
          </w:p>
        </w:tc>
        <w:tc>
          <w:tcPr>
            <w:tcW w:w="462" w:type="pct"/>
            <w:tcMar>
              <w:left w:w="72" w:type="dxa"/>
              <w:right w:w="72" w:type="dxa"/>
            </w:tcMar>
          </w:tcPr>
          <w:p w14:paraId="346FA89D" w14:textId="6D98A952"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2025</w:t>
            </w:r>
          </w:p>
        </w:tc>
        <w:tc>
          <w:tcPr>
            <w:tcW w:w="578" w:type="pct"/>
            <w:tcMar>
              <w:left w:w="72" w:type="dxa"/>
              <w:right w:w="72" w:type="dxa"/>
            </w:tcMar>
          </w:tcPr>
          <w:p w14:paraId="3AA45219" w14:textId="08E6458C"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w:t>
            </w:r>
          </w:p>
        </w:tc>
        <w:tc>
          <w:tcPr>
            <w:tcW w:w="666" w:type="pct"/>
            <w:tcMar>
              <w:left w:w="72" w:type="dxa"/>
              <w:right w:w="72" w:type="dxa"/>
            </w:tcMar>
          </w:tcPr>
          <w:p w14:paraId="4CEE525D" w14:textId="6ECD3913"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lang w:val="bg-BG"/>
              </w:rPr>
            </w:pPr>
            <w:r w:rsidRPr="00800D8F">
              <w:rPr>
                <w:rFonts w:ascii="Arial Narrow" w:eastAsia="Aptos" w:hAnsi="Arial Narrow" w:cs="Arial"/>
                <w:sz w:val="20"/>
                <w:szCs w:val="20"/>
                <w:lang w:eastAsia="uk-UA"/>
              </w:rPr>
              <w:t>-</w:t>
            </w:r>
            <w:r w:rsidRPr="00800D8F">
              <w:rPr>
                <w:rFonts w:ascii="Arial Narrow" w:eastAsia="Aptos" w:hAnsi="Arial Narrow" w:cs="Arial"/>
                <w:sz w:val="20"/>
                <w:szCs w:val="20"/>
                <w:lang w:val="bg-BG" w:eastAsia="uk-UA"/>
              </w:rPr>
              <w:t xml:space="preserve"> </w:t>
            </w:r>
          </w:p>
        </w:tc>
        <w:tc>
          <w:tcPr>
            <w:tcW w:w="838" w:type="pct"/>
            <w:tcMar>
              <w:left w:w="72" w:type="dxa"/>
              <w:right w:w="72" w:type="dxa"/>
            </w:tcMar>
          </w:tcPr>
          <w:p w14:paraId="6DDA85FC" w14:textId="52FD5674"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Komunat, KRM</w:t>
            </w:r>
          </w:p>
        </w:tc>
        <w:tc>
          <w:tcPr>
            <w:tcW w:w="829" w:type="pct"/>
            <w:tcMar>
              <w:left w:w="72" w:type="dxa"/>
              <w:right w:w="72" w:type="dxa"/>
            </w:tcMar>
          </w:tcPr>
          <w:p w14:paraId="73530A55" w14:textId="4FF9E577"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Planet e biznesit të aprovuara</w:t>
            </w:r>
          </w:p>
        </w:tc>
      </w:tr>
      <w:tr w:rsidR="00800D8F" w:rsidRPr="007D1EDC" w14:paraId="78302B8C" w14:textId="77777777" w:rsidTr="0067343B">
        <w:trPr>
          <w:cantSplit/>
        </w:trPr>
        <w:tc>
          <w:tcPr>
            <w:tcW w:w="260" w:type="pct"/>
            <w:tcMar>
              <w:left w:w="72" w:type="dxa"/>
              <w:right w:w="72" w:type="dxa"/>
            </w:tcMar>
          </w:tcPr>
          <w:p w14:paraId="136618E6" w14:textId="77777777" w:rsidR="00800D8F" w:rsidRPr="007D1EDC"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7D1EDC">
              <w:rPr>
                <w:rFonts w:ascii="Arial Narrow" w:eastAsia="Aptos" w:hAnsi="Arial Narrow" w:cs="Arial"/>
                <w:sz w:val="20"/>
                <w:szCs w:val="20"/>
                <w:lang w:eastAsia="uk-UA"/>
              </w:rPr>
              <w:t>7.6</w:t>
            </w:r>
          </w:p>
        </w:tc>
        <w:tc>
          <w:tcPr>
            <w:tcW w:w="1367" w:type="pct"/>
            <w:tcMar>
              <w:left w:w="72" w:type="dxa"/>
              <w:right w:w="72" w:type="dxa"/>
            </w:tcMar>
          </w:tcPr>
          <w:p w14:paraId="4ED5F709" w14:textId="25FC5528"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Miratimi i raporteve vjetore dhe planeve vjetore për operimin e KRM ‘Ambienti’</w:t>
            </w:r>
          </w:p>
        </w:tc>
        <w:tc>
          <w:tcPr>
            <w:tcW w:w="462" w:type="pct"/>
            <w:tcMar>
              <w:left w:w="72" w:type="dxa"/>
              <w:right w:w="72" w:type="dxa"/>
            </w:tcMar>
          </w:tcPr>
          <w:p w14:paraId="0172F90D" w14:textId="407CA164"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Çdo vit</w:t>
            </w:r>
          </w:p>
        </w:tc>
        <w:tc>
          <w:tcPr>
            <w:tcW w:w="578" w:type="pct"/>
            <w:tcMar>
              <w:left w:w="72" w:type="dxa"/>
              <w:right w:w="72" w:type="dxa"/>
            </w:tcMar>
          </w:tcPr>
          <w:p w14:paraId="32C926F7" w14:textId="57B460ED"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w:t>
            </w:r>
          </w:p>
        </w:tc>
        <w:tc>
          <w:tcPr>
            <w:tcW w:w="666" w:type="pct"/>
            <w:tcMar>
              <w:left w:w="72" w:type="dxa"/>
              <w:right w:w="72" w:type="dxa"/>
            </w:tcMar>
          </w:tcPr>
          <w:p w14:paraId="69E890E5" w14:textId="4FD69FF5"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lang w:val="bg-BG"/>
              </w:rPr>
            </w:pPr>
            <w:r w:rsidRPr="00800D8F">
              <w:rPr>
                <w:rFonts w:ascii="Arial Narrow" w:eastAsia="Aptos" w:hAnsi="Arial Narrow" w:cs="Arial"/>
                <w:sz w:val="20"/>
                <w:szCs w:val="20"/>
                <w:lang w:eastAsia="uk-UA"/>
              </w:rPr>
              <w:t>-</w:t>
            </w:r>
            <w:r w:rsidRPr="00800D8F">
              <w:rPr>
                <w:rFonts w:ascii="Arial Narrow" w:eastAsia="Aptos" w:hAnsi="Arial Narrow" w:cs="Arial"/>
                <w:sz w:val="20"/>
                <w:szCs w:val="20"/>
                <w:lang w:val="bg-BG" w:eastAsia="uk-UA"/>
              </w:rPr>
              <w:t xml:space="preserve"> </w:t>
            </w:r>
          </w:p>
        </w:tc>
        <w:tc>
          <w:tcPr>
            <w:tcW w:w="838" w:type="pct"/>
            <w:tcMar>
              <w:left w:w="72" w:type="dxa"/>
              <w:right w:w="72" w:type="dxa"/>
            </w:tcMar>
          </w:tcPr>
          <w:p w14:paraId="1A0B8B41" w14:textId="19B6CB30" w:rsidR="00800D8F" w:rsidRPr="00800D8F" w:rsidRDefault="00800D8F" w:rsidP="00800D8F">
            <w:pPr>
              <w:widowControl w:val="0"/>
              <w:suppressAutoHyphens/>
              <w:autoSpaceDE w:val="0"/>
              <w:autoSpaceDN w:val="0"/>
              <w:spacing w:before="60" w:after="60"/>
              <w:ind w:right="123"/>
              <w:rPr>
                <w:rFonts w:ascii="Arial Narrow" w:eastAsia="Aptos" w:hAnsi="Arial Narrow" w:cs="Arial"/>
                <w:sz w:val="20"/>
                <w:szCs w:val="20"/>
                <w:lang w:eastAsia="uk-UA"/>
              </w:rPr>
            </w:pPr>
            <w:r w:rsidRPr="00800D8F">
              <w:rPr>
                <w:rFonts w:ascii="Arial Narrow" w:eastAsia="Aptos" w:hAnsi="Arial Narrow" w:cs="Arial"/>
                <w:sz w:val="20"/>
                <w:szCs w:val="20"/>
                <w:lang w:eastAsia="uk-UA"/>
              </w:rPr>
              <w:t>Komunat</w:t>
            </w:r>
          </w:p>
        </w:tc>
        <w:tc>
          <w:tcPr>
            <w:tcW w:w="829" w:type="pct"/>
            <w:tcMar>
              <w:left w:w="72" w:type="dxa"/>
              <w:right w:w="72" w:type="dxa"/>
            </w:tcMar>
          </w:tcPr>
          <w:p w14:paraId="47EA078B" w14:textId="0254EF44" w:rsidR="00800D8F" w:rsidRPr="00800D8F" w:rsidRDefault="00800D8F" w:rsidP="00800D8F">
            <w:pPr>
              <w:widowControl w:val="0"/>
              <w:suppressAutoHyphens/>
              <w:autoSpaceDE w:val="0"/>
              <w:autoSpaceDN w:val="0"/>
              <w:spacing w:before="60" w:after="60"/>
              <w:ind w:right="123"/>
              <w:rPr>
                <w:rFonts w:ascii="Arial Narrow" w:eastAsia="Calibri" w:hAnsi="Arial Narrow" w:cs="Calibri"/>
                <w:sz w:val="20"/>
                <w:szCs w:val="20"/>
              </w:rPr>
            </w:pPr>
            <w:r w:rsidRPr="00800D8F">
              <w:rPr>
                <w:rFonts w:ascii="Arial Narrow" w:eastAsia="Aptos" w:hAnsi="Arial Narrow" w:cs="Arial"/>
                <w:sz w:val="20"/>
                <w:szCs w:val="20"/>
                <w:lang w:eastAsia="uk-UA"/>
              </w:rPr>
              <w:t>Raportet vjetore dhe planet vjetore të miratuara</w:t>
            </w:r>
          </w:p>
        </w:tc>
      </w:tr>
    </w:tbl>
    <w:p w14:paraId="0093F3AB" w14:textId="77777777" w:rsidR="007D1EDC" w:rsidRPr="007D1EDC" w:rsidRDefault="007D1EDC" w:rsidP="007D1EDC">
      <w:pPr>
        <w:suppressAutoHyphens/>
        <w:rPr>
          <w:rFonts w:ascii="Arial Narrow" w:eastAsia="Calibri" w:hAnsi="Arial Narrow" w:cs="Calibri"/>
          <w:sz w:val="22"/>
          <w:szCs w:val="22"/>
        </w:rPr>
      </w:pPr>
    </w:p>
    <w:p w14:paraId="46F7A4C9" w14:textId="77777777" w:rsidR="007D1EDC" w:rsidRPr="007D1EDC" w:rsidRDefault="007D1EDC" w:rsidP="002E4DDE">
      <w:pPr>
        <w:pStyle w:val="Heading3"/>
        <w:ind w:left="1134" w:hanging="1134"/>
      </w:pPr>
      <w:bookmarkStart w:id="565" w:name="_Toc190967404"/>
      <w:bookmarkStart w:id="566" w:name="_Toc197472053"/>
      <w:r w:rsidRPr="007D1EDC">
        <w:t>Aktivitete afatmesme dhe afatgjata për zbatim</w:t>
      </w:r>
      <w:bookmarkEnd w:id="565"/>
      <w:bookmarkEnd w:id="566"/>
    </w:p>
    <w:p w14:paraId="25799FAB" w14:textId="77777777" w:rsidR="007D1EDC" w:rsidRPr="00800D8F" w:rsidRDefault="007D1EDC" w:rsidP="007D1EDC">
      <w:pPr>
        <w:suppressAutoHyphens/>
        <w:rPr>
          <w:rFonts w:ascii="Arial Narrow" w:eastAsia="Calibri" w:hAnsi="Arial Narrow" w:cs="Calibri"/>
          <w:sz w:val="22"/>
          <w:szCs w:val="22"/>
        </w:rPr>
      </w:pPr>
    </w:p>
    <w:p w14:paraId="20458803" w14:textId="77777777" w:rsidR="00800D8F" w:rsidRPr="00800D8F" w:rsidRDefault="00800D8F" w:rsidP="00800D8F">
      <w:pPr>
        <w:suppressAutoHyphens/>
        <w:rPr>
          <w:rFonts w:ascii="Arial Narrow" w:eastAsia="Calibri" w:hAnsi="Arial Narrow" w:cs="Calibri"/>
          <w:sz w:val="22"/>
          <w:szCs w:val="22"/>
        </w:rPr>
      </w:pPr>
      <w:r w:rsidRPr="00800D8F">
        <w:rPr>
          <w:rFonts w:ascii="Arial Narrow" w:eastAsia="Calibri" w:hAnsi="Arial Narrow" w:cs="Calibri"/>
          <w:sz w:val="22"/>
          <w:szCs w:val="22"/>
        </w:rPr>
        <w:t>Aktivitetet e parashikuara për zbatimin afatmesëm synohet të bazohen në veprimet afatshkurtra dhe synojnë vazhdimin e krijimit të një sistemi të integruar rajonal të menaxhimit të mbeturinave, ndërsa aktivitetet për zbatimin afatgjatë synojnë t'i lejojnë komunat të vendosin bazat për arritjen e objektivave gjithëpërfshirëse të vendosura për vitin 2035.</w:t>
      </w:r>
    </w:p>
    <w:p w14:paraId="04283062" w14:textId="77777777" w:rsidR="007D1EDC" w:rsidRPr="00800D8F" w:rsidRDefault="007D1EDC" w:rsidP="007D1EDC">
      <w:pPr>
        <w:suppressAutoHyphens/>
        <w:rPr>
          <w:rFonts w:ascii="Arial Narrow" w:eastAsia="Calibri" w:hAnsi="Arial Narrow" w:cs="Calibri"/>
          <w:sz w:val="22"/>
          <w:szCs w:val="22"/>
        </w:rPr>
      </w:pPr>
    </w:p>
    <w:p w14:paraId="14D4C811" w14:textId="77777777" w:rsidR="007D1EDC" w:rsidRDefault="007D1EDC" w:rsidP="007D1EDC">
      <w:pPr>
        <w:suppressAutoHyphens/>
        <w:rPr>
          <w:rFonts w:ascii="Arial Narrow" w:eastAsia="Calibri" w:hAnsi="Arial Narrow" w:cs="Calibri"/>
          <w:sz w:val="22"/>
          <w:szCs w:val="22"/>
        </w:rPr>
      </w:pPr>
      <w:r w:rsidRPr="007D1EDC">
        <w:rPr>
          <w:rFonts w:ascii="Arial Narrow" w:eastAsia="Calibri" w:hAnsi="Arial Narrow" w:cs="Calibri"/>
          <w:sz w:val="22"/>
          <w:szCs w:val="22"/>
        </w:rPr>
        <w:t xml:space="preserve">Tabela më poshtë paraqet aktivitetet për zbatim </w:t>
      </w:r>
      <w:bookmarkStart w:id="567" w:name="_Hlk195525146"/>
      <w:r w:rsidRPr="007D1EDC">
        <w:rPr>
          <w:rFonts w:ascii="Arial Narrow" w:eastAsia="Calibri" w:hAnsi="Arial Narrow" w:cs="Calibri"/>
          <w:sz w:val="22"/>
          <w:szCs w:val="22"/>
        </w:rPr>
        <w:t xml:space="preserve">për </w:t>
      </w:r>
      <w:r w:rsidRPr="007D1EDC">
        <w:rPr>
          <w:rFonts w:ascii="Arial Narrow" w:eastAsia="Calibri" w:hAnsi="Arial Narrow" w:cs="Calibri"/>
          <w:b/>
          <w:bCs/>
          <w:sz w:val="22"/>
          <w:szCs w:val="22"/>
        </w:rPr>
        <w:t xml:space="preserve">periudhën 2028-2035 </w:t>
      </w:r>
      <w:bookmarkEnd w:id="567"/>
      <w:r w:rsidRPr="007D1EDC">
        <w:rPr>
          <w:rFonts w:ascii="Arial Narrow" w:eastAsia="Calibri" w:hAnsi="Arial Narrow" w:cs="Calibri"/>
          <w:sz w:val="22"/>
          <w:szCs w:val="22"/>
        </w:rPr>
        <w:t>.</w:t>
      </w:r>
    </w:p>
    <w:p w14:paraId="01F7B0D5" w14:textId="77777777" w:rsidR="0055708F" w:rsidRDefault="0055708F" w:rsidP="007D1EDC">
      <w:pPr>
        <w:suppressAutoHyphens/>
        <w:rPr>
          <w:rFonts w:ascii="Arial Narrow" w:eastAsia="Calibri" w:hAnsi="Arial Narrow" w:cs="Calibri"/>
          <w:sz w:val="22"/>
          <w:szCs w:val="22"/>
        </w:rPr>
      </w:pPr>
    </w:p>
    <w:p w14:paraId="50886D05" w14:textId="77777777" w:rsidR="0055708F" w:rsidRDefault="0055708F" w:rsidP="007D1EDC">
      <w:pPr>
        <w:suppressAutoHyphens/>
        <w:rPr>
          <w:rFonts w:ascii="Arial Narrow" w:eastAsia="Calibri" w:hAnsi="Arial Narrow" w:cs="Calibri"/>
          <w:sz w:val="22"/>
          <w:szCs w:val="22"/>
        </w:rPr>
      </w:pPr>
    </w:p>
    <w:p w14:paraId="3A85A727" w14:textId="77777777" w:rsidR="0055708F" w:rsidRDefault="0055708F" w:rsidP="007D1EDC">
      <w:pPr>
        <w:suppressAutoHyphens/>
        <w:rPr>
          <w:rFonts w:ascii="Arial Narrow" w:eastAsia="Calibri" w:hAnsi="Arial Narrow" w:cs="Calibri"/>
          <w:sz w:val="22"/>
          <w:szCs w:val="22"/>
        </w:rPr>
      </w:pPr>
    </w:p>
    <w:p w14:paraId="6DC43B50" w14:textId="77777777" w:rsidR="0055708F" w:rsidRDefault="0055708F" w:rsidP="007D1EDC">
      <w:pPr>
        <w:suppressAutoHyphens/>
        <w:rPr>
          <w:rFonts w:ascii="Arial Narrow" w:eastAsia="Calibri" w:hAnsi="Arial Narrow" w:cs="Calibri"/>
          <w:sz w:val="22"/>
          <w:szCs w:val="22"/>
        </w:rPr>
      </w:pPr>
    </w:p>
    <w:p w14:paraId="39A85D7D" w14:textId="77777777" w:rsidR="0055708F" w:rsidRPr="007D1EDC" w:rsidRDefault="0055708F" w:rsidP="007D1EDC">
      <w:pPr>
        <w:suppressAutoHyphens/>
        <w:rPr>
          <w:rFonts w:ascii="Arial Narrow" w:eastAsia="Calibri" w:hAnsi="Arial Narrow" w:cs="Calibri"/>
          <w:sz w:val="22"/>
          <w:szCs w:val="22"/>
          <w:lang w:val="bg-BG"/>
        </w:rPr>
      </w:pPr>
    </w:p>
    <w:p w14:paraId="420BEAF3" w14:textId="77777777" w:rsidR="007D1EDC" w:rsidRPr="007D1EDC" w:rsidRDefault="007D1EDC" w:rsidP="007D1EDC">
      <w:pPr>
        <w:suppressAutoHyphens/>
        <w:rPr>
          <w:rFonts w:ascii="Arial Narrow" w:eastAsia="Calibri" w:hAnsi="Arial Narrow" w:cs="Calibri"/>
          <w:sz w:val="22"/>
          <w:szCs w:val="22"/>
        </w:rPr>
      </w:pPr>
    </w:p>
    <w:p w14:paraId="5E413DA6" w14:textId="09F0FB4F" w:rsidR="007D1EDC" w:rsidRPr="007D1EDC" w:rsidRDefault="007D1EDC" w:rsidP="007D1EDC">
      <w:pPr>
        <w:suppressAutoHyphens/>
        <w:rPr>
          <w:rFonts w:ascii="Arial Narrow" w:eastAsia="Calibri" w:hAnsi="Arial Narrow" w:cs="Calibri"/>
          <w:sz w:val="22"/>
          <w:szCs w:val="22"/>
          <w:lang w:val="bg-BG"/>
        </w:rPr>
      </w:pPr>
      <w:bookmarkStart w:id="568" w:name="_Toc187067799"/>
      <w:bookmarkStart w:id="569" w:name="_Toc190966772"/>
      <w:bookmarkStart w:id="570" w:name="_Toc197472269"/>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84.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Aktivitetet për zbatimin afatmesëm dhe afatgjatë, 2028-203</w:t>
      </w:r>
      <w:bookmarkEnd w:id="568"/>
      <w:r w:rsidRPr="007D1EDC">
        <w:rPr>
          <w:rFonts w:ascii="Arial Narrow" w:eastAsia="Calibri" w:hAnsi="Arial Narrow" w:cs="Calibri"/>
          <w:color w:val="1F497D"/>
          <w:sz w:val="20"/>
          <w:szCs w:val="20"/>
          <w:lang w:val="bg-BG"/>
        </w:rPr>
        <w:t>5</w:t>
      </w:r>
      <w:bookmarkEnd w:id="569"/>
      <w:bookmarkEnd w:id="570"/>
    </w:p>
    <w:tbl>
      <w:tblPr>
        <w:tblStyle w:val="TableGrid"/>
        <w:tblW w:w="5000" w:type="pct"/>
        <w:tblLook w:val="04A0" w:firstRow="1" w:lastRow="0" w:firstColumn="1" w:lastColumn="0" w:noHBand="0" w:noVBand="1"/>
      </w:tblPr>
      <w:tblGrid>
        <w:gridCol w:w="632"/>
        <w:gridCol w:w="3529"/>
        <w:gridCol w:w="1289"/>
        <w:gridCol w:w="1170"/>
        <w:gridCol w:w="3172"/>
        <w:gridCol w:w="1975"/>
        <w:gridCol w:w="2181"/>
      </w:tblGrid>
      <w:tr w:rsidR="00E802E0" w:rsidRPr="007D1EDC" w14:paraId="09ADBE24" w14:textId="77777777" w:rsidTr="00E802E0">
        <w:trPr>
          <w:trHeight w:val="440"/>
          <w:tblHeader/>
        </w:trPr>
        <w:tc>
          <w:tcPr>
            <w:tcW w:w="227" w:type="pct"/>
            <w:shd w:val="clear" w:color="auto" w:fill="365F91"/>
            <w:tcMar>
              <w:left w:w="72" w:type="dxa"/>
              <w:right w:w="72" w:type="dxa"/>
            </w:tcMar>
          </w:tcPr>
          <w:p w14:paraId="07E6ED30" w14:textId="77777777" w:rsidR="00E802E0" w:rsidRPr="007D1EDC" w:rsidRDefault="00E802E0" w:rsidP="00E802E0">
            <w:pPr>
              <w:rPr>
                <w:rFonts w:ascii="Arial Narrow" w:eastAsia="Calibri" w:hAnsi="Arial Narrow"/>
                <w:sz w:val="20"/>
              </w:rPr>
            </w:pPr>
            <w:r w:rsidRPr="007D1EDC">
              <w:rPr>
                <w:rFonts w:ascii="Arial Narrow" w:eastAsia="Calibri" w:hAnsi="Arial Narrow"/>
                <w:sz w:val="20"/>
              </w:rPr>
              <w:t>Nr.</w:t>
            </w:r>
          </w:p>
        </w:tc>
        <w:tc>
          <w:tcPr>
            <w:tcW w:w="1265" w:type="pct"/>
            <w:shd w:val="clear" w:color="auto" w:fill="365F91"/>
            <w:tcMar>
              <w:left w:w="72" w:type="dxa"/>
              <w:right w:w="72" w:type="dxa"/>
            </w:tcMar>
          </w:tcPr>
          <w:p w14:paraId="412602C9" w14:textId="2403F95F" w:rsidR="00E802E0" w:rsidRPr="00E802E0" w:rsidRDefault="00E802E0" w:rsidP="00E802E0">
            <w:pPr>
              <w:widowControl w:val="0"/>
              <w:suppressAutoHyphens/>
              <w:autoSpaceDE w:val="0"/>
              <w:autoSpaceDN w:val="0"/>
              <w:spacing w:before="60" w:after="60"/>
              <w:rPr>
                <w:rFonts w:ascii="Arial Narrow" w:eastAsia="Calibri" w:hAnsi="Arial Narrow" w:cs="Calibri"/>
                <w:b/>
                <w:color w:val="FFFFFF"/>
                <w:sz w:val="20"/>
                <w:szCs w:val="20"/>
              </w:rPr>
            </w:pPr>
            <w:r w:rsidRPr="00E802E0">
              <w:rPr>
                <w:rFonts w:ascii="Arial Narrow" w:eastAsia="Calibri" w:hAnsi="Arial Narrow" w:cs="Calibri"/>
                <w:b/>
                <w:color w:val="FFFFFF"/>
                <w:sz w:val="20"/>
                <w:szCs w:val="20"/>
              </w:rPr>
              <w:t>Aktiviteti</w:t>
            </w:r>
          </w:p>
        </w:tc>
        <w:tc>
          <w:tcPr>
            <w:tcW w:w="462" w:type="pct"/>
            <w:shd w:val="clear" w:color="auto" w:fill="365F91"/>
            <w:tcMar>
              <w:left w:w="72" w:type="dxa"/>
              <w:right w:w="72" w:type="dxa"/>
            </w:tcMar>
          </w:tcPr>
          <w:p w14:paraId="6A45A345" w14:textId="72ADB575" w:rsidR="00E802E0" w:rsidRPr="00E802E0" w:rsidRDefault="00E802E0" w:rsidP="00E802E0">
            <w:pPr>
              <w:widowControl w:val="0"/>
              <w:suppressAutoHyphens/>
              <w:autoSpaceDE w:val="0"/>
              <w:autoSpaceDN w:val="0"/>
              <w:spacing w:before="60" w:after="60"/>
              <w:jc w:val="center"/>
              <w:rPr>
                <w:rFonts w:ascii="Arial Narrow" w:eastAsia="Calibri" w:hAnsi="Arial Narrow" w:cs="Calibri"/>
                <w:b/>
                <w:color w:val="FFFFFF"/>
                <w:sz w:val="20"/>
                <w:szCs w:val="20"/>
              </w:rPr>
            </w:pPr>
            <w:r w:rsidRPr="00E802E0">
              <w:rPr>
                <w:rFonts w:ascii="Arial Narrow" w:eastAsia="Calibri" w:hAnsi="Arial Narrow" w:cs="Calibri"/>
                <w:b/>
                <w:color w:val="FFFFFF"/>
                <w:sz w:val="20"/>
                <w:szCs w:val="20"/>
              </w:rPr>
              <w:t>Afati kohor</w:t>
            </w:r>
          </w:p>
        </w:tc>
        <w:tc>
          <w:tcPr>
            <w:tcW w:w="419" w:type="pct"/>
            <w:shd w:val="clear" w:color="auto" w:fill="365F91"/>
            <w:tcMar>
              <w:left w:w="72" w:type="dxa"/>
              <w:right w:w="72" w:type="dxa"/>
            </w:tcMar>
          </w:tcPr>
          <w:p w14:paraId="0C958E7F" w14:textId="4D5D2593" w:rsidR="00E802E0" w:rsidRPr="00E802E0" w:rsidRDefault="00E802E0" w:rsidP="00E802E0">
            <w:pPr>
              <w:widowControl w:val="0"/>
              <w:suppressAutoHyphens/>
              <w:autoSpaceDE w:val="0"/>
              <w:autoSpaceDN w:val="0"/>
              <w:spacing w:before="60" w:after="60"/>
              <w:jc w:val="center"/>
              <w:rPr>
                <w:rFonts w:ascii="Arial Narrow" w:eastAsia="Calibri" w:hAnsi="Arial Narrow" w:cs="Calibri"/>
                <w:b/>
                <w:color w:val="FFFFFF"/>
                <w:sz w:val="20"/>
                <w:szCs w:val="20"/>
              </w:rPr>
            </w:pPr>
            <w:r w:rsidRPr="00E802E0">
              <w:rPr>
                <w:rFonts w:ascii="Arial Narrow" w:eastAsia="Calibri" w:hAnsi="Arial Narrow" w:cs="Calibri"/>
                <w:b/>
                <w:color w:val="FFFFFF"/>
                <w:sz w:val="20"/>
                <w:szCs w:val="20"/>
              </w:rPr>
              <w:t>Buxheti, euro</w:t>
            </w:r>
          </w:p>
        </w:tc>
        <w:tc>
          <w:tcPr>
            <w:tcW w:w="1137" w:type="pct"/>
            <w:shd w:val="clear" w:color="auto" w:fill="365F91"/>
            <w:tcMar>
              <w:left w:w="72" w:type="dxa"/>
              <w:right w:w="72" w:type="dxa"/>
            </w:tcMar>
          </w:tcPr>
          <w:p w14:paraId="60885E59" w14:textId="432A7438" w:rsidR="00E802E0" w:rsidRPr="00E802E0" w:rsidRDefault="00E802E0" w:rsidP="00E802E0">
            <w:pPr>
              <w:widowControl w:val="0"/>
              <w:suppressAutoHyphens/>
              <w:autoSpaceDE w:val="0"/>
              <w:autoSpaceDN w:val="0"/>
              <w:spacing w:before="60" w:after="60"/>
              <w:jc w:val="center"/>
              <w:rPr>
                <w:rFonts w:ascii="Arial Narrow" w:eastAsia="Calibri" w:hAnsi="Arial Narrow" w:cs="Calibri"/>
                <w:b/>
                <w:color w:val="FFFFFF"/>
                <w:sz w:val="20"/>
                <w:szCs w:val="20"/>
              </w:rPr>
            </w:pPr>
            <w:r w:rsidRPr="00E802E0">
              <w:rPr>
                <w:rFonts w:ascii="Arial Narrow" w:eastAsia="Calibri" w:hAnsi="Arial Narrow" w:cs="Calibri"/>
                <w:b/>
                <w:color w:val="FFFFFF"/>
                <w:sz w:val="20"/>
                <w:szCs w:val="20"/>
              </w:rPr>
              <w:t>Burimi i financimit</w:t>
            </w:r>
          </w:p>
        </w:tc>
        <w:tc>
          <w:tcPr>
            <w:tcW w:w="708" w:type="pct"/>
            <w:shd w:val="clear" w:color="auto" w:fill="365F91"/>
            <w:tcMar>
              <w:left w:w="72" w:type="dxa"/>
              <w:right w:w="72" w:type="dxa"/>
            </w:tcMar>
          </w:tcPr>
          <w:p w14:paraId="6A986FB8" w14:textId="394BD2FF" w:rsidR="00E802E0" w:rsidRPr="00E802E0" w:rsidRDefault="00E802E0" w:rsidP="00E802E0">
            <w:pPr>
              <w:widowControl w:val="0"/>
              <w:suppressAutoHyphens/>
              <w:autoSpaceDE w:val="0"/>
              <w:autoSpaceDN w:val="0"/>
              <w:spacing w:before="60" w:after="60"/>
              <w:jc w:val="center"/>
              <w:rPr>
                <w:rFonts w:ascii="Arial Narrow" w:eastAsia="Calibri" w:hAnsi="Arial Narrow" w:cs="Calibri"/>
                <w:b/>
                <w:color w:val="FFFFFF"/>
                <w:sz w:val="20"/>
                <w:szCs w:val="20"/>
              </w:rPr>
            </w:pPr>
            <w:r w:rsidRPr="00E802E0">
              <w:rPr>
                <w:rFonts w:ascii="Arial Narrow" w:eastAsia="Calibri" w:hAnsi="Arial Narrow" w:cs="Calibri"/>
                <w:b/>
                <w:color w:val="FFFFFF"/>
                <w:sz w:val="20"/>
                <w:szCs w:val="20"/>
              </w:rPr>
              <w:t>Përgjegjësia</w:t>
            </w:r>
          </w:p>
        </w:tc>
        <w:tc>
          <w:tcPr>
            <w:tcW w:w="782" w:type="pct"/>
            <w:shd w:val="clear" w:color="auto" w:fill="365F91"/>
            <w:tcMar>
              <w:left w:w="72" w:type="dxa"/>
              <w:right w:w="72" w:type="dxa"/>
            </w:tcMar>
          </w:tcPr>
          <w:p w14:paraId="7502DB8E" w14:textId="34E2F466" w:rsidR="00E802E0" w:rsidRPr="00E802E0" w:rsidRDefault="00E802E0" w:rsidP="00E802E0">
            <w:pPr>
              <w:widowControl w:val="0"/>
              <w:suppressAutoHyphens/>
              <w:autoSpaceDE w:val="0"/>
              <w:autoSpaceDN w:val="0"/>
              <w:spacing w:before="60" w:after="60"/>
              <w:jc w:val="center"/>
              <w:rPr>
                <w:rFonts w:ascii="Arial Narrow" w:eastAsia="Calibri" w:hAnsi="Arial Narrow" w:cs="Calibri"/>
                <w:b/>
                <w:color w:val="FFFFFF"/>
                <w:sz w:val="20"/>
                <w:szCs w:val="20"/>
              </w:rPr>
            </w:pPr>
            <w:r w:rsidRPr="00E802E0">
              <w:rPr>
                <w:rFonts w:ascii="Arial Narrow" w:eastAsia="Calibri" w:hAnsi="Arial Narrow" w:cs="Calibri"/>
                <w:b/>
                <w:color w:val="FFFFFF"/>
                <w:sz w:val="20"/>
                <w:szCs w:val="20"/>
              </w:rPr>
              <w:t>Treguesi/shtyllat e performancës</w:t>
            </w:r>
          </w:p>
        </w:tc>
      </w:tr>
      <w:tr w:rsidR="00E802E0" w:rsidRPr="007D1EDC" w14:paraId="1A8F4FD4" w14:textId="77777777" w:rsidTr="00E802E0">
        <w:tc>
          <w:tcPr>
            <w:tcW w:w="227" w:type="pct"/>
            <w:shd w:val="clear" w:color="auto" w:fill="C1E4F5"/>
            <w:tcMar>
              <w:left w:w="72" w:type="dxa"/>
              <w:right w:w="72" w:type="dxa"/>
            </w:tcMar>
          </w:tcPr>
          <w:p w14:paraId="69641FC0"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1.</w:t>
            </w:r>
          </w:p>
        </w:tc>
        <w:tc>
          <w:tcPr>
            <w:tcW w:w="1265" w:type="pct"/>
            <w:shd w:val="clear" w:color="auto" w:fill="C1E4F5"/>
            <w:tcMar>
              <w:left w:w="72" w:type="dxa"/>
              <w:right w:w="72" w:type="dxa"/>
            </w:tcMar>
          </w:tcPr>
          <w:p w14:paraId="4122FD30" w14:textId="7EC66270"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Prioritet - Parandalimi i Mbet</w:t>
            </w:r>
            <w:r w:rsidR="00E802E0">
              <w:rPr>
                <w:rFonts w:ascii="Arial Narrow" w:eastAsia="Calibri" w:hAnsi="Arial Narrow" w:cs="Calibri"/>
                <w:b/>
                <w:bCs/>
                <w:sz w:val="20"/>
                <w:szCs w:val="20"/>
              </w:rPr>
              <w:t>urinave</w:t>
            </w:r>
          </w:p>
        </w:tc>
        <w:tc>
          <w:tcPr>
            <w:tcW w:w="462" w:type="pct"/>
            <w:shd w:val="clear" w:color="auto" w:fill="C1E4F5"/>
            <w:tcMar>
              <w:left w:w="72" w:type="dxa"/>
              <w:right w:w="72" w:type="dxa"/>
            </w:tcMar>
          </w:tcPr>
          <w:p w14:paraId="7657FE9D"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p>
        </w:tc>
        <w:tc>
          <w:tcPr>
            <w:tcW w:w="419" w:type="pct"/>
            <w:shd w:val="clear" w:color="auto" w:fill="C1E4F5"/>
            <w:tcMar>
              <w:left w:w="72" w:type="dxa"/>
              <w:right w:w="72" w:type="dxa"/>
            </w:tcMar>
          </w:tcPr>
          <w:p w14:paraId="28CFC79F"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p>
        </w:tc>
        <w:tc>
          <w:tcPr>
            <w:tcW w:w="1137" w:type="pct"/>
            <w:shd w:val="clear" w:color="auto" w:fill="C1E4F5"/>
            <w:tcMar>
              <w:left w:w="72" w:type="dxa"/>
              <w:right w:w="72" w:type="dxa"/>
            </w:tcMar>
          </w:tcPr>
          <w:p w14:paraId="4629D888"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p>
        </w:tc>
        <w:tc>
          <w:tcPr>
            <w:tcW w:w="708" w:type="pct"/>
            <w:shd w:val="clear" w:color="auto" w:fill="C1E4F5"/>
            <w:tcMar>
              <w:left w:w="72" w:type="dxa"/>
              <w:right w:w="72" w:type="dxa"/>
            </w:tcMar>
          </w:tcPr>
          <w:p w14:paraId="4E64B4F8"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p>
        </w:tc>
        <w:tc>
          <w:tcPr>
            <w:tcW w:w="782" w:type="pct"/>
            <w:shd w:val="clear" w:color="auto" w:fill="C1E4F5"/>
            <w:tcMar>
              <w:left w:w="72" w:type="dxa"/>
              <w:right w:w="72" w:type="dxa"/>
            </w:tcMar>
          </w:tcPr>
          <w:p w14:paraId="087F6696"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p>
        </w:tc>
      </w:tr>
      <w:tr w:rsidR="00E802E0" w:rsidRPr="007D1EDC" w14:paraId="161A9BD2" w14:textId="77777777" w:rsidTr="00E802E0">
        <w:tc>
          <w:tcPr>
            <w:tcW w:w="227" w:type="pct"/>
            <w:tcMar>
              <w:left w:w="72" w:type="dxa"/>
              <w:right w:w="72" w:type="dxa"/>
            </w:tcMar>
          </w:tcPr>
          <w:p w14:paraId="06F6287F" w14:textId="77777777" w:rsidR="00E802E0" w:rsidRPr="007D1EDC"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7D1EDC">
              <w:rPr>
                <w:rFonts w:ascii="Arial Narrow" w:eastAsia="Aptos" w:hAnsi="Arial Narrow" w:cs="Arial"/>
                <w:bCs/>
                <w:sz w:val="20"/>
                <w:szCs w:val="20"/>
                <w:lang w:eastAsia="uk-UA"/>
              </w:rPr>
              <w:t>1.1</w:t>
            </w:r>
          </w:p>
        </w:tc>
        <w:tc>
          <w:tcPr>
            <w:tcW w:w="1265" w:type="pct"/>
            <w:tcMar>
              <w:left w:w="72" w:type="dxa"/>
              <w:right w:w="72" w:type="dxa"/>
            </w:tcMar>
          </w:tcPr>
          <w:p w14:paraId="2C7C579F" w14:textId="2077BD5D"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lang w:val="bg-BG"/>
              </w:rPr>
            </w:pPr>
            <w:r w:rsidRPr="00E802E0">
              <w:rPr>
                <w:rFonts w:ascii="Arial Narrow" w:eastAsia="Aptos" w:hAnsi="Arial Narrow" w:cs="Arial"/>
                <w:bCs/>
                <w:sz w:val="20"/>
                <w:szCs w:val="20"/>
                <w:lang w:eastAsia="uk-UA"/>
              </w:rPr>
              <w:t>Zhvillimi dhe zbatimi i programeve të kompostimit shtëpiak / shpërndarja e kompostuesve shtëpiak tek amvisëritë</w:t>
            </w:r>
          </w:p>
        </w:tc>
        <w:tc>
          <w:tcPr>
            <w:tcW w:w="462" w:type="pct"/>
            <w:tcMar>
              <w:left w:w="72" w:type="dxa"/>
              <w:right w:w="72" w:type="dxa"/>
            </w:tcMar>
          </w:tcPr>
          <w:p w14:paraId="393A2D2D" w14:textId="531A4EA0"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Çdo vit</w:t>
            </w:r>
          </w:p>
        </w:tc>
        <w:tc>
          <w:tcPr>
            <w:tcW w:w="419" w:type="pct"/>
            <w:tcMar>
              <w:left w:w="72" w:type="dxa"/>
              <w:right w:w="72" w:type="dxa"/>
            </w:tcMar>
          </w:tcPr>
          <w:p w14:paraId="07E3FCF4" w14:textId="4FA851CB"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Në kuadër të buxheteve të alokuara në planet komunale për menaxhimin e mbeturinave</w:t>
            </w:r>
          </w:p>
        </w:tc>
        <w:tc>
          <w:tcPr>
            <w:tcW w:w="1137" w:type="pct"/>
            <w:tcMar>
              <w:left w:w="72" w:type="dxa"/>
              <w:right w:w="72" w:type="dxa"/>
            </w:tcMar>
          </w:tcPr>
          <w:p w14:paraId="506BDBCE" w14:textId="25896518"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Buxhetet e komunave</w:t>
            </w:r>
          </w:p>
        </w:tc>
        <w:tc>
          <w:tcPr>
            <w:tcW w:w="708" w:type="pct"/>
            <w:tcMar>
              <w:left w:w="72" w:type="dxa"/>
              <w:right w:w="72" w:type="dxa"/>
            </w:tcMar>
          </w:tcPr>
          <w:p w14:paraId="54DC4C65" w14:textId="235F434C"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Të gjitha komunat</w:t>
            </w:r>
          </w:p>
        </w:tc>
        <w:tc>
          <w:tcPr>
            <w:tcW w:w="782" w:type="pct"/>
            <w:tcMar>
              <w:left w:w="72" w:type="dxa"/>
              <w:right w:w="72" w:type="dxa"/>
            </w:tcMar>
          </w:tcPr>
          <w:p w14:paraId="226BA160" w14:textId="2073F186"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Numri i familjeve që zbatojnë kompostimin shtëpiak</w:t>
            </w:r>
          </w:p>
        </w:tc>
      </w:tr>
      <w:tr w:rsidR="00E802E0" w:rsidRPr="007D1EDC" w14:paraId="2260CF2F" w14:textId="77777777" w:rsidTr="00E802E0">
        <w:tc>
          <w:tcPr>
            <w:tcW w:w="227" w:type="pct"/>
            <w:tcMar>
              <w:left w:w="72" w:type="dxa"/>
              <w:right w:w="72" w:type="dxa"/>
            </w:tcMar>
          </w:tcPr>
          <w:p w14:paraId="15D886C2" w14:textId="77777777" w:rsidR="00E802E0" w:rsidRPr="007D1EDC"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7D1EDC">
              <w:rPr>
                <w:rFonts w:ascii="Arial Narrow" w:eastAsia="Aptos" w:hAnsi="Arial Narrow" w:cs="Arial"/>
                <w:bCs/>
                <w:sz w:val="20"/>
                <w:szCs w:val="20"/>
                <w:lang w:eastAsia="uk-UA"/>
              </w:rPr>
              <w:t>1.2</w:t>
            </w:r>
          </w:p>
        </w:tc>
        <w:tc>
          <w:tcPr>
            <w:tcW w:w="1265" w:type="pct"/>
            <w:tcMar>
              <w:left w:w="72" w:type="dxa"/>
              <w:right w:w="72" w:type="dxa"/>
            </w:tcMar>
          </w:tcPr>
          <w:p w14:paraId="2EB66E2F" w14:textId="3A3E4790"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Futja e “kritereve të gjelbra” në procedurat e prokurimit publik (blerja e mallrave dhe e punëve nga autoritetet publike)</w:t>
            </w:r>
          </w:p>
        </w:tc>
        <w:tc>
          <w:tcPr>
            <w:tcW w:w="462" w:type="pct"/>
            <w:tcMar>
              <w:left w:w="72" w:type="dxa"/>
              <w:right w:w="72" w:type="dxa"/>
            </w:tcMar>
          </w:tcPr>
          <w:p w14:paraId="27ADD346" w14:textId="3DC406AC"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Calibri" w:hAnsi="Arial Narrow" w:cs="Calibri"/>
                <w:sz w:val="20"/>
                <w:szCs w:val="20"/>
              </w:rPr>
              <w:t>Çdo vit</w:t>
            </w:r>
          </w:p>
        </w:tc>
        <w:tc>
          <w:tcPr>
            <w:tcW w:w="419" w:type="pct"/>
            <w:tcMar>
              <w:left w:w="72" w:type="dxa"/>
              <w:right w:w="72" w:type="dxa"/>
            </w:tcMar>
          </w:tcPr>
          <w:p w14:paraId="528EE1DF" w14:textId="65A569E9"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w:t>
            </w:r>
          </w:p>
        </w:tc>
        <w:tc>
          <w:tcPr>
            <w:tcW w:w="1137" w:type="pct"/>
            <w:tcMar>
              <w:left w:w="72" w:type="dxa"/>
              <w:right w:w="72" w:type="dxa"/>
            </w:tcMar>
          </w:tcPr>
          <w:p w14:paraId="4E7BFFC1" w14:textId="5ACFFF5C"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w:t>
            </w:r>
          </w:p>
        </w:tc>
        <w:tc>
          <w:tcPr>
            <w:tcW w:w="708" w:type="pct"/>
            <w:tcMar>
              <w:left w:w="72" w:type="dxa"/>
              <w:right w:w="72" w:type="dxa"/>
            </w:tcMar>
          </w:tcPr>
          <w:p w14:paraId="060F5D7E" w14:textId="065A2093"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highlight w:val="yellow"/>
              </w:rPr>
            </w:pPr>
            <w:r w:rsidRPr="00E802E0">
              <w:rPr>
                <w:rFonts w:ascii="Arial Narrow" w:eastAsia="Aptos" w:hAnsi="Arial Narrow" w:cs="Arial"/>
                <w:bCs/>
                <w:sz w:val="20"/>
                <w:szCs w:val="20"/>
                <w:lang w:eastAsia="uk-UA"/>
              </w:rPr>
              <w:t>Të gjitha komunat</w:t>
            </w:r>
          </w:p>
        </w:tc>
        <w:tc>
          <w:tcPr>
            <w:tcW w:w="782" w:type="pct"/>
            <w:tcMar>
              <w:left w:w="72" w:type="dxa"/>
              <w:right w:w="72" w:type="dxa"/>
            </w:tcMar>
          </w:tcPr>
          <w:p w14:paraId="16825E1A" w14:textId="05A5B196"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Numri i procedurave të prokurimit publik duke përfshirë “kriteret e gjelbra”</w:t>
            </w:r>
          </w:p>
        </w:tc>
      </w:tr>
      <w:tr w:rsidR="00E802E0" w:rsidRPr="007D1EDC" w14:paraId="599146C9" w14:textId="77777777" w:rsidTr="00E802E0">
        <w:tc>
          <w:tcPr>
            <w:tcW w:w="227" w:type="pct"/>
            <w:tcMar>
              <w:left w:w="72" w:type="dxa"/>
              <w:right w:w="72" w:type="dxa"/>
            </w:tcMar>
          </w:tcPr>
          <w:p w14:paraId="76F8F957" w14:textId="77777777" w:rsidR="00E802E0" w:rsidRPr="007D1EDC"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7D1EDC">
              <w:rPr>
                <w:rFonts w:ascii="Arial Narrow" w:eastAsia="Aptos" w:hAnsi="Arial Narrow" w:cs="Arial"/>
                <w:bCs/>
                <w:sz w:val="20"/>
                <w:szCs w:val="20"/>
                <w:lang w:eastAsia="uk-UA"/>
              </w:rPr>
              <w:t>1.3</w:t>
            </w:r>
          </w:p>
        </w:tc>
        <w:tc>
          <w:tcPr>
            <w:tcW w:w="1265" w:type="pct"/>
            <w:tcMar>
              <w:left w:w="72" w:type="dxa"/>
              <w:right w:w="72" w:type="dxa"/>
            </w:tcMar>
          </w:tcPr>
          <w:p w14:paraId="48827272" w14:textId="00699969"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Mbështetja e bizneseve lokale në zbatimin e masave për parandalimin e mbeturinave ushqimore</w:t>
            </w:r>
          </w:p>
        </w:tc>
        <w:tc>
          <w:tcPr>
            <w:tcW w:w="462" w:type="pct"/>
            <w:tcMar>
              <w:left w:w="72" w:type="dxa"/>
              <w:right w:w="72" w:type="dxa"/>
            </w:tcMar>
          </w:tcPr>
          <w:p w14:paraId="4F6D525C" w14:textId="1AD73033"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Çdo vit</w:t>
            </w:r>
          </w:p>
        </w:tc>
        <w:tc>
          <w:tcPr>
            <w:tcW w:w="419" w:type="pct"/>
            <w:tcMar>
              <w:left w:w="72" w:type="dxa"/>
              <w:right w:w="72" w:type="dxa"/>
            </w:tcMar>
          </w:tcPr>
          <w:p w14:paraId="2FFD702F" w14:textId="39724E30"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Çmime për masat e zbatuara me sukses</w:t>
            </w:r>
          </w:p>
        </w:tc>
        <w:tc>
          <w:tcPr>
            <w:tcW w:w="1137" w:type="pct"/>
            <w:tcMar>
              <w:left w:w="72" w:type="dxa"/>
              <w:right w:w="72" w:type="dxa"/>
            </w:tcMar>
          </w:tcPr>
          <w:p w14:paraId="28C58FF8" w14:textId="1C48279B"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Buxhetet e komunave</w:t>
            </w:r>
          </w:p>
        </w:tc>
        <w:tc>
          <w:tcPr>
            <w:tcW w:w="708" w:type="pct"/>
            <w:tcMar>
              <w:left w:w="72" w:type="dxa"/>
              <w:right w:w="72" w:type="dxa"/>
            </w:tcMar>
          </w:tcPr>
          <w:p w14:paraId="3E30EF37" w14:textId="5EA9AAC2"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Komunatë, OJQ-të</w:t>
            </w:r>
          </w:p>
        </w:tc>
        <w:tc>
          <w:tcPr>
            <w:tcW w:w="782" w:type="pct"/>
            <w:tcMar>
              <w:left w:w="72" w:type="dxa"/>
              <w:right w:w="72" w:type="dxa"/>
            </w:tcMar>
          </w:tcPr>
          <w:p w14:paraId="7655EDD0" w14:textId="2224BC49"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Numri i bizneseve që zbatojnë nisma për reduktimin e mbeturinave ushqimore</w:t>
            </w:r>
          </w:p>
        </w:tc>
      </w:tr>
      <w:tr w:rsidR="00E802E0" w:rsidRPr="007D1EDC" w14:paraId="207BFA14" w14:textId="77777777" w:rsidTr="00E802E0">
        <w:trPr>
          <w:trHeight w:val="215"/>
        </w:trPr>
        <w:tc>
          <w:tcPr>
            <w:tcW w:w="227" w:type="pct"/>
            <w:tcMar>
              <w:left w:w="72" w:type="dxa"/>
              <w:right w:w="72" w:type="dxa"/>
            </w:tcMar>
          </w:tcPr>
          <w:p w14:paraId="35558189" w14:textId="77777777" w:rsidR="00E802E0" w:rsidRPr="007D1EDC"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7D1EDC">
              <w:rPr>
                <w:rFonts w:ascii="Arial Narrow" w:eastAsia="Aptos" w:hAnsi="Arial Narrow" w:cs="Arial"/>
                <w:bCs/>
                <w:sz w:val="20"/>
                <w:szCs w:val="20"/>
                <w:lang w:eastAsia="uk-UA"/>
              </w:rPr>
              <w:t>1.4</w:t>
            </w:r>
          </w:p>
        </w:tc>
        <w:tc>
          <w:tcPr>
            <w:tcW w:w="1265" w:type="pct"/>
            <w:tcMar>
              <w:left w:w="72" w:type="dxa"/>
              <w:right w:w="72" w:type="dxa"/>
            </w:tcMar>
          </w:tcPr>
          <w:p w14:paraId="2C57298E" w14:textId="27345496"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sz w:val="20"/>
                <w:szCs w:val="20"/>
              </w:rPr>
            </w:pPr>
            <w:r w:rsidRPr="00E802E0">
              <w:rPr>
                <w:rFonts w:ascii="Arial Narrow" w:eastAsia="Aptos" w:hAnsi="Arial Narrow" w:cs="Arial"/>
                <w:bCs/>
                <w:sz w:val="20"/>
                <w:szCs w:val="20"/>
                <w:lang w:eastAsia="uk-UA"/>
              </w:rPr>
              <w:t>Pjesëmarrja në nismat kombëtare për reduktimin e plastikës njëpërdorimshe</w:t>
            </w:r>
          </w:p>
        </w:tc>
        <w:tc>
          <w:tcPr>
            <w:tcW w:w="462" w:type="pct"/>
            <w:tcMar>
              <w:left w:w="72" w:type="dxa"/>
              <w:right w:w="72" w:type="dxa"/>
            </w:tcMar>
          </w:tcPr>
          <w:p w14:paraId="26E1FCB0" w14:textId="48172DDE"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sz w:val="20"/>
                <w:szCs w:val="20"/>
              </w:rPr>
            </w:pPr>
            <w:r w:rsidRPr="00E802E0">
              <w:rPr>
                <w:rFonts w:ascii="Arial Narrow" w:eastAsia="Aptos" w:hAnsi="Arial Narrow" w:cs="Arial"/>
                <w:bCs/>
                <w:sz w:val="20"/>
                <w:szCs w:val="20"/>
                <w:lang w:eastAsia="uk-UA"/>
              </w:rPr>
              <w:t>Çdo vit</w:t>
            </w:r>
          </w:p>
        </w:tc>
        <w:tc>
          <w:tcPr>
            <w:tcW w:w="419" w:type="pct"/>
            <w:tcMar>
              <w:left w:w="72" w:type="dxa"/>
              <w:right w:w="72" w:type="dxa"/>
            </w:tcMar>
          </w:tcPr>
          <w:p w14:paraId="46A7A615" w14:textId="1AB49F9F"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sz w:val="20"/>
                <w:szCs w:val="20"/>
              </w:rPr>
            </w:pPr>
            <w:r w:rsidRPr="00E802E0">
              <w:rPr>
                <w:rFonts w:ascii="Arial Narrow" w:eastAsia="Aptos" w:hAnsi="Arial Narrow" w:cs="Arial"/>
                <w:bCs/>
                <w:sz w:val="20"/>
                <w:szCs w:val="20"/>
                <w:lang w:eastAsia="uk-UA"/>
              </w:rPr>
              <w:t>Çmime për masat e zbatuara me sukses</w:t>
            </w:r>
          </w:p>
        </w:tc>
        <w:tc>
          <w:tcPr>
            <w:tcW w:w="1137" w:type="pct"/>
            <w:tcMar>
              <w:left w:w="72" w:type="dxa"/>
              <w:right w:w="72" w:type="dxa"/>
            </w:tcMar>
          </w:tcPr>
          <w:p w14:paraId="289B4BAC" w14:textId="58B23423"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sz w:val="20"/>
                <w:szCs w:val="20"/>
              </w:rPr>
            </w:pPr>
            <w:r w:rsidRPr="00E802E0">
              <w:rPr>
                <w:rFonts w:ascii="Arial Narrow" w:eastAsia="Aptos" w:hAnsi="Arial Narrow" w:cs="Arial"/>
                <w:bCs/>
                <w:sz w:val="20"/>
                <w:szCs w:val="20"/>
                <w:lang w:eastAsia="uk-UA"/>
              </w:rPr>
              <w:t>Buxhetet e komunave</w:t>
            </w:r>
          </w:p>
        </w:tc>
        <w:tc>
          <w:tcPr>
            <w:tcW w:w="708" w:type="pct"/>
            <w:tcMar>
              <w:left w:w="72" w:type="dxa"/>
              <w:right w:w="72" w:type="dxa"/>
            </w:tcMar>
          </w:tcPr>
          <w:p w14:paraId="68B2C95E" w14:textId="2287CEC2"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sz w:val="20"/>
                <w:szCs w:val="20"/>
              </w:rPr>
            </w:pPr>
            <w:r w:rsidRPr="00E802E0">
              <w:rPr>
                <w:rFonts w:ascii="Arial Narrow" w:eastAsia="Aptos" w:hAnsi="Arial Narrow" w:cs="Arial"/>
                <w:bCs/>
                <w:sz w:val="20"/>
                <w:szCs w:val="20"/>
                <w:lang w:eastAsia="uk-UA"/>
              </w:rPr>
              <w:t>Komunatë, OJQ-të</w:t>
            </w:r>
          </w:p>
        </w:tc>
        <w:tc>
          <w:tcPr>
            <w:tcW w:w="782" w:type="pct"/>
            <w:tcMar>
              <w:left w:w="72" w:type="dxa"/>
              <w:right w:w="72" w:type="dxa"/>
            </w:tcMar>
          </w:tcPr>
          <w:p w14:paraId="2DE40AB8" w14:textId="40079DA8"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sz w:val="20"/>
                <w:szCs w:val="20"/>
              </w:rPr>
            </w:pPr>
            <w:r w:rsidRPr="00E802E0">
              <w:rPr>
                <w:rFonts w:ascii="Arial Narrow" w:eastAsia="Aptos" w:hAnsi="Arial Narrow" w:cs="Arial"/>
                <w:bCs/>
                <w:sz w:val="20"/>
                <w:szCs w:val="20"/>
                <w:lang w:eastAsia="uk-UA"/>
              </w:rPr>
              <w:t>Numri i iniciativave që zbatojnë reduktimin e plastikës njëpërdorimshe</w:t>
            </w:r>
          </w:p>
        </w:tc>
      </w:tr>
      <w:tr w:rsidR="00E802E0" w:rsidRPr="007D1EDC" w14:paraId="287FCE15" w14:textId="77777777" w:rsidTr="00E802E0">
        <w:trPr>
          <w:trHeight w:val="215"/>
        </w:trPr>
        <w:tc>
          <w:tcPr>
            <w:tcW w:w="227" w:type="pct"/>
            <w:shd w:val="clear" w:color="auto" w:fill="C1E4F5"/>
            <w:tcMar>
              <w:left w:w="72" w:type="dxa"/>
              <w:right w:w="72" w:type="dxa"/>
            </w:tcMar>
          </w:tcPr>
          <w:p w14:paraId="4F35A4CF"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2.</w:t>
            </w:r>
          </w:p>
        </w:tc>
        <w:tc>
          <w:tcPr>
            <w:tcW w:w="1265" w:type="pct"/>
            <w:shd w:val="clear" w:color="auto" w:fill="C1E4F5"/>
            <w:tcMar>
              <w:left w:w="72" w:type="dxa"/>
              <w:right w:w="72" w:type="dxa"/>
            </w:tcMar>
          </w:tcPr>
          <w:p w14:paraId="58008758" w14:textId="703F7136" w:rsidR="007D1EDC" w:rsidRPr="007D1EDC" w:rsidRDefault="007D1EDC" w:rsidP="007D1EDC">
            <w:pPr>
              <w:widowControl w:val="0"/>
              <w:suppressAutoHyphens/>
              <w:autoSpaceDE w:val="0"/>
              <w:autoSpaceDN w:val="0"/>
              <w:spacing w:before="60" w:after="60"/>
              <w:ind w:right="123"/>
              <w:rPr>
                <w:rFonts w:ascii="Arial Narrow" w:eastAsia="Aptos" w:hAnsi="Arial Narrow" w:cs="Arial"/>
                <w:bCs/>
                <w:sz w:val="20"/>
                <w:szCs w:val="20"/>
                <w:lang w:eastAsia="uk-UA"/>
              </w:rPr>
            </w:pPr>
            <w:r w:rsidRPr="007D1EDC">
              <w:rPr>
                <w:rFonts w:ascii="Arial Narrow" w:eastAsia="Calibri" w:hAnsi="Arial Narrow" w:cs="Calibri"/>
                <w:b/>
                <w:bCs/>
                <w:sz w:val="20"/>
                <w:szCs w:val="20"/>
              </w:rPr>
              <w:t xml:space="preserve">Prioritet </w:t>
            </w:r>
            <w:r w:rsidR="00E802E0">
              <w:rPr>
                <w:rFonts w:ascii="Arial Narrow" w:eastAsia="Calibri" w:hAnsi="Arial Narrow" w:cs="Calibri"/>
                <w:b/>
                <w:bCs/>
                <w:sz w:val="20"/>
                <w:szCs w:val="20"/>
              </w:rPr>
              <w:t>–</w:t>
            </w:r>
            <w:r w:rsidRPr="007D1EDC">
              <w:rPr>
                <w:rFonts w:ascii="Arial Narrow" w:eastAsia="Calibri" w:hAnsi="Arial Narrow" w:cs="Calibri"/>
                <w:b/>
                <w:bCs/>
                <w:sz w:val="20"/>
                <w:szCs w:val="20"/>
              </w:rPr>
              <w:t xml:space="preserve"> </w:t>
            </w:r>
            <w:r w:rsidR="00E802E0">
              <w:rPr>
                <w:rFonts w:ascii="Arial Narrow" w:eastAsia="Calibri" w:hAnsi="Arial Narrow" w:cs="Calibri"/>
                <w:b/>
                <w:bCs/>
                <w:sz w:val="20"/>
                <w:szCs w:val="20"/>
              </w:rPr>
              <w:t xml:space="preserve">Deponimi </w:t>
            </w:r>
            <w:r w:rsidRPr="007D1EDC">
              <w:rPr>
                <w:rFonts w:ascii="Arial Narrow" w:eastAsia="Calibri" w:hAnsi="Arial Narrow" w:cs="Calibri"/>
                <w:b/>
                <w:bCs/>
                <w:sz w:val="20"/>
                <w:szCs w:val="20"/>
              </w:rPr>
              <w:t>i mbeturinave</w:t>
            </w:r>
          </w:p>
        </w:tc>
        <w:tc>
          <w:tcPr>
            <w:tcW w:w="462" w:type="pct"/>
            <w:shd w:val="clear" w:color="auto" w:fill="C1E4F5"/>
            <w:tcMar>
              <w:left w:w="72" w:type="dxa"/>
              <w:right w:w="72" w:type="dxa"/>
            </w:tcMar>
          </w:tcPr>
          <w:p w14:paraId="27551542"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bCs/>
                <w:sz w:val="20"/>
                <w:szCs w:val="20"/>
                <w:lang w:eastAsia="uk-UA"/>
              </w:rPr>
            </w:pPr>
          </w:p>
        </w:tc>
        <w:tc>
          <w:tcPr>
            <w:tcW w:w="419" w:type="pct"/>
            <w:shd w:val="clear" w:color="auto" w:fill="C1E4F5"/>
            <w:tcMar>
              <w:left w:w="72" w:type="dxa"/>
              <w:right w:w="72" w:type="dxa"/>
            </w:tcMar>
          </w:tcPr>
          <w:p w14:paraId="061D5A19"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bCs/>
                <w:sz w:val="20"/>
                <w:szCs w:val="20"/>
                <w:lang w:eastAsia="uk-UA"/>
              </w:rPr>
            </w:pPr>
          </w:p>
        </w:tc>
        <w:tc>
          <w:tcPr>
            <w:tcW w:w="1137" w:type="pct"/>
            <w:shd w:val="clear" w:color="auto" w:fill="C1E4F5"/>
            <w:tcMar>
              <w:left w:w="72" w:type="dxa"/>
              <w:right w:w="72" w:type="dxa"/>
            </w:tcMar>
          </w:tcPr>
          <w:p w14:paraId="2F1631BF"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bCs/>
                <w:sz w:val="20"/>
                <w:szCs w:val="20"/>
                <w:lang w:eastAsia="uk-UA"/>
              </w:rPr>
            </w:pPr>
          </w:p>
        </w:tc>
        <w:tc>
          <w:tcPr>
            <w:tcW w:w="708" w:type="pct"/>
            <w:shd w:val="clear" w:color="auto" w:fill="C1E4F5"/>
            <w:tcMar>
              <w:left w:w="72" w:type="dxa"/>
              <w:right w:w="72" w:type="dxa"/>
            </w:tcMar>
          </w:tcPr>
          <w:p w14:paraId="017F3CDD"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bCs/>
                <w:sz w:val="20"/>
                <w:szCs w:val="20"/>
                <w:lang w:eastAsia="uk-UA"/>
              </w:rPr>
            </w:pPr>
          </w:p>
        </w:tc>
        <w:tc>
          <w:tcPr>
            <w:tcW w:w="782" w:type="pct"/>
            <w:shd w:val="clear" w:color="auto" w:fill="C1E4F5"/>
            <w:tcMar>
              <w:left w:w="72" w:type="dxa"/>
              <w:right w:w="72" w:type="dxa"/>
            </w:tcMar>
          </w:tcPr>
          <w:p w14:paraId="094EA0E9"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bCs/>
                <w:sz w:val="20"/>
                <w:szCs w:val="20"/>
                <w:lang w:eastAsia="uk-UA"/>
              </w:rPr>
            </w:pPr>
          </w:p>
        </w:tc>
      </w:tr>
      <w:tr w:rsidR="00E802E0" w:rsidRPr="007D1EDC" w14:paraId="7510B251" w14:textId="77777777" w:rsidTr="00E802E0">
        <w:trPr>
          <w:trHeight w:val="215"/>
        </w:trPr>
        <w:tc>
          <w:tcPr>
            <w:tcW w:w="227" w:type="pct"/>
            <w:tcMar>
              <w:left w:w="72" w:type="dxa"/>
              <w:right w:w="72" w:type="dxa"/>
            </w:tcMar>
          </w:tcPr>
          <w:p w14:paraId="4A11CCE3" w14:textId="77777777" w:rsidR="00E802E0" w:rsidRPr="007D1EDC"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7D1EDC">
              <w:rPr>
                <w:rFonts w:ascii="Arial Narrow" w:eastAsia="Aptos" w:hAnsi="Arial Narrow" w:cs="Arial"/>
                <w:bCs/>
                <w:sz w:val="20"/>
                <w:szCs w:val="20"/>
                <w:lang w:eastAsia="uk-UA"/>
              </w:rPr>
              <w:t>2.1</w:t>
            </w:r>
          </w:p>
        </w:tc>
        <w:tc>
          <w:tcPr>
            <w:tcW w:w="1265" w:type="pct"/>
            <w:tcMar>
              <w:left w:w="72" w:type="dxa"/>
              <w:right w:w="72" w:type="dxa"/>
            </w:tcMar>
          </w:tcPr>
          <w:p w14:paraId="27EE0D13" w14:textId="294337AD" w:rsidR="00E802E0" w:rsidRPr="00E802E0" w:rsidDel="003C0BEB"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 xml:space="preserve">Deponia rajonale funksionon sipas kërkesave për leje dhe standardeve të fundit </w:t>
            </w:r>
            <w:r w:rsidRPr="00E802E0">
              <w:rPr>
                <w:rFonts w:ascii="Arial Narrow" w:eastAsia="Aptos" w:hAnsi="Arial Narrow" w:cs="Arial"/>
                <w:bCs/>
                <w:sz w:val="20"/>
                <w:szCs w:val="20"/>
                <w:lang w:eastAsia="uk-UA"/>
              </w:rPr>
              <w:lastRenderedPageBreak/>
              <w:t>mjedisore</w:t>
            </w:r>
          </w:p>
        </w:tc>
        <w:tc>
          <w:tcPr>
            <w:tcW w:w="462" w:type="pct"/>
            <w:tcMar>
              <w:left w:w="72" w:type="dxa"/>
              <w:right w:w="72" w:type="dxa"/>
            </w:tcMar>
          </w:tcPr>
          <w:p w14:paraId="72786392" w14:textId="42F7A8AD"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lastRenderedPageBreak/>
              <w:t xml:space="preserve">E përhershme </w:t>
            </w:r>
            <w:r w:rsidRPr="00E802E0">
              <w:rPr>
                <w:rFonts w:ascii="Arial Narrow" w:eastAsia="Aptos" w:hAnsi="Arial Narrow" w:cs="Arial"/>
                <w:bCs/>
                <w:sz w:val="20"/>
                <w:szCs w:val="20"/>
                <w:lang w:eastAsia="uk-UA"/>
              </w:rPr>
              <w:lastRenderedPageBreak/>
              <w:t>gjatë fazës së funksionimit</w:t>
            </w:r>
          </w:p>
        </w:tc>
        <w:tc>
          <w:tcPr>
            <w:tcW w:w="419" w:type="pct"/>
            <w:tcMar>
              <w:left w:w="72" w:type="dxa"/>
              <w:right w:w="72" w:type="dxa"/>
            </w:tcMar>
          </w:tcPr>
          <w:p w14:paraId="0F90D7CC" w14:textId="7E60D8FE"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lastRenderedPageBreak/>
              <w:t xml:space="preserve">Sipas planit të veprimit </w:t>
            </w:r>
            <w:r w:rsidRPr="00E802E0">
              <w:rPr>
                <w:rFonts w:ascii="Arial Narrow" w:eastAsia="Aptos" w:hAnsi="Arial Narrow" w:cs="Arial"/>
                <w:bCs/>
                <w:sz w:val="20"/>
                <w:szCs w:val="20"/>
                <w:lang w:eastAsia="uk-UA"/>
              </w:rPr>
              <w:lastRenderedPageBreak/>
              <w:t>dhe buxhetit vjetor</w:t>
            </w:r>
          </w:p>
        </w:tc>
        <w:tc>
          <w:tcPr>
            <w:tcW w:w="1137" w:type="pct"/>
            <w:tcMar>
              <w:left w:w="72" w:type="dxa"/>
              <w:right w:w="72" w:type="dxa"/>
            </w:tcMar>
          </w:tcPr>
          <w:p w14:paraId="42B3550C" w14:textId="71B02C19"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lastRenderedPageBreak/>
              <w:t>Operatori i deponisë (KMDK) përmes tarifës së portës</w:t>
            </w:r>
          </w:p>
        </w:tc>
        <w:tc>
          <w:tcPr>
            <w:tcW w:w="708" w:type="pct"/>
            <w:tcMar>
              <w:left w:w="72" w:type="dxa"/>
              <w:right w:w="72" w:type="dxa"/>
            </w:tcMar>
          </w:tcPr>
          <w:p w14:paraId="74D28014" w14:textId="122AEA4E"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Operatori i deponisë (KMDK), komunat</w:t>
            </w:r>
          </w:p>
        </w:tc>
        <w:tc>
          <w:tcPr>
            <w:tcW w:w="782" w:type="pct"/>
            <w:tcMar>
              <w:left w:w="72" w:type="dxa"/>
              <w:right w:w="72" w:type="dxa"/>
            </w:tcMar>
          </w:tcPr>
          <w:p w14:paraId="1AA948AD" w14:textId="77777777"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Deponia operon sipas kërkesave për leje</w:t>
            </w:r>
          </w:p>
          <w:p w14:paraId="6B55D67C" w14:textId="77777777"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lastRenderedPageBreak/>
              <w:t>Raportet e monitorimit të mjedisit</w:t>
            </w:r>
          </w:p>
          <w:p w14:paraId="31A3D435" w14:textId="57123161"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Kapaciteti i deponisë i mjaftueshëm në dispozicion</w:t>
            </w:r>
          </w:p>
        </w:tc>
      </w:tr>
      <w:tr w:rsidR="00E802E0" w:rsidRPr="007D1EDC" w14:paraId="0E821077" w14:textId="77777777" w:rsidTr="00E802E0">
        <w:trPr>
          <w:trHeight w:val="215"/>
        </w:trPr>
        <w:tc>
          <w:tcPr>
            <w:tcW w:w="227" w:type="pct"/>
            <w:tcMar>
              <w:left w:w="72" w:type="dxa"/>
              <w:right w:w="72" w:type="dxa"/>
            </w:tcMar>
          </w:tcPr>
          <w:p w14:paraId="1C95CF0E" w14:textId="77777777" w:rsidR="00E802E0" w:rsidRPr="007D1EDC"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7D1EDC">
              <w:rPr>
                <w:rFonts w:ascii="Arial Narrow" w:eastAsia="Aptos" w:hAnsi="Arial Narrow" w:cs="Arial"/>
                <w:bCs/>
                <w:sz w:val="20"/>
                <w:szCs w:val="20"/>
                <w:lang w:eastAsia="uk-UA"/>
              </w:rPr>
              <w:lastRenderedPageBreak/>
              <w:t>2.2</w:t>
            </w:r>
          </w:p>
        </w:tc>
        <w:tc>
          <w:tcPr>
            <w:tcW w:w="1265" w:type="pct"/>
            <w:tcMar>
              <w:left w:w="72" w:type="dxa"/>
              <w:right w:w="72" w:type="dxa"/>
            </w:tcMar>
          </w:tcPr>
          <w:p w14:paraId="3A3508DA" w14:textId="631E136A"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Nuk kriohen deponi ilegale në territorin e komunave</w:t>
            </w:r>
          </w:p>
        </w:tc>
        <w:tc>
          <w:tcPr>
            <w:tcW w:w="462" w:type="pct"/>
            <w:tcMar>
              <w:left w:w="72" w:type="dxa"/>
              <w:right w:w="72" w:type="dxa"/>
            </w:tcMar>
          </w:tcPr>
          <w:p w14:paraId="1FA178F3" w14:textId="6D1ED31A"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I perhershem</w:t>
            </w:r>
          </w:p>
        </w:tc>
        <w:tc>
          <w:tcPr>
            <w:tcW w:w="419" w:type="pct"/>
            <w:tcMar>
              <w:left w:w="72" w:type="dxa"/>
              <w:right w:w="72" w:type="dxa"/>
            </w:tcMar>
          </w:tcPr>
          <w:p w14:paraId="10A9CF62" w14:textId="4EDCC711"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w:t>
            </w:r>
          </w:p>
        </w:tc>
        <w:tc>
          <w:tcPr>
            <w:tcW w:w="1137" w:type="pct"/>
            <w:tcMar>
              <w:left w:w="72" w:type="dxa"/>
              <w:right w:w="72" w:type="dxa"/>
            </w:tcMar>
          </w:tcPr>
          <w:p w14:paraId="5D85928E" w14:textId="1E2BFFAF"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w:t>
            </w:r>
          </w:p>
        </w:tc>
        <w:tc>
          <w:tcPr>
            <w:tcW w:w="708" w:type="pct"/>
            <w:tcMar>
              <w:left w:w="72" w:type="dxa"/>
              <w:right w:w="72" w:type="dxa"/>
            </w:tcMar>
          </w:tcPr>
          <w:p w14:paraId="68543503" w14:textId="25B03812"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Komunat</w:t>
            </w:r>
          </w:p>
        </w:tc>
        <w:tc>
          <w:tcPr>
            <w:tcW w:w="782" w:type="pct"/>
            <w:tcMar>
              <w:left w:w="72" w:type="dxa"/>
              <w:right w:w="72" w:type="dxa"/>
            </w:tcMar>
          </w:tcPr>
          <w:p w14:paraId="0182B5B8" w14:textId="7FFF2B05"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Numri i venddepnimeve të identifikuara</w:t>
            </w:r>
          </w:p>
        </w:tc>
      </w:tr>
      <w:tr w:rsidR="00E802E0" w:rsidRPr="007D1EDC" w14:paraId="2366DE5B" w14:textId="77777777" w:rsidTr="00E802E0">
        <w:trPr>
          <w:trHeight w:val="215"/>
        </w:trPr>
        <w:tc>
          <w:tcPr>
            <w:tcW w:w="227" w:type="pct"/>
            <w:shd w:val="clear" w:color="auto" w:fill="C1E4F5"/>
            <w:tcMar>
              <w:left w:w="72" w:type="dxa"/>
              <w:right w:w="72" w:type="dxa"/>
            </w:tcMar>
          </w:tcPr>
          <w:p w14:paraId="2EBE56B0"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3.</w:t>
            </w:r>
          </w:p>
        </w:tc>
        <w:tc>
          <w:tcPr>
            <w:tcW w:w="1265" w:type="pct"/>
            <w:shd w:val="clear" w:color="auto" w:fill="C1E4F5"/>
            <w:tcMar>
              <w:left w:w="72" w:type="dxa"/>
              <w:right w:w="72" w:type="dxa"/>
            </w:tcMar>
          </w:tcPr>
          <w:p w14:paraId="5710586B"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Prioriteti - Transporti dhe transferimi i mbeturinave</w:t>
            </w:r>
          </w:p>
        </w:tc>
        <w:tc>
          <w:tcPr>
            <w:tcW w:w="462" w:type="pct"/>
            <w:shd w:val="clear" w:color="auto" w:fill="C1E4F5"/>
            <w:tcMar>
              <w:left w:w="72" w:type="dxa"/>
              <w:right w:w="72" w:type="dxa"/>
            </w:tcMar>
          </w:tcPr>
          <w:p w14:paraId="291CE517"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bCs/>
                <w:sz w:val="20"/>
                <w:szCs w:val="20"/>
                <w:lang w:eastAsia="uk-UA"/>
              </w:rPr>
            </w:pPr>
          </w:p>
        </w:tc>
        <w:tc>
          <w:tcPr>
            <w:tcW w:w="419" w:type="pct"/>
            <w:shd w:val="clear" w:color="auto" w:fill="C1E4F5"/>
            <w:tcMar>
              <w:left w:w="72" w:type="dxa"/>
              <w:right w:w="72" w:type="dxa"/>
            </w:tcMar>
          </w:tcPr>
          <w:p w14:paraId="548D67D7"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bCs/>
                <w:sz w:val="20"/>
                <w:szCs w:val="20"/>
                <w:lang w:eastAsia="uk-UA"/>
              </w:rPr>
            </w:pPr>
          </w:p>
        </w:tc>
        <w:tc>
          <w:tcPr>
            <w:tcW w:w="1137" w:type="pct"/>
            <w:shd w:val="clear" w:color="auto" w:fill="C1E4F5"/>
            <w:tcMar>
              <w:left w:w="72" w:type="dxa"/>
              <w:right w:w="72" w:type="dxa"/>
            </w:tcMar>
          </w:tcPr>
          <w:p w14:paraId="4FD57DB1"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bCs/>
                <w:sz w:val="20"/>
                <w:szCs w:val="20"/>
                <w:lang w:eastAsia="uk-UA"/>
              </w:rPr>
            </w:pPr>
          </w:p>
        </w:tc>
        <w:tc>
          <w:tcPr>
            <w:tcW w:w="708" w:type="pct"/>
            <w:shd w:val="clear" w:color="auto" w:fill="C1E4F5"/>
            <w:tcMar>
              <w:left w:w="72" w:type="dxa"/>
              <w:right w:w="72" w:type="dxa"/>
            </w:tcMar>
          </w:tcPr>
          <w:p w14:paraId="4C43E04B"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bCs/>
                <w:sz w:val="20"/>
                <w:szCs w:val="20"/>
                <w:lang w:eastAsia="uk-UA"/>
              </w:rPr>
            </w:pPr>
          </w:p>
        </w:tc>
        <w:tc>
          <w:tcPr>
            <w:tcW w:w="782" w:type="pct"/>
            <w:shd w:val="clear" w:color="auto" w:fill="C1E4F5"/>
            <w:tcMar>
              <w:left w:w="72" w:type="dxa"/>
              <w:right w:w="72" w:type="dxa"/>
            </w:tcMar>
          </w:tcPr>
          <w:p w14:paraId="630073C9"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bCs/>
                <w:sz w:val="20"/>
                <w:szCs w:val="20"/>
                <w:lang w:eastAsia="uk-UA"/>
              </w:rPr>
            </w:pPr>
          </w:p>
        </w:tc>
      </w:tr>
      <w:tr w:rsidR="00E802E0" w:rsidRPr="007D1EDC" w14:paraId="6B9A4FAA" w14:textId="77777777" w:rsidTr="00E802E0">
        <w:trPr>
          <w:trHeight w:val="215"/>
        </w:trPr>
        <w:tc>
          <w:tcPr>
            <w:tcW w:w="227" w:type="pct"/>
            <w:tcMar>
              <w:left w:w="72" w:type="dxa"/>
              <w:right w:w="72" w:type="dxa"/>
            </w:tcMar>
          </w:tcPr>
          <w:p w14:paraId="3C6D17F5" w14:textId="77777777" w:rsidR="00E802E0" w:rsidRPr="007D1EDC"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7D1EDC">
              <w:rPr>
                <w:rFonts w:ascii="Arial Narrow" w:eastAsia="Aptos" w:hAnsi="Arial Narrow" w:cs="Arial"/>
                <w:bCs/>
                <w:sz w:val="20"/>
                <w:szCs w:val="20"/>
                <w:lang w:eastAsia="uk-UA"/>
              </w:rPr>
              <w:t>3.1</w:t>
            </w:r>
          </w:p>
        </w:tc>
        <w:tc>
          <w:tcPr>
            <w:tcW w:w="1265" w:type="pct"/>
            <w:tcMar>
              <w:left w:w="72" w:type="dxa"/>
              <w:right w:w="72" w:type="dxa"/>
            </w:tcMar>
          </w:tcPr>
          <w:p w14:paraId="403CF61C" w14:textId="7DB3F729"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Stacionet e Transferit në Istog dhe Deçan funksionojnë sipas kërkesave për leje</w:t>
            </w:r>
          </w:p>
        </w:tc>
        <w:tc>
          <w:tcPr>
            <w:tcW w:w="462" w:type="pct"/>
            <w:tcMar>
              <w:left w:w="72" w:type="dxa"/>
              <w:right w:w="72" w:type="dxa"/>
            </w:tcMar>
          </w:tcPr>
          <w:p w14:paraId="7DBA5D6B" w14:textId="1FDD7FD5"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I perhershem</w:t>
            </w:r>
          </w:p>
        </w:tc>
        <w:tc>
          <w:tcPr>
            <w:tcW w:w="419" w:type="pct"/>
            <w:tcMar>
              <w:left w:w="72" w:type="dxa"/>
              <w:right w:w="72" w:type="dxa"/>
            </w:tcMar>
          </w:tcPr>
          <w:p w14:paraId="719EDC7C" w14:textId="6A261654"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Sipas buxhetit vjetor</w:t>
            </w:r>
          </w:p>
        </w:tc>
        <w:tc>
          <w:tcPr>
            <w:tcW w:w="1137" w:type="pct"/>
            <w:tcMar>
              <w:left w:w="72" w:type="dxa"/>
              <w:right w:w="72" w:type="dxa"/>
            </w:tcMar>
          </w:tcPr>
          <w:p w14:paraId="767D82BF" w14:textId="1B2B9E94"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Operatorët e shërbimeve në bazë të tarifave për shërbimet komunale të mbeturinave</w:t>
            </w:r>
          </w:p>
        </w:tc>
        <w:tc>
          <w:tcPr>
            <w:tcW w:w="708" w:type="pct"/>
            <w:tcMar>
              <w:left w:w="72" w:type="dxa"/>
              <w:right w:w="72" w:type="dxa"/>
            </w:tcMar>
          </w:tcPr>
          <w:p w14:paraId="480DC369" w14:textId="0E6BEE71"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Operatorët e shërbimeve, komunat</w:t>
            </w:r>
          </w:p>
        </w:tc>
        <w:tc>
          <w:tcPr>
            <w:tcW w:w="782" w:type="pct"/>
            <w:tcMar>
              <w:left w:w="72" w:type="dxa"/>
              <w:right w:w="72" w:type="dxa"/>
            </w:tcMar>
          </w:tcPr>
          <w:p w14:paraId="530E6DE2" w14:textId="6E704432"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Stacionet e transferit janë operacionale</w:t>
            </w:r>
          </w:p>
        </w:tc>
      </w:tr>
      <w:tr w:rsidR="00E802E0" w:rsidRPr="007D1EDC" w14:paraId="7E158195" w14:textId="77777777" w:rsidTr="00E802E0">
        <w:tc>
          <w:tcPr>
            <w:tcW w:w="227" w:type="pct"/>
            <w:shd w:val="clear" w:color="auto" w:fill="C1E4F5"/>
            <w:tcMar>
              <w:left w:w="72" w:type="dxa"/>
              <w:right w:w="72" w:type="dxa"/>
            </w:tcMar>
          </w:tcPr>
          <w:p w14:paraId="19EF216C"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4.</w:t>
            </w:r>
          </w:p>
        </w:tc>
        <w:tc>
          <w:tcPr>
            <w:tcW w:w="1265" w:type="pct"/>
            <w:tcBorders>
              <w:right w:val="nil"/>
            </w:tcBorders>
            <w:shd w:val="clear" w:color="auto" w:fill="C1E4F5"/>
            <w:tcMar>
              <w:left w:w="72" w:type="dxa"/>
              <w:right w:w="72" w:type="dxa"/>
            </w:tcMar>
          </w:tcPr>
          <w:p w14:paraId="05E1FF09" w14:textId="622E92BB"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Prioriteti –</w:t>
            </w:r>
            <w:r w:rsidR="00E802E0">
              <w:rPr>
                <w:rFonts w:ascii="Arial Narrow" w:eastAsia="Calibri" w:hAnsi="Arial Narrow" w:cs="Calibri"/>
                <w:b/>
                <w:bCs/>
                <w:sz w:val="20"/>
                <w:szCs w:val="20"/>
              </w:rPr>
              <w:t xml:space="preserve"> Krijimi i</w:t>
            </w:r>
            <w:r w:rsidRPr="007D1EDC">
              <w:rPr>
                <w:rFonts w:ascii="Arial Narrow" w:eastAsia="Calibri" w:hAnsi="Arial Narrow" w:cs="Calibri"/>
                <w:b/>
                <w:bCs/>
                <w:sz w:val="20"/>
                <w:szCs w:val="20"/>
              </w:rPr>
              <w:t xml:space="preserve"> sistemeve të riciklimit dhe rikuperimit të mbet</w:t>
            </w:r>
            <w:r w:rsidR="00E802E0">
              <w:rPr>
                <w:rFonts w:ascii="Arial Narrow" w:eastAsia="Calibri" w:hAnsi="Arial Narrow" w:cs="Calibri"/>
                <w:b/>
                <w:bCs/>
                <w:sz w:val="20"/>
                <w:szCs w:val="20"/>
              </w:rPr>
              <w:t>urinave</w:t>
            </w:r>
          </w:p>
        </w:tc>
        <w:tc>
          <w:tcPr>
            <w:tcW w:w="462" w:type="pct"/>
            <w:tcBorders>
              <w:left w:val="nil"/>
              <w:right w:val="nil"/>
            </w:tcBorders>
            <w:shd w:val="clear" w:color="auto" w:fill="C1E4F5"/>
            <w:tcMar>
              <w:left w:w="72" w:type="dxa"/>
              <w:right w:w="72" w:type="dxa"/>
            </w:tcMar>
          </w:tcPr>
          <w:p w14:paraId="4A01A4BB"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419" w:type="pct"/>
            <w:tcBorders>
              <w:left w:val="nil"/>
              <w:right w:val="nil"/>
            </w:tcBorders>
            <w:shd w:val="clear" w:color="auto" w:fill="C1E4F5"/>
            <w:tcMar>
              <w:left w:w="72" w:type="dxa"/>
              <w:right w:w="72" w:type="dxa"/>
            </w:tcMar>
          </w:tcPr>
          <w:p w14:paraId="3C197712"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highlight w:val="yellow"/>
              </w:rPr>
            </w:pPr>
          </w:p>
        </w:tc>
        <w:tc>
          <w:tcPr>
            <w:tcW w:w="1137" w:type="pct"/>
            <w:tcBorders>
              <w:left w:val="nil"/>
              <w:right w:val="nil"/>
            </w:tcBorders>
            <w:shd w:val="clear" w:color="auto" w:fill="C1E4F5"/>
            <w:tcMar>
              <w:left w:w="72" w:type="dxa"/>
              <w:right w:w="72" w:type="dxa"/>
            </w:tcMar>
          </w:tcPr>
          <w:p w14:paraId="37F9BEE9"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708" w:type="pct"/>
            <w:tcBorders>
              <w:left w:val="nil"/>
              <w:right w:val="nil"/>
            </w:tcBorders>
            <w:shd w:val="clear" w:color="auto" w:fill="C1E4F5"/>
            <w:tcMar>
              <w:left w:w="72" w:type="dxa"/>
              <w:right w:w="72" w:type="dxa"/>
            </w:tcMar>
          </w:tcPr>
          <w:p w14:paraId="031DD487"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782" w:type="pct"/>
            <w:tcBorders>
              <w:left w:val="nil"/>
            </w:tcBorders>
            <w:shd w:val="clear" w:color="auto" w:fill="C1E4F5"/>
            <w:tcMar>
              <w:left w:w="72" w:type="dxa"/>
              <w:right w:w="72" w:type="dxa"/>
            </w:tcMar>
          </w:tcPr>
          <w:p w14:paraId="2A6EF764"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E802E0" w:rsidRPr="007D1EDC" w14:paraId="4E98A93C" w14:textId="77777777" w:rsidTr="00E802E0">
        <w:tc>
          <w:tcPr>
            <w:tcW w:w="227" w:type="pct"/>
            <w:tcMar>
              <w:left w:w="72" w:type="dxa"/>
              <w:right w:w="72" w:type="dxa"/>
            </w:tcMar>
          </w:tcPr>
          <w:p w14:paraId="1A192233"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4.1</w:t>
            </w:r>
          </w:p>
        </w:tc>
        <w:tc>
          <w:tcPr>
            <w:tcW w:w="1265" w:type="pct"/>
            <w:tcMar>
              <w:left w:w="72" w:type="dxa"/>
              <w:right w:w="72" w:type="dxa"/>
            </w:tcMar>
          </w:tcPr>
          <w:p w14:paraId="5141B5C0" w14:textId="4C677E9D"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 xml:space="preserve">Detyrë – </w:t>
            </w:r>
            <w:r w:rsidR="00E802E0">
              <w:rPr>
                <w:rFonts w:ascii="Arial Narrow" w:eastAsia="Calibri" w:hAnsi="Arial Narrow" w:cs="Calibri"/>
                <w:b/>
                <w:bCs/>
                <w:i/>
                <w:iCs/>
                <w:sz w:val="20"/>
                <w:szCs w:val="20"/>
              </w:rPr>
              <w:t>Krijimi i Oborreve të Riciklimit (OR)</w:t>
            </w:r>
          </w:p>
        </w:tc>
        <w:tc>
          <w:tcPr>
            <w:tcW w:w="462" w:type="pct"/>
            <w:tcMar>
              <w:left w:w="72" w:type="dxa"/>
              <w:right w:w="72" w:type="dxa"/>
            </w:tcMar>
          </w:tcPr>
          <w:p w14:paraId="60E65B91"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bCs/>
                <w:sz w:val="20"/>
                <w:szCs w:val="20"/>
                <w:lang w:eastAsia="uk-UA"/>
              </w:rPr>
            </w:pPr>
          </w:p>
        </w:tc>
        <w:tc>
          <w:tcPr>
            <w:tcW w:w="419" w:type="pct"/>
            <w:tcMar>
              <w:left w:w="72" w:type="dxa"/>
              <w:right w:w="72" w:type="dxa"/>
            </w:tcMar>
          </w:tcPr>
          <w:p w14:paraId="0053BB32"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bCs/>
                <w:sz w:val="20"/>
                <w:szCs w:val="20"/>
                <w:lang w:eastAsia="uk-UA"/>
              </w:rPr>
            </w:pPr>
          </w:p>
        </w:tc>
        <w:tc>
          <w:tcPr>
            <w:tcW w:w="1137" w:type="pct"/>
            <w:tcMar>
              <w:left w:w="72" w:type="dxa"/>
              <w:right w:w="72" w:type="dxa"/>
            </w:tcMar>
          </w:tcPr>
          <w:p w14:paraId="274127C3"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bCs/>
                <w:sz w:val="20"/>
                <w:szCs w:val="20"/>
                <w:lang w:eastAsia="uk-UA"/>
              </w:rPr>
            </w:pPr>
          </w:p>
        </w:tc>
        <w:tc>
          <w:tcPr>
            <w:tcW w:w="708" w:type="pct"/>
            <w:tcMar>
              <w:left w:w="72" w:type="dxa"/>
              <w:right w:w="72" w:type="dxa"/>
            </w:tcMar>
          </w:tcPr>
          <w:p w14:paraId="099F18F8"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c>
          <w:tcPr>
            <w:tcW w:w="782" w:type="pct"/>
            <w:tcMar>
              <w:left w:w="72" w:type="dxa"/>
              <w:right w:w="72" w:type="dxa"/>
            </w:tcMar>
          </w:tcPr>
          <w:p w14:paraId="378D9BA4"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r>
      <w:tr w:rsidR="00E802E0" w:rsidRPr="007D1EDC" w14:paraId="1E9E6338" w14:textId="77777777" w:rsidTr="00E802E0">
        <w:tc>
          <w:tcPr>
            <w:tcW w:w="227" w:type="pct"/>
            <w:tcMar>
              <w:left w:w="72" w:type="dxa"/>
              <w:right w:w="72" w:type="dxa"/>
            </w:tcMar>
          </w:tcPr>
          <w:p w14:paraId="51A147A6" w14:textId="007275B3" w:rsidR="00E802E0" w:rsidRPr="007D1EDC"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Pr>
                <w:rFonts w:ascii="Arial Narrow" w:eastAsia="Aptos" w:hAnsi="Arial Narrow" w:cs="Arial"/>
                <w:bCs/>
                <w:sz w:val="20"/>
                <w:szCs w:val="20"/>
                <w:lang w:eastAsia="uk-UA"/>
              </w:rPr>
              <w:t>4.1.1</w:t>
            </w:r>
          </w:p>
        </w:tc>
        <w:tc>
          <w:tcPr>
            <w:tcW w:w="1265" w:type="pct"/>
            <w:tcMar>
              <w:left w:w="72" w:type="dxa"/>
              <w:right w:w="72" w:type="dxa"/>
            </w:tcMar>
          </w:tcPr>
          <w:p w14:paraId="334697E0" w14:textId="5FA42BA2"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i/>
                <w:iCs/>
                <w:sz w:val="20"/>
                <w:szCs w:val="20"/>
              </w:rPr>
            </w:pPr>
            <w:r w:rsidRPr="00E802E0">
              <w:rPr>
                <w:rFonts w:ascii="Arial Narrow" w:eastAsia="Aptos" w:hAnsi="Arial Narrow" w:cs="Arial"/>
                <w:bCs/>
                <w:sz w:val="20"/>
                <w:szCs w:val="20"/>
                <w:lang w:eastAsia="uk-UA"/>
              </w:rPr>
              <w:t>OR funksiononte në përputhje me kërkesat mjedisore</w:t>
            </w:r>
          </w:p>
        </w:tc>
        <w:tc>
          <w:tcPr>
            <w:tcW w:w="462" w:type="pct"/>
            <w:tcMar>
              <w:left w:w="72" w:type="dxa"/>
              <w:right w:w="72" w:type="dxa"/>
            </w:tcMar>
          </w:tcPr>
          <w:p w14:paraId="363D4DC8" w14:textId="5ED16F63"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I perhershem</w:t>
            </w:r>
          </w:p>
        </w:tc>
        <w:tc>
          <w:tcPr>
            <w:tcW w:w="419" w:type="pct"/>
            <w:tcMar>
              <w:left w:w="72" w:type="dxa"/>
              <w:right w:w="72" w:type="dxa"/>
            </w:tcMar>
          </w:tcPr>
          <w:p w14:paraId="68DDD097" w14:textId="771DD663"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Sipas buxhetit vjetor</w:t>
            </w:r>
          </w:p>
        </w:tc>
        <w:tc>
          <w:tcPr>
            <w:tcW w:w="1137" w:type="pct"/>
            <w:tcMar>
              <w:left w:w="72" w:type="dxa"/>
              <w:right w:w="72" w:type="dxa"/>
            </w:tcMar>
          </w:tcPr>
          <w:p w14:paraId="20981004" w14:textId="4BA17B57"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Operatorët e shërbimeve në bazë të tarifave për shërbimet komunale të mbeturinave</w:t>
            </w:r>
          </w:p>
        </w:tc>
        <w:tc>
          <w:tcPr>
            <w:tcW w:w="708" w:type="pct"/>
            <w:tcMar>
              <w:left w:w="72" w:type="dxa"/>
              <w:right w:w="72" w:type="dxa"/>
            </w:tcMar>
          </w:tcPr>
          <w:p w14:paraId="04AB3728" w14:textId="27BC2903"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Operatorët e shërbimeve, komunat</w:t>
            </w:r>
          </w:p>
        </w:tc>
        <w:tc>
          <w:tcPr>
            <w:tcW w:w="782" w:type="pct"/>
            <w:tcMar>
              <w:left w:w="72" w:type="dxa"/>
              <w:right w:w="72" w:type="dxa"/>
            </w:tcMar>
          </w:tcPr>
          <w:p w14:paraId="1B823251" w14:textId="77777777"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OR-të  funksionale</w:t>
            </w:r>
          </w:p>
          <w:p w14:paraId="5460BF79" w14:textId="6CD11894"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bCs/>
                <w:sz w:val="20"/>
                <w:szCs w:val="20"/>
                <w:lang w:eastAsia="uk-UA"/>
              </w:rPr>
              <w:t>Sasitë e mbeturinave të grumbulluara në OR</w:t>
            </w:r>
          </w:p>
        </w:tc>
      </w:tr>
      <w:tr w:rsidR="00E802E0" w:rsidRPr="007D1EDC" w14:paraId="1C99301C" w14:textId="77777777" w:rsidTr="00E802E0">
        <w:tc>
          <w:tcPr>
            <w:tcW w:w="227" w:type="pct"/>
            <w:tcMar>
              <w:left w:w="72" w:type="dxa"/>
              <w:right w:w="72" w:type="dxa"/>
            </w:tcMar>
          </w:tcPr>
          <w:p w14:paraId="3D512227"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4.2</w:t>
            </w:r>
          </w:p>
        </w:tc>
        <w:tc>
          <w:tcPr>
            <w:tcW w:w="1265" w:type="pct"/>
            <w:tcMar>
              <w:left w:w="72" w:type="dxa"/>
              <w:right w:w="72" w:type="dxa"/>
            </w:tcMar>
          </w:tcPr>
          <w:p w14:paraId="6C97FE98" w14:textId="28257F0E" w:rsidR="007D1EDC" w:rsidRPr="007D1EDC" w:rsidRDefault="007D1EDC" w:rsidP="007D1EDC">
            <w:pPr>
              <w:widowControl w:val="0"/>
              <w:suppressAutoHyphens/>
              <w:autoSpaceDE w:val="0"/>
              <w:autoSpaceDN w:val="0"/>
              <w:spacing w:before="60" w:after="60"/>
              <w:ind w:right="123"/>
              <w:rPr>
                <w:rFonts w:ascii="Arial Narrow" w:eastAsia="Aptos" w:hAnsi="Arial Narrow" w:cs="Arial"/>
                <w:bCs/>
                <w:sz w:val="20"/>
                <w:szCs w:val="20"/>
                <w:lang w:eastAsia="uk-UA"/>
              </w:rPr>
            </w:pPr>
            <w:r w:rsidRPr="007D1EDC">
              <w:rPr>
                <w:rFonts w:ascii="Arial Narrow" w:eastAsia="Calibri" w:hAnsi="Arial Narrow" w:cs="Calibri"/>
                <w:b/>
                <w:bCs/>
                <w:i/>
                <w:iCs/>
                <w:sz w:val="20"/>
                <w:szCs w:val="20"/>
              </w:rPr>
              <w:t xml:space="preserve">Detyrë – Menaxhimi i mbeturinave të </w:t>
            </w:r>
            <w:r w:rsidR="00E802E0">
              <w:rPr>
                <w:rFonts w:ascii="Arial Narrow" w:eastAsia="Calibri" w:hAnsi="Arial Narrow" w:cs="Calibri"/>
                <w:b/>
                <w:bCs/>
                <w:i/>
                <w:iCs/>
                <w:sz w:val="20"/>
                <w:szCs w:val="20"/>
              </w:rPr>
              <w:t>ambalazhit</w:t>
            </w:r>
          </w:p>
        </w:tc>
        <w:tc>
          <w:tcPr>
            <w:tcW w:w="462" w:type="pct"/>
            <w:tcMar>
              <w:left w:w="72" w:type="dxa"/>
              <w:right w:w="72" w:type="dxa"/>
            </w:tcMar>
          </w:tcPr>
          <w:p w14:paraId="1E0EF18D"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c>
          <w:tcPr>
            <w:tcW w:w="419" w:type="pct"/>
            <w:tcMar>
              <w:left w:w="72" w:type="dxa"/>
              <w:right w:w="72" w:type="dxa"/>
            </w:tcMar>
          </w:tcPr>
          <w:p w14:paraId="3E556A17"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highlight w:val="yellow"/>
              </w:rPr>
            </w:pPr>
          </w:p>
        </w:tc>
        <w:tc>
          <w:tcPr>
            <w:tcW w:w="1137" w:type="pct"/>
            <w:tcMar>
              <w:left w:w="72" w:type="dxa"/>
              <w:right w:w="72" w:type="dxa"/>
            </w:tcMar>
          </w:tcPr>
          <w:p w14:paraId="6DD3D336"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c>
          <w:tcPr>
            <w:tcW w:w="708" w:type="pct"/>
            <w:tcMar>
              <w:left w:w="72" w:type="dxa"/>
              <w:right w:w="72" w:type="dxa"/>
            </w:tcMar>
          </w:tcPr>
          <w:p w14:paraId="725ABD2B"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c>
          <w:tcPr>
            <w:tcW w:w="782" w:type="pct"/>
            <w:tcMar>
              <w:left w:w="72" w:type="dxa"/>
              <w:right w:w="72" w:type="dxa"/>
            </w:tcMar>
          </w:tcPr>
          <w:p w14:paraId="1E1812E2"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r>
      <w:tr w:rsidR="00E802E0" w:rsidRPr="007D1EDC" w14:paraId="2F7BF11C" w14:textId="77777777" w:rsidTr="00E802E0">
        <w:tc>
          <w:tcPr>
            <w:tcW w:w="227" w:type="pct"/>
            <w:tcMar>
              <w:left w:w="72" w:type="dxa"/>
              <w:right w:w="72" w:type="dxa"/>
            </w:tcMar>
          </w:tcPr>
          <w:p w14:paraId="3BD76B01" w14:textId="77777777" w:rsidR="00E802E0" w:rsidRPr="007D1EDC"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7D1EDC">
              <w:rPr>
                <w:rFonts w:ascii="Arial Narrow" w:eastAsia="Aptos" w:hAnsi="Arial Narrow" w:cs="Arial"/>
                <w:bCs/>
                <w:sz w:val="20"/>
                <w:szCs w:val="20"/>
                <w:lang w:eastAsia="uk-UA"/>
              </w:rPr>
              <w:t>4.2.1</w:t>
            </w:r>
          </w:p>
        </w:tc>
        <w:tc>
          <w:tcPr>
            <w:tcW w:w="1265" w:type="pct"/>
            <w:tcMar>
              <w:left w:w="72" w:type="dxa"/>
              <w:right w:w="72" w:type="dxa"/>
            </w:tcMar>
          </w:tcPr>
          <w:p w14:paraId="5230CE1E" w14:textId="47645A58"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sz w:val="20"/>
                <w:szCs w:val="20"/>
                <w:lang w:eastAsia="uk-UA"/>
              </w:rPr>
              <w:t>Zhvillimi i sistemeve për grumbullimin ndaras dhe veçimin e mbeturinave komunale, përfshirë mbeturinat nga ambalazhet dhe paketimet</w:t>
            </w:r>
          </w:p>
        </w:tc>
        <w:tc>
          <w:tcPr>
            <w:tcW w:w="462" w:type="pct"/>
            <w:tcMar>
              <w:left w:w="72" w:type="dxa"/>
              <w:right w:w="72" w:type="dxa"/>
            </w:tcMar>
          </w:tcPr>
          <w:p w14:paraId="35603D0D" w14:textId="1B8FC1BC"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i/>
                <w:iCs/>
                <w:sz w:val="20"/>
                <w:szCs w:val="20"/>
              </w:rPr>
            </w:pPr>
            <w:r w:rsidRPr="00E802E0">
              <w:rPr>
                <w:rFonts w:ascii="Arial Narrow" w:eastAsia="Aptos" w:hAnsi="Arial Narrow" w:cs="Arial"/>
                <w:sz w:val="20"/>
                <w:szCs w:val="20"/>
                <w:lang w:eastAsia="uk-UA"/>
              </w:rPr>
              <w:t>E vazhdueshme</w:t>
            </w:r>
          </w:p>
        </w:tc>
        <w:tc>
          <w:tcPr>
            <w:tcW w:w="419" w:type="pct"/>
            <w:tcMar>
              <w:left w:w="72" w:type="dxa"/>
              <w:right w:w="72" w:type="dxa"/>
            </w:tcMar>
          </w:tcPr>
          <w:p w14:paraId="4812E1A1" w14:textId="51A964DF"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i/>
                <w:iCs/>
                <w:sz w:val="20"/>
                <w:szCs w:val="20"/>
                <w:highlight w:val="yellow"/>
              </w:rPr>
            </w:pPr>
            <w:r w:rsidRPr="00E802E0">
              <w:rPr>
                <w:rFonts w:ascii="Arial Narrow" w:eastAsia="Aptos" w:hAnsi="Arial Narrow" w:cs="Arial"/>
                <w:sz w:val="20"/>
                <w:szCs w:val="20"/>
                <w:lang w:eastAsia="uk-UA"/>
              </w:rPr>
              <w:t>Në kuadër të buxhetit të OPP-ve</w:t>
            </w:r>
          </w:p>
        </w:tc>
        <w:tc>
          <w:tcPr>
            <w:tcW w:w="1137" w:type="pct"/>
            <w:tcMar>
              <w:left w:w="72" w:type="dxa"/>
              <w:right w:w="72" w:type="dxa"/>
            </w:tcMar>
          </w:tcPr>
          <w:p w14:paraId="1766C963" w14:textId="24B094CC"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i/>
                <w:iCs/>
                <w:sz w:val="20"/>
                <w:szCs w:val="20"/>
              </w:rPr>
            </w:pPr>
            <w:r w:rsidRPr="00E802E0">
              <w:rPr>
                <w:rFonts w:ascii="Arial Narrow" w:eastAsia="Aptos" w:hAnsi="Arial Narrow" w:cs="Arial"/>
                <w:sz w:val="20"/>
                <w:szCs w:val="20"/>
                <w:lang w:eastAsia="uk-UA"/>
              </w:rPr>
              <w:t>OPP-të, ofruesit e shërbimeve</w:t>
            </w:r>
          </w:p>
        </w:tc>
        <w:tc>
          <w:tcPr>
            <w:tcW w:w="708" w:type="pct"/>
            <w:tcMar>
              <w:left w:w="72" w:type="dxa"/>
              <w:right w:w="72" w:type="dxa"/>
            </w:tcMar>
          </w:tcPr>
          <w:p w14:paraId="5D48A405" w14:textId="00013A26"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i/>
                <w:iCs/>
                <w:sz w:val="20"/>
                <w:szCs w:val="20"/>
              </w:rPr>
            </w:pPr>
            <w:r w:rsidRPr="00E802E0">
              <w:rPr>
                <w:rFonts w:ascii="Arial Narrow" w:eastAsia="Aptos" w:hAnsi="Arial Narrow" w:cs="Arial"/>
                <w:sz w:val="20"/>
                <w:szCs w:val="20"/>
                <w:lang w:eastAsia="uk-UA"/>
              </w:rPr>
              <w:t>OPP-të, komunat</w:t>
            </w:r>
          </w:p>
        </w:tc>
        <w:tc>
          <w:tcPr>
            <w:tcW w:w="782" w:type="pct"/>
            <w:tcMar>
              <w:left w:w="72" w:type="dxa"/>
              <w:right w:w="72" w:type="dxa"/>
            </w:tcMar>
          </w:tcPr>
          <w:p w14:paraId="46C9317A" w14:textId="59C95F9F"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i/>
                <w:iCs/>
                <w:sz w:val="20"/>
                <w:szCs w:val="20"/>
              </w:rPr>
            </w:pPr>
            <w:r w:rsidRPr="00E802E0">
              <w:rPr>
                <w:rFonts w:ascii="Arial Narrow" w:eastAsia="Calibri" w:hAnsi="Arial Narrow" w:cs="Calibri"/>
                <w:sz w:val="20"/>
                <w:szCs w:val="20"/>
              </w:rPr>
              <w:t>Popullata  e shlrbyer me shërbime të grumbullimit ndaras të mbeturinave (100% e popullsisë urbane në 2030; 80% e zonave rurale në 2033)</w:t>
            </w:r>
          </w:p>
        </w:tc>
      </w:tr>
      <w:tr w:rsidR="00E802E0" w:rsidRPr="007D1EDC" w14:paraId="75C36C3A" w14:textId="77777777" w:rsidTr="00E802E0">
        <w:tc>
          <w:tcPr>
            <w:tcW w:w="227" w:type="pct"/>
            <w:tcMar>
              <w:left w:w="72" w:type="dxa"/>
              <w:right w:w="72" w:type="dxa"/>
            </w:tcMar>
          </w:tcPr>
          <w:p w14:paraId="40DD8634" w14:textId="77777777" w:rsidR="00E802E0" w:rsidRPr="007D1EDC"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7D1EDC">
              <w:rPr>
                <w:rFonts w:ascii="Arial Narrow" w:eastAsia="Aptos" w:hAnsi="Arial Narrow" w:cs="Arial"/>
                <w:bCs/>
                <w:sz w:val="20"/>
                <w:szCs w:val="20"/>
                <w:lang w:eastAsia="uk-UA"/>
              </w:rPr>
              <w:lastRenderedPageBreak/>
              <w:t>4.2.2</w:t>
            </w:r>
          </w:p>
        </w:tc>
        <w:tc>
          <w:tcPr>
            <w:tcW w:w="1265" w:type="pct"/>
            <w:tcMar>
              <w:left w:w="72" w:type="dxa"/>
              <w:right w:w="72" w:type="dxa"/>
            </w:tcMar>
          </w:tcPr>
          <w:p w14:paraId="0D725A3A" w14:textId="78264A4A" w:rsidR="00E802E0" w:rsidRPr="00E802E0" w:rsidRDefault="00E802E0" w:rsidP="00E802E0">
            <w:pPr>
              <w:widowControl w:val="0"/>
              <w:suppressAutoHyphens/>
              <w:autoSpaceDE w:val="0"/>
              <w:autoSpaceDN w:val="0"/>
              <w:spacing w:before="60" w:after="60"/>
              <w:ind w:right="123"/>
              <w:rPr>
                <w:rFonts w:ascii="Arial Narrow" w:eastAsia="Aptos" w:hAnsi="Arial Narrow" w:cs="Arial"/>
                <w:bCs/>
                <w:sz w:val="20"/>
                <w:szCs w:val="20"/>
                <w:lang w:eastAsia="uk-UA"/>
              </w:rPr>
            </w:pPr>
            <w:r w:rsidRPr="00E802E0">
              <w:rPr>
                <w:rFonts w:ascii="Arial Narrow" w:eastAsia="Aptos" w:hAnsi="Arial Narrow" w:cs="Arial"/>
                <w:sz w:val="20"/>
                <w:szCs w:val="20"/>
                <w:lang w:eastAsia="uk-UA"/>
              </w:rPr>
              <w:t>Zbatimi i fushatave ndërgjegjësuese të përcaktuara për të rritur pjesëmarrjen e publikut në skemat e grumbullimit ]ndaras</w:t>
            </w:r>
          </w:p>
        </w:tc>
        <w:tc>
          <w:tcPr>
            <w:tcW w:w="462" w:type="pct"/>
            <w:tcMar>
              <w:left w:w="72" w:type="dxa"/>
              <w:right w:w="72" w:type="dxa"/>
            </w:tcMar>
          </w:tcPr>
          <w:p w14:paraId="76FC14AB" w14:textId="56EF7289"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i/>
                <w:iCs/>
                <w:sz w:val="20"/>
                <w:szCs w:val="20"/>
              </w:rPr>
            </w:pPr>
            <w:r w:rsidRPr="00E802E0">
              <w:rPr>
                <w:rFonts w:ascii="Arial Narrow" w:eastAsia="Aptos" w:hAnsi="Arial Narrow" w:cs="Arial"/>
                <w:sz w:val="20"/>
                <w:szCs w:val="20"/>
                <w:lang w:eastAsia="uk-UA"/>
              </w:rPr>
              <w:t>E vazhdueshme</w:t>
            </w:r>
          </w:p>
        </w:tc>
        <w:tc>
          <w:tcPr>
            <w:tcW w:w="419" w:type="pct"/>
            <w:tcMar>
              <w:left w:w="72" w:type="dxa"/>
              <w:right w:w="72" w:type="dxa"/>
            </w:tcMar>
          </w:tcPr>
          <w:p w14:paraId="3FB1EDC4" w14:textId="0128791C"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i/>
                <w:iCs/>
                <w:sz w:val="20"/>
                <w:szCs w:val="20"/>
                <w:highlight w:val="yellow"/>
              </w:rPr>
            </w:pPr>
            <w:r w:rsidRPr="00E802E0">
              <w:rPr>
                <w:rFonts w:ascii="Arial Narrow" w:eastAsia="Aptos" w:hAnsi="Arial Narrow" w:cs="Arial"/>
                <w:sz w:val="20"/>
                <w:szCs w:val="20"/>
                <w:lang w:eastAsia="uk-UA"/>
              </w:rPr>
              <w:t>1 euro për banor të shërbyer në vit</w:t>
            </w:r>
          </w:p>
        </w:tc>
        <w:tc>
          <w:tcPr>
            <w:tcW w:w="1137" w:type="pct"/>
            <w:tcMar>
              <w:left w:w="72" w:type="dxa"/>
              <w:right w:w="72" w:type="dxa"/>
            </w:tcMar>
          </w:tcPr>
          <w:p w14:paraId="27FB459B" w14:textId="0021497D"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i/>
                <w:iCs/>
                <w:sz w:val="20"/>
                <w:szCs w:val="20"/>
              </w:rPr>
            </w:pPr>
            <w:r w:rsidRPr="00E802E0">
              <w:rPr>
                <w:rFonts w:ascii="Arial Narrow" w:eastAsia="Aptos" w:hAnsi="Arial Narrow" w:cs="Arial"/>
                <w:sz w:val="20"/>
                <w:szCs w:val="20"/>
                <w:lang w:eastAsia="uk-UA"/>
              </w:rPr>
              <w:t>OPP-të, ofruesit e shërbimeve</w:t>
            </w:r>
          </w:p>
        </w:tc>
        <w:tc>
          <w:tcPr>
            <w:tcW w:w="708" w:type="pct"/>
            <w:tcMar>
              <w:left w:w="72" w:type="dxa"/>
              <w:right w:w="72" w:type="dxa"/>
            </w:tcMar>
          </w:tcPr>
          <w:p w14:paraId="6DAA1722" w14:textId="40BD9231"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i/>
                <w:iCs/>
                <w:sz w:val="20"/>
                <w:szCs w:val="20"/>
              </w:rPr>
            </w:pPr>
            <w:r w:rsidRPr="00E802E0">
              <w:rPr>
                <w:rFonts w:ascii="Arial Narrow" w:eastAsia="Aptos" w:hAnsi="Arial Narrow" w:cs="Arial"/>
                <w:sz w:val="20"/>
                <w:szCs w:val="20"/>
                <w:lang w:eastAsia="uk-UA"/>
              </w:rPr>
              <w:t>Komunat (koordinim)</w:t>
            </w:r>
          </w:p>
        </w:tc>
        <w:tc>
          <w:tcPr>
            <w:tcW w:w="782" w:type="pct"/>
            <w:tcMar>
              <w:left w:w="72" w:type="dxa"/>
              <w:right w:w="72" w:type="dxa"/>
            </w:tcMar>
          </w:tcPr>
          <w:p w14:paraId="31466CA9" w14:textId="264FC420"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i/>
                <w:iCs/>
                <w:sz w:val="20"/>
                <w:szCs w:val="20"/>
              </w:rPr>
            </w:pPr>
            <w:r w:rsidRPr="00E802E0">
              <w:rPr>
                <w:rFonts w:ascii="Arial Narrow" w:eastAsia="Calibri" w:hAnsi="Arial Narrow" w:cs="Calibri"/>
                <w:sz w:val="20"/>
                <w:szCs w:val="20"/>
              </w:rPr>
              <w:t>Numri i fushatave ndërgjegjësuese të realizuara; numri i banorëve që marrin informacion</w:t>
            </w:r>
          </w:p>
        </w:tc>
      </w:tr>
      <w:tr w:rsidR="00E802E0" w:rsidRPr="007D1EDC" w14:paraId="0A8889FE" w14:textId="77777777" w:rsidTr="00E802E0">
        <w:tc>
          <w:tcPr>
            <w:tcW w:w="227" w:type="pct"/>
            <w:tcMar>
              <w:left w:w="72" w:type="dxa"/>
              <w:right w:w="72" w:type="dxa"/>
            </w:tcMar>
          </w:tcPr>
          <w:p w14:paraId="651BEF4B"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4.3</w:t>
            </w:r>
          </w:p>
        </w:tc>
        <w:tc>
          <w:tcPr>
            <w:tcW w:w="1265" w:type="pct"/>
            <w:tcMar>
              <w:left w:w="72" w:type="dxa"/>
              <w:right w:w="72" w:type="dxa"/>
            </w:tcMar>
          </w:tcPr>
          <w:p w14:paraId="7BB804C2" w14:textId="690C050D"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Detyrë – Menaxhimi i mbet</w:t>
            </w:r>
            <w:r w:rsidR="00E802E0">
              <w:rPr>
                <w:rFonts w:ascii="Arial Narrow" w:eastAsia="Calibri" w:hAnsi="Arial Narrow" w:cs="Calibri"/>
                <w:b/>
                <w:bCs/>
                <w:i/>
                <w:iCs/>
                <w:sz w:val="20"/>
                <w:szCs w:val="20"/>
              </w:rPr>
              <w:t>urinave</w:t>
            </w:r>
            <w:r w:rsidRPr="007D1EDC">
              <w:rPr>
                <w:rFonts w:ascii="Arial Narrow" w:eastAsia="Calibri" w:hAnsi="Arial Narrow" w:cs="Calibri"/>
                <w:b/>
                <w:bCs/>
                <w:i/>
                <w:iCs/>
                <w:sz w:val="20"/>
                <w:szCs w:val="20"/>
              </w:rPr>
              <w:t xml:space="preserve"> të gjelbra</w:t>
            </w:r>
          </w:p>
        </w:tc>
        <w:tc>
          <w:tcPr>
            <w:tcW w:w="462" w:type="pct"/>
            <w:tcMar>
              <w:left w:w="72" w:type="dxa"/>
              <w:right w:w="72" w:type="dxa"/>
            </w:tcMar>
          </w:tcPr>
          <w:p w14:paraId="5D9B719F"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c>
          <w:tcPr>
            <w:tcW w:w="419" w:type="pct"/>
            <w:tcMar>
              <w:left w:w="72" w:type="dxa"/>
              <w:right w:w="72" w:type="dxa"/>
            </w:tcMar>
          </w:tcPr>
          <w:p w14:paraId="2F62D760"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highlight w:val="yellow"/>
              </w:rPr>
            </w:pPr>
          </w:p>
        </w:tc>
        <w:tc>
          <w:tcPr>
            <w:tcW w:w="1137" w:type="pct"/>
            <w:tcMar>
              <w:left w:w="72" w:type="dxa"/>
              <w:right w:w="72" w:type="dxa"/>
            </w:tcMar>
          </w:tcPr>
          <w:p w14:paraId="7DED45F4"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c>
          <w:tcPr>
            <w:tcW w:w="708" w:type="pct"/>
            <w:tcMar>
              <w:left w:w="72" w:type="dxa"/>
              <w:right w:w="72" w:type="dxa"/>
            </w:tcMar>
          </w:tcPr>
          <w:p w14:paraId="12A197CE"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c>
          <w:tcPr>
            <w:tcW w:w="782" w:type="pct"/>
            <w:tcMar>
              <w:left w:w="72" w:type="dxa"/>
              <w:right w:w="72" w:type="dxa"/>
            </w:tcMar>
          </w:tcPr>
          <w:p w14:paraId="5C497E8B"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r>
      <w:tr w:rsidR="00E802E0" w:rsidRPr="007D1EDC" w14:paraId="0CCFA9E7" w14:textId="77777777" w:rsidTr="00E802E0">
        <w:tc>
          <w:tcPr>
            <w:tcW w:w="227" w:type="pct"/>
            <w:tcMar>
              <w:left w:w="72" w:type="dxa"/>
              <w:right w:w="72" w:type="dxa"/>
            </w:tcMar>
          </w:tcPr>
          <w:p w14:paraId="3322938A" w14:textId="77777777" w:rsidR="007D1EDC" w:rsidRPr="007D1EDC" w:rsidRDefault="007D1EDC" w:rsidP="007D1EDC">
            <w:pPr>
              <w:rPr>
                <w:rFonts w:ascii="Arial Narrow" w:eastAsia="Calibri" w:hAnsi="Arial Narrow"/>
                <w:sz w:val="20"/>
                <w:lang w:val="bg-BG"/>
              </w:rPr>
            </w:pPr>
          </w:p>
        </w:tc>
        <w:tc>
          <w:tcPr>
            <w:tcW w:w="1265" w:type="pct"/>
            <w:tcMar>
              <w:left w:w="72" w:type="dxa"/>
              <w:right w:w="72" w:type="dxa"/>
            </w:tcMar>
          </w:tcPr>
          <w:p w14:paraId="5082ECCC"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r w:rsidRPr="007D1EDC">
              <w:rPr>
                <w:rFonts w:ascii="Arial Narrow" w:eastAsia="Calibri" w:hAnsi="Arial Narrow" w:cs="Calibri"/>
                <w:sz w:val="20"/>
                <w:szCs w:val="20"/>
              </w:rPr>
              <w:t>Nuk parashikohen aktivitete</w:t>
            </w:r>
          </w:p>
        </w:tc>
        <w:tc>
          <w:tcPr>
            <w:tcW w:w="462" w:type="pct"/>
            <w:tcMar>
              <w:left w:w="72" w:type="dxa"/>
              <w:right w:w="72" w:type="dxa"/>
            </w:tcMar>
          </w:tcPr>
          <w:p w14:paraId="49C33BE1"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c>
          <w:tcPr>
            <w:tcW w:w="419" w:type="pct"/>
            <w:tcMar>
              <w:left w:w="72" w:type="dxa"/>
              <w:right w:w="72" w:type="dxa"/>
            </w:tcMar>
          </w:tcPr>
          <w:p w14:paraId="61DD048C"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highlight w:val="yellow"/>
              </w:rPr>
            </w:pPr>
          </w:p>
        </w:tc>
        <w:tc>
          <w:tcPr>
            <w:tcW w:w="1137" w:type="pct"/>
            <w:tcMar>
              <w:left w:w="72" w:type="dxa"/>
              <w:right w:w="72" w:type="dxa"/>
            </w:tcMar>
          </w:tcPr>
          <w:p w14:paraId="77045895"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c>
          <w:tcPr>
            <w:tcW w:w="708" w:type="pct"/>
            <w:tcMar>
              <w:left w:w="72" w:type="dxa"/>
              <w:right w:w="72" w:type="dxa"/>
            </w:tcMar>
          </w:tcPr>
          <w:p w14:paraId="7CC73147"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c>
          <w:tcPr>
            <w:tcW w:w="782" w:type="pct"/>
            <w:tcMar>
              <w:left w:w="72" w:type="dxa"/>
              <w:right w:w="72" w:type="dxa"/>
            </w:tcMar>
          </w:tcPr>
          <w:p w14:paraId="00BA7964"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r>
      <w:tr w:rsidR="00E802E0" w:rsidRPr="007D1EDC" w14:paraId="363EC77F" w14:textId="77777777" w:rsidTr="00E802E0">
        <w:tc>
          <w:tcPr>
            <w:tcW w:w="227" w:type="pct"/>
            <w:tcMar>
              <w:left w:w="72" w:type="dxa"/>
              <w:right w:w="72" w:type="dxa"/>
            </w:tcMar>
          </w:tcPr>
          <w:p w14:paraId="15B5BBB8"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4.4</w:t>
            </w:r>
          </w:p>
        </w:tc>
        <w:tc>
          <w:tcPr>
            <w:tcW w:w="1265" w:type="pct"/>
            <w:tcMar>
              <w:left w:w="72" w:type="dxa"/>
              <w:right w:w="72" w:type="dxa"/>
            </w:tcMar>
          </w:tcPr>
          <w:p w14:paraId="77EF34AE" w14:textId="68FDE098"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r w:rsidRPr="007D1EDC">
              <w:rPr>
                <w:rFonts w:ascii="Arial Narrow" w:eastAsia="Calibri" w:hAnsi="Arial Narrow" w:cs="Calibri"/>
                <w:b/>
                <w:bCs/>
                <w:i/>
                <w:iCs/>
                <w:sz w:val="20"/>
                <w:szCs w:val="20"/>
              </w:rPr>
              <w:t xml:space="preserve">Detyrë – Menaxhimi i </w:t>
            </w:r>
            <w:r w:rsidR="00E802E0">
              <w:rPr>
                <w:rFonts w:ascii="Arial Narrow" w:eastAsia="Calibri" w:hAnsi="Arial Narrow" w:cs="Calibri"/>
                <w:b/>
                <w:bCs/>
                <w:i/>
                <w:iCs/>
                <w:sz w:val="20"/>
                <w:szCs w:val="20"/>
              </w:rPr>
              <w:t>MNRr-ve</w:t>
            </w:r>
          </w:p>
        </w:tc>
        <w:tc>
          <w:tcPr>
            <w:tcW w:w="462" w:type="pct"/>
            <w:tcMar>
              <w:left w:w="72" w:type="dxa"/>
              <w:right w:w="72" w:type="dxa"/>
            </w:tcMar>
          </w:tcPr>
          <w:p w14:paraId="2EC4ED90"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c>
          <w:tcPr>
            <w:tcW w:w="419" w:type="pct"/>
            <w:tcMar>
              <w:left w:w="72" w:type="dxa"/>
              <w:right w:w="72" w:type="dxa"/>
            </w:tcMar>
          </w:tcPr>
          <w:p w14:paraId="53DA7039"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highlight w:val="yellow"/>
              </w:rPr>
            </w:pPr>
          </w:p>
        </w:tc>
        <w:tc>
          <w:tcPr>
            <w:tcW w:w="1137" w:type="pct"/>
            <w:tcMar>
              <w:left w:w="72" w:type="dxa"/>
              <w:right w:w="72" w:type="dxa"/>
            </w:tcMar>
          </w:tcPr>
          <w:p w14:paraId="7E101C69"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c>
          <w:tcPr>
            <w:tcW w:w="708" w:type="pct"/>
            <w:tcMar>
              <w:left w:w="72" w:type="dxa"/>
              <w:right w:w="72" w:type="dxa"/>
            </w:tcMar>
          </w:tcPr>
          <w:p w14:paraId="4B1EE2F4"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c>
          <w:tcPr>
            <w:tcW w:w="782" w:type="pct"/>
            <w:tcMar>
              <w:left w:w="72" w:type="dxa"/>
              <w:right w:w="72" w:type="dxa"/>
            </w:tcMar>
          </w:tcPr>
          <w:p w14:paraId="7AF57963"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r>
      <w:tr w:rsidR="00E802E0" w:rsidRPr="007D1EDC" w14:paraId="38859A1C" w14:textId="77777777" w:rsidTr="00E802E0">
        <w:tc>
          <w:tcPr>
            <w:tcW w:w="227" w:type="pct"/>
            <w:tcMar>
              <w:left w:w="72" w:type="dxa"/>
              <w:right w:w="72" w:type="dxa"/>
            </w:tcMar>
          </w:tcPr>
          <w:p w14:paraId="217828C8" w14:textId="77777777" w:rsidR="00E802E0" w:rsidRPr="007D1EDC" w:rsidRDefault="00E802E0" w:rsidP="00E802E0">
            <w:pPr>
              <w:spacing w:before="60" w:after="60"/>
              <w:rPr>
                <w:rFonts w:ascii="Arial Narrow" w:eastAsia="Calibri" w:hAnsi="Arial Narrow"/>
                <w:sz w:val="20"/>
              </w:rPr>
            </w:pPr>
            <w:r w:rsidRPr="007D1EDC">
              <w:rPr>
                <w:rFonts w:ascii="Arial Narrow" w:eastAsia="Calibri" w:hAnsi="Arial Narrow"/>
                <w:sz w:val="20"/>
              </w:rPr>
              <w:t>4.4.1</w:t>
            </w:r>
          </w:p>
        </w:tc>
        <w:tc>
          <w:tcPr>
            <w:tcW w:w="1265" w:type="pct"/>
            <w:tcMar>
              <w:left w:w="72" w:type="dxa"/>
              <w:right w:w="72" w:type="dxa"/>
            </w:tcMar>
          </w:tcPr>
          <w:p w14:paraId="19C14BBD" w14:textId="49896D7F"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sz w:val="20"/>
                <w:szCs w:val="20"/>
                <w:lang w:eastAsia="uk-UA"/>
              </w:rPr>
              <w:t>Zbatimi i legjislacionit dhe rregulloreve që kontrollojnë deponimin e mbeturinave të ndërtimit dhe rrënimit</w:t>
            </w:r>
          </w:p>
        </w:tc>
        <w:tc>
          <w:tcPr>
            <w:tcW w:w="462" w:type="pct"/>
            <w:tcMar>
              <w:left w:w="72" w:type="dxa"/>
              <w:right w:w="72" w:type="dxa"/>
            </w:tcMar>
          </w:tcPr>
          <w:p w14:paraId="2783454A" w14:textId="37F6CA33"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i/>
                <w:iCs/>
                <w:sz w:val="20"/>
                <w:szCs w:val="20"/>
              </w:rPr>
            </w:pPr>
            <w:r w:rsidRPr="00E802E0">
              <w:rPr>
                <w:rFonts w:ascii="Arial Narrow" w:eastAsia="Aptos" w:hAnsi="Arial Narrow" w:cs="Arial"/>
                <w:sz w:val="20"/>
                <w:szCs w:val="20"/>
                <w:lang w:eastAsia="uk-UA"/>
              </w:rPr>
              <w:t>I perhershem</w:t>
            </w:r>
          </w:p>
        </w:tc>
        <w:tc>
          <w:tcPr>
            <w:tcW w:w="419" w:type="pct"/>
            <w:tcMar>
              <w:left w:w="72" w:type="dxa"/>
              <w:right w:w="72" w:type="dxa"/>
            </w:tcMar>
          </w:tcPr>
          <w:p w14:paraId="7205E120" w14:textId="53026C08"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i/>
                <w:iCs/>
                <w:sz w:val="20"/>
                <w:szCs w:val="20"/>
                <w:highlight w:val="yellow"/>
              </w:rPr>
            </w:pPr>
            <w:r w:rsidRPr="00E802E0">
              <w:rPr>
                <w:rFonts w:ascii="Arial Narrow" w:eastAsia="Aptos" w:hAnsi="Arial Narrow" w:cs="Arial"/>
                <w:sz w:val="20"/>
                <w:szCs w:val="20"/>
                <w:lang w:eastAsia="uk-UA"/>
              </w:rPr>
              <w:t>Nuk kërkon financim shtesë</w:t>
            </w:r>
          </w:p>
        </w:tc>
        <w:tc>
          <w:tcPr>
            <w:tcW w:w="1137" w:type="pct"/>
            <w:tcMar>
              <w:left w:w="72" w:type="dxa"/>
              <w:right w:w="72" w:type="dxa"/>
            </w:tcMar>
          </w:tcPr>
          <w:p w14:paraId="669A8022" w14:textId="101054AA"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i/>
                <w:iCs/>
                <w:sz w:val="20"/>
                <w:szCs w:val="20"/>
              </w:rPr>
            </w:pPr>
            <w:r w:rsidRPr="00E802E0">
              <w:rPr>
                <w:rFonts w:ascii="Arial Narrow" w:eastAsia="Aptos" w:hAnsi="Arial Narrow" w:cs="Arial"/>
                <w:sz w:val="20"/>
                <w:szCs w:val="20"/>
                <w:lang w:eastAsia="uk-UA"/>
              </w:rPr>
              <w:t>Brenda buxhetit të autoriteteve të kontrollit</w:t>
            </w:r>
          </w:p>
        </w:tc>
        <w:tc>
          <w:tcPr>
            <w:tcW w:w="708" w:type="pct"/>
            <w:tcMar>
              <w:left w:w="72" w:type="dxa"/>
              <w:right w:w="72" w:type="dxa"/>
            </w:tcMar>
          </w:tcPr>
          <w:p w14:paraId="50328DC3" w14:textId="7B668639"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i/>
                <w:iCs/>
                <w:sz w:val="20"/>
                <w:szCs w:val="20"/>
              </w:rPr>
            </w:pPr>
            <w:r w:rsidRPr="00E802E0">
              <w:rPr>
                <w:rFonts w:ascii="Arial Narrow" w:eastAsia="Aptos" w:hAnsi="Arial Narrow" w:cs="Arial"/>
                <w:sz w:val="20"/>
                <w:szCs w:val="20"/>
                <w:lang w:eastAsia="uk-UA"/>
              </w:rPr>
              <w:t>Komunat</w:t>
            </w:r>
          </w:p>
        </w:tc>
        <w:tc>
          <w:tcPr>
            <w:tcW w:w="782" w:type="pct"/>
            <w:tcMar>
              <w:left w:w="72" w:type="dxa"/>
              <w:right w:w="72" w:type="dxa"/>
            </w:tcMar>
          </w:tcPr>
          <w:p w14:paraId="3E7563E2" w14:textId="301D74B9" w:rsidR="00E802E0" w:rsidRPr="00E802E0" w:rsidRDefault="00E802E0" w:rsidP="00E802E0">
            <w:pPr>
              <w:widowControl w:val="0"/>
              <w:suppressAutoHyphens/>
              <w:autoSpaceDE w:val="0"/>
              <w:autoSpaceDN w:val="0"/>
              <w:spacing w:before="60" w:after="60"/>
              <w:ind w:right="123"/>
              <w:rPr>
                <w:rFonts w:ascii="Arial Narrow" w:eastAsia="Calibri" w:hAnsi="Arial Narrow" w:cs="Calibri"/>
                <w:b/>
                <w:bCs/>
                <w:i/>
                <w:iCs/>
                <w:sz w:val="20"/>
                <w:szCs w:val="20"/>
              </w:rPr>
            </w:pPr>
            <w:r w:rsidRPr="00E802E0">
              <w:rPr>
                <w:rFonts w:ascii="Arial Narrow" w:eastAsia="Calibri" w:hAnsi="Arial Narrow" w:cs="Calibri"/>
                <w:sz w:val="20"/>
                <w:szCs w:val="20"/>
              </w:rPr>
              <w:t>Numri i inspektimeve vjetore</w:t>
            </w:r>
          </w:p>
        </w:tc>
      </w:tr>
      <w:tr w:rsidR="00E802E0" w:rsidRPr="007D1EDC" w14:paraId="1A06D91A" w14:textId="77777777" w:rsidTr="00E802E0">
        <w:tc>
          <w:tcPr>
            <w:tcW w:w="227" w:type="pct"/>
            <w:tcMar>
              <w:left w:w="72" w:type="dxa"/>
              <w:right w:w="72" w:type="dxa"/>
            </w:tcMar>
          </w:tcPr>
          <w:p w14:paraId="7876092C"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4.5</w:t>
            </w:r>
          </w:p>
        </w:tc>
        <w:tc>
          <w:tcPr>
            <w:tcW w:w="1265" w:type="pct"/>
            <w:tcMar>
              <w:left w:w="72" w:type="dxa"/>
              <w:right w:w="72" w:type="dxa"/>
            </w:tcMar>
          </w:tcPr>
          <w:p w14:paraId="634AD77E" w14:textId="29D03B5D"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 xml:space="preserve">Detyrë – Ngritja e </w:t>
            </w:r>
            <w:r w:rsidR="00E802E0">
              <w:rPr>
                <w:rFonts w:ascii="Arial Narrow" w:eastAsia="Calibri" w:hAnsi="Arial Narrow" w:cs="Calibri"/>
                <w:b/>
                <w:bCs/>
                <w:i/>
                <w:iCs/>
                <w:sz w:val="20"/>
                <w:szCs w:val="20"/>
              </w:rPr>
              <w:t>objekteve</w:t>
            </w:r>
            <w:r w:rsidRPr="007D1EDC">
              <w:rPr>
                <w:rFonts w:ascii="Arial Narrow" w:eastAsia="Calibri" w:hAnsi="Arial Narrow" w:cs="Calibri"/>
                <w:b/>
                <w:bCs/>
                <w:i/>
                <w:iCs/>
                <w:sz w:val="20"/>
                <w:szCs w:val="20"/>
              </w:rPr>
              <w:t xml:space="preserve"> të rikuperimit të mbet</w:t>
            </w:r>
            <w:r w:rsidR="00E802E0">
              <w:rPr>
                <w:rFonts w:ascii="Arial Narrow" w:eastAsia="Calibri" w:hAnsi="Arial Narrow" w:cs="Calibri"/>
                <w:b/>
                <w:bCs/>
                <w:i/>
                <w:iCs/>
                <w:sz w:val="20"/>
                <w:szCs w:val="20"/>
              </w:rPr>
              <w:t>urinave</w:t>
            </w:r>
          </w:p>
        </w:tc>
        <w:tc>
          <w:tcPr>
            <w:tcW w:w="462" w:type="pct"/>
            <w:tcMar>
              <w:left w:w="72" w:type="dxa"/>
              <w:right w:w="72" w:type="dxa"/>
            </w:tcMar>
          </w:tcPr>
          <w:p w14:paraId="4939D603"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c>
          <w:tcPr>
            <w:tcW w:w="419" w:type="pct"/>
            <w:tcMar>
              <w:left w:w="72" w:type="dxa"/>
              <w:right w:w="72" w:type="dxa"/>
            </w:tcMar>
          </w:tcPr>
          <w:p w14:paraId="4AD417BE"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highlight w:val="yellow"/>
              </w:rPr>
            </w:pPr>
          </w:p>
        </w:tc>
        <w:tc>
          <w:tcPr>
            <w:tcW w:w="1137" w:type="pct"/>
            <w:tcMar>
              <w:left w:w="72" w:type="dxa"/>
              <w:right w:w="72" w:type="dxa"/>
            </w:tcMar>
          </w:tcPr>
          <w:p w14:paraId="459FA805"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c>
          <w:tcPr>
            <w:tcW w:w="708" w:type="pct"/>
            <w:tcMar>
              <w:left w:w="72" w:type="dxa"/>
              <w:right w:w="72" w:type="dxa"/>
            </w:tcMar>
          </w:tcPr>
          <w:p w14:paraId="18FD930C"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c>
          <w:tcPr>
            <w:tcW w:w="782" w:type="pct"/>
            <w:tcMar>
              <w:left w:w="72" w:type="dxa"/>
              <w:right w:w="72" w:type="dxa"/>
            </w:tcMar>
          </w:tcPr>
          <w:p w14:paraId="52FEF4EC"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p>
        </w:tc>
      </w:tr>
      <w:tr w:rsidR="00E802E0" w:rsidRPr="007D1EDC" w14:paraId="14C0448C" w14:textId="77777777" w:rsidTr="00E802E0">
        <w:tc>
          <w:tcPr>
            <w:tcW w:w="227" w:type="pct"/>
            <w:tcMar>
              <w:left w:w="72" w:type="dxa"/>
              <w:right w:w="72" w:type="dxa"/>
            </w:tcMar>
          </w:tcPr>
          <w:p w14:paraId="13C38C58" w14:textId="77777777" w:rsidR="00E802E0" w:rsidRPr="007D1EDC" w:rsidRDefault="00E802E0" w:rsidP="00E802E0">
            <w:pPr>
              <w:spacing w:before="60" w:after="60"/>
              <w:rPr>
                <w:rFonts w:ascii="Arial Narrow" w:eastAsia="Calibri" w:hAnsi="Arial Narrow"/>
                <w:sz w:val="20"/>
              </w:rPr>
            </w:pPr>
            <w:r w:rsidRPr="007D1EDC">
              <w:rPr>
                <w:rFonts w:ascii="Arial Narrow" w:eastAsia="Calibri" w:hAnsi="Arial Narrow"/>
                <w:sz w:val="20"/>
              </w:rPr>
              <w:t>4.5.1</w:t>
            </w:r>
          </w:p>
        </w:tc>
        <w:tc>
          <w:tcPr>
            <w:tcW w:w="1265" w:type="pct"/>
            <w:tcMar>
              <w:left w:w="72" w:type="dxa"/>
              <w:right w:w="72" w:type="dxa"/>
            </w:tcMar>
          </w:tcPr>
          <w:p w14:paraId="4FEBD3E6" w14:textId="21BFF363"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Studimi i fizibilitetit për ngritjen e objektit TMB dhe sistemin të menaxhimit të mbeturinave ushqimore</w:t>
            </w:r>
            <w:r w:rsidR="0088099A">
              <w:rPr>
                <w:rStyle w:val="FootnoteReference"/>
                <w:rFonts w:eastAsia="Aptos" w:cs="Arial"/>
                <w:bCs/>
                <w:szCs w:val="20"/>
                <w:lang w:eastAsia="uk-UA"/>
              </w:rPr>
              <w:footnoteReference w:id="44"/>
            </w:r>
          </w:p>
        </w:tc>
        <w:tc>
          <w:tcPr>
            <w:tcW w:w="462" w:type="pct"/>
            <w:tcMar>
              <w:left w:w="72" w:type="dxa"/>
              <w:right w:w="72" w:type="dxa"/>
            </w:tcMar>
          </w:tcPr>
          <w:p w14:paraId="252D06C8" w14:textId="1ABB0B43"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2028</w:t>
            </w:r>
          </w:p>
        </w:tc>
        <w:tc>
          <w:tcPr>
            <w:tcW w:w="419" w:type="pct"/>
            <w:tcMar>
              <w:left w:w="72" w:type="dxa"/>
              <w:right w:w="72" w:type="dxa"/>
            </w:tcMar>
          </w:tcPr>
          <w:p w14:paraId="4B69F388" w14:textId="1CCD8036"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highlight w:val="yellow"/>
              </w:rPr>
            </w:pPr>
            <w:r w:rsidRPr="00E802E0">
              <w:rPr>
                <w:rFonts w:ascii="Arial Narrow" w:eastAsia="Aptos" w:hAnsi="Arial Narrow" w:cs="Arial"/>
                <w:bCs/>
                <w:sz w:val="20"/>
                <w:szCs w:val="20"/>
                <w:lang w:eastAsia="uk-UA"/>
              </w:rPr>
              <w:t>350,000</w:t>
            </w:r>
          </w:p>
        </w:tc>
        <w:tc>
          <w:tcPr>
            <w:tcW w:w="1137" w:type="pct"/>
            <w:tcMar>
              <w:left w:w="72" w:type="dxa"/>
              <w:right w:w="72" w:type="dxa"/>
            </w:tcMar>
          </w:tcPr>
          <w:p w14:paraId="3AB0902F" w14:textId="5DC77BCF"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Granti i asistencës teknike</w:t>
            </w:r>
          </w:p>
        </w:tc>
        <w:tc>
          <w:tcPr>
            <w:tcW w:w="708" w:type="pct"/>
            <w:tcMar>
              <w:left w:w="72" w:type="dxa"/>
              <w:right w:w="72" w:type="dxa"/>
            </w:tcMar>
          </w:tcPr>
          <w:p w14:paraId="22982482" w14:textId="2D9A585C" w:rsidR="00E802E0" w:rsidRPr="0040205E"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40205E">
              <w:rPr>
                <w:rFonts w:ascii="Arial Narrow" w:eastAsia="Aptos" w:hAnsi="Arial Narrow" w:cs="Arial"/>
                <w:bCs/>
                <w:sz w:val="20"/>
                <w:szCs w:val="20"/>
                <w:lang w:eastAsia="uk-UA"/>
              </w:rPr>
              <w:t>KMDK në bashkëpunim me komunën që është në pronësi të lokacionit</w:t>
            </w:r>
          </w:p>
        </w:tc>
        <w:tc>
          <w:tcPr>
            <w:tcW w:w="782" w:type="pct"/>
            <w:tcMar>
              <w:left w:w="72" w:type="dxa"/>
              <w:right w:w="72" w:type="dxa"/>
            </w:tcMar>
          </w:tcPr>
          <w:p w14:paraId="41BD4301" w14:textId="51148B66"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Studimi i Fizibilitetit është përgatitur dhe miratuar</w:t>
            </w:r>
          </w:p>
        </w:tc>
      </w:tr>
      <w:tr w:rsidR="00E802E0" w:rsidRPr="007D1EDC" w14:paraId="35EECFD7" w14:textId="77777777" w:rsidTr="00E802E0">
        <w:tc>
          <w:tcPr>
            <w:tcW w:w="227" w:type="pct"/>
            <w:tcMar>
              <w:left w:w="72" w:type="dxa"/>
              <w:right w:w="72" w:type="dxa"/>
            </w:tcMar>
          </w:tcPr>
          <w:p w14:paraId="2F1277C4" w14:textId="77777777" w:rsidR="00E802E0" w:rsidRPr="007D1EDC" w:rsidRDefault="00E802E0" w:rsidP="00E802E0">
            <w:pPr>
              <w:spacing w:before="60" w:after="60"/>
              <w:rPr>
                <w:rFonts w:ascii="Arial Narrow" w:eastAsia="Calibri" w:hAnsi="Arial Narrow"/>
                <w:sz w:val="20"/>
              </w:rPr>
            </w:pPr>
            <w:r w:rsidRPr="007D1EDC">
              <w:rPr>
                <w:rFonts w:ascii="Arial Narrow" w:eastAsia="Calibri" w:hAnsi="Arial Narrow"/>
                <w:sz w:val="20"/>
              </w:rPr>
              <w:t>4.5.2</w:t>
            </w:r>
          </w:p>
        </w:tc>
        <w:tc>
          <w:tcPr>
            <w:tcW w:w="1265" w:type="pct"/>
            <w:tcMar>
              <w:left w:w="72" w:type="dxa"/>
              <w:right w:w="72" w:type="dxa"/>
            </w:tcMar>
          </w:tcPr>
          <w:p w14:paraId="728969ED" w14:textId="04F62F83"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Projektimi dhe ndërtimi i objektit TMB</w:t>
            </w:r>
            <w:bookmarkStart w:id="571" w:name="_Ref198278752"/>
            <w:r w:rsidR="00333B2D">
              <w:rPr>
                <w:rStyle w:val="FootnoteReference"/>
                <w:rFonts w:eastAsia="Aptos" w:cs="Arial"/>
                <w:bCs/>
                <w:szCs w:val="20"/>
                <w:lang w:eastAsia="uk-UA"/>
              </w:rPr>
              <w:footnoteReference w:id="45"/>
            </w:r>
            <w:bookmarkEnd w:id="571"/>
          </w:p>
        </w:tc>
        <w:tc>
          <w:tcPr>
            <w:tcW w:w="462" w:type="pct"/>
            <w:tcMar>
              <w:left w:w="72" w:type="dxa"/>
              <w:right w:w="72" w:type="dxa"/>
            </w:tcMar>
          </w:tcPr>
          <w:p w14:paraId="1CB18D21" w14:textId="39D41D50"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2029-2031</w:t>
            </w:r>
          </w:p>
        </w:tc>
        <w:tc>
          <w:tcPr>
            <w:tcW w:w="419" w:type="pct"/>
            <w:tcMar>
              <w:left w:w="72" w:type="dxa"/>
              <w:right w:w="72" w:type="dxa"/>
            </w:tcMar>
          </w:tcPr>
          <w:p w14:paraId="627FF158" w14:textId="47239022"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15,254,000</w:t>
            </w:r>
          </w:p>
        </w:tc>
        <w:tc>
          <w:tcPr>
            <w:tcW w:w="1137" w:type="pct"/>
            <w:tcMar>
              <w:left w:w="72" w:type="dxa"/>
              <w:right w:w="72" w:type="dxa"/>
            </w:tcMar>
          </w:tcPr>
          <w:p w14:paraId="615AAC4F" w14:textId="267386F7"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Granti kapital</w:t>
            </w:r>
          </w:p>
        </w:tc>
        <w:tc>
          <w:tcPr>
            <w:tcW w:w="708" w:type="pct"/>
            <w:tcMar>
              <w:left w:w="72" w:type="dxa"/>
              <w:right w:w="72" w:type="dxa"/>
            </w:tcMar>
          </w:tcPr>
          <w:p w14:paraId="6E914FC1" w14:textId="570C5915" w:rsidR="00E802E0" w:rsidRPr="0040205E"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40205E">
              <w:rPr>
                <w:rFonts w:ascii="Arial Narrow" w:eastAsia="Aptos" w:hAnsi="Arial Narrow" w:cs="Arial"/>
                <w:bCs/>
                <w:sz w:val="20"/>
                <w:szCs w:val="20"/>
                <w:lang w:eastAsia="uk-UA"/>
              </w:rPr>
              <w:t>KMDK në bashkëpunim me komunën që është në pronësi të lokacionit</w:t>
            </w:r>
          </w:p>
        </w:tc>
        <w:tc>
          <w:tcPr>
            <w:tcW w:w="782" w:type="pct"/>
            <w:tcMar>
              <w:left w:w="72" w:type="dxa"/>
              <w:right w:w="72" w:type="dxa"/>
            </w:tcMar>
          </w:tcPr>
          <w:p w14:paraId="57AD7F05" w14:textId="2DD329E5"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Impianti TMB është vënë në punë</w:t>
            </w:r>
          </w:p>
        </w:tc>
      </w:tr>
      <w:tr w:rsidR="00E802E0" w:rsidRPr="007D1EDC" w14:paraId="7037CA1A" w14:textId="77777777" w:rsidTr="00E802E0">
        <w:tc>
          <w:tcPr>
            <w:tcW w:w="227" w:type="pct"/>
            <w:tcMar>
              <w:left w:w="72" w:type="dxa"/>
              <w:right w:w="72" w:type="dxa"/>
            </w:tcMar>
          </w:tcPr>
          <w:p w14:paraId="25A82999" w14:textId="77777777" w:rsidR="00E802E0" w:rsidRPr="007D1EDC" w:rsidRDefault="00E802E0" w:rsidP="00E802E0">
            <w:pPr>
              <w:spacing w:before="60" w:after="60"/>
              <w:rPr>
                <w:rFonts w:ascii="Arial Narrow" w:eastAsia="Calibri" w:hAnsi="Arial Narrow"/>
                <w:sz w:val="20"/>
              </w:rPr>
            </w:pPr>
            <w:r w:rsidRPr="007D1EDC">
              <w:rPr>
                <w:rFonts w:ascii="Arial Narrow" w:eastAsia="Calibri" w:hAnsi="Arial Narrow"/>
                <w:sz w:val="20"/>
              </w:rPr>
              <w:t>4.5.3</w:t>
            </w:r>
          </w:p>
        </w:tc>
        <w:tc>
          <w:tcPr>
            <w:tcW w:w="1265" w:type="pct"/>
            <w:tcMar>
              <w:left w:w="72" w:type="dxa"/>
              <w:right w:w="72" w:type="dxa"/>
            </w:tcMar>
          </w:tcPr>
          <w:p w14:paraId="3F5098CA" w14:textId="056D9CCF"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Projektimi dhe ndërtimi i objektit të rikuperimit të mbeturinave ushqimore</w:t>
            </w:r>
            <w:r w:rsidR="007C22DA" w:rsidRPr="00254A14">
              <w:rPr>
                <w:rFonts w:ascii="Arial Narrow" w:eastAsia="Aptos" w:hAnsi="Arial Narrow" w:cs="Arial"/>
                <w:bCs/>
                <w:color w:val="0070C0"/>
                <w:sz w:val="28"/>
                <w:szCs w:val="28"/>
                <w:vertAlign w:val="superscript"/>
                <w:lang w:eastAsia="uk-UA"/>
              </w:rPr>
              <w:fldChar w:fldCharType="begin"/>
            </w:r>
            <w:r w:rsidR="007C22DA" w:rsidRPr="00254A14">
              <w:rPr>
                <w:rFonts w:ascii="Arial Narrow" w:eastAsia="Aptos" w:hAnsi="Arial Narrow" w:cs="Arial"/>
                <w:bCs/>
                <w:color w:val="0070C0"/>
                <w:sz w:val="28"/>
                <w:szCs w:val="28"/>
                <w:vertAlign w:val="superscript"/>
                <w:lang w:eastAsia="uk-UA"/>
              </w:rPr>
              <w:instrText xml:space="preserve"> NOTEREF _Ref198278752 \h </w:instrText>
            </w:r>
            <w:r w:rsidR="007C22DA" w:rsidRPr="00254A14">
              <w:rPr>
                <w:rFonts w:ascii="Arial Narrow" w:eastAsia="Aptos" w:hAnsi="Arial Narrow" w:cs="Arial"/>
                <w:bCs/>
                <w:color w:val="0070C0"/>
                <w:sz w:val="28"/>
                <w:szCs w:val="28"/>
                <w:vertAlign w:val="superscript"/>
                <w:lang w:eastAsia="uk-UA"/>
              </w:rPr>
            </w:r>
            <w:r w:rsidR="005B6AEE" w:rsidRPr="00254A14">
              <w:rPr>
                <w:rFonts w:ascii="Arial Narrow" w:eastAsia="Aptos" w:hAnsi="Arial Narrow" w:cs="Arial"/>
                <w:bCs/>
                <w:color w:val="0070C0"/>
                <w:sz w:val="28"/>
                <w:szCs w:val="28"/>
                <w:vertAlign w:val="superscript"/>
                <w:lang w:eastAsia="uk-UA"/>
              </w:rPr>
              <w:instrText xml:space="preserve"> \* MERGEFORMAT </w:instrText>
            </w:r>
            <w:r w:rsidR="007C22DA" w:rsidRPr="00254A14">
              <w:rPr>
                <w:rFonts w:ascii="Arial Narrow" w:eastAsia="Aptos" w:hAnsi="Arial Narrow" w:cs="Arial"/>
                <w:bCs/>
                <w:color w:val="0070C0"/>
                <w:sz w:val="28"/>
                <w:szCs w:val="28"/>
                <w:vertAlign w:val="superscript"/>
                <w:lang w:eastAsia="uk-UA"/>
              </w:rPr>
              <w:fldChar w:fldCharType="separate"/>
            </w:r>
            <w:r w:rsidR="007C22DA" w:rsidRPr="00254A14">
              <w:rPr>
                <w:rFonts w:ascii="Arial Narrow" w:eastAsia="Aptos" w:hAnsi="Arial Narrow" w:cs="Arial"/>
                <w:bCs/>
                <w:color w:val="0070C0"/>
                <w:sz w:val="28"/>
                <w:szCs w:val="28"/>
                <w:vertAlign w:val="superscript"/>
                <w:lang w:eastAsia="uk-UA"/>
              </w:rPr>
              <w:t>44</w:t>
            </w:r>
            <w:r w:rsidR="007C22DA" w:rsidRPr="00254A14">
              <w:rPr>
                <w:rFonts w:ascii="Arial Narrow" w:eastAsia="Aptos" w:hAnsi="Arial Narrow" w:cs="Arial"/>
                <w:bCs/>
                <w:color w:val="0070C0"/>
                <w:sz w:val="28"/>
                <w:szCs w:val="28"/>
                <w:vertAlign w:val="superscript"/>
                <w:lang w:eastAsia="uk-UA"/>
              </w:rPr>
              <w:fldChar w:fldCharType="end"/>
            </w:r>
          </w:p>
        </w:tc>
        <w:tc>
          <w:tcPr>
            <w:tcW w:w="462" w:type="pct"/>
            <w:tcMar>
              <w:left w:w="72" w:type="dxa"/>
              <w:right w:w="72" w:type="dxa"/>
            </w:tcMar>
          </w:tcPr>
          <w:p w14:paraId="12025ECB" w14:textId="2AA12DC4"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2029-2031</w:t>
            </w:r>
          </w:p>
        </w:tc>
        <w:tc>
          <w:tcPr>
            <w:tcW w:w="419" w:type="pct"/>
            <w:tcMar>
              <w:left w:w="72" w:type="dxa"/>
              <w:right w:w="72" w:type="dxa"/>
            </w:tcMar>
          </w:tcPr>
          <w:p w14:paraId="7FFB4A50" w14:textId="476FA3DE"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highlight w:val="yellow"/>
              </w:rPr>
            </w:pPr>
            <w:r w:rsidRPr="00E802E0">
              <w:rPr>
                <w:rFonts w:ascii="Arial Narrow" w:eastAsia="Calibri" w:hAnsi="Arial Narrow" w:cs="Calibri"/>
                <w:sz w:val="20"/>
                <w:szCs w:val="20"/>
              </w:rPr>
              <w:t>3,897,000</w:t>
            </w:r>
          </w:p>
        </w:tc>
        <w:tc>
          <w:tcPr>
            <w:tcW w:w="1137" w:type="pct"/>
            <w:tcMar>
              <w:left w:w="72" w:type="dxa"/>
              <w:right w:w="72" w:type="dxa"/>
            </w:tcMar>
          </w:tcPr>
          <w:p w14:paraId="665EE495" w14:textId="71415A5E"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t>Granti kapital</w:t>
            </w:r>
          </w:p>
        </w:tc>
        <w:tc>
          <w:tcPr>
            <w:tcW w:w="708" w:type="pct"/>
            <w:tcMar>
              <w:left w:w="72" w:type="dxa"/>
              <w:right w:w="72" w:type="dxa"/>
            </w:tcMar>
          </w:tcPr>
          <w:p w14:paraId="61741C57" w14:textId="4653CBEE" w:rsidR="00E802E0" w:rsidRPr="0040205E"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40205E">
              <w:rPr>
                <w:rFonts w:ascii="Arial Narrow" w:eastAsia="Aptos" w:hAnsi="Arial Narrow" w:cs="Arial"/>
                <w:bCs/>
                <w:sz w:val="20"/>
                <w:szCs w:val="20"/>
                <w:lang w:eastAsia="uk-UA"/>
              </w:rPr>
              <w:t xml:space="preserve">KMDK në bashkëpunim me komunën që është në </w:t>
            </w:r>
            <w:r w:rsidRPr="0040205E">
              <w:rPr>
                <w:rFonts w:ascii="Arial Narrow" w:eastAsia="Aptos" w:hAnsi="Arial Narrow" w:cs="Arial"/>
                <w:bCs/>
                <w:sz w:val="20"/>
                <w:szCs w:val="20"/>
                <w:lang w:eastAsia="uk-UA"/>
              </w:rPr>
              <w:lastRenderedPageBreak/>
              <w:t>pronësi të lokacionit</w:t>
            </w:r>
          </w:p>
        </w:tc>
        <w:tc>
          <w:tcPr>
            <w:tcW w:w="782" w:type="pct"/>
            <w:tcMar>
              <w:left w:w="72" w:type="dxa"/>
              <w:right w:w="72" w:type="dxa"/>
            </w:tcMar>
          </w:tcPr>
          <w:p w14:paraId="3E702B3E" w14:textId="375BC545" w:rsidR="00E802E0" w:rsidRPr="00E802E0" w:rsidRDefault="00E802E0" w:rsidP="00E802E0">
            <w:pPr>
              <w:widowControl w:val="0"/>
              <w:suppressAutoHyphens/>
              <w:autoSpaceDE w:val="0"/>
              <w:autoSpaceDN w:val="0"/>
              <w:spacing w:before="60" w:after="60"/>
              <w:ind w:right="123"/>
              <w:rPr>
                <w:rFonts w:ascii="Arial Narrow" w:eastAsia="Calibri" w:hAnsi="Arial Narrow" w:cs="Calibri"/>
                <w:sz w:val="20"/>
                <w:szCs w:val="20"/>
              </w:rPr>
            </w:pPr>
            <w:r w:rsidRPr="00E802E0">
              <w:rPr>
                <w:rFonts w:ascii="Arial Narrow" w:eastAsia="Aptos" w:hAnsi="Arial Narrow" w:cs="Arial"/>
                <w:bCs/>
                <w:sz w:val="20"/>
                <w:szCs w:val="20"/>
                <w:lang w:eastAsia="uk-UA"/>
              </w:rPr>
              <w:lastRenderedPageBreak/>
              <w:t>Impianti i rikuperimit të mbeturinave ushqimore është vënë në punë</w:t>
            </w:r>
          </w:p>
        </w:tc>
      </w:tr>
      <w:tr w:rsidR="00E802E0" w:rsidRPr="007D1EDC" w14:paraId="5A329274" w14:textId="77777777" w:rsidTr="00E802E0">
        <w:tc>
          <w:tcPr>
            <w:tcW w:w="227" w:type="pct"/>
            <w:shd w:val="clear" w:color="auto" w:fill="C1E4F5"/>
            <w:tcMar>
              <w:left w:w="72" w:type="dxa"/>
              <w:right w:w="72" w:type="dxa"/>
            </w:tcMar>
          </w:tcPr>
          <w:p w14:paraId="27514CD2"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5.</w:t>
            </w:r>
          </w:p>
        </w:tc>
        <w:tc>
          <w:tcPr>
            <w:tcW w:w="1265" w:type="pct"/>
            <w:tcBorders>
              <w:right w:val="nil"/>
            </w:tcBorders>
            <w:shd w:val="clear" w:color="auto" w:fill="C1E4F5"/>
            <w:tcMar>
              <w:left w:w="72" w:type="dxa"/>
              <w:right w:w="72" w:type="dxa"/>
            </w:tcMar>
          </w:tcPr>
          <w:p w14:paraId="74FCD40D" w14:textId="50FC1F35"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sz w:val="20"/>
                <w:szCs w:val="20"/>
              </w:rPr>
            </w:pPr>
            <w:r w:rsidRPr="007D1EDC">
              <w:rPr>
                <w:rFonts w:ascii="Arial Narrow" w:eastAsia="Calibri" w:hAnsi="Arial Narrow" w:cs="Calibri"/>
                <w:b/>
                <w:bCs/>
                <w:sz w:val="20"/>
                <w:szCs w:val="20"/>
              </w:rPr>
              <w:t xml:space="preserve">Prioriteti – Menaxhimi i </w:t>
            </w:r>
            <w:r w:rsidR="002935F9">
              <w:rPr>
                <w:rFonts w:ascii="Arial Narrow" w:eastAsia="Calibri" w:hAnsi="Arial Narrow" w:cs="Calibri"/>
                <w:b/>
                <w:bCs/>
                <w:sz w:val="20"/>
                <w:szCs w:val="20"/>
              </w:rPr>
              <w:t>fraksioneve</w:t>
            </w:r>
            <w:r w:rsidRPr="007D1EDC">
              <w:rPr>
                <w:rFonts w:ascii="Arial Narrow" w:eastAsia="Calibri" w:hAnsi="Arial Narrow" w:cs="Calibri"/>
                <w:b/>
                <w:bCs/>
                <w:sz w:val="20"/>
                <w:szCs w:val="20"/>
              </w:rPr>
              <w:t xml:space="preserve"> tjera të mbeturinave</w:t>
            </w:r>
          </w:p>
        </w:tc>
        <w:tc>
          <w:tcPr>
            <w:tcW w:w="462" w:type="pct"/>
            <w:tcBorders>
              <w:left w:val="nil"/>
              <w:right w:val="nil"/>
            </w:tcBorders>
            <w:shd w:val="clear" w:color="auto" w:fill="C1E4F5"/>
            <w:tcMar>
              <w:left w:w="72" w:type="dxa"/>
              <w:right w:w="72" w:type="dxa"/>
            </w:tcMar>
          </w:tcPr>
          <w:p w14:paraId="225FE6AB"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419" w:type="pct"/>
            <w:tcBorders>
              <w:left w:val="nil"/>
              <w:right w:val="nil"/>
            </w:tcBorders>
            <w:shd w:val="clear" w:color="auto" w:fill="C1E4F5"/>
            <w:tcMar>
              <w:left w:w="72" w:type="dxa"/>
              <w:right w:w="72" w:type="dxa"/>
            </w:tcMar>
          </w:tcPr>
          <w:p w14:paraId="5420EFFB"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highlight w:val="yellow"/>
              </w:rPr>
            </w:pPr>
          </w:p>
        </w:tc>
        <w:tc>
          <w:tcPr>
            <w:tcW w:w="1137" w:type="pct"/>
            <w:tcBorders>
              <w:left w:val="nil"/>
              <w:right w:val="nil"/>
            </w:tcBorders>
            <w:shd w:val="clear" w:color="auto" w:fill="C1E4F5"/>
            <w:tcMar>
              <w:left w:w="72" w:type="dxa"/>
              <w:right w:w="72" w:type="dxa"/>
            </w:tcMar>
          </w:tcPr>
          <w:p w14:paraId="0EA3636D"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708" w:type="pct"/>
            <w:tcBorders>
              <w:left w:val="nil"/>
              <w:right w:val="nil"/>
            </w:tcBorders>
            <w:shd w:val="clear" w:color="auto" w:fill="C1E4F5"/>
            <w:tcMar>
              <w:left w:w="72" w:type="dxa"/>
              <w:right w:w="72" w:type="dxa"/>
            </w:tcMar>
          </w:tcPr>
          <w:p w14:paraId="2D2A0E03"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782" w:type="pct"/>
            <w:tcBorders>
              <w:left w:val="nil"/>
            </w:tcBorders>
            <w:shd w:val="clear" w:color="auto" w:fill="C1E4F5"/>
            <w:tcMar>
              <w:left w:w="72" w:type="dxa"/>
              <w:right w:w="72" w:type="dxa"/>
            </w:tcMar>
          </w:tcPr>
          <w:p w14:paraId="41685285"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E802E0" w:rsidRPr="007D1EDC" w14:paraId="5FD256F9" w14:textId="77777777" w:rsidTr="00E802E0">
        <w:tc>
          <w:tcPr>
            <w:tcW w:w="227" w:type="pct"/>
            <w:tcMar>
              <w:left w:w="72" w:type="dxa"/>
              <w:right w:w="72" w:type="dxa"/>
            </w:tcMar>
          </w:tcPr>
          <w:p w14:paraId="612959AF"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5.1</w:t>
            </w:r>
          </w:p>
        </w:tc>
        <w:tc>
          <w:tcPr>
            <w:tcW w:w="1265" w:type="pct"/>
            <w:tcMar>
              <w:left w:w="72" w:type="dxa"/>
              <w:right w:w="72" w:type="dxa"/>
            </w:tcMar>
          </w:tcPr>
          <w:p w14:paraId="0A627DD9" w14:textId="7910D982"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 xml:space="preserve">Detyrë - Menaxhimi i </w:t>
            </w:r>
            <w:r w:rsidR="002935F9">
              <w:rPr>
                <w:rFonts w:ascii="Arial Narrow" w:eastAsia="Calibri" w:hAnsi="Arial Narrow" w:cs="Calibri"/>
                <w:b/>
                <w:bCs/>
                <w:i/>
                <w:iCs/>
                <w:sz w:val="20"/>
                <w:szCs w:val="20"/>
              </w:rPr>
              <w:t>MP</w:t>
            </w:r>
            <w:r w:rsidRPr="007D1EDC">
              <w:rPr>
                <w:rFonts w:ascii="Arial Narrow" w:eastAsia="Calibri" w:hAnsi="Arial Narrow" w:cs="Calibri"/>
                <w:b/>
                <w:bCs/>
                <w:i/>
                <w:iCs/>
                <w:sz w:val="20"/>
                <w:szCs w:val="20"/>
              </w:rPr>
              <w:t>EE-</w:t>
            </w:r>
            <w:r w:rsidR="002935F9">
              <w:rPr>
                <w:rFonts w:ascii="Arial Narrow" w:eastAsia="Calibri" w:hAnsi="Arial Narrow" w:cs="Calibri"/>
                <w:b/>
                <w:bCs/>
                <w:i/>
                <w:iCs/>
                <w:sz w:val="20"/>
                <w:szCs w:val="20"/>
              </w:rPr>
              <w:t>ve</w:t>
            </w:r>
          </w:p>
        </w:tc>
        <w:tc>
          <w:tcPr>
            <w:tcW w:w="462" w:type="pct"/>
            <w:tcMar>
              <w:left w:w="72" w:type="dxa"/>
              <w:right w:w="72" w:type="dxa"/>
            </w:tcMar>
          </w:tcPr>
          <w:p w14:paraId="7F829730"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419" w:type="pct"/>
            <w:tcMar>
              <w:left w:w="72" w:type="dxa"/>
              <w:right w:w="72" w:type="dxa"/>
            </w:tcMar>
          </w:tcPr>
          <w:p w14:paraId="4FEF16D4"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highlight w:val="yellow"/>
              </w:rPr>
            </w:pPr>
          </w:p>
        </w:tc>
        <w:tc>
          <w:tcPr>
            <w:tcW w:w="1137" w:type="pct"/>
            <w:tcMar>
              <w:left w:w="72" w:type="dxa"/>
              <w:right w:w="72" w:type="dxa"/>
            </w:tcMar>
          </w:tcPr>
          <w:p w14:paraId="224BAFBD"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708" w:type="pct"/>
            <w:tcMar>
              <w:left w:w="72" w:type="dxa"/>
              <w:right w:w="72" w:type="dxa"/>
            </w:tcMar>
          </w:tcPr>
          <w:p w14:paraId="4CA1AEA4"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782" w:type="pct"/>
            <w:tcMar>
              <w:left w:w="72" w:type="dxa"/>
              <w:right w:w="72" w:type="dxa"/>
            </w:tcMar>
          </w:tcPr>
          <w:p w14:paraId="71B5A044"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2935F9" w:rsidRPr="007D1EDC" w14:paraId="13A01BF5" w14:textId="77777777" w:rsidTr="00E802E0">
        <w:tc>
          <w:tcPr>
            <w:tcW w:w="227" w:type="pct"/>
            <w:tcMar>
              <w:left w:w="72" w:type="dxa"/>
              <w:right w:w="72" w:type="dxa"/>
            </w:tcMar>
          </w:tcPr>
          <w:p w14:paraId="235F7B7B" w14:textId="77777777" w:rsidR="002935F9" w:rsidRPr="007D1EDC" w:rsidRDefault="002935F9" w:rsidP="002935F9">
            <w:pPr>
              <w:spacing w:before="60" w:after="60"/>
              <w:rPr>
                <w:rFonts w:ascii="Arial Narrow" w:eastAsia="Calibri" w:hAnsi="Arial Narrow"/>
                <w:sz w:val="20"/>
              </w:rPr>
            </w:pPr>
            <w:r w:rsidRPr="007D1EDC">
              <w:rPr>
                <w:rFonts w:ascii="Arial Narrow" w:eastAsia="Calibri" w:hAnsi="Arial Narrow"/>
                <w:sz w:val="20"/>
              </w:rPr>
              <w:t>5.1.1</w:t>
            </w:r>
          </w:p>
        </w:tc>
        <w:tc>
          <w:tcPr>
            <w:tcW w:w="1265" w:type="pct"/>
            <w:tcMar>
              <w:left w:w="72" w:type="dxa"/>
              <w:right w:w="72" w:type="dxa"/>
            </w:tcMar>
          </w:tcPr>
          <w:p w14:paraId="2110DC2D" w14:textId="7A1B7777"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rPr>
            </w:pPr>
            <w:r w:rsidRPr="002935F9">
              <w:rPr>
                <w:rFonts w:ascii="Arial Narrow" w:eastAsia="Aptos" w:hAnsi="Arial Narrow" w:cs="Arial"/>
                <w:sz w:val="20"/>
                <w:szCs w:val="20"/>
                <w:lang w:eastAsia="uk-UA"/>
              </w:rPr>
              <w:t>Zhvillimi dhe zbatimi i sistemit të grumbullimit ndaras të MPEE në përputhje me marrëveshjet me OPP-të</w:t>
            </w:r>
          </w:p>
        </w:tc>
        <w:tc>
          <w:tcPr>
            <w:tcW w:w="462" w:type="pct"/>
            <w:tcMar>
              <w:left w:w="72" w:type="dxa"/>
              <w:right w:w="72" w:type="dxa"/>
            </w:tcMar>
          </w:tcPr>
          <w:p w14:paraId="1EDB708F" w14:textId="76F8B3E6"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rPr>
            </w:pPr>
            <w:r w:rsidRPr="002935F9">
              <w:rPr>
                <w:rFonts w:ascii="Arial Narrow" w:eastAsia="Aptos" w:hAnsi="Arial Narrow" w:cs="Arial"/>
                <w:sz w:val="20"/>
                <w:szCs w:val="20"/>
                <w:lang w:eastAsia="uk-UA"/>
              </w:rPr>
              <w:t>2027 dhe në vazhdim</w:t>
            </w:r>
          </w:p>
        </w:tc>
        <w:tc>
          <w:tcPr>
            <w:tcW w:w="419" w:type="pct"/>
            <w:tcMar>
              <w:left w:w="72" w:type="dxa"/>
              <w:right w:w="72" w:type="dxa"/>
            </w:tcMar>
          </w:tcPr>
          <w:p w14:paraId="6379D8FE" w14:textId="1AA5BCFB"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highlight w:val="yellow"/>
              </w:rPr>
            </w:pPr>
            <w:r w:rsidRPr="002935F9">
              <w:rPr>
                <w:rFonts w:ascii="Arial Narrow" w:eastAsia="Aptos" w:hAnsi="Arial Narrow" w:cs="Arial"/>
                <w:sz w:val="20"/>
                <w:szCs w:val="20"/>
                <w:lang w:eastAsia="uk-UA"/>
              </w:rPr>
              <w:t>Në kuadër të buxhetit tëOPP-ve</w:t>
            </w:r>
          </w:p>
        </w:tc>
        <w:tc>
          <w:tcPr>
            <w:tcW w:w="1137" w:type="pct"/>
            <w:tcMar>
              <w:left w:w="72" w:type="dxa"/>
              <w:right w:w="72" w:type="dxa"/>
            </w:tcMar>
          </w:tcPr>
          <w:p w14:paraId="54866735" w14:textId="01E05E0F"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rPr>
            </w:pPr>
            <w:r w:rsidRPr="002935F9">
              <w:rPr>
                <w:rFonts w:ascii="Arial Narrow" w:eastAsia="Aptos" w:hAnsi="Arial Narrow" w:cs="Arial"/>
                <w:sz w:val="20"/>
                <w:szCs w:val="20"/>
                <w:lang w:eastAsia="uk-UA"/>
              </w:rPr>
              <w:t>OPP-të, ofruesit e shërbimeve</w:t>
            </w:r>
          </w:p>
        </w:tc>
        <w:tc>
          <w:tcPr>
            <w:tcW w:w="708" w:type="pct"/>
            <w:tcMar>
              <w:left w:w="72" w:type="dxa"/>
              <w:right w:w="72" w:type="dxa"/>
            </w:tcMar>
          </w:tcPr>
          <w:p w14:paraId="43323B6A" w14:textId="693C60B5" w:rsidR="002935F9" w:rsidRPr="002935F9" w:rsidRDefault="002935F9" w:rsidP="002935F9">
            <w:pPr>
              <w:widowControl w:val="0"/>
              <w:suppressAutoHyphens/>
              <w:autoSpaceDE w:val="0"/>
              <w:autoSpaceDN w:val="0"/>
              <w:spacing w:before="60" w:after="60"/>
              <w:ind w:right="123"/>
              <w:rPr>
                <w:rFonts w:ascii="Arial Narrow" w:eastAsia="Aptos" w:hAnsi="Arial Narrow" w:cs="Arial"/>
                <w:sz w:val="20"/>
                <w:szCs w:val="20"/>
                <w:lang w:eastAsia="uk-UA"/>
              </w:rPr>
            </w:pPr>
            <w:r w:rsidRPr="002935F9">
              <w:rPr>
                <w:rFonts w:ascii="Arial Narrow" w:eastAsia="Aptos" w:hAnsi="Arial Narrow" w:cs="Arial"/>
                <w:sz w:val="20"/>
                <w:szCs w:val="20"/>
                <w:lang w:eastAsia="uk-UA"/>
              </w:rPr>
              <w:t>OPP-të, komunat (për koordinim)</w:t>
            </w:r>
          </w:p>
        </w:tc>
        <w:tc>
          <w:tcPr>
            <w:tcW w:w="782" w:type="pct"/>
            <w:tcMar>
              <w:left w:w="72" w:type="dxa"/>
              <w:right w:w="72" w:type="dxa"/>
            </w:tcMar>
          </w:tcPr>
          <w:p w14:paraId="791E1F35" w14:textId="3F24FD01"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rPr>
            </w:pPr>
            <w:r w:rsidRPr="002935F9">
              <w:rPr>
                <w:rFonts w:ascii="Arial Narrow" w:eastAsia="Calibri" w:hAnsi="Arial Narrow" w:cs="Calibri"/>
                <w:sz w:val="20"/>
                <w:szCs w:val="20"/>
              </w:rPr>
              <w:t>Funksionimi i sistemit të grumbullimit ndaras për MPEE</w:t>
            </w:r>
          </w:p>
        </w:tc>
      </w:tr>
      <w:tr w:rsidR="002935F9" w:rsidRPr="007D1EDC" w14:paraId="12DE572D" w14:textId="77777777" w:rsidTr="00E802E0">
        <w:tc>
          <w:tcPr>
            <w:tcW w:w="227" w:type="pct"/>
            <w:tcMar>
              <w:left w:w="72" w:type="dxa"/>
              <w:right w:w="72" w:type="dxa"/>
            </w:tcMar>
          </w:tcPr>
          <w:p w14:paraId="005D4878" w14:textId="77777777" w:rsidR="002935F9" w:rsidRPr="007D1EDC" w:rsidRDefault="002935F9" w:rsidP="002935F9">
            <w:pPr>
              <w:spacing w:before="60" w:after="60"/>
              <w:rPr>
                <w:rFonts w:ascii="Arial Narrow" w:eastAsia="Calibri" w:hAnsi="Arial Narrow"/>
                <w:sz w:val="20"/>
              </w:rPr>
            </w:pPr>
            <w:r w:rsidRPr="007D1EDC">
              <w:rPr>
                <w:rFonts w:ascii="Arial Narrow" w:eastAsia="Calibri" w:hAnsi="Arial Narrow"/>
                <w:sz w:val="20"/>
              </w:rPr>
              <w:t>5.1.2</w:t>
            </w:r>
          </w:p>
        </w:tc>
        <w:tc>
          <w:tcPr>
            <w:tcW w:w="1265" w:type="pct"/>
            <w:tcMar>
              <w:left w:w="72" w:type="dxa"/>
              <w:right w:w="72" w:type="dxa"/>
            </w:tcMar>
          </w:tcPr>
          <w:p w14:paraId="15B1DB7E" w14:textId="04D4A838"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rPr>
            </w:pPr>
            <w:r w:rsidRPr="002935F9">
              <w:rPr>
                <w:rFonts w:ascii="Arial Narrow" w:eastAsia="Aptos" w:hAnsi="Arial Narrow" w:cs="Arial"/>
                <w:sz w:val="20"/>
                <w:szCs w:val="20"/>
                <w:lang w:eastAsia="uk-UA"/>
              </w:rPr>
              <w:t>Zbatimi i fushatave të ndërgjegjësimit të publikut të përcaktuara për modelet e reja të konsumit të qëndrueshëm dhe pjesëmarrjen në skemat e grumbullimit ndaras</w:t>
            </w:r>
          </w:p>
        </w:tc>
        <w:tc>
          <w:tcPr>
            <w:tcW w:w="462" w:type="pct"/>
            <w:tcMar>
              <w:left w:w="72" w:type="dxa"/>
              <w:right w:w="72" w:type="dxa"/>
            </w:tcMar>
          </w:tcPr>
          <w:p w14:paraId="633E3795" w14:textId="35DDD15C"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rPr>
            </w:pPr>
            <w:r w:rsidRPr="002935F9">
              <w:rPr>
                <w:rFonts w:ascii="Arial Narrow" w:eastAsia="Aptos" w:hAnsi="Arial Narrow" w:cs="Arial"/>
                <w:sz w:val="20"/>
                <w:szCs w:val="20"/>
                <w:lang w:eastAsia="uk-UA"/>
              </w:rPr>
              <w:t>2027 dhe çdo vit në vazhdim</w:t>
            </w:r>
          </w:p>
        </w:tc>
        <w:tc>
          <w:tcPr>
            <w:tcW w:w="419" w:type="pct"/>
            <w:tcMar>
              <w:left w:w="72" w:type="dxa"/>
              <w:right w:w="72" w:type="dxa"/>
            </w:tcMar>
          </w:tcPr>
          <w:p w14:paraId="64E729EC" w14:textId="635B43CE"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highlight w:val="yellow"/>
              </w:rPr>
            </w:pPr>
            <w:r w:rsidRPr="002935F9">
              <w:rPr>
                <w:rFonts w:ascii="Arial Narrow" w:eastAsia="Aptos" w:hAnsi="Arial Narrow" w:cs="Arial"/>
                <w:sz w:val="20"/>
                <w:szCs w:val="20"/>
                <w:lang w:eastAsia="uk-UA"/>
              </w:rPr>
              <w:t>-</w:t>
            </w:r>
          </w:p>
        </w:tc>
        <w:tc>
          <w:tcPr>
            <w:tcW w:w="1137" w:type="pct"/>
            <w:tcMar>
              <w:left w:w="72" w:type="dxa"/>
              <w:right w:w="72" w:type="dxa"/>
            </w:tcMar>
          </w:tcPr>
          <w:p w14:paraId="13402A23" w14:textId="5BCCBF99"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rPr>
            </w:pPr>
            <w:r w:rsidRPr="002935F9">
              <w:rPr>
                <w:rFonts w:ascii="Arial Narrow" w:eastAsia="Aptos" w:hAnsi="Arial Narrow" w:cs="Arial"/>
                <w:sz w:val="20"/>
                <w:szCs w:val="20"/>
                <w:lang w:eastAsia="uk-UA"/>
              </w:rPr>
              <w:t>OPP-të, ofruesit e shërbimeve</w:t>
            </w:r>
          </w:p>
        </w:tc>
        <w:tc>
          <w:tcPr>
            <w:tcW w:w="708" w:type="pct"/>
            <w:tcMar>
              <w:left w:w="72" w:type="dxa"/>
              <w:right w:w="72" w:type="dxa"/>
            </w:tcMar>
          </w:tcPr>
          <w:p w14:paraId="1F9D4DAB" w14:textId="076DA040" w:rsidR="002935F9" w:rsidRPr="002935F9" w:rsidRDefault="002935F9" w:rsidP="002935F9">
            <w:pPr>
              <w:widowControl w:val="0"/>
              <w:suppressAutoHyphens/>
              <w:autoSpaceDE w:val="0"/>
              <w:autoSpaceDN w:val="0"/>
              <w:spacing w:before="60" w:after="60"/>
              <w:ind w:right="123"/>
              <w:rPr>
                <w:rFonts w:ascii="Arial Narrow" w:eastAsia="Aptos" w:hAnsi="Arial Narrow" w:cs="Arial"/>
                <w:sz w:val="20"/>
                <w:szCs w:val="20"/>
                <w:lang w:eastAsia="uk-UA"/>
              </w:rPr>
            </w:pPr>
            <w:r w:rsidRPr="002935F9">
              <w:rPr>
                <w:rFonts w:ascii="Arial Narrow" w:eastAsia="Aptos" w:hAnsi="Arial Narrow" w:cs="Arial"/>
                <w:sz w:val="20"/>
                <w:szCs w:val="20"/>
                <w:lang w:eastAsia="uk-UA"/>
              </w:rPr>
              <w:t>Komunat (për koordinim)</w:t>
            </w:r>
          </w:p>
        </w:tc>
        <w:tc>
          <w:tcPr>
            <w:tcW w:w="782" w:type="pct"/>
            <w:tcMar>
              <w:left w:w="72" w:type="dxa"/>
              <w:right w:w="72" w:type="dxa"/>
            </w:tcMar>
          </w:tcPr>
          <w:p w14:paraId="70B96180" w14:textId="6695660D"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rPr>
            </w:pPr>
            <w:r w:rsidRPr="002935F9">
              <w:rPr>
                <w:rFonts w:ascii="Arial Narrow" w:eastAsia="Calibri" w:hAnsi="Arial Narrow" w:cs="Calibri"/>
                <w:sz w:val="20"/>
                <w:szCs w:val="20"/>
              </w:rPr>
              <w:t>Numri i fushatave ndërgjegjësuese të realizuara; numri i banorëve që marrin informacion</w:t>
            </w:r>
          </w:p>
        </w:tc>
      </w:tr>
      <w:tr w:rsidR="00E802E0" w:rsidRPr="007D1EDC" w14:paraId="6C0218F1" w14:textId="77777777" w:rsidTr="00E802E0">
        <w:tc>
          <w:tcPr>
            <w:tcW w:w="227" w:type="pct"/>
            <w:tcMar>
              <w:left w:w="72" w:type="dxa"/>
              <w:right w:w="72" w:type="dxa"/>
            </w:tcMar>
          </w:tcPr>
          <w:p w14:paraId="76C30D92"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5.2</w:t>
            </w:r>
          </w:p>
        </w:tc>
        <w:tc>
          <w:tcPr>
            <w:tcW w:w="1265" w:type="pct"/>
            <w:tcMar>
              <w:left w:w="72" w:type="dxa"/>
              <w:right w:w="72" w:type="dxa"/>
            </w:tcMar>
          </w:tcPr>
          <w:p w14:paraId="33EC8B08"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Detyrë - Menaxhimi i baterive dhe akumulatorëve</w:t>
            </w:r>
          </w:p>
        </w:tc>
        <w:tc>
          <w:tcPr>
            <w:tcW w:w="462" w:type="pct"/>
            <w:tcMar>
              <w:left w:w="72" w:type="dxa"/>
              <w:right w:w="72" w:type="dxa"/>
            </w:tcMar>
          </w:tcPr>
          <w:p w14:paraId="149E8874"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419" w:type="pct"/>
            <w:tcMar>
              <w:left w:w="72" w:type="dxa"/>
              <w:right w:w="72" w:type="dxa"/>
            </w:tcMar>
          </w:tcPr>
          <w:p w14:paraId="20E575C0"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highlight w:val="yellow"/>
              </w:rPr>
            </w:pPr>
          </w:p>
        </w:tc>
        <w:tc>
          <w:tcPr>
            <w:tcW w:w="1137" w:type="pct"/>
            <w:tcMar>
              <w:left w:w="72" w:type="dxa"/>
              <w:right w:w="72" w:type="dxa"/>
            </w:tcMar>
          </w:tcPr>
          <w:p w14:paraId="1DE315A7"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708" w:type="pct"/>
            <w:tcMar>
              <w:left w:w="72" w:type="dxa"/>
              <w:right w:w="72" w:type="dxa"/>
            </w:tcMar>
          </w:tcPr>
          <w:p w14:paraId="2BC26569"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782" w:type="pct"/>
            <w:tcMar>
              <w:left w:w="72" w:type="dxa"/>
              <w:right w:w="72" w:type="dxa"/>
            </w:tcMar>
          </w:tcPr>
          <w:p w14:paraId="5BB93A65"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2935F9" w:rsidRPr="007D1EDC" w14:paraId="2EF301CA" w14:textId="77777777" w:rsidTr="00E802E0">
        <w:tc>
          <w:tcPr>
            <w:tcW w:w="227" w:type="pct"/>
            <w:tcMar>
              <w:left w:w="72" w:type="dxa"/>
              <w:right w:w="72" w:type="dxa"/>
            </w:tcMar>
          </w:tcPr>
          <w:p w14:paraId="2783D71B" w14:textId="77777777" w:rsidR="002935F9" w:rsidRPr="007D1EDC" w:rsidRDefault="002935F9" w:rsidP="002935F9">
            <w:pPr>
              <w:spacing w:before="60" w:after="60"/>
              <w:rPr>
                <w:rFonts w:ascii="Arial Narrow" w:eastAsia="Calibri" w:hAnsi="Arial Narrow"/>
                <w:sz w:val="20"/>
              </w:rPr>
            </w:pPr>
            <w:r w:rsidRPr="007D1EDC">
              <w:rPr>
                <w:rFonts w:ascii="Arial Narrow" w:eastAsia="Calibri" w:hAnsi="Arial Narrow"/>
                <w:sz w:val="20"/>
              </w:rPr>
              <w:t>5.2.1</w:t>
            </w:r>
          </w:p>
        </w:tc>
        <w:tc>
          <w:tcPr>
            <w:tcW w:w="1265" w:type="pct"/>
            <w:tcMar>
              <w:left w:w="72" w:type="dxa"/>
              <w:right w:w="72" w:type="dxa"/>
            </w:tcMar>
          </w:tcPr>
          <w:p w14:paraId="2086BCC6" w14:textId="77777777" w:rsidR="002935F9" w:rsidRPr="002935F9" w:rsidRDefault="002935F9" w:rsidP="002935F9">
            <w:pPr>
              <w:widowControl w:val="0"/>
              <w:suppressAutoHyphens/>
              <w:autoSpaceDE w:val="0"/>
              <w:autoSpaceDN w:val="0"/>
              <w:spacing w:before="60" w:after="60"/>
              <w:ind w:right="123"/>
              <w:rPr>
                <w:rFonts w:ascii="Arial Narrow" w:eastAsia="Aptos" w:hAnsi="Arial Narrow" w:cs="Arial"/>
                <w:sz w:val="20"/>
                <w:szCs w:val="20"/>
                <w:lang w:eastAsia="uk-UA"/>
              </w:rPr>
            </w:pPr>
            <w:r w:rsidRPr="002935F9">
              <w:rPr>
                <w:rFonts w:ascii="Arial Narrow" w:eastAsia="Aptos" w:hAnsi="Arial Narrow" w:cs="Arial"/>
                <w:sz w:val="20"/>
                <w:szCs w:val="20"/>
                <w:lang w:eastAsia="uk-UA"/>
              </w:rPr>
              <w:t>Zhvillimi dhe zbatimi i sistemit të grumbullimit ndaras të baterive dhe akumulatorëve të përdorur në përputhje me marrëveshjet me OPP-të</w:t>
            </w:r>
          </w:p>
          <w:p w14:paraId="07DFDC89" w14:textId="75A04512"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rPr>
            </w:pPr>
          </w:p>
        </w:tc>
        <w:tc>
          <w:tcPr>
            <w:tcW w:w="462" w:type="pct"/>
            <w:tcMar>
              <w:left w:w="72" w:type="dxa"/>
              <w:right w:w="72" w:type="dxa"/>
            </w:tcMar>
          </w:tcPr>
          <w:p w14:paraId="321C3050" w14:textId="0F5ACAF7"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rPr>
            </w:pPr>
            <w:r w:rsidRPr="002935F9">
              <w:rPr>
                <w:rFonts w:ascii="Arial Narrow" w:eastAsia="Aptos" w:hAnsi="Arial Narrow" w:cs="Arial"/>
                <w:sz w:val="20"/>
                <w:szCs w:val="20"/>
                <w:lang w:eastAsia="uk-UA"/>
              </w:rPr>
              <w:t>2027 dhe në vazhdim</w:t>
            </w:r>
          </w:p>
        </w:tc>
        <w:tc>
          <w:tcPr>
            <w:tcW w:w="419" w:type="pct"/>
            <w:tcMar>
              <w:left w:w="72" w:type="dxa"/>
              <w:right w:w="72" w:type="dxa"/>
            </w:tcMar>
          </w:tcPr>
          <w:p w14:paraId="7E763DE8" w14:textId="2C0BB1A6"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highlight w:val="yellow"/>
              </w:rPr>
            </w:pPr>
            <w:r w:rsidRPr="002935F9">
              <w:rPr>
                <w:rFonts w:ascii="Arial Narrow" w:eastAsia="Aptos" w:hAnsi="Arial Narrow" w:cs="Arial"/>
                <w:sz w:val="20"/>
                <w:szCs w:val="20"/>
                <w:lang w:eastAsia="uk-UA"/>
              </w:rPr>
              <w:t>Në kuadër të buxhetit të OPP-ve</w:t>
            </w:r>
          </w:p>
        </w:tc>
        <w:tc>
          <w:tcPr>
            <w:tcW w:w="1137" w:type="pct"/>
            <w:tcMar>
              <w:left w:w="72" w:type="dxa"/>
              <w:right w:w="72" w:type="dxa"/>
            </w:tcMar>
          </w:tcPr>
          <w:p w14:paraId="1931ED1D" w14:textId="5297DDA7"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rPr>
            </w:pPr>
            <w:r w:rsidRPr="002935F9">
              <w:rPr>
                <w:rFonts w:ascii="Arial Narrow" w:eastAsia="Aptos" w:hAnsi="Arial Narrow" w:cs="Arial"/>
                <w:sz w:val="20"/>
                <w:szCs w:val="20"/>
                <w:lang w:eastAsia="uk-UA"/>
              </w:rPr>
              <w:t>OPP-të, ofruesit e shërbimeve</w:t>
            </w:r>
          </w:p>
        </w:tc>
        <w:tc>
          <w:tcPr>
            <w:tcW w:w="708" w:type="pct"/>
            <w:tcMar>
              <w:left w:w="72" w:type="dxa"/>
              <w:right w:w="72" w:type="dxa"/>
            </w:tcMar>
          </w:tcPr>
          <w:p w14:paraId="2B622084" w14:textId="742E9360" w:rsidR="002935F9" w:rsidRPr="002935F9" w:rsidRDefault="002935F9" w:rsidP="002935F9">
            <w:pPr>
              <w:widowControl w:val="0"/>
              <w:suppressAutoHyphens/>
              <w:autoSpaceDE w:val="0"/>
              <w:autoSpaceDN w:val="0"/>
              <w:spacing w:before="60" w:after="60"/>
              <w:ind w:right="123"/>
              <w:rPr>
                <w:rFonts w:ascii="Arial Narrow" w:eastAsia="Aptos" w:hAnsi="Arial Narrow" w:cs="Arial"/>
                <w:sz w:val="20"/>
                <w:szCs w:val="20"/>
                <w:lang w:eastAsia="uk-UA"/>
              </w:rPr>
            </w:pPr>
            <w:r w:rsidRPr="002935F9">
              <w:rPr>
                <w:rFonts w:ascii="Arial Narrow" w:eastAsia="Aptos" w:hAnsi="Arial Narrow" w:cs="Arial"/>
                <w:sz w:val="20"/>
                <w:szCs w:val="20"/>
                <w:lang w:eastAsia="uk-UA"/>
              </w:rPr>
              <w:t>OPP-të, komunat (për koordinim)</w:t>
            </w:r>
          </w:p>
        </w:tc>
        <w:tc>
          <w:tcPr>
            <w:tcW w:w="782" w:type="pct"/>
            <w:tcMar>
              <w:left w:w="72" w:type="dxa"/>
              <w:right w:w="72" w:type="dxa"/>
            </w:tcMar>
          </w:tcPr>
          <w:p w14:paraId="6E863D85" w14:textId="4AB68B11"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rPr>
            </w:pPr>
            <w:r w:rsidRPr="002935F9">
              <w:rPr>
                <w:rFonts w:ascii="Arial Narrow" w:eastAsia="Aptos" w:hAnsi="Arial Narrow" w:cs="Arial"/>
                <w:sz w:val="20"/>
                <w:szCs w:val="20"/>
                <w:lang w:eastAsia="uk-UA"/>
              </w:rPr>
              <w:t>Funksionimi i siistemit të grumbullimit ndaras për bateritë dhe akumulatorët</w:t>
            </w:r>
          </w:p>
        </w:tc>
      </w:tr>
      <w:tr w:rsidR="00E802E0" w:rsidRPr="007D1EDC" w14:paraId="7FB42CEA" w14:textId="77777777" w:rsidTr="00E802E0">
        <w:tc>
          <w:tcPr>
            <w:tcW w:w="227" w:type="pct"/>
            <w:tcMar>
              <w:left w:w="72" w:type="dxa"/>
              <w:right w:w="72" w:type="dxa"/>
            </w:tcMar>
          </w:tcPr>
          <w:p w14:paraId="3B988091"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5.3</w:t>
            </w:r>
          </w:p>
        </w:tc>
        <w:tc>
          <w:tcPr>
            <w:tcW w:w="1265" w:type="pct"/>
            <w:tcMar>
              <w:left w:w="72" w:type="dxa"/>
              <w:right w:w="72" w:type="dxa"/>
            </w:tcMar>
          </w:tcPr>
          <w:p w14:paraId="648920E0" w14:textId="453E52AE"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 xml:space="preserve">Detyrë - Menaxhimi i </w:t>
            </w:r>
            <w:r w:rsidR="002935F9">
              <w:rPr>
                <w:rFonts w:ascii="Arial Narrow" w:eastAsia="Calibri" w:hAnsi="Arial Narrow" w:cs="Calibri"/>
                <w:b/>
                <w:bCs/>
                <w:i/>
                <w:iCs/>
                <w:sz w:val="20"/>
                <w:szCs w:val="20"/>
              </w:rPr>
              <w:t>A</w:t>
            </w:r>
            <w:r w:rsidRPr="007D1EDC">
              <w:rPr>
                <w:rFonts w:ascii="Arial Narrow" w:eastAsia="Calibri" w:hAnsi="Arial Narrow" w:cs="Calibri"/>
                <w:b/>
                <w:bCs/>
                <w:i/>
                <w:iCs/>
                <w:sz w:val="20"/>
                <w:szCs w:val="20"/>
              </w:rPr>
              <w:t>utomjeteve</w:t>
            </w:r>
            <w:r w:rsidR="002935F9">
              <w:rPr>
                <w:rFonts w:ascii="Arial Narrow" w:eastAsia="Calibri" w:hAnsi="Arial Narrow" w:cs="Calibri"/>
                <w:b/>
                <w:bCs/>
                <w:i/>
                <w:iCs/>
                <w:sz w:val="20"/>
                <w:szCs w:val="20"/>
              </w:rPr>
              <w:t xml:space="preserve"> Mbeturinë</w:t>
            </w:r>
          </w:p>
        </w:tc>
        <w:tc>
          <w:tcPr>
            <w:tcW w:w="462" w:type="pct"/>
            <w:tcMar>
              <w:left w:w="72" w:type="dxa"/>
              <w:right w:w="72" w:type="dxa"/>
            </w:tcMar>
          </w:tcPr>
          <w:p w14:paraId="7BBF2848"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419" w:type="pct"/>
            <w:tcMar>
              <w:left w:w="72" w:type="dxa"/>
              <w:right w:w="72" w:type="dxa"/>
            </w:tcMar>
          </w:tcPr>
          <w:p w14:paraId="6F795C79"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highlight w:val="yellow"/>
              </w:rPr>
            </w:pPr>
          </w:p>
        </w:tc>
        <w:tc>
          <w:tcPr>
            <w:tcW w:w="1137" w:type="pct"/>
            <w:tcMar>
              <w:left w:w="72" w:type="dxa"/>
              <w:right w:w="72" w:type="dxa"/>
            </w:tcMar>
          </w:tcPr>
          <w:p w14:paraId="1DDD73C9"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708" w:type="pct"/>
            <w:tcMar>
              <w:left w:w="72" w:type="dxa"/>
              <w:right w:w="72" w:type="dxa"/>
            </w:tcMar>
          </w:tcPr>
          <w:p w14:paraId="53AFBA2A"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782" w:type="pct"/>
            <w:tcMar>
              <w:left w:w="72" w:type="dxa"/>
              <w:right w:w="72" w:type="dxa"/>
            </w:tcMar>
          </w:tcPr>
          <w:p w14:paraId="1785B66D"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2935F9" w:rsidRPr="007D1EDC" w14:paraId="0E3863C2" w14:textId="77777777" w:rsidTr="00E802E0">
        <w:tc>
          <w:tcPr>
            <w:tcW w:w="227" w:type="pct"/>
            <w:tcMar>
              <w:left w:w="72" w:type="dxa"/>
              <w:right w:w="72" w:type="dxa"/>
            </w:tcMar>
          </w:tcPr>
          <w:p w14:paraId="3E2C0B7D" w14:textId="77777777" w:rsidR="002935F9" w:rsidRPr="007D1EDC" w:rsidRDefault="002935F9" w:rsidP="002935F9">
            <w:pPr>
              <w:spacing w:before="60" w:after="60"/>
              <w:rPr>
                <w:rFonts w:ascii="Arial Narrow" w:eastAsia="Calibri" w:hAnsi="Arial Narrow"/>
                <w:sz w:val="20"/>
              </w:rPr>
            </w:pPr>
            <w:r w:rsidRPr="007D1EDC">
              <w:rPr>
                <w:rFonts w:ascii="Arial Narrow" w:eastAsia="Calibri" w:hAnsi="Arial Narrow"/>
                <w:sz w:val="20"/>
              </w:rPr>
              <w:t>5.3.1</w:t>
            </w:r>
          </w:p>
        </w:tc>
        <w:tc>
          <w:tcPr>
            <w:tcW w:w="1265" w:type="pct"/>
            <w:tcMar>
              <w:left w:w="72" w:type="dxa"/>
              <w:right w:w="72" w:type="dxa"/>
            </w:tcMar>
          </w:tcPr>
          <w:p w14:paraId="3AC18544" w14:textId="0643A1DA"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lang w:val="bg-BG"/>
              </w:rPr>
            </w:pPr>
            <w:r w:rsidRPr="002935F9">
              <w:rPr>
                <w:rFonts w:ascii="Arial Narrow" w:eastAsia="Aptos" w:hAnsi="Arial Narrow" w:cs="Arial"/>
                <w:sz w:val="20"/>
                <w:szCs w:val="20"/>
                <w:lang w:eastAsia="uk-UA"/>
              </w:rPr>
              <w:t>Zhvillimi dhe zbatimi i kërkesave për heqjen dhe grumbullimin e AM-ve të braktisura nëpër rrugë publike dhe zona parkimi</w:t>
            </w:r>
          </w:p>
        </w:tc>
        <w:tc>
          <w:tcPr>
            <w:tcW w:w="462" w:type="pct"/>
            <w:tcMar>
              <w:left w:w="72" w:type="dxa"/>
              <w:right w:w="72" w:type="dxa"/>
            </w:tcMar>
          </w:tcPr>
          <w:p w14:paraId="2D2246CA" w14:textId="2C0E03DE"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rPr>
            </w:pPr>
            <w:r w:rsidRPr="002935F9">
              <w:rPr>
                <w:rFonts w:ascii="Arial Narrow" w:eastAsia="Aptos" w:hAnsi="Arial Narrow" w:cs="Arial"/>
                <w:sz w:val="20"/>
                <w:szCs w:val="20"/>
                <w:lang w:eastAsia="uk-UA"/>
              </w:rPr>
              <w:t xml:space="preserve">202 </w:t>
            </w:r>
            <w:r w:rsidRPr="002935F9">
              <w:rPr>
                <w:rFonts w:ascii="Arial Narrow" w:eastAsia="Aptos" w:hAnsi="Arial Narrow" w:cs="Arial"/>
                <w:sz w:val="20"/>
                <w:szCs w:val="20"/>
                <w:lang w:val="bg-BG" w:eastAsia="uk-UA"/>
              </w:rPr>
              <w:t xml:space="preserve">7 e në vazhdim </w:t>
            </w:r>
            <w:r w:rsidRPr="002935F9">
              <w:rPr>
                <w:rFonts w:ascii="Arial Narrow" w:eastAsia="Aptos" w:hAnsi="Arial Narrow" w:cs="Arial"/>
                <w:sz w:val="20"/>
                <w:szCs w:val="20"/>
                <w:lang w:eastAsia="uk-UA"/>
              </w:rPr>
              <w:t>deri në vitin 2030</w:t>
            </w:r>
          </w:p>
        </w:tc>
        <w:tc>
          <w:tcPr>
            <w:tcW w:w="419" w:type="pct"/>
            <w:tcMar>
              <w:left w:w="72" w:type="dxa"/>
              <w:right w:w="72" w:type="dxa"/>
            </w:tcMar>
          </w:tcPr>
          <w:p w14:paraId="170278FE" w14:textId="7E9A58F1"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highlight w:val="yellow"/>
              </w:rPr>
            </w:pPr>
            <w:r w:rsidRPr="002935F9">
              <w:rPr>
                <w:rFonts w:ascii="Arial Narrow" w:eastAsia="Aptos" w:hAnsi="Arial Narrow" w:cs="Arial"/>
                <w:sz w:val="20"/>
                <w:szCs w:val="20"/>
                <w:lang w:eastAsia="uk-UA"/>
              </w:rPr>
              <w:t>Nuk kërkon financim shtesë</w:t>
            </w:r>
          </w:p>
        </w:tc>
        <w:tc>
          <w:tcPr>
            <w:tcW w:w="1137" w:type="pct"/>
            <w:tcMar>
              <w:left w:w="72" w:type="dxa"/>
              <w:right w:w="72" w:type="dxa"/>
            </w:tcMar>
          </w:tcPr>
          <w:p w14:paraId="54E8784C" w14:textId="48879E15"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lang w:val="bg-BG"/>
              </w:rPr>
            </w:pPr>
            <w:r w:rsidRPr="002935F9">
              <w:rPr>
                <w:rFonts w:ascii="Arial Narrow" w:eastAsia="Calibri" w:hAnsi="Arial Narrow" w:cs="Calibri"/>
                <w:sz w:val="20"/>
                <w:szCs w:val="20"/>
                <w:lang w:val="bg-BG"/>
              </w:rPr>
              <w:t>-</w:t>
            </w:r>
          </w:p>
        </w:tc>
        <w:tc>
          <w:tcPr>
            <w:tcW w:w="708" w:type="pct"/>
            <w:tcMar>
              <w:left w:w="72" w:type="dxa"/>
              <w:right w:w="72" w:type="dxa"/>
            </w:tcMar>
          </w:tcPr>
          <w:p w14:paraId="755BD525" w14:textId="46EED27B" w:rsidR="002935F9" w:rsidRPr="002935F9" w:rsidRDefault="002935F9" w:rsidP="002935F9">
            <w:pPr>
              <w:widowControl w:val="0"/>
              <w:suppressAutoHyphens/>
              <w:autoSpaceDE w:val="0"/>
              <w:autoSpaceDN w:val="0"/>
              <w:spacing w:before="60" w:after="60"/>
              <w:ind w:right="123"/>
              <w:rPr>
                <w:rFonts w:ascii="Arial Narrow" w:eastAsia="Aptos" w:hAnsi="Arial Narrow" w:cs="Arial"/>
                <w:sz w:val="20"/>
                <w:szCs w:val="20"/>
                <w:lang w:eastAsia="uk-UA"/>
              </w:rPr>
            </w:pPr>
            <w:r w:rsidRPr="002935F9">
              <w:rPr>
                <w:rFonts w:ascii="Arial Narrow" w:eastAsia="Aptos" w:hAnsi="Arial Narrow" w:cs="Arial"/>
                <w:sz w:val="20"/>
                <w:szCs w:val="20"/>
                <w:lang w:eastAsia="uk-UA"/>
              </w:rPr>
              <w:t>Komunat</w:t>
            </w:r>
          </w:p>
        </w:tc>
        <w:tc>
          <w:tcPr>
            <w:tcW w:w="782" w:type="pct"/>
            <w:tcMar>
              <w:left w:w="72" w:type="dxa"/>
              <w:right w:w="72" w:type="dxa"/>
            </w:tcMar>
          </w:tcPr>
          <w:p w14:paraId="5F0CEEF7" w14:textId="49E639EC"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rPr>
            </w:pPr>
            <w:r w:rsidRPr="002935F9">
              <w:rPr>
                <w:rFonts w:ascii="Arial Narrow" w:eastAsia="Aptos" w:hAnsi="Arial Narrow" w:cs="Arial"/>
                <w:sz w:val="20"/>
                <w:szCs w:val="20"/>
                <w:lang w:eastAsia="uk-UA"/>
              </w:rPr>
              <w:t>Kërkesat e përcaktuara në rregulloret lokale dhe dispozitat administrative</w:t>
            </w:r>
          </w:p>
        </w:tc>
      </w:tr>
      <w:tr w:rsidR="00E802E0" w:rsidRPr="007D1EDC" w14:paraId="301E6794" w14:textId="77777777" w:rsidTr="00E802E0">
        <w:tc>
          <w:tcPr>
            <w:tcW w:w="227" w:type="pct"/>
            <w:tcMar>
              <w:left w:w="72" w:type="dxa"/>
              <w:right w:w="72" w:type="dxa"/>
            </w:tcMar>
          </w:tcPr>
          <w:p w14:paraId="2457BDC7"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5.4</w:t>
            </w:r>
          </w:p>
        </w:tc>
        <w:tc>
          <w:tcPr>
            <w:tcW w:w="1265" w:type="pct"/>
            <w:tcMar>
              <w:left w:w="72" w:type="dxa"/>
              <w:right w:w="72" w:type="dxa"/>
            </w:tcMar>
          </w:tcPr>
          <w:p w14:paraId="55184CE4" w14:textId="6BABA722"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t xml:space="preserve">Detyrë - Menaxhimi i gomave të </w:t>
            </w:r>
            <w:r w:rsidR="002935F9">
              <w:rPr>
                <w:rFonts w:ascii="Arial Narrow" w:eastAsia="Calibri" w:hAnsi="Arial Narrow" w:cs="Calibri"/>
                <w:b/>
                <w:bCs/>
                <w:i/>
                <w:iCs/>
                <w:sz w:val="20"/>
                <w:szCs w:val="20"/>
              </w:rPr>
              <w:t>shpenzuara</w:t>
            </w:r>
          </w:p>
        </w:tc>
        <w:tc>
          <w:tcPr>
            <w:tcW w:w="462" w:type="pct"/>
            <w:tcMar>
              <w:left w:w="72" w:type="dxa"/>
              <w:right w:w="72" w:type="dxa"/>
            </w:tcMar>
          </w:tcPr>
          <w:p w14:paraId="204A9940"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419" w:type="pct"/>
            <w:tcMar>
              <w:left w:w="72" w:type="dxa"/>
              <w:right w:w="72" w:type="dxa"/>
            </w:tcMar>
          </w:tcPr>
          <w:p w14:paraId="68E5FE98"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highlight w:val="yellow"/>
              </w:rPr>
            </w:pPr>
          </w:p>
        </w:tc>
        <w:tc>
          <w:tcPr>
            <w:tcW w:w="1137" w:type="pct"/>
            <w:tcMar>
              <w:left w:w="72" w:type="dxa"/>
              <w:right w:w="72" w:type="dxa"/>
            </w:tcMar>
          </w:tcPr>
          <w:p w14:paraId="5A64FEF5"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708" w:type="pct"/>
            <w:tcMar>
              <w:left w:w="72" w:type="dxa"/>
              <w:right w:w="72" w:type="dxa"/>
            </w:tcMar>
          </w:tcPr>
          <w:p w14:paraId="6F95F2DD"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782" w:type="pct"/>
            <w:tcMar>
              <w:left w:w="72" w:type="dxa"/>
              <w:right w:w="72" w:type="dxa"/>
            </w:tcMar>
          </w:tcPr>
          <w:p w14:paraId="6692FDC5"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2935F9" w:rsidRPr="007D1EDC" w14:paraId="194E59AD" w14:textId="77777777" w:rsidTr="00E802E0">
        <w:tc>
          <w:tcPr>
            <w:tcW w:w="227" w:type="pct"/>
            <w:tcMar>
              <w:left w:w="72" w:type="dxa"/>
              <w:right w:w="72" w:type="dxa"/>
            </w:tcMar>
          </w:tcPr>
          <w:p w14:paraId="197859A8" w14:textId="77777777" w:rsidR="002935F9" w:rsidRPr="007D1EDC" w:rsidRDefault="002935F9" w:rsidP="002935F9">
            <w:pPr>
              <w:spacing w:before="60" w:after="60"/>
              <w:rPr>
                <w:rFonts w:ascii="Arial Narrow" w:eastAsia="Calibri" w:hAnsi="Arial Narrow"/>
                <w:sz w:val="20"/>
              </w:rPr>
            </w:pPr>
            <w:r w:rsidRPr="007D1EDC">
              <w:rPr>
                <w:rFonts w:ascii="Arial Narrow" w:eastAsia="Calibri" w:hAnsi="Arial Narrow"/>
                <w:sz w:val="20"/>
              </w:rPr>
              <w:t>5.4.1</w:t>
            </w:r>
          </w:p>
        </w:tc>
        <w:tc>
          <w:tcPr>
            <w:tcW w:w="1265" w:type="pct"/>
            <w:tcMar>
              <w:left w:w="72" w:type="dxa"/>
              <w:right w:w="72" w:type="dxa"/>
            </w:tcMar>
          </w:tcPr>
          <w:p w14:paraId="3914410C" w14:textId="3ED0EB0A"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rPr>
            </w:pPr>
            <w:r w:rsidRPr="002935F9">
              <w:rPr>
                <w:rFonts w:ascii="Arial Narrow" w:eastAsia="Aptos" w:hAnsi="Arial Narrow" w:cs="Arial"/>
                <w:sz w:val="20"/>
                <w:szCs w:val="20"/>
                <w:lang w:eastAsia="uk-UA"/>
              </w:rPr>
              <w:t xml:space="preserve">Krijimi i infrastrukturës së grumbullimit të </w:t>
            </w:r>
            <w:r w:rsidRPr="002935F9">
              <w:rPr>
                <w:rFonts w:ascii="Arial Narrow" w:eastAsia="Aptos" w:hAnsi="Arial Narrow" w:cs="Arial"/>
                <w:sz w:val="20"/>
                <w:szCs w:val="20"/>
                <w:lang w:eastAsia="uk-UA"/>
              </w:rPr>
              <w:lastRenderedPageBreak/>
              <w:t>gomave të përdorura/shpenzuara në oborret e riciklimit për mbeturinat specifike komunale</w:t>
            </w:r>
          </w:p>
        </w:tc>
        <w:tc>
          <w:tcPr>
            <w:tcW w:w="462" w:type="pct"/>
            <w:tcMar>
              <w:left w:w="72" w:type="dxa"/>
              <w:right w:w="72" w:type="dxa"/>
            </w:tcMar>
          </w:tcPr>
          <w:p w14:paraId="591039FB" w14:textId="741B96BF"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rPr>
            </w:pPr>
            <w:r w:rsidRPr="002935F9">
              <w:rPr>
                <w:rFonts w:ascii="Arial Narrow" w:eastAsia="Aptos" w:hAnsi="Arial Narrow" w:cs="Arial"/>
                <w:sz w:val="20"/>
                <w:szCs w:val="20"/>
                <w:lang w:eastAsia="uk-UA"/>
              </w:rPr>
              <w:lastRenderedPageBreak/>
              <w:t xml:space="preserve">2027 (në </w:t>
            </w:r>
            <w:r w:rsidRPr="002935F9">
              <w:rPr>
                <w:rFonts w:ascii="Arial Narrow" w:eastAsia="Aptos" w:hAnsi="Arial Narrow" w:cs="Arial"/>
                <w:sz w:val="20"/>
                <w:szCs w:val="20"/>
                <w:lang w:eastAsia="uk-UA"/>
              </w:rPr>
              <w:lastRenderedPageBreak/>
              <w:t>varësi të miratimit të legjislacionit kombëtar)</w:t>
            </w:r>
          </w:p>
        </w:tc>
        <w:tc>
          <w:tcPr>
            <w:tcW w:w="419" w:type="pct"/>
            <w:tcMar>
              <w:left w:w="72" w:type="dxa"/>
              <w:right w:w="72" w:type="dxa"/>
            </w:tcMar>
          </w:tcPr>
          <w:p w14:paraId="5E8D3D1B" w14:textId="19906C9A"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highlight w:val="yellow"/>
              </w:rPr>
            </w:pPr>
            <w:r w:rsidRPr="002935F9">
              <w:rPr>
                <w:rFonts w:ascii="Arial Narrow" w:eastAsia="Aptos" w:hAnsi="Arial Narrow" w:cs="Arial"/>
                <w:sz w:val="20"/>
                <w:szCs w:val="20"/>
                <w:lang w:eastAsia="uk-UA"/>
              </w:rPr>
              <w:lastRenderedPageBreak/>
              <w:t xml:space="preserve">Nuk kërkon </w:t>
            </w:r>
            <w:r w:rsidRPr="002935F9">
              <w:rPr>
                <w:rFonts w:ascii="Arial Narrow" w:eastAsia="Aptos" w:hAnsi="Arial Narrow" w:cs="Arial"/>
                <w:sz w:val="20"/>
                <w:szCs w:val="20"/>
                <w:lang w:eastAsia="uk-UA"/>
              </w:rPr>
              <w:lastRenderedPageBreak/>
              <w:t>financim shtesë</w:t>
            </w:r>
          </w:p>
        </w:tc>
        <w:tc>
          <w:tcPr>
            <w:tcW w:w="1137" w:type="pct"/>
            <w:tcMar>
              <w:left w:w="72" w:type="dxa"/>
              <w:right w:w="72" w:type="dxa"/>
            </w:tcMar>
          </w:tcPr>
          <w:p w14:paraId="6B6E165D" w14:textId="10DA88F7"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rPr>
            </w:pPr>
            <w:r w:rsidRPr="002935F9">
              <w:rPr>
                <w:rFonts w:ascii="Arial Narrow" w:eastAsia="Aptos" w:hAnsi="Arial Narrow" w:cs="Arial"/>
                <w:sz w:val="20"/>
                <w:szCs w:val="20"/>
                <w:lang w:eastAsia="uk-UA"/>
              </w:rPr>
              <w:lastRenderedPageBreak/>
              <w:t xml:space="preserve">Në kuadër të shpenzimeve për ngritjen </w:t>
            </w:r>
            <w:r w:rsidRPr="002935F9">
              <w:rPr>
                <w:rFonts w:ascii="Arial Narrow" w:eastAsia="Aptos" w:hAnsi="Arial Narrow" w:cs="Arial"/>
                <w:sz w:val="20"/>
                <w:szCs w:val="20"/>
                <w:lang w:eastAsia="uk-UA"/>
              </w:rPr>
              <w:lastRenderedPageBreak/>
              <w:t>e oborret e riciklimit për mbeturinat komunale</w:t>
            </w:r>
          </w:p>
        </w:tc>
        <w:tc>
          <w:tcPr>
            <w:tcW w:w="708" w:type="pct"/>
            <w:tcMar>
              <w:left w:w="72" w:type="dxa"/>
              <w:right w:w="72" w:type="dxa"/>
            </w:tcMar>
          </w:tcPr>
          <w:p w14:paraId="795CDAA7" w14:textId="67426650" w:rsidR="002935F9" w:rsidRPr="002935F9" w:rsidRDefault="002935F9" w:rsidP="002935F9">
            <w:pPr>
              <w:widowControl w:val="0"/>
              <w:suppressAutoHyphens/>
              <w:autoSpaceDE w:val="0"/>
              <w:autoSpaceDN w:val="0"/>
              <w:spacing w:before="60" w:after="60"/>
              <w:ind w:right="123"/>
              <w:rPr>
                <w:rFonts w:ascii="Arial Narrow" w:eastAsia="Aptos" w:hAnsi="Arial Narrow" w:cs="Arial"/>
                <w:sz w:val="20"/>
                <w:szCs w:val="20"/>
                <w:lang w:eastAsia="uk-UA"/>
              </w:rPr>
            </w:pPr>
            <w:r w:rsidRPr="002935F9">
              <w:rPr>
                <w:rFonts w:ascii="Arial Narrow" w:eastAsia="Aptos" w:hAnsi="Arial Narrow" w:cs="Arial"/>
                <w:sz w:val="20"/>
                <w:szCs w:val="20"/>
                <w:lang w:eastAsia="uk-UA"/>
              </w:rPr>
              <w:lastRenderedPageBreak/>
              <w:t>OPP-të, komunat</w:t>
            </w:r>
          </w:p>
        </w:tc>
        <w:tc>
          <w:tcPr>
            <w:tcW w:w="782" w:type="pct"/>
            <w:tcMar>
              <w:left w:w="72" w:type="dxa"/>
              <w:right w:w="72" w:type="dxa"/>
            </w:tcMar>
          </w:tcPr>
          <w:p w14:paraId="7A3D3605" w14:textId="57324F07" w:rsidR="002935F9" w:rsidRPr="002935F9" w:rsidRDefault="002935F9" w:rsidP="002935F9">
            <w:pPr>
              <w:widowControl w:val="0"/>
              <w:suppressAutoHyphens/>
              <w:autoSpaceDE w:val="0"/>
              <w:autoSpaceDN w:val="0"/>
              <w:spacing w:before="60" w:after="60"/>
              <w:ind w:right="123"/>
              <w:rPr>
                <w:rFonts w:ascii="Arial Narrow" w:eastAsia="Calibri" w:hAnsi="Arial Narrow" w:cs="Calibri"/>
                <w:sz w:val="20"/>
                <w:szCs w:val="20"/>
              </w:rPr>
            </w:pPr>
            <w:r w:rsidRPr="002935F9">
              <w:rPr>
                <w:rFonts w:ascii="Arial Narrow" w:eastAsia="Aptos" w:hAnsi="Arial Narrow" w:cs="Arial"/>
                <w:sz w:val="20"/>
                <w:szCs w:val="20"/>
                <w:lang w:eastAsia="uk-UA"/>
              </w:rPr>
              <w:t xml:space="preserve">Vendet e grumbullimit të </w:t>
            </w:r>
            <w:r w:rsidRPr="002935F9">
              <w:rPr>
                <w:rFonts w:ascii="Arial Narrow" w:eastAsia="Aptos" w:hAnsi="Arial Narrow" w:cs="Arial"/>
                <w:sz w:val="20"/>
                <w:szCs w:val="20"/>
                <w:lang w:eastAsia="uk-UA"/>
              </w:rPr>
              <w:lastRenderedPageBreak/>
              <w:t>përcaktuara</w:t>
            </w:r>
          </w:p>
        </w:tc>
      </w:tr>
      <w:tr w:rsidR="00E802E0" w:rsidRPr="007D1EDC" w14:paraId="0F015AA0" w14:textId="77777777" w:rsidTr="00E802E0">
        <w:tc>
          <w:tcPr>
            <w:tcW w:w="227" w:type="pct"/>
            <w:tcMar>
              <w:left w:w="72" w:type="dxa"/>
              <w:right w:w="72" w:type="dxa"/>
            </w:tcMar>
          </w:tcPr>
          <w:p w14:paraId="6DD2FF10"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b/>
                <w:bCs/>
                <w:i/>
                <w:iCs/>
                <w:sz w:val="20"/>
                <w:szCs w:val="20"/>
              </w:rPr>
            </w:pPr>
            <w:r w:rsidRPr="007D1EDC">
              <w:rPr>
                <w:rFonts w:ascii="Arial Narrow" w:eastAsia="Calibri" w:hAnsi="Arial Narrow" w:cs="Calibri"/>
                <w:b/>
                <w:bCs/>
                <w:i/>
                <w:iCs/>
                <w:sz w:val="20"/>
                <w:szCs w:val="20"/>
              </w:rPr>
              <w:lastRenderedPageBreak/>
              <w:t>5.5</w:t>
            </w:r>
          </w:p>
        </w:tc>
        <w:tc>
          <w:tcPr>
            <w:tcW w:w="1265" w:type="pct"/>
            <w:tcMar>
              <w:left w:w="72" w:type="dxa"/>
              <w:right w:w="72" w:type="dxa"/>
            </w:tcMar>
          </w:tcPr>
          <w:p w14:paraId="528FF203"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r w:rsidRPr="007D1EDC">
              <w:rPr>
                <w:rFonts w:ascii="Arial Narrow" w:eastAsia="Calibri" w:hAnsi="Arial Narrow" w:cs="Calibri"/>
                <w:b/>
                <w:bCs/>
                <w:i/>
                <w:iCs/>
                <w:sz w:val="20"/>
                <w:szCs w:val="20"/>
              </w:rPr>
              <w:t>Detyrë - Menaxhimi i vajrave të përdorura</w:t>
            </w:r>
          </w:p>
        </w:tc>
        <w:tc>
          <w:tcPr>
            <w:tcW w:w="462" w:type="pct"/>
            <w:tcMar>
              <w:left w:w="72" w:type="dxa"/>
              <w:right w:w="72" w:type="dxa"/>
            </w:tcMar>
          </w:tcPr>
          <w:p w14:paraId="774437D3"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419" w:type="pct"/>
            <w:tcMar>
              <w:left w:w="72" w:type="dxa"/>
              <w:right w:w="72" w:type="dxa"/>
            </w:tcMar>
          </w:tcPr>
          <w:p w14:paraId="0F1E9896"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highlight w:val="yellow"/>
              </w:rPr>
            </w:pPr>
          </w:p>
        </w:tc>
        <w:tc>
          <w:tcPr>
            <w:tcW w:w="1137" w:type="pct"/>
            <w:tcMar>
              <w:left w:w="72" w:type="dxa"/>
              <w:right w:w="72" w:type="dxa"/>
            </w:tcMar>
          </w:tcPr>
          <w:p w14:paraId="23D05A95"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c>
          <w:tcPr>
            <w:tcW w:w="708" w:type="pct"/>
            <w:tcMar>
              <w:left w:w="72" w:type="dxa"/>
              <w:right w:w="72" w:type="dxa"/>
            </w:tcMar>
          </w:tcPr>
          <w:p w14:paraId="0B2FC06D"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782" w:type="pct"/>
            <w:tcMar>
              <w:left w:w="72" w:type="dxa"/>
              <w:right w:w="72" w:type="dxa"/>
            </w:tcMar>
          </w:tcPr>
          <w:p w14:paraId="41F5D536"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r w:rsidR="00E802E0" w:rsidRPr="007D1EDC" w14:paraId="30AD2FF9" w14:textId="77777777" w:rsidTr="00E802E0">
        <w:tc>
          <w:tcPr>
            <w:tcW w:w="227" w:type="pct"/>
            <w:tcMar>
              <w:left w:w="72" w:type="dxa"/>
              <w:right w:w="72" w:type="dxa"/>
            </w:tcMar>
          </w:tcPr>
          <w:p w14:paraId="41FE7614" w14:textId="77777777" w:rsidR="007D1EDC" w:rsidRPr="007D1EDC" w:rsidRDefault="007D1EDC" w:rsidP="007D1EDC">
            <w:pPr>
              <w:spacing w:before="60" w:after="60"/>
              <w:rPr>
                <w:rFonts w:ascii="Arial Narrow" w:eastAsia="Calibri" w:hAnsi="Arial Narrow"/>
                <w:sz w:val="20"/>
              </w:rPr>
            </w:pPr>
            <w:r w:rsidRPr="007D1EDC">
              <w:rPr>
                <w:rFonts w:ascii="Arial Narrow" w:eastAsia="Calibri" w:hAnsi="Arial Narrow"/>
                <w:sz w:val="20"/>
              </w:rPr>
              <w:t>5.5.1</w:t>
            </w:r>
          </w:p>
        </w:tc>
        <w:tc>
          <w:tcPr>
            <w:tcW w:w="1265" w:type="pct"/>
            <w:tcMar>
              <w:left w:w="72" w:type="dxa"/>
              <w:right w:w="72" w:type="dxa"/>
            </w:tcMar>
          </w:tcPr>
          <w:p w14:paraId="5A04C1D1"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sz w:val="20"/>
                <w:szCs w:val="20"/>
                <w:highlight w:val="yellow"/>
                <w:lang w:eastAsia="uk-UA"/>
              </w:rPr>
            </w:pPr>
            <w:r w:rsidRPr="007D1EDC">
              <w:rPr>
                <w:rFonts w:ascii="Arial Narrow" w:eastAsia="Aptos" w:hAnsi="Arial Narrow" w:cs="Arial"/>
                <w:sz w:val="20"/>
                <w:szCs w:val="20"/>
                <w:lang w:eastAsia="uk-UA"/>
              </w:rPr>
              <w:t>Nuk parashikohen aktivitete</w:t>
            </w:r>
          </w:p>
        </w:tc>
        <w:tc>
          <w:tcPr>
            <w:tcW w:w="462" w:type="pct"/>
            <w:tcMar>
              <w:left w:w="72" w:type="dxa"/>
              <w:right w:w="72" w:type="dxa"/>
            </w:tcMar>
          </w:tcPr>
          <w:p w14:paraId="038C65FE"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sz w:val="20"/>
                <w:szCs w:val="20"/>
                <w:highlight w:val="yellow"/>
                <w:lang w:eastAsia="uk-UA"/>
              </w:rPr>
            </w:pPr>
          </w:p>
        </w:tc>
        <w:tc>
          <w:tcPr>
            <w:tcW w:w="419" w:type="pct"/>
            <w:tcMar>
              <w:left w:w="72" w:type="dxa"/>
              <w:right w:w="72" w:type="dxa"/>
            </w:tcMar>
          </w:tcPr>
          <w:p w14:paraId="3C316670"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1137" w:type="pct"/>
            <w:tcMar>
              <w:left w:w="72" w:type="dxa"/>
              <w:right w:w="72" w:type="dxa"/>
            </w:tcMar>
          </w:tcPr>
          <w:p w14:paraId="4E33B41F"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708" w:type="pct"/>
            <w:tcMar>
              <w:left w:w="72" w:type="dxa"/>
              <w:right w:w="72" w:type="dxa"/>
            </w:tcMar>
          </w:tcPr>
          <w:p w14:paraId="3091F682" w14:textId="77777777" w:rsidR="007D1EDC" w:rsidRPr="007D1EDC" w:rsidRDefault="007D1EDC" w:rsidP="007D1EDC">
            <w:pPr>
              <w:widowControl w:val="0"/>
              <w:suppressAutoHyphens/>
              <w:autoSpaceDE w:val="0"/>
              <w:autoSpaceDN w:val="0"/>
              <w:spacing w:before="60" w:after="60"/>
              <w:ind w:right="123"/>
              <w:rPr>
                <w:rFonts w:ascii="Arial Narrow" w:eastAsia="Aptos" w:hAnsi="Arial Narrow" w:cs="Arial"/>
                <w:sz w:val="20"/>
                <w:szCs w:val="20"/>
                <w:lang w:eastAsia="uk-UA"/>
              </w:rPr>
            </w:pPr>
          </w:p>
        </w:tc>
        <w:tc>
          <w:tcPr>
            <w:tcW w:w="782" w:type="pct"/>
            <w:tcMar>
              <w:left w:w="72" w:type="dxa"/>
              <w:right w:w="72" w:type="dxa"/>
            </w:tcMar>
          </w:tcPr>
          <w:p w14:paraId="6AAAAC9F" w14:textId="77777777" w:rsidR="007D1EDC" w:rsidRPr="007D1EDC" w:rsidRDefault="007D1EDC" w:rsidP="007D1EDC">
            <w:pPr>
              <w:widowControl w:val="0"/>
              <w:suppressAutoHyphens/>
              <w:autoSpaceDE w:val="0"/>
              <w:autoSpaceDN w:val="0"/>
              <w:spacing w:before="60" w:after="60"/>
              <w:ind w:right="123"/>
              <w:rPr>
                <w:rFonts w:ascii="Arial Narrow" w:eastAsia="Calibri" w:hAnsi="Arial Narrow" w:cs="Calibri"/>
                <w:sz w:val="20"/>
                <w:szCs w:val="20"/>
              </w:rPr>
            </w:pPr>
          </w:p>
        </w:tc>
      </w:tr>
    </w:tbl>
    <w:p w14:paraId="7F161F9F" w14:textId="77777777" w:rsidR="007D1EDC" w:rsidRPr="007D1EDC" w:rsidRDefault="007D1EDC" w:rsidP="007D1EDC">
      <w:pPr>
        <w:suppressAutoHyphens/>
        <w:rPr>
          <w:rFonts w:ascii="Arial Narrow" w:eastAsia="Calibri" w:hAnsi="Arial Narrow" w:cs="Calibri"/>
          <w:sz w:val="22"/>
          <w:szCs w:val="22"/>
        </w:rPr>
      </w:pPr>
    </w:p>
    <w:p w14:paraId="0EC8117F" w14:textId="77777777" w:rsidR="007D1EDC" w:rsidRPr="007D1EDC" w:rsidRDefault="007D1EDC" w:rsidP="0059507F">
      <w:pPr>
        <w:keepNext/>
        <w:numPr>
          <w:ilvl w:val="0"/>
          <w:numId w:val="2"/>
        </w:numPr>
        <w:suppressAutoHyphens/>
        <w:ind w:left="1134" w:hanging="1134"/>
        <w:jc w:val="both"/>
        <w:outlineLvl w:val="0"/>
        <w:rPr>
          <w:rFonts w:ascii="Arial Narrow" w:eastAsiaTheme="majorEastAsia" w:hAnsi="Arial Narrow" w:cstheme="majorBidi"/>
          <w:b/>
          <w:bCs/>
          <w:caps/>
          <w:color w:val="002060"/>
          <w:spacing w:val="20"/>
          <w:sz w:val="28"/>
          <w:szCs w:val="28"/>
        </w:rPr>
        <w:sectPr w:rsidR="007D1EDC" w:rsidRPr="007D1EDC" w:rsidSect="007D1EDC">
          <w:pgSz w:w="16838" w:h="11906" w:orient="landscape"/>
          <w:pgMar w:top="1440" w:right="1440" w:bottom="1440" w:left="1440" w:header="706" w:footer="706" w:gutter="0"/>
          <w:cols w:space="708"/>
          <w:docGrid w:linePitch="360"/>
        </w:sectPr>
      </w:pPr>
    </w:p>
    <w:p w14:paraId="2C53FCFF" w14:textId="172DB0AD" w:rsidR="007D1EDC" w:rsidRPr="007D1EDC" w:rsidRDefault="007D1EDC" w:rsidP="002E4DDE">
      <w:pPr>
        <w:pStyle w:val="Heading2"/>
        <w:ind w:left="1134" w:hanging="1134"/>
      </w:pPr>
      <w:bookmarkStart w:id="572" w:name="_Toc190967405"/>
      <w:bookmarkStart w:id="573" w:name="_Toc197472054"/>
      <w:r w:rsidRPr="007D1EDC">
        <w:lastRenderedPageBreak/>
        <w:t>Kost</w:t>
      </w:r>
      <w:r w:rsidR="002935F9">
        <w:t>ot</w:t>
      </w:r>
      <w:r w:rsidRPr="007D1EDC">
        <w:t xml:space="preserve"> dhe burimet</w:t>
      </w:r>
      <w:bookmarkEnd w:id="572"/>
      <w:bookmarkEnd w:id="573"/>
    </w:p>
    <w:p w14:paraId="2D1D7D88" w14:textId="77777777" w:rsidR="007D1EDC" w:rsidRPr="002935F9" w:rsidRDefault="007D1EDC" w:rsidP="007D1EDC">
      <w:pPr>
        <w:suppressAutoHyphens/>
        <w:rPr>
          <w:rFonts w:ascii="Arial Narrow" w:eastAsia="Calibri" w:hAnsi="Arial Narrow" w:cs="Calibri"/>
          <w:sz w:val="22"/>
          <w:szCs w:val="22"/>
        </w:rPr>
      </w:pPr>
    </w:p>
    <w:p w14:paraId="758D6555" w14:textId="77777777" w:rsidR="002935F9" w:rsidRPr="002935F9" w:rsidRDefault="002935F9" w:rsidP="002935F9">
      <w:pPr>
        <w:suppressAutoHyphens/>
        <w:rPr>
          <w:rFonts w:ascii="Arial Narrow" w:eastAsia="Calibri" w:hAnsi="Arial Narrow" w:cs="Calibri"/>
          <w:sz w:val="22"/>
          <w:szCs w:val="22"/>
        </w:rPr>
      </w:pPr>
      <w:r w:rsidRPr="002935F9">
        <w:rPr>
          <w:rFonts w:ascii="Arial Narrow" w:eastAsia="Calibri" w:hAnsi="Arial Narrow" w:cs="Calibri"/>
          <w:sz w:val="22"/>
          <w:szCs w:val="22"/>
        </w:rPr>
        <w:t>Që nga viti 2025, të gjitha vlerësimet e kostos dhe të hyrat e sistemit janë me çmime konstante. Në të ardhmen, inflacioni ndikon si në kostot ashtu edhe në të hyra.</w:t>
      </w:r>
    </w:p>
    <w:p w14:paraId="5807A5D1" w14:textId="77777777" w:rsidR="007D1EDC" w:rsidRPr="002935F9" w:rsidRDefault="007D1EDC" w:rsidP="007D1EDC">
      <w:pPr>
        <w:suppressAutoHyphens/>
        <w:rPr>
          <w:rFonts w:ascii="Arial Narrow" w:eastAsia="Calibri" w:hAnsi="Arial Narrow" w:cs="Calibri"/>
          <w:sz w:val="22"/>
          <w:szCs w:val="22"/>
        </w:rPr>
      </w:pPr>
    </w:p>
    <w:p w14:paraId="3871363E" w14:textId="7609A848" w:rsidR="007D1EDC" w:rsidRPr="007D1EDC" w:rsidRDefault="002935F9" w:rsidP="002E4DDE">
      <w:pPr>
        <w:pStyle w:val="Heading3"/>
        <w:ind w:left="1134" w:hanging="1134"/>
      </w:pPr>
      <w:bookmarkStart w:id="574" w:name="_Toc197472055"/>
      <w:bookmarkStart w:id="575" w:name="_Toc190929291"/>
      <w:bookmarkStart w:id="576" w:name="_Toc190967406"/>
      <w:r>
        <w:t>Grumbullimi ndaras i</w:t>
      </w:r>
      <w:r w:rsidR="007D1EDC" w:rsidRPr="007D1EDC">
        <w:t xml:space="preserve"> materialeve të riciklueshme dhe </w:t>
      </w:r>
      <w:r>
        <w:t>klasifikimi</w:t>
      </w:r>
      <w:bookmarkEnd w:id="574"/>
      <w:r w:rsidR="007D1EDC" w:rsidRPr="007D1EDC">
        <w:t xml:space="preserve"> </w:t>
      </w:r>
      <w:bookmarkEnd w:id="575"/>
      <w:bookmarkEnd w:id="576"/>
    </w:p>
    <w:p w14:paraId="6A3AB0E7" w14:textId="77777777" w:rsidR="007D1EDC" w:rsidRPr="002935F9" w:rsidRDefault="007D1EDC" w:rsidP="002935F9">
      <w:pPr>
        <w:jc w:val="both"/>
        <w:rPr>
          <w:rFonts w:ascii="Arial Narrow" w:eastAsia="Calibri" w:hAnsi="Arial Narrow"/>
          <w:sz w:val="20"/>
        </w:rPr>
      </w:pPr>
    </w:p>
    <w:p w14:paraId="2ED9588E" w14:textId="77777777" w:rsidR="002935F9" w:rsidRPr="002935F9" w:rsidRDefault="002935F9" w:rsidP="002935F9">
      <w:pPr>
        <w:suppressAutoHyphens/>
        <w:jc w:val="both"/>
        <w:rPr>
          <w:rFonts w:ascii="Arial Narrow" w:eastAsia="Calibri" w:hAnsi="Arial Narrow" w:cs="Calibri"/>
          <w:sz w:val="22"/>
          <w:szCs w:val="22"/>
        </w:rPr>
      </w:pPr>
      <w:r w:rsidRPr="002935F9">
        <w:rPr>
          <w:rFonts w:ascii="Arial Narrow" w:eastAsia="Calibri" w:hAnsi="Arial Narrow" w:cs="Calibri"/>
          <w:sz w:val="22"/>
          <w:szCs w:val="22"/>
        </w:rPr>
        <w:t>Grumbullimi i ndaras i mbeturinave të materialeve të riciklueshme është parakusht për rikuperimin dhe shfrytëzimin e tyre.</w:t>
      </w:r>
    </w:p>
    <w:p w14:paraId="6326FAA1" w14:textId="77777777" w:rsidR="002935F9" w:rsidRPr="002935F9" w:rsidRDefault="002935F9" w:rsidP="002935F9">
      <w:pPr>
        <w:suppressAutoHyphens/>
        <w:jc w:val="both"/>
        <w:rPr>
          <w:rFonts w:ascii="Arial Narrow" w:eastAsia="Calibri" w:hAnsi="Arial Narrow" w:cs="Calibri"/>
          <w:sz w:val="22"/>
          <w:szCs w:val="22"/>
        </w:rPr>
      </w:pPr>
    </w:p>
    <w:p w14:paraId="6969D16C" w14:textId="77777777" w:rsidR="002935F9" w:rsidRPr="002935F9" w:rsidRDefault="002935F9" w:rsidP="002935F9">
      <w:pPr>
        <w:suppressAutoHyphens/>
        <w:jc w:val="both"/>
        <w:rPr>
          <w:rFonts w:ascii="Arial Narrow" w:eastAsia="Calibri" w:hAnsi="Arial Narrow" w:cs="Calibri"/>
          <w:sz w:val="22"/>
          <w:szCs w:val="22"/>
        </w:rPr>
      </w:pPr>
      <w:r w:rsidRPr="002935F9">
        <w:rPr>
          <w:rFonts w:ascii="Arial Narrow" w:eastAsia="Calibri" w:hAnsi="Arial Narrow" w:cs="Calibri"/>
          <w:sz w:val="22"/>
          <w:szCs w:val="22"/>
        </w:rPr>
        <w:t>Futja në praktikë e dhe rritja graduale e grumbullimit ndaras të mbeturinave për të mbuluar 100% të popullsisë urbane dhe 80% të popullsisë rurale kërkon investime të vazhdueshme dhe riinvestim në kamionë dhe kontejnerë. Kjo nënkupton grumbullimin ndaras të mbeturinave të materialeve të riciklueshme, për sasitë si më poshtë:</w:t>
      </w:r>
    </w:p>
    <w:p w14:paraId="283C62A6" w14:textId="77777777" w:rsidR="007D1EDC" w:rsidRPr="002935F9" w:rsidRDefault="007D1EDC" w:rsidP="002935F9">
      <w:pPr>
        <w:suppressAutoHyphens/>
        <w:jc w:val="both"/>
        <w:rPr>
          <w:rFonts w:ascii="Arial Narrow" w:eastAsia="Calibri" w:hAnsi="Arial Narrow" w:cs="Calibri"/>
          <w:sz w:val="22"/>
          <w:szCs w:val="22"/>
        </w:rPr>
      </w:pPr>
    </w:p>
    <w:p w14:paraId="2FA14BE7" w14:textId="3FCD9985" w:rsidR="007D1EDC" w:rsidRPr="007D1EDC" w:rsidRDefault="007D1EDC" w:rsidP="007D1EDC">
      <w:pPr>
        <w:suppressAutoHyphens/>
        <w:rPr>
          <w:rFonts w:ascii="Arial Narrow" w:eastAsia="Calibri" w:hAnsi="Arial Narrow" w:cs="Calibri"/>
          <w:color w:val="1F497D"/>
          <w:sz w:val="20"/>
          <w:szCs w:val="20"/>
        </w:rPr>
      </w:pPr>
      <w:bookmarkStart w:id="577" w:name="_Toc190966773"/>
      <w:bookmarkStart w:id="578" w:name="_Toc197472270"/>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85.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Materialet</w:t>
      </w:r>
      <w:r w:rsidR="002935F9">
        <w:rPr>
          <w:rFonts w:ascii="Arial Narrow" w:eastAsia="Calibri" w:hAnsi="Arial Narrow" w:cs="Calibri"/>
          <w:color w:val="1F497D"/>
          <w:sz w:val="20"/>
          <w:szCs w:val="20"/>
        </w:rPr>
        <w:t xml:space="preserve"> e</w:t>
      </w:r>
      <w:r w:rsidRPr="007D1EDC">
        <w:rPr>
          <w:rFonts w:ascii="Arial Narrow" w:eastAsia="Calibri" w:hAnsi="Arial Narrow" w:cs="Calibri"/>
          <w:color w:val="1F497D"/>
          <w:sz w:val="20"/>
          <w:szCs w:val="20"/>
        </w:rPr>
        <w:t xml:space="preserve"> riciklueshme të </w:t>
      </w:r>
      <w:r w:rsidR="002935F9">
        <w:rPr>
          <w:rFonts w:ascii="Arial Narrow" w:eastAsia="Calibri" w:hAnsi="Arial Narrow" w:cs="Calibri"/>
          <w:color w:val="1F497D"/>
          <w:sz w:val="20"/>
          <w:szCs w:val="20"/>
        </w:rPr>
        <w:t>graumbulluara ndaras</w:t>
      </w:r>
      <w:r w:rsidRPr="007D1EDC">
        <w:rPr>
          <w:rFonts w:ascii="Arial Narrow" w:eastAsia="Calibri" w:hAnsi="Arial Narrow" w:cs="Calibri"/>
          <w:color w:val="1F497D"/>
          <w:sz w:val="20"/>
          <w:szCs w:val="20"/>
        </w:rPr>
        <w:t xml:space="preserve"> nga </w:t>
      </w:r>
      <w:r w:rsidR="002935F9">
        <w:rPr>
          <w:rFonts w:ascii="Arial Narrow" w:eastAsia="Calibri" w:hAnsi="Arial Narrow" w:cs="Calibri"/>
          <w:color w:val="1F497D"/>
          <w:sz w:val="20"/>
          <w:szCs w:val="20"/>
        </w:rPr>
        <w:t>komunat</w:t>
      </w:r>
      <w:r w:rsidRPr="007D1EDC">
        <w:rPr>
          <w:rFonts w:ascii="Arial Narrow" w:eastAsia="Calibri" w:hAnsi="Arial Narrow" w:cs="Calibri"/>
          <w:color w:val="1F497D"/>
          <w:sz w:val="20"/>
          <w:szCs w:val="20"/>
        </w:rPr>
        <w:t>, ton, 2027-2035</w:t>
      </w:r>
      <w:bookmarkEnd w:id="577"/>
      <w:bookmarkEnd w:id="578"/>
    </w:p>
    <w:tbl>
      <w:tblPr>
        <w:tblW w:w="5109" w:type="pct"/>
        <w:tblInd w:w="-5" w:type="dxa"/>
        <w:tblLayout w:type="fixed"/>
        <w:tblLook w:val="04A0" w:firstRow="1" w:lastRow="0" w:firstColumn="1" w:lastColumn="0" w:noHBand="0" w:noVBand="1"/>
      </w:tblPr>
      <w:tblGrid>
        <w:gridCol w:w="1559"/>
        <w:gridCol w:w="768"/>
        <w:gridCol w:w="848"/>
        <w:gridCol w:w="848"/>
        <w:gridCol w:w="938"/>
        <w:gridCol w:w="851"/>
        <w:gridCol w:w="851"/>
        <w:gridCol w:w="851"/>
        <w:gridCol w:w="853"/>
        <w:gridCol w:w="846"/>
      </w:tblGrid>
      <w:tr w:rsidR="002361B0" w:rsidRPr="007D1EDC" w14:paraId="2F8214CD" w14:textId="77777777" w:rsidTr="00BD1EDD">
        <w:trPr>
          <w:trHeight w:val="230"/>
        </w:trPr>
        <w:tc>
          <w:tcPr>
            <w:tcW w:w="846" w:type="pct"/>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59E9AF56" w14:textId="390D4F48" w:rsidR="007D1EDC" w:rsidRPr="007D1EDC" w:rsidRDefault="002935F9" w:rsidP="007D1EDC">
            <w:pPr>
              <w:jc w:val="right"/>
              <w:rPr>
                <w:rFonts w:ascii="Arial Narrow" w:hAnsi="Arial Narrow" w:cs="Calibri"/>
                <w:b/>
                <w:bCs/>
                <w:color w:val="FFFFFF" w:themeColor="background1"/>
                <w:sz w:val="20"/>
                <w:szCs w:val="20"/>
                <w:lang w:val="en-GB" w:eastAsia="en-GB"/>
              </w:rPr>
            </w:pPr>
            <w:proofErr w:type="spellStart"/>
            <w:r>
              <w:rPr>
                <w:rFonts w:ascii="Arial Narrow" w:hAnsi="Arial Narrow" w:cs="Calibri"/>
                <w:b/>
                <w:bCs/>
                <w:color w:val="FFFFFF" w:themeColor="background1"/>
                <w:sz w:val="20"/>
                <w:szCs w:val="20"/>
                <w:lang w:val="en-GB" w:eastAsia="en-GB"/>
              </w:rPr>
              <w:t>Komuna</w:t>
            </w:r>
            <w:proofErr w:type="spellEnd"/>
          </w:p>
        </w:tc>
        <w:tc>
          <w:tcPr>
            <w:tcW w:w="417" w:type="pct"/>
            <w:tcBorders>
              <w:top w:val="single" w:sz="4" w:space="0" w:color="auto"/>
              <w:left w:val="nil"/>
              <w:bottom w:val="single" w:sz="4" w:space="0" w:color="auto"/>
              <w:right w:val="single" w:sz="4" w:space="0" w:color="auto"/>
            </w:tcBorders>
            <w:shd w:val="clear" w:color="auto" w:fill="365F91"/>
            <w:noWrap/>
            <w:vAlign w:val="center"/>
            <w:hideMark/>
          </w:tcPr>
          <w:p w14:paraId="74F86EF3"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2027</w:t>
            </w:r>
          </w:p>
        </w:tc>
        <w:tc>
          <w:tcPr>
            <w:tcW w:w="460" w:type="pct"/>
            <w:tcBorders>
              <w:top w:val="single" w:sz="4" w:space="0" w:color="auto"/>
              <w:left w:val="nil"/>
              <w:bottom w:val="single" w:sz="4" w:space="0" w:color="auto"/>
              <w:right w:val="single" w:sz="4" w:space="0" w:color="auto"/>
            </w:tcBorders>
            <w:shd w:val="clear" w:color="auto" w:fill="365F91"/>
            <w:noWrap/>
            <w:vAlign w:val="center"/>
            <w:hideMark/>
          </w:tcPr>
          <w:p w14:paraId="79C55204"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2028</w:t>
            </w:r>
          </w:p>
        </w:tc>
        <w:tc>
          <w:tcPr>
            <w:tcW w:w="460" w:type="pct"/>
            <w:tcBorders>
              <w:top w:val="single" w:sz="4" w:space="0" w:color="auto"/>
              <w:left w:val="nil"/>
              <w:bottom w:val="single" w:sz="4" w:space="0" w:color="auto"/>
              <w:right w:val="single" w:sz="4" w:space="0" w:color="auto"/>
            </w:tcBorders>
            <w:shd w:val="clear" w:color="auto" w:fill="365F91"/>
            <w:noWrap/>
            <w:vAlign w:val="center"/>
            <w:hideMark/>
          </w:tcPr>
          <w:p w14:paraId="21E85978"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2029</w:t>
            </w:r>
          </w:p>
        </w:tc>
        <w:tc>
          <w:tcPr>
            <w:tcW w:w="509" w:type="pct"/>
            <w:tcBorders>
              <w:top w:val="single" w:sz="4" w:space="0" w:color="auto"/>
              <w:left w:val="nil"/>
              <w:bottom w:val="single" w:sz="4" w:space="0" w:color="auto"/>
              <w:right w:val="single" w:sz="4" w:space="0" w:color="auto"/>
            </w:tcBorders>
            <w:shd w:val="clear" w:color="auto" w:fill="365F91"/>
            <w:noWrap/>
            <w:vAlign w:val="center"/>
            <w:hideMark/>
          </w:tcPr>
          <w:p w14:paraId="69BD075D"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2030</w:t>
            </w:r>
          </w:p>
        </w:tc>
        <w:tc>
          <w:tcPr>
            <w:tcW w:w="462" w:type="pct"/>
            <w:tcBorders>
              <w:top w:val="single" w:sz="4" w:space="0" w:color="auto"/>
              <w:left w:val="nil"/>
              <w:bottom w:val="single" w:sz="4" w:space="0" w:color="auto"/>
              <w:right w:val="single" w:sz="4" w:space="0" w:color="auto"/>
            </w:tcBorders>
            <w:shd w:val="clear" w:color="auto" w:fill="365F91"/>
            <w:noWrap/>
            <w:vAlign w:val="center"/>
            <w:hideMark/>
          </w:tcPr>
          <w:p w14:paraId="13D07286"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2031</w:t>
            </w:r>
          </w:p>
        </w:tc>
        <w:tc>
          <w:tcPr>
            <w:tcW w:w="462" w:type="pct"/>
            <w:tcBorders>
              <w:top w:val="single" w:sz="4" w:space="0" w:color="auto"/>
              <w:left w:val="nil"/>
              <w:bottom w:val="single" w:sz="4" w:space="0" w:color="auto"/>
              <w:right w:val="single" w:sz="4" w:space="0" w:color="auto"/>
            </w:tcBorders>
            <w:shd w:val="clear" w:color="auto" w:fill="365F91"/>
            <w:noWrap/>
            <w:vAlign w:val="center"/>
            <w:hideMark/>
          </w:tcPr>
          <w:p w14:paraId="3EC63C32"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2032</w:t>
            </w:r>
          </w:p>
        </w:tc>
        <w:tc>
          <w:tcPr>
            <w:tcW w:w="462" w:type="pct"/>
            <w:tcBorders>
              <w:top w:val="single" w:sz="4" w:space="0" w:color="auto"/>
              <w:left w:val="nil"/>
              <w:bottom w:val="single" w:sz="4" w:space="0" w:color="auto"/>
              <w:right w:val="single" w:sz="4" w:space="0" w:color="auto"/>
            </w:tcBorders>
            <w:shd w:val="clear" w:color="auto" w:fill="365F91"/>
            <w:noWrap/>
            <w:vAlign w:val="center"/>
            <w:hideMark/>
          </w:tcPr>
          <w:p w14:paraId="560028DF"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2033</w:t>
            </w:r>
          </w:p>
        </w:tc>
        <w:tc>
          <w:tcPr>
            <w:tcW w:w="463" w:type="pct"/>
            <w:tcBorders>
              <w:top w:val="single" w:sz="4" w:space="0" w:color="auto"/>
              <w:left w:val="nil"/>
              <w:bottom w:val="single" w:sz="4" w:space="0" w:color="auto"/>
              <w:right w:val="single" w:sz="4" w:space="0" w:color="auto"/>
            </w:tcBorders>
            <w:shd w:val="clear" w:color="auto" w:fill="365F91"/>
            <w:noWrap/>
            <w:vAlign w:val="center"/>
            <w:hideMark/>
          </w:tcPr>
          <w:p w14:paraId="5F2CE3A1"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2034</w:t>
            </w:r>
          </w:p>
        </w:tc>
        <w:tc>
          <w:tcPr>
            <w:tcW w:w="460" w:type="pct"/>
            <w:tcBorders>
              <w:top w:val="single" w:sz="4" w:space="0" w:color="auto"/>
              <w:left w:val="nil"/>
              <w:bottom w:val="single" w:sz="4" w:space="0" w:color="auto"/>
              <w:right w:val="single" w:sz="4" w:space="0" w:color="auto"/>
            </w:tcBorders>
            <w:shd w:val="clear" w:color="auto" w:fill="365F91"/>
            <w:noWrap/>
            <w:vAlign w:val="center"/>
            <w:hideMark/>
          </w:tcPr>
          <w:p w14:paraId="5825718D"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2035</w:t>
            </w:r>
          </w:p>
        </w:tc>
      </w:tr>
      <w:tr w:rsidR="002361B0" w:rsidRPr="007D1EDC" w14:paraId="04B84DA1" w14:textId="77777777" w:rsidTr="00BD1EDD">
        <w:trPr>
          <w:trHeight w:val="210"/>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14:paraId="2C64C980" w14:textId="77777777" w:rsidR="007D1EDC" w:rsidRPr="007D1EDC" w:rsidRDefault="007D1EDC" w:rsidP="007D1EDC">
            <w:pPr>
              <w:rPr>
                <w:rFonts w:ascii="Arial Narrow" w:hAnsi="Arial Narrow" w:cs="Calibri"/>
                <w:color w:val="000000"/>
                <w:sz w:val="20"/>
                <w:szCs w:val="20"/>
                <w:lang w:val="en-GB" w:eastAsia="en-GB"/>
              </w:rPr>
            </w:pPr>
            <w:proofErr w:type="spellStart"/>
            <w:r w:rsidRPr="007D1EDC">
              <w:rPr>
                <w:rFonts w:ascii="Arial Narrow" w:hAnsi="Arial Narrow" w:cs="Calibri"/>
                <w:color w:val="000000"/>
                <w:sz w:val="20"/>
                <w:szCs w:val="20"/>
                <w:lang w:val="en-GB" w:eastAsia="en-GB"/>
              </w:rPr>
              <w:t>Pejë</w:t>
            </w:r>
            <w:proofErr w:type="spellEnd"/>
          </w:p>
        </w:tc>
        <w:tc>
          <w:tcPr>
            <w:tcW w:w="417" w:type="pct"/>
            <w:tcBorders>
              <w:top w:val="nil"/>
              <w:left w:val="nil"/>
              <w:bottom w:val="single" w:sz="4" w:space="0" w:color="auto"/>
              <w:right w:val="single" w:sz="4" w:space="0" w:color="auto"/>
            </w:tcBorders>
            <w:shd w:val="clear" w:color="auto" w:fill="auto"/>
            <w:noWrap/>
            <w:vAlign w:val="bottom"/>
            <w:hideMark/>
          </w:tcPr>
          <w:p w14:paraId="319302DA" w14:textId="457EE293"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5,081 t</w:t>
            </w:r>
          </w:p>
        </w:tc>
        <w:tc>
          <w:tcPr>
            <w:tcW w:w="460" w:type="pct"/>
            <w:tcBorders>
              <w:top w:val="nil"/>
              <w:left w:val="nil"/>
              <w:bottom w:val="single" w:sz="4" w:space="0" w:color="auto"/>
              <w:right w:val="single" w:sz="4" w:space="0" w:color="auto"/>
            </w:tcBorders>
            <w:shd w:val="clear" w:color="auto" w:fill="auto"/>
            <w:noWrap/>
            <w:vAlign w:val="bottom"/>
            <w:hideMark/>
          </w:tcPr>
          <w:p w14:paraId="6FE12661" w14:textId="38E2721C"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6,385 t</w:t>
            </w:r>
          </w:p>
        </w:tc>
        <w:tc>
          <w:tcPr>
            <w:tcW w:w="460" w:type="pct"/>
            <w:tcBorders>
              <w:top w:val="nil"/>
              <w:left w:val="nil"/>
              <w:bottom w:val="single" w:sz="4" w:space="0" w:color="auto"/>
              <w:right w:val="single" w:sz="4" w:space="0" w:color="auto"/>
            </w:tcBorders>
            <w:shd w:val="clear" w:color="auto" w:fill="auto"/>
            <w:noWrap/>
            <w:vAlign w:val="bottom"/>
            <w:hideMark/>
          </w:tcPr>
          <w:p w14:paraId="2B8A587E" w14:textId="5CABD1E4"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7,836 t</w:t>
            </w:r>
          </w:p>
        </w:tc>
        <w:tc>
          <w:tcPr>
            <w:tcW w:w="509" w:type="pct"/>
            <w:tcBorders>
              <w:top w:val="nil"/>
              <w:left w:val="nil"/>
              <w:bottom w:val="single" w:sz="4" w:space="0" w:color="auto"/>
              <w:right w:val="single" w:sz="4" w:space="0" w:color="auto"/>
            </w:tcBorders>
            <w:shd w:val="clear" w:color="auto" w:fill="auto"/>
            <w:noWrap/>
            <w:vAlign w:val="bottom"/>
            <w:hideMark/>
          </w:tcPr>
          <w:p w14:paraId="757199FC" w14:textId="5B0B28DC"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 xml:space="preserve">8,496 </w:t>
            </w:r>
            <w:r w:rsidR="002361B0">
              <w:rPr>
                <w:rFonts w:ascii="Arial Narrow" w:hAnsi="Arial Narrow" w:cs="Calibri"/>
                <w:sz w:val="20"/>
                <w:szCs w:val="20"/>
                <w:lang w:val="en-GB" w:eastAsia="en-GB"/>
              </w:rPr>
              <w:t>t</w:t>
            </w:r>
          </w:p>
        </w:tc>
        <w:tc>
          <w:tcPr>
            <w:tcW w:w="462" w:type="pct"/>
            <w:tcBorders>
              <w:top w:val="nil"/>
              <w:left w:val="nil"/>
              <w:bottom w:val="single" w:sz="4" w:space="0" w:color="auto"/>
              <w:right w:val="single" w:sz="4" w:space="0" w:color="auto"/>
            </w:tcBorders>
            <w:shd w:val="clear" w:color="auto" w:fill="auto"/>
            <w:noWrap/>
            <w:vAlign w:val="bottom"/>
            <w:hideMark/>
          </w:tcPr>
          <w:p w14:paraId="222D4BF0" w14:textId="168F5E87"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9,225 t</w:t>
            </w:r>
          </w:p>
        </w:tc>
        <w:tc>
          <w:tcPr>
            <w:tcW w:w="462" w:type="pct"/>
            <w:tcBorders>
              <w:top w:val="nil"/>
              <w:left w:val="nil"/>
              <w:bottom w:val="single" w:sz="4" w:space="0" w:color="auto"/>
              <w:right w:val="single" w:sz="4" w:space="0" w:color="auto"/>
            </w:tcBorders>
            <w:shd w:val="clear" w:color="auto" w:fill="auto"/>
            <w:noWrap/>
            <w:vAlign w:val="bottom"/>
            <w:hideMark/>
          </w:tcPr>
          <w:p w14:paraId="3EC70589" w14:textId="77777777"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10,015 t</w:t>
            </w:r>
          </w:p>
        </w:tc>
        <w:tc>
          <w:tcPr>
            <w:tcW w:w="462" w:type="pct"/>
            <w:tcBorders>
              <w:top w:val="nil"/>
              <w:left w:val="nil"/>
              <w:bottom w:val="single" w:sz="4" w:space="0" w:color="auto"/>
              <w:right w:val="single" w:sz="4" w:space="0" w:color="auto"/>
            </w:tcBorders>
            <w:shd w:val="clear" w:color="auto" w:fill="auto"/>
            <w:noWrap/>
            <w:vAlign w:val="bottom"/>
            <w:hideMark/>
          </w:tcPr>
          <w:p w14:paraId="742C4051" w14:textId="77D68698"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10,562 t</w:t>
            </w:r>
          </w:p>
        </w:tc>
        <w:tc>
          <w:tcPr>
            <w:tcW w:w="463" w:type="pct"/>
            <w:tcBorders>
              <w:top w:val="nil"/>
              <w:left w:val="nil"/>
              <w:bottom w:val="single" w:sz="4" w:space="0" w:color="auto"/>
              <w:right w:val="single" w:sz="4" w:space="0" w:color="auto"/>
            </w:tcBorders>
            <w:shd w:val="clear" w:color="auto" w:fill="auto"/>
            <w:noWrap/>
            <w:vAlign w:val="bottom"/>
            <w:hideMark/>
          </w:tcPr>
          <w:p w14:paraId="60AC64AD" w14:textId="4CC51B54"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11,066 t</w:t>
            </w:r>
          </w:p>
        </w:tc>
        <w:tc>
          <w:tcPr>
            <w:tcW w:w="460" w:type="pct"/>
            <w:tcBorders>
              <w:top w:val="nil"/>
              <w:left w:val="nil"/>
              <w:bottom w:val="single" w:sz="4" w:space="0" w:color="auto"/>
              <w:right w:val="single" w:sz="4" w:space="0" w:color="auto"/>
            </w:tcBorders>
            <w:shd w:val="clear" w:color="auto" w:fill="auto"/>
            <w:noWrap/>
            <w:vAlign w:val="bottom"/>
            <w:hideMark/>
          </w:tcPr>
          <w:p w14:paraId="509F276C" w14:textId="69C78895"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11,552 t</w:t>
            </w:r>
          </w:p>
        </w:tc>
      </w:tr>
      <w:tr w:rsidR="002361B0" w:rsidRPr="007D1EDC" w14:paraId="545B747D" w14:textId="77777777" w:rsidTr="00BD1EDD">
        <w:trPr>
          <w:trHeight w:val="210"/>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14:paraId="2D86C27A" w14:textId="77777777" w:rsidR="007D1EDC" w:rsidRPr="007D1EDC" w:rsidRDefault="007D1EDC" w:rsidP="007D1EDC">
            <w:pPr>
              <w:rPr>
                <w:rFonts w:ascii="Arial Narrow" w:hAnsi="Arial Narrow" w:cs="Calibri"/>
                <w:color w:val="000000"/>
                <w:sz w:val="20"/>
                <w:szCs w:val="20"/>
                <w:lang w:val="en-GB" w:eastAsia="en-GB"/>
              </w:rPr>
            </w:pPr>
            <w:proofErr w:type="spellStart"/>
            <w:r w:rsidRPr="007D1EDC">
              <w:rPr>
                <w:rFonts w:ascii="Arial Narrow" w:hAnsi="Arial Narrow" w:cs="Calibri"/>
                <w:color w:val="000000"/>
                <w:sz w:val="20"/>
                <w:szCs w:val="20"/>
                <w:lang w:val="en-GB" w:eastAsia="en-GB"/>
              </w:rPr>
              <w:t>Istog</w:t>
            </w:r>
            <w:proofErr w:type="spellEnd"/>
          </w:p>
        </w:tc>
        <w:tc>
          <w:tcPr>
            <w:tcW w:w="417" w:type="pct"/>
            <w:tcBorders>
              <w:top w:val="nil"/>
              <w:left w:val="nil"/>
              <w:bottom w:val="single" w:sz="4" w:space="0" w:color="auto"/>
              <w:right w:val="single" w:sz="4" w:space="0" w:color="auto"/>
            </w:tcBorders>
            <w:shd w:val="clear" w:color="auto" w:fill="auto"/>
            <w:noWrap/>
            <w:vAlign w:val="bottom"/>
            <w:hideMark/>
          </w:tcPr>
          <w:p w14:paraId="25DF8383" w14:textId="7F8D2C19"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1,705 t</w:t>
            </w:r>
          </w:p>
        </w:tc>
        <w:tc>
          <w:tcPr>
            <w:tcW w:w="460" w:type="pct"/>
            <w:tcBorders>
              <w:top w:val="nil"/>
              <w:left w:val="nil"/>
              <w:bottom w:val="single" w:sz="4" w:space="0" w:color="auto"/>
              <w:right w:val="single" w:sz="4" w:space="0" w:color="auto"/>
            </w:tcBorders>
            <w:shd w:val="clear" w:color="auto" w:fill="auto"/>
            <w:noWrap/>
            <w:vAlign w:val="bottom"/>
            <w:hideMark/>
          </w:tcPr>
          <w:p w14:paraId="0AC4ED1E" w14:textId="2BC3A8E9"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1,890 t</w:t>
            </w:r>
          </w:p>
        </w:tc>
        <w:tc>
          <w:tcPr>
            <w:tcW w:w="460" w:type="pct"/>
            <w:tcBorders>
              <w:top w:val="nil"/>
              <w:left w:val="nil"/>
              <w:bottom w:val="single" w:sz="4" w:space="0" w:color="auto"/>
              <w:right w:val="single" w:sz="4" w:space="0" w:color="auto"/>
            </w:tcBorders>
            <w:shd w:val="clear" w:color="auto" w:fill="auto"/>
            <w:noWrap/>
            <w:vAlign w:val="bottom"/>
            <w:hideMark/>
          </w:tcPr>
          <w:p w14:paraId="3FC9580A" w14:textId="043A39F0"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2,101 t</w:t>
            </w:r>
          </w:p>
        </w:tc>
        <w:tc>
          <w:tcPr>
            <w:tcW w:w="509" w:type="pct"/>
            <w:tcBorders>
              <w:top w:val="nil"/>
              <w:left w:val="nil"/>
              <w:bottom w:val="single" w:sz="4" w:space="0" w:color="auto"/>
              <w:right w:val="single" w:sz="4" w:space="0" w:color="auto"/>
            </w:tcBorders>
            <w:shd w:val="clear" w:color="auto" w:fill="auto"/>
            <w:noWrap/>
            <w:vAlign w:val="bottom"/>
            <w:hideMark/>
          </w:tcPr>
          <w:p w14:paraId="2A433DB1" w14:textId="59F10A8F"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2,341 t</w:t>
            </w:r>
          </w:p>
        </w:tc>
        <w:tc>
          <w:tcPr>
            <w:tcW w:w="462" w:type="pct"/>
            <w:tcBorders>
              <w:top w:val="nil"/>
              <w:left w:val="nil"/>
              <w:bottom w:val="single" w:sz="4" w:space="0" w:color="auto"/>
              <w:right w:val="single" w:sz="4" w:space="0" w:color="auto"/>
            </w:tcBorders>
            <w:shd w:val="clear" w:color="auto" w:fill="auto"/>
            <w:noWrap/>
            <w:vAlign w:val="bottom"/>
            <w:hideMark/>
          </w:tcPr>
          <w:p w14:paraId="70A282C5" w14:textId="6EB48724"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2,612 t</w:t>
            </w:r>
          </w:p>
        </w:tc>
        <w:tc>
          <w:tcPr>
            <w:tcW w:w="462" w:type="pct"/>
            <w:tcBorders>
              <w:top w:val="nil"/>
              <w:left w:val="nil"/>
              <w:bottom w:val="single" w:sz="4" w:space="0" w:color="auto"/>
              <w:right w:val="single" w:sz="4" w:space="0" w:color="auto"/>
            </w:tcBorders>
            <w:shd w:val="clear" w:color="auto" w:fill="auto"/>
            <w:noWrap/>
            <w:vAlign w:val="bottom"/>
            <w:hideMark/>
          </w:tcPr>
          <w:p w14:paraId="257FA6BF" w14:textId="647578A1"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2,910 t</w:t>
            </w:r>
          </w:p>
        </w:tc>
        <w:tc>
          <w:tcPr>
            <w:tcW w:w="462" w:type="pct"/>
            <w:tcBorders>
              <w:top w:val="nil"/>
              <w:left w:val="nil"/>
              <w:bottom w:val="single" w:sz="4" w:space="0" w:color="auto"/>
              <w:right w:val="single" w:sz="4" w:space="0" w:color="auto"/>
            </w:tcBorders>
            <w:shd w:val="clear" w:color="auto" w:fill="auto"/>
            <w:noWrap/>
            <w:vAlign w:val="bottom"/>
            <w:hideMark/>
          </w:tcPr>
          <w:p w14:paraId="2D2CA582" w14:textId="3A7091A2"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3,068 t</w:t>
            </w:r>
          </w:p>
        </w:tc>
        <w:tc>
          <w:tcPr>
            <w:tcW w:w="463" w:type="pct"/>
            <w:tcBorders>
              <w:top w:val="nil"/>
              <w:left w:val="nil"/>
              <w:bottom w:val="single" w:sz="4" w:space="0" w:color="auto"/>
              <w:right w:val="single" w:sz="4" w:space="0" w:color="auto"/>
            </w:tcBorders>
            <w:shd w:val="clear" w:color="auto" w:fill="auto"/>
            <w:noWrap/>
            <w:vAlign w:val="bottom"/>
            <w:hideMark/>
          </w:tcPr>
          <w:p w14:paraId="24D647F1" w14:textId="2C10A791"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3,213 t</w:t>
            </w:r>
          </w:p>
        </w:tc>
        <w:tc>
          <w:tcPr>
            <w:tcW w:w="460" w:type="pct"/>
            <w:tcBorders>
              <w:top w:val="nil"/>
              <w:left w:val="nil"/>
              <w:bottom w:val="single" w:sz="4" w:space="0" w:color="auto"/>
              <w:right w:val="single" w:sz="4" w:space="0" w:color="auto"/>
            </w:tcBorders>
            <w:shd w:val="clear" w:color="auto" w:fill="auto"/>
            <w:noWrap/>
            <w:vAlign w:val="bottom"/>
            <w:hideMark/>
          </w:tcPr>
          <w:p w14:paraId="4B92A89D" w14:textId="072EA072"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3,352 t</w:t>
            </w:r>
          </w:p>
        </w:tc>
      </w:tr>
      <w:tr w:rsidR="002361B0" w:rsidRPr="007D1EDC" w14:paraId="73E80490" w14:textId="77777777" w:rsidTr="00BD1EDD">
        <w:trPr>
          <w:trHeight w:val="210"/>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14:paraId="5390B700" w14:textId="038AD448" w:rsidR="007D1EDC" w:rsidRPr="007D1EDC" w:rsidRDefault="007D1EDC" w:rsidP="007D1EDC">
            <w:pPr>
              <w:rPr>
                <w:rFonts w:ascii="Arial Narrow" w:hAnsi="Arial Narrow" w:cs="Calibri"/>
                <w:color w:val="000000"/>
                <w:sz w:val="20"/>
                <w:szCs w:val="20"/>
                <w:lang w:val="en-GB" w:eastAsia="en-GB"/>
              </w:rPr>
            </w:pPr>
            <w:proofErr w:type="spellStart"/>
            <w:r w:rsidRPr="007D1EDC">
              <w:rPr>
                <w:rFonts w:ascii="Arial Narrow" w:hAnsi="Arial Narrow" w:cs="Calibri"/>
                <w:color w:val="000000"/>
                <w:sz w:val="20"/>
                <w:szCs w:val="20"/>
                <w:lang w:val="en-GB" w:eastAsia="en-GB"/>
              </w:rPr>
              <w:t>Klin</w:t>
            </w:r>
            <w:r w:rsidR="002935F9">
              <w:rPr>
                <w:rFonts w:ascii="Arial Narrow" w:hAnsi="Arial Narrow" w:cs="Calibri"/>
                <w:color w:val="000000"/>
                <w:sz w:val="20"/>
                <w:szCs w:val="20"/>
                <w:lang w:val="en-GB" w:eastAsia="en-GB"/>
              </w:rPr>
              <w:t>ë</w:t>
            </w:r>
            <w:proofErr w:type="spellEnd"/>
          </w:p>
        </w:tc>
        <w:tc>
          <w:tcPr>
            <w:tcW w:w="417" w:type="pct"/>
            <w:tcBorders>
              <w:top w:val="nil"/>
              <w:left w:val="nil"/>
              <w:bottom w:val="single" w:sz="4" w:space="0" w:color="auto"/>
              <w:right w:val="single" w:sz="4" w:space="0" w:color="auto"/>
            </w:tcBorders>
            <w:shd w:val="clear" w:color="auto" w:fill="auto"/>
            <w:noWrap/>
            <w:vAlign w:val="bottom"/>
            <w:hideMark/>
          </w:tcPr>
          <w:p w14:paraId="71C961CD" w14:textId="1E5C628B"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1,149 t</w:t>
            </w:r>
          </w:p>
        </w:tc>
        <w:tc>
          <w:tcPr>
            <w:tcW w:w="460" w:type="pct"/>
            <w:tcBorders>
              <w:top w:val="nil"/>
              <w:left w:val="nil"/>
              <w:bottom w:val="single" w:sz="4" w:space="0" w:color="auto"/>
              <w:right w:val="single" w:sz="4" w:space="0" w:color="auto"/>
            </w:tcBorders>
            <w:shd w:val="clear" w:color="auto" w:fill="auto"/>
            <w:noWrap/>
            <w:vAlign w:val="bottom"/>
            <w:hideMark/>
          </w:tcPr>
          <w:p w14:paraId="55B9D767" w14:textId="51C670E1"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1,273 t</w:t>
            </w:r>
          </w:p>
        </w:tc>
        <w:tc>
          <w:tcPr>
            <w:tcW w:w="460" w:type="pct"/>
            <w:tcBorders>
              <w:top w:val="nil"/>
              <w:left w:val="nil"/>
              <w:bottom w:val="single" w:sz="4" w:space="0" w:color="auto"/>
              <w:right w:val="single" w:sz="4" w:space="0" w:color="auto"/>
            </w:tcBorders>
            <w:shd w:val="clear" w:color="auto" w:fill="auto"/>
            <w:noWrap/>
            <w:vAlign w:val="bottom"/>
            <w:hideMark/>
          </w:tcPr>
          <w:p w14:paraId="558973D7" w14:textId="0C00D5BB"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1,413 t</w:t>
            </w:r>
          </w:p>
        </w:tc>
        <w:tc>
          <w:tcPr>
            <w:tcW w:w="509" w:type="pct"/>
            <w:tcBorders>
              <w:top w:val="nil"/>
              <w:left w:val="nil"/>
              <w:bottom w:val="single" w:sz="4" w:space="0" w:color="auto"/>
              <w:right w:val="single" w:sz="4" w:space="0" w:color="auto"/>
            </w:tcBorders>
            <w:shd w:val="clear" w:color="auto" w:fill="auto"/>
            <w:noWrap/>
            <w:vAlign w:val="bottom"/>
            <w:hideMark/>
          </w:tcPr>
          <w:p w14:paraId="152DEEC0" w14:textId="192A1542"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1,573 t</w:t>
            </w:r>
          </w:p>
        </w:tc>
        <w:tc>
          <w:tcPr>
            <w:tcW w:w="462" w:type="pct"/>
            <w:tcBorders>
              <w:top w:val="nil"/>
              <w:left w:val="nil"/>
              <w:bottom w:val="single" w:sz="4" w:space="0" w:color="auto"/>
              <w:right w:val="single" w:sz="4" w:space="0" w:color="auto"/>
            </w:tcBorders>
            <w:shd w:val="clear" w:color="auto" w:fill="auto"/>
            <w:noWrap/>
            <w:vAlign w:val="bottom"/>
            <w:hideMark/>
          </w:tcPr>
          <w:p w14:paraId="1E2D07F4" w14:textId="001768A3"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1,753 t</w:t>
            </w:r>
          </w:p>
        </w:tc>
        <w:tc>
          <w:tcPr>
            <w:tcW w:w="462" w:type="pct"/>
            <w:tcBorders>
              <w:top w:val="nil"/>
              <w:left w:val="nil"/>
              <w:bottom w:val="single" w:sz="4" w:space="0" w:color="auto"/>
              <w:right w:val="single" w:sz="4" w:space="0" w:color="auto"/>
            </w:tcBorders>
            <w:shd w:val="clear" w:color="auto" w:fill="auto"/>
            <w:noWrap/>
            <w:vAlign w:val="bottom"/>
            <w:hideMark/>
          </w:tcPr>
          <w:p w14:paraId="4096EB11" w14:textId="169CD082"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1,951 t</w:t>
            </w:r>
          </w:p>
        </w:tc>
        <w:tc>
          <w:tcPr>
            <w:tcW w:w="462" w:type="pct"/>
            <w:tcBorders>
              <w:top w:val="nil"/>
              <w:left w:val="nil"/>
              <w:bottom w:val="single" w:sz="4" w:space="0" w:color="auto"/>
              <w:right w:val="single" w:sz="4" w:space="0" w:color="auto"/>
            </w:tcBorders>
            <w:shd w:val="clear" w:color="auto" w:fill="auto"/>
            <w:noWrap/>
            <w:vAlign w:val="bottom"/>
            <w:hideMark/>
          </w:tcPr>
          <w:p w14:paraId="78C4B354" w14:textId="2529641D"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2,057 t</w:t>
            </w:r>
          </w:p>
        </w:tc>
        <w:tc>
          <w:tcPr>
            <w:tcW w:w="463" w:type="pct"/>
            <w:tcBorders>
              <w:top w:val="nil"/>
              <w:left w:val="nil"/>
              <w:bottom w:val="single" w:sz="4" w:space="0" w:color="auto"/>
              <w:right w:val="single" w:sz="4" w:space="0" w:color="auto"/>
            </w:tcBorders>
            <w:shd w:val="clear" w:color="auto" w:fill="auto"/>
            <w:noWrap/>
            <w:vAlign w:val="bottom"/>
            <w:hideMark/>
          </w:tcPr>
          <w:p w14:paraId="2D209AA6" w14:textId="137FB9BA"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2,155 t</w:t>
            </w:r>
          </w:p>
        </w:tc>
        <w:tc>
          <w:tcPr>
            <w:tcW w:w="460" w:type="pct"/>
            <w:tcBorders>
              <w:top w:val="nil"/>
              <w:left w:val="nil"/>
              <w:bottom w:val="single" w:sz="4" w:space="0" w:color="auto"/>
              <w:right w:val="single" w:sz="4" w:space="0" w:color="auto"/>
            </w:tcBorders>
            <w:shd w:val="clear" w:color="auto" w:fill="auto"/>
            <w:noWrap/>
            <w:vAlign w:val="bottom"/>
            <w:hideMark/>
          </w:tcPr>
          <w:p w14:paraId="56D992F7" w14:textId="531585D9"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2,248 t</w:t>
            </w:r>
          </w:p>
        </w:tc>
      </w:tr>
      <w:tr w:rsidR="002361B0" w:rsidRPr="007D1EDC" w14:paraId="71837EC5" w14:textId="77777777" w:rsidTr="00BD1EDD">
        <w:trPr>
          <w:trHeight w:val="210"/>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14:paraId="27040BAA" w14:textId="5F6450AE" w:rsidR="007D1EDC" w:rsidRPr="007D1EDC" w:rsidRDefault="007D1EDC" w:rsidP="007D1EDC">
            <w:pPr>
              <w:rPr>
                <w:rFonts w:ascii="Arial Narrow" w:hAnsi="Arial Narrow" w:cs="Calibri"/>
                <w:color w:val="000000"/>
                <w:sz w:val="20"/>
                <w:szCs w:val="20"/>
                <w:lang w:val="en-GB" w:eastAsia="en-GB"/>
              </w:rPr>
            </w:pPr>
            <w:proofErr w:type="spellStart"/>
            <w:r w:rsidRPr="007D1EDC">
              <w:rPr>
                <w:rFonts w:ascii="Arial Narrow" w:hAnsi="Arial Narrow" w:cs="Calibri"/>
                <w:color w:val="000000"/>
                <w:sz w:val="20"/>
                <w:szCs w:val="20"/>
                <w:lang w:val="en-GB" w:eastAsia="en-GB"/>
              </w:rPr>
              <w:t>De</w:t>
            </w:r>
            <w:r w:rsidR="002935F9">
              <w:rPr>
                <w:rFonts w:ascii="Arial Narrow" w:hAnsi="Arial Narrow" w:cs="Calibri"/>
                <w:color w:val="000000"/>
                <w:sz w:val="20"/>
                <w:szCs w:val="20"/>
                <w:lang w:val="en-GB" w:eastAsia="en-GB"/>
              </w:rPr>
              <w:t>ç</w:t>
            </w:r>
            <w:r w:rsidRPr="007D1EDC">
              <w:rPr>
                <w:rFonts w:ascii="Arial Narrow" w:hAnsi="Arial Narrow" w:cs="Calibri"/>
                <w:color w:val="000000"/>
                <w:sz w:val="20"/>
                <w:szCs w:val="20"/>
                <w:lang w:val="en-GB" w:eastAsia="en-GB"/>
              </w:rPr>
              <w:t>an</w:t>
            </w:r>
            <w:proofErr w:type="spellEnd"/>
          </w:p>
        </w:tc>
        <w:tc>
          <w:tcPr>
            <w:tcW w:w="417" w:type="pct"/>
            <w:tcBorders>
              <w:top w:val="nil"/>
              <w:left w:val="nil"/>
              <w:bottom w:val="single" w:sz="4" w:space="0" w:color="auto"/>
              <w:right w:val="single" w:sz="4" w:space="0" w:color="auto"/>
            </w:tcBorders>
            <w:shd w:val="clear" w:color="auto" w:fill="auto"/>
            <w:noWrap/>
            <w:vAlign w:val="bottom"/>
            <w:hideMark/>
          </w:tcPr>
          <w:p w14:paraId="61403C44" w14:textId="1CF914D7"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1,027 t</w:t>
            </w:r>
          </w:p>
        </w:tc>
        <w:tc>
          <w:tcPr>
            <w:tcW w:w="460" w:type="pct"/>
            <w:tcBorders>
              <w:top w:val="nil"/>
              <w:left w:val="nil"/>
              <w:bottom w:val="single" w:sz="4" w:space="0" w:color="auto"/>
              <w:right w:val="single" w:sz="4" w:space="0" w:color="auto"/>
            </w:tcBorders>
            <w:shd w:val="clear" w:color="auto" w:fill="auto"/>
            <w:noWrap/>
            <w:vAlign w:val="bottom"/>
            <w:hideMark/>
          </w:tcPr>
          <w:p w14:paraId="7854EFCA" w14:textId="299EC7CE"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1,142 t</w:t>
            </w:r>
          </w:p>
        </w:tc>
        <w:tc>
          <w:tcPr>
            <w:tcW w:w="460" w:type="pct"/>
            <w:tcBorders>
              <w:top w:val="nil"/>
              <w:left w:val="nil"/>
              <w:bottom w:val="single" w:sz="4" w:space="0" w:color="auto"/>
              <w:right w:val="single" w:sz="4" w:space="0" w:color="auto"/>
            </w:tcBorders>
            <w:shd w:val="clear" w:color="auto" w:fill="auto"/>
            <w:noWrap/>
            <w:vAlign w:val="bottom"/>
            <w:hideMark/>
          </w:tcPr>
          <w:p w14:paraId="6D801895" w14:textId="7BFAC0A5"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1,273 t</w:t>
            </w:r>
          </w:p>
        </w:tc>
        <w:tc>
          <w:tcPr>
            <w:tcW w:w="509" w:type="pct"/>
            <w:tcBorders>
              <w:top w:val="nil"/>
              <w:left w:val="nil"/>
              <w:bottom w:val="single" w:sz="4" w:space="0" w:color="auto"/>
              <w:right w:val="single" w:sz="4" w:space="0" w:color="auto"/>
            </w:tcBorders>
            <w:shd w:val="clear" w:color="auto" w:fill="auto"/>
            <w:noWrap/>
            <w:vAlign w:val="bottom"/>
            <w:hideMark/>
          </w:tcPr>
          <w:p w14:paraId="663C043D" w14:textId="4FA99960"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1,423 t</w:t>
            </w:r>
          </w:p>
        </w:tc>
        <w:tc>
          <w:tcPr>
            <w:tcW w:w="462" w:type="pct"/>
            <w:tcBorders>
              <w:top w:val="nil"/>
              <w:left w:val="nil"/>
              <w:bottom w:val="single" w:sz="4" w:space="0" w:color="auto"/>
              <w:right w:val="single" w:sz="4" w:space="0" w:color="auto"/>
            </w:tcBorders>
            <w:shd w:val="clear" w:color="auto" w:fill="auto"/>
            <w:noWrap/>
            <w:vAlign w:val="bottom"/>
            <w:hideMark/>
          </w:tcPr>
          <w:p w14:paraId="277B7898" w14:textId="4AD575F6"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1,592 t</w:t>
            </w:r>
          </w:p>
        </w:tc>
        <w:tc>
          <w:tcPr>
            <w:tcW w:w="462" w:type="pct"/>
            <w:tcBorders>
              <w:top w:val="nil"/>
              <w:left w:val="nil"/>
              <w:bottom w:val="single" w:sz="4" w:space="0" w:color="auto"/>
              <w:right w:val="single" w:sz="4" w:space="0" w:color="auto"/>
            </w:tcBorders>
            <w:shd w:val="clear" w:color="auto" w:fill="auto"/>
            <w:noWrap/>
            <w:vAlign w:val="bottom"/>
            <w:hideMark/>
          </w:tcPr>
          <w:p w14:paraId="46CE304B" w14:textId="76C2C9E0"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1,778 t</w:t>
            </w:r>
          </w:p>
        </w:tc>
        <w:tc>
          <w:tcPr>
            <w:tcW w:w="462" w:type="pct"/>
            <w:tcBorders>
              <w:top w:val="nil"/>
              <w:left w:val="nil"/>
              <w:bottom w:val="single" w:sz="4" w:space="0" w:color="auto"/>
              <w:right w:val="single" w:sz="4" w:space="0" w:color="auto"/>
            </w:tcBorders>
            <w:shd w:val="clear" w:color="auto" w:fill="auto"/>
            <w:noWrap/>
            <w:vAlign w:val="bottom"/>
            <w:hideMark/>
          </w:tcPr>
          <w:p w14:paraId="6F1F7540" w14:textId="55732A0C"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1,875 t</w:t>
            </w:r>
          </w:p>
        </w:tc>
        <w:tc>
          <w:tcPr>
            <w:tcW w:w="463" w:type="pct"/>
            <w:tcBorders>
              <w:top w:val="nil"/>
              <w:left w:val="nil"/>
              <w:bottom w:val="single" w:sz="4" w:space="0" w:color="auto"/>
              <w:right w:val="single" w:sz="4" w:space="0" w:color="auto"/>
            </w:tcBorders>
            <w:shd w:val="clear" w:color="auto" w:fill="auto"/>
            <w:noWrap/>
            <w:vAlign w:val="bottom"/>
            <w:hideMark/>
          </w:tcPr>
          <w:p w14:paraId="24E20772" w14:textId="21641B8F"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1,964 t</w:t>
            </w:r>
          </w:p>
        </w:tc>
        <w:tc>
          <w:tcPr>
            <w:tcW w:w="460" w:type="pct"/>
            <w:tcBorders>
              <w:top w:val="nil"/>
              <w:left w:val="nil"/>
              <w:bottom w:val="single" w:sz="4" w:space="0" w:color="auto"/>
              <w:right w:val="single" w:sz="4" w:space="0" w:color="auto"/>
            </w:tcBorders>
            <w:shd w:val="clear" w:color="auto" w:fill="auto"/>
            <w:noWrap/>
            <w:vAlign w:val="bottom"/>
            <w:hideMark/>
          </w:tcPr>
          <w:p w14:paraId="0E44692C" w14:textId="13B7281D"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2,048 t</w:t>
            </w:r>
          </w:p>
        </w:tc>
      </w:tr>
      <w:tr w:rsidR="002361B0" w:rsidRPr="007D1EDC" w14:paraId="10176EA3" w14:textId="77777777" w:rsidTr="00BD1EDD">
        <w:trPr>
          <w:trHeight w:val="210"/>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14:paraId="5CA337D6" w14:textId="77777777" w:rsidR="007D1EDC" w:rsidRPr="007D1EDC" w:rsidRDefault="007D1EDC" w:rsidP="007D1EDC">
            <w:pPr>
              <w:rPr>
                <w:rFonts w:ascii="Arial Narrow" w:hAnsi="Arial Narrow" w:cs="Calibri"/>
                <w:color w:val="000000"/>
                <w:sz w:val="20"/>
                <w:szCs w:val="20"/>
                <w:lang w:val="en-GB" w:eastAsia="en-GB"/>
              </w:rPr>
            </w:pPr>
            <w:proofErr w:type="spellStart"/>
            <w:r w:rsidRPr="007D1EDC">
              <w:rPr>
                <w:rFonts w:ascii="Arial Narrow" w:hAnsi="Arial Narrow" w:cs="Calibri"/>
                <w:color w:val="000000"/>
                <w:sz w:val="20"/>
                <w:szCs w:val="20"/>
                <w:lang w:val="en-GB" w:eastAsia="en-GB"/>
              </w:rPr>
              <w:t>Junik</w:t>
            </w:r>
            <w:proofErr w:type="spellEnd"/>
          </w:p>
        </w:tc>
        <w:tc>
          <w:tcPr>
            <w:tcW w:w="417" w:type="pct"/>
            <w:tcBorders>
              <w:top w:val="nil"/>
              <w:left w:val="nil"/>
              <w:bottom w:val="single" w:sz="4" w:space="0" w:color="auto"/>
              <w:right w:val="single" w:sz="4" w:space="0" w:color="auto"/>
            </w:tcBorders>
            <w:shd w:val="clear" w:color="auto" w:fill="auto"/>
            <w:noWrap/>
            <w:vAlign w:val="bottom"/>
            <w:hideMark/>
          </w:tcPr>
          <w:p w14:paraId="7CA1F8B6" w14:textId="3D542FD1"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154 t</w:t>
            </w:r>
          </w:p>
        </w:tc>
        <w:tc>
          <w:tcPr>
            <w:tcW w:w="460" w:type="pct"/>
            <w:tcBorders>
              <w:top w:val="nil"/>
              <w:left w:val="nil"/>
              <w:bottom w:val="single" w:sz="4" w:space="0" w:color="auto"/>
              <w:right w:val="single" w:sz="4" w:space="0" w:color="auto"/>
            </w:tcBorders>
            <w:shd w:val="clear" w:color="auto" w:fill="auto"/>
            <w:noWrap/>
            <w:vAlign w:val="bottom"/>
            <w:hideMark/>
          </w:tcPr>
          <w:p w14:paraId="6CCF5480" w14:textId="10DD4617"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163 t</w:t>
            </w:r>
          </w:p>
        </w:tc>
        <w:tc>
          <w:tcPr>
            <w:tcW w:w="460" w:type="pct"/>
            <w:tcBorders>
              <w:top w:val="nil"/>
              <w:left w:val="nil"/>
              <w:bottom w:val="single" w:sz="4" w:space="0" w:color="auto"/>
              <w:right w:val="single" w:sz="4" w:space="0" w:color="auto"/>
            </w:tcBorders>
            <w:shd w:val="clear" w:color="auto" w:fill="auto"/>
            <w:noWrap/>
            <w:vAlign w:val="bottom"/>
            <w:hideMark/>
          </w:tcPr>
          <w:p w14:paraId="68E9B267" w14:textId="499648AB"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172 t</w:t>
            </w:r>
          </w:p>
        </w:tc>
        <w:tc>
          <w:tcPr>
            <w:tcW w:w="509" w:type="pct"/>
            <w:tcBorders>
              <w:top w:val="nil"/>
              <w:left w:val="nil"/>
              <w:bottom w:val="single" w:sz="4" w:space="0" w:color="auto"/>
              <w:right w:val="single" w:sz="4" w:space="0" w:color="auto"/>
            </w:tcBorders>
            <w:shd w:val="clear" w:color="auto" w:fill="auto"/>
            <w:noWrap/>
            <w:vAlign w:val="bottom"/>
            <w:hideMark/>
          </w:tcPr>
          <w:p w14:paraId="686DF5A7" w14:textId="77777777"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181 t</w:t>
            </w:r>
          </w:p>
        </w:tc>
        <w:tc>
          <w:tcPr>
            <w:tcW w:w="462" w:type="pct"/>
            <w:tcBorders>
              <w:top w:val="nil"/>
              <w:left w:val="nil"/>
              <w:bottom w:val="single" w:sz="4" w:space="0" w:color="auto"/>
              <w:right w:val="single" w:sz="4" w:space="0" w:color="auto"/>
            </w:tcBorders>
            <w:shd w:val="clear" w:color="auto" w:fill="auto"/>
            <w:noWrap/>
            <w:vAlign w:val="bottom"/>
            <w:hideMark/>
          </w:tcPr>
          <w:p w14:paraId="5D75F882" w14:textId="77777777"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191 t</w:t>
            </w:r>
          </w:p>
        </w:tc>
        <w:tc>
          <w:tcPr>
            <w:tcW w:w="462" w:type="pct"/>
            <w:tcBorders>
              <w:top w:val="nil"/>
              <w:left w:val="nil"/>
              <w:bottom w:val="single" w:sz="4" w:space="0" w:color="auto"/>
              <w:right w:val="single" w:sz="4" w:space="0" w:color="auto"/>
            </w:tcBorders>
            <w:shd w:val="clear" w:color="auto" w:fill="auto"/>
            <w:noWrap/>
            <w:vAlign w:val="bottom"/>
            <w:hideMark/>
          </w:tcPr>
          <w:p w14:paraId="11CB8233" w14:textId="77777777"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202 t</w:t>
            </w:r>
          </w:p>
        </w:tc>
        <w:tc>
          <w:tcPr>
            <w:tcW w:w="462" w:type="pct"/>
            <w:tcBorders>
              <w:top w:val="nil"/>
              <w:left w:val="nil"/>
              <w:bottom w:val="single" w:sz="4" w:space="0" w:color="auto"/>
              <w:right w:val="single" w:sz="4" w:space="0" w:color="auto"/>
            </w:tcBorders>
            <w:shd w:val="clear" w:color="auto" w:fill="auto"/>
            <w:noWrap/>
            <w:vAlign w:val="bottom"/>
            <w:hideMark/>
          </w:tcPr>
          <w:p w14:paraId="474E9261" w14:textId="77777777"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213 t</w:t>
            </w:r>
          </w:p>
        </w:tc>
        <w:tc>
          <w:tcPr>
            <w:tcW w:w="463" w:type="pct"/>
            <w:tcBorders>
              <w:top w:val="nil"/>
              <w:left w:val="nil"/>
              <w:bottom w:val="single" w:sz="4" w:space="0" w:color="auto"/>
              <w:right w:val="single" w:sz="4" w:space="0" w:color="auto"/>
            </w:tcBorders>
            <w:shd w:val="clear" w:color="auto" w:fill="auto"/>
            <w:noWrap/>
            <w:vAlign w:val="bottom"/>
            <w:hideMark/>
          </w:tcPr>
          <w:p w14:paraId="2C526164" w14:textId="77777777"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224 t</w:t>
            </w:r>
          </w:p>
        </w:tc>
        <w:tc>
          <w:tcPr>
            <w:tcW w:w="460" w:type="pct"/>
            <w:tcBorders>
              <w:top w:val="nil"/>
              <w:left w:val="nil"/>
              <w:bottom w:val="single" w:sz="4" w:space="0" w:color="auto"/>
              <w:right w:val="single" w:sz="4" w:space="0" w:color="auto"/>
            </w:tcBorders>
            <w:shd w:val="clear" w:color="auto" w:fill="auto"/>
            <w:noWrap/>
            <w:vAlign w:val="bottom"/>
            <w:hideMark/>
          </w:tcPr>
          <w:p w14:paraId="6F6EFE1C" w14:textId="02AAD0C9"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235 t</w:t>
            </w:r>
          </w:p>
        </w:tc>
      </w:tr>
      <w:tr w:rsidR="002361B0" w:rsidRPr="007D1EDC" w14:paraId="5E1E02CD" w14:textId="77777777" w:rsidTr="00BD1EDD">
        <w:trPr>
          <w:trHeight w:val="210"/>
        </w:trPr>
        <w:tc>
          <w:tcPr>
            <w:tcW w:w="8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C1D6F" w14:textId="77777777" w:rsidR="007D1EDC" w:rsidRPr="007D1EDC" w:rsidRDefault="007D1EDC" w:rsidP="007D1EDC">
            <w:pPr>
              <w:rPr>
                <w:rFonts w:ascii="Arial Narrow" w:hAnsi="Arial Narrow" w:cs="Calibri"/>
                <w:color w:val="000000"/>
                <w:sz w:val="20"/>
                <w:szCs w:val="20"/>
                <w:lang w:val="en-GB" w:eastAsia="en-GB"/>
              </w:rPr>
            </w:pPr>
            <w:proofErr w:type="spellStart"/>
            <w:r w:rsidRPr="007D1EDC">
              <w:rPr>
                <w:rFonts w:ascii="Arial Narrow" w:hAnsi="Arial Narrow" w:cs="Calibri"/>
                <w:color w:val="000000"/>
                <w:sz w:val="20"/>
                <w:szCs w:val="20"/>
                <w:lang w:val="en-GB" w:eastAsia="en-GB"/>
              </w:rPr>
              <w:t>Totali</w:t>
            </w:r>
            <w:proofErr w:type="spellEnd"/>
          </w:p>
        </w:tc>
        <w:tc>
          <w:tcPr>
            <w:tcW w:w="417" w:type="pct"/>
            <w:tcBorders>
              <w:top w:val="single" w:sz="4" w:space="0" w:color="auto"/>
              <w:left w:val="nil"/>
              <w:bottom w:val="single" w:sz="4" w:space="0" w:color="auto"/>
              <w:right w:val="single" w:sz="4" w:space="0" w:color="auto"/>
            </w:tcBorders>
            <w:shd w:val="clear" w:color="auto" w:fill="auto"/>
            <w:noWrap/>
            <w:vAlign w:val="bottom"/>
            <w:hideMark/>
          </w:tcPr>
          <w:p w14:paraId="7C020A54" w14:textId="399EDFC5"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rPr>
              <w:t>9,116 t</w:t>
            </w:r>
          </w:p>
        </w:tc>
        <w:tc>
          <w:tcPr>
            <w:tcW w:w="460" w:type="pct"/>
            <w:tcBorders>
              <w:top w:val="single" w:sz="4" w:space="0" w:color="auto"/>
              <w:left w:val="nil"/>
              <w:bottom w:val="single" w:sz="4" w:space="0" w:color="auto"/>
              <w:right w:val="single" w:sz="4" w:space="0" w:color="auto"/>
            </w:tcBorders>
            <w:shd w:val="clear" w:color="auto" w:fill="auto"/>
            <w:noWrap/>
            <w:vAlign w:val="bottom"/>
            <w:hideMark/>
          </w:tcPr>
          <w:p w14:paraId="75534501" w14:textId="3C58F2B8"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rPr>
              <w:t>10,853 t</w:t>
            </w:r>
          </w:p>
        </w:tc>
        <w:tc>
          <w:tcPr>
            <w:tcW w:w="460" w:type="pct"/>
            <w:tcBorders>
              <w:top w:val="single" w:sz="4" w:space="0" w:color="auto"/>
              <w:left w:val="nil"/>
              <w:bottom w:val="single" w:sz="4" w:space="0" w:color="auto"/>
              <w:right w:val="single" w:sz="4" w:space="0" w:color="auto"/>
            </w:tcBorders>
            <w:shd w:val="clear" w:color="auto" w:fill="auto"/>
            <w:noWrap/>
            <w:vAlign w:val="bottom"/>
            <w:hideMark/>
          </w:tcPr>
          <w:p w14:paraId="168B2762" w14:textId="1F8D5473"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rPr>
              <w:t>12,796 t</w:t>
            </w:r>
          </w:p>
        </w:tc>
        <w:tc>
          <w:tcPr>
            <w:tcW w:w="509" w:type="pct"/>
            <w:tcBorders>
              <w:top w:val="single" w:sz="4" w:space="0" w:color="auto"/>
              <w:left w:val="nil"/>
              <w:bottom w:val="single" w:sz="4" w:space="0" w:color="auto"/>
              <w:right w:val="single" w:sz="4" w:space="0" w:color="auto"/>
            </w:tcBorders>
            <w:shd w:val="clear" w:color="auto" w:fill="auto"/>
            <w:noWrap/>
            <w:vAlign w:val="bottom"/>
            <w:hideMark/>
          </w:tcPr>
          <w:p w14:paraId="7372A35B" w14:textId="77777777"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rPr>
              <w:t>14,014 t</w:t>
            </w: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14:paraId="0FF1C236" w14:textId="15988708"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rPr>
              <w:t>15,375 t</w:t>
            </w: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14:paraId="48B457AD" w14:textId="65AF828D"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rPr>
              <w:t>16,857 t</w:t>
            </w: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14:paraId="49945B51" w14:textId="10BAAFB8"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rPr>
              <w:t>17,776 t</w:t>
            </w:r>
          </w:p>
        </w:tc>
        <w:tc>
          <w:tcPr>
            <w:tcW w:w="463" w:type="pct"/>
            <w:tcBorders>
              <w:top w:val="single" w:sz="4" w:space="0" w:color="auto"/>
              <w:left w:val="nil"/>
              <w:bottom w:val="single" w:sz="4" w:space="0" w:color="auto"/>
              <w:right w:val="single" w:sz="4" w:space="0" w:color="auto"/>
            </w:tcBorders>
            <w:shd w:val="clear" w:color="auto" w:fill="auto"/>
            <w:noWrap/>
            <w:vAlign w:val="bottom"/>
            <w:hideMark/>
          </w:tcPr>
          <w:p w14:paraId="5B80199A" w14:textId="4D97E442"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rPr>
              <w:t>18,622 t</w:t>
            </w:r>
          </w:p>
        </w:tc>
        <w:tc>
          <w:tcPr>
            <w:tcW w:w="460" w:type="pct"/>
            <w:tcBorders>
              <w:top w:val="single" w:sz="4" w:space="0" w:color="auto"/>
              <w:left w:val="nil"/>
              <w:bottom w:val="single" w:sz="4" w:space="0" w:color="auto"/>
              <w:right w:val="single" w:sz="4" w:space="0" w:color="auto"/>
            </w:tcBorders>
            <w:shd w:val="clear" w:color="auto" w:fill="auto"/>
            <w:noWrap/>
            <w:vAlign w:val="bottom"/>
            <w:hideMark/>
          </w:tcPr>
          <w:p w14:paraId="5C63075B" w14:textId="36820B17"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rPr>
              <w:t>19,435 t</w:t>
            </w:r>
          </w:p>
        </w:tc>
      </w:tr>
      <w:tr w:rsidR="002361B0" w:rsidRPr="007D1EDC" w14:paraId="6AFB1004" w14:textId="77777777" w:rsidTr="00BD1EDD">
        <w:trPr>
          <w:trHeight w:val="210"/>
        </w:trPr>
        <w:tc>
          <w:tcPr>
            <w:tcW w:w="84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5E5D05" w14:textId="77777777" w:rsidR="007D1EDC" w:rsidRPr="007D1EDC" w:rsidRDefault="007D1EDC" w:rsidP="007D1EDC">
            <w:pPr>
              <w:rPr>
                <w:rFonts w:ascii="Arial Narrow" w:hAnsi="Arial Narrow" w:cs="Calibri"/>
                <w:color w:val="000000"/>
                <w:sz w:val="20"/>
                <w:szCs w:val="20"/>
                <w:lang w:val="en-GB" w:eastAsia="en-GB"/>
              </w:rPr>
            </w:pPr>
            <w:proofErr w:type="spellStart"/>
            <w:r w:rsidRPr="007D1EDC">
              <w:rPr>
                <w:rFonts w:ascii="Arial Narrow" w:hAnsi="Arial Narrow" w:cs="Calibri"/>
                <w:color w:val="000000"/>
                <w:sz w:val="20"/>
                <w:szCs w:val="20"/>
                <w:lang w:val="en-GB" w:eastAsia="en-GB"/>
              </w:rPr>
              <w:t>Përfshirë</w:t>
            </w:r>
            <w:proofErr w:type="spellEnd"/>
            <w:r w:rsidRPr="007D1EDC">
              <w:rPr>
                <w:rFonts w:ascii="Arial Narrow" w:hAnsi="Arial Narrow" w:cs="Calibri"/>
                <w:color w:val="000000"/>
                <w:sz w:val="20"/>
                <w:szCs w:val="20"/>
                <w:lang w:val="en-GB" w:eastAsia="en-GB"/>
              </w:rPr>
              <w:t xml:space="preserve"> </w:t>
            </w:r>
            <w:proofErr w:type="spellStart"/>
            <w:r w:rsidRPr="007D1EDC">
              <w:rPr>
                <w:rFonts w:ascii="Arial Narrow" w:hAnsi="Arial Narrow" w:cs="Calibri"/>
                <w:color w:val="000000"/>
                <w:sz w:val="20"/>
                <w:szCs w:val="20"/>
                <w:lang w:val="en-GB" w:eastAsia="en-GB"/>
              </w:rPr>
              <w:t>papastërtitë</w:t>
            </w:r>
            <w:proofErr w:type="spellEnd"/>
          </w:p>
        </w:tc>
        <w:tc>
          <w:tcPr>
            <w:tcW w:w="417" w:type="pct"/>
            <w:tcBorders>
              <w:top w:val="single" w:sz="4" w:space="0" w:color="auto"/>
              <w:left w:val="nil"/>
              <w:bottom w:val="single" w:sz="4" w:space="0" w:color="auto"/>
              <w:right w:val="single" w:sz="4" w:space="0" w:color="auto"/>
            </w:tcBorders>
            <w:shd w:val="clear" w:color="auto" w:fill="auto"/>
            <w:noWrap/>
            <w:vAlign w:val="bottom"/>
          </w:tcPr>
          <w:p w14:paraId="7F236DE4" w14:textId="2AC4BAEF"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rPr>
              <w:t>10,484 t</w:t>
            </w:r>
          </w:p>
        </w:tc>
        <w:tc>
          <w:tcPr>
            <w:tcW w:w="460" w:type="pct"/>
            <w:tcBorders>
              <w:top w:val="single" w:sz="4" w:space="0" w:color="auto"/>
              <w:left w:val="nil"/>
              <w:bottom w:val="single" w:sz="4" w:space="0" w:color="auto"/>
              <w:right w:val="single" w:sz="4" w:space="0" w:color="auto"/>
            </w:tcBorders>
            <w:shd w:val="clear" w:color="auto" w:fill="auto"/>
            <w:noWrap/>
            <w:vAlign w:val="bottom"/>
          </w:tcPr>
          <w:p w14:paraId="0D3BC54F" w14:textId="47F5AFB0"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rPr>
              <w:t>12,481 t</w:t>
            </w:r>
          </w:p>
        </w:tc>
        <w:tc>
          <w:tcPr>
            <w:tcW w:w="460" w:type="pct"/>
            <w:tcBorders>
              <w:top w:val="single" w:sz="4" w:space="0" w:color="auto"/>
              <w:left w:val="nil"/>
              <w:bottom w:val="single" w:sz="4" w:space="0" w:color="auto"/>
              <w:right w:val="single" w:sz="4" w:space="0" w:color="auto"/>
            </w:tcBorders>
            <w:shd w:val="clear" w:color="auto" w:fill="auto"/>
            <w:noWrap/>
            <w:vAlign w:val="bottom"/>
          </w:tcPr>
          <w:p w14:paraId="490D1661" w14:textId="2F40383A"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rPr>
              <w:t>14,715 t</w:t>
            </w:r>
          </w:p>
        </w:tc>
        <w:tc>
          <w:tcPr>
            <w:tcW w:w="509" w:type="pct"/>
            <w:tcBorders>
              <w:top w:val="single" w:sz="4" w:space="0" w:color="auto"/>
              <w:left w:val="nil"/>
              <w:bottom w:val="single" w:sz="4" w:space="0" w:color="auto"/>
              <w:right w:val="single" w:sz="4" w:space="0" w:color="auto"/>
            </w:tcBorders>
            <w:shd w:val="clear" w:color="auto" w:fill="auto"/>
            <w:noWrap/>
            <w:vAlign w:val="bottom"/>
          </w:tcPr>
          <w:p w14:paraId="1620674D" w14:textId="77777777"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rPr>
              <w:t>16,116 t</w:t>
            </w:r>
          </w:p>
        </w:tc>
        <w:tc>
          <w:tcPr>
            <w:tcW w:w="462" w:type="pct"/>
            <w:tcBorders>
              <w:top w:val="single" w:sz="4" w:space="0" w:color="auto"/>
              <w:left w:val="nil"/>
              <w:bottom w:val="single" w:sz="4" w:space="0" w:color="auto"/>
              <w:right w:val="single" w:sz="4" w:space="0" w:color="auto"/>
            </w:tcBorders>
            <w:shd w:val="clear" w:color="auto" w:fill="auto"/>
            <w:noWrap/>
            <w:vAlign w:val="bottom"/>
          </w:tcPr>
          <w:p w14:paraId="7427A333" w14:textId="3495B9DA"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rPr>
              <w:t>17,681 t</w:t>
            </w:r>
          </w:p>
        </w:tc>
        <w:tc>
          <w:tcPr>
            <w:tcW w:w="462" w:type="pct"/>
            <w:tcBorders>
              <w:top w:val="single" w:sz="4" w:space="0" w:color="auto"/>
              <w:left w:val="nil"/>
              <w:bottom w:val="single" w:sz="4" w:space="0" w:color="auto"/>
              <w:right w:val="single" w:sz="4" w:space="0" w:color="auto"/>
            </w:tcBorders>
            <w:shd w:val="clear" w:color="auto" w:fill="auto"/>
            <w:noWrap/>
            <w:vAlign w:val="bottom"/>
          </w:tcPr>
          <w:p w14:paraId="2FACDE81" w14:textId="6E24E24B"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rPr>
              <w:t>19,385 t</w:t>
            </w:r>
          </w:p>
        </w:tc>
        <w:tc>
          <w:tcPr>
            <w:tcW w:w="462" w:type="pct"/>
            <w:tcBorders>
              <w:top w:val="single" w:sz="4" w:space="0" w:color="auto"/>
              <w:left w:val="nil"/>
              <w:bottom w:val="single" w:sz="4" w:space="0" w:color="auto"/>
              <w:right w:val="single" w:sz="4" w:space="0" w:color="auto"/>
            </w:tcBorders>
            <w:shd w:val="clear" w:color="auto" w:fill="auto"/>
            <w:noWrap/>
            <w:vAlign w:val="bottom"/>
          </w:tcPr>
          <w:p w14:paraId="15E0C1D3" w14:textId="79A5B34E"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rPr>
              <w:t>20,442 t</w:t>
            </w:r>
          </w:p>
        </w:tc>
        <w:tc>
          <w:tcPr>
            <w:tcW w:w="463" w:type="pct"/>
            <w:tcBorders>
              <w:top w:val="single" w:sz="4" w:space="0" w:color="auto"/>
              <w:left w:val="nil"/>
              <w:bottom w:val="single" w:sz="4" w:space="0" w:color="auto"/>
              <w:right w:val="single" w:sz="4" w:space="0" w:color="auto"/>
            </w:tcBorders>
            <w:shd w:val="clear" w:color="auto" w:fill="auto"/>
            <w:noWrap/>
            <w:vAlign w:val="bottom"/>
          </w:tcPr>
          <w:p w14:paraId="6A786FA6" w14:textId="7F352388"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rPr>
              <w:t>21,415 t</w:t>
            </w:r>
          </w:p>
        </w:tc>
        <w:tc>
          <w:tcPr>
            <w:tcW w:w="460" w:type="pct"/>
            <w:tcBorders>
              <w:top w:val="single" w:sz="4" w:space="0" w:color="auto"/>
              <w:left w:val="nil"/>
              <w:bottom w:val="single" w:sz="4" w:space="0" w:color="auto"/>
              <w:right w:val="single" w:sz="4" w:space="0" w:color="auto"/>
            </w:tcBorders>
            <w:shd w:val="clear" w:color="auto" w:fill="auto"/>
            <w:noWrap/>
            <w:vAlign w:val="bottom"/>
          </w:tcPr>
          <w:p w14:paraId="296035C2" w14:textId="5E1453C0"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cs="Calibri"/>
                <w:sz w:val="20"/>
                <w:szCs w:val="20"/>
              </w:rPr>
              <w:t>22,350 t</w:t>
            </w:r>
          </w:p>
        </w:tc>
      </w:tr>
    </w:tbl>
    <w:p w14:paraId="3CA260AA" w14:textId="77777777" w:rsidR="007D1EDC" w:rsidRPr="007D1EDC" w:rsidRDefault="007D1EDC" w:rsidP="007D1EDC">
      <w:pPr>
        <w:rPr>
          <w:rFonts w:ascii="Arial Narrow" w:eastAsia="Calibri" w:hAnsi="Arial Narrow" w:cs="Calibri"/>
          <w:sz w:val="22"/>
          <w:szCs w:val="22"/>
        </w:rPr>
      </w:pPr>
    </w:p>
    <w:p w14:paraId="3C63334C" w14:textId="413F4DF6" w:rsidR="007D1EDC" w:rsidRPr="007D1EDC" w:rsidRDefault="007D1EDC" w:rsidP="007D1EDC">
      <w:pPr>
        <w:suppressAutoHyphens/>
        <w:rPr>
          <w:rFonts w:ascii="Arial Narrow" w:hAnsi="Arial Narrow"/>
          <w:b/>
          <w:bCs/>
          <w:color w:val="1F3864" w:themeColor="accent1" w:themeShade="80"/>
          <w:sz w:val="22"/>
          <w:szCs w:val="22"/>
        </w:rPr>
      </w:pPr>
      <w:r w:rsidRPr="007D1EDC">
        <w:rPr>
          <w:rFonts w:ascii="Arial Narrow" w:hAnsi="Arial Narrow"/>
          <w:b/>
          <w:bCs/>
          <w:color w:val="1F3864" w:themeColor="accent1" w:themeShade="80"/>
          <w:sz w:val="22"/>
          <w:szCs w:val="22"/>
        </w:rPr>
        <w:t>Kostot e investi</w:t>
      </w:r>
      <w:r w:rsidR="002935F9">
        <w:rPr>
          <w:rFonts w:ascii="Arial Narrow" w:hAnsi="Arial Narrow"/>
          <w:b/>
          <w:bCs/>
          <w:color w:val="1F3864" w:themeColor="accent1" w:themeShade="80"/>
          <w:sz w:val="22"/>
          <w:szCs w:val="22"/>
        </w:rPr>
        <w:t>ve të grumbullimit ndaras</w:t>
      </w:r>
      <w:r w:rsidRPr="007D1EDC">
        <w:rPr>
          <w:rFonts w:ascii="Arial Narrow" w:hAnsi="Arial Narrow"/>
          <w:b/>
          <w:bCs/>
          <w:color w:val="1F3864" w:themeColor="accent1" w:themeShade="80"/>
          <w:sz w:val="22"/>
          <w:szCs w:val="22"/>
        </w:rPr>
        <w:t xml:space="preserve"> </w:t>
      </w:r>
    </w:p>
    <w:p w14:paraId="44B3C6C5" w14:textId="77777777" w:rsidR="007D1EDC" w:rsidRPr="002361B0" w:rsidRDefault="007D1EDC" w:rsidP="007D1EDC">
      <w:pPr>
        <w:jc w:val="both"/>
        <w:rPr>
          <w:rFonts w:ascii="Arial Narrow" w:eastAsia="Calibri" w:hAnsi="Arial Narrow" w:cs="Calibri"/>
          <w:color w:val="000000" w:themeColor="text1"/>
          <w:sz w:val="22"/>
          <w:szCs w:val="22"/>
          <w:lang w:val="en-GB"/>
        </w:rPr>
      </w:pPr>
    </w:p>
    <w:p w14:paraId="18F504F4" w14:textId="77777777" w:rsidR="002361B0" w:rsidRPr="002361B0" w:rsidRDefault="002361B0" w:rsidP="002361B0">
      <w:pPr>
        <w:jc w:val="both"/>
        <w:rPr>
          <w:rFonts w:ascii="Arial Narrow" w:eastAsia="Calibri" w:hAnsi="Arial Narrow" w:cs="Calibri"/>
          <w:color w:val="000000" w:themeColor="text1"/>
          <w:sz w:val="22"/>
          <w:szCs w:val="22"/>
          <w:lang w:val="en-GB"/>
        </w:rPr>
      </w:pPr>
      <w:proofErr w:type="spellStart"/>
      <w:r w:rsidRPr="002361B0">
        <w:rPr>
          <w:rFonts w:ascii="Arial Narrow" w:eastAsia="Calibri" w:hAnsi="Arial Narrow" w:cs="Calibri"/>
          <w:color w:val="000000" w:themeColor="text1"/>
          <w:sz w:val="22"/>
          <w:szCs w:val="22"/>
          <w:lang w:val="en-GB"/>
        </w:rPr>
        <w:t>Për</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përcaktuar</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pajisjet</w:t>
      </w:r>
      <w:proofErr w:type="spellEnd"/>
      <w:r w:rsidRPr="002361B0">
        <w:rPr>
          <w:rFonts w:ascii="Arial Narrow" w:eastAsia="Calibri" w:hAnsi="Arial Narrow" w:cs="Calibri"/>
          <w:color w:val="000000" w:themeColor="text1"/>
          <w:sz w:val="22"/>
          <w:szCs w:val="22"/>
          <w:lang w:val="en-GB"/>
        </w:rPr>
        <w:t xml:space="preserve"> e </w:t>
      </w:r>
      <w:proofErr w:type="spellStart"/>
      <w:r w:rsidRPr="002361B0">
        <w:rPr>
          <w:rFonts w:ascii="Arial Narrow" w:eastAsia="Calibri" w:hAnsi="Arial Narrow" w:cs="Calibri"/>
          <w:color w:val="000000" w:themeColor="text1"/>
          <w:sz w:val="22"/>
          <w:szCs w:val="22"/>
          <w:lang w:val="en-GB"/>
        </w:rPr>
        <w:t>nevojshme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për</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grumbullimin</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ndaras</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mbeturinave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përdoren</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supozimet</w:t>
      </w:r>
      <w:proofErr w:type="spellEnd"/>
      <w:r w:rsidRPr="002361B0">
        <w:rPr>
          <w:rFonts w:ascii="Arial Narrow" w:eastAsia="Calibri" w:hAnsi="Arial Narrow" w:cs="Calibri"/>
          <w:color w:val="000000" w:themeColor="text1"/>
          <w:sz w:val="22"/>
          <w:szCs w:val="22"/>
          <w:lang w:val="en-GB"/>
        </w:rPr>
        <w:t xml:space="preserve"> e </w:t>
      </w:r>
      <w:proofErr w:type="spellStart"/>
      <w:r w:rsidRPr="002361B0">
        <w:rPr>
          <w:rFonts w:ascii="Arial Narrow" w:eastAsia="Calibri" w:hAnsi="Arial Narrow" w:cs="Calibri"/>
          <w:color w:val="000000" w:themeColor="text1"/>
          <w:sz w:val="22"/>
          <w:szCs w:val="22"/>
          <w:lang w:val="en-GB"/>
        </w:rPr>
        <w:t>mëposhtme</w:t>
      </w:r>
      <w:proofErr w:type="spellEnd"/>
      <w:r w:rsidRPr="002361B0">
        <w:rPr>
          <w:rFonts w:ascii="Arial Narrow" w:eastAsia="Calibri" w:hAnsi="Arial Narrow" w:cs="Calibri"/>
          <w:color w:val="000000" w:themeColor="text1"/>
          <w:sz w:val="22"/>
          <w:szCs w:val="22"/>
          <w:lang w:val="en-GB"/>
        </w:rPr>
        <w:t>:</w:t>
      </w:r>
    </w:p>
    <w:p w14:paraId="0ACBC276" w14:textId="77777777" w:rsidR="002361B0" w:rsidRPr="002361B0" w:rsidRDefault="002361B0" w:rsidP="002361B0">
      <w:pPr>
        <w:numPr>
          <w:ilvl w:val="0"/>
          <w:numId w:val="25"/>
        </w:numPr>
        <w:jc w:val="both"/>
        <w:rPr>
          <w:rFonts w:ascii="Arial Narrow" w:eastAsia="Calibri" w:hAnsi="Arial Narrow" w:cs="Calibri"/>
          <w:color w:val="000000" w:themeColor="text1"/>
          <w:sz w:val="22"/>
          <w:szCs w:val="22"/>
          <w:lang w:val="en-GB"/>
        </w:rPr>
      </w:pPr>
      <w:proofErr w:type="spellStart"/>
      <w:r w:rsidRPr="002361B0">
        <w:rPr>
          <w:rFonts w:ascii="Arial Narrow" w:eastAsia="Calibri" w:hAnsi="Arial Narrow" w:cs="Calibri"/>
          <w:color w:val="000000" w:themeColor="text1"/>
          <w:sz w:val="22"/>
          <w:szCs w:val="22"/>
          <w:lang w:val="en-GB"/>
        </w:rPr>
        <w:t>Numri</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dhe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kapacitetet</w:t>
      </w:r>
      <w:proofErr w:type="spellEnd"/>
      <w:r w:rsidRPr="002361B0">
        <w:rPr>
          <w:rFonts w:ascii="Arial Narrow" w:eastAsia="Calibri" w:hAnsi="Arial Narrow" w:cs="Calibri"/>
          <w:color w:val="000000" w:themeColor="text1"/>
          <w:sz w:val="22"/>
          <w:szCs w:val="22"/>
          <w:lang w:val="en-GB"/>
        </w:rPr>
        <w:t xml:space="preserve"> e </w:t>
      </w:r>
      <w:proofErr w:type="spellStart"/>
      <w:r w:rsidRPr="002361B0">
        <w:rPr>
          <w:rFonts w:ascii="Arial Narrow" w:eastAsia="Calibri" w:hAnsi="Arial Narrow" w:cs="Calibri"/>
          <w:color w:val="000000" w:themeColor="text1"/>
          <w:sz w:val="22"/>
          <w:szCs w:val="22"/>
          <w:lang w:val="en-GB"/>
        </w:rPr>
        <w:t>kontejnerëve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dhe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mjeteve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nevojshme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grumbulluese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korrespondojnë</w:t>
      </w:r>
      <w:proofErr w:type="spellEnd"/>
      <w:r w:rsidRPr="002361B0">
        <w:rPr>
          <w:rFonts w:ascii="Arial Narrow" w:eastAsia="Calibri" w:hAnsi="Arial Narrow" w:cs="Calibri"/>
          <w:color w:val="000000" w:themeColor="text1"/>
          <w:sz w:val="22"/>
          <w:szCs w:val="22"/>
          <w:lang w:val="en-GB"/>
        </w:rPr>
        <w:t xml:space="preserve"> me </w:t>
      </w:r>
      <w:proofErr w:type="spellStart"/>
      <w:r w:rsidRPr="002361B0">
        <w:rPr>
          <w:rFonts w:ascii="Arial Narrow" w:eastAsia="Calibri" w:hAnsi="Arial Narrow" w:cs="Calibri"/>
          <w:color w:val="000000" w:themeColor="text1"/>
          <w:sz w:val="22"/>
          <w:szCs w:val="22"/>
          <w:lang w:val="en-GB"/>
        </w:rPr>
        <w:t>sasitë</w:t>
      </w:r>
      <w:proofErr w:type="spellEnd"/>
      <w:r w:rsidRPr="002361B0">
        <w:rPr>
          <w:rFonts w:ascii="Arial Narrow" w:eastAsia="Calibri" w:hAnsi="Arial Narrow" w:cs="Calibri"/>
          <w:color w:val="000000" w:themeColor="text1"/>
          <w:sz w:val="22"/>
          <w:szCs w:val="22"/>
          <w:lang w:val="en-GB"/>
        </w:rPr>
        <w:t xml:space="preserve"> e </w:t>
      </w:r>
      <w:proofErr w:type="spellStart"/>
      <w:r w:rsidRPr="002361B0">
        <w:rPr>
          <w:rFonts w:ascii="Arial Narrow" w:eastAsia="Calibri" w:hAnsi="Arial Narrow" w:cs="Calibri"/>
          <w:color w:val="000000" w:themeColor="text1"/>
          <w:sz w:val="22"/>
          <w:szCs w:val="22"/>
          <w:lang w:val="en-GB"/>
        </w:rPr>
        <w:t>mbeturinave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grumbulluara</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llogaritura</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sipas</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numrit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banorëve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shërbyer</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dhe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normave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për</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frymë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grumbullimit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mbeturinave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riciklueshme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në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zonat</w:t>
      </w:r>
      <w:proofErr w:type="spellEnd"/>
      <w:r w:rsidRPr="002361B0">
        <w:rPr>
          <w:rFonts w:ascii="Arial Narrow" w:eastAsia="Calibri" w:hAnsi="Arial Narrow" w:cs="Calibri"/>
          <w:color w:val="000000" w:themeColor="text1"/>
          <w:sz w:val="22"/>
          <w:szCs w:val="22"/>
          <w:lang w:val="en-GB"/>
        </w:rPr>
        <w:t xml:space="preserve"> urbane </w:t>
      </w:r>
      <w:proofErr w:type="spellStart"/>
      <w:r w:rsidRPr="002361B0">
        <w:rPr>
          <w:rFonts w:ascii="Arial Narrow" w:eastAsia="Calibri" w:hAnsi="Arial Narrow" w:cs="Calibri"/>
          <w:color w:val="000000" w:themeColor="text1"/>
          <w:sz w:val="22"/>
          <w:szCs w:val="22"/>
          <w:lang w:val="en-GB"/>
        </w:rPr>
        <w:t>dhe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rurale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për</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vitin</w:t>
      </w:r>
      <w:proofErr w:type="spellEnd"/>
      <w:r w:rsidRPr="002361B0">
        <w:rPr>
          <w:rFonts w:ascii="Arial Narrow" w:eastAsia="Calibri" w:hAnsi="Arial Narrow" w:cs="Calibri"/>
          <w:color w:val="000000" w:themeColor="text1"/>
          <w:sz w:val="22"/>
          <w:szCs w:val="22"/>
          <w:lang w:val="en-GB"/>
        </w:rPr>
        <w:t xml:space="preserve"> </w:t>
      </w:r>
      <w:proofErr w:type="spellStart"/>
      <w:proofErr w:type="gramStart"/>
      <w:r w:rsidRPr="002361B0">
        <w:rPr>
          <w:rFonts w:ascii="Arial Narrow" w:eastAsia="Calibri" w:hAnsi="Arial Narrow" w:cs="Calibri"/>
          <w:color w:val="000000" w:themeColor="text1"/>
          <w:sz w:val="22"/>
          <w:szCs w:val="22"/>
          <w:lang w:val="en-GB"/>
        </w:rPr>
        <w:t>përkatës</w:t>
      </w:r>
      <w:proofErr w:type="spellEnd"/>
      <w:r w:rsidRPr="002361B0">
        <w:rPr>
          <w:rFonts w:ascii="Arial Narrow" w:eastAsia="Calibri" w:hAnsi="Arial Narrow" w:cs="Calibri"/>
          <w:color w:val="000000" w:themeColor="text1"/>
          <w:sz w:val="22"/>
          <w:szCs w:val="22"/>
          <w:lang w:val="en-GB"/>
        </w:rPr>
        <w:t>;</w:t>
      </w:r>
      <w:proofErr w:type="gramEnd"/>
    </w:p>
    <w:p w14:paraId="45EFD6B9" w14:textId="146D5D22" w:rsidR="002361B0" w:rsidRPr="002361B0" w:rsidRDefault="002361B0" w:rsidP="002361B0">
      <w:pPr>
        <w:numPr>
          <w:ilvl w:val="0"/>
          <w:numId w:val="25"/>
        </w:numPr>
        <w:jc w:val="both"/>
        <w:rPr>
          <w:rFonts w:ascii="Arial Narrow" w:eastAsia="Calibri" w:hAnsi="Arial Narrow" w:cs="Calibri"/>
          <w:color w:val="000000" w:themeColor="text1"/>
          <w:sz w:val="22"/>
          <w:szCs w:val="22"/>
          <w:lang w:val="en-GB"/>
        </w:rPr>
      </w:pPr>
      <w:proofErr w:type="spellStart"/>
      <w:r w:rsidRPr="002361B0">
        <w:rPr>
          <w:rFonts w:ascii="Arial Narrow" w:eastAsia="Calibri" w:hAnsi="Arial Narrow" w:cs="Calibri"/>
          <w:color w:val="000000" w:themeColor="text1"/>
          <w:sz w:val="22"/>
          <w:szCs w:val="22"/>
          <w:lang w:val="en-GB"/>
        </w:rPr>
        <w:t>Dendësia</w:t>
      </w:r>
      <w:proofErr w:type="spellEnd"/>
      <w:r w:rsidRPr="002361B0">
        <w:rPr>
          <w:rFonts w:ascii="Arial Narrow" w:eastAsia="Calibri" w:hAnsi="Arial Narrow" w:cs="Calibri"/>
          <w:color w:val="000000" w:themeColor="text1"/>
          <w:sz w:val="22"/>
          <w:szCs w:val="22"/>
          <w:lang w:val="en-GB"/>
        </w:rPr>
        <w:t xml:space="preserve"> e </w:t>
      </w:r>
      <w:proofErr w:type="spellStart"/>
      <w:r w:rsidRPr="002361B0">
        <w:rPr>
          <w:rFonts w:ascii="Arial Narrow" w:eastAsia="Calibri" w:hAnsi="Arial Narrow" w:cs="Calibri"/>
          <w:color w:val="000000" w:themeColor="text1"/>
          <w:sz w:val="22"/>
          <w:szCs w:val="22"/>
          <w:lang w:val="en-GB"/>
        </w:rPr>
        <w:t>materialeve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në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kontejnerë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supozohet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jetë</w:t>
      </w:r>
      <w:proofErr w:type="spellEnd"/>
      <w:r w:rsidRPr="002361B0">
        <w:rPr>
          <w:rFonts w:ascii="Arial Narrow" w:eastAsia="Calibri" w:hAnsi="Arial Narrow" w:cs="Calibri"/>
          <w:color w:val="000000" w:themeColor="text1"/>
          <w:sz w:val="22"/>
          <w:szCs w:val="22"/>
          <w:lang w:val="en-GB"/>
        </w:rPr>
        <w:t xml:space="preserve">: 0,125 </w:t>
      </w:r>
      <w:proofErr w:type="spellStart"/>
      <w:r w:rsidRPr="002361B0">
        <w:rPr>
          <w:rFonts w:ascii="Arial Narrow" w:eastAsia="Calibri" w:hAnsi="Arial Narrow" w:cs="Calibri"/>
          <w:color w:val="000000" w:themeColor="text1"/>
          <w:sz w:val="22"/>
          <w:szCs w:val="22"/>
          <w:lang w:val="en-GB"/>
        </w:rPr>
        <w:t>tonë</w:t>
      </w:r>
      <w:proofErr w:type="spellEnd"/>
      <w:r w:rsidRPr="002361B0">
        <w:rPr>
          <w:rFonts w:ascii="Arial Narrow" w:eastAsia="Calibri" w:hAnsi="Arial Narrow" w:cs="Calibri"/>
          <w:color w:val="000000" w:themeColor="text1"/>
          <w:sz w:val="22"/>
          <w:szCs w:val="22"/>
          <w:lang w:val="en-GB"/>
        </w:rPr>
        <w:t>/</w:t>
      </w:r>
      <w:r w:rsidRPr="002361B0">
        <w:rPr>
          <w:rFonts w:ascii="Arial Narrow" w:hAnsi="Arial Narrow" w:cs="Calibri"/>
          <w:sz w:val="22"/>
          <w:szCs w:val="22"/>
          <w:lang w:val="sq-AL" w:eastAsia="bg-BG"/>
        </w:rPr>
        <w:t>m³</w:t>
      </w:r>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për</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letër</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dhe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karton</w:t>
      </w:r>
      <w:proofErr w:type="spellEnd"/>
      <w:r w:rsidRPr="002361B0">
        <w:rPr>
          <w:rFonts w:ascii="Arial Narrow" w:eastAsia="Calibri" w:hAnsi="Arial Narrow" w:cs="Calibri"/>
          <w:color w:val="000000" w:themeColor="text1"/>
          <w:sz w:val="22"/>
          <w:szCs w:val="22"/>
          <w:lang w:val="en-GB"/>
        </w:rPr>
        <w:t xml:space="preserve">; 0,030 </w:t>
      </w:r>
      <w:proofErr w:type="spellStart"/>
      <w:r w:rsidRPr="002361B0">
        <w:rPr>
          <w:rFonts w:ascii="Arial Narrow" w:eastAsia="Calibri" w:hAnsi="Arial Narrow" w:cs="Calibri"/>
          <w:color w:val="000000" w:themeColor="text1"/>
          <w:sz w:val="22"/>
          <w:szCs w:val="22"/>
          <w:lang w:val="en-GB"/>
        </w:rPr>
        <w:t>tonë</w:t>
      </w:r>
      <w:proofErr w:type="spellEnd"/>
      <w:r w:rsidRPr="002361B0">
        <w:rPr>
          <w:rFonts w:ascii="Arial Narrow" w:eastAsia="Calibri" w:hAnsi="Arial Narrow" w:cs="Calibri"/>
          <w:color w:val="000000" w:themeColor="text1"/>
          <w:sz w:val="22"/>
          <w:szCs w:val="22"/>
          <w:lang w:val="en-GB"/>
        </w:rPr>
        <w:t>/</w:t>
      </w:r>
      <w:r w:rsidRPr="002361B0">
        <w:rPr>
          <w:rFonts w:ascii="Arial Narrow" w:hAnsi="Arial Narrow" w:cs="Calibri"/>
          <w:sz w:val="22"/>
          <w:szCs w:val="22"/>
          <w:lang w:val="sq-AL" w:eastAsia="bg-BG"/>
        </w:rPr>
        <w:t>m³</w:t>
      </w:r>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për</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plastikë</w:t>
      </w:r>
      <w:proofErr w:type="spellEnd"/>
      <w:r w:rsidRPr="002361B0">
        <w:rPr>
          <w:rFonts w:ascii="Arial Narrow" w:eastAsia="Calibri" w:hAnsi="Arial Narrow" w:cs="Calibri"/>
          <w:color w:val="000000" w:themeColor="text1"/>
          <w:sz w:val="22"/>
          <w:szCs w:val="22"/>
          <w:lang w:val="en-GB"/>
        </w:rPr>
        <w:t xml:space="preserve">; 0,150 </w:t>
      </w:r>
      <w:proofErr w:type="spellStart"/>
      <w:r w:rsidRPr="002361B0">
        <w:rPr>
          <w:rFonts w:ascii="Arial Narrow" w:eastAsia="Calibri" w:hAnsi="Arial Narrow" w:cs="Calibri"/>
          <w:color w:val="000000" w:themeColor="text1"/>
          <w:sz w:val="22"/>
          <w:szCs w:val="22"/>
          <w:lang w:val="en-GB"/>
        </w:rPr>
        <w:t>tonë</w:t>
      </w:r>
      <w:proofErr w:type="spellEnd"/>
      <w:r w:rsidRPr="002361B0">
        <w:rPr>
          <w:rFonts w:ascii="Arial Narrow" w:eastAsia="Calibri" w:hAnsi="Arial Narrow" w:cs="Calibri"/>
          <w:color w:val="000000" w:themeColor="text1"/>
          <w:sz w:val="22"/>
          <w:szCs w:val="22"/>
          <w:lang w:val="en-GB"/>
        </w:rPr>
        <w:t>/</w:t>
      </w:r>
      <w:r w:rsidRPr="002361B0">
        <w:rPr>
          <w:rFonts w:ascii="Arial Narrow" w:hAnsi="Arial Narrow" w:cs="Calibri"/>
          <w:sz w:val="22"/>
          <w:szCs w:val="22"/>
          <w:lang w:val="sq-AL" w:eastAsia="bg-BG"/>
        </w:rPr>
        <w:t>m³</w:t>
      </w:r>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për</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metalet</w:t>
      </w:r>
      <w:proofErr w:type="spellEnd"/>
      <w:r w:rsidRPr="002361B0">
        <w:rPr>
          <w:rFonts w:ascii="Arial Narrow" w:eastAsia="Calibri" w:hAnsi="Arial Narrow" w:cs="Calibri"/>
          <w:color w:val="000000" w:themeColor="text1"/>
          <w:sz w:val="22"/>
          <w:szCs w:val="22"/>
          <w:lang w:val="en-GB"/>
        </w:rPr>
        <w:t xml:space="preserve">; 0,300 </w:t>
      </w:r>
      <w:proofErr w:type="spellStart"/>
      <w:r w:rsidRPr="002361B0">
        <w:rPr>
          <w:rFonts w:ascii="Arial Narrow" w:eastAsia="Calibri" w:hAnsi="Arial Narrow" w:cs="Calibri"/>
          <w:color w:val="000000" w:themeColor="text1"/>
          <w:sz w:val="22"/>
          <w:szCs w:val="22"/>
          <w:lang w:val="en-GB"/>
        </w:rPr>
        <w:t>tonë</w:t>
      </w:r>
      <w:proofErr w:type="spellEnd"/>
      <w:r w:rsidRPr="002361B0">
        <w:rPr>
          <w:rFonts w:ascii="Arial Narrow" w:eastAsia="Calibri" w:hAnsi="Arial Narrow" w:cs="Calibri"/>
          <w:color w:val="000000" w:themeColor="text1"/>
          <w:sz w:val="22"/>
          <w:szCs w:val="22"/>
          <w:lang w:val="en-GB"/>
        </w:rPr>
        <w:t>/</w:t>
      </w:r>
      <w:r w:rsidRPr="002361B0">
        <w:rPr>
          <w:rFonts w:ascii="Arial Narrow" w:hAnsi="Arial Narrow" w:cs="Calibri"/>
          <w:sz w:val="22"/>
          <w:szCs w:val="22"/>
          <w:lang w:val="sq-AL" w:eastAsia="bg-BG"/>
        </w:rPr>
        <w:t>m³</w:t>
      </w:r>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për</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qelqin</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dhe</w:t>
      </w:r>
      <w:proofErr w:type="spellEnd"/>
      <w:r w:rsidRPr="002361B0">
        <w:rPr>
          <w:rFonts w:ascii="Arial Narrow" w:eastAsia="Calibri" w:hAnsi="Arial Narrow" w:cs="Calibri"/>
          <w:color w:val="000000" w:themeColor="text1"/>
          <w:sz w:val="22"/>
          <w:szCs w:val="22"/>
          <w:lang w:val="en-GB"/>
        </w:rPr>
        <w:t xml:space="preserve"> 0,240 </w:t>
      </w:r>
      <w:proofErr w:type="spellStart"/>
      <w:r w:rsidRPr="002361B0">
        <w:rPr>
          <w:rFonts w:ascii="Arial Narrow" w:eastAsia="Calibri" w:hAnsi="Arial Narrow" w:cs="Calibri"/>
          <w:color w:val="000000" w:themeColor="text1"/>
          <w:sz w:val="22"/>
          <w:szCs w:val="22"/>
          <w:lang w:val="en-GB"/>
        </w:rPr>
        <w:t>tonë</w:t>
      </w:r>
      <w:proofErr w:type="spellEnd"/>
      <w:r w:rsidRPr="002361B0">
        <w:rPr>
          <w:rFonts w:ascii="Arial Narrow" w:eastAsia="Calibri" w:hAnsi="Arial Narrow" w:cs="Calibri"/>
          <w:color w:val="000000" w:themeColor="text1"/>
          <w:sz w:val="22"/>
          <w:szCs w:val="22"/>
          <w:lang w:val="en-GB"/>
        </w:rPr>
        <w:t>/</w:t>
      </w:r>
      <w:r w:rsidRPr="002361B0">
        <w:rPr>
          <w:rFonts w:ascii="Arial Narrow" w:hAnsi="Arial Narrow" w:cs="Calibri"/>
          <w:sz w:val="22"/>
          <w:szCs w:val="22"/>
          <w:lang w:val="sq-AL" w:eastAsia="bg-BG"/>
        </w:rPr>
        <w:t>m³</w:t>
      </w:r>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për</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mbet</w:t>
      </w:r>
      <w:r w:rsidR="0030347F">
        <w:rPr>
          <w:rFonts w:ascii="Arial Narrow" w:eastAsia="Calibri" w:hAnsi="Arial Narrow" w:cs="Calibri"/>
          <w:color w:val="000000" w:themeColor="text1"/>
          <w:sz w:val="22"/>
          <w:szCs w:val="22"/>
          <w:lang w:val="en-GB"/>
        </w:rPr>
        <w:t>urinat</w:t>
      </w:r>
      <w:proofErr w:type="spellEnd"/>
      <w:r w:rsidR="0030347F">
        <w:rPr>
          <w:rFonts w:ascii="Arial Narrow" w:eastAsia="Calibri" w:hAnsi="Arial Narrow" w:cs="Calibri"/>
          <w:color w:val="000000" w:themeColor="text1"/>
          <w:sz w:val="22"/>
          <w:szCs w:val="22"/>
          <w:lang w:val="en-GB"/>
        </w:rPr>
        <w:t xml:space="preserve"> </w:t>
      </w:r>
      <w:r w:rsidRPr="002361B0">
        <w:rPr>
          <w:rFonts w:ascii="Arial Narrow" w:eastAsia="Calibri" w:hAnsi="Arial Narrow" w:cs="Calibri"/>
          <w:color w:val="000000" w:themeColor="text1"/>
          <w:sz w:val="22"/>
          <w:szCs w:val="22"/>
          <w:lang w:val="en-GB"/>
        </w:rPr>
        <w:t>(</w:t>
      </w:r>
      <w:proofErr w:type="spellStart"/>
      <w:r w:rsidRPr="002361B0">
        <w:rPr>
          <w:rFonts w:ascii="Arial Narrow" w:eastAsia="Calibri" w:hAnsi="Arial Narrow" w:cs="Calibri"/>
          <w:color w:val="000000" w:themeColor="text1"/>
          <w:sz w:val="22"/>
          <w:szCs w:val="22"/>
          <w:lang w:val="en-GB"/>
        </w:rPr>
        <w:t>papastërtitë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që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gjenden</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në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mbeturinat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grumbulluara</w:t>
      </w:r>
      <w:proofErr w:type="spellEnd"/>
      <w:r w:rsidRPr="002361B0">
        <w:rPr>
          <w:rFonts w:ascii="Arial Narrow" w:eastAsia="Calibri" w:hAnsi="Arial Narrow" w:cs="Calibri"/>
          <w:color w:val="000000" w:themeColor="text1"/>
          <w:sz w:val="22"/>
          <w:szCs w:val="22"/>
          <w:lang w:val="en-GB"/>
        </w:rPr>
        <w:t xml:space="preserve"> </w:t>
      </w:r>
      <w:proofErr w:type="spellStart"/>
      <w:proofErr w:type="gramStart"/>
      <w:r w:rsidRPr="002361B0">
        <w:rPr>
          <w:rFonts w:ascii="Arial Narrow" w:eastAsia="Calibri" w:hAnsi="Arial Narrow" w:cs="Calibri"/>
          <w:color w:val="000000" w:themeColor="text1"/>
          <w:sz w:val="22"/>
          <w:szCs w:val="22"/>
          <w:lang w:val="en-GB"/>
        </w:rPr>
        <w:t>ndaras</w:t>
      </w:r>
      <w:proofErr w:type="spellEnd"/>
      <w:r w:rsidRPr="002361B0">
        <w:rPr>
          <w:rFonts w:ascii="Arial Narrow" w:eastAsia="Calibri" w:hAnsi="Arial Narrow" w:cs="Calibri"/>
          <w:color w:val="000000" w:themeColor="text1"/>
          <w:sz w:val="22"/>
          <w:szCs w:val="22"/>
          <w:lang w:val="en-GB"/>
        </w:rPr>
        <w:t>;</w:t>
      </w:r>
      <w:proofErr w:type="gramEnd"/>
    </w:p>
    <w:p w14:paraId="1D0D5758" w14:textId="701B5629" w:rsidR="002361B0" w:rsidRPr="002361B0" w:rsidRDefault="002361B0" w:rsidP="002361B0">
      <w:pPr>
        <w:numPr>
          <w:ilvl w:val="0"/>
          <w:numId w:val="25"/>
        </w:numPr>
        <w:jc w:val="both"/>
        <w:rPr>
          <w:rFonts w:ascii="Arial Narrow" w:eastAsia="Calibri" w:hAnsi="Arial Narrow" w:cs="Calibri"/>
          <w:color w:val="000000" w:themeColor="text1"/>
          <w:sz w:val="22"/>
          <w:szCs w:val="22"/>
          <w:lang w:val="en-GB"/>
        </w:rPr>
      </w:pPr>
      <w:proofErr w:type="spellStart"/>
      <w:r w:rsidRPr="002361B0">
        <w:rPr>
          <w:rFonts w:ascii="Arial Narrow" w:eastAsia="Calibri" w:hAnsi="Arial Narrow" w:cs="Calibri"/>
          <w:color w:val="000000" w:themeColor="text1"/>
          <w:sz w:val="22"/>
          <w:szCs w:val="22"/>
          <w:lang w:val="en-GB"/>
        </w:rPr>
        <w:t>Papastërtitë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mbet</w:t>
      </w:r>
      <w:r w:rsidR="0030347F">
        <w:rPr>
          <w:rFonts w:ascii="Arial Narrow" w:eastAsia="Calibri" w:hAnsi="Arial Narrow" w:cs="Calibri"/>
          <w:color w:val="000000" w:themeColor="text1"/>
          <w:sz w:val="22"/>
          <w:szCs w:val="22"/>
          <w:lang w:val="en-GB"/>
        </w:rPr>
        <w:t>urinat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në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kontejnerët</w:t>
      </w:r>
      <w:proofErr w:type="spellEnd"/>
      <w:r w:rsidRPr="002361B0">
        <w:rPr>
          <w:rFonts w:ascii="Arial Narrow" w:eastAsia="Calibri" w:hAnsi="Arial Narrow" w:cs="Calibri"/>
          <w:color w:val="000000" w:themeColor="text1"/>
          <w:sz w:val="22"/>
          <w:szCs w:val="22"/>
          <w:lang w:val="en-GB"/>
        </w:rPr>
        <w:t xml:space="preserve"> e </w:t>
      </w:r>
      <w:proofErr w:type="spellStart"/>
      <w:r w:rsidRPr="002361B0">
        <w:rPr>
          <w:rFonts w:ascii="Arial Narrow" w:eastAsia="Calibri" w:hAnsi="Arial Narrow" w:cs="Calibri"/>
          <w:color w:val="000000" w:themeColor="text1"/>
          <w:sz w:val="22"/>
          <w:szCs w:val="22"/>
          <w:lang w:val="en-GB"/>
        </w:rPr>
        <w:t>grumbullimit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ndaras</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supozohet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jenë</w:t>
      </w:r>
      <w:proofErr w:type="spellEnd"/>
      <w:r w:rsidRPr="002361B0">
        <w:rPr>
          <w:rFonts w:ascii="Arial Narrow" w:eastAsia="Calibri" w:hAnsi="Arial Narrow" w:cs="Calibri"/>
          <w:color w:val="000000" w:themeColor="text1"/>
          <w:sz w:val="22"/>
          <w:szCs w:val="22"/>
          <w:lang w:val="en-GB"/>
        </w:rPr>
        <w:t xml:space="preserve"> 15% e </w:t>
      </w:r>
      <w:proofErr w:type="spellStart"/>
      <w:r w:rsidRPr="002361B0">
        <w:rPr>
          <w:rFonts w:ascii="Arial Narrow" w:eastAsia="Calibri" w:hAnsi="Arial Narrow" w:cs="Calibri"/>
          <w:color w:val="000000" w:themeColor="text1"/>
          <w:sz w:val="22"/>
          <w:szCs w:val="22"/>
          <w:lang w:val="en-GB"/>
        </w:rPr>
        <w:t>materialeve</w:t>
      </w:r>
      <w:proofErr w:type="spellEnd"/>
      <w:r w:rsidRPr="002361B0">
        <w:rPr>
          <w:rFonts w:ascii="Arial Narrow" w:eastAsia="Calibri" w:hAnsi="Arial Narrow" w:cs="Calibri"/>
          <w:color w:val="000000" w:themeColor="text1"/>
          <w:sz w:val="22"/>
          <w:szCs w:val="22"/>
          <w:lang w:val="en-GB"/>
        </w:rPr>
        <w:t xml:space="preserve"> me </w:t>
      </w:r>
      <w:proofErr w:type="spellStart"/>
      <w:r w:rsidRPr="002361B0">
        <w:rPr>
          <w:rFonts w:ascii="Arial Narrow" w:eastAsia="Calibri" w:hAnsi="Arial Narrow" w:cs="Calibri"/>
          <w:color w:val="000000" w:themeColor="text1"/>
          <w:sz w:val="22"/>
          <w:szCs w:val="22"/>
          <w:lang w:val="en-GB"/>
        </w:rPr>
        <w:t>vlerë</w:t>
      </w:r>
      <w:proofErr w:type="spellEnd"/>
      <w:r w:rsidRPr="002361B0">
        <w:rPr>
          <w:rFonts w:ascii="Arial Narrow" w:eastAsia="Calibri" w:hAnsi="Arial Narrow" w:cs="Calibri"/>
          <w:color w:val="000000" w:themeColor="text1"/>
          <w:sz w:val="22"/>
          <w:szCs w:val="22"/>
          <w:lang w:val="en-GB"/>
        </w:rPr>
        <w:t>.</w:t>
      </w:r>
    </w:p>
    <w:p w14:paraId="23DC802B" w14:textId="77777777" w:rsidR="002361B0" w:rsidRPr="002361B0" w:rsidRDefault="002361B0" w:rsidP="002361B0">
      <w:pPr>
        <w:numPr>
          <w:ilvl w:val="0"/>
          <w:numId w:val="25"/>
        </w:numPr>
        <w:jc w:val="both"/>
        <w:rPr>
          <w:rFonts w:ascii="Arial Narrow" w:eastAsia="Calibri" w:hAnsi="Arial Narrow" w:cs="Calibri"/>
          <w:color w:val="000000" w:themeColor="text1"/>
          <w:sz w:val="22"/>
          <w:szCs w:val="22"/>
          <w:lang w:val="en-GB"/>
        </w:rPr>
      </w:pPr>
      <w:proofErr w:type="spellStart"/>
      <w:r w:rsidRPr="002361B0">
        <w:rPr>
          <w:rFonts w:ascii="Arial Narrow" w:eastAsia="Calibri" w:hAnsi="Arial Narrow" w:cs="Calibri"/>
          <w:color w:val="000000" w:themeColor="text1"/>
          <w:sz w:val="22"/>
          <w:szCs w:val="22"/>
          <w:lang w:val="en-GB"/>
        </w:rPr>
        <w:t>Mbushja</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mesatare</w:t>
      </w:r>
      <w:proofErr w:type="spellEnd"/>
      <w:r w:rsidRPr="002361B0">
        <w:rPr>
          <w:rFonts w:ascii="Arial Narrow" w:eastAsia="Calibri" w:hAnsi="Arial Narrow" w:cs="Calibri"/>
          <w:color w:val="000000" w:themeColor="text1"/>
          <w:sz w:val="22"/>
          <w:szCs w:val="22"/>
          <w:lang w:val="en-GB"/>
        </w:rPr>
        <w:t xml:space="preserve"> e </w:t>
      </w:r>
      <w:proofErr w:type="spellStart"/>
      <w:r w:rsidRPr="002361B0">
        <w:rPr>
          <w:rFonts w:ascii="Arial Narrow" w:eastAsia="Calibri" w:hAnsi="Arial Narrow" w:cs="Calibri"/>
          <w:color w:val="000000" w:themeColor="text1"/>
          <w:sz w:val="22"/>
          <w:szCs w:val="22"/>
          <w:lang w:val="en-GB"/>
        </w:rPr>
        <w:t>kontejnerit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supozohet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jetë</w:t>
      </w:r>
      <w:proofErr w:type="spellEnd"/>
      <w:r w:rsidRPr="002361B0">
        <w:rPr>
          <w:rFonts w:ascii="Arial Narrow" w:eastAsia="Calibri" w:hAnsi="Arial Narrow" w:cs="Calibri"/>
          <w:color w:val="000000" w:themeColor="text1"/>
          <w:sz w:val="22"/>
          <w:szCs w:val="22"/>
          <w:lang w:val="en-GB"/>
        </w:rPr>
        <w:t xml:space="preserve"> </w:t>
      </w:r>
      <w:proofErr w:type="gramStart"/>
      <w:r w:rsidRPr="002361B0">
        <w:rPr>
          <w:rFonts w:ascii="Arial Narrow" w:eastAsia="Calibri" w:hAnsi="Arial Narrow" w:cs="Calibri"/>
          <w:color w:val="000000" w:themeColor="text1"/>
          <w:sz w:val="22"/>
          <w:szCs w:val="22"/>
          <w:lang w:val="en-GB"/>
        </w:rPr>
        <w:t>80%;</w:t>
      </w:r>
      <w:proofErr w:type="gramEnd"/>
    </w:p>
    <w:p w14:paraId="5D2DCA1C" w14:textId="77777777" w:rsidR="002361B0" w:rsidRPr="002361B0" w:rsidRDefault="002361B0" w:rsidP="002361B0">
      <w:pPr>
        <w:numPr>
          <w:ilvl w:val="0"/>
          <w:numId w:val="25"/>
        </w:numPr>
        <w:jc w:val="both"/>
        <w:rPr>
          <w:rFonts w:ascii="Arial Narrow" w:eastAsia="Calibri" w:hAnsi="Arial Narrow" w:cs="Calibri"/>
          <w:color w:val="000000" w:themeColor="text1"/>
          <w:sz w:val="22"/>
          <w:szCs w:val="22"/>
          <w:lang w:val="en-GB"/>
        </w:rPr>
      </w:pPr>
      <w:proofErr w:type="spellStart"/>
      <w:r w:rsidRPr="002361B0">
        <w:rPr>
          <w:rFonts w:ascii="Arial Narrow" w:eastAsia="Calibri" w:hAnsi="Arial Narrow" w:cs="Calibri"/>
          <w:color w:val="000000" w:themeColor="text1"/>
          <w:sz w:val="22"/>
          <w:szCs w:val="22"/>
          <w:lang w:val="en-GB"/>
        </w:rPr>
        <w:t>Numri</w:t>
      </w:r>
      <w:proofErr w:type="spellEnd"/>
      <w:r w:rsidRPr="002361B0">
        <w:rPr>
          <w:rFonts w:ascii="Arial Narrow" w:eastAsia="Calibri" w:hAnsi="Arial Narrow" w:cs="Calibri"/>
          <w:color w:val="000000" w:themeColor="text1"/>
          <w:sz w:val="22"/>
          <w:szCs w:val="22"/>
          <w:lang w:val="en-GB"/>
        </w:rPr>
        <w:t xml:space="preserve"> i </w:t>
      </w:r>
      <w:proofErr w:type="spellStart"/>
      <w:r w:rsidRPr="002361B0">
        <w:rPr>
          <w:rFonts w:ascii="Arial Narrow" w:eastAsia="Calibri" w:hAnsi="Arial Narrow" w:cs="Calibri"/>
          <w:color w:val="000000" w:themeColor="text1"/>
          <w:sz w:val="22"/>
          <w:szCs w:val="22"/>
          <w:lang w:val="en-GB"/>
        </w:rPr>
        <w:t>kontejnerëve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është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llogaritur</w:t>
      </w:r>
      <w:proofErr w:type="spellEnd"/>
      <w:r w:rsidRPr="002361B0">
        <w:rPr>
          <w:rFonts w:ascii="Arial Narrow" w:eastAsia="Calibri" w:hAnsi="Arial Narrow" w:cs="Calibri"/>
          <w:color w:val="000000" w:themeColor="text1"/>
          <w:sz w:val="22"/>
          <w:szCs w:val="22"/>
          <w:lang w:val="en-GB"/>
        </w:rPr>
        <w:t xml:space="preserve"> duke </w:t>
      </w:r>
      <w:proofErr w:type="spellStart"/>
      <w:r w:rsidRPr="002361B0">
        <w:rPr>
          <w:rFonts w:ascii="Arial Narrow" w:eastAsia="Calibri" w:hAnsi="Arial Narrow" w:cs="Calibri"/>
          <w:color w:val="000000" w:themeColor="text1"/>
          <w:sz w:val="22"/>
          <w:szCs w:val="22"/>
          <w:lang w:val="en-GB"/>
        </w:rPr>
        <w:t>supozuar</w:t>
      </w:r>
      <w:proofErr w:type="spellEnd"/>
      <w:r w:rsidRPr="002361B0">
        <w:rPr>
          <w:rFonts w:ascii="Arial Narrow" w:eastAsia="Calibri" w:hAnsi="Arial Narrow" w:cs="Calibri"/>
          <w:color w:val="000000" w:themeColor="text1"/>
          <w:sz w:val="22"/>
          <w:szCs w:val="22"/>
          <w:lang w:val="en-GB"/>
        </w:rPr>
        <w:t xml:space="preserve"> 5% </w:t>
      </w:r>
      <w:proofErr w:type="spellStart"/>
      <w:proofErr w:type="gramStart"/>
      <w:r w:rsidRPr="002361B0">
        <w:rPr>
          <w:rFonts w:ascii="Arial Narrow" w:eastAsia="Calibri" w:hAnsi="Arial Narrow" w:cs="Calibri"/>
          <w:color w:val="000000" w:themeColor="text1"/>
          <w:sz w:val="22"/>
          <w:szCs w:val="22"/>
          <w:lang w:val="en-GB"/>
        </w:rPr>
        <w:t>rezervë</w:t>
      </w:r>
      <w:proofErr w:type="spellEnd"/>
      <w:r w:rsidRPr="002361B0">
        <w:rPr>
          <w:rFonts w:ascii="Arial Narrow" w:eastAsia="Calibri" w:hAnsi="Arial Narrow" w:cs="Calibri"/>
          <w:color w:val="000000" w:themeColor="text1"/>
          <w:sz w:val="22"/>
          <w:szCs w:val="22"/>
          <w:lang w:val="en-GB"/>
        </w:rPr>
        <w:t>;</w:t>
      </w:r>
      <w:proofErr w:type="gramEnd"/>
    </w:p>
    <w:p w14:paraId="40AF81DE" w14:textId="2CD5E576" w:rsidR="002361B0" w:rsidRPr="002361B0" w:rsidRDefault="002361B0" w:rsidP="002361B0">
      <w:pPr>
        <w:numPr>
          <w:ilvl w:val="0"/>
          <w:numId w:val="25"/>
        </w:numPr>
        <w:jc w:val="both"/>
        <w:rPr>
          <w:rFonts w:ascii="Arial Narrow" w:eastAsia="Calibri" w:hAnsi="Arial Narrow" w:cs="Calibri"/>
          <w:color w:val="000000" w:themeColor="text1"/>
          <w:sz w:val="22"/>
          <w:szCs w:val="22"/>
          <w:lang w:val="en-GB"/>
        </w:rPr>
      </w:pPr>
      <w:r w:rsidRPr="002361B0">
        <w:rPr>
          <w:rFonts w:ascii="Arial Narrow" w:eastAsia="Calibri" w:hAnsi="Arial Narrow" w:cs="Calibri"/>
          <w:color w:val="000000" w:themeColor="text1"/>
          <w:sz w:val="22"/>
          <w:szCs w:val="22"/>
          <w:lang w:val="en-GB"/>
        </w:rPr>
        <w:t xml:space="preserve">Koha </w:t>
      </w:r>
      <w:proofErr w:type="spellStart"/>
      <w:r w:rsidRPr="002361B0">
        <w:rPr>
          <w:rFonts w:ascii="Arial Narrow" w:eastAsia="Calibri" w:hAnsi="Arial Narrow" w:cs="Calibri"/>
          <w:color w:val="000000" w:themeColor="text1"/>
          <w:sz w:val="22"/>
          <w:szCs w:val="22"/>
          <w:lang w:val="en-GB"/>
        </w:rPr>
        <w:t>për</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shkarkimit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një</w:t>
      </w:r>
      <w:proofErr w:type="spellEnd"/>
      <w:r w:rsidRPr="002361B0">
        <w:rPr>
          <w:rFonts w:ascii="Arial Narrow" w:eastAsia="Calibri" w:hAnsi="Arial Narrow" w:cs="Calibri"/>
          <w:color w:val="000000" w:themeColor="text1"/>
          <w:sz w:val="22"/>
          <w:szCs w:val="22"/>
          <w:lang w:val="en-GB"/>
        </w:rPr>
        <w:t xml:space="preserve"> </w:t>
      </w:r>
      <w:proofErr w:type="spellStart"/>
      <w:r w:rsidR="00FC2BA4">
        <w:rPr>
          <w:rFonts w:ascii="Arial Narrow" w:eastAsia="Calibri" w:hAnsi="Arial Narrow" w:cs="Calibri"/>
          <w:color w:val="000000" w:themeColor="text1"/>
          <w:sz w:val="22"/>
          <w:szCs w:val="22"/>
          <w:lang w:val="en-GB"/>
        </w:rPr>
        <w:t>shporte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prej</w:t>
      </w:r>
      <w:proofErr w:type="spellEnd"/>
      <w:r w:rsidRPr="002361B0">
        <w:rPr>
          <w:rFonts w:ascii="Arial Narrow" w:eastAsia="Calibri" w:hAnsi="Arial Narrow" w:cs="Calibri"/>
          <w:color w:val="000000" w:themeColor="text1"/>
          <w:sz w:val="22"/>
          <w:szCs w:val="22"/>
          <w:lang w:val="en-GB"/>
        </w:rPr>
        <w:t xml:space="preserve"> 240 l </w:t>
      </w:r>
      <w:proofErr w:type="spellStart"/>
      <w:r w:rsidRPr="002361B0">
        <w:rPr>
          <w:rFonts w:ascii="Arial Narrow" w:eastAsia="Calibri" w:hAnsi="Arial Narrow" w:cs="Calibri"/>
          <w:color w:val="000000" w:themeColor="text1"/>
          <w:sz w:val="22"/>
          <w:szCs w:val="22"/>
          <w:lang w:val="en-GB"/>
        </w:rPr>
        <w:t>supozohet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jetë</w:t>
      </w:r>
      <w:proofErr w:type="spellEnd"/>
      <w:r w:rsidRPr="002361B0">
        <w:rPr>
          <w:rFonts w:ascii="Arial Narrow" w:eastAsia="Calibri" w:hAnsi="Arial Narrow" w:cs="Calibri"/>
          <w:color w:val="000000" w:themeColor="text1"/>
          <w:sz w:val="22"/>
          <w:szCs w:val="22"/>
          <w:lang w:val="en-GB"/>
        </w:rPr>
        <w:t xml:space="preserve"> 40 </w:t>
      </w:r>
      <w:proofErr w:type="spellStart"/>
      <w:r w:rsidRPr="002361B0">
        <w:rPr>
          <w:rFonts w:ascii="Arial Narrow" w:eastAsia="Calibri" w:hAnsi="Arial Narrow" w:cs="Calibri"/>
          <w:color w:val="000000" w:themeColor="text1"/>
          <w:sz w:val="22"/>
          <w:szCs w:val="22"/>
          <w:lang w:val="en-GB"/>
        </w:rPr>
        <w:t>sekonda</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ndërsa</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koha</w:t>
      </w:r>
      <w:proofErr w:type="spellEnd"/>
      <w:r w:rsidRPr="002361B0">
        <w:rPr>
          <w:rFonts w:ascii="Arial Narrow" w:eastAsia="Calibri" w:hAnsi="Arial Narrow" w:cs="Calibri"/>
          <w:color w:val="000000" w:themeColor="text1"/>
          <w:sz w:val="22"/>
          <w:szCs w:val="22"/>
          <w:lang w:val="en-GB"/>
        </w:rPr>
        <w:t xml:space="preserve"> e </w:t>
      </w:r>
      <w:proofErr w:type="spellStart"/>
      <w:r w:rsidRPr="002361B0">
        <w:rPr>
          <w:rFonts w:ascii="Arial Narrow" w:eastAsia="Calibri" w:hAnsi="Arial Narrow" w:cs="Calibri"/>
          <w:color w:val="000000" w:themeColor="text1"/>
          <w:sz w:val="22"/>
          <w:szCs w:val="22"/>
          <w:lang w:val="en-GB"/>
        </w:rPr>
        <w:t>ngritjes</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së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kontejnerët</w:t>
      </w:r>
      <w:proofErr w:type="spellEnd"/>
      <w:r w:rsidRPr="002361B0">
        <w:rPr>
          <w:rFonts w:ascii="Arial Narrow" w:eastAsia="Calibri" w:hAnsi="Arial Narrow" w:cs="Calibri"/>
          <w:color w:val="000000" w:themeColor="text1"/>
          <w:sz w:val="22"/>
          <w:szCs w:val="22"/>
          <w:lang w:val="en-GB"/>
        </w:rPr>
        <w:t xml:space="preserve"> 1.5 </w:t>
      </w:r>
      <w:bookmarkStart w:id="579" w:name="_Hlk193896500"/>
      <w:r w:rsidRPr="002361B0">
        <w:rPr>
          <w:rFonts w:ascii="Arial Narrow" w:hAnsi="Arial Narrow" w:cs="Calibri"/>
          <w:sz w:val="22"/>
          <w:szCs w:val="22"/>
          <w:lang w:val="sq-AL" w:eastAsia="bg-BG"/>
        </w:rPr>
        <w:t>m³</w:t>
      </w:r>
      <w:bookmarkEnd w:id="579"/>
      <w:r w:rsidRPr="002361B0">
        <w:rPr>
          <w:rFonts w:ascii="Arial Narrow" w:hAnsi="Arial Narrow" w:cs="Calibri"/>
          <w:sz w:val="22"/>
          <w:szCs w:val="22"/>
          <w:lang w:val="sq-AL" w:eastAsia="bg-BG"/>
        </w:rPr>
        <w:t>,</w:t>
      </w:r>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për</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qelq</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pranohet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mesatarisht</w:t>
      </w:r>
      <w:proofErr w:type="spellEnd"/>
      <w:r w:rsidRPr="002361B0">
        <w:rPr>
          <w:rFonts w:ascii="Arial Narrow" w:eastAsia="Calibri" w:hAnsi="Arial Narrow" w:cs="Calibri"/>
          <w:color w:val="000000" w:themeColor="text1"/>
          <w:sz w:val="22"/>
          <w:szCs w:val="22"/>
          <w:lang w:val="en-GB"/>
        </w:rPr>
        <w:t xml:space="preserve"> 4 </w:t>
      </w:r>
      <w:proofErr w:type="spellStart"/>
      <w:r w:rsidRPr="002361B0">
        <w:rPr>
          <w:rFonts w:ascii="Arial Narrow" w:eastAsia="Calibri" w:hAnsi="Arial Narrow" w:cs="Calibri"/>
          <w:color w:val="000000" w:themeColor="text1"/>
          <w:sz w:val="22"/>
          <w:szCs w:val="22"/>
          <w:lang w:val="en-GB"/>
        </w:rPr>
        <w:t>minuta</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përfshirë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kohën</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për</w:t>
      </w:r>
      <w:proofErr w:type="spellEnd"/>
      <w:r w:rsidRPr="002361B0">
        <w:rPr>
          <w:rFonts w:ascii="Arial Narrow" w:eastAsia="Calibri" w:hAnsi="Arial Narrow" w:cs="Calibri"/>
          <w:color w:val="000000" w:themeColor="text1"/>
          <w:sz w:val="22"/>
          <w:szCs w:val="22"/>
          <w:lang w:val="en-GB"/>
        </w:rPr>
        <w:t xml:space="preserve"> </w:t>
      </w:r>
      <w:proofErr w:type="spellStart"/>
      <w:proofErr w:type="gramStart"/>
      <w:r w:rsidRPr="002361B0">
        <w:rPr>
          <w:rFonts w:ascii="Arial Narrow" w:eastAsia="Calibri" w:hAnsi="Arial Narrow" w:cs="Calibri"/>
          <w:color w:val="000000" w:themeColor="text1"/>
          <w:sz w:val="22"/>
          <w:szCs w:val="22"/>
          <w:lang w:val="en-GB"/>
        </w:rPr>
        <w:t>rrug;timin</w:t>
      </w:r>
      <w:proofErr w:type="spellEnd"/>
      <w:proofErr w:type="gram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deri</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tek</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kontejnerin</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tjetër</w:t>
      </w:r>
      <w:proofErr w:type="spellEnd"/>
      <w:r w:rsidRPr="002361B0">
        <w:rPr>
          <w:rFonts w:ascii="Arial Narrow" w:eastAsia="Calibri" w:hAnsi="Arial Narrow" w:cs="Calibri"/>
          <w:color w:val="000000" w:themeColor="text1"/>
          <w:sz w:val="22"/>
          <w:szCs w:val="22"/>
          <w:lang w:val="en-GB"/>
        </w:rPr>
        <w:t>).</w:t>
      </w:r>
    </w:p>
    <w:p w14:paraId="2815F87E" w14:textId="77777777" w:rsidR="002361B0" w:rsidRPr="002361B0" w:rsidRDefault="002361B0" w:rsidP="002361B0">
      <w:pPr>
        <w:numPr>
          <w:ilvl w:val="0"/>
          <w:numId w:val="25"/>
        </w:numPr>
        <w:jc w:val="both"/>
        <w:rPr>
          <w:rFonts w:ascii="Arial Narrow" w:eastAsia="Calibri" w:hAnsi="Arial Narrow" w:cs="Calibri"/>
          <w:color w:val="000000" w:themeColor="text1"/>
          <w:sz w:val="22"/>
          <w:szCs w:val="22"/>
          <w:lang w:val="en-GB"/>
        </w:rPr>
      </w:pPr>
      <w:proofErr w:type="spellStart"/>
      <w:r w:rsidRPr="002361B0">
        <w:rPr>
          <w:rFonts w:ascii="Arial Narrow" w:eastAsia="Calibri" w:hAnsi="Arial Narrow" w:cs="Calibri"/>
          <w:color w:val="000000" w:themeColor="text1"/>
          <w:sz w:val="22"/>
          <w:szCs w:val="22"/>
          <w:lang w:val="en-GB"/>
        </w:rPr>
        <w:t>Shpejtësia</w:t>
      </w:r>
      <w:proofErr w:type="spellEnd"/>
      <w:r w:rsidRPr="002361B0">
        <w:rPr>
          <w:rFonts w:ascii="Arial Narrow" w:eastAsia="Calibri" w:hAnsi="Arial Narrow" w:cs="Calibri"/>
          <w:color w:val="000000" w:themeColor="text1"/>
          <w:sz w:val="22"/>
          <w:szCs w:val="22"/>
          <w:lang w:val="en-GB"/>
        </w:rPr>
        <w:t xml:space="preserve"> e </w:t>
      </w:r>
      <w:proofErr w:type="spellStart"/>
      <w:r w:rsidRPr="002361B0">
        <w:rPr>
          <w:rFonts w:ascii="Arial Narrow" w:eastAsia="Calibri" w:hAnsi="Arial Narrow" w:cs="Calibri"/>
          <w:color w:val="000000" w:themeColor="text1"/>
          <w:sz w:val="22"/>
          <w:szCs w:val="22"/>
          <w:lang w:val="en-GB"/>
        </w:rPr>
        <w:t>lëvizjes</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së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kamionëve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grumbullues</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deri</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në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objektin</w:t>
      </w:r>
      <w:proofErr w:type="spellEnd"/>
      <w:r w:rsidRPr="002361B0">
        <w:rPr>
          <w:rFonts w:ascii="Arial Narrow" w:eastAsia="Calibri" w:hAnsi="Arial Narrow" w:cs="Calibri"/>
          <w:color w:val="000000" w:themeColor="text1"/>
          <w:sz w:val="22"/>
          <w:szCs w:val="22"/>
          <w:lang w:val="en-GB"/>
        </w:rPr>
        <w:t xml:space="preserve"> e </w:t>
      </w:r>
      <w:proofErr w:type="spellStart"/>
      <w:r w:rsidRPr="002361B0">
        <w:rPr>
          <w:rFonts w:ascii="Arial Narrow" w:eastAsia="Calibri" w:hAnsi="Arial Narrow" w:cs="Calibri"/>
          <w:color w:val="000000" w:themeColor="text1"/>
          <w:sz w:val="22"/>
          <w:szCs w:val="22"/>
          <w:lang w:val="en-GB"/>
        </w:rPr>
        <w:t>klasifikimit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supozohet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jetë</w:t>
      </w:r>
      <w:proofErr w:type="spellEnd"/>
      <w:r w:rsidRPr="002361B0">
        <w:rPr>
          <w:rFonts w:ascii="Arial Narrow" w:eastAsia="Calibri" w:hAnsi="Arial Narrow" w:cs="Calibri"/>
          <w:color w:val="000000" w:themeColor="text1"/>
          <w:sz w:val="22"/>
          <w:szCs w:val="22"/>
          <w:lang w:val="en-GB"/>
        </w:rPr>
        <w:t xml:space="preserve"> 35 km/</w:t>
      </w:r>
      <w:proofErr w:type="spellStart"/>
      <w:proofErr w:type="gramStart"/>
      <w:r w:rsidRPr="002361B0">
        <w:rPr>
          <w:rFonts w:ascii="Arial Narrow" w:eastAsia="Calibri" w:hAnsi="Arial Narrow" w:cs="Calibri"/>
          <w:color w:val="000000" w:themeColor="text1"/>
          <w:sz w:val="22"/>
          <w:szCs w:val="22"/>
          <w:lang w:val="en-GB"/>
        </w:rPr>
        <w:t>orë</w:t>
      </w:r>
      <w:proofErr w:type="spellEnd"/>
      <w:r w:rsidRPr="002361B0">
        <w:rPr>
          <w:rFonts w:ascii="Arial Narrow" w:eastAsia="Calibri" w:hAnsi="Arial Narrow" w:cs="Calibri"/>
          <w:color w:val="000000" w:themeColor="text1"/>
          <w:sz w:val="22"/>
          <w:szCs w:val="22"/>
          <w:lang w:val="en-GB"/>
        </w:rPr>
        <w:t>;</w:t>
      </w:r>
      <w:proofErr w:type="gramEnd"/>
    </w:p>
    <w:p w14:paraId="6DEAC141" w14:textId="77777777" w:rsidR="002361B0" w:rsidRPr="002361B0" w:rsidRDefault="002361B0" w:rsidP="002361B0">
      <w:pPr>
        <w:numPr>
          <w:ilvl w:val="0"/>
          <w:numId w:val="25"/>
        </w:numPr>
        <w:jc w:val="both"/>
        <w:rPr>
          <w:rFonts w:ascii="Arial Narrow" w:eastAsia="Calibri" w:hAnsi="Arial Narrow" w:cs="Calibri"/>
          <w:color w:val="000000" w:themeColor="text1"/>
          <w:sz w:val="22"/>
          <w:szCs w:val="22"/>
          <w:lang w:val="en-GB"/>
        </w:rPr>
      </w:pPr>
      <w:proofErr w:type="spellStart"/>
      <w:r w:rsidRPr="002361B0">
        <w:rPr>
          <w:rFonts w:ascii="Arial Narrow" w:eastAsia="Calibri" w:hAnsi="Arial Narrow" w:cs="Calibri"/>
          <w:color w:val="000000" w:themeColor="text1"/>
          <w:sz w:val="22"/>
          <w:szCs w:val="22"/>
          <w:lang w:val="en-GB"/>
        </w:rPr>
        <w:t>Frekuenca</w:t>
      </w:r>
      <w:proofErr w:type="spellEnd"/>
      <w:r w:rsidRPr="002361B0">
        <w:rPr>
          <w:rFonts w:ascii="Arial Narrow" w:eastAsia="Calibri" w:hAnsi="Arial Narrow" w:cs="Calibri"/>
          <w:color w:val="000000" w:themeColor="text1"/>
          <w:sz w:val="22"/>
          <w:szCs w:val="22"/>
          <w:lang w:val="en-GB"/>
        </w:rPr>
        <w:t xml:space="preserve"> e </w:t>
      </w:r>
      <w:proofErr w:type="spellStart"/>
      <w:r w:rsidRPr="002361B0">
        <w:rPr>
          <w:rFonts w:ascii="Arial Narrow" w:eastAsia="Calibri" w:hAnsi="Arial Narrow" w:cs="Calibri"/>
          <w:color w:val="000000" w:themeColor="text1"/>
          <w:sz w:val="22"/>
          <w:szCs w:val="22"/>
          <w:lang w:val="en-GB"/>
        </w:rPr>
        <w:t>grumbullimit</w:t>
      </w:r>
      <w:proofErr w:type="spellEnd"/>
      <w:r w:rsidRPr="002361B0">
        <w:rPr>
          <w:rFonts w:ascii="Arial Narrow" w:eastAsia="Calibri" w:hAnsi="Arial Narrow" w:cs="Calibri"/>
          <w:color w:val="000000" w:themeColor="text1"/>
          <w:sz w:val="22"/>
          <w:szCs w:val="22"/>
          <w:lang w:val="en-GB"/>
        </w:rPr>
        <w:t xml:space="preserve"> do </w:t>
      </w:r>
      <w:proofErr w:type="spellStart"/>
      <w:r w:rsidRPr="002361B0">
        <w:rPr>
          <w:rFonts w:ascii="Arial Narrow" w:eastAsia="Calibri" w:hAnsi="Arial Narrow" w:cs="Calibri"/>
          <w:color w:val="000000" w:themeColor="text1"/>
          <w:sz w:val="22"/>
          <w:szCs w:val="22"/>
          <w:lang w:val="en-GB"/>
        </w:rPr>
        <w:t>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jetë</w:t>
      </w:r>
      <w:proofErr w:type="spellEnd"/>
      <w:r w:rsidRPr="002361B0">
        <w:rPr>
          <w:rFonts w:ascii="Arial Narrow" w:eastAsia="Calibri" w:hAnsi="Arial Narrow" w:cs="Calibri"/>
          <w:color w:val="000000" w:themeColor="text1"/>
          <w:sz w:val="22"/>
          <w:szCs w:val="22"/>
          <w:lang w:val="en-GB"/>
        </w:rPr>
        <w:t xml:space="preserve"> 52 </w:t>
      </w:r>
      <w:proofErr w:type="spellStart"/>
      <w:r w:rsidRPr="002361B0">
        <w:rPr>
          <w:rFonts w:ascii="Arial Narrow" w:eastAsia="Calibri" w:hAnsi="Arial Narrow" w:cs="Calibri"/>
          <w:color w:val="000000" w:themeColor="text1"/>
          <w:sz w:val="22"/>
          <w:szCs w:val="22"/>
          <w:lang w:val="en-GB"/>
        </w:rPr>
        <w:t>herë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në</w:t>
      </w:r>
      <w:proofErr w:type="spellEnd"/>
      <w:r w:rsidRPr="002361B0">
        <w:rPr>
          <w:rFonts w:ascii="Arial Narrow" w:eastAsia="Calibri" w:hAnsi="Arial Narrow" w:cs="Calibri"/>
          <w:color w:val="000000" w:themeColor="text1"/>
          <w:sz w:val="22"/>
          <w:szCs w:val="22"/>
          <w:lang w:val="en-GB"/>
        </w:rPr>
        <w:t xml:space="preserve"> vit </w:t>
      </w:r>
      <w:proofErr w:type="spellStart"/>
      <w:r w:rsidRPr="002361B0">
        <w:rPr>
          <w:rFonts w:ascii="Arial Narrow" w:eastAsia="Calibri" w:hAnsi="Arial Narrow" w:cs="Calibri"/>
          <w:color w:val="000000" w:themeColor="text1"/>
          <w:sz w:val="22"/>
          <w:szCs w:val="22"/>
          <w:lang w:val="en-GB"/>
        </w:rPr>
        <w:t>për</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kontejnerët</w:t>
      </w:r>
      <w:proofErr w:type="spellEnd"/>
      <w:r w:rsidRPr="002361B0">
        <w:rPr>
          <w:rFonts w:ascii="Arial Narrow" w:eastAsia="Calibri" w:hAnsi="Arial Narrow" w:cs="Calibri"/>
          <w:color w:val="000000" w:themeColor="text1"/>
          <w:sz w:val="22"/>
          <w:szCs w:val="22"/>
          <w:lang w:val="en-GB"/>
        </w:rPr>
        <w:t xml:space="preserve"> e </w:t>
      </w:r>
      <w:proofErr w:type="spellStart"/>
      <w:r w:rsidRPr="002361B0">
        <w:rPr>
          <w:rFonts w:ascii="Arial Narrow" w:eastAsia="Calibri" w:hAnsi="Arial Narrow" w:cs="Calibri"/>
          <w:color w:val="000000" w:themeColor="text1"/>
          <w:sz w:val="22"/>
          <w:szCs w:val="22"/>
          <w:lang w:val="en-GB"/>
        </w:rPr>
        <w:t>letrës</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kartonit</w:t>
      </w:r>
      <w:proofErr w:type="spellEnd"/>
      <w:r w:rsidRPr="002361B0">
        <w:rPr>
          <w:rFonts w:ascii="Arial Narrow" w:eastAsia="Calibri" w:hAnsi="Arial Narrow" w:cs="Calibri"/>
          <w:color w:val="000000" w:themeColor="text1"/>
          <w:sz w:val="22"/>
          <w:szCs w:val="22"/>
          <w:lang w:val="en-GB"/>
        </w:rPr>
        <w:t xml:space="preserve"> e </w:t>
      </w:r>
      <w:proofErr w:type="spellStart"/>
      <w:r w:rsidRPr="002361B0">
        <w:rPr>
          <w:rFonts w:ascii="Arial Narrow" w:eastAsia="Calibri" w:hAnsi="Arial Narrow" w:cs="Calibri"/>
          <w:color w:val="000000" w:themeColor="text1"/>
          <w:sz w:val="22"/>
          <w:szCs w:val="22"/>
          <w:lang w:val="en-GB"/>
        </w:rPr>
        <w:t>plastikës</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ose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kontejnerët</w:t>
      </w:r>
      <w:proofErr w:type="spellEnd"/>
      <w:r w:rsidRPr="002361B0">
        <w:rPr>
          <w:rFonts w:ascii="Arial Narrow" w:eastAsia="Calibri" w:hAnsi="Arial Narrow" w:cs="Calibri"/>
          <w:color w:val="000000" w:themeColor="text1"/>
          <w:sz w:val="22"/>
          <w:szCs w:val="22"/>
          <w:lang w:val="en-GB"/>
        </w:rPr>
        <w:t xml:space="preserve"> e </w:t>
      </w:r>
      <w:proofErr w:type="spellStart"/>
      <w:r w:rsidRPr="002361B0">
        <w:rPr>
          <w:rFonts w:ascii="Arial Narrow" w:eastAsia="Calibri" w:hAnsi="Arial Narrow" w:cs="Calibri"/>
          <w:color w:val="000000" w:themeColor="text1"/>
          <w:sz w:val="22"/>
          <w:szCs w:val="22"/>
          <w:lang w:val="en-GB"/>
        </w:rPr>
        <w:t>thatë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dhe</w:t>
      </w:r>
      <w:proofErr w:type="spellEnd"/>
      <w:r w:rsidRPr="002361B0">
        <w:rPr>
          <w:rFonts w:ascii="Arial Narrow" w:eastAsia="Calibri" w:hAnsi="Arial Narrow" w:cs="Calibri"/>
          <w:color w:val="000000" w:themeColor="text1"/>
          <w:sz w:val="22"/>
          <w:szCs w:val="22"/>
          <w:lang w:val="en-GB"/>
        </w:rPr>
        <w:t xml:space="preserve"> 12 </w:t>
      </w:r>
      <w:proofErr w:type="spellStart"/>
      <w:r w:rsidRPr="002361B0">
        <w:rPr>
          <w:rFonts w:ascii="Arial Narrow" w:eastAsia="Calibri" w:hAnsi="Arial Narrow" w:cs="Calibri"/>
          <w:color w:val="000000" w:themeColor="text1"/>
          <w:sz w:val="22"/>
          <w:szCs w:val="22"/>
          <w:lang w:val="en-GB"/>
        </w:rPr>
        <w:t>herë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në</w:t>
      </w:r>
      <w:proofErr w:type="spellEnd"/>
      <w:r w:rsidRPr="002361B0">
        <w:rPr>
          <w:rFonts w:ascii="Arial Narrow" w:eastAsia="Calibri" w:hAnsi="Arial Narrow" w:cs="Calibri"/>
          <w:color w:val="000000" w:themeColor="text1"/>
          <w:sz w:val="22"/>
          <w:szCs w:val="22"/>
          <w:lang w:val="en-GB"/>
        </w:rPr>
        <w:t xml:space="preserve"> vit </w:t>
      </w:r>
      <w:proofErr w:type="spellStart"/>
      <w:r w:rsidRPr="002361B0">
        <w:rPr>
          <w:rFonts w:ascii="Arial Narrow" w:eastAsia="Calibri" w:hAnsi="Arial Narrow" w:cs="Calibri"/>
          <w:color w:val="000000" w:themeColor="text1"/>
          <w:sz w:val="22"/>
          <w:szCs w:val="22"/>
          <w:lang w:val="en-GB"/>
        </w:rPr>
        <w:t>për</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kontejnerët</w:t>
      </w:r>
      <w:proofErr w:type="spellEnd"/>
      <w:r w:rsidRPr="002361B0">
        <w:rPr>
          <w:rFonts w:ascii="Arial Narrow" w:eastAsia="Calibri" w:hAnsi="Arial Narrow" w:cs="Calibri"/>
          <w:color w:val="000000" w:themeColor="text1"/>
          <w:sz w:val="22"/>
          <w:szCs w:val="22"/>
          <w:lang w:val="en-GB"/>
        </w:rPr>
        <w:t xml:space="preserve"> e </w:t>
      </w:r>
      <w:proofErr w:type="spellStart"/>
      <w:proofErr w:type="gramStart"/>
      <w:r w:rsidRPr="002361B0">
        <w:rPr>
          <w:rFonts w:ascii="Arial Narrow" w:eastAsia="Calibri" w:hAnsi="Arial Narrow" w:cs="Calibri"/>
          <w:color w:val="000000" w:themeColor="text1"/>
          <w:sz w:val="22"/>
          <w:szCs w:val="22"/>
          <w:lang w:val="en-GB"/>
        </w:rPr>
        <w:t>qelqit</w:t>
      </w:r>
      <w:proofErr w:type="spellEnd"/>
      <w:r w:rsidRPr="002361B0">
        <w:rPr>
          <w:rFonts w:ascii="Arial Narrow" w:eastAsia="Calibri" w:hAnsi="Arial Narrow" w:cs="Calibri"/>
          <w:color w:val="000000" w:themeColor="text1"/>
          <w:sz w:val="22"/>
          <w:szCs w:val="22"/>
          <w:lang w:val="en-GB"/>
        </w:rPr>
        <w:t>;</w:t>
      </w:r>
      <w:proofErr w:type="gramEnd"/>
    </w:p>
    <w:p w14:paraId="6204BF64" w14:textId="77777777" w:rsidR="002361B0" w:rsidRPr="002361B0" w:rsidRDefault="002361B0" w:rsidP="002361B0">
      <w:pPr>
        <w:numPr>
          <w:ilvl w:val="0"/>
          <w:numId w:val="25"/>
        </w:numPr>
        <w:jc w:val="both"/>
        <w:rPr>
          <w:rFonts w:ascii="Arial Narrow" w:eastAsia="Calibri" w:hAnsi="Arial Narrow" w:cs="Calibri"/>
          <w:color w:val="000000" w:themeColor="text1"/>
          <w:sz w:val="22"/>
          <w:szCs w:val="22"/>
          <w:lang w:val="en-GB"/>
        </w:rPr>
      </w:pPr>
      <w:proofErr w:type="spellStart"/>
      <w:r w:rsidRPr="002361B0">
        <w:rPr>
          <w:rFonts w:ascii="Arial Narrow" w:eastAsia="Calibri" w:hAnsi="Arial Narrow" w:cs="Calibri"/>
          <w:color w:val="000000" w:themeColor="text1"/>
          <w:sz w:val="22"/>
          <w:szCs w:val="22"/>
          <w:lang w:val="en-GB"/>
        </w:rPr>
        <w:t>Supozohet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që</w:t>
      </w:r>
      <w:proofErr w:type="spellEnd"/>
      <w:r w:rsidRPr="002361B0">
        <w:rPr>
          <w:rFonts w:ascii="Arial Narrow" w:eastAsia="Calibri" w:hAnsi="Arial Narrow" w:cs="Calibri"/>
          <w:color w:val="000000" w:themeColor="text1"/>
          <w:sz w:val="22"/>
          <w:szCs w:val="22"/>
          <w:lang w:val="en-GB"/>
        </w:rPr>
        <w:t xml:space="preserve"> 85% </w:t>
      </w:r>
      <w:proofErr w:type="spellStart"/>
      <w:r w:rsidRPr="002361B0">
        <w:rPr>
          <w:rFonts w:ascii="Arial Narrow" w:eastAsia="Calibri" w:hAnsi="Arial Narrow" w:cs="Calibri"/>
          <w:color w:val="000000" w:themeColor="text1"/>
          <w:sz w:val="22"/>
          <w:szCs w:val="22"/>
          <w:lang w:val="en-GB"/>
        </w:rPr>
        <w:t>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jetë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shfrytëzimi</w:t>
      </w:r>
      <w:proofErr w:type="spellEnd"/>
      <w:r w:rsidRPr="002361B0">
        <w:rPr>
          <w:rFonts w:ascii="Arial Narrow" w:eastAsia="Calibri" w:hAnsi="Arial Narrow" w:cs="Calibri"/>
          <w:color w:val="000000" w:themeColor="text1"/>
          <w:sz w:val="22"/>
          <w:szCs w:val="22"/>
          <w:lang w:val="en-GB"/>
        </w:rPr>
        <w:t xml:space="preserve"> i </w:t>
      </w:r>
      <w:proofErr w:type="spellStart"/>
      <w:r w:rsidRPr="002361B0">
        <w:rPr>
          <w:rFonts w:ascii="Arial Narrow" w:eastAsia="Calibri" w:hAnsi="Arial Narrow" w:cs="Calibri"/>
          <w:color w:val="000000" w:themeColor="text1"/>
          <w:sz w:val="22"/>
          <w:szCs w:val="22"/>
          <w:lang w:val="en-GB"/>
        </w:rPr>
        <w:t>ngarkesës</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nominale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automjeteve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grumbulluese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dhe</w:t>
      </w:r>
      <w:proofErr w:type="spellEnd"/>
      <w:r w:rsidRPr="002361B0">
        <w:rPr>
          <w:rFonts w:ascii="Arial Narrow" w:eastAsia="Calibri" w:hAnsi="Arial Narrow" w:cs="Calibri"/>
          <w:color w:val="000000" w:themeColor="text1"/>
          <w:sz w:val="22"/>
          <w:szCs w:val="22"/>
          <w:lang w:val="en-GB"/>
        </w:rPr>
        <w:t xml:space="preserve"> 85% e </w:t>
      </w:r>
      <w:proofErr w:type="spellStart"/>
      <w:r w:rsidRPr="002361B0">
        <w:rPr>
          <w:rFonts w:ascii="Arial Narrow" w:eastAsia="Calibri" w:hAnsi="Arial Narrow" w:cs="Calibri"/>
          <w:color w:val="000000" w:themeColor="text1"/>
          <w:sz w:val="22"/>
          <w:szCs w:val="22"/>
          <w:lang w:val="en-GB"/>
        </w:rPr>
        <w:t>disponueshmërisë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kur</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përcaktohet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numri</w:t>
      </w:r>
      <w:proofErr w:type="spellEnd"/>
      <w:r w:rsidRPr="002361B0">
        <w:rPr>
          <w:rFonts w:ascii="Arial Narrow" w:eastAsia="Calibri" w:hAnsi="Arial Narrow" w:cs="Calibri"/>
          <w:color w:val="000000" w:themeColor="text1"/>
          <w:sz w:val="22"/>
          <w:szCs w:val="22"/>
          <w:lang w:val="en-GB"/>
        </w:rPr>
        <w:t xml:space="preserve"> i </w:t>
      </w:r>
      <w:proofErr w:type="spellStart"/>
      <w:r w:rsidRPr="002361B0">
        <w:rPr>
          <w:rFonts w:ascii="Arial Narrow" w:eastAsia="Calibri" w:hAnsi="Arial Narrow" w:cs="Calibri"/>
          <w:color w:val="000000" w:themeColor="text1"/>
          <w:sz w:val="22"/>
          <w:szCs w:val="22"/>
          <w:lang w:val="en-GB"/>
        </w:rPr>
        <w:t>nevojshëm</w:t>
      </w:r>
      <w:proofErr w:type="spellEnd"/>
      <w:r w:rsidRPr="002361B0">
        <w:rPr>
          <w:rFonts w:ascii="Arial Narrow" w:eastAsia="Calibri" w:hAnsi="Arial Narrow" w:cs="Calibri"/>
          <w:color w:val="000000" w:themeColor="text1"/>
          <w:sz w:val="22"/>
          <w:szCs w:val="22"/>
          <w:lang w:val="en-GB"/>
        </w:rPr>
        <w:t xml:space="preserve"> i </w:t>
      </w:r>
      <w:proofErr w:type="spellStart"/>
      <w:r w:rsidRPr="002361B0">
        <w:rPr>
          <w:rFonts w:ascii="Arial Narrow" w:eastAsia="Calibri" w:hAnsi="Arial Narrow" w:cs="Calibri"/>
          <w:color w:val="000000" w:themeColor="text1"/>
          <w:sz w:val="22"/>
          <w:szCs w:val="22"/>
          <w:lang w:val="en-GB"/>
        </w:rPr>
        <w:t>automjeteve</w:t>
      </w:r>
      <w:proofErr w:type="spellEnd"/>
      <w:r w:rsidRPr="002361B0">
        <w:rPr>
          <w:rFonts w:ascii="Arial Narrow" w:eastAsia="Calibri" w:hAnsi="Arial Narrow" w:cs="Calibri"/>
          <w:color w:val="000000" w:themeColor="text1"/>
          <w:sz w:val="22"/>
          <w:szCs w:val="22"/>
          <w:lang w:val="en-GB"/>
        </w:rPr>
        <w:t xml:space="preserve"> </w:t>
      </w:r>
      <w:proofErr w:type="spellStart"/>
      <w:proofErr w:type="gramStart"/>
      <w:r w:rsidRPr="002361B0">
        <w:rPr>
          <w:rFonts w:ascii="Arial Narrow" w:eastAsia="Calibri" w:hAnsi="Arial Narrow" w:cs="Calibri"/>
          <w:color w:val="000000" w:themeColor="text1"/>
          <w:sz w:val="22"/>
          <w:szCs w:val="22"/>
          <w:lang w:val="en-GB"/>
        </w:rPr>
        <w:t>grumbulluese</w:t>
      </w:r>
      <w:proofErr w:type="spellEnd"/>
      <w:r w:rsidRPr="002361B0">
        <w:rPr>
          <w:rFonts w:ascii="Arial Narrow" w:eastAsia="Calibri" w:hAnsi="Arial Narrow" w:cs="Calibri"/>
          <w:color w:val="000000" w:themeColor="text1"/>
          <w:sz w:val="22"/>
          <w:szCs w:val="22"/>
          <w:lang w:val="en-GB"/>
        </w:rPr>
        <w:t>;</w:t>
      </w:r>
      <w:proofErr w:type="gramEnd"/>
      <w:r w:rsidRPr="002361B0">
        <w:rPr>
          <w:rFonts w:ascii="Arial Narrow" w:eastAsia="Calibri" w:hAnsi="Arial Narrow" w:cs="Calibri"/>
          <w:color w:val="000000" w:themeColor="text1"/>
          <w:sz w:val="22"/>
          <w:szCs w:val="22"/>
          <w:lang w:val="en-GB"/>
        </w:rPr>
        <w:t xml:space="preserve"> </w:t>
      </w:r>
    </w:p>
    <w:p w14:paraId="6B2F4501" w14:textId="77777777" w:rsidR="002361B0" w:rsidRPr="002361B0" w:rsidRDefault="002361B0" w:rsidP="002361B0">
      <w:pPr>
        <w:numPr>
          <w:ilvl w:val="0"/>
          <w:numId w:val="25"/>
        </w:numPr>
        <w:jc w:val="both"/>
        <w:rPr>
          <w:rFonts w:ascii="Arial Narrow" w:eastAsia="Calibri" w:hAnsi="Arial Narrow" w:cs="Calibri"/>
          <w:color w:val="000000" w:themeColor="text1"/>
          <w:sz w:val="22"/>
          <w:szCs w:val="22"/>
          <w:lang w:val="en-GB"/>
        </w:rPr>
      </w:pPr>
      <w:proofErr w:type="spellStart"/>
      <w:r w:rsidRPr="002361B0">
        <w:rPr>
          <w:rFonts w:ascii="Arial Narrow" w:eastAsia="Calibri" w:hAnsi="Arial Narrow" w:cs="Calibri"/>
          <w:color w:val="000000" w:themeColor="text1"/>
          <w:sz w:val="22"/>
          <w:szCs w:val="22"/>
          <w:lang w:val="en-GB"/>
        </w:rPr>
        <w:t>Jetëgjatësia</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për</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kontejnerët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dhe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shportat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pranohet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jetë</w:t>
      </w:r>
      <w:proofErr w:type="spellEnd"/>
      <w:r w:rsidRPr="002361B0">
        <w:rPr>
          <w:rFonts w:ascii="Arial Narrow" w:eastAsia="Calibri" w:hAnsi="Arial Narrow" w:cs="Calibri"/>
          <w:color w:val="000000" w:themeColor="text1"/>
          <w:sz w:val="22"/>
          <w:szCs w:val="22"/>
          <w:lang w:val="en-GB"/>
        </w:rPr>
        <w:t xml:space="preserve"> 7 </w:t>
      </w:r>
      <w:proofErr w:type="spellStart"/>
      <w:r w:rsidRPr="002361B0">
        <w:rPr>
          <w:rFonts w:ascii="Arial Narrow" w:eastAsia="Calibri" w:hAnsi="Arial Narrow" w:cs="Calibri"/>
          <w:color w:val="000000" w:themeColor="text1"/>
          <w:sz w:val="22"/>
          <w:szCs w:val="22"/>
          <w:lang w:val="en-GB"/>
        </w:rPr>
        <w:t>vjet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dhe</w:t>
      </w:r>
      <w:proofErr w:type="spellEnd"/>
      <w:r w:rsidRPr="002361B0">
        <w:rPr>
          <w:rFonts w:ascii="Arial Narrow" w:eastAsia="Calibri" w:hAnsi="Arial Narrow" w:cs="Calibri"/>
          <w:color w:val="000000" w:themeColor="text1"/>
          <w:sz w:val="22"/>
          <w:szCs w:val="22"/>
          <w:lang w:val="en-GB"/>
        </w:rPr>
        <w:t xml:space="preserve"> 10 </w:t>
      </w:r>
      <w:proofErr w:type="spellStart"/>
      <w:r w:rsidRPr="002361B0">
        <w:rPr>
          <w:rFonts w:ascii="Arial Narrow" w:eastAsia="Calibri" w:hAnsi="Arial Narrow" w:cs="Calibri"/>
          <w:color w:val="000000" w:themeColor="text1"/>
          <w:sz w:val="22"/>
          <w:szCs w:val="22"/>
          <w:lang w:val="en-GB"/>
        </w:rPr>
        <w:t>vjet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për</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automjetet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për</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grumbullimin</w:t>
      </w:r>
      <w:proofErr w:type="spellEnd"/>
      <w:r w:rsidRPr="002361B0">
        <w:rPr>
          <w:rFonts w:ascii="Arial Narrow" w:eastAsia="Calibri" w:hAnsi="Arial Narrow" w:cs="Calibri"/>
          <w:color w:val="000000" w:themeColor="text1"/>
          <w:sz w:val="22"/>
          <w:szCs w:val="22"/>
          <w:lang w:val="en-GB"/>
        </w:rPr>
        <w:t xml:space="preserve"> e </w:t>
      </w:r>
      <w:proofErr w:type="spellStart"/>
      <w:r w:rsidRPr="002361B0">
        <w:rPr>
          <w:rFonts w:ascii="Arial Narrow" w:eastAsia="Calibri" w:hAnsi="Arial Narrow" w:cs="Calibri"/>
          <w:color w:val="000000" w:themeColor="text1"/>
          <w:sz w:val="22"/>
          <w:szCs w:val="22"/>
          <w:lang w:val="en-GB"/>
        </w:rPr>
        <w:t>mbeturinave</w:t>
      </w:r>
      <w:proofErr w:type="spellEnd"/>
      <w:r w:rsidRPr="002361B0">
        <w:rPr>
          <w:rFonts w:ascii="Arial Narrow" w:eastAsia="Calibri" w:hAnsi="Arial Narrow" w:cs="Calibri"/>
          <w:color w:val="000000" w:themeColor="text1"/>
          <w:sz w:val="22"/>
          <w:szCs w:val="22"/>
          <w:lang w:val="en-GB"/>
        </w:rPr>
        <w:t xml:space="preserve"> (AGM-</w:t>
      </w:r>
      <w:proofErr w:type="spellStart"/>
      <w:r w:rsidRPr="002361B0">
        <w:rPr>
          <w:rFonts w:ascii="Arial Narrow" w:eastAsia="Calibri" w:hAnsi="Arial Narrow" w:cs="Calibri"/>
          <w:color w:val="000000" w:themeColor="text1"/>
          <w:sz w:val="22"/>
          <w:szCs w:val="22"/>
          <w:lang w:val="en-GB"/>
        </w:rPr>
        <w:t>të</w:t>
      </w:r>
      <w:proofErr w:type="spellEnd"/>
      <w:proofErr w:type="gramStart"/>
      <w:r w:rsidRPr="002361B0">
        <w:rPr>
          <w:rFonts w:ascii="Arial Narrow" w:eastAsia="Calibri" w:hAnsi="Arial Narrow" w:cs="Calibri"/>
          <w:color w:val="000000" w:themeColor="text1"/>
          <w:sz w:val="22"/>
          <w:szCs w:val="22"/>
          <w:lang w:val="en-GB"/>
        </w:rPr>
        <w:t>);</w:t>
      </w:r>
      <w:proofErr w:type="gramEnd"/>
    </w:p>
    <w:p w14:paraId="0F7723DD" w14:textId="742D1B1F" w:rsidR="002361B0" w:rsidRPr="002361B0" w:rsidRDefault="002361B0" w:rsidP="002361B0">
      <w:pPr>
        <w:numPr>
          <w:ilvl w:val="0"/>
          <w:numId w:val="25"/>
        </w:numPr>
        <w:jc w:val="both"/>
        <w:rPr>
          <w:rFonts w:ascii="Arial Narrow" w:eastAsia="Calibri" w:hAnsi="Arial Narrow" w:cs="Calibri"/>
          <w:color w:val="000000" w:themeColor="text1"/>
          <w:sz w:val="22"/>
          <w:szCs w:val="22"/>
          <w:lang w:val="en-GB"/>
        </w:rPr>
      </w:pPr>
      <w:proofErr w:type="spellStart"/>
      <w:r w:rsidRPr="002361B0">
        <w:rPr>
          <w:rFonts w:ascii="Arial Narrow" w:eastAsia="Calibri" w:hAnsi="Arial Narrow" w:cs="Calibri"/>
          <w:color w:val="000000" w:themeColor="text1"/>
          <w:sz w:val="22"/>
          <w:szCs w:val="22"/>
          <w:lang w:val="en-GB"/>
        </w:rPr>
        <w:lastRenderedPageBreak/>
        <w:t>Kostot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për</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njësi</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prej</w:t>
      </w:r>
      <w:proofErr w:type="spellEnd"/>
      <w:r w:rsidRPr="002361B0">
        <w:rPr>
          <w:rFonts w:ascii="Arial Narrow" w:eastAsia="Calibri" w:hAnsi="Arial Narrow" w:cs="Calibri"/>
          <w:color w:val="000000" w:themeColor="text1"/>
          <w:sz w:val="22"/>
          <w:szCs w:val="22"/>
          <w:lang w:val="en-GB"/>
        </w:rPr>
        <w:t xml:space="preserve"> 900 €/pc </w:t>
      </w:r>
      <w:proofErr w:type="spellStart"/>
      <w:r w:rsidRPr="002361B0">
        <w:rPr>
          <w:rFonts w:ascii="Arial Narrow" w:eastAsia="Calibri" w:hAnsi="Arial Narrow" w:cs="Calibri"/>
          <w:color w:val="000000" w:themeColor="text1"/>
          <w:sz w:val="22"/>
          <w:szCs w:val="22"/>
          <w:lang w:val="en-GB"/>
        </w:rPr>
        <w:t>janë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kalkuluar</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për</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kontejnerin</w:t>
      </w:r>
      <w:proofErr w:type="spellEnd"/>
      <w:r w:rsidRPr="002361B0">
        <w:rPr>
          <w:rFonts w:ascii="Arial Narrow" w:eastAsia="Calibri" w:hAnsi="Arial Narrow" w:cs="Calibri"/>
          <w:color w:val="000000" w:themeColor="text1"/>
          <w:sz w:val="22"/>
          <w:szCs w:val="22"/>
          <w:lang w:val="en-GB"/>
        </w:rPr>
        <w:t xml:space="preserve"> Igloo 1.5 </w:t>
      </w:r>
      <w:r w:rsidRPr="002361B0">
        <w:rPr>
          <w:rFonts w:ascii="Arial Narrow" w:hAnsi="Arial Narrow" w:cs="Calibri"/>
          <w:sz w:val="22"/>
          <w:szCs w:val="22"/>
          <w:lang w:val="sq-AL" w:eastAsia="bg-BG"/>
        </w:rPr>
        <w:t>m³</w:t>
      </w:r>
      <w:r w:rsidRPr="002361B0">
        <w:rPr>
          <w:rFonts w:ascii="Arial Narrow" w:eastAsia="Calibri" w:hAnsi="Arial Narrow" w:cs="Calibri"/>
          <w:color w:val="000000" w:themeColor="text1"/>
          <w:sz w:val="22"/>
          <w:szCs w:val="22"/>
          <w:lang w:val="en-GB"/>
        </w:rPr>
        <w:t>, 80 €/</w:t>
      </w:r>
      <w:proofErr w:type="spellStart"/>
      <w:r w:rsidRPr="002361B0">
        <w:rPr>
          <w:rFonts w:ascii="Arial Narrow" w:eastAsia="Calibri" w:hAnsi="Arial Narrow" w:cs="Calibri"/>
          <w:color w:val="000000" w:themeColor="text1"/>
          <w:sz w:val="22"/>
          <w:szCs w:val="22"/>
          <w:lang w:val="en-GB"/>
        </w:rPr>
        <w:t>copë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përdoren</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për</w:t>
      </w:r>
      <w:proofErr w:type="spellEnd"/>
      <w:r w:rsidRPr="002361B0">
        <w:rPr>
          <w:rFonts w:ascii="Arial Narrow" w:eastAsia="Calibri" w:hAnsi="Arial Narrow" w:cs="Calibri"/>
          <w:color w:val="000000" w:themeColor="text1"/>
          <w:sz w:val="22"/>
          <w:szCs w:val="22"/>
          <w:lang w:val="en-GB"/>
        </w:rPr>
        <w:t xml:space="preserve"> </w:t>
      </w:r>
      <w:proofErr w:type="spellStart"/>
      <w:r w:rsidR="00FC2BA4">
        <w:rPr>
          <w:rFonts w:ascii="Arial Narrow" w:eastAsia="Calibri" w:hAnsi="Arial Narrow" w:cs="Calibri"/>
          <w:color w:val="000000" w:themeColor="text1"/>
          <w:sz w:val="22"/>
          <w:szCs w:val="22"/>
          <w:lang w:val="en-GB"/>
        </w:rPr>
        <w:t>shporta</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nga</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plastika</w:t>
      </w:r>
      <w:proofErr w:type="spellEnd"/>
      <w:r w:rsidRPr="002361B0">
        <w:rPr>
          <w:rFonts w:ascii="Arial Narrow" w:eastAsia="Calibri" w:hAnsi="Arial Narrow" w:cs="Calibri"/>
          <w:color w:val="000000" w:themeColor="text1"/>
          <w:sz w:val="22"/>
          <w:szCs w:val="22"/>
          <w:lang w:val="en-GB"/>
        </w:rPr>
        <w:t xml:space="preserve"> 240 l </w:t>
      </w:r>
      <w:proofErr w:type="spellStart"/>
      <w:r w:rsidRPr="002361B0">
        <w:rPr>
          <w:rFonts w:ascii="Arial Narrow" w:eastAsia="Calibri" w:hAnsi="Arial Narrow" w:cs="Calibri"/>
          <w:color w:val="000000" w:themeColor="text1"/>
          <w:sz w:val="22"/>
          <w:szCs w:val="22"/>
          <w:lang w:val="en-GB"/>
        </w:rPr>
        <w:t>dhe</w:t>
      </w:r>
      <w:proofErr w:type="spellEnd"/>
      <w:r w:rsidRPr="002361B0">
        <w:rPr>
          <w:rFonts w:ascii="Arial Narrow" w:eastAsia="Calibri" w:hAnsi="Arial Narrow" w:cs="Calibri"/>
          <w:color w:val="000000" w:themeColor="text1"/>
          <w:sz w:val="22"/>
          <w:szCs w:val="22"/>
          <w:lang w:val="en-GB"/>
        </w:rPr>
        <w:t xml:space="preserve"> 140,000 €/</w:t>
      </w:r>
      <w:proofErr w:type="spellStart"/>
      <w:r w:rsidRPr="002361B0">
        <w:rPr>
          <w:rFonts w:ascii="Arial Narrow" w:eastAsia="Calibri" w:hAnsi="Arial Narrow" w:cs="Calibri"/>
          <w:color w:val="000000" w:themeColor="text1"/>
          <w:sz w:val="22"/>
          <w:szCs w:val="22"/>
          <w:lang w:val="en-GB"/>
        </w:rPr>
        <w:t>copë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për</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automjet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grumbullues</w:t>
      </w:r>
      <w:proofErr w:type="spellEnd"/>
      <w:r w:rsidRPr="002361B0">
        <w:rPr>
          <w:rFonts w:ascii="Arial Narrow" w:eastAsia="Calibri" w:hAnsi="Arial Narrow" w:cs="Calibri"/>
          <w:color w:val="000000" w:themeColor="text1"/>
          <w:sz w:val="22"/>
          <w:szCs w:val="22"/>
          <w:lang w:val="en-GB"/>
        </w:rPr>
        <w:t xml:space="preserve"> 16.0 </w:t>
      </w:r>
      <w:r w:rsidRPr="002361B0">
        <w:rPr>
          <w:rFonts w:ascii="Arial Narrow" w:hAnsi="Arial Narrow" w:cs="Calibri"/>
          <w:sz w:val="22"/>
          <w:szCs w:val="22"/>
          <w:lang w:val="sq-AL" w:eastAsia="bg-BG"/>
        </w:rPr>
        <w:t>m³</w:t>
      </w:r>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Kostot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për</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sistemin</w:t>
      </w:r>
      <w:proofErr w:type="spellEnd"/>
      <w:r w:rsidRPr="002361B0">
        <w:rPr>
          <w:rFonts w:ascii="Arial Narrow" w:eastAsia="Calibri" w:hAnsi="Arial Narrow" w:cs="Calibri"/>
          <w:color w:val="000000" w:themeColor="text1"/>
          <w:sz w:val="22"/>
          <w:szCs w:val="22"/>
          <w:lang w:val="en-GB"/>
        </w:rPr>
        <w:t xml:space="preserve"> e </w:t>
      </w:r>
      <w:proofErr w:type="spellStart"/>
      <w:r w:rsidRPr="002361B0">
        <w:rPr>
          <w:rFonts w:ascii="Arial Narrow" w:eastAsia="Calibri" w:hAnsi="Arial Narrow" w:cs="Calibri"/>
          <w:color w:val="000000" w:themeColor="text1"/>
          <w:sz w:val="22"/>
          <w:szCs w:val="22"/>
          <w:lang w:val="en-GB"/>
        </w:rPr>
        <w:t>kontejnerëve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nuk</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merren</w:t>
      </w:r>
      <w:proofErr w:type="spellEnd"/>
      <w:r w:rsidRPr="002361B0">
        <w:rPr>
          <w:rFonts w:ascii="Arial Narrow" w:eastAsia="Calibri" w:hAnsi="Arial Narrow" w:cs="Calibri"/>
          <w:color w:val="000000" w:themeColor="text1"/>
          <w:sz w:val="22"/>
          <w:szCs w:val="22"/>
          <w:lang w:val="en-GB"/>
        </w:rPr>
        <w:t xml:space="preserve"> </w:t>
      </w:r>
      <w:proofErr w:type="spellStart"/>
      <w:proofErr w:type="gramStart"/>
      <w:r w:rsidRPr="002361B0">
        <w:rPr>
          <w:rFonts w:ascii="Arial Narrow" w:eastAsia="Calibri" w:hAnsi="Arial Narrow" w:cs="Calibri"/>
          <w:color w:val="000000" w:themeColor="text1"/>
          <w:sz w:val="22"/>
          <w:szCs w:val="22"/>
          <w:lang w:val="en-GB"/>
        </w:rPr>
        <w:t>parasysh</w:t>
      </w:r>
      <w:proofErr w:type="spellEnd"/>
      <w:r w:rsidRPr="002361B0">
        <w:rPr>
          <w:rFonts w:ascii="Arial Narrow" w:eastAsia="Calibri" w:hAnsi="Arial Narrow" w:cs="Calibri"/>
          <w:color w:val="000000" w:themeColor="text1"/>
          <w:sz w:val="22"/>
          <w:szCs w:val="22"/>
          <w:lang w:val="en-GB"/>
        </w:rPr>
        <w:t>;</w:t>
      </w:r>
      <w:proofErr w:type="gramEnd"/>
      <w:r w:rsidRPr="002361B0">
        <w:rPr>
          <w:rFonts w:ascii="Arial Narrow" w:eastAsia="Calibri" w:hAnsi="Arial Narrow" w:cs="Calibri"/>
          <w:color w:val="000000" w:themeColor="text1"/>
          <w:sz w:val="22"/>
          <w:szCs w:val="22"/>
          <w:lang w:val="en-GB"/>
        </w:rPr>
        <w:t xml:space="preserve"> </w:t>
      </w:r>
    </w:p>
    <w:p w14:paraId="68A7895C" w14:textId="77777777" w:rsidR="002361B0" w:rsidRPr="002361B0" w:rsidRDefault="002361B0" w:rsidP="002361B0">
      <w:pPr>
        <w:numPr>
          <w:ilvl w:val="0"/>
          <w:numId w:val="25"/>
        </w:numPr>
        <w:jc w:val="both"/>
        <w:rPr>
          <w:rFonts w:ascii="Arial Narrow" w:eastAsia="Calibri" w:hAnsi="Arial Narrow" w:cs="Calibri"/>
          <w:color w:val="000000" w:themeColor="text1"/>
          <w:sz w:val="22"/>
          <w:szCs w:val="22"/>
          <w:lang w:val="en-GB"/>
        </w:rPr>
      </w:pPr>
      <w:proofErr w:type="spellStart"/>
      <w:r w:rsidRPr="002361B0">
        <w:rPr>
          <w:rFonts w:ascii="Arial Narrow" w:eastAsia="Calibri" w:hAnsi="Arial Narrow" w:cs="Calibri"/>
          <w:color w:val="000000" w:themeColor="text1"/>
          <w:sz w:val="22"/>
          <w:szCs w:val="22"/>
          <w:lang w:val="en-GB"/>
        </w:rPr>
        <w:t>Distancat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mesatare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udhëtimit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ndërmjet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komunave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individuale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dhe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objektit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klasifikimit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maten</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në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drejtim</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qendrës</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përkatëse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qytetit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Supozohet</w:t>
      </w:r>
      <w:proofErr w:type="spellEnd"/>
      <w:r w:rsidRPr="002361B0">
        <w:rPr>
          <w:rFonts w:ascii="Arial Narrow" w:eastAsia="Calibri" w:hAnsi="Arial Narrow" w:cs="Calibri"/>
          <w:color w:val="000000" w:themeColor="text1"/>
          <w:sz w:val="22"/>
          <w:szCs w:val="22"/>
          <w:lang w:val="en-GB"/>
        </w:rPr>
        <w:t xml:space="preserve"> se </w:t>
      </w:r>
      <w:proofErr w:type="spellStart"/>
      <w:r w:rsidRPr="002361B0">
        <w:rPr>
          <w:rFonts w:ascii="Arial Narrow" w:eastAsia="Calibri" w:hAnsi="Arial Narrow" w:cs="Calibri"/>
          <w:color w:val="000000" w:themeColor="text1"/>
          <w:sz w:val="22"/>
          <w:szCs w:val="22"/>
          <w:lang w:val="en-GB"/>
        </w:rPr>
        <w:t>objekti</w:t>
      </w:r>
      <w:proofErr w:type="spellEnd"/>
      <w:r w:rsidRPr="002361B0">
        <w:rPr>
          <w:rFonts w:ascii="Arial Narrow" w:eastAsia="Calibri" w:hAnsi="Arial Narrow" w:cs="Calibri"/>
          <w:color w:val="000000" w:themeColor="text1"/>
          <w:sz w:val="22"/>
          <w:szCs w:val="22"/>
          <w:lang w:val="en-GB"/>
        </w:rPr>
        <w:t xml:space="preserve"> i </w:t>
      </w:r>
      <w:proofErr w:type="spellStart"/>
      <w:r w:rsidRPr="002361B0">
        <w:rPr>
          <w:rFonts w:ascii="Arial Narrow" w:eastAsia="Calibri" w:hAnsi="Arial Narrow" w:cs="Calibri"/>
          <w:color w:val="000000" w:themeColor="text1"/>
          <w:sz w:val="22"/>
          <w:szCs w:val="22"/>
          <w:lang w:val="en-GB"/>
        </w:rPr>
        <w:t>klasifikimit</w:t>
      </w:r>
      <w:proofErr w:type="spellEnd"/>
      <w:r w:rsidRPr="002361B0">
        <w:rPr>
          <w:rFonts w:ascii="Arial Narrow" w:eastAsia="Calibri" w:hAnsi="Arial Narrow" w:cs="Calibri"/>
          <w:color w:val="000000" w:themeColor="text1"/>
          <w:sz w:val="22"/>
          <w:szCs w:val="22"/>
          <w:lang w:val="en-GB"/>
        </w:rPr>
        <w:t xml:space="preserve"> do </w:t>
      </w:r>
      <w:proofErr w:type="spellStart"/>
      <w:r w:rsidRPr="002361B0">
        <w:rPr>
          <w:rFonts w:ascii="Arial Narrow" w:eastAsia="Calibri" w:hAnsi="Arial Narrow" w:cs="Calibri"/>
          <w:color w:val="000000" w:themeColor="text1"/>
          <w:sz w:val="22"/>
          <w:szCs w:val="22"/>
          <w:lang w:val="en-GB"/>
        </w:rPr>
        <w:t>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jetë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në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deponinë</w:t>
      </w:r>
      <w:proofErr w:type="spellEnd"/>
      <w:r w:rsidRPr="002361B0">
        <w:rPr>
          <w:rFonts w:ascii="Arial Narrow" w:eastAsia="Calibri" w:hAnsi="Arial Narrow" w:cs="Calibri"/>
          <w:color w:val="000000" w:themeColor="text1"/>
          <w:sz w:val="22"/>
          <w:szCs w:val="22"/>
          <w:lang w:val="en-GB"/>
        </w:rPr>
        <w:t xml:space="preserve"> </w:t>
      </w:r>
      <w:proofErr w:type="spellStart"/>
      <w:proofErr w:type="gramStart"/>
      <w:r w:rsidRPr="002361B0">
        <w:rPr>
          <w:rFonts w:ascii="Arial Narrow" w:eastAsia="Calibri" w:hAnsi="Arial Narrow" w:cs="Calibri"/>
          <w:color w:val="000000" w:themeColor="text1"/>
          <w:sz w:val="22"/>
          <w:szCs w:val="22"/>
          <w:lang w:val="en-GB"/>
        </w:rPr>
        <w:t>rajonale</w:t>
      </w:r>
      <w:proofErr w:type="spellEnd"/>
      <w:r w:rsidRPr="002361B0">
        <w:rPr>
          <w:rFonts w:ascii="Arial Narrow" w:eastAsia="Calibri" w:hAnsi="Arial Narrow" w:cs="Calibri"/>
          <w:color w:val="000000" w:themeColor="text1"/>
          <w:sz w:val="22"/>
          <w:szCs w:val="22"/>
          <w:lang w:val="en-GB"/>
        </w:rPr>
        <w:t>;</w:t>
      </w:r>
      <w:proofErr w:type="gramEnd"/>
    </w:p>
    <w:p w14:paraId="7E4D7179" w14:textId="77777777" w:rsidR="002361B0" w:rsidRPr="002361B0" w:rsidRDefault="002361B0" w:rsidP="002361B0">
      <w:pPr>
        <w:numPr>
          <w:ilvl w:val="0"/>
          <w:numId w:val="25"/>
        </w:numPr>
        <w:jc w:val="both"/>
        <w:rPr>
          <w:rFonts w:ascii="Arial Narrow" w:eastAsia="Calibri" w:hAnsi="Arial Narrow" w:cs="Calibri"/>
          <w:color w:val="000000" w:themeColor="text1"/>
          <w:sz w:val="22"/>
          <w:szCs w:val="22"/>
          <w:lang w:val="en-GB"/>
        </w:rPr>
      </w:pPr>
      <w:r w:rsidRPr="002361B0">
        <w:rPr>
          <w:rFonts w:ascii="Arial Narrow" w:eastAsia="Calibri" w:hAnsi="Arial Narrow" w:cs="Calibri"/>
          <w:color w:val="000000" w:themeColor="text1"/>
          <w:sz w:val="22"/>
          <w:szCs w:val="22"/>
          <w:lang w:val="en-GB"/>
        </w:rPr>
        <w:t xml:space="preserve">Koha </w:t>
      </w:r>
      <w:proofErr w:type="spellStart"/>
      <w:r w:rsidRPr="002361B0">
        <w:rPr>
          <w:rFonts w:ascii="Arial Narrow" w:eastAsia="Calibri" w:hAnsi="Arial Narrow" w:cs="Calibri"/>
          <w:color w:val="000000" w:themeColor="text1"/>
          <w:sz w:val="22"/>
          <w:szCs w:val="22"/>
          <w:lang w:val="en-GB"/>
        </w:rPr>
        <w:t>mesatare</w:t>
      </w:r>
      <w:proofErr w:type="spellEnd"/>
      <w:r w:rsidRPr="002361B0">
        <w:rPr>
          <w:rFonts w:ascii="Arial Narrow" w:eastAsia="Calibri" w:hAnsi="Arial Narrow" w:cs="Calibri"/>
          <w:color w:val="000000" w:themeColor="text1"/>
          <w:sz w:val="22"/>
          <w:szCs w:val="22"/>
          <w:lang w:val="en-GB"/>
        </w:rPr>
        <w:t xml:space="preserve"> e </w:t>
      </w:r>
      <w:proofErr w:type="spellStart"/>
      <w:r w:rsidRPr="002361B0">
        <w:rPr>
          <w:rFonts w:ascii="Arial Narrow" w:eastAsia="Calibri" w:hAnsi="Arial Narrow" w:cs="Calibri"/>
          <w:color w:val="000000" w:themeColor="text1"/>
          <w:sz w:val="22"/>
          <w:szCs w:val="22"/>
          <w:lang w:val="en-GB"/>
        </w:rPr>
        <w:t>shpenzuar</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për</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shkarkim</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në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vendin</w:t>
      </w:r>
      <w:proofErr w:type="spellEnd"/>
      <w:r w:rsidRPr="002361B0">
        <w:rPr>
          <w:rFonts w:ascii="Arial Narrow" w:eastAsia="Calibri" w:hAnsi="Arial Narrow" w:cs="Calibri"/>
          <w:color w:val="000000" w:themeColor="text1"/>
          <w:sz w:val="22"/>
          <w:szCs w:val="22"/>
          <w:lang w:val="en-GB"/>
        </w:rPr>
        <w:t xml:space="preserve"> e </w:t>
      </w:r>
      <w:proofErr w:type="spellStart"/>
      <w:r w:rsidRPr="002361B0">
        <w:rPr>
          <w:rFonts w:ascii="Arial Narrow" w:eastAsia="Calibri" w:hAnsi="Arial Narrow" w:cs="Calibri"/>
          <w:color w:val="000000" w:themeColor="text1"/>
          <w:sz w:val="22"/>
          <w:szCs w:val="22"/>
          <w:lang w:val="en-GB"/>
        </w:rPr>
        <w:t>klasifikimit</w:t>
      </w:r>
      <w:proofErr w:type="spellEnd"/>
      <w:r w:rsidRPr="002361B0">
        <w:rPr>
          <w:rFonts w:ascii="Arial Narrow" w:eastAsia="Calibri" w:hAnsi="Arial Narrow" w:cs="Calibri"/>
          <w:color w:val="000000" w:themeColor="text1"/>
          <w:sz w:val="22"/>
          <w:szCs w:val="22"/>
          <w:lang w:val="en-GB"/>
        </w:rPr>
        <w:t xml:space="preserve"> do </w:t>
      </w:r>
      <w:proofErr w:type="spellStart"/>
      <w:r w:rsidRPr="002361B0">
        <w:rPr>
          <w:rFonts w:ascii="Arial Narrow" w:eastAsia="Calibri" w:hAnsi="Arial Narrow" w:cs="Calibri"/>
          <w:color w:val="000000" w:themeColor="text1"/>
          <w:sz w:val="22"/>
          <w:szCs w:val="22"/>
          <w:lang w:val="en-GB"/>
        </w:rPr>
        <w:t>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jetë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gjysmë</w:t>
      </w:r>
      <w:proofErr w:type="spellEnd"/>
      <w:r w:rsidRPr="002361B0">
        <w:rPr>
          <w:rFonts w:ascii="Arial Narrow" w:eastAsia="Calibri" w:hAnsi="Arial Narrow" w:cs="Calibri"/>
          <w:color w:val="000000" w:themeColor="text1"/>
          <w:sz w:val="22"/>
          <w:szCs w:val="22"/>
          <w:lang w:val="en-GB"/>
        </w:rPr>
        <w:t xml:space="preserve"> ore. Koha e </w:t>
      </w:r>
      <w:proofErr w:type="spellStart"/>
      <w:r w:rsidRPr="002361B0">
        <w:rPr>
          <w:rFonts w:ascii="Arial Narrow" w:eastAsia="Calibri" w:hAnsi="Arial Narrow" w:cs="Calibri"/>
          <w:color w:val="000000" w:themeColor="text1"/>
          <w:sz w:val="22"/>
          <w:szCs w:val="22"/>
          <w:lang w:val="en-GB"/>
        </w:rPr>
        <w:t>ndërmjet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udhëtimeve</w:t>
      </w:r>
      <w:proofErr w:type="spellEnd"/>
      <w:r w:rsidRPr="002361B0">
        <w:rPr>
          <w:rFonts w:ascii="Arial Narrow" w:eastAsia="Calibri" w:hAnsi="Arial Narrow" w:cs="Calibri"/>
          <w:color w:val="000000" w:themeColor="text1"/>
          <w:sz w:val="22"/>
          <w:szCs w:val="22"/>
          <w:lang w:val="en-GB"/>
        </w:rPr>
        <w:t xml:space="preserve"> do </w:t>
      </w:r>
      <w:proofErr w:type="spellStart"/>
      <w:r w:rsidRPr="002361B0">
        <w:rPr>
          <w:rFonts w:ascii="Arial Narrow" w:eastAsia="Calibri" w:hAnsi="Arial Narrow" w:cs="Calibri"/>
          <w:color w:val="000000" w:themeColor="text1"/>
          <w:sz w:val="22"/>
          <w:szCs w:val="22"/>
          <w:lang w:val="en-GB"/>
        </w:rPr>
        <w:t>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jetë</w:t>
      </w:r>
      <w:proofErr w:type="spellEnd"/>
      <w:r w:rsidRPr="002361B0">
        <w:rPr>
          <w:rFonts w:ascii="Arial Narrow" w:eastAsia="Calibri" w:hAnsi="Arial Narrow" w:cs="Calibri"/>
          <w:color w:val="000000" w:themeColor="text1"/>
          <w:sz w:val="22"/>
          <w:szCs w:val="22"/>
          <w:lang w:val="en-GB"/>
        </w:rPr>
        <w:t xml:space="preserve"> gjithashtu </w:t>
      </w:r>
      <w:proofErr w:type="spellStart"/>
      <w:r w:rsidRPr="002361B0">
        <w:rPr>
          <w:rFonts w:ascii="Arial Narrow" w:eastAsia="Calibri" w:hAnsi="Arial Narrow" w:cs="Calibri"/>
          <w:color w:val="000000" w:themeColor="text1"/>
          <w:sz w:val="22"/>
          <w:szCs w:val="22"/>
          <w:lang w:val="en-GB"/>
        </w:rPr>
        <w:t>gjysmë</w:t>
      </w:r>
      <w:proofErr w:type="spellEnd"/>
      <w:r w:rsidRPr="002361B0">
        <w:rPr>
          <w:rFonts w:ascii="Arial Narrow" w:eastAsia="Calibri" w:hAnsi="Arial Narrow" w:cs="Calibri"/>
          <w:color w:val="000000" w:themeColor="text1"/>
          <w:sz w:val="22"/>
          <w:szCs w:val="22"/>
          <w:lang w:val="en-GB"/>
        </w:rPr>
        <w:t xml:space="preserve"> </w:t>
      </w:r>
      <w:proofErr w:type="gramStart"/>
      <w:r w:rsidRPr="002361B0">
        <w:rPr>
          <w:rFonts w:ascii="Arial Narrow" w:eastAsia="Calibri" w:hAnsi="Arial Narrow" w:cs="Calibri"/>
          <w:color w:val="000000" w:themeColor="text1"/>
          <w:sz w:val="22"/>
          <w:szCs w:val="22"/>
          <w:lang w:val="en-GB"/>
        </w:rPr>
        <w:t>ore;</w:t>
      </w:r>
      <w:proofErr w:type="gramEnd"/>
    </w:p>
    <w:p w14:paraId="7C07341A" w14:textId="77777777" w:rsidR="002361B0" w:rsidRPr="002361B0" w:rsidRDefault="002361B0" w:rsidP="002361B0">
      <w:pPr>
        <w:rPr>
          <w:rFonts w:ascii="Arial Narrow" w:eastAsia="Calibri" w:hAnsi="Arial Narrow" w:cs="Calibri"/>
          <w:sz w:val="22"/>
          <w:szCs w:val="22"/>
        </w:rPr>
      </w:pPr>
    </w:p>
    <w:p w14:paraId="522C4532" w14:textId="396FA8A3" w:rsidR="007D1EDC" w:rsidRPr="002361B0" w:rsidRDefault="002361B0" w:rsidP="007D1EDC">
      <w:pPr>
        <w:rPr>
          <w:rFonts w:ascii="Arial Narrow" w:eastAsia="Calibri" w:hAnsi="Arial Narrow" w:cs="Calibri"/>
          <w:sz w:val="22"/>
          <w:szCs w:val="22"/>
        </w:rPr>
      </w:pPr>
      <w:r w:rsidRPr="002361B0">
        <w:rPr>
          <w:rFonts w:ascii="Arial Narrow" w:eastAsia="Calibri" w:hAnsi="Arial Narrow" w:cs="Calibri"/>
          <w:sz w:val="22"/>
          <w:szCs w:val="22"/>
        </w:rPr>
        <w:t>Vlerësimi vjetor i investimeve dhe riinvestimit të kërkuar nga komunat është përmbledhur në figurën e mëposhtme:</w:t>
      </w:r>
    </w:p>
    <w:p w14:paraId="07676483" w14:textId="77777777" w:rsidR="007D1EDC" w:rsidRPr="007D1EDC" w:rsidRDefault="007D1EDC" w:rsidP="007D1EDC">
      <w:pPr>
        <w:rPr>
          <w:rFonts w:ascii="Arial Narrow" w:eastAsia="Calibri" w:hAnsi="Arial Narrow" w:cs="Calibri"/>
          <w:sz w:val="22"/>
          <w:szCs w:val="22"/>
        </w:rPr>
      </w:pPr>
    </w:p>
    <w:p w14:paraId="2487A4CC" w14:textId="02436EC2" w:rsidR="007D1EDC" w:rsidRPr="007D1EDC" w:rsidRDefault="002361B0" w:rsidP="007D1EDC">
      <w:pPr>
        <w:jc w:val="center"/>
        <w:rPr>
          <w:rFonts w:ascii="Arial Narrow" w:eastAsia="Calibri" w:hAnsi="Arial Narrow" w:cs="Calibri"/>
          <w:sz w:val="22"/>
          <w:szCs w:val="22"/>
        </w:rPr>
      </w:pPr>
      <w:r>
        <w:rPr>
          <w:noProof/>
        </w:rPr>
        <w:drawing>
          <wp:inline distT="0" distB="0" distL="0" distR="0" wp14:anchorId="6FFCAE50" wp14:editId="56F78127">
            <wp:extent cx="5149850" cy="3239135"/>
            <wp:effectExtent l="0" t="0" r="12700" b="18415"/>
            <wp:docPr id="1307140967" name="Chart 1">
              <a:extLst xmlns:a="http://schemas.openxmlformats.org/drawingml/2006/main">
                <a:ext uri="{FF2B5EF4-FFF2-40B4-BE49-F238E27FC236}">
                  <a16:creationId xmlns:a16="http://schemas.microsoft.com/office/drawing/2014/main" id="{2B4EE413-C3C8-4BB3-B941-5B80F3CC91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72B4475" w14:textId="6A052DB8" w:rsidR="007D1EDC" w:rsidRDefault="007D1EDC" w:rsidP="002361B0">
      <w:pPr>
        <w:pStyle w:val="Figure"/>
        <w:rPr>
          <w:rFonts w:eastAsia="Calibri" w:cs="Calibri"/>
          <w:sz w:val="20"/>
          <w:szCs w:val="20"/>
        </w:rPr>
      </w:pPr>
      <w:bookmarkStart w:id="580" w:name="_Toc153381620"/>
      <w:bookmarkStart w:id="581" w:name="_Toc153961085"/>
      <w:bookmarkStart w:id="582" w:name="_Toc153979613"/>
      <w:bookmarkStart w:id="583" w:name="_Toc155341063"/>
      <w:bookmarkStart w:id="584" w:name="_Toc193365356"/>
      <w:bookmarkStart w:id="585" w:name="_Toc197472340"/>
      <w:r w:rsidRPr="007D1EDC">
        <w:rPr>
          <w:rFonts w:eastAsia="Calibri" w:cs="Calibri"/>
          <w:sz w:val="20"/>
          <w:szCs w:val="20"/>
        </w:rPr>
        <w:t xml:space="preserve">Figura </w:t>
      </w:r>
      <w:r w:rsidRPr="007D1EDC">
        <w:rPr>
          <w:rFonts w:eastAsia="Calibri" w:cs="Calibri"/>
          <w:sz w:val="20"/>
          <w:szCs w:val="20"/>
        </w:rPr>
        <w:fldChar w:fldCharType="begin"/>
      </w:r>
      <w:r w:rsidRPr="007D1EDC">
        <w:rPr>
          <w:rFonts w:eastAsia="Calibri" w:cs="Calibri"/>
          <w:sz w:val="20"/>
          <w:szCs w:val="20"/>
        </w:rPr>
        <w:instrText xml:space="preserve"> SEQ Figure \* ARABIC </w:instrText>
      </w:r>
      <w:r w:rsidRPr="007D1EDC">
        <w:rPr>
          <w:rFonts w:eastAsia="Calibri" w:cs="Calibri"/>
          <w:sz w:val="20"/>
          <w:szCs w:val="20"/>
        </w:rPr>
        <w:fldChar w:fldCharType="separate"/>
      </w:r>
      <w:r w:rsidR="00C97DF3">
        <w:rPr>
          <w:rFonts w:eastAsia="Calibri" w:cs="Calibri"/>
          <w:noProof/>
          <w:sz w:val="20"/>
          <w:szCs w:val="20"/>
        </w:rPr>
        <w:t xml:space="preserve">39. </w:t>
      </w:r>
      <w:r w:rsidRPr="007D1EDC">
        <w:rPr>
          <w:rFonts w:eastAsia="Calibri" w:cs="Calibri"/>
          <w:sz w:val="20"/>
          <w:szCs w:val="20"/>
        </w:rPr>
        <w:fldChar w:fldCharType="end"/>
      </w:r>
      <w:r w:rsidRPr="007D1EDC">
        <w:rPr>
          <w:rFonts w:eastAsia="Calibri" w:cs="Calibri"/>
          <w:sz w:val="20"/>
          <w:szCs w:val="20"/>
        </w:rPr>
        <w:t>Kostot e investimi</w:t>
      </w:r>
      <w:r w:rsidR="002361B0">
        <w:rPr>
          <w:rFonts w:eastAsia="Calibri" w:cs="Calibri"/>
          <w:sz w:val="20"/>
          <w:szCs w:val="20"/>
        </w:rPr>
        <w:t>eve për grumbullimin ndaras</w:t>
      </w:r>
      <w:r w:rsidRPr="007D1EDC">
        <w:rPr>
          <w:rFonts w:eastAsia="Calibri" w:cs="Calibri"/>
          <w:sz w:val="20"/>
          <w:szCs w:val="20"/>
        </w:rPr>
        <w:t xml:space="preserve"> të mbet</w:t>
      </w:r>
      <w:r w:rsidR="002361B0">
        <w:rPr>
          <w:rFonts w:eastAsia="Calibri" w:cs="Calibri"/>
          <w:sz w:val="20"/>
          <w:szCs w:val="20"/>
        </w:rPr>
        <w:t>urinave</w:t>
      </w:r>
      <w:bookmarkEnd w:id="580"/>
      <w:bookmarkEnd w:id="581"/>
      <w:bookmarkEnd w:id="582"/>
      <w:bookmarkEnd w:id="583"/>
      <w:bookmarkEnd w:id="584"/>
      <w:bookmarkEnd w:id="585"/>
    </w:p>
    <w:p w14:paraId="2071AAD9" w14:textId="77777777" w:rsidR="002361B0" w:rsidRPr="002361B0" w:rsidRDefault="002361B0" w:rsidP="002361B0">
      <w:pPr>
        <w:pStyle w:val="Figure"/>
        <w:rPr>
          <w:rFonts w:eastAsia="Calibri" w:cs="Calibri"/>
          <w:b/>
          <w:bCs w:val="0"/>
          <w:sz w:val="22"/>
          <w:szCs w:val="22"/>
        </w:rPr>
      </w:pPr>
    </w:p>
    <w:p w14:paraId="78345246" w14:textId="77777777" w:rsidR="002361B0" w:rsidRPr="002361B0" w:rsidRDefault="002361B0" w:rsidP="002361B0">
      <w:pPr>
        <w:rPr>
          <w:rFonts w:ascii="Arial Narrow" w:eastAsia="Calibri" w:hAnsi="Arial Narrow" w:cs="Calibri"/>
          <w:b/>
          <w:bCs/>
          <w:sz w:val="22"/>
          <w:szCs w:val="22"/>
        </w:rPr>
      </w:pPr>
      <w:r w:rsidRPr="002361B0">
        <w:rPr>
          <w:rFonts w:ascii="Arial Narrow" w:eastAsia="Calibri" w:hAnsi="Arial Narrow" w:cs="Calibri"/>
          <w:sz w:val="22"/>
          <w:szCs w:val="22"/>
        </w:rPr>
        <w:t>Për periudhën, shuma totale e investimit dhe riinvestimit në grumbullimin ndaras të mbeturinave është llogaritur të jetë 8,6 milionë euro</w:t>
      </w:r>
      <w:r w:rsidRPr="002361B0">
        <w:rPr>
          <w:rFonts w:ascii="Arial Narrow" w:eastAsia="Calibri" w:hAnsi="Arial Narrow" w:cs="Calibri"/>
          <w:b/>
          <w:bCs/>
          <w:sz w:val="22"/>
          <w:szCs w:val="22"/>
        </w:rPr>
        <w:t>.</w:t>
      </w:r>
    </w:p>
    <w:p w14:paraId="50EB4F8C" w14:textId="77777777" w:rsidR="007D1EDC" w:rsidRPr="002361B0" w:rsidRDefault="007D1EDC" w:rsidP="007D1EDC">
      <w:pPr>
        <w:rPr>
          <w:rFonts w:ascii="Arial Narrow" w:eastAsia="Calibri" w:hAnsi="Arial Narrow" w:cs="Calibri"/>
          <w:b/>
          <w:bCs/>
          <w:sz w:val="22"/>
          <w:szCs w:val="22"/>
        </w:rPr>
      </w:pPr>
    </w:p>
    <w:p w14:paraId="0AD62D9F" w14:textId="77777777" w:rsidR="002361B0" w:rsidRPr="002361B0" w:rsidRDefault="002361B0" w:rsidP="002361B0">
      <w:pPr>
        <w:suppressAutoHyphens/>
        <w:rPr>
          <w:rFonts w:ascii="Arial Narrow" w:eastAsia="Calibri" w:hAnsi="Arial Narrow" w:cs="Calibri"/>
          <w:b/>
          <w:bCs/>
          <w:color w:val="1F3864" w:themeColor="accent1" w:themeShade="80"/>
          <w:sz w:val="22"/>
          <w:szCs w:val="22"/>
        </w:rPr>
      </w:pPr>
      <w:r w:rsidRPr="002361B0">
        <w:rPr>
          <w:rFonts w:ascii="Arial Narrow" w:eastAsia="Calibri" w:hAnsi="Arial Narrow" w:cs="Calibri"/>
          <w:b/>
          <w:bCs/>
          <w:color w:val="1F3864" w:themeColor="accent1" w:themeShade="80"/>
          <w:sz w:val="22"/>
          <w:szCs w:val="22"/>
        </w:rPr>
        <w:t>Kostot investive në objektin e klasifikimit</w:t>
      </w:r>
    </w:p>
    <w:p w14:paraId="55A0EDCC" w14:textId="77777777" w:rsidR="002361B0" w:rsidRPr="009F5CA1" w:rsidRDefault="002361B0" w:rsidP="002361B0">
      <w:pPr>
        <w:rPr>
          <w:rFonts w:ascii="Arial Narrow" w:hAnsi="Arial Narrow" w:cs="Calibri"/>
          <w:sz w:val="22"/>
          <w:szCs w:val="22"/>
          <w:lang w:eastAsia="bg-BG"/>
        </w:rPr>
      </w:pPr>
      <w:r w:rsidRPr="009F5CA1">
        <w:rPr>
          <w:rFonts w:ascii="Arial Narrow" w:hAnsi="Arial Narrow" w:cs="Calibri"/>
          <w:sz w:val="22"/>
          <w:szCs w:val="22"/>
          <w:lang w:eastAsia="bg-BG"/>
        </w:rPr>
        <w:t>Objekti i klasifikimit duhet të përpunojë nga 10,000 deri në 22,000 t.</w:t>
      </w:r>
    </w:p>
    <w:p w14:paraId="19CF9E6D" w14:textId="77777777" w:rsidR="002361B0" w:rsidRPr="009F5CA1" w:rsidRDefault="002361B0" w:rsidP="002361B0">
      <w:pPr>
        <w:rPr>
          <w:rFonts w:ascii="Arial Narrow" w:hAnsi="Arial Narrow" w:cs="Calibri"/>
          <w:sz w:val="22"/>
          <w:szCs w:val="22"/>
          <w:lang w:eastAsia="bg-BG"/>
        </w:rPr>
      </w:pPr>
      <w:r w:rsidRPr="009F5CA1">
        <w:rPr>
          <w:rFonts w:ascii="Arial Narrow" w:hAnsi="Arial Narrow" w:cs="Calibri"/>
          <w:sz w:val="22"/>
          <w:szCs w:val="22"/>
          <w:lang w:eastAsia="bg-BG"/>
        </w:rPr>
        <w:t>Këto sasi janë relativisht të ulëta dhe supozojnë ngritjen e një objekti të centralizuar klasifikimi për të gjithë rajonin. Madhësia minimale e investimit fillestar të kërkuar është 1,575,000 EUR, për të përfshirë:</w:t>
      </w:r>
    </w:p>
    <w:p w14:paraId="4CFD83FA" w14:textId="77777777" w:rsidR="002361B0" w:rsidRPr="002361B0" w:rsidRDefault="002361B0" w:rsidP="002361B0">
      <w:pPr>
        <w:pStyle w:val="ListParagraph"/>
        <w:numPr>
          <w:ilvl w:val="0"/>
          <w:numId w:val="37"/>
        </w:numPr>
        <w:tabs>
          <w:tab w:val="left" w:pos="2349"/>
        </w:tabs>
        <w:rPr>
          <w:rFonts w:cs="Arial"/>
          <w:color w:val="000000"/>
          <w:sz w:val="22"/>
          <w:szCs w:val="22"/>
          <w:lang w:eastAsia="en-GB"/>
        </w:rPr>
      </w:pPr>
      <w:r w:rsidRPr="002361B0">
        <w:rPr>
          <w:rFonts w:cs="Arial"/>
          <w:color w:val="000000"/>
          <w:sz w:val="22"/>
          <w:szCs w:val="22"/>
          <w:lang w:eastAsia="en-GB"/>
        </w:rPr>
        <w:t>Punime civile 671,000 €.</w:t>
      </w:r>
    </w:p>
    <w:p w14:paraId="34BCF97E" w14:textId="77777777" w:rsidR="002361B0" w:rsidRPr="002361B0" w:rsidRDefault="002361B0" w:rsidP="002361B0">
      <w:pPr>
        <w:pStyle w:val="ListParagraph"/>
        <w:numPr>
          <w:ilvl w:val="0"/>
          <w:numId w:val="37"/>
        </w:numPr>
        <w:tabs>
          <w:tab w:val="left" w:pos="2349"/>
        </w:tabs>
        <w:rPr>
          <w:rFonts w:cs="Arial"/>
          <w:color w:val="000000"/>
          <w:sz w:val="22"/>
          <w:szCs w:val="22"/>
          <w:lang w:eastAsia="en-GB"/>
        </w:rPr>
      </w:pPr>
      <w:r w:rsidRPr="002361B0">
        <w:rPr>
          <w:rFonts w:cs="Arial"/>
          <w:color w:val="000000"/>
          <w:sz w:val="22"/>
          <w:szCs w:val="22"/>
          <w:lang w:eastAsia="en-GB"/>
        </w:rPr>
        <w:t>Mekanike 693.000 €.</w:t>
      </w:r>
    </w:p>
    <w:p w14:paraId="50BC3149" w14:textId="77777777" w:rsidR="002361B0" w:rsidRPr="002361B0" w:rsidRDefault="002361B0" w:rsidP="002361B0">
      <w:pPr>
        <w:pStyle w:val="ListParagraph"/>
        <w:numPr>
          <w:ilvl w:val="0"/>
          <w:numId w:val="37"/>
        </w:numPr>
        <w:tabs>
          <w:tab w:val="left" w:pos="2349"/>
        </w:tabs>
        <w:rPr>
          <w:rFonts w:cs="Arial"/>
          <w:color w:val="000000"/>
          <w:sz w:val="22"/>
          <w:szCs w:val="22"/>
          <w:lang w:eastAsia="en-GB"/>
        </w:rPr>
      </w:pPr>
      <w:r w:rsidRPr="002361B0">
        <w:rPr>
          <w:rFonts w:cs="Arial"/>
          <w:color w:val="000000"/>
          <w:sz w:val="22"/>
          <w:szCs w:val="22"/>
          <w:lang w:eastAsia="en-GB"/>
        </w:rPr>
        <w:t>Automjete 168,000 €.</w:t>
      </w:r>
    </w:p>
    <w:p w14:paraId="5EBBA78B" w14:textId="77777777" w:rsidR="002361B0" w:rsidRPr="002361B0" w:rsidRDefault="002361B0" w:rsidP="002361B0">
      <w:pPr>
        <w:pStyle w:val="ListParagraph"/>
        <w:numPr>
          <w:ilvl w:val="0"/>
          <w:numId w:val="37"/>
        </w:numPr>
        <w:tabs>
          <w:tab w:val="left" w:pos="2349"/>
        </w:tabs>
        <w:rPr>
          <w:rFonts w:cs="Calibri"/>
          <w:color w:val="000000"/>
          <w:sz w:val="22"/>
          <w:szCs w:val="22"/>
          <w:lang w:eastAsia="en-GB"/>
        </w:rPr>
      </w:pPr>
      <w:r w:rsidRPr="002361B0">
        <w:rPr>
          <w:rFonts w:cs="Calibri"/>
          <w:color w:val="000000"/>
          <w:sz w:val="22"/>
          <w:szCs w:val="22"/>
          <w:lang w:eastAsia="en-GB"/>
        </w:rPr>
        <w:t>Të tjera 43,000 €.</w:t>
      </w:r>
    </w:p>
    <w:p w14:paraId="60175A28" w14:textId="77777777" w:rsidR="002361B0" w:rsidRPr="002361B0" w:rsidRDefault="002361B0" w:rsidP="002361B0">
      <w:pPr>
        <w:rPr>
          <w:rFonts w:ascii="Arial Narrow" w:eastAsia="Calibri" w:hAnsi="Arial Narrow" w:cs="Calibri"/>
          <w:b/>
          <w:bCs/>
          <w:sz w:val="22"/>
          <w:szCs w:val="22"/>
        </w:rPr>
      </w:pPr>
    </w:p>
    <w:p w14:paraId="7AEAA87D" w14:textId="77777777" w:rsidR="002361B0" w:rsidRPr="002361B0" w:rsidRDefault="002361B0" w:rsidP="002361B0">
      <w:pPr>
        <w:suppressAutoHyphens/>
        <w:rPr>
          <w:rFonts w:ascii="Arial Narrow" w:eastAsia="Calibri" w:hAnsi="Arial Narrow" w:cs="Calibri"/>
          <w:b/>
          <w:bCs/>
          <w:color w:val="1F3864" w:themeColor="accent1" w:themeShade="80"/>
          <w:sz w:val="22"/>
          <w:szCs w:val="22"/>
        </w:rPr>
      </w:pPr>
      <w:bookmarkStart w:id="586" w:name="_Toc190929293"/>
      <w:r w:rsidRPr="002361B0">
        <w:rPr>
          <w:rFonts w:ascii="Arial Narrow" w:eastAsia="Calibri" w:hAnsi="Arial Narrow" w:cs="Calibri"/>
          <w:b/>
          <w:bCs/>
          <w:color w:val="1F3864" w:themeColor="accent1" w:themeShade="80"/>
          <w:sz w:val="22"/>
          <w:szCs w:val="22"/>
        </w:rPr>
        <w:t>Kostot operacionale të grumbullimit ndaras</w:t>
      </w:r>
      <w:bookmarkEnd w:id="586"/>
    </w:p>
    <w:p w14:paraId="174EBC33" w14:textId="77777777" w:rsidR="002361B0" w:rsidRPr="002361B0" w:rsidRDefault="002361B0" w:rsidP="002361B0">
      <w:pPr>
        <w:rPr>
          <w:rFonts w:ascii="Arial Narrow" w:eastAsia="Calibri" w:hAnsi="Arial Narrow"/>
          <w:b/>
          <w:bCs/>
          <w:sz w:val="22"/>
          <w:szCs w:val="22"/>
          <w:lang w:val="en-GB"/>
        </w:rPr>
      </w:pPr>
      <w:proofErr w:type="spellStart"/>
      <w:r w:rsidRPr="002361B0">
        <w:rPr>
          <w:rFonts w:ascii="Arial Narrow" w:eastAsia="Calibri" w:hAnsi="Arial Narrow"/>
          <w:b/>
          <w:bCs/>
          <w:sz w:val="22"/>
          <w:szCs w:val="22"/>
          <w:lang w:val="en-GB"/>
        </w:rPr>
        <w:t>Grumbullimi</w:t>
      </w:r>
      <w:proofErr w:type="spellEnd"/>
      <w:r w:rsidRPr="002361B0">
        <w:rPr>
          <w:rFonts w:ascii="Arial Narrow" w:eastAsia="Calibri" w:hAnsi="Arial Narrow"/>
          <w:b/>
          <w:bCs/>
          <w:sz w:val="22"/>
          <w:szCs w:val="22"/>
          <w:lang w:val="en-GB"/>
        </w:rPr>
        <w:t xml:space="preserve"> </w:t>
      </w:r>
      <w:proofErr w:type="spellStart"/>
      <w:r w:rsidRPr="002361B0">
        <w:rPr>
          <w:rFonts w:ascii="Arial Narrow" w:eastAsia="Calibri" w:hAnsi="Arial Narrow"/>
          <w:b/>
          <w:bCs/>
          <w:sz w:val="22"/>
          <w:szCs w:val="22"/>
          <w:lang w:val="en-GB"/>
        </w:rPr>
        <w:t>ndaras</w:t>
      </w:r>
      <w:proofErr w:type="spellEnd"/>
    </w:p>
    <w:p w14:paraId="42969C83" w14:textId="77777777" w:rsidR="002361B0" w:rsidRPr="002361B0" w:rsidRDefault="002361B0" w:rsidP="002361B0">
      <w:pPr>
        <w:numPr>
          <w:ilvl w:val="0"/>
          <w:numId w:val="25"/>
        </w:numPr>
        <w:jc w:val="both"/>
        <w:rPr>
          <w:rFonts w:ascii="Arial Narrow" w:eastAsia="Calibri" w:hAnsi="Arial Narrow" w:cs="Calibri"/>
          <w:color w:val="000000" w:themeColor="text1"/>
          <w:sz w:val="22"/>
          <w:szCs w:val="22"/>
          <w:lang w:val="en-GB"/>
        </w:rPr>
      </w:pPr>
      <w:proofErr w:type="spellStart"/>
      <w:r w:rsidRPr="002361B0">
        <w:rPr>
          <w:rFonts w:ascii="Arial Narrow" w:eastAsia="Calibri" w:hAnsi="Arial Narrow" w:cs="Calibri"/>
          <w:color w:val="000000" w:themeColor="text1"/>
          <w:sz w:val="22"/>
          <w:szCs w:val="22"/>
          <w:lang w:val="en-GB"/>
        </w:rPr>
        <w:t>Kostot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vjetore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mirëmbajtjes</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për</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kamionët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janë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vlerësuar</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në</w:t>
      </w:r>
      <w:proofErr w:type="spellEnd"/>
      <w:r w:rsidRPr="002361B0">
        <w:rPr>
          <w:rFonts w:ascii="Arial Narrow" w:eastAsia="Calibri" w:hAnsi="Arial Narrow" w:cs="Calibri"/>
          <w:color w:val="000000" w:themeColor="text1"/>
          <w:sz w:val="22"/>
          <w:szCs w:val="22"/>
          <w:lang w:val="en-GB"/>
        </w:rPr>
        <w:t xml:space="preserve"> 5% </w:t>
      </w:r>
      <w:proofErr w:type="spellStart"/>
      <w:r w:rsidRPr="002361B0">
        <w:rPr>
          <w:rFonts w:ascii="Arial Narrow" w:eastAsia="Calibri" w:hAnsi="Arial Narrow" w:cs="Calibri"/>
          <w:color w:val="000000" w:themeColor="text1"/>
          <w:sz w:val="22"/>
          <w:szCs w:val="22"/>
          <w:lang w:val="en-GB"/>
        </w:rPr>
        <w:t>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kostove</w:t>
      </w:r>
      <w:proofErr w:type="spellEnd"/>
      <w:r w:rsidRPr="002361B0">
        <w:rPr>
          <w:rFonts w:ascii="Arial Narrow" w:eastAsia="Calibri" w:hAnsi="Arial Narrow" w:cs="Calibri"/>
          <w:color w:val="000000" w:themeColor="text1"/>
          <w:sz w:val="22"/>
          <w:szCs w:val="22"/>
          <w:lang w:val="en-GB"/>
        </w:rPr>
        <w:t xml:space="preserve"> </w:t>
      </w:r>
      <w:proofErr w:type="spellStart"/>
      <w:proofErr w:type="gramStart"/>
      <w:r w:rsidRPr="002361B0">
        <w:rPr>
          <w:rFonts w:ascii="Arial Narrow" w:eastAsia="Calibri" w:hAnsi="Arial Narrow" w:cs="Calibri"/>
          <w:color w:val="000000" w:themeColor="text1"/>
          <w:sz w:val="22"/>
          <w:szCs w:val="22"/>
          <w:lang w:val="en-GB"/>
        </w:rPr>
        <w:t>investive</w:t>
      </w:r>
      <w:proofErr w:type="spellEnd"/>
      <w:r w:rsidRPr="002361B0">
        <w:rPr>
          <w:rFonts w:ascii="Arial Narrow" w:eastAsia="Calibri" w:hAnsi="Arial Narrow" w:cs="Calibri"/>
          <w:color w:val="000000" w:themeColor="text1"/>
          <w:sz w:val="22"/>
          <w:szCs w:val="22"/>
          <w:lang w:val="en-GB"/>
        </w:rPr>
        <w:t>;</w:t>
      </w:r>
      <w:proofErr w:type="gramEnd"/>
    </w:p>
    <w:p w14:paraId="26FF18F8" w14:textId="77777777" w:rsidR="002361B0" w:rsidRPr="002361B0" w:rsidRDefault="002361B0" w:rsidP="002361B0">
      <w:pPr>
        <w:numPr>
          <w:ilvl w:val="0"/>
          <w:numId w:val="25"/>
        </w:numPr>
        <w:jc w:val="both"/>
        <w:rPr>
          <w:rFonts w:ascii="Arial Narrow" w:eastAsia="Calibri" w:hAnsi="Arial Narrow" w:cs="Calibri"/>
          <w:color w:val="000000" w:themeColor="text1"/>
          <w:sz w:val="22"/>
          <w:szCs w:val="22"/>
          <w:lang w:val="en-GB"/>
        </w:rPr>
      </w:pPr>
      <w:proofErr w:type="spellStart"/>
      <w:r w:rsidRPr="002361B0">
        <w:rPr>
          <w:rFonts w:ascii="Arial Narrow" w:eastAsia="Calibri" w:hAnsi="Arial Narrow" w:cs="Calibri"/>
          <w:color w:val="000000" w:themeColor="text1"/>
          <w:sz w:val="22"/>
          <w:szCs w:val="22"/>
          <w:lang w:val="en-GB"/>
        </w:rPr>
        <w:t>Kostot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vjetore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mirëmbajtjes</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për</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kontejnerët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janë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përcaktuar</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si</w:t>
      </w:r>
      <w:proofErr w:type="spellEnd"/>
      <w:r w:rsidRPr="002361B0">
        <w:rPr>
          <w:rFonts w:ascii="Arial Narrow" w:eastAsia="Calibri" w:hAnsi="Arial Narrow" w:cs="Calibri"/>
          <w:color w:val="000000" w:themeColor="text1"/>
          <w:sz w:val="22"/>
          <w:szCs w:val="22"/>
          <w:lang w:val="en-GB"/>
        </w:rPr>
        <w:t xml:space="preserve"> 2% e </w:t>
      </w:r>
      <w:proofErr w:type="spellStart"/>
      <w:r w:rsidRPr="002361B0">
        <w:rPr>
          <w:rFonts w:ascii="Arial Narrow" w:eastAsia="Calibri" w:hAnsi="Arial Narrow" w:cs="Calibri"/>
          <w:color w:val="000000" w:themeColor="text1"/>
          <w:sz w:val="22"/>
          <w:szCs w:val="22"/>
          <w:lang w:val="en-GB"/>
        </w:rPr>
        <w:t>kostove</w:t>
      </w:r>
      <w:proofErr w:type="spellEnd"/>
      <w:r w:rsidRPr="002361B0">
        <w:rPr>
          <w:rFonts w:ascii="Arial Narrow" w:eastAsia="Calibri" w:hAnsi="Arial Narrow" w:cs="Calibri"/>
          <w:color w:val="000000" w:themeColor="text1"/>
          <w:sz w:val="22"/>
          <w:szCs w:val="22"/>
          <w:lang w:val="en-GB"/>
        </w:rPr>
        <w:t xml:space="preserve"> </w:t>
      </w:r>
      <w:proofErr w:type="spellStart"/>
      <w:proofErr w:type="gramStart"/>
      <w:r w:rsidRPr="002361B0">
        <w:rPr>
          <w:rFonts w:ascii="Arial Narrow" w:eastAsia="Calibri" w:hAnsi="Arial Narrow" w:cs="Calibri"/>
          <w:color w:val="000000" w:themeColor="text1"/>
          <w:sz w:val="22"/>
          <w:szCs w:val="22"/>
          <w:lang w:val="en-GB"/>
        </w:rPr>
        <w:t>investive</w:t>
      </w:r>
      <w:proofErr w:type="spellEnd"/>
      <w:r w:rsidRPr="002361B0">
        <w:rPr>
          <w:rFonts w:ascii="Arial Narrow" w:eastAsia="Calibri" w:hAnsi="Arial Narrow" w:cs="Calibri"/>
          <w:color w:val="000000" w:themeColor="text1"/>
          <w:sz w:val="22"/>
          <w:szCs w:val="22"/>
          <w:lang w:val="en-GB"/>
        </w:rPr>
        <w:t>;</w:t>
      </w:r>
      <w:proofErr w:type="gramEnd"/>
    </w:p>
    <w:p w14:paraId="236DB198" w14:textId="77777777" w:rsidR="002361B0" w:rsidRPr="002361B0" w:rsidRDefault="002361B0" w:rsidP="002361B0">
      <w:pPr>
        <w:numPr>
          <w:ilvl w:val="0"/>
          <w:numId w:val="25"/>
        </w:numPr>
        <w:jc w:val="both"/>
        <w:rPr>
          <w:rFonts w:ascii="Arial Narrow" w:eastAsia="Calibri" w:hAnsi="Arial Narrow" w:cs="Calibri"/>
          <w:color w:val="000000" w:themeColor="text1"/>
          <w:sz w:val="22"/>
          <w:szCs w:val="22"/>
          <w:lang w:val="en-GB"/>
        </w:rPr>
      </w:pPr>
      <w:proofErr w:type="spellStart"/>
      <w:r w:rsidRPr="002361B0">
        <w:rPr>
          <w:rFonts w:ascii="Arial Narrow" w:eastAsia="Calibri" w:hAnsi="Arial Narrow" w:cs="Calibri"/>
          <w:color w:val="000000" w:themeColor="text1"/>
          <w:sz w:val="22"/>
          <w:szCs w:val="22"/>
          <w:lang w:val="en-GB"/>
        </w:rPr>
        <w:lastRenderedPageBreak/>
        <w:t>Kostot</w:t>
      </w:r>
      <w:proofErr w:type="spellEnd"/>
      <w:r w:rsidRPr="002361B0">
        <w:rPr>
          <w:rFonts w:ascii="Arial Narrow" w:eastAsia="Calibri" w:hAnsi="Arial Narrow" w:cs="Calibri"/>
          <w:color w:val="000000" w:themeColor="text1"/>
          <w:sz w:val="22"/>
          <w:szCs w:val="22"/>
          <w:lang w:val="en-GB"/>
        </w:rPr>
        <w:t xml:space="preserve"> e </w:t>
      </w:r>
      <w:proofErr w:type="spellStart"/>
      <w:r w:rsidRPr="002361B0">
        <w:rPr>
          <w:rFonts w:ascii="Arial Narrow" w:eastAsia="Calibri" w:hAnsi="Arial Narrow" w:cs="Calibri"/>
          <w:color w:val="000000" w:themeColor="text1"/>
          <w:sz w:val="22"/>
          <w:szCs w:val="22"/>
          <w:lang w:val="en-GB"/>
        </w:rPr>
        <w:t>punëve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llogariten</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për</w:t>
      </w:r>
      <w:proofErr w:type="spellEnd"/>
      <w:r w:rsidRPr="002361B0">
        <w:rPr>
          <w:rFonts w:ascii="Arial Narrow" w:eastAsia="Calibri" w:hAnsi="Arial Narrow" w:cs="Calibri"/>
          <w:color w:val="000000" w:themeColor="text1"/>
          <w:sz w:val="22"/>
          <w:szCs w:val="22"/>
          <w:lang w:val="en-GB"/>
        </w:rPr>
        <w:t xml:space="preserve"> 46 </w:t>
      </w:r>
      <w:proofErr w:type="spellStart"/>
      <w:r w:rsidRPr="002361B0">
        <w:rPr>
          <w:rFonts w:ascii="Arial Narrow" w:eastAsia="Calibri" w:hAnsi="Arial Narrow" w:cs="Calibri"/>
          <w:color w:val="000000" w:themeColor="text1"/>
          <w:sz w:val="22"/>
          <w:szCs w:val="22"/>
          <w:lang w:val="en-GB"/>
        </w:rPr>
        <w:t>javë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pune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për</w:t>
      </w:r>
      <w:proofErr w:type="spellEnd"/>
      <w:r w:rsidRPr="002361B0">
        <w:rPr>
          <w:rFonts w:ascii="Arial Narrow" w:eastAsia="Calibri" w:hAnsi="Arial Narrow" w:cs="Calibri"/>
          <w:color w:val="000000" w:themeColor="text1"/>
          <w:sz w:val="22"/>
          <w:szCs w:val="22"/>
          <w:lang w:val="en-GB"/>
        </w:rPr>
        <w:t xml:space="preserve"> person, 5 </w:t>
      </w:r>
      <w:proofErr w:type="spellStart"/>
      <w:r w:rsidRPr="002361B0">
        <w:rPr>
          <w:rFonts w:ascii="Arial Narrow" w:eastAsia="Calibri" w:hAnsi="Arial Narrow" w:cs="Calibri"/>
          <w:color w:val="000000" w:themeColor="text1"/>
          <w:sz w:val="22"/>
          <w:szCs w:val="22"/>
          <w:lang w:val="en-GB"/>
        </w:rPr>
        <w:t>ditë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pune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në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javë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dhe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mesatarisht</w:t>
      </w:r>
      <w:proofErr w:type="spellEnd"/>
      <w:r w:rsidRPr="002361B0">
        <w:rPr>
          <w:rFonts w:ascii="Arial Narrow" w:eastAsia="Calibri" w:hAnsi="Arial Narrow" w:cs="Calibri"/>
          <w:color w:val="000000" w:themeColor="text1"/>
          <w:sz w:val="22"/>
          <w:szCs w:val="22"/>
          <w:lang w:val="en-GB"/>
        </w:rPr>
        <w:t xml:space="preserve"> 5% </w:t>
      </w:r>
      <w:proofErr w:type="spellStart"/>
      <w:r w:rsidRPr="002361B0">
        <w:rPr>
          <w:rFonts w:ascii="Arial Narrow" w:eastAsia="Calibri" w:hAnsi="Arial Narrow" w:cs="Calibri"/>
          <w:color w:val="000000" w:themeColor="text1"/>
          <w:sz w:val="22"/>
          <w:szCs w:val="22"/>
          <w:lang w:val="en-GB"/>
        </w:rPr>
        <w:t>pushim</w:t>
      </w:r>
      <w:proofErr w:type="spellEnd"/>
      <w:r w:rsidRPr="002361B0">
        <w:rPr>
          <w:rFonts w:ascii="Arial Narrow" w:eastAsia="Calibri" w:hAnsi="Arial Narrow" w:cs="Calibri"/>
          <w:color w:val="000000" w:themeColor="text1"/>
          <w:sz w:val="22"/>
          <w:szCs w:val="22"/>
          <w:lang w:val="en-GB"/>
        </w:rPr>
        <w:t xml:space="preserve"> </w:t>
      </w:r>
      <w:proofErr w:type="spellStart"/>
      <w:proofErr w:type="gramStart"/>
      <w:r w:rsidRPr="002361B0">
        <w:rPr>
          <w:rFonts w:ascii="Arial Narrow" w:eastAsia="Calibri" w:hAnsi="Arial Narrow" w:cs="Calibri"/>
          <w:color w:val="000000" w:themeColor="text1"/>
          <w:sz w:val="22"/>
          <w:szCs w:val="22"/>
          <w:lang w:val="en-GB"/>
        </w:rPr>
        <w:t>mjekësor</w:t>
      </w:r>
      <w:proofErr w:type="spellEnd"/>
      <w:r w:rsidRPr="002361B0">
        <w:rPr>
          <w:rFonts w:ascii="Arial Narrow" w:eastAsia="Calibri" w:hAnsi="Arial Narrow" w:cs="Calibri"/>
          <w:color w:val="000000" w:themeColor="text1"/>
          <w:sz w:val="22"/>
          <w:szCs w:val="22"/>
          <w:lang w:val="en-GB"/>
        </w:rPr>
        <w:t>;</w:t>
      </w:r>
      <w:proofErr w:type="gramEnd"/>
    </w:p>
    <w:p w14:paraId="4242E358" w14:textId="77777777" w:rsidR="002361B0" w:rsidRPr="002361B0" w:rsidRDefault="002361B0" w:rsidP="002361B0">
      <w:pPr>
        <w:numPr>
          <w:ilvl w:val="0"/>
          <w:numId w:val="25"/>
        </w:numPr>
        <w:jc w:val="both"/>
        <w:rPr>
          <w:rFonts w:ascii="Arial Narrow" w:eastAsia="Calibri" w:hAnsi="Arial Narrow" w:cs="Calibri"/>
          <w:color w:val="000000" w:themeColor="text1"/>
          <w:sz w:val="22"/>
          <w:szCs w:val="22"/>
          <w:lang w:val="en-GB"/>
        </w:rPr>
      </w:pPr>
      <w:proofErr w:type="spellStart"/>
      <w:r w:rsidRPr="002361B0">
        <w:rPr>
          <w:rFonts w:ascii="Arial Narrow" w:eastAsia="Calibri" w:hAnsi="Arial Narrow" w:cs="Calibri"/>
          <w:color w:val="000000" w:themeColor="text1"/>
          <w:sz w:val="22"/>
          <w:szCs w:val="22"/>
          <w:lang w:val="en-GB"/>
        </w:rPr>
        <w:t>Kostot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për</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ndërgjegjësimin</w:t>
      </w:r>
      <w:proofErr w:type="spellEnd"/>
      <w:r w:rsidRPr="002361B0">
        <w:rPr>
          <w:rFonts w:ascii="Arial Narrow" w:eastAsia="Calibri" w:hAnsi="Arial Narrow" w:cs="Calibri"/>
          <w:color w:val="000000" w:themeColor="text1"/>
          <w:sz w:val="22"/>
          <w:szCs w:val="22"/>
          <w:lang w:val="en-GB"/>
        </w:rPr>
        <w:t xml:space="preserve"> e </w:t>
      </w:r>
      <w:proofErr w:type="spellStart"/>
      <w:r w:rsidRPr="002361B0">
        <w:rPr>
          <w:rFonts w:ascii="Arial Narrow" w:eastAsia="Calibri" w:hAnsi="Arial Narrow" w:cs="Calibri"/>
          <w:color w:val="000000" w:themeColor="text1"/>
          <w:sz w:val="22"/>
          <w:szCs w:val="22"/>
          <w:lang w:val="en-GB"/>
        </w:rPr>
        <w:t>publikut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llogariten</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në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masën</w:t>
      </w:r>
      <w:proofErr w:type="spellEnd"/>
      <w:r w:rsidRPr="002361B0">
        <w:rPr>
          <w:rFonts w:ascii="Arial Narrow" w:eastAsia="Calibri" w:hAnsi="Arial Narrow" w:cs="Calibri"/>
          <w:color w:val="000000" w:themeColor="text1"/>
          <w:sz w:val="22"/>
          <w:szCs w:val="22"/>
          <w:lang w:val="en-GB"/>
        </w:rPr>
        <w:t xml:space="preserve"> 10% </w:t>
      </w:r>
      <w:proofErr w:type="spellStart"/>
      <w:r w:rsidRPr="002361B0">
        <w:rPr>
          <w:rFonts w:ascii="Arial Narrow" w:eastAsia="Calibri" w:hAnsi="Arial Narrow" w:cs="Calibri"/>
          <w:color w:val="000000" w:themeColor="text1"/>
          <w:sz w:val="22"/>
          <w:szCs w:val="22"/>
          <w:lang w:val="en-GB"/>
        </w:rPr>
        <w:t>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kostove</w:t>
      </w:r>
      <w:proofErr w:type="spellEnd"/>
      <w:r w:rsidRPr="002361B0">
        <w:rPr>
          <w:rFonts w:ascii="Arial Narrow" w:eastAsia="Calibri" w:hAnsi="Arial Narrow" w:cs="Calibri"/>
          <w:color w:val="000000" w:themeColor="text1"/>
          <w:sz w:val="22"/>
          <w:szCs w:val="22"/>
          <w:lang w:val="en-GB"/>
        </w:rPr>
        <w:t xml:space="preserve"> </w:t>
      </w:r>
      <w:proofErr w:type="spellStart"/>
      <w:proofErr w:type="gramStart"/>
      <w:r w:rsidRPr="002361B0">
        <w:rPr>
          <w:rFonts w:ascii="Arial Narrow" w:eastAsia="Calibri" w:hAnsi="Arial Narrow" w:cs="Calibri"/>
          <w:color w:val="000000" w:themeColor="text1"/>
          <w:sz w:val="22"/>
          <w:szCs w:val="22"/>
          <w:lang w:val="en-GB"/>
        </w:rPr>
        <w:t>vjetore</w:t>
      </w:r>
      <w:proofErr w:type="spellEnd"/>
      <w:r w:rsidRPr="002361B0">
        <w:rPr>
          <w:rFonts w:ascii="Arial Narrow" w:eastAsia="Calibri" w:hAnsi="Arial Narrow" w:cs="Calibri"/>
          <w:color w:val="000000" w:themeColor="text1"/>
          <w:sz w:val="22"/>
          <w:szCs w:val="22"/>
          <w:lang w:val="en-GB"/>
        </w:rPr>
        <w:t>;</w:t>
      </w:r>
      <w:proofErr w:type="gramEnd"/>
    </w:p>
    <w:p w14:paraId="1B18799E" w14:textId="77777777" w:rsidR="002361B0" w:rsidRPr="002361B0" w:rsidRDefault="002361B0" w:rsidP="002361B0">
      <w:pPr>
        <w:numPr>
          <w:ilvl w:val="0"/>
          <w:numId w:val="25"/>
        </w:numPr>
        <w:jc w:val="both"/>
        <w:rPr>
          <w:rFonts w:ascii="Arial Narrow" w:eastAsia="Calibri" w:hAnsi="Arial Narrow" w:cs="Calibri"/>
          <w:color w:val="000000" w:themeColor="text1"/>
          <w:sz w:val="22"/>
          <w:szCs w:val="22"/>
          <w:lang w:val="en-GB"/>
        </w:rPr>
      </w:pPr>
      <w:proofErr w:type="spellStart"/>
      <w:r w:rsidRPr="002361B0">
        <w:rPr>
          <w:rFonts w:ascii="Arial Narrow" w:eastAsia="Calibri" w:hAnsi="Arial Narrow" w:cs="Calibri"/>
          <w:color w:val="000000" w:themeColor="text1"/>
          <w:sz w:val="22"/>
          <w:szCs w:val="22"/>
          <w:lang w:val="en-GB"/>
        </w:rPr>
        <w:t>Kostot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për</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administrimin</w:t>
      </w:r>
      <w:proofErr w:type="spellEnd"/>
      <w:r w:rsidRPr="002361B0">
        <w:rPr>
          <w:rFonts w:ascii="Arial Narrow" w:eastAsia="Calibri" w:hAnsi="Arial Narrow" w:cs="Calibri"/>
          <w:color w:val="000000" w:themeColor="text1"/>
          <w:sz w:val="22"/>
          <w:szCs w:val="22"/>
          <w:lang w:val="en-GB"/>
        </w:rPr>
        <w:t xml:space="preserve"> e </w:t>
      </w:r>
      <w:proofErr w:type="spellStart"/>
      <w:r w:rsidRPr="002361B0">
        <w:rPr>
          <w:rFonts w:ascii="Arial Narrow" w:eastAsia="Calibri" w:hAnsi="Arial Narrow" w:cs="Calibri"/>
          <w:color w:val="000000" w:themeColor="text1"/>
          <w:sz w:val="22"/>
          <w:szCs w:val="22"/>
          <w:lang w:val="en-GB"/>
        </w:rPr>
        <w:t>sistemit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parashihet</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të</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jenë</w:t>
      </w:r>
      <w:proofErr w:type="spellEnd"/>
      <w:r w:rsidRPr="002361B0">
        <w:rPr>
          <w:rFonts w:ascii="Arial Narrow" w:eastAsia="Calibri" w:hAnsi="Arial Narrow" w:cs="Calibri"/>
          <w:color w:val="000000" w:themeColor="text1"/>
          <w:sz w:val="22"/>
          <w:szCs w:val="22"/>
          <w:lang w:val="en-GB"/>
        </w:rPr>
        <w:t xml:space="preserve"> 10% e </w:t>
      </w:r>
      <w:proofErr w:type="spellStart"/>
      <w:r w:rsidRPr="002361B0">
        <w:rPr>
          <w:rFonts w:ascii="Arial Narrow" w:eastAsia="Calibri" w:hAnsi="Arial Narrow" w:cs="Calibri"/>
          <w:color w:val="000000" w:themeColor="text1"/>
          <w:sz w:val="22"/>
          <w:szCs w:val="22"/>
          <w:lang w:val="en-GB"/>
        </w:rPr>
        <w:t>kostove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direkte</w:t>
      </w:r>
      <w:proofErr w:type="spellEnd"/>
      <w:r w:rsidRPr="002361B0">
        <w:rPr>
          <w:rFonts w:ascii="Arial Narrow" w:eastAsia="Calibri" w:hAnsi="Arial Narrow" w:cs="Calibri"/>
          <w:color w:val="000000" w:themeColor="text1"/>
          <w:sz w:val="22"/>
          <w:szCs w:val="22"/>
          <w:lang w:val="en-GB"/>
        </w:rPr>
        <w:t xml:space="preserve"> </w:t>
      </w:r>
      <w:proofErr w:type="spellStart"/>
      <w:r w:rsidRPr="002361B0">
        <w:rPr>
          <w:rFonts w:ascii="Arial Narrow" w:eastAsia="Calibri" w:hAnsi="Arial Narrow" w:cs="Calibri"/>
          <w:color w:val="000000" w:themeColor="text1"/>
          <w:sz w:val="22"/>
          <w:szCs w:val="22"/>
          <w:lang w:val="en-GB"/>
        </w:rPr>
        <w:t>operacionale</w:t>
      </w:r>
      <w:proofErr w:type="spellEnd"/>
      <w:r w:rsidRPr="002361B0">
        <w:rPr>
          <w:rFonts w:ascii="Arial Narrow" w:eastAsia="Calibri" w:hAnsi="Arial Narrow" w:cs="Calibri"/>
          <w:color w:val="000000" w:themeColor="text1"/>
          <w:sz w:val="22"/>
          <w:szCs w:val="22"/>
          <w:lang w:val="en-GB"/>
        </w:rPr>
        <w:t>.</w:t>
      </w:r>
    </w:p>
    <w:p w14:paraId="14FE634A" w14:textId="77777777" w:rsidR="002361B0" w:rsidRPr="002361B0" w:rsidRDefault="002361B0" w:rsidP="002361B0">
      <w:pPr>
        <w:rPr>
          <w:rFonts w:ascii="Arial Narrow" w:eastAsia="Calibri" w:hAnsi="Arial Narrow"/>
          <w:b/>
          <w:bCs/>
          <w:sz w:val="22"/>
          <w:szCs w:val="22"/>
          <w:lang w:val="en-GB"/>
        </w:rPr>
      </w:pPr>
    </w:p>
    <w:p w14:paraId="7E33CCE5" w14:textId="77777777" w:rsidR="002361B0" w:rsidRPr="002361B0" w:rsidRDefault="002361B0" w:rsidP="002361B0">
      <w:pPr>
        <w:rPr>
          <w:rFonts w:ascii="Arial Narrow" w:eastAsia="Calibri" w:hAnsi="Arial Narrow" w:cs="Calibri"/>
          <w:sz w:val="22"/>
          <w:szCs w:val="22"/>
        </w:rPr>
      </w:pPr>
      <w:r w:rsidRPr="002361B0">
        <w:rPr>
          <w:rFonts w:ascii="Arial Narrow" w:eastAsia="Calibri" w:hAnsi="Arial Narrow" w:cs="Calibri"/>
          <w:sz w:val="22"/>
          <w:szCs w:val="22"/>
        </w:rPr>
        <w:t>Deri në vitin 2035, kostot vjetore toperacionale dhe mirëmbajtjes për grumbullimin ndaras të materialeve të riciklueshme për gjithë rajonin rriten nga 660,000 në 1,3 milionë EUR.</w:t>
      </w:r>
    </w:p>
    <w:p w14:paraId="2448642E" w14:textId="77777777" w:rsidR="002361B0" w:rsidRPr="002361B0" w:rsidRDefault="002361B0" w:rsidP="002361B0">
      <w:pPr>
        <w:rPr>
          <w:rFonts w:ascii="Arial Narrow" w:eastAsia="Calibri" w:hAnsi="Arial Narrow" w:cs="Calibri"/>
          <w:sz w:val="22"/>
          <w:szCs w:val="22"/>
        </w:rPr>
      </w:pPr>
    </w:p>
    <w:p w14:paraId="0837FD46" w14:textId="77777777" w:rsidR="002361B0" w:rsidRPr="002361B0" w:rsidRDefault="002361B0" w:rsidP="002361B0">
      <w:pPr>
        <w:suppressAutoHyphens/>
        <w:rPr>
          <w:rFonts w:ascii="Arial Narrow" w:eastAsia="Calibri" w:hAnsi="Arial Narrow" w:cs="Calibri"/>
          <w:b/>
          <w:bCs/>
          <w:sz w:val="22"/>
          <w:szCs w:val="22"/>
        </w:rPr>
      </w:pPr>
      <w:r w:rsidRPr="002361B0">
        <w:rPr>
          <w:rFonts w:ascii="Arial Narrow" w:eastAsia="Calibri" w:hAnsi="Arial Narrow" w:cs="Calibri"/>
          <w:b/>
          <w:bCs/>
          <w:color w:val="1F3864" w:themeColor="accent1" w:themeShade="80"/>
          <w:sz w:val="22"/>
          <w:szCs w:val="22"/>
        </w:rPr>
        <w:t>Kostot operacionale për objektin e klasifikimit</w:t>
      </w:r>
    </w:p>
    <w:p w14:paraId="66FC219F" w14:textId="77777777" w:rsidR="002361B0" w:rsidRPr="002361B0" w:rsidRDefault="002361B0" w:rsidP="002361B0">
      <w:pPr>
        <w:rPr>
          <w:rFonts w:ascii="Arial Narrow" w:eastAsia="Calibri" w:hAnsi="Arial Narrow" w:cs="Calibri"/>
          <w:sz w:val="22"/>
          <w:szCs w:val="22"/>
        </w:rPr>
      </w:pPr>
    </w:p>
    <w:p w14:paraId="71A2BDA1" w14:textId="77777777" w:rsidR="002361B0" w:rsidRPr="002361B0" w:rsidRDefault="002361B0" w:rsidP="002361B0">
      <w:pPr>
        <w:rPr>
          <w:rFonts w:ascii="Arial Narrow" w:eastAsia="Calibri" w:hAnsi="Arial Narrow" w:cs="Calibri"/>
          <w:sz w:val="22"/>
          <w:szCs w:val="22"/>
        </w:rPr>
      </w:pPr>
      <w:r w:rsidRPr="002361B0">
        <w:rPr>
          <w:rFonts w:ascii="Arial Narrow" w:eastAsia="Calibri" w:hAnsi="Arial Narrow" w:cs="Calibri"/>
          <w:sz w:val="22"/>
          <w:szCs w:val="22"/>
        </w:rPr>
        <w:t>Stafi i punësuar rritet nga 36 në 55 persona dhe kostot e pagave vjetore rriten nga 270 në 400 mijë euro. Kostot vjetore të mirëmbajtjes përkufizohen si 1% e kostos së punëve civile, 6% e kostos mekanike, 15% e automjetit dhe 10% e kostove të tjera investive dhe arrijnë në 78 mijë euro. Kostot vjetore të energjisë elektrike rriten nga 24 në 48 mijë euro, kostot e naftës nga 20 në 43 mijë euro. Kostot administrative, taksat dhe sigurimet përcaktohen si 14% e kostove të tjera operacionale vjetore.</w:t>
      </w:r>
    </w:p>
    <w:p w14:paraId="0B51C6C6" w14:textId="77777777" w:rsidR="002361B0" w:rsidRPr="002361B0" w:rsidRDefault="002361B0" w:rsidP="002361B0">
      <w:pPr>
        <w:rPr>
          <w:rFonts w:ascii="Arial Narrow" w:eastAsia="Calibri" w:hAnsi="Arial Narrow" w:cs="Calibri"/>
          <w:sz w:val="22"/>
          <w:szCs w:val="22"/>
        </w:rPr>
      </w:pPr>
      <w:r w:rsidRPr="002361B0">
        <w:rPr>
          <w:rFonts w:ascii="Arial Narrow" w:eastAsia="Calibri" w:hAnsi="Arial Narrow" w:cs="Calibri"/>
          <w:sz w:val="22"/>
          <w:szCs w:val="22"/>
        </w:rPr>
        <w:t>Kështu, kostot totale operacionale dhe mirëmbajtjes rriten nga 455 në 665 mijë euro.</w:t>
      </w:r>
    </w:p>
    <w:p w14:paraId="5B434204" w14:textId="77777777" w:rsidR="002361B0" w:rsidRPr="002361B0" w:rsidRDefault="002361B0" w:rsidP="002361B0">
      <w:pPr>
        <w:rPr>
          <w:rFonts w:ascii="Arial Narrow" w:eastAsia="Calibri" w:hAnsi="Arial Narrow" w:cs="Calibri"/>
          <w:b/>
          <w:bCs/>
          <w:sz w:val="22"/>
          <w:szCs w:val="22"/>
        </w:rPr>
      </w:pPr>
    </w:p>
    <w:p w14:paraId="3E48741C" w14:textId="77777777" w:rsidR="002361B0" w:rsidRPr="002361B0" w:rsidRDefault="002361B0" w:rsidP="002361B0">
      <w:pPr>
        <w:rPr>
          <w:rFonts w:ascii="Arial Narrow" w:eastAsia="Calibri" w:hAnsi="Arial Narrow" w:cs="Calibri"/>
          <w:b/>
          <w:bCs/>
          <w:sz w:val="22"/>
          <w:szCs w:val="22"/>
        </w:rPr>
      </w:pPr>
      <w:r w:rsidRPr="002361B0">
        <w:rPr>
          <w:rFonts w:ascii="Arial Narrow" w:eastAsia="Calibri" w:hAnsi="Arial Narrow" w:cs="Calibri"/>
          <w:b/>
          <w:bCs/>
          <w:sz w:val="22"/>
          <w:szCs w:val="22"/>
        </w:rPr>
        <w:t>Deponimi i mbeturinave të përziera në deponi</w:t>
      </w:r>
    </w:p>
    <w:p w14:paraId="7C9B3C25" w14:textId="77777777" w:rsidR="002361B0" w:rsidRPr="002361B0" w:rsidRDefault="002361B0" w:rsidP="002361B0">
      <w:pPr>
        <w:rPr>
          <w:rFonts w:ascii="Arial Narrow" w:eastAsia="Calibri" w:hAnsi="Arial Narrow" w:cs="Calibri"/>
          <w:b/>
          <w:bCs/>
          <w:sz w:val="22"/>
          <w:szCs w:val="22"/>
        </w:rPr>
      </w:pPr>
    </w:p>
    <w:p w14:paraId="6A5F5FCF" w14:textId="77777777" w:rsidR="002361B0" w:rsidRPr="002361B0" w:rsidRDefault="002361B0" w:rsidP="002361B0">
      <w:pPr>
        <w:rPr>
          <w:rFonts w:ascii="Arial Narrow" w:eastAsia="Calibri" w:hAnsi="Arial Narrow" w:cs="Calibri"/>
          <w:sz w:val="22"/>
          <w:szCs w:val="22"/>
        </w:rPr>
      </w:pPr>
      <w:r w:rsidRPr="002361B0">
        <w:rPr>
          <w:rFonts w:ascii="Arial Narrow" w:eastAsia="Calibri" w:hAnsi="Arial Narrow" w:cs="Calibri"/>
          <w:sz w:val="22"/>
          <w:szCs w:val="22"/>
        </w:rPr>
        <w:t>Kostoja vjetore e deponimit të mbeturinave të përziera nga impianti i klasifikimit përcaktohet në bazë të tarifës së portës në deponi dhe sasive të papastërtive të deponuara.</w:t>
      </w:r>
    </w:p>
    <w:p w14:paraId="67EB7884" w14:textId="77777777" w:rsidR="002361B0" w:rsidRPr="002361B0" w:rsidRDefault="002361B0" w:rsidP="002361B0">
      <w:pPr>
        <w:rPr>
          <w:rFonts w:ascii="Arial Narrow" w:eastAsia="Calibri" w:hAnsi="Arial Narrow" w:cs="Calibri"/>
          <w:b/>
          <w:bCs/>
          <w:sz w:val="22"/>
          <w:szCs w:val="22"/>
        </w:rPr>
      </w:pPr>
    </w:p>
    <w:p w14:paraId="4F7B4482" w14:textId="77777777" w:rsidR="002361B0" w:rsidRPr="002361B0" w:rsidRDefault="002361B0" w:rsidP="002361B0">
      <w:pPr>
        <w:suppressAutoHyphens/>
        <w:rPr>
          <w:rFonts w:ascii="Arial Narrow" w:eastAsia="Calibri" w:hAnsi="Arial Narrow" w:cs="Calibri"/>
          <w:b/>
          <w:bCs/>
          <w:color w:val="1F3864" w:themeColor="accent1" w:themeShade="80"/>
          <w:sz w:val="22"/>
          <w:szCs w:val="22"/>
        </w:rPr>
      </w:pPr>
      <w:bookmarkStart w:id="587" w:name="_Toc190929294"/>
      <w:r w:rsidRPr="002361B0">
        <w:rPr>
          <w:rFonts w:ascii="Arial Narrow" w:eastAsia="Calibri" w:hAnsi="Arial Narrow" w:cs="Calibri"/>
          <w:b/>
          <w:bCs/>
          <w:color w:val="1F3864" w:themeColor="accent1" w:themeShade="80"/>
          <w:sz w:val="22"/>
          <w:szCs w:val="22"/>
        </w:rPr>
        <w:t>Të hyrat nga shitja e materialeve të riciklueshme</w:t>
      </w:r>
      <w:bookmarkEnd w:id="587"/>
    </w:p>
    <w:p w14:paraId="46FFFFED" w14:textId="77777777" w:rsidR="002361B0" w:rsidRPr="009F5CA1" w:rsidRDefault="002361B0" w:rsidP="002361B0">
      <w:pPr>
        <w:rPr>
          <w:rFonts w:ascii="Arial Narrow" w:hAnsi="Arial Narrow"/>
          <w:sz w:val="22"/>
          <w:szCs w:val="22"/>
        </w:rPr>
      </w:pPr>
    </w:p>
    <w:p w14:paraId="6609F2A0" w14:textId="77777777" w:rsidR="002361B0" w:rsidRPr="009F5CA1" w:rsidRDefault="002361B0" w:rsidP="002361B0">
      <w:pPr>
        <w:rPr>
          <w:rFonts w:ascii="Arial Narrow" w:hAnsi="Arial Narrow"/>
          <w:sz w:val="22"/>
          <w:szCs w:val="22"/>
        </w:rPr>
      </w:pPr>
      <w:r w:rsidRPr="009F5CA1">
        <w:rPr>
          <w:rFonts w:ascii="Arial Narrow" w:hAnsi="Arial Narrow"/>
          <w:sz w:val="22"/>
          <w:szCs w:val="22"/>
        </w:rPr>
        <w:t>Të hyrat nga shitja e materialeve të riciklueshme përcaktohen në bazë të çmimeve të mëposhtme për materialet e riciklueshme dhe supozimin se të gjitha materialet e riciklueshme do të shiten:</w:t>
      </w:r>
    </w:p>
    <w:p w14:paraId="26ADC190" w14:textId="77777777" w:rsidR="002361B0" w:rsidRPr="009F5CA1" w:rsidRDefault="002361B0" w:rsidP="002361B0">
      <w:pPr>
        <w:rPr>
          <w:rFonts w:ascii="Arial Narrow" w:hAnsi="Arial Narrow"/>
          <w:sz w:val="22"/>
          <w:szCs w:val="22"/>
        </w:rPr>
      </w:pPr>
    </w:p>
    <w:p w14:paraId="72E77831" w14:textId="77777777" w:rsidR="002361B0" w:rsidRPr="002361B0" w:rsidRDefault="002361B0" w:rsidP="002361B0">
      <w:pPr>
        <w:numPr>
          <w:ilvl w:val="0"/>
          <w:numId w:val="38"/>
        </w:numPr>
        <w:tabs>
          <w:tab w:val="left" w:pos="2344"/>
          <w:tab w:val="left" w:pos="3080"/>
          <w:tab w:val="left" w:pos="3816"/>
          <w:tab w:val="left" w:pos="4552"/>
        </w:tabs>
        <w:contextualSpacing/>
        <w:jc w:val="both"/>
        <w:rPr>
          <w:rFonts w:ascii="Arial Narrow" w:eastAsiaTheme="minorHAnsi" w:hAnsi="Arial Narrow" w:cs="Calibri"/>
          <w:color w:val="000000"/>
          <w:sz w:val="22"/>
          <w:szCs w:val="22"/>
          <w:lang w:val="en-GB" w:eastAsia="en-GB"/>
        </w:rPr>
      </w:pPr>
      <w:proofErr w:type="spellStart"/>
      <w:r w:rsidRPr="002361B0">
        <w:rPr>
          <w:rFonts w:ascii="Arial Narrow" w:eastAsiaTheme="minorHAnsi" w:hAnsi="Arial Narrow" w:cs="Calibri"/>
          <w:color w:val="000000"/>
          <w:sz w:val="22"/>
          <w:szCs w:val="22"/>
          <w:lang w:val="en-GB" w:eastAsia="en-GB"/>
        </w:rPr>
        <w:t>letër&amp;karton</w:t>
      </w:r>
      <w:proofErr w:type="spellEnd"/>
      <w:r w:rsidRPr="002361B0">
        <w:rPr>
          <w:rFonts w:ascii="Arial Narrow" w:eastAsiaTheme="minorHAnsi" w:hAnsi="Arial Narrow" w:cs="Calibri"/>
          <w:color w:val="000000"/>
          <w:sz w:val="22"/>
          <w:szCs w:val="22"/>
          <w:lang w:val="en-GB" w:eastAsia="en-GB"/>
        </w:rPr>
        <w:t xml:space="preserve"> </w:t>
      </w:r>
      <w:r w:rsidRPr="002361B0">
        <w:rPr>
          <w:rFonts w:ascii="Arial Narrow" w:eastAsiaTheme="minorHAnsi" w:hAnsi="Arial Narrow" w:cs="Calibri"/>
          <w:color w:val="000000"/>
          <w:sz w:val="22"/>
          <w:szCs w:val="22"/>
          <w:lang w:val="en-GB" w:eastAsia="en-GB"/>
        </w:rPr>
        <w:tab/>
        <w:t>75 €/t</w:t>
      </w:r>
    </w:p>
    <w:p w14:paraId="34FAE98F" w14:textId="77777777" w:rsidR="002361B0" w:rsidRPr="002361B0" w:rsidRDefault="002361B0" w:rsidP="002361B0">
      <w:pPr>
        <w:numPr>
          <w:ilvl w:val="0"/>
          <w:numId w:val="38"/>
        </w:numPr>
        <w:tabs>
          <w:tab w:val="left" w:pos="2344"/>
          <w:tab w:val="left" w:pos="3080"/>
          <w:tab w:val="left" w:pos="3816"/>
          <w:tab w:val="left" w:pos="4552"/>
        </w:tabs>
        <w:contextualSpacing/>
        <w:jc w:val="both"/>
        <w:rPr>
          <w:rFonts w:ascii="Arial Narrow" w:eastAsiaTheme="minorHAnsi" w:hAnsi="Arial Narrow" w:cs="Calibri"/>
          <w:color w:val="000000"/>
          <w:sz w:val="22"/>
          <w:szCs w:val="22"/>
          <w:lang w:val="en-GB" w:eastAsia="en-GB"/>
        </w:rPr>
      </w:pPr>
      <w:proofErr w:type="spellStart"/>
      <w:r w:rsidRPr="002361B0">
        <w:rPr>
          <w:rFonts w:ascii="Arial Narrow" w:eastAsiaTheme="minorHAnsi" w:hAnsi="Arial Narrow" w:cs="Calibri"/>
          <w:color w:val="000000"/>
          <w:sz w:val="22"/>
          <w:szCs w:val="22"/>
          <w:lang w:val="en-GB" w:eastAsia="en-GB"/>
        </w:rPr>
        <w:t>plastikë</w:t>
      </w:r>
      <w:proofErr w:type="spellEnd"/>
      <w:r w:rsidRPr="002361B0">
        <w:rPr>
          <w:rFonts w:ascii="Arial Narrow" w:eastAsiaTheme="minorHAnsi" w:hAnsi="Arial Narrow" w:cs="Calibri"/>
          <w:color w:val="000000"/>
          <w:sz w:val="22"/>
          <w:szCs w:val="22"/>
          <w:lang w:val="en-GB" w:eastAsia="en-GB"/>
        </w:rPr>
        <w:t xml:space="preserve"> </w:t>
      </w:r>
      <w:r w:rsidRPr="002361B0">
        <w:rPr>
          <w:rFonts w:ascii="Arial Narrow" w:eastAsiaTheme="minorHAnsi" w:hAnsi="Arial Narrow" w:cs="Calibri"/>
          <w:color w:val="000000"/>
          <w:sz w:val="22"/>
          <w:szCs w:val="22"/>
          <w:lang w:val="en-GB" w:eastAsia="en-GB"/>
        </w:rPr>
        <w:tab/>
        <w:t>180 €/t</w:t>
      </w:r>
    </w:p>
    <w:p w14:paraId="18DEF33C" w14:textId="77777777" w:rsidR="002361B0" w:rsidRPr="002361B0" w:rsidRDefault="002361B0" w:rsidP="002361B0">
      <w:pPr>
        <w:numPr>
          <w:ilvl w:val="0"/>
          <w:numId w:val="38"/>
        </w:numPr>
        <w:tabs>
          <w:tab w:val="left" w:pos="2344"/>
          <w:tab w:val="left" w:pos="3080"/>
          <w:tab w:val="left" w:pos="3816"/>
          <w:tab w:val="left" w:pos="4552"/>
        </w:tabs>
        <w:contextualSpacing/>
        <w:jc w:val="both"/>
        <w:rPr>
          <w:rFonts w:ascii="Arial Narrow" w:eastAsiaTheme="minorHAnsi" w:hAnsi="Arial Narrow" w:cs="Calibri"/>
          <w:color w:val="000000"/>
          <w:sz w:val="22"/>
          <w:szCs w:val="22"/>
          <w:lang w:val="en-GB" w:eastAsia="en-GB"/>
        </w:rPr>
      </w:pPr>
      <w:r w:rsidRPr="002361B0">
        <w:rPr>
          <w:rFonts w:ascii="Arial Narrow" w:eastAsiaTheme="minorHAnsi" w:hAnsi="Arial Narrow" w:cs="Calibri"/>
          <w:color w:val="000000"/>
          <w:sz w:val="22"/>
          <w:szCs w:val="22"/>
          <w:lang w:val="en-GB" w:eastAsia="en-GB"/>
        </w:rPr>
        <w:t>metal</w:t>
      </w:r>
      <w:r w:rsidRPr="002361B0">
        <w:rPr>
          <w:rFonts w:ascii="Arial Narrow" w:eastAsiaTheme="minorHAnsi" w:hAnsi="Arial Narrow" w:cs="Calibri"/>
          <w:color w:val="000000"/>
          <w:sz w:val="22"/>
          <w:szCs w:val="22"/>
          <w:lang w:val="en-GB" w:eastAsia="en-GB"/>
        </w:rPr>
        <w:tab/>
        <w:t>200 €/t</w:t>
      </w:r>
    </w:p>
    <w:p w14:paraId="3C2607EF" w14:textId="77777777" w:rsidR="002361B0" w:rsidRPr="002361B0" w:rsidRDefault="002361B0" w:rsidP="002361B0">
      <w:pPr>
        <w:numPr>
          <w:ilvl w:val="0"/>
          <w:numId w:val="38"/>
        </w:numPr>
        <w:tabs>
          <w:tab w:val="left" w:pos="2344"/>
          <w:tab w:val="left" w:pos="3080"/>
          <w:tab w:val="left" w:pos="3816"/>
          <w:tab w:val="left" w:pos="4552"/>
        </w:tabs>
        <w:contextualSpacing/>
        <w:jc w:val="both"/>
        <w:rPr>
          <w:rFonts w:ascii="Arial Narrow" w:eastAsiaTheme="minorHAnsi" w:hAnsi="Arial Narrow" w:cs="Calibri"/>
          <w:color w:val="000000"/>
          <w:sz w:val="22"/>
          <w:szCs w:val="22"/>
          <w:lang w:val="en-GB" w:eastAsia="en-GB"/>
        </w:rPr>
      </w:pPr>
      <w:proofErr w:type="spellStart"/>
      <w:r w:rsidRPr="002361B0">
        <w:rPr>
          <w:rFonts w:ascii="Arial Narrow" w:eastAsiaTheme="minorHAnsi" w:hAnsi="Arial Narrow" w:cs="Calibri"/>
          <w:color w:val="000000"/>
          <w:sz w:val="22"/>
          <w:szCs w:val="22"/>
          <w:lang w:val="en-GB" w:eastAsia="en-GB"/>
        </w:rPr>
        <w:t>qelq</w:t>
      </w:r>
      <w:proofErr w:type="spellEnd"/>
      <w:r w:rsidRPr="002361B0">
        <w:rPr>
          <w:rFonts w:ascii="Arial Narrow" w:eastAsiaTheme="minorHAnsi" w:hAnsi="Arial Narrow" w:cs="Calibri"/>
          <w:color w:val="000000"/>
          <w:sz w:val="22"/>
          <w:szCs w:val="22"/>
          <w:lang w:val="en-GB" w:eastAsia="en-GB"/>
        </w:rPr>
        <w:t xml:space="preserve"> </w:t>
      </w:r>
      <w:r w:rsidRPr="002361B0">
        <w:rPr>
          <w:rFonts w:ascii="Arial Narrow" w:eastAsiaTheme="minorHAnsi" w:hAnsi="Arial Narrow" w:cs="Calibri"/>
          <w:color w:val="000000"/>
          <w:sz w:val="22"/>
          <w:szCs w:val="22"/>
          <w:lang w:val="en-GB" w:eastAsia="en-GB"/>
        </w:rPr>
        <w:tab/>
        <w:t>10 €/t</w:t>
      </w:r>
    </w:p>
    <w:p w14:paraId="1A0B2C13" w14:textId="77777777" w:rsidR="002361B0" w:rsidRPr="002361B0" w:rsidRDefault="002361B0" w:rsidP="002361B0">
      <w:pPr>
        <w:rPr>
          <w:rFonts w:ascii="Arial Narrow" w:hAnsi="Arial Narrow"/>
          <w:sz w:val="22"/>
          <w:szCs w:val="22"/>
          <w:lang w:val="en-GB"/>
        </w:rPr>
      </w:pPr>
    </w:p>
    <w:p w14:paraId="39A69CFC" w14:textId="77777777" w:rsidR="002361B0" w:rsidRPr="002361B0" w:rsidRDefault="002361B0" w:rsidP="002361B0">
      <w:pPr>
        <w:rPr>
          <w:rFonts w:ascii="Arial Narrow" w:hAnsi="Arial Narrow"/>
          <w:sz w:val="22"/>
          <w:szCs w:val="22"/>
          <w:lang w:val="en-GB"/>
        </w:rPr>
      </w:pPr>
      <w:proofErr w:type="spellStart"/>
      <w:r w:rsidRPr="002361B0">
        <w:rPr>
          <w:rFonts w:ascii="Arial Narrow" w:hAnsi="Arial Narrow"/>
          <w:sz w:val="22"/>
          <w:szCs w:val="22"/>
          <w:lang w:val="en-GB"/>
        </w:rPr>
        <w:t>Kostot</w:t>
      </w:r>
      <w:proofErr w:type="spellEnd"/>
      <w:r w:rsidRPr="002361B0">
        <w:rPr>
          <w:rFonts w:ascii="Arial Narrow" w:hAnsi="Arial Narrow"/>
          <w:sz w:val="22"/>
          <w:szCs w:val="22"/>
          <w:lang w:val="en-GB"/>
        </w:rPr>
        <w:t xml:space="preserve"> e </w:t>
      </w:r>
      <w:proofErr w:type="spellStart"/>
      <w:r w:rsidRPr="002361B0">
        <w:rPr>
          <w:rFonts w:ascii="Arial Narrow" w:hAnsi="Arial Narrow"/>
          <w:sz w:val="22"/>
          <w:szCs w:val="22"/>
          <w:lang w:val="en-GB"/>
        </w:rPr>
        <w:t>transportit</w:t>
      </w:r>
      <w:proofErr w:type="spellEnd"/>
      <w:r w:rsidRPr="002361B0">
        <w:rPr>
          <w:rFonts w:ascii="Arial Narrow" w:hAnsi="Arial Narrow"/>
          <w:sz w:val="22"/>
          <w:szCs w:val="22"/>
          <w:lang w:val="en-GB"/>
        </w:rPr>
        <w:t xml:space="preserve"> </w:t>
      </w:r>
      <w:proofErr w:type="spellStart"/>
      <w:r w:rsidRPr="002361B0">
        <w:rPr>
          <w:rFonts w:ascii="Arial Narrow" w:hAnsi="Arial Narrow"/>
          <w:sz w:val="22"/>
          <w:szCs w:val="22"/>
          <w:lang w:val="en-GB"/>
        </w:rPr>
        <w:t>për</w:t>
      </w:r>
      <w:proofErr w:type="spellEnd"/>
      <w:r w:rsidRPr="002361B0">
        <w:rPr>
          <w:rFonts w:ascii="Arial Narrow" w:hAnsi="Arial Narrow"/>
          <w:sz w:val="22"/>
          <w:szCs w:val="22"/>
          <w:lang w:val="en-GB"/>
        </w:rPr>
        <w:t xml:space="preserve"> </w:t>
      </w:r>
      <w:proofErr w:type="spellStart"/>
      <w:r w:rsidRPr="002361B0">
        <w:rPr>
          <w:rFonts w:ascii="Arial Narrow" w:hAnsi="Arial Narrow"/>
          <w:sz w:val="22"/>
          <w:szCs w:val="22"/>
          <w:lang w:val="en-GB"/>
        </w:rPr>
        <w:t>blerësit</w:t>
      </w:r>
      <w:proofErr w:type="spellEnd"/>
      <w:r w:rsidRPr="002361B0">
        <w:rPr>
          <w:rFonts w:ascii="Arial Narrow" w:hAnsi="Arial Narrow"/>
          <w:sz w:val="22"/>
          <w:szCs w:val="22"/>
          <w:lang w:val="en-GB"/>
        </w:rPr>
        <w:t xml:space="preserve"> e </w:t>
      </w:r>
      <w:proofErr w:type="spellStart"/>
      <w:r w:rsidRPr="002361B0">
        <w:rPr>
          <w:rFonts w:ascii="Arial Narrow" w:hAnsi="Arial Narrow"/>
          <w:sz w:val="22"/>
          <w:szCs w:val="22"/>
          <w:lang w:val="en-GB"/>
        </w:rPr>
        <w:t>mundshëm</w:t>
      </w:r>
      <w:proofErr w:type="spellEnd"/>
      <w:r w:rsidRPr="002361B0">
        <w:rPr>
          <w:rFonts w:ascii="Arial Narrow" w:hAnsi="Arial Narrow"/>
          <w:sz w:val="22"/>
          <w:szCs w:val="22"/>
          <w:lang w:val="en-GB"/>
        </w:rPr>
        <w:t xml:space="preserve"> </w:t>
      </w:r>
      <w:proofErr w:type="spellStart"/>
      <w:r w:rsidRPr="002361B0">
        <w:rPr>
          <w:rFonts w:ascii="Arial Narrow" w:hAnsi="Arial Narrow"/>
          <w:sz w:val="22"/>
          <w:szCs w:val="22"/>
          <w:lang w:val="en-GB"/>
        </w:rPr>
        <w:t>të</w:t>
      </w:r>
      <w:proofErr w:type="spellEnd"/>
      <w:r w:rsidRPr="002361B0">
        <w:rPr>
          <w:rFonts w:ascii="Arial Narrow" w:hAnsi="Arial Narrow"/>
          <w:sz w:val="22"/>
          <w:szCs w:val="22"/>
          <w:lang w:val="en-GB"/>
        </w:rPr>
        <w:t xml:space="preserve"> </w:t>
      </w:r>
      <w:proofErr w:type="spellStart"/>
      <w:r w:rsidRPr="002361B0">
        <w:rPr>
          <w:rFonts w:ascii="Arial Narrow" w:hAnsi="Arial Narrow"/>
          <w:sz w:val="22"/>
          <w:szCs w:val="22"/>
          <w:lang w:val="en-GB"/>
        </w:rPr>
        <w:t>materialeve</w:t>
      </w:r>
      <w:proofErr w:type="spellEnd"/>
      <w:r w:rsidRPr="002361B0">
        <w:rPr>
          <w:rFonts w:ascii="Arial Narrow" w:hAnsi="Arial Narrow"/>
          <w:sz w:val="22"/>
          <w:szCs w:val="22"/>
          <w:lang w:val="en-GB"/>
        </w:rPr>
        <w:t xml:space="preserve"> </w:t>
      </w:r>
      <w:proofErr w:type="spellStart"/>
      <w:r w:rsidRPr="002361B0">
        <w:rPr>
          <w:rFonts w:ascii="Arial Narrow" w:hAnsi="Arial Narrow"/>
          <w:sz w:val="22"/>
          <w:szCs w:val="22"/>
          <w:lang w:val="en-GB"/>
        </w:rPr>
        <w:t>të</w:t>
      </w:r>
      <w:proofErr w:type="spellEnd"/>
      <w:r w:rsidRPr="002361B0">
        <w:rPr>
          <w:rFonts w:ascii="Arial Narrow" w:hAnsi="Arial Narrow"/>
          <w:sz w:val="22"/>
          <w:szCs w:val="22"/>
          <w:lang w:val="en-GB"/>
        </w:rPr>
        <w:t xml:space="preserve"> </w:t>
      </w:r>
      <w:proofErr w:type="spellStart"/>
      <w:r w:rsidRPr="002361B0">
        <w:rPr>
          <w:rFonts w:ascii="Arial Narrow" w:hAnsi="Arial Narrow"/>
          <w:sz w:val="22"/>
          <w:szCs w:val="22"/>
          <w:lang w:val="en-GB"/>
        </w:rPr>
        <w:t>riciklueshme</w:t>
      </w:r>
      <w:proofErr w:type="spellEnd"/>
      <w:r w:rsidRPr="002361B0">
        <w:rPr>
          <w:rFonts w:ascii="Arial Narrow" w:hAnsi="Arial Narrow"/>
          <w:sz w:val="22"/>
          <w:szCs w:val="22"/>
          <w:lang w:val="en-GB"/>
        </w:rPr>
        <w:t xml:space="preserve"> </w:t>
      </w:r>
      <w:proofErr w:type="spellStart"/>
      <w:r w:rsidRPr="002361B0">
        <w:rPr>
          <w:rFonts w:ascii="Arial Narrow" w:hAnsi="Arial Narrow"/>
          <w:sz w:val="22"/>
          <w:szCs w:val="22"/>
          <w:lang w:val="en-GB"/>
        </w:rPr>
        <w:t>nuk</w:t>
      </w:r>
      <w:proofErr w:type="spellEnd"/>
      <w:r w:rsidRPr="002361B0">
        <w:rPr>
          <w:rFonts w:ascii="Arial Narrow" w:hAnsi="Arial Narrow"/>
          <w:sz w:val="22"/>
          <w:szCs w:val="22"/>
          <w:lang w:val="en-GB"/>
        </w:rPr>
        <w:t xml:space="preserve"> </w:t>
      </w:r>
      <w:proofErr w:type="spellStart"/>
      <w:r w:rsidRPr="002361B0">
        <w:rPr>
          <w:rFonts w:ascii="Arial Narrow" w:hAnsi="Arial Narrow"/>
          <w:sz w:val="22"/>
          <w:szCs w:val="22"/>
          <w:lang w:val="en-GB"/>
        </w:rPr>
        <w:t>merren</w:t>
      </w:r>
      <w:proofErr w:type="spellEnd"/>
      <w:r w:rsidRPr="002361B0">
        <w:rPr>
          <w:rFonts w:ascii="Arial Narrow" w:hAnsi="Arial Narrow"/>
          <w:sz w:val="22"/>
          <w:szCs w:val="22"/>
          <w:lang w:val="en-GB"/>
        </w:rPr>
        <w:t xml:space="preserve"> </w:t>
      </w:r>
      <w:proofErr w:type="spellStart"/>
      <w:r w:rsidRPr="002361B0">
        <w:rPr>
          <w:rFonts w:ascii="Arial Narrow" w:hAnsi="Arial Narrow"/>
          <w:sz w:val="22"/>
          <w:szCs w:val="22"/>
          <w:lang w:val="en-GB"/>
        </w:rPr>
        <w:t>parasysh</w:t>
      </w:r>
      <w:proofErr w:type="spellEnd"/>
      <w:r w:rsidRPr="002361B0">
        <w:rPr>
          <w:rFonts w:ascii="Arial Narrow" w:hAnsi="Arial Narrow"/>
          <w:sz w:val="22"/>
          <w:szCs w:val="22"/>
          <w:lang w:val="en-GB"/>
        </w:rPr>
        <w:t xml:space="preserve">. </w:t>
      </w:r>
      <w:proofErr w:type="spellStart"/>
      <w:r w:rsidRPr="002361B0">
        <w:rPr>
          <w:rFonts w:ascii="Arial Narrow" w:hAnsi="Arial Narrow"/>
          <w:sz w:val="22"/>
          <w:szCs w:val="22"/>
          <w:lang w:val="en-GB"/>
        </w:rPr>
        <w:t>Çmimi</w:t>
      </w:r>
      <w:proofErr w:type="spellEnd"/>
      <w:r w:rsidRPr="002361B0">
        <w:rPr>
          <w:rFonts w:ascii="Arial Narrow" w:hAnsi="Arial Narrow"/>
          <w:sz w:val="22"/>
          <w:szCs w:val="22"/>
          <w:lang w:val="en-GB"/>
        </w:rPr>
        <w:t xml:space="preserve"> i </w:t>
      </w:r>
      <w:proofErr w:type="spellStart"/>
      <w:r w:rsidRPr="002361B0">
        <w:rPr>
          <w:rFonts w:ascii="Arial Narrow" w:hAnsi="Arial Narrow"/>
          <w:sz w:val="22"/>
          <w:szCs w:val="22"/>
          <w:lang w:val="en-GB"/>
        </w:rPr>
        <w:t>plastikës</w:t>
      </w:r>
      <w:proofErr w:type="spellEnd"/>
      <w:r w:rsidRPr="002361B0">
        <w:rPr>
          <w:rFonts w:ascii="Arial Narrow" w:hAnsi="Arial Narrow"/>
          <w:sz w:val="22"/>
          <w:szCs w:val="22"/>
          <w:lang w:val="en-GB"/>
        </w:rPr>
        <w:t xml:space="preserve"> </w:t>
      </w:r>
      <w:proofErr w:type="spellStart"/>
      <w:r w:rsidRPr="002361B0">
        <w:rPr>
          <w:rFonts w:ascii="Arial Narrow" w:hAnsi="Arial Narrow"/>
          <w:sz w:val="22"/>
          <w:szCs w:val="22"/>
          <w:lang w:val="en-GB"/>
        </w:rPr>
        <w:t>ndryshon</w:t>
      </w:r>
      <w:proofErr w:type="spellEnd"/>
      <w:r w:rsidRPr="002361B0">
        <w:rPr>
          <w:rFonts w:ascii="Arial Narrow" w:hAnsi="Arial Narrow"/>
          <w:sz w:val="22"/>
          <w:szCs w:val="22"/>
          <w:lang w:val="en-GB"/>
        </w:rPr>
        <w:t xml:space="preserve"> </w:t>
      </w:r>
      <w:proofErr w:type="spellStart"/>
      <w:r w:rsidRPr="002361B0">
        <w:rPr>
          <w:rFonts w:ascii="Arial Narrow" w:hAnsi="Arial Narrow"/>
          <w:sz w:val="22"/>
          <w:szCs w:val="22"/>
          <w:lang w:val="en-GB"/>
        </w:rPr>
        <w:t>ndjeshëm</w:t>
      </w:r>
      <w:proofErr w:type="spellEnd"/>
      <w:r w:rsidRPr="002361B0">
        <w:rPr>
          <w:rFonts w:ascii="Arial Narrow" w:hAnsi="Arial Narrow"/>
          <w:sz w:val="22"/>
          <w:szCs w:val="22"/>
          <w:lang w:val="en-GB"/>
        </w:rPr>
        <w:t xml:space="preserve"> </w:t>
      </w:r>
      <w:proofErr w:type="spellStart"/>
      <w:r w:rsidRPr="002361B0">
        <w:rPr>
          <w:rFonts w:ascii="Arial Narrow" w:hAnsi="Arial Narrow"/>
          <w:sz w:val="22"/>
          <w:szCs w:val="22"/>
          <w:lang w:val="en-GB"/>
        </w:rPr>
        <w:t>në</w:t>
      </w:r>
      <w:proofErr w:type="spellEnd"/>
      <w:r w:rsidRPr="002361B0">
        <w:rPr>
          <w:rFonts w:ascii="Arial Narrow" w:hAnsi="Arial Narrow"/>
          <w:sz w:val="22"/>
          <w:szCs w:val="22"/>
          <w:lang w:val="en-GB"/>
        </w:rPr>
        <w:t xml:space="preserve"> </w:t>
      </w:r>
      <w:proofErr w:type="spellStart"/>
      <w:r w:rsidRPr="002361B0">
        <w:rPr>
          <w:rFonts w:ascii="Arial Narrow" w:hAnsi="Arial Narrow"/>
          <w:sz w:val="22"/>
          <w:szCs w:val="22"/>
          <w:lang w:val="en-GB"/>
        </w:rPr>
        <w:t>varësi</w:t>
      </w:r>
      <w:proofErr w:type="spellEnd"/>
      <w:r w:rsidRPr="002361B0">
        <w:rPr>
          <w:rFonts w:ascii="Arial Narrow" w:hAnsi="Arial Narrow"/>
          <w:sz w:val="22"/>
          <w:szCs w:val="22"/>
          <w:lang w:val="en-GB"/>
        </w:rPr>
        <w:t xml:space="preserve"> </w:t>
      </w:r>
      <w:proofErr w:type="spellStart"/>
      <w:r w:rsidRPr="002361B0">
        <w:rPr>
          <w:rFonts w:ascii="Arial Narrow" w:hAnsi="Arial Narrow"/>
          <w:sz w:val="22"/>
          <w:szCs w:val="22"/>
          <w:lang w:val="en-GB"/>
        </w:rPr>
        <w:t>të</w:t>
      </w:r>
      <w:proofErr w:type="spellEnd"/>
      <w:r w:rsidRPr="002361B0">
        <w:rPr>
          <w:rFonts w:ascii="Arial Narrow" w:hAnsi="Arial Narrow"/>
          <w:sz w:val="22"/>
          <w:szCs w:val="22"/>
          <w:lang w:val="en-GB"/>
        </w:rPr>
        <w:t xml:space="preserve"> </w:t>
      </w:r>
      <w:proofErr w:type="spellStart"/>
      <w:r w:rsidRPr="002361B0">
        <w:rPr>
          <w:rFonts w:ascii="Arial Narrow" w:hAnsi="Arial Narrow"/>
          <w:sz w:val="22"/>
          <w:szCs w:val="22"/>
          <w:lang w:val="en-GB"/>
        </w:rPr>
        <w:t>llojit</w:t>
      </w:r>
      <w:proofErr w:type="spellEnd"/>
      <w:r w:rsidRPr="002361B0">
        <w:rPr>
          <w:rFonts w:ascii="Arial Narrow" w:hAnsi="Arial Narrow"/>
          <w:sz w:val="22"/>
          <w:szCs w:val="22"/>
          <w:lang w:val="en-GB"/>
        </w:rPr>
        <w:t xml:space="preserve"> </w:t>
      </w:r>
      <w:proofErr w:type="spellStart"/>
      <w:r w:rsidRPr="002361B0">
        <w:rPr>
          <w:rFonts w:ascii="Arial Narrow" w:hAnsi="Arial Narrow"/>
          <w:sz w:val="22"/>
          <w:szCs w:val="22"/>
          <w:lang w:val="en-GB"/>
        </w:rPr>
        <w:t>të</w:t>
      </w:r>
      <w:proofErr w:type="spellEnd"/>
      <w:r w:rsidRPr="002361B0">
        <w:rPr>
          <w:rFonts w:ascii="Arial Narrow" w:hAnsi="Arial Narrow"/>
          <w:sz w:val="22"/>
          <w:szCs w:val="22"/>
          <w:lang w:val="en-GB"/>
        </w:rPr>
        <w:t xml:space="preserve"> </w:t>
      </w:r>
      <w:proofErr w:type="spellStart"/>
      <w:r w:rsidRPr="002361B0">
        <w:rPr>
          <w:rFonts w:ascii="Arial Narrow" w:hAnsi="Arial Narrow"/>
          <w:sz w:val="22"/>
          <w:szCs w:val="22"/>
          <w:lang w:val="en-GB"/>
        </w:rPr>
        <w:t>plastikës</w:t>
      </w:r>
      <w:proofErr w:type="spellEnd"/>
      <w:r w:rsidRPr="002361B0">
        <w:rPr>
          <w:rFonts w:ascii="Arial Narrow" w:hAnsi="Arial Narrow"/>
          <w:sz w:val="22"/>
          <w:szCs w:val="22"/>
          <w:lang w:val="en-GB"/>
        </w:rPr>
        <w:t>.</w:t>
      </w:r>
    </w:p>
    <w:p w14:paraId="47E13F58" w14:textId="77777777" w:rsidR="002361B0" w:rsidRPr="002361B0" w:rsidRDefault="002361B0" w:rsidP="002361B0">
      <w:pPr>
        <w:rPr>
          <w:rFonts w:ascii="Arial Narrow" w:eastAsia="Calibri" w:hAnsi="Arial Narrow" w:cs="Calibri"/>
          <w:sz w:val="22"/>
          <w:szCs w:val="22"/>
        </w:rPr>
      </w:pPr>
    </w:p>
    <w:p w14:paraId="2747FDF8" w14:textId="77777777" w:rsidR="002361B0" w:rsidRPr="009F5CA1" w:rsidRDefault="002361B0" w:rsidP="002361B0">
      <w:pPr>
        <w:rPr>
          <w:rFonts w:ascii="Arial Narrow" w:hAnsi="Arial Narrow"/>
          <w:sz w:val="22"/>
          <w:szCs w:val="22"/>
        </w:rPr>
      </w:pPr>
      <w:r w:rsidRPr="009F5CA1">
        <w:rPr>
          <w:rFonts w:ascii="Arial Narrow" w:hAnsi="Arial Narrow"/>
          <w:sz w:val="22"/>
          <w:szCs w:val="22"/>
        </w:rPr>
        <w:t>Grafiku i mëposhtëm përmbledh kostot e grumbullimit ndaras, klasifikimit dhe të hyrave nga shitja e materialeve të riciklueshme.</w:t>
      </w:r>
    </w:p>
    <w:p w14:paraId="4364D852" w14:textId="77777777" w:rsidR="007D1EDC" w:rsidRPr="009F5CA1" w:rsidRDefault="007D1EDC" w:rsidP="007D1EDC">
      <w:pPr>
        <w:rPr>
          <w:rFonts w:ascii="Arial Narrow" w:eastAsia="Calibri" w:hAnsi="Arial Narrow"/>
          <w:sz w:val="20"/>
        </w:rPr>
      </w:pPr>
    </w:p>
    <w:p w14:paraId="0ECBA30D" w14:textId="55C131BC" w:rsidR="007D1EDC" w:rsidRPr="007D1EDC" w:rsidRDefault="00AF33E5" w:rsidP="007D1EDC">
      <w:pPr>
        <w:jc w:val="center"/>
        <w:rPr>
          <w:rFonts w:ascii="Arial Narrow" w:eastAsia="Calibri" w:hAnsi="Arial Narrow"/>
          <w:sz w:val="20"/>
          <w:lang w:val="en-GB"/>
        </w:rPr>
      </w:pPr>
      <w:r>
        <w:rPr>
          <w:noProof/>
        </w:rPr>
        <w:lastRenderedPageBreak/>
        <w:drawing>
          <wp:inline distT="0" distB="0" distL="0" distR="0" wp14:anchorId="6F9DD1A2" wp14:editId="59BBA289">
            <wp:extent cx="4876800" cy="2694940"/>
            <wp:effectExtent l="0" t="0" r="0" b="10160"/>
            <wp:docPr id="1530712657" name="Chart 1">
              <a:extLst xmlns:a="http://schemas.openxmlformats.org/drawingml/2006/main">
                <a:ext uri="{FF2B5EF4-FFF2-40B4-BE49-F238E27FC236}">
                  <a16:creationId xmlns:a16="http://schemas.microsoft.com/office/drawing/2014/main" id="{5627E29B-CDD6-4790-8DF4-4E974CC1EC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353AD45C" w14:textId="5E379333" w:rsidR="007D1EDC" w:rsidRPr="007D1EDC" w:rsidRDefault="007D1EDC" w:rsidP="006347D6">
      <w:pPr>
        <w:pStyle w:val="Figure"/>
        <w:rPr>
          <w:rFonts w:eastAsia="Calibri" w:cs="Calibri"/>
          <w:sz w:val="20"/>
          <w:szCs w:val="20"/>
        </w:rPr>
      </w:pPr>
      <w:bookmarkStart w:id="588" w:name="_Toc193365357"/>
      <w:bookmarkStart w:id="589" w:name="_Toc197472341"/>
      <w:r w:rsidRPr="007D1EDC">
        <w:rPr>
          <w:rFonts w:eastAsia="Calibri" w:cs="Calibri"/>
          <w:sz w:val="20"/>
          <w:szCs w:val="20"/>
        </w:rPr>
        <w:t xml:space="preserve">Figura </w:t>
      </w:r>
      <w:r w:rsidRPr="007D1EDC">
        <w:rPr>
          <w:rFonts w:eastAsia="Calibri" w:cs="Calibri"/>
          <w:sz w:val="20"/>
          <w:szCs w:val="20"/>
        </w:rPr>
        <w:fldChar w:fldCharType="begin"/>
      </w:r>
      <w:r w:rsidRPr="007D1EDC">
        <w:rPr>
          <w:rFonts w:eastAsia="Calibri" w:cs="Calibri"/>
          <w:sz w:val="20"/>
          <w:szCs w:val="20"/>
        </w:rPr>
        <w:instrText xml:space="preserve"> SEQ Figure \* ARABIC </w:instrText>
      </w:r>
      <w:r w:rsidRPr="007D1EDC">
        <w:rPr>
          <w:rFonts w:eastAsia="Calibri" w:cs="Calibri"/>
          <w:sz w:val="20"/>
          <w:szCs w:val="20"/>
        </w:rPr>
        <w:fldChar w:fldCharType="separate"/>
      </w:r>
      <w:r w:rsidR="00C97DF3">
        <w:rPr>
          <w:rFonts w:eastAsia="Calibri" w:cs="Calibri"/>
          <w:noProof/>
          <w:sz w:val="20"/>
          <w:szCs w:val="20"/>
        </w:rPr>
        <w:t xml:space="preserve">40. </w:t>
      </w:r>
      <w:r w:rsidRPr="007D1EDC">
        <w:rPr>
          <w:rFonts w:eastAsia="Calibri" w:cs="Calibri"/>
          <w:sz w:val="20"/>
          <w:szCs w:val="20"/>
        </w:rPr>
        <w:fldChar w:fldCharType="end"/>
      </w:r>
      <w:r w:rsidRPr="007D1EDC">
        <w:rPr>
          <w:rFonts w:eastAsia="Calibri" w:cs="Calibri"/>
          <w:sz w:val="20"/>
          <w:szCs w:val="20"/>
        </w:rPr>
        <w:t xml:space="preserve">Kostot vjetore për </w:t>
      </w:r>
      <w:r w:rsidR="00AF33E5">
        <w:rPr>
          <w:rFonts w:eastAsia="Calibri" w:cs="Calibri"/>
          <w:sz w:val="20"/>
          <w:szCs w:val="20"/>
        </w:rPr>
        <w:t>grumbullimin ndaras</w:t>
      </w:r>
      <w:r w:rsidRPr="007D1EDC">
        <w:rPr>
          <w:rFonts w:eastAsia="Calibri" w:cs="Calibri"/>
          <w:sz w:val="20"/>
          <w:szCs w:val="20"/>
        </w:rPr>
        <w:t xml:space="preserve">, </w:t>
      </w:r>
      <w:r w:rsidR="00AF33E5">
        <w:rPr>
          <w:rFonts w:eastAsia="Calibri" w:cs="Calibri"/>
          <w:sz w:val="20"/>
          <w:szCs w:val="20"/>
        </w:rPr>
        <w:t>klasifikimin e materialeve të riciklueshme</w:t>
      </w:r>
      <w:r w:rsidRPr="007D1EDC">
        <w:rPr>
          <w:rFonts w:eastAsia="Calibri" w:cs="Calibri"/>
          <w:sz w:val="20"/>
          <w:szCs w:val="20"/>
        </w:rPr>
        <w:t xml:space="preserve"> të </w:t>
      </w:r>
      <w:r w:rsidR="00AF33E5">
        <w:rPr>
          <w:rFonts w:eastAsia="Calibri" w:cs="Calibri"/>
          <w:sz w:val="20"/>
          <w:szCs w:val="20"/>
        </w:rPr>
        <w:t>grumbulluara ndaras</w:t>
      </w:r>
      <w:r w:rsidRPr="007D1EDC">
        <w:rPr>
          <w:rFonts w:eastAsia="Calibri" w:cs="Calibri"/>
          <w:sz w:val="20"/>
          <w:szCs w:val="20"/>
        </w:rPr>
        <w:t xml:space="preserve"> dhe </w:t>
      </w:r>
      <w:r w:rsidR="00F44BB1">
        <w:rPr>
          <w:rFonts w:eastAsia="Calibri" w:cs="Calibri"/>
          <w:sz w:val="20"/>
          <w:szCs w:val="20"/>
        </w:rPr>
        <w:t xml:space="preserve">të hyrat nga </w:t>
      </w:r>
      <w:r w:rsidRPr="007D1EDC">
        <w:rPr>
          <w:rFonts w:eastAsia="Calibri" w:cs="Calibri"/>
          <w:sz w:val="20"/>
          <w:szCs w:val="20"/>
        </w:rPr>
        <w:t>shitje</w:t>
      </w:r>
      <w:r w:rsidR="00F44BB1">
        <w:rPr>
          <w:rFonts w:eastAsia="Calibri" w:cs="Calibri"/>
          <w:sz w:val="20"/>
          <w:szCs w:val="20"/>
        </w:rPr>
        <w:t>t</w:t>
      </w:r>
      <w:r w:rsidRPr="007D1EDC">
        <w:rPr>
          <w:rFonts w:eastAsia="Calibri" w:cs="Calibri"/>
          <w:sz w:val="20"/>
          <w:szCs w:val="20"/>
        </w:rPr>
        <w:t xml:space="preserve"> e materialeve të riciklueshme</w:t>
      </w:r>
      <w:bookmarkEnd w:id="588"/>
      <w:bookmarkEnd w:id="589"/>
    </w:p>
    <w:p w14:paraId="2CF18E76" w14:textId="77777777" w:rsidR="007D1EDC" w:rsidRPr="00AF33E5" w:rsidRDefault="007D1EDC" w:rsidP="007D1EDC">
      <w:pPr>
        <w:suppressAutoHyphens/>
        <w:rPr>
          <w:rFonts w:ascii="Arial Narrow" w:eastAsia="Calibri" w:hAnsi="Arial Narrow"/>
          <w:sz w:val="22"/>
          <w:szCs w:val="22"/>
          <w:lang w:val="en-GB"/>
        </w:rPr>
      </w:pPr>
    </w:p>
    <w:p w14:paraId="2B8C8EF1" w14:textId="1AF02C31" w:rsidR="00AF33E5" w:rsidRPr="00AF33E5" w:rsidRDefault="00AF33E5" w:rsidP="00AF33E5">
      <w:pPr>
        <w:suppressAutoHyphens/>
        <w:jc w:val="both"/>
        <w:rPr>
          <w:rFonts w:ascii="Arial Narrow" w:eastAsia="Calibri" w:hAnsi="Arial Narrow"/>
          <w:sz w:val="22"/>
          <w:szCs w:val="22"/>
          <w:lang w:val="en-GB"/>
        </w:rPr>
      </w:pPr>
      <w:proofErr w:type="spellStart"/>
      <w:r w:rsidRPr="00AF33E5">
        <w:rPr>
          <w:rFonts w:ascii="Arial Narrow" w:eastAsia="Calibri" w:hAnsi="Arial Narrow"/>
          <w:sz w:val="22"/>
          <w:szCs w:val="22"/>
          <w:lang w:val="en-GB"/>
        </w:rPr>
        <w:t>Siç</w:t>
      </w:r>
      <w:proofErr w:type="spellEnd"/>
      <w:r w:rsidRPr="00AF33E5">
        <w:rPr>
          <w:rFonts w:ascii="Arial Narrow" w:eastAsia="Calibri" w:hAnsi="Arial Narrow"/>
          <w:sz w:val="22"/>
          <w:szCs w:val="22"/>
          <w:lang w:val="en-GB"/>
        </w:rPr>
        <w:t xml:space="preserve"> </w:t>
      </w:r>
      <w:proofErr w:type="spellStart"/>
      <w:r w:rsidRPr="00AF33E5">
        <w:rPr>
          <w:rFonts w:ascii="Arial Narrow" w:eastAsia="Calibri" w:hAnsi="Arial Narrow"/>
          <w:sz w:val="22"/>
          <w:szCs w:val="22"/>
          <w:lang w:val="en-GB"/>
        </w:rPr>
        <w:t>shihet</w:t>
      </w:r>
      <w:proofErr w:type="spellEnd"/>
      <w:r w:rsidRPr="00AF33E5">
        <w:rPr>
          <w:rFonts w:ascii="Arial Narrow" w:eastAsia="Calibri" w:hAnsi="Arial Narrow"/>
          <w:sz w:val="22"/>
          <w:szCs w:val="22"/>
          <w:lang w:val="en-GB"/>
        </w:rPr>
        <w:t xml:space="preserve"> </w:t>
      </w:r>
      <w:proofErr w:type="spellStart"/>
      <w:r w:rsidRPr="00AF33E5">
        <w:rPr>
          <w:rFonts w:ascii="Arial Narrow" w:eastAsia="Calibri" w:hAnsi="Arial Narrow"/>
          <w:sz w:val="22"/>
          <w:szCs w:val="22"/>
          <w:lang w:val="en-GB"/>
        </w:rPr>
        <w:t>në</w:t>
      </w:r>
      <w:proofErr w:type="spellEnd"/>
      <w:r w:rsidRPr="00AF33E5">
        <w:rPr>
          <w:rFonts w:ascii="Arial Narrow" w:eastAsia="Calibri" w:hAnsi="Arial Narrow"/>
          <w:sz w:val="22"/>
          <w:szCs w:val="22"/>
          <w:lang w:val="en-GB"/>
        </w:rPr>
        <w:t xml:space="preserve"> </w:t>
      </w:r>
      <w:proofErr w:type="spellStart"/>
      <w:r w:rsidRPr="00AF33E5">
        <w:rPr>
          <w:rFonts w:ascii="Arial Narrow" w:eastAsia="Calibri" w:hAnsi="Arial Narrow"/>
          <w:sz w:val="22"/>
          <w:szCs w:val="22"/>
          <w:lang w:val="en-GB"/>
        </w:rPr>
        <w:t>grafik</w:t>
      </w:r>
      <w:r w:rsidR="006C3E6F">
        <w:rPr>
          <w:rFonts w:ascii="Arial Narrow" w:eastAsia="Calibri" w:hAnsi="Arial Narrow"/>
          <w:sz w:val="22"/>
          <w:szCs w:val="22"/>
          <w:lang w:val="en-GB"/>
        </w:rPr>
        <w:t>on</w:t>
      </w:r>
      <w:proofErr w:type="spellEnd"/>
      <w:r w:rsidRPr="00AF33E5">
        <w:rPr>
          <w:rFonts w:ascii="Arial Narrow" w:eastAsia="Calibri" w:hAnsi="Arial Narrow"/>
          <w:sz w:val="22"/>
          <w:szCs w:val="22"/>
          <w:lang w:val="en-GB"/>
        </w:rPr>
        <w:t xml:space="preserve">, </w:t>
      </w:r>
      <w:proofErr w:type="spellStart"/>
      <w:r w:rsidRPr="00AF33E5">
        <w:rPr>
          <w:rFonts w:ascii="Arial Narrow" w:eastAsia="Calibri" w:hAnsi="Arial Narrow"/>
          <w:sz w:val="22"/>
          <w:szCs w:val="22"/>
          <w:lang w:val="en-GB"/>
        </w:rPr>
        <w:t>të</w:t>
      </w:r>
      <w:proofErr w:type="spellEnd"/>
      <w:r w:rsidRPr="00AF33E5">
        <w:rPr>
          <w:rFonts w:ascii="Arial Narrow" w:eastAsia="Calibri" w:hAnsi="Arial Narrow"/>
          <w:sz w:val="22"/>
          <w:szCs w:val="22"/>
          <w:lang w:val="en-GB"/>
        </w:rPr>
        <w:t xml:space="preserve"> </w:t>
      </w:r>
      <w:proofErr w:type="spellStart"/>
      <w:r w:rsidRPr="00AF33E5">
        <w:rPr>
          <w:rFonts w:ascii="Arial Narrow" w:eastAsia="Calibri" w:hAnsi="Arial Narrow"/>
          <w:sz w:val="22"/>
          <w:szCs w:val="22"/>
          <w:lang w:val="en-GB"/>
        </w:rPr>
        <w:t>hyrat</w:t>
      </w:r>
      <w:proofErr w:type="spellEnd"/>
      <w:r w:rsidRPr="00AF33E5">
        <w:rPr>
          <w:rFonts w:ascii="Arial Narrow" w:eastAsia="Calibri" w:hAnsi="Arial Narrow"/>
          <w:sz w:val="22"/>
          <w:szCs w:val="22"/>
          <w:lang w:val="en-GB"/>
        </w:rPr>
        <w:t xml:space="preserve"> </w:t>
      </w:r>
      <w:proofErr w:type="spellStart"/>
      <w:r w:rsidRPr="00AF33E5">
        <w:rPr>
          <w:rFonts w:ascii="Arial Narrow" w:eastAsia="Calibri" w:hAnsi="Arial Narrow"/>
          <w:sz w:val="22"/>
          <w:szCs w:val="22"/>
          <w:lang w:val="en-GB"/>
        </w:rPr>
        <w:t>nga</w:t>
      </w:r>
      <w:proofErr w:type="spellEnd"/>
      <w:r w:rsidRPr="00AF33E5">
        <w:rPr>
          <w:rFonts w:ascii="Arial Narrow" w:eastAsia="Calibri" w:hAnsi="Arial Narrow"/>
          <w:sz w:val="22"/>
          <w:szCs w:val="22"/>
          <w:lang w:val="en-GB"/>
        </w:rPr>
        <w:t xml:space="preserve"> </w:t>
      </w:r>
      <w:proofErr w:type="spellStart"/>
      <w:r w:rsidRPr="00AF33E5">
        <w:rPr>
          <w:rFonts w:ascii="Arial Narrow" w:eastAsia="Calibri" w:hAnsi="Arial Narrow"/>
          <w:sz w:val="22"/>
          <w:szCs w:val="22"/>
          <w:lang w:val="en-GB"/>
        </w:rPr>
        <w:t>shitja</w:t>
      </w:r>
      <w:proofErr w:type="spellEnd"/>
      <w:r w:rsidRPr="00AF33E5">
        <w:rPr>
          <w:rFonts w:ascii="Arial Narrow" w:eastAsia="Calibri" w:hAnsi="Arial Narrow"/>
          <w:sz w:val="22"/>
          <w:szCs w:val="22"/>
          <w:lang w:val="en-GB"/>
        </w:rPr>
        <w:t xml:space="preserve"> e </w:t>
      </w:r>
      <w:proofErr w:type="spellStart"/>
      <w:r w:rsidRPr="00AF33E5">
        <w:rPr>
          <w:rFonts w:ascii="Arial Narrow" w:eastAsia="Calibri" w:hAnsi="Arial Narrow"/>
          <w:sz w:val="22"/>
          <w:szCs w:val="22"/>
          <w:lang w:val="en-GB"/>
        </w:rPr>
        <w:t>materialeve</w:t>
      </w:r>
      <w:proofErr w:type="spellEnd"/>
      <w:r w:rsidRPr="00AF33E5">
        <w:rPr>
          <w:rFonts w:ascii="Arial Narrow" w:eastAsia="Calibri" w:hAnsi="Arial Narrow"/>
          <w:sz w:val="22"/>
          <w:szCs w:val="22"/>
          <w:lang w:val="en-GB"/>
        </w:rPr>
        <w:t xml:space="preserve"> </w:t>
      </w:r>
      <w:proofErr w:type="spellStart"/>
      <w:r w:rsidRPr="00AF33E5">
        <w:rPr>
          <w:rFonts w:ascii="Arial Narrow" w:eastAsia="Calibri" w:hAnsi="Arial Narrow"/>
          <w:sz w:val="22"/>
          <w:szCs w:val="22"/>
          <w:lang w:val="en-GB"/>
        </w:rPr>
        <w:t>të</w:t>
      </w:r>
      <w:proofErr w:type="spellEnd"/>
      <w:r w:rsidRPr="00AF33E5">
        <w:rPr>
          <w:rFonts w:ascii="Arial Narrow" w:eastAsia="Calibri" w:hAnsi="Arial Narrow"/>
          <w:sz w:val="22"/>
          <w:szCs w:val="22"/>
          <w:lang w:val="en-GB"/>
        </w:rPr>
        <w:t xml:space="preserve"> </w:t>
      </w:r>
      <w:proofErr w:type="spellStart"/>
      <w:r w:rsidRPr="00AF33E5">
        <w:rPr>
          <w:rFonts w:ascii="Arial Narrow" w:eastAsia="Calibri" w:hAnsi="Arial Narrow"/>
          <w:sz w:val="22"/>
          <w:szCs w:val="22"/>
          <w:lang w:val="en-GB"/>
        </w:rPr>
        <w:t>riciklueshme</w:t>
      </w:r>
      <w:proofErr w:type="spellEnd"/>
      <w:r w:rsidRPr="00AF33E5">
        <w:rPr>
          <w:rFonts w:ascii="Arial Narrow" w:eastAsia="Calibri" w:hAnsi="Arial Narrow"/>
          <w:sz w:val="22"/>
          <w:szCs w:val="22"/>
          <w:lang w:val="en-GB"/>
        </w:rPr>
        <w:t xml:space="preserve"> </w:t>
      </w:r>
      <w:proofErr w:type="spellStart"/>
      <w:r w:rsidRPr="00AF33E5">
        <w:rPr>
          <w:rFonts w:ascii="Arial Narrow" w:eastAsia="Calibri" w:hAnsi="Arial Narrow"/>
          <w:sz w:val="22"/>
          <w:szCs w:val="22"/>
          <w:lang w:val="en-GB"/>
        </w:rPr>
        <w:t>nuk</w:t>
      </w:r>
      <w:proofErr w:type="spellEnd"/>
      <w:r w:rsidRPr="00AF33E5">
        <w:rPr>
          <w:rFonts w:ascii="Arial Narrow" w:eastAsia="Calibri" w:hAnsi="Arial Narrow"/>
          <w:sz w:val="22"/>
          <w:szCs w:val="22"/>
          <w:lang w:val="en-GB"/>
        </w:rPr>
        <w:t xml:space="preserve"> </w:t>
      </w:r>
      <w:proofErr w:type="spellStart"/>
      <w:r w:rsidRPr="00AF33E5">
        <w:rPr>
          <w:rFonts w:ascii="Arial Narrow" w:eastAsia="Calibri" w:hAnsi="Arial Narrow"/>
          <w:sz w:val="22"/>
          <w:szCs w:val="22"/>
          <w:lang w:val="en-GB"/>
        </w:rPr>
        <w:t>mund</w:t>
      </w:r>
      <w:proofErr w:type="spellEnd"/>
      <w:r w:rsidRPr="00AF33E5">
        <w:rPr>
          <w:rFonts w:ascii="Arial Narrow" w:eastAsia="Calibri" w:hAnsi="Arial Narrow"/>
          <w:sz w:val="22"/>
          <w:szCs w:val="22"/>
          <w:lang w:val="en-GB"/>
        </w:rPr>
        <w:t xml:space="preserve"> </w:t>
      </w:r>
      <w:proofErr w:type="spellStart"/>
      <w:r w:rsidRPr="00AF33E5">
        <w:rPr>
          <w:rFonts w:ascii="Arial Narrow" w:eastAsia="Calibri" w:hAnsi="Arial Narrow"/>
          <w:sz w:val="22"/>
          <w:szCs w:val="22"/>
          <w:lang w:val="en-GB"/>
        </w:rPr>
        <w:t>të</w:t>
      </w:r>
      <w:proofErr w:type="spellEnd"/>
      <w:r w:rsidRPr="00AF33E5">
        <w:rPr>
          <w:rFonts w:ascii="Arial Narrow" w:eastAsia="Calibri" w:hAnsi="Arial Narrow"/>
          <w:sz w:val="22"/>
          <w:szCs w:val="22"/>
          <w:lang w:val="en-GB"/>
        </w:rPr>
        <w:t xml:space="preserve"> </w:t>
      </w:r>
      <w:proofErr w:type="spellStart"/>
      <w:r w:rsidRPr="00AF33E5">
        <w:rPr>
          <w:rFonts w:ascii="Arial Narrow" w:eastAsia="Calibri" w:hAnsi="Arial Narrow"/>
          <w:sz w:val="22"/>
          <w:szCs w:val="22"/>
          <w:lang w:val="en-GB"/>
        </w:rPr>
        <w:t>mbulojnë</w:t>
      </w:r>
      <w:proofErr w:type="spellEnd"/>
      <w:r w:rsidRPr="00AF33E5">
        <w:rPr>
          <w:rFonts w:ascii="Arial Narrow" w:eastAsia="Calibri" w:hAnsi="Arial Narrow"/>
          <w:sz w:val="22"/>
          <w:szCs w:val="22"/>
          <w:lang w:val="en-GB"/>
        </w:rPr>
        <w:t xml:space="preserve"> as </w:t>
      </w:r>
      <w:proofErr w:type="spellStart"/>
      <w:r w:rsidRPr="00AF33E5">
        <w:rPr>
          <w:rFonts w:ascii="Arial Narrow" w:eastAsia="Calibri" w:hAnsi="Arial Narrow"/>
          <w:sz w:val="22"/>
          <w:szCs w:val="22"/>
          <w:lang w:val="en-GB"/>
        </w:rPr>
        <w:t>kostot</w:t>
      </w:r>
      <w:proofErr w:type="spellEnd"/>
      <w:r w:rsidRPr="00AF33E5">
        <w:rPr>
          <w:rFonts w:ascii="Arial Narrow" w:eastAsia="Calibri" w:hAnsi="Arial Narrow"/>
          <w:sz w:val="22"/>
          <w:szCs w:val="22"/>
          <w:lang w:val="en-GB"/>
        </w:rPr>
        <w:t xml:space="preserve"> e </w:t>
      </w:r>
      <w:proofErr w:type="spellStart"/>
      <w:r w:rsidRPr="00AF33E5">
        <w:rPr>
          <w:rFonts w:ascii="Arial Narrow" w:eastAsia="Calibri" w:hAnsi="Arial Narrow"/>
          <w:sz w:val="22"/>
          <w:szCs w:val="22"/>
          <w:lang w:val="en-GB"/>
        </w:rPr>
        <w:t>grumbullimit</w:t>
      </w:r>
      <w:proofErr w:type="spellEnd"/>
      <w:r w:rsidRPr="00AF33E5">
        <w:rPr>
          <w:rFonts w:ascii="Arial Narrow" w:eastAsia="Calibri" w:hAnsi="Arial Narrow"/>
          <w:sz w:val="22"/>
          <w:szCs w:val="22"/>
          <w:lang w:val="en-GB"/>
        </w:rPr>
        <w:t xml:space="preserve"> </w:t>
      </w:r>
      <w:proofErr w:type="spellStart"/>
      <w:r w:rsidRPr="00AF33E5">
        <w:rPr>
          <w:rFonts w:ascii="Arial Narrow" w:eastAsia="Calibri" w:hAnsi="Arial Narrow"/>
          <w:sz w:val="22"/>
          <w:szCs w:val="22"/>
          <w:lang w:val="en-GB"/>
        </w:rPr>
        <w:t>ndaras</w:t>
      </w:r>
      <w:proofErr w:type="spellEnd"/>
      <w:r w:rsidRPr="00AF33E5">
        <w:rPr>
          <w:rFonts w:ascii="Arial Narrow" w:eastAsia="Calibri" w:hAnsi="Arial Narrow"/>
          <w:sz w:val="22"/>
          <w:szCs w:val="22"/>
          <w:lang w:val="en-GB"/>
        </w:rPr>
        <w:t>.</w:t>
      </w:r>
    </w:p>
    <w:p w14:paraId="4A546B99" w14:textId="77777777" w:rsidR="00AF33E5" w:rsidRPr="00AF33E5" w:rsidRDefault="00AF33E5" w:rsidP="00AF33E5">
      <w:pPr>
        <w:suppressAutoHyphens/>
        <w:jc w:val="both"/>
        <w:rPr>
          <w:rFonts w:ascii="Arial Narrow" w:eastAsia="Calibri" w:hAnsi="Arial Narrow" w:cs="Calibri"/>
          <w:sz w:val="22"/>
          <w:szCs w:val="22"/>
          <w:lang w:val="en-GB"/>
        </w:rPr>
      </w:pPr>
      <w:r w:rsidRPr="00AF33E5">
        <w:rPr>
          <w:rFonts w:ascii="Arial Narrow" w:eastAsia="Calibri" w:hAnsi="Arial Narrow" w:cs="Calibri"/>
          <w:sz w:val="22"/>
          <w:szCs w:val="22"/>
        </w:rPr>
        <w:t>Grante nuk jepen për pajisjet e grumbullimit të mbeturinave.</w:t>
      </w:r>
      <w:r w:rsidRPr="00AF33E5">
        <w:rPr>
          <w:rFonts w:ascii="Arial Narrow" w:eastAsia="Calibri" w:hAnsi="Arial Narrow" w:cs="Calibri"/>
          <w:sz w:val="22"/>
          <w:szCs w:val="22"/>
          <w:lang w:val="bg-BG"/>
        </w:rPr>
        <w:t xml:space="preserve"> </w:t>
      </w:r>
      <w:proofErr w:type="spellStart"/>
      <w:r w:rsidRPr="00AF33E5">
        <w:rPr>
          <w:rFonts w:ascii="Arial Narrow" w:eastAsia="Calibri" w:hAnsi="Arial Narrow" w:cs="Calibri"/>
          <w:sz w:val="22"/>
          <w:szCs w:val="22"/>
          <w:lang w:val="en-GB"/>
        </w:rPr>
        <w:t>Nëse</w:t>
      </w:r>
      <w:proofErr w:type="spellEnd"/>
      <w:r w:rsidRPr="00AF33E5">
        <w:rPr>
          <w:rFonts w:ascii="Arial Narrow" w:eastAsia="Calibri" w:hAnsi="Arial Narrow" w:cs="Calibri"/>
          <w:sz w:val="22"/>
          <w:szCs w:val="22"/>
          <w:lang w:val="en-GB"/>
        </w:rPr>
        <w:t xml:space="preserve"> </w:t>
      </w:r>
      <w:proofErr w:type="spellStart"/>
      <w:r w:rsidRPr="00AF33E5">
        <w:rPr>
          <w:rFonts w:ascii="Arial Narrow" w:eastAsia="Calibri" w:hAnsi="Arial Narrow" w:cs="Calibri"/>
          <w:sz w:val="22"/>
          <w:szCs w:val="22"/>
          <w:lang w:val="en-GB"/>
        </w:rPr>
        <w:t>investimi</w:t>
      </w:r>
      <w:proofErr w:type="spellEnd"/>
      <w:r w:rsidRPr="00AF33E5">
        <w:rPr>
          <w:rFonts w:ascii="Arial Narrow" w:eastAsia="Calibri" w:hAnsi="Arial Narrow" w:cs="Calibri"/>
          <w:sz w:val="22"/>
          <w:szCs w:val="22"/>
          <w:lang w:val="en-GB"/>
        </w:rPr>
        <w:t xml:space="preserve"> </w:t>
      </w:r>
      <w:proofErr w:type="spellStart"/>
      <w:r w:rsidRPr="00AF33E5">
        <w:rPr>
          <w:rFonts w:ascii="Arial Narrow" w:eastAsia="Calibri" w:hAnsi="Arial Narrow" w:cs="Calibri"/>
          <w:sz w:val="22"/>
          <w:szCs w:val="22"/>
          <w:lang w:val="en-GB"/>
        </w:rPr>
        <w:t>fillestar</w:t>
      </w:r>
      <w:proofErr w:type="spellEnd"/>
      <w:r w:rsidRPr="00AF33E5">
        <w:rPr>
          <w:rFonts w:ascii="Arial Narrow" w:eastAsia="Calibri" w:hAnsi="Arial Narrow" w:cs="Calibri"/>
          <w:sz w:val="22"/>
          <w:szCs w:val="22"/>
          <w:lang w:val="en-GB"/>
        </w:rPr>
        <w:t xml:space="preserve"> </w:t>
      </w:r>
      <w:proofErr w:type="spellStart"/>
      <w:r w:rsidRPr="00AF33E5">
        <w:rPr>
          <w:rFonts w:ascii="Arial Narrow" w:eastAsia="Calibri" w:hAnsi="Arial Narrow" w:cs="Calibri"/>
          <w:sz w:val="22"/>
          <w:szCs w:val="22"/>
          <w:lang w:val="en-GB"/>
        </w:rPr>
        <w:t>në</w:t>
      </w:r>
      <w:proofErr w:type="spellEnd"/>
      <w:r w:rsidRPr="00AF33E5">
        <w:rPr>
          <w:rFonts w:ascii="Arial Narrow" w:eastAsia="Calibri" w:hAnsi="Arial Narrow" w:cs="Calibri"/>
          <w:sz w:val="22"/>
          <w:szCs w:val="22"/>
          <w:lang w:val="en-GB"/>
        </w:rPr>
        <w:t xml:space="preserve"> </w:t>
      </w:r>
      <w:proofErr w:type="spellStart"/>
      <w:r w:rsidRPr="00AF33E5">
        <w:rPr>
          <w:rFonts w:ascii="Arial Narrow" w:eastAsia="Calibri" w:hAnsi="Arial Narrow" w:cs="Calibri"/>
          <w:sz w:val="22"/>
          <w:szCs w:val="22"/>
          <w:lang w:val="en-GB"/>
        </w:rPr>
        <w:t>objektin</w:t>
      </w:r>
      <w:proofErr w:type="spellEnd"/>
      <w:r w:rsidRPr="00AF33E5">
        <w:rPr>
          <w:rFonts w:ascii="Arial Narrow" w:eastAsia="Calibri" w:hAnsi="Arial Narrow" w:cs="Calibri"/>
          <w:sz w:val="22"/>
          <w:szCs w:val="22"/>
          <w:lang w:val="en-GB"/>
        </w:rPr>
        <w:t xml:space="preserve"> e </w:t>
      </w:r>
      <w:proofErr w:type="spellStart"/>
      <w:r w:rsidRPr="00AF33E5">
        <w:rPr>
          <w:rFonts w:ascii="Arial Narrow" w:eastAsia="Calibri" w:hAnsi="Arial Narrow" w:cs="Calibri"/>
          <w:sz w:val="22"/>
          <w:szCs w:val="22"/>
          <w:lang w:val="en-GB"/>
        </w:rPr>
        <w:t>klasifikimit</w:t>
      </w:r>
      <w:proofErr w:type="spellEnd"/>
      <w:r w:rsidRPr="00AF33E5">
        <w:rPr>
          <w:rFonts w:ascii="Arial Narrow" w:eastAsia="Calibri" w:hAnsi="Arial Narrow" w:cs="Calibri"/>
          <w:sz w:val="22"/>
          <w:szCs w:val="22"/>
          <w:lang w:val="en-GB"/>
        </w:rPr>
        <w:t xml:space="preserve"> </w:t>
      </w:r>
      <w:proofErr w:type="spellStart"/>
      <w:r w:rsidRPr="00AF33E5">
        <w:rPr>
          <w:rFonts w:ascii="Arial Narrow" w:eastAsia="Calibri" w:hAnsi="Arial Narrow" w:cs="Calibri"/>
          <w:sz w:val="22"/>
          <w:szCs w:val="22"/>
          <w:lang w:val="en-GB"/>
        </w:rPr>
        <w:t>ofrohet</w:t>
      </w:r>
      <w:proofErr w:type="spellEnd"/>
      <w:r w:rsidRPr="00AF33E5">
        <w:rPr>
          <w:rFonts w:ascii="Arial Narrow" w:eastAsia="Calibri" w:hAnsi="Arial Narrow" w:cs="Calibri"/>
          <w:sz w:val="22"/>
          <w:szCs w:val="22"/>
          <w:lang w:val="en-GB"/>
        </w:rPr>
        <w:t xml:space="preserve"> </w:t>
      </w:r>
      <w:proofErr w:type="spellStart"/>
      <w:r w:rsidRPr="00AF33E5">
        <w:rPr>
          <w:rFonts w:ascii="Arial Narrow" w:eastAsia="Calibri" w:hAnsi="Arial Narrow" w:cs="Calibri"/>
          <w:sz w:val="22"/>
          <w:szCs w:val="22"/>
          <w:lang w:val="en-GB"/>
        </w:rPr>
        <w:t>si</w:t>
      </w:r>
      <w:proofErr w:type="spellEnd"/>
      <w:r w:rsidRPr="00AF33E5">
        <w:rPr>
          <w:rFonts w:ascii="Arial Narrow" w:eastAsia="Calibri" w:hAnsi="Arial Narrow" w:cs="Calibri"/>
          <w:sz w:val="22"/>
          <w:szCs w:val="22"/>
          <w:lang w:val="en-GB"/>
        </w:rPr>
        <w:t xml:space="preserve"> grant, </w:t>
      </w:r>
      <w:proofErr w:type="spellStart"/>
      <w:r w:rsidRPr="00AF33E5">
        <w:rPr>
          <w:rFonts w:ascii="Arial Narrow" w:eastAsia="Calibri" w:hAnsi="Arial Narrow" w:cs="Calibri"/>
          <w:sz w:val="22"/>
          <w:szCs w:val="22"/>
          <w:lang w:val="en-GB"/>
        </w:rPr>
        <w:t>kjo</w:t>
      </w:r>
      <w:proofErr w:type="spellEnd"/>
      <w:r w:rsidRPr="00AF33E5">
        <w:rPr>
          <w:rFonts w:ascii="Arial Narrow" w:eastAsia="Calibri" w:hAnsi="Arial Narrow" w:cs="Calibri"/>
          <w:sz w:val="22"/>
          <w:szCs w:val="22"/>
          <w:lang w:val="en-GB"/>
        </w:rPr>
        <w:t xml:space="preserve"> do </w:t>
      </w:r>
      <w:proofErr w:type="spellStart"/>
      <w:r w:rsidRPr="00AF33E5">
        <w:rPr>
          <w:rFonts w:ascii="Arial Narrow" w:eastAsia="Calibri" w:hAnsi="Arial Narrow" w:cs="Calibri"/>
          <w:sz w:val="22"/>
          <w:szCs w:val="22"/>
          <w:lang w:val="en-GB"/>
        </w:rPr>
        <w:t>të</w:t>
      </w:r>
      <w:proofErr w:type="spellEnd"/>
      <w:r w:rsidRPr="00AF33E5">
        <w:rPr>
          <w:rFonts w:ascii="Arial Narrow" w:eastAsia="Calibri" w:hAnsi="Arial Narrow" w:cs="Calibri"/>
          <w:sz w:val="22"/>
          <w:szCs w:val="22"/>
          <w:lang w:val="en-GB"/>
        </w:rPr>
        <w:t xml:space="preserve"> </w:t>
      </w:r>
      <w:proofErr w:type="spellStart"/>
      <w:r w:rsidRPr="00AF33E5">
        <w:rPr>
          <w:rFonts w:ascii="Arial Narrow" w:eastAsia="Calibri" w:hAnsi="Arial Narrow" w:cs="Calibri"/>
          <w:sz w:val="22"/>
          <w:szCs w:val="22"/>
          <w:lang w:val="en-GB"/>
        </w:rPr>
        <w:t>ketë</w:t>
      </w:r>
      <w:proofErr w:type="spellEnd"/>
      <w:r w:rsidRPr="00AF33E5">
        <w:rPr>
          <w:rFonts w:ascii="Arial Narrow" w:eastAsia="Calibri" w:hAnsi="Arial Narrow" w:cs="Calibri"/>
          <w:sz w:val="22"/>
          <w:szCs w:val="22"/>
          <w:lang w:val="en-GB"/>
        </w:rPr>
        <w:t xml:space="preserve"> </w:t>
      </w:r>
      <w:proofErr w:type="spellStart"/>
      <w:r w:rsidRPr="00AF33E5">
        <w:rPr>
          <w:rFonts w:ascii="Arial Narrow" w:eastAsia="Calibri" w:hAnsi="Arial Narrow" w:cs="Calibri"/>
          <w:sz w:val="22"/>
          <w:szCs w:val="22"/>
          <w:lang w:val="en-GB"/>
        </w:rPr>
        <w:t>një</w:t>
      </w:r>
      <w:proofErr w:type="spellEnd"/>
      <w:r w:rsidRPr="00AF33E5">
        <w:rPr>
          <w:rFonts w:ascii="Arial Narrow" w:eastAsia="Calibri" w:hAnsi="Arial Narrow" w:cs="Calibri"/>
          <w:sz w:val="22"/>
          <w:szCs w:val="22"/>
          <w:lang w:val="en-GB"/>
        </w:rPr>
        <w:t xml:space="preserve"> </w:t>
      </w:r>
      <w:proofErr w:type="spellStart"/>
      <w:r w:rsidRPr="00AF33E5">
        <w:rPr>
          <w:rFonts w:ascii="Arial Narrow" w:eastAsia="Calibri" w:hAnsi="Arial Narrow" w:cs="Calibri"/>
          <w:sz w:val="22"/>
          <w:szCs w:val="22"/>
          <w:lang w:val="en-GB"/>
        </w:rPr>
        <w:t>ndikim</w:t>
      </w:r>
      <w:proofErr w:type="spellEnd"/>
      <w:r w:rsidRPr="00AF33E5">
        <w:rPr>
          <w:rFonts w:ascii="Arial Narrow" w:eastAsia="Calibri" w:hAnsi="Arial Narrow" w:cs="Calibri"/>
          <w:sz w:val="22"/>
          <w:szCs w:val="22"/>
          <w:lang w:val="en-GB"/>
        </w:rPr>
        <w:t xml:space="preserve"> </w:t>
      </w:r>
      <w:proofErr w:type="spellStart"/>
      <w:r w:rsidRPr="00AF33E5">
        <w:rPr>
          <w:rFonts w:ascii="Arial Narrow" w:eastAsia="Calibri" w:hAnsi="Arial Narrow" w:cs="Calibri"/>
          <w:sz w:val="22"/>
          <w:szCs w:val="22"/>
          <w:lang w:val="en-GB"/>
        </w:rPr>
        <w:t>të</w:t>
      </w:r>
      <w:proofErr w:type="spellEnd"/>
      <w:r w:rsidRPr="00AF33E5">
        <w:rPr>
          <w:rFonts w:ascii="Arial Narrow" w:eastAsia="Calibri" w:hAnsi="Arial Narrow" w:cs="Calibri"/>
          <w:sz w:val="22"/>
          <w:szCs w:val="22"/>
          <w:lang w:val="en-GB"/>
        </w:rPr>
        <w:t xml:space="preserve"> </w:t>
      </w:r>
      <w:proofErr w:type="spellStart"/>
      <w:r w:rsidRPr="00AF33E5">
        <w:rPr>
          <w:rFonts w:ascii="Arial Narrow" w:eastAsia="Calibri" w:hAnsi="Arial Narrow" w:cs="Calibri"/>
          <w:sz w:val="22"/>
          <w:szCs w:val="22"/>
          <w:lang w:val="en-GB"/>
        </w:rPr>
        <w:t>vogël</w:t>
      </w:r>
      <w:proofErr w:type="spellEnd"/>
      <w:r w:rsidRPr="00AF33E5">
        <w:rPr>
          <w:rFonts w:ascii="Arial Narrow" w:eastAsia="Calibri" w:hAnsi="Arial Narrow" w:cs="Calibri"/>
          <w:sz w:val="22"/>
          <w:szCs w:val="22"/>
          <w:lang w:val="en-GB"/>
        </w:rPr>
        <w:t xml:space="preserve"> </w:t>
      </w:r>
      <w:proofErr w:type="spellStart"/>
      <w:r w:rsidRPr="00AF33E5">
        <w:rPr>
          <w:rFonts w:ascii="Arial Narrow" w:eastAsia="Calibri" w:hAnsi="Arial Narrow" w:cs="Calibri"/>
          <w:sz w:val="22"/>
          <w:szCs w:val="22"/>
          <w:lang w:val="en-GB"/>
        </w:rPr>
        <w:t>në</w:t>
      </w:r>
      <w:proofErr w:type="spellEnd"/>
      <w:r w:rsidRPr="00AF33E5">
        <w:rPr>
          <w:rFonts w:ascii="Arial Narrow" w:eastAsia="Calibri" w:hAnsi="Arial Narrow" w:cs="Calibri"/>
          <w:sz w:val="22"/>
          <w:szCs w:val="22"/>
          <w:lang w:val="en-GB"/>
        </w:rPr>
        <w:t xml:space="preserve"> </w:t>
      </w:r>
      <w:proofErr w:type="spellStart"/>
      <w:r w:rsidRPr="00AF33E5">
        <w:rPr>
          <w:rFonts w:ascii="Arial Narrow" w:eastAsia="Calibri" w:hAnsi="Arial Narrow" w:cs="Calibri"/>
          <w:sz w:val="22"/>
          <w:szCs w:val="22"/>
          <w:lang w:val="en-GB"/>
        </w:rPr>
        <w:t>kosto</w:t>
      </w:r>
      <w:proofErr w:type="spellEnd"/>
      <w:r w:rsidRPr="00AF33E5">
        <w:rPr>
          <w:rFonts w:ascii="Arial Narrow" w:eastAsia="Calibri" w:hAnsi="Arial Narrow" w:cs="Calibri"/>
          <w:sz w:val="22"/>
          <w:szCs w:val="22"/>
          <w:lang w:val="en-GB"/>
        </w:rPr>
        <w:t>.</w:t>
      </w:r>
    </w:p>
    <w:p w14:paraId="23B0A154" w14:textId="77777777" w:rsidR="00AF33E5" w:rsidRPr="00AF33E5" w:rsidRDefault="00AF33E5" w:rsidP="00AF33E5">
      <w:pPr>
        <w:rPr>
          <w:rFonts w:ascii="Arial Narrow" w:eastAsia="Calibri" w:hAnsi="Arial Narrow"/>
          <w:sz w:val="22"/>
          <w:szCs w:val="22"/>
          <w:lang w:val="en-GB"/>
        </w:rPr>
      </w:pPr>
    </w:p>
    <w:p w14:paraId="4A29D7B3" w14:textId="77777777" w:rsidR="00AF33E5" w:rsidRPr="00AF33E5" w:rsidRDefault="00AF33E5" w:rsidP="00AF33E5">
      <w:pPr>
        <w:suppressAutoHyphens/>
        <w:rPr>
          <w:rFonts w:ascii="Arial Narrow" w:eastAsia="Calibri" w:hAnsi="Arial Narrow" w:cs="Calibri"/>
          <w:b/>
          <w:bCs/>
          <w:color w:val="1F3864" w:themeColor="accent1" w:themeShade="80"/>
          <w:sz w:val="22"/>
          <w:szCs w:val="22"/>
        </w:rPr>
      </w:pPr>
      <w:bookmarkStart w:id="590" w:name="_Toc190929296"/>
      <w:r w:rsidRPr="00AF33E5">
        <w:rPr>
          <w:rFonts w:ascii="Arial Narrow" w:eastAsia="Calibri" w:hAnsi="Arial Narrow" w:cs="Calibri"/>
          <w:b/>
          <w:bCs/>
          <w:color w:val="1F3864" w:themeColor="accent1" w:themeShade="80"/>
          <w:sz w:val="22"/>
          <w:szCs w:val="22"/>
        </w:rPr>
        <w:t>Financimi</w:t>
      </w:r>
      <w:bookmarkEnd w:id="590"/>
    </w:p>
    <w:p w14:paraId="4244D31B" w14:textId="77777777" w:rsidR="00AF33E5" w:rsidRPr="00AF33E5" w:rsidRDefault="00AF33E5" w:rsidP="00AF33E5">
      <w:pPr>
        <w:jc w:val="both"/>
        <w:rPr>
          <w:rFonts w:ascii="Arial Narrow" w:eastAsia="Calibri" w:hAnsi="Arial Narrow" w:cs="Calibri"/>
          <w:sz w:val="22"/>
          <w:szCs w:val="22"/>
        </w:rPr>
      </w:pPr>
      <w:r w:rsidRPr="00AF33E5">
        <w:rPr>
          <w:rFonts w:ascii="Arial Narrow" w:eastAsia="Calibri" w:hAnsi="Arial Narrow" w:cs="Calibri"/>
          <w:sz w:val="22"/>
          <w:szCs w:val="22"/>
        </w:rPr>
        <w:t>Kostot për grumbullimin ndaras dhe klasifikimin janë të konsiderueshme dhe nuk mund të kompensohen nga të hyrat nga shitja e materialeve të riciklueshme siç është konsideruar më sipër. Ngritja e skemës PZP për mbeturinat e ambalazhit është konsideruar në nivel kombëtar si dhe financimi i grumbullimit ndaras dhe klasifikimi i mbeturinave nga të hyrat e skemës PZP.</w:t>
      </w:r>
    </w:p>
    <w:p w14:paraId="6B9BFD5A" w14:textId="5B4B63C1" w:rsidR="007D1EDC" w:rsidRDefault="00AF33E5" w:rsidP="00AF33E5">
      <w:pPr>
        <w:jc w:val="both"/>
        <w:rPr>
          <w:rFonts w:ascii="Arial Narrow" w:eastAsia="Calibri" w:hAnsi="Arial Narrow" w:cs="Calibri"/>
          <w:sz w:val="22"/>
          <w:szCs w:val="22"/>
        </w:rPr>
      </w:pPr>
      <w:r w:rsidRPr="00AF33E5">
        <w:rPr>
          <w:rFonts w:ascii="Arial Narrow" w:eastAsia="Calibri" w:hAnsi="Arial Narrow" w:cs="Calibri"/>
          <w:sz w:val="22"/>
          <w:szCs w:val="22"/>
        </w:rPr>
        <w:t>Të gjitha kostot për mbeturinat e ambalazhit dhe të hyrat që ndërlidhen me grumbullimin ndaras të materialeve të riciklueshme, klasifikimin dhe transportin e mëtejshëm deri në riciklimin përfundimtar do të financohen nga skema PZP, pas miratimit në nivel kombëtar</w:t>
      </w:r>
      <w:r w:rsidR="00BD1EDD">
        <w:rPr>
          <w:rFonts w:ascii="Arial Narrow" w:eastAsia="Calibri" w:hAnsi="Arial Narrow" w:cs="Calibri"/>
          <w:sz w:val="22"/>
          <w:szCs w:val="22"/>
        </w:rPr>
        <w:t>.</w:t>
      </w:r>
    </w:p>
    <w:p w14:paraId="637B84ED" w14:textId="77777777" w:rsidR="00BD1EDD" w:rsidRPr="00AF33E5" w:rsidRDefault="00BD1EDD" w:rsidP="00AF33E5">
      <w:pPr>
        <w:jc w:val="both"/>
        <w:rPr>
          <w:rFonts w:ascii="Arial Narrow" w:eastAsia="Calibri" w:hAnsi="Arial Narrow" w:cs="Calibri"/>
          <w:b/>
          <w:bCs/>
          <w:color w:val="0070C0"/>
          <w:sz w:val="22"/>
          <w:szCs w:val="22"/>
        </w:rPr>
      </w:pPr>
    </w:p>
    <w:p w14:paraId="5A535E7A" w14:textId="585601EE" w:rsidR="007D1EDC" w:rsidRPr="007D1EDC" w:rsidRDefault="007D1EDC" w:rsidP="002E4DDE">
      <w:pPr>
        <w:pStyle w:val="Heading3"/>
        <w:ind w:left="1134" w:hanging="1134"/>
      </w:pPr>
      <w:bookmarkStart w:id="591" w:name="_Toc190929297"/>
      <w:bookmarkStart w:id="592" w:name="_Toc190967407"/>
      <w:bookmarkStart w:id="593" w:name="_Toc197472056"/>
      <w:r w:rsidRPr="00AF33E5">
        <w:t>Kompostimi i mb</w:t>
      </w:r>
      <w:r w:rsidRPr="007D1EDC">
        <w:t>et</w:t>
      </w:r>
      <w:r w:rsidR="00AF33E5">
        <w:t>urinave</w:t>
      </w:r>
      <w:r w:rsidRPr="007D1EDC">
        <w:t xml:space="preserve"> të gjelbra</w:t>
      </w:r>
      <w:bookmarkEnd w:id="591"/>
      <w:bookmarkEnd w:id="592"/>
      <w:bookmarkEnd w:id="593"/>
    </w:p>
    <w:p w14:paraId="7ADBBF6B" w14:textId="77777777" w:rsidR="00BD1EDD" w:rsidRDefault="00BD1EDD" w:rsidP="00AF33E5">
      <w:pPr>
        <w:jc w:val="both"/>
        <w:rPr>
          <w:rFonts w:ascii="Arial Narrow" w:eastAsia="Calibri" w:hAnsi="Arial Narrow" w:cs="Calibri"/>
          <w:sz w:val="22"/>
          <w:szCs w:val="22"/>
        </w:rPr>
      </w:pPr>
    </w:p>
    <w:p w14:paraId="652C12B7" w14:textId="1DD476BC" w:rsidR="00AF33E5" w:rsidRPr="00AF33E5" w:rsidRDefault="00AF33E5" w:rsidP="00AF33E5">
      <w:pPr>
        <w:jc w:val="both"/>
        <w:rPr>
          <w:rFonts w:ascii="Arial Narrow" w:eastAsia="Calibri" w:hAnsi="Arial Narrow" w:cs="Calibri"/>
          <w:sz w:val="22"/>
          <w:szCs w:val="22"/>
        </w:rPr>
      </w:pPr>
      <w:r w:rsidRPr="00AF33E5">
        <w:rPr>
          <w:rFonts w:ascii="Arial Narrow" w:eastAsia="Calibri" w:hAnsi="Arial Narrow" w:cs="Calibri"/>
          <w:sz w:val="22"/>
          <w:szCs w:val="22"/>
        </w:rPr>
        <w:t>Kompostimi i mbeturinave të gjelbra organike (p.sh. mbeturinat e fushave, mbeturinat nga kopshtet etj.) kërkon një minimum përpunimi paraprak qëi do të rezultojë në cilësi të lartë të produktit të kompostimit i cili mund të përdoret si kondicioner i tokës, i përshtatshëm për përdorime bujqësore dhe të tjera.</w:t>
      </w:r>
    </w:p>
    <w:p w14:paraId="66D6D1BE" w14:textId="77777777" w:rsidR="00AF33E5" w:rsidRPr="00AF33E5" w:rsidRDefault="00AF33E5" w:rsidP="00AF33E5">
      <w:pPr>
        <w:jc w:val="both"/>
        <w:rPr>
          <w:rFonts w:ascii="Arial Narrow" w:eastAsia="Calibri" w:hAnsi="Arial Narrow" w:cs="Calibri"/>
          <w:sz w:val="22"/>
          <w:szCs w:val="22"/>
        </w:rPr>
      </w:pPr>
    </w:p>
    <w:p w14:paraId="5A394901" w14:textId="77777777" w:rsidR="00AF33E5" w:rsidRPr="00AF33E5" w:rsidRDefault="00AF33E5" w:rsidP="00AF33E5">
      <w:pPr>
        <w:jc w:val="both"/>
        <w:rPr>
          <w:rFonts w:ascii="Arial Narrow" w:eastAsia="Calibri" w:hAnsi="Arial Narrow" w:cs="Calibri"/>
          <w:sz w:val="22"/>
          <w:szCs w:val="22"/>
        </w:rPr>
      </w:pPr>
      <w:r w:rsidRPr="00AF33E5">
        <w:rPr>
          <w:rFonts w:ascii="Arial Narrow" w:eastAsia="Calibri" w:hAnsi="Arial Narrow" w:cs="Calibri"/>
          <w:sz w:val="22"/>
          <w:szCs w:val="22"/>
        </w:rPr>
        <w:t>Kompostimi do të bëhet në të ashtuquajturat palë palë, që mund të kenë kryqëzim trekëndor ose trapezoid të seksioneve, që trazohen ose rrotullohen rregullisht. Procesi është i adaptueshëm ndaj zgjerimit të ardhshëm (rritjes së kapacitetit) ose përditësimit të pajisjeve. Disavantazhi është periudha relativisht e gjatë e nevojshme për maturimin e kompostit.</w:t>
      </w:r>
    </w:p>
    <w:p w14:paraId="642E5332" w14:textId="77777777" w:rsidR="007D1EDC" w:rsidRPr="007D1EDC" w:rsidRDefault="007D1EDC" w:rsidP="007D1EDC">
      <w:pPr>
        <w:rPr>
          <w:rFonts w:ascii="Arial Narrow" w:eastAsia="Calibri" w:hAnsi="Arial Narrow" w:cs="Calibri"/>
          <w:sz w:val="22"/>
          <w:szCs w:val="22"/>
        </w:rPr>
      </w:pPr>
      <w:r w:rsidRPr="007D1EDC">
        <w:rPr>
          <w:rFonts w:ascii="Arial Narrow" w:eastAsia="Calibri" w:hAnsi="Arial Narrow" w:cs="Arial"/>
          <w:noProof/>
          <w:sz w:val="22"/>
          <w:szCs w:val="22"/>
        </w:rPr>
        <w:lastRenderedPageBreak/>
        <mc:AlternateContent>
          <mc:Choice Requires="wpc">
            <w:drawing>
              <wp:inline distT="0" distB="0" distL="0" distR="0" wp14:anchorId="36250944" wp14:editId="30E9CD47">
                <wp:extent cx="5760720" cy="2030576"/>
                <wp:effectExtent l="0" t="0" r="0" b="8255"/>
                <wp:docPr id="562834769" name="Canvas 5628347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51111148" name="Text Box 105"/>
                        <wps:cNvSpPr txBox="1">
                          <a:spLocks noChangeArrowheads="1"/>
                        </wps:cNvSpPr>
                        <wps:spPr bwMode="auto">
                          <a:xfrm>
                            <a:off x="0" y="52002"/>
                            <a:ext cx="2857510" cy="18293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C843F" w14:textId="77777777" w:rsidR="007D1EDC" w:rsidRDefault="007D1EDC" w:rsidP="007D1EDC">
                              <w:pPr>
                                <w:rPr>
                                  <w:sz w:val="18"/>
                                  <w:szCs w:val="18"/>
                                </w:rPr>
                              </w:pPr>
                              <w:bookmarkStart w:id="594" w:name="_Hlk78901131"/>
                              <w:bookmarkEnd w:id="594"/>
                              <w:r>
                                <w:rPr>
                                  <w:noProof/>
                                  <w:szCs w:val="20"/>
                                </w:rPr>
                                <w:drawing>
                                  <wp:inline distT="0" distB="0" distL="0" distR="0" wp14:anchorId="4C4DBCF5" wp14:editId="5D56F352">
                                    <wp:extent cx="2676525" cy="1504950"/>
                                    <wp:effectExtent l="0" t="0" r="9525" b="0"/>
                                    <wp:docPr id="182003071" name="Picture 182003071" descr="A picture containing ground, outdoor, grass,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ture containing ground, outdoor, grass, dirt&#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76525" cy="1504950"/>
                                            </a:xfrm>
                                            <a:prstGeom prst="rect">
                                              <a:avLst/>
                                            </a:prstGeom>
                                            <a:noFill/>
                                            <a:ln>
                                              <a:noFill/>
                                            </a:ln>
                                          </pic:spPr>
                                        </pic:pic>
                                      </a:graphicData>
                                    </a:graphic>
                                  </wp:inline>
                                </w:drawing>
                              </w:r>
                              <w:r>
                                <w:rPr>
                                  <w:sz w:val="18"/>
                                  <w:szCs w:val="18"/>
                                </w:rPr>
                                <w:t xml:space="preserve"> </w:t>
                              </w:r>
                            </w:p>
                          </w:txbxContent>
                        </wps:txbx>
                        <wps:bodyPr rot="0" vert="horz" wrap="square" lIns="91440" tIns="45720" rIns="91440" bIns="45720" anchor="t" anchorCtr="0" upright="1">
                          <a:noAutofit/>
                        </wps:bodyPr>
                      </wps:wsp>
                      <wps:wsp>
                        <wps:cNvPr id="1953330056" name="Text Box 111"/>
                        <wps:cNvSpPr txBox="1">
                          <a:spLocks noChangeArrowheads="1"/>
                        </wps:cNvSpPr>
                        <wps:spPr bwMode="auto">
                          <a:xfrm>
                            <a:off x="6900" y="1605966"/>
                            <a:ext cx="5714620" cy="396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C17557" w14:textId="29B9E152" w:rsidR="007D1EDC" w:rsidRPr="006347D6" w:rsidRDefault="007D1EDC" w:rsidP="006347D6">
                              <w:pPr>
                                <w:pStyle w:val="Figure"/>
                                <w:rPr>
                                  <w:rFonts w:eastAsia="Calibri" w:cs="Calibri"/>
                                  <w:sz w:val="20"/>
                                  <w:szCs w:val="20"/>
                                </w:rPr>
                              </w:pPr>
                              <w:bookmarkStart w:id="595" w:name="_Toc153381618"/>
                              <w:bookmarkStart w:id="596" w:name="_Toc153961083"/>
                              <w:bookmarkStart w:id="597" w:name="_Toc153979611"/>
                              <w:bookmarkStart w:id="598" w:name="_Toc155341061"/>
                              <w:bookmarkStart w:id="599" w:name="_Toc193365358"/>
                              <w:bookmarkStart w:id="600" w:name="_Toc79072573"/>
                              <w:bookmarkStart w:id="601" w:name="_Toc197472342"/>
                              <w:r w:rsidRPr="006347D6">
                                <w:rPr>
                                  <w:rFonts w:eastAsia="Calibri" w:cs="Calibri"/>
                                  <w:sz w:val="20"/>
                                  <w:szCs w:val="20"/>
                                </w:rPr>
                                <w:t xml:space="preserve">Figure </w:t>
                              </w:r>
                              <w:r w:rsidRPr="006347D6">
                                <w:rPr>
                                  <w:rFonts w:eastAsia="Calibri" w:cs="Calibri"/>
                                  <w:sz w:val="20"/>
                                  <w:szCs w:val="20"/>
                                </w:rPr>
                                <w:fldChar w:fldCharType="begin"/>
                              </w:r>
                              <w:r w:rsidRPr="006347D6">
                                <w:rPr>
                                  <w:rFonts w:eastAsia="Calibri" w:cs="Calibri"/>
                                  <w:sz w:val="20"/>
                                  <w:szCs w:val="20"/>
                                </w:rPr>
                                <w:instrText xml:space="preserve"> SEQ Figure \* ARABIC </w:instrText>
                              </w:r>
                              <w:r w:rsidRPr="006347D6">
                                <w:rPr>
                                  <w:rFonts w:eastAsia="Calibri" w:cs="Calibri"/>
                                  <w:sz w:val="20"/>
                                  <w:szCs w:val="20"/>
                                </w:rPr>
                                <w:fldChar w:fldCharType="separate"/>
                              </w:r>
                              <w:r w:rsidR="00C97DF3">
                                <w:rPr>
                                  <w:rFonts w:eastAsia="Calibri" w:cs="Calibri"/>
                                  <w:noProof/>
                                  <w:sz w:val="20"/>
                                  <w:szCs w:val="20"/>
                                </w:rPr>
                                <w:t>41</w:t>
                              </w:r>
                              <w:r w:rsidRPr="006347D6">
                                <w:rPr>
                                  <w:rFonts w:eastAsia="Calibri" w:cs="Calibri"/>
                                  <w:sz w:val="20"/>
                                  <w:szCs w:val="20"/>
                                </w:rPr>
                                <w:fldChar w:fldCharType="end"/>
                              </w:r>
                              <w:r w:rsidRPr="006347D6">
                                <w:rPr>
                                  <w:rFonts w:eastAsia="Calibri" w:cs="Calibri"/>
                                  <w:sz w:val="20"/>
                                  <w:szCs w:val="20"/>
                                </w:rPr>
                                <w:t xml:space="preserve">. </w:t>
                              </w:r>
                              <w:r w:rsidR="00AF33E5">
                                <w:rPr>
                                  <w:rFonts w:eastAsia="Calibri" w:cs="Calibri"/>
                                  <w:sz w:val="20"/>
                                  <w:szCs w:val="20"/>
                                </w:rPr>
                                <w:t>Impiant tipik kompostimi palë palë</w:t>
                              </w:r>
                              <w:bookmarkEnd w:id="595"/>
                              <w:bookmarkEnd w:id="596"/>
                              <w:bookmarkEnd w:id="597"/>
                              <w:bookmarkEnd w:id="598"/>
                              <w:bookmarkEnd w:id="599"/>
                              <w:bookmarkEnd w:id="600"/>
                              <w:bookmarkEnd w:id="601"/>
                            </w:p>
                          </w:txbxContent>
                        </wps:txbx>
                        <wps:bodyPr rot="0" vert="horz" wrap="square" lIns="91440" tIns="45720" rIns="91440" bIns="45720" anchor="t" anchorCtr="0" upright="1">
                          <a:noAutofit/>
                        </wps:bodyPr>
                      </wps:wsp>
                      <pic:pic xmlns:pic="http://schemas.openxmlformats.org/drawingml/2006/picture">
                        <pic:nvPicPr>
                          <pic:cNvPr id="1146517438" name="Picture 19" descr="A picture containing sky, outdoor, sandy, day&#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867110" y="85903"/>
                            <a:ext cx="2702009" cy="1520444"/>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6250944" id="Canvas 562834769" o:spid="_x0000_s1040" editas="canvas" style="width:453.6pt;height:159.9pt;mso-position-horizontal-relative:char;mso-position-vertical-relative:line" coordsize="57607,20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">
                <v:shape id="_x0000_s1041" type="#_x0000_t75" style="position:absolute;width:57607;height:20300;visibility:visible;mso-wrap-style:square">
                  <v:fill o:detectmouseclick="t"/>
                  <v:path o:connecttype="none"/>
                </v:shape>
                <v:shape id="Text Box 105" o:spid="_x0000_s1042" type="#_x0000_t202" style="position:absolute;top:520;width:28575;height:18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" stroked="f">
                  <v:textbox>
                    <w:txbxContent>
                      <w:p w14:paraId="419C843F" w14:textId="77777777" w:rsidR="007D1EDC" w:rsidRDefault="007D1EDC" w:rsidP="007D1EDC">
                        <w:pPr>
                          <w:rPr>
                            <w:sz w:val="18"/>
                            <w:szCs w:val="18"/>
                          </w:rPr>
                        </w:pPr>
                        <w:bookmarkStart w:id="602" w:name="_Hlk78901131"/>
                        <w:bookmarkEnd w:id="602"/>
                        <w:r>
                          <w:rPr>
                            <w:noProof/>
                            <w:szCs w:val="20"/>
                          </w:rPr>
                          <w:drawing>
                            <wp:inline distT="0" distB="0" distL="0" distR="0" wp14:anchorId="4C4DBCF5" wp14:editId="5D56F352">
                              <wp:extent cx="2676525" cy="1504950"/>
                              <wp:effectExtent l="0" t="0" r="9525" b="0"/>
                              <wp:docPr id="182003071" name="Picture 182003071" descr="A picture containing ground, outdoor, grass,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ture containing ground, outdoor, grass, dirt&#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76525" cy="1504950"/>
                                      </a:xfrm>
                                      <a:prstGeom prst="rect">
                                        <a:avLst/>
                                      </a:prstGeom>
                                      <a:noFill/>
                                      <a:ln>
                                        <a:noFill/>
                                      </a:ln>
                                    </pic:spPr>
                                  </pic:pic>
                                </a:graphicData>
                              </a:graphic>
                            </wp:inline>
                          </w:drawing>
                        </w:r>
                        <w:r>
                          <w:rPr>
                            <w:sz w:val="18"/>
                            <w:szCs w:val="18"/>
                          </w:rPr>
                          <w:t xml:space="preserve"> </w:t>
                        </w:r>
                      </w:p>
                    </w:txbxContent>
                  </v:textbox>
                </v:shape>
                <v:shape id="Text Box 111" o:spid="_x0000_s1043" type="#_x0000_t202" style="position:absolute;left:69;top:16059;width:57146;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" stroked="f">
                  <v:textbox>
                    <w:txbxContent>
                      <w:p w14:paraId="6BC17557" w14:textId="29B9E152" w:rsidR="007D1EDC" w:rsidRPr="006347D6" w:rsidRDefault="007D1EDC" w:rsidP="006347D6">
                        <w:pPr>
                          <w:pStyle w:val="Figure"/>
                          <w:rPr>
                            <w:rFonts w:eastAsia="Calibri" w:cs="Calibri"/>
                            <w:sz w:val="20"/>
                            <w:szCs w:val="20"/>
                          </w:rPr>
                        </w:pPr>
                        <w:bookmarkStart w:id="603" w:name="_Toc153381618"/>
                        <w:bookmarkStart w:id="604" w:name="_Toc153961083"/>
                        <w:bookmarkStart w:id="605" w:name="_Toc153979611"/>
                        <w:bookmarkStart w:id="606" w:name="_Toc155341061"/>
                        <w:bookmarkStart w:id="607" w:name="_Toc193365358"/>
                        <w:bookmarkStart w:id="608" w:name="_Toc79072573"/>
                        <w:bookmarkStart w:id="609" w:name="_Toc197472342"/>
                        <w:r w:rsidRPr="006347D6">
                          <w:rPr>
                            <w:rFonts w:eastAsia="Calibri" w:cs="Calibri"/>
                            <w:sz w:val="20"/>
                            <w:szCs w:val="20"/>
                          </w:rPr>
                          <w:t xml:space="preserve">Figure </w:t>
                        </w:r>
                        <w:r w:rsidRPr="006347D6">
                          <w:rPr>
                            <w:rFonts w:eastAsia="Calibri" w:cs="Calibri"/>
                            <w:sz w:val="20"/>
                            <w:szCs w:val="20"/>
                          </w:rPr>
                          <w:fldChar w:fldCharType="begin"/>
                        </w:r>
                        <w:r w:rsidRPr="006347D6">
                          <w:rPr>
                            <w:rFonts w:eastAsia="Calibri" w:cs="Calibri"/>
                            <w:sz w:val="20"/>
                            <w:szCs w:val="20"/>
                          </w:rPr>
                          <w:instrText xml:space="preserve"> SEQ Figure \* ARABIC </w:instrText>
                        </w:r>
                        <w:r w:rsidRPr="006347D6">
                          <w:rPr>
                            <w:rFonts w:eastAsia="Calibri" w:cs="Calibri"/>
                            <w:sz w:val="20"/>
                            <w:szCs w:val="20"/>
                          </w:rPr>
                          <w:fldChar w:fldCharType="separate"/>
                        </w:r>
                        <w:r w:rsidR="00C97DF3">
                          <w:rPr>
                            <w:rFonts w:eastAsia="Calibri" w:cs="Calibri"/>
                            <w:noProof/>
                            <w:sz w:val="20"/>
                            <w:szCs w:val="20"/>
                          </w:rPr>
                          <w:t>41</w:t>
                        </w:r>
                        <w:r w:rsidRPr="006347D6">
                          <w:rPr>
                            <w:rFonts w:eastAsia="Calibri" w:cs="Calibri"/>
                            <w:sz w:val="20"/>
                            <w:szCs w:val="20"/>
                          </w:rPr>
                          <w:fldChar w:fldCharType="end"/>
                        </w:r>
                        <w:r w:rsidRPr="006347D6">
                          <w:rPr>
                            <w:rFonts w:eastAsia="Calibri" w:cs="Calibri"/>
                            <w:sz w:val="20"/>
                            <w:szCs w:val="20"/>
                          </w:rPr>
                          <w:t xml:space="preserve">. </w:t>
                        </w:r>
                        <w:r w:rsidR="00AF33E5">
                          <w:rPr>
                            <w:rFonts w:eastAsia="Calibri" w:cs="Calibri"/>
                            <w:sz w:val="20"/>
                            <w:szCs w:val="20"/>
                          </w:rPr>
                          <w:t>Impiant tipik kompostimi palë palë</w:t>
                        </w:r>
                        <w:bookmarkEnd w:id="603"/>
                        <w:bookmarkEnd w:id="604"/>
                        <w:bookmarkEnd w:id="605"/>
                        <w:bookmarkEnd w:id="606"/>
                        <w:bookmarkEnd w:id="607"/>
                        <w:bookmarkEnd w:id="608"/>
                        <w:bookmarkEnd w:id="609"/>
                      </w:p>
                    </w:txbxContent>
                  </v:textbox>
                </v:shape>
                <v:shape id="Picture 19" o:spid="_x0000_s1044" type="#_x0000_t75" alt="A picture containing sky, outdoor, sandy, day&#10;&#10;Description automatically generated" style="position:absolute;left:28671;top:859;width:27020;height:15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">
                  <v:imagedata r:id="rId97" o:title="A picture containing sky, outdoor, sandy, day&#10;&#10;Description automatically generated"/>
                </v:shape>
                <w10:anchorlock/>
              </v:group>
            </w:pict>
          </mc:Fallback>
        </mc:AlternateContent>
      </w:r>
    </w:p>
    <w:p w14:paraId="73F68957" w14:textId="77777777" w:rsidR="00AF33E5" w:rsidRPr="00AF33E5" w:rsidRDefault="00AF33E5" w:rsidP="00AF33E5">
      <w:pPr>
        <w:jc w:val="both"/>
        <w:rPr>
          <w:rFonts w:ascii="Arial Narrow" w:eastAsia="Calibri" w:hAnsi="Arial Narrow" w:cs="Calibri"/>
          <w:sz w:val="22"/>
          <w:szCs w:val="22"/>
        </w:rPr>
      </w:pPr>
      <w:r w:rsidRPr="00AF33E5">
        <w:rPr>
          <w:rFonts w:ascii="Arial Narrow" w:eastAsia="Calibri" w:hAnsi="Arial Narrow" w:cs="Calibri"/>
          <w:sz w:val="22"/>
          <w:szCs w:val="22"/>
        </w:rPr>
        <w:t>Në varësi të cilësisë së lëndës së parë dhe konsistencës së xhiros dhe modeleve operacionale, kompostimi me palë palë të hapura zakonisht zgjat 5 deri në 6 muaj. Për të prodhuar një produkt cilësor (komposto) që mund të përdoret për qëllime të ndryshme fushore apo bujqësore, do të duhet të kryhen teste të rregullta mbi temperaturën, lagështinë dhe përmbajtjen e lëndëve ushqyese të kompostos.</w:t>
      </w:r>
    </w:p>
    <w:p w14:paraId="53FFC045" w14:textId="77777777" w:rsidR="00AF33E5" w:rsidRPr="00AF33E5" w:rsidRDefault="00AF33E5" w:rsidP="00AF33E5">
      <w:pPr>
        <w:jc w:val="both"/>
        <w:rPr>
          <w:rFonts w:ascii="Arial Narrow" w:eastAsia="Calibri" w:hAnsi="Arial Narrow" w:cs="Calibri"/>
          <w:sz w:val="22"/>
          <w:szCs w:val="22"/>
        </w:rPr>
      </w:pPr>
    </w:p>
    <w:p w14:paraId="1580060A" w14:textId="77777777" w:rsidR="00AF33E5" w:rsidRPr="00AF33E5" w:rsidRDefault="00AF33E5" w:rsidP="00AF33E5">
      <w:pPr>
        <w:jc w:val="both"/>
        <w:rPr>
          <w:rFonts w:ascii="Arial Narrow" w:eastAsia="Calibri" w:hAnsi="Arial Narrow" w:cs="Calibri"/>
          <w:sz w:val="22"/>
          <w:szCs w:val="22"/>
        </w:rPr>
      </w:pPr>
      <w:r w:rsidRPr="00AF33E5">
        <w:rPr>
          <w:rFonts w:ascii="Arial Narrow" w:eastAsia="Calibri" w:hAnsi="Arial Narrow" w:cs="Calibri"/>
          <w:sz w:val="22"/>
          <w:szCs w:val="22"/>
        </w:rPr>
        <w:t>Objektet e kompostimit të hapur palë palë për mbeturinat e gjelbra nga zonat publike urbane janë planifikuar për secilën komunë, përveç Junikut . Sasitë e mbeturinave të gjelbra në komunën e Junikut janë mjaft të vogla për të justifikuar blerjen e pajisjeve apo apo transportin dhe shfrytëzimin e përbashkët të pajisjeve mobile.</w:t>
      </w:r>
    </w:p>
    <w:p w14:paraId="75810C16" w14:textId="3A9B541C" w:rsidR="007D1EDC" w:rsidRPr="00AF33E5" w:rsidRDefault="007D1EDC" w:rsidP="00AF33E5">
      <w:pPr>
        <w:jc w:val="both"/>
        <w:rPr>
          <w:rFonts w:ascii="Arial Narrow" w:eastAsia="Calibri" w:hAnsi="Arial Narrow" w:cs="Calibri"/>
          <w:sz w:val="22"/>
          <w:szCs w:val="22"/>
        </w:rPr>
      </w:pPr>
      <w:r w:rsidRPr="00AF33E5">
        <w:rPr>
          <w:rFonts w:ascii="Arial Narrow" w:eastAsia="Calibri" w:hAnsi="Arial Narrow" w:cs="Calibri"/>
          <w:sz w:val="22"/>
          <w:szCs w:val="22"/>
        </w:rPr>
        <w:t>.</w:t>
      </w:r>
    </w:p>
    <w:p w14:paraId="72B992E9" w14:textId="77777777" w:rsidR="007D1EDC" w:rsidRPr="007D1EDC" w:rsidRDefault="007D1EDC" w:rsidP="007D1EDC">
      <w:pPr>
        <w:rPr>
          <w:rFonts w:ascii="Arial Narrow" w:eastAsia="Calibri" w:hAnsi="Arial Narrow" w:cs="Calibri"/>
          <w:sz w:val="22"/>
          <w:szCs w:val="22"/>
        </w:rPr>
      </w:pPr>
    </w:p>
    <w:p w14:paraId="5445FCA3" w14:textId="53363A58" w:rsidR="007D1EDC" w:rsidRPr="007D1EDC" w:rsidRDefault="007D1EDC" w:rsidP="007D1EDC">
      <w:pPr>
        <w:suppressAutoHyphens/>
        <w:rPr>
          <w:rFonts w:ascii="Arial Narrow" w:eastAsia="Calibri" w:hAnsi="Arial Narrow" w:cs="Calibri"/>
          <w:color w:val="1F497D"/>
          <w:sz w:val="20"/>
          <w:szCs w:val="20"/>
        </w:rPr>
      </w:pPr>
      <w:bookmarkStart w:id="610" w:name="_Toc190966774"/>
      <w:bookmarkStart w:id="611" w:name="_Toc197472271"/>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86.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 xml:space="preserve">Sasitë vjetore të mbeturinave të gjelbra të </w:t>
      </w:r>
      <w:r w:rsidR="00AF33E5">
        <w:rPr>
          <w:rFonts w:ascii="Arial Narrow" w:eastAsia="Calibri" w:hAnsi="Arial Narrow" w:cs="Calibri"/>
          <w:color w:val="1F497D"/>
          <w:sz w:val="20"/>
          <w:szCs w:val="20"/>
        </w:rPr>
        <w:t>grumbulluara ndaras</w:t>
      </w:r>
      <w:bookmarkEnd w:id="610"/>
      <w:bookmarkEnd w:id="611"/>
    </w:p>
    <w:tbl>
      <w:tblPr>
        <w:tblStyle w:val="TableGrid"/>
        <w:tblW w:w="0" w:type="auto"/>
        <w:tblLook w:val="04A0" w:firstRow="1" w:lastRow="0" w:firstColumn="1" w:lastColumn="0" w:noHBand="0" w:noVBand="1"/>
      </w:tblPr>
      <w:tblGrid>
        <w:gridCol w:w="4106"/>
        <w:gridCol w:w="1134"/>
        <w:gridCol w:w="851"/>
        <w:gridCol w:w="992"/>
        <w:gridCol w:w="992"/>
        <w:gridCol w:w="941"/>
      </w:tblGrid>
      <w:tr w:rsidR="007D1EDC" w:rsidRPr="007D1EDC" w14:paraId="012F3A5E" w14:textId="77777777" w:rsidTr="00D03949">
        <w:trPr>
          <w:tblHeader/>
        </w:trPr>
        <w:tc>
          <w:tcPr>
            <w:tcW w:w="4106" w:type="dxa"/>
            <w:shd w:val="clear" w:color="auto" w:fill="365F91"/>
          </w:tcPr>
          <w:p w14:paraId="1BF9ED22" w14:textId="77777777" w:rsidR="007D1EDC" w:rsidRPr="007D1EDC" w:rsidRDefault="007D1EDC" w:rsidP="007D1EDC">
            <w:pPr>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Parametri</w:t>
            </w:r>
          </w:p>
        </w:tc>
        <w:tc>
          <w:tcPr>
            <w:tcW w:w="1134" w:type="dxa"/>
            <w:shd w:val="clear" w:color="auto" w:fill="365F91"/>
          </w:tcPr>
          <w:p w14:paraId="5E0AE4C0" w14:textId="77777777" w:rsidR="007D1EDC" w:rsidRPr="007D1EDC" w:rsidRDefault="007D1EDC" w:rsidP="007D1EDC">
            <w:pPr>
              <w:jc w:val="center"/>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Pejë</w:t>
            </w:r>
          </w:p>
        </w:tc>
        <w:tc>
          <w:tcPr>
            <w:tcW w:w="851" w:type="dxa"/>
            <w:shd w:val="clear" w:color="auto" w:fill="365F91"/>
          </w:tcPr>
          <w:p w14:paraId="62F68AD1" w14:textId="77777777" w:rsidR="007D1EDC" w:rsidRPr="007D1EDC" w:rsidRDefault="007D1EDC" w:rsidP="007D1EDC">
            <w:pPr>
              <w:jc w:val="center"/>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Istog</w:t>
            </w:r>
          </w:p>
        </w:tc>
        <w:tc>
          <w:tcPr>
            <w:tcW w:w="992" w:type="dxa"/>
            <w:shd w:val="clear" w:color="auto" w:fill="365F91"/>
          </w:tcPr>
          <w:p w14:paraId="27385170" w14:textId="2AE6909A" w:rsidR="007D1EDC" w:rsidRPr="007D1EDC" w:rsidRDefault="007D1EDC" w:rsidP="007D1EDC">
            <w:pPr>
              <w:jc w:val="center"/>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Klin</w:t>
            </w:r>
            <w:r w:rsidR="00AF33E5">
              <w:rPr>
                <w:rFonts w:ascii="Arial Narrow" w:hAnsi="Arial Narrow"/>
                <w:b/>
                <w:bCs/>
                <w:color w:val="FFFFFF" w:themeColor="background1"/>
                <w:sz w:val="20"/>
                <w:szCs w:val="20"/>
              </w:rPr>
              <w:t>ë</w:t>
            </w:r>
          </w:p>
        </w:tc>
        <w:tc>
          <w:tcPr>
            <w:tcW w:w="992" w:type="dxa"/>
            <w:shd w:val="clear" w:color="auto" w:fill="365F91"/>
          </w:tcPr>
          <w:p w14:paraId="3699038A" w14:textId="1F564C64" w:rsidR="007D1EDC" w:rsidRPr="007D1EDC" w:rsidRDefault="007D1EDC" w:rsidP="007D1EDC">
            <w:pPr>
              <w:jc w:val="center"/>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De</w:t>
            </w:r>
            <w:r w:rsidR="00AF33E5">
              <w:rPr>
                <w:rFonts w:ascii="Arial Narrow" w:hAnsi="Arial Narrow"/>
                <w:b/>
                <w:bCs/>
                <w:color w:val="FFFFFF" w:themeColor="background1"/>
                <w:sz w:val="20"/>
                <w:szCs w:val="20"/>
              </w:rPr>
              <w:t>ç</w:t>
            </w:r>
            <w:r w:rsidRPr="007D1EDC">
              <w:rPr>
                <w:rFonts w:ascii="Arial Narrow" w:hAnsi="Arial Narrow"/>
                <w:b/>
                <w:bCs/>
                <w:color w:val="FFFFFF" w:themeColor="background1"/>
                <w:sz w:val="20"/>
                <w:szCs w:val="20"/>
              </w:rPr>
              <w:t>an</w:t>
            </w:r>
          </w:p>
        </w:tc>
        <w:tc>
          <w:tcPr>
            <w:tcW w:w="941" w:type="dxa"/>
            <w:shd w:val="clear" w:color="auto" w:fill="365F91"/>
          </w:tcPr>
          <w:p w14:paraId="27299469" w14:textId="77777777" w:rsidR="007D1EDC" w:rsidRPr="007D1EDC" w:rsidRDefault="007D1EDC" w:rsidP="007D1EDC">
            <w:pPr>
              <w:jc w:val="center"/>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Junik</w:t>
            </w:r>
          </w:p>
        </w:tc>
      </w:tr>
      <w:tr w:rsidR="007D1EDC" w:rsidRPr="007D1EDC" w14:paraId="24DD9EBC" w14:textId="77777777" w:rsidTr="00D03949">
        <w:tc>
          <w:tcPr>
            <w:tcW w:w="4106" w:type="dxa"/>
          </w:tcPr>
          <w:p w14:paraId="0BDEE0CC" w14:textId="54060C1A" w:rsidR="007D1EDC" w:rsidRPr="007D1EDC" w:rsidRDefault="007D1EDC" w:rsidP="007D1EDC">
            <w:pPr>
              <w:rPr>
                <w:rFonts w:ascii="Arial Narrow" w:hAnsi="Arial Narrow"/>
                <w:color w:val="000000"/>
                <w:sz w:val="20"/>
                <w:szCs w:val="20"/>
              </w:rPr>
            </w:pPr>
            <w:r w:rsidRPr="009F5CA1">
              <w:rPr>
                <w:rFonts w:ascii="Arial Narrow" w:hAnsi="Arial Narrow"/>
                <w:color w:val="000000"/>
                <w:sz w:val="20"/>
                <w:szCs w:val="20"/>
              </w:rPr>
              <w:t xml:space="preserve">Sasitë vjetore të </w:t>
            </w:r>
            <w:r w:rsidRPr="007D1EDC">
              <w:rPr>
                <w:rFonts w:ascii="Arial Narrow" w:hAnsi="Arial Narrow"/>
                <w:color w:val="000000"/>
                <w:sz w:val="20"/>
                <w:szCs w:val="20"/>
              </w:rPr>
              <w:t xml:space="preserve">mbeturinave të gjelbra të </w:t>
            </w:r>
            <w:r w:rsidR="00AF33E5">
              <w:rPr>
                <w:rFonts w:ascii="Arial Narrow" w:hAnsi="Arial Narrow"/>
                <w:color w:val="000000"/>
                <w:sz w:val="20"/>
                <w:szCs w:val="20"/>
              </w:rPr>
              <w:t>grumbulluara ndaras</w:t>
            </w:r>
          </w:p>
        </w:tc>
        <w:tc>
          <w:tcPr>
            <w:tcW w:w="1134" w:type="dxa"/>
          </w:tcPr>
          <w:p w14:paraId="0062B1E1" w14:textId="54446199" w:rsidR="007D1EDC" w:rsidRPr="007D1EDC" w:rsidRDefault="007D1EDC" w:rsidP="007D1EDC">
            <w:pPr>
              <w:jc w:val="center"/>
              <w:rPr>
                <w:rFonts w:ascii="Arial Narrow" w:hAnsi="Arial Narrow"/>
                <w:color w:val="000000"/>
                <w:sz w:val="20"/>
                <w:szCs w:val="20"/>
              </w:rPr>
            </w:pPr>
            <w:r w:rsidRPr="007D1EDC">
              <w:rPr>
                <w:rFonts w:ascii="Arial Narrow" w:hAnsi="Arial Narrow"/>
                <w:color w:val="000000"/>
                <w:sz w:val="20"/>
                <w:szCs w:val="20"/>
              </w:rPr>
              <w:t>2,400 t</w:t>
            </w:r>
          </w:p>
        </w:tc>
        <w:tc>
          <w:tcPr>
            <w:tcW w:w="851" w:type="dxa"/>
          </w:tcPr>
          <w:p w14:paraId="654EB374" w14:textId="4D9416A5" w:rsidR="007D1EDC" w:rsidRPr="007D1EDC" w:rsidRDefault="007D1EDC" w:rsidP="007D1EDC">
            <w:pPr>
              <w:jc w:val="center"/>
              <w:rPr>
                <w:rFonts w:ascii="Arial Narrow" w:hAnsi="Arial Narrow"/>
                <w:color w:val="000000"/>
                <w:sz w:val="20"/>
                <w:szCs w:val="20"/>
              </w:rPr>
            </w:pPr>
            <w:r w:rsidRPr="007D1EDC">
              <w:rPr>
                <w:rFonts w:ascii="Arial Narrow" w:hAnsi="Arial Narrow"/>
                <w:color w:val="000000"/>
                <w:sz w:val="20"/>
                <w:szCs w:val="20"/>
              </w:rPr>
              <w:t>600 t</w:t>
            </w:r>
          </w:p>
        </w:tc>
        <w:tc>
          <w:tcPr>
            <w:tcW w:w="992" w:type="dxa"/>
          </w:tcPr>
          <w:p w14:paraId="17475FDE" w14:textId="324C0128" w:rsidR="007D1EDC" w:rsidRPr="007D1EDC" w:rsidRDefault="007D1EDC" w:rsidP="007D1EDC">
            <w:pPr>
              <w:jc w:val="center"/>
              <w:rPr>
                <w:rFonts w:ascii="Arial Narrow" w:hAnsi="Arial Narrow"/>
                <w:color w:val="000000"/>
                <w:sz w:val="20"/>
                <w:szCs w:val="20"/>
              </w:rPr>
            </w:pPr>
            <w:r w:rsidRPr="007D1EDC">
              <w:rPr>
                <w:rFonts w:ascii="Arial Narrow" w:hAnsi="Arial Narrow"/>
                <w:color w:val="000000"/>
                <w:sz w:val="20"/>
                <w:szCs w:val="20"/>
              </w:rPr>
              <w:t>600 t</w:t>
            </w:r>
          </w:p>
        </w:tc>
        <w:tc>
          <w:tcPr>
            <w:tcW w:w="992" w:type="dxa"/>
          </w:tcPr>
          <w:p w14:paraId="2835955A" w14:textId="174D8519" w:rsidR="007D1EDC" w:rsidRPr="007D1EDC" w:rsidRDefault="007D1EDC" w:rsidP="007D1EDC">
            <w:pPr>
              <w:jc w:val="center"/>
              <w:rPr>
                <w:rFonts w:ascii="Arial Narrow" w:hAnsi="Arial Narrow"/>
                <w:color w:val="000000"/>
                <w:sz w:val="20"/>
                <w:szCs w:val="20"/>
              </w:rPr>
            </w:pPr>
            <w:r w:rsidRPr="007D1EDC">
              <w:rPr>
                <w:rFonts w:ascii="Arial Narrow" w:hAnsi="Arial Narrow"/>
                <w:color w:val="000000"/>
                <w:sz w:val="20"/>
                <w:szCs w:val="20"/>
              </w:rPr>
              <w:t>550 t</w:t>
            </w:r>
          </w:p>
        </w:tc>
        <w:tc>
          <w:tcPr>
            <w:tcW w:w="941" w:type="dxa"/>
          </w:tcPr>
          <w:p w14:paraId="2AAF5F09" w14:textId="2696EE46" w:rsidR="007D1EDC" w:rsidRPr="007D1EDC" w:rsidRDefault="007D1EDC" w:rsidP="007D1EDC">
            <w:pPr>
              <w:jc w:val="center"/>
              <w:rPr>
                <w:rFonts w:ascii="Arial Narrow" w:hAnsi="Arial Narrow"/>
                <w:color w:val="000000"/>
                <w:sz w:val="20"/>
                <w:szCs w:val="20"/>
              </w:rPr>
            </w:pPr>
            <w:r w:rsidRPr="007D1EDC">
              <w:rPr>
                <w:rFonts w:ascii="Arial Narrow" w:hAnsi="Arial Narrow"/>
                <w:color w:val="000000"/>
                <w:sz w:val="20"/>
                <w:szCs w:val="20"/>
              </w:rPr>
              <w:t>65 t</w:t>
            </w:r>
          </w:p>
        </w:tc>
      </w:tr>
    </w:tbl>
    <w:p w14:paraId="651F4A31" w14:textId="77777777" w:rsidR="007D1EDC" w:rsidRPr="007D1EDC" w:rsidRDefault="007D1EDC" w:rsidP="007D1EDC">
      <w:pPr>
        <w:rPr>
          <w:rFonts w:ascii="Arial Narrow" w:eastAsia="Calibri" w:hAnsi="Arial Narrow" w:cs="Calibri"/>
          <w:sz w:val="22"/>
          <w:szCs w:val="22"/>
        </w:rPr>
      </w:pPr>
    </w:p>
    <w:p w14:paraId="7C6E26F8" w14:textId="77777777" w:rsidR="007D1EDC" w:rsidRPr="007D1EDC" w:rsidRDefault="007D1EDC" w:rsidP="007D1EDC">
      <w:pPr>
        <w:suppressAutoHyphens/>
        <w:rPr>
          <w:rFonts w:ascii="Arial Narrow" w:eastAsia="Calibri" w:hAnsi="Arial Narrow" w:cs="Calibri"/>
          <w:b/>
          <w:bCs/>
          <w:color w:val="1F3864" w:themeColor="accent1" w:themeShade="80"/>
          <w:sz w:val="22"/>
          <w:szCs w:val="22"/>
        </w:rPr>
      </w:pPr>
      <w:bookmarkStart w:id="612" w:name="_Toc190929298"/>
      <w:r w:rsidRPr="007D1EDC">
        <w:rPr>
          <w:rFonts w:ascii="Arial Narrow" w:eastAsia="Calibri" w:hAnsi="Arial Narrow" w:cs="Calibri"/>
          <w:b/>
          <w:bCs/>
          <w:color w:val="1F3864" w:themeColor="accent1" w:themeShade="80"/>
          <w:sz w:val="22"/>
          <w:szCs w:val="22"/>
        </w:rPr>
        <w:t>Kostot e investimit dhe burimi i financimit</w:t>
      </w:r>
      <w:bookmarkEnd w:id="612"/>
    </w:p>
    <w:p w14:paraId="4B14C46E" w14:textId="19DA3F33" w:rsidR="007D1EDC" w:rsidRPr="009F5CA1" w:rsidRDefault="00AF33E5" w:rsidP="007D1EDC">
      <w:pPr>
        <w:rPr>
          <w:rFonts w:ascii="Arial Narrow" w:hAnsi="Arial Narrow"/>
          <w:sz w:val="22"/>
          <w:szCs w:val="22"/>
        </w:rPr>
      </w:pPr>
      <w:r w:rsidRPr="009F5CA1">
        <w:rPr>
          <w:rFonts w:ascii="Arial Narrow" w:hAnsi="Arial Narrow"/>
          <w:sz w:val="22"/>
          <w:szCs w:val="22"/>
        </w:rPr>
        <w:t>Kostot e vlerësuara të investimit fillestar janë përmbledhur në tabelën e mëposhtme, në mijë euro:</w:t>
      </w:r>
    </w:p>
    <w:p w14:paraId="588FBD94" w14:textId="77777777" w:rsidR="00AF33E5" w:rsidRPr="009F5CA1" w:rsidRDefault="00AF33E5" w:rsidP="007D1EDC">
      <w:pPr>
        <w:rPr>
          <w:rFonts w:ascii="Arial Narrow" w:hAnsi="Arial Narrow"/>
          <w:sz w:val="22"/>
          <w:szCs w:val="22"/>
        </w:rPr>
      </w:pPr>
    </w:p>
    <w:p w14:paraId="76C0921D" w14:textId="07FC185C" w:rsidR="007D1EDC" w:rsidRPr="007D1EDC" w:rsidRDefault="007D1EDC" w:rsidP="007D1EDC">
      <w:pPr>
        <w:suppressAutoHyphens/>
        <w:rPr>
          <w:rFonts w:ascii="Arial Narrow" w:eastAsia="Calibri" w:hAnsi="Arial Narrow" w:cs="Calibri"/>
          <w:color w:val="1F497D"/>
          <w:sz w:val="20"/>
          <w:szCs w:val="20"/>
        </w:rPr>
      </w:pPr>
      <w:bookmarkStart w:id="613" w:name="_Toc190966775"/>
      <w:bookmarkStart w:id="614" w:name="_Toc197472272"/>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87.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 xml:space="preserve">Kostot </w:t>
      </w:r>
      <w:r w:rsidR="00AF33E5">
        <w:rPr>
          <w:rFonts w:ascii="Arial Narrow" w:eastAsia="Calibri" w:hAnsi="Arial Narrow" w:cs="Calibri"/>
          <w:color w:val="1F497D"/>
          <w:sz w:val="20"/>
          <w:szCs w:val="20"/>
        </w:rPr>
        <w:t>investimit fillestar</w:t>
      </w:r>
      <w:r w:rsidRPr="007D1EDC">
        <w:rPr>
          <w:rFonts w:ascii="Arial Narrow" w:eastAsia="Calibri" w:hAnsi="Arial Narrow" w:cs="Calibri"/>
          <w:color w:val="1F497D"/>
          <w:sz w:val="20"/>
          <w:szCs w:val="20"/>
        </w:rPr>
        <w:t xml:space="preserve"> për kompostimin e mbet</w:t>
      </w:r>
      <w:r w:rsidR="00AF33E5">
        <w:rPr>
          <w:rFonts w:ascii="Arial Narrow" w:eastAsia="Calibri" w:hAnsi="Arial Narrow" w:cs="Calibri"/>
          <w:color w:val="1F497D"/>
          <w:sz w:val="20"/>
          <w:szCs w:val="20"/>
        </w:rPr>
        <w:t>urinave</w:t>
      </w:r>
      <w:r w:rsidRPr="007D1EDC">
        <w:rPr>
          <w:rFonts w:ascii="Arial Narrow" w:eastAsia="Calibri" w:hAnsi="Arial Narrow" w:cs="Calibri"/>
          <w:color w:val="1F497D"/>
          <w:sz w:val="20"/>
          <w:szCs w:val="20"/>
        </w:rPr>
        <w:t xml:space="preserve"> të gjelbra</w:t>
      </w:r>
      <w:bookmarkEnd w:id="613"/>
      <w:bookmarkEnd w:id="6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4"/>
        <w:gridCol w:w="1434"/>
        <w:gridCol w:w="1134"/>
        <w:gridCol w:w="1129"/>
        <w:gridCol w:w="945"/>
      </w:tblGrid>
      <w:tr w:rsidR="007D1EDC" w:rsidRPr="007D1EDC" w14:paraId="0CB835C8" w14:textId="77777777" w:rsidTr="00D03949">
        <w:trPr>
          <w:trHeight w:val="210"/>
          <w:tblHeader/>
        </w:trPr>
        <w:tc>
          <w:tcPr>
            <w:tcW w:w="2426" w:type="pct"/>
            <w:shd w:val="clear" w:color="auto" w:fill="365F91"/>
            <w:noWrap/>
            <w:hideMark/>
          </w:tcPr>
          <w:p w14:paraId="54B260CA" w14:textId="77777777" w:rsidR="007D1EDC" w:rsidRPr="007D1EDC" w:rsidRDefault="007D1EDC" w:rsidP="007D1EDC">
            <w:pPr>
              <w:rPr>
                <w:rFonts w:ascii="Arial Narrow" w:hAnsi="Arial Narrow"/>
                <w:sz w:val="20"/>
                <w:szCs w:val="20"/>
                <w:lang w:val="en-GB" w:eastAsia="en-GB"/>
              </w:rPr>
            </w:pPr>
            <w:r w:rsidRPr="007D1EDC">
              <w:rPr>
                <w:rFonts w:ascii="Arial Narrow" w:hAnsi="Arial Narrow"/>
                <w:b/>
                <w:bCs/>
                <w:color w:val="FFFFFF" w:themeColor="background1"/>
                <w:sz w:val="20"/>
                <w:szCs w:val="20"/>
              </w:rPr>
              <w:t>Parametri</w:t>
            </w:r>
          </w:p>
        </w:tc>
        <w:tc>
          <w:tcPr>
            <w:tcW w:w="795" w:type="pct"/>
            <w:shd w:val="clear" w:color="auto" w:fill="365F91"/>
            <w:noWrap/>
            <w:hideMark/>
          </w:tcPr>
          <w:p w14:paraId="5A3801C5"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b/>
                <w:bCs/>
                <w:color w:val="FFFFFF" w:themeColor="background1"/>
                <w:sz w:val="20"/>
                <w:szCs w:val="20"/>
              </w:rPr>
              <w:t>Pejë</w:t>
            </w:r>
          </w:p>
        </w:tc>
        <w:tc>
          <w:tcPr>
            <w:tcW w:w="629" w:type="pct"/>
            <w:shd w:val="clear" w:color="auto" w:fill="365F91"/>
            <w:noWrap/>
            <w:hideMark/>
          </w:tcPr>
          <w:p w14:paraId="31A8BAFC"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b/>
                <w:bCs/>
                <w:color w:val="FFFFFF" w:themeColor="background1"/>
                <w:sz w:val="20"/>
                <w:szCs w:val="20"/>
              </w:rPr>
              <w:t>Istog</w:t>
            </w:r>
          </w:p>
        </w:tc>
        <w:tc>
          <w:tcPr>
            <w:tcW w:w="626" w:type="pct"/>
            <w:shd w:val="clear" w:color="auto" w:fill="365F91"/>
            <w:noWrap/>
            <w:hideMark/>
          </w:tcPr>
          <w:p w14:paraId="311A15E9" w14:textId="2E52DC6A"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b/>
                <w:bCs/>
                <w:color w:val="FFFFFF" w:themeColor="background1"/>
                <w:sz w:val="20"/>
                <w:szCs w:val="20"/>
              </w:rPr>
              <w:t>Klin</w:t>
            </w:r>
            <w:r w:rsidR="00AF33E5">
              <w:rPr>
                <w:rFonts w:ascii="Arial Narrow" w:hAnsi="Arial Narrow"/>
                <w:b/>
                <w:bCs/>
                <w:color w:val="FFFFFF" w:themeColor="background1"/>
                <w:sz w:val="20"/>
                <w:szCs w:val="20"/>
              </w:rPr>
              <w:t>ë</w:t>
            </w:r>
          </w:p>
        </w:tc>
        <w:tc>
          <w:tcPr>
            <w:tcW w:w="525" w:type="pct"/>
            <w:shd w:val="clear" w:color="auto" w:fill="365F91"/>
            <w:noWrap/>
            <w:hideMark/>
          </w:tcPr>
          <w:p w14:paraId="50C7669B" w14:textId="680FAE73"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b/>
                <w:bCs/>
                <w:color w:val="FFFFFF" w:themeColor="background1"/>
                <w:sz w:val="20"/>
                <w:szCs w:val="20"/>
              </w:rPr>
              <w:t>De</w:t>
            </w:r>
            <w:r w:rsidR="00AF33E5">
              <w:rPr>
                <w:rFonts w:ascii="Arial Narrow" w:hAnsi="Arial Narrow"/>
                <w:b/>
                <w:bCs/>
                <w:color w:val="FFFFFF" w:themeColor="background1"/>
                <w:sz w:val="20"/>
                <w:szCs w:val="20"/>
              </w:rPr>
              <w:t>ç</w:t>
            </w:r>
            <w:r w:rsidRPr="007D1EDC">
              <w:rPr>
                <w:rFonts w:ascii="Arial Narrow" w:hAnsi="Arial Narrow"/>
                <w:b/>
                <w:bCs/>
                <w:color w:val="FFFFFF" w:themeColor="background1"/>
                <w:sz w:val="20"/>
                <w:szCs w:val="20"/>
              </w:rPr>
              <w:t>an</w:t>
            </w:r>
          </w:p>
        </w:tc>
      </w:tr>
      <w:tr w:rsidR="007D1EDC" w:rsidRPr="007D1EDC" w14:paraId="0287E66E" w14:textId="77777777" w:rsidTr="00D03949">
        <w:trPr>
          <w:trHeight w:val="210"/>
        </w:trPr>
        <w:tc>
          <w:tcPr>
            <w:tcW w:w="2426" w:type="pct"/>
            <w:shd w:val="clear" w:color="auto" w:fill="auto"/>
            <w:noWrap/>
            <w:vAlign w:val="bottom"/>
            <w:hideMark/>
          </w:tcPr>
          <w:p w14:paraId="11F3FB99" w14:textId="77777777" w:rsidR="007D1EDC" w:rsidRPr="007D1EDC" w:rsidRDefault="007D1EDC" w:rsidP="007D1EDC">
            <w:pPr>
              <w:rPr>
                <w:rFonts w:ascii="Arial Narrow" w:hAnsi="Arial Narrow" w:cs="Calibri"/>
                <w:color w:val="000000"/>
                <w:sz w:val="20"/>
                <w:szCs w:val="20"/>
                <w:lang w:val="en-GB" w:eastAsia="en-GB"/>
              </w:rPr>
            </w:pPr>
            <w:proofErr w:type="spellStart"/>
            <w:r w:rsidRPr="007D1EDC">
              <w:rPr>
                <w:rFonts w:ascii="Arial Narrow" w:hAnsi="Arial Narrow" w:cs="Calibri"/>
                <w:color w:val="000000"/>
                <w:sz w:val="20"/>
                <w:szCs w:val="20"/>
                <w:lang w:val="en-GB" w:eastAsia="en-GB"/>
              </w:rPr>
              <w:t>Punime</w:t>
            </w:r>
            <w:proofErr w:type="spellEnd"/>
            <w:r w:rsidRPr="007D1EDC">
              <w:rPr>
                <w:rFonts w:ascii="Arial Narrow" w:hAnsi="Arial Narrow" w:cs="Calibri"/>
                <w:color w:val="000000"/>
                <w:sz w:val="20"/>
                <w:szCs w:val="20"/>
                <w:lang w:val="en-GB" w:eastAsia="en-GB"/>
              </w:rPr>
              <w:t xml:space="preserve"> civile</w:t>
            </w:r>
          </w:p>
        </w:tc>
        <w:tc>
          <w:tcPr>
            <w:tcW w:w="795" w:type="pct"/>
            <w:shd w:val="clear" w:color="auto" w:fill="auto"/>
            <w:noWrap/>
            <w:vAlign w:val="bottom"/>
            <w:hideMark/>
          </w:tcPr>
          <w:p w14:paraId="5807CA10"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129</w:t>
            </w:r>
          </w:p>
        </w:tc>
        <w:tc>
          <w:tcPr>
            <w:tcW w:w="629" w:type="pct"/>
            <w:shd w:val="clear" w:color="auto" w:fill="auto"/>
            <w:noWrap/>
            <w:vAlign w:val="bottom"/>
            <w:hideMark/>
          </w:tcPr>
          <w:p w14:paraId="3DDFAB78" w14:textId="77777777" w:rsidR="007D1EDC" w:rsidRPr="007D1EDC" w:rsidRDefault="007D1EDC" w:rsidP="007D1EDC">
            <w:pPr>
              <w:jc w:val="center"/>
              <w:rPr>
                <w:rFonts w:ascii="Arial Narrow" w:hAnsi="Arial Narrow" w:cs="Calibri"/>
                <w:color w:val="000000"/>
                <w:sz w:val="20"/>
                <w:szCs w:val="20"/>
                <w:lang w:val="en-GB" w:eastAsia="en-GB"/>
              </w:rPr>
            </w:pPr>
          </w:p>
        </w:tc>
        <w:tc>
          <w:tcPr>
            <w:tcW w:w="626" w:type="pct"/>
            <w:shd w:val="clear" w:color="auto" w:fill="auto"/>
            <w:noWrap/>
            <w:vAlign w:val="bottom"/>
            <w:hideMark/>
          </w:tcPr>
          <w:p w14:paraId="48C1E466" w14:textId="77777777" w:rsidR="007D1EDC" w:rsidRPr="007D1EDC" w:rsidRDefault="007D1EDC" w:rsidP="007D1EDC">
            <w:pPr>
              <w:jc w:val="center"/>
              <w:rPr>
                <w:rFonts w:ascii="Arial Narrow" w:hAnsi="Arial Narrow"/>
                <w:sz w:val="20"/>
                <w:szCs w:val="20"/>
                <w:lang w:val="en-GB" w:eastAsia="en-GB"/>
              </w:rPr>
            </w:pPr>
          </w:p>
        </w:tc>
        <w:tc>
          <w:tcPr>
            <w:tcW w:w="525" w:type="pct"/>
            <w:shd w:val="clear" w:color="auto" w:fill="auto"/>
            <w:noWrap/>
            <w:vAlign w:val="bottom"/>
            <w:hideMark/>
          </w:tcPr>
          <w:p w14:paraId="5163F3AC" w14:textId="77777777" w:rsidR="007D1EDC" w:rsidRPr="007D1EDC" w:rsidRDefault="007D1EDC" w:rsidP="007D1EDC">
            <w:pPr>
              <w:jc w:val="center"/>
              <w:rPr>
                <w:rFonts w:ascii="Arial Narrow" w:hAnsi="Arial Narrow"/>
                <w:sz w:val="20"/>
                <w:szCs w:val="20"/>
                <w:lang w:val="en-GB" w:eastAsia="en-GB"/>
              </w:rPr>
            </w:pPr>
          </w:p>
        </w:tc>
      </w:tr>
      <w:tr w:rsidR="007D1EDC" w:rsidRPr="007D1EDC" w14:paraId="58BBFB90" w14:textId="77777777" w:rsidTr="00D03949">
        <w:trPr>
          <w:trHeight w:val="210"/>
        </w:trPr>
        <w:tc>
          <w:tcPr>
            <w:tcW w:w="2426" w:type="pct"/>
            <w:shd w:val="clear" w:color="auto" w:fill="auto"/>
            <w:noWrap/>
            <w:vAlign w:val="bottom"/>
            <w:hideMark/>
          </w:tcPr>
          <w:p w14:paraId="329FAE61" w14:textId="77777777" w:rsidR="007D1EDC" w:rsidRPr="007D1EDC" w:rsidRDefault="007D1EDC" w:rsidP="007D1EDC">
            <w:pPr>
              <w:rPr>
                <w:rFonts w:ascii="Arial Narrow" w:hAnsi="Arial Narrow" w:cs="Calibri"/>
                <w:color w:val="000000"/>
                <w:sz w:val="20"/>
                <w:szCs w:val="20"/>
                <w:lang w:val="en-GB" w:eastAsia="en-GB"/>
              </w:rPr>
            </w:pPr>
            <w:proofErr w:type="spellStart"/>
            <w:r w:rsidRPr="007D1EDC">
              <w:rPr>
                <w:rFonts w:ascii="Arial Narrow" w:hAnsi="Arial Narrow" w:cs="Calibri"/>
                <w:color w:val="000000"/>
                <w:sz w:val="20"/>
                <w:szCs w:val="20"/>
                <w:lang w:val="en-GB" w:eastAsia="en-GB"/>
              </w:rPr>
              <w:t>Makineri</w:t>
            </w:r>
            <w:proofErr w:type="spellEnd"/>
          </w:p>
        </w:tc>
        <w:tc>
          <w:tcPr>
            <w:tcW w:w="795" w:type="pct"/>
            <w:shd w:val="clear" w:color="auto" w:fill="auto"/>
            <w:noWrap/>
            <w:vAlign w:val="bottom"/>
            <w:hideMark/>
          </w:tcPr>
          <w:p w14:paraId="32F17D5B"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370</w:t>
            </w:r>
          </w:p>
        </w:tc>
        <w:tc>
          <w:tcPr>
            <w:tcW w:w="629" w:type="pct"/>
            <w:shd w:val="clear" w:color="auto" w:fill="auto"/>
            <w:noWrap/>
            <w:vAlign w:val="bottom"/>
            <w:hideMark/>
          </w:tcPr>
          <w:p w14:paraId="7562ECCA"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39</w:t>
            </w:r>
          </w:p>
        </w:tc>
        <w:tc>
          <w:tcPr>
            <w:tcW w:w="626" w:type="pct"/>
            <w:shd w:val="clear" w:color="auto" w:fill="auto"/>
            <w:noWrap/>
            <w:vAlign w:val="bottom"/>
            <w:hideMark/>
          </w:tcPr>
          <w:p w14:paraId="6F22EE53"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39</w:t>
            </w:r>
          </w:p>
        </w:tc>
        <w:tc>
          <w:tcPr>
            <w:tcW w:w="525" w:type="pct"/>
            <w:shd w:val="clear" w:color="auto" w:fill="auto"/>
            <w:noWrap/>
            <w:vAlign w:val="bottom"/>
            <w:hideMark/>
          </w:tcPr>
          <w:p w14:paraId="2A1DEA8D"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39</w:t>
            </w:r>
          </w:p>
        </w:tc>
      </w:tr>
      <w:tr w:rsidR="007D1EDC" w:rsidRPr="007D1EDC" w14:paraId="2F7CD2B9" w14:textId="77777777" w:rsidTr="00D03949">
        <w:trPr>
          <w:trHeight w:val="210"/>
        </w:trPr>
        <w:tc>
          <w:tcPr>
            <w:tcW w:w="2426" w:type="pct"/>
            <w:shd w:val="clear" w:color="auto" w:fill="auto"/>
            <w:noWrap/>
            <w:vAlign w:val="bottom"/>
            <w:hideMark/>
          </w:tcPr>
          <w:p w14:paraId="3EAEA312" w14:textId="77777777" w:rsidR="007D1EDC" w:rsidRPr="007D1EDC" w:rsidRDefault="007D1EDC" w:rsidP="007D1EDC">
            <w:pPr>
              <w:rPr>
                <w:rFonts w:ascii="Arial Narrow" w:hAnsi="Arial Narrow" w:cs="Calibri"/>
                <w:color w:val="000000"/>
                <w:sz w:val="20"/>
                <w:szCs w:val="20"/>
                <w:lang w:val="en-GB" w:eastAsia="en-GB"/>
              </w:rPr>
            </w:pPr>
            <w:proofErr w:type="spellStart"/>
            <w:r w:rsidRPr="007D1EDC">
              <w:rPr>
                <w:rFonts w:ascii="Arial Narrow" w:hAnsi="Arial Narrow" w:cs="Calibri"/>
                <w:color w:val="000000"/>
                <w:sz w:val="20"/>
                <w:szCs w:val="20"/>
                <w:lang w:val="en-GB" w:eastAsia="en-GB"/>
              </w:rPr>
              <w:t>Automjete</w:t>
            </w:r>
            <w:proofErr w:type="spellEnd"/>
          </w:p>
        </w:tc>
        <w:tc>
          <w:tcPr>
            <w:tcW w:w="795" w:type="pct"/>
            <w:shd w:val="clear" w:color="auto" w:fill="auto"/>
            <w:noWrap/>
            <w:vAlign w:val="bottom"/>
            <w:hideMark/>
          </w:tcPr>
          <w:p w14:paraId="4CB2C89F"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369</w:t>
            </w:r>
          </w:p>
        </w:tc>
        <w:tc>
          <w:tcPr>
            <w:tcW w:w="629" w:type="pct"/>
            <w:shd w:val="clear" w:color="auto" w:fill="auto"/>
            <w:noWrap/>
            <w:vAlign w:val="bottom"/>
            <w:hideMark/>
          </w:tcPr>
          <w:p w14:paraId="01C768DD"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184</w:t>
            </w:r>
          </w:p>
        </w:tc>
        <w:tc>
          <w:tcPr>
            <w:tcW w:w="626" w:type="pct"/>
            <w:shd w:val="clear" w:color="auto" w:fill="auto"/>
            <w:noWrap/>
            <w:vAlign w:val="bottom"/>
            <w:hideMark/>
          </w:tcPr>
          <w:p w14:paraId="5A0E8561"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184</w:t>
            </w:r>
          </w:p>
        </w:tc>
        <w:tc>
          <w:tcPr>
            <w:tcW w:w="525" w:type="pct"/>
            <w:shd w:val="clear" w:color="auto" w:fill="auto"/>
            <w:noWrap/>
            <w:vAlign w:val="bottom"/>
            <w:hideMark/>
          </w:tcPr>
          <w:p w14:paraId="7A1FC2B0"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184</w:t>
            </w:r>
          </w:p>
        </w:tc>
      </w:tr>
      <w:tr w:rsidR="007D1EDC" w:rsidRPr="007D1EDC" w14:paraId="2BEF5D79" w14:textId="77777777" w:rsidTr="00D03949">
        <w:trPr>
          <w:trHeight w:val="210"/>
        </w:trPr>
        <w:tc>
          <w:tcPr>
            <w:tcW w:w="2426" w:type="pct"/>
            <w:shd w:val="clear" w:color="auto" w:fill="auto"/>
            <w:noWrap/>
            <w:vAlign w:val="bottom"/>
            <w:hideMark/>
          </w:tcPr>
          <w:p w14:paraId="62ACD58D" w14:textId="1B26180E" w:rsidR="007D1EDC" w:rsidRPr="007D1EDC" w:rsidRDefault="007D1EDC" w:rsidP="007D1EDC">
            <w:pPr>
              <w:rPr>
                <w:rFonts w:ascii="Arial Narrow" w:hAnsi="Arial Narrow" w:cs="Calibri"/>
                <w:color w:val="000000"/>
                <w:sz w:val="20"/>
                <w:szCs w:val="20"/>
                <w:lang w:val="en-GB" w:eastAsia="en-GB"/>
              </w:rPr>
            </w:pPr>
            <w:proofErr w:type="spellStart"/>
            <w:r w:rsidRPr="007D1EDC">
              <w:rPr>
                <w:rFonts w:ascii="Arial Narrow" w:hAnsi="Arial Narrow" w:cs="Calibri"/>
                <w:color w:val="000000"/>
                <w:sz w:val="20"/>
                <w:szCs w:val="20"/>
                <w:lang w:val="en-GB" w:eastAsia="en-GB"/>
              </w:rPr>
              <w:t>Inxhinieri</w:t>
            </w:r>
            <w:proofErr w:type="spellEnd"/>
            <w:r w:rsidRPr="007D1EDC">
              <w:rPr>
                <w:rFonts w:ascii="Arial Narrow" w:hAnsi="Arial Narrow" w:cs="Calibri"/>
                <w:color w:val="000000"/>
                <w:sz w:val="20"/>
                <w:szCs w:val="20"/>
                <w:lang w:val="en-GB" w:eastAsia="en-GB"/>
              </w:rPr>
              <w:t xml:space="preserve">, </w:t>
            </w:r>
            <w:proofErr w:type="spellStart"/>
            <w:r w:rsidR="00AF33E5">
              <w:rPr>
                <w:rFonts w:ascii="Arial Narrow" w:hAnsi="Arial Narrow" w:cs="Calibri"/>
                <w:color w:val="000000"/>
                <w:sz w:val="20"/>
                <w:szCs w:val="20"/>
                <w:lang w:val="en-GB" w:eastAsia="en-GB"/>
              </w:rPr>
              <w:t>komisionim</w:t>
            </w:r>
            <w:proofErr w:type="spellEnd"/>
            <w:r w:rsidRPr="007D1EDC">
              <w:rPr>
                <w:rFonts w:ascii="Arial Narrow" w:hAnsi="Arial Narrow" w:cs="Calibri"/>
                <w:color w:val="000000"/>
                <w:sz w:val="20"/>
                <w:szCs w:val="20"/>
                <w:lang w:val="en-GB" w:eastAsia="en-GB"/>
              </w:rPr>
              <w:t xml:space="preserve">, </w:t>
            </w:r>
            <w:proofErr w:type="spellStart"/>
            <w:r w:rsidR="00AF33E5">
              <w:rPr>
                <w:rFonts w:ascii="Arial Narrow" w:hAnsi="Arial Narrow" w:cs="Calibri"/>
                <w:color w:val="000000"/>
                <w:sz w:val="20"/>
                <w:szCs w:val="20"/>
                <w:lang w:val="en-GB" w:eastAsia="en-GB"/>
              </w:rPr>
              <w:t>kontigjente</w:t>
            </w:r>
            <w:proofErr w:type="spellEnd"/>
          </w:p>
        </w:tc>
        <w:tc>
          <w:tcPr>
            <w:tcW w:w="795" w:type="pct"/>
            <w:shd w:val="clear" w:color="auto" w:fill="auto"/>
            <w:noWrap/>
            <w:vAlign w:val="bottom"/>
            <w:hideMark/>
          </w:tcPr>
          <w:p w14:paraId="1B8973F7"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43</w:t>
            </w:r>
          </w:p>
        </w:tc>
        <w:tc>
          <w:tcPr>
            <w:tcW w:w="629" w:type="pct"/>
            <w:shd w:val="clear" w:color="auto" w:fill="auto"/>
            <w:noWrap/>
            <w:vAlign w:val="bottom"/>
            <w:hideMark/>
          </w:tcPr>
          <w:p w14:paraId="03329A3C"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w:t>
            </w:r>
          </w:p>
        </w:tc>
        <w:tc>
          <w:tcPr>
            <w:tcW w:w="626" w:type="pct"/>
            <w:shd w:val="clear" w:color="auto" w:fill="auto"/>
            <w:noWrap/>
            <w:vAlign w:val="bottom"/>
            <w:hideMark/>
          </w:tcPr>
          <w:p w14:paraId="4753988F"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w:t>
            </w:r>
          </w:p>
        </w:tc>
        <w:tc>
          <w:tcPr>
            <w:tcW w:w="525" w:type="pct"/>
            <w:shd w:val="clear" w:color="auto" w:fill="auto"/>
            <w:noWrap/>
            <w:vAlign w:val="bottom"/>
            <w:hideMark/>
          </w:tcPr>
          <w:p w14:paraId="6D107898"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w:t>
            </w:r>
          </w:p>
        </w:tc>
      </w:tr>
      <w:tr w:rsidR="007D1EDC" w:rsidRPr="007D1EDC" w14:paraId="5F21EFAF" w14:textId="77777777" w:rsidTr="00D03949">
        <w:trPr>
          <w:trHeight w:val="210"/>
        </w:trPr>
        <w:tc>
          <w:tcPr>
            <w:tcW w:w="2426" w:type="pct"/>
            <w:shd w:val="clear" w:color="auto" w:fill="auto"/>
            <w:noWrap/>
            <w:vAlign w:val="bottom"/>
            <w:hideMark/>
          </w:tcPr>
          <w:p w14:paraId="18E1C759" w14:textId="77777777" w:rsidR="007D1EDC" w:rsidRPr="007D1EDC" w:rsidRDefault="007D1EDC" w:rsidP="007D1EDC">
            <w:pPr>
              <w:rPr>
                <w:rFonts w:ascii="Arial Narrow" w:hAnsi="Arial Narrow" w:cs="Calibri"/>
                <w:b/>
                <w:bCs/>
                <w:color w:val="000000"/>
                <w:sz w:val="20"/>
                <w:szCs w:val="20"/>
                <w:lang w:val="en-GB" w:eastAsia="en-GB"/>
              </w:rPr>
            </w:pPr>
            <w:proofErr w:type="spellStart"/>
            <w:r w:rsidRPr="007D1EDC">
              <w:rPr>
                <w:rFonts w:ascii="Arial Narrow" w:hAnsi="Arial Narrow" w:cs="Calibri"/>
                <w:b/>
                <w:bCs/>
                <w:color w:val="000000"/>
                <w:sz w:val="20"/>
                <w:szCs w:val="20"/>
                <w:lang w:val="en-GB" w:eastAsia="en-GB"/>
              </w:rPr>
              <w:t>Totali</w:t>
            </w:r>
            <w:proofErr w:type="spellEnd"/>
            <w:r w:rsidRPr="007D1EDC">
              <w:rPr>
                <w:rFonts w:ascii="Arial Narrow" w:hAnsi="Arial Narrow" w:cs="Calibri"/>
                <w:b/>
                <w:bCs/>
                <w:color w:val="000000"/>
                <w:sz w:val="20"/>
                <w:szCs w:val="20"/>
                <w:lang w:val="en-GB" w:eastAsia="en-GB"/>
              </w:rPr>
              <w:t xml:space="preserve">, </w:t>
            </w:r>
            <w:proofErr w:type="spellStart"/>
            <w:r w:rsidRPr="007D1EDC">
              <w:rPr>
                <w:rFonts w:ascii="Arial Narrow" w:hAnsi="Arial Narrow" w:cs="Calibri"/>
                <w:b/>
                <w:bCs/>
                <w:color w:val="000000"/>
                <w:sz w:val="20"/>
                <w:szCs w:val="20"/>
                <w:lang w:val="en-GB" w:eastAsia="en-GB"/>
              </w:rPr>
              <w:t>mijë</w:t>
            </w:r>
            <w:proofErr w:type="spellEnd"/>
            <w:r w:rsidRPr="007D1EDC">
              <w:rPr>
                <w:rFonts w:ascii="Arial Narrow" w:hAnsi="Arial Narrow" w:cs="Calibri"/>
                <w:b/>
                <w:bCs/>
                <w:color w:val="000000"/>
                <w:sz w:val="20"/>
                <w:szCs w:val="20"/>
                <w:lang w:val="en-GB" w:eastAsia="en-GB"/>
              </w:rPr>
              <w:t xml:space="preserve"> EUR</w:t>
            </w:r>
          </w:p>
        </w:tc>
        <w:tc>
          <w:tcPr>
            <w:tcW w:w="795" w:type="pct"/>
            <w:shd w:val="clear" w:color="auto" w:fill="auto"/>
            <w:noWrap/>
            <w:vAlign w:val="bottom"/>
            <w:hideMark/>
          </w:tcPr>
          <w:p w14:paraId="28A95363" w14:textId="77777777" w:rsidR="007D1EDC" w:rsidRPr="007D1EDC" w:rsidRDefault="007D1EDC" w:rsidP="007D1EDC">
            <w:pPr>
              <w:jc w:val="center"/>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912</w:t>
            </w:r>
          </w:p>
        </w:tc>
        <w:tc>
          <w:tcPr>
            <w:tcW w:w="629" w:type="pct"/>
            <w:shd w:val="clear" w:color="auto" w:fill="auto"/>
            <w:noWrap/>
            <w:vAlign w:val="bottom"/>
            <w:hideMark/>
          </w:tcPr>
          <w:p w14:paraId="02F0BD55" w14:textId="77777777" w:rsidR="007D1EDC" w:rsidRPr="007D1EDC" w:rsidRDefault="007D1EDC" w:rsidP="007D1EDC">
            <w:pPr>
              <w:jc w:val="center"/>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234</w:t>
            </w:r>
          </w:p>
        </w:tc>
        <w:tc>
          <w:tcPr>
            <w:tcW w:w="626" w:type="pct"/>
            <w:shd w:val="clear" w:color="auto" w:fill="auto"/>
            <w:noWrap/>
            <w:vAlign w:val="bottom"/>
            <w:hideMark/>
          </w:tcPr>
          <w:p w14:paraId="689C1A7A" w14:textId="77777777" w:rsidR="007D1EDC" w:rsidRPr="007D1EDC" w:rsidRDefault="007D1EDC" w:rsidP="007D1EDC">
            <w:pPr>
              <w:jc w:val="center"/>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234</w:t>
            </w:r>
          </w:p>
        </w:tc>
        <w:tc>
          <w:tcPr>
            <w:tcW w:w="525" w:type="pct"/>
            <w:shd w:val="clear" w:color="auto" w:fill="auto"/>
            <w:noWrap/>
            <w:vAlign w:val="bottom"/>
            <w:hideMark/>
          </w:tcPr>
          <w:p w14:paraId="47B0A7CB" w14:textId="77777777" w:rsidR="007D1EDC" w:rsidRPr="007D1EDC" w:rsidRDefault="007D1EDC" w:rsidP="007D1EDC">
            <w:pPr>
              <w:jc w:val="center"/>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234</w:t>
            </w:r>
          </w:p>
        </w:tc>
      </w:tr>
    </w:tbl>
    <w:p w14:paraId="33F4FDB8" w14:textId="77777777" w:rsidR="007D1EDC" w:rsidRPr="00AF33E5" w:rsidRDefault="007D1EDC" w:rsidP="007D1EDC">
      <w:pPr>
        <w:rPr>
          <w:rFonts w:ascii="Arial Narrow" w:eastAsia="Calibri" w:hAnsi="Arial Narrow" w:cs="Calibri"/>
          <w:sz w:val="22"/>
          <w:szCs w:val="22"/>
        </w:rPr>
      </w:pPr>
    </w:p>
    <w:p w14:paraId="1BE5540C" w14:textId="77777777" w:rsidR="00AF33E5" w:rsidRPr="00AF33E5" w:rsidRDefault="00AF33E5" w:rsidP="00AF33E5">
      <w:pPr>
        <w:rPr>
          <w:rFonts w:ascii="Arial Narrow" w:eastAsia="Calibri" w:hAnsi="Arial Narrow" w:cs="Calibri"/>
          <w:sz w:val="22"/>
          <w:szCs w:val="22"/>
        </w:rPr>
      </w:pPr>
      <w:bookmarkStart w:id="615" w:name="_Toc190929299"/>
      <w:r w:rsidRPr="00AF33E5">
        <w:rPr>
          <w:rFonts w:ascii="Arial Narrow" w:eastAsia="Calibri" w:hAnsi="Arial Narrow" w:cs="Calibri"/>
          <w:sz w:val="22"/>
          <w:szCs w:val="22"/>
        </w:rPr>
        <w:t>Financimi i investimit fillestar në vendin e kompostimit të mbeturinave të gjelbra dhe pajisjet duhet të sigurohen si grant.</w:t>
      </w:r>
    </w:p>
    <w:p w14:paraId="61DA5C18" w14:textId="77777777" w:rsidR="007D1EDC" w:rsidRPr="00AF33E5" w:rsidRDefault="007D1EDC" w:rsidP="007D1EDC">
      <w:pPr>
        <w:suppressAutoHyphens/>
        <w:rPr>
          <w:rFonts w:ascii="Arial Narrow" w:eastAsia="Calibri" w:hAnsi="Arial Narrow" w:cs="Calibri"/>
          <w:b/>
          <w:bCs/>
          <w:color w:val="1F3864" w:themeColor="accent1" w:themeShade="80"/>
        </w:rPr>
      </w:pPr>
    </w:p>
    <w:p w14:paraId="110BFABC" w14:textId="7C450B5B" w:rsidR="007D1EDC" w:rsidRPr="00AF33E5" w:rsidRDefault="007D1EDC" w:rsidP="007D1EDC">
      <w:pPr>
        <w:suppressAutoHyphens/>
        <w:rPr>
          <w:rFonts w:ascii="Arial Narrow" w:eastAsia="Calibri" w:hAnsi="Arial Narrow" w:cs="Calibri"/>
          <w:b/>
          <w:bCs/>
          <w:color w:val="1F3864" w:themeColor="accent1" w:themeShade="80"/>
          <w:sz w:val="22"/>
          <w:szCs w:val="22"/>
        </w:rPr>
      </w:pPr>
      <w:r w:rsidRPr="00AF33E5">
        <w:rPr>
          <w:rFonts w:ascii="Arial Narrow" w:eastAsia="Calibri" w:hAnsi="Arial Narrow" w:cs="Calibri"/>
          <w:b/>
          <w:bCs/>
          <w:color w:val="1F3864" w:themeColor="accent1" w:themeShade="80"/>
          <w:sz w:val="22"/>
          <w:szCs w:val="22"/>
        </w:rPr>
        <w:t>Kostot opera</w:t>
      </w:r>
      <w:bookmarkEnd w:id="615"/>
      <w:r w:rsidR="00AF33E5" w:rsidRPr="00AF33E5">
        <w:rPr>
          <w:rFonts w:ascii="Arial Narrow" w:eastAsia="Calibri" w:hAnsi="Arial Narrow" w:cs="Calibri"/>
          <w:b/>
          <w:bCs/>
          <w:color w:val="1F3864" w:themeColor="accent1" w:themeShade="80"/>
          <w:sz w:val="22"/>
          <w:szCs w:val="22"/>
        </w:rPr>
        <w:t>cionale</w:t>
      </w:r>
    </w:p>
    <w:p w14:paraId="17378BE1" w14:textId="77777777" w:rsidR="00AF33E5" w:rsidRPr="00AF33E5" w:rsidRDefault="00AF33E5" w:rsidP="00AF33E5">
      <w:pPr>
        <w:jc w:val="both"/>
        <w:rPr>
          <w:rFonts w:ascii="Arial Narrow" w:eastAsia="Calibri" w:hAnsi="Arial Narrow" w:cs="Calibri"/>
          <w:sz w:val="22"/>
          <w:szCs w:val="22"/>
        </w:rPr>
      </w:pPr>
      <w:r w:rsidRPr="00AF33E5">
        <w:rPr>
          <w:rFonts w:ascii="Arial Narrow" w:eastAsia="Calibri" w:hAnsi="Arial Narrow" w:cs="Calibri"/>
          <w:sz w:val="22"/>
          <w:szCs w:val="22"/>
        </w:rPr>
        <w:t>Stafi i punësuar në objektin e Pejës është 6 persona dhe 3 persona për secilin nga vendet e kompostimit të komunave tjera. Kostot vjetore të mirëmbajtjes janë përcaktuar si 1% e kostos civile, 6% e kostos mekanike, 10% e kostos së automjetit. Kostot administrative dhe sigurimet përcaktohen si 10% e kostove të tjera.</w:t>
      </w:r>
    </w:p>
    <w:p w14:paraId="48FE0018" w14:textId="77777777" w:rsidR="00AF33E5" w:rsidRPr="009F5CA1" w:rsidRDefault="00AF33E5" w:rsidP="00AF33E5">
      <w:pPr>
        <w:rPr>
          <w:rFonts w:ascii="Arial Narrow" w:eastAsia="Calibri" w:hAnsi="Arial Narrow"/>
          <w:sz w:val="22"/>
          <w:szCs w:val="22"/>
        </w:rPr>
      </w:pPr>
    </w:p>
    <w:p w14:paraId="53566BE3" w14:textId="77777777" w:rsidR="00AF33E5" w:rsidRPr="009F5CA1" w:rsidRDefault="00AF33E5" w:rsidP="00AF33E5">
      <w:pPr>
        <w:jc w:val="both"/>
        <w:rPr>
          <w:rFonts w:ascii="Arial Narrow" w:hAnsi="Arial Narrow"/>
          <w:sz w:val="22"/>
          <w:szCs w:val="22"/>
        </w:rPr>
      </w:pPr>
      <w:r w:rsidRPr="009F5CA1">
        <w:rPr>
          <w:rFonts w:ascii="Arial Narrow" w:hAnsi="Arial Narrow"/>
          <w:sz w:val="22"/>
          <w:szCs w:val="22"/>
        </w:rPr>
        <w:t>Kostot e vlerësuara të funksionimit dhe mirëmbajtjes për kompostimin e haour pale palë janë përmbledhur në tabelën e mëposhtme, në mijë euro:</w:t>
      </w:r>
    </w:p>
    <w:p w14:paraId="5F686670" w14:textId="77777777" w:rsidR="00AF33E5" w:rsidRPr="009F5CA1" w:rsidRDefault="00AF33E5" w:rsidP="00AF33E5">
      <w:pPr>
        <w:jc w:val="both"/>
        <w:rPr>
          <w:rFonts w:ascii="Arial Narrow" w:hAnsi="Arial Narrow"/>
          <w:sz w:val="22"/>
          <w:szCs w:val="22"/>
        </w:rPr>
      </w:pPr>
    </w:p>
    <w:p w14:paraId="75EE4665" w14:textId="77777777" w:rsidR="00AF33E5" w:rsidRPr="009F5CA1" w:rsidRDefault="00AF33E5" w:rsidP="00AF33E5">
      <w:pPr>
        <w:jc w:val="both"/>
        <w:rPr>
          <w:rFonts w:ascii="Arial Narrow" w:hAnsi="Arial Narrow"/>
          <w:sz w:val="22"/>
          <w:szCs w:val="22"/>
        </w:rPr>
      </w:pPr>
    </w:p>
    <w:p w14:paraId="0F2CDD31" w14:textId="77777777" w:rsidR="007D1EDC" w:rsidRPr="00AF33E5" w:rsidRDefault="007D1EDC" w:rsidP="007D1EDC">
      <w:pPr>
        <w:rPr>
          <w:rFonts w:ascii="Arial Narrow" w:eastAsia="Calibri" w:hAnsi="Arial Narrow" w:cs="Calibri"/>
          <w:sz w:val="22"/>
          <w:szCs w:val="22"/>
        </w:rPr>
      </w:pPr>
    </w:p>
    <w:p w14:paraId="472E484A" w14:textId="409EFFEC" w:rsidR="007D1EDC" w:rsidRPr="007D1EDC" w:rsidRDefault="007D1EDC" w:rsidP="007D1EDC">
      <w:pPr>
        <w:suppressAutoHyphens/>
        <w:rPr>
          <w:rFonts w:ascii="Arial Narrow" w:eastAsia="Calibri" w:hAnsi="Arial Narrow" w:cs="Calibri"/>
          <w:color w:val="1F497D"/>
          <w:sz w:val="20"/>
          <w:szCs w:val="20"/>
        </w:rPr>
      </w:pPr>
      <w:bookmarkStart w:id="616" w:name="_Toc190966776"/>
      <w:bookmarkStart w:id="617" w:name="_Toc197472273"/>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88.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 xml:space="preserve">Kostot e vlerësuara </w:t>
      </w:r>
      <w:r w:rsidR="00715FE8">
        <w:rPr>
          <w:rFonts w:ascii="Arial Narrow" w:eastAsia="Calibri" w:hAnsi="Arial Narrow" w:cs="Calibri"/>
          <w:color w:val="1F497D"/>
          <w:sz w:val="20"/>
          <w:szCs w:val="20"/>
        </w:rPr>
        <w:t xml:space="preserve">operacionale </w:t>
      </w:r>
      <w:r w:rsidRPr="007D1EDC">
        <w:rPr>
          <w:rFonts w:ascii="Arial Narrow" w:eastAsia="Calibri" w:hAnsi="Arial Narrow" w:cs="Calibri"/>
          <w:color w:val="1F497D"/>
          <w:sz w:val="20"/>
          <w:szCs w:val="20"/>
        </w:rPr>
        <w:t xml:space="preserve">dhe mirëmbajtjes për kompostimin </w:t>
      </w:r>
      <w:r w:rsidR="00715FE8">
        <w:rPr>
          <w:rFonts w:ascii="Arial Narrow" w:eastAsia="Calibri" w:hAnsi="Arial Narrow" w:cs="Calibri"/>
          <w:color w:val="1F497D"/>
          <w:sz w:val="20"/>
          <w:szCs w:val="20"/>
        </w:rPr>
        <w:t>e hapur palë palë</w:t>
      </w:r>
      <w:bookmarkEnd w:id="616"/>
      <w:bookmarkEnd w:id="6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4"/>
        <w:gridCol w:w="1434"/>
        <w:gridCol w:w="1134"/>
        <w:gridCol w:w="1129"/>
        <w:gridCol w:w="945"/>
      </w:tblGrid>
      <w:tr w:rsidR="007D1EDC" w:rsidRPr="007D1EDC" w14:paraId="33BDDA78" w14:textId="77777777" w:rsidTr="00D03949">
        <w:trPr>
          <w:trHeight w:val="210"/>
        </w:trPr>
        <w:tc>
          <w:tcPr>
            <w:tcW w:w="2426" w:type="pct"/>
            <w:shd w:val="clear" w:color="auto" w:fill="365F91"/>
            <w:noWrap/>
            <w:hideMark/>
          </w:tcPr>
          <w:p w14:paraId="55980E28" w14:textId="77777777" w:rsidR="007D1EDC" w:rsidRPr="007D1EDC" w:rsidRDefault="007D1EDC" w:rsidP="007D1EDC">
            <w:pPr>
              <w:rPr>
                <w:rFonts w:ascii="Arial Narrow" w:hAnsi="Arial Narrow"/>
                <w:sz w:val="20"/>
                <w:szCs w:val="20"/>
                <w:lang w:val="en-GB" w:eastAsia="en-GB"/>
              </w:rPr>
            </w:pPr>
            <w:r w:rsidRPr="007D1EDC">
              <w:rPr>
                <w:rFonts w:ascii="Arial Narrow" w:hAnsi="Arial Narrow"/>
                <w:b/>
                <w:bCs/>
                <w:color w:val="FFFFFF" w:themeColor="background1"/>
                <w:sz w:val="20"/>
                <w:szCs w:val="20"/>
              </w:rPr>
              <w:lastRenderedPageBreak/>
              <w:t>Parametri</w:t>
            </w:r>
          </w:p>
        </w:tc>
        <w:tc>
          <w:tcPr>
            <w:tcW w:w="795" w:type="pct"/>
            <w:shd w:val="clear" w:color="auto" w:fill="365F91"/>
            <w:noWrap/>
            <w:hideMark/>
          </w:tcPr>
          <w:p w14:paraId="4563F51D" w14:textId="77777777"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b/>
                <w:bCs/>
                <w:color w:val="FFFFFF" w:themeColor="background1"/>
                <w:sz w:val="20"/>
                <w:szCs w:val="20"/>
              </w:rPr>
              <w:t>Pejë</w:t>
            </w:r>
          </w:p>
        </w:tc>
        <w:tc>
          <w:tcPr>
            <w:tcW w:w="629" w:type="pct"/>
            <w:shd w:val="clear" w:color="auto" w:fill="365F91"/>
            <w:noWrap/>
            <w:hideMark/>
          </w:tcPr>
          <w:p w14:paraId="26BF388C" w14:textId="77777777"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b/>
                <w:bCs/>
                <w:color w:val="FFFFFF" w:themeColor="background1"/>
                <w:sz w:val="20"/>
                <w:szCs w:val="20"/>
              </w:rPr>
              <w:t>Istog</w:t>
            </w:r>
          </w:p>
        </w:tc>
        <w:tc>
          <w:tcPr>
            <w:tcW w:w="626" w:type="pct"/>
            <w:shd w:val="clear" w:color="auto" w:fill="365F91"/>
            <w:noWrap/>
            <w:hideMark/>
          </w:tcPr>
          <w:p w14:paraId="10E912A0" w14:textId="16E79726"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b/>
                <w:bCs/>
                <w:color w:val="FFFFFF" w:themeColor="background1"/>
                <w:sz w:val="20"/>
                <w:szCs w:val="20"/>
              </w:rPr>
              <w:t>Klin</w:t>
            </w:r>
            <w:r w:rsidR="00BD1EDD">
              <w:rPr>
                <w:rFonts w:ascii="Arial Narrow" w:hAnsi="Arial Narrow"/>
                <w:b/>
                <w:bCs/>
                <w:color w:val="FFFFFF" w:themeColor="background1"/>
                <w:sz w:val="20"/>
                <w:szCs w:val="20"/>
              </w:rPr>
              <w:t>ë</w:t>
            </w:r>
          </w:p>
        </w:tc>
        <w:tc>
          <w:tcPr>
            <w:tcW w:w="525" w:type="pct"/>
            <w:shd w:val="clear" w:color="auto" w:fill="365F91"/>
            <w:noWrap/>
            <w:hideMark/>
          </w:tcPr>
          <w:p w14:paraId="587C4DB4" w14:textId="4A54447E"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b/>
                <w:bCs/>
                <w:color w:val="FFFFFF" w:themeColor="background1"/>
                <w:sz w:val="20"/>
                <w:szCs w:val="20"/>
              </w:rPr>
              <w:t>De</w:t>
            </w:r>
            <w:r w:rsidR="00BD1EDD">
              <w:rPr>
                <w:rFonts w:ascii="Arial Narrow" w:hAnsi="Arial Narrow"/>
                <w:b/>
                <w:bCs/>
                <w:color w:val="FFFFFF" w:themeColor="background1"/>
                <w:sz w:val="20"/>
                <w:szCs w:val="20"/>
              </w:rPr>
              <w:t>ç</w:t>
            </w:r>
            <w:r w:rsidRPr="007D1EDC">
              <w:rPr>
                <w:rFonts w:ascii="Arial Narrow" w:hAnsi="Arial Narrow"/>
                <w:b/>
                <w:bCs/>
                <w:color w:val="FFFFFF" w:themeColor="background1"/>
                <w:sz w:val="20"/>
                <w:szCs w:val="20"/>
              </w:rPr>
              <w:t>an</w:t>
            </w:r>
          </w:p>
        </w:tc>
      </w:tr>
      <w:tr w:rsidR="007D1EDC" w:rsidRPr="007D1EDC" w14:paraId="43E65B23" w14:textId="77777777" w:rsidTr="00D03949">
        <w:trPr>
          <w:trHeight w:val="210"/>
        </w:trPr>
        <w:tc>
          <w:tcPr>
            <w:tcW w:w="2426" w:type="pct"/>
            <w:shd w:val="clear" w:color="auto" w:fill="auto"/>
            <w:noWrap/>
            <w:vAlign w:val="bottom"/>
            <w:hideMark/>
          </w:tcPr>
          <w:p w14:paraId="1572EC89" w14:textId="01AB24F2" w:rsidR="007D1EDC" w:rsidRPr="007D1EDC" w:rsidRDefault="007D1EDC" w:rsidP="007D1EDC">
            <w:pPr>
              <w:rPr>
                <w:rFonts w:ascii="Arial Narrow" w:hAnsi="Arial Narrow" w:cs="Calibri"/>
                <w:color w:val="000000"/>
                <w:sz w:val="20"/>
                <w:szCs w:val="20"/>
                <w:lang w:val="en-GB" w:eastAsia="en-GB"/>
              </w:rPr>
            </w:pPr>
            <w:proofErr w:type="spellStart"/>
            <w:r w:rsidRPr="007D1EDC">
              <w:rPr>
                <w:rFonts w:ascii="Arial Narrow" w:hAnsi="Arial Narrow" w:cs="Calibri"/>
                <w:color w:val="000000"/>
                <w:sz w:val="20"/>
                <w:szCs w:val="20"/>
                <w:lang w:val="en-GB" w:eastAsia="en-GB"/>
              </w:rPr>
              <w:t>Mirëmbajtj</w:t>
            </w:r>
            <w:r w:rsidR="00715FE8">
              <w:rPr>
                <w:rFonts w:ascii="Arial Narrow" w:hAnsi="Arial Narrow" w:cs="Calibri"/>
                <w:color w:val="000000"/>
                <w:sz w:val="20"/>
                <w:szCs w:val="20"/>
                <w:lang w:val="en-GB" w:eastAsia="en-GB"/>
              </w:rPr>
              <w:t>a</w:t>
            </w:r>
            <w:proofErr w:type="spellEnd"/>
          </w:p>
        </w:tc>
        <w:tc>
          <w:tcPr>
            <w:tcW w:w="795" w:type="pct"/>
            <w:shd w:val="clear" w:color="auto" w:fill="auto"/>
            <w:noWrap/>
            <w:vAlign w:val="bottom"/>
            <w:hideMark/>
          </w:tcPr>
          <w:p w14:paraId="74E90D6C"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60</w:t>
            </w:r>
          </w:p>
        </w:tc>
        <w:tc>
          <w:tcPr>
            <w:tcW w:w="629" w:type="pct"/>
            <w:shd w:val="clear" w:color="auto" w:fill="auto"/>
            <w:noWrap/>
            <w:vAlign w:val="bottom"/>
            <w:hideMark/>
          </w:tcPr>
          <w:p w14:paraId="2BB4D748"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21</w:t>
            </w:r>
          </w:p>
        </w:tc>
        <w:tc>
          <w:tcPr>
            <w:tcW w:w="626" w:type="pct"/>
            <w:shd w:val="clear" w:color="auto" w:fill="auto"/>
            <w:noWrap/>
            <w:vAlign w:val="bottom"/>
            <w:hideMark/>
          </w:tcPr>
          <w:p w14:paraId="53B3A020"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21</w:t>
            </w:r>
          </w:p>
        </w:tc>
        <w:tc>
          <w:tcPr>
            <w:tcW w:w="525" w:type="pct"/>
            <w:shd w:val="clear" w:color="auto" w:fill="auto"/>
            <w:noWrap/>
            <w:vAlign w:val="bottom"/>
            <w:hideMark/>
          </w:tcPr>
          <w:p w14:paraId="2D12C398"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21</w:t>
            </w:r>
          </w:p>
        </w:tc>
      </w:tr>
      <w:tr w:rsidR="007D1EDC" w:rsidRPr="007D1EDC" w14:paraId="50AE864B" w14:textId="77777777" w:rsidTr="00D03949">
        <w:trPr>
          <w:trHeight w:val="210"/>
        </w:trPr>
        <w:tc>
          <w:tcPr>
            <w:tcW w:w="2426" w:type="pct"/>
            <w:shd w:val="clear" w:color="auto" w:fill="auto"/>
            <w:noWrap/>
            <w:vAlign w:val="bottom"/>
            <w:hideMark/>
          </w:tcPr>
          <w:p w14:paraId="77431B0A" w14:textId="77777777" w:rsidR="007D1EDC" w:rsidRPr="007D1EDC" w:rsidRDefault="007D1EDC" w:rsidP="007D1EDC">
            <w:pPr>
              <w:rPr>
                <w:rFonts w:ascii="Arial Narrow" w:hAnsi="Arial Narrow" w:cs="Calibri"/>
                <w:color w:val="000000"/>
                <w:sz w:val="20"/>
                <w:szCs w:val="20"/>
                <w:lang w:val="en-GB" w:eastAsia="en-GB"/>
              </w:rPr>
            </w:pPr>
            <w:proofErr w:type="spellStart"/>
            <w:r w:rsidRPr="007D1EDC">
              <w:rPr>
                <w:rFonts w:ascii="Arial Narrow" w:hAnsi="Arial Narrow" w:cs="Calibri"/>
                <w:color w:val="000000"/>
                <w:sz w:val="20"/>
                <w:szCs w:val="20"/>
                <w:lang w:val="en-GB" w:eastAsia="en-GB"/>
              </w:rPr>
              <w:t>Pagat</w:t>
            </w:r>
            <w:proofErr w:type="spellEnd"/>
          </w:p>
        </w:tc>
        <w:tc>
          <w:tcPr>
            <w:tcW w:w="795" w:type="pct"/>
            <w:shd w:val="clear" w:color="auto" w:fill="auto"/>
            <w:noWrap/>
            <w:vAlign w:val="bottom"/>
            <w:hideMark/>
          </w:tcPr>
          <w:p w14:paraId="647139DA"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55</w:t>
            </w:r>
          </w:p>
        </w:tc>
        <w:tc>
          <w:tcPr>
            <w:tcW w:w="629" w:type="pct"/>
            <w:shd w:val="clear" w:color="auto" w:fill="auto"/>
            <w:noWrap/>
            <w:vAlign w:val="bottom"/>
            <w:hideMark/>
          </w:tcPr>
          <w:p w14:paraId="66C55DB3"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24</w:t>
            </w:r>
          </w:p>
        </w:tc>
        <w:tc>
          <w:tcPr>
            <w:tcW w:w="626" w:type="pct"/>
            <w:shd w:val="clear" w:color="auto" w:fill="auto"/>
            <w:noWrap/>
            <w:vAlign w:val="bottom"/>
            <w:hideMark/>
          </w:tcPr>
          <w:p w14:paraId="3CA87F62"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24</w:t>
            </w:r>
          </w:p>
        </w:tc>
        <w:tc>
          <w:tcPr>
            <w:tcW w:w="525" w:type="pct"/>
            <w:shd w:val="clear" w:color="auto" w:fill="auto"/>
            <w:noWrap/>
            <w:vAlign w:val="bottom"/>
            <w:hideMark/>
          </w:tcPr>
          <w:p w14:paraId="272BA6E6"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24</w:t>
            </w:r>
          </w:p>
        </w:tc>
      </w:tr>
      <w:tr w:rsidR="007D1EDC" w:rsidRPr="007D1EDC" w14:paraId="29B4355E" w14:textId="77777777" w:rsidTr="00D03949">
        <w:trPr>
          <w:trHeight w:val="210"/>
        </w:trPr>
        <w:tc>
          <w:tcPr>
            <w:tcW w:w="2426" w:type="pct"/>
            <w:shd w:val="clear" w:color="auto" w:fill="auto"/>
            <w:noWrap/>
            <w:vAlign w:val="bottom"/>
            <w:hideMark/>
          </w:tcPr>
          <w:p w14:paraId="5262C2B0" w14:textId="77777777" w:rsidR="007D1EDC" w:rsidRPr="009F5CA1" w:rsidRDefault="007D1EDC" w:rsidP="007D1EDC">
            <w:pPr>
              <w:rPr>
                <w:rFonts w:ascii="Arial Narrow" w:hAnsi="Arial Narrow" w:cs="Calibri"/>
                <w:color w:val="000000"/>
                <w:sz w:val="20"/>
                <w:szCs w:val="20"/>
                <w:lang w:val="de-DE" w:eastAsia="en-GB"/>
              </w:rPr>
            </w:pPr>
            <w:r w:rsidRPr="009F5CA1">
              <w:rPr>
                <w:rFonts w:ascii="Arial Narrow" w:hAnsi="Arial Narrow" w:cs="Calibri"/>
                <w:color w:val="000000"/>
                <w:sz w:val="20"/>
                <w:szCs w:val="20"/>
                <w:lang w:val="de-DE" w:eastAsia="en-GB"/>
              </w:rPr>
              <w:t xml:space="preserve">Materiale </w:t>
            </w:r>
            <w:proofErr w:type="spellStart"/>
            <w:r w:rsidRPr="009F5CA1">
              <w:rPr>
                <w:rFonts w:ascii="Arial Narrow" w:hAnsi="Arial Narrow" w:cs="Calibri"/>
                <w:color w:val="000000"/>
                <w:sz w:val="20"/>
                <w:szCs w:val="20"/>
                <w:lang w:val="de-DE" w:eastAsia="en-GB"/>
              </w:rPr>
              <w:t>harxhuese</w:t>
            </w:r>
            <w:proofErr w:type="spellEnd"/>
            <w:r w:rsidRPr="009F5CA1">
              <w:rPr>
                <w:rFonts w:ascii="Arial Narrow" w:hAnsi="Arial Narrow" w:cs="Calibri"/>
                <w:color w:val="000000"/>
                <w:sz w:val="20"/>
                <w:szCs w:val="20"/>
                <w:lang w:val="de-DE" w:eastAsia="en-GB"/>
              </w:rPr>
              <w:t xml:space="preserve"> (</w:t>
            </w:r>
            <w:proofErr w:type="spellStart"/>
            <w:r w:rsidRPr="009F5CA1">
              <w:rPr>
                <w:rFonts w:ascii="Arial Narrow" w:hAnsi="Arial Narrow" w:cs="Calibri"/>
                <w:color w:val="000000"/>
                <w:sz w:val="20"/>
                <w:szCs w:val="20"/>
                <w:lang w:val="de-DE" w:eastAsia="en-GB"/>
              </w:rPr>
              <w:t>karburant</w:t>
            </w:r>
            <w:proofErr w:type="spellEnd"/>
            <w:r w:rsidRPr="009F5CA1">
              <w:rPr>
                <w:rFonts w:ascii="Arial Narrow" w:hAnsi="Arial Narrow" w:cs="Calibri"/>
                <w:color w:val="000000"/>
                <w:sz w:val="20"/>
                <w:szCs w:val="20"/>
                <w:lang w:val="de-DE" w:eastAsia="en-GB"/>
              </w:rPr>
              <w:t xml:space="preserve">, </w:t>
            </w:r>
            <w:proofErr w:type="spellStart"/>
            <w:r w:rsidRPr="009F5CA1">
              <w:rPr>
                <w:rFonts w:ascii="Arial Narrow" w:hAnsi="Arial Narrow" w:cs="Calibri"/>
                <w:color w:val="000000"/>
                <w:sz w:val="20"/>
                <w:szCs w:val="20"/>
                <w:lang w:val="de-DE" w:eastAsia="en-GB"/>
              </w:rPr>
              <w:t>energji</w:t>
            </w:r>
            <w:proofErr w:type="spellEnd"/>
            <w:r w:rsidRPr="009F5CA1">
              <w:rPr>
                <w:rFonts w:ascii="Arial Narrow" w:hAnsi="Arial Narrow" w:cs="Calibri"/>
                <w:color w:val="000000"/>
                <w:sz w:val="20"/>
                <w:szCs w:val="20"/>
                <w:lang w:val="de-DE" w:eastAsia="en-GB"/>
              </w:rPr>
              <w:t xml:space="preserve"> </w:t>
            </w:r>
            <w:proofErr w:type="spellStart"/>
            <w:r w:rsidRPr="009F5CA1">
              <w:rPr>
                <w:rFonts w:ascii="Arial Narrow" w:hAnsi="Arial Narrow" w:cs="Calibri"/>
                <w:color w:val="000000"/>
                <w:sz w:val="20"/>
                <w:szCs w:val="20"/>
                <w:lang w:val="de-DE" w:eastAsia="en-GB"/>
              </w:rPr>
              <w:t>elektrike</w:t>
            </w:r>
            <w:proofErr w:type="spellEnd"/>
            <w:r w:rsidRPr="009F5CA1">
              <w:rPr>
                <w:rFonts w:ascii="Arial Narrow" w:hAnsi="Arial Narrow" w:cs="Calibri"/>
                <w:color w:val="000000"/>
                <w:sz w:val="20"/>
                <w:szCs w:val="20"/>
                <w:lang w:val="de-DE" w:eastAsia="en-GB"/>
              </w:rPr>
              <w:t xml:space="preserve">, </w:t>
            </w:r>
            <w:proofErr w:type="spellStart"/>
            <w:r w:rsidRPr="009F5CA1">
              <w:rPr>
                <w:rFonts w:ascii="Arial Narrow" w:hAnsi="Arial Narrow" w:cs="Calibri"/>
                <w:color w:val="000000"/>
                <w:sz w:val="20"/>
                <w:szCs w:val="20"/>
                <w:lang w:val="de-DE" w:eastAsia="en-GB"/>
              </w:rPr>
              <w:t>etj</w:t>
            </w:r>
            <w:proofErr w:type="spellEnd"/>
            <w:r w:rsidRPr="009F5CA1">
              <w:rPr>
                <w:rFonts w:ascii="Arial Narrow" w:hAnsi="Arial Narrow" w:cs="Calibri"/>
                <w:color w:val="000000"/>
                <w:sz w:val="20"/>
                <w:szCs w:val="20"/>
                <w:lang w:val="de-DE" w:eastAsia="en-GB"/>
              </w:rPr>
              <w:t>.)</w:t>
            </w:r>
          </w:p>
        </w:tc>
        <w:tc>
          <w:tcPr>
            <w:tcW w:w="795" w:type="pct"/>
            <w:shd w:val="clear" w:color="auto" w:fill="auto"/>
            <w:noWrap/>
            <w:vAlign w:val="bottom"/>
            <w:hideMark/>
          </w:tcPr>
          <w:p w14:paraId="31D3B2CE"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59</w:t>
            </w:r>
          </w:p>
        </w:tc>
        <w:tc>
          <w:tcPr>
            <w:tcW w:w="629" w:type="pct"/>
            <w:shd w:val="clear" w:color="auto" w:fill="auto"/>
            <w:noWrap/>
            <w:vAlign w:val="bottom"/>
            <w:hideMark/>
          </w:tcPr>
          <w:p w14:paraId="217F4CA6"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w:t>
            </w:r>
          </w:p>
        </w:tc>
        <w:tc>
          <w:tcPr>
            <w:tcW w:w="626" w:type="pct"/>
            <w:shd w:val="clear" w:color="auto" w:fill="auto"/>
            <w:noWrap/>
            <w:vAlign w:val="bottom"/>
            <w:hideMark/>
          </w:tcPr>
          <w:p w14:paraId="2BAC3E8B"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w:t>
            </w:r>
          </w:p>
        </w:tc>
        <w:tc>
          <w:tcPr>
            <w:tcW w:w="525" w:type="pct"/>
            <w:shd w:val="clear" w:color="auto" w:fill="auto"/>
            <w:noWrap/>
            <w:vAlign w:val="bottom"/>
            <w:hideMark/>
          </w:tcPr>
          <w:p w14:paraId="09E823DB"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10</w:t>
            </w:r>
          </w:p>
        </w:tc>
      </w:tr>
      <w:tr w:rsidR="007D1EDC" w:rsidRPr="007D1EDC" w14:paraId="29BFB0A7" w14:textId="77777777" w:rsidTr="00D03949">
        <w:trPr>
          <w:trHeight w:val="210"/>
        </w:trPr>
        <w:tc>
          <w:tcPr>
            <w:tcW w:w="2426" w:type="pct"/>
            <w:shd w:val="clear" w:color="auto" w:fill="auto"/>
            <w:noWrap/>
            <w:vAlign w:val="bottom"/>
            <w:hideMark/>
          </w:tcPr>
          <w:p w14:paraId="01702275" w14:textId="77777777"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xml:space="preserve">Administrata, </w:t>
            </w:r>
            <w:proofErr w:type="spellStart"/>
            <w:r w:rsidRPr="007D1EDC">
              <w:rPr>
                <w:rFonts w:ascii="Arial Narrow" w:hAnsi="Arial Narrow" w:cs="Calibri"/>
                <w:color w:val="000000"/>
                <w:sz w:val="20"/>
                <w:szCs w:val="20"/>
                <w:lang w:val="en-GB" w:eastAsia="en-GB"/>
              </w:rPr>
              <w:t>taksat</w:t>
            </w:r>
            <w:proofErr w:type="spellEnd"/>
            <w:r w:rsidRPr="007D1EDC">
              <w:rPr>
                <w:rFonts w:ascii="Arial Narrow" w:hAnsi="Arial Narrow" w:cs="Calibri"/>
                <w:color w:val="000000"/>
                <w:sz w:val="20"/>
                <w:szCs w:val="20"/>
                <w:lang w:val="en-GB" w:eastAsia="en-GB"/>
              </w:rPr>
              <w:t xml:space="preserve">, </w:t>
            </w:r>
            <w:proofErr w:type="spellStart"/>
            <w:r w:rsidRPr="007D1EDC">
              <w:rPr>
                <w:rFonts w:ascii="Arial Narrow" w:hAnsi="Arial Narrow" w:cs="Calibri"/>
                <w:color w:val="000000"/>
                <w:sz w:val="20"/>
                <w:szCs w:val="20"/>
                <w:lang w:val="en-GB" w:eastAsia="en-GB"/>
              </w:rPr>
              <w:t>sigurimet</w:t>
            </w:r>
            <w:proofErr w:type="spellEnd"/>
          </w:p>
        </w:tc>
        <w:tc>
          <w:tcPr>
            <w:tcW w:w="795" w:type="pct"/>
            <w:shd w:val="clear" w:color="auto" w:fill="auto"/>
            <w:noWrap/>
            <w:vAlign w:val="bottom"/>
            <w:hideMark/>
          </w:tcPr>
          <w:p w14:paraId="45E684AC"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17</w:t>
            </w:r>
          </w:p>
        </w:tc>
        <w:tc>
          <w:tcPr>
            <w:tcW w:w="629" w:type="pct"/>
            <w:shd w:val="clear" w:color="auto" w:fill="auto"/>
            <w:noWrap/>
            <w:vAlign w:val="bottom"/>
            <w:hideMark/>
          </w:tcPr>
          <w:p w14:paraId="377C8DBB"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w:t>
            </w:r>
          </w:p>
        </w:tc>
        <w:tc>
          <w:tcPr>
            <w:tcW w:w="626" w:type="pct"/>
            <w:shd w:val="clear" w:color="auto" w:fill="auto"/>
            <w:noWrap/>
            <w:vAlign w:val="bottom"/>
            <w:hideMark/>
          </w:tcPr>
          <w:p w14:paraId="40561CAB"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w:t>
            </w:r>
          </w:p>
        </w:tc>
        <w:tc>
          <w:tcPr>
            <w:tcW w:w="525" w:type="pct"/>
            <w:shd w:val="clear" w:color="auto" w:fill="auto"/>
            <w:noWrap/>
            <w:vAlign w:val="bottom"/>
            <w:hideMark/>
          </w:tcPr>
          <w:p w14:paraId="4296AEE0"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w:t>
            </w:r>
          </w:p>
        </w:tc>
      </w:tr>
      <w:tr w:rsidR="007D1EDC" w:rsidRPr="007D1EDC" w14:paraId="12CEF64F" w14:textId="77777777" w:rsidTr="00D03949">
        <w:trPr>
          <w:trHeight w:val="210"/>
        </w:trPr>
        <w:tc>
          <w:tcPr>
            <w:tcW w:w="2426" w:type="pct"/>
            <w:shd w:val="clear" w:color="auto" w:fill="auto"/>
            <w:noWrap/>
            <w:vAlign w:val="bottom"/>
            <w:hideMark/>
          </w:tcPr>
          <w:p w14:paraId="39E8B203" w14:textId="77777777" w:rsidR="007D1EDC" w:rsidRPr="007D1EDC" w:rsidRDefault="007D1EDC" w:rsidP="007D1EDC">
            <w:pPr>
              <w:rPr>
                <w:rFonts w:ascii="Arial Narrow" w:hAnsi="Arial Narrow" w:cs="Calibri"/>
                <w:color w:val="000000"/>
                <w:sz w:val="20"/>
                <w:szCs w:val="20"/>
                <w:lang w:val="en-GB" w:eastAsia="en-GB"/>
              </w:rPr>
            </w:pPr>
            <w:proofErr w:type="spellStart"/>
            <w:r w:rsidRPr="007D1EDC">
              <w:rPr>
                <w:rFonts w:ascii="Arial Narrow" w:hAnsi="Arial Narrow" w:cs="Calibri"/>
                <w:color w:val="000000"/>
                <w:sz w:val="20"/>
                <w:szCs w:val="20"/>
                <w:lang w:val="en-GB" w:eastAsia="en-GB"/>
              </w:rPr>
              <w:t>Totali</w:t>
            </w:r>
            <w:proofErr w:type="spellEnd"/>
            <w:r w:rsidRPr="007D1EDC">
              <w:rPr>
                <w:rFonts w:ascii="Arial Narrow" w:hAnsi="Arial Narrow" w:cs="Calibri"/>
                <w:color w:val="000000"/>
                <w:sz w:val="20"/>
                <w:szCs w:val="20"/>
                <w:lang w:val="en-GB" w:eastAsia="en-GB"/>
              </w:rPr>
              <w:t xml:space="preserve"> i OPEX-it</w:t>
            </w:r>
          </w:p>
        </w:tc>
        <w:tc>
          <w:tcPr>
            <w:tcW w:w="795" w:type="pct"/>
            <w:shd w:val="clear" w:color="auto" w:fill="auto"/>
            <w:noWrap/>
            <w:vAlign w:val="bottom"/>
            <w:hideMark/>
          </w:tcPr>
          <w:p w14:paraId="2F01F189"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192</w:t>
            </w:r>
          </w:p>
        </w:tc>
        <w:tc>
          <w:tcPr>
            <w:tcW w:w="629" w:type="pct"/>
            <w:shd w:val="clear" w:color="auto" w:fill="auto"/>
            <w:noWrap/>
            <w:vAlign w:val="bottom"/>
            <w:hideMark/>
          </w:tcPr>
          <w:p w14:paraId="789BE371"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61</w:t>
            </w:r>
          </w:p>
        </w:tc>
        <w:tc>
          <w:tcPr>
            <w:tcW w:w="626" w:type="pct"/>
            <w:shd w:val="clear" w:color="auto" w:fill="auto"/>
            <w:noWrap/>
            <w:vAlign w:val="bottom"/>
            <w:hideMark/>
          </w:tcPr>
          <w:p w14:paraId="0F715B9E"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61</w:t>
            </w:r>
          </w:p>
        </w:tc>
        <w:tc>
          <w:tcPr>
            <w:tcW w:w="525" w:type="pct"/>
            <w:shd w:val="clear" w:color="auto" w:fill="auto"/>
            <w:noWrap/>
            <w:vAlign w:val="bottom"/>
            <w:hideMark/>
          </w:tcPr>
          <w:p w14:paraId="0AD46FBA"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60</w:t>
            </w:r>
          </w:p>
        </w:tc>
      </w:tr>
    </w:tbl>
    <w:p w14:paraId="28CBEFF8" w14:textId="77777777" w:rsidR="007D1EDC" w:rsidRPr="00715FE8" w:rsidRDefault="007D1EDC" w:rsidP="007D1EDC">
      <w:pPr>
        <w:rPr>
          <w:rFonts w:ascii="Arial Narrow" w:eastAsia="Calibri" w:hAnsi="Arial Narrow" w:cs="Calibri"/>
          <w:b/>
          <w:bCs/>
          <w:color w:val="0070C0"/>
          <w:sz w:val="22"/>
          <w:szCs w:val="22"/>
        </w:rPr>
      </w:pPr>
    </w:p>
    <w:p w14:paraId="427AAFEC" w14:textId="5FB21741" w:rsidR="00715FE8" w:rsidRPr="009F5CA1" w:rsidRDefault="00715FE8" w:rsidP="00715FE8">
      <w:pPr>
        <w:rPr>
          <w:rFonts w:ascii="Arial Narrow" w:hAnsi="Arial Narrow"/>
          <w:sz w:val="22"/>
          <w:szCs w:val="22"/>
        </w:rPr>
      </w:pPr>
      <w:r w:rsidRPr="009F5CA1">
        <w:rPr>
          <w:rFonts w:ascii="Arial Narrow" w:hAnsi="Arial Narrow"/>
          <w:sz w:val="22"/>
          <w:szCs w:val="22"/>
        </w:rPr>
        <w:t xml:space="preserve">Kostot për grumbullimin ndars të mbeturinave të gjelbra prej 30 €/t merren parasysh krahas kostove të kompostimit të hapur pale palë. Kostoja e grumbullimit është vendosur e ulët, </w:t>
      </w:r>
      <w:r w:rsidR="00BD1EDD" w:rsidRPr="009F5CA1">
        <w:rPr>
          <w:rFonts w:ascii="Arial Narrow" w:hAnsi="Arial Narrow"/>
          <w:sz w:val="22"/>
          <w:szCs w:val="22"/>
        </w:rPr>
        <w:t xml:space="preserve">derisa </w:t>
      </w:r>
      <w:r w:rsidRPr="009F5CA1">
        <w:rPr>
          <w:rFonts w:ascii="Arial Narrow" w:hAnsi="Arial Narrow"/>
          <w:sz w:val="22"/>
          <w:szCs w:val="22"/>
        </w:rPr>
        <w:t>vendet e kompostimit duhet të jenë në afërsi të burimit kryesor publik të mbeturinave të gjelbra.</w:t>
      </w:r>
    </w:p>
    <w:p w14:paraId="4F8515D6" w14:textId="77777777" w:rsidR="007D1EDC" w:rsidRPr="009F5CA1" w:rsidRDefault="007D1EDC" w:rsidP="007D1EDC">
      <w:pPr>
        <w:rPr>
          <w:rFonts w:ascii="Arial Narrow" w:hAnsi="Arial Narrow"/>
          <w:sz w:val="22"/>
          <w:szCs w:val="22"/>
        </w:rPr>
      </w:pPr>
    </w:p>
    <w:p w14:paraId="3FA38191" w14:textId="77777777" w:rsidR="007D1EDC" w:rsidRPr="007D1EDC" w:rsidRDefault="007D1EDC" w:rsidP="007D1EDC">
      <w:pPr>
        <w:suppressAutoHyphens/>
        <w:rPr>
          <w:rFonts w:ascii="Arial Narrow" w:eastAsia="Calibri" w:hAnsi="Arial Narrow" w:cs="Calibri"/>
          <w:b/>
          <w:bCs/>
          <w:color w:val="1F3864" w:themeColor="accent1" w:themeShade="80"/>
          <w:sz w:val="22"/>
          <w:szCs w:val="22"/>
        </w:rPr>
      </w:pPr>
      <w:bookmarkStart w:id="618" w:name="_Toc190929300"/>
      <w:r w:rsidRPr="007D1EDC">
        <w:rPr>
          <w:rFonts w:ascii="Arial Narrow" w:eastAsia="Calibri" w:hAnsi="Arial Narrow" w:cs="Calibri"/>
          <w:b/>
          <w:bCs/>
          <w:color w:val="1F3864" w:themeColor="accent1" w:themeShade="80"/>
          <w:sz w:val="22"/>
          <w:szCs w:val="22"/>
        </w:rPr>
        <w:t>Të ardhurat nga shitja e plehut organik</w:t>
      </w:r>
      <w:bookmarkEnd w:id="618"/>
    </w:p>
    <w:p w14:paraId="7EAE74CF" w14:textId="153CA22C" w:rsidR="007D1EDC" w:rsidRPr="009F5CA1" w:rsidRDefault="007D1EDC" w:rsidP="007D1EDC">
      <w:pPr>
        <w:rPr>
          <w:rFonts w:ascii="Arial Narrow" w:hAnsi="Arial Narrow"/>
          <w:sz w:val="22"/>
          <w:szCs w:val="22"/>
        </w:rPr>
      </w:pPr>
      <w:r w:rsidRPr="009F5CA1">
        <w:rPr>
          <w:rFonts w:ascii="Arial Narrow" w:hAnsi="Arial Narrow"/>
          <w:sz w:val="22"/>
          <w:szCs w:val="22"/>
        </w:rPr>
        <w:t xml:space="preserve">0.45 ton </w:t>
      </w:r>
      <w:r w:rsidR="00BD1EDD" w:rsidRPr="009F5CA1">
        <w:rPr>
          <w:rFonts w:ascii="Arial Narrow" w:hAnsi="Arial Narrow"/>
          <w:sz w:val="22"/>
          <w:szCs w:val="22"/>
        </w:rPr>
        <w:t>k</w:t>
      </w:r>
      <w:r w:rsidR="00715FE8" w:rsidRPr="009F5CA1">
        <w:rPr>
          <w:rFonts w:ascii="Arial Narrow" w:hAnsi="Arial Narrow"/>
          <w:sz w:val="22"/>
          <w:szCs w:val="22"/>
        </w:rPr>
        <w:t>ompost gjenerohen</w:t>
      </w:r>
      <w:r w:rsidRPr="009F5CA1">
        <w:rPr>
          <w:rFonts w:ascii="Arial Narrow" w:hAnsi="Arial Narrow"/>
          <w:sz w:val="22"/>
          <w:szCs w:val="22"/>
        </w:rPr>
        <w:t xml:space="preserve"> nga çdo ton mbet</w:t>
      </w:r>
      <w:r w:rsidR="00715FE8" w:rsidRPr="009F5CA1">
        <w:rPr>
          <w:rFonts w:ascii="Arial Narrow" w:hAnsi="Arial Narrow"/>
          <w:sz w:val="22"/>
          <w:szCs w:val="22"/>
        </w:rPr>
        <w:t>urina</w:t>
      </w:r>
      <w:r w:rsidRPr="009F5CA1">
        <w:rPr>
          <w:rFonts w:ascii="Arial Narrow" w:hAnsi="Arial Narrow"/>
          <w:sz w:val="22"/>
          <w:szCs w:val="22"/>
        </w:rPr>
        <w:t xml:space="preserve"> të gjelbra për shkak të lagështisë, gazit dhe </w:t>
      </w:r>
      <w:r w:rsidR="00715FE8" w:rsidRPr="009F5CA1">
        <w:rPr>
          <w:rFonts w:ascii="Arial Narrow" w:hAnsi="Arial Narrow"/>
          <w:sz w:val="22"/>
          <w:szCs w:val="22"/>
        </w:rPr>
        <w:t xml:space="preserve">humbjes së </w:t>
      </w:r>
      <w:r w:rsidRPr="009F5CA1">
        <w:rPr>
          <w:rFonts w:ascii="Arial Narrow" w:hAnsi="Arial Narrow"/>
          <w:sz w:val="22"/>
          <w:szCs w:val="22"/>
        </w:rPr>
        <w:t xml:space="preserve">materialeve gjatë procesit të kompostimit. Çmimi më i ulët i </w:t>
      </w:r>
      <w:r w:rsidR="00715FE8" w:rsidRPr="009F5CA1">
        <w:rPr>
          <w:rFonts w:ascii="Arial Narrow" w:hAnsi="Arial Narrow"/>
          <w:sz w:val="22"/>
          <w:szCs w:val="22"/>
        </w:rPr>
        <w:t>i</w:t>
      </w:r>
      <w:r w:rsidRPr="009F5CA1">
        <w:rPr>
          <w:rFonts w:ascii="Arial Narrow" w:hAnsi="Arial Narrow"/>
          <w:sz w:val="22"/>
          <w:szCs w:val="22"/>
        </w:rPr>
        <w:t xml:space="preserve"> konsider</w:t>
      </w:r>
      <w:r w:rsidR="00715FE8" w:rsidRPr="009F5CA1">
        <w:rPr>
          <w:rFonts w:ascii="Arial Narrow" w:hAnsi="Arial Narrow"/>
          <w:sz w:val="22"/>
          <w:szCs w:val="22"/>
        </w:rPr>
        <w:t>uar</w:t>
      </w:r>
      <w:r w:rsidRPr="009F5CA1">
        <w:rPr>
          <w:rFonts w:ascii="Arial Narrow" w:hAnsi="Arial Narrow"/>
          <w:sz w:val="22"/>
          <w:szCs w:val="22"/>
        </w:rPr>
        <w:t xml:space="preserve"> për </w:t>
      </w:r>
      <w:r w:rsidR="00715FE8" w:rsidRPr="009F5CA1">
        <w:rPr>
          <w:rFonts w:ascii="Arial Narrow" w:hAnsi="Arial Narrow"/>
          <w:sz w:val="22"/>
          <w:szCs w:val="22"/>
        </w:rPr>
        <w:t xml:space="preserve">kompostimin nga mbeturinat </w:t>
      </w:r>
      <w:r w:rsidRPr="009F5CA1">
        <w:rPr>
          <w:rFonts w:ascii="Arial Narrow" w:hAnsi="Arial Narrow"/>
          <w:sz w:val="22"/>
          <w:szCs w:val="22"/>
        </w:rPr>
        <w:t>e gjelbra është 5 €/t.</w:t>
      </w:r>
    </w:p>
    <w:p w14:paraId="05C420F0" w14:textId="77777777" w:rsidR="007D1EDC" w:rsidRPr="009F5CA1" w:rsidRDefault="007D1EDC" w:rsidP="007D1EDC">
      <w:pPr>
        <w:rPr>
          <w:rFonts w:ascii="Arial Narrow" w:hAnsi="Arial Narrow"/>
          <w:sz w:val="22"/>
          <w:szCs w:val="22"/>
        </w:rPr>
      </w:pPr>
    </w:p>
    <w:p w14:paraId="503054DA" w14:textId="13D09CAF" w:rsidR="007D1EDC" w:rsidRPr="007D1EDC" w:rsidRDefault="007D1EDC" w:rsidP="007D1EDC">
      <w:pPr>
        <w:suppressAutoHyphens/>
        <w:rPr>
          <w:rFonts w:ascii="Arial Narrow" w:eastAsia="Calibri" w:hAnsi="Arial Narrow" w:cs="Calibri"/>
          <w:color w:val="1F497D"/>
          <w:sz w:val="20"/>
          <w:szCs w:val="20"/>
        </w:rPr>
      </w:pPr>
      <w:bookmarkStart w:id="619" w:name="_Toc190966777"/>
      <w:bookmarkStart w:id="620" w:name="_Toc197472274"/>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89.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 xml:space="preserve">Të </w:t>
      </w:r>
      <w:r w:rsidR="00715FE8">
        <w:rPr>
          <w:rFonts w:ascii="Arial Narrow" w:eastAsia="Calibri" w:hAnsi="Arial Narrow" w:cs="Calibri"/>
          <w:color w:val="1F497D"/>
          <w:sz w:val="20"/>
          <w:szCs w:val="20"/>
        </w:rPr>
        <w:t>hyrat</w:t>
      </w:r>
      <w:r w:rsidRPr="007D1EDC">
        <w:rPr>
          <w:rFonts w:ascii="Arial Narrow" w:eastAsia="Calibri" w:hAnsi="Arial Narrow" w:cs="Calibri"/>
          <w:color w:val="1F497D"/>
          <w:sz w:val="20"/>
          <w:szCs w:val="20"/>
        </w:rPr>
        <w:t xml:space="preserve"> potenciale nga shitj</w:t>
      </w:r>
      <w:r w:rsidR="00715FE8">
        <w:rPr>
          <w:rFonts w:ascii="Arial Narrow" w:eastAsia="Calibri" w:hAnsi="Arial Narrow" w:cs="Calibri"/>
          <w:color w:val="1F497D"/>
          <w:sz w:val="20"/>
          <w:szCs w:val="20"/>
        </w:rPr>
        <w:t>a</w:t>
      </w:r>
      <w:r w:rsidRPr="007D1EDC">
        <w:rPr>
          <w:rFonts w:ascii="Arial Narrow" w:eastAsia="Calibri" w:hAnsi="Arial Narrow" w:cs="Calibri"/>
          <w:color w:val="1F497D"/>
          <w:sz w:val="20"/>
          <w:szCs w:val="20"/>
        </w:rPr>
        <w:t xml:space="preserve"> e </w:t>
      </w:r>
      <w:r w:rsidR="00715FE8">
        <w:rPr>
          <w:rFonts w:ascii="Arial Narrow" w:eastAsia="Calibri" w:hAnsi="Arial Narrow" w:cs="Calibri"/>
          <w:color w:val="1F497D"/>
          <w:sz w:val="20"/>
          <w:szCs w:val="20"/>
        </w:rPr>
        <w:t>kompostit</w:t>
      </w:r>
      <w:bookmarkEnd w:id="619"/>
      <w:bookmarkEnd w:id="6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4"/>
        <w:gridCol w:w="1434"/>
        <w:gridCol w:w="1134"/>
        <w:gridCol w:w="1129"/>
        <w:gridCol w:w="945"/>
      </w:tblGrid>
      <w:tr w:rsidR="007D1EDC" w:rsidRPr="007D1EDC" w14:paraId="628C87DA" w14:textId="77777777" w:rsidTr="00D03949">
        <w:trPr>
          <w:trHeight w:val="210"/>
        </w:trPr>
        <w:tc>
          <w:tcPr>
            <w:tcW w:w="2426" w:type="pct"/>
            <w:shd w:val="clear" w:color="auto" w:fill="365F91"/>
            <w:noWrap/>
            <w:hideMark/>
          </w:tcPr>
          <w:p w14:paraId="69341BD7" w14:textId="77777777" w:rsidR="007D1EDC" w:rsidRPr="007D1EDC" w:rsidRDefault="007D1EDC" w:rsidP="007D1EDC">
            <w:pPr>
              <w:rPr>
                <w:rFonts w:ascii="Arial Narrow" w:hAnsi="Arial Narrow"/>
                <w:sz w:val="20"/>
                <w:szCs w:val="20"/>
                <w:lang w:val="en-GB" w:eastAsia="en-GB"/>
              </w:rPr>
            </w:pPr>
            <w:r w:rsidRPr="007D1EDC">
              <w:rPr>
                <w:rFonts w:ascii="Arial Narrow" w:hAnsi="Arial Narrow"/>
                <w:b/>
                <w:bCs/>
                <w:color w:val="FFFFFF" w:themeColor="background1"/>
                <w:sz w:val="20"/>
                <w:szCs w:val="20"/>
              </w:rPr>
              <w:t>Parametri</w:t>
            </w:r>
          </w:p>
        </w:tc>
        <w:tc>
          <w:tcPr>
            <w:tcW w:w="795" w:type="pct"/>
            <w:shd w:val="clear" w:color="auto" w:fill="365F91"/>
            <w:noWrap/>
            <w:hideMark/>
          </w:tcPr>
          <w:p w14:paraId="0F1CEF7C" w14:textId="77777777"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b/>
                <w:bCs/>
                <w:color w:val="FFFFFF" w:themeColor="background1"/>
                <w:sz w:val="20"/>
                <w:szCs w:val="20"/>
              </w:rPr>
              <w:t>Pejë</w:t>
            </w:r>
          </w:p>
        </w:tc>
        <w:tc>
          <w:tcPr>
            <w:tcW w:w="629" w:type="pct"/>
            <w:shd w:val="clear" w:color="auto" w:fill="365F91"/>
            <w:noWrap/>
            <w:hideMark/>
          </w:tcPr>
          <w:p w14:paraId="641C1C7F" w14:textId="77777777"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b/>
                <w:bCs/>
                <w:color w:val="FFFFFF" w:themeColor="background1"/>
                <w:sz w:val="20"/>
                <w:szCs w:val="20"/>
              </w:rPr>
              <w:t>Istog</w:t>
            </w:r>
          </w:p>
        </w:tc>
        <w:tc>
          <w:tcPr>
            <w:tcW w:w="626" w:type="pct"/>
            <w:shd w:val="clear" w:color="auto" w:fill="365F91"/>
            <w:noWrap/>
            <w:hideMark/>
          </w:tcPr>
          <w:p w14:paraId="257E13AC" w14:textId="36880BB0"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b/>
                <w:bCs/>
                <w:color w:val="FFFFFF" w:themeColor="background1"/>
                <w:sz w:val="20"/>
                <w:szCs w:val="20"/>
              </w:rPr>
              <w:t>Klin</w:t>
            </w:r>
            <w:r w:rsidR="00715FE8">
              <w:rPr>
                <w:rFonts w:ascii="Arial Narrow" w:hAnsi="Arial Narrow"/>
                <w:b/>
                <w:bCs/>
                <w:color w:val="FFFFFF" w:themeColor="background1"/>
                <w:sz w:val="20"/>
                <w:szCs w:val="20"/>
              </w:rPr>
              <w:t>ë</w:t>
            </w:r>
          </w:p>
        </w:tc>
        <w:tc>
          <w:tcPr>
            <w:tcW w:w="524" w:type="pct"/>
            <w:shd w:val="clear" w:color="auto" w:fill="365F91"/>
            <w:noWrap/>
            <w:hideMark/>
          </w:tcPr>
          <w:p w14:paraId="70C577A9" w14:textId="3E859659"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b/>
                <w:bCs/>
                <w:color w:val="FFFFFF" w:themeColor="background1"/>
                <w:sz w:val="20"/>
                <w:szCs w:val="20"/>
              </w:rPr>
              <w:t>De</w:t>
            </w:r>
            <w:r w:rsidR="00715FE8">
              <w:rPr>
                <w:rFonts w:ascii="Arial Narrow" w:hAnsi="Arial Narrow"/>
                <w:b/>
                <w:bCs/>
                <w:color w:val="FFFFFF" w:themeColor="background1"/>
                <w:sz w:val="20"/>
                <w:szCs w:val="20"/>
              </w:rPr>
              <w:t>ç</w:t>
            </w:r>
            <w:r w:rsidRPr="007D1EDC">
              <w:rPr>
                <w:rFonts w:ascii="Arial Narrow" w:hAnsi="Arial Narrow"/>
                <w:b/>
                <w:bCs/>
                <w:color w:val="FFFFFF" w:themeColor="background1"/>
                <w:sz w:val="20"/>
                <w:szCs w:val="20"/>
              </w:rPr>
              <w:t>an</w:t>
            </w:r>
          </w:p>
        </w:tc>
      </w:tr>
      <w:tr w:rsidR="007D1EDC" w:rsidRPr="007D1EDC" w14:paraId="0400FA32" w14:textId="77777777" w:rsidTr="00D03949">
        <w:trPr>
          <w:trHeight w:val="210"/>
        </w:trPr>
        <w:tc>
          <w:tcPr>
            <w:tcW w:w="2426" w:type="pct"/>
            <w:shd w:val="clear" w:color="auto" w:fill="auto"/>
            <w:noWrap/>
            <w:vAlign w:val="bottom"/>
            <w:hideMark/>
          </w:tcPr>
          <w:p w14:paraId="4444A0F8" w14:textId="7D185865" w:rsidR="007D1EDC" w:rsidRPr="007D1EDC" w:rsidRDefault="007D1EDC" w:rsidP="007D1EDC">
            <w:pPr>
              <w:rPr>
                <w:rFonts w:ascii="Arial Narrow" w:hAnsi="Arial Narrow" w:cs="Calibri"/>
                <w:color w:val="000000"/>
                <w:sz w:val="20"/>
                <w:szCs w:val="20"/>
                <w:lang w:val="en-GB" w:eastAsia="en-GB"/>
              </w:rPr>
            </w:pPr>
            <w:proofErr w:type="spellStart"/>
            <w:r w:rsidRPr="007D1EDC">
              <w:rPr>
                <w:rFonts w:ascii="Arial Narrow" w:hAnsi="Arial Narrow" w:cs="Calibri"/>
                <w:color w:val="000000"/>
                <w:sz w:val="20"/>
                <w:szCs w:val="20"/>
                <w:lang w:val="en-GB" w:eastAsia="en-GB"/>
              </w:rPr>
              <w:t>Prodhimi</w:t>
            </w:r>
            <w:proofErr w:type="spellEnd"/>
            <w:r w:rsidRPr="007D1EDC">
              <w:rPr>
                <w:rFonts w:ascii="Arial Narrow" w:hAnsi="Arial Narrow" w:cs="Calibri"/>
                <w:color w:val="000000"/>
                <w:sz w:val="20"/>
                <w:szCs w:val="20"/>
                <w:lang w:val="en-GB" w:eastAsia="en-GB"/>
              </w:rPr>
              <w:t xml:space="preserve"> </w:t>
            </w:r>
            <w:proofErr w:type="spellStart"/>
            <w:r w:rsidRPr="007D1EDC">
              <w:rPr>
                <w:rFonts w:ascii="Arial Narrow" w:hAnsi="Arial Narrow" w:cs="Calibri"/>
                <w:color w:val="000000"/>
                <w:sz w:val="20"/>
                <w:szCs w:val="20"/>
                <w:lang w:val="en-GB" w:eastAsia="en-GB"/>
              </w:rPr>
              <w:t>vjetor</w:t>
            </w:r>
            <w:proofErr w:type="spellEnd"/>
            <w:r w:rsidRPr="007D1EDC">
              <w:rPr>
                <w:rFonts w:ascii="Arial Narrow" w:hAnsi="Arial Narrow" w:cs="Calibri"/>
                <w:color w:val="000000"/>
                <w:sz w:val="20"/>
                <w:szCs w:val="20"/>
                <w:lang w:val="en-GB" w:eastAsia="en-GB"/>
              </w:rPr>
              <w:t xml:space="preserve"> i </w:t>
            </w:r>
            <w:proofErr w:type="spellStart"/>
            <w:r w:rsidRPr="007D1EDC">
              <w:rPr>
                <w:rFonts w:ascii="Arial Narrow" w:hAnsi="Arial Narrow" w:cs="Calibri"/>
                <w:color w:val="000000"/>
                <w:sz w:val="20"/>
                <w:szCs w:val="20"/>
                <w:lang w:val="en-GB" w:eastAsia="en-GB"/>
              </w:rPr>
              <w:t>kompost</w:t>
            </w:r>
            <w:r w:rsidR="00715FE8">
              <w:rPr>
                <w:rFonts w:ascii="Arial Narrow" w:hAnsi="Arial Narrow" w:cs="Calibri"/>
                <w:color w:val="000000"/>
                <w:sz w:val="20"/>
                <w:szCs w:val="20"/>
                <w:lang w:val="en-GB" w:eastAsia="en-GB"/>
              </w:rPr>
              <w:t>it</w:t>
            </w:r>
            <w:proofErr w:type="spellEnd"/>
          </w:p>
        </w:tc>
        <w:tc>
          <w:tcPr>
            <w:tcW w:w="795" w:type="pct"/>
            <w:shd w:val="clear" w:color="auto" w:fill="auto"/>
            <w:noWrap/>
            <w:vAlign w:val="bottom"/>
            <w:hideMark/>
          </w:tcPr>
          <w:p w14:paraId="17E01DB7"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1,080 ton</w:t>
            </w:r>
          </w:p>
        </w:tc>
        <w:tc>
          <w:tcPr>
            <w:tcW w:w="629" w:type="pct"/>
            <w:shd w:val="clear" w:color="auto" w:fill="auto"/>
            <w:noWrap/>
            <w:vAlign w:val="bottom"/>
            <w:hideMark/>
          </w:tcPr>
          <w:p w14:paraId="0BE0C43C"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270 ton</w:t>
            </w:r>
          </w:p>
        </w:tc>
        <w:tc>
          <w:tcPr>
            <w:tcW w:w="626" w:type="pct"/>
            <w:shd w:val="clear" w:color="auto" w:fill="auto"/>
            <w:noWrap/>
            <w:vAlign w:val="bottom"/>
            <w:hideMark/>
          </w:tcPr>
          <w:p w14:paraId="48D4E19A"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270 ton</w:t>
            </w:r>
          </w:p>
        </w:tc>
        <w:tc>
          <w:tcPr>
            <w:tcW w:w="524" w:type="pct"/>
            <w:shd w:val="clear" w:color="auto" w:fill="auto"/>
            <w:noWrap/>
            <w:vAlign w:val="bottom"/>
            <w:hideMark/>
          </w:tcPr>
          <w:p w14:paraId="29DFA671"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248 ton</w:t>
            </w:r>
          </w:p>
        </w:tc>
      </w:tr>
      <w:tr w:rsidR="007D1EDC" w:rsidRPr="007D1EDC" w14:paraId="62F0095A" w14:textId="77777777" w:rsidTr="00D03949">
        <w:trPr>
          <w:trHeight w:val="210"/>
        </w:trPr>
        <w:tc>
          <w:tcPr>
            <w:tcW w:w="2426" w:type="pct"/>
            <w:shd w:val="clear" w:color="auto" w:fill="auto"/>
            <w:noWrap/>
            <w:vAlign w:val="bottom"/>
            <w:hideMark/>
          </w:tcPr>
          <w:p w14:paraId="348B0C08" w14:textId="7C4A2C55" w:rsidR="007D1EDC" w:rsidRPr="007D1EDC" w:rsidRDefault="007D1EDC" w:rsidP="007D1EDC">
            <w:pPr>
              <w:rPr>
                <w:rFonts w:ascii="Arial Narrow" w:hAnsi="Arial Narrow" w:cs="Calibri"/>
                <w:color w:val="000000"/>
                <w:sz w:val="20"/>
                <w:szCs w:val="20"/>
                <w:lang w:val="en-GB" w:eastAsia="en-GB"/>
              </w:rPr>
            </w:pPr>
            <w:proofErr w:type="spellStart"/>
            <w:r w:rsidRPr="007D1EDC">
              <w:rPr>
                <w:rFonts w:ascii="Arial Narrow" w:hAnsi="Arial Narrow" w:cs="Calibri"/>
                <w:color w:val="000000"/>
                <w:sz w:val="20"/>
                <w:szCs w:val="20"/>
                <w:lang w:val="en-GB" w:eastAsia="en-GB"/>
              </w:rPr>
              <w:t>Të</w:t>
            </w:r>
            <w:proofErr w:type="spellEnd"/>
            <w:r w:rsidRPr="007D1EDC">
              <w:rPr>
                <w:rFonts w:ascii="Arial Narrow" w:hAnsi="Arial Narrow" w:cs="Calibri"/>
                <w:color w:val="000000"/>
                <w:sz w:val="20"/>
                <w:szCs w:val="20"/>
                <w:lang w:val="en-GB" w:eastAsia="en-GB"/>
              </w:rPr>
              <w:t xml:space="preserve"> </w:t>
            </w:r>
            <w:proofErr w:type="spellStart"/>
            <w:r w:rsidR="00715FE8">
              <w:rPr>
                <w:rFonts w:ascii="Arial Narrow" w:hAnsi="Arial Narrow" w:cs="Calibri"/>
                <w:color w:val="000000"/>
                <w:sz w:val="20"/>
                <w:szCs w:val="20"/>
                <w:lang w:val="en-GB" w:eastAsia="en-GB"/>
              </w:rPr>
              <w:t>hyrat</w:t>
            </w:r>
            <w:proofErr w:type="spellEnd"/>
            <w:r w:rsidRPr="007D1EDC">
              <w:rPr>
                <w:rFonts w:ascii="Arial Narrow" w:hAnsi="Arial Narrow" w:cs="Calibri"/>
                <w:color w:val="000000"/>
                <w:sz w:val="20"/>
                <w:szCs w:val="20"/>
                <w:lang w:val="en-GB" w:eastAsia="en-GB"/>
              </w:rPr>
              <w:t xml:space="preserve"> </w:t>
            </w:r>
            <w:proofErr w:type="spellStart"/>
            <w:r w:rsidRPr="007D1EDC">
              <w:rPr>
                <w:rFonts w:ascii="Arial Narrow" w:hAnsi="Arial Narrow" w:cs="Calibri"/>
                <w:color w:val="000000"/>
                <w:sz w:val="20"/>
                <w:szCs w:val="20"/>
                <w:lang w:val="en-GB" w:eastAsia="en-GB"/>
              </w:rPr>
              <w:t>potenciale</w:t>
            </w:r>
            <w:proofErr w:type="spellEnd"/>
            <w:r w:rsidRPr="007D1EDC">
              <w:rPr>
                <w:rFonts w:ascii="Arial Narrow" w:hAnsi="Arial Narrow" w:cs="Calibri"/>
                <w:color w:val="000000"/>
                <w:sz w:val="20"/>
                <w:szCs w:val="20"/>
                <w:lang w:val="en-GB" w:eastAsia="en-GB"/>
              </w:rPr>
              <w:t xml:space="preserve">, </w:t>
            </w:r>
            <w:proofErr w:type="spellStart"/>
            <w:r w:rsidRPr="007D1EDC">
              <w:rPr>
                <w:rFonts w:ascii="Arial Narrow" w:hAnsi="Arial Narrow" w:cs="Calibri"/>
                <w:color w:val="000000"/>
                <w:sz w:val="20"/>
                <w:szCs w:val="20"/>
                <w:lang w:val="en-GB" w:eastAsia="en-GB"/>
              </w:rPr>
              <w:t>mijëra</w:t>
            </w:r>
            <w:proofErr w:type="spellEnd"/>
            <w:r w:rsidRPr="007D1EDC">
              <w:rPr>
                <w:rFonts w:ascii="Arial Narrow" w:hAnsi="Arial Narrow" w:cs="Calibri"/>
                <w:color w:val="000000"/>
                <w:sz w:val="20"/>
                <w:szCs w:val="20"/>
                <w:lang w:val="en-GB" w:eastAsia="en-GB"/>
              </w:rPr>
              <w:t xml:space="preserve"> euro</w:t>
            </w:r>
          </w:p>
        </w:tc>
        <w:tc>
          <w:tcPr>
            <w:tcW w:w="795" w:type="pct"/>
            <w:shd w:val="clear" w:color="auto" w:fill="auto"/>
            <w:noWrap/>
            <w:vAlign w:val="bottom"/>
            <w:hideMark/>
          </w:tcPr>
          <w:p w14:paraId="55596DC4"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5</w:t>
            </w:r>
          </w:p>
        </w:tc>
        <w:tc>
          <w:tcPr>
            <w:tcW w:w="629" w:type="pct"/>
            <w:shd w:val="clear" w:color="auto" w:fill="auto"/>
            <w:noWrap/>
            <w:vAlign w:val="bottom"/>
            <w:hideMark/>
          </w:tcPr>
          <w:p w14:paraId="62D4D064"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w:t>
            </w:r>
          </w:p>
        </w:tc>
        <w:tc>
          <w:tcPr>
            <w:tcW w:w="626" w:type="pct"/>
            <w:shd w:val="clear" w:color="auto" w:fill="auto"/>
            <w:noWrap/>
            <w:vAlign w:val="bottom"/>
            <w:hideMark/>
          </w:tcPr>
          <w:p w14:paraId="194B8484"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w:t>
            </w:r>
          </w:p>
        </w:tc>
        <w:tc>
          <w:tcPr>
            <w:tcW w:w="524" w:type="pct"/>
            <w:shd w:val="clear" w:color="auto" w:fill="auto"/>
            <w:noWrap/>
            <w:vAlign w:val="bottom"/>
            <w:hideMark/>
          </w:tcPr>
          <w:p w14:paraId="01277CEC"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w:t>
            </w:r>
          </w:p>
        </w:tc>
      </w:tr>
    </w:tbl>
    <w:p w14:paraId="2DA3B490" w14:textId="77777777" w:rsidR="007D1EDC" w:rsidRPr="00715FE8" w:rsidRDefault="007D1EDC" w:rsidP="007D1EDC">
      <w:pPr>
        <w:rPr>
          <w:rFonts w:ascii="Arial Narrow" w:hAnsi="Arial Narrow"/>
          <w:sz w:val="20"/>
          <w:szCs w:val="20"/>
          <w:lang w:val="bg-BG"/>
        </w:rPr>
      </w:pPr>
    </w:p>
    <w:p w14:paraId="39D3CAD4" w14:textId="77777777" w:rsidR="00715FE8" w:rsidRPr="009F5CA1" w:rsidRDefault="00715FE8" w:rsidP="00715FE8">
      <w:pPr>
        <w:rPr>
          <w:rFonts w:ascii="Arial Narrow" w:hAnsi="Arial Narrow"/>
          <w:sz w:val="22"/>
          <w:szCs w:val="22"/>
          <w:lang w:val="bg-BG"/>
        </w:rPr>
      </w:pPr>
      <w:r w:rsidRPr="00715FE8">
        <w:rPr>
          <w:rFonts w:ascii="Arial Narrow" w:hAnsi="Arial Narrow"/>
          <w:sz w:val="22"/>
          <w:szCs w:val="22"/>
          <w:lang w:val="en-GB"/>
        </w:rPr>
        <w:t>K</w:t>
      </w:r>
      <w:r w:rsidRPr="009F5CA1">
        <w:rPr>
          <w:rFonts w:ascii="Arial Narrow" w:hAnsi="Arial Narrow"/>
          <w:sz w:val="22"/>
          <w:szCs w:val="22"/>
          <w:lang w:val="bg-BG"/>
        </w:rPr>
        <w:t>ë</w:t>
      </w:r>
      <w:proofErr w:type="spellStart"/>
      <w:r w:rsidRPr="00715FE8">
        <w:rPr>
          <w:rFonts w:ascii="Arial Narrow" w:hAnsi="Arial Narrow"/>
          <w:sz w:val="22"/>
          <w:szCs w:val="22"/>
          <w:lang w:val="en-GB"/>
        </w:rPr>
        <w:t>rkesa</w:t>
      </w:r>
      <w:proofErr w:type="spellEnd"/>
      <w:r w:rsidRPr="009F5CA1">
        <w:rPr>
          <w:rFonts w:ascii="Arial Narrow" w:hAnsi="Arial Narrow"/>
          <w:sz w:val="22"/>
          <w:szCs w:val="22"/>
          <w:lang w:val="bg-BG"/>
        </w:rPr>
        <w:t xml:space="preserve"> </w:t>
      </w:r>
      <w:r w:rsidRPr="00715FE8">
        <w:rPr>
          <w:rFonts w:ascii="Arial Narrow" w:hAnsi="Arial Narrow"/>
          <w:sz w:val="22"/>
          <w:szCs w:val="22"/>
          <w:lang w:val="en-GB"/>
        </w:rPr>
        <w:t>p</w:t>
      </w:r>
      <w:r w:rsidRPr="009F5CA1">
        <w:rPr>
          <w:rFonts w:ascii="Arial Narrow" w:hAnsi="Arial Narrow"/>
          <w:sz w:val="22"/>
          <w:szCs w:val="22"/>
          <w:lang w:val="bg-BG"/>
        </w:rPr>
        <w:t>ë</w:t>
      </w:r>
      <w:r w:rsidRPr="00715FE8">
        <w:rPr>
          <w:rFonts w:ascii="Arial Narrow" w:hAnsi="Arial Narrow"/>
          <w:sz w:val="22"/>
          <w:szCs w:val="22"/>
          <w:lang w:val="en-GB"/>
        </w:rPr>
        <w:t>r</w:t>
      </w:r>
      <w:r w:rsidRPr="009F5CA1">
        <w:rPr>
          <w:rFonts w:ascii="Arial Narrow" w:hAnsi="Arial Narrow"/>
          <w:sz w:val="22"/>
          <w:szCs w:val="22"/>
          <w:lang w:val="bg-BG"/>
        </w:rPr>
        <w:t xml:space="preserve"> </w:t>
      </w:r>
      <w:proofErr w:type="spellStart"/>
      <w:r w:rsidRPr="00715FE8">
        <w:rPr>
          <w:rFonts w:ascii="Arial Narrow" w:hAnsi="Arial Narrow"/>
          <w:sz w:val="22"/>
          <w:szCs w:val="22"/>
          <w:lang w:val="en-GB"/>
        </w:rPr>
        <w:t>kompost</w:t>
      </w:r>
      <w:proofErr w:type="spellEnd"/>
      <w:r w:rsidRPr="009F5CA1">
        <w:rPr>
          <w:rFonts w:ascii="Arial Narrow" w:hAnsi="Arial Narrow"/>
          <w:sz w:val="22"/>
          <w:szCs w:val="22"/>
          <w:lang w:val="bg-BG"/>
        </w:rPr>
        <w:t xml:space="preserve"> </w:t>
      </w:r>
      <w:r w:rsidRPr="00715FE8">
        <w:rPr>
          <w:rFonts w:ascii="Arial Narrow" w:hAnsi="Arial Narrow"/>
          <w:sz w:val="22"/>
          <w:szCs w:val="22"/>
          <w:lang w:val="en-GB"/>
        </w:rPr>
        <w:t>po</w:t>
      </w:r>
      <w:r w:rsidRPr="009F5CA1">
        <w:rPr>
          <w:rFonts w:ascii="Arial Narrow" w:hAnsi="Arial Narrow"/>
          <w:sz w:val="22"/>
          <w:szCs w:val="22"/>
          <w:lang w:val="bg-BG"/>
        </w:rPr>
        <w:t xml:space="preserve"> </w:t>
      </w:r>
      <w:proofErr w:type="spellStart"/>
      <w:r w:rsidRPr="00715FE8">
        <w:rPr>
          <w:rFonts w:ascii="Arial Narrow" w:hAnsi="Arial Narrow"/>
          <w:sz w:val="22"/>
          <w:szCs w:val="22"/>
          <w:lang w:val="en-GB"/>
        </w:rPr>
        <w:t>rritet</w:t>
      </w:r>
      <w:proofErr w:type="spellEnd"/>
      <w:r w:rsidRPr="009F5CA1">
        <w:rPr>
          <w:rFonts w:ascii="Arial Narrow" w:hAnsi="Arial Narrow"/>
          <w:sz w:val="22"/>
          <w:szCs w:val="22"/>
          <w:lang w:val="bg-BG"/>
        </w:rPr>
        <w:t>, ç</w:t>
      </w:r>
      <w:proofErr w:type="spellStart"/>
      <w:r w:rsidRPr="00715FE8">
        <w:rPr>
          <w:rFonts w:ascii="Arial Narrow" w:hAnsi="Arial Narrow"/>
          <w:sz w:val="22"/>
          <w:szCs w:val="22"/>
          <w:lang w:val="en-GB"/>
        </w:rPr>
        <w:t>mimet</w:t>
      </w:r>
      <w:proofErr w:type="spellEnd"/>
      <w:r w:rsidRPr="009F5CA1">
        <w:rPr>
          <w:rFonts w:ascii="Arial Narrow" w:hAnsi="Arial Narrow"/>
          <w:sz w:val="22"/>
          <w:szCs w:val="22"/>
          <w:lang w:val="bg-BG"/>
        </w:rPr>
        <w:t xml:space="preserve"> </w:t>
      </w:r>
      <w:proofErr w:type="spellStart"/>
      <w:r w:rsidRPr="00715FE8">
        <w:rPr>
          <w:rFonts w:ascii="Arial Narrow" w:hAnsi="Arial Narrow"/>
          <w:sz w:val="22"/>
          <w:szCs w:val="22"/>
          <w:lang w:val="en-GB"/>
        </w:rPr>
        <w:t>dhe</w:t>
      </w:r>
      <w:proofErr w:type="spellEnd"/>
      <w:r w:rsidRPr="009F5CA1">
        <w:rPr>
          <w:rFonts w:ascii="Arial Narrow" w:hAnsi="Arial Narrow"/>
          <w:sz w:val="22"/>
          <w:szCs w:val="22"/>
          <w:lang w:val="bg-BG"/>
        </w:rPr>
        <w:t xml:space="preserve"> </w:t>
      </w:r>
      <w:r w:rsidRPr="00715FE8">
        <w:rPr>
          <w:rFonts w:ascii="Arial Narrow" w:hAnsi="Arial Narrow"/>
          <w:sz w:val="22"/>
          <w:szCs w:val="22"/>
          <w:lang w:val="en-GB"/>
        </w:rPr>
        <w:t>t</w:t>
      </w:r>
      <w:r w:rsidRPr="009F5CA1">
        <w:rPr>
          <w:rFonts w:ascii="Arial Narrow" w:hAnsi="Arial Narrow"/>
          <w:sz w:val="22"/>
          <w:szCs w:val="22"/>
          <w:lang w:val="bg-BG"/>
        </w:rPr>
        <w:t xml:space="preserve">ë </w:t>
      </w:r>
      <w:proofErr w:type="spellStart"/>
      <w:r w:rsidRPr="00715FE8">
        <w:rPr>
          <w:rFonts w:ascii="Arial Narrow" w:hAnsi="Arial Narrow"/>
          <w:sz w:val="22"/>
          <w:szCs w:val="22"/>
          <w:lang w:val="en-GB"/>
        </w:rPr>
        <w:t>hyrat</w:t>
      </w:r>
      <w:proofErr w:type="spellEnd"/>
      <w:r w:rsidRPr="009F5CA1">
        <w:rPr>
          <w:rFonts w:ascii="Arial Narrow" w:hAnsi="Arial Narrow"/>
          <w:sz w:val="22"/>
          <w:szCs w:val="22"/>
          <w:lang w:val="bg-BG"/>
        </w:rPr>
        <w:t xml:space="preserve"> (</w:t>
      </w:r>
      <w:proofErr w:type="spellStart"/>
      <w:r w:rsidRPr="00715FE8">
        <w:rPr>
          <w:rFonts w:ascii="Arial Narrow" w:hAnsi="Arial Narrow"/>
          <w:sz w:val="22"/>
          <w:szCs w:val="22"/>
          <w:lang w:val="en-GB"/>
        </w:rPr>
        <w:t>ose</w:t>
      </w:r>
      <w:proofErr w:type="spellEnd"/>
      <w:r w:rsidRPr="009F5CA1">
        <w:rPr>
          <w:rFonts w:ascii="Arial Narrow" w:hAnsi="Arial Narrow"/>
          <w:sz w:val="22"/>
          <w:szCs w:val="22"/>
          <w:lang w:val="bg-BG"/>
        </w:rPr>
        <w:t xml:space="preserve"> </w:t>
      </w:r>
      <w:proofErr w:type="spellStart"/>
      <w:r w:rsidRPr="00715FE8">
        <w:rPr>
          <w:rFonts w:ascii="Arial Narrow" w:hAnsi="Arial Narrow"/>
          <w:sz w:val="22"/>
          <w:szCs w:val="22"/>
          <w:lang w:val="en-GB"/>
        </w:rPr>
        <w:t>kostot</w:t>
      </w:r>
      <w:proofErr w:type="spellEnd"/>
      <w:r w:rsidRPr="009F5CA1">
        <w:rPr>
          <w:rFonts w:ascii="Arial Narrow" w:hAnsi="Arial Narrow"/>
          <w:sz w:val="22"/>
          <w:szCs w:val="22"/>
          <w:lang w:val="bg-BG"/>
        </w:rPr>
        <w:t xml:space="preserve"> </w:t>
      </w:r>
      <w:r w:rsidRPr="00715FE8">
        <w:rPr>
          <w:rFonts w:ascii="Arial Narrow" w:hAnsi="Arial Narrow"/>
          <w:sz w:val="22"/>
          <w:szCs w:val="22"/>
          <w:lang w:val="en-GB"/>
        </w:rPr>
        <w:t>e</w:t>
      </w:r>
      <w:r w:rsidRPr="009F5CA1">
        <w:rPr>
          <w:rFonts w:ascii="Arial Narrow" w:hAnsi="Arial Narrow"/>
          <w:sz w:val="22"/>
          <w:szCs w:val="22"/>
          <w:lang w:val="bg-BG"/>
        </w:rPr>
        <w:t xml:space="preserve"> </w:t>
      </w:r>
      <w:proofErr w:type="spellStart"/>
      <w:r w:rsidRPr="00715FE8">
        <w:rPr>
          <w:rFonts w:ascii="Arial Narrow" w:hAnsi="Arial Narrow"/>
          <w:sz w:val="22"/>
          <w:szCs w:val="22"/>
          <w:lang w:val="en-GB"/>
        </w:rPr>
        <w:t>shmangura</w:t>
      </w:r>
      <w:proofErr w:type="spellEnd"/>
      <w:r w:rsidRPr="009F5CA1">
        <w:rPr>
          <w:rFonts w:ascii="Arial Narrow" w:hAnsi="Arial Narrow"/>
          <w:sz w:val="22"/>
          <w:szCs w:val="22"/>
          <w:lang w:val="bg-BG"/>
        </w:rPr>
        <w:t xml:space="preserve"> </w:t>
      </w:r>
      <w:r w:rsidRPr="00715FE8">
        <w:rPr>
          <w:rFonts w:ascii="Arial Narrow" w:hAnsi="Arial Narrow"/>
          <w:sz w:val="22"/>
          <w:szCs w:val="22"/>
          <w:lang w:val="en-GB"/>
        </w:rPr>
        <w:t>n</w:t>
      </w:r>
      <w:r w:rsidRPr="009F5CA1">
        <w:rPr>
          <w:rFonts w:ascii="Arial Narrow" w:hAnsi="Arial Narrow"/>
          <w:sz w:val="22"/>
          <w:szCs w:val="22"/>
          <w:lang w:val="bg-BG"/>
        </w:rPr>
        <w:t xml:space="preserve">ë </w:t>
      </w:r>
      <w:proofErr w:type="spellStart"/>
      <w:r w:rsidRPr="00715FE8">
        <w:rPr>
          <w:rFonts w:ascii="Arial Narrow" w:hAnsi="Arial Narrow"/>
          <w:sz w:val="22"/>
          <w:szCs w:val="22"/>
          <w:lang w:val="en-GB"/>
        </w:rPr>
        <w:t>rast</w:t>
      </w:r>
      <w:proofErr w:type="spellEnd"/>
      <w:r w:rsidRPr="009F5CA1">
        <w:rPr>
          <w:rFonts w:ascii="Arial Narrow" w:hAnsi="Arial Narrow"/>
          <w:sz w:val="22"/>
          <w:szCs w:val="22"/>
          <w:lang w:val="bg-BG"/>
        </w:rPr>
        <w:t xml:space="preserve"> </w:t>
      </w:r>
      <w:r w:rsidRPr="00715FE8">
        <w:rPr>
          <w:rFonts w:ascii="Arial Narrow" w:hAnsi="Arial Narrow"/>
          <w:sz w:val="22"/>
          <w:szCs w:val="22"/>
          <w:lang w:val="en-GB"/>
        </w:rPr>
        <w:t>t</w:t>
      </w:r>
      <w:r w:rsidRPr="009F5CA1">
        <w:rPr>
          <w:rFonts w:ascii="Arial Narrow" w:hAnsi="Arial Narrow"/>
          <w:sz w:val="22"/>
          <w:szCs w:val="22"/>
          <w:lang w:val="bg-BG"/>
        </w:rPr>
        <w:t xml:space="preserve">ë </w:t>
      </w:r>
      <w:proofErr w:type="spellStart"/>
      <w:r w:rsidRPr="00715FE8">
        <w:rPr>
          <w:rFonts w:ascii="Arial Narrow" w:hAnsi="Arial Narrow"/>
          <w:sz w:val="22"/>
          <w:szCs w:val="22"/>
          <w:lang w:val="en-GB"/>
        </w:rPr>
        <w:t>blerjeve</w:t>
      </w:r>
      <w:proofErr w:type="spellEnd"/>
      <w:r w:rsidRPr="009F5CA1">
        <w:rPr>
          <w:rFonts w:ascii="Arial Narrow" w:hAnsi="Arial Narrow"/>
          <w:sz w:val="22"/>
          <w:szCs w:val="22"/>
          <w:lang w:val="bg-BG"/>
        </w:rPr>
        <w:t xml:space="preserve"> </w:t>
      </w:r>
      <w:proofErr w:type="spellStart"/>
      <w:r w:rsidRPr="00715FE8">
        <w:rPr>
          <w:rFonts w:ascii="Arial Narrow" w:hAnsi="Arial Narrow"/>
          <w:sz w:val="22"/>
          <w:szCs w:val="22"/>
          <w:lang w:val="en-GB"/>
        </w:rPr>
        <w:t>komunale</w:t>
      </w:r>
      <w:proofErr w:type="spellEnd"/>
      <w:r w:rsidRPr="009F5CA1">
        <w:rPr>
          <w:rFonts w:ascii="Arial Narrow" w:hAnsi="Arial Narrow"/>
          <w:sz w:val="22"/>
          <w:szCs w:val="22"/>
          <w:lang w:val="bg-BG"/>
        </w:rPr>
        <w:t xml:space="preserve"> </w:t>
      </w:r>
      <w:r w:rsidRPr="00715FE8">
        <w:rPr>
          <w:rFonts w:ascii="Arial Narrow" w:hAnsi="Arial Narrow"/>
          <w:sz w:val="22"/>
          <w:szCs w:val="22"/>
          <w:lang w:val="en-GB"/>
        </w:rPr>
        <w:t>t</w:t>
      </w:r>
      <w:r w:rsidRPr="009F5CA1">
        <w:rPr>
          <w:rFonts w:ascii="Arial Narrow" w:hAnsi="Arial Narrow"/>
          <w:sz w:val="22"/>
          <w:szCs w:val="22"/>
          <w:lang w:val="bg-BG"/>
        </w:rPr>
        <w:t xml:space="preserve">ë </w:t>
      </w:r>
      <w:proofErr w:type="spellStart"/>
      <w:r w:rsidRPr="00715FE8">
        <w:rPr>
          <w:rFonts w:ascii="Arial Narrow" w:hAnsi="Arial Narrow"/>
          <w:sz w:val="22"/>
          <w:szCs w:val="22"/>
          <w:lang w:val="en-GB"/>
        </w:rPr>
        <w:t>tok</w:t>
      </w:r>
      <w:proofErr w:type="spellEnd"/>
      <w:r w:rsidRPr="009F5CA1">
        <w:rPr>
          <w:rFonts w:ascii="Arial Narrow" w:hAnsi="Arial Narrow"/>
          <w:sz w:val="22"/>
          <w:szCs w:val="22"/>
          <w:lang w:val="bg-BG"/>
        </w:rPr>
        <w:t>ë</w:t>
      </w:r>
      <w:r w:rsidRPr="00715FE8">
        <w:rPr>
          <w:rFonts w:ascii="Arial Narrow" w:hAnsi="Arial Narrow"/>
          <w:sz w:val="22"/>
          <w:szCs w:val="22"/>
          <w:lang w:val="en-GB"/>
        </w:rPr>
        <w:t>s</w:t>
      </w:r>
      <w:r w:rsidRPr="009F5CA1">
        <w:rPr>
          <w:rFonts w:ascii="Arial Narrow" w:hAnsi="Arial Narrow"/>
          <w:sz w:val="22"/>
          <w:szCs w:val="22"/>
          <w:lang w:val="bg-BG"/>
        </w:rPr>
        <w:t xml:space="preserve"> </w:t>
      </w:r>
      <w:proofErr w:type="spellStart"/>
      <w:r w:rsidRPr="00715FE8">
        <w:rPr>
          <w:rFonts w:ascii="Arial Narrow" w:hAnsi="Arial Narrow"/>
          <w:sz w:val="22"/>
          <w:szCs w:val="22"/>
          <w:lang w:val="en-GB"/>
        </w:rPr>
        <w:t>ose</w:t>
      </w:r>
      <w:proofErr w:type="spellEnd"/>
      <w:r w:rsidRPr="009F5CA1">
        <w:rPr>
          <w:rFonts w:ascii="Arial Narrow" w:hAnsi="Arial Narrow"/>
          <w:sz w:val="22"/>
          <w:szCs w:val="22"/>
          <w:lang w:val="bg-BG"/>
        </w:rPr>
        <w:t xml:space="preserve"> </w:t>
      </w:r>
      <w:proofErr w:type="spellStart"/>
      <w:r w:rsidRPr="00715FE8">
        <w:rPr>
          <w:rFonts w:ascii="Arial Narrow" w:hAnsi="Arial Narrow"/>
          <w:sz w:val="22"/>
          <w:szCs w:val="22"/>
          <w:lang w:val="en-GB"/>
        </w:rPr>
        <w:t>kompostit</w:t>
      </w:r>
      <w:proofErr w:type="spellEnd"/>
      <w:r w:rsidRPr="009F5CA1">
        <w:rPr>
          <w:rFonts w:ascii="Arial Narrow" w:hAnsi="Arial Narrow"/>
          <w:sz w:val="22"/>
          <w:szCs w:val="22"/>
          <w:lang w:val="bg-BG"/>
        </w:rPr>
        <w:t xml:space="preserve">) </w:t>
      </w:r>
      <w:proofErr w:type="spellStart"/>
      <w:r w:rsidRPr="00715FE8">
        <w:rPr>
          <w:rFonts w:ascii="Arial Narrow" w:hAnsi="Arial Narrow"/>
          <w:sz w:val="22"/>
          <w:szCs w:val="22"/>
          <w:lang w:val="en-GB"/>
        </w:rPr>
        <w:t>pritet</w:t>
      </w:r>
      <w:proofErr w:type="spellEnd"/>
      <w:r w:rsidRPr="009F5CA1">
        <w:rPr>
          <w:rFonts w:ascii="Arial Narrow" w:hAnsi="Arial Narrow"/>
          <w:sz w:val="22"/>
          <w:szCs w:val="22"/>
          <w:lang w:val="bg-BG"/>
        </w:rPr>
        <w:t xml:space="preserve"> </w:t>
      </w:r>
      <w:r w:rsidRPr="00715FE8">
        <w:rPr>
          <w:rFonts w:ascii="Arial Narrow" w:hAnsi="Arial Narrow"/>
          <w:sz w:val="22"/>
          <w:szCs w:val="22"/>
          <w:lang w:val="en-GB"/>
        </w:rPr>
        <w:t>t</w:t>
      </w:r>
      <w:r w:rsidRPr="009F5CA1">
        <w:rPr>
          <w:rFonts w:ascii="Arial Narrow" w:hAnsi="Arial Narrow"/>
          <w:sz w:val="22"/>
          <w:szCs w:val="22"/>
          <w:lang w:val="bg-BG"/>
        </w:rPr>
        <w:t xml:space="preserve">ë </w:t>
      </w:r>
      <w:proofErr w:type="spellStart"/>
      <w:r w:rsidRPr="00715FE8">
        <w:rPr>
          <w:rFonts w:ascii="Arial Narrow" w:hAnsi="Arial Narrow"/>
          <w:sz w:val="22"/>
          <w:szCs w:val="22"/>
          <w:lang w:val="en-GB"/>
        </w:rPr>
        <w:t>rriten</w:t>
      </w:r>
      <w:proofErr w:type="spellEnd"/>
      <w:r w:rsidRPr="009F5CA1">
        <w:rPr>
          <w:rFonts w:ascii="Arial Narrow" w:hAnsi="Arial Narrow"/>
          <w:sz w:val="22"/>
          <w:szCs w:val="22"/>
          <w:lang w:val="bg-BG"/>
        </w:rPr>
        <w:t>.</w:t>
      </w:r>
    </w:p>
    <w:p w14:paraId="0D18F385" w14:textId="77777777" w:rsidR="00715FE8" w:rsidRPr="009F5CA1" w:rsidRDefault="00715FE8" w:rsidP="00715FE8">
      <w:pPr>
        <w:rPr>
          <w:rFonts w:ascii="Arial Narrow" w:hAnsi="Arial Narrow"/>
          <w:lang w:val="bg-BG"/>
        </w:rPr>
      </w:pPr>
    </w:p>
    <w:p w14:paraId="5F733A45" w14:textId="1142FA41" w:rsidR="007D1EDC" w:rsidRPr="009F5CA1" w:rsidRDefault="00715FE8" w:rsidP="00715FE8">
      <w:pPr>
        <w:rPr>
          <w:rFonts w:ascii="Arial Narrow" w:hAnsi="Arial Narrow"/>
          <w:sz w:val="22"/>
          <w:szCs w:val="22"/>
          <w:lang w:val="bg-BG"/>
        </w:rPr>
      </w:pPr>
      <w:r w:rsidRPr="00715FE8">
        <w:rPr>
          <w:rFonts w:ascii="Arial Narrow" w:hAnsi="Arial Narrow"/>
          <w:sz w:val="22"/>
          <w:szCs w:val="22"/>
          <w:lang w:val="en-GB"/>
        </w:rPr>
        <w:t>P</w:t>
      </w:r>
      <w:r w:rsidRPr="009F5CA1">
        <w:rPr>
          <w:rFonts w:ascii="Arial Narrow" w:hAnsi="Arial Narrow"/>
          <w:sz w:val="22"/>
          <w:szCs w:val="22"/>
          <w:lang w:val="bg-BG"/>
        </w:rPr>
        <w:t>ë</w:t>
      </w:r>
      <w:proofErr w:type="spellStart"/>
      <w:r w:rsidRPr="00715FE8">
        <w:rPr>
          <w:rFonts w:ascii="Arial Narrow" w:hAnsi="Arial Narrow"/>
          <w:sz w:val="22"/>
          <w:szCs w:val="22"/>
          <w:lang w:val="en-GB"/>
        </w:rPr>
        <w:t>rmbledhja</w:t>
      </w:r>
      <w:proofErr w:type="spellEnd"/>
      <w:r w:rsidRPr="009F5CA1">
        <w:rPr>
          <w:rFonts w:ascii="Arial Narrow" w:hAnsi="Arial Narrow"/>
          <w:sz w:val="22"/>
          <w:szCs w:val="22"/>
          <w:lang w:val="bg-BG"/>
        </w:rPr>
        <w:t xml:space="preserve"> </w:t>
      </w:r>
      <w:r w:rsidRPr="00715FE8">
        <w:rPr>
          <w:rFonts w:ascii="Arial Narrow" w:hAnsi="Arial Narrow"/>
          <w:sz w:val="22"/>
          <w:szCs w:val="22"/>
          <w:lang w:val="en-GB"/>
        </w:rPr>
        <w:t>e</w:t>
      </w:r>
      <w:r w:rsidRPr="009F5CA1">
        <w:rPr>
          <w:rFonts w:ascii="Arial Narrow" w:hAnsi="Arial Narrow"/>
          <w:sz w:val="22"/>
          <w:szCs w:val="22"/>
          <w:lang w:val="bg-BG"/>
        </w:rPr>
        <w:t xml:space="preserve"> </w:t>
      </w:r>
      <w:r w:rsidRPr="00715FE8">
        <w:rPr>
          <w:rFonts w:ascii="Arial Narrow" w:hAnsi="Arial Narrow"/>
          <w:sz w:val="22"/>
          <w:szCs w:val="22"/>
          <w:lang w:val="en-GB"/>
        </w:rPr>
        <w:t>t</w:t>
      </w:r>
      <w:r w:rsidRPr="009F5CA1">
        <w:rPr>
          <w:rFonts w:ascii="Arial Narrow" w:hAnsi="Arial Narrow"/>
          <w:sz w:val="22"/>
          <w:szCs w:val="22"/>
          <w:lang w:val="bg-BG"/>
        </w:rPr>
        <w:t xml:space="preserve">ë </w:t>
      </w:r>
      <w:proofErr w:type="spellStart"/>
      <w:r w:rsidRPr="00715FE8">
        <w:rPr>
          <w:rFonts w:ascii="Arial Narrow" w:hAnsi="Arial Narrow"/>
          <w:sz w:val="22"/>
          <w:szCs w:val="22"/>
          <w:lang w:val="en-GB"/>
        </w:rPr>
        <w:t>gjitha</w:t>
      </w:r>
      <w:proofErr w:type="spellEnd"/>
      <w:r w:rsidRPr="009F5CA1">
        <w:rPr>
          <w:rFonts w:ascii="Arial Narrow" w:hAnsi="Arial Narrow"/>
          <w:sz w:val="22"/>
          <w:szCs w:val="22"/>
          <w:lang w:val="bg-BG"/>
        </w:rPr>
        <w:t xml:space="preserve"> </w:t>
      </w:r>
      <w:proofErr w:type="spellStart"/>
      <w:r w:rsidRPr="00715FE8">
        <w:rPr>
          <w:rFonts w:ascii="Arial Narrow" w:hAnsi="Arial Narrow"/>
          <w:sz w:val="22"/>
          <w:szCs w:val="22"/>
          <w:lang w:val="en-GB"/>
        </w:rPr>
        <w:t>kostove</w:t>
      </w:r>
      <w:proofErr w:type="spellEnd"/>
      <w:r w:rsidRPr="009F5CA1">
        <w:rPr>
          <w:rFonts w:ascii="Arial Narrow" w:hAnsi="Arial Narrow"/>
          <w:sz w:val="22"/>
          <w:szCs w:val="22"/>
          <w:lang w:val="bg-BG"/>
        </w:rPr>
        <w:t xml:space="preserve"> </w:t>
      </w:r>
      <w:proofErr w:type="spellStart"/>
      <w:r w:rsidRPr="00715FE8">
        <w:rPr>
          <w:rFonts w:ascii="Arial Narrow" w:hAnsi="Arial Narrow"/>
          <w:sz w:val="22"/>
          <w:szCs w:val="22"/>
          <w:lang w:val="en-GB"/>
        </w:rPr>
        <w:t>dhe</w:t>
      </w:r>
      <w:proofErr w:type="spellEnd"/>
      <w:r w:rsidRPr="009F5CA1">
        <w:rPr>
          <w:rFonts w:ascii="Arial Narrow" w:hAnsi="Arial Narrow"/>
          <w:sz w:val="22"/>
          <w:szCs w:val="22"/>
          <w:lang w:val="bg-BG"/>
        </w:rPr>
        <w:t xml:space="preserve"> </w:t>
      </w:r>
      <w:r w:rsidRPr="00715FE8">
        <w:rPr>
          <w:rFonts w:ascii="Arial Narrow" w:hAnsi="Arial Narrow"/>
          <w:sz w:val="22"/>
          <w:szCs w:val="22"/>
          <w:lang w:val="en-GB"/>
        </w:rPr>
        <w:t>t</w:t>
      </w:r>
      <w:r w:rsidRPr="009F5CA1">
        <w:rPr>
          <w:rFonts w:ascii="Arial Narrow" w:hAnsi="Arial Narrow"/>
          <w:sz w:val="22"/>
          <w:szCs w:val="22"/>
          <w:lang w:val="bg-BG"/>
        </w:rPr>
        <w:t xml:space="preserve">ë </w:t>
      </w:r>
      <w:proofErr w:type="spellStart"/>
      <w:r w:rsidRPr="00715FE8">
        <w:rPr>
          <w:rFonts w:ascii="Arial Narrow" w:hAnsi="Arial Narrow"/>
          <w:sz w:val="22"/>
          <w:szCs w:val="22"/>
          <w:lang w:val="en-GB"/>
        </w:rPr>
        <w:t>hyrave</w:t>
      </w:r>
      <w:proofErr w:type="spellEnd"/>
      <w:r w:rsidRPr="009F5CA1">
        <w:rPr>
          <w:rFonts w:ascii="Arial Narrow" w:hAnsi="Arial Narrow"/>
          <w:sz w:val="22"/>
          <w:szCs w:val="22"/>
          <w:lang w:val="bg-BG"/>
        </w:rPr>
        <w:t xml:space="preserve"> </w:t>
      </w:r>
      <w:r w:rsidRPr="00715FE8">
        <w:rPr>
          <w:rFonts w:ascii="Arial Narrow" w:hAnsi="Arial Narrow"/>
          <w:sz w:val="22"/>
          <w:szCs w:val="22"/>
          <w:lang w:val="en-GB"/>
        </w:rPr>
        <w:t>n</w:t>
      </w:r>
      <w:r w:rsidRPr="009F5CA1">
        <w:rPr>
          <w:rFonts w:ascii="Arial Narrow" w:hAnsi="Arial Narrow"/>
          <w:sz w:val="22"/>
          <w:szCs w:val="22"/>
          <w:lang w:val="bg-BG"/>
        </w:rPr>
        <w:t xml:space="preserve">ë </w:t>
      </w:r>
      <w:proofErr w:type="spellStart"/>
      <w:r w:rsidRPr="00715FE8">
        <w:rPr>
          <w:rFonts w:ascii="Arial Narrow" w:hAnsi="Arial Narrow"/>
          <w:sz w:val="22"/>
          <w:szCs w:val="22"/>
          <w:lang w:val="en-GB"/>
        </w:rPr>
        <w:t>lidhje</w:t>
      </w:r>
      <w:proofErr w:type="spellEnd"/>
      <w:r w:rsidRPr="009F5CA1">
        <w:rPr>
          <w:rFonts w:ascii="Arial Narrow" w:hAnsi="Arial Narrow"/>
          <w:sz w:val="22"/>
          <w:szCs w:val="22"/>
          <w:lang w:val="bg-BG"/>
        </w:rPr>
        <w:t xml:space="preserve"> </w:t>
      </w:r>
      <w:r w:rsidRPr="00715FE8">
        <w:rPr>
          <w:rFonts w:ascii="Arial Narrow" w:hAnsi="Arial Narrow"/>
          <w:sz w:val="22"/>
          <w:szCs w:val="22"/>
          <w:lang w:val="en-GB"/>
        </w:rPr>
        <w:t>me</w:t>
      </w:r>
      <w:r w:rsidRPr="009F5CA1">
        <w:rPr>
          <w:rFonts w:ascii="Arial Narrow" w:hAnsi="Arial Narrow"/>
          <w:sz w:val="22"/>
          <w:szCs w:val="22"/>
          <w:lang w:val="bg-BG"/>
        </w:rPr>
        <w:t xml:space="preserve"> </w:t>
      </w:r>
      <w:proofErr w:type="spellStart"/>
      <w:r w:rsidRPr="00715FE8">
        <w:rPr>
          <w:rFonts w:ascii="Arial Narrow" w:hAnsi="Arial Narrow"/>
          <w:sz w:val="22"/>
          <w:szCs w:val="22"/>
          <w:lang w:val="en-GB"/>
        </w:rPr>
        <w:t>kompostimin</w:t>
      </w:r>
      <w:proofErr w:type="spellEnd"/>
      <w:r w:rsidRPr="009F5CA1">
        <w:rPr>
          <w:rFonts w:ascii="Arial Narrow" w:hAnsi="Arial Narrow"/>
          <w:sz w:val="22"/>
          <w:szCs w:val="22"/>
          <w:lang w:val="bg-BG"/>
        </w:rPr>
        <w:t xml:space="preserve"> </w:t>
      </w:r>
      <w:r w:rsidRPr="00715FE8">
        <w:rPr>
          <w:rFonts w:ascii="Arial Narrow" w:hAnsi="Arial Narrow"/>
          <w:sz w:val="22"/>
          <w:szCs w:val="22"/>
          <w:lang w:val="en-GB"/>
        </w:rPr>
        <w:t>e</w:t>
      </w:r>
      <w:r w:rsidRPr="009F5CA1">
        <w:rPr>
          <w:rFonts w:ascii="Arial Narrow" w:hAnsi="Arial Narrow"/>
          <w:sz w:val="22"/>
          <w:szCs w:val="22"/>
          <w:lang w:val="bg-BG"/>
        </w:rPr>
        <w:t xml:space="preserve"> </w:t>
      </w:r>
      <w:proofErr w:type="spellStart"/>
      <w:r w:rsidRPr="00715FE8">
        <w:rPr>
          <w:rFonts w:ascii="Arial Narrow" w:hAnsi="Arial Narrow"/>
          <w:sz w:val="22"/>
          <w:szCs w:val="22"/>
          <w:lang w:val="en-GB"/>
        </w:rPr>
        <w:t>mbeturinave</w:t>
      </w:r>
      <w:proofErr w:type="spellEnd"/>
      <w:r w:rsidRPr="009F5CA1">
        <w:rPr>
          <w:rFonts w:ascii="Arial Narrow" w:hAnsi="Arial Narrow"/>
          <w:sz w:val="22"/>
          <w:szCs w:val="22"/>
          <w:lang w:val="bg-BG"/>
        </w:rPr>
        <w:t xml:space="preserve"> </w:t>
      </w:r>
      <w:r w:rsidRPr="00715FE8">
        <w:rPr>
          <w:rFonts w:ascii="Arial Narrow" w:hAnsi="Arial Narrow"/>
          <w:sz w:val="22"/>
          <w:szCs w:val="22"/>
          <w:lang w:val="en-GB"/>
        </w:rPr>
        <w:t>t</w:t>
      </w:r>
      <w:r w:rsidRPr="009F5CA1">
        <w:rPr>
          <w:rFonts w:ascii="Arial Narrow" w:hAnsi="Arial Narrow"/>
          <w:sz w:val="22"/>
          <w:szCs w:val="22"/>
          <w:lang w:val="bg-BG"/>
        </w:rPr>
        <w:t xml:space="preserve">ë </w:t>
      </w:r>
      <w:proofErr w:type="spellStart"/>
      <w:r w:rsidRPr="00715FE8">
        <w:rPr>
          <w:rFonts w:ascii="Arial Narrow" w:hAnsi="Arial Narrow"/>
          <w:sz w:val="22"/>
          <w:szCs w:val="22"/>
          <w:lang w:val="en-GB"/>
        </w:rPr>
        <w:t>gjelbra</w:t>
      </w:r>
      <w:proofErr w:type="spellEnd"/>
      <w:r w:rsidRPr="009F5CA1">
        <w:rPr>
          <w:rFonts w:ascii="Arial Narrow" w:hAnsi="Arial Narrow"/>
          <w:sz w:val="22"/>
          <w:szCs w:val="22"/>
          <w:lang w:val="bg-BG"/>
        </w:rPr>
        <w:t xml:space="preserve"> ë</w:t>
      </w:r>
      <w:proofErr w:type="spellStart"/>
      <w:r w:rsidRPr="00715FE8">
        <w:rPr>
          <w:rFonts w:ascii="Arial Narrow" w:hAnsi="Arial Narrow"/>
          <w:sz w:val="22"/>
          <w:szCs w:val="22"/>
          <w:lang w:val="en-GB"/>
        </w:rPr>
        <w:t>sht</w:t>
      </w:r>
      <w:proofErr w:type="spellEnd"/>
      <w:r w:rsidRPr="009F5CA1">
        <w:rPr>
          <w:rFonts w:ascii="Arial Narrow" w:hAnsi="Arial Narrow"/>
          <w:sz w:val="22"/>
          <w:szCs w:val="22"/>
          <w:lang w:val="bg-BG"/>
        </w:rPr>
        <w:t xml:space="preserve">ë </w:t>
      </w:r>
      <w:proofErr w:type="spellStart"/>
      <w:r w:rsidRPr="00715FE8">
        <w:rPr>
          <w:rFonts w:ascii="Arial Narrow" w:hAnsi="Arial Narrow"/>
          <w:sz w:val="22"/>
          <w:szCs w:val="22"/>
          <w:lang w:val="en-GB"/>
        </w:rPr>
        <w:t>paraqitur</w:t>
      </w:r>
      <w:proofErr w:type="spellEnd"/>
      <w:r w:rsidRPr="009F5CA1">
        <w:rPr>
          <w:rFonts w:ascii="Arial Narrow" w:hAnsi="Arial Narrow"/>
          <w:sz w:val="22"/>
          <w:szCs w:val="22"/>
          <w:lang w:val="bg-BG"/>
        </w:rPr>
        <w:t xml:space="preserve"> </w:t>
      </w:r>
      <w:r w:rsidRPr="00715FE8">
        <w:rPr>
          <w:rFonts w:ascii="Arial Narrow" w:hAnsi="Arial Narrow"/>
          <w:sz w:val="22"/>
          <w:szCs w:val="22"/>
          <w:lang w:val="en-GB"/>
        </w:rPr>
        <w:t>n</w:t>
      </w:r>
      <w:r w:rsidRPr="009F5CA1">
        <w:rPr>
          <w:rFonts w:ascii="Arial Narrow" w:hAnsi="Arial Narrow"/>
          <w:sz w:val="22"/>
          <w:szCs w:val="22"/>
          <w:lang w:val="bg-BG"/>
        </w:rPr>
        <w:t xml:space="preserve">ë </w:t>
      </w:r>
      <w:proofErr w:type="spellStart"/>
      <w:r w:rsidRPr="00715FE8">
        <w:rPr>
          <w:rFonts w:ascii="Arial Narrow" w:hAnsi="Arial Narrow"/>
          <w:sz w:val="22"/>
          <w:szCs w:val="22"/>
          <w:lang w:val="en-GB"/>
        </w:rPr>
        <w:t>tabel</w:t>
      </w:r>
      <w:proofErr w:type="spellEnd"/>
      <w:r w:rsidRPr="009F5CA1">
        <w:rPr>
          <w:rFonts w:ascii="Arial Narrow" w:hAnsi="Arial Narrow"/>
          <w:sz w:val="22"/>
          <w:szCs w:val="22"/>
          <w:lang w:val="bg-BG"/>
        </w:rPr>
        <w:t>ë</w:t>
      </w:r>
      <w:r w:rsidRPr="00715FE8">
        <w:rPr>
          <w:rFonts w:ascii="Arial Narrow" w:hAnsi="Arial Narrow"/>
          <w:sz w:val="22"/>
          <w:szCs w:val="22"/>
          <w:lang w:val="en-GB"/>
        </w:rPr>
        <w:t>n</w:t>
      </w:r>
      <w:r w:rsidRPr="009F5CA1">
        <w:rPr>
          <w:rFonts w:ascii="Arial Narrow" w:hAnsi="Arial Narrow"/>
          <w:sz w:val="22"/>
          <w:szCs w:val="22"/>
          <w:lang w:val="bg-BG"/>
        </w:rPr>
        <w:t xml:space="preserve"> </w:t>
      </w:r>
      <w:r w:rsidRPr="00715FE8">
        <w:rPr>
          <w:rFonts w:ascii="Arial Narrow" w:hAnsi="Arial Narrow"/>
          <w:sz w:val="22"/>
          <w:szCs w:val="22"/>
          <w:lang w:val="en-GB"/>
        </w:rPr>
        <w:t>e</w:t>
      </w:r>
      <w:r w:rsidRPr="009F5CA1">
        <w:rPr>
          <w:rFonts w:ascii="Arial Narrow" w:hAnsi="Arial Narrow"/>
          <w:sz w:val="22"/>
          <w:szCs w:val="22"/>
          <w:lang w:val="bg-BG"/>
        </w:rPr>
        <w:t xml:space="preserve"> </w:t>
      </w:r>
      <w:r w:rsidRPr="00715FE8">
        <w:rPr>
          <w:rFonts w:ascii="Arial Narrow" w:hAnsi="Arial Narrow"/>
          <w:sz w:val="22"/>
          <w:szCs w:val="22"/>
          <w:lang w:val="en-GB"/>
        </w:rPr>
        <w:t>m</w:t>
      </w:r>
      <w:r w:rsidRPr="009F5CA1">
        <w:rPr>
          <w:rFonts w:ascii="Arial Narrow" w:hAnsi="Arial Narrow"/>
          <w:sz w:val="22"/>
          <w:szCs w:val="22"/>
          <w:lang w:val="bg-BG"/>
        </w:rPr>
        <w:t>ë</w:t>
      </w:r>
      <w:proofErr w:type="spellStart"/>
      <w:r w:rsidRPr="00715FE8">
        <w:rPr>
          <w:rFonts w:ascii="Arial Narrow" w:hAnsi="Arial Narrow"/>
          <w:sz w:val="22"/>
          <w:szCs w:val="22"/>
          <w:lang w:val="en-GB"/>
        </w:rPr>
        <w:t>poshtme</w:t>
      </w:r>
      <w:proofErr w:type="spellEnd"/>
      <w:r w:rsidRPr="009F5CA1">
        <w:rPr>
          <w:rFonts w:ascii="Arial Narrow" w:hAnsi="Arial Narrow"/>
          <w:sz w:val="22"/>
          <w:szCs w:val="22"/>
          <w:lang w:val="bg-BG"/>
        </w:rPr>
        <w:t xml:space="preserve">, </w:t>
      </w:r>
      <w:r w:rsidRPr="00715FE8">
        <w:rPr>
          <w:rFonts w:ascii="Arial Narrow" w:hAnsi="Arial Narrow"/>
          <w:sz w:val="22"/>
          <w:szCs w:val="22"/>
          <w:lang w:val="en-GB"/>
        </w:rPr>
        <w:t>n</w:t>
      </w:r>
      <w:r w:rsidRPr="009F5CA1">
        <w:rPr>
          <w:rFonts w:ascii="Arial Narrow" w:hAnsi="Arial Narrow"/>
          <w:sz w:val="22"/>
          <w:szCs w:val="22"/>
          <w:lang w:val="bg-BG"/>
        </w:rPr>
        <w:t xml:space="preserve">ë </w:t>
      </w:r>
      <w:proofErr w:type="spellStart"/>
      <w:r w:rsidRPr="00715FE8">
        <w:rPr>
          <w:rFonts w:ascii="Arial Narrow" w:hAnsi="Arial Narrow"/>
          <w:sz w:val="22"/>
          <w:szCs w:val="22"/>
          <w:lang w:val="en-GB"/>
        </w:rPr>
        <w:t>mij</w:t>
      </w:r>
      <w:proofErr w:type="spellEnd"/>
      <w:r w:rsidRPr="009F5CA1">
        <w:rPr>
          <w:rFonts w:ascii="Arial Narrow" w:hAnsi="Arial Narrow"/>
          <w:sz w:val="22"/>
          <w:szCs w:val="22"/>
          <w:lang w:val="bg-BG"/>
        </w:rPr>
        <w:t xml:space="preserve">ë </w:t>
      </w:r>
      <w:r w:rsidRPr="00715FE8">
        <w:rPr>
          <w:rFonts w:ascii="Arial Narrow" w:hAnsi="Arial Narrow"/>
          <w:sz w:val="22"/>
          <w:szCs w:val="22"/>
          <w:lang w:val="en-GB"/>
        </w:rPr>
        <w:t>euro</w:t>
      </w:r>
      <w:r w:rsidR="007D1EDC" w:rsidRPr="009F5CA1">
        <w:rPr>
          <w:rFonts w:ascii="Arial Narrow" w:hAnsi="Arial Narrow"/>
          <w:sz w:val="22"/>
          <w:szCs w:val="22"/>
          <w:lang w:val="bg-BG"/>
        </w:rPr>
        <w:t>:</w:t>
      </w:r>
    </w:p>
    <w:p w14:paraId="628F54D0" w14:textId="77777777" w:rsidR="007D1EDC" w:rsidRPr="009F5CA1" w:rsidRDefault="007D1EDC" w:rsidP="007D1EDC">
      <w:pPr>
        <w:rPr>
          <w:rFonts w:ascii="Arial Narrow" w:hAnsi="Arial Narrow"/>
          <w:sz w:val="22"/>
          <w:szCs w:val="22"/>
          <w:lang w:val="bg-BG"/>
        </w:rPr>
      </w:pPr>
    </w:p>
    <w:p w14:paraId="2FB5910C" w14:textId="7F8EEB4E" w:rsidR="007D1EDC" w:rsidRPr="009F5CA1" w:rsidRDefault="007D1EDC" w:rsidP="007D1EDC">
      <w:pPr>
        <w:suppressAutoHyphens/>
        <w:rPr>
          <w:rFonts w:ascii="Arial Narrow" w:eastAsia="Calibri" w:hAnsi="Arial Narrow" w:cs="Calibri"/>
          <w:color w:val="1F497D"/>
          <w:sz w:val="20"/>
          <w:szCs w:val="20"/>
          <w:lang w:val="bg-BG"/>
        </w:rPr>
      </w:pPr>
      <w:bookmarkStart w:id="621" w:name="_Toc190966778"/>
      <w:bookmarkStart w:id="622" w:name="_Toc197472275"/>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90.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Kostot vjetore që do të mbulohen nga tarifa e mbeturinave</w:t>
      </w:r>
      <w:r w:rsidRPr="007D1EDC">
        <w:rPr>
          <w:rFonts w:ascii="Arial Narrow" w:eastAsia="Calibri" w:hAnsi="Arial Narrow" w:cs="Calibri"/>
          <w:color w:val="1F497D"/>
          <w:sz w:val="20"/>
          <w:szCs w:val="20"/>
          <w:lang w:val="bg-BG"/>
        </w:rPr>
        <w:t xml:space="preserve">, </w:t>
      </w:r>
      <w:proofErr w:type="spellStart"/>
      <w:r w:rsidRPr="007D1EDC">
        <w:rPr>
          <w:rFonts w:ascii="Arial Narrow" w:eastAsia="Calibri" w:hAnsi="Arial Narrow" w:cs="Calibri"/>
          <w:color w:val="1F497D"/>
          <w:sz w:val="20"/>
          <w:szCs w:val="20"/>
          <w:lang w:val="en-GB"/>
        </w:rPr>
        <w:t>mij</w:t>
      </w:r>
      <w:proofErr w:type="spellEnd"/>
      <w:r w:rsidRPr="009F5CA1">
        <w:rPr>
          <w:rFonts w:ascii="Arial Narrow" w:eastAsia="Calibri" w:hAnsi="Arial Narrow" w:cs="Calibri"/>
          <w:color w:val="1F497D"/>
          <w:sz w:val="20"/>
          <w:szCs w:val="20"/>
          <w:lang w:val="bg-BG"/>
        </w:rPr>
        <w:t xml:space="preserve">ë </w:t>
      </w:r>
      <w:r w:rsidRPr="007D1EDC">
        <w:rPr>
          <w:rFonts w:ascii="Arial Narrow" w:eastAsia="Calibri" w:hAnsi="Arial Narrow" w:cs="Calibri"/>
          <w:color w:val="1F497D"/>
          <w:sz w:val="20"/>
          <w:szCs w:val="20"/>
          <w:lang w:val="en-GB"/>
        </w:rPr>
        <w:t>euro</w:t>
      </w:r>
      <w:bookmarkEnd w:id="621"/>
      <w:bookmarkEnd w:id="6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4"/>
        <w:gridCol w:w="1434"/>
        <w:gridCol w:w="1134"/>
        <w:gridCol w:w="1129"/>
        <w:gridCol w:w="945"/>
      </w:tblGrid>
      <w:tr w:rsidR="007D1EDC" w:rsidRPr="007D1EDC" w14:paraId="54FB92EE" w14:textId="77777777" w:rsidTr="00D03949">
        <w:trPr>
          <w:trHeight w:val="210"/>
        </w:trPr>
        <w:tc>
          <w:tcPr>
            <w:tcW w:w="2426" w:type="pct"/>
            <w:shd w:val="clear" w:color="auto" w:fill="365F91"/>
            <w:noWrap/>
            <w:hideMark/>
          </w:tcPr>
          <w:p w14:paraId="638A38E6" w14:textId="77777777" w:rsidR="007D1EDC" w:rsidRPr="007D1EDC" w:rsidRDefault="007D1EDC" w:rsidP="007D1EDC">
            <w:pPr>
              <w:rPr>
                <w:rFonts w:ascii="Arial Narrow" w:hAnsi="Arial Narrow"/>
                <w:sz w:val="20"/>
                <w:szCs w:val="20"/>
                <w:lang w:val="en-GB" w:eastAsia="en-GB"/>
              </w:rPr>
            </w:pPr>
            <w:r w:rsidRPr="007D1EDC">
              <w:rPr>
                <w:rFonts w:ascii="Arial Narrow" w:hAnsi="Arial Narrow"/>
                <w:b/>
                <w:bCs/>
                <w:color w:val="FFFFFF" w:themeColor="background1"/>
                <w:sz w:val="20"/>
                <w:szCs w:val="20"/>
              </w:rPr>
              <w:t>Parametri</w:t>
            </w:r>
          </w:p>
        </w:tc>
        <w:tc>
          <w:tcPr>
            <w:tcW w:w="795" w:type="pct"/>
            <w:shd w:val="clear" w:color="auto" w:fill="365F91"/>
            <w:noWrap/>
            <w:hideMark/>
          </w:tcPr>
          <w:p w14:paraId="48B5AA98" w14:textId="77777777"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b/>
                <w:bCs/>
                <w:color w:val="FFFFFF" w:themeColor="background1"/>
                <w:sz w:val="20"/>
                <w:szCs w:val="20"/>
              </w:rPr>
              <w:t>Pejë</w:t>
            </w:r>
          </w:p>
        </w:tc>
        <w:tc>
          <w:tcPr>
            <w:tcW w:w="629" w:type="pct"/>
            <w:shd w:val="clear" w:color="auto" w:fill="365F91"/>
            <w:noWrap/>
            <w:hideMark/>
          </w:tcPr>
          <w:p w14:paraId="7C5E574A" w14:textId="77777777"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b/>
                <w:bCs/>
                <w:color w:val="FFFFFF" w:themeColor="background1"/>
                <w:sz w:val="20"/>
                <w:szCs w:val="20"/>
              </w:rPr>
              <w:t>Istog</w:t>
            </w:r>
          </w:p>
        </w:tc>
        <w:tc>
          <w:tcPr>
            <w:tcW w:w="626" w:type="pct"/>
            <w:shd w:val="clear" w:color="auto" w:fill="365F91"/>
            <w:noWrap/>
            <w:hideMark/>
          </w:tcPr>
          <w:p w14:paraId="4A47BC6D" w14:textId="1DF1A73E"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b/>
                <w:bCs/>
                <w:color w:val="FFFFFF" w:themeColor="background1"/>
                <w:sz w:val="20"/>
                <w:szCs w:val="20"/>
              </w:rPr>
              <w:t>Klin</w:t>
            </w:r>
            <w:r w:rsidR="00715FE8">
              <w:rPr>
                <w:rFonts w:ascii="Arial Narrow" w:hAnsi="Arial Narrow"/>
                <w:b/>
                <w:bCs/>
                <w:color w:val="FFFFFF" w:themeColor="background1"/>
                <w:sz w:val="20"/>
                <w:szCs w:val="20"/>
              </w:rPr>
              <w:t>ë</w:t>
            </w:r>
          </w:p>
        </w:tc>
        <w:tc>
          <w:tcPr>
            <w:tcW w:w="524" w:type="pct"/>
            <w:shd w:val="clear" w:color="auto" w:fill="365F91"/>
            <w:noWrap/>
            <w:hideMark/>
          </w:tcPr>
          <w:p w14:paraId="3D1475E4" w14:textId="3CA7F570" w:rsidR="007D1EDC" w:rsidRPr="007D1EDC" w:rsidRDefault="007D1EDC" w:rsidP="007D1EDC">
            <w:pPr>
              <w:rPr>
                <w:rFonts w:ascii="Arial Narrow" w:hAnsi="Arial Narrow" w:cs="Calibri"/>
                <w:color w:val="000000"/>
                <w:sz w:val="20"/>
                <w:szCs w:val="20"/>
                <w:lang w:val="en-GB" w:eastAsia="en-GB"/>
              </w:rPr>
            </w:pPr>
            <w:r w:rsidRPr="007D1EDC">
              <w:rPr>
                <w:rFonts w:ascii="Arial Narrow" w:hAnsi="Arial Narrow"/>
                <w:b/>
                <w:bCs/>
                <w:color w:val="FFFFFF" w:themeColor="background1"/>
                <w:sz w:val="20"/>
                <w:szCs w:val="20"/>
              </w:rPr>
              <w:t>De</w:t>
            </w:r>
            <w:r w:rsidR="00715FE8">
              <w:rPr>
                <w:rFonts w:ascii="Arial Narrow" w:hAnsi="Arial Narrow"/>
                <w:b/>
                <w:bCs/>
                <w:color w:val="FFFFFF" w:themeColor="background1"/>
                <w:sz w:val="20"/>
                <w:szCs w:val="20"/>
              </w:rPr>
              <w:t>ç</w:t>
            </w:r>
            <w:r w:rsidRPr="007D1EDC">
              <w:rPr>
                <w:rFonts w:ascii="Arial Narrow" w:hAnsi="Arial Narrow"/>
                <w:b/>
                <w:bCs/>
                <w:color w:val="FFFFFF" w:themeColor="background1"/>
                <w:sz w:val="20"/>
                <w:szCs w:val="20"/>
              </w:rPr>
              <w:t>an</w:t>
            </w:r>
          </w:p>
        </w:tc>
      </w:tr>
      <w:tr w:rsidR="007D1EDC" w:rsidRPr="007D1EDC" w14:paraId="242DE149" w14:textId="77777777" w:rsidTr="00D03949">
        <w:trPr>
          <w:trHeight w:val="210"/>
        </w:trPr>
        <w:tc>
          <w:tcPr>
            <w:tcW w:w="2426" w:type="pct"/>
            <w:shd w:val="clear" w:color="auto" w:fill="auto"/>
            <w:noWrap/>
            <w:vAlign w:val="bottom"/>
            <w:hideMark/>
          </w:tcPr>
          <w:p w14:paraId="52408BE7" w14:textId="270D1070" w:rsidR="007D1EDC" w:rsidRPr="007D1EDC" w:rsidRDefault="00BD1EDD" w:rsidP="007D1EDC">
            <w:pPr>
              <w:rPr>
                <w:rFonts w:ascii="Arial Narrow" w:hAnsi="Arial Narrow" w:cs="Calibri"/>
                <w:color w:val="000000"/>
                <w:sz w:val="20"/>
                <w:szCs w:val="20"/>
                <w:lang w:val="en-GB" w:eastAsia="en-GB"/>
              </w:rPr>
            </w:pPr>
            <w:proofErr w:type="spellStart"/>
            <w:r>
              <w:rPr>
                <w:rFonts w:ascii="Arial Narrow" w:hAnsi="Arial Narrow" w:cs="Calibri"/>
                <w:color w:val="000000"/>
                <w:sz w:val="20"/>
                <w:szCs w:val="20"/>
                <w:lang w:val="en-GB" w:eastAsia="en-GB"/>
              </w:rPr>
              <w:t>Operacionale</w:t>
            </w:r>
            <w:proofErr w:type="spellEnd"/>
            <w:r>
              <w:rPr>
                <w:rFonts w:ascii="Arial Narrow" w:hAnsi="Arial Narrow" w:cs="Calibri"/>
                <w:color w:val="000000"/>
                <w:sz w:val="20"/>
                <w:szCs w:val="20"/>
                <w:lang w:val="en-GB" w:eastAsia="en-GB"/>
              </w:rPr>
              <w:t>/</w:t>
            </w:r>
            <w:r w:rsidR="007D1EDC" w:rsidRPr="007D1EDC">
              <w:rPr>
                <w:rFonts w:ascii="Arial Narrow" w:hAnsi="Arial Narrow" w:cs="Calibri"/>
                <w:color w:val="000000"/>
                <w:sz w:val="20"/>
                <w:szCs w:val="20"/>
                <w:lang w:val="en-GB" w:eastAsia="en-GB"/>
              </w:rPr>
              <w:t>OPEX</w:t>
            </w:r>
          </w:p>
        </w:tc>
        <w:tc>
          <w:tcPr>
            <w:tcW w:w="795" w:type="pct"/>
            <w:shd w:val="clear" w:color="auto" w:fill="auto"/>
            <w:noWrap/>
            <w:vAlign w:val="center"/>
            <w:hideMark/>
          </w:tcPr>
          <w:p w14:paraId="1143F5C9"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192</w:t>
            </w:r>
          </w:p>
        </w:tc>
        <w:tc>
          <w:tcPr>
            <w:tcW w:w="629" w:type="pct"/>
            <w:shd w:val="clear" w:color="auto" w:fill="auto"/>
            <w:noWrap/>
            <w:vAlign w:val="center"/>
            <w:hideMark/>
          </w:tcPr>
          <w:p w14:paraId="7738E3D4"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61</w:t>
            </w:r>
          </w:p>
        </w:tc>
        <w:tc>
          <w:tcPr>
            <w:tcW w:w="626" w:type="pct"/>
            <w:shd w:val="clear" w:color="auto" w:fill="auto"/>
            <w:noWrap/>
            <w:vAlign w:val="center"/>
            <w:hideMark/>
          </w:tcPr>
          <w:p w14:paraId="5C89249D"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61</w:t>
            </w:r>
          </w:p>
        </w:tc>
        <w:tc>
          <w:tcPr>
            <w:tcW w:w="524" w:type="pct"/>
            <w:shd w:val="clear" w:color="auto" w:fill="auto"/>
            <w:noWrap/>
            <w:vAlign w:val="center"/>
            <w:hideMark/>
          </w:tcPr>
          <w:p w14:paraId="144E8AC2"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60</w:t>
            </w:r>
          </w:p>
        </w:tc>
      </w:tr>
      <w:tr w:rsidR="007D1EDC" w:rsidRPr="007D1EDC" w14:paraId="28522154" w14:textId="77777777" w:rsidTr="00D03949">
        <w:trPr>
          <w:trHeight w:val="210"/>
        </w:trPr>
        <w:tc>
          <w:tcPr>
            <w:tcW w:w="2426" w:type="pct"/>
            <w:shd w:val="clear" w:color="auto" w:fill="auto"/>
            <w:noWrap/>
            <w:vAlign w:val="bottom"/>
            <w:hideMark/>
          </w:tcPr>
          <w:p w14:paraId="0F2878D3" w14:textId="3F3FA9AE" w:rsidR="007D1EDC" w:rsidRPr="009F5CA1" w:rsidRDefault="00715FE8" w:rsidP="007D1EDC">
            <w:pPr>
              <w:rPr>
                <w:rFonts w:ascii="Arial Narrow" w:hAnsi="Arial Narrow" w:cs="Calibri"/>
                <w:color w:val="000000"/>
                <w:sz w:val="20"/>
                <w:szCs w:val="20"/>
                <w:lang w:val="es-ES" w:eastAsia="en-GB"/>
              </w:rPr>
            </w:pPr>
            <w:proofErr w:type="spellStart"/>
            <w:r w:rsidRPr="009F5CA1">
              <w:rPr>
                <w:rFonts w:ascii="Arial Narrow" w:hAnsi="Arial Narrow" w:cs="Calibri"/>
                <w:color w:val="000000"/>
                <w:sz w:val="20"/>
                <w:szCs w:val="20"/>
                <w:lang w:val="es-ES" w:eastAsia="en-GB"/>
              </w:rPr>
              <w:t>Grumbullimi</w:t>
            </w:r>
            <w:proofErr w:type="spellEnd"/>
            <w:r w:rsidRPr="009F5CA1">
              <w:rPr>
                <w:rFonts w:ascii="Arial Narrow" w:hAnsi="Arial Narrow" w:cs="Calibri"/>
                <w:color w:val="000000"/>
                <w:sz w:val="20"/>
                <w:szCs w:val="20"/>
                <w:lang w:val="es-ES" w:eastAsia="en-GB"/>
              </w:rPr>
              <w:t xml:space="preserve"> </w:t>
            </w:r>
            <w:proofErr w:type="spellStart"/>
            <w:r w:rsidRPr="009F5CA1">
              <w:rPr>
                <w:rFonts w:ascii="Arial Narrow" w:hAnsi="Arial Narrow" w:cs="Calibri"/>
                <w:color w:val="000000"/>
                <w:sz w:val="20"/>
                <w:szCs w:val="20"/>
                <w:lang w:val="es-ES" w:eastAsia="en-GB"/>
              </w:rPr>
              <w:t>ndaras</w:t>
            </w:r>
            <w:proofErr w:type="spellEnd"/>
            <w:r w:rsidR="007D1EDC" w:rsidRPr="009F5CA1">
              <w:rPr>
                <w:rFonts w:ascii="Arial Narrow" w:hAnsi="Arial Narrow" w:cs="Calibri"/>
                <w:color w:val="000000"/>
                <w:sz w:val="20"/>
                <w:szCs w:val="20"/>
                <w:lang w:val="es-ES" w:eastAsia="en-GB"/>
              </w:rPr>
              <w:t xml:space="preserve"> e </w:t>
            </w:r>
            <w:proofErr w:type="spellStart"/>
            <w:r w:rsidR="007D1EDC" w:rsidRPr="009F5CA1">
              <w:rPr>
                <w:rFonts w:ascii="Arial Narrow" w:hAnsi="Arial Narrow" w:cs="Calibri"/>
                <w:color w:val="000000"/>
                <w:sz w:val="20"/>
                <w:szCs w:val="20"/>
                <w:lang w:val="es-ES" w:eastAsia="en-GB"/>
              </w:rPr>
              <w:t>mbeturinave</w:t>
            </w:r>
            <w:proofErr w:type="spellEnd"/>
            <w:r w:rsidR="007D1EDC" w:rsidRPr="009F5CA1">
              <w:rPr>
                <w:rFonts w:ascii="Arial Narrow" w:hAnsi="Arial Narrow" w:cs="Calibri"/>
                <w:color w:val="000000"/>
                <w:sz w:val="20"/>
                <w:szCs w:val="20"/>
                <w:lang w:val="es-ES" w:eastAsia="en-GB"/>
              </w:rPr>
              <w:t xml:space="preserve"> </w:t>
            </w:r>
            <w:proofErr w:type="spellStart"/>
            <w:r w:rsidR="007D1EDC" w:rsidRPr="009F5CA1">
              <w:rPr>
                <w:rFonts w:ascii="Arial Narrow" w:hAnsi="Arial Narrow" w:cs="Calibri"/>
                <w:color w:val="000000"/>
                <w:sz w:val="20"/>
                <w:szCs w:val="20"/>
                <w:lang w:val="es-ES" w:eastAsia="en-GB"/>
              </w:rPr>
              <w:t>të</w:t>
            </w:r>
            <w:proofErr w:type="spellEnd"/>
            <w:r w:rsidR="007D1EDC" w:rsidRPr="009F5CA1">
              <w:rPr>
                <w:rFonts w:ascii="Arial Narrow" w:hAnsi="Arial Narrow" w:cs="Calibri"/>
                <w:color w:val="000000"/>
                <w:sz w:val="20"/>
                <w:szCs w:val="20"/>
                <w:lang w:val="es-ES" w:eastAsia="en-GB"/>
              </w:rPr>
              <w:t xml:space="preserve"> </w:t>
            </w:r>
            <w:proofErr w:type="spellStart"/>
            <w:r w:rsidR="007D1EDC" w:rsidRPr="009F5CA1">
              <w:rPr>
                <w:rFonts w:ascii="Arial Narrow" w:hAnsi="Arial Narrow" w:cs="Calibri"/>
                <w:color w:val="000000"/>
                <w:sz w:val="20"/>
                <w:szCs w:val="20"/>
                <w:lang w:val="es-ES" w:eastAsia="en-GB"/>
              </w:rPr>
              <w:t>gjelbra</w:t>
            </w:r>
            <w:proofErr w:type="spellEnd"/>
          </w:p>
        </w:tc>
        <w:tc>
          <w:tcPr>
            <w:tcW w:w="795" w:type="pct"/>
            <w:shd w:val="clear" w:color="auto" w:fill="auto"/>
            <w:noWrap/>
            <w:vAlign w:val="center"/>
            <w:hideMark/>
          </w:tcPr>
          <w:p w14:paraId="1EAFFF2F"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69</w:t>
            </w:r>
          </w:p>
        </w:tc>
        <w:tc>
          <w:tcPr>
            <w:tcW w:w="629" w:type="pct"/>
            <w:shd w:val="clear" w:color="auto" w:fill="auto"/>
            <w:noWrap/>
            <w:vAlign w:val="center"/>
            <w:hideMark/>
          </w:tcPr>
          <w:p w14:paraId="60DD8151"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17</w:t>
            </w:r>
          </w:p>
        </w:tc>
        <w:tc>
          <w:tcPr>
            <w:tcW w:w="626" w:type="pct"/>
            <w:shd w:val="clear" w:color="auto" w:fill="auto"/>
            <w:noWrap/>
            <w:vAlign w:val="center"/>
            <w:hideMark/>
          </w:tcPr>
          <w:p w14:paraId="2CB6F910"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17</w:t>
            </w:r>
          </w:p>
        </w:tc>
        <w:tc>
          <w:tcPr>
            <w:tcW w:w="524" w:type="pct"/>
            <w:shd w:val="clear" w:color="auto" w:fill="auto"/>
            <w:noWrap/>
            <w:vAlign w:val="center"/>
            <w:hideMark/>
          </w:tcPr>
          <w:p w14:paraId="027D9F3A"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15</w:t>
            </w:r>
          </w:p>
        </w:tc>
      </w:tr>
      <w:tr w:rsidR="007D1EDC" w:rsidRPr="007D1EDC" w14:paraId="062AEE96" w14:textId="77777777" w:rsidTr="00D03949">
        <w:trPr>
          <w:trHeight w:val="210"/>
        </w:trPr>
        <w:tc>
          <w:tcPr>
            <w:tcW w:w="2426" w:type="pct"/>
            <w:shd w:val="clear" w:color="auto" w:fill="auto"/>
            <w:noWrap/>
            <w:vAlign w:val="bottom"/>
          </w:tcPr>
          <w:p w14:paraId="71D56244" w14:textId="297677EB" w:rsidR="007D1EDC" w:rsidRPr="007D1EDC" w:rsidRDefault="007D1EDC" w:rsidP="007D1EDC">
            <w:pPr>
              <w:rPr>
                <w:rFonts w:ascii="Arial Narrow" w:hAnsi="Arial Narrow" w:cs="Calibri"/>
                <w:color w:val="000000"/>
                <w:sz w:val="20"/>
                <w:szCs w:val="20"/>
                <w:lang w:val="en-GB" w:eastAsia="en-GB"/>
              </w:rPr>
            </w:pPr>
            <w:proofErr w:type="spellStart"/>
            <w:r w:rsidRPr="007D1EDC">
              <w:rPr>
                <w:rFonts w:ascii="Arial Narrow" w:hAnsi="Arial Narrow" w:cs="Calibri"/>
                <w:color w:val="000000"/>
                <w:sz w:val="20"/>
                <w:szCs w:val="20"/>
                <w:lang w:val="en-GB" w:eastAsia="en-GB"/>
              </w:rPr>
              <w:t>Të</w:t>
            </w:r>
            <w:proofErr w:type="spellEnd"/>
            <w:r w:rsidRPr="007D1EDC">
              <w:rPr>
                <w:rFonts w:ascii="Arial Narrow" w:hAnsi="Arial Narrow" w:cs="Calibri"/>
                <w:color w:val="000000"/>
                <w:sz w:val="20"/>
                <w:szCs w:val="20"/>
                <w:lang w:val="en-GB" w:eastAsia="en-GB"/>
              </w:rPr>
              <w:t xml:space="preserve"> </w:t>
            </w:r>
            <w:proofErr w:type="spellStart"/>
            <w:r w:rsidR="00715FE8">
              <w:rPr>
                <w:rFonts w:ascii="Arial Narrow" w:hAnsi="Arial Narrow" w:cs="Calibri"/>
                <w:color w:val="000000"/>
                <w:sz w:val="20"/>
                <w:szCs w:val="20"/>
                <w:lang w:val="en-GB" w:eastAsia="en-GB"/>
              </w:rPr>
              <w:t>hyrat</w:t>
            </w:r>
            <w:proofErr w:type="spellEnd"/>
            <w:r w:rsidRPr="007D1EDC">
              <w:rPr>
                <w:rFonts w:ascii="Arial Narrow" w:hAnsi="Arial Narrow" w:cs="Calibri"/>
                <w:color w:val="000000"/>
                <w:sz w:val="20"/>
                <w:szCs w:val="20"/>
                <w:lang w:val="en-GB" w:eastAsia="en-GB"/>
              </w:rPr>
              <w:t xml:space="preserve"> </w:t>
            </w:r>
            <w:proofErr w:type="spellStart"/>
            <w:r w:rsidRPr="007D1EDC">
              <w:rPr>
                <w:rFonts w:ascii="Arial Narrow" w:hAnsi="Arial Narrow" w:cs="Calibri"/>
                <w:color w:val="000000"/>
                <w:sz w:val="20"/>
                <w:szCs w:val="20"/>
                <w:lang w:val="en-GB" w:eastAsia="en-GB"/>
              </w:rPr>
              <w:t>nga</w:t>
            </w:r>
            <w:proofErr w:type="spellEnd"/>
            <w:r w:rsidRPr="007D1EDC">
              <w:rPr>
                <w:rFonts w:ascii="Arial Narrow" w:hAnsi="Arial Narrow" w:cs="Calibri"/>
                <w:color w:val="000000"/>
                <w:sz w:val="20"/>
                <w:szCs w:val="20"/>
                <w:lang w:val="en-GB" w:eastAsia="en-GB"/>
              </w:rPr>
              <w:t xml:space="preserve"> </w:t>
            </w:r>
            <w:proofErr w:type="spellStart"/>
            <w:r w:rsidR="00715FE8">
              <w:rPr>
                <w:rFonts w:ascii="Arial Narrow" w:hAnsi="Arial Narrow" w:cs="Calibri"/>
                <w:color w:val="000000"/>
                <w:sz w:val="20"/>
                <w:szCs w:val="20"/>
                <w:lang w:val="en-GB" w:eastAsia="en-GB"/>
              </w:rPr>
              <w:t>kompostimi</w:t>
            </w:r>
            <w:proofErr w:type="spellEnd"/>
          </w:p>
        </w:tc>
        <w:tc>
          <w:tcPr>
            <w:tcW w:w="795" w:type="pct"/>
            <w:shd w:val="clear" w:color="auto" w:fill="auto"/>
            <w:noWrap/>
            <w:vAlign w:val="center"/>
          </w:tcPr>
          <w:p w14:paraId="2227B7E0" w14:textId="77777777" w:rsidR="007D1EDC" w:rsidRPr="007D1EDC" w:rsidRDefault="007D1EDC" w:rsidP="007D1EDC">
            <w:pPr>
              <w:jc w:val="right"/>
              <w:rPr>
                <w:rFonts w:ascii="Arial Narrow" w:hAnsi="Arial Narrow" w:cs="Calibri"/>
                <w:color w:val="000000"/>
                <w:sz w:val="20"/>
                <w:szCs w:val="20"/>
              </w:rPr>
            </w:pPr>
            <w:r w:rsidRPr="007D1EDC">
              <w:rPr>
                <w:rFonts w:ascii="Arial Narrow" w:hAnsi="Arial Narrow" w:cs="Calibri"/>
                <w:color w:val="000000"/>
                <w:sz w:val="20"/>
                <w:szCs w:val="20"/>
              </w:rPr>
              <w:t>5</w:t>
            </w:r>
          </w:p>
        </w:tc>
        <w:tc>
          <w:tcPr>
            <w:tcW w:w="629" w:type="pct"/>
            <w:shd w:val="clear" w:color="auto" w:fill="auto"/>
            <w:noWrap/>
            <w:vAlign w:val="center"/>
          </w:tcPr>
          <w:p w14:paraId="68C5D8E0" w14:textId="77777777" w:rsidR="007D1EDC" w:rsidRPr="007D1EDC" w:rsidRDefault="007D1EDC" w:rsidP="007D1EDC">
            <w:pPr>
              <w:jc w:val="right"/>
              <w:rPr>
                <w:rFonts w:ascii="Arial Narrow" w:hAnsi="Arial Narrow" w:cs="Calibri"/>
                <w:color w:val="000000"/>
                <w:sz w:val="20"/>
                <w:szCs w:val="20"/>
              </w:rPr>
            </w:pPr>
            <w:r w:rsidRPr="007D1EDC">
              <w:rPr>
                <w:rFonts w:ascii="Arial Narrow" w:hAnsi="Arial Narrow" w:cs="Calibri"/>
                <w:color w:val="000000"/>
                <w:sz w:val="20"/>
                <w:szCs w:val="20"/>
              </w:rPr>
              <w:t>1</w:t>
            </w:r>
          </w:p>
        </w:tc>
        <w:tc>
          <w:tcPr>
            <w:tcW w:w="626" w:type="pct"/>
            <w:shd w:val="clear" w:color="auto" w:fill="auto"/>
            <w:noWrap/>
            <w:vAlign w:val="center"/>
          </w:tcPr>
          <w:p w14:paraId="091DF4AD" w14:textId="77777777" w:rsidR="007D1EDC" w:rsidRPr="007D1EDC" w:rsidRDefault="007D1EDC" w:rsidP="007D1EDC">
            <w:pPr>
              <w:jc w:val="right"/>
              <w:rPr>
                <w:rFonts w:ascii="Arial Narrow" w:hAnsi="Arial Narrow" w:cs="Calibri"/>
                <w:color w:val="000000"/>
                <w:sz w:val="20"/>
                <w:szCs w:val="20"/>
              </w:rPr>
            </w:pPr>
            <w:r w:rsidRPr="007D1EDC">
              <w:rPr>
                <w:rFonts w:ascii="Arial Narrow" w:hAnsi="Arial Narrow" w:cs="Calibri"/>
                <w:color w:val="000000"/>
                <w:sz w:val="20"/>
                <w:szCs w:val="20"/>
              </w:rPr>
              <w:t>1</w:t>
            </w:r>
          </w:p>
        </w:tc>
        <w:tc>
          <w:tcPr>
            <w:tcW w:w="524" w:type="pct"/>
            <w:shd w:val="clear" w:color="auto" w:fill="auto"/>
            <w:noWrap/>
            <w:vAlign w:val="center"/>
          </w:tcPr>
          <w:p w14:paraId="5D404885" w14:textId="77777777" w:rsidR="007D1EDC" w:rsidRPr="007D1EDC" w:rsidRDefault="007D1EDC" w:rsidP="007D1EDC">
            <w:pPr>
              <w:jc w:val="right"/>
              <w:rPr>
                <w:rFonts w:ascii="Arial Narrow" w:hAnsi="Arial Narrow" w:cs="Calibri"/>
                <w:color w:val="000000"/>
                <w:sz w:val="20"/>
                <w:szCs w:val="20"/>
              </w:rPr>
            </w:pPr>
            <w:r w:rsidRPr="007D1EDC">
              <w:rPr>
                <w:rFonts w:ascii="Arial Narrow" w:hAnsi="Arial Narrow" w:cs="Calibri"/>
                <w:color w:val="000000"/>
                <w:sz w:val="20"/>
                <w:szCs w:val="20"/>
              </w:rPr>
              <w:t>1</w:t>
            </w:r>
          </w:p>
        </w:tc>
      </w:tr>
      <w:tr w:rsidR="007D1EDC" w:rsidRPr="007D1EDC" w14:paraId="353938E9" w14:textId="77777777" w:rsidTr="00D03949">
        <w:trPr>
          <w:trHeight w:val="210"/>
        </w:trPr>
        <w:tc>
          <w:tcPr>
            <w:tcW w:w="2426" w:type="pct"/>
            <w:shd w:val="clear" w:color="auto" w:fill="auto"/>
            <w:noWrap/>
            <w:vAlign w:val="bottom"/>
          </w:tcPr>
          <w:p w14:paraId="380FA2EB" w14:textId="77777777" w:rsidR="007D1EDC" w:rsidRPr="007D1EDC" w:rsidRDefault="007D1EDC" w:rsidP="007D1EDC">
            <w:pPr>
              <w:rPr>
                <w:rFonts w:ascii="Arial Narrow" w:hAnsi="Arial Narrow" w:cs="Calibri"/>
                <w:b/>
                <w:bCs/>
                <w:color w:val="000000"/>
                <w:sz w:val="20"/>
                <w:szCs w:val="20"/>
                <w:lang w:val="en-GB" w:eastAsia="en-GB"/>
              </w:rPr>
            </w:pPr>
            <w:proofErr w:type="spellStart"/>
            <w:r w:rsidRPr="007D1EDC">
              <w:rPr>
                <w:rFonts w:ascii="Arial Narrow" w:hAnsi="Arial Narrow" w:cs="Calibri"/>
                <w:b/>
                <w:bCs/>
                <w:color w:val="000000"/>
                <w:sz w:val="20"/>
                <w:szCs w:val="20"/>
                <w:lang w:val="en-GB" w:eastAsia="en-GB"/>
              </w:rPr>
              <w:t>Kostot</w:t>
            </w:r>
            <w:proofErr w:type="spellEnd"/>
            <w:r w:rsidRPr="007D1EDC">
              <w:rPr>
                <w:rFonts w:ascii="Arial Narrow" w:hAnsi="Arial Narrow" w:cs="Calibri"/>
                <w:b/>
                <w:bCs/>
                <w:color w:val="000000"/>
                <w:sz w:val="20"/>
                <w:szCs w:val="20"/>
                <w:lang w:val="en-GB" w:eastAsia="en-GB"/>
              </w:rPr>
              <w:t xml:space="preserve"> </w:t>
            </w:r>
            <w:proofErr w:type="spellStart"/>
            <w:r w:rsidRPr="007D1EDC">
              <w:rPr>
                <w:rFonts w:ascii="Arial Narrow" w:hAnsi="Arial Narrow" w:cs="Calibri"/>
                <w:b/>
                <w:bCs/>
                <w:color w:val="000000"/>
                <w:sz w:val="20"/>
                <w:szCs w:val="20"/>
                <w:lang w:val="en-GB" w:eastAsia="en-GB"/>
              </w:rPr>
              <w:t>neto</w:t>
            </w:r>
            <w:proofErr w:type="spellEnd"/>
            <w:r w:rsidRPr="007D1EDC">
              <w:rPr>
                <w:rFonts w:ascii="Arial Narrow" w:hAnsi="Arial Narrow" w:cs="Calibri"/>
                <w:b/>
                <w:bCs/>
                <w:color w:val="000000"/>
                <w:sz w:val="20"/>
                <w:szCs w:val="20"/>
                <w:lang w:val="en-GB" w:eastAsia="en-GB"/>
              </w:rPr>
              <w:t xml:space="preserve"> </w:t>
            </w:r>
            <w:proofErr w:type="spellStart"/>
            <w:r w:rsidRPr="007D1EDC">
              <w:rPr>
                <w:rFonts w:ascii="Arial Narrow" w:hAnsi="Arial Narrow" w:cs="Calibri"/>
                <w:b/>
                <w:bCs/>
                <w:color w:val="000000"/>
                <w:sz w:val="20"/>
                <w:szCs w:val="20"/>
                <w:lang w:val="en-GB" w:eastAsia="en-GB"/>
              </w:rPr>
              <w:t>vjetore</w:t>
            </w:r>
            <w:proofErr w:type="spellEnd"/>
          </w:p>
        </w:tc>
        <w:tc>
          <w:tcPr>
            <w:tcW w:w="795" w:type="pct"/>
            <w:shd w:val="clear" w:color="auto" w:fill="auto"/>
            <w:noWrap/>
            <w:vAlign w:val="center"/>
          </w:tcPr>
          <w:p w14:paraId="4AE9F493" w14:textId="77777777" w:rsidR="007D1EDC" w:rsidRPr="007D1EDC" w:rsidRDefault="007D1EDC" w:rsidP="007D1EDC">
            <w:pPr>
              <w:jc w:val="right"/>
              <w:rPr>
                <w:rFonts w:ascii="Arial Narrow" w:hAnsi="Arial Narrow" w:cs="Calibri"/>
                <w:b/>
                <w:bCs/>
                <w:color w:val="000000"/>
                <w:sz w:val="20"/>
                <w:szCs w:val="20"/>
              </w:rPr>
            </w:pPr>
            <w:r w:rsidRPr="007D1EDC">
              <w:rPr>
                <w:rFonts w:ascii="Arial Narrow" w:hAnsi="Arial Narrow" w:cs="Calibri"/>
                <w:b/>
                <w:bCs/>
                <w:color w:val="000000"/>
                <w:sz w:val="20"/>
                <w:szCs w:val="20"/>
              </w:rPr>
              <w:t>256</w:t>
            </w:r>
          </w:p>
        </w:tc>
        <w:tc>
          <w:tcPr>
            <w:tcW w:w="629" w:type="pct"/>
            <w:shd w:val="clear" w:color="auto" w:fill="auto"/>
            <w:noWrap/>
            <w:vAlign w:val="center"/>
          </w:tcPr>
          <w:p w14:paraId="0C589820" w14:textId="77777777" w:rsidR="007D1EDC" w:rsidRPr="007D1EDC" w:rsidRDefault="007D1EDC" w:rsidP="007D1EDC">
            <w:pPr>
              <w:jc w:val="right"/>
              <w:rPr>
                <w:rFonts w:ascii="Arial Narrow" w:hAnsi="Arial Narrow" w:cs="Calibri"/>
                <w:b/>
                <w:bCs/>
                <w:color w:val="000000"/>
                <w:sz w:val="20"/>
                <w:szCs w:val="20"/>
              </w:rPr>
            </w:pPr>
            <w:r w:rsidRPr="007D1EDC">
              <w:rPr>
                <w:rFonts w:ascii="Arial Narrow" w:hAnsi="Arial Narrow" w:cs="Calibri"/>
                <w:b/>
                <w:bCs/>
                <w:color w:val="000000"/>
                <w:sz w:val="20"/>
                <w:szCs w:val="20"/>
              </w:rPr>
              <w:t>77</w:t>
            </w:r>
          </w:p>
        </w:tc>
        <w:tc>
          <w:tcPr>
            <w:tcW w:w="626" w:type="pct"/>
            <w:shd w:val="clear" w:color="auto" w:fill="auto"/>
            <w:noWrap/>
            <w:vAlign w:val="center"/>
          </w:tcPr>
          <w:p w14:paraId="3DD0CC9B" w14:textId="77777777" w:rsidR="007D1EDC" w:rsidRPr="007D1EDC" w:rsidRDefault="007D1EDC" w:rsidP="007D1EDC">
            <w:pPr>
              <w:jc w:val="right"/>
              <w:rPr>
                <w:rFonts w:ascii="Arial Narrow" w:hAnsi="Arial Narrow" w:cs="Calibri"/>
                <w:b/>
                <w:bCs/>
                <w:color w:val="000000"/>
                <w:sz w:val="20"/>
                <w:szCs w:val="20"/>
              </w:rPr>
            </w:pPr>
            <w:r w:rsidRPr="007D1EDC">
              <w:rPr>
                <w:rFonts w:ascii="Arial Narrow" w:hAnsi="Arial Narrow" w:cs="Calibri"/>
                <w:b/>
                <w:bCs/>
                <w:color w:val="000000"/>
                <w:sz w:val="20"/>
                <w:szCs w:val="20"/>
              </w:rPr>
              <w:t>77</w:t>
            </w:r>
          </w:p>
        </w:tc>
        <w:tc>
          <w:tcPr>
            <w:tcW w:w="524" w:type="pct"/>
            <w:shd w:val="clear" w:color="auto" w:fill="auto"/>
            <w:noWrap/>
            <w:vAlign w:val="center"/>
          </w:tcPr>
          <w:p w14:paraId="0E462D01" w14:textId="77777777" w:rsidR="007D1EDC" w:rsidRPr="007D1EDC" w:rsidRDefault="007D1EDC" w:rsidP="007D1EDC">
            <w:pPr>
              <w:jc w:val="right"/>
              <w:rPr>
                <w:rFonts w:ascii="Arial Narrow" w:hAnsi="Arial Narrow" w:cs="Calibri"/>
                <w:b/>
                <w:bCs/>
                <w:color w:val="000000"/>
                <w:sz w:val="20"/>
                <w:szCs w:val="20"/>
              </w:rPr>
            </w:pPr>
            <w:r w:rsidRPr="007D1EDC">
              <w:rPr>
                <w:rFonts w:ascii="Arial Narrow" w:hAnsi="Arial Narrow" w:cs="Calibri"/>
                <w:b/>
                <w:bCs/>
                <w:color w:val="000000"/>
                <w:sz w:val="20"/>
                <w:szCs w:val="20"/>
              </w:rPr>
              <w:t>75</w:t>
            </w:r>
          </w:p>
        </w:tc>
      </w:tr>
    </w:tbl>
    <w:p w14:paraId="6F49094D" w14:textId="77777777" w:rsidR="007D1EDC" w:rsidRPr="00715FE8" w:rsidRDefault="007D1EDC" w:rsidP="00715FE8">
      <w:pPr>
        <w:jc w:val="both"/>
        <w:rPr>
          <w:rFonts w:ascii="Arial Narrow" w:hAnsi="Arial Narrow"/>
          <w:sz w:val="22"/>
          <w:szCs w:val="22"/>
          <w:lang w:val="en-GB"/>
        </w:rPr>
      </w:pPr>
    </w:p>
    <w:p w14:paraId="5FF6B3D3" w14:textId="378263CA" w:rsidR="007D1EDC" w:rsidRPr="00715FE8" w:rsidRDefault="00715FE8" w:rsidP="00715FE8">
      <w:pPr>
        <w:jc w:val="both"/>
        <w:rPr>
          <w:rFonts w:ascii="Arial Narrow" w:eastAsia="Calibri" w:hAnsi="Arial Narrow" w:cs="Calibri"/>
          <w:sz w:val="22"/>
          <w:szCs w:val="22"/>
        </w:rPr>
      </w:pPr>
      <w:proofErr w:type="spellStart"/>
      <w:r w:rsidRPr="00715FE8">
        <w:rPr>
          <w:rFonts w:ascii="Arial Narrow" w:hAnsi="Arial Narrow"/>
          <w:sz w:val="22"/>
          <w:szCs w:val="22"/>
          <w:lang w:val="en-GB"/>
        </w:rPr>
        <w:t>Ndërsa</w:t>
      </w:r>
      <w:proofErr w:type="spellEnd"/>
      <w:r w:rsidRPr="00715FE8">
        <w:rPr>
          <w:rFonts w:ascii="Arial Narrow" w:hAnsi="Arial Narrow"/>
          <w:sz w:val="22"/>
          <w:szCs w:val="22"/>
          <w:lang w:val="en-GB"/>
        </w:rPr>
        <w:t xml:space="preserve"> </w:t>
      </w:r>
      <w:proofErr w:type="spellStart"/>
      <w:r w:rsidRPr="00715FE8">
        <w:rPr>
          <w:rFonts w:ascii="Arial Narrow" w:hAnsi="Arial Narrow"/>
          <w:sz w:val="22"/>
          <w:szCs w:val="22"/>
          <w:lang w:val="en-GB"/>
        </w:rPr>
        <w:t>mbeturinate</w:t>
      </w:r>
      <w:proofErr w:type="spellEnd"/>
      <w:r w:rsidRPr="00715FE8">
        <w:rPr>
          <w:rFonts w:ascii="Arial Narrow" w:hAnsi="Arial Narrow"/>
          <w:sz w:val="22"/>
          <w:szCs w:val="22"/>
          <w:lang w:val="en-GB"/>
        </w:rPr>
        <w:t xml:space="preserve"> </w:t>
      </w:r>
      <w:proofErr w:type="spellStart"/>
      <w:r w:rsidRPr="00715FE8">
        <w:rPr>
          <w:rFonts w:ascii="Arial Narrow" w:hAnsi="Arial Narrow"/>
          <w:sz w:val="22"/>
          <w:szCs w:val="22"/>
          <w:lang w:val="en-GB"/>
        </w:rPr>
        <w:t>gjelbra</w:t>
      </w:r>
      <w:proofErr w:type="spellEnd"/>
      <w:r w:rsidRPr="00715FE8">
        <w:rPr>
          <w:rFonts w:ascii="Arial Narrow" w:hAnsi="Arial Narrow"/>
          <w:sz w:val="22"/>
          <w:szCs w:val="22"/>
          <w:lang w:val="en-GB"/>
        </w:rPr>
        <w:t xml:space="preserve"> </w:t>
      </w:r>
      <w:proofErr w:type="spellStart"/>
      <w:r w:rsidRPr="00715FE8">
        <w:rPr>
          <w:rFonts w:ascii="Arial Narrow" w:hAnsi="Arial Narrow"/>
          <w:sz w:val="22"/>
          <w:szCs w:val="22"/>
          <w:lang w:val="en-GB"/>
        </w:rPr>
        <w:t>nga</w:t>
      </w:r>
      <w:proofErr w:type="spellEnd"/>
      <w:r w:rsidRPr="00715FE8">
        <w:rPr>
          <w:rFonts w:ascii="Arial Narrow" w:hAnsi="Arial Narrow"/>
          <w:sz w:val="22"/>
          <w:szCs w:val="22"/>
          <w:lang w:val="en-GB"/>
        </w:rPr>
        <w:t xml:space="preserve"> </w:t>
      </w:r>
      <w:proofErr w:type="spellStart"/>
      <w:r w:rsidRPr="00715FE8">
        <w:rPr>
          <w:rFonts w:ascii="Arial Narrow" w:hAnsi="Arial Narrow"/>
          <w:sz w:val="22"/>
          <w:szCs w:val="22"/>
          <w:lang w:val="en-GB"/>
        </w:rPr>
        <w:t>zonat</w:t>
      </w:r>
      <w:proofErr w:type="spellEnd"/>
      <w:r w:rsidRPr="00715FE8">
        <w:rPr>
          <w:rFonts w:ascii="Arial Narrow" w:hAnsi="Arial Narrow"/>
          <w:sz w:val="22"/>
          <w:szCs w:val="22"/>
          <w:lang w:val="en-GB"/>
        </w:rPr>
        <w:t xml:space="preserve"> </w:t>
      </w:r>
      <w:proofErr w:type="spellStart"/>
      <w:r w:rsidRPr="00715FE8">
        <w:rPr>
          <w:rFonts w:ascii="Arial Narrow" w:hAnsi="Arial Narrow"/>
          <w:sz w:val="22"/>
          <w:szCs w:val="22"/>
          <w:lang w:val="en-GB"/>
        </w:rPr>
        <w:t>publike</w:t>
      </w:r>
      <w:proofErr w:type="spellEnd"/>
      <w:r w:rsidRPr="00715FE8">
        <w:rPr>
          <w:rFonts w:ascii="Arial Narrow" w:hAnsi="Arial Narrow"/>
          <w:sz w:val="22"/>
          <w:szCs w:val="22"/>
          <w:lang w:val="en-GB"/>
        </w:rPr>
        <w:t xml:space="preserve"> </w:t>
      </w:r>
      <w:proofErr w:type="spellStart"/>
      <w:r w:rsidRPr="00715FE8">
        <w:rPr>
          <w:rFonts w:ascii="Arial Narrow" w:hAnsi="Arial Narrow"/>
          <w:sz w:val="22"/>
          <w:szCs w:val="22"/>
          <w:lang w:val="en-GB"/>
        </w:rPr>
        <w:t>kompostohen</w:t>
      </w:r>
      <w:proofErr w:type="spellEnd"/>
      <w:r w:rsidRPr="00715FE8">
        <w:rPr>
          <w:rFonts w:ascii="Arial Narrow" w:hAnsi="Arial Narrow"/>
          <w:sz w:val="22"/>
          <w:szCs w:val="22"/>
          <w:lang w:val="en-GB"/>
        </w:rPr>
        <w:t xml:space="preserve">, </w:t>
      </w:r>
      <w:proofErr w:type="spellStart"/>
      <w:r w:rsidRPr="00715FE8">
        <w:rPr>
          <w:rFonts w:ascii="Arial Narrow" w:hAnsi="Arial Narrow"/>
          <w:sz w:val="22"/>
          <w:szCs w:val="22"/>
          <w:lang w:val="en-GB"/>
        </w:rPr>
        <w:t>kostot</w:t>
      </w:r>
      <w:proofErr w:type="spellEnd"/>
      <w:r w:rsidRPr="00715FE8">
        <w:rPr>
          <w:rFonts w:ascii="Arial Narrow" w:hAnsi="Arial Narrow"/>
          <w:sz w:val="22"/>
          <w:szCs w:val="22"/>
          <w:lang w:val="en-GB"/>
        </w:rPr>
        <w:t xml:space="preserve"> </w:t>
      </w:r>
      <w:proofErr w:type="spellStart"/>
      <w:r w:rsidRPr="00715FE8">
        <w:rPr>
          <w:rFonts w:ascii="Arial Narrow" w:hAnsi="Arial Narrow"/>
          <w:sz w:val="22"/>
          <w:szCs w:val="22"/>
          <w:lang w:val="en-GB"/>
        </w:rPr>
        <w:t>vjetore</w:t>
      </w:r>
      <w:proofErr w:type="spellEnd"/>
      <w:r w:rsidRPr="00715FE8">
        <w:rPr>
          <w:rFonts w:ascii="Arial Narrow" w:hAnsi="Arial Narrow"/>
          <w:sz w:val="22"/>
          <w:szCs w:val="22"/>
          <w:lang w:val="en-GB"/>
        </w:rPr>
        <w:t xml:space="preserve"> </w:t>
      </w:r>
      <w:proofErr w:type="spellStart"/>
      <w:r w:rsidRPr="00715FE8">
        <w:rPr>
          <w:rFonts w:ascii="Arial Narrow" w:hAnsi="Arial Narrow"/>
          <w:sz w:val="22"/>
          <w:szCs w:val="22"/>
          <w:lang w:val="en-GB"/>
        </w:rPr>
        <w:t>neto</w:t>
      </w:r>
      <w:proofErr w:type="spellEnd"/>
      <w:r w:rsidRPr="00715FE8">
        <w:rPr>
          <w:rFonts w:ascii="Arial Narrow" w:hAnsi="Arial Narrow"/>
          <w:sz w:val="22"/>
          <w:szCs w:val="22"/>
          <w:lang w:val="en-GB"/>
        </w:rPr>
        <w:t xml:space="preserve"> </w:t>
      </w:r>
      <w:proofErr w:type="spellStart"/>
      <w:r w:rsidRPr="00715FE8">
        <w:rPr>
          <w:rFonts w:ascii="Arial Narrow" w:hAnsi="Arial Narrow"/>
          <w:sz w:val="22"/>
          <w:szCs w:val="22"/>
          <w:lang w:val="en-GB"/>
        </w:rPr>
        <w:t>për</w:t>
      </w:r>
      <w:proofErr w:type="spellEnd"/>
      <w:r w:rsidRPr="00715FE8">
        <w:rPr>
          <w:rFonts w:ascii="Arial Narrow" w:hAnsi="Arial Narrow"/>
          <w:sz w:val="22"/>
          <w:szCs w:val="22"/>
          <w:lang w:val="en-GB"/>
        </w:rPr>
        <w:t xml:space="preserve"> </w:t>
      </w:r>
      <w:proofErr w:type="spellStart"/>
      <w:r w:rsidRPr="00715FE8">
        <w:rPr>
          <w:rFonts w:ascii="Arial Narrow" w:hAnsi="Arial Narrow"/>
          <w:sz w:val="22"/>
          <w:szCs w:val="22"/>
          <w:lang w:val="en-GB"/>
        </w:rPr>
        <w:t>kompostimin</w:t>
      </w:r>
      <w:proofErr w:type="spellEnd"/>
      <w:r w:rsidRPr="00715FE8">
        <w:rPr>
          <w:rFonts w:ascii="Arial Narrow" w:hAnsi="Arial Narrow"/>
          <w:sz w:val="22"/>
          <w:szCs w:val="22"/>
          <w:lang w:val="en-GB"/>
        </w:rPr>
        <w:t xml:space="preserve"> e </w:t>
      </w:r>
      <w:proofErr w:type="spellStart"/>
      <w:r w:rsidRPr="00715FE8">
        <w:rPr>
          <w:rFonts w:ascii="Arial Narrow" w:hAnsi="Arial Narrow"/>
          <w:sz w:val="22"/>
          <w:szCs w:val="22"/>
          <w:lang w:val="en-GB"/>
        </w:rPr>
        <w:t>mbeturinave</w:t>
      </w:r>
      <w:proofErr w:type="spellEnd"/>
      <w:r w:rsidRPr="00715FE8">
        <w:rPr>
          <w:rFonts w:ascii="Arial Narrow" w:hAnsi="Arial Narrow"/>
          <w:sz w:val="22"/>
          <w:szCs w:val="22"/>
          <w:lang w:val="en-GB"/>
        </w:rPr>
        <w:t xml:space="preserve"> </w:t>
      </w:r>
      <w:proofErr w:type="spellStart"/>
      <w:r w:rsidRPr="00715FE8">
        <w:rPr>
          <w:rFonts w:ascii="Arial Narrow" w:hAnsi="Arial Narrow"/>
          <w:sz w:val="22"/>
          <w:szCs w:val="22"/>
          <w:lang w:val="en-GB"/>
        </w:rPr>
        <w:t>të</w:t>
      </w:r>
      <w:proofErr w:type="spellEnd"/>
      <w:r w:rsidRPr="00715FE8">
        <w:rPr>
          <w:rFonts w:ascii="Arial Narrow" w:hAnsi="Arial Narrow"/>
          <w:sz w:val="22"/>
          <w:szCs w:val="22"/>
          <w:lang w:val="en-GB"/>
        </w:rPr>
        <w:t xml:space="preserve"> </w:t>
      </w:r>
      <w:proofErr w:type="spellStart"/>
      <w:r w:rsidRPr="00715FE8">
        <w:rPr>
          <w:rFonts w:ascii="Arial Narrow" w:hAnsi="Arial Narrow"/>
          <w:sz w:val="22"/>
          <w:szCs w:val="22"/>
          <w:lang w:val="en-GB"/>
        </w:rPr>
        <w:t>gjelbra</w:t>
      </w:r>
      <w:proofErr w:type="spellEnd"/>
      <w:r w:rsidRPr="00715FE8">
        <w:rPr>
          <w:rFonts w:ascii="Arial Narrow" w:hAnsi="Arial Narrow"/>
          <w:sz w:val="22"/>
          <w:szCs w:val="22"/>
          <w:lang w:val="en-GB"/>
        </w:rPr>
        <w:t xml:space="preserve"> </w:t>
      </w:r>
      <w:proofErr w:type="spellStart"/>
      <w:r w:rsidRPr="00715FE8">
        <w:rPr>
          <w:rFonts w:ascii="Arial Narrow" w:hAnsi="Arial Narrow"/>
          <w:sz w:val="22"/>
          <w:szCs w:val="22"/>
          <w:lang w:val="en-GB"/>
        </w:rPr>
        <w:t>duhet</w:t>
      </w:r>
      <w:proofErr w:type="spellEnd"/>
      <w:r w:rsidRPr="00715FE8">
        <w:rPr>
          <w:rFonts w:ascii="Arial Narrow" w:hAnsi="Arial Narrow"/>
          <w:sz w:val="22"/>
          <w:szCs w:val="22"/>
          <w:lang w:val="en-GB"/>
        </w:rPr>
        <w:t xml:space="preserve"> </w:t>
      </w:r>
      <w:proofErr w:type="spellStart"/>
      <w:r w:rsidRPr="00715FE8">
        <w:rPr>
          <w:rFonts w:ascii="Arial Narrow" w:hAnsi="Arial Narrow"/>
          <w:sz w:val="22"/>
          <w:szCs w:val="22"/>
          <w:lang w:val="en-GB"/>
        </w:rPr>
        <w:t>të</w:t>
      </w:r>
      <w:proofErr w:type="spellEnd"/>
      <w:r w:rsidRPr="00715FE8">
        <w:rPr>
          <w:rFonts w:ascii="Arial Narrow" w:hAnsi="Arial Narrow"/>
          <w:sz w:val="22"/>
          <w:szCs w:val="22"/>
          <w:lang w:val="en-GB"/>
        </w:rPr>
        <w:t xml:space="preserve"> </w:t>
      </w:r>
      <w:proofErr w:type="spellStart"/>
      <w:r w:rsidRPr="00715FE8">
        <w:rPr>
          <w:rFonts w:ascii="Arial Narrow" w:hAnsi="Arial Narrow"/>
          <w:sz w:val="22"/>
          <w:szCs w:val="22"/>
          <w:lang w:val="en-GB"/>
        </w:rPr>
        <w:t>mbulohen</w:t>
      </w:r>
      <w:proofErr w:type="spellEnd"/>
      <w:r w:rsidRPr="00715FE8">
        <w:rPr>
          <w:rFonts w:ascii="Arial Narrow" w:hAnsi="Arial Narrow"/>
          <w:sz w:val="22"/>
          <w:szCs w:val="22"/>
          <w:lang w:val="en-GB"/>
        </w:rPr>
        <w:t xml:space="preserve"> </w:t>
      </w:r>
      <w:proofErr w:type="spellStart"/>
      <w:r w:rsidRPr="00715FE8">
        <w:rPr>
          <w:rFonts w:ascii="Arial Narrow" w:hAnsi="Arial Narrow"/>
          <w:sz w:val="22"/>
          <w:szCs w:val="22"/>
          <w:lang w:val="en-GB"/>
        </w:rPr>
        <w:t>nga</w:t>
      </w:r>
      <w:proofErr w:type="spellEnd"/>
      <w:r w:rsidRPr="00715FE8">
        <w:rPr>
          <w:rFonts w:ascii="Arial Narrow" w:hAnsi="Arial Narrow"/>
          <w:sz w:val="22"/>
          <w:szCs w:val="22"/>
          <w:lang w:val="en-GB"/>
        </w:rPr>
        <w:t xml:space="preserve"> </w:t>
      </w:r>
      <w:proofErr w:type="spellStart"/>
      <w:r w:rsidRPr="00715FE8">
        <w:rPr>
          <w:rFonts w:ascii="Arial Narrow" w:hAnsi="Arial Narrow"/>
          <w:sz w:val="22"/>
          <w:szCs w:val="22"/>
          <w:lang w:val="en-GB"/>
        </w:rPr>
        <w:t>tarifat</w:t>
      </w:r>
      <w:proofErr w:type="spellEnd"/>
      <w:r w:rsidRPr="00715FE8">
        <w:rPr>
          <w:rFonts w:ascii="Arial Narrow" w:hAnsi="Arial Narrow"/>
          <w:sz w:val="22"/>
          <w:szCs w:val="22"/>
          <w:lang w:val="en-GB"/>
        </w:rPr>
        <w:t xml:space="preserve"> e </w:t>
      </w:r>
      <w:proofErr w:type="spellStart"/>
      <w:r w:rsidRPr="00715FE8">
        <w:rPr>
          <w:rFonts w:ascii="Arial Narrow" w:hAnsi="Arial Narrow"/>
          <w:sz w:val="22"/>
          <w:szCs w:val="22"/>
          <w:lang w:val="en-GB"/>
        </w:rPr>
        <w:t>mbeturinave</w:t>
      </w:r>
      <w:proofErr w:type="spellEnd"/>
      <w:r w:rsidRPr="00715FE8">
        <w:rPr>
          <w:rFonts w:ascii="Arial Narrow" w:hAnsi="Arial Narrow"/>
          <w:sz w:val="22"/>
          <w:szCs w:val="22"/>
          <w:lang w:val="en-GB"/>
        </w:rPr>
        <w:t xml:space="preserve"> </w:t>
      </w:r>
      <w:proofErr w:type="spellStart"/>
      <w:r w:rsidRPr="00715FE8">
        <w:rPr>
          <w:rFonts w:ascii="Arial Narrow" w:hAnsi="Arial Narrow"/>
          <w:sz w:val="22"/>
          <w:szCs w:val="22"/>
          <w:lang w:val="en-GB"/>
        </w:rPr>
        <w:t>të</w:t>
      </w:r>
      <w:proofErr w:type="spellEnd"/>
      <w:r w:rsidRPr="00715FE8">
        <w:rPr>
          <w:rFonts w:ascii="Arial Narrow" w:hAnsi="Arial Narrow"/>
          <w:sz w:val="22"/>
          <w:szCs w:val="22"/>
          <w:lang w:val="en-GB"/>
        </w:rPr>
        <w:t xml:space="preserve"> </w:t>
      </w:r>
      <w:proofErr w:type="spellStart"/>
      <w:r w:rsidRPr="00715FE8">
        <w:rPr>
          <w:rFonts w:ascii="Arial Narrow" w:hAnsi="Arial Narrow"/>
          <w:sz w:val="22"/>
          <w:szCs w:val="22"/>
          <w:lang w:val="en-GB"/>
        </w:rPr>
        <w:t>grumbulluara</w:t>
      </w:r>
      <w:proofErr w:type="spellEnd"/>
      <w:r w:rsidRPr="00715FE8">
        <w:rPr>
          <w:rFonts w:ascii="Arial Narrow" w:hAnsi="Arial Narrow"/>
          <w:sz w:val="22"/>
          <w:szCs w:val="22"/>
          <w:lang w:val="en-GB"/>
        </w:rPr>
        <w:t xml:space="preserve"> </w:t>
      </w:r>
      <w:proofErr w:type="spellStart"/>
      <w:r w:rsidRPr="00715FE8">
        <w:rPr>
          <w:rFonts w:ascii="Arial Narrow" w:hAnsi="Arial Narrow"/>
          <w:sz w:val="22"/>
          <w:szCs w:val="22"/>
          <w:lang w:val="en-GB"/>
        </w:rPr>
        <w:t>nga</w:t>
      </w:r>
      <w:proofErr w:type="spellEnd"/>
      <w:r w:rsidRPr="00715FE8">
        <w:rPr>
          <w:rFonts w:ascii="Arial Narrow" w:hAnsi="Arial Narrow"/>
          <w:sz w:val="22"/>
          <w:szCs w:val="22"/>
          <w:lang w:val="en-GB"/>
        </w:rPr>
        <w:t xml:space="preserve"> </w:t>
      </w:r>
      <w:proofErr w:type="spellStart"/>
      <w:r w:rsidRPr="00715FE8">
        <w:rPr>
          <w:rFonts w:ascii="Arial Narrow" w:hAnsi="Arial Narrow"/>
          <w:sz w:val="22"/>
          <w:szCs w:val="22"/>
          <w:lang w:val="en-GB"/>
        </w:rPr>
        <w:t>gjeneruesit</w:t>
      </w:r>
      <w:proofErr w:type="spellEnd"/>
      <w:r w:rsidRPr="00715FE8">
        <w:rPr>
          <w:rFonts w:ascii="Arial Narrow" w:hAnsi="Arial Narrow"/>
          <w:sz w:val="22"/>
          <w:szCs w:val="22"/>
          <w:lang w:val="en-GB"/>
        </w:rPr>
        <w:t xml:space="preserve"> e </w:t>
      </w:r>
      <w:proofErr w:type="spellStart"/>
      <w:r w:rsidRPr="00715FE8">
        <w:rPr>
          <w:rFonts w:ascii="Arial Narrow" w:hAnsi="Arial Narrow"/>
          <w:sz w:val="22"/>
          <w:szCs w:val="22"/>
          <w:lang w:val="en-GB"/>
        </w:rPr>
        <w:t>mbeturinave</w:t>
      </w:r>
      <w:proofErr w:type="spellEnd"/>
      <w:r w:rsidRPr="00715FE8">
        <w:rPr>
          <w:rFonts w:ascii="Arial Narrow" w:hAnsi="Arial Narrow"/>
          <w:sz w:val="22"/>
          <w:szCs w:val="22"/>
          <w:lang w:val="en-GB"/>
        </w:rPr>
        <w:t xml:space="preserve"> – </w:t>
      </w:r>
      <w:proofErr w:type="spellStart"/>
      <w:r w:rsidRPr="00715FE8">
        <w:rPr>
          <w:rFonts w:ascii="Arial Narrow" w:hAnsi="Arial Narrow"/>
          <w:sz w:val="22"/>
          <w:szCs w:val="22"/>
          <w:lang w:val="en-GB"/>
        </w:rPr>
        <w:t>popullsia</w:t>
      </w:r>
      <w:proofErr w:type="spellEnd"/>
      <w:r w:rsidRPr="00715FE8">
        <w:rPr>
          <w:rFonts w:ascii="Arial Narrow" w:hAnsi="Arial Narrow"/>
          <w:sz w:val="22"/>
          <w:szCs w:val="22"/>
          <w:lang w:val="en-GB"/>
        </w:rPr>
        <w:t xml:space="preserve">, </w:t>
      </w:r>
      <w:proofErr w:type="spellStart"/>
      <w:r w:rsidRPr="00715FE8">
        <w:rPr>
          <w:rFonts w:ascii="Arial Narrow" w:hAnsi="Arial Narrow"/>
          <w:sz w:val="22"/>
          <w:szCs w:val="22"/>
          <w:lang w:val="en-GB"/>
        </w:rPr>
        <w:t>bizneset</w:t>
      </w:r>
      <w:proofErr w:type="spellEnd"/>
      <w:r w:rsidRPr="00715FE8">
        <w:rPr>
          <w:rFonts w:ascii="Arial Narrow" w:hAnsi="Arial Narrow"/>
          <w:sz w:val="22"/>
          <w:szCs w:val="22"/>
          <w:lang w:val="en-GB"/>
        </w:rPr>
        <w:t xml:space="preserve">, </w:t>
      </w:r>
      <w:proofErr w:type="spellStart"/>
      <w:r w:rsidRPr="00715FE8">
        <w:rPr>
          <w:rFonts w:ascii="Arial Narrow" w:hAnsi="Arial Narrow"/>
          <w:sz w:val="22"/>
          <w:szCs w:val="22"/>
          <w:lang w:val="en-GB"/>
        </w:rPr>
        <w:t>institucionet</w:t>
      </w:r>
      <w:proofErr w:type="spellEnd"/>
      <w:r w:rsidR="007D1EDC" w:rsidRPr="00715FE8">
        <w:rPr>
          <w:rFonts w:ascii="Arial Narrow" w:hAnsi="Arial Narrow"/>
          <w:sz w:val="22"/>
          <w:szCs w:val="22"/>
          <w:lang w:val="en-GB"/>
        </w:rPr>
        <w:t>.</w:t>
      </w:r>
    </w:p>
    <w:p w14:paraId="1EC535DC" w14:textId="77777777" w:rsidR="007D1EDC" w:rsidRPr="007D1EDC" w:rsidRDefault="007D1EDC" w:rsidP="007D1EDC">
      <w:pPr>
        <w:rPr>
          <w:rFonts w:ascii="Arial Narrow" w:hAnsi="Arial Narrow"/>
          <w:sz w:val="22"/>
          <w:szCs w:val="22"/>
          <w:lang w:val="en-GB"/>
        </w:rPr>
      </w:pPr>
    </w:p>
    <w:p w14:paraId="0EAFE941" w14:textId="2AA7537C" w:rsidR="007D1EDC" w:rsidRPr="007D1EDC" w:rsidRDefault="007D1EDC" w:rsidP="002E4DDE">
      <w:pPr>
        <w:pStyle w:val="Heading3"/>
        <w:ind w:left="1134" w:hanging="1134"/>
      </w:pPr>
      <w:bookmarkStart w:id="623" w:name="_Toc190929302"/>
      <w:bookmarkStart w:id="624" w:name="_Toc190967408"/>
      <w:bookmarkStart w:id="625" w:name="_Toc197472057"/>
      <w:r w:rsidRPr="007D1EDC">
        <w:t>Kompostimi shtëpi</w:t>
      </w:r>
      <w:bookmarkEnd w:id="623"/>
      <w:bookmarkEnd w:id="624"/>
      <w:r w:rsidR="00715FE8">
        <w:t>ak</w:t>
      </w:r>
      <w:bookmarkEnd w:id="625"/>
    </w:p>
    <w:p w14:paraId="0D941C29" w14:textId="77777777" w:rsidR="007D1EDC" w:rsidRPr="00715FE8" w:rsidRDefault="007D1EDC" w:rsidP="007D1EDC">
      <w:pPr>
        <w:rPr>
          <w:rFonts w:ascii="Arial Narrow" w:eastAsia="Calibri" w:hAnsi="Arial Narrow" w:cs="Calibri"/>
          <w:sz w:val="22"/>
          <w:szCs w:val="22"/>
        </w:rPr>
      </w:pPr>
    </w:p>
    <w:p w14:paraId="1200186D" w14:textId="77777777" w:rsidR="00715FE8" w:rsidRPr="00715FE8" w:rsidRDefault="00715FE8" w:rsidP="00715FE8">
      <w:pPr>
        <w:rPr>
          <w:rFonts w:ascii="Arial Narrow" w:eastAsia="Calibri" w:hAnsi="Arial Narrow" w:cs="Calibri"/>
          <w:sz w:val="22"/>
          <w:szCs w:val="22"/>
        </w:rPr>
      </w:pPr>
      <w:r w:rsidRPr="00715FE8">
        <w:rPr>
          <w:rFonts w:ascii="Arial Narrow" w:eastAsia="Calibri" w:hAnsi="Arial Narrow" w:cs="Calibri"/>
          <w:sz w:val="22"/>
          <w:szCs w:val="22"/>
        </w:rPr>
        <w:t>Për vendbanimet rurale është planifkuar kompostimi shtëpiak i mbeturinave e gjelbra dhe që nga viti 2032 edhe nga mbeturinat organike/ushqimore.</w:t>
      </w:r>
    </w:p>
    <w:p w14:paraId="28B5BD2E" w14:textId="77777777" w:rsidR="00715FE8" w:rsidRPr="00715FE8" w:rsidRDefault="00715FE8" w:rsidP="00715FE8">
      <w:pPr>
        <w:rPr>
          <w:rFonts w:ascii="Arial Narrow" w:eastAsia="Calibri" w:hAnsi="Arial Narrow" w:cs="Calibri"/>
          <w:sz w:val="22"/>
          <w:szCs w:val="22"/>
        </w:rPr>
      </w:pPr>
    </w:p>
    <w:p w14:paraId="5F274E4C" w14:textId="77777777" w:rsidR="00715FE8" w:rsidRPr="009F5CA1" w:rsidRDefault="00715FE8" w:rsidP="00715FE8">
      <w:pPr>
        <w:jc w:val="both"/>
        <w:rPr>
          <w:rFonts w:ascii="Arial Narrow" w:eastAsia="Calibri" w:hAnsi="Arial Narrow" w:cs="Calibri"/>
          <w:color w:val="000000" w:themeColor="text1"/>
          <w:sz w:val="22"/>
          <w:szCs w:val="22"/>
        </w:rPr>
      </w:pPr>
      <w:r w:rsidRPr="009F5CA1">
        <w:rPr>
          <w:rFonts w:ascii="Arial Narrow" w:eastAsia="Calibri" w:hAnsi="Arial Narrow" w:cs="Calibri"/>
          <w:color w:val="000000" w:themeColor="text1"/>
          <w:sz w:val="22"/>
          <w:szCs w:val="22"/>
        </w:rPr>
        <w:t>Kompostimi shtëpiak redukton sasitë e mbeturinave në deponi. Në mënyrën më të zakonshme, procesi i kompostimit kërkon thjesht grumbullimin e mbeturinave të gjelbra. Procesi i dekompozimit ndihmohet nga copëtimi i bimëve dhe degëve nga pemët. Për të përshpejtuar procesin e dekompozimit duhet të sigurohet ajrosja e duhur duke e rrotulluar rregullisht përzierjen. Mbeturinat e kuzhinës gjithashtu mund të shtohen në proces, por vetëm mbeturinat e zgjedhura ushqimore. Produktet e qumështit dhe mishi duhet të shmangen pasi tërheqin parazitë dhe minjtë.</w:t>
      </w:r>
    </w:p>
    <w:p w14:paraId="72AA77B7" w14:textId="01F3A97B" w:rsidR="007D1EDC" w:rsidRPr="009F5CA1" w:rsidRDefault="00715FE8" w:rsidP="00715FE8">
      <w:pPr>
        <w:jc w:val="both"/>
        <w:rPr>
          <w:rFonts w:ascii="Arial Narrow" w:eastAsia="Calibri" w:hAnsi="Arial Narrow" w:cs="Calibri"/>
          <w:color w:val="000000" w:themeColor="text1"/>
          <w:sz w:val="22"/>
          <w:szCs w:val="22"/>
        </w:rPr>
      </w:pPr>
      <w:r w:rsidRPr="009F5CA1">
        <w:rPr>
          <w:rFonts w:ascii="Arial Narrow" w:eastAsia="Calibri" w:hAnsi="Arial Narrow" w:cs="Calibri"/>
          <w:color w:val="000000" w:themeColor="text1"/>
          <w:sz w:val="22"/>
          <w:szCs w:val="22"/>
        </w:rPr>
        <w:t>Kompostimi shtëpiak mund të lehtësohet duke përdorur pajisje speciale. Një njësi kompostimi shtëpiak mund të bëhet nga druri ose materiale të tjera, që mund të jetë shumë e thjeshtë dhe e lirë</w:t>
      </w:r>
    </w:p>
    <w:p w14:paraId="2FA654B8" w14:textId="77777777" w:rsidR="00715FE8" w:rsidRPr="009F5CA1" w:rsidRDefault="00715FE8" w:rsidP="00715FE8">
      <w:pPr>
        <w:jc w:val="both"/>
        <w:rPr>
          <w:rFonts w:ascii="Arial Narrow" w:eastAsia="Calibri" w:hAnsi="Arial Narrow" w:cs="Calibri"/>
          <w:color w:val="000000" w:themeColor="text1"/>
          <w:sz w:val="22"/>
          <w:szCs w:val="22"/>
        </w:rPr>
      </w:pPr>
    </w:p>
    <w:p w14:paraId="08024D97" w14:textId="77777777" w:rsidR="00715FE8" w:rsidRPr="00715FE8" w:rsidRDefault="00715FE8" w:rsidP="00715FE8">
      <w:pPr>
        <w:rPr>
          <w:rFonts w:ascii="Arial Narrow" w:eastAsia="Calibri" w:hAnsi="Arial Narrow" w:cs="Calibri"/>
          <w:sz w:val="22"/>
          <w:szCs w:val="22"/>
        </w:rPr>
      </w:pPr>
      <w:r w:rsidRPr="00715FE8">
        <w:rPr>
          <w:rFonts w:ascii="Arial Narrow" w:eastAsia="Calibri" w:hAnsi="Arial Narrow" w:cs="Calibri"/>
          <w:sz w:val="22"/>
          <w:szCs w:val="22"/>
        </w:rPr>
        <w:t>Për të mbështetur aktivitetin kërkohen masa aktive dhe kontrolle vjetore.</w:t>
      </w:r>
    </w:p>
    <w:p w14:paraId="5B67495C" w14:textId="77777777" w:rsidR="00715FE8" w:rsidRPr="00715FE8" w:rsidRDefault="00715FE8" w:rsidP="00715FE8">
      <w:pPr>
        <w:rPr>
          <w:rFonts w:ascii="Arial Narrow" w:eastAsia="Calibri" w:hAnsi="Arial Narrow" w:cs="Calibri"/>
          <w:sz w:val="22"/>
          <w:szCs w:val="22"/>
        </w:rPr>
      </w:pPr>
    </w:p>
    <w:p w14:paraId="17398642" w14:textId="24762E68" w:rsidR="007D1EDC" w:rsidRPr="00715FE8" w:rsidRDefault="00715FE8" w:rsidP="00715FE8">
      <w:pPr>
        <w:rPr>
          <w:rFonts w:ascii="Arial Narrow" w:eastAsia="Calibri" w:hAnsi="Arial Narrow" w:cs="Calibri"/>
          <w:sz w:val="22"/>
          <w:szCs w:val="22"/>
        </w:rPr>
      </w:pPr>
      <w:r w:rsidRPr="00715FE8">
        <w:rPr>
          <w:rFonts w:ascii="Arial Narrow" w:eastAsia="Calibri" w:hAnsi="Arial Narrow" w:cs="Calibri"/>
          <w:sz w:val="22"/>
          <w:szCs w:val="22"/>
        </w:rPr>
        <w:t>Tabela e mëposhtme përmbledh synimet për sasitë e mbeturinave të kompostuara në shtëpi, kostot vjetore komunale që ndërlidhen me mbështetjen e kompostimit shtëpiak</w:t>
      </w:r>
      <w:r w:rsidR="007D1EDC" w:rsidRPr="00715FE8">
        <w:rPr>
          <w:rFonts w:ascii="Arial Narrow" w:eastAsia="Calibri" w:hAnsi="Arial Narrow" w:cs="Calibri"/>
          <w:sz w:val="22"/>
          <w:szCs w:val="22"/>
        </w:rPr>
        <w:t>.</w:t>
      </w:r>
    </w:p>
    <w:p w14:paraId="14E04C33" w14:textId="77777777" w:rsidR="007D1EDC" w:rsidRPr="00715FE8" w:rsidRDefault="007D1EDC" w:rsidP="007D1EDC">
      <w:pPr>
        <w:rPr>
          <w:rFonts w:ascii="Arial Narrow" w:eastAsia="Calibri" w:hAnsi="Arial Narrow" w:cs="Calibri"/>
          <w:sz w:val="22"/>
          <w:szCs w:val="22"/>
        </w:rPr>
      </w:pPr>
    </w:p>
    <w:p w14:paraId="7BD7F92B" w14:textId="2DDCA98D" w:rsidR="007D1EDC" w:rsidRPr="007D1EDC" w:rsidRDefault="007D1EDC" w:rsidP="007D1EDC">
      <w:pPr>
        <w:suppressAutoHyphens/>
        <w:rPr>
          <w:rFonts w:ascii="Arial Narrow" w:eastAsia="Calibri" w:hAnsi="Arial Narrow" w:cs="Calibri"/>
          <w:color w:val="1F497D"/>
          <w:sz w:val="20"/>
          <w:szCs w:val="20"/>
        </w:rPr>
      </w:pPr>
      <w:bookmarkStart w:id="626" w:name="_Toc190966779"/>
      <w:bookmarkStart w:id="627" w:name="_Toc197472276"/>
      <w:r w:rsidRPr="00715FE8">
        <w:rPr>
          <w:rFonts w:ascii="Arial Narrow" w:eastAsia="Calibri" w:hAnsi="Arial Narrow" w:cs="Calibri"/>
          <w:color w:val="1F497D"/>
          <w:sz w:val="20"/>
          <w:szCs w:val="20"/>
        </w:rPr>
        <w:t xml:space="preserve">Tabela </w:t>
      </w:r>
      <w:r w:rsidRPr="00715FE8">
        <w:rPr>
          <w:rFonts w:ascii="Arial Narrow" w:eastAsia="Calibri" w:hAnsi="Arial Narrow" w:cs="Calibri"/>
          <w:color w:val="1F497D"/>
          <w:sz w:val="20"/>
          <w:szCs w:val="20"/>
        </w:rPr>
        <w:fldChar w:fldCharType="begin"/>
      </w:r>
      <w:r w:rsidRPr="00715FE8">
        <w:rPr>
          <w:rFonts w:ascii="Arial Narrow" w:eastAsia="Calibri" w:hAnsi="Arial Narrow" w:cs="Calibri"/>
          <w:color w:val="1F497D"/>
          <w:sz w:val="20"/>
          <w:szCs w:val="20"/>
        </w:rPr>
        <w:instrText xml:space="preserve"> SEQ Table \* ARABIC </w:instrText>
      </w:r>
      <w:r w:rsidRPr="00715FE8">
        <w:rPr>
          <w:rFonts w:ascii="Arial Narrow" w:eastAsia="Calibri" w:hAnsi="Arial Narrow" w:cs="Calibri"/>
          <w:color w:val="1F497D"/>
          <w:sz w:val="20"/>
          <w:szCs w:val="20"/>
        </w:rPr>
        <w:fldChar w:fldCharType="separate"/>
      </w:r>
      <w:r w:rsidR="00C97DF3" w:rsidRPr="00715FE8">
        <w:rPr>
          <w:rFonts w:ascii="Arial Narrow" w:eastAsia="Calibri" w:hAnsi="Arial Narrow" w:cs="Calibri"/>
          <w:noProof/>
          <w:color w:val="1F497D"/>
          <w:sz w:val="20"/>
          <w:szCs w:val="20"/>
        </w:rPr>
        <w:t xml:space="preserve">91. </w:t>
      </w:r>
      <w:r w:rsidRPr="00715FE8">
        <w:rPr>
          <w:rFonts w:ascii="Arial Narrow" w:eastAsia="Calibri" w:hAnsi="Arial Narrow" w:cs="Calibri"/>
          <w:color w:val="1F497D"/>
          <w:sz w:val="20"/>
          <w:szCs w:val="20"/>
        </w:rPr>
        <w:fldChar w:fldCharType="end"/>
      </w:r>
      <w:r w:rsidRPr="00715FE8">
        <w:rPr>
          <w:rFonts w:ascii="Arial Narrow" w:eastAsia="Calibri" w:hAnsi="Arial Narrow" w:cs="Calibri"/>
          <w:color w:val="1F497D"/>
          <w:sz w:val="20"/>
          <w:szCs w:val="20"/>
        </w:rPr>
        <w:t>Kostot komunale</w:t>
      </w:r>
      <w:r w:rsidRPr="007D1EDC">
        <w:rPr>
          <w:rFonts w:ascii="Arial Narrow" w:eastAsia="Calibri" w:hAnsi="Arial Narrow" w:cs="Calibri"/>
          <w:color w:val="1F497D"/>
          <w:sz w:val="20"/>
          <w:szCs w:val="20"/>
        </w:rPr>
        <w:t xml:space="preserve"> dhe mbeturinat e gjelbra dhe ushqimore të kompostuara në shtëpi në zonat rurale</w:t>
      </w:r>
      <w:bookmarkEnd w:id="626"/>
      <w:bookmarkEnd w:id="627"/>
    </w:p>
    <w:tbl>
      <w:tblPr>
        <w:tblW w:w="5000" w:type="pct"/>
        <w:tblLayout w:type="fixed"/>
        <w:tblLook w:val="04A0" w:firstRow="1" w:lastRow="0" w:firstColumn="1" w:lastColumn="0" w:noHBand="0" w:noVBand="1"/>
      </w:tblPr>
      <w:tblGrid>
        <w:gridCol w:w="2546"/>
        <w:gridCol w:w="709"/>
        <w:gridCol w:w="709"/>
        <w:gridCol w:w="644"/>
        <w:gridCol w:w="710"/>
        <w:gridCol w:w="710"/>
        <w:gridCol w:w="747"/>
        <w:gridCol w:w="747"/>
        <w:gridCol w:w="747"/>
        <w:gridCol w:w="747"/>
      </w:tblGrid>
      <w:tr w:rsidR="007D1EDC" w:rsidRPr="007D1EDC" w14:paraId="2E6BB245" w14:textId="77777777" w:rsidTr="00715FE8">
        <w:trPr>
          <w:trHeight w:val="210"/>
          <w:tblHeader/>
        </w:trPr>
        <w:tc>
          <w:tcPr>
            <w:tcW w:w="1412" w:type="pct"/>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277EF31D" w14:textId="77777777" w:rsidR="007D1EDC" w:rsidRPr="007D1EDC" w:rsidRDefault="007D1EDC" w:rsidP="007D1EDC">
            <w:pPr>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Parametri</w:t>
            </w:r>
          </w:p>
        </w:tc>
        <w:tc>
          <w:tcPr>
            <w:tcW w:w="393" w:type="pct"/>
            <w:tcBorders>
              <w:top w:val="single" w:sz="4" w:space="0" w:color="auto"/>
              <w:left w:val="nil"/>
              <w:bottom w:val="single" w:sz="4" w:space="0" w:color="auto"/>
              <w:right w:val="single" w:sz="4" w:space="0" w:color="auto"/>
            </w:tcBorders>
            <w:shd w:val="clear" w:color="auto" w:fill="365F91"/>
            <w:noWrap/>
            <w:vAlign w:val="center"/>
            <w:hideMark/>
          </w:tcPr>
          <w:p w14:paraId="4C416930" w14:textId="77777777" w:rsidR="007D1EDC" w:rsidRPr="007D1EDC" w:rsidRDefault="007D1EDC" w:rsidP="007D1EDC">
            <w:pPr>
              <w:jc w:val="right"/>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2027</w:t>
            </w:r>
          </w:p>
        </w:tc>
        <w:tc>
          <w:tcPr>
            <w:tcW w:w="393" w:type="pct"/>
            <w:tcBorders>
              <w:top w:val="single" w:sz="4" w:space="0" w:color="auto"/>
              <w:left w:val="nil"/>
              <w:bottom w:val="single" w:sz="4" w:space="0" w:color="auto"/>
              <w:right w:val="single" w:sz="4" w:space="0" w:color="auto"/>
            </w:tcBorders>
            <w:shd w:val="clear" w:color="auto" w:fill="365F91"/>
            <w:noWrap/>
            <w:vAlign w:val="center"/>
            <w:hideMark/>
          </w:tcPr>
          <w:p w14:paraId="046D457C" w14:textId="77777777" w:rsidR="007D1EDC" w:rsidRPr="007D1EDC" w:rsidRDefault="007D1EDC" w:rsidP="007D1EDC">
            <w:pPr>
              <w:jc w:val="right"/>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2028</w:t>
            </w:r>
          </w:p>
        </w:tc>
        <w:tc>
          <w:tcPr>
            <w:tcW w:w="357" w:type="pct"/>
            <w:tcBorders>
              <w:top w:val="single" w:sz="4" w:space="0" w:color="auto"/>
              <w:left w:val="nil"/>
              <w:bottom w:val="single" w:sz="4" w:space="0" w:color="auto"/>
              <w:right w:val="single" w:sz="4" w:space="0" w:color="auto"/>
            </w:tcBorders>
            <w:shd w:val="clear" w:color="auto" w:fill="365F91"/>
            <w:noWrap/>
            <w:vAlign w:val="center"/>
            <w:hideMark/>
          </w:tcPr>
          <w:p w14:paraId="6F0F60DD" w14:textId="77777777" w:rsidR="007D1EDC" w:rsidRPr="007D1EDC" w:rsidRDefault="007D1EDC" w:rsidP="007D1EDC">
            <w:pPr>
              <w:jc w:val="right"/>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2029</w:t>
            </w:r>
          </w:p>
        </w:tc>
        <w:tc>
          <w:tcPr>
            <w:tcW w:w="394" w:type="pct"/>
            <w:tcBorders>
              <w:top w:val="single" w:sz="4" w:space="0" w:color="auto"/>
              <w:left w:val="nil"/>
              <w:bottom w:val="single" w:sz="4" w:space="0" w:color="auto"/>
              <w:right w:val="single" w:sz="4" w:space="0" w:color="auto"/>
            </w:tcBorders>
            <w:shd w:val="clear" w:color="auto" w:fill="365F91"/>
            <w:noWrap/>
            <w:vAlign w:val="center"/>
            <w:hideMark/>
          </w:tcPr>
          <w:p w14:paraId="3C03EEAE" w14:textId="77777777" w:rsidR="007D1EDC" w:rsidRPr="007D1EDC" w:rsidRDefault="007D1EDC" w:rsidP="007D1EDC">
            <w:pPr>
              <w:jc w:val="right"/>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2030</w:t>
            </w:r>
          </w:p>
        </w:tc>
        <w:tc>
          <w:tcPr>
            <w:tcW w:w="394" w:type="pct"/>
            <w:tcBorders>
              <w:top w:val="single" w:sz="4" w:space="0" w:color="auto"/>
              <w:left w:val="nil"/>
              <w:bottom w:val="single" w:sz="4" w:space="0" w:color="auto"/>
              <w:right w:val="single" w:sz="4" w:space="0" w:color="auto"/>
            </w:tcBorders>
            <w:shd w:val="clear" w:color="auto" w:fill="365F91"/>
            <w:noWrap/>
            <w:vAlign w:val="center"/>
            <w:hideMark/>
          </w:tcPr>
          <w:p w14:paraId="7DE84E5E" w14:textId="77777777" w:rsidR="007D1EDC" w:rsidRPr="007D1EDC" w:rsidRDefault="007D1EDC" w:rsidP="007D1EDC">
            <w:pPr>
              <w:jc w:val="right"/>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2031</w:t>
            </w:r>
          </w:p>
        </w:tc>
        <w:tc>
          <w:tcPr>
            <w:tcW w:w="414" w:type="pct"/>
            <w:tcBorders>
              <w:top w:val="single" w:sz="4" w:space="0" w:color="auto"/>
              <w:left w:val="nil"/>
              <w:bottom w:val="single" w:sz="4" w:space="0" w:color="auto"/>
              <w:right w:val="single" w:sz="4" w:space="0" w:color="auto"/>
            </w:tcBorders>
            <w:shd w:val="clear" w:color="auto" w:fill="365F91"/>
            <w:noWrap/>
            <w:vAlign w:val="center"/>
            <w:hideMark/>
          </w:tcPr>
          <w:p w14:paraId="54135F16" w14:textId="77777777" w:rsidR="007D1EDC" w:rsidRPr="007D1EDC" w:rsidRDefault="007D1EDC" w:rsidP="007D1EDC">
            <w:pPr>
              <w:jc w:val="right"/>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2032</w:t>
            </w:r>
          </w:p>
        </w:tc>
        <w:tc>
          <w:tcPr>
            <w:tcW w:w="414" w:type="pct"/>
            <w:tcBorders>
              <w:top w:val="single" w:sz="4" w:space="0" w:color="auto"/>
              <w:left w:val="nil"/>
              <w:bottom w:val="single" w:sz="4" w:space="0" w:color="auto"/>
              <w:right w:val="single" w:sz="4" w:space="0" w:color="auto"/>
            </w:tcBorders>
            <w:shd w:val="clear" w:color="auto" w:fill="365F91"/>
            <w:noWrap/>
            <w:vAlign w:val="center"/>
            <w:hideMark/>
          </w:tcPr>
          <w:p w14:paraId="0633C169" w14:textId="77777777" w:rsidR="007D1EDC" w:rsidRPr="007D1EDC" w:rsidRDefault="007D1EDC" w:rsidP="007D1EDC">
            <w:pPr>
              <w:jc w:val="right"/>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2033</w:t>
            </w:r>
          </w:p>
        </w:tc>
        <w:tc>
          <w:tcPr>
            <w:tcW w:w="414" w:type="pct"/>
            <w:tcBorders>
              <w:top w:val="single" w:sz="4" w:space="0" w:color="auto"/>
              <w:left w:val="nil"/>
              <w:bottom w:val="single" w:sz="4" w:space="0" w:color="auto"/>
              <w:right w:val="single" w:sz="4" w:space="0" w:color="auto"/>
            </w:tcBorders>
            <w:shd w:val="clear" w:color="auto" w:fill="365F91"/>
            <w:noWrap/>
            <w:vAlign w:val="center"/>
            <w:hideMark/>
          </w:tcPr>
          <w:p w14:paraId="0A8F9AA3" w14:textId="77777777" w:rsidR="007D1EDC" w:rsidRPr="007D1EDC" w:rsidRDefault="007D1EDC" w:rsidP="007D1EDC">
            <w:pPr>
              <w:jc w:val="right"/>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2034</w:t>
            </w:r>
          </w:p>
        </w:tc>
        <w:tc>
          <w:tcPr>
            <w:tcW w:w="414" w:type="pct"/>
            <w:tcBorders>
              <w:top w:val="single" w:sz="4" w:space="0" w:color="auto"/>
              <w:left w:val="nil"/>
              <w:bottom w:val="single" w:sz="4" w:space="0" w:color="auto"/>
              <w:right w:val="single" w:sz="4" w:space="0" w:color="auto"/>
            </w:tcBorders>
            <w:shd w:val="clear" w:color="auto" w:fill="365F91"/>
            <w:noWrap/>
            <w:vAlign w:val="center"/>
            <w:hideMark/>
          </w:tcPr>
          <w:p w14:paraId="422C0940" w14:textId="77777777" w:rsidR="007D1EDC" w:rsidRPr="007D1EDC" w:rsidRDefault="007D1EDC" w:rsidP="007D1EDC">
            <w:pPr>
              <w:jc w:val="right"/>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2035</w:t>
            </w:r>
          </w:p>
        </w:tc>
      </w:tr>
      <w:tr w:rsidR="00967734" w:rsidRPr="007D1EDC" w14:paraId="6B83D110" w14:textId="77777777" w:rsidTr="00715FE8">
        <w:trPr>
          <w:trHeight w:val="210"/>
        </w:trPr>
        <w:tc>
          <w:tcPr>
            <w:tcW w:w="1412" w:type="pct"/>
            <w:tcBorders>
              <w:top w:val="nil"/>
              <w:left w:val="single" w:sz="4" w:space="0" w:color="auto"/>
              <w:bottom w:val="single" w:sz="4" w:space="0" w:color="auto"/>
              <w:right w:val="single" w:sz="4" w:space="0" w:color="auto"/>
            </w:tcBorders>
            <w:shd w:val="clear" w:color="auto" w:fill="auto"/>
            <w:noWrap/>
            <w:vAlign w:val="bottom"/>
            <w:hideMark/>
          </w:tcPr>
          <w:p w14:paraId="74A2C89F" w14:textId="0E3B8913" w:rsidR="00967734" w:rsidRPr="009F5CA1" w:rsidRDefault="00967734" w:rsidP="00967734">
            <w:pPr>
              <w:rPr>
                <w:rFonts w:ascii="Arial Narrow" w:hAnsi="Arial Narrow" w:cs="Calibri"/>
                <w:color w:val="000000"/>
                <w:sz w:val="20"/>
                <w:szCs w:val="20"/>
                <w:lang w:val="de-DE" w:eastAsia="en-GB"/>
              </w:rPr>
            </w:pPr>
            <w:proofErr w:type="spellStart"/>
            <w:r w:rsidRPr="009F5CA1">
              <w:rPr>
                <w:rFonts w:ascii="Arial Narrow" w:hAnsi="Arial Narrow" w:cs="Calibri"/>
                <w:color w:val="000000"/>
                <w:sz w:val="20"/>
                <w:szCs w:val="20"/>
                <w:lang w:val="de-DE" w:eastAsia="en-GB"/>
              </w:rPr>
              <w:t>Mbeturinat</w:t>
            </w:r>
            <w:proofErr w:type="spellEnd"/>
            <w:r w:rsidRPr="009F5CA1">
              <w:rPr>
                <w:rFonts w:ascii="Arial Narrow" w:hAnsi="Arial Narrow" w:cs="Calibri"/>
                <w:color w:val="000000"/>
                <w:sz w:val="20"/>
                <w:szCs w:val="20"/>
                <w:lang w:val="de-DE" w:eastAsia="en-GB"/>
              </w:rPr>
              <w:t xml:space="preserve"> e </w:t>
            </w:r>
            <w:proofErr w:type="spellStart"/>
            <w:r w:rsidRPr="009F5CA1">
              <w:rPr>
                <w:rFonts w:ascii="Arial Narrow" w:hAnsi="Arial Narrow" w:cs="Calibri"/>
                <w:color w:val="000000"/>
                <w:sz w:val="20"/>
                <w:szCs w:val="20"/>
                <w:lang w:val="de-DE" w:eastAsia="en-GB"/>
              </w:rPr>
              <w:t>kompostimit</w:t>
            </w:r>
            <w:proofErr w:type="spellEnd"/>
            <w:r w:rsidRPr="009F5CA1">
              <w:rPr>
                <w:rFonts w:ascii="Arial Narrow" w:hAnsi="Arial Narrow" w:cs="Calibri"/>
                <w:color w:val="000000"/>
                <w:sz w:val="20"/>
                <w:szCs w:val="20"/>
                <w:lang w:val="de-DE" w:eastAsia="en-GB"/>
              </w:rPr>
              <w:t xml:space="preserve"> </w:t>
            </w:r>
            <w:proofErr w:type="spellStart"/>
            <w:r w:rsidRPr="009F5CA1">
              <w:rPr>
                <w:rFonts w:ascii="Arial Narrow" w:hAnsi="Arial Narrow" w:cs="Calibri"/>
                <w:color w:val="000000"/>
                <w:sz w:val="20"/>
                <w:szCs w:val="20"/>
                <w:lang w:val="de-DE" w:eastAsia="en-GB"/>
              </w:rPr>
              <w:t>shtëpiak</w:t>
            </w:r>
            <w:proofErr w:type="spellEnd"/>
            <w:r w:rsidRPr="009F5CA1">
              <w:rPr>
                <w:rFonts w:ascii="Arial Narrow" w:hAnsi="Arial Narrow" w:cs="Calibri"/>
                <w:color w:val="000000"/>
                <w:sz w:val="20"/>
                <w:szCs w:val="20"/>
                <w:lang w:val="de-DE" w:eastAsia="en-GB"/>
              </w:rPr>
              <w:t xml:space="preserve">, </w:t>
            </w:r>
            <w:proofErr w:type="spellStart"/>
            <w:r w:rsidRPr="009F5CA1">
              <w:rPr>
                <w:rFonts w:ascii="Arial Narrow" w:hAnsi="Arial Narrow" w:cs="Calibri"/>
                <w:color w:val="000000"/>
                <w:sz w:val="20"/>
                <w:szCs w:val="20"/>
                <w:lang w:val="de-DE" w:eastAsia="en-GB"/>
              </w:rPr>
              <w:t>Pejë</w:t>
            </w:r>
            <w:proofErr w:type="spellEnd"/>
          </w:p>
        </w:tc>
        <w:tc>
          <w:tcPr>
            <w:tcW w:w="393" w:type="pct"/>
            <w:tcBorders>
              <w:top w:val="nil"/>
              <w:left w:val="nil"/>
              <w:bottom w:val="single" w:sz="4" w:space="0" w:color="auto"/>
              <w:right w:val="single" w:sz="4" w:space="0" w:color="auto"/>
            </w:tcBorders>
            <w:shd w:val="clear" w:color="auto" w:fill="auto"/>
            <w:noWrap/>
            <w:vAlign w:val="bottom"/>
            <w:hideMark/>
          </w:tcPr>
          <w:p w14:paraId="23F76783"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177 t</w:t>
            </w:r>
          </w:p>
        </w:tc>
        <w:tc>
          <w:tcPr>
            <w:tcW w:w="393" w:type="pct"/>
            <w:tcBorders>
              <w:top w:val="nil"/>
              <w:left w:val="nil"/>
              <w:bottom w:val="single" w:sz="4" w:space="0" w:color="auto"/>
              <w:right w:val="single" w:sz="4" w:space="0" w:color="auto"/>
            </w:tcBorders>
            <w:shd w:val="clear" w:color="auto" w:fill="auto"/>
            <w:noWrap/>
            <w:vAlign w:val="bottom"/>
            <w:hideMark/>
          </w:tcPr>
          <w:p w14:paraId="654AC7DB"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196 t</w:t>
            </w:r>
          </w:p>
        </w:tc>
        <w:tc>
          <w:tcPr>
            <w:tcW w:w="357" w:type="pct"/>
            <w:tcBorders>
              <w:top w:val="nil"/>
              <w:left w:val="nil"/>
              <w:bottom w:val="single" w:sz="4" w:space="0" w:color="auto"/>
              <w:right w:val="single" w:sz="4" w:space="0" w:color="auto"/>
            </w:tcBorders>
            <w:shd w:val="clear" w:color="auto" w:fill="auto"/>
            <w:noWrap/>
            <w:vAlign w:val="bottom"/>
            <w:hideMark/>
          </w:tcPr>
          <w:p w14:paraId="00E21067"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217 t</w:t>
            </w:r>
          </w:p>
        </w:tc>
        <w:tc>
          <w:tcPr>
            <w:tcW w:w="394" w:type="pct"/>
            <w:tcBorders>
              <w:top w:val="nil"/>
              <w:left w:val="nil"/>
              <w:bottom w:val="single" w:sz="4" w:space="0" w:color="auto"/>
              <w:right w:val="single" w:sz="4" w:space="0" w:color="auto"/>
            </w:tcBorders>
            <w:shd w:val="clear" w:color="auto" w:fill="auto"/>
            <w:noWrap/>
            <w:vAlign w:val="bottom"/>
            <w:hideMark/>
          </w:tcPr>
          <w:p w14:paraId="7B9BEBD9" w14:textId="3C60E85D"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240 t</w:t>
            </w:r>
          </w:p>
        </w:tc>
        <w:tc>
          <w:tcPr>
            <w:tcW w:w="394" w:type="pct"/>
            <w:tcBorders>
              <w:top w:val="nil"/>
              <w:left w:val="nil"/>
              <w:bottom w:val="single" w:sz="4" w:space="0" w:color="auto"/>
              <w:right w:val="single" w:sz="4" w:space="0" w:color="auto"/>
            </w:tcBorders>
            <w:shd w:val="clear" w:color="auto" w:fill="auto"/>
            <w:noWrap/>
            <w:vAlign w:val="bottom"/>
            <w:hideMark/>
          </w:tcPr>
          <w:p w14:paraId="27B3D906" w14:textId="3E189308"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256 t</w:t>
            </w:r>
          </w:p>
        </w:tc>
        <w:tc>
          <w:tcPr>
            <w:tcW w:w="414" w:type="pct"/>
            <w:tcBorders>
              <w:top w:val="nil"/>
              <w:left w:val="nil"/>
              <w:bottom w:val="single" w:sz="4" w:space="0" w:color="auto"/>
              <w:right w:val="single" w:sz="4" w:space="0" w:color="auto"/>
            </w:tcBorders>
            <w:shd w:val="clear" w:color="auto" w:fill="auto"/>
            <w:noWrap/>
            <w:vAlign w:val="bottom"/>
            <w:hideMark/>
          </w:tcPr>
          <w:p w14:paraId="39997D7E" w14:textId="0B1BD0A4"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1,451 t</w:t>
            </w:r>
          </w:p>
        </w:tc>
        <w:tc>
          <w:tcPr>
            <w:tcW w:w="414" w:type="pct"/>
            <w:tcBorders>
              <w:top w:val="nil"/>
              <w:left w:val="nil"/>
              <w:bottom w:val="single" w:sz="4" w:space="0" w:color="auto"/>
              <w:right w:val="single" w:sz="4" w:space="0" w:color="auto"/>
            </w:tcBorders>
            <w:shd w:val="clear" w:color="auto" w:fill="auto"/>
            <w:noWrap/>
            <w:vAlign w:val="bottom"/>
            <w:hideMark/>
          </w:tcPr>
          <w:p w14:paraId="50701B19" w14:textId="53D9F885"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1,657 t</w:t>
            </w:r>
          </w:p>
        </w:tc>
        <w:tc>
          <w:tcPr>
            <w:tcW w:w="414" w:type="pct"/>
            <w:tcBorders>
              <w:top w:val="nil"/>
              <w:left w:val="nil"/>
              <w:bottom w:val="single" w:sz="4" w:space="0" w:color="auto"/>
              <w:right w:val="single" w:sz="4" w:space="0" w:color="auto"/>
            </w:tcBorders>
            <w:shd w:val="clear" w:color="auto" w:fill="auto"/>
            <w:noWrap/>
            <w:vAlign w:val="bottom"/>
            <w:hideMark/>
          </w:tcPr>
          <w:p w14:paraId="77CC5D21" w14:textId="6BD4D3B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1,895 t</w:t>
            </w:r>
          </w:p>
        </w:tc>
        <w:tc>
          <w:tcPr>
            <w:tcW w:w="414" w:type="pct"/>
            <w:tcBorders>
              <w:top w:val="nil"/>
              <w:left w:val="nil"/>
              <w:bottom w:val="single" w:sz="4" w:space="0" w:color="auto"/>
              <w:right w:val="single" w:sz="4" w:space="0" w:color="auto"/>
            </w:tcBorders>
            <w:shd w:val="clear" w:color="auto" w:fill="auto"/>
            <w:noWrap/>
            <w:vAlign w:val="bottom"/>
            <w:hideMark/>
          </w:tcPr>
          <w:p w14:paraId="761DAD07" w14:textId="6D4B66F9"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2,045 t</w:t>
            </w:r>
          </w:p>
        </w:tc>
      </w:tr>
      <w:tr w:rsidR="00967734" w:rsidRPr="007D1EDC" w14:paraId="58A9BB74" w14:textId="77777777" w:rsidTr="00715FE8">
        <w:trPr>
          <w:trHeight w:val="210"/>
        </w:trPr>
        <w:tc>
          <w:tcPr>
            <w:tcW w:w="1412" w:type="pct"/>
            <w:tcBorders>
              <w:top w:val="nil"/>
              <w:left w:val="single" w:sz="4" w:space="0" w:color="auto"/>
              <w:bottom w:val="single" w:sz="4" w:space="0" w:color="auto"/>
              <w:right w:val="single" w:sz="4" w:space="0" w:color="auto"/>
            </w:tcBorders>
            <w:shd w:val="clear" w:color="auto" w:fill="auto"/>
            <w:noWrap/>
            <w:vAlign w:val="bottom"/>
            <w:hideMark/>
          </w:tcPr>
          <w:p w14:paraId="3AF845D4" w14:textId="150857F3" w:rsidR="00967734" w:rsidRPr="009F5CA1" w:rsidRDefault="00967734" w:rsidP="00967734">
            <w:pPr>
              <w:rPr>
                <w:rFonts w:ascii="Arial Narrow" w:hAnsi="Arial Narrow" w:cs="Calibri"/>
                <w:color w:val="000000"/>
                <w:sz w:val="20"/>
                <w:szCs w:val="20"/>
                <w:lang w:val="es-ES" w:eastAsia="en-GB"/>
              </w:rPr>
            </w:pPr>
            <w:proofErr w:type="spellStart"/>
            <w:r w:rsidRPr="009F5CA1">
              <w:rPr>
                <w:rFonts w:ascii="Arial Narrow" w:hAnsi="Arial Narrow" w:cs="Calibri"/>
                <w:color w:val="000000"/>
                <w:sz w:val="20"/>
                <w:szCs w:val="20"/>
                <w:lang w:val="es-ES" w:eastAsia="en-GB"/>
              </w:rPr>
              <w:t>Kostoja</w:t>
            </w:r>
            <w:proofErr w:type="spellEnd"/>
            <w:r w:rsidRPr="009F5CA1">
              <w:rPr>
                <w:rFonts w:ascii="Arial Narrow" w:hAnsi="Arial Narrow" w:cs="Calibri"/>
                <w:color w:val="000000"/>
                <w:sz w:val="20"/>
                <w:szCs w:val="20"/>
                <w:lang w:val="es-ES" w:eastAsia="en-GB"/>
              </w:rPr>
              <w:t xml:space="preserve"> </w:t>
            </w:r>
            <w:proofErr w:type="spellStart"/>
            <w:r w:rsidRPr="009F5CA1">
              <w:rPr>
                <w:rFonts w:ascii="Arial Narrow" w:hAnsi="Arial Narrow" w:cs="Calibri"/>
                <w:color w:val="000000"/>
                <w:sz w:val="20"/>
                <w:szCs w:val="20"/>
                <w:lang w:val="es-ES" w:eastAsia="en-GB"/>
              </w:rPr>
              <w:t>për</w:t>
            </w:r>
            <w:proofErr w:type="spellEnd"/>
            <w:r w:rsidRPr="009F5CA1">
              <w:rPr>
                <w:rFonts w:ascii="Arial Narrow" w:hAnsi="Arial Narrow" w:cs="Calibri"/>
                <w:color w:val="000000"/>
                <w:sz w:val="20"/>
                <w:szCs w:val="20"/>
                <w:lang w:val="es-ES" w:eastAsia="en-GB"/>
              </w:rPr>
              <w:t xml:space="preserve"> </w:t>
            </w:r>
            <w:proofErr w:type="spellStart"/>
            <w:r w:rsidRPr="009F5CA1">
              <w:rPr>
                <w:rFonts w:ascii="Arial Narrow" w:hAnsi="Arial Narrow" w:cs="Calibri"/>
                <w:color w:val="000000"/>
                <w:sz w:val="20"/>
                <w:szCs w:val="20"/>
                <w:lang w:val="es-ES" w:eastAsia="en-GB"/>
              </w:rPr>
              <w:t>Pejë</w:t>
            </w:r>
            <w:proofErr w:type="spellEnd"/>
            <w:r w:rsidRPr="009F5CA1">
              <w:rPr>
                <w:rFonts w:ascii="Arial Narrow" w:hAnsi="Arial Narrow" w:cs="Calibri"/>
                <w:color w:val="000000"/>
                <w:sz w:val="20"/>
                <w:szCs w:val="20"/>
                <w:lang w:val="es-ES" w:eastAsia="en-GB"/>
              </w:rPr>
              <w:t xml:space="preserve">, </w:t>
            </w:r>
            <w:proofErr w:type="spellStart"/>
            <w:r w:rsidRPr="009F5CA1">
              <w:rPr>
                <w:rFonts w:ascii="Arial Narrow" w:hAnsi="Arial Narrow" w:cs="Calibri"/>
                <w:color w:val="000000"/>
                <w:sz w:val="20"/>
                <w:szCs w:val="20"/>
                <w:lang w:val="es-ES" w:eastAsia="en-GB"/>
              </w:rPr>
              <w:t>mijë</w:t>
            </w:r>
            <w:proofErr w:type="spellEnd"/>
            <w:r w:rsidRPr="009F5CA1">
              <w:rPr>
                <w:rFonts w:ascii="Arial Narrow" w:hAnsi="Arial Narrow" w:cs="Calibri"/>
                <w:color w:val="000000"/>
                <w:sz w:val="20"/>
                <w:szCs w:val="20"/>
                <w:lang w:val="es-ES" w:eastAsia="en-GB"/>
              </w:rPr>
              <w:t xml:space="preserve"> euro</w:t>
            </w:r>
          </w:p>
        </w:tc>
        <w:tc>
          <w:tcPr>
            <w:tcW w:w="393" w:type="pct"/>
            <w:tcBorders>
              <w:top w:val="nil"/>
              <w:left w:val="nil"/>
              <w:bottom w:val="single" w:sz="4" w:space="0" w:color="auto"/>
              <w:right w:val="single" w:sz="4" w:space="0" w:color="auto"/>
            </w:tcBorders>
            <w:shd w:val="clear" w:color="auto" w:fill="auto"/>
            <w:noWrap/>
            <w:vAlign w:val="bottom"/>
            <w:hideMark/>
          </w:tcPr>
          <w:p w14:paraId="619BA8F6"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24</w:t>
            </w:r>
          </w:p>
        </w:tc>
        <w:tc>
          <w:tcPr>
            <w:tcW w:w="393" w:type="pct"/>
            <w:tcBorders>
              <w:top w:val="nil"/>
              <w:left w:val="nil"/>
              <w:bottom w:val="single" w:sz="4" w:space="0" w:color="auto"/>
              <w:right w:val="single" w:sz="4" w:space="0" w:color="auto"/>
            </w:tcBorders>
            <w:shd w:val="clear" w:color="auto" w:fill="auto"/>
            <w:noWrap/>
            <w:vAlign w:val="bottom"/>
            <w:hideMark/>
          </w:tcPr>
          <w:p w14:paraId="2BADC221"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26</w:t>
            </w:r>
          </w:p>
        </w:tc>
        <w:tc>
          <w:tcPr>
            <w:tcW w:w="357" w:type="pct"/>
            <w:tcBorders>
              <w:top w:val="nil"/>
              <w:left w:val="nil"/>
              <w:bottom w:val="single" w:sz="4" w:space="0" w:color="auto"/>
              <w:right w:val="single" w:sz="4" w:space="0" w:color="auto"/>
            </w:tcBorders>
            <w:shd w:val="clear" w:color="auto" w:fill="auto"/>
            <w:noWrap/>
            <w:vAlign w:val="bottom"/>
            <w:hideMark/>
          </w:tcPr>
          <w:p w14:paraId="43FD40E2"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27</w:t>
            </w:r>
          </w:p>
        </w:tc>
        <w:tc>
          <w:tcPr>
            <w:tcW w:w="394" w:type="pct"/>
            <w:tcBorders>
              <w:top w:val="nil"/>
              <w:left w:val="nil"/>
              <w:bottom w:val="single" w:sz="4" w:space="0" w:color="auto"/>
              <w:right w:val="single" w:sz="4" w:space="0" w:color="auto"/>
            </w:tcBorders>
            <w:shd w:val="clear" w:color="auto" w:fill="auto"/>
            <w:noWrap/>
            <w:vAlign w:val="bottom"/>
            <w:hideMark/>
          </w:tcPr>
          <w:p w14:paraId="65AEF039"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28</w:t>
            </w:r>
          </w:p>
        </w:tc>
        <w:tc>
          <w:tcPr>
            <w:tcW w:w="394" w:type="pct"/>
            <w:tcBorders>
              <w:top w:val="nil"/>
              <w:left w:val="nil"/>
              <w:bottom w:val="single" w:sz="4" w:space="0" w:color="auto"/>
              <w:right w:val="single" w:sz="4" w:space="0" w:color="auto"/>
            </w:tcBorders>
            <w:shd w:val="clear" w:color="auto" w:fill="auto"/>
            <w:noWrap/>
            <w:vAlign w:val="bottom"/>
            <w:hideMark/>
          </w:tcPr>
          <w:p w14:paraId="0342978C"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30</w:t>
            </w:r>
          </w:p>
        </w:tc>
        <w:tc>
          <w:tcPr>
            <w:tcW w:w="414" w:type="pct"/>
            <w:tcBorders>
              <w:top w:val="nil"/>
              <w:left w:val="nil"/>
              <w:bottom w:val="single" w:sz="4" w:space="0" w:color="auto"/>
              <w:right w:val="single" w:sz="4" w:space="0" w:color="auto"/>
            </w:tcBorders>
            <w:shd w:val="clear" w:color="auto" w:fill="auto"/>
            <w:noWrap/>
            <w:vAlign w:val="bottom"/>
            <w:hideMark/>
          </w:tcPr>
          <w:p w14:paraId="2CBC8B5C"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31</w:t>
            </w:r>
          </w:p>
        </w:tc>
        <w:tc>
          <w:tcPr>
            <w:tcW w:w="414" w:type="pct"/>
            <w:tcBorders>
              <w:top w:val="nil"/>
              <w:left w:val="nil"/>
              <w:bottom w:val="single" w:sz="4" w:space="0" w:color="auto"/>
              <w:right w:val="single" w:sz="4" w:space="0" w:color="auto"/>
            </w:tcBorders>
            <w:shd w:val="clear" w:color="auto" w:fill="auto"/>
            <w:noWrap/>
            <w:vAlign w:val="bottom"/>
            <w:hideMark/>
          </w:tcPr>
          <w:p w14:paraId="583B166C"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33</w:t>
            </w:r>
          </w:p>
        </w:tc>
        <w:tc>
          <w:tcPr>
            <w:tcW w:w="414" w:type="pct"/>
            <w:tcBorders>
              <w:top w:val="nil"/>
              <w:left w:val="nil"/>
              <w:bottom w:val="single" w:sz="4" w:space="0" w:color="auto"/>
              <w:right w:val="single" w:sz="4" w:space="0" w:color="auto"/>
            </w:tcBorders>
            <w:shd w:val="clear" w:color="auto" w:fill="auto"/>
            <w:noWrap/>
            <w:vAlign w:val="bottom"/>
            <w:hideMark/>
          </w:tcPr>
          <w:p w14:paraId="6DD82172"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34</w:t>
            </w:r>
          </w:p>
        </w:tc>
        <w:tc>
          <w:tcPr>
            <w:tcW w:w="414" w:type="pct"/>
            <w:tcBorders>
              <w:top w:val="nil"/>
              <w:left w:val="nil"/>
              <w:bottom w:val="single" w:sz="4" w:space="0" w:color="auto"/>
              <w:right w:val="single" w:sz="4" w:space="0" w:color="auto"/>
            </w:tcBorders>
            <w:shd w:val="clear" w:color="auto" w:fill="auto"/>
            <w:noWrap/>
            <w:vAlign w:val="bottom"/>
            <w:hideMark/>
          </w:tcPr>
          <w:p w14:paraId="1788080E"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36</w:t>
            </w:r>
          </w:p>
        </w:tc>
      </w:tr>
      <w:tr w:rsidR="00967734" w:rsidRPr="007D1EDC" w14:paraId="1CAC34BF" w14:textId="77777777" w:rsidTr="00715FE8">
        <w:trPr>
          <w:trHeight w:val="210"/>
        </w:trPr>
        <w:tc>
          <w:tcPr>
            <w:tcW w:w="1412" w:type="pct"/>
            <w:tcBorders>
              <w:top w:val="nil"/>
              <w:left w:val="single" w:sz="4" w:space="0" w:color="auto"/>
              <w:bottom w:val="single" w:sz="4" w:space="0" w:color="auto"/>
              <w:right w:val="single" w:sz="4" w:space="0" w:color="auto"/>
            </w:tcBorders>
            <w:shd w:val="clear" w:color="auto" w:fill="auto"/>
            <w:noWrap/>
            <w:vAlign w:val="bottom"/>
            <w:hideMark/>
          </w:tcPr>
          <w:p w14:paraId="02893E17" w14:textId="5CDCC15A" w:rsidR="00967734" w:rsidRPr="009F5CA1" w:rsidRDefault="00967734" w:rsidP="00967734">
            <w:pPr>
              <w:rPr>
                <w:rFonts w:ascii="Arial Narrow" w:hAnsi="Arial Narrow" w:cs="Calibri"/>
                <w:color w:val="000000"/>
                <w:sz w:val="20"/>
                <w:szCs w:val="20"/>
                <w:lang w:val="de-DE" w:eastAsia="en-GB"/>
              </w:rPr>
            </w:pPr>
            <w:proofErr w:type="spellStart"/>
            <w:r w:rsidRPr="009F5CA1">
              <w:rPr>
                <w:rFonts w:ascii="Arial Narrow" w:hAnsi="Arial Narrow" w:cs="Calibri"/>
                <w:color w:val="000000"/>
                <w:sz w:val="20"/>
                <w:szCs w:val="20"/>
                <w:lang w:val="de-DE" w:eastAsia="en-GB"/>
              </w:rPr>
              <w:t>Mbeturinat</w:t>
            </w:r>
            <w:proofErr w:type="spellEnd"/>
            <w:r w:rsidRPr="009F5CA1">
              <w:rPr>
                <w:rFonts w:ascii="Arial Narrow" w:hAnsi="Arial Narrow" w:cs="Calibri"/>
                <w:color w:val="000000"/>
                <w:sz w:val="20"/>
                <w:szCs w:val="20"/>
                <w:lang w:val="de-DE" w:eastAsia="en-GB"/>
              </w:rPr>
              <w:t xml:space="preserve"> e </w:t>
            </w:r>
            <w:proofErr w:type="spellStart"/>
            <w:r w:rsidRPr="009F5CA1">
              <w:rPr>
                <w:rFonts w:ascii="Arial Narrow" w:hAnsi="Arial Narrow" w:cs="Calibri"/>
                <w:color w:val="000000"/>
                <w:sz w:val="20"/>
                <w:szCs w:val="20"/>
                <w:lang w:val="de-DE" w:eastAsia="en-GB"/>
              </w:rPr>
              <w:t>kompostimit</w:t>
            </w:r>
            <w:proofErr w:type="spellEnd"/>
            <w:r w:rsidRPr="009F5CA1">
              <w:rPr>
                <w:rFonts w:ascii="Arial Narrow" w:hAnsi="Arial Narrow" w:cs="Calibri"/>
                <w:color w:val="000000"/>
                <w:sz w:val="20"/>
                <w:szCs w:val="20"/>
                <w:lang w:val="de-DE" w:eastAsia="en-GB"/>
              </w:rPr>
              <w:t xml:space="preserve"> </w:t>
            </w:r>
            <w:proofErr w:type="spellStart"/>
            <w:r w:rsidRPr="009F5CA1">
              <w:rPr>
                <w:rFonts w:ascii="Arial Narrow" w:hAnsi="Arial Narrow" w:cs="Calibri"/>
                <w:color w:val="000000"/>
                <w:sz w:val="20"/>
                <w:szCs w:val="20"/>
                <w:lang w:val="de-DE" w:eastAsia="en-GB"/>
              </w:rPr>
              <w:t>shtëpiak</w:t>
            </w:r>
            <w:proofErr w:type="spellEnd"/>
            <w:r w:rsidRPr="009F5CA1">
              <w:rPr>
                <w:rFonts w:ascii="Arial Narrow" w:hAnsi="Arial Narrow" w:cs="Calibri"/>
                <w:color w:val="000000"/>
                <w:sz w:val="20"/>
                <w:szCs w:val="20"/>
                <w:lang w:val="de-DE" w:eastAsia="en-GB"/>
              </w:rPr>
              <w:t xml:space="preserve">, </w:t>
            </w:r>
            <w:proofErr w:type="spellStart"/>
            <w:r w:rsidRPr="009F5CA1">
              <w:rPr>
                <w:rFonts w:ascii="Arial Narrow" w:hAnsi="Arial Narrow" w:cs="Calibri"/>
                <w:color w:val="000000"/>
                <w:sz w:val="20"/>
                <w:szCs w:val="20"/>
                <w:lang w:val="de-DE" w:eastAsia="en-GB"/>
              </w:rPr>
              <w:t>Istog</w:t>
            </w:r>
            <w:proofErr w:type="spellEnd"/>
          </w:p>
        </w:tc>
        <w:tc>
          <w:tcPr>
            <w:tcW w:w="393" w:type="pct"/>
            <w:tcBorders>
              <w:top w:val="nil"/>
              <w:left w:val="nil"/>
              <w:bottom w:val="single" w:sz="4" w:space="0" w:color="auto"/>
              <w:right w:val="single" w:sz="4" w:space="0" w:color="auto"/>
            </w:tcBorders>
            <w:shd w:val="clear" w:color="auto" w:fill="auto"/>
            <w:noWrap/>
            <w:vAlign w:val="bottom"/>
            <w:hideMark/>
          </w:tcPr>
          <w:p w14:paraId="661FAFE0"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97 t</w:t>
            </w:r>
          </w:p>
        </w:tc>
        <w:tc>
          <w:tcPr>
            <w:tcW w:w="393" w:type="pct"/>
            <w:tcBorders>
              <w:top w:val="nil"/>
              <w:left w:val="nil"/>
              <w:bottom w:val="single" w:sz="4" w:space="0" w:color="auto"/>
              <w:right w:val="single" w:sz="4" w:space="0" w:color="auto"/>
            </w:tcBorders>
            <w:shd w:val="clear" w:color="auto" w:fill="auto"/>
            <w:noWrap/>
            <w:vAlign w:val="bottom"/>
            <w:hideMark/>
          </w:tcPr>
          <w:p w14:paraId="68AB1511"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107 t</w:t>
            </w:r>
          </w:p>
        </w:tc>
        <w:tc>
          <w:tcPr>
            <w:tcW w:w="357" w:type="pct"/>
            <w:tcBorders>
              <w:top w:val="nil"/>
              <w:left w:val="nil"/>
              <w:bottom w:val="single" w:sz="4" w:space="0" w:color="auto"/>
              <w:right w:val="single" w:sz="4" w:space="0" w:color="auto"/>
            </w:tcBorders>
            <w:shd w:val="clear" w:color="auto" w:fill="auto"/>
            <w:noWrap/>
            <w:vAlign w:val="bottom"/>
            <w:hideMark/>
          </w:tcPr>
          <w:p w14:paraId="06542537"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119 t</w:t>
            </w:r>
          </w:p>
        </w:tc>
        <w:tc>
          <w:tcPr>
            <w:tcW w:w="394" w:type="pct"/>
            <w:tcBorders>
              <w:top w:val="nil"/>
              <w:left w:val="nil"/>
              <w:bottom w:val="single" w:sz="4" w:space="0" w:color="auto"/>
              <w:right w:val="single" w:sz="4" w:space="0" w:color="auto"/>
            </w:tcBorders>
            <w:shd w:val="clear" w:color="auto" w:fill="auto"/>
            <w:noWrap/>
            <w:vAlign w:val="bottom"/>
            <w:hideMark/>
          </w:tcPr>
          <w:p w14:paraId="65246201" w14:textId="7947B6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132 t</w:t>
            </w:r>
          </w:p>
        </w:tc>
        <w:tc>
          <w:tcPr>
            <w:tcW w:w="394" w:type="pct"/>
            <w:tcBorders>
              <w:top w:val="nil"/>
              <w:left w:val="nil"/>
              <w:bottom w:val="single" w:sz="4" w:space="0" w:color="auto"/>
              <w:right w:val="single" w:sz="4" w:space="0" w:color="auto"/>
            </w:tcBorders>
            <w:shd w:val="clear" w:color="auto" w:fill="auto"/>
            <w:noWrap/>
            <w:vAlign w:val="bottom"/>
            <w:hideMark/>
          </w:tcPr>
          <w:p w14:paraId="3FD0B4F4" w14:textId="52ADE8AB"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140 t</w:t>
            </w:r>
          </w:p>
        </w:tc>
        <w:tc>
          <w:tcPr>
            <w:tcW w:w="414" w:type="pct"/>
            <w:tcBorders>
              <w:top w:val="nil"/>
              <w:left w:val="nil"/>
              <w:bottom w:val="single" w:sz="4" w:space="0" w:color="auto"/>
              <w:right w:val="single" w:sz="4" w:space="0" w:color="auto"/>
            </w:tcBorders>
            <w:shd w:val="clear" w:color="auto" w:fill="auto"/>
            <w:noWrap/>
            <w:vAlign w:val="bottom"/>
            <w:hideMark/>
          </w:tcPr>
          <w:p w14:paraId="44BAC065" w14:textId="73BD6C68"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795 t</w:t>
            </w:r>
          </w:p>
        </w:tc>
        <w:tc>
          <w:tcPr>
            <w:tcW w:w="414" w:type="pct"/>
            <w:tcBorders>
              <w:top w:val="nil"/>
              <w:left w:val="nil"/>
              <w:bottom w:val="single" w:sz="4" w:space="0" w:color="auto"/>
              <w:right w:val="single" w:sz="4" w:space="0" w:color="auto"/>
            </w:tcBorders>
            <w:shd w:val="clear" w:color="auto" w:fill="auto"/>
            <w:noWrap/>
            <w:vAlign w:val="bottom"/>
            <w:hideMark/>
          </w:tcPr>
          <w:p w14:paraId="4B73AEAB"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908 t</w:t>
            </w:r>
          </w:p>
        </w:tc>
        <w:tc>
          <w:tcPr>
            <w:tcW w:w="414" w:type="pct"/>
            <w:tcBorders>
              <w:top w:val="nil"/>
              <w:left w:val="nil"/>
              <w:bottom w:val="single" w:sz="4" w:space="0" w:color="auto"/>
              <w:right w:val="single" w:sz="4" w:space="0" w:color="auto"/>
            </w:tcBorders>
            <w:shd w:val="clear" w:color="auto" w:fill="auto"/>
            <w:noWrap/>
            <w:vAlign w:val="bottom"/>
            <w:hideMark/>
          </w:tcPr>
          <w:p w14:paraId="3000B701" w14:textId="2DA28AA3"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1,038 t</w:t>
            </w:r>
          </w:p>
        </w:tc>
        <w:tc>
          <w:tcPr>
            <w:tcW w:w="414" w:type="pct"/>
            <w:tcBorders>
              <w:top w:val="nil"/>
              <w:left w:val="nil"/>
              <w:bottom w:val="single" w:sz="4" w:space="0" w:color="auto"/>
              <w:right w:val="single" w:sz="4" w:space="0" w:color="auto"/>
            </w:tcBorders>
            <w:shd w:val="clear" w:color="auto" w:fill="auto"/>
            <w:noWrap/>
            <w:vAlign w:val="bottom"/>
            <w:hideMark/>
          </w:tcPr>
          <w:p w14:paraId="267975E2" w14:textId="05BD8E8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1,120 t</w:t>
            </w:r>
          </w:p>
        </w:tc>
      </w:tr>
      <w:tr w:rsidR="00967734" w:rsidRPr="007D1EDC" w14:paraId="5B0A39F5" w14:textId="77777777" w:rsidTr="00715FE8">
        <w:trPr>
          <w:trHeight w:val="200"/>
        </w:trPr>
        <w:tc>
          <w:tcPr>
            <w:tcW w:w="1412" w:type="pct"/>
            <w:tcBorders>
              <w:top w:val="nil"/>
              <w:left w:val="single" w:sz="4" w:space="0" w:color="auto"/>
              <w:bottom w:val="single" w:sz="4" w:space="0" w:color="auto"/>
              <w:right w:val="single" w:sz="4" w:space="0" w:color="auto"/>
            </w:tcBorders>
            <w:shd w:val="clear" w:color="auto" w:fill="auto"/>
            <w:noWrap/>
            <w:vAlign w:val="bottom"/>
            <w:hideMark/>
          </w:tcPr>
          <w:p w14:paraId="15704E78" w14:textId="3F5E1F68" w:rsidR="00967734" w:rsidRPr="009F5CA1" w:rsidRDefault="00967734" w:rsidP="00967734">
            <w:pPr>
              <w:rPr>
                <w:rFonts w:ascii="Arial Narrow" w:hAnsi="Arial Narrow" w:cs="Calibri"/>
                <w:color w:val="000000"/>
                <w:sz w:val="20"/>
                <w:szCs w:val="20"/>
                <w:lang w:eastAsia="en-GB"/>
              </w:rPr>
            </w:pPr>
            <w:r w:rsidRPr="009F5CA1">
              <w:rPr>
                <w:rFonts w:ascii="Arial Narrow" w:hAnsi="Arial Narrow" w:cs="Calibri"/>
                <w:color w:val="000000"/>
                <w:sz w:val="20"/>
                <w:szCs w:val="20"/>
                <w:lang w:eastAsia="en-GB"/>
              </w:rPr>
              <w:t>Kostoja për Istog , mijë euro</w:t>
            </w:r>
          </w:p>
        </w:tc>
        <w:tc>
          <w:tcPr>
            <w:tcW w:w="393" w:type="pct"/>
            <w:tcBorders>
              <w:top w:val="nil"/>
              <w:left w:val="nil"/>
              <w:bottom w:val="single" w:sz="4" w:space="0" w:color="auto"/>
              <w:right w:val="single" w:sz="4" w:space="0" w:color="auto"/>
            </w:tcBorders>
            <w:shd w:val="clear" w:color="auto" w:fill="auto"/>
            <w:noWrap/>
            <w:vAlign w:val="bottom"/>
            <w:hideMark/>
          </w:tcPr>
          <w:p w14:paraId="107F0539"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17</w:t>
            </w:r>
          </w:p>
        </w:tc>
        <w:tc>
          <w:tcPr>
            <w:tcW w:w="393" w:type="pct"/>
            <w:tcBorders>
              <w:top w:val="nil"/>
              <w:left w:val="nil"/>
              <w:bottom w:val="single" w:sz="4" w:space="0" w:color="auto"/>
              <w:right w:val="single" w:sz="4" w:space="0" w:color="auto"/>
            </w:tcBorders>
            <w:shd w:val="clear" w:color="auto" w:fill="auto"/>
            <w:noWrap/>
            <w:vAlign w:val="bottom"/>
            <w:hideMark/>
          </w:tcPr>
          <w:p w14:paraId="73F814F3"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18</w:t>
            </w:r>
          </w:p>
        </w:tc>
        <w:tc>
          <w:tcPr>
            <w:tcW w:w="357" w:type="pct"/>
            <w:tcBorders>
              <w:top w:val="nil"/>
              <w:left w:val="nil"/>
              <w:bottom w:val="single" w:sz="4" w:space="0" w:color="auto"/>
              <w:right w:val="single" w:sz="4" w:space="0" w:color="auto"/>
            </w:tcBorders>
            <w:shd w:val="clear" w:color="auto" w:fill="auto"/>
            <w:noWrap/>
            <w:vAlign w:val="bottom"/>
            <w:hideMark/>
          </w:tcPr>
          <w:p w14:paraId="0F48A5CB"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19</w:t>
            </w:r>
          </w:p>
        </w:tc>
        <w:tc>
          <w:tcPr>
            <w:tcW w:w="394" w:type="pct"/>
            <w:tcBorders>
              <w:top w:val="nil"/>
              <w:left w:val="nil"/>
              <w:bottom w:val="single" w:sz="4" w:space="0" w:color="auto"/>
              <w:right w:val="single" w:sz="4" w:space="0" w:color="auto"/>
            </w:tcBorders>
            <w:shd w:val="clear" w:color="auto" w:fill="auto"/>
            <w:noWrap/>
            <w:vAlign w:val="bottom"/>
            <w:hideMark/>
          </w:tcPr>
          <w:p w14:paraId="710D056E"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20</w:t>
            </w:r>
          </w:p>
        </w:tc>
        <w:tc>
          <w:tcPr>
            <w:tcW w:w="394" w:type="pct"/>
            <w:tcBorders>
              <w:top w:val="nil"/>
              <w:left w:val="nil"/>
              <w:bottom w:val="single" w:sz="4" w:space="0" w:color="auto"/>
              <w:right w:val="single" w:sz="4" w:space="0" w:color="auto"/>
            </w:tcBorders>
            <w:shd w:val="clear" w:color="auto" w:fill="auto"/>
            <w:noWrap/>
            <w:vAlign w:val="bottom"/>
            <w:hideMark/>
          </w:tcPr>
          <w:p w14:paraId="1B963F01"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21</w:t>
            </w:r>
          </w:p>
        </w:tc>
        <w:tc>
          <w:tcPr>
            <w:tcW w:w="414" w:type="pct"/>
            <w:tcBorders>
              <w:top w:val="nil"/>
              <w:left w:val="nil"/>
              <w:bottom w:val="single" w:sz="4" w:space="0" w:color="auto"/>
              <w:right w:val="single" w:sz="4" w:space="0" w:color="auto"/>
            </w:tcBorders>
            <w:shd w:val="clear" w:color="auto" w:fill="auto"/>
            <w:noWrap/>
            <w:vAlign w:val="bottom"/>
            <w:hideMark/>
          </w:tcPr>
          <w:p w14:paraId="6DFBCE85"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22</w:t>
            </w:r>
          </w:p>
        </w:tc>
        <w:tc>
          <w:tcPr>
            <w:tcW w:w="414" w:type="pct"/>
            <w:tcBorders>
              <w:top w:val="nil"/>
              <w:left w:val="nil"/>
              <w:bottom w:val="single" w:sz="4" w:space="0" w:color="auto"/>
              <w:right w:val="single" w:sz="4" w:space="0" w:color="auto"/>
            </w:tcBorders>
            <w:shd w:val="clear" w:color="auto" w:fill="auto"/>
            <w:noWrap/>
            <w:vAlign w:val="bottom"/>
            <w:hideMark/>
          </w:tcPr>
          <w:p w14:paraId="702EB741"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23</w:t>
            </w:r>
          </w:p>
        </w:tc>
        <w:tc>
          <w:tcPr>
            <w:tcW w:w="414" w:type="pct"/>
            <w:tcBorders>
              <w:top w:val="nil"/>
              <w:left w:val="nil"/>
              <w:bottom w:val="single" w:sz="4" w:space="0" w:color="auto"/>
              <w:right w:val="single" w:sz="4" w:space="0" w:color="auto"/>
            </w:tcBorders>
            <w:shd w:val="clear" w:color="auto" w:fill="auto"/>
            <w:noWrap/>
            <w:vAlign w:val="bottom"/>
            <w:hideMark/>
          </w:tcPr>
          <w:p w14:paraId="4B392B07"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24</w:t>
            </w:r>
          </w:p>
        </w:tc>
        <w:tc>
          <w:tcPr>
            <w:tcW w:w="414" w:type="pct"/>
            <w:tcBorders>
              <w:top w:val="nil"/>
              <w:left w:val="nil"/>
              <w:bottom w:val="single" w:sz="4" w:space="0" w:color="auto"/>
              <w:right w:val="single" w:sz="4" w:space="0" w:color="auto"/>
            </w:tcBorders>
            <w:shd w:val="clear" w:color="auto" w:fill="auto"/>
            <w:noWrap/>
            <w:vAlign w:val="bottom"/>
            <w:hideMark/>
          </w:tcPr>
          <w:p w14:paraId="6B349377"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25</w:t>
            </w:r>
          </w:p>
        </w:tc>
      </w:tr>
      <w:tr w:rsidR="00967734" w:rsidRPr="007D1EDC" w14:paraId="2AAEB653" w14:textId="77777777" w:rsidTr="00715FE8">
        <w:trPr>
          <w:trHeight w:val="210"/>
        </w:trPr>
        <w:tc>
          <w:tcPr>
            <w:tcW w:w="1412" w:type="pct"/>
            <w:tcBorders>
              <w:top w:val="nil"/>
              <w:left w:val="single" w:sz="4" w:space="0" w:color="auto"/>
              <w:bottom w:val="single" w:sz="4" w:space="0" w:color="auto"/>
              <w:right w:val="single" w:sz="4" w:space="0" w:color="auto"/>
            </w:tcBorders>
            <w:shd w:val="clear" w:color="auto" w:fill="auto"/>
            <w:noWrap/>
            <w:vAlign w:val="bottom"/>
            <w:hideMark/>
          </w:tcPr>
          <w:p w14:paraId="325E646A" w14:textId="0C7A06E7" w:rsidR="00967734" w:rsidRPr="009F5CA1" w:rsidRDefault="00967734" w:rsidP="00967734">
            <w:pPr>
              <w:rPr>
                <w:rFonts w:ascii="Arial Narrow" w:hAnsi="Arial Narrow" w:cs="Calibri"/>
                <w:color w:val="000000"/>
                <w:sz w:val="20"/>
                <w:szCs w:val="20"/>
                <w:lang w:val="de-DE" w:eastAsia="en-GB"/>
              </w:rPr>
            </w:pPr>
            <w:proofErr w:type="spellStart"/>
            <w:r w:rsidRPr="009F5CA1">
              <w:rPr>
                <w:rFonts w:ascii="Arial Narrow" w:hAnsi="Arial Narrow" w:cs="Calibri"/>
                <w:color w:val="000000"/>
                <w:sz w:val="20"/>
                <w:szCs w:val="20"/>
                <w:lang w:val="de-DE" w:eastAsia="en-GB"/>
              </w:rPr>
              <w:t>Mbeturinat</w:t>
            </w:r>
            <w:proofErr w:type="spellEnd"/>
            <w:r w:rsidRPr="009F5CA1">
              <w:rPr>
                <w:rFonts w:ascii="Arial Narrow" w:hAnsi="Arial Narrow" w:cs="Calibri"/>
                <w:color w:val="000000"/>
                <w:sz w:val="20"/>
                <w:szCs w:val="20"/>
                <w:lang w:val="de-DE" w:eastAsia="en-GB"/>
              </w:rPr>
              <w:t xml:space="preserve"> e </w:t>
            </w:r>
            <w:proofErr w:type="spellStart"/>
            <w:r w:rsidRPr="009F5CA1">
              <w:rPr>
                <w:rFonts w:ascii="Arial Narrow" w:hAnsi="Arial Narrow" w:cs="Calibri"/>
                <w:color w:val="000000"/>
                <w:sz w:val="20"/>
                <w:szCs w:val="20"/>
                <w:lang w:val="de-DE" w:eastAsia="en-GB"/>
              </w:rPr>
              <w:t>kompostimit</w:t>
            </w:r>
            <w:proofErr w:type="spellEnd"/>
            <w:r w:rsidRPr="009F5CA1">
              <w:rPr>
                <w:rFonts w:ascii="Arial Narrow" w:hAnsi="Arial Narrow" w:cs="Calibri"/>
                <w:color w:val="000000"/>
                <w:sz w:val="20"/>
                <w:szCs w:val="20"/>
                <w:lang w:val="de-DE" w:eastAsia="en-GB"/>
              </w:rPr>
              <w:t xml:space="preserve"> </w:t>
            </w:r>
            <w:proofErr w:type="spellStart"/>
            <w:r w:rsidRPr="009F5CA1">
              <w:rPr>
                <w:rFonts w:ascii="Arial Narrow" w:hAnsi="Arial Narrow" w:cs="Calibri"/>
                <w:color w:val="000000"/>
                <w:sz w:val="20"/>
                <w:szCs w:val="20"/>
                <w:lang w:val="de-DE" w:eastAsia="en-GB"/>
              </w:rPr>
              <w:t>shqëpiak</w:t>
            </w:r>
            <w:proofErr w:type="spellEnd"/>
            <w:r w:rsidRPr="009F5CA1">
              <w:rPr>
                <w:rFonts w:ascii="Arial Narrow" w:hAnsi="Arial Narrow" w:cs="Calibri"/>
                <w:color w:val="000000"/>
                <w:sz w:val="20"/>
                <w:szCs w:val="20"/>
                <w:lang w:val="de-DE" w:eastAsia="en-GB"/>
              </w:rPr>
              <w:t xml:space="preserve">, </w:t>
            </w:r>
            <w:proofErr w:type="spellStart"/>
            <w:r w:rsidRPr="009F5CA1">
              <w:rPr>
                <w:rFonts w:ascii="Arial Narrow" w:hAnsi="Arial Narrow" w:cs="Calibri"/>
                <w:color w:val="000000"/>
                <w:sz w:val="20"/>
                <w:szCs w:val="20"/>
                <w:lang w:val="de-DE" w:eastAsia="en-GB"/>
              </w:rPr>
              <w:t>Klinë</w:t>
            </w:r>
            <w:proofErr w:type="spellEnd"/>
          </w:p>
        </w:tc>
        <w:tc>
          <w:tcPr>
            <w:tcW w:w="393" w:type="pct"/>
            <w:tcBorders>
              <w:top w:val="nil"/>
              <w:left w:val="nil"/>
              <w:bottom w:val="single" w:sz="4" w:space="0" w:color="auto"/>
              <w:right w:val="single" w:sz="4" w:space="0" w:color="auto"/>
            </w:tcBorders>
            <w:shd w:val="clear" w:color="auto" w:fill="auto"/>
            <w:noWrap/>
            <w:vAlign w:val="bottom"/>
            <w:hideMark/>
          </w:tcPr>
          <w:p w14:paraId="6A3F0C60" w14:textId="4735C1AD"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64 t</w:t>
            </w:r>
          </w:p>
        </w:tc>
        <w:tc>
          <w:tcPr>
            <w:tcW w:w="393" w:type="pct"/>
            <w:tcBorders>
              <w:top w:val="nil"/>
              <w:left w:val="nil"/>
              <w:bottom w:val="single" w:sz="4" w:space="0" w:color="auto"/>
              <w:right w:val="single" w:sz="4" w:space="0" w:color="auto"/>
            </w:tcBorders>
            <w:shd w:val="clear" w:color="auto" w:fill="auto"/>
            <w:noWrap/>
            <w:vAlign w:val="bottom"/>
            <w:hideMark/>
          </w:tcPr>
          <w:p w14:paraId="0FCA9EDD"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71 t</w:t>
            </w:r>
          </w:p>
        </w:tc>
        <w:tc>
          <w:tcPr>
            <w:tcW w:w="357" w:type="pct"/>
            <w:tcBorders>
              <w:top w:val="nil"/>
              <w:left w:val="nil"/>
              <w:bottom w:val="single" w:sz="4" w:space="0" w:color="auto"/>
              <w:right w:val="single" w:sz="4" w:space="0" w:color="auto"/>
            </w:tcBorders>
            <w:shd w:val="clear" w:color="auto" w:fill="auto"/>
            <w:noWrap/>
            <w:vAlign w:val="bottom"/>
            <w:hideMark/>
          </w:tcPr>
          <w:p w14:paraId="6B3D2B8C" w14:textId="1B6AE8AA"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78 t</w:t>
            </w:r>
          </w:p>
        </w:tc>
        <w:tc>
          <w:tcPr>
            <w:tcW w:w="394" w:type="pct"/>
            <w:tcBorders>
              <w:top w:val="nil"/>
              <w:left w:val="nil"/>
              <w:bottom w:val="single" w:sz="4" w:space="0" w:color="auto"/>
              <w:right w:val="single" w:sz="4" w:space="0" w:color="auto"/>
            </w:tcBorders>
            <w:shd w:val="clear" w:color="auto" w:fill="auto"/>
            <w:noWrap/>
            <w:vAlign w:val="bottom"/>
            <w:hideMark/>
          </w:tcPr>
          <w:p w14:paraId="24BC7A98" w14:textId="7DEB3772"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87 t</w:t>
            </w:r>
          </w:p>
        </w:tc>
        <w:tc>
          <w:tcPr>
            <w:tcW w:w="394" w:type="pct"/>
            <w:tcBorders>
              <w:top w:val="nil"/>
              <w:left w:val="nil"/>
              <w:bottom w:val="single" w:sz="4" w:space="0" w:color="auto"/>
              <w:right w:val="single" w:sz="4" w:space="0" w:color="auto"/>
            </w:tcBorders>
            <w:shd w:val="clear" w:color="auto" w:fill="auto"/>
            <w:noWrap/>
            <w:vAlign w:val="bottom"/>
            <w:hideMark/>
          </w:tcPr>
          <w:p w14:paraId="6DB7DFE0" w14:textId="186FE3F3"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92 t</w:t>
            </w:r>
          </w:p>
        </w:tc>
        <w:tc>
          <w:tcPr>
            <w:tcW w:w="414" w:type="pct"/>
            <w:tcBorders>
              <w:top w:val="nil"/>
              <w:left w:val="nil"/>
              <w:bottom w:val="single" w:sz="4" w:space="0" w:color="auto"/>
              <w:right w:val="single" w:sz="4" w:space="0" w:color="auto"/>
            </w:tcBorders>
            <w:shd w:val="clear" w:color="auto" w:fill="auto"/>
            <w:noWrap/>
            <w:vAlign w:val="bottom"/>
            <w:hideMark/>
          </w:tcPr>
          <w:p w14:paraId="4214793B"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523 t</w:t>
            </w:r>
          </w:p>
        </w:tc>
        <w:tc>
          <w:tcPr>
            <w:tcW w:w="414" w:type="pct"/>
            <w:tcBorders>
              <w:top w:val="nil"/>
              <w:left w:val="nil"/>
              <w:bottom w:val="single" w:sz="4" w:space="0" w:color="auto"/>
              <w:right w:val="single" w:sz="4" w:space="0" w:color="auto"/>
            </w:tcBorders>
            <w:shd w:val="clear" w:color="auto" w:fill="auto"/>
            <w:noWrap/>
            <w:vAlign w:val="bottom"/>
            <w:hideMark/>
          </w:tcPr>
          <w:p w14:paraId="267B92CB"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598 t</w:t>
            </w:r>
          </w:p>
        </w:tc>
        <w:tc>
          <w:tcPr>
            <w:tcW w:w="414" w:type="pct"/>
            <w:tcBorders>
              <w:top w:val="nil"/>
              <w:left w:val="nil"/>
              <w:bottom w:val="single" w:sz="4" w:space="0" w:color="auto"/>
              <w:right w:val="single" w:sz="4" w:space="0" w:color="auto"/>
            </w:tcBorders>
            <w:shd w:val="clear" w:color="auto" w:fill="auto"/>
            <w:noWrap/>
            <w:vAlign w:val="bottom"/>
            <w:hideMark/>
          </w:tcPr>
          <w:p w14:paraId="6DBB3EB9"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683 t</w:t>
            </w:r>
          </w:p>
        </w:tc>
        <w:tc>
          <w:tcPr>
            <w:tcW w:w="414" w:type="pct"/>
            <w:tcBorders>
              <w:top w:val="nil"/>
              <w:left w:val="nil"/>
              <w:bottom w:val="single" w:sz="4" w:space="0" w:color="auto"/>
              <w:right w:val="single" w:sz="4" w:space="0" w:color="auto"/>
            </w:tcBorders>
            <w:shd w:val="clear" w:color="auto" w:fill="auto"/>
            <w:noWrap/>
            <w:vAlign w:val="bottom"/>
            <w:hideMark/>
          </w:tcPr>
          <w:p w14:paraId="43623C43" w14:textId="3D3B74D3"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738 t</w:t>
            </w:r>
          </w:p>
        </w:tc>
      </w:tr>
      <w:tr w:rsidR="00967734" w:rsidRPr="007D1EDC" w14:paraId="5FDEB9DC" w14:textId="77777777" w:rsidTr="00715FE8">
        <w:trPr>
          <w:trHeight w:val="210"/>
        </w:trPr>
        <w:tc>
          <w:tcPr>
            <w:tcW w:w="1412" w:type="pct"/>
            <w:tcBorders>
              <w:top w:val="nil"/>
              <w:left w:val="single" w:sz="4" w:space="0" w:color="auto"/>
              <w:bottom w:val="single" w:sz="4" w:space="0" w:color="auto"/>
              <w:right w:val="single" w:sz="4" w:space="0" w:color="auto"/>
            </w:tcBorders>
            <w:shd w:val="clear" w:color="auto" w:fill="auto"/>
            <w:noWrap/>
            <w:vAlign w:val="bottom"/>
            <w:hideMark/>
          </w:tcPr>
          <w:p w14:paraId="0B955BC8" w14:textId="5CF99E16" w:rsidR="00967734" w:rsidRPr="009F5CA1" w:rsidRDefault="00967734" w:rsidP="00967734">
            <w:pPr>
              <w:rPr>
                <w:rFonts w:ascii="Arial Narrow" w:hAnsi="Arial Narrow" w:cs="Calibri"/>
                <w:color w:val="000000"/>
                <w:sz w:val="20"/>
                <w:szCs w:val="20"/>
                <w:lang w:eastAsia="en-GB"/>
              </w:rPr>
            </w:pPr>
            <w:r w:rsidRPr="009F5CA1">
              <w:rPr>
                <w:rFonts w:ascii="Arial Narrow" w:hAnsi="Arial Narrow" w:cs="Calibri"/>
                <w:color w:val="000000"/>
                <w:sz w:val="20"/>
                <w:szCs w:val="20"/>
                <w:lang w:eastAsia="en-GB"/>
              </w:rPr>
              <w:t>Kostot për Klinë, mijë euro</w:t>
            </w:r>
          </w:p>
        </w:tc>
        <w:tc>
          <w:tcPr>
            <w:tcW w:w="393" w:type="pct"/>
            <w:tcBorders>
              <w:top w:val="nil"/>
              <w:left w:val="nil"/>
              <w:bottom w:val="single" w:sz="4" w:space="0" w:color="auto"/>
              <w:right w:val="single" w:sz="4" w:space="0" w:color="auto"/>
            </w:tcBorders>
            <w:shd w:val="clear" w:color="auto" w:fill="auto"/>
            <w:noWrap/>
            <w:vAlign w:val="bottom"/>
            <w:hideMark/>
          </w:tcPr>
          <w:p w14:paraId="7BEEC206"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16</w:t>
            </w:r>
          </w:p>
        </w:tc>
        <w:tc>
          <w:tcPr>
            <w:tcW w:w="393" w:type="pct"/>
            <w:tcBorders>
              <w:top w:val="nil"/>
              <w:left w:val="nil"/>
              <w:bottom w:val="single" w:sz="4" w:space="0" w:color="auto"/>
              <w:right w:val="single" w:sz="4" w:space="0" w:color="auto"/>
            </w:tcBorders>
            <w:shd w:val="clear" w:color="auto" w:fill="auto"/>
            <w:noWrap/>
            <w:vAlign w:val="bottom"/>
            <w:hideMark/>
          </w:tcPr>
          <w:p w14:paraId="11964D21"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16</w:t>
            </w:r>
          </w:p>
        </w:tc>
        <w:tc>
          <w:tcPr>
            <w:tcW w:w="357" w:type="pct"/>
            <w:tcBorders>
              <w:top w:val="nil"/>
              <w:left w:val="nil"/>
              <w:bottom w:val="single" w:sz="4" w:space="0" w:color="auto"/>
              <w:right w:val="single" w:sz="4" w:space="0" w:color="auto"/>
            </w:tcBorders>
            <w:shd w:val="clear" w:color="auto" w:fill="auto"/>
            <w:noWrap/>
            <w:vAlign w:val="bottom"/>
            <w:hideMark/>
          </w:tcPr>
          <w:p w14:paraId="4E19A2A9"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17</w:t>
            </w:r>
          </w:p>
        </w:tc>
        <w:tc>
          <w:tcPr>
            <w:tcW w:w="394" w:type="pct"/>
            <w:tcBorders>
              <w:top w:val="nil"/>
              <w:left w:val="nil"/>
              <w:bottom w:val="single" w:sz="4" w:space="0" w:color="auto"/>
              <w:right w:val="single" w:sz="4" w:space="0" w:color="auto"/>
            </w:tcBorders>
            <w:shd w:val="clear" w:color="auto" w:fill="auto"/>
            <w:noWrap/>
            <w:vAlign w:val="bottom"/>
            <w:hideMark/>
          </w:tcPr>
          <w:p w14:paraId="488205A9"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18</w:t>
            </w:r>
          </w:p>
        </w:tc>
        <w:tc>
          <w:tcPr>
            <w:tcW w:w="394" w:type="pct"/>
            <w:tcBorders>
              <w:top w:val="nil"/>
              <w:left w:val="nil"/>
              <w:bottom w:val="single" w:sz="4" w:space="0" w:color="auto"/>
              <w:right w:val="single" w:sz="4" w:space="0" w:color="auto"/>
            </w:tcBorders>
            <w:shd w:val="clear" w:color="auto" w:fill="auto"/>
            <w:noWrap/>
            <w:vAlign w:val="bottom"/>
            <w:hideMark/>
          </w:tcPr>
          <w:p w14:paraId="3F1FFD2F"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19</w:t>
            </w:r>
          </w:p>
        </w:tc>
        <w:tc>
          <w:tcPr>
            <w:tcW w:w="414" w:type="pct"/>
            <w:tcBorders>
              <w:top w:val="nil"/>
              <w:left w:val="nil"/>
              <w:bottom w:val="single" w:sz="4" w:space="0" w:color="auto"/>
              <w:right w:val="single" w:sz="4" w:space="0" w:color="auto"/>
            </w:tcBorders>
            <w:shd w:val="clear" w:color="auto" w:fill="auto"/>
            <w:noWrap/>
            <w:vAlign w:val="bottom"/>
            <w:hideMark/>
          </w:tcPr>
          <w:p w14:paraId="4940D747"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20</w:t>
            </w:r>
          </w:p>
        </w:tc>
        <w:tc>
          <w:tcPr>
            <w:tcW w:w="414" w:type="pct"/>
            <w:tcBorders>
              <w:top w:val="nil"/>
              <w:left w:val="nil"/>
              <w:bottom w:val="single" w:sz="4" w:space="0" w:color="auto"/>
              <w:right w:val="single" w:sz="4" w:space="0" w:color="auto"/>
            </w:tcBorders>
            <w:shd w:val="clear" w:color="auto" w:fill="auto"/>
            <w:noWrap/>
            <w:vAlign w:val="bottom"/>
            <w:hideMark/>
          </w:tcPr>
          <w:p w14:paraId="578FAB83"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21</w:t>
            </w:r>
          </w:p>
        </w:tc>
        <w:tc>
          <w:tcPr>
            <w:tcW w:w="414" w:type="pct"/>
            <w:tcBorders>
              <w:top w:val="nil"/>
              <w:left w:val="nil"/>
              <w:bottom w:val="single" w:sz="4" w:space="0" w:color="auto"/>
              <w:right w:val="single" w:sz="4" w:space="0" w:color="auto"/>
            </w:tcBorders>
            <w:shd w:val="clear" w:color="auto" w:fill="auto"/>
            <w:noWrap/>
            <w:vAlign w:val="bottom"/>
            <w:hideMark/>
          </w:tcPr>
          <w:p w14:paraId="3DB3AFEF"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22</w:t>
            </w:r>
          </w:p>
        </w:tc>
        <w:tc>
          <w:tcPr>
            <w:tcW w:w="414" w:type="pct"/>
            <w:tcBorders>
              <w:top w:val="nil"/>
              <w:left w:val="nil"/>
              <w:bottom w:val="single" w:sz="4" w:space="0" w:color="auto"/>
              <w:right w:val="single" w:sz="4" w:space="0" w:color="auto"/>
            </w:tcBorders>
            <w:shd w:val="clear" w:color="auto" w:fill="auto"/>
            <w:noWrap/>
            <w:vAlign w:val="bottom"/>
            <w:hideMark/>
          </w:tcPr>
          <w:p w14:paraId="31713A84"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23</w:t>
            </w:r>
          </w:p>
        </w:tc>
      </w:tr>
      <w:tr w:rsidR="00967734" w:rsidRPr="007D1EDC" w14:paraId="30C6125F" w14:textId="77777777" w:rsidTr="00715FE8">
        <w:trPr>
          <w:trHeight w:val="210"/>
        </w:trPr>
        <w:tc>
          <w:tcPr>
            <w:tcW w:w="1412" w:type="pct"/>
            <w:tcBorders>
              <w:top w:val="nil"/>
              <w:left w:val="single" w:sz="4" w:space="0" w:color="auto"/>
              <w:bottom w:val="single" w:sz="4" w:space="0" w:color="auto"/>
              <w:right w:val="single" w:sz="4" w:space="0" w:color="auto"/>
            </w:tcBorders>
            <w:shd w:val="clear" w:color="auto" w:fill="auto"/>
            <w:noWrap/>
            <w:vAlign w:val="bottom"/>
            <w:hideMark/>
          </w:tcPr>
          <w:p w14:paraId="7E8D19F0" w14:textId="04785608" w:rsidR="00967734" w:rsidRPr="009F5CA1" w:rsidRDefault="00967734" w:rsidP="00967734">
            <w:pPr>
              <w:rPr>
                <w:rFonts w:ascii="Arial Narrow" w:hAnsi="Arial Narrow" w:cs="Calibri"/>
                <w:color w:val="000000"/>
                <w:sz w:val="20"/>
                <w:szCs w:val="20"/>
                <w:lang w:val="de-DE" w:eastAsia="en-GB"/>
              </w:rPr>
            </w:pPr>
            <w:proofErr w:type="spellStart"/>
            <w:r w:rsidRPr="009F5CA1">
              <w:rPr>
                <w:rFonts w:ascii="Arial Narrow" w:hAnsi="Arial Narrow" w:cs="Calibri"/>
                <w:color w:val="000000"/>
                <w:sz w:val="20"/>
                <w:szCs w:val="20"/>
                <w:lang w:val="de-DE" w:eastAsia="en-GB"/>
              </w:rPr>
              <w:t>Mbeturinat</w:t>
            </w:r>
            <w:proofErr w:type="spellEnd"/>
            <w:r w:rsidRPr="009F5CA1">
              <w:rPr>
                <w:rFonts w:ascii="Arial Narrow" w:hAnsi="Arial Narrow" w:cs="Calibri"/>
                <w:color w:val="000000"/>
                <w:sz w:val="20"/>
                <w:szCs w:val="20"/>
                <w:lang w:val="de-DE" w:eastAsia="en-GB"/>
              </w:rPr>
              <w:t xml:space="preserve"> e </w:t>
            </w:r>
            <w:proofErr w:type="spellStart"/>
            <w:r w:rsidRPr="009F5CA1">
              <w:rPr>
                <w:rFonts w:ascii="Arial Narrow" w:hAnsi="Arial Narrow" w:cs="Calibri"/>
                <w:color w:val="000000"/>
                <w:sz w:val="20"/>
                <w:szCs w:val="20"/>
                <w:lang w:val="de-DE" w:eastAsia="en-GB"/>
              </w:rPr>
              <w:t>kompostimit</w:t>
            </w:r>
            <w:proofErr w:type="spellEnd"/>
            <w:r w:rsidRPr="009F5CA1">
              <w:rPr>
                <w:rFonts w:ascii="Arial Narrow" w:hAnsi="Arial Narrow" w:cs="Calibri"/>
                <w:color w:val="000000"/>
                <w:sz w:val="20"/>
                <w:szCs w:val="20"/>
                <w:lang w:val="de-DE" w:eastAsia="en-GB"/>
              </w:rPr>
              <w:t xml:space="preserve"> </w:t>
            </w:r>
            <w:proofErr w:type="spellStart"/>
            <w:r w:rsidRPr="009F5CA1">
              <w:rPr>
                <w:rFonts w:ascii="Arial Narrow" w:hAnsi="Arial Narrow" w:cs="Calibri"/>
                <w:color w:val="000000"/>
                <w:sz w:val="20"/>
                <w:szCs w:val="20"/>
                <w:lang w:val="de-DE" w:eastAsia="en-GB"/>
              </w:rPr>
              <w:t>shtëpiak</w:t>
            </w:r>
            <w:proofErr w:type="spellEnd"/>
            <w:r w:rsidRPr="009F5CA1">
              <w:rPr>
                <w:rFonts w:ascii="Arial Narrow" w:hAnsi="Arial Narrow" w:cs="Calibri"/>
                <w:color w:val="000000"/>
                <w:sz w:val="20"/>
                <w:szCs w:val="20"/>
                <w:lang w:val="de-DE" w:eastAsia="en-GB"/>
              </w:rPr>
              <w:t xml:space="preserve">, </w:t>
            </w:r>
            <w:proofErr w:type="spellStart"/>
            <w:r w:rsidRPr="009F5CA1">
              <w:rPr>
                <w:rFonts w:ascii="Arial Narrow" w:hAnsi="Arial Narrow" w:cs="Calibri"/>
                <w:color w:val="000000"/>
                <w:sz w:val="20"/>
                <w:szCs w:val="20"/>
                <w:lang w:val="de-DE" w:eastAsia="en-GB"/>
              </w:rPr>
              <w:t>Deçan</w:t>
            </w:r>
            <w:proofErr w:type="spellEnd"/>
          </w:p>
        </w:tc>
        <w:tc>
          <w:tcPr>
            <w:tcW w:w="393" w:type="pct"/>
            <w:tcBorders>
              <w:top w:val="nil"/>
              <w:left w:val="nil"/>
              <w:bottom w:val="single" w:sz="4" w:space="0" w:color="auto"/>
              <w:right w:val="single" w:sz="4" w:space="0" w:color="auto"/>
            </w:tcBorders>
            <w:shd w:val="clear" w:color="auto" w:fill="auto"/>
            <w:noWrap/>
            <w:vAlign w:val="bottom"/>
            <w:hideMark/>
          </w:tcPr>
          <w:p w14:paraId="06291768" w14:textId="54242826"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62 t</w:t>
            </w:r>
          </w:p>
        </w:tc>
        <w:tc>
          <w:tcPr>
            <w:tcW w:w="393" w:type="pct"/>
            <w:tcBorders>
              <w:top w:val="nil"/>
              <w:left w:val="nil"/>
              <w:bottom w:val="single" w:sz="4" w:space="0" w:color="auto"/>
              <w:right w:val="single" w:sz="4" w:space="0" w:color="auto"/>
            </w:tcBorders>
            <w:shd w:val="clear" w:color="auto" w:fill="auto"/>
            <w:noWrap/>
            <w:vAlign w:val="bottom"/>
            <w:hideMark/>
          </w:tcPr>
          <w:p w14:paraId="7173B723"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69 t</w:t>
            </w:r>
          </w:p>
        </w:tc>
        <w:tc>
          <w:tcPr>
            <w:tcW w:w="357" w:type="pct"/>
            <w:tcBorders>
              <w:top w:val="nil"/>
              <w:left w:val="nil"/>
              <w:bottom w:val="single" w:sz="4" w:space="0" w:color="auto"/>
              <w:right w:val="single" w:sz="4" w:space="0" w:color="auto"/>
            </w:tcBorders>
            <w:shd w:val="clear" w:color="auto" w:fill="auto"/>
            <w:noWrap/>
            <w:vAlign w:val="bottom"/>
            <w:hideMark/>
          </w:tcPr>
          <w:p w14:paraId="7F45A90E" w14:textId="30D9F973"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76 t</w:t>
            </w:r>
          </w:p>
        </w:tc>
        <w:tc>
          <w:tcPr>
            <w:tcW w:w="394" w:type="pct"/>
            <w:tcBorders>
              <w:top w:val="nil"/>
              <w:left w:val="nil"/>
              <w:bottom w:val="single" w:sz="4" w:space="0" w:color="auto"/>
              <w:right w:val="single" w:sz="4" w:space="0" w:color="auto"/>
            </w:tcBorders>
            <w:shd w:val="clear" w:color="auto" w:fill="auto"/>
            <w:noWrap/>
            <w:vAlign w:val="bottom"/>
            <w:hideMark/>
          </w:tcPr>
          <w:p w14:paraId="2E737B4B" w14:textId="7B67E47C"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84 t</w:t>
            </w:r>
          </w:p>
        </w:tc>
        <w:tc>
          <w:tcPr>
            <w:tcW w:w="394" w:type="pct"/>
            <w:tcBorders>
              <w:top w:val="nil"/>
              <w:left w:val="nil"/>
              <w:bottom w:val="single" w:sz="4" w:space="0" w:color="auto"/>
              <w:right w:val="single" w:sz="4" w:space="0" w:color="auto"/>
            </w:tcBorders>
            <w:shd w:val="clear" w:color="auto" w:fill="auto"/>
            <w:noWrap/>
            <w:vAlign w:val="bottom"/>
            <w:hideMark/>
          </w:tcPr>
          <w:p w14:paraId="1F4DB3CE" w14:textId="71B35442"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90 t</w:t>
            </w:r>
          </w:p>
        </w:tc>
        <w:tc>
          <w:tcPr>
            <w:tcW w:w="414" w:type="pct"/>
            <w:tcBorders>
              <w:top w:val="nil"/>
              <w:left w:val="nil"/>
              <w:bottom w:val="single" w:sz="4" w:space="0" w:color="auto"/>
              <w:right w:val="single" w:sz="4" w:space="0" w:color="auto"/>
            </w:tcBorders>
            <w:shd w:val="clear" w:color="auto" w:fill="auto"/>
            <w:noWrap/>
            <w:vAlign w:val="bottom"/>
            <w:hideMark/>
          </w:tcPr>
          <w:p w14:paraId="02F7AB39"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509 t</w:t>
            </w:r>
          </w:p>
        </w:tc>
        <w:tc>
          <w:tcPr>
            <w:tcW w:w="414" w:type="pct"/>
            <w:tcBorders>
              <w:top w:val="nil"/>
              <w:left w:val="nil"/>
              <w:bottom w:val="single" w:sz="4" w:space="0" w:color="auto"/>
              <w:right w:val="single" w:sz="4" w:space="0" w:color="auto"/>
            </w:tcBorders>
            <w:shd w:val="clear" w:color="auto" w:fill="auto"/>
            <w:noWrap/>
            <w:vAlign w:val="bottom"/>
            <w:hideMark/>
          </w:tcPr>
          <w:p w14:paraId="727064D3"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581 t</w:t>
            </w:r>
          </w:p>
        </w:tc>
        <w:tc>
          <w:tcPr>
            <w:tcW w:w="414" w:type="pct"/>
            <w:tcBorders>
              <w:top w:val="nil"/>
              <w:left w:val="nil"/>
              <w:bottom w:val="single" w:sz="4" w:space="0" w:color="auto"/>
              <w:right w:val="single" w:sz="4" w:space="0" w:color="auto"/>
            </w:tcBorders>
            <w:shd w:val="clear" w:color="auto" w:fill="auto"/>
            <w:noWrap/>
            <w:vAlign w:val="bottom"/>
            <w:hideMark/>
          </w:tcPr>
          <w:p w14:paraId="5CD8D88E"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664 t</w:t>
            </w:r>
          </w:p>
        </w:tc>
        <w:tc>
          <w:tcPr>
            <w:tcW w:w="414" w:type="pct"/>
            <w:tcBorders>
              <w:top w:val="nil"/>
              <w:left w:val="nil"/>
              <w:bottom w:val="single" w:sz="4" w:space="0" w:color="auto"/>
              <w:right w:val="single" w:sz="4" w:space="0" w:color="auto"/>
            </w:tcBorders>
            <w:shd w:val="clear" w:color="auto" w:fill="auto"/>
            <w:noWrap/>
            <w:vAlign w:val="bottom"/>
            <w:hideMark/>
          </w:tcPr>
          <w:p w14:paraId="05F8B1B5"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717 t</w:t>
            </w:r>
          </w:p>
        </w:tc>
      </w:tr>
      <w:tr w:rsidR="00967734" w:rsidRPr="007D1EDC" w14:paraId="2D66292F" w14:textId="77777777" w:rsidTr="00715FE8">
        <w:trPr>
          <w:trHeight w:val="210"/>
        </w:trPr>
        <w:tc>
          <w:tcPr>
            <w:tcW w:w="1412" w:type="pct"/>
            <w:tcBorders>
              <w:top w:val="nil"/>
              <w:left w:val="single" w:sz="4" w:space="0" w:color="auto"/>
              <w:bottom w:val="single" w:sz="4" w:space="0" w:color="auto"/>
              <w:right w:val="single" w:sz="4" w:space="0" w:color="auto"/>
            </w:tcBorders>
            <w:shd w:val="clear" w:color="auto" w:fill="auto"/>
            <w:noWrap/>
            <w:vAlign w:val="bottom"/>
            <w:hideMark/>
          </w:tcPr>
          <w:p w14:paraId="39BB8108" w14:textId="059B7A61" w:rsidR="00967734" w:rsidRPr="00967734" w:rsidRDefault="00967734" w:rsidP="00967734">
            <w:pPr>
              <w:rPr>
                <w:rFonts w:ascii="Arial Narrow" w:hAnsi="Arial Narrow" w:cs="Calibri"/>
                <w:color w:val="000000"/>
                <w:sz w:val="20"/>
                <w:szCs w:val="20"/>
                <w:lang w:val="en-GB" w:eastAsia="en-GB"/>
              </w:rPr>
            </w:pPr>
            <w:proofErr w:type="spellStart"/>
            <w:r w:rsidRPr="00967734">
              <w:rPr>
                <w:rFonts w:ascii="Arial Narrow" w:hAnsi="Arial Narrow" w:cs="Calibri"/>
                <w:color w:val="000000"/>
                <w:sz w:val="20"/>
                <w:szCs w:val="20"/>
                <w:lang w:val="en-GB" w:eastAsia="en-GB"/>
              </w:rPr>
              <w:t>Kostot</w:t>
            </w:r>
            <w:proofErr w:type="spellEnd"/>
            <w:r w:rsidRPr="00967734">
              <w:rPr>
                <w:rFonts w:ascii="Arial Narrow" w:hAnsi="Arial Narrow" w:cs="Calibri"/>
                <w:color w:val="000000"/>
                <w:sz w:val="20"/>
                <w:szCs w:val="20"/>
                <w:lang w:val="en-GB" w:eastAsia="en-GB"/>
              </w:rPr>
              <w:t xml:space="preserve"> </w:t>
            </w:r>
            <w:proofErr w:type="spellStart"/>
            <w:r w:rsidRPr="00967734">
              <w:rPr>
                <w:rFonts w:ascii="Arial Narrow" w:hAnsi="Arial Narrow" w:cs="Calibri"/>
                <w:color w:val="000000"/>
                <w:sz w:val="20"/>
                <w:szCs w:val="20"/>
                <w:lang w:val="en-GB" w:eastAsia="en-GB"/>
              </w:rPr>
              <w:t>për</w:t>
            </w:r>
            <w:proofErr w:type="spellEnd"/>
            <w:r w:rsidRPr="00967734">
              <w:rPr>
                <w:rFonts w:ascii="Arial Narrow" w:hAnsi="Arial Narrow" w:cs="Calibri"/>
                <w:color w:val="000000"/>
                <w:sz w:val="20"/>
                <w:szCs w:val="20"/>
                <w:lang w:val="en-GB" w:eastAsia="en-GB"/>
              </w:rPr>
              <w:t xml:space="preserve"> </w:t>
            </w:r>
            <w:proofErr w:type="spellStart"/>
            <w:r w:rsidRPr="00967734">
              <w:rPr>
                <w:rFonts w:ascii="Arial Narrow" w:hAnsi="Arial Narrow" w:cs="Calibri"/>
                <w:color w:val="000000"/>
                <w:sz w:val="20"/>
                <w:szCs w:val="20"/>
                <w:lang w:val="en-GB" w:eastAsia="en-GB"/>
              </w:rPr>
              <w:t>Deçanint</w:t>
            </w:r>
            <w:proofErr w:type="spellEnd"/>
            <w:r w:rsidRPr="00967734">
              <w:rPr>
                <w:rFonts w:ascii="Arial Narrow" w:hAnsi="Arial Narrow" w:cs="Calibri"/>
                <w:color w:val="000000"/>
                <w:sz w:val="20"/>
                <w:szCs w:val="20"/>
                <w:lang w:val="en-GB" w:eastAsia="en-GB"/>
              </w:rPr>
              <w:t xml:space="preserve">, </w:t>
            </w:r>
            <w:proofErr w:type="spellStart"/>
            <w:r w:rsidRPr="00967734">
              <w:rPr>
                <w:rFonts w:ascii="Arial Narrow" w:hAnsi="Arial Narrow" w:cs="Calibri"/>
                <w:color w:val="000000"/>
                <w:sz w:val="20"/>
                <w:szCs w:val="20"/>
                <w:lang w:val="en-GB" w:eastAsia="en-GB"/>
              </w:rPr>
              <w:t>mijë</w:t>
            </w:r>
            <w:proofErr w:type="spellEnd"/>
            <w:r w:rsidRPr="00967734">
              <w:rPr>
                <w:rFonts w:ascii="Arial Narrow" w:hAnsi="Arial Narrow" w:cs="Calibri"/>
                <w:color w:val="000000"/>
                <w:sz w:val="20"/>
                <w:szCs w:val="20"/>
                <w:lang w:val="en-GB" w:eastAsia="en-GB"/>
              </w:rPr>
              <w:t xml:space="preserve"> euro</w:t>
            </w:r>
          </w:p>
        </w:tc>
        <w:tc>
          <w:tcPr>
            <w:tcW w:w="393" w:type="pct"/>
            <w:tcBorders>
              <w:top w:val="nil"/>
              <w:left w:val="nil"/>
              <w:bottom w:val="single" w:sz="4" w:space="0" w:color="auto"/>
              <w:right w:val="single" w:sz="4" w:space="0" w:color="auto"/>
            </w:tcBorders>
            <w:shd w:val="clear" w:color="auto" w:fill="auto"/>
            <w:noWrap/>
            <w:vAlign w:val="bottom"/>
            <w:hideMark/>
          </w:tcPr>
          <w:p w14:paraId="6951E46C"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15</w:t>
            </w:r>
          </w:p>
        </w:tc>
        <w:tc>
          <w:tcPr>
            <w:tcW w:w="393" w:type="pct"/>
            <w:tcBorders>
              <w:top w:val="nil"/>
              <w:left w:val="nil"/>
              <w:bottom w:val="single" w:sz="4" w:space="0" w:color="auto"/>
              <w:right w:val="single" w:sz="4" w:space="0" w:color="auto"/>
            </w:tcBorders>
            <w:shd w:val="clear" w:color="auto" w:fill="auto"/>
            <w:noWrap/>
            <w:vAlign w:val="bottom"/>
            <w:hideMark/>
          </w:tcPr>
          <w:p w14:paraId="05B4FF3F"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16</w:t>
            </w:r>
          </w:p>
        </w:tc>
        <w:tc>
          <w:tcPr>
            <w:tcW w:w="357" w:type="pct"/>
            <w:tcBorders>
              <w:top w:val="nil"/>
              <w:left w:val="nil"/>
              <w:bottom w:val="single" w:sz="4" w:space="0" w:color="auto"/>
              <w:right w:val="single" w:sz="4" w:space="0" w:color="auto"/>
            </w:tcBorders>
            <w:shd w:val="clear" w:color="auto" w:fill="auto"/>
            <w:noWrap/>
            <w:vAlign w:val="bottom"/>
            <w:hideMark/>
          </w:tcPr>
          <w:p w14:paraId="0BB0B89B"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17</w:t>
            </w:r>
          </w:p>
        </w:tc>
        <w:tc>
          <w:tcPr>
            <w:tcW w:w="394" w:type="pct"/>
            <w:tcBorders>
              <w:top w:val="nil"/>
              <w:left w:val="nil"/>
              <w:bottom w:val="single" w:sz="4" w:space="0" w:color="auto"/>
              <w:right w:val="single" w:sz="4" w:space="0" w:color="auto"/>
            </w:tcBorders>
            <w:shd w:val="clear" w:color="auto" w:fill="auto"/>
            <w:noWrap/>
            <w:vAlign w:val="bottom"/>
            <w:hideMark/>
          </w:tcPr>
          <w:p w14:paraId="15A6C5F0"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17</w:t>
            </w:r>
          </w:p>
        </w:tc>
        <w:tc>
          <w:tcPr>
            <w:tcW w:w="394" w:type="pct"/>
            <w:tcBorders>
              <w:top w:val="nil"/>
              <w:left w:val="nil"/>
              <w:bottom w:val="single" w:sz="4" w:space="0" w:color="auto"/>
              <w:right w:val="single" w:sz="4" w:space="0" w:color="auto"/>
            </w:tcBorders>
            <w:shd w:val="clear" w:color="auto" w:fill="auto"/>
            <w:noWrap/>
            <w:vAlign w:val="bottom"/>
            <w:hideMark/>
          </w:tcPr>
          <w:p w14:paraId="3A04416F"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18</w:t>
            </w:r>
          </w:p>
        </w:tc>
        <w:tc>
          <w:tcPr>
            <w:tcW w:w="414" w:type="pct"/>
            <w:tcBorders>
              <w:top w:val="nil"/>
              <w:left w:val="nil"/>
              <w:bottom w:val="single" w:sz="4" w:space="0" w:color="auto"/>
              <w:right w:val="single" w:sz="4" w:space="0" w:color="auto"/>
            </w:tcBorders>
            <w:shd w:val="clear" w:color="auto" w:fill="auto"/>
            <w:noWrap/>
            <w:vAlign w:val="bottom"/>
            <w:hideMark/>
          </w:tcPr>
          <w:p w14:paraId="504F1079"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19</w:t>
            </w:r>
          </w:p>
        </w:tc>
        <w:tc>
          <w:tcPr>
            <w:tcW w:w="414" w:type="pct"/>
            <w:tcBorders>
              <w:top w:val="nil"/>
              <w:left w:val="nil"/>
              <w:bottom w:val="single" w:sz="4" w:space="0" w:color="auto"/>
              <w:right w:val="single" w:sz="4" w:space="0" w:color="auto"/>
            </w:tcBorders>
            <w:shd w:val="clear" w:color="auto" w:fill="auto"/>
            <w:noWrap/>
            <w:vAlign w:val="bottom"/>
            <w:hideMark/>
          </w:tcPr>
          <w:p w14:paraId="0437C0EF"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20</w:t>
            </w:r>
          </w:p>
        </w:tc>
        <w:tc>
          <w:tcPr>
            <w:tcW w:w="414" w:type="pct"/>
            <w:tcBorders>
              <w:top w:val="nil"/>
              <w:left w:val="nil"/>
              <w:bottom w:val="single" w:sz="4" w:space="0" w:color="auto"/>
              <w:right w:val="single" w:sz="4" w:space="0" w:color="auto"/>
            </w:tcBorders>
            <w:shd w:val="clear" w:color="auto" w:fill="auto"/>
            <w:noWrap/>
            <w:vAlign w:val="bottom"/>
            <w:hideMark/>
          </w:tcPr>
          <w:p w14:paraId="69F15588"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21</w:t>
            </w:r>
          </w:p>
        </w:tc>
        <w:tc>
          <w:tcPr>
            <w:tcW w:w="414" w:type="pct"/>
            <w:tcBorders>
              <w:top w:val="nil"/>
              <w:left w:val="nil"/>
              <w:bottom w:val="single" w:sz="4" w:space="0" w:color="auto"/>
              <w:right w:val="single" w:sz="4" w:space="0" w:color="auto"/>
            </w:tcBorders>
            <w:shd w:val="clear" w:color="auto" w:fill="auto"/>
            <w:noWrap/>
            <w:vAlign w:val="bottom"/>
            <w:hideMark/>
          </w:tcPr>
          <w:p w14:paraId="6A6B31E6"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22</w:t>
            </w:r>
          </w:p>
        </w:tc>
      </w:tr>
      <w:tr w:rsidR="00967734" w:rsidRPr="007D1EDC" w14:paraId="6F40C173" w14:textId="77777777" w:rsidTr="00715FE8">
        <w:trPr>
          <w:trHeight w:val="210"/>
        </w:trPr>
        <w:tc>
          <w:tcPr>
            <w:tcW w:w="1412" w:type="pct"/>
            <w:tcBorders>
              <w:top w:val="nil"/>
              <w:left w:val="single" w:sz="4" w:space="0" w:color="auto"/>
              <w:bottom w:val="single" w:sz="4" w:space="0" w:color="auto"/>
              <w:right w:val="single" w:sz="4" w:space="0" w:color="auto"/>
            </w:tcBorders>
            <w:shd w:val="clear" w:color="auto" w:fill="auto"/>
            <w:noWrap/>
            <w:vAlign w:val="bottom"/>
            <w:hideMark/>
          </w:tcPr>
          <w:p w14:paraId="4346C7BE" w14:textId="330EABB1" w:rsidR="00967734" w:rsidRPr="009F5CA1" w:rsidRDefault="00967734" w:rsidP="00967734">
            <w:pPr>
              <w:rPr>
                <w:rFonts w:ascii="Arial Narrow" w:hAnsi="Arial Narrow" w:cs="Calibri"/>
                <w:color w:val="000000"/>
                <w:sz w:val="20"/>
                <w:szCs w:val="20"/>
                <w:lang w:val="de-DE" w:eastAsia="en-GB"/>
              </w:rPr>
            </w:pPr>
            <w:proofErr w:type="spellStart"/>
            <w:r w:rsidRPr="009F5CA1">
              <w:rPr>
                <w:rFonts w:ascii="Arial Narrow" w:hAnsi="Arial Narrow" w:cs="Calibri"/>
                <w:color w:val="000000"/>
                <w:sz w:val="20"/>
                <w:szCs w:val="20"/>
                <w:lang w:val="de-DE" w:eastAsia="en-GB"/>
              </w:rPr>
              <w:t>Mbeturinat</w:t>
            </w:r>
            <w:proofErr w:type="spellEnd"/>
            <w:r w:rsidRPr="009F5CA1">
              <w:rPr>
                <w:rFonts w:ascii="Arial Narrow" w:hAnsi="Arial Narrow" w:cs="Calibri"/>
                <w:color w:val="000000"/>
                <w:sz w:val="20"/>
                <w:szCs w:val="20"/>
                <w:lang w:val="de-DE" w:eastAsia="en-GB"/>
              </w:rPr>
              <w:t xml:space="preserve"> e </w:t>
            </w:r>
            <w:proofErr w:type="spellStart"/>
            <w:r w:rsidRPr="009F5CA1">
              <w:rPr>
                <w:rFonts w:ascii="Arial Narrow" w:hAnsi="Arial Narrow" w:cs="Calibri"/>
                <w:color w:val="000000"/>
                <w:sz w:val="20"/>
                <w:szCs w:val="20"/>
                <w:lang w:val="de-DE" w:eastAsia="en-GB"/>
              </w:rPr>
              <w:t>kompostimit</w:t>
            </w:r>
            <w:proofErr w:type="spellEnd"/>
            <w:r w:rsidRPr="009F5CA1">
              <w:rPr>
                <w:rFonts w:ascii="Arial Narrow" w:hAnsi="Arial Narrow" w:cs="Calibri"/>
                <w:color w:val="000000"/>
                <w:sz w:val="20"/>
                <w:szCs w:val="20"/>
                <w:lang w:val="de-DE" w:eastAsia="en-GB"/>
              </w:rPr>
              <w:t xml:space="preserve"> </w:t>
            </w:r>
            <w:proofErr w:type="spellStart"/>
            <w:r w:rsidRPr="009F5CA1">
              <w:rPr>
                <w:rFonts w:ascii="Arial Narrow" w:hAnsi="Arial Narrow" w:cs="Calibri"/>
                <w:color w:val="000000"/>
                <w:sz w:val="20"/>
                <w:szCs w:val="20"/>
                <w:lang w:val="de-DE" w:eastAsia="en-GB"/>
              </w:rPr>
              <w:t>shtëpiak</w:t>
            </w:r>
            <w:proofErr w:type="spellEnd"/>
            <w:r w:rsidRPr="009F5CA1">
              <w:rPr>
                <w:rFonts w:ascii="Arial Narrow" w:hAnsi="Arial Narrow" w:cs="Calibri"/>
                <w:color w:val="000000"/>
                <w:sz w:val="20"/>
                <w:szCs w:val="20"/>
                <w:lang w:val="de-DE" w:eastAsia="en-GB"/>
              </w:rPr>
              <w:t xml:space="preserve">, </w:t>
            </w:r>
            <w:proofErr w:type="spellStart"/>
            <w:r w:rsidRPr="009F5CA1">
              <w:rPr>
                <w:rFonts w:ascii="Arial Narrow" w:hAnsi="Arial Narrow" w:cs="Calibri"/>
                <w:color w:val="000000"/>
                <w:sz w:val="20"/>
                <w:szCs w:val="20"/>
                <w:lang w:val="de-DE" w:eastAsia="en-GB"/>
              </w:rPr>
              <w:t>Junik</w:t>
            </w:r>
            <w:proofErr w:type="spellEnd"/>
          </w:p>
        </w:tc>
        <w:tc>
          <w:tcPr>
            <w:tcW w:w="393" w:type="pct"/>
            <w:tcBorders>
              <w:top w:val="nil"/>
              <w:left w:val="nil"/>
              <w:bottom w:val="single" w:sz="4" w:space="0" w:color="auto"/>
              <w:right w:val="single" w:sz="4" w:space="0" w:color="auto"/>
            </w:tcBorders>
            <w:shd w:val="clear" w:color="auto" w:fill="auto"/>
            <w:noWrap/>
            <w:vAlign w:val="bottom"/>
            <w:hideMark/>
          </w:tcPr>
          <w:p w14:paraId="0D698B6F"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9 t</w:t>
            </w:r>
          </w:p>
        </w:tc>
        <w:tc>
          <w:tcPr>
            <w:tcW w:w="393" w:type="pct"/>
            <w:tcBorders>
              <w:top w:val="nil"/>
              <w:left w:val="nil"/>
              <w:bottom w:val="single" w:sz="4" w:space="0" w:color="auto"/>
              <w:right w:val="single" w:sz="4" w:space="0" w:color="auto"/>
            </w:tcBorders>
            <w:shd w:val="clear" w:color="auto" w:fill="auto"/>
            <w:noWrap/>
            <w:vAlign w:val="bottom"/>
            <w:hideMark/>
          </w:tcPr>
          <w:p w14:paraId="2516D8C6" w14:textId="4B97B0CD"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10 t</w:t>
            </w:r>
          </w:p>
        </w:tc>
        <w:tc>
          <w:tcPr>
            <w:tcW w:w="357" w:type="pct"/>
            <w:tcBorders>
              <w:top w:val="nil"/>
              <w:left w:val="nil"/>
              <w:bottom w:val="single" w:sz="4" w:space="0" w:color="auto"/>
              <w:right w:val="single" w:sz="4" w:space="0" w:color="auto"/>
            </w:tcBorders>
            <w:shd w:val="clear" w:color="auto" w:fill="auto"/>
            <w:noWrap/>
            <w:vAlign w:val="bottom"/>
            <w:hideMark/>
          </w:tcPr>
          <w:p w14:paraId="7886E749"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11 t</w:t>
            </w:r>
          </w:p>
        </w:tc>
        <w:tc>
          <w:tcPr>
            <w:tcW w:w="394" w:type="pct"/>
            <w:tcBorders>
              <w:top w:val="nil"/>
              <w:left w:val="nil"/>
              <w:bottom w:val="single" w:sz="4" w:space="0" w:color="auto"/>
              <w:right w:val="single" w:sz="4" w:space="0" w:color="auto"/>
            </w:tcBorders>
            <w:shd w:val="clear" w:color="auto" w:fill="auto"/>
            <w:noWrap/>
            <w:vAlign w:val="bottom"/>
            <w:hideMark/>
          </w:tcPr>
          <w:p w14:paraId="6A63E709" w14:textId="5654D372"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13 t</w:t>
            </w:r>
          </w:p>
        </w:tc>
        <w:tc>
          <w:tcPr>
            <w:tcW w:w="394" w:type="pct"/>
            <w:tcBorders>
              <w:top w:val="nil"/>
              <w:left w:val="nil"/>
              <w:bottom w:val="single" w:sz="4" w:space="0" w:color="auto"/>
              <w:right w:val="single" w:sz="4" w:space="0" w:color="auto"/>
            </w:tcBorders>
            <w:shd w:val="clear" w:color="auto" w:fill="auto"/>
            <w:noWrap/>
            <w:vAlign w:val="bottom"/>
            <w:hideMark/>
          </w:tcPr>
          <w:p w14:paraId="15A32681" w14:textId="301032D2"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13 t</w:t>
            </w:r>
          </w:p>
        </w:tc>
        <w:tc>
          <w:tcPr>
            <w:tcW w:w="414" w:type="pct"/>
            <w:tcBorders>
              <w:top w:val="nil"/>
              <w:left w:val="nil"/>
              <w:bottom w:val="single" w:sz="4" w:space="0" w:color="auto"/>
              <w:right w:val="single" w:sz="4" w:space="0" w:color="auto"/>
            </w:tcBorders>
            <w:shd w:val="clear" w:color="auto" w:fill="auto"/>
            <w:noWrap/>
            <w:vAlign w:val="bottom"/>
            <w:hideMark/>
          </w:tcPr>
          <w:p w14:paraId="2F08DB5C" w14:textId="7EC6C6B0"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76 t</w:t>
            </w:r>
          </w:p>
        </w:tc>
        <w:tc>
          <w:tcPr>
            <w:tcW w:w="414" w:type="pct"/>
            <w:tcBorders>
              <w:top w:val="nil"/>
              <w:left w:val="nil"/>
              <w:bottom w:val="single" w:sz="4" w:space="0" w:color="auto"/>
              <w:right w:val="single" w:sz="4" w:space="0" w:color="auto"/>
            </w:tcBorders>
            <w:shd w:val="clear" w:color="auto" w:fill="auto"/>
            <w:noWrap/>
            <w:vAlign w:val="bottom"/>
            <w:hideMark/>
          </w:tcPr>
          <w:p w14:paraId="01D4309E" w14:textId="1C8B5FDB"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87 t</w:t>
            </w:r>
          </w:p>
        </w:tc>
        <w:tc>
          <w:tcPr>
            <w:tcW w:w="414" w:type="pct"/>
            <w:tcBorders>
              <w:top w:val="nil"/>
              <w:left w:val="nil"/>
              <w:bottom w:val="single" w:sz="4" w:space="0" w:color="auto"/>
              <w:right w:val="single" w:sz="4" w:space="0" w:color="auto"/>
            </w:tcBorders>
            <w:shd w:val="clear" w:color="auto" w:fill="auto"/>
            <w:noWrap/>
            <w:vAlign w:val="bottom"/>
            <w:hideMark/>
          </w:tcPr>
          <w:p w14:paraId="4459C8DB" w14:textId="46FDD9CA"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100 t</w:t>
            </w:r>
          </w:p>
        </w:tc>
        <w:tc>
          <w:tcPr>
            <w:tcW w:w="414" w:type="pct"/>
            <w:tcBorders>
              <w:top w:val="nil"/>
              <w:left w:val="nil"/>
              <w:bottom w:val="single" w:sz="4" w:space="0" w:color="auto"/>
              <w:right w:val="single" w:sz="4" w:space="0" w:color="auto"/>
            </w:tcBorders>
            <w:shd w:val="clear" w:color="auto" w:fill="auto"/>
            <w:noWrap/>
            <w:vAlign w:val="bottom"/>
            <w:hideMark/>
          </w:tcPr>
          <w:p w14:paraId="437B60E3" w14:textId="17D1064D"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108 t</w:t>
            </w:r>
          </w:p>
        </w:tc>
      </w:tr>
      <w:tr w:rsidR="00967734" w:rsidRPr="007D1EDC" w14:paraId="7F47ED51" w14:textId="77777777" w:rsidTr="00715FE8">
        <w:trPr>
          <w:trHeight w:val="210"/>
        </w:trPr>
        <w:tc>
          <w:tcPr>
            <w:tcW w:w="1412" w:type="pct"/>
            <w:tcBorders>
              <w:top w:val="nil"/>
              <w:left w:val="single" w:sz="4" w:space="0" w:color="auto"/>
              <w:bottom w:val="single" w:sz="4" w:space="0" w:color="auto"/>
              <w:right w:val="single" w:sz="4" w:space="0" w:color="auto"/>
            </w:tcBorders>
            <w:shd w:val="clear" w:color="auto" w:fill="auto"/>
            <w:noWrap/>
            <w:vAlign w:val="bottom"/>
            <w:hideMark/>
          </w:tcPr>
          <w:p w14:paraId="224A4294" w14:textId="4DBCF845" w:rsidR="00967734" w:rsidRPr="009F5CA1" w:rsidRDefault="00967734" w:rsidP="00967734">
            <w:pPr>
              <w:rPr>
                <w:rFonts w:ascii="Arial Narrow" w:hAnsi="Arial Narrow" w:cs="Calibri"/>
                <w:color w:val="000000"/>
                <w:sz w:val="20"/>
                <w:szCs w:val="20"/>
                <w:lang w:val="de-DE" w:eastAsia="en-GB"/>
              </w:rPr>
            </w:pPr>
            <w:proofErr w:type="spellStart"/>
            <w:r w:rsidRPr="009F5CA1">
              <w:rPr>
                <w:rFonts w:ascii="Arial Narrow" w:hAnsi="Arial Narrow" w:cs="Calibri"/>
                <w:color w:val="000000"/>
                <w:sz w:val="20"/>
                <w:szCs w:val="20"/>
                <w:lang w:val="de-DE" w:eastAsia="en-GB"/>
              </w:rPr>
              <w:t>Kostor</w:t>
            </w:r>
            <w:proofErr w:type="spellEnd"/>
            <w:r w:rsidRPr="009F5CA1">
              <w:rPr>
                <w:rFonts w:ascii="Arial Narrow" w:hAnsi="Arial Narrow" w:cs="Calibri"/>
                <w:color w:val="000000"/>
                <w:sz w:val="20"/>
                <w:szCs w:val="20"/>
                <w:lang w:val="de-DE" w:eastAsia="en-GB"/>
              </w:rPr>
              <w:t xml:space="preserve"> </w:t>
            </w:r>
            <w:proofErr w:type="spellStart"/>
            <w:r w:rsidRPr="009F5CA1">
              <w:rPr>
                <w:rFonts w:ascii="Arial Narrow" w:hAnsi="Arial Narrow" w:cs="Calibri"/>
                <w:color w:val="000000"/>
                <w:sz w:val="20"/>
                <w:szCs w:val="20"/>
                <w:lang w:val="de-DE" w:eastAsia="en-GB"/>
              </w:rPr>
              <w:t>për</w:t>
            </w:r>
            <w:proofErr w:type="spellEnd"/>
            <w:r w:rsidRPr="009F5CA1">
              <w:rPr>
                <w:rFonts w:ascii="Arial Narrow" w:hAnsi="Arial Narrow" w:cs="Calibri"/>
                <w:color w:val="000000"/>
                <w:sz w:val="20"/>
                <w:szCs w:val="20"/>
                <w:lang w:val="de-DE" w:eastAsia="en-GB"/>
              </w:rPr>
              <w:t xml:space="preserve"> </w:t>
            </w:r>
            <w:proofErr w:type="spellStart"/>
            <w:r w:rsidRPr="009F5CA1">
              <w:rPr>
                <w:rFonts w:ascii="Arial Narrow" w:hAnsi="Arial Narrow" w:cs="Calibri"/>
                <w:color w:val="000000"/>
                <w:sz w:val="20"/>
                <w:szCs w:val="20"/>
                <w:lang w:val="de-DE" w:eastAsia="en-GB"/>
              </w:rPr>
              <w:t>Junik</w:t>
            </w:r>
            <w:proofErr w:type="spellEnd"/>
            <w:r w:rsidRPr="009F5CA1">
              <w:rPr>
                <w:rFonts w:ascii="Arial Narrow" w:hAnsi="Arial Narrow" w:cs="Calibri"/>
                <w:color w:val="000000"/>
                <w:sz w:val="20"/>
                <w:szCs w:val="20"/>
                <w:lang w:val="de-DE" w:eastAsia="en-GB"/>
              </w:rPr>
              <w:t xml:space="preserve">, </w:t>
            </w:r>
            <w:proofErr w:type="spellStart"/>
            <w:r w:rsidRPr="009F5CA1">
              <w:rPr>
                <w:rFonts w:ascii="Arial Narrow" w:hAnsi="Arial Narrow" w:cs="Calibri"/>
                <w:color w:val="000000"/>
                <w:sz w:val="20"/>
                <w:szCs w:val="20"/>
                <w:lang w:val="de-DE" w:eastAsia="en-GB"/>
              </w:rPr>
              <w:t>mijë</w:t>
            </w:r>
            <w:proofErr w:type="spellEnd"/>
            <w:r w:rsidRPr="009F5CA1">
              <w:rPr>
                <w:rFonts w:ascii="Arial Narrow" w:hAnsi="Arial Narrow" w:cs="Calibri"/>
                <w:color w:val="000000"/>
                <w:sz w:val="20"/>
                <w:szCs w:val="20"/>
                <w:lang w:val="de-DE" w:eastAsia="en-GB"/>
              </w:rPr>
              <w:t xml:space="preserve"> </w:t>
            </w:r>
            <w:proofErr w:type="spellStart"/>
            <w:r w:rsidRPr="009F5CA1">
              <w:rPr>
                <w:rFonts w:ascii="Arial Narrow" w:hAnsi="Arial Narrow" w:cs="Calibri"/>
                <w:color w:val="000000"/>
                <w:sz w:val="20"/>
                <w:szCs w:val="20"/>
                <w:lang w:val="de-DE" w:eastAsia="en-GB"/>
              </w:rPr>
              <w:t>euro</w:t>
            </w:r>
            <w:proofErr w:type="spellEnd"/>
          </w:p>
        </w:tc>
        <w:tc>
          <w:tcPr>
            <w:tcW w:w="393" w:type="pct"/>
            <w:tcBorders>
              <w:top w:val="nil"/>
              <w:left w:val="nil"/>
              <w:bottom w:val="single" w:sz="4" w:space="0" w:color="auto"/>
              <w:right w:val="single" w:sz="4" w:space="0" w:color="auto"/>
            </w:tcBorders>
            <w:shd w:val="clear" w:color="auto" w:fill="auto"/>
            <w:noWrap/>
            <w:vAlign w:val="bottom"/>
            <w:hideMark/>
          </w:tcPr>
          <w:p w14:paraId="15E8ED87"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w:t>
            </w:r>
          </w:p>
        </w:tc>
        <w:tc>
          <w:tcPr>
            <w:tcW w:w="393" w:type="pct"/>
            <w:tcBorders>
              <w:top w:val="nil"/>
              <w:left w:val="nil"/>
              <w:bottom w:val="single" w:sz="4" w:space="0" w:color="auto"/>
              <w:right w:val="single" w:sz="4" w:space="0" w:color="auto"/>
            </w:tcBorders>
            <w:shd w:val="clear" w:color="auto" w:fill="auto"/>
            <w:noWrap/>
            <w:vAlign w:val="bottom"/>
            <w:hideMark/>
          </w:tcPr>
          <w:p w14:paraId="23ED0BA4"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2</w:t>
            </w:r>
          </w:p>
        </w:tc>
        <w:tc>
          <w:tcPr>
            <w:tcW w:w="357" w:type="pct"/>
            <w:tcBorders>
              <w:top w:val="nil"/>
              <w:left w:val="nil"/>
              <w:bottom w:val="single" w:sz="4" w:space="0" w:color="auto"/>
              <w:right w:val="single" w:sz="4" w:space="0" w:color="auto"/>
            </w:tcBorders>
            <w:shd w:val="clear" w:color="auto" w:fill="auto"/>
            <w:noWrap/>
            <w:vAlign w:val="bottom"/>
            <w:hideMark/>
          </w:tcPr>
          <w:p w14:paraId="57E463E0"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3</w:t>
            </w:r>
          </w:p>
        </w:tc>
        <w:tc>
          <w:tcPr>
            <w:tcW w:w="394" w:type="pct"/>
            <w:tcBorders>
              <w:top w:val="nil"/>
              <w:left w:val="nil"/>
              <w:bottom w:val="single" w:sz="4" w:space="0" w:color="auto"/>
              <w:right w:val="single" w:sz="4" w:space="0" w:color="auto"/>
            </w:tcBorders>
            <w:shd w:val="clear" w:color="auto" w:fill="auto"/>
            <w:noWrap/>
            <w:vAlign w:val="bottom"/>
            <w:hideMark/>
          </w:tcPr>
          <w:p w14:paraId="6FD86549"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3</w:t>
            </w:r>
          </w:p>
        </w:tc>
        <w:tc>
          <w:tcPr>
            <w:tcW w:w="394" w:type="pct"/>
            <w:tcBorders>
              <w:top w:val="nil"/>
              <w:left w:val="nil"/>
              <w:bottom w:val="single" w:sz="4" w:space="0" w:color="auto"/>
              <w:right w:val="single" w:sz="4" w:space="0" w:color="auto"/>
            </w:tcBorders>
            <w:shd w:val="clear" w:color="auto" w:fill="auto"/>
            <w:noWrap/>
            <w:vAlign w:val="bottom"/>
            <w:hideMark/>
          </w:tcPr>
          <w:p w14:paraId="5BB28459"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3</w:t>
            </w:r>
          </w:p>
        </w:tc>
        <w:tc>
          <w:tcPr>
            <w:tcW w:w="414" w:type="pct"/>
            <w:tcBorders>
              <w:top w:val="nil"/>
              <w:left w:val="nil"/>
              <w:bottom w:val="single" w:sz="4" w:space="0" w:color="auto"/>
              <w:right w:val="single" w:sz="4" w:space="0" w:color="auto"/>
            </w:tcBorders>
            <w:shd w:val="clear" w:color="auto" w:fill="auto"/>
            <w:noWrap/>
            <w:vAlign w:val="bottom"/>
            <w:hideMark/>
          </w:tcPr>
          <w:p w14:paraId="6A8C3AA6"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3</w:t>
            </w:r>
          </w:p>
        </w:tc>
        <w:tc>
          <w:tcPr>
            <w:tcW w:w="414" w:type="pct"/>
            <w:tcBorders>
              <w:top w:val="nil"/>
              <w:left w:val="nil"/>
              <w:bottom w:val="single" w:sz="4" w:space="0" w:color="auto"/>
              <w:right w:val="single" w:sz="4" w:space="0" w:color="auto"/>
            </w:tcBorders>
            <w:shd w:val="clear" w:color="auto" w:fill="auto"/>
            <w:noWrap/>
            <w:vAlign w:val="bottom"/>
            <w:hideMark/>
          </w:tcPr>
          <w:p w14:paraId="20B2D6DC"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3</w:t>
            </w:r>
          </w:p>
        </w:tc>
        <w:tc>
          <w:tcPr>
            <w:tcW w:w="414" w:type="pct"/>
            <w:tcBorders>
              <w:top w:val="nil"/>
              <w:left w:val="nil"/>
              <w:bottom w:val="single" w:sz="4" w:space="0" w:color="auto"/>
              <w:right w:val="single" w:sz="4" w:space="0" w:color="auto"/>
            </w:tcBorders>
            <w:shd w:val="clear" w:color="auto" w:fill="auto"/>
            <w:noWrap/>
            <w:vAlign w:val="bottom"/>
            <w:hideMark/>
          </w:tcPr>
          <w:p w14:paraId="07E986A0"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3</w:t>
            </w:r>
          </w:p>
        </w:tc>
        <w:tc>
          <w:tcPr>
            <w:tcW w:w="414" w:type="pct"/>
            <w:tcBorders>
              <w:top w:val="nil"/>
              <w:left w:val="nil"/>
              <w:bottom w:val="single" w:sz="4" w:space="0" w:color="auto"/>
              <w:right w:val="single" w:sz="4" w:space="0" w:color="auto"/>
            </w:tcBorders>
            <w:shd w:val="clear" w:color="auto" w:fill="auto"/>
            <w:noWrap/>
            <w:vAlign w:val="bottom"/>
            <w:hideMark/>
          </w:tcPr>
          <w:p w14:paraId="24DE4D4B" w14:textId="77777777" w:rsidR="00967734" w:rsidRPr="007D1EDC" w:rsidRDefault="00967734" w:rsidP="00967734">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rPr>
              <w:t>3</w:t>
            </w:r>
          </w:p>
        </w:tc>
      </w:tr>
    </w:tbl>
    <w:p w14:paraId="056829AD" w14:textId="77777777" w:rsidR="007D1EDC" w:rsidRPr="00967734" w:rsidRDefault="007D1EDC" w:rsidP="007D1EDC">
      <w:pPr>
        <w:rPr>
          <w:rFonts w:ascii="Arial Narrow" w:eastAsia="Calibri" w:hAnsi="Arial Narrow" w:cs="Calibri"/>
          <w:sz w:val="22"/>
          <w:szCs w:val="22"/>
        </w:rPr>
      </w:pPr>
    </w:p>
    <w:p w14:paraId="24CB2D03" w14:textId="77777777" w:rsidR="00967734" w:rsidRPr="00967734" w:rsidRDefault="00967734" w:rsidP="00967734">
      <w:pPr>
        <w:rPr>
          <w:rFonts w:ascii="Arial Narrow" w:eastAsia="Calibri" w:hAnsi="Arial Narrow" w:cs="Calibri"/>
          <w:sz w:val="22"/>
          <w:szCs w:val="22"/>
        </w:rPr>
      </w:pPr>
      <w:r w:rsidRPr="00967734">
        <w:rPr>
          <w:rFonts w:ascii="Arial Narrow" w:eastAsia="Calibri" w:hAnsi="Arial Narrow" w:cs="Calibri"/>
          <w:sz w:val="22"/>
          <w:szCs w:val="22"/>
        </w:rPr>
        <w:t>Duke marrë në konsideratë rritjen e kostos së trajtimit dhe deponimit, kompostimi shtëpiak zvogëlon kostot e të gjithë sistemit për gjeneruesit e mbeturinave</w:t>
      </w:r>
      <w:r w:rsidRPr="009F5CA1">
        <w:rPr>
          <w:rFonts w:ascii="Arial Narrow" w:hAnsi="Arial Narrow"/>
          <w:sz w:val="22"/>
          <w:szCs w:val="22"/>
        </w:rPr>
        <w:t>.</w:t>
      </w:r>
    </w:p>
    <w:p w14:paraId="6EFD1DAF" w14:textId="77777777" w:rsidR="007D1EDC" w:rsidRPr="00967734" w:rsidRDefault="007D1EDC" w:rsidP="007D1EDC">
      <w:pPr>
        <w:rPr>
          <w:rFonts w:ascii="Arial Narrow" w:eastAsia="Calibri" w:hAnsi="Arial Narrow" w:cs="Calibri"/>
          <w:sz w:val="22"/>
          <w:szCs w:val="22"/>
        </w:rPr>
      </w:pPr>
    </w:p>
    <w:p w14:paraId="2A937C6A" w14:textId="77777777" w:rsidR="00967734" w:rsidRPr="00967734" w:rsidRDefault="00967734" w:rsidP="00967734">
      <w:pPr>
        <w:rPr>
          <w:rFonts w:ascii="Arial Narrow" w:eastAsia="Calibri" w:hAnsi="Arial Narrow" w:cs="Calibri"/>
          <w:sz w:val="22"/>
          <w:szCs w:val="22"/>
        </w:rPr>
      </w:pPr>
      <w:r w:rsidRPr="009F5CA1">
        <w:rPr>
          <w:rFonts w:ascii="Arial Narrow" w:hAnsi="Arial Narrow"/>
          <w:sz w:val="22"/>
          <w:szCs w:val="22"/>
        </w:rPr>
        <w:t>Kostot vjetore për të mbështetur kompostimin shtëpiak në zonat rurale do të mbulohen nga tarifat e mbeturinave të brumbulluara nga gjeneruesit e mbeturinave – popullata, bizneset, institucionet.</w:t>
      </w:r>
    </w:p>
    <w:p w14:paraId="71165D43" w14:textId="77777777" w:rsidR="007D1EDC" w:rsidRPr="00967734" w:rsidRDefault="007D1EDC" w:rsidP="007D1EDC">
      <w:pPr>
        <w:rPr>
          <w:rFonts w:ascii="Arial Narrow" w:eastAsia="Calibri" w:hAnsi="Arial Narrow" w:cs="Calibri"/>
          <w:sz w:val="22"/>
          <w:szCs w:val="22"/>
        </w:rPr>
      </w:pPr>
    </w:p>
    <w:p w14:paraId="0204C16A" w14:textId="69831D3F" w:rsidR="007D1EDC" w:rsidRPr="007D1EDC" w:rsidRDefault="00967734" w:rsidP="002E4DDE">
      <w:pPr>
        <w:pStyle w:val="Heading3"/>
        <w:ind w:left="1134" w:hanging="1134"/>
      </w:pPr>
      <w:bookmarkStart w:id="628" w:name="_Toc190929303"/>
      <w:bookmarkStart w:id="629" w:name="_Toc190967409"/>
      <w:bookmarkStart w:id="630" w:name="_Toc197472058"/>
      <w:r>
        <w:t xml:space="preserve">Grumbullimi </w:t>
      </w:r>
      <w:r w:rsidR="007D1EDC" w:rsidRPr="007D1EDC">
        <w:t>dhe transferimi i mbet</w:t>
      </w:r>
      <w:r>
        <w:t>urinave</w:t>
      </w:r>
      <w:r w:rsidR="007D1EDC" w:rsidRPr="007D1EDC">
        <w:t xml:space="preserve"> të </w:t>
      </w:r>
      <w:r>
        <w:t>përziera</w:t>
      </w:r>
      <w:bookmarkEnd w:id="628"/>
      <w:bookmarkEnd w:id="629"/>
      <w:bookmarkEnd w:id="630"/>
    </w:p>
    <w:p w14:paraId="0B7CAC8B" w14:textId="77777777" w:rsidR="007D1EDC" w:rsidRPr="00967734" w:rsidRDefault="007D1EDC" w:rsidP="007D1EDC">
      <w:pPr>
        <w:rPr>
          <w:rFonts w:ascii="Arial Narrow" w:eastAsia="Calibri" w:hAnsi="Arial Narrow"/>
          <w:sz w:val="20"/>
        </w:rPr>
      </w:pPr>
    </w:p>
    <w:p w14:paraId="0E695541" w14:textId="1A8B10ED" w:rsidR="00967734" w:rsidRPr="00967734" w:rsidRDefault="00967734" w:rsidP="00967734">
      <w:pPr>
        <w:jc w:val="both"/>
        <w:rPr>
          <w:rFonts w:ascii="Arial Narrow" w:eastAsia="Calibri" w:hAnsi="Arial Narrow"/>
          <w:sz w:val="22"/>
          <w:szCs w:val="22"/>
        </w:rPr>
      </w:pPr>
      <w:r w:rsidRPr="00967734">
        <w:rPr>
          <w:rFonts w:ascii="Arial Narrow" w:eastAsia="Calibri" w:hAnsi="Arial Narrow"/>
          <w:sz w:val="22"/>
          <w:szCs w:val="22"/>
        </w:rPr>
        <w:t>Grumbullimi i mbeturinave ofrohet për të gjithë popullatën e rajonit të Dukagjinit . Me fillimin e grumbullimit nda</w:t>
      </w:r>
      <w:r w:rsidR="006C3E6F">
        <w:rPr>
          <w:rFonts w:ascii="Arial Narrow" w:eastAsia="Calibri" w:hAnsi="Arial Narrow"/>
          <w:sz w:val="22"/>
          <w:szCs w:val="22"/>
        </w:rPr>
        <w:t>r</w:t>
      </w:r>
      <w:r w:rsidRPr="00967734">
        <w:rPr>
          <w:rFonts w:ascii="Arial Narrow" w:eastAsia="Calibri" w:hAnsi="Arial Narrow"/>
          <w:sz w:val="22"/>
          <w:szCs w:val="22"/>
        </w:rPr>
        <w:t>as të materialeve të riciklueshme, grumbullimin ndaras të mbeturinave të gjelbra dhe kompostimit shtëpiak, sasia e mbeturinave të përziera për grumbullim zvogëlohet. Kështu, kosto totale për grumbullimin e mbeturinave të përziera (kostot operacionale dhe amortizimit) prite</w:t>
      </w:r>
      <w:r w:rsidR="006C3E6F">
        <w:rPr>
          <w:rFonts w:ascii="Arial Narrow" w:eastAsia="Calibri" w:hAnsi="Arial Narrow"/>
          <w:sz w:val="22"/>
          <w:szCs w:val="22"/>
        </w:rPr>
        <w:t>t</w:t>
      </w:r>
      <w:r w:rsidRPr="00967734">
        <w:rPr>
          <w:rFonts w:ascii="Arial Narrow" w:eastAsia="Calibri" w:hAnsi="Arial Narrow"/>
          <w:sz w:val="22"/>
          <w:szCs w:val="22"/>
        </w:rPr>
        <w:t xml:space="preserve"> të ulen, ndërsa kostoja për njësi për ton mbeturina të grumbulluara - të rritet.</w:t>
      </w:r>
    </w:p>
    <w:p w14:paraId="553DA521" w14:textId="77777777" w:rsidR="007D1EDC" w:rsidRPr="00967734" w:rsidRDefault="007D1EDC" w:rsidP="007D1EDC">
      <w:pPr>
        <w:rPr>
          <w:rFonts w:ascii="Arial Narrow" w:eastAsia="Calibri" w:hAnsi="Arial Narrow"/>
          <w:sz w:val="22"/>
          <w:szCs w:val="22"/>
        </w:rPr>
      </w:pPr>
    </w:p>
    <w:p w14:paraId="6FC7E017" w14:textId="77777777" w:rsidR="00967734" w:rsidRPr="009F5CA1" w:rsidRDefault="00967734" w:rsidP="00967734">
      <w:pPr>
        <w:jc w:val="both"/>
        <w:rPr>
          <w:rFonts w:ascii="Arial Narrow" w:eastAsia="Calibri" w:hAnsi="Arial Narrow" w:cs="Calibri"/>
          <w:color w:val="000000" w:themeColor="text1"/>
          <w:sz w:val="22"/>
          <w:szCs w:val="22"/>
        </w:rPr>
      </w:pPr>
      <w:r w:rsidRPr="009F5CA1">
        <w:rPr>
          <w:rFonts w:ascii="Arial Narrow" w:eastAsia="Calibri" w:hAnsi="Arial Narrow" w:cs="Calibri"/>
          <w:color w:val="000000" w:themeColor="text1"/>
          <w:sz w:val="22"/>
          <w:szCs w:val="22"/>
        </w:rPr>
        <w:t>Në secilën komunë, llogaritjet e kostove të grumbullimit kryhen veçmas për zonat urbane dhe për zonat ruralei, duke marrë parasysh llojet e kontejnerëve dhe automjeteve grumbulluese të përdorura.</w:t>
      </w:r>
    </w:p>
    <w:p w14:paraId="61ECD434" w14:textId="77777777" w:rsidR="00967734" w:rsidRPr="009F5CA1" w:rsidRDefault="00967734" w:rsidP="00967734">
      <w:pPr>
        <w:jc w:val="both"/>
        <w:rPr>
          <w:rFonts w:ascii="Arial Narrow" w:eastAsia="Calibri" w:hAnsi="Arial Narrow" w:cs="Calibri"/>
          <w:color w:val="000000" w:themeColor="text1"/>
          <w:sz w:val="22"/>
          <w:szCs w:val="22"/>
        </w:rPr>
      </w:pPr>
    </w:p>
    <w:p w14:paraId="5595C6DA" w14:textId="77777777" w:rsidR="00967734" w:rsidRPr="009F5CA1" w:rsidRDefault="00967734" w:rsidP="00967734">
      <w:pPr>
        <w:jc w:val="both"/>
        <w:rPr>
          <w:rFonts w:ascii="Arial Narrow" w:eastAsia="Calibri" w:hAnsi="Arial Narrow" w:cs="Calibri"/>
          <w:color w:val="000000" w:themeColor="text1"/>
          <w:sz w:val="22"/>
          <w:szCs w:val="22"/>
        </w:rPr>
      </w:pPr>
      <w:r w:rsidRPr="009F5CA1">
        <w:rPr>
          <w:rFonts w:ascii="Arial Narrow" w:eastAsia="Calibri" w:hAnsi="Arial Narrow" w:cs="Calibri"/>
          <w:color w:val="000000" w:themeColor="text1"/>
          <w:sz w:val="22"/>
          <w:szCs w:val="22"/>
        </w:rPr>
        <w:t>Për llogaritjen e kostove të grumbullimit të mbeturinave janë bërë supozimet e mëposhtme:</w:t>
      </w:r>
    </w:p>
    <w:p w14:paraId="6DFA6B9D" w14:textId="77777777" w:rsidR="00967734" w:rsidRPr="00967734" w:rsidRDefault="00967734" w:rsidP="00967734">
      <w:pPr>
        <w:numPr>
          <w:ilvl w:val="0"/>
          <w:numId w:val="20"/>
        </w:numPr>
        <w:jc w:val="both"/>
        <w:rPr>
          <w:rFonts w:ascii="Arial Narrow" w:eastAsia="Calibri" w:hAnsi="Arial Narrow" w:cs="Calibri"/>
          <w:color w:val="000000" w:themeColor="text1"/>
          <w:sz w:val="22"/>
          <w:szCs w:val="22"/>
          <w:lang w:val="en-GB"/>
        </w:rPr>
      </w:pPr>
      <w:r w:rsidRPr="009F5CA1">
        <w:rPr>
          <w:rFonts w:ascii="Arial Narrow" w:eastAsia="Calibri" w:hAnsi="Arial Narrow" w:cs="Calibri"/>
          <w:color w:val="000000" w:themeColor="text1"/>
          <w:sz w:val="22"/>
          <w:szCs w:val="22"/>
        </w:rPr>
        <w:t xml:space="preserve">Numrat dhe kapacitetet e kontejnerëve dhe automjeteve të nevojshme grumbulluese korrespondojnë me sasitë e mbeturinave të grumbulluara, të llogaritura në bazë të numrit të banorëve të shërbyer dhe normave përkatëse të gjenerimit të mbeturinave për frymë në zonat urbane dhe rurale për vitin përkatës. </w:t>
      </w:r>
      <w:proofErr w:type="spellStart"/>
      <w:r w:rsidRPr="00967734">
        <w:rPr>
          <w:rFonts w:ascii="Arial Narrow" w:eastAsia="Calibri" w:hAnsi="Arial Narrow" w:cs="Calibri"/>
          <w:color w:val="000000" w:themeColor="text1"/>
          <w:sz w:val="22"/>
          <w:szCs w:val="22"/>
          <w:lang w:val="en-GB"/>
        </w:rPr>
        <w:t>Është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marrë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parasysh</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sasia</w:t>
      </w:r>
      <w:proofErr w:type="spellEnd"/>
      <w:r w:rsidRPr="00967734">
        <w:rPr>
          <w:rFonts w:ascii="Arial Narrow" w:eastAsia="Calibri" w:hAnsi="Arial Narrow" w:cs="Calibri"/>
          <w:color w:val="000000" w:themeColor="text1"/>
          <w:sz w:val="22"/>
          <w:szCs w:val="22"/>
          <w:lang w:val="en-GB"/>
        </w:rPr>
        <w:t xml:space="preserve"> e </w:t>
      </w:r>
      <w:proofErr w:type="spellStart"/>
      <w:r w:rsidRPr="00967734">
        <w:rPr>
          <w:rFonts w:ascii="Arial Narrow" w:eastAsia="Calibri" w:hAnsi="Arial Narrow" w:cs="Calibri"/>
          <w:color w:val="000000" w:themeColor="text1"/>
          <w:sz w:val="22"/>
          <w:szCs w:val="22"/>
          <w:lang w:val="en-GB"/>
        </w:rPr>
        <w:t>mbeturinave</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të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grumbulluara</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ndaras</w:t>
      </w:r>
      <w:proofErr w:type="spellEnd"/>
      <w:r w:rsidRPr="00967734">
        <w:rPr>
          <w:rFonts w:ascii="Arial Narrow" w:eastAsia="Calibri" w:hAnsi="Arial Narrow" w:cs="Calibri"/>
          <w:color w:val="000000" w:themeColor="text1"/>
          <w:sz w:val="22"/>
          <w:szCs w:val="22"/>
          <w:lang w:val="en-GB"/>
        </w:rPr>
        <w:t>.</w:t>
      </w:r>
    </w:p>
    <w:p w14:paraId="3AFF5EBF" w14:textId="77777777" w:rsidR="00967734" w:rsidRPr="00967734" w:rsidRDefault="00967734" w:rsidP="00967734">
      <w:pPr>
        <w:numPr>
          <w:ilvl w:val="0"/>
          <w:numId w:val="20"/>
        </w:numPr>
        <w:jc w:val="both"/>
        <w:rPr>
          <w:rFonts w:ascii="Arial Narrow" w:eastAsia="Calibri" w:hAnsi="Arial Narrow" w:cs="Calibri"/>
          <w:color w:val="000000" w:themeColor="text1"/>
          <w:sz w:val="22"/>
          <w:szCs w:val="22"/>
          <w:lang w:val="en-GB"/>
        </w:rPr>
      </w:pPr>
      <w:proofErr w:type="spellStart"/>
      <w:r w:rsidRPr="00967734">
        <w:rPr>
          <w:rFonts w:ascii="Arial Narrow" w:eastAsia="Calibri" w:hAnsi="Arial Narrow" w:cs="Calibri"/>
          <w:color w:val="000000" w:themeColor="text1"/>
          <w:sz w:val="22"/>
          <w:szCs w:val="22"/>
          <w:lang w:val="en-GB"/>
        </w:rPr>
        <w:t>Dendësia</w:t>
      </w:r>
      <w:proofErr w:type="spellEnd"/>
      <w:r w:rsidRPr="00967734">
        <w:rPr>
          <w:rFonts w:ascii="Arial Narrow" w:eastAsia="Calibri" w:hAnsi="Arial Narrow" w:cs="Calibri"/>
          <w:color w:val="000000" w:themeColor="text1"/>
          <w:sz w:val="22"/>
          <w:szCs w:val="22"/>
          <w:lang w:val="en-GB"/>
        </w:rPr>
        <w:t xml:space="preserve"> e </w:t>
      </w:r>
      <w:proofErr w:type="spellStart"/>
      <w:r w:rsidRPr="00967734">
        <w:rPr>
          <w:rFonts w:ascii="Arial Narrow" w:eastAsia="Calibri" w:hAnsi="Arial Narrow" w:cs="Calibri"/>
          <w:color w:val="000000" w:themeColor="text1"/>
          <w:sz w:val="22"/>
          <w:szCs w:val="22"/>
          <w:lang w:val="en-GB"/>
        </w:rPr>
        <w:t>mbeturinave</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në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kontejnerë</w:t>
      </w:r>
      <w:proofErr w:type="spellEnd"/>
      <w:r w:rsidRPr="00967734">
        <w:rPr>
          <w:rFonts w:ascii="Arial Narrow" w:eastAsia="Calibri" w:hAnsi="Arial Narrow" w:cs="Calibri"/>
          <w:color w:val="000000" w:themeColor="text1"/>
          <w:sz w:val="22"/>
          <w:szCs w:val="22"/>
          <w:lang w:val="en-GB"/>
        </w:rPr>
        <w:t xml:space="preserve"> 180 kg/</w:t>
      </w:r>
      <w:r w:rsidRPr="00967734">
        <w:rPr>
          <w:rFonts w:ascii="Arial Narrow" w:hAnsi="Arial Narrow" w:cs="Calibri"/>
          <w:sz w:val="22"/>
          <w:szCs w:val="22"/>
          <w:lang w:val="sq-AL" w:eastAsia="bg-BG"/>
        </w:rPr>
        <w:t>m³</w:t>
      </w:r>
      <w:r w:rsidRPr="00967734">
        <w:rPr>
          <w:rFonts w:ascii="Arial Narrow" w:eastAsia="Calibri" w:hAnsi="Arial Narrow" w:cs="Calibri"/>
          <w:color w:val="000000" w:themeColor="text1"/>
          <w:sz w:val="22"/>
          <w:szCs w:val="22"/>
          <w:lang w:val="en-GB"/>
        </w:rPr>
        <w:t>.</w:t>
      </w:r>
    </w:p>
    <w:p w14:paraId="71E290D6" w14:textId="77777777" w:rsidR="00967734" w:rsidRPr="00967734" w:rsidRDefault="00967734" w:rsidP="00967734">
      <w:pPr>
        <w:numPr>
          <w:ilvl w:val="0"/>
          <w:numId w:val="20"/>
        </w:numPr>
        <w:jc w:val="both"/>
        <w:rPr>
          <w:rFonts w:ascii="Arial Narrow" w:eastAsia="Calibri" w:hAnsi="Arial Narrow" w:cs="Calibri"/>
          <w:color w:val="000000" w:themeColor="text1"/>
          <w:sz w:val="22"/>
          <w:szCs w:val="22"/>
          <w:lang w:val="en-GB"/>
        </w:rPr>
      </w:pPr>
      <w:proofErr w:type="spellStart"/>
      <w:r w:rsidRPr="00967734">
        <w:rPr>
          <w:rFonts w:ascii="Arial Narrow" w:eastAsia="Calibri" w:hAnsi="Arial Narrow" w:cs="Calibri"/>
          <w:color w:val="000000" w:themeColor="text1"/>
          <w:sz w:val="22"/>
          <w:szCs w:val="22"/>
          <w:lang w:val="en-GB"/>
        </w:rPr>
        <w:t>Shkalla</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mesatare</w:t>
      </w:r>
      <w:proofErr w:type="spellEnd"/>
      <w:r w:rsidRPr="00967734">
        <w:rPr>
          <w:rFonts w:ascii="Arial Narrow" w:eastAsia="Calibri" w:hAnsi="Arial Narrow" w:cs="Calibri"/>
          <w:color w:val="000000" w:themeColor="text1"/>
          <w:sz w:val="22"/>
          <w:szCs w:val="22"/>
          <w:lang w:val="en-GB"/>
        </w:rPr>
        <w:t xml:space="preserve"> e </w:t>
      </w:r>
      <w:proofErr w:type="spellStart"/>
      <w:r w:rsidRPr="00967734">
        <w:rPr>
          <w:rFonts w:ascii="Arial Narrow" w:eastAsia="Calibri" w:hAnsi="Arial Narrow" w:cs="Calibri"/>
          <w:color w:val="000000" w:themeColor="text1"/>
          <w:sz w:val="22"/>
          <w:szCs w:val="22"/>
          <w:lang w:val="en-GB"/>
        </w:rPr>
        <w:t>mbushjes</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së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kontejnerëve</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pranohet</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të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jetë</w:t>
      </w:r>
      <w:proofErr w:type="spellEnd"/>
      <w:r w:rsidRPr="00967734">
        <w:rPr>
          <w:rFonts w:ascii="Arial Narrow" w:eastAsia="Calibri" w:hAnsi="Arial Narrow" w:cs="Calibri"/>
          <w:color w:val="000000" w:themeColor="text1"/>
          <w:sz w:val="22"/>
          <w:szCs w:val="22"/>
          <w:lang w:val="en-GB"/>
        </w:rPr>
        <w:t xml:space="preserve"> 80% </w:t>
      </w:r>
      <w:proofErr w:type="spellStart"/>
      <w:r w:rsidRPr="00967734">
        <w:rPr>
          <w:rFonts w:ascii="Arial Narrow" w:eastAsia="Calibri" w:hAnsi="Arial Narrow" w:cs="Calibri"/>
          <w:color w:val="000000" w:themeColor="text1"/>
          <w:sz w:val="22"/>
          <w:szCs w:val="22"/>
          <w:lang w:val="en-GB"/>
        </w:rPr>
        <w:t>për</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kontejnerët</w:t>
      </w:r>
      <w:proofErr w:type="spellEnd"/>
      <w:r w:rsidRPr="00967734">
        <w:rPr>
          <w:rFonts w:ascii="Arial Narrow" w:eastAsia="Calibri" w:hAnsi="Arial Narrow" w:cs="Calibri"/>
          <w:color w:val="000000" w:themeColor="text1"/>
          <w:sz w:val="22"/>
          <w:szCs w:val="22"/>
          <w:lang w:val="en-GB"/>
        </w:rPr>
        <w:t xml:space="preserve"> 1.1 </w:t>
      </w:r>
      <w:r w:rsidRPr="00967734">
        <w:rPr>
          <w:rFonts w:ascii="Arial Narrow" w:hAnsi="Arial Narrow" w:cs="Calibri"/>
          <w:sz w:val="22"/>
          <w:szCs w:val="22"/>
          <w:lang w:val="sq-AL" w:eastAsia="bg-BG"/>
        </w:rPr>
        <w:t>m³</w:t>
      </w:r>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dhe</w:t>
      </w:r>
      <w:proofErr w:type="spellEnd"/>
      <w:r w:rsidRPr="00967734">
        <w:rPr>
          <w:rFonts w:ascii="Arial Narrow" w:eastAsia="Calibri" w:hAnsi="Arial Narrow" w:cs="Calibri"/>
          <w:color w:val="000000" w:themeColor="text1"/>
          <w:sz w:val="22"/>
          <w:szCs w:val="22"/>
          <w:lang w:val="en-GB"/>
        </w:rPr>
        <w:t xml:space="preserve"> 85% </w:t>
      </w:r>
      <w:proofErr w:type="spellStart"/>
      <w:r w:rsidRPr="00967734">
        <w:rPr>
          <w:rFonts w:ascii="Arial Narrow" w:eastAsia="Calibri" w:hAnsi="Arial Narrow" w:cs="Calibri"/>
          <w:color w:val="000000" w:themeColor="text1"/>
          <w:sz w:val="22"/>
          <w:szCs w:val="22"/>
          <w:lang w:val="en-GB"/>
        </w:rPr>
        <w:t>për</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shportat</w:t>
      </w:r>
      <w:proofErr w:type="spellEnd"/>
      <w:r w:rsidRPr="00967734">
        <w:rPr>
          <w:rFonts w:ascii="Arial Narrow" w:eastAsia="Calibri" w:hAnsi="Arial Narrow" w:cs="Calibri"/>
          <w:color w:val="000000" w:themeColor="text1"/>
          <w:sz w:val="22"/>
          <w:szCs w:val="22"/>
          <w:lang w:val="en-GB"/>
        </w:rPr>
        <w:t xml:space="preserve"> 240 l.</w:t>
      </w:r>
    </w:p>
    <w:p w14:paraId="1BDB5E93" w14:textId="77777777" w:rsidR="00967734" w:rsidRPr="00967734" w:rsidRDefault="00967734" w:rsidP="00967734">
      <w:pPr>
        <w:numPr>
          <w:ilvl w:val="0"/>
          <w:numId w:val="20"/>
        </w:numPr>
        <w:jc w:val="both"/>
        <w:rPr>
          <w:rFonts w:ascii="Arial Narrow" w:eastAsia="Calibri" w:hAnsi="Arial Narrow" w:cs="Calibri"/>
          <w:color w:val="000000" w:themeColor="text1"/>
          <w:sz w:val="22"/>
          <w:szCs w:val="22"/>
          <w:lang w:val="en-GB"/>
        </w:rPr>
      </w:pPr>
      <w:proofErr w:type="spellStart"/>
      <w:r w:rsidRPr="00967734">
        <w:rPr>
          <w:rFonts w:ascii="Arial Narrow" w:eastAsia="Calibri" w:hAnsi="Arial Narrow" w:cs="Calibri"/>
          <w:color w:val="000000" w:themeColor="text1"/>
          <w:sz w:val="22"/>
          <w:szCs w:val="22"/>
          <w:lang w:val="en-GB"/>
        </w:rPr>
        <w:t>Koeficienti</w:t>
      </w:r>
      <w:proofErr w:type="spellEnd"/>
      <w:r w:rsidRPr="00967734">
        <w:rPr>
          <w:rFonts w:ascii="Arial Narrow" w:eastAsia="Calibri" w:hAnsi="Arial Narrow" w:cs="Calibri"/>
          <w:color w:val="000000" w:themeColor="text1"/>
          <w:sz w:val="22"/>
          <w:szCs w:val="22"/>
          <w:lang w:val="en-GB"/>
        </w:rPr>
        <w:t xml:space="preserve"> i </w:t>
      </w:r>
      <w:proofErr w:type="spellStart"/>
      <w:r w:rsidRPr="00967734">
        <w:rPr>
          <w:rFonts w:ascii="Arial Narrow" w:eastAsia="Calibri" w:hAnsi="Arial Narrow" w:cs="Calibri"/>
          <w:color w:val="000000" w:themeColor="text1"/>
          <w:sz w:val="22"/>
          <w:szCs w:val="22"/>
          <w:lang w:val="en-GB"/>
        </w:rPr>
        <w:t>parregullsisë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që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përfaqëson</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raportin</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ndërmjet</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maksimumit</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dhe</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sasisë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mesatare</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javore</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të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mbeturinave</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është</w:t>
      </w:r>
      <w:proofErr w:type="spellEnd"/>
      <w:r w:rsidRPr="00967734">
        <w:rPr>
          <w:rFonts w:ascii="Arial Narrow" w:eastAsia="Calibri" w:hAnsi="Arial Narrow" w:cs="Calibri"/>
          <w:color w:val="000000" w:themeColor="text1"/>
          <w:sz w:val="22"/>
          <w:szCs w:val="22"/>
          <w:lang w:val="en-GB"/>
        </w:rPr>
        <w:t xml:space="preserve"> i </w:t>
      </w:r>
      <w:proofErr w:type="spellStart"/>
      <w:r w:rsidRPr="00967734">
        <w:rPr>
          <w:rFonts w:ascii="Arial Narrow" w:eastAsia="Calibri" w:hAnsi="Arial Narrow" w:cs="Calibri"/>
          <w:color w:val="000000" w:themeColor="text1"/>
          <w:sz w:val="22"/>
          <w:szCs w:val="22"/>
          <w:lang w:val="en-GB"/>
        </w:rPr>
        <w:t>barabartë</w:t>
      </w:r>
      <w:proofErr w:type="spellEnd"/>
      <w:r w:rsidRPr="00967734">
        <w:rPr>
          <w:rFonts w:ascii="Arial Narrow" w:eastAsia="Calibri" w:hAnsi="Arial Narrow" w:cs="Calibri"/>
          <w:color w:val="000000" w:themeColor="text1"/>
          <w:sz w:val="22"/>
          <w:szCs w:val="22"/>
          <w:lang w:val="en-GB"/>
        </w:rPr>
        <w:t xml:space="preserve"> me 1.3.</w:t>
      </w:r>
    </w:p>
    <w:p w14:paraId="49C7F88E" w14:textId="77777777" w:rsidR="00967734" w:rsidRPr="00967734" w:rsidRDefault="00967734" w:rsidP="00967734">
      <w:pPr>
        <w:numPr>
          <w:ilvl w:val="0"/>
          <w:numId w:val="20"/>
        </w:numPr>
        <w:jc w:val="both"/>
        <w:rPr>
          <w:rFonts w:ascii="Arial Narrow" w:eastAsia="Calibri" w:hAnsi="Arial Narrow" w:cs="Calibri"/>
          <w:color w:val="000000" w:themeColor="text1"/>
          <w:sz w:val="22"/>
          <w:szCs w:val="22"/>
          <w:lang w:val="en-GB"/>
        </w:rPr>
      </w:pPr>
      <w:proofErr w:type="spellStart"/>
      <w:r w:rsidRPr="00967734">
        <w:rPr>
          <w:rFonts w:ascii="Arial Narrow" w:eastAsia="Calibri" w:hAnsi="Arial Narrow" w:cs="Calibri"/>
          <w:color w:val="000000" w:themeColor="text1"/>
          <w:sz w:val="22"/>
          <w:szCs w:val="22"/>
          <w:lang w:val="en-GB"/>
        </w:rPr>
        <w:lastRenderedPageBreak/>
        <w:t>Shpejtësia</w:t>
      </w:r>
      <w:proofErr w:type="spellEnd"/>
      <w:r w:rsidRPr="00967734">
        <w:rPr>
          <w:rFonts w:ascii="Arial Narrow" w:eastAsia="Calibri" w:hAnsi="Arial Narrow" w:cs="Calibri"/>
          <w:color w:val="000000" w:themeColor="text1"/>
          <w:sz w:val="22"/>
          <w:szCs w:val="22"/>
          <w:lang w:val="en-GB"/>
        </w:rPr>
        <w:t xml:space="preserve"> e </w:t>
      </w:r>
      <w:proofErr w:type="spellStart"/>
      <w:r w:rsidRPr="00967734">
        <w:rPr>
          <w:rFonts w:ascii="Arial Narrow" w:eastAsia="Calibri" w:hAnsi="Arial Narrow" w:cs="Calibri"/>
          <w:color w:val="000000" w:themeColor="text1"/>
          <w:sz w:val="22"/>
          <w:szCs w:val="22"/>
          <w:lang w:val="en-GB"/>
        </w:rPr>
        <w:t>udhëtimit</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të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automjeteve</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për</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grumbullimin</w:t>
      </w:r>
      <w:proofErr w:type="spellEnd"/>
      <w:r w:rsidRPr="00967734">
        <w:rPr>
          <w:rFonts w:ascii="Arial Narrow" w:eastAsia="Calibri" w:hAnsi="Arial Narrow" w:cs="Calibri"/>
          <w:color w:val="000000" w:themeColor="text1"/>
          <w:sz w:val="22"/>
          <w:szCs w:val="22"/>
          <w:lang w:val="en-GB"/>
        </w:rPr>
        <w:t xml:space="preserve"> e </w:t>
      </w:r>
      <w:proofErr w:type="spellStart"/>
      <w:r w:rsidRPr="00967734">
        <w:rPr>
          <w:rFonts w:ascii="Arial Narrow" w:eastAsia="Calibri" w:hAnsi="Arial Narrow" w:cs="Calibri"/>
          <w:color w:val="000000" w:themeColor="text1"/>
          <w:sz w:val="22"/>
          <w:szCs w:val="22"/>
          <w:lang w:val="en-GB"/>
        </w:rPr>
        <w:t>mbeturinave</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pranohet</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në</w:t>
      </w:r>
      <w:proofErr w:type="spellEnd"/>
      <w:r w:rsidRPr="00967734">
        <w:rPr>
          <w:rFonts w:ascii="Arial Narrow" w:eastAsia="Calibri" w:hAnsi="Arial Narrow" w:cs="Calibri"/>
          <w:color w:val="000000" w:themeColor="text1"/>
          <w:sz w:val="22"/>
          <w:szCs w:val="22"/>
          <w:lang w:val="en-GB"/>
        </w:rPr>
        <w:t xml:space="preserve"> 35 km/</w:t>
      </w:r>
      <w:proofErr w:type="spellStart"/>
      <w:r w:rsidRPr="00967734">
        <w:rPr>
          <w:rFonts w:ascii="Arial Narrow" w:eastAsia="Calibri" w:hAnsi="Arial Narrow" w:cs="Calibri"/>
          <w:color w:val="000000" w:themeColor="text1"/>
          <w:sz w:val="22"/>
          <w:szCs w:val="22"/>
          <w:lang w:val="en-GB"/>
        </w:rPr>
        <w:t>orë</w:t>
      </w:r>
      <w:proofErr w:type="spellEnd"/>
      <w:r w:rsidRPr="00967734">
        <w:rPr>
          <w:rFonts w:ascii="Arial Narrow" w:eastAsia="Calibri" w:hAnsi="Arial Narrow" w:cs="Calibri"/>
          <w:color w:val="000000" w:themeColor="text1"/>
          <w:sz w:val="22"/>
          <w:szCs w:val="22"/>
          <w:lang w:val="en-GB"/>
        </w:rPr>
        <w:t>.</w:t>
      </w:r>
    </w:p>
    <w:p w14:paraId="1797408C" w14:textId="77777777" w:rsidR="00967734" w:rsidRPr="00967734" w:rsidRDefault="00967734" w:rsidP="00967734">
      <w:pPr>
        <w:numPr>
          <w:ilvl w:val="0"/>
          <w:numId w:val="20"/>
        </w:numPr>
        <w:jc w:val="both"/>
        <w:rPr>
          <w:rFonts w:ascii="Arial Narrow" w:eastAsia="Calibri" w:hAnsi="Arial Narrow" w:cs="Calibri"/>
          <w:color w:val="000000" w:themeColor="text1"/>
          <w:sz w:val="22"/>
          <w:szCs w:val="22"/>
          <w:lang w:val="en-GB"/>
        </w:rPr>
      </w:pPr>
      <w:proofErr w:type="spellStart"/>
      <w:r w:rsidRPr="00967734">
        <w:rPr>
          <w:rFonts w:ascii="Arial Narrow" w:eastAsia="Calibri" w:hAnsi="Arial Narrow" w:cs="Calibri"/>
          <w:color w:val="000000" w:themeColor="text1"/>
          <w:sz w:val="22"/>
          <w:szCs w:val="22"/>
          <w:lang w:val="en-GB"/>
        </w:rPr>
        <w:t>Shfrytëzimi</w:t>
      </w:r>
      <w:proofErr w:type="spellEnd"/>
      <w:r w:rsidRPr="00967734">
        <w:rPr>
          <w:rFonts w:ascii="Arial Narrow" w:eastAsia="Calibri" w:hAnsi="Arial Narrow" w:cs="Calibri"/>
          <w:color w:val="000000" w:themeColor="text1"/>
          <w:sz w:val="22"/>
          <w:szCs w:val="22"/>
          <w:lang w:val="en-GB"/>
        </w:rPr>
        <w:t xml:space="preserve"> 85% i </w:t>
      </w:r>
      <w:proofErr w:type="spellStart"/>
      <w:r w:rsidRPr="00967734">
        <w:rPr>
          <w:rFonts w:ascii="Arial Narrow" w:eastAsia="Calibri" w:hAnsi="Arial Narrow" w:cs="Calibri"/>
          <w:color w:val="000000" w:themeColor="text1"/>
          <w:sz w:val="22"/>
          <w:szCs w:val="22"/>
          <w:lang w:val="en-GB"/>
        </w:rPr>
        <w:t>ngarkesës</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nominale</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të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mjeteve</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grumbulluese</w:t>
      </w:r>
      <w:proofErr w:type="spellEnd"/>
      <w:r w:rsidRPr="00967734">
        <w:rPr>
          <w:rFonts w:ascii="Arial Narrow" w:eastAsia="Calibri" w:hAnsi="Arial Narrow" w:cs="Calibri"/>
          <w:color w:val="000000" w:themeColor="text1"/>
          <w:sz w:val="22"/>
          <w:szCs w:val="22"/>
          <w:lang w:val="en-GB"/>
        </w:rPr>
        <w:t>.</w:t>
      </w:r>
    </w:p>
    <w:p w14:paraId="2093EFFC" w14:textId="77777777" w:rsidR="00967734" w:rsidRPr="00967734" w:rsidRDefault="00967734" w:rsidP="00967734">
      <w:pPr>
        <w:numPr>
          <w:ilvl w:val="0"/>
          <w:numId w:val="20"/>
        </w:numPr>
        <w:jc w:val="both"/>
        <w:rPr>
          <w:rFonts w:ascii="Arial Narrow" w:eastAsia="Calibri" w:hAnsi="Arial Narrow" w:cs="Calibri"/>
          <w:color w:val="000000" w:themeColor="text1"/>
          <w:sz w:val="22"/>
          <w:szCs w:val="22"/>
          <w:lang w:val="en-GB"/>
        </w:rPr>
      </w:pPr>
      <w:r w:rsidRPr="00967734">
        <w:rPr>
          <w:rFonts w:ascii="Arial Narrow" w:eastAsia="Calibri" w:hAnsi="Arial Narrow" w:cs="Calibri"/>
          <w:color w:val="000000" w:themeColor="text1"/>
          <w:sz w:val="22"/>
          <w:szCs w:val="22"/>
          <w:lang w:val="en-GB"/>
        </w:rPr>
        <w:t xml:space="preserve">85% </w:t>
      </w:r>
      <w:proofErr w:type="spellStart"/>
      <w:r w:rsidRPr="00967734">
        <w:rPr>
          <w:rFonts w:ascii="Arial Narrow" w:eastAsia="Calibri" w:hAnsi="Arial Narrow" w:cs="Calibri"/>
          <w:color w:val="000000" w:themeColor="text1"/>
          <w:sz w:val="22"/>
          <w:szCs w:val="22"/>
          <w:lang w:val="en-GB"/>
        </w:rPr>
        <w:t>disponueshmëria</w:t>
      </w:r>
      <w:proofErr w:type="spellEnd"/>
      <w:r w:rsidRPr="00967734">
        <w:rPr>
          <w:rFonts w:ascii="Arial Narrow" w:eastAsia="Calibri" w:hAnsi="Arial Narrow" w:cs="Calibri"/>
          <w:color w:val="000000" w:themeColor="text1"/>
          <w:sz w:val="22"/>
          <w:szCs w:val="22"/>
          <w:lang w:val="en-GB"/>
        </w:rPr>
        <w:t xml:space="preserve"> e </w:t>
      </w:r>
      <w:proofErr w:type="spellStart"/>
      <w:r w:rsidRPr="00967734">
        <w:rPr>
          <w:rFonts w:ascii="Arial Narrow" w:eastAsia="Calibri" w:hAnsi="Arial Narrow" w:cs="Calibri"/>
          <w:color w:val="000000" w:themeColor="text1"/>
          <w:sz w:val="22"/>
          <w:szCs w:val="22"/>
          <w:lang w:val="en-GB"/>
        </w:rPr>
        <w:t>mjetit</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grumbullues</w:t>
      </w:r>
      <w:proofErr w:type="spellEnd"/>
      <w:r w:rsidRPr="00967734">
        <w:rPr>
          <w:rFonts w:ascii="Arial Narrow" w:eastAsia="Calibri" w:hAnsi="Arial Narrow" w:cs="Calibri"/>
          <w:color w:val="000000" w:themeColor="text1"/>
          <w:sz w:val="22"/>
          <w:szCs w:val="22"/>
          <w:lang w:val="en-GB"/>
        </w:rPr>
        <w:t>.</w:t>
      </w:r>
    </w:p>
    <w:p w14:paraId="666A6811" w14:textId="77777777" w:rsidR="00967734" w:rsidRPr="00967734" w:rsidRDefault="00967734" w:rsidP="00967734">
      <w:pPr>
        <w:numPr>
          <w:ilvl w:val="0"/>
          <w:numId w:val="20"/>
        </w:numPr>
        <w:jc w:val="both"/>
        <w:rPr>
          <w:rFonts w:ascii="Arial Narrow" w:eastAsia="Calibri" w:hAnsi="Arial Narrow" w:cs="Calibri"/>
          <w:color w:val="000000" w:themeColor="text1"/>
          <w:sz w:val="22"/>
          <w:szCs w:val="22"/>
          <w:lang w:val="en-GB"/>
        </w:rPr>
      </w:pPr>
      <w:proofErr w:type="spellStart"/>
      <w:r w:rsidRPr="00967734">
        <w:rPr>
          <w:rFonts w:ascii="Arial Narrow" w:eastAsia="Calibri" w:hAnsi="Arial Narrow" w:cs="Calibri"/>
          <w:color w:val="000000" w:themeColor="text1"/>
          <w:sz w:val="22"/>
          <w:szCs w:val="22"/>
          <w:lang w:val="en-GB"/>
        </w:rPr>
        <w:t>Rezerva</w:t>
      </w:r>
      <w:proofErr w:type="spellEnd"/>
      <w:r w:rsidRPr="00967734">
        <w:rPr>
          <w:rFonts w:ascii="Arial Narrow" w:eastAsia="Calibri" w:hAnsi="Arial Narrow" w:cs="Calibri"/>
          <w:color w:val="000000" w:themeColor="text1"/>
          <w:sz w:val="22"/>
          <w:szCs w:val="22"/>
          <w:lang w:val="en-GB"/>
        </w:rPr>
        <w:t xml:space="preserve"> e </w:t>
      </w:r>
      <w:proofErr w:type="spellStart"/>
      <w:r w:rsidRPr="00967734">
        <w:rPr>
          <w:rFonts w:ascii="Arial Narrow" w:eastAsia="Calibri" w:hAnsi="Arial Narrow" w:cs="Calibri"/>
          <w:color w:val="000000" w:themeColor="text1"/>
          <w:sz w:val="22"/>
          <w:szCs w:val="22"/>
          <w:lang w:val="en-GB"/>
        </w:rPr>
        <w:t>kontejnerëve</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për</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mirëmbajtje</w:t>
      </w:r>
      <w:proofErr w:type="spellEnd"/>
      <w:r w:rsidRPr="00967734">
        <w:rPr>
          <w:rFonts w:ascii="Arial Narrow" w:eastAsia="Calibri" w:hAnsi="Arial Narrow" w:cs="Calibri"/>
          <w:color w:val="000000" w:themeColor="text1"/>
          <w:sz w:val="22"/>
          <w:szCs w:val="22"/>
          <w:lang w:val="en-GB"/>
        </w:rPr>
        <w:t xml:space="preserve"> - 5%.</w:t>
      </w:r>
    </w:p>
    <w:p w14:paraId="1B2745FF" w14:textId="6335569D" w:rsidR="00967734" w:rsidRPr="00967734" w:rsidRDefault="00967734" w:rsidP="00967734">
      <w:pPr>
        <w:numPr>
          <w:ilvl w:val="0"/>
          <w:numId w:val="20"/>
        </w:numPr>
        <w:jc w:val="both"/>
        <w:rPr>
          <w:rFonts w:ascii="Arial Narrow" w:eastAsia="Calibri" w:hAnsi="Arial Narrow" w:cs="Calibri"/>
          <w:color w:val="000000" w:themeColor="text1"/>
          <w:sz w:val="22"/>
          <w:szCs w:val="22"/>
          <w:lang w:val="en-GB"/>
        </w:rPr>
      </w:pPr>
      <w:r w:rsidRPr="00967734">
        <w:rPr>
          <w:rFonts w:ascii="Arial Narrow" w:eastAsia="Calibri" w:hAnsi="Arial Narrow" w:cs="Calibri"/>
          <w:color w:val="000000" w:themeColor="text1"/>
          <w:sz w:val="22"/>
          <w:szCs w:val="22"/>
          <w:lang w:val="en-GB"/>
        </w:rPr>
        <w:t xml:space="preserve">Koha </w:t>
      </w:r>
      <w:proofErr w:type="spellStart"/>
      <w:r w:rsidRPr="00967734">
        <w:rPr>
          <w:rFonts w:ascii="Arial Narrow" w:eastAsia="Calibri" w:hAnsi="Arial Narrow" w:cs="Calibri"/>
          <w:color w:val="000000" w:themeColor="text1"/>
          <w:sz w:val="22"/>
          <w:szCs w:val="22"/>
          <w:lang w:val="en-GB"/>
        </w:rPr>
        <w:t>për</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shkarkimi</w:t>
      </w:r>
      <w:proofErr w:type="spellEnd"/>
      <w:r w:rsidRPr="00967734">
        <w:rPr>
          <w:rFonts w:ascii="Arial Narrow" w:eastAsia="Calibri" w:hAnsi="Arial Narrow" w:cs="Calibri"/>
          <w:color w:val="000000" w:themeColor="text1"/>
          <w:sz w:val="22"/>
          <w:szCs w:val="22"/>
          <w:lang w:val="en-GB"/>
        </w:rPr>
        <w:t xml:space="preserve"> e </w:t>
      </w:r>
      <w:proofErr w:type="spellStart"/>
      <w:r w:rsidRPr="00967734">
        <w:rPr>
          <w:rFonts w:ascii="Arial Narrow" w:eastAsia="Calibri" w:hAnsi="Arial Narrow" w:cs="Calibri"/>
          <w:color w:val="000000" w:themeColor="text1"/>
          <w:sz w:val="22"/>
          <w:szCs w:val="22"/>
          <w:lang w:val="en-GB"/>
        </w:rPr>
        <w:t>kontejnerit</w:t>
      </w:r>
      <w:proofErr w:type="spellEnd"/>
      <w:r w:rsidRPr="00967734">
        <w:rPr>
          <w:rFonts w:ascii="Arial Narrow" w:eastAsia="Calibri" w:hAnsi="Arial Narrow" w:cs="Calibri"/>
          <w:color w:val="000000" w:themeColor="text1"/>
          <w:sz w:val="22"/>
          <w:szCs w:val="22"/>
          <w:lang w:val="en-GB"/>
        </w:rPr>
        <w:t xml:space="preserve"> 1,1 </w:t>
      </w:r>
      <w:r w:rsidRPr="00967734">
        <w:rPr>
          <w:rFonts w:ascii="Arial Narrow" w:hAnsi="Arial Narrow" w:cs="Calibri"/>
          <w:sz w:val="22"/>
          <w:szCs w:val="22"/>
          <w:lang w:val="sq-AL" w:eastAsia="bg-BG"/>
        </w:rPr>
        <w:t>m³</w:t>
      </w:r>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është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mesatarisht</w:t>
      </w:r>
      <w:proofErr w:type="spellEnd"/>
      <w:r w:rsidRPr="00967734">
        <w:rPr>
          <w:rFonts w:ascii="Arial Narrow" w:eastAsia="Calibri" w:hAnsi="Arial Narrow" w:cs="Calibri"/>
          <w:color w:val="000000" w:themeColor="text1"/>
          <w:sz w:val="22"/>
          <w:szCs w:val="22"/>
          <w:lang w:val="en-GB"/>
        </w:rPr>
        <w:t xml:space="preserve"> 1,0 </w:t>
      </w:r>
      <w:proofErr w:type="spellStart"/>
      <w:r w:rsidRPr="00967734">
        <w:rPr>
          <w:rFonts w:ascii="Arial Narrow" w:eastAsia="Calibri" w:hAnsi="Arial Narrow" w:cs="Calibri"/>
          <w:color w:val="000000" w:themeColor="text1"/>
          <w:sz w:val="22"/>
          <w:szCs w:val="22"/>
          <w:lang w:val="en-GB"/>
        </w:rPr>
        <w:t>minutë</w:t>
      </w:r>
      <w:proofErr w:type="spellEnd"/>
      <w:r w:rsidRPr="00967734">
        <w:rPr>
          <w:rFonts w:ascii="Arial Narrow" w:eastAsia="Calibri" w:hAnsi="Arial Narrow" w:cs="Calibri"/>
          <w:color w:val="000000" w:themeColor="text1"/>
          <w:sz w:val="22"/>
          <w:szCs w:val="22"/>
          <w:lang w:val="en-GB"/>
        </w:rPr>
        <w:t xml:space="preserve">. Koha </w:t>
      </w:r>
      <w:proofErr w:type="spellStart"/>
      <w:r w:rsidRPr="00967734">
        <w:rPr>
          <w:rFonts w:ascii="Arial Narrow" w:eastAsia="Calibri" w:hAnsi="Arial Narrow" w:cs="Calibri"/>
          <w:color w:val="000000" w:themeColor="text1"/>
          <w:sz w:val="22"/>
          <w:szCs w:val="22"/>
          <w:lang w:val="en-GB"/>
        </w:rPr>
        <w:t>për</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shkarkimin</w:t>
      </w:r>
      <w:proofErr w:type="spellEnd"/>
      <w:r w:rsidRPr="00967734">
        <w:rPr>
          <w:rFonts w:ascii="Arial Narrow" w:eastAsia="Calibri" w:hAnsi="Arial Narrow" w:cs="Calibri"/>
          <w:color w:val="000000" w:themeColor="text1"/>
          <w:sz w:val="22"/>
          <w:szCs w:val="22"/>
          <w:lang w:val="en-GB"/>
        </w:rPr>
        <w:t xml:space="preserve"> e </w:t>
      </w:r>
      <w:proofErr w:type="spellStart"/>
      <w:r w:rsidR="00FC2BA4">
        <w:rPr>
          <w:rFonts w:ascii="Arial Narrow" w:eastAsia="Calibri" w:hAnsi="Arial Narrow" w:cs="Calibri"/>
          <w:color w:val="000000" w:themeColor="text1"/>
          <w:sz w:val="22"/>
          <w:szCs w:val="22"/>
          <w:lang w:val="en-GB"/>
        </w:rPr>
        <w:t>shportave</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të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mbeturinave</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vlerësohet</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të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jetë</w:t>
      </w:r>
      <w:proofErr w:type="spellEnd"/>
      <w:r w:rsidRPr="00967734">
        <w:rPr>
          <w:rFonts w:ascii="Arial Narrow" w:eastAsia="Calibri" w:hAnsi="Arial Narrow" w:cs="Calibri"/>
          <w:color w:val="000000" w:themeColor="text1"/>
          <w:sz w:val="22"/>
          <w:szCs w:val="22"/>
          <w:lang w:val="en-GB"/>
        </w:rPr>
        <w:t xml:space="preserve"> 0,67 </w:t>
      </w:r>
      <w:proofErr w:type="spellStart"/>
      <w:r w:rsidRPr="00967734">
        <w:rPr>
          <w:rFonts w:ascii="Arial Narrow" w:eastAsia="Calibri" w:hAnsi="Arial Narrow" w:cs="Calibri"/>
          <w:color w:val="000000" w:themeColor="text1"/>
          <w:sz w:val="22"/>
          <w:szCs w:val="22"/>
          <w:lang w:val="en-GB"/>
        </w:rPr>
        <w:t>minuta</w:t>
      </w:r>
      <w:proofErr w:type="spellEnd"/>
      <w:r w:rsidRPr="00967734">
        <w:rPr>
          <w:rFonts w:ascii="Arial Narrow" w:eastAsia="Calibri" w:hAnsi="Arial Narrow" w:cs="Calibri"/>
          <w:color w:val="000000" w:themeColor="text1"/>
          <w:sz w:val="22"/>
          <w:szCs w:val="22"/>
          <w:lang w:val="en-GB"/>
        </w:rPr>
        <w:t xml:space="preserve"> (40 </w:t>
      </w:r>
      <w:proofErr w:type="spellStart"/>
      <w:r w:rsidRPr="00967734">
        <w:rPr>
          <w:rFonts w:ascii="Arial Narrow" w:eastAsia="Calibri" w:hAnsi="Arial Narrow" w:cs="Calibri"/>
          <w:color w:val="000000" w:themeColor="text1"/>
          <w:sz w:val="22"/>
          <w:szCs w:val="22"/>
          <w:lang w:val="en-GB"/>
        </w:rPr>
        <w:t>sekonda</w:t>
      </w:r>
      <w:proofErr w:type="spellEnd"/>
      <w:r w:rsidRPr="00967734">
        <w:rPr>
          <w:rFonts w:ascii="Arial Narrow" w:eastAsia="Calibri" w:hAnsi="Arial Narrow" w:cs="Calibri"/>
          <w:color w:val="000000" w:themeColor="text1"/>
          <w:sz w:val="22"/>
          <w:szCs w:val="22"/>
          <w:lang w:val="en-GB"/>
        </w:rPr>
        <w:t>).</w:t>
      </w:r>
    </w:p>
    <w:p w14:paraId="4CB4F7BE" w14:textId="77777777" w:rsidR="00967734" w:rsidRPr="00967734" w:rsidRDefault="00967734" w:rsidP="00967734">
      <w:pPr>
        <w:numPr>
          <w:ilvl w:val="0"/>
          <w:numId w:val="20"/>
        </w:numPr>
        <w:jc w:val="both"/>
        <w:rPr>
          <w:rFonts w:ascii="Arial Narrow" w:eastAsia="Calibri" w:hAnsi="Arial Narrow" w:cs="Calibri"/>
          <w:color w:val="000000" w:themeColor="text1"/>
          <w:sz w:val="22"/>
          <w:szCs w:val="22"/>
          <w:lang w:val="en-GB"/>
        </w:rPr>
      </w:pPr>
      <w:proofErr w:type="spellStart"/>
      <w:r w:rsidRPr="00967734">
        <w:rPr>
          <w:rFonts w:ascii="Arial Narrow" w:eastAsia="Calibri" w:hAnsi="Arial Narrow" w:cs="Calibri"/>
          <w:color w:val="000000" w:themeColor="text1"/>
          <w:sz w:val="22"/>
          <w:szCs w:val="22"/>
          <w:lang w:val="en-GB"/>
        </w:rPr>
        <w:t>Distancat</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mesatare</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të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udhëtimit</w:t>
      </w:r>
      <w:proofErr w:type="spellEnd"/>
      <w:r w:rsidRPr="00967734">
        <w:rPr>
          <w:rFonts w:ascii="Arial Narrow" w:eastAsia="Calibri" w:hAnsi="Arial Narrow" w:cs="Calibri"/>
          <w:color w:val="000000" w:themeColor="text1"/>
          <w:sz w:val="22"/>
          <w:szCs w:val="22"/>
          <w:lang w:val="en-GB"/>
        </w:rPr>
        <w:t xml:space="preserve"> midis </w:t>
      </w:r>
      <w:proofErr w:type="spellStart"/>
      <w:r w:rsidRPr="00967734">
        <w:rPr>
          <w:rFonts w:ascii="Arial Narrow" w:eastAsia="Calibri" w:hAnsi="Arial Narrow" w:cs="Calibri"/>
          <w:color w:val="000000" w:themeColor="text1"/>
          <w:sz w:val="22"/>
          <w:szCs w:val="22"/>
          <w:lang w:val="en-GB"/>
        </w:rPr>
        <w:t>vendgrumbullimit</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dhe</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komunave</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të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veçanta</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maten</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në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drejtim</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qendrës</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përkatëse</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të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qytetit</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Distanca</w:t>
      </w:r>
      <w:proofErr w:type="spellEnd"/>
      <w:r w:rsidRPr="00967734">
        <w:rPr>
          <w:rFonts w:ascii="Arial Narrow" w:eastAsia="Calibri" w:hAnsi="Arial Narrow" w:cs="Calibri"/>
          <w:color w:val="000000" w:themeColor="text1"/>
          <w:sz w:val="22"/>
          <w:szCs w:val="22"/>
          <w:lang w:val="en-GB"/>
        </w:rPr>
        <w:t xml:space="preserve"> e </w:t>
      </w:r>
      <w:proofErr w:type="spellStart"/>
      <w:r w:rsidRPr="00967734">
        <w:rPr>
          <w:rFonts w:ascii="Arial Narrow" w:eastAsia="Calibri" w:hAnsi="Arial Narrow" w:cs="Calibri"/>
          <w:color w:val="000000" w:themeColor="text1"/>
          <w:sz w:val="22"/>
          <w:szCs w:val="22"/>
          <w:lang w:val="en-GB"/>
        </w:rPr>
        <w:t>udhëtimit</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për</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zonat</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rurale</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pranohet</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të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jetë</w:t>
      </w:r>
      <w:proofErr w:type="spellEnd"/>
      <w:r w:rsidRPr="00967734">
        <w:rPr>
          <w:rFonts w:ascii="Arial Narrow" w:eastAsia="Calibri" w:hAnsi="Arial Narrow" w:cs="Calibri"/>
          <w:color w:val="000000" w:themeColor="text1"/>
          <w:sz w:val="22"/>
          <w:szCs w:val="22"/>
          <w:lang w:val="en-GB"/>
        </w:rPr>
        <w:t xml:space="preserve"> 10 km </w:t>
      </w:r>
      <w:proofErr w:type="spellStart"/>
      <w:r w:rsidRPr="00967734">
        <w:rPr>
          <w:rFonts w:ascii="Arial Narrow" w:eastAsia="Calibri" w:hAnsi="Arial Narrow" w:cs="Calibri"/>
          <w:color w:val="000000" w:themeColor="text1"/>
          <w:sz w:val="22"/>
          <w:szCs w:val="22"/>
          <w:lang w:val="en-GB"/>
        </w:rPr>
        <w:t>më</w:t>
      </w:r>
      <w:proofErr w:type="spellEnd"/>
      <w:r w:rsidRPr="00967734">
        <w:rPr>
          <w:rFonts w:ascii="Arial Narrow" w:eastAsia="Calibri" w:hAnsi="Arial Narrow" w:cs="Calibri"/>
          <w:color w:val="000000" w:themeColor="text1"/>
          <w:sz w:val="22"/>
          <w:szCs w:val="22"/>
          <w:lang w:val="en-GB"/>
        </w:rPr>
        <w:t xml:space="preserve"> e </w:t>
      </w:r>
      <w:proofErr w:type="spellStart"/>
      <w:r w:rsidRPr="00967734">
        <w:rPr>
          <w:rFonts w:ascii="Arial Narrow" w:eastAsia="Calibri" w:hAnsi="Arial Narrow" w:cs="Calibri"/>
          <w:color w:val="000000" w:themeColor="text1"/>
          <w:sz w:val="22"/>
          <w:szCs w:val="22"/>
          <w:lang w:val="en-GB"/>
        </w:rPr>
        <w:t>gjatë</w:t>
      </w:r>
      <w:proofErr w:type="spellEnd"/>
      <w:r w:rsidRPr="00967734">
        <w:rPr>
          <w:rFonts w:ascii="Arial Narrow" w:eastAsia="Calibri" w:hAnsi="Arial Narrow" w:cs="Calibri"/>
          <w:color w:val="000000" w:themeColor="text1"/>
          <w:sz w:val="22"/>
          <w:szCs w:val="22"/>
          <w:lang w:val="en-GB"/>
        </w:rPr>
        <w:t xml:space="preserve"> se </w:t>
      </w:r>
      <w:proofErr w:type="spellStart"/>
      <w:r w:rsidRPr="00967734">
        <w:rPr>
          <w:rFonts w:ascii="Arial Narrow" w:eastAsia="Calibri" w:hAnsi="Arial Narrow" w:cs="Calibri"/>
          <w:color w:val="000000" w:themeColor="text1"/>
          <w:sz w:val="22"/>
          <w:szCs w:val="22"/>
          <w:lang w:val="en-GB"/>
        </w:rPr>
        <w:t>për</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zonat</w:t>
      </w:r>
      <w:proofErr w:type="spellEnd"/>
      <w:r w:rsidRPr="00967734">
        <w:rPr>
          <w:rFonts w:ascii="Arial Narrow" w:eastAsia="Calibri" w:hAnsi="Arial Narrow" w:cs="Calibri"/>
          <w:color w:val="000000" w:themeColor="text1"/>
          <w:sz w:val="22"/>
          <w:szCs w:val="22"/>
          <w:lang w:val="en-GB"/>
        </w:rPr>
        <w:t xml:space="preserve"> urbane.</w:t>
      </w:r>
    </w:p>
    <w:p w14:paraId="5590FF07" w14:textId="77777777" w:rsidR="00967734" w:rsidRPr="00967734" w:rsidRDefault="00967734" w:rsidP="00967734">
      <w:pPr>
        <w:numPr>
          <w:ilvl w:val="0"/>
          <w:numId w:val="20"/>
        </w:numPr>
        <w:jc w:val="both"/>
        <w:rPr>
          <w:rFonts w:ascii="Arial Narrow" w:eastAsia="Calibri" w:hAnsi="Arial Narrow" w:cs="Calibri"/>
          <w:color w:val="000000" w:themeColor="text1"/>
          <w:sz w:val="22"/>
          <w:szCs w:val="22"/>
          <w:lang w:val="en-GB"/>
        </w:rPr>
      </w:pPr>
      <w:r w:rsidRPr="00967734">
        <w:rPr>
          <w:rFonts w:ascii="Arial Narrow" w:eastAsia="Calibri" w:hAnsi="Arial Narrow" w:cs="Calibri"/>
          <w:color w:val="000000" w:themeColor="text1"/>
          <w:sz w:val="22"/>
          <w:szCs w:val="22"/>
          <w:lang w:val="en-GB"/>
        </w:rPr>
        <w:t xml:space="preserve">Koha </w:t>
      </w:r>
      <w:proofErr w:type="spellStart"/>
      <w:r w:rsidRPr="00967734">
        <w:rPr>
          <w:rFonts w:ascii="Arial Narrow" w:eastAsia="Calibri" w:hAnsi="Arial Narrow" w:cs="Calibri"/>
          <w:color w:val="000000" w:themeColor="text1"/>
          <w:sz w:val="22"/>
          <w:szCs w:val="22"/>
          <w:lang w:val="en-GB"/>
        </w:rPr>
        <w:t>mesatare</w:t>
      </w:r>
      <w:proofErr w:type="spellEnd"/>
      <w:r w:rsidRPr="00967734">
        <w:rPr>
          <w:rFonts w:ascii="Arial Narrow" w:eastAsia="Calibri" w:hAnsi="Arial Narrow" w:cs="Calibri"/>
          <w:color w:val="000000" w:themeColor="text1"/>
          <w:sz w:val="22"/>
          <w:szCs w:val="22"/>
          <w:lang w:val="en-GB"/>
        </w:rPr>
        <w:t xml:space="preserve"> e </w:t>
      </w:r>
      <w:proofErr w:type="spellStart"/>
      <w:r w:rsidRPr="00967734">
        <w:rPr>
          <w:rFonts w:ascii="Arial Narrow" w:eastAsia="Calibri" w:hAnsi="Arial Narrow" w:cs="Calibri"/>
          <w:color w:val="000000" w:themeColor="text1"/>
          <w:sz w:val="22"/>
          <w:szCs w:val="22"/>
          <w:lang w:val="en-GB"/>
        </w:rPr>
        <w:t>shpenzuar</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për</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shkarkim</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në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venddeponi</w:t>
      </w:r>
      <w:proofErr w:type="spellEnd"/>
      <w:r w:rsidRPr="00967734">
        <w:rPr>
          <w:rFonts w:ascii="Arial Narrow" w:eastAsia="Calibri" w:hAnsi="Arial Narrow" w:cs="Calibri"/>
          <w:color w:val="000000" w:themeColor="text1"/>
          <w:sz w:val="22"/>
          <w:szCs w:val="22"/>
          <w:lang w:val="en-GB"/>
        </w:rPr>
        <w:t xml:space="preserve"> do </w:t>
      </w:r>
      <w:proofErr w:type="spellStart"/>
      <w:r w:rsidRPr="00967734">
        <w:rPr>
          <w:rFonts w:ascii="Arial Narrow" w:eastAsia="Calibri" w:hAnsi="Arial Narrow" w:cs="Calibri"/>
          <w:color w:val="000000" w:themeColor="text1"/>
          <w:sz w:val="22"/>
          <w:szCs w:val="22"/>
          <w:lang w:val="en-GB"/>
        </w:rPr>
        <w:t>të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jetë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gjysmë</w:t>
      </w:r>
      <w:proofErr w:type="spellEnd"/>
      <w:r w:rsidRPr="00967734">
        <w:rPr>
          <w:rFonts w:ascii="Arial Narrow" w:eastAsia="Calibri" w:hAnsi="Arial Narrow" w:cs="Calibri"/>
          <w:color w:val="000000" w:themeColor="text1"/>
          <w:sz w:val="22"/>
          <w:szCs w:val="22"/>
          <w:lang w:val="en-GB"/>
        </w:rPr>
        <w:t xml:space="preserve"> ore; Koha e </w:t>
      </w:r>
      <w:proofErr w:type="spellStart"/>
      <w:r w:rsidRPr="00967734">
        <w:rPr>
          <w:rFonts w:ascii="Arial Narrow" w:eastAsia="Calibri" w:hAnsi="Arial Narrow" w:cs="Calibri"/>
          <w:color w:val="000000" w:themeColor="text1"/>
          <w:sz w:val="22"/>
          <w:szCs w:val="22"/>
          <w:lang w:val="en-GB"/>
        </w:rPr>
        <w:t>ndërmjet</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udhëtimeve</w:t>
      </w:r>
      <w:proofErr w:type="spellEnd"/>
      <w:r w:rsidRPr="00967734">
        <w:rPr>
          <w:rFonts w:ascii="Arial Narrow" w:eastAsia="Calibri" w:hAnsi="Arial Narrow" w:cs="Calibri"/>
          <w:color w:val="000000" w:themeColor="text1"/>
          <w:sz w:val="22"/>
          <w:szCs w:val="22"/>
          <w:lang w:val="en-GB"/>
        </w:rPr>
        <w:t xml:space="preserve"> do </w:t>
      </w:r>
      <w:proofErr w:type="spellStart"/>
      <w:r w:rsidRPr="00967734">
        <w:rPr>
          <w:rFonts w:ascii="Arial Narrow" w:eastAsia="Calibri" w:hAnsi="Arial Narrow" w:cs="Calibri"/>
          <w:color w:val="000000" w:themeColor="text1"/>
          <w:sz w:val="22"/>
          <w:szCs w:val="22"/>
          <w:lang w:val="en-GB"/>
        </w:rPr>
        <w:t>të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jetë</w:t>
      </w:r>
      <w:proofErr w:type="spellEnd"/>
      <w:r w:rsidRPr="00967734">
        <w:rPr>
          <w:rFonts w:ascii="Arial Narrow" w:eastAsia="Calibri" w:hAnsi="Arial Narrow" w:cs="Calibri"/>
          <w:color w:val="000000" w:themeColor="text1"/>
          <w:sz w:val="22"/>
          <w:szCs w:val="22"/>
          <w:lang w:val="en-GB"/>
        </w:rPr>
        <w:t xml:space="preserve"> gjithashtu </w:t>
      </w:r>
      <w:proofErr w:type="spellStart"/>
      <w:r w:rsidRPr="00967734">
        <w:rPr>
          <w:rFonts w:ascii="Arial Narrow" w:eastAsia="Calibri" w:hAnsi="Arial Narrow" w:cs="Calibri"/>
          <w:color w:val="000000" w:themeColor="text1"/>
          <w:sz w:val="22"/>
          <w:szCs w:val="22"/>
          <w:lang w:val="en-GB"/>
        </w:rPr>
        <w:t>gjysmë</w:t>
      </w:r>
      <w:proofErr w:type="spellEnd"/>
      <w:r w:rsidRPr="00967734">
        <w:rPr>
          <w:rFonts w:ascii="Arial Narrow" w:eastAsia="Calibri" w:hAnsi="Arial Narrow" w:cs="Calibri"/>
          <w:color w:val="000000" w:themeColor="text1"/>
          <w:sz w:val="22"/>
          <w:szCs w:val="22"/>
          <w:lang w:val="en-GB"/>
        </w:rPr>
        <w:t xml:space="preserve"> ore.</w:t>
      </w:r>
    </w:p>
    <w:p w14:paraId="36948290" w14:textId="736C3D19" w:rsidR="00967734" w:rsidRPr="00967734" w:rsidRDefault="00857366" w:rsidP="00967734">
      <w:pPr>
        <w:numPr>
          <w:ilvl w:val="0"/>
          <w:numId w:val="20"/>
        </w:numPr>
        <w:jc w:val="both"/>
        <w:rPr>
          <w:rFonts w:ascii="Arial Narrow" w:eastAsia="Calibri" w:hAnsi="Arial Narrow" w:cs="Calibri"/>
          <w:color w:val="000000" w:themeColor="text1"/>
          <w:sz w:val="22"/>
          <w:szCs w:val="22"/>
          <w:lang w:val="en-GB"/>
        </w:rPr>
      </w:pPr>
      <w:proofErr w:type="spellStart"/>
      <w:r>
        <w:rPr>
          <w:rFonts w:ascii="Arial Narrow" w:eastAsia="Calibri" w:hAnsi="Arial Narrow" w:cs="Calibri"/>
          <w:color w:val="000000" w:themeColor="text1"/>
          <w:sz w:val="22"/>
          <w:szCs w:val="22"/>
          <w:lang w:val="en-GB"/>
        </w:rPr>
        <w:t>Kamionët</w:t>
      </w:r>
      <w:proofErr w:type="spellEnd"/>
      <w:r>
        <w:rPr>
          <w:rFonts w:ascii="Arial Narrow" w:eastAsia="Calibri" w:hAnsi="Arial Narrow" w:cs="Calibri"/>
          <w:color w:val="000000" w:themeColor="text1"/>
          <w:sz w:val="22"/>
          <w:szCs w:val="22"/>
          <w:lang w:val="en-GB"/>
        </w:rPr>
        <w:t xml:space="preserve"> (</w:t>
      </w:r>
      <w:r w:rsidR="00967734" w:rsidRPr="00967734">
        <w:rPr>
          <w:rFonts w:ascii="Arial Narrow" w:eastAsia="Calibri" w:hAnsi="Arial Narrow" w:cs="Calibri"/>
          <w:color w:val="000000" w:themeColor="text1"/>
          <w:sz w:val="22"/>
          <w:szCs w:val="22"/>
          <w:lang w:val="en-GB"/>
        </w:rPr>
        <w:t>RCV</w:t>
      </w:r>
      <w:r>
        <w:rPr>
          <w:rFonts w:ascii="Arial Narrow" w:eastAsia="Calibri" w:hAnsi="Arial Narrow" w:cs="Calibri"/>
          <w:color w:val="000000" w:themeColor="text1"/>
          <w:sz w:val="22"/>
          <w:szCs w:val="22"/>
          <w:lang w:val="en-GB"/>
        </w:rPr>
        <w:t>)</w:t>
      </w:r>
      <w:r w:rsidR="00967734" w:rsidRPr="00967734">
        <w:rPr>
          <w:rFonts w:ascii="Arial Narrow" w:eastAsia="Calibri" w:hAnsi="Arial Narrow" w:cs="Calibri"/>
          <w:color w:val="000000" w:themeColor="text1"/>
          <w:sz w:val="22"/>
          <w:szCs w:val="22"/>
          <w:lang w:val="en-GB"/>
        </w:rPr>
        <w:t xml:space="preserve"> 16 </w:t>
      </w:r>
      <w:r w:rsidR="00967734" w:rsidRPr="00967734">
        <w:rPr>
          <w:rFonts w:ascii="Arial Narrow" w:hAnsi="Arial Narrow" w:cs="Calibri"/>
          <w:sz w:val="22"/>
          <w:szCs w:val="22"/>
          <w:lang w:val="sq-AL" w:eastAsia="bg-BG"/>
        </w:rPr>
        <w:t>m³</w:t>
      </w:r>
      <w:r w:rsidR="00967734" w:rsidRPr="00967734">
        <w:rPr>
          <w:rFonts w:ascii="Arial Narrow" w:eastAsia="Calibri" w:hAnsi="Arial Narrow" w:cs="Calibri"/>
          <w:color w:val="000000" w:themeColor="text1"/>
          <w:sz w:val="22"/>
          <w:szCs w:val="22"/>
          <w:lang w:val="en-GB"/>
        </w:rPr>
        <w:t xml:space="preserve"> me </w:t>
      </w:r>
      <w:proofErr w:type="spellStart"/>
      <w:r w:rsidR="00967734" w:rsidRPr="00967734">
        <w:rPr>
          <w:rFonts w:ascii="Arial Narrow" w:eastAsia="Calibri" w:hAnsi="Arial Narrow" w:cs="Calibri"/>
          <w:color w:val="000000" w:themeColor="text1"/>
          <w:sz w:val="22"/>
          <w:szCs w:val="22"/>
          <w:lang w:val="en-GB"/>
        </w:rPr>
        <w:t>ngarkesë</w:t>
      </w:r>
      <w:proofErr w:type="spellEnd"/>
      <w:r w:rsidR="00967734" w:rsidRPr="00967734">
        <w:rPr>
          <w:rFonts w:ascii="Arial Narrow" w:eastAsia="Calibri" w:hAnsi="Arial Narrow" w:cs="Calibri"/>
          <w:color w:val="000000" w:themeColor="text1"/>
          <w:sz w:val="22"/>
          <w:szCs w:val="22"/>
          <w:lang w:val="en-GB"/>
        </w:rPr>
        <w:t xml:space="preserve"> </w:t>
      </w:r>
      <w:proofErr w:type="spellStart"/>
      <w:r w:rsidR="00967734" w:rsidRPr="00967734">
        <w:rPr>
          <w:rFonts w:ascii="Arial Narrow" w:eastAsia="Calibri" w:hAnsi="Arial Narrow" w:cs="Calibri"/>
          <w:color w:val="000000" w:themeColor="text1"/>
          <w:sz w:val="22"/>
          <w:szCs w:val="22"/>
          <w:lang w:val="en-GB"/>
        </w:rPr>
        <w:t>prej</w:t>
      </w:r>
      <w:proofErr w:type="spellEnd"/>
      <w:r w:rsidR="00967734" w:rsidRPr="00967734">
        <w:rPr>
          <w:rFonts w:ascii="Arial Narrow" w:eastAsia="Calibri" w:hAnsi="Arial Narrow" w:cs="Calibri"/>
          <w:color w:val="000000" w:themeColor="text1"/>
          <w:sz w:val="22"/>
          <w:szCs w:val="22"/>
          <w:lang w:val="en-GB"/>
        </w:rPr>
        <w:t xml:space="preserve"> 8 </w:t>
      </w:r>
      <w:proofErr w:type="spellStart"/>
      <w:r w:rsidR="00967734" w:rsidRPr="00967734">
        <w:rPr>
          <w:rFonts w:ascii="Arial Narrow" w:eastAsia="Calibri" w:hAnsi="Arial Narrow" w:cs="Calibri"/>
          <w:color w:val="000000" w:themeColor="text1"/>
          <w:sz w:val="22"/>
          <w:szCs w:val="22"/>
          <w:lang w:val="en-GB"/>
        </w:rPr>
        <w:t>tonë</w:t>
      </w:r>
      <w:proofErr w:type="spellEnd"/>
      <w:r w:rsidR="00967734" w:rsidRPr="00967734">
        <w:rPr>
          <w:rFonts w:ascii="Arial Narrow" w:eastAsia="Calibri" w:hAnsi="Arial Narrow" w:cs="Calibri"/>
          <w:color w:val="000000" w:themeColor="text1"/>
          <w:sz w:val="22"/>
          <w:szCs w:val="22"/>
          <w:lang w:val="en-GB"/>
        </w:rPr>
        <w:t xml:space="preserve"> </w:t>
      </w:r>
      <w:proofErr w:type="spellStart"/>
      <w:r w:rsidR="00967734" w:rsidRPr="00967734">
        <w:rPr>
          <w:rFonts w:ascii="Arial Narrow" w:eastAsia="Calibri" w:hAnsi="Arial Narrow" w:cs="Calibri"/>
          <w:color w:val="000000" w:themeColor="text1"/>
          <w:sz w:val="22"/>
          <w:szCs w:val="22"/>
          <w:lang w:val="en-GB"/>
        </w:rPr>
        <w:t>mbeturina</w:t>
      </w:r>
      <w:proofErr w:type="spellEnd"/>
      <w:r w:rsidR="00967734" w:rsidRPr="00967734">
        <w:rPr>
          <w:rFonts w:ascii="Arial Narrow" w:eastAsia="Calibri" w:hAnsi="Arial Narrow" w:cs="Calibri"/>
          <w:color w:val="000000" w:themeColor="text1"/>
          <w:sz w:val="22"/>
          <w:szCs w:val="22"/>
          <w:lang w:val="en-GB"/>
        </w:rPr>
        <w:t xml:space="preserve"> </w:t>
      </w:r>
      <w:proofErr w:type="spellStart"/>
      <w:r w:rsidR="00967734" w:rsidRPr="00967734">
        <w:rPr>
          <w:rFonts w:ascii="Arial Narrow" w:eastAsia="Calibri" w:hAnsi="Arial Narrow" w:cs="Calibri"/>
          <w:color w:val="000000" w:themeColor="text1"/>
          <w:sz w:val="22"/>
          <w:szCs w:val="22"/>
          <w:lang w:val="en-GB"/>
        </w:rPr>
        <w:t>për</w:t>
      </w:r>
      <w:proofErr w:type="spellEnd"/>
      <w:r w:rsidR="00967734" w:rsidRPr="00967734">
        <w:rPr>
          <w:rFonts w:ascii="Arial Narrow" w:eastAsia="Calibri" w:hAnsi="Arial Narrow" w:cs="Calibri"/>
          <w:color w:val="000000" w:themeColor="text1"/>
          <w:sz w:val="22"/>
          <w:szCs w:val="22"/>
          <w:lang w:val="en-GB"/>
        </w:rPr>
        <w:t xml:space="preserve"> </w:t>
      </w:r>
      <w:proofErr w:type="spellStart"/>
      <w:r w:rsidR="00967734" w:rsidRPr="00967734">
        <w:rPr>
          <w:rFonts w:ascii="Arial Narrow" w:eastAsia="Calibri" w:hAnsi="Arial Narrow" w:cs="Calibri"/>
          <w:color w:val="000000" w:themeColor="text1"/>
          <w:sz w:val="22"/>
          <w:szCs w:val="22"/>
          <w:lang w:val="en-GB"/>
        </w:rPr>
        <w:t>automjet</w:t>
      </w:r>
      <w:proofErr w:type="spellEnd"/>
      <w:r w:rsidR="00967734" w:rsidRPr="00967734">
        <w:rPr>
          <w:rFonts w:ascii="Arial Narrow" w:eastAsia="Calibri" w:hAnsi="Arial Narrow" w:cs="Calibri"/>
          <w:color w:val="000000" w:themeColor="text1"/>
          <w:sz w:val="22"/>
          <w:szCs w:val="22"/>
          <w:lang w:val="en-GB"/>
        </w:rPr>
        <w:t xml:space="preserve"> (</w:t>
      </w:r>
      <w:proofErr w:type="spellStart"/>
      <w:r w:rsidR="00967734" w:rsidRPr="00967734">
        <w:rPr>
          <w:rFonts w:ascii="Arial Narrow" w:eastAsia="Calibri" w:hAnsi="Arial Narrow" w:cs="Calibri"/>
          <w:color w:val="000000" w:themeColor="text1"/>
          <w:sz w:val="22"/>
          <w:szCs w:val="22"/>
          <w:lang w:val="en-GB"/>
        </w:rPr>
        <w:t>korrespondon</w:t>
      </w:r>
      <w:proofErr w:type="spellEnd"/>
      <w:r w:rsidR="00967734" w:rsidRPr="00967734">
        <w:rPr>
          <w:rFonts w:ascii="Arial Narrow" w:eastAsia="Calibri" w:hAnsi="Arial Narrow" w:cs="Calibri"/>
          <w:color w:val="000000" w:themeColor="text1"/>
          <w:sz w:val="22"/>
          <w:szCs w:val="22"/>
          <w:lang w:val="en-GB"/>
        </w:rPr>
        <w:t xml:space="preserve"> me 500 kg/</w:t>
      </w:r>
      <w:r w:rsidR="00967734" w:rsidRPr="00967734">
        <w:rPr>
          <w:rFonts w:ascii="Arial Narrow" w:hAnsi="Arial Narrow" w:cs="Calibri"/>
          <w:sz w:val="22"/>
          <w:szCs w:val="22"/>
          <w:lang w:val="sq-AL" w:eastAsia="bg-BG"/>
        </w:rPr>
        <w:t>m³</w:t>
      </w:r>
      <w:r w:rsidR="00967734" w:rsidRPr="00967734">
        <w:rPr>
          <w:rFonts w:ascii="Arial Narrow" w:eastAsia="Calibri" w:hAnsi="Arial Narrow" w:cs="Calibri"/>
          <w:color w:val="000000" w:themeColor="text1"/>
          <w:sz w:val="22"/>
          <w:szCs w:val="22"/>
          <w:lang w:val="en-GB"/>
        </w:rPr>
        <w:t xml:space="preserve"> </w:t>
      </w:r>
      <w:proofErr w:type="spellStart"/>
      <w:r w:rsidR="00967734" w:rsidRPr="00967734">
        <w:rPr>
          <w:rFonts w:ascii="Arial Narrow" w:eastAsia="Calibri" w:hAnsi="Arial Narrow" w:cs="Calibri"/>
          <w:color w:val="000000" w:themeColor="text1"/>
          <w:sz w:val="22"/>
          <w:szCs w:val="22"/>
          <w:lang w:val="en-GB"/>
        </w:rPr>
        <w:t>mbeturina</w:t>
      </w:r>
      <w:proofErr w:type="spellEnd"/>
      <w:r w:rsidR="00967734" w:rsidRPr="00967734">
        <w:rPr>
          <w:rFonts w:ascii="Arial Narrow" w:eastAsia="Calibri" w:hAnsi="Arial Narrow" w:cs="Calibri"/>
          <w:color w:val="000000" w:themeColor="text1"/>
          <w:sz w:val="22"/>
          <w:szCs w:val="22"/>
          <w:lang w:val="en-GB"/>
        </w:rPr>
        <w:t xml:space="preserve"> </w:t>
      </w:r>
      <w:proofErr w:type="spellStart"/>
      <w:r w:rsidR="00967734" w:rsidRPr="00967734">
        <w:rPr>
          <w:rFonts w:ascii="Arial Narrow" w:eastAsia="Calibri" w:hAnsi="Arial Narrow" w:cs="Calibri"/>
          <w:color w:val="000000" w:themeColor="text1"/>
          <w:sz w:val="22"/>
          <w:szCs w:val="22"/>
          <w:lang w:val="en-GB"/>
        </w:rPr>
        <w:t>të</w:t>
      </w:r>
      <w:proofErr w:type="spellEnd"/>
      <w:r w:rsidR="00967734" w:rsidRPr="00967734">
        <w:rPr>
          <w:rFonts w:ascii="Arial Narrow" w:eastAsia="Calibri" w:hAnsi="Arial Narrow" w:cs="Calibri"/>
          <w:color w:val="000000" w:themeColor="text1"/>
          <w:sz w:val="22"/>
          <w:szCs w:val="22"/>
          <w:lang w:val="en-GB"/>
        </w:rPr>
        <w:t xml:space="preserve"> </w:t>
      </w:r>
      <w:proofErr w:type="spellStart"/>
      <w:r w:rsidR="00967734" w:rsidRPr="00967734">
        <w:rPr>
          <w:rFonts w:ascii="Arial Narrow" w:eastAsia="Calibri" w:hAnsi="Arial Narrow" w:cs="Calibri"/>
          <w:color w:val="000000" w:themeColor="text1"/>
          <w:sz w:val="22"/>
          <w:szCs w:val="22"/>
          <w:lang w:val="en-GB"/>
        </w:rPr>
        <w:t>ngjeshura</w:t>
      </w:r>
      <w:proofErr w:type="spellEnd"/>
      <w:r w:rsidR="00967734" w:rsidRPr="00967734">
        <w:rPr>
          <w:rFonts w:ascii="Arial Narrow" w:eastAsia="Calibri" w:hAnsi="Arial Narrow" w:cs="Calibri"/>
          <w:color w:val="000000" w:themeColor="text1"/>
          <w:sz w:val="22"/>
          <w:szCs w:val="22"/>
          <w:lang w:val="en-GB"/>
        </w:rPr>
        <w:t>).</w:t>
      </w:r>
    </w:p>
    <w:p w14:paraId="7A61B20A" w14:textId="77777777" w:rsidR="00967734" w:rsidRPr="00967734" w:rsidRDefault="00967734" w:rsidP="00967734">
      <w:pPr>
        <w:numPr>
          <w:ilvl w:val="0"/>
          <w:numId w:val="20"/>
        </w:numPr>
        <w:jc w:val="both"/>
        <w:rPr>
          <w:rFonts w:ascii="Arial Narrow" w:eastAsia="Calibri" w:hAnsi="Arial Narrow" w:cs="Calibri"/>
          <w:color w:val="000000" w:themeColor="text1"/>
          <w:sz w:val="22"/>
          <w:szCs w:val="22"/>
          <w:lang w:val="en-GB"/>
        </w:rPr>
      </w:pPr>
      <w:proofErr w:type="spellStart"/>
      <w:r w:rsidRPr="00967734">
        <w:rPr>
          <w:rFonts w:ascii="Arial Narrow" w:eastAsia="Calibri" w:hAnsi="Arial Narrow" w:cs="Calibri"/>
          <w:color w:val="000000" w:themeColor="text1"/>
          <w:sz w:val="22"/>
          <w:szCs w:val="22"/>
          <w:lang w:val="en-GB"/>
        </w:rPr>
        <w:t>Kostot</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për</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njësi</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të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pajisjeve</w:t>
      </w:r>
      <w:proofErr w:type="spellEnd"/>
      <w:r w:rsidRPr="00967734">
        <w:rPr>
          <w:rFonts w:ascii="Arial Narrow" w:eastAsia="Calibri" w:hAnsi="Arial Narrow" w:cs="Calibri"/>
          <w:color w:val="000000" w:themeColor="text1"/>
          <w:sz w:val="22"/>
          <w:szCs w:val="22"/>
          <w:lang w:val="en-GB"/>
        </w:rPr>
        <w:t>:</w:t>
      </w:r>
    </w:p>
    <w:p w14:paraId="10F820C6" w14:textId="77777777" w:rsidR="00967734" w:rsidRPr="00967734" w:rsidRDefault="00967734" w:rsidP="00967734">
      <w:pPr>
        <w:numPr>
          <w:ilvl w:val="1"/>
          <w:numId w:val="20"/>
        </w:numPr>
        <w:jc w:val="both"/>
        <w:rPr>
          <w:rFonts w:ascii="Arial Narrow" w:eastAsia="Calibri" w:hAnsi="Arial Narrow" w:cs="Calibri"/>
          <w:color w:val="000000" w:themeColor="text1"/>
          <w:sz w:val="22"/>
          <w:szCs w:val="22"/>
          <w:lang w:val="en-GB"/>
        </w:rPr>
      </w:pPr>
      <w:r w:rsidRPr="00967734">
        <w:rPr>
          <w:rFonts w:ascii="Arial Narrow" w:eastAsia="Calibri" w:hAnsi="Arial Narrow" w:cs="Calibri"/>
          <w:color w:val="000000" w:themeColor="text1"/>
          <w:sz w:val="22"/>
          <w:szCs w:val="22"/>
          <w:lang w:val="en-GB"/>
        </w:rPr>
        <w:t>80 €/</w:t>
      </w:r>
      <w:proofErr w:type="spellStart"/>
      <w:r w:rsidRPr="00967734">
        <w:rPr>
          <w:rFonts w:ascii="Arial Narrow" w:eastAsia="Calibri" w:hAnsi="Arial Narrow" w:cs="Calibri"/>
          <w:color w:val="000000" w:themeColor="text1"/>
          <w:sz w:val="22"/>
          <w:szCs w:val="22"/>
          <w:lang w:val="en-GB"/>
        </w:rPr>
        <w:t>copë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përdoren</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për</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shporta</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plastike</w:t>
      </w:r>
      <w:proofErr w:type="spellEnd"/>
      <w:r w:rsidRPr="00967734">
        <w:rPr>
          <w:rFonts w:ascii="Arial Narrow" w:eastAsia="Calibri" w:hAnsi="Arial Narrow" w:cs="Calibri"/>
          <w:color w:val="000000" w:themeColor="text1"/>
          <w:sz w:val="22"/>
          <w:szCs w:val="22"/>
          <w:lang w:val="en-GB"/>
        </w:rPr>
        <w:t xml:space="preserve"> 240 l </w:t>
      </w:r>
      <w:proofErr w:type="spellStart"/>
      <w:r w:rsidRPr="00967734">
        <w:rPr>
          <w:rFonts w:ascii="Arial Narrow" w:eastAsia="Calibri" w:hAnsi="Arial Narrow" w:cs="Calibri"/>
          <w:color w:val="000000" w:themeColor="text1"/>
          <w:sz w:val="22"/>
          <w:szCs w:val="22"/>
          <w:lang w:val="en-GB"/>
        </w:rPr>
        <w:t>dhe</w:t>
      </w:r>
      <w:proofErr w:type="spellEnd"/>
    </w:p>
    <w:p w14:paraId="1A0DF837" w14:textId="77777777" w:rsidR="00967734" w:rsidRPr="00967734" w:rsidRDefault="00967734" w:rsidP="00967734">
      <w:pPr>
        <w:numPr>
          <w:ilvl w:val="1"/>
          <w:numId w:val="20"/>
        </w:numPr>
        <w:jc w:val="both"/>
        <w:rPr>
          <w:rFonts w:ascii="Arial Narrow" w:eastAsia="Calibri" w:hAnsi="Arial Narrow" w:cs="Calibri"/>
          <w:color w:val="000000" w:themeColor="text1"/>
          <w:sz w:val="22"/>
          <w:szCs w:val="22"/>
          <w:lang w:val="en-GB"/>
        </w:rPr>
      </w:pPr>
      <w:r w:rsidRPr="00967734">
        <w:rPr>
          <w:rFonts w:ascii="Arial Narrow" w:eastAsia="Calibri" w:hAnsi="Arial Narrow" w:cs="Calibri"/>
          <w:color w:val="000000" w:themeColor="text1"/>
          <w:sz w:val="22"/>
          <w:szCs w:val="22"/>
          <w:lang w:val="en-GB"/>
        </w:rPr>
        <w:t>650 €/</w:t>
      </w:r>
      <w:proofErr w:type="spellStart"/>
      <w:r w:rsidRPr="00967734">
        <w:rPr>
          <w:rFonts w:ascii="Arial Narrow" w:eastAsia="Calibri" w:hAnsi="Arial Narrow" w:cs="Calibri"/>
          <w:color w:val="000000" w:themeColor="text1"/>
          <w:sz w:val="22"/>
          <w:szCs w:val="22"/>
          <w:lang w:val="en-GB"/>
        </w:rPr>
        <w:t>copë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përdoren</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për</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kontejnerë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metalik</w:t>
      </w:r>
      <w:proofErr w:type="spellEnd"/>
      <w:r w:rsidRPr="00967734">
        <w:rPr>
          <w:rFonts w:ascii="Arial Narrow" w:eastAsia="Calibri" w:hAnsi="Arial Narrow" w:cs="Calibri"/>
          <w:color w:val="000000" w:themeColor="text1"/>
          <w:sz w:val="22"/>
          <w:szCs w:val="22"/>
          <w:lang w:val="en-GB"/>
        </w:rPr>
        <w:t xml:space="preserve"> 1.1 </w:t>
      </w:r>
      <w:r w:rsidRPr="00967734">
        <w:rPr>
          <w:rFonts w:ascii="Arial Narrow" w:hAnsi="Arial Narrow" w:cs="Calibri"/>
          <w:sz w:val="22"/>
          <w:szCs w:val="22"/>
          <w:lang w:val="sq-AL" w:eastAsia="bg-BG"/>
        </w:rPr>
        <w:t>m³</w:t>
      </w:r>
      <w:r w:rsidRPr="00967734">
        <w:rPr>
          <w:rFonts w:ascii="Arial Narrow" w:eastAsia="Calibri" w:hAnsi="Arial Narrow" w:cs="Calibri"/>
          <w:color w:val="000000" w:themeColor="text1"/>
          <w:sz w:val="22"/>
          <w:szCs w:val="22"/>
          <w:lang w:val="en-GB"/>
        </w:rPr>
        <w:t>.</w:t>
      </w:r>
    </w:p>
    <w:p w14:paraId="24F816DF" w14:textId="77777777" w:rsidR="00967734" w:rsidRPr="00967734" w:rsidRDefault="00967734" w:rsidP="00967734">
      <w:pPr>
        <w:numPr>
          <w:ilvl w:val="1"/>
          <w:numId w:val="20"/>
        </w:numPr>
        <w:jc w:val="both"/>
        <w:rPr>
          <w:rFonts w:ascii="Arial Narrow" w:eastAsia="Calibri" w:hAnsi="Arial Narrow" w:cs="Calibri"/>
          <w:color w:val="000000" w:themeColor="text1"/>
          <w:sz w:val="22"/>
          <w:szCs w:val="22"/>
          <w:lang w:val="en-GB"/>
        </w:rPr>
      </w:pPr>
      <w:r w:rsidRPr="00967734">
        <w:rPr>
          <w:rFonts w:ascii="Arial Narrow" w:eastAsia="Calibri" w:hAnsi="Arial Narrow" w:cs="Calibri"/>
          <w:color w:val="000000" w:themeColor="text1"/>
          <w:sz w:val="22"/>
          <w:szCs w:val="22"/>
          <w:lang w:val="en-GB"/>
        </w:rPr>
        <w:t>140,000 €/</w:t>
      </w:r>
      <w:proofErr w:type="spellStart"/>
      <w:r w:rsidRPr="00967734">
        <w:rPr>
          <w:rFonts w:ascii="Arial Narrow" w:eastAsia="Calibri" w:hAnsi="Arial Narrow" w:cs="Calibri"/>
          <w:color w:val="000000" w:themeColor="text1"/>
          <w:sz w:val="22"/>
          <w:szCs w:val="22"/>
          <w:lang w:val="en-GB"/>
        </w:rPr>
        <w:t>copë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për</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automjet</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për</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grumbullimin</w:t>
      </w:r>
      <w:proofErr w:type="spellEnd"/>
      <w:r w:rsidRPr="00967734">
        <w:rPr>
          <w:rFonts w:ascii="Arial Narrow" w:eastAsia="Calibri" w:hAnsi="Arial Narrow" w:cs="Calibri"/>
          <w:color w:val="000000" w:themeColor="text1"/>
          <w:sz w:val="22"/>
          <w:szCs w:val="22"/>
          <w:lang w:val="en-GB"/>
        </w:rPr>
        <w:t xml:space="preserve"> e </w:t>
      </w:r>
      <w:proofErr w:type="spellStart"/>
      <w:r w:rsidRPr="00967734">
        <w:rPr>
          <w:rFonts w:ascii="Arial Narrow" w:eastAsia="Calibri" w:hAnsi="Arial Narrow" w:cs="Calibri"/>
          <w:color w:val="000000" w:themeColor="text1"/>
          <w:sz w:val="22"/>
          <w:szCs w:val="22"/>
          <w:lang w:val="en-GB"/>
        </w:rPr>
        <w:t>mbeturinave</w:t>
      </w:r>
      <w:proofErr w:type="spellEnd"/>
      <w:r w:rsidRPr="00967734">
        <w:rPr>
          <w:rFonts w:ascii="Arial Narrow" w:eastAsia="Calibri" w:hAnsi="Arial Narrow" w:cs="Calibri"/>
          <w:color w:val="000000" w:themeColor="text1"/>
          <w:sz w:val="22"/>
          <w:szCs w:val="22"/>
          <w:lang w:val="en-GB"/>
        </w:rPr>
        <w:t xml:space="preserve"> 16.0 </w:t>
      </w:r>
      <w:r w:rsidRPr="00967734">
        <w:rPr>
          <w:rFonts w:ascii="Arial Narrow" w:hAnsi="Arial Narrow" w:cs="Calibri"/>
          <w:sz w:val="22"/>
          <w:szCs w:val="22"/>
          <w:lang w:val="sq-AL" w:eastAsia="bg-BG"/>
        </w:rPr>
        <w:t>m³</w:t>
      </w:r>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si</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për</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shportat</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individualë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ashtu</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edhe</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për</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kontejnerët</w:t>
      </w:r>
      <w:proofErr w:type="spellEnd"/>
      <w:r w:rsidRPr="00967734">
        <w:rPr>
          <w:rFonts w:ascii="Arial Narrow" w:eastAsia="Calibri" w:hAnsi="Arial Narrow" w:cs="Calibri"/>
          <w:color w:val="000000" w:themeColor="text1"/>
          <w:sz w:val="22"/>
          <w:szCs w:val="22"/>
          <w:lang w:val="en-GB"/>
        </w:rPr>
        <w:t xml:space="preserve"> 1.1 </w:t>
      </w:r>
      <w:r w:rsidRPr="00967734">
        <w:rPr>
          <w:rFonts w:ascii="Arial Narrow" w:hAnsi="Arial Narrow" w:cs="Calibri"/>
          <w:sz w:val="22"/>
          <w:szCs w:val="22"/>
          <w:lang w:val="sq-AL" w:eastAsia="bg-BG"/>
        </w:rPr>
        <w:t>m³</w:t>
      </w:r>
      <w:r w:rsidRPr="00967734">
        <w:rPr>
          <w:rFonts w:ascii="Arial Narrow" w:eastAsia="Calibri" w:hAnsi="Arial Narrow" w:cs="Calibri"/>
          <w:color w:val="000000" w:themeColor="text1"/>
          <w:sz w:val="22"/>
          <w:szCs w:val="22"/>
          <w:lang w:val="en-GB"/>
        </w:rPr>
        <w:t>.</w:t>
      </w:r>
    </w:p>
    <w:p w14:paraId="5C922806" w14:textId="77777777" w:rsidR="00967734" w:rsidRPr="00967734" w:rsidRDefault="00967734" w:rsidP="00967734">
      <w:pPr>
        <w:numPr>
          <w:ilvl w:val="0"/>
          <w:numId w:val="20"/>
        </w:numPr>
        <w:contextualSpacing/>
        <w:jc w:val="both"/>
        <w:rPr>
          <w:rFonts w:ascii="Arial Narrow" w:eastAsia="Calibri" w:hAnsi="Arial Narrow" w:cs="Calibri"/>
          <w:color w:val="000000" w:themeColor="text1"/>
          <w:sz w:val="22"/>
          <w:szCs w:val="22"/>
          <w:lang w:val="en-GB"/>
        </w:rPr>
      </w:pPr>
      <w:proofErr w:type="spellStart"/>
      <w:r w:rsidRPr="00967734">
        <w:rPr>
          <w:rFonts w:ascii="Arial Narrow" w:eastAsia="Calibri" w:hAnsi="Arial Narrow" w:cs="Calibri"/>
          <w:sz w:val="22"/>
          <w:szCs w:val="22"/>
          <w:lang w:val="en-GB"/>
        </w:rPr>
        <w:t>Jetëgjatësia</w:t>
      </w:r>
      <w:proofErr w:type="spellEnd"/>
      <w:r w:rsidRPr="00967734">
        <w:rPr>
          <w:rFonts w:ascii="Arial Narrow" w:eastAsia="Calibri" w:hAnsi="Arial Narrow" w:cs="Calibri"/>
          <w:sz w:val="22"/>
          <w:szCs w:val="22"/>
          <w:lang w:val="en-GB"/>
        </w:rPr>
        <w:t xml:space="preserve"> </w:t>
      </w:r>
      <w:proofErr w:type="spellStart"/>
      <w:r w:rsidRPr="00967734">
        <w:rPr>
          <w:rFonts w:ascii="Arial Narrow" w:eastAsia="Calibri" w:hAnsi="Arial Narrow" w:cs="Calibri"/>
          <w:sz w:val="22"/>
          <w:szCs w:val="22"/>
          <w:lang w:val="en-GB"/>
        </w:rPr>
        <w:t>për</w:t>
      </w:r>
      <w:proofErr w:type="spellEnd"/>
      <w:r w:rsidRPr="00967734">
        <w:rPr>
          <w:rFonts w:ascii="Arial Narrow" w:eastAsia="Calibri" w:hAnsi="Arial Narrow" w:cs="Calibri"/>
          <w:sz w:val="22"/>
          <w:szCs w:val="22"/>
          <w:lang w:val="en-GB"/>
        </w:rPr>
        <w:t xml:space="preserve"> </w:t>
      </w:r>
      <w:proofErr w:type="spellStart"/>
      <w:r w:rsidRPr="00967734">
        <w:rPr>
          <w:rFonts w:ascii="Arial Narrow" w:eastAsia="Calibri" w:hAnsi="Arial Narrow" w:cs="Calibri"/>
          <w:sz w:val="22"/>
          <w:szCs w:val="22"/>
          <w:lang w:val="en-GB"/>
        </w:rPr>
        <w:t>kontejnerët</w:t>
      </w:r>
      <w:proofErr w:type="spellEnd"/>
      <w:r w:rsidRPr="00967734">
        <w:rPr>
          <w:rFonts w:ascii="Arial Narrow" w:eastAsia="Calibri" w:hAnsi="Arial Narrow" w:cs="Calibri"/>
          <w:sz w:val="22"/>
          <w:szCs w:val="22"/>
          <w:lang w:val="en-GB"/>
        </w:rPr>
        <w:t xml:space="preserve"> </w:t>
      </w:r>
      <w:proofErr w:type="spellStart"/>
      <w:r w:rsidRPr="00967734">
        <w:rPr>
          <w:rFonts w:ascii="Arial Narrow" w:eastAsia="Calibri" w:hAnsi="Arial Narrow" w:cs="Calibri"/>
          <w:sz w:val="22"/>
          <w:szCs w:val="22"/>
          <w:lang w:val="en-GB"/>
        </w:rPr>
        <w:t>dhe</w:t>
      </w:r>
      <w:proofErr w:type="spellEnd"/>
      <w:r w:rsidRPr="00967734">
        <w:rPr>
          <w:rFonts w:ascii="Arial Narrow" w:eastAsia="Calibri" w:hAnsi="Arial Narrow" w:cs="Calibri"/>
          <w:sz w:val="22"/>
          <w:szCs w:val="22"/>
          <w:lang w:val="en-GB"/>
        </w:rPr>
        <w:t xml:space="preserve"> </w:t>
      </w:r>
      <w:proofErr w:type="spellStart"/>
      <w:r w:rsidRPr="00967734">
        <w:rPr>
          <w:rFonts w:ascii="Arial Narrow" w:eastAsia="Calibri" w:hAnsi="Arial Narrow" w:cs="Calibri"/>
          <w:sz w:val="22"/>
          <w:szCs w:val="22"/>
          <w:lang w:val="en-GB"/>
        </w:rPr>
        <w:t>shportat</w:t>
      </w:r>
      <w:proofErr w:type="spellEnd"/>
      <w:r w:rsidRPr="00967734">
        <w:rPr>
          <w:rFonts w:ascii="Arial Narrow" w:eastAsia="Calibri" w:hAnsi="Arial Narrow" w:cs="Calibri"/>
          <w:sz w:val="22"/>
          <w:szCs w:val="22"/>
          <w:lang w:val="en-GB"/>
        </w:rPr>
        <w:t xml:space="preserve"> </w:t>
      </w:r>
      <w:proofErr w:type="spellStart"/>
      <w:r w:rsidRPr="00967734">
        <w:rPr>
          <w:rFonts w:ascii="Arial Narrow" w:eastAsia="Calibri" w:hAnsi="Arial Narrow" w:cs="Calibri"/>
          <w:sz w:val="22"/>
          <w:szCs w:val="22"/>
          <w:lang w:val="en-GB"/>
        </w:rPr>
        <w:t>pranohet</w:t>
      </w:r>
      <w:proofErr w:type="spellEnd"/>
      <w:r w:rsidRPr="00967734">
        <w:rPr>
          <w:rFonts w:ascii="Arial Narrow" w:eastAsia="Calibri" w:hAnsi="Arial Narrow" w:cs="Calibri"/>
          <w:sz w:val="22"/>
          <w:szCs w:val="22"/>
          <w:lang w:val="en-GB"/>
        </w:rPr>
        <w:t xml:space="preserve"> </w:t>
      </w:r>
      <w:proofErr w:type="spellStart"/>
      <w:r w:rsidRPr="00967734">
        <w:rPr>
          <w:rFonts w:ascii="Arial Narrow" w:eastAsia="Calibri" w:hAnsi="Arial Narrow" w:cs="Calibri"/>
          <w:sz w:val="22"/>
          <w:szCs w:val="22"/>
          <w:lang w:val="en-GB"/>
        </w:rPr>
        <w:t>të</w:t>
      </w:r>
      <w:proofErr w:type="spellEnd"/>
      <w:r w:rsidRPr="00967734">
        <w:rPr>
          <w:rFonts w:ascii="Arial Narrow" w:eastAsia="Calibri" w:hAnsi="Arial Narrow" w:cs="Calibri"/>
          <w:sz w:val="22"/>
          <w:szCs w:val="22"/>
          <w:lang w:val="en-GB"/>
        </w:rPr>
        <w:t xml:space="preserve"> </w:t>
      </w:r>
      <w:proofErr w:type="spellStart"/>
      <w:r w:rsidRPr="00967734">
        <w:rPr>
          <w:rFonts w:ascii="Arial Narrow" w:eastAsia="Calibri" w:hAnsi="Arial Narrow" w:cs="Calibri"/>
          <w:sz w:val="22"/>
          <w:szCs w:val="22"/>
          <w:lang w:val="en-GB"/>
        </w:rPr>
        <w:t>jetë</w:t>
      </w:r>
      <w:proofErr w:type="spellEnd"/>
      <w:r w:rsidRPr="00967734">
        <w:rPr>
          <w:rFonts w:ascii="Arial Narrow" w:eastAsia="Calibri" w:hAnsi="Arial Narrow" w:cs="Calibri"/>
          <w:sz w:val="22"/>
          <w:szCs w:val="22"/>
          <w:lang w:val="en-GB"/>
        </w:rPr>
        <w:t xml:space="preserve"> 7 </w:t>
      </w:r>
      <w:proofErr w:type="spellStart"/>
      <w:r w:rsidRPr="00967734">
        <w:rPr>
          <w:rFonts w:ascii="Arial Narrow" w:eastAsia="Calibri" w:hAnsi="Arial Narrow" w:cs="Calibri"/>
          <w:sz w:val="22"/>
          <w:szCs w:val="22"/>
          <w:lang w:val="en-GB"/>
        </w:rPr>
        <w:t>vjet</w:t>
      </w:r>
      <w:proofErr w:type="spellEnd"/>
      <w:r w:rsidRPr="00967734">
        <w:rPr>
          <w:rFonts w:ascii="Arial Narrow" w:eastAsia="Calibri" w:hAnsi="Arial Narrow" w:cs="Calibri"/>
          <w:sz w:val="22"/>
          <w:szCs w:val="22"/>
          <w:lang w:val="en-GB"/>
        </w:rPr>
        <w:t xml:space="preserve"> </w:t>
      </w:r>
      <w:proofErr w:type="spellStart"/>
      <w:r w:rsidRPr="00967734">
        <w:rPr>
          <w:rFonts w:ascii="Arial Narrow" w:eastAsia="Calibri" w:hAnsi="Arial Narrow" w:cs="Calibri"/>
          <w:sz w:val="22"/>
          <w:szCs w:val="22"/>
          <w:lang w:val="en-GB"/>
        </w:rPr>
        <w:t>dhe</w:t>
      </w:r>
      <w:proofErr w:type="spellEnd"/>
      <w:r w:rsidRPr="00967734">
        <w:rPr>
          <w:rFonts w:ascii="Arial Narrow" w:eastAsia="Calibri" w:hAnsi="Arial Narrow" w:cs="Calibri"/>
          <w:sz w:val="22"/>
          <w:szCs w:val="22"/>
          <w:lang w:val="en-GB"/>
        </w:rPr>
        <w:t xml:space="preserve"> 10 </w:t>
      </w:r>
      <w:proofErr w:type="spellStart"/>
      <w:r w:rsidRPr="00967734">
        <w:rPr>
          <w:rFonts w:ascii="Arial Narrow" w:eastAsia="Calibri" w:hAnsi="Arial Narrow" w:cs="Calibri"/>
          <w:sz w:val="22"/>
          <w:szCs w:val="22"/>
          <w:lang w:val="en-GB"/>
        </w:rPr>
        <w:t>vjet</w:t>
      </w:r>
      <w:proofErr w:type="spellEnd"/>
      <w:r w:rsidRPr="00967734">
        <w:rPr>
          <w:rFonts w:ascii="Arial Narrow" w:eastAsia="Calibri" w:hAnsi="Arial Narrow" w:cs="Calibri"/>
          <w:sz w:val="22"/>
          <w:szCs w:val="22"/>
          <w:lang w:val="en-GB"/>
        </w:rPr>
        <w:t xml:space="preserve"> </w:t>
      </w:r>
      <w:proofErr w:type="spellStart"/>
      <w:r w:rsidRPr="00967734">
        <w:rPr>
          <w:rFonts w:ascii="Arial Narrow" w:eastAsia="Calibri" w:hAnsi="Arial Narrow" w:cs="Calibri"/>
          <w:sz w:val="22"/>
          <w:szCs w:val="22"/>
          <w:lang w:val="en-GB"/>
        </w:rPr>
        <w:t>për</w:t>
      </w:r>
      <w:proofErr w:type="spellEnd"/>
      <w:r w:rsidRPr="00967734">
        <w:rPr>
          <w:rFonts w:ascii="Arial Narrow" w:eastAsia="Calibri" w:hAnsi="Arial Narrow" w:cs="Calibri"/>
          <w:sz w:val="22"/>
          <w:szCs w:val="22"/>
          <w:lang w:val="en-GB"/>
        </w:rPr>
        <w:t xml:space="preserve"> AGM-</w:t>
      </w:r>
      <w:proofErr w:type="spellStart"/>
      <w:r w:rsidRPr="00967734">
        <w:rPr>
          <w:rFonts w:ascii="Arial Narrow" w:eastAsia="Calibri" w:hAnsi="Arial Narrow" w:cs="Calibri"/>
          <w:sz w:val="22"/>
          <w:szCs w:val="22"/>
          <w:lang w:val="en-GB"/>
        </w:rPr>
        <w:t>të</w:t>
      </w:r>
      <w:proofErr w:type="spellEnd"/>
      <w:r w:rsidRPr="00967734">
        <w:rPr>
          <w:rFonts w:ascii="Arial Narrow" w:eastAsia="Calibri" w:hAnsi="Arial Narrow" w:cs="Calibri"/>
          <w:sz w:val="22"/>
          <w:szCs w:val="22"/>
          <w:lang w:val="en-GB"/>
        </w:rPr>
        <w:t xml:space="preserve">. </w:t>
      </w:r>
      <w:proofErr w:type="spellStart"/>
      <w:r w:rsidRPr="00967734">
        <w:rPr>
          <w:rFonts w:ascii="Arial Narrow" w:eastAsiaTheme="minorHAnsi" w:hAnsi="Arial Narrow" w:cstheme="minorBidi"/>
          <w:sz w:val="22"/>
          <w:szCs w:val="22"/>
          <w:lang w:val="en-GB"/>
        </w:rPr>
        <w:t>Kështu</w:t>
      </w:r>
      <w:proofErr w:type="spellEnd"/>
      <w:r w:rsidRPr="00967734">
        <w:rPr>
          <w:rFonts w:ascii="Arial Narrow" w:eastAsiaTheme="minorHAnsi" w:hAnsi="Arial Narrow" w:cstheme="minorBidi"/>
          <w:sz w:val="22"/>
          <w:szCs w:val="22"/>
          <w:lang w:val="en-GB"/>
        </w:rPr>
        <w:t xml:space="preserve">, </w:t>
      </w:r>
      <w:proofErr w:type="spellStart"/>
      <w:r w:rsidRPr="00967734">
        <w:rPr>
          <w:rFonts w:ascii="Arial Narrow" w:eastAsiaTheme="minorHAnsi" w:hAnsi="Arial Narrow" w:cstheme="minorBidi"/>
          <w:sz w:val="22"/>
          <w:szCs w:val="22"/>
          <w:lang w:val="en-GB"/>
        </w:rPr>
        <w:t>një</w:t>
      </w:r>
      <w:proofErr w:type="spellEnd"/>
      <w:r w:rsidRPr="00967734">
        <w:rPr>
          <w:rFonts w:ascii="Arial Narrow" w:eastAsiaTheme="minorHAnsi" w:hAnsi="Arial Narrow" w:cstheme="minorBidi"/>
          <w:sz w:val="22"/>
          <w:szCs w:val="22"/>
          <w:lang w:val="en-GB"/>
        </w:rPr>
        <w:t xml:space="preserve"> </w:t>
      </w:r>
      <w:proofErr w:type="spellStart"/>
      <w:r w:rsidRPr="00967734">
        <w:rPr>
          <w:rFonts w:ascii="Arial Narrow" w:eastAsia="Calibri" w:hAnsi="Arial Narrow" w:cs="Calibri"/>
          <w:color w:val="000000" w:themeColor="text1"/>
          <w:sz w:val="22"/>
          <w:szCs w:val="22"/>
          <w:lang w:val="en-GB"/>
        </w:rPr>
        <w:t>normë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vjetore</w:t>
      </w:r>
      <w:proofErr w:type="spellEnd"/>
      <w:r w:rsidRPr="00967734">
        <w:rPr>
          <w:rFonts w:ascii="Arial Narrow" w:eastAsia="Calibri" w:hAnsi="Arial Narrow" w:cs="Calibri"/>
          <w:color w:val="000000" w:themeColor="text1"/>
          <w:sz w:val="22"/>
          <w:szCs w:val="22"/>
          <w:lang w:val="en-GB"/>
        </w:rPr>
        <w:t xml:space="preserve"> e </w:t>
      </w:r>
      <w:proofErr w:type="spellStart"/>
      <w:r w:rsidRPr="00967734">
        <w:rPr>
          <w:rFonts w:ascii="Arial Narrow" w:eastAsia="Calibri" w:hAnsi="Arial Narrow" w:cs="Calibri"/>
          <w:color w:val="000000" w:themeColor="text1"/>
          <w:sz w:val="22"/>
          <w:szCs w:val="22"/>
          <w:lang w:val="en-GB"/>
        </w:rPr>
        <w:t>amortizimit</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për</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kamionët</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është</w:t>
      </w:r>
      <w:proofErr w:type="spellEnd"/>
      <w:r w:rsidRPr="00967734">
        <w:rPr>
          <w:rFonts w:ascii="Arial Narrow" w:eastAsia="Calibri" w:hAnsi="Arial Narrow" w:cs="Calibri"/>
          <w:color w:val="000000" w:themeColor="text1"/>
          <w:sz w:val="22"/>
          <w:szCs w:val="22"/>
          <w:lang w:val="en-GB"/>
        </w:rPr>
        <w:t xml:space="preserve"> 10%, e </w:t>
      </w:r>
      <w:proofErr w:type="spellStart"/>
      <w:r w:rsidRPr="00967734">
        <w:rPr>
          <w:rFonts w:ascii="Arial Narrow" w:eastAsia="Calibri" w:hAnsi="Arial Narrow" w:cs="Calibri"/>
          <w:color w:val="000000" w:themeColor="text1"/>
          <w:sz w:val="22"/>
          <w:szCs w:val="22"/>
          <w:lang w:val="en-GB"/>
        </w:rPr>
        <w:t>për</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kontejnerët</w:t>
      </w:r>
      <w:proofErr w:type="spellEnd"/>
      <w:r w:rsidRPr="00967734">
        <w:rPr>
          <w:rFonts w:ascii="Arial Narrow" w:eastAsia="Calibri" w:hAnsi="Arial Narrow" w:cs="Calibri"/>
          <w:color w:val="000000" w:themeColor="text1"/>
          <w:sz w:val="22"/>
          <w:szCs w:val="22"/>
          <w:lang w:val="en-GB"/>
        </w:rPr>
        <w:t xml:space="preserve"> - 14.3%.</w:t>
      </w:r>
    </w:p>
    <w:p w14:paraId="6E16652A" w14:textId="77777777" w:rsidR="00967734" w:rsidRPr="00967734" w:rsidRDefault="00967734" w:rsidP="00967734">
      <w:pPr>
        <w:numPr>
          <w:ilvl w:val="0"/>
          <w:numId w:val="20"/>
        </w:numPr>
        <w:jc w:val="both"/>
        <w:rPr>
          <w:rFonts w:ascii="Arial Narrow" w:eastAsia="Calibri" w:hAnsi="Arial Narrow" w:cs="Calibri"/>
          <w:color w:val="000000" w:themeColor="text1"/>
          <w:sz w:val="22"/>
          <w:szCs w:val="22"/>
          <w:lang w:val="en-GB"/>
        </w:rPr>
      </w:pPr>
      <w:proofErr w:type="spellStart"/>
      <w:r w:rsidRPr="00967734">
        <w:rPr>
          <w:rFonts w:ascii="Arial Narrow" w:eastAsia="Calibri" w:hAnsi="Arial Narrow" w:cs="Calibri"/>
          <w:color w:val="000000" w:themeColor="text1"/>
          <w:sz w:val="22"/>
          <w:szCs w:val="22"/>
          <w:lang w:val="en-GB"/>
        </w:rPr>
        <w:t>Kontejnerët</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dhe</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automjetet</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ekzistuese</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nuk</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janë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marrë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parasysh</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derisa</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janë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përgatitur</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vlerësimet</w:t>
      </w:r>
      <w:proofErr w:type="spellEnd"/>
      <w:r w:rsidRPr="00967734">
        <w:rPr>
          <w:rFonts w:ascii="Arial Narrow" w:eastAsia="Calibri" w:hAnsi="Arial Narrow" w:cs="Calibri"/>
          <w:color w:val="000000" w:themeColor="text1"/>
          <w:sz w:val="22"/>
          <w:szCs w:val="22"/>
          <w:lang w:val="en-GB"/>
        </w:rPr>
        <w:t xml:space="preserve"> e </w:t>
      </w:r>
      <w:proofErr w:type="spellStart"/>
      <w:r w:rsidRPr="00967734">
        <w:rPr>
          <w:rFonts w:ascii="Arial Narrow" w:eastAsia="Calibri" w:hAnsi="Arial Narrow" w:cs="Calibri"/>
          <w:color w:val="000000" w:themeColor="text1"/>
          <w:sz w:val="22"/>
          <w:szCs w:val="22"/>
          <w:lang w:val="en-GB"/>
        </w:rPr>
        <w:t>kostove</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për</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një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pajisje</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krejtësisht</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të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reja</w:t>
      </w:r>
      <w:proofErr w:type="spellEnd"/>
      <w:r w:rsidRPr="00967734">
        <w:rPr>
          <w:rFonts w:ascii="Arial Narrow" w:eastAsia="Calibri" w:hAnsi="Arial Narrow" w:cs="Calibri"/>
          <w:color w:val="000000" w:themeColor="text1"/>
          <w:sz w:val="22"/>
          <w:szCs w:val="22"/>
          <w:lang w:val="en-GB"/>
        </w:rPr>
        <w:t>.</w:t>
      </w:r>
    </w:p>
    <w:p w14:paraId="6C33E72E" w14:textId="77777777" w:rsidR="00967734" w:rsidRPr="00967734" w:rsidRDefault="00967734" w:rsidP="00967734">
      <w:pPr>
        <w:numPr>
          <w:ilvl w:val="0"/>
          <w:numId w:val="20"/>
        </w:numPr>
        <w:jc w:val="both"/>
        <w:rPr>
          <w:rFonts w:ascii="Arial Narrow" w:eastAsia="Calibri" w:hAnsi="Arial Narrow" w:cs="Calibri"/>
          <w:color w:val="000000" w:themeColor="text1"/>
          <w:sz w:val="22"/>
          <w:szCs w:val="22"/>
          <w:lang w:val="en-GB"/>
        </w:rPr>
      </w:pPr>
      <w:proofErr w:type="spellStart"/>
      <w:r w:rsidRPr="00967734">
        <w:rPr>
          <w:rFonts w:ascii="Arial Narrow" w:eastAsia="Calibri" w:hAnsi="Arial Narrow" w:cs="Calibri"/>
          <w:color w:val="000000" w:themeColor="text1"/>
          <w:sz w:val="22"/>
          <w:szCs w:val="22"/>
          <w:lang w:val="en-GB"/>
        </w:rPr>
        <w:t>Kostot</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vjetore</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të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mirëmbajtjes</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pranohen</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të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jenë</w:t>
      </w:r>
      <w:proofErr w:type="spellEnd"/>
      <w:r w:rsidRPr="00967734">
        <w:rPr>
          <w:rFonts w:ascii="Arial Narrow" w:eastAsia="Calibri" w:hAnsi="Arial Narrow" w:cs="Calibri"/>
          <w:color w:val="000000" w:themeColor="text1"/>
          <w:sz w:val="22"/>
          <w:szCs w:val="22"/>
          <w:lang w:val="en-GB"/>
        </w:rPr>
        <w:t xml:space="preserve"> 4% e </w:t>
      </w:r>
      <w:proofErr w:type="spellStart"/>
      <w:r w:rsidRPr="00967734">
        <w:rPr>
          <w:rFonts w:ascii="Arial Narrow" w:eastAsia="Calibri" w:hAnsi="Arial Narrow" w:cs="Calibri"/>
          <w:color w:val="000000" w:themeColor="text1"/>
          <w:sz w:val="22"/>
          <w:szCs w:val="22"/>
          <w:lang w:val="en-GB"/>
        </w:rPr>
        <w:t>kostove</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të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investimit</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për</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kontejnerët</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dhe</w:t>
      </w:r>
      <w:proofErr w:type="spellEnd"/>
      <w:r w:rsidRPr="00967734">
        <w:rPr>
          <w:rFonts w:ascii="Arial Narrow" w:eastAsia="Calibri" w:hAnsi="Arial Narrow" w:cs="Calibri"/>
          <w:color w:val="000000" w:themeColor="text1"/>
          <w:sz w:val="22"/>
          <w:szCs w:val="22"/>
          <w:lang w:val="en-GB"/>
        </w:rPr>
        <w:t xml:space="preserve"> 5% </w:t>
      </w:r>
      <w:proofErr w:type="spellStart"/>
      <w:r w:rsidRPr="00967734">
        <w:rPr>
          <w:rFonts w:ascii="Arial Narrow" w:eastAsia="Calibri" w:hAnsi="Arial Narrow" w:cs="Calibri"/>
          <w:color w:val="000000" w:themeColor="text1"/>
          <w:sz w:val="22"/>
          <w:szCs w:val="22"/>
          <w:lang w:val="en-GB"/>
        </w:rPr>
        <w:t>për</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automjetet</w:t>
      </w:r>
      <w:proofErr w:type="spellEnd"/>
      <w:r w:rsidRPr="00967734">
        <w:rPr>
          <w:rFonts w:ascii="Arial Narrow" w:eastAsia="Calibri" w:hAnsi="Arial Narrow" w:cs="Calibri"/>
          <w:color w:val="000000" w:themeColor="text1"/>
          <w:sz w:val="22"/>
          <w:szCs w:val="22"/>
          <w:lang w:val="en-GB"/>
        </w:rPr>
        <w:t>.</w:t>
      </w:r>
    </w:p>
    <w:p w14:paraId="1E38B158" w14:textId="77777777" w:rsidR="00967734" w:rsidRPr="00967734" w:rsidRDefault="00967734" w:rsidP="00967734">
      <w:pPr>
        <w:numPr>
          <w:ilvl w:val="0"/>
          <w:numId w:val="20"/>
        </w:numPr>
        <w:jc w:val="both"/>
        <w:rPr>
          <w:rFonts w:ascii="Arial Narrow" w:eastAsia="Calibri" w:hAnsi="Arial Narrow" w:cs="Calibri"/>
          <w:color w:val="000000" w:themeColor="text1"/>
          <w:sz w:val="22"/>
          <w:szCs w:val="22"/>
          <w:lang w:val="en-GB"/>
        </w:rPr>
      </w:pPr>
      <w:proofErr w:type="spellStart"/>
      <w:r w:rsidRPr="00967734">
        <w:rPr>
          <w:rFonts w:ascii="Arial Narrow" w:eastAsia="Calibri" w:hAnsi="Arial Narrow" w:cs="Calibri"/>
          <w:color w:val="000000" w:themeColor="text1"/>
          <w:sz w:val="22"/>
          <w:szCs w:val="22"/>
          <w:lang w:val="en-GB"/>
        </w:rPr>
        <w:t>Kostot</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për</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administrimin</w:t>
      </w:r>
      <w:proofErr w:type="spellEnd"/>
      <w:r w:rsidRPr="00967734">
        <w:rPr>
          <w:rFonts w:ascii="Arial Narrow" w:eastAsia="Calibri" w:hAnsi="Arial Narrow" w:cs="Calibri"/>
          <w:color w:val="000000" w:themeColor="text1"/>
          <w:sz w:val="22"/>
          <w:szCs w:val="22"/>
          <w:lang w:val="en-GB"/>
        </w:rPr>
        <w:t xml:space="preserve"> e </w:t>
      </w:r>
      <w:proofErr w:type="spellStart"/>
      <w:r w:rsidRPr="00967734">
        <w:rPr>
          <w:rFonts w:ascii="Arial Narrow" w:eastAsia="Calibri" w:hAnsi="Arial Narrow" w:cs="Calibri"/>
          <w:color w:val="000000" w:themeColor="text1"/>
          <w:sz w:val="22"/>
          <w:szCs w:val="22"/>
          <w:lang w:val="en-GB"/>
        </w:rPr>
        <w:t>sistemit</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janë</w:t>
      </w:r>
      <w:proofErr w:type="spellEnd"/>
      <w:r w:rsidRPr="00967734">
        <w:rPr>
          <w:rFonts w:ascii="Arial Narrow" w:eastAsia="Calibri" w:hAnsi="Arial Narrow" w:cs="Calibri"/>
          <w:color w:val="000000" w:themeColor="text1"/>
          <w:sz w:val="22"/>
          <w:szCs w:val="22"/>
          <w:lang w:val="en-GB"/>
        </w:rPr>
        <w:t xml:space="preserve"> 10% e </w:t>
      </w:r>
      <w:proofErr w:type="spellStart"/>
      <w:r w:rsidRPr="00967734">
        <w:rPr>
          <w:rFonts w:ascii="Arial Narrow" w:eastAsia="Calibri" w:hAnsi="Arial Narrow" w:cs="Calibri"/>
          <w:color w:val="000000" w:themeColor="text1"/>
          <w:sz w:val="22"/>
          <w:szCs w:val="22"/>
          <w:lang w:val="en-GB"/>
        </w:rPr>
        <w:t>kostove</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direkte</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operacionale</w:t>
      </w:r>
      <w:proofErr w:type="spellEnd"/>
      <w:r w:rsidRPr="00967734">
        <w:rPr>
          <w:rFonts w:ascii="Arial Narrow" w:eastAsia="Calibri" w:hAnsi="Arial Narrow" w:cs="Calibri"/>
          <w:color w:val="000000" w:themeColor="text1"/>
          <w:sz w:val="22"/>
          <w:szCs w:val="22"/>
          <w:lang w:val="en-GB"/>
        </w:rPr>
        <w:t>.</w:t>
      </w:r>
    </w:p>
    <w:p w14:paraId="7FF84A84" w14:textId="77777777" w:rsidR="00967734" w:rsidRPr="00967734" w:rsidRDefault="00967734" w:rsidP="00967734">
      <w:pPr>
        <w:numPr>
          <w:ilvl w:val="0"/>
          <w:numId w:val="20"/>
        </w:numPr>
        <w:jc w:val="both"/>
        <w:rPr>
          <w:rFonts w:ascii="Arial Narrow" w:eastAsia="Calibri" w:hAnsi="Arial Narrow" w:cs="Calibri"/>
          <w:color w:val="000000" w:themeColor="text1"/>
          <w:sz w:val="22"/>
          <w:szCs w:val="22"/>
          <w:lang w:val="en-GB"/>
        </w:rPr>
      </w:pPr>
      <w:proofErr w:type="spellStart"/>
      <w:r w:rsidRPr="00967734">
        <w:rPr>
          <w:rFonts w:ascii="Arial Narrow" w:eastAsia="Calibri" w:hAnsi="Arial Narrow" w:cs="Calibri"/>
          <w:color w:val="000000" w:themeColor="text1"/>
          <w:sz w:val="22"/>
          <w:szCs w:val="22"/>
          <w:lang w:val="en-GB"/>
        </w:rPr>
        <w:t>Sigurimi</w:t>
      </w:r>
      <w:proofErr w:type="spellEnd"/>
      <w:r w:rsidRPr="00967734">
        <w:rPr>
          <w:rFonts w:ascii="Arial Narrow" w:eastAsia="Calibri" w:hAnsi="Arial Narrow" w:cs="Calibri"/>
          <w:color w:val="000000" w:themeColor="text1"/>
          <w:sz w:val="22"/>
          <w:szCs w:val="22"/>
          <w:lang w:val="en-GB"/>
        </w:rPr>
        <w:t xml:space="preserve"> i </w:t>
      </w:r>
      <w:proofErr w:type="spellStart"/>
      <w:r w:rsidRPr="00967734">
        <w:rPr>
          <w:rFonts w:ascii="Arial Narrow" w:eastAsia="Calibri" w:hAnsi="Arial Narrow" w:cs="Calibri"/>
          <w:color w:val="000000" w:themeColor="text1"/>
          <w:sz w:val="22"/>
          <w:szCs w:val="22"/>
          <w:lang w:val="en-GB"/>
        </w:rPr>
        <w:t>automjeteve</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grumbulluese</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dhe</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personelit</w:t>
      </w:r>
      <w:proofErr w:type="spellEnd"/>
      <w:r w:rsidRPr="00967734">
        <w:rPr>
          <w:rFonts w:ascii="Arial Narrow" w:eastAsia="Calibri" w:hAnsi="Arial Narrow" w:cs="Calibri"/>
          <w:color w:val="000000" w:themeColor="text1"/>
          <w:sz w:val="22"/>
          <w:szCs w:val="22"/>
          <w:lang w:val="en-GB"/>
        </w:rPr>
        <w:t xml:space="preserve"> – 1% e </w:t>
      </w:r>
      <w:proofErr w:type="spellStart"/>
      <w:r w:rsidRPr="00967734">
        <w:rPr>
          <w:rFonts w:ascii="Arial Narrow" w:eastAsia="Calibri" w:hAnsi="Arial Narrow" w:cs="Calibri"/>
          <w:color w:val="000000" w:themeColor="text1"/>
          <w:sz w:val="22"/>
          <w:szCs w:val="22"/>
          <w:lang w:val="en-GB"/>
        </w:rPr>
        <w:t>kostos</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së</w:t>
      </w:r>
      <w:proofErr w:type="spellEnd"/>
      <w:r w:rsidRPr="00967734">
        <w:rPr>
          <w:rFonts w:ascii="Arial Narrow" w:eastAsia="Calibri" w:hAnsi="Arial Narrow" w:cs="Calibri"/>
          <w:color w:val="000000" w:themeColor="text1"/>
          <w:sz w:val="22"/>
          <w:szCs w:val="22"/>
          <w:lang w:val="en-GB"/>
        </w:rPr>
        <w:t xml:space="preserve"> </w:t>
      </w:r>
      <w:proofErr w:type="spellStart"/>
      <w:r w:rsidRPr="00967734">
        <w:rPr>
          <w:rFonts w:ascii="Arial Narrow" w:eastAsia="Calibri" w:hAnsi="Arial Narrow" w:cs="Calibri"/>
          <w:color w:val="000000" w:themeColor="text1"/>
          <w:sz w:val="22"/>
          <w:szCs w:val="22"/>
          <w:lang w:val="en-GB"/>
        </w:rPr>
        <w:t>investimit</w:t>
      </w:r>
      <w:proofErr w:type="spellEnd"/>
      <w:r w:rsidRPr="00967734">
        <w:rPr>
          <w:rFonts w:ascii="Arial Narrow" w:eastAsia="Calibri" w:hAnsi="Arial Narrow" w:cs="Calibri"/>
          <w:color w:val="000000" w:themeColor="text1"/>
          <w:sz w:val="22"/>
          <w:szCs w:val="22"/>
          <w:lang w:val="en-GB"/>
        </w:rPr>
        <w:t>.</w:t>
      </w:r>
    </w:p>
    <w:p w14:paraId="734FAA14" w14:textId="77777777" w:rsidR="00967734" w:rsidRPr="009F5CA1" w:rsidRDefault="00967734" w:rsidP="00967734">
      <w:pPr>
        <w:numPr>
          <w:ilvl w:val="0"/>
          <w:numId w:val="20"/>
        </w:numPr>
        <w:jc w:val="both"/>
        <w:rPr>
          <w:rFonts w:ascii="Arial Narrow" w:eastAsia="Calibri" w:hAnsi="Arial Narrow" w:cs="Calibri"/>
          <w:color w:val="000000" w:themeColor="text1"/>
          <w:sz w:val="22"/>
          <w:szCs w:val="22"/>
          <w:lang w:val="es-ES"/>
        </w:rPr>
      </w:pPr>
      <w:proofErr w:type="spellStart"/>
      <w:r w:rsidRPr="009F5CA1">
        <w:rPr>
          <w:rFonts w:ascii="Arial Narrow" w:eastAsia="Calibri" w:hAnsi="Arial Narrow" w:cs="Calibri"/>
          <w:color w:val="000000" w:themeColor="text1"/>
          <w:sz w:val="22"/>
          <w:szCs w:val="22"/>
          <w:lang w:val="es-ES"/>
        </w:rPr>
        <w:t>Shërbime</w:t>
      </w:r>
      <w:proofErr w:type="spellEnd"/>
      <w:r w:rsidRPr="009F5CA1">
        <w:rPr>
          <w:rFonts w:ascii="Arial Narrow" w:eastAsia="Calibri" w:hAnsi="Arial Narrow" w:cs="Calibri"/>
          <w:color w:val="000000" w:themeColor="text1"/>
          <w:sz w:val="22"/>
          <w:szCs w:val="22"/>
          <w:lang w:val="es-ES"/>
        </w:rPr>
        <w:t xml:space="preserve"> </w:t>
      </w:r>
      <w:proofErr w:type="spellStart"/>
      <w:r w:rsidRPr="009F5CA1">
        <w:rPr>
          <w:rFonts w:ascii="Arial Narrow" w:eastAsia="Calibri" w:hAnsi="Arial Narrow" w:cs="Calibri"/>
          <w:color w:val="000000" w:themeColor="text1"/>
          <w:sz w:val="22"/>
          <w:szCs w:val="22"/>
          <w:lang w:val="es-ES"/>
        </w:rPr>
        <w:t>jashtë</w:t>
      </w:r>
      <w:proofErr w:type="spellEnd"/>
      <w:r w:rsidRPr="009F5CA1">
        <w:rPr>
          <w:rFonts w:ascii="Arial Narrow" w:eastAsia="Calibri" w:hAnsi="Arial Narrow" w:cs="Calibri"/>
          <w:color w:val="000000" w:themeColor="text1"/>
          <w:sz w:val="22"/>
          <w:szCs w:val="22"/>
          <w:lang w:val="es-ES"/>
        </w:rPr>
        <w:t xml:space="preserve"> </w:t>
      </w:r>
      <w:proofErr w:type="spellStart"/>
      <w:r w:rsidRPr="009F5CA1">
        <w:rPr>
          <w:rFonts w:ascii="Arial Narrow" w:eastAsia="Calibri" w:hAnsi="Arial Narrow" w:cs="Calibri"/>
          <w:color w:val="000000" w:themeColor="text1"/>
          <w:sz w:val="22"/>
          <w:szCs w:val="22"/>
          <w:lang w:val="es-ES"/>
        </w:rPr>
        <w:t>orarit</w:t>
      </w:r>
      <w:proofErr w:type="spellEnd"/>
      <w:r w:rsidRPr="009F5CA1">
        <w:rPr>
          <w:rFonts w:ascii="Arial Narrow" w:eastAsia="Calibri" w:hAnsi="Arial Narrow" w:cs="Calibri"/>
          <w:color w:val="000000" w:themeColor="text1"/>
          <w:sz w:val="22"/>
          <w:szCs w:val="22"/>
          <w:lang w:val="es-ES"/>
        </w:rPr>
        <w:t xml:space="preserve"> – 10% e </w:t>
      </w:r>
      <w:proofErr w:type="spellStart"/>
      <w:r w:rsidRPr="009F5CA1">
        <w:rPr>
          <w:rFonts w:ascii="Arial Narrow" w:eastAsia="Calibri" w:hAnsi="Arial Narrow" w:cs="Calibri"/>
          <w:color w:val="000000" w:themeColor="text1"/>
          <w:sz w:val="22"/>
          <w:szCs w:val="22"/>
          <w:lang w:val="es-ES"/>
        </w:rPr>
        <w:t>kostove</w:t>
      </w:r>
      <w:proofErr w:type="spellEnd"/>
      <w:r w:rsidRPr="009F5CA1">
        <w:rPr>
          <w:rFonts w:ascii="Arial Narrow" w:eastAsia="Calibri" w:hAnsi="Arial Narrow" w:cs="Calibri"/>
          <w:color w:val="000000" w:themeColor="text1"/>
          <w:sz w:val="22"/>
          <w:szCs w:val="22"/>
          <w:lang w:val="es-ES"/>
        </w:rPr>
        <w:t xml:space="preserve"> </w:t>
      </w:r>
      <w:proofErr w:type="spellStart"/>
      <w:r w:rsidRPr="009F5CA1">
        <w:rPr>
          <w:rFonts w:ascii="Arial Narrow" w:eastAsia="Calibri" w:hAnsi="Arial Narrow" w:cs="Calibri"/>
          <w:color w:val="000000" w:themeColor="text1"/>
          <w:sz w:val="22"/>
          <w:szCs w:val="22"/>
          <w:lang w:val="es-ES"/>
        </w:rPr>
        <w:t>operacionale</w:t>
      </w:r>
      <w:proofErr w:type="spellEnd"/>
      <w:r w:rsidRPr="009F5CA1">
        <w:rPr>
          <w:rFonts w:ascii="Arial Narrow" w:eastAsia="Calibri" w:hAnsi="Arial Narrow" w:cs="Calibri"/>
          <w:color w:val="000000" w:themeColor="text1"/>
          <w:sz w:val="22"/>
          <w:szCs w:val="22"/>
          <w:lang w:val="es-ES"/>
        </w:rPr>
        <w:t xml:space="preserve"> plus </w:t>
      </w:r>
      <w:proofErr w:type="spellStart"/>
      <w:r w:rsidRPr="009F5CA1">
        <w:rPr>
          <w:rFonts w:ascii="Arial Narrow" w:eastAsia="Calibri" w:hAnsi="Arial Narrow" w:cs="Calibri"/>
          <w:color w:val="000000" w:themeColor="text1"/>
          <w:sz w:val="22"/>
          <w:szCs w:val="22"/>
          <w:lang w:val="es-ES"/>
        </w:rPr>
        <w:t>amortizimi</w:t>
      </w:r>
      <w:proofErr w:type="spellEnd"/>
      <w:r w:rsidRPr="009F5CA1">
        <w:rPr>
          <w:rFonts w:ascii="Arial Narrow" w:eastAsia="Calibri" w:hAnsi="Arial Narrow" w:cs="Calibri"/>
          <w:color w:val="000000" w:themeColor="text1"/>
          <w:sz w:val="22"/>
          <w:szCs w:val="22"/>
          <w:lang w:val="es-ES"/>
        </w:rPr>
        <w:t xml:space="preserve"> </w:t>
      </w:r>
      <w:proofErr w:type="spellStart"/>
      <w:r w:rsidRPr="009F5CA1">
        <w:rPr>
          <w:rFonts w:ascii="Arial Narrow" w:eastAsia="Calibri" w:hAnsi="Arial Narrow" w:cs="Calibri"/>
          <w:color w:val="000000" w:themeColor="text1"/>
          <w:sz w:val="22"/>
          <w:szCs w:val="22"/>
          <w:lang w:val="es-ES"/>
        </w:rPr>
        <w:t>vjetor</w:t>
      </w:r>
      <w:proofErr w:type="spellEnd"/>
      <w:r w:rsidRPr="009F5CA1">
        <w:rPr>
          <w:rFonts w:ascii="Arial Narrow" w:eastAsia="Calibri" w:hAnsi="Arial Narrow" w:cs="Calibri"/>
          <w:color w:val="000000" w:themeColor="text1"/>
          <w:sz w:val="22"/>
          <w:szCs w:val="22"/>
          <w:lang w:val="es-ES"/>
        </w:rPr>
        <w:t>.</w:t>
      </w:r>
    </w:p>
    <w:p w14:paraId="523CB27B" w14:textId="77777777" w:rsidR="00967734" w:rsidRPr="009F5CA1" w:rsidRDefault="00967734" w:rsidP="00967734">
      <w:pPr>
        <w:numPr>
          <w:ilvl w:val="0"/>
          <w:numId w:val="20"/>
        </w:numPr>
        <w:jc w:val="both"/>
        <w:rPr>
          <w:rFonts w:ascii="Arial Narrow" w:eastAsia="Calibri" w:hAnsi="Arial Narrow" w:cs="Calibri"/>
          <w:color w:val="000000" w:themeColor="text1"/>
          <w:sz w:val="22"/>
          <w:szCs w:val="22"/>
          <w:lang w:val="es-ES"/>
        </w:rPr>
      </w:pPr>
      <w:proofErr w:type="spellStart"/>
      <w:r w:rsidRPr="009F5CA1">
        <w:rPr>
          <w:rFonts w:ascii="Arial Narrow" w:eastAsia="Calibri" w:hAnsi="Arial Narrow" w:cs="Calibri"/>
          <w:color w:val="000000" w:themeColor="text1"/>
          <w:sz w:val="22"/>
          <w:szCs w:val="22"/>
          <w:lang w:val="es-ES"/>
        </w:rPr>
        <w:t>Kostot</w:t>
      </w:r>
      <w:proofErr w:type="spellEnd"/>
      <w:r w:rsidRPr="009F5CA1">
        <w:rPr>
          <w:rFonts w:ascii="Arial Narrow" w:eastAsia="Calibri" w:hAnsi="Arial Narrow" w:cs="Calibri"/>
          <w:color w:val="000000" w:themeColor="text1"/>
          <w:sz w:val="22"/>
          <w:szCs w:val="22"/>
          <w:lang w:val="es-ES"/>
        </w:rPr>
        <w:t xml:space="preserve"> e </w:t>
      </w:r>
      <w:proofErr w:type="spellStart"/>
      <w:r w:rsidRPr="009F5CA1">
        <w:rPr>
          <w:rFonts w:ascii="Arial Narrow" w:eastAsia="Calibri" w:hAnsi="Arial Narrow" w:cs="Calibri"/>
          <w:color w:val="000000" w:themeColor="text1"/>
          <w:sz w:val="22"/>
          <w:szCs w:val="22"/>
          <w:lang w:val="es-ES"/>
        </w:rPr>
        <w:t>punës</w:t>
      </w:r>
      <w:proofErr w:type="spellEnd"/>
      <w:r w:rsidRPr="009F5CA1">
        <w:rPr>
          <w:rFonts w:ascii="Arial Narrow" w:eastAsia="Calibri" w:hAnsi="Arial Narrow" w:cs="Calibri"/>
          <w:color w:val="000000" w:themeColor="text1"/>
          <w:sz w:val="22"/>
          <w:szCs w:val="22"/>
          <w:lang w:val="es-ES"/>
        </w:rPr>
        <w:t xml:space="preserve"> </w:t>
      </w:r>
      <w:proofErr w:type="spellStart"/>
      <w:r w:rsidRPr="009F5CA1">
        <w:rPr>
          <w:rFonts w:ascii="Arial Narrow" w:eastAsia="Calibri" w:hAnsi="Arial Narrow" w:cs="Calibri"/>
          <w:color w:val="000000" w:themeColor="text1"/>
          <w:sz w:val="22"/>
          <w:szCs w:val="22"/>
          <w:lang w:val="es-ES"/>
        </w:rPr>
        <w:t>llogariten</w:t>
      </w:r>
      <w:proofErr w:type="spellEnd"/>
      <w:r w:rsidRPr="009F5CA1">
        <w:rPr>
          <w:rFonts w:ascii="Arial Narrow" w:eastAsia="Calibri" w:hAnsi="Arial Narrow" w:cs="Calibri"/>
          <w:color w:val="000000" w:themeColor="text1"/>
          <w:sz w:val="22"/>
          <w:szCs w:val="22"/>
          <w:lang w:val="es-ES"/>
        </w:rPr>
        <w:t xml:space="preserve"> </w:t>
      </w:r>
      <w:proofErr w:type="spellStart"/>
      <w:r w:rsidRPr="009F5CA1">
        <w:rPr>
          <w:rFonts w:ascii="Arial Narrow" w:eastAsia="Calibri" w:hAnsi="Arial Narrow" w:cs="Calibri"/>
          <w:color w:val="000000" w:themeColor="text1"/>
          <w:sz w:val="22"/>
          <w:szCs w:val="22"/>
          <w:lang w:val="es-ES"/>
        </w:rPr>
        <w:t>për</w:t>
      </w:r>
      <w:proofErr w:type="spellEnd"/>
      <w:r w:rsidRPr="009F5CA1">
        <w:rPr>
          <w:rFonts w:ascii="Arial Narrow" w:eastAsia="Calibri" w:hAnsi="Arial Narrow" w:cs="Calibri"/>
          <w:color w:val="000000" w:themeColor="text1"/>
          <w:sz w:val="22"/>
          <w:szCs w:val="22"/>
          <w:lang w:val="es-ES"/>
        </w:rPr>
        <w:t xml:space="preserve"> 46 </w:t>
      </w:r>
      <w:proofErr w:type="spellStart"/>
      <w:r w:rsidRPr="009F5CA1">
        <w:rPr>
          <w:rFonts w:ascii="Arial Narrow" w:eastAsia="Calibri" w:hAnsi="Arial Narrow" w:cs="Calibri"/>
          <w:color w:val="000000" w:themeColor="text1"/>
          <w:sz w:val="22"/>
          <w:szCs w:val="22"/>
          <w:lang w:val="es-ES"/>
        </w:rPr>
        <w:t>javë</w:t>
      </w:r>
      <w:proofErr w:type="spellEnd"/>
      <w:r w:rsidRPr="009F5CA1">
        <w:rPr>
          <w:rFonts w:ascii="Arial Narrow" w:eastAsia="Calibri" w:hAnsi="Arial Narrow" w:cs="Calibri"/>
          <w:color w:val="000000" w:themeColor="text1"/>
          <w:sz w:val="22"/>
          <w:szCs w:val="22"/>
          <w:lang w:val="es-ES"/>
        </w:rPr>
        <w:t xml:space="preserve"> pune </w:t>
      </w:r>
      <w:proofErr w:type="spellStart"/>
      <w:r w:rsidRPr="009F5CA1">
        <w:rPr>
          <w:rFonts w:ascii="Arial Narrow" w:eastAsia="Calibri" w:hAnsi="Arial Narrow" w:cs="Calibri"/>
          <w:color w:val="000000" w:themeColor="text1"/>
          <w:sz w:val="22"/>
          <w:szCs w:val="22"/>
          <w:lang w:val="es-ES"/>
        </w:rPr>
        <w:t>për</w:t>
      </w:r>
      <w:proofErr w:type="spellEnd"/>
      <w:r w:rsidRPr="009F5CA1">
        <w:rPr>
          <w:rFonts w:ascii="Arial Narrow" w:eastAsia="Calibri" w:hAnsi="Arial Narrow" w:cs="Calibri"/>
          <w:color w:val="000000" w:themeColor="text1"/>
          <w:sz w:val="22"/>
          <w:szCs w:val="22"/>
          <w:lang w:val="es-ES"/>
        </w:rPr>
        <w:t xml:space="preserve"> </w:t>
      </w:r>
      <w:proofErr w:type="spellStart"/>
      <w:r w:rsidRPr="009F5CA1">
        <w:rPr>
          <w:rFonts w:ascii="Arial Narrow" w:eastAsia="Calibri" w:hAnsi="Arial Narrow" w:cs="Calibri"/>
          <w:color w:val="000000" w:themeColor="text1"/>
          <w:sz w:val="22"/>
          <w:szCs w:val="22"/>
          <w:lang w:val="es-ES"/>
        </w:rPr>
        <w:t>person</w:t>
      </w:r>
      <w:proofErr w:type="spellEnd"/>
      <w:r w:rsidRPr="009F5CA1">
        <w:rPr>
          <w:rFonts w:ascii="Arial Narrow" w:eastAsia="Calibri" w:hAnsi="Arial Narrow" w:cs="Calibri"/>
          <w:color w:val="000000" w:themeColor="text1"/>
          <w:sz w:val="22"/>
          <w:szCs w:val="22"/>
          <w:lang w:val="es-ES"/>
        </w:rPr>
        <w:t xml:space="preserve">, 5 </w:t>
      </w:r>
      <w:proofErr w:type="spellStart"/>
      <w:r w:rsidRPr="009F5CA1">
        <w:rPr>
          <w:rFonts w:ascii="Arial Narrow" w:eastAsia="Calibri" w:hAnsi="Arial Narrow" w:cs="Calibri"/>
          <w:color w:val="000000" w:themeColor="text1"/>
          <w:sz w:val="22"/>
          <w:szCs w:val="22"/>
          <w:lang w:val="es-ES"/>
        </w:rPr>
        <w:t>ditë</w:t>
      </w:r>
      <w:proofErr w:type="spellEnd"/>
      <w:r w:rsidRPr="009F5CA1">
        <w:rPr>
          <w:rFonts w:ascii="Arial Narrow" w:eastAsia="Calibri" w:hAnsi="Arial Narrow" w:cs="Calibri"/>
          <w:color w:val="000000" w:themeColor="text1"/>
          <w:sz w:val="22"/>
          <w:szCs w:val="22"/>
          <w:lang w:val="es-ES"/>
        </w:rPr>
        <w:t xml:space="preserve"> pune </w:t>
      </w:r>
      <w:proofErr w:type="spellStart"/>
      <w:r w:rsidRPr="009F5CA1">
        <w:rPr>
          <w:rFonts w:ascii="Arial Narrow" w:eastAsia="Calibri" w:hAnsi="Arial Narrow" w:cs="Calibri"/>
          <w:color w:val="000000" w:themeColor="text1"/>
          <w:sz w:val="22"/>
          <w:szCs w:val="22"/>
          <w:lang w:val="es-ES"/>
        </w:rPr>
        <w:t>në</w:t>
      </w:r>
      <w:proofErr w:type="spellEnd"/>
      <w:r w:rsidRPr="009F5CA1">
        <w:rPr>
          <w:rFonts w:ascii="Arial Narrow" w:eastAsia="Calibri" w:hAnsi="Arial Narrow" w:cs="Calibri"/>
          <w:color w:val="000000" w:themeColor="text1"/>
          <w:sz w:val="22"/>
          <w:szCs w:val="22"/>
          <w:lang w:val="es-ES"/>
        </w:rPr>
        <w:t xml:space="preserve"> </w:t>
      </w:r>
      <w:proofErr w:type="spellStart"/>
      <w:r w:rsidRPr="009F5CA1">
        <w:rPr>
          <w:rFonts w:ascii="Arial Narrow" w:eastAsia="Calibri" w:hAnsi="Arial Narrow" w:cs="Calibri"/>
          <w:color w:val="000000" w:themeColor="text1"/>
          <w:sz w:val="22"/>
          <w:szCs w:val="22"/>
          <w:lang w:val="es-ES"/>
        </w:rPr>
        <w:t>javë</w:t>
      </w:r>
      <w:proofErr w:type="spellEnd"/>
      <w:r w:rsidRPr="009F5CA1">
        <w:rPr>
          <w:rFonts w:ascii="Arial Narrow" w:eastAsia="Calibri" w:hAnsi="Arial Narrow" w:cs="Calibri"/>
          <w:color w:val="000000" w:themeColor="text1"/>
          <w:sz w:val="22"/>
          <w:szCs w:val="22"/>
          <w:lang w:val="es-ES"/>
        </w:rPr>
        <w:t xml:space="preserve"> </w:t>
      </w:r>
      <w:proofErr w:type="spellStart"/>
      <w:r w:rsidRPr="009F5CA1">
        <w:rPr>
          <w:rFonts w:ascii="Arial Narrow" w:eastAsia="Calibri" w:hAnsi="Arial Narrow" w:cs="Calibri"/>
          <w:color w:val="000000" w:themeColor="text1"/>
          <w:sz w:val="22"/>
          <w:szCs w:val="22"/>
          <w:lang w:val="es-ES"/>
        </w:rPr>
        <w:t>dhe</w:t>
      </w:r>
      <w:proofErr w:type="spellEnd"/>
      <w:r w:rsidRPr="009F5CA1">
        <w:rPr>
          <w:rFonts w:ascii="Arial Narrow" w:eastAsia="Calibri" w:hAnsi="Arial Narrow" w:cs="Calibri"/>
          <w:color w:val="000000" w:themeColor="text1"/>
          <w:sz w:val="22"/>
          <w:szCs w:val="22"/>
          <w:lang w:val="es-ES"/>
        </w:rPr>
        <w:t xml:space="preserve"> </w:t>
      </w:r>
      <w:proofErr w:type="spellStart"/>
      <w:r w:rsidRPr="009F5CA1">
        <w:rPr>
          <w:rFonts w:ascii="Arial Narrow" w:eastAsia="Calibri" w:hAnsi="Arial Narrow" w:cs="Calibri"/>
          <w:color w:val="000000" w:themeColor="text1"/>
          <w:sz w:val="22"/>
          <w:szCs w:val="22"/>
          <w:lang w:val="es-ES"/>
        </w:rPr>
        <w:t>mesatarisht</w:t>
      </w:r>
      <w:proofErr w:type="spellEnd"/>
      <w:r w:rsidRPr="009F5CA1">
        <w:rPr>
          <w:rFonts w:ascii="Arial Narrow" w:eastAsia="Calibri" w:hAnsi="Arial Narrow" w:cs="Calibri"/>
          <w:color w:val="000000" w:themeColor="text1"/>
          <w:sz w:val="22"/>
          <w:szCs w:val="22"/>
          <w:lang w:val="es-ES"/>
        </w:rPr>
        <w:t xml:space="preserve"> 5% </w:t>
      </w:r>
      <w:proofErr w:type="spellStart"/>
      <w:r w:rsidRPr="009F5CA1">
        <w:rPr>
          <w:rFonts w:ascii="Arial Narrow" w:eastAsia="Calibri" w:hAnsi="Arial Narrow" w:cs="Calibri"/>
          <w:color w:val="000000" w:themeColor="text1"/>
          <w:sz w:val="22"/>
          <w:szCs w:val="22"/>
          <w:lang w:val="es-ES"/>
        </w:rPr>
        <w:t>pushim</w:t>
      </w:r>
      <w:proofErr w:type="spellEnd"/>
      <w:r w:rsidRPr="009F5CA1">
        <w:rPr>
          <w:rFonts w:ascii="Arial Narrow" w:eastAsia="Calibri" w:hAnsi="Arial Narrow" w:cs="Calibri"/>
          <w:color w:val="000000" w:themeColor="text1"/>
          <w:sz w:val="22"/>
          <w:szCs w:val="22"/>
          <w:lang w:val="es-ES"/>
        </w:rPr>
        <w:t xml:space="preserve"> </w:t>
      </w:r>
      <w:proofErr w:type="spellStart"/>
      <w:r w:rsidRPr="009F5CA1">
        <w:rPr>
          <w:rFonts w:ascii="Arial Narrow" w:eastAsia="Calibri" w:hAnsi="Arial Narrow" w:cs="Calibri"/>
          <w:color w:val="000000" w:themeColor="text1"/>
          <w:sz w:val="22"/>
          <w:szCs w:val="22"/>
          <w:lang w:val="es-ES"/>
        </w:rPr>
        <w:t>mjekësor</w:t>
      </w:r>
      <w:proofErr w:type="spellEnd"/>
      <w:r w:rsidRPr="009F5CA1">
        <w:rPr>
          <w:rFonts w:ascii="Arial Narrow" w:eastAsia="Calibri" w:hAnsi="Arial Narrow" w:cs="Calibri"/>
          <w:color w:val="000000" w:themeColor="text1"/>
          <w:sz w:val="22"/>
          <w:szCs w:val="22"/>
          <w:lang w:val="es-ES"/>
        </w:rPr>
        <w:t>.</w:t>
      </w:r>
    </w:p>
    <w:p w14:paraId="7D980434" w14:textId="77777777" w:rsidR="00967734" w:rsidRPr="00967734" w:rsidRDefault="00967734" w:rsidP="00967734">
      <w:pPr>
        <w:rPr>
          <w:rFonts w:ascii="Arial Narrow" w:eastAsia="Calibri" w:hAnsi="Arial Narrow"/>
          <w:sz w:val="22"/>
          <w:szCs w:val="22"/>
        </w:rPr>
      </w:pPr>
    </w:p>
    <w:p w14:paraId="4BE631D5" w14:textId="77777777" w:rsidR="00967734" w:rsidRPr="00967734" w:rsidRDefault="00967734" w:rsidP="00967734">
      <w:pPr>
        <w:rPr>
          <w:rFonts w:ascii="Arial Narrow" w:eastAsia="Calibri" w:hAnsi="Arial Narrow"/>
          <w:sz w:val="22"/>
          <w:szCs w:val="22"/>
        </w:rPr>
      </w:pPr>
      <w:r w:rsidRPr="00967734">
        <w:rPr>
          <w:rFonts w:ascii="Arial Narrow" w:eastAsia="Calibri" w:hAnsi="Arial Narrow"/>
          <w:sz w:val="22"/>
          <w:szCs w:val="22"/>
        </w:rPr>
        <w:t>Një pjesë e flotës ekzistuese fillimisht mund të përdoret për grumbullimin ndaras të mbeturinave derisa zëvendësimi i pajisjeve ekzistuese do të bëhet sipas nevojës.</w:t>
      </w:r>
    </w:p>
    <w:p w14:paraId="3CD10856" w14:textId="77777777" w:rsidR="007D1EDC" w:rsidRPr="007D1EDC" w:rsidRDefault="007D1EDC" w:rsidP="007D1EDC">
      <w:pPr>
        <w:rPr>
          <w:rFonts w:ascii="Arial Narrow" w:eastAsia="Calibri" w:hAnsi="Arial Narrow"/>
          <w:sz w:val="20"/>
        </w:rPr>
      </w:pPr>
    </w:p>
    <w:p w14:paraId="3A398E87" w14:textId="5309872A" w:rsidR="007D1EDC" w:rsidRPr="007D1EDC" w:rsidRDefault="007D1EDC" w:rsidP="007D1EDC">
      <w:pPr>
        <w:suppressAutoHyphens/>
        <w:rPr>
          <w:rFonts w:ascii="Arial Narrow" w:eastAsia="Calibri" w:hAnsi="Arial Narrow" w:cs="Calibri"/>
          <w:color w:val="1F497D"/>
          <w:sz w:val="20"/>
          <w:szCs w:val="20"/>
        </w:rPr>
      </w:pPr>
      <w:bookmarkStart w:id="631" w:name="_Toc190966780"/>
      <w:bookmarkStart w:id="632" w:name="_Toc197472277"/>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92.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 xml:space="preserve">Pajisjet e nevojshme </w:t>
      </w:r>
      <w:r w:rsidR="00967734">
        <w:rPr>
          <w:rFonts w:ascii="Arial Narrow" w:eastAsia="Calibri" w:hAnsi="Arial Narrow" w:cs="Calibri"/>
          <w:color w:val="1F497D"/>
          <w:sz w:val="20"/>
          <w:szCs w:val="20"/>
        </w:rPr>
        <w:t>për grumbullimin e</w:t>
      </w:r>
      <w:r w:rsidRPr="007D1EDC">
        <w:rPr>
          <w:rFonts w:ascii="Arial Narrow" w:eastAsia="Calibri" w:hAnsi="Arial Narrow" w:cs="Calibri"/>
          <w:color w:val="1F497D"/>
          <w:sz w:val="20"/>
          <w:szCs w:val="20"/>
        </w:rPr>
        <w:t xml:space="preserve"> mbeturina</w:t>
      </w:r>
      <w:r w:rsidR="00967734">
        <w:rPr>
          <w:rFonts w:ascii="Arial Narrow" w:eastAsia="Calibri" w:hAnsi="Arial Narrow" w:cs="Calibri"/>
          <w:color w:val="1F497D"/>
          <w:sz w:val="20"/>
          <w:szCs w:val="20"/>
        </w:rPr>
        <w:t>ve të përziera</w:t>
      </w:r>
      <w:r w:rsidRPr="007D1EDC">
        <w:rPr>
          <w:rFonts w:ascii="Arial Narrow" w:eastAsia="Calibri" w:hAnsi="Arial Narrow" w:cs="Calibri"/>
          <w:color w:val="1F497D"/>
          <w:sz w:val="20"/>
          <w:szCs w:val="20"/>
        </w:rPr>
        <w:t xml:space="preserve"> 2027</w:t>
      </w:r>
      <w:bookmarkEnd w:id="631"/>
      <w:bookmarkEnd w:id="632"/>
    </w:p>
    <w:tbl>
      <w:tblPr>
        <w:tblStyle w:val="TableGrid"/>
        <w:tblW w:w="5000" w:type="pct"/>
        <w:tblLook w:val="04A0" w:firstRow="1" w:lastRow="0" w:firstColumn="1" w:lastColumn="0" w:noHBand="0" w:noVBand="1"/>
      </w:tblPr>
      <w:tblGrid>
        <w:gridCol w:w="3596"/>
        <w:gridCol w:w="1078"/>
        <w:gridCol w:w="1156"/>
        <w:gridCol w:w="1096"/>
        <w:gridCol w:w="1078"/>
        <w:gridCol w:w="1012"/>
      </w:tblGrid>
      <w:tr w:rsidR="007D1EDC" w:rsidRPr="007D1EDC" w14:paraId="10ADE148" w14:textId="77777777" w:rsidTr="00D03949">
        <w:trPr>
          <w:tblHeader/>
        </w:trPr>
        <w:tc>
          <w:tcPr>
            <w:tcW w:w="1994" w:type="pct"/>
            <w:shd w:val="clear" w:color="auto" w:fill="365F91"/>
          </w:tcPr>
          <w:p w14:paraId="4D1DAF3A" w14:textId="77777777" w:rsidR="007D1EDC" w:rsidRPr="007D1EDC" w:rsidRDefault="007D1EDC" w:rsidP="007D1EDC">
            <w:pPr>
              <w:widowControl w:val="0"/>
              <w:autoSpaceDE w:val="0"/>
              <w:autoSpaceDN w:val="0"/>
              <w:rPr>
                <w:rFonts w:ascii="Arial Narrow" w:eastAsia="Calibri" w:hAnsi="Arial Narrow" w:cs="Calibri"/>
                <w:b/>
                <w:color w:val="FFFFFF"/>
                <w:sz w:val="20"/>
                <w:szCs w:val="20"/>
              </w:rPr>
            </w:pPr>
            <w:r w:rsidRPr="007D1EDC">
              <w:rPr>
                <w:rFonts w:ascii="Arial Narrow" w:eastAsia="Calibri" w:hAnsi="Arial Narrow" w:cs="Calibri"/>
                <w:b/>
                <w:color w:val="FFFFFF"/>
                <w:sz w:val="20"/>
                <w:szCs w:val="20"/>
              </w:rPr>
              <w:t>Parametri</w:t>
            </w:r>
          </w:p>
        </w:tc>
        <w:tc>
          <w:tcPr>
            <w:tcW w:w="598" w:type="pct"/>
            <w:shd w:val="clear" w:color="auto" w:fill="365F91"/>
          </w:tcPr>
          <w:p w14:paraId="06D82A47" w14:textId="77777777" w:rsidR="007D1EDC" w:rsidRPr="007D1EDC" w:rsidRDefault="007D1EDC" w:rsidP="007D1EDC">
            <w:pPr>
              <w:widowControl w:val="0"/>
              <w:autoSpaceDE w:val="0"/>
              <w:autoSpaceDN w:val="0"/>
              <w:jc w:val="center"/>
              <w:rPr>
                <w:rFonts w:ascii="Arial Narrow" w:eastAsia="Calibri" w:hAnsi="Arial Narrow" w:cs="Calibri"/>
                <w:b/>
                <w:color w:val="FFFFFF"/>
                <w:sz w:val="20"/>
                <w:szCs w:val="20"/>
              </w:rPr>
            </w:pPr>
            <w:r w:rsidRPr="007D1EDC">
              <w:rPr>
                <w:rFonts w:ascii="Arial Narrow" w:eastAsia="Calibri" w:hAnsi="Arial Narrow" w:cs="Calibri"/>
                <w:b/>
                <w:color w:val="FFFFFF"/>
                <w:sz w:val="20"/>
                <w:szCs w:val="20"/>
              </w:rPr>
              <w:t>Pejë</w:t>
            </w:r>
          </w:p>
        </w:tc>
        <w:tc>
          <w:tcPr>
            <w:tcW w:w="641" w:type="pct"/>
            <w:shd w:val="clear" w:color="auto" w:fill="365F91"/>
          </w:tcPr>
          <w:p w14:paraId="2DDA8FFB" w14:textId="77777777" w:rsidR="007D1EDC" w:rsidRPr="007D1EDC" w:rsidRDefault="007D1EDC" w:rsidP="007D1EDC">
            <w:pPr>
              <w:widowControl w:val="0"/>
              <w:autoSpaceDE w:val="0"/>
              <w:autoSpaceDN w:val="0"/>
              <w:jc w:val="center"/>
              <w:rPr>
                <w:rFonts w:ascii="Arial Narrow" w:eastAsia="Calibri" w:hAnsi="Arial Narrow" w:cs="Calibri"/>
                <w:b/>
                <w:color w:val="FFFFFF"/>
                <w:sz w:val="20"/>
                <w:szCs w:val="20"/>
              </w:rPr>
            </w:pPr>
            <w:r w:rsidRPr="007D1EDC">
              <w:rPr>
                <w:rFonts w:ascii="Arial Narrow" w:eastAsia="Calibri" w:hAnsi="Arial Narrow" w:cs="Calibri"/>
                <w:b/>
                <w:color w:val="FFFFFF"/>
                <w:sz w:val="20"/>
                <w:szCs w:val="20"/>
              </w:rPr>
              <w:t>Istog</w:t>
            </w:r>
            <w:r w:rsidRPr="007D1EDC">
              <w:rPr>
                <w:rFonts w:ascii="Arial Narrow" w:eastAsia="Calibri" w:hAnsi="Arial Narrow" w:cs="Calibri"/>
                <w:b/>
                <w:color w:val="4472C4" w:themeColor="accent1"/>
                <w:position w:val="6"/>
                <w:sz w:val="20"/>
                <w:szCs w:val="20"/>
              </w:rPr>
              <w:footnoteReference w:id="46"/>
            </w:r>
          </w:p>
        </w:tc>
        <w:tc>
          <w:tcPr>
            <w:tcW w:w="608" w:type="pct"/>
            <w:shd w:val="clear" w:color="auto" w:fill="365F91"/>
          </w:tcPr>
          <w:p w14:paraId="34D24DC7" w14:textId="3B7B4556" w:rsidR="007D1EDC" w:rsidRPr="007D1EDC" w:rsidRDefault="007D1EDC" w:rsidP="007D1EDC">
            <w:pPr>
              <w:widowControl w:val="0"/>
              <w:autoSpaceDE w:val="0"/>
              <w:autoSpaceDN w:val="0"/>
              <w:jc w:val="center"/>
              <w:rPr>
                <w:rFonts w:ascii="Arial Narrow" w:eastAsia="Calibri" w:hAnsi="Arial Narrow" w:cs="Calibri"/>
                <w:b/>
                <w:color w:val="FFFFFF"/>
                <w:sz w:val="20"/>
                <w:szCs w:val="20"/>
              </w:rPr>
            </w:pPr>
            <w:r w:rsidRPr="007D1EDC">
              <w:rPr>
                <w:rFonts w:ascii="Arial Narrow" w:eastAsia="Calibri" w:hAnsi="Arial Narrow" w:cs="Calibri"/>
                <w:b/>
                <w:color w:val="FFFFFF"/>
                <w:sz w:val="20"/>
                <w:szCs w:val="20"/>
              </w:rPr>
              <w:t>Klin</w:t>
            </w:r>
            <w:r w:rsidR="00967734">
              <w:rPr>
                <w:rFonts w:ascii="Arial Narrow" w:eastAsia="Calibri" w:hAnsi="Arial Narrow" w:cs="Calibri"/>
                <w:b/>
                <w:color w:val="FFFFFF"/>
                <w:sz w:val="20"/>
                <w:szCs w:val="20"/>
              </w:rPr>
              <w:t>ë</w:t>
            </w:r>
          </w:p>
        </w:tc>
        <w:tc>
          <w:tcPr>
            <w:tcW w:w="598" w:type="pct"/>
            <w:shd w:val="clear" w:color="auto" w:fill="365F91"/>
          </w:tcPr>
          <w:p w14:paraId="02FE8A9D" w14:textId="765FCB3B" w:rsidR="007D1EDC" w:rsidRPr="007D1EDC" w:rsidRDefault="007D1EDC" w:rsidP="007D1EDC">
            <w:pPr>
              <w:widowControl w:val="0"/>
              <w:autoSpaceDE w:val="0"/>
              <w:autoSpaceDN w:val="0"/>
              <w:jc w:val="center"/>
              <w:rPr>
                <w:rFonts w:ascii="Arial Narrow" w:eastAsia="Calibri" w:hAnsi="Arial Narrow" w:cs="Calibri"/>
                <w:b/>
                <w:color w:val="FFFFFF"/>
                <w:sz w:val="20"/>
                <w:szCs w:val="20"/>
              </w:rPr>
            </w:pPr>
            <w:r w:rsidRPr="007D1EDC">
              <w:rPr>
                <w:rFonts w:ascii="Arial Narrow" w:eastAsia="Calibri" w:hAnsi="Arial Narrow" w:cs="Calibri"/>
                <w:b/>
                <w:color w:val="FFFFFF"/>
                <w:sz w:val="20"/>
                <w:szCs w:val="20"/>
              </w:rPr>
              <w:t>De</w:t>
            </w:r>
            <w:r w:rsidR="00967734">
              <w:rPr>
                <w:rFonts w:ascii="Arial Narrow" w:eastAsia="Calibri" w:hAnsi="Arial Narrow" w:cs="Calibri"/>
                <w:b/>
                <w:color w:val="FFFFFF"/>
                <w:sz w:val="20"/>
                <w:szCs w:val="20"/>
              </w:rPr>
              <w:t>ç</w:t>
            </w:r>
            <w:r w:rsidRPr="007D1EDC">
              <w:rPr>
                <w:rFonts w:ascii="Arial Narrow" w:eastAsia="Calibri" w:hAnsi="Arial Narrow" w:cs="Calibri"/>
                <w:b/>
                <w:color w:val="FFFFFF"/>
                <w:sz w:val="20"/>
                <w:szCs w:val="20"/>
              </w:rPr>
              <w:t>an</w:t>
            </w:r>
            <w:r w:rsidRPr="007D1EDC">
              <w:rPr>
                <w:rFonts w:ascii="Arial Narrow" w:eastAsia="Calibri" w:hAnsi="Arial Narrow" w:cs="Calibri"/>
                <w:b/>
                <w:color w:val="4472C4" w:themeColor="accent1"/>
                <w:position w:val="6"/>
                <w:sz w:val="20"/>
                <w:szCs w:val="20"/>
              </w:rPr>
              <w:footnoteReference w:id="47"/>
            </w:r>
          </w:p>
        </w:tc>
        <w:tc>
          <w:tcPr>
            <w:tcW w:w="561" w:type="pct"/>
            <w:shd w:val="clear" w:color="auto" w:fill="365F91"/>
          </w:tcPr>
          <w:p w14:paraId="7A1848CD" w14:textId="77777777" w:rsidR="007D1EDC" w:rsidRPr="007D1EDC" w:rsidRDefault="007D1EDC" w:rsidP="007D1EDC">
            <w:pPr>
              <w:widowControl w:val="0"/>
              <w:autoSpaceDE w:val="0"/>
              <w:autoSpaceDN w:val="0"/>
              <w:jc w:val="center"/>
              <w:rPr>
                <w:rFonts w:ascii="Arial Narrow" w:eastAsia="Calibri" w:hAnsi="Arial Narrow" w:cs="Calibri"/>
                <w:b/>
                <w:color w:val="FFFFFF"/>
                <w:sz w:val="20"/>
                <w:szCs w:val="20"/>
              </w:rPr>
            </w:pPr>
            <w:r w:rsidRPr="007D1EDC">
              <w:rPr>
                <w:rFonts w:ascii="Arial Narrow" w:eastAsia="Calibri" w:hAnsi="Arial Narrow" w:cs="Calibri"/>
                <w:b/>
                <w:color w:val="FFFFFF"/>
                <w:sz w:val="20"/>
                <w:szCs w:val="20"/>
              </w:rPr>
              <w:t>Junik</w:t>
            </w:r>
            <w:r w:rsidRPr="007D1EDC">
              <w:rPr>
                <w:rFonts w:ascii="Arial Narrow" w:eastAsia="Calibri" w:hAnsi="Arial Narrow" w:cs="Calibri"/>
                <w:b/>
                <w:color w:val="4472C4" w:themeColor="accent1"/>
                <w:position w:val="6"/>
                <w:sz w:val="20"/>
                <w:szCs w:val="20"/>
              </w:rPr>
              <w:footnoteReference w:id="48"/>
            </w:r>
          </w:p>
        </w:tc>
      </w:tr>
      <w:tr w:rsidR="00967734" w:rsidRPr="007D1EDC" w14:paraId="5E68E0DD" w14:textId="77777777" w:rsidTr="00D03949">
        <w:trPr>
          <w:tblHeader/>
        </w:trPr>
        <w:tc>
          <w:tcPr>
            <w:tcW w:w="1994" w:type="pct"/>
          </w:tcPr>
          <w:p w14:paraId="79A8347C" w14:textId="025D2CAD" w:rsidR="00967734" w:rsidRPr="00967734" w:rsidRDefault="00967734" w:rsidP="00967734">
            <w:pPr>
              <w:widowControl w:val="0"/>
              <w:autoSpaceDE w:val="0"/>
              <w:autoSpaceDN w:val="0"/>
              <w:ind w:right="123"/>
              <w:rPr>
                <w:rFonts w:ascii="Arial Narrow" w:eastAsia="Calibri" w:hAnsi="Arial Narrow" w:cs="Calibri"/>
                <w:sz w:val="20"/>
                <w:szCs w:val="20"/>
              </w:rPr>
            </w:pPr>
            <w:r w:rsidRPr="00967734">
              <w:rPr>
                <w:rFonts w:ascii="Arial Narrow" w:eastAsia="Calibri" w:hAnsi="Arial Narrow" w:cs="Calibri"/>
                <w:sz w:val="20"/>
                <w:szCs w:val="20"/>
              </w:rPr>
              <w:t xml:space="preserve">Kontejnerë 1.1 </w:t>
            </w:r>
            <w:r w:rsidRPr="00967734">
              <w:rPr>
                <w:rFonts w:ascii="Arial Narrow" w:hAnsi="Arial Narrow" w:cs="Calibri"/>
                <w:sz w:val="20"/>
                <w:szCs w:val="20"/>
                <w:lang w:val="sq-AL" w:eastAsia="bg-BG"/>
              </w:rPr>
              <w:t>m³ të instaluar</w:t>
            </w:r>
            <w:r w:rsidRPr="00967734">
              <w:rPr>
                <w:rFonts w:ascii="Arial Narrow" w:eastAsia="Calibri" w:hAnsi="Arial Narrow" w:cs="Calibri"/>
                <w:sz w:val="20"/>
                <w:szCs w:val="20"/>
              </w:rPr>
              <w:t xml:space="preserve"> </w:t>
            </w:r>
          </w:p>
        </w:tc>
        <w:tc>
          <w:tcPr>
            <w:tcW w:w="598" w:type="pct"/>
          </w:tcPr>
          <w:p w14:paraId="44F27521"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763</w:t>
            </w:r>
          </w:p>
        </w:tc>
        <w:tc>
          <w:tcPr>
            <w:tcW w:w="641" w:type="pct"/>
          </w:tcPr>
          <w:p w14:paraId="24844509"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54</w:t>
            </w:r>
          </w:p>
        </w:tc>
        <w:tc>
          <w:tcPr>
            <w:tcW w:w="608" w:type="pct"/>
          </w:tcPr>
          <w:p w14:paraId="01594024"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40</w:t>
            </w:r>
          </w:p>
        </w:tc>
        <w:tc>
          <w:tcPr>
            <w:tcW w:w="598" w:type="pct"/>
          </w:tcPr>
          <w:p w14:paraId="57FE5EB2"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24</w:t>
            </w:r>
          </w:p>
        </w:tc>
        <w:tc>
          <w:tcPr>
            <w:tcW w:w="561" w:type="pct"/>
          </w:tcPr>
          <w:p w14:paraId="5483C6A7"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w:t>
            </w:r>
          </w:p>
        </w:tc>
      </w:tr>
      <w:tr w:rsidR="00967734" w:rsidRPr="007D1EDC" w14:paraId="69D778E9" w14:textId="77777777" w:rsidTr="00D03949">
        <w:trPr>
          <w:tblHeader/>
        </w:trPr>
        <w:tc>
          <w:tcPr>
            <w:tcW w:w="1994" w:type="pct"/>
          </w:tcPr>
          <w:p w14:paraId="78876336" w14:textId="2B515BAA" w:rsidR="00967734" w:rsidRPr="00967734" w:rsidRDefault="00967734" w:rsidP="00967734">
            <w:pPr>
              <w:widowControl w:val="0"/>
              <w:autoSpaceDE w:val="0"/>
              <w:autoSpaceDN w:val="0"/>
              <w:ind w:right="123"/>
              <w:rPr>
                <w:rFonts w:ascii="Arial Narrow" w:eastAsia="Calibri" w:hAnsi="Arial Narrow" w:cs="Calibri"/>
                <w:sz w:val="20"/>
                <w:szCs w:val="20"/>
              </w:rPr>
            </w:pPr>
            <w:r w:rsidRPr="00967734">
              <w:rPr>
                <w:rFonts w:ascii="Arial Narrow" w:eastAsia="Calibri" w:hAnsi="Arial Narrow" w:cs="Calibri"/>
                <w:sz w:val="20"/>
                <w:szCs w:val="20"/>
              </w:rPr>
              <w:t xml:space="preserve">Kontejnerë 1.1 </w:t>
            </w:r>
            <w:r w:rsidRPr="00967734">
              <w:rPr>
                <w:rFonts w:ascii="Arial Narrow" w:hAnsi="Arial Narrow" w:cs="Calibri"/>
                <w:sz w:val="20"/>
                <w:szCs w:val="20"/>
                <w:lang w:val="sq-AL" w:eastAsia="bg-BG"/>
              </w:rPr>
              <w:t>m³ të blerë</w:t>
            </w:r>
          </w:p>
        </w:tc>
        <w:tc>
          <w:tcPr>
            <w:tcW w:w="598" w:type="pct"/>
          </w:tcPr>
          <w:p w14:paraId="7CF60227"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801</w:t>
            </w:r>
          </w:p>
        </w:tc>
        <w:tc>
          <w:tcPr>
            <w:tcW w:w="641" w:type="pct"/>
          </w:tcPr>
          <w:p w14:paraId="04BD95F9"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57</w:t>
            </w:r>
          </w:p>
        </w:tc>
        <w:tc>
          <w:tcPr>
            <w:tcW w:w="608" w:type="pct"/>
          </w:tcPr>
          <w:p w14:paraId="782F120C"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42</w:t>
            </w:r>
          </w:p>
        </w:tc>
        <w:tc>
          <w:tcPr>
            <w:tcW w:w="598" w:type="pct"/>
          </w:tcPr>
          <w:p w14:paraId="40D45716"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25</w:t>
            </w:r>
          </w:p>
        </w:tc>
        <w:tc>
          <w:tcPr>
            <w:tcW w:w="561" w:type="pct"/>
          </w:tcPr>
          <w:p w14:paraId="2D1DC33B"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w:t>
            </w:r>
          </w:p>
        </w:tc>
      </w:tr>
      <w:tr w:rsidR="00967734" w:rsidRPr="007D1EDC" w14:paraId="491E7BE9" w14:textId="77777777" w:rsidTr="00D03949">
        <w:trPr>
          <w:tblHeader/>
        </w:trPr>
        <w:tc>
          <w:tcPr>
            <w:tcW w:w="1994" w:type="pct"/>
          </w:tcPr>
          <w:p w14:paraId="0A46719E" w14:textId="20EA13D3" w:rsidR="00967734" w:rsidRPr="00967734" w:rsidRDefault="00967734" w:rsidP="00967734">
            <w:pPr>
              <w:widowControl w:val="0"/>
              <w:autoSpaceDE w:val="0"/>
              <w:autoSpaceDN w:val="0"/>
              <w:ind w:right="125"/>
              <w:rPr>
                <w:rFonts w:ascii="Arial Narrow" w:eastAsia="Calibri" w:hAnsi="Arial Narrow" w:cs="Calibri"/>
                <w:sz w:val="20"/>
                <w:szCs w:val="20"/>
              </w:rPr>
            </w:pPr>
            <w:r w:rsidRPr="00967734">
              <w:rPr>
                <w:rFonts w:ascii="Arial Narrow" w:eastAsia="Calibri" w:hAnsi="Arial Narrow" w:cs="Calibri"/>
                <w:sz w:val="20"/>
                <w:szCs w:val="20"/>
              </w:rPr>
              <w:t>Shporta 240 l të instaluara</w:t>
            </w:r>
          </w:p>
        </w:tc>
        <w:tc>
          <w:tcPr>
            <w:tcW w:w="598" w:type="pct"/>
          </w:tcPr>
          <w:p w14:paraId="4B816E40"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12,307</w:t>
            </w:r>
          </w:p>
        </w:tc>
        <w:tc>
          <w:tcPr>
            <w:tcW w:w="641" w:type="pct"/>
          </w:tcPr>
          <w:p w14:paraId="3F6F5B67"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6,743</w:t>
            </w:r>
          </w:p>
        </w:tc>
        <w:tc>
          <w:tcPr>
            <w:tcW w:w="608" w:type="pct"/>
          </w:tcPr>
          <w:p w14:paraId="2E124334"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4,439</w:t>
            </w:r>
          </w:p>
        </w:tc>
        <w:tc>
          <w:tcPr>
            <w:tcW w:w="598" w:type="pct"/>
          </w:tcPr>
          <w:p w14:paraId="0DA8F1FE"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4,315</w:t>
            </w:r>
          </w:p>
        </w:tc>
        <w:tc>
          <w:tcPr>
            <w:tcW w:w="561" w:type="pct"/>
          </w:tcPr>
          <w:p w14:paraId="2558576B"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584</w:t>
            </w:r>
          </w:p>
        </w:tc>
      </w:tr>
      <w:tr w:rsidR="00967734" w:rsidRPr="007D1EDC" w14:paraId="2809DB13" w14:textId="77777777" w:rsidTr="00D03949">
        <w:trPr>
          <w:tblHeader/>
        </w:trPr>
        <w:tc>
          <w:tcPr>
            <w:tcW w:w="1994" w:type="pct"/>
          </w:tcPr>
          <w:p w14:paraId="318483E5" w14:textId="65E4D91A" w:rsidR="00967734" w:rsidRPr="00967734" w:rsidRDefault="00967734" w:rsidP="00967734">
            <w:pPr>
              <w:widowControl w:val="0"/>
              <w:autoSpaceDE w:val="0"/>
              <w:autoSpaceDN w:val="0"/>
              <w:ind w:right="123"/>
              <w:rPr>
                <w:rFonts w:ascii="Arial Narrow" w:eastAsia="Calibri" w:hAnsi="Arial Narrow" w:cs="Calibri"/>
                <w:sz w:val="20"/>
                <w:szCs w:val="20"/>
              </w:rPr>
            </w:pPr>
            <w:r w:rsidRPr="00967734">
              <w:rPr>
                <w:rFonts w:ascii="Arial Narrow" w:eastAsia="Calibri" w:hAnsi="Arial Narrow" w:cs="Calibri"/>
                <w:sz w:val="20"/>
                <w:szCs w:val="20"/>
              </w:rPr>
              <w:t>Shporta 240 l të blera</w:t>
            </w:r>
          </w:p>
        </w:tc>
        <w:tc>
          <w:tcPr>
            <w:tcW w:w="598" w:type="pct"/>
          </w:tcPr>
          <w:p w14:paraId="43C4B165"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12,922</w:t>
            </w:r>
          </w:p>
        </w:tc>
        <w:tc>
          <w:tcPr>
            <w:tcW w:w="641" w:type="pct"/>
          </w:tcPr>
          <w:p w14:paraId="6BD65B49"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7,080</w:t>
            </w:r>
          </w:p>
        </w:tc>
        <w:tc>
          <w:tcPr>
            <w:tcW w:w="608" w:type="pct"/>
          </w:tcPr>
          <w:p w14:paraId="1978F96E"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4,661</w:t>
            </w:r>
          </w:p>
        </w:tc>
        <w:tc>
          <w:tcPr>
            <w:tcW w:w="598" w:type="pct"/>
          </w:tcPr>
          <w:p w14:paraId="5105B8D1"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4,531</w:t>
            </w:r>
          </w:p>
        </w:tc>
        <w:tc>
          <w:tcPr>
            <w:tcW w:w="561" w:type="pct"/>
          </w:tcPr>
          <w:p w14:paraId="63900B2E"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613</w:t>
            </w:r>
          </w:p>
        </w:tc>
      </w:tr>
      <w:tr w:rsidR="00967734" w:rsidRPr="007D1EDC" w14:paraId="05DB60AE" w14:textId="77777777" w:rsidTr="00D03949">
        <w:trPr>
          <w:tblHeader/>
        </w:trPr>
        <w:tc>
          <w:tcPr>
            <w:tcW w:w="1994" w:type="pct"/>
          </w:tcPr>
          <w:p w14:paraId="1D2628F1" w14:textId="4CE292B8" w:rsidR="00967734" w:rsidRPr="00967734" w:rsidRDefault="00967734" w:rsidP="00967734">
            <w:pPr>
              <w:widowControl w:val="0"/>
              <w:autoSpaceDE w:val="0"/>
              <w:autoSpaceDN w:val="0"/>
              <w:ind w:right="123"/>
              <w:rPr>
                <w:rFonts w:ascii="Arial Narrow" w:eastAsia="Calibri" w:hAnsi="Arial Narrow" w:cs="Calibri"/>
                <w:sz w:val="20"/>
                <w:szCs w:val="20"/>
              </w:rPr>
            </w:pPr>
            <w:r w:rsidRPr="00967734">
              <w:rPr>
                <w:rFonts w:ascii="Arial Narrow" w:eastAsia="Calibri" w:hAnsi="Arial Narrow" w:cs="Calibri"/>
                <w:sz w:val="20"/>
                <w:szCs w:val="20"/>
              </w:rPr>
              <w:t xml:space="preserve">Automjete grumbullimi 16 </w:t>
            </w:r>
            <w:r w:rsidRPr="00967734">
              <w:rPr>
                <w:rFonts w:ascii="Arial Narrow" w:hAnsi="Arial Narrow" w:cs="Calibri"/>
                <w:sz w:val="20"/>
                <w:szCs w:val="20"/>
                <w:lang w:val="sq-AL" w:eastAsia="bg-BG"/>
              </w:rPr>
              <w:t>m³</w:t>
            </w:r>
            <w:r w:rsidRPr="00967734">
              <w:rPr>
                <w:rFonts w:ascii="Arial Narrow" w:eastAsia="Calibri" w:hAnsi="Arial Narrow" w:cs="Calibri"/>
                <w:sz w:val="20"/>
                <w:szCs w:val="20"/>
              </w:rPr>
              <w:t xml:space="preserve"> që operojnë në zonat urbane</w:t>
            </w:r>
          </w:p>
        </w:tc>
        <w:tc>
          <w:tcPr>
            <w:tcW w:w="598" w:type="pct"/>
          </w:tcPr>
          <w:p w14:paraId="5BFD7280"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3.8</w:t>
            </w:r>
          </w:p>
        </w:tc>
        <w:tc>
          <w:tcPr>
            <w:tcW w:w="641" w:type="pct"/>
          </w:tcPr>
          <w:p w14:paraId="251E873F"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0.2</w:t>
            </w:r>
          </w:p>
        </w:tc>
        <w:tc>
          <w:tcPr>
            <w:tcW w:w="608" w:type="pct"/>
          </w:tcPr>
          <w:p w14:paraId="1F374133"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0.2</w:t>
            </w:r>
          </w:p>
        </w:tc>
        <w:tc>
          <w:tcPr>
            <w:tcW w:w="598" w:type="pct"/>
          </w:tcPr>
          <w:p w14:paraId="25CCF5AE"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0.1</w:t>
            </w:r>
          </w:p>
        </w:tc>
        <w:tc>
          <w:tcPr>
            <w:tcW w:w="561" w:type="pct"/>
          </w:tcPr>
          <w:p w14:paraId="42F9D7DF"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w:t>
            </w:r>
          </w:p>
        </w:tc>
      </w:tr>
      <w:tr w:rsidR="00967734" w:rsidRPr="007D1EDC" w14:paraId="182FBE72" w14:textId="77777777" w:rsidTr="00D03949">
        <w:trPr>
          <w:tblHeader/>
        </w:trPr>
        <w:tc>
          <w:tcPr>
            <w:tcW w:w="1994" w:type="pct"/>
          </w:tcPr>
          <w:p w14:paraId="4C189E72" w14:textId="0BE5D9BB" w:rsidR="00967734" w:rsidRPr="00967734" w:rsidRDefault="00967734" w:rsidP="00967734">
            <w:pPr>
              <w:widowControl w:val="0"/>
              <w:autoSpaceDE w:val="0"/>
              <w:autoSpaceDN w:val="0"/>
              <w:ind w:right="123"/>
              <w:rPr>
                <w:rFonts w:ascii="Arial Narrow" w:eastAsia="Calibri" w:hAnsi="Arial Narrow" w:cs="Calibri"/>
                <w:sz w:val="20"/>
                <w:szCs w:val="20"/>
              </w:rPr>
            </w:pPr>
            <w:r w:rsidRPr="00967734">
              <w:rPr>
                <w:rFonts w:ascii="Arial Narrow" w:eastAsia="Calibri" w:hAnsi="Arial Narrow" w:cs="Calibri"/>
                <w:sz w:val="20"/>
                <w:szCs w:val="20"/>
              </w:rPr>
              <w:t xml:space="preserve">Automjete grumbullimi 16 </w:t>
            </w:r>
            <w:r w:rsidRPr="00967734">
              <w:rPr>
                <w:rFonts w:ascii="Arial Narrow" w:hAnsi="Arial Narrow" w:cs="Calibri"/>
                <w:sz w:val="20"/>
                <w:szCs w:val="20"/>
                <w:lang w:val="sq-AL" w:eastAsia="bg-BG"/>
              </w:rPr>
              <w:t>m³</w:t>
            </w:r>
            <w:r w:rsidRPr="00967734">
              <w:rPr>
                <w:rFonts w:ascii="Arial Narrow" w:eastAsia="Calibri" w:hAnsi="Arial Narrow" w:cs="Calibri"/>
                <w:sz w:val="20"/>
                <w:szCs w:val="20"/>
              </w:rPr>
              <w:t xml:space="preserve"> që operojnë në zonat rurale</w:t>
            </w:r>
          </w:p>
        </w:tc>
        <w:tc>
          <w:tcPr>
            <w:tcW w:w="598" w:type="pct"/>
          </w:tcPr>
          <w:p w14:paraId="67834DD5"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7.6</w:t>
            </w:r>
          </w:p>
        </w:tc>
        <w:tc>
          <w:tcPr>
            <w:tcW w:w="641" w:type="pct"/>
          </w:tcPr>
          <w:p w14:paraId="334DDD17"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3.3</w:t>
            </w:r>
          </w:p>
        </w:tc>
        <w:tc>
          <w:tcPr>
            <w:tcW w:w="608" w:type="pct"/>
          </w:tcPr>
          <w:p w14:paraId="4D2786BC"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3,9</w:t>
            </w:r>
          </w:p>
        </w:tc>
        <w:tc>
          <w:tcPr>
            <w:tcW w:w="598" w:type="pct"/>
          </w:tcPr>
          <w:p w14:paraId="0068A9CD"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2.1</w:t>
            </w:r>
          </w:p>
        </w:tc>
        <w:tc>
          <w:tcPr>
            <w:tcW w:w="561" w:type="pct"/>
          </w:tcPr>
          <w:p w14:paraId="4A46C63C"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0.3</w:t>
            </w:r>
          </w:p>
        </w:tc>
      </w:tr>
      <w:tr w:rsidR="00967734" w:rsidRPr="007D1EDC" w14:paraId="30A8CD2F" w14:textId="77777777" w:rsidTr="00D03949">
        <w:trPr>
          <w:tblHeader/>
        </w:trPr>
        <w:tc>
          <w:tcPr>
            <w:tcW w:w="1994" w:type="pct"/>
          </w:tcPr>
          <w:p w14:paraId="7AA9EAAF" w14:textId="7499DD59" w:rsidR="00967734" w:rsidRPr="00967734" w:rsidRDefault="00967734" w:rsidP="00967734">
            <w:pPr>
              <w:widowControl w:val="0"/>
              <w:autoSpaceDE w:val="0"/>
              <w:autoSpaceDN w:val="0"/>
              <w:ind w:right="123"/>
              <w:rPr>
                <w:rFonts w:ascii="Arial Narrow" w:eastAsia="Calibri" w:hAnsi="Arial Narrow" w:cs="Calibri"/>
                <w:sz w:val="20"/>
                <w:szCs w:val="20"/>
              </w:rPr>
            </w:pPr>
            <w:r w:rsidRPr="00967734">
              <w:rPr>
                <w:rFonts w:ascii="Arial Narrow" w:eastAsia="Calibri" w:hAnsi="Arial Narrow" w:cs="Calibri"/>
                <w:sz w:val="20"/>
                <w:szCs w:val="20"/>
              </w:rPr>
              <w:t xml:space="preserve">Automjete grumbullimi 16 </w:t>
            </w:r>
            <w:r w:rsidRPr="00967734">
              <w:rPr>
                <w:rFonts w:ascii="Arial Narrow" w:hAnsi="Arial Narrow" w:cs="Calibri"/>
                <w:sz w:val="20"/>
                <w:szCs w:val="20"/>
                <w:lang w:val="sq-AL" w:eastAsia="bg-BG"/>
              </w:rPr>
              <w:t>m³ të blera</w:t>
            </w:r>
          </w:p>
        </w:tc>
        <w:tc>
          <w:tcPr>
            <w:tcW w:w="598" w:type="pct"/>
          </w:tcPr>
          <w:p w14:paraId="639D4285"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12</w:t>
            </w:r>
          </w:p>
        </w:tc>
        <w:tc>
          <w:tcPr>
            <w:tcW w:w="641" w:type="pct"/>
          </w:tcPr>
          <w:p w14:paraId="230DC767"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4</w:t>
            </w:r>
          </w:p>
        </w:tc>
        <w:tc>
          <w:tcPr>
            <w:tcW w:w="608" w:type="pct"/>
          </w:tcPr>
          <w:p w14:paraId="62A78126"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5</w:t>
            </w:r>
          </w:p>
        </w:tc>
        <w:tc>
          <w:tcPr>
            <w:tcW w:w="598" w:type="pct"/>
          </w:tcPr>
          <w:p w14:paraId="4F127AA0"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3</w:t>
            </w:r>
          </w:p>
        </w:tc>
        <w:tc>
          <w:tcPr>
            <w:tcW w:w="561" w:type="pct"/>
          </w:tcPr>
          <w:p w14:paraId="12F73494" w14:textId="77777777" w:rsidR="00967734" w:rsidRPr="007D1EDC" w:rsidRDefault="00967734" w:rsidP="00967734">
            <w:pPr>
              <w:widowControl w:val="0"/>
              <w:autoSpaceDE w:val="0"/>
              <w:autoSpaceDN w:val="0"/>
              <w:ind w:right="123"/>
              <w:jc w:val="center"/>
              <w:rPr>
                <w:rFonts w:ascii="Arial Narrow" w:eastAsia="Calibri" w:hAnsi="Arial Narrow" w:cs="Calibri"/>
                <w:sz w:val="20"/>
                <w:szCs w:val="20"/>
              </w:rPr>
            </w:pPr>
            <w:r w:rsidRPr="007D1EDC">
              <w:rPr>
                <w:rFonts w:ascii="Arial Narrow" w:eastAsia="Calibri" w:hAnsi="Arial Narrow" w:cs="Calibri"/>
                <w:sz w:val="20"/>
                <w:szCs w:val="20"/>
              </w:rPr>
              <w:t>-</w:t>
            </w:r>
          </w:p>
        </w:tc>
      </w:tr>
    </w:tbl>
    <w:p w14:paraId="56D45F7C" w14:textId="77777777" w:rsidR="007D1EDC" w:rsidRDefault="007D1EDC" w:rsidP="007D1EDC">
      <w:pPr>
        <w:rPr>
          <w:rFonts w:ascii="Arial Narrow" w:eastAsia="Calibri" w:hAnsi="Arial Narrow"/>
          <w:sz w:val="20"/>
        </w:rPr>
      </w:pPr>
    </w:p>
    <w:p w14:paraId="7A85795B" w14:textId="77777777" w:rsidR="00967734" w:rsidRDefault="00967734" w:rsidP="007D1EDC">
      <w:pPr>
        <w:rPr>
          <w:rFonts w:ascii="Arial Narrow" w:eastAsia="Calibri" w:hAnsi="Arial Narrow"/>
          <w:sz w:val="20"/>
        </w:rPr>
      </w:pPr>
    </w:p>
    <w:p w14:paraId="6B4AFD31" w14:textId="77777777" w:rsidR="00967734" w:rsidRDefault="00967734" w:rsidP="007D1EDC">
      <w:pPr>
        <w:rPr>
          <w:rFonts w:ascii="Arial Narrow" w:eastAsia="Calibri" w:hAnsi="Arial Narrow"/>
          <w:sz w:val="20"/>
        </w:rPr>
      </w:pPr>
    </w:p>
    <w:p w14:paraId="65D15ABE" w14:textId="77777777" w:rsidR="006C3E6F" w:rsidRDefault="006C3E6F" w:rsidP="007D1EDC">
      <w:pPr>
        <w:rPr>
          <w:rFonts w:ascii="Arial Narrow" w:eastAsia="Calibri" w:hAnsi="Arial Narrow"/>
          <w:sz w:val="20"/>
        </w:rPr>
      </w:pPr>
    </w:p>
    <w:p w14:paraId="51F72E75" w14:textId="77777777" w:rsidR="00967734" w:rsidRPr="007D1EDC" w:rsidRDefault="00967734" w:rsidP="007D1EDC">
      <w:pPr>
        <w:rPr>
          <w:rFonts w:ascii="Arial Narrow" w:eastAsia="Calibri" w:hAnsi="Arial Narrow"/>
          <w:sz w:val="20"/>
        </w:rPr>
      </w:pPr>
    </w:p>
    <w:p w14:paraId="2C6008F7" w14:textId="04353A9B" w:rsidR="007D1EDC" w:rsidRPr="007D1EDC" w:rsidRDefault="007D1EDC" w:rsidP="007D1EDC">
      <w:pPr>
        <w:rPr>
          <w:rFonts w:ascii="Arial Narrow" w:eastAsia="Calibri" w:hAnsi="Arial Narrow"/>
          <w:sz w:val="22"/>
          <w:szCs w:val="22"/>
        </w:rPr>
      </w:pPr>
      <w:r w:rsidRPr="007D1EDC">
        <w:rPr>
          <w:rFonts w:ascii="Arial Narrow" w:eastAsia="Calibri" w:hAnsi="Arial Narrow"/>
          <w:sz w:val="22"/>
          <w:szCs w:val="22"/>
        </w:rPr>
        <w:t xml:space="preserve">Distancat nga qendrat komunale deri </w:t>
      </w:r>
      <w:r w:rsidR="00967734">
        <w:rPr>
          <w:rFonts w:ascii="Arial Narrow" w:eastAsia="Calibri" w:hAnsi="Arial Narrow"/>
          <w:sz w:val="22"/>
          <w:szCs w:val="22"/>
        </w:rPr>
        <w:t>në</w:t>
      </w:r>
      <w:r w:rsidRPr="007D1EDC">
        <w:rPr>
          <w:rFonts w:ascii="Arial Narrow" w:eastAsia="Calibri" w:hAnsi="Arial Narrow"/>
          <w:sz w:val="22"/>
          <w:szCs w:val="22"/>
        </w:rPr>
        <w:t xml:space="preserve"> deponi</w:t>
      </w:r>
      <w:r w:rsidR="00967734">
        <w:rPr>
          <w:rFonts w:ascii="Arial Narrow" w:eastAsia="Calibri" w:hAnsi="Arial Narrow"/>
          <w:sz w:val="22"/>
          <w:szCs w:val="22"/>
        </w:rPr>
        <w:t>në</w:t>
      </w:r>
      <w:r w:rsidRPr="007D1EDC">
        <w:rPr>
          <w:rFonts w:ascii="Arial Narrow" w:eastAsia="Calibri" w:hAnsi="Arial Narrow"/>
          <w:sz w:val="22"/>
          <w:szCs w:val="22"/>
        </w:rPr>
        <w:t xml:space="preserve"> rajonale janë si më poshtë:</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803"/>
        <w:gridCol w:w="1803"/>
        <w:gridCol w:w="1803"/>
        <w:gridCol w:w="1803"/>
      </w:tblGrid>
      <w:tr w:rsidR="007D1EDC" w:rsidRPr="007D1EDC" w14:paraId="1CEC9731" w14:textId="77777777" w:rsidTr="00D03949">
        <w:trPr>
          <w:trHeight w:val="179"/>
        </w:trPr>
        <w:tc>
          <w:tcPr>
            <w:tcW w:w="1000" w:type="pct"/>
            <w:shd w:val="clear" w:color="auto" w:fill="365F91"/>
            <w:noWrap/>
            <w:vAlign w:val="center"/>
            <w:hideMark/>
          </w:tcPr>
          <w:p w14:paraId="7B44BB4D" w14:textId="77777777" w:rsidR="007D1EDC" w:rsidRPr="007D1EDC" w:rsidRDefault="007D1EDC" w:rsidP="007D1EDC">
            <w:pPr>
              <w:jc w:val="center"/>
              <w:rPr>
                <w:rFonts w:ascii="Arial Narrow" w:hAnsi="Arial Narrow" w:cs="Calibri"/>
                <w:b/>
                <w:bCs/>
                <w:color w:val="FFFFFF" w:themeColor="background1"/>
                <w:sz w:val="20"/>
                <w:szCs w:val="20"/>
                <w:lang w:val="en-GB" w:eastAsia="en-GB"/>
              </w:rPr>
            </w:pPr>
            <w:proofErr w:type="spellStart"/>
            <w:r w:rsidRPr="007D1EDC">
              <w:rPr>
                <w:rFonts w:ascii="Arial Narrow" w:hAnsi="Arial Narrow" w:cs="Calibri"/>
                <w:b/>
                <w:bCs/>
                <w:color w:val="FFFFFF" w:themeColor="background1"/>
                <w:sz w:val="20"/>
                <w:szCs w:val="20"/>
                <w:lang w:val="en-GB" w:eastAsia="en-GB"/>
              </w:rPr>
              <w:t>Pejë</w:t>
            </w:r>
            <w:proofErr w:type="spellEnd"/>
          </w:p>
        </w:tc>
        <w:tc>
          <w:tcPr>
            <w:tcW w:w="1000" w:type="pct"/>
            <w:shd w:val="clear" w:color="auto" w:fill="365F91"/>
            <w:noWrap/>
            <w:vAlign w:val="center"/>
            <w:hideMark/>
          </w:tcPr>
          <w:p w14:paraId="16D2756E" w14:textId="77777777" w:rsidR="007D1EDC" w:rsidRPr="007D1EDC" w:rsidRDefault="007D1EDC" w:rsidP="007D1EDC">
            <w:pPr>
              <w:jc w:val="center"/>
              <w:rPr>
                <w:rFonts w:ascii="Arial Narrow" w:hAnsi="Arial Narrow" w:cs="Calibri"/>
                <w:b/>
                <w:bCs/>
                <w:color w:val="FFFFFF" w:themeColor="background1"/>
                <w:sz w:val="20"/>
                <w:szCs w:val="20"/>
                <w:lang w:val="en-GB" w:eastAsia="en-GB"/>
              </w:rPr>
            </w:pPr>
            <w:proofErr w:type="spellStart"/>
            <w:r w:rsidRPr="007D1EDC">
              <w:rPr>
                <w:rFonts w:ascii="Arial Narrow" w:hAnsi="Arial Narrow" w:cs="Calibri"/>
                <w:b/>
                <w:bCs/>
                <w:color w:val="FFFFFF" w:themeColor="background1"/>
                <w:sz w:val="20"/>
                <w:szCs w:val="20"/>
                <w:lang w:val="en-GB" w:eastAsia="en-GB"/>
              </w:rPr>
              <w:t>Istog</w:t>
            </w:r>
            <w:proofErr w:type="spellEnd"/>
          </w:p>
        </w:tc>
        <w:tc>
          <w:tcPr>
            <w:tcW w:w="1000" w:type="pct"/>
            <w:shd w:val="clear" w:color="auto" w:fill="365F91"/>
            <w:noWrap/>
            <w:vAlign w:val="center"/>
            <w:hideMark/>
          </w:tcPr>
          <w:p w14:paraId="22EFCB90" w14:textId="2C758E85" w:rsidR="007D1EDC" w:rsidRPr="007D1EDC" w:rsidRDefault="007D1EDC" w:rsidP="007D1EDC">
            <w:pPr>
              <w:jc w:val="center"/>
              <w:rPr>
                <w:rFonts w:ascii="Arial Narrow" w:hAnsi="Arial Narrow" w:cs="Calibri"/>
                <w:b/>
                <w:bCs/>
                <w:color w:val="FFFFFF" w:themeColor="background1"/>
                <w:sz w:val="20"/>
                <w:szCs w:val="20"/>
                <w:lang w:val="en-GB" w:eastAsia="en-GB"/>
              </w:rPr>
            </w:pPr>
            <w:proofErr w:type="spellStart"/>
            <w:r w:rsidRPr="007D1EDC">
              <w:rPr>
                <w:rFonts w:ascii="Arial Narrow" w:hAnsi="Arial Narrow" w:cs="Calibri"/>
                <w:b/>
                <w:bCs/>
                <w:color w:val="FFFFFF" w:themeColor="background1"/>
                <w:sz w:val="20"/>
                <w:szCs w:val="20"/>
                <w:lang w:val="en-GB" w:eastAsia="en-GB"/>
              </w:rPr>
              <w:t>De</w:t>
            </w:r>
            <w:r w:rsidR="00967734">
              <w:rPr>
                <w:rFonts w:ascii="Arial Narrow" w:hAnsi="Arial Narrow" w:cs="Calibri"/>
                <w:b/>
                <w:bCs/>
                <w:color w:val="FFFFFF" w:themeColor="background1"/>
                <w:sz w:val="20"/>
                <w:szCs w:val="20"/>
                <w:lang w:val="en-GB" w:eastAsia="en-GB"/>
              </w:rPr>
              <w:t>ç</w:t>
            </w:r>
            <w:r w:rsidRPr="007D1EDC">
              <w:rPr>
                <w:rFonts w:ascii="Arial Narrow" w:hAnsi="Arial Narrow" w:cs="Calibri"/>
                <w:b/>
                <w:bCs/>
                <w:color w:val="FFFFFF" w:themeColor="background1"/>
                <w:sz w:val="20"/>
                <w:szCs w:val="20"/>
                <w:lang w:val="en-GB" w:eastAsia="en-GB"/>
              </w:rPr>
              <w:t>an</w:t>
            </w:r>
            <w:proofErr w:type="spellEnd"/>
          </w:p>
        </w:tc>
        <w:tc>
          <w:tcPr>
            <w:tcW w:w="1000" w:type="pct"/>
            <w:shd w:val="clear" w:color="auto" w:fill="365F91"/>
            <w:noWrap/>
            <w:vAlign w:val="center"/>
            <w:hideMark/>
          </w:tcPr>
          <w:p w14:paraId="64611B8B" w14:textId="77777777" w:rsidR="007D1EDC" w:rsidRPr="007D1EDC" w:rsidRDefault="007D1EDC" w:rsidP="007D1EDC">
            <w:pPr>
              <w:jc w:val="center"/>
              <w:rPr>
                <w:rFonts w:ascii="Arial Narrow" w:hAnsi="Arial Narrow" w:cs="Calibri"/>
                <w:b/>
                <w:bCs/>
                <w:color w:val="FFFFFF" w:themeColor="background1"/>
                <w:sz w:val="20"/>
                <w:szCs w:val="20"/>
                <w:lang w:val="en-GB" w:eastAsia="en-GB"/>
              </w:rPr>
            </w:pPr>
            <w:proofErr w:type="spellStart"/>
            <w:r w:rsidRPr="007D1EDC">
              <w:rPr>
                <w:rFonts w:ascii="Arial Narrow" w:hAnsi="Arial Narrow" w:cs="Calibri"/>
                <w:b/>
                <w:bCs/>
                <w:color w:val="FFFFFF" w:themeColor="background1"/>
                <w:sz w:val="20"/>
                <w:szCs w:val="20"/>
                <w:lang w:val="en-GB" w:eastAsia="en-GB"/>
              </w:rPr>
              <w:t>Klinë</w:t>
            </w:r>
            <w:proofErr w:type="spellEnd"/>
          </w:p>
        </w:tc>
        <w:tc>
          <w:tcPr>
            <w:tcW w:w="1000" w:type="pct"/>
            <w:shd w:val="clear" w:color="auto" w:fill="365F91"/>
            <w:noWrap/>
            <w:vAlign w:val="center"/>
            <w:hideMark/>
          </w:tcPr>
          <w:p w14:paraId="7C6A813A" w14:textId="77777777" w:rsidR="007D1EDC" w:rsidRPr="007D1EDC" w:rsidRDefault="007D1EDC" w:rsidP="007D1EDC">
            <w:pPr>
              <w:jc w:val="center"/>
              <w:rPr>
                <w:rFonts w:ascii="Arial Narrow" w:hAnsi="Arial Narrow" w:cs="Calibri"/>
                <w:b/>
                <w:bCs/>
                <w:color w:val="FFFFFF" w:themeColor="background1"/>
                <w:sz w:val="20"/>
                <w:szCs w:val="20"/>
                <w:lang w:val="en-GB" w:eastAsia="en-GB"/>
              </w:rPr>
            </w:pPr>
            <w:proofErr w:type="spellStart"/>
            <w:r w:rsidRPr="007D1EDC">
              <w:rPr>
                <w:rFonts w:ascii="Arial Narrow" w:hAnsi="Arial Narrow" w:cs="Calibri"/>
                <w:b/>
                <w:bCs/>
                <w:color w:val="FFFFFF" w:themeColor="background1"/>
                <w:sz w:val="20"/>
                <w:szCs w:val="20"/>
                <w:lang w:val="en-GB" w:eastAsia="en-GB"/>
              </w:rPr>
              <w:t>Junik</w:t>
            </w:r>
            <w:proofErr w:type="spellEnd"/>
          </w:p>
        </w:tc>
      </w:tr>
      <w:tr w:rsidR="007D1EDC" w:rsidRPr="007D1EDC" w14:paraId="1A9C0F2C" w14:textId="77777777" w:rsidTr="00D03949">
        <w:trPr>
          <w:trHeight w:val="125"/>
        </w:trPr>
        <w:tc>
          <w:tcPr>
            <w:tcW w:w="1000" w:type="pct"/>
            <w:shd w:val="clear" w:color="auto" w:fill="auto"/>
            <w:noWrap/>
            <w:vAlign w:val="center"/>
            <w:hideMark/>
          </w:tcPr>
          <w:p w14:paraId="3B70F5DD"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14 km</w:t>
            </w:r>
          </w:p>
        </w:tc>
        <w:tc>
          <w:tcPr>
            <w:tcW w:w="1000" w:type="pct"/>
            <w:shd w:val="clear" w:color="auto" w:fill="auto"/>
            <w:noWrap/>
            <w:vAlign w:val="center"/>
            <w:hideMark/>
          </w:tcPr>
          <w:p w14:paraId="7794E890"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36 km</w:t>
            </w:r>
          </w:p>
        </w:tc>
        <w:tc>
          <w:tcPr>
            <w:tcW w:w="1000" w:type="pct"/>
            <w:shd w:val="clear" w:color="auto" w:fill="auto"/>
            <w:noWrap/>
            <w:vAlign w:val="center"/>
            <w:hideMark/>
          </w:tcPr>
          <w:p w14:paraId="26AACEE1"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27 km</w:t>
            </w:r>
          </w:p>
        </w:tc>
        <w:tc>
          <w:tcPr>
            <w:tcW w:w="1000" w:type="pct"/>
            <w:shd w:val="clear" w:color="auto" w:fill="auto"/>
            <w:noWrap/>
            <w:vAlign w:val="center"/>
            <w:hideMark/>
          </w:tcPr>
          <w:p w14:paraId="01CF5D3E"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20 km</w:t>
            </w:r>
          </w:p>
        </w:tc>
        <w:tc>
          <w:tcPr>
            <w:tcW w:w="1000" w:type="pct"/>
            <w:shd w:val="clear" w:color="auto" w:fill="auto"/>
            <w:noWrap/>
            <w:vAlign w:val="center"/>
            <w:hideMark/>
          </w:tcPr>
          <w:p w14:paraId="0B38BC4A" w14:textId="77777777" w:rsidR="007D1EDC" w:rsidRPr="007D1EDC" w:rsidRDefault="007D1EDC" w:rsidP="007D1EDC">
            <w:pPr>
              <w:jc w:val="cente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37 km</w:t>
            </w:r>
          </w:p>
        </w:tc>
      </w:tr>
    </w:tbl>
    <w:p w14:paraId="6FFEBC80" w14:textId="77777777" w:rsidR="007D1EDC" w:rsidRPr="00967734" w:rsidRDefault="007D1EDC" w:rsidP="007D1EDC">
      <w:pPr>
        <w:rPr>
          <w:rFonts w:ascii="Arial Narrow" w:eastAsia="Calibri" w:hAnsi="Arial Narrow"/>
          <w:sz w:val="20"/>
        </w:rPr>
      </w:pPr>
    </w:p>
    <w:p w14:paraId="2229D26C" w14:textId="77777777" w:rsidR="00967734" w:rsidRPr="00967734" w:rsidRDefault="00967734" w:rsidP="00967734">
      <w:pPr>
        <w:rPr>
          <w:rFonts w:ascii="Arial Narrow" w:eastAsia="Calibri" w:hAnsi="Arial Narrow"/>
          <w:sz w:val="22"/>
          <w:szCs w:val="22"/>
        </w:rPr>
      </w:pPr>
      <w:r w:rsidRPr="00967734">
        <w:rPr>
          <w:rFonts w:ascii="Arial Narrow" w:eastAsia="Calibri" w:hAnsi="Arial Narrow"/>
          <w:sz w:val="22"/>
          <w:szCs w:val="22"/>
        </w:rPr>
        <w:t>Meqenëse sasitë e mbeturinave nuk janë të konsiderueshme, janë planifikuar 2 stacione transferi të mbeturinave për komunën e Istogut dhe të Deçanit (për t'i shërbyer edhe Junikut ).</w:t>
      </w:r>
    </w:p>
    <w:p w14:paraId="397A38ED" w14:textId="77777777" w:rsidR="00967734" w:rsidRPr="00967734" w:rsidRDefault="00967734" w:rsidP="00967734">
      <w:pPr>
        <w:rPr>
          <w:rFonts w:ascii="Arial Narrow" w:eastAsia="Calibri" w:hAnsi="Arial Narrow"/>
          <w:sz w:val="22"/>
          <w:szCs w:val="22"/>
        </w:rPr>
      </w:pPr>
    </w:p>
    <w:p w14:paraId="20E69EB6" w14:textId="77777777" w:rsidR="00967734" w:rsidRPr="00967734" w:rsidRDefault="00967734" w:rsidP="00967734">
      <w:pPr>
        <w:rPr>
          <w:rFonts w:ascii="Arial Narrow" w:eastAsia="Calibri" w:hAnsi="Arial Narrow"/>
          <w:sz w:val="22"/>
          <w:szCs w:val="22"/>
        </w:rPr>
      </w:pPr>
      <w:r w:rsidRPr="00967734">
        <w:rPr>
          <w:rFonts w:ascii="Arial Narrow" w:eastAsia="Calibri" w:hAnsi="Arial Narrow"/>
          <w:sz w:val="22"/>
          <w:szCs w:val="22"/>
        </w:rPr>
        <w:t>Stacionet e transferimit me ngjeshje janë marrë në konsideratë derisa vlerësimet për investimin fillestar janë dhënë më poshtë;</w:t>
      </w:r>
    </w:p>
    <w:p w14:paraId="10587588" w14:textId="77777777" w:rsidR="007D1EDC" w:rsidRPr="00967734" w:rsidRDefault="007D1EDC" w:rsidP="007D1EDC">
      <w:pPr>
        <w:rPr>
          <w:rFonts w:ascii="Arial Narrow" w:eastAsia="Calibri" w:hAnsi="Arial Narrow"/>
          <w:sz w:val="22"/>
          <w:szCs w:val="22"/>
        </w:rPr>
      </w:pPr>
    </w:p>
    <w:p w14:paraId="2CA1AF5C" w14:textId="65970307" w:rsidR="007D1EDC" w:rsidRPr="007D1EDC" w:rsidRDefault="007D1EDC" w:rsidP="007D1EDC">
      <w:pPr>
        <w:suppressAutoHyphens/>
        <w:rPr>
          <w:rFonts w:ascii="Arial Narrow" w:eastAsia="Calibri" w:hAnsi="Arial Narrow" w:cs="Calibri"/>
          <w:color w:val="1F497D"/>
          <w:sz w:val="20"/>
          <w:szCs w:val="20"/>
        </w:rPr>
      </w:pPr>
      <w:bookmarkStart w:id="633" w:name="_Toc190966781"/>
      <w:bookmarkStart w:id="634" w:name="_Toc197472278"/>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93.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Kostot investi</w:t>
      </w:r>
      <w:r w:rsidR="00967734">
        <w:rPr>
          <w:rFonts w:ascii="Arial Narrow" w:eastAsia="Calibri" w:hAnsi="Arial Narrow" w:cs="Calibri"/>
          <w:color w:val="1F497D"/>
          <w:sz w:val="20"/>
          <w:szCs w:val="20"/>
        </w:rPr>
        <w:t>ve</w:t>
      </w:r>
      <w:r w:rsidRPr="007D1EDC">
        <w:rPr>
          <w:rFonts w:ascii="Arial Narrow" w:eastAsia="Calibri" w:hAnsi="Arial Narrow" w:cs="Calibri"/>
          <w:color w:val="1F497D"/>
          <w:sz w:val="20"/>
          <w:szCs w:val="20"/>
        </w:rPr>
        <w:t xml:space="preserve"> në stacionet e transferit, mijë euro</w:t>
      </w:r>
      <w:bookmarkEnd w:id="633"/>
      <w:bookmarkEnd w:id="6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0"/>
        <w:gridCol w:w="1560"/>
        <w:gridCol w:w="1562"/>
        <w:gridCol w:w="1419"/>
        <w:gridCol w:w="1365"/>
      </w:tblGrid>
      <w:tr w:rsidR="007D1EDC" w:rsidRPr="007D1EDC" w14:paraId="3E6BA3AA" w14:textId="77777777" w:rsidTr="00D03949">
        <w:trPr>
          <w:trHeight w:val="210"/>
          <w:tblHeader/>
        </w:trPr>
        <w:tc>
          <w:tcPr>
            <w:tcW w:w="1725" w:type="pct"/>
            <w:shd w:val="clear" w:color="auto" w:fill="365F91"/>
            <w:noWrap/>
            <w:vAlign w:val="bottom"/>
            <w:hideMark/>
          </w:tcPr>
          <w:p w14:paraId="51D124CD" w14:textId="16F9E756" w:rsidR="007D1EDC" w:rsidRPr="007D1EDC" w:rsidRDefault="00967734" w:rsidP="007D1EDC">
            <w:pPr>
              <w:rPr>
                <w:rFonts w:ascii="Arial Narrow" w:hAnsi="Arial Narrow" w:cs="Calibri"/>
                <w:b/>
                <w:bCs/>
                <w:color w:val="FFFFFF" w:themeColor="background1"/>
                <w:sz w:val="20"/>
                <w:szCs w:val="20"/>
                <w:lang w:val="en-GB" w:eastAsia="en-GB"/>
              </w:rPr>
            </w:pPr>
            <w:proofErr w:type="spellStart"/>
            <w:r>
              <w:rPr>
                <w:rFonts w:ascii="Arial Narrow" w:hAnsi="Arial Narrow" w:cs="Calibri"/>
                <w:b/>
                <w:bCs/>
                <w:color w:val="FFFFFF" w:themeColor="background1"/>
                <w:sz w:val="20"/>
                <w:szCs w:val="20"/>
                <w:lang w:val="en-GB" w:eastAsia="en-GB"/>
              </w:rPr>
              <w:t>Përbërësit</w:t>
            </w:r>
            <w:proofErr w:type="spellEnd"/>
            <w:r>
              <w:rPr>
                <w:rFonts w:ascii="Arial Narrow" w:hAnsi="Arial Narrow" w:cs="Calibri"/>
                <w:b/>
                <w:bCs/>
                <w:color w:val="FFFFFF" w:themeColor="background1"/>
                <w:sz w:val="20"/>
                <w:szCs w:val="20"/>
                <w:lang w:val="en-GB" w:eastAsia="en-GB"/>
              </w:rPr>
              <w:t xml:space="preserve"> e </w:t>
            </w:r>
            <w:proofErr w:type="spellStart"/>
            <w:r w:rsidR="007D1EDC" w:rsidRPr="007D1EDC">
              <w:rPr>
                <w:rFonts w:ascii="Arial Narrow" w:hAnsi="Arial Narrow" w:cs="Calibri"/>
                <w:b/>
                <w:bCs/>
                <w:color w:val="FFFFFF" w:themeColor="background1"/>
                <w:sz w:val="20"/>
                <w:szCs w:val="20"/>
                <w:lang w:val="en-GB" w:eastAsia="en-GB"/>
              </w:rPr>
              <w:t>kostos</w:t>
            </w:r>
            <w:proofErr w:type="spellEnd"/>
          </w:p>
        </w:tc>
        <w:tc>
          <w:tcPr>
            <w:tcW w:w="1731" w:type="pct"/>
            <w:gridSpan w:val="2"/>
            <w:shd w:val="clear" w:color="auto" w:fill="365F91"/>
            <w:vAlign w:val="bottom"/>
            <w:hideMark/>
          </w:tcPr>
          <w:p w14:paraId="5F7DB825" w14:textId="77777777" w:rsidR="007D1EDC" w:rsidRPr="007D1EDC" w:rsidRDefault="007D1EDC" w:rsidP="007D1EDC">
            <w:pPr>
              <w:jc w:val="center"/>
              <w:rPr>
                <w:rFonts w:ascii="Arial Narrow" w:hAnsi="Arial Narrow" w:cs="Calibri"/>
                <w:b/>
                <w:bCs/>
                <w:color w:val="FFFFFF" w:themeColor="background1"/>
                <w:sz w:val="20"/>
                <w:szCs w:val="20"/>
                <w:lang w:val="en-GB" w:eastAsia="en-GB"/>
              </w:rPr>
            </w:pPr>
            <w:proofErr w:type="spellStart"/>
            <w:r w:rsidRPr="007D1EDC">
              <w:rPr>
                <w:rFonts w:ascii="Arial Narrow" w:hAnsi="Arial Narrow" w:cs="Calibri"/>
                <w:b/>
                <w:bCs/>
                <w:color w:val="FFFFFF" w:themeColor="background1"/>
                <w:sz w:val="20"/>
                <w:szCs w:val="20"/>
                <w:lang w:val="en-GB" w:eastAsia="en-GB"/>
              </w:rPr>
              <w:t>Istog</w:t>
            </w:r>
            <w:proofErr w:type="spellEnd"/>
          </w:p>
        </w:tc>
        <w:tc>
          <w:tcPr>
            <w:tcW w:w="1544" w:type="pct"/>
            <w:gridSpan w:val="2"/>
            <w:shd w:val="clear" w:color="auto" w:fill="365F91"/>
            <w:vAlign w:val="bottom"/>
            <w:hideMark/>
          </w:tcPr>
          <w:p w14:paraId="750E3DF4" w14:textId="77777777" w:rsidR="007D1EDC" w:rsidRPr="007D1EDC" w:rsidRDefault="007D1EDC" w:rsidP="007D1EDC">
            <w:pPr>
              <w:jc w:val="center"/>
              <w:rPr>
                <w:rFonts w:ascii="Arial Narrow" w:hAnsi="Arial Narrow" w:cs="Calibri"/>
                <w:b/>
                <w:bCs/>
                <w:color w:val="FFFFFF" w:themeColor="background1"/>
                <w:sz w:val="20"/>
                <w:szCs w:val="20"/>
                <w:lang w:val="en-GB" w:eastAsia="en-GB"/>
              </w:rPr>
            </w:pPr>
            <w:proofErr w:type="spellStart"/>
            <w:r w:rsidRPr="007D1EDC">
              <w:rPr>
                <w:rFonts w:ascii="Arial Narrow" w:hAnsi="Arial Narrow" w:cs="Calibri"/>
                <w:b/>
                <w:bCs/>
                <w:color w:val="FFFFFF" w:themeColor="background1"/>
                <w:sz w:val="20"/>
                <w:szCs w:val="20"/>
                <w:lang w:val="en-GB" w:eastAsia="en-GB"/>
              </w:rPr>
              <w:t>Deçan</w:t>
            </w:r>
            <w:proofErr w:type="spellEnd"/>
            <w:r w:rsidRPr="007D1EDC">
              <w:rPr>
                <w:rFonts w:ascii="Arial Narrow" w:hAnsi="Arial Narrow" w:cs="Calibri"/>
                <w:b/>
                <w:bCs/>
                <w:color w:val="FFFFFF" w:themeColor="background1"/>
                <w:sz w:val="20"/>
                <w:szCs w:val="20"/>
                <w:lang w:val="en-GB" w:eastAsia="en-GB"/>
              </w:rPr>
              <w:t xml:space="preserve"> </w:t>
            </w:r>
            <w:proofErr w:type="spellStart"/>
            <w:r w:rsidRPr="007D1EDC">
              <w:rPr>
                <w:rFonts w:ascii="Arial Narrow" w:hAnsi="Arial Narrow" w:cs="Calibri"/>
                <w:b/>
                <w:bCs/>
                <w:color w:val="FFFFFF" w:themeColor="background1"/>
                <w:sz w:val="20"/>
                <w:szCs w:val="20"/>
                <w:lang w:val="en-GB" w:eastAsia="en-GB"/>
              </w:rPr>
              <w:t>dhe</w:t>
            </w:r>
            <w:proofErr w:type="spellEnd"/>
            <w:r w:rsidRPr="007D1EDC">
              <w:rPr>
                <w:rFonts w:ascii="Arial Narrow" w:hAnsi="Arial Narrow" w:cs="Calibri"/>
                <w:b/>
                <w:bCs/>
                <w:color w:val="FFFFFF" w:themeColor="background1"/>
                <w:sz w:val="20"/>
                <w:szCs w:val="20"/>
                <w:lang w:val="en-GB" w:eastAsia="en-GB"/>
              </w:rPr>
              <w:t xml:space="preserve"> </w:t>
            </w:r>
            <w:proofErr w:type="spellStart"/>
            <w:r w:rsidRPr="007D1EDC">
              <w:rPr>
                <w:rFonts w:ascii="Arial Narrow" w:hAnsi="Arial Narrow" w:cs="Calibri"/>
                <w:b/>
                <w:bCs/>
                <w:color w:val="FFFFFF" w:themeColor="background1"/>
                <w:sz w:val="20"/>
                <w:szCs w:val="20"/>
                <w:lang w:val="en-GB" w:eastAsia="en-GB"/>
              </w:rPr>
              <w:t>Junik</w:t>
            </w:r>
            <w:proofErr w:type="spellEnd"/>
          </w:p>
        </w:tc>
      </w:tr>
      <w:tr w:rsidR="007D1EDC" w:rsidRPr="007D1EDC" w14:paraId="70F7C386" w14:textId="77777777" w:rsidTr="00D03949">
        <w:trPr>
          <w:trHeight w:val="210"/>
        </w:trPr>
        <w:tc>
          <w:tcPr>
            <w:tcW w:w="1725" w:type="pct"/>
            <w:shd w:val="clear" w:color="auto" w:fill="auto"/>
            <w:noWrap/>
            <w:vAlign w:val="bottom"/>
            <w:hideMark/>
          </w:tcPr>
          <w:p w14:paraId="42728B7F" w14:textId="77777777" w:rsidR="007D1EDC" w:rsidRPr="007D1EDC" w:rsidRDefault="007D1EDC" w:rsidP="007D1EDC">
            <w:pPr>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Viti</w:t>
            </w:r>
          </w:p>
        </w:tc>
        <w:tc>
          <w:tcPr>
            <w:tcW w:w="865" w:type="pct"/>
            <w:shd w:val="clear" w:color="auto" w:fill="auto"/>
            <w:noWrap/>
            <w:vAlign w:val="bottom"/>
            <w:hideMark/>
          </w:tcPr>
          <w:p w14:paraId="3F5E5FB4" w14:textId="77777777" w:rsidR="007D1EDC" w:rsidRPr="007D1EDC" w:rsidRDefault="007D1EDC" w:rsidP="007D1EDC">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2026</w:t>
            </w:r>
          </w:p>
        </w:tc>
        <w:tc>
          <w:tcPr>
            <w:tcW w:w="866" w:type="pct"/>
            <w:shd w:val="clear" w:color="auto" w:fill="auto"/>
            <w:noWrap/>
            <w:vAlign w:val="bottom"/>
            <w:hideMark/>
          </w:tcPr>
          <w:p w14:paraId="228A4AB1" w14:textId="77777777" w:rsidR="007D1EDC" w:rsidRPr="007D1EDC" w:rsidRDefault="007D1EDC" w:rsidP="007D1EDC">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2027</w:t>
            </w:r>
          </w:p>
        </w:tc>
        <w:tc>
          <w:tcPr>
            <w:tcW w:w="787" w:type="pct"/>
            <w:shd w:val="clear" w:color="auto" w:fill="auto"/>
            <w:noWrap/>
            <w:vAlign w:val="bottom"/>
            <w:hideMark/>
          </w:tcPr>
          <w:p w14:paraId="2E603B06" w14:textId="77777777" w:rsidR="007D1EDC" w:rsidRPr="007D1EDC" w:rsidRDefault="007D1EDC" w:rsidP="007D1EDC">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2026</w:t>
            </w:r>
          </w:p>
        </w:tc>
        <w:tc>
          <w:tcPr>
            <w:tcW w:w="758" w:type="pct"/>
            <w:shd w:val="clear" w:color="auto" w:fill="auto"/>
            <w:noWrap/>
            <w:vAlign w:val="bottom"/>
            <w:hideMark/>
          </w:tcPr>
          <w:p w14:paraId="3CC51D09" w14:textId="77777777" w:rsidR="007D1EDC" w:rsidRPr="007D1EDC" w:rsidRDefault="007D1EDC" w:rsidP="007D1EDC">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2027</w:t>
            </w:r>
          </w:p>
        </w:tc>
      </w:tr>
      <w:tr w:rsidR="007D1EDC" w:rsidRPr="007D1EDC" w14:paraId="18A107BD" w14:textId="77777777" w:rsidTr="00D03949">
        <w:trPr>
          <w:trHeight w:val="250"/>
        </w:trPr>
        <w:tc>
          <w:tcPr>
            <w:tcW w:w="1725" w:type="pct"/>
            <w:shd w:val="clear" w:color="auto" w:fill="auto"/>
            <w:noWrap/>
            <w:vAlign w:val="bottom"/>
            <w:hideMark/>
          </w:tcPr>
          <w:p w14:paraId="6C14E30A" w14:textId="77777777" w:rsidR="007D1EDC" w:rsidRPr="007D1EDC" w:rsidRDefault="007D1EDC" w:rsidP="007D1EDC">
            <w:pPr>
              <w:rPr>
                <w:rFonts w:ascii="Arial Narrow" w:hAnsi="Arial Narrow" w:cs="Calibri"/>
                <w:color w:val="000000"/>
                <w:sz w:val="20"/>
                <w:szCs w:val="20"/>
                <w:lang w:val="en-GB" w:eastAsia="en-GB"/>
              </w:rPr>
            </w:pPr>
            <w:proofErr w:type="spellStart"/>
            <w:r w:rsidRPr="007D1EDC">
              <w:rPr>
                <w:rFonts w:ascii="Arial Narrow" w:hAnsi="Arial Narrow" w:cs="Calibri"/>
                <w:color w:val="000000"/>
                <w:sz w:val="20"/>
                <w:szCs w:val="20"/>
                <w:lang w:val="en-GB" w:eastAsia="en-GB"/>
              </w:rPr>
              <w:t>Punime</w:t>
            </w:r>
            <w:proofErr w:type="spellEnd"/>
            <w:r w:rsidRPr="007D1EDC">
              <w:rPr>
                <w:rFonts w:ascii="Arial Narrow" w:hAnsi="Arial Narrow" w:cs="Calibri"/>
                <w:color w:val="000000"/>
                <w:sz w:val="20"/>
                <w:szCs w:val="20"/>
                <w:lang w:val="en-GB" w:eastAsia="en-GB"/>
              </w:rPr>
              <w:t xml:space="preserve"> civile</w:t>
            </w:r>
          </w:p>
        </w:tc>
        <w:tc>
          <w:tcPr>
            <w:tcW w:w="865" w:type="pct"/>
            <w:shd w:val="clear" w:color="auto" w:fill="auto"/>
            <w:noWrap/>
            <w:vAlign w:val="bottom"/>
            <w:hideMark/>
          </w:tcPr>
          <w:p w14:paraId="7856DE1B"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239</w:t>
            </w:r>
          </w:p>
        </w:tc>
        <w:tc>
          <w:tcPr>
            <w:tcW w:w="866" w:type="pct"/>
            <w:shd w:val="clear" w:color="auto" w:fill="auto"/>
            <w:noWrap/>
            <w:vAlign w:val="bottom"/>
            <w:hideMark/>
          </w:tcPr>
          <w:p w14:paraId="3793AC2B"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w:t>
            </w:r>
          </w:p>
        </w:tc>
        <w:tc>
          <w:tcPr>
            <w:tcW w:w="787" w:type="pct"/>
            <w:shd w:val="clear" w:color="auto" w:fill="auto"/>
            <w:noWrap/>
            <w:vAlign w:val="bottom"/>
            <w:hideMark/>
          </w:tcPr>
          <w:p w14:paraId="3740B8ED" w14:textId="77777777" w:rsidR="007D1EDC" w:rsidRPr="007D1EDC" w:rsidRDefault="007D1EDC" w:rsidP="007D1EDC">
            <w:pPr>
              <w:jc w:val="right"/>
              <w:rPr>
                <w:rFonts w:ascii="Arial Narrow" w:hAnsi="Arial Narrow" w:cs="Arial"/>
                <w:sz w:val="20"/>
                <w:szCs w:val="20"/>
                <w:lang w:val="en-GB" w:eastAsia="en-GB"/>
              </w:rPr>
            </w:pPr>
            <w:r w:rsidRPr="007D1EDC">
              <w:rPr>
                <w:rFonts w:ascii="Arial Narrow" w:hAnsi="Arial Narrow" w:cs="Arial"/>
                <w:sz w:val="20"/>
                <w:szCs w:val="20"/>
                <w:lang w:val="en-GB" w:eastAsia="en-GB"/>
              </w:rPr>
              <w:t>245</w:t>
            </w:r>
          </w:p>
        </w:tc>
        <w:tc>
          <w:tcPr>
            <w:tcW w:w="758" w:type="pct"/>
            <w:shd w:val="clear" w:color="auto" w:fill="auto"/>
            <w:noWrap/>
            <w:vAlign w:val="bottom"/>
            <w:hideMark/>
          </w:tcPr>
          <w:p w14:paraId="490324A1" w14:textId="77777777" w:rsidR="007D1EDC" w:rsidRPr="007D1EDC" w:rsidRDefault="007D1EDC" w:rsidP="007D1EDC">
            <w:pPr>
              <w:jc w:val="right"/>
              <w:rPr>
                <w:rFonts w:ascii="Arial Narrow" w:hAnsi="Arial Narrow" w:cs="Arial"/>
                <w:sz w:val="20"/>
                <w:szCs w:val="20"/>
                <w:lang w:val="en-GB" w:eastAsia="en-GB"/>
              </w:rPr>
            </w:pPr>
            <w:r w:rsidRPr="007D1EDC">
              <w:rPr>
                <w:rFonts w:ascii="Arial Narrow" w:hAnsi="Arial Narrow" w:cs="Arial"/>
                <w:sz w:val="20"/>
                <w:szCs w:val="20"/>
                <w:lang w:val="en-GB" w:eastAsia="en-GB"/>
              </w:rPr>
              <w:t>-</w:t>
            </w:r>
          </w:p>
        </w:tc>
      </w:tr>
      <w:tr w:rsidR="007D1EDC" w:rsidRPr="007D1EDC" w14:paraId="0727D83C" w14:textId="77777777" w:rsidTr="00D03949">
        <w:trPr>
          <w:trHeight w:val="250"/>
        </w:trPr>
        <w:tc>
          <w:tcPr>
            <w:tcW w:w="1725" w:type="pct"/>
            <w:shd w:val="clear" w:color="auto" w:fill="auto"/>
            <w:noWrap/>
            <w:vAlign w:val="bottom"/>
            <w:hideMark/>
          </w:tcPr>
          <w:p w14:paraId="74B28991" w14:textId="77777777" w:rsidR="007D1EDC" w:rsidRPr="007D1EDC" w:rsidRDefault="007D1EDC" w:rsidP="007D1EDC">
            <w:pPr>
              <w:rPr>
                <w:rFonts w:ascii="Arial Narrow" w:hAnsi="Arial Narrow" w:cs="Calibri"/>
                <w:color w:val="000000"/>
                <w:sz w:val="20"/>
                <w:szCs w:val="20"/>
                <w:lang w:val="en-GB" w:eastAsia="en-GB"/>
              </w:rPr>
            </w:pPr>
            <w:proofErr w:type="spellStart"/>
            <w:r w:rsidRPr="007D1EDC">
              <w:rPr>
                <w:rFonts w:ascii="Arial Narrow" w:hAnsi="Arial Narrow" w:cs="Calibri"/>
                <w:color w:val="000000"/>
                <w:sz w:val="20"/>
                <w:szCs w:val="20"/>
                <w:lang w:val="en-GB" w:eastAsia="en-GB"/>
              </w:rPr>
              <w:t>Makineri</w:t>
            </w:r>
            <w:proofErr w:type="spellEnd"/>
          </w:p>
        </w:tc>
        <w:tc>
          <w:tcPr>
            <w:tcW w:w="865" w:type="pct"/>
            <w:shd w:val="clear" w:color="auto" w:fill="auto"/>
            <w:noWrap/>
            <w:vAlign w:val="bottom"/>
            <w:hideMark/>
          </w:tcPr>
          <w:p w14:paraId="00546A74"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301</w:t>
            </w:r>
          </w:p>
        </w:tc>
        <w:tc>
          <w:tcPr>
            <w:tcW w:w="866" w:type="pct"/>
            <w:shd w:val="clear" w:color="auto" w:fill="auto"/>
            <w:noWrap/>
            <w:vAlign w:val="bottom"/>
            <w:hideMark/>
          </w:tcPr>
          <w:p w14:paraId="41849179"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w:t>
            </w:r>
          </w:p>
        </w:tc>
        <w:tc>
          <w:tcPr>
            <w:tcW w:w="787" w:type="pct"/>
            <w:shd w:val="clear" w:color="auto" w:fill="auto"/>
            <w:noWrap/>
            <w:vAlign w:val="bottom"/>
            <w:hideMark/>
          </w:tcPr>
          <w:p w14:paraId="15CDA4AE" w14:textId="77777777" w:rsidR="007D1EDC" w:rsidRPr="007D1EDC" w:rsidRDefault="007D1EDC" w:rsidP="007D1EDC">
            <w:pPr>
              <w:jc w:val="right"/>
              <w:rPr>
                <w:rFonts w:ascii="Arial Narrow" w:hAnsi="Arial Narrow" w:cs="Arial"/>
                <w:sz w:val="20"/>
                <w:szCs w:val="20"/>
                <w:lang w:val="en-GB" w:eastAsia="en-GB"/>
              </w:rPr>
            </w:pPr>
            <w:r w:rsidRPr="007D1EDC">
              <w:rPr>
                <w:rFonts w:ascii="Arial Narrow" w:hAnsi="Arial Narrow" w:cs="Arial"/>
                <w:sz w:val="20"/>
                <w:szCs w:val="20"/>
                <w:lang w:val="en-GB" w:eastAsia="en-GB"/>
              </w:rPr>
              <w:t>326</w:t>
            </w:r>
          </w:p>
        </w:tc>
        <w:tc>
          <w:tcPr>
            <w:tcW w:w="758" w:type="pct"/>
            <w:shd w:val="clear" w:color="auto" w:fill="auto"/>
            <w:noWrap/>
            <w:vAlign w:val="bottom"/>
            <w:hideMark/>
          </w:tcPr>
          <w:p w14:paraId="0D336149" w14:textId="77777777" w:rsidR="007D1EDC" w:rsidRPr="007D1EDC" w:rsidRDefault="007D1EDC" w:rsidP="007D1EDC">
            <w:pPr>
              <w:jc w:val="right"/>
              <w:rPr>
                <w:rFonts w:ascii="Arial Narrow" w:hAnsi="Arial Narrow" w:cs="Arial"/>
                <w:sz w:val="20"/>
                <w:szCs w:val="20"/>
                <w:lang w:val="en-GB" w:eastAsia="en-GB"/>
              </w:rPr>
            </w:pPr>
            <w:r w:rsidRPr="007D1EDC">
              <w:rPr>
                <w:rFonts w:ascii="Arial Narrow" w:hAnsi="Arial Narrow" w:cs="Arial"/>
                <w:sz w:val="20"/>
                <w:szCs w:val="20"/>
                <w:lang w:val="en-GB" w:eastAsia="en-GB"/>
              </w:rPr>
              <w:t>-</w:t>
            </w:r>
          </w:p>
        </w:tc>
      </w:tr>
      <w:tr w:rsidR="007D1EDC" w:rsidRPr="007D1EDC" w14:paraId="1D865F15" w14:textId="77777777" w:rsidTr="00D03949">
        <w:trPr>
          <w:trHeight w:val="250"/>
        </w:trPr>
        <w:tc>
          <w:tcPr>
            <w:tcW w:w="1725" w:type="pct"/>
            <w:shd w:val="clear" w:color="auto" w:fill="auto"/>
            <w:noWrap/>
            <w:vAlign w:val="bottom"/>
            <w:hideMark/>
          </w:tcPr>
          <w:p w14:paraId="1E9F1771" w14:textId="77777777" w:rsidR="007D1EDC" w:rsidRPr="007D1EDC" w:rsidRDefault="007D1EDC" w:rsidP="007D1EDC">
            <w:pPr>
              <w:rPr>
                <w:rFonts w:ascii="Arial Narrow" w:hAnsi="Arial Narrow" w:cs="Calibri"/>
                <w:color w:val="000000"/>
                <w:sz w:val="20"/>
                <w:szCs w:val="20"/>
                <w:lang w:val="en-GB" w:eastAsia="en-GB"/>
              </w:rPr>
            </w:pPr>
            <w:proofErr w:type="spellStart"/>
            <w:r w:rsidRPr="007D1EDC">
              <w:rPr>
                <w:rFonts w:ascii="Arial Narrow" w:hAnsi="Arial Narrow" w:cs="Calibri"/>
                <w:color w:val="000000"/>
                <w:sz w:val="20"/>
                <w:szCs w:val="20"/>
                <w:lang w:val="en-GB" w:eastAsia="en-GB"/>
              </w:rPr>
              <w:t>Kontejnerë</w:t>
            </w:r>
            <w:proofErr w:type="spellEnd"/>
            <w:r w:rsidRPr="007D1EDC">
              <w:rPr>
                <w:rFonts w:ascii="Arial Narrow" w:hAnsi="Arial Narrow" w:cs="Calibri"/>
                <w:color w:val="000000"/>
                <w:sz w:val="20"/>
                <w:szCs w:val="20"/>
                <w:lang w:val="en-GB" w:eastAsia="en-GB"/>
              </w:rPr>
              <w:t>/</w:t>
            </w:r>
            <w:proofErr w:type="spellStart"/>
            <w:r w:rsidRPr="007D1EDC">
              <w:rPr>
                <w:rFonts w:ascii="Arial Narrow" w:hAnsi="Arial Narrow" w:cs="Calibri"/>
                <w:color w:val="000000"/>
                <w:sz w:val="20"/>
                <w:szCs w:val="20"/>
                <w:lang w:val="en-GB" w:eastAsia="en-GB"/>
              </w:rPr>
              <w:t>kamionë</w:t>
            </w:r>
            <w:proofErr w:type="spellEnd"/>
          </w:p>
        </w:tc>
        <w:tc>
          <w:tcPr>
            <w:tcW w:w="865" w:type="pct"/>
            <w:shd w:val="clear" w:color="auto" w:fill="auto"/>
            <w:noWrap/>
            <w:vAlign w:val="bottom"/>
            <w:hideMark/>
          </w:tcPr>
          <w:p w14:paraId="585312E1"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36</w:t>
            </w:r>
          </w:p>
        </w:tc>
        <w:tc>
          <w:tcPr>
            <w:tcW w:w="866" w:type="pct"/>
            <w:shd w:val="clear" w:color="auto" w:fill="auto"/>
            <w:noWrap/>
            <w:vAlign w:val="bottom"/>
            <w:hideMark/>
          </w:tcPr>
          <w:p w14:paraId="060830DC"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119</w:t>
            </w:r>
          </w:p>
        </w:tc>
        <w:tc>
          <w:tcPr>
            <w:tcW w:w="787" w:type="pct"/>
            <w:shd w:val="clear" w:color="auto" w:fill="auto"/>
            <w:noWrap/>
            <w:vAlign w:val="bottom"/>
            <w:hideMark/>
          </w:tcPr>
          <w:p w14:paraId="034729B7" w14:textId="77777777" w:rsidR="007D1EDC" w:rsidRPr="007D1EDC" w:rsidRDefault="007D1EDC" w:rsidP="007D1EDC">
            <w:pPr>
              <w:jc w:val="right"/>
              <w:rPr>
                <w:rFonts w:ascii="Arial Narrow" w:hAnsi="Arial Narrow" w:cs="Arial"/>
                <w:sz w:val="20"/>
                <w:szCs w:val="20"/>
                <w:lang w:val="en-GB" w:eastAsia="en-GB"/>
              </w:rPr>
            </w:pPr>
            <w:r w:rsidRPr="007D1EDC">
              <w:rPr>
                <w:rFonts w:ascii="Arial Narrow" w:hAnsi="Arial Narrow" w:cs="Arial"/>
                <w:sz w:val="20"/>
                <w:szCs w:val="20"/>
                <w:lang w:val="en-GB" w:eastAsia="en-GB"/>
              </w:rPr>
              <w:t>36</w:t>
            </w:r>
          </w:p>
        </w:tc>
        <w:tc>
          <w:tcPr>
            <w:tcW w:w="758" w:type="pct"/>
            <w:shd w:val="clear" w:color="auto" w:fill="auto"/>
            <w:noWrap/>
            <w:vAlign w:val="bottom"/>
            <w:hideMark/>
          </w:tcPr>
          <w:p w14:paraId="5C17F106" w14:textId="77777777" w:rsidR="007D1EDC" w:rsidRPr="007D1EDC" w:rsidRDefault="007D1EDC" w:rsidP="007D1EDC">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119</w:t>
            </w:r>
          </w:p>
        </w:tc>
      </w:tr>
      <w:tr w:rsidR="007D1EDC" w:rsidRPr="007D1EDC" w14:paraId="5D48BF3C" w14:textId="77777777" w:rsidTr="00D03949">
        <w:trPr>
          <w:trHeight w:val="250"/>
        </w:trPr>
        <w:tc>
          <w:tcPr>
            <w:tcW w:w="1725" w:type="pct"/>
            <w:shd w:val="clear" w:color="auto" w:fill="auto"/>
            <w:noWrap/>
            <w:vAlign w:val="bottom"/>
            <w:hideMark/>
          </w:tcPr>
          <w:p w14:paraId="46FA6253" w14:textId="77777777" w:rsidR="007D1EDC" w:rsidRPr="007D1EDC" w:rsidRDefault="007D1EDC" w:rsidP="007D1EDC">
            <w:pPr>
              <w:rPr>
                <w:rFonts w:ascii="Arial Narrow" w:hAnsi="Arial Narrow" w:cs="Calibri"/>
                <w:b/>
                <w:bCs/>
                <w:color w:val="000000"/>
                <w:sz w:val="20"/>
                <w:szCs w:val="20"/>
                <w:lang w:val="en-GB" w:eastAsia="en-GB"/>
              </w:rPr>
            </w:pPr>
            <w:proofErr w:type="spellStart"/>
            <w:r w:rsidRPr="007D1EDC">
              <w:rPr>
                <w:rFonts w:ascii="Arial Narrow" w:hAnsi="Arial Narrow" w:cs="Calibri"/>
                <w:b/>
                <w:bCs/>
                <w:color w:val="000000"/>
                <w:sz w:val="20"/>
                <w:szCs w:val="20"/>
                <w:lang w:val="en-GB" w:eastAsia="en-GB"/>
              </w:rPr>
              <w:t>Totali</w:t>
            </w:r>
            <w:proofErr w:type="spellEnd"/>
          </w:p>
        </w:tc>
        <w:tc>
          <w:tcPr>
            <w:tcW w:w="865" w:type="pct"/>
            <w:shd w:val="clear" w:color="auto" w:fill="auto"/>
            <w:noWrap/>
            <w:vAlign w:val="bottom"/>
            <w:hideMark/>
          </w:tcPr>
          <w:p w14:paraId="0E9ADEC0" w14:textId="77777777" w:rsidR="007D1EDC" w:rsidRPr="007D1EDC" w:rsidRDefault="007D1EDC" w:rsidP="007D1EDC">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575</w:t>
            </w:r>
          </w:p>
        </w:tc>
        <w:tc>
          <w:tcPr>
            <w:tcW w:w="866" w:type="pct"/>
            <w:shd w:val="clear" w:color="auto" w:fill="auto"/>
            <w:noWrap/>
            <w:vAlign w:val="bottom"/>
            <w:hideMark/>
          </w:tcPr>
          <w:p w14:paraId="666021FF" w14:textId="77777777" w:rsidR="007D1EDC" w:rsidRPr="007D1EDC" w:rsidRDefault="007D1EDC" w:rsidP="007D1EDC">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119</w:t>
            </w:r>
          </w:p>
        </w:tc>
        <w:tc>
          <w:tcPr>
            <w:tcW w:w="787" w:type="pct"/>
            <w:shd w:val="clear" w:color="auto" w:fill="auto"/>
            <w:noWrap/>
            <w:vAlign w:val="bottom"/>
            <w:hideMark/>
          </w:tcPr>
          <w:p w14:paraId="110520F6" w14:textId="77777777" w:rsidR="007D1EDC" w:rsidRPr="007D1EDC" w:rsidRDefault="007D1EDC" w:rsidP="007D1EDC">
            <w:pPr>
              <w:jc w:val="right"/>
              <w:rPr>
                <w:rFonts w:ascii="Arial Narrow" w:hAnsi="Arial Narrow" w:cs="Arial"/>
                <w:b/>
                <w:bCs/>
                <w:sz w:val="20"/>
                <w:szCs w:val="20"/>
                <w:lang w:val="en-GB" w:eastAsia="en-GB"/>
              </w:rPr>
            </w:pPr>
            <w:r w:rsidRPr="007D1EDC">
              <w:rPr>
                <w:rFonts w:ascii="Arial Narrow" w:hAnsi="Arial Narrow" w:cs="Arial"/>
                <w:b/>
                <w:bCs/>
                <w:sz w:val="20"/>
                <w:szCs w:val="20"/>
                <w:lang w:val="en-GB" w:eastAsia="en-GB"/>
              </w:rPr>
              <w:t>607</w:t>
            </w:r>
          </w:p>
        </w:tc>
        <w:tc>
          <w:tcPr>
            <w:tcW w:w="758" w:type="pct"/>
            <w:shd w:val="clear" w:color="auto" w:fill="auto"/>
            <w:noWrap/>
            <w:vAlign w:val="bottom"/>
            <w:hideMark/>
          </w:tcPr>
          <w:p w14:paraId="0CCE315F" w14:textId="77777777" w:rsidR="007D1EDC" w:rsidRPr="007D1EDC" w:rsidRDefault="007D1EDC" w:rsidP="007D1EDC">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119</w:t>
            </w:r>
          </w:p>
        </w:tc>
      </w:tr>
    </w:tbl>
    <w:p w14:paraId="4ADD43B4" w14:textId="77777777" w:rsidR="007D1EDC" w:rsidRPr="00967734" w:rsidRDefault="007D1EDC" w:rsidP="007D1EDC">
      <w:pPr>
        <w:rPr>
          <w:rFonts w:ascii="Arial Narrow" w:eastAsia="Calibri" w:hAnsi="Arial Narrow"/>
          <w:sz w:val="22"/>
          <w:szCs w:val="22"/>
        </w:rPr>
      </w:pPr>
    </w:p>
    <w:p w14:paraId="257B213D" w14:textId="4A3950F7" w:rsidR="007D1EDC" w:rsidRPr="009F5CA1" w:rsidRDefault="00967734" w:rsidP="007D1EDC">
      <w:pPr>
        <w:rPr>
          <w:rFonts w:ascii="Arial Narrow" w:hAnsi="Arial Narrow"/>
          <w:sz w:val="22"/>
          <w:szCs w:val="22"/>
        </w:rPr>
      </w:pPr>
      <w:r w:rsidRPr="00967734">
        <w:rPr>
          <w:rFonts w:ascii="Arial Narrow" w:eastAsia="Calibri" w:hAnsi="Arial Narrow"/>
          <w:sz w:val="22"/>
          <w:szCs w:val="22"/>
        </w:rPr>
        <w:t xml:space="preserve">Kostoja fillestare e investimit duhet të sigurohet me grant. </w:t>
      </w:r>
      <w:r w:rsidRPr="009F5CA1">
        <w:rPr>
          <w:rFonts w:ascii="Arial Narrow" w:hAnsi="Arial Narrow"/>
          <w:sz w:val="22"/>
          <w:szCs w:val="22"/>
        </w:rPr>
        <w:t>Duke qenë se investimi në stacione transferi parashikohet të financohet me grant, amortizimi i strukturave civile dhe pajisjeve nuk përfshihet në koston që do të mbulohet nga tarifa e mbeturinave</w:t>
      </w:r>
      <w:r w:rsidR="007D1EDC" w:rsidRPr="009F5CA1">
        <w:rPr>
          <w:rFonts w:ascii="Arial Narrow" w:hAnsi="Arial Narrow"/>
          <w:sz w:val="22"/>
          <w:szCs w:val="22"/>
        </w:rPr>
        <w:t>.</w:t>
      </w:r>
    </w:p>
    <w:p w14:paraId="06A7B7AA" w14:textId="77777777" w:rsidR="00967734" w:rsidRPr="009F5CA1" w:rsidRDefault="00967734" w:rsidP="007D1EDC">
      <w:pPr>
        <w:rPr>
          <w:rFonts w:ascii="Arial Narrow" w:hAnsi="Arial Narrow"/>
          <w:sz w:val="22"/>
          <w:szCs w:val="22"/>
        </w:rPr>
      </w:pPr>
    </w:p>
    <w:p w14:paraId="7FB6FA9F" w14:textId="172BDF31" w:rsidR="007D1EDC" w:rsidRPr="007D1EDC" w:rsidRDefault="007D1EDC" w:rsidP="007D1EDC">
      <w:pPr>
        <w:spacing w:before="120"/>
        <w:rPr>
          <w:rFonts w:ascii="Arial Narrow" w:eastAsia="Calibri" w:hAnsi="Arial Narrow"/>
          <w:b/>
          <w:bCs/>
          <w:color w:val="1F3864" w:themeColor="accent1" w:themeShade="80"/>
          <w:sz w:val="22"/>
          <w:szCs w:val="22"/>
        </w:rPr>
      </w:pPr>
      <w:r w:rsidRPr="00967734">
        <w:rPr>
          <w:rFonts w:ascii="Arial Narrow" w:eastAsia="Calibri" w:hAnsi="Arial Narrow"/>
          <w:b/>
          <w:bCs/>
          <w:color w:val="1F3864" w:themeColor="accent1" w:themeShade="80"/>
          <w:sz w:val="22"/>
          <w:szCs w:val="22"/>
        </w:rPr>
        <w:t xml:space="preserve">Kostot e </w:t>
      </w:r>
      <w:r w:rsidR="00967734">
        <w:rPr>
          <w:rFonts w:ascii="Arial Narrow" w:eastAsia="Calibri" w:hAnsi="Arial Narrow"/>
          <w:b/>
          <w:bCs/>
          <w:color w:val="1F3864" w:themeColor="accent1" w:themeShade="80"/>
          <w:sz w:val="22"/>
          <w:szCs w:val="22"/>
        </w:rPr>
        <w:t>grumbullimit</w:t>
      </w:r>
      <w:r w:rsidRPr="00967734">
        <w:rPr>
          <w:rFonts w:ascii="Arial Narrow" w:eastAsia="Calibri" w:hAnsi="Arial Narrow"/>
          <w:b/>
          <w:bCs/>
          <w:color w:val="1F3864" w:themeColor="accent1" w:themeShade="80"/>
          <w:sz w:val="22"/>
          <w:szCs w:val="22"/>
        </w:rPr>
        <w:t xml:space="preserve"> dhe</w:t>
      </w:r>
      <w:r w:rsidRPr="007D1EDC">
        <w:rPr>
          <w:rFonts w:ascii="Arial Narrow" w:eastAsia="Calibri" w:hAnsi="Arial Narrow"/>
          <w:b/>
          <w:bCs/>
          <w:color w:val="1F3864" w:themeColor="accent1" w:themeShade="80"/>
          <w:sz w:val="22"/>
          <w:szCs w:val="22"/>
        </w:rPr>
        <w:t xml:space="preserve"> transferimit të mbet</w:t>
      </w:r>
      <w:r w:rsidR="00967734">
        <w:rPr>
          <w:rFonts w:ascii="Arial Narrow" w:eastAsia="Calibri" w:hAnsi="Arial Narrow"/>
          <w:b/>
          <w:bCs/>
          <w:color w:val="1F3864" w:themeColor="accent1" w:themeShade="80"/>
          <w:sz w:val="22"/>
          <w:szCs w:val="22"/>
        </w:rPr>
        <w:t>urinave të përziera</w:t>
      </w:r>
    </w:p>
    <w:p w14:paraId="29B9A152" w14:textId="13812780" w:rsidR="007D1EDC" w:rsidRPr="00A223D8" w:rsidRDefault="00A223D8" w:rsidP="007D1EDC">
      <w:pPr>
        <w:rPr>
          <w:rFonts w:ascii="Arial Narrow" w:eastAsia="Calibri" w:hAnsi="Arial Narrow"/>
          <w:sz w:val="22"/>
          <w:szCs w:val="22"/>
        </w:rPr>
      </w:pPr>
      <w:r w:rsidRPr="00A223D8">
        <w:rPr>
          <w:rFonts w:ascii="Arial Narrow" w:eastAsia="Calibri" w:hAnsi="Arial Narrow"/>
          <w:sz w:val="22"/>
          <w:szCs w:val="22"/>
        </w:rPr>
        <w:t>Tabelat e mëposhtme përmbledhin kostot e grumbullimit dhe transferimit të mbeturinave sipas komunave që do të mbulohen nga të hyrat nga tarifat e mbeturinave</w:t>
      </w:r>
      <w:r w:rsidR="007D1EDC" w:rsidRPr="00A223D8">
        <w:rPr>
          <w:rFonts w:ascii="Arial Narrow" w:eastAsia="Calibri" w:hAnsi="Arial Narrow"/>
          <w:sz w:val="22"/>
          <w:szCs w:val="22"/>
        </w:rPr>
        <w:t>:</w:t>
      </w:r>
    </w:p>
    <w:p w14:paraId="516E8E7F" w14:textId="77777777" w:rsidR="007D1EDC" w:rsidRPr="007D1EDC" w:rsidRDefault="007D1EDC" w:rsidP="007D1EDC">
      <w:pPr>
        <w:rPr>
          <w:rFonts w:ascii="Arial Narrow" w:eastAsia="Calibri" w:hAnsi="Arial Narrow"/>
          <w:sz w:val="20"/>
        </w:rPr>
      </w:pPr>
    </w:p>
    <w:p w14:paraId="195D7176" w14:textId="1FB56476" w:rsidR="007D1EDC" w:rsidRPr="007D1EDC" w:rsidRDefault="007D1EDC" w:rsidP="007D1EDC">
      <w:pPr>
        <w:suppressAutoHyphens/>
        <w:rPr>
          <w:rFonts w:ascii="Arial Narrow" w:eastAsia="Calibri" w:hAnsi="Arial Narrow" w:cs="Calibri"/>
          <w:color w:val="1F497D"/>
          <w:sz w:val="20"/>
          <w:szCs w:val="20"/>
        </w:rPr>
      </w:pPr>
      <w:bookmarkStart w:id="635" w:name="_Toc190966782"/>
      <w:bookmarkStart w:id="636" w:name="_Toc197472279"/>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94.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 xml:space="preserve">Kostot e </w:t>
      </w:r>
      <w:r w:rsidR="00A223D8">
        <w:rPr>
          <w:rFonts w:ascii="Arial Narrow" w:eastAsia="Calibri" w:hAnsi="Arial Narrow" w:cs="Calibri"/>
          <w:color w:val="1F497D"/>
          <w:sz w:val="20"/>
          <w:szCs w:val="20"/>
        </w:rPr>
        <w:t>grumbullimit të mbeturinave</w:t>
      </w:r>
      <w:r w:rsidRPr="007D1EDC">
        <w:rPr>
          <w:rFonts w:ascii="Arial Narrow" w:eastAsia="Calibri" w:hAnsi="Arial Narrow" w:cs="Calibri"/>
          <w:color w:val="1F497D"/>
          <w:sz w:val="20"/>
          <w:szCs w:val="20"/>
        </w:rPr>
        <w:t xml:space="preserve"> të </w:t>
      </w:r>
      <w:r w:rsidR="00A223D8">
        <w:rPr>
          <w:rFonts w:ascii="Arial Narrow" w:eastAsia="Calibri" w:hAnsi="Arial Narrow" w:cs="Calibri"/>
          <w:color w:val="1F497D"/>
          <w:sz w:val="20"/>
          <w:szCs w:val="20"/>
        </w:rPr>
        <w:t>përziera</w:t>
      </w:r>
      <w:r w:rsidRPr="007D1EDC">
        <w:rPr>
          <w:rFonts w:ascii="Arial Narrow" w:eastAsia="Calibri" w:hAnsi="Arial Narrow" w:cs="Calibri"/>
          <w:color w:val="1F497D"/>
          <w:sz w:val="20"/>
          <w:szCs w:val="20"/>
        </w:rPr>
        <w:t xml:space="preserve"> në Pejë, mijë euro</w:t>
      </w:r>
      <w:bookmarkEnd w:id="635"/>
      <w:bookmarkEnd w:id="636"/>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2406"/>
        <w:gridCol w:w="820"/>
        <w:gridCol w:w="785"/>
        <w:gridCol w:w="801"/>
        <w:gridCol w:w="709"/>
        <w:gridCol w:w="709"/>
        <w:gridCol w:w="709"/>
        <w:gridCol w:w="711"/>
        <w:gridCol w:w="709"/>
        <w:gridCol w:w="707"/>
      </w:tblGrid>
      <w:tr w:rsidR="00A223D8" w:rsidRPr="007D1EDC" w14:paraId="3AEF95C1" w14:textId="77777777" w:rsidTr="00A223D8">
        <w:trPr>
          <w:trHeight w:val="220"/>
        </w:trPr>
        <w:tc>
          <w:tcPr>
            <w:tcW w:w="1327" w:type="pct"/>
            <w:shd w:val="clear" w:color="auto" w:fill="365F91"/>
            <w:noWrap/>
            <w:tcMar>
              <w:left w:w="43" w:type="dxa"/>
              <w:right w:w="43" w:type="dxa"/>
            </w:tcMar>
            <w:vAlign w:val="center"/>
            <w:hideMark/>
          </w:tcPr>
          <w:p w14:paraId="30D66EBF" w14:textId="77777777" w:rsidR="007D1EDC" w:rsidRPr="007D1EDC" w:rsidRDefault="007D1EDC" w:rsidP="007D1EDC">
            <w:pPr>
              <w:rPr>
                <w:rFonts w:ascii="Arial Narrow" w:hAnsi="Arial Narrow" w:cs="Calibri"/>
                <w:b/>
                <w:bCs/>
                <w:color w:val="FFFFFF" w:themeColor="background1"/>
                <w:sz w:val="20"/>
                <w:szCs w:val="20"/>
                <w:lang w:val="en-GB" w:eastAsia="en-GB"/>
              </w:rPr>
            </w:pPr>
            <w:proofErr w:type="spellStart"/>
            <w:r w:rsidRPr="007D1EDC">
              <w:rPr>
                <w:rFonts w:ascii="Arial Narrow" w:hAnsi="Arial Narrow" w:cs="Calibri"/>
                <w:b/>
                <w:bCs/>
                <w:color w:val="FFFFFF" w:themeColor="background1"/>
                <w:sz w:val="20"/>
                <w:szCs w:val="20"/>
                <w:lang w:val="en-GB" w:eastAsia="en-GB"/>
              </w:rPr>
              <w:t>Pejë</w:t>
            </w:r>
            <w:proofErr w:type="spellEnd"/>
          </w:p>
        </w:tc>
        <w:tc>
          <w:tcPr>
            <w:tcW w:w="452" w:type="pct"/>
            <w:shd w:val="clear" w:color="auto" w:fill="365F91"/>
            <w:noWrap/>
            <w:tcMar>
              <w:left w:w="43" w:type="dxa"/>
              <w:right w:w="43" w:type="dxa"/>
            </w:tcMar>
            <w:vAlign w:val="center"/>
            <w:hideMark/>
          </w:tcPr>
          <w:p w14:paraId="2D6355AD"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2027</w:t>
            </w:r>
          </w:p>
        </w:tc>
        <w:tc>
          <w:tcPr>
            <w:tcW w:w="433" w:type="pct"/>
            <w:shd w:val="clear" w:color="auto" w:fill="365F91"/>
            <w:noWrap/>
            <w:tcMar>
              <w:left w:w="43" w:type="dxa"/>
              <w:right w:w="43" w:type="dxa"/>
            </w:tcMar>
            <w:vAlign w:val="center"/>
            <w:hideMark/>
          </w:tcPr>
          <w:p w14:paraId="56DAA1D7"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2028</w:t>
            </w:r>
          </w:p>
        </w:tc>
        <w:tc>
          <w:tcPr>
            <w:tcW w:w="442" w:type="pct"/>
            <w:shd w:val="clear" w:color="auto" w:fill="365F91"/>
            <w:noWrap/>
            <w:tcMar>
              <w:left w:w="43" w:type="dxa"/>
              <w:right w:w="43" w:type="dxa"/>
            </w:tcMar>
            <w:vAlign w:val="center"/>
            <w:hideMark/>
          </w:tcPr>
          <w:p w14:paraId="1C7FA6B3"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2029</w:t>
            </w:r>
          </w:p>
        </w:tc>
        <w:tc>
          <w:tcPr>
            <w:tcW w:w="391" w:type="pct"/>
            <w:shd w:val="clear" w:color="auto" w:fill="365F91"/>
            <w:noWrap/>
            <w:tcMar>
              <w:left w:w="43" w:type="dxa"/>
              <w:right w:w="43" w:type="dxa"/>
            </w:tcMar>
            <w:vAlign w:val="center"/>
            <w:hideMark/>
          </w:tcPr>
          <w:p w14:paraId="682AE296"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2030</w:t>
            </w:r>
          </w:p>
        </w:tc>
        <w:tc>
          <w:tcPr>
            <w:tcW w:w="391" w:type="pct"/>
            <w:shd w:val="clear" w:color="auto" w:fill="365F91"/>
            <w:noWrap/>
            <w:tcMar>
              <w:left w:w="43" w:type="dxa"/>
              <w:right w:w="43" w:type="dxa"/>
            </w:tcMar>
            <w:vAlign w:val="center"/>
            <w:hideMark/>
          </w:tcPr>
          <w:p w14:paraId="50439239"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2031</w:t>
            </w:r>
          </w:p>
        </w:tc>
        <w:tc>
          <w:tcPr>
            <w:tcW w:w="391" w:type="pct"/>
            <w:shd w:val="clear" w:color="auto" w:fill="365F91"/>
            <w:noWrap/>
            <w:tcMar>
              <w:left w:w="43" w:type="dxa"/>
              <w:right w:w="43" w:type="dxa"/>
            </w:tcMar>
            <w:vAlign w:val="center"/>
            <w:hideMark/>
          </w:tcPr>
          <w:p w14:paraId="4B4D669A"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2032</w:t>
            </w:r>
          </w:p>
        </w:tc>
        <w:tc>
          <w:tcPr>
            <w:tcW w:w="392" w:type="pct"/>
            <w:shd w:val="clear" w:color="auto" w:fill="365F91"/>
            <w:noWrap/>
            <w:tcMar>
              <w:left w:w="43" w:type="dxa"/>
              <w:right w:w="43" w:type="dxa"/>
            </w:tcMar>
            <w:vAlign w:val="center"/>
            <w:hideMark/>
          </w:tcPr>
          <w:p w14:paraId="7366103D"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2033</w:t>
            </w:r>
          </w:p>
        </w:tc>
        <w:tc>
          <w:tcPr>
            <w:tcW w:w="391" w:type="pct"/>
            <w:shd w:val="clear" w:color="auto" w:fill="365F91"/>
            <w:noWrap/>
            <w:tcMar>
              <w:left w:w="43" w:type="dxa"/>
              <w:right w:w="43" w:type="dxa"/>
            </w:tcMar>
            <w:vAlign w:val="center"/>
            <w:hideMark/>
          </w:tcPr>
          <w:p w14:paraId="2D89DC63"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2034</w:t>
            </w:r>
          </w:p>
        </w:tc>
        <w:tc>
          <w:tcPr>
            <w:tcW w:w="390" w:type="pct"/>
            <w:shd w:val="clear" w:color="auto" w:fill="365F91"/>
            <w:noWrap/>
            <w:tcMar>
              <w:left w:w="43" w:type="dxa"/>
              <w:right w:w="43" w:type="dxa"/>
            </w:tcMar>
            <w:vAlign w:val="center"/>
            <w:hideMark/>
          </w:tcPr>
          <w:p w14:paraId="1CD88EEB"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2035</w:t>
            </w:r>
          </w:p>
        </w:tc>
      </w:tr>
      <w:tr w:rsidR="00A223D8" w:rsidRPr="007D1EDC" w14:paraId="60060A27" w14:textId="77777777" w:rsidTr="00A223D8">
        <w:trPr>
          <w:trHeight w:val="210"/>
        </w:trPr>
        <w:tc>
          <w:tcPr>
            <w:tcW w:w="1327" w:type="pct"/>
            <w:shd w:val="clear" w:color="auto" w:fill="auto"/>
            <w:noWrap/>
            <w:tcMar>
              <w:left w:w="43" w:type="dxa"/>
              <w:right w:w="43" w:type="dxa"/>
            </w:tcMar>
            <w:vAlign w:val="bottom"/>
            <w:hideMark/>
          </w:tcPr>
          <w:p w14:paraId="1450D26D" w14:textId="42118877" w:rsidR="00A223D8" w:rsidRPr="009F5CA1" w:rsidRDefault="00A223D8" w:rsidP="00A223D8">
            <w:pPr>
              <w:rPr>
                <w:rFonts w:ascii="Arial Narrow" w:hAnsi="Arial Narrow" w:cs="Calibri"/>
                <w:color w:val="000000"/>
                <w:sz w:val="20"/>
                <w:szCs w:val="20"/>
                <w:lang w:val="es-ES" w:eastAsia="en-GB"/>
              </w:rPr>
            </w:pPr>
            <w:proofErr w:type="spellStart"/>
            <w:r w:rsidRPr="009F5CA1">
              <w:rPr>
                <w:rFonts w:ascii="Arial Narrow" w:hAnsi="Arial Narrow" w:cs="Calibri"/>
                <w:color w:val="000000"/>
                <w:sz w:val="20"/>
                <w:szCs w:val="20"/>
                <w:lang w:val="es-ES" w:eastAsia="en-GB"/>
              </w:rPr>
              <w:t>Mbeturinat</w:t>
            </w:r>
            <w:proofErr w:type="spellEnd"/>
            <w:r w:rsidRPr="009F5CA1">
              <w:rPr>
                <w:rFonts w:ascii="Arial Narrow" w:hAnsi="Arial Narrow" w:cs="Calibri"/>
                <w:color w:val="000000"/>
                <w:sz w:val="20"/>
                <w:szCs w:val="20"/>
                <w:lang w:val="es-ES" w:eastAsia="en-GB"/>
              </w:rPr>
              <w:t xml:space="preserve"> e </w:t>
            </w:r>
            <w:proofErr w:type="spellStart"/>
            <w:r w:rsidRPr="009F5CA1">
              <w:rPr>
                <w:rFonts w:ascii="Arial Narrow" w:hAnsi="Arial Narrow" w:cs="Calibri"/>
                <w:color w:val="000000"/>
                <w:sz w:val="20"/>
                <w:szCs w:val="20"/>
                <w:lang w:val="es-ES" w:eastAsia="en-GB"/>
              </w:rPr>
              <w:t>përziera</w:t>
            </w:r>
            <w:proofErr w:type="spellEnd"/>
            <w:r w:rsidRPr="009F5CA1">
              <w:rPr>
                <w:rFonts w:ascii="Arial Narrow" w:hAnsi="Arial Narrow" w:cs="Calibri"/>
                <w:color w:val="000000"/>
                <w:sz w:val="20"/>
                <w:szCs w:val="20"/>
                <w:lang w:val="es-ES" w:eastAsia="en-GB"/>
              </w:rPr>
              <w:t xml:space="preserve"> </w:t>
            </w:r>
            <w:proofErr w:type="spellStart"/>
            <w:r w:rsidRPr="009F5CA1">
              <w:rPr>
                <w:rFonts w:ascii="Arial Narrow" w:hAnsi="Arial Narrow" w:cs="Calibri"/>
                <w:color w:val="000000"/>
                <w:sz w:val="20"/>
                <w:szCs w:val="20"/>
                <w:lang w:val="es-ES" w:eastAsia="en-GB"/>
              </w:rPr>
              <w:t>të</w:t>
            </w:r>
            <w:proofErr w:type="spellEnd"/>
            <w:r w:rsidRPr="009F5CA1">
              <w:rPr>
                <w:rFonts w:ascii="Arial Narrow" w:hAnsi="Arial Narrow" w:cs="Calibri"/>
                <w:color w:val="000000"/>
                <w:sz w:val="20"/>
                <w:szCs w:val="20"/>
                <w:lang w:val="es-ES" w:eastAsia="en-GB"/>
              </w:rPr>
              <w:t xml:space="preserve"> </w:t>
            </w:r>
            <w:proofErr w:type="spellStart"/>
            <w:r w:rsidRPr="009F5CA1">
              <w:rPr>
                <w:rFonts w:ascii="Arial Narrow" w:hAnsi="Arial Narrow" w:cs="Calibri"/>
                <w:color w:val="000000"/>
                <w:sz w:val="20"/>
                <w:szCs w:val="20"/>
                <w:lang w:val="es-ES" w:eastAsia="en-GB"/>
              </w:rPr>
              <w:t>grumbulluara</w:t>
            </w:r>
            <w:proofErr w:type="spellEnd"/>
          </w:p>
        </w:tc>
        <w:tc>
          <w:tcPr>
            <w:tcW w:w="452" w:type="pct"/>
            <w:shd w:val="clear" w:color="auto" w:fill="auto"/>
            <w:noWrap/>
            <w:tcMar>
              <w:left w:w="43" w:type="dxa"/>
              <w:right w:w="43" w:type="dxa"/>
            </w:tcMar>
            <w:vAlign w:val="bottom"/>
            <w:hideMark/>
          </w:tcPr>
          <w:p w14:paraId="7BA553BF" w14:textId="78FC6E28"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31,776 t</w:t>
            </w:r>
          </w:p>
        </w:tc>
        <w:tc>
          <w:tcPr>
            <w:tcW w:w="433" w:type="pct"/>
            <w:shd w:val="clear" w:color="auto" w:fill="auto"/>
            <w:noWrap/>
            <w:tcMar>
              <w:left w:w="43" w:type="dxa"/>
              <w:right w:w="43" w:type="dxa"/>
            </w:tcMar>
            <w:vAlign w:val="bottom"/>
            <w:hideMark/>
          </w:tcPr>
          <w:p w14:paraId="108AB06A" w14:textId="0231EF5D"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30,441 t</w:t>
            </w:r>
          </w:p>
        </w:tc>
        <w:tc>
          <w:tcPr>
            <w:tcW w:w="442" w:type="pct"/>
            <w:shd w:val="clear" w:color="auto" w:fill="auto"/>
            <w:noWrap/>
            <w:tcMar>
              <w:left w:w="43" w:type="dxa"/>
              <w:right w:w="43" w:type="dxa"/>
            </w:tcMar>
            <w:vAlign w:val="bottom"/>
            <w:hideMark/>
          </w:tcPr>
          <w:p w14:paraId="339E86E2"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28,937 t</w:t>
            </w:r>
          </w:p>
        </w:tc>
        <w:tc>
          <w:tcPr>
            <w:tcW w:w="391" w:type="pct"/>
            <w:shd w:val="clear" w:color="auto" w:fill="auto"/>
            <w:noWrap/>
            <w:tcMar>
              <w:left w:w="43" w:type="dxa"/>
              <w:right w:w="43" w:type="dxa"/>
            </w:tcMar>
            <w:vAlign w:val="bottom"/>
            <w:hideMark/>
          </w:tcPr>
          <w:p w14:paraId="63A964AA" w14:textId="50A06E60"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27,995 t</w:t>
            </w:r>
          </w:p>
        </w:tc>
        <w:tc>
          <w:tcPr>
            <w:tcW w:w="391" w:type="pct"/>
            <w:shd w:val="clear" w:color="auto" w:fill="auto"/>
            <w:noWrap/>
            <w:tcMar>
              <w:left w:w="43" w:type="dxa"/>
              <w:right w:w="43" w:type="dxa"/>
            </w:tcMar>
            <w:vAlign w:val="bottom"/>
            <w:hideMark/>
          </w:tcPr>
          <w:p w14:paraId="7487C26B"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27,313 t</w:t>
            </w:r>
          </w:p>
        </w:tc>
        <w:tc>
          <w:tcPr>
            <w:tcW w:w="391" w:type="pct"/>
            <w:shd w:val="clear" w:color="auto" w:fill="auto"/>
            <w:noWrap/>
            <w:tcMar>
              <w:left w:w="43" w:type="dxa"/>
              <w:right w:w="43" w:type="dxa"/>
            </w:tcMar>
            <w:vAlign w:val="bottom"/>
            <w:hideMark/>
          </w:tcPr>
          <w:p w14:paraId="173A7BF5" w14:textId="4FAB8D74"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23,648 t</w:t>
            </w:r>
          </w:p>
        </w:tc>
        <w:tc>
          <w:tcPr>
            <w:tcW w:w="392" w:type="pct"/>
            <w:shd w:val="clear" w:color="auto" w:fill="auto"/>
            <w:noWrap/>
            <w:tcMar>
              <w:left w:w="43" w:type="dxa"/>
              <w:right w:w="43" w:type="dxa"/>
            </w:tcMar>
            <w:vAlign w:val="bottom"/>
            <w:hideMark/>
          </w:tcPr>
          <w:p w14:paraId="39B22DDC" w14:textId="5BFC58DC"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22,817 t</w:t>
            </w:r>
          </w:p>
        </w:tc>
        <w:tc>
          <w:tcPr>
            <w:tcW w:w="391" w:type="pct"/>
            <w:shd w:val="clear" w:color="auto" w:fill="auto"/>
            <w:noWrap/>
            <w:tcMar>
              <w:left w:w="43" w:type="dxa"/>
              <w:right w:w="43" w:type="dxa"/>
            </w:tcMar>
            <w:vAlign w:val="bottom"/>
            <w:hideMark/>
          </w:tcPr>
          <w:p w14:paraId="0396322F"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21,984 t</w:t>
            </w:r>
          </w:p>
        </w:tc>
        <w:tc>
          <w:tcPr>
            <w:tcW w:w="390" w:type="pct"/>
            <w:shd w:val="clear" w:color="auto" w:fill="auto"/>
            <w:noWrap/>
            <w:tcMar>
              <w:left w:w="43" w:type="dxa"/>
              <w:right w:w="43" w:type="dxa"/>
            </w:tcMar>
            <w:vAlign w:val="bottom"/>
            <w:hideMark/>
          </w:tcPr>
          <w:p w14:paraId="340FDFB6" w14:textId="78359541"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21,237 t</w:t>
            </w:r>
          </w:p>
        </w:tc>
      </w:tr>
      <w:tr w:rsidR="00A223D8" w:rsidRPr="007D1EDC" w14:paraId="4CA5DBBF" w14:textId="77777777" w:rsidTr="00A223D8">
        <w:trPr>
          <w:trHeight w:val="210"/>
        </w:trPr>
        <w:tc>
          <w:tcPr>
            <w:tcW w:w="1327" w:type="pct"/>
            <w:shd w:val="clear" w:color="auto" w:fill="auto"/>
            <w:noWrap/>
            <w:tcMar>
              <w:left w:w="43" w:type="dxa"/>
              <w:right w:w="43" w:type="dxa"/>
            </w:tcMar>
            <w:vAlign w:val="bottom"/>
            <w:hideMark/>
          </w:tcPr>
          <w:p w14:paraId="62C06D7B" w14:textId="497DE030" w:rsidR="00A223D8" w:rsidRPr="00A223D8" w:rsidRDefault="00A223D8" w:rsidP="00A223D8">
            <w:pPr>
              <w:rPr>
                <w:rFonts w:ascii="Arial Narrow" w:hAnsi="Arial Narrow" w:cs="Calibri"/>
                <w:color w:val="000000"/>
                <w:sz w:val="20"/>
                <w:szCs w:val="20"/>
                <w:lang w:val="en-GB" w:eastAsia="en-GB"/>
              </w:rPr>
            </w:pPr>
            <w:proofErr w:type="spellStart"/>
            <w:r w:rsidRPr="00A223D8">
              <w:rPr>
                <w:rFonts w:ascii="Arial Narrow" w:hAnsi="Arial Narrow" w:cs="Calibri"/>
                <w:color w:val="000000"/>
                <w:sz w:val="20"/>
                <w:szCs w:val="20"/>
                <w:lang w:val="en-GB" w:eastAsia="en-GB"/>
              </w:rPr>
              <w:t>Kostot</w:t>
            </w:r>
            <w:proofErr w:type="spellEnd"/>
            <w:r w:rsidRPr="00A223D8">
              <w:rPr>
                <w:rFonts w:ascii="Arial Narrow" w:hAnsi="Arial Narrow" w:cs="Calibri"/>
                <w:color w:val="000000"/>
                <w:sz w:val="20"/>
                <w:szCs w:val="20"/>
                <w:lang w:val="en-GB" w:eastAsia="en-GB"/>
              </w:rPr>
              <w:t xml:space="preserve"> </w:t>
            </w:r>
            <w:proofErr w:type="spellStart"/>
            <w:r w:rsidRPr="00A223D8">
              <w:rPr>
                <w:rFonts w:ascii="Arial Narrow" w:hAnsi="Arial Narrow" w:cs="Calibri"/>
                <w:color w:val="000000"/>
                <w:sz w:val="20"/>
                <w:szCs w:val="20"/>
                <w:lang w:val="en-GB" w:eastAsia="en-GB"/>
              </w:rPr>
              <w:t>operacionale</w:t>
            </w:r>
            <w:proofErr w:type="spellEnd"/>
            <w:r w:rsidRPr="00A223D8">
              <w:rPr>
                <w:rFonts w:ascii="Arial Narrow" w:hAnsi="Arial Narrow" w:cs="Calibri"/>
                <w:color w:val="000000"/>
                <w:sz w:val="20"/>
                <w:szCs w:val="20"/>
                <w:lang w:val="en-GB" w:eastAsia="en-GB"/>
              </w:rPr>
              <w:t xml:space="preserve">, </w:t>
            </w:r>
            <w:proofErr w:type="spellStart"/>
            <w:r w:rsidRPr="00A223D8">
              <w:rPr>
                <w:rFonts w:ascii="Arial Narrow" w:hAnsi="Arial Narrow" w:cs="Calibri"/>
                <w:color w:val="000000"/>
                <w:sz w:val="20"/>
                <w:szCs w:val="20"/>
                <w:lang w:val="en-GB" w:eastAsia="en-GB"/>
              </w:rPr>
              <w:t>mijë</w:t>
            </w:r>
            <w:proofErr w:type="spellEnd"/>
            <w:r w:rsidRPr="00A223D8">
              <w:rPr>
                <w:rFonts w:ascii="Arial Narrow" w:hAnsi="Arial Narrow" w:cs="Calibri"/>
                <w:color w:val="000000"/>
                <w:sz w:val="20"/>
                <w:szCs w:val="20"/>
                <w:lang w:val="en-GB" w:eastAsia="en-GB"/>
              </w:rPr>
              <w:t xml:space="preserve"> €</w:t>
            </w:r>
          </w:p>
        </w:tc>
        <w:tc>
          <w:tcPr>
            <w:tcW w:w="452" w:type="pct"/>
            <w:shd w:val="clear" w:color="auto" w:fill="auto"/>
            <w:noWrap/>
            <w:tcMar>
              <w:left w:w="43" w:type="dxa"/>
              <w:right w:w="43" w:type="dxa"/>
            </w:tcMar>
            <w:vAlign w:val="bottom"/>
            <w:hideMark/>
          </w:tcPr>
          <w:p w14:paraId="0B34F66E"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1,217</w:t>
            </w:r>
          </w:p>
        </w:tc>
        <w:tc>
          <w:tcPr>
            <w:tcW w:w="433" w:type="pct"/>
            <w:shd w:val="clear" w:color="auto" w:fill="auto"/>
            <w:noWrap/>
            <w:tcMar>
              <w:left w:w="43" w:type="dxa"/>
              <w:right w:w="43" w:type="dxa"/>
            </w:tcMar>
            <w:vAlign w:val="bottom"/>
            <w:hideMark/>
          </w:tcPr>
          <w:p w14:paraId="09DE9F46"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1,174</w:t>
            </w:r>
          </w:p>
        </w:tc>
        <w:tc>
          <w:tcPr>
            <w:tcW w:w="442" w:type="pct"/>
            <w:shd w:val="clear" w:color="auto" w:fill="auto"/>
            <w:noWrap/>
            <w:tcMar>
              <w:left w:w="43" w:type="dxa"/>
              <w:right w:w="43" w:type="dxa"/>
            </w:tcMar>
            <w:vAlign w:val="bottom"/>
            <w:hideMark/>
          </w:tcPr>
          <w:p w14:paraId="3C90F495"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1,138</w:t>
            </w:r>
          </w:p>
        </w:tc>
        <w:tc>
          <w:tcPr>
            <w:tcW w:w="391" w:type="pct"/>
            <w:shd w:val="clear" w:color="auto" w:fill="auto"/>
            <w:noWrap/>
            <w:tcMar>
              <w:left w:w="43" w:type="dxa"/>
              <w:right w:w="43" w:type="dxa"/>
            </w:tcMar>
            <w:vAlign w:val="bottom"/>
            <w:hideMark/>
          </w:tcPr>
          <w:p w14:paraId="2003BBCB"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1,134</w:t>
            </w:r>
          </w:p>
        </w:tc>
        <w:tc>
          <w:tcPr>
            <w:tcW w:w="391" w:type="pct"/>
            <w:shd w:val="clear" w:color="auto" w:fill="auto"/>
            <w:noWrap/>
            <w:tcMar>
              <w:left w:w="43" w:type="dxa"/>
              <w:right w:w="43" w:type="dxa"/>
            </w:tcMar>
            <w:vAlign w:val="bottom"/>
            <w:hideMark/>
          </w:tcPr>
          <w:p w14:paraId="4A480F0C"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1,121</w:t>
            </w:r>
          </w:p>
        </w:tc>
        <w:tc>
          <w:tcPr>
            <w:tcW w:w="391" w:type="pct"/>
            <w:shd w:val="clear" w:color="auto" w:fill="auto"/>
            <w:noWrap/>
            <w:tcMar>
              <w:left w:w="43" w:type="dxa"/>
              <w:right w:w="43" w:type="dxa"/>
            </w:tcMar>
            <w:vAlign w:val="bottom"/>
            <w:hideMark/>
          </w:tcPr>
          <w:p w14:paraId="497610F5"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998</w:t>
            </w:r>
          </w:p>
        </w:tc>
        <w:tc>
          <w:tcPr>
            <w:tcW w:w="392" w:type="pct"/>
            <w:shd w:val="clear" w:color="auto" w:fill="auto"/>
            <w:noWrap/>
            <w:tcMar>
              <w:left w:w="43" w:type="dxa"/>
              <w:right w:w="43" w:type="dxa"/>
            </w:tcMar>
            <w:vAlign w:val="bottom"/>
            <w:hideMark/>
          </w:tcPr>
          <w:p w14:paraId="5175596D"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968</w:t>
            </w:r>
          </w:p>
        </w:tc>
        <w:tc>
          <w:tcPr>
            <w:tcW w:w="391" w:type="pct"/>
            <w:shd w:val="clear" w:color="auto" w:fill="auto"/>
            <w:noWrap/>
            <w:tcMar>
              <w:left w:w="43" w:type="dxa"/>
              <w:right w:w="43" w:type="dxa"/>
            </w:tcMar>
            <w:vAlign w:val="bottom"/>
            <w:hideMark/>
          </w:tcPr>
          <w:p w14:paraId="1DF47CF2"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938</w:t>
            </w:r>
          </w:p>
        </w:tc>
        <w:tc>
          <w:tcPr>
            <w:tcW w:w="390" w:type="pct"/>
            <w:shd w:val="clear" w:color="auto" w:fill="auto"/>
            <w:noWrap/>
            <w:tcMar>
              <w:left w:w="43" w:type="dxa"/>
              <w:right w:w="43" w:type="dxa"/>
            </w:tcMar>
            <w:vAlign w:val="bottom"/>
            <w:hideMark/>
          </w:tcPr>
          <w:p w14:paraId="476A1B4B"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908</w:t>
            </w:r>
          </w:p>
        </w:tc>
      </w:tr>
      <w:tr w:rsidR="00A223D8" w:rsidRPr="007D1EDC" w14:paraId="23496AA4" w14:textId="77777777" w:rsidTr="00A223D8">
        <w:trPr>
          <w:trHeight w:val="210"/>
        </w:trPr>
        <w:tc>
          <w:tcPr>
            <w:tcW w:w="1327" w:type="pct"/>
            <w:shd w:val="clear" w:color="auto" w:fill="auto"/>
            <w:noWrap/>
            <w:tcMar>
              <w:left w:w="43" w:type="dxa"/>
              <w:right w:w="43" w:type="dxa"/>
            </w:tcMar>
            <w:vAlign w:val="bottom"/>
            <w:hideMark/>
          </w:tcPr>
          <w:p w14:paraId="11EBFD84" w14:textId="2F66DB3F" w:rsidR="00A223D8" w:rsidRPr="00A223D8" w:rsidRDefault="00A223D8" w:rsidP="00A223D8">
            <w:pPr>
              <w:rPr>
                <w:rFonts w:ascii="Arial Narrow" w:hAnsi="Arial Narrow" w:cs="Calibri"/>
                <w:color w:val="000000"/>
                <w:sz w:val="20"/>
                <w:szCs w:val="20"/>
                <w:lang w:val="en-GB" w:eastAsia="en-GB"/>
              </w:rPr>
            </w:pPr>
            <w:proofErr w:type="spellStart"/>
            <w:r w:rsidRPr="00A223D8">
              <w:rPr>
                <w:rFonts w:ascii="Arial Narrow" w:hAnsi="Arial Narrow" w:cs="Calibri"/>
                <w:color w:val="000000"/>
                <w:sz w:val="20"/>
                <w:szCs w:val="20"/>
                <w:lang w:val="en-GB" w:eastAsia="en-GB"/>
              </w:rPr>
              <w:t>Amortizimi</w:t>
            </w:r>
            <w:proofErr w:type="spellEnd"/>
            <w:r w:rsidRPr="00A223D8">
              <w:rPr>
                <w:rFonts w:ascii="Arial Narrow" w:hAnsi="Arial Narrow" w:cs="Calibri"/>
                <w:color w:val="000000"/>
                <w:sz w:val="20"/>
                <w:szCs w:val="20"/>
                <w:lang w:val="en-GB" w:eastAsia="en-GB"/>
              </w:rPr>
              <w:t xml:space="preserve">, </w:t>
            </w:r>
            <w:proofErr w:type="spellStart"/>
            <w:r w:rsidRPr="00A223D8">
              <w:rPr>
                <w:rFonts w:ascii="Arial Narrow" w:hAnsi="Arial Narrow" w:cs="Calibri"/>
                <w:color w:val="000000"/>
                <w:sz w:val="20"/>
                <w:szCs w:val="20"/>
                <w:lang w:val="en-GB" w:eastAsia="en-GB"/>
              </w:rPr>
              <w:t>mijë</w:t>
            </w:r>
            <w:proofErr w:type="spellEnd"/>
            <w:r w:rsidRPr="00A223D8">
              <w:rPr>
                <w:rFonts w:ascii="Arial Narrow" w:hAnsi="Arial Narrow" w:cs="Calibri"/>
                <w:color w:val="000000"/>
                <w:sz w:val="20"/>
                <w:szCs w:val="20"/>
                <w:lang w:val="en-GB" w:eastAsia="en-GB"/>
              </w:rPr>
              <w:t xml:space="preserve"> €</w:t>
            </w:r>
          </w:p>
        </w:tc>
        <w:tc>
          <w:tcPr>
            <w:tcW w:w="452" w:type="pct"/>
            <w:shd w:val="clear" w:color="auto" w:fill="auto"/>
            <w:noWrap/>
            <w:tcMar>
              <w:left w:w="43" w:type="dxa"/>
              <w:right w:w="43" w:type="dxa"/>
            </w:tcMar>
            <w:vAlign w:val="bottom"/>
            <w:hideMark/>
          </w:tcPr>
          <w:p w14:paraId="25695D3D"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393</w:t>
            </w:r>
          </w:p>
        </w:tc>
        <w:tc>
          <w:tcPr>
            <w:tcW w:w="433" w:type="pct"/>
            <w:shd w:val="clear" w:color="auto" w:fill="auto"/>
            <w:noWrap/>
            <w:tcMar>
              <w:left w:w="43" w:type="dxa"/>
              <w:right w:w="43" w:type="dxa"/>
            </w:tcMar>
            <w:vAlign w:val="bottom"/>
            <w:hideMark/>
          </w:tcPr>
          <w:p w14:paraId="562AAE0C"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393</w:t>
            </w:r>
          </w:p>
        </w:tc>
        <w:tc>
          <w:tcPr>
            <w:tcW w:w="442" w:type="pct"/>
            <w:shd w:val="clear" w:color="auto" w:fill="auto"/>
            <w:noWrap/>
            <w:tcMar>
              <w:left w:w="43" w:type="dxa"/>
              <w:right w:w="43" w:type="dxa"/>
            </w:tcMar>
            <w:vAlign w:val="bottom"/>
            <w:hideMark/>
          </w:tcPr>
          <w:p w14:paraId="3E63E7BD"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393</w:t>
            </w:r>
          </w:p>
        </w:tc>
        <w:tc>
          <w:tcPr>
            <w:tcW w:w="391" w:type="pct"/>
            <w:shd w:val="clear" w:color="auto" w:fill="auto"/>
            <w:noWrap/>
            <w:tcMar>
              <w:left w:w="43" w:type="dxa"/>
              <w:right w:w="43" w:type="dxa"/>
            </w:tcMar>
            <w:vAlign w:val="bottom"/>
            <w:hideMark/>
          </w:tcPr>
          <w:p w14:paraId="19BE0E49"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393</w:t>
            </w:r>
          </w:p>
        </w:tc>
        <w:tc>
          <w:tcPr>
            <w:tcW w:w="391" w:type="pct"/>
            <w:shd w:val="clear" w:color="auto" w:fill="auto"/>
            <w:noWrap/>
            <w:tcMar>
              <w:left w:w="43" w:type="dxa"/>
              <w:right w:w="43" w:type="dxa"/>
            </w:tcMar>
            <w:vAlign w:val="bottom"/>
            <w:hideMark/>
          </w:tcPr>
          <w:p w14:paraId="2B36CB15"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393</w:t>
            </w:r>
          </w:p>
        </w:tc>
        <w:tc>
          <w:tcPr>
            <w:tcW w:w="391" w:type="pct"/>
            <w:shd w:val="clear" w:color="auto" w:fill="auto"/>
            <w:noWrap/>
            <w:tcMar>
              <w:left w:w="43" w:type="dxa"/>
              <w:right w:w="43" w:type="dxa"/>
            </w:tcMar>
            <w:vAlign w:val="bottom"/>
            <w:hideMark/>
          </w:tcPr>
          <w:p w14:paraId="70199FD2"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358</w:t>
            </w:r>
          </w:p>
        </w:tc>
        <w:tc>
          <w:tcPr>
            <w:tcW w:w="392" w:type="pct"/>
            <w:shd w:val="clear" w:color="auto" w:fill="auto"/>
            <w:noWrap/>
            <w:tcMar>
              <w:left w:w="43" w:type="dxa"/>
              <w:right w:w="43" w:type="dxa"/>
            </w:tcMar>
            <w:vAlign w:val="bottom"/>
            <w:hideMark/>
          </w:tcPr>
          <w:p w14:paraId="22152829"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358</w:t>
            </w:r>
          </w:p>
        </w:tc>
        <w:tc>
          <w:tcPr>
            <w:tcW w:w="391" w:type="pct"/>
            <w:shd w:val="clear" w:color="auto" w:fill="auto"/>
            <w:noWrap/>
            <w:tcMar>
              <w:left w:w="43" w:type="dxa"/>
              <w:right w:w="43" w:type="dxa"/>
            </w:tcMar>
            <w:vAlign w:val="bottom"/>
            <w:hideMark/>
          </w:tcPr>
          <w:p w14:paraId="20B283E3"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358</w:t>
            </w:r>
          </w:p>
        </w:tc>
        <w:tc>
          <w:tcPr>
            <w:tcW w:w="390" w:type="pct"/>
            <w:shd w:val="clear" w:color="auto" w:fill="auto"/>
            <w:noWrap/>
            <w:tcMar>
              <w:left w:w="43" w:type="dxa"/>
              <w:right w:w="43" w:type="dxa"/>
            </w:tcMar>
            <w:vAlign w:val="bottom"/>
            <w:hideMark/>
          </w:tcPr>
          <w:p w14:paraId="7B7A70E1"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358</w:t>
            </w:r>
          </w:p>
        </w:tc>
      </w:tr>
      <w:tr w:rsidR="00A223D8" w:rsidRPr="007D1EDC" w14:paraId="48ECF8E7" w14:textId="77777777" w:rsidTr="00A223D8">
        <w:trPr>
          <w:trHeight w:val="210"/>
        </w:trPr>
        <w:tc>
          <w:tcPr>
            <w:tcW w:w="1327" w:type="pct"/>
            <w:shd w:val="clear" w:color="auto" w:fill="auto"/>
            <w:noWrap/>
            <w:tcMar>
              <w:left w:w="43" w:type="dxa"/>
              <w:right w:w="43" w:type="dxa"/>
            </w:tcMar>
            <w:vAlign w:val="bottom"/>
          </w:tcPr>
          <w:p w14:paraId="528CD5A4" w14:textId="4DEDC365" w:rsidR="00A223D8" w:rsidRPr="00A223D8" w:rsidRDefault="00A223D8" w:rsidP="00A223D8">
            <w:pPr>
              <w:rPr>
                <w:rFonts w:ascii="Arial Narrow" w:hAnsi="Arial Narrow" w:cs="Calibri"/>
                <w:b/>
                <w:bCs/>
                <w:color w:val="000000"/>
                <w:sz w:val="20"/>
                <w:szCs w:val="20"/>
                <w:lang w:val="en-GB" w:eastAsia="en-GB"/>
              </w:rPr>
            </w:pPr>
            <w:r w:rsidRPr="00A223D8">
              <w:rPr>
                <w:rFonts w:ascii="Arial Narrow" w:hAnsi="Arial Narrow" w:cs="Calibri"/>
                <w:b/>
                <w:bCs/>
                <w:color w:val="000000"/>
                <w:sz w:val="20"/>
                <w:szCs w:val="20"/>
              </w:rPr>
              <w:t>Kostot totale të grumbullimit, mijë €</w:t>
            </w:r>
          </w:p>
        </w:tc>
        <w:tc>
          <w:tcPr>
            <w:tcW w:w="452" w:type="pct"/>
            <w:shd w:val="clear" w:color="auto" w:fill="auto"/>
            <w:noWrap/>
            <w:tcMar>
              <w:left w:w="43" w:type="dxa"/>
              <w:right w:w="43" w:type="dxa"/>
            </w:tcMar>
            <w:vAlign w:val="bottom"/>
          </w:tcPr>
          <w:p w14:paraId="7FECDA07"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1,610</w:t>
            </w:r>
          </w:p>
        </w:tc>
        <w:tc>
          <w:tcPr>
            <w:tcW w:w="433" w:type="pct"/>
            <w:shd w:val="clear" w:color="auto" w:fill="auto"/>
            <w:noWrap/>
            <w:tcMar>
              <w:left w:w="43" w:type="dxa"/>
              <w:right w:w="43" w:type="dxa"/>
            </w:tcMar>
            <w:vAlign w:val="bottom"/>
          </w:tcPr>
          <w:p w14:paraId="3C753C7F"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1,567</w:t>
            </w:r>
          </w:p>
        </w:tc>
        <w:tc>
          <w:tcPr>
            <w:tcW w:w="442" w:type="pct"/>
            <w:shd w:val="clear" w:color="auto" w:fill="auto"/>
            <w:noWrap/>
            <w:tcMar>
              <w:left w:w="43" w:type="dxa"/>
              <w:right w:w="43" w:type="dxa"/>
            </w:tcMar>
            <w:vAlign w:val="bottom"/>
          </w:tcPr>
          <w:p w14:paraId="789EBB03"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1,531</w:t>
            </w:r>
          </w:p>
        </w:tc>
        <w:tc>
          <w:tcPr>
            <w:tcW w:w="391" w:type="pct"/>
            <w:shd w:val="clear" w:color="auto" w:fill="auto"/>
            <w:noWrap/>
            <w:tcMar>
              <w:left w:w="43" w:type="dxa"/>
              <w:right w:w="43" w:type="dxa"/>
            </w:tcMar>
            <w:vAlign w:val="bottom"/>
          </w:tcPr>
          <w:p w14:paraId="7C794AFC"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1,527</w:t>
            </w:r>
          </w:p>
        </w:tc>
        <w:tc>
          <w:tcPr>
            <w:tcW w:w="391" w:type="pct"/>
            <w:shd w:val="clear" w:color="auto" w:fill="auto"/>
            <w:noWrap/>
            <w:tcMar>
              <w:left w:w="43" w:type="dxa"/>
              <w:right w:w="43" w:type="dxa"/>
            </w:tcMar>
            <w:vAlign w:val="bottom"/>
          </w:tcPr>
          <w:p w14:paraId="543EB123"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1,515</w:t>
            </w:r>
          </w:p>
        </w:tc>
        <w:tc>
          <w:tcPr>
            <w:tcW w:w="391" w:type="pct"/>
            <w:shd w:val="clear" w:color="auto" w:fill="auto"/>
            <w:noWrap/>
            <w:tcMar>
              <w:left w:w="43" w:type="dxa"/>
              <w:right w:w="43" w:type="dxa"/>
            </w:tcMar>
            <w:vAlign w:val="bottom"/>
          </w:tcPr>
          <w:p w14:paraId="041E74D8"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1,356</w:t>
            </w:r>
          </w:p>
        </w:tc>
        <w:tc>
          <w:tcPr>
            <w:tcW w:w="392" w:type="pct"/>
            <w:shd w:val="clear" w:color="auto" w:fill="auto"/>
            <w:noWrap/>
            <w:tcMar>
              <w:left w:w="43" w:type="dxa"/>
              <w:right w:w="43" w:type="dxa"/>
            </w:tcMar>
            <w:vAlign w:val="bottom"/>
          </w:tcPr>
          <w:p w14:paraId="1F752FE1"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1,326</w:t>
            </w:r>
          </w:p>
        </w:tc>
        <w:tc>
          <w:tcPr>
            <w:tcW w:w="391" w:type="pct"/>
            <w:shd w:val="clear" w:color="auto" w:fill="auto"/>
            <w:noWrap/>
            <w:tcMar>
              <w:left w:w="43" w:type="dxa"/>
              <w:right w:w="43" w:type="dxa"/>
            </w:tcMar>
            <w:vAlign w:val="bottom"/>
          </w:tcPr>
          <w:p w14:paraId="6DBA810F"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1,296</w:t>
            </w:r>
          </w:p>
        </w:tc>
        <w:tc>
          <w:tcPr>
            <w:tcW w:w="390" w:type="pct"/>
            <w:shd w:val="clear" w:color="auto" w:fill="auto"/>
            <w:noWrap/>
            <w:tcMar>
              <w:left w:w="43" w:type="dxa"/>
              <w:right w:w="43" w:type="dxa"/>
            </w:tcMar>
            <w:vAlign w:val="bottom"/>
          </w:tcPr>
          <w:p w14:paraId="26F610BD"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1,266</w:t>
            </w:r>
          </w:p>
        </w:tc>
      </w:tr>
      <w:tr w:rsidR="00A223D8" w:rsidRPr="007D1EDC" w14:paraId="0212BA46" w14:textId="77777777" w:rsidTr="00A223D8">
        <w:trPr>
          <w:trHeight w:val="210"/>
        </w:trPr>
        <w:tc>
          <w:tcPr>
            <w:tcW w:w="1327" w:type="pct"/>
            <w:shd w:val="clear" w:color="auto" w:fill="auto"/>
            <w:noWrap/>
            <w:tcMar>
              <w:left w:w="43" w:type="dxa"/>
              <w:right w:w="43" w:type="dxa"/>
            </w:tcMar>
            <w:vAlign w:val="bottom"/>
            <w:hideMark/>
          </w:tcPr>
          <w:p w14:paraId="46159261" w14:textId="54F0B0B1" w:rsidR="00A223D8" w:rsidRPr="00A223D8" w:rsidRDefault="00A223D8" w:rsidP="00A223D8">
            <w:pPr>
              <w:rPr>
                <w:rFonts w:ascii="Arial Narrow" w:hAnsi="Arial Narrow" w:cs="Calibri"/>
                <w:color w:val="000000"/>
                <w:sz w:val="20"/>
                <w:szCs w:val="20"/>
                <w:lang w:val="en-GB" w:eastAsia="en-GB"/>
              </w:rPr>
            </w:pPr>
            <w:proofErr w:type="spellStart"/>
            <w:r w:rsidRPr="00A223D8">
              <w:rPr>
                <w:rFonts w:ascii="Arial Narrow" w:hAnsi="Arial Narrow" w:cs="Calibri"/>
                <w:color w:val="000000"/>
                <w:sz w:val="20"/>
                <w:szCs w:val="20"/>
                <w:lang w:val="en-GB" w:eastAsia="en-GB"/>
              </w:rPr>
              <w:t>Kostoja</w:t>
            </w:r>
            <w:proofErr w:type="spellEnd"/>
            <w:r w:rsidRPr="00A223D8">
              <w:rPr>
                <w:rFonts w:ascii="Arial Narrow" w:hAnsi="Arial Narrow" w:cs="Calibri"/>
                <w:color w:val="000000"/>
                <w:sz w:val="20"/>
                <w:szCs w:val="20"/>
                <w:lang w:val="en-GB" w:eastAsia="en-GB"/>
              </w:rPr>
              <w:t xml:space="preserve"> </w:t>
            </w:r>
            <w:proofErr w:type="spellStart"/>
            <w:r w:rsidRPr="00A223D8">
              <w:rPr>
                <w:rFonts w:ascii="Arial Narrow" w:hAnsi="Arial Narrow" w:cs="Calibri"/>
                <w:color w:val="000000"/>
                <w:sz w:val="20"/>
                <w:szCs w:val="20"/>
                <w:lang w:val="en-GB" w:eastAsia="en-GB"/>
              </w:rPr>
              <w:t>për</w:t>
            </w:r>
            <w:proofErr w:type="spellEnd"/>
            <w:r w:rsidRPr="00A223D8">
              <w:rPr>
                <w:rFonts w:ascii="Arial Narrow" w:hAnsi="Arial Narrow" w:cs="Calibri"/>
                <w:color w:val="000000"/>
                <w:sz w:val="20"/>
                <w:szCs w:val="20"/>
                <w:lang w:val="en-GB" w:eastAsia="en-GB"/>
              </w:rPr>
              <w:t xml:space="preserve"> ton</w:t>
            </w:r>
          </w:p>
        </w:tc>
        <w:tc>
          <w:tcPr>
            <w:tcW w:w="452" w:type="pct"/>
            <w:shd w:val="clear" w:color="auto" w:fill="auto"/>
            <w:noWrap/>
            <w:tcMar>
              <w:left w:w="43" w:type="dxa"/>
              <w:right w:w="43" w:type="dxa"/>
            </w:tcMar>
            <w:vAlign w:val="bottom"/>
            <w:hideMark/>
          </w:tcPr>
          <w:p w14:paraId="449D729F"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51 €/t</w:t>
            </w:r>
          </w:p>
        </w:tc>
        <w:tc>
          <w:tcPr>
            <w:tcW w:w="433" w:type="pct"/>
            <w:shd w:val="clear" w:color="auto" w:fill="auto"/>
            <w:noWrap/>
            <w:tcMar>
              <w:left w:w="43" w:type="dxa"/>
              <w:right w:w="43" w:type="dxa"/>
            </w:tcMar>
            <w:vAlign w:val="bottom"/>
            <w:hideMark/>
          </w:tcPr>
          <w:p w14:paraId="6743205E"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51 €/t</w:t>
            </w:r>
          </w:p>
        </w:tc>
        <w:tc>
          <w:tcPr>
            <w:tcW w:w="442" w:type="pct"/>
            <w:shd w:val="clear" w:color="auto" w:fill="auto"/>
            <w:noWrap/>
            <w:tcMar>
              <w:left w:w="43" w:type="dxa"/>
              <w:right w:w="43" w:type="dxa"/>
            </w:tcMar>
            <w:vAlign w:val="bottom"/>
            <w:hideMark/>
          </w:tcPr>
          <w:p w14:paraId="153D917D"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53 €/t</w:t>
            </w:r>
          </w:p>
        </w:tc>
        <w:tc>
          <w:tcPr>
            <w:tcW w:w="391" w:type="pct"/>
            <w:shd w:val="clear" w:color="auto" w:fill="auto"/>
            <w:noWrap/>
            <w:tcMar>
              <w:left w:w="43" w:type="dxa"/>
              <w:right w:w="43" w:type="dxa"/>
            </w:tcMar>
            <w:vAlign w:val="bottom"/>
            <w:hideMark/>
          </w:tcPr>
          <w:p w14:paraId="76032BFE"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55 €/t</w:t>
            </w:r>
          </w:p>
        </w:tc>
        <w:tc>
          <w:tcPr>
            <w:tcW w:w="391" w:type="pct"/>
            <w:shd w:val="clear" w:color="auto" w:fill="auto"/>
            <w:noWrap/>
            <w:tcMar>
              <w:left w:w="43" w:type="dxa"/>
              <w:right w:w="43" w:type="dxa"/>
            </w:tcMar>
            <w:vAlign w:val="bottom"/>
            <w:hideMark/>
          </w:tcPr>
          <w:p w14:paraId="72BBA954"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55 €/t</w:t>
            </w:r>
          </w:p>
        </w:tc>
        <w:tc>
          <w:tcPr>
            <w:tcW w:w="391" w:type="pct"/>
            <w:shd w:val="clear" w:color="auto" w:fill="auto"/>
            <w:noWrap/>
            <w:tcMar>
              <w:left w:w="43" w:type="dxa"/>
              <w:right w:w="43" w:type="dxa"/>
            </w:tcMar>
            <w:vAlign w:val="bottom"/>
            <w:hideMark/>
          </w:tcPr>
          <w:p w14:paraId="245BF7AC"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57 €/t</w:t>
            </w:r>
          </w:p>
        </w:tc>
        <w:tc>
          <w:tcPr>
            <w:tcW w:w="392" w:type="pct"/>
            <w:shd w:val="clear" w:color="auto" w:fill="auto"/>
            <w:noWrap/>
            <w:tcMar>
              <w:left w:w="43" w:type="dxa"/>
              <w:right w:w="43" w:type="dxa"/>
            </w:tcMar>
            <w:vAlign w:val="bottom"/>
            <w:hideMark/>
          </w:tcPr>
          <w:p w14:paraId="77395A92"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58 €/t</w:t>
            </w:r>
          </w:p>
        </w:tc>
        <w:tc>
          <w:tcPr>
            <w:tcW w:w="391" w:type="pct"/>
            <w:shd w:val="clear" w:color="auto" w:fill="auto"/>
            <w:noWrap/>
            <w:tcMar>
              <w:left w:w="43" w:type="dxa"/>
              <w:right w:w="43" w:type="dxa"/>
            </w:tcMar>
            <w:vAlign w:val="bottom"/>
            <w:hideMark/>
          </w:tcPr>
          <w:p w14:paraId="6E54921D"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59 €/t</w:t>
            </w:r>
          </w:p>
        </w:tc>
        <w:tc>
          <w:tcPr>
            <w:tcW w:w="390" w:type="pct"/>
            <w:shd w:val="clear" w:color="auto" w:fill="auto"/>
            <w:noWrap/>
            <w:tcMar>
              <w:left w:w="43" w:type="dxa"/>
              <w:right w:w="43" w:type="dxa"/>
            </w:tcMar>
            <w:vAlign w:val="bottom"/>
            <w:hideMark/>
          </w:tcPr>
          <w:p w14:paraId="3D766523"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60 €/t</w:t>
            </w:r>
          </w:p>
        </w:tc>
      </w:tr>
    </w:tbl>
    <w:p w14:paraId="2380B8A4" w14:textId="77777777" w:rsidR="007D1EDC" w:rsidRPr="007D1EDC" w:rsidRDefault="007D1EDC" w:rsidP="007D1EDC">
      <w:pPr>
        <w:rPr>
          <w:rFonts w:ascii="Arial Narrow" w:hAnsi="Arial Narrow"/>
          <w:sz w:val="20"/>
        </w:rPr>
      </w:pPr>
    </w:p>
    <w:p w14:paraId="1C3841AD" w14:textId="6EFA100A" w:rsidR="007D1EDC" w:rsidRPr="007D1EDC" w:rsidRDefault="007D1EDC" w:rsidP="007D1EDC">
      <w:pPr>
        <w:suppressAutoHyphens/>
        <w:rPr>
          <w:rFonts w:ascii="Arial Narrow" w:eastAsia="Calibri" w:hAnsi="Arial Narrow" w:cs="Calibri"/>
          <w:color w:val="1F497D"/>
          <w:sz w:val="20"/>
          <w:szCs w:val="20"/>
        </w:rPr>
      </w:pPr>
      <w:bookmarkStart w:id="637" w:name="_Toc190966783"/>
      <w:bookmarkStart w:id="638" w:name="_Toc197472280"/>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95.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 xml:space="preserve">Kostot e </w:t>
      </w:r>
      <w:r w:rsidR="00A223D8">
        <w:rPr>
          <w:rFonts w:ascii="Arial Narrow" w:eastAsia="Calibri" w:hAnsi="Arial Narrow" w:cs="Calibri"/>
          <w:color w:val="1F497D"/>
          <w:sz w:val="20"/>
          <w:szCs w:val="20"/>
        </w:rPr>
        <w:t>grumbullimit</w:t>
      </w:r>
      <w:r w:rsidRPr="007D1EDC">
        <w:rPr>
          <w:rFonts w:ascii="Arial Narrow" w:eastAsia="Calibri" w:hAnsi="Arial Narrow" w:cs="Calibri"/>
          <w:color w:val="1F497D"/>
          <w:sz w:val="20"/>
          <w:szCs w:val="20"/>
        </w:rPr>
        <w:t xml:space="preserve"> dhe transferimit të mbeturinave të </w:t>
      </w:r>
      <w:r w:rsidR="00A223D8">
        <w:rPr>
          <w:rFonts w:ascii="Arial Narrow" w:eastAsia="Calibri" w:hAnsi="Arial Narrow" w:cs="Calibri"/>
          <w:color w:val="1F497D"/>
          <w:sz w:val="20"/>
          <w:szCs w:val="20"/>
        </w:rPr>
        <w:t>përziera</w:t>
      </w:r>
      <w:r w:rsidRPr="007D1EDC">
        <w:rPr>
          <w:rFonts w:ascii="Arial Narrow" w:eastAsia="Calibri" w:hAnsi="Arial Narrow" w:cs="Calibri"/>
          <w:color w:val="1F497D"/>
          <w:sz w:val="20"/>
          <w:szCs w:val="20"/>
        </w:rPr>
        <w:t xml:space="preserve"> </w:t>
      </w:r>
      <w:r w:rsidR="00A223D8">
        <w:rPr>
          <w:rFonts w:ascii="Arial Narrow" w:eastAsia="Calibri" w:hAnsi="Arial Narrow" w:cs="Calibri"/>
          <w:color w:val="1F497D"/>
          <w:sz w:val="20"/>
          <w:szCs w:val="20"/>
        </w:rPr>
        <w:t>n</w:t>
      </w:r>
      <w:r w:rsidRPr="007D1EDC">
        <w:rPr>
          <w:rFonts w:ascii="Arial Narrow" w:eastAsia="Calibri" w:hAnsi="Arial Narrow" w:cs="Calibri"/>
          <w:color w:val="1F497D"/>
          <w:sz w:val="20"/>
          <w:szCs w:val="20"/>
        </w:rPr>
        <w:t>ë Istog, mijë euro</w:t>
      </w:r>
      <w:bookmarkEnd w:id="637"/>
      <w:bookmarkEnd w:id="6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2"/>
        <w:gridCol w:w="622"/>
        <w:gridCol w:w="588"/>
        <w:gridCol w:w="627"/>
        <w:gridCol w:w="627"/>
        <w:gridCol w:w="628"/>
        <w:gridCol w:w="628"/>
        <w:gridCol w:w="628"/>
        <w:gridCol w:w="628"/>
        <w:gridCol w:w="628"/>
      </w:tblGrid>
      <w:tr w:rsidR="00A223D8" w:rsidRPr="007D1EDC" w14:paraId="0F62320B" w14:textId="77777777" w:rsidTr="00A223D8">
        <w:trPr>
          <w:trHeight w:val="210"/>
        </w:trPr>
        <w:tc>
          <w:tcPr>
            <w:tcW w:w="1664" w:type="pct"/>
            <w:tcBorders>
              <w:top w:val="single" w:sz="4" w:space="0" w:color="auto"/>
              <w:left w:val="single" w:sz="4" w:space="0" w:color="auto"/>
              <w:bottom w:val="single" w:sz="4" w:space="0" w:color="auto"/>
              <w:right w:val="single" w:sz="4" w:space="0" w:color="auto"/>
            </w:tcBorders>
            <w:shd w:val="clear" w:color="auto" w:fill="365F91"/>
            <w:noWrap/>
            <w:tcMar>
              <w:left w:w="43" w:type="dxa"/>
              <w:right w:w="43" w:type="dxa"/>
            </w:tcMar>
            <w:vAlign w:val="bottom"/>
            <w:hideMark/>
          </w:tcPr>
          <w:p w14:paraId="353C4903" w14:textId="77777777" w:rsidR="007D1EDC" w:rsidRPr="007D1EDC" w:rsidRDefault="007D1EDC" w:rsidP="007D1EDC">
            <w:pPr>
              <w:rPr>
                <w:rFonts w:ascii="Arial Narrow" w:hAnsi="Arial Narrow" w:cs="Calibri"/>
                <w:b/>
                <w:bCs/>
                <w:color w:val="FFFFFF" w:themeColor="background1"/>
                <w:sz w:val="20"/>
                <w:szCs w:val="20"/>
                <w:lang w:val="en-GB" w:eastAsia="en-GB"/>
              </w:rPr>
            </w:pPr>
            <w:proofErr w:type="spellStart"/>
            <w:r w:rsidRPr="007D1EDC">
              <w:rPr>
                <w:rFonts w:ascii="Arial Narrow" w:hAnsi="Arial Narrow" w:cs="Calibri"/>
                <w:b/>
                <w:bCs/>
                <w:color w:val="FFFFFF" w:themeColor="background1"/>
                <w:sz w:val="20"/>
                <w:szCs w:val="20"/>
                <w:lang w:val="en-GB" w:eastAsia="en-GB"/>
              </w:rPr>
              <w:t>Istog</w:t>
            </w:r>
            <w:proofErr w:type="spellEnd"/>
          </w:p>
        </w:tc>
        <w:tc>
          <w:tcPr>
            <w:tcW w:w="377" w:type="pct"/>
            <w:tcBorders>
              <w:top w:val="single" w:sz="4" w:space="0" w:color="auto"/>
              <w:left w:val="single" w:sz="4" w:space="0" w:color="auto"/>
              <w:bottom w:val="single" w:sz="4" w:space="0" w:color="auto"/>
              <w:right w:val="single" w:sz="4" w:space="0" w:color="auto"/>
            </w:tcBorders>
            <w:shd w:val="clear" w:color="auto" w:fill="365F91"/>
            <w:noWrap/>
            <w:tcMar>
              <w:left w:w="43" w:type="dxa"/>
              <w:right w:w="43" w:type="dxa"/>
            </w:tcMar>
            <w:vAlign w:val="bottom"/>
            <w:hideMark/>
          </w:tcPr>
          <w:p w14:paraId="64C9D6A6"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2027</w:t>
            </w:r>
          </w:p>
        </w:tc>
        <w:tc>
          <w:tcPr>
            <w:tcW w:w="296" w:type="pct"/>
            <w:tcBorders>
              <w:top w:val="single" w:sz="4" w:space="0" w:color="auto"/>
              <w:left w:val="single" w:sz="4" w:space="0" w:color="auto"/>
              <w:bottom w:val="single" w:sz="4" w:space="0" w:color="auto"/>
              <w:right w:val="single" w:sz="4" w:space="0" w:color="auto"/>
            </w:tcBorders>
            <w:shd w:val="clear" w:color="auto" w:fill="365F91"/>
            <w:noWrap/>
            <w:tcMar>
              <w:left w:w="43" w:type="dxa"/>
              <w:right w:w="43" w:type="dxa"/>
            </w:tcMar>
            <w:vAlign w:val="bottom"/>
            <w:hideMark/>
          </w:tcPr>
          <w:p w14:paraId="2E3C80FD"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2028</w:t>
            </w:r>
          </w:p>
        </w:tc>
        <w:tc>
          <w:tcPr>
            <w:tcW w:w="380" w:type="pct"/>
            <w:tcBorders>
              <w:top w:val="single" w:sz="4" w:space="0" w:color="auto"/>
              <w:left w:val="single" w:sz="4" w:space="0" w:color="auto"/>
              <w:bottom w:val="single" w:sz="4" w:space="0" w:color="auto"/>
              <w:right w:val="single" w:sz="4" w:space="0" w:color="auto"/>
            </w:tcBorders>
            <w:shd w:val="clear" w:color="auto" w:fill="365F91"/>
            <w:noWrap/>
            <w:tcMar>
              <w:left w:w="43" w:type="dxa"/>
              <w:right w:w="43" w:type="dxa"/>
            </w:tcMar>
            <w:vAlign w:val="bottom"/>
            <w:hideMark/>
          </w:tcPr>
          <w:p w14:paraId="622D25DA"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2029</w:t>
            </w:r>
          </w:p>
        </w:tc>
        <w:tc>
          <w:tcPr>
            <w:tcW w:w="380" w:type="pct"/>
            <w:tcBorders>
              <w:top w:val="single" w:sz="4" w:space="0" w:color="auto"/>
              <w:left w:val="single" w:sz="4" w:space="0" w:color="auto"/>
              <w:bottom w:val="single" w:sz="4" w:space="0" w:color="auto"/>
              <w:right w:val="single" w:sz="4" w:space="0" w:color="auto"/>
            </w:tcBorders>
            <w:shd w:val="clear" w:color="auto" w:fill="365F91"/>
            <w:noWrap/>
            <w:tcMar>
              <w:left w:w="43" w:type="dxa"/>
              <w:right w:w="43" w:type="dxa"/>
            </w:tcMar>
            <w:vAlign w:val="bottom"/>
            <w:hideMark/>
          </w:tcPr>
          <w:p w14:paraId="79120205"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2030</w:t>
            </w:r>
          </w:p>
        </w:tc>
        <w:tc>
          <w:tcPr>
            <w:tcW w:w="380" w:type="pct"/>
            <w:tcBorders>
              <w:top w:val="single" w:sz="4" w:space="0" w:color="auto"/>
              <w:left w:val="single" w:sz="4" w:space="0" w:color="auto"/>
              <w:bottom w:val="single" w:sz="4" w:space="0" w:color="auto"/>
              <w:right w:val="single" w:sz="4" w:space="0" w:color="auto"/>
            </w:tcBorders>
            <w:shd w:val="clear" w:color="auto" w:fill="365F91"/>
            <w:noWrap/>
            <w:tcMar>
              <w:left w:w="43" w:type="dxa"/>
              <w:right w:w="43" w:type="dxa"/>
            </w:tcMar>
            <w:vAlign w:val="bottom"/>
            <w:hideMark/>
          </w:tcPr>
          <w:p w14:paraId="42E47440"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2031</w:t>
            </w:r>
          </w:p>
        </w:tc>
        <w:tc>
          <w:tcPr>
            <w:tcW w:w="380" w:type="pct"/>
            <w:tcBorders>
              <w:top w:val="single" w:sz="4" w:space="0" w:color="auto"/>
              <w:left w:val="single" w:sz="4" w:space="0" w:color="auto"/>
              <w:bottom w:val="single" w:sz="4" w:space="0" w:color="auto"/>
              <w:right w:val="single" w:sz="4" w:space="0" w:color="auto"/>
            </w:tcBorders>
            <w:shd w:val="clear" w:color="auto" w:fill="365F91"/>
            <w:noWrap/>
            <w:tcMar>
              <w:left w:w="43" w:type="dxa"/>
              <w:right w:w="43" w:type="dxa"/>
            </w:tcMar>
            <w:vAlign w:val="bottom"/>
            <w:hideMark/>
          </w:tcPr>
          <w:p w14:paraId="514C8D98"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2032</w:t>
            </w:r>
          </w:p>
        </w:tc>
        <w:tc>
          <w:tcPr>
            <w:tcW w:w="380" w:type="pct"/>
            <w:tcBorders>
              <w:top w:val="single" w:sz="4" w:space="0" w:color="auto"/>
              <w:left w:val="single" w:sz="4" w:space="0" w:color="auto"/>
              <w:bottom w:val="single" w:sz="4" w:space="0" w:color="auto"/>
              <w:right w:val="single" w:sz="4" w:space="0" w:color="auto"/>
            </w:tcBorders>
            <w:shd w:val="clear" w:color="auto" w:fill="365F91"/>
            <w:noWrap/>
            <w:tcMar>
              <w:left w:w="43" w:type="dxa"/>
              <w:right w:w="43" w:type="dxa"/>
            </w:tcMar>
            <w:vAlign w:val="bottom"/>
            <w:hideMark/>
          </w:tcPr>
          <w:p w14:paraId="00E0F1F7"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2033</w:t>
            </w:r>
          </w:p>
        </w:tc>
        <w:tc>
          <w:tcPr>
            <w:tcW w:w="380" w:type="pct"/>
            <w:tcBorders>
              <w:top w:val="single" w:sz="4" w:space="0" w:color="auto"/>
              <w:left w:val="single" w:sz="4" w:space="0" w:color="auto"/>
              <w:bottom w:val="single" w:sz="4" w:space="0" w:color="auto"/>
              <w:right w:val="single" w:sz="4" w:space="0" w:color="auto"/>
            </w:tcBorders>
            <w:shd w:val="clear" w:color="auto" w:fill="365F91"/>
            <w:noWrap/>
            <w:tcMar>
              <w:left w:w="43" w:type="dxa"/>
              <w:right w:w="43" w:type="dxa"/>
            </w:tcMar>
            <w:vAlign w:val="bottom"/>
            <w:hideMark/>
          </w:tcPr>
          <w:p w14:paraId="50AF39DE"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2034</w:t>
            </w:r>
          </w:p>
        </w:tc>
        <w:tc>
          <w:tcPr>
            <w:tcW w:w="380" w:type="pct"/>
            <w:tcBorders>
              <w:top w:val="single" w:sz="4" w:space="0" w:color="auto"/>
              <w:left w:val="single" w:sz="4" w:space="0" w:color="auto"/>
              <w:bottom w:val="single" w:sz="4" w:space="0" w:color="auto"/>
              <w:right w:val="single" w:sz="4" w:space="0" w:color="auto"/>
            </w:tcBorders>
            <w:shd w:val="clear" w:color="auto" w:fill="365F91"/>
            <w:noWrap/>
            <w:tcMar>
              <w:left w:w="43" w:type="dxa"/>
              <w:right w:w="43" w:type="dxa"/>
            </w:tcMar>
            <w:vAlign w:val="bottom"/>
            <w:hideMark/>
          </w:tcPr>
          <w:p w14:paraId="6D4BC8C5"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2035</w:t>
            </w:r>
          </w:p>
        </w:tc>
      </w:tr>
      <w:tr w:rsidR="00A223D8" w:rsidRPr="007D1EDC" w14:paraId="2F349F33" w14:textId="77777777" w:rsidTr="00A223D8">
        <w:trPr>
          <w:trHeight w:val="210"/>
        </w:trPr>
        <w:tc>
          <w:tcPr>
            <w:tcW w:w="1664"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452688DE" w14:textId="640B6ECD" w:rsidR="00A223D8" w:rsidRPr="009F5CA1" w:rsidRDefault="00A223D8" w:rsidP="00A223D8">
            <w:pPr>
              <w:rPr>
                <w:rFonts w:ascii="Arial Narrow" w:hAnsi="Arial Narrow" w:cs="Calibri"/>
                <w:color w:val="000000"/>
                <w:sz w:val="20"/>
                <w:szCs w:val="20"/>
                <w:lang w:val="es-ES" w:eastAsia="en-GB"/>
              </w:rPr>
            </w:pPr>
            <w:proofErr w:type="spellStart"/>
            <w:r w:rsidRPr="009F5CA1">
              <w:rPr>
                <w:rFonts w:ascii="Arial Narrow" w:hAnsi="Arial Narrow" w:cs="Calibri"/>
                <w:color w:val="000000"/>
                <w:sz w:val="20"/>
                <w:szCs w:val="20"/>
                <w:lang w:val="es-ES" w:eastAsia="en-GB"/>
              </w:rPr>
              <w:t>Mbeturinat</w:t>
            </w:r>
            <w:proofErr w:type="spellEnd"/>
            <w:r w:rsidRPr="009F5CA1">
              <w:rPr>
                <w:rFonts w:ascii="Arial Narrow" w:hAnsi="Arial Narrow" w:cs="Calibri"/>
                <w:color w:val="000000"/>
                <w:sz w:val="20"/>
                <w:szCs w:val="20"/>
                <w:lang w:val="es-ES" w:eastAsia="en-GB"/>
              </w:rPr>
              <w:t xml:space="preserve"> e </w:t>
            </w:r>
            <w:proofErr w:type="spellStart"/>
            <w:r w:rsidRPr="009F5CA1">
              <w:rPr>
                <w:rFonts w:ascii="Arial Narrow" w:hAnsi="Arial Narrow" w:cs="Calibri"/>
                <w:color w:val="000000"/>
                <w:sz w:val="20"/>
                <w:szCs w:val="20"/>
                <w:lang w:val="es-ES" w:eastAsia="en-GB"/>
              </w:rPr>
              <w:t>përziera</w:t>
            </w:r>
            <w:proofErr w:type="spellEnd"/>
            <w:r w:rsidRPr="009F5CA1">
              <w:rPr>
                <w:rFonts w:ascii="Arial Narrow" w:hAnsi="Arial Narrow" w:cs="Calibri"/>
                <w:color w:val="000000"/>
                <w:sz w:val="20"/>
                <w:szCs w:val="20"/>
                <w:lang w:val="es-ES" w:eastAsia="en-GB"/>
              </w:rPr>
              <w:t xml:space="preserve"> </w:t>
            </w:r>
            <w:proofErr w:type="spellStart"/>
            <w:r w:rsidRPr="009F5CA1">
              <w:rPr>
                <w:rFonts w:ascii="Arial Narrow" w:hAnsi="Arial Narrow" w:cs="Calibri"/>
                <w:color w:val="000000"/>
                <w:sz w:val="20"/>
                <w:szCs w:val="20"/>
                <w:lang w:val="es-ES" w:eastAsia="en-GB"/>
              </w:rPr>
              <w:t>të</w:t>
            </w:r>
            <w:proofErr w:type="spellEnd"/>
            <w:r w:rsidRPr="009F5CA1">
              <w:rPr>
                <w:rFonts w:ascii="Arial Narrow" w:hAnsi="Arial Narrow" w:cs="Calibri"/>
                <w:color w:val="000000"/>
                <w:sz w:val="20"/>
                <w:szCs w:val="20"/>
                <w:lang w:val="es-ES" w:eastAsia="en-GB"/>
              </w:rPr>
              <w:t xml:space="preserve"> </w:t>
            </w:r>
            <w:proofErr w:type="spellStart"/>
            <w:r w:rsidRPr="009F5CA1">
              <w:rPr>
                <w:rFonts w:ascii="Arial Narrow" w:hAnsi="Arial Narrow" w:cs="Calibri"/>
                <w:color w:val="000000"/>
                <w:sz w:val="20"/>
                <w:szCs w:val="20"/>
                <w:lang w:val="es-ES" w:eastAsia="en-GB"/>
              </w:rPr>
              <w:t>grumbulluara</w:t>
            </w:r>
            <w:proofErr w:type="spellEnd"/>
          </w:p>
        </w:tc>
        <w:tc>
          <w:tcPr>
            <w:tcW w:w="377"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725D8151" w14:textId="4B847A12"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9,735 t</w:t>
            </w:r>
          </w:p>
        </w:tc>
        <w:tc>
          <w:tcPr>
            <w:tcW w:w="296"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0836E402" w14:textId="7C917905"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9,572 t</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3CD5E3A3" w14:textId="76DF7E20"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9,380 t</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748AC5EB" w14:textId="6D6A7692"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9,062 t</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0AD7C32F" w14:textId="2B58F343"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8,793 t</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12678A77" w14:textId="55C2E030"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7,409 t</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2937A709" w14:textId="43855062"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7,143 t</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570FD9C3" w14:textId="2A4A348F"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6,873 t</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1621F159" w14:textId="55F23480"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6,655 t</w:t>
            </w:r>
          </w:p>
        </w:tc>
      </w:tr>
      <w:tr w:rsidR="00A223D8" w:rsidRPr="007D1EDC" w14:paraId="6D57772B" w14:textId="77777777" w:rsidTr="00A223D8">
        <w:trPr>
          <w:trHeight w:val="210"/>
        </w:trPr>
        <w:tc>
          <w:tcPr>
            <w:tcW w:w="1664"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10CC4664" w14:textId="035A791F" w:rsidR="00A223D8" w:rsidRPr="00A223D8" w:rsidRDefault="00A223D8" w:rsidP="00A223D8">
            <w:pPr>
              <w:rPr>
                <w:rFonts w:ascii="Arial Narrow" w:hAnsi="Arial Narrow" w:cs="Calibri"/>
                <w:color w:val="000000"/>
                <w:sz w:val="20"/>
                <w:szCs w:val="20"/>
                <w:lang w:val="en-GB" w:eastAsia="en-GB"/>
              </w:rPr>
            </w:pPr>
            <w:proofErr w:type="spellStart"/>
            <w:r w:rsidRPr="00A223D8">
              <w:rPr>
                <w:rFonts w:ascii="Arial Narrow" w:hAnsi="Arial Narrow" w:cs="Calibri"/>
                <w:color w:val="000000"/>
                <w:sz w:val="20"/>
                <w:szCs w:val="20"/>
                <w:lang w:val="en-GB" w:eastAsia="en-GB"/>
              </w:rPr>
              <w:t>Kostot</w:t>
            </w:r>
            <w:proofErr w:type="spellEnd"/>
            <w:r w:rsidRPr="00A223D8">
              <w:rPr>
                <w:rFonts w:ascii="Arial Narrow" w:hAnsi="Arial Narrow" w:cs="Calibri"/>
                <w:color w:val="000000"/>
                <w:sz w:val="20"/>
                <w:szCs w:val="20"/>
                <w:lang w:val="en-GB" w:eastAsia="en-GB"/>
              </w:rPr>
              <w:t xml:space="preserve"> </w:t>
            </w:r>
            <w:proofErr w:type="spellStart"/>
            <w:r w:rsidRPr="00A223D8">
              <w:rPr>
                <w:rFonts w:ascii="Arial Narrow" w:hAnsi="Arial Narrow" w:cs="Calibri"/>
                <w:color w:val="000000"/>
                <w:sz w:val="20"/>
                <w:szCs w:val="20"/>
                <w:lang w:val="en-GB" w:eastAsia="en-GB"/>
              </w:rPr>
              <w:t>operacionale</w:t>
            </w:r>
            <w:proofErr w:type="spellEnd"/>
            <w:r w:rsidRPr="00A223D8">
              <w:rPr>
                <w:rFonts w:ascii="Arial Narrow" w:hAnsi="Arial Narrow" w:cs="Calibri"/>
                <w:color w:val="000000"/>
                <w:sz w:val="20"/>
                <w:szCs w:val="20"/>
                <w:lang w:val="en-GB" w:eastAsia="en-GB"/>
              </w:rPr>
              <w:t xml:space="preserve">, </w:t>
            </w:r>
            <w:proofErr w:type="spellStart"/>
            <w:r w:rsidRPr="00A223D8">
              <w:rPr>
                <w:rFonts w:ascii="Arial Narrow" w:hAnsi="Arial Narrow" w:cs="Calibri"/>
                <w:color w:val="000000"/>
                <w:sz w:val="20"/>
                <w:szCs w:val="20"/>
                <w:lang w:val="en-GB" w:eastAsia="en-GB"/>
              </w:rPr>
              <w:t>mijë</w:t>
            </w:r>
            <w:proofErr w:type="spellEnd"/>
            <w:r w:rsidRPr="00A223D8">
              <w:rPr>
                <w:rFonts w:ascii="Arial Narrow" w:hAnsi="Arial Narrow" w:cs="Calibri"/>
                <w:color w:val="000000"/>
                <w:sz w:val="20"/>
                <w:szCs w:val="20"/>
                <w:lang w:val="en-GB" w:eastAsia="en-GB"/>
              </w:rPr>
              <w:t xml:space="preserve"> €</w:t>
            </w:r>
          </w:p>
        </w:tc>
        <w:tc>
          <w:tcPr>
            <w:tcW w:w="377"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07B51C29"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406</w:t>
            </w:r>
          </w:p>
        </w:tc>
        <w:tc>
          <w:tcPr>
            <w:tcW w:w="296"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4A05FC5A"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403</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62AEF005"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397</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6C3ADC29"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393</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291D03C3"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388</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592614D9"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381</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24FAADD6"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379</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3FEBBEE3"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368</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5206E3A1"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367</w:t>
            </w:r>
          </w:p>
        </w:tc>
      </w:tr>
      <w:tr w:rsidR="00A223D8" w:rsidRPr="007D1EDC" w14:paraId="635C7750" w14:textId="77777777" w:rsidTr="00A223D8">
        <w:trPr>
          <w:trHeight w:val="210"/>
        </w:trPr>
        <w:tc>
          <w:tcPr>
            <w:tcW w:w="1664"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4F83AB19" w14:textId="3A202399" w:rsidR="00A223D8" w:rsidRPr="00A223D8" w:rsidRDefault="00A223D8" w:rsidP="00A223D8">
            <w:pPr>
              <w:rPr>
                <w:rFonts w:ascii="Arial Narrow" w:hAnsi="Arial Narrow" w:cs="Calibri"/>
                <w:color w:val="000000"/>
                <w:sz w:val="20"/>
                <w:szCs w:val="20"/>
                <w:lang w:val="en-GB" w:eastAsia="en-GB"/>
              </w:rPr>
            </w:pPr>
            <w:proofErr w:type="spellStart"/>
            <w:r w:rsidRPr="00A223D8">
              <w:rPr>
                <w:rFonts w:ascii="Arial Narrow" w:hAnsi="Arial Narrow" w:cs="Calibri"/>
                <w:color w:val="000000"/>
                <w:sz w:val="20"/>
                <w:szCs w:val="20"/>
                <w:lang w:val="en-GB" w:eastAsia="en-GB"/>
              </w:rPr>
              <w:t>Amortizimi</w:t>
            </w:r>
            <w:proofErr w:type="spellEnd"/>
            <w:r w:rsidRPr="00A223D8">
              <w:rPr>
                <w:rFonts w:ascii="Arial Narrow" w:hAnsi="Arial Narrow" w:cs="Calibri"/>
                <w:color w:val="000000"/>
                <w:sz w:val="20"/>
                <w:szCs w:val="20"/>
                <w:lang w:val="en-GB" w:eastAsia="en-GB"/>
              </w:rPr>
              <w:t xml:space="preserve">, </w:t>
            </w:r>
            <w:proofErr w:type="spellStart"/>
            <w:r w:rsidRPr="00A223D8">
              <w:rPr>
                <w:rFonts w:ascii="Arial Narrow" w:hAnsi="Arial Narrow" w:cs="Calibri"/>
                <w:color w:val="000000"/>
                <w:sz w:val="20"/>
                <w:szCs w:val="20"/>
                <w:lang w:val="en-GB" w:eastAsia="en-GB"/>
              </w:rPr>
              <w:t>mijë</w:t>
            </w:r>
            <w:proofErr w:type="spellEnd"/>
            <w:r w:rsidRPr="00A223D8">
              <w:rPr>
                <w:rFonts w:ascii="Arial Narrow" w:hAnsi="Arial Narrow" w:cs="Calibri"/>
                <w:color w:val="000000"/>
                <w:sz w:val="20"/>
                <w:szCs w:val="20"/>
                <w:lang w:val="en-GB" w:eastAsia="en-GB"/>
              </w:rPr>
              <w:t xml:space="preserve"> €</w:t>
            </w:r>
          </w:p>
        </w:tc>
        <w:tc>
          <w:tcPr>
            <w:tcW w:w="377"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0947CF4D"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138</w:t>
            </w:r>
          </w:p>
        </w:tc>
        <w:tc>
          <w:tcPr>
            <w:tcW w:w="296"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22E8820F"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138</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4CD23F0F"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138</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38C9F279"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138</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3667E57F"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138</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4ADC154C"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138</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7829EE7B"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138</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7BAED7C5"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127</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7D98A0C4"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127</w:t>
            </w:r>
          </w:p>
        </w:tc>
      </w:tr>
      <w:tr w:rsidR="00A223D8" w:rsidRPr="007D1EDC" w14:paraId="1B911C3C" w14:textId="77777777" w:rsidTr="00A223D8">
        <w:trPr>
          <w:trHeight w:val="210"/>
        </w:trPr>
        <w:tc>
          <w:tcPr>
            <w:tcW w:w="1664"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6D5A187E" w14:textId="3E7CC0A4" w:rsidR="00A223D8" w:rsidRPr="00A223D8" w:rsidRDefault="00A223D8" w:rsidP="00A223D8">
            <w:pPr>
              <w:rPr>
                <w:rFonts w:ascii="Arial Narrow" w:hAnsi="Arial Narrow" w:cs="Calibri"/>
                <w:color w:val="000000"/>
                <w:sz w:val="20"/>
                <w:szCs w:val="20"/>
                <w:lang w:val="en-GB" w:eastAsia="en-GB"/>
              </w:rPr>
            </w:pPr>
            <w:proofErr w:type="spellStart"/>
            <w:r w:rsidRPr="00A223D8">
              <w:rPr>
                <w:rFonts w:ascii="Arial Narrow" w:hAnsi="Arial Narrow" w:cs="Calibri"/>
                <w:color w:val="000000"/>
                <w:sz w:val="20"/>
                <w:szCs w:val="20"/>
                <w:lang w:val="en-GB" w:eastAsia="en-GB"/>
              </w:rPr>
              <w:t>Kostot</w:t>
            </w:r>
            <w:proofErr w:type="spellEnd"/>
            <w:r w:rsidRPr="00A223D8">
              <w:rPr>
                <w:rFonts w:ascii="Arial Narrow" w:hAnsi="Arial Narrow" w:cs="Calibri"/>
                <w:color w:val="000000"/>
                <w:sz w:val="20"/>
                <w:szCs w:val="20"/>
                <w:lang w:val="en-GB" w:eastAsia="en-GB"/>
              </w:rPr>
              <w:t xml:space="preserve"> </w:t>
            </w:r>
            <w:proofErr w:type="spellStart"/>
            <w:r w:rsidRPr="00A223D8">
              <w:rPr>
                <w:rFonts w:ascii="Arial Narrow" w:hAnsi="Arial Narrow" w:cs="Calibri"/>
                <w:color w:val="000000"/>
                <w:sz w:val="20"/>
                <w:szCs w:val="20"/>
                <w:lang w:val="en-GB" w:eastAsia="en-GB"/>
              </w:rPr>
              <w:t>operacionale</w:t>
            </w:r>
            <w:proofErr w:type="spellEnd"/>
            <w:r w:rsidRPr="00A223D8">
              <w:rPr>
                <w:rFonts w:ascii="Arial Narrow" w:hAnsi="Arial Narrow" w:cs="Calibri"/>
                <w:color w:val="000000"/>
                <w:sz w:val="20"/>
                <w:szCs w:val="20"/>
                <w:lang w:val="en-GB" w:eastAsia="en-GB"/>
              </w:rPr>
              <w:t xml:space="preserve"> </w:t>
            </w:r>
            <w:proofErr w:type="spellStart"/>
            <w:r w:rsidRPr="00A223D8">
              <w:rPr>
                <w:rFonts w:ascii="Arial Narrow" w:hAnsi="Arial Narrow" w:cs="Calibri"/>
                <w:color w:val="000000"/>
                <w:sz w:val="20"/>
                <w:szCs w:val="20"/>
                <w:lang w:val="en-GB" w:eastAsia="en-GB"/>
              </w:rPr>
              <w:t>të</w:t>
            </w:r>
            <w:proofErr w:type="spellEnd"/>
            <w:r w:rsidRPr="00A223D8">
              <w:rPr>
                <w:rFonts w:ascii="Arial Narrow" w:hAnsi="Arial Narrow" w:cs="Calibri"/>
                <w:color w:val="000000"/>
                <w:sz w:val="20"/>
                <w:szCs w:val="20"/>
                <w:lang w:val="en-GB" w:eastAsia="en-GB"/>
              </w:rPr>
              <w:t xml:space="preserve"> </w:t>
            </w:r>
            <w:proofErr w:type="spellStart"/>
            <w:r w:rsidRPr="00A223D8">
              <w:rPr>
                <w:rFonts w:ascii="Arial Narrow" w:hAnsi="Arial Narrow" w:cs="Calibri"/>
                <w:color w:val="000000"/>
                <w:sz w:val="20"/>
                <w:szCs w:val="20"/>
                <w:lang w:val="en-GB" w:eastAsia="en-GB"/>
              </w:rPr>
              <w:t>transferit</w:t>
            </w:r>
            <w:proofErr w:type="spellEnd"/>
            <w:r w:rsidRPr="00A223D8">
              <w:rPr>
                <w:rFonts w:ascii="Arial Narrow" w:hAnsi="Arial Narrow" w:cs="Calibri"/>
                <w:color w:val="000000"/>
                <w:sz w:val="20"/>
                <w:szCs w:val="20"/>
                <w:lang w:val="en-GB" w:eastAsia="en-GB"/>
              </w:rPr>
              <w:t xml:space="preserve">, </w:t>
            </w:r>
            <w:proofErr w:type="spellStart"/>
            <w:r w:rsidRPr="00A223D8">
              <w:rPr>
                <w:rFonts w:ascii="Arial Narrow" w:hAnsi="Arial Narrow" w:cs="Calibri"/>
                <w:color w:val="000000"/>
                <w:sz w:val="20"/>
                <w:szCs w:val="20"/>
                <w:lang w:val="en-GB" w:eastAsia="en-GB"/>
              </w:rPr>
              <w:t>mijë</w:t>
            </w:r>
            <w:proofErr w:type="spellEnd"/>
            <w:r w:rsidRPr="00A223D8">
              <w:rPr>
                <w:rFonts w:ascii="Arial Narrow" w:hAnsi="Arial Narrow" w:cs="Calibri"/>
                <w:color w:val="000000"/>
                <w:sz w:val="20"/>
                <w:szCs w:val="20"/>
                <w:lang w:val="en-GB" w:eastAsia="en-GB"/>
              </w:rPr>
              <w:t xml:space="preserve"> €</w:t>
            </w:r>
          </w:p>
        </w:tc>
        <w:tc>
          <w:tcPr>
            <w:tcW w:w="377"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346A9136"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173</w:t>
            </w:r>
          </w:p>
        </w:tc>
        <w:tc>
          <w:tcPr>
            <w:tcW w:w="296"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77518CC5"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172</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0E925EB3"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172</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2047B9B1"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171</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7AAB8BC5"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170</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221E07EB"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168</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752285E1"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167</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4876FBD4"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167</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17A7CDDC"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166</w:t>
            </w:r>
          </w:p>
        </w:tc>
      </w:tr>
      <w:tr w:rsidR="00A223D8" w:rsidRPr="007D1EDC" w14:paraId="74043C4A" w14:textId="77777777" w:rsidTr="00A223D8">
        <w:trPr>
          <w:trHeight w:val="210"/>
        </w:trPr>
        <w:tc>
          <w:tcPr>
            <w:tcW w:w="1664"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tcPr>
          <w:p w14:paraId="28F4DCD3" w14:textId="71B29B3A" w:rsidR="00A223D8" w:rsidRPr="00A223D8" w:rsidRDefault="00A223D8" w:rsidP="00A223D8">
            <w:pPr>
              <w:rPr>
                <w:rFonts w:ascii="Arial Narrow" w:hAnsi="Arial Narrow" w:cs="Calibri"/>
                <w:b/>
                <w:bCs/>
                <w:color w:val="000000"/>
                <w:sz w:val="20"/>
                <w:szCs w:val="20"/>
                <w:lang w:val="en-GB" w:eastAsia="en-GB"/>
              </w:rPr>
            </w:pPr>
            <w:proofErr w:type="spellStart"/>
            <w:r w:rsidRPr="00A223D8">
              <w:rPr>
                <w:rFonts w:ascii="Arial Narrow" w:hAnsi="Arial Narrow" w:cs="Calibri"/>
                <w:b/>
                <w:bCs/>
                <w:color w:val="000000"/>
                <w:sz w:val="20"/>
                <w:szCs w:val="20"/>
                <w:lang w:val="en-GB" w:eastAsia="en-GB"/>
              </w:rPr>
              <w:t>Kostot</w:t>
            </w:r>
            <w:proofErr w:type="spellEnd"/>
            <w:r w:rsidRPr="00A223D8">
              <w:rPr>
                <w:rFonts w:ascii="Arial Narrow" w:hAnsi="Arial Narrow" w:cs="Calibri"/>
                <w:b/>
                <w:bCs/>
                <w:color w:val="000000"/>
                <w:sz w:val="20"/>
                <w:szCs w:val="20"/>
                <w:lang w:val="en-GB" w:eastAsia="en-GB"/>
              </w:rPr>
              <w:t xml:space="preserve"> </w:t>
            </w:r>
            <w:proofErr w:type="spellStart"/>
            <w:r w:rsidRPr="00A223D8">
              <w:rPr>
                <w:rFonts w:ascii="Arial Narrow" w:hAnsi="Arial Narrow" w:cs="Calibri"/>
                <w:b/>
                <w:bCs/>
                <w:color w:val="000000"/>
                <w:sz w:val="20"/>
                <w:szCs w:val="20"/>
                <w:lang w:val="en-GB" w:eastAsia="en-GB"/>
              </w:rPr>
              <w:t>totale</w:t>
            </w:r>
            <w:proofErr w:type="spellEnd"/>
            <w:r w:rsidRPr="00A223D8">
              <w:rPr>
                <w:rFonts w:ascii="Arial Narrow" w:hAnsi="Arial Narrow" w:cs="Calibri"/>
                <w:b/>
                <w:bCs/>
                <w:color w:val="000000"/>
                <w:sz w:val="20"/>
                <w:szCs w:val="20"/>
                <w:lang w:val="en-GB" w:eastAsia="en-GB"/>
              </w:rPr>
              <w:t xml:space="preserve"> </w:t>
            </w:r>
            <w:proofErr w:type="spellStart"/>
            <w:r w:rsidRPr="00A223D8">
              <w:rPr>
                <w:rFonts w:ascii="Arial Narrow" w:hAnsi="Arial Narrow" w:cs="Calibri"/>
                <w:b/>
                <w:bCs/>
                <w:color w:val="000000"/>
                <w:sz w:val="20"/>
                <w:szCs w:val="20"/>
                <w:lang w:val="en-GB" w:eastAsia="en-GB"/>
              </w:rPr>
              <w:t>të</w:t>
            </w:r>
            <w:proofErr w:type="spellEnd"/>
            <w:r w:rsidRPr="00A223D8">
              <w:rPr>
                <w:rFonts w:ascii="Arial Narrow" w:hAnsi="Arial Narrow" w:cs="Calibri"/>
                <w:b/>
                <w:bCs/>
                <w:color w:val="000000"/>
                <w:sz w:val="20"/>
                <w:szCs w:val="20"/>
                <w:lang w:val="en-GB" w:eastAsia="en-GB"/>
              </w:rPr>
              <w:t xml:space="preserve"> </w:t>
            </w:r>
            <w:proofErr w:type="spellStart"/>
            <w:r w:rsidRPr="00A223D8">
              <w:rPr>
                <w:rFonts w:ascii="Arial Narrow" w:hAnsi="Arial Narrow" w:cs="Calibri"/>
                <w:b/>
                <w:bCs/>
                <w:color w:val="000000"/>
                <w:sz w:val="20"/>
                <w:szCs w:val="20"/>
                <w:lang w:val="en-GB" w:eastAsia="en-GB"/>
              </w:rPr>
              <w:t>grumbullimit</w:t>
            </w:r>
            <w:proofErr w:type="spellEnd"/>
            <w:r w:rsidRPr="00A223D8">
              <w:rPr>
                <w:rFonts w:ascii="Arial Narrow" w:hAnsi="Arial Narrow" w:cs="Calibri"/>
                <w:b/>
                <w:bCs/>
                <w:color w:val="000000"/>
                <w:sz w:val="20"/>
                <w:szCs w:val="20"/>
                <w:lang w:val="en-GB" w:eastAsia="en-GB"/>
              </w:rPr>
              <w:t xml:space="preserve"> </w:t>
            </w:r>
            <w:proofErr w:type="spellStart"/>
            <w:r w:rsidRPr="00A223D8">
              <w:rPr>
                <w:rFonts w:ascii="Arial Narrow" w:hAnsi="Arial Narrow" w:cs="Calibri"/>
                <w:b/>
                <w:bCs/>
                <w:color w:val="000000"/>
                <w:sz w:val="20"/>
                <w:szCs w:val="20"/>
                <w:lang w:val="en-GB" w:eastAsia="en-GB"/>
              </w:rPr>
              <w:t>dhe</w:t>
            </w:r>
            <w:proofErr w:type="spellEnd"/>
            <w:r w:rsidRPr="00A223D8">
              <w:rPr>
                <w:rFonts w:ascii="Arial Narrow" w:hAnsi="Arial Narrow" w:cs="Calibri"/>
                <w:b/>
                <w:bCs/>
                <w:color w:val="000000"/>
                <w:sz w:val="20"/>
                <w:szCs w:val="20"/>
                <w:lang w:val="en-GB" w:eastAsia="en-GB"/>
              </w:rPr>
              <w:t xml:space="preserve"> </w:t>
            </w:r>
            <w:proofErr w:type="spellStart"/>
            <w:r w:rsidRPr="00A223D8">
              <w:rPr>
                <w:rFonts w:ascii="Arial Narrow" w:hAnsi="Arial Narrow" w:cs="Calibri"/>
                <w:b/>
                <w:bCs/>
                <w:color w:val="000000"/>
                <w:sz w:val="20"/>
                <w:szCs w:val="20"/>
                <w:lang w:val="en-GB" w:eastAsia="en-GB"/>
              </w:rPr>
              <w:t>transferit</w:t>
            </w:r>
            <w:proofErr w:type="spellEnd"/>
          </w:p>
        </w:tc>
        <w:tc>
          <w:tcPr>
            <w:tcW w:w="377"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tcPr>
          <w:p w14:paraId="54C858E0"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717</w:t>
            </w:r>
          </w:p>
        </w:tc>
        <w:tc>
          <w:tcPr>
            <w:tcW w:w="296"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tcPr>
          <w:p w14:paraId="25067B7E"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714</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tcPr>
          <w:p w14:paraId="04BC5CC1"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708</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tcPr>
          <w:p w14:paraId="493F12A2"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702</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tcPr>
          <w:p w14:paraId="13BAA560"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697</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tcPr>
          <w:p w14:paraId="7A670327"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687</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tcPr>
          <w:p w14:paraId="5CF0E09C"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685</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tcPr>
          <w:p w14:paraId="1FE59AD0"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662</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tcPr>
          <w:p w14:paraId="4670E4BF"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660</w:t>
            </w:r>
          </w:p>
        </w:tc>
      </w:tr>
      <w:tr w:rsidR="00A223D8" w:rsidRPr="007D1EDC" w14:paraId="250CEBA4" w14:textId="77777777" w:rsidTr="00A223D8">
        <w:trPr>
          <w:trHeight w:val="210"/>
        </w:trPr>
        <w:tc>
          <w:tcPr>
            <w:tcW w:w="1664"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6189D8F8" w14:textId="6FB89CE2" w:rsidR="00A223D8" w:rsidRPr="00A223D8" w:rsidRDefault="00A223D8" w:rsidP="00A223D8">
            <w:pPr>
              <w:rPr>
                <w:rFonts w:ascii="Arial Narrow" w:hAnsi="Arial Narrow" w:cs="Calibri"/>
                <w:color w:val="000000"/>
                <w:sz w:val="20"/>
                <w:szCs w:val="20"/>
                <w:lang w:val="en-GB" w:eastAsia="en-GB"/>
              </w:rPr>
            </w:pPr>
            <w:proofErr w:type="spellStart"/>
            <w:r w:rsidRPr="00A223D8">
              <w:rPr>
                <w:rFonts w:ascii="Arial Narrow" w:hAnsi="Arial Narrow" w:cs="Calibri"/>
                <w:color w:val="000000"/>
                <w:sz w:val="20"/>
                <w:szCs w:val="20"/>
                <w:lang w:val="en-GB" w:eastAsia="en-GB"/>
              </w:rPr>
              <w:t>Kostoja</w:t>
            </w:r>
            <w:proofErr w:type="spellEnd"/>
            <w:r w:rsidRPr="00A223D8">
              <w:rPr>
                <w:rFonts w:ascii="Arial Narrow" w:hAnsi="Arial Narrow" w:cs="Calibri"/>
                <w:color w:val="000000"/>
                <w:sz w:val="20"/>
                <w:szCs w:val="20"/>
                <w:lang w:val="en-GB" w:eastAsia="en-GB"/>
              </w:rPr>
              <w:t xml:space="preserve"> </w:t>
            </w:r>
            <w:proofErr w:type="spellStart"/>
            <w:r w:rsidRPr="00A223D8">
              <w:rPr>
                <w:rFonts w:ascii="Arial Narrow" w:hAnsi="Arial Narrow" w:cs="Calibri"/>
                <w:color w:val="000000"/>
                <w:sz w:val="20"/>
                <w:szCs w:val="20"/>
                <w:lang w:val="en-GB" w:eastAsia="en-GB"/>
              </w:rPr>
              <w:t>për</w:t>
            </w:r>
            <w:proofErr w:type="spellEnd"/>
            <w:r w:rsidRPr="00A223D8">
              <w:rPr>
                <w:rFonts w:ascii="Arial Narrow" w:hAnsi="Arial Narrow" w:cs="Calibri"/>
                <w:color w:val="000000"/>
                <w:sz w:val="20"/>
                <w:szCs w:val="20"/>
                <w:lang w:val="en-GB" w:eastAsia="en-GB"/>
              </w:rPr>
              <w:t xml:space="preserve"> ton</w:t>
            </w:r>
          </w:p>
        </w:tc>
        <w:tc>
          <w:tcPr>
            <w:tcW w:w="377"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00558621"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74 €/t</w:t>
            </w:r>
          </w:p>
        </w:tc>
        <w:tc>
          <w:tcPr>
            <w:tcW w:w="296"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6C073FE8"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75 €/t</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6D2B8FA8"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75 €/t</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3B33094E"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78 €/t</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2FF8D71E"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79 €/t</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7861754F"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93 €/t</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4DDE489E"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96 €/t</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6394A50C"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96 €/t</w:t>
            </w:r>
          </w:p>
        </w:tc>
        <w:tc>
          <w:tcPr>
            <w:tcW w:w="380" w:type="pct"/>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bottom"/>
            <w:hideMark/>
          </w:tcPr>
          <w:p w14:paraId="588C9A6B"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99 €/t</w:t>
            </w:r>
          </w:p>
        </w:tc>
      </w:tr>
    </w:tbl>
    <w:p w14:paraId="7BB8B436" w14:textId="77777777" w:rsidR="007D1EDC" w:rsidRPr="007D1EDC" w:rsidRDefault="007D1EDC" w:rsidP="007D1EDC">
      <w:pPr>
        <w:rPr>
          <w:rFonts w:ascii="Arial Narrow" w:eastAsia="Calibri" w:hAnsi="Arial Narrow"/>
          <w:sz w:val="20"/>
        </w:rPr>
      </w:pPr>
    </w:p>
    <w:p w14:paraId="77E68050" w14:textId="38305789" w:rsidR="007D1EDC" w:rsidRPr="007D1EDC" w:rsidRDefault="007D1EDC" w:rsidP="007D1EDC">
      <w:pPr>
        <w:suppressAutoHyphens/>
        <w:rPr>
          <w:rFonts w:ascii="Arial Narrow" w:eastAsia="Calibri" w:hAnsi="Arial Narrow" w:cs="Calibri"/>
          <w:color w:val="1F497D"/>
          <w:sz w:val="20"/>
          <w:szCs w:val="20"/>
        </w:rPr>
      </w:pPr>
      <w:bookmarkStart w:id="639" w:name="_Toc190966784"/>
      <w:bookmarkStart w:id="640" w:name="_Toc197472281"/>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96.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 xml:space="preserve">Kostot e </w:t>
      </w:r>
      <w:r w:rsidR="00A223D8">
        <w:rPr>
          <w:rFonts w:ascii="Arial Narrow" w:eastAsia="Calibri" w:hAnsi="Arial Narrow" w:cs="Calibri"/>
          <w:color w:val="1F497D"/>
          <w:sz w:val="20"/>
          <w:szCs w:val="20"/>
        </w:rPr>
        <w:t>grumbulllimit t</w:t>
      </w:r>
      <w:r w:rsidRPr="007D1EDC">
        <w:rPr>
          <w:rFonts w:ascii="Arial Narrow" w:eastAsia="Calibri" w:hAnsi="Arial Narrow" w:cs="Calibri"/>
          <w:color w:val="1F497D"/>
          <w:sz w:val="20"/>
          <w:szCs w:val="20"/>
        </w:rPr>
        <w:t xml:space="preserve">ë mbeturinave të </w:t>
      </w:r>
      <w:r w:rsidR="00A223D8">
        <w:rPr>
          <w:rFonts w:ascii="Arial Narrow" w:eastAsia="Calibri" w:hAnsi="Arial Narrow" w:cs="Calibri"/>
          <w:color w:val="1F497D"/>
          <w:sz w:val="20"/>
          <w:szCs w:val="20"/>
        </w:rPr>
        <w:t>përziera</w:t>
      </w:r>
      <w:r w:rsidRPr="007D1EDC">
        <w:rPr>
          <w:rFonts w:ascii="Arial Narrow" w:eastAsia="Calibri" w:hAnsi="Arial Narrow" w:cs="Calibri"/>
          <w:color w:val="1F497D"/>
          <w:sz w:val="20"/>
          <w:szCs w:val="20"/>
        </w:rPr>
        <w:t xml:space="preserve"> në Klin</w:t>
      </w:r>
      <w:r w:rsidR="00A223D8">
        <w:rPr>
          <w:rFonts w:ascii="Arial Narrow" w:eastAsia="Calibri" w:hAnsi="Arial Narrow" w:cs="Calibri"/>
          <w:color w:val="1F497D"/>
          <w:sz w:val="20"/>
          <w:szCs w:val="20"/>
        </w:rPr>
        <w:t>ë</w:t>
      </w:r>
      <w:r w:rsidRPr="007D1EDC">
        <w:rPr>
          <w:rFonts w:ascii="Arial Narrow" w:eastAsia="Calibri" w:hAnsi="Arial Narrow" w:cs="Calibri"/>
          <w:color w:val="1F497D"/>
          <w:sz w:val="20"/>
          <w:szCs w:val="20"/>
        </w:rPr>
        <w:t>, mijë euro</w:t>
      </w:r>
      <w:bookmarkEnd w:id="639"/>
      <w:bookmarkEnd w:id="6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588"/>
        <w:gridCol w:w="588"/>
        <w:gridCol w:w="800"/>
        <w:gridCol w:w="694"/>
        <w:gridCol w:w="694"/>
        <w:gridCol w:w="694"/>
        <w:gridCol w:w="695"/>
        <w:gridCol w:w="695"/>
        <w:gridCol w:w="693"/>
      </w:tblGrid>
      <w:tr w:rsidR="00A223D8" w:rsidRPr="007D1EDC" w14:paraId="705EBD10" w14:textId="77777777" w:rsidTr="00A223D8">
        <w:trPr>
          <w:trHeight w:val="220"/>
        </w:trPr>
        <w:tc>
          <w:tcPr>
            <w:tcW w:w="1486" w:type="pct"/>
            <w:shd w:val="clear" w:color="auto" w:fill="365F91"/>
            <w:noWrap/>
            <w:tcMar>
              <w:left w:w="43" w:type="dxa"/>
              <w:right w:w="43" w:type="dxa"/>
            </w:tcMar>
            <w:vAlign w:val="center"/>
            <w:hideMark/>
          </w:tcPr>
          <w:p w14:paraId="60D57146" w14:textId="79134EC1" w:rsidR="007D1EDC" w:rsidRPr="007D1EDC" w:rsidRDefault="007D1EDC" w:rsidP="007D1EDC">
            <w:pPr>
              <w:rPr>
                <w:rFonts w:ascii="Arial Narrow" w:hAnsi="Arial Narrow" w:cs="Calibri"/>
                <w:b/>
                <w:bCs/>
                <w:color w:val="FFFFFF" w:themeColor="background1"/>
                <w:sz w:val="20"/>
                <w:szCs w:val="20"/>
                <w:lang w:val="en-GB" w:eastAsia="en-GB"/>
              </w:rPr>
            </w:pPr>
            <w:proofErr w:type="spellStart"/>
            <w:r w:rsidRPr="007D1EDC">
              <w:rPr>
                <w:rFonts w:ascii="Arial Narrow" w:hAnsi="Arial Narrow" w:cs="Calibri"/>
                <w:b/>
                <w:bCs/>
                <w:color w:val="FFFFFF" w:themeColor="background1"/>
                <w:sz w:val="20"/>
                <w:szCs w:val="20"/>
                <w:lang w:val="en-GB" w:eastAsia="en-GB"/>
              </w:rPr>
              <w:t>Klin</w:t>
            </w:r>
            <w:r w:rsidR="00A223D8">
              <w:rPr>
                <w:rFonts w:ascii="Arial Narrow" w:hAnsi="Arial Narrow" w:cs="Calibri"/>
                <w:b/>
                <w:bCs/>
                <w:color w:val="FFFFFF" w:themeColor="background1"/>
                <w:sz w:val="20"/>
                <w:szCs w:val="20"/>
                <w:lang w:val="en-GB" w:eastAsia="en-GB"/>
              </w:rPr>
              <w:t>ë</w:t>
            </w:r>
            <w:proofErr w:type="spellEnd"/>
          </w:p>
        </w:tc>
        <w:tc>
          <w:tcPr>
            <w:tcW w:w="307" w:type="pct"/>
            <w:shd w:val="clear" w:color="auto" w:fill="365F91"/>
            <w:noWrap/>
            <w:tcMar>
              <w:left w:w="43" w:type="dxa"/>
              <w:right w:w="43" w:type="dxa"/>
            </w:tcMar>
            <w:vAlign w:val="center"/>
            <w:hideMark/>
          </w:tcPr>
          <w:p w14:paraId="77678024"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2027</w:t>
            </w:r>
          </w:p>
        </w:tc>
        <w:tc>
          <w:tcPr>
            <w:tcW w:w="328" w:type="pct"/>
            <w:shd w:val="clear" w:color="auto" w:fill="365F91"/>
            <w:noWrap/>
            <w:tcMar>
              <w:left w:w="43" w:type="dxa"/>
              <w:right w:w="43" w:type="dxa"/>
            </w:tcMar>
            <w:vAlign w:val="center"/>
            <w:hideMark/>
          </w:tcPr>
          <w:p w14:paraId="58ABCCA1"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2028</w:t>
            </w:r>
          </w:p>
        </w:tc>
        <w:tc>
          <w:tcPr>
            <w:tcW w:w="474" w:type="pct"/>
            <w:shd w:val="clear" w:color="auto" w:fill="365F91"/>
            <w:noWrap/>
            <w:tcMar>
              <w:left w:w="43" w:type="dxa"/>
              <w:right w:w="43" w:type="dxa"/>
            </w:tcMar>
            <w:vAlign w:val="center"/>
            <w:hideMark/>
          </w:tcPr>
          <w:p w14:paraId="51D61787"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2029</w:t>
            </w:r>
          </w:p>
        </w:tc>
        <w:tc>
          <w:tcPr>
            <w:tcW w:w="401" w:type="pct"/>
            <w:shd w:val="clear" w:color="auto" w:fill="365F91"/>
            <w:noWrap/>
            <w:tcMar>
              <w:left w:w="43" w:type="dxa"/>
              <w:right w:w="43" w:type="dxa"/>
            </w:tcMar>
            <w:vAlign w:val="center"/>
            <w:hideMark/>
          </w:tcPr>
          <w:p w14:paraId="1D51641F"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2030</w:t>
            </w:r>
          </w:p>
        </w:tc>
        <w:tc>
          <w:tcPr>
            <w:tcW w:w="401" w:type="pct"/>
            <w:shd w:val="clear" w:color="auto" w:fill="365F91"/>
            <w:noWrap/>
            <w:tcMar>
              <w:left w:w="43" w:type="dxa"/>
              <w:right w:w="43" w:type="dxa"/>
            </w:tcMar>
            <w:vAlign w:val="center"/>
            <w:hideMark/>
          </w:tcPr>
          <w:p w14:paraId="567AB714"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2031</w:t>
            </w:r>
          </w:p>
        </w:tc>
        <w:tc>
          <w:tcPr>
            <w:tcW w:w="401" w:type="pct"/>
            <w:shd w:val="clear" w:color="auto" w:fill="365F91"/>
            <w:noWrap/>
            <w:tcMar>
              <w:left w:w="43" w:type="dxa"/>
              <w:right w:w="43" w:type="dxa"/>
            </w:tcMar>
            <w:vAlign w:val="center"/>
            <w:hideMark/>
          </w:tcPr>
          <w:p w14:paraId="3CCE4E7C"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2032</w:t>
            </w:r>
          </w:p>
        </w:tc>
        <w:tc>
          <w:tcPr>
            <w:tcW w:w="401" w:type="pct"/>
            <w:shd w:val="clear" w:color="auto" w:fill="365F91"/>
            <w:noWrap/>
            <w:tcMar>
              <w:left w:w="43" w:type="dxa"/>
              <w:right w:w="43" w:type="dxa"/>
            </w:tcMar>
            <w:vAlign w:val="center"/>
            <w:hideMark/>
          </w:tcPr>
          <w:p w14:paraId="51A5CB2E"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2033</w:t>
            </w:r>
          </w:p>
        </w:tc>
        <w:tc>
          <w:tcPr>
            <w:tcW w:w="401" w:type="pct"/>
            <w:shd w:val="clear" w:color="auto" w:fill="365F91"/>
            <w:noWrap/>
            <w:tcMar>
              <w:left w:w="43" w:type="dxa"/>
              <w:right w:w="43" w:type="dxa"/>
            </w:tcMar>
            <w:vAlign w:val="center"/>
            <w:hideMark/>
          </w:tcPr>
          <w:p w14:paraId="60707F46"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2034</w:t>
            </w:r>
          </w:p>
        </w:tc>
        <w:tc>
          <w:tcPr>
            <w:tcW w:w="401" w:type="pct"/>
            <w:shd w:val="clear" w:color="auto" w:fill="365F91"/>
            <w:noWrap/>
            <w:tcMar>
              <w:left w:w="43" w:type="dxa"/>
              <w:right w:w="43" w:type="dxa"/>
            </w:tcMar>
            <w:vAlign w:val="center"/>
            <w:hideMark/>
          </w:tcPr>
          <w:p w14:paraId="56CF78EB"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2035</w:t>
            </w:r>
          </w:p>
        </w:tc>
      </w:tr>
      <w:tr w:rsidR="00A223D8" w:rsidRPr="007D1EDC" w14:paraId="659159B5" w14:textId="77777777" w:rsidTr="00A223D8">
        <w:trPr>
          <w:trHeight w:val="210"/>
        </w:trPr>
        <w:tc>
          <w:tcPr>
            <w:tcW w:w="1486" w:type="pct"/>
            <w:shd w:val="clear" w:color="auto" w:fill="auto"/>
            <w:noWrap/>
            <w:tcMar>
              <w:left w:w="43" w:type="dxa"/>
              <w:right w:w="43" w:type="dxa"/>
            </w:tcMar>
            <w:vAlign w:val="bottom"/>
            <w:hideMark/>
          </w:tcPr>
          <w:p w14:paraId="7D880C04" w14:textId="0B47FB1C" w:rsidR="00A223D8" w:rsidRPr="009F5CA1" w:rsidRDefault="00A223D8" w:rsidP="00A223D8">
            <w:pPr>
              <w:rPr>
                <w:rFonts w:ascii="Arial Narrow" w:hAnsi="Arial Narrow" w:cs="Calibri"/>
                <w:color w:val="000000"/>
                <w:sz w:val="20"/>
                <w:szCs w:val="20"/>
                <w:lang w:val="es-ES" w:eastAsia="en-GB"/>
              </w:rPr>
            </w:pPr>
            <w:proofErr w:type="spellStart"/>
            <w:r w:rsidRPr="009F5CA1">
              <w:rPr>
                <w:rFonts w:ascii="Arial Narrow" w:hAnsi="Arial Narrow" w:cs="Calibri"/>
                <w:color w:val="000000"/>
                <w:sz w:val="20"/>
                <w:szCs w:val="20"/>
                <w:lang w:val="es-ES" w:eastAsia="en-GB"/>
              </w:rPr>
              <w:t>Mbeturinat</w:t>
            </w:r>
            <w:proofErr w:type="spellEnd"/>
            <w:r w:rsidRPr="009F5CA1">
              <w:rPr>
                <w:rFonts w:ascii="Arial Narrow" w:hAnsi="Arial Narrow" w:cs="Calibri"/>
                <w:color w:val="000000"/>
                <w:sz w:val="20"/>
                <w:szCs w:val="20"/>
                <w:lang w:val="es-ES" w:eastAsia="en-GB"/>
              </w:rPr>
              <w:t xml:space="preserve"> e </w:t>
            </w:r>
            <w:proofErr w:type="spellStart"/>
            <w:r w:rsidRPr="009F5CA1">
              <w:rPr>
                <w:rFonts w:ascii="Arial Narrow" w:hAnsi="Arial Narrow" w:cs="Calibri"/>
                <w:color w:val="000000"/>
                <w:sz w:val="20"/>
                <w:szCs w:val="20"/>
                <w:lang w:val="es-ES" w:eastAsia="en-GB"/>
              </w:rPr>
              <w:t>përziera</w:t>
            </w:r>
            <w:proofErr w:type="spellEnd"/>
            <w:r w:rsidRPr="009F5CA1">
              <w:rPr>
                <w:rFonts w:ascii="Arial Narrow" w:hAnsi="Arial Narrow" w:cs="Calibri"/>
                <w:color w:val="000000"/>
                <w:sz w:val="20"/>
                <w:szCs w:val="20"/>
                <w:lang w:val="es-ES" w:eastAsia="en-GB"/>
              </w:rPr>
              <w:t xml:space="preserve"> </w:t>
            </w:r>
            <w:proofErr w:type="spellStart"/>
            <w:r w:rsidRPr="009F5CA1">
              <w:rPr>
                <w:rFonts w:ascii="Arial Narrow" w:hAnsi="Arial Narrow" w:cs="Calibri"/>
                <w:color w:val="000000"/>
                <w:sz w:val="20"/>
                <w:szCs w:val="20"/>
                <w:lang w:val="es-ES" w:eastAsia="en-GB"/>
              </w:rPr>
              <w:t>të</w:t>
            </w:r>
            <w:proofErr w:type="spellEnd"/>
            <w:r w:rsidRPr="009F5CA1">
              <w:rPr>
                <w:rFonts w:ascii="Arial Narrow" w:hAnsi="Arial Narrow" w:cs="Calibri"/>
                <w:color w:val="000000"/>
                <w:sz w:val="20"/>
                <w:szCs w:val="20"/>
                <w:lang w:val="es-ES" w:eastAsia="en-GB"/>
              </w:rPr>
              <w:t xml:space="preserve"> </w:t>
            </w:r>
            <w:proofErr w:type="spellStart"/>
            <w:r w:rsidRPr="009F5CA1">
              <w:rPr>
                <w:rFonts w:ascii="Arial Narrow" w:hAnsi="Arial Narrow" w:cs="Calibri"/>
                <w:color w:val="000000"/>
                <w:sz w:val="20"/>
                <w:szCs w:val="20"/>
                <w:lang w:val="es-ES" w:eastAsia="en-GB"/>
              </w:rPr>
              <w:t>grumbulluara</w:t>
            </w:r>
            <w:proofErr w:type="spellEnd"/>
          </w:p>
        </w:tc>
        <w:tc>
          <w:tcPr>
            <w:tcW w:w="307" w:type="pct"/>
            <w:shd w:val="clear" w:color="auto" w:fill="auto"/>
            <w:noWrap/>
            <w:tcMar>
              <w:left w:w="43" w:type="dxa"/>
              <w:right w:w="43" w:type="dxa"/>
            </w:tcMar>
            <w:vAlign w:val="bottom"/>
            <w:hideMark/>
          </w:tcPr>
          <w:p w14:paraId="6741E35F" w14:textId="7033A674"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6,500 t</w:t>
            </w:r>
          </w:p>
        </w:tc>
        <w:tc>
          <w:tcPr>
            <w:tcW w:w="328" w:type="pct"/>
            <w:shd w:val="clear" w:color="auto" w:fill="auto"/>
            <w:noWrap/>
            <w:tcMar>
              <w:left w:w="43" w:type="dxa"/>
              <w:right w:w="43" w:type="dxa"/>
            </w:tcMar>
            <w:vAlign w:val="bottom"/>
            <w:hideMark/>
          </w:tcPr>
          <w:p w14:paraId="65BC9F55" w14:textId="47C64895"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6,392 t</w:t>
            </w:r>
          </w:p>
        </w:tc>
        <w:tc>
          <w:tcPr>
            <w:tcW w:w="474" w:type="pct"/>
            <w:shd w:val="clear" w:color="auto" w:fill="auto"/>
            <w:noWrap/>
            <w:tcMar>
              <w:left w:w="43" w:type="dxa"/>
              <w:right w:w="43" w:type="dxa"/>
            </w:tcMar>
            <w:vAlign w:val="bottom"/>
            <w:hideMark/>
          </w:tcPr>
          <w:p w14:paraId="10396855" w14:textId="2635D47E"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6,264 t</w:t>
            </w:r>
          </w:p>
        </w:tc>
        <w:tc>
          <w:tcPr>
            <w:tcW w:w="401" w:type="pct"/>
            <w:shd w:val="clear" w:color="auto" w:fill="auto"/>
            <w:noWrap/>
            <w:tcMar>
              <w:left w:w="43" w:type="dxa"/>
              <w:right w:w="43" w:type="dxa"/>
            </w:tcMar>
            <w:vAlign w:val="bottom"/>
            <w:hideMark/>
          </w:tcPr>
          <w:p w14:paraId="0564404D" w14:textId="101BB66D"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6,052 t</w:t>
            </w:r>
          </w:p>
        </w:tc>
        <w:tc>
          <w:tcPr>
            <w:tcW w:w="401" w:type="pct"/>
            <w:shd w:val="clear" w:color="auto" w:fill="auto"/>
            <w:noWrap/>
            <w:tcMar>
              <w:left w:w="43" w:type="dxa"/>
              <w:right w:w="43" w:type="dxa"/>
            </w:tcMar>
            <w:vAlign w:val="bottom"/>
            <w:hideMark/>
          </w:tcPr>
          <w:p w14:paraId="72037F05" w14:textId="27AD659D"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5,873 t</w:t>
            </w:r>
          </w:p>
        </w:tc>
        <w:tc>
          <w:tcPr>
            <w:tcW w:w="401" w:type="pct"/>
            <w:shd w:val="clear" w:color="auto" w:fill="auto"/>
            <w:noWrap/>
            <w:tcMar>
              <w:left w:w="43" w:type="dxa"/>
              <w:right w:w="43" w:type="dxa"/>
            </w:tcMar>
            <w:vAlign w:val="bottom"/>
            <w:hideMark/>
          </w:tcPr>
          <w:p w14:paraId="0B2CD3BD" w14:textId="5F60FDD4"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4,808 t</w:t>
            </w:r>
          </w:p>
        </w:tc>
        <w:tc>
          <w:tcPr>
            <w:tcW w:w="401" w:type="pct"/>
            <w:shd w:val="clear" w:color="auto" w:fill="auto"/>
            <w:noWrap/>
            <w:tcMar>
              <w:left w:w="43" w:type="dxa"/>
              <w:right w:w="43" w:type="dxa"/>
            </w:tcMar>
            <w:vAlign w:val="bottom"/>
            <w:hideMark/>
          </w:tcPr>
          <w:p w14:paraId="51C3A2F2" w14:textId="5ADDAD32"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4,621 t</w:t>
            </w:r>
          </w:p>
        </w:tc>
        <w:tc>
          <w:tcPr>
            <w:tcW w:w="401" w:type="pct"/>
            <w:shd w:val="clear" w:color="auto" w:fill="auto"/>
            <w:noWrap/>
            <w:tcMar>
              <w:left w:w="43" w:type="dxa"/>
              <w:right w:w="43" w:type="dxa"/>
            </w:tcMar>
            <w:vAlign w:val="bottom"/>
            <w:hideMark/>
          </w:tcPr>
          <w:p w14:paraId="594EFAF9" w14:textId="0B047C81"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4,433 t</w:t>
            </w:r>
          </w:p>
        </w:tc>
        <w:tc>
          <w:tcPr>
            <w:tcW w:w="401" w:type="pct"/>
            <w:shd w:val="clear" w:color="auto" w:fill="auto"/>
            <w:noWrap/>
            <w:tcMar>
              <w:left w:w="43" w:type="dxa"/>
              <w:right w:w="43" w:type="dxa"/>
            </w:tcMar>
            <w:vAlign w:val="bottom"/>
            <w:hideMark/>
          </w:tcPr>
          <w:p w14:paraId="45FF1339" w14:textId="3068A601"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4,278 t</w:t>
            </w:r>
          </w:p>
        </w:tc>
      </w:tr>
      <w:tr w:rsidR="00A223D8" w:rsidRPr="007D1EDC" w14:paraId="4D8B5A49" w14:textId="77777777" w:rsidTr="00A223D8">
        <w:trPr>
          <w:trHeight w:val="210"/>
        </w:trPr>
        <w:tc>
          <w:tcPr>
            <w:tcW w:w="1486" w:type="pct"/>
            <w:shd w:val="clear" w:color="auto" w:fill="auto"/>
            <w:noWrap/>
            <w:tcMar>
              <w:left w:w="43" w:type="dxa"/>
              <w:right w:w="43" w:type="dxa"/>
            </w:tcMar>
            <w:vAlign w:val="bottom"/>
            <w:hideMark/>
          </w:tcPr>
          <w:p w14:paraId="142B5317" w14:textId="381CAA57" w:rsidR="00A223D8" w:rsidRPr="00A223D8" w:rsidRDefault="00A223D8" w:rsidP="00A223D8">
            <w:pPr>
              <w:rPr>
                <w:rFonts w:ascii="Arial Narrow" w:hAnsi="Arial Narrow" w:cs="Calibri"/>
                <w:color w:val="000000"/>
                <w:sz w:val="20"/>
                <w:szCs w:val="20"/>
                <w:lang w:val="en-GB" w:eastAsia="en-GB"/>
              </w:rPr>
            </w:pPr>
            <w:proofErr w:type="spellStart"/>
            <w:r w:rsidRPr="00A223D8">
              <w:rPr>
                <w:rFonts w:ascii="Arial Narrow" w:hAnsi="Arial Narrow" w:cs="Calibri"/>
                <w:color w:val="000000"/>
                <w:sz w:val="20"/>
                <w:szCs w:val="20"/>
                <w:lang w:val="en-GB" w:eastAsia="en-GB"/>
              </w:rPr>
              <w:t>Kostot</w:t>
            </w:r>
            <w:proofErr w:type="spellEnd"/>
            <w:r w:rsidRPr="00A223D8">
              <w:rPr>
                <w:rFonts w:ascii="Arial Narrow" w:hAnsi="Arial Narrow" w:cs="Calibri"/>
                <w:color w:val="000000"/>
                <w:sz w:val="20"/>
                <w:szCs w:val="20"/>
                <w:lang w:val="en-GB" w:eastAsia="en-GB"/>
              </w:rPr>
              <w:t xml:space="preserve"> </w:t>
            </w:r>
            <w:proofErr w:type="spellStart"/>
            <w:r w:rsidRPr="00A223D8">
              <w:rPr>
                <w:rFonts w:ascii="Arial Narrow" w:hAnsi="Arial Narrow" w:cs="Calibri"/>
                <w:color w:val="000000"/>
                <w:sz w:val="20"/>
                <w:szCs w:val="20"/>
                <w:lang w:val="en-GB" w:eastAsia="en-GB"/>
              </w:rPr>
              <w:t>operacionale</w:t>
            </w:r>
            <w:proofErr w:type="spellEnd"/>
            <w:r w:rsidRPr="00A223D8">
              <w:rPr>
                <w:rFonts w:ascii="Arial Narrow" w:hAnsi="Arial Narrow" w:cs="Calibri"/>
                <w:color w:val="000000"/>
                <w:sz w:val="20"/>
                <w:szCs w:val="20"/>
                <w:lang w:val="en-GB" w:eastAsia="en-GB"/>
              </w:rPr>
              <w:t xml:space="preserve">, </w:t>
            </w:r>
            <w:proofErr w:type="spellStart"/>
            <w:r w:rsidRPr="00A223D8">
              <w:rPr>
                <w:rFonts w:ascii="Arial Narrow" w:hAnsi="Arial Narrow" w:cs="Calibri"/>
                <w:color w:val="000000"/>
                <w:sz w:val="20"/>
                <w:szCs w:val="20"/>
                <w:lang w:val="en-GB" w:eastAsia="en-GB"/>
              </w:rPr>
              <w:t>mijë</w:t>
            </w:r>
            <w:proofErr w:type="spellEnd"/>
            <w:r w:rsidRPr="00A223D8">
              <w:rPr>
                <w:rFonts w:ascii="Arial Narrow" w:hAnsi="Arial Narrow" w:cs="Calibri"/>
                <w:color w:val="000000"/>
                <w:sz w:val="20"/>
                <w:szCs w:val="20"/>
                <w:lang w:val="en-GB" w:eastAsia="en-GB"/>
              </w:rPr>
              <w:t xml:space="preserve"> €</w:t>
            </w:r>
          </w:p>
        </w:tc>
        <w:tc>
          <w:tcPr>
            <w:tcW w:w="307" w:type="pct"/>
            <w:shd w:val="clear" w:color="auto" w:fill="auto"/>
            <w:noWrap/>
            <w:tcMar>
              <w:left w:w="43" w:type="dxa"/>
              <w:right w:w="43" w:type="dxa"/>
            </w:tcMar>
            <w:vAlign w:val="bottom"/>
            <w:hideMark/>
          </w:tcPr>
          <w:p w14:paraId="5D1F6721"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414</w:t>
            </w:r>
          </w:p>
        </w:tc>
        <w:tc>
          <w:tcPr>
            <w:tcW w:w="328" w:type="pct"/>
            <w:shd w:val="clear" w:color="auto" w:fill="auto"/>
            <w:noWrap/>
            <w:tcMar>
              <w:left w:w="43" w:type="dxa"/>
              <w:right w:w="43" w:type="dxa"/>
            </w:tcMar>
            <w:vAlign w:val="bottom"/>
            <w:hideMark/>
          </w:tcPr>
          <w:p w14:paraId="18C44BA9"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413</w:t>
            </w:r>
          </w:p>
        </w:tc>
        <w:tc>
          <w:tcPr>
            <w:tcW w:w="474" w:type="pct"/>
            <w:shd w:val="clear" w:color="auto" w:fill="auto"/>
            <w:noWrap/>
            <w:tcMar>
              <w:left w:w="43" w:type="dxa"/>
              <w:right w:w="43" w:type="dxa"/>
            </w:tcMar>
            <w:vAlign w:val="bottom"/>
            <w:hideMark/>
          </w:tcPr>
          <w:p w14:paraId="3D9750BC"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404</w:t>
            </w:r>
          </w:p>
        </w:tc>
        <w:tc>
          <w:tcPr>
            <w:tcW w:w="401" w:type="pct"/>
            <w:shd w:val="clear" w:color="auto" w:fill="auto"/>
            <w:noWrap/>
            <w:tcMar>
              <w:left w:w="43" w:type="dxa"/>
              <w:right w:w="43" w:type="dxa"/>
            </w:tcMar>
            <w:vAlign w:val="bottom"/>
            <w:hideMark/>
          </w:tcPr>
          <w:p w14:paraId="71011AEE"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403</w:t>
            </w:r>
          </w:p>
        </w:tc>
        <w:tc>
          <w:tcPr>
            <w:tcW w:w="401" w:type="pct"/>
            <w:shd w:val="clear" w:color="auto" w:fill="auto"/>
            <w:noWrap/>
            <w:tcMar>
              <w:left w:w="43" w:type="dxa"/>
              <w:right w:w="43" w:type="dxa"/>
            </w:tcMar>
            <w:vAlign w:val="bottom"/>
            <w:hideMark/>
          </w:tcPr>
          <w:p w14:paraId="5273061C"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401</w:t>
            </w:r>
          </w:p>
        </w:tc>
        <w:tc>
          <w:tcPr>
            <w:tcW w:w="401" w:type="pct"/>
            <w:shd w:val="clear" w:color="auto" w:fill="auto"/>
            <w:noWrap/>
            <w:tcMar>
              <w:left w:w="43" w:type="dxa"/>
              <w:right w:w="43" w:type="dxa"/>
            </w:tcMar>
            <w:vAlign w:val="bottom"/>
            <w:hideMark/>
          </w:tcPr>
          <w:p w14:paraId="21BE3E82"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400</w:t>
            </w:r>
          </w:p>
        </w:tc>
        <w:tc>
          <w:tcPr>
            <w:tcW w:w="401" w:type="pct"/>
            <w:shd w:val="clear" w:color="auto" w:fill="auto"/>
            <w:noWrap/>
            <w:tcMar>
              <w:left w:w="43" w:type="dxa"/>
              <w:right w:w="43" w:type="dxa"/>
            </w:tcMar>
            <w:vAlign w:val="bottom"/>
            <w:hideMark/>
          </w:tcPr>
          <w:p w14:paraId="1A70CF01"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391</w:t>
            </w:r>
          </w:p>
        </w:tc>
        <w:tc>
          <w:tcPr>
            <w:tcW w:w="401" w:type="pct"/>
            <w:shd w:val="clear" w:color="auto" w:fill="auto"/>
            <w:noWrap/>
            <w:tcMar>
              <w:left w:w="43" w:type="dxa"/>
              <w:right w:w="43" w:type="dxa"/>
            </w:tcMar>
            <w:vAlign w:val="bottom"/>
            <w:hideMark/>
          </w:tcPr>
          <w:p w14:paraId="74C221AB"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386</w:t>
            </w:r>
          </w:p>
        </w:tc>
        <w:tc>
          <w:tcPr>
            <w:tcW w:w="401" w:type="pct"/>
            <w:shd w:val="clear" w:color="auto" w:fill="auto"/>
            <w:noWrap/>
            <w:tcMar>
              <w:left w:w="43" w:type="dxa"/>
              <w:right w:w="43" w:type="dxa"/>
            </w:tcMar>
            <w:vAlign w:val="bottom"/>
            <w:hideMark/>
          </w:tcPr>
          <w:p w14:paraId="569281D3"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385</w:t>
            </w:r>
          </w:p>
        </w:tc>
      </w:tr>
      <w:tr w:rsidR="00A223D8" w:rsidRPr="007D1EDC" w14:paraId="4BFBE2AA" w14:textId="77777777" w:rsidTr="00A223D8">
        <w:trPr>
          <w:trHeight w:val="210"/>
        </w:trPr>
        <w:tc>
          <w:tcPr>
            <w:tcW w:w="1486" w:type="pct"/>
            <w:shd w:val="clear" w:color="auto" w:fill="auto"/>
            <w:noWrap/>
            <w:tcMar>
              <w:left w:w="43" w:type="dxa"/>
              <w:right w:w="43" w:type="dxa"/>
            </w:tcMar>
            <w:vAlign w:val="bottom"/>
            <w:hideMark/>
          </w:tcPr>
          <w:p w14:paraId="76138C2A" w14:textId="55528517" w:rsidR="00A223D8" w:rsidRPr="00A223D8" w:rsidRDefault="00A223D8" w:rsidP="00A223D8">
            <w:pPr>
              <w:rPr>
                <w:rFonts w:ascii="Arial Narrow" w:hAnsi="Arial Narrow" w:cs="Calibri"/>
                <w:color w:val="000000"/>
                <w:sz w:val="20"/>
                <w:szCs w:val="20"/>
                <w:lang w:val="en-GB" w:eastAsia="en-GB"/>
              </w:rPr>
            </w:pPr>
            <w:proofErr w:type="spellStart"/>
            <w:r w:rsidRPr="00A223D8">
              <w:rPr>
                <w:rFonts w:ascii="Arial Narrow" w:hAnsi="Arial Narrow" w:cs="Calibri"/>
                <w:color w:val="000000"/>
                <w:sz w:val="20"/>
                <w:szCs w:val="20"/>
                <w:lang w:val="en-GB" w:eastAsia="en-GB"/>
              </w:rPr>
              <w:t>Amortizimi</w:t>
            </w:r>
            <w:proofErr w:type="spellEnd"/>
            <w:r w:rsidRPr="00A223D8">
              <w:rPr>
                <w:rFonts w:ascii="Arial Narrow" w:hAnsi="Arial Narrow" w:cs="Calibri"/>
                <w:color w:val="000000"/>
                <w:sz w:val="20"/>
                <w:szCs w:val="20"/>
                <w:lang w:val="en-GB" w:eastAsia="en-GB"/>
              </w:rPr>
              <w:t xml:space="preserve">, </w:t>
            </w:r>
            <w:proofErr w:type="spellStart"/>
            <w:r w:rsidRPr="00A223D8">
              <w:rPr>
                <w:rFonts w:ascii="Arial Narrow" w:hAnsi="Arial Narrow" w:cs="Calibri"/>
                <w:color w:val="000000"/>
                <w:sz w:val="20"/>
                <w:szCs w:val="20"/>
                <w:lang w:val="en-GB" w:eastAsia="en-GB"/>
              </w:rPr>
              <w:t>mijë</w:t>
            </w:r>
            <w:proofErr w:type="spellEnd"/>
            <w:r w:rsidRPr="00A223D8">
              <w:rPr>
                <w:rFonts w:ascii="Arial Narrow" w:hAnsi="Arial Narrow" w:cs="Calibri"/>
                <w:color w:val="000000"/>
                <w:sz w:val="20"/>
                <w:szCs w:val="20"/>
                <w:lang w:val="en-GB" w:eastAsia="en-GB"/>
              </w:rPr>
              <w:t xml:space="preserve"> €</w:t>
            </w:r>
          </w:p>
        </w:tc>
        <w:tc>
          <w:tcPr>
            <w:tcW w:w="307" w:type="pct"/>
            <w:shd w:val="clear" w:color="auto" w:fill="auto"/>
            <w:noWrap/>
            <w:tcMar>
              <w:left w:w="43" w:type="dxa"/>
              <w:right w:w="43" w:type="dxa"/>
            </w:tcMar>
            <w:vAlign w:val="bottom"/>
            <w:hideMark/>
          </w:tcPr>
          <w:p w14:paraId="66F52BCE"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131</w:t>
            </w:r>
          </w:p>
        </w:tc>
        <w:tc>
          <w:tcPr>
            <w:tcW w:w="328" w:type="pct"/>
            <w:shd w:val="clear" w:color="auto" w:fill="auto"/>
            <w:noWrap/>
            <w:tcMar>
              <w:left w:w="43" w:type="dxa"/>
              <w:right w:w="43" w:type="dxa"/>
            </w:tcMar>
            <w:vAlign w:val="bottom"/>
            <w:hideMark/>
          </w:tcPr>
          <w:p w14:paraId="669E641C"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131</w:t>
            </w:r>
          </w:p>
        </w:tc>
        <w:tc>
          <w:tcPr>
            <w:tcW w:w="474" w:type="pct"/>
            <w:shd w:val="clear" w:color="auto" w:fill="auto"/>
            <w:noWrap/>
            <w:tcMar>
              <w:left w:w="43" w:type="dxa"/>
              <w:right w:w="43" w:type="dxa"/>
            </w:tcMar>
            <w:vAlign w:val="bottom"/>
            <w:hideMark/>
          </w:tcPr>
          <w:p w14:paraId="6573840D"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131</w:t>
            </w:r>
          </w:p>
        </w:tc>
        <w:tc>
          <w:tcPr>
            <w:tcW w:w="401" w:type="pct"/>
            <w:shd w:val="clear" w:color="auto" w:fill="auto"/>
            <w:noWrap/>
            <w:tcMar>
              <w:left w:w="43" w:type="dxa"/>
              <w:right w:w="43" w:type="dxa"/>
            </w:tcMar>
            <w:vAlign w:val="bottom"/>
            <w:hideMark/>
          </w:tcPr>
          <w:p w14:paraId="1B9DC68F"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131</w:t>
            </w:r>
          </w:p>
        </w:tc>
        <w:tc>
          <w:tcPr>
            <w:tcW w:w="401" w:type="pct"/>
            <w:shd w:val="clear" w:color="auto" w:fill="auto"/>
            <w:noWrap/>
            <w:tcMar>
              <w:left w:w="43" w:type="dxa"/>
              <w:right w:w="43" w:type="dxa"/>
            </w:tcMar>
            <w:vAlign w:val="bottom"/>
            <w:hideMark/>
          </w:tcPr>
          <w:p w14:paraId="0ED71BA4"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131</w:t>
            </w:r>
          </w:p>
        </w:tc>
        <w:tc>
          <w:tcPr>
            <w:tcW w:w="401" w:type="pct"/>
            <w:shd w:val="clear" w:color="auto" w:fill="auto"/>
            <w:noWrap/>
            <w:tcMar>
              <w:left w:w="43" w:type="dxa"/>
              <w:right w:w="43" w:type="dxa"/>
            </w:tcMar>
            <w:vAlign w:val="bottom"/>
            <w:hideMark/>
          </w:tcPr>
          <w:p w14:paraId="6D4C2530"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131</w:t>
            </w:r>
          </w:p>
        </w:tc>
        <w:tc>
          <w:tcPr>
            <w:tcW w:w="401" w:type="pct"/>
            <w:shd w:val="clear" w:color="auto" w:fill="auto"/>
            <w:noWrap/>
            <w:tcMar>
              <w:left w:w="43" w:type="dxa"/>
              <w:right w:w="43" w:type="dxa"/>
            </w:tcMar>
            <w:vAlign w:val="bottom"/>
            <w:hideMark/>
          </w:tcPr>
          <w:p w14:paraId="1D3B8EA3"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131</w:t>
            </w:r>
          </w:p>
        </w:tc>
        <w:tc>
          <w:tcPr>
            <w:tcW w:w="401" w:type="pct"/>
            <w:shd w:val="clear" w:color="auto" w:fill="auto"/>
            <w:noWrap/>
            <w:tcMar>
              <w:left w:w="43" w:type="dxa"/>
              <w:right w:w="43" w:type="dxa"/>
            </w:tcMar>
            <w:vAlign w:val="bottom"/>
            <w:hideMark/>
          </w:tcPr>
          <w:p w14:paraId="10DBC1C8"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124</w:t>
            </w:r>
          </w:p>
        </w:tc>
        <w:tc>
          <w:tcPr>
            <w:tcW w:w="401" w:type="pct"/>
            <w:shd w:val="clear" w:color="auto" w:fill="auto"/>
            <w:noWrap/>
            <w:tcMar>
              <w:left w:w="43" w:type="dxa"/>
              <w:right w:w="43" w:type="dxa"/>
            </w:tcMar>
            <w:vAlign w:val="bottom"/>
            <w:hideMark/>
          </w:tcPr>
          <w:p w14:paraId="59A5E2D5"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124</w:t>
            </w:r>
          </w:p>
        </w:tc>
      </w:tr>
      <w:tr w:rsidR="00A223D8" w:rsidRPr="007D1EDC" w14:paraId="29DE3B30" w14:textId="77777777" w:rsidTr="00A223D8">
        <w:trPr>
          <w:trHeight w:val="210"/>
        </w:trPr>
        <w:tc>
          <w:tcPr>
            <w:tcW w:w="1486" w:type="pct"/>
            <w:shd w:val="clear" w:color="auto" w:fill="auto"/>
            <w:noWrap/>
            <w:tcMar>
              <w:left w:w="43" w:type="dxa"/>
              <w:right w:w="43" w:type="dxa"/>
            </w:tcMar>
            <w:vAlign w:val="bottom"/>
            <w:hideMark/>
          </w:tcPr>
          <w:p w14:paraId="19337312" w14:textId="02658045" w:rsidR="00A223D8" w:rsidRPr="00A223D8" w:rsidRDefault="00A223D8" w:rsidP="00A223D8">
            <w:pPr>
              <w:rPr>
                <w:rFonts w:ascii="Arial Narrow" w:hAnsi="Arial Narrow" w:cs="Calibri"/>
                <w:b/>
                <w:bCs/>
                <w:color w:val="000000"/>
                <w:sz w:val="20"/>
                <w:szCs w:val="20"/>
                <w:lang w:val="en-GB" w:eastAsia="en-GB"/>
              </w:rPr>
            </w:pPr>
            <w:r w:rsidRPr="00A223D8">
              <w:rPr>
                <w:rFonts w:ascii="Arial Narrow" w:hAnsi="Arial Narrow" w:cs="Calibri"/>
                <w:b/>
                <w:bCs/>
                <w:color w:val="000000"/>
                <w:sz w:val="20"/>
                <w:szCs w:val="20"/>
              </w:rPr>
              <w:t>Kostot totale të grumbullimit, mijë €</w:t>
            </w:r>
          </w:p>
        </w:tc>
        <w:tc>
          <w:tcPr>
            <w:tcW w:w="307" w:type="pct"/>
            <w:shd w:val="clear" w:color="auto" w:fill="auto"/>
            <w:noWrap/>
            <w:tcMar>
              <w:left w:w="43" w:type="dxa"/>
              <w:right w:w="43" w:type="dxa"/>
            </w:tcMar>
            <w:vAlign w:val="bottom"/>
            <w:hideMark/>
          </w:tcPr>
          <w:p w14:paraId="65D22ED0"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544</w:t>
            </w:r>
          </w:p>
        </w:tc>
        <w:tc>
          <w:tcPr>
            <w:tcW w:w="328" w:type="pct"/>
            <w:shd w:val="clear" w:color="auto" w:fill="auto"/>
            <w:noWrap/>
            <w:tcMar>
              <w:left w:w="43" w:type="dxa"/>
              <w:right w:w="43" w:type="dxa"/>
            </w:tcMar>
            <w:vAlign w:val="bottom"/>
            <w:hideMark/>
          </w:tcPr>
          <w:p w14:paraId="4B5AC105"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544</w:t>
            </w:r>
          </w:p>
        </w:tc>
        <w:tc>
          <w:tcPr>
            <w:tcW w:w="474" w:type="pct"/>
            <w:shd w:val="clear" w:color="auto" w:fill="auto"/>
            <w:noWrap/>
            <w:tcMar>
              <w:left w:w="43" w:type="dxa"/>
              <w:right w:w="43" w:type="dxa"/>
            </w:tcMar>
            <w:vAlign w:val="bottom"/>
            <w:hideMark/>
          </w:tcPr>
          <w:p w14:paraId="73ABC663"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534</w:t>
            </w:r>
          </w:p>
        </w:tc>
        <w:tc>
          <w:tcPr>
            <w:tcW w:w="401" w:type="pct"/>
            <w:shd w:val="clear" w:color="auto" w:fill="auto"/>
            <w:noWrap/>
            <w:tcMar>
              <w:left w:w="43" w:type="dxa"/>
              <w:right w:w="43" w:type="dxa"/>
            </w:tcMar>
            <w:vAlign w:val="bottom"/>
            <w:hideMark/>
          </w:tcPr>
          <w:p w14:paraId="1FE6C18C"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533</w:t>
            </w:r>
          </w:p>
        </w:tc>
        <w:tc>
          <w:tcPr>
            <w:tcW w:w="401" w:type="pct"/>
            <w:shd w:val="clear" w:color="auto" w:fill="auto"/>
            <w:noWrap/>
            <w:tcMar>
              <w:left w:w="43" w:type="dxa"/>
              <w:right w:w="43" w:type="dxa"/>
            </w:tcMar>
            <w:vAlign w:val="bottom"/>
            <w:hideMark/>
          </w:tcPr>
          <w:p w14:paraId="729BDBD1"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532</w:t>
            </w:r>
          </w:p>
        </w:tc>
        <w:tc>
          <w:tcPr>
            <w:tcW w:w="401" w:type="pct"/>
            <w:shd w:val="clear" w:color="auto" w:fill="auto"/>
            <w:noWrap/>
            <w:tcMar>
              <w:left w:w="43" w:type="dxa"/>
              <w:right w:w="43" w:type="dxa"/>
            </w:tcMar>
            <w:vAlign w:val="bottom"/>
            <w:hideMark/>
          </w:tcPr>
          <w:p w14:paraId="604CD776"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530</w:t>
            </w:r>
          </w:p>
        </w:tc>
        <w:tc>
          <w:tcPr>
            <w:tcW w:w="401" w:type="pct"/>
            <w:shd w:val="clear" w:color="auto" w:fill="auto"/>
            <w:noWrap/>
            <w:tcMar>
              <w:left w:w="43" w:type="dxa"/>
              <w:right w:w="43" w:type="dxa"/>
            </w:tcMar>
            <w:vAlign w:val="bottom"/>
            <w:hideMark/>
          </w:tcPr>
          <w:p w14:paraId="7EF2B17D"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522</w:t>
            </w:r>
          </w:p>
        </w:tc>
        <w:tc>
          <w:tcPr>
            <w:tcW w:w="401" w:type="pct"/>
            <w:shd w:val="clear" w:color="auto" w:fill="auto"/>
            <w:noWrap/>
            <w:tcMar>
              <w:left w:w="43" w:type="dxa"/>
              <w:right w:w="43" w:type="dxa"/>
            </w:tcMar>
            <w:vAlign w:val="bottom"/>
            <w:hideMark/>
          </w:tcPr>
          <w:p w14:paraId="3F9010A1"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510</w:t>
            </w:r>
          </w:p>
        </w:tc>
        <w:tc>
          <w:tcPr>
            <w:tcW w:w="401" w:type="pct"/>
            <w:shd w:val="clear" w:color="auto" w:fill="auto"/>
            <w:noWrap/>
            <w:tcMar>
              <w:left w:w="43" w:type="dxa"/>
              <w:right w:w="43" w:type="dxa"/>
            </w:tcMar>
            <w:vAlign w:val="bottom"/>
            <w:hideMark/>
          </w:tcPr>
          <w:p w14:paraId="14DAD306" w14:textId="77777777" w:rsidR="00A223D8" w:rsidRPr="007D1EDC" w:rsidRDefault="00A223D8" w:rsidP="00A223D8">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509</w:t>
            </w:r>
          </w:p>
        </w:tc>
      </w:tr>
      <w:tr w:rsidR="00A223D8" w:rsidRPr="007D1EDC" w14:paraId="5963F660" w14:textId="77777777" w:rsidTr="00A223D8">
        <w:trPr>
          <w:trHeight w:val="210"/>
        </w:trPr>
        <w:tc>
          <w:tcPr>
            <w:tcW w:w="1486" w:type="pct"/>
            <w:shd w:val="clear" w:color="auto" w:fill="auto"/>
            <w:noWrap/>
            <w:tcMar>
              <w:left w:w="43" w:type="dxa"/>
              <w:right w:w="43" w:type="dxa"/>
            </w:tcMar>
            <w:vAlign w:val="bottom"/>
            <w:hideMark/>
          </w:tcPr>
          <w:p w14:paraId="4D916825" w14:textId="2CC0E41B" w:rsidR="00A223D8" w:rsidRPr="00A223D8" w:rsidRDefault="00A223D8" w:rsidP="00A223D8">
            <w:pPr>
              <w:rPr>
                <w:rFonts w:ascii="Arial Narrow" w:hAnsi="Arial Narrow" w:cs="Calibri"/>
                <w:color w:val="000000"/>
                <w:sz w:val="20"/>
                <w:szCs w:val="20"/>
                <w:lang w:val="en-GB" w:eastAsia="en-GB"/>
              </w:rPr>
            </w:pPr>
            <w:proofErr w:type="spellStart"/>
            <w:r w:rsidRPr="00A223D8">
              <w:rPr>
                <w:rFonts w:ascii="Arial Narrow" w:hAnsi="Arial Narrow" w:cs="Calibri"/>
                <w:color w:val="000000"/>
                <w:sz w:val="20"/>
                <w:szCs w:val="20"/>
                <w:lang w:val="en-GB" w:eastAsia="en-GB"/>
              </w:rPr>
              <w:t>Kostoja</w:t>
            </w:r>
            <w:proofErr w:type="spellEnd"/>
            <w:r w:rsidRPr="00A223D8">
              <w:rPr>
                <w:rFonts w:ascii="Arial Narrow" w:hAnsi="Arial Narrow" w:cs="Calibri"/>
                <w:color w:val="000000"/>
                <w:sz w:val="20"/>
                <w:szCs w:val="20"/>
                <w:lang w:val="en-GB" w:eastAsia="en-GB"/>
              </w:rPr>
              <w:t xml:space="preserve"> </w:t>
            </w:r>
            <w:proofErr w:type="spellStart"/>
            <w:r w:rsidRPr="00A223D8">
              <w:rPr>
                <w:rFonts w:ascii="Arial Narrow" w:hAnsi="Arial Narrow" w:cs="Calibri"/>
                <w:color w:val="000000"/>
                <w:sz w:val="20"/>
                <w:szCs w:val="20"/>
                <w:lang w:val="en-GB" w:eastAsia="en-GB"/>
              </w:rPr>
              <w:t>për</w:t>
            </w:r>
            <w:proofErr w:type="spellEnd"/>
            <w:r w:rsidRPr="00A223D8">
              <w:rPr>
                <w:rFonts w:ascii="Arial Narrow" w:hAnsi="Arial Narrow" w:cs="Calibri"/>
                <w:color w:val="000000"/>
                <w:sz w:val="20"/>
                <w:szCs w:val="20"/>
                <w:lang w:val="en-GB" w:eastAsia="en-GB"/>
              </w:rPr>
              <w:t xml:space="preserve"> ton</w:t>
            </w:r>
          </w:p>
        </w:tc>
        <w:tc>
          <w:tcPr>
            <w:tcW w:w="307" w:type="pct"/>
            <w:shd w:val="clear" w:color="auto" w:fill="auto"/>
            <w:noWrap/>
            <w:tcMar>
              <w:left w:w="43" w:type="dxa"/>
              <w:right w:w="43" w:type="dxa"/>
            </w:tcMar>
            <w:vAlign w:val="bottom"/>
            <w:hideMark/>
          </w:tcPr>
          <w:p w14:paraId="5E5526C3"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84 €/t</w:t>
            </w:r>
          </w:p>
        </w:tc>
        <w:tc>
          <w:tcPr>
            <w:tcW w:w="328" w:type="pct"/>
            <w:shd w:val="clear" w:color="auto" w:fill="auto"/>
            <w:noWrap/>
            <w:tcMar>
              <w:left w:w="43" w:type="dxa"/>
              <w:right w:w="43" w:type="dxa"/>
            </w:tcMar>
            <w:vAlign w:val="bottom"/>
            <w:hideMark/>
          </w:tcPr>
          <w:p w14:paraId="03BCE015"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85 €/t</w:t>
            </w:r>
          </w:p>
        </w:tc>
        <w:tc>
          <w:tcPr>
            <w:tcW w:w="474" w:type="pct"/>
            <w:shd w:val="clear" w:color="auto" w:fill="auto"/>
            <w:noWrap/>
            <w:tcMar>
              <w:left w:w="43" w:type="dxa"/>
              <w:right w:w="43" w:type="dxa"/>
            </w:tcMar>
            <w:vAlign w:val="bottom"/>
            <w:hideMark/>
          </w:tcPr>
          <w:p w14:paraId="7FED45EA"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85 €/t</w:t>
            </w:r>
          </w:p>
        </w:tc>
        <w:tc>
          <w:tcPr>
            <w:tcW w:w="401" w:type="pct"/>
            <w:shd w:val="clear" w:color="auto" w:fill="auto"/>
            <w:noWrap/>
            <w:tcMar>
              <w:left w:w="43" w:type="dxa"/>
              <w:right w:w="43" w:type="dxa"/>
            </w:tcMar>
            <w:vAlign w:val="bottom"/>
            <w:hideMark/>
          </w:tcPr>
          <w:p w14:paraId="4CA01C5E"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88 €/t</w:t>
            </w:r>
          </w:p>
        </w:tc>
        <w:tc>
          <w:tcPr>
            <w:tcW w:w="401" w:type="pct"/>
            <w:shd w:val="clear" w:color="auto" w:fill="auto"/>
            <w:noWrap/>
            <w:tcMar>
              <w:left w:w="43" w:type="dxa"/>
              <w:right w:w="43" w:type="dxa"/>
            </w:tcMar>
            <w:vAlign w:val="bottom"/>
            <w:hideMark/>
          </w:tcPr>
          <w:p w14:paraId="356D0D74"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91 €/t</w:t>
            </w:r>
          </w:p>
        </w:tc>
        <w:tc>
          <w:tcPr>
            <w:tcW w:w="401" w:type="pct"/>
            <w:shd w:val="clear" w:color="auto" w:fill="auto"/>
            <w:noWrap/>
            <w:tcMar>
              <w:left w:w="43" w:type="dxa"/>
              <w:right w:w="43" w:type="dxa"/>
            </w:tcMar>
            <w:vAlign w:val="bottom"/>
            <w:hideMark/>
          </w:tcPr>
          <w:p w14:paraId="33A9E3AC"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110 €/t</w:t>
            </w:r>
          </w:p>
        </w:tc>
        <w:tc>
          <w:tcPr>
            <w:tcW w:w="401" w:type="pct"/>
            <w:shd w:val="clear" w:color="auto" w:fill="auto"/>
            <w:noWrap/>
            <w:tcMar>
              <w:left w:w="43" w:type="dxa"/>
              <w:right w:w="43" w:type="dxa"/>
            </w:tcMar>
            <w:vAlign w:val="bottom"/>
            <w:hideMark/>
          </w:tcPr>
          <w:p w14:paraId="179010BC"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113 €/t</w:t>
            </w:r>
          </w:p>
        </w:tc>
        <w:tc>
          <w:tcPr>
            <w:tcW w:w="401" w:type="pct"/>
            <w:shd w:val="clear" w:color="auto" w:fill="auto"/>
            <w:noWrap/>
            <w:tcMar>
              <w:left w:w="43" w:type="dxa"/>
              <w:right w:w="43" w:type="dxa"/>
            </w:tcMar>
            <w:vAlign w:val="bottom"/>
            <w:hideMark/>
          </w:tcPr>
          <w:p w14:paraId="0CDEA835"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115 €/t</w:t>
            </w:r>
          </w:p>
        </w:tc>
        <w:tc>
          <w:tcPr>
            <w:tcW w:w="401" w:type="pct"/>
            <w:shd w:val="clear" w:color="auto" w:fill="auto"/>
            <w:noWrap/>
            <w:tcMar>
              <w:left w:w="43" w:type="dxa"/>
              <w:right w:w="43" w:type="dxa"/>
            </w:tcMar>
            <w:vAlign w:val="bottom"/>
            <w:hideMark/>
          </w:tcPr>
          <w:p w14:paraId="54E7BDAA"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119 €/t</w:t>
            </w:r>
          </w:p>
        </w:tc>
      </w:tr>
    </w:tbl>
    <w:p w14:paraId="6AEFB5FC" w14:textId="77777777" w:rsidR="007D1EDC" w:rsidRPr="007D1EDC" w:rsidRDefault="007D1EDC" w:rsidP="007D1EDC">
      <w:pPr>
        <w:rPr>
          <w:rFonts w:ascii="Arial Narrow" w:eastAsia="Calibri" w:hAnsi="Arial Narrow"/>
          <w:sz w:val="20"/>
        </w:rPr>
      </w:pPr>
    </w:p>
    <w:p w14:paraId="09258115" w14:textId="00C25BE4" w:rsidR="007D1EDC" w:rsidRPr="007D1EDC" w:rsidRDefault="007D1EDC" w:rsidP="007D1EDC">
      <w:pPr>
        <w:suppressAutoHyphens/>
        <w:rPr>
          <w:rFonts w:ascii="Arial Narrow" w:eastAsia="Calibri" w:hAnsi="Arial Narrow" w:cs="Calibri"/>
          <w:color w:val="1F497D"/>
          <w:sz w:val="20"/>
          <w:szCs w:val="20"/>
        </w:rPr>
      </w:pPr>
      <w:bookmarkStart w:id="641" w:name="_Toc190966785"/>
      <w:bookmarkStart w:id="642" w:name="_Toc197472282"/>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97.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 xml:space="preserve">Kostot e </w:t>
      </w:r>
      <w:r w:rsidR="00A223D8">
        <w:rPr>
          <w:rFonts w:ascii="Arial Narrow" w:eastAsia="Calibri" w:hAnsi="Arial Narrow" w:cs="Calibri"/>
          <w:color w:val="1F497D"/>
          <w:sz w:val="20"/>
          <w:szCs w:val="20"/>
        </w:rPr>
        <w:t>grumbullimit dhe transferit të mbeturinave</w:t>
      </w:r>
      <w:r w:rsidRPr="007D1EDC">
        <w:rPr>
          <w:rFonts w:ascii="Arial Narrow" w:eastAsia="Calibri" w:hAnsi="Arial Narrow" w:cs="Calibri"/>
          <w:color w:val="1F497D"/>
          <w:sz w:val="20"/>
          <w:szCs w:val="20"/>
        </w:rPr>
        <w:t xml:space="preserve"> të </w:t>
      </w:r>
      <w:r w:rsidR="00A223D8">
        <w:rPr>
          <w:rFonts w:ascii="Arial Narrow" w:eastAsia="Calibri" w:hAnsi="Arial Narrow" w:cs="Calibri"/>
          <w:color w:val="1F497D"/>
          <w:sz w:val="20"/>
          <w:szCs w:val="20"/>
        </w:rPr>
        <w:t>përziera në Deçan</w:t>
      </w:r>
      <w:r w:rsidRPr="007D1EDC">
        <w:rPr>
          <w:rFonts w:ascii="Arial Narrow" w:eastAsia="Calibri" w:hAnsi="Arial Narrow" w:cs="Calibri"/>
          <w:color w:val="1F497D"/>
          <w:sz w:val="20"/>
          <w:szCs w:val="20"/>
        </w:rPr>
        <w:t>, mijë euro</w:t>
      </w:r>
      <w:bookmarkEnd w:id="641"/>
      <w:bookmarkEnd w:id="6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2"/>
        <w:gridCol w:w="588"/>
        <w:gridCol w:w="627"/>
        <w:gridCol w:w="627"/>
        <w:gridCol w:w="627"/>
        <w:gridCol w:w="627"/>
        <w:gridCol w:w="627"/>
        <w:gridCol w:w="627"/>
        <w:gridCol w:w="627"/>
        <w:gridCol w:w="627"/>
      </w:tblGrid>
      <w:tr w:rsidR="00A223D8" w:rsidRPr="007D1EDC" w14:paraId="4C181F35" w14:textId="77777777" w:rsidTr="00A223D8">
        <w:trPr>
          <w:trHeight w:val="220"/>
        </w:trPr>
        <w:tc>
          <w:tcPr>
            <w:tcW w:w="1666" w:type="pct"/>
            <w:shd w:val="clear" w:color="auto" w:fill="365F91"/>
            <w:noWrap/>
            <w:tcMar>
              <w:left w:w="43" w:type="dxa"/>
              <w:right w:w="43" w:type="dxa"/>
            </w:tcMar>
            <w:vAlign w:val="center"/>
            <w:hideMark/>
          </w:tcPr>
          <w:p w14:paraId="7ED5B1E8" w14:textId="06CCBCE5" w:rsidR="007D1EDC" w:rsidRPr="007D1EDC" w:rsidRDefault="007D1EDC" w:rsidP="007D1EDC">
            <w:pPr>
              <w:rPr>
                <w:rFonts w:ascii="Arial Narrow" w:hAnsi="Arial Narrow" w:cs="Calibri"/>
                <w:b/>
                <w:bCs/>
                <w:color w:val="FFFFFF" w:themeColor="background1"/>
                <w:sz w:val="20"/>
                <w:szCs w:val="20"/>
                <w:lang w:val="en-GB" w:eastAsia="en-GB"/>
              </w:rPr>
            </w:pPr>
            <w:proofErr w:type="spellStart"/>
            <w:r w:rsidRPr="007D1EDC">
              <w:rPr>
                <w:rFonts w:ascii="Arial Narrow" w:hAnsi="Arial Narrow" w:cs="Calibri"/>
                <w:b/>
                <w:bCs/>
                <w:color w:val="FFFFFF" w:themeColor="background1"/>
                <w:sz w:val="20"/>
                <w:szCs w:val="20"/>
                <w:lang w:val="en-GB" w:eastAsia="en-GB"/>
              </w:rPr>
              <w:t>De</w:t>
            </w:r>
            <w:r w:rsidR="00A223D8">
              <w:rPr>
                <w:rFonts w:ascii="Arial Narrow" w:hAnsi="Arial Narrow" w:cs="Calibri"/>
                <w:b/>
                <w:bCs/>
                <w:color w:val="FFFFFF" w:themeColor="background1"/>
                <w:sz w:val="20"/>
                <w:szCs w:val="20"/>
                <w:lang w:val="en-GB" w:eastAsia="en-GB"/>
              </w:rPr>
              <w:t>ç</w:t>
            </w:r>
            <w:r w:rsidRPr="007D1EDC">
              <w:rPr>
                <w:rFonts w:ascii="Arial Narrow" w:hAnsi="Arial Narrow" w:cs="Calibri"/>
                <w:b/>
                <w:bCs/>
                <w:color w:val="FFFFFF" w:themeColor="background1"/>
                <w:sz w:val="20"/>
                <w:szCs w:val="20"/>
                <w:lang w:val="en-GB" w:eastAsia="en-GB"/>
              </w:rPr>
              <w:t>an</w:t>
            </w:r>
            <w:proofErr w:type="spellEnd"/>
          </w:p>
        </w:tc>
        <w:tc>
          <w:tcPr>
            <w:tcW w:w="291" w:type="pct"/>
            <w:shd w:val="clear" w:color="auto" w:fill="365F91"/>
            <w:noWrap/>
            <w:tcMar>
              <w:left w:w="43" w:type="dxa"/>
              <w:right w:w="43" w:type="dxa"/>
            </w:tcMar>
            <w:vAlign w:val="center"/>
            <w:hideMark/>
          </w:tcPr>
          <w:p w14:paraId="671702B8"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2027</w:t>
            </w:r>
          </w:p>
        </w:tc>
        <w:tc>
          <w:tcPr>
            <w:tcW w:w="380" w:type="pct"/>
            <w:shd w:val="clear" w:color="auto" w:fill="365F91"/>
            <w:noWrap/>
            <w:tcMar>
              <w:left w:w="43" w:type="dxa"/>
              <w:right w:w="43" w:type="dxa"/>
            </w:tcMar>
            <w:vAlign w:val="center"/>
            <w:hideMark/>
          </w:tcPr>
          <w:p w14:paraId="78D04D58"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2028</w:t>
            </w:r>
          </w:p>
        </w:tc>
        <w:tc>
          <w:tcPr>
            <w:tcW w:w="380" w:type="pct"/>
            <w:shd w:val="clear" w:color="auto" w:fill="365F91"/>
            <w:noWrap/>
            <w:tcMar>
              <w:left w:w="43" w:type="dxa"/>
              <w:right w:w="43" w:type="dxa"/>
            </w:tcMar>
            <w:vAlign w:val="center"/>
            <w:hideMark/>
          </w:tcPr>
          <w:p w14:paraId="6A341683"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2029</w:t>
            </w:r>
          </w:p>
        </w:tc>
        <w:tc>
          <w:tcPr>
            <w:tcW w:w="380" w:type="pct"/>
            <w:shd w:val="clear" w:color="auto" w:fill="365F91"/>
            <w:noWrap/>
            <w:tcMar>
              <w:left w:w="43" w:type="dxa"/>
              <w:right w:w="43" w:type="dxa"/>
            </w:tcMar>
            <w:vAlign w:val="center"/>
            <w:hideMark/>
          </w:tcPr>
          <w:p w14:paraId="6B508F02"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2030</w:t>
            </w:r>
          </w:p>
        </w:tc>
        <w:tc>
          <w:tcPr>
            <w:tcW w:w="380" w:type="pct"/>
            <w:shd w:val="clear" w:color="auto" w:fill="365F91"/>
            <w:noWrap/>
            <w:tcMar>
              <w:left w:w="43" w:type="dxa"/>
              <w:right w:w="43" w:type="dxa"/>
            </w:tcMar>
            <w:vAlign w:val="center"/>
            <w:hideMark/>
          </w:tcPr>
          <w:p w14:paraId="0C8B1D64"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2031</w:t>
            </w:r>
          </w:p>
        </w:tc>
        <w:tc>
          <w:tcPr>
            <w:tcW w:w="380" w:type="pct"/>
            <w:shd w:val="clear" w:color="auto" w:fill="365F91"/>
            <w:noWrap/>
            <w:tcMar>
              <w:left w:w="43" w:type="dxa"/>
              <w:right w:w="43" w:type="dxa"/>
            </w:tcMar>
            <w:vAlign w:val="center"/>
            <w:hideMark/>
          </w:tcPr>
          <w:p w14:paraId="4FF33AE7"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2032</w:t>
            </w:r>
          </w:p>
        </w:tc>
        <w:tc>
          <w:tcPr>
            <w:tcW w:w="380" w:type="pct"/>
            <w:shd w:val="clear" w:color="auto" w:fill="365F91"/>
            <w:noWrap/>
            <w:tcMar>
              <w:left w:w="43" w:type="dxa"/>
              <w:right w:w="43" w:type="dxa"/>
            </w:tcMar>
            <w:vAlign w:val="center"/>
            <w:hideMark/>
          </w:tcPr>
          <w:p w14:paraId="412784E3"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2033</w:t>
            </w:r>
          </w:p>
        </w:tc>
        <w:tc>
          <w:tcPr>
            <w:tcW w:w="380" w:type="pct"/>
            <w:shd w:val="clear" w:color="auto" w:fill="365F91"/>
            <w:noWrap/>
            <w:tcMar>
              <w:left w:w="43" w:type="dxa"/>
              <w:right w:w="43" w:type="dxa"/>
            </w:tcMar>
            <w:vAlign w:val="center"/>
            <w:hideMark/>
          </w:tcPr>
          <w:p w14:paraId="2421D18E"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2034</w:t>
            </w:r>
          </w:p>
        </w:tc>
        <w:tc>
          <w:tcPr>
            <w:tcW w:w="380" w:type="pct"/>
            <w:shd w:val="clear" w:color="auto" w:fill="365F91"/>
            <w:noWrap/>
            <w:tcMar>
              <w:left w:w="43" w:type="dxa"/>
              <w:right w:w="43" w:type="dxa"/>
            </w:tcMar>
            <w:vAlign w:val="center"/>
            <w:hideMark/>
          </w:tcPr>
          <w:p w14:paraId="40710D4D"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2035</w:t>
            </w:r>
          </w:p>
        </w:tc>
      </w:tr>
      <w:tr w:rsidR="00A223D8" w:rsidRPr="007D1EDC" w14:paraId="52406EEF" w14:textId="77777777" w:rsidTr="00A223D8">
        <w:trPr>
          <w:trHeight w:val="210"/>
        </w:trPr>
        <w:tc>
          <w:tcPr>
            <w:tcW w:w="1666" w:type="pct"/>
            <w:shd w:val="clear" w:color="auto" w:fill="auto"/>
            <w:noWrap/>
            <w:tcMar>
              <w:left w:w="43" w:type="dxa"/>
              <w:right w:w="43" w:type="dxa"/>
            </w:tcMar>
            <w:vAlign w:val="bottom"/>
            <w:hideMark/>
          </w:tcPr>
          <w:p w14:paraId="54722518" w14:textId="44FD7080" w:rsidR="00A223D8" w:rsidRPr="009F5CA1" w:rsidRDefault="00A223D8" w:rsidP="00A223D8">
            <w:pPr>
              <w:rPr>
                <w:rFonts w:ascii="Arial Narrow" w:hAnsi="Arial Narrow" w:cs="Calibri"/>
                <w:color w:val="000000"/>
                <w:sz w:val="20"/>
                <w:szCs w:val="20"/>
                <w:lang w:val="es-ES" w:eastAsia="en-GB"/>
              </w:rPr>
            </w:pPr>
            <w:proofErr w:type="spellStart"/>
            <w:r w:rsidRPr="009F5CA1">
              <w:rPr>
                <w:rFonts w:ascii="Arial Narrow" w:hAnsi="Arial Narrow" w:cs="Calibri"/>
                <w:color w:val="000000"/>
                <w:sz w:val="20"/>
                <w:szCs w:val="20"/>
                <w:lang w:val="es-ES" w:eastAsia="en-GB"/>
              </w:rPr>
              <w:t>Mbeturinat</w:t>
            </w:r>
            <w:proofErr w:type="spellEnd"/>
            <w:r w:rsidRPr="009F5CA1">
              <w:rPr>
                <w:rFonts w:ascii="Arial Narrow" w:hAnsi="Arial Narrow" w:cs="Calibri"/>
                <w:color w:val="000000"/>
                <w:sz w:val="20"/>
                <w:szCs w:val="20"/>
                <w:lang w:val="es-ES" w:eastAsia="en-GB"/>
              </w:rPr>
              <w:t xml:space="preserve"> e </w:t>
            </w:r>
            <w:proofErr w:type="spellStart"/>
            <w:r w:rsidRPr="009F5CA1">
              <w:rPr>
                <w:rFonts w:ascii="Arial Narrow" w:hAnsi="Arial Narrow" w:cs="Calibri"/>
                <w:color w:val="000000"/>
                <w:sz w:val="20"/>
                <w:szCs w:val="20"/>
                <w:lang w:val="es-ES" w:eastAsia="en-GB"/>
              </w:rPr>
              <w:t>përziera</w:t>
            </w:r>
            <w:proofErr w:type="spellEnd"/>
            <w:r w:rsidRPr="009F5CA1">
              <w:rPr>
                <w:rFonts w:ascii="Arial Narrow" w:hAnsi="Arial Narrow" w:cs="Calibri"/>
                <w:color w:val="000000"/>
                <w:sz w:val="20"/>
                <w:szCs w:val="20"/>
                <w:lang w:val="es-ES" w:eastAsia="en-GB"/>
              </w:rPr>
              <w:t xml:space="preserve"> </w:t>
            </w:r>
            <w:proofErr w:type="spellStart"/>
            <w:r w:rsidRPr="009F5CA1">
              <w:rPr>
                <w:rFonts w:ascii="Arial Narrow" w:hAnsi="Arial Narrow" w:cs="Calibri"/>
                <w:color w:val="000000"/>
                <w:sz w:val="20"/>
                <w:szCs w:val="20"/>
                <w:lang w:val="es-ES" w:eastAsia="en-GB"/>
              </w:rPr>
              <w:t>të</w:t>
            </w:r>
            <w:proofErr w:type="spellEnd"/>
            <w:r w:rsidRPr="009F5CA1">
              <w:rPr>
                <w:rFonts w:ascii="Arial Narrow" w:hAnsi="Arial Narrow" w:cs="Calibri"/>
                <w:color w:val="000000"/>
                <w:sz w:val="20"/>
                <w:szCs w:val="20"/>
                <w:lang w:val="es-ES" w:eastAsia="en-GB"/>
              </w:rPr>
              <w:t xml:space="preserve"> </w:t>
            </w:r>
            <w:proofErr w:type="spellStart"/>
            <w:r w:rsidRPr="009F5CA1">
              <w:rPr>
                <w:rFonts w:ascii="Arial Narrow" w:hAnsi="Arial Narrow" w:cs="Calibri"/>
                <w:color w:val="000000"/>
                <w:sz w:val="20"/>
                <w:szCs w:val="20"/>
                <w:lang w:val="es-ES" w:eastAsia="en-GB"/>
              </w:rPr>
              <w:t>grumbulluara</w:t>
            </w:r>
            <w:proofErr w:type="spellEnd"/>
          </w:p>
        </w:tc>
        <w:tc>
          <w:tcPr>
            <w:tcW w:w="291" w:type="pct"/>
            <w:shd w:val="clear" w:color="auto" w:fill="auto"/>
            <w:noWrap/>
            <w:tcMar>
              <w:left w:w="43" w:type="dxa"/>
              <w:right w:w="43" w:type="dxa"/>
            </w:tcMar>
            <w:vAlign w:val="bottom"/>
            <w:hideMark/>
          </w:tcPr>
          <w:p w14:paraId="3A05F8B0"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6,013 t</w:t>
            </w:r>
          </w:p>
        </w:tc>
        <w:tc>
          <w:tcPr>
            <w:tcW w:w="380" w:type="pct"/>
            <w:shd w:val="clear" w:color="auto" w:fill="auto"/>
            <w:noWrap/>
            <w:tcMar>
              <w:left w:w="43" w:type="dxa"/>
              <w:right w:w="43" w:type="dxa"/>
            </w:tcMar>
            <w:vAlign w:val="bottom"/>
            <w:hideMark/>
          </w:tcPr>
          <w:p w14:paraId="12225227" w14:textId="3505BCD3"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5,912 t</w:t>
            </w:r>
          </w:p>
        </w:tc>
        <w:tc>
          <w:tcPr>
            <w:tcW w:w="380" w:type="pct"/>
            <w:shd w:val="clear" w:color="auto" w:fill="auto"/>
            <w:noWrap/>
            <w:tcMar>
              <w:left w:w="43" w:type="dxa"/>
              <w:right w:w="43" w:type="dxa"/>
            </w:tcMar>
            <w:vAlign w:val="bottom"/>
            <w:hideMark/>
          </w:tcPr>
          <w:p w14:paraId="49B67051" w14:textId="322DCC6F"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5,792 t</w:t>
            </w:r>
          </w:p>
        </w:tc>
        <w:tc>
          <w:tcPr>
            <w:tcW w:w="380" w:type="pct"/>
            <w:shd w:val="clear" w:color="auto" w:fill="auto"/>
            <w:noWrap/>
            <w:tcMar>
              <w:left w:w="43" w:type="dxa"/>
              <w:right w:w="43" w:type="dxa"/>
            </w:tcMar>
            <w:vAlign w:val="bottom"/>
            <w:hideMark/>
          </w:tcPr>
          <w:p w14:paraId="76FFBE92" w14:textId="3D18E812"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5,595 t</w:t>
            </w:r>
          </w:p>
        </w:tc>
        <w:tc>
          <w:tcPr>
            <w:tcW w:w="380" w:type="pct"/>
            <w:shd w:val="clear" w:color="auto" w:fill="auto"/>
            <w:noWrap/>
            <w:tcMar>
              <w:left w:w="43" w:type="dxa"/>
              <w:right w:w="43" w:type="dxa"/>
            </w:tcMar>
            <w:vAlign w:val="bottom"/>
            <w:hideMark/>
          </w:tcPr>
          <w:p w14:paraId="4C3EDD80" w14:textId="31B8A66A"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5,426 t</w:t>
            </w:r>
          </w:p>
        </w:tc>
        <w:tc>
          <w:tcPr>
            <w:tcW w:w="380" w:type="pct"/>
            <w:shd w:val="clear" w:color="auto" w:fill="auto"/>
            <w:noWrap/>
            <w:tcMar>
              <w:left w:w="43" w:type="dxa"/>
              <w:right w:w="43" w:type="dxa"/>
            </w:tcMar>
            <w:vAlign w:val="bottom"/>
            <w:hideMark/>
          </w:tcPr>
          <w:p w14:paraId="22C45816" w14:textId="6A7CFDBB"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4,416 t</w:t>
            </w:r>
          </w:p>
        </w:tc>
        <w:tc>
          <w:tcPr>
            <w:tcW w:w="380" w:type="pct"/>
            <w:shd w:val="clear" w:color="auto" w:fill="auto"/>
            <w:noWrap/>
            <w:tcMar>
              <w:left w:w="43" w:type="dxa"/>
              <w:right w:w="43" w:type="dxa"/>
            </w:tcMar>
            <w:vAlign w:val="bottom"/>
            <w:hideMark/>
          </w:tcPr>
          <w:p w14:paraId="6173FCA3" w14:textId="3589A63C"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4,243 t</w:t>
            </w:r>
          </w:p>
        </w:tc>
        <w:tc>
          <w:tcPr>
            <w:tcW w:w="380" w:type="pct"/>
            <w:shd w:val="clear" w:color="auto" w:fill="auto"/>
            <w:noWrap/>
            <w:tcMar>
              <w:left w:w="43" w:type="dxa"/>
              <w:right w:w="43" w:type="dxa"/>
            </w:tcMar>
            <w:vAlign w:val="bottom"/>
            <w:hideMark/>
          </w:tcPr>
          <w:p w14:paraId="39AFDF58" w14:textId="2EE55AD3"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4,068 t</w:t>
            </w:r>
          </w:p>
        </w:tc>
        <w:tc>
          <w:tcPr>
            <w:tcW w:w="380" w:type="pct"/>
            <w:shd w:val="clear" w:color="auto" w:fill="auto"/>
            <w:noWrap/>
            <w:tcMar>
              <w:left w:w="43" w:type="dxa"/>
              <w:right w:w="43" w:type="dxa"/>
            </w:tcMar>
            <w:vAlign w:val="bottom"/>
            <w:hideMark/>
          </w:tcPr>
          <w:p w14:paraId="2B17FC8D" w14:textId="5DA30C35"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3,926 t</w:t>
            </w:r>
          </w:p>
        </w:tc>
      </w:tr>
      <w:tr w:rsidR="00A223D8" w:rsidRPr="007D1EDC" w14:paraId="34F21A5A" w14:textId="77777777" w:rsidTr="00A223D8">
        <w:trPr>
          <w:trHeight w:val="210"/>
        </w:trPr>
        <w:tc>
          <w:tcPr>
            <w:tcW w:w="1666" w:type="pct"/>
            <w:shd w:val="clear" w:color="auto" w:fill="auto"/>
            <w:noWrap/>
            <w:tcMar>
              <w:left w:w="43" w:type="dxa"/>
              <w:right w:w="43" w:type="dxa"/>
            </w:tcMar>
            <w:vAlign w:val="bottom"/>
            <w:hideMark/>
          </w:tcPr>
          <w:p w14:paraId="0CECAC21" w14:textId="0CEA5B2B" w:rsidR="00A223D8" w:rsidRPr="00A223D8" w:rsidRDefault="00A223D8" w:rsidP="00A223D8">
            <w:pPr>
              <w:rPr>
                <w:rFonts w:ascii="Arial Narrow" w:hAnsi="Arial Narrow" w:cs="Calibri"/>
                <w:color w:val="000000"/>
                <w:sz w:val="20"/>
                <w:szCs w:val="20"/>
                <w:lang w:val="en-GB" w:eastAsia="en-GB"/>
              </w:rPr>
            </w:pPr>
            <w:proofErr w:type="spellStart"/>
            <w:r w:rsidRPr="00A223D8">
              <w:rPr>
                <w:rFonts w:ascii="Arial Narrow" w:hAnsi="Arial Narrow" w:cs="Calibri"/>
                <w:color w:val="000000"/>
                <w:sz w:val="20"/>
                <w:szCs w:val="20"/>
                <w:lang w:val="en-GB" w:eastAsia="en-GB"/>
              </w:rPr>
              <w:t>Kostot</w:t>
            </w:r>
            <w:proofErr w:type="spellEnd"/>
            <w:r w:rsidRPr="00A223D8">
              <w:rPr>
                <w:rFonts w:ascii="Arial Narrow" w:hAnsi="Arial Narrow" w:cs="Calibri"/>
                <w:color w:val="000000"/>
                <w:sz w:val="20"/>
                <w:szCs w:val="20"/>
                <w:lang w:val="en-GB" w:eastAsia="en-GB"/>
              </w:rPr>
              <w:t xml:space="preserve"> </w:t>
            </w:r>
            <w:proofErr w:type="spellStart"/>
            <w:r w:rsidRPr="00A223D8">
              <w:rPr>
                <w:rFonts w:ascii="Arial Narrow" w:hAnsi="Arial Narrow" w:cs="Calibri"/>
                <w:color w:val="000000"/>
                <w:sz w:val="20"/>
                <w:szCs w:val="20"/>
                <w:lang w:val="en-GB" w:eastAsia="en-GB"/>
              </w:rPr>
              <w:t>operacionale</w:t>
            </w:r>
            <w:proofErr w:type="spellEnd"/>
            <w:r w:rsidRPr="00A223D8">
              <w:rPr>
                <w:rFonts w:ascii="Arial Narrow" w:hAnsi="Arial Narrow" w:cs="Calibri"/>
                <w:color w:val="000000"/>
                <w:sz w:val="20"/>
                <w:szCs w:val="20"/>
                <w:lang w:val="en-GB" w:eastAsia="en-GB"/>
              </w:rPr>
              <w:t xml:space="preserve">, </w:t>
            </w:r>
            <w:proofErr w:type="spellStart"/>
            <w:r w:rsidRPr="00A223D8">
              <w:rPr>
                <w:rFonts w:ascii="Arial Narrow" w:hAnsi="Arial Narrow" w:cs="Calibri"/>
                <w:color w:val="000000"/>
                <w:sz w:val="20"/>
                <w:szCs w:val="20"/>
                <w:lang w:val="en-GB" w:eastAsia="en-GB"/>
              </w:rPr>
              <w:t>mijë</w:t>
            </w:r>
            <w:proofErr w:type="spellEnd"/>
            <w:r w:rsidRPr="00A223D8">
              <w:rPr>
                <w:rFonts w:ascii="Arial Narrow" w:hAnsi="Arial Narrow" w:cs="Calibri"/>
                <w:color w:val="000000"/>
                <w:sz w:val="20"/>
                <w:szCs w:val="20"/>
                <w:lang w:val="en-GB" w:eastAsia="en-GB"/>
              </w:rPr>
              <w:t xml:space="preserve"> €</w:t>
            </w:r>
          </w:p>
        </w:tc>
        <w:tc>
          <w:tcPr>
            <w:tcW w:w="291" w:type="pct"/>
            <w:shd w:val="clear" w:color="auto" w:fill="auto"/>
            <w:noWrap/>
            <w:tcMar>
              <w:left w:w="43" w:type="dxa"/>
              <w:right w:w="43" w:type="dxa"/>
            </w:tcMar>
            <w:vAlign w:val="bottom"/>
            <w:hideMark/>
          </w:tcPr>
          <w:p w14:paraId="6E9437A4"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234</w:t>
            </w:r>
          </w:p>
        </w:tc>
        <w:tc>
          <w:tcPr>
            <w:tcW w:w="380" w:type="pct"/>
            <w:shd w:val="clear" w:color="auto" w:fill="auto"/>
            <w:noWrap/>
            <w:tcMar>
              <w:left w:w="43" w:type="dxa"/>
              <w:right w:w="43" w:type="dxa"/>
            </w:tcMar>
            <w:vAlign w:val="bottom"/>
            <w:hideMark/>
          </w:tcPr>
          <w:p w14:paraId="47277D9F"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233</w:t>
            </w:r>
          </w:p>
        </w:tc>
        <w:tc>
          <w:tcPr>
            <w:tcW w:w="380" w:type="pct"/>
            <w:shd w:val="clear" w:color="auto" w:fill="auto"/>
            <w:noWrap/>
            <w:tcMar>
              <w:left w:w="43" w:type="dxa"/>
              <w:right w:w="43" w:type="dxa"/>
            </w:tcMar>
            <w:vAlign w:val="bottom"/>
            <w:hideMark/>
          </w:tcPr>
          <w:p w14:paraId="510B1E18"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233</w:t>
            </w:r>
          </w:p>
        </w:tc>
        <w:tc>
          <w:tcPr>
            <w:tcW w:w="380" w:type="pct"/>
            <w:shd w:val="clear" w:color="auto" w:fill="auto"/>
            <w:noWrap/>
            <w:tcMar>
              <w:left w:w="43" w:type="dxa"/>
              <w:right w:w="43" w:type="dxa"/>
            </w:tcMar>
            <w:vAlign w:val="bottom"/>
            <w:hideMark/>
          </w:tcPr>
          <w:p w14:paraId="328E56B0"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232</w:t>
            </w:r>
          </w:p>
        </w:tc>
        <w:tc>
          <w:tcPr>
            <w:tcW w:w="380" w:type="pct"/>
            <w:shd w:val="clear" w:color="auto" w:fill="auto"/>
            <w:noWrap/>
            <w:tcMar>
              <w:left w:w="43" w:type="dxa"/>
              <w:right w:w="43" w:type="dxa"/>
            </w:tcMar>
            <w:vAlign w:val="bottom"/>
            <w:hideMark/>
          </w:tcPr>
          <w:p w14:paraId="19A05ADB"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223</w:t>
            </w:r>
          </w:p>
        </w:tc>
        <w:tc>
          <w:tcPr>
            <w:tcW w:w="380" w:type="pct"/>
            <w:shd w:val="clear" w:color="auto" w:fill="auto"/>
            <w:noWrap/>
            <w:tcMar>
              <w:left w:w="43" w:type="dxa"/>
              <w:right w:w="43" w:type="dxa"/>
            </w:tcMar>
            <w:vAlign w:val="bottom"/>
            <w:hideMark/>
          </w:tcPr>
          <w:p w14:paraId="37CA50E3"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222</w:t>
            </w:r>
          </w:p>
        </w:tc>
        <w:tc>
          <w:tcPr>
            <w:tcW w:w="380" w:type="pct"/>
            <w:shd w:val="clear" w:color="auto" w:fill="auto"/>
            <w:noWrap/>
            <w:tcMar>
              <w:left w:w="43" w:type="dxa"/>
              <w:right w:w="43" w:type="dxa"/>
            </w:tcMar>
            <w:vAlign w:val="bottom"/>
            <w:hideMark/>
          </w:tcPr>
          <w:p w14:paraId="678DD952"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222</w:t>
            </w:r>
          </w:p>
        </w:tc>
        <w:tc>
          <w:tcPr>
            <w:tcW w:w="380" w:type="pct"/>
            <w:shd w:val="clear" w:color="auto" w:fill="auto"/>
            <w:noWrap/>
            <w:tcMar>
              <w:left w:w="43" w:type="dxa"/>
              <w:right w:w="43" w:type="dxa"/>
            </w:tcMar>
            <w:vAlign w:val="bottom"/>
            <w:hideMark/>
          </w:tcPr>
          <w:p w14:paraId="47D71C38"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216</w:t>
            </w:r>
          </w:p>
        </w:tc>
        <w:tc>
          <w:tcPr>
            <w:tcW w:w="380" w:type="pct"/>
            <w:shd w:val="clear" w:color="auto" w:fill="auto"/>
            <w:noWrap/>
            <w:tcMar>
              <w:left w:w="43" w:type="dxa"/>
              <w:right w:w="43" w:type="dxa"/>
            </w:tcMar>
            <w:vAlign w:val="bottom"/>
            <w:hideMark/>
          </w:tcPr>
          <w:p w14:paraId="22626CBC"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216</w:t>
            </w:r>
          </w:p>
        </w:tc>
      </w:tr>
      <w:tr w:rsidR="00A223D8" w:rsidRPr="007D1EDC" w14:paraId="35D4E276" w14:textId="77777777" w:rsidTr="00A223D8">
        <w:trPr>
          <w:trHeight w:val="210"/>
        </w:trPr>
        <w:tc>
          <w:tcPr>
            <w:tcW w:w="1666" w:type="pct"/>
            <w:shd w:val="clear" w:color="auto" w:fill="auto"/>
            <w:noWrap/>
            <w:tcMar>
              <w:left w:w="43" w:type="dxa"/>
              <w:right w:w="43" w:type="dxa"/>
            </w:tcMar>
            <w:vAlign w:val="bottom"/>
            <w:hideMark/>
          </w:tcPr>
          <w:p w14:paraId="46E9AF0F" w14:textId="59CFB0EE" w:rsidR="00A223D8" w:rsidRPr="00A223D8" w:rsidRDefault="00A223D8" w:rsidP="00A223D8">
            <w:pPr>
              <w:rPr>
                <w:rFonts w:ascii="Arial Narrow" w:hAnsi="Arial Narrow" w:cs="Calibri"/>
                <w:color w:val="000000"/>
                <w:sz w:val="20"/>
                <w:szCs w:val="20"/>
                <w:lang w:val="en-GB" w:eastAsia="en-GB"/>
              </w:rPr>
            </w:pPr>
            <w:proofErr w:type="spellStart"/>
            <w:r w:rsidRPr="00A223D8">
              <w:rPr>
                <w:rFonts w:ascii="Arial Narrow" w:hAnsi="Arial Narrow" w:cs="Calibri"/>
                <w:color w:val="000000"/>
                <w:sz w:val="20"/>
                <w:szCs w:val="20"/>
                <w:lang w:val="en-GB" w:eastAsia="en-GB"/>
              </w:rPr>
              <w:t>Amortizimi</w:t>
            </w:r>
            <w:proofErr w:type="spellEnd"/>
            <w:r w:rsidRPr="00A223D8">
              <w:rPr>
                <w:rFonts w:ascii="Arial Narrow" w:hAnsi="Arial Narrow" w:cs="Calibri"/>
                <w:color w:val="000000"/>
                <w:sz w:val="20"/>
                <w:szCs w:val="20"/>
                <w:lang w:val="en-GB" w:eastAsia="en-GB"/>
              </w:rPr>
              <w:t xml:space="preserve">, </w:t>
            </w:r>
            <w:proofErr w:type="spellStart"/>
            <w:r w:rsidRPr="00A223D8">
              <w:rPr>
                <w:rFonts w:ascii="Arial Narrow" w:hAnsi="Arial Narrow" w:cs="Calibri"/>
                <w:color w:val="000000"/>
                <w:sz w:val="20"/>
                <w:szCs w:val="20"/>
                <w:lang w:val="en-GB" w:eastAsia="en-GB"/>
              </w:rPr>
              <w:t>mijë</w:t>
            </w:r>
            <w:proofErr w:type="spellEnd"/>
            <w:r w:rsidRPr="00A223D8">
              <w:rPr>
                <w:rFonts w:ascii="Arial Narrow" w:hAnsi="Arial Narrow" w:cs="Calibri"/>
                <w:color w:val="000000"/>
                <w:sz w:val="20"/>
                <w:szCs w:val="20"/>
                <w:lang w:val="en-GB" w:eastAsia="en-GB"/>
              </w:rPr>
              <w:t xml:space="preserve"> €</w:t>
            </w:r>
          </w:p>
        </w:tc>
        <w:tc>
          <w:tcPr>
            <w:tcW w:w="291" w:type="pct"/>
            <w:shd w:val="clear" w:color="auto" w:fill="auto"/>
            <w:noWrap/>
            <w:tcMar>
              <w:left w:w="43" w:type="dxa"/>
              <w:right w:w="43" w:type="dxa"/>
            </w:tcMar>
            <w:vAlign w:val="bottom"/>
            <w:hideMark/>
          </w:tcPr>
          <w:p w14:paraId="0DEDAD6A"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99</w:t>
            </w:r>
          </w:p>
        </w:tc>
        <w:tc>
          <w:tcPr>
            <w:tcW w:w="380" w:type="pct"/>
            <w:shd w:val="clear" w:color="auto" w:fill="auto"/>
            <w:noWrap/>
            <w:tcMar>
              <w:left w:w="43" w:type="dxa"/>
              <w:right w:w="43" w:type="dxa"/>
            </w:tcMar>
            <w:vAlign w:val="bottom"/>
            <w:hideMark/>
          </w:tcPr>
          <w:p w14:paraId="7222829D"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99</w:t>
            </w:r>
          </w:p>
        </w:tc>
        <w:tc>
          <w:tcPr>
            <w:tcW w:w="380" w:type="pct"/>
            <w:shd w:val="clear" w:color="auto" w:fill="auto"/>
            <w:noWrap/>
            <w:tcMar>
              <w:left w:w="43" w:type="dxa"/>
              <w:right w:w="43" w:type="dxa"/>
            </w:tcMar>
            <w:vAlign w:val="bottom"/>
            <w:hideMark/>
          </w:tcPr>
          <w:p w14:paraId="30F9A956"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99</w:t>
            </w:r>
          </w:p>
        </w:tc>
        <w:tc>
          <w:tcPr>
            <w:tcW w:w="380" w:type="pct"/>
            <w:shd w:val="clear" w:color="auto" w:fill="auto"/>
            <w:noWrap/>
            <w:tcMar>
              <w:left w:w="43" w:type="dxa"/>
              <w:right w:w="43" w:type="dxa"/>
            </w:tcMar>
            <w:vAlign w:val="bottom"/>
            <w:hideMark/>
          </w:tcPr>
          <w:p w14:paraId="74E21C16"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99</w:t>
            </w:r>
          </w:p>
        </w:tc>
        <w:tc>
          <w:tcPr>
            <w:tcW w:w="380" w:type="pct"/>
            <w:shd w:val="clear" w:color="auto" w:fill="auto"/>
            <w:noWrap/>
            <w:tcMar>
              <w:left w:w="43" w:type="dxa"/>
              <w:right w:w="43" w:type="dxa"/>
            </w:tcMar>
            <w:vAlign w:val="bottom"/>
            <w:hideMark/>
          </w:tcPr>
          <w:p w14:paraId="215C5BA6"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99</w:t>
            </w:r>
          </w:p>
        </w:tc>
        <w:tc>
          <w:tcPr>
            <w:tcW w:w="380" w:type="pct"/>
            <w:shd w:val="clear" w:color="auto" w:fill="auto"/>
            <w:noWrap/>
            <w:tcMar>
              <w:left w:w="43" w:type="dxa"/>
              <w:right w:w="43" w:type="dxa"/>
            </w:tcMar>
            <w:vAlign w:val="bottom"/>
            <w:hideMark/>
          </w:tcPr>
          <w:p w14:paraId="6F34B942"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99</w:t>
            </w:r>
          </w:p>
        </w:tc>
        <w:tc>
          <w:tcPr>
            <w:tcW w:w="380" w:type="pct"/>
            <w:shd w:val="clear" w:color="auto" w:fill="auto"/>
            <w:noWrap/>
            <w:tcMar>
              <w:left w:w="43" w:type="dxa"/>
              <w:right w:w="43" w:type="dxa"/>
            </w:tcMar>
            <w:vAlign w:val="bottom"/>
            <w:hideMark/>
          </w:tcPr>
          <w:p w14:paraId="54B3FD88"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99</w:t>
            </w:r>
          </w:p>
        </w:tc>
        <w:tc>
          <w:tcPr>
            <w:tcW w:w="380" w:type="pct"/>
            <w:shd w:val="clear" w:color="auto" w:fill="auto"/>
            <w:noWrap/>
            <w:tcMar>
              <w:left w:w="43" w:type="dxa"/>
              <w:right w:w="43" w:type="dxa"/>
            </w:tcMar>
            <w:vAlign w:val="bottom"/>
            <w:hideMark/>
          </w:tcPr>
          <w:p w14:paraId="18121B42"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91</w:t>
            </w:r>
          </w:p>
        </w:tc>
        <w:tc>
          <w:tcPr>
            <w:tcW w:w="380" w:type="pct"/>
            <w:shd w:val="clear" w:color="auto" w:fill="auto"/>
            <w:noWrap/>
            <w:tcMar>
              <w:left w:w="43" w:type="dxa"/>
              <w:right w:w="43" w:type="dxa"/>
            </w:tcMar>
            <w:vAlign w:val="bottom"/>
            <w:hideMark/>
          </w:tcPr>
          <w:p w14:paraId="09AC6615"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91</w:t>
            </w:r>
          </w:p>
        </w:tc>
      </w:tr>
      <w:tr w:rsidR="00A223D8" w:rsidRPr="007D1EDC" w14:paraId="41B330F4" w14:textId="77777777" w:rsidTr="00A223D8">
        <w:trPr>
          <w:trHeight w:val="210"/>
        </w:trPr>
        <w:tc>
          <w:tcPr>
            <w:tcW w:w="1666" w:type="pct"/>
            <w:shd w:val="clear" w:color="auto" w:fill="auto"/>
            <w:noWrap/>
            <w:tcMar>
              <w:left w:w="43" w:type="dxa"/>
              <w:right w:w="43" w:type="dxa"/>
            </w:tcMar>
            <w:vAlign w:val="bottom"/>
            <w:hideMark/>
          </w:tcPr>
          <w:p w14:paraId="43009080" w14:textId="59A79041" w:rsidR="00A223D8" w:rsidRPr="00A223D8" w:rsidRDefault="00A223D8" w:rsidP="00A223D8">
            <w:pPr>
              <w:rPr>
                <w:rFonts w:ascii="Arial Narrow" w:hAnsi="Arial Narrow" w:cs="Calibri"/>
                <w:color w:val="000000"/>
                <w:sz w:val="20"/>
                <w:szCs w:val="20"/>
                <w:lang w:val="en-GB" w:eastAsia="en-GB"/>
              </w:rPr>
            </w:pPr>
            <w:proofErr w:type="spellStart"/>
            <w:r w:rsidRPr="00A223D8">
              <w:rPr>
                <w:rFonts w:ascii="Arial Narrow" w:hAnsi="Arial Narrow" w:cs="Calibri"/>
                <w:color w:val="000000"/>
                <w:sz w:val="20"/>
                <w:szCs w:val="20"/>
                <w:lang w:val="en-GB" w:eastAsia="en-GB"/>
              </w:rPr>
              <w:t>Transferimi</w:t>
            </w:r>
            <w:proofErr w:type="spellEnd"/>
            <w:r w:rsidRPr="00A223D8">
              <w:rPr>
                <w:rFonts w:ascii="Arial Narrow" w:hAnsi="Arial Narrow" w:cs="Calibri"/>
                <w:color w:val="000000"/>
                <w:sz w:val="20"/>
                <w:szCs w:val="20"/>
                <w:lang w:val="en-GB" w:eastAsia="en-GB"/>
              </w:rPr>
              <w:t xml:space="preserve"> i </w:t>
            </w:r>
            <w:proofErr w:type="spellStart"/>
            <w:r w:rsidRPr="00A223D8">
              <w:rPr>
                <w:rFonts w:ascii="Arial Narrow" w:hAnsi="Arial Narrow" w:cs="Calibri"/>
                <w:color w:val="000000"/>
                <w:sz w:val="20"/>
                <w:szCs w:val="20"/>
                <w:lang w:val="en-GB" w:eastAsia="en-GB"/>
              </w:rPr>
              <w:t>kostos</w:t>
            </w:r>
            <w:proofErr w:type="spellEnd"/>
            <w:r w:rsidRPr="00A223D8">
              <w:rPr>
                <w:rFonts w:ascii="Arial Narrow" w:hAnsi="Arial Narrow" w:cs="Calibri"/>
                <w:color w:val="000000"/>
                <w:sz w:val="20"/>
                <w:szCs w:val="20"/>
                <w:lang w:val="en-GB" w:eastAsia="en-GB"/>
              </w:rPr>
              <w:t xml:space="preserve"> operative, </w:t>
            </w:r>
            <w:proofErr w:type="spellStart"/>
            <w:r w:rsidRPr="00A223D8">
              <w:rPr>
                <w:rFonts w:ascii="Arial Narrow" w:hAnsi="Arial Narrow" w:cs="Calibri"/>
                <w:color w:val="000000"/>
                <w:sz w:val="20"/>
                <w:szCs w:val="20"/>
                <w:lang w:val="en-GB" w:eastAsia="en-GB"/>
              </w:rPr>
              <w:t>mijë</w:t>
            </w:r>
            <w:proofErr w:type="spellEnd"/>
            <w:r w:rsidRPr="00A223D8">
              <w:rPr>
                <w:rFonts w:ascii="Arial Narrow" w:hAnsi="Arial Narrow" w:cs="Calibri"/>
                <w:color w:val="000000"/>
                <w:sz w:val="20"/>
                <w:szCs w:val="20"/>
                <w:lang w:val="en-GB" w:eastAsia="en-GB"/>
              </w:rPr>
              <w:t xml:space="preserve"> €</w:t>
            </w:r>
          </w:p>
        </w:tc>
        <w:tc>
          <w:tcPr>
            <w:tcW w:w="291" w:type="pct"/>
            <w:shd w:val="clear" w:color="auto" w:fill="auto"/>
            <w:noWrap/>
            <w:tcMar>
              <w:left w:w="43" w:type="dxa"/>
              <w:right w:w="43" w:type="dxa"/>
            </w:tcMar>
            <w:vAlign w:val="bottom"/>
            <w:hideMark/>
          </w:tcPr>
          <w:p w14:paraId="07B44ADB"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143</w:t>
            </w:r>
          </w:p>
        </w:tc>
        <w:tc>
          <w:tcPr>
            <w:tcW w:w="380" w:type="pct"/>
            <w:shd w:val="clear" w:color="auto" w:fill="auto"/>
            <w:noWrap/>
            <w:tcMar>
              <w:left w:w="43" w:type="dxa"/>
              <w:right w:w="43" w:type="dxa"/>
            </w:tcMar>
            <w:vAlign w:val="bottom"/>
            <w:hideMark/>
          </w:tcPr>
          <w:p w14:paraId="2AA86A8F"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143</w:t>
            </w:r>
          </w:p>
        </w:tc>
        <w:tc>
          <w:tcPr>
            <w:tcW w:w="380" w:type="pct"/>
            <w:shd w:val="clear" w:color="auto" w:fill="auto"/>
            <w:noWrap/>
            <w:tcMar>
              <w:left w:w="43" w:type="dxa"/>
              <w:right w:w="43" w:type="dxa"/>
            </w:tcMar>
            <w:vAlign w:val="bottom"/>
            <w:hideMark/>
          </w:tcPr>
          <w:p w14:paraId="1A0CAFDE"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143</w:t>
            </w:r>
          </w:p>
        </w:tc>
        <w:tc>
          <w:tcPr>
            <w:tcW w:w="380" w:type="pct"/>
            <w:shd w:val="clear" w:color="auto" w:fill="auto"/>
            <w:noWrap/>
            <w:tcMar>
              <w:left w:w="43" w:type="dxa"/>
              <w:right w:w="43" w:type="dxa"/>
            </w:tcMar>
            <w:vAlign w:val="bottom"/>
            <w:hideMark/>
          </w:tcPr>
          <w:p w14:paraId="73C388CC"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142</w:t>
            </w:r>
          </w:p>
        </w:tc>
        <w:tc>
          <w:tcPr>
            <w:tcW w:w="380" w:type="pct"/>
            <w:shd w:val="clear" w:color="auto" w:fill="auto"/>
            <w:noWrap/>
            <w:tcMar>
              <w:left w:w="43" w:type="dxa"/>
              <w:right w:w="43" w:type="dxa"/>
            </w:tcMar>
            <w:vAlign w:val="bottom"/>
            <w:hideMark/>
          </w:tcPr>
          <w:p w14:paraId="2F64004F"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142</w:t>
            </w:r>
          </w:p>
        </w:tc>
        <w:tc>
          <w:tcPr>
            <w:tcW w:w="380" w:type="pct"/>
            <w:shd w:val="clear" w:color="auto" w:fill="auto"/>
            <w:noWrap/>
            <w:tcMar>
              <w:left w:w="43" w:type="dxa"/>
              <w:right w:w="43" w:type="dxa"/>
            </w:tcMar>
            <w:vAlign w:val="bottom"/>
            <w:hideMark/>
          </w:tcPr>
          <w:p w14:paraId="2A6C9677"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114</w:t>
            </w:r>
          </w:p>
        </w:tc>
        <w:tc>
          <w:tcPr>
            <w:tcW w:w="380" w:type="pct"/>
            <w:shd w:val="clear" w:color="auto" w:fill="auto"/>
            <w:noWrap/>
            <w:tcMar>
              <w:left w:w="43" w:type="dxa"/>
              <w:right w:w="43" w:type="dxa"/>
            </w:tcMar>
            <w:vAlign w:val="bottom"/>
            <w:hideMark/>
          </w:tcPr>
          <w:p w14:paraId="22D51CD0"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114</w:t>
            </w:r>
          </w:p>
        </w:tc>
        <w:tc>
          <w:tcPr>
            <w:tcW w:w="380" w:type="pct"/>
            <w:shd w:val="clear" w:color="auto" w:fill="auto"/>
            <w:noWrap/>
            <w:tcMar>
              <w:left w:w="43" w:type="dxa"/>
              <w:right w:w="43" w:type="dxa"/>
            </w:tcMar>
            <w:vAlign w:val="bottom"/>
            <w:hideMark/>
          </w:tcPr>
          <w:p w14:paraId="64BF1946"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114</w:t>
            </w:r>
          </w:p>
        </w:tc>
        <w:tc>
          <w:tcPr>
            <w:tcW w:w="380" w:type="pct"/>
            <w:shd w:val="clear" w:color="auto" w:fill="auto"/>
            <w:noWrap/>
            <w:tcMar>
              <w:left w:w="43" w:type="dxa"/>
              <w:right w:w="43" w:type="dxa"/>
            </w:tcMar>
            <w:vAlign w:val="bottom"/>
            <w:hideMark/>
          </w:tcPr>
          <w:p w14:paraId="123977BC"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114</w:t>
            </w:r>
          </w:p>
        </w:tc>
      </w:tr>
      <w:tr w:rsidR="00A223D8" w:rsidRPr="007D1EDC" w14:paraId="798A09E0" w14:textId="77777777" w:rsidTr="00A223D8">
        <w:trPr>
          <w:trHeight w:val="210"/>
        </w:trPr>
        <w:tc>
          <w:tcPr>
            <w:tcW w:w="1666" w:type="pct"/>
            <w:shd w:val="clear" w:color="auto" w:fill="auto"/>
            <w:noWrap/>
            <w:tcMar>
              <w:left w:w="43" w:type="dxa"/>
              <w:right w:w="43" w:type="dxa"/>
            </w:tcMar>
            <w:vAlign w:val="bottom"/>
            <w:hideMark/>
          </w:tcPr>
          <w:p w14:paraId="1269C953" w14:textId="57CAF13B" w:rsidR="00A223D8" w:rsidRPr="00A223D8" w:rsidRDefault="00A223D8" w:rsidP="00A223D8">
            <w:pPr>
              <w:rPr>
                <w:rFonts w:ascii="Arial Narrow" w:hAnsi="Arial Narrow" w:cs="Calibri"/>
                <w:b/>
                <w:bCs/>
                <w:color w:val="000000"/>
                <w:sz w:val="20"/>
                <w:szCs w:val="20"/>
                <w:lang w:val="en-GB" w:eastAsia="en-GB"/>
              </w:rPr>
            </w:pPr>
            <w:proofErr w:type="spellStart"/>
            <w:r w:rsidRPr="00A223D8">
              <w:rPr>
                <w:rFonts w:ascii="Arial Narrow" w:hAnsi="Arial Narrow" w:cs="Calibri"/>
                <w:b/>
                <w:bCs/>
                <w:color w:val="000000"/>
                <w:sz w:val="20"/>
                <w:szCs w:val="20"/>
                <w:lang w:val="en-GB" w:eastAsia="en-GB"/>
              </w:rPr>
              <w:t>Kostot</w:t>
            </w:r>
            <w:proofErr w:type="spellEnd"/>
            <w:r w:rsidRPr="00A223D8">
              <w:rPr>
                <w:rFonts w:ascii="Arial Narrow" w:hAnsi="Arial Narrow" w:cs="Calibri"/>
                <w:b/>
                <w:bCs/>
                <w:color w:val="000000"/>
                <w:sz w:val="20"/>
                <w:szCs w:val="20"/>
                <w:lang w:val="en-GB" w:eastAsia="en-GB"/>
              </w:rPr>
              <w:t xml:space="preserve"> </w:t>
            </w:r>
            <w:proofErr w:type="spellStart"/>
            <w:r w:rsidRPr="00A223D8">
              <w:rPr>
                <w:rFonts w:ascii="Arial Narrow" w:hAnsi="Arial Narrow" w:cs="Calibri"/>
                <w:b/>
                <w:bCs/>
                <w:color w:val="000000"/>
                <w:sz w:val="20"/>
                <w:szCs w:val="20"/>
                <w:lang w:val="en-GB" w:eastAsia="en-GB"/>
              </w:rPr>
              <w:t>totale</w:t>
            </w:r>
            <w:proofErr w:type="spellEnd"/>
            <w:r w:rsidRPr="00A223D8">
              <w:rPr>
                <w:rFonts w:ascii="Arial Narrow" w:hAnsi="Arial Narrow" w:cs="Calibri"/>
                <w:b/>
                <w:bCs/>
                <w:color w:val="000000"/>
                <w:sz w:val="20"/>
                <w:szCs w:val="20"/>
                <w:lang w:val="en-GB" w:eastAsia="en-GB"/>
              </w:rPr>
              <w:t xml:space="preserve"> </w:t>
            </w:r>
            <w:proofErr w:type="spellStart"/>
            <w:r w:rsidRPr="00A223D8">
              <w:rPr>
                <w:rFonts w:ascii="Arial Narrow" w:hAnsi="Arial Narrow" w:cs="Calibri"/>
                <w:b/>
                <w:bCs/>
                <w:color w:val="000000"/>
                <w:sz w:val="20"/>
                <w:szCs w:val="20"/>
                <w:lang w:val="en-GB" w:eastAsia="en-GB"/>
              </w:rPr>
              <w:t>të</w:t>
            </w:r>
            <w:proofErr w:type="spellEnd"/>
            <w:r w:rsidRPr="00A223D8">
              <w:rPr>
                <w:rFonts w:ascii="Arial Narrow" w:hAnsi="Arial Narrow" w:cs="Calibri"/>
                <w:b/>
                <w:bCs/>
                <w:color w:val="000000"/>
                <w:sz w:val="20"/>
                <w:szCs w:val="20"/>
                <w:lang w:val="en-GB" w:eastAsia="en-GB"/>
              </w:rPr>
              <w:t xml:space="preserve"> </w:t>
            </w:r>
            <w:proofErr w:type="spellStart"/>
            <w:r w:rsidRPr="00A223D8">
              <w:rPr>
                <w:rFonts w:ascii="Arial Narrow" w:hAnsi="Arial Narrow" w:cs="Calibri"/>
                <w:b/>
                <w:bCs/>
                <w:color w:val="000000"/>
                <w:sz w:val="20"/>
                <w:szCs w:val="20"/>
                <w:lang w:val="en-GB" w:eastAsia="en-GB"/>
              </w:rPr>
              <w:t>grumbullimit</w:t>
            </w:r>
            <w:proofErr w:type="spellEnd"/>
            <w:r w:rsidRPr="00A223D8">
              <w:rPr>
                <w:rFonts w:ascii="Arial Narrow" w:hAnsi="Arial Narrow" w:cs="Calibri"/>
                <w:b/>
                <w:bCs/>
                <w:color w:val="000000"/>
                <w:sz w:val="20"/>
                <w:szCs w:val="20"/>
                <w:lang w:val="en-GB" w:eastAsia="en-GB"/>
              </w:rPr>
              <w:t xml:space="preserve"> </w:t>
            </w:r>
            <w:proofErr w:type="spellStart"/>
            <w:r w:rsidRPr="00A223D8">
              <w:rPr>
                <w:rFonts w:ascii="Arial Narrow" w:hAnsi="Arial Narrow" w:cs="Calibri"/>
                <w:b/>
                <w:bCs/>
                <w:color w:val="000000"/>
                <w:sz w:val="20"/>
                <w:szCs w:val="20"/>
                <w:lang w:val="en-GB" w:eastAsia="en-GB"/>
              </w:rPr>
              <w:t>dhe</w:t>
            </w:r>
            <w:proofErr w:type="spellEnd"/>
            <w:r w:rsidRPr="00A223D8">
              <w:rPr>
                <w:rFonts w:ascii="Arial Narrow" w:hAnsi="Arial Narrow" w:cs="Calibri"/>
                <w:b/>
                <w:bCs/>
                <w:color w:val="000000"/>
                <w:sz w:val="20"/>
                <w:szCs w:val="20"/>
                <w:lang w:val="en-GB" w:eastAsia="en-GB"/>
              </w:rPr>
              <w:t xml:space="preserve"> </w:t>
            </w:r>
            <w:proofErr w:type="spellStart"/>
            <w:r w:rsidRPr="00A223D8">
              <w:rPr>
                <w:rFonts w:ascii="Arial Narrow" w:hAnsi="Arial Narrow" w:cs="Calibri"/>
                <w:b/>
                <w:bCs/>
                <w:color w:val="000000"/>
                <w:sz w:val="20"/>
                <w:szCs w:val="20"/>
                <w:lang w:val="en-GB" w:eastAsia="en-GB"/>
              </w:rPr>
              <w:t>transferit</w:t>
            </w:r>
            <w:proofErr w:type="spellEnd"/>
          </w:p>
        </w:tc>
        <w:tc>
          <w:tcPr>
            <w:tcW w:w="291" w:type="pct"/>
            <w:shd w:val="clear" w:color="auto" w:fill="auto"/>
            <w:noWrap/>
            <w:tcMar>
              <w:left w:w="43" w:type="dxa"/>
              <w:right w:w="43" w:type="dxa"/>
            </w:tcMar>
            <w:vAlign w:val="bottom"/>
            <w:hideMark/>
          </w:tcPr>
          <w:p w14:paraId="7F5D2FF8"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477</w:t>
            </w:r>
          </w:p>
        </w:tc>
        <w:tc>
          <w:tcPr>
            <w:tcW w:w="380" w:type="pct"/>
            <w:shd w:val="clear" w:color="auto" w:fill="auto"/>
            <w:noWrap/>
            <w:tcMar>
              <w:left w:w="43" w:type="dxa"/>
              <w:right w:w="43" w:type="dxa"/>
            </w:tcMar>
            <w:vAlign w:val="bottom"/>
            <w:hideMark/>
          </w:tcPr>
          <w:p w14:paraId="35062D7D"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475</w:t>
            </w:r>
          </w:p>
        </w:tc>
        <w:tc>
          <w:tcPr>
            <w:tcW w:w="380" w:type="pct"/>
            <w:shd w:val="clear" w:color="auto" w:fill="auto"/>
            <w:noWrap/>
            <w:tcMar>
              <w:left w:w="43" w:type="dxa"/>
              <w:right w:w="43" w:type="dxa"/>
            </w:tcMar>
            <w:vAlign w:val="bottom"/>
            <w:hideMark/>
          </w:tcPr>
          <w:p w14:paraId="490BD992"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475</w:t>
            </w:r>
          </w:p>
        </w:tc>
        <w:tc>
          <w:tcPr>
            <w:tcW w:w="380" w:type="pct"/>
            <w:shd w:val="clear" w:color="auto" w:fill="auto"/>
            <w:noWrap/>
            <w:tcMar>
              <w:left w:w="43" w:type="dxa"/>
              <w:right w:w="43" w:type="dxa"/>
            </w:tcMar>
            <w:vAlign w:val="bottom"/>
            <w:hideMark/>
          </w:tcPr>
          <w:p w14:paraId="66A6829D"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474</w:t>
            </w:r>
          </w:p>
        </w:tc>
        <w:tc>
          <w:tcPr>
            <w:tcW w:w="380" w:type="pct"/>
            <w:shd w:val="clear" w:color="auto" w:fill="auto"/>
            <w:noWrap/>
            <w:tcMar>
              <w:left w:w="43" w:type="dxa"/>
              <w:right w:w="43" w:type="dxa"/>
            </w:tcMar>
            <w:vAlign w:val="bottom"/>
            <w:hideMark/>
          </w:tcPr>
          <w:p w14:paraId="1CEDB34E"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464</w:t>
            </w:r>
          </w:p>
        </w:tc>
        <w:tc>
          <w:tcPr>
            <w:tcW w:w="380" w:type="pct"/>
            <w:shd w:val="clear" w:color="auto" w:fill="auto"/>
            <w:noWrap/>
            <w:tcMar>
              <w:left w:w="43" w:type="dxa"/>
              <w:right w:w="43" w:type="dxa"/>
            </w:tcMar>
            <w:vAlign w:val="bottom"/>
            <w:hideMark/>
          </w:tcPr>
          <w:p w14:paraId="66046AE2"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436</w:t>
            </w:r>
          </w:p>
        </w:tc>
        <w:tc>
          <w:tcPr>
            <w:tcW w:w="380" w:type="pct"/>
            <w:shd w:val="clear" w:color="auto" w:fill="auto"/>
            <w:noWrap/>
            <w:tcMar>
              <w:left w:w="43" w:type="dxa"/>
              <w:right w:w="43" w:type="dxa"/>
            </w:tcMar>
            <w:vAlign w:val="bottom"/>
            <w:hideMark/>
          </w:tcPr>
          <w:p w14:paraId="52855F1B"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435</w:t>
            </w:r>
          </w:p>
        </w:tc>
        <w:tc>
          <w:tcPr>
            <w:tcW w:w="380" w:type="pct"/>
            <w:shd w:val="clear" w:color="auto" w:fill="auto"/>
            <w:noWrap/>
            <w:tcMar>
              <w:left w:w="43" w:type="dxa"/>
              <w:right w:w="43" w:type="dxa"/>
            </w:tcMar>
            <w:vAlign w:val="bottom"/>
            <w:hideMark/>
          </w:tcPr>
          <w:p w14:paraId="619E6413"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422</w:t>
            </w:r>
          </w:p>
        </w:tc>
        <w:tc>
          <w:tcPr>
            <w:tcW w:w="380" w:type="pct"/>
            <w:shd w:val="clear" w:color="auto" w:fill="auto"/>
            <w:noWrap/>
            <w:tcMar>
              <w:left w:w="43" w:type="dxa"/>
              <w:right w:w="43" w:type="dxa"/>
            </w:tcMar>
            <w:vAlign w:val="bottom"/>
            <w:hideMark/>
          </w:tcPr>
          <w:p w14:paraId="147221DE"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421</w:t>
            </w:r>
          </w:p>
        </w:tc>
      </w:tr>
      <w:tr w:rsidR="00A223D8" w:rsidRPr="007D1EDC" w14:paraId="1444042F" w14:textId="77777777" w:rsidTr="00A223D8">
        <w:trPr>
          <w:trHeight w:val="200"/>
        </w:trPr>
        <w:tc>
          <w:tcPr>
            <w:tcW w:w="1666" w:type="pct"/>
            <w:shd w:val="clear" w:color="auto" w:fill="auto"/>
            <w:noWrap/>
            <w:tcMar>
              <w:left w:w="43" w:type="dxa"/>
              <w:right w:w="43" w:type="dxa"/>
            </w:tcMar>
            <w:vAlign w:val="bottom"/>
            <w:hideMark/>
          </w:tcPr>
          <w:p w14:paraId="3FA9DA79" w14:textId="3F964628" w:rsidR="00A223D8" w:rsidRPr="00A223D8" w:rsidRDefault="00A223D8" w:rsidP="00A223D8">
            <w:pPr>
              <w:rPr>
                <w:rFonts w:ascii="Arial Narrow" w:hAnsi="Arial Narrow" w:cs="Calibri"/>
                <w:color w:val="000000"/>
                <w:sz w:val="20"/>
                <w:szCs w:val="20"/>
                <w:lang w:val="en-GB" w:eastAsia="en-GB"/>
              </w:rPr>
            </w:pPr>
            <w:proofErr w:type="spellStart"/>
            <w:r w:rsidRPr="00A223D8">
              <w:rPr>
                <w:rFonts w:ascii="Arial Narrow" w:hAnsi="Arial Narrow" w:cs="Calibri"/>
                <w:color w:val="000000"/>
                <w:sz w:val="20"/>
                <w:szCs w:val="20"/>
                <w:lang w:val="en-GB" w:eastAsia="en-GB"/>
              </w:rPr>
              <w:t>Kostoja</w:t>
            </w:r>
            <w:proofErr w:type="spellEnd"/>
            <w:r w:rsidRPr="00A223D8">
              <w:rPr>
                <w:rFonts w:ascii="Arial Narrow" w:hAnsi="Arial Narrow" w:cs="Calibri"/>
                <w:color w:val="000000"/>
                <w:sz w:val="20"/>
                <w:szCs w:val="20"/>
                <w:lang w:val="en-GB" w:eastAsia="en-GB"/>
              </w:rPr>
              <w:t xml:space="preserve"> </w:t>
            </w:r>
            <w:proofErr w:type="spellStart"/>
            <w:r w:rsidRPr="00A223D8">
              <w:rPr>
                <w:rFonts w:ascii="Arial Narrow" w:hAnsi="Arial Narrow" w:cs="Calibri"/>
                <w:color w:val="000000"/>
                <w:sz w:val="20"/>
                <w:szCs w:val="20"/>
                <w:lang w:val="en-GB" w:eastAsia="en-GB"/>
              </w:rPr>
              <w:t>për</w:t>
            </w:r>
            <w:proofErr w:type="spellEnd"/>
            <w:r w:rsidRPr="00A223D8">
              <w:rPr>
                <w:rFonts w:ascii="Arial Narrow" w:hAnsi="Arial Narrow" w:cs="Calibri"/>
                <w:color w:val="000000"/>
                <w:sz w:val="20"/>
                <w:szCs w:val="20"/>
                <w:lang w:val="en-GB" w:eastAsia="en-GB"/>
              </w:rPr>
              <w:t xml:space="preserve"> ton</w:t>
            </w:r>
          </w:p>
        </w:tc>
        <w:tc>
          <w:tcPr>
            <w:tcW w:w="291" w:type="pct"/>
            <w:shd w:val="clear" w:color="auto" w:fill="auto"/>
            <w:noWrap/>
            <w:tcMar>
              <w:left w:w="43" w:type="dxa"/>
              <w:right w:w="43" w:type="dxa"/>
            </w:tcMar>
            <w:vAlign w:val="bottom"/>
            <w:hideMark/>
          </w:tcPr>
          <w:p w14:paraId="722F36C9"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79 €/t</w:t>
            </w:r>
          </w:p>
        </w:tc>
        <w:tc>
          <w:tcPr>
            <w:tcW w:w="380" w:type="pct"/>
            <w:shd w:val="clear" w:color="auto" w:fill="auto"/>
            <w:noWrap/>
            <w:tcMar>
              <w:left w:w="43" w:type="dxa"/>
              <w:right w:w="43" w:type="dxa"/>
            </w:tcMar>
            <w:vAlign w:val="bottom"/>
            <w:hideMark/>
          </w:tcPr>
          <w:p w14:paraId="1855AD44"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80 €/t</w:t>
            </w:r>
          </w:p>
        </w:tc>
        <w:tc>
          <w:tcPr>
            <w:tcW w:w="380" w:type="pct"/>
            <w:shd w:val="clear" w:color="auto" w:fill="auto"/>
            <w:noWrap/>
            <w:tcMar>
              <w:left w:w="43" w:type="dxa"/>
              <w:right w:w="43" w:type="dxa"/>
            </w:tcMar>
            <w:vAlign w:val="bottom"/>
            <w:hideMark/>
          </w:tcPr>
          <w:p w14:paraId="29E4C114"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82 €/t</w:t>
            </w:r>
          </w:p>
        </w:tc>
        <w:tc>
          <w:tcPr>
            <w:tcW w:w="380" w:type="pct"/>
            <w:shd w:val="clear" w:color="auto" w:fill="auto"/>
            <w:noWrap/>
            <w:tcMar>
              <w:left w:w="43" w:type="dxa"/>
              <w:right w:w="43" w:type="dxa"/>
            </w:tcMar>
            <w:vAlign w:val="bottom"/>
            <w:hideMark/>
          </w:tcPr>
          <w:p w14:paraId="47CFD8A8"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85 €/t</w:t>
            </w:r>
          </w:p>
        </w:tc>
        <w:tc>
          <w:tcPr>
            <w:tcW w:w="380" w:type="pct"/>
            <w:shd w:val="clear" w:color="auto" w:fill="auto"/>
            <w:noWrap/>
            <w:tcMar>
              <w:left w:w="43" w:type="dxa"/>
              <w:right w:w="43" w:type="dxa"/>
            </w:tcMar>
            <w:vAlign w:val="bottom"/>
            <w:hideMark/>
          </w:tcPr>
          <w:p w14:paraId="0BB78E4F"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86 €/t</w:t>
            </w:r>
          </w:p>
        </w:tc>
        <w:tc>
          <w:tcPr>
            <w:tcW w:w="380" w:type="pct"/>
            <w:shd w:val="clear" w:color="auto" w:fill="auto"/>
            <w:noWrap/>
            <w:tcMar>
              <w:left w:w="43" w:type="dxa"/>
              <w:right w:w="43" w:type="dxa"/>
            </w:tcMar>
            <w:vAlign w:val="bottom"/>
            <w:hideMark/>
          </w:tcPr>
          <w:p w14:paraId="1BDB280C"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99 €/t</w:t>
            </w:r>
          </w:p>
        </w:tc>
        <w:tc>
          <w:tcPr>
            <w:tcW w:w="380" w:type="pct"/>
            <w:shd w:val="clear" w:color="auto" w:fill="auto"/>
            <w:noWrap/>
            <w:tcMar>
              <w:left w:w="43" w:type="dxa"/>
              <w:right w:w="43" w:type="dxa"/>
            </w:tcMar>
            <w:vAlign w:val="bottom"/>
            <w:hideMark/>
          </w:tcPr>
          <w:p w14:paraId="419C0271"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103 €/t</w:t>
            </w:r>
          </w:p>
        </w:tc>
        <w:tc>
          <w:tcPr>
            <w:tcW w:w="380" w:type="pct"/>
            <w:shd w:val="clear" w:color="auto" w:fill="auto"/>
            <w:noWrap/>
            <w:tcMar>
              <w:left w:w="43" w:type="dxa"/>
              <w:right w:w="43" w:type="dxa"/>
            </w:tcMar>
            <w:vAlign w:val="bottom"/>
            <w:hideMark/>
          </w:tcPr>
          <w:p w14:paraId="191677BA"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104 €/t</w:t>
            </w:r>
          </w:p>
        </w:tc>
        <w:tc>
          <w:tcPr>
            <w:tcW w:w="380" w:type="pct"/>
            <w:shd w:val="clear" w:color="auto" w:fill="auto"/>
            <w:noWrap/>
            <w:tcMar>
              <w:left w:w="43" w:type="dxa"/>
              <w:right w:w="43" w:type="dxa"/>
            </w:tcMar>
            <w:vAlign w:val="bottom"/>
            <w:hideMark/>
          </w:tcPr>
          <w:p w14:paraId="0DFBE9C6" w14:textId="77777777" w:rsidR="00A223D8" w:rsidRPr="007D1EDC" w:rsidRDefault="00A223D8" w:rsidP="00A223D8">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107 €/t</w:t>
            </w:r>
          </w:p>
        </w:tc>
      </w:tr>
    </w:tbl>
    <w:p w14:paraId="10613BD8" w14:textId="77777777" w:rsidR="007D1EDC" w:rsidRPr="007D1EDC" w:rsidRDefault="007D1EDC" w:rsidP="007D1EDC">
      <w:pPr>
        <w:rPr>
          <w:rFonts w:ascii="Arial Narrow" w:eastAsia="Calibri" w:hAnsi="Arial Narrow" w:cs="Calibri"/>
          <w:sz w:val="18"/>
          <w:szCs w:val="18"/>
        </w:rPr>
      </w:pPr>
    </w:p>
    <w:p w14:paraId="7D418CDB" w14:textId="0D54F152" w:rsidR="007D1EDC" w:rsidRPr="007D1EDC" w:rsidRDefault="007D1EDC" w:rsidP="007D1EDC">
      <w:pPr>
        <w:suppressAutoHyphens/>
        <w:rPr>
          <w:rFonts w:ascii="Arial Narrow" w:eastAsia="Calibri" w:hAnsi="Arial Narrow" w:cs="Calibri"/>
          <w:color w:val="1F497D"/>
          <w:sz w:val="20"/>
          <w:szCs w:val="20"/>
        </w:rPr>
      </w:pPr>
      <w:bookmarkStart w:id="643" w:name="_Toc190966786"/>
      <w:bookmarkStart w:id="644" w:name="_Toc197472283"/>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98. </w:t>
      </w:r>
      <w:r w:rsidRPr="007D1EDC">
        <w:rPr>
          <w:rFonts w:ascii="Arial Narrow" w:eastAsia="Calibri" w:hAnsi="Arial Narrow" w:cs="Calibri"/>
          <w:color w:val="1F497D"/>
          <w:sz w:val="20"/>
          <w:szCs w:val="20"/>
        </w:rPr>
        <w:fldChar w:fldCharType="end"/>
      </w:r>
      <w:r w:rsidR="002E16E2">
        <w:rPr>
          <w:rFonts w:ascii="Arial Narrow" w:eastAsia="Calibri" w:hAnsi="Arial Narrow" w:cs="Calibri"/>
          <w:color w:val="1F497D"/>
          <w:sz w:val="20"/>
          <w:szCs w:val="20"/>
        </w:rPr>
        <w:t>K</w:t>
      </w:r>
      <w:r w:rsidRPr="007D1EDC">
        <w:rPr>
          <w:rFonts w:ascii="Arial Narrow" w:eastAsia="Calibri" w:hAnsi="Arial Narrow" w:cs="Calibri"/>
          <w:color w:val="1F497D"/>
          <w:sz w:val="20"/>
          <w:szCs w:val="20"/>
        </w:rPr>
        <w:t xml:space="preserve">ostot e </w:t>
      </w:r>
      <w:r w:rsidR="002E16E2">
        <w:rPr>
          <w:rFonts w:ascii="Arial Narrow" w:eastAsia="Calibri" w:hAnsi="Arial Narrow" w:cs="Calibri"/>
          <w:color w:val="1F497D"/>
          <w:sz w:val="20"/>
          <w:szCs w:val="20"/>
        </w:rPr>
        <w:t>brumbullimit dhe transferimit</w:t>
      </w:r>
      <w:r w:rsidRPr="007D1EDC">
        <w:rPr>
          <w:rFonts w:ascii="Arial Narrow" w:eastAsia="Calibri" w:hAnsi="Arial Narrow" w:cs="Calibri"/>
          <w:color w:val="1F497D"/>
          <w:sz w:val="20"/>
          <w:szCs w:val="20"/>
        </w:rPr>
        <w:t xml:space="preserve"> të mbeturinave të </w:t>
      </w:r>
      <w:r w:rsidR="002E16E2">
        <w:rPr>
          <w:rFonts w:ascii="Arial Narrow" w:eastAsia="Calibri" w:hAnsi="Arial Narrow" w:cs="Calibri"/>
          <w:color w:val="1F497D"/>
          <w:sz w:val="20"/>
          <w:szCs w:val="20"/>
        </w:rPr>
        <w:t>përziera në Junik</w:t>
      </w:r>
      <w:r w:rsidRPr="007D1EDC">
        <w:rPr>
          <w:rFonts w:ascii="Arial Narrow" w:eastAsia="Calibri" w:hAnsi="Arial Narrow" w:cs="Calibri"/>
          <w:color w:val="1F497D"/>
          <w:sz w:val="20"/>
          <w:szCs w:val="20"/>
        </w:rPr>
        <w:t>, mijë euro</w:t>
      </w:r>
      <w:bookmarkEnd w:id="643"/>
      <w:bookmarkEnd w:id="6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3"/>
        <w:gridCol w:w="617"/>
        <w:gridCol w:w="617"/>
        <w:gridCol w:w="617"/>
        <w:gridCol w:w="617"/>
        <w:gridCol w:w="617"/>
        <w:gridCol w:w="617"/>
        <w:gridCol w:w="617"/>
        <w:gridCol w:w="617"/>
        <w:gridCol w:w="617"/>
      </w:tblGrid>
      <w:tr w:rsidR="002E16E2" w:rsidRPr="007D1EDC" w14:paraId="3C65EBB6" w14:textId="77777777" w:rsidTr="002E16E2">
        <w:trPr>
          <w:trHeight w:val="220"/>
        </w:trPr>
        <w:tc>
          <w:tcPr>
            <w:tcW w:w="1920" w:type="pct"/>
            <w:shd w:val="clear" w:color="auto" w:fill="365F91"/>
            <w:noWrap/>
            <w:vAlign w:val="center"/>
            <w:hideMark/>
          </w:tcPr>
          <w:p w14:paraId="56C5A106" w14:textId="77777777" w:rsidR="007D1EDC" w:rsidRPr="007D1EDC" w:rsidRDefault="007D1EDC" w:rsidP="007D1EDC">
            <w:pPr>
              <w:rPr>
                <w:rFonts w:ascii="Arial Narrow" w:hAnsi="Arial Narrow" w:cs="Calibri"/>
                <w:b/>
                <w:bCs/>
                <w:color w:val="FFFFFF" w:themeColor="background1"/>
                <w:sz w:val="20"/>
                <w:szCs w:val="20"/>
                <w:lang w:val="en-GB" w:eastAsia="en-GB"/>
              </w:rPr>
            </w:pPr>
            <w:proofErr w:type="spellStart"/>
            <w:r w:rsidRPr="007D1EDC">
              <w:rPr>
                <w:rFonts w:ascii="Arial Narrow" w:hAnsi="Arial Narrow" w:cs="Calibri"/>
                <w:b/>
                <w:bCs/>
                <w:color w:val="FFFFFF" w:themeColor="background1"/>
                <w:sz w:val="20"/>
                <w:szCs w:val="20"/>
                <w:lang w:val="en-GB" w:eastAsia="en-GB"/>
              </w:rPr>
              <w:t>Junik</w:t>
            </w:r>
            <w:proofErr w:type="spellEnd"/>
          </w:p>
        </w:tc>
        <w:tc>
          <w:tcPr>
            <w:tcW w:w="435" w:type="pct"/>
            <w:shd w:val="clear" w:color="auto" w:fill="365F91"/>
            <w:noWrap/>
            <w:vAlign w:val="center"/>
            <w:hideMark/>
          </w:tcPr>
          <w:p w14:paraId="76BF3992"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2027</w:t>
            </w:r>
          </w:p>
        </w:tc>
        <w:tc>
          <w:tcPr>
            <w:tcW w:w="249" w:type="pct"/>
            <w:shd w:val="clear" w:color="auto" w:fill="365F91"/>
            <w:noWrap/>
            <w:vAlign w:val="center"/>
            <w:hideMark/>
          </w:tcPr>
          <w:p w14:paraId="21108070"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2028</w:t>
            </w:r>
          </w:p>
        </w:tc>
        <w:tc>
          <w:tcPr>
            <w:tcW w:w="342" w:type="pct"/>
            <w:shd w:val="clear" w:color="auto" w:fill="365F91"/>
            <w:noWrap/>
            <w:vAlign w:val="center"/>
            <w:hideMark/>
          </w:tcPr>
          <w:p w14:paraId="111C1FD5"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2029</w:t>
            </w:r>
          </w:p>
        </w:tc>
        <w:tc>
          <w:tcPr>
            <w:tcW w:w="342" w:type="pct"/>
            <w:shd w:val="clear" w:color="auto" w:fill="365F91"/>
            <w:noWrap/>
            <w:vAlign w:val="center"/>
            <w:hideMark/>
          </w:tcPr>
          <w:p w14:paraId="7EFDEB5E"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2030</w:t>
            </w:r>
          </w:p>
        </w:tc>
        <w:tc>
          <w:tcPr>
            <w:tcW w:w="342" w:type="pct"/>
            <w:shd w:val="clear" w:color="auto" w:fill="365F91"/>
            <w:noWrap/>
            <w:vAlign w:val="center"/>
            <w:hideMark/>
          </w:tcPr>
          <w:p w14:paraId="6E3B6FCE"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2031</w:t>
            </w:r>
          </w:p>
        </w:tc>
        <w:tc>
          <w:tcPr>
            <w:tcW w:w="342" w:type="pct"/>
            <w:shd w:val="clear" w:color="auto" w:fill="365F91"/>
            <w:noWrap/>
            <w:vAlign w:val="center"/>
            <w:hideMark/>
          </w:tcPr>
          <w:p w14:paraId="793D1902"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2032</w:t>
            </w:r>
          </w:p>
        </w:tc>
        <w:tc>
          <w:tcPr>
            <w:tcW w:w="342" w:type="pct"/>
            <w:shd w:val="clear" w:color="auto" w:fill="365F91"/>
            <w:noWrap/>
            <w:vAlign w:val="center"/>
            <w:hideMark/>
          </w:tcPr>
          <w:p w14:paraId="37F56693"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2033</w:t>
            </w:r>
          </w:p>
        </w:tc>
        <w:tc>
          <w:tcPr>
            <w:tcW w:w="342" w:type="pct"/>
            <w:shd w:val="clear" w:color="auto" w:fill="365F91"/>
            <w:noWrap/>
            <w:vAlign w:val="center"/>
            <w:hideMark/>
          </w:tcPr>
          <w:p w14:paraId="5C6CF130"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2034</w:t>
            </w:r>
          </w:p>
        </w:tc>
        <w:tc>
          <w:tcPr>
            <w:tcW w:w="342" w:type="pct"/>
            <w:shd w:val="clear" w:color="auto" w:fill="365F91"/>
            <w:noWrap/>
            <w:vAlign w:val="center"/>
            <w:hideMark/>
          </w:tcPr>
          <w:p w14:paraId="5A6DABD5"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2035</w:t>
            </w:r>
          </w:p>
        </w:tc>
      </w:tr>
      <w:tr w:rsidR="002E16E2" w:rsidRPr="007D1EDC" w14:paraId="315E3B2C" w14:textId="77777777" w:rsidTr="002E16E2">
        <w:trPr>
          <w:trHeight w:val="210"/>
        </w:trPr>
        <w:tc>
          <w:tcPr>
            <w:tcW w:w="1920" w:type="pct"/>
            <w:shd w:val="clear" w:color="auto" w:fill="auto"/>
            <w:noWrap/>
            <w:vAlign w:val="bottom"/>
            <w:hideMark/>
          </w:tcPr>
          <w:p w14:paraId="2D107D16" w14:textId="65FB6A1F" w:rsidR="002E16E2" w:rsidRPr="009F5CA1" w:rsidRDefault="002E16E2" w:rsidP="002E16E2">
            <w:pPr>
              <w:rPr>
                <w:rFonts w:ascii="Arial Narrow" w:hAnsi="Arial Narrow" w:cs="Calibri"/>
                <w:color w:val="000000"/>
                <w:sz w:val="20"/>
                <w:szCs w:val="20"/>
                <w:lang w:val="es-ES" w:eastAsia="en-GB"/>
              </w:rPr>
            </w:pPr>
            <w:proofErr w:type="spellStart"/>
            <w:r w:rsidRPr="009F5CA1">
              <w:rPr>
                <w:rFonts w:ascii="Arial Narrow" w:hAnsi="Arial Narrow" w:cs="Calibri"/>
                <w:color w:val="000000"/>
                <w:sz w:val="20"/>
                <w:szCs w:val="20"/>
                <w:lang w:val="es-ES" w:eastAsia="en-GB"/>
              </w:rPr>
              <w:t>Mbeturinat</w:t>
            </w:r>
            <w:proofErr w:type="spellEnd"/>
            <w:r w:rsidRPr="009F5CA1">
              <w:rPr>
                <w:rFonts w:ascii="Arial Narrow" w:hAnsi="Arial Narrow" w:cs="Calibri"/>
                <w:color w:val="000000"/>
                <w:sz w:val="20"/>
                <w:szCs w:val="20"/>
                <w:lang w:val="es-ES" w:eastAsia="en-GB"/>
              </w:rPr>
              <w:t xml:space="preserve"> e </w:t>
            </w:r>
            <w:proofErr w:type="spellStart"/>
            <w:r w:rsidRPr="009F5CA1">
              <w:rPr>
                <w:rFonts w:ascii="Arial Narrow" w:hAnsi="Arial Narrow" w:cs="Calibri"/>
                <w:color w:val="000000"/>
                <w:sz w:val="20"/>
                <w:szCs w:val="20"/>
                <w:lang w:val="es-ES" w:eastAsia="en-GB"/>
              </w:rPr>
              <w:t>përziera</w:t>
            </w:r>
            <w:proofErr w:type="spellEnd"/>
            <w:r w:rsidRPr="009F5CA1">
              <w:rPr>
                <w:rFonts w:ascii="Arial Narrow" w:hAnsi="Arial Narrow" w:cs="Calibri"/>
                <w:color w:val="000000"/>
                <w:sz w:val="20"/>
                <w:szCs w:val="20"/>
                <w:lang w:val="es-ES" w:eastAsia="en-GB"/>
              </w:rPr>
              <w:t xml:space="preserve"> </w:t>
            </w:r>
            <w:proofErr w:type="spellStart"/>
            <w:r w:rsidRPr="009F5CA1">
              <w:rPr>
                <w:rFonts w:ascii="Arial Narrow" w:hAnsi="Arial Narrow" w:cs="Calibri"/>
                <w:color w:val="000000"/>
                <w:sz w:val="20"/>
                <w:szCs w:val="20"/>
                <w:lang w:val="es-ES" w:eastAsia="en-GB"/>
              </w:rPr>
              <w:t>të</w:t>
            </w:r>
            <w:proofErr w:type="spellEnd"/>
            <w:r w:rsidRPr="009F5CA1">
              <w:rPr>
                <w:rFonts w:ascii="Arial Narrow" w:hAnsi="Arial Narrow" w:cs="Calibri"/>
                <w:color w:val="000000"/>
                <w:sz w:val="20"/>
                <w:szCs w:val="20"/>
                <w:lang w:val="es-ES" w:eastAsia="en-GB"/>
              </w:rPr>
              <w:t xml:space="preserve"> </w:t>
            </w:r>
            <w:proofErr w:type="spellStart"/>
            <w:r w:rsidRPr="009F5CA1">
              <w:rPr>
                <w:rFonts w:ascii="Arial Narrow" w:hAnsi="Arial Narrow" w:cs="Calibri"/>
                <w:color w:val="000000"/>
                <w:sz w:val="20"/>
                <w:szCs w:val="20"/>
                <w:lang w:val="es-ES" w:eastAsia="en-GB"/>
              </w:rPr>
              <w:t>grumbulluara</w:t>
            </w:r>
            <w:proofErr w:type="spellEnd"/>
          </w:p>
        </w:tc>
        <w:tc>
          <w:tcPr>
            <w:tcW w:w="435" w:type="pct"/>
            <w:shd w:val="clear" w:color="auto" w:fill="auto"/>
            <w:noWrap/>
            <w:vAlign w:val="bottom"/>
            <w:hideMark/>
          </w:tcPr>
          <w:p w14:paraId="6C9B71E8" w14:textId="551EE693"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756 t</w:t>
            </w:r>
          </w:p>
        </w:tc>
        <w:tc>
          <w:tcPr>
            <w:tcW w:w="249" w:type="pct"/>
            <w:shd w:val="clear" w:color="auto" w:fill="auto"/>
            <w:noWrap/>
            <w:vAlign w:val="bottom"/>
            <w:hideMark/>
          </w:tcPr>
          <w:p w14:paraId="226DC4F9" w14:textId="632CEFB6"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750 t</w:t>
            </w:r>
          </w:p>
        </w:tc>
        <w:tc>
          <w:tcPr>
            <w:tcW w:w="342" w:type="pct"/>
            <w:shd w:val="clear" w:color="auto" w:fill="auto"/>
            <w:noWrap/>
            <w:vAlign w:val="bottom"/>
            <w:hideMark/>
          </w:tcPr>
          <w:p w14:paraId="682A4950"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743 t</w:t>
            </w:r>
          </w:p>
        </w:tc>
        <w:tc>
          <w:tcPr>
            <w:tcW w:w="342" w:type="pct"/>
            <w:shd w:val="clear" w:color="auto" w:fill="auto"/>
            <w:noWrap/>
            <w:vAlign w:val="bottom"/>
            <w:hideMark/>
          </w:tcPr>
          <w:p w14:paraId="394B7F7E"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727 t</w:t>
            </w:r>
          </w:p>
        </w:tc>
        <w:tc>
          <w:tcPr>
            <w:tcW w:w="342" w:type="pct"/>
            <w:shd w:val="clear" w:color="auto" w:fill="auto"/>
            <w:noWrap/>
            <w:vAlign w:val="bottom"/>
            <w:hideMark/>
          </w:tcPr>
          <w:p w14:paraId="2066E12A"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718 t</w:t>
            </w:r>
          </w:p>
        </w:tc>
        <w:tc>
          <w:tcPr>
            <w:tcW w:w="342" w:type="pct"/>
            <w:shd w:val="clear" w:color="auto" w:fill="auto"/>
            <w:noWrap/>
            <w:vAlign w:val="bottom"/>
            <w:hideMark/>
          </w:tcPr>
          <w:p w14:paraId="25D8BA50" w14:textId="4B809700"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648 t</w:t>
            </w:r>
          </w:p>
        </w:tc>
        <w:tc>
          <w:tcPr>
            <w:tcW w:w="342" w:type="pct"/>
            <w:shd w:val="clear" w:color="auto" w:fill="auto"/>
            <w:noWrap/>
            <w:vAlign w:val="bottom"/>
            <w:hideMark/>
          </w:tcPr>
          <w:p w14:paraId="06704F6E"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628 t</w:t>
            </w:r>
          </w:p>
        </w:tc>
        <w:tc>
          <w:tcPr>
            <w:tcW w:w="342" w:type="pct"/>
            <w:shd w:val="clear" w:color="auto" w:fill="auto"/>
            <w:noWrap/>
            <w:vAlign w:val="bottom"/>
            <w:hideMark/>
          </w:tcPr>
          <w:p w14:paraId="1DA3E390"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608 t</w:t>
            </w:r>
          </w:p>
        </w:tc>
        <w:tc>
          <w:tcPr>
            <w:tcW w:w="342" w:type="pct"/>
            <w:shd w:val="clear" w:color="auto" w:fill="auto"/>
            <w:noWrap/>
            <w:vAlign w:val="bottom"/>
            <w:hideMark/>
          </w:tcPr>
          <w:p w14:paraId="335DD26C"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592 t</w:t>
            </w:r>
          </w:p>
        </w:tc>
      </w:tr>
      <w:tr w:rsidR="002E16E2" w:rsidRPr="007D1EDC" w14:paraId="5A33F9E3" w14:textId="77777777" w:rsidTr="002E16E2">
        <w:trPr>
          <w:trHeight w:val="210"/>
        </w:trPr>
        <w:tc>
          <w:tcPr>
            <w:tcW w:w="1920" w:type="pct"/>
            <w:shd w:val="clear" w:color="auto" w:fill="auto"/>
            <w:noWrap/>
            <w:vAlign w:val="bottom"/>
            <w:hideMark/>
          </w:tcPr>
          <w:p w14:paraId="0710DAD5" w14:textId="542F5797" w:rsidR="002E16E2" w:rsidRPr="002E16E2" w:rsidRDefault="002E16E2" w:rsidP="002E16E2">
            <w:pPr>
              <w:rPr>
                <w:rFonts w:ascii="Arial Narrow" w:hAnsi="Arial Narrow" w:cs="Calibri"/>
                <w:color w:val="000000"/>
                <w:sz w:val="20"/>
                <w:szCs w:val="20"/>
                <w:lang w:val="en-GB" w:eastAsia="en-GB"/>
              </w:rPr>
            </w:pPr>
            <w:proofErr w:type="spellStart"/>
            <w:r w:rsidRPr="002E16E2">
              <w:rPr>
                <w:rFonts w:ascii="Arial Narrow" w:hAnsi="Arial Narrow" w:cs="Calibri"/>
                <w:color w:val="000000"/>
                <w:sz w:val="20"/>
                <w:szCs w:val="20"/>
                <w:lang w:val="en-GB" w:eastAsia="en-GB"/>
              </w:rPr>
              <w:t>Kostot</w:t>
            </w:r>
            <w:proofErr w:type="spellEnd"/>
            <w:r w:rsidRPr="002E16E2">
              <w:rPr>
                <w:rFonts w:ascii="Arial Narrow" w:hAnsi="Arial Narrow" w:cs="Calibri"/>
                <w:color w:val="000000"/>
                <w:sz w:val="20"/>
                <w:szCs w:val="20"/>
                <w:lang w:val="en-GB" w:eastAsia="en-GB"/>
              </w:rPr>
              <w:t xml:space="preserve"> </w:t>
            </w:r>
            <w:proofErr w:type="spellStart"/>
            <w:r w:rsidRPr="002E16E2">
              <w:rPr>
                <w:rFonts w:ascii="Arial Narrow" w:hAnsi="Arial Narrow" w:cs="Calibri"/>
                <w:color w:val="000000"/>
                <w:sz w:val="20"/>
                <w:szCs w:val="20"/>
                <w:lang w:val="en-GB" w:eastAsia="en-GB"/>
              </w:rPr>
              <w:t>operacionale</w:t>
            </w:r>
            <w:proofErr w:type="spellEnd"/>
            <w:r w:rsidRPr="002E16E2">
              <w:rPr>
                <w:rFonts w:ascii="Arial Narrow" w:hAnsi="Arial Narrow" w:cs="Calibri"/>
                <w:color w:val="000000"/>
                <w:sz w:val="20"/>
                <w:szCs w:val="20"/>
                <w:lang w:val="en-GB" w:eastAsia="en-GB"/>
              </w:rPr>
              <w:t xml:space="preserve">, </w:t>
            </w:r>
            <w:proofErr w:type="spellStart"/>
            <w:r w:rsidRPr="002E16E2">
              <w:rPr>
                <w:rFonts w:ascii="Arial Narrow" w:hAnsi="Arial Narrow" w:cs="Calibri"/>
                <w:color w:val="000000"/>
                <w:sz w:val="20"/>
                <w:szCs w:val="20"/>
                <w:lang w:val="en-GB" w:eastAsia="en-GB"/>
              </w:rPr>
              <w:t>mijë</w:t>
            </w:r>
            <w:proofErr w:type="spellEnd"/>
            <w:r w:rsidRPr="002E16E2">
              <w:rPr>
                <w:rFonts w:ascii="Arial Narrow" w:hAnsi="Arial Narrow" w:cs="Calibri"/>
                <w:color w:val="000000"/>
                <w:sz w:val="20"/>
                <w:szCs w:val="20"/>
                <w:lang w:val="en-GB" w:eastAsia="en-GB"/>
              </w:rPr>
              <w:t xml:space="preserve"> €</w:t>
            </w:r>
          </w:p>
        </w:tc>
        <w:tc>
          <w:tcPr>
            <w:tcW w:w="435" w:type="pct"/>
            <w:shd w:val="clear" w:color="auto" w:fill="auto"/>
            <w:noWrap/>
            <w:vAlign w:val="bottom"/>
            <w:hideMark/>
          </w:tcPr>
          <w:p w14:paraId="2CA7DAAC"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26</w:t>
            </w:r>
          </w:p>
        </w:tc>
        <w:tc>
          <w:tcPr>
            <w:tcW w:w="249" w:type="pct"/>
            <w:shd w:val="clear" w:color="auto" w:fill="auto"/>
            <w:noWrap/>
            <w:vAlign w:val="bottom"/>
            <w:hideMark/>
          </w:tcPr>
          <w:p w14:paraId="3E7CC24A"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26</w:t>
            </w:r>
          </w:p>
        </w:tc>
        <w:tc>
          <w:tcPr>
            <w:tcW w:w="342" w:type="pct"/>
            <w:shd w:val="clear" w:color="auto" w:fill="auto"/>
            <w:noWrap/>
            <w:vAlign w:val="bottom"/>
            <w:hideMark/>
          </w:tcPr>
          <w:p w14:paraId="53366780"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26</w:t>
            </w:r>
          </w:p>
        </w:tc>
        <w:tc>
          <w:tcPr>
            <w:tcW w:w="342" w:type="pct"/>
            <w:shd w:val="clear" w:color="auto" w:fill="auto"/>
            <w:noWrap/>
            <w:vAlign w:val="bottom"/>
            <w:hideMark/>
          </w:tcPr>
          <w:p w14:paraId="692D7270"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26</w:t>
            </w:r>
          </w:p>
        </w:tc>
        <w:tc>
          <w:tcPr>
            <w:tcW w:w="342" w:type="pct"/>
            <w:shd w:val="clear" w:color="auto" w:fill="auto"/>
            <w:noWrap/>
            <w:vAlign w:val="bottom"/>
            <w:hideMark/>
          </w:tcPr>
          <w:p w14:paraId="0F8C23D5"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w:t>
            </w:r>
          </w:p>
        </w:tc>
        <w:tc>
          <w:tcPr>
            <w:tcW w:w="342" w:type="pct"/>
            <w:shd w:val="clear" w:color="auto" w:fill="auto"/>
            <w:noWrap/>
            <w:vAlign w:val="bottom"/>
            <w:hideMark/>
          </w:tcPr>
          <w:p w14:paraId="0E47607F"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w:t>
            </w:r>
          </w:p>
        </w:tc>
        <w:tc>
          <w:tcPr>
            <w:tcW w:w="342" w:type="pct"/>
            <w:shd w:val="clear" w:color="auto" w:fill="auto"/>
            <w:noWrap/>
            <w:vAlign w:val="bottom"/>
            <w:hideMark/>
          </w:tcPr>
          <w:p w14:paraId="634DB1DD"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w:t>
            </w:r>
          </w:p>
        </w:tc>
        <w:tc>
          <w:tcPr>
            <w:tcW w:w="342" w:type="pct"/>
            <w:shd w:val="clear" w:color="auto" w:fill="auto"/>
            <w:noWrap/>
            <w:vAlign w:val="bottom"/>
            <w:hideMark/>
          </w:tcPr>
          <w:p w14:paraId="36AD614C"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w:t>
            </w:r>
          </w:p>
        </w:tc>
        <w:tc>
          <w:tcPr>
            <w:tcW w:w="342" w:type="pct"/>
            <w:shd w:val="clear" w:color="auto" w:fill="auto"/>
            <w:noWrap/>
            <w:vAlign w:val="bottom"/>
            <w:hideMark/>
          </w:tcPr>
          <w:p w14:paraId="347A7DAC"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w:t>
            </w:r>
          </w:p>
        </w:tc>
      </w:tr>
      <w:tr w:rsidR="002E16E2" w:rsidRPr="007D1EDC" w14:paraId="1F7315A7" w14:textId="77777777" w:rsidTr="002E16E2">
        <w:trPr>
          <w:trHeight w:val="210"/>
        </w:trPr>
        <w:tc>
          <w:tcPr>
            <w:tcW w:w="1920" w:type="pct"/>
            <w:shd w:val="clear" w:color="auto" w:fill="auto"/>
            <w:noWrap/>
            <w:vAlign w:val="bottom"/>
            <w:hideMark/>
          </w:tcPr>
          <w:p w14:paraId="17066178" w14:textId="34AEEFBF" w:rsidR="002E16E2" w:rsidRPr="002E16E2" w:rsidRDefault="002E16E2" w:rsidP="002E16E2">
            <w:pPr>
              <w:rPr>
                <w:rFonts w:ascii="Arial Narrow" w:hAnsi="Arial Narrow" w:cs="Calibri"/>
                <w:color w:val="000000"/>
                <w:sz w:val="20"/>
                <w:szCs w:val="20"/>
                <w:lang w:val="en-GB" w:eastAsia="en-GB"/>
              </w:rPr>
            </w:pPr>
            <w:proofErr w:type="spellStart"/>
            <w:r w:rsidRPr="002E16E2">
              <w:rPr>
                <w:rFonts w:ascii="Arial Narrow" w:hAnsi="Arial Narrow" w:cs="Calibri"/>
                <w:color w:val="000000"/>
                <w:sz w:val="20"/>
                <w:szCs w:val="20"/>
                <w:lang w:val="en-GB" w:eastAsia="en-GB"/>
              </w:rPr>
              <w:t>Amortizimi</w:t>
            </w:r>
            <w:proofErr w:type="spellEnd"/>
            <w:r w:rsidRPr="002E16E2">
              <w:rPr>
                <w:rFonts w:ascii="Arial Narrow" w:hAnsi="Arial Narrow" w:cs="Calibri"/>
                <w:color w:val="000000"/>
                <w:sz w:val="20"/>
                <w:szCs w:val="20"/>
                <w:lang w:val="en-GB" w:eastAsia="en-GB"/>
              </w:rPr>
              <w:t xml:space="preserve">, </w:t>
            </w:r>
            <w:proofErr w:type="spellStart"/>
            <w:r w:rsidRPr="002E16E2">
              <w:rPr>
                <w:rFonts w:ascii="Arial Narrow" w:hAnsi="Arial Narrow" w:cs="Calibri"/>
                <w:color w:val="000000"/>
                <w:sz w:val="20"/>
                <w:szCs w:val="20"/>
                <w:lang w:val="en-GB" w:eastAsia="en-GB"/>
              </w:rPr>
              <w:t>mijë</w:t>
            </w:r>
            <w:proofErr w:type="spellEnd"/>
            <w:r w:rsidRPr="002E16E2">
              <w:rPr>
                <w:rFonts w:ascii="Arial Narrow" w:hAnsi="Arial Narrow" w:cs="Calibri"/>
                <w:color w:val="000000"/>
                <w:sz w:val="20"/>
                <w:szCs w:val="20"/>
                <w:lang w:val="en-GB" w:eastAsia="en-GB"/>
              </w:rPr>
              <w:t xml:space="preserve"> €</w:t>
            </w:r>
          </w:p>
        </w:tc>
        <w:tc>
          <w:tcPr>
            <w:tcW w:w="435" w:type="pct"/>
            <w:shd w:val="clear" w:color="auto" w:fill="auto"/>
            <w:noWrap/>
            <w:vAlign w:val="bottom"/>
            <w:hideMark/>
          </w:tcPr>
          <w:p w14:paraId="6AD5F090"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w:t>
            </w:r>
          </w:p>
        </w:tc>
        <w:tc>
          <w:tcPr>
            <w:tcW w:w="249" w:type="pct"/>
            <w:shd w:val="clear" w:color="auto" w:fill="auto"/>
            <w:noWrap/>
            <w:vAlign w:val="bottom"/>
            <w:hideMark/>
          </w:tcPr>
          <w:p w14:paraId="2C7AB874"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w:t>
            </w:r>
          </w:p>
        </w:tc>
        <w:tc>
          <w:tcPr>
            <w:tcW w:w="342" w:type="pct"/>
            <w:shd w:val="clear" w:color="auto" w:fill="auto"/>
            <w:noWrap/>
            <w:vAlign w:val="bottom"/>
            <w:hideMark/>
          </w:tcPr>
          <w:p w14:paraId="7B030298"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w:t>
            </w:r>
          </w:p>
        </w:tc>
        <w:tc>
          <w:tcPr>
            <w:tcW w:w="342" w:type="pct"/>
            <w:shd w:val="clear" w:color="auto" w:fill="auto"/>
            <w:noWrap/>
            <w:vAlign w:val="bottom"/>
            <w:hideMark/>
          </w:tcPr>
          <w:p w14:paraId="3D8773DC"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w:t>
            </w:r>
          </w:p>
        </w:tc>
        <w:tc>
          <w:tcPr>
            <w:tcW w:w="342" w:type="pct"/>
            <w:shd w:val="clear" w:color="auto" w:fill="auto"/>
            <w:noWrap/>
            <w:vAlign w:val="bottom"/>
            <w:hideMark/>
          </w:tcPr>
          <w:p w14:paraId="10749578"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w:t>
            </w:r>
          </w:p>
        </w:tc>
        <w:tc>
          <w:tcPr>
            <w:tcW w:w="342" w:type="pct"/>
            <w:shd w:val="clear" w:color="auto" w:fill="auto"/>
            <w:noWrap/>
            <w:vAlign w:val="bottom"/>
            <w:hideMark/>
          </w:tcPr>
          <w:p w14:paraId="6396C833"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w:t>
            </w:r>
          </w:p>
        </w:tc>
        <w:tc>
          <w:tcPr>
            <w:tcW w:w="342" w:type="pct"/>
            <w:shd w:val="clear" w:color="auto" w:fill="auto"/>
            <w:noWrap/>
            <w:vAlign w:val="bottom"/>
            <w:hideMark/>
          </w:tcPr>
          <w:p w14:paraId="2A8B41CB"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w:t>
            </w:r>
          </w:p>
        </w:tc>
        <w:tc>
          <w:tcPr>
            <w:tcW w:w="342" w:type="pct"/>
            <w:shd w:val="clear" w:color="auto" w:fill="auto"/>
            <w:noWrap/>
            <w:vAlign w:val="bottom"/>
            <w:hideMark/>
          </w:tcPr>
          <w:p w14:paraId="3B67C67D"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w:t>
            </w:r>
          </w:p>
        </w:tc>
        <w:tc>
          <w:tcPr>
            <w:tcW w:w="342" w:type="pct"/>
            <w:shd w:val="clear" w:color="auto" w:fill="auto"/>
            <w:noWrap/>
            <w:vAlign w:val="bottom"/>
            <w:hideMark/>
          </w:tcPr>
          <w:p w14:paraId="173676AA"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w:t>
            </w:r>
          </w:p>
        </w:tc>
      </w:tr>
      <w:tr w:rsidR="002E16E2" w:rsidRPr="007D1EDC" w14:paraId="08430E20" w14:textId="77777777" w:rsidTr="002E16E2">
        <w:trPr>
          <w:trHeight w:val="210"/>
        </w:trPr>
        <w:tc>
          <w:tcPr>
            <w:tcW w:w="1920" w:type="pct"/>
            <w:shd w:val="clear" w:color="auto" w:fill="auto"/>
            <w:noWrap/>
            <w:vAlign w:val="bottom"/>
            <w:hideMark/>
          </w:tcPr>
          <w:p w14:paraId="1D125C7F" w14:textId="72CA02B1" w:rsidR="002E16E2" w:rsidRPr="002E16E2" w:rsidRDefault="002E16E2" w:rsidP="002E16E2">
            <w:pPr>
              <w:rPr>
                <w:rFonts w:ascii="Arial Narrow" w:hAnsi="Arial Narrow" w:cs="Calibri"/>
                <w:color w:val="000000"/>
                <w:sz w:val="20"/>
                <w:szCs w:val="20"/>
                <w:lang w:val="en-GB" w:eastAsia="en-GB"/>
              </w:rPr>
            </w:pPr>
            <w:proofErr w:type="spellStart"/>
            <w:r w:rsidRPr="002E16E2">
              <w:rPr>
                <w:rFonts w:ascii="Arial Narrow" w:hAnsi="Arial Narrow" w:cs="Calibri"/>
                <w:color w:val="000000"/>
                <w:sz w:val="20"/>
                <w:szCs w:val="20"/>
                <w:lang w:val="en-GB" w:eastAsia="en-GB"/>
              </w:rPr>
              <w:t>Kostot</w:t>
            </w:r>
            <w:proofErr w:type="spellEnd"/>
            <w:r w:rsidRPr="002E16E2">
              <w:rPr>
                <w:rFonts w:ascii="Arial Narrow" w:hAnsi="Arial Narrow" w:cs="Calibri"/>
                <w:color w:val="000000"/>
                <w:sz w:val="20"/>
                <w:szCs w:val="20"/>
                <w:lang w:val="en-GB" w:eastAsia="en-GB"/>
              </w:rPr>
              <w:t xml:space="preserve"> </w:t>
            </w:r>
            <w:proofErr w:type="spellStart"/>
            <w:r w:rsidRPr="002E16E2">
              <w:rPr>
                <w:rFonts w:ascii="Arial Narrow" w:hAnsi="Arial Narrow" w:cs="Calibri"/>
                <w:color w:val="000000"/>
                <w:sz w:val="20"/>
                <w:szCs w:val="20"/>
                <w:lang w:val="en-GB" w:eastAsia="en-GB"/>
              </w:rPr>
              <w:t>operacionale</w:t>
            </w:r>
            <w:proofErr w:type="spellEnd"/>
            <w:r w:rsidRPr="002E16E2">
              <w:rPr>
                <w:rFonts w:ascii="Arial Narrow" w:hAnsi="Arial Narrow" w:cs="Calibri"/>
                <w:color w:val="000000"/>
                <w:sz w:val="20"/>
                <w:szCs w:val="20"/>
                <w:lang w:val="en-GB" w:eastAsia="en-GB"/>
              </w:rPr>
              <w:t xml:space="preserve"> </w:t>
            </w:r>
            <w:proofErr w:type="spellStart"/>
            <w:r w:rsidRPr="002E16E2">
              <w:rPr>
                <w:rFonts w:ascii="Arial Narrow" w:hAnsi="Arial Narrow" w:cs="Calibri"/>
                <w:color w:val="000000"/>
                <w:sz w:val="20"/>
                <w:szCs w:val="20"/>
                <w:lang w:val="en-GB" w:eastAsia="en-GB"/>
              </w:rPr>
              <w:t>të</w:t>
            </w:r>
            <w:proofErr w:type="spellEnd"/>
            <w:r w:rsidRPr="002E16E2">
              <w:rPr>
                <w:rFonts w:ascii="Arial Narrow" w:hAnsi="Arial Narrow" w:cs="Calibri"/>
                <w:color w:val="000000"/>
                <w:sz w:val="20"/>
                <w:szCs w:val="20"/>
                <w:lang w:val="en-GB" w:eastAsia="en-GB"/>
              </w:rPr>
              <w:t xml:space="preserve"> </w:t>
            </w:r>
            <w:proofErr w:type="spellStart"/>
            <w:r w:rsidRPr="002E16E2">
              <w:rPr>
                <w:rFonts w:ascii="Arial Narrow" w:hAnsi="Arial Narrow" w:cs="Calibri"/>
                <w:color w:val="000000"/>
                <w:sz w:val="20"/>
                <w:szCs w:val="20"/>
                <w:lang w:val="en-GB" w:eastAsia="en-GB"/>
              </w:rPr>
              <w:t>transferit</w:t>
            </w:r>
            <w:proofErr w:type="spellEnd"/>
          </w:p>
        </w:tc>
        <w:tc>
          <w:tcPr>
            <w:tcW w:w="435" w:type="pct"/>
            <w:shd w:val="clear" w:color="auto" w:fill="auto"/>
            <w:noWrap/>
            <w:vAlign w:val="bottom"/>
            <w:hideMark/>
          </w:tcPr>
          <w:p w14:paraId="647329C9"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16</w:t>
            </w:r>
          </w:p>
        </w:tc>
        <w:tc>
          <w:tcPr>
            <w:tcW w:w="249" w:type="pct"/>
            <w:shd w:val="clear" w:color="auto" w:fill="auto"/>
            <w:noWrap/>
            <w:vAlign w:val="bottom"/>
            <w:hideMark/>
          </w:tcPr>
          <w:p w14:paraId="3116DFF5"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16</w:t>
            </w:r>
          </w:p>
        </w:tc>
        <w:tc>
          <w:tcPr>
            <w:tcW w:w="342" w:type="pct"/>
            <w:shd w:val="clear" w:color="auto" w:fill="auto"/>
            <w:noWrap/>
            <w:vAlign w:val="bottom"/>
            <w:hideMark/>
          </w:tcPr>
          <w:p w14:paraId="559A8EF9"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16</w:t>
            </w:r>
          </w:p>
        </w:tc>
        <w:tc>
          <w:tcPr>
            <w:tcW w:w="342" w:type="pct"/>
            <w:shd w:val="clear" w:color="auto" w:fill="auto"/>
            <w:noWrap/>
            <w:vAlign w:val="bottom"/>
            <w:hideMark/>
          </w:tcPr>
          <w:p w14:paraId="256BBF8C"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16</w:t>
            </w:r>
          </w:p>
        </w:tc>
        <w:tc>
          <w:tcPr>
            <w:tcW w:w="342" w:type="pct"/>
            <w:shd w:val="clear" w:color="auto" w:fill="auto"/>
            <w:noWrap/>
            <w:vAlign w:val="bottom"/>
            <w:hideMark/>
          </w:tcPr>
          <w:p w14:paraId="31A03693"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16</w:t>
            </w:r>
          </w:p>
        </w:tc>
        <w:tc>
          <w:tcPr>
            <w:tcW w:w="342" w:type="pct"/>
            <w:shd w:val="clear" w:color="auto" w:fill="auto"/>
            <w:noWrap/>
            <w:vAlign w:val="bottom"/>
            <w:hideMark/>
          </w:tcPr>
          <w:p w14:paraId="6A5A81A3"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w:t>
            </w:r>
          </w:p>
        </w:tc>
        <w:tc>
          <w:tcPr>
            <w:tcW w:w="342" w:type="pct"/>
            <w:shd w:val="clear" w:color="auto" w:fill="auto"/>
            <w:noWrap/>
            <w:vAlign w:val="bottom"/>
            <w:hideMark/>
          </w:tcPr>
          <w:p w14:paraId="2D2C3B0F"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w:t>
            </w:r>
          </w:p>
        </w:tc>
        <w:tc>
          <w:tcPr>
            <w:tcW w:w="342" w:type="pct"/>
            <w:shd w:val="clear" w:color="auto" w:fill="auto"/>
            <w:noWrap/>
            <w:vAlign w:val="bottom"/>
            <w:hideMark/>
          </w:tcPr>
          <w:p w14:paraId="14E2770F"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w:t>
            </w:r>
          </w:p>
        </w:tc>
        <w:tc>
          <w:tcPr>
            <w:tcW w:w="342" w:type="pct"/>
            <w:shd w:val="clear" w:color="auto" w:fill="auto"/>
            <w:noWrap/>
            <w:vAlign w:val="bottom"/>
            <w:hideMark/>
          </w:tcPr>
          <w:p w14:paraId="4EFE2E4D"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w:t>
            </w:r>
          </w:p>
        </w:tc>
      </w:tr>
      <w:tr w:rsidR="002E16E2" w:rsidRPr="007D1EDC" w14:paraId="79918259" w14:textId="77777777" w:rsidTr="002E16E2">
        <w:trPr>
          <w:trHeight w:val="210"/>
        </w:trPr>
        <w:tc>
          <w:tcPr>
            <w:tcW w:w="1920" w:type="pct"/>
            <w:shd w:val="clear" w:color="auto" w:fill="auto"/>
            <w:noWrap/>
            <w:vAlign w:val="bottom"/>
            <w:hideMark/>
          </w:tcPr>
          <w:p w14:paraId="0F81A66A" w14:textId="179AF071" w:rsidR="002E16E2" w:rsidRPr="002E16E2" w:rsidRDefault="002E16E2" w:rsidP="002E16E2">
            <w:pPr>
              <w:rPr>
                <w:rFonts w:ascii="Arial Narrow" w:hAnsi="Arial Narrow" w:cs="Calibri"/>
                <w:b/>
                <w:bCs/>
                <w:color w:val="000000"/>
                <w:sz w:val="20"/>
                <w:szCs w:val="20"/>
                <w:lang w:val="en-GB" w:eastAsia="en-GB"/>
              </w:rPr>
            </w:pPr>
            <w:proofErr w:type="spellStart"/>
            <w:r w:rsidRPr="002E16E2">
              <w:rPr>
                <w:rFonts w:ascii="Arial Narrow" w:hAnsi="Arial Narrow" w:cs="Calibri"/>
                <w:b/>
                <w:bCs/>
                <w:color w:val="000000"/>
                <w:sz w:val="20"/>
                <w:szCs w:val="20"/>
                <w:lang w:val="en-GB" w:eastAsia="en-GB"/>
              </w:rPr>
              <w:t>Kostot</w:t>
            </w:r>
            <w:proofErr w:type="spellEnd"/>
            <w:r w:rsidRPr="002E16E2">
              <w:rPr>
                <w:rFonts w:ascii="Arial Narrow" w:hAnsi="Arial Narrow" w:cs="Calibri"/>
                <w:b/>
                <w:bCs/>
                <w:color w:val="000000"/>
                <w:sz w:val="20"/>
                <w:szCs w:val="20"/>
                <w:lang w:val="en-GB" w:eastAsia="en-GB"/>
              </w:rPr>
              <w:t xml:space="preserve"> </w:t>
            </w:r>
            <w:proofErr w:type="spellStart"/>
            <w:r w:rsidRPr="002E16E2">
              <w:rPr>
                <w:rFonts w:ascii="Arial Narrow" w:hAnsi="Arial Narrow" w:cs="Calibri"/>
                <w:b/>
                <w:bCs/>
                <w:color w:val="000000"/>
                <w:sz w:val="20"/>
                <w:szCs w:val="20"/>
                <w:lang w:val="en-GB" w:eastAsia="en-GB"/>
              </w:rPr>
              <w:t>totale</w:t>
            </w:r>
            <w:proofErr w:type="spellEnd"/>
            <w:r w:rsidRPr="002E16E2">
              <w:rPr>
                <w:rFonts w:ascii="Arial Narrow" w:hAnsi="Arial Narrow" w:cs="Calibri"/>
                <w:b/>
                <w:bCs/>
                <w:color w:val="000000"/>
                <w:sz w:val="20"/>
                <w:szCs w:val="20"/>
                <w:lang w:val="en-GB" w:eastAsia="en-GB"/>
              </w:rPr>
              <w:t xml:space="preserve"> </w:t>
            </w:r>
            <w:proofErr w:type="spellStart"/>
            <w:r w:rsidRPr="002E16E2">
              <w:rPr>
                <w:rFonts w:ascii="Arial Narrow" w:hAnsi="Arial Narrow" w:cs="Calibri"/>
                <w:b/>
                <w:bCs/>
                <w:color w:val="000000"/>
                <w:sz w:val="20"/>
                <w:szCs w:val="20"/>
                <w:lang w:val="en-GB" w:eastAsia="en-GB"/>
              </w:rPr>
              <w:t>të</w:t>
            </w:r>
            <w:proofErr w:type="spellEnd"/>
            <w:r w:rsidRPr="002E16E2">
              <w:rPr>
                <w:rFonts w:ascii="Arial Narrow" w:hAnsi="Arial Narrow" w:cs="Calibri"/>
                <w:b/>
                <w:bCs/>
                <w:color w:val="000000"/>
                <w:sz w:val="20"/>
                <w:szCs w:val="20"/>
                <w:lang w:val="en-GB" w:eastAsia="en-GB"/>
              </w:rPr>
              <w:t xml:space="preserve"> </w:t>
            </w:r>
            <w:proofErr w:type="spellStart"/>
            <w:r w:rsidRPr="002E16E2">
              <w:rPr>
                <w:rFonts w:ascii="Arial Narrow" w:hAnsi="Arial Narrow" w:cs="Calibri"/>
                <w:b/>
                <w:bCs/>
                <w:color w:val="000000"/>
                <w:sz w:val="20"/>
                <w:szCs w:val="20"/>
                <w:lang w:val="en-GB" w:eastAsia="en-GB"/>
              </w:rPr>
              <w:t>grumbullimit</w:t>
            </w:r>
            <w:proofErr w:type="spellEnd"/>
            <w:r w:rsidRPr="002E16E2">
              <w:rPr>
                <w:rFonts w:ascii="Arial Narrow" w:hAnsi="Arial Narrow" w:cs="Calibri"/>
                <w:b/>
                <w:bCs/>
                <w:color w:val="000000"/>
                <w:sz w:val="20"/>
                <w:szCs w:val="20"/>
                <w:lang w:val="en-GB" w:eastAsia="en-GB"/>
              </w:rPr>
              <w:t xml:space="preserve"> </w:t>
            </w:r>
            <w:proofErr w:type="spellStart"/>
            <w:r w:rsidRPr="002E16E2">
              <w:rPr>
                <w:rFonts w:ascii="Arial Narrow" w:hAnsi="Arial Narrow" w:cs="Calibri"/>
                <w:b/>
                <w:bCs/>
                <w:color w:val="000000"/>
                <w:sz w:val="20"/>
                <w:szCs w:val="20"/>
                <w:lang w:val="en-GB" w:eastAsia="en-GB"/>
              </w:rPr>
              <w:t>dhe</w:t>
            </w:r>
            <w:proofErr w:type="spellEnd"/>
            <w:r w:rsidRPr="002E16E2">
              <w:rPr>
                <w:rFonts w:ascii="Arial Narrow" w:hAnsi="Arial Narrow" w:cs="Calibri"/>
                <w:b/>
                <w:bCs/>
                <w:color w:val="000000"/>
                <w:sz w:val="20"/>
                <w:szCs w:val="20"/>
                <w:lang w:val="en-GB" w:eastAsia="en-GB"/>
              </w:rPr>
              <w:t xml:space="preserve"> </w:t>
            </w:r>
            <w:proofErr w:type="spellStart"/>
            <w:r w:rsidRPr="002E16E2">
              <w:rPr>
                <w:rFonts w:ascii="Arial Narrow" w:hAnsi="Arial Narrow" w:cs="Calibri"/>
                <w:b/>
                <w:bCs/>
                <w:color w:val="000000"/>
                <w:sz w:val="20"/>
                <w:szCs w:val="20"/>
                <w:lang w:val="en-GB" w:eastAsia="en-GB"/>
              </w:rPr>
              <w:t>transferit</w:t>
            </w:r>
            <w:proofErr w:type="spellEnd"/>
          </w:p>
        </w:tc>
        <w:tc>
          <w:tcPr>
            <w:tcW w:w="435" w:type="pct"/>
            <w:shd w:val="clear" w:color="auto" w:fill="auto"/>
            <w:noWrap/>
            <w:vAlign w:val="bottom"/>
            <w:hideMark/>
          </w:tcPr>
          <w:p w14:paraId="7BD9DA3D" w14:textId="77777777" w:rsidR="002E16E2" w:rsidRPr="007D1EDC" w:rsidRDefault="002E16E2" w:rsidP="002E16E2">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53</w:t>
            </w:r>
          </w:p>
        </w:tc>
        <w:tc>
          <w:tcPr>
            <w:tcW w:w="249" w:type="pct"/>
            <w:shd w:val="clear" w:color="auto" w:fill="auto"/>
            <w:noWrap/>
            <w:vAlign w:val="bottom"/>
            <w:hideMark/>
          </w:tcPr>
          <w:p w14:paraId="6F965D07" w14:textId="77777777" w:rsidR="002E16E2" w:rsidRPr="007D1EDC" w:rsidRDefault="002E16E2" w:rsidP="002E16E2">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53</w:t>
            </w:r>
          </w:p>
        </w:tc>
        <w:tc>
          <w:tcPr>
            <w:tcW w:w="342" w:type="pct"/>
            <w:shd w:val="clear" w:color="auto" w:fill="auto"/>
            <w:noWrap/>
            <w:vAlign w:val="bottom"/>
            <w:hideMark/>
          </w:tcPr>
          <w:p w14:paraId="767BD3F2" w14:textId="77777777" w:rsidR="002E16E2" w:rsidRPr="007D1EDC" w:rsidRDefault="002E16E2" w:rsidP="002E16E2">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53</w:t>
            </w:r>
          </w:p>
        </w:tc>
        <w:tc>
          <w:tcPr>
            <w:tcW w:w="342" w:type="pct"/>
            <w:shd w:val="clear" w:color="auto" w:fill="auto"/>
            <w:noWrap/>
            <w:vAlign w:val="bottom"/>
            <w:hideMark/>
          </w:tcPr>
          <w:p w14:paraId="077ED53E" w14:textId="77777777" w:rsidR="002E16E2" w:rsidRPr="007D1EDC" w:rsidRDefault="002E16E2" w:rsidP="002E16E2">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53</w:t>
            </w:r>
          </w:p>
        </w:tc>
        <w:tc>
          <w:tcPr>
            <w:tcW w:w="342" w:type="pct"/>
            <w:shd w:val="clear" w:color="auto" w:fill="auto"/>
            <w:noWrap/>
            <w:vAlign w:val="bottom"/>
            <w:hideMark/>
          </w:tcPr>
          <w:p w14:paraId="27C75569" w14:textId="77777777" w:rsidR="002E16E2" w:rsidRPr="007D1EDC" w:rsidRDefault="002E16E2" w:rsidP="002E16E2">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52</w:t>
            </w:r>
          </w:p>
        </w:tc>
        <w:tc>
          <w:tcPr>
            <w:tcW w:w="342" w:type="pct"/>
            <w:shd w:val="clear" w:color="auto" w:fill="auto"/>
            <w:noWrap/>
            <w:vAlign w:val="bottom"/>
            <w:hideMark/>
          </w:tcPr>
          <w:p w14:paraId="2524653A" w14:textId="77777777" w:rsidR="002E16E2" w:rsidRPr="007D1EDC" w:rsidRDefault="002E16E2" w:rsidP="002E16E2">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49</w:t>
            </w:r>
          </w:p>
        </w:tc>
        <w:tc>
          <w:tcPr>
            <w:tcW w:w="342" w:type="pct"/>
            <w:shd w:val="clear" w:color="auto" w:fill="auto"/>
            <w:noWrap/>
            <w:vAlign w:val="bottom"/>
            <w:hideMark/>
          </w:tcPr>
          <w:p w14:paraId="004C31E0" w14:textId="77777777" w:rsidR="002E16E2" w:rsidRPr="007D1EDC" w:rsidRDefault="002E16E2" w:rsidP="002E16E2">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49</w:t>
            </w:r>
          </w:p>
        </w:tc>
        <w:tc>
          <w:tcPr>
            <w:tcW w:w="342" w:type="pct"/>
            <w:shd w:val="clear" w:color="auto" w:fill="auto"/>
            <w:noWrap/>
            <w:vAlign w:val="bottom"/>
            <w:hideMark/>
          </w:tcPr>
          <w:p w14:paraId="0621FCA6" w14:textId="77777777" w:rsidR="002E16E2" w:rsidRPr="007D1EDC" w:rsidRDefault="002E16E2" w:rsidP="002E16E2">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49</w:t>
            </w:r>
          </w:p>
        </w:tc>
        <w:tc>
          <w:tcPr>
            <w:tcW w:w="342" w:type="pct"/>
            <w:shd w:val="clear" w:color="auto" w:fill="auto"/>
            <w:noWrap/>
            <w:vAlign w:val="bottom"/>
            <w:hideMark/>
          </w:tcPr>
          <w:p w14:paraId="60E62E77" w14:textId="77777777" w:rsidR="002E16E2" w:rsidRPr="007D1EDC" w:rsidRDefault="002E16E2" w:rsidP="002E16E2">
            <w:pPr>
              <w:jc w:val="right"/>
              <w:rPr>
                <w:rFonts w:ascii="Arial Narrow" w:hAnsi="Arial Narrow" w:cs="Calibri"/>
                <w:b/>
                <w:bCs/>
                <w:color w:val="000000"/>
                <w:sz w:val="20"/>
                <w:szCs w:val="20"/>
                <w:lang w:val="en-GB" w:eastAsia="en-GB"/>
              </w:rPr>
            </w:pPr>
            <w:r w:rsidRPr="007D1EDC">
              <w:rPr>
                <w:rFonts w:ascii="Arial Narrow" w:hAnsi="Arial Narrow" w:cs="Calibri"/>
                <w:b/>
                <w:bCs/>
                <w:color w:val="000000"/>
                <w:sz w:val="20"/>
                <w:szCs w:val="20"/>
                <w:lang w:val="en-GB" w:eastAsia="en-GB"/>
              </w:rPr>
              <w:t>49</w:t>
            </w:r>
          </w:p>
        </w:tc>
      </w:tr>
      <w:tr w:rsidR="002E16E2" w:rsidRPr="007D1EDC" w14:paraId="216C43DB" w14:textId="77777777" w:rsidTr="002E16E2">
        <w:trPr>
          <w:trHeight w:val="200"/>
        </w:trPr>
        <w:tc>
          <w:tcPr>
            <w:tcW w:w="1920" w:type="pct"/>
            <w:shd w:val="clear" w:color="auto" w:fill="auto"/>
            <w:noWrap/>
            <w:vAlign w:val="bottom"/>
            <w:hideMark/>
          </w:tcPr>
          <w:p w14:paraId="5E4298B3" w14:textId="58B2E099" w:rsidR="002E16E2" w:rsidRPr="002E16E2" w:rsidRDefault="002E16E2" w:rsidP="002E16E2">
            <w:pPr>
              <w:rPr>
                <w:rFonts w:ascii="Arial Narrow" w:hAnsi="Arial Narrow" w:cs="Calibri"/>
                <w:color w:val="000000"/>
                <w:sz w:val="20"/>
                <w:szCs w:val="20"/>
                <w:lang w:val="en-GB" w:eastAsia="en-GB"/>
              </w:rPr>
            </w:pPr>
            <w:proofErr w:type="spellStart"/>
            <w:r w:rsidRPr="002E16E2">
              <w:rPr>
                <w:rFonts w:ascii="Arial Narrow" w:hAnsi="Arial Narrow" w:cs="Calibri"/>
                <w:color w:val="000000"/>
                <w:sz w:val="20"/>
                <w:szCs w:val="20"/>
                <w:lang w:val="en-GB" w:eastAsia="en-GB"/>
              </w:rPr>
              <w:t>Kostoja</w:t>
            </w:r>
            <w:proofErr w:type="spellEnd"/>
            <w:r w:rsidRPr="002E16E2">
              <w:rPr>
                <w:rFonts w:ascii="Arial Narrow" w:hAnsi="Arial Narrow" w:cs="Calibri"/>
                <w:color w:val="000000"/>
                <w:sz w:val="20"/>
                <w:szCs w:val="20"/>
                <w:lang w:val="en-GB" w:eastAsia="en-GB"/>
              </w:rPr>
              <w:t xml:space="preserve"> </w:t>
            </w:r>
            <w:proofErr w:type="spellStart"/>
            <w:r w:rsidRPr="002E16E2">
              <w:rPr>
                <w:rFonts w:ascii="Arial Narrow" w:hAnsi="Arial Narrow" w:cs="Calibri"/>
                <w:color w:val="000000"/>
                <w:sz w:val="20"/>
                <w:szCs w:val="20"/>
                <w:lang w:val="en-GB" w:eastAsia="en-GB"/>
              </w:rPr>
              <w:t>për</w:t>
            </w:r>
            <w:proofErr w:type="spellEnd"/>
            <w:r w:rsidRPr="002E16E2">
              <w:rPr>
                <w:rFonts w:ascii="Arial Narrow" w:hAnsi="Arial Narrow" w:cs="Calibri"/>
                <w:color w:val="000000"/>
                <w:sz w:val="20"/>
                <w:szCs w:val="20"/>
                <w:lang w:val="en-GB" w:eastAsia="en-GB"/>
              </w:rPr>
              <w:t xml:space="preserve"> ton</w:t>
            </w:r>
          </w:p>
        </w:tc>
        <w:tc>
          <w:tcPr>
            <w:tcW w:w="435" w:type="pct"/>
            <w:shd w:val="clear" w:color="auto" w:fill="auto"/>
            <w:noWrap/>
            <w:vAlign w:val="bottom"/>
            <w:hideMark/>
          </w:tcPr>
          <w:p w14:paraId="3BE8FB58"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70 €/t</w:t>
            </w:r>
          </w:p>
        </w:tc>
        <w:tc>
          <w:tcPr>
            <w:tcW w:w="249" w:type="pct"/>
            <w:shd w:val="clear" w:color="auto" w:fill="auto"/>
            <w:noWrap/>
            <w:vAlign w:val="bottom"/>
            <w:hideMark/>
          </w:tcPr>
          <w:p w14:paraId="73FF4385"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71 €/t</w:t>
            </w:r>
          </w:p>
        </w:tc>
        <w:tc>
          <w:tcPr>
            <w:tcW w:w="342" w:type="pct"/>
            <w:shd w:val="clear" w:color="auto" w:fill="auto"/>
            <w:noWrap/>
            <w:vAlign w:val="bottom"/>
            <w:hideMark/>
          </w:tcPr>
          <w:p w14:paraId="22CE3C61"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71 €/t</w:t>
            </w:r>
          </w:p>
        </w:tc>
        <w:tc>
          <w:tcPr>
            <w:tcW w:w="342" w:type="pct"/>
            <w:shd w:val="clear" w:color="auto" w:fill="auto"/>
            <w:noWrap/>
            <w:vAlign w:val="bottom"/>
            <w:hideMark/>
          </w:tcPr>
          <w:p w14:paraId="5CEF20D7"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73 €/t</w:t>
            </w:r>
          </w:p>
        </w:tc>
        <w:tc>
          <w:tcPr>
            <w:tcW w:w="342" w:type="pct"/>
            <w:shd w:val="clear" w:color="auto" w:fill="auto"/>
            <w:noWrap/>
            <w:vAlign w:val="bottom"/>
            <w:hideMark/>
          </w:tcPr>
          <w:p w14:paraId="5CCBBC82"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72 €/t</w:t>
            </w:r>
          </w:p>
        </w:tc>
        <w:tc>
          <w:tcPr>
            <w:tcW w:w="342" w:type="pct"/>
            <w:shd w:val="clear" w:color="auto" w:fill="auto"/>
            <w:noWrap/>
            <w:vAlign w:val="bottom"/>
            <w:hideMark/>
          </w:tcPr>
          <w:p w14:paraId="0F0BB05B"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76 €/t</w:t>
            </w:r>
          </w:p>
        </w:tc>
        <w:tc>
          <w:tcPr>
            <w:tcW w:w="342" w:type="pct"/>
            <w:shd w:val="clear" w:color="auto" w:fill="auto"/>
            <w:noWrap/>
            <w:vAlign w:val="bottom"/>
            <w:hideMark/>
          </w:tcPr>
          <w:p w14:paraId="4E794077"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78 €/t</w:t>
            </w:r>
          </w:p>
        </w:tc>
        <w:tc>
          <w:tcPr>
            <w:tcW w:w="342" w:type="pct"/>
            <w:shd w:val="clear" w:color="auto" w:fill="auto"/>
            <w:noWrap/>
            <w:vAlign w:val="bottom"/>
            <w:hideMark/>
          </w:tcPr>
          <w:p w14:paraId="1CAAF1EB"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80 €/t</w:t>
            </w:r>
          </w:p>
        </w:tc>
        <w:tc>
          <w:tcPr>
            <w:tcW w:w="342" w:type="pct"/>
            <w:shd w:val="clear" w:color="auto" w:fill="auto"/>
            <w:noWrap/>
            <w:vAlign w:val="bottom"/>
            <w:hideMark/>
          </w:tcPr>
          <w:p w14:paraId="650F924B" w14:textId="77777777" w:rsidR="002E16E2" w:rsidRPr="007D1EDC" w:rsidRDefault="002E16E2" w:rsidP="002E16E2">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82 €/t</w:t>
            </w:r>
          </w:p>
        </w:tc>
      </w:tr>
    </w:tbl>
    <w:p w14:paraId="5173DEA8" w14:textId="77777777" w:rsidR="007D1EDC" w:rsidRPr="007D1EDC" w:rsidRDefault="007D1EDC" w:rsidP="007D1EDC">
      <w:pPr>
        <w:rPr>
          <w:rFonts w:ascii="Arial Narrow" w:eastAsia="Calibri" w:hAnsi="Arial Narrow" w:cs="Calibri"/>
          <w:sz w:val="22"/>
          <w:szCs w:val="22"/>
        </w:rPr>
      </w:pPr>
    </w:p>
    <w:p w14:paraId="6531B26A" w14:textId="1F2DB4D7" w:rsidR="007D1EDC" w:rsidRPr="007D1EDC" w:rsidRDefault="007D1EDC" w:rsidP="002E4DDE">
      <w:pPr>
        <w:pStyle w:val="Heading3"/>
        <w:ind w:left="1134" w:hanging="1134"/>
      </w:pPr>
      <w:bookmarkStart w:id="645" w:name="_Toc190967410"/>
      <w:bookmarkStart w:id="646" w:name="_Toc197472059"/>
      <w:r w:rsidRPr="007D1EDC">
        <w:t>Deponi</w:t>
      </w:r>
      <w:bookmarkEnd w:id="645"/>
      <w:r w:rsidR="002E16E2">
        <w:t>a</w:t>
      </w:r>
      <w:bookmarkEnd w:id="646"/>
    </w:p>
    <w:p w14:paraId="3E966F1D" w14:textId="77777777" w:rsidR="007D1EDC" w:rsidRPr="002E16E2" w:rsidRDefault="007D1EDC" w:rsidP="007D1EDC">
      <w:pPr>
        <w:rPr>
          <w:rFonts w:ascii="Arial Narrow" w:eastAsia="Calibri" w:hAnsi="Arial Narrow" w:cs="Calibri"/>
          <w:sz w:val="22"/>
          <w:szCs w:val="22"/>
        </w:rPr>
      </w:pPr>
    </w:p>
    <w:p w14:paraId="2C3186E0" w14:textId="44319214" w:rsidR="007D1EDC" w:rsidRPr="009F5CA1" w:rsidRDefault="002E16E2" w:rsidP="002E16E2">
      <w:pPr>
        <w:jc w:val="both"/>
        <w:rPr>
          <w:rFonts w:ascii="Arial Narrow" w:hAnsi="Arial Narrow"/>
          <w:sz w:val="22"/>
          <w:szCs w:val="22"/>
        </w:rPr>
      </w:pPr>
      <w:r w:rsidRPr="009F5CA1">
        <w:rPr>
          <w:rFonts w:ascii="Arial Narrow" w:hAnsi="Arial Narrow"/>
          <w:sz w:val="22"/>
          <w:szCs w:val="22"/>
        </w:rPr>
        <w:t>Me devijimin e planifikuar të mbeturinave të riciklueshme dhe të gjelbra nga deponimi në deponi në trajtimin e të gjithë mbeturinave të përziera në TMB dhe kompostimi në kontenjerët e specializuar që nga viti 2032, sasitë e mbeturinave që do të deponohen në deponi vlerësohen si më poshtë</w:t>
      </w:r>
      <w:r w:rsidR="007D1EDC" w:rsidRPr="009F5CA1">
        <w:rPr>
          <w:rFonts w:ascii="Arial Narrow" w:hAnsi="Arial Narrow"/>
          <w:sz w:val="22"/>
          <w:szCs w:val="22"/>
        </w:rPr>
        <w:t>.</w:t>
      </w:r>
    </w:p>
    <w:p w14:paraId="031002F7" w14:textId="77777777" w:rsidR="007D1EDC" w:rsidRPr="009F5CA1" w:rsidRDefault="007D1EDC" w:rsidP="007D1EDC">
      <w:pPr>
        <w:rPr>
          <w:rFonts w:ascii="Arial Narrow" w:hAnsi="Arial Narrow"/>
          <w:sz w:val="22"/>
          <w:szCs w:val="22"/>
        </w:rPr>
      </w:pPr>
    </w:p>
    <w:p w14:paraId="184E6B11" w14:textId="207467C0" w:rsidR="007D1EDC" w:rsidRPr="007D1EDC" w:rsidRDefault="007D1EDC" w:rsidP="007D1EDC">
      <w:pPr>
        <w:suppressAutoHyphens/>
        <w:rPr>
          <w:rFonts w:ascii="Arial Narrow" w:eastAsia="Calibri" w:hAnsi="Arial Narrow" w:cs="Calibri"/>
          <w:color w:val="1F497D"/>
          <w:sz w:val="20"/>
          <w:szCs w:val="20"/>
        </w:rPr>
      </w:pPr>
      <w:bookmarkStart w:id="647" w:name="_Toc190966787"/>
      <w:bookmarkStart w:id="648" w:name="_Toc197472284"/>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99.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 xml:space="preserve">Sasitë e </w:t>
      </w:r>
      <w:r w:rsidR="002E16E2">
        <w:rPr>
          <w:rFonts w:ascii="Arial Narrow" w:eastAsia="Calibri" w:hAnsi="Arial Narrow" w:cs="Calibri"/>
          <w:color w:val="1F497D"/>
          <w:sz w:val="20"/>
          <w:szCs w:val="20"/>
        </w:rPr>
        <w:t>parashikuara</w:t>
      </w:r>
      <w:r w:rsidRPr="007D1EDC">
        <w:rPr>
          <w:rFonts w:ascii="Arial Narrow" w:eastAsia="Calibri" w:hAnsi="Arial Narrow" w:cs="Calibri"/>
          <w:color w:val="1F497D"/>
          <w:sz w:val="20"/>
          <w:szCs w:val="20"/>
        </w:rPr>
        <w:t xml:space="preserve"> të mbeturinave për deponi</w:t>
      </w:r>
      <w:bookmarkEnd w:id="647"/>
      <w:bookmarkEnd w:id="648"/>
    </w:p>
    <w:tbl>
      <w:tblPr>
        <w:tblW w:w="8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842"/>
        <w:gridCol w:w="842"/>
        <w:gridCol w:w="842"/>
        <w:gridCol w:w="842"/>
        <w:gridCol w:w="842"/>
        <w:gridCol w:w="842"/>
        <w:gridCol w:w="842"/>
        <w:gridCol w:w="842"/>
        <w:gridCol w:w="843"/>
      </w:tblGrid>
      <w:tr w:rsidR="007D1EDC" w:rsidRPr="007D1EDC" w14:paraId="1E84A81C" w14:textId="77777777" w:rsidTr="00D03949">
        <w:trPr>
          <w:trHeight w:val="220"/>
        </w:trPr>
        <w:tc>
          <w:tcPr>
            <w:tcW w:w="1345" w:type="dxa"/>
            <w:shd w:val="clear" w:color="auto" w:fill="365F91"/>
            <w:noWrap/>
            <w:tcMar>
              <w:left w:w="58" w:type="dxa"/>
              <w:right w:w="58" w:type="dxa"/>
            </w:tcMar>
            <w:vAlign w:val="bottom"/>
            <w:hideMark/>
          </w:tcPr>
          <w:p w14:paraId="136E1A89" w14:textId="77777777" w:rsidR="007D1EDC" w:rsidRPr="009F5CA1" w:rsidRDefault="007D1EDC" w:rsidP="007D1EDC">
            <w:pPr>
              <w:rPr>
                <w:rFonts w:ascii="Arial Narrow" w:hAnsi="Arial Narrow"/>
                <w:b/>
                <w:bCs/>
                <w:color w:val="FFFFFF" w:themeColor="background1"/>
                <w:sz w:val="20"/>
                <w:szCs w:val="20"/>
                <w:lang w:val="es-ES" w:eastAsia="en-GB"/>
              </w:rPr>
            </w:pPr>
          </w:p>
        </w:tc>
        <w:tc>
          <w:tcPr>
            <w:tcW w:w="842" w:type="dxa"/>
            <w:shd w:val="clear" w:color="auto" w:fill="365F91"/>
            <w:noWrap/>
            <w:tcMar>
              <w:left w:w="58" w:type="dxa"/>
              <w:right w:w="58" w:type="dxa"/>
            </w:tcMar>
            <w:vAlign w:val="center"/>
            <w:hideMark/>
          </w:tcPr>
          <w:p w14:paraId="01FCBC76"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2027</w:t>
            </w:r>
          </w:p>
        </w:tc>
        <w:tc>
          <w:tcPr>
            <w:tcW w:w="842" w:type="dxa"/>
            <w:shd w:val="clear" w:color="auto" w:fill="365F91"/>
            <w:noWrap/>
            <w:tcMar>
              <w:left w:w="58" w:type="dxa"/>
              <w:right w:w="58" w:type="dxa"/>
            </w:tcMar>
            <w:vAlign w:val="center"/>
            <w:hideMark/>
          </w:tcPr>
          <w:p w14:paraId="57D6A14E"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2028</w:t>
            </w:r>
          </w:p>
        </w:tc>
        <w:tc>
          <w:tcPr>
            <w:tcW w:w="842" w:type="dxa"/>
            <w:shd w:val="clear" w:color="auto" w:fill="365F91"/>
            <w:noWrap/>
            <w:tcMar>
              <w:left w:w="58" w:type="dxa"/>
              <w:right w:w="58" w:type="dxa"/>
            </w:tcMar>
            <w:vAlign w:val="center"/>
            <w:hideMark/>
          </w:tcPr>
          <w:p w14:paraId="5FF70E25"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2029</w:t>
            </w:r>
          </w:p>
        </w:tc>
        <w:tc>
          <w:tcPr>
            <w:tcW w:w="842" w:type="dxa"/>
            <w:shd w:val="clear" w:color="auto" w:fill="365F91"/>
            <w:noWrap/>
            <w:tcMar>
              <w:left w:w="58" w:type="dxa"/>
              <w:right w:w="58" w:type="dxa"/>
            </w:tcMar>
            <w:vAlign w:val="center"/>
            <w:hideMark/>
          </w:tcPr>
          <w:p w14:paraId="23E685FF"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2030</w:t>
            </w:r>
          </w:p>
        </w:tc>
        <w:tc>
          <w:tcPr>
            <w:tcW w:w="842" w:type="dxa"/>
            <w:shd w:val="clear" w:color="auto" w:fill="365F91"/>
            <w:noWrap/>
            <w:tcMar>
              <w:left w:w="58" w:type="dxa"/>
              <w:right w:w="58" w:type="dxa"/>
            </w:tcMar>
            <w:vAlign w:val="center"/>
            <w:hideMark/>
          </w:tcPr>
          <w:p w14:paraId="5DAF5855"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2031</w:t>
            </w:r>
          </w:p>
        </w:tc>
        <w:tc>
          <w:tcPr>
            <w:tcW w:w="842" w:type="dxa"/>
            <w:shd w:val="clear" w:color="auto" w:fill="365F91"/>
            <w:noWrap/>
            <w:tcMar>
              <w:left w:w="58" w:type="dxa"/>
              <w:right w:w="58" w:type="dxa"/>
            </w:tcMar>
            <w:vAlign w:val="center"/>
            <w:hideMark/>
          </w:tcPr>
          <w:p w14:paraId="2ADCA6C6"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2032</w:t>
            </w:r>
          </w:p>
        </w:tc>
        <w:tc>
          <w:tcPr>
            <w:tcW w:w="842" w:type="dxa"/>
            <w:shd w:val="clear" w:color="auto" w:fill="365F91"/>
            <w:noWrap/>
            <w:tcMar>
              <w:left w:w="58" w:type="dxa"/>
              <w:right w:w="58" w:type="dxa"/>
            </w:tcMar>
            <w:vAlign w:val="center"/>
            <w:hideMark/>
          </w:tcPr>
          <w:p w14:paraId="6DF6B100"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2033</w:t>
            </w:r>
          </w:p>
        </w:tc>
        <w:tc>
          <w:tcPr>
            <w:tcW w:w="842" w:type="dxa"/>
            <w:shd w:val="clear" w:color="auto" w:fill="365F91"/>
            <w:noWrap/>
            <w:tcMar>
              <w:left w:w="58" w:type="dxa"/>
              <w:right w:w="58" w:type="dxa"/>
            </w:tcMar>
            <w:vAlign w:val="center"/>
            <w:hideMark/>
          </w:tcPr>
          <w:p w14:paraId="2BF13A3F"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2034</w:t>
            </w:r>
          </w:p>
        </w:tc>
        <w:tc>
          <w:tcPr>
            <w:tcW w:w="843" w:type="dxa"/>
            <w:shd w:val="clear" w:color="auto" w:fill="365F91"/>
            <w:noWrap/>
            <w:tcMar>
              <w:left w:w="58" w:type="dxa"/>
              <w:right w:w="58" w:type="dxa"/>
            </w:tcMar>
            <w:vAlign w:val="center"/>
            <w:hideMark/>
          </w:tcPr>
          <w:p w14:paraId="6054566E"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2035</w:t>
            </w:r>
          </w:p>
        </w:tc>
      </w:tr>
      <w:tr w:rsidR="007D1EDC" w:rsidRPr="007D1EDC" w14:paraId="76062F2C" w14:textId="77777777" w:rsidTr="00D03949">
        <w:trPr>
          <w:trHeight w:val="210"/>
        </w:trPr>
        <w:tc>
          <w:tcPr>
            <w:tcW w:w="1345" w:type="dxa"/>
            <w:shd w:val="clear" w:color="auto" w:fill="auto"/>
            <w:noWrap/>
            <w:tcMar>
              <w:left w:w="58" w:type="dxa"/>
              <w:right w:w="58" w:type="dxa"/>
            </w:tcMar>
            <w:vAlign w:val="bottom"/>
            <w:hideMark/>
          </w:tcPr>
          <w:p w14:paraId="6231EE18" w14:textId="77777777" w:rsidR="007D1EDC" w:rsidRPr="007D1EDC" w:rsidRDefault="007D1EDC" w:rsidP="007D1EDC">
            <w:pPr>
              <w:rPr>
                <w:rFonts w:ascii="Arial Narrow" w:hAnsi="Arial Narrow" w:cs="Calibri"/>
                <w:color w:val="000000"/>
                <w:sz w:val="20"/>
                <w:szCs w:val="20"/>
                <w:lang w:val="en-GB" w:eastAsia="en-GB"/>
              </w:rPr>
            </w:pPr>
            <w:proofErr w:type="spellStart"/>
            <w:r w:rsidRPr="007D1EDC">
              <w:rPr>
                <w:rFonts w:ascii="Arial Narrow" w:hAnsi="Arial Narrow" w:cs="Calibri"/>
                <w:color w:val="000000"/>
                <w:sz w:val="20"/>
                <w:szCs w:val="20"/>
                <w:lang w:val="en-GB" w:eastAsia="en-GB"/>
              </w:rPr>
              <w:t>Mbeturinat</w:t>
            </w:r>
            <w:proofErr w:type="spellEnd"/>
            <w:r w:rsidRPr="007D1EDC">
              <w:rPr>
                <w:rFonts w:ascii="Arial Narrow" w:hAnsi="Arial Narrow" w:cs="Calibri"/>
                <w:color w:val="000000"/>
                <w:sz w:val="20"/>
                <w:szCs w:val="20"/>
                <w:lang w:val="en-GB" w:eastAsia="en-GB"/>
              </w:rPr>
              <w:t xml:space="preserve"> </w:t>
            </w:r>
            <w:proofErr w:type="spellStart"/>
            <w:r w:rsidRPr="007D1EDC">
              <w:rPr>
                <w:rFonts w:ascii="Arial Narrow" w:hAnsi="Arial Narrow" w:cs="Calibri"/>
                <w:color w:val="000000"/>
                <w:sz w:val="20"/>
                <w:szCs w:val="20"/>
                <w:lang w:val="en-GB" w:eastAsia="en-GB"/>
              </w:rPr>
              <w:t>në</w:t>
            </w:r>
            <w:proofErr w:type="spellEnd"/>
            <w:r w:rsidRPr="007D1EDC">
              <w:rPr>
                <w:rFonts w:ascii="Arial Narrow" w:hAnsi="Arial Narrow" w:cs="Calibri"/>
                <w:color w:val="000000"/>
                <w:sz w:val="20"/>
                <w:szCs w:val="20"/>
                <w:lang w:val="en-GB" w:eastAsia="en-GB"/>
              </w:rPr>
              <w:t xml:space="preserve"> </w:t>
            </w:r>
            <w:proofErr w:type="spellStart"/>
            <w:r w:rsidRPr="007D1EDC">
              <w:rPr>
                <w:rFonts w:ascii="Arial Narrow" w:hAnsi="Arial Narrow" w:cs="Calibri"/>
                <w:color w:val="000000"/>
                <w:sz w:val="20"/>
                <w:szCs w:val="20"/>
                <w:lang w:val="en-GB" w:eastAsia="en-GB"/>
              </w:rPr>
              <w:t>deponi</w:t>
            </w:r>
            <w:proofErr w:type="spellEnd"/>
          </w:p>
        </w:tc>
        <w:tc>
          <w:tcPr>
            <w:tcW w:w="842" w:type="dxa"/>
            <w:shd w:val="clear" w:color="auto" w:fill="FFFFFF" w:themeFill="background1"/>
            <w:noWrap/>
            <w:tcMar>
              <w:left w:w="58" w:type="dxa"/>
              <w:right w:w="58" w:type="dxa"/>
            </w:tcMar>
            <w:hideMark/>
          </w:tcPr>
          <w:p w14:paraId="30880A34" w14:textId="77777777"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sz w:val="20"/>
              </w:rPr>
              <w:t>57,493 t</w:t>
            </w:r>
          </w:p>
        </w:tc>
        <w:tc>
          <w:tcPr>
            <w:tcW w:w="842" w:type="dxa"/>
            <w:shd w:val="clear" w:color="auto" w:fill="FFFFFF" w:themeFill="background1"/>
            <w:noWrap/>
            <w:tcMar>
              <w:left w:w="58" w:type="dxa"/>
              <w:right w:w="58" w:type="dxa"/>
            </w:tcMar>
            <w:hideMark/>
          </w:tcPr>
          <w:p w14:paraId="6DFC2D8D" w14:textId="77777777"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sz w:val="20"/>
              </w:rPr>
              <w:t>56,297 t</w:t>
            </w:r>
          </w:p>
        </w:tc>
        <w:tc>
          <w:tcPr>
            <w:tcW w:w="842" w:type="dxa"/>
            <w:shd w:val="clear" w:color="auto" w:fill="FFFFFF" w:themeFill="background1"/>
            <w:noWrap/>
            <w:tcMar>
              <w:left w:w="58" w:type="dxa"/>
              <w:right w:w="58" w:type="dxa"/>
            </w:tcMar>
            <w:hideMark/>
          </w:tcPr>
          <w:p w14:paraId="7E6C710E" w14:textId="77777777"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sz w:val="20"/>
              </w:rPr>
              <w:t>54,928 t</w:t>
            </w:r>
          </w:p>
        </w:tc>
        <w:tc>
          <w:tcPr>
            <w:tcW w:w="842" w:type="dxa"/>
            <w:shd w:val="clear" w:color="auto" w:fill="FFFFFF" w:themeFill="background1"/>
            <w:noWrap/>
            <w:tcMar>
              <w:left w:w="58" w:type="dxa"/>
              <w:right w:w="58" w:type="dxa"/>
            </w:tcMar>
            <w:hideMark/>
          </w:tcPr>
          <w:p w14:paraId="213A2996" w14:textId="77777777"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sz w:val="20"/>
              </w:rPr>
              <w:t>53,616 t</w:t>
            </w:r>
          </w:p>
        </w:tc>
        <w:tc>
          <w:tcPr>
            <w:tcW w:w="842" w:type="dxa"/>
            <w:shd w:val="clear" w:color="auto" w:fill="FFFFFF" w:themeFill="background1"/>
            <w:noWrap/>
            <w:tcMar>
              <w:left w:w="58" w:type="dxa"/>
              <w:right w:w="58" w:type="dxa"/>
            </w:tcMar>
            <w:hideMark/>
          </w:tcPr>
          <w:p w14:paraId="4F5A30F0" w14:textId="77777777"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sz w:val="20"/>
              </w:rPr>
              <w:t>52,717 t</w:t>
            </w:r>
          </w:p>
        </w:tc>
        <w:tc>
          <w:tcPr>
            <w:tcW w:w="842" w:type="dxa"/>
            <w:shd w:val="clear" w:color="auto" w:fill="FFFFFF" w:themeFill="background1"/>
            <w:noWrap/>
            <w:tcMar>
              <w:left w:w="58" w:type="dxa"/>
              <w:right w:w="58" w:type="dxa"/>
            </w:tcMar>
            <w:hideMark/>
          </w:tcPr>
          <w:p w14:paraId="52145209" w14:textId="6AADFBA3"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sz w:val="20"/>
              </w:rPr>
              <w:t>10,325 t</w:t>
            </w:r>
          </w:p>
        </w:tc>
        <w:tc>
          <w:tcPr>
            <w:tcW w:w="842" w:type="dxa"/>
            <w:shd w:val="clear" w:color="auto" w:fill="FFFFFF" w:themeFill="background1"/>
            <w:noWrap/>
            <w:tcMar>
              <w:left w:w="58" w:type="dxa"/>
              <w:right w:w="58" w:type="dxa"/>
            </w:tcMar>
            <w:hideMark/>
          </w:tcPr>
          <w:p w14:paraId="709BFDDB" w14:textId="77777777"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sz w:val="20"/>
              </w:rPr>
              <w:t>10,012 t</w:t>
            </w:r>
          </w:p>
        </w:tc>
        <w:tc>
          <w:tcPr>
            <w:tcW w:w="842" w:type="dxa"/>
            <w:shd w:val="clear" w:color="auto" w:fill="FFFFFF" w:themeFill="background1"/>
            <w:noWrap/>
            <w:tcMar>
              <w:left w:w="58" w:type="dxa"/>
              <w:right w:w="58" w:type="dxa"/>
            </w:tcMar>
            <w:hideMark/>
          </w:tcPr>
          <w:p w14:paraId="2B66AB8D" w14:textId="7F342D65"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sz w:val="20"/>
              </w:rPr>
              <w:t>9,677 t</w:t>
            </w:r>
          </w:p>
        </w:tc>
        <w:tc>
          <w:tcPr>
            <w:tcW w:w="843" w:type="dxa"/>
            <w:shd w:val="clear" w:color="auto" w:fill="FFFFFF" w:themeFill="background1"/>
            <w:noWrap/>
            <w:tcMar>
              <w:left w:w="58" w:type="dxa"/>
              <w:right w:w="58" w:type="dxa"/>
            </w:tcMar>
            <w:hideMark/>
          </w:tcPr>
          <w:p w14:paraId="1CD016C4" w14:textId="17CF46F2" w:rsidR="007D1EDC" w:rsidRPr="007D1EDC" w:rsidRDefault="007D1EDC" w:rsidP="007D1EDC">
            <w:pPr>
              <w:jc w:val="right"/>
              <w:rPr>
                <w:rFonts w:ascii="Arial Narrow" w:hAnsi="Arial Narrow" w:cs="Calibri"/>
                <w:sz w:val="20"/>
                <w:szCs w:val="20"/>
                <w:lang w:val="en-GB" w:eastAsia="en-GB"/>
              </w:rPr>
            </w:pPr>
            <w:r w:rsidRPr="007D1EDC">
              <w:rPr>
                <w:rFonts w:ascii="Arial Narrow" w:hAnsi="Arial Narrow"/>
                <w:sz w:val="20"/>
              </w:rPr>
              <w:t>9,404 t</w:t>
            </w:r>
          </w:p>
        </w:tc>
      </w:tr>
    </w:tbl>
    <w:p w14:paraId="664CA03F" w14:textId="77777777" w:rsidR="007D1EDC" w:rsidRPr="007D1EDC" w:rsidRDefault="007D1EDC" w:rsidP="007D1EDC">
      <w:pPr>
        <w:rPr>
          <w:rFonts w:ascii="Arial Narrow" w:eastAsia="Calibri" w:hAnsi="Arial Narrow"/>
          <w:sz w:val="22"/>
          <w:szCs w:val="22"/>
          <w:lang w:val="en-GB"/>
        </w:rPr>
      </w:pPr>
    </w:p>
    <w:p w14:paraId="24AC7511" w14:textId="77777777" w:rsidR="007D1EDC" w:rsidRPr="007D1EDC" w:rsidRDefault="007D1EDC" w:rsidP="007D1EDC">
      <w:pPr>
        <w:suppressAutoHyphens/>
        <w:rPr>
          <w:rFonts w:ascii="Arial Narrow" w:eastAsia="Calibri" w:hAnsi="Arial Narrow" w:cs="Calibri"/>
          <w:b/>
          <w:bCs/>
          <w:color w:val="1F3864" w:themeColor="accent1" w:themeShade="80"/>
          <w:sz w:val="22"/>
          <w:szCs w:val="22"/>
        </w:rPr>
      </w:pPr>
      <w:bookmarkStart w:id="649" w:name="_Toc190929305"/>
      <w:r w:rsidRPr="007D1EDC">
        <w:rPr>
          <w:rFonts w:ascii="Arial Narrow" w:eastAsia="Calibri" w:hAnsi="Arial Narrow" w:cs="Calibri"/>
          <w:b/>
          <w:bCs/>
          <w:color w:val="1F3864" w:themeColor="accent1" w:themeShade="80"/>
          <w:sz w:val="22"/>
          <w:szCs w:val="22"/>
        </w:rPr>
        <w:t>Kostot e investimit në deponi</w:t>
      </w:r>
      <w:bookmarkEnd w:id="649"/>
    </w:p>
    <w:p w14:paraId="0713E166" w14:textId="77777777" w:rsidR="007D1EDC" w:rsidRPr="002E16E2" w:rsidRDefault="007D1EDC" w:rsidP="007D1EDC">
      <w:pPr>
        <w:rPr>
          <w:rFonts w:ascii="Arial Narrow" w:eastAsia="Calibri" w:hAnsi="Arial Narrow" w:cs="Calibri"/>
          <w:sz w:val="22"/>
          <w:szCs w:val="22"/>
        </w:rPr>
      </w:pPr>
    </w:p>
    <w:p w14:paraId="47646D52" w14:textId="77777777" w:rsidR="002E16E2" w:rsidRPr="002E16E2" w:rsidRDefault="002E16E2" w:rsidP="002E16E2">
      <w:pPr>
        <w:rPr>
          <w:rFonts w:ascii="Arial Narrow" w:hAnsi="Arial Narrow"/>
          <w:sz w:val="22"/>
          <w:szCs w:val="22"/>
        </w:rPr>
      </w:pPr>
      <w:r w:rsidRPr="002E16E2">
        <w:rPr>
          <w:rFonts w:ascii="Arial Narrow" w:eastAsia="Calibri" w:hAnsi="Arial Narrow" w:cs="Calibri"/>
          <w:sz w:val="22"/>
          <w:szCs w:val="22"/>
        </w:rPr>
        <w:t>Deponitë zhvillohen në faza. Financimi me grant (i pjesshëm) pritet vetëm për investimin fillestar – infrastrukturën e përgjithshme, qelinë e parë dhe pajisjet.</w:t>
      </w:r>
      <w:r w:rsidRPr="002E16E2">
        <w:rPr>
          <w:rFonts w:ascii="Arial Narrow" w:hAnsi="Arial Narrow"/>
          <w:sz w:val="22"/>
          <w:szCs w:val="22"/>
        </w:rPr>
        <w:t xml:space="preserve"> </w:t>
      </w:r>
    </w:p>
    <w:p w14:paraId="72C2CC0F" w14:textId="77777777" w:rsidR="002E16E2" w:rsidRPr="002E16E2" w:rsidRDefault="002E16E2" w:rsidP="002E16E2">
      <w:pPr>
        <w:rPr>
          <w:rFonts w:ascii="Arial Narrow" w:hAnsi="Arial Narrow"/>
          <w:sz w:val="22"/>
          <w:szCs w:val="22"/>
        </w:rPr>
      </w:pPr>
    </w:p>
    <w:p w14:paraId="361B6385" w14:textId="77777777" w:rsidR="002E16E2" w:rsidRPr="002E16E2" w:rsidRDefault="002E16E2" w:rsidP="002E16E2">
      <w:pPr>
        <w:rPr>
          <w:rFonts w:ascii="Arial Narrow" w:eastAsia="Calibri" w:hAnsi="Arial Narrow" w:cs="Calibri"/>
          <w:sz w:val="22"/>
          <w:szCs w:val="22"/>
        </w:rPr>
      </w:pPr>
      <w:r w:rsidRPr="002E16E2">
        <w:rPr>
          <w:rFonts w:ascii="Arial Narrow" w:eastAsia="Calibri" w:hAnsi="Arial Narrow" w:cs="Calibri"/>
          <w:sz w:val="22"/>
          <w:szCs w:val="22"/>
        </w:rPr>
        <w:t>Zhvillimi i qelive të ardhshme, kostot e mbylljes pas mbushjes së qelive, zëvendësimi i pajisjeve të amortizuara si dhe funksionimi i duhur i deponisë në përputhje me lejet do të mbulohen nga tarifa e portës së deponisë e përcaktuar për ton mbeturina të deponuara.</w:t>
      </w:r>
    </w:p>
    <w:p w14:paraId="53C5B9C2" w14:textId="77777777" w:rsidR="002E16E2" w:rsidRPr="002E16E2" w:rsidRDefault="002E16E2" w:rsidP="002E16E2">
      <w:pPr>
        <w:rPr>
          <w:rFonts w:ascii="Arial Narrow" w:eastAsia="Calibri" w:hAnsi="Arial Narrow" w:cs="Calibri"/>
          <w:sz w:val="22"/>
          <w:szCs w:val="22"/>
        </w:rPr>
      </w:pPr>
    </w:p>
    <w:p w14:paraId="63743C83" w14:textId="77777777" w:rsidR="002E16E2" w:rsidRPr="002E16E2" w:rsidRDefault="002E16E2" w:rsidP="002E16E2">
      <w:pPr>
        <w:rPr>
          <w:rFonts w:ascii="Arial Narrow" w:eastAsia="Calibri" w:hAnsi="Arial Narrow" w:cs="Calibri"/>
          <w:sz w:val="22"/>
          <w:szCs w:val="22"/>
        </w:rPr>
      </w:pPr>
      <w:r w:rsidRPr="002E16E2">
        <w:rPr>
          <w:rFonts w:ascii="Arial Narrow" w:eastAsia="Calibri" w:hAnsi="Arial Narrow" w:cs="Calibri"/>
          <w:sz w:val="22"/>
          <w:szCs w:val="22"/>
        </w:rPr>
        <w:t>Përfundimi i studimit të detajuar të fizibilitetit dhe kostos së detajuar pritet në vitin 2025.</w:t>
      </w:r>
    </w:p>
    <w:p w14:paraId="7D426326" w14:textId="77777777" w:rsidR="002E16E2" w:rsidRPr="002E16E2" w:rsidRDefault="002E16E2" w:rsidP="002E16E2">
      <w:pPr>
        <w:rPr>
          <w:rFonts w:ascii="Arial Narrow" w:eastAsia="Calibri" w:hAnsi="Arial Narrow" w:cs="Calibri"/>
          <w:b/>
          <w:bCs/>
          <w:sz w:val="22"/>
          <w:szCs w:val="22"/>
        </w:rPr>
      </w:pPr>
    </w:p>
    <w:p w14:paraId="76E2A8C7" w14:textId="6D25897A" w:rsidR="002E16E2" w:rsidRPr="002E16E2" w:rsidRDefault="002E16E2" w:rsidP="002E16E2">
      <w:pPr>
        <w:rPr>
          <w:rFonts w:ascii="Arial Narrow" w:eastAsia="Calibri" w:hAnsi="Arial Narrow" w:cs="Calibri"/>
          <w:sz w:val="22"/>
          <w:szCs w:val="22"/>
        </w:rPr>
      </w:pPr>
      <w:r w:rsidRPr="002E16E2">
        <w:rPr>
          <w:rFonts w:ascii="Arial Narrow" w:eastAsia="Calibri" w:hAnsi="Arial Narrow" w:cs="Calibri"/>
          <w:sz w:val="22"/>
          <w:szCs w:val="22"/>
        </w:rPr>
        <w:t>Vlerësimet këtu përfshihen me supozimin se qelia e parë do të ndërtohet për 260,000 ton</w:t>
      </w:r>
      <w:r>
        <w:rPr>
          <w:rFonts w:ascii="Arial Narrow" w:eastAsia="Calibri" w:hAnsi="Arial Narrow" w:cs="Calibri"/>
          <w:sz w:val="22"/>
          <w:szCs w:val="22"/>
        </w:rPr>
        <w:t>ë</w:t>
      </w:r>
      <w:r w:rsidRPr="002E16E2">
        <w:rPr>
          <w:rFonts w:ascii="Arial Narrow" w:eastAsia="Calibri" w:hAnsi="Arial Narrow" w:cs="Calibri"/>
          <w:sz w:val="22"/>
          <w:szCs w:val="22"/>
        </w:rPr>
        <w:t xml:space="preserve"> mbeturina, për 5 vjet. Vlerësimet paraprake për ndërtimin e deponisë rajonale janë paraqitur në tabelën e mëposhtme.</w:t>
      </w:r>
    </w:p>
    <w:p w14:paraId="55A71B1A" w14:textId="77777777" w:rsidR="007D1EDC" w:rsidRPr="009F5CA1" w:rsidRDefault="007D1EDC" w:rsidP="007D1EDC">
      <w:pPr>
        <w:jc w:val="both"/>
        <w:rPr>
          <w:rFonts w:ascii="Arial Narrow" w:eastAsia="Calibri" w:hAnsi="Arial Narrow" w:cs="Calibri"/>
          <w:color w:val="000000" w:themeColor="text1"/>
          <w:sz w:val="22"/>
          <w:szCs w:val="22"/>
        </w:rPr>
      </w:pPr>
    </w:p>
    <w:p w14:paraId="06C799FA" w14:textId="72FB4323" w:rsidR="007D1EDC" w:rsidRPr="007D1EDC" w:rsidRDefault="007D1EDC" w:rsidP="007D1EDC">
      <w:pPr>
        <w:suppressAutoHyphens/>
        <w:rPr>
          <w:rFonts w:ascii="Arial Narrow" w:eastAsia="Calibri" w:hAnsi="Arial Narrow" w:cs="Calibri"/>
          <w:color w:val="1F497D"/>
          <w:sz w:val="20"/>
          <w:szCs w:val="20"/>
        </w:rPr>
      </w:pPr>
      <w:bookmarkStart w:id="650" w:name="_Toc190966788"/>
      <w:bookmarkStart w:id="651" w:name="_Toc197472285"/>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100.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Vlerësimet e kostove fillestare të investimit në deponi</w:t>
      </w:r>
      <w:bookmarkEnd w:id="650"/>
      <w:bookmarkEnd w:id="651"/>
    </w:p>
    <w:tbl>
      <w:tblPr>
        <w:tblW w:w="6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6"/>
        <w:gridCol w:w="1736"/>
      </w:tblGrid>
      <w:tr w:rsidR="007D1EDC" w:rsidRPr="007D1EDC" w14:paraId="13E7EAA9" w14:textId="77777777" w:rsidTr="00D03949">
        <w:trPr>
          <w:trHeight w:val="264"/>
        </w:trPr>
        <w:tc>
          <w:tcPr>
            <w:tcW w:w="4916" w:type="dxa"/>
            <w:shd w:val="clear" w:color="auto" w:fill="365F91"/>
            <w:noWrap/>
            <w:vAlign w:val="bottom"/>
          </w:tcPr>
          <w:p w14:paraId="326AC405" w14:textId="7EBE76F5" w:rsidR="007D1EDC" w:rsidRPr="007D1EDC" w:rsidRDefault="002E16E2" w:rsidP="007D1EDC">
            <w:pPr>
              <w:rPr>
                <w:rFonts w:ascii="Arial Narrow" w:hAnsi="Arial Narrow"/>
                <w:b/>
                <w:bCs/>
                <w:color w:val="FFFFFF" w:themeColor="background1"/>
                <w:sz w:val="20"/>
                <w:szCs w:val="20"/>
              </w:rPr>
            </w:pPr>
            <w:r>
              <w:rPr>
                <w:rFonts w:ascii="Arial Narrow" w:hAnsi="Arial Narrow"/>
                <w:b/>
                <w:bCs/>
                <w:color w:val="FFFFFF" w:themeColor="background1"/>
                <w:sz w:val="20"/>
                <w:szCs w:val="20"/>
              </w:rPr>
              <w:t>Përbërësit e</w:t>
            </w:r>
            <w:r w:rsidR="007D1EDC" w:rsidRPr="007D1EDC">
              <w:rPr>
                <w:rFonts w:ascii="Arial Narrow" w:hAnsi="Arial Narrow"/>
                <w:b/>
                <w:bCs/>
                <w:color w:val="FFFFFF" w:themeColor="background1"/>
                <w:sz w:val="20"/>
                <w:szCs w:val="20"/>
              </w:rPr>
              <w:t xml:space="preserve"> kostos</w:t>
            </w:r>
          </w:p>
        </w:tc>
        <w:tc>
          <w:tcPr>
            <w:tcW w:w="1736" w:type="dxa"/>
            <w:shd w:val="clear" w:color="auto" w:fill="365F91"/>
            <w:noWrap/>
            <w:vAlign w:val="bottom"/>
          </w:tcPr>
          <w:p w14:paraId="44EEB022" w14:textId="77777777" w:rsidR="007D1EDC" w:rsidRPr="007D1EDC" w:rsidRDefault="007D1EDC" w:rsidP="007D1EDC">
            <w:pPr>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 xml:space="preserve">Vlera, mijë </w:t>
            </w:r>
            <w:r w:rsidRPr="007D1EDC">
              <w:rPr>
                <w:rFonts w:ascii="Calibri" w:hAnsi="Calibri" w:cs="Calibri"/>
                <w:b/>
                <w:bCs/>
                <w:color w:val="FFFFFF" w:themeColor="background1"/>
                <w:sz w:val="20"/>
                <w:szCs w:val="20"/>
              </w:rPr>
              <w:t>€</w:t>
            </w:r>
          </w:p>
        </w:tc>
      </w:tr>
      <w:tr w:rsidR="002E16E2" w:rsidRPr="007D1EDC" w14:paraId="117D5579" w14:textId="77777777" w:rsidTr="00D03949">
        <w:trPr>
          <w:trHeight w:val="264"/>
        </w:trPr>
        <w:tc>
          <w:tcPr>
            <w:tcW w:w="4916" w:type="dxa"/>
            <w:shd w:val="clear" w:color="auto" w:fill="auto"/>
            <w:noWrap/>
            <w:vAlign w:val="bottom"/>
            <w:hideMark/>
          </w:tcPr>
          <w:p w14:paraId="432214DC" w14:textId="7B38A6F3" w:rsidR="002E16E2" w:rsidRPr="002E16E2" w:rsidRDefault="002E16E2" w:rsidP="002E16E2">
            <w:pPr>
              <w:rPr>
                <w:rFonts w:ascii="Arial Narrow" w:hAnsi="Arial Narrow"/>
                <w:color w:val="000000"/>
                <w:sz w:val="20"/>
                <w:szCs w:val="20"/>
              </w:rPr>
            </w:pPr>
            <w:r w:rsidRPr="002E16E2">
              <w:rPr>
                <w:rFonts w:ascii="Arial Narrow" w:hAnsi="Arial Narrow"/>
                <w:color w:val="000000"/>
                <w:sz w:val="20"/>
                <w:szCs w:val="20"/>
              </w:rPr>
              <w:t>Punime ndërtimore civile dhe infrastruktura e përbashkët</w:t>
            </w:r>
          </w:p>
        </w:tc>
        <w:tc>
          <w:tcPr>
            <w:tcW w:w="1736" w:type="dxa"/>
            <w:shd w:val="clear" w:color="auto" w:fill="auto"/>
            <w:noWrap/>
            <w:vAlign w:val="bottom"/>
            <w:hideMark/>
          </w:tcPr>
          <w:p w14:paraId="0D870FFF" w14:textId="77777777" w:rsidR="002E16E2" w:rsidRPr="007D1EDC" w:rsidRDefault="002E16E2" w:rsidP="002E16E2">
            <w:pPr>
              <w:rPr>
                <w:rFonts w:ascii="Arial Narrow" w:hAnsi="Arial Narrow"/>
                <w:color w:val="000000"/>
                <w:sz w:val="20"/>
                <w:szCs w:val="20"/>
              </w:rPr>
            </w:pPr>
            <w:r w:rsidRPr="007D1EDC">
              <w:rPr>
                <w:rFonts w:ascii="Arial Narrow" w:hAnsi="Arial Narrow"/>
                <w:color w:val="000000"/>
                <w:sz w:val="20"/>
                <w:szCs w:val="20"/>
              </w:rPr>
              <w:t>2,433</w:t>
            </w:r>
          </w:p>
        </w:tc>
      </w:tr>
      <w:tr w:rsidR="002E16E2" w:rsidRPr="007D1EDC" w14:paraId="68DDC07B" w14:textId="77777777" w:rsidTr="00D03949">
        <w:trPr>
          <w:trHeight w:val="264"/>
        </w:trPr>
        <w:tc>
          <w:tcPr>
            <w:tcW w:w="4916" w:type="dxa"/>
            <w:shd w:val="clear" w:color="auto" w:fill="auto"/>
            <w:noWrap/>
            <w:vAlign w:val="bottom"/>
            <w:hideMark/>
          </w:tcPr>
          <w:p w14:paraId="1044C067" w14:textId="3CA94616" w:rsidR="002E16E2" w:rsidRPr="002E16E2" w:rsidRDefault="002E16E2" w:rsidP="002E16E2">
            <w:pPr>
              <w:rPr>
                <w:rFonts w:ascii="Arial Narrow" w:hAnsi="Arial Narrow"/>
                <w:color w:val="000000"/>
                <w:sz w:val="20"/>
                <w:szCs w:val="20"/>
              </w:rPr>
            </w:pPr>
            <w:r w:rsidRPr="002E16E2">
              <w:rPr>
                <w:rFonts w:ascii="Arial Narrow" w:hAnsi="Arial Narrow"/>
                <w:color w:val="000000"/>
                <w:sz w:val="20"/>
                <w:szCs w:val="20"/>
              </w:rPr>
              <w:t>Punimet civile Qelia 1</w:t>
            </w:r>
          </w:p>
        </w:tc>
        <w:tc>
          <w:tcPr>
            <w:tcW w:w="1736" w:type="dxa"/>
            <w:shd w:val="clear" w:color="auto" w:fill="auto"/>
            <w:noWrap/>
            <w:vAlign w:val="bottom"/>
            <w:hideMark/>
          </w:tcPr>
          <w:p w14:paraId="3895E0CC" w14:textId="77777777" w:rsidR="002E16E2" w:rsidRPr="007D1EDC" w:rsidRDefault="002E16E2" w:rsidP="002E16E2">
            <w:pPr>
              <w:rPr>
                <w:rFonts w:ascii="Arial Narrow" w:hAnsi="Arial Narrow"/>
                <w:color w:val="000000"/>
                <w:sz w:val="20"/>
                <w:szCs w:val="20"/>
              </w:rPr>
            </w:pPr>
            <w:r w:rsidRPr="007D1EDC">
              <w:rPr>
                <w:rFonts w:ascii="Arial Narrow" w:hAnsi="Arial Narrow"/>
                <w:color w:val="000000"/>
                <w:sz w:val="20"/>
                <w:szCs w:val="20"/>
              </w:rPr>
              <w:t>2,979</w:t>
            </w:r>
          </w:p>
        </w:tc>
      </w:tr>
      <w:tr w:rsidR="002E16E2" w:rsidRPr="007D1EDC" w14:paraId="2E852053" w14:textId="77777777" w:rsidTr="00D03949">
        <w:trPr>
          <w:trHeight w:val="264"/>
        </w:trPr>
        <w:tc>
          <w:tcPr>
            <w:tcW w:w="4916" w:type="dxa"/>
            <w:shd w:val="clear" w:color="auto" w:fill="auto"/>
            <w:noWrap/>
            <w:vAlign w:val="bottom"/>
            <w:hideMark/>
          </w:tcPr>
          <w:p w14:paraId="1E2E2EBD" w14:textId="26FEDC7F" w:rsidR="002E16E2" w:rsidRPr="002E16E2" w:rsidRDefault="002E16E2" w:rsidP="002E16E2">
            <w:pPr>
              <w:rPr>
                <w:rFonts w:ascii="Arial Narrow" w:hAnsi="Arial Narrow"/>
                <w:color w:val="000000"/>
                <w:sz w:val="20"/>
                <w:szCs w:val="20"/>
              </w:rPr>
            </w:pPr>
            <w:r w:rsidRPr="002E16E2">
              <w:rPr>
                <w:rFonts w:ascii="Arial Narrow" w:hAnsi="Arial Narrow"/>
                <w:color w:val="000000"/>
                <w:sz w:val="20"/>
                <w:szCs w:val="20"/>
              </w:rPr>
              <w:t>Mekanike</w:t>
            </w:r>
          </w:p>
        </w:tc>
        <w:tc>
          <w:tcPr>
            <w:tcW w:w="1736" w:type="dxa"/>
            <w:shd w:val="clear" w:color="auto" w:fill="auto"/>
            <w:noWrap/>
            <w:vAlign w:val="bottom"/>
            <w:hideMark/>
          </w:tcPr>
          <w:p w14:paraId="6CC3CC65" w14:textId="77777777" w:rsidR="002E16E2" w:rsidRPr="007D1EDC" w:rsidRDefault="002E16E2" w:rsidP="002E16E2">
            <w:pPr>
              <w:rPr>
                <w:rFonts w:ascii="Arial Narrow" w:hAnsi="Arial Narrow"/>
                <w:color w:val="000000"/>
                <w:sz w:val="20"/>
                <w:szCs w:val="20"/>
              </w:rPr>
            </w:pPr>
            <w:r w:rsidRPr="007D1EDC">
              <w:rPr>
                <w:rFonts w:ascii="Arial Narrow" w:hAnsi="Arial Narrow"/>
                <w:color w:val="000000"/>
                <w:sz w:val="20"/>
                <w:szCs w:val="20"/>
              </w:rPr>
              <w:t>2,864</w:t>
            </w:r>
          </w:p>
        </w:tc>
      </w:tr>
      <w:tr w:rsidR="002E16E2" w:rsidRPr="007D1EDC" w14:paraId="174FF53D" w14:textId="77777777" w:rsidTr="00D03949">
        <w:trPr>
          <w:trHeight w:val="264"/>
        </w:trPr>
        <w:tc>
          <w:tcPr>
            <w:tcW w:w="4916" w:type="dxa"/>
            <w:shd w:val="clear" w:color="auto" w:fill="auto"/>
            <w:noWrap/>
            <w:vAlign w:val="bottom"/>
            <w:hideMark/>
          </w:tcPr>
          <w:p w14:paraId="4435DDB4" w14:textId="17A05071" w:rsidR="002E16E2" w:rsidRPr="002E16E2" w:rsidRDefault="002E16E2" w:rsidP="002E16E2">
            <w:pPr>
              <w:rPr>
                <w:rFonts w:ascii="Arial Narrow" w:hAnsi="Arial Narrow"/>
                <w:color w:val="000000"/>
                <w:sz w:val="20"/>
                <w:szCs w:val="20"/>
              </w:rPr>
            </w:pPr>
            <w:r w:rsidRPr="002E16E2">
              <w:rPr>
                <w:rFonts w:ascii="Arial Narrow" w:hAnsi="Arial Narrow"/>
                <w:color w:val="000000"/>
                <w:sz w:val="20"/>
                <w:szCs w:val="20"/>
              </w:rPr>
              <w:t>Automjetet</w:t>
            </w:r>
          </w:p>
        </w:tc>
        <w:tc>
          <w:tcPr>
            <w:tcW w:w="1736" w:type="dxa"/>
            <w:shd w:val="clear" w:color="auto" w:fill="auto"/>
            <w:noWrap/>
            <w:vAlign w:val="bottom"/>
            <w:hideMark/>
          </w:tcPr>
          <w:p w14:paraId="61871C27" w14:textId="77777777" w:rsidR="002E16E2" w:rsidRPr="007D1EDC" w:rsidRDefault="002E16E2" w:rsidP="002E16E2">
            <w:pPr>
              <w:rPr>
                <w:rFonts w:ascii="Arial Narrow" w:hAnsi="Arial Narrow"/>
                <w:color w:val="000000"/>
                <w:sz w:val="20"/>
                <w:szCs w:val="20"/>
              </w:rPr>
            </w:pPr>
            <w:r w:rsidRPr="007D1EDC">
              <w:rPr>
                <w:rFonts w:ascii="Arial Narrow" w:hAnsi="Arial Narrow"/>
                <w:color w:val="000000"/>
                <w:sz w:val="20"/>
                <w:szCs w:val="20"/>
              </w:rPr>
              <w:t>1,972</w:t>
            </w:r>
          </w:p>
        </w:tc>
      </w:tr>
      <w:tr w:rsidR="002E16E2" w:rsidRPr="007D1EDC" w14:paraId="423D4092" w14:textId="77777777" w:rsidTr="00D03949">
        <w:trPr>
          <w:trHeight w:val="264"/>
        </w:trPr>
        <w:tc>
          <w:tcPr>
            <w:tcW w:w="4916" w:type="dxa"/>
            <w:shd w:val="clear" w:color="auto" w:fill="auto"/>
            <w:noWrap/>
            <w:vAlign w:val="bottom"/>
            <w:hideMark/>
          </w:tcPr>
          <w:p w14:paraId="717FDC4E" w14:textId="72C5D7E0" w:rsidR="002E16E2" w:rsidRPr="002E16E2" w:rsidRDefault="002E16E2" w:rsidP="002E16E2">
            <w:pPr>
              <w:rPr>
                <w:rFonts w:ascii="Arial Narrow" w:hAnsi="Arial Narrow"/>
                <w:color w:val="000000"/>
                <w:sz w:val="20"/>
                <w:szCs w:val="20"/>
              </w:rPr>
            </w:pPr>
            <w:r w:rsidRPr="002E16E2">
              <w:rPr>
                <w:rFonts w:ascii="Arial Narrow" w:hAnsi="Arial Narrow"/>
                <w:color w:val="000000"/>
                <w:sz w:val="20"/>
                <w:szCs w:val="20"/>
              </w:rPr>
              <w:lastRenderedPageBreak/>
              <w:t>Kostot totale të investimit</w:t>
            </w:r>
          </w:p>
        </w:tc>
        <w:tc>
          <w:tcPr>
            <w:tcW w:w="1736" w:type="dxa"/>
            <w:shd w:val="clear" w:color="auto" w:fill="auto"/>
            <w:noWrap/>
            <w:vAlign w:val="bottom"/>
            <w:hideMark/>
          </w:tcPr>
          <w:p w14:paraId="5133908D" w14:textId="77777777" w:rsidR="002E16E2" w:rsidRPr="007D1EDC" w:rsidRDefault="002E16E2" w:rsidP="002E16E2">
            <w:pPr>
              <w:rPr>
                <w:rFonts w:ascii="Arial Narrow" w:hAnsi="Arial Narrow"/>
                <w:color w:val="000000"/>
                <w:sz w:val="20"/>
                <w:szCs w:val="20"/>
              </w:rPr>
            </w:pPr>
            <w:r w:rsidRPr="007D1EDC">
              <w:rPr>
                <w:rFonts w:ascii="Arial Narrow" w:hAnsi="Arial Narrow"/>
                <w:color w:val="000000"/>
                <w:sz w:val="20"/>
                <w:szCs w:val="20"/>
              </w:rPr>
              <w:t>10,248</w:t>
            </w:r>
          </w:p>
        </w:tc>
      </w:tr>
    </w:tbl>
    <w:p w14:paraId="42E30897" w14:textId="77777777" w:rsidR="007D1EDC" w:rsidRPr="002E16E2" w:rsidRDefault="007D1EDC" w:rsidP="007D1EDC">
      <w:pPr>
        <w:jc w:val="both"/>
        <w:rPr>
          <w:rFonts w:ascii="Arial Narrow" w:eastAsia="Calibri" w:hAnsi="Arial Narrow" w:cs="Calibri"/>
          <w:color w:val="000000" w:themeColor="text1"/>
          <w:sz w:val="22"/>
          <w:szCs w:val="22"/>
          <w:lang w:val="en-GB"/>
        </w:rPr>
      </w:pPr>
    </w:p>
    <w:p w14:paraId="3A1547E0" w14:textId="77777777" w:rsidR="002E16E2" w:rsidRPr="002E16E2" w:rsidRDefault="002E16E2" w:rsidP="002E16E2">
      <w:pPr>
        <w:jc w:val="both"/>
        <w:rPr>
          <w:rFonts w:ascii="Arial Narrow" w:eastAsia="Calibri" w:hAnsi="Arial Narrow" w:cs="Calibri"/>
          <w:color w:val="000000" w:themeColor="text1"/>
          <w:sz w:val="22"/>
          <w:szCs w:val="22"/>
          <w:lang w:val="en-GB"/>
        </w:rPr>
      </w:pPr>
      <w:proofErr w:type="spellStart"/>
      <w:r w:rsidRPr="002E16E2">
        <w:rPr>
          <w:rFonts w:ascii="Arial Narrow" w:eastAsia="Calibri" w:hAnsi="Arial Narrow" w:cs="Calibri"/>
          <w:color w:val="000000" w:themeColor="text1"/>
          <w:sz w:val="22"/>
          <w:szCs w:val="22"/>
          <w:lang w:val="en-GB"/>
        </w:rPr>
        <w:t>Kostot</w:t>
      </w:r>
      <w:proofErr w:type="spellEnd"/>
      <w:r w:rsidRPr="002E16E2">
        <w:rPr>
          <w:rFonts w:ascii="Arial Narrow" w:eastAsia="Calibri" w:hAnsi="Arial Narrow" w:cs="Calibri"/>
          <w:color w:val="000000" w:themeColor="text1"/>
          <w:sz w:val="22"/>
          <w:szCs w:val="22"/>
          <w:lang w:val="en-GB"/>
        </w:rPr>
        <w:t xml:space="preserve"> e </w:t>
      </w:r>
      <w:proofErr w:type="spellStart"/>
      <w:r w:rsidRPr="002E16E2">
        <w:rPr>
          <w:rFonts w:ascii="Arial Narrow" w:eastAsia="Calibri" w:hAnsi="Arial Narrow" w:cs="Calibri"/>
          <w:color w:val="000000" w:themeColor="text1"/>
          <w:sz w:val="22"/>
          <w:szCs w:val="22"/>
          <w:lang w:val="en-GB"/>
        </w:rPr>
        <w:t>mësipërme</w:t>
      </w:r>
      <w:proofErr w:type="spellEnd"/>
      <w:r w:rsidRPr="002E16E2">
        <w:rPr>
          <w:rFonts w:ascii="Arial Narrow" w:eastAsia="Calibri" w:hAnsi="Arial Narrow" w:cs="Calibri"/>
          <w:color w:val="000000" w:themeColor="text1"/>
          <w:sz w:val="22"/>
          <w:szCs w:val="22"/>
          <w:lang w:val="en-GB"/>
        </w:rPr>
        <w:t xml:space="preserve"> </w:t>
      </w:r>
      <w:proofErr w:type="spellStart"/>
      <w:r w:rsidRPr="002E16E2">
        <w:rPr>
          <w:rFonts w:ascii="Arial Narrow" w:eastAsia="Calibri" w:hAnsi="Arial Narrow" w:cs="Calibri"/>
          <w:color w:val="000000" w:themeColor="text1"/>
          <w:sz w:val="22"/>
          <w:szCs w:val="22"/>
          <w:lang w:val="en-GB"/>
        </w:rPr>
        <w:t>nuk</w:t>
      </w:r>
      <w:proofErr w:type="spellEnd"/>
      <w:r w:rsidRPr="002E16E2">
        <w:rPr>
          <w:rFonts w:ascii="Arial Narrow" w:eastAsia="Calibri" w:hAnsi="Arial Narrow" w:cs="Calibri"/>
          <w:color w:val="000000" w:themeColor="text1"/>
          <w:sz w:val="22"/>
          <w:szCs w:val="22"/>
          <w:lang w:val="en-GB"/>
        </w:rPr>
        <w:t xml:space="preserve"> </w:t>
      </w:r>
      <w:proofErr w:type="spellStart"/>
      <w:r w:rsidRPr="002E16E2">
        <w:rPr>
          <w:rFonts w:ascii="Arial Narrow" w:eastAsia="Calibri" w:hAnsi="Arial Narrow" w:cs="Calibri"/>
          <w:color w:val="000000" w:themeColor="text1"/>
          <w:sz w:val="22"/>
          <w:szCs w:val="22"/>
          <w:lang w:val="en-GB"/>
        </w:rPr>
        <w:t>përfshijnë</w:t>
      </w:r>
      <w:proofErr w:type="spellEnd"/>
      <w:r w:rsidRPr="002E16E2">
        <w:rPr>
          <w:rFonts w:ascii="Arial Narrow" w:eastAsia="Calibri" w:hAnsi="Arial Narrow" w:cs="Calibri"/>
          <w:color w:val="000000" w:themeColor="text1"/>
          <w:sz w:val="22"/>
          <w:szCs w:val="22"/>
          <w:lang w:val="en-GB"/>
        </w:rPr>
        <w:t xml:space="preserve"> </w:t>
      </w:r>
      <w:proofErr w:type="spellStart"/>
      <w:r w:rsidRPr="002E16E2">
        <w:rPr>
          <w:rFonts w:ascii="Arial Narrow" w:eastAsia="Calibri" w:hAnsi="Arial Narrow" w:cs="Calibri"/>
          <w:color w:val="000000" w:themeColor="text1"/>
          <w:sz w:val="22"/>
          <w:szCs w:val="22"/>
          <w:lang w:val="en-GB"/>
        </w:rPr>
        <w:t>mbylljen</w:t>
      </w:r>
      <w:proofErr w:type="spellEnd"/>
      <w:r w:rsidRPr="002E16E2">
        <w:rPr>
          <w:rFonts w:ascii="Arial Narrow" w:eastAsia="Calibri" w:hAnsi="Arial Narrow" w:cs="Calibri"/>
          <w:color w:val="000000" w:themeColor="text1"/>
          <w:sz w:val="22"/>
          <w:szCs w:val="22"/>
          <w:lang w:val="en-GB"/>
        </w:rPr>
        <w:t xml:space="preserve"> e </w:t>
      </w:r>
      <w:proofErr w:type="spellStart"/>
      <w:r w:rsidRPr="002E16E2">
        <w:rPr>
          <w:rFonts w:ascii="Arial Narrow" w:eastAsia="Calibri" w:hAnsi="Arial Narrow" w:cs="Calibri"/>
          <w:color w:val="000000" w:themeColor="text1"/>
          <w:sz w:val="22"/>
          <w:szCs w:val="22"/>
          <w:lang w:val="en-GB"/>
        </w:rPr>
        <w:t>venddeponisë</w:t>
      </w:r>
      <w:proofErr w:type="spellEnd"/>
      <w:r w:rsidRPr="002E16E2">
        <w:rPr>
          <w:rFonts w:ascii="Arial Narrow" w:eastAsia="Calibri" w:hAnsi="Arial Narrow" w:cs="Calibri"/>
          <w:color w:val="000000" w:themeColor="text1"/>
          <w:sz w:val="22"/>
          <w:szCs w:val="22"/>
          <w:lang w:val="en-GB"/>
        </w:rPr>
        <w:t xml:space="preserve"> </w:t>
      </w:r>
      <w:proofErr w:type="spellStart"/>
      <w:r w:rsidRPr="002E16E2">
        <w:rPr>
          <w:rFonts w:ascii="Arial Narrow" w:eastAsia="Calibri" w:hAnsi="Arial Narrow" w:cs="Calibri"/>
          <w:color w:val="000000" w:themeColor="text1"/>
          <w:sz w:val="22"/>
          <w:szCs w:val="22"/>
          <w:lang w:val="en-GB"/>
        </w:rPr>
        <w:t>ekzistuese</w:t>
      </w:r>
      <w:proofErr w:type="spellEnd"/>
      <w:r w:rsidRPr="002E16E2">
        <w:rPr>
          <w:rFonts w:ascii="Arial Narrow" w:eastAsia="Calibri" w:hAnsi="Arial Narrow" w:cs="Calibri"/>
          <w:color w:val="000000" w:themeColor="text1"/>
          <w:sz w:val="22"/>
          <w:szCs w:val="22"/>
          <w:lang w:val="en-GB"/>
        </w:rPr>
        <w:t>.</w:t>
      </w:r>
    </w:p>
    <w:p w14:paraId="5D733577" w14:textId="77777777" w:rsidR="002E16E2" w:rsidRPr="002E16E2" w:rsidRDefault="002E16E2" w:rsidP="002E16E2">
      <w:pPr>
        <w:rPr>
          <w:rFonts w:ascii="Arial Narrow" w:eastAsia="Calibri" w:hAnsi="Arial Narrow" w:cs="Calibri"/>
          <w:sz w:val="22"/>
          <w:szCs w:val="22"/>
        </w:rPr>
      </w:pPr>
    </w:p>
    <w:p w14:paraId="27D6EEF3" w14:textId="77777777" w:rsidR="002E16E2" w:rsidRPr="002E16E2" w:rsidRDefault="002E16E2" w:rsidP="002E16E2">
      <w:pPr>
        <w:rPr>
          <w:rFonts w:ascii="Arial Narrow" w:eastAsia="Calibri" w:hAnsi="Arial Narrow" w:cs="Calibri"/>
          <w:sz w:val="22"/>
          <w:szCs w:val="22"/>
        </w:rPr>
      </w:pPr>
      <w:r w:rsidRPr="002E16E2">
        <w:rPr>
          <w:rFonts w:ascii="Arial Narrow" w:eastAsia="Calibri" w:hAnsi="Arial Narrow" w:cs="Calibri"/>
          <w:sz w:val="22"/>
          <w:szCs w:val="22"/>
        </w:rPr>
        <w:t>Investimi fillestar do të ofrohet si grant, me disa bashkëfinancime të zotuara nga komuna e Pejës. Mund të konsiderohet edhe kontributi i komunave të tjera.</w:t>
      </w:r>
    </w:p>
    <w:p w14:paraId="7B999626" w14:textId="77777777" w:rsidR="002E16E2" w:rsidRPr="002E16E2" w:rsidRDefault="002E16E2" w:rsidP="002E16E2">
      <w:pPr>
        <w:rPr>
          <w:rFonts w:ascii="Arial Narrow" w:eastAsia="Calibri" w:hAnsi="Arial Narrow" w:cs="Calibri"/>
          <w:sz w:val="22"/>
          <w:szCs w:val="22"/>
        </w:rPr>
      </w:pPr>
    </w:p>
    <w:p w14:paraId="4E2220A5" w14:textId="77777777" w:rsidR="002E16E2" w:rsidRPr="002E16E2" w:rsidRDefault="002E16E2" w:rsidP="002E16E2">
      <w:pPr>
        <w:rPr>
          <w:rFonts w:ascii="Arial Narrow" w:eastAsia="Calibri" w:hAnsi="Arial Narrow" w:cs="Calibri"/>
          <w:sz w:val="22"/>
          <w:szCs w:val="22"/>
        </w:rPr>
      </w:pPr>
      <w:r w:rsidRPr="002E16E2">
        <w:rPr>
          <w:rFonts w:ascii="Arial Narrow" w:eastAsia="Calibri" w:hAnsi="Arial Narrow" w:cs="Calibri"/>
          <w:sz w:val="22"/>
          <w:szCs w:val="22"/>
        </w:rPr>
        <w:t>Kostoja e ndërtimit të një qelisë të dytë për 90,000 tonë mbeturina llogaritet në 1.5 mln euro dhe është planifikuar për vitin 2031. Ndërtimi i qelisë së dytë parashikohet të financohet me hua, e cila do të shlyhet me të hyrat nga tarifa e portës së deponisë.</w:t>
      </w:r>
    </w:p>
    <w:p w14:paraId="0E4B4910" w14:textId="77777777" w:rsidR="002E16E2" w:rsidRPr="002E16E2" w:rsidRDefault="002E16E2" w:rsidP="002E16E2">
      <w:pPr>
        <w:rPr>
          <w:rFonts w:ascii="Arial Narrow" w:eastAsia="Calibri" w:hAnsi="Arial Narrow" w:cs="Calibri"/>
          <w:sz w:val="22"/>
          <w:szCs w:val="22"/>
        </w:rPr>
      </w:pPr>
    </w:p>
    <w:p w14:paraId="793EAC99" w14:textId="77777777" w:rsidR="002E16E2" w:rsidRPr="002E16E2" w:rsidRDefault="002E16E2" w:rsidP="002E16E2">
      <w:pPr>
        <w:rPr>
          <w:rFonts w:ascii="Arial Narrow" w:eastAsia="Calibri" w:hAnsi="Arial Narrow" w:cs="Calibri"/>
          <w:sz w:val="22"/>
          <w:szCs w:val="22"/>
        </w:rPr>
      </w:pPr>
      <w:r w:rsidRPr="002E16E2">
        <w:rPr>
          <w:rFonts w:ascii="Arial Narrow" w:eastAsia="Calibri" w:hAnsi="Arial Narrow" w:cs="Calibri"/>
          <w:sz w:val="22"/>
          <w:szCs w:val="22"/>
        </w:rPr>
        <w:t>Kostot e mbylljes së qelisë së parë llogariten në 894 mijë EUR, ose 3.44 EUR për ton mbeturina të deponuara (894,000 €/260,000 t). Komponenti i mbylljes së qelisë do të përfshihet në tarifën e portës që nga fillimi i funksionimit të qelisë së re.</w:t>
      </w:r>
    </w:p>
    <w:p w14:paraId="6419A8EE" w14:textId="77777777" w:rsidR="007D1EDC" w:rsidRPr="002E16E2" w:rsidRDefault="007D1EDC" w:rsidP="007D1EDC">
      <w:pPr>
        <w:rPr>
          <w:rFonts w:ascii="Arial Narrow" w:eastAsia="Calibri" w:hAnsi="Arial Narrow" w:cs="Calibri"/>
          <w:sz w:val="22"/>
          <w:szCs w:val="22"/>
        </w:rPr>
      </w:pPr>
    </w:p>
    <w:p w14:paraId="4772978A" w14:textId="386EBA77" w:rsidR="007D1EDC" w:rsidRPr="002E16E2" w:rsidRDefault="007D1EDC" w:rsidP="007D1EDC">
      <w:pPr>
        <w:suppressAutoHyphens/>
        <w:rPr>
          <w:rFonts w:ascii="Arial Narrow" w:eastAsia="Calibri" w:hAnsi="Arial Narrow" w:cs="Calibri"/>
          <w:b/>
          <w:bCs/>
          <w:color w:val="1F3864" w:themeColor="accent1" w:themeShade="80"/>
          <w:sz w:val="22"/>
          <w:szCs w:val="22"/>
        </w:rPr>
      </w:pPr>
      <w:bookmarkStart w:id="652" w:name="_Toc190929306"/>
      <w:r w:rsidRPr="002E16E2">
        <w:rPr>
          <w:rFonts w:ascii="Arial Narrow" w:eastAsia="Calibri" w:hAnsi="Arial Narrow" w:cs="Calibri"/>
          <w:b/>
          <w:bCs/>
          <w:color w:val="1F3864" w:themeColor="accent1" w:themeShade="80"/>
          <w:sz w:val="22"/>
          <w:szCs w:val="22"/>
        </w:rPr>
        <w:t>Kostot opera</w:t>
      </w:r>
      <w:r w:rsidR="002E16E2">
        <w:rPr>
          <w:rFonts w:ascii="Arial Narrow" w:eastAsia="Calibri" w:hAnsi="Arial Narrow" w:cs="Calibri"/>
          <w:b/>
          <w:bCs/>
          <w:color w:val="1F3864" w:themeColor="accent1" w:themeShade="80"/>
          <w:sz w:val="22"/>
          <w:szCs w:val="22"/>
        </w:rPr>
        <w:t xml:space="preserve">cionale </w:t>
      </w:r>
      <w:r w:rsidRPr="002E16E2">
        <w:rPr>
          <w:rFonts w:ascii="Arial Narrow" w:eastAsia="Calibri" w:hAnsi="Arial Narrow" w:cs="Calibri"/>
          <w:b/>
          <w:bCs/>
          <w:color w:val="1F3864" w:themeColor="accent1" w:themeShade="80"/>
          <w:sz w:val="22"/>
          <w:szCs w:val="22"/>
        </w:rPr>
        <w:t>të deponisë</w:t>
      </w:r>
      <w:bookmarkEnd w:id="652"/>
    </w:p>
    <w:p w14:paraId="53031F04" w14:textId="77777777" w:rsidR="002E16E2" w:rsidRPr="002E16E2" w:rsidRDefault="002E16E2" w:rsidP="002E16E2">
      <w:pPr>
        <w:rPr>
          <w:rFonts w:ascii="Arial Narrow" w:eastAsia="Calibri" w:hAnsi="Arial Narrow" w:cs="Calibri"/>
          <w:sz w:val="22"/>
          <w:szCs w:val="22"/>
        </w:rPr>
      </w:pPr>
      <w:r w:rsidRPr="002E16E2">
        <w:rPr>
          <w:rFonts w:ascii="Arial Narrow" w:eastAsia="Calibri" w:hAnsi="Arial Narrow" w:cs="Calibri"/>
          <w:sz w:val="22"/>
          <w:szCs w:val="22"/>
        </w:rPr>
        <w:t>Deponitë kanë një komponent të rëndësishëm të kostove fikse operacionale që mbeten konstante pavarësisht ndryshimit në sasinë e mbeturinave.</w:t>
      </w:r>
    </w:p>
    <w:p w14:paraId="39C9AECD" w14:textId="77777777" w:rsidR="002E16E2" w:rsidRPr="002E16E2" w:rsidRDefault="002E16E2" w:rsidP="002E16E2">
      <w:pPr>
        <w:rPr>
          <w:rFonts w:ascii="Arial Narrow" w:eastAsia="Calibri" w:hAnsi="Arial Narrow" w:cs="Calibri"/>
          <w:sz w:val="22"/>
          <w:szCs w:val="22"/>
        </w:rPr>
      </w:pPr>
    </w:p>
    <w:p w14:paraId="0943B9DB" w14:textId="77777777" w:rsidR="002E16E2" w:rsidRPr="002E16E2" w:rsidRDefault="002E16E2" w:rsidP="002E16E2">
      <w:pPr>
        <w:jc w:val="both"/>
        <w:rPr>
          <w:rFonts w:ascii="Arial Narrow" w:eastAsia="Calibri" w:hAnsi="Arial Narrow" w:cs="Calibri"/>
          <w:sz w:val="22"/>
          <w:szCs w:val="22"/>
        </w:rPr>
      </w:pPr>
      <w:r w:rsidRPr="002E16E2">
        <w:rPr>
          <w:rFonts w:ascii="Arial Narrow" w:eastAsia="Calibri" w:hAnsi="Arial Narrow" w:cs="Calibri"/>
          <w:sz w:val="22"/>
          <w:szCs w:val="22"/>
        </w:rPr>
        <w:t>Si rezultat i rikuperimit dhe përdorimit të mbeturinave, mbeturinat që shkojnë në landfill pritet të ulen nga 55,000 t në 10,000 t drejt vitit 2032, megjithatë kostoja operacionale për funksionimin e duhur nuk mund të ulet me më shumë se 50%.</w:t>
      </w:r>
    </w:p>
    <w:p w14:paraId="063DAFB3" w14:textId="77777777" w:rsidR="002E16E2" w:rsidRPr="002E16E2" w:rsidRDefault="002E16E2" w:rsidP="002E16E2">
      <w:pPr>
        <w:rPr>
          <w:rFonts w:ascii="Arial Narrow" w:eastAsia="Calibri" w:hAnsi="Arial Narrow" w:cs="Calibri"/>
          <w:sz w:val="22"/>
          <w:szCs w:val="22"/>
        </w:rPr>
      </w:pPr>
    </w:p>
    <w:p w14:paraId="078A0ECB" w14:textId="77777777" w:rsidR="002E16E2" w:rsidRPr="002E16E2" w:rsidRDefault="002E16E2" w:rsidP="002E16E2">
      <w:pPr>
        <w:jc w:val="both"/>
        <w:rPr>
          <w:rFonts w:ascii="Arial Narrow" w:eastAsia="Calibri" w:hAnsi="Arial Narrow" w:cs="Calibri"/>
          <w:sz w:val="22"/>
          <w:szCs w:val="22"/>
        </w:rPr>
      </w:pPr>
      <w:r w:rsidRPr="002E16E2">
        <w:rPr>
          <w:rFonts w:ascii="Arial Narrow" w:eastAsia="Calibri" w:hAnsi="Arial Narrow" w:cs="Calibri"/>
          <w:sz w:val="22"/>
          <w:szCs w:val="22"/>
        </w:rPr>
        <w:t>Kostot e mirëmbajtjes janë përcaktuar si 1% e kostos së ndërtimit të infrastrukturës dhe qelisë, 3% e instalimeve mekanike 15% e kostos së automjetit. Karburanti për ngjeshje dhe energjia elektrike për trajtimin e rrjedhjeve dhe gazit janë komponentët kryesorë të kostove të konsumueshme. Testet, kostoja e monitorimit të rregullt, sigurimet përfshihen në kostot administrative.</w:t>
      </w:r>
    </w:p>
    <w:p w14:paraId="0650C544" w14:textId="56662E07" w:rsidR="007D1EDC" w:rsidRPr="002E16E2" w:rsidRDefault="002E16E2" w:rsidP="002E16E2">
      <w:pPr>
        <w:rPr>
          <w:rFonts w:ascii="Arial Narrow" w:eastAsia="Calibri" w:hAnsi="Arial Narrow" w:cs="Calibri"/>
          <w:sz w:val="22"/>
          <w:szCs w:val="22"/>
        </w:rPr>
      </w:pPr>
      <w:r w:rsidRPr="002E16E2">
        <w:rPr>
          <w:rFonts w:ascii="Arial Narrow" w:eastAsia="Calibri" w:hAnsi="Arial Narrow" w:cs="Calibri"/>
          <w:sz w:val="22"/>
          <w:szCs w:val="22"/>
        </w:rPr>
        <w:t>Kostot e vlerësuara operacionale të deponisë janë paraqitur në figurën e mëposhtme</w:t>
      </w:r>
    </w:p>
    <w:p w14:paraId="05288A3B" w14:textId="77777777" w:rsidR="002E16E2" w:rsidRPr="002E16E2" w:rsidRDefault="002E16E2" w:rsidP="002E16E2">
      <w:pPr>
        <w:rPr>
          <w:rFonts w:ascii="Arial Narrow" w:eastAsia="Calibri" w:hAnsi="Arial Narrow" w:cs="Calibri"/>
          <w:sz w:val="22"/>
          <w:szCs w:val="22"/>
        </w:rPr>
      </w:pPr>
    </w:p>
    <w:p w14:paraId="63AC7E65" w14:textId="62840C5C" w:rsidR="007D1EDC" w:rsidRPr="007D1EDC" w:rsidRDefault="002E16E2" w:rsidP="007D1EDC">
      <w:pPr>
        <w:jc w:val="center"/>
        <w:rPr>
          <w:rFonts w:ascii="Arial Narrow" w:eastAsia="Calibri" w:hAnsi="Arial Narrow" w:cs="Calibri"/>
          <w:sz w:val="22"/>
          <w:szCs w:val="22"/>
        </w:rPr>
      </w:pPr>
      <w:r>
        <w:rPr>
          <w:noProof/>
        </w:rPr>
        <w:drawing>
          <wp:inline distT="0" distB="0" distL="0" distR="0" wp14:anchorId="7EDB1E0E" wp14:editId="58AE1D04">
            <wp:extent cx="4796183" cy="2730500"/>
            <wp:effectExtent l="0" t="0" r="4445" b="12700"/>
            <wp:docPr id="540093136" name="Chart 1">
              <a:extLst xmlns:a="http://schemas.openxmlformats.org/drawingml/2006/main">
                <a:ext uri="{FF2B5EF4-FFF2-40B4-BE49-F238E27FC236}">
                  <a16:creationId xmlns:a16="http://schemas.microsoft.com/office/drawing/2014/main" id="{1343884F-EB2B-4420-9AA6-79F149FC34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6B79C779" w14:textId="77777777" w:rsidR="007D1EDC" w:rsidRPr="007D1EDC" w:rsidRDefault="007D1EDC" w:rsidP="007D1EDC">
      <w:pPr>
        <w:jc w:val="center"/>
        <w:rPr>
          <w:rFonts w:ascii="Arial Narrow" w:eastAsia="Calibri" w:hAnsi="Arial Narrow" w:cs="Calibri"/>
          <w:sz w:val="16"/>
          <w:szCs w:val="16"/>
        </w:rPr>
      </w:pPr>
    </w:p>
    <w:p w14:paraId="39E6648B" w14:textId="170742DF" w:rsidR="007D1EDC" w:rsidRPr="007D1EDC" w:rsidRDefault="007D1EDC" w:rsidP="00EF0E69">
      <w:pPr>
        <w:pStyle w:val="Figure"/>
        <w:rPr>
          <w:rFonts w:eastAsia="Calibri" w:cs="Calibri"/>
          <w:sz w:val="20"/>
          <w:szCs w:val="20"/>
        </w:rPr>
      </w:pPr>
      <w:bookmarkStart w:id="653" w:name="_Toc153381625"/>
      <w:bookmarkStart w:id="654" w:name="_Toc153961090"/>
      <w:bookmarkStart w:id="655" w:name="_Toc153979618"/>
      <w:bookmarkStart w:id="656" w:name="_Toc155341068"/>
      <w:bookmarkStart w:id="657" w:name="_Toc193365359"/>
      <w:bookmarkStart w:id="658" w:name="_Toc197472343"/>
      <w:r w:rsidRPr="007D1EDC">
        <w:rPr>
          <w:rFonts w:eastAsia="Calibri" w:cs="Calibri"/>
          <w:sz w:val="20"/>
          <w:szCs w:val="20"/>
        </w:rPr>
        <w:t xml:space="preserve">Figura </w:t>
      </w:r>
      <w:r w:rsidRPr="007D1EDC">
        <w:rPr>
          <w:rFonts w:eastAsia="Calibri" w:cs="Calibri"/>
          <w:sz w:val="20"/>
          <w:szCs w:val="20"/>
        </w:rPr>
        <w:fldChar w:fldCharType="begin"/>
      </w:r>
      <w:r w:rsidRPr="007D1EDC">
        <w:rPr>
          <w:rFonts w:eastAsia="Calibri" w:cs="Calibri"/>
          <w:sz w:val="20"/>
          <w:szCs w:val="20"/>
        </w:rPr>
        <w:instrText xml:space="preserve"> SEQ Figure \* ARABIC </w:instrText>
      </w:r>
      <w:r w:rsidRPr="007D1EDC">
        <w:rPr>
          <w:rFonts w:eastAsia="Calibri" w:cs="Calibri"/>
          <w:sz w:val="20"/>
          <w:szCs w:val="20"/>
        </w:rPr>
        <w:fldChar w:fldCharType="separate"/>
      </w:r>
      <w:r w:rsidR="00C97DF3">
        <w:rPr>
          <w:rFonts w:eastAsia="Calibri" w:cs="Calibri"/>
          <w:noProof/>
          <w:sz w:val="20"/>
          <w:szCs w:val="20"/>
        </w:rPr>
        <w:t xml:space="preserve">42. </w:t>
      </w:r>
      <w:r w:rsidRPr="007D1EDC">
        <w:rPr>
          <w:rFonts w:eastAsia="Calibri" w:cs="Calibri"/>
          <w:sz w:val="20"/>
          <w:szCs w:val="20"/>
        </w:rPr>
        <w:fldChar w:fldCharType="end"/>
      </w:r>
      <w:r w:rsidRPr="007D1EDC">
        <w:rPr>
          <w:rFonts w:eastAsia="Calibri" w:cs="Calibri"/>
          <w:sz w:val="20"/>
          <w:szCs w:val="20"/>
        </w:rPr>
        <w:t>Kostot vjetore opera</w:t>
      </w:r>
      <w:r w:rsidR="002E16E2">
        <w:rPr>
          <w:rFonts w:eastAsia="Calibri" w:cs="Calibri"/>
          <w:sz w:val="20"/>
          <w:szCs w:val="20"/>
        </w:rPr>
        <w:t>cionale</w:t>
      </w:r>
      <w:r w:rsidRPr="007D1EDC">
        <w:rPr>
          <w:rFonts w:eastAsia="Calibri" w:cs="Calibri"/>
          <w:sz w:val="20"/>
          <w:szCs w:val="20"/>
        </w:rPr>
        <w:t xml:space="preserve"> </w:t>
      </w:r>
      <w:r w:rsidR="002E16E2">
        <w:rPr>
          <w:rFonts w:eastAsia="Calibri" w:cs="Calibri"/>
          <w:sz w:val="20"/>
          <w:szCs w:val="20"/>
        </w:rPr>
        <w:t>n</w:t>
      </w:r>
      <w:r w:rsidRPr="007D1EDC">
        <w:rPr>
          <w:rFonts w:eastAsia="Calibri" w:cs="Calibri"/>
          <w:sz w:val="20"/>
          <w:szCs w:val="20"/>
        </w:rPr>
        <w:t>ë deponi</w:t>
      </w:r>
      <w:r w:rsidR="002E16E2">
        <w:rPr>
          <w:rFonts w:eastAsia="Calibri" w:cs="Calibri"/>
          <w:sz w:val="20"/>
          <w:szCs w:val="20"/>
        </w:rPr>
        <w:t>n</w:t>
      </w:r>
      <w:r w:rsidRPr="007D1EDC">
        <w:rPr>
          <w:rFonts w:eastAsia="Calibri" w:cs="Calibri"/>
          <w:sz w:val="20"/>
          <w:szCs w:val="20"/>
        </w:rPr>
        <w:t>ë rajonale</w:t>
      </w:r>
      <w:bookmarkEnd w:id="653"/>
      <w:bookmarkEnd w:id="654"/>
      <w:bookmarkEnd w:id="655"/>
      <w:bookmarkEnd w:id="656"/>
      <w:bookmarkEnd w:id="657"/>
      <w:bookmarkEnd w:id="658"/>
    </w:p>
    <w:p w14:paraId="56ABFE70" w14:textId="77777777" w:rsidR="007D1EDC" w:rsidRPr="007D1EDC" w:rsidRDefault="007D1EDC" w:rsidP="007D1EDC">
      <w:pPr>
        <w:rPr>
          <w:rFonts w:ascii="Arial Narrow" w:eastAsia="Calibri" w:hAnsi="Arial Narrow" w:cs="Calibri"/>
          <w:b/>
          <w:bCs/>
          <w:sz w:val="22"/>
          <w:szCs w:val="22"/>
        </w:rPr>
      </w:pPr>
    </w:p>
    <w:p w14:paraId="00C17099" w14:textId="77777777" w:rsidR="002E16E2" w:rsidRDefault="002E16E2" w:rsidP="007D1EDC">
      <w:pPr>
        <w:suppressAutoHyphens/>
        <w:rPr>
          <w:rFonts w:ascii="Arial Narrow" w:eastAsia="Calibri" w:hAnsi="Arial Narrow" w:cs="Calibri"/>
          <w:b/>
          <w:bCs/>
          <w:color w:val="1F3864" w:themeColor="accent1" w:themeShade="80"/>
          <w:sz w:val="22"/>
          <w:szCs w:val="22"/>
        </w:rPr>
      </w:pPr>
      <w:bookmarkStart w:id="659" w:name="_Toc190929307"/>
    </w:p>
    <w:p w14:paraId="35DF7BFF" w14:textId="77777777" w:rsidR="002E16E2" w:rsidRDefault="002E16E2" w:rsidP="007D1EDC">
      <w:pPr>
        <w:suppressAutoHyphens/>
        <w:rPr>
          <w:rFonts w:ascii="Arial Narrow" w:eastAsia="Calibri" w:hAnsi="Arial Narrow" w:cs="Calibri"/>
          <w:b/>
          <w:bCs/>
          <w:color w:val="1F3864" w:themeColor="accent1" w:themeShade="80"/>
          <w:sz w:val="22"/>
          <w:szCs w:val="22"/>
        </w:rPr>
      </w:pPr>
    </w:p>
    <w:p w14:paraId="1F4CF5A4" w14:textId="0A41FC69" w:rsidR="007D1EDC" w:rsidRPr="007D1EDC" w:rsidRDefault="007D1EDC" w:rsidP="007D1EDC">
      <w:pPr>
        <w:suppressAutoHyphens/>
        <w:rPr>
          <w:rFonts w:ascii="Arial Narrow" w:eastAsia="Calibri" w:hAnsi="Arial Narrow" w:cs="Calibri"/>
          <w:b/>
          <w:bCs/>
          <w:color w:val="1F3864" w:themeColor="accent1" w:themeShade="80"/>
          <w:sz w:val="22"/>
          <w:szCs w:val="22"/>
        </w:rPr>
      </w:pPr>
      <w:r w:rsidRPr="007D1EDC">
        <w:rPr>
          <w:rFonts w:ascii="Arial Narrow" w:eastAsia="Calibri" w:hAnsi="Arial Narrow" w:cs="Calibri"/>
          <w:b/>
          <w:bCs/>
          <w:color w:val="1F3864" w:themeColor="accent1" w:themeShade="80"/>
          <w:sz w:val="22"/>
          <w:szCs w:val="22"/>
        </w:rPr>
        <w:lastRenderedPageBreak/>
        <w:t xml:space="preserve">Tarifa e </w:t>
      </w:r>
      <w:r w:rsidR="002E16E2">
        <w:rPr>
          <w:rFonts w:ascii="Arial Narrow" w:eastAsia="Calibri" w:hAnsi="Arial Narrow" w:cs="Calibri"/>
          <w:b/>
          <w:bCs/>
          <w:color w:val="1F3864" w:themeColor="accent1" w:themeShade="80"/>
          <w:sz w:val="22"/>
          <w:szCs w:val="22"/>
        </w:rPr>
        <w:t>portës</w:t>
      </w:r>
      <w:r w:rsidRPr="007D1EDC">
        <w:rPr>
          <w:rFonts w:ascii="Arial Narrow" w:eastAsia="Calibri" w:hAnsi="Arial Narrow" w:cs="Calibri"/>
          <w:b/>
          <w:bCs/>
          <w:color w:val="1F3864" w:themeColor="accent1" w:themeShade="80"/>
          <w:sz w:val="22"/>
          <w:szCs w:val="22"/>
        </w:rPr>
        <w:t xml:space="preserve"> </w:t>
      </w:r>
      <w:r w:rsidR="002E16E2">
        <w:rPr>
          <w:rFonts w:ascii="Arial Narrow" w:eastAsia="Calibri" w:hAnsi="Arial Narrow" w:cs="Calibri"/>
          <w:b/>
          <w:bCs/>
          <w:color w:val="1F3864" w:themeColor="accent1" w:themeShade="80"/>
          <w:sz w:val="22"/>
          <w:szCs w:val="22"/>
        </w:rPr>
        <w:t>s</w:t>
      </w:r>
      <w:r w:rsidRPr="007D1EDC">
        <w:rPr>
          <w:rFonts w:ascii="Arial Narrow" w:eastAsia="Calibri" w:hAnsi="Arial Narrow" w:cs="Calibri"/>
          <w:b/>
          <w:bCs/>
          <w:color w:val="1F3864" w:themeColor="accent1" w:themeShade="80"/>
          <w:sz w:val="22"/>
          <w:szCs w:val="22"/>
        </w:rPr>
        <w:t>ë deponi</w:t>
      </w:r>
      <w:r w:rsidR="002E16E2">
        <w:rPr>
          <w:rFonts w:ascii="Arial Narrow" w:eastAsia="Calibri" w:hAnsi="Arial Narrow" w:cs="Calibri"/>
          <w:b/>
          <w:bCs/>
          <w:color w:val="1F3864" w:themeColor="accent1" w:themeShade="80"/>
          <w:sz w:val="22"/>
          <w:szCs w:val="22"/>
        </w:rPr>
        <w:t>së</w:t>
      </w:r>
      <w:r w:rsidRPr="007D1EDC">
        <w:rPr>
          <w:rFonts w:ascii="Arial Narrow" w:eastAsia="Calibri" w:hAnsi="Arial Narrow" w:cs="Calibri"/>
          <w:b/>
          <w:bCs/>
          <w:color w:val="1F3864" w:themeColor="accent1" w:themeShade="80"/>
          <w:sz w:val="22"/>
          <w:szCs w:val="22"/>
        </w:rPr>
        <w:t xml:space="preserve"> dhe </w:t>
      </w:r>
      <w:r w:rsidR="002E16E2">
        <w:rPr>
          <w:rFonts w:ascii="Arial Narrow" w:eastAsia="Calibri" w:hAnsi="Arial Narrow" w:cs="Calibri"/>
          <w:b/>
          <w:bCs/>
          <w:color w:val="1F3864" w:themeColor="accent1" w:themeShade="80"/>
          <w:sz w:val="22"/>
          <w:szCs w:val="22"/>
        </w:rPr>
        <w:t>rrjedha</w:t>
      </w:r>
      <w:r w:rsidRPr="007D1EDC">
        <w:rPr>
          <w:rFonts w:ascii="Arial Narrow" w:eastAsia="Calibri" w:hAnsi="Arial Narrow" w:cs="Calibri"/>
          <w:b/>
          <w:bCs/>
          <w:color w:val="1F3864" w:themeColor="accent1" w:themeShade="80"/>
          <w:sz w:val="22"/>
          <w:szCs w:val="22"/>
        </w:rPr>
        <w:t xml:space="preserve"> </w:t>
      </w:r>
      <w:r w:rsidR="002E16E2">
        <w:rPr>
          <w:rFonts w:ascii="Arial Narrow" w:eastAsia="Calibri" w:hAnsi="Arial Narrow" w:cs="Calibri"/>
          <w:b/>
          <w:bCs/>
          <w:color w:val="1F3864" w:themeColor="accent1" w:themeShade="80"/>
          <w:sz w:val="22"/>
          <w:szCs w:val="22"/>
        </w:rPr>
        <w:t>e</w:t>
      </w:r>
      <w:r w:rsidRPr="007D1EDC">
        <w:rPr>
          <w:rFonts w:ascii="Arial Narrow" w:eastAsia="Calibri" w:hAnsi="Arial Narrow" w:cs="Calibri"/>
          <w:b/>
          <w:bCs/>
          <w:color w:val="1F3864" w:themeColor="accent1" w:themeShade="80"/>
          <w:sz w:val="22"/>
          <w:szCs w:val="22"/>
        </w:rPr>
        <w:t xml:space="preserve"> parasë</w:t>
      </w:r>
      <w:bookmarkEnd w:id="659"/>
    </w:p>
    <w:p w14:paraId="66785E15" w14:textId="66D7C824" w:rsidR="007D1EDC" w:rsidRPr="009F5CA1" w:rsidRDefault="007D1EDC" w:rsidP="007D1EDC">
      <w:pPr>
        <w:rPr>
          <w:rFonts w:ascii="Arial Narrow" w:eastAsia="Calibri" w:hAnsi="Arial Narrow"/>
          <w:sz w:val="22"/>
          <w:szCs w:val="22"/>
        </w:rPr>
      </w:pPr>
      <w:r w:rsidRPr="009F5CA1">
        <w:rPr>
          <w:rFonts w:ascii="Arial Narrow" w:eastAsia="Calibri" w:hAnsi="Arial Narrow"/>
          <w:sz w:val="22"/>
          <w:szCs w:val="22"/>
        </w:rPr>
        <w:t xml:space="preserve">Tabela më poshtë përmbledh </w:t>
      </w:r>
      <w:r w:rsidR="002E16E2" w:rsidRPr="009F5CA1">
        <w:rPr>
          <w:rFonts w:ascii="Arial Narrow" w:eastAsia="Calibri" w:hAnsi="Arial Narrow"/>
          <w:sz w:val="22"/>
          <w:szCs w:val="22"/>
        </w:rPr>
        <w:t xml:space="preserve">rrjedhën </w:t>
      </w:r>
      <w:r w:rsidRPr="009F5CA1">
        <w:rPr>
          <w:rFonts w:ascii="Arial Narrow" w:eastAsia="Calibri" w:hAnsi="Arial Narrow"/>
          <w:sz w:val="22"/>
          <w:szCs w:val="22"/>
        </w:rPr>
        <w:t xml:space="preserve">e parasë, bazuar në supozimet e mësipërme. Tarifa e </w:t>
      </w:r>
      <w:r w:rsidR="00602223" w:rsidRPr="009F5CA1">
        <w:rPr>
          <w:rFonts w:ascii="Arial Narrow" w:eastAsia="Calibri" w:hAnsi="Arial Narrow"/>
          <w:sz w:val="22"/>
          <w:szCs w:val="22"/>
        </w:rPr>
        <w:t>portës</w:t>
      </w:r>
      <w:r w:rsidRPr="009F5CA1">
        <w:rPr>
          <w:rFonts w:ascii="Arial Narrow" w:eastAsia="Calibri" w:hAnsi="Arial Narrow"/>
          <w:sz w:val="22"/>
          <w:szCs w:val="22"/>
        </w:rPr>
        <w:t xml:space="preserve"> fillimisht është vendosur për të mbuluar shpenzimet operative</w:t>
      </w:r>
      <w:r w:rsidR="00602223" w:rsidRPr="009F5CA1">
        <w:rPr>
          <w:rFonts w:ascii="Arial Narrow" w:eastAsia="Calibri" w:hAnsi="Arial Narrow"/>
          <w:sz w:val="22"/>
          <w:szCs w:val="22"/>
        </w:rPr>
        <w:t>/OPEX</w:t>
      </w:r>
      <w:r w:rsidRPr="009F5CA1">
        <w:rPr>
          <w:rFonts w:ascii="Arial Narrow" w:eastAsia="Calibri" w:hAnsi="Arial Narrow"/>
          <w:sz w:val="22"/>
          <w:szCs w:val="22"/>
        </w:rPr>
        <w:t xml:space="preserve"> dhe për të siguruar fonde për mbylljen e qeli</w:t>
      </w:r>
      <w:r w:rsidR="00602223" w:rsidRPr="009F5CA1">
        <w:rPr>
          <w:rFonts w:ascii="Arial Narrow" w:eastAsia="Calibri" w:hAnsi="Arial Narrow"/>
          <w:sz w:val="22"/>
          <w:szCs w:val="22"/>
        </w:rPr>
        <w:t>së</w:t>
      </w:r>
      <w:r w:rsidRPr="009F5CA1">
        <w:rPr>
          <w:rFonts w:ascii="Arial Narrow" w:eastAsia="Calibri" w:hAnsi="Arial Narrow"/>
          <w:sz w:val="22"/>
          <w:szCs w:val="22"/>
        </w:rPr>
        <w:t xml:space="preserve"> së parë, siç është marrë në konsideratë më sipër.</w:t>
      </w:r>
    </w:p>
    <w:p w14:paraId="32BE2CBD" w14:textId="77777777" w:rsidR="007D1EDC" w:rsidRPr="009F5CA1" w:rsidRDefault="007D1EDC" w:rsidP="007D1EDC">
      <w:pPr>
        <w:rPr>
          <w:rFonts w:ascii="Arial Narrow" w:eastAsia="Calibri" w:hAnsi="Arial Narrow"/>
          <w:sz w:val="22"/>
          <w:szCs w:val="22"/>
        </w:rPr>
      </w:pPr>
    </w:p>
    <w:p w14:paraId="44C711B9" w14:textId="362BAF19" w:rsidR="007D1EDC" w:rsidRPr="007D1EDC" w:rsidRDefault="007D1EDC" w:rsidP="007D1EDC">
      <w:pPr>
        <w:suppressAutoHyphens/>
        <w:rPr>
          <w:rFonts w:ascii="Arial Narrow" w:eastAsia="Calibri" w:hAnsi="Arial Narrow" w:cs="Calibri"/>
          <w:color w:val="1F497D"/>
          <w:sz w:val="20"/>
          <w:szCs w:val="20"/>
        </w:rPr>
      </w:pPr>
      <w:bookmarkStart w:id="660" w:name="_Toc190966789"/>
      <w:bookmarkStart w:id="661" w:name="_Toc197472286"/>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101. </w:t>
      </w:r>
      <w:r w:rsidRPr="007D1EDC">
        <w:rPr>
          <w:rFonts w:ascii="Arial Narrow" w:eastAsia="Calibri" w:hAnsi="Arial Narrow" w:cs="Calibri"/>
          <w:color w:val="1F497D"/>
          <w:sz w:val="20"/>
          <w:szCs w:val="20"/>
        </w:rPr>
        <w:fldChar w:fldCharType="end"/>
      </w:r>
      <w:r w:rsidR="00602223">
        <w:rPr>
          <w:rFonts w:ascii="Arial Narrow" w:eastAsia="Calibri" w:hAnsi="Arial Narrow" w:cs="Calibri"/>
          <w:color w:val="1F497D"/>
          <w:sz w:val="20"/>
          <w:szCs w:val="20"/>
        </w:rPr>
        <w:t>Rrjedha e</w:t>
      </w:r>
      <w:r w:rsidRPr="007D1EDC">
        <w:rPr>
          <w:rFonts w:ascii="Arial Narrow" w:eastAsia="Calibri" w:hAnsi="Arial Narrow" w:cs="Calibri"/>
          <w:color w:val="1F497D"/>
          <w:sz w:val="20"/>
          <w:szCs w:val="20"/>
        </w:rPr>
        <w:t xml:space="preserve"> para</w:t>
      </w:r>
      <w:r w:rsidR="00602223">
        <w:rPr>
          <w:rFonts w:ascii="Arial Narrow" w:eastAsia="Calibri" w:hAnsi="Arial Narrow" w:cs="Calibri"/>
          <w:color w:val="1F497D"/>
          <w:sz w:val="20"/>
          <w:szCs w:val="20"/>
        </w:rPr>
        <w:t>së</w:t>
      </w:r>
      <w:r w:rsidRPr="007D1EDC">
        <w:rPr>
          <w:rFonts w:ascii="Arial Narrow" w:eastAsia="Calibri" w:hAnsi="Arial Narrow" w:cs="Calibri"/>
          <w:color w:val="1F497D"/>
          <w:sz w:val="20"/>
          <w:szCs w:val="20"/>
        </w:rPr>
        <w:t xml:space="preserve"> </w:t>
      </w:r>
      <w:r w:rsidR="00602223">
        <w:rPr>
          <w:rFonts w:ascii="Arial Narrow" w:eastAsia="Calibri" w:hAnsi="Arial Narrow" w:cs="Calibri"/>
          <w:color w:val="1F497D"/>
          <w:sz w:val="20"/>
          <w:szCs w:val="20"/>
        </w:rPr>
        <w:t>në</w:t>
      </w:r>
      <w:r w:rsidRPr="007D1EDC">
        <w:rPr>
          <w:rFonts w:ascii="Arial Narrow" w:eastAsia="Calibri" w:hAnsi="Arial Narrow" w:cs="Calibri"/>
          <w:color w:val="1F497D"/>
          <w:sz w:val="20"/>
          <w:szCs w:val="20"/>
        </w:rPr>
        <w:t xml:space="preserve"> deponi, mijë euro</w:t>
      </w:r>
      <w:bookmarkEnd w:id="660"/>
      <w:bookmarkEnd w:id="661"/>
    </w:p>
    <w:tbl>
      <w:tblPr>
        <w:tblW w:w="5082" w:type="pct"/>
        <w:tblInd w:w="-147" w:type="dxa"/>
        <w:tblLook w:val="04A0" w:firstRow="1" w:lastRow="0" w:firstColumn="1" w:lastColumn="0" w:noHBand="0" w:noVBand="1"/>
      </w:tblPr>
      <w:tblGrid>
        <w:gridCol w:w="2423"/>
        <w:gridCol w:w="750"/>
        <w:gridCol w:w="750"/>
        <w:gridCol w:w="750"/>
        <w:gridCol w:w="750"/>
        <w:gridCol w:w="750"/>
        <w:gridCol w:w="914"/>
        <w:gridCol w:w="750"/>
        <w:gridCol w:w="668"/>
        <w:gridCol w:w="668"/>
      </w:tblGrid>
      <w:tr w:rsidR="00602223" w:rsidRPr="007D1EDC" w14:paraId="27A09D67" w14:textId="77777777" w:rsidTr="00602223">
        <w:trPr>
          <w:trHeight w:val="200"/>
        </w:trPr>
        <w:tc>
          <w:tcPr>
            <w:tcW w:w="1376" w:type="pct"/>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23FFAF7D" w14:textId="77777777" w:rsidR="007D1EDC" w:rsidRPr="009F5CA1" w:rsidRDefault="007D1EDC" w:rsidP="007D1EDC">
            <w:pPr>
              <w:rPr>
                <w:rFonts w:ascii="Arial Narrow" w:hAnsi="Arial Narrow" w:cs="Calibri"/>
                <w:color w:val="FFFFFF" w:themeColor="background1"/>
                <w:sz w:val="18"/>
                <w:szCs w:val="18"/>
                <w:lang w:val="es-ES" w:eastAsia="en-GB"/>
              </w:rPr>
            </w:pPr>
            <w:r w:rsidRPr="009F5CA1">
              <w:rPr>
                <w:rFonts w:ascii="Arial Narrow" w:hAnsi="Arial Narrow" w:cs="Calibri"/>
                <w:color w:val="FFFFFF" w:themeColor="background1"/>
                <w:sz w:val="18"/>
                <w:szCs w:val="18"/>
                <w:lang w:val="es-ES" w:eastAsia="en-GB"/>
              </w:rPr>
              <w:t> </w:t>
            </w:r>
          </w:p>
        </w:tc>
        <w:tc>
          <w:tcPr>
            <w:tcW w:w="403" w:type="pct"/>
            <w:tcBorders>
              <w:top w:val="single" w:sz="4" w:space="0" w:color="auto"/>
              <w:left w:val="nil"/>
              <w:bottom w:val="single" w:sz="4" w:space="0" w:color="auto"/>
              <w:right w:val="single" w:sz="4" w:space="0" w:color="auto"/>
            </w:tcBorders>
            <w:shd w:val="clear" w:color="auto" w:fill="365F91"/>
            <w:noWrap/>
            <w:vAlign w:val="center"/>
            <w:hideMark/>
          </w:tcPr>
          <w:p w14:paraId="22FC1A9D" w14:textId="77777777" w:rsidR="007D1EDC" w:rsidRPr="007D1EDC" w:rsidRDefault="007D1EDC" w:rsidP="007D1EDC">
            <w:pPr>
              <w:jc w:val="right"/>
              <w:rPr>
                <w:rFonts w:ascii="Arial Narrow" w:hAnsi="Arial Narrow" w:cs="Calibri"/>
                <w:color w:val="FFFFFF" w:themeColor="background1"/>
                <w:sz w:val="18"/>
                <w:szCs w:val="18"/>
                <w:lang w:val="en-GB" w:eastAsia="en-GB"/>
              </w:rPr>
            </w:pPr>
            <w:r w:rsidRPr="007D1EDC">
              <w:rPr>
                <w:rFonts w:ascii="Arial Narrow" w:hAnsi="Arial Narrow" w:cs="Calibri"/>
                <w:color w:val="FFFFFF" w:themeColor="background1"/>
                <w:sz w:val="18"/>
                <w:szCs w:val="18"/>
                <w:lang w:val="en-GB" w:eastAsia="en-GB"/>
              </w:rPr>
              <w:t>2027</w:t>
            </w:r>
          </w:p>
        </w:tc>
        <w:tc>
          <w:tcPr>
            <w:tcW w:w="403" w:type="pct"/>
            <w:tcBorders>
              <w:top w:val="single" w:sz="4" w:space="0" w:color="auto"/>
              <w:left w:val="nil"/>
              <w:bottom w:val="single" w:sz="4" w:space="0" w:color="auto"/>
              <w:right w:val="single" w:sz="4" w:space="0" w:color="auto"/>
            </w:tcBorders>
            <w:shd w:val="clear" w:color="auto" w:fill="365F91"/>
            <w:noWrap/>
            <w:vAlign w:val="center"/>
            <w:hideMark/>
          </w:tcPr>
          <w:p w14:paraId="3C95C876" w14:textId="77777777" w:rsidR="007D1EDC" w:rsidRPr="007D1EDC" w:rsidRDefault="007D1EDC" w:rsidP="007D1EDC">
            <w:pPr>
              <w:jc w:val="right"/>
              <w:rPr>
                <w:rFonts w:ascii="Arial Narrow" w:hAnsi="Arial Narrow" w:cs="Calibri"/>
                <w:color w:val="FFFFFF" w:themeColor="background1"/>
                <w:sz w:val="18"/>
                <w:szCs w:val="18"/>
                <w:lang w:val="en-GB" w:eastAsia="en-GB"/>
              </w:rPr>
            </w:pPr>
            <w:r w:rsidRPr="007D1EDC">
              <w:rPr>
                <w:rFonts w:ascii="Arial Narrow" w:hAnsi="Arial Narrow" w:cs="Calibri"/>
                <w:color w:val="FFFFFF" w:themeColor="background1"/>
                <w:sz w:val="18"/>
                <w:szCs w:val="18"/>
                <w:lang w:val="en-GB" w:eastAsia="en-GB"/>
              </w:rPr>
              <w:t>2028</w:t>
            </w:r>
          </w:p>
        </w:tc>
        <w:tc>
          <w:tcPr>
            <w:tcW w:w="403" w:type="pct"/>
            <w:tcBorders>
              <w:top w:val="single" w:sz="4" w:space="0" w:color="auto"/>
              <w:left w:val="nil"/>
              <w:bottom w:val="single" w:sz="4" w:space="0" w:color="auto"/>
              <w:right w:val="single" w:sz="4" w:space="0" w:color="auto"/>
            </w:tcBorders>
            <w:shd w:val="clear" w:color="auto" w:fill="365F91"/>
            <w:noWrap/>
            <w:vAlign w:val="center"/>
            <w:hideMark/>
          </w:tcPr>
          <w:p w14:paraId="59381F06" w14:textId="77777777" w:rsidR="007D1EDC" w:rsidRPr="007D1EDC" w:rsidRDefault="007D1EDC" w:rsidP="007D1EDC">
            <w:pPr>
              <w:jc w:val="right"/>
              <w:rPr>
                <w:rFonts w:ascii="Arial Narrow" w:hAnsi="Arial Narrow" w:cs="Calibri"/>
                <w:color w:val="FFFFFF" w:themeColor="background1"/>
                <w:sz w:val="18"/>
                <w:szCs w:val="18"/>
                <w:lang w:val="en-GB" w:eastAsia="en-GB"/>
              </w:rPr>
            </w:pPr>
            <w:r w:rsidRPr="007D1EDC">
              <w:rPr>
                <w:rFonts w:ascii="Arial Narrow" w:hAnsi="Arial Narrow" w:cs="Calibri"/>
                <w:color w:val="FFFFFF" w:themeColor="background1"/>
                <w:sz w:val="18"/>
                <w:szCs w:val="18"/>
                <w:lang w:val="en-GB" w:eastAsia="en-GB"/>
              </w:rPr>
              <w:t>2029</w:t>
            </w:r>
          </w:p>
        </w:tc>
        <w:tc>
          <w:tcPr>
            <w:tcW w:w="403" w:type="pct"/>
            <w:tcBorders>
              <w:top w:val="single" w:sz="4" w:space="0" w:color="auto"/>
              <w:left w:val="nil"/>
              <w:bottom w:val="single" w:sz="4" w:space="0" w:color="auto"/>
              <w:right w:val="single" w:sz="4" w:space="0" w:color="auto"/>
            </w:tcBorders>
            <w:shd w:val="clear" w:color="auto" w:fill="365F91"/>
            <w:noWrap/>
            <w:vAlign w:val="center"/>
            <w:hideMark/>
          </w:tcPr>
          <w:p w14:paraId="590AFFF2" w14:textId="77777777" w:rsidR="007D1EDC" w:rsidRPr="007D1EDC" w:rsidRDefault="007D1EDC" w:rsidP="007D1EDC">
            <w:pPr>
              <w:jc w:val="right"/>
              <w:rPr>
                <w:rFonts w:ascii="Arial Narrow" w:hAnsi="Arial Narrow" w:cs="Calibri"/>
                <w:color w:val="FFFFFF" w:themeColor="background1"/>
                <w:sz w:val="18"/>
                <w:szCs w:val="18"/>
                <w:lang w:val="en-GB" w:eastAsia="en-GB"/>
              </w:rPr>
            </w:pPr>
            <w:r w:rsidRPr="007D1EDC">
              <w:rPr>
                <w:rFonts w:ascii="Arial Narrow" w:hAnsi="Arial Narrow" w:cs="Calibri"/>
                <w:color w:val="FFFFFF" w:themeColor="background1"/>
                <w:sz w:val="18"/>
                <w:szCs w:val="18"/>
                <w:lang w:val="en-GB" w:eastAsia="en-GB"/>
              </w:rPr>
              <w:t>2030</w:t>
            </w:r>
          </w:p>
        </w:tc>
        <w:tc>
          <w:tcPr>
            <w:tcW w:w="403" w:type="pct"/>
            <w:tcBorders>
              <w:top w:val="single" w:sz="4" w:space="0" w:color="auto"/>
              <w:left w:val="nil"/>
              <w:bottom w:val="single" w:sz="4" w:space="0" w:color="auto"/>
              <w:right w:val="single" w:sz="4" w:space="0" w:color="auto"/>
            </w:tcBorders>
            <w:shd w:val="clear" w:color="auto" w:fill="365F91"/>
            <w:noWrap/>
            <w:vAlign w:val="center"/>
            <w:hideMark/>
          </w:tcPr>
          <w:p w14:paraId="1609CDCB" w14:textId="77777777" w:rsidR="007D1EDC" w:rsidRPr="007D1EDC" w:rsidRDefault="007D1EDC" w:rsidP="007D1EDC">
            <w:pPr>
              <w:jc w:val="right"/>
              <w:rPr>
                <w:rFonts w:ascii="Arial Narrow" w:hAnsi="Arial Narrow" w:cs="Calibri"/>
                <w:color w:val="FFFFFF" w:themeColor="background1"/>
                <w:sz w:val="18"/>
                <w:szCs w:val="18"/>
                <w:lang w:val="en-GB" w:eastAsia="en-GB"/>
              </w:rPr>
            </w:pPr>
            <w:r w:rsidRPr="007D1EDC">
              <w:rPr>
                <w:rFonts w:ascii="Arial Narrow" w:hAnsi="Arial Narrow" w:cs="Calibri"/>
                <w:color w:val="FFFFFF" w:themeColor="background1"/>
                <w:sz w:val="18"/>
                <w:szCs w:val="18"/>
                <w:lang w:val="en-GB" w:eastAsia="en-GB"/>
              </w:rPr>
              <w:t>2031</w:t>
            </w:r>
          </w:p>
        </w:tc>
        <w:tc>
          <w:tcPr>
            <w:tcW w:w="490" w:type="pct"/>
            <w:tcBorders>
              <w:top w:val="single" w:sz="4" w:space="0" w:color="auto"/>
              <w:left w:val="nil"/>
              <w:bottom w:val="single" w:sz="4" w:space="0" w:color="auto"/>
              <w:right w:val="single" w:sz="4" w:space="0" w:color="auto"/>
            </w:tcBorders>
            <w:shd w:val="clear" w:color="auto" w:fill="365F91"/>
            <w:noWrap/>
            <w:vAlign w:val="center"/>
            <w:hideMark/>
          </w:tcPr>
          <w:p w14:paraId="1128A749" w14:textId="77777777" w:rsidR="007D1EDC" w:rsidRPr="007D1EDC" w:rsidRDefault="007D1EDC" w:rsidP="007D1EDC">
            <w:pPr>
              <w:jc w:val="right"/>
              <w:rPr>
                <w:rFonts w:ascii="Arial Narrow" w:hAnsi="Arial Narrow" w:cs="Calibri"/>
                <w:color w:val="FFFFFF" w:themeColor="background1"/>
                <w:sz w:val="18"/>
                <w:szCs w:val="18"/>
                <w:lang w:val="en-GB" w:eastAsia="en-GB"/>
              </w:rPr>
            </w:pPr>
            <w:r w:rsidRPr="007D1EDC">
              <w:rPr>
                <w:rFonts w:ascii="Arial Narrow" w:hAnsi="Arial Narrow" w:cs="Calibri"/>
                <w:color w:val="FFFFFF" w:themeColor="background1"/>
                <w:sz w:val="18"/>
                <w:szCs w:val="18"/>
                <w:lang w:val="en-GB" w:eastAsia="en-GB"/>
              </w:rPr>
              <w:t>2032</w:t>
            </w:r>
          </w:p>
        </w:tc>
        <w:tc>
          <w:tcPr>
            <w:tcW w:w="403" w:type="pct"/>
            <w:tcBorders>
              <w:top w:val="single" w:sz="4" w:space="0" w:color="auto"/>
              <w:left w:val="nil"/>
              <w:bottom w:val="single" w:sz="4" w:space="0" w:color="auto"/>
              <w:right w:val="single" w:sz="4" w:space="0" w:color="auto"/>
            </w:tcBorders>
            <w:shd w:val="clear" w:color="auto" w:fill="365F91"/>
            <w:noWrap/>
            <w:vAlign w:val="center"/>
            <w:hideMark/>
          </w:tcPr>
          <w:p w14:paraId="5FA65A62" w14:textId="77777777" w:rsidR="007D1EDC" w:rsidRPr="007D1EDC" w:rsidRDefault="007D1EDC" w:rsidP="007D1EDC">
            <w:pPr>
              <w:jc w:val="right"/>
              <w:rPr>
                <w:rFonts w:ascii="Arial Narrow" w:hAnsi="Arial Narrow" w:cs="Calibri"/>
                <w:color w:val="FFFFFF" w:themeColor="background1"/>
                <w:sz w:val="18"/>
                <w:szCs w:val="18"/>
                <w:lang w:val="en-GB" w:eastAsia="en-GB"/>
              </w:rPr>
            </w:pPr>
            <w:r w:rsidRPr="007D1EDC">
              <w:rPr>
                <w:rFonts w:ascii="Arial Narrow" w:hAnsi="Arial Narrow" w:cs="Calibri"/>
                <w:color w:val="FFFFFF" w:themeColor="background1"/>
                <w:sz w:val="18"/>
                <w:szCs w:val="18"/>
                <w:lang w:val="en-GB" w:eastAsia="en-GB"/>
              </w:rPr>
              <w:t>2033</w:t>
            </w:r>
          </w:p>
        </w:tc>
        <w:tc>
          <w:tcPr>
            <w:tcW w:w="359" w:type="pct"/>
            <w:tcBorders>
              <w:top w:val="single" w:sz="4" w:space="0" w:color="auto"/>
              <w:left w:val="nil"/>
              <w:bottom w:val="single" w:sz="4" w:space="0" w:color="auto"/>
              <w:right w:val="single" w:sz="4" w:space="0" w:color="auto"/>
            </w:tcBorders>
            <w:shd w:val="clear" w:color="auto" w:fill="365F91"/>
            <w:noWrap/>
            <w:vAlign w:val="center"/>
            <w:hideMark/>
          </w:tcPr>
          <w:p w14:paraId="0BE64AA8" w14:textId="77777777" w:rsidR="007D1EDC" w:rsidRPr="007D1EDC" w:rsidRDefault="007D1EDC" w:rsidP="007D1EDC">
            <w:pPr>
              <w:jc w:val="right"/>
              <w:rPr>
                <w:rFonts w:ascii="Arial Narrow" w:hAnsi="Arial Narrow" w:cs="Calibri"/>
                <w:color w:val="FFFFFF" w:themeColor="background1"/>
                <w:sz w:val="18"/>
                <w:szCs w:val="18"/>
                <w:lang w:val="en-GB" w:eastAsia="en-GB"/>
              </w:rPr>
            </w:pPr>
            <w:r w:rsidRPr="007D1EDC">
              <w:rPr>
                <w:rFonts w:ascii="Arial Narrow" w:hAnsi="Arial Narrow" w:cs="Calibri"/>
                <w:color w:val="FFFFFF" w:themeColor="background1"/>
                <w:sz w:val="18"/>
                <w:szCs w:val="18"/>
                <w:lang w:val="en-GB" w:eastAsia="en-GB"/>
              </w:rPr>
              <w:t>2034</w:t>
            </w:r>
          </w:p>
        </w:tc>
        <w:tc>
          <w:tcPr>
            <w:tcW w:w="359" w:type="pct"/>
            <w:tcBorders>
              <w:top w:val="single" w:sz="4" w:space="0" w:color="auto"/>
              <w:left w:val="nil"/>
              <w:bottom w:val="single" w:sz="4" w:space="0" w:color="auto"/>
              <w:right w:val="single" w:sz="4" w:space="0" w:color="auto"/>
            </w:tcBorders>
            <w:shd w:val="clear" w:color="auto" w:fill="365F91"/>
            <w:noWrap/>
            <w:vAlign w:val="center"/>
            <w:hideMark/>
          </w:tcPr>
          <w:p w14:paraId="1CCAB579" w14:textId="77777777" w:rsidR="007D1EDC" w:rsidRPr="007D1EDC" w:rsidRDefault="007D1EDC" w:rsidP="007D1EDC">
            <w:pPr>
              <w:jc w:val="right"/>
              <w:rPr>
                <w:rFonts w:ascii="Arial Narrow" w:hAnsi="Arial Narrow" w:cs="Calibri"/>
                <w:color w:val="FFFFFF" w:themeColor="background1"/>
                <w:sz w:val="18"/>
                <w:szCs w:val="18"/>
                <w:lang w:val="en-GB" w:eastAsia="en-GB"/>
              </w:rPr>
            </w:pPr>
            <w:r w:rsidRPr="007D1EDC">
              <w:rPr>
                <w:rFonts w:ascii="Arial Narrow" w:hAnsi="Arial Narrow" w:cs="Calibri"/>
                <w:color w:val="FFFFFF" w:themeColor="background1"/>
                <w:sz w:val="18"/>
                <w:szCs w:val="18"/>
                <w:lang w:val="en-GB" w:eastAsia="en-GB"/>
              </w:rPr>
              <w:t>2035</w:t>
            </w:r>
          </w:p>
        </w:tc>
      </w:tr>
      <w:tr w:rsidR="00602223" w:rsidRPr="007D1EDC" w14:paraId="39AA58E2" w14:textId="77777777" w:rsidTr="00602223">
        <w:trPr>
          <w:trHeight w:val="200"/>
        </w:trPr>
        <w:tc>
          <w:tcPr>
            <w:tcW w:w="1376" w:type="pct"/>
            <w:tcBorders>
              <w:top w:val="nil"/>
              <w:left w:val="single" w:sz="4" w:space="0" w:color="auto"/>
              <w:bottom w:val="single" w:sz="4" w:space="0" w:color="auto"/>
              <w:right w:val="single" w:sz="4" w:space="0" w:color="auto"/>
            </w:tcBorders>
            <w:shd w:val="clear" w:color="auto" w:fill="auto"/>
            <w:noWrap/>
            <w:vAlign w:val="bottom"/>
            <w:hideMark/>
          </w:tcPr>
          <w:p w14:paraId="57C345F8" w14:textId="17AD1204" w:rsidR="00602223" w:rsidRPr="00602223" w:rsidRDefault="00602223" w:rsidP="00602223">
            <w:pPr>
              <w:rPr>
                <w:rFonts w:ascii="Arial Narrow" w:hAnsi="Arial Narrow" w:cs="Calibri"/>
                <w:color w:val="000000"/>
                <w:sz w:val="18"/>
                <w:szCs w:val="18"/>
                <w:lang w:val="en-GB" w:eastAsia="en-GB"/>
              </w:rPr>
            </w:pPr>
            <w:r w:rsidRPr="00602223">
              <w:rPr>
                <w:rFonts w:ascii="Arial Narrow" w:hAnsi="Arial Narrow" w:cs="Calibri"/>
                <w:color w:val="000000"/>
                <w:sz w:val="18"/>
                <w:szCs w:val="18"/>
                <w:lang w:val="en-GB" w:eastAsia="en-GB"/>
              </w:rPr>
              <w:t xml:space="preserve">Tarifa e </w:t>
            </w:r>
            <w:proofErr w:type="spellStart"/>
            <w:r w:rsidRPr="00602223">
              <w:rPr>
                <w:rFonts w:ascii="Arial Narrow" w:hAnsi="Arial Narrow" w:cs="Calibri"/>
                <w:color w:val="000000"/>
                <w:sz w:val="18"/>
                <w:szCs w:val="18"/>
                <w:lang w:val="en-GB" w:eastAsia="en-GB"/>
              </w:rPr>
              <w:t>portës</w:t>
            </w:r>
            <w:proofErr w:type="spellEnd"/>
          </w:p>
        </w:tc>
        <w:tc>
          <w:tcPr>
            <w:tcW w:w="403" w:type="pct"/>
            <w:tcBorders>
              <w:top w:val="nil"/>
              <w:left w:val="nil"/>
              <w:bottom w:val="single" w:sz="4" w:space="0" w:color="auto"/>
              <w:right w:val="single" w:sz="4" w:space="0" w:color="auto"/>
            </w:tcBorders>
            <w:shd w:val="clear" w:color="auto" w:fill="auto"/>
            <w:noWrap/>
            <w:vAlign w:val="bottom"/>
            <w:hideMark/>
          </w:tcPr>
          <w:p w14:paraId="796014DB" w14:textId="77777777" w:rsidR="00602223" w:rsidRPr="007D1EDC" w:rsidRDefault="00602223" w:rsidP="00602223">
            <w:pPr>
              <w:jc w:val="right"/>
              <w:rPr>
                <w:rFonts w:ascii="Arial Narrow" w:hAnsi="Arial Narrow" w:cs="Calibri"/>
                <w:sz w:val="18"/>
                <w:szCs w:val="18"/>
                <w:lang w:val="en-GB" w:eastAsia="en-GB"/>
              </w:rPr>
            </w:pPr>
            <w:r w:rsidRPr="007D1EDC">
              <w:rPr>
                <w:rFonts w:ascii="Arial Narrow" w:hAnsi="Arial Narrow" w:cs="Calibri"/>
                <w:sz w:val="18"/>
                <w:szCs w:val="18"/>
              </w:rPr>
              <w:t>22 €/t</w:t>
            </w:r>
          </w:p>
        </w:tc>
        <w:tc>
          <w:tcPr>
            <w:tcW w:w="403" w:type="pct"/>
            <w:tcBorders>
              <w:top w:val="nil"/>
              <w:left w:val="nil"/>
              <w:bottom w:val="single" w:sz="4" w:space="0" w:color="auto"/>
              <w:right w:val="single" w:sz="4" w:space="0" w:color="auto"/>
            </w:tcBorders>
            <w:shd w:val="clear" w:color="auto" w:fill="auto"/>
            <w:noWrap/>
            <w:vAlign w:val="bottom"/>
            <w:hideMark/>
          </w:tcPr>
          <w:p w14:paraId="760D069F" w14:textId="77777777" w:rsidR="00602223" w:rsidRPr="007D1EDC" w:rsidRDefault="00602223" w:rsidP="00602223">
            <w:pPr>
              <w:jc w:val="right"/>
              <w:rPr>
                <w:rFonts w:ascii="Arial Narrow" w:hAnsi="Arial Narrow" w:cs="Calibri"/>
                <w:sz w:val="18"/>
                <w:szCs w:val="18"/>
                <w:lang w:val="en-GB" w:eastAsia="en-GB"/>
              </w:rPr>
            </w:pPr>
            <w:r w:rsidRPr="007D1EDC">
              <w:rPr>
                <w:rFonts w:ascii="Arial Narrow" w:hAnsi="Arial Narrow" w:cs="Calibri"/>
                <w:sz w:val="18"/>
                <w:szCs w:val="18"/>
              </w:rPr>
              <w:t>22 €/t</w:t>
            </w:r>
          </w:p>
        </w:tc>
        <w:tc>
          <w:tcPr>
            <w:tcW w:w="403" w:type="pct"/>
            <w:tcBorders>
              <w:top w:val="nil"/>
              <w:left w:val="nil"/>
              <w:bottom w:val="single" w:sz="4" w:space="0" w:color="auto"/>
              <w:right w:val="single" w:sz="4" w:space="0" w:color="auto"/>
            </w:tcBorders>
            <w:shd w:val="clear" w:color="auto" w:fill="auto"/>
            <w:noWrap/>
            <w:vAlign w:val="bottom"/>
            <w:hideMark/>
          </w:tcPr>
          <w:p w14:paraId="6CC405B5" w14:textId="77777777" w:rsidR="00602223" w:rsidRPr="007D1EDC" w:rsidRDefault="00602223" w:rsidP="00602223">
            <w:pPr>
              <w:jc w:val="right"/>
              <w:rPr>
                <w:rFonts w:ascii="Arial Narrow" w:hAnsi="Arial Narrow" w:cs="Calibri"/>
                <w:sz w:val="18"/>
                <w:szCs w:val="18"/>
                <w:lang w:val="en-GB" w:eastAsia="en-GB"/>
              </w:rPr>
            </w:pPr>
            <w:r w:rsidRPr="007D1EDC">
              <w:rPr>
                <w:rFonts w:ascii="Arial Narrow" w:hAnsi="Arial Narrow" w:cs="Calibri"/>
                <w:sz w:val="18"/>
                <w:szCs w:val="18"/>
              </w:rPr>
              <w:t>22 €/t</w:t>
            </w:r>
          </w:p>
        </w:tc>
        <w:tc>
          <w:tcPr>
            <w:tcW w:w="403" w:type="pct"/>
            <w:tcBorders>
              <w:top w:val="nil"/>
              <w:left w:val="nil"/>
              <w:bottom w:val="single" w:sz="4" w:space="0" w:color="auto"/>
              <w:right w:val="single" w:sz="4" w:space="0" w:color="auto"/>
            </w:tcBorders>
            <w:shd w:val="clear" w:color="auto" w:fill="auto"/>
            <w:noWrap/>
            <w:vAlign w:val="bottom"/>
            <w:hideMark/>
          </w:tcPr>
          <w:p w14:paraId="371BEC03" w14:textId="77777777" w:rsidR="00602223" w:rsidRPr="007D1EDC" w:rsidRDefault="00602223" w:rsidP="00602223">
            <w:pPr>
              <w:jc w:val="right"/>
              <w:rPr>
                <w:rFonts w:ascii="Arial Narrow" w:hAnsi="Arial Narrow" w:cs="Calibri"/>
                <w:sz w:val="18"/>
                <w:szCs w:val="18"/>
                <w:lang w:val="en-GB" w:eastAsia="en-GB"/>
              </w:rPr>
            </w:pPr>
            <w:r w:rsidRPr="007D1EDC">
              <w:rPr>
                <w:rFonts w:ascii="Arial Narrow" w:hAnsi="Arial Narrow" w:cs="Calibri"/>
                <w:sz w:val="18"/>
                <w:szCs w:val="18"/>
              </w:rPr>
              <w:t>22 €/t</w:t>
            </w:r>
          </w:p>
        </w:tc>
        <w:tc>
          <w:tcPr>
            <w:tcW w:w="403" w:type="pct"/>
            <w:tcBorders>
              <w:top w:val="nil"/>
              <w:left w:val="nil"/>
              <w:bottom w:val="single" w:sz="4" w:space="0" w:color="auto"/>
              <w:right w:val="single" w:sz="4" w:space="0" w:color="auto"/>
            </w:tcBorders>
            <w:shd w:val="clear" w:color="auto" w:fill="auto"/>
            <w:noWrap/>
            <w:vAlign w:val="bottom"/>
            <w:hideMark/>
          </w:tcPr>
          <w:p w14:paraId="453A0149" w14:textId="77777777" w:rsidR="00602223" w:rsidRPr="007D1EDC" w:rsidRDefault="00602223" w:rsidP="00602223">
            <w:pPr>
              <w:jc w:val="right"/>
              <w:rPr>
                <w:rFonts w:ascii="Arial Narrow" w:hAnsi="Arial Narrow" w:cs="Calibri"/>
                <w:sz w:val="18"/>
                <w:szCs w:val="18"/>
                <w:lang w:val="en-GB" w:eastAsia="en-GB"/>
              </w:rPr>
            </w:pPr>
            <w:r w:rsidRPr="007D1EDC">
              <w:rPr>
                <w:rFonts w:ascii="Arial Narrow" w:hAnsi="Arial Narrow" w:cs="Calibri"/>
                <w:sz w:val="18"/>
                <w:szCs w:val="18"/>
              </w:rPr>
              <w:t>39 €/t</w:t>
            </w:r>
          </w:p>
        </w:tc>
        <w:tc>
          <w:tcPr>
            <w:tcW w:w="490" w:type="pct"/>
            <w:tcBorders>
              <w:top w:val="nil"/>
              <w:left w:val="nil"/>
              <w:bottom w:val="single" w:sz="4" w:space="0" w:color="auto"/>
              <w:right w:val="single" w:sz="4" w:space="0" w:color="auto"/>
            </w:tcBorders>
            <w:shd w:val="clear" w:color="auto" w:fill="auto"/>
            <w:noWrap/>
            <w:vAlign w:val="bottom"/>
            <w:hideMark/>
          </w:tcPr>
          <w:p w14:paraId="5D503153" w14:textId="77777777" w:rsidR="00602223" w:rsidRPr="007D1EDC" w:rsidRDefault="00602223" w:rsidP="00602223">
            <w:pPr>
              <w:jc w:val="right"/>
              <w:rPr>
                <w:rFonts w:ascii="Arial Narrow" w:hAnsi="Arial Narrow" w:cs="Calibri"/>
                <w:sz w:val="18"/>
                <w:szCs w:val="18"/>
                <w:lang w:val="en-GB" w:eastAsia="en-GB"/>
              </w:rPr>
            </w:pPr>
            <w:r w:rsidRPr="007D1EDC">
              <w:rPr>
                <w:rFonts w:ascii="Arial Narrow" w:hAnsi="Arial Narrow" w:cs="Calibri"/>
                <w:sz w:val="18"/>
                <w:szCs w:val="18"/>
              </w:rPr>
              <w:t>72 €/t</w:t>
            </w:r>
          </w:p>
        </w:tc>
        <w:tc>
          <w:tcPr>
            <w:tcW w:w="403" w:type="pct"/>
            <w:tcBorders>
              <w:top w:val="nil"/>
              <w:left w:val="nil"/>
              <w:bottom w:val="single" w:sz="4" w:space="0" w:color="auto"/>
              <w:right w:val="single" w:sz="4" w:space="0" w:color="auto"/>
            </w:tcBorders>
            <w:shd w:val="clear" w:color="auto" w:fill="auto"/>
            <w:noWrap/>
            <w:vAlign w:val="bottom"/>
            <w:hideMark/>
          </w:tcPr>
          <w:p w14:paraId="688114E4" w14:textId="77777777" w:rsidR="00602223" w:rsidRPr="007D1EDC" w:rsidRDefault="00602223" w:rsidP="00602223">
            <w:pPr>
              <w:jc w:val="right"/>
              <w:rPr>
                <w:rFonts w:ascii="Arial Narrow" w:hAnsi="Arial Narrow" w:cs="Calibri"/>
                <w:sz w:val="18"/>
                <w:szCs w:val="18"/>
                <w:lang w:val="en-GB" w:eastAsia="en-GB"/>
              </w:rPr>
            </w:pPr>
            <w:r w:rsidRPr="007D1EDC">
              <w:rPr>
                <w:rFonts w:ascii="Arial Narrow" w:hAnsi="Arial Narrow" w:cs="Calibri"/>
                <w:sz w:val="18"/>
                <w:szCs w:val="18"/>
              </w:rPr>
              <w:t>73 €/t</w:t>
            </w:r>
          </w:p>
        </w:tc>
        <w:tc>
          <w:tcPr>
            <w:tcW w:w="359" w:type="pct"/>
            <w:tcBorders>
              <w:top w:val="nil"/>
              <w:left w:val="nil"/>
              <w:bottom w:val="single" w:sz="4" w:space="0" w:color="auto"/>
              <w:right w:val="single" w:sz="4" w:space="0" w:color="auto"/>
            </w:tcBorders>
            <w:shd w:val="clear" w:color="auto" w:fill="auto"/>
            <w:noWrap/>
            <w:vAlign w:val="bottom"/>
            <w:hideMark/>
          </w:tcPr>
          <w:p w14:paraId="3B0B6391" w14:textId="77777777" w:rsidR="00602223" w:rsidRPr="007D1EDC" w:rsidRDefault="00602223" w:rsidP="00602223">
            <w:pPr>
              <w:jc w:val="right"/>
              <w:rPr>
                <w:rFonts w:ascii="Arial Narrow" w:hAnsi="Arial Narrow" w:cs="Calibri"/>
                <w:sz w:val="18"/>
                <w:szCs w:val="18"/>
                <w:lang w:val="en-GB" w:eastAsia="en-GB"/>
              </w:rPr>
            </w:pPr>
            <w:r w:rsidRPr="007D1EDC">
              <w:rPr>
                <w:rFonts w:ascii="Arial Narrow" w:hAnsi="Arial Narrow" w:cs="Calibri"/>
                <w:sz w:val="18"/>
                <w:szCs w:val="18"/>
              </w:rPr>
              <w:t>75 €/t</w:t>
            </w:r>
          </w:p>
        </w:tc>
        <w:tc>
          <w:tcPr>
            <w:tcW w:w="359" w:type="pct"/>
            <w:tcBorders>
              <w:top w:val="nil"/>
              <w:left w:val="nil"/>
              <w:bottom w:val="single" w:sz="4" w:space="0" w:color="auto"/>
              <w:right w:val="single" w:sz="4" w:space="0" w:color="auto"/>
            </w:tcBorders>
            <w:shd w:val="clear" w:color="auto" w:fill="auto"/>
            <w:noWrap/>
            <w:vAlign w:val="bottom"/>
            <w:hideMark/>
          </w:tcPr>
          <w:p w14:paraId="3EF78B5E" w14:textId="77777777" w:rsidR="00602223" w:rsidRPr="007D1EDC" w:rsidRDefault="00602223" w:rsidP="00602223">
            <w:pPr>
              <w:jc w:val="right"/>
              <w:rPr>
                <w:rFonts w:ascii="Arial Narrow" w:hAnsi="Arial Narrow" w:cs="Calibri"/>
                <w:sz w:val="18"/>
                <w:szCs w:val="18"/>
                <w:lang w:val="en-GB" w:eastAsia="en-GB"/>
              </w:rPr>
            </w:pPr>
            <w:r w:rsidRPr="007D1EDC">
              <w:rPr>
                <w:rFonts w:ascii="Arial Narrow" w:hAnsi="Arial Narrow" w:cs="Calibri"/>
                <w:sz w:val="18"/>
                <w:szCs w:val="18"/>
              </w:rPr>
              <w:t>76 €/t</w:t>
            </w:r>
          </w:p>
        </w:tc>
      </w:tr>
      <w:tr w:rsidR="00602223" w:rsidRPr="007D1EDC" w14:paraId="4B016053" w14:textId="77777777" w:rsidTr="00602223">
        <w:trPr>
          <w:trHeight w:val="200"/>
        </w:trPr>
        <w:tc>
          <w:tcPr>
            <w:tcW w:w="1376" w:type="pct"/>
            <w:tcBorders>
              <w:top w:val="nil"/>
              <w:left w:val="single" w:sz="4" w:space="0" w:color="auto"/>
              <w:bottom w:val="single" w:sz="4" w:space="0" w:color="auto"/>
              <w:right w:val="single" w:sz="4" w:space="0" w:color="auto"/>
            </w:tcBorders>
            <w:shd w:val="clear" w:color="auto" w:fill="auto"/>
            <w:noWrap/>
            <w:vAlign w:val="bottom"/>
            <w:hideMark/>
          </w:tcPr>
          <w:p w14:paraId="5720B7BB" w14:textId="331CCE56" w:rsidR="00602223" w:rsidRPr="00602223" w:rsidRDefault="00602223" w:rsidP="00602223">
            <w:pPr>
              <w:rPr>
                <w:rFonts w:ascii="Arial Narrow" w:hAnsi="Arial Narrow" w:cs="Calibri"/>
                <w:color w:val="000000"/>
                <w:sz w:val="18"/>
                <w:szCs w:val="18"/>
                <w:lang w:val="en-GB" w:eastAsia="en-GB"/>
              </w:rPr>
            </w:pPr>
            <w:proofErr w:type="spellStart"/>
            <w:r w:rsidRPr="00602223">
              <w:rPr>
                <w:rFonts w:ascii="Arial Narrow" w:hAnsi="Arial Narrow" w:cs="Calibri"/>
                <w:color w:val="000000"/>
                <w:sz w:val="18"/>
                <w:szCs w:val="18"/>
                <w:lang w:val="en-GB" w:eastAsia="en-GB"/>
              </w:rPr>
              <w:t>Mbeturinat</w:t>
            </w:r>
            <w:proofErr w:type="spellEnd"/>
            <w:r w:rsidRPr="00602223">
              <w:rPr>
                <w:rFonts w:ascii="Arial Narrow" w:hAnsi="Arial Narrow" w:cs="Calibri"/>
                <w:color w:val="000000"/>
                <w:sz w:val="18"/>
                <w:szCs w:val="18"/>
                <w:lang w:val="en-GB" w:eastAsia="en-GB"/>
              </w:rPr>
              <w:t xml:space="preserve"> e </w:t>
            </w:r>
            <w:proofErr w:type="spellStart"/>
            <w:r w:rsidRPr="00602223">
              <w:rPr>
                <w:rFonts w:ascii="Arial Narrow" w:hAnsi="Arial Narrow" w:cs="Calibri"/>
                <w:color w:val="000000"/>
                <w:sz w:val="18"/>
                <w:szCs w:val="18"/>
                <w:lang w:val="en-GB" w:eastAsia="en-GB"/>
              </w:rPr>
              <w:t>pranuara</w:t>
            </w:r>
            <w:proofErr w:type="spellEnd"/>
          </w:p>
        </w:tc>
        <w:tc>
          <w:tcPr>
            <w:tcW w:w="403" w:type="pct"/>
            <w:tcBorders>
              <w:top w:val="nil"/>
              <w:left w:val="nil"/>
              <w:bottom w:val="single" w:sz="4" w:space="0" w:color="auto"/>
              <w:right w:val="single" w:sz="4" w:space="0" w:color="auto"/>
            </w:tcBorders>
            <w:shd w:val="clear" w:color="auto" w:fill="auto"/>
            <w:noWrap/>
            <w:vAlign w:val="bottom"/>
            <w:hideMark/>
          </w:tcPr>
          <w:p w14:paraId="1D3574C6" w14:textId="77777777" w:rsidR="00602223" w:rsidRPr="007D1EDC" w:rsidRDefault="00602223" w:rsidP="00602223">
            <w:pPr>
              <w:jc w:val="right"/>
              <w:rPr>
                <w:rFonts w:ascii="Arial Narrow" w:hAnsi="Arial Narrow" w:cs="Calibri"/>
                <w:sz w:val="18"/>
                <w:szCs w:val="18"/>
                <w:lang w:val="en-GB" w:eastAsia="en-GB"/>
              </w:rPr>
            </w:pPr>
            <w:r w:rsidRPr="007D1EDC">
              <w:rPr>
                <w:rFonts w:ascii="Arial Narrow" w:hAnsi="Arial Narrow" w:cs="Calibri"/>
                <w:sz w:val="18"/>
                <w:szCs w:val="18"/>
              </w:rPr>
              <w:t>57,493 t</w:t>
            </w:r>
          </w:p>
        </w:tc>
        <w:tc>
          <w:tcPr>
            <w:tcW w:w="403" w:type="pct"/>
            <w:tcBorders>
              <w:top w:val="nil"/>
              <w:left w:val="nil"/>
              <w:bottom w:val="single" w:sz="4" w:space="0" w:color="auto"/>
              <w:right w:val="single" w:sz="4" w:space="0" w:color="auto"/>
            </w:tcBorders>
            <w:shd w:val="clear" w:color="auto" w:fill="auto"/>
            <w:noWrap/>
            <w:vAlign w:val="bottom"/>
            <w:hideMark/>
          </w:tcPr>
          <w:p w14:paraId="26CDA2BA" w14:textId="77777777" w:rsidR="00602223" w:rsidRPr="007D1EDC" w:rsidRDefault="00602223" w:rsidP="00602223">
            <w:pPr>
              <w:jc w:val="right"/>
              <w:rPr>
                <w:rFonts w:ascii="Arial Narrow" w:hAnsi="Arial Narrow" w:cs="Calibri"/>
                <w:sz w:val="18"/>
                <w:szCs w:val="18"/>
                <w:lang w:val="en-GB" w:eastAsia="en-GB"/>
              </w:rPr>
            </w:pPr>
            <w:r w:rsidRPr="007D1EDC">
              <w:rPr>
                <w:rFonts w:ascii="Arial Narrow" w:hAnsi="Arial Narrow" w:cs="Calibri"/>
                <w:sz w:val="18"/>
                <w:szCs w:val="18"/>
              </w:rPr>
              <w:t>56,297 t</w:t>
            </w:r>
          </w:p>
        </w:tc>
        <w:tc>
          <w:tcPr>
            <w:tcW w:w="403" w:type="pct"/>
            <w:tcBorders>
              <w:top w:val="nil"/>
              <w:left w:val="nil"/>
              <w:bottom w:val="single" w:sz="4" w:space="0" w:color="auto"/>
              <w:right w:val="single" w:sz="4" w:space="0" w:color="auto"/>
            </w:tcBorders>
            <w:shd w:val="clear" w:color="auto" w:fill="auto"/>
            <w:noWrap/>
            <w:vAlign w:val="bottom"/>
            <w:hideMark/>
          </w:tcPr>
          <w:p w14:paraId="39E88865" w14:textId="77777777" w:rsidR="00602223" w:rsidRPr="007D1EDC" w:rsidRDefault="00602223" w:rsidP="00602223">
            <w:pPr>
              <w:jc w:val="right"/>
              <w:rPr>
                <w:rFonts w:ascii="Arial Narrow" w:hAnsi="Arial Narrow" w:cs="Calibri"/>
                <w:sz w:val="18"/>
                <w:szCs w:val="18"/>
                <w:lang w:val="en-GB" w:eastAsia="en-GB"/>
              </w:rPr>
            </w:pPr>
            <w:r w:rsidRPr="007D1EDC">
              <w:rPr>
                <w:rFonts w:ascii="Arial Narrow" w:hAnsi="Arial Narrow" w:cs="Calibri"/>
                <w:sz w:val="18"/>
                <w:szCs w:val="18"/>
              </w:rPr>
              <w:t>54,928 t</w:t>
            </w:r>
          </w:p>
        </w:tc>
        <w:tc>
          <w:tcPr>
            <w:tcW w:w="403" w:type="pct"/>
            <w:tcBorders>
              <w:top w:val="nil"/>
              <w:left w:val="nil"/>
              <w:bottom w:val="single" w:sz="4" w:space="0" w:color="auto"/>
              <w:right w:val="single" w:sz="4" w:space="0" w:color="auto"/>
            </w:tcBorders>
            <w:shd w:val="clear" w:color="auto" w:fill="auto"/>
            <w:noWrap/>
            <w:vAlign w:val="bottom"/>
            <w:hideMark/>
          </w:tcPr>
          <w:p w14:paraId="28C567D4" w14:textId="77777777" w:rsidR="00602223" w:rsidRPr="007D1EDC" w:rsidRDefault="00602223" w:rsidP="00602223">
            <w:pPr>
              <w:jc w:val="right"/>
              <w:rPr>
                <w:rFonts w:ascii="Arial Narrow" w:hAnsi="Arial Narrow" w:cs="Calibri"/>
                <w:sz w:val="18"/>
                <w:szCs w:val="18"/>
                <w:lang w:val="en-GB" w:eastAsia="en-GB"/>
              </w:rPr>
            </w:pPr>
            <w:r w:rsidRPr="007D1EDC">
              <w:rPr>
                <w:rFonts w:ascii="Arial Narrow" w:hAnsi="Arial Narrow" w:cs="Calibri"/>
                <w:sz w:val="18"/>
                <w:szCs w:val="18"/>
              </w:rPr>
              <w:t>53,616 t</w:t>
            </w:r>
          </w:p>
        </w:tc>
        <w:tc>
          <w:tcPr>
            <w:tcW w:w="403" w:type="pct"/>
            <w:tcBorders>
              <w:top w:val="nil"/>
              <w:left w:val="nil"/>
              <w:bottom w:val="single" w:sz="4" w:space="0" w:color="auto"/>
              <w:right w:val="single" w:sz="4" w:space="0" w:color="auto"/>
            </w:tcBorders>
            <w:shd w:val="clear" w:color="auto" w:fill="auto"/>
            <w:noWrap/>
            <w:vAlign w:val="bottom"/>
            <w:hideMark/>
          </w:tcPr>
          <w:p w14:paraId="382D0163" w14:textId="77777777" w:rsidR="00602223" w:rsidRPr="007D1EDC" w:rsidRDefault="00602223" w:rsidP="00602223">
            <w:pPr>
              <w:jc w:val="right"/>
              <w:rPr>
                <w:rFonts w:ascii="Arial Narrow" w:hAnsi="Arial Narrow" w:cs="Calibri"/>
                <w:sz w:val="18"/>
                <w:szCs w:val="18"/>
                <w:lang w:val="en-GB" w:eastAsia="en-GB"/>
              </w:rPr>
            </w:pPr>
            <w:r w:rsidRPr="007D1EDC">
              <w:rPr>
                <w:rFonts w:ascii="Arial Narrow" w:hAnsi="Arial Narrow" w:cs="Calibri"/>
                <w:sz w:val="18"/>
                <w:szCs w:val="18"/>
              </w:rPr>
              <w:t>52,717 t</w:t>
            </w:r>
          </w:p>
        </w:tc>
        <w:tc>
          <w:tcPr>
            <w:tcW w:w="490" w:type="pct"/>
            <w:tcBorders>
              <w:top w:val="nil"/>
              <w:left w:val="nil"/>
              <w:bottom w:val="single" w:sz="4" w:space="0" w:color="auto"/>
              <w:right w:val="single" w:sz="4" w:space="0" w:color="auto"/>
            </w:tcBorders>
            <w:shd w:val="clear" w:color="auto" w:fill="auto"/>
            <w:noWrap/>
            <w:vAlign w:val="bottom"/>
            <w:hideMark/>
          </w:tcPr>
          <w:p w14:paraId="319B16D8" w14:textId="77777777" w:rsidR="00602223" w:rsidRPr="007D1EDC" w:rsidRDefault="00602223" w:rsidP="00602223">
            <w:pPr>
              <w:jc w:val="right"/>
              <w:rPr>
                <w:rFonts w:ascii="Arial Narrow" w:hAnsi="Arial Narrow" w:cs="Calibri"/>
                <w:sz w:val="18"/>
                <w:szCs w:val="18"/>
                <w:lang w:val="en-GB" w:eastAsia="en-GB"/>
              </w:rPr>
            </w:pPr>
            <w:r w:rsidRPr="007D1EDC">
              <w:rPr>
                <w:rFonts w:ascii="Arial Narrow" w:hAnsi="Arial Narrow" w:cs="Calibri"/>
                <w:sz w:val="18"/>
                <w:szCs w:val="18"/>
              </w:rPr>
              <w:t>10,325 ton</w:t>
            </w:r>
          </w:p>
        </w:tc>
        <w:tc>
          <w:tcPr>
            <w:tcW w:w="403" w:type="pct"/>
            <w:tcBorders>
              <w:top w:val="nil"/>
              <w:left w:val="nil"/>
              <w:bottom w:val="single" w:sz="4" w:space="0" w:color="auto"/>
              <w:right w:val="single" w:sz="4" w:space="0" w:color="auto"/>
            </w:tcBorders>
            <w:shd w:val="clear" w:color="auto" w:fill="auto"/>
            <w:noWrap/>
            <w:vAlign w:val="bottom"/>
            <w:hideMark/>
          </w:tcPr>
          <w:p w14:paraId="25C83B2E" w14:textId="77777777" w:rsidR="00602223" w:rsidRPr="007D1EDC" w:rsidRDefault="00602223" w:rsidP="00602223">
            <w:pPr>
              <w:jc w:val="right"/>
              <w:rPr>
                <w:rFonts w:ascii="Arial Narrow" w:hAnsi="Arial Narrow" w:cs="Calibri"/>
                <w:sz w:val="18"/>
                <w:szCs w:val="18"/>
                <w:lang w:val="en-GB" w:eastAsia="en-GB"/>
              </w:rPr>
            </w:pPr>
            <w:r w:rsidRPr="007D1EDC">
              <w:rPr>
                <w:rFonts w:ascii="Arial Narrow" w:hAnsi="Arial Narrow" w:cs="Calibri"/>
                <w:sz w:val="18"/>
                <w:szCs w:val="18"/>
              </w:rPr>
              <w:t>10,012 t</w:t>
            </w:r>
          </w:p>
        </w:tc>
        <w:tc>
          <w:tcPr>
            <w:tcW w:w="359" w:type="pct"/>
            <w:tcBorders>
              <w:top w:val="nil"/>
              <w:left w:val="nil"/>
              <w:bottom w:val="single" w:sz="4" w:space="0" w:color="auto"/>
              <w:right w:val="single" w:sz="4" w:space="0" w:color="auto"/>
            </w:tcBorders>
            <w:shd w:val="clear" w:color="auto" w:fill="auto"/>
            <w:noWrap/>
            <w:vAlign w:val="bottom"/>
            <w:hideMark/>
          </w:tcPr>
          <w:p w14:paraId="0D931DF8" w14:textId="404C8E26" w:rsidR="00602223" w:rsidRPr="007D1EDC" w:rsidRDefault="00602223" w:rsidP="00602223">
            <w:pPr>
              <w:jc w:val="right"/>
              <w:rPr>
                <w:rFonts w:ascii="Arial Narrow" w:hAnsi="Arial Narrow" w:cs="Calibri"/>
                <w:sz w:val="18"/>
                <w:szCs w:val="18"/>
                <w:lang w:val="en-GB" w:eastAsia="en-GB"/>
              </w:rPr>
            </w:pPr>
            <w:r w:rsidRPr="007D1EDC">
              <w:rPr>
                <w:rFonts w:ascii="Arial Narrow" w:hAnsi="Arial Narrow" w:cs="Calibri"/>
                <w:sz w:val="18"/>
                <w:szCs w:val="18"/>
              </w:rPr>
              <w:t>9,677 t</w:t>
            </w:r>
          </w:p>
        </w:tc>
        <w:tc>
          <w:tcPr>
            <w:tcW w:w="359" w:type="pct"/>
            <w:tcBorders>
              <w:top w:val="nil"/>
              <w:left w:val="nil"/>
              <w:bottom w:val="single" w:sz="4" w:space="0" w:color="auto"/>
              <w:right w:val="single" w:sz="4" w:space="0" w:color="auto"/>
            </w:tcBorders>
            <w:shd w:val="clear" w:color="auto" w:fill="auto"/>
            <w:noWrap/>
            <w:vAlign w:val="bottom"/>
            <w:hideMark/>
          </w:tcPr>
          <w:p w14:paraId="5FF166CB" w14:textId="2328179E" w:rsidR="00602223" w:rsidRPr="007D1EDC" w:rsidRDefault="00602223" w:rsidP="00602223">
            <w:pPr>
              <w:jc w:val="right"/>
              <w:rPr>
                <w:rFonts w:ascii="Arial Narrow" w:hAnsi="Arial Narrow" w:cs="Calibri"/>
                <w:sz w:val="18"/>
                <w:szCs w:val="18"/>
                <w:lang w:val="en-GB" w:eastAsia="en-GB"/>
              </w:rPr>
            </w:pPr>
            <w:r w:rsidRPr="007D1EDC">
              <w:rPr>
                <w:rFonts w:ascii="Arial Narrow" w:hAnsi="Arial Narrow" w:cs="Calibri"/>
                <w:sz w:val="18"/>
                <w:szCs w:val="18"/>
              </w:rPr>
              <w:t>9,404 t</w:t>
            </w:r>
          </w:p>
        </w:tc>
      </w:tr>
      <w:tr w:rsidR="00602223" w:rsidRPr="007D1EDC" w14:paraId="64E32644" w14:textId="77777777" w:rsidTr="00602223">
        <w:trPr>
          <w:trHeight w:val="210"/>
        </w:trPr>
        <w:tc>
          <w:tcPr>
            <w:tcW w:w="1376" w:type="pct"/>
            <w:tcBorders>
              <w:top w:val="nil"/>
              <w:left w:val="single" w:sz="4" w:space="0" w:color="auto"/>
              <w:bottom w:val="single" w:sz="4" w:space="0" w:color="auto"/>
              <w:right w:val="single" w:sz="4" w:space="0" w:color="auto"/>
            </w:tcBorders>
            <w:shd w:val="clear" w:color="auto" w:fill="auto"/>
            <w:noWrap/>
            <w:vAlign w:val="bottom"/>
            <w:hideMark/>
          </w:tcPr>
          <w:p w14:paraId="0ED91D2F" w14:textId="5D0BBFB9" w:rsidR="00602223" w:rsidRPr="009F5CA1" w:rsidRDefault="00602223" w:rsidP="00602223">
            <w:pPr>
              <w:rPr>
                <w:rFonts w:ascii="Arial Narrow" w:hAnsi="Arial Narrow" w:cs="Calibri"/>
                <w:b/>
                <w:bCs/>
                <w:sz w:val="18"/>
                <w:szCs w:val="18"/>
                <w:lang w:val="es-ES" w:eastAsia="en-GB"/>
              </w:rPr>
            </w:pPr>
            <w:proofErr w:type="spellStart"/>
            <w:r w:rsidRPr="009F5CA1">
              <w:rPr>
                <w:rFonts w:ascii="Arial Narrow" w:hAnsi="Arial Narrow" w:cs="Calibri"/>
                <w:b/>
                <w:bCs/>
                <w:sz w:val="18"/>
                <w:szCs w:val="18"/>
                <w:lang w:val="es-ES" w:eastAsia="en-GB"/>
              </w:rPr>
              <w:t>Rrjedha</w:t>
            </w:r>
            <w:proofErr w:type="spellEnd"/>
            <w:r w:rsidRPr="009F5CA1">
              <w:rPr>
                <w:rFonts w:ascii="Arial Narrow" w:hAnsi="Arial Narrow" w:cs="Calibri"/>
                <w:b/>
                <w:bCs/>
                <w:sz w:val="18"/>
                <w:szCs w:val="18"/>
                <w:lang w:val="es-ES" w:eastAsia="en-GB"/>
              </w:rPr>
              <w:t xml:space="preserve"> </w:t>
            </w:r>
            <w:proofErr w:type="spellStart"/>
            <w:r w:rsidRPr="009F5CA1">
              <w:rPr>
                <w:rFonts w:ascii="Arial Narrow" w:hAnsi="Arial Narrow" w:cs="Calibri"/>
                <w:b/>
                <w:bCs/>
                <w:sz w:val="18"/>
                <w:szCs w:val="18"/>
                <w:lang w:val="es-ES" w:eastAsia="en-GB"/>
              </w:rPr>
              <w:t>brenda</w:t>
            </w:r>
            <w:proofErr w:type="spellEnd"/>
            <w:r w:rsidRPr="009F5CA1">
              <w:rPr>
                <w:rFonts w:ascii="Arial Narrow" w:hAnsi="Arial Narrow" w:cs="Calibri"/>
                <w:b/>
                <w:bCs/>
                <w:sz w:val="18"/>
                <w:szCs w:val="18"/>
                <w:lang w:val="es-ES" w:eastAsia="en-GB"/>
              </w:rPr>
              <w:t xml:space="preserve"> e </w:t>
            </w:r>
            <w:proofErr w:type="spellStart"/>
            <w:r w:rsidRPr="009F5CA1">
              <w:rPr>
                <w:rFonts w:ascii="Arial Narrow" w:hAnsi="Arial Narrow" w:cs="Calibri"/>
                <w:b/>
                <w:bCs/>
                <w:sz w:val="18"/>
                <w:szCs w:val="18"/>
                <w:lang w:val="es-ES" w:eastAsia="en-GB"/>
              </w:rPr>
              <w:t>parasë</w:t>
            </w:r>
            <w:proofErr w:type="spellEnd"/>
            <w:r w:rsidRPr="009F5CA1">
              <w:rPr>
                <w:rFonts w:ascii="Arial Narrow" w:hAnsi="Arial Narrow" w:cs="Calibri"/>
                <w:b/>
                <w:bCs/>
                <w:sz w:val="18"/>
                <w:szCs w:val="18"/>
                <w:lang w:val="es-ES" w:eastAsia="en-GB"/>
              </w:rPr>
              <w:t xml:space="preserve">: </w:t>
            </w:r>
            <w:proofErr w:type="spellStart"/>
            <w:r w:rsidRPr="009F5CA1">
              <w:rPr>
                <w:rFonts w:ascii="Arial Narrow" w:hAnsi="Arial Narrow" w:cs="Calibri"/>
                <w:sz w:val="18"/>
                <w:szCs w:val="18"/>
                <w:lang w:val="es-ES" w:eastAsia="en-GB"/>
              </w:rPr>
              <w:t>mijë</w:t>
            </w:r>
            <w:proofErr w:type="spellEnd"/>
            <w:r w:rsidRPr="009F5CA1">
              <w:rPr>
                <w:rFonts w:ascii="Arial Narrow" w:hAnsi="Arial Narrow" w:cs="Calibri"/>
                <w:sz w:val="18"/>
                <w:szCs w:val="18"/>
                <w:lang w:val="es-ES" w:eastAsia="en-GB"/>
              </w:rPr>
              <w:t xml:space="preserve"> €</w:t>
            </w:r>
          </w:p>
        </w:tc>
        <w:tc>
          <w:tcPr>
            <w:tcW w:w="403" w:type="pct"/>
            <w:tcBorders>
              <w:top w:val="nil"/>
              <w:left w:val="nil"/>
              <w:bottom w:val="single" w:sz="4" w:space="0" w:color="auto"/>
              <w:right w:val="single" w:sz="4" w:space="0" w:color="auto"/>
            </w:tcBorders>
            <w:shd w:val="clear" w:color="auto" w:fill="auto"/>
            <w:noWrap/>
            <w:vAlign w:val="bottom"/>
            <w:hideMark/>
          </w:tcPr>
          <w:p w14:paraId="3A413D10"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1,261</w:t>
            </w:r>
          </w:p>
        </w:tc>
        <w:tc>
          <w:tcPr>
            <w:tcW w:w="403" w:type="pct"/>
            <w:tcBorders>
              <w:top w:val="nil"/>
              <w:left w:val="nil"/>
              <w:bottom w:val="single" w:sz="4" w:space="0" w:color="auto"/>
              <w:right w:val="single" w:sz="4" w:space="0" w:color="auto"/>
            </w:tcBorders>
            <w:shd w:val="clear" w:color="auto" w:fill="auto"/>
            <w:noWrap/>
            <w:vAlign w:val="bottom"/>
            <w:hideMark/>
          </w:tcPr>
          <w:p w14:paraId="73D04FFF"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1,239</w:t>
            </w:r>
          </w:p>
        </w:tc>
        <w:tc>
          <w:tcPr>
            <w:tcW w:w="403" w:type="pct"/>
            <w:tcBorders>
              <w:top w:val="nil"/>
              <w:left w:val="nil"/>
              <w:bottom w:val="single" w:sz="4" w:space="0" w:color="auto"/>
              <w:right w:val="single" w:sz="4" w:space="0" w:color="auto"/>
            </w:tcBorders>
            <w:shd w:val="clear" w:color="auto" w:fill="auto"/>
            <w:noWrap/>
            <w:vAlign w:val="bottom"/>
            <w:hideMark/>
          </w:tcPr>
          <w:p w14:paraId="1999EAE4"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1,208</w:t>
            </w:r>
          </w:p>
        </w:tc>
        <w:tc>
          <w:tcPr>
            <w:tcW w:w="403" w:type="pct"/>
            <w:tcBorders>
              <w:top w:val="nil"/>
              <w:left w:val="nil"/>
              <w:bottom w:val="single" w:sz="4" w:space="0" w:color="auto"/>
              <w:right w:val="single" w:sz="4" w:space="0" w:color="auto"/>
            </w:tcBorders>
            <w:shd w:val="clear" w:color="auto" w:fill="auto"/>
            <w:noWrap/>
            <w:vAlign w:val="bottom"/>
            <w:hideMark/>
          </w:tcPr>
          <w:p w14:paraId="40D4ED0B"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1,180</w:t>
            </w:r>
          </w:p>
        </w:tc>
        <w:tc>
          <w:tcPr>
            <w:tcW w:w="403" w:type="pct"/>
            <w:tcBorders>
              <w:top w:val="nil"/>
              <w:left w:val="nil"/>
              <w:bottom w:val="single" w:sz="4" w:space="0" w:color="auto"/>
              <w:right w:val="single" w:sz="4" w:space="0" w:color="auto"/>
            </w:tcBorders>
            <w:shd w:val="clear" w:color="auto" w:fill="auto"/>
            <w:noWrap/>
            <w:vAlign w:val="bottom"/>
            <w:hideMark/>
          </w:tcPr>
          <w:p w14:paraId="43968C06"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2,956</w:t>
            </w:r>
          </w:p>
        </w:tc>
        <w:tc>
          <w:tcPr>
            <w:tcW w:w="490" w:type="pct"/>
            <w:tcBorders>
              <w:top w:val="nil"/>
              <w:left w:val="nil"/>
              <w:bottom w:val="single" w:sz="4" w:space="0" w:color="auto"/>
              <w:right w:val="single" w:sz="4" w:space="0" w:color="auto"/>
            </w:tcBorders>
            <w:shd w:val="clear" w:color="auto" w:fill="auto"/>
            <w:noWrap/>
            <w:vAlign w:val="bottom"/>
            <w:hideMark/>
          </w:tcPr>
          <w:p w14:paraId="01869188"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743</w:t>
            </w:r>
          </w:p>
        </w:tc>
        <w:tc>
          <w:tcPr>
            <w:tcW w:w="403" w:type="pct"/>
            <w:tcBorders>
              <w:top w:val="nil"/>
              <w:left w:val="nil"/>
              <w:bottom w:val="single" w:sz="4" w:space="0" w:color="auto"/>
              <w:right w:val="single" w:sz="4" w:space="0" w:color="auto"/>
            </w:tcBorders>
            <w:shd w:val="clear" w:color="auto" w:fill="auto"/>
            <w:noWrap/>
            <w:vAlign w:val="bottom"/>
            <w:hideMark/>
          </w:tcPr>
          <w:p w14:paraId="2289CF99"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731</w:t>
            </w:r>
          </w:p>
        </w:tc>
        <w:tc>
          <w:tcPr>
            <w:tcW w:w="359" w:type="pct"/>
            <w:tcBorders>
              <w:top w:val="nil"/>
              <w:left w:val="nil"/>
              <w:bottom w:val="single" w:sz="4" w:space="0" w:color="auto"/>
              <w:right w:val="single" w:sz="4" w:space="0" w:color="auto"/>
            </w:tcBorders>
            <w:shd w:val="clear" w:color="auto" w:fill="auto"/>
            <w:noWrap/>
            <w:vAlign w:val="bottom"/>
            <w:hideMark/>
          </w:tcPr>
          <w:p w14:paraId="1BEDD51C"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726</w:t>
            </w:r>
          </w:p>
        </w:tc>
        <w:tc>
          <w:tcPr>
            <w:tcW w:w="359" w:type="pct"/>
            <w:tcBorders>
              <w:top w:val="nil"/>
              <w:left w:val="nil"/>
              <w:bottom w:val="single" w:sz="4" w:space="0" w:color="auto"/>
              <w:right w:val="single" w:sz="4" w:space="0" w:color="auto"/>
            </w:tcBorders>
            <w:shd w:val="clear" w:color="auto" w:fill="auto"/>
            <w:noWrap/>
            <w:vAlign w:val="bottom"/>
            <w:hideMark/>
          </w:tcPr>
          <w:p w14:paraId="0E155ED1"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715</w:t>
            </w:r>
          </w:p>
        </w:tc>
      </w:tr>
      <w:tr w:rsidR="00602223" w:rsidRPr="007D1EDC" w14:paraId="66C5D9B2" w14:textId="77777777" w:rsidTr="00602223">
        <w:trPr>
          <w:trHeight w:val="210"/>
        </w:trPr>
        <w:tc>
          <w:tcPr>
            <w:tcW w:w="1376" w:type="pct"/>
            <w:tcBorders>
              <w:top w:val="nil"/>
              <w:left w:val="single" w:sz="4" w:space="0" w:color="auto"/>
              <w:bottom w:val="single" w:sz="4" w:space="0" w:color="auto"/>
              <w:right w:val="single" w:sz="4" w:space="0" w:color="auto"/>
            </w:tcBorders>
            <w:shd w:val="clear" w:color="auto" w:fill="auto"/>
            <w:noWrap/>
            <w:vAlign w:val="bottom"/>
            <w:hideMark/>
          </w:tcPr>
          <w:p w14:paraId="793FF8F2" w14:textId="3AD6F0A7" w:rsidR="00602223" w:rsidRPr="009F5CA1" w:rsidRDefault="00602223" w:rsidP="00602223">
            <w:pPr>
              <w:rPr>
                <w:rFonts w:ascii="Arial Narrow" w:hAnsi="Arial Narrow" w:cs="Calibri"/>
                <w:sz w:val="18"/>
                <w:szCs w:val="18"/>
                <w:lang w:val="es-ES" w:eastAsia="en-GB"/>
              </w:rPr>
            </w:pPr>
            <w:proofErr w:type="spellStart"/>
            <w:r w:rsidRPr="009F5CA1">
              <w:rPr>
                <w:rFonts w:ascii="Arial Narrow" w:hAnsi="Arial Narrow" w:cs="Calibri"/>
                <w:sz w:val="18"/>
                <w:szCs w:val="18"/>
                <w:lang w:val="es-ES" w:eastAsia="en-GB"/>
              </w:rPr>
              <w:t>Të</w:t>
            </w:r>
            <w:proofErr w:type="spellEnd"/>
            <w:r w:rsidRPr="009F5CA1">
              <w:rPr>
                <w:rFonts w:ascii="Arial Narrow" w:hAnsi="Arial Narrow" w:cs="Calibri"/>
                <w:sz w:val="18"/>
                <w:szCs w:val="18"/>
                <w:lang w:val="es-ES" w:eastAsia="en-GB"/>
              </w:rPr>
              <w:t xml:space="preserve"> </w:t>
            </w:r>
            <w:proofErr w:type="spellStart"/>
            <w:r w:rsidRPr="009F5CA1">
              <w:rPr>
                <w:rFonts w:ascii="Arial Narrow" w:hAnsi="Arial Narrow" w:cs="Calibri"/>
                <w:sz w:val="18"/>
                <w:szCs w:val="18"/>
                <w:lang w:val="es-ES" w:eastAsia="en-GB"/>
              </w:rPr>
              <w:t>hyrat</w:t>
            </w:r>
            <w:proofErr w:type="spellEnd"/>
            <w:r w:rsidRPr="009F5CA1">
              <w:rPr>
                <w:rFonts w:ascii="Arial Narrow" w:hAnsi="Arial Narrow" w:cs="Calibri"/>
                <w:sz w:val="18"/>
                <w:szCs w:val="18"/>
                <w:lang w:val="es-ES" w:eastAsia="en-GB"/>
              </w:rPr>
              <w:t xml:space="preserve"> </w:t>
            </w:r>
            <w:proofErr w:type="spellStart"/>
            <w:r w:rsidRPr="009F5CA1">
              <w:rPr>
                <w:rFonts w:ascii="Arial Narrow" w:hAnsi="Arial Narrow" w:cs="Calibri"/>
                <w:sz w:val="18"/>
                <w:szCs w:val="18"/>
                <w:lang w:val="es-ES" w:eastAsia="en-GB"/>
              </w:rPr>
              <w:t>nga</w:t>
            </w:r>
            <w:proofErr w:type="spellEnd"/>
            <w:r w:rsidRPr="009F5CA1">
              <w:rPr>
                <w:rFonts w:ascii="Arial Narrow" w:hAnsi="Arial Narrow" w:cs="Calibri"/>
                <w:sz w:val="18"/>
                <w:szCs w:val="18"/>
                <w:lang w:val="es-ES" w:eastAsia="en-GB"/>
              </w:rPr>
              <w:t xml:space="preserve"> tarifa e </w:t>
            </w:r>
            <w:proofErr w:type="spellStart"/>
            <w:r w:rsidRPr="009F5CA1">
              <w:rPr>
                <w:rFonts w:ascii="Arial Narrow" w:hAnsi="Arial Narrow" w:cs="Calibri"/>
                <w:sz w:val="18"/>
                <w:szCs w:val="18"/>
                <w:lang w:val="es-ES" w:eastAsia="en-GB"/>
              </w:rPr>
              <w:t>portës</w:t>
            </w:r>
            <w:proofErr w:type="spellEnd"/>
          </w:p>
        </w:tc>
        <w:tc>
          <w:tcPr>
            <w:tcW w:w="403" w:type="pct"/>
            <w:tcBorders>
              <w:top w:val="nil"/>
              <w:left w:val="nil"/>
              <w:bottom w:val="single" w:sz="4" w:space="0" w:color="auto"/>
              <w:right w:val="single" w:sz="4" w:space="0" w:color="auto"/>
            </w:tcBorders>
            <w:shd w:val="clear" w:color="auto" w:fill="auto"/>
            <w:noWrap/>
            <w:vAlign w:val="bottom"/>
            <w:hideMark/>
          </w:tcPr>
          <w:p w14:paraId="263E5633"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1,261</w:t>
            </w:r>
          </w:p>
        </w:tc>
        <w:tc>
          <w:tcPr>
            <w:tcW w:w="403" w:type="pct"/>
            <w:tcBorders>
              <w:top w:val="nil"/>
              <w:left w:val="nil"/>
              <w:bottom w:val="single" w:sz="4" w:space="0" w:color="auto"/>
              <w:right w:val="single" w:sz="4" w:space="0" w:color="auto"/>
            </w:tcBorders>
            <w:shd w:val="clear" w:color="auto" w:fill="auto"/>
            <w:noWrap/>
            <w:vAlign w:val="bottom"/>
            <w:hideMark/>
          </w:tcPr>
          <w:p w14:paraId="407DA6CA"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1,239</w:t>
            </w:r>
          </w:p>
        </w:tc>
        <w:tc>
          <w:tcPr>
            <w:tcW w:w="403" w:type="pct"/>
            <w:tcBorders>
              <w:top w:val="nil"/>
              <w:left w:val="nil"/>
              <w:bottom w:val="single" w:sz="4" w:space="0" w:color="auto"/>
              <w:right w:val="single" w:sz="4" w:space="0" w:color="auto"/>
            </w:tcBorders>
            <w:shd w:val="clear" w:color="auto" w:fill="auto"/>
            <w:noWrap/>
            <w:vAlign w:val="bottom"/>
            <w:hideMark/>
          </w:tcPr>
          <w:p w14:paraId="2F745911"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1,208</w:t>
            </w:r>
          </w:p>
        </w:tc>
        <w:tc>
          <w:tcPr>
            <w:tcW w:w="403" w:type="pct"/>
            <w:tcBorders>
              <w:top w:val="nil"/>
              <w:left w:val="nil"/>
              <w:bottom w:val="single" w:sz="4" w:space="0" w:color="auto"/>
              <w:right w:val="single" w:sz="4" w:space="0" w:color="auto"/>
            </w:tcBorders>
            <w:shd w:val="clear" w:color="auto" w:fill="auto"/>
            <w:noWrap/>
            <w:vAlign w:val="bottom"/>
            <w:hideMark/>
          </w:tcPr>
          <w:p w14:paraId="1D89B82C"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1,180</w:t>
            </w:r>
          </w:p>
        </w:tc>
        <w:tc>
          <w:tcPr>
            <w:tcW w:w="403" w:type="pct"/>
            <w:tcBorders>
              <w:top w:val="nil"/>
              <w:left w:val="nil"/>
              <w:bottom w:val="single" w:sz="4" w:space="0" w:color="auto"/>
              <w:right w:val="single" w:sz="4" w:space="0" w:color="auto"/>
            </w:tcBorders>
            <w:shd w:val="clear" w:color="auto" w:fill="auto"/>
            <w:noWrap/>
            <w:vAlign w:val="bottom"/>
            <w:hideMark/>
          </w:tcPr>
          <w:p w14:paraId="476B1F0A"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2,056</w:t>
            </w:r>
          </w:p>
        </w:tc>
        <w:tc>
          <w:tcPr>
            <w:tcW w:w="490" w:type="pct"/>
            <w:tcBorders>
              <w:top w:val="nil"/>
              <w:left w:val="nil"/>
              <w:bottom w:val="single" w:sz="4" w:space="0" w:color="auto"/>
              <w:right w:val="single" w:sz="4" w:space="0" w:color="auto"/>
            </w:tcBorders>
            <w:shd w:val="clear" w:color="auto" w:fill="auto"/>
            <w:noWrap/>
            <w:vAlign w:val="bottom"/>
            <w:hideMark/>
          </w:tcPr>
          <w:p w14:paraId="73929F2B"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743</w:t>
            </w:r>
          </w:p>
        </w:tc>
        <w:tc>
          <w:tcPr>
            <w:tcW w:w="403" w:type="pct"/>
            <w:tcBorders>
              <w:top w:val="nil"/>
              <w:left w:val="nil"/>
              <w:bottom w:val="single" w:sz="4" w:space="0" w:color="auto"/>
              <w:right w:val="single" w:sz="4" w:space="0" w:color="auto"/>
            </w:tcBorders>
            <w:shd w:val="clear" w:color="auto" w:fill="auto"/>
            <w:noWrap/>
            <w:vAlign w:val="bottom"/>
            <w:hideMark/>
          </w:tcPr>
          <w:p w14:paraId="5AF11AF9"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731</w:t>
            </w:r>
          </w:p>
        </w:tc>
        <w:tc>
          <w:tcPr>
            <w:tcW w:w="359" w:type="pct"/>
            <w:tcBorders>
              <w:top w:val="nil"/>
              <w:left w:val="nil"/>
              <w:bottom w:val="single" w:sz="4" w:space="0" w:color="auto"/>
              <w:right w:val="single" w:sz="4" w:space="0" w:color="auto"/>
            </w:tcBorders>
            <w:shd w:val="clear" w:color="auto" w:fill="auto"/>
            <w:noWrap/>
            <w:vAlign w:val="bottom"/>
            <w:hideMark/>
          </w:tcPr>
          <w:p w14:paraId="6EA4A117"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726</w:t>
            </w:r>
          </w:p>
        </w:tc>
        <w:tc>
          <w:tcPr>
            <w:tcW w:w="359" w:type="pct"/>
            <w:tcBorders>
              <w:top w:val="nil"/>
              <w:left w:val="nil"/>
              <w:bottom w:val="single" w:sz="4" w:space="0" w:color="auto"/>
              <w:right w:val="single" w:sz="4" w:space="0" w:color="auto"/>
            </w:tcBorders>
            <w:shd w:val="clear" w:color="auto" w:fill="auto"/>
            <w:noWrap/>
            <w:vAlign w:val="bottom"/>
            <w:hideMark/>
          </w:tcPr>
          <w:p w14:paraId="3CC4D901"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715</w:t>
            </w:r>
          </w:p>
        </w:tc>
      </w:tr>
      <w:tr w:rsidR="00602223" w:rsidRPr="007D1EDC" w14:paraId="65A84EE7" w14:textId="77777777" w:rsidTr="00602223">
        <w:trPr>
          <w:trHeight w:val="210"/>
        </w:trPr>
        <w:tc>
          <w:tcPr>
            <w:tcW w:w="1376" w:type="pct"/>
            <w:tcBorders>
              <w:top w:val="nil"/>
              <w:left w:val="single" w:sz="4" w:space="0" w:color="auto"/>
              <w:bottom w:val="single" w:sz="4" w:space="0" w:color="auto"/>
              <w:right w:val="single" w:sz="4" w:space="0" w:color="auto"/>
            </w:tcBorders>
            <w:shd w:val="clear" w:color="auto" w:fill="auto"/>
            <w:noWrap/>
            <w:vAlign w:val="bottom"/>
            <w:hideMark/>
          </w:tcPr>
          <w:p w14:paraId="4F3D75CD" w14:textId="0668FBAF" w:rsidR="00602223" w:rsidRPr="00602223" w:rsidRDefault="00602223" w:rsidP="00602223">
            <w:pPr>
              <w:rPr>
                <w:rFonts w:ascii="Arial Narrow" w:hAnsi="Arial Narrow" w:cs="Calibri"/>
                <w:sz w:val="18"/>
                <w:szCs w:val="18"/>
                <w:lang w:val="en-GB" w:eastAsia="en-GB"/>
              </w:rPr>
            </w:pPr>
            <w:proofErr w:type="spellStart"/>
            <w:r w:rsidRPr="00602223">
              <w:rPr>
                <w:rFonts w:ascii="Arial Narrow" w:hAnsi="Arial Narrow" w:cs="Calibri"/>
                <w:sz w:val="18"/>
                <w:szCs w:val="18"/>
                <w:lang w:val="en-GB" w:eastAsia="en-GB"/>
              </w:rPr>
              <w:t>Kredi</w:t>
            </w:r>
            <w:proofErr w:type="spellEnd"/>
          </w:p>
        </w:tc>
        <w:tc>
          <w:tcPr>
            <w:tcW w:w="403" w:type="pct"/>
            <w:tcBorders>
              <w:top w:val="nil"/>
              <w:left w:val="nil"/>
              <w:bottom w:val="single" w:sz="4" w:space="0" w:color="auto"/>
              <w:right w:val="single" w:sz="4" w:space="0" w:color="auto"/>
            </w:tcBorders>
            <w:shd w:val="clear" w:color="auto" w:fill="auto"/>
            <w:noWrap/>
            <w:vAlign w:val="bottom"/>
            <w:hideMark/>
          </w:tcPr>
          <w:p w14:paraId="03DD2825" w14:textId="77777777" w:rsidR="00602223" w:rsidRPr="007D1EDC" w:rsidRDefault="00602223" w:rsidP="00602223">
            <w:pPr>
              <w:rPr>
                <w:rFonts w:ascii="Arial Narrow" w:hAnsi="Arial Narrow" w:cs="Calibri"/>
                <w:color w:val="000000"/>
                <w:sz w:val="18"/>
                <w:szCs w:val="18"/>
                <w:lang w:val="en-GB" w:eastAsia="en-GB"/>
              </w:rPr>
            </w:pPr>
            <w:r w:rsidRPr="007D1EDC">
              <w:rPr>
                <w:rFonts w:ascii="Arial Narrow" w:hAnsi="Arial Narrow" w:cs="Calibr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14:paraId="5659D1C8" w14:textId="77777777" w:rsidR="00602223" w:rsidRPr="007D1EDC" w:rsidRDefault="00602223" w:rsidP="00602223">
            <w:pPr>
              <w:rPr>
                <w:rFonts w:ascii="Arial Narrow" w:hAnsi="Arial Narrow" w:cs="Calibri"/>
                <w:color w:val="000000"/>
                <w:sz w:val="18"/>
                <w:szCs w:val="18"/>
                <w:lang w:val="en-GB" w:eastAsia="en-GB"/>
              </w:rPr>
            </w:pPr>
            <w:r w:rsidRPr="007D1EDC">
              <w:rPr>
                <w:rFonts w:ascii="Arial Narrow" w:hAnsi="Arial Narrow" w:cs="Calibr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14:paraId="4ED1C44A" w14:textId="77777777" w:rsidR="00602223" w:rsidRPr="007D1EDC" w:rsidRDefault="00602223" w:rsidP="00602223">
            <w:pPr>
              <w:rPr>
                <w:rFonts w:ascii="Arial Narrow" w:hAnsi="Arial Narrow" w:cs="Calibri"/>
                <w:color w:val="000000"/>
                <w:sz w:val="18"/>
                <w:szCs w:val="18"/>
                <w:lang w:val="en-GB" w:eastAsia="en-GB"/>
              </w:rPr>
            </w:pPr>
            <w:r w:rsidRPr="007D1EDC">
              <w:rPr>
                <w:rFonts w:ascii="Arial Narrow" w:hAnsi="Arial Narrow" w:cs="Calibr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14:paraId="60643488" w14:textId="77777777" w:rsidR="00602223" w:rsidRPr="007D1EDC" w:rsidRDefault="00602223" w:rsidP="00602223">
            <w:pPr>
              <w:rPr>
                <w:rFonts w:ascii="Arial Narrow" w:hAnsi="Arial Narrow" w:cs="Calibri"/>
                <w:color w:val="000000"/>
                <w:sz w:val="18"/>
                <w:szCs w:val="18"/>
                <w:lang w:val="en-GB" w:eastAsia="en-GB"/>
              </w:rPr>
            </w:pPr>
            <w:r w:rsidRPr="007D1EDC">
              <w:rPr>
                <w:rFonts w:ascii="Arial Narrow" w:hAnsi="Arial Narrow" w:cs="Calibr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14:paraId="7F402396"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900</w:t>
            </w:r>
          </w:p>
        </w:tc>
        <w:tc>
          <w:tcPr>
            <w:tcW w:w="490" w:type="pct"/>
            <w:tcBorders>
              <w:top w:val="nil"/>
              <w:left w:val="nil"/>
              <w:bottom w:val="single" w:sz="4" w:space="0" w:color="auto"/>
              <w:right w:val="single" w:sz="4" w:space="0" w:color="auto"/>
            </w:tcBorders>
            <w:shd w:val="clear" w:color="auto" w:fill="auto"/>
            <w:noWrap/>
            <w:vAlign w:val="bottom"/>
            <w:hideMark/>
          </w:tcPr>
          <w:p w14:paraId="5AA23E0E" w14:textId="77777777" w:rsidR="00602223" w:rsidRPr="007D1EDC" w:rsidRDefault="00602223" w:rsidP="00602223">
            <w:pPr>
              <w:rPr>
                <w:rFonts w:ascii="Arial Narrow" w:hAnsi="Arial Narrow" w:cs="Calibri"/>
                <w:color w:val="000000"/>
                <w:sz w:val="18"/>
                <w:szCs w:val="18"/>
                <w:lang w:val="en-GB" w:eastAsia="en-GB"/>
              </w:rPr>
            </w:pPr>
            <w:r w:rsidRPr="007D1EDC">
              <w:rPr>
                <w:rFonts w:ascii="Arial Narrow" w:hAnsi="Arial Narrow" w:cs="Calibr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14:paraId="1D339600" w14:textId="77777777" w:rsidR="00602223" w:rsidRPr="007D1EDC" w:rsidRDefault="00602223" w:rsidP="00602223">
            <w:pPr>
              <w:rPr>
                <w:rFonts w:ascii="Arial Narrow" w:hAnsi="Arial Narrow" w:cs="Calibri"/>
                <w:color w:val="000000"/>
                <w:sz w:val="18"/>
                <w:szCs w:val="18"/>
                <w:lang w:val="en-GB" w:eastAsia="en-GB"/>
              </w:rPr>
            </w:pPr>
            <w:r w:rsidRPr="007D1EDC">
              <w:rPr>
                <w:rFonts w:ascii="Arial Narrow" w:hAnsi="Arial Narrow" w:cs="Calibri"/>
                <w:color w:val="000000"/>
                <w:sz w:val="18"/>
                <w:szCs w:val="18"/>
              </w:rPr>
              <w:t> </w:t>
            </w:r>
          </w:p>
        </w:tc>
        <w:tc>
          <w:tcPr>
            <w:tcW w:w="359" w:type="pct"/>
            <w:tcBorders>
              <w:top w:val="nil"/>
              <w:left w:val="nil"/>
              <w:bottom w:val="single" w:sz="4" w:space="0" w:color="auto"/>
              <w:right w:val="single" w:sz="4" w:space="0" w:color="auto"/>
            </w:tcBorders>
            <w:shd w:val="clear" w:color="auto" w:fill="auto"/>
            <w:noWrap/>
            <w:vAlign w:val="bottom"/>
            <w:hideMark/>
          </w:tcPr>
          <w:p w14:paraId="5F0E3B97" w14:textId="77777777" w:rsidR="00602223" w:rsidRPr="007D1EDC" w:rsidRDefault="00602223" w:rsidP="00602223">
            <w:pPr>
              <w:rPr>
                <w:rFonts w:ascii="Arial Narrow" w:hAnsi="Arial Narrow" w:cs="Calibri"/>
                <w:color w:val="000000"/>
                <w:sz w:val="18"/>
                <w:szCs w:val="18"/>
                <w:lang w:val="en-GB" w:eastAsia="en-GB"/>
              </w:rPr>
            </w:pPr>
            <w:r w:rsidRPr="007D1EDC">
              <w:rPr>
                <w:rFonts w:ascii="Arial Narrow" w:hAnsi="Arial Narrow" w:cs="Calibri"/>
                <w:color w:val="000000"/>
                <w:sz w:val="18"/>
                <w:szCs w:val="18"/>
              </w:rPr>
              <w:t> </w:t>
            </w:r>
          </w:p>
        </w:tc>
        <w:tc>
          <w:tcPr>
            <w:tcW w:w="359" w:type="pct"/>
            <w:tcBorders>
              <w:top w:val="nil"/>
              <w:left w:val="nil"/>
              <w:bottom w:val="single" w:sz="4" w:space="0" w:color="auto"/>
              <w:right w:val="single" w:sz="4" w:space="0" w:color="auto"/>
            </w:tcBorders>
            <w:shd w:val="clear" w:color="auto" w:fill="auto"/>
            <w:noWrap/>
            <w:vAlign w:val="bottom"/>
            <w:hideMark/>
          </w:tcPr>
          <w:p w14:paraId="4010F589" w14:textId="77777777" w:rsidR="00602223" w:rsidRPr="007D1EDC" w:rsidRDefault="00602223" w:rsidP="00602223">
            <w:pPr>
              <w:rPr>
                <w:rFonts w:ascii="Arial Narrow" w:hAnsi="Arial Narrow" w:cs="Calibri"/>
                <w:color w:val="000000"/>
                <w:sz w:val="18"/>
                <w:szCs w:val="18"/>
                <w:lang w:val="en-GB" w:eastAsia="en-GB"/>
              </w:rPr>
            </w:pPr>
            <w:r w:rsidRPr="007D1EDC">
              <w:rPr>
                <w:rFonts w:ascii="Arial Narrow" w:hAnsi="Arial Narrow" w:cs="Calibri"/>
                <w:color w:val="000000"/>
                <w:sz w:val="18"/>
                <w:szCs w:val="18"/>
              </w:rPr>
              <w:t> </w:t>
            </w:r>
          </w:p>
        </w:tc>
      </w:tr>
      <w:tr w:rsidR="00602223" w:rsidRPr="007D1EDC" w14:paraId="394199E4" w14:textId="77777777" w:rsidTr="00602223">
        <w:trPr>
          <w:trHeight w:val="210"/>
        </w:trPr>
        <w:tc>
          <w:tcPr>
            <w:tcW w:w="1376" w:type="pct"/>
            <w:tcBorders>
              <w:top w:val="nil"/>
              <w:left w:val="single" w:sz="4" w:space="0" w:color="auto"/>
              <w:bottom w:val="single" w:sz="4" w:space="0" w:color="auto"/>
              <w:right w:val="single" w:sz="4" w:space="0" w:color="auto"/>
            </w:tcBorders>
            <w:shd w:val="clear" w:color="auto" w:fill="auto"/>
            <w:noWrap/>
            <w:vAlign w:val="bottom"/>
            <w:hideMark/>
          </w:tcPr>
          <w:p w14:paraId="04E7CE5C" w14:textId="0B8D8DE2" w:rsidR="00602223" w:rsidRPr="009F5CA1" w:rsidRDefault="00602223" w:rsidP="00602223">
            <w:pPr>
              <w:rPr>
                <w:rFonts w:ascii="Arial Narrow" w:hAnsi="Arial Narrow" w:cs="Calibri"/>
                <w:b/>
                <w:bCs/>
                <w:sz w:val="18"/>
                <w:szCs w:val="18"/>
                <w:lang w:val="es-ES" w:eastAsia="en-GB"/>
              </w:rPr>
            </w:pPr>
            <w:proofErr w:type="spellStart"/>
            <w:r w:rsidRPr="009F5CA1">
              <w:rPr>
                <w:rFonts w:ascii="Arial Narrow" w:hAnsi="Arial Narrow" w:cs="Calibri"/>
                <w:b/>
                <w:bCs/>
                <w:sz w:val="18"/>
                <w:szCs w:val="18"/>
                <w:lang w:val="es-ES" w:eastAsia="en-GB"/>
              </w:rPr>
              <w:t>Rrjedha</w:t>
            </w:r>
            <w:proofErr w:type="spellEnd"/>
            <w:r w:rsidRPr="009F5CA1">
              <w:rPr>
                <w:rFonts w:ascii="Arial Narrow" w:hAnsi="Arial Narrow" w:cs="Calibri"/>
                <w:b/>
                <w:bCs/>
                <w:sz w:val="18"/>
                <w:szCs w:val="18"/>
                <w:lang w:val="es-ES" w:eastAsia="en-GB"/>
              </w:rPr>
              <w:t xml:space="preserve"> </w:t>
            </w:r>
            <w:proofErr w:type="spellStart"/>
            <w:r w:rsidRPr="009F5CA1">
              <w:rPr>
                <w:rFonts w:ascii="Arial Narrow" w:hAnsi="Arial Narrow" w:cs="Calibri"/>
                <w:b/>
                <w:bCs/>
                <w:sz w:val="18"/>
                <w:szCs w:val="18"/>
                <w:lang w:val="es-ES" w:eastAsia="en-GB"/>
              </w:rPr>
              <w:t>jashtë</w:t>
            </w:r>
            <w:proofErr w:type="spellEnd"/>
            <w:r w:rsidRPr="009F5CA1">
              <w:rPr>
                <w:rFonts w:ascii="Arial Narrow" w:hAnsi="Arial Narrow" w:cs="Calibri"/>
                <w:b/>
                <w:bCs/>
                <w:sz w:val="18"/>
                <w:szCs w:val="18"/>
                <w:lang w:val="es-ES" w:eastAsia="en-GB"/>
              </w:rPr>
              <w:t xml:space="preserve"> e </w:t>
            </w:r>
            <w:proofErr w:type="spellStart"/>
            <w:proofErr w:type="gramStart"/>
            <w:r w:rsidRPr="009F5CA1">
              <w:rPr>
                <w:rFonts w:ascii="Arial Narrow" w:hAnsi="Arial Narrow" w:cs="Calibri"/>
                <w:b/>
                <w:bCs/>
                <w:sz w:val="18"/>
                <w:szCs w:val="18"/>
                <w:lang w:val="es-ES" w:eastAsia="en-GB"/>
              </w:rPr>
              <w:t>parasë</w:t>
            </w:r>
            <w:proofErr w:type="spellEnd"/>
            <w:r w:rsidRPr="009F5CA1">
              <w:rPr>
                <w:rFonts w:ascii="Arial Narrow" w:hAnsi="Arial Narrow" w:cs="Calibri"/>
                <w:b/>
                <w:bCs/>
                <w:sz w:val="18"/>
                <w:szCs w:val="18"/>
                <w:lang w:val="es-ES" w:eastAsia="en-GB"/>
              </w:rPr>
              <w:t xml:space="preserve"> ,</w:t>
            </w:r>
            <w:proofErr w:type="gramEnd"/>
            <w:r w:rsidRPr="009F5CA1">
              <w:rPr>
                <w:rFonts w:ascii="Arial Narrow" w:hAnsi="Arial Narrow" w:cs="Calibri"/>
                <w:b/>
                <w:bCs/>
                <w:sz w:val="18"/>
                <w:szCs w:val="18"/>
                <w:lang w:val="es-ES" w:eastAsia="en-GB"/>
              </w:rPr>
              <w:t xml:space="preserve"> </w:t>
            </w:r>
            <w:proofErr w:type="spellStart"/>
            <w:r w:rsidRPr="009F5CA1">
              <w:rPr>
                <w:rFonts w:ascii="Arial Narrow" w:hAnsi="Arial Narrow" w:cs="Calibri"/>
                <w:sz w:val="18"/>
                <w:szCs w:val="18"/>
                <w:lang w:val="es-ES" w:eastAsia="en-GB"/>
              </w:rPr>
              <w:t>mijë</w:t>
            </w:r>
            <w:proofErr w:type="spellEnd"/>
            <w:r w:rsidRPr="009F5CA1">
              <w:rPr>
                <w:rFonts w:ascii="Arial Narrow" w:hAnsi="Arial Narrow" w:cs="Calibri"/>
                <w:sz w:val="18"/>
                <w:szCs w:val="18"/>
                <w:lang w:val="es-ES" w:eastAsia="en-GB"/>
              </w:rPr>
              <w:t xml:space="preserve"> €</w:t>
            </w:r>
          </w:p>
        </w:tc>
        <w:tc>
          <w:tcPr>
            <w:tcW w:w="403" w:type="pct"/>
            <w:tcBorders>
              <w:top w:val="nil"/>
              <w:left w:val="nil"/>
              <w:bottom w:val="single" w:sz="4" w:space="0" w:color="auto"/>
              <w:right w:val="single" w:sz="4" w:space="0" w:color="auto"/>
            </w:tcBorders>
            <w:shd w:val="clear" w:color="auto" w:fill="auto"/>
            <w:noWrap/>
            <w:vAlign w:val="bottom"/>
            <w:hideMark/>
          </w:tcPr>
          <w:p w14:paraId="4BE45C1D"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1,063</w:t>
            </w:r>
          </w:p>
        </w:tc>
        <w:tc>
          <w:tcPr>
            <w:tcW w:w="403" w:type="pct"/>
            <w:tcBorders>
              <w:top w:val="nil"/>
              <w:left w:val="nil"/>
              <w:bottom w:val="single" w:sz="4" w:space="0" w:color="auto"/>
              <w:right w:val="single" w:sz="4" w:space="0" w:color="auto"/>
            </w:tcBorders>
            <w:shd w:val="clear" w:color="auto" w:fill="auto"/>
            <w:noWrap/>
            <w:vAlign w:val="bottom"/>
            <w:hideMark/>
          </w:tcPr>
          <w:p w14:paraId="12AEA353"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1,018</w:t>
            </w:r>
          </w:p>
        </w:tc>
        <w:tc>
          <w:tcPr>
            <w:tcW w:w="403" w:type="pct"/>
            <w:tcBorders>
              <w:top w:val="nil"/>
              <w:left w:val="nil"/>
              <w:bottom w:val="single" w:sz="4" w:space="0" w:color="auto"/>
              <w:right w:val="single" w:sz="4" w:space="0" w:color="auto"/>
            </w:tcBorders>
            <w:shd w:val="clear" w:color="auto" w:fill="auto"/>
            <w:noWrap/>
            <w:vAlign w:val="bottom"/>
            <w:hideMark/>
          </w:tcPr>
          <w:p w14:paraId="50BC5203"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1,011</w:t>
            </w:r>
          </w:p>
        </w:tc>
        <w:tc>
          <w:tcPr>
            <w:tcW w:w="403" w:type="pct"/>
            <w:tcBorders>
              <w:top w:val="nil"/>
              <w:left w:val="nil"/>
              <w:bottom w:val="single" w:sz="4" w:space="0" w:color="auto"/>
              <w:right w:val="single" w:sz="4" w:space="0" w:color="auto"/>
            </w:tcBorders>
            <w:shd w:val="clear" w:color="auto" w:fill="auto"/>
            <w:noWrap/>
            <w:vAlign w:val="bottom"/>
            <w:hideMark/>
          </w:tcPr>
          <w:p w14:paraId="63A31308"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1,004</w:t>
            </w:r>
          </w:p>
        </w:tc>
        <w:tc>
          <w:tcPr>
            <w:tcW w:w="403" w:type="pct"/>
            <w:tcBorders>
              <w:top w:val="nil"/>
              <w:left w:val="nil"/>
              <w:bottom w:val="single" w:sz="4" w:space="0" w:color="auto"/>
              <w:right w:val="single" w:sz="4" w:space="0" w:color="auto"/>
            </w:tcBorders>
            <w:shd w:val="clear" w:color="auto" w:fill="auto"/>
            <w:noWrap/>
            <w:vAlign w:val="bottom"/>
            <w:hideMark/>
          </w:tcPr>
          <w:p w14:paraId="021E00DD"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2,666</w:t>
            </w:r>
          </w:p>
        </w:tc>
        <w:tc>
          <w:tcPr>
            <w:tcW w:w="490" w:type="pct"/>
            <w:tcBorders>
              <w:top w:val="nil"/>
              <w:left w:val="nil"/>
              <w:bottom w:val="single" w:sz="4" w:space="0" w:color="auto"/>
              <w:right w:val="single" w:sz="4" w:space="0" w:color="auto"/>
            </w:tcBorders>
            <w:shd w:val="clear" w:color="auto" w:fill="auto"/>
            <w:noWrap/>
            <w:vAlign w:val="bottom"/>
            <w:hideMark/>
          </w:tcPr>
          <w:p w14:paraId="5413C16D"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1,643</w:t>
            </w:r>
          </w:p>
        </w:tc>
        <w:tc>
          <w:tcPr>
            <w:tcW w:w="403" w:type="pct"/>
            <w:tcBorders>
              <w:top w:val="nil"/>
              <w:left w:val="nil"/>
              <w:bottom w:val="single" w:sz="4" w:space="0" w:color="auto"/>
              <w:right w:val="single" w:sz="4" w:space="0" w:color="auto"/>
            </w:tcBorders>
            <w:shd w:val="clear" w:color="auto" w:fill="auto"/>
            <w:noWrap/>
            <w:vAlign w:val="bottom"/>
            <w:hideMark/>
          </w:tcPr>
          <w:p w14:paraId="14F053B6"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746</w:t>
            </w:r>
          </w:p>
        </w:tc>
        <w:tc>
          <w:tcPr>
            <w:tcW w:w="359" w:type="pct"/>
            <w:tcBorders>
              <w:top w:val="nil"/>
              <w:left w:val="nil"/>
              <w:bottom w:val="single" w:sz="4" w:space="0" w:color="auto"/>
              <w:right w:val="single" w:sz="4" w:space="0" w:color="auto"/>
            </w:tcBorders>
            <w:shd w:val="clear" w:color="auto" w:fill="auto"/>
            <w:noWrap/>
            <w:vAlign w:val="bottom"/>
            <w:hideMark/>
          </w:tcPr>
          <w:p w14:paraId="62C820D1"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743</w:t>
            </w:r>
          </w:p>
        </w:tc>
        <w:tc>
          <w:tcPr>
            <w:tcW w:w="359" w:type="pct"/>
            <w:tcBorders>
              <w:top w:val="nil"/>
              <w:left w:val="nil"/>
              <w:bottom w:val="single" w:sz="4" w:space="0" w:color="auto"/>
              <w:right w:val="single" w:sz="4" w:space="0" w:color="auto"/>
            </w:tcBorders>
            <w:shd w:val="clear" w:color="auto" w:fill="auto"/>
            <w:noWrap/>
            <w:vAlign w:val="bottom"/>
            <w:hideMark/>
          </w:tcPr>
          <w:p w14:paraId="329FD881"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741</w:t>
            </w:r>
          </w:p>
        </w:tc>
      </w:tr>
      <w:tr w:rsidR="00602223" w:rsidRPr="007D1EDC" w14:paraId="6F23A309" w14:textId="77777777" w:rsidTr="00602223">
        <w:trPr>
          <w:trHeight w:val="210"/>
        </w:trPr>
        <w:tc>
          <w:tcPr>
            <w:tcW w:w="1376" w:type="pct"/>
            <w:tcBorders>
              <w:top w:val="nil"/>
              <w:left w:val="single" w:sz="4" w:space="0" w:color="auto"/>
              <w:bottom w:val="single" w:sz="4" w:space="0" w:color="auto"/>
              <w:right w:val="single" w:sz="4" w:space="0" w:color="auto"/>
            </w:tcBorders>
            <w:shd w:val="clear" w:color="auto" w:fill="auto"/>
            <w:noWrap/>
            <w:vAlign w:val="bottom"/>
            <w:hideMark/>
          </w:tcPr>
          <w:p w14:paraId="24B98F2E" w14:textId="2D9381A0" w:rsidR="00602223" w:rsidRPr="009F5CA1" w:rsidRDefault="00602223" w:rsidP="00602223">
            <w:pPr>
              <w:rPr>
                <w:rFonts w:ascii="Arial Narrow" w:hAnsi="Arial Narrow" w:cs="Calibri"/>
                <w:sz w:val="18"/>
                <w:szCs w:val="18"/>
                <w:lang w:eastAsia="en-GB"/>
              </w:rPr>
            </w:pPr>
            <w:r w:rsidRPr="009F5CA1">
              <w:rPr>
                <w:rFonts w:ascii="Arial Narrow" w:hAnsi="Arial Narrow" w:cs="Calibri"/>
                <w:sz w:val="18"/>
                <w:szCs w:val="18"/>
                <w:lang w:eastAsia="en-GB"/>
              </w:rPr>
              <w:t>Ndërtimi i qelisë së dytë</w:t>
            </w:r>
          </w:p>
        </w:tc>
        <w:tc>
          <w:tcPr>
            <w:tcW w:w="403" w:type="pct"/>
            <w:tcBorders>
              <w:top w:val="nil"/>
              <w:left w:val="nil"/>
              <w:bottom w:val="single" w:sz="4" w:space="0" w:color="auto"/>
              <w:right w:val="single" w:sz="4" w:space="0" w:color="auto"/>
            </w:tcBorders>
            <w:shd w:val="clear" w:color="auto" w:fill="auto"/>
            <w:noWrap/>
            <w:vAlign w:val="bottom"/>
            <w:hideMark/>
          </w:tcPr>
          <w:p w14:paraId="7DB698E5"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0</w:t>
            </w:r>
          </w:p>
        </w:tc>
        <w:tc>
          <w:tcPr>
            <w:tcW w:w="403" w:type="pct"/>
            <w:tcBorders>
              <w:top w:val="nil"/>
              <w:left w:val="nil"/>
              <w:bottom w:val="single" w:sz="4" w:space="0" w:color="auto"/>
              <w:right w:val="single" w:sz="4" w:space="0" w:color="auto"/>
            </w:tcBorders>
            <w:shd w:val="clear" w:color="auto" w:fill="auto"/>
            <w:noWrap/>
            <w:vAlign w:val="bottom"/>
            <w:hideMark/>
          </w:tcPr>
          <w:p w14:paraId="61148A71"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0</w:t>
            </w:r>
          </w:p>
        </w:tc>
        <w:tc>
          <w:tcPr>
            <w:tcW w:w="403" w:type="pct"/>
            <w:tcBorders>
              <w:top w:val="nil"/>
              <w:left w:val="nil"/>
              <w:bottom w:val="single" w:sz="4" w:space="0" w:color="auto"/>
              <w:right w:val="single" w:sz="4" w:space="0" w:color="auto"/>
            </w:tcBorders>
            <w:shd w:val="clear" w:color="auto" w:fill="auto"/>
            <w:noWrap/>
            <w:vAlign w:val="bottom"/>
            <w:hideMark/>
          </w:tcPr>
          <w:p w14:paraId="6C0FF7A0"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0</w:t>
            </w:r>
          </w:p>
        </w:tc>
        <w:tc>
          <w:tcPr>
            <w:tcW w:w="403" w:type="pct"/>
            <w:tcBorders>
              <w:top w:val="nil"/>
              <w:left w:val="nil"/>
              <w:bottom w:val="single" w:sz="4" w:space="0" w:color="auto"/>
              <w:right w:val="single" w:sz="4" w:space="0" w:color="auto"/>
            </w:tcBorders>
            <w:shd w:val="clear" w:color="auto" w:fill="auto"/>
            <w:noWrap/>
            <w:vAlign w:val="bottom"/>
            <w:hideMark/>
          </w:tcPr>
          <w:p w14:paraId="3B9BA884"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0</w:t>
            </w:r>
          </w:p>
        </w:tc>
        <w:tc>
          <w:tcPr>
            <w:tcW w:w="403" w:type="pct"/>
            <w:tcBorders>
              <w:top w:val="nil"/>
              <w:left w:val="nil"/>
              <w:bottom w:val="single" w:sz="4" w:space="0" w:color="auto"/>
              <w:right w:val="single" w:sz="4" w:space="0" w:color="auto"/>
            </w:tcBorders>
            <w:shd w:val="clear" w:color="auto" w:fill="auto"/>
            <w:noWrap/>
            <w:vAlign w:val="bottom"/>
            <w:hideMark/>
          </w:tcPr>
          <w:p w14:paraId="5D9C9F4D"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1,458</w:t>
            </w:r>
          </w:p>
        </w:tc>
        <w:tc>
          <w:tcPr>
            <w:tcW w:w="490" w:type="pct"/>
            <w:tcBorders>
              <w:top w:val="nil"/>
              <w:left w:val="nil"/>
              <w:bottom w:val="nil"/>
              <w:right w:val="nil"/>
            </w:tcBorders>
            <w:shd w:val="clear" w:color="auto" w:fill="auto"/>
            <w:noWrap/>
            <w:vAlign w:val="bottom"/>
            <w:hideMark/>
          </w:tcPr>
          <w:p w14:paraId="5C983486" w14:textId="77777777" w:rsidR="00602223" w:rsidRPr="007D1EDC" w:rsidRDefault="00602223" w:rsidP="00602223">
            <w:pPr>
              <w:jc w:val="right"/>
              <w:rPr>
                <w:rFonts w:ascii="Arial Narrow" w:hAnsi="Arial Narrow" w:cs="Calibri"/>
                <w:color w:val="000000"/>
                <w:sz w:val="18"/>
                <w:szCs w:val="18"/>
                <w:lang w:val="en-GB" w:eastAsia="en-GB"/>
              </w:rPr>
            </w:pPr>
          </w:p>
        </w:tc>
        <w:tc>
          <w:tcPr>
            <w:tcW w:w="403" w:type="pct"/>
            <w:tcBorders>
              <w:top w:val="nil"/>
              <w:left w:val="single" w:sz="4" w:space="0" w:color="auto"/>
              <w:bottom w:val="single" w:sz="4" w:space="0" w:color="auto"/>
              <w:right w:val="single" w:sz="4" w:space="0" w:color="auto"/>
            </w:tcBorders>
            <w:shd w:val="clear" w:color="auto" w:fill="auto"/>
            <w:noWrap/>
            <w:vAlign w:val="bottom"/>
            <w:hideMark/>
          </w:tcPr>
          <w:p w14:paraId="5623D391"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0</w:t>
            </w:r>
          </w:p>
        </w:tc>
        <w:tc>
          <w:tcPr>
            <w:tcW w:w="359" w:type="pct"/>
            <w:tcBorders>
              <w:top w:val="nil"/>
              <w:left w:val="nil"/>
              <w:bottom w:val="single" w:sz="4" w:space="0" w:color="auto"/>
              <w:right w:val="single" w:sz="4" w:space="0" w:color="auto"/>
            </w:tcBorders>
            <w:shd w:val="clear" w:color="auto" w:fill="auto"/>
            <w:noWrap/>
            <w:vAlign w:val="bottom"/>
            <w:hideMark/>
          </w:tcPr>
          <w:p w14:paraId="3778482E"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0</w:t>
            </w:r>
          </w:p>
        </w:tc>
        <w:tc>
          <w:tcPr>
            <w:tcW w:w="359" w:type="pct"/>
            <w:tcBorders>
              <w:top w:val="nil"/>
              <w:left w:val="nil"/>
              <w:bottom w:val="single" w:sz="4" w:space="0" w:color="auto"/>
              <w:right w:val="single" w:sz="4" w:space="0" w:color="auto"/>
            </w:tcBorders>
            <w:shd w:val="clear" w:color="auto" w:fill="auto"/>
            <w:noWrap/>
            <w:vAlign w:val="bottom"/>
            <w:hideMark/>
          </w:tcPr>
          <w:p w14:paraId="1C75D2C5"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0</w:t>
            </w:r>
          </w:p>
        </w:tc>
      </w:tr>
      <w:tr w:rsidR="00602223" w:rsidRPr="007D1EDC" w14:paraId="09D9EB69" w14:textId="77777777" w:rsidTr="00602223">
        <w:trPr>
          <w:trHeight w:val="210"/>
        </w:trPr>
        <w:tc>
          <w:tcPr>
            <w:tcW w:w="1376" w:type="pct"/>
            <w:tcBorders>
              <w:top w:val="nil"/>
              <w:left w:val="single" w:sz="4" w:space="0" w:color="auto"/>
              <w:bottom w:val="single" w:sz="4" w:space="0" w:color="auto"/>
              <w:right w:val="single" w:sz="4" w:space="0" w:color="auto"/>
            </w:tcBorders>
            <w:shd w:val="clear" w:color="auto" w:fill="auto"/>
            <w:noWrap/>
            <w:vAlign w:val="bottom"/>
            <w:hideMark/>
          </w:tcPr>
          <w:p w14:paraId="45327772" w14:textId="5A6DE25F" w:rsidR="00602223" w:rsidRPr="009F5CA1" w:rsidRDefault="00602223" w:rsidP="00602223">
            <w:pPr>
              <w:rPr>
                <w:rFonts w:ascii="Arial Narrow" w:hAnsi="Arial Narrow" w:cs="Calibri"/>
                <w:sz w:val="18"/>
                <w:szCs w:val="18"/>
                <w:lang w:val="es-ES" w:eastAsia="en-GB"/>
              </w:rPr>
            </w:pPr>
            <w:proofErr w:type="spellStart"/>
            <w:r w:rsidRPr="009F5CA1">
              <w:rPr>
                <w:rFonts w:ascii="Arial Narrow" w:hAnsi="Arial Narrow" w:cs="Calibri"/>
                <w:sz w:val="18"/>
                <w:szCs w:val="18"/>
                <w:lang w:val="es-ES" w:eastAsia="en-GB"/>
              </w:rPr>
              <w:t>Kostoja</w:t>
            </w:r>
            <w:proofErr w:type="spellEnd"/>
            <w:r w:rsidRPr="009F5CA1">
              <w:rPr>
                <w:rFonts w:ascii="Arial Narrow" w:hAnsi="Arial Narrow" w:cs="Calibri"/>
                <w:sz w:val="18"/>
                <w:szCs w:val="18"/>
                <w:lang w:val="es-ES" w:eastAsia="en-GB"/>
              </w:rPr>
              <w:t xml:space="preserve"> e </w:t>
            </w:r>
            <w:proofErr w:type="spellStart"/>
            <w:r w:rsidRPr="009F5CA1">
              <w:rPr>
                <w:rFonts w:ascii="Arial Narrow" w:hAnsi="Arial Narrow" w:cs="Calibri"/>
                <w:sz w:val="18"/>
                <w:szCs w:val="18"/>
                <w:lang w:val="es-ES" w:eastAsia="en-GB"/>
              </w:rPr>
              <w:t>mbylljes</w:t>
            </w:r>
            <w:proofErr w:type="spellEnd"/>
            <w:r w:rsidRPr="009F5CA1">
              <w:rPr>
                <w:rFonts w:ascii="Arial Narrow" w:hAnsi="Arial Narrow" w:cs="Calibri"/>
                <w:sz w:val="18"/>
                <w:szCs w:val="18"/>
                <w:lang w:val="es-ES" w:eastAsia="en-GB"/>
              </w:rPr>
              <w:t xml:space="preserve"> </w:t>
            </w:r>
            <w:proofErr w:type="spellStart"/>
            <w:r w:rsidRPr="009F5CA1">
              <w:rPr>
                <w:rFonts w:ascii="Arial Narrow" w:hAnsi="Arial Narrow" w:cs="Calibri"/>
                <w:sz w:val="18"/>
                <w:szCs w:val="18"/>
                <w:lang w:val="es-ES" w:eastAsia="en-GB"/>
              </w:rPr>
              <w:t>së</w:t>
            </w:r>
            <w:proofErr w:type="spellEnd"/>
            <w:r w:rsidRPr="009F5CA1">
              <w:rPr>
                <w:rFonts w:ascii="Arial Narrow" w:hAnsi="Arial Narrow" w:cs="Calibri"/>
                <w:sz w:val="18"/>
                <w:szCs w:val="18"/>
                <w:lang w:val="es-ES" w:eastAsia="en-GB"/>
              </w:rPr>
              <w:t xml:space="preserve"> </w:t>
            </w:r>
            <w:proofErr w:type="spellStart"/>
            <w:r w:rsidRPr="009F5CA1">
              <w:rPr>
                <w:rFonts w:ascii="Arial Narrow" w:hAnsi="Arial Narrow" w:cs="Calibri"/>
                <w:sz w:val="18"/>
                <w:szCs w:val="18"/>
                <w:lang w:val="es-ES" w:eastAsia="en-GB"/>
              </w:rPr>
              <w:t>qelisë</w:t>
            </w:r>
            <w:proofErr w:type="spellEnd"/>
          </w:p>
        </w:tc>
        <w:tc>
          <w:tcPr>
            <w:tcW w:w="403" w:type="pct"/>
            <w:tcBorders>
              <w:top w:val="nil"/>
              <w:left w:val="nil"/>
              <w:bottom w:val="single" w:sz="4" w:space="0" w:color="auto"/>
              <w:right w:val="single" w:sz="4" w:space="0" w:color="auto"/>
            </w:tcBorders>
            <w:shd w:val="clear" w:color="auto" w:fill="auto"/>
            <w:noWrap/>
            <w:vAlign w:val="bottom"/>
            <w:hideMark/>
          </w:tcPr>
          <w:p w14:paraId="3C1D2EE6" w14:textId="77777777" w:rsidR="00602223" w:rsidRPr="009F5CA1" w:rsidRDefault="00602223" w:rsidP="00602223">
            <w:pPr>
              <w:rPr>
                <w:rFonts w:ascii="Arial Narrow" w:hAnsi="Arial Narrow" w:cs="Calibri"/>
                <w:color w:val="000000"/>
                <w:sz w:val="18"/>
                <w:szCs w:val="18"/>
                <w:lang w:val="es-ES" w:eastAsia="en-GB"/>
              </w:rPr>
            </w:pPr>
            <w:r w:rsidRPr="007D1EDC">
              <w:rPr>
                <w:rFonts w:ascii="Arial Narrow" w:hAnsi="Arial Narrow" w:cs="Calibr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14:paraId="469D0944" w14:textId="77777777" w:rsidR="00602223" w:rsidRPr="009F5CA1" w:rsidRDefault="00602223" w:rsidP="00602223">
            <w:pPr>
              <w:rPr>
                <w:rFonts w:ascii="Arial Narrow" w:hAnsi="Arial Narrow" w:cs="Calibri"/>
                <w:color w:val="000000"/>
                <w:sz w:val="18"/>
                <w:szCs w:val="18"/>
                <w:lang w:val="es-ES" w:eastAsia="en-GB"/>
              </w:rPr>
            </w:pPr>
            <w:r w:rsidRPr="007D1EDC">
              <w:rPr>
                <w:rFonts w:ascii="Arial Narrow" w:hAnsi="Arial Narrow" w:cs="Calibr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14:paraId="11795C22" w14:textId="77777777" w:rsidR="00602223" w:rsidRPr="009F5CA1" w:rsidRDefault="00602223" w:rsidP="00602223">
            <w:pPr>
              <w:rPr>
                <w:rFonts w:ascii="Arial Narrow" w:hAnsi="Arial Narrow" w:cs="Calibri"/>
                <w:color w:val="000000"/>
                <w:sz w:val="18"/>
                <w:szCs w:val="18"/>
                <w:lang w:val="es-ES" w:eastAsia="en-GB"/>
              </w:rPr>
            </w:pPr>
            <w:r w:rsidRPr="007D1EDC">
              <w:rPr>
                <w:rFonts w:ascii="Arial Narrow" w:hAnsi="Arial Narrow" w:cs="Calibr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14:paraId="77D04370" w14:textId="77777777" w:rsidR="00602223" w:rsidRPr="009F5CA1" w:rsidRDefault="00602223" w:rsidP="00602223">
            <w:pPr>
              <w:rPr>
                <w:rFonts w:ascii="Arial Narrow" w:hAnsi="Arial Narrow" w:cs="Calibri"/>
                <w:color w:val="000000"/>
                <w:sz w:val="18"/>
                <w:szCs w:val="18"/>
                <w:lang w:val="es-ES" w:eastAsia="en-GB"/>
              </w:rPr>
            </w:pPr>
            <w:r w:rsidRPr="007D1EDC">
              <w:rPr>
                <w:rFonts w:ascii="Arial Narrow" w:hAnsi="Arial Narrow" w:cs="Calibr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14:paraId="0BB81DA5" w14:textId="77777777" w:rsidR="00602223" w:rsidRPr="009F5CA1" w:rsidRDefault="00602223" w:rsidP="00602223">
            <w:pPr>
              <w:rPr>
                <w:rFonts w:ascii="Arial Narrow" w:hAnsi="Arial Narrow" w:cs="Calibri"/>
                <w:color w:val="000000"/>
                <w:sz w:val="18"/>
                <w:szCs w:val="18"/>
                <w:lang w:val="es-ES" w:eastAsia="en-GB"/>
              </w:rPr>
            </w:pPr>
            <w:r w:rsidRPr="007D1EDC">
              <w:rPr>
                <w:rFonts w:ascii="Arial Narrow" w:hAnsi="Arial Narrow" w:cs="Calibri"/>
                <w:color w:val="000000"/>
                <w:sz w:val="18"/>
                <w:szCs w:val="18"/>
              </w:rPr>
              <w:t> </w:t>
            </w:r>
          </w:p>
        </w:tc>
        <w:tc>
          <w:tcPr>
            <w:tcW w:w="490" w:type="pct"/>
            <w:tcBorders>
              <w:top w:val="single" w:sz="4" w:space="0" w:color="auto"/>
              <w:left w:val="nil"/>
              <w:bottom w:val="single" w:sz="4" w:space="0" w:color="auto"/>
              <w:right w:val="single" w:sz="4" w:space="0" w:color="auto"/>
            </w:tcBorders>
            <w:shd w:val="clear" w:color="auto" w:fill="auto"/>
            <w:noWrap/>
            <w:vAlign w:val="bottom"/>
            <w:hideMark/>
          </w:tcPr>
          <w:p w14:paraId="31560375"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894</w:t>
            </w:r>
          </w:p>
        </w:tc>
        <w:tc>
          <w:tcPr>
            <w:tcW w:w="403" w:type="pct"/>
            <w:tcBorders>
              <w:top w:val="nil"/>
              <w:left w:val="nil"/>
              <w:bottom w:val="single" w:sz="4" w:space="0" w:color="auto"/>
              <w:right w:val="single" w:sz="4" w:space="0" w:color="auto"/>
            </w:tcBorders>
            <w:shd w:val="clear" w:color="auto" w:fill="auto"/>
            <w:noWrap/>
            <w:vAlign w:val="bottom"/>
            <w:hideMark/>
          </w:tcPr>
          <w:p w14:paraId="4BCF620A" w14:textId="77777777" w:rsidR="00602223" w:rsidRPr="007D1EDC" w:rsidRDefault="00602223" w:rsidP="00602223">
            <w:pPr>
              <w:rPr>
                <w:rFonts w:ascii="Arial Narrow" w:hAnsi="Arial Narrow" w:cs="Calibri"/>
                <w:color w:val="000000"/>
                <w:sz w:val="18"/>
                <w:szCs w:val="18"/>
                <w:lang w:val="en-GB" w:eastAsia="en-GB"/>
              </w:rPr>
            </w:pPr>
            <w:r w:rsidRPr="007D1EDC">
              <w:rPr>
                <w:rFonts w:ascii="Arial Narrow" w:hAnsi="Arial Narrow" w:cs="Calibri"/>
                <w:color w:val="000000"/>
                <w:sz w:val="18"/>
                <w:szCs w:val="18"/>
              </w:rPr>
              <w:t> </w:t>
            </w:r>
          </w:p>
        </w:tc>
        <w:tc>
          <w:tcPr>
            <w:tcW w:w="359" w:type="pct"/>
            <w:tcBorders>
              <w:top w:val="nil"/>
              <w:left w:val="nil"/>
              <w:bottom w:val="single" w:sz="4" w:space="0" w:color="auto"/>
              <w:right w:val="single" w:sz="4" w:space="0" w:color="auto"/>
            </w:tcBorders>
            <w:shd w:val="clear" w:color="auto" w:fill="auto"/>
            <w:noWrap/>
            <w:vAlign w:val="bottom"/>
            <w:hideMark/>
          </w:tcPr>
          <w:p w14:paraId="6DF0FEDC" w14:textId="77777777" w:rsidR="00602223" w:rsidRPr="007D1EDC" w:rsidRDefault="00602223" w:rsidP="00602223">
            <w:pPr>
              <w:rPr>
                <w:rFonts w:ascii="Arial Narrow" w:hAnsi="Arial Narrow" w:cs="Calibri"/>
                <w:color w:val="000000"/>
                <w:sz w:val="18"/>
                <w:szCs w:val="18"/>
                <w:lang w:val="en-GB" w:eastAsia="en-GB"/>
              </w:rPr>
            </w:pPr>
            <w:r w:rsidRPr="007D1EDC">
              <w:rPr>
                <w:rFonts w:ascii="Arial Narrow" w:hAnsi="Arial Narrow" w:cs="Calibri"/>
                <w:color w:val="000000"/>
                <w:sz w:val="18"/>
                <w:szCs w:val="18"/>
              </w:rPr>
              <w:t> </w:t>
            </w:r>
          </w:p>
        </w:tc>
        <w:tc>
          <w:tcPr>
            <w:tcW w:w="359" w:type="pct"/>
            <w:tcBorders>
              <w:top w:val="nil"/>
              <w:left w:val="nil"/>
              <w:bottom w:val="single" w:sz="4" w:space="0" w:color="auto"/>
              <w:right w:val="single" w:sz="4" w:space="0" w:color="auto"/>
            </w:tcBorders>
            <w:shd w:val="clear" w:color="auto" w:fill="auto"/>
            <w:noWrap/>
            <w:vAlign w:val="bottom"/>
            <w:hideMark/>
          </w:tcPr>
          <w:p w14:paraId="516E26F8" w14:textId="77777777" w:rsidR="00602223" w:rsidRPr="007D1EDC" w:rsidRDefault="00602223" w:rsidP="00602223">
            <w:pPr>
              <w:rPr>
                <w:rFonts w:ascii="Arial Narrow" w:hAnsi="Arial Narrow" w:cs="Calibri"/>
                <w:color w:val="000000"/>
                <w:sz w:val="18"/>
                <w:szCs w:val="18"/>
                <w:lang w:val="en-GB" w:eastAsia="en-GB"/>
              </w:rPr>
            </w:pPr>
            <w:r w:rsidRPr="007D1EDC">
              <w:rPr>
                <w:rFonts w:ascii="Arial Narrow" w:hAnsi="Arial Narrow" w:cs="Calibri"/>
                <w:color w:val="000000"/>
                <w:sz w:val="18"/>
                <w:szCs w:val="18"/>
              </w:rPr>
              <w:t> </w:t>
            </w:r>
          </w:p>
        </w:tc>
      </w:tr>
      <w:tr w:rsidR="00602223" w:rsidRPr="007D1EDC" w14:paraId="087FCF23" w14:textId="77777777" w:rsidTr="00602223">
        <w:trPr>
          <w:trHeight w:val="210"/>
        </w:trPr>
        <w:tc>
          <w:tcPr>
            <w:tcW w:w="1376" w:type="pct"/>
            <w:tcBorders>
              <w:top w:val="nil"/>
              <w:left w:val="single" w:sz="4" w:space="0" w:color="auto"/>
              <w:bottom w:val="single" w:sz="4" w:space="0" w:color="auto"/>
              <w:right w:val="single" w:sz="4" w:space="0" w:color="auto"/>
            </w:tcBorders>
            <w:shd w:val="clear" w:color="auto" w:fill="auto"/>
            <w:noWrap/>
            <w:vAlign w:val="bottom"/>
            <w:hideMark/>
          </w:tcPr>
          <w:p w14:paraId="0828E387" w14:textId="37A07B01" w:rsidR="00602223" w:rsidRPr="00602223" w:rsidRDefault="00602223" w:rsidP="00602223">
            <w:pPr>
              <w:rPr>
                <w:rFonts w:ascii="Arial Narrow" w:hAnsi="Arial Narrow" w:cs="Calibri"/>
                <w:sz w:val="18"/>
                <w:szCs w:val="18"/>
                <w:lang w:val="en-GB" w:eastAsia="en-GB"/>
              </w:rPr>
            </w:pPr>
            <w:proofErr w:type="spellStart"/>
            <w:r w:rsidRPr="00602223">
              <w:rPr>
                <w:rFonts w:ascii="Arial Narrow" w:hAnsi="Arial Narrow" w:cs="Calibri"/>
                <w:sz w:val="18"/>
                <w:szCs w:val="18"/>
                <w:lang w:val="en-GB" w:eastAsia="en-GB"/>
              </w:rPr>
              <w:t>Kostot</w:t>
            </w:r>
            <w:proofErr w:type="spellEnd"/>
            <w:r w:rsidRPr="00602223">
              <w:rPr>
                <w:rFonts w:ascii="Arial Narrow" w:hAnsi="Arial Narrow" w:cs="Calibri"/>
                <w:sz w:val="18"/>
                <w:szCs w:val="18"/>
                <w:lang w:val="en-GB" w:eastAsia="en-GB"/>
              </w:rPr>
              <w:t xml:space="preserve"> </w:t>
            </w:r>
            <w:proofErr w:type="spellStart"/>
            <w:r w:rsidRPr="00602223">
              <w:rPr>
                <w:rFonts w:ascii="Arial Narrow" w:hAnsi="Arial Narrow" w:cs="Calibri"/>
                <w:sz w:val="18"/>
                <w:szCs w:val="18"/>
                <w:lang w:val="en-GB" w:eastAsia="en-GB"/>
              </w:rPr>
              <w:t>operacionale</w:t>
            </w:r>
            <w:proofErr w:type="spellEnd"/>
          </w:p>
        </w:tc>
        <w:tc>
          <w:tcPr>
            <w:tcW w:w="403" w:type="pct"/>
            <w:tcBorders>
              <w:top w:val="nil"/>
              <w:left w:val="nil"/>
              <w:bottom w:val="single" w:sz="4" w:space="0" w:color="auto"/>
              <w:right w:val="single" w:sz="4" w:space="0" w:color="auto"/>
            </w:tcBorders>
            <w:shd w:val="clear" w:color="auto" w:fill="auto"/>
            <w:noWrap/>
            <w:vAlign w:val="bottom"/>
            <w:hideMark/>
          </w:tcPr>
          <w:p w14:paraId="23AD775B"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1,063</w:t>
            </w:r>
          </w:p>
        </w:tc>
        <w:tc>
          <w:tcPr>
            <w:tcW w:w="403" w:type="pct"/>
            <w:tcBorders>
              <w:top w:val="nil"/>
              <w:left w:val="nil"/>
              <w:bottom w:val="single" w:sz="4" w:space="0" w:color="auto"/>
              <w:right w:val="single" w:sz="4" w:space="0" w:color="auto"/>
            </w:tcBorders>
            <w:shd w:val="clear" w:color="auto" w:fill="auto"/>
            <w:noWrap/>
            <w:vAlign w:val="bottom"/>
            <w:hideMark/>
          </w:tcPr>
          <w:p w14:paraId="50C89235"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1,018</w:t>
            </w:r>
          </w:p>
        </w:tc>
        <w:tc>
          <w:tcPr>
            <w:tcW w:w="403" w:type="pct"/>
            <w:tcBorders>
              <w:top w:val="nil"/>
              <w:left w:val="nil"/>
              <w:bottom w:val="single" w:sz="4" w:space="0" w:color="auto"/>
              <w:right w:val="single" w:sz="4" w:space="0" w:color="auto"/>
            </w:tcBorders>
            <w:shd w:val="clear" w:color="auto" w:fill="auto"/>
            <w:noWrap/>
            <w:vAlign w:val="bottom"/>
            <w:hideMark/>
          </w:tcPr>
          <w:p w14:paraId="399DE547"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1,011</w:t>
            </w:r>
          </w:p>
        </w:tc>
        <w:tc>
          <w:tcPr>
            <w:tcW w:w="403" w:type="pct"/>
            <w:tcBorders>
              <w:top w:val="nil"/>
              <w:left w:val="nil"/>
              <w:bottom w:val="single" w:sz="4" w:space="0" w:color="auto"/>
              <w:right w:val="single" w:sz="4" w:space="0" w:color="auto"/>
            </w:tcBorders>
            <w:shd w:val="clear" w:color="auto" w:fill="auto"/>
            <w:noWrap/>
            <w:vAlign w:val="bottom"/>
            <w:hideMark/>
          </w:tcPr>
          <w:p w14:paraId="7971AF74"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1,004</w:t>
            </w:r>
          </w:p>
        </w:tc>
        <w:tc>
          <w:tcPr>
            <w:tcW w:w="403" w:type="pct"/>
            <w:tcBorders>
              <w:top w:val="nil"/>
              <w:left w:val="nil"/>
              <w:bottom w:val="single" w:sz="4" w:space="0" w:color="auto"/>
              <w:right w:val="single" w:sz="4" w:space="0" w:color="auto"/>
            </w:tcBorders>
            <w:shd w:val="clear" w:color="auto" w:fill="auto"/>
            <w:noWrap/>
            <w:vAlign w:val="bottom"/>
            <w:hideMark/>
          </w:tcPr>
          <w:p w14:paraId="1964ED1A"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1,000</w:t>
            </w:r>
          </w:p>
        </w:tc>
        <w:tc>
          <w:tcPr>
            <w:tcW w:w="490" w:type="pct"/>
            <w:tcBorders>
              <w:top w:val="nil"/>
              <w:left w:val="nil"/>
              <w:bottom w:val="single" w:sz="4" w:space="0" w:color="auto"/>
              <w:right w:val="single" w:sz="4" w:space="0" w:color="auto"/>
            </w:tcBorders>
            <w:shd w:val="clear" w:color="auto" w:fill="auto"/>
            <w:noWrap/>
            <w:vAlign w:val="bottom"/>
            <w:hideMark/>
          </w:tcPr>
          <w:p w14:paraId="4FE8D0F1"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541</w:t>
            </w:r>
          </w:p>
        </w:tc>
        <w:tc>
          <w:tcPr>
            <w:tcW w:w="403" w:type="pct"/>
            <w:tcBorders>
              <w:top w:val="nil"/>
              <w:left w:val="nil"/>
              <w:bottom w:val="single" w:sz="4" w:space="0" w:color="auto"/>
              <w:right w:val="single" w:sz="4" w:space="0" w:color="auto"/>
            </w:tcBorders>
            <w:shd w:val="clear" w:color="auto" w:fill="auto"/>
            <w:noWrap/>
            <w:vAlign w:val="bottom"/>
            <w:hideMark/>
          </w:tcPr>
          <w:p w14:paraId="31A486DE"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539</w:t>
            </w:r>
          </w:p>
        </w:tc>
        <w:tc>
          <w:tcPr>
            <w:tcW w:w="359" w:type="pct"/>
            <w:tcBorders>
              <w:top w:val="nil"/>
              <w:left w:val="nil"/>
              <w:bottom w:val="single" w:sz="4" w:space="0" w:color="auto"/>
              <w:right w:val="single" w:sz="4" w:space="0" w:color="auto"/>
            </w:tcBorders>
            <w:shd w:val="clear" w:color="auto" w:fill="auto"/>
            <w:noWrap/>
            <w:vAlign w:val="bottom"/>
            <w:hideMark/>
          </w:tcPr>
          <w:p w14:paraId="0FD6B9E9"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536</w:t>
            </w:r>
          </w:p>
        </w:tc>
        <w:tc>
          <w:tcPr>
            <w:tcW w:w="359" w:type="pct"/>
            <w:tcBorders>
              <w:top w:val="nil"/>
              <w:left w:val="nil"/>
              <w:bottom w:val="single" w:sz="4" w:space="0" w:color="auto"/>
              <w:right w:val="single" w:sz="4" w:space="0" w:color="auto"/>
            </w:tcBorders>
            <w:shd w:val="clear" w:color="auto" w:fill="auto"/>
            <w:noWrap/>
            <w:vAlign w:val="bottom"/>
            <w:hideMark/>
          </w:tcPr>
          <w:p w14:paraId="3BA6C928"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533</w:t>
            </w:r>
          </w:p>
        </w:tc>
      </w:tr>
      <w:tr w:rsidR="00602223" w:rsidRPr="007D1EDC" w14:paraId="19CAEC2C" w14:textId="77777777" w:rsidTr="00602223">
        <w:trPr>
          <w:trHeight w:val="210"/>
        </w:trPr>
        <w:tc>
          <w:tcPr>
            <w:tcW w:w="1376" w:type="pct"/>
            <w:tcBorders>
              <w:top w:val="nil"/>
              <w:left w:val="single" w:sz="4" w:space="0" w:color="auto"/>
              <w:bottom w:val="single" w:sz="4" w:space="0" w:color="auto"/>
              <w:right w:val="single" w:sz="4" w:space="0" w:color="auto"/>
            </w:tcBorders>
            <w:shd w:val="clear" w:color="auto" w:fill="auto"/>
            <w:noWrap/>
            <w:vAlign w:val="bottom"/>
            <w:hideMark/>
          </w:tcPr>
          <w:p w14:paraId="2A3A2FC2" w14:textId="4ABCA2A1" w:rsidR="00602223" w:rsidRPr="009F5CA1" w:rsidRDefault="00602223" w:rsidP="00602223">
            <w:pPr>
              <w:rPr>
                <w:rFonts w:ascii="Arial Narrow" w:hAnsi="Arial Narrow" w:cs="Calibri"/>
                <w:sz w:val="18"/>
                <w:szCs w:val="18"/>
                <w:lang w:val="de-DE" w:eastAsia="en-GB"/>
              </w:rPr>
            </w:pPr>
            <w:proofErr w:type="spellStart"/>
            <w:r w:rsidRPr="009F5CA1">
              <w:rPr>
                <w:rFonts w:ascii="Arial Narrow" w:hAnsi="Arial Narrow" w:cs="Calibri"/>
                <w:sz w:val="18"/>
                <w:szCs w:val="18"/>
                <w:lang w:val="de-DE" w:eastAsia="en-GB"/>
              </w:rPr>
              <w:t>Shlyerja</w:t>
            </w:r>
            <w:proofErr w:type="spellEnd"/>
            <w:r w:rsidRPr="009F5CA1">
              <w:rPr>
                <w:rFonts w:ascii="Arial Narrow" w:hAnsi="Arial Narrow" w:cs="Calibri"/>
                <w:sz w:val="18"/>
                <w:szCs w:val="18"/>
                <w:lang w:val="de-DE" w:eastAsia="en-GB"/>
              </w:rPr>
              <w:t xml:space="preserve"> e </w:t>
            </w:r>
            <w:proofErr w:type="spellStart"/>
            <w:r w:rsidRPr="009F5CA1">
              <w:rPr>
                <w:rFonts w:ascii="Arial Narrow" w:hAnsi="Arial Narrow" w:cs="Calibri"/>
                <w:sz w:val="18"/>
                <w:szCs w:val="18"/>
                <w:lang w:val="de-DE" w:eastAsia="en-GB"/>
              </w:rPr>
              <w:t>kredisë</w:t>
            </w:r>
            <w:proofErr w:type="spellEnd"/>
            <w:r w:rsidRPr="009F5CA1">
              <w:rPr>
                <w:rFonts w:ascii="Arial Narrow" w:hAnsi="Arial Narrow" w:cs="Calibri"/>
                <w:sz w:val="18"/>
                <w:szCs w:val="18"/>
                <w:lang w:val="de-DE" w:eastAsia="en-GB"/>
              </w:rPr>
              <w:t xml:space="preserve"> </w:t>
            </w:r>
            <w:proofErr w:type="spellStart"/>
            <w:r w:rsidRPr="009F5CA1">
              <w:rPr>
                <w:rFonts w:ascii="Arial Narrow" w:hAnsi="Arial Narrow" w:cs="Calibri"/>
                <w:sz w:val="18"/>
                <w:szCs w:val="18"/>
                <w:lang w:val="de-DE" w:eastAsia="en-GB"/>
              </w:rPr>
              <w:t>dhe</w:t>
            </w:r>
            <w:proofErr w:type="spellEnd"/>
            <w:r w:rsidRPr="009F5CA1">
              <w:rPr>
                <w:rFonts w:ascii="Arial Narrow" w:hAnsi="Arial Narrow" w:cs="Calibri"/>
                <w:sz w:val="18"/>
                <w:szCs w:val="18"/>
                <w:lang w:val="de-DE" w:eastAsia="en-GB"/>
              </w:rPr>
              <w:t xml:space="preserve"> </w:t>
            </w:r>
            <w:proofErr w:type="spellStart"/>
            <w:r w:rsidRPr="009F5CA1">
              <w:rPr>
                <w:rFonts w:ascii="Arial Narrow" w:hAnsi="Arial Narrow" w:cs="Calibri"/>
                <w:sz w:val="18"/>
                <w:szCs w:val="18"/>
                <w:lang w:val="de-DE" w:eastAsia="en-GB"/>
              </w:rPr>
              <w:t>interest</w:t>
            </w:r>
            <w:proofErr w:type="spellEnd"/>
          </w:p>
        </w:tc>
        <w:tc>
          <w:tcPr>
            <w:tcW w:w="403" w:type="pct"/>
            <w:tcBorders>
              <w:top w:val="nil"/>
              <w:left w:val="nil"/>
              <w:bottom w:val="single" w:sz="4" w:space="0" w:color="auto"/>
              <w:right w:val="single" w:sz="4" w:space="0" w:color="auto"/>
            </w:tcBorders>
            <w:shd w:val="clear" w:color="auto" w:fill="auto"/>
            <w:noWrap/>
            <w:vAlign w:val="bottom"/>
            <w:hideMark/>
          </w:tcPr>
          <w:p w14:paraId="1546E83E" w14:textId="77777777" w:rsidR="00602223" w:rsidRPr="009F5CA1" w:rsidRDefault="00602223" w:rsidP="00602223">
            <w:pPr>
              <w:rPr>
                <w:rFonts w:ascii="Arial Narrow" w:hAnsi="Arial Narrow" w:cs="Calibri"/>
                <w:color w:val="000000"/>
                <w:sz w:val="18"/>
                <w:szCs w:val="18"/>
                <w:lang w:val="de-DE" w:eastAsia="en-GB"/>
              </w:rPr>
            </w:pPr>
            <w:r w:rsidRPr="007D1EDC">
              <w:rPr>
                <w:rFonts w:ascii="Arial Narrow" w:hAnsi="Arial Narrow" w:cs="Calibr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14:paraId="5C483FEE" w14:textId="77777777" w:rsidR="00602223" w:rsidRPr="009F5CA1" w:rsidRDefault="00602223" w:rsidP="00602223">
            <w:pPr>
              <w:rPr>
                <w:rFonts w:ascii="Arial Narrow" w:hAnsi="Arial Narrow" w:cs="Calibri"/>
                <w:color w:val="000000"/>
                <w:sz w:val="18"/>
                <w:szCs w:val="18"/>
                <w:lang w:val="de-DE" w:eastAsia="en-GB"/>
              </w:rPr>
            </w:pPr>
            <w:r w:rsidRPr="007D1EDC">
              <w:rPr>
                <w:rFonts w:ascii="Arial Narrow" w:hAnsi="Arial Narrow" w:cs="Calibr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14:paraId="5AC96A25" w14:textId="77777777" w:rsidR="00602223" w:rsidRPr="009F5CA1" w:rsidRDefault="00602223" w:rsidP="00602223">
            <w:pPr>
              <w:rPr>
                <w:rFonts w:ascii="Arial Narrow" w:hAnsi="Arial Narrow" w:cs="Calibri"/>
                <w:color w:val="000000"/>
                <w:sz w:val="18"/>
                <w:szCs w:val="18"/>
                <w:lang w:val="de-DE" w:eastAsia="en-GB"/>
              </w:rPr>
            </w:pPr>
            <w:r w:rsidRPr="007D1EDC">
              <w:rPr>
                <w:rFonts w:ascii="Arial Narrow" w:hAnsi="Arial Narrow" w:cs="Calibr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14:paraId="7BFA01BA" w14:textId="77777777" w:rsidR="00602223" w:rsidRPr="009F5CA1" w:rsidRDefault="00602223" w:rsidP="00602223">
            <w:pPr>
              <w:rPr>
                <w:rFonts w:ascii="Arial Narrow" w:hAnsi="Arial Narrow" w:cs="Calibri"/>
                <w:color w:val="000000"/>
                <w:sz w:val="18"/>
                <w:szCs w:val="18"/>
                <w:lang w:val="de-DE" w:eastAsia="en-GB"/>
              </w:rPr>
            </w:pPr>
            <w:r w:rsidRPr="007D1EDC">
              <w:rPr>
                <w:rFonts w:ascii="Arial Narrow" w:hAnsi="Arial Narrow" w:cs="Calibr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14:paraId="4121392D"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208</w:t>
            </w:r>
          </w:p>
        </w:tc>
        <w:tc>
          <w:tcPr>
            <w:tcW w:w="490" w:type="pct"/>
            <w:tcBorders>
              <w:top w:val="nil"/>
              <w:left w:val="nil"/>
              <w:bottom w:val="single" w:sz="4" w:space="0" w:color="auto"/>
              <w:right w:val="single" w:sz="4" w:space="0" w:color="auto"/>
            </w:tcBorders>
            <w:shd w:val="clear" w:color="auto" w:fill="auto"/>
            <w:noWrap/>
            <w:vAlign w:val="bottom"/>
            <w:hideMark/>
          </w:tcPr>
          <w:p w14:paraId="329B4FE3"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208</w:t>
            </w:r>
          </w:p>
        </w:tc>
        <w:tc>
          <w:tcPr>
            <w:tcW w:w="403" w:type="pct"/>
            <w:tcBorders>
              <w:top w:val="nil"/>
              <w:left w:val="nil"/>
              <w:bottom w:val="single" w:sz="4" w:space="0" w:color="auto"/>
              <w:right w:val="single" w:sz="4" w:space="0" w:color="auto"/>
            </w:tcBorders>
            <w:shd w:val="clear" w:color="auto" w:fill="auto"/>
            <w:noWrap/>
            <w:vAlign w:val="bottom"/>
            <w:hideMark/>
          </w:tcPr>
          <w:p w14:paraId="0B547775"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208</w:t>
            </w:r>
          </w:p>
        </w:tc>
        <w:tc>
          <w:tcPr>
            <w:tcW w:w="359" w:type="pct"/>
            <w:tcBorders>
              <w:top w:val="nil"/>
              <w:left w:val="nil"/>
              <w:bottom w:val="single" w:sz="4" w:space="0" w:color="auto"/>
              <w:right w:val="single" w:sz="4" w:space="0" w:color="auto"/>
            </w:tcBorders>
            <w:shd w:val="clear" w:color="auto" w:fill="auto"/>
            <w:noWrap/>
            <w:vAlign w:val="bottom"/>
            <w:hideMark/>
          </w:tcPr>
          <w:p w14:paraId="42777BA0"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208</w:t>
            </w:r>
          </w:p>
        </w:tc>
        <w:tc>
          <w:tcPr>
            <w:tcW w:w="359" w:type="pct"/>
            <w:tcBorders>
              <w:top w:val="nil"/>
              <w:left w:val="nil"/>
              <w:bottom w:val="single" w:sz="4" w:space="0" w:color="auto"/>
              <w:right w:val="single" w:sz="4" w:space="0" w:color="auto"/>
            </w:tcBorders>
            <w:shd w:val="clear" w:color="auto" w:fill="auto"/>
            <w:noWrap/>
            <w:vAlign w:val="bottom"/>
            <w:hideMark/>
          </w:tcPr>
          <w:p w14:paraId="7CCE84D5"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208</w:t>
            </w:r>
          </w:p>
        </w:tc>
      </w:tr>
      <w:tr w:rsidR="00602223" w:rsidRPr="007D1EDC" w14:paraId="3FF6B002" w14:textId="77777777" w:rsidTr="00602223">
        <w:trPr>
          <w:trHeight w:val="210"/>
        </w:trPr>
        <w:tc>
          <w:tcPr>
            <w:tcW w:w="1376" w:type="pct"/>
            <w:tcBorders>
              <w:top w:val="nil"/>
              <w:left w:val="single" w:sz="4" w:space="0" w:color="auto"/>
              <w:bottom w:val="single" w:sz="4" w:space="0" w:color="auto"/>
              <w:right w:val="single" w:sz="4" w:space="0" w:color="auto"/>
            </w:tcBorders>
            <w:shd w:val="clear" w:color="auto" w:fill="auto"/>
            <w:noWrap/>
            <w:vAlign w:val="bottom"/>
            <w:hideMark/>
          </w:tcPr>
          <w:p w14:paraId="18D31327" w14:textId="45C39BE4" w:rsidR="00602223" w:rsidRPr="00602223" w:rsidRDefault="00602223" w:rsidP="00602223">
            <w:pPr>
              <w:rPr>
                <w:rFonts w:ascii="Arial Narrow" w:hAnsi="Arial Narrow" w:cs="Calibri"/>
                <w:b/>
                <w:bCs/>
                <w:sz w:val="18"/>
                <w:szCs w:val="18"/>
                <w:lang w:val="en-GB" w:eastAsia="en-GB"/>
              </w:rPr>
            </w:pPr>
            <w:r w:rsidRPr="00602223">
              <w:rPr>
                <w:rFonts w:ascii="Arial Narrow" w:hAnsi="Arial Narrow" w:cs="Calibri"/>
                <w:b/>
                <w:bCs/>
                <w:sz w:val="18"/>
                <w:szCs w:val="18"/>
                <w:lang w:val="en-GB" w:eastAsia="en-GB"/>
              </w:rPr>
              <w:t xml:space="preserve">Para </w:t>
            </w:r>
            <w:proofErr w:type="spellStart"/>
            <w:r w:rsidRPr="00602223">
              <w:rPr>
                <w:rFonts w:ascii="Arial Narrow" w:hAnsi="Arial Narrow" w:cs="Calibri"/>
                <w:b/>
                <w:bCs/>
                <w:sz w:val="18"/>
                <w:szCs w:val="18"/>
                <w:lang w:val="en-GB" w:eastAsia="en-GB"/>
              </w:rPr>
              <w:t>neto</w:t>
            </w:r>
            <w:proofErr w:type="spellEnd"/>
          </w:p>
        </w:tc>
        <w:tc>
          <w:tcPr>
            <w:tcW w:w="403" w:type="pct"/>
            <w:tcBorders>
              <w:top w:val="nil"/>
              <w:left w:val="nil"/>
              <w:bottom w:val="single" w:sz="4" w:space="0" w:color="auto"/>
              <w:right w:val="single" w:sz="4" w:space="0" w:color="auto"/>
            </w:tcBorders>
            <w:shd w:val="clear" w:color="auto" w:fill="auto"/>
            <w:noWrap/>
            <w:vAlign w:val="bottom"/>
            <w:hideMark/>
          </w:tcPr>
          <w:p w14:paraId="7492775C"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198</w:t>
            </w:r>
          </w:p>
        </w:tc>
        <w:tc>
          <w:tcPr>
            <w:tcW w:w="403" w:type="pct"/>
            <w:tcBorders>
              <w:top w:val="nil"/>
              <w:left w:val="nil"/>
              <w:bottom w:val="single" w:sz="4" w:space="0" w:color="auto"/>
              <w:right w:val="single" w:sz="4" w:space="0" w:color="auto"/>
            </w:tcBorders>
            <w:shd w:val="clear" w:color="auto" w:fill="auto"/>
            <w:noWrap/>
            <w:vAlign w:val="bottom"/>
            <w:hideMark/>
          </w:tcPr>
          <w:p w14:paraId="31FA0D78"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221</w:t>
            </w:r>
          </w:p>
        </w:tc>
        <w:tc>
          <w:tcPr>
            <w:tcW w:w="403" w:type="pct"/>
            <w:tcBorders>
              <w:top w:val="nil"/>
              <w:left w:val="nil"/>
              <w:bottom w:val="single" w:sz="4" w:space="0" w:color="auto"/>
              <w:right w:val="single" w:sz="4" w:space="0" w:color="auto"/>
            </w:tcBorders>
            <w:shd w:val="clear" w:color="auto" w:fill="auto"/>
            <w:noWrap/>
            <w:vAlign w:val="bottom"/>
            <w:hideMark/>
          </w:tcPr>
          <w:p w14:paraId="60E3709C"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197</w:t>
            </w:r>
          </w:p>
        </w:tc>
        <w:tc>
          <w:tcPr>
            <w:tcW w:w="403" w:type="pct"/>
            <w:tcBorders>
              <w:top w:val="nil"/>
              <w:left w:val="nil"/>
              <w:bottom w:val="single" w:sz="4" w:space="0" w:color="auto"/>
              <w:right w:val="single" w:sz="4" w:space="0" w:color="auto"/>
            </w:tcBorders>
            <w:shd w:val="clear" w:color="auto" w:fill="auto"/>
            <w:noWrap/>
            <w:vAlign w:val="bottom"/>
            <w:hideMark/>
          </w:tcPr>
          <w:p w14:paraId="1063FD79"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175</w:t>
            </w:r>
          </w:p>
        </w:tc>
        <w:tc>
          <w:tcPr>
            <w:tcW w:w="403" w:type="pct"/>
            <w:tcBorders>
              <w:top w:val="nil"/>
              <w:left w:val="nil"/>
              <w:bottom w:val="single" w:sz="4" w:space="0" w:color="auto"/>
              <w:right w:val="single" w:sz="4" w:space="0" w:color="auto"/>
            </w:tcBorders>
            <w:shd w:val="clear" w:color="auto" w:fill="auto"/>
            <w:noWrap/>
            <w:vAlign w:val="bottom"/>
            <w:hideMark/>
          </w:tcPr>
          <w:p w14:paraId="66FFB48A"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290</w:t>
            </w:r>
          </w:p>
        </w:tc>
        <w:tc>
          <w:tcPr>
            <w:tcW w:w="490" w:type="pct"/>
            <w:tcBorders>
              <w:top w:val="nil"/>
              <w:left w:val="nil"/>
              <w:bottom w:val="single" w:sz="4" w:space="0" w:color="auto"/>
              <w:right w:val="single" w:sz="4" w:space="0" w:color="auto"/>
            </w:tcBorders>
            <w:shd w:val="clear" w:color="auto" w:fill="auto"/>
            <w:noWrap/>
            <w:vAlign w:val="bottom"/>
            <w:hideMark/>
          </w:tcPr>
          <w:p w14:paraId="7ABE0B10"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-900</w:t>
            </w:r>
          </w:p>
        </w:tc>
        <w:tc>
          <w:tcPr>
            <w:tcW w:w="403" w:type="pct"/>
            <w:tcBorders>
              <w:top w:val="nil"/>
              <w:left w:val="nil"/>
              <w:bottom w:val="single" w:sz="4" w:space="0" w:color="auto"/>
              <w:right w:val="single" w:sz="4" w:space="0" w:color="auto"/>
            </w:tcBorders>
            <w:shd w:val="clear" w:color="auto" w:fill="auto"/>
            <w:noWrap/>
            <w:vAlign w:val="bottom"/>
            <w:hideMark/>
          </w:tcPr>
          <w:p w14:paraId="67BB6B75"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-16</w:t>
            </w:r>
          </w:p>
        </w:tc>
        <w:tc>
          <w:tcPr>
            <w:tcW w:w="359" w:type="pct"/>
            <w:tcBorders>
              <w:top w:val="nil"/>
              <w:left w:val="nil"/>
              <w:bottom w:val="single" w:sz="4" w:space="0" w:color="auto"/>
              <w:right w:val="single" w:sz="4" w:space="0" w:color="auto"/>
            </w:tcBorders>
            <w:shd w:val="clear" w:color="auto" w:fill="auto"/>
            <w:noWrap/>
            <w:vAlign w:val="bottom"/>
            <w:hideMark/>
          </w:tcPr>
          <w:p w14:paraId="1C165115"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-18</w:t>
            </w:r>
          </w:p>
        </w:tc>
        <w:tc>
          <w:tcPr>
            <w:tcW w:w="359" w:type="pct"/>
            <w:tcBorders>
              <w:top w:val="nil"/>
              <w:left w:val="nil"/>
              <w:bottom w:val="single" w:sz="4" w:space="0" w:color="auto"/>
              <w:right w:val="single" w:sz="4" w:space="0" w:color="auto"/>
            </w:tcBorders>
            <w:shd w:val="clear" w:color="auto" w:fill="auto"/>
            <w:noWrap/>
            <w:vAlign w:val="bottom"/>
            <w:hideMark/>
          </w:tcPr>
          <w:p w14:paraId="1F31437C"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-26</w:t>
            </w:r>
          </w:p>
        </w:tc>
      </w:tr>
      <w:tr w:rsidR="00602223" w:rsidRPr="007D1EDC" w14:paraId="57F03B77" w14:textId="77777777" w:rsidTr="00602223">
        <w:trPr>
          <w:trHeight w:val="63"/>
        </w:trPr>
        <w:tc>
          <w:tcPr>
            <w:tcW w:w="1376" w:type="pct"/>
            <w:tcBorders>
              <w:top w:val="nil"/>
              <w:left w:val="single" w:sz="4" w:space="0" w:color="auto"/>
              <w:bottom w:val="single" w:sz="4" w:space="0" w:color="auto"/>
              <w:right w:val="single" w:sz="4" w:space="0" w:color="auto"/>
            </w:tcBorders>
            <w:shd w:val="clear" w:color="auto" w:fill="auto"/>
            <w:noWrap/>
            <w:vAlign w:val="bottom"/>
            <w:hideMark/>
          </w:tcPr>
          <w:p w14:paraId="75CB0CE6" w14:textId="4D717ACA" w:rsidR="00602223" w:rsidRPr="00602223" w:rsidRDefault="00602223" w:rsidP="00602223">
            <w:pPr>
              <w:rPr>
                <w:rFonts w:ascii="Arial Narrow" w:hAnsi="Arial Narrow" w:cs="Calibri"/>
                <w:b/>
                <w:bCs/>
                <w:sz w:val="18"/>
                <w:szCs w:val="18"/>
                <w:lang w:val="en-GB" w:eastAsia="en-GB"/>
              </w:rPr>
            </w:pPr>
            <w:r w:rsidRPr="00602223">
              <w:rPr>
                <w:rFonts w:ascii="Arial Narrow" w:hAnsi="Arial Narrow" w:cs="Calibri"/>
                <w:b/>
                <w:bCs/>
                <w:sz w:val="18"/>
                <w:szCs w:val="18"/>
                <w:lang w:val="en-GB" w:eastAsia="en-GB"/>
              </w:rPr>
              <w:t xml:space="preserve">Para </w:t>
            </w:r>
            <w:proofErr w:type="spellStart"/>
            <w:r w:rsidRPr="00602223">
              <w:rPr>
                <w:rFonts w:ascii="Arial Narrow" w:hAnsi="Arial Narrow" w:cs="Calibri"/>
                <w:b/>
                <w:bCs/>
                <w:sz w:val="18"/>
                <w:szCs w:val="18"/>
                <w:lang w:val="en-GB" w:eastAsia="en-GB"/>
              </w:rPr>
              <w:t>kumulative</w:t>
            </w:r>
            <w:proofErr w:type="spellEnd"/>
          </w:p>
        </w:tc>
        <w:tc>
          <w:tcPr>
            <w:tcW w:w="403" w:type="pct"/>
            <w:tcBorders>
              <w:top w:val="nil"/>
              <w:left w:val="nil"/>
              <w:bottom w:val="single" w:sz="4" w:space="0" w:color="auto"/>
              <w:right w:val="single" w:sz="4" w:space="0" w:color="auto"/>
            </w:tcBorders>
            <w:shd w:val="clear" w:color="auto" w:fill="auto"/>
            <w:noWrap/>
            <w:vAlign w:val="bottom"/>
            <w:hideMark/>
          </w:tcPr>
          <w:p w14:paraId="09BABB09" w14:textId="77777777" w:rsidR="00602223" w:rsidRPr="007D1EDC" w:rsidRDefault="00602223" w:rsidP="00602223">
            <w:pPr>
              <w:jc w:val="right"/>
              <w:rPr>
                <w:rFonts w:ascii="Arial Narrow" w:hAnsi="Arial Narrow" w:cs="Calibri"/>
                <w:b/>
                <w:bCs/>
                <w:color w:val="000000"/>
                <w:sz w:val="18"/>
                <w:szCs w:val="18"/>
                <w:lang w:val="en-GB" w:eastAsia="en-GB"/>
              </w:rPr>
            </w:pPr>
            <w:r w:rsidRPr="007D1EDC">
              <w:rPr>
                <w:rFonts w:ascii="Arial Narrow" w:hAnsi="Arial Narrow" w:cs="Calibri"/>
                <w:color w:val="000000"/>
                <w:sz w:val="18"/>
                <w:szCs w:val="18"/>
              </w:rPr>
              <w:t>198</w:t>
            </w:r>
          </w:p>
        </w:tc>
        <w:tc>
          <w:tcPr>
            <w:tcW w:w="403" w:type="pct"/>
            <w:tcBorders>
              <w:top w:val="nil"/>
              <w:left w:val="nil"/>
              <w:bottom w:val="single" w:sz="4" w:space="0" w:color="auto"/>
              <w:right w:val="single" w:sz="4" w:space="0" w:color="auto"/>
            </w:tcBorders>
            <w:shd w:val="clear" w:color="auto" w:fill="auto"/>
            <w:noWrap/>
            <w:vAlign w:val="bottom"/>
            <w:hideMark/>
          </w:tcPr>
          <w:p w14:paraId="5BA5F5E6" w14:textId="77777777" w:rsidR="00602223" w:rsidRPr="007D1EDC" w:rsidRDefault="00602223" w:rsidP="00602223">
            <w:pPr>
              <w:jc w:val="right"/>
              <w:rPr>
                <w:rFonts w:ascii="Arial Narrow" w:hAnsi="Arial Narrow" w:cs="Calibri"/>
                <w:b/>
                <w:bCs/>
                <w:color w:val="000000"/>
                <w:sz w:val="18"/>
                <w:szCs w:val="18"/>
                <w:lang w:val="en-GB" w:eastAsia="en-GB"/>
              </w:rPr>
            </w:pPr>
            <w:r w:rsidRPr="007D1EDC">
              <w:rPr>
                <w:rFonts w:ascii="Arial Narrow" w:hAnsi="Arial Narrow" w:cs="Calibri"/>
                <w:color w:val="000000"/>
                <w:sz w:val="18"/>
                <w:szCs w:val="18"/>
              </w:rPr>
              <w:t>418</w:t>
            </w:r>
          </w:p>
        </w:tc>
        <w:tc>
          <w:tcPr>
            <w:tcW w:w="403" w:type="pct"/>
            <w:tcBorders>
              <w:top w:val="nil"/>
              <w:left w:val="nil"/>
              <w:bottom w:val="single" w:sz="4" w:space="0" w:color="auto"/>
              <w:right w:val="single" w:sz="4" w:space="0" w:color="auto"/>
            </w:tcBorders>
            <w:shd w:val="clear" w:color="auto" w:fill="auto"/>
            <w:noWrap/>
            <w:vAlign w:val="bottom"/>
            <w:hideMark/>
          </w:tcPr>
          <w:p w14:paraId="08D76A26" w14:textId="77777777" w:rsidR="00602223" w:rsidRPr="007D1EDC" w:rsidRDefault="00602223" w:rsidP="00602223">
            <w:pPr>
              <w:jc w:val="right"/>
              <w:rPr>
                <w:rFonts w:ascii="Arial Narrow" w:hAnsi="Arial Narrow" w:cs="Calibri"/>
                <w:b/>
                <w:bCs/>
                <w:color w:val="000000"/>
                <w:sz w:val="18"/>
                <w:szCs w:val="18"/>
                <w:lang w:val="en-GB" w:eastAsia="en-GB"/>
              </w:rPr>
            </w:pPr>
            <w:r w:rsidRPr="007D1EDC">
              <w:rPr>
                <w:rFonts w:ascii="Arial Narrow" w:hAnsi="Arial Narrow" w:cs="Calibri"/>
                <w:color w:val="000000"/>
                <w:sz w:val="18"/>
                <w:szCs w:val="18"/>
              </w:rPr>
              <w:t>616</w:t>
            </w:r>
          </w:p>
        </w:tc>
        <w:tc>
          <w:tcPr>
            <w:tcW w:w="403" w:type="pct"/>
            <w:tcBorders>
              <w:top w:val="nil"/>
              <w:left w:val="nil"/>
              <w:bottom w:val="single" w:sz="4" w:space="0" w:color="auto"/>
              <w:right w:val="single" w:sz="4" w:space="0" w:color="auto"/>
            </w:tcBorders>
            <w:shd w:val="clear" w:color="auto" w:fill="auto"/>
            <w:noWrap/>
            <w:vAlign w:val="bottom"/>
            <w:hideMark/>
          </w:tcPr>
          <w:p w14:paraId="4B0FF55E" w14:textId="77777777" w:rsidR="00602223" w:rsidRPr="007D1EDC" w:rsidRDefault="00602223" w:rsidP="00602223">
            <w:pPr>
              <w:jc w:val="right"/>
              <w:rPr>
                <w:rFonts w:ascii="Arial Narrow" w:hAnsi="Arial Narrow" w:cs="Calibri"/>
                <w:b/>
                <w:bCs/>
                <w:color w:val="000000"/>
                <w:sz w:val="18"/>
                <w:szCs w:val="18"/>
                <w:lang w:val="en-GB" w:eastAsia="en-GB"/>
              </w:rPr>
            </w:pPr>
            <w:r w:rsidRPr="007D1EDC">
              <w:rPr>
                <w:rFonts w:ascii="Arial Narrow" w:hAnsi="Arial Narrow" w:cs="Calibri"/>
                <w:color w:val="000000"/>
                <w:sz w:val="18"/>
                <w:szCs w:val="18"/>
              </w:rPr>
              <w:t>791</w:t>
            </w:r>
          </w:p>
        </w:tc>
        <w:tc>
          <w:tcPr>
            <w:tcW w:w="403" w:type="pct"/>
            <w:tcBorders>
              <w:top w:val="nil"/>
              <w:left w:val="nil"/>
              <w:bottom w:val="single" w:sz="4" w:space="0" w:color="auto"/>
              <w:right w:val="single" w:sz="4" w:space="0" w:color="auto"/>
            </w:tcBorders>
            <w:shd w:val="clear" w:color="auto" w:fill="auto"/>
            <w:noWrap/>
            <w:vAlign w:val="bottom"/>
            <w:hideMark/>
          </w:tcPr>
          <w:p w14:paraId="3E44EE84" w14:textId="77777777" w:rsidR="00602223" w:rsidRPr="007D1EDC" w:rsidRDefault="00602223" w:rsidP="00602223">
            <w:pPr>
              <w:jc w:val="right"/>
              <w:rPr>
                <w:rFonts w:ascii="Arial Narrow" w:hAnsi="Arial Narrow" w:cs="Calibri"/>
                <w:b/>
                <w:bCs/>
                <w:color w:val="000000"/>
                <w:sz w:val="18"/>
                <w:szCs w:val="18"/>
                <w:lang w:val="en-GB" w:eastAsia="en-GB"/>
              </w:rPr>
            </w:pPr>
            <w:r w:rsidRPr="007D1EDC">
              <w:rPr>
                <w:rFonts w:ascii="Arial Narrow" w:hAnsi="Arial Narrow" w:cs="Calibri"/>
                <w:color w:val="000000"/>
                <w:sz w:val="18"/>
                <w:szCs w:val="18"/>
              </w:rPr>
              <w:t>1,081</w:t>
            </w:r>
          </w:p>
        </w:tc>
        <w:tc>
          <w:tcPr>
            <w:tcW w:w="490" w:type="pct"/>
            <w:tcBorders>
              <w:top w:val="nil"/>
              <w:left w:val="nil"/>
              <w:bottom w:val="single" w:sz="4" w:space="0" w:color="auto"/>
              <w:right w:val="single" w:sz="4" w:space="0" w:color="auto"/>
            </w:tcBorders>
            <w:shd w:val="clear" w:color="auto" w:fill="auto"/>
            <w:noWrap/>
            <w:vAlign w:val="bottom"/>
            <w:hideMark/>
          </w:tcPr>
          <w:p w14:paraId="757F0FD9" w14:textId="77777777" w:rsidR="00602223" w:rsidRPr="007D1EDC" w:rsidRDefault="00602223" w:rsidP="00602223">
            <w:pPr>
              <w:jc w:val="right"/>
              <w:rPr>
                <w:rFonts w:ascii="Arial Narrow" w:hAnsi="Arial Narrow" w:cs="Calibri"/>
                <w:b/>
                <w:bCs/>
                <w:color w:val="000000"/>
                <w:sz w:val="18"/>
                <w:szCs w:val="18"/>
                <w:lang w:val="en-GB" w:eastAsia="en-GB"/>
              </w:rPr>
            </w:pPr>
            <w:r w:rsidRPr="007D1EDC">
              <w:rPr>
                <w:rFonts w:ascii="Arial Narrow" w:hAnsi="Arial Narrow" w:cs="Calibri"/>
                <w:color w:val="000000"/>
                <w:sz w:val="18"/>
                <w:szCs w:val="18"/>
              </w:rPr>
              <w:t>181</w:t>
            </w:r>
          </w:p>
        </w:tc>
        <w:tc>
          <w:tcPr>
            <w:tcW w:w="403" w:type="pct"/>
            <w:tcBorders>
              <w:top w:val="nil"/>
              <w:left w:val="nil"/>
              <w:bottom w:val="single" w:sz="4" w:space="0" w:color="auto"/>
              <w:right w:val="single" w:sz="4" w:space="0" w:color="auto"/>
            </w:tcBorders>
            <w:shd w:val="clear" w:color="auto" w:fill="auto"/>
            <w:noWrap/>
            <w:vAlign w:val="bottom"/>
            <w:hideMark/>
          </w:tcPr>
          <w:p w14:paraId="268FE621" w14:textId="77777777" w:rsidR="00602223" w:rsidRPr="007D1EDC" w:rsidRDefault="00602223" w:rsidP="00602223">
            <w:pPr>
              <w:jc w:val="right"/>
              <w:rPr>
                <w:rFonts w:ascii="Arial Narrow" w:hAnsi="Arial Narrow" w:cs="Calibri"/>
                <w:b/>
                <w:bCs/>
                <w:color w:val="000000"/>
                <w:sz w:val="18"/>
                <w:szCs w:val="18"/>
                <w:lang w:val="en-GB" w:eastAsia="en-GB"/>
              </w:rPr>
            </w:pPr>
            <w:r w:rsidRPr="007D1EDC">
              <w:rPr>
                <w:rFonts w:ascii="Arial Narrow" w:hAnsi="Arial Narrow" w:cs="Calibri"/>
                <w:color w:val="000000"/>
                <w:sz w:val="18"/>
                <w:szCs w:val="18"/>
              </w:rPr>
              <w:t>166</w:t>
            </w:r>
          </w:p>
        </w:tc>
        <w:tc>
          <w:tcPr>
            <w:tcW w:w="359" w:type="pct"/>
            <w:tcBorders>
              <w:top w:val="nil"/>
              <w:left w:val="nil"/>
              <w:bottom w:val="single" w:sz="4" w:space="0" w:color="auto"/>
              <w:right w:val="single" w:sz="4" w:space="0" w:color="auto"/>
            </w:tcBorders>
            <w:shd w:val="clear" w:color="auto" w:fill="auto"/>
            <w:noWrap/>
            <w:vAlign w:val="bottom"/>
            <w:hideMark/>
          </w:tcPr>
          <w:p w14:paraId="797C41D9" w14:textId="77777777" w:rsidR="00602223" w:rsidRPr="007D1EDC" w:rsidRDefault="00602223" w:rsidP="00602223">
            <w:pPr>
              <w:jc w:val="right"/>
              <w:rPr>
                <w:rFonts w:ascii="Arial Narrow" w:hAnsi="Arial Narrow" w:cs="Calibri"/>
                <w:b/>
                <w:bCs/>
                <w:color w:val="000000"/>
                <w:sz w:val="18"/>
                <w:szCs w:val="18"/>
                <w:lang w:val="en-GB" w:eastAsia="en-GB"/>
              </w:rPr>
            </w:pPr>
            <w:r w:rsidRPr="007D1EDC">
              <w:rPr>
                <w:rFonts w:ascii="Arial Narrow" w:hAnsi="Arial Narrow" w:cs="Calibri"/>
                <w:color w:val="000000"/>
                <w:sz w:val="18"/>
                <w:szCs w:val="18"/>
              </w:rPr>
              <w:t>148</w:t>
            </w:r>
          </w:p>
        </w:tc>
        <w:tc>
          <w:tcPr>
            <w:tcW w:w="359" w:type="pct"/>
            <w:tcBorders>
              <w:top w:val="nil"/>
              <w:left w:val="nil"/>
              <w:bottom w:val="single" w:sz="4" w:space="0" w:color="auto"/>
              <w:right w:val="single" w:sz="4" w:space="0" w:color="auto"/>
            </w:tcBorders>
            <w:shd w:val="clear" w:color="auto" w:fill="auto"/>
            <w:noWrap/>
            <w:vAlign w:val="bottom"/>
            <w:hideMark/>
          </w:tcPr>
          <w:p w14:paraId="2EF71513" w14:textId="77777777" w:rsidR="00602223" w:rsidRPr="007D1EDC" w:rsidRDefault="00602223" w:rsidP="00602223">
            <w:pPr>
              <w:jc w:val="right"/>
              <w:rPr>
                <w:rFonts w:ascii="Arial Narrow" w:hAnsi="Arial Narrow" w:cs="Calibri"/>
                <w:b/>
                <w:bCs/>
                <w:color w:val="000000"/>
                <w:sz w:val="18"/>
                <w:szCs w:val="18"/>
                <w:lang w:val="en-GB" w:eastAsia="en-GB"/>
              </w:rPr>
            </w:pPr>
            <w:r w:rsidRPr="007D1EDC">
              <w:rPr>
                <w:rFonts w:ascii="Arial Narrow" w:hAnsi="Arial Narrow" w:cs="Calibri"/>
                <w:color w:val="000000"/>
                <w:sz w:val="18"/>
                <w:szCs w:val="18"/>
              </w:rPr>
              <w:t>122</w:t>
            </w:r>
          </w:p>
        </w:tc>
      </w:tr>
    </w:tbl>
    <w:p w14:paraId="36261B99" w14:textId="77777777" w:rsidR="007D1EDC" w:rsidRPr="007D1EDC" w:rsidRDefault="007D1EDC" w:rsidP="007D1EDC">
      <w:pPr>
        <w:rPr>
          <w:rFonts w:ascii="Arial Narrow" w:eastAsia="Calibri" w:hAnsi="Arial Narrow"/>
          <w:sz w:val="20"/>
          <w:lang w:val="en-GB"/>
        </w:rPr>
      </w:pPr>
    </w:p>
    <w:p w14:paraId="6EFD8E7A" w14:textId="3E9E6B4B" w:rsidR="007D1EDC" w:rsidRPr="007D1EDC" w:rsidRDefault="007D1EDC" w:rsidP="007D1EDC">
      <w:pPr>
        <w:rPr>
          <w:rFonts w:ascii="Arial Narrow" w:eastAsia="Calibri" w:hAnsi="Arial Narrow"/>
          <w:sz w:val="22"/>
          <w:szCs w:val="22"/>
          <w:lang w:val="en-GB"/>
        </w:rPr>
      </w:pPr>
      <w:proofErr w:type="spellStart"/>
      <w:r w:rsidRPr="007D1EDC">
        <w:rPr>
          <w:rFonts w:ascii="Arial Narrow" w:eastAsia="Calibri" w:hAnsi="Arial Narrow"/>
          <w:sz w:val="22"/>
          <w:szCs w:val="22"/>
          <w:lang w:val="en-GB"/>
        </w:rPr>
        <w:t>Paratë</w:t>
      </w:r>
      <w:proofErr w:type="spellEnd"/>
      <w:r w:rsidRPr="007D1EDC">
        <w:rPr>
          <w:rFonts w:ascii="Arial Narrow" w:eastAsia="Calibri" w:hAnsi="Arial Narrow"/>
          <w:sz w:val="22"/>
          <w:szCs w:val="22"/>
          <w:lang w:val="en-GB"/>
        </w:rPr>
        <w:t xml:space="preserve"> </w:t>
      </w:r>
      <w:proofErr w:type="spellStart"/>
      <w:r w:rsidRPr="007D1EDC">
        <w:rPr>
          <w:rFonts w:ascii="Arial Narrow" w:eastAsia="Calibri" w:hAnsi="Arial Narrow"/>
          <w:sz w:val="22"/>
          <w:szCs w:val="22"/>
          <w:lang w:val="en-GB"/>
        </w:rPr>
        <w:t>kumulu</w:t>
      </w:r>
      <w:r w:rsidR="00602223">
        <w:rPr>
          <w:rFonts w:ascii="Arial Narrow" w:eastAsia="Calibri" w:hAnsi="Arial Narrow"/>
          <w:sz w:val="22"/>
          <w:szCs w:val="22"/>
          <w:lang w:val="en-GB"/>
        </w:rPr>
        <w:t>lative</w:t>
      </w:r>
      <w:proofErr w:type="spellEnd"/>
      <w:r w:rsidRPr="007D1EDC">
        <w:rPr>
          <w:rFonts w:ascii="Arial Narrow" w:eastAsia="Calibri" w:hAnsi="Arial Narrow"/>
          <w:sz w:val="22"/>
          <w:szCs w:val="22"/>
          <w:lang w:val="en-GB"/>
        </w:rPr>
        <w:t xml:space="preserve"> </w:t>
      </w:r>
      <w:proofErr w:type="spellStart"/>
      <w:r w:rsidRPr="007D1EDC">
        <w:rPr>
          <w:rFonts w:ascii="Arial Narrow" w:eastAsia="Calibri" w:hAnsi="Arial Narrow"/>
          <w:sz w:val="22"/>
          <w:szCs w:val="22"/>
          <w:lang w:val="en-GB"/>
        </w:rPr>
        <w:t>janë</w:t>
      </w:r>
      <w:proofErr w:type="spellEnd"/>
      <w:r w:rsidRPr="007D1EDC">
        <w:rPr>
          <w:rFonts w:ascii="Arial Narrow" w:eastAsia="Calibri" w:hAnsi="Arial Narrow"/>
          <w:sz w:val="22"/>
          <w:szCs w:val="22"/>
          <w:lang w:val="en-GB"/>
        </w:rPr>
        <w:t xml:space="preserve"> </w:t>
      </w:r>
      <w:proofErr w:type="spellStart"/>
      <w:r w:rsidRPr="007D1EDC">
        <w:rPr>
          <w:rFonts w:ascii="Arial Narrow" w:eastAsia="Calibri" w:hAnsi="Arial Narrow"/>
          <w:sz w:val="22"/>
          <w:szCs w:val="22"/>
          <w:lang w:val="en-GB"/>
        </w:rPr>
        <w:t>fondet</w:t>
      </w:r>
      <w:proofErr w:type="spellEnd"/>
      <w:r w:rsidRPr="007D1EDC">
        <w:rPr>
          <w:rFonts w:ascii="Arial Narrow" w:eastAsia="Calibri" w:hAnsi="Arial Narrow"/>
          <w:sz w:val="22"/>
          <w:szCs w:val="22"/>
          <w:lang w:val="en-GB"/>
        </w:rPr>
        <w:t xml:space="preserve"> e </w:t>
      </w:r>
      <w:proofErr w:type="spellStart"/>
      <w:r w:rsidR="00602223">
        <w:rPr>
          <w:rFonts w:ascii="Arial Narrow" w:eastAsia="Calibri" w:hAnsi="Arial Narrow"/>
          <w:sz w:val="22"/>
          <w:szCs w:val="22"/>
          <w:lang w:val="en-GB"/>
        </w:rPr>
        <w:t>grumbulluara</w:t>
      </w:r>
      <w:proofErr w:type="spellEnd"/>
      <w:r w:rsidRPr="007D1EDC">
        <w:rPr>
          <w:rFonts w:ascii="Arial Narrow" w:eastAsia="Calibri" w:hAnsi="Arial Narrow"/>
          <w:sz w:val="22"/>
          <w:szCs w:val="22"/>
          <w:lang w:val="en-GB"/>
        </w:rPr>
        <w:t xml:space="preserve"> </w:t>
      </w:r>
      <w:proofErr w:type="spellStart"/>
      <w:r w:rsidRPr="007D1EDC">
        <w:rPr>
          <w:rFonts w:ascii="Arial Narrow" w:eastAsia="Calibri" w:hAnsi="Arial Narrow"/>
          <w:sz w:val="22"/>
          <w:szCs w:val="22"/>
          <w:lang w:val="en-GB"/>
        </w:rPr>
        <w:t>për</w:t>
      </w:r>
      <w:proofErr w:type="spellEnd"/>
      <w:r w:rsidRPr="007D1EDC">
        <w:rPr>
          <w:rFonts w:ascii="Arial Narrow" w:eastAsia="Calibri" w:hAnsi="Arial Narrow"/>
          <w:sz w:val="22"/>
          <w:szCs w:val="22"/>
          <w:lang w:val="en-GB"/>
        </w:rPr>
        <w:t xml:space="preserve"> </w:t>
      </w:r>
      <w:proofErr w:type="spellStart"/>
      <w:r w:rsidRPr="007D1EDC">
        <w:rPr>
          <w:rFonts w:ascii="Arial Narrow" w:eastAsia="Calibri" w:hAnsi="Arial Narrow"/>
          <w:sz w:val="22"/>
          <w:szCs w:val="22"/>
          <w:lang w:val="en-GB"/>
        </w:rPr>
        <w:t>mbylljen</w:t>
      </w:r>
      <w:proofErr w:type="spellEnd"/>
      <w:r w:rsidRPr="007D1EDC">
        <w:rPr>
          <w:rFonts w:ascii="Arial Narrow" w:eastAsia="Calibri" w:hAnsi="Arial Narrow"/>
          <w:sz w:val="22"/>
          <w:szCs w:val="22"/>
          <w:lang w:val="en-GB"/>
        </w:rPr>
        <w:t xml:space="preserve"> e </w:t>
      </w:r>
      <w:proofErr w:type="spellStart"/>
      <w:r w:rsidRPr="007D1EDC">
        <w:rPr>
          <w:rFonts w:ascii="Arial Narrow" w:eastAsia="Calibri" w:hAnsi="Arial Narrow"/>
          <w:sz w:val="22"/>
          <w:szCs w:val="22"/>
          <w:lang w:val="en-GB"/>
        </w:rPr>
        <w:t>qelive</w:t>
      </w:r>
      <w:proofErr w:type="spellEnd"/>
      <w:r w:rsidRPr="007D1EDC">
        <w:rPr>
          <w:rFonts w:ascii="Arial Narrow" w:eastAsia="Calibri" w:hAnsi="Arial Narrow"/>
          <w:sz w:val="22"/>
          <w:szCs w:val="22"/>
          <w:lang w:val="en-GB"/>
        </w:rPr>
        <w:t xml:space="preserve"> </w:t>
      </w:r>
      <w:proofErr w:type="spellStart"/>
      <w:r w:rsidRPr="007D1EDC">
        <w:rPr>
          <w:rFonts w:ascii="Arial Narrow" w:eastAsia="Calibri" w:hAnsi="Arial Narrow"/>
          <w:sz w:val="22"/>
          <w:szCs w:val="22"/>
          <w:lang w:val="en-GB"/>
        </w:rPr>
        <w:t>dhe</w:t>
      </w:r>
      <w:proofErr w:type="spellEnd"/>
      <w:r w:rsidRPr="007D1EDC">
        <w:rPr>
          <w:rFonts w:ascii="Arial Narrow" w:eastAsia="Calibri" w:hAnsi="Arial Narrow"/>
          <w:sz w:val="22"/>
          <w:szCs w:val="22"/>
          <w:lang w:val="en-GB"/>
        </w:rPr>
        <w:t xml:space="preserve"> </w:t>
      </w:r>
      <w:proofErr w:type="spellStart"/>
      <w:r w:rsidRPr="007D1EDC">
        <w:rPr>
          <w:rFonts w:ascii="Arial Narrow" w:eastAsia="Calibri" w:hAnsi="Arial Narrow"/>
          <w:sz w:val="22"/>
          <w:szCs w:val="22"/>
          <w:lang w:val="en-GB"/>
        </w:rPr>
        <w:t>mund</w:t>
      </w:r>
      <w:proofErr w:type="spellEnd"/>
      <w:r w:rsidRPr="007D1EDC">
        <w:rPr>
          <w:rFonts w:ascii="Arial Narrow" w:eastAsia="Calibri" w:hAnsi="Arial Narrow"/>
          <w:sz w:val="22"/>
          <w:szCs w:val="22"/>
          <w:lang w:val="en-GB"/>
        </w:rPr>
        <w:t xml:space="preserve"> </w:t>
      </w:r>
      <w:proofErr w:type="spellStart"/>
      <w:r w:rsidRPr="007D1EDC">
        <w:rPr>
          <w:rFonts w:ascii="Arial Narrow" w:eastAsia="Calibri" w:hAnsi="Arial Narrow"/>
          <w:sz w:val="22"/>
          <w:szCs w:val="22"/>
          <w:lang w:val="en-GB"/>
        </w:rPr>
        <w:t>të</w:t>
      </w:r>
      <w:proofErr w:type="spellEnd"/>
      <w:r w:rsidRPr="007D1EDC">
        <w:rPr>
          <w:rFonts w:ascii="Arial Narrow" w:eastAsia="Calibri" w:hAnsi="Arial Narrow"/>
          <w:sz w:val="22"/>
          <w:szCs w:val="22"/>
          <w:lang w:val="en-GB"/>
        </w:rPr>
        <w:t xml:space="preserve"> </w:t>
      </w:r>
      <w:proofErr w:type="spellStart"/>
      <w:r w:rsidRPr="007D1EDC">
        <w:rPr>
          <w:rFonts w:ascii="Arial Narrow" w:eastAsia="Calibri" w:hAnsi="Arial Narrow"/>
          <w:sz w:val="22"/>
          <w:szCs w:val="22"/>
          <w:lang w:val="en-GB"/>
        </w:rPr>
        <w:t>konsiderohen</w:t>
      </w:r>
      <w:proofErr w:type="spellEnd"/>
      <w:r w:rsidRPr="007D1EDC">
        <w:rPr>
          <w:rFonts w:ascii="Arial Narrow" w:eastAsia="Calibri" w:hAnsi="Arial Narrow"/>
          <w:sz w:val="22"/>
          <w:szCs w:val="22"/>
          <w:lang w:val="en-GB"/>
        </w:rPr>
        <w:t xml:space="preserve"> </w:t>
      </w:r>
      <w:proofErr w:type="spellStart"/>
      <w:r w:rsidRPr="007D1EDC">
        <w:rPr>
          <w:rFonts w:ascii="Arial Narrow" w:eastAsia="Calibri" w:hAnsi="Arial Narrow"/>
          <w:sz w:val="22"/>
          <w:szCs w:val="22"/>
          <w:lang w:val="en-GB"/>
        </w:rPr>
        <w:t>si</w:t>
      </w:r>
      <w:proofErr w:type="spellEnd"/>
      <w:r w:rsidRPr="007D1EDC">
        <w:rPr>
          <w:rFonts w:ascii="Arial Narrow" w:eastAsia="Calibri" w:hAnsi="Arial Narrow"/>
          <w:sz w:val="22"/>
          <w:szCs w:val="22"/>
          <w:lang w:val="en-GB"/>
        </w:rPr>
        <w:t xml:space="preserve"> </w:t>
      </w:r>
      <w:proofErr w:type="spellStart"/>
      <w:r w:rsidRPr="007D1EDC">
        <w:rPr>
          <w:rFonts w:ascii="Arial Narrow" w:eastAsia="Calibri" w:hAnsi="Arial Narrow"/>
          <w:sz w:val="22"/>
          <w:szCs w:val="22"/>
          <w:lang w:val="en-GB"/>
        </w:rPr>
        <w:t>garanc</w:t>
      </w:r>
      <w:r w:rsidR="00602223">
        <w:rPr>
          <w:rFonts w:ascii="Arial Narrow" w:eastAsia="Calibri" w:hAnsi="Arial Narrow"/>
          <w:sz w:val="22"/>
          <w:szCs w:val="22"/>
          <w:lang w:val="en-GB"/>
        </w:rPr>
        <w:t>ë</w:t>
      </w:r>
      <w:proofErr w:type="spellEnd"/>
      <w:r w:rsidRPr="007D1EDC">
        <w:rPr>
          <w:rFonts w:ascii="Arial Narrow" w:eastAsia="Calibri" w:hAnsi="Arial Narrow"/>
          <w:sz w:val="22"/>
          <w:szCs w:val="22"/>
          <w:lang w:val="en-GB"/>
        </w:rPr>
        <w:t xml:space="preserve"> </w:t>
      </w:r>
      <w:proofErr w:type="spellStart"/>
      <w:r w:rsidRPr="007D1EDC">
        <w:rPr>
          <w:rFonts w:ascii="Arial Narrow" w:eastAsia="Calibri" w:hAnsi="Arial Narrow"/>
          <w:sz w:val="22"/>
          <w:szCs w:val="22"/>
          <w:lang w:val="en-GB"/>
        </w:rPr>
        <w:t>mjedisore</w:t>
      </w:r>
      <w:proofErr w:type="spellEnd"/>
      <w:r w:rsidRPr="007D1EDC">
        <w:rPr>
          <w:rFonts w:ascii="Arial Narrow" w:eastAsia="Calibri" w:hAnsi="Arial Narrow"/>
          <w:sz w:val="22"/>
          <w:szCs w:val="22"/>
          <w:lang w:val="en-GB"/>
        </w:rPr>
        <w:t>.</w:t>
      </w:r>
    </w:p>
    <w:p w14:paraId="104FCC9E" w14:textId="77777777" w:rsidR="007D1EDC" w:rsidRPr="007D1EDC" w:rsidRDefault="007D1EDC" w:rsidP="007D1EDC">
      <w:pPr>
        <w:rPr>
          <w:rFonts w:ascii="Arial Narrow" w:eastAsia="Calibri" w:hAnsi="Arial Narrow"/>
          <w:sz w:val="20"/>
          <w:lang w:val="en-GB"/>
        </w:rPr>
      </w:pPr>
    </w:p>
    <w:p w14:paraId="60698B42" w14:textId="77777777" w:rsidR="007D1EDC" w:rsidRPr="007D1EDC" w:rsidRDefault="007D1EDC" w:rsidP="002E4DDE">
      <w:pPr>
        <w:pStyle w:val="Heading3"/>
        <w:ind w:left="1134" w:hanging="1134"/>
      </w:pPr>
      <w:bookmarkStart w:id="662" w:name="_Toc190967411"/>
      <w:bookmarkStart w:id="663" w:name="_Toc197472060"/>
      <w:r w:rsidRPr="007D1EDC">
        <w:t>Rikuperimi i mbeturinave</w:t>
      </w:r>
      <w:bookmarkEnd w:id="662"/>
      <w:bookmarkEnd w:id="663"/>
    </w:p>
    <w:p w14:paraId="4C105637" w14:textId="77777777" w:rsidR="007D1EDC" w:rsidRPr="00602223" w:rsidRDefault="007D1EDC" w:rsidP="007D1EDC">
      <w:pPr>
        <w:jc w:val="both"/>
        <w:rPr>
          <w:rFonts w:ascii="Arial Narrow" w:eastAsia="Calibri" w:hAnsi="Arial Narrow" w:cs="Calibri"/>
          <w:color w:val="000000" w:themeColor="text1"/>
          <w:sz w:val="22"/>
          <w:szCs w:val="22"/>
          <w:lang w:val="en-GB"/>
        </w:rPr>
      </w:pPr>
    </w:p>
    <w:p w14:paraId="782A8754" w14:textId="77777777" w:rsidR="00602223" w:rsidRPr="00602223" w:rsidRDefault="00602223" w:rsidP="00602223">
      <w:pPr>
        <w:jc w:val="both"/>
        <w:rPr>
          <w:rFonts w:ascii="Arial Narrow" w:eastAsia="Calibri" w:hAnsi="Arial Narrow" w:cs="Calibri"/>
          <w:color w:val="000000" w:themeColor="text1"/>
          <w:sz w:val="22"/>
          <w:szCs w:val="22"/>
          <w:lang w:val="en-GB"/>
        </w:rPr>
      </w:pPr>
      <w:proofErr w:type="spellStart"/>
      <w:r w:rsidRPr="00602223">
        <w:rPr>
          <w:rFonts w:ascii="Arial Narrow" w:eastAsia="Calibri" w:hAnsi="Arial Narrow" w:cs="Calibri"/>
          <w:color w:val="000000" w:themeColor="text1"/>
          <w:sz w:val="22"/>
          <w:szCs w:val="22"/>
          <w:lang w:val="en-GB"/>
        </w:rPr>
        <w:t>Ndërtimi</w:t>
      </w:r>
      <w:proofErr w:type="spellEnd"/>
      <w:r w:rsidRPr="00602223">
        <w:rPr>
          <w:rFonts w:ascii="Arial Narrow" w:eastAsia="Calibri" w:hAnsi="Arial Narrow" w:cs="Calibri"/>
          <w:color w:val="000000" w:themeColor="text1"/>
          <w:sz w:val="22"/>
          <w:szCs w:val="22"/>
          <w:lang w:val="en-GB"/>
        </w:rPr>
        <w:t xml:space="preserve"> i </w:t>
      </w:r>
      <w:proofErr w:type="spellStart"/>
      <w:r w:rsidRPr="00602223">
        <w:rPr>
          <w:rFonts w:ascii="Arial Narrow" w:eastAsia="Calibri" w:hAnsi="Arial Narrow" w:cs="Calibri"/>
          <w:color w:val="000000" w:themeColor="text1"/>
          <w:sz w:val="22"/>
          <w:szCs w:val="22"/>
          <w:lang w:val="en-GB"/>
        </w:rPr>
        <w:t>objekteve</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të</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rikuperimit</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të</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mbeturinave</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është</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planifikuar</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për</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vitin</w:t>
      </w:r>
      <w:proofErr w:type="spellEnd"/>
      <w:r w:rsidRPr="00602223">
        <w:rPr>
          <w:rFonts w:ascii="Arial Narrow" w:eastAsia="Calibri" w:hAnsi="Arial Narrow" w:cs="Calibri"/>
          <w:color w:val="000000" w:themeColor="text1"/>
          <w:sz w:val="22"/>
          <w:szCs w:val="22"/>
          <w:lang w:val="en-GB"/>
        </w:rPr>
        <w:t xml:space="preserve"> 2031.</w:t>
      </w:r>
    </w:p>
    <w:p w14:paraId="1296AA6A" w14:textId="77777777" w:rsidR="00602223" w:rsidRPr="00602223" w:rsidRDefault="00602223" w:rsidP="00602223">
      <w:pPr>
        <w:jc w:val="both"/>
        <w:rPr>
          <w:rFonts w:ascii="Arial Narrow" w:eastAsia="Calibri" w:hAnsi="Arial Narrow" w:cs="Calibri"/>
          <w:color w:val="000000" w:themeColor="text1"/>
          <w:sz w:val="22"/>
          <w:szCs w:val="22"/>
          <w:lang w:val="en-GB"/>
        </w:rPr>
      </w:pPr>
    </w:p>
    <w:p w14:paraId="4C52E86B" w14:textId="39145297" w:rsidR="007D1EDC" w:rsidRPr="00602223" w:rsidRDefault="00602223" w:rsidP="00602223">
      <w:pPr>
        <w:jc w:val="both"/>
        <w:rPr>
          <w:rFonts w:ascii="Arial Narrow" w:eastAsia="Calibri" w:hAnsi="Arial Narrow" w:cs="Calibri"/>
          <w:color w:val="000000" w:themeColor="text1"/>
          <w:sz w:val="22"/>
          <w:szCs w:val="22"/>
          <w:lang w:val="en-GB"/>
        </w:rPr>
      </w:pPr>
      <w:proofErr w:type="spellStart"/>
      <w:r w:rsidRPr="00602223">
        <w:rPr>
          <w:rFonts w:ascii="Arial Narrow" w:eastAsia="Calibri" w:hAnsi="Arial Narrow" w:cs="Calibri"/>
          <w:color w:val="000000" w:themeColor="text1"/>
          <w:sz w:val="22"/>
          <w:szCs w:val="22"/>
          <w:lang w:val="en-GB"/>
        </w:rPr>
        <w:t>Që</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prej</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vitit</w:t>
      </w:r>
      <w:proofErr w:type="spellEnd"/>
      <w:r w:rsidRPr="00602223">
        <w:rPr>
          <w:rFonts w:ascii="Arial Narrow" w:eastAsia="Calibri" w:hAnsi="Arial Narrow" w:cs="Calibri"/>
          <w:color w:val="000000" w:themeColor="text1"/>
          <w:sz w:val="22"/>
          <w:szCs w:val="22"/>
          <w:lang w:val="en-GB"/>
        </w:rPr>
        <w:t xml:space="preserve"> 2032 </w:t>
      </w:r>
      <w:proofErr w:type="spellStart"/>
      <w:r w:rsidRPr="00602223">
        <w:rPr>
          <w:rFonts w:ascii="Arial Narrow" w:eastAsia="Calibri" w:hAnsi="Arial Narrow" w:cs="Calibri"/>
          <w:color w:val="000000" w:themeColor="text1"/>
          <w:sz w:val="22"/>
          <w:szCs w:val="22"/>
          <w:lang w:val="en-GB"/>
        </w:rPr>
        <w:t>mbeturinat</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organike</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të</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grumbulluara</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ndaras</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drejtohen</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në</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kontejnerët</w:t>
      </w:r>
      <w:proofErr w:type="spellEnd"/>
      <w:r w:rsidRPr="00602223">
        <w:rPr>
          <w:rFonts w:ascii="Arial Narrow" w:eastAsia="Calibri" w:hAnsi="Arial Narrow" w:cs="Calibri"/>
          <w:color w:val="000000" w:themeColor="text1"/>
          <w:sz w:val="22"/>
          <w:szCs w:val="22"/>
          <w:lang w:val="en-GB"/>
        </w:rPr>
        <w:t xml:space="preserve"> e </w:t>
      </w:r>
      <w:proofErr w:type="spellStart"/>
      <w:r w:rsidRPr="00602223">
        <w:rPr>
          <w:rFonts w:ascii="Arial Narrow" w:eastAsia="Calibri" w:hAnsi="Arial Narrow" w:cs="Calibri"/>
          <w:color w:val="000000" w:themeColor="text1"/>
          <w:sz w:val="22"/>
          <w:szCs w:val="22"/>
          <w:lang w:val="en-GB"/>
        </w:rPr>
        <w:t>specializuar</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dhe</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pjesa</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tjetër</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në</w:t>
      </w:r>
      <w:proofErr w:type="spellEnd"/>
      <w:r w:rsidRPr="00602223">
        <w:rPr>
          <w:rFonts w:ascii="Arial Narrow" w:eastAsia="Calibri" w:hAnsi="Arial Narrow" w:cs="Calibri"/>
          <w:color w:val="000000" w:themeColor="text1"/>
          <w:sz w:val="22"/>
          <w:szCs w:val="22"/>
          <w:lang w:val="en-GB"/>
        </w:rPr>
        <w:t xml:space="preserve"> TMB </w:t>
      </w:r>
      <w:proofErr w:type="spellStart"/>
      <w:r w:rsidRPr="00602223">
        <w:rPr>
          <w:rFonts w:ascii="Arial Narrow" w:eastAsia="Calibri" w:hAnsi="Arial Narrow" w:cs="Calibri"/>
          <w:color w:val="000000" w:themeColor="text1"/>
          <w:sz w:val="22"/>
          <w:szCs w:val="22"/>
          <w:lang w:val="en-GB"/>
        </w:rPr>
        <w:t>siç</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tregohet</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në</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tabelën</w:t>
      </w:r>
      <w:proofErr w:type="spellEnd"/>
      <w:r w:rsidRPr="00602223">
        <w:rPr>
          <w:rFonts w:ascii="Arial Narrow" w:eastAsia="Calibri" w:hAnsi="Arial Narrow" w:cs="Calibri"/>
          <w:color w:val="000000" w:themeColor="text1"/>
          <w:sz w:val="22"/>
          <w:szCs w:val="22"/>
          <w:lang w:val="en-GB"/>
        </w:rPr>
        <w:t xml:space="preserve"> e </w:t>
      </w:r>
      <w:proofErr w:type="spellStart"/>
      <w:r w:rsidRPr="00602223">
        <w:rPr>
          <w:rFonts w:ascii="Arial Narrow" w:eastAsia="Calibri" w:hAnsi="Arial Narrow" w:cs="Calibri"/>
          <w:color w:val="000000" w:themeColor="text1"/>
          <w:sz w:val="22"/>
          <w:szCs w:val="22"/>
          <w:lang w:val="en-GB"/>
        </w:rPr>
        <w:t>mëposhtme</w:t>
      </w:r>
      <w:proofErr w:type="spellEnd"/>
      <w:r w:rsidR="007D1EDC" w:rsidRPr="00602223">
        <w:rPr>
          <w:rFonts w:ascii="Arial Narrow" w:eastAsia="Calibri" w:hAnsi="Arial Narrow" w:cs="Calibri"/>
          <w:color w:val="000000" w:themeColor="text1"/>
          <w:sz w:val="22"/>
          <w:szCs w:val="22"/>
          <w:lang w:val="en-GB"/>
        </w:rPr>
        <w:t>:</w:t>
      </w:r>
    </w:p>
    <w:p w14:paraId="23AB3E6B" w14:textId="77777777" w:rsidR="007D1EDC" w:rsidRPr="00602223" w:rsidRDefault="007D1EDC" w:rsidP="007D1EDC">
      <w:pPr>
        <w:jc w:val="both"/>
        <w:rPr>
          <w:rFonts w:ascii="Arial Narrow" w:eastAsia="Calibri" w:hAnsi="Arial Narrow" w:cs="Calibri"/>
          <w:color w:val="000000" w:themeColor="text1"/>
          <w:sz w:val="22"/>
          <w:szCs w:val="22"/>
          <w:lang w:val="en-GB"/>
        </w:rPr>
      </w:pPr>
    </w:p>
    <w:p w14:paraId="7B8657C6" w14:textId="6956B6D7" w:rsidR="007D1EDC" w:rsidRPr="007D1EDC" w:rsidRDefault="007D1EDC" w:rsidP="007D1EDC">
      <w:pPr>
        <w:suppressAutoHyphens/>
        <w:rPr>
          <w:rFonts w:ascii="Arial Narrow" w:eastAsia="Calibri" w:hAnsi="Arial Narrow" w:cs="Calibri"/>
          <w:color w:val="1F497D"/>
          <w:sz w:val="20"/>
          <w:szCs w:val="20"/>
        </w:rPr>
      </w:pPr>
      <w:bookmarkStart w:id="664" w:name="_Toc190966790"/>
      <w:bookmarkStart w:id="665" w:name="_Toc197472287"/>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102. Mbeturinat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 xml:space="preserve">e </w:t>
      </w:r>
      <w:bookmarkEnd w:id="664"/>
      <w:r w:rsidRPr="007D1EDC">
        <w:rPr>
          <w:rFonts w:ascii="Arial Narrow" w:eastAsia="Calibri" w:hAnsi="Arial Narrow" w:cs="Calibri"/>
          <w:color w:val="1F497D"/>
          <w:sz w:val="20"/>
          <w:szCs w:val="20"/>
        </w:rPr>
        <w:t>pranuara për trajtim dhe rikuperim</w:t>
      </w:r>
      <w:bookmarkEnd w:id="665"/>
      <w:r w:rsidRPr="007D1EDC">
        <w:rPr>
          <w:rFonts w:ascii="Arial Narrow" w:eastAsia="Calibri" w:hAnsi="Arial Narrow" w:cs="Calibri"/>
          <w:color w:val="1F497D"/>
          <w:sz w:val="20"/>
          <w:szCs w:val="20"/>
        </w:rPr>
        <w:t xml:space="preserve"> </w:t>
      </w:r>
    </w:p>
    <w:tbl>
      <w:tblPr>
        <w:tblW w:w="5549" w:type="pct"/>
        <w:tblLook w:val="04A0" w:firstRow="1" w:lastRow="0" w:firstColumn="1" w:lastColumn="0" w:noHBand="0" w:noVBand="1"/>
      </w:tblPr>
      <w:tblGrid>
        <w:gridCol w:w="7006"/>
        <w:gridCol w:w="750"/>
        <w:gridCol w:w="750"/>
        <w:gridCol w:w="750"/>
        <w:gridCol w:w="750"/>
      </w:tblGrid>
      <w:tr w:rsidR="007D1EDC" w:rsidRPr="007D1EDC" w14:paraId="3A8FCF51" w14:textId="77777777" w:rsidTr="006C3E6F">
        <w:trPr>
          <w:trHeight w:val="210"/>
        </w:trPr>
        <w:tc>
          <w:tcPr>
            <w:tcW w:w="3256" w:type="pct"/>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6BE23D04" w14:textId="65FACBB7" w:rsidR="007D1EDC" w:rsidRPr="007D1EDC" w:rsidRDefault="00602223" w:rsidP="007D1EDC">
            <w:pPr>
              <w:rPr>
                <w:rFonts w:ascii="Arial Narrow" w:hAnsi="Arial Narrow"/>
                <w:b/>
                <w:bCs/>
                <w:color w:val="FFFFFF" w:themeColor="background1"/>
                <w:sz w:val="20"/>
                <w:szCs w:val="20"/>
                <w:lang w:val="en-GB" w:eastAsia="en-GB"/>
              </w:rPr>
            </w:pPr>
            <w:proofErr w:type="spellStart"/>
            <w:r>
              <w:rPr>
                <w:rFonts w:ascii="Arial Narrow" w:hAnsi="Arial Narrow"/>
                <w:b/>
                <w:bCs/>
                <w:color w:val="FFFFFF" w:themeColor="background1"/>
                <w:sz w:val="20"/>
                <w:szCs w:val="20"/>
                <w:lang w:val="en-GB" w:eastAsia="en-GB"/>
              </w:rPr>
              <w:t>Fraksionet</w:t>
            </w:r>
            <w:proofErr w:type="spellEnd"/>
            <w:r w:rsidR="007D1EDC" w:rsidRPr="007D1EDC">
              <w:rPr>
                <w:rFonts w:ascii="Arial Narrow" w:hAnsi="Arial Narrow"/>
                <w:b/>
                <w:bCs/>
                <w:color w:val="FFFFFF" w:themeColor="background1"/>
                <w:sz w:val="20"/>
                <w:szCs w:val="20"/>
                <w:lang w:val="en-GB" w:eastAsia="en-GB"/>
              </w:rPr>
              <w:t xml:space="preserve"> e </w:t>
            </w:r>
            <w:proofErr w:type="spellStart"/>
            <w:r w:rsidR="007D1EDC" w:rsidRPr="007D1EDC">
              <w:rPr>
                <w:rFonts w:ascii="Arial Narrow" w:hAnsi="Arial Narrow"/>
                <w:b/>
                <w:bCs/>
                <w:color w:val="FFFFFF" w:themeColor="background1"/>
                <w:sz w:val="20"/>
                <w:szCs w:val="20"/>
                <w:lang w:val="en-GB" w:eastAsia="en-GB"/>
              </w:rPr>
              <w:t>mbeturinave</w:t>
            </w:r>
            <w:proofErr w:type="spellEnd"/>
          </w:p>
        </w:tc>
        <w:tc>
          <w:tcPr>
            <w:tcW w:w="620" w:type="pct"/>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614BA67B"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2032</w:t>
            </w:r>
          </w:p>
        </w:tc>
        <w:tc>
          <w:tcPr>
            <w:tcW w:w="375" w:type="pct"/>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2E3EA968"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2033</w:t>
            </w:r>
          </w:p>
        </w:tc>
        <w:tc>
          <w:tcPr>
            <w:tcW w:w="375" w:type="pct"/>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34F5C3C3"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2034</w:t>
            </w:r>
          </w:p>
        </w:tc>
        <w:tc>
          <w:tcPr>
            <w:tcW w:w="375" w:type="pct"/>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5363E688"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2035</w:t>
            </w:r>
          </w:p>
        </w:tc>
      </w:tr>
      <w:tr w:rsidR="00602223" w:rsidRPr="007D1EDC" w14:paraId="6AACABE8" w14:textId="77777777" w:rsidTr="006C3E6F">
        <w:trPr>
          <w:trHeight w:val="210"/>
        </w:trPr>
        <w:tc>
          <w:tcPr>
            <w:tcW w:w="3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11D15" w14:textId="710D8AC2" w:rsidR="00602223" w:rsidRPr="00602223" w:rsidRDefault="00602223" w:rsidP="00602223">
            <w:pPr>
              <w:rPr>
                <w:rFonts w:ascii="Arial Narrow" w:hAnsi="Arial Narrow" w:cs="Arial"/>
                <w:sz w:val="22"/>
                <w:szCs w:val="22"/>
                <w:lang w:val="en-GB" w:eastAsia="en-GB"/>
              </w:rPr>
            </w:pPr>
            <w:proofErr w:type="spellStart"/>
            <w:r w:rsidRPr="00602223">
              <w:rPr>
                <w:rFonts w:ascii="Arial Narrow" w:hAnsi="Arial Narrow" w:cs="Arial"/>
                <w:sz w:val="22"/>
                <w:szCs w:val="22"/>
                <w:lang w:val="en-GB" w:eastAsia="en-GB"/>
              </w:rPr>
              <w:t>Mbeturinat</w:t>
            </w:r>
            <w:proofErr w:type="spellEnd"/>
            <w:r w:rsidRPr="00602223">
              <w:rPr>
                <w:rFonts w:ascii="Arial Narrow" w:hAnsi="Arial Narrow" w:cs="Arial"/>
                <w:sz w:val="22"/>
                <w:szCs w:val="22"/>
                <w:lang w:val="en-GB" w:eastAsia="en-GB"/>
              </w:rPr>
              <w:t xml:space="preserve"> </w:t>
            </w:r>
            <w:proofErr w:type="spellStart"/>
            <w:r w:rsidRPr="00602223">
              <w:rPr>
                <w:rFonts w:ascii="Arial Narrow" w:hAnsi="Arial Narrow" w:cs="Arial"/>
                <w:sz w:val="22"/>
                <w:szCs w:val="22"/>
                <w:lang w:val="en-GB" w:eastAsia="en-GB"/>
              </w:rPr>
              <w:t>organike</w:t>
            </w:r>
            <w:proofErr w:type="spellEnd"/>
            <w:r w:rsidRPr="00602223">
              <w:rPr>
                <w:rFonts w:ascii="Arial Narrow" w:hAnsi="Arial Narrow" w:cs="Arial"/>
                <w:sz w:val="22"/>
                <w:szCs w:val="22"/>
                <w:lang w:val="en-GB" w:eastAsia="en-GB"/>
              </w:rPr>
              <w:t xml:space="preserve"> </w:t>
            </w:r>
            <w:proofErr w:type="spellStart"/>
            <w:r w:rsidRPr="00602223">
              <w:rPr>
                <w:rFonts w:ascii="Arial Narrow" w:hAnsi="Arial Narrow" w:cs="Arial"/>
                <w:sz w:val="22"/>
                <w:szCs w:val="22"/>
                <w:lang w:val="en-GB" w:eastAsia="en-GB"/>
              </w:rPr>
              <w:t>të</w:t>
            </w:r>
            <w:proofErr w:type="spellEnd"/>
            <w:r w:rsidRPr="00602223">
              <w:rPr>
                <w:rFonts w:ascii="Arial Narrow" w:hAnsi="Arial Narrow" w:cs="Arial"/>
                <w:sz w:val="22"/>
                <w:szCs w:val="22"/>
                <w:lang w:val="en-GB" w:eastAsia="en-GB"/>
              </w:rPr>
              <w:t xml:space="preserve"> </w:t>
            </w:r>
            <w:proofErr w:type="spellStart"/>
            <w:r w:rsidRPr="00602223">
              <w:rPr>
                <w:rFonts w:ascii="Arial Narrow" w:hAnsi="Arial Narrow" w:cs="Arial"/>
                <w:sz w:val="22"/>
                <w:szCs w:val="22"/>
                <w:lang w:val="en-GB" w:eastAsia="en-GB"/>
              </w:rPr>
              <w:t>grumbulluarandaras</w:t>
            </w:r>
            <w:proofErr w:type="spellEnd"/>
            <w:r w:rsidRPr="00602223">
              <w:rPr>
                <w:rFonts w:ascii="Arial Narrow" w:hAnsi="Arial Narrow" w:cs="Arial"/>
                <w:sz w:val="22"/>
                <w:szCs w:val="22"/>
                <w:lang w:val="en-GB" w:eastAsia="en-GB"/>
              </w:rPr>
              <w:t xml:space="preserve"> </w:t>
            </w:r>
            <w:proofErr w:type="spellStart"/>
            <w:r w:rsidRPr="00602223">
              <w:rPr>
                <w:rFonts w:ascii="Arial Narrow" w:hAnsi="Arial Narrow" w:cs="Arial"/>
                <w:sz w:val="22"/>
                <w:szCs w:val="22"/>
                <w:lang w:val="en-GB" w:eastAsia="en-GB"/>
              </w:rPr>
              <w:t>për</w:t>
            </w:r>
            <w:proofErr w:type="spellEnd"/>
            <w:r w:rsidRPr="00602223">
              <w:rPr>
                <w:rFonts w:ascii="Arial Narrow" w:hAnsi="Arial Narrow" w:cs="Arial"/>
                <w:sz w:val="22"/>
                <w:szCs w:val="22"/>
                <w:lang w:val="en-GB" w:eastAsia="en-GB"/>
              </w:rPr>
              <w:t xml:space="preserve"> </w:t>
            </w:r>
            <w:proofErr w:type="spellStart"/>
            <w:r w:rsidRPr="00602223">
              <w:rPr>
                <w:rFonts w:ascii="Arial Narrow" w:hAnsi="Arial Narrow" w:cs="Arial"/>
                <w:sz w:val="22"/>
                <w:szCs w:val="22"/>
                <w:lang w:val="en-GB" w:eastAsia="en-GB"/>
              </w:rPr>
              <w:t>trajtimin</w:t>
            </w:r>
            <w:proofErr w:type="spellEnd"/>
            <w:r w:rsidRPr="00602223">
              <w:rPr>
                <w:rFonts w:ascii="Arial Narrow" w:hAnsi="Arial Narrow" w:cs="Arial"/>
                <w:sz w:val="22"/>
                <w:szCs w:val="22"/>
                <w:lang w:val="en-GB" w:eastAsia="en-GB"/>
              </w:rPr>
              <w:t xml:space="preserve"> </w:t>
            </w:r>
            <w:proofErr w:type="spellStart"/>
            <w:r w:rsidRPr="00602223">
              <w:rPr>
                <w:rFonts w:ascii="Arial Narrow" w:hAnsi="Arial Narrow" w:cs="Arial"/>
                <w:sz w:val="22"/>
                <w:szCs w:val="22"/>
                <w:lang w:val="en-GB" w:eastAsia="en-GB"/>
              </w:rPr>
              <w:t>në</w:t>
            </w:r>
            <w:proofErr w:type="spellEnd"/>
            <w:r w:rsidRPr="00602223">
              <w:rPr>
                <w:rFonts w:ascii="Arial Narrow" w:hAnsi="Arial Narrow" w:cs="Arial"/>
                <w:sz w:val="22"/>
                <w:szCs w:val="22"/>
                <w:lang w:val="en-GB" w:eastAsia="en-GB"/>
              </w:rPr>
              <w:t xml:space="preserve"> </w:t>
            </w:r>
            <w:proofErr w:type="spellStart"/>
            <w:r w:rsidRPr="00602223">
              <w:rPr>
                <w:rFonts w:ascii="Arial Narrow" w:hAnsi="Arial Narrow" w:cs="Arial"/>
                <w:sz w:val="22"/>
                <w:szCs w:val="22"/>
                <w:lang w:val="en-GB" w:eastAsia="en-GB"/>
              </w:rPr>
              <w:t>kontejnerët</w:t>
            </w:r>
            <w:proofErr w:type="spellEnd"/>
            <w:r w:rsidRPr="00602223">
              <w:rPr>
                <w:rFonts w:ascii="Arial Narrow" w:hAnsi="Arial Narrow" w:cs="Arial"/>
                <w:sz w:val="22"/>
                <w:szCs w:val="22"/>
                <w:lang w:val="en-GB" w:eastAsia="en-GB"/>
              </w:rPr>
              <w:t xml:space="preserve"> e </w:t>
            </w:r>
            <w:proofErr w:type="spellStart"/>
            <w:r w:rsidRPr="00602223">
              <w:rPr>
                <w:rFonts w:ascii="Arial Narrow" w:hAnsi="Arial Narrow" w:cs="Arial"/>
                <w:sz w:val="22"/>
                <w:szCs w:val="22"/>
                <w:lang w:val="en-GB" w:eastAsia="en-GB"/>
              </w:rPr>
              <w:t>specializuar</w:t>
            </w:r>
            <w:proofErr w:type="spellEnd"/>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5937C" w14:textId="4D320910"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2,039 t</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7C242" w14:textId="76E68D1D"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2,261 t</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41906" w14:textId="458769B8"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2,507 t</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0B3C0" w14:textId="61CE400F"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2,779 t</w:t>
            </w:r>
          </w:p>
        </w:tc>
      </w:tr>
      <w:tr w:rsidR="00602223" w:rsidRPr="007D1EDC" w14:paraId="613E47F5" w14:textId="77777777" w:rsidTr="006C3E6F">
        <w:trPr>
          <w:trHeight w:val="190"/>
        </w:trPr>
        <w:tc>
          <w:tcPr>
            <w:tcW w:w="32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BD757" w14:textId="709069AD" w:rsidR="00602223" w:rsidRPr="00602223" w:rsidRDefault="00602223" w:rsidP="00602223">
            <w:pPr>
              <w:rPr>
                <w:rFonts w:ascii="Arial Narrow" w:hAnsi="Arial Narrow" w:cs="Arial"/>
                <w:sz w:val="22"/>
                <w:szCs w:val="22"/>
                <w:lang w:val="en-GB" w:eastAsia="en-GB"/>
              </w:rPr>
            </w:pPr>
            <w:proofErr w:type="spellStart"/>
            <w:r w:rsidRPr="00602223">
              <w:rPr>
                <w:rFonts w:ascii="Arial Narrow" w:hAnsi="Arial Narrow" w:cs="Arial"/>
                <w:sz w:val="22"/>
                <w:szCs w:val="22"/>
                <w:lang w:val="en-GB" w:eastAsia="en-GB"/>
              </w:rPr>
              <w:t>Mbeturinat</w:t>
            </w:r>
            <w:proofErr w:type="spellEnd"/>
            <w:r w:rsidRPr="00602223">
              <w:rPr>
                <w:rFonts w:ascii="Arial Narrow" w:hAnsi="Arial Narrow" w:cs="Arial"/>
                <w:sz w:val="22"/>
                <w:szCs w:val="22"/>
                <w:lang w:val="en-GB" w:eastAsia="en-GB"/>
              </w:rPr>
              <w:t xml:space="preserve"> e </w:t>
            </w:r>
            <w:proofErr w:type="spellStart"/>
            <w:r w:rsidRPr="00602223">
              <w:rPr>
                <w:rFonts w:ascii="Arial Narrow" w:hAnsi="Arial Narrow" w:cs="Arial"/>
                <w:sz w:val="22"/>
                <w:szCs w:val="22"/>
                <w:lang w:val="en-GB" w:eastAsia="en-GB"/>
              </w:rPr>
              <w:t>përziera</w:t>
            </w:r>
            <w:proofErr w:type="spellEnd"/>
            <w:r w:rsidRPr="00602223">
              <w:rPr>
                <w:rFonts w:ascii="Arial Narrow" w:hAnsi="Arial Narrow" w:cs="Arial"/>
                <w:sz w:val="22"/>
                <w:szCs w:val="22"/>
                <w:lang w:val="en-GB" w:eastAsia="en-GB"/>
              </w:rPr>
              <w:t xml:space="preserve"> </w:t>
            </w:r>
            <w:proofErr w:type="spellStart"/>
            <w:r w:rsidRPr="00602223">
              <w:rPr>
                <w:rFonts w:ascii="Arial Narrow" w:hAnsi="Arial Narrow" w:cs="Arial"/>
                <w:sz w:val="22"/>
                <w:szCs w:val="22"/>
                <w:lang w:val="en-GB" w:eastAsia="en-GB"/>
              </w:rPr>
              <w:t>për</w:t>
            </w:r>
            <w:proofErr w:type="spellEnd"/>
            <w:r w:rsidRPr="00602223">
              <w:rPr>
                <w:rFonts w:ascii="Arial Narrow" w:hAnsi="Arial Narrow" w:cs="Arial"/>
                <w:sz w:val="22"/>
                <w:szCs w:val="22"/>
                <w:lang w:val="en-GB" w:eastAsia="en-GB"/>
              </w:rPr>
              <w:t xml:space="preserve"> </w:t>
            </w:r>
            <w:proofErr w:type="spellStart"/>
            <w:r w:rsidRPr="00602223">
              <w:rPr>
                <w:rFonts w:ascii="Arial Narrow" w:hAnsi="Arial Narrow" w:cs="Arial"/>
                <w:sz w:val="22"/>
                <w:szCs w:val="22"/>
                <w:lang w:val="en-GB" w:eastAsia="en-GB"/>
              </w:rPr>
              <w:t>trajtimin</w:t>
            </w:r>
            <w:proofErr w:type="spellEnd"/>
            <w:r w:rsidRPr="00602223">
              <w:rPr>
                <w:rFonts w:ascii="Arial Narrow" w:hAnsi="Arial Narrow" w:cs="Arial"/>
                <w:sz w:val="22"/>
                <w:szCs w:val="22"/>
                <w:lang w:val="en-GB" w:eastAsia="en-GB"/>
              </w:rPr>
              <w:t xml:space="preserve"> TMB</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132AB" w14:textId="6A137682"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40,863 t</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1B2F3" w14:textId="77777777"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39,388 t</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ACC2C" w14:textId="017C390D"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37,901 t</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7A128" w14:textId="02B43032" w:rsidR="00602223" w:rsidRPr="007D1EDC" w:rsidRDefault="00602223" w:rsidP="00602223">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36,624 t</w:t>
            </w:r>
          </w:p>
        </w:tc>
      </w:tr>
      <w:tr w:rsidR="007D1EDC" w:rsidRPr="007D1EDC" w14:paraId="4F1F32E0" w14:textId="77777777" w:rsidTr="006C3E6F">
        <w:trPr>
          <w:trHeight w:val="210"/>
        </w:trPr>
        <w:tc>
          <w:tcPr>
            <w:tcW w:w="3256" w:type="pct"/>
            <w:tcBorders>
              <w:top w:val="single" w:sz="4" w:space="0" w:color="auto"/>
              <w:left w:val="nil"/>
              <w:bottom w:val="nil"/>
              <w:right w:val="nil"/>
            </w:tcBorders>
            <w:shd w:val="clear" w:color="auto" w:fill="auto"/>
            <w:noWrap/>
            <w:vAlign w:val="bottom"/>
          </w:tcPr>
          <w:p w14:paraId="2D5B6656" w14:textId="77777777" w:rsidR="007D1EDC" w:rsidRPr="007D1EDC" w:rsidRDefault="007D1EDC" w:rsidP="007D1EDC">
            <w:pPr>
              <w:rPr>
                <w:rFonts w:ascii="Arial" w:hAnsi="Arial" w:cs="Arial"/>
                <w:b/>
                <w:bCs/>
                <w:sz w:val="20"/>
                <w:szCs w:val="20"/>
                <w:lang w:val="en-GB" w:eastAsia="en-GB"/>
              </w:rPr>
            </w:pPr>
          </w:p>
        </w:tc>
        <w:tc>
          <w:tcPr>
            <w:tcW w:w="620" w:type="pct"/>
            <w:tcBorders>
              <w:top w:val="single" w:sz="4" w:space="0" w:color="auto"/>
              <w:left w:val="nil"/>
              <w:bottom w:val="nil"/>
              <w:right w:val="nil"/>
            </w:tcBorders>
            <w:shd w:val="clear" w:color="auto" w:fill="auto"/>
            <w:noWrap/>
            <w:vAlign w:val="bottom"/>
          </w:tcPr>
          <w:p w14:paraId="2671AD09" w14:textId="77777777" w:rsidR="007D1EDC" w:rsidRPr="007D1EDC" w:rsidRDefault="007D1EDC" w:rsidP="007D1EDC">
            <w:pPr>
              <w:jc w:val="right"/>
              <w:rPr>
                <w:rFonts w:ascii="Calibri" w:hAnsi="Calibri" w:cs="Calibri"/>
                <w:color w:val="000000"/>
                <w:sz w:val="20"/>
                <w:szCs w:val="20"/>
                <w:lang w:val="en-GB" w:eastAsia="en-GB"/>
              </w:rPr>
            </w:pPr>
          </w:p>
        </w:tc>
        <w:tc>
          <w:tcPr>
            <w:tcW w:w="375" w:type="pct"/>
            <w:tcBorders>
              <w:top w:val="single" w:sz="4" w:space="0" w:color="auto"/>
              <w:left w:val="nil"/>
              <w:bottom w:val="nil"/>
              <w:right w:val="nil"/>
            </w:tcBorders>
            <w:shd w:val="clear" w:color="auto" w:fill="auto"/>
            <w:noWrap/>
            <w:vAlign w:val="bottom"/>
          </w:tcPr>
          <w:p w14:paraId="72080A28" w14:textId="77777777" w:rsidR="007D1EDC" w:rsidRPr="007D1EDC" w:rsidRDefault="007D1EDC" w:rsidP="007D1EDC">
            <w:pPr>
              <w:jc w:val="right"/>
              <w:rPr>
                <w:rFonts w:ascii="Calibri" w:hAnsi="Calibri" w:cs="Calibri"/>
                <w:color w:val="000000"/>
                <w:sz w:val="20"/>
                <w:szCs w:val="20"/>
                <w:lang w:val="en-GB" w:eastAsia="en-GB"/>
              </w:rPr>
            </w:pPr>
          </w:p>
        </w:tc>
        <w:tc>
          <w:tcPr>
            <w:tcW w:w="375" w:type="pct"/>
            <w:tcBorders>
              <w:top w:val="single" w:sz="4" w:space="0" w:color="auto"/>
              <w:left w:val="nil"/>
              <w:bottom w:val="nil"/>
              <w:right w:val="nil"/>
            </w:tcBorders>
            <w:shd w:val="clear" w:color="auto" w:fill="auto"/>
            <w:noWrap/>
            <w:vAlign w:val="bottom"/>
          </w:tcPr>
          <w:p w14:paraId="397AA335" w14:textId="77777777" w:rsidR="007D1EDC" w:rsidRPr="007D1EDC" w:rsidRDefault="007D1EDC" w:rsidP="007D1EDC">
            <w:pPr>
              <w:jc w:val="right"/>
              <w:rPr>
                <w:rFonts w:ascii="Calibri" w:hAnsi="Calibri" w:cs="Calibri"/>
                <w:color w:val="000000"/>
                <w:sz w:val="20"/>
                <w:szCs w:val="20"/>
                <w:lang w:val="en-GB" w:eastAsia="en-GB"/>
              </w:rPr>
            </w:pPr>
          </w:p>
        </w:tc>
        <w:tc>
          <w:tcPr>
            <w:tcW w:w="375" w:type="pct"/>
            <w:tcBorders>
              <w:top w:val="single" w:sz="4" w:space="0" w:color="auto"/>
              <w:left w:val="nil"/>
              <w:bottom w:val="nil"/>
              <w:right w:val="nil"/>
            </w:tcBorders>
            <w:shd w:val="clear" w:color="auto" w:fill="auto"/>
            <w:noWrap/>
            <w:vAlign w:val="bottom"/>
          </w:tcPr>
          <w:p w14:paraId="30D3F9B4" w14:textId="77777777" w:rsidR="007D1EDC" w:rsidRPr="007D1EDC" w:rsidRDefault="007D1EDC" w:rsidP="007D1EDC">
            <w:pPr>
              <w:jc w:val="right"/>
              <w:rPr>
                <w:rFonts w:ascii="Calibri" w:hAnsi="Calibri" w:cs="Calibri"/>
                <w:color w:val="000000"/>
                <w:sz w:val="20"/>
                <w:szCs w:val="20"/>
                <w:lang w:val="en-GB" w:eastAsia="en-GB"/>
              </w:rPr>
            </w:pPr>
          </w:p>
        </w:tc>
      </w:tr>
    </w:tbl>
    <w:p w14:paraId="4F732CED" w14:textId="77777777" w:rsidR="00602223" w:rsidRPr="009F5CA1" w:rsidRDefault="00602223" w:rsidP="00602223">
      <w:pPr>
        <w:jc w:val="both"/>
        <w:rPr>
          <w:rFonts w:ascii="Arial Narrow" w:eastAsia="Calibri" w:hAnsi="Arial Narrow" w:cs="Calibri"/>
          <w:color w:val="000000" w:themeColor="text1"/>
          <w:sz w:val="22"/>
          <w:szCs w:val="22"/>
        </w:rPr>
      </w:pPr>
      <w:r w:rsidRPr="009F5CA1">
        <w:rPr>
          <w:rFonts w:ascii="Arial Narrow" w:eastAsia="Calibri" w:hAnsi="Arial Narrow" w:cs="Calibri"/>
          <w:color w:val="000000" w:themeColor="text1"/>
          <w:sz w:val="22"/>
          <w:szCs w:val="22"/>
        </w:rPr>
        <w:t>Për mbeturinat ushqimore të grumbulluara ndaras është planifikuar një impiant kompostimi në kontejnerë të specializuar dhe trajtimi mekanik biologjik i mbeturinat e përziera nga i gjithë rajoni.</w:t>
      </w:r>
    </w:p>
    <w:p w14:paraId="108F5D50" w14:textId="77777777" w:rsidR="00602223" w:rsidRPr="009F5CA1" w:rsidRDefault="00602223" w:rsidP="00602223">
      <w:pPr>
        <w:jc w:val="both"/>
        <w:rPr>
          <w:rFonts w:ascii="Arial Narrow" w:eastAsia="Calibri" w:hAnsi="Arial Narrow" w:cs="Calibri"/>
          <w:color w:val="000000" w:themeColor="text1"/>
          <w:sz w:val="22"/>
          <w:szCs w:val="22"/>
        </w:rPr>
      </w:pPr>
    </w:p>
    <w:p w14:paraId="66FB780A" w14:textId="77777777" w:rsidR="00602223" w:rsidRPr="009F5CA1" w:rsidRDefault="00602223" w:rsidP="00602223">
      <w:pPr>
        <w:jc w:val="both"/>
        <w:rPr>
          <w:rFonts w:ascii="Arial Narrow" w:eastAsia="Calibri" w:hAnsi="Arial Narrow" w:cs="Calibri"/>
          <w:color w:val="000000" w:themeColor="text1"/>
          <w:sz w:val="22"/>
          <w:szCs w:val="22"/>
        </w:rPr>
      </w:pPr>
      <w:r w:rsidRPr="009F5CA1">
        <w:rPr>
          <w:rFonts w:ascii="Arial Narrow" w:eastAsia="Calibri" w:hAnsi="Arial Narrow" w:cs="Calibri"/>
          <w:color w:val="000000" w:themeColor="text1"/>
          <w:sz w:val="22"/>
          <w:szCs w:val="22"/>
        </w:rPr>
        <w:t>Mbeturinat e ushqimit/kuzhinës janë fraksioni më i ndërlikuar i mbeturinave që grumbullohen ndaras. Megjithatë, duke marrë parasysh sasinë e konsiderueshme të fraksionit të mbeturinave ushqimore, do të kërkohet grumbullimi i ndarë për të arritur synimet e riciklimit dhe shmangjen e deponive për mbeturinat komunale.</w:t>
      </w:r>
    </w:p>
    <w:p w14:paraId="5838F764" w14:textId="77777777" w:rsidR="00602223" w:rsidRPr="009F5CA1" w:rsidRDefault="00602223" w:rsidP="00602223">
      <w:pPr>
        <w:jc w:val="both"/>
        <w:rPr>
          <w:rFonts w:ascii="Arial Narrow" w:eastAsia="Calibri" w:hAnsi="Arial Narrow" w:cs="Calibri"/>
          <w:color w:val="000000" w:themeColor="text1"/>
          <w:sz w:val="22"/>
          <w:szCs w:val="22"/>
        </w:rPr>
      </w:pPr>
    </w:p>
    <w:p w14:paraId="1C77966A" w14:textId="77777777" w:rsidR="00602223" w:rsidRPr="009F5CA1" w:rsidRDefault="00602223" w:rsidP="00602223">
      <w:pPr>
        <w:jc w:val="both"/>
        <w:rPr>
          <w:rFonts w:ascii="Arial Narrow" w:eastAsia="Calibri" w:hAnsi="Arial Narrow" w:cs="Calibri"/>
          <w:color w:val="000000" w:themeColor="text1"/>
          <w:sz w:val="22"/>
          <w:szCs w:val="22"/>
        </w:rPr>
      </w:pPr>
      <w:r w:rsidRPr="009F5CA1">
        <w:rPr>
          <w:rFonts w:ascii="Arial Narrow" w:eastAsia="Calibri" w:hAnsi="Arial Narrow" w:cs="Calibri"/>
          <w:color w:val="000000" w:themeColor="text1"/>
          <w:sz w:val="22"/>
          <w:szCs w:val="22"/>
        </w:rPr>
        <w:t>Shumica e popullsisë në rajon jeton në zonat rurale ku mbarështimi i kafshëve (pulat, lepujt, etj) është ende i zakonshëm dhe shumica e mbeturinave organike ose kompostohen tashmë në shtëpi ose me to ushqehen kafshët. Futja në funksion e grumbullimit ndaras të bio mbeturinave nuk do të jepte rezultate të domethënëse për momentin.</w:t>
      </w:r>
    </w:p>
    <w:p w14:paraId="32D2273E" w14:textId="77777777" w:rsidR="00602223" w:rsidRPr="009F5CA1" w:rsidRDefault="00602223" w:rsidP="00602223">
      <w:pPr>
        <w:jc w:val="both"/>
        <w:rPr>
          <w:rFonts w:ascii="Arial Narrow" w:eastAsia="Calibri" w:hAnsi="Arial Narrow" w:cs="Calibri"/>
          <w:color w:val="000000" w:themeColor="text1"/>
          <w:sz w:val="22"/>
          <w:szCs w:val="22"/>
        </w:rPr>
      </w:pPr>
    </w:p>
    <w:p w14:paraId="43383AFB" w14:textId="77777777" w:rsidR="00602223" w:rsidRPr="009F5CA1" w:rsidRDefault="00602223" w:rsidP="00602223">
      <w:pPr>
        <w:jc w:val="both"/>
        <w:rPr>
          <w:rFonts w:ascii="Arial Narrow" w:eastAsia="Calibri" w:hAnsi="Arial Narrow" w:cs="Calibri"/>
          <w:color w:val="000000" w:themeColor="text1"/>
          <w:sz w:val="22"/>
          <w:szCs w:val="22"/>
        </w:rPr>
      </w:pPr>
      <w:r w:rsidRPr="009F5CA1">
        <w:rPr>
          <w:rFonts w:ascii="Arial Narrow" w:eastAsia="Calibri" w:hAnsi="Arial Narrow" w:cs="Calibri"/>
          <w:color w:val="000000" w:themeColor="text1"/>
          <w:sz w:val="22"/>
          <w:szCs w:val="22"/>
        </w:rPr>
        <w:t>Prandaj rekomandohet grumbullimi ndaras i mbeturinave të kuzhinës për zonat urbane në rajon.</w:t>
      </w:r>
    </w:p>
    <w:p w14:paraId="5F3B97A2" w14:textId="77777777" w:rsidR="00602223" w:rsidRPr="009F5CA1" w:rsidRDefault="00602223" w:rsidP="00602223">
      <w:pPr>
        <w:jc w:val="both"/>
        <w:rPr>
          <w:rFonts w:ascii="Arial Narrow" w:eastAsia="Calibri" w:hAnsi="Arial Narrow" w:cs="Calibri"/>
          <w:color w:val="000000" w:themeColor="text1"/>
          <w:sz w:val="22"/>
          <w:szCs w:val="22"/>
        </w:rPr>
      </w:pPr>
    </w:p>
    <w:p w14:paraId="0C3503A3" w14:textId="77777777" w:rsidR="00602223" w:rsidRPr="009F5CA1" w:rsidRDefault="00602223" w:rsidP="00602223">
      <w:pPr>
        <w:jc w:val="both"/>
        <w:rPr>
          <w:rFonts w:ascii="Arial Narrow" w:eastAsia="Calibri" w:hAnsi="Arial Narrow" w:cs="Calibri"/>
          <w:color w:val="000000" w:themeColor="text1"/>
          <w:sz w:val="22"/>
          <w:szCs w:val="22"/>
        </w:rPr>
      </w:pPr>
      <w:r w:rsidRPr="009F5CA1">
        <w:rPr>
          <w:rFonts w:ascii="Arial Narrow" w:eastAsia="Calibri" w:hAnsi="Arial Narrow" w:cs="Calibri"/>
          <w:color w:val="000000" w:themeColor="text1"/>
          <w:sz w:val="22"/>
          <w:szCs w:val="22"/>
        </w:rPr>
        <w:t>Kompostimi në kontejnerë të specializuar mund të kombinohet lehtësisht me impiantin TMB ose me instalimin e kompostimit të mbeturinave të gjelbra në komunën e Pejës.</w:t>
      </w:r>
    </w:p>
    <w:p w14:paraId="68D93943" w14:textId="77777777" w:rsidR="00602223" w:rsidRPr="009F5CA1" w:rsidRDefault="00602223" w:rsidP="00602223">
      <w:pPr>
        <w:jc w:val="both"/>
        <w:rPr>
          <w:rFonts w:ascii="Arial Narrow" w:eastAsia="Calibri" w:hAnsi="Arial Narrow" w:cs="Calibri"/>
          <w:color w:val="000000" w:themeColor="text1"/>
          <w:sz w:val="22"/>
          <w:szCs w:val="22"/>
        </w:rPr>
      </w:pPr>
    </w:p>
    <w:p w14:paraId="7076B041" w14:textId="77777777" w:rsidR="00602223" w:rsidRPr="009F5CA1" w:rsidRDefault="00602223" w:rsidP="00602223">
      <w:pPr>
        <w:jc w:val="both"/>
        <w:rPr>
          <w:rFonts w:ascii="Arial Narrow" w:hAnsi="Arial Narrow" w:cs="Calibri"/>
          <w:sz w:val="22"/>
          <w:szCs w:val="22"/>
          <w:lang w:eastAsia="bg-BG"/>
        </w:rPr>
      </w:pPr>
      <w:r w:rsidRPr="009F5CA1">
        <w:rPr>
          <w:rFonts w:ascii="Arial Narrow" w:hAnsi="Arial Narrow" w:cs="Calibri"/>
          <w:sz w:val="22"/>
          <w:szCs w:val="22"/>
          <w:lang w:eastAsia="bg-BG"/>
        </w:rPr>
        <w:lastRenderedPageBreak/>
        <w:t>Teknologjitë TMB janë teknologji shumë të pozicionuara në vendet e BE-së. Teknologji të ndryshme janë aktualisht në funksion pasi proceset e ndryshme janë testuar dhe optimizuar për një periudhë të gjatë kohore.</w:t>
      </w:r>
    </w:p>
    <w:p w14:paraId="1454A38E" w14:textId="77777777" w:rsidR="00602223" w:rsidRPr="009F5CA1" w:rsidRDefault="00602223" w:rsidP="00602223">
      <w:pPr>
        <w:jc w:val="both"/>
        <w:rPr>
          <w:rFonts w:ascii="Arial Narrow" w:hAnsi="Arial Narrow" w:cs="Calibri"/>
          <w:sz w:val="22"/>
          <w:szCs w:val="22"/>
          <w:lang w:eastAsia="bg-BG"/>
        </w:rPr>
      </w:pPr>
    </w:p>
    <w:p w14:paraId="0E132E78" w14:textId="77777777" w:rsidR="00602223" w:rsidRPr="00602223" w:rsidRDefault="00602223" w:rsidP="00602223">
      <w:pPr>
        <w:jc w:val="both"/>
        <w:rPr>
          <w:rFonts w:ascii="Arial Narrow" w:hAnsi="Arial Narrow" w:cs="Calibri"/>
          <w:sz w:val="22"/>
          <w:szCs w:val="22"/>
          <w:lang w:val="en-GB" w:eastAsia="bg-BG"/>
        </w:rPr>
      </w:pPr>
      <w:r w:rsidRPr="009F5CA1">
        <w:rPr>
          <w:rFonts w:ascii="Arial Narrow" w:hAnsi="Arial Narrow" w:cs="Calibri"/>
          <w:sz w:val="22"/>
          <w:szCs w:val="22"/>
          <w:lang w:eastAsia="bg-BG"/>
        </w:rPr>
        <w:t xml:space="preserve">Zhvillimi i teknologjive TMB u inkurajua nga ndryshimet në politikën e përgjithshme të BE-së për menaxhimin e mbeturinave dhe synimet e përcaktuara. </w:t>
      </w:r>
      <w:proofErr w:type="spellStart"/>
      <w:r w:rsidRPr="00602223">
        <w:rPr>
          <w:rFonts w:ascii="Arial Narrow" w:hAnsi="Arial Narrow" w:cs="Calibri"/>
          <w:sz w:val="22"/>
          <w:szCs w:val="22"/>
          <w:lang w:val="en-GB" w:eastAsia="bg-BG"/>
        </w:rPr>
        <w:t>Këto</w:t>
      </w:r>
      <w:proofErr w:type="spellEnd"/>
      <w:r w:rsidRPr="00602223">
        <w:rPr>
          <w:rFonts w:ascii="Arial Narrow" w:hAnsi="Arial Narrow" w:cs="Calibri"/>
          <w:sz w:val="22"/>
          <w:szCs w:val="22"/>
          <w:lang w:val="en-GB" w:eastAsia="bg-BG"/>
        </w:rPr>
        <w:t xml:space="preserve"> </w:t>
      </w:r>
      <w:proofErr w:type="spellStart"/>
      <w:r w:rsidRPr="00602223">
        <w:rPr>
          <w:rFonts w:ascii="Arial Narrow" w:hAnsi="Arial Narrow" w:cs="Calibri"/>
          <w:sz w:val="22"/>
          <w:szCs w:val="22"/>
          <w:lang w:val="en-GB" w:eastAsia="bg-BG"/>
        </w:rPr>
        <w:t>përfshijnë</w:t>
      </w:r>
      <w:proofErr w:type="spellEnd"/>
      <w:r w:rsidRPr="00602223">
        <w:rPr>
          <w:rFonts w:ascii="Arial Narrow" w:hAnsi="Arial Narrow" w:cs="Calibri"/>
          <w:sz w:val="22"/>
          <w:szCs w:val="22"/>
          <w:lang w:val="en-GB" w:eastAsia="bg-BG"/>
        </w:rPr>
        <w:t>:</w:t>
      </w:r>
    </w:p>
    <w:p w14:paraId="10EA67B2" w14:textId="77777777" w:rsidR="00602223" w:rsidRPr="009F5CA1" w:rsidRDefault="00602223" w:rsidP="00602223">
      <w:pPr>
        <w:numPr>
          <w:ilvl w:val="0"/>
          <w:numId w:val="17"/>
        </w:numPr>
        <w:contextualSpacing/>
        <w:rPr>
          <w:rFonts w:ascii="Arial Narrow" w:eastAsia="Calibri" w:hAnsi="Arial Narrow" w:cs="Calibri"/>
          <w:kern w:val="2"/>
          <w:sz w:val="22"/>
          <w:szCs w:val="22"/>
          <w:lang w:val="es-ES"/>
          <w14:ligatures w14:val="standardContextual"/>
        </w:rPr>
      </w:pPr>
      <w:proofErr w:type="spellStart"/>
      <w:r w:rsidRPr="009F5CA1">
        <w:rPr>
          <w:rFonts w:ascii="Arial Narrow" w:eastAsia="Calibri" w:hAnsi="Arial Narrow" w:cs="Calibri"/>
          <w:kern w:val="2"/>
          <w:sz w:val="22"/>
          <w:szCs w:val="22"/>
          <w:lang w:val="es-ES"/>
          <w14:ligatures w14:val="standardContextual"/>
        </w:rPr>
        <w:t>Ndalimi</w:t>
      </w:r>
      <w:proofErr w:type="spellEnd"/>
      <w:r w:rsidRPr="009F5CA1">
        <w:rPr>
          <w:rFonts w:ascii="Arial Narrow" w:eastAsia="Calibri" w:hAnsi="Arial Narrow" w:cs="Calibri"/>
          <w:kern w:val="2"/>
          <w:sz w:val="22"/>
          <w:szCs w:val="22"/>
          <w:lang w:val="es-ES"/>
          <w14:ligatures w14:val="standardContextual"/>
        </w:rPr>
        <w:t xml:space="preserve"> i </w:t>
      </w:r>
      <w:proofErr w:type="spellStart"/>
      <w:r w:rsidRPr="009F5CA1">
        <w:rPr>
          <w:rFonts w:ascii="Arial Narrow" w:eastAsia="Calibri" w:hAnsi="Arial Narrow" w:cs="Calibri"/>
          <w:kern w:val="2"/>
          <w:sz w:val="22"/>
          <w:szCs w:val="22"/>
          <w:lang w:val="es-ES"/>
          <w14:ligatures w14:val="standardContextual"/>
        </w:rPr>
        <w:t>deponimin</w:t>
      </w:r>
      <w:proofErr w:type="spellEnd"/>
      <w:r w:rsidRPr="009F5CA1">
        <w:rPr>
          <w:rFonts w:ascii="Arial Narrow" w:eastAsia="Calibri" w:hAnsi="Arial Narrow" w:cs="Calibri"/>
          <w:kern w:val="2"/>
          <w:sz w:val="22"/>
          <w:szCs w:val="22"/>
          <w:lang w:val="es-ES"/>
          <w14:ligatures w14:val="standardContextual"/>
        </w:rPr>
        <w:t xml:space="preserve"> e MKI </w:t>
      </w:r>
      <w:proofErr w:type="spellStart"/>
      <w:r w:rsidRPr="009F5CA1">
        <w:rPr>
          <w:rFonts w:ascii="Arial Narrow" w:eastAsia="Calibri" w:hAnsi="Arial Narrow" w:cs="Calibri"/>
          <w:kern w:val="2"/>
          <w:sz w:val="22"/>
          <w:szCs w:val="22"/>
          <w:lang w:val="es-ES"/>
          <w14:ligatures w14:val="standardContextual"/>
        </w:rPr>
        <w:t>të</w:t>
      </w:r>
      <w:proofErr w:type="spellEnd"/>
      <w:r w:rsidRPr="009F5CA1">
        <w:rPr>
          <w:rFonts w:ascii="Arial Narrow" w:eastAsia="Calibri" w:hAnsi="Arial Narrow" w:cs="Calibri"/>
          <w:kern w:val="2"/>
          <w:sz w:val="22"/>
          <w:szCs w:val="22"/>
          <w:lang w:val="es-ES"/>
          <w14:ligatures w14:val="standardContextual"/>
        </w:rPr>
        <w:t xml:space="preserve"> </w:t>
      </w:r>
      <w:proofErr w:type="spellStart"/>
      <w:r w:rsidRPr="009F5CA1">
        <w:rPr>
          <w:rFonts w:ascii="Arial Narrow" w:eastAsia="Calibri" w:hAnsi="Arial Narrow" w:cs="Calibri"/>
          <w:kern w:val="2"/>
          <w:sz w:val="22"/>
          <w:szCs w:val="22"/>
          <w:lang w:val="es-ES"/>
          <w14:ligatures w14:val="standardContextual"/>
        </w:rPr>
        <w:t>patrajtuara</w:t>
      </w:r>
      <w:proofErr w:type="spellEnd"/>
      <w:r w:rsidRPr="009F5CA1">
        <w:rPr>
          <w:rFonts w:ascii="Arial Narrow" w:eastAsia="Calibri" w:hAnsi="Arial Narrow" w:cs="Calibri"/>
          <w:kern w:val="2"/>
          <w:sz w:val="22"/>
          <w:szCs w:val="22"/>
          <w:lang w:val="es-ES"/>
          <w14:ligatures w14:val="standardContextual"/>
        </w:rPr>
        <w:t xml:space="preserve">; </w:t>
      </w:r>
      <w:proofErr w:type="spellStart"/>
      <w:r w:rsidRPr="009F5CA1">
        <w:rPr>
          <w:rFonts w:ascii="Arial Narrow" w:eastAsia="Calibri" w:hAnsi="Arial Narrow" w:cs="Calibri"/>
          <w:kern w:val="2"/>
          <w:sz w:val="22"/>
          <w:szCs w:val="22"/>
          <w:lang w:val="es-ES"/>
          <w14:ligatures w14:val="standardContextual"/>
        </w:rPr>
        <w:t>dhe</w:t>
      </w:r>
      <w:proofErr w:type="spellEnd"/>
    </w:p>
    <w:p w14:paraId="0B98D0B0" w14:textId="77777777" w:rsidR="00602223" w:rsidRPr="009F5CA1" w:rsidRDefault="00602223" w:rsidP="00602223">
      <w:pPr>
        <w:numPr>
          <w:ilvl w:val="0"/>
          <w:numId w:val="17"/>
        </w:numPr>
        <w:contextualSpacing/>
        <w:rPr>
          <w:rFonts w:ascii="Arial Narrow" w:eastAsia="Calibri" w:hAnsi="Arial Narrow" w:cs="Calibri"/>
          <w:kern w:val="2"/>
          <w:sz w:val="22"/>
          <w:szCs w:val="22"/>
          <w:lang w:val="es-ES"/>
          <w14:ligatures w14:val="standardContextual"/>
        </w:rPr>
      </w:pPr>
      <w:proofErr w:type="spellStart"/>
      <w:r w:rsidRPr="009F5CA1">
        <w:rPr>
          <w:rFonts w:ascii="Arial Narrow" w:eastAsia="Calibri" w:hAnsi="Arial Narrow" w:cs="Calibri"/>
          <w:kern w:val="2"/>
          <w:sz w:val="22"/>
          <w:szCs w:val="22"/>
          <w:lang w:val="es-ES"/>
          <w14:ligatures w14:val="standardContextual"/>
        </w:rPr>
        <w:t>Reduktimi</w:t>
      </w:r>
      <w:proofErr w:type="spellEnd"/>
      <w:r w:rsidRPr="009F5CA1">
        <w:rPr>
          <w:rFonts w:ascii="Arial Narrow" w:eastAsia="Calibri" w:hAnsi="Arial Narrow" w:cs="Calibri"/>
          <w:kern w:val="2"/>
          <w:sz w:val="22"/>
          <w:szCs w:val="22"/>
          <w:lang w:val="es-ES"/>
          <w14:ligatures w14:val="standardContextual"/>
        </w:rPr>
        <w:t xml:space="preserve"> i </w:t>
      </w:r>
      <w:proofErr w:type="spellStart"/>
      <w:r w:rsidRPr="009F5CA1">
        <w:rPr>
          <w:rFonts w:ascii="Arial Narrow" w:eastAsia="Calibri" w:hAnsi="Arial Narrow" w:cs="Calibri"/>
          <w:kern w:val="2"/>
          <w:sz w:val="22"/>
          <w:szCs w:val="22"/>
          <w:lang w:val="es-ES"/>
          <w14:ligatures w14:val="standardContextual"/>
        </w:rPr>
        <w:t>sasive</w:t>
      </w:r>
      <w:proofErr w:type="spellEnd"/>
      <w:r w:rsidRPr="009F5CA1">
        <w:rPr>
          <w:rFonts w:ascii="Arial Narrow" w:eastAsia="Calibri" w:hAnsi="Arial Narrow" w:cs="Calibri"/>
          <w:kern w:val="2"/>
          <w:sz w:val="22"/>
          <w:szCs w:val="22"/>
          <w:lang w:val="es-ES"/>
          <w14:ligatures w14:val="standardContextual"/>
        </w:rPr>
        <w:t xml:space="preserve"> </w:t>
      </w:r>
      <w:proofErr w:type="spellStart"/>
      <w:r w:rsidRPr="009F5CA1">
        <w:rPr>
          <w:rFonts w:ascii="Arial Narrow" w:eastAsia="Calibri" w:hAnsi="Arial Narrow" w:cs="Calibri"/>
          <w:kern w:val="2"/>
          <w:sz w:val="22"/>
          <w:szCs w:val="22"/>
          <w:lang w:val="es-ES"/>
          <w14:ligatures w14:val="standardContextual"/>
        </w:rPr>
        <w:t>të</w:t>
      </w:r>
      <w:proofErr w:type="spellEnd"/>
      <w:r w:rsidRPr="009F5CA1">
        <w:rPr>
          <w:rFonts w:ascii="Arial Narrow" w:eastAsia="Calibri" w:hAnsi="Arial Narrow" w:cs="Calibri"/>
          <w:kern w:val="2"/>
          <w:sz w:val="22"/>
          <w:szCs w:val="22"/>
          <w:lang w:val="es-ES"/>
          <w14:ligatures w14:val="standardContextual"/>
        </w:rPr>
        <w:t xml:space="preserve"> </w:t>
      </w:r>
      <w:proofErr w:type="spellStart"/>
      <w:r w:rsidRPr="009F5CA1">
        <w:rPr>
          <w:rFonts w:ascii="Arial Narrow" w:eastAsia="Calibri" w:hAnsi="Arial Narrow" w:cs="Calibri"/>
          <w:kern w:val="2"/>
          <w:sz w:val="22"/>
          <w:szCs w:val="22"/>
          <w:lang w:val="es-ES"/>
          <w14:ligatures w14:val="standardContextual"/>
        </w:rPr>
        <w:t>mbeturinave</w:t>
      </w:r>
      <w:proofErr w:type="spellEnd"/>
      <w:r w:rsidRPr="009F5CA1">
        <w:rPr>
          <w:rFonts w:ascii="Arial Narrow" w:eastAsia="Calibri" w:hAnsi="Arial Narrow" w:cs="Calibri"/>
          <w:kern w:val="2"/>
          <w:sz w:val="22"/>
          <w:szCs w:val="22"/>
          <w:lang w:val="es-ES"/>
          <w14:ligatures w14:val="standardContextual"/>
        </w:rPr>
        <w:t xml:space="preserve"> </w:t>
      </w:r>
      <w:proofErr w:type="spellStart"/>
      <w:r w:rsidRPr="009F5CA1">
        <w:rPr>
          <w:rFonts w:ascii="Arial Narrow" w:eastAsia="Calibri" w:hAnsi="Arial Narrow" w:cs="Calibri"/>
          <w:kern w:val="2"/>
          <w:sz w:val="22"/>
          <w:szCs w:val="22"/>
          <w:lang w:val="es-ES"/>
          <w14:ligatures w14:val="standardContextual"/>
        </w:rPr>
        <w:t>të</w:t>
      </w:r>
      <w:proofErr w:type="spellEnd"/>
      <w:r w:rsidRPr="009F5CA1">
        <w:rPr>
          <w:rFonts w:ascii="Arial Narrow" w:eastAsia="Calibri" w:hAnsi="Arial Narrow" w:cs="Calibri"/>
          <w:kern w:val="2"/>
          <w:sz w:val="22"/>
          <w:szCs w:val="22"/>
          <w:lang w:val="es-ES"/>
          <w14:ligatures w14:val="standardContextual"/>
        </w:rPr>
        <w:t xml:space="preserve"> </w:t>
      </w:r>
      <w:proofErr w:type="spellStart"/>
      <w:r w:rsidRPr="009F5CA1">
        <w:rPr>
          <w:rFonts w:ascii="Arial Narrow" w:eastAsia="Calibri" w:hAnsi="Arial Narrow" w:cs="Calibri"/>
          <w:kern w:val="2"/>
          <w:sz w:val="22"/>
          <w:szCs w:val="22"/>
          <w:lang w:val="es-ES"/>
          <w14:ligatures w14:val="standardContextual"/>
        </w:rPr>
        <w:t>biodegradueshme</w:t>
      </w:r>
      <w:proofErr w:type="spellEnd"/>
      <w:r w:rsidRPr="009F5CA1">
        <w:rPr>
          <w:rFonts w:ascii="Arial Narrow" w:eastAsia="Calibri" w:hAnsi="Arial Narrow" w:cs="Calibri"/>
          <w:kern w:val="2"/>
          <w:sz w:val="22"/>
          <w:szCs w:val="22"/>
          <w:lang w:val="es-ES"/>
          <w14:ligatures w14:val="standardContextual"/>
        </w:rPr>
        <w:t xml:space="preserve"> </w:t>
      </w:r>
      <w:proofErr w:type="spellStart"/>
      <w:r w:rsidRPr="009F5CA1">
        <w:rPr>
          <w:rFonts w:ascii="Arial Narrow" w:eastAsia="Calibri" w:hAnsi="Arial Narrow" w:cs="Calibri"/>
          <w:kern w:val="2"/>
          <w:sz w:val="22"/>
          <w:szCs w:val="22"/>
          <w:lang w:val="es-ES"/>
          <w14:ligatures w14:val="standardContextual"/>
        </w:rPr>
        <w:t>në</w:t>
      </w:r>
      <w:proofErr w:type="spellEnd"/>
      <w:r w:rsidRPr="009F5CA1">
        <w:rPr>
          <w:rFonts w:ascii="Arial Narrow" w:eastAsia="Calibri" w:hAnsi="Arial Narrow" w:cs="Calibri"/>
          <w:kern w:val="2"/>
          <w:sz w:val="22"/>
          <w:szCs w:val="22"/>
          <w:lang w:val="es-ES"/>
          <w14:ligatures w14:val="standardContextual"/>
        </w:rPr>
        <w:t xml:space="preserve"> </w:t>
      </w:r>
      <w:proofErr w:type="spellStart"/>
      <w:r w:rsidRPr="009F5CA1">
        <w:rPr>
          <w:rFonts w:ascii="Arial Narrow" w:eastAsia="Calibri" w:hAnsi="Arial Narrow" w:cs="Calibri"/>
          <w:kern w:val="2"/>
          <w:sz w:val="22"/>
          <w:szCs w:val="22"/>
          <w:lang w:val="es-ES"/>
          <w14:ligatures w14:val="standardContextual"/>
        </w:rPr>
        <w:t>deponi</w:t>
      </w:r>
      <w:proofErr w:type="spellEnd"/>
      <w:r w:rsidRPr="009F5CA1">
        <w:rPr>
          <w:rFonts w:ascii="Arial Narrow" w:eastAsia="Calibri" w:hAnsi="Arial Narrow" w:cs="Calibri"/>
          <w:kern w:val="2"/>
          <w:sz w:val="22"/>
          <w:szCs w:val="22"/>
          <w:lang w:val="es-ES"/>
          <w14:ligatures w14:val="standardContextual"/>
        </w:rPr>
        <w:t>.</w:t>
      </w:r>
    </w:p>
    <w:p w14:paraId="0BEC4E4F" w14:textId="77777777" w:rsidR="007D1EDC" w:rsidRPr="009F5CA1" w:rsidRDefault="007D1EDC" w:rsidP="007D1EDC">
      <w:pPr>
        <w:jc w:val="both"/>
        <w:rPr>
          <w:rFonts w:ascii="Arial Narrow" w:hAnsi="Arial Narrow" w:cs="Calibri"/>
          <w:sz w:val="22"/>
          <w:szCs w:val="22"/>
          <w:lang w:val="es-ES" w:eastAsia="bg-BG"/>
        </w:rPr>
      </w:pPr>
    </w:p>
    <w:p w14:paraId="0384DDB5" w14:textId="77777777" w:rsidR="007D1EDC" w:rsidRPr="009F5CA1" w:rsidRDefault="007D1EDC" w:rsidP="007D1EDC">
      <w:pPr>
        <w:jc w:val="both"/>
        <w:rPr>
          <w:rFonts w:ascii="Arial Narrow" w:hAnsi="Arial Narrow" w:cs="Calibri"/>
          <w:sz w:val="22"/>
          <w:szCs w:val="22"/>
          <w:lang w:val="es-ES" w:eastAsia="bg-BG"/>
        </w:rPr>
      </w:pPr>
    </w:p>
    <w:p w14:paraId="1B3A144A" w14:textId="77777777" w:rsidR="007D1EDC" w:rsidRPr="007D1EDC" w:rsidRDefault="007D1EDC" w:rsidP="007D1EDC">
      <w:pPr>
        <w:jc w:val="center"/>
        <w:rPr>
          <w:rFonts w:ascii="Arial Narrow" w:eastAsia="Calibri" w:hAnsi="Arial Narrow" w:cs="Calibri"/>
          <w:bCs/>
          <w:color w:val="0F0D29"/>
          <w:sz w:val="22"/>
          <w:szCs w:val="22"/>
        </w:rPr>
      </w:pPr>
      <w:r w:rsidRPr="007D1EDC">
        <w:rPr>
          <w:rFonts w:ascii="Arial Narrow" w:eastAsia="Calibri" w:hAnsi="Arial Narrow" w:cs="Calibri"/>
          <w:bCs/>
          <w:noProof/>
          <w:color w:val="0F0D29"/>
          <w:sz w:val="22"/>
          <w:szCs w:val="22"/>
        </w:rPr>
        <w:drawing>
          <wp:inline distT="0" distB="0" distL="0" distR="0" wp14:anchorId="459B89D5" wp14:editId="7B0388F1">
            <wp:extent cx="2513537" cy="1589049"/>
            <wp:effectExtent l="0" t="0" r="1270" b="0"/>
            <wp:docPr id="385446629" name="Picture 385446629" descr="A large factory with a large machine&#10;&#10;Description automatically generated with medium confidence">
              <a:extLst xmlns:a="http://schemas.openxmlformats.org/drawingml/2006/main">
                <a:ext uri="{FF2B5EF4-FFF2-40B4-BE49-F238E27FC236}">
                  <a16:creationId xmlns:a16="http://schemas.microsoft.com/office/drawing/2014/main" id="{A16993D7-6257-D949-52F9-157E4ADBD3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16452" name="Picture 744616452" descr="A large factory with a large machine&#10;&#10;Description automatically generated with medium confidence">
                      <a:extLst>
                        <a:ext uri="{FF2B5EF4-FFF2-40B4-BE49-F238E27FC236}">
                          <a16:creationId xmlns:a16="http://schemas.microsoft.com/office/drawing/2014/main" id="{A16993D7-6257-D949-52F9-157E4ADBD3AD}"/>
                        </a:ext>
                      </a:extLst>
                    </pic:cNvPr>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6786"/>
                    <a:stretch/>
                  </pic:blipFill>
                  <pic:spPr bwMode="auto">
                    <a:xfrm>
                      <a:off x="0" y="0"/>
                      <a:ext cx="2532152" cy="1600817"/>
                    </a:xfrm>
                    <a:prstGeom prst="rect">
                      <a:avLst/>
                    </a:prstGeom>
                    <a:noFill/>
                    <a:ln>
                      <a:noFill/>
                    </a:ln>
                    <a:effectLst/>
                  </pic:spPr>
                </pic:pic>
              </a:graphicData>
            </a:graphic>
          </wp:inline>
        </w:drawing>
      </w:r>
      <w:r w:rsidRPr="007D1EDC">
        <w:rPr>
          <w:rFonts w:ascii="Arial Narrow" w:eastAsia="Calibri" w:hAnsi="Arial Narrow" w:cs="Calibri"/>
          <w:bCs/>
          <w:noProof/>
          <w:color w:val="0F0D29"/>
          <w:sz w:val="22"/>
          <w:szCs w:val="22"/>
        </w:rPr>
        <w:drawing>
          <wp:inline distT="0" distB="0" distL="0" distR="0" wp14:anchorId="51A97A37" wp14:editId="6DC262C6">
            <wp:extent cx="2845273" cy="1599043"/>
            <wp:effectExtent l="0" t="0" r="0" b="1270"/>
            <wp:docPr id="2057363286" name="Picture 2057363286" descr="A yellow crane lifting a garbage&#10;&#10;Description automatically generated with medium confidence">
              <a:extLst xmlns:a="http://schemas.openxmlformats.org/drawingml/2006/main">
                <a:ext uri="{FF2B5EF4-FFF2-40B4-BE49-F238E27FC236}">
                  <a16:creationId xmlns:a16="http://schemas.microsoft.com/office/drawing/2014/main" id="{1D308831-682F-EF33-5CE5-CDB7C2D893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59981" name="Picture 938459981" descr="A yellow crane lifting a garbage&#10;&#10;Description automatically generated with medium confidence">
                      <a:extLst>
                        <a:ext uri="{FF2B5EF4-FFF2-40B4-BE49-F238E27FC236}">
                          <a16:creationId xmlns:a16="http://schemas.microsoft.com/office/drawing/2014/main" id="{1D308831-682F-EF33-5CE5-CDB7C2D89337}"/>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90043" cy="1624204"/>
                    </a:xfrm>
                    <a:prstGeom prst="rect">
                      <a:avLst/>
                    </a:prstGeom>
                    <a:noFill/>
                    <a:ln>
                      <a:noFill/>
                    </a:ln>
                    <a:effectLst/>
                  </pic:spPr>
                </pic:pic>
              </a:graphicData>
            </a:graphic>
          </wp:inline>
        </w:drawing>
      </w:r>
    </w:p>
    <w:p w14:paraId="1E2922D1" w14:textId="77777777" w:rsidR="007D1EDC" w:rsidRPr="007D1EDC" w:rsidRDefault="007D1EDC" w:rsidP="007D1EDC">
      <w:pPr>
        <w:ind w:left="357"/>
        <w:jc w:val="both"/>
        <w:rPr>
          <w:rFonts w:ascii="Arial Narrow" w:hAnsi="Arial Narrow" w:cs="Calibri"/>
          <w:i/>
          <w:sz w:val="22"/>
          <w:szCs w:val="22"/>
          <w:lang w:val="en-GB" w:eastAsia="de-DE"/>
        </w:rPr>
      </w:pPr>
    </w:p>
    <w:p w14:paraId="03F26915" w14:textId="77777777" w:rsidR="00602223" w:rsidRPr="00602223" w:rsidRDefault="00602223" w:rsidP="00602223">
      <w:pPr>
        <w:jc w:val="both"/>
        <w:rPr>
          <w:rFonts w:ascii="Arial Narrow" w:hAnsi="Arial Narrow" w:cs="Calibri"/>
          <w:sz w:val="22"/>
          <w:szCs w:val="22"/>
          <w:lang w:val="en-GB" w:eastAsia="de-DE"/>
        </w:rPr>
      </w:pPr>
      <w:r w:rsidRPr="00602223">
        <w:rPr>
          <w:rFonts w:ascii="Arial Narrow" w:hAnsi="Arial Narrow" w:cs="Calibri"/>
          <w:sz w:val="22"/>
          <w:szCs w:val="22"/>
          <w:lang w:val="en-GB" w:eastAsia="de-DE"/>
        </w:rPr>
        <w:t xml:space="preserve">Si </w:t>
      </w:r>
      <w:proofErr w:type="spellStart"/>
      <w:r w:rsidRPr="00602223">
        <w:rPr>
          <w:rFonts w:ascii="Arial Narrow" w:hAnsi="Arial Narrow" w:cs="Calibri"/>
          <w:sz w:val="22"/>
          <w:szCs w:val="22"/>
          <w:lang w:val="en-GB" w:eastAsia="de-DE"/>
        </w:rPr>
        <w:t>objektivi</w:t>
      </w:r>
      <w:proofErr w:type="spellEnd"/>
      <w:r w:rsidRPr="00602223">
        <w:rPr>
          <w:rFonts w:ascii="Arial Narrow" w:hAnsi="Arial Narrow" w:cs="Calibri"/>
          <w:sz w:val="22"/>
          <w:szCs w:val="22"/>
          <w:lang w:val="en-GB" w:eastAsia="de-DE"/>
        </w:rPr>
        <w:t xml:space="preserve"> i </w:t>
      </w:r>
      <w:proofErr w:type="spellStart"/>
      <w:r w:rsidRPr="00602223">
        <w:rPr>
          <w:rFonts w:ascii="Arial Narrow" w:hAnsi="Arial Narrow" w:cs="Calibri"/>
          <w:sz w:val="22"/>
          <w:szCs w:val="22"/>
          <w:lang w:val="en-GB" w:eastAsia="de-DE"/>
        </w:rPr>
        <w:t>shmangjes</w:t>
      </w:r>
      <w:proofErr w:type="spellEnd"/>
      <w:r w:rsidRPr="00602223">
        <w:rPr>
          <w:rFonts w:ascii="Arial Narrow" w:hAnsi="Arial Narrow" w:cs="Calibri"/>
          <w:sz w:val="22"/>
          <w:szCs w:val="22"/>
          <w:lang w:val="en-GB" w:eastAsia="de-DE"/>
        </w:rPr>
        <w:t xml:space="preserve"> </w:t>
      </w:r>
      <w:proofErr w:type="spellStart"/>
      <w:r w:rsidRPr="00602223">
        <w:rPr>
          <w:rFonts w:ascii="Arial Narrow" w:hAnsi="Arial Narrow" w:cs="Calibri"/>
          <w:sz w:val="22"/>
          <w:szCs w:val="22"/>
          <w:lang w:val="en-GB" w:eastAsia="de-DE"/>
        </w:rPr>
        <w:t>së</w:t>
      </w:r>
      <w:proofErr w:type="spellEnd"/>
      <w:r w:rsidRPr="00602223">
        <w:rPr>
          <w:rFonts w:ascii="Arial Narrow" w:hAnsi="Arial Narrow" w:cs="Calibri"/>
          <w:sz w:val="22"/>
          <w:szCs w:val="22"/>
          <w:lang w:val="en-GB" w:eastAsia="de-DE"/>
        </w:rPr>
        <w:t xml:space="preserve"> </w:t>
      </w:r>
      <w:proofErr w:type="spellStart"/>
      <w:r w:rsidRPr="00602223">
        <w:rPr>
          <w:rFonts w:ascii="Arial Narrow" w:hAnsi="Arial Narrow" w:cs="Calibri"/>
          <w:sz w:val="22"/>
          <w:szCs w:val="22"/>
          <w:lang w:val="en-GB" w:eastAsia="de-DE"/>
        </w:rPr>
        <w:t>deponisë</w:t>
      </w:r>
      <w:proofErr w:type="spellEnd"/>
      <w:r w:rsidRPr="00602223">
        <w:rPr>
          <w:rFonts w:ascii="Arial Narrow" w:hAnsi="Arial Narrow" w:cs="Calibri"/>
          <w:sz w:val="22"/>
          <w:szCs w:val="22"/>
          <w:lang w:val="en-GB" w:eastAsia="de-DE"/>
        </w:rPr>
        <w:t xml:space="preserve"> </w:t>
      </w:r>
      <w:proofErr w:type="spellStart"/>
      <w:r w:rsidRPr="00602223">
        <w:rPr>
          <w:rFonts w:ascii="Arial Narrow" w:hAnsi="Arial Narrow" w:cs="Calibri"/>
          <w:sz w:val="22"/>
          <w:szCs w:val="22"/>
          <w:lang w:val="en-GB" w:eastAsia="de-DE"/>
        </w:rPr>
        <w:t>ashtu</w:t>
      </w:r>
      <w:proofErr w:type="spellEnd"/>
      <w:r w:rsidRPr="00602223">
        <w:rPr>
          <w:rFonts w:ascii="Arial Narrow" w:hAnsi="Arial Narrow" w:cs="Calibri"/>
          <w:sz w:val="22"/>
          <w:szCs w:val="22"/>
          <w:lang w:val="en-GB" w:eastAsia="de-DE"/>
        </w:rPr>
        <w:t xml:space="preserve"> </w:t>
      </w:r>
      <w:proofErr w:type="spellStart"/>
      <w:r w:rsidRPr="00602223">
        <w:rPr>
          <w:rFonts w:ascii="Arial Narrow" w:hAnsi="Arial Narrow" w:cs="Calibri"/>
          <w:sz w:val="22"/>
          <w:szCs w:val="22"/>
          <w:lang w:val="en-GB" w:eastAsia="de-DE"/>
        </w:rPr>
        <w:t>edhe</w:t>
      </w:r>
      <w:proofErr w:type="spellEnd"/>
      <w:r w:rsidRPr="00602223">
        <w:rPr>
          <w:rFonts w:ascii="Arial Narrow" w:hAnsi="Arial Narrow" w:cs="Calibri"/>
          <w:sz w:val="22"/>
          <w:szCs w:val="22"/>
          <w:lang w:val="en-GB" w:eastAsia="de-DE"/>
        </w:rPr>
        <w:t xml:space="preserve"> </w:t>
      </w:r>
      <w:proofErr w:type="spellStart"/>
      <w:r w:rsidRPr="00602223">
        <w:rPr>
          <w:rFonts w:ascii="Arial Narrow" w:hAnsi="Arial Narrow" w:cs="Calibri"/>
          <w:sz w:val="22"/>
          <w:szCs w:val="22"/>
          <w:lang w:val="en-GB" w:eastAsia="de-DE"/>
        </w:rPr>
        <w:t>synimi</w:t>
      </w:r>
      <w:proofErr w:type="spellEnd"/>
      <w:r w:rsidRPr="00602223">
        <w:rPr>
          <w:rFonts w:ascii="Arial Narrow" w:hAnsi="Arial Narrow" w:cs="Calibri"/>
          <w:sz w:val="22"/>
          <w:szCs w:val="22"/>
          <w:lang w:val="en-GB" w:eastAsia="de-DE"/>
        </w:rPr>
        <w:t xml:space="preserve"> i </w:t>
      </w:r>
      <w:proofErr w:type="spellStart"/>
      <w:r w:rsidRPr="00602223">
        <w:rPr>
          <w:rFonts w:ascii="Arial Narrow" w:hAnsi="Arial Narrow" w:cs="Calibri"/>
          <w:sz w:val="22"/>
          <w:szCs w:val="22"/>
          <w:lang w:val="en-GB" w:eastAsia="de-DE"/>
        </w:rPr>
        <w:t>riciklimit</w:t>
      </w:r>
      <w:proofErr w:type="spellEnd"/>
      <w:r w:rsidRPr="00602223">
        <w:rPr>
          <w:rFonts w:ascii="Arial Narrow" w:hAnsi="Arial Narrow" w:cs="Calibri"/>
          <w:sz w:val="22"/>
          <w:szCs w:val="22"/>
          <w:lang w:val="en-GB" w:eastAsia="de-DE"/>
        </w:rPr>
        <w:t xml:space="preserve"> </w:t>
      </w:r>
      <w:proofErr w:type="spellStart"/>
      <w:r w:rsidRPr="00602223">
        <w:rPr>
          <w:rFonts w:ascii="Arial Narrow" w:hAnsi="Arial Narrow" w:cs="Calibri"/>
          <w:sz w:val="22"/>
          <w:szCs w:val="22"/>
          <w:lang w:val="en-GB" w:eastAsia="de-DE"/>
        </w:rPr>
        <w:t>për</w:t>
      </w:r>
      <w:proofErr w:type="spellEnd"/>
      <w:r w:rsidRPr="00602223">
        <w:rPr>
          <w:rFonts w:ascii="Arial Narrow" w:hAnsi="Arial Narrow" w:cs="Calibri"/>
          <w:sz w:val="22"/>
          <w:szCs w:val="22"/>
          <w:lang w:val="en-GB" w:eastAsia="de-DE"/>
        </w:rPr>
        <w:t xml:space="preserve"> MKI </w:t>
      </w:r>
      <w:proofErr w:type="spellStart"/>
      <w:r w:rsidRPr="00602223">
        <w:rPr>
          <w:rFonts w:ascii="Arial Narrow" w:hAnsi="Arial Narrow" w:cs="Calibri"/>
          <w:sz w:val="22"/>
          <w:szCs w:val="22"/>
          <w:lang w:val="en-GB" w:eastAsia="de-DE"/>
        </w:rPr>
        <w:t>mund</w:t>
      </w:r>
      <w:proofErr w:type="spellEnd"/>
      <w:r w:rsidRPr="00602223">
        <w:rPr>
          <w:rFonts w:ascii="Arial Narrow" w:hAnsi="Arial Narrow" w:cs="Calibri"/>
          <w:sz w:val="22"/>
          <w:szCs w:val="22"/>
          <w:lang w:val="en-GB" w:eastAsia="de-DE"/>
        </w:rPr>
        <w:t xml:space="preserve"> </w:t>
      </w:r>
      <w:proofErr w:type="spellStart"/>
      <w:r w:rsidRPr="00602223">
        <w:rPr>
          <w:rFonts w:ascii="Arial Narrow" w:hAnsi="Arial Narrow" w:cs="Calibri"/>
          <w:sz w:val="22"/>
          <w:szCs w:val="22"/>
          <w:lang w:val="en-GB" w:eastAsia="de-DE"/>
        </w:rPr>
        <w:t>të</w:t>
      </w:r>
      <w:proofErr w:type="spellEnd"/>
      <w:r w:rsidRPr="00602223">
        <w:rPr>
          <w:rFonts w:ascii="Arial Narrow" w:hAnsi="Arial Narrow" w:cs="Calibri"/>
          <w:sz w:val="22"/>
          <w:szCs w:val="22"/>
          <w:lang w:val="en-GB" w:eastAsia="de-DE"/>
        </w:rPr>
        <w:t xml:space="preserve"> </w:t>
      </w:r>
      <w:proofErr w:type="spellStart"/>
      <w:r w:rsidRPr="00602223">
        <w:rPr>
          <w:rFonts w:ascii="Arial Narrow" w:hAnsi="Arial Narrow" w:cs="Calibri"/>
          <w:sz w:val="22"/>
          <w:szCs w:val="22"/>
          <w:lang w:val="en-GB" w:eastAsia="de-DE"/>
        </w:rPr>
        <w:t>arrihen</w:t>
      </w:r>
      <w:proofErr w:type="spellEnd"/>
      <w:r w:rsidRPr="00602223">
        <w:rPr>
          <w:rFonts w:ascii="Arial Narrow" w:hAnsi="Arial Narrow" w:cs="Calibri"/>
          <w:sz w:val="22"/>
          <w:szCs w:val="22"/>
          <w:lang w:val="en-GB" w:eastAsia="de-DE"/>
        </w:rPr>
        <w:t xml:space="preserve"> </w:t>
      </w:r>
      <w:proofErr w:type="spellStart"/>
      <w:r w:rsidRPr="00602223">
        <w:rPr>
          <w:rFonts w:ascii="Arial Narrow" w:hAnsi="Arial Narrow" w:cs="Calibri"/>
          <w:sz w:val="22"/>
          <w:szCs w:val="22"/>
          <w:lang w:val="en-GB" w:eastAsia="de-DE"/>
        </w:rPr>
        <w:t>vetëm</w:t>
      </w:r>
      <w:proofErr w:type="spellEnd"/>
      <w:r w:rsidRPr="00602223">
        <w:rPr>
          <w:rFonts w:ascii="Arial Narrow" w:hAnsi="Arial Narrow" w:cs="Calibri"/>
          <w:sz w:val="22"/>
          <w:szCs w:val="22"/>
          <w:lang w:val="en-GB" w:eastAsia="de-DE"/>
        </w:rPr>
        <w:t xml:space="preserve"> me </w:t>
      </w:r>
      <w:proofErr w:type="spellStart"/>
      <w:r w:rsidRPr="00602223">
        <w:rPr>
          <w:rFonts w:ascii="Arial Narrow" w:hAnsi="Arial Narrow" w:cs="Calibri"/>
          <w:sz w:val="22"/>
          <w:szCs w:val="22"/>
          <w:lang w:val="en-GB" w:eastAsia="de-DE"/>
        </w:rPr>
        <w:t>sasi</w:t>
      </w:r>
      <w:proofErr w:type="spellEnd"/>
      <w:r w:rsidRPr="00602223">
        <w:rPr>
          <w:rFonts w:ascii="Arial Narrow" w:hAnsi="Arial Narrow" w:cs="Calibri"/>
          <w:sz w:val="22"/>
          <w:szCs w:val="22"/>
          <w:lang w:val="en-GB" w:eastAsia="de-DE"/>
        </w:rPr>
        <w:t xml:space="preserve"> </w:t>
      </w:r>
      <w:proofErr w:type="spellStart"/>
      <w:r w:rsidRPr="00602223">
        <w:rPr>
          <w:rFonts w:ascii="Arial Narrow" w:hAnsi="Arial Narrow" w:cs="Calibri"/>
          <w:sz w:val="22"/>
          <w:szCs w:val="22"/>
          <w:lang w:val="en-GB" w:eastAsia="de-DE"/>
        </w:rPr>
        <w:t>maksimale</w:t>
      </w:r>
      <w:proofErr w:type="spellEnd"/>
      <w:r w:rsidRPr="00602223">
        <w:rPr>
          <w:rFonts w:ascii="Arial Narrow" w:hAnsi="Arial Narrow" w:cs="Calibri"/>
          <w:sz w:val="22"/>
          <w:szCs w:val="22"/>
          <w:lang w:val="en-GB" w:eastAsia="de-DE"/>
        </w:rPr>
        <w:t xml:space="preserve"> </w:t>
      </w:r>
      <w:proofErr w:type="spellStart"/>
      <w:r w:rsidRPr="00602223">
        <w:rPr>
          <w:rFonts w:ascii="Arial Narrow" w:hAnsi="Arial Narrow" w:cs="Calibri"/>
          <w:sz w:val="22"/>
          <w:szCs w:val="22"/>
          <w:lang w:val="en-GB" w:eastAsia="de-DE"/>
        </w:rPr>
        <w:t>të</w:t>
      </w:r>
      <w:proofErr w:type="spellEnd"/>
      <w:r w:rsidRPr="00602223">
        <w:rPr>
          <w:rFonts w:ascii="Arial Narrow" w:hAnsi="Arial Narrow" w:cs="Calibri"/>
          <w:sz w:val="22"/>
          <w:szCs w:val="22"/>
          <w:lang w:val="en-GB" w:eastAsia="de-DE"/>
        </w:rPr>
        <w:t xml:space="preserve"> MKI-</w:t>
      </w:r>
      <w:proofErr w:type="spellStart"/>
      <w:r w:rsidRPr="00602223">
        <w:rPr>
          <w:rFonts w:ascii="Arial Narrow" w:hAnsi="Arial Narrow" w:cs="Calibri"/>
          <w:sz w:val="22"/>
          <w:szCs w:val="22"/>
          <w:lang w:val="en-GB" w:eastAsia="de-DE"/>
        </w:rPr>
        <w:t>ve</w:t>
      </w:r>
      <w:proofErr w:type="spellEnd"/>
      <w:r w:rsidRPr="00602223">
        <w:rPr>
          <w:rFonts w:ascii="Arial Narrow" w:hAnsi="Arial Narrow" w:cs="Calibri"/>
          <w:sz w:val="22"/>
          <w:szCs w:val="22"/>
          <w:lang w:val="en-GB" w:eastAsia="de-DE"/>
        </w:rPr>
        <w:t xml:space="preserve"> </w:t>
      </w:r>
      <w:proofErr w:type="spellStart"/>
      <w:r w:rsidRPr="00602223">
        <w:rPr>
          <w:rFonts w:ascii="Arial Narrow" w:hAnsi="Arial Narrow" w:cs="Calibri"/>
          <w:sz w:val="22"/>
          <w:szCs w:val="22"/>
          <w:lang w:val="en-GB" w:eastAsia="de-DE"/>
        </w:rPr>
        <w:t>që</w:t>
      </w:r>
      <w:proofErr w:type="spellEnd"/>
      <w:r w:rsidRPr="00602223">
        <w:rPr>
          <w:rFonts w:ascii="Arial Narrow" w:hAnsi="Arial Narrow" w:cs="Calibri"/>
          <w:sz w:val="22"/>
          <w:szCs w:val="22"/>
          <w:lang w:val="en-GB" w:eastAsia="de-DE"/>
        </w:rPr>
        <w:t xml:space="preserve"> </w:t>
      </w:r>
      <w:proofErr w:type="spellStart"/>
      <w:r w:rsidRPr="00602223">
        <w:rPr>
          <w:rFonts w:ascii="Arial Narrow" w:hAnsi="Arial Narrow" w:cs="Calibri"/>
          <w:sz w:val="22"/>
          <w:szCs w:val="22"/>
          <w:lang w:val="en-GB" w:eastAsia="de-DE"/>
        </w:rPr>
        <w:t>riciklohen</w:t>
      </w:r>
      <w:proofErr w:type="spellEnd"/>
      <w:r w:rsidRPr="00602223">
        <w:rPr>
          <w:rFonts w:ascii="Arial Narrow" w:hAnsi="Arial Narrow" w:cs="Calibri"/>
          <w:sz w:val="22"/>
          <w:szCs w:val="22"/>
          <w:lang w:val="en-GB" w:eastAsia="de-DE"/>
        </w:rPr>
        <w:t xml:space="preserve"> </w:t>
      </w:r>
      <w:proofErr w:type="spellStart"/>
      <w:r w:rsidRPr="00602223">
        <w:rPr>
          <w:rFonts w:ascii="Arial Narrow" w:hAnsi="Arial Narrow" w:cs="Calibri"/>
          <w:sz w:val="22"/>
          <w:szCs w:val="22"/>
          <w:lang w:val="en-GB" w:eastAsia="de-DE"/>
        </w:rPr>
        <w:t>dhe</w:t>
      </w:r>
      <w:proofErr w:type="spellEnd"/>
      <w:r w:rsidRPr="00602223">
        <w:rPr>
          <w:rFonts w:ascii="Arial Narrow" w:hAnsi="Arial Narrow" w:cs="Calibri"/>
          <w:sz w:val="22"/>
          <w:szCs w:val="22"/>
          <w:lang w:val="en-GB" w:eastAsia="de-DE"/>
        </w:rPr>
        <w:t>/</w:t>
      </w:r>
      <w:proofErr w:type="spellStart"/>
      <w:r w:rsidRPr="00602223">
        <w:rPr>
          <w:rFonts w:ascii="Arial Narrow" w:hAnsi="Arial Narrow" w:cs="Calibri"/>
          <w:sz w:val="22"/>
          <w:szCs w:val="22"/>
          <w:lang w:val="en-GB" w:eastAsia="de-DE"/>
        </w:rPr>
        <w:t>ose</w:t>
      </w:r>
      <w:proofErr w:type="spellEnd"/>
      <w:r w:rsidRPr="00602223">
        <w:rPr>
          <w:rFonts w:ascii="Arial Narrow" w:hAnsi="Arial Narrow" w:cs="Calibri"/>
          <w:sz w:val="22"/>
          <w:szCs w:val="22"/>
          <w:lang w:val="en-GB" w:eastAsia="de-DE"/>
        </w:rPr>
        <w:t xml:space="preserve"> </w:t>
      </w:r>
      <w:proofErr w:type="spellStart"/>
      <w:r w:rsidRPr="00602223">
        <w:rPr>
          <w:rFonts w:ascii="Arial Narrow" w:hAnsi="Arial Narrow" w:cs="Calibri"/>
          <w:sz w:val="22"/>
          <w:szCs w:val="22"/>
          <w:lang w:val="en-GB" w:eastAsia="de-DE"/>
        </w:rPr>
        <w:t>rikuperohen</w:t>
      </w:r>
      <w:proofErr w:type="spellEnd"/>
      <w:r w:rsidRPr="00602223">
        <w:rPr>
          <w:rFonts w:ascii="Arial Narrow" w:hAnsi="Arial Narrow" w:cs="Calibri"/>
          <w:sz w:val="22"/>
          <w:szCs w:val="22"/>
          <w:lang w:val="en-GB" w:eastAsia="de-DE"/>
        </w:rPr>
        <w:t xml:space="preserve"> </w:t>
      </w:r>
      <w:proofErr w:type="spellStart"/>
      <w:r w:rsidRPr="00602223">
        <w:rPr>
          <w:rFonts w:ascii="Arial Narrow" w:hAnsi="Arial Narrow" w:cs="Calibri"/>
          <w:sz w:val="22"/>
          <w:szCs w:val="22"/>
          <w:lang w:val="en-GB" w:eastAsia="de-DE"/>
        </w:rPr>
        <w:t>energjikisht</w:t>
      </w:r>
      <w:proofErr w:type="spellEnd"/>
      <w:r w:rsidRPr="00602223">
        <w:rPr>
          <w:rFonts w:ascii="Arial Narrow" w:hAnsi="Arial Narrow" w:cs="Calibri"/>
          <w:sz w:val="22"/>
          <w:szCs w:val="22"/>
          <w:lang w:val="en-GB" w:eastAsia="de-DE"/>
        </w:rPr>
        <w:t xml:space="preserve">. </w:t>
      </w:r>
      <w:proofErr w:type="spellStart"/>
      <w:r w:rsidRPr="00602223">
        <w:rPr>
          <w:rFonts w:ascii="Arial Narrow" w:hAnsi="Arial Narrow" w:cs="Calibri"/>
          <w:sz w:val="22"/>
          <w:szCs w:val="22"/>
          <w:lang w:val="en-GB" w:eastAsia="de-DE"/>
        </w:rPr>
        <w:t>Prandaj</w:t>
      </w:r>
      <w:proofErr w:type="spellEnd"/>
      <w:r w:rsidRPr="00602223">
        <w:rPr>
          <w:rFonts w:ascii="Arial Narrow" w:hAnsi="Arial Narrow" w:cs="Calibri"/>
          <w:sz w:val="22"/>
          <w:szCs w:val="22"/>
          <w:lang w:val="en-GB" w:eastAsia="de-DE"/>
        </w:rPr>
        <w:t xml:space="preserve">, TMB me </w:t>
      </w:r>
      <w:proofErr w:type="spellStart"/>
      <w:r w:rsidRPr="00602223">
        <w:rPr>
          <w:rFonts w:ascii="Arial Narrow" w:hAnsi="Arial Narrow" w:cs="Calibri"/>
          <w:sz w:val="22"/>
          <w:szCs w:val="22"/>
          <w:lang w:val="en-GB" w:eastAsia="de-DE"/>
        </w:rPr>
        <w:t>rikuperim</w:t>
      </w:r>
      <w:proofErr w:type="spellEnd"/>
      <w:r w:rsidRPr="00602223">
        <w:rPr>
          <w:rFonts w:ascii="Arial Narrow" w:hAnsi="Arial Narrow" w:cs="Calibri"/>
          <w:sz w:val="22"/>
          <w:szCs w:val="22"/>
          <w:lang w:val="en-GB" w:eastAsia="de-DE"/>
        </w:rPr>
        <w:t xml:space="preserve"> </w:t>
      </w:r>
      <w:proofErr w:type="spellStart"/>
      <w:r w:rsidRPr="00602223">
        <w:rPr>
          <w:rFonts w:ascii="Arial Narrow" w:hAnsi="Arial Narrow" w:cs="Calibri"/>
          <w:sz w:val="22"/>
          <w:szCs w:val="22"/>
          <w:lang w:val="en-GB" w:eastAsia="de-DE"/>
        </w:rPr>
        <w:t>të</w:t>
      </w:r>
      <w:proofErr w:type="spellEnd"/>
      <w:r w:rsidRPr="00602223">
        <w:rPr>
          <w:rFonts w:ascii="Arial Narrow" w:hAnsi="Arial Narrow" w:cs="Calibri"/>
          <w:sz w:val="22"/>
          <w:szCs w:val="22"/>
          <w:lang w:val="en-GB" w:eastAsia="de-DE"/>
        </w:rPr>
        <w:t xml:space="preserve"> </w:t>
      </w:r>
      <w:proofErr w:type="spellStart"/>
      <w:r w:rsidRPr="00602223">
        <w:rPr>
          <w:rFonts w:ascii="Arial Narrow" w:hAnsi="Arial Narrow" w:cs="Calibri"/>
          <w:sz w:val="22"/>
          <w:szCs w:val="22"/>
          <w:lang w:val="en-GB" w:eastAsia="de-DE"/>
        </w:rPr>
        <w:t>energjisë</w:t>
      </w:r>
      <w:proofErr w:type="spellEnd"/>
      <w:r w:rsidRPr="00602223">
        <w:rPr>
          <w:rFonts w:ascii="Arial Narrow" w:hAnsi="Arial Narrow" w:cs="Calibri"/>
          <w:sz w:val="22"/>
          <w:szCs w:val="22"/>
          <w:lang w:val="en-GB" w:eastAsia="de-DE"/>
        </w:rPr>
        <w:t xml:space="preserve"> (</w:t>
      </w:r>
      <w:proofErr w:type="spellStart"/>
      <w:r w:rsidRPr="00602223">
        <w:rPr>
          <w:rFonts w:ascii="Arial Narrow" w:hAnsi="Arial Narrow" w:cs="Calibri"/>
          <w:sz w:val="22"/>
          <w:szCs w:val="22"/>
          <w:lang w:val="en-GB" w:eastAsia="de-DE"/>
        </w:rPr>
        <w:t>prodhimi</w:t>
      </w:r>
      <w:proofErr w:type="spellEnd"/>
      <w:r w:rsidRPr="00602223">
        <w:rPr>
          <w:rFonts w:ascii="Arial Narrow" w:hAnsi="Arial Narrow" w:cs="Calibri"/>
          <w:sz w:val="22"/>
          <w:szCs w:val="22"/>
          <w:lang w:val="en-GB" w:eastAsia="de-DE"/>
        </w:rPr>
        <w:t xml:space="preserve"> RDF/KDM) </w:t>
      </w:r>
      <w:proofErr w:type="spellStart"/>
      <w:r w:rsidRPr="00602223">
        <w:rPr>
          <w:rFonts w:ascii="Arial Narrow" w:hAnsi="Arial Narrow" w:cs="Calibri"/>
          <w:sz w:val="22"/>
          <w:szCs w:val="22"/>
          <w:lang w:val="en-GB" w:eastAsia="de-DE"/>
        </w:rPr>
        <w:t>është</w:t>
      </w:r>
      <w:proofErr w:type="spellEnd"/>
      <w:r w:rsidRPr="00602223">
        <w:rPr>
          <w:rFonts w:ascii="Arial Narrow" w:hAnsi="Arial Narrow" w:cs="Calibri"/>
          <w:sz w:val="22"/>
          <w:szCs w:val="22"/>
          <w:lang w:val="en-GB" w:eastAsia="de-DE"/>
        </w:rPr>
        <w:t xml:space="preserve"> </w:t>
      </w:r>
      <w:proofErr w:type="spellStart"/>
      <w:r w:rsidRPr="00602223">
        <w:rPr>
          <w:rFonts w:ascii="Arial Narrow" w:hAnsi="Arial Narrow" w:cs="Calibri"/>
          <w:sz w:val="22"/>
          <w:szCs w:val="22"/>
          <w:lang w:val="en-GB" w:eastAsia="de-DE"/>
        </w:rPr>
        <w:t>teknologjia</w:t>
      </w:r>
      <w:proofErr w:type="spellEnd"/>
      <w:r w:rsidRPr="00602223">
        <w:rPr>
          <w:rFonts w:ascii="Arial Narrow" w:hAnsi="Arial Narrow" w:cs="Calibri"/>
          <w:sz w:val="22"/>
          <w:szCs w:val="22"/>
          <w:lang w:val="en-GB" w:eastAsia="de-DE"/>
        </w:rPr>
        <w:t xml:space="preserve"> e </w:t>
      </w:r>
      <w:proofErr w:type="spellStart"/>
      <w:r w:rsidRPr="00602223">
        <w:rPr>
          <w:rFonts w:ascii="Arial Narrow" w:hAnsi="Arial Narrow" w:cs="Calibri"/>
          <w:sz w:val="22"/>
          <w:szCs w:val="22"/>
          <w:lang w:val="en-GB" w:eastAsia="de-DE"/>
        </w:rPr>
        <w:t>preferuar</w:t>
      </w:r>
      <w:proofErr w:type="spellEnd"/>
      <w:r w:rsidRPr="00602223">
        <w:rPr>
          <w:rFonts w:ascii="Arial Narrow" w:hAnsi="Arial Narrow" w:cs="Calibri"/>
          <w:sz w:val="22"/>
          <w:szCs w:val="22"/>
          <w:lang w:val="en-GB" w:eastAsia="de-DE"/>
        </w:rPr>
        <w:t xml:space="preserve"> </w:t>
      </w:r>
      <w:proofErr w:type="spellStart"/>
      <w:r w:rsidRPr="00602223">
        <w:rPr>
          <w:rFonts w:ascii="Arial Narrow" w:hAnsi="Arial Narrow" w:cs="Calibri"/>
          <w:sz w:val="22"/>
          <w:szCs w:val="22"/>
          <w:lang w:val="en-GB" w:eastAsia="de-DE"/>
        </w:rPr>
        <w:t>për</w:t>
      </w:r>
      <w:proofErr w:type="spellEnd"/>
      <w:r w:rsidRPr="00602223">
        <w:rPr>
          <w:rFonts w:ascii="Arial Narrow" w:hAnsi="Arial Narrow" w:cs="Calibri"/>
          <w:sz w:val="22"/>
          <w:szCs w:val="22"/>
          <w:lang w:val="en-GB" w:eastAsia="de-DE"/>
        </w:rPr>
        <w:t xml:space="preserve"> </w:t>
      </w:r>
      <w:proofErr w:type="spellStart"/>
      <w:r w:rsidRPr="00602223">
        <w:rPr>
          <w:rFonts w:ascii="Arial Narrow" w:hAnsi="Arial Narrow" w:cs="Calibri"/>
          <w:sz w:val="22"/>
          <w:szCs w:val="22"/>
          <w:lang w:val="en-GB" w:eastAsia="de-DE"/>
        </w:rPr>
        <w:t>Rajonin</w:t>
      </w:r>
      <w:proofErr w:type="spellEnd"/>
      <w:r w:rsidRPr="00602223">
        <w:rPr>
          <w:rFonts w:ascii="Arial Narrow" w:hAnsi="Arial Narrow" w:cs="Calibri"/>
          <w:sz w:val="22"/>
          <w:szCs w:val="22"/>
          <w:lang w:val="en-GB" w:eastAsia="de-DE"/>
        </w:rPr>
        <w:t xml:space="preserve">. </w:t>
      </w:r>
      <w:proofErr w:type="spellStart"/>
      <w:r w:rsidRPr="00602223">
        <w:rPr>
          <w:rFonts w:ascii="Arial Narrow" w:hAnsi="Arial Narrow" w:cs="Calibri"/>
          <w:sz w:val="22"/>
          <w:szCs w:val="22"/>
          <w:lang w:val="en-GB" w:eastAsia="de-DE"/>
        </w:rPr>
        <w:t>Është</w:t>
      </w:r>
      <w:proofErr w:type="spellEnd"/>
      <w:r w:rsidRPr="00602223">
        <w:rPr>
          <w:rFonts w:ascii="Arial Narrow" w:hAnsi="Arial Narrow" w:cs="Calibri"/>
          <w:sz w:val="22"/>
          <w:szCs w:val="22"/>
          <w:lang w:val="en-GB" w:eastAsia="de-DE"/>
        </w:rPr>
        <w:t xml:space="preserve"> gjithashtu </w:t>
      </w:r>
      <w:proofErr w:type="spellStart"/>
      <w:r w:rsidRPr="00602223">
        <w:rPr>
          <w:rFonts w:ascii="Arial Narrow" w:hAnsi="Arial Narrow" w:cs="Calibri"/>
          <w:sz w:val="22"/>
          <w:szCs w:val="22"/>
          <w:lang w:val="en-GB" w:eastAsia="de-DE"/>
        </w:rPr>
        <w:t>një</w:t>
      </w:r>
      <w:proofErr w:type="spellEnd"/>
      <w:r w:rsidRPr="00602223">
        <w:rPr>
          <w:rFonts w:ascii="Arial Narrow" w:hAnsi="Arial Narrow" w:cs="Calibri"/>
          <w:sz w:val="22"/>
          <w:szCs w:val="22"/>
          <w:lang w:val="en-GB" w:eastAsia="de-DE"/>
        </w:rPr>
        <w:t xml:space="preserve"> </w:t>
      </w:r>
      <w:proofErr w:type="spellStart"/>
      <w:r w:rsidRPr="00602223">
        <w:rPr>
          <w:rFonts w:ascii="Arial Narrow" w:hAnsi="Arial Narrow" w:cs="Calibri"/>
          <w:sz w:val="22"/>
          <w:szCs w:val="22"/>
          <w:lang w:val="en-GB" w:eastAsia="de-DE"/>
        </w:rPr>
        <w:t>nga</w:t>
      </w:r>
      <w:proofErr w:type="spellEnd"/>
      <w:r w:rsidRPr="00602223">
        <w:rPr>
          <w:rFonts w:ascii="Arial Narrow" w:hAnsi="Arial Narrow" w:cs="Calibri"/>
          <w:sz w:val="22"/>
          <w:szCs w:val="22"/>
          <w:lang w:val="en-GB" w:eastAsia="de-DE"/>
        </w:rPr>
        <w:t xml:space="preserve"> </w:t>
      </w:r>
      <w:proofErr w:type="spellStart"/>
      <w:r w:rsidRPr="00602223">
        <w:rPr>
          <w:rFonts w:ascii="Arial Narrow" w:hAnsi="Arial Narrow" w:cs="Calibri"/>
          <w:sz w:val="22"/>
          <w:szCs w:val="22"/>
          <w:lang w:val="en-GB" w:eastAsia="de-DE"/>
        </w:rPr>
        <w:t>dispozitat</w:t>
      </w:r>
      <w:proofErr w:type="spellEnd"/>
      <w:r w:rsidRPr="00602223">
        <w:rPr>
          <w:rFonts w:ascii="Arial Narrow" w:hAnsi="Arial Narrow" w:cs="Calibri"/>
          <w:sz w:val="22"/>
          <w:szCs w:val="22"/>
          <w:lang w:val="en-GB" w:eastAsia="de-DE"/>
        </w:rPr>
        <w:t xml:space="preserve"> </w:t>
      </w:r>
      <w:proofErr w:type="spellStart"/>
      <w:r w:rsidRPr="00602223">
        <w:rPr>
          <w:rFonts w:ascii="Arial Narrow" w:hAnsi="Arial Narrow" w:cs="Calibri"/>
          <w:sz w:val="22"/>
          <w:szCs w:val="22"/>
          <w:lang w:val="en-GB" w:eastAsia="de-DE"/>
        </w:rPr>
        <w:t>në</w:t>
      </w:r>
      <w:proofErr w:type="spellEnd"/>
      <w:r w:rsidRPr="00602223">
        <w:rPr>
          <w:rFonts w:ascii="Arial Narrow" w:hAnsi="Arial Narrow" w:cs="Calibri"/>
          <w:sz w:val="22"/>
          <w:szCs w:val="22"/>
          <w:lang w:val="en-GB" w:eastAsia="de-DE"/>
        </w:rPr>
        <w:t xml:space="preserve"> </w:t>
      </w:r>
      <w:proofErr w:type="spellStart"/>
      <w:r w:rsidRPr="00602223">
        <w:rPr>
          <w:rFonts w:ascii="Arial Narrow" w:hAnsi="Arial Narrow" w:cs="Calibri"/>
          <w:sz w:val="22"/>
          <w:szCs w:val="22"/>
          <w:lang w:val="en-GB" w:eastAsia="de-DE"/>
        </w:rPr>
        <w:t>Strategjinë</w:t>
      </w:r>
      <w:proofErr w:type="spellEnd"/>
      <w:r w:rsidRPr="00602223">
        <w:rPr>
          <w:rFonts w:ascii="Arial Narrow" w:hAnsi="Arial Narrow" w:cs="Calibri"/>
          <w:sz w:val="22"/>
          <w:szCs w:val="22"/>
          <w:lang w:val="en-GB" w:eastAsia="de-DE"/>
        </w:rPr>
        <w:t xml:space="preserve"> e </w:t>
      </w:r>
      <w:proofErr w:type="spellStart"/>
      <w:r w:rsidRPr="00602223">
        <w:rPr>
          <w:rFonts w:ascii="Arial Narrow" w:hAnsi="Arial Narrow" w:cs="Calibri"/>
          <w:sz w:val="22"/>
          <w:szCs w:val="22"/>
          <w:lang w:val="en-GB" w:eastAsia="de-DE"/>
        </w:rPr>
        <w:t>Kosovës</w:t>
      </w:r>
      <w:proofErr w:type="spellEnd"/>
      <w:r w:rsidRPr="00602223">
        <w:rPr>
          <w:rFonts w:ascii="Arial Narrow" w:hAnsi="Arial Narrow" w:cs="Calibri"/>
          <w:sz w:val="22"/>
          <w:szCs w:val="22"/>
          <w:lang w:val="en-GB" w:eastAsia="de-DE"/>
        </w:rPr>
        <w:t xml:space="preserve"> </w:t>
      </w:r>
      <w:proofErr w:type="spellStart"/>
      <w:r w:rsidRPr="00602223">
        <w:rPr>
          <w:rFonts w:ascii="Arial Narrow" w:hAnsi="Arial Narrow" w:cs="Calibri"/>
          <w:sz w:val="22"/>
          <w:szCs w:val="22"/>
          <w:lang w:val="en-GB" w:eastAsia="de-DE"/>
        </w:rPr>
        <w:t>për</w:t>
      </w:r>
      <w:proofErr w:type="spellEnd"/>
      <w:r w:rsidRPr="00602223">
        <w:rPr>
          <w:rFonts w:ascii="Arial Narrow" w:hAnsi="Arial Narrow" w:cs="Calibri"/>
          <w:sz w:val="22"/>
          <w:szCs w:val="22"/>
          <w:lang w:val="en-GB" w:eastAsia="de-DE"/>
        </w:rPr>
        <w:t xml:space="preserve"> </w:t>
      </w:r>
      <w:proofErr w:type="spellStart"/>
      <w:r w:rsidRPr="00602223">
        <w:rPr>
          <w:rFonts w:ascii="Arial Narrow" w:hAnsi="Arial Narrow" w:cs="Calibri"/>
          <w:sz w:val="22"/>
          <w:szCs w:val="22"/>
          <w:lang w:val="en-GB" w:eastAsia="de-DE"/>
        </w:rPr>
        <w:t>Menaxhimin</w:t>
      </w:r>
      <w:proofErr w:type="spellEnd"/>
      <w:r w:rsidRPr="00602223">
        <w:rPr>
          <w:rFonts w:ascii="Arial Narrow" w:hAnsi="Arial Narrow" w:cs="Calibri"/>
          <w:sz w:val="22"/>
          <w:szCs w:val="22"/>
          <w:lang w:val="en-GB" w:eastAsia="de-DE"/>
        </w:rPr>
        <w:t xml:space="preserve"> e </w:t>
      </w:r>
      <w:proofErr w:type="spellStart"/>
      <w:r w:rsidRPr="00602223">
        <w:rPr>
          <w:rFonts w:ascii="Arial Narrow" w:hAnsi="Arial Narrow" w:cs="Calibri"/>
          <w:sz w:val="22"/>
          <w:szCs w:val="22"/>
          <w:lang w:val="en-GB" w:eastAsia="de-DE"/>
        </w:rPr>
        <w:t>Integruar</w:t>
      </w:r>
      <w:proofErr w:type="spellEnd"/>
      <w:r w:rsidRPr="00602223">
        <w:rPr>
          <w:rFonts w:ascii="Arial Narrow" w:hAnsi="Arial Narrow" w:cs="Calibri"/>
          <w:sz w:val="22"/>
          <w:szCs w:val="22"/>
          <w:lang w:val="en-GB" w:eastAsia="de-DE"/>
        </w:rPr>
        <w:t xml:space="preserve"> </w:t>
      </w:r>
      <w:proofErr w:type="spellStart"/>
      <w:r w:rsidRPr="00602223">
        <w:rPr>
          <w:rFonts w:ascii="Arial Narrow" w:hAnsi="Arial Narrow" w:cs="Calibri"/>
          <w:sz w:val="22"/>
          <w:szCs w:val="22"/>
          <w:lang w:val="en-GB" w:eastAsia="de-DE"/>
        </w:rPr>
        <w:t>të</w:t>
      </w:r>
      <w:proofErr w:type="spellEnd"/>
      <w:r w:rsidRPr="00602223">
        <w:rPr>
          <w:rFonts w:ascii="Arial Narrow" w:hAnsi="Arial Narrow" w:cs="Calibri"/>
          <w:sz w:val="22"/>
          <w:szCs w:val="22"/>
          <w:lang w:val="en-GB" w:eastAsia="de-DE"/>
        </w:rPr>
        <w:t xml:space="preserve"> </w:t>
      </w:r>
      <w:proofErr w:type="spellStart"/>
      <w:r w:rsidRPr="00602223">
        <w:rPr>
          <w:rFonts w:ascii="Arial Narrow" w:hAnsi="Arial Narrow" w:cs="Calibri"/>
          <w:sz w:val="22"/>
          <w:szCs w:val="22"/>
          <w:lang w:val="en-GB" w:eastAsia="de-DE"/>
        </w:rPr>
        <w:t>Mbeturinave</w:t>
      </w:r>
      <w:proofErr w:type="spellEnd"/>
      <w:r w:rsidRPr="00602223">
        <w:rPr>
          <w:rFonts w:ascii="Arial Narrow" w:hAnsi="Arial Narrow" w:cs="Calibri"/>
          <w:sz w:val="22"/>
          <w:szCs w:val="22"/>
          <w:lang w:val="en-GB" w:eastAsia="de-DE"/>
        </w:rPr>
        <w:t xml:space="preserve"> 2024-2035 </w:t>
      </w:r>
      <w:proofErr w:type="spellStart"/>
      <w:r w:rsidRPr="00602223">
        <w:rPr>
          <w:rFonts w:ascii="Arial Narrow" w:hAnsi="Arial Narrow" w:cs="Calibri"/>
          <w:sz w:val="22"/>
          <w:szCs w:val="22"/>
          <w:lang w:val="en-GB" w:eastAsia="de-DE"/>
        </w:rPr>
        <w:t>për</w:t>
      </w:r>
      <w:proofErr w:type="spellEnd"/>
      <w:r w:rsidRPr="00602223">
        <w:rPr>
          <w:rFonts w:ascii="Arial Narrow" w:hAnsi="Arial Narrow" w:cs="Calibri"/>
          <w:sz w:val="22"/>
          <w:szCs w:val="22"/>
          <w:lang w:val="en-GB" w:eastAsia="de-DE"/>
        </w:rPr>
        <w:t xml:space="preserve"> </w:t>
      </w:r>
      <w:proofErr w:type="spellStart"/>
      <w:r w:rsidRPr="00602223">
        <w:rPr>
          <w:rFonts w:ascii="Arial Narrow" w:hAnsi="Arial Narrow" w:cs="Calibri"/>
          <w:sz w:val="22"/>
          <w:szCs w:val="22"/>
          <w:lang w:val="en-GB" w:eastAsia="de-DE"/>
        </w:rPr>
        <w:t>Rajonin</w:t>
      </w:r>
      <w:proofErr w:type="spellEnd"/>
      <w:r w:rsidRPr="00602223">
        <w:rPr>
          <w:rFonts w:ascii="Arial Narrow" w:hAnsi="Arial Narrow" w:cs="Calibri"/>
          <w:sz w:val="22"/>
          <w:szCs w:val="22"/>
          <w:lang w:val="en-GB" w:eastAsia="de-DE"/>
        </w:rPr>
        <w:t xml:space="preserve"> e </w:t>
      </w:r>
      <w:proofErr w:type="spellStart"/>
      <w:proofErr w:type="gramStart"/>
      <w:r w:rsidRPr="00602223">
        <w:rPr>
          <w:rFonts w:ascii="Arial Narrow" w:hAnsi="Arial Narrow" w:cs="Calibri"/>
          <w:sz w:val="22"/>
          <w:szCs w:val="22"/>
          <w:lang w:val="en-GB" w:eastAsia="de-DE"/>
        </w:rPr>
        <w:t>Dukagjinit</w:t>
      </w:r>
      <w:proofErr w:type="spellEnd"/>
      <w:r w:rsidRPr="00602223">
        <w:rPr>
          <w:rFonts w:ascii="Arial Narrow" w:hAnsi="Arial Narrow" w:cs="Calibri"/>
          <w:sz w:val="22"/>
          <w:szCs w:val="22"/>
          <w:lang w:val="en-GB" w:eastAsia="de-DE"/>
        </w:rPr>
        <w:t xml:space="preserve"> .</w:t>
      </w:r>
      <w:proofErr w:type="gramEnd"/>
    </w:p>
    <w:p w14:paraId="05B60DEB" w14:textId="77777777" w:rsidR="00602223" w:rsidRPr="00602223" w:rsidRDefault="00602223" w:rsidP="00602223">
      <w:pPr>
        <w:jc w:val="both"/>
        <w:rPr>
          <w:rFonts w:ascii="Arial Narrow" w:hAnsi="Arial Narrow" w:cs="Calibri"/>
          <w:sz w:val="22"/>
          <w:szCs w:val="22"/>
          <w:lang w:val="en-GB" w:eastAsia="de-DE"/>
        </w:rPr>
      </w:pPr>
    </w:p>
    <w:p w14:paraId="3440A832" w14:textId="77777777" w:rsidR="00602223" w:rsidRPr="00602223" w:rsidRDefault="00602223" w:rsidP="00602223">
      <w:pPr>
        <w:jc w:val="both"/>
        <w:rPr>
          <w:rFonts w:ascii="Arial Narrow" w:eastAsia="Calibri" w:hAnsi="Arial Narrow" w:cs="Calibri"/>
          <w:color w:val="000000" w:themeColor="text1"/>
          <w:sz w:val="22"/>
          <w:szCs w:val="22"/>
          <w:lang w:val="en-GB"/>
        </w:rPr>
      </w:pPr>
      <w:proofErr w:type="spellStart"/>
      <w:r w:rsidRPr="00602223">
        <w:rPr>
          <w:rFonts w:ascii="Arial Narrow" w:eastAsia="Calibri" w:hAnsi="Arial Narrow" w:cs="Calibri"/>
          <w:color w:val="000000" w:themeColor="text1"/>
          <w:sz w:val="22"/>
          <w:szCs w:val="22"/>
          <w:lang w:val="en-GB"/>
        </w:rPr>
        <w:t>Arritja</w:t>
      </w:r>
      <w:proofErr w:type="spellEnd"/>
      <w:r w:rsidRPr="00602223">
        <w:rPr>
          <w:rFonts w:ascii="Arial Narrow" w:eastAsia="Calibri" w:hAnsi="Arial Narrow" w:cs="Calibri"/>
          <w:color w:val="000000" w:themeColor="text1"/>
          <w:sz w:val="22"/>
          <w:szCs w:val="22"/>
          <w:lang w:val="en-GB"/>
        </w:rPr>
        <w:t xml:space="preserve"> e </w:t>
      </w:r>
      <w:proofErr w:type="spellStart"/>
      <w:r w:rsidRPr="00602223">
        <w:rPr>
          <w:rFonts w:ascii="Arial Narrow" w:eastAsia="Calibri" w:hAnsi="Arial Narrow" w:cs="Calibri"/>
          <w:color w:val="000000" w:themeColor="text1"/>
          <w:sz w:val="22"/>
          <w:szCs w:val="22"/>
          <w:lang w:val="en-GB"/>
        </w:rPr>
        <w:t>synimeve</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të</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riciklimit</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dhe</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shmangjes</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së</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deponisë</w:t>
      </w:r>
      <w:proofErr w:type="spellEnd"/>
      <w:r w:rsidRPr="00602223">
        <w:rPr>
          <w:rFonts w:ascii="Arial Narrow" w:eastAsia="Calibri" w:hAnsi="Arial Narrow" w:cs="Calibri"/>
          <w:color w:val="000000" w:themeColor="text1"/>
          <w:sz w:val="22"/>
          <w:szCs w:val="22"/>
          <w:lang w:val="en-GB"/>
        </w:rPr>
        <w:t xml:space="preserve"> do </w:t>
      </w:r>
      <w:proofErr w:type="spellStart"/>
      <w:r w:rsidRPr="00602223">
        <w:rPr>
          <w:rFonts w:ascii="Arial Narrow" w:eastAsia="Calibri" w:hAnsi="Arial Narrow" w:cs="Calibri"/>
          <w:color w:val="000000" w:themeColor="text1"/>
          <w:sz w:val="22"/>
          <w:szCs w:val="22"/>
          <w:lang w:val="en-GB"/>
        </w:rPr>
        <w:t>të</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kërkojë</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ngritjen</w:t>
      </w:r>
      <w:proofErr w:type="spellEnd"/>
      <w:r w:rsidRPr="00602223">
        <w:rPr>
          <w:rFonts w:ascii="Arial Narrow" w:eastAsia="Calibri" w:hAnsi="Arial Narrow" w:cs="Calibri"/>
          <w:color w:val="000000" w:themeColor="text1"/>
          <w:sz w:val="22"/>
          <w:szCs w:val="22"/>
          <w:lang w:val="en-GB"/>
        </w:rPr>
        <w:t xml:space="preserve"> e </w:t>
      </w:r>
      <w:proofErr w:type="spellStart"/>
      <w:r w:rsidRPr="00602223">
        <w:rPr>
          <w:rFonts w:ascii="Arial Narrow" w:eastAsia="Calibri" w:hAnsi="Arial Narrow" w:cs="Calibri"/>
          <w:color w:val="000000" w:themeColor="text1"/>
          <w:sz w:val="22"/>
          <w:szCs w:val="22"/>
          <w:lang w:val="en-GB"/>
        </w:rPr>
        <w:t>objektit</w:t>
      </w:r>
      <w:proofErr w:type="spellEnd"/>
      <w:r w:rsidRPr="00602223">
        <w:rPr>
          <w:rFonts w:ascii="Arial Narrow" w:eastAsia="Calibri" w:hAnsi="Arial Narrow" w:cs="Calibri"/>
          <w:color w:val="000000" w:themeColor="text1"/>
          <w:sz w:val="22"/>
          <w:szCs w:val="22"/>
          <w:lang w:val="en-GB"/>
        </w:rPr>
        <w:t xml:space="preserve"> TMB </w:t>
      </w:r>
      <w:proofErr w:type="spellStart"/>
      <w:r w:rsidRPr="00602223">
        <w:rPr>
          <w:rFonts w:ascii="Arial Narrow" w:eastAsia="Calibri" w:hAnsi="Arial Narrow" w:cs="Calibri"/>
          <w:color w:val="000000" w:themeColor="text1"/>
          <w:sz w:val="22"/>
          <w:szCs w:val="22"/>
          <w:lang w:val="en-GB"/>
        </w:rPr>
        <w:t>për</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të</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pranuar</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mbeturinat</w:t>
      </w:r>
      <w:proofErr w:type="spellEnd"/>
      <w:r w:rsidRPr="00602223">
        <w:rPr>
          <w:rFonts w:ascii="Arial Narrow" w:eastAsia="Calibri" w:hAnsi="Arial Narrow" w:cs="Calibri"/>
          <w:color w:val="000000" w:themeColor="text1"/>
          <w:sz w:val="22"/>
          <w:szCs w:val="22"/>
          <w:lang w:val="en-GB"/>
        </w:rPr>
        <w:t xml:space="preserve"> e </w:t>
      </w:r>
      <w:proofErr w:type="spellStart"/>
      <w:r w:rsidRPr="00602223">
        <w:rPr>
          <w:rFonts w:ascii="Arial Narrow" w:eastAsia="Calibri" w:hAnsi="Arial Narrow" w:cs="Calibri"/>
          <w:color w:val="000000" w:themeColor="text1"/>
          <w:sz w:val="22"/>
          <w:szCs w:val="22"/>
          <w:lang w:val="en-GB"/>
        </w:rPr>
        <w:t>përziera</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nga</w:t>
      </w:r>
      <w:proofErr w:type="spellEnd"/>
      <w:r w:rsidRPr="00602223">
        <w:rPr>
          <w:rFonts w:ascii="Arial Narrow" w:eastAsia="Calibri" w:hAnsi="Arial Narrow" w:cs="Calibri"/>
          <w:color w:val="000000" w:themeColor="text1"/>
          <w:sz w:val="22"/>
          <w:szCs w:val="22"/>
          <w:lang w:val="en-GB"/>
        </w:rPr>
        <w:t xml:space="preserve"> i </w:t>
      </w:r>
      <w:proofErr w:type="spellStart"/>
      <w:r w:rsidRPr="00602223">
        <w:rPr>
          <w:rFonts w:ascii="Arial Narrow" w:eastAsia="Calibri" w:hAnsi="Arial Narrow" w:cs="Calibri"/>
          <w:color w:val="000000" w:themeColor="text1"/>
          <w:sz w:val="22"/>
          <w:szCs w:val="22"/>
          <w:lang w:val="en-GB"/>
        </w:rPr>
        <w:t>gjithë</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rajonin</w:t>
      </w:r>
      <w:proofErr w:type="spellEnd"/>
      <w:r w:rsidRPr="00602223">
        <w:rPr>
          <w:rFonts w:ascii="Arial Narrow" w:eastAsia="Calibri" w:hAnsi="Arial Narrow" w:cs="Calibri"/>
          <w:color w:val="000000" w:themeColor="text1"/>
          <w:sz w:val="22"/>
          <w:szCs w:val="22"/>
          <w:lang w:val="en-GB"/>
        </w:rPr>
        <w:t>.</w:t>
      </w:r>
    </w:p>
    <w:p w14:paraId="2F814601" w14:textId="77777777" w:rsidR="00602223" w:rsidRPr="00602223" w:rsidRDefault="00602223" w:rsidP="00602223">
      <w:pPr>
        <w:jc w:val="both"/>
        <w:rPr>
          <w:rFonts w:ascii="Arial Narrow" w:eastAsia="Calibri" w:hAnsi="Arial Narrow" w:cs="Calibri"/>
          <w:color w:val="000000" w:themeColor="text1"/>
          <w:sz w:val="22"/>
          <w:szCs w:val="22"/>
          <w:lang w:val="en-GB"/>
        </w:rPr>
      </w:pPr>
    </w:p>
    <w:p w14:paraId="6EB38349" w14:textId="0D6764EA" w:rsidR="007D1EDC" w:rsidRPr="00602223" w:rsidRDefault="00602223" w:rsidP="00602223">
      <w:pPr>
        <w:rPr>
          <w:rFonts w:ascii="Arial Narrow" w:eastAsia="Calibri" w:hAnsi="Arial Narrow" w:cs="Calibri"/>
          <w:color w:val="000000" w:themeColor="text1"/>
          <w:sz w:val="22"/>
          <w:szCs w:val="22"/>
          <w:lang w:val="en-GB"/>
        </w:rPr>
      </w:pPr>
      <w:proofErr w:type="spellStart"/>
      <w:r w:rsidRPr="00602223">
        <w:rPr>
          <w:rFonts w:ascii="Arial Narrow" w:eastAsia="Calibri" w:hAnsi="Arial Narrow" w:cs="Calibri"/>
          <w:color w:val="000000" w:themeColor="text1"/>
          <w:sz w:val="22"/>
          <w:szCs w:val="22"/>
          <w:lang w:val="en-GB"/>
        </w:rPr>
        <w:t>Kapaciteti</w:t>
      </w:r>
      <w:proofErr w:type="spellEnd"/>
      <w:r w:rsidRPr="00602223">
        <w:rPr>
          <w:rFonts w:ascii="Arial Narrow" w:eastAsia="Calibri" w:hAnsi="Arial Narrow" w:cs="Calibri"/>
          <w:color w:val="000000" w:themeColor="text1"/>
          <w:sz w:val="22"/>
          <w:szCs w:val="22"/>
          <w:lang w:val="en-GB"/>
        </w:rPr>
        <w:t xml:space="preserve"> i </w:t>
      </w:r>
      <w:proofErr w:type="spellStart"/>
      <w:r w:rsidRPr="00602223">
        <w:rPr>
          <w:rFonts w:ascii="Arial Narrow" w:eastAsia="Calibri" w:hAnsi="Arial Narrow" w:cs="Calibri"/>
          <w:color w:val="000000" w:themeColor="text1"/>
          <w:sz w:val="22"/>
          <w:szCs w:val="22"/>
          <w:lang w:val="en-GB"/>
        </w:rPr>
        <w:t>kërkuar</w:t>
      </w:r>
      <w:proofErr w:type="spellEnd"/>
      <w:r w:rsidRPr="00602223">
        <w:rPr>
          <w:rFonts w:ascii="Arial Narrow" w:eastAsia="Calibri" w:hAnsi="Arial Narrow" w:cs="Calibri"/>
          <w:color w:val="000000" w:themeColor="text1"/>
          <w:sz w:val="22"/>
          <w:szCs w:val="22"/>
          <w:lang w:val="en-GB"/>
        </w:rPr>
        <w:t xml:space="preserve"> i </w:t>
      </w:r>
      <w:proofErr w:type="spellStart"/>
      <w:r w:rsidRPr="00602223">
        <w:rPr>
          <w:rFonts w:ascii="Arial Narrow" w:eastAsia="Calibri" w:hAnsi="Arial Narrow" w:cs="Calibri"/>
          <w:color w:val="000000" w:themeColor="text1"/>
          <w:sz w:val="22"/>
          <w:szCs w:val="22"/>
          <w:lang w:val="en-GB"/>
        </w:rPr>
        <w:t>instalimit</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vlerësohet</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në</w:t>
      </w:r>
      <w:proofErr w:type="spellEnd"/>
      <w:r w:rsidRPr="00602223">
        <w:rPr>
          <w:rFonts w:ascii="Arial Narrow" w:eastAsia="Calibri" w:hAnsi="Arial Narrow" w:cs="Calibri"/>
          <w:color w:val="000000" w:themeColor="text1"/>
          <w:sz w:val="22"/>
          <w:szCs w:val="22"/>
          <w:lang w:val="en-GB"/>
        </w:rPr>
        <w:t xml:space="preserve"> 40,000 </w:t>
      </w:r>
      <w:proofErr w:type="spellStart"/>
      <w:r w:rsidRPr="00602223">
        <w:rPr>
          <w:rFonts w:ascii="Arial Narrow" w:eastAsia="Calibri" w:hAnsi="Arial Narrow" w:cs="Calibri"/>
          <w:color w:val="000000" w:themeColor="text1"/>
          <w:sz w:val="22"/>
          <w:szCs w:val="22"/>
          <w:lang w:val="en-GB"/>
        </w:rPr>
        <w:t>tonë</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mbeturina</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të</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përziera</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në</w:t>
      </w:r>
      <w:proofErr w:type="spellEnd"/>
      <w:r w:rsidRPr="00602223">
        <w:rPr>
          <w:rFonts w:ascii="Arial Narrow" w:eastAsia="Calibri" w:hAnsi="Arial Narrow" w:cs="Calibri"/>
          <w:color w:val="000000" w:themeColor="text1"/>
          <w:sz w:val="22"/>
          <w:szCs w:val="22"/>
          <w:lang w:val="en-GB"/>
        </w:rPr>
        <w:t xml:space="preserve"> vit </w:t>
      </w:r>
      <w:proofErr w:type="spellStart"/>
      <w:r w:rsidRPr="00602223">
        <w:rPr>
          <w:rFonts w:ascii="Arial Narrow" w:eastAsia="Calibri" w:hAnsi="Arial Narrow" w:cs="Calibri"/>
          <w:color w:val="000000" w:themeColor="text1"/>
          <w:sz w:val="22"/>
          <w:szCs w:val="22"/>
          <w:lang w:val="en-GB"/>
        </w:rPr>
        <w:t>dhe</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supozohet</w:t>
      </w:r>
      <w:proofErr w:type="spellEnd"/>
      <w:r w:rsidRPr="00602223">
        <w:rPr>
          <w:rFonts w:ascii="Arial Narrow" w:eastAsia="Calibri" w:hAnsi="Arial Narrow" w:cs="Calibri"/>
          <w:color w:val="000000" w:themeColor="text1"/>
          <w:sz w:val="22"/>
          <w:szCs w:val="22"/>
          <w:lang w:val="en-GB"/>
        </w:rPr>
        <w:t xml:space="preserve"> se do </w:t>
      </w:r>
      <w:proofErr w:type="spellStart"/>
      <w:r w:rsidRPr="00602223">
        <w:rPr>
          <w:rFonts w:ascii="Arial Narrow" w:eastAsia="Calibri" w:hAnsi="Arial Narrow" w:cs="Calibri"/>
          <w:color w:val="000000" w:themeColor="text1"/>
          <w:sz w:val="22"/>
          <w:szCs w:val="22"/>
          <w:lang w:val="en-GB"/>
        </w:rPr>
        <w:t>të</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ngritet</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në</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venddeponinë</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rajonale</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Trajtimi</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biologjik</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në</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tunele</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dhe</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prodhimi</w:t>
      </w:r>
      <w:proofErr w:type="spellEnd"/>
      <w:r w:rsidRPr="00602223">
        <w:rPr>
          <w:rFonts w:ascii="Arial Narrow" w:eastAsia="Calibri" w:hAnsi="Arial Narrow" w:cs="Calibri"/>
          <w:color w:val="000000" w:themeColor="text1"/>
          <w:sz w:val="22"/>
          <w:szCs w:val="22"/>
          <w:lang w:val="en-GB"/>
        </w:rPr>
        <w:t xml:space="preserve"> i RDF/KDM </w:t>
      </w:r>
      <w:proofErr w:type="spellStart"/>
      <w:r w:rsidRPr="00602223">
        <w:rPr>
          <w:rFonts w:ascii="Arial Narrow" w:eastAsia="Calibri" w:hAnsi="Arial Narrow" w:cs="Calibri"/>
          <w:color w:val="000000" w:themeColor="text1"/>
          <w:sz w:val="22"/>
          <w:szCs w:val="22"/>
          <w:lang w:val="en-GB"/>
        </w:rPr>
        <w:t>konsiderohet</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si</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teknologji</w:t>
      </w:r>
      <w:proofErr w:type="spellEnd"/>
      <w:r w:rsidRPr="00602223">
        <w:rPr>
          <w:rFonts w:ascii="Arial Narrow" w:eastAsia="Calibri" w:hAnsi="Arial Narrow" w:cs="Calibri"/>
          <w:color w:val="000000" w:themeColor="text1"/>
          <w:sz w:val="22"/>
          <w:szCs w:val="22"/>
          <w:lang w:val="en-GB"/>
        </w:rPr>
        <w:t xml:space="preserve"> </w:t>
      </w:r>
      <w:proofErr w:type="spellStart"/>
      <w:r w:rsidRPr="00602223">
        <w:rPr>
          <w:rFonts w:ascii="Arial Narrow" w:eastAsia="Calibri" w:hAnsi="Arial Narrow" w:cs="Calibri"/>
          <w:color w:val="000000" w:themeColor="text1"/>
          <w:sz w:val="22"/>
          <w:szCs w:val="22"/>
          <w:lang w:val="en-GB"/>
        </w:rPr>
        <w:t>më</w:t>
      </w:r>
      <w:proofErr w:type="spellEnd"/>
      <w:r w:rsidRPr="00602223">
        <w:rPr>
          <w:rFonts w:ascii="Arial Narrow" w:eastAsia="Calibri" w:hAnsi="Arial Narrow" w:cs="Calibri"/>
          <w:color w:val="000000" w:themeColor="text1"/>
          <w:sz w:val="22"/>
          <w:szCs w:val="22"/>
          <w:lang w:val="en-GB"/>
        </w:rPr>
        <w:t xml:space="preserve"> e </w:t>
      </w:r>
      <w:proofErr w:type="spellStart"/>
      <w:r w:rsidRPr="00602223">
        <w:rPr>
          <w:rFonts w:ascii="Arial Narrow" w:eastAsia="Calibri" w:hAnsi="Arial Narrow" w:cs="Calibri"/>
          <w:color w:val="000000" w:themeColor="text1"/>
          <w:sz w:val="22"/>
          <w:szCs w:val="22"/>
          <w:lang w:val="en-GB"/>
        </w:rPr>
        <w:t>përshtatshme</w:t>
      </w:r>
      <w:proofErr w:type="spellEnd"/>
      <w:r w:rsidRPr="00602223">
        <w:rPr>
          <w:rFonts w:ascii="Arial Narrow" w:eastAsia="Calibri" w:hAnsi="Arial Narrow" w:cs="Calibri"/>
          <w:color w:val="000000" w:themeColor="text1"/>
          <w:sz w:val="22"/>
          <w:szCs w:val="22"/>
          <w:lang w:val="en-GB"/>
        </w:rPr>
        <w:t xml:space="preserve"> e </w:t>
      </w:r>
      <w:proofErr w:type="spellStart"/>
      <w:r w:rsidRPr="00602223">
        <w:rPr>
          <w:rFonts w:ascii="Arial Narrow" w:eastAsia="Calibri" w:hAnsi="Arial Narrow" w:cs="Calibri"/>
          <w:color w:val="000000" w:themeColor="text1"/>
          <w:sz w:val="22"/>
          <w:szCs w:val="22"/>
          <w:lang w:val="en-GB"/>
        </w:rPr>
        <w:t>trajtimit</w:t>
      </w:r>
      <w:proofErr w:type="spellEnd"/>
    </w:p>
    <w:p w14:paraId="7E586407" w14:textId="77777777" w:rsidR="00602223" w:rsidRPr="00602223" w:rsidRDefault="00602223" w:rsidP="00602223">
      <w:pPr>
        <w:rPr>
          <w:rFonts w:ascii="Arial Narrow" w:eastAsia="Calibri" w:hAnsi="Arial Narrow" w:cs="Calibri"/>
          <w:sz w:val="22"/>
          <w:szCs w:val="22"/>
        </w:rPr>
      </w:pPr>
    </w:p>
    <w:p w14:paraId="77C07729" w14:textId="7A9EC71B" w:rsidR="007D1EDC" w:rsidRPr="007D1EDC" w:rsidRDefault="007D1EDC" w:rsidP="007D1EDC">
      <w:pPr>
        <w:suppressAutoHyphens/>
        <w:rPr>
          <w:rFonts w:ascii="Arial Narrow" w:eastAsia="Calibri" w:hAnsi="Arial Narrow" w:cs="Calibri"/>
          <w:color w:val="1F497D"/>
          <w:sz w:val="20"/>
          <w:szCs w:val="20"/>
        </w:rPr>
      </w:pPr>
      <w:bookmarkStart w:id="666" w:name="_Toc190966791"/>
      <w:bookmarkStart w:id="667" w:name="_Toc197472288"/>
      <w:r w:rsidRPr="00602223">
        <w:rPr>
          <w:rFonts w:ascii="Arial Narrow" w:eastAsia="Calibri" w:hAnsi="Arial Narrow" w:cs="Calibri"/>
          <w:color w:val="1F497D"/>
          <w:sz w:val="22"/>
          <w:szCs w:val="22"/>
        </w:rPr>
        <w:t xml:space="preserve">Tabela </w:t>
      </w:r>
      <w:r w:rsidRPr="00602223">
        <w:rPr>
          <w:rFonts w:ascii="Arial Narrow" w:eastAsia="Calibri" w:hAnsi="Arial Narrow" w:cs="Calibri"/>
          <w:color w:val="1F497D"/>
          <w:sz w:val="22"/>
          <w:szCs w:val="22"/>
        </w:rPr>
        <w:fldChar w:fldCharType="begin"/>
      </w:r>
      <w:r w:rsidRPr="00602223">
        <w:rPr>
          <w:rFonts w:ascii="Arial Narrow" w:eastAsia="Calibri" w:hAnsi="Arial Narrow" w:cs="Calibri"/>
          <w:color w:val="1F497D"/>
          <w:sz w:val="22"/>
          <w:szCs w:val="22"/>
        </w:rPr>
        <w:instrText xml:space="preserve"> SEQ Table \* ARABIC </w:instrText>
      </w:r>
      <w:r w:rsidRPr="00602223">
        <w:rPr>
          <w:rFonts w:ascii="Arial Narrow" w:eastAsia="Calibri" w:hAnsi="Arial Narrow" w:cs="Calibri"/>
          <w:color w:val="1F497D"/>
          <w:sz w:val="22"/>
          <w:szCs w:val="22"/>
        </w:rPr>
        <w:fldChar w:fldCharType="separate"/>
      </w:r>
      <w:r w:rsidR="00C97DF3" w:rsidRPr="00602223">
        <w:rPr>
          <w:rFonts w:ascii="Arial Narrow" w:eastAsia="Calibri" w:hAnsi="Arial Narrow" w:cs="Calibri"/>
          <w:noProof/>
          <w:color w:val="1F497D"/>
          <w:sz w:val="22"/>
          <w:szCs w:val="22"/>
        </w:rPr>
        <w:t xml:space="preserve">103. </w:t>
      </w:r>
      <w:r w:rsidRPr="00602223">
        <w:rPr>
          <w:rFonts w:ascii="Arial Narrow" w:eastAsia="Calibri" w:hAnsi="Arial Narrow" w:cs="Calibri"/>
          <w:color w:val="1F497D"/>
          <w:sz w:val="22"/>
          <w:szCs w:val="22"/>
        </w:rPr>
        <w:fldChar w:fldCharType="end"/>
      </w:r>
      <w:r w:rsidRPr="00602223">
        <w:rPr>
          <w:rFonts w:ascii="Arial Narrow" w:eastAsia="Calibri" w:hAnsi="Arial Narrow" w:cs="Calibri"/>
          <w:color w:val="1F497D"/>
          <w:sz w:val="22"/>
          <w:szCs w:val="22"/>
        </w:rPr>
        <w:t>Vlerësimet</w:t>
      </w:r>
      <w:r w:rsidRPr="007D1EDC">
        <w:rPr>
          <w:rFonts w:ascii="Arial Narrow" w:eastAsia="Calibri" w:hAnsi="Arial Narrow" w:cs="Calibri"/>
          <w:color w:val="1F497D"/>
          <w:sz w:val="20"/>
          <w:szCs w:val="20"/>
        </w:rPr>
        <w:t xml:space="preserve"> e kostos së investimit </w:t>
      </w:r>
      <w:r w:rsidR="00602223">
        <w:rPr>
          <w:rFonts w:ascii="Arial Narrow" w:eastAsia="Calibri" w:hAnsi="Arial Narrow" w:cs="Calibri"/>
          <w:color w:val="1F497D"/>
          <w:sz w:val="20"/>
          <w:szCs w:val="20"/>
        </w:rPr>
        <w:t>në T</w:t>
      </w:r>
      <w:r w:rsidRPr="007D1EDC">
        <w:rPr>
          <w:rFonts w:ascii="Arial Narrow" w:eastAsia="Calibri" w:hAnsi="Arial Narrow" w:cs="Calibri"/>
          <w:color w:val="1F497D"/>
          <w:sz w:val="20"/>
          <w:szCs w:val="20"/>
        </w:rPr>
        <w:t xml:space="preserve">MB dhe në </w:t>
      </w:r>
      <w:r w:rsidR="00602223">
        <w:rPr>
          <w:rFonts w:ascii="Arial Narrow" w:eastAsia="Calibri" w:hAnsi="Arial Narrow" w:cs="Calibri"/>
          <w:color w:val="1F497D"/>
          <w:sz w:val="20"/>
          <w:szCs w:val="20"/>
        </w:rPr>
        <w:t>kontejnerë të specializuar</w:t>
      </w:r>
      <w:bookmarkEnd w:id="666"/>
      <w:bookmarkEnd w:id="667"/>
    </w:p>
    <w:tbl>
      <w:tblPr>
        <w:tblW w:w="8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8"/>
        <w:gridCol w:w="1807"/>
        <w:gridCol w:w="3247"/>
      </w:tblGrid>
      <w:tr w:rsidR="007D1EDC" w:rsidRPr="007D1EDC" w14:paraId="42C3A97B" w14:textId="77777777" w:rsidTr="00ED241F">
        <w:trPr>
          <w:trHeight w:val="264"/>
        </w:trPr>
        <w:tc>
          <w:tcPr>
            <w:tcW w:w="3858" w:type="dxa"/>
            <w:shd w:val="clear" w:color="auto" w:fill="365F91"/>
            <w:noWrap/>
            <w:vAlign w:val="bottom"/>
          </w:tcPr>
          <w:p w14:paraId="2DA8529C" w14:textId="3735A4AD" w:rsidR="007D1EDC" w:rsidRPr="00ED241F" w:rsidRDefault="00602223" w:rsidP="007D1EDC">
            <w:pPr>
              <w:rPr>
                <w:rFonts w:ascii="Arial Narrow" w:hAnsi="Arial Narrow" w:cs="Arial"/>
                <w:sz w:val="20"/>
                <w:szCs w:val="20"/>
              </w:rPr>
            </w:pPr>
            <w:r w:rsidRPr="00ED241F">
              <w:rPr>
                <w:rFonts w:ascii="Arial Narrow" w:hAnsi="Arial Narrow"/>
                <w:b/>
                <w:bCs/>
                <w:color w:val="FFFFFF" w:themeColor="background1"/>
                <w:sz w:val="20"/>
                <w:szCs w:val="20"/>
              </w:rPr>
              <w:t xml:space="preserve">Përbërësit e </w:t>
            </w:r>
            <w:r w:rsidR="007D1EDC" w:rsidRPr="00ED241F">
              <w:rPr>
                <w:rFonts w:ascii="Arial Narrow" w:hAnsi="Arial Narrow"/>
                <w:b/>
                <w:bCs/>
                <w:color w:val="FFFFFF" w:themeColor="background1"/>
                <w:sz w:val="20"/>
                <w:szCs w:val="20"/>
              </w:rPr>
              <w:t>kostos</w:t>
            </w:r>
          </w:p>
        </w:tc>
        <w:tc>
          <w:tcPr>
            <w:tcW w:w="1807" w:type="dxa"/>
            <w:shd w:val="clear" w:color="auto" w:fill="365F91"/>
            <w:noWrap/>
            <w:vAlign w:val="bottom"/>
          </w:tcPr>
          <w:p w14:paraId="2D76081C" w14:textId="0A20549C" w:rsidR="007D1EDC" w:rsidRPr="00ED241F" w:rsidRDefault="007D1EDC" w:rsidP="00ED241F">
            <w:pPr>
              <w:jc w:val="center"/>
              <w:rPr>
                <w:rFonts w:ascii="Arial Narrow" w:hAnsi="Arial Narrow" w:cs="Arial"/>
                <w:sz w:val="20"/>
                <w:szCs w:val="20"/>
              </w:rPr>
            </w:pPr>
            <w:r w:rsidRPr="00ED241F">
              <w:rPr>
                <w:rFonts w:ascii="Arial Narrow" w:hAnsi="Arial Narrow"/>
                <w:b/>
                <w:bCs/>
                <w:color w:val="FFFFFF" w:themeColor="background1"/>
                <w:sz w:val="20"/>
                <w:szCs w:val="20"/>
              </w:rPr>
              <w:t xml:space="preserve">Vlera </w:t>
            </w:r>
            <w:r w:rsidR="00602223" w:rsidRPr="00ED241F">
              <w:rPr>
                <w:rFonts w:ascii="Arial Narrow" w:hAnsi="Arial Narrow"/>
                <w:b/>
                <w:bCs/>
                <w:color w:val="FFFFFF" w:themeColor="background1"/>
                <w:sz w:val="20"/>
                <w:szCs w:val="20"/>
              </w:rPr>
              <w:t>T</w:t>
            </w:r>
            <w:r w:rsidRPr="00ED241F">
              <w:rPr>
                <w:rFonts w:ascii="Arial Narrow" w:hAnsi="Arial Narrow"/>
                <w:b/>
                <w:bCs/>
                <w:color w:val="FFFFFF" w:themeColor="background1"/>
                <w:sz w:val="20"/>
                <w:szCs w:val="20"/>
              </w:rPr>
              <w:t xml:space="preserve">MB, mijë </w:t>
            </w:r>
            <w:r w:rsidRPr="00ED241F">
              <w:rPr>
                <w:rFonts w:ascii="Arial Narrow" w:hAnsi="Arial Narrow" w:cs="Calibri"/>
                <w:b/>
                <w:bCs/>
                <w:color w:val="FFFFFF" w:themeColor="background1"/>
                <w:sz w:val="20"/>
                <w:szCs w:val="20"/>
              </w:rPr>
              <w:t>€</w:t>
            </w:r>
          </w:p>
        </w:tc>
        <w:tc>
          <w:tcPr>
            <w:tcW w:w="3247" w:type="dxa"/>
            <w:shd w:val="clear" w:color="auto" w:fill="365F91"/>
          </w:tcPr>
          <w:p w14:paraId="2421E10E" w14:textId="319E7B17" w:rsidR="007D1EDC" w:rsidRPr="00ED241F" w:rsidRDefault="00602223" w:rsidP="007D1EDC">
            <w:pPr>
              <w:jc w:val="right"/>
              <w:rPr>
                <w:rFonts w:ascii="Arial Narrow" w:hAnsi="Arial Narrow"/>
                <w:b/>
                <w:bCs/>
                <w:color w:val="FFFFFF" w:themeColor="background1"/>
                <w:sz w:val="20"/>
                <w:szCs w:val="20"/>
              </w:rPr>
            </w:pPr>
            <w:r w:rsidRPr="00ED241F">
              <w:rPr>
                <w:rFonts w:ascii="Arial Narrow" w:hAnsi="Arial Narrow"/>
                <w:b/>
                <w:bCs/>
                <w:color w:val="FFFFFF" w:themeColor="background1"/>
                <w:sz w:val="20"/>
                <w:szCs w:val="20"/>
              </w:rPr>
              <w:t>Në kontejnerët e specializua, mijë €</w:t>
            </w:r>
          </w:p>
        </w:tc>
      </w:tr>
      <w:tr w:rsidR="007D1EDC" w:rsidRPr="007D1EDC" w14:paraId="4FF6F074" w14:textId="77777777" w:rsidTr="00ED241F">
        <w:trPr>
          <w:trHeight w:val="264"/>
        </w:trPr>
        <w:tc>
          <w:tcPr>
            <w:tcW w:w="3858" w:type="dxa"/>
            <w:shd w:val="clear" w:color="auto" w:fill="auto"/>
            <w:noWrap/>
            <w:vAlign w:val="bottom"/>
            <w:hideMark/>
          </w:tcPr>
          <w:p w14:paraId="6749B3E4" w14:textId="77777777" w:rsidR="007D1EDC" w:rsidRPr="007D1EDC" w:rsidRDefault="007D1EDC" w:rsidP="007D1EDC">
            <w:pPr>
              <w:rPr>
                <w:rFonts w:ascii="Arial Narrow" w:hAnsi="Arial Narrow"/>
                <w:color w:val="000000"/>
                <w:sz w:val="20"/>
                <w:szCs w:val="20"/>
              </w:rPr>
            </w:pPr>
            <w:r w:rsidRPr="007D1EDC">
              <w:rPr>
                <w:rFonts w:ascii="Arial Narrow" w:hAnsi="Arial Narrow"/>
                <w:color w:val="000000"/>
                <w:sz w:val="20"/>
                <w:szCs w:val="20"/>
              </w:rPr>
              <w:t>Punime civile</w:t>
            </w:r>
          </w:p>
        </w:tc>
        <w:tc>
          <w:tcPr>
            <w:tcW w:w="1807" w:type="dxa"/>
            <w:shd w:val="clear" w:color="auto" w:fill="auto"/>
            <w:noWrap/>
            <w:vAlign w:val="bottom"/>
            <w:hideMark/>
          </w:tcPr>
          <w:p w14:paraId="1187145D" w14:textId="77777777" w:rsidR="007D1EDC" w:rsidRPr="007D1EDC" w:rsidRDefault="007D1EDC" w:rsidP="00ED241F">
            <w:pPr>
              <w:jc w:val="center"/>
              <w:rPr>
                <w:rFonts w:ascii="Arial Narrow" w:hAnsi="Arial Narrow"/>
                <w:color w:val="000000"/>
                <w:sz w:val="20"/>
                <w:szCs w:val="20"/>
              </w:rPr>
            </w:pPr>
            <w:r w:rsidRPr="007D1EDC">
              <w:rPr>
                <w:rFonts w:ascii="Arial Narrow" w:hAnsi="Arial Narrow"/>
                <w:color w:val="000000"/>
                <w:sz w:val="20"/>
                <w:szCs w:val="20"/>
              </w:rPr>
              <w:t>3,140</w:t>
            </w:r>
          </w:p>
        </w:tc>
        <w:tc>
          <w:tcPr>
            <w:tcW w:w="3247" w:type="dxa"/>
            <w:vAlign w:val="center"/>
          </w:tcPr>
          <w:p w14:paraId="0624E1CC" w14:textId="77777777" w:rsidR="007D1EDC" w:rsidRPr="007D1EDC" w:rsidRDefault="007D1EDC" w:rsidP="007D1EDC">
            <w:pPr>
              <w:jc w:val="center"/>
              <w:rPr>
                <w:rFonts w:ascii="Arial Narrow" w:hAnsi="Arial Narrow"/>
                <w:color w:val="000000"/>
                <w:sz w:val="20"/>
                <w:szCs w:val="20"/>
              </w:rPr>
            </w:pPr>
            <w:r w:rsidRPr="007D1EDC">
              <w:rPr>
                <w:rFonts w:ascii="Arial Narrow" w:hAnsi="Arial Narrow" w:cs="Calibri"/>
                <w:color w:val="000000"/>
                <w:sz w:val="20"/>
                <w:szCs w:val="20"/>
              </w:rPr>
              <w:t>751</w:t>
            </w:r>
          </w:p>
        </w:tc>
      </w:tr>
      <w:tr w:rsidR="007D1EDC" w:rsidRPr="007D1EDC" w14:paraId="34BC2DDD" w14:textId="77777777" w:rsidTr="00ED241F">
        <w:trPr>
          <w:trHeight w:val="264"/>
        </w:trPr>
        <w:tc>
          <w:tcPr>
            <w:tcW w:w="3858" w:type="dxa"/>
            <w:shd w:val="clear" w:color="auto" w:fill="auto"/>
            <w:noWrap/>
            <w:vAlign w:val="bottom"/>
            <w:hideMark/>
          </w:tcPr>
          <w:p w14:paraId="4F736576" w14:textId="77777777" w:rsidR="007D1EDC" w:rsidRPr="007D1EDC" w:rsidRDefault="007D1EDC" w:rsidP="007D1EDC">
            <w:pPr>
              <w:rPr>
                <w:rFonts w:ascii="Arial Narrow" w:hAnsi="Arial Narrow"/>
                <w:color w:val="000000"/>
                <w:sz w:val="20"/>
                <w:szCs w:val="20"/>
              </w:rPr>
            </w:pPr>
            <w:r w:rsidRPr="007D1EDC">
              <w:rPr>
                <w:rFonts w:ascii="Arial Narrow" w:hAnsi="Arial Narrow"/>
                <w:color w:val="000000"/>
                <w:sz w:val="20"/>
                <w:szCs w:val="20"/>
              </w:rPr>
              <w:t>Mekanike</w:t>
            </w:r>
          </w:p>
        </w:tc>
        <w:tc>
          <w:tcPr>
            <w:tcW w:w="1807" w:type="dxa"/>
            <w:shd w:val="clear" w:color="auto" w:fill="auto"/>
            <w:noWrap/>
            <w:vAlign w:val="bottom"/>
            <w:hideMark/>
          </w:tcPr>
          <w:p w14:paraId="1908391C" w14:textId="77777777" w:rsidR="007D1EDC" w:rsidRPr="007D1EDC" w:rsidRDefault="007D1EDC" w:rsidP="00ED241F">
            <w:pPr>
              <w:jc w:val="center"/>
              <w:rPr>
                <w:rFonts w:ascii="Arial Narrow" w:hAnsi="Arial Narrow"/>
                <w:color w:val="000000"/>
                <w:sz w:val="20"/>
                <w:szCs w:val="20"/>
              </w:rPr>
            </w:pPr>
            <w:r w:rsidRPr="007D1EDC">
              <w:rPr>
                <w:rFonts w:ascii="Arial Narrow" w:hAnsi="Arial Narrow"/>
                <w:color w:val="000000"/>
                <w:sz w:val="20"/>
                <w:szCs w:val="20"/>
              </w:rPr>
              <w:t>8,275</w:t>
            </w:r>
          </w:p>
        </w:tc>
        <w:tc>
          <w:tcPr>
            <w:tcW w:w="3247" w:type="dxa"/>
            <w:vAlign w:val="center"/>
          </w:tcPr>
          <w:p w14:paraId="6B83A775" w14:textId="77777777" w:rsidR="007D1EDC" w:rsidRPr="007D1EDC" w:rsidRDefault="007D1EDC" w:rsidP="007D1EDC">
            <w:pPr>
              <w:jc w:val="center"/>
              <w:rPr>
                <w:rFonts w:ascii="Arial Narrow" w:hAnsi="Arial Narrow"/>
                <w:color w:val="000000"/>
                <w:sz w:val="20"/>
                <w:szCs w:val="20"/>
              </w:rPr>
            </w:pPr>
            <w:r w:rsidRPr="007D1EDC">
              <w:rPr>
                <w:rFonts w:ascii="Arial Narrow" w:hAnsi="Arial Narrow" w:cs="Calibri"/>
                <w:color w:val="000000"/>
                <w:sz w:val="20"/>
                <w:szCs w:val="20"/>
              </w:rPr>
              <w:t>1,726</w:t>
            </w:r>
          </w:p>
        </w:tc>
      </w:tr>
      <w:tr w:rsidR="007D1EDC" w:rsidRPr="007D1EDC" w14:paraId="2E3309E4" w14:textId="77777777" w:rsidTr="00ED241F">
        <w:trPr>
          <w:trHeight w:val="264"/>
        </w:trPr>
        <w:tc>
          <w:tcPr>
            <w:tcW w:w="3858" w:type="dxa"/>
            <w:shd w:val="clear" w:color="auto" w:fill="auto"/>
            <w:noWrap/>
            <w:vAlign w:val="bottom"/>
            <w:hideMark/>
          </w:tcPr>
          <w:p w14:paraId="32384297" w14:textId="77777777" w:rsidR="007D1EDC" w:rsidRPr="007D1EDC" w:rsidRDefault="007D1EDC" w:rsidP="007D1EDC">
            <w:pPr>
              <w:rPr>
                <w:rFonts w:ascii="Arial Narrow" w:hAnsi="Arial Narrow"/>
                <w:color w:val="000000"/>
                <w:sz w:val="20"/>
                <w:szCs w:val="20"/>
              </w:rPr>
            </w:pPr>
            <w:r w:rsidRPr="007D1EDC">
              <w:rPr>
                <w:rFonts w:ascii="Arial Narrow" w:hAnsi="Arial Narrow"/>
                <w:color w:val="000000"/>
                <w:sz w:val="20"/>
                <w:szCs w:val="20"/>
              </w:rPr>
              <w:t>Automjete</w:t>
            </w:r>
          </w:p>
        </w:tc>
        <w:tc>
          <w:tcPr>
            <w:tcW w:w="1807" w:type="dxa"/>
            <w:shd w:val="clear" w:color="auto" w:fill="auto"/>
            <w:noWrap/>
            <w:vAlign w:val="bottom"/>
            <w:hideMark/>
          </w:tcPr>
          <w:p w14:paraId="335F6363" w14:textId="77777777" w:rsidR="007D1EDC" w:rsidRPr="007D1EDC" w:rsidRDefault="007D1EDC" w:rsidP="00ED241F">
            <w:pPr>
              <w:jc w:val="center"/>
              <w:rPr>
                <w:rFonts w:ascii="Arial Narrow" w:hAnsi="Arial Narrow"/>
                <w:color w:val="000000"/>
                <w:sz w:val="20"/>
                <w:szCs w:val="20"/>
              </w:rPr>
            </w:pPr>
            <w:r w:rsidRPr="007D1EDC">
              <w:rPr>
                <w:rFonts w:ascii="Arial Narrow" w:hAnsi="Arial Narrow"/>
                <w:color w:val="000000"/>
                <w:sz w:val="20"/>
                <w:szCs w:val="20"/>
              </w:rPr>
              <w:t>469</w:t>
            </w:r>
          </w:p>
        </w:tc>
        <w:tc>
          <w:tcPr>
            <w:tcW w:w="3247" w:type="dxa"/>
            <w:vAlign w:val="center"/>
          </w:tcPr>
          <w:p w14:paraId="6D74A035" w14:textId="77777777" w:rsidR="007D1EDC" w:rsidRPr="007D1EDC" w:rsidRDefault="007D1EDC" w:rsidP="007D1EDC">
            <w:pPr>
              <w:jc w:val="center"/>
              <w:rPr>
                <w:rFonts w:ascii="Arial Narrow" w:hAnsi="Arial Narrow"/>
                <w:color w:val="000000"/>
                <w:sz w:val="20"/>
                <w:szCs w:val="20"/>
              </w:rPr>
            </w:pPr>
            <w:r w:rsidRPr="007D1EDC">
              <w:rPr>
                <w:rFonts w:ascii="Arial Narrow" w:hAnsi="Arial Narrow" w:cs="Calibri"/>
                <w:color w:val="000000"/>
                <w:sz w:val="20"/>
                <w:szCs w:val="20"/>
              </w:rPr>
              <w:t>685</w:t>
            </w:r>
          </w:p>
        </w:tc>
      </w:tr>
      <w:tr w:rsidR="007D1EDC" w:rsidRPr="007D1EDC" w14:paraId="2E550A19" w14:textId="77777777" w:rsidTr="00ED241F">
        <w:trPr>
          <w:trHeight w:val="264"/>
        </w:trPr>
        <w:tc>
          <w:tcPr>
            <w:tcW w:w="3858" w:type="dxa"/>
            <w:shd w:val="clear" w:color="auto" w:fill="auto"/>
            <w:noWrap/>
            <w:vAlign w:val="bottom"/>
            <w:hideMark/>
          </w:tcPr>
          <w:p w14:paraId="770F3462" w14:textId="1DA28E77" w:rsidR="007D1EDC" w:rsidRPr="007D1EDC" w:rsidRDefault="007D1EDC" w:rsidP="007D1EDC">
            <w:pPr>
              <w:rPr>
                <w:rFonts w:ascii="Arial Narrow" w:hAnsi="Arial Narrow"/>
                <w:color w:val="000000"/>
                <w:sz w:val="20"/>
                <w:szCs w:val="20"/>
              </w:rPr>
            </w:pPr>
            <w:r w:rsidRPr="007D1EDC">
              <w:rPr>
                <w:rFonts w:ascii="Arial Narrow" w:hAnsi="Arial Narrow"/>
                <w:color w:val="000000"/>
                <w:sz w:val="20"/>
                <w:szCs w:val="20"/>
              </w:rPr>
              <w:t>Kontingjen</w:t>
            </w:r>
            <w:r w:rsidR="00ED241F">
              <w:rPr>
                <w:rFonts w:ascii="Arial Narrow" w:hAnsi="Arial Narrow"/>
                <w:color w:val="000000"/>
                <w:sz w:val="20"/>
                <w:szCs w:val="20"/>
              </w:rPr>
              <w:t>cë</w:t>
            </w:r>
            <w:r w:rsidRPr="007D1EDC">
              <w:rPr>
                <w:rFonts w:ascii="Arial Narrow" w:hAnsi="Arial Narrow"/>
                <w:color w:val="000000"/>
                <w:sz w:val="20"/>
                <w:szCs w:val="20"/>
              </w:rPr>
              <w:t xml:space="preserve">, inxhinieri, </w:t>
            </w:r>
            <w:r w:rsidR="00ED241F">
              <w:rPr>
                <w:rFonts w:ascii="Arial Narrow" w:hAnsi="Arial Narrow"/>
                <w:color w:val="000000"/>
                <w:sz w:val="20"/>
                <w:szCs w:val="20"/>
              </w:rPr>
              <w:t>komisione</w:t>
            </w:r>
          </w:p>
        </w:tc>
        <w:tc>
          <w:tcPr>
            <w:tcW w:w="1807" w:type="dxa"/>
            <w:shd w:val="clear" w:color="auto" w:fill="auto"/>
            <w:noWrap/>
            <w:vAlign w:val="bottom"/>
            <w:hideMark/>
          </w:tcPr>
          <w:p w14:paraId="1D599B86" w14:textId="77777777" w:rsidR="007D1EDC" w:rsidRPr="007D1EDC" w:rsidRDefault="007D1EDC" w:rsidP="00ED241F">
            <w:pPr>
              <w:jc w:val="center"/>
              <w:rPr>
                <w:rFonts w:ascii="Arial Narrow" w:hAnsi="Arial Narrow"/>
                <w:color w:val="000000"/>
                <w:sz w:val="20"/>
                <w:szCs w:val="20"/>
              </w:rPr>
            </w:pPr>
            <w:r w:rsidRPr="007D1EDC">
              <w:rPr>
                <w:rFonts w:ascii="Arial Narrow" w:hAnsi="Arial Narrow"/>
                <w:color w:val="000000"/>
                <w:sz w:val="20"/>
                <w:szCs w:val="20"/>
              </w:rPr>
              <w:t>3,370</w:t>
            </w:r>
          </w:p>
        </w:tc>
        <w:tc>
          <w:tcPr>
            <w:tcW w:w="3247" w:type="dxa"/>
            <w:vAlign w:val="center"/>
          </w:tcPr>
          <w:p w14:paraId="11B02A57" w14:textId="77777777" w:rsidR="007D1EDC" w:rsidRPr="007D1EDC" w:rsidRDefault="007D1EDC" w:rsidP="007D1EDC">
            <w:pPr>
              <w:jc w:val="center"/>
              <w:rPr>
                <w:rFonts w:ascii="Arial Narrow" w:hAnsi="Arial Narrow"/>
                <w:color w:val="000000"/>
                <w:sz w:val="20"/>
                <w:szCs w:val="20"/>
              </w:rPr>
            </w:pPr>
            <w:r w:rsidRPr="007D1EDC">
              <w:rPr>
                <w:rFonts w:ascii="Arial Narrow" w:hAnsi="Arial Narrow" w:cs="Calibri"/>
                <w:color w:val="000000"/>
                <w:sz w:val="20"/>
                <w:szCs w:val="20"/>
              </w:rPr>
              <w:t>736</w:t>
            </w:r>
          </w:p>
        </w:tc>
      </w:tr>
      <w:tr w:rsidR="007D1EDC" w:rsidRPr="007D1EDC" w14:paraId="59D5AD16" w14:textId="77777777" w:rsidTr="00ED241F">
        <w:trPr>
          <w:trHeight w:val="264"/>
        </w:trPr>
        <w:tc>
          <w:tcPr>
            <w:tcW w:w="3858" w:type="dxa"/>
            <w:shd w:val="clear" w:color="auto" w:fill="auto"/>
            <w:noWrap/>
            <w:vAlign w:val="bottom"/>
            <w:hideMark/>
          </w:tcPr>
          <w:p w14:paraId="0F71274B" w14:textId="77777777" w:rsidR="007D1EDC" w:rsidRPr="007D1EDC" w:rsidRDefault="007D1EDC" w:rsidP="007D1EDC">
            <w:pPr>
              <w:rPr>
                <w:rFonts w:ascii="Arial Narrow" w:hAnsi="Arial Narrow"/>
                <w:color w:val="000000"/>
                <w:sz w:val="20"/>
                <w:szCs w:val="20"/>
              </w:rPr>
            </w:pPr>
            <w:r w:rsidRPr="007D1EDC">
              <w:rPr>
                <w:rFonts w:ascii="Arial Narrow" w:hAnsi="Arial Narrow"/>
                <w:color w:val="000000"/>
                <w:sz w:val="20"/>
                <w:szCs w:val="20"/>
              </w:rPr>
              <w:t>Kostot totale të investimit</w:t>
            </w:r>
          </w:p>
        </w:tc>
        <w:tc>
          <w:tcPr>
            <w:tcW w:w="1807" w:type="dxa"/>
            <w:shd w:val="clear" w:color="auto" w:fill="auto"/>
            <w:noWrap/>
            <w:vAlign w:val="bottom"/>
            <w:hideMark/>
          </w:tcPr>
          <w:p w14:paraId="02FD234B" w14:textId="77777777" w:rsidR="007D1EDC" w:rsidRPr="007D1EDC" w:rsidRDefault="007D1EDC" w:rsidP="00ED241F">
            <w:pPr>
              <w:jc w:val="center"/>
              <w:rPr>
                <w:rFonts w:ascii="Arial Narrow" w:hAnsi="Arial Narrow"/>
                <w:color w:val="000000"/>
                <w:sz w:val="20"/>
                <w:szCs w:val="20"/>
              </w:rPr>
            </w:pPr>
            <w:r w:rsidRPr="007D1EDC">
              <w:rPr>
                <w:rFonts w:ascii="Arial Narrow" w:hAnsi="Arial Narrow"/>
                <w:color w:val="000000"/>
                <w:sz w:val="20"/>
                <w:szCs w:val="20"/>
              </w:rPr>
              <w:t>15,254</w:t>
            </w:r>
          </w:p>
        </w:tc>
        <w:tc>
          <w:tcPr>
            <w:tcW w:w="3247" w:type="dxa"/>
            <w:vAlign w:val="center"/>
          </w:tcPr>
          <w:p w14:paraId="443FACD1" w14:textId="77777777" w:rsidR="007D1EDC" w:rsidRPr="007D1EDC" w:rsidRDefault="007D1EDC" w:rsidP="007D1EDC">
            <w:pPr>
              <w:jc w:val="center"/>
              <w:rPr>
                <w:rFonts w:ascii="Arial Narrow" w:hAnsi="Arial Narrow"/>
                <w:color w:val="000000"/>
                <w:sz w:val="20"/>
                <w:szCs w:val="20"/>
              </w:rPr>
            </w:pPr>
            <w:r w:rsidRPr="007D1EDC">
              <w:rPr>
                <w:rFonts w:ascii="Arial Narrow" w:hAnsi="Arial Narrow" w:cs="Calibri"/>
                <w:color w:val="000000"/>
                <w:sz w:val="20"/>
                <w:szCs w:val="20"/>
              </w:rPr>
              <w:t>3,897</w:t>
            </w:r>
          </w:p>
        </w:tc>
      </w:tr>
    </w:tbl>
    <w:p w14:paraId="755E09B1" w14:textId="77777777" w:rsidR="007D1EDC" w:rsidRPr="007D1EDC" w:rsidRDefault="007D1EDC" w:rsidP="007D1EDC">
      <w:pPr>
        <w:jc w:val="both"/>
        <w:rPr>
          <w:rFonts w:ascii="Arial Narrow" w:eastAsia="Calibri" w:hAnsi="Arial Narrow" w:cs="Calibri"/>
          <w:color w:val="000000" w:themeColor="text1"/>
          <w:sz w:val="22"/>
          <w:szCs w:val="22"/>
          <w:lang w:val="en-GB"/>
        </w:rPr>
      </w:pPr>
    </w:p>
    <w:p w14:paraId="33A6D04D" w14:textId="77777777" w:rsidR="007D1EDC" w:rsidRPr="007D1EDC" w:rsidRDefault="007D1EDC" w:rsidP="007D1EDC">
      <w:pPr>
        <w:jc w:val="both"/>
        <w:rPr>
          <w:rFonts w:ascii="Arial Narrow" w:eastAsia="Calibri" w:hAnsi="Arial Narrow" w:cs="Calibri"/>
          <w:color w:val="000000" w:themeColor="text1"/>
          <w:sz w:val="22"/>
          <w:szCs w:val="22"/>
          <w:lang w:val="en-GB"/>
        </w:rPr>
      </w:pPr>
      <w:r w:rsidRPr="007D1EDC">
        <w:rPr>
          <w:rFonts w:ascii="Arial Narrow" w:eastAsia="Calibri" w:hAnsi="Arial Narrow" w:cs="Calibri"/>
          <w:color w:val="000000" w:themeColor="text1"/>
          <w:sz w:val="22"/>
          <w:szCs w:val="22"/>
          <w:lang w:val="en-GB"/>
        </w:rPr>
        <w:t xml:space="preserve">Investimi </w:t>
      </w:r>
      <w:proofErr w:type="spellStart"/>
      <w:r w:rsidRPr="007D1EDC">
        <w:rPr>
          <w:rFonts w:ascii="Arial Narrow" w:eastAsia="Calibri" w:hAnsi="Arial Narrow" w:cs="Calibri"/>
          <w:color w:val="000000" w:themeColor="text1"/>
          <w:sz w:val="22"/>
          <w:szCs w:val="22"/>
          <w:lang w:val="en-GB"/>
        </w:rPr>
        <w:t>fillestar</w:t>
      </w:r>
      <w:proofErr w:type="spellEnd"/>
      <w:r w:rsidRPr="007D1EDC">
        <w:rPr>
          <w:rFonts w:ascii="Arial Narrow" w:eastAsia="Calibri" w:hAnsi="Arial Narrow" w:cs="Calibri"/>
          <w:color w:val="000000" w:themeColor="text1"/>
          <w:sz w:val="22"/>
          <w:szCs w:val="22"/>
          <w:lang w:val="en-GB"/>
        </w:rPr>
        <w:t xml:space="preserve"> </w:t>
      </w:r>
      <w:proofErr w:type="spellStart"/>
      <w:r w:rsidRPr="007D1EDC">
        <w:rPr>
          <w:rFonts w:ascii="Arial Narrow" w:eastAsia="Calibri" w:hAnsi="Arial Narrow" w:cs="Calibri"/>
          <w:color w:val="000000" w:themeColor="text1"/>
          <w:sz w:val="22"/>
          <w:szCs w:val="22"/>
          <w:lang w:val="en-GB"/>
        </w:rPr>
        <w:t>në</w:t>
      </w:r>
      <w:proofErr w:type="spellEnd"/>
      <w:r w:rsidRPr="007D1EDC">
        <w:rPr>
          <w:rFonts w:ascii="Arial Narrow" w:eastAsia="Calibri" w:hAnsi="Arial Narrow" w:cs="Calibri"/>
          <w:color w:val="000000" w:themeColor="text1"/>
          <w:sz w:val="22"/>
          <w:szCs w:val="22"/>
          <w:lang w:val="en-GB"/>
        </w:rPr>
        <w:t xml:space="preserve"> </w:t>
      </w:r>
      <w:proofErr w:type="spellStart"/>
      <w:r w:rsidRPr="007D1EDC">
        <w:rPr>
          <w:rFonts w:ascii="Arial Narrow" w:eastAsia="Calibri" w:hAnsi="Arial Narrow" w:cs="Calibri"/>
          <w:color w:val="000000" w:themeColor="text1"/>
          <w:sz w:val="22"/>
          <w:szCs w:val="22"/>
          <w:lang w:val="en-GB"/>
        </w:rPr>
        <w:t>të</w:t>
      </w:r>
      <w:proofErr w:type="spellEnd"/>
      <w:r w:rsidRPr="007D1EDC">
        <w:rPr>
          <w:rFonts w:ascii="Arial Narrow" w:eastAsia="Calibri" w:hAnsi="Arial Narrow" w:cs="Calibri"/>
          <w:color w:val="000000" w:themeColor="text1"/>
          <w:sz w:val="22"/>
          <w:szCs w:val="22"/>
          <w:lang w:val="en-GB"/>
        </w:rPr>
        <w:t xml:space="preserve"> </w:t>
      </w:r>
      <w:proofErr w:type="spellStart"/>
      <w:r w:rsidRPr="007D1EDC">
        <w:rPr>
          <w:rFonts w:ascii="Arial Narrow" w:eastAsia="Calibri" w:hAnsi="Arial Narrow" w:cs="Calibri"/>
          <w:color w:val="000000" w:themeColor="text1"/>
          <w:sz w:val="22"/>
          <w:szCs w:val="22"/>
          <w:lang w:val="en-GB"/>
        </w:rPr>
        <w:t>dy</w:t>
      </w:r>
      <w:proofErr w:type="spellEnd"/>
      <w:r w:rsidRPr="007D1EDC">
        <w:rPr>
          <w:rFonts w:ascii="Arial Narrow" w:eastAsia="Calibri" w:hAnsi="Arial Narrow" w:cs="Calibri"/>
          <w:color w:val="000000" w:themeColor="text1"/>
          <w:sz w:val="22"/>
          <w:szCs w:val="22"/>
          <w:lang w:val="en-GB"/>
        </w:rPr>
        <w:t xml:space="preserve"> </w:t>
      </w:r>
      <w:proofErr w:type="spellStart"/>
      <w:r w:rsidRPr="007D1EDC">
        <w:rPr>
          <w:rFonts w:ascii="Arial Narrow" w:eastAsia="Calibri" w:hAnsi="Arial Narrow" w:cs="Calibri"/>
          <w:color w:val="000000" w:themeColor="text1"/>
          <w:sz w:val="22"/>
          <w:szCs w:val="22"/>
          <w:lang w:val="en-GB"/>
        </w:rPr>
        <w:t>objektet</w:t>
      </w:r>
      <w:proofErr w:type="spellEnd"/>
      <w:r w:rsidRPr="007D1EDC">
        <w:rPr>
          <w:rFonts w:ascii="Arial Narrow" w:eastAsia="Calibri" w:hAnsi="Arial Narrow" w:cs="Calibri"/>
          <w:color w:val="000000" w:themeColor="text1"/>
          <w:sz w:val="22"/>
          <w:szCs w:val="22"/>
          <w:lang w:val="en-GB"/>
        </w:rPr>
        <w:t xml:space="preserve"> </w:t>
      </w:r>
      <w:proofErr w:type="spellStart"/>
      <w:r w:rsidRPr="007D1EDC">
        <w:rPr>
          <w:rFonts w:ascii="Arial Narrow" w:eastAsia="Calibri" w:hAnsi="Arial Narrow" w:cs="Calibri"/>
          <w:color w:val="000000" w:themeColor="text1"/>
          <w:sz w:val="22"/>
          <w:szCs w:val="22"/>
          <w:lang w:val="en-GB"/>
        </w:rPr>
        <w:t>është</w:t>
      </w:r>
      <w:proofErr w:type="spellEnd"/>
      <w:r w:rsidRPr="007D1EDC">
        <w:rPr>
          <w:rFonts w:ascii="Arial Narrow" w:eastAsia="Calibri" w:hAnsi="Arial Narrow" w:cs="Calibri"/>
          <w:color w:val="000000" w:themeColor="text1"/>
          <w:sz w:val="22"/>
          <w:szCs w:val="22"/>
          <w:lang w:val="en-GB"/>
        </w:rPr>
        <w:t xml:space="preserve"> </w:t>
      </w:r>
      <w:proofErr w:type="spellStart"/>
      <w:r w:rsidRPr="007D1EDC">
        <w:rPr>
          <w:rFonts w:ascii="Arial Narrow" w:eastAsia="Calibri" w:hAnsi="Arial Narrow" w:cs="Calibri"/>
          <w:color w:val="000000" w:themeColor="text1"/>
          <w:sz w:val="22"/>
          <w:szCs w:val="22"/>
          <w:lang w:val="en-GB"/>
        </w:rPr>
        <w:t>parashikuar</w:t>
      </w:r>
      <w:proofErr w:type="spellEnd"/>
      <w:r w:rsidRPr="007D1EDC">
        <w:rPr>
          <w:rFonts w:ascii="Arial Narrow" w:eastAsia="Calibri" w:hAnsi="Arial Narrow" w:cs="Calibri"/>
          <w:color w:val="000000" w:themeColor="text1"/>
          <w:sz w:val="22"/>
          <w:szCs w:val="22"/>
          <w:lang w:val="en-GB"/>
        </w:rPr>
        <w:t xml:space="preserve"> </w:t>
      </w:r>
      <w:proofErr w:type="spellStart"/>
      <w:r w:rsidRPr="007D1EDC">
        <w:rPr>
          <w:rFonts w:ascii="Arial Narrow" w:eastAsia="Calibri" w:hAnsi="Arial Narrow" w:cs="Calibri"/>
          <w:color w:val="000000" w:themeColor="text1"/>
          <w:sz w:val="22"/>
          <w:szCs w:val="22"/>
          <w:lang w:val="en-GB"/>
        </w:rPr>
        <w:t>si</w:t>
      </w:r>
      <w:proofErr w:type="spellEnd"/>
      <w:r w:rsidRPr="007D1EDC">
        <w:rPr>
          <w:rFonts w:ascii="Arial Narrow" w:eastAsia="Calibri" w:hAnsi="Arial Narrow" w:cs="Calibri"/>
          <w:color w:val="000000" w:themeColor="text1"/>
          <w:sz w:val="22"/>
          <w:szCs w:val="22"/>
          <w:lang w:val="en-GB"/>
        </w:rPr>
        <w:t xml:space="preserve"> </w:t>
      </w:r>
      <w:proofErr w:type="spellStart"/>
      <w:r w:rsidRPr="007D1EDC">
        <w:rPr>
          <w:rFonts w:ascii="Arial Narrow" w:eastAsia="Calibri" w:hAnsi="Arial Narrow" w:cs="Calibri"/>
          <w:color w:val="000000" w:themeColor="text1"/>
          <w:sz w:val="22"/>
          <w:szCs w:val="22"/>
          <w:lang w:val="en-GB"/>
        </w:rPr>
        <w:t>një</w:t>
      </w:r>
      <w:proofErr w:type="spellEnd"/>
      <w:r w:rsidRPr="007D1EDC">
        <w:rPr>
          <w:rFonts w:ascii="Arial Narrow" w:eastAsia="Calibri" w:hAnsi="Arial Narrow" w:cs="Calibri"/>
          <w:color w:val="000000" w:themeColor="text1"/>
          <w:sz w:val="22"/>
          <w:szCs w:val="22"/>
          <w:lang w:val="en-GB"/>
        </w:rPr>
        <w:t xml:space="preserve"> grant.</w:t>
      </w:r>
    </w:p>
    <w:p w14:paraId="2191DD56" w14:textId="77777777" w:rsidR="007D1EDC" w:rsidRPr="007D1EDC" w:rsidRDefault="007D1EDC" w:rsidP="007D1EDC">
      <w:pPr>
        <w:jc w:val="both"/>
        <w:rPr>
          <w:rFonts w:ascii="Arial Narrow" w:eastAsia="Calibri" w:hAnsi="Arial Narrow" w:cs="Calibri"/>
          <w:color w:val="000000" w:themeColor="text1"/>
          <w:sz w:val="22"/>
          <w:szCs w:val="22"/>
          <w:lang w:val="en-GB"/>
        </w:rPr>
      </w:pPr>
    </w:p>
    <w:p w14:paraId="73E4EB07" w14:textId="6BD7B2E6" w:rsidR="007D1EDC" w:rsidRPr="007D1EDC" w:rsidRDefault="007D1EDC" w:rsidP="007D1EDC">
      <w:pPr>
        <w:suppressAutoHyphens/>
        <w:rPr>
          <w:rFonts w:ascii="Arial Narrow" w:eastAsia="Calibri" w:hAnsi="Arial Narrow" w:cs="Calibri"/>
          <w:color w:val="1F497D"/>
          <w:sz w:val="20"/>
          <w:szCs w:val="20"/>
        </w:rPr>
      </w:pPr>
      <w:bookmarkStart w:id="668" w:name="_Toc190966792"/>
      <w:bookmarkStart w:id="669" w:name="_Toc197472289"/>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104.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Kostot operat</w:t>
      </w:r>
      <w:r w:rsidR="00ED241F">
        <w:rPr>
          <w:rFonts w:ascii="Arial Narrow" w:eastAsia="Calibri" w:hAnsi="Arial Narrow" w:cs="Calibri"/>
          <w:color w:val="1F497D"/>
          <w:sz w:val="20"/>
          <w:szCs w:val="20"/>
        </w:rPr>
        <w:t>cionale për</w:t>
      </w:r>
      <w:r w:rsidRPr="007D1EDC">
        <w:rPr>
          <w:rFonts w:ascii="Arial Narrow" w:eastAsia="Calibri" w:hAnsi="Arial Narrow" w:cs="Calibri"/>
          <w:color w:val="1F497D"/>
          <w:sz w:val="20"/>
          <w:szCs w:val="20"/>
        </w:rPr>
        <w:t xml:space="preserve"> </w:t>
      </w:r>
      <w:r w:rsidR="00ED241F">
        <w:rPr>
          <w:rFonts w:ascii="Arial Narrow" w:eastAsia="Calibri" w:hAnsi="Arial Narrow" w:cs="Calibri"/>
          <w:color w:val="1F497D"/>
          <w:sz w:val="20"/>
          <w:szCs w:val="20"/>
        </w:rPr>
        <w:t>T</w:t>
      </w:r>
      <w:r w:rsidRPr="007D1EDC">
        <w:rPr>
          <w:rFonts w:ascii="Arial Narrow" w:eastAsia="Calibri" w:hAnsi="Arial Narrow" w:cs="Calibri"/>
          <w:color w:val="1F497D"/>
          <w:sz w:val="20"/>
          <w:szCs w:val="20"/>
        </w:rPr>
        <w:t xml:space="preserve">MB-së dhe kompostimit </w:t>
      </w:r>
      <w:r w:rsidR="00ED241F">
        <w:rPr>
          <w:rFonts w:ascii="Arial Narrow" w:eastAsia="Calibri" w:hAnsi="Arial Narrow" w:cs="Calibri"/>
          <w:color w:val="1F497D"/>
          <w:sz w:val="20"/>
          <w:szCs w:val="20"/>
        </w:rPr>
        <w:t>në kontejnerë të specializuar</w:t>
      </w:r>
      <w:r w:rsidRPr="007D1EDC">
        <w:rPr>
          <w:rFonts w:ascii="Arial Narrow" w:eastAsia="Calibri" w:hAnsi="Arial Narrow" w:cs="Calibri"/>
          <w:color w:val="1F497D"/>
          <w:sz w:val="20"/>
          <w:szCs w:val="20"/>
        </w:rPr>
        <w:t>, 2032</w:t>
      </w:r>
      <w:bookmarkEnd w:id="668"/>
      <w:bookmarkEnd w:id="669"/>
    </w:p>
    <w:tbl>
      <w:tblPr>
        <w:tblW w:w="8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8"/>
        <w:gridCol w:w="1949"/>
        <w:gridCol w:w="3105"/>
      </w:tblGrid>
      <w:tr w:rsidR="00ED241F" w:rsidRPr="007D1EDC" w14:paraId="3E576E87" w14:textId="77777777" w:rsidTr="00ED241F">
        <w:trPr>
          <w:trHeight w:val="264"/>
        </w:trPr>
        <w:tc>
          <w:tcPr>
            <w:tcW w:w="3858" w:type="dxa"/>
            <w:shd w:val="clear" w:color="auto" w:fill="365F91"/>
            <w:noWrap/>
            <w:vAlign w:val="bottom"/>
          </w:tcPr>
          <w:p w14:paraId="301973FD" w14:textId="2A9921F3" w:rsidR="00ED241F" w:rsidRPr="007D1EDC" w:rsidRDefault="00ED241F" w:rsidP="00ED241F">
            <w:pPr>
              <w:rPr>
                <w:rFonts w:ascii="Arial Narrow" w:hAnsi="Arial Narrow" w:cs="Arial"/>
                <w:sz w:val="20"/>
                <w:szCs w:val="20"/>
              </w:rPr>
            </w:pPr>
            <w:r>
              <w:rPr>
                <w:rFonts w:ascii="Arial Narrow" w:hAnsi="Arial Narrow"/>
                <w:b/>
                <w:bCs/>
                <w:color w:val="FFFFFF" w:themeColor="background1"/>
                <w:sz w:val="20"/>
                <w:szCs w:val="20"/>
              </w:rPr>
              <w:t>Përbërësit e</w:t>
            </w:r>
            <w:r w:rsidRPr="007D1EDC">
              <w:rPr>
                <w:rFonts w:ascii="Arial Narrow" w:hAnsi="Arial Narrow"/>
                <w:b/>
                <w:bCs/>
                <w:color w:val="FFFFFF" w:themeColor="background1"/>
                <w:sz w:val="20"/>
                <w:szCs w:val="20"/>
              </w:rPr>
              <w:t xml:space="preserve"> kostos</w:t>
            </w:r>
          </w:p>
        </w:tc>
        <w:tc>
          <w:tcPr>
            <w:tcW w:w="1949" w:type="dxa"/>
            <w:shd w:val="clear" w:color="auto" w:fill="365F91"/>
            <w:noWrap/>
            <w:vAlign w:val="bottom"/>
          </w:tcPr>
          <w:p w14:paraId="5B8381E8" w14:textId="65A5AF0B" w:rsidR="00ED241F" w:rsidRPr="00ED241F" w:rsidRDefault="00ED241F" w:rsidP="00ED241F">
            <w:pPr>
              <w:jc w:val="right"/>
              <w:rPr>
                <w:rFonts w:ascii="Arial Narrow" w:hAnsi="Arial Narrow" w:cs="Arial"/>
                <w:sz w:val="20"/>
                <w:szCs w:val="20"/>
              </w:rPr>
            </w:pPr>
            <w:r w:rsidRPr="00ED241F">
              <w:rPr>
                <w:rFonts w:ascii="Arial Narrow" w:hAnsi="Arial Narrow"/>
                <w:b/>
                <w:bCs/>
                <w:color w:val="FFFFFF" w:themeColor="background1"/>
                <w:sz w:val="20"/>
                <w:szCs w:val="20"/>
              </w:rPr>
              <w:t xml:space="preserve">Vlera TMB, mijë </w:t>
            </w:r>
            <w:r w:rsidRPr="00ED241F">
              <w:rPr>
                <w:rFonts w:ascii="Arial Narrow" w:hAnsi="Arial Narrow" w:cs="Calibri"/>
                <w:b/>
                <w:bCs/>
                <w:color w:val="FFFFFF" w:themeColor="background1"/>
                <w:sz w:val="20"/>
                <w:szCs w:val="20"/>
              </w:rPr>
              <w:t>€</w:t>
            </w:r>
          </w:p>
        </w:tc>
        <w:tc>
          <w:tcPr>
            <w:tcW w:w="3105" w:type="dxa"/>
            <w:shd w:val="clear" w:color="auto" w:fill="365F91"/>
          </w:tcPr>
          <w:p w14:paraId="5F1B88AE" w14:textId="4BD607E9" w:rsidR="00ED241F" w:rsidRPr="00ED241F" w:rsidRDefault="00ED241F" w:rsidP="00ED241F">
            <w:pPr>
              <w:jc w:val="right"/>
              <w:rPr>
                <w:rFonts w:ascii="Arial Narrow" w:hAnsi="Arial Narrow"/>
                <w:b/>
                <w:bCs/>
                <w:color w:val="FFFFFF" w:themeColor="background1"/>
                <w:sz w:val="20"/>
                <w:szCs w:val="20"/>
              </w:rPr>
            </w:pPr>
            <w:r w:rsidRPr="00ED241F">
              <w:rPr>
                <w:rFonts w:ascii="Arial Narrow" w:hAnsi="Arial Narrow"/>
                <w:b/>
                <w:bCs/>
                <w:color w:val="FFFFFF" w:themeColor="background1"/>
                <w:sz w:val="20"/>
                <w:szCs w:val="20"/>
              </w:rPr>
              <w:t>Në kontejnerët e specializuar, mijë €</w:t>
            </w:r>
          </w:p>
        </w:tc>
      </w:tr>
      <w:tr w:rsidR="00ED241F" w:rsidRPr="007D1EDC" w14:paraId="569702C5" w14:textId="77777777" w:rsidTr="00ED241F">
        <w:trPr>
          <w:trHeight w:val="264"/>
        </w:trPr>
        <w:tc>
          <w:tcPr>
            <w:tcW w:w="3858" w:type="dxa"/>
            <w:shd w:val="clear" w:color="auto" w:fill="auto"/>
            <w:noWrap/>
            <w:vAlign w:val="bottom"/>
            <w:hideMark/>
          </w:tcPr>
          <w:p w14:paraId="3B37F96D" w14:textId="73196CB2" w:rsidR="00ED241F" w:rsidRPr="00ED241F" w:rsidRDefault="00ED241F" w:rsidP="00ED241F">
            <w:pPr>
              <w:rPr>
                <w:rFonts w:ascii="Arial Narrow" w:hAnsi="Arial Narrow"/>
                <w:color w:val="000000"/>
                <w:sz w:val="20"/>
                <w:szCs w:val="20"/>
              </w:rPr>
            </w:pPr>
            <w:r w:rsidRPr="00ED241F">
              <w:rPr>
                <w:rFonts w:ascii="Arial Narrow" w:hAnsi="Arial Narrow"/>
                <w:color w:val="000000"/>
                <w:sz w:val="20"/>
                <w:szCs w:val="20"/>
              </w:rPr>
              <w:t>Personeli</w:t>
            </w:r>
          </w:p>
        </w:tc>
        <w:tc>
          <w:tcPr>
            <w:tcW w:w="1949" w:type="dxa"/>
            <w:shd w:val="clear" w:color="auto" w:fill="auto"/>
            <w:noWrap/>
            <w:vAlign w:val="center"/>
          </w:tcPr>
          <w:p w14:paraId="6D688FE7" w14:textId="77777777" w:rsidR="00ED241F" w:rsidRPr="007D1EDC" w:rsidRDefault="00ED241F" w:rsidP="00ED241F">
            <w:pPr>
              <w:jc w:val="center"/>
              <w:rPr>
                <w:rFonts w:ascii="Arial Narrow" w:hAnsi="Arial Narrow"/>
                <w:color w:val="000000"/>
                <w:sz w:val="20"/>
                <w:szCs w:val="20"/>
              </w:rPr>
            </w:pPr>
            <w:r w:rsidRPr="007D1EDC">
              <w:rPr>
                <w:rFonts w:ascii="Arial Narrow" w:hAnsi="Arial Narrow" w:cs="Calibri"/>
                <w:color w:val="000000"/>
                <w:sz w:val="20"/>
                <w:szCs w:val="20"/>
              </w:rPr>
              <w:t>337</w:t>
            </w:r>
          </w:p>
        </w:tc>
        <w:tc>
          <w:tcPr>
            <w:tcW w:w="3105" w:type="dxa"/>
            <w:vAlign w:val="bottom"/>
          </w:tcPr>
          <w:p w14:paraId="5F6591CB" w14:textId="77777777" w:rsidR="00ED241F" w:rsidRPr="007D1EDC" w:rsidRDefault="00ED241F" w:rsidP="00ED241F">
            <w:pPr>
              <w:jc w:val="center"/>
              <w:rPr>
                <w:rFonts w:ascii="Arial Narrow" w:hAnsi="Arial Narrow" w:cs="Calibri"/>
                <w:color w:val="000000"/>
                <w:sz w:val="20"/>
                <w:szCs w:val="20"/>
              </w:rPr>
            </w:pPr>
            <w:r w:rsidRPr="007D1EDC">
              <w:rPr>
                <w:rFonts w:ascii="Arial Narrow" w:hAnsi="Arial Narrow" w:cs="Calibri"/>
                <w:color w:val="000000"/>
                <w:sz w:val="20"/>
                <w:szCs w:val="20"/>
              </w:rPr>
              <w:t>50</w:t>
            </w:r>
          </w:p>
        </w:tc>
      </w:tr>
      <w:tr w:rsidR="00ED241F" w:rsidRPr="007D1EDC" w14:paraId="52A34CBB" w14:textId="77777777" w:rsidTr="00ED241F">
        <w:trPr>
          <w:trHeight w:val="264"/>
        </w:trPr>
        <w:tc>
          <w:tcPr>
            <w:tcW w:w="3858" w:type="dxa"/>
            <w:shd w:val="clear" w:color="auto" w:fill="auto"/>
            <w:noWrap/>
            <w:vAlign w:val="bottom"/>
            <w:hideMark/>
          </w:tcPr>
          <w:p w14:paraId="7A521A3A" w14:textId="1144DBAE" w:rsidR="00ED241F" w:rsidRPr="00ED241F" w:rsidRDefault="00ED241F" w:rsidP="00ED241F">
            <w:pPr>
              <w:rPr>
                <w:rFonts w:ascii="Arial Narrow" w:hAnsi="Arial Narrow"/>
                <w:color w:val="000000"/>
                <w:sz w:val="20"/>
                <w:szCs w:val="20"/>
              </w:rPr>
            </w:pPr>
            <w:r w:rsidRPr="00ED241F">
              <w:rPr>
                <w:rFonts w:ascii="Arial Narrow" w:hAnsi="Arial Narrow"/>
                <w:color w:val="000000"/>
                <w:sz w:val="20"/>
                <w:szCs w:val="20"/>
              </w:rPr>
              <w:t>Mirëmbajtja</w:t>
            </w:r>
          </w:p>
        </w:tc>
        <w:tc>
          <w:tcPr>
            <w:tcW w:w="1949" w:type="dxa"/>
            <w:shd w:val="clear" w:color="auto" w:fill="auto"/>
            <w:noWrap/>
            <w:vAlign w:val="center"/>
          </w:tcPr>
          <w:p w14:paraId="3AC51B08" w14:textId="77777777" w:rsidR="00ED241F" w:rsidRPr="007D1EDC" w:rsidRDefault="00ED241F" w:rsidP="00ED241F">
            <w:pPr>
              <w:jc w:val="center"/>
              <w:rPr>
                <w:rFonts w:ascii="Arial Narrow" w:hAnsi="Arial Narrow"/>
                <w:color w:val="000000"/>
                <w:sz w:val="20"/>
                <w:szCs w:val="20"/>
              </w:rPr>
            </w:pPr>
            <w:r w:rsidRPr="007D1EDC">
              <w:rPr>
                <w:rFonts w:ascii="Arial Narrow" w:hAnsi="Arial Narrow" w:cs="Calibri"/>
                <w:color w:val="000000"/>
                <w:sz w:val="20"/>
                <w:szCs w:val="20"/>
              </w:rPr>
              <w:t>607</w:t>
            </w:r>
          </w:p>
        </w:tc>
        <w:tc>
          <w:tcPr>
            <w:tcW w:w="3105" w:type="dxa"/>
            <w:vAlign w:val="bottom"/>
          </w:tcPr>
          <w:p w14:paraId="36AAD467" w14:textId="77777777" w:rsidR="00ED241F" w:rsidRPr="007D1EDC" w:rsidRDefault="00ED241F" w:rsidP="00ED241F">
            <w:pPr>
              <w:jc w:val="center"/>
              <w:rPr>
                <w:rFonts w:ascii="Arial Narrow" w:hAnsi="Arial Narrow" w:cs="Calibri"/>
                <w:color w:val="000000"/>
                <w:sz w:val="20"/>
                <w:szCs w:val="20"/>
              </w:rPr>
            </w:pPr>
            <w:r w:rsidRPr="007D1EDC">
              <w:rPr>
                <w:rFonts w:ascii="Arial Narrow" w:hAnsi="Arial Narrow" w:cs="Calibri"/>
                <w:color w:val="000000"/>
                <w:sz w:val="20"/>
                <w:szCs w:val="20"/>
              </w:rPr>
              <w:t>54</w:t>
            </w:r>
          </w:p>
        </w:tc>
      </w:tr>
      <w:tr w:rsidR="00ED241F" w:rsidRPr="007D1EDC" w14:paraId="16960C00" w14:textId="77777777" w:rsidTr="00ED241F">
        <w:trPr>
          <w:trHeight w:val="264"/>
        </w:trPr>
        <w:tc>
          <w:tcPr>
            <w:tcW w:w="3858" w:type="dxa"/>
            <w:shd w:val="clear" w:color="auto" w:fill="auto"/>
            <w:noWrap/>
            <w:vAlign w:val="bottom"/>
            <w:hideMark/>
          </w:tcPr>
          <w:p w14:paraId="5DC38F8D" w14:textId="058519E9" w:rsidR="00ED241F" w:rsidRPr="00ED241F" w:rsidRDefault="00ED241F" w:rsidP="00ED241F">
            <w:pPr>
              <w:rPr>
                <w:rFonts w:ascii="Arial Narrow" w:hAnsi="Arial Narrow"/>
                <w:color w:val="000000"/>
                <w:sz w:val="20"/>
                <w:szCs w:val="20"/>
              </w:rPr>
            </w:pPr>
            <w:r w:rsidRPr="00ED241F">
              <w:rPr>
                <w:rFonts w:ascii="Arial Narrow" w:hAnsi="Arial Narrow"/>
                <w:color w:val="000000"/>
                <w:sz w:val="20"/>
                <w:szCs w:val="20"/>
              </w:rPr>
              <w:t>Materialet harxhuese</w:t>
            </w:r>
          </w:p>
        </w:tc>
        <w:tc>
          <w:tcPr>
            <w:tcW w:w="1949" w:type="dxa"/>
            <w:shd w:val="clear" w:color="auto" w:fill="auto"/>
            <w:noWrap/>
            <w:vAlign w:val="center"/>
          </w:tcPr>
          <w:p w14:paraId="32670A76" w14:textId="77777777" w:rsidR="00ED241F" w:rsidRPr="007D1EDC" w:rsidRDefault="00ED241F" w:rsidP="00ED241F">
            <w:pPr>
              <w:jc w:val="center"/>
              <w:rPr>
                <w:rFonts w:ascii="Arial Narrow" w:hAnsi="Arial Narrow"/>
                <w:color w:val="000000"/>
                <w:sz w:val="20"/>
                <w:szCs w:val="20"/>
              </w:rPr>
            </w:pPr>
            <w:r w:rsidRPr="007D1EDC">
              <w:rPr>
                <w:rFonts w:ascii="Arial Narrow" w:hAnsi="Arial Narrow" w:cs="Calibri"/>
                <w:color w:val="000000"/>
                <w:sz w:val="20"/>
                <w:szCs w:val="20"/>
              </w:rPr>
              <w:t>164</w:t>
            </w:r>
          </w:p>
        </w:tc>
        <w:tc>
          <w:tcPr>
            <w:tcW w:w="3105" w:type="dxa"/>
            <w:vAlign w:val="bottom"/>
          </w:tcPr>
          <w:p w14:paraId="36091C79" w14:textId="77777777" w:rsidR="00ED241F" w:rsidRPr="007D1EDC" w:rsidRDefault="00ED241F" w:rsidP="00ED241F">
            <w:pPr>
              <w:jc w:val="center"/>
              <w:rPr>
                <w:rFonts w:ascii="Arial Narrow" w:hAnsi="Arial Narrow" w:cs="Calibri"/>
                <w:color w:val="000000"/>
                <w:sz w:val="20"/>
                <w:szCs w:val="20"/>
              </w:rPr>
            </w:pPr>
            <w:r w:rsidRPr="007D1EDC">
              <w:rPr>
                <w:rFonts w:ascii="Arial Narrow" w:hAnsi="Arial Narrow" w:cs="Calibri"/>
                <w:color w:val="000000"/>
                <w:sz w:val="20"/>
                <w:szCs w:val="20"/>
              </w:rPr>
              <w:t>55</w:t>
            </w:r>
          </w:p>
        </w:tc>
      </w:tr>
      <w:tr w:rsidR="00ED241F" w:rsidRPr="007D1EDC" w14:paraId="5F55C259" w14:textId="77777777" w:rsidTr="00ED241F">
        <w:trPr>
          <w:trHeight w:val="264"/>
        </w:trPr>
        <w:tc>
          <w:tcPr>
            <w:tcW w:w="3858" w:type="dxa"/>
            <w:shd w:val="clear" w:color="auto" w:fill="auto"/>
            <w:noWrap/>
            <w:vAlign w:val="bottom"/>
            <w:hideMark/>
          </w:tcPr>
          <w:p w14:paraId="15571EC4" w14:textId="4F7C3EC4" w:rsidR="00ED241F" w:rsidRPr="00ED241F" w:rsidRDefault="00ED241F" w:rsidP="00ED241F">
            <w:pPr>
              <w:rPr>
                <w:rFonts w:ascii="Arial Narrow" w:hAnsi="Arial Narrow"/>
                <w:color w:val="000000"/>
                <w:sz w:val="20"/>
                <w:szCs w:val="20"/>
              </w:rPr>
            </w:pPr>
            <w:r w:rsidRPr="00ED241F">
              <w:rPr>
                <w:rFonts w:ascii="Arial Narrow" w:hAnsi="Arial Narrow"/>
                <w:color w:val="000000"/>
                <w:sz w:val="20"/>
                <w:szCs w:val="20"/>
              </w:rPr>
              <w:t>Transporti i mbeturinave në deponi</w:t>
            </w:r>
          </w:p>
        </w:tc>
        <w:tc>
          <w:tcPr>
            <w:tcW w:w="1949" w:type="dxa"/>
            <w:shd w:val="clear" w:color="auto" w:fill="auto"/>
            <w:noWrap/>
            <w:vAlign w:val="center"/>
          </w:tcPr>
          <w:p w14:paraId="4A43F29C" w14:textId="77777777" w:rsidR="00ED241F" w:rsidRPr="007D1EDC" w:rsidRDefault="00ED241F" w:rsidP="00ED241F">
            <w:pPr>
              <w:jc w:val="center"/>
              <w:rPr>
                <w:rFonts w:ascii="Arial Narrow" w:hAnsi="Arial Narrow"/>
                <w:color w:val="000000"/>
                <w:sz w:val="20"/>
                <w:szCs w:val="20"/>
              </w:rPr>
            </w:pPr>
            <w:r w:rsidRPr="007D1EDC">
              <w:rPr>
                <w:rFonts w:ascii="Arial Narrow" w:hAnsi="Arial Narrow" w:cs="Calibri"/>
                <w:color w:val="000000"/>
                <w:sz w:val="20"/>
                <w:szCs w:val="20"/>
              </w:rPr>
              <w:t>19</w:t>
            </w:r>
          </w:p>
        </w:tc>
        <w:tc>
          <w:tcPr>
            <w:tcW w:w="3105" w:type="dxa"/>
          </w:tcPr>
          <w:p w14:paraId="2BBF275C" w14:textId="77777777" w:rsidR="00ED241F" w:rsidRPr="007D1EDC" w:rsidRDefault="00ED241F" w:rsidP="00ED241F">
            <w:pPr>
              <w:jc w:val="center"/>
              <w:rPr>
                <w:rFonts w:ascii="Arial Narrow" w:hAnsi="Arial Narrow" w:cs="Calibri"/>
                <w:color w:val="000000"/>
                <w:sz w:val="20"/>
                <w:szCs w:val="20"/>
              </w:rPr>
            </w:pPr>
          </w:p>
        </w:tc>
      </w:tr>
      <w:tr w:rsidR="00ED241F" w:rsidRPr="007D1EDC" w14:paraId="0F5EA479" w14:textId="77777777" w:rsidTr="00ED241F">
        <w:trPr>
          <w:trHeight w:val="264"/>
        </w:trPr>
        <w:tc>
          <w:tcPr>
            <w:tcW w:w="3858" w:type="dxa"/>
            <w:shd w:val="clear" w:color="auto" w:fill="auto"/>
            <w:noWrap/>
            <w:vAlign w:val="bottom"/>
            <w:hideMark/>
          </w:tcPr>
          <w:p w14:paraId="780DA692" w14:textId="22C07413" w:rsidR="00ED241F" w:rsidRPr="00ED241F" w:rsidRDefault="00ED241F" w:rsidP="00ED241F">
            <w:pPr>
              <w:rPr>
                <w:rFonts w:ascii="Arial Narrow" w:hAnsi="Arial Narrow"/>
                <w:color w:val="000000"/>
                <w:sz w:val="20"/>
                <w:szCs w:val="20"/>
              </w:rPr>
            </w:pPr>
            <w:r w:rsidRPr="00ED241F">
              <w:rPr>
                <w:rFonts w:ascii="Arial Narrow" w:hAnsi="Arial Narrow"/>
                <w:color w:val="000000"/>
                <w:sz w:val="20"/>
                <w:szCs w:val="20"/>
              </w:rPr>
              <w:t>Administrata</w:t>
            </w:r>
          </w:p>
        </w:tc>
        <w:tc>
          <w:tcPr>
            <w:tcW w:w="1949" w:type="dxa"/>
            <w:shd w:val="clear" w:color="auto" w:fill="auto"/>
            <w:noWrap/>
            <w:vAlign w:val="center"/>
          </w:tcPr>
          <w:p w14:paraId="3EBC31DD" w14:textId="77777777" w:rsidR="00ED241F" w:rsidRPr="007D1EDC" w:rsidRDefault="00ED241F" w:rsidP="00ED241F">
            <w:pPr>
              <w:jc w:val="center"/>
              <w:rPr>
                <w:rFonts w:ascii="Arial Narrow" w:hAnsi="Arial Narrow"/>
                <w:color w:val="000000"/>
                <w:sz w:val="20"/>
                <w:szCs w:val="20"/>
              </w:rPr>
            </w:pPr>
            <w:r w:rsidRPr="007D1EDC">
              <w:rPr>
                <w:rFonts w:ascii="Arial Narrow" w:hAnsi="Arial Narrow" w:cs="Calibri"/>
                <w:color w:val="000000"/>
                <w:sz w:val="20"/>
                <w:szCs w:val="20"/>
              </w:rPr>
              <w:t>108</w:t>
            </w:r>
          </w:p>
        </w:tc>
        <w:tc>
          <w:tcPr>
            <w:tcW w:w="3105" w:type="dxa"/>
          </w:tcPr>
          <w:p w14:paraId="54D1CAD1" w14:textId="77777777" w:rsidR="00ED241F" w:rsidRPr="007D1EDC" w:rsidRDefault="00ED241F" w:rsidP="00ED241F">
            <w:pPr>
              <w:jc w:val="center"/>
              <w:rPr>
                <w:rFonts w:ascii="Arial Narrow" w:hAnsi="Arial Narrow" w:cs="Calibri"/>
                <w:color w:val="000000"/>
                <w:sz w:val="20"/>
                <w:szCs w:val="20"/>
              </w:rPr>
            </w:pPr>
          </w:p>
        </w:tc>
      </w:tr>
      <w:tr w:rsidR="00ED241F" w:rsidRPr="007D1EDC" w14:paraId="0A6ED086" w14:textId="77777777" w:rsidTr="00ED241F">
        <w:trPr>
          <w:trHeight w:val="264"/>
        </w:trPr>
        <w:tc>
          <w:tcPr>
            <w:tcW w:w="3858" w:type="dxa"/>
            <w:shd w:val="clear" w:color="auto" w:fill="auto"/>
            <w:noWrap/>
            <w:vAlign w:val="bottom"/>
            <w:hideMark/>
          </w:tcPr>
          <w:p w14:paraId="3CD862B1" w14:textId="2C396907" w:rsidR="00ED241F" w:rsidRPr="00ED241F" w:rsidRDefault="00ED241F" w:rsidP="00ED241F">
            <w:pPr>
              <w:rPr>
                <w:rFonts w:ascii="Arial Narrow" w:hAnsi="Arial Narrow"/>
                <w:color w:val="000000"/>
                <w:sz w:val="20"/>
                <w:szCs w:val="20"/>
              </w:rPr>
            </w:pPr>
            <w:r w:rsidRPr="00ED241F">
              <w:rPr>
                <w:rFonts w:ascii="Arial Narrow" w:hAnsi="Arial Narrow"/>
                <w:color w:val="000000"/>
                <w:sz w:val="20"/>
                <w:szCs w:val="20"/>
              </w:rPr>
              <w:t>Taksat, sigurimet</w:t>
            </w:r>
          </w:p>
        </w:tc>
        <w:tc>
          <w:tcPr>
            <w:tcW w:w="1949" w:type="dxa"/>
            <w:shd w:val="clear" w:color="auto" w:fill="auto"/>
            <w:noWrap/>
            <w:vAlign w:val="center"/>
          </w:tcPr>
          <w:p w14:paraId="544EE4A2" w14:textId="77777777" w:rsidR="00ED241F" w:rsidRPr="007D1EDC" w:rsidRDefault="00ED241F" w:rsidP="00ED241F">
            <w:pPr>
              <w:jc w:val="center"/>
              <w:rPr>
                <w:rFonts w:ascii="Arial Narrow" w:hAnsi="Arial Narrow"/>
                <w:color w:val="000000"/>
                <w:sz w:val="20"/>
                <w:szCs w:val="20"/>
              </w:rPr>
            </w:pPr>
            <w:r w:rsidRPr="007D1EDC">
              <w:rPr>
                <w:rFonts w:ascii="Arial Narrow" w:hAnsi="Arial Narrow" w:cs="Calibri"/>
                <w:color w:val="000000"/>
                <w:sz w:val="20"/>
                <w:szCs w:val="20"/>
              </w:rPr>
              <w:t>47</w:t>
            </w:r>
          </w:p>
        </w:tc>
        <w:tc>
          <w:tcPr>
            <w:tcW w:w="3105" w:type="dxa"/>
          </w:tcPr>
          <w:p w14:paraId="71A60DDD" w14:textId="77777777" w:rsidR="00ED241F" w:rsidRPr="007D1EDC" w:rsidRDefault="00ED241F" w:rsidP="00ED241F">
            <w:pPr>
              <w:jc w:val="center"/>
              <w:rPr>
                <w:rFonts w:ascii="Arial Narrow" w:hAnsi="Arial Narrow" w:cs="Calibri"/>
                <w:color w:val="000000"/>
                <w:sz w:val="20"/>
                <w:szCs w:val="20"/>
              </w:rPr>
            </w:pPr>
          </w:p>
        </w:tc>
      </w:tr>
      <w:tr w:rsidR="00ED241F" w:rsidRPr="007D1EDC" w14:paraId="41CFE9D6" w14:textId="77777777" w:rsidTr="00ED241F">
        <w:trPr>
          <w:trHeight w:val="264"/>
        </w:trPr>
        <w:tc>
          <w:tcPr>
            <w:tcW w:w="3858" w:type="dxa"/>
            <w:shd w:val="clear" w:color="auto" w:fill="auto"/>
            <w:noWrap/>
            <w:vAlign w:val="bottom"/>
          </w:tcPr>
          <w:p w14:paraId="58425442" w14:textId="70FE8A9E" w:rsidR="00ED241F" w:rsidRPr="00ED241F" w:rsidRDefault="00ED241F" w:rsidP="00ED241F">
            <w:pPr>
              <w:rPr>
                <w:rFonts w:ascii="Arial Narrow" w:hAnsi="Arial Narrow"/>
                <w:color w:val="000000"/>
                <w:sz w:val="20"/>
                <w:szCs w:val="20"/>
              </w:rPr>
            </w:pPr>
            <w:r w:rsidRPr="00ED241F">
              <w:rPr>
                <w:rFonts w:ascii="Arial Narrow" w:hAnsi="Arial Narrow"/>
                <w:color w:val="000000"/>
                <w:sz w:val="20"/>
                <w:szCs w:val="20"/>
              </w:rPr>
              <w:t>Kostot totale operacionale</w:t>
            </w:r>
          </w:p>
        </w:tc>
        <w:tc>
          <w:tcPr>
            <w:tcW w:w="1949" w:type="dxa"/>
            <w:shd w:val="clear" w:color="auto" w:fill="auto"/>
            <w:noWrap/>
            <w:vAlign w:val="center"/>
          </w:tcPr>
          <w:p w14:paraId="03A74EEF" w14:textId="77777777" w:rsidR="00ED241F" w:rsidRPr="007D1EDC" w:rsidRDefault="00ED241F" w:rsidP="00ED241F">
            <w:pPr>
              <w:jc w:val="center"/>
              <w:rPr>
                <w:rFonts w:ascii="Arial Narrow" w:hAnsi="Arial Narrow"/>
                <w:color w:val="000000"/>
                <w:sz w:val="20"/>
                <w:szCs w:val="20"/>
              </w:rPr>
            </w:pPr>
            <w:r w:rsidRPr="007D1EDC">
              <w:rPr>
                <w:rFonts w:ascii="Arial Narrow" w:hAnsi="Arial Narrow" w:cs="Calibri"/>
                <w:b/>
                <w:bCs/>
                <w:color w:val="000000"/>
                <w:sz w:val="20"/>
                <w:szCs w:val="20"/>
              </w:rPr>
              <w:t>1,282</w:t>
            </w:r>
          </w:p>
        </w:tc>
        <w:tc>
          <w:tcPr>
            <w:tcW w:w="3105" w:type="dxa"/>
          </w:tcPr>
          <w:p w14:paraId="448BC9F7" w14:textId="77777777" w:rsidR="00ED241F" w:rsidRPr="007D1EDC" w:rsidRDefault="00ED241F" w:rsidP="00ED241F">
            <w:pPr>
              <w:jc w:val="center"/>
              <w:rPr>
                <w:rFonts w:ascii="Arial Narrow" w:hAnsi="Arial Narrow" w:cs="Calibri"/>
                <w:b/>
                <w:bCs/>
                <w:color w:val="000000"/>
                <w:sz w:val="20"/>
                <w:szCs w:val="20"/>
              </w:rPr>
            </w:pPr>
            <w:r w:rsidRPr="007D1EDC">
              <w:rPr>
                <w:rFonts w:ascii="Arial Narrow" w:hAnsi="Arial Narrow" w:cs="Calibri"/>
                <w:b/>
                <w:bCs/>
                <w:color w:val="000000"/>
                <w:sz w:val="20"/>
                <w:szCs w:val="20"/>
              </w:rPr>
              <w:t>159</w:t>
            </w:r>
          </w:p>
        </w:tc>
      </w:tr>
    </w:tbl>
    <w:p w14:paraId="604AA02A" w14:textId="77777777" w:rsidR="007D1EDC" w:rsidRPr="00ED241F" w:rsidRDefault="007D1EDC" w:rsidP="007D1EDC">
      <w:pPr>
        <w:jc w:val="both"/>
        <w:rPr>
          <w:rFonts w:ascii="Arial Narrow" w:eastAsia="Calibri" w:hAnsi="Arial Narrow" w:cs="Calibri"/>
          <w:color w:val="000000" w:themeColor="text1"/>
          <w:sz w:val="22"/>
          <w:szCs w:val="22"/>
          <w:lang w:val="en-GB"/>
        </w:rPr>
      </w:pPr>
    </w:p>
    <w:p w14:paraId="7F7F5B8A" w14:textId="77777777" w:rsidR="00ED241F" w:rsidRPr="00ED241F" w:rsidRDefault="00ED241F" w:rsidP="00ED241F">
      <w:pPr>
        <w:jc w:val="both"/>
        <w:rPr>
          <w:rFonts w:ascii="Arial Narrow" w:eastAsia="Calibri" w:hAnsi="Arial Narrow" w:cs="Calibri"/>
          <w:color w:val="000000" w:themeColor="text1"/>
          <w:sz w:val="22"/>
          <w:szCs w:val="22"/>
          <w:lang w:val="bg-BG"/>
        </w:rPr>
      </w:pPr>
      <w:proofErr w:type="spellStart"/>
      <w:r w:rsidRPr="00ED241F">
        <w:rPr>
          <w:rFonts w:ascii="Arial Narrow" w:eastAsia="Calibri" w:hAnsi="Arial Narrow" w:cs="Calibri"/>
          <w:color w:val="000000" w:themeColor="text1"/>
          <w:sz w:val="22"/>
          <w:szCs w:val="22"/>
          <w:lang w:val="en-GB"/>
        </w:rPr>
        <w:t>Kostoja</w:t>
      </w:r>
      <w:proofErr w:type="spellEnd"/>
      <w:r w:rsidRPr="00ED241F">
        <w:rPr>
          <w:rFonts w:ascii="Arial Narrow" w:eastAsia="Calibri" w:hAnsi="Arial Narrow" w:cs="Calibri"/>
          <w:color w:val="000000" w:themeColor="text1"/>
          <w:sz w:val="22"/>
          <w:szCs w:val="22"/>
          <w:lang w:val="en-GB"/>
        </w:rPr>
        <w:t xml:space="preserve"> </w:t>
      </w:r>
      <w:proofErr w:type="spellStart"/>
      <w:r w:rsidRPr="00ED241F">
        <w:rPr>
          <w:rFonts w:ascii="Arial Narrow" w:eastAsia="Calibri" w:hAnsi="Arial Narrow" w:cs="Calibri"/>
          <w:color w:val="000000" w:themeColor="text1"/>
          <w:sz w:val="22"/>
          <w:szCs w:val="22"/>
          <w:lang w:val="en-GB"/>
        </w:rPr>
        <w:t>shtesë</w:t>
      </w:r>
      <w:proofErr w:type="spellEnd"/>
      <w:r w:rsidRPr="00ED241F">
        <w:rPr>
          <w:rFonts w:ascii="Arial Narrow" w:eastAsia="Calibri" w:hAnsi="Arial Narrow" w:cs="Calibri"/>
          <w:color w:val="000000" w:themeColor="text1"/>
          <w:sz w:val="22"/>
          <w:szCs w:val="22"/>
          <w:lang w:val="en-GB"/>
        </w:rPr>
        <w:t xml:space="preserve"> </w:t>
      </w:r>
      <w:proofErr w:type="spellStart"/>
      <w:r w:rsidRPr="00ED241F">
        <w:rPr>
          <w:rFonts w:ascii="Arial Narrow" w:eastAsia="Calibri" w:hAnsi="Arial Narrow" w:cs="Calibri"/>
          <w:color w:val="000000" w:themeColor="text1"/>
          <w:sz w:val="22"/>
          <w:szCs w:val="22"/>
          <w:lang w:val="en-GB"/>
        </w:rPr>
        <w:t>për</w:t>
      </w:r>
      <w:proofErr w:type="spellEnd"/>
      <w:r w:rsidRPr="00ED241F">
        <w:rPr>
          <w:rFonts w:ascii="Arial Narrow" w:eastAsia="Calibri" w:hAnsi="Arial Narrow" w:cs="Calibri"/>
          <w:color w:val="000000" w:themeColor="text1"/>
          <w:sz w:val="22"/>
          <w:szCs w:val="22"/>
          <w:lang w:val="en-GB"/>
        </w:rPr>
        <w:t xml:space="preserve"> </w:t>
      </w:r>
      <w:proofErr w:type="spellStart"/>
      <w:r w:rsidRPr="00ED241F">
        <w:rPr>
          <w:rFonts w:ascii="Arial Narrow" w:eastAsia="Calibri" w:hAnsi="Arial Narrow" w:cs="Calibri"/>
          <w:color w:val="000000" w:themeColor="text1"/>
          <w:sz w:val="22"/>
          <w:szCs w:val="22"/>
          <w:lang w:val="en-GB"/>
        </w:rPr>
        <w:t>grumbullimin</w:t>
      </w:r>
      <w:proofErr w:type="spellEnd"/>
      <w:r w:rsidRPr="00ED241F">
        <w:rPr>
          <w:rFonts w:ascii="Arial Narrow" w:eastAsia="Calibri" w:hAnsi="Arial Narrow" w:cs="Calibri"/>
          <w:color w:val="000000" w:themeColor="text1"/>
          <w:sz w:val="22"/>
          <w:szCs w:val="22"/>
          <w:lang w:val="en-GB"/>
        </w:rPr>
        <w:t xml:space="preserve"> </w:t>
      </w:r>
      <w:proofErr w:type="spellStart"/>
      <w:r w:rsidRPr="00ED241F">
        <w:rPr>
          <w:rFonts w:ascii="Arial Narrow" w:eastAsia="Calibri" w:hAnsi="Arial Narrow" w:cs="Calibri"/>
          <w:color w:val="000000" w:themeColor="text1"/>
          <w:sz w:val="22"/>
          <w:szCs w:val="22"/>
          <w:lang w:val="en-GB"/>
        </w:rPr>
        <w:t>ndaras</w:t>
      </w:r>
      <w:proofErr w:type="spellEnd"/>
      <w:r w:rsidRPr="00ED241F">
        <w:rPr>
          <w:rFonts w:ascii="Arial Narrow" w:eastAsia="Calibri" w:hAnsi="Arial Narrow" w:cs="Calibri"/>
          <w:color w:val="000000" w:themeColor="text1"/>
          <w:sz w:val="22"/>
          <w:szCs w:val="22"/>
          <w:lang w:val="en-GB"/>
        </w:rPr>
        <w:t xml:space="preserve"> </w:t>
      </w:r>
      <w:proofErr w:type="spellStart"/>
      <w:r w:rsidRPr="00ED241F">
        <w:rPr>
          <w:rFonts w:ascii="Arial Narrow" w:eastAsia="Calibri" w:hAnsi="Arial Narrow" w:cs="Calibri"/>
          <w:color w:val="000000" w:themeColor="text1"/>
          <w:sz w:val="22"/>
          <w:szCs w:val="22"/>
          <w:lang w:val="en-GB"/>
        </w:rPr>
        <w:t>të</w:t>
      </w:r>
      <w:proofErr w:type="spellEnd"/>
      <w:r w:rsidRPr="00ED241F">
        <w:rPr>
          <w:rFonts w:ascii="Arial Narrow" w:eastAsia="Calibri" w:hAnsi="Arial Narrow" w:cs="Calibri"/>
          <w:color w:val="000000" w:themeColor="text1"/>
          <w:sz w:val="22"/>
          <w:szCs w:val="22"/>
          <w:lang w:val="en-GB"/>
        </w:rPr>
        <w:t xml:space="preserve"> </w:t>
      </w:r>
      <w:proofErr w:type="spellStart"/>
      <w:r w:rsidRPr="00ED241F">
        <w:rPr>
          <w:rFonts w:ascii="Arial Narrow" w:eastAsia="Calibri" w:hAnsi="Arial Narrow" w:cs="Calibri"/>
          <w:color w:val="000000" w:themeColor="text1"/>
          <w:sz w:val="22"/>
          <w:szCs w:val="22"/>
          <w:lang w:val="en-GB"/>
        </w:rPr>
        <w:t>mbeturinave</w:t>
      </w:r>
      <w:proofErr w:type="spellEnd"/>
      <w:r w:rsidRPr="00ED241F">
        <w:rPr>
          <w:rFonts w:ascii="Arial Narrow" w:eastAsia="Calibri" w:hAnsi="Arial Narrow" w:cs="Calibri"/>
          <w:color w:val="000000" w:themeColor="text1"/>
          <w:sz w:val="22"/>
          <w:szCs w:val="22"/>
          <w:lang w:val="en-GB"/>
        </w:rPr>
        <w:t xml:space="preserve"> </w:t>
      </w:r>
      <w:proofErr w:type="spellStart"/>
      <w:r w:rsidRPr="00ED241F">
        <w:rPr>
          <w:rFonts w:ascii="Arial Narrow" w:eastAsia="Calibri" w:hAnsi="Arial Narrow" w:cs="Calibri"/>
          <w:color w:val="000000" w:themeColor="text1"/>
          <w:sz w:val="22"/>
          <w:szCs w:val="22"/>
          <w:lang w:val="en-GB"/>
        </w:rPr>
        <w:t>organike</w:t>
      </w:r>
      <w:proofErr w:type="spellEnd"/>
      <w:r w:rsidRPr="00ED241F">
        <w:rPr>
          <w:rFonts w:ascii="Arial Narrow" w:eastAsia="Calibri" w:hAnsi="Arial Narrow" w:cs="Calibri"/>
          <w:color w:val="000000" w:themeColor="text1"/>
          <w:sz w:val="22"/>
          <w:szCs w:val="22"/>
          <w:lang w:val="en-GB"/>
        </w:rPr>
        <w:t xml:space="preserve"> </w:t>
      </w:r>
      <w:proofErr w:type="spellStart"/>
      <w:r w:rsidRPr="00ED241F">
        <w:rPr>
          <w:rFonts w:ascii="Arial Narrow" w:eastAsia="Calibri" w:hAnsi="Arial Narrow" w:cs="Calibri"/>
          <w:color w:val="000000" w:themeColor="text1"/>
          <w:sz w:val="22"/>
          <w:szCs w:val="22"/>
          <w:lang w:val="en-GB"/>
        </w:rPr>
        <w:t>konsiderohet</w:t>
      </w:r>
      <w:proofErr w:type="spellEnd"/>
      <w:r w:rsidRPr="00ED241F">
        <w:rPr>
          <w:rFonts w:ascii="Arial Narrow" w:eastAsia="Calibri" w:hAnsi="Arial Narrow" w:cs="Calibri"/>
          <w:color w:val="000000" w:themeColor="text1"/>
          <w:sz w:val="22"/>
          <w:szCs w:val="22"/>
          <w:lang w:val="en-GB"/>
        </w:rPr>
        <w:t xml:space="preserve"> 60 €/t.</w:t>
      </w:r>
    </w:p>
    <w:p w14:paraId="53E7C6A0" w14:textId="77777777" w:rsidR="00ED241F" w:rsidRPr="00ED241F" w:rsidRDefault="00ED241F" w:rsidP="00ED241F">
      <w:pPr>
        <w:jc w:val="both"/>
        <w:rPr>
          <w:rFonts w:ascii="Arial Narrow" w:eastAsia="Calibri" w:hAnsi="Arial Narrow" w:cs="Calibri"/>
          <w:color w:val="000000" w:themeColor="text1"/>
          <w:sz w:val="22"/>
          <w:szCs w:val="22"/>
          <w:lang w:val="en-GB"/>
        </w:rPr>
      </w:pPr>
    </w:p>
    <w:p w14:paraId="752F4817" w14:textId="01D08C28" w:rsidR="007D1EDC" w:rsidRPr="009F5CA1" w:rsidRDefault="00ED241F" w:rsidP="00ED241F">
      <w:pPr>
        <w:jc w:val="both"/>
        <w:rPr>
          <w:rFonts w:ascii="Arial Narrow" w:eastAsia="Calibri" w:hAnsi="Arial Narrow" w:cs="Calibri"/>
          <w:color w:val="000000" w:themeColor="text1"/>
          <w:sz w:val="22"/>
          <w:szCs w:val="22"/>
          <w:lang w:val="de-DE"/>
        </w:rPr>
      </w:pPr>
      <w:proofErr w:type="spellStart"/>
      <w:r w:rsidRPr="009F5CA1">
        <w:rPr>
          <w:rFonts w:ascii="Arial Narrow" w:eastAsia="Calibri" w:hAnsi="Arial Narrow" w:cs="Calibri"/>
          <w:color w:val="000000" w:themeColor="text1"/>
          <w:sz w:val="22"/>
          <w:szCs w:val="22"/>
          <w:lang w:val="de-DE"/>
        </w:rPr>
        <w:t>Tabela</w:t>
      </w:r>
      <w:proofErr w:type="spellEnd"/>
      <w:r w:rsidRPr="009F5CA1">
        <w:rPr>
          <w:rFonts w:ascii="Arial Narrow" w:eastAsia="Calibri" w:hAnsi="Arial Narrow" w:cs="Calibri"/>
          <w:color w:val="000000" w:themeColor="text1"/>
          <w:sz w:val="22"/>
          <w:szCs w:val="22"/>
          <w:lang w:val="de-DE"/>
        </w:rPr>
        <w:t xml:space="preserve"> e </w:t>
      </w:r>
      <w:proofErr w:type="spellStart"/>
      <w:r w:rsidRPr="009F5CA1">
        <w:rPr>
          <w:rFonts w:ascii="Arial Narrow" w:eastAsia="Calibri" w:hAnsi="Arial Narrow" w:cs="Calibri"/>
          <w:color w:val="000000" w:themeColor="text1"/>
          <w:sz w:val="22"/>
          <w:szCs w:val="22"/>
          <w:lang w:val="de-DE"/>
        </w:rPr>
        <w:t>mëposhtme</w:t>
      </w:r>
      <w:proofErr w:type="spellEnd"/>
      <w:r w:rsidRPr="009F5CA1">
        <w:rPr>
          <w:rFonts w:ascii="Arial Narrow" w:eastAsia="Calibri" w:hAnsi="Arial Narrow" w:cs="Calibri"/>
          <w:color w:val="000000" w:themeColor="text1"/>
          <w:sz w:val="22"/>
          <w:szCs w:val="22"/>
          <w:lang w:val="de-DE"/>
        </w:rPr>
        <w:t xml:space="preserve"> </w:t>
      </w:r>
      <w:proofErr w:type="spellStart"/>
      <w:r w:rsidRPr="009F5CA1">
        <w:rPr>
          <w:rFonts w:ascii="Arial Narrow" w:eastAsia="Calibri" w:hAnsi="Arial Narrow" w:cs="Calibri"/>
          <w:color w:val="000000" w:themeColor="text1"/>
          <w:sz w:val="22"/>
          <w:szCs w:val="22"/>
          <w:lang w:val="de-DE"/>
        </w:rPr>
        <w:t>përmbledh</w:t>
      </w:r>
      <w:proofErr w:type="spellEnd"/>
      <w:r w:rsidRPr="009F5CA1">
        <w:rPr>
          <w:rFonts w:ascii="Arial Narrow" w:eastAsia="Calibri" w:hAnsi="Arial Narrow" w:cs="Calibri"/>
          <w:color w:val="000000" w:themeColor="text1"/>
          <w:sz w:val="22"/>
          <w:szCs w:val="22"/>
          <w:lang w:val="de-DE"/>
        </w:rPr>
        <w:t xml:space="preserve"> </w:t>
      </w:r>
      <w:proofErr w:type="spellStart"/>
      <w:r w:rsidRPr="009F5CA1">
        <w:rPr>
          <w:rFonts w:ascii="Arial Narrow" w:eastAsia="Calibri" w:hAnsi="Arial Narrow" w:cs="Calibri"/>
          <w:color w:val="000000" w:themeColor="text1"/>
          <w:sz w:val="22"/>
          <w:szCs w:val="22"/>
          <w:lang w:val="de-DE"/>
        </w:rPr>
        <w:t>rezultatet</w:t>
      </w:r>
      <w:proofErr w:type="spellEnd"/>
      <w:r w:rsidRPr="009F5CA1">
        <w:rPr>
          <w:rFonts w:ascii="Arial Narrow" w:eastAsia="Calibri" w:hAnsi="Arial Narrow" w:cs="Calibri"/>
          <w:color w:val="000000" w:themeColor="text1"/>
          <w:sz w:val="22"/>
          <w:szCs w:val="22"/>
          <w:lang w:val="de-DE"/>
        </w:rPr>
        <w:t xml:space="preserve"> e </w:t>
      </w:r>
      <w:proofErr w:type="spellStart"/>
      <w:r w:rsidRPr="009F5CA1">
        <w:rPr>
          <w:rFonts w:ascii="Arial Narrow" w:eastAsia="Calibri" w:hAnsi="Arial Narrow" w:cs="Calibri"/>
          <w:color w:val="000000" w:themeColor="text1"/>
          <w:sz w:val="22"/>
          <w:szCs w:val="22"/>
          <w:lang w:val="de-DE"/>
        </w:rPr>
        <w:t>procesit</w:t>
      </w:r>
      <w:proofErr w:type="spellEnd"/>
      <w:r w:rsidRPr="009F5CA1">
        <w:rPr>
          <w:rFonts w:ascii="Arial Narrow" w:eastAsia="Calibri" w:hAnsi="Arial Narrow" w:cs="Calibri"/>
          <w:color w:val="000000" w:themeColor="text1"/>
          <w:sz w:val="22"/>
          <w:szCs w:val="22"/>
          <w:lang w:val="de-DE"/>
        </w:rPr>
        <w:t xml:space="preserve"> TMB.</w:t>
      </w:r>
    </w:p>
    <w:p w14:paraId="39E2F675" w14:textId="77777777" w:rsidR="00ED241F" w:rsidRPr="009F5CA1" w:rsidRDefault="00ED241F" w:rsidP="00ED241F">
      <w:pPr>
        <w:jc w:val="both"/>
        <w:rPr>
          <w:rFonts w:ascii="Arial Narrow" w:eastAsia="Calibri" w:hAnsi="Arial Narrow" w:cs="Calibri"/>
          <w:color w:val="000000" w:themeColor="text1"/>
          <w:sz w:val="22"/>
          <w:szCs w:val="22"/>
          <w:lang w:val="de-DE"/>
        </w:rPr>
      </w:pPr>
    </w:p>
    <w:p w14:paraId="31ED977D" w14:textId="539E8241" w:rsidR="007D1EDC" w:rsidRPr="007D1EDC" w:rsidRDefault="007D1EDC" w:rsidP="007D1EDC">
      <w:pPr>
        <w:suppressAutoHyphens/>
        <w:rPr>
          <w:rFonts w:ascii="Arial Narrow" w:eastAsia="Calibri" w:hAnsi="Arial Narrow" w:cs="Calibri"/>
          <w:color w:val="1F497D"/>
          <w:sz w:val="20"/>
          <w:szCs w:val="20"/>
        </w:rPr>
      </w:pPr>
      <w:bookmarkStart w:id="670" w:name="_Toc190966793"/>
      <w:bookmarkStart w:id="671" w:name="_Toc197472290"/>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105. </w:t>
      </w:r>
      <w:r w:rsidRPr="007D1EDC">
        <w:rPr>
          <w:rFonts w:ascii="Arial Narrow" w:eastAsia="Calibri" w:hAnsi="Arial Narrow" w:cs="Calibri"/>
          <w:color w:val="1F497D"/>
          <w:sz w:val="20"/>
          <w:szCs w:val="20"/>
        </w:rPr>
        <w:fldChar w:fldCharType="end"/>
      </w:r>
      <w:r w:rsidR="00ED241F">
        <w:rPr>
          <w:rFonts w:ascii="Arial Narrow" w:eastAsia="Calibri" w:hAnsi="Arial Narrow" w:cs="Calibri"/>
          <w:color w:val="1F497D"/>
          <w:sz w:val="20"/>
          <w:szCs w:val="20"/>
        </w:rPr>
        <w:t>Balanca e përgjithshme/masës e impiantit TMB</w:t>
      </w:r>
      <w:bookmarkEnd w:id="670"/>
      <w:bookmarkEnd w:id="6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3"/>
        <w:gridCol w:w="952"/>
        <w:gridCol w:w="953"/>
        <w:gridCol w:w="953"/>
        <w:gridCol w:w="955"/>
      </w:tblGrid>
      <w:tr w:rsidR="007D1EDC" w:rsidRPr="007D1EDC" w14:paraId="72D10C45" w14:textId="77777777" w:rsidTr="00ED241F">
        <w:trPr>
          <w:trHeight w:val="210"/>
        </w:trPr>
        <w:tc>
          <w:tcPr>
            <w:tcW w:w="2608" w:type="pct"/>
            <w:shd w:val="clear" w:color="auto" w:fill="365F91"/>
            <w:noWrap/>
            <w:vAlign w:val="bottom"/>
            <w:hideMark/>
          </w:tcPr>
          <w:p w14:paraId="02D95714" w14:textId="11C26C49" w:rsidR="007D1EDC" w:rsidRPr="007D1EDC" w:rsidRDefault="00ED241F" w:rsidP="007D1EDC">
            <w:pPr>
              <w:rPr>
                <w:rFonts w:ascii="Arial Narrow" w:hAnsi="Arial Narrow"/>
                <w:b/>
                <w:bCs/>
                <w:color w:val="FFFFFF" w:themeColor="background1"/>
                <w:sz w:val="20"/>
                <w:szCs w:val="20"/>
              </w:rPr>
            </w:pPr>
            <w:r>
              <w:rPr>
                <w:rFonts w:ascii="Arial Narrow" w:hAnsi="Arial Narrow"/>
                <w:b/>
                <w:bCs/>
                <w:color w:val="FFFFFF" w:themeColor="background1"/>
                <w:sz w:val="20"/>
                <w:szCs w:val="20"/>
              </w:rPr>
              <w:t xml:space="preserve">Fraksionet </w:t>
            </w:r>
            <w:r w:rsidR="007D1EDC" w:rsidRPr="007D1EDC">
              <w:rPr>
                <w:rFonts w:ascii="Arial Narrow" w:hAnsi="Arial Narrow"/>
                <w:b/>
                <w:bCs/>
                <w:color w:val="FFFFFF" w:themeColor="background1"/>
                <w:sz w:val="20"/>
                <w:szCs w:val="20"/>
              </w:rPr>
              <w:t>e mbeturinave</w:t>
            </w:r>
          </w:p>
        </w:tc>
        <w:tc>
          <w:tcPr>
            <w:tcW w:w="597" w:type="pct"/>
            <w:shd w:val="clear" w:color="auto" w:fill="365F91"/>
            <w:noWrap/>
            <w:vAlign w:val="center"/>
            <w:hideMark/>
          </w:tcPr>
          <w:p w14:paraId="66EE4460" w14:textId="77777777" w:rsidR="007D1EDC" w:rsidRPr="007D1EDC" w:rsidRDefault="007D1EDC" w:rsidP="007D1EDC">
            <w:pPr>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2032</w:t>
            </w:r>
          </w:p>
        </w:tc>
        <w:tc>
          <w:tcPr>
            <w:tcW w:w="598" w:type="pct"/>
            <w:shd w:val="clear" w:color="auto" w:fill="365F91"/>
            <w:noWrap/>
            <w:vAlign w:val="center"/>
            <w:hideMark/>
          </w:tcPr>
          <w:p w14:paraId="5DC1F3DD" w14:textId="77777777" w:rsidR="007D1EDC" w:rsidRPr="007D1EDC" w:rsidRDefault="007D1EDC" w:rsidP="007D1EDC">
            <w:pPr>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2033</w:t>
            </w:r>
          </w:p>
        </w:tc>
        <w:tc>
          <w:tcPr>
            <w:tcW w:w="598" w:type="pct"/>
            <w:shd w:val="clear" w:color="auto" w:fill="365F91"/>
            <w:noWrap/>
            <w:vAlign w:val="center"/>
            <w:hideMark/>
          </w:tcPr>
          <w:p w14:paraId="74B53FB9" w14:textId="77777777" w:rsidR="007D1EDC" w:rsidRPr="007D1EDC" w:rsidRDefault="007D1EDC" w:rsidP="007D1EDC">
            <w:pPr>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2034</w:t>
            </w:r>
          </w:p>
        </w:tc>
        <w:tc>
          <w:tcPr>
            <w:tcW w:w="599" w:type="pct"/>
            <w:shd w:val="clear" w:color="auto" w:fill="365F91"/>
            <w:noWrap/>
            <w:vAlign w:val="center"/>
            <w:hideMark/>
          </w:tcPr>
          <w:p w14:paraId="685A7F43" w14:textId="77777777" w:rsidR="007D1EDC" w:rsidRPr="007D1EDC" w:rsidRDefault="007D1EDC" w:rsidP="007D1EDC">
            <w:pPr>
              <w:rPr>
                <w:rFonts w:ascii="Arial Narrow" w:hAnsi="Arial Narrow"/>
                <w:b/>
                <w:bCs/>
                <w:color w:val="FFFFFF" w:themeColor="background1"/>
                <w:sz w:val="20"/>
                <w:szCs w:val="20"/>
              </w:rPr>
            </w:pPr>
            <w:r w:rsidRPr="007D1EDC">
              <w:rPr>
                <w:rFonts w:ascii="Arial Narrow" w:hAnsi="Arial Narrow"/>
                <w:b/>
                <w:bCs/>
                <w:color w:val="FFFFFF" w:themeColor="background1"/>
                <w:sz w:val="20"/>
                <w:szCs w:val="20"/>
              </w:rPr>
              <w:t>2035</w:t>
            </w:r>
          </w:p>
        </w:tc>
      </w:tr>
      <w:tr w:rsidR="00ED241F" w:rsidRPr="007D1EDC" w14:paraId="59BCD4FA" w14:textId="77777777" w:rsidTr="00ED241F">
        <w:trPr>
          <w:trHeight w:val="190"/>
        </w:trPr>
        <w:tc>
          <w:tcPr>
            <w:tcW w:w="2608" w:type="pct"/>
            <w:shd w:val="clear" w:color="auto" w:fill="auto"/>
            <w:noWrap/>
            <w:vAlign w:val="bottom"/>
            <w:hideMark/>
          </w:tcPr>
          <w:p w14:paraId="58D0B896" w14:textId="3716D8A6" w:rsidR="00ED241F" w:rsidRPr="00ED241F" w:rsidRDefault="00ED241F" w:rsidP="00ED241F">
            <w:pPr>
              <w:rPr>
                <w:rFonts w:ascii="Arial Narrow" w:hAnsi="Arial Narrow" w:cs="Arial"/>
                <w:sz w:val="20"/>
                <w:szCs w:val="20"/>
                <w:lang w:val="en-GB" w:eastAsia="en-GB"/>
              </w:rPr>
            </w:pPr>
            <w:proofErr w:type="spellStart"/>
            <w:r w:rsidRPr="00ED241F">
              <w:rPr>
                <w:rFonts w:ascii="Arial Narrow" w:hAnsi="Arial Narrow" w:cs="Arial"/>
                <w:sz w:val="20"/>
                <w:szCs w:val="20"/>
                <w:lang w:val="en-GB" w:eastAsia="en-GB"/>
              </w:rPr>
              <w:t>Mbeturinat</w:t>
            </w:r>
            <w:proofErr w:type="spellEnd"/>
            <w:r w:rsidRPr="00ED241F">
              <w:rPr>
                <w:rFonts w:ascii="Arial Narrow" w:hAnsi="Arial Narrow" w:cs="Arial"/>
                <w:sz w:val="20"/>
                <w:szCs w:val="20"/>
                <w:lang w:val="en-GB" w:eastAsia="en-GB"/>
              </w:rPr>
              <w:t xml:space="preserve"> e </w:t>
            </w:r>
            <w:proofErr w:type="spellStart"/>
            <w:r w:rsidRPr="00ED241F">
              <w:rPr>
                <w:rFonts w:ascii="Arial Narrow" w:hAnsi="Arial Narrow" w:cs="Arial"/>
                <w:sz w:val="20"/>
                <w:szCs w:val="20"/>
                <w:lang w:val="en-GB" w:eastAsia="en-GB"/>
              </w:rPr>
              <w:t>përziera</w:t>
            </w:r>
            <w:proofErr w:type="spellEnd"/>
            <w:r w:rsidRPr="00ED241F">
              <w:rPr>
                <w:rFonts w:ascii="Arial Narrow" w:hAnsi="Arial Narrow" w:cs="Arial"/>
                <w:sz w:val="20"/>
                <w:szCs w:val="20"/>
                <w:lang w:val="en-GB" w:eastAsia="en-GB"/>
              </w:rPr>
              <w:t xml:space="preserve"> </w:t>
            </w:r>
            <w:proofErr w:type="spellStart"/>
            <w:r w:rsidRPr="00ED241F">
              <w:rPr>
                <w:rFonts w:ascii="Arial Narrow" w:hAnsi="Arial Narrow" w:cs="Arial"/>
                <w:sz w:val="20"/>
                <w:szCs w:val="20"/>
                <w:lang w:val="en-GB" w:eastAsia="en-GB"/>
              </w:rPr>
              <w:t>për</w:t>
            </w:r>
            <w:proofErr w:type="spellEnd"/>
            <w:r w:rsidRPr="00ED241F">
              <w:rPr>
                <w:rFonts w:ascii="Arial Narrow" w:hAnsi="Arial Narrow" w:cs="Arial"/>
                <w:sz w:val="20"/>
                <w:szCs w:val="20"/>
                <w:lang w:val="en-GB" w:eastAsia="en-GB"/>
              </w:rPr>
              <w:t xml:space="preserve"> </w:t>
            </w:r>
            <w:proofErr w:type="spellStart"/>
            <w:r w:rsidRPr="00ED241F">
              <w:rPr>
                <w:rFonts w:ascii="Arial Narrow" w:hAnsi="Arial Narrow" w:cs="Arial"/>
                <w:sz w:val="20"/>
                <w:szCs w:val="20"/>
                <w:lang w:val="en-GB" w:eastAsia="en-GB"/>
              </w:rPr>
              <w:t>trajtim</w:t>
            </w:r>
            <w:proofErr w:type="spellEnd"/>
          </w:p>
        </w:tc>
        <w:tc>
          <w:tcPr>
            <w:tcW w:w="597" w:type="pct"/>
            <w:shd w:val="clear" w:color="auto" w:fill="auto"/>
            <w:noWrap/>
            <w:vAlign w:val="bottom"/>
            <w:hideMark/>
          </w:tcPr>
          <w:p w14:paraId="5A4646B4" w14:textId="780B823B"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40,863 t</w:t>
            </w:r>
          </w:p>
        </w:tc>
        <w:tc>
          <w:tcPr>
            <w:tcW w:w="598" w:type="pct"/>
            <w:shd w:val="clear" w:color="auto" w:fill="auto"/>
            <w:noWrap/>
            <w:vAlign w:val="bottom"/>
            <w:hideMark/>
          </w:tcPr>
          <w:p w14:paraId="55135D07"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39,388 t</w:t>
            </w:r>
          </w:p>
        </w:tc>
        <w:tc>
          <w:tcPr>
            <w:tcW w:w="598" w:type="pct"/>
            <w:shd w:val="clear" w:color="auto" w:fill="auto"/>
            <w:noWrap/>
            <w:vAlign w:val="bottom"/>
            <w:hideMark/>
          </w:tcPr>
          <w:p w14:paraId="62E4B620" w14:textId="268A9ADD"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37,901 t</w:t>
            </w:r>
          </w:p>
        </w:tc>
        <w:tc>
          <w:tcPr>
            <w:tcW w:w="599" w:type="pct"/>
            <w:shd w:val="clear" w:color="auto" w:fill="auto"/>
            <w:noWrap/>
            <w:vAlign w:val="bottom"/>
            <w:hideMark/>
          </w:tcPr>
          <w:p w14:paraId="7B2BC8A1" w14:textId="219C2D59"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36,624 t</w:t>
            </w:r>
          </w:p>
        </w:tc>
      </w:tr>
      <w:tr w:rsidR="00ED241F" w:rsidRPr="007D1EDC" w14:paraId="45B099FB" w14:textId="77777777" w:rsidTr="00ED241F">
        <w:trPr>
          <w:trHeight w:val="210"/>
        </w:trPr>
        <w:tc>
          <w:tcPr>
            <w:tcW w:w="2608" w:type="pct"/>
            <w:shd w:val="clear" w:color="auto" w:fill="auto"/>
            <w:noWrap/>
            <w:vAlign w:val="bottom"/>
            <w:hideMark/>
          </w:tcPr>
          <w:p w14:paraId="3C436AD7" w14:textId="57A808AA" w:rsidR="00ED241F" w:rsidRPr="009F5CA1" w:rsidRDefault="00ED241F" w:rsidP="00ED241F">
            <w:pPr>
              <w:rPr>
                <w:rFonts w:ascii="Arial Narrow" w:hAnsi="Arial Narrow" w:cs="Arial"/>
                <w:sz w:val="20"/>
                <w:szCs w:val="20"/>
                <w:lang w:val="de-DE" w:eastAsia="en-GB"/>
              </w:rPr>
            </w:pPr>
            <w:proofErr w:type="spellStart"/>
            <w:r w:rsidRPr="009F5CA1">
              <w:rPr>
                <w:rFonts w:ascii="Arial Narrow" w:hAnsi="Arial Narrow" w:cs="Arial"/>
                <w:sz w:val="20"/>
                <w:szCs w:val="20"/>
                <w:lang w:val="de-DE" w:eastAsia="en-GB"/>
              </w:rPr>
              <w:t>Mbeturinat</w:t>
            </w:r>
            <w:proofErr w:type="spellEnd"/>
            <w:r w:rsidRPr="009F5CA1">
              <w:rPr>
                <w:rFonts w:ascii="Arial Narrow" w:hAnsi="Arial Narrow" w:cs="Arial"/>
                <w:sz w:val="20"/>
                <w:szCs w:val="20"/>
                <w:lang w:val="de-DE" w:eastAsia="en-GB"/>
              </w:rPr>
              <w:t xml:space="preserve"> e </w:t>
            </w:r>
            <w:proofErr w:type="spellStart"/>
            <w:r w:rsidRPr="009F5CA1">
              <w:rPr>
                <w:rFonts w:ascii="Arial Narrow" w:hAnsi="Arial Narrow" w:cs="Arial"/>
                <w:sz w:val="20"/>
                <w:szCs w:val="20"/>
                <w:lang w:val="de-DE" w:eastAsia="en-GB"/>
              </w:rPr>
              <w:t>klasifikuara</w:t>
            </w:r>
            <w:proofErr w:type="spellEnd"/>
            <w:r w:rsidRPr="009F5CA1">
              <w:rPr>
                <w:rFonts w:ascii="Arial Narrow" w:hAnsi="Arial Narrow" w:cs="Arial"/>
                <w:sz w:val="20"/>
                <w:szCs w:val="20"/>
                <w:lang w:val="de-DE" w:eastAsia="en-GB"/>
              </w:rPr>
              <w:t xml:space="preserve"> </w:t>
            </w:r>
            <w:proofErr w:type="spellStart"/>
            <w:r w:rsidRPr="009F5CA1">
              <w:rPr>
                <w:rFonts w:ascii="Arial Narrow" w:hAnsi="Arial Narrow" w:cs="Arial"/>
                <w:sz w:val="20"/>
                <w:szCs w:val="20"/>
                <w:lang w:val="de-DE" w:eastAsia="en-GB"/>
              </w:rPr>
              <w:t>për</w:t>
            </w:r>
            <w:proofErr w:type="spellEnd"/>
            <w:r w:rsidRPr="009F5CA1">
              <w:rPr>
                <w:rFonts w:ascii="Arial Narrow" w:hAnsi="Arial Narrow" w:cs="Arial"/>
                <w:sz w:val="20"/>
                <w:szCs w:val="20"/>
                <w:lang w:val="de-DE" w:eastAsia="en-GB"/>
              </w:rPr>
              <w:t xml:space="preserve"> </w:t>
            </w:r>
            <w:proofErr w:type="spellStart"/>
            <w:r w:rsidRPr="009F5CA1">
              <w:rPr>
                <w:rFonts w:ascii="Arial Narrow" w:hAnsi="Arial Narrow" w:cs="Arial"/>
                <w:sz w:val="20"/>
                <w:szCs w:val="20"/>
                <w:lang w:val="de-DE" w:eastAsia="en-GB"/>
              </w:rPr>
              <w:t>riciklim</w:t>
            </w:r>
            <w:proofErr w:type="spellEnd"/>
          </w:p>
        </w:tc>
        <w:tc>
          <w:tcPr>
            <w:tcW w:w="597" w:type="pct"/>
            <w:shd w:val="clear" w:color="auto" w:fill="auto"/>
            <w:noWrap/>
            <w:vAlign w:val="bottom"/>
            <w:hideMark/>
          </w:tcPr>
          <w:p w14:paraId="016682CA" w14:textId="6EFB97B6"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4,908 t</w:t>
            </w:r>
          </w:p>
        </w:tc>
        <w:tc>
          <w:tcPr>
            <w:tcW w:w="598" w:type="pct"/>
            <w:shd w:val="clear" w:color="auto" w:fill="auto"/>
            <w:noWrap/>
            <w:vAlign w:val="bottom"/>
            <w:hideMark/>
          </w:tcPr>
          <w:p w14:paraId="54B43A33" w14:textId="3383CE8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4,671 t</w:t>
            </w:r>
          </w:p>
        </w:tc>
        <w:tc>
          <w:tcPr>
            <w:tcW w:w="598" w:type="pct"/>
            <w:shd w:val="clear" w:color="auto" w:fill="auto"/>
            <w:noWrap/>
            <w:vAlign w:val="bottom"/>
            <w:hideMark/>
          </w:tcPr>
          <w:p w14:paraId="2129A6EC" w14:textId="4A309E43"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4,451 t</w:t>
            </w:r>
          </w:p>
        </w:tc>
        <w:tc>
          <w:tcPr>
            <w:tcW w:w="599" w:type="pct"/>
            <w:shd w:val="clear" w:color="auto" w:fill="auto"/>
            <w:noWrap/>
            <w:vAlign w:val="bottom"/>
            <w:hideMark/>
          </w:tcPr>
          <w:p w14:paraId="55F57C5B" w14:textId="15B5668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4,249 t</w:t>
            </w:r>
          </w:p>
        </w:tc>
      </w:tr>
      <w:tr w:rsidR="00ED241F" w:rsidRPr="007D1EDC" w14:paraId="6F4469EC" w14:textId="77777777" w:rsidTr="00ED241F">
        <w:trPr>
          <w:trHeight w:val="210"/>
        </w:trPr>
        <w:tc>
          <w:tcPr>
            <w:tcW w:w="2608" w:type="pct"/>
            <w:shd w:val="clear" w:color="auto" w:fill="auto"/>
            <w:noWrap/>
            <w:vAlign w:val="bottom"/>
            <w:hideMark/>
          </w:tcPr>
          <w:p w14:paraId="231013BE" w14:textId="02D072E6" w:rsidR="00ED241F" w:rsidRPr="00ED241F" w:rsidRDefault="00ED241F" w:rsidP="00ED241F">
            <w:pPr>
              <w:rPr>
                <w:rFonts w:ascii="Arial Narrow" w:hAnsi="Arial Narrow" w:cs="Calibri"/>
                <w:i/>
                <w:iCs/>
                <w:color w:val="000000"/>
                <w:sz w:val="20"/>
                <w:szCs w:val="20"/>
                <w:lang w:val="en-GB" w:eastAsia="en-GB"/>
              </w:rPr>
            </w:pPr>
            <w:proofErr w:type="spellStart"/>
            <w:r w:rsidRPr="00ED241F">
              <w:rPr>
                <w:rFonts w:ascii="Arial Narrow" w:hAnsi="Arial Narrow" w:cs="Calibri"/>
                <w:i/>
                <w:iCs/>
                <w:color w:val="000000"/>
                <w:sz w:val="20"/>
                <w:szCs w:val="20"/>
                <w:lang w:val="en-GB" w:eastAsia="en-GB"/>
              </w:rPr>
              <w:t>Tetrapak</w:t>
            </w:r>
            <w:proofErr w:type="spellEnd"/>
          </w:p>
        </w:tc>
        <w:tc>
          <w:tcPr>
            <w:tcW w:w="597" w:type="pct"/>
            <w:shd w:val="clear" w:color="auto" w:fill="auto"/>
            <w:noWrap/>
            <w:vAlign w:val="bottom"/>
            <w:hideMark/>
          </w:tcPr>
          <w:p w14:paraId="3AD22688"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289 t</w:t>
            </w:r>
          </w:p>
        </w:tc>
        <w:tc>
          <w:tcPr>
            <w:tcW w:w="598" w:type="pct"/>
            <w:shd w:val="clear" w:color="auto" w:fill="auto"/>
            <w:noWrap/>
            <w:vAlign w:val="bottom"/>
            <w:hideMark/>
          </w:tcPr>
          <w:p w14:paraId="2B1D0653"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289 t</w:t>
            </w:r>
          </w:p>
        </w:tc>
        <w:tc>
          <w:tcPr>
            <w:tcW w:w="598" w:type="pct"/>
            <w:shd w:val="clear" w:color="auto" w:fill="auto"/>
            <w:noWrap/>
            <w:vAlign w:val="bottom"/>
            <w:hideMark/>
          </w:tcPr>
          <w:p w14:paraId="13886C9B"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289 t</w:t>
            </w:r>
          </w:p>
        </w:tc>
        <w:tc>
          <w:tcPr>
            <w:tcW w:w="599" w:type="pct"/>
            <w:shd w:val="clear" w:color="auto" w:fill="auto"/>
            <w:noWrap/>
            <w:vAlign w:val="bottom"/>
            <w:hideMark/>
          </w:tcPr>
          <w:p w14:paraId="73BB309A"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289 t</w:t>
            </w:r>
          </w:p>
        </w:tc>
      </w:tr>
      <w:tr w:rsidR="00ED241F" w:rsidRPr="007D1EDC" w14:paraId="2D49342C" w14:textId="77777777" w:rsidTr="00ED241F">
        <w:trPr>
          <w:trHeight w:val="210"/>
        </w:trPr>
        <w:tc>
          <w:tcPr>
            <w:tcW w:w="2608" w:type="pct"/>
            <w:shd w:val="clear" w:color="auto" w:fill="auto"/>
            <w:noWrap/>
            <w:vAlign w:val="bottom"/>
            <w:hideMark/>
          </w:tcPr>
          <w:p w14:paraId="2EA064D1" w14:textId="208366D2" w:rsidR="00ED241F" w:rsidRPr="00ED241F" w:rsidRDefault="00ED241F" w:rsidP="00ED241F">
            <w:pPr>
              <w:rPr>
                <w:rFonts w:ascii="Arial Narrow" w:hAnsi="Arial Narrow" w:cs="Calibri"/>
                <w:i/>
                <w:iCs/>
                <w:color w:val="000000"/>
                <w:sz w:val="20"/>
                <w:szCs w:val="20"/>
                <w:lang w:val="en-GB" w:eastAsia="en-GB"/>
              </w:rPr>
            </w:pPr>
            <w:proofErr w:type="spellStart"/>
            <w:r w:rsidRPr="00ED241F">
              <w:rPr>
                <w:rFonts w:ascii="Arial Narrow" w:hAnsi="Arial Narrow" w:cs="Calibri"/>
                <w:i/>
                <w:iCs/>
                <w:color w:val="000000"/>
                <w:sz w:val="20"/>
                <w:szCs w:val="20"/>
                <w:lang w:val="en-GB" w:eastAsia="en-GB"/>
              </w:rPr>
              <w:t>Plastikë</w:t>
            </w:r>
            <w:proofErr w:type="spellEnd"/>
          </w:p>
        </w:tc>
        <w:tc>
          <w:tcPr>
            <w:tcW w:w="597" w:type="pct"/>
            <w:shd w:val="clear" w:color="auto" w:fill="auto"/>
            <w:noWrap/>
            <w:vAlign w:val="bottom"/>
            <w:hideMark/>
          </w:tcPr>
          <w:p w14:paraId="5A4876EC" w14:textId="7BC773B1"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2,590 t</w:t>
            </w:r>
          </w:p>
        </w:tc>
        <w:tc>
          <w:tcPr>
            <w:tcW w:w="598" w:type="pct"/>
            <w:shd w:val="clear" w:color="auto" w:fill="auto"/>
            <w:noWrap/>
            <w:vAlign w:val="bottom"/>
            <w:hideMark/>
          </w:tcPr>
          <w:p w14:paraId="29072323" w14:textId="50FD45F3"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2,483 t</w:t>
            </w:r>
          </w:p>
        </w:tc>
        <w:tc>
          <w:tcPr>
            <w:tcW w:w="598" w:type="pct"/>
            <w:shd w:val="clear" w:color="auto" w:fill="auto"/>
            <w:noWrap/>
            <w:vAlign w:val="bottom"/>
            <w:hideMark/>
          </w:tcPr>
          <w:p w14:paraId="11DBC2AB" w14:textId="5FCC4FD8"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2,372 t</w:t>
            </w:r>
          </w:p>
        </w:tc>
        <w:tc>
          <w:tcPr>
            <w:tcW w:w="599" w:type="pct"/>
            <w:shd w:val="clear" w:color="auto" w:fill="auto"/>
            <w:noWrap/>
            <w:vAlign w:val="bottom"/>
            <w:hideMark/>
          </w:tcPr>
          <w:p w14:paraId="36C7E281" w14:textId="6D70B19A"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2,286 t</w:t>
            </w:r>
          </w:p>
        </w:tc>
      </w:tr>
      <w:tr w:rsidR="00ED241F" w:rsidRPr="007D1EDC" w14:paraId="1FA807B5" w14:textId="77777777" w:rsidTr="00ED241F">
        <w:trPr>
          <w:trHeight w:val="200"/>
        </w:trPr>
        <w:tc>
          <w:tcPr>
            <w:tcW w:w="2608" w:type="pct"/>
            <w:shd w:val="clear" w:color="auto" w:fill="auto"/>
            <w:noWrap/>
            <w:vAlign w:val="bottom"/>
            <w:hideMark/>
          </w:tcPr>
          <w:p w14:paraId="6C63567F" w14:textId="2D3058F2" w:rsidR="00ED241F" w:rsidRPr="00ED241F" w:rsidRDefault="00ED241F" w:rsidP="00ED241F">
            <w:pPr>
              <w:rPr>
                <w:rFonts w:ascii="Arial Narrow" w:hAnsi="Arial Narrow" w:cs="Calibri"/>
                <w:i/>
                <w:iCs/>
                <w:color w:val="000000"/>
                <w:sz w:val="20"/>
                <w:szCs w:val="20"/>
                <w:lang w:val="en-GB" w:eastAsia="en-GB"/>
              </w:rPr>
            </w:pPr>
            <w:proofErr w:type="spellStart"/>
            <w:r w:rsidRPr="00ED241F">
              <w:rPr>
                <w:rFonts w:ascii="Arial Narrow" w:hAnsi="Arial Narrow" w:cs="Calibri"/>
                <w:i/>
                <w:iCs/>
                <w:color w:val="000000"/>
                <w:sz w:val="20"/>
                <w:szCs w:val="20"/>
                <w:lang w:val="en-GB" w:eastAsia="en-GB"/>
              </w:rPr>
              <w:t>Letër</w:t>
            </w:r>
            <w:proofErr w:type="spellEnd"/>
            <w:r w:rsidRPr="00ED241F">
              <w:rPr>
                <w:rFonts w:ascii="Arial Narrow" w:hAnsi="Arial Narrow" w:cs="Calibri"/>
                <w:i/>
                <w:iCs/>
                <w:color w:val="000000"/>
                <w:sz w:val="20"/>
                <w:szCs w:val="20"/>
                <w:lang w:val="en-GB" w:eastAsia="en-GB"/>
              </w:rPr>
              <w:t xml:space="preserve"> / </w:t>
            </w:r>
            <w:proofErr w:type="spellStart"/>
            <w:r w:rsidRPr="00ED241F">
              <w:rPr>
                <w:rFonts w:ascii="Arial Narrow" w:hAnsi="Arial Narrow" w:cs="Calibri"/>
                <w:i/>
                <w:iCs/>
                <w:color w:val="000000"/>
                <w:sz w:val="20"/>
                <w:szCs w:val="20"/>
                <w:lang w:val="en-GB" w:eastAsia="en-GB"/>
              </w:rPr>
              <w:t>karton</w:t>
            </w:r>
            <w:proofErr w:type="spellEnd"/>
          </w:p>
        </w:tc>
        <w:tc>
          <w:tcPr>
            <w:tcW w:w="597" w:type="pct"/>
            <w:shd w:val="clear" w:color="auto" w:fill="auto"/>
            <w:noWrap/>
            <w:vAlign w:val="bottom"/>
            <w:hideMark/>
          </w:tcPr>
          <w:p w14:paraId="39FA3029" w14:textId="6CF939A0"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1,150 t</w:t>
            </w:r>
          </w:p>
        </w:tc>
        <w:tc>
          <w:tcPr>
            <w:tcW w:w="598" w:type="pct"/>
            <w:shd w:val="clear" w:color="auto" w:fill="auto"/>
            <w:noWrap/>
            <w:vAlign w:val="bottom"/>
            <w:hideMark/>
          </w:tcPr>
          <w:p w14:paraId="4E166FA2" w14:textId="58658262"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1,073 t</w:t>
            </w:r>
          </w:p>
        </w:tc>
        <w:tc>
          <w:tcPr>
            <w:tcW w:w="598" w:type="pct"/>
            <w:shd w:val="clear" w:color="auto" w:fill="auto"/>
            <w:noWrap/>
            <w:vAlign w:val="bottom"/>
            <w:hideMark/>
          </w:tcPr>
          <w:p w14:paraId="4DC5726B" w14:textId="34BD4BE2"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1,012 t</w:t>
            </w:r>
          </w:p>
        </w:tc>
        <w:tc>
          <w:tcPr>
            <w:tcW w:w="599" w:type="pct"/>
            <w:shd w:val="clear" w:color="auto" w:fill="auto"/>
            <w:noWrap/>
            <w:vAlign w:val="bottom"/>
            <w:hideMark/>
          </w:tcPr>
          <w:p w14:paraId="2AC3412C"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947 t</w:t>
            </w:r>
          </w:p>
        </w:tc>
      </w:tr>
      <w:tr w:rsidR="00ED241F" w:rsidRPr="007D1EDC" w14:paraId="7A339C2D" w14:textId="77777777" w:rsidTr="00ED241F">
        <w:trPr>
          <w:trHeight w:val="220"/>
        </w:trPr>
        <w:tc>
          <w:tcPr>
            <w:tcW w:w="2608" w:type="pct"/>
            <w:shd w:val="clear" w:color="auto" w:fill="auto"/>
            <w:noWrap/>
            <w:vAlign w:val="bottom"/>
            <w:hideMark/>
          </w:tcPr>
          <w:p w14:paraId="0C3C729D" w14:textId="15EC9073" w:rsidR="00ED241F" w:rsidRPr="00ED241F" w:rsidRDefault="00ED241F" w:rsidP="00ED241F">
            <w:pPr>
              <w:rPr>
                <w:rFonts w:ascii="Arial Narrow" w:hAnsi="Arial Narrow" w:cs="Calibri"/>
                <w:i/>
                <w:iCs/>
                <w:color w:val="000000"/>
                <w:sz w:val="20"/>
                <w:szCs w:val="20"/>
                <w:lang w:val="en-GB" w:eastAsia="en-GB"/>
              </w:rPr>
            </w:pPr>
            <w:r w:rsidRPr="00ED241F">
              <w:rPr>
                <w:rFonts w:ascii="Arial Narrow" w:hAnsi="Arial Narrow" w:cs="Calibri"/>
                <w:i/>
                <w:iCs/>
                <w:color w:val="000000"/>
                <w:sz w:val="20"/>
                <w:szCs w:val="20"/>
                <w:lang w:val="en-GB" w:eastAsia="en-GB"/>
              </w:rPr>
              <w:t>Metal</w:t>
            </w:r>
          </w:p>
        </w:tc>
        <w:tc>
          <w:tcPr>
            <w:tcW w:w="597" w:type="pct"/>
            <w:shd w:val="clear" w:color="auto" w:fill="auto"/>
            <w:noWrap/>
            <w:vAlign w:val="bottom"/>
            <w:hideMark/>
          </w:tcPr>
          <w:p w14:paraId="0605ABEF"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502 t</w:t>
            </w:r>
          </w:p>
        </w:tc>
        <w:tc>
          <w:tcPr>
            <w:tcW w:w="598" w:type="pct"/>
            <w:shd w:val="clear" w:color="auto" w:fill="auto"/>
            <w:noWrap/>
            <w:vAlign w:val="bottom"/>
            <w:hideMark/>
          </w:tcPr>
          <w:p w14:paraId="22A19A76"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487 t</w:t>
            </w:r>
          </w:p>
        </w:tc>
        <w:tc>
          <w:tcPr>
            <w:tcW w:w="598" w:type="pct"/>
            <w:shd w:val="clear" w:color="auto" w:fill="auto"/>
            <w:noWrap/>
            <w:vAlign w:val="bottom"/>
            <w:hideMark/>
          </w:tcPr>
          <w:p w14:paraId="2CAF61E8"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471 t</w:t>
            </w:r>
          </w:p>
        </w:tc>
        <w:tc>
          <w:tcPr>
            <w:tcW w:w="599" w:type="pct"/>
            <w:shd w:val="clear" w:color="auto" w:fill="auto"/>
            <w:noWrap/>
            <w:vAlign w:val="bottom"/>
            <w:hideMark/>
          </w:tcPr>
          <w:p w14:paraId="5F4BCE3B" w14:textId="01C0BB62"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454 t</w:t>
            </w:r>
          </w:p>
        </w:tc>
      </w:tr>
      <w:tr w:rsidR="00ED241F" w:rsidRPr="007D1EDC" w14:paraId="3260608C" w14:textId="77777777" w:rsidTr="00ED241F">
        <w:trPr>
          <w:trHeight w:val="220"/>
        </w:trPr>
        <w:tc>
          <w:tcPr>
            <w:tcW w:w="2608" w:type="pct"/>
            <w:shd w:val="clear" w:color="auto" w:fill="auto"/>
            <w:noWrap/>
            <w:vAlign w:val="bottom"/>
            <w:hideMark/>
          </w:tcPr>
          <w:p w14:paraId="28FB5605" w14:textId="34DC2282" w:rsidR="00ED241F" w:rsidRPr="00ED241F" w:rsidRDefault="00ED241F" w:rsidP="00ED241F">
            <w:pPr>
              <w:rPr>
                <w:rFonts w:ascii="Arial Narrow" w:hAnsi="Arial Narrow" w:cs="Calibri"/>
                <w:i/>
                <w:iCs/>
                <w:color w:val="000000"/>
                <w:sz w:val="20"/>
                <w:szCs w:val="20"/>
                <w:lang w:val="en-GB" w:eastAsia="en-GB"/>
              </w:rPr>
            </w:pPr>
            <w:proofErr w:type="spellStart"/>
            <w:r w:rsidRPr="00ED241F">
              <w:rPr>
                <w:rFonts w:ascii="Arial Narrow" w:hAnsi="Arial Narrow" w:cs="Calibri"/>
                <w:i/>
                <w:iCs/>
                <w:color w:val="000000"/>
                <w:sz w:val="20"/>
                <w:szCs w:val="20"/>
                <w:lang w:val="en-GB" w:eastAsia="en-GB"/>
              </w:rPr>
              <w:t>Qelq</w:t>
            </w:r>
            <w:proofErr w:type="spellEnd"/>
          </w:p>
        </w:tc>
        <w:tc>
          <w:tcPr>
            <w:tcW w:w="597" w:type="pct"/>
            <w:shd w:val="clear" w:color="auto" w:fill="auto"/>
            <w:noWrap/>
            <w:vAlign w:val="bottom"/>
            <w:hideMark/>
          </w:tcPr>
          <w:p w14:paraId="4D1FD867" w14:textId="11509184"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377 t</w:t>
            </w:r>
          </w:p>
        </w:tc>
        <w:tc>
          <w:tcPr>
            <w:tcW w:w="598" w:type="pct"/>
            <w:shd w:val="clear" w:color="auto" w:fill="auto"/>
            <w:noWrap/>
            <w:vAlign w:val="bottom"/>
            <w:hideMark/>
          </w:tcPr>
          <w:p w14:paraId="59BDD869" w14:textId="60DC9AD3"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339 t</w:t>
            </w:r>
          </w:p>
        </w:tc>
        <w:tc>
          <w:tcPr>
            <w:tcW w:w="598" w:type="pct"/>
            <w:shd w:val="clear" w:color="auto" w:fill="auto"/>
            <w:noWrap/>
            <w:vAlign w:val="bottom"/>
            <w:hideMark/>
          </w:tcPr>
          <w:p w14:paraId="63240AAF"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307 t</w:t>
            </w:r>
          </w:p>
        </w:tc>
        <w:tc>
          <w:tcPr>
            <w:tcW w:w="599" w:type="pct"/>
            <w:shd w:val="clear" w:color="auto" w:fill="auto"/>
            <w:noWrap/>
            <w:vAlign w:val="bottom"/>
            <w:hideMark/>
          </w:tcPr>
          <w:p w14:paraId="78BAD3E8"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273 t</w:t>
            </w:r>
          </w:p>
        </w:tc>
      </w:tr>
      <w:tr w:rsidR="00ED241F" w:rsidRPr="007D1EDC" w14:paraId="2C8EF3B6" w14:textId="77777777" w:rsidTr="00ED241F">
        <w:trPr>
          <w:trHeight w:val="210"/>
        </w:trPr>
        <w:tc>
          <w:tcPr>
            <w:tcW w:w="2608" w:type="pct"/>
            <w:shd w:val="clear" w:color="auto" w:fill="auto"/>
            <w:noWrap/>
            <w:vAlign w:val="bottom"/>
            <w:hideMark/>
          </w:tcPr>
          <w:p w14:paraId="366498AD" w14:textId="25B0789C" w:rsidR="00ED241F" w:rsidRPr="009F5CA1" w:rsidRDefault="00ED241F" w:rsidP="00ED241F">
            <w:pPr>
              <w:rPr>
                <w:rFonts w:ascii="Arial Narrow" w:hAnsi="Arial Narrow" w:cs="Arial"/>
                <w:sz w:val="20"/>
                <w:szCs w:val="20"/>
                <w:lang w:val="es-ES" w:eastAsia="en-GB"/>
              </w:rPr>
            </w:pPr>
            <w:proofErr w:type="spellStart"/>
            <w:r w:rsidRPr="009F5CA1">
              <w:rPr>
                <w:rFonts w:ascii="Arial Narrow" w:hAnsi="Arial Narrow" w:cs="Arial"/>
                <w:sz w:val="20"/>
                <w:szCs w:val="20"/>
                <w:lang w:val="es-ES" w:eastAsia="en-GB"/>
              </w:rPr>
              <w:t>Humbjet</w:t>
            </w:r>
            <w:proofErr w:type="spellEnd"/>
            <w:r w:rsidRPr="009F5CA1">
              <w:rPr>
                <w:rFonts w:ascii="Arial Narrow" w:hAnsi="Arial Narrow" w:cs="Arial"/>
                <w:sz w:val="20"/>
                <w:szCs w:val="20"/>
                <w:lang w:val="es-ES" w:eastAsia="en-GB"/>
              </w:rPr>
              <w:t xml:space="preserve"> e </w:t>
            </w:r>
            <w:proofErr w:type="spellStart"/>
            <w:r w:rsidRPr="009F5CA1">
              <w:rPr>
                <w:rFonts w:ascii="Arial Narrow" w:hAnsi="Arial Narrow" w:cs="Arial"/>
                <w:sz w:val="20"/>
                <w:szCs w:val="20"/>
                <w:lang w:val="es-ES" w:eastAsia="en-GB"/>
              </w:rPr>
              <w:t>trajtimit</w:t>
            </w:r>
            <w:proofErr w:type="spellEnd"/>
            <w:r w:rsidRPr="009F5CA1">
              <w:rPr>
                <w:rFonts w:ascii="Arial Narrow" w:hAnsi="Arial Narrow" w:cs="Arial"/>
                <w:sz w:val="20"/>
                <w:szCs w:val="20"/>
                <w:lang w:val="es-ES" w:eastAsia="en-GB"/>
              </w:rPr>
              <w:t xml:space="preserve"> (</w:t>
            </w:r>
            <w:proofErr w:type="spellStart"/>
            <w:r w:rsidRPr="009F5CA1">
              <w:rPr>
                <w:rFonts w:ascii="Arial Narrow" w:hAnsi="Arial Narrow" w:cs="Arial"/>
                <w:sz w:val="20"/>
                <w:szCs w:val="20"/>
                <w:lang w:val="es-ES" w:eastAsia="en-GB"/>
              </w:rPr>
              <w:t>balanca</w:t>
            </w:r>
            <w:proofErr w:type="spellEnd"/>
            <w:r w:rsidRPr="009F5CA1">
              <w:rPr>
                <w:rFonts w:ascii="Arial Narrow" w:hAnsi="Arial Narrow" w:cs="Arial"/>
                <w:sz w:val="20"/>
                <w:szCs w:val="20"/>
                <w:lang w:val="es-ES" w:eastAsia="en-GB"/>
              </w:rPr>
              <w:t xml:space="preserve"> e </w:t>
            </w:r>
            <w:proofErr w:type="spellStart"/>
            <w:r w:rsidRPr="009F5CA1">
              <w:rPr>
                <w:rFonts w:ascii="Arial Narrow" w:hAnsi="Arial Narrow" w:cs="Arial"/>
                <w:sz w:val="20"/>
                <w:szCs w:val="20"/>
                <w:lang w:val="es-ES" w:eastAsia="en-GB"/>
              </w:rPr>
              <w:t>veçantë</w:t>
            </w:r>
            <w:proofErr w:type="spellEnd"/>
            <w:r w:rsidRPr="009F5CA1">
              <w:rPr>
                <w:rFonts w:ascii="Arial Narrow" w:hAnsi="Arial Narrow" w:cs="Arial"/>
                <w:sz w:val="20"/>
                <w:szCs w:val="20"/>
                <w:lang w:val="es-ES" w:eastAsia="en-GB"/>
              </w:rPr>
              <w:t xml:space="preserve"> e </w:t>
            </w:r>
            <w:proofErr w:type="spellStart"/>
            <w:r w:rsidRPr="009F5CA1">
              <w:rPr>
                <w:rFonts w:ascii="Arial Narrow" w:hAnsi="Arial Narrow" w:cs="Arial"/>
                <w:sz w:val="20"/>
                <w:szCs w:val="20"/>
                <w:lang w:val="es-ES" w:eastAsia="en-GB"/>
              </w:rPr>
              <w:t>masës</w:t>
            </w:r>
            <w:proofErr w:type="spellEnd"/>
            <w:r w:rsidRPr="009F5CA1">
              <w:rPr>
                <w:rFonts w:ascii="Arial Narrow" w:hAnsi="Arial Narrow" w:cs="Arial"/>
                <w:sz w:val="20"/>
                <w:szCs w:val="20"/>
                <w:lang w:val="es-ES" w:eastAsia="en-GB"/>
              </w:rPr>
              <w:t xml:space="preserve">, </w:t>
            </w:r>
            <w:proofErr w:type="spellStart"/>
            <w:r w:rsidRPr="009F5CA1">
              <w:rPr>
                <w:rFonts w:ascii="Arial Narrow" w:hAnsi="Arial Narrow" w:cs="Arial"/>
                <w:sz w:val="20"/>
                <w:szCs w:val="20"/>
                <w:lang w:val="es-ES" w:eastAsia="en-GB"/>
              </w:rPr>
              <w:t>këtu</w:t>
            </w:r>
            <w:proofErr w:type="spellEnd"/>
            <w:r w:rsidRPr="009F5CA1">
              <w:rPr>
                <w:rFonts w:ascii="Arial Narrow" w:hAnsi="Arial Narrow" w:cs="Arial"/>
                <w:sz w:val="20"/>
                <w:szCs w:val="20"/>
                <w:lang w:val="es-ES" w:eastAsia="en-GB"/>
              </w:rPr>
              <w:t xml:space="preserve"> e </w:t>
            </w:r>
            <w:proofErr w:type="spellStart"/>
            <w:r w:rsidRPr="009F5CA1">
              <w:rPr>
                <w:rFonts w:ascii="Arial Narrow" w:hAnsi="Arial Narrow" w:cs="Arial"/>
                <w:sz w:val="20"/>
                <w:szCs w:val="20"/>
                <w:lang w:val="es-ES" w:eastAsia="en-GB"/>
              </w:rPr>
              <w:t>thjeshtuar</w:t>
            </w:r>
            <w:proofErr w:type="spellEnd"/>
            <w:r w:rsidRPr="009F5CA1">
              <w:rPr>
                <w:rFonts w:ascii="Arial Narrow" w:hAnsi="Arial Narrow" w:cs="Arial"/>
                <w:sz w:val="20"/>
                <w:szCs w:val="20"/>
                <w:lang w:val="es-ES" w:eastAsia="en-GB"/>
              </w:rPr>
              <w:t>)</w:t>
            </w:r>
          </w:p>
        </w:tc>
        <w:tc>
          <w:tcPr>
            <w:tcW w:w="597" w:type="pct"/>
            <w:shd w:val="clear" w:color="auto" w:fill="auto"/>
            <w:noWrap/>
            <w:vAlign w:val="bottom"/>
            <w:hideMark/>
          </w:tcPr>
          <w:p w14:paraId="4C41F911" w14:textId="0A04FAF0"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12,357 t</w:t>
            </w:r>
          </w:p>
        </w:tc>
        <w:tc>
          <w:tcPr>
            <w:tcW w:w="598" w:type="pct"/>
            <w:shd w:val="clear" w:color="auto" w:fill="auto"/>
            <w:noWrap/>
            <w:vAlign w:val="bottom"/>
            <w:hideMark/>
          </w:tcPr>
          <w:p w14:paraId="19FCE150"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11,911 t</w:t>
            </w:r>
          </w:p>
        </w:tc>
        <w:tc>
          <w:tcPr>
            <w:tcW w:w="598" w:type="pct"/>
            <w:shd w:val="clear" w:color="auto" w:fill="auto"/>
            <w:noWrap/>
            <w:vAlign w:val="bottom"/>
            <w:hideMark/>
          </w:tcPr>
          <w:p w14:paraId="155C6F44" w14:textId="05DFA96B"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11,461 t</w:t>
            </w:r>
          </w:p>
        </w:tc>
        <w:tc>
          <w:tcPr>
            <w:tcW w:w="599" w:type="pct"/>
            <w:shd w:val="clear" w:color="auto" w:fill="auto"/>
            <w:noWrap/>
            <w:vAlign w:val="bottom"/>
            <w:hideMark/>
          </w:tcPr>
          <w:p w14:paraId="162535D5" w14:textId="335BC359"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11,075 t</w:t>
            </w:r>
          </w:p>
        </w:tc>
      </w:tr>
      <w:tr w:rsidR="00ED241F" w:rsidRPr="007D1EDC" w14:paraId="135BBA00" w14:textId="77777777" w:rsidTr="00ED241F">
        <w:trPr>
          <w:trHeight w:val="210"/>
        </w:trPr>
        <w:tc>
          <w:tcPr>
            <w:tcW w:w="2608" w:type="pct"/>
            <w:shd w:val="clear" w:color="auto" w:fill="auto"/>
            <w:noWrap/>
            <w:vAlign w:val="bottom"/>
            <w:hideMark/>
          </w:tcPr>
          <w:p w14:paraId="032863F7" w14:textId="3CCFE282" w:rsidR="00ED241F" w:rsidRPr="00ED241F" w:rsidRDefault="00ED241F" w:rsidP="00ED241F">
            <w:pPr>
              <w:rPr>
                <w:rFonts w:ascii="Arial Narrow" w:hAnsi="Arial Narrow" w:cs="Arial"/>
                <w:sz w:val="20"/>
                <w:szCs w:val="20"/>
                <w:lang w:val="en-GB" w:eastAsia="en-GB"/>
              </w:rPr>
            </w:pPr>
            <w:r w:rsidRPr="00ED241F">
              <w:rPr>
                <w:rFonts w:ascii="Arial Narrow" w:hAnsi="Arial Narrow" w:cs="Arial"/>
                <w:sz w:val="20"/>
                <w:szCs w:val="20"/>
                <w:lang w:val="en-GB" w:eastAsia="en-GB"/>
              </w:rPr>
              <w:t xml:space="preserve">RDF/KDM i </w:t>
            </w:r>
            <w:proofErr w:type="spellStart"/>
            <w:r w:rsidRPr="00ED241F">
              <w:rPr>
                <w:rFonts w:ascii="Arial Narrow" w:hAnsi="Arial Narrow" w:cs="Arial"/>
                <w:sz w:val="20"/>
                <w:szCs w:val="20"/>
                <w:lang w:val="en-GB" w:eastAsia="en-GB"/>
              </w:rPr>
              <w:t>prodhuar</w:t>
            </w:r>
            <w:proofErr w:type="spellEnd"/>
            <w:r w:rsidRPr="00ED241F">
              <w:rPr>
                <w:rFonts w:ascii="Arial Narrow" w:hAnsi="Arial Narrow" w:cs="Arial"/>
                <w:sz w:val="20"/>
                <w:szCs w:val="20"/>
                <w:lang w:val="en-GB" w:eastAsia="en-GB"/>
              </w:rPr>
              <w:t xml:space="preserve"> (</w:t>
            </w:r>
            <w:proofErr w:type="spellStart"/>
            <w:r w:rsidRPr="00ED241F">
              <w:rPr>
                <w:rFonts w:ascii="Arial Narrow" w:hAnsi="Arial Narrow" w:cs="Arial"/>
                <w:sz w:val="20"/>
                <w:szCs w:val="20"/>
                <w:lang w:val="en-GB" w:eastAsia="en-GB"/>
              </w:rPr>
              <w:t>balanca</w:t>
            </w:r>
            <w:proofErr w:type="spellEnd"/>
            <w:r w:rsidRPr="00ED241F">
              <w:rPr>
                <w:rFonts w:ascii="Arial Narrow" w:hAnsi="Arial Narrow" w:cs="Arial"/>
                <w:sz w:val="20"/>
                <w:szCs w:val="20"/>
                <w:lang w:val="en-GB" w:eastAsia="en-GB"/>
              </w:rPr>
              <w:t xml:space="preserve"> e </w:t>
            </w:r>
            <w:proofErr w:type="spellStart"/>
            <w:r w:rsidRPr="00ED241F">
              <w:rPr>
                <w:rFonts w:ascii="Arial Narrow" w:hAnsi="Arial Narrow" w:cs="Arial"/>
                <w:sz w:val="20"/>
                <w:szCs w:val="20"/>
                <w:lang w:val="en-GB" w:eastAsia="en-GB"/>
              </w:rPr>
              <w:t>veçantë</w:t>
            </w:r>
            <w:proofErr w:type="spellEnd"/>
            <w:r w:rsidRPr="00ED241F">
              <w:rPr>
                <w:rFonts w:ascii="Arial Narrow" w:hAnsi="Arial Narrow" w:cs="Arial"/>
                <w:sz w:val="20"/>
                <w:szCs w:val="20"/>
                <w:lang w:val="en-GB" w:eastAsia="en-GB"/>
              </w:rPr>
              <w:t xml:space="preserve"> e </w:t>
            </w:r>
            <w:proofErr w:type="spellStart"/>
            <w:r w:rsidRPr="00ED241F">
              <w:rPr>
                <w:rFonts w:ascii="Arial Narrow" w:hAnsi="Arial Narrow" w:cs="Arial"/>
                <w:sz w:val="20"/>
                <w:szCs w:val="20"/>
                <w:lang w:val="en-GB" w:eastAsia="en-GB"/>
              </w:rPr>
              <w:t>masës</w:t>
            </w:r>
            <w:proofErr w:type="spellEnd"/>
            <w:r w:rsidRPr="00ED241F">
              <w:rPr>
                <w:rFonts w:ascii="Arial Narrow" w:hAnsi="Arial Narrow" w:cs="Arial"/>
                <w:sz w:val="20"/>
                <w:szCs w:val="20"/>
                <w:lang w:val="en-GB" w:eastAsia="en-GB"/>
              </w:rPr>
              <w:t xml:space="preserve">, </w:t>
            </w:r>
            <w:proofErr w:type="spellStart"/>
            <w:r w:rsidRPr="00ED241F">
              <w:rPr>
                <w:rFonts w:ascii="Arial Narrow" w:hAnsi="Arial Narrow" w:cs="Arial"/>
                <w:sz w:val="20"/>
                <w:szCs w:val="20"/>
                <w:lang w:val="en-GB" w:eastAsia="en-GB"/>
              </w:rPr>
              <w:t>këtu</w:t>
            </w:r>
            <w:proofErr w:type="spellEnd"/>
            <w:r w:rsidRPr="00ED241F">
              <w:rPr>
                <w:rFonts w:ascii="Arial Narrow" w:hAnsi="Arial Narrow" w:cs="Arial"/>
                <w:sz w:val="20"/>
                <w:szCs w:val="20"/>
                <w:lang w:val="en-GB" w:eastAsia="en-GB"/>
              </w:rPr>
              <w:t xml:space="preserve"> e </w:t>
            </w:r>
            <w:proofErr w:type="spellStart"/>
            <w:r w:rsidRPr="00ED241F">
              <w:rPr>
                <w:rFonts w:ascii="Arial Narrow" w:hAnsi="Arial Narrow" w:cs="Arial"/>
                <w:sz w:val="20"/>
                <w:szCs w:val="20"/>
                <w:lang w:val="en-GB" w:eastAsia="en-GB"/>
              </w:rPr>
              <w:t>thjeshtuar</w:t>
            </w:r>
            <w:proofErr w:type="spellEnd"/>
            <w:r w:rsidRPr="00ED241F">
              <w:rPr>
                <w:rFonts w:ascii="Arial Narrow" w:hAnsi="Arial Narrow" w:cs="Arial"/>
                <w:sz w:val="20"/>
                <w:szCs w:val="20"/>
                <w:lang w:val="en-GB" w:eastAsia="en-GB"/>
              </w:rPr>
              <w:t>)</w:t>
            </w:r>
          </w:p>
        </w:tc>
        <w:tc>
          <w:tcPr>
            <w:tcW w:w="597" w:type="pct"/>
            <w:shd w:val="clear" w:color="auto" w:fill="auto"/>
            <w:noWrap/>
            <w:vAlign w:val="bottom"/>
            <w:hideMark/>
          </w:tcPr>
          <w:p w14:paraId="3F8F9BD9" w14:textId="47CC1D6F"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13,273 t</w:t>
            </w:r>
          </w:p>
        </w:tc>
        <w:tc>
          <w:tcPr>
            <w:tcW w:w="598" w:type="pct"/>
            <w:shd w:val="clear" w:color="auto" w:fill="auto"/>
            <w:noWrap/>
            <w:vAlign w:val="bottom"/>
            <w:hideMark/>
          </w:tcPr>
          <w:p w14:paraId="035AB89E" w14:textId="683FCFF0"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12,794 t</w:t>
            </w:r>
          </w:p>
        </w:tc>
        <w:tc>
          <w:tcPr>
            <w:tcW w:w="598" w:type="pct"/>
            <w:shd w:val="clear" w:color="auto" w:fill="auto"/>
            <w:noWrap/>
            <w:vAlign w:val="bottom"/>
            <w:hideMark/>
          </w:tcPr>
          <w:p w14:paraId="4A693547" w14:textId="0E290A1C"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12,311 t</w:t>
            </w:r>
          </w:p>
        </w:tc>
        <w:tc>
          <w:tcPr>
            <w:tcW w:w="599" w:type="pct"/>
            <w:shd w:val="clear" w:color="auto" w:fill="auto"/>
            <w:noWrap/>
            <w:vAlign w:val="bottom"/>
            <w:hideMark/>
          </w:tcPr>
          <w:p w14:paraId="412DC141" w14:textId="6341911B"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11,896 t</w:t>
            </w:r>
          </w:p>
        </w:tc>
      </w:tr>
      <w:tr w:rsidR="00ED241F" w:rsidRPr="007D1EDC" w14:paraId="56AC52E0" w14:textId="77777777" w:rsidTr="00ED241F">
        <w:trPr>
          <w:trHeight w:val="200"/>
        </w:trPr>
        <w:tc>
          <w:tcPr>
            <w:tcW w:w="2608" w:type="pct"/>
            <w:shd w:val="clear" w:color="auto" w:fill="auto"/>
            <w:noWrap/>
            <w:vAlign w:val="bottom"/>
            <w:hideMark/>
          </w:tcPr>
          <w:p w14:paraId="40FB4E3E" w14:textId="072DFB05" w:rsidR="00ED241F" w:rsidRPr="00ED241F" w:rsidRDefault="00ED241F" w:rsidP="00ED241F">
            <w:pPr>
              <w:rPr>
                <w:rFonts w:ascii="Arial Narrow" w:hAnsi="Arial Narrow" w:cs="Arial"/>
                <w:sz w:val="20"/>
                <w:szCs w:val="20"/>
                <w:lang w:val="en-GB" w:eastAsia="en-GB"/>
              </w:rPr>
            </w:pPr>
            <w:proofErr w:type="spellStart"/>
            <w:r w:rsidRPr="00ED241F">
              <w:rPr>
                <w:rFonts w:ascii="Arial Narrow" w:hAnsi="Arial Narrow" w:cs="Arial"/>
                <w:sz w:val="20"/>
                <w:szCs w:val="20"/>
                <w:lang w:val="en-GB" w:eastAsia="en-GB"/>
              </w:rPr>
              <w:t>Mbeturinat</w:t>
            </w:r>
            <w:proofErr w:type="spellEnd"/>
            <w:r w:rsidRPr="00ED241F">
              <w:rPr>
                <w:rFonts w:ascii="Arial Narrow" w:hAnsi="Arial Narrow" w:cs="Arial"/>
                <w:sz w:val="20"/>
                <w:szCs w:val="20"/>
                <w:lang w:val="en-GB" w:eastAsia="en-GB"/>
              </w:rPr>
              <w:t xml:space="preserve"> e </w:t>
            </w:r>
            <w:proofErr w:type="spellStart"/>
            <w:r w:rsidRPr="00ED241F">
              <w:rPr>
                <w:rFonts w:ascii="Arial Narrow" w:hAnsi="Arial Narrow" w:cs="Arial"/>
                <w:sz w:val="20"/>
                <w:szCs w:val="20"/>
                <w:lang w:val="en-GB" w:eastAsia="en-GB"/>
              </w:rPr>
              <w:t>përziera</w:t>
            </w:r>
            <w:proofErr w:type="spellEnd"/>
            <w:r w:rsidRPr="00ED241F">
              <w:rPr>
                <w:rFonts w:ascii="Arial Narrow" w:hAnsi="Arial Narrow" w:cs="Arial"/>
                <w:sz w:val="20"/>
                <w:szCs w:val="20"/>
                <w:lang w:val="en-GB" w:eastAsia="en-GB"/>
              </w:rPr>
              <w:t xml:space="preserve"> </w:t>
            </w:r>
            <w:proofErr w:type="spellStart"/>
            <w:r w:rsidRPr="00ED241F">
              <w:rPr>
                <w:rFonts w:ascii="Arial Narrow" w:hAnsi="Arial Narrow" w:cs="Arial"/>
                <w:sz w:val="20"/>
                <w:szCs w:val="20"/>
                <w:lang w:val="en-GB" w:eastAsia="en-GB"/>
              </w:rPr>
              <w:t>në</w:t>
            </w:r>
            <w:proofErr w:type="spellEnd"/>
            <w:r w:rsidRPr="00ED241F">
              <w:rPr>
                <w:rFonts w:ascii="Arial Narrow" w:hAnsi="Arial Narrow" w:cs="Arial"/>
                <w:sz w:val="20"/>
                <w:szCs w:val="20"/>
                <w:lang w:val="en-GB" w:eastAsia="en-GB"/>
              </w:rPr>
              <w:t xml:space="preserve"> </w:t>
            </w:r>
            <w:r w:rsidR="00467019">
              <w:rPr>
                <w:rFonts w:ascii="Arial Narrow" w:hAnsi="Arial Narrow" w:cs="Arial"/>
                <w:sz w:val="20"/>
                <w:szCs w:val="20"/>
                <w:lang w:val="en-GB" w:eastAsia="en-GB"/>
              </w:rPr>
              <w:t>depone</w:t>
            </w:r>
          </w:p>
        </w:tc>
        <w:tc>
          <w:tcPr>
            <w:tcW w:w="597" w:type="pct"/>
            <w:shd w:val="clear" w:color="auto" w:fill="auto"/>
            <w:noWrap/>
            <w:vAlign w:val="bottom"/>
            <w:hideMark/>
          </w:tcPr>
          <w:p w14:paraId="03F57BDD" w14:textId="0B27538D"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10,325 t</w:t>
            </w:r>
          </w:p>
        </w:tc>
        <w:tc>
          <w:tcPr>
            <w:tcW w:w="598" w:type="pct"/>
            <w:shd w:val="clear" w:color="auto" w:fill="auto"/>
            <w:noWrap/>
            <w:vAlign w:val="bottom"/>
            <w:hideMark/>
          </w:tcPr>
          <w:p w14:paraId="7B9D90DE"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10,012 t</w:t>
            </w:r>
          </w:p>
        </w:tc>
        <w:tc>
          <w:tcPr>
            <w:tcW w:w="598" w:type="pct"/>
            <w:shd w:val="clear" w:color="auto" w:fill="auto"/>
            <w:noWrap/>
            <w:vAlign w:val="bottom"/>
            <w:hideMark/>
          </w:tcPr>
          <w:p w14:paraId="66CB8EB4" w14:textId="50DC5441"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9,677 t</w:t>
            </w:r>
          </w:p>
        </w:tc>
        <w:tc>
          <w:tcPr>
            <w:tcW w:w="599" w:type="pct"/>
            <w:shd w:val="clear" w:color="auto" w:fill="auto"/>
            <w:noWrap/>
            <w:vAlign w:val="bottom"/>
            <w:hideMark/>
          </w:tcPr>
          <w:p w14:paraId="2A2E8B8C" w14:textId="7B60D2D9"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9,404 t</w:t>
            </w:r>
          </w:p>
        </w:tc>
      </w:tr>
    </w:tbl>
    <w:p w14:paraId="2BF42D20" w14:textId="77777777" w:rsidR="007D1EDC" w:rsidRPr="00ED241F" w:rsidRDefault="007D1EDC" w:rsidP="007D1EDC">
      <w:pPr>
        <w:rPr>
          <w:rFonts w:ascii="Arial Narrow" w:hAnsi="Arial Narrow" w:cs="Calibri"/>
          <w:sz w:val="22"/>
          <w:szCs w:val="22"/>
          <w:lang w:eastAsia="en-GB"/>
        </w:rPr>
      </w:pPr>
    </w:p>
    <w:p w14:paraId="223B88F5" w14:textId="77777777" w:rsidR="00ED241F" w:rsidRPr="00ED241F" w:rsidRDefault="00ED241F" w:rsidP="00ED241F">
      <w:pPr>
        <w:rPr>
          <w:rFonts w:ascii="Arial Narrow" w:hAnsi="Arial Narrow" w:cs="Calibri"/>
          <w:sz w:val="22"/>
          <w:szCs w:val="22"/>
          <w:lang w:eastAsia="en-GB"/>
        </w:rPr>
      </w:pPr>
      <w:r w:rsidRPr="00ED241F">
        <w:rPr>
          <w:rFonts w:ascii="Arial Narrow" w:hAnsi="Arial Narrow" w:cs="Calibri"/>
          <w:sz w:val="22"/>
          <w:szCs w:val="22"/>
          <w:lang w:eastAsia="en-GB"/>
        </w:rPr>
        <w:t>Të hyrat nga materialet e riciklueshme të ndara në TMB llogariten mbi supozimet e mëposhtme për çmimet e materialeve të riciklueshme, më pak se çmimet e tregut për materialet e riciklueshme të pastra:</w:t>
      </w:r>
    </w:p>
    <w:p w14:paraId="6101D3FA" w14:textId="77777777" w:rsidR="00ED241F" w:rsidRPr="00ED241F" w:rsidRDefault="00ED241F" w:rsidP="00ED241F">
      <w:pPr>
        <w:numPr>
          <w:ilvl w:val="0"/>
          <w:numId w:val="36"/>
        </w:numPr>
        <w:contextualSpacing/>
        <w:jc w:val="both"/>
        <w:rPr>
          <w:rFonts w:ascii="Arial Narrow" w:eastAsiaTheme="minorHAnsi" w:hAnsi="Arial Narrow" w:cs="Calibri"/>
          <w:sz w:val="22"/>
          <w:szCs w:val="22"/>
          <w:lang w:val="en-GB" w:eastAsia="en-GB"/>
        </w:rPr>
      </w:pPr>
      <w:proofErr w:type="spellStart"/>
      <w:r w:rsidRPr="00ED241F">
        <w:rPr>
          <w:rFonts w:ascii="Arial Narrow" w:eastAsiaTheme="minorHAnsi" w:hAnsi="Arial Narrow" w:cs="Calibri"/>
          <w:sz w:val="22"/>
          <w:szCs w:val="22"/>
          <w:lang w:val="en-GB" w:eastAsia="en-GB"/>
        </w:rPr>
        <w:t>Plastikë</w:t>
      </w:r>
      <w:proofErr w:type="spellEnd"/>
      <w:r w:rsidRPr="00ED241F">
        <w:rPr>
          <w:rFonts w:ascii="Arial Narrow" w:eastAsiaTheme="minorHAnsi" w:hAnsi="Arial Narrow" w:cs="Calibri"/>
          <w:sz w:val="22"/>
          <w:szCs w:val="22"/>
          <w:lang w:val="en-GB" w:eastAsia="en-GB"/>
        </w:rPr>
        <w:t xml:space="preserve"> </w:t>
      </w:r>
      <w:r w:rsidRPr="00ED241F">
        <w:rPr>
          <w:rFonts w:ascii="Arial Narrow" w:eastAsiaTheme="minorHAnsi" w:hAnsi="Arial Narrow" w:cs="Calibri"/>
          <w:sz w:val="22"/>
          <w:szCs w:val="22"/>
          <w:lang w:val="en-GB" w:eastAsia="en-GB"/>
        </w:rPr>
        <w:tab/>
        <w:t>50 €/</w:t>
      </w:r>
      <w:proofErr w:type="gramStart"/>
      <w:r w:rsidRPr="00ED241F">
        <w:rPr>
          <w:rFonts w:ascii="Arial Narrow" w:eastAsiaTheme="minorHAnsi" w:hAnsi="Arial Narrow" w:cs="Calibri"/>
          <w:sz w:val="22"/>
          <w:szCs w:val="22"/>
          <w:lang w:val="en-GB" w:eastAsia="en-GB"/>
        </w:rPr>
        <w:t>t;</w:t>
      </w:r>
      <w:proofErr w:type="gramEnd"/>
    </w:p>
    <w:p w14:paraId="1E2E07C5" w14:textId="77777777" w:rsidR="00ED241F" w:rsidRPr="00ED241F" w:rsidRDefault="00ED241F" w:rsidP="00ED241F">
      <w:pPr>
        <w:numPr>
          <w:ilvl w:val="0"/>
          <w:numId w:val="36"/>
        </w:numPr>
        <w:contextualSpacing/>
        <w:jc w:val="both"/>
        <w:rPr>
          <w:rFonts w:ascii="Arial Narrow" w:eastAsiaTheme="minorHAnsi" w:hAnsi="Arial Narrow" w:cs="Calibri"/>
          <w:sz w:val="22"/>
          <w:szCs w:val="22"/>
          <w:lang w:val="en-GB" w:eastAsia="en-GB"/>
        </w:rPr>
      </w:pPr>
      <w:proofErr w:type="spellStart"/>
      <w:r w:rsidRPr="00ED241F">
        <w:rPr>
          <w:rFonts w:ascii="Arial Narrow" w:eastAsiaTheme="minorHAnsi" w:hAnsi="Arial Narrow" w:cs="Calibri"/>
          <w:sz w:val="22"/>
          <w:szCs w:val="22"/>
          <w:lang w:val="en-GB" w:eastAsia="en-GB"/>
        </w:rPr>
        <w:t>Letër</w:t>
      </w:r>
      <w:proofErr w:type="spellEnd"/>
      <w:r w:rsidRPr="00ED241F">
        <w:rPr>
          <w:rFonts w:ascii="Arial Narrow" w:eastAsiaTheme="minorHAnsi" w:hAnsi="Arial Narrow" w:cs="Calibri"/>
          <w:sz w:val="22"/>
          <w:szCs w:val="22"/>
          <w:lang w:val="en-GB" w:eastAsia="en-GB"/>
        </w:rPr>
        <w:t xml:space="preserve"> / </w:t>
      </w:r>
      <w:proofErr w:type="spellStart"/>
      <w:r w:rsidRPr="00ED241F">
        <w:rPr>
          <w:rFonts w:ascii="Arial Narrow" w:eastAsiaTheme="minorHAnsi" w:hAnsi="Arial Narrow" w:cs="Calibri"/>
          <w:sz w:val="22"/>
          <w:szCs w:val="22"/>
          <w:lang w:val="en-GB" w:eastAsia="en-GB"/>
        </w:rPr>
        <w:t>karton</w:t>
      </w:r>
      <w:proofErr w:type="spellEnd"/>
      <w:r w:rsidRPr="00ED241F">
        <w:rPr>
          <w:rFonts w:ascii="Arial Narrow" w:eastAsiaTheme="minorHAnsi" w:hAnsi="Arial Narrow" w:cs="Calibri"/>
          <w:sz w:val="22"/>
          <w:szCs w:val="22"/>
          <w:lang w:val="en-GB" w:eastAsia="en-GB"/>
        </w:rPr>
        <w:t xml:space="preserve"> 10 €/</w:t>
      </w:r>
      <w:proofErr w:type="gramStart"/>
      <w:r w:rsidRPr="00ED241F">
        <w:rPr>
          <w:rFonts w:ascii="Arial Narrow" w:eastAsiaTheme="minorHAnsi" w:hAnsi="Arial Narrow" w:cs="Calibri"/>
          <w:sz w:val="22"/>
          <w:szCs w:val="22"/>
          <w:lang w:val="en-GB" w:eastAsia="en-GB"/>
        </w:rPr>
        <w:t>t;</w:t>
      </w:r>
      <w:proofErr w:type="gramEnd"/>
    </w:p>
    <w:p w14:paraId="66ECE442" w14:textId="77777777" w:rsidR="00ED241F" w:rsidRPr="00ED241F" w:rsidRDefault="00ED241F" w:rsidP="00ED241F">
      <w:pPr>
        <w:numPr>
          <w:ilvl w:val="0"/>
          <w:numId w:val="36"/>
        </w:numPr>
        <w:contextualSpacing/>
        <w:jc w:val="both"/>
        <w:rPr>
          <w:rFonts w:ascii="Arial Narrow" w:eastAsiaTheme="minorHAnsi" w:hAnsi="Arial Narrow" w:cs="Calibri"/>
          <w:sz w:val="22"/>
          <w:szCs w:val="22"/>
          <w:lang w:val="en-GB" w:eastAsia="en-GB"/>
        </w:rPr>
      </w:pPr>
      <w:proofErr w:type="spellStart"/>
      <w:r w:rsidRPr="00ED241F">
        <w:rPr>
          <w:rFonts w:ascii="Arial Narrow" w:eastAsiaTheme="minorHAnsi" w:hAnsi="Arial Narrow" w:cs="Calibri"/>
          <w:sz w:val="22"/>
          <w:szCs w:val="22"/>
          <w:lang w:val="en-GB" w:eastAsia="en-GB"/>
        </w:rPr>
        <w:t>Qelq</w:t>
      </w:r>
      <w:proofErr w:type="spellEnd"/>
      <w:r w:rsidRPr="00ED241F">
        <w:rPr>
          <w:rFonts w:ascii="Arial Narrow" w:eastAsiaTheme="minorHAnsi" w:hAnsi="Arial Narrow" w:cs="Calibri"/>
          <w:sz w:val="22"/>
          <w:szCs w:val="22"/>
          <w:lang w:val="en-GB" w:eastAsia="en-GB"/>
        </w:rPr>
        <w:t xml:space="preserve"> </w:t>
      </w:r>
      <w:r w:rsidRPr="00ED241F">
        <w:rPr>
          <w:rFonts w:ascii="Arial Narrow" w:eastAsiaTheme="minorHAnsi" w:hAnsi="Arial Narrow" w:cs="Calibri"/>
          <w:sz w:val="22"/>
          <w:szCs w:val="22"/>
          <w:lang w:val="en-GB" w:eastAsia="en-GB"/>
        </w:rPr>
        <w:tab/>
        <w:t>10 €/</w:t>
      </w:r>
      <w:proofErr w:type="gramStart"/>
      <w:r w:rsidRPr="00ED241F">
        <w:rPr>
          <w:rFonts w:ascii="Arial Narrow" w:eastAsiaTheme="minorHAnsi" w:hAnsi="Arial Narrow" w:cs="Calibri"/>
          <w:sz w:val="22"/>
          <w:szCs w:val="22"/>
          <w:lang w:val="en-GB" w:eastAsia="en-GB"/>
        </w:rPr>
        <w:t>t;</w:t>
      </w:r>
      <w:proofErr w:type="gramEnd"/>
    </w:p>
    <w:p w14:paraId="28FDB40F" w14:textId="77777777" w:rsidR="00ED241F" w:rsidRPr="00ED241F" w:rsidRDefault="00ED241F" w:rsidP="00ED241F">
      <w:pPr>
        <w:numPr>
          <w:ilvl w:val="0"/>
          <w:numId w:val="36"/>
        </w:numPr>
        <w:contextualSpacing/>
        <w:jc w:val="both"/>
        <w:rPr>
          <w:rFonts w:ascii="Arial Narrow" w:eastAsiaTheme="minorHAnsi" w:hAnsi="Arial Narrow" w:cs="Calibri"/>
          <w:sz w:val="22"/>
          <w:szCs w:val="22"/>
          <w:lang w:val="en-GB" w:eastAsia="en-GB"/>
        </w:rPr>
      </w:pPr>
      <w:r w:rsidRPr="00ED241F">
        <w:rPr>
          <w:rFonts w:ascii="Arial Narrow" w:eastAsiaTheme="minorHAnsi" w:hAnsi="Arial Narrow" w:cs="Calibri"/>
          <w:sz w:val="22"/>
          <w:szCs w:val="22"/>
          <w:lang w:val="en-GB" w:eastAsia="en-GB"/>
        </w:rPr>
        <w:t xml:space="preserve">Metal </w:t>
      </w:r>
      <w:r w:rsidRPr="00ED241F">
        <w:rPr>
          <w:rFonts w:ascii="Arial Narrow" w:eastAsiaTheme="minorHAnsi" w:hAnsi="Arial Narrow" w:cs="Calibri"/>
          <w:sz w:val="22"/>
          <w:szCs w:val="22"/>
          <w:lang w:val="en-GB" w:eastAsia="en-GB"/>
        </w:rPr>
        <w:tab/>
        <w:t>200 €/t.</w:t>
      </w:r>
    </w:p>
    <w:p w14:paraId="27F1757F" w14:textId="77777777" w:rsidR="00ED241F" w:rsidRPr="00ED241F" w:rsidRDefault="00ED241F" w:rsidP="00ED241F">
      <w:pPr>
        <w:rPr>
          <w:rFonts w:ascii="Arial Narrow" w:hAnsi="Arial Narrow" w:cs="Calibri"/>
          <w:sz w:val="22"/>
          <w:szCs w:val="22"/>
          <w:lang w:eastAsia="en-GB"/>
        </w:rPr>
      </w:pPr>
    </w:p>
    <w:p w14:paraId="75355F00" w14:textId="77777777" w:rsidR="00ED241F" w:rsidRPr="00ED241F" w:rsidRDefault="00ED241F" w:rsidP="00ED241F">
      <w:pPr>
        <w:rPr>
          <w:rFonts w:ascii="Arial Narrow" w:hAnsi="Arial Narrow" w:cs="Calibri"/>
          <w:sz w:val="22"/>
          <w:szCs w:val="22"/>
          <w:lang w:eastAsia="en-GB"/>
        </w:rPr>
      </w:pPr>
      <w:r w:rsidRPr="00ED241F">
        <w:rPr>
          <w:rFonts w:ascii="Arial Narrow" w:hAnsi="Arial Narrow" w:cs="Calibri"/>
          <w:sz w:val="22"/>
          <w:szCs w:val="22"/>
          <w:lang w:eastAsia="en-GB"/>
        </w:rPr>
        <w:t>RDF/KDM pranohet për përdorim me një kosto prej 25 €/t.</w:t>
      </w:r>
    </w:p>
    <w:p w14:paraId="1B8A8959" w14:textId="77777777" w:rsidR="00ED241F" w:rsidRPr="00ED241F" w:rsidRDefault="00ED241F" w:rsidP="00ED241F">
      <w:pPr>
        <w:rPr>
          <w:rFonts w:ascii="Arial Narrow" w:hAnsi="Arial Narrow" w:cs="Calibri"/>
          <w:sz w:val="22"/>
          <w:szCs w:val="22"/>
          <w:lang w:eastAsia="en-GB"/>
        </w:rPr>
      </w:pPr>
    </w:p>
    <w:p w14:paraId="2CC3E909" w14:textId="77777777" w:rsidR="00ED241F" w:rsidRPr="00ED241F" w:rsidRDefault="00ED241F" w:rsidP="00ED241F">
      <w:pPr>
        <w:rPr>
          <w:rFonts w:ascii="Arial Narrow" w:hAnsi="Arial Narrow" w:cs="Calibri"/>
          <w:sz w:val="22"/>
          <w:szCs w:val="22"/>
          <w:lang w:eastAsia="en-GB"/>
        </w:rPr>
      </w:pPr>
      <w:r w:rsidRPr="00ED241F">
        <w:rPr>
          <w:rFonts w:ascii="Arial Narrow" w:hAnsi="Arial Narrow" w:cs="Calibri"/>
          <w:sz w:val="22"/>
          <w:szCs w:val="22"/>
          <w:lang w:eastAsia="en-GB"/>
        </w:rPr>
        <w:t>Deponimi i mbeturinave të përziera përcaktohet në bazë të tarifës së portës së deponisë dhe sasisë së mbeturinave të përziera të deponuara në deponil.</w:t>
      </w:r>
    </w:p>
    <w:p w14:paraId="72CFBF9B" w14:textId="77777777" w:rsidR="00ED241F" w:rsidRPr="00ED241F" w:rsidRDefault="00ED241F" w:rsidP="00ED241F">
      <w:pPr>
        <w:rPr>
          <w:rFonts w:ascii="Arial Narrow" w:hAnsi="Arial Narrow" w:cs="Calibri"/>
          <w:sz w:val="22"/>
          <w:szCs w:val="22"/>
          <w:lang w:eastAsia="en-GB"/>
        </w:rPr>
      </w:pPr>
    </w:p>
    <w:p w14:paraId="7D180E11" w14:textId="26F68623" w:rsidR="007D1EDC" w:rsidRPr="00ED241F" w:rsidRDefault="00ED241F" w:rsidP="00ED241F">
      <w:pPr>
        <w:rPr>
          <w:rFonts w:ascii="Arial Narrow" w:hAnsi="Arial Narrow" w:cs="Calibri"/>
          <w:sz w:val="22"/>
          <w:szCs w:val="22"/>
          <w:lang w:eastAsia="en-GB"/>
        </w:rPr>
      </w:pPr>
      <w:r w:rsidRPr="00ED241F">
        <w:rPr>
          <w:rFonts w:ascii="Arial Narrow" w:hAnsi="Arial Narrow" w:cs="Calibri"/>
          <w:sz w:val="22"/>
          <w:szCs w:val="22"/>
          <w:lang w:eastAsia="en-GB"/>
        </w:rPr>
        <w:t>Tabela më poshtë përmbledh koston totale të trajtimit dhe deponimit të mbeturinave të përziera</w:t>
      </w:r>
    </w:p>
    <w:p w14:paraId="624CC270" w14:textId="77777777" w:rsidR="00ED241F" w:rsidRPr="007D1EDC" w:rsidRDefault="00ED241F" w:rsidP="00ED241F">
      <w:pPr>
        <w:rPr>
          <w:rFonts w:ascii="Arial Narrow" w:hAnsi="Arial Narrow" w:cs="Calibri"/>
          <w:sz w:val="22"/>
          <w:szCs w:val="22"/>
          <w:lang w:eastAsia="en-GB"/>
        </w:rPr>
      </w:pPr>
    </w:p>
    <w:p w14:paraId="1EE0A634" w14:textId="4E905DDE" w:rsidR="007D1EDC" w:rsidRPr="007D1EDC" w:rsidRDefault="007D1EDC" w:rsidP="007D1EDC">
      <w:pPr>
        <w:suppressAutoHyphens/>
        <w:rPr>
          <w:rFonts w:ascii="Arial Narrow" w:eastAsia="Calibri" w:hAnsi="Arial Narrow" w:cs="Calibri"/>
          <w:color w:val="1F497D"/>
          <w:sz w:val="20"/>
          <w:szCs w:val="20"/>
        </w:rPr>
      </w:pPr>
      <w:bookmarkStart w:id="672" w:name="_Toc190966794"/>
      <w:bookmarkStart w:id="673" w:name="_Toc197472291"/>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106.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Përmbledhj</w:t>
      </w:r>
      <w:r w:rsidR="00ED241F">
        <w:rPr>
          <w:rFonts w:ascii="Arial Narrow" w:eastAsia="Calibri" w:hAnsi="Arial Narrow" w:cs="Calibri"/>
          <w:color w:val="1F497D"/>
          <w:sz w:val="20"/>
          <w:szCs w:val="20"/>
        </w:rPr>
        <w:t>a</w:t>
      </w:r>
      <w:r w:rsidRPr="007D1EDC">
        <w:rPr>
          <w:rFonts w:ascii="Arial Narrow" w:eastAsia="Calibri" w:hAnsi="Arial Narrow" w:cs="Calibri"/>
          <w:color w:val="1F497D"/>
          <w:sz w:val="20"/>
          <w:szCs w:val="20"/>
        </w:rPr>
        <w:t xml:space="preserve"> e kostove të rikuperimit dhe </w:t>
      </w:r>
      <w:r w:rsidR="00ED241F">
        <w:rPr>
          <w:rFonts w:ascii="Arial Narrow" w:eastAsia="Calibri" w:hAnsi="Arial Narrow" w:cs="Calibri"/>
          <w:color w:val="1F497D"/>
          <w:sz w:val="20"/>
          <w:szCs w:val="20"/>
        </w:rPr>
        <w:t>deponimit</w:t>
      </w:r>
      <w:r w:rsidRPr="007D1EDC">
        <w:rPr>
          <w:rFonts w:ascii="Arial Narrow" w:eastAsia="Calibri" w:hAnsi="Arial Narrow" w:cs="Calibri"/>
          <w:color w:val="1F497D"/>
          <w:sz w:val="20"/>
          <w:szCs w:val="20"/>
        </w:rPr>
        <w:t xml:space="preserve"> përfundimtar të mbeturinave, mijë euro</w:t>
      </w:r>
      <w:bookmarkEnd w:id="672"/>
      <w:bookmarkEnd w:id="673"/>
    </w:p>
    <w:tbl>
      <w:tblPr>
        <w:tblW w:w="5000" w:type="pct"/>
        <w:tblLook w:val="04A0" w:firstRow="1" w:lastRow="0" w:firstColumn="1" w:lastColumn="0" w:noHBand="0" w:noVBand="1"/>
      </w:tblPr>
      <w:tblGrid>
        <w:gridCol w:w="5223"/>
        <w:gridCol w:w="914"/>
        <w:gridCol w:w="976"/>
        <w:gridCol w:w="976"/>
        <w:gridCol w:w="927"/>
      </w:tblGrid>
      <w:tr w:rsidR="007D1EDC" w:rsidRPr="007D1EDC" w14:paraId="604BEB4C" w14:textId="77777777" w:rsidTr="00ED241F">
        <w:trPr>
          <w:trHeight w:val="250"/>
        </w:trPr>
        <w:tc>
          <w:tcPr>
            <w:tcW w:w="2897" w:type="pct"/>
            <w:tcBorders>
              <w:top w:val="single" w:sz="4" w:space="0" w:color="auto"/>
              <w:left w:val="single" w:sz="4" w:space="0" w:color="auto"/>
              <w:bottom w:val="single" w:sz="4" w:space="0" w:color="auto"/>
              <w:right w:val="single" w:sz="4" w:space="0" w:color="auto"/>
            </w:tcBorders>
            <w:shd w:val="clear" w:color="auto" w:fill="365F91"/>
          </w:tcPr>
          <w:p w14:paraId="2B54CE77" w14:textId="77777777" w:rsidR="007D1EDC" w:rsidRPr="007D1EDC" w:rsidRDefault="007D1EDC" w:rsidP="007D1EDC">
            <w:pPr>
              <w:rPr>
                <w:rFonts w:ascii="Arial Narrow" w:hAnsi="Arial Narrow" w:cs="Calibri"/>
                <w:b/>
                <w:bCs/>
                <w:color w:val="FFFFFF" w:themeColor="background1"/>
                <w:sz w:val="20"/>
                <w:szCs w:val="20"/>
                <w:lang w:val="en-GB" w:eastAsia="en-GB"/>
              </w:rPr>
            </w:pPr>
            <w:proofErr w:type="spellStart"/>
            <w:r w:rsidRPr="007D1EDC">
              <w:rPr>
                <w:rFonts w:ascii="Arial Narrow" w:hAnsi="Arial Narrow" w:cs="Calibri"/>
                <w:b/>
                <w:bCs/>
                <w:color w:val="FFFFFF" w:themeColor="background1"/>
                <w:sz w:val="20"/>
                <w:szCs w:val="20"/>
                <w:lang w:val="en-GB" w:eastAsia="en-GB"/>
              </w:rPr>
              <w:t>Parametrat</w:t>
            </w:r>
            <w:proofErr w:type="spellEnd"/>
          </w:p>
        </w:tc>
        <w:tc>
          <w:tcPr>
            <w:tcW w:w="507" w:type="pct"/>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6F818032" w14:textId="77777777" w:rsidR="007D1EDC" w:rsidRPr="007D1EDC" w:rsidRDefault="007D1EDC" w:rsidP="007D1EDC">
            <w:pPr>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2032</w:t>
            </w:r>
          </w:p>
        </w:tc>
        <w:tc>
          <w:tcPr>
            <w:tcW w:w="541" w:type="pct"/>
            <w:tcBorders>
              <w:top w:val="single" w:sz="4" w:space="0" w:color="auto"/>
              <w:left w:val="nil"/>
              <w:bottom w:val="single" w:sz="4" w:space="0" w:color="auto"/>
              <w:right w:val="single" w:sz="4" w:space="0" w:color="auto"/>
            </w:tcBorders>
            <w:shd w:val="clear" w:color="auto" w:fill="365F91"/>
            <w:noWrap/>
            <w:vAlign w:val="center"/>
            <w:hideMark/>
          </w:tcPr>
          <w:p w14:paraId="561FFD9E" w14:textId="77777777" w:rsidR="007D1EDC" w:rsidRPr="007D1EDC" w:rsidRDefault="007D1EDC" w:rsidP="007D1EDC">
            <w:pPr>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2033</w:t>
            </w:r>
          </w:p>
        </w:tc>
        <w:tc>
          <w:tcPr>
            <w:tcW w:w="541" w:type="pct"/>
            <w:tcBorders>
              <w:top w:val="single" w:sz="4" w:space="0" w:color="auto"/>
              <w:left w:val="nil"/>
              <w:bottom w:val="single" w:sz="4" w:space="0" w:color="auto"/>
              <w:right w:val="single" w:sz="4" w:space="0" w:color="auto"/>
            </w:tcBorders>
            <w:shd w:val="clear" w:color="auto" w:fill="365F91"/>
            <w:noWrap/>
            <w:vAlign w:val="center"/>
            <w:hideMark/>
          </w:tcPr>
          <w:p w14:paraId="24516F31" w14:textId="77777777" w:rsidR="007D1EDC" w:rsidRPr="007D1EDC" w:rsidRDefault="007D1EDC" w:rsidP="007D1EDC">
            <w:pPr>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2034</w:t>
            </w:r>
          </w:p>
        </w:tc>
        <w:tc>
          <w:tcPr>
            <w:tcW w:w="514" w:type="pct"/>
            <w:tcBorders>
              <w:top w:val="single" w:sz="4" w:space="0" w:color="auto"/>
              <w:left w:val="nil"/>
              <w:bottom w:val="single" w:sz="4" w:space="0" w:color="auto"/>
              <w:right w:val="single" w:sz="4" w:space="0" w:color="auto"/>
            </w:tcBorders>
            <w:shd w:val="clear" w:color="auto" w:fill="365F91"/>
            <w:noWrap/>
            <w:vAlign w:val="center"/>
            <w:hideMark/>
          </w:tcPr>
          <w:p w14:paraId="632367A4" w14:textId="77777777" w:rsidR="007D1EDC" w:rsidRPr="007D1EDC" w:rsidRDefault="007D1EDC" w:rsidP="007D1EDC">
            <w:pPr>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2035</w:t>
            </w:r>
          </w:p>
        </w:tc>
      </w:tr>
      <w:tr w:rsidR="00ED241F" w:rsidRPr="007D1EDC" w14:paraId="0F16419F" w14:textId="77777777" w:rsidTr="00ED241F">
        <w:trPr>
          <w:trHeight w:val="250"/>
        </w:trPr>
        <w:tc>
          <w:tcPr>
            <w:tcW w:w="2897" w:type="pct"/>
            <w:tcBorders>
              <w:top w:val="nil"/>
              <w:left w:val="single" w:sz="4" w:space="0" w:color="auto"/>
              <w:bottom w:val="single" w:sz="4" w:space="0" w:color="auto"/>
              <w:right w:val="single" w:sz="4" w:space="0" w:color="auto"/>
            </w:tcBorders>
            <w:vAlign w:val="bottom"/>
          </w:tcPr>
          <w:p w14:paraId="5B8EB1F4" w14:textId="04E730F8" w:rsidR="00ED241F" w:rsidRPr="009F5CA1" w:rsidRDefault="00ED241F" w:rsidP="00ED241F">
            <w:pPr>
              <w:rPr>
                <w:rFonts w:ascii="Arial Narrow" w:hAnsi="Arial Narrow" w:cs="Calibri"/>
                <w:color w:val="333F4F"/>
                <w:sz w:val="20"/>
                <w:szCs w:val="20"/>
                <w:lang w:eastAsia="en-GB"/>
              </w:rPr>
            </w:pPr>
            <w:r w:rsidRPr="00ED241F">
              <w:rPr>
                <w:rFonts w:ascii="Arial Narrow" w:hAnsi="Arial Narrow" w:cs="Calibri"/>
                <w:color w:val="000000"/>
                <w:sz w:val="20"/>
                <w:szCs w:val="20"/>
              </w:rPr>
              <w:t>Mbeturinat e përziera totale të pranuara në TMB dhe kompostim në kontejnerë të specializuare</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14:paraId="0C4DB456" w14:textId="186AC46D" w:rsidR="00ED241F" w:rsidRPr="007D1EDC" w:rsidRDefault="00ED241F" w:rsidP="00ED241F">
            <w:pPr>
              <w:jc w:val="right"/>
              <w:rPr>
                <w:rFonts w:ascii="Arial Narrow" w:hAnsi="Arial Narrow" w:cs="Calibri"/>
                <w:color w:val="333F4F"/>
                <w:sz w:val="18"/>
                <w:szCs w:val="18"/>
                <w:lang w:val="en-GB" w:eastAsia="en-GB"/>
              </w:rPr>
            </w:pPr>
            <w:r w:rsidRPr="007D1EDC">
              <w:rPr>
                <w:rFonts w:ascii="Arial Narrow" w:hAnsi="Arial Narrow" w:cs="Calibri"/>
                <w:color w:val="333F4F"/>
                <w:sz w:val="18"/>
                <w:szCs w:val="18"/>
              </w:rPr>
              <w:t>42,903 t</w:t>
            </w:r>
          </w:p>
        </w:tc>
        <w:tc>
          <w:tcPr>
            <w:tcW w:w="541" w:type="pct"/>
            <w:tcBorders>
              <w:top w:val="nil"/>
              <w:left w:val="nil"/>
              <w:bottom w:val="single" w:sz="4" w:space="0" w:color="auto"/>
              <w:right w:val="single" w:sz="4" w:space="0" w:color="auto"/>
            </w:tcBorders>
            <w:shd w:val="clear" w:color="auto" w:fill="auto"/>
            <w:noWrap/>
            <w:vAlign w:val="center"/>
            <w:hideMark/>
          </w:tcPr>
          <w:p w14:paraId="1C0C00CA" w14:textId="7E65B47A" w:rsidR="00ED241F" w:rsidRPr="007D1EDC" w:rsidRDefault="00ED241F" w:rsidP="00ED241F">
            <w:pPr>
              <w:jc w:val="right"/>
              <w:rPr>
                <w:rFonts w:ascii="Arial Narrow" w:hAnsi="Arial Narrow" w:cs="Calibri"/>
                <w:color w:val="333F4F"/>
                <w:sz w:val="18"/>
                <w:szCs w:val="18"/>
                <w:lang w:val="en-GB" w:eastAsia="en-GB"/>
              </w:rPr>
            </w:pPr>
            <w:r w:rsidRPr="007D1EDC">
              <w:rPr>
                <w:rFonts w:ascii="Arial Narrow" w:hAnsi="Arial Narrow" w:cs="Calibri"/>
                <w:color w:val="333F4F"/>
                <w:sz w:val="18"/>
                <w:szCs w:val="18"/>
              </w:rPr>
              <w:t>41,649 t</w:t>
            </w:r>
          </w:p>
        </w:tc>
        <w:tc>
          <w:tcPr>
            <w:tcW w:w="541" w:type="pct"/>
            <w:tcBorders>
              <w:top w:val="nil"/>
              <w:left w:val="nil"/>
              <w:bottom w:val="single" w:sz="4" w:space="0" w:color="auto"/>
              <w:right w:val="single" w:sz="4" w:space="0" w:color="auto"/>
            </w:tcBorders>
            <w:shd w:val="clear" w:color="auto" w:fill="auto"/>
            <w:noWrap/>
            <w:vAlign w:val="center"/>
            <w:hideMark/>
          </w:tcPr>
          <w:p w14:paraId="13870C0B" w14:textId="386E13B4" w:rsidR="00ED241F" w:rsidRPr="007D1EDC" w:rsidRDefault="00ED241F" w:rsidP="00ED241F">
            <w:pPr>
              <w:jc w:val="right"/>
              <w:rPr>
                <w:rFonts w:ascii="Arial Narrow" w:hAnsi="Arial Narrow" w:cs="Calibri"/>
                <w:color w:val="333F4F"/>
                <w:sz w:val="18"/>
                <w:szCs w:val="18"/>
                <w:lang w:val="en-GB" w:eastAsia="en-GB"/>
              </w:rPr>
            </w:pPr>
            <w:r w:rsidRPr="007D1EDC">
              <w:rPr>
                <w:rFonts w:ascii="Arial Narrow" w:hAnsi="Arial Narrow" w:cs="Calibri"/>
                <w:color w:val="333F4F"/>
                <w:sz w:val="18"/>
                <w:szCs w:val="18"/>
              </w:rPr>
              <w:t>40,407 t</w:t>
            </w:r>
          </w:p>
        </w:tc>
        <w:tc>
          <w:tcPr>
            <w:tcW w:w="514" w:type="pct"/>
            <w:tcBorders>
              <w:top w:val="nil"/>
              <w:left w:val="nil"/>
              <w:bottom w:val="single" w:sz="4" w:space="0" w:color="auto"/>
              <w:right w:val="single" w:sz="4" w:space="0" w:color="auto"/>
            </w:tcBorders>
            <w:shd w:val="clear" w:color="auto" w:fill="auto"/>
            <w:noWrap/>
            <w:vAlign w:val="center"/>
            <w:hideMark/>
          </w:tcPr>
          <w:p w14:paraId="3EE5C07D" w14:textId="1F3F7308" w:rsidR="00ED241F" w:rsidRPr="007D1EDC" w:rsidRDefault="00ED241F" w:rsidP="00ED241F">
            <w:pPr>
              <w:jc w:val="right"/>
              <w:rPr>
                <w:rFonts w:ascii="Arial Narrow" w:hAnsi="Arial Narrow" w:cs="Calibri"/>
                <w:color w:val="333F4F"/>
                <w:sz w:val="18"/>
                <w:szCs w:val="18"/>
                <w:lang w:val="en-GB" w:eastAsia="en-GB"/>
              </w:rPr>
            </w:pPr>
            <w:r w:rsidRPr="007D1EDC">
              <w:rPr>
                <w:rFonts w:ascii="Arial Narrow" w:hAnsi="Arial Narrow" w:cs="Calibri"/>
                <w:color w:val="333F4F"/>
                <w:sz w:val="18"/>
                <w:szCs w:val="18"/>
              </w:rPr>
              <w:t>39,403 t</w:t>
            </w:r>
          </w:p>
        </w:tc>
      </w:tr>
      <w:tr w:rsidR="00ED241F" w:rsidRPr="007D1EDC" w14:paraId="1D4B92FA" w14:textId="77777777" w:rsidTr="00ED241F">
        <w:trPr>
          <w:trHeight w:val="250"/>
        </w:trPr>
        <w:tc>
          <w:tcPr>
            <w:tcW w:w="2897" w:type="pct"/>
            <w:tcBorders>
              <w:top w:val="nil"/>
              <w:left w:val="single" w:sz="4" w:space="0" w:color="auto"/>
              <w:bottom w:val="single" w:sz="4" w:space="0" w:color="auto"/>
              <w:right w:val="single" w:sz="4" w:space="0" w:color="auto"/>
            </w:tcBorders>
            <w:vAlign w:val="bottom"/>
          </w:tcPr>
          <w:p w14:paraId="63E02BCE" w14:textId="38762912" w:rsidR="00ED241F" w:rsidRPr="00ED241F" w:rsidRDefault="00ED241F" w:rsidP="00ED241F">
            <w:pPr>
              <w:rPr>
                <w:rFonts w:ascii="Arial Narrow" w:hAnsi="Arial Narrow" w:cs="Calibri"/>
                <w:color w:val="000000"/>
                <w:sz w:val="20"/>
                <w:szCs w:val="20"/>
                <w:lang w:val="en-GB" w:eastAsia="en-GB"/>
              </w:rPr>
            </w:pPr>
            <w:r w:rsidRPr="00ED241F">
              <w:rPr>
                <w:rFonts w:ascii="Arial Narrow" w:hAnsi="Arial Narrow" w:cs="Calibri"/>
                <w:color w:val="000000"/>
                <w:sz w:val="20"/>
                <w:szCs w:val="20"/>
              </w:rPr>
              <w:t>Kostot operacionale TMB</w:t>
            </w:r>
          </w:p>
        </w:tc>
        <w:tc>
          <w:tcPr>
            <w:tcW w:w="507" w:type="pct"/>
            <w:tcBorders>
              <w:top w:val="nil"/>
              <w:left w:val="single" w:sz="4" w:space="0" w:color="auto"/>
              <w:bottom w:val="single" w:sz="4" w:space="0" w:color="auto"/>
              <w:right w:val="single" w:sz="4" w:space="0" w:color="auto"/>
            </w:tcBorders>
            <w:shd w:val="clear" w:color="auto" w:fill="auto"/>
            <w:noWrap/>
            <w:vAlign w:val="bottom"/>
            <w:hideMark/>
          </w:tcPr>
          <w:p w14:paraId="29FD5CC6"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1,282</w:t>
            </w:r>
          </w:p>
        </w:tc>
        <w:tc>
          <w:tcPr>
            <w:tcW w:w="541" w:type="pct"/>
            <w:tcBorders>
              <w:top w:val="nil"/>
              <w:left w:val="nil"/>
              <w:bottom w:val="single" w:sz="4" w:space="0" w:color="auto"/>
              <w:right w:val="single" w:sz="4" w:space="0" w:color="auto"/>
            </w:tcBorders>
            <w:shd w:val="clear" w:color="auto" w:fill="auto"/>
            <w:noWrap/>
            <w:vAlign w:val="bottom"/>
            <w:hideMark/>
          </w:tcPr>
          <w:p w14:paraId="77DCD0B9"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1,269</w:t>
            </w:r>
          </w:p>
        </w:tc>
        <w:tc>
          <w:tcPr>
            <w:tcW w:w="541" w:type="pct"/>
            <w:tcBorders>
              <w:top w:val="nil"/>
              <w:left w:val="nil"/>
              <w:bottom w:val="single" w:sz="4" w:space="0" w:color="auto"/>
              <w:right w:val="single" w:sz="4" w:space="0" w:color="auto"/>
            </w:tcBorders>
            <w:shd w:val="clear" w:color="auto" w:fill="auto"/>
            <w:noWrap/>
            <w:vAlign w:val="bottom"/>
            <w:hideMark/>
          </w:tcPr>
          <w:p w14:paraId="6D403D45"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1,262</w:t>
            </w:r>
          </w:p>
        </w:tc>
        <w:tc>
          <w:tcPr>
            <w:tcW w:w="514" w:type="pct"/>
            <w:tcBorders>
              <w:top w:val="nil"/>
              <w:left w:val="nil"/>
              <w:bottom w:val="single" w:sz="4" w:space="0" w:color="auto"/>
              <w:right w:val="single" w:sz="4" w:space="0" w:color="auto"/>
            </w:tcBorders>
            <w:shd w:val="clear" w:color="auto" w:fill="auto"/>
            <w:noWrap/>
            <w:vAlign w:val="bottom"/>
            <w:hideMark/>
          </w:tcPr>
          <w:p w14:paraId="547B67D7"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1,250</w:t>
            </w:r>
          </w:p>
        </w:tc>
      </w:tr>
      <w:tr w:rsidR="00ED241F" w:rsidRPr="007D1EDC" w14:paraId="7C97993B" w14:textId="77777777" w:rsidTr="00ED241F">
        <w:trPr>
          <w:trHeight w:val="250"/>
        </w:trPr>
        <w:tc>
          <w:tcPr>
            <w:tcW w:w="2897" w:type="pct"/>
            <w:tcBorders>
              <w:top w:val="nil"/>
              <w:left w:val="single" w:sz="4" w:space="0" w:color="auto"/>
              <w:bottom w:val="single" w:sz="4" w:space="0" w:color="auto"/>
              <w:right w:val="single" w:sz="4" w:space="0" w:color="auto"/>
            </w:tcBorders>
            <w:vAlign w:val="bottom"/>
          </w:tcPr>
          <w:p w14:paraId="77523B90" w14:textId="62F9B16C" w:rsidR="00ED241F" w:rsidRPr="009F5CA1" w:rsidRDefault="00ED241F" w:rsidP="00ED241F">
            <w:pPr>
              <w:rPr>
                <w:rFonts w:ascii="Arial Narrow" w:hAnsi="Arial Narrow" w:cs="Calibri"/>
                <w:color w:val="000000"/>
                <w:sz w:val="20"/>
                <w:szCs w:val="20"/>
                <w:lang w:eastAsia="en-GB"/>
              </w:rPr>
            </w:pPr>
            <w:r w:rsidRPr="00ED241F">
              <w:rPr>
                <w:rFonts w:ascii="Arial Narrow" w:hAnsi="Arial Narrow" w:cs="Calibri"/>
                <w:color w:val="000000"/>
                <w:sz w:val="20"/>
                <w:szCs w:val="20"/>
              </w:rPr>
              <w:t>Të hyrat nga shitja e materialeve të riciklueshme, të ndara në TMB</w:t>
            </w:r>
          </w:p>
        </w:tc>
        <w:tc>
          <w:tcPr>
            <w:tcW w:w="507" w:type="pct"/>
            <w:tcBorders>
              <w:top w:val="nil"/>
              <w:left w:val="single" w:sz="4" w:space="0" w:color="auto"/>
              <w:bottom w:val="single" w:sz="4" w:space="0" w:color="auto"/>
              <w:right w:val="single" w:sz="4" w:space="0" w:color="auto"/>
            </w:tcBorders>
            <w:shd w:val="clear" w:color="auto" w:fill="auto"/>
            <w:noWrap/>
            <w:vAlign w:val="bottom"/>
            <w:hideMark/>
          </w:tcPr>
          <w:p w14:paraId="28C3ECBD"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245</w:t>
            </w:r>
          </w:p>
        </w:tc>
        <w:tc>
          <w:tcPr>
            <w:tcW w:w="541" w:type="pct"/>
            <w:tcBorders>
              <w:top w:val="nil"/>
              <w:left w:val="nil"/>
              <w:bottom w:val="single" w:sz="4" w:space="0" w:color="auto"/>
              <w:right w:val="single" w:sz="4" w:space="0" w:color="auto"/>
            </w:tcBorders>
            <w:shd w:val="clear" w:color="auto" w:fill="auto"/>
            <w:noWrap/>
            <w:vAlign w:val="bottom"/>
            <w:hideMark/>
          </w:tcPr>
          <w:p w14:paraId="7F5DD803"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236</w:t>
            </w:r>
          </w:p>
        </w:tc>
        <w:tc>
          <w:tcPr>
            <w:tcW w:w="541" w:type="pct"/>
            <w:tcBorders>
              <w:top w:val="nil"/>
              <w:left w:val="nil"/>
              <w:bottom w:val="single" w:sz="4" w:space="0" w:color="auto"/>
              <w:right w:val="single" w:sz="4" w:space="0" w:color="auto"/>
            </w:tcBorders>
            <w:shd w:val="clear" w:color="auto" w:fill="auto"/>
            <w:noWrap/>
            <w:vAlign w:val="bottom"/>
            <w:hideMark/>
          </w:tcPr>
          <w:p w14:paraId="4E34E49F"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226</w:t>
            </w:r>
          </w:p>
        </w:tc>
        <w:tc>
          <w:tcPr>
            <w:tcW w:w="514" w:type="pct"/>
            <w:tcBorders>
              <w:top w:val="nil"/>
              <w:left w:val="nil"/>
              <w:bottom w:val="single" w:sz="4" w:space="0" w:color="auto"/>
              <w:right w:val="single" w:sz="4" w:space="0" w:color="auto"/>
            </w:tcBorders>
            <w:shd w:val="clear" w:color="auto" w:fill="auto"/>
            <w:noWrap/>
            <w:vAlign w:val="bottom"/>
            <w:hideMark/>
          </w:tcPr>
          <w:p w14:paraId="5E339994"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217</w:t>
            </w:r>
          </w:p>
        </w:tc>
      </w:tr>
      <w:tr w:rsidR="00ED241F" w:rsidRPr="007D1EDC" w14:paraId="4A6433AC" w14:textId="77777777" w:rsidTr="00ED241F">
        <w:trPr>
          <w:trHeight w:val="230"/>
        </w:trPr>
        <w:tc>
          <w:tcPr>
            <w:tcW w:w="2897" w:type="pct"/>
            <w:tcBorders>
              <w:top w:val="nil"/>
              <w:left w:val="single" w:sz="4" w:space="0" w:color="auto"/>
              <w:bottom w:val="single" w:sz="4" w:space="0" w:color="auto"/>
              <w:right w:val="single" w:sz="4" w:space="0" w:color="auto"/>
            </w:tcBorders>
            <w:vAlign w:val="center"/>
          </w:tcPr>
          <w:p w14:paraId="5EDE5DCC" w14:textId="635FA968" w:rsidR="00ED241F" w:rsidRPr="009F5CA1" w:rsidRDefault="00ED241F" w:rsidP="00ED241F">
            <w:pPr>
              <w:rPr>
                <w:rFonts w:ascii="Arial Narrow" w:hAnsi="Arial Narrow" w:cs="Calibri"/>
                <w:color w:val="000000"/>
                <w:sz w:val="20"/>
                <w:szCs w:val="20"/>
                <w:lang w:val="es-ES" w:eastAsia="en-GB"/>
              </w:rPr>
            </w:pPr>
            <w:r w:rsidRPr="00ED241F">
              <w:rPr>
                <w:rFonts w:ascii="Arial Narrow" w:hAnsi="Arial Narrow" w:cs="Calibri"/>
                <w:color w:val="000000"/>
                <w:sz w:val="20"/>
                <w:szCs w:val="20"/>
              </w:rPr>
              <w:t>Kostot operacionale neto të TMB</w:t>
            </w:r>
          </w:p>
        </w:tc>
        <w:tc>
          <w:tcPr>
            <w:tcW w:w="507" w:type="pct"/>
            <w:tcBorders>
              <w:top w:val="nil"/>
              <w:left w:val="single" w:sz="4" w:space="0" w:color="auto"/>
              <w:bottom w:val="single" w:sz="4" w:space="0" w:color="auto"/>
              <w:right w:val="single" w:sz="4" w:space="0" w:color="auto"/>
            </w:tcBorders>
            <w:shd w:val="clear" w:color="auto" w:fill="auto"/>
            <w:noWrap/>
            <w:vAlign w:val="bottom"/>
            <w:hideMark/>
          </w:tcPr>
          <w:p w14:paraId="13C15492"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1,037</w:t>
            </w:r>
          </w:p>
        </w:tc>
        <w:tc>
          <w:tcPr>
            <w:tcW w:w="541" w:type="pct"/>
            <w:tcBorders>
              <w:top w:val="nil"/>
              <w:left w:val="nil"/>
              <w:bottom w:val="single" w:sz="4" w:space="0" w:color="auto"/>
              <w:right w:val="single" w:sz="4" w:space="0" w:color="auto"/>
            </w:tcBorders>
            <w:shd w:val="clear" w:color="auto" w:fill="auto"/>
            <w:noWrap/>
            <w:vAlign w:val="bottom"/>
            <w:hideMark/>
          </w:tcPr>
          <w:p w14:paraId="7AD6295F"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1,033</w:t>
            </w:r>
          </w:p>
        </w:tc>
        <w:tc>
          <w:tcPr>
            <w:tcW w:w="541" w:type="pct"/>
            <w:tcBorders>
              <w:top w:val="nil"/>
              <w:left w:val="nil"/>
              <w:bottom w:val="single" w:sz="4" w:space="0" w:color="auto"/>
              <w:right w:val="single" w:sz="4" w:space="0" w:color="auto"/>
            </w:tcBorders>
            <w:shd w:val="clear" w:color="auto" w:fill="auto"/>
            <w:noWrap/>
            <w:vAlign w:val="bottom"/>
            <w:hideMark/>
          </w:tcPr>
          <w:p w14:paraId="04FE1488"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1,037</w:t>
            </w:r>
          </w:p>
        </w:tc>
        <w:tc>
          <w:tcPr>
            <w:tcW w:w="514" w:type="pct"/>
            <w:tcBorders>
              <w:top w:val="nil"/>
              <w:left w:val="nil"/>
              <w:bottom w:val="single" w:sz="4" w:space="0" w:color="auto"/>
              <w:right w:val="single" w:sz="4" w:space="0" w:color="auto"/>
            </w:tcBorders>
            <w:shd w:val="clear" w:color="auto" w:fill="auto"/>
            <w:noWrap/>
            <w:vAlign w:val="bottom"/>
            <w:hideMark/>
          </w:tcPr>
          <w:p w14:paraId="226651FE"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1,033</w:t>
            </w:r>
          </w:p>
        </w:tc>
      </w:tr>
      <w:tr w:rsidR="00ED241F" w:rsidRPr="007D1EDC" w14:paraId="0A581F4E" w14:textId="77777777" w:rsidTr="00ED241F">
        <w:trPr>
          <w:trHeight w:val="260"/>
        </w:trPr>
        <w:tc>
          <w:tcPr>
            <w:tcW w:w="2897" w:type="pct"/>
            <w:tcBorders>
              <w:top w:val="nil"/>
              <w:left w:val="single" w:sz="4" w:space="0" w:color="auto"/>
              <w:bottom w:val="single" w:sz="4" w:space="0" w:color="auto"/>
              <w:right w:val="single" w:sz="4" w:space="0" w:color="auto"/>
            </w:tcBorders>
            <w:vAlign w:val="center"/>
          </w:tcPr>
          <w:p w14:paraId="011F2262" w14:textId="6A6642D6" w:rsidR="00ED241F" w:rsidRPr="00ED241F" w:rsidRDefault="00ED241F" w:rsidP="00ED241F">
            <w:pPr>
              <w:rPr>
                <w:rFonts w:ascii="Arial Narrow" w:hAnsi="Arial Narrow" w:cs="Calibri"/>
                <w:color w:val="000000"/>
                <w:sz w:val="20"/>
                <w:szCs w:val="20"/>
                <w:lang w:val="en-GB" w:eastAsia="en-GB"/>
              </w:rPr>
            </w:pPr>
            <w:r w:rsidRPr="00ED241F">
              <w:rPr>
                <w:rFonts w:ascii="Arial Narrow" w:hAnsi="Arial Narrow" w:cs="Calibri"/>
                <w:color w:val="000000"/>
                <w:sz w:val="20"/>
                <w:szCs w:val="20"/>
              </w:rPr>
              <w:t>Përdorimi i RDF/KDM</w:t>
            </w:r>
          </w:p>
        </w:tc>
        <w:tc>
          <w:tcPr>
            <w:tcW w:w="507" w:type="pct"/>
            <w:tcBorders>
              <w:top w:val="nil"/>
              <w:left w:val="single" w:sz="4" w:space="0" w:color="auto"/>
              <w:bottom w:val="single" w:sz="4" w:space="0" w:color="auto"/>
              <w:right w:val="single" w:sz="4" w:space="0" w:color="auto"/>
            </w:tcBorders>
            <w:shd w:val="clear" w:color="auto" w:fill="auto"/>
            <w:noWrap/>
            <w:vAlign w:val="bottom"/>
            <w:hideMark/>
          </w:tcPr>
          <w:p w14:paraId="2276B55D"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332</w:t>
            </w:r>
          </w:p>
        </w:tc>
        <w:tc>
          <w:tcPr>
            <w:tcW w:w="541" w:type="pct"/>
            <w:tcBorders>
              <w:top w:val="nil"/>
              <w:left w:val="nil"/>
              <w:bottom w:val="single" w:sz="4" w:space="0" w:color="auto"/>
              <w:right w:val="single" w:sz="4" w:space="0" w:color="auto"/>
            </w:tcBorders>
            <w:shd w:val="clear" w:color="auto" w:fill="auto"/>
            <w:noWrap/>
            <w:vAlign w:val="bottom"/>
            <w:hideMark/>
          </w:tcPr>
          <w:p w14:paraId="3F186742"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320</w:t>
            </w:r>
          </w:p>
        </w:tc>
        <w:tc>
          <w:tcPr>
            <w:tcW w:w="541" w:type="pct"/>
            <w:tcBorders>
              <w:top w:val="nil"/>
              <w:left w:val="nil"/>
              <w:bottom w:val="single" w:sz="4" w:space="0" w:color="auto"/>
              <w:right w:val="single" w:sz="4" w:space="0" w:color="auto"/>
            </w:tcBorders>
            <w:shd w:val="clear" w:color="auto" w:fill="auto"/>
            <w:noWrap/>
            <w:vAlign w:val="bottom"/>
            <w:hideMark/>
          </w:tcPr>
          <w:p w14:paraId="263E3658"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308</w:t>
            </w:r>
          </w:p>
        </w:tc>
        <w:tc>
          <w:tcPr>
            <w:tcW w:w="514" w:type="pct"/>
            <w:tcBorders>
              <w:top w:val="nil"/>
              <w:left w:val="nil"/>
              <w:bottom w:val="single" w:sz="4" w:space="0" w:color="auto"/>
              <w:right w:val="single" w:sz="4" w:space="0" w:color="auto"/>
            </w:tcBorders>
            <w:shd w:val="clear" w:color="auto" w:fill="auto"/>
            <w:noWrap/>
            <w:vAlign w:val="bottom"/>
            <w:hideMark/>
          </w:tcPr>
          <w:p w14:paraId="3BB78438"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297</w:t>
            </w:r>
          </w:p>
        </w:tc>
      </w:tr>
      <w:tr w:rsidR="00ED241F" w:rsidRPr="007D1EDC" w14:paraId="3880481E" w14:textId="77777777" w:rsidTr="00ED241F">
        <w:trPr>
          <w:trHeight w:val="260"/>
        </w:trPr>
        <w:tc>
          <w:tcPr>
            <w:tcW w:w="2897" w:type="pct"/>
            <w:tcBorders>
              <w:top w:val="nil"/>
              <w:left w:val="single" w:sz="4" w:space="0" w:color="auto"/>
              <w:bottom w:val="single" w:sz="4" w:space="0" w:color="auto"/>
              <w:right w:val="single" w:sz="4" w:space="0" w:color="auto"/>
            </w:tcBorders>
            <w:vAlign w:val="center"/>
          </w:tcPr>
          <w:p w14:paraId="71B5A755" w14:textId="6F48950B" w:rsidR="00ED241F" w:rsidRPr="00ED241F" w:rsidRDefault="00ED241F" w:rsidP="00ED241F">
            <w:pPr>
              <w:rPr>
                <w:rFonts w:ascii="Arial Narrow" w:hAnsi="Arial Narrow" w:cs="Calibri"/>
                <w:color w:val="000000"/>
                <w:sz w:val="20"/>
                <w:szCs w:val="20"/>
                <w:lang w:val="en-GB" w:eastAsia="en-GB"/>
              </w:rPr>
            </w:pPr>
            <w:r w:rsidRPr="00ED241F">
              <w:rPr>
                <w:rFonts w:ascii="Arial Narrow" w:hAnsi="Arial Narrow" w:cs="Calibri"/>
                <w:color w:val="000000"/>
                <w:sz w:val="20"/>
                <w:szCs w:val="20"/>
              </w:rPr>
              <w:t>Deponimi në deponi</w:t>
            </w:r>
          </w:p>
        </w:tc>
        <w:tc>
          <w:tcPr>
            <w:tcW w:w="507" w:type="pct"/>
            <w:tcBorders>
              <w:top w:val="nil"/>
              <w:left w:val="single" w:sz="4" w:space="0" w:color="auto"/>
              <w:bottom w:val="single" w:sz="4" w:space="0" w:color="auto"/>
              <w:right w:val="single" w:sz="4" w:space="0" w:color="auto"/>
            </w:tcBorders>
            <w:shd w:val="clear" w:color="auto" w:fill="auto"/>
            <w:noWrap/>
            <w:vAlign w:val="bottom"/>
            <w:hideMark/>
          </w:tcPr>
          <w:p w14:paraId="60E16A54"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743</w:t>
            </w:r>
          </w:p>
        </w:tc>
        <w:tc>
          <w:tcPr>
            <w:tcW w:w="541" w:type="pct"/>
            <w:tcBorders>
              <w:top w:val="nil"/>
              <w:left w:val="nil"/>
              <w:bottom w:val="single" w:sz="4" w:space="0" w:color="auto"/>
              <w:right w:val="single" w:sz="4" w:space="0" w:color="auto"/>
            </w:tcBorders>
            <w:shd w:val="clear" w:color="auto" w:fill="auto"/>
            <w:noWrap/>
            <w:vAlign w:val="bottom"/>
            <w:hideMark/>
          </w:tcPr>
          <w:p w14:paraId="42B8FB7F"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731</w:t>
            </w:r>
          </w:p>
        </w:tc>
        <w:tc>
          <w:tcPr>
            <w:tcW w:w="541" w:type="pct"/>
            <w:tcBorders>
              <w:top w:val="nil"/>
              <w:left w:val="nil"/>
              <w:bottom w:val="single" w:sz="4" w:space="0" w:color="auto"/>
              <w:right w:val="single" w:sz="4" w:space="0" w:color="auto"/>
            </w:tcBorders>
            <w:shd w:val="clear" w:color="auto" w:fill="auto"/>
            <w:noWrap/>
            <w:vAlign w:val="bottom"/>
            <w:hideMark/>
          </w:tcPr>
          <w:p w14:paraId="4D950EF4"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726</w:t>
            </w:r>
          </w:p>
        </w:tc>
        <w:tc>
          <w:tcPr>
            <w:tcW w:w="514" w:type="pct"/>
            <w:tcBorders>
              <w:top w:val="nil"/>
              <w:left w:val="nil"/>
              <w:bottom w:val="single" w:sz="4" w:space="0" w:color="auto"/>
              <w:right w:val="single" w:sz="4" w:space="0" w:color="auto"/>
            </w:tcBorders>
            <w:shd w:val="clear" w:color="auto" w:fill="auto"/>
            <w:noWrap/>
            <w:vAlign w:val="bottom"/>
            <w:hideMark/>
          </w:tcPr>
          <w:p w14:paraId="6A6B7BFB"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715</w:t>
            </w:r>
          </w:p>
        </w:tc>
      </w:tr>
      <w:tr w:rsidR="00ED241F" w:rsidRPr="007D1EDC" w14:paraId="1A3B2530" w14:textId="77777777" w:rsidTr="00ED241F">
        <w:trPr>
          <w:trHeight w:val="260"/>
        </w:trPr>
        <w:tc>
          <w:tcPr>
            <w:tcW w:w="2897" w:type="pct"/>
            <w:tcBorders>
              <w:top w:val="nil"/>
              <w:left w:val="single" w:sz="4" w:space="0" w:color="auto"/>
              <w:bottom w:val="single" w:sz="4" w:space="0" w:color="auto"/>
              <w:right w:val="single" w:sz="4" w:space="0" w:color="auto"/>
            </w:tcBorders>
            <w:vAlign w:val="center"/>
          </w:tcPr>
          <w:p w14:paraId="2C5B6B03" w14:textId="3CC3C461" w:rsidR="00ED241F" w:rsidRPr="00ED241F" w:rsidRDefault="00ED241F" w:rsidP="00ED241F">
            <w:pPr>
              <w:rPr>
                <w:rFonts w:ascii="Arial Narrow" w:hAnsi="Arial Narrow" w:cs="Calibri"/>
                <w:color w:val="000000"/>
                <w:sz w:val="20"/>
                <w:szCs w:val="20"/>
                <w:lang w:val="en-GB" w:eastAsia="en-GB"/>
              </w:rPr>
            </w:pPr>
            <w:r w:rsidRPr="00ED241F">
              <w:rPr>
                <w:rFonts w:ascii="Arial Narrow" w:hAnsi="Arial Narrow" w:cs="Calibri"/>
                <w:color w:val="000000"/>
                <w:sz w:val="20"/>
                <w:szCs w:val="20"/>
              </w:rPr>
              <w:t>Kostot e operacionale kompostimit në kontejnerë të specializuar</w:t>
            </w:r>
          </w:p>
        </w:tc>
        <w:tc>
          <w:tcPr>
            <w:tcW w:w="507" w:type="pct"/>
            <w:tcBorders>
              <w:top w:val="nil"/>
              <w:left w:val="single" w:sz="4" w:space="0" w:color="auto"/>
              <w:bottom w:val="single" w:sz="4" w:space="0" w:color="auto"/>
              <w:right w:val="single" w:sz="4" w:space="0" w:color="auto"/>
            </w:tcBorders>
            <w:shd w:val="clear" w:color="auto" w:fill="auto"/>
            <w:noWrap/>
            <w:vAlign w:val="bottom"/>
            <w:hideMark/>
          </w:tcPr>
          <w:p w14:paraId="4A2509D6"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159</w:t>
            </w:r>
          </w:p>
        </w:tc>
        <w:tc>
          <w:tcPr>
            <w:tcW w:w="541" w:type="pct"/>
            <w:tcBorders>
              <w:top w:val="nil"/>
              <w:left w:val="nil"/>
              <w:bottom w:val="single" w:sz="4" w:space="0" w:color="auto"/>
              <w:right w:val="single" w:sz="4" w:space="0" w:color="auto"/>
            </w:tcBorders>
            <w:shd w:val="clear" w:color="auto" w:fill="auto"/>
            <w:noWrap/>
            <w:vAlign w:val="bottom"/>
            <w:hideMark/>
          </w:tcPr>
          <w:p w14:paraId="09F735FB"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176</w:t>
            </w:r>
          </w:p>
        </w:tc>
        <w:tc>
          <w:tcPr>
            <w:tcW w:w="541" w:type="pct"/>
            <w:tcBorders>
              <w:top w:val="nil"/>
              <w:left w:val="nil"/>
              <w:bottom w:val="single" w:sz="4" w:space="0" w:color="auto"/>
              <w:right w:val="single" w:sz="4" w:space="0" w:color="auto"/>
            </w:tcBorders>
            <w:shd w:val="clear" w:color="auto" w:fill="auto"/>
            <w:noWrap/>
            <w:vAlign w:val="bottom"/>
            <w:hideMark/>
          </w:tcPr>
          <w:p w14:paraId="6BDE8C7D"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196</w:t>
            </w:r>
          </w:p>
        </w:tc>
        <w:tc>
          <w:tcPr>
            <w:tcW w:w="514" w:type="pct"/>
            <w:tcBorders>
              <w:top w:val="nil"/>
              <w:left w:val="nil"/>
              <w:bottom w:val="single" w:sz="4" w:space="0" w:color="auto"/>
              <w:right w:val="single" w:sz="4" w:space="0" w:color="auto"/>
            </w:tcBorders>
            <w:shd w:val="clear" w:color="auto" w:fill="auto"/>
            <w:noWrap/>
            <w:vAlign w:val="bottom"/>
            <w:hideMark/>
          </w:tcPr>
          <w:p w14:paraId="53C07AFD"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217</w:t>
            </w:r>
          </w:p>
        </w:tc>
      </w:tr>
      <w:tr w:rsidR="00ED241F" w:rsidRPr="007D1EDC" w14:paraId="14B6C7D1" w14:textId="77777777" w:rsidTr="00ED241F">
        <w:trPr>
          <w:trHeight w:val="260"/>
        </w:trPr>
        <w:tc>
          <w:tcPr>
            <w:tcW w:w="2897" w:type="pct"/>
            <w:tcBorders>
              <w:top w:val="nil"/>
              <w:left w:val="single" w:sz="4" w:space="0" w:color="auto"/>
              <w:bottom w:val="single" w:sz="4" w:space="0" w:color="auto"/>
              <w:right w:val="single" w:sz="4" w:space="0" w:color="auto"/>
            </w:tcBorders>
            <w:vAlign w:val="center"/>
          </w:tcPr>
          <w:p w14:paraId="6A0E5DC7" w14:textId="7CAADC9E" w:rsidR="00ED241F" w:rsidRPr="00ED241F" w:rsidRDefault="00ED241F" w:rsidP="00ED241F">
            <w:pPr>
              <w:rPr>
                <w:rFonts w:ascii="Arial Narrow" w:hAnsi="Arial Narrow" w:cs="Calibri"/>
                <w:color w:val="000000"/>
                <w:sz w:val="20"/>
                <w:szCs w:val="20"/>
                <w:lang w:val="en-GB" w:eastAsia="en-GB"/>
              </w:rPr>
            </w:pPr>
            <w:r w:rsidRPr="00ED241F">
              <w:rPr>
                <w:rFonts w:ascii="Arial Narrow" w:hAnsi="Arial Narrow" w:cs="Calibri"/>
                <w:color w:val="000000"/>
                <w:sz w:val="20"/>
                <w:szCs w:val="20"/>
              </w:rPr>
              <w:t>Grumbullimi ndaras i mbeturinave organike</w:t>
            </w:r>
          </w:p>
        </w:tc>
        <w:tc>
          <w:tcPr>
            <w:tcW w:w="507" w:type="pct"/>
            <w:tcBorders>
              <w:top w:val="nil"/>
              <w:left w:val="single" w:sz="4" w:space="0" w:color="auto"/>
              <w:bottom w:val="single" w:sz="4" w:space="0" w:color="auto"/>
              <w:right w:val="single" w:sz="4" w:space="0" w:color="auto"/>
            </w:tcBorders>
            <w:shd w:val="clear" w:color="auto" w:fill="auto"/>
            <w:noWrap/>
            <w:vAlign w:val="bottom"/>
            <w:hideMark/>
          </w:tcPr>
          <w:p w14:paraId="4430961A"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122</w:t>
            </w:r>
          </w:p>
        </w:tc>
        <w:tc>
          <w:tcPr>
            <w:tcW w:w="541" w:type="pct"/>
            <w:tcBorders>
              <w:top w:val="nil"/>
              <w:left w:val="nil"/>
              <w:bottom w:val="single" w:sz="4" w:space="0" w:color="auto"/>
              <w:right w:val="single" w:sz="4" w:space="0" w:color="auto"/>
            </w:tcBorders>
            <w:shd w:val="clear" w:color="auto" w:fill="auto"/>
            <w:noWrap/>
            <w:vAlign w:val="bottom"/>
            <w:hideMark/>
          </w:tcPr>
          <w:p w14:paraId="16FB321F"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136</w:t>
            </w:r>
          </w:p>
        </w:tc>
        <w:tc>
          <w:tcPr>
            <w:tcW w:w="541" w:type="pct"/>
            <w:tcBorders>
              <w:top w:val="nil"/>
              <w:left w:val="nil"/>
              <w:bottom w:val="single" w:sz="4" w:space="0" w:color="auto"/>
              <w:right w:val="single" w:sz="4" w:space="0" w:color="auto"/>
            </w:tcBorders>
            <w:shd w:val="clear" w:color="auto" w:fill="auto"/>
            <w:noWrap/>
            <w:vAlign w:val="bottom"/>
            <w:hideMark/>
          </w:tcPr>
          <w:p w14:paraId="3DBE9E76"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150</w:t>
            </w:r>
          </w:p>
        </w:tc>
        <w:tc>
          <w:tcPr>
            <w:tcW w:w="514" w:type="pct"/>
            <w:tcBorders>
              <w:top w:val="nil"/>
              <w:left w:val="nil"/>
              <w:bottom w:val="single" w:sz="4" w:space="0" w:color="auto"/>
              <w:right w:val="single" w:sz="4" w:space="0" w:color="auto"/>
            </w:tcBorders>
            <w:shd w:val="clear" w:color="auto" w:fill="auto"/>
            <w:noWrap/>
            <w:vAlign w:val="bottom"/>
            <w:hideMark/>
          </w:tcPr>
          <w:p w14:paraId="54D1EE7B" w14:textId="77777777" w:rsidR="00ED241F" w:rsidRPr="007D1EDC" w:rsidRDefault="00ED241F" w:rsidP="00ED241F">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rPr>
              <w:t>167</w:t>
            </w:r>
          </w:p>
        </w:tc>
      </w:tr>
      <w:tr w:rsidR="00ED241F" w:rsidRPr="007D1EDC" w14:paraId="0E26765C" w14:textId="77777777" w:rsidTr="00ED241F">
        <w:trPr>
          <w:trHeight w:val="260"/>
        </w:trPr>
        <w:tc>
          <w:tcPr>
            <w:tcW w:w="2897" w:type="pct"/>
            <w:tcBorders>
              <w:top w:val="nil"/>
              <w:left w:val="single" w:sz="4" w:space="0" w:color="auto"/>
              <w:bottom w:val="single" w:sz="4" w:space="0" w:color="auto"/>
              <w:right w:val="single" w:sz="4" w:space="0" w:color="auto"/>
            </w:tcBorders>
            <w:vAlign w:val="center"/>
          </w:tcPr>
          <w:p w14:paraId="431C5C51" w14:textId="12D464D6" w:rsidR="00ED241F" w:rsidRPr="009F5CA1" w:rsidRDefault="00ED241F" w:rsidP="00ED241F">
            <w:pPr>
              <w:rPr>
                <w:rFonts w:ascii="Arial Narrow" w:hAnsi="Arial Narrow" w:cs="Calibri"/>
                <w:b/>
                <w:bCs/>
                <w:color w:val="000000"/>
                <w:sz w:val="20"/>
                <w:szCs w:val="20"/>
                <w:lang w:eastAsia="en-GB"/>
              </w:rPr>
            </w:pPr>
            <w:r w:rsidRPr="00ED241F">
              <w:rPr>
                <w:rFonts w:ascii="Arial Narrow" w:hAnsi="Arial Narrow" w:cs="Calibri"/>
                <w:b/>
                <w:bCs/>
                <w:color w:val="000000"/>
                <w:sz w:val="20"/>
                <w:szCs w:val="20"/>
              </w:rPr>
              <w:t>Kostot totale për rikuperimin e mbeturinave të përziera dhe deponim përfundimtar</w:t>
            </w:r>
          </w:p>
        </w:tc>
        <w:tc>
          <w:tcPr>
            <w:tcW w:w="507" w:type="pct"/>
            <w:tcBorders>
              <w:top w:val="nil"/>
              <w:left w:val="single" w:sz="4" w:space="0" w:color="auto"/>
              <w:bottom w:val="single" w:sz="4" w:space="0" w:color="auto"/>
              <w:right w:val="single" w:sz="4" w:space="0" w:color="auto"/>
            </w:tcBorders>
            <w:shd w:val="clear" w:color="auto" w:fill="auto"/>
            <w:noWrap/>
            <w:vAlign w:val="bottom"/>
            <w:hideMark/>
          </w:tcPr>
          <w:p w14:paraId="320E5C87" w14:textId="77777777" w:rsidR="00ED241F" w:rsidRPr="007D1EDC" w:rsidRDefault="00ED241F" w:rsidP="00ED241F">
            <w:pPr>
              <w:jc w:val="right"/>
              <w:rPr>
                <w:rFonts w:ascii="Arial Narrow" w:hAnsi="Arial Narrow" w:cs="Calibri"/>
                <w:b/>
                <w:bCs/>
                <w:color w:val="000000"/>
                <w:sz w:val="18"/>
                <w:szCs w:val="18"/>
                <w:lang w:val="en-GB" w:eastAsia="en-GB"/>
              </w:rPr>
            </w:pPr>
            <w:r w:rsidRPr="007D1EDC">
              <w:rPr>
                <w:rFonts w:ascii="Arial Narrow" w:hAnsi="Arial Narrow" w:cs="Calibri"/>
                <w:color w:val="000000"/>
                <w:sz w:val="18"/>
                <w:szCs w:val="18"/>
              </w:rPr>
              <w:t>2,393</w:t>
            </w:r>
          </w:p>
        </w:tc>
        <w:tc>
          <w:tcPr>
            <w:tcW w:w="541" w:type="pct"/>
            <w:tcBorders>
              <w:top w:val="nil"/>
              <w:left w:val="nil"/>
              <w:bottom w:val="single" w:sz="4" w:space="0" w:color="auto"/>
              <w:right w:val="single" w:sz="4" w:space="0" w:color="auto"/>
            </w:tcBorders>
            <w:shd w:val="clear" w:color="auto" w:fill="auto"/>
            <w:noWrap/>
            <w:vAlign w:val="bottom"/>
            <w:hideMark/>
          </w:tcPr>
          <w:p w14:paraId="6C007D5C" w14:textId="77777777" w:rsidR="00ED241F" w:rsidRPr="007D1EDC" w:rsidRDefault="00ED241F" w:rsidP="00ED241F">
            <w:pPr>
              <w:jc w:val="right"/>
              <w:rPr>
                <w:rFonts w:ascii="Arial Narrow" w:hAnsi="Arial Narrow" w:cs="Calibri"/>
                <w:b/>
                <w:bCs/>
                <w:color w:val="000000"/>
                <w:sz w:val="18"/>
                <w:szCs w:val="18"/>
                <w:lang w:val="en-GB" w:eastAsia="en-GB"/>
              </w:rPr>
            </w:pPr>
            <w:r w:rsidRPr="007D1EDC">
              <w:rPr>
                <w:rFonts w:ascii="Arial Narrow" w:hAnsi="Arial Narrow" w:cs="Calibri"/>
                <w:color w:val="000000"/>
                <w:sz w:val="18"/>
                <w:szCs w:val="18"/>
              </w:rPr>
              <w:t>2,396</w:t>
            </w:r>
          </w:p>
        </w:tc>
        <w:tc>
          <w:tcPr>
            <w:tcW w:w="541" w:type="pct"/>
            <w:tcBorders>
              <w:top w:val="nil"/>
              <w:left w:val="nil"/>
              <w:bottom w:val="single" w:sz="4" w:space="0" w:color="auto"/>
              <w:right w:val="single" w:sz="4" w:space="0" w:color="auto"/>
            </w:tcBorders>
            <w:shd w:val="clear" w:color="auto" w:fill="auto"/>
            <w:noWrap/>
            <w:vAlign w:val="bottom"/>
            <w:hideMark/>
          </w:tcPr>
          <w:p w14:paraId="69D615D9" w14:textId="77777777" w:rsidR="00ED241F" w:rsidRPr="007D1EDC" w:rsidRDefault="00ED241F" w:rsidP="00ED241F">
            <w:pPr>
              <w:jc w:val="right"/>
              <w:rPr>
                <w:rFonts w:ascii="Arial Narrow" w:hAnsi="Arial Narrow" w:cs="Calibri"/>
                <w:b/>
                <w:bCs/>
                <w:color w:val="000000"/>
                <w:sz w:val="18"/>
                <w:szCs w:val="18"/>
                <w:lang w:val="en-GB" w:eastAsia="en-GB"/>
              </w:rPr>
            </w:pPr>
            <w:r w:rsidRPr="007D1EDC">
              <w:rPr>
                <w:rFonts w:ascii="Arial Narrow" w:hAnsi="Arial Narrow" w:cs="Calibri"/>
                <w:color w:val="000000"/>
                <w:sz w:val="18"/>
                <w:szCs w:val="18"/>
              </w:rPr>
              <w:t>2,416</w:t>
            </w:r>
          </w:p>
        </w:tc>
        <w:tc>
          <w:tcPr>
            <w:tcW w:w="514" w:type="pct"/>
            <w:tcBorders>
              <w:top w:val="nil"/>
              <w:left w:val="nil"/>
              <w:bottom w:val="single" w:sz="4" w:space="0" w:color="auto"/>
              <w:right w:val="single" w:sz="4" w:space="0" w:color="auto"/>
            </w:tcBorders>
            <w:shd w:val="clear" w:color="auto" w:fill="auto"/>
            <w:noWrap/>
            <w:vAlign w:val="bottom"/>
            <w:hideMark/>
          </w:tcPr>
          <w:p w14:paraId="55112788" w14:textId="77777777" w:rsidR="00ED241F" w:rsidRPr="007D1EDC" w:rsidRDefault="00ED241F" w:rsidP="00ED241F">
            <w:pPr>
              <w:jc w:val="right"/>
              <w:rPr>
                <w:rFonts w:ascii="Arial Narrow" w:hAnsi="Arial Narrow" w:cs="Calibri"/>
                <w:b/>
                <w:bCs/>
                <w:color w:val="000000"/>
                <w:sz w:val="18"/>
                <w:szCs w:val="18"/>
                <w:lang w:val="en-GB" w:eastAsia="en-GB"/>
              </w:rPr>
            </w:pPr>
            <w:r w:rsidRPr="007D1EDC">
              <w:rPr>
                <w:rFonts w:ascii="Arial Narrow" w:hAnsi="Arial Narrow" w:cs="Calibri"/>
                <w:color w:val="000000"/>
                <w:sz w:val="18"/>
                <w:szCs w:val="18"/>
              </w:rPr>
              <w:t>2,429</w:t>
            </w:r>
          </w:p>
        </w:tc>
      </w:tr>
      <w:tr w:rsidR="00ED241F" w:rsidRPr="007D1EDC" w14:paraId="6014FF7F" w14:textId="77777777" w:rsidTr="00ED241F">
        <w:trPr>
          <w:trHeight w:val="250"/>
        </w:trPr>
        <w:tc>
          <w:tcPr>
            <w:tcW w:w="2897" w:type="pct"/>
            <w:tcBorders>
              <w:top w:val="nil"/>
              <w:left w:val="single" w:sz="4" w:space="0" w:color="auto"/>
              <w:bottom w:val="single" w:sz="4" w:space="0" w:color="auto"/>
              <w:right w:val="single" w:sz="4" w:space="0" w:color="auto"/>
            </w:tcBorders>
            <w:vAlign w:val="center"/>
          </w:tcPr>
          <w:p w14:paraId="749754C0" w14:textId="54E7CB97" w:rsidR="00ED241F" w:rsidRPr="009F5CA1" w:rsidRDefault="00ED241F" w:rsidP="00ED241F">
            <w:pPr>
              <w:rPr>
                <w:rFonts w:ascii="Arial Narrow" w:hAnsi="Arial Narrow" w:cs="Calibri"/>
                <w:color w:val="333F4F"/>
                <w:sz w:val="20"/>
                <w:szCs w:val="20"/>
                <w:lang w:eastAsia="en-GB"/>
              </w:rPr>
            </w:pPr>
            <w:r w:rsidRPr="00ED241F">
              <w:rPr>
                <w:rFonts w:ascii="Arial Narrow" w:hAnsi="Arial Narrow" w:cs="Calibri"/>
                <w:color w:val="000000"/>
                <w:sz w:val="20"/>
                <w:szCs w:val="20"/>
              </w:rPr>
              <w:t>Kostoja totale për ton të mbeturinave të pranuara për rikuperimin e mbeturinave, përfshirë. deponimin – deponia dhe shfrytëzimi i RDF/KDM</w:t>
            </w:r>
          </w:p>
        </w:tc>
        <w:tc>
          <w:tcPr>
            <w:tcW w:w="507" w:type="pct"/>
            <w:tcBorders>
              <w:top w:val="nil"/>
              <w:left w:val="single" w:sz="4" w:space="0" w:color="auto"/>
              <w:bottom w:val="single" w:sz="4" w:space="0" w:color="auto"/>
              <w:right w:val="single" w:sz="4" w:space="0" w:color="auto"/>
            </w:tcBorders>
            <w:shd w:val="clear" w:color="auto" w:fill="auto"/>
            <w:noWrap/>
            <w:vAlign w:val="bottom"/>
            <w:hideMark/>
          </w:tcPr>
          <w:p w14:paraId="6C9B45D4" w14:textId="77777777" w:rsidR="00ED241F" w:rsidRPr="007D1EDC" w:rsidRDefault="00ED241F" w:rsidP="00ED241F">
            <w:pPr>
              <w:jc w:val="right"/>
              <w:rPr>
                <w:rFonts w:ascii="Arial Narrow" w:hAnsi="Arial Narrow" w:cs="Calibri"/>
                <w:b/>
                <w:bCs/>
                <w:color w:val="333F4F"/>
                <w:sz w:val="18"/>
                <w:szCs w:val="18"/>
                <w:lang w:val="en-GB" w:eastAsia="en-GB"/>
              </w:rPr>
            </w:pPr>
            <w:r w:rsidRPr="007D1EDC">
              <w:rPr>
                <w:rFonts w:ascii="Arial Narrow" w:hAnsi="Arial Narrow" w:cs="Calibri"/>
                <w:b/>
                <w:bCs/>
                <w:color w:val="000000"/>
                <w:sz w:val="18"/>
                <w:szCs w:val="18"/>
              </w:rPr>
              <w:t>56 €/t</w:t>
            </w:r>
          </w:p>
        </w:tc>
        <w:tc>
          <w:tcPr>
            <w:tcW w:w="541" w:type="pct"/>
            <w:tcBorders>
              <w:top w:val="nil"/>
              <w:left w:val="nil"/>
              <w:bottom w:val="single" w:sz="4" w:space="0" w:color="auto"/>
              <w:right w:val="single" w:sz="4" w:space="0" w:color="auto"/>
            </w:tcBorders>
            <w:shd w:val="clear" w:color="auto" w:fill="auto"/>
            <w:noWrap/>
            <w:vAlign w:val="bottom"/>
            <w:hideMark/>
          </w:tcPr>
          <w:p w14:paraId="1BD2CE6E" w14:textId="77777777" w:rsidR="00ED241F" w:rsidRPr="007D1EDC" w:rsidRDefault="00ED241F" w:rsidP="00ED241F">
            <w:pPr>
              <w:jc w:val="right"/>
              <w:rPr>
                <w:rFonts w:ascii="Arial Narrow" w:hAnsi="Arial Narrow" w:cs="Calibri"/>
                <w:b/>
                <w:bCs/>
                <w:color w:val="333F4F"/>
                <w:sz w:val="18"/>
                <w:szCs w:val="18"/>
                <w:lang w:val="en-GB" w:eastAsia="en-GB"/>
              </w:rPr>
            </w:pPr>
            <w:r w:rsidRPr="007D1EDC">
              <w:rPr>
                <w:rFonts w:ascii="Arial Narrow" w:hAnsi="Arial Narrow" w:cs="Calibri"/>
                <w:b/>
                <w:bCs/>
                <w:color w:val="000000"/>
                <w:sz w:val="18"/>
                <w:szCs w:val="18"/>
              </w:rPr>
              <w:t>58 €/t</w:t>
            </w:r>
          </w:p>
        </w:tc>
        <w:tc>
          <w:tcPr>
            <w:tcW w:w="541" w:type="pct"/>
            <w:tcBorders>
              <w:top w:val="nil"/>
              <w:left w:val="nil"/>
              <w:bottom w:val="single" w:sz="4" w:space="0" w:color="auto"/>
              <w:right w:val="single" w:sz="4" w:space="0" w:color="auto"/>
            </w:tcBorders>
            <w:shd w:val="clear" w:color="auto" w:fill="auto"/>
            <w:noWrap/>
            <w:vAlign w:val="bottom"/>
            <w:hideMark/>
          </w:tcPr>
          <w:p w14:paraId="0146018B" w14:textId="77777777" w:rsidR="00ED241F" w:rsidRPr="007D1EDC" w:rsidRDefault="00ED241F" w:rsidP="00ED241F">
            <w:pPr>
              <w:jc w:val="right"/>
              <w:rPr>
                <w:rFonts w:ascii="Arial Narrow" w:hAnsi="Arial Narrow" w:cs="Calibri"/>
                <w:b/>
                <w:bCs/>
                <w:color w:val="333F4F"/>
                <w:sz w:val="18"/>
                <w:szCs w:val="18"/>
                <w:lang w:val="en-GB" w:eastAsia="en-GB"/>
              </w:rPr>
            </w:pPr>
            <w:r w:rsidRPr="007D1EDC">
              <w:rPr>
                <w:rFonts w:ascii="Arial Narrow" w:hAnsi="Arial Narrow" w:cs="Calibri"/>
                <w:b/>
                <w:bCs/>
                <w:color w:val="000000"/>
                <w:sz w:val="18"/>
                <w:szCs w:val="18"/>
              </w:rPr>
              <w:t>60 €/t</w:t>
            </w:r>
          </w:p>
        </w:tc>
        <w:tc>
          <w:tcPr>
            <w:tcW w:w="514" w:type="pct"/>
            <w:tcBorders>
              <w:top w:val="nil"/>
              <w:left w:val="nil"/>
              <w:bottom w:val="single" w:sz="4" w:space="0" w:color="auto"/>
              <w:right w:val="single" w:sz="4" w:space="0" w:color="auto"/>
            </w:tcBorders>
            <w:shd w:val="clear" w:color="auto" w:fill="auto"/>
            <w:noWrap/>
            <w:vAlign w:val="bottom"/>
            <w:hideMark/>
          </w:tcPr>
          <w:p w14:paraId="75B5F215" w14:textId="77777777" w:rsidR="00ED241F" w:rsidRPr="007D1EDC" w:rsidRDefault="00ED241F" w:rsidP="00ED241F">
            <w:pPr>
              <w:jc w:val="right"/>
              <w:rPr>
                <w:rFonts w:ascii="Arial Narrow" w:hAnsi="Arial Narrow" w:cs="Calibri"/>
                <w:b/>
                <w:bCs/>
                <w:color w:val="333F4F"/>
                <w:sz w:val="18"/>
                <w:szCs w:val="18"/>
                <w:lang w:val="en-GB" w:eastAsia="en-GB"/>
              </w:rPr>
            </w:pPr>
            <w:r w:rsidRPr="007D1EDC">
              <w:rPr>
                <w:rFonts w:ascii="Arial Narrow" w:hAnsi="Arial Narrow" w:cs="Calibri"/>
                <w:b/>
                <w:bCs/>
                <w:color w:val="000000"/>
                <w:sz w:val="18"/>
                <w:szCs w:val="18"/>
              </w:rPr>
              <w:t>62 €/t</w:t>
            </w:r>
          </w:p>
        </w:tc>
      </w:tr>
    </w:tbl>
    <w:p w14:paraId="209A97DC" w14:textId="77777777" w:rsidR="007D1EDC" w:rsidRDefault="007D1EDC" w:rsidP="007D1EDC">
      <w:pPr>
        <w:spacing w:before="119" w:after="14"/>
        <w:rPr>
          <w:rFonts w:ascii="Arial Narrow" w:hAnsi="Arial Narrow" w:cs="Calibri"/>
          <w:sz w:val="22"/>
          <w:szCs w:val="22"/>
          <w:lang w:eastAsia="en-GB"/>
        </w:rPr>
      </w:pPr>
    </w:p>
    <w:p w14:paraId="31FAE11D" w14:textId="77777777" w:rsidR="00ED241F" w:rsidRPr="007D1EDC" w:rsidRDefault="00ED241F" w:rsidP="007D1EDC">
      <w:pPr>
        <w:spacing w:before="119" w:after="14"/>
        <w:rPr>
          <w:rFonts w:ascii="Arial Narrow" w:hAnsi="Arial Narrow" w:cs="Calibri"/>
          <w:sz w:val="22"/>
          <w:szCs w:val="22"/>
          <w:lang w:eastAsia="en-GB"/>
        </w:rPr>
      </w:pPr>
    </w:p>
    <w:p w14:paraId="65C09BE6" w14:textId="77777777" w:rsidR="007D1EDC" w:rsidRPr="007D1EDC" w:rsidRDefault="007D1EDC" w:rsidP="002E4DDE">
      <w:pPr>
        <w:pStyle w:val="Heading3"/>
        <w:ind w:left="1134" w:hanging="1134"/>
      </w:pPr>
      <w:bookmarkStart w:id="674" w:name="_Toc190967412"/>
      <w:bookmarkStart w:id="675" w:name="_Toc197472061"/>
      <w:r w:rsidRPr="007D1EDC">
        <w:lastRenderedPageBreak/>
        <w:t>Plani i financimit</w:t>
      </w:r>
      <w:bookmarkEnd w:id="674"/>
      <w:bookmarkEnd w:id="675"/>
    </w:p>
    <w:p w14:paraId="2929C39D" w14:textId="77777777" w:rsidR="007D1EDC" w:rsidRPr="00ED241F" w:rsidRDefault="007D1EDC" w:rsidP="007D1EDC">
      <w:pPr>
        <w:rPr>
          <w:rFonts w:ascii="Arial Narrow" w:hAnsi="Arial Narrow"/>
          <w:sz w:val="22"/>
          <w:szCs w:val="22"/>
          <w:lang w:val="bg-BG"/>
        </w:rPr>
      </w:pPr>
    </w:p>
    <w:p w14:paraId="5009A823" w14:textId="77777777" w:rsidR="00ED241F" w:rsidRPr="00ED241F" w:rsidRDefault="00ED241F" w:rsidP="00ED241F">
      <w:pPr>
        <w:rPr>
          <w:rFonts w:ascii="Arial Narrow" w:hAnsi="Arial Narrow"/>
          <w:sz w:val="22"/>
          <w:szCs w:val="22"/>
        </w:rPr>
      </w:pPr>
      <w:bookmarkStart w:id="676" w:name="_Hlk195525577"/>
      <w:r w:rsidRPr="00ED241F">
        <w:rPr>
          <w:rFonts w:ascii="Arial Narrow" w:hAnsi="Arial Narrow"/>
          <w:sz w:val="22"/>
          <w:szCs w:val="22"/>
        </w:rPr>
        <w:t>Tabela e mëposhtme përmbledh investimet e parashikuara për masat e planifikuara për periudhën 2025-2031 në ZMM:</w:t>
      </w:r>
    </w:p>
    <w:p w14:paraId="7C8F75C8" w14:textId="77777777" w:rsidR="007D1EDC" w:rsidRPr="00ED241F" w:rsidRDefault="007D1EDC" w:rsidP="007D1EDC">
      <w:pPr>
        <w:rPr>
          <w:rFonts w:ascii="Arial Narrow" w:hAnsi="Arial Narrow"/>
          <w:sz w:val="22"/>
          <w:szCs w:val="22"/>
        </w:rPr>
      </w:pPr>
    </w:p>
    <w:p w14:paraId="26A684E0" w14:textId="72D8700B" w:rsidR="007D1EDC" w:rsidRPr="007D1EDC" w:rsidRDefault="007D1EDC" w:rsidP="007D1EDC">
      <w:pPr>
        <w:suppressAutoHyphens/>
        <w:rPr>
          <w:rFonts w:ascii="Arial Narrow" w:eastAsia="Calibri" w:hAnsi="Arial Narrow" w:cs="Calibri"/>
          <w:color w:val="1F497D"/>
          <w:sz w:val="20"/>
          <w:szCs w:val="20"/>
        </w:rPr>
      </w:pPr>
      <w:bookmarkStart w:id="677" w:name="_Toc155341059"/>
      <w:bookmarkStart w:id="678" w:name="_Toc190966795"/>
      <w:bookmarkStart w:id="679" w:name="_Toc197472292"/>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107.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 xml:space="preserve">Përmbledhje e planit </w:t>
      </w:r>
      <w:r w:rsidR="00ED241F">
        <w:rPr>
          <w:rFonts w:ascii="Arial Narrow" w:eastAsia="Calibri" w:hAnsi="Arial Narrow" w:cs="Calibri"/>
          <w:color w:val="1F497D"/>
          <w:sz w:val="20"/>
          <w:szCs w:val="20"/>
        </w:rPr>
        <w:t xml:space="preserve">afatgjatë </w:t>
      </w:r>
      <w:r w:rsidRPr="007D1EDC">
        <w:rPr>
          <w:rFonts w:ascii="Arial Narrow" w:eastAsia="Calibri" w:hAnsi="Arial Narrow" w:cs="Calibri"/>
          <w:color w:val="1F497D"/>
          <w:sz w:val="20"/>
          <w:szCs w:val="20"/>
        </w:rPr>
        <w:t>të investim</w:t>
      </w:r>
      <w:r w:rsidR="00ED241F">
        <w:rPr>
          <w:rFonts w:ascii="Arial Narrow" w:eastAsia="Calibri" w:hAnsi="Arial Narrow" w:cs="Calibri"/>
          <w:color w:val="1F497D"/>
          <w:sz w:val="20"/>
          <w:szCs w:val="20"/>
        </w:rPr>
        <w:t>it</w:t>
      </w:r>
      <w:r w:rsidRPr="007D1EDC">
        <w:rPr>
          <w:rFonts w:ascii="Arial Narrow" w:eastAsia="Calibri" w:hAnsi="Arial Narrow" w:cs="Calibri"/>
          <w:color w:val="1F497D"/>
          <w:sz w:val="20"/>
          <w:szCs w:val="20"/>
        </w:rPr>
        <w:t>, mijë euro</w:t>
      </w:r>
      <w:bookmarkEnd w:id="677"/>
      <w:bookmarkEnd w:id="678"/>
      <w:bookmarkEnd w:id="6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5"/>
        <w:gridCol w:w="778"/>
        <w:gridCol w:w="627"/>
        <w:gridCol w:w="609"/>
        <w:gridCol w:w="618"/>
        <w:gridCol w:w="620"/>
        <w:gridCol w:w="718"/>
        <w:gridCol w:w="991"/>
      </w:tblGrid>
      <w:tr w:rsidR="007D1EDC" w:rsidRPr="007D1EDC" w14:paraId="4B26AA94" w14:textId="77777777" w:rsidTr="004227A0">
        <w:trPr>
          <w:trHeight w:val="220"/>
          <w:tblHeader/>
        </w:trPr>
        <w:tc>
          <w:tcPr>
            <w:tcW w:w="1935" w:type="pct"/>
            <w:shd w:val="clear" w:color="auto" w:fill="365F91"/>
            <w:noWrap/>
            <w:vAlign w:val="bottom"/>
            <w:hideMark/>
          </w:tcPr>
          <w:p w14:paraId="5D444BBB" w14:textId="77777777" w:rsidR="007D1EDC" w:rsidRPr="009F5CA1" w:rsidRDefault="007D1EDC" w:rsidP="007D1EDC">
            <w:pPr>
              <w:rPr>
                <w:rFonts w:ascii="Arial Narrow" w:hAnsi="Arial Narrow"/>
                <w:color w:val="FFFFFF" w:themeColor="background1"/>
                <w:sz w:val="20"/>
                <w:szCs w:val="20"/>
                <w:lang w:eastAsia="en-GB"/>
              </w:rPr>
            </w:pPr>
          </w:p>
        </w:tc>
        <w:tc>
          <w:tcPr>
            <w:tcW w:w="486" w:type="pct"/>
            <w:shd w:val="clear" w:color="auto" w:fill="365F91"/>
            <w:noWrap/>
            <w:vAlign w:val="center"/>
            <w:hideMark/>
          </w:tcPr>
          <w:p w14:paraId="201A3448"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2026</w:t>
            </w:r>
          </w:p>
        </w:tc>
        <w:tc>
          <w:tcPr>
            <w:tcW w:w="397" w:type="pct"/>
            <w:shd w:val="clear" w:color="auto" w:fill="365F91"/>
            <w:noWrap/>
            <w:vAlign w:val="center"/>
            <w:hideMark/>
          </w:tcPr>
          <w:p w14:paraId="28545E7D"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2027</w:t>
            </w:r>
          </w:p>
        </w:tc>
        <w:tc>
          <w:tcPr>
            <w:tcW w:w="397" w:type="pct"/>
            <w:shd w:val="clear" w:color="auto" w:fill="365F91"/>
            <w:noWrap/>
            <w:vAlign w:val="center"/>
            <w:hideMark/>
          </w:tcPr>
          <w:p w14:paraId="47B99AF4"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2028</w:t>
            </w:r>
          </w:p>
        </w:tc>
        <w:tc>
          <w:tcPr>
            <w:tcW w:w="397" w:type="pct"/>
            <w:shd w:val="clear" w:color="auto" w:fill="365F91"/>
            <w:noWrap/>
            <w:vAlign w:val="center"/>
            <w:hideMark/>
          </w:tcPr>
          <w:p w14:paraId="367A6FAA"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2029</w:t>
            </w:r>
          </w:p>
        </w:tc>
        <w:tc>
          <w:tcPr>
            <w:tcW w:w="398" w:type="pct"/>
            <w:shd w:val="clear" w:color="auto" w:fill="365F91"/>
            <w:noWrap/>
            <w:vAlign w:val="center"/>
            <w:hideMark/>
          </w:tcPr>
          <w:p w14:paraId="121A8B40"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2030</w:t>
            </w:r>
          </w:p>
        </w:tc>
        <w:tc>
          <w:tcPr>
            <w:tcW w:w="440" w:type="pct"/>
            <w:shd w:val="clear" w:color="auto" w:fill="365F91"/>
            <w:noWrap/>
            <w:vAlign w:val="center"/>
            <w:hideMark/>
          </w:tcPr>
          <w:p w14:paraId="1F5CDC76"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2031</w:t>
            </w:r>
          </w:p>
        </w:tc>
        <w:tc>
          <w:tcPr>
            <w:tcW w:w="550" w:type="pct"/>
            <w:shd w:val="clear" w:color="auto" w:fill="365F91"/>
            <w:noWrap/>
            <w:vAlign w:val="center"/>
            <w:hideMark/>
          </w:tcPr>
          <w:p w14:paraId="488255E9" w14:textId="77777777" w:rsidR="007D1EDC" w:rsidRPr="007D1EDC" w:rsidRDefault="007D1EDC" w:rsidP="007D1EDC">
            <w:pPr>
              <w:rPr>
                <w:rFonts w:ascii="Arial Narrow" w:hAnsi="Arial Narrow" w:cs="Calibri"/>
                <w:b/>
                <w:bCs/>
                <w:color w:val="FFFFFF" w:themeColor="background1"/>
                <w:sz w:val="20"/>
                <w:szCs w:val="20"/>
                <w:lang w:val="en-GB" w:eastAsia="en-GB"/>
              </w:rPr>
            </w:pPr>
            <w:proofErr w:type="spellStart"/>
            <w:r w:rsidRPr="007D1EDC">
              <w:rPr>
                <w:rFonts w:ascii="Arial Narrow" w:hAnsi="Arial Narrow" w:cs="Calibri"/>
                <w:b/>
                <w:bCs/>
                <w:color w:val="FFFFFF" w:themeColor="background1"/>
                <w:sz w:val="20"/>
                <w:szCs w:val="20"/>
                <w:lang w:val="en-GB" w:eastAsia="en-GB"/>
              </w:rPr>
              <w:t>Burimi</w:t>
            </w:r>
            <w:proofErr w:type="spellEnd"/>
          </w:p>
        </w:tc>
      </w:tr>
      <w:tr w:rsidR="007D1EDC" w:rsidRPr="007D1EDC" w14:paraId="31678B00" w14:textId="77777777" w:rsidTr="004227A0">
        <w:trPr>
          <w:trHeight w:val="210"/>
        </w:trPr>
        <w:tc>
          <w:tcPr>
            <w:tcW w:w="1935" w:type="pct"/>
            <w:shd w:val="clear" w:color="auto" w:fill="auto"/>
            <w:noWrap/>
            <w:vAlign w:val="bottom"/>
            <w:hideMark/>
          </w:tcPr>
          <w:p w14:paraId="256ACEED" w14:textId="77777777" w:rsidR="007D1EDC" w:rsidRPr="007D1EDC" w:rsidRDefault="007D1EDC" w:rsidP="007D1EDC">
            <w:pPr>
              <w:rPr>
                <w:rFonts w:ascii="Arial Narrow" w:hAnsi="Arial Narrow" w:cs="Calibri"/>
                <w:b/>
                <w:bCs/>
                <w:color w:val="333F4F"/>
                <w:sz w:val="20"/>
                <w:szCs w:val="20"/>
                <w:lang w:val="en-GB" w:eastAsia="en-GB"/>
              </w:rPr>
            </w:pPr>
          </w:p>
        </w:tc>
        <w:tc>
          <w:tcPr>
            <w:tcW w:w="486" w:type="pct"/>
            <w:shd w:val="clear" w:color="auto" w:fill="auto"/>
            <w:noWrap/>
            <w:vAlign w:val="center"/>
            <w:hideMark/>
          </w:tcPr>
          <w:p w14:paraId="0D9127CD" w14:textId="77777777" w:rsidR="007D1EDC" w:rsidRPr="007D1EDC" w:rsidRDefault="007D1EDC" w:rsidP="007D1EDC">
            <w:pPr>
              <w:rPr>
                <w:rFonts w:ascii="Arial Narrow" w:hAnsi="Arial Narrow" w:cs="Calibri"/>
                <w:b/>
                <w:bCs/>
                <w:color w:val="333F4F"/>
                <w:sz w:val="20"/>
                <w:szCs w:val="20"/>
                <w:lang w:val="en-GB" w:eastAsia="en-GB"/>
              </w:rPr>
            </w:pPr>
            <w:proofErr w:type="spellStart"/>
            <w:r w:rsidRPr="007D1EDC">
              <w:rPr>
                <w:rFonts w:ascii="Arial Narrow" w:hAnsi="Arial Narrow" w:cs="Calibri"/>
                <w:b/>
                <w:bCs/>
                <w:color w:val="333F4F"/>
                <w:sz w:val="20"/>
                <w:szCs w:val="20"/>
                <w:lang w:val="en-GB" w:eastAsia="en-GB"/>
              </w:rPr>
              <w:t>Faza</w:t>
            </w:r>
            <w:proofErr w:type="spellEnd"/>
            <w:r w:rsidRPr="007D1EDC">
              <w:rPr>
                <w:rFonts w:ascii="Arial Narrow" w:hAnsi="Arial Narrow" w:cs="Calibri"/>
                <w:b/>
                <w:bCs/>
                <w:color w:val="333F4F"/>
                <w:sz w:val="20"/>
                <w:szCs w:val="20"/>
                <w:lang w:val="en-GB" w:eastAsia="en-GB"/>
              </w:rPr>
              <w:t xml:space="preserve"> I</w:t>
            </w:r>
          </w:p>
        </w:tc>
        <w:tc>
          <w:tcPr>
            <w:tcW w:w="397" w:type="pct"/>
            <w:shd w:val="clear" w:color="auto" w:fill="auto"/>
            <w:noWrap/>
            <w:vAlign w:val="center"/>
            <w:hideMark/>
          </w:tcPr>
          <w:p w14:paraId="14B0A4D0" w14:textId="77777777" w:rsidR="007D1EDC" w:rsidRPr="007D1EDC" w:rsidRDefault="007D1EDC" w:rsidP="007D1EDC">
            <w:pPr>
              <w:rPr>
                <w:rFonts w:ascii="Arial Narrow" w:hAnsi="Arial Narrow"/>
                <w:sz w:val="20"/>
                <w:szCs w:val="20"/>
                <w:lang w:val="en-GB" w:eastAsia="en-GB"/>
              </w:rPr>
            </w:pPr>
          </w:p>
        </w:tc>
        <w:tc>
          <w:tcPr>
            <w:tcW w:w="397" w:type="pct"/>
            <w:shd w:val="clear" w:color="auto" w:fill="auto"/>
            <w:noWrap/>
            <w:vAlign w:val="center"/>
            <w:hideMark/>
          </w:tcPr>
          <w:p w14:paraId="57AF8206" w14:textId="77777777" w:rsidR="007D1EDC" w:rsidRPr="007D1EDC" w:rsidRDefault="007D1EDC" w:rsidP="007D1EDC">
            <w:pPr>
              <w:rPr>
                <w:rFonts w:ascii="Arial Narrow" w:hAnsi="Arial Narrow"/>
                <w:sz w:val="20"/>
                <w:szCs w:val="20"/>
                <w:lang w:val="en-GB" w:eastAsia="en-GB"/>
              </w:rPr>
            </w:pPr>
          </w:p>
        </w:tc>
        <w:tc>
          <w:tcPr>
            <w:tcW w:w="397" w:type="pct"/>
            <w:shd w:val="clear" w:color="auto" w:fill="auto"/>
            <w:noWrap/>
            <w:vAlign w:val="center"/>
            <w:hideMark/>
          </w:tcPr>
          <w:p w14:paraId="031BFE72" w14:textId="77777777" w:rsidR="007D1EDC" w:rsidRPr="007D1EDC" w:rsidRDefault="007D1EDC" w:rsidP="007D1EDC">
            <w:pPr>
              <w:rPr>
                <w:rFonts w:ascii="Arial Narrow" w:hAnsi="Arial Narrow"/>
                <w:sz w:val="20"/>
                <w:szCs w:val="20"/>
                <w:lang w:val="en-GB" w:eastAsia="en-GB"/>
              </w:rPr>
            </w:pPr>
          </w:p>
        </w:tc>
        <w:tc>
          <w:tcPr>
            <w:tcW w:w="398" w:type="pct"/>
            <w:shd w:val="clear" w:color="auto" w:fill="auto"/>
            <w:noWrap/>
            <w:vAlign w:val="center"/>
            <w:hideMark/>
          </w:tcPr>
          <w:p w14:paraId="63FCFBDB" w14:textId="77777777" w:rsidR="007D1EDC" w:rsidRPr="007D1EDC" w:rsidRDefault="007D1EDC" w:rsidP="007D1EDC">
            <w:pPr>
              <w:rPr>
                <w:rFonts w:ascii="Arial Narrow" w:hAnsi="Arial Narrow"/>
                <w:sz w:val="20"/>
                <w:szCs w:val="20"/>
                <w:lang w:val="en-GB" w:eastAsia="en-GB"/>
              </w:rPr>
            </w:pPr>
          </w:p>
        </w:tc>
        <w:tc>
          <w:tcPr>
            <w:tcW w:w="440" w:type="pct"/>
            <w:shd w:val="clear" w:color="auto" w:fill="auto"/>
            <w:noWrap/>
            <w:vAlign w:val="center"/>
            <w:hideMark/>
          </w:tcPr>
          <w:p w14:paraId="7B56F359" w14:textId="77777777" w:rsidR="007D1EDC" w:rsidRPr="007D1EDC" w:rsidRDefault="007D1EDC" w:rsidP="007D1EDC">
            <w:pPr>
              <w:rPr>
                <w:rFonts w:ascii="Arial Narrow" w:hAnsi="Arial Narrow"/>
                <w:sz w:val="20"/>
                <w:szCs w:val="20"/>
                <w:lang w:val="en-GB" w:eastAsia="en-GB"/>
              </w:rPr>
            </w:pPr>
            <w:proofErr w:type="spellStart"/>
            <w:r w:rsidRPr="007D1EDC">
              <w:rPr>
                <w:rFonts w:ascii="Arial Narrow" w:hAnsi="Arial Narrow" w:cs="Calibri"/>
                <w:b/>
                <w:bCs/>
                <w:color w:val="333F4F"/>
                <w:sz w:val="20"/>
                <w:szCs w:val="20"/>
                <w:lang w:val="en-GB" w:eastAsia="en-GB"/>
              </w:rPr>
              <w:t>Faza</w:t>
            </w:r>
            <w:proofErr w:type="spellEnd"/>
            <w:r w:rsidRPr="007D1EDC">
              <w:rPr>
                <w:rFonts w:ascii="Arial Narrow" w:hAnsi="Arial Narrow" w:cs="Calibri"/>
                <w:b/>
                <w:bCs/>
                <w:color w:val="333F4F"/>
                <w:sz w:val="20"/>
                <w:szCs w:val="20"/>
                <w:lang w:val="en-GB" w:eastAsia="en-GB"/>
              </w:rPr>
              <w:t xml:space="preserve"> II</w:t>
            </w:r>
          </w:p>
        </w:tc>
        <w:tc>
          <w:tcPr>
            <w:tcW w:w="550" w:type="pct"/>
            <w:shd w:val="clear" w:color="auto" w:fill="auto"/>
            <w:noWrap/>
            <w:vAlign w:val="center"/>
            <w:hideMark/>
          </w:tcPr>
          <w:p w14:paraId="51C298AA" w14:textId="77777777" w:rsidR="007D1EDC" w:rsidRPr="007D1EDC" w:rsidRDefault="007D1EDC" w:rsidP="007D1EDC">
            <w:pPr>
              <w:rPr>
                <w:rFonts w:ascii="Arial Narrow" w:hAnsi="Arial Narrow" w:cs="Calibri"/>
                <w:b/>
                <w:bCs/>
                <w:color w:val="333F4F"/>
                <w:sz w:val="20"/>
                <w:szCs w:val="20"/>
                <w:lang w:val="en-GB" w:eastAsia="en-GB"/>
              </w:rPr>
            </w:pPr>
            <w:r w:rsidRPr="007D1EDC">
              <w:rPr>
                <w:rFonts w:ascii="Arial Narrow" w:hAnsi="Arial Narrow" w:cs="Calibri"/>
                <w:b/>
                <w:bCs/>
                <w:color w:val="333F4F"/>
                <w:sz w:val="20"/>
                <w:szCs w:val="20"/>
                <w:lang w:val="en-GB" w:eastAsia="en-GB"/>
              </w:rPr>
              <w:t> </w:t>
            </w:r>
          </w:p>
        </w:tc>
      </w:tr>
      <w:tr w:rsidR="004227A0" w:rsidRPr="007D1EDC" w14:paraId="2E4FF89C" w14:textId="77777777" w:rsidTr="004227A0">
        <w:trPr>
          <w:trHeight w:val="220"/>
        </w:trPr>
        <w:tc>
          <w:tcPr>
            <w:tcW w:w="1935" w:type="pct"/>
            <w:shd w:val="clear" w:color="auto" w:fill="auto"/>
            <w:noWrap/>
            <w:vAlign w:val="bottom"/>
            <w:hideMark/>
          </w:tcPr>
          <w:p w14:paraId="1C5FFE79" w14:textId="77777777" w:rsidR="004227A0" w:rsidRPr="009F5CA1" w:rsidRDefault="004227A0" w:rsidP="004227A0">
            <w:pPr>
              <w:rPr>
                <w:rFonts w:ascii="Arial Narrow" w:hAnsi="Arial Narrow" w:cs="Calibri"/>
                <w:color w:val="000000"/>
                <w:sz w:val="20"/>
                <w:szCs w:val="20"/>
                <w:lang w:val="es-ES" w:eastAsia="en-GB"/>
              </w:rPr>
            </w:pPr>
            <w:proofErr w:type="spellStart"/>
            <w:r w:rsidRPr="009F5CA1">
              <w:rPr>
                <w:rFonts w:ascii="Arial Narrow" w:hAnsi="Arial Narrow" w:cs="Calibri"/>
                <w:color w:val="000000"/>
                <w:sz w:val="20"/>
                <w:szCs w:val="20"/>
                <w:lang w:val="es-ES" w:eastAsia="en-GB"/>
              </w:rPr>
              <w:t>Pajisjet</w:t>
            </w:r>
            <w:proofErr w:type="spellEnd"/>
            <w:r w:rsidRPr="009F5CA1">
              <w:rPr>
                <w:rFonts w:ascii="Arial Narrow" w:hAnsi="Arial Narrow" w:cs="Calibri"/>
                <w:color w:val="000000"/>
                <w:sz w:val="20"/>
                <w:szCs w:val="20"/>
                <w:lang w:val="es-ES" w:eastAsia="en-GB"/>
              </w:rPr>
              <w:t xml:space="preserve"> e </w:t>
            </w:r>
            <w:proofErr w:type="spellStart"/>
            <w:r w:rsidRPr="009F5CA1">
              <w:rPr>
                <w:rFonts w:ascii="Arial Narrow" w:hAnsi="Arial Narrow" w:cs="Calibri"/>
                <w:color w:val="000000"/>
                <w:sz w:val="20"/>
                <w:szCs w:val="20"/>
                <w:lang w:val="es-ES" w:eastAsia="en-GB"/>
              </w:rPr>
              <w:t>grumbullimit</w:t>
            </w:r>
            <w:proofErr w:type="spellEnd"/>
            <w:r w:rsidRPr="009F5CA1">
              <w:rPr>
                <w:rFonts w:ascii="Arial Narrow" w:hAnsi="Arial Narrow" w:cs="Calibri"/>
                <w:color w:val="000000"/>
                <w:sz w:val="20"/>
                <w:szCs w:val="20"/>
                <w:lang w:val="es-ES" w:eastAsia="en-GB"/>
              </w:rPr>
              <w:t xml:space="preserve"> </w:t>
            </w:r>
            <w:proofErr w:type="spellStart"/>
            <w:r w:rsidRPr="009F5CA1">
              <w:rPr>
                <w:rFonts w:ascii="Arial Narrow" w:hAnsi="Arial Narrow" w:cs="Calibri"/>
                <w:color w:val="000000"/>
                <w:sz w:val="20"/>
                <w:szCs w:val="20"/>
                <w:lang w:val="es-ES" w:eastAsia="en-GB"/>
              </w:rPr>
              <w:t>ndaras</w:t>
            </w:r>
            <w:proofErr w:type="spellEnd"/>
            <w:r w:rsidRPr="009F5CA1">
              <w:rPr>
                <w:rFonts w:ascii="Arial Narrow" w:hAnsi="Arial Narrow" w:cs="Calibri"/>
                <w:color w:val="000000"/>
                <w:sz w:val="20"/>
                <w:szCs w:val="20"/>
                <w:lang w:val="es-ES" w:eastAsia="en-GB"/>
              </w:rPr>
              <w:t xml:space="preserve"> </w:t>
            </w:r>
            <w:proofErr w:type="spellStart"/>
            <w:r w:rsidRPr="009F5CA1">
              <w:rPr>
                <w:rFonts w:ascii="Arial Narrow" w:hAnsi="Arial Narrow" w:cs="Calibri"/>
                <w:color w:val="000000"/>
                <w:sz w:val="20"/>
                <w:szCs w:val="20"/>
                <w:lang w:val="es-ES" w:eastAsia="en-GB"/>
              </w:rPr>
              <w:t>të</w:t>
            </w:r>
            <w:proofErr w:type="spellEnd"/>
            <w:r w:rsidRPr="009F5CA1">
              <w:rPr>
                <w:rFonts w:ascii="Arial Narrow" w:hAnsi="Arial Narrow" w:cs="Calibri"/>
                <w:color w:val="000000"/>
                <w:sz w:val="20"/>
                <w:szCs w:val="20"/>
                <w:lang w:val="es-ES" w:eastAsia="en-GB"/>
              </w:rPr>
              <w:t xml:space="preserve"> </w:t>
            </w:r>
            <w:proofErr w:type="spellStart"/>
            <w:r w:rsidRPr="009F5CA1">
              <w:rPr>
                <w:rFonts w:ascii="Arial Narrow" w:hAnsi="Arial Narrow" w:cs="Calibri"/>
                <w:color w:val="000000"/>
                <w:sz w:val="20"/>
                <w:szCs w:val="20"/>
                <w:lang w:val="es-ES" w:eastAsia="en-GB"/>
              </w:rPr>
              <w:t>mbeturinave</w:t>
            </w:r>
            <w:proofErr w:type="spellEnd"/>
          </w:p>
          <w:p w14:paraId="4424CDE1" w14:textId="29B21969" w:rsidR="004227A0" w:rsidRPr="004227A0" w:rsidRDefault="004227A0" w:rsidP="004227A0">
            <w:pPr>
              <w:rPr>
                <w:rFonts w:ascii="Arial Narrow" w:hAnsi="Arial Narrow" w:cs="Calibri"/>
                <w:color w:val="000000"/>
                <w:sz w:val="20"/>
                <w:szCs w:val="20"/>
                <w:lang w:val="en-GB" w:eastAsia="en-GB"/>
              </w:rPr>
            </w:pPr>
            <w:r w:rsidRPr="004227A0">
              <w:rPr>
                <w:rFonts w:ascii="Arial Narrow" w:hAnsi="Arial Narrow" w:cs="Calibri"/>
                <w:color w:val="000000"/>
                <w:sz w:val="20"/>
                <w:szCs w:val="20"/>
                <w:lang w:val="en-GB" w:eastAsia="en-GB"/>
              </w:rPr>
              <w:t xml:space="preserve">&amp; </w:t>
            </w:r>
            <w:proofErr w:type="spellStart"/>
            <w:r w:rsidRPr="004227A0">
              <w:rPr>
                <w:rFonts w:ascii="Arial Narrow" w:hAnsi="Arial Narrow" w:cs="Calibri"/>
                <w:color w:val="000000"/>
                <w:sz w:val="20"/>
                <w:szCs w:val="20"/>
                <w:lang w:val="en-GB" w:eastAsia="en-GB"/>
              </w:rPr>
              <w:t>objekti</w:t>
            </w:r>
            <w:proofErr w:type="spellEnd"/>
            <w:r w:rsidRPr="004227A0">
              <w:rPr>
                <w:rFonts w:ascii="Arial Narrow" w:hAnsi="Arial Narrow" w:cs="Calibri"/>
                <w:color w:val="000000"/>
                <w:sz w:val="20"/>
                <w:szCs w:val="20"/>
                <w:lang w:val="en-GB" w:eastAsia="en-GB"/>
              </w:rPr>
              <w:t xml:space="preserve"> i </w:t>
            </w:r>
            <w:proofErr w:type="spellStart"/>
            <w:r w:rsidRPr="004227A0">
              <w:rPr>
                <w:rFonts w:ascii="Arial Narrow" w:hAnsi="Arial Narrow" w:cs="Calibri"/>
                <w:color w:val="000000"/>
                <w:sz w:val="20"/>
                <w:szCs w:val="20"/>
                <w:lang w:val="en-GB" w:eastAsia="en-GB"/>
              </w:rPr>
              <w:t>klasifikimit</w:t>
            </w:r>
            <w:proofErr w:type="spellEnd"/>
          </w:p>
        </w:tc>
        <w:tc>
          <w:tcPr>
            <w:tcW w:w="486" w:type="pct"/>
            <w:shd w:val="clear" w:color="auto" w:fill="auto"/>
            <w:noWrap/>
            <w:vAlign w:val="center"/>
            <w:hideMark/>
          </w:tcPr>
          <w:p w14:paraId="52FAFC0A" w14:textId="77777777" w:rsidR="004227A0" w:rsidRPr="007D1EDC" w:rsidRDefault="004227A0" w:rsidP="004227A0">
            <w:pPr>
              <w:rPr>
                <w:rFonts w:ascii="Arial Narrow" w:hAnsi="Arial Narrow" w:cs="Calibri"/>
                <w:color w:val="333F4F"/>
                <w:sz w:val="20"/>
                <w:szCs w:val="20"/>
                <w:lang w:val="en-GB" w:eastAsia="en-GB"/>
              </w:rPr>
            </w:pPr>
            <w:r w:rsidRPr="007D1EDC">
              <w:rPr>
                <w:rFonts w:ascii="Arial Narrow" w:hAnsi="Arial Narrow" w:cs="Calibri"/>
                <w:color w:val="333F4F"/>
                <w:sz w:val="20"/>
                <w:szCs w:val="20"/>
                <w:lang w:val="en-GB" w:eastAsia="en-GB"/>
              </w:rPr>
              <w:t>1,575</w:t>
            </w:r>
          </w:p>
        </w:tc>
        <w:tc>
          <w:tcPr>
            <w:tcW w:w="397" w:type="pct"/>
            <w:shd w:val="clear" w:color="auto" w:fill="auto"/>
            <w:noWrap/>
            <w:vAlign w:val="center"/>
            <w:hideMark/>
          </w:tcPr>
          <w:p w14:paraId="01A3FA88" w14:textId="77777777" w:rsidR="004227A0" w:rsidRPr="007D1EDC" w:rsidRDefault="004227A0" w:rsidP="004227A0">
            <w:pPr>
              <w:jc w:val="right"/>
              <w:rPr>
                <w:rFonts w:ascii="Arial Narrow" w:hAnsi="Arial Narrow" w:cs="Calibri"/>
                <w:color w:val="333F4F"/>
                <w:sz w:val="20"/>
                <w:szCs w:val="20"/>
                <w:lang w:val="en-GB" w:eastAsia="en-GB"/>
              </w:rPr>
            </w:pPr>
            <w:r w:rsidRPr="007D1EDC">
              <w:rPr>
                <w:rFonts w:ascii="Arial Narrow" w:hAnsi="Arial Narrow" w:cs="Calibri"/>
                <w:color w:val="333F4F"/>
                <w:sz w:val="20"/>
                <w:szCs w:val="20"/>
                <w:lang w:val="en-GB" w:eastAsia="en-GB"/>
              </w:rPr>
              <w:t>2,855</w:t>
            </w:r>
          </w:p>
        </w:tc>
        <w:tc>
          <w:tcPr>
            <w:tcW w:w="397" w:type="pct"/>
            <w:shd w:val="clear" w:color="auto" w:fill="auto"/>
            <w:noWrap/>
            <w:vAlign w:val="center"/>
            <w:hideMark/>
          </w:tcPr>
          <w:p w14:paraId="0ACEE04B" w14:textId="77777777" w:rsidR="004227A0" w:rsidRPr="007D1EDC" w:rsidRDefault="004227A0" w:rsidP="004227A0">
            <w:pPr>
              <w:jc w:val="right"/>
              <w:rPr>
                <w:rFonts w:ascii="Arial Narrow" w:hAnsi="Arial Narrow" w:cs="Calibri"/>
                <w:color w:val="333F4F"/>
                <w:sz w:val="20"/>
                <w:szCs w:val="20"/>
                <w:lang w:val="en-GB" w:eastAsia="en-GB"/>
              </w:rPr>
            </w:pPr>
            <w:r w:rsidRPr="007D1EDC">
              <w:rPr>
                <w:rFonts w:ascii="Arial Narrow" w:hAnsi="Arial Narrow" w:cs="Calibri"/>
                <w:color w:val="333F4F"/>
                <w:sz w:val="20"/>
                <w:szCs w:val="20"/>
                <w:lang w:val="en-GB" w:eastAsia="en-GB"/>
              </w:rPr>
              <w:t>567</w:t>
            </w:r>
          </w:p>
        </w:tc>
        <w:tc>
          <w:tcPr>
            <w:tcW w:w="397" w:type="pct"/>
            <w:shd w:val="clear" w:color="auto" w:fill="auto"/>
            <w:noWrap/>
            <w:vAlign w:val="center"/>
            <w:hideMark/>
          </w:tcPr>
          <w:p w14:paraId="3D7F4928" w14:textId="77777777" w:rsidR="004227A0" w:rsidRPr="007D1EDC" w:rsidRDefault="004227A0" w:rsidP="004227A0">
            <w:pPr>
              <w:jc w:val="right"/>
              <w:rPr>
                <w:rFonts w:ascii="Arial Narrow" w:hAnsi="Arial Narrow" w:cs="Calibri"/>
                <w:color w:val="333F4F"/>
                <w:sz w:val="20"/>
                <w:szCs w:val="20"/>
                <w:lang w:val="en-GB" w:eastAsia="en-GB"/>
              </w:rPr>
            </w:pPr>
            <w:r w:rsidRPr="007D1EDC">
              <w:rPr>
                <w:rFonts w:ascii="Arial Narrow" w:hAnsi="Arial Narrow" w:cs="Calibri"/>
                <w:color w:val="333F4F"/>
                <w:sz w:val="20"/>
                <w:szCs w:val="20"/>
                <w:lang w:val="en-GB" w:eastAsia="en-GB"/>
              </w:rPr>
              <w:t>570</w:t>
            </w:r>
          </w:p>
        </w:tc>
        <w:tc>
          <w:tcPr>
            <w:tcW w:w="398" w:type="pct"/>
            <w:shd w:val="clear" w:color="auto" w:fill="auto"/>
            <w:noWrap/>
            <w:vAlign w:val="center"/>
            <w:hideMark/>
          </w:tcPr>
          <w:p w14:paraId="57265371" w14:textId="77777777" w:rsidR="004227A0" w:rsidRPr="007D1EDC" w:rsidRDefault="004227A0" w:rsidP="004227A0">
            <w:pPr>
              <w:jc w:val="right"/>
              <w:rPr>
                <w:rFonts w:ascii="Arial Narrow" w:hAnsi="Arial Narrow" w:cs="Calibri"/>
                <w:color w:val="333F4F"/>
                <w:sz w:val="20"/>
                <w:szCs w:val="20"/>
                <w:lang w:val="en-GB" w:eastAsia="en-GB"/>
              </w:rPr>
            </w:pPr>
            <w:r w:rsidRPr="007D1EDC">
              <w:rPr>
                <w:rFonts w:ascii="Arial Narrow" w:hAnsi="Arial Narrow" w:cs="Calibri"/>
                <w:color w:val="333F4F"/>
                <w:sz w:val="20"/>
                <w:szCs w:val="20"/>
                <w:lang w:val="en-GB" w:eastAsia="en-GB"/>
              </w:rPr>
              <w:t>397</w:t>
            </w:r>
          </w:p>
        </w:tc>
        <w:tc>
          <w:tcPr>
            <w:tcW w:w="440" w:type="pct"/>
            <w:shd w:val="clear" w:color="auto" w:fill="auto"/>
            <w:noWrap/>
            <w:vAlign w:val="center"/>
            <w:hideMark/>
          </w:tcPr>
          <w:p w14:paraId="745BF85B" w14:textId="77777777" w:rsidR="004227A0" w:rsidRPr="007D1EDC" w:rsidRDefault="004227A0" w:rsidP="004227A0">
            <w:pPr>
              <w:jc w:val="right"/>
              <w:rPr>
                <w:rFonts w:ascii="Arial Narrow" w:hAnsi="Arial Narrow" w:cs="Calibri"/>
                <w:color w:val="333F4F"/>
                <w:sz w:val="20"/>
                <w:szCs w:val="20"/>
                <w:lang w:val="en-GB" w:eastAsia="en-GB"/>
              </w:rPr>
            </w:pPr>
            <w:r w:rsidRPr="007D1EDC">
              <w:rPr>
                <w:rFonts w:ascii="Arial Narrow" w:hAnsi="Arial Narrow" w:cs="Calibri"/>
                <w:color w:val="333F4F"/>
                <w:sz w:val="20"/>
                <w:szCs w:val="20"/>
                <w:lang w:val="en-GB" w:eastAsia="en-GB"/>
              </w:rPr>
              <w:t>444</w:t>
            </w:r>
          </w:p>
        </w:tc>
        <w:tc>
          <w:tcPr>
            <w:tcW w:w="550" w:type="pct"/>
            <w:shd w:val="clear" w:color="auto" w:fill="auto"/>
            <w:noWrap/>
            <w:vAlign w:val="center"/>
            <w:hideMark/>
          </w:tcPr>
          <w:p w14:paraId="0753A0E4" w14:textId="22953FB6" w:rsidR="004227A0" w:rsidRPr="007D1EDC" w:rsidRDefault="004227A0" w:rsidP="004227A0">
            <w:pPr>
              <w:rPr>
                <w:rFonts w:ascii="Arial Narrow" w:hAnsi="Arial Narrow" w:cs="Calibri"/>
                <w:b/>
                <w:bCs/>
                <w:color w:val="333F4F"/>
                <w:sz w:val="20"/>
                <w:szCs w:val="20"/>
                <w:lang w:val="en-GB" w:eastAsia="en-GB"/>
              </w:rPr>
            </w:pPr>
            <w:r>
              <w:rPr>
                <w:rFonts w:ascii="Arial Narrow" w:hAnsi="Arial Narrow" w:cs="Calibri"/>
                <w:b/>
                <w:bCs/>
                <w:color w:val="333F4F"/>
                <w:sz w:val="20"/>
                <w:szCs w:val="20"/>
                <w:lang w:val="en-GB" w:eastAsia="en-GB"/>
              </w:rPr>
              <w:t>PZP</w:t>
            </w:r>
          </w:p>
        </w:tc>
      </w:tr>
      <w:tr w:rsidR="004227A0" w:rsidRPr="007D1EDC" w14:paraId="2AC51CA2" w14:textId="77777777" w:rsidTr="004227A0">
        <w:trPr>
          <w:trHeight w:val="210"/>
        </w:trPr>
        <w:tc>
          <w:tcPr>
            <w:tcW w:w="1935" w:type="pct"/>
            <w:shd w:val="clear" w:color="auto" w:fill="auto"/>
            <w:noWrap/>
            <w:vAlign w:val="bottom"/>
            <w:hideMark/>
          </w:tcPr>
          <w:p w14:paraId="4D0151D6" w14:textId="1250DEFB" w:rsidR="004227A0" w:rsidRPr="004227A0" w:rsidRDefault="004227A0" w:rsidP="004227A0">
            <w:pPr>
              <w:rPr>
                <w:rFonts w:ascii="Arial Narrow" w:hAnsi="Arial Narrow" w:cs="Calibri"/>
                <w:color w:val="000000"/>
                <w:sz w:val="20"/>
                <w:szCs w:val="20"/>
                <w:lang w:val="en-GB" w:eastAsia="en-GB"/>
              </w:rPr>
            </w:pPr>
            <w:r w:rsidRPr="004227A0">
              <w:rPr>
                <w:rFonts w:ascii="Arial Narrow" w:hAnsi="Arial Narrow" w:cs="Calibri"/>
                <w:color w:val="000000"/>
                <w:sz w:val="20"/>
                <w:szCs w:val="20"/>
                <w:lang w:val="en-GB" w:eastAsia="en-GB"/>
              </w:rPr>
              <w:t>OR-</w:t>
            </w:r>
            <w:proofErr w:type="spellStart"/>
            <w:r w:rsidRPr="004227A0">
              <w:rPr>
                <w:rFonts w:ascii="Arial Narrow" w:hAnsi="Arial Narrow" w:cs="Calibri"/>
                <w:color w:val="000000"/>
                <w:sz w:val="20"/>
                <w:szCs w:val="20"/>
                <w:lang w:val="en-GB" w:eastAsia="en-GB"/>
              </w:rPr>
              <w:t>të</w:t>
            </w:r>
            <w:proofErr w:type="spellEnd"/>
          </w:p>
        </w:tc>
        <w:tc>
          <w:tcPr>
            <w:tcW w:w="486" w:type="pct"/>
            <w:shd w:val="clear" w:color="auto" w:fill="auto"/>
            <w:noWrap/>
            <w:vAlign w:val="center"/>
            <w:hideMark/>
          </w:tcPr>
          <w:p w14:paraId="46AD5E6D" w14:textId="77777777" w:rsidR="004227A0" w:rsidRPr="007D1EDC" w:rsidRDefault="004227A0" w:rsidP="004227A0">
            <w:pPr>
              <w:jc w:val="right"/>
              <w:rPr>
                <w:rFonts w:ascii="Arial Narrow" w:hAnsi="Arial Narrow" w:cs="Calibri"/>
                <w:color w:val="333F4F"/>
                <w:sz w:val="20"/>
                <w:szCs w:val="20"/>
                <w:lang w:val="en-GB" w:eastAsia="en-GB"/>
              </w:rPr>
            </w:pPr>
            <w:r w:rsidRPr="007D1EDC">
              <w:rPr>
                <w:rFonts w:ascii="Arial Narrow" w:hAnsi="Arial Narrow" w:cs="Calibri"/>
                <w:color w:val="333F4F"/>
                <w:sz w:val="20"/>
                <w:szCs w:val="20"/>
                <w:lang w:val="en-GB" w:eastAsia="en-GB"/>
              </w:rPr>
              <w:t>800</w:t>
            </w:r>
          </w:p>
        </w:tc>
        <w:tc>
          <w:tcPr>
            <w:tcW w:w="397" w:type="pct"/>
            <w:shd w:val="clear" w:color="auto" w:fill="auto"/>
            <w:noWrap/>
            <w:vAlign w:val="center"/>
            <w:hideMark/>
          </w:tcPr>
          <w:p w14:paraId="040C53B8" w14:textId="77777777" w:rsidR="004227A0" w:rsidRPr="007D1EDC" w:rsidRDefault="004227A0" w:rsidP="004227A0">
            <w:pPr>
              <w:rPr>
                <w:rFonts w:ascii="Arial Narrow" w:hAnsi="Arial Narrow" w:cs="Calibri"/>
                <w:color w:val="333F4F"/>
                <w:sz w:val="20"/>
                <w:szCs w:val="20"/>
                <w:lang w:val="en-GB" w:eastAsia="en-GB"/>
              </w:rPr>
            </w:pPr>
            <w:r w:rsidRPr="007D1EDC">
              <w:rPr>
                <w:rFonts w:ascii="Arial Narrow" w:hAnsi="Arial Narrow" w:cs="Calibri"/>
                <w:color w:val="333F4F"/>
                <w:sz w:val="20"/>
                <w:szCs w:val="20"/>
                <w:lang w:val="en-GB" w:eastAsia="en-GB"/>
              </w:rPr>
              <w:t> </w:t>
            </w:r>
          </w:p>
        </w:tc>
        <w:tc>
          <w:tcPr>
            <w:tcW w:w="397" w:type="pct"/>
            <w:shd w:val="clear" w:color="auto" w:fill="auto"/>
            <w:noWrap/>
            <w:vAlign w:val="center"/>
            <w:hideMark/>
          </w:tcPr>
          <w:p w14:paraId="67F45E55" w14:textId="77777777" w:rsidR="004227A0" w:rsidRPr="007D1EDC" w:rsidRDefault="004227A0" w:rsidP="004227A0">
            <w:pPr>
              <w:rPr>
                <w:rFonts w:ascii="Arial Narrow" w:hAnsi="Arial Narrow" w:cs="Calibri"/>
                <w:color w:val="333F4F"/>
                <w:sz w:val="20"/>
                <w:szCs w:val="20"/>
                <w:lang w:val="en-GB" w:eastAsia="en-GB"/>
              </w:rPr>
            </w:pPr>
            <w:r w:rsidRPr="007D1EDC">
              <w:rPr>
                <w:rFonts w:ascii="Arial Narrow" w:hAnsi="Arial Narrow" w:cs="Calibri"/>
                <w:color w:val="333F4F"/>
                <w:sz w:val="20"/>
                <w:szCs w:val="20"/>
                <w:lang w:val="en-GB" w:eastAsia="en-GB"/>
              </w:rPr>
              <w:t> </w:t>
            </w:r>
          </w:p>
        </w:tc>
        <w:tc>
          <w:tcPr>
            <w:tcW w:w="397" w:type="pct"/>
            <w:shd w:val="clear" w:color="auto" w:fill="auto"/>
            <w:noWrap/>
            <w:vAlign w:val="center"/>
            <w:hideMark/>
          </w:tcPr>
          <w:p w14:paraId="24D3CE54" w14:textId="77777777" w:rsidR="004227A0" w:rsidRPr="007D1EDC" w:rsidRDefault="004227A0" w:rsidP="004227A0">
            <w:pPr>
              <w:rPr>
                <w:rFonts w:ascii="Arial Narrow" w:hAnsi="Arial Narrow" w:cs="Calibri"/>
                <w:color w:val="333F4F"/>
                <w:sz w:val="20"/>
                <w:szCs w:val="20"/>
                <w:lang w:val="en-GB" w:eastAsia="en-GB"/>
              </w:rPr>
            </w:pPr>
            <w:r w:rsidRPr="007D1EDC">
              <w:rPr>
                <w:rFonts w:ascii="Arial Narrow" w:hAnsi="Arial Narrow" w:cs="Calibri"/>
                <w:color w:val="333F4F"/>
                <w:sz w:val="20"/>
                <w:szCs w:val="20"/>
                <w:lang w:val="en-GB" w:eastAsia="en-GB"/>
              </w:rPr>
              <w:t> </w:t>
            </w:r>
          </w:p>
        </w:tc>
        <w:tc>
          <w:tcPr>
            <w:tcW w:w="398" w:type="pct"/>
            <w:shd w:val="clear" w:color="auto" w:fill="auto"/>
            <w:noWrap/>
            <w:vAlign w:val="center"/>
            <w:hideMark/>
          </w:tcPr>
          <w:p w14:paraId="6C9F321F" w14:textId="77777777" w:rsidR="004227A0" w:rsidRPr="007D1EDC" w:rsidRDefault="004227A0" w:rsidP="004227A0">
            <w:pPr>
              <w:rPr>
                <w:rFonts w:ascii="Arial Narrow" w:hAnsi="Arial Narrow" w:cs="Calibri"/>
                <w:color w:val="333F4F"/>
                <w:sz w:val="20"/>
                <w:szCs w:val="20"/>
                <w:lang w:val="en-GB" w:eastAsia="en-GB"/>
              </w:rPr>
            </w:pPr>
            <w:r w:rsidRPr="007D1EDC">
              <w:rPr>
                <w:rFonts w:ascii="Arial Narrow" w:hAnsi="Arial Narrow" w:cs="Calibri"/>
                <w:color w:val="333F4F"/>
                <w:sz w:val="20"/>
                <w:szCs w:val="20"/>
                <w:lang w:val="en-GB" w:eastAsia="en-GB"/>
              </w:rPr>
              <w:t> </w:t>
            </w:r>
          </w:p>
        </w:tc>
        <w:tc>
          <w:tcPr>
            <w:tcW w:w="440" w:type="pct"/>
            <w:shd w:val="clear" w:color="auto" w:fill="auto"/>
            <w:noWrap/>
            <w:vAlign w:val="center"/>
            <w:hideMark/>
          </w:tcPr>
          <w:p w14:paraId="3252C5A6" w14:textId="77777777" w:rsidR="004227A0" w:rsidRPr="007D1EDC" w:rsidRDefault="004227A0" w:rsidP="004227A0">
            <w:pPr>
              <w:rPr>
                <w:rFonts w:ascii="Arial Narrow" w:hAnsi="Arial Narrow" w:cs="Calibri"/>
                <w:color w:val="333F4F"/>
                <w:sz w:val="20"/>
                <w:szCs w:val="20"/>
                <w:lang w:val="en-GB" w:eastAsia="en-GB"/>
              </w:rPr>
            </w:pPr>
            <w:r w:rsidRPr="007D1EDC">
              <w:rPr>
                <w:rFonts w:ascii="Arial Narrow" w:hAnsi="Arial Narrow" w:cs="Calibri"/>
                <w:color w:val="333F4F"/>
                <w:sz w:val="20"/>
                <w:szCs w:val="20"/>
                <w:lang w:val="en-GB" w:eastAsia="en-GB"/>
              </w:rPr>
              <w:t> </w:t>
            </w:r>
          </w:p>
        </w:tc>
        <w:tc>
          <w:tcPr>
            <w:tcW w:w="550" w:type="pct"/>
            <w:shd w:val="clear" w:color="auto" w:fill="auto"/>
            <w:noWrap/>
            <w:vAlign w:val="bottom"/>
            <w:hideMark/>
          </w:tcPr>
          <w:p w14:paraId="2C754AD8"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grant</w:t>
            </w:r>
          </w:p>
        </w:tc>
      </w:tr>
      <w:tr w:rsidR="004227A0" w:rsidRPr="007D1EDC" w14:paraId="35970235" w14:textId="77777777" w:rsidTr="004227A0">
        <w:trPr>
          <w:trHeight w:val="210"/>
        </w:trPr>
        <w:tc>
          <w:tcPr>
            <w:tcW w:w="1935" w:type="pct"/>
            <w:shd w:val="clear" w:color="auto" w:fill="auto"/>
            <w:noWrap/>
            <w:vAlign w:val="bottom"/>
            <w:hideMark/>
          </w:tcPr>
          <w:p w14:paraId="66E8365C" w14:textId="2E2FA65C" w:rsidR="004227A0" w:rsidRPr="004227A0" w:rsidRDefault="004227A0" w:rsidP="004227A0">
            <w:pPr>
              <w:rPr>
                <w:rFonts w:ascii="Arial Narrow" w:hAnsi="Arial Narrow" w:cs="Calibri"/>
                <w:color w:val="000000"/>
                <w:sz w:val="20"/>
                <w:szCs w:val="20"/>
                <w:lang w:val="en-GB" w:eastAsia="en-GB"/>
              </w:rPr>
            </w:pPr>
            <w:proofErr w:type="spellStart"/>
            <w:r w:rsidRPr="004227A0">
              <w:rPr>
                <w:rFonts w:ascii="Arial Narrow" w:hAnsi="Arial Narrow" w:cs="Calibri"/>
                <w:color w:val="000000"/>
                <w:sz w:val="20"/>
                <w:szCs w:val="20"/>
                <w:lang w:val="en-GB" w:eastAsia="en-GB"/>
              </w:rPr>
              <w:t>Objekti</w:t>
            </w:r>
            <w:proofErr w:type="spellEnd"/>
            <w:r w:rsidRPr="004227A0">
              <w:rPr>
                <w:rFonts w:ascii="Arial Narrow" w:hAnsi="Arial Narrow" w:cs="Calibri"/>
                <w:color w:val="000000"/>
                <w:sz w:val="20"/>
                <w:szCs w:val="20"/>
                <w:lang w:val="en-GB" w:eastAsia="en-GB"/>
              </w:rPr>
              <w:t xml:space="preserve"> i </w:t>
            </w:r>
            <w:proofErr w:type="spellStart"/>
            <w:r w:rsidRPr="004227A0">
              <w:rPr>
                <w:rFonts w:ascii="Arial Narrow" w:hAnsi="Arial Narrow" w:cs="Calibri"/>
                <w:color w:val="000000"/>
                <w:sz w:val="20"/>
                <w:szCs w:val="20"/>
                <w:lang w:val="en-GB" w:eastAsia="en-GB"/>
              </w:rPr>
              <w:t>kompostimit</w:t>
            </w:r>
            <w:proofErr w:type="spellEnd"/>
            <w:r w:rsidRPr="004227A0">
              <w:rPr>
                <w:rFonts w:ascii="Arial Narrow" w:hAnsi="Arial Narrow" w:cs="Calibri"/>
                <w:color w:val="000000"/>
                <w:sz w:val="20"/>
                <w:szCs w:val="20"/>
                <w:lang w:val="en-GB" w:eastAsia="en-GB"/>
              </w:rPr>
              <w:t xml:space="preserve"> </w:t>
            </w:r>
            <w:proofErr w:type="spellStart"/>
            <w:r w:rsidRPr="004227A0">
              <w:rPr>
                <w:rFonts w:ascii="Arial Narrow" w:hAnsi="Arial Narrow" w:cs="Calibri"/>
                <w:color w:val="000000"/>
                <w:sz w:val="20"/>
                <w:szCs w:val="20"/>
                <w:lang w:val="en-GB" w:eastAsia="en-GB"/>
              </w:rPr>
              <w:t>në</w:t>
            </w:r>
            <w:proofErr w:type="spellEnd"/>
            <w:r w:rsidRPr="004227A0">
              <w:rPr>
                <w:rFonts w:ascii="Arial Narrow" w:hAnsi="Arial Narrow" w:cs="Calibri"/>
                <w:color w:val="000000"/>
                <w:sz w:val="20"/>
                <w:szCs w:val="20"/>
                <w:lang w:val="en-GB" w:eastAsia="en-GB"/>
              </w:rPr>
              <w:t xml:space="preserve"> </w:t>
            </w:r>
            <w:proofErr w:type="spellStart"/>
            <w:r w:rsidRPr="004227A0">
              <w:rPr>
                <w:rFonts w:ascii="Arial Narrow" w:hAnsi="Arial Narrow" w:cs="Calibri"/>
                <w:color w:val="000000"/>
                <w:sz w:val="20"/>
                <w:szCs w:val="20"/>
                <w:lang w:val="en-GB" w:eastAsia="en-GB"/>
              </w:rPr>
              <w:t>Pejë</w:t>
            </w:r>
            <w:proofErr w:type="spellEnd"/>
          </w:p>
        </w:tc>
        <w:tc>
          <w:tcPr>
            <w:tcW w:w="486" w:type="pct"/>
            <w:shd w:val="clear" w:color="auto" w:fill="auto"/>
            <w:noWrap/>
            <w:vAlign w:val="bottom"/>
            <w:hideMark/>
          </w:tcPr>
          <w:p w14:paraId="757A5A82"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912</w:t>
            </w:r>
          </w:p>
        </w:tc>
        <w:tc>
          <w:tcPr>
            <w:tcW w:w="397" w:type="pct"/>
            <w:shd w:val="clear" w:color="auto" w:fill="auto"/>
            <w:noWrap/>
            <w:vAlign w:val="bottom"/>
            <w:hideMark/>
          </w:tcPr>
          <w:p w14:paraId="71EF2D6D"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7" w:type="pct"/>
            <w:shd w:val="clear" w:color="auto" w:fill="auto"/>
            <w:noWrap/>
            <w:vAlign w:val="bottom"/>
            <w:hideMark/>
          </w:tcPr>
          <w:p w14:paraId="7FAEA6B4"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7" w:type="pct"/>
            <w:shd w:val="clear" w:color="auto" w:fill="auto"/>
            <w:noWrap/>
            <w:vAlign w:val="bottom"/>
            <w:hideMark/>
          </w:tcPr>
          <w:p w14:paraId="6A3E4E2F"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8" w:type="pct"/>
            <w:shd w:val="clear" w:color="auto" w:fill="auto"/>
            <w:noWrap/>
            <w:vAlign w:val="bottom"/>
            <w:hideMark/>
          </w:tcPr>
          <w:p w14:paraId="734A5895"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440" w:type="pct"/>
            <w:shd w:val="clear" w:color="auto" w:fill="auto"/>
            <w:noWrap/>
            <w:vAlign w:val="bottom"/>
            <w:hideMark/>
          </w:tcPr>
          <w:p w14:paraId="06354178"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550" w:type="pct"/>
            <w:shd w:val="clear" w:color="auto" w:fill="auto"/>
            <w:noWrap/>
            <w:vAlign w:val="bottom"/>
            <w:hideMark/>
          </w:tcPr>
          <w:p w14:paraId="441D5D74"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grant</w:t>
            </w:r>
          </w:p>
        </w:tc>
      </w:tr>
      <w:tr w:rsidR="004227A0" w:rsidRPr="007D1EDC" w14:paraId="2B181D84" w14:textId="77777777" w:rsidTr="004227A0">
        <w:trPr>
          <w:trHeight w:val="210"/>
        </w:trPr>
        <w:tc>
          <w:tcPr>
            <w:tcW w:w="1935" w:type="pct"/>
            <w:shd w:val="clear" w:color="auto" w:fill="auto"/>
            <w:noWrap/>
            <w:vAlign w:val="bottom"/>
            <w:hideMark/>
          </w:tcPr>
          <w:p w14:paraId="7D3C87A3" w14:textId="2DFCA1EB" w:rsidR="004227A0" w:rsidRPr="009F5CA1" w:rsidRDefault="004227A0" w:rsidP="004227A0">
            <w:pPr>
              <w:rPr>
                <w:rFonts w:ascii="Arial Narrow" w:hAnsi="Arial Narrow" w:cs="Calibri"/>
                <w:color w:val="000000"/>
                <w:sz w:val="20"/>
                <w:szCs w:val="20"/>
                <w:lang w:eastAsia="en-GB"/>
              </w:rPr>
            </w:pPr>
            <w:r w:rsidRPr="009F5CA1">
              <w:rPr>
                <w:rFonts w:ascii="Arial Narrow" w:hAnsi="Arial Narrow" w:cs="Calibri"/>
                <w:color w:val="000000"/>
                <w:sz w:val="20"/>
                <w:szCs w:val="20"/>
                <w:lang w:eastAsia="en-GB"/>
              </w:rPr>
              <w:t>Pajisjet për kompostim në Istog, Klinë, Deçan</w:t>
            </w:r>
          </w:p>
        </w:tc>
        <w:tc>
          <w:tcPr>
            <w:tcW w:w="486" w:type="pct"/>
            <w:shd w:val="clear" w:color="auto" w:fill="auto"/>
            <w:noWrap/>
            <w:vAlign w:val="bottom"/>
            <w:hideMark/>
          </w:tcPr>
          <w:p w14:paraId="162C76FF"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702</w:t>
            </w:r>
          </w:p>
        </w:tc>
        <w:tc>
          <w:tcPr>
            <w:tcW w:w="397" w:type="pct"/>
            <w:shd w:val="clear" w:color="auto" w:fill="auto"/>
            <w:noWrap/>
            <w:vAlign w:val="bottom"/>
            <w:hideMark/>
          </w:tcPr>
          <w:p w14:paraId="42DDD500"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7" w:type="pct"/>
            <w:shd w:val="clear" w:color="auto" w:fill="auto"/>
            <w:noWrap/>
            <w:vAlign w:val="bottom"/>
            <w:hideMark/>
          </w:tcPr>
          <w:p w14:paraId="53413BF6"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7" w:type="pct"/>
            <w:shd w:val="clear" w:color="auto" w:fill="auto"/>
            <w:noWrap/>
            <w:vAlign w:val="bottom"/>
            <w:hideMark/>
          </w:tcPr>
          <w:p w14:paraId="08A639D7"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8" w:type="pct"/>
            <w:shd w:val="clear" w:color="auto" w:fill="auto"/>
            <w:noWrap/>
            <w:vAlign w:val="bottom"/>
            <w:hideMark/>
          </w:tcPr>
          <w:p w14:paraId="6C05AF0A"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440" w:type="pct"/>
            <w:shd w:val="clear" w:color="auto" w:fill="auto"/>
            <w:noWrap/>
            <w:vAlign w:val="bottom"/>
            <w:hideMark/>
          </w:tcPr>
          <w:p w14:paraId="31190CD8"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550" w:type="pct"/>
            <w:shd w:val="clear" w:color="auto" w:fill="auto"/>
            <w:noWrap/>
            <w:vAlign w:val="bottom"/>
            <w:hideMark/>
          </w:tcPr>
          <w:p w14:paraId="290E77D6"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grant</w:t>
            </w:r>
          </w:p>
        </w:tc>
      </w:tr>
      <w:tr w:rsidR="004227A0" w:rsidRPr="007D1EDC" w14:paraId="65614E1B" w14:textId="77777777" w:rsidTr="004227A0">
        <w:trPr>
          <w:trHeight w:val="210"/>
        </w:trPr>
        <w:tc>
          <w:tcPr>
            <w:tcW w:w="1935" w:type="pct"/>
            <w:shd w:val="clear" w:color="auto" w:fill="auto"/>
            <w:noWrap/>
            <w:vAlign w:val="bottom"/>
            <w:hideMark/>
          </w:tcPr>
          <w:p w14:paraId="57312373" w14:textId="5704306F" w:rsidR="004227A0" w:rsidRPr="004227A0" w:rsidRDefault="004227A0" w:rsidP="004227A0">
            <w:pPr>
              <w:rPr>
                <w:rFonts w:ascii="Arial Narrow" w:hAnsi="Arial Narrow" w:cs="Calibri"/>
                <w:color w:val="000000"/>
                <w:sz w:val="20"/>
                <w:szCs w:val="20"/>
                <w:lang w:val="en-GB" w:eastAsia="en-GB"/>
              </w:rPr>
            </w:pPr>
            <w:proofErr w:type="spellStart"/>
            <w:r w:rsidRPr="004227A0">
              <w:rPr>
                <w:rFonts w:ascii="Arial Narrow" w:hAnsi="Arial Narrow" w:cs="Calibri"/>
                <w:color w:val="000000"/>
                <w:sz w:val="20"/>
                <w:szCs w:val="20"/>
                <w:lang w:val="en-GB" w:eastAsia="en-GB"/>
              </w:rPr>
              <w:t>Stacioni</w:t>
            </w:r>
            <w:proofErr w:type="spellEnd"/>
            <w:r w:rsidRPr="004227A0">
              <w:rPr>
                <w:rFonts w:ascii="Arial Narrow" w:hAnsi="Arial Narrow" w:cs="Calibri"/>
                <w:color w:val="000000"/>
                <w:sz w:val="20"/>
                <w:szCs w:val="20"/>
                <w:lang w:val="en-GB" w:eastAsia="en-GB"/>
              </w:rPr>
              <w:t xml:space="preserve"> i </w:t>
            </w:r>
            <w:proofErr w:type="spellStart"/>
            <w:r w:rsidRPr="004227A0">
              <w:rPr>
                <w:rFonts w:ascii="Arial Narrow" w:hAnsi="Arial Narrow" w:cs="Calibri"/>
                <w:color w:val="000000"/>
                <w:sz w:val="20"/>
                <w:szCs w:val="20"/>
                <w:lang w:val="en-GB" w:eastAsia="en-GB"/>
              </w:rPr>
              <w:t>Transferit</w:t>
            </w:r>
            <w:proofErr w:type="spellEnd"/>
            <w:r w:rsidRPr="004227A0">
              <w:rPr>
                <w:rFonts w:ascii="Arial Narrow" w:hAnsi="Arial Narrow" w:cs="Calibri"/>
                <w:color w:val="000000"/>
                <w:sz w:val="20"/>
                <w:szCs w:val="20"/>
                <w:lang w:val="en-GB" w:eastAsia="en-GB"/>
              </w:rPr>
              <w:t xml:space="preserve"> </w:t>
            </w:r>
            <w:proofErr w:type="spellStart"/>
            <w:r w:rsidRPr="004227A0">
              <w:rPr>
                <w:rFonts w:ascii="Arial Narrow" w:hAnsi="Arial Narrow" w:cs="Calibri"/>
                <w:color w:val="000000"/>
                <w:sz w:val="20"/>
                <w:szCs w:val="20"/>
                <w:lang w:val="en-GB" w:eastAsia="en-GB"/>
              </w:rPr>
              <w:t>Istog</w:t>
            </w:r>
            <w:proofErr w:type="spellEnd"/>
          </w:p>
        </w:tc>
        <w:tc>
          <w:tcPr>
            <w:tcW w:w="486" w:type="pct"/>
            <w:shd w:val="clear" w:color="auto" w:fill="auto"/>
            <w:noWrap/>
            <w:vAlign w:val="bottom"/>
            <w:hideMark/>
          </w:tcPr>
          <w:p w14:paraId="1329CC18"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575</w:t>
            </w:r>
          </w:p>
        </w:tc>
        <w:tc>
          <w:tcPr>
            <w:tcW w:w="397" w:type="pct"/>
            <w:shd w:val="clear" w:color="auto" w:fill="auto"/>
            <w:noWrap/>
            <w:vAlign w:val="bottom"/>
            <w:hideMark/>
          </w:tcPr>
          <w:p w14:paraId="45877BFA"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119</w:t>
            </w:r>
          </w:p>
        </w:tc>
        <w:tc>
          <w:tcPr>
            <w:tcW w:w="397" w:type="pct"/>
            <w:shd w:val="clear" w:color="auto" w:fill="auto"/>
            <w:noWrap/>
            <w:vAlign w:val="bottom"/>
            <w:hideMark/>
          </w:tcPr>
          <w:p w14:paraId="79ABF5B1"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7" w:type="pct"/>
            <w:shd w:val="clear" w:color="auto" w:fill="auto"/>
            <w:noWrap/>
            <w:vAlign w:val="bottom"/>
            <w:hideMark/>
          </w:tcPr>
          <w:p w14:paraId="54FD7944"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8" w:type="pct"/>
            <w:shd w:val="clear" w:color="auto" w:fill="auto"/>
            <w:noWrap/>
            <w:vAlign w:val="bottom"/>
            <w:hideMark/>
          </w:tcPr>
          <w:p w14:paraId="1B220A2F"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440" w:type="pct"/>
            <w:shd w:val="clear" w:color="auto" w:fill="auto"/>
            <w:noWrap/>
            <w:vAlign w:val="bottom"/>
            <w:hideMark/>
          </w:tcPr>
          <w:p w14:paraId="03ED76CF"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550" w:type="pct"/>
            <w:shd w:val="clear" w:color="auto" w:fill="auto"/>
            <w:noWrap/>
            <w:vAlign w:val="bottom"/>
            <w:hideMark/>
          </w:tcPr>
          <w:p w14:paraId="47F38C7C"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grant</w:t>
            </w:r>
          </w:p>
        </w:tc>
      </w:tr>
      <w:tr w:rsidR="004227A0" w:rsidRPr="007D1EDC" w14:paraId="660305F5" w14:textId="77777777" w:rsidTr="004227A0">
        <w:trPr>
          <w:trHeight w:val="210"/>
        </w:trPr>
        <w:tc>
          <w:tcPr>
            <w:tcW w:w="1935" w:type="pct"/>
            <w:shd w:val="clear" w:color="auto" w:fill="auto"/>
            <w:noWrap/>
            <w:vAlign w:val="bottom"/>
            <w:hideMark/>
          </w:tcPr>
          <w:p w14:paraId="60FE5293" w14:textId="0DD1259B" w:rsidR="004227A0" w:rsidRPr="004227A0" w:rsidRDefault="004227A0" w:rsidP="004227A0">
            <w:pPr>
              <w:rPr>
                <w:rFonts w:ascii="Arial Narrow" w:hAnsi="Arial Narrow" w:cs="Calibri"/>
                <w:color w:val="000000"/>
                <w:sz w:val="20"/>
                <w:szCs w:val="20"/>
                <w:lang w:val="en-GB" w:eastAsia="en-GB"/>
              </w:rPr>
            </w:pPr>
            <w:proofErr w:type="spellStart"/>
            <w:r w:rsidRPr="004227A0">
              <w:rPr>
                <w:rFonts w:ascii="Arial Narrow" w:hAnsi="Arial Narrow" w:cs="Calibri"/>
                <w:color w:val="000000"/>
                <w:sz w:val="20"/>
                <w:szCs w:val="20"/>
                <w:lang w:val="en-GB" w:eastAsia="en-GB"/>
              </w:rPr>
              <w:t>Stacioni</w:t>
            </w:r>
            <w:proofErr w:type="spellEnd"/>
            <w:r w:rsidRPr="004227A0">
              <w:rPr>
                <w:rFonts w:ascii="Arial Narrow" w:hAnsi="Arial Narrow" w:cs="Calibri"/>
                <w:color w:val="000000"/>
                <w:sz w:val="20"/>
                <w:szCs w:val="20"/>
                <w:lang w:val="en-GB" w:eastAsia="en-GB"/>
              </w:rPr>
              <w:t xml:space="preserve"> i </w:t>
            </w:r>
            <w:proofErr w:type="spellStart"/>
            <w:r w:rsidRPr="004227A0">
              <w:rPr>
                <w:rFonts w:ascii="Arial Narrow" w:hAnsi="Arial Narrow" w:cs="Calibri"/>
                <w:color w:val="000000"/>
                <w:sz w:val="20"/>
                <w:szCs w:val="20"/>
                <w:lang w:val="en-GB" w:eastAsia="en-GB"/>
              </w:rPr>
              <w:t>Transferit</w:t>
            </w:r>
            <w:proofErr w:type="spellEnd"/>
            <w:r w:rsidRPr="004227A0">
              <w:rPr>
                <w:rFonts w:ascii="Arial Narrow" w:hAnsi="Arial Narrow" w:cs="Calibri"/>
                <w:color w:val="000000"/>
                <w:sz w:val="20"/>
                <w:szCs w:val="20"/>
                <w:lang w:val="en-GB" w:eastAsia="en-GB"/>
              </w:rPr>
              <w:t xml:space="preserve"> </w:t>
            </w:r>
            <w:proofErr w:type="spellStart"/>
            <w:r w:rsidRPr="004227A0">
              <w:rPr>
                <w:rFonts w:ascii="Arial Narrow" w:hAnsi="Arial Narrow" w:cs="Calibri"/>
                <w:color w:val="000000"/>
                <w:sz w:val="20"/>
                <w:szCs w:val="20"/>
                <w:lang w:val="en-GB" w:eastAsia="en-GB"/>
              </w:rPr>
              <w:t>Deçan</w:t>
            </w:r>
            <w:proofErr w:type="spellEnd"/>
          </w:p>
        </w:tc>
        <w:tc>
          <w:tcPr>
            <w:tcW w:w="486" w:type="pct"/>
            <w:shd w:val="clear" w:color="auto" w:fill="auto"/>
            <w:noWrap/>
            <w:vAlign w:val="bottom"/>
            <w:hideMark/>
          </w:tcPr>
          <w:p w14:paraId="17B2B968"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607</w:t>
            </w:r>
          </w:p>
        </w:tc>
        <w:tc>
          <w:tcPr>
            <w:tcW w:w="397" w:type="pct"/>
            <w:shd w:val="clear" w:color="auto" w:fill="auto"/>
            <w:noWrap/>
            <w:vAlign w:val="bottom"/>
            <w:hideMark/>
          </w:tcPr>
          <w:p w14:paraId="3E7F82C1"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119</w:t>
            </w:r>
          </w:p>
        </w:tc>
        <w:tc>
          <w:tcPr>
            <w:tcW w:w="397" w:type="pct"/>
            <w:shd w:val="clear" w:color="auto" w:fill="auto"/>
            <w:noWrap/>
            <w:vAlign w:val="bottom"/>
            <w:hideMark/>
          </w:tcPr>
          <w:p w14:paraId="3CC7F3E4"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7" w:type="pct"/>
            <w:shd w:val="clear" w:color="auto" w:fill="auto"/>
            <w:noWrap/>
            <w:vAlign w:val="bottom"/>
            <w:hideMark/>
          </w:tcPr>
          <w:p w14:paraId="5DE43A22"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8" w:type="pct"/>
            <w:shd w:val="clear" w:color="auto" w:fill="auto"/>
            <w:noWrap/>
            <w:vAlign w:val="bottom"/>
            <w:hideMark/>
          </w:tcPr>
          <w:p w14:paraId="17970F0F"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440" w:type="pct"/>
            <w:shd w:val="clear" w:color="auto" w:fill="auto"/>
            <w:noWrap/>
            <w:vAlign w:val="bottom"/>
            <w:hideMark/>
          </w:tcPr>
          <w:p w14:paraId="19296AB9"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550" w:type="pct"/>
            <w:shd w:val="clear" w:color="auto" w:fill="auto"/>
            <w:noWrap/>
            <w:vAlign w:val="bottom"/>
            <w:hideMark/>
          </w:tcPr>
          <w:p w14:paraId="64EFFE7E"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grant</w:t>
            </w:r>
          </w:p>
        </w:tc>
      </w:tr>
      <w:tr w:rsidR="004227A0" w:rsidRPr="007D1EDC" w14:paraId="22D6A9E9" w14:textId="77777777" w:rsidTr="004227A0">
        <w:trPr>
          <w:trHeight w:val="210"/>
        </w:trPr>
        <w:tc>
          <w:tcPr>
            <w:tcW w:w="1935" w:type="pct"/>
            <w:shd w:val="clear" w:color="auto" w:fill="auto"/>
            <w:noWrap/>
            <w:vAlign w:val="bottom"/>
            <w:hideMark/>
          </w:tcPr>
          <w:p w14:paraId="1D086E35" w14:textId="2BE3F48D" w:rsidR="004227A0" w:rsidRPr="004227A0" w:rsidRDefault="004227A0" w:rsidP="004227A0">
            <w:pPr>
              <w:rPr>
                <w:rFonts w:ascii="Arial Narrow" w:hAnsi="Arial Narrow" w:cs="Calibri"/>
                <w:color w:val="000000"/>
                <w:sz w:val="20"/>
                <w:szCs w:val="20"/>
                <w:lang w:val="en-GB" w:eastAsia="en-GB"/>
              </w:rPr>
            </w:pPr>
            <w:proofErr w:type="spellStart"/>
            <w:r w:rsidRPr="004227A0">
              <w:rPr>
                <w:rFonts w:ascii="Arial Narrow" w:hAnsi="Arial Narrow" w:cs="Calibri"/>
                <w:color w:val="000000"/>
                <w:sz w:val="20"/>
                <w:szCs w:val="20"/>
                <w:lang w:val="en-GB" w:eastAsia="en-GB"/>
              </w:rPr>
              <w:t>Deponia</w:t>
            </w:r>
            <w:proofErr w:type="spellEnd"/>
            <w:r w:rsidRPr="004227A0">
              <w:rPr>
                <w:rFonts w:ascii="Arial Narrow" w:hAnsi="Arial Narrow" w:cs="Calibri"/>
                <w:color w:val="000000"/>
                <w:sz w:val="20"/>
                <w:szCs w:val="20"/>
                <w:lang w:val="en-GB" w:eastAsia="en-GB"/>
              </w:rPr>
              <w:t xml:space="preserve"> </w:t>
            </w:r>
            <w:proofErr w:type="spellStart"/>
            <w:r w:rsidRPr="004227A0">
              <w:rPr>
                <w:rFonts w:ascii="Arial Narrow" w:hAnsi="Arial Narrow" w:cs="Calibri"/>
                <w:color w:val="000000"/>
                <w:sz w:val="20"/>
                <w:szCs w:val="20"/>
                <w:lang w:val="en-GB" w:eastAsia="en-GB"/>
              </w:rPr>
              <w:t>rajonale</w:t>
            </w:r>
            <w:proofErr w:type="spellEnd"/>
          </w:p>
        </w:tc>
        <w:tc>
          <w:tcPr>
            <w:tcW w:w="486" w:type="pct"/>
            <w:shd w:val="clear" w:color="auto" w:fill="auto"/>
            <w:noWrap/>
            <w:vAlign w:val="bottom"/>
            <w:hideMark/>
          </w:tcPr>
          <w:p w14:paraId="6778B7CD"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10,248</w:t>
            </w:r>
          </w:p>
        </w:tc>
        <w:tc>
          <w:tcPr>
            <w:tcW w:w="397" w:type="pct"/>
            <w:shd w:val="clear" w:color="auto" w:fill="auto"/>
            <w:noWrap/>
            <w:vAlign w:val="bottom"/>
            <w:hideMark/>
          </w:tcPr>
          <w:p w14:paraId="1D30176E"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7" w:type="pct"/>
            <w:shd w:val="clear" w:color="auto" w:fill="auto"/>
            <w:noWrap/>
            <w:vAlign w:val="bottom"/>
            <w:hideMark/>
          </w:tcPr>
          <w:p w14:paraId="58FF9646"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7" w:type="pct"/>
            <w:shd w:val="clear" w:color="auto" w:fill="auto"/>
            <w:noWrap/>
            <w:vAlign w:val="bottom"/>
            <w:hideMark/>
          </w:tcPr>
          <w:p w14:paraId="6034E7ED"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8" w:type="pct"/>
            <w:shd w:val="clear" w:color="auto" w:fill="auto"/>
            <w:noWrap/>
            <w:vAlign w:val="bottom"/>
            <w:hideMark/>
          </w:tcPr>
          <w:p w14:paraId="68B24989"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440" w:type="pct"/>
            <w:shd w:val="clear" w:color="auto" w:fill="auto"/>
            <w:noWrap/>
            <w:vAlign w:val="bottom"/>
            <w:hideMark/>
          </w:tcPr>
          <w:p w14:paraId="1ABBEFD4"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1,458</w:t>
            </w:r>
          </w:p>
        </w:tc>
        <w:tc>
          <w:tcPr>
            <w:tcW w:w="550" w:type="pct"/>
            <w:shd w:val="clear" w:color="auto" w:fill="auto"/>
            <w:noWrap/>
            <w:vAlign w:val="bottom"/>
            <w:hideMark/>
          </w:tcPr>
          <w:p w14:paraId="36EC5070"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grant/</w:t>
            </w:r>
            <w:proofErr w:type="spellStart"/>
            <w:r w:rsidRPr="007D1EDC">
              <w:rPr>
                <w:rFonts w:ascii="Arial Narrow" w:hAnsi="Arial Narrow" w:cs="Calibri"/>
                <w:color w:val="000000"/>
                <w:sz w:val="20"/>
                <w:szCs w:val="20"/>
                <w:lang w:val="en-GB" w:eastAsia="en-GB"/>
              </w:rPr>
              <w:t>kredi</w:t>
            </w:r>
            <w:proofErr w:type="spellEnd"/>
          </w:p>
        </w:tc>
      </w:tr>
      <w:tr w:rsidR="004227A0" w:rsidRPr="007D1EDC" w14:paraId="77AFD091" w14:textId="77777777" w:rsidTr="004227A0">
        <w:trPr>
          <w:trHeight w:val="210"/>
        </w:trPr>
        <w:tc>
          <w:tcPr>
            <w:tcW w:w="1935" w:type="pct"/>
            <w:shd w:val="clear" w:color="auto" w:fill="auto"/>
            <w:noWrap/>
            <w:vAlign w:val="bottom"/>
            <w:hideMark/>
          </w:tcPr>
          <w:p w14:paraId="20412597" w14:textId="4CA5D30E" w:rsidR="004227A0" w:rsidRPr="004227A0" w:rsidRDefault="004227A0" w:rsidP="004227A0">
            <w:pPr>
              <w:rPr>
                <w:rFonts w:ascii="Arial Narrow" w:hAnsi="Arial Narrow" w:cs="Calibri"/>
                <w:color w:val="000000"/>
                <w:sz w:val="20"/>
                <w:szCs w:val="20"/>
                <w:lang w:val="en-GB" w:eastAsia="en-GB"/>
              </w:rPr>
            </w:pPr>
            <w:r w:rsidRPr="004227A0">
              <w:rPr>
                <w:rFonts w:ascii="Arial Narrow" w:hAnsi="Arial Narrow" w:cs="Calibri"/>
                <w:color w:val="000000"/>
                <w:sz w:val="20"/>
                <w:szCs w:val="20"/>
                <w:lang w:val="en-GB" w:eastAsia="en-GB"/>
              </w:rPr>
              <w:t xml:space="preserve">TMB </w:t>
            </w:r>
            <w:proofErr w:type="spellStart"/>
            <w:r w:rsidRPr="004227A0">
              <w:rPr>
                <w:rFonts w:ascii="Arial Narrow" w:hAnsi="Arial Narrow" w:cs="Calibri"/>
                <w:color w:val="000000"/>
                <w:sz w:val="20"/>
                <w:szCs w:val="20"/>
                <w:lang w:val="en-GB" w:eastAsia="en-GB"/>
              </w:rPr>
              <w:t>rajonale</w:t>
            </w:r>
            <w:proofErr w:type="spellEnd"/>
          </w:p>
        </w:tc>
        <w:tc>
          <w:tcPr>
            <w:tcW w:w="486" w:type="pct"/>
            <w:shd w:val="clear" w:color="auto" w:fill="auto"/>
            <w:noWrap/>
            <w:vAlign w:val="bottom"/>
            <w:hideMark/>
          </w:tcPr>
          <w:p w14:paraId="7E4BD271"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7" w:type="pct"/>
            <w:shd w:val="clear" w:color="auto" w:fill="auto"/>
            <w:noWrap/>
            <w:vAlign w:val="bottom"/>
            <w:hideMark/>
          </w:tcPr>
          <w:p w14:paraId="3DD528EB"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7" w:type="pct"/>
            <w:shd w:val="clear" w:color="auto" w:fill="auto"/>
            <w:noWrap/>
            <w:vAlign w:val="bottom"/>
            <w:hideMark/>
          </w:tcPr>
          <w:p w14:paraId="358FA08E"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7" w:type="pct"/>
            <w:shd w:val="clear" w:color="auto" w:fill="auto"/>
            <w:noWrap/>
            <w:vAlign w:val="bottom"/>
            <w:hideMark/>
          </w:tcPr>
          <w:p w14:paraId="620F319D"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8" w:type="pct"/>
            <w:shd w:val="clear" w:color="auto" w:fill="auto"/>
            <w:noWrap/>
            <w:vAlign w:val="bottom"/>
            <w:hideMark/>
          </w:tcPr>
          <w:p w14:paraId="7BEF3F8E"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440" w:type="pct"/>
            <w:shd w:val="clear" w:color="auto" w:fill="auto"/>
            <w:noWrap/>
            <w:vAlign w:val="bottom"/>
            <w:hideMark/>
          </w:tcPr>
          <w:p w14:paraId="24661D87"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15,254</w:t>
            </w:r>
          </w:p>
        </w:tc>
        <w:tc>
          <w:tcPr>
            <w:tcW w:w="550" w:type="pct"/>
            <w:shd w:val="clear" w:color="auto" w:fill="auto"/>
            <w:noWrap/>
            <w:vAlign w:val="bottom"/>
            <w:hideMark/>
          </w:tcPr>
          <w:p w14:paraId="7C879018"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grant</w:t>
            </w:r>
          </w:p>
        </w:tc>
      </w:tr>
      <w:tr w:rsidR="004227A0" w:rsidRPr="007D1EDC" w14:paraId="463211EC" w14:textId="77777777" w:rsidTr="004227A0">
        <w:trPr>
          <w:trHeight w:val="210"/>
        </w:trPr>
        <w:tc>
          <w:tcPr>
            <w:tcW w:w="1935" w:type="pct"/>
            <w:shd w:val="clear" w:color="auto" w:fill="auto"/>
            <w:noWrap/>
            <w:vAlign w:val="bottom"/>
            <w:hideMark/>
          </w:tcPr>
          <w:p w14:paraId="2EE14197" w14:textId="31CE5063" w:rsidR="004227A0" w:rsidRPr="004227A0" w:rsidRDefault="004227A0" w:rsidP="004227A0">
            <w:pPr>
              <w:rPr>
                <w:rFonts w:ascii="Arial Narrow" w:hAnsi="Arial Narrow" w:cs="Calibri"/>
                <w:color w:val="000000"/>
                <w:sz w:val="20"/>
                <w:szCs w:val="20"/>
                <w:lang w:val="en-GB" w:eastAsia="en-GB"/>
              </w:rPr>
            </w:pPr>
            <w:proofErr w:type="spellStart"/>
            <w:r w:rsidRPr="004227A0">
              <w:rPr>
                <w:rFonts w:ascii="Arial Narrow" w:hAnsi="Arial Narrow" w:cs="Calibri"/>
                <w:color w:val="000000"/>
                <w:sz w:val="20"/>
                <w:szCs w:val="20"/>
                <w:lang w:val="en-GB" w:eastAsia="en-GB"/>
              </w:rPr>
              <w:t>Objekti</w:t>
            </w:r>
            <w:proofErr w:type="spellEnd"/>
            <w:r w:rsidRPr="004227A0">
              <w:rPr>
                <w:rFonts w:ascii="Arial Narrow" w:hAnsi="Arial Narrow" w:cs="Calibri"/>
                <w:color w:val="000000"/>
                <w:sz w:val="20"/>
                <w:szCs w:val="20"/>
                <w:lang w:val="en-GB" w:eastAsia="en-GB"/>
              </w:rPr>
              <w:t xml:space="preserve"> </w:t>
            </w:r>
            <w:proofErr w:type="spellStart"/>
            <w:r w:rsidRPr="004227A0">
              <w:rPr>
                <w:rFonts w:ascii="Arial Narrow" w:hAnsi="Arial Narrow" w:cs="Calibri"/>
                <w:color w:val="000000"/>
                <w:sz w:val="20"/>
                <w:szCs w:val="20"/>
                <w:lang w:val="en-GB" w:eastAsia="en-GB"/>
              </w:rPr>
              <w:t>rajonal</w:t>
            </w:r>
            <w:proofErr w:type="spellEnd"/>
            <w:r w:rsidRPr="004227A0">
              <w:rPr>
                <w:rFonts w:ascii="Arial Narrow" w:hAnsi="Arial Narrow" w:cs="Calibri"/>
                <w:color w:val="000000"/>
                <w:sz w:val="20"/>
                <w:szCs w:val="20"/>
                <w:lang w:val="en-GB" w:eastAsia="en-GB"/>
              </w:rPr>
              <w:t xml:space="preserve"> i </w:t>
            </w:r>
            <w:proofErr w:type="spellStart"/>
            <w:r w:rsidRPr="004227A0">
              <w:rPr>
                <w:rFonts w:ascii="Arial Narrow" w:hAnsi="Arial Narrow" w:cs="Calibri"/>
                <w:color w:val="000000"/>
                <w:sz w:val="20"/>
                <w:szCs w:val="20"/>
                <w:lang w:val="en-GB" w:eastAsia="en-GB"/>
              </w:rPr>
              <w:t>trajtimit</w:t>
            </w:r>
            <w:proofErr w:type="spellEnd"/>
            <w:r w:rsidRPr="004227A0">
              <w:rPr>
                <w:rFonts w:ascii="Arial Narrow" w:hAnsi="Arial Narrow" w:cs="Calibri"/>
                <w:color w:val="000000"/>
                <w:sz w:val="20"/>
                <w:szCs w:val="20"/>
                <w:lang w:val="en-GB" w:eastAsia="en-GB"/>
              </w:rPr>
              <w:t xml:space="preserve"> </w:t>
            </w:r>
            <w:proofErr w:type="spellStart"/>
            <w:r w:rsidRPr="004227A0">
              <w:rPr>
                <w:rFonts w:ascii="Arial Narrow" w:hAnsi="Arial Narrow" w:cs="Calibri"/>
                <w:color w:val="000000"/>
                <w:sz w:val="20"/>
                <w:szCs w:val="20"/>
                <w:lang w:val="en-GB" w:eastAsia="en-GB"/>
              </w:rPr>
              <w:t>në</w:t>
            </w:r>
            <w:proofErr w:type="spellEnd"/>
            <w:r w:rsidRPr="004227A0">
              <w:rPr>
                <w:rFonts w:ascii="Arial Narrow" w:hAnsi="Arial Narrow" w:cs="Calibri"/>
                <w:color w:val="000000"/>
                <w:sz w:val="20"/>
                <w:szCs w:val="20"/>
                <w:lang w:val="en-GB" w:eastAsia="en-GB"/>
              </w:rPr>
              <w:t xml:space="preserve"> </w:t>
            </w:r>
            <w:proofErr w:type="spellStart"/>
            <w:r w:rsidRPr="004227A0">
              <w:rPr>
                <w:rFonts w:ascii="Arial Narrow" w:hAnsi="Arial Narrow" w:cs="Calibri"/>
                <w:color w:val="000000"/>
                <w:sz w:val="20"/>
                <w:szCs w:val="20"/>
                <w:lang w:val="en-GB" w:eastAsia="en-GB"/>
              </w:rPr>
              <w:t>kontejnerë</w:t>
            </w:r>
            <w:proofErr w:type="spellEnd"/>
            <w:r w:rsidRPr="004227A0">
              <w:rPr>
                <w:rFonts w:ascii="Arial Narrow" w:hAnsi="Arial Narrow" w:cs="Calibri"/>
                <w:color w:val="000000"/>
                <w:sz w:val="20"/>
                <w:szCs w:val="20"/>
                <w:lang w:val="en-GB" w:eastAsia="en-GB"/>
              </w:rPr>
              <w:t xml:space="preserve"> </w:t>
            </w:r>
            <w:proofErr w:type="spellStart"/>
            <w:r w:rsidRPr="004227A0">
              <w:rPr>
                <w:rFonts w:ascii="Arial Narrow" w:hAnsi="Arial Narrow" w:cs="Calibri"/>
                <w:color w:val="000000"/>
                <w:sz w:val="20"/>
                <w:szCs w:val="20"/>
                <w:lang w:val="en-GB" w:eastAsia="en-GB"/>
              </w:rPr>
              <w:t>të</w:t>
            </w:r>
            <w:proofErr w:type="spellEnd"/>
            <w:r w:rsidRPr="004227A0">
              <w:rPr>
                <w:rFonts w:ascii="Arial Narrow" w:hAnsi="Arial Narrow" w:cs="Calibri"/>
                <w:color w:val="000000"/>
                <w:sz w:val="20"/>
                <w:szCs w:val="20"/>
                <w:lang w:val="en-GB" w:eastAsia="en-GB"/>
              </w:rPr>
              <w:t xml:space="preserve"> </w:t>
            </w:r>
            <w:proofErr w:type="spellStart"/>
            <w:r w:rsidRPr="004227A0">
              <w:rPr>
                <w:rFonts w:ascii="Arial Narrow" w:hAnsi="Arial Narrow" w:cs="Calibri"/>
                <w:color w:val="000000"/>
                <w:sz w:val="20"/>
                <w:szCs w:val="20"/>
                <w:lang w:val="en-GB" w:eastAsia="en-GB"/>
              </w:rPr>
              <w:t>specializuar</w:t>
            </w:r>
            <w:proofErr w:type="spellEnd"/>
          </w:p>
        </w:tc>
        <w:tc>
          <w:tcPr>
            <w:tcW w:w="486" w:type="pct"/>
            <w:shd w:val="clear" w:color="auto" w:fill="auto"/>
            <w:noWrap/>
            <w:vAlign w:val="bottom"/>
            <w:hideMark/>
          </w:tcPr>
          <w:p w14:paraId="129DFB86"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7" w:type="pct"/>
            <w:shd w:val="clear" w:color="auto" w:fill="auto"/>
            <w:noWrap/>
            <w:vAlign w:val="bottom"/>
            <w:hideMark/>
          </w:tcPr>
          <w:p w14:paraId="51C709F6"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7" w:type="pct"/>
            <w:shd w:val="clear" w:color="auto" w:fill="auto"/>
            <w:noWrap/>
            <w:vAlign w:val="bottom"/>
            <w:hideMark/>
          </w:tcPr>
          <w:p w14:paraId="5BD60ABE"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7" w:type="pct"/>
            <w:shd w:val="clear" w:color="auto" w:fill="auto"/>
            <w:noWrap/>
            <w:vAlign w:val="bottom"/>
            <w:hideMark/>
          </w:tcPr>
          <w:p w14:paraId="3D66F5D6"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398" w:type="pct"/>
            <w:shd w:val="clear" w:color="auto" w:fill="auto"/>
            <w:noWrap/>
            <w:vAlign w:val="bottom"/>
            <w:hideMark/>
          </w:tcPr>
          <w:p w14:paraId="31F1F247"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 </w:t>
            </w:r>
          </w:p>
        </w:tc>
        <w:tc>
          <w:tcPr>
            <w:tcW w:w="440" w:type="pct"/>
            <w:shd w:val="clear" w:color="auto" w:fill="auto"/>
            <w:noWrap/>
            <w:vAlign w:val="bottom"/>
            <w:hideMark/>
          </w:tcPr>
          <w:p w14:paraId="29E857F9"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3,897</w:t>
            </w:r>
          </w:p>
        </w:tc>
        <w:tc>
          <w:tcPr>
            <w:tcW w:w="550" w:type="pct"/>
            <w:shd w:val="clear" w:color="auto" w:fill="auto"/>
            <w:noWrap/>
            <w:vAlign w:val="bottom"/>
            <w:hideMark/>
          </w:tcPr>
          <w:p w14:paraId="5183BE8D" w14:textId="77777777" w:rsidR="004227A0" w:rsidRPr="007D1EDC" w:rsidRDefault="004227A0" w:rsidP="004227A0">
            <w:pPr>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grant</w:t>
            </w:r>
          </w:p>
        </w:tc>
      </w:tr>
      <w:tr w:rsidR="004227A0" w:rsidRPr="007D1EDC" w14:paraId="6D95E43C" w14:textId="77777777" w:rsidTr="004227A0">
        <w:trPr>
          <w:trHeight w:val="210"/>
        </w:trPr>
        <w:tc>
          <w:tcPr>
            <w:tcW w:w="1935" w:type="pct"/>
            <w:shd w:val="clear" w:color="auto" w:fill="auto"/>
            <w:noWrap/>
            <w:vAlign w:val="bottom"/>
            <w:hideMark/>
          </w:tcPr>
          <w:p w14:paraId="09E65764" w14:textId="2CAE4E98" w:rsidR="004227A0" w:rsidRPr="004227A0" w:rsidRDefault="004227A0" w:rsidP="004227A0">
            <w:pPr>
              <w:rPr>
                <w:rFonts w:ascii="Arial Narrow" w:hAnsi="Arial Narrow" w:cs="Calibri"/>
                <w:color w:val="000000"/>
                <w:sz w:val="20"/>
                <w:szCs w:val="20"/>
                <w:lang w:val="en-GB" w:eastAsia="en-GB"/>
              </w:rPr>
            </w:pPr>
            <w:proofErr w:type="spellStart"/>
            <w:r w:rsidRPr="004227A0">
              <w:rPr>
                <w:rFonts w:ascii="Arial Narrow" w:hAnsi="Arial Narrow" w:cs="Calibri"/>
                <w:color w:val="000000"/>
                <w:sz w:val="20"/>
                <w:szCs w:val="20"/>
                <w:lang w:val="en-GB" w:eastAsia="en-GB"/>
              </w:rPr>
              <w:t>Gjithsej</w:t>
            </w:r>
            <w:proofErr w:type="spellEnd"/>
          </w:p>
        </w:tc>
        <w:tc>
          <w:tcPr>
            <w:tcW w:w="486" w:type="pct"/>
            <w:shd w:val="clear" w:color="auto" w:fill="auto"/>
            <w:noWrap/>
            <w:vAlign w:val="bottom"/>
            <w:hideMark/>
          </w:tcPr>
          <w:p w14:paraId="64B343D5"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15,419</w:t>
            </w:r>
          </w:p>
        </w:tc>
        <w:tc>
          <w:tcPr>
            <w:tcW w:w="397" w:type="pct"/>
            <w:shd w:val="clear" w:color="auto" w:fill="auto"/>
            <w:noWrap/>
            <w:vAlign w:val="bottom"/>
            <w:hideMark/>
          </w:tcPr>
          <w:p w14:paraId="4C3E3E89"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3,093</w:t>
            </w:r>
          </w:p>
        </w:tc>
        <w:tc>
          <w:tcPr>
            <w:tcW w:w="397" w:type="pct"/>
            <w:shd w:val="clear" w:color="auto" w:fill="auto"/>
            <w:noWrap/>
            <w:vAlign w:val="bottom"/>
            <w:hideMark/>
          </w:tcPr>
          <w:p w14:paraId="0AF1E6CA"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567</w:t>
            </w:r>
          </w:p>
        </w:tc>
        <w:tc>
          <w:tcPr>
            <w:tcW w:w="397" w:type="pct"/>
            <w:shd w:val="clear" w:color="auto" w:fill="auto"/>
            <w:noWrap/>
            <w:vAlign w:val="bottom"/>
            <w:hideMark/>
          </w:tcPr>
          <w:p w14:paraId="7D2F7EC3"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570</w:t>
            </w:r>
          </w:p>
        </w:tc>
        <w:tc>
          <w:tcPr>
            <w:tcW w:w="398" w:type="pct"/>
            <w:shd w:val="clear" w:color="auto" w:fill="auto"/>
            <w:noWrap/>
            <w:vAlign w:val="bottom"/>
            <w:hideMark/>
          </w:tcPr>
          <w:p w14:paraId="221F0590"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397</w:t>
            </w:r>
          </w:p>
        </w:tc>
        <w:tc>
          <w:tcPr>
            <w:tcW w:w="440" w:type="pct"/>
            <w:shd w:val="clear" w:color="auto" w:fill="auto"/>
            <w:noWrap/>
            <w:vAlign w:val="bottom"/>
            <w:hideMark/>
          </w:tcPr>
          <w:p w14:paraId="1B252F92"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21,053</w:t>
            </w:r>
          </w:p>
        </w:tc>
        <w:tc>
          <w:tcPr>
            <w:tcW w:w="550" w:type="pct"/>
            <w:shd w:val="clear" w:color="auto" w:fill="auto"/>
            <w:noWrap/>
            <w:vAlign w:val="bottom"/>
            <w:hideMark/>
          </w:tcPr>
          <w:p w14:paraId="7C9EA7BC" w14:textId="77777777" w:rsidR="004227A0" w:rsidRPr="007D1EDC" w:rsidRDefault="004227A0" w:rsidP="004227A0">
            <w:pPr>
              <w:jc w:val="right"/>
              <w:rPr>
                <w:rFonts w:ascii="Arial Narrow" w:hAnsi="Arial Narrow" w:cs="Calibri"/>
                <w:color w:val="000000"/>
                <w:sz w:val="20"/>
                <w:szCs w:val="20"/>
                <w:lang w:val="en-GB" w:eastAsia="en-GB"/>
              </w:rPr>
            </w:pPr>
          </w:p>
        </w:tc>
      </w:tr>
      <w:tr w:rsidR="004227A0" w:rsidRPr="007D1EDC" w14:paraId="2C65539C" w14:textId="77777777" w:rsidTr="004227A0">
        <w:trPr>
          <w:trHeight w:val="210"/>
        </w:trPr>
        <w:tc>
          <w:tcPr>
            <w:tcW w:w="1935" w:type="pct"/>
            <w:shd w:val="clear" w:color="auto" w:fill="auto"/>
            <w:noWrap/>
            <w:vAlign w:val="bottom"/>
            <w:hideMark/>
          </w:tcPr>
          <w:p w14:paraId="2A61C543" w14:textId="36CDD254" w:rsidR="004227A0" w:rsidRPr="004227A0" w:rsidRDefault="004227A0" w:rsidP="004227A0">
            <w:pPr>
              <w:rPr>
                <w:rFonts w:ascii="Arial Narrow" w:hAnsi="Arial Narrow" w:cs="Calibri"/>
                <w:color w:val="000000"/>
                <w:sz w:val="20"/>
                <w:szCs w:val="20"/>
                <w:lang w:val="en-GB" w:eastAsia="en-GB"/>
              </w:rPr>
            </w:pPr>
            <w:proofErr w:type="spellStart"/>
            <w:r w:rsidRPr="004227A0">
              <w:rPr>
                <w:rFonts w:ascii="Arial Narrow" w:hAnsi="Arial Narrow" w:cs="Calibri"/>
                <w:color w:val="000000"/>
                <w:sz w:val="20"/>
                <w:szCs w:val="20"/>
                <w:lang w:val="en-GB" w:eastAsia="en-GB"/>
              </w:rPr>
              <w:t>Totali</w:t>
            </w:r>
            <w:proofErr w:type="spellEnd"/>
            <w:r w:rsidRPr="004227A0">
              <w:rPr>
                <w:rFonts w:ascii="Arial Narrow" w:hAnsi="Arial Narrow" w:cs="Calibri"/>
                <w:color w:val="000000"/>
                <w:sz w:val="20"/>
                <w:szCs w:val="20"/>
                <w:lang w:val="en-GB" w:eastAsia="en-GB"/>
              </w:rPr>
              <w:t xml:space="preserve">, pa </w:t>
            </w:r>
            <w:proofErr w:type="spellStart"/>
            <w:r w:rsidRPr="004227A0">
              <w:rPr>
                <w:rFonts w:ascii="Arial Narrow" w:hAnsi="Arial Narrow" w:cs="Calibri"/>
                <w:color w:val="000000"/>
                <w:sz w:val="20"/>
                <w:szCs w:val="20"/>
                <w:lang w:val="en-GB" w:eastAsia="en-GB"/>
              </w:rPr>
              <w:t>investimet</w:t>
            </w:r>
            <w:proofErr w:type="spellEnd"/>
            <w:r w:rsidRPr="004227A0">
              <w:rPr>
                <w:rFonts w:ascii="Arial Narrow" w:hAnsi="Arial Narrow" w:cs="Calibri"/>
                <w:color w:val="000000"/>
                <w:sz w:val="20"/>
                <w:szCs w:val="20"/>
                <w:lang w:val="en-GB" w:eastAsia="en-GB"/>
              </w:rPr>
              <w:t xml:space="preserve"> </w:t>
            </w:r>
            <w:proofErr w:type="spellStart"/>
            <w:r w:rsidRPr="004227A0">
              <w:rPr>
                <w:rFonts w:ascii="Arial Narrow" w:hAnsi="Arial Narrow" w:cs="Calibri"/>
                <w:color w:val="000000"/>
                <w:sz w:val="20"/>
                <w:szCs w:val="20"/>
                <w:lang w:val="en-GB" w:eastAsia="en-GB"/>
              </w:rPr>
              <w:t>nga</w:t>
            </w:r>
            <w:proofErr w:type="spellEnd"/>
            <w:r w:rsidRPr="004227A0">
              <w:rPr>
                <w:rFonts w:ascii="Arial Narrow" w:hAnsi="Arial Narrow" w:cs="Calibri"/>
                <w:color w:val="000000"/>
                <w:sz w:val="20"/>
                <w:szCs w:val="20"/>
                <w:lang w:val="en-GB" w:eastAsia="en-GB"/>
              </w:rPr>
              <w:t xml:space="preserve"> </w:t>
            </w:r>
            <w:proofErr w:type="spellStart"/>
            <w:r w:rsidRPr="004227A0">
              <w:rPr>
                <w:rFonts w:ascii="Arial Narrow" w:hAnsi="Arial Narrow" w:cs="Calibri"/>
                <w:color w:val="000000"/>
                <w:sz w:val="20"/>
                <w:szCs w:val="20"/>
                <w:lang w:val="en-GB" w:eastAsia="en-GB"/>
              </w:rPr>
              <w:t>skema</w:t>
            </w:r>
            <w:proofErr w:type="spellEnd"/>
            <w:r w:rsidRPr="004227A0">
              <w:rPr>
                <w:rFonts w:ascii="Arial Narrow" w:hAnsi="Arial Narrow" w:cs="Calibri"/>
                <w:color w:val="000000"/>
                <w:sz w:val="20"/>
                <w:szCs w:val="20"/>
                <w:lang w:val="en-GB" w:eastAsia="en-GB"/>
              </w:rPr>
              <w:t xml:space="preserve"> PZP</w:t>
            </w:r>
          </w:p>
        </w:tc>
        <w:tc>
          <w:tcPr>
            <w:tcW w:w="486" w:type="pct"/>
            <w:shd w:val="clear" w:color="auto" w:fill="auto"/>
            <w:noWrap/>
            <w:vAlign w:val="bottom"/>
            <w:hideMark/>
          </w:tcPr>
          <w:p w14:paraId="03D971BC"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13,844</w:t>
            </w:r>
          </w:p>
        </w:tc>
        <w:tc>
          <w:tcPr>
            <w:tcW w:w="397" w:type="pct"/>
            <w:shd w:val="clear" w:color="auto" w:fill="auto"/>
            <w:noWrap/>
            <w:vAlign w:val="bottom"/>
            <w:hideMark/>
          </w:tcPr>
          <w:p w14:paraId="47ECFD55"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238</w:t>
            </w:r>
          </w:p>
        </w:tc>
        <w:tc>
          <w:tcPr>
            <w:tcW w:w="397" w:type="pct"/>
            <w:shd w:val="clear" w:color="auto" w:fill="auto"/>
            <w:noWrap/>
            <w:vAlign w:val="bottom"/>
            <w:hideMark/>
          </w:tcPr>
          <w:p w14:paraId="69BF7D05"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0</w:t>
            </w:r>
          </w:p>
        </w:tc>
        <w:tc>
          <w:tcPr>
            <w:tcW w:w="397" w:type="pct"/>
            <w:shd w:val="clear" w:color="auto" w:fill="auto"/>
            <w:noWrap/>
            <w:vAlign w:val="bottom"/>
            <w:hideMark/>
          </w:tcPr>
          <w:p w14:paraId="722C0C2B"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0</w:t>
            </w:r>
          </w:p>
        </w:tc>
        <w:tc>
          <w:tcPr>
            <w:tcW w:w="398" w:type="pct"/>
            <w:shd w:val="clear" w:color="auto" w:fill="auto"/>
            <w:noWrap/>
            <w:vAlign w:val="bottom"/>
            <w:hideMark/>
          </w:tcPr>
          <w:p w14:paraId="1EDBC848"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0</w:t>
            </w:r>
          </w:p>
        </w:tc>
        <w:tc>
          <w:tcPr>
            <w:tcW w:w="440" w:type="pct"/>
            <w:shd w:val="clear" w:color="auto" w:fill="auto"/>
            <w:noWrap/>
            <w:vAlign w:val="bottom"/>
            <w:hideMark/>
          </w:tcPr>
          <w:p w14:paraId="709F32F7" w14:textId="77777777" w:rsidR="004227A0" w:rsidRPr="007D1EDC" w:rsidRDefault="004227A0" w:rsidP="004227A0">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20,609</w:t>
            </w:r>
          </w:p>
        </w:tc>
        <w:tc>
          <w:tcPr>
            <w:tcW w:w="550" w:type="pct"/>
            <w:shd w:val="clear" w:color="auto" w:fill="auto"/>
            <w:noWrap/>
            <w:vAlign w:val="bottom"/>
            <w:hideMark/>
          </w:tcPr>
          <w:p w14:paraId="26733281" w14:textId="77777777" w:rsidR="004227A0" w:rsidRPr="007D1EDC" w:rsidRDefault="004227A0" w:rsidP="004227A0">
            <w:pPr>
              <w:jc w:val="right"/>
              <w:rPr>
                <w:rFonts w:ascii="Arial Narrow" w:hAnsi="Arial Narrow" w:cs="Calibri"/>
                <w:color w:val="000000"/>
                <w:sz w:val="20"/>
                <w:szCs w:val="20"/>
                <w:lang w:val="en-GB" w:eastAsia="en-GB"/>
              </w:rPr>
            </w:pPr>
          </w:p>
        </w:tc>
      </w:tr>
    </w:tbl>
    <w:p w14:paraId="46454BDB" w14:textId="77777777" w:rsidR="007D1EDC" w:rsidRPr="004227A0" w:rsidRDefault="007D1EDC" w:rsidP="007D1EDC">
      <w:pPr>
        <w:rPr>
          <w:rFonts w:ascii="Arial Narrow" w:hAnsi="Arial Narrow"/>
          <w:sz w:val="22"/>
          <w:szCs w:val="22"/>
        </w:rPr>
      </w:pPr>
    </w:p>
    <w:p w14:paraId="6B7BF5A2" w14:textId="224A1B12" w:rsidR="007D1EDC" w:rsidRPr="004227A0" w:rsidRDefault="004227A0" w:rsidP="004227A0">
      <w:pPr>
        <w:jc w:val="both"/>
        <w:rPr>
          <w:rFonts w:ascii="Arial Narrow" w:hAnsi="Arial Narrow"/>
          <w:sz w:val="22"/>
          <w:szCs w:val="22"/>
        </w:rPr>
      </w:pPr>
      <w:r w:rsidRPr="004227A0">
        <w:rPr>
          <w:rFonts w:ascii="Arial Narrow" w:hAnsi="Arial Narrow"/>
          <w:sz w:val="22"/>
          <w:szCs w:val="22"/>
        </w:rPr>
        <w:t>Investimi total për periudhën arrin në 41 milionë euro, 6.4 milionë euro do të sigurohen nga skema PZP. Kredia është konsideruar për ndërtimin e qelisë së dytë të deponisë. Për pjesën tjetër të investimit do të kërkohet financim me grante, nga të cilat 14 milionë euro për fazën e parë dhe 19 milionë euro për fazën e dytë</w:t>
      </w:r>
      <w:r w:rsidR="007D1EDC" w:rsidRPr="004227A0">
        <w:rPr>
          <w:rFonts w:ascii="Arial Narrow" w:hAnsi="Arial Narrow"/>
          <w:sz w:val="22"/>
          <w:szCs w:val="22"/>
        </w:rPr>
        <w:t>.</w:t>
      </w:r>
    </w:p>
    <w:bookmarkEnd w:id="676"/>
    <w:p w14:paraId="0D8B4955" w14:textId="77777777" w:rsidR="007D1EDC" w:rsidRPr="004227A0" w:rsidRDefault="007D1EDC" w:rsidP="007D1EDC">
      <w:pPr>
        <w:rPr>
          <w:rFonts w:ascii="Arial Narrow" w:hAnsi="Arial Narrow"/>
          <w:sz w:val="22"/>
          <w:szCs w:val="22"/>
          <w:highlight w:val="yellow"/>
        </w:rPr>
      </w:pPr>
    </w:p>
    <w:p w14:paraId="2DCBE752" w14:textId="22523EB3" w:rsidR="007D1EDC" w:rsidRPr="007D1EDC" w:rsidRDefault="007D1EDC" w:rsidP="002E4DDE">
      <w:pPr>
        <w:pStyle w:val="Heading3"/>
        <w:ind w:left="1134" w:hanging="1134"/>
      </w:pPr>
      <w:bookmarkStart w:id="680" w:name="_Toc190929316"/>
      <w:bookmarkStart w:id="681" w:name="_Toc190967413"/>
      <w:r w:rsidRPr="007D1EDC">
        <w:t xml:space="preserve"> </w:t>
      </w:r>
      <w:bookmarkStart w:id="682" w:name="_Toc197472062"/>
      <w:r w:rsidRPr="007D1EDC">
        <w:t>Implikimet tarif</w:t>
      </w:r>
      <w:r w:rsidR="00467019">
        <w:t>ore</w:t>
      </w:r>
      <w:r w:rsidRPr="007D1EDC">
        <w:t xml:space="preserve"> </w:t>
      </w:r>
      <w:bookmarkEnd w:id="680"/>
      <w:r w:rsidRPr="007D1EDC">
        <w:t>dhe përballueshmëria</w:t>
      </w:r>
      <w:bookmarkEnd w:id="681"/>
      <w:bookmarkEnd w:id="682"/>
    </w:p>
    <w:p w14:paraId="02761168" w14:textId="77777777" w:rsidR="007D1EDC" w:rsidRPr="00467019" w:rsidRDefault="007D1EDC" w:rsidP="007D1EDC">
      <w:pPr>
        <w:suppressAutoHyphens/>
        <w:rPr>
          <w:rFonts w:ascii="Arial Narrow" w:eastAsia="Calibri" w:hAnsi="Arial Narrow" w:cs="Calibri"/>
          <w:sz w:val="22"/>
          <w:szCs w:val="22"/>
          <w:lang w:val="bg-BG"/>
        </w:rPr>
      </w:pPr>
    </w:p>
    <w:p w14:paraId="7E9A6B17" w14:textId="77777777" w:rsidR="00467019" w:rsidRPr="009F5CA1" w:rsidRDefault="00467019" w:rsidP="00467019">
      <w:pPr>
        <w:rPr>
          <w:rFonts w:ascii="Arial Narrow" w:eastAsia="Aptos" w:hAnsi="Arial Narrow"/>
          <w:kern w:val="2"/>
          <w:sz w:val="22"/>
          <w:szCs w:val="22"/>
          <w:lang w:val="bg-BG"/>
          <w14:ligatures w14:val="standardContextual"/>
        </w:rPr>
      </w:pPr>
      <w:proofErr w:type="spellStart"/>
      <w:r w:rsidRPr="00467019">
        <w:rPr>
          <w:rFonts w:ascii="Arial Narrow" w:eastAsia="Aptos" w:hAnsi="Arial Narrow"/>
          <w:kern w:val="2"/>
          <w:sz w:val="22"/>
          <w:szCs w:val="22"/>
          <w:lang w:val="en-GB"/>
          <w14:ligatures w14:val="standardContextual"/>
        </w:rPr>
        <w:t>Llogaritjet</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tarifave</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zhvillohen</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n</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baz</w:t>
      </w:r>
      <w:proofErr w:type="spellEnd"/>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fraksioneve</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mbeturinave</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ë ç</w:t>
      </w:r>
      <w:proofErr w:type="spellStart"/>
      <w:r w:rsidRPr="00467019">
        <w:rPr>
          <w:rFonts w:ascii="Arial Narrow" w:eastAsia="Aptos" w:hAnsi="Arial Narrow"/>
          <w:kern w:val="2"/>
          <w:sz w:val="22"/>
          <w:szCs w:val="22"/>
          <w:lang w:val="en-GB"/>
          <w14:ligatures w14:val="standardContextual"/>
        </w:rPr>
        <w:t>do</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komune</w:t>
      </w:r>
      <w:proofErr w:type="spellEnd"/>
      <w:r w:rsidRPr="009F5CA1">
        <w:rPr>
          <w:rFonts w:ascii="Arial Narrow" w:eastAsia="Aptos" w:hAnsi="Arial Narrow"/>
          <w:kern w:val="2"/>
          <w:sz w:val="22"/>
          <w:szCs w:val="22"/>
          <w:lang w:val="bg-BG"/>
          <w14:ligatures w14:val="standardContextual"/>
        </w:rPr>
        <w:t>.</w:t>
      </w:r>
    </w:p>
    <w:p w14:paraId="050B5B9A" w14:textId="77777777" w:rsidR="00467019" w:rsidRPr="009F5CA1" w:rsidRDefault="00467019" w:rsidP="00467019">
      <w:pPr>
        <w:rPr>
          <w:rFonts w:ascii="Arial Narrow" w:eastAsia="Aptos" w:hAnsi="Arial Narrow"/>
          <w:kern w:val="2"/>
          <w:sz w:val="22"/>
          <w:szCs w:val="22"/>
          <w:lang w:val="bg-BG"/>
          <w14:ligatures w14:val="standardContextual"/>
        </w:rPr>
      </w:pPr>
    </w:p>
    <w:p w14:paraId="1FC5DB5E" w14:textId="77777777" w:rsidR="00467019" w:rsidRPr="009F5CA1" w:rsidRDefault="00467019" w:rsidP="00637DBA">
      <w:pPr>
        <w:jc w:val="both"/>
        <w:rPr>
          <w:rFonts w:ascii="Arial Narrow" w:eastAsia="Aptos" w:hAnsi="Arial Narrow"/>
          <w:kern w:val="2"/>
          <w:sz w:val="22"/>
          <w:szCs w:val="22"/>
          <w:lang w:val="bg-BG"/>
          <w14:ligatures w14:val="standardContextual"/>
        </w:rPr>
      </w:pPr>
      <w:proofErr w:type="spellStart"/>
      <w:r w:rsidRPr="00467019">
        <w:rPr>
          <w:rFonts w:ascii="Arial Narrow" w:eastAsia="Aptos" w:hAnsi="Arial Narrow"/>
          <w:kern w:val="2"/>
          <w:sz w:val="22"/>
          <w:szCs w:val="22"/>
          <w:lang w:val="en-GB"/>
          <w14:ligatures w14:val="standardContextual"/>
        </w:rPr>
        <w:t>Kostot</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nd</w:t>
      </w:r>
      <w:proofErr w:type="spellEnd"/>
      <w:r w:rsidRPr="009F5CA1">
        <w:rPr>
          <w:rFonts w:ascii="Arial Narrow" w:eastAsia="Aptos" w:hAnsi="Arial Narrow"/>
          <w:kern w:val="2"/>
          <w:sz w:val="22"/>
          <w:szCs w:val="22"/>
          <w:lang w:val="bg-BG"/>
          <w14:ligatures w14:val="standardContextual"/>
        </w:rPr>
        <w:t>ë</w:t>
      </w:r>
      <w:proofErr w:type="spellStart"/>
      <w:r w:rsidRPr="00467019">
        <w:rPr>
          <w:rFonts w:ascii="Arial Narrow" w:eastAsia="Aptos" w:hAnsi="Arial Narrow"/>
          <w:kern w:val="2"/>
          <w:sz w:val="22"/>
          <w:szCs w:val="22"/>
          <w:lang w:val="en-GB"/>
          <w14:ligatures w14:val="standardContextual"/>
        </w:rPr>
        <w:t>rlidhura</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me</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materialet</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riciklueshme</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grumbulluara</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ndaras</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klasifikimi</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i</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mbeturinave</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riciklueshme</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grumbulluara</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ndaras</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dhe</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deponimi</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i</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papast</w:t>
      </w:r>
      <w:proofErr w:type="spellEnd"/>
      <w:r w:rsidRPr="009F5CA1">
        <w:rPr>
          <w:rFonts w:ascii="Arial Narrow" w:eastAsia="Aptos" w:hAnsi="Arial Narrow"/>
          <w:kern w:val="2"/>
          <w:sz w:val="22"/>
          <w:szCs w:val="22"/>
          <w:lang w:val="bg-BG"/>
          <w14:ligatures w14:val="standardContextual"/>
        </w:rPr>
        <w:t>ë</w:t>
      </w:r>
      <w:proofErr w:type="spellStart"/>
      <w:r w:rsidRPr="00467019">
        <w:rPr>
          <w:rFonts w:ascii="Arial Narrow" w:eastAsia="Aptos" w:hAnsi="Arial Narrow"/>
          <w:kern w:val="2"/>
          <w:sz w:val="22"/>
          <w:szCs w:val="22"/>
          <w:lang w:val="en-GB"/>
          <w14:ligatures w14:val="standardContextual"/>
        </w:rPr>
        <w:t>rtive</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nga</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linja</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klasifikimit</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si</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dhe</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kostot</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grumbullimin</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ndaras</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fraksioneve</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si</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MPEE</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gomat</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grumbullimi</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i</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mbeturinave</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tekstilit</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q</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nga</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viti</w:t>
      </w:r>
      <w:proofErr w:type="spellEnd"/>
      <w:r w:rsidRPr="009F5CA1">
        <w:rPr>
          <w:rFonts w:ascii="Arial Narrow" w:eastAsia="Aptos" w:hAnsi="Arial Narrow"/>
          <w:kern w:val="2"/>
          <w:sz w:val="22"/>
          <w:szCs w:val="22"/>
          <w:lang w:val="bg-BG"/>
          <w14:ligatures w14:val="standardContextual"/>
        </w:rPr>
        <w:t xml:space="preserve"> 2030, </w:t>
      </w:r>
      <w:proofErr w:type="spellStart"/>
      <w:r w:rsidRPr="00467019">
        <w:rPr>
          <w:rFonts w:ascii="Arial Narrow" w:eastAsia="Aptos" w:hAnsi="Arial Narrow"/>
          <w:kern w:val="2"/>
          <w:sz w:val="22"/>
          <w:szCs w:val="22"/>
          <w:lang w:val="en-GB"/>
          <w14:ligatures w14:val="standardContextual"/>
        </w:rPr>
        <w:t>mbulohen</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nga</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skemat</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PZP</w:t>
      </w:r>
      <w:r w:rsidRPr="009F5CA1">
        <w:rPr>
          <w:rFonts w:ascii="Arial Narrow" w:eastAsia="Aptos" w:hAnsi="Arial Narrow"/>
          <w:kern w:val="2"/>
          <w:sz w:val="22"/>
          <w:szCs w:val="22"/>
          <w:lang w:val="bg-BG"/>
          <w14:ligatures w14:val="standardContextual"/>
        </w:rPr>
        <w:t>.</w:t>
      </w:r>
    </w:p>
    <w:p w14:paraId="047D7660" w14:textId="77777777" w:rsidR="00467019" w:rsidRPr="009F5CA1" w:rsidRDefault="00467019" w:rsidP="00467019">
      <w:pPr>
        <w:rPr>
          <w:rFonts w:ascii="Arial Narrow" w:eastAsia="Aptos" w:hAnsi="Arial Narrow"/>
          <w:kern w:val="2"/>
          <w:sz w:val="22"/>
          <w:szCs w:val="22"/>
          <w:lang w:val="bg-BG"/>
          <w14:ligatures w14:val="standardContextual"/>
        </w:rPr>
      </w:pPr>
    </w:p>
    <w:p w14:paraId="5C32F074" w14:textId="77777777" w:rsidR="00467019" w:rsidRPr="009F5CA1" w:rsidRDefault="00467019" w:rsidP="00637DBA">
      <w:pPr>
        <w:jc w:val="both"/>
        <w:rPr>
          <w:rFonts w:ascii="Arial Narrow" w:eastAsia="Aptos" w:hAnsi="Arial Narrow"/>
          <w:kern w:val="2"/>
          <w:sz w:val="22"/>
          <w:szCs w:val="22"/>
          <w:lang w:val="bg-BG"/>
          <w14:ligatures w14:val="standardContextual"/>
        </w:rPr>
      </w:pPr>
      <w:proofErr w:type="spellStart"/>
      <w:r w:rsidRPr="00467019">
        <w:rPr>
          <w:rFonts w:ascii="Arial Narrow" w:eastAsia="Aptos" w:hAnsi="Arial Narrow"/>
          <w:kern w:val="2"/>
          <w:sz w:val="22"/>
          <w:szCs w:val="22"/>
          <w:lang w:val="en-GB"/>
          <w14:ligatures w14:val="standardContextual"/>
        </w:rPr>
        <w:t>Kostot</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q</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nd</w:t>
      </w:r>
      <w:proofErr w:type="spellEnd"/>
      <w:r w:rsidRPr="009F5CA1">
        <w:rPr>
          <w:rFonts w:ascii="Arial Narrow" w:eastAsia="Aptos" w:hAnsi="Arial Narrow"/>
          <w:kern w:val="2"/>
          <w:sz w:val="22"/>
          <w:szCs w:val="22"/>
          <w:lang w:val="bg-BG"/>
          <w14:ligatures w14:val="standardContextual"/>
        </w:rPr>
        <w:t>ë</w:t>
      </w:r>
      <w:proofErr w:type="spellStart"/>
      <w:r w:rsidRPr="00467019">
        <w:rPr>
          <w:rFonts w:ascii="Arial Narrow" w:eastAsia="Aptos" w:hAnsi="Arial Narrow"/>
          <w:kern w:val="2"/>
          <w:sz w:val="22"/>
          <w:szCs w:val="22"/>
          <w:lang w:val="en-GB"/>
          <w14:ligatures w14:val="standardContextual"/>
        </w:rPr>
        <w:t>rlidhen</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me</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fraksionet</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tjera</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mbeturinave</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do</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mbulohen</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nga</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tarifat</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mbeturinave</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mbledhura</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nga</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popullata</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bizneset</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dhe</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institucionet</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nga</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secila</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komun</w:t>
      </w:r>
      <w:proofErr w:type="spellEnd"/>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Amortizimi</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i</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aseteve</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grantuara</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nuk</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njihet</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si</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kosto</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proofErr w:type="spellStart"/>
      <w:r w:rsidRPr="00467019">
        <w:rPr>
          <w:rFonts w:ascii="Arial Narrow" w:eastAsia="Aptos" w:hAnsi="Arial Narrow"/>
          <w:kern w:val="2"/>
          <w:sz w:val="22"/>
          <w:szCs w:val="22"/>
          <w:lang w:val="en-GB"/>
          <w14:ligatures w14:val="standardContextual"/>
        </w:rPr>
        <w:t>rcaktimin</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tarifave</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mbeturinave</w:t>
      </w:r>
      <w:proofErr w:type="spellEnd"/>
      <w:r w:rsidRPr="009F5CA1">
        <w:rPr>
          <w:rFonts w:ascii="Arial Narrow" w:eastAsia="Aptos" w:hAnsi="Arial Narrow"/>
          <w:kern w:val="2"/>
          <w:sz w:val="22"/>
          <w:szCs w:val="22"/>
          <w:lang w:val="bg-BG"/>
          <w14:ligatures w14:val="standardContextual"/>
        </w:rPr>
        <w:t>.</w:t>
      </w:r>
    </w:p>
    <w:p w14:paraId="293F7918" w14:textId="77777777" w:rsidR="00467019" w:rsidRPr="009F5CA1" w:rsidRDefault="00467019" w:rsidP="00467019">
      <w:pPr>
        <w:rPr>
          <w:rFonts w:ascii="Arial Narrow" w:eastAsia="Aptos" w:hAnsi="Arial Narrow"/>
          <w:kern w:val="2"/>
          <w:sz w:val="22"/>
          <w:szCs w:val="22"/>
          <w:lang w:val="bg-BG"/>
          <w14:ligatures w14:val="standardContextual"/>
        </w:rPr>
      </w:pPr>
    </w:p>
    <w:p w14:paraId="0315573A" w14:textId="77777777" w:rsidR="00467019" w:rsidRPr="009F5CA1" w:rsidRDefault="00467019" w:rsidP="00637DBA">
      <w:pPr>
        <w:jc w:val="both"/>
        <w:rPr>
          <w:rFonts w:ascii="Arial Narrow" w:eastAsia="Aptos" w:hAnsi="Arial Narrow"/>
          <w:kern w:val="2"/>
          <w:sz w:val="22"/>
          <w:szCs w:val="22"/>
          <w:lang w:val="bg-BG"/>
          <w14:ligatures w14:val="standardContextual"/>
        </w:rPr>
      </w:pPr>
      <w:proofErr w:type="spellStart"/>
      <w:r w:rsidRPr="00467019">
        <w:rPr>
          <w:rFonts w:ascii="Arial Narrow" w:eastAsia="Aptos" w:hAnsi="Arial Narrow"/>
          <w:kern w:val="2"/>
          <w:sz w:val="22"/>
          <w:szCs w:val="22"/>
          <w:lang w:val="en-GB"/>
          <w14:ligatures w14:val="standardContextual"/>
        </w:rPr>
        <w:t>Kostot</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grumbullimin</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ndaras</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mbeturinave</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gjelbra</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proofErr w:type="spellStart"/>
      <w:r w:rsidRPr="00467019">
        <w:rPr>
          <w:rFonts w:ascii="Arial Narrow" w:eastAsia="Aptos" w:hAnsi="Arial Narrow"/>
          <w:kern w:val="2"/>
          <w:sz w:val="22"/>
          <w:szCs w:val="22"/>
          <w:lang w:val="en-GB"/>
          <w14:ligatures w14:val="standardContextual"/>
        </w:rPr>
        <w:t>rfshihen</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n</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kostot</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kompostimit</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gjelb</w:t>
      </w:r>
      <w:proofErr w:type="spellEnd"/>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dhe</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kostot</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grumbullimin</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ndaras</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mbeturinave</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organike</w:t>
      </w:r>
      <w:proofErr w:type="spellEnd"/>
      <w:r w:rsidRPr="009F5CA1">
        <w:rPr>
          <w:rFonts w:ascii="Arial Narrow" w:eastAsia="Aptos" w:hAnsi="Arial Narrow"/>
          <w:kern w:val="2"/>
          <w:sz w:val="22"/>
          <w:szCs w:val="22"/>
          <w:lang w:val="bg-BG"/>
          <w14:ligatures w14:val="standardContextual"/>
        </w:rPr>
        <w:t xml:space="preserve"> – </w:t>
      </w:r>
      <w:r w:rsidRPr="00467019">
        <w:rPr>
          <w:rFonts w:ascii="Arial Narrow" w:eastAsia="Aptos" w:hAnsi="Arial Narrow"/>
          <w:kern w:val="2"/>
          <w:sz w:val="22"/>
          <w:szCs w:val="22"/>
          <w:lang w:val="en-GB"/>
          <w14:ligatures w14:val="standardContextual"/>
        </w:rPr>
        <w:t>n</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kostot</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trajtimit</w:t>
      </w:r>
      <w:proofErr w:type="spellEnd"/>
      <w:r w:rsidRPr="009F5CA1">
        <w:rPr>
          <w:rFonts w:ascii="Arial Narrow" w:eastAsia="Aptos" w:hAnsi="Arial Narrow"/>
          <w:kern w:val="2"/>
          <w:sz w:val="22"/>
          <w:szCs w:val="22"/>
          <w:lang w:val="bg-BG"/>
          <w14:ligatures w14:val="standardContextual"/>
        </w:rPr>
        <w:t>/</w:t>
      </w:r>
      <w:proofErr w:type="spellStart"/>
      <w:r w:rsidRPr="00467019">
        <w:rPr>
          <w:rFonts w:ascii="Arial Narrow" w:eastAsia="Aptos" w:hAnsi="Arial Narrow"/>
          <w:kern w:val="2"/>
          <w:sz w:val="22"/>
          <w:szCs w:val="22"/>
          <w:lang w:val="en-GB"/>
          <w14:ligatures w14:val="standardContextual"/>
        </w:rPr>
        <w:t>rikuperimit</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n</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kontejner</w:t>
      </w:r>
      <w:proofErr w:type="spellEnd"/>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specializuar</w:t>
      </w:r>
      <w:proofErr w:type="spellEnd"/>
      <w:r w:rsidRPr="009F5CA1">
        <w:rPr>
          <w:rFonts w:ascii="Arial Narrow" w:eastAsia="Aptos" w:hAnsi="Arial Narrow"/>
          <w:kern w:val="2"/>
          <w:sz w:val="22"/>
          <w:szCs w:val="22"/>
          <w:lang w:val="bg-BG"/>
          <w14:ligatures w14:val="standardContextual"/>
        </w:rPr>
        <w:t>.</w:t>
      </w:r>
    </w:p>
    <w:p w14:paraId="64C006D0" w14:textId="77777777" w:rsidR="00467019" w:rsidRPr="009F5CA1" w:rsidRDefault="00467019" w:rsidP="00467019">
      <w:pPr>
        <w:rPr>
          <w:rFonts w:ascii="Arial Narrow" w:eastAsia="Aptos" w:hAnsi="Arial Narrow"/>
          <w:kern w:val="2"/>
          <w:sz w:val="22"/>
          <w:szCs w:val="22"/>
          <w:lang w:val="bg-BG"/>
          <w14:ligatures w14:val="standardContextual"/>
        </w:rPr>
      </w:pPr>
    </w:p>
    <w:p w14:paraId="35D242FD" w14:textId="77777777" w:rsidR="00467019" w:rsidRPr="00467019" w:rsidRDefault="00467019" w:rsidP="00637DBA">
      <w:pPr>
        <w:jc w:val="both"/>
        <w:rPr>
          <w:rFonts w:ascii="Arial Narrow" w:hAnsi="Arial Narrow"/>
          <w:sz w:val="22"/>
          <w:szCs w:val="22"/>
        </w:rPr>
      </w:pPr>
      <w:r w:rsidRPr="00467019">
        <w:rPr>
          <w:rFonts w:ascii="Arial Narrow" w:hAnsi="Arial Narrow"/>
          <w:sz w:val="22"/>
          <w:szCs w:val="22"/>
        </w:rPr>
        <w:t>Kostot rajonale të trajtimit përcaktohen në bazë të mbeturinave të përziera të dërguara në deponi deri në vitin 2031, mbeturinave të dërguara në TMB si dhe në objektin e trajtimit në kontejnerë të specializuar që nga viti 2032 si dhe tarifat e portës, siç përcaktohen më sipër.</w:t>
      </w:r>
    </w:p>
    <w:p w14:paraId="5E60C431" w14:textId="77777777" w:rsidR="00467019" w:rsidRPr="009F5CA1" w:rsidRDefault="00467019" w:rsidP="00467019">
      <w:pPr>
        <w:rPr>
          <w:rFonts w:ascii="Arial Narrow" w:eastAsia="Aptos" w:hAnsi="Arial Narrow"/>
          <w:kern w:val="2"/>
          <w:sz w:val="22"/>
          <w:szCs w:val="22"/>
          <w:lang w:val="bg-BG"/>
          <w14:ligatures w14:val="standardContextual"/>
        </w:rPr>
      </w:pPr>
    </w:p>
    <w:p w14:paraId="4153754D" w14:textId="5FA4F1AD" w:rsidR="00467019" w:rsidRPr="009F5CA1" w:rsidRDefault="00467019" w:rsidP="00467019">
      <w:pPr>
        <w:rPr>
          <w:rFonts w:ascii="Arial Narrow" w:eastAsia="Aptos" w:hAnsi="Arial Narrow"/>
          <w:kern w:val="2"/>
          <w:sz w:val="22"/>
          <w:szCs w:val="22"/>
          <w:lang w:val="bg-BG"/>
          <w14:ligatures w14:val="standardContextual"/>
        </w:rPr>
      </w:pPr>
      <w:r w:rsidRPr="00467019">
        <w:rPr>
          <w:rFonts w:ascii="Arial Narrow" w:eastAsia="Aptos" w:hAnsi="Arial Narrow"/>
          <w:kern w:val="2"/>
          <w:sz w:val="22"/>
          <w:szCs w:val="22"/>
          <w:lang w:val="en-GB"/>
          <w14:ligatures w14:val="standardContextual"/>
        </w:rPr>
        <w:t>Si</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shtojc</w:t>
      </w:r>
      <w:proofErr w:type="spellEnd"/>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jepen</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balancet</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proofErr w:type="spellStart"/>
      <w:r w:rsidRPr="00467019">
        <w:rPr>
          <w:rFonts w:ascii="Arial Narrow" w:eastAsia="Aptos" w:hAnsi="Arial Narrow"/>
          <w:kern w:val="2"/>
          <w:sz w:val="22"/>
          <w:szCs w:val="22"/>
          <w:lang w:val="en-GB"/>
          <w14:ligatures w14:val="standardContextual"/>
        </w:rPr>
        <w:t>rgjithshme</w:t>
      </w:r>
      <w:proofErr w:type="spellEnd"/>
      <w:r w:rsidR="00391261" w:rsidRPr="009F5CA1">
        <w:rPr>
          <w:rFonts w:ascii="Arial Narrow" w:eastAsia="Aptos" w:hAnsi="Arial Narrow"/>
          <w:kern w:val="2"/>
          <w:sz w:val="22"/>
          <w:szCs w:val="22"/>
          <w:lang w:val="bg-BG"/>
          <w14:ligatures w14:val="standardContextual"/>
        </w:rPr>
        <w:t>/</w:t>
      </w:r>
      <w:r w:rsidR="00391261">
        <w:rPr>
          <w:rFonts w:ascii="Arial Narrow" w:eastAsia="Aptos" w:hAnsi="Arial Narrow"/>
          <w:kern w:val="2"/>
          <w:sz w:val="22"/>
          <w:szCs w:val="22"/>
          <w:lang w:val="en-GB"/>
          <w14:ligatures w14:val="standardContextual"/>
        </w:rPr>
        <w:t>mas</w:t>
      </w:r>
      <w:r w:rsidR="00391261" w:rsidRPr="009F5CA1">
        <w:rPr>
          <w:rFonts w:ascii="Arial Narrow" w:eastAsia="Aptos" w:hAnsi="Arial Narrow"/>
          <w:kern w:val="2"/>
          <w:sz w:val="22"/>
          <w:szCs w:val="22"/>
          <w:lang w:val="bg-BG"/>
          <w14:ligatures w14:val="standardContextual"/>
        </w:rPr>
        <w:t>ë</w:t>
      </w:r>
      <w:r w:rsidR="00391261">
        <w:rPr>
          <w:rFonts w:ascii="Arial Narrow" w:eastAsia="Aptos" w:hAnsi="Arial Narrow"/>
          <w:kern w:val="2"/>
          <w:sz w:val="22"/>
          <w:szCs w:val="22"/>
          <w:lang w:val="en-GB"/>
          <w14:ligatures w14:val="standardContextual"/>
        </w:rPr>
        <w:t>s</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gjitha</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komunave</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n</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rajon</w:t>
      </w:r>
      <w:proofErr w:type="spellEnd"/>
      <w:r w:rsidRPr="009F5CA1">
        <w:rPr>
          <w:rFonts w:ascii="Arial Narrow" w:eastAsia="Aptos" w:hAnsi="Arial Narrow"/>
          <w:kern w:val="2"/>
          <w:sz w:val="22"/>
          <w:szCs w:val="22"/>
          <w:lang w:val="bg-BG"/>
          <w14:ligatures w14:val="standardContextual"/>
        </w:rPr>
        <w:t>.</w:t>
      </w:r>
    </w:p>
    <w:p w14:paraId="39C7DB39" w14:textId="77777777" w:rsidR="00467019" w:rsidRPr="009F5CA1" w:rsidRDefault="00467019" w:rsidP="00467019">
      <w:pPr>
        <w:rPr>
          <w:rFonts w:ascii="Arial Narrow" w:eastAsia="Aptos" w:hAnsi="Arial Narrow"/>
          <w:kern w:val="2"/>
          <w:sz w:val="22"/>
          <w:szCs w:val="22"/>
          <w:lang w:val="bg-BG"/>
          <w14:ligatures w14:val="standardContextual"/>
        </w:rPr>
      </w:pPr>
    </w:p>
    <w:p w14:paraId="4331E1CA" w14:textId="77777777" w:rsidR="00467019" w:rsidRPr="009F5CA1" w:rsidRDefault="00467019" w:rsidP="00637DBA">
      <w:pPr>
        <w:jc w:val="both"/>
        <w:rPr>
          <w:rFonts w:ascii="Arial Narrow" w:eastAsia="Aptos" w:hAnsi="Arial Narrow"/>
          <w:kern w:val="2"/>
          <w:sz w:val="22"/>
          <w:szCs w:val="22"/>
          <w:lang w:val="bg-BG"/>
          <w14:ligatures w14:val="standardContextual"/>
        </w:rPr>
      </w:pP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ekonomit</w:t>
      </w:r>
      <w:proofErr w:type="spellEnd"/>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me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ardhura</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mesatare</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si</w:t>
      </w:r>
      <w:proofErr w:type="spellEnd"/>
      <w:r w:rsidRPr="009F5CA1">
        <w:rPr>
          <w:rFonts w:ascii="Arial Narrow" w:eastAsia="Aptos" w:hAnsi="Arial Narrow"/>
          <w:kern w:val="2"/>
          <w:sz w:val="22"/>
          <w:szCs w:val="22"/>
          <w:lang w:val="bg-BG"/>
          <w14:ligatures w14:val="standardContextual"/>
        </w:rPr>
        <w:t>ç ë</w:t>
      </w:r>
      <w:proofErr w:type="spellStart"/>
      <w:r w:rsidRPr="00467019">
        <w:rPr>
          <w:rFonts w:ascii="Arial Narrow" w:eastAsia="Aptos" w:hAnsi="Arial Narrow"/>
          <w:kern w:val="2"/>
          <w:sz w:val="22"/>
          <w:szCs w:val="22"/>
          <w:lang w:val="en-GB"/>
          <w14:ligatures w14:val="standardContextual"/>
        </w:rPr>
        <w:t>sht</w:t>
      </w:r>
      <w:proofErr w:type="spellEnd"/>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Kosova</w:t>
      </w:r>
      <w:r w:rsidRPr="009F5CA1">
        <w:rPr>
          <w:rFonts w:ascii="Arial Narrow" w:eastAsia="Aptos" w:hAnsi="Arial Narrow"/>
          <w:kern w:val="2"/>
          <w:sz w:val="22"/>
          <w:szCs w:val="22"/>
          <w:lang w:val="bg-BG"/>
          <w14:ligatures w14:val="standardContextual"/>
        </w:rPr>
        <w:t xml:space="preserve">, 1%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hyrave</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familjare</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proofErr w:type="spellStart"/>
      <w:r w:rsidRPr="00467019">
        <w:rPr>
          <w:rFonts w:ascii="Arial Narrow" w:eastAsia="Aptos" w:hAnsi="Arial Narrow"/>
          <w:kern w:val="2"/>
          <w:sz w:val="22"/>
          <w:szCs w:val="22"/>
          <w:lang w:val="en-GB"/>
          <w14:ligatures w14:val="standardContextual"/>
        </w:rPr>
        <w:t>rgjith</w:t>
      </w:r>
      <w:proofErr w:type="spellEnd"/>
      <w:r w:rsidRPr="009F5CA1">
        <w:rPr>
          <w:rFonts w:ascii="Arial Narrow" w:eastAsia="Aptos" w:hAnsi="Arial Narrow"/>
          <w:kern w:val="2"/>
          <w:sz w:val="22"/>
          <w:szCs w:val="22"/>
          <w:lang w:val="bg-BG"/>
          <w14:ligatures w14:val="standardContextual"/>
        </w:rPr>
        <w:t>ë</w:t>
      </w:r>
      <w:proofErr w:type="spellStart"/>
      <w:r w:rsidRPr="00467019">
        <w:rPr>
          <w:rFonts w:ascii="Arial Narrow" w:eastAsia="Aptos" w:hAnsi="Arial Narrow"/>
          <w:kern w:val="2"/>
          <w:sz w:val="22"/>
          <w:szCs w:val="22"/>
          <w:lang w:val="en-GB"/>
          <w14:ligatures w14:val="standardContextual"/>
        </w:rPr>
        <w:t>sisht</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njihet</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si</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nj</w:t>
      </w:r>
      <w:proofErr w:type="spellEnd"/>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prag</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i</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proofErr w:type="spellStart"/>
      <w:r w:rsidRPr="00467019">
        <w:rPr>
          <w:rFonts w:ascii="Arial Narrow" w:eastAsia="Aptos" w:hAnsi="Arial Narrow"/>
          <w:kern w:val="2"/>
          <w:sz w:val="22"/>
          <w:szCs w:val="22"/>
          <w:lang w:val="en-GB"/>
          <w14:ligatures w14:val="standardContextual"/>
        </w:rPr>
        <w:t>rballuesh</w:t>
      </w:r>
      <w:proofErr w:type="spellEnd"/>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m</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tarifat</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sh</w:t>
      </w:r>
      <w:proofErr w:type="spellEnd"/>
      <w:r w:rsidRPr="009F5CA1">
        <w:rPr>
          <w:rFonts w:ascii="Arial Narrow" w:eastAsia="Aptos" w:hAnsi="Arial Narrow"/>
          <w:kern w:val="2"/>
          <w:sz w:val="22"/>
          <w:szCs w:val="22"/>
          <w:lang w:val="bg-BG"/>
          <w14:ligatures w14:val="standardContextual"/>
        </w:rPr>
        <w:t>ë</w:t>
      </w:r>
      <w:proofErr w:type="spellStart"/>
      <w:r w:rsidRPr="00467019">
        <w:rPr>
          <w:rFonts w:ascii="Arial Narrow" w:eastAsia="Aptos" w:hAnsi="Arial Narrow"/>
          <w:kern w:val="2"/>
          <w:sz w:val="22"/>
          <w:szCs w:val="22"/>
          <w:lang w:val="en-GB"/>
          <w14:ligatures w14:val="standardContextual"/>
        </w:rPr>
        <w:t>rbimit</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MKI</w:t>
      </w:r>
      <w:r w:rsidRPr="009F5CA1">
        <w:rPr>
          <w:rFonts w:ascii="Arial Narrow" w:eastAsia="Aptos" w:hAnsi="Arial Narrow"/>
          <w:kern w:val="2"/>
          <w:sz w:val="22"/>
          <w:szCs w:val="22"/>
          <w:lang w:val="bg-BG"/>
          <w14:ligatures w14:val="standardContextual"/>
        </w:rPr>
        <w:t>-</w:t>
      </w:r>
      <w:proofErr w:type="spellStart"/>
      <w:r w:rsidRPr="00467019">
        <w:rPr>
          <w:rFonts w:ascii="Arial Narrow" w:eastAsia="Aptos" w:hAnsi="Arial Narrow"/>
          <w:kern w:val="2"/>
          <w:sz w:val="22"/>
          <w:szCs w:val="22"/>
          <w:lang w:val="en-GB"/>
          <w14:ligatures w14:val="standardContextual"/>
        </w:rPr>
        <w:t>ve</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ASK</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b</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n</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anketa</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shpenzimet</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ekonomive</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familjare</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jo</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hyrat</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ekonomive</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familjare</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Duke</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qen</w:t>
      </w:r>
      <w:proofErr w:type="spellEnd"/>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se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hyrat</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shpenzohen</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ose</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kursehen</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ato</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jan</w:t>
      </w:r>
      <w:proofErr w:type="spellEnd"/>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m</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larta</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se</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shpenzimet</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K</w:t>
      </w:r>
      <w:r w:rsidRPr="009F5CA1">
        <w:rPr>
          <w:rFonts w:ascii="Arial Narrow" w:eastAsia="Aptos" w:hAnsi="Arial Narrow"/>
          <w:kern w:val="2"/>
          <w:sz w:val="22"/>
          <w:szCs w:val="22"/>
          <w:lang w:val="bg-BG"/>
          <w14:ligatures w14:val="standardContextual"/>
        </w:rPr>
        <w:t>ë</w:t>
      </w:r>
      <w:proofErr w:type="spellStart"/>
      <w:r w:rsidRPr="00467019">
        <w:rPr>
          <w:rFonts w:ascii="Arial Narrow" w:eastAsia="Aptos" w:hAnsi="Arial Narrow"/>
          <w:kern w:val="2"/>
          <w:sz w:val="22"/>
          <w:szCs w:val="22"/>
          <w:lang w:val="en-GB"/>
          <w14:ligatures w14:val="standardContextual"/>
        </w:rPr>
        <w:t>shtu</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tarifa</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mbeturinave</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deri</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n</w:t>
      </w:r>
      <w:r w:rsidRPr="009F5CA1">
        <w:rPr>
          <w:rFonts w:ascii="Arial Narrow" w:eastAsia="Aptos" w:hAnsi="Arial Narrow"/>
          <w:kern w:val="2"/>
          <w:sz w:val="22"/>
          <w:szCs w:val="22"/>
          <w:lang w:val="bg-BG"/>
          <w14:ligatures w14:val="standardContextual"/>
        </w:rPr>
        <w:t xml:space="preserve">ë 1%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shpenzimeve</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familjare</w:t>
      </w:r>
      <w:proofErr w:type="spellEnd"/>
      <w:r w:rsidRPr="009F5CA1">
        <w:rPr>
          <w:rFonts w:ascii="Arial Narrow" w:eastAsia="Aptos" w:hAnsi="Arial Narrow"/>
          <w:kern w:val="2"/>
          <w:sz w:val="22"/>
          <w:szCs w:val="22"/>
          <w:lang w:val="bg-BG"/>
          <w14:ligatures w14:val="standardContextual"/>
        </w:rPr>
        <w:t xml:space="preserve"> ë</w:t>
      </w:r>
      <w:proofErr w:type="spellStart"/>
      <w:r w:rsidRPr="00467019">
        <w:rPr>
          <w:rFonts w:ascii="Arial Narrow" w:eastAsia="Aptos" w:hAnsi="Arial Narrow"/>
          <w:kern w:val="2"/>
          <w:sz w:val="22"/>
          <w:szCs w:val="22"/>
          <w:lang w:val="en-GB"/>
          <w14:ligatures w14:val="standardContextual"/>
        </w:rPr>
        <w:t>sht</w:t>
      </w:r>
      <w:proofErr w:type="spellEnd"/>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proofErr w:type="spellStart"/>
      <w:r w:rsidRPr="00467019">
        <w:rPr>
          <w:rFonts w:ascii="Arial Narrow" w:eastAsia="Aptos" w:hAnsi="Arial Narrow"/>
          <w:kern w:val="2"/>
          <w:sz w:val="22"/>
          <w:szCs w:val="22"/>
          <w:lang w:val="en-GB"/>
          <w14:ligatures w14:val="standardContextual"/>
        </w:rPr>
        <w:t>rballueshme</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N</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vitin</w:t>
      </w:r>
      <w:proofErr w:type="spellEnd"/>
      <w:r w:rsidRPr="009F5CA1">
        <w:rPr>
          <w:rFonts w:ascii="Arial Narrow" w:eastAsia="Aptos" w:hAnsi="Arial Narrow"/>
          <w:kern w:val="2"/>
          <w:sz w:val="22"/>
          <w:szCs w:val="22"/>
          <w:lang w:val="bg-BG"/>
          <w14:ligatures w14:val="standardContextual"/>
        </w:rPr>
        <w:t xml:space="preserve"> 2022, </w:t>
      </w:r>
      <w:proofErr w:type="spellStart"/>
      <w:r w:rsidRPr="00467019">
        <w:rPr>
          <w:rFonts w:ascii="Arial Narrow" w:eastAsia="Aptos" w:hAnsi="Arial Narrow"/>
          <w:kern w:val="2"/>
          <w:sz w:val="22"/>
          <w:szCs w:val="22"/>
          <w:lang w:val="en-GB"/>
          <w14:ligatures w14:val="standardContextual"/>
        </w:rPr>
        <w:t>anketa</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lastRenderedPageBreak/>
        <w:t>ASK</w:t>
      </w:r>
      <w:r w:rsidRPr="009F5CA1">
        <w:rPr>
          <w:rFonts w:ascii="Arial Narrow" w:eastAsia="Aptos" w:hAnsi="Arial Narrow"/>
          <w:kern w:val="2"/>
          <w:sz w:val="22"/>
          <w:szCs w:val="22"/>
          <w:lang w:val="bg-BG"/>
          <w14:ligatures w14:val="standardContextual"/>
        </w:rPr>
        <w:t>-</w:t>
      </w:r>
      <w:r w:rsidRPr="00467019">
        <w:rPr>
          <w:rFonts w:ascii="Arial Narrow" w:eastAsia="Aptos" w:hAnsi="Arial Narrow"/>
          <w:kern w:val="2"/>
          <w:sz w:val="22"/>
          <w:szCs w:val="22"/>
          <w:lang w:val="en-GB"/>
          <w14:ligatures w14:val="standardContextual"/>
        </w:rPr>
        <w:t>s</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vertAlign w:val="superscript"/>
          <w:lang w:val="en-GB"/>
          <w14:ligatures w14:val="standardContextual"/>
        </w:rPr>
        <w:footnoteReference w:id="49"/>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shpenzimeve</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ekonomive</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familjare</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ka</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proofErr w:type="spellStart"/>
      <w:r w:rsidRPr="00467019">
        <w:rPr>
          <w:rFonts w:ascii="Arial Narrow" w:eastAsia="Aptos" w:hAnsi="Arial Narrow"/>
          <w:kern w:val="2"/>
          <w:sz w:val="22"/>
          <w:szCs w:val="22"/>
          <w:lang w:val="en-GB"/>
          <w14:ligatures w14:val="standardContextual"/>
        </w:rPr>
        <w:t>rcaktuar</w:t>
      </w:r>
      <w:proofErr w:type="spellEnd"/>
      <w:r w:rsidRPr="009F5CA1">
        <w:rPr>
          <w:rFonts w:ascii="Arial Narrow" w:eastAsia="Aptos" w:hAnsi="Arial Narrow"/>
          <w:kern w:val="2"/>
          <w:sz w:val="22"/>
          <w:szCs w:val="22"/>
          <w:lang w:val="bg-BG"/>
          <w14:ligatures w14:val="standardContextual"/>
        </w:rPr>
        <w:t xml:space="preserve"> 1,903€ </w:t>
      </w:r>
      <w:proofErr w:type="spellStart"/>
      <w:r w:rsidRPr="00467019">
        <w:rPr>
          <w:rFonts w:ascii="Arial Narrow" w:eastAsia="Aptos" w:hAnsi="Arial Narrow"/>
          <w:kern w:val="2"/>
          <w:sz w:val="22"/>
          <w:szCs w:val="22"/>
          <w:lang w:val="en-GB"/>
          <w14:ligatures w14:val="standardContextual"/>
        </w:rPr>
        <w:t>si</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nivel</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mesatar</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i</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shpenzimeve</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kok</w:t>
      </w:r>
      <w:proofErr w:type="spellEnd"/>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banori</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shkak</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tendenc</w:t>
      </w:r>
      <w:proofErr w:type="spellEnd"/>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s</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s</w:t>
      </w:r>
      <w:proofErr w:type="spellEnd"/>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zvog</w:t>
      </w:r>
      <w:proofErr w:type="spellEnd"/>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limit</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madh</w:t>
      </w:r>
      <w:proofErr w:type="spellEnd"/>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sis</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s</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ekonomive</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familjare</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tarifa</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person</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duhet</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jet</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ajo</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kryesore</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proofErr w:type="spellStart"/>
      <w:r w:rsidRPr="00467019">
        <w:rPr>
          <w:rFonts w:ascii="Arial Narrow" w:eastAsia="Aptos" w:hAnsi="Arial Narrow"/>
          <w:kern w:val="2"/>
          <w:sz w:val="22"/>
          <w:szCs w:val="22"/>
          <w:lang w:val="en-GB"/>
          <w14:ligatures w14:val="standardContextual"/>
        </w:rPr>
        <w:t>rcaktimin</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proofErr w:type="spellStart"/>
      <w:r w:rsidRPr="00467019">
        <w:rPr>
          <w:rFonts w:ascii="Arial Narrow" w:eastAsia="Aptos" w:hAnsi="Arial Narrow"/>
          <w:kern w:val="2"/>
          <w:sz w:val="22"/>
          <w:szCs w:val="22"/>
          <w:lang w:val="en-GB"/>
          <w14:ligatures w14:val="standardContextual"/>
        </w:rPr>
        <w:t>rballueshm</w:t>
      </w:r>
      <w:proofErr w:type="spellEnd"/>
      <w:r w:rsidRPr="009F5CA1">
        <w:rPr>
          <w:rFonts w:ascii="Arial Narrow" w:eastAsia="Aptos" w:hAnsi="Arial Narrow"/>
          <w:kern w:val="2"/>
          <w:sz w:val="22"/>
          <w:szCs w:val="22"/>
          <w:lang w:val="bg-BG"/>
          <w14:ligatures w14:val="standardContextual"/>
        </w:rPr>
        <w:t>ë</w:t>
      </w:r>
      <w:proofErr w:type="spellStart"/>
      <w:r w:rsidRPr="00467019">
        <w:rPr>
          <w:rFonts w:ascii="Arial Narrow" w:eastAsia="Aptos" w:hAnsi="Arial Narrow"/>
          <w:kern w:val="2"/>
          <w:sz w:val="22"/>
          <w:szCs w:val="22"/>
          <w:lang w:val="en-GB"/>
          <w14:ligatures w14:val="standardContextual"/>
        </w:rPr>
        <w:t>ris</w:t>
      </w:r>
      <w:proofErr w:type="spellEnd"/>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s</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sh</w:t>
      </w:r>
      <w:proofErr w:type="spellEnd"/>
      <w:r w:rsidRPr="009F5CA1">
        <w:rPr>
          <w:rFonts w:ascii="Arial Narrow" w:eastAsia="Aptos" w:hAnsi="Arial Narrow"/>
          <w:kern w:val="2"/>
          <w:sz w:val="22"/>
          <w:szCs w:val="22"/>
          <w:lang w:val="bg-BG"/>
          <w14:ligatures w14:val="standardContextual"/>
        </w:rPr>
        <w:t>ë</w:t>
      </w:r>
      <w:proofErr w:type="spellStart"/>
      <w:r w:rsidRPr="00467019">
        <w:rPr>
          <w:rFonts w:ascii="Arial Narrow" w:eastAsia="Aptos" w:hAnsi="Arial Narrow"/>
          <w:kern w:val="2"/>
          <w:sz w:val="22"/>
          <w:szCs w:val="22"/>
          <w:lang w:val="en-GB"/>
          <w14:ligatures w14:val="standardContextual"/>
        </w:rPr>
        <w:t>rbimeve</w:t>
      </w:r>
      <w:proofErr w:type="spellEnd"/>
      <w:r w:rsidRPr="009F5CA1">
        <w:rPr>
          <w:rFonts w:ascii="Arial Narrow" w:eastAsia="Aptos" w:hAnsi="Arial Narrow"/>
          <w:kern w:val="2"/>
          <w:sz w:val="22"/>
          <w:szCs w:val="22"/>
          <w:lang w:val="bg-BG"/>
          <w14:ligatures w14:val="standardContextual"/>
        </w:rPr>
        <w:t>.</w:t>
      </w:r>
    </w:p>
    <w:p w14:paraId="6BAFD22E" w14:textId="77777777" w:rsidR="00467019" w:rsidRPr="009F5CA1" w:rsidRDefault="00467019" w:rsidP="00467019">
      <w:pPr>
        <w:rPr>
          <w:rFonts w:ascii="Arial Narrow" w:eastAsia="Aptos" w:hAnsi="Arial Narrow"/>
          <w:kern w:val="2"/>
          <w:sz w:val="22"/>
          <w:szCs w:val="22"/>
          <w:lang w:val="bg-BG"/>
          <w14:ligatures w14:val="standardContextual"/>
        </w:rPr>
      </w:pPr>
    </w:p>
    <w:p w14:paraId="531F19B5" w14:textId="555B8596" w:rsidR="00467019" w:rsidRPr="009F5CA1" w:rsidRDefault="00467019" w:rsidP="00637DBA">
      <w:pPr>
        <w:jc w:val="both"/>
        <w:rPr>
          <w:rFonts w:ascii="Arial Narrow" w:eastAsia="Aptos" w:hAnsi="Arial Narrow"/>
          <w:kern w:val="2"/>
          <w:sz w:val="22"/>
          <w:szCs w:val="22"/>
          <w:lang w:val="bg-BG"/>
          <w14:ligatures w14:val="standardContextual"/>
        </w:rPr>
      </w:pP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proofErr w:type="spellStart"/>
      <w:r w:rsidRPr="00467019">
        <w:rPr>
          <w:rFonts w:ascii="Arial Narrow" w:eastAsia="Aptos" w:hAnsi="Arial Narrow"/>
          <w:kern w:val="2"/>
          <w:sz w:val="22"/>
          <w:szCs w:val="22"/>
          <w:lang w:val="en-GB"/>
          <w14:ligatures w14:val="standardContextual"/>
        </w:rPr>
        <w:t>rballueshm</w:t>
      </w:r>
      <w:proofErr w:type="spellEnd"/>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ria</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tarifave</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mbeturinave</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rritet</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me</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rritjen</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hyrave</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monetare</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Mbi</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baz</w:t>
      </w:r>
      <w:proofErr w:type="spellEnd"/>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n</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e</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rritjes</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aktuale</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BPV</w:t>
      </w:r>
      <w:r w:rsidRPr="009F5CA1">
        <w:rPr>
          <w:rFonts w:ascii="Arial Narrow" w:eastAsia="Aptos" w:hAnsi="Arial Narrow"/>
          <w:kern w:val="2"/>
          <w:sz w:val="22"/>
          <w:szCs w:val="22"/>
          <w:lang w:val="bg-BG"/>
          <w14:ligatures w14:val="standardContextual"/>
        </w:rPr>
        <w:t>-</w:t>
      </w:r>
      <w:r w:rsidRPr="00467019">
        <w:rPr>
          <w:rFonts w:ascii="Arial Narrow" w:eastAsia="Aptos" w:hAnsi="Arial Narrow"/>
          <w:kern w:val="2"/>
          <w:sz w:val="22"/>
          <w:szCs w:val="22"/>
          <w:lang w:val="en-GB"/>
          <w14:ligatures w14:val="standardContextual"/>
        </w:rPr>
        <w:t>s</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frym</w:t>
      </w:r>
      <w:proofErr w:type="spellEnd"/>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n</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vitin</w:t>
      </w:r>
      <w:proofErr w:type="spellEnd"/>
      <w:r w:rsidRPr="009F5CA1">
        <w:rPr>
          <w:rFonts w:ascii="Arial Narrow" w:eastAsia="Aptos" w:hAnsi="Arial Narrow"/>
          <w:kern w:val="2"/>
          <w:sz w:val="22"/>
          <w:szCs w:val="22"/>
          <w:lang w:val="bg-BG"/>
          <w14:ligatures w14:val="standardContextual"/>
        </w:rPr>
        <w:t xml:space="preserve"> 2023 (12.3%</w:t>
      </w:r>
      <w:r w:rsidRPr="00637DBA">
        <w:rPr>
          <w:rStyle w:val="FootnoteReference"/>
          <w:rFonts w:ascii="Arial Narrow" w:eastAsia="Aptos" w:hAnsi="Arial Narrow"/>
          <w:kern w:val="2"/>
          <w:sz w:val="18"/>
          <w:szCs w:val="18"/>
          <w:lang w:val="en-GB"/>
          <w14:ligatures w14:val="standardContextual"/>
        </w:rPr>
        <w:footnoteReference w:id="50"/>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dhe</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vler</w:t>
      </w:r>
      <w:proofErr w:type="spellEnd"/>
      <w:r w:rsidRPr="009F5CA1">
        <w:rPr>
          <w:rFonts w:ascii="Arial Narrow" w:eastAsia="Aptos" w:hAnsi="Arial Narrow"/>
          <w:kern w:val="2"/>
          <w:sz w:val="22"/>
          <w:szCs w:val="22"/>
          <w:lang w:val="bg-BG"/>
          <w14:ligatures w14:val="standardContextual"/>
        </w:rPr>
        <w:t>ë</w:t>
      </w:r>
      <w:proofErr w:type="spellStart"/>
      <w:r w:rsidRPr="00467019">
        <w:rPr>
          <w:rFonts w:ascii="Arial Narrow" w:eastAsia="Aptos" w:hAnsi="Arial Narrow"/>
          <w:kern w:val="2"/>
          <w:sz w:val="22"/>
          <w:szCs w:val="22"/>
          <w:lang w:val="en-GB"/>
          <w14:ligatures w14:val="standardContextual"/>
        </w:rPr>
        <w:t>simet</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vitin</w:t>
      </w:r>
      <w:proofErr w:type="spellEnd"/>
      <w:r w:rsidRPr="009F5CA1">
        <w:rPr>
          <w:rFonts w:ascii="Arial Narrow" w:eastAsia="Aptos" w:hAnsi="Arial Narrow"/>
          <w:kern w:val="2"/>
          <w:sz w:val="22"/>
          <w:szCs w:val="22"/>
          <w:lang w:val="bg-BG"/>
          <w14:ligatures w14:val="standardContextual"/>
        </w:rPr>
        <w:t xml:space="preserve"> 2024 (6%), </w:t>
      </w:r>
      <w:proofErr w:type="spellStart"/>
      <w:r w:rsidRPr="00467019">
        <w:rPr>
          <w:rFonts w:ascii="Arial Narrow" w:eastAsia="Aptos" w:hAnsi="Arial Narrow"/>
          <w:kern w:val="2"/>
          <w:sz w:val="22"/>
          <w:szCs w:val="22"/>
          <w:lang w:val="en-GB"/>
          <w14:ligatures w14:val="standardContextual"/>
        </w:rPr>
        <w:t>dhe</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mbi</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supozimin</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se</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hyrat</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vjetore</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BPV</w:t>
      </w:r>
      <w:r w:rsidRPr="009F5CA1">
        <w:rPr>
          <w:rFonts w:ascii="Arial Narrow" w:eastAsia="Aptos" w:hAnsi="Arial Narrow"/>
          <w:kern w:val="2"/>
          <w:sz w:val="22"/>
          <w:szCs w:val="22"/>
          <w:lang w:val="bg-BG"/>
          <w14:ligatures w14:val="standardContextual"/>
        </w:rPr>
        <w:t>-</w:t>
      </w:r>
      <w:r w:rsidRPr="00467019">
        <w:rPr>
          <w:rFonts w:ascii="Arial Narrow" w:eastAsia="Aptos" w:hAnsi="Arial Narrow"/>
          <w:kern w:val="2"/>
          <w:sz w:val="22"/>
          <w:szCs w:val="22"/>
          <w:lang w:val="en-GB"/>
          <w14:ligatures w14:val="standardContextual"/>
        </w:rPr>
        <w:t>s</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reale</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frym</w:t>
      </w:r>
      <w:proofErr w:type="spellEnd"/>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rriten</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me</w:t>
      </w:r>
      <w:r w:rsidRPr="009F5CA1">
        <w:rPr>
          <w:rFonts w:ascii="Arial Narrow" w:eastAsia="Aptos" w:hAnsi="Arial Narrow"/>
          <w:kern w:val="2"/>
          <w:sz w:val="22"/>
          <w:szCs w:val="22"/>
          <w:lang w:val="bg-BG"/>
          <w14:ligatures w14:val="standardContextual"/>
        </w:rPr>
        <w:t xml:space="preserve"> 3% (</w:t>
      </w:r>
      <w:proofErr w:type="spellStart"/>
      <w:r w:rsidRPr="00467019">
        <w:rPr>
          <w:rFonts w:ascii="Arial Narrow" w:eastAsia="Aptos" w:hAnsi="Arial Narrow"/>
          <w:kern w:val="2"/>
          <w:sz w:val="22"/>
          <w:szCs w:val="22"/>
          <w:lang w:val="en-GB"/>
          <w14:ligatures w14:val="standardContextual"/>
        </w:rPr>
        <w:t>mbi</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inflacionin</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deri</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n</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vitin</w:t>
      </w:r>
      <w:proofErr w:type="spellEnd"/>
      <w:r w:rsidRPr="009F5CA1">
        <w:rPr>
          <w:rFonts w:ascii="Arial Narrow" w:eastAsia="Aptos" w:hAnsi="Arial Narrow"/>
          <w:kern w:val="2"/>
          <w:sz w:val="22"/>
          <w:szCs w:val="22"/>
          <w:lang w:val="bg-BG"/>
          <w14:ligatures w14:val="standardContextual"/>
        </w:rPr>
        <w:t xml:space="preserve"> 2035,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r</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rritjen</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konstante</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ë ç</w:t>
      </w:r>
      <w:proofErr w:type="spellStart"/>
      <w:r w:rsidRPr="00467019">
        <w:rPr>
          <w:rFonts w:ascii="Arial Narrow" w:eastAsia="Aptos" w:hAnsi="Arial Narrow"/>
          <w:kern w:val="2"/>
          <w:sz w:val="22"/>
          <w:szCs w:val="22"/>
          <w:lang w:val="en-GB"/>
          <w14:ligatures w14:val="standardContextual"/>
        </w:rPr>
        <w:t>mimeve</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vitit</w:t>
      </w:r>
      <w:proofErr w:type="spellEnd"/>
      <w:r w:rsidRPr="009F5CA1">
        <w:rPr>
          <w:rFonts w:ascii="Arial Narrow" w:eastAsia="Aptos" w:hAnsi="Arial Narrow"/>
          <w:kern w:val="2"/>
          <w:sz w:val="22"/>
          <w:szCs w:val="22"/>
          <w:lang w:val="bg-BG"/>
          <w14:ligatures w14:val="standardContextual"/>
        </w:rPr>
        <w:t xml:space="preserve"> 2025 </w:t>
      </w:r>
      <w:r w:rsidRPr="00467019">
        <w:rPr>
          <w:rFonts w:ascii="Arial Narrow" w:eastAsia="Aptos" w:hAnsi="Arial Narrow"/>
          <w:kern w:val="2"/>
          <w:sz w:val="22"/>
          <w:szCs w:val="22"/>
          <w:lang w:val="en-GB"/>
          <w14:ligatures w14:val="standardContextual"/>
        </w:rPr>
        <w:t>b</w:t>
      </w:r>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het</w:t>
      </w:r>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parashikimi</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i</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m</w:t>
      </w:r>
      <w:r w:rsidRPr="009F5CA1">
        <w:rPr>
          <w:rFonts w:ascii="Arial Narrow" w:eastAsia="Aptos" w:hAnsi="Arial Narrow"/>
          <w:kern w:val="2"/>
          <w:sz w:val="22"/>
          <w:szCs w:val="22"/>
          <w:lang w:val="bg-BG"/>
          <w14:ligatures w14:val="standardContextual"/>
        </w:rPr>
        <w:t>ë</w:t>
      </w:r>
      <w:proofErr w:type="spellStart"/>
      <w:r w:rsidRPr="00467019">
        <w:rPr>
          <w:rFonts w:ascii="Arial Narrow" w:eastAsia="Aptos" w:hAnsi="Arial Narrow"/>
          <w:kern w:val="2"/>
          <w:sz w:val="22"/>
          <w:szCs w:val="22"/>
          <w:lang w:val="en-GB"/>
          <w14:ligatures w14:val="standardContextual"/>
        </w:rPr>
        <w:t>posht</w:t>
      </w:r>
      <w:proofErr w:type="spellEnd"/>
      <w:r w:rsidRPr="009F5CA1">
        <w:rPr>
          <w:rFonts w:ascii="Arial Narrow" w:eastAsia="Aptos" w:hAnsi="Arial Narrow"/>
          <w:kern w:val="2"/>
          <w:sz w:val="22"/>
          <w:szCs w:val="22"/>
          <w:lang w:val="bg-BG"/>
          <w14:ligatures w14:val="standardContextual"/>
        </w:rPr>
        <w:t>ë</w:t>
      </w:r>
      <w:r w:rsidRPr="00467019">
        <w:rPr>
          <w:rFonts w:ascii="Arial Narrow" w:eastAsia="Aptos" w:hAnsi="Arial Narrow"/>
          <w:kern w:val="2"/>
          <w:sz w:val="22"/>
          <w:szCs w:val="22"/>
          <w:lang w:val="en-GB"/>
          <w14:ligatures w14:val="standardContextual"/>
        </w:rPr>
        <w:t>m</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i</w:t>
      </w:r>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p</w:t>
      </w:r>
      <w:r w:rsidRPr="009F5CA1">
        <w:rPr>
          <w:rFonts w:ascii="Arial Narrow" w:eastAsia="Aptos" w:hAnsi="Arial Narrow"/>
          <w:kern w:val="2"/>
          <w:sz w:val="22"/>
          <w:szCs w:val="22"/>
          <w:lang w:val="bg-BG"/>
          <w14:ligatures w14:val="standardContextual"/>
        </w:rPr>
        <w:t>ë</w:t>
      </w:r>
      <w:proofErr w:type="spellStart"/>
      <w:r w:rsidRPr="00467019">
        <w:rPr>
          <w:rFonts w:ascii="Arial Narrow" w:eastAsia="Aptos" w:hAnsi="Arial Narrow"/>
          <w:kern w:val="2"/>
          <w:sz w:val="22"/>
          <w:szCs w:val="22"/>
          <w:lang w:val="en-GB"/>
          <w14:ligatures w14:val="standardContextual"/>
        </w:rPr>
        <w:t>rballueshm</w:t>
      </w:r>
      <w:proofErr w:type="spellEnd"/>
      <w:r w:rsidRPr="009F5CA1">
        <w:rPr>
          <w:rFonts w:ascii="Arial Narrow" w:eastAsia="Aptos" w:hAnsi="Arial Narrow"/>
          <w:kern w:val="2"/>
          <w:sz w:val="22"/>
          <w:szCs w:val="22"/>
          <w:lang w:val="bg-BG"/>
          <w14:ligatures w14:val="standardContextual"/>
        </w:rPr>
        <w:t>ë</w:t>
      </w:r>
      <w:proofErr w:type="spellStart"/>
      <w:r w:rsidRPr="00467019">
        <w:rPr>
          <w:rFonts w:ascii="Arial Narrow" w:eastAsia="Aptos" w:hAnsi="Arial Narrow"/>
          <w:kern w:val="2"/>
          <w:sz w:val="22"/>
          <w:szCs w:val="22"/>
          <w:lang w:val="en-GB"/>
          <w14:ligatures w14:val="standardContextual"/>
        </w:rPr>
        <w:t>ris</w:t>
      </w:r>
      <w:proofErr w:type="spellEnd"/>
      <w:r w:rsidRPr="009F5CA1">
        <w:rPr>
          <w:rFonts w:ascii="Arial Narrow" w:eastAsia="Aptos" w:hAnsi="Arial Narrow"/>
          <w:kern w:val="2"/>
          <w:sz w:val="22"/>
          <w:szCs w:val="22"/>
          <w:lang w:val="bg-BG"/>
          <w14:ligatures w14:val="standardContextual"/>
        </w:rPr>
        <w:t xml:space="preserve">ë </w:t>
      </w:r>
      <w:r w:rsidRPr="00467019">
        <w:rPr>
          <w:rFonts w:ascii="Arial Narrow" w:eastAsia="Aptos" w:hAnsi="Arial Narrow"/>
          <w:kern w:val="2"/>
          <w:sz w:val="22"/>
          <w:szCs w:val="22"/>
          <w:lang w:val="en-GB"/>
          <w14:ligatures w14:val="standardContextual"/>
        </w:rPr>
        <w:t>s</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tarifave</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t</w:t>
      </w:r>
      <w:r w:rsidRPr="009F5CA1">
        <w:rPr>
          <w:rFonts w:ascii="Arial Narrow" w:eastAsia="Aptos" w:hAnsi="Arial Narrow"/>
          <w:kern w:val="2"/>
          <w:sz w:val="22"/>
          <w:szCs w:val="22"/>
          <w:lang w:val="bg-BG"/>
          <w14:ligatures w14:val="standardContextual"/>
        </w:rPr>
        <w:t xml:space="preserve">ë </w:t>
      </w:r>
      <w:proofErr w:type="spellStart"/>
      <w:r w:rsidRPr="00467019">
        <w:rPr>
          <w:rFonts w:ascii="Arial Narrow" w:eastAsia="Aptos" w:hAnsi="Arial Narrow"/>
          <w:kern w:val="2"/>
          <w:sz w:val="22"/>
          <w:szCs w:val="22"/>
          <w:lang w:val="en-GB"/>
          <w14:ligatures w14:val="standardContextual"/>
        </w:rPr>
        <w:t>mbeturinave</w:t>
      </w:r>
      <w:proofErr w:type="spellEnd"/>
      <w:r w:rsidRPr="009F5CA1">
        <w:rPr>
          <w:rFonts w:ascii="Arial Narrow" w:eastAsia="Aptos" w:hAnsi="Arial Narrow"/>
          <w:kern w:val="2"/>
          <w:sz w:val="22"/>
          <w:szCs w:val="22"/>
          <w:lang w:val="bg-BG"/>
          <w14:ligatures w14:val="standardContextual"/>
        </w:rPr>
        <w:t xml:space="preserve"> </w:t>
      </w:r>
      <w:proofErr w:type="spellStart"/>
      <w:r w:rsidRPr="00467019">
        <w:rPr>
          <w:rFonts w:ascii="Arial Narrow" w:eastAsia="Aptos" w:hAnsi="Arial Narrow"/>
          <w:kern w:val="2"/>
          <w:sz w:val="22"/>
          <w:szCs w:val="22"/>
          <w:lang w:val="en-GB"/>
          <w14:ligatures w14:val="standardContextual"/>
        </w:rPr>
        <w:t>deri</w:t>
      </w:r>
      <w:proofErr w:type="spellEnd"/>
      <w:r w:rsidRPr="009F5CA1">
        <w:rPr>
          <w:rFonts w:ascii="Arial Narrow" w:eastAsia="Aptos" w:hAnsi="Arial Narrow"/>
          <w:kern w:val="2"/>
          <w:sz w:val="22"/>
          <w:szCs w:val="22"/>
          <w:lang w:val="bg-BG"/>
          <w14:ligatures w14:val="standardContextual"/>
        </w:rPr>
        <w:t xml:space="preserve"> </w:t>
      </w:r>
      <w:r w:rsidRPr="00467019">
        <w:rPr>
          <w:rFonts w:ascii="Arial Narrow" w:eastAsia="Aptos" w:hAnsi="Arial Narrow"/>
          <w:kern w:val="2"/>
          <w:sz w:val="22"/>
          <w:szCs w:val="22"/>
          <w:lang w:val="en-GB"/>
          <w14:ligatures w14:val="standardContextual"/>
        </w:rPr>
        <w:t>m</w:t>
      </w:r>
      <w:r w:rsidRPr="009F5CA1">
        <w:rPr>
          <w:rFonts w:ascii="Arial Narrow" w:eastAsia="Aptos" w:hAnsi="Arial Narrow"/>
          <w:kern w:val="2"/>
          <w:sz w:val="22"/>
          <w:szCs w:val="22"/>
          <w:lang w:val="bg-BG"/>
          <w14:ligatures w14:val="standardContextual"/>
        </w:rPr>
        <w:t>ë 2035:</w:t>
      </w:r>
    </w:p>
    <w:p w14:paraId="1DA764A2" w14:textId="77777777" w:rsidR="007D1EDC" w:rsidRPr="009F5CA1" w:rsidRDefault="007D1EDC" w:rsidP="007D1EDC">
      <w:pPr>
        <w:jc w:val="both"/>
        <w:rPr>
          <w:rFonts w:ascii="Arial Narrow" w:eastAsia="Calibri" w:hAnsi="Arial Narrow" w:cs="Calibri"/>
          <w:kern w:val="2"/>
          <w:sz w:val="22"/>
          <w:szCs w:val="22"/>
          <w:lang w:val="bg-BG"/>
          <w14:ligatures w14:val="standardContextual"/>
        </w:rPr>
      </w:pPr>
    </w:p>
    <w:p w14:paraId="39CC52E6" w14:textId="75F098E2" w:rsidR="007D1EDC" w:rsidRPr="007D1EDC" w:rsidRDefault="007D1EDC" w:rsidP="007D1EDC">
      <w:pPr>
        <w:suppressAutoHyphens/>
        <w:rPr>
          <w:rFonts w:ascii="Arial Narrow" w:eastAsia="Calibri" w:hAnsi="Arial Narrow" w:cs="Calibri"/>
          <w:color w:val="1F497D"/>
          <w:sz w:val="20"/>
          <w:szCs w:val="20"/>
        </w:rPr>
      </w:pPr>
      <w:bookmarkStart w:id="683" w:name="_Toc190966796"/>
      <w:bookmarkStart w:id="684" w:name="_Toc197472293"/>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108.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Parashikimi i përballueshmërisë së tarifë</w:t>
      </w:r>
      <w:r w:rsidR="00637DBA">
        <w:rPr>
          <w:rFonts w:ascii="Arial Narrow" w:eastAsia="Calibri" w:hAnsi="Arial Narrow" w:cs="Calibri"/>
          <w:color w:val="1F497D"/>
          <w:sz w:val="20"/>
          <w:szCs w:val="20"/>
        </w:rPr>
        <w:t xml:space="preserve">ave </w:t>
      </w:r>
      <w:r w:rsidRPr="007D1EDC">
        <w:rPr>
          <w:rFonts w:ascii="Arial Narrow" w:eastAsia="Calibri" w:hAnsi="Arial Narrow" w:cs="Calibri"/>
          <w:color w:val="1F497D"/>
          <w:sz w:val="20"/>
          <w:szCs w:val="20"/>
        </w:rPr>
        <w:t>së mbeturinave, çmimet e vitit 2025</w:t>
      </w:r>
      <w:bookmarkEnd w:id="683"/>
      <w:bookmarkEnd w:id="6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549"/>
        <w:gridCol w:w="549"/>
        <w:gridCol w:w="549"/>
        <w:gridCol w:w="550"/>
        <w:gridCol w:w="550"/>
        <w:gridCol w:w="550"/>
        <w:gridCol w:w="550"/>
        <w:gridCol w:w="550"/>
        <w:gridCol w:w="550"/>
        <w:gridCol w:w="550"/>
        <w:gridCol w:w="550"/>
        <w:gridCol w:w="550"/>
        <w:gridCol w:w="550"/>
        <w:gridCol w:w="545"/>
      </w:tblGrid>
      <w:tr w:rsidR="007D1EDC" w:rsidRPr="007D1EDC" w14:paraId="6D123ED6" w14:textId="77777777" w:rsidTr="00D03949">
        <w:trPr>
          <w:trHeight w:val="190"/>
        </w:trPr>
        <w:tc>
          <w:tcPr>
            <w:tcW w:w="735" w:type="pct"/>
            <w:shd w:val="clear" w:color="auto" w:fill="365F91"/>
            <w:noWrap/>
            <w:vAlign w:val="bottom"/>
            <w:hideMark/>
          </w:tcPr>
          <w:p w14:paraId="6E95164C" w14:textId="77777777" w:rsidR="007D1EDC" w:rsidRPr="009F5CA1" w:rsidRDefault="007D1EDC" w:rsidP="007D1EDC">
            <w:pPr>
              <w:rPr>
                <w:rFonts w:ascii="Arial Narrow" w:hAnsi="Arial Narrow"/>
                <w:b/>
                <w:bCs/>
                <w:color w:val="FFFFFF"/>
                <w:sz w:val="18"/>
                <w:szCs w:val="18"/>
                <w:lang w:val="bg-BG" w:eastAsia="en-GB"/>
              </w:rPr>
            </w:pPr>
          </w:p>
        </w:tc>
        <w:tc>
          <w:tcPr>
            <w:tcW w:w="305" w:type="pct"/>
            <w:shd w:val="clear" w:color="auto" w:fill="365F91"/>
            <w:noWrap/>
            <w:vAlign w:val="bottom"/>
            <w:hideMark/>
          </w:tcPr>
          <w:p w14:paraId="68854C28" w14:textId="77777777" w:rsidR="007D1EDC" w:rsidRPr="007D1EDC" w:rsidRDefault="007D1EDC" w:rsidP="007D1EDC">
            <w:pPr>
              <w:jc w:val="right"/>
              <w:rPr>
                <w:rFonts w:ascii="Arial Narrow" w:hAnsi="Arial Narrow" w:cs="Calibri"/>
                <w:b/>
                <w:bCs/>
                <w:color w:val="FFFFFF"/>
                <w:sz w:val="18"/>
                <w:szCs w:val="18"/>
                <w:lang w:val="en-GB" w:eastAsia="en-GB"/>
              </w:rPr>
            </w:pPr>
            <w:r w:rsidRPr="007D1EDC">
              <w:rPr>
                <w:rFonts w:ascii="Arial Narrow" w:hAnsi="Arial Narrow" w:cs="Calibri"/>
                <w:b/>
                <w:bCs/>
                <w:color w:val="FFFFFF"/>
                <w:sz w:val="18"/>
                <w:szCs w:val="18"/>
                <w:lang w:val="en-GB" w:eastAsia="en-GB"/>
              </w:rPr>
              <w:t>2022</w:t>
            </w:r>
          </w:p>
        </w:tc>
        <w:tc>
          <w:tcPr>
            <w:tcW w:w="305" w:type="pct"/>
            <w:shd w:val="clear" w:color="auto" w:fill="365F91"/>
            <w:noWrap/>
            <w:vAlign w:val="bottom"/>
            <w:hideMark/>
          </w:tcPr>
          <w:p w14:paraId="5CC77FC2" w14:textId="77777777" w:rsidR="007D1EDC" w:rsidRPr="007D1EDC" w:rsidRDefault="007D1EDC" w:rsidP="007D1EDC">
            <w:pPr>
              <w:jc w:val="right"/>
              <w:rPr>
                <w:rFonts w:ascii="Arial Narrow" w:hAnsi="Arial Narrow" w:cs="Calibri"/>
                <w:b/>
                <w:bCs/>
                <w:color w:val="FFFFFF"/>
                <w:sz w:val="18"/>
                <w:szCs w:val="18"/>
                <w:lang w:val="en-GB" w:eastAsia="en-GB"/>
              </w:rPr>
            </w:pPr>
            <w:r w:rsidRPr="007D1EDC">
              <w:rPr>
                <w:rFonts w:ascii="Arial Narrow" w:hAnsi="Arial Narrow" w:cs="Calibri"/>
                <w:b/>
                <w:bCs/>
                <w:color w:val="FFFFFF"/>
                <w:sz w:val="18"/>
                <w:szCs w:val="18"/>
                <w:lang w:val="en-GB" w:eastAsia="en-GB"/>
              </w:rPr>
              <w:t>2023</w:t>
            </w:r>
          </w:p>
        </w:tc>
        <w:tc>
          <w:tcPr>
            <w:tcW w:w="305" w:type="pct"/>
            <w:shd w:val="clear" w:color="auto" w:fill="365F91"/>
            <w:noWrap/>
            <w:vAlign w:val="bottom"/>
            <w:hideMark/>
          </w:tcPr>
          <w:p w14:paraId="6C7D1E86" w14:textId="77777777" w:rsidR="007D1EDC" w:rsidRPr="007D1EDC" w:rsidRDefault="007D1EDC" w:rsidP="007D1EDC">
            <w:pPr>
              <w:jc w:val="right"/>
              <w:rPr>
                <w:rFonts w:ascii="Arial Narrow" w:hAnsi="Arial Narrow" w:cs="Calibri"/>
                <w:b/>
                <w:bCs/>
                <w:color w:val="FFFFFF"/>
                <w:sz w:val="18"/>
                <w:szCs w:val="18"/>
                <w:lang w:val="en-GB" w:eastAsia="en-GB"/>
              </w:rPr>
            </w:pPr>
            <w:r w:rsidRPr="007D1EDC">
              <w:rPr>
                <w:rFonts w:ascii="Arial Narrow" w:hAnsi="Arial Narrow" w:cs="Calibri"/>
                <w:b/>
                <w:bCs/>
                <w:color w:val="FFFFFF"/>
                <w:sz w:val="18"/>
                <w:szCs w:val="18"/>
                <w:lang w:val="en-GB" w:eastAsia="en-GB"/>
              </w:rPr>
              <w:t>2024</w:t>
            </w:r>
          </w:p>
        </w:tc>
        <w:tc>
          <w:tcPr>
            <w:tcW w:w="305" w:type="pct"/>
            <w:shd w:val="clear" w:color="auto" w:fill="365F91"/>
            <w:noWrap/>
            <w:vAlign w:val="bottom"/>
            <w:hideMark/>
          </w:tcPr>
          <w:p w14:paraId="1708EDD9" w14:textId="77777777" w:rsidR="007D1EDC" w:rsidRPr="007D1EDC" w:rsidRDefault="007D1EDC" w:rsidP="007D1EDC">
            <w:pPr>
              <w:jc w:val="right"/>
              <w:rPr>
                <w:rFonts w:ascii="Arial Narrow" w:hAnsi="Arial Narrow" w:cs="Calibri"/>
                <w:b/>
                <w:bCs/>
                <w:color w:val="FFFFFF"/>
                <w:sz w:val="18"/>
                <w:szCs w:val="18"/>
                <w:lang w:val="en-GB" w:eastAsia="en-GB"/>
              </w:rPr>
            </w:pPr>
            <w:r w:rsidRPr="007D1EDC">
              <w:rPr>
                <w:rFonts w:ascii="Arial Narrow" w:hAnsi="Arial Narrow" w:cs="Calibri"/>
                <w:b/>
                <w:bCs/>
                <w:color w:val="FFFFFF"/>
                <w:sz w:val="18"/>
                <w:szCs w:val="18"/>
                <w:lang w:val="en-GB" w:eastAsia="en-GB"/>
              </w:rPr>
              <w:t>2025</w:t>
            </w:r>
          </w:p>
        </w:tc>
        <w:tc>
          <w:tcPr>
            <w:tcW w:w="305" w:type="pct"/>
            <w:shd w:val="clear" w:color="auto" w:fill="365F91"/>
            <w:noWrap/>
            <w:vAlign w:val="bottom"/>
            <w:hideMark/>
          </w:tcPr>
          <w:p w14:paraId="4C99585A" w14:textId="77777777" w:rsidR="007D1EDC" w:rsidRPr="007D1EDC" w:rsidRDefault="007D1EDC" w:rsidP="007D1EDC">
            <w:pPr>
              <w:jc w:val="right"/>
              <w:rPr>
                <w:rFonts w:ascii="Arial Narrow" w:hAnsi="Arial Narrow" w:cs="Calibri"/>
                <w:b/>
                <w:bCs/>
                <w:color w:val="FFFFFF"/>
                <w:sz w:val="18"/>
                <w:szCs w:val="18"/>
                <w:lang w:val="en-GB" w:eastAsia="en-GB"/>
              </w:rPr>
            </w:pPr>
            <w:r w:rsidRPr="007D1EDC">
              <w:rPr>
                <w:rFonts w:ascii="Arial Narrow" w:hAnsi="Arial Narrow" w:cs="Calibri"/>
                <w:b/>
                <w:bCs/>
                <w:color w:val="FFFFFF"/>
                <w:sz w:val="18"/>
                <w:szCs w:val="18"/>
                <w:lang w:val="en-GB" w:eastAsia="en-GB"/>
              </w:rPr>
              <w:t>2026</w:t>
            </w:r>
          </w:p>
        </w:tc>
        <w:tc>
          <w:tcPr>
            <w:tcW w:w="305" w:type="pct"/>
            <w:shd w:val="clear" w:color="auto" w:fill="365F91"/>
            <w:noWrap/>
            <w:vAlign w:val="bottom"/>
            <w:hideMark/>
          </w:tcPr>
          <w:p w14:paraId="31DF4937" w14:textId="77777777" w:rsidR="007D1EDC" w:rsidRPr="007D1EDC" w:rsidRDefault="007D1EDC" w:rsidP="007D1EDC">
            <w:pPr>
              <w:jc w:val="right"/>
              <w:rPr>
                <w:rFonts w:ascii="Arial Narrow" w:hAnsi="Arial Narrow" w:cs="Calibri"/>
                <w:b/>
                <w:bCs/>
                <w:color w:val="FFFFFF"/>
                <w:sz w:val="18"/>
                <w:szCs w:val="18"/>
                <w:lang w:val="en-GB" w:eastAsia="en-GB"/>
              </w:rPr>
            </w:pPr>
            <w:r w:rsidRPr="007D1EDC">
              <w:rPr>
                <w:rFonts w:ascii="Arial Narrow" w:hAnsi="Arial Narrow" w:cs="Calibri"/>
                <w:b/>
                <w:bCs/>
                <w:color w:val="FFFFFF"/>
                <w:sz w:val="18"/>
                <w:szCs w:val="18"/>
                <w:lang w:val="en-GB" w:eastAsia="en-GB"/>
              </w:rPr>
              <w:t>2027</w:t>
            </w:r>
          </w:p>
        </w:tc>
        <w:tc>
          <w:tcPr>
            <w:tcW w:w="305" w:type="pct"/>
            <w:shd w:val="clear" w:color="auto" w:fill="365F91"/>
            <w:noWrap/>
            <w:vAlign w:val="bottom"/>
            <w:hideMark/>
          </w:tcPr>
          <w:p w14:paraId="5E08989F" w14:textId="77777777" w:rsidR="007D1EDC" w:rsidRPr="007D1EDC" w:rsidRDefault="007D1EDC" w:rsidP="007D1EDC">
            <w:pPr>
              <w:jc w:val="right"/>
              <w:rPr>
                <w:rFonts w:ascii="Arial Narrow" w:hAnsi="Arial Narrow" w:cs="Calibri"/>
                <w:b/>
                <w:bCs/>
                <w:color w:val="FFFFFF"/>
                <w:sz w:val="18"/>
                <w:szCs w:val="18"/>
                <w:lang w:val="en-GB" w:eastAsia="en-GB"/>
              </w:rPr>
            </w:pPr>
            <w:r w:rsidRPr="007D1EDC">
              <w:rPr>
                <w:rFonts w:ascii="Arial Narrow" w:hAnsi="Arial Narrow" w:cs="Calibri"/>
                <w:b/>
                <w:bCs/>
                <w:color w:val="FFFFFF"/>
                <w:sz w:val="18"/>
                <w:szCs w:val="18"/>
                <w:lang w:val="en-GB" w:eastAsia="en-GB"/>
              </w:rPr>
              <w:t>2028</w:t>
            </w:r>
          </w:p>
        </w:tc>
        <w:tc>
          <w:tcPr>
            <w:tcW w:w="305" w:type="pct"/>
            <w:shd w:val="clear" w:color="auto" w:fill="365F91"/>
            <w:noWrap/>
            <w:vAlign w:val="bottom"/>
            <w:hideMark/>
          </w:tcPr>
          <w:p w14:paraId="0AD3FD35" w14:textId="77777777" w:rsidR="007D1EDC" w:rsidRPr="007D1EDC" w:rsidRDefault="007D1EDC" w:rsidP="007D1EDC">
            <w:pPr>
              <w:jc w:val="right"/>
              <w:rPr>
                <w:rFonts w:ascii="Arial Narrow" w:hAnsi="Arial Narrow" w:cs="Calibri"/>
                <w:b/>
                <w:bCs/>
                <w:color w:val="FFFFFF"/>
                <w:sz w:val="18"/>
                <w:szCs w:val="18"/>
                <w:lang w:val="en-GB" w:eastAsia="en-GB"/>
              </w:rPr>
            </w:pPr>
            <w:r w:rsidRPr="007D1EDC">
              <w:rPr>
                <w:rFonts w:ascii="Arial Narrow" w:hAnsi="Arial Narrow" w:cs="Calibri"/>
                <w:b/>
                <w:bCs/>
                <w:color w:val="FFFFFF"/>
                <w:sz w:val="18"/>
                <w:szCs w:val="18"/>
                <w:lang w:val="en-GB" w:eastAsia="en-GB"/>
              </w:rPr>
              <w:t>2029</w:t>
            </w:r>
          </w:p>
        </w:tc>
        <w:tc>
          <w:tcPr>
            <w:tcW w:w="305" w:type="pct"/>
            <w:shd w:val="clear" w:color="auto" w:fill="365F91"/>
            <w:noWrap/>
            <w:vAlign w:val="bottom"/>
            <w:hideMark/>
          </w:tcPr>
          <w:p w14:paraId="01A58DE2" w14:textId="77777777" w:rsidR="007D1EDC" w:rsidRPr="007D1EDC" w:rsidRDefault="007D1EDC" w:rsidP="007D1EDC">
            <w:pPr>
              <w:jc w:val="right"/>
              <w:rPr>
                <w:rFonts w:ascii="Arial Narrow" w:hAnsi="Arial Narrow" w:cs="Calibri"/>
                <w:b/>
                <w:bCs/>
                <w:color w:val="FFFFFF"/>
                <w:sz w:val="18"/>
                <w:szCs w:val="18"/>
                <w:lang w:val="en-GB" w:eastAsia="en-GB"/>
              </w:rPr>
            </w:pPr>
            <w:r w:rsidRPr="007D1EDC">
              <w:rPr>
                <w:rFonts w:ascii="Arial Narrow" w:hAnsi="Arial Narrow" w:cs="Calibri"/>
                <w:b/>
                <w:bCs/>
                <w:color w:val="FFFFFF"/>
                <w:sz w:val="18"/>
                <w:szCs w:val="18"/>
                <w:lang w:val="en-GB" w:eastAsia="en-GB"/>
              </w:rPr>
              <w:t>2030</w:t>
            </w:r>
          </w:p>
        </w:tc>
        <w:tc>
          <w:tcPr>
            <w:tcW w:w="305" w:type="pct"/>
            <w:shd w:val="clear" w:color="auto" w:fill="365F91"/>
            <w:noWrap/>
            <w:vAlign w:val="bottom"/>
            <w:hideMark/>
          </w:tcPr>
          <w:p w14:paraId="4740D059" w14:textId="77777777" w:rsidR="007D1EDC" w:rsidRPr="007D1EDC" w:rsidRDefault="007D1EDC" w:rsidP="007D1EDC">
            <w:pPr>
              <w:jc w:val="right"/>
              <w:rPr>
                <w:rFonts w:ascii="Arial Narrow" w:hAnsi="Arial Narrow" w:cs="Calibri"/>
                <w:b/>
                <w:bCs/>
                <w:color w:val="FFFFFF"/>
                <w:sz w:val="18"/>
                <w:szCs w:val="18"/>
                <w:lang w:val="en-GB" w:eastAsia="en-GB"/>
              </w:rPr>
            </w:pPr>
            <w:r w:rsidRPr="007D1EDC">
              <w:rPr>
                <w:rFonts w:ascii="Arial Narrow" w:hAnsi="Arial Narrow" w:cs="Calibri"/>
                <w:b/>
                <w:bCs/>
                <w:color w:val="FFFFFF"/>
                <w:sz w:val="18"/>
                <w:szCs w:val="18"/>
                <w:lang w:val="en-GB" w:eastAsia="en-GB"/>
              </w:rPr>
              <w:t>2031</w:t>
            </w:r>
          </w:p>
        </w:tc>
        <w:tc>
          <w:tcPr>
            <w:tcW w:w="305" w:type="pct"/>
            <w:shd w:val="clear" w:color="auto" w:fill="365F91"/>
            <w:noWrap/>
            <w:vAlign w:val="bottom"/>
            <w:hideMark/>
          </w:tcPr>
          <w:p w14:paraId="1C85B77C" w14:textId="77777777" w:rsidR="007D1EDC" w:rsidRPr="007D1EDC" w:rsidRDefault="007D1EDC" w:rsidP="007D1EDC">
            <w:pPr>
              <w:jc w:val="right"/>
              <w:rPr>
                <w:rFonts w:ascii="Arial Narrow" w:hAnsi="Arial Narrow" w:cs="Calibri"/>
                <w:b/>
                <w:bCs/>
                <w:color w:val="FFFFFF"/>
                <w:sz w:val="18"/>
                <w:szCs w:val="18"/>
                <w:lang w:val="en-GB" w:eastAsia="en-GB"/>
              </w:rPr>
            </w:pPr>
            <w:r w:rsidRPr="007D1EDC">
              <w:rPr>
                <w:rFonts w:ascii="Arial Narrow" w:hAnsi="Arial Narrow" w:cs="Calibri"/>
                <w:b/>
                <w:bCs/>
                <w:color w:val="FFFFFF"/>
                <w:sz w:val="18"/>
                <w:szCs w:val="18"/>
                <w:lang w:val="en-GB" w:eastAsia="en-GB"/>
              </w:rPr>
              <w:t>2032</w:t>
            </w:r>
          </w:p>
        </w:tc>
        <w:tc>
          <w:tcPr>
            <w:tcW w:w="305" w:type="pct"/>
            <w:shd w:val="clear" w:color="auto" w:fill="365F91"/>
            <w:noWrap/>
            <w:vAlign w:val="bottom"/>
            <w:hideMark/>
          </w:tcPr>
          <w:p w14:paraId="50DCC41F" w14:textId="77777777" w:rsidR="007D1EDC" w:rsidRPr="007D1EDC" w:rsidRDefault="007D1EDC" w:rsidP="007D1EDC">
            <w:pPr>
              <w:jc w:val="right"/>
              <w:rPr>
                <w:rFonts w:ascii="Arial Narrow" w:hAnsi="Arial Narrow" w:cs="Calibri"/>
                <w:b/>
                <w:bCs/>
                <w:color w:val="FFFFFF"/>
                <w:sz w:val="18"/>
                <w:szCs w:val="18"/>
                <w:lang w:val="en-GB" w:eastAsia="en-GB"/>
              </w:rPr>
            </w:pPr>
            <w:r w:rsidRPr="007D1EDC">
              <w:rPr>
                <w:rFonts w:ascii="Arial Narrow" w:hAnsi="Arial Narrow" w:cs="Calibri"/>
                <w:b/>
                <w:bCs/>
                <w:color w:val="FFFFFF"/>
                <w:sz w:val="18"/>
                <w:szCs w:val="18"/>
                <w:lang w:val="en-GB" w:eastAsia="en-GB"/>
              </w:rPr>
              <w:t>2033</w:t>
            </w:r>
          </w:p>
        </w:tc>
        <w:tc>
          <w:tcPr>
            <w:tcW w:w="305" w:type="pct"/>
            <w:shd w:val="clear" w:color="auto" w:fill="365F91"/>
            <w:noWrap/>
            <w:vAlign w:val="bottom"/>
            <w:hideMark/>
          </w:tcPr>
          <w:p w14:paraId="405CBC51" w14:textId="77777777" w:rsidR="007D1EDC" w:rsidRPr="007D1EDC" w:rsidRDefault="007D1EDC" w:rsidP="007D1EDC">
            <w:pPr>
              <w:jc w:val="right"/>
              <w:rPr>
                <w:rFonts w:ascii="Arial Narrow" w:hAnsi="Arial Narrow" w:cs="Calibri"/>
                <w:b/>
                <w:bCs/>
                <w:color w:val="FFFFFF"/>
                <w:sz w:val="18"/>
                <w:szCs w:val="18"/>
                <w:lang w:val="en-GB" w:eastAsia="en-GB"/>
              </w:rPr>
            </w:pPr>
            <w:r w:rsidRPr="007D1EDC">
              <w:rPr>
                <w:rFonts w:ascii="Arial Narrow" w:hAnsi="Arial Narrow" w:cs="Calibri"/>
                <w:b/>
                <w:bCs/>
                <w:color w:val="FFFFFF"/>
                <w:sz w:val="18"/>
                <w:szCs w:val="18"/>
                <w:lang w:val="en-GB" w:eastAsia="en-GB"/>
              </w:rPr>
              <w:t>2034</w:t>
            </w:r>
          </w:p>
        </w:tc>
        <w:tc>
          <w:tcPr>
            <w:tcW w:w="305" w:type="pct"/>
            <w:shd w:val="clear" w:color="auto" w:fill="365F91"/>
            <w:noWrap/>
            <w:vAlign w:val="bottom"/>
            <w:hideMark/>
          </w:tcPr>
          <w:p w14:paraId="40B14E36" w14:textId="77777777" w:rsidR="007D1EDC" w:rsidRPr="007D1EDC" w:rsidRDefault="007D1EDC" w:rsidP="007D1EDC">
            <w:pPr>
              <w:jc w:val="right"/>
              <w:rPr>
                <w:rFonts w:ascii="Arial Narrow" w:hAnsi="Arial Narrow" w:cs="Calibri"/>
                <w:b/>
                <w:bCs/>
                <w:color w:val="FFFFFF"/>
                <w:sz w:val="18"/>
                <w:szCs w:val="18"/>
                <w:lang w:val="en-GB" w:eastAsia="en-GB"/>
              </w:rPr>
            </w:pPr>
            <w:r w:rsidRPr="007D1EDC">
              <w:rPr>
                <w:rFonts w:ascii="Arial Narrow" w:hAnsi="Arial Narrow" w:cs="Calibri"/>
                <w:b/>
                <w:bCs/>
                <w:color w:val="FFFFFF"/>
                <w:sz w:val="18"/>
                <w:szCs w:val="18"/>
                <w:lang w:val="en-GB" w:eastAsia="en-GB"/>
              </w:rPr>
              <w:t>2035</w:t>
            </w:r>
          </w:p>
        </w:tc>
      </w:tr>
      <w:tr w:rsidR="007D1EDC" w:rsidRPr="007D1EDC" w14:paraId="59135771" w14:textId="77777777" w:rsidTr="00D03949">
        <w:trPr>
          <w:trHeight w:val="210"/>
        </w:trPr>
        <w:tc>
          <w:tcPr>
            <w:tcW w:w="735" w:type="pct"/>
            <w:shd w:val="clear" w:color="auto" w:fill="auto"/>
            <w:noWrap/>
            <w:vAlign w:val="bottom"/>
            <w:hideMark/>
          </w:tcPr>
          <w:p w14:paraId="7001940C" w14:textId="77777777" w:rsidR="007D1EDC" w:rsidRPr="007D1EDC" w:rsidRDefault="007D1EDC" w:rsidP="007D1EDC">
            <w:pPr>
              <w:rPr>
                <w:rFonts w:ascii="Arial Narrow" w:hAnsi="Arial Narrow" w:cs="Calibri"/>
                <w:color w:val="000000"/>
                <w:sz w:val="18"/>
                <w:szCs w:val="18"/>
                <w:lang w:val="en-GB" w:eastAsia="en-GB"/>
              </w:rPr>
            </w:pPr>
            <w:r w:rsidRPr="007D1EDC">
              <w:rPr>
                <w:rFonts w:ascii="Arial Narrow" w:hAnsi="Arial Narrow" w:cs="Calibri"/>
                <w:color w:val="000000"/>
                <w:sz w:val="18"/>
                <w:szCs w:val="18"/>
                <w:lang w:val="en-GB" w:eastAsia="en-GB"/>
              </w:rPr>
              <w:t xml:space="preserve">Tarifa </w:t>
            </w:r>
            <w:proofErr w:type="spellStart"/>
            <w:r w:rsidRPr="007D1EDC">
              <w:rPr>
                <w:rFonts w:ascii="Arial Narrow" w:hAnsi="Arial Narrow" w:cs="Calibri"/>
                <w:color w:val="000000"/>
                <w:sz w:val="18"/>
                <w:szCs w:val="18"/>
                <w:lang w:val="en-GB" w:eastAsia="en-GB"/>
              </w:rPr>
              <w:t>mujore</w:t>
            </w:r>
            <w:proofErr w:type="spellEnd"/>
          </w:p>
          <w:p w14:paraId="07997764" w14:textId="77777777" w:rsidR="007D1EDC" w:rsidRPr="007D1EDC" w:rsidRDefault="007D1EDC" w:rsidP="007D1EDC">
            <w:pPr>
              <w:rPr>
                <w:rFonts w:ascii="Arial Narrow" w:hAnsi="Arial Narrow" w:cs="Calibri"/>
                <w:color w:val="000000"/>
                <w:sz w:val="18"/>
                <w:szCs w:val="18"/>
                <w:lang w:val="en-GB" w:eastAsia="en-GB"/>
              </w:rPr>
            </w:pPr>
            <w:proofErr w:type="spellStart"/>
            <w:r w:rsidRPr="007D1EDC">
              <w:rPr>
                <w:rFonts w:ascii="Arial Narrow" w:hAnsi="Arial Narrow" w:cs="Calibri"/>
                <w:color w:val="000000"/>
                <w:sz w:val="18"/>
                <w:szCs w:val="18"/>
                <w:lang w:val="en-GB" w:eastAsia="en-GB"/>
              </w:rPr>
              <w:t>për</w:t>
            </w:r>
            <w:proofErr w:type="spellEnd"/>
            <w:r w:rsidRPr="007D1EDC">
              <w:rPr>
                <w:rFonts w:ascii="Arial Narrow" w:hAnsi="Arial Narrow" w:cs="Calibri"/>
                <w:color w:val="000000"/>
                <w:sz w:val="18"/>
                <w:szCs w:val="18"/>
                <w:lang w:val="en-GB" w:eastAsia="en-GB"/>
              </w:rPr>
              <w:t xml:space="preserve"> person</w:t>
            </w:r>
          </w:p>
        </w:tc>
        <w:tc>
          <w:tcPr>
            <w:tcW w:w="305" w:type="pct"/>
            <w:shd w:val="clear" w:color="auto" w:fill="auto"/>
            <w:noWrap/>
            <w:vAlign w:val="bottom"/>
            <w:hideMark/>
          </w:tcPr>
          <w:p w14:paraId="2585E184" w14:textId="77777777" w:rsidR="007D1EDC" w:rsidRPr="007D1EDC" w:rsidRDefault="007D1EDC" w:rsidP="007D1EDC">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lang w:val="en-GB" w:eastAsia="en-GB"/>
              </w:rPr>
              <w:t>1.6</w:t>
            </w:r>
          </w:p>
        </w:tc>
        <w:tc>
          <w:tcPr>
            <w:tcW w:w="305" w:type="pct"/>
            <w:shd w:val="clear" w:color="auto" w:fill="auto"/>
            <w:noWrap/>
            <w:vAlign w:val="bottom"/>
            <w:hideMark/>
          </w:tcPr>
          <w:p w14:paraId="1C29428C" w14:textId="77777777" w:rsidR="007D1EDC" w:rsidRPr="007D1EDC" w:rsidRDefault="007D1EDC" w:rsidP="007D1EDC">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lang w:val="en-GB" w:eastAsia="en-GB"/>
              </w:rPr>
              <w:t>1.78</w:t>
            </w:r>
          </w:p>
        </w:tc>
        <w:tc>
          <w:tcPr>
            <w:tcW w:w="305" w:type="pct"/>
            <w:shd w:val="clear" w:color="auto" w:fill="auto"/>
            <w:noWrap/>
            <w:vAlign w:val="bottom"/>
            <w:hideMark/>
          </w:tcPr>
          <w:p w14:paraId="75EAB42C" w14:textId="77777777" w:rsidR="007D1EDC" w:rsidRPr="007D1EDC" w:rsidRDefault="007D1EDC" w:rsidP="007D1EDC">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lang w:val="en-GB" w:eastAsia="en-GB"/>
              </w:rPr>
              <w:t>1.89</w:t>
            </w:r>
          </w:p>
        </w:tc>
        <w:tc>
          <w:tcPr>
            <w:tcW w:w="305" w:type="pct"/>
            <w:shd w:val="clear" w:color="auto" w:fill="auto"/>
            <w:noWrap/>
            <w:vAlign w:val="bottom"/>
            <w:hideMark/>
          </w:tcPr>
          <w:p w14:paraId="480EE87B" w14:textId="77777777" w:rsidR="007D1EDC" w:rsidRPr="007D1EDC" w:rsidRDefault="007D1EDC" w:rsidP="007D1EDC">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lang w:val="en-GB" w:eastAsia="en-GB"/>
              </w:rPr>
              <w:t>1.94</w:t>
            </w:r>
          </w:p>
        </w:tc>
        <w:tc>
          <w:tcPr>
            <w:tcW w:w="305" w:type="pct"/>
            <w:shd w:val="clear" w:color="auto" w:fill="auto"/>
            <w:noWrap/>
            <w:vAlign w:val="bottom"/>
            <w:hideMark/>
          </w:tcPr>
          <w:p w14:paraId="7EF9911E" w14:textId="77777777" w:rsidR="007D1EDC" w:rsidRPr="007D1EDC" w:rsidRDefault="007D1EDC" w:rsidP="007D1EDC">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lang w:val="en-GB" w:eastAsia="en-GB"/>
              </w:rPr>
              <w:t>2.00</w:t>
            </w:r>
          </w:p>
        </w:tc>
        <w:tc>
          <w:tcPr>
            <w:tcW w:w="305" w:type="pct"/>
            <w:shd w:val="clear" w:color="auto" w:fill="auto"/>
            <w:noWrap/>
            <w:vAlign w:val="bottom"/>
            <w:hideMark/>
          </w:tcPr>
          <w:p w14:paraId="47413551" w14:textId="77777777" w:rsidR="007D1EDC" w:rsidRPr="007D1EDC" w:rsidRDefault="007D1EDC" w:rsidP="007D1EDC">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lang w:val="en-GB" w:eastAsia="en-GB"/>
              </w:rPr>
              <w:t>2.06</w:t>
            </w:r>
          </w:p>
        </w:tc>
        <w:tc>
          <w:tcPr>
            <w:tcW w:w="305" w:type="pct"/>
            <w:shd w:val="clear" w:color="auto" w:fill="auto"/>
            <w:noWrap/>
            <w:vAlign w:val="bottom"/>
            <w:hideMark/>
          </w:tcPr>
          <w:p w14:paraId="2BA7435D" w14:textId="77777777" w:rsidR="007D1EDC" w:rsidRPr="007D1EDC" w:rsidRDefault="007D1EDC" w:rsidP="007D1EDC">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lang w:val="en-GB" w:eastAsia="en-GB"/>
              </w:rPr>
              <w:t>2.12</w:t>
            </w:r>
          </w:p>
        </w:tc>
        <w:tc>
          <w:tcPr>
            <w:tcW w:w="305" w:type="pct"/>
            <w:shd w:val="clear" w:color="auto" w:fill="auto"/>
            <w:noWrap/>
            <w:vAlign w:val="bottom"/>
            <w:hideMark/>
          </w:tcPr>
          <w:p w14:paraId="4ACFFF95" w14:textId="77777777" w:rsidR="007D1EDC" w:rsidRPr="007D1EDC" w:rsidRDefault="007D1EDC" w:rsidP="007D1EDC">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lang w:val="en-GB" w:eastAsia="en-GB"/>
              </w:rPr>
              <w:t>2.19</w:t>
            </w:r>
          </w:p>
        </w:tc>
        <w:tc>
          <w:tcPr>
            <w:tcW w:w="305" w:type="pct"/>
            <w:shd w:val="clear" w:color="auto" w:fill="auto"/>
            <w:noWrap/>
            <w:vAlign w:val="bottom"/>
            <w:hideMark/>
          </w:tcPr>
          <w:p w14:paraId="288CC4D5" w14:textId="77777777" w:rsidR="007D1EDC" w:rsidRPr="007D1EDC" w:rsidRDefault="007D1EDC" w:rsidP="007D1EDC">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lang w:val="en-GB" w:eastAsia="en-GB"/>
              </w:rPr>
              <w:t>2.25</w:t>
            </w:r>
          </w:p>
        </w:tc>
        <w:tc>
          <w:tcPr>
            <w:tcW w:w="305" w:type="pct"/>
            <w:shd w:val="clear" w:color="auto" w:fill="auto"/>
            <w:noWrap/>
            <w:vAlign w:val="bottom"/>
            <w:hideMark/>
          </w:tcPr>
          <w:p w14:paraId="3B67E0B8" w14:textId="77777777" w:rsidR="007D1EDC" w:rsidRPr="007D1EDC" w:rsidRDefault="007D1EDC" w:rsidP="007D1EDC">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lang w:val="en-GB" w:eastAsia="en-GB"/>
              </w:rPr>
              <w:t>2.32</w:t>
            </w:r>
          </w:p>
        </w:tc>
        <w:tc>
          <w:tcPr>
            <w:tcW w:w="305" w:type="pct"/>
            <w:shd w:val="clear" w:color="auto" w:fill="auto"/>
            <w:noWrap/>
            <w:vAlign w:val="bottom"/>
            <w:hideMark/>
          </w:tcPr>
          <w:p w14:paraId="1B24B54F" w14:textId="77777777" w:rsidR="007D1EDC" w:rsidRPr="007D1EDC" w:rsidRDefault="007D1EDC" w:rsidP="007D1EDC">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lang w:val="en-GB" w:eastAsia="en-GB"/>
              </w:rPr>
              <w:t>2.39</w:t>
            </w:r>
          </w:p>
        </w:tc>
        <w:tc>
          <w:tcPr>
            <w:tcW w:w="305" w:type="pct"/>
            <w:shd w:val="clear" w:color="auto" w:fill="auto"/>
            <w:noWrap/>
            <w:vAlign w:val="bottom"/>
            <w:hideMark/>
          </w:tcPr>
          <w:p w14:paraId="6A4C4F98" w14:textId="77777777" w:rsidR="007D1EDC" w:rsidRPr="007D1EDC" w:rsidRDefault="007D1EDC" w:rsidP="007D1EDC">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lang w:val="en-GB" w:eastAsia="en-GB"/>
              </w:rPr>
              <w:t>2.46</w:t>
            </w:r>
          </w:p>
        </w:tc>
        <w:tc>
          <w:tcPr>
            <w:tcW w:w="305" w:type="pct"/>
            <w:shd w:val="clear" w:color="auto" w:fill="auto"/>
            <w:noWrap/>
            <w:vAlign w:val="bottom"/>
            <w:hideMark/>
          </w:tcPr>
          <w:p w14:paraId="0C966765" w14:textId="77777777" w:rsidR="007D1EDC" w:rsidRPr="007D1EDC" w:rsidRDefault="007D1EDC" w:rsidP="007D1EDC">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lang w:val="en-GB" w:eastAsia="en-GB"/>
              </w:rPr>
              <w:t>2.54</w:t>
            </w:r>
          </w:p>
        </w:tc>
        <w:tc>
          <w:tcPr>
            <w:tcW w:w="305" w:type="pct"/>
            <w:shd w:val="clear" w:color="auto" w:fill="auto"/>
            <w:noWrap/>
            <w:vAlign w:val="bottom"/>
            <w:hideMark/>
          </w:tcPr>
          <w:p w14:paraId="010933C2" w14:textId="77777777" w:rsidR="007D1EDC" w:rsidRPr="007D1EDC" w:rsidRDefault="007D1EDC" w:rsidP="007D1EDC">
            <w:pPr>
              <w:jc w:val="right"/>
              <w:rPr>
                <w:rFonts w:ascii="Arial Narrow" w:hAnsi="Arial Narrow" w:cs="Calibri"/>
                <w:color w:val="000000"/>
                <w:sz w:val="18"/>
                <w:szCs w:val="18"/>
                <w:lang w:val="en-GB" w:eastAsia="en-GB"/>
              </w:rPr>
            </w:pPr>
            <w:r w:rsidRPr="007D1EDC">
              <w:rPr>
                <w:rFonts w:ascii="Arial Narrow" w:hAnsi="Arial Narrow" w:cs="Calibri"/>
                <w:color w:val="000000"/>
                <w:sz w:val="18"/>
                <w:szCs w:val="18"/>
                <w:lang w:val="en-GB" w:eastAsia="en-GB"/>
              </w:rPr>
              <w:t>2.61</w:t>
            </w:r>
          </w:p>
        </w:tc>
      </w:tr>
    </w:tbl>
    <w:p w14:paraId="560E6C35" w14:textId="77777777" w:rsidR="007D1EDC" w:rsidRPr="00637DBA" w:rsidRDefault="007D1EDC" w:rsidP="007D1EDC">
      <w:pPr>
        <w:rPr>
          <w:rFonts w:ascii="Arial Narrow" w:eastAsia="Aptos" w:hAnsi="Arial Narrow"/>
          <w:kern w:val="2"/>
          <w:sz w:val="22"/>
          <w:szCs w:val="22"/>
          <w:lang w:val="en-GB"/>
          <w14:ligatures w14:val="standardContextual"/>
        </w:rPr>
      </w:pPr>
    </w:p>
    <w:p w14:paraId="62B7F52E" w14:textId="77777777" w:rsidR="00637DBA" w:rsidRPr="00637DBA" w:rsidRDefault="00637DBA" w:rsidP="00637DBA">
      <w:pPr>
        <w:rPr>
          <w:rFonts w:ascii="Arial Narrow" w:eastAsia="Aptos" w:hAnsi="Arial Narrow"/>
          <w:kern w:val="2"/>
          <w:sz w:val="22"/>
          <w:szCs w:val="22"/>
          <w:lang w:val="en-GB"/>
          <w14:ligatures w14:val="standardContextual"/>
        </w:rPr>
      </w:pPr>
      <w:proofErr w:type="spellStart"/>
      <w:r w:rsidRPr="00637DBA">
        <w:rPr>
          <w:rFonts w:ascii="Arial Narrow" w:eastAsia="Aptos" w:hAnsi="Arial Narrow"/>
          <w:kern w:val="2"/>
          <w:sz w:val="22"/>
          <w:szCs w:val="22"/>
          <w:lang w:val="en-GB"/>
          <w14:ligatures w14:val="standardContextual"/>
        </w:rPr>
        <w:t>Pragu</w:t>
      </w:r>
      <w:proofErr w:type="spellEnd"/>
      <w:r w:rsidRPr="00637DBA">
        <w:rPr>
          <w:rFonts w:ascii="Arial Narrow" w:eastAsia="Aptos" w:hAnsi="Arial Narrow"/>
          <w:kern w:val="2"/>
          <w:sz w:val="22"/>
          <w:szCs w:val="22"/>
          <w:lang w:val="en-GB"/>
          <w14:ligatures w14:val="standardContextual"/>
        </w:rPr>
        <w:t xml:space="preserve"> i </w:t>
      </w:r>
      <w:proofErr w:type="spellStart"/>
      <w:r w:rsidRPr="00637DBA">
        <w:rPr>
          <w:rFonts w:ascii="Arial Narrow" w:eastAsia="Aptos" w:hAnsi="Arial Narrow"/>
          <w:kern w:val="2"/>
          <w:sz w:val="22"/>
          <w:szCs w:val="22"/>
          <w:lang w:val="en-GB"/>
          <w14:ligatures w14:val="standardContextual"/>
        </w:rPr>
        <w:t>përballueshmërisë</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për</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të</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hyrat</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familjare</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përdor</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vlerësimet</w:t>
      </w:r>
      <w:proofErr w:type="spellEnd"/>
      <w:r w:rsidRPr="00637DBA">
        <w:rPr>
          <w:rFonts w:ascii="Arial Narrow" w:eastAsia="Aptos" w:hAnsi="Arial Narrow"/>
          <w:kern w:val="2"/>
          <w:sz w:val="22"/>
          <w:szCs w:val="22"/>
          <w:lang w:val="en-GB"/>
          <w14:ligatures w14:val="standardContextual"/>
        </w:rPr>
        <w:t xml:space="preserve"> e </w:t>
      </w:r>
      <w:proofErr w:type="spellStart"/>
      <w:r w:rsidRPr="00637DBA">
        <w:rPr>
          <w:rFonts w:ascii="Arial Narrow" w:eastAsia="Aptos" w:hAnsi="Arial Narrow"/>
          <w:kern w:val="2"/>
          <w:sz w:val="22"/>
          <w:szCs w:val="22"/>
          <w:lang w:val="en-GB"/>
          <w14:ligatures w14:val="standardContextual"/>
        </w:rPr>
        <w:t>popullsisë</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për</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uljen</w:t>
      </w:r>
      <w:proofErr w:type="spellEnd"/>
      <w:r w:rsidRPr="00637DBA">
        <w:rPr>
          <w:rFonts w:ascii="Arial Narrow" w:eastAsia="Aptos" w:hAnsi="Arial Narrow"/>
          <w:kern w:val="2"/>
          <w:sz w:val="22"/>
          <w:szCs w:val="22"/>
          <w:lang w:val="en-GB"/>
          <w14:ligatures w14:val="standardContextual"/>
        </w:rPr>
        <w:t xml:space="preserve"> e </w:t>
      </w:r>
      <w:proofErr w:type="spellStart"/>
      <w:r w:rsidRPr="00637DBA">
        <w:rPr>
          <w:rFonts w:ascii="Arial Narrow" w:eastAsia="Aptos" w:hAnsi="Arial Narrow"/>
          <w:kern w:val="2"/>
          <w:sz w:val="22"/>
          <w:szCs w:val="22"/>
          <w:lang w:val="en-GB"/>
          <w14:ligatures w14:val="standardContextual"/>
        </w:rPr>
        <w:t>popullsisë</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bazuar</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në</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të</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dhënat</w:t>
      </w:r>
      <w:proofErr w:type="spellEnd"/>
      <w:r w:rsidRPr="00637DBA">
        <w:rPr>
          <w:rFonts w:ascii="Arial Narrow" w:eastAsia="Aptos" w:hAnsi="Arial Narrow"/>
          <w:kern w:val="2"/>
          <w:sz w:val="22"/>
          <w:szCs w:val="22"/>
          <w:lang w:val="en-GB"/>
          <w14:ligatures w14:val="standardContextual"/>
        </w:rPr>
        <w:t xml:space="preserve"> e </w:t>
      </w:r>
      <w:proofErr w:type="spellStart"/>
      <w:r w:rsidRPr="00637DBA">
        <w:rPr>
          <w:rFonts w:ascii="Arial Narrow" w:eastAsia="Aptos" w:hAnsi="Arial Narrow"/>
          <w:kern w:val="2"/>
          <w:sz w:val="22"/>
          <w:szCs w:val="22"/>
          <w:lang w:val="en-GB"/>
          <w14:ligatures w14:val="standardContextual"/>
        </w:rPr>
        <w:t>Regjistrimit</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të</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vitit</w:t>
      </w:r>
      <w:proofErr w:type="spellEnd"/>
      <w:r w:rsidRPr="00637DBA">
        <w:rPr>
          <w:rFonts w:ascii="Arial Narrow" w:eastAsia="Aptos" w:hAnsi="Arial Narrow"/>
          <w:kern w:val="2"/>
          <w:sz w:val="22"/>
          <w:szCs w:val="22"/>
          <w:lang w:val="en-GB"/>
          <w14:ligatures w14:val="standardContextual"/>
        </w:rPr>
        <w:t xml:space="preserve"> 2024.</w:t>
      </w:r>
    </w:p>
    <w:p w14:paraId="4645DEF2" w14:textId="77777777" w:rsidR="00637DBA" w:rsidRPr="00637DBA" w:rsidRDefault="00637DBA" w:rsidP="00637DBA">
      <w:pPr>
        <w:rPr>
          <w:rFonts w:ascii="Arial Narrow" w:eastAsia="Aptos" w:hAnsi="Arial Narrow"/>
          <w:kern w:val="2"/>
          <w:sz w:val="22"/>
          <w:szCs w:val="22"/>
          <w:lang w:val="en-GB"/>
          <w14:ligatures w14:val="standardContextual"/>
        </w:rPr>
      </w:pPr>
    </w:p>
    <w:p w14:paraId="0186BFB6" w14:textId="77777777" w:rsidR="00637DBA" w:rsidRPr="00637DBA" w:rsidRDefault="00637DBA" w:rsidP="00637DBA">
      <w:pPr>
        <w:rPr>
          <w:rFonts w:ascii="Arial Narrow" w:eastAsia="Aptos" w:hAnsi="Arial Narrow"/>
          <w:kern w:val="2"/>
          <w:sz w:val="22"/>
          <w:szCs w:val="22"/>
          <w:lang w:val="en-GB"/>
          <w14:ligatures w14:val="standardContextual"/>
        </w:rPr>
      </w:pPr>
      <w:proofErr w:type="spellStart"/>
      <w:r w:rsidRPr="00637DBA">
        <w:rPr>
          <w:rFonts w:ascii="Arial Narrow" w:eastAsia="Aptos" w:hAnsi="Arial Narrow"/>
          <w:kern w:val="2"/>
          <w:sz w:val="22"/>
          <w:szCs w:val="22"/>
          <w:lang w:val="en-GB"/>
          <w14:ligatures w14:val="standardContextual"/>
        </w:rPr>
        <w:t>Tabelat</w:t>
      </w:r>
      <w:proofErr w:type="spellEnd"/>
      <w:r w:rsidRPr="00637DBA">
        <w:rPr>
          <w:rFonts w:ascii="Arial Narrow" w:eastAsia="Aptos" w:hAnsi="Arial Narrow"/>
          <w:kern w:val="2"/>
          <w:sz w:val="22"/>
          <w:szCs w:val="22"/>
          <w:lang w:val="en-GB"/>
          <w14:ligatures w14:val="standardContextual"/>
        </w:rPr>
        <w:t xml:space="preserve"> e </w:t>
      </w:r>
      <w:proofErr w:type="spellStart"/>
      <w:r w:rsidRPr="00637DBA">
        <w:rPr>
          <w:rFonts w:ascii="Arial Narrow" w:eastAsia="Aptos" w:hAnsi="Arial Narrow"/>
          <w:kern w:val="2"/>
          <w:sz w:val="22"/>
          <w:szCs w:val="22"/>
          <w:lang w:val="en-GB"/>
          <w14:ligatures w14:val="standardContextual"/>
        </w:rPr>
        <w:t>mëposhtme</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përmbledhin</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implikimin</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tarifor</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të</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masave</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të</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propozuara</w:t>
      </w:r>
      <w:proofErr w:type="spellEnd"/>
      <w:r w:rsidRPr="00637DBA">
        <w:rPr>
          <w:rFonts w:ascii="Arial Narrow" w:eastAsia="Aptos" w:hAnsi="Arial Narrow"/>
          <w:kern w:val="2"/>
          <w:sz w:val="22"/>
          <w:szCs w:val="22"/>
          <w:lang w:val="en-GB"/>
          <w14:ligatures w14:val="standardContextual"/>
        </w:rPr>
        <w:t xml:space="preserve">, duke </w:t>
      </w:r>
      <w:proofErr w:type="spellStart"/>
      <w:r w:rsidRPr="00637DBA">
        <w:rPr>
          <w:rFonts w:ascii="Arial Narrow" w:eastAsia="Aptos" w:hAnsi="Arial Narrow"/>
          <w:kern w:val="2"/>
          <w:sz w:val="22"/>
          <w:szCs w:val="22"/>
          <w:lang w:val="en-GB"/>
          <w14:ligatures w14:val="standardContextual"/>
        </w:rPr>
        <w:t>marrë</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parasysh</w:t>
      </w:r>
      <w:proofErr w:type="spellEnd"/>
      <w:r w:rsidRPr="00637DBA">
        <w:rPr>
          <w:rFonts w:ascii="Arial Narrow" w:eastAsia="Aptos" w:hAnsi="Arial Narrow"/>
          <w:kern w:val="2"/>
          <w:sz w:val="22"/>
          <w:szCs w:val="22"/>
          <w:lang w:val="en-GB"/>
          <w14:ligatures w14:val="standardContextual"/>
        </w:rPr>
        <w:t xml:space="preserve"> TVSH-</w:t>
      </w:r>
      <w:proofErr w:type="spellStart"/>
      <w:r w:rsidRPr="00637DBA">
        <w:rPr>
          <w:rFonts w:ascii="Arial Narrow" w:eastAsia="Aptos" w:hAnsi="Arial Narrow"/>
          <w:kern w:val="2"/>
          <w:sz w:val="22"/>
          <w:szCs w:val="22"/>
          <w:lang w:val="en-GB"/>
          <w14:ligatures w14:val="standardContextual"/>
        </w:rPr>
        <w:t>në</w:t>
      </w:r>
      <w:proofErr w:type="spellEnd"/>
      <w:r w:rsidRPr="00637DBA">
        <w:rPr>
          <w:rFonts w:ascii="Arial Narrow" w:eastAsia="Aptos" w:hAnsi="Arial Narrow"/>
          <w:kern w:val="2"/>
          <w:sz w:val="22"/>
          <w:szCs w:val="22"/>
          <w:lang w:val="en-GB"/>
          <w14:ligatures w14:val="standardContextual"/>
        </w:rPr>
        <w:t>.</w:t>
      </w:r>
    </w:p>
    <w:p w14:paraId="29755BC5" w14:textId="77777777" w:rsidR="00637DBA" w:rsidRPr="00637DBA" w:rsidRDefault="00637DBA" w:rsidP="00637DBA">
      <w:pPr>
        <w:rPr>
          <w:rFonts w:ascii="Arial Narrow" w:eastAsia="Aptos" w:hAnsi="Arial Narrow"/>
          <w:kern w:val="2"/>
          <w:sz w:val="22"/>
          <w:szCs w:val="22"/>
          <w:lang w:val="en-GB"/>
          <w14:ligatures w14:val="standardContextual"/>
        </w:rPr>
      </w:pPr>
    </w:p>
    <w:p w14:paraId="164E6651" w14:textId="77777777" w:rsidR="00637DBA" w:rsidRPr="00637DBA" w:rsidRDefault="00637DBA" w:rsidP="00637DBA">
      <w:pPr>
        <w:rPr>
          <w:rFonts w:ascii="Arial Narrow" w:eastAsia="Aptos" w:hAnsi="Arial Narrow"/>
          <w:kern w:val="2"/>
          <w:sz w:val="22"/>
          <w:szCs w:val="22"/>
          <w:lang w:val="en-GB"/>
          <w14:ligatures w14:val="standardContextual"/>
        </w:rPr>
      </w:pPr>
      <w:proofErr w:type="spellStart"/>
      <w:r w:rsidRPr="00637DBA">
        <w:rPr>
          <w:rFonts w:ascii="Arial Narrow" w:eastAsia="Aptos" w:hAnsi="Arial Narrow"/>
          <w:kern w:val="2"/>
          <w:sz w:val="22"/>
          <w:szCs w:val="22"/>
          <w:lang w:val="en-GB"/>
          <w14:ligatures w14:val="standardContextual"/>
        </w:rPr>
        <w:t>Për</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komunën</w:t>
      </w:r>
      <w:proofErr w:type="spellEnd"/>
      <w:r w:rsidRPr="00637DBA">
        <w:rPr>
          <w:rFonts w:ascii="Arial Narrow" w:eastAsia="Aptos" w:hAnsi="Arial Narrow"/>
          <w:kern w:val="2"/>
          <w:sz w:val="22"/>
          <w:szCs w:val="22"/>
          <w:lang w:val="en-GB"/>
          <w14:ligatures w14:val="standardContextual"/>
        </w:rPr>
        <w:t xml:space="preserve"> e </w:t>
      </w:r>
      <w:proofErr w:type="spellStart"/>
      <w:r w:rsidRPr="00637DBA">
        <w:rPr>
          <w:rFonts w:ascii="Arial Narrow" w:eastAsia="Aptos" w:hAnsi="Arial Narrow"/>
          <w:kern w:val="2"/>
          <w:sz w:val="22"/>
          <w:szCs w:val="22"/>
          <w:lang w:val="en-GB"/>
          <w14:ligatures w14:val="standardContextual"/>
        </w:rPr>
        <w:t>Pejës</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Istogut</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dhe</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Deçanit</w:t>
      </w:r>
      <w:proofErr w:type="spellEnd"/>
      <w:r w:rsidRPr="00637DBA">
        <w:rPr>
          <w:rFonts w:ascii="Arial Narrow" w:eastAsia="Aptos" w:hAnsi="Arial Narrow"/>
          <w:kern w:val="2"/>
          <w:sz w:val="22"/>
          <w:szCs w:val="22"/>
          <w:lang w:val="en-GB"/>
          <w14:ligatures w14:val="standardContextual"/>
        </w:rPr>
        <w:t xml:space="preserve">, 70% e </w:t>
      </w:r>
      <w:proofErr w:type="spellStart"/>
      <w:r w:rsidRPr="00637DBA">
        <w:rPr>
          <w:rFonts w:ascii="Arial Narrow" w:eastAsia="Aptos" w:hAnsi="Arial Narrow"/>
          <w:kern w:val="2"/>
          <w:sz w:val="22"/>
          <w:szCs w:val="22"/>
          <w:lang w:val="en-GB"/>
          <w14:ligatures w14:val="standardContextual"/>
        </w:rPr>
        <w:t>të</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hyrave</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supozohet</w:t>
      </w:r>
      <w:proofErr w:type="spellEnd"/>
      <w:r w:rsidRPr="00637DBA">
        <w:rPr>
          <w:rFonts w:ascii="Arial Narrow" w:eastAsia="Aptos" w:hAnsi="Arial Narrow"/>
          <w:kern w:val="2"/>
          <w:sz w:val="22"/>
          <w:szCs w:val="22"/>
          <w:lang w:val="en-GB"/>
          <w14:ligatures w14:val="standardContextual"/>
        </w:rPr>
        <w:t xml:space="preserve"> se do </w:t>
      </w:r>
      <w:proofErr w:type="spellStart"/>
      <w:r w:rsidRPr="00637DBA">
        <w:rPr>
          <w:rFonts w:ascii="Arial Narrow" w:eastAsia="Aptos" w:hAnsi="Arial Narrow"/>
          <w:kern w:val="2"/>
          <w:sz w:val="22"/>
          <w:szCs w:val="22"/>
          <w:lang w:val="en-GB"/>
          <w14:ligatures w14:val="standardContextual"/>
        </w:rPr>
        <w:t>të</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mblidhen</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nga</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popullata</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në</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vitin</w:t>
      </w:r>
      <w:proofErr w:type="spellEnd"/>
      <w:r w:rsidRPr="00637DBA">
        <w:rPr>
          <w:rFonts w:ascii="Arial Narrow" w:eastAsia="Aptos" w:hAnsi="Arial Narrow"/>
          <w:kern w:val="2"/>
          <w:sz w:val="22"/>
          <w:szCs w:val="22"/>
          <w:lang w:val="en-GB"/>
          <w14:ligatures w14:val="standardContextual"/>
        </w:rPr>
        <w:t xml:space="preserve"> 2022 </w:t>
      </w:r>
      <w:proofErr w:type="spellStart"/>
      <w:r w:rsidRPr="00637DBA">
        <w:rPr>
          <w:rFonts w:ascii="Arial Narrow" w:eastAsia="Aptos" w:hAnsi="Arial Narrow"/>
          <w:kern w:val="2"/>
          <w:sz w:val="22"/>
          <w:szCs w:val="22"/>
          <w:lang w:val="en-GB"/>
          <w14:ligatures w14:val="standardContextual"/>
        </w:rPr>
        <w:t>pjesëmarrja</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ishte</w:t>
      </w:r>
      <w:proofErr w:type="spellEnd"/>
      <w:r w:rsidRPr="00637DBA">
        <w:rPr>
          <w:rFonts w:ascii="Arial Narrow" w:eastAsia="Aptos" w:hAnsi="Arial Narrow"/>
          <w:kern w:val="2"/>
          <w:sz w:val="22"/>
          <w:szCs w:val="22"/>
          <w:lang w:val="en-GB"/>
          <w14:ligatures w14:val="standardContextual"/>
        </w:rPr>
        <w:t xml:space="preserve"> 70%, 67%, 53%, </w:t>
      </w:r>
      <w:proofErr w:type="spellStart"/>
      <w:r w:rsidRPr="00637DBA">
        <w:rPr>
          <w:rFonts w:ascii="Arial Narrow" w:eastAsia="Aptos" w:hAnsi="Arial Narrow"/>
          <w:kern w:val="2"/>
          <w:sz w:val="22"/>
          <w:szCs w:val="22"/>
          <w:lang w:val="en-GB"/>
          <w14:ligatures w14:val="standardContextual"/>
        </w:rPr>
        <w:t>pjesa</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tjetër</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nga</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bizneset</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dhe</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institucionet</w:t>
      </w:r>
      <w:proofErr w:type="spellEnd"/>
      <w:r w:rsidRPr="00637DBA">
        <w:rPr>
          <w:rFonts w:ascii="Arial Narrow" w:eastAsia="Aptos" w:hAnsi="Arial Narrow"/>
          <w:kern w:val="2"/>
          <w:sz w:val="22"/>
          <w:szCs w:val="22"/>
          <w:lang w:val="en-GB"/>
          <w14:ligatures w14:val="standardContextual"/>
        </w:rPr>
        <w:t>.</w:t>
      </w:r>
    </w:p>
    <w:p w14:paraId="58B7F6EC" w14:textId="77777777" w:rsidR="00637DBA" w:rsidRPr="00637DBA" w:rsidRDefault="00637DBA" w:rsidP="00637DBA">
      <w:pPr>
        <w:rPr>
          <w:rFonts w:ascii="Arial Narrow" w:eastAsia="Aptos" w:hAnsi="Arial Narrow"/>
          <w:kern w:val="2"/>
          <w:sz w:val="22"/>
          <w:szCs w:val="22"/>
          <w:lang w:val="en-GB"/>
          <w14:ligatures w14:val="standardContextual"/>
        </w:rPr>
      </w:pPr>
    </w:p>
    <w:p w14:paraId="2488947D" w14:textId="77777777" w:rsidR="00637DBA" w:rsidRPr="00637DBA" w:rsidRDefault="00637DBA" w:rsidP="00637DBA">
      <w:pPr>
        <w:rPr>
          <w:rFonts w:ascii="Arial Narrow" w:eastAsia="Aptos" w:hAnsi="Arial Narrow"/>
          <w:kern w:val="2"/>
          <w:sz w:val="22"/>
          <w:szCs w:val="22"/>
          <w:lang w:val="en-GB"/>
          <w14:ligatures w14:val="standardContextual"/>
        </w:rPr>
      </w:pPr>
      <w:proofErr w:type="spellStart"/>
      <w:r w:rsidRPr="00637DBA">
        <w:rPr>
          <w:rFonts w:ascii="Arial Narrow" w:eastAsia="Aptos" w:hAnsi="Arial Narrow"/>
          <w:kern w:val="2"/>
          <w:sz w:val="22"/>
          <w:szCs w:val="22"/>
          <w:lang w:val="en-GB"/>
          <w14:ligatures w14:val="standardContextual"/>
        </w:rPr>
        <w:t>Për</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komunën</w:t>
      </w:r>
      <w:proofErr w:type="spellEnd"/>
      <w:r w:rsidRPr="00637DBA">
        <w:rPr>
          <w:rFonts w:ascii="Arial Narrow" w:eastAsia="Aptos" w:hAnsi="Arial Narrow"/>
          <w:kern w:val="2"/>
          <w:sz w:val="22"/>
          <w:szCs w:val="22"/>
          <w:lang w:val="en-GB"/>
          <w14:ligatures w14:val="standardContextual"/>
        </w:rPr>
        <w:t xml:space="preserve"> e </w:t>
      </w:r>
      <w:proofErr w:type="spellStart"/>
      <w:r w:rsidRPr="00637DBA">
        <w:rPr>
          <w:rFonts w:ascii="Arial Narrow" w:eastAsia="Aptos" w:hAnsi="Arial Narrow"/>
          <w:kern w:val="2"/>
          <w:sz w:val="22"/>
          <w:szCs w:val="22"/>
          <w:lang w:val="en-GB"/>
          <w14:ligatures w14:val="standardContextual"/>
        </w:rPr>
        <w:t>Klinës</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dhe</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Junikut</w:t>
      </w:r>
      <w:proofErr w:type="spellEnd"/>
      <w:r w:rsidRPr="00637DBA">
        <w:rPr>
          <w:rFonts w:ascii="Arial Narrow" w:eastAsia="Aptos" w:hAnsi="Arial Narrow"/>
          <w:kern w:val="2"/>
          <w:sz w:val="22"/>
          <w:szCs w:val="22"/>
          <w:lang w:val="en-GB"/>
          <w14:ligatures w14:val="standardContextual"/>
        </w:rPr>
        <w:t xml:space="preserve"> 80% e </w:t>
      </w:r>
      <w:proofErr w:type="spellStart"/>
      <w:r w:rsidRPr="00637DBA">
        <w:rPr>
          <w:rFonts w:ascii="Arial Narrow" w:eastAsia="Aptos" w:hAnsi="Arial Narrow"/>
          <w:kern w:val="2"/>
          <w:sz w:val="22"/>
          <w:szCs w:val="22"/>
          <w:lang w:val="en-GB"/>
          <w14:ligatures w14:val="standardContextual"/>
        </w:rPr>
        <w:t>shpenzimeve</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duhet</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t'i</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faturohen</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popullatës</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në</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vitin</w:t>
      </w:r>
      <w:proofErr w:type="spellEnd"/>
      <w:r w:rsidRPr="00637DBA">
        <w:rPr>
          <w:rFonts w:ascii="Arial Narrow" w:eastAsia="Aptos" w:hAnsi="Arial Narrow"/>
          <w:kern w:val="2"/>
          <w:sz w:val="22"/>
          <w:szCs w:val="22"/>
          <w:lang w:val="en-GB"/>
          <w14:ligatures w14:val="standardContextual"/>
        </w:rPr>
        <w:t xml:space="preserve"> 2022 </w:t>
      </w:r>
      <w:proofErr w:type="spellStart"/>
      <w:r w:rsidRPr="00637DBA">
        <w:rPr>
          <w:rFonts w:ascii="Arial Narrow" w:eastAsia="Aptos" w:hAnsi="Arial Narrow"/>
          <w:kern w:val="2"/>
          <w:sz w:val="22"/>
          <w:szCs w:val="22"/>
          <w:lang w:val="en-GB"/>
          <w14:ligatures w14:val="standardContextual"/>
        </w:rPr>
        <w:t>pjesa</w:t>
      </w:r>
      <w:proofErr w:type="spellEnd"/>
      <w:r w:rsidRPr="00637DBA">
        <w:rPr>
          <w:rFonts w:ascii="Arial Narrow" w:eastAsia="Aptos" w:hAnsi="Arial Narrow"/>
          <w:kern w:val="2"/>
          <w:sz w:val="22"/>
          <w:szCs w:val="22"/>
          <w:lang w:val="en-GB"/>
          <w14:ligatures w14:val="standardContextual"/>
        </w:rPr>
        <w:t xml:space="preserve"> e </w:t>
      </w:r>
      <w:proofErr w:type="spellStart"/>
      <w:r w:rsidRPr="00637DBA">
        <w:rPr>
          <w:rFonts w:ascii="Arial Narrow" w:eastAsia="Aptos" w:hAnsi="Arial Narrow"/>
          <w:kern w:val="2"/>
          <w:sz w:val="22"/>
          <w:szCs w:val="22"/>
          <w:lang w:val="en-GB"/>
          <w14:ligatures w14:val="standardContextual"/>
        </w:rPr>
        <w:t>të</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hyrave</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nga</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popullata</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në</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të</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dyja</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komunat</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ishte</w:t>
      </w:r>
      <w:proofErr w:type="spellEnd"/>
      <w:r w:rsidRPr="00637DBA">
        <w:rPr>
          <w:rFonts w:ascii="Arial Narrow" w:eastAsia="Aptos" w:hAnsi="Arial Narrow"/>
          <w:kern w:val="2"/>
          <w:sz w:val="22"/>
          <w:szCs w:val="22"/>
          <w:lang w:val="en-GB"/>
          <w14:ligatures w14:val="standardContextual"/>
        </w:rPr>
        <w:t xml:space="preserve"> 73%.</w:t>
      </w:r>
    </w:p>
    <w:p w14:paraId="672C39E3" w14:textId="77777777" w:rsidR="007D1EDC" w:rsidRPr="00637DBA" w:rsidRDefault="007D1EDC" w:rsidP="007D1EDC">
      <w:pPr>
        <w:rPr>
          <w:rFonts w:ascii="Arial Narrow" w:eastAsia="Aptos" w:hAnsi="Arial Narrow"/>
          <w:kern w:val="2"/>
          <w:sz w:val="22"/>
          <w:szCs w:val="22"/>
          <w:lang w:val="en-GB"/>
          <w14:ligatures w14:val="standardContextual"/>
        </w:rPr>
      </w:pPr>
    </w:p>
    <w:p w14:paraId="26B5B71F" w14:textId="77777777" w:rsidR="007D1EDC" w:rsidRPr="009F5CA1" w:rsidRDefault="007D1EDC" w:rsidP="007D1EDC">
      <w:pPr>
        <w:rPr>
          <w:rFonts w:ascii="Arial Narrow" w:eastAsia="Aptos" w:hAnsi="Arial Narrow"/>
          <w:b/>
          <w:bCs/>
          <w:kern w:val="2"/>
          <w:sz w:val="22"/>
          <w:szCs w:val="22"/>
          <w:lang w:val="es-ES"/>
          <w14:ligatures w14:val="standardContextual"/>
        </w:rPr>
      </w:pPr>
      <w:proofErr w:type="spellStart"/>
      <w:r w:rsidRPr="009F5CA1">
        <w:rPr>
          <w:rFonts w:ascii="Arial Narrow" w:eastAsia="Aptos" w:hAnsi="Arial Narrow"/>
          <w:b/>
          <w:bCs/>
          <w:kern w:val="2"/>
          <w:sz w:val="22"/>
          <w:szCs w:val="22"/>
          <w:lang w:val="es-ES"/>
          <w14:ligatures w14:val="standardContextual"/>
        </w:rPr>
        <w:t>Komuna</w:t>
      </w:r>
      <w:proofErr w:type="spellEnd"/>
      <w:r w:rsidRPr="009F5CA1">
        <w:rPr>
          <w:rFonts w:ascii="Arial Narrow" w:eastAsia="Aptos" w:hAnsi="Arial Narrow"/>
          <w:b/>
          <w:bCs/>
          <w:kern w:val="2"/>
          <w:sz w:val="22"/>
          <w:szCs w:val="22"/>
          <w:lang w:val="es-ES"/>
          <w14:ligatures w14:val="standardContextual"/>
        </w:rPr>
        <w:t xml:space="preserve"> e </w:t>
      </w:r>
      <w:proofErr w:type="spellStart"/>
      <w:r w:rsidRPr="009F5CA1">
        <w:rPr>
          <w:rFonts w:ascii="Arial Narrow" w:eastAsia="Aptos" w:hAnsi="Arial Narrow"/>
          <w:b/>
          <w:bCs/>
          <w:kern w:val="2"/>
          <w:sz w:val="22"/>
          <w:szCs w:val="22"/>
          <w:lang w:val="es-ES"/>
          <w14:ligatures w14:val="standardContextual"/>
        </w:rPr>
        <w:t>Pejës</w:t>
      </w:r>
      <w:proofErr w:type="spellEnd"/>
    </w:p>
    <w:p w14:paraId="243EEB31" w14:textId="77777777" w:rsidR="007D1EDC" w:rsidRPr="009F5CA1" w:rsidRDefault="007D1EDC" w:rsidP="007D1EDC">
      <w:pPr>
        <w:rPr>
          <w:rFonts w:ascii="Arial Narrow" w:eastAsia="Aptos" w:hAnsi="Arial Narrow"/>
          <w:b/>
          <w:bCs/>
          <w:kern w:val="2"/>
          <w:sz w:val="22"/>
          <w:szCs w:val="22"/>
          <w:lang w:val="es-ES"/>
          <w14:ligatures w14:val="standardContextual"/>
        </w:rPr>
      </w:pPr>
    </w:p>
    <w:p w14:paraId="1CD182DB" w14:textId="0407CF74" w:rsidR="007D1EDC" w:rsidRPr="007D1EDC" w:rsidRDefault="007D1EDC" w:rsidP="007D1EDC">
      <w:pPr>
        <w:suppressAutoHyphens/>
        <w:rPr>
          <w:rFonts w:ascii="Arial Narrow" w:eastAsia="Calibri" w:hAnsi="Arial Narrow" w:cs="Calibri"/>
          <w:color w:val="1F497D"/>
          <w:sz w:val="20"/>
          <w:szCs w:val="20"/>
        </w:rPr>
      </w:pPr>
      <w:bookmarkStart w:id="685" w:name="_Toc190966797"/>
      <w:bookmarkStart w:id="686" w:name="_Toc197472294"/>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109.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Llogaritja e tarifës, komuna e Pejës, mijë euro</w:t>
      </w:r>
      <w:bookmarkEnd w:id="685"/>
      <w:bookmarkEnd w:id="6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10"/>
        <w:gridCol w:w="709"/>
        <w:gridCol w:w="707"/>
        <w:gridCol w:w="710"/>
        <w:gridCol w:w="728"/>
        <w:gridCol w:w="757"/>
        <w:gridCol w:w="716"/>
        <w:gridCol w:w="716"/>
        <w:gridCol w:w="716"/>
        <w:gridCol w:w="709"/>
      </w:tblGrid>
      <w:tr w:rsidR="007D1EDC" w:rsidRPr="007D1EDC" w14:paraId="68A1314A" w14:textId="77777777" w:rsidTr="00D03949">
        <w:trPr>
          <w:trHeight w:val="220"/>
          <w:tblHeader/>
        </w:trPr>
        <w:tc>
          <w:tcPr>
            <w:tcW w:w="1019" w:type="pct"/>
            <w:shd w:val="clear" w:color="auto" w:fill="365F91"/>
            <w:tcMar>
              <w:left w:w="43" w:type="dxa"/>
              <w:right w:w="43" w:type="dxa"/>
            </w:tcMar>
          </w:tcPr>
          <w:p w14:paraId="2C95CD0C" w14:textId="77777777" w:rsidR="007D1EDC" w:rsidRPr="009F5CA1" w:rsidRDefault="007D1EDC" w:rsidP="007D1EDC">
            <w:pPr>
              <w:jc w:val="right"/>
              <w:rPr>
                <w:rFonts w:ascii="Arial Narrow" w:hAnsi="Arial Narrow" w:cs="Calibri"/>
                <w:b/>
                <w:bCs/>
                <w:color w:val="FFFFFF" w:themeColor="background1"/>
                <w:sz w:val="20"/>
                <w:szCs w:val="20"/>
                <w:lang w:val="es-ES" w:eastAsia="en-GB"/>
              </w:rPr>
            </w:pPr>
          </w:p>
        </w:tc>
        <w:tc>
          <w:tcPr>
            <w:tcW w:w="394" w:type="pct"/>
            <w:shd w:val="clear" w:color="auto" w:fill="365F91"/>
            <w:noWrap/>
            <w:tcMar>
              <w:left w:w="43" w:type="dxa"/>
              <w:right w:w="43" w:type="dxa"/>
            </w:tcMar>
            <w:vAlign w:val="center"/>
            <w:hideMark/>
          </w:tcPr>
          <w:p w14:paraId="09E815C3"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2026</w:t>
            </w:r>
          </w:p>
        </w:tc>
        <w:tc>
          <w:tcPr>
            <w:tcW w:w="393" w:type="pct"/>
            <w:shd w:val="clear" w:color="auto" w:fill="365F91"/>
            <w:noWrap/>
            <w:tcMar>
              <w:left w:w="43" w:type="dxa"/>
              <w:right w:w="43" w:type="dxa"/>
            </w:tcMar>
            <w:vAlign w:val="center"/>
            <w:hideMark/>
          </w:tcPr>
          <w:p w14:paraId="2797897F"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2027</w:t>
            </w:r>
          </w:p>
        </w:tc>
        <w:tc>
          <w:tcPr>
            <w:tcW w:w="392" w:type="pct"/>
            <w:shd w:val="clear" w:color="auto" w:fill="365F91"/>
            <w:noWrap/>
            <w:tcMar>
              <w:left w:w="43" w:type="dxa"/>
              <w:right w:w="43" w:type="dxa"/>
            </w:tcMar>
            <w:vAlign w:val="center"/>
            <w:hideMark/>
          </w:tcPr>
          <w:p w14:paraId="7B8294B1"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2028</w:t>
            </w:r>
          </w:p>
        </w:tc>
        <w:tc>
          <w:tcPr>
            <w:tcW w:w="394" w:type="pct"/>
            <w:shd w:val="clear" w:color="auto" w:fill="365F91"/>
            <w:noWrap/>
            <w:tcMar>
              <w:left w:w="43" w:type="dxa"/>
              <w:right w:w="43" w:type="dxa"/>
            </w:tcMar>
            <w:vAlign w:val="center"/>
            <w:hideMark/>
          </w:tcPr>
          <w:p w14:paraId="5B8F360C"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2029</w:t>
            </w:r>
          </w:p>
        </w:tc>
        <w:tc>
          <w:tcPr>
            <w:tcW w:w="404" w:type="pct"/>
            <w:shd w:val="clear" w:color="auto" w:fill="365F91"/>
            <w:noWrap/>
            <w:tcMar>
              <w:left w:w="43" w:type="dxa"/>
              <w:right w:w="43" w:type="dxa"/>
            </w:tcMar>
            <w:vAlign w:val="center"/>
            <w:hideMark/>
          </w:tcPr>
          <w:p w14:paraId="20194BFE"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2030</w:t>
            </w:r>
          </w:p>
        </w:tc>
        <w:tc>
          <w:tcPr>
            <w:tcW w:w="420" w:type="pct"/>
            <w:shd w:val="clear" w:color="auto" w:fill="365F91"/>
            <w:noWrap/>
            <w:tcMar>
              <w:left w:w="43" w:type="dxa"/>
              <w:right w:w="43" w:type="dxa"/>
            </w:tcMar>
            <w:vAlign w:val="center"/>
            <w:hideMark/>
          </w:tcPr>
          <w:p w14:paraId="05851CC1"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2031</w:t>
            </w:r>
          </w:p>
        </w:tc>
        <w:tc>
          <w:tcPr>
            <w:tcW w:w="397" w:type="pct"/>
            <w:shd w:val="clear" w:color="auto" w:fill="365F91"/>
            <w:noWrap/>
            <w:tcMar>
              <w:left w:w="43" w:type="dxa"/>
              <w:right w:w="43" w:type="dxa"/>
            </w:tcMar>
            <w:vAlign w:val="center"/>
            <w:hideMark/>
          </w:tcPr>
          <w:p w14:paraId="5EACC48B"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2032</w:t>
            </w:r>
          </w:p>
        </w:tc>
        <w:tc>
          <w:tcPr>
            <w:tcW w:w="397" w:type="pct"/>
            <w:shd w:val="clear" w:color="auto" w:fill="365F91"/>
            <w:noWrap/>
            <w:tcMar>
              <w:left w:w="43" w:type="dxa"/>
              <w:right w:w="43" w:type="dxa"/>
            </w:tcMar>
            <w:vAlign w:val="center"/>
            <w:hideMark/>
          </w:tcPr>
          <w:p w14:paraId="24FCFDB0"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2033</w:t>
            </w:r>
          </w:p>
        </w:tc>
        <w:tc>
          <w:tcPr>
            <w:tcW w:w="397" w:type="pct"/>
            <w:shd w:val="clear" w:color="auto" w:fill="365F91"/>
            <w:noWrap/>
            <w:tcMar>
              <w:left w:w="43" w:type="dxa"/>
              <w:right w:w="43" w:type="dxa"/>
            </w:tcMar>
            <w:vAlign w:val="center"/>
            <w:hideMark/>
          </w:tcPr>
          <w:p w14:paraId="189CFFB6"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2034</w:t>
            </w:r>
          </w:p>
        </w:tc>
        <w:tc>
          <w:tcPr>
            <w:tcW w:w="393" w:type="pct"/>
            <w:shd w:val="clear" w:color="auto" w:fill="365F91"/>
            <w:noWrap/>
            <w:tcMar>
              <w:left w:w="43" w:type="dxa"/>
              <w:right w:w="43" w:type="dxa"/>
            </w:tcMar>
            <w:vAlign w:val="center"/>
            <w:hideMark/>
          </w:tcPr>
          <w:p w14:paraId="5A0ABA7D"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2035</w:t>
            </w:r>
          </w:p>
        </w:tc>
      </w:tr>
      <w:tr w:rsidR="00637DBA" w:rsidRPr="007D1EDC" w14:paraId="0ECF4FB7" w14:textId="77777777" w:rsidTr="00D03949">
        <w:trPr>
          <w:trHeight w:val="210"/>
        </w:trPr>
        <w:tc>
          <w:tcPr>
            <w:tcW w:w="1019" w:type="pct"/>
            <w:tcMar>
              <w:left w:w="43" w:type="dxa"/>
              <w:right w:w="43" w:type="dxa"/>
            </w:tcMar>
            <w:vAlign w:val="bottom"/>
          </w:tcPr>
          <w:p w14:paraId="0AECC299" w14:textId="27AF6566" w:rsidR="00637DBA" w:rsidRPr="009F5CA1" w:rsidRDefault="00637DBA" w:rsidP="00637DBA">
            <w:pPr>
              <w:rPr>
                <w:rFonts w:ascii="Arial Narrow" w:hAnsi="Arial Narrow" w:cs="Calibri"/>
                <w:color w:val="FF0000"/>
                <w:sz w:val="20"/>
                <w:szCs w:val="20"/>
                <w:lang w:val="es-ES" w:eastAsia="en-GB"/>
              </w:rPr>
            </w:pPr>
            <w:proofErr w:type="spellStart"/>
            <w:r w:rsidRPr="009F5CA1">
              <w:rPr>
                <w:rFonts w:ascii="Arial Narrow" w:eastAsia="Aptos" w:hAnsi="Arial Narrow" w:cs="Calibri"/>
                <w:color w:val="000000"/>
                <w:kern w:val="2"/>
                <w:sz w:val="20"/>
                <w:szCs w:val="20"/>
                <w:lang w:val="es-ES"/>
                <w14:ligatures w14:val="standardContextual"/>
              </w:rPr>
              <w:t>Mbeturinat</w:t>
            </w:r>
            <w:proofErr w:type="spellEnd"/>
            <w:r w:rsidRPr="009F5CA1">
              <w:rPr>
                <w:rFonts w:ascii="Arial Narrow" w:eastAsia="Aptos" w:hAnsi="Arial Narrow" w:cs="Calibri"/>
                <w:color w:val="000000"/>
                <w:kern w:val="2"/>
                <w:sz w:val="20"/>
                <w:szCs w:val="20"/>
                <w:lang w:val="es-ES"/>
                <w14:ligatures w14:val="standardContextual"/>
              </w:rPr>
              <w:t xml:space="preserve"> e </w:t>
            </w:r>
            <w:proofErr w:type="spellStart"/>
            <w:r w:rsidRPr="009F5CA1">
              <w:rPr>
                <w:rFonts w:ascii="Arial Narrow" w:eastAsia="Aptos" w:hAnsi="Arial Narrow" w:cs="Calibri"/>
                <w:color w:val="000000"/>
                <w:kern w:val="2"/>
                <w:sz w:val="20"/>
                <w:szCs w:val="20"/>
                <w:lang w:val="es-ES"/>
                <w14:ligatures w14:val="standardContextual"/>
              </w:rPr>
              <w:t>përziera</w:t>
            </w:r>
            <w:proofErr w:type="spellEnd"/>
            <w:r w:rsidRPr="009F5CA1">
              <w:rPr>
                <w:rFonts w:ascii="Arial Narrow" w:eastAsia="Aptos" w:hAnsi="Arial Narrow" w:cs="Calibri"/>
                <w:color w:val="000000"/>
                <w:kern w:val="2"/>
                <w:sz w:val="20"/>
                <w:szCs w:val="20"/>
                <w:lang w:val="es-ES"/>
                <w14:ligatures w14:val="standardContextual"/>
              </w:rPr>
              <w:t xml:space="preserve"> </w:t>
            </w:r>
            <w:proofErr w:type="spellStart"/>
            <w:r w:rsidRPr="009F5CA1">
              <w:rPr>
                <w:rFonts w:ascii="Arial Narrow" w:eastAsia="Aptos" w:hAnsi="Arial Narrow" w:cs="Calibri"/>
                <w:color w:val="000000"/>
                <w:kern w:val="2"/>
                <w:sz w:val="20"/>
                <w:szCs w:val="20"/>
                <w:lang w:val="es-ES"/>
                <w14:ligatures w14:val="standardContextual"/>
              </w:rPr>
              <w:t>të</w:t>
            </w:r>
            <w:proofErr w:type="spellEnd"/>
            <w:r w:rsidRPr="009F5CA1">
              <w:rPr>
                <w:rFonts w:ascii="Arial Narrow" w:eastAsia="Aptos" w:hAnsi="Arial Narrow" w:cs="Calibri"/>
                <w:color w:val="000000"/>
                <w:kern w:val="2"/>
                <w:sz w:val="20"/>
                <w:szCs w:val="20"/>
                <w:lang w:val="es-ES"/>
                <w14:ligatures w14:val="standardContextual"/>
              </w:rPr>
              <w:t xml:space="preserve"> </w:t>
            </w:r>
            <w:proofErr w:type="spellStart"/>
            <w:r w:rsidRPr="009F5CA1">
              <w:rPr>
                <w:rFonts w:ascii="Arial Narrow" w:eastAsia="Aptos" w:hAnsi="Arial Narrow" w:cs="Calibri"/>
                <w:color w:val="000000"/>
                <w:kern w:val="2"/>
                <w:sz w:val="20"/>
                <w:szCs w:val="20"/>
                <w:lang w:val="es-ES"/>
                <w14:ligatures w14:val="standardContextual"/>
              </w:rPr>
              <w:t>grumbulluara</w:t>
            </w:r>
            <w:proofErr w:type="spellEnd"/>
          </w:p>
        </w:tc>
        <w:tc>
          <w:tcPr>
            <w:tcW w:w="394" w:type="pct"/>
            <w:shd w:val="clear" w:color="auto" w:fill="auto"/>
            <w:noWrap/>
            <w:tcMar>
              <w:left w:w="43" w:type="dxa"/>
              <w:right w:w="43" w:type="dxa"/>
            </w:tcMar>
            <w:hideMark/>
          </w:tcPr>
          <w:p w14:paraId="37F20B79" w14:textId="13730724" w:rsidR="00637DBA" w:rsidRPr="007D1EDC" w:rsidRDefault="00637DBA" w:rsidP="00637DBA">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37,903 t</w:t>
            </w:r>
          </w:p>
        </w:tc>
        <w:tc>
          <w:tcPr>
            <w:tcW w:w="393" w:type="pct"/>
            <w:shd w:val="clear" w:color="auto" w:fill="auto"/>
            <w:noWrap/>
            <w:tcMar>
              <w:left w:w="43" w:type="dxa"/>
              <w:right w:w="43" w:type="dxa"/>
            </w:tcMar>
            <w:hideMark/>
          </w:tcPr>
          <w:p w14:paraId="5BAEFB05" w14:textId="0D893030" w:rsidR="00637DBA" w:rsidRPr="007D1EDC" w:rsidRDefault="00637DBA" w:rsidP="00637DBA">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31,776 t</w:t>
            </w:r>
          </w:p>
        </w:tc>
        <w:tc>
          <w:tcPr>
            <w:tcW w:w="392" w:type="pct"/>
            <w:shd w:val="clear" w:color="auto" w:fill="auto"/>
            <w:noWrap/>
            <w:tcMar>
              <w:left w:w="43" w:type="dxa"/>
              <w:right w:w="43" w:type="dxa"/>
            </w:tcMar>
            <w:hideMark/>
          </w:tcPr>
          <w:p w14:paraId="62E0D564" w14:textId="20680FA9" w:rsidR="00637DBA" w:rsidRPr="007D1EDC" w:rsidRDefault="00637DBA" w:rsidP="00637DBA">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30,441 t</w:t>
            </w:r>
          </w:p>
        </w:tc>
        <w:tc>
          <w:tcPr>
            <w:tcW w:w="394" w:type="pct"/>
            <w:shd w:val="clear" w:color="auto" w:fill="auto"/>
            <w:noWrap/>
            <w:tcMar>
              <w:left w:w="43" w:type="dxa"/>
              <w:right w:w="43" w:type="dxa"/>
            </w:tcMar>
            <w:hideMark/>
          </w:tcPr>
          <w:p w14:paraId="666750B7"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28,937 t</w:t>
            </w:r>
          </w:p>
        </w:tc>
        <w:tc>
          <w:tcPr>
            <w:tcW w:w="404" w:type="pct"/>
            <w:shd w:val="clear" w:color="auto" w:fill="auto"/>
            <w:noWrap/>
            <w:tcMar>
              <w:left w:w="43" w:type="dxa"/>
              <w:right w:w="43" w:type="dxa"/>
            </w:tcMar>
            <w:hideMark/>
          </w:tcPr>
          <w:p w14:paraId="24907232" w14:textId="17A57844" w:rsidR="00637DBA" w:rsidRPr="007D1EDC" w:rsidRDefault="00637DBA" w:rsidP="00637DBA">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27,995 t</w:t>
            </w:r>
          </w:p>
        </w:tc>
        <w:tc>
          <w:tcPr>
            <w:tcW w:w="420" w:type="pct"/>
            <w:shd w:val="clear" w:color="auto" w:fill="auto"/>
            <w:noWrap/>
            <w:tcMar>
              <w:left w:w="43" w:type="dxa"/>
              <w:right w:w="43" w:type="dxa"/>
            </w:tcMar>
            <w:hideMark/>
          </w:tcPr>
          <w:p w14:paraId="5479A95A"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27,313 t</w:t>
            </w:r>
          </w:p>
        </w:tc>
        <w:tc>
          <w:tcPr>
            <w:tcW w:w="397" w:type="pct"/>
            <w:shd w:val="clear" w:color="auto" w:fill="auto"/>
            <w:noWrap/>
            <w:tcMar>
              <w:left w:w="43" w:type="dxa"/>
              <w:right w:w="43" w:type="dxa"/>
            </w:tcMar>
            <w:hideMark/>
          </w:tcPr>
          <w:p w14:paraId="5A62BC95" w14:textId="1C6EEEFD" w:rsidR="00637DBA" w:rsidRPr="007D1EDC" w:rsidRDefault="00637DBA" w:rsidP="00637DBA">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23,648 t</w:t>
            </w:r>
          </w:p>
        </w:tc>
        <w:tc>
          <w:tcPr>
            <w:tcW w:w="397" w:type="pct"/>
            <w:shd w:val="clear" w:color="auto" w:fill="auto"/>
            <w:noWrap/>
            <w:tcMar>
              <w:left w:w="43" w:type="dxa"/>
              <w:right w:w="43" w:type="dxa"/>
            </w:tcMar>
            <w:hideMark/>
          </w:tcPr>
          <w:p w14:paraId="18E986A2" w14:textId="49E396EA" w:rsidR="00637DBA" w:rsidRPr="007D1EDC" w:rsidRDefault="00637DBA" w:rsidP="00637DBA">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22,817 t</w:t>
            </w:r>
          </w:p>
        </w:tc>
        <w:tc>
          <w:tcPr>
            <w:tcW w:w="397" w:type="pct"/>
            <w:shd w:val="clear" w:color="auto" w:fill="auto"/>
            <w:noWrap/>
            <w:tcMar>
              <w:left w:w="43" w:type="dxa"/>
              <w:right w:w="43" w:type="dxa"/>
            </w:tcMar>
            <w:hideMark/>
          </w:tcPr>
          <w:p w14:paraId="51DEBAE9"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21,984 t</w:t>
            </w:r>
          </w:p>
        </w:tc>
        <w:tc>
          <w:tcPr>
            <w:tcW w:w="393" w:type="pct"/>
            <w:shd w:val="clear" w:color="auto" w:fill="auto"/>
            <w:noWrap/>
            <w:tcMar>
              <w:left w:w="43" w:type="dxa"/>
              <w:right w:w="43" w:type="dxa"/>
            </w:tcMar>
            <w:hideMark/>
          </w:tcPr>
          <w:p w14:paraId="68B5501D" w14:textId="0AF6E78F" w:rsidR="00637DBA" w:rsidRPr="007D1EDC" w:rsidRDefault="00637DBA" w:rsidP="00637DBA">
            <w:pPr>
              <w:jc w:val="right"/>
              <w:rPr>
                <w:rFonts w:ascii="Arial Narrow" w:hAnsi="Arial Narrow" w:cs="Calibri"/>
                <w:sz w:val="20"/>
                <w:szCs w:val="20"/>
                <w:lang w:val="en-GB" w:eastAsia="en-GB"/>
              </w:rPr>
            </w:pPr>
            <w:r w:rsidRPr="007D1EDC">
              <w:rPr>
                <w:rFonts w:ascii="Arial Narrow" w:hAnsi="Arial Narrow" w:cs="Calibri"/>
                <w:sz w:val="20"/>
                <w:szCs w:val="20"/>
                <w:lang w:val="en-GB" w:eastAsia="en-GB"/>
              </w:rPr>
              <w:t>21,237 t</w:t>
            </w:r>
          </w:p>
        </w:tc>
      </w:tr>
      <w:tr w:rsidR="00637DBA" w:rsidRPr="007D1EDC" w14:paraId="134CD044" w14:textId="77777777" w:rsidTr="00D03949">
        <w:trPr>
          <w:trHeight w:val="210"/>
        </w:trPr>
        <w:tc>
          <w:tcPr>
            <w:tcW w:w="1019" w:type="pct"/>
            <w:tcMar>
              <w:left w:w="43" w:type="dxa"/>
              <w:right w:w="43" w:type="dxa"/>
            </w:tcMar>
            <w:vAlign w:val="bottom"/>
          </w:tcPr>
          <w:p w14:paraId="4231D787" w14:textId="1D90855B" w:rsidR="00637DBA" w:rsidRPr="00637DBA" w:rsidRDefault="00637DBA" w:rsidP="00637DBA">
            <w:pPr>
              <w:rPr>
                <w:rFonts w:ascii="Arial Narrow" w:hAnsi="Arial Narrow" w:cs="Calibri"/>
                <w:color w:val="000000"/>
                <w:sz w:val="20"/>
                <w:szCs w:val="20"/>
                <w:lang w:val="en-GB" w:eastAsia="en-GB"/>
              </w:rPr>
            </w:pPr>
            <w:proofErr w:type="spellStart"/>
            <w:r w:rsidRPr="00637DBA">
              <w:rPr>
                <w:rFonts w:ascii="Arial Narrow" w:eastAsia="Aptos" w:hAnsi="Arial Narrow" w:cs="Calibri"/>
                <w:color w:val="000000"/>
                <w:kern w:val="2"/>
                <w:sz w:val="20"/>
                <w:szCs w:val="20"/>
                <w:lang w:val="en-GB"/>
                <w14:ligatures w14:val="standardContextual"/>
              </w:rPr>
              <w:t>Grumbullimi</w:t>
            </w:r>
            <w:proofErr w:type="spellEnd"/>
            <w:r w:rsidRPr="00637DBA">
              <w:rPr>
                <w:rFonts w:ascii="Arial Narrow" w:eastAsia="Aptos" w:hAnsi="Arial Narrow" w:cs="Calibri"/>
                <w:color w:val="000000"/>
                <w:kern w:val="2"/>
                <w:sz w:val="20"/>
                <w:szCs w:val="20"/>
                <w:lang w:val="en-GB"/>
                <w14:ligatures w14:val="standardContextual"/>
              </w:rPr>
              <w:t xml:space="preserve"> i </w:t>
            </w:r>
            <w:proofErr w:type="spellStart"/>
            <w:r w:rsidRPr="00637DBA">
              <w:rPr>
                <w:rFonts w:ascii="Arial Narrow" w:eastAsia="Aptos" w:hAnsi="Arial Narrow" w:cs="Calibri"/>
                <w:color w:val="000000"/>
                <w:kern w:val="2"/>
                <w:sz w:val="20"/>
                <w:szCs w:val="20"/>
                <w:lang w:val="en-GB"/>
                <w14:ligatures w14:val="standardContextual"/>
              </w:rPr>
              <w:t>mbeturinave</w:t>
            </w:r>
            <w:proofErr w:type="spellEnd"/>
            <w:r w:rsidRPr="00637DBA">
              <w:rPr>
                <w:rFonts w:ascii="Arial Narrow" w:eastAsia="Aptos" w:hAnsi="Arial Narrow" w:cs="Calibri"/>
                <w:color w:val="000000"/>
                <w:kern w:val="2"/>
                <w:sz w:val="20"/>
                <w:szCs w:val="20"/>
                <w:lang w:val="en-GB"/>
                <w14:ligatures w14:val="standardContextual"/>
              </w:rPr>
              <w:t xml:space="preserve"> </w:t>
            </w:r>
            <w:proofErr w:type="spellStart"/>
            <w:r w:rsidRPr="00637DBA">
              <w:rPr>
                <w:rFonts w:ascii="Arial Narrow" w:eastAsia="Aptos" w:hAnsi="Arial Narrow" w:cs="Calibri"/>
                <w:color w:val="000000"/>
                <w:kern w:val="2"/>
                <w:sz w:val="20"/>
                <w:szCs w:val="20"/>
                <w:lang w:val="en-GB"/>
                <w14:ligatures w14:val="standardContextual"/>
              </w:rPr>
              <w:t>të</w:t>
            </w:r>
            <w:proofErr w:type="spellEnd"/>
            <w:r w:rsidRPr="00637DBA">
              <w:rPr>
                <w:rFonts w:ascii="Arial Narrow" w:eastAsia="Aptos" w:hAnsi="Arial Narrow" w:cs="Calibri"/>
                <w:color w:val="000000"/>
                <w:kern w:val="2"/>
                <w:sz w:val="20"/>
                <w:szCs w:val="20"/>
                <w:lang w:val="en-GB"/>
                <w14:ligatures w14:val="standardContextual"/>
              </w:rPr>
              <w:t xml:space="preserve"> </w:t>
            </w:r>
            <w:proofErr w:type="spellStart"/>
            <w:r w:rsidRPr="00637DBA">
              <w:rPr>
                <w:rFonts w:ascii="Arial Narrow" w:eastAsia="Aptos" w:hAnsi="Arial Narrow" w:cs="Calibri"/>
                <w:color w:val="000000"/>
                <w:kern w:val="2"/>
                <w:sz w:val="20"/>
                <w:szCs w:val="20"/>
                <w:lang w:val="en-GB"/>
                <w14:ligatures w14:val="standardContextual"/>
              </w:rPr>
              <w:t>përziera</w:t>
            </w:r>
            <w:proofErr w:type="spellEnd"/>
            <w:r w:rsidRPr="00637DBA">
              <w:rPr>
                <w:rFonts w:ascii="Arial Narrow" w:eastAsia="Aptos" w:hAnsi="Arial Narrow" w:cs="Calibri"/>
                <w:color w:val="000000"/>
                <w:kern w:val="2"/>
                <w:sz w:val="20"/>
                <w:szCs w:val="20"/>
                <w:lang w:val="en-GB"/>
                <w14:ligatures w14:val="standardContextual"/>
              </w:rPr>
              <w:t xml:space="preserve">, </w:t>
            </w:r>
            <w:proofErr w:type="spellStart"/>
            <w:r w:rsidRPr="00637DBA">
              <w:rPr>
                <w:rFonts w:ascii="Arial Narrow" w:eastAsia="Aptos" w:hAnsi="Arial Narrow" w:cs="Calibri"/>
                <w:color w:val="000000"/>
                <w:kern w:val="2"/>
                <w:sz w:val="20"/>
                <w:szCs w:val="20"/>
                <w:lang w:val="en-GB"/>
                <w14:ligatures w14:val="standardContextual"/>
              </w:rPr>
              <w:t>mijë</w:t>
            </w:r>
            <w:proofErr w:type="spellEnd"/>
            <w:r w:rsidRPr="00637DBA">
              <w:rPr>
                <w:rFonts w:ascii="Arial Narrow" w:eastAsia="Aptos" w:hAnsi="Arial Narrow" w:cs="Calibri"/>
                <w:color w:val="000000"/>
                <w:kern w:val="2"/>
                <w:sz w:val="20"/>
                <w:szCs w:val="20"/>
                <w:lang w:val="en-GB"/>
                <w14:ligatures w14:val="standardContextual"/>
              </w:rPr>
              <w:t xml:space="preserve"> euro</w:t>
            </w:r>
          </w:p>
        </w:tc>
        <w:tc>
          <w:tcPr>
            <w:tcW w:w="394" w:type="pct"/>
            <w:shd w:val="clear" w:color="auto" w:fill="auto"/>
            <w:noWrap/>
            <w:tcMar>
              <w:left w:w="43" w:type="dxa"/>
              <w:right w:w="43" w:type="dxa"/>
            </w:tcMar>
            <w:hideMark/>
          </w:tcPr>
          <w:p w14:paraId="0D262ACA"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1,895</w:t>
            </w:r>
          </w:p>
        </w:tc>
        <w:tc>
          <w:tcPr>
            <w:tcW w:w="393" w:type="pct"/>
            <w:shd w:val="clear" w:color="auto" w:fill="auto"/>
            <w:noWrap/>
            <w:tcMar>
              <w:left w:w="43" w:type="dxa"/>
              <w:right w:w="43" w:type="dxa"/>
            </w:tcMar>
            <w:hideMark/>
          </w:tcPr>
          <w:p w14:paraId="0C444B92"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1,610</w:t>
            </w:r>
          </w:p>
        </w:tc>
        <w:tc>
          <w:tcPr>
            <w:tcW w:w="392" w:type="pct"/>
            <w:shd w:val="clear" w:color="auto" w:fill="auto"/>
            <w:noWrap/>
            <w:tcMar>
              <w:left w:w="43" w:type="dxa"/>
              <w:right w:w="43" w:type="dxa"/>
            </w:tcMar>
            <w:hideMark/>
          </w:tcPr>
          <w:p w14:paraId="3313DEC1"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1,567</w:t>
            </w:r>
          </w:p>
        </w:tc>
        <w:tc>
          <w:tcPr>
            <w:tcW w:w="394" w:type="pct"/>
            <w:shd w:val="clear" w:color="auto" w:fill="auto"/>
            <w:noWrap/>
            <w:tcMar>
              <w:left w:w="43" w:type="dxa"/>
              <w:right w:w="43" w:type="dxa"/>
            </w:tcMar>
            <w:hideMark/>
          </w:tcPr>
          <w:p w14:paraId="1C556D3B"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1,531</w:t>
            </w:r>
          </w:p>
        </w:tc>
        <w:tc>
          <w:tcPr>
            <w:tcW w:w="404" w:type="pct"/>
            <w:shd w:val="clear" w:color="auto" w:fill="auto"/>
            <w:noWrap/>
            <w:tcMar>
              <w:left w:w="43" w:type="dxa"/>
              <w:right w:w="43" w:type="dxa"/>
            </w:tcMar>
            <w:hideMark/>
          </w:tcPr>
          <w:p w14:paraId="144C1F1E"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1,527</w:t>
            </w:r>
          </w:p>
        </w:tc>
        <w:tc>
          <w:tcPr>
            <w:tcW w:w="420" w:type="pct"/>
            <w:shd w:val="clear" w:color="auto" w:fill="auto"/>
            <w:noWrap/>
            <w:tcMar>
              <w:left w:w="43" w:type="dxa"/>
              <w:right w:w="43" w:type="dxa"/>
            </w:tcMar>
            <w:hideMark/>
          </w:tcPr>
          <w:p w14:paraId="47527B98"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1,515</w:t>
            </w:r>
          </w:p>
        </w:tc>
        <w:tc>
          <w:tcPr>
            <w:tcW w:w="397" w:type="pct"/>
            <w:shd w:val="clear" w:color="auto" w:fill="auto"/>
            <w:noWrap/>
            <w:tcMar>
              <w:left w:w="43" w:type="dxa"/>
              <w:right w:w="43" w:type="dxa"/>
            </w:tcMar>
            <w:hideMark/>
          </w:tcPr>
          <w:p w14:paraId="425C4AD0"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1,356</w:t>
            </w:r>
          </w:p>
        </w:tc>
        <w:tc>
          <w:tcPr>
            <w:tcW w:w="397" w:type="pct"/>
            <w:shd w:val="clear" w:color="auto" w:fill="auto"/>
            <w:noWrap/>
            <w:tcMar>
              <w:left w:w="43" w:type="dxa"/>
              <w:right w:w="43" w:type="dxa"/>
            </w:tcMar>
            <w:hideMark/>
          </w:tcPr>
          <w:p w14:paraId="69AEEA2C"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1,326</w:t>
            </w:r>
          </w:p>
        </w:tc>
        <w:tc>
          <w:tcPr>
            <w:tcW w:w="397" w:type="pct"/>
            <w:shd w:val="clear" w:color="auto" w:fill="auto"/>
            <w:noWrap/>
            <w:tcMar>
              <w:left w:w="43" w:type="dxa"/>
              <w:right w:w="43" w:type="dxa"/>
            </w:tcMar>
            <w:hideMark/>
          </w:tcPr>
          <w:p w14:paraId="765A874D"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1,296</w:t>
            </w:r>
          </w:p>
        </w:tc>
        <w:tc>
          <w:tcPr>
            <w:tcW w:w="393" w:type="pct"/>
            <w:shd w:val="clear" w:color="auto" w:fill="auto"/>
            <w:noWrap/>
            <w:tcMar>
              <w:left w:w="43" w:type="dxa"/>
              <w:right w:w="43" w:type="dxa"/>
            </w:tcMar>
            <w:hideMark/>
          </w:tcPr>
          <w:p w14:paraId="0A0595B4"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1,266</w:t>
            </w:r>
          </w:p>
        </w:tc>
      </w:tr>
      <w:tr w:rsidR="00637DBA" w:rsidRPr="007D1EDC" w14:paraId="4F86ABBD" w14:textId="77777777" w:rsidTr="00D03949">
        <w:trPr>
          <w:trHeight w:val="210"/>
        </w:trPr>
        <w:tc>
          <w:tcPr>
            <w:tcW w:w="1019" w:type="pct"/>
            <w:tcMar>
              <w:left w:w="43" w:type="dxa"/>
              <w:right w:w="43" w:type="dxa"/>
            </w:tcMar>
            <w:vAlign w:val="bottom"/>
          </w:tcPr>
          <w:p w14:paraId="04DE8B30" w14:textId="027029CE" w:rsidR="00637DBA" w:rsidRPr="00637DBA" w:rsidRDefault="00637DBA" w:rsidP="00637DBA">
            <w:pPr>
              <w:rPr>
                <w:rFonts w:ascii="Arial Narrow" w:hAnsi="Arial Narrow" w:cs="Calibri"/>
                <w:color w:val="000000"/>
                <w:sz w:val="20"/>
                <w:szCs w:val="20"/>
                <w:lang w:val="en-GB" w:eastAsia="en-GB"/>
              </w:rPr>
            </w:pPr>
            <w:proofErr w:type="spellStart"/>
            <w:r w:rsidRPr="00637DBA">
              <w:rPr>
                <w:rFonts w:ascii="Arial Narrow" w:eastAsia="Aptos" w:hAnsi="Arial Narrow" w:cs="Calibri"/>
                <w:color w:val="000000"/>
                <w:kern w:val="2"/>
                <w:sz w:val="20"/>
                <w:szCs w:val="20"/>
                <w:lang w:val="en-GB"/>
                <w14:ligatures w14:val="standardContextual"/>
              </w:rPr>
              <w:t>Kompostimi</w:t>
            </w:r>
            <w:proofErr w:type="spellEnd"/>
            <w:r w:rsidRPr="00637DBA">
              <w:rPr>
                <w:rFonts w:ascii="Arial Narrow" w:eastAsia="Aptos" w:hAnsi="Arial Narrow" w:cs="Calibri"/>
                <w:color w:val="000000"/>
                <w:kern w:val="2"/>
                <w:sz w:val="20"/>
                <w:szCs w:val="20"/>
                <w:lang w:val="en-GB"/>
                <w14:ligatures w14:val="standardContextual"/>
              </w:rPr>
              <w:t xml:space="preserve"> </w:t>
            </w:r>
            <w:proofErr w:type="spellStart"/>
            <w:r w:rsidRPr="00637DBA">
              <w:rPr>
                <w:rFonts w:ascii="Arial Narrow" w:eastAsia="Aptos" w:hAnsi="Arial Narrow" w:cs="Calibri"/>
                <w:color w:val="000000"/>
                <w:kern w:val="2"/>
                <w:sz w:val="20"/>
                <w:szCs w:val="20"/>
                <w:lang w:val="en-GB"/>
                <w14:ligatures w14:val="standardContextual"/>
              </w:rPr>
              <w:t>shtëpiak</w:t>
            </w:r>
            <w:proofErr w:type="spellEnd"/>
            <w:r w:rsidRPr="00637DBA">
              <w:rPr>
                <w:rFonts w:ascii="Arial Narrow" w:eastAsia="Aptos" w:hAnsi="Arial Narrow" w:cs="Calibri"/>
                <w:color w:val="000000"/>
                <w:kern w:val="2"/>
                <w:sz w:val="20"/>
                <w:szCs w:val="20"/>
                <w:lang w:val="en-GB"/>
                <w14:ligatures w14:val="standardContextual"/>
              </w:rPr>
              <w:t xml:space="preserve">, </w:t>
            </w:r>
            <w:proofErr w:type="spellStart"/>
            <w:r w:rsidRPr="00637DBA">
              <w:rPr>
                <w:rFonts w:ascii="Arial Narrow" w:eastAsia="Aptos" w:hAnsi="Arial Narrow" w:cs="Calibri"/>
                <w:color w:val="000000"/>
                <w:kern w:val="2"/>
                <w:sz w:val="20"/>
                <w:szCs w:val="20"/>
                <w:lang w:val="en-GB"/>
                <w14:ligatures w14:val="standardContextual"/>
              </w:rPr>
              <w:t>mijë</w:t>
            </w:r>
            <w:proofErr w:type="spellEnd"/>
            <w:r w:rsidRPr="00637DBA">
              <w:rPr>
                <w:rFonts w:ascii="Arial Narrow" w:eastAsia="Aptos" w:hAnsi="Arial Narrow" w:cs="Calibri"/>
                <w:color w:val="000000"/>
                <w:kern w:val="2"/>
                <w:sz w:val="20"/>
                <w:szCs w:val="20"/>
                <w:lang w:val="en-GB"/>
                <w14:ligatures w14:val="standardContextual"/>
              </w:rPr>
              <w:t xml:space="preserve"> euro</w:t>
            </w:r>
          </w:p>
        </w:tc>
        <w:tc>
          <w:tcPr>
            <w:tcW w:w="394" w:type="pct"/>
            <w:shd w:val="clear" w:color="auto" w:fill="auto"/>
            <w:noWrap/>
            <w:tcMar>
              <w:left w:w="43" w:type="dxa"/>
              <w:right w:w="43" w:type="dxa"/>
            </w:tcMar>
            <w:hideMark/>
          </w:tcPr>
          <w:p w14:paraId="688E52AD"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0</w:t>
            </w:r>
          </w:p>
        </w:tc>
        <w:tc>
          <w:tcPr>
            <w:tcW w:w="393" w:type="pct"/>
            <w:shd w:val="clear" w:color="auto" w:fill="auto"/>
            <w:noWrap/>
            <w:tcMar>
              <w:left w:w="43" w:type="dxa"/>
              <w:right w:w="43" w:type="dxa"/>
            </w:tcMar>
            <w:hideMark/>
          </w:tcPr>
          <w:p w14:paraId="3706B76D"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24</w:t>
            </w:r>
          </w:p>
        </w:tc>
        <w:tc>
          <w:tcPr>
            <w:tcW w:w="392" w:type="pct"/>
            <w:shd w:val="clear" w:color="auto" w:fill="auto"/>
            <w:noWrap/>
            <w:tcMar>
              <w:left w:w="43" w:type="dxa"/>
              <w:right w:w="43" w:type="dxa"/>
            </w:tcMar>
            <w:hideMark/>
          </w:tcPr>
          <w:p w14:paraId="17B79EC0"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26</w:t>
            </w:r>
          </w:p>
        </w:tc>
        <w:tc>
          <w:tcPr>
            <w:tcW w:w="394" w:type="pct"/>
            <w:shd w:val="clear" w:color="auto" w:fill="auto"/>
            <w:noWrap/>
            <w:tcMar>
              <w:left w:w="43" w:type="dxa"/>
              <w:right w:w="43" w:type="dxa"/>
            </w:tcMar>
            <w:hideMark/>
          </w:tcPr>
          <w:p w14:paraId="7A51F088"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27</w:t>
            </w:r>
          </w:p>
        </w:tc>
        <w:tc>
          <w:tcPr>
            <w:tcW w:w="404" w:type="pct"/>
            <w:shd w:val="clear" w:color="auto" w:fill="auto"/>
            <w:noWrap/>
            <w:tcMar>
              <w:left w:w="43" w:type="dxa"/>
              <w:right w:w="43" w:type="dxa"/>
            </w:tcMar>
            <w:hideMark/>
          </w:tcPr>
          <w:p w14:paraId="348587DE"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28</w:t>
            </w:r>
          </w:p>
        </w:tc>
        <w:tc>
          <w:tcPr>
            <w:tcW w:w="420" w:type="pct"/>
            <w:shd w:val="clear" w:color="auto" w:fill="auto"/>
            <w:noWrap/>
            <w:tcMar>
              <w:left w:w="43" w:type="dxa"/>
              <w:right w:w="43" w:type="dxa"/>
            </w:tcMar>
            <w:hideMark/>
          </w:tcPr>
          <w:p w14:paraId="01BA303C"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30</w:t>
            </w:r>
          </w:p>
        </w:tc>
        <w:tc>
          <w:tcPr>
            <w:tcW w:w="397" w:type="pct"/>
            <w:shd w:val="clear" w:color="auto" w:fill="auto"/>
            <w:noWrap/>
            <w:tcMar>
              <w:left w:w="43" w:type="dxa"/>
              <w:right w:w="43" w:type="dxa"/>
            </w:tcMar>
            <w:hideMark/>
          </w:tcPr>
          <w:p w14:paraId="5ED92671"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31</w:t>
            </w:r>
          </w:p>
        </w:tc>
        <w:tc>
          <w:tcPr>
            <w:tcW w:w="397" w:type="pct"/>
            <w:shd w:val="clear" w:color="auto" w:fill="auto"/>
            <w:noWrap/>
            <w:tcMar>
              <w:left w:w="43" w:type="dxa"/>
              <w:right w:w="43" w:type="dxa"/>
            </w:tcMar>
            <w:hideMark/>
          </w:tcPr>
          <w:p w14:paraId="4BA4A32E"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33</w:t>
            </w:r>
          </w:p>
        </w:tc>
        <w:tc>
          <w:tcPr>
            <w:tcW w:w="397" w:type="pct"/>
            <w:shd w:val="clear" w:color="auto" w:fill="auto"/>
            <w:noWrap/>
            <w:tcMar>
              <w:left w:w="43" w:type="dxa"/>
              <w:right w:w="43" w:type="dxa"/>
            </w:tcMar>
            <w:hideMark/>
          </w:tcPr>
          <w:p w14:paraId="0614FC4C"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34</w:t>
            </w:r>
          </w:p>
        </w:tc>
        <w:tc>
          <w:tcPr>
            <w:tcW w:w="393" w:type="pct"/>
            <w:shd w:val="clear" w:color="auto" w:fill="auto"/>
            <w:noWrap/>
            <w:tcMar>
              <w:left w:w="43" w:type="dxa"/>
              <w:right w:w="43" w:type="dxa"/>
            </w:tcMar>
            <w:hideMark/>
          </w:tcPr>
          <w:p w14:paraId="6E1FA841"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36</w:t>
            </w:r>
          </w:p>
        </w:tc>
      </w:tr>
      <w:tr w:rsidR="00637DBA" w:rsidRPr="007D1EDC" w14:paraId="3AB0747C" w14:textId="77777777" w:rsidTr="00D03949">
        <w:trPr>
          <w:trHeight w:val="210"/>
        </w:trPr>
        <w:tc>
          <w:tcPr>
            <w:tcW w:w="1019" w:type="pct"/>
            <w:tcMar>
              <w:left w:w="43" w:type="dxa"/>
              <w:right w:w="43" w:type="dxa"/>
            </w:tcMar>
            <w:vAlign w:val="bottom"/>
          </w:tcPr>
          <w:p w14:paraId="7C7761AD" w14:textId="401F130C" w:rsidR="00637DBA" w:rsidRPr="00637DBA" w:rsidRDefault="00637DBA" w:rsidP="00637DBA">
            <w:pPr>
              <w:rPr>
                <w:rFonts w:ascii="Arial Narrow" w:hAnsi="Arial Narrow" w:cs="Calibri"/>
                <w:color w:val="000000"/>
                <w:sz w:val="20"/>
                <w:szCs w:val="20"/>
                <w:lang w:val="en-GB" w:eastAsia="en-GB"/>
              </w:rPr>
            </w:pPr>
            <w:proofErr w:type="spellStart"/>
            <w:r w:rsidRPr="00637DBA">
              <w:rPr>
                <w:rFonts w:ascii="Arial Narrow" w:eastAsia="Aptos" w:hAnsi="Arial Narrow" w:cs="Calibri"/>
                <w:color w:val="000000"/>
                <w:kern w:val="2"/>
                <w:sz w:val="20"/>
                <w:szCs w:val="20"/>
                <w:lang w:val="en-GB"/>
                <w14:ligatures w14:val="standardContextual"/>
              </w:rPr>
              <w:t>Kompostimi</w:t>
            </w:r>
            <w:proofErr w:type="spellEnd"/>
            <w:r w:rsidRPr="00637DBA">
              <w:rPr>
                <w:rFonts w:ascii="Arial Narrow" w:eastAsia="Aptos" w:hAnsi="Arial Narrow" w:cs="Calibri"/>
                <w:color w:val="000000"/>
                <w:kern w:val="2"/>
                <w:sz w:val="20"/>
                <w:szCs w:val="20"/>
                <w:lang w:val="en-GB"/>
                <w14:ligatures w14:val="standardContextual"/>
              </w:rPr>
              <w:t xml:space="preserve"> i </w:t>
            </w:r>
            <w:proofErr w:type="spellStart"/>
            <w:r w:rsidRPr="00637DBA">
              <w:rPr>
                <w:rFonts w:ascii="Arial Narrow" w:eastAsia="Aptos" w:hAnsi="Arial Narrow" w:cs="Calibri"/>
                <w:color w:val="000000"/>
                <w:kern w:val="2"/>
                <w:sz w:val="20"/>
                <w:szCs w:val="20"/>
                <w:lang w:val="en-GB"/>
                <w14:ligatures w14:val="standardContextual"/>
              </w:rPr>
              <w:t>hapur</w:t>
            </w:r>
            <w:proofErr w:type="spellEnd"/>
            <w:r w:rsidRPr="00637DBA">
              <w:rPr>
                <w:rFonts w:ascii="Arial Narrow" w:eastAsia="Aptos" w:hAnsi="Arial Narrow" w:cs="Calibri"/>
                <w:color w:val="000000"/>
                <w:kern w:val="2"/>
                <w:sz w:val="20"/>
                <w:szCs w:val="20"/>
                <w:lang w:val="en-GB"/>
                <w14:ligatures w14:val="standardContextual"/>
              </w:rPr>
              <w:t xml:space="preserve"> pale </w:t>
            </w:r>
            <w:proofErr w:type="spellStart"/>
            <w:r w:rsidRPr="00637DBA">
              <w:rPr>
                <w:rFonts w:ascii="Arial Narrow" w:eastAsia="Aptos" w:hAnsi="Arial Narrow" w:cs="Calibri"/>
                <w:color w:val="000000"/>
                <w:kern w:val="2"/>
                <w:sz w:val="20"/>
                <w:szCs w:val="20"/>
                <w:lang w:val="en-GB"/>
                <w14:ligatures w14:val="standardContextual"/>
              </w:rPr>
              <w:t>palë</w:t>
            </w:r>
            <w:proofErr w:type="spellEnd"/>
            <w:r w:rsidRPr="00637DBA">
              <w:rPr>
                <w:rFonts w:ascii="Arial Narrow" w:eastAsia="Aptos" w:hAnsi="Arial Narrow" w:cs="Calibri"/>
                <w:color w:val="000000"/>
                <w:kern w:val="2"/>
                <w:sz w:val="20"/>
                <w:szCs w:val="20"/>
                <w:lang w:val="en-GB"/>
                <w14:ligatures w14:val="standardContextual"/>
              </w:rPr>
              <w:t xml:space="preserve">, </w:t>
            </w:r>
            <w:proofErr w:type="spellStart"/>
            <w:r w:rsidRPr="00637DBA">
              <w:rPr>
                <w:rFonts w:ascii="Arial Narrow" w:eastAsia="Aptos" w:hAnsi="Arial Narrow" w:cs="Calibri"/>
                <w:color w:val="000000"/>
                <w:kern w:val="2"/>
                <w:sz w:val="20"/>
                <w:szCs w:val="20"/>
                <w:lang w:val="en-GB"/>
                <w14:ligatures w14:val="standardContextual"/>
              </w:rPr>
              <w:t>mijë</w:t>
            </w:r>
            <w:proofErr w:type="spellEnd"/>
            <w:r w:rsidRPr="00637DBA">
              <w:rPr>
                <w:rFonts w:ascii="Arial Narrow" w:eastAsia="Aptos" w:hAnsi="Arial Narrow" w:cs="Calibri"/>
                <w:color w:val="000000"/>
                <w:kern w:val="2"/>
                <w:sz w:val="20"/>
                <w:szCs w:val="20"/>
                <w:lang w:val="en-GB"/>
                <w14:ligatures w14:val="standardContextual"/>
              </w:rPr>
              <w:t xml:space="preserve"> euro</w:t>
            </w:r>
          </w:p>
        </w:tc>
        <w:tc>
          <w:tcPr>
            <w:tcW w:w="394" w:type="pct"/>
            <w:shd w:val="clear" w:color="auto" w:fill="auto"/>
            <w:noWrap/>
            <w:tcMar>
              <w:left w:w="43" w:type="dxa"/>
              <w:right w:w="43" w:type="dxa"/>
            </w:tcMar>
            <w:hideMark/>
          </w:tcPr>
          <w:p w14:paraId="0AEB18E5"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0</w:t>
            </w:r>
          </w:p>
        </w:tc>
        <w:tc>
          <w:tcPr>
            <w:tcW w:w="393" w:type="pct"/>
            <w:shd w:val="clear" w:color="auto" w:fill="auto"/>
            <w:noWrap/>
            <w:tcMar>
              <w:left w:w="43" w:type="dxa"/>
              <w:right w:w="43" w:type="dxa"/>
            </w:tcMar>
            <w:hideMark/>
          </w:tcPr>
          <w:p w14:paraId="7826C428"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256</w:t>
            </w:r>
          </w:p>
        </w:tc>
        <w:tc>
          <w:tcPr>
            <w:tcW w:w="392" w:type="pct"/>
            <w:shd w:val="clear" w:color="auto" w:fill="auto"/>
            <w:noWrap/>
            <w:tcMar>
              <w:left w:w="43" w:type="dxa"/>
              <w:right w:w="43" w:type="dxa"/>
            </w:tcMar>
            <w:hideMark/>
          </w:tcPr>
          <w:p w14:paraId="024030DD"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257</w:t>
            </w:r>
          </w:p>
        </w:tc>
        <w:tc>
          <w:tcPr>
            <w:tcW w:w="394" w:type="pct"/>
            <w:shd w:val="clear" w:color="auto" w:fill="auto"/>
            <w:noWrap/>
            <w:tcMar>
              <w:left w:w="43" w:type="dxa"/>
              <w:right w:w="43" w:type="dxa"/>
            </w:tcMar>
            <w:hideMark/>
          </w:tcPr>
          <w:p w14:paraId="739F4B59"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258</w:t>
            </w:r>
          </w:p>
        </w:tc>
        <w:tc>
          <w:tcPr>
            <w:tcW w:w="404" w:type="pct"/>
            <w:shd w:val="clear" w:color="auto" w:fill="auto"/>
            <w:noWrap/>
            <w:tcMar>
              <w:left w:w="43" w:type="dxa"/>
              <w:right w:w="43" w:type="dxa"/>
            </w:tcMar>
            <w:hideMark/>
          </w:tcPr>
          <w:p w14:paraId="411A96F6"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259</w:t>
            </w:r>
          </w:p>
        </w:tc>
        <w:tc>
          <w:tcPr>
            <w:tcW w:w="420" w:type="pct"/>
            <w:shd w:val="clear" w:color="auto" w:fill="auto"/>
            <w:noWrap/>
            <w:tcMar>
              <w:left w:w="43" w:type="dxa"/>
              <w:right w:w="43" w:type="dxa"/>
            </w:tcMar>
            <w:hideMark/>
          </w:tcPr>
          <w:p w14:paraId="341E2F10"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259</w:t>
            </w:r>
          </w:p>
        </w:tc>
        <w:tc>
          <w:tcPr>
            <w:tcW w:w="397" w:type="pct"/>
            <w:shd w:val="clear" w:color="auto" w:fill="auto"/>
            <w:noWrap/>
            <w:tcMar>
              <w:left w:w="43" w:type="dxa"/>
              <w:right w:w="43" w:type="dxa"/>
            </w:tcMar>
            <w:hideMark/>
          </w:tcPr>
          <w:p w14:paraId="05004E89"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259</w:t>
            </w:r>
          </w:p>
        </w:tc>
        <w:tc>
          <w:tcPr>
            <w:tcW w:w="397" w:type="pct"/>
            <w:shd w:val="clear" w:color="auto" w:fill="auto"/>
            <w:noWrap/>
            <w:tcMar>
              <w:left w:w="43" w:type="dxa"/>
              <w:right w:w="43" w:type="dxa"/>
            </w:tcMar>
            <w:hideMark/>
          </w:tcPr>
          <w:p w14:paraId="77D18973"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259</w:t>
            </w:r>
          </w:p>
        </w:tc>
        <w:tc>
          <w:tcPr>
            <w:tcW w:w="397" w:type="pct"/>
            <w:shd w:val="clear" w:color="auto" w:fill="auto"/>
            <w:noWrap/>
            <w:tcMar>
              <w:left w:w="43" w:type="dxa"/>
              <w:right w:w="43" w:type="dxa"/>
            </w:tcMar>
            <w:hideMark/>
          </w:tcPr>
          <w:p w14:paraId="3C92FD02"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259</w:t>
            </w:r>
          </w:p>
        </w:tc>
        <w:tc>
          <w:tcPr>
            <w:tcW w:w="393" w:type="pct"/>
            <w:shd w:val="clear" w:color="auto" w:fill="auto"/>
            <w:noWrap/>
            <w:tcMar>
              <w:left w:w="43" w:type="dxa"/>
              <w:right w:w="43" w:type="dxa"/>
            </w:tcMar>
            <w:hideMark/>
          </w:tcPr>
          <w:p w14:paraId="6E0115DB"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260</w:t>
            </w:r>
          </w:p>
        </w:tc>
      </w:tr>
      <w:tr w:rsidR="00637DBA" w:rsidRPr="007D1EDC" w14:paraId="02554E2C" w14:textId="77777777" w:rsidTr="00D03949">
        <w:trPr>
          <w:trHeight w:val="210"/>
        </w:trPr>
        <w:tc>
          <w:tcPr>
            <w:tcW w:w="1019" w:type="pct"/>
            <w:tcMar>
              <w:left w:w="43" w:type="dxa"/>
              <w:right w:w="43" w:type="dxa"/>
            </w:tcMar>
            <w:vAlign w:val="bottom"/>
          </w:tcPr>
          <w:p w14:paraId="1E7191B0" w14:textId="1451F9DD" w:rsidR="00637DBA" w:rsidRPr="00637DBA" w:rsidRDefault="00637DBA" w:rsidP="00637DBA">
            <w:pPr>
              <w:rPr>
                <w:rFonts w:ascii="Arial Narrow" w:hAnsi="Arial Narrow" w:cs="Calibri"/>
                <w:color w:val="000000"/>
                <w:sz w:val="20"/>
                <w:szCs w:val="20"/>
                <w:lang w:val="en-GB" w:eastAsia="en-GB"/>
              </w:rPr>
            </w:pPr>
            <w:proofErr w:type="gramStart"/>
            <w:r w:rsidRPr="00637DBA">
              <w:rPr>
                <w:rFonts w:ascii="Arial Narrow" w:eastAsia="Aptos" w:hAnsi="Arial Narrow" w:cs="Calibri"/>
                <w:color w:val="000000"/>
                <w:kern w:val="2"/>
                <w:sz w:val="20"/>
                <w:szCs w:val="20"/>
                <w:lang w:val="en-GB"/>
                <w14:ligatures w14:val="standardContextual"/>
              </w:rPr>
              <w:t>OR,</w:t>
            </w:r>
            <w:proofErr w:type="gramEnd"/>
            <w:r w:rsidRPr="00637DBA">
              <w:rPr>
                <w:rFonts w:ascii="Arial Narrow" w:eastAsia="Aptos" w:hAnsi="Arial Narrow" w:cs="Calibri"/>
                <w:color w:val="000000"/>
                <w:kern w:val="2"/>
                <w:sz w:val="20"/>
                <w:szCs w:val="20"/>
                <w:lang w:val="en-GB"/>
                <w14:ligatures w14:val="standardContextual"/>
              </w:rPr>
              <w:t xml:space="preserve"> </w:t>
            </w:r>
            <w:proofErr w:type="spellStart"/>
            <w:r w:rsidRPr="00637DBA">
              <w:rPr>
                <w:rFonts w:ascii="Arial Narrow" w:eastAsia="Aptos" w:hAnsi="Arial Narrow" w:cs="Calibri"/>
                <w:color w:val="000000"/>
                <w:kern w:val="2"/>
                <w:sz w:val="20"/>
                <w:szCs w:val="20"/>
                <w:lang w:val="en-GB"/>
                <w14:ligatures w14:val="standardContextual"/>
              </w:rPr>
              <w:t>mijë</w:t>
            </w:r>
            <w:proofErr w:type="spellEnd"/>
            <w:r w:rsidRPr="00637DBA">
              <w:rPr>
                <w:rFonts w:ascii="Arial Narrow" w:eastAsia="Aptos" w:hAnsi="Arial Narrow" w:cs="Calibri"/>
                <w:color w:val="000000"/>
                <w:kern w:val="2"/>
                <w:sz w:val="20"/>
                <w:szCs w:val="20"/>
                <w:lang w:val="en-GB"/>
                <w14:ligatures w14:val="standardContextual"/>
              </w:rPr>
              <w:t xml:space="preserve"> euro</w:t>
            </w:r>
          </w:p>
        </w:tc>
        <w:tc>
          <w:tcPr>
            <w:tcW w:w="394" w:type="pct"/>
            <w:shd w:val="clear" w:color="auto" w:fill="auto"/>
            <w:noWrap/>
            <w:tcMar>
              <w:left w:w="43" w:type="dxa"/>
              <w:right w:w="43" w:type="dxa"/>
            </w:tcMar>
            <w:hideMark/>
          </w:tcPr>
          <w:p w14:paraId="05EEE236"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w:t>
            </w:r>
          </w:p>
        </w:tc>
        <w:tc>
          <w:tcPr>
            <w:tcW w:w="393" w:type="pct"/>
            <w:shd w:val="clear" w:color="auto" w:fill="auto"/>
            <w:noWrap/>
            <w:tcMar>
              <w:left w:w="43" w:type="dxa"/>
              <w:right w:w="43" w:type="dxa"/>
            </w:tcMar>
            <w:hideMark/>
          </w:tcPr>
          <w:p w14:paraId="3868D9DB"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w:t>
            </w:r>
          </w:p>
        </w:tc>
        <w:tc>
          <w:tcPr>
            <w:tcW w:w="392" w:type="pct"/>
            <w:shd w:val="clear" w:color="auto" w:fill="auto"/>
            <w:noWrap/>
            <w:tcMar>
              <w:left w:w="43" w:type="dxa"/>
              <w:right w:w="43" w:type="dxa"/>
            </w:tcMar>
            <w:hideMark/>
          </w:tcPr>
          <w:p w14:paraId="297A6ECB"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w:t>
            </w:r>
          </w:p>
        </w:tc>
        <w:tc>
          <w:tcPr>
            <w:tcW w:w="394" w:type="pct"/>
            <w:shd w:val="clear" w:color="auto" w:fill="auto"/>
            <w:noWrap/>
            <w:tcMar>
              <w:left w:w="43" w:type="dxa"/>
              <w:right w:w="43" w:type="dxa"/>
            </w:tcMar>
            <w:hideMark/>
          </w:tcPr>
          <w:p w14:paraId="58F9191E"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w:t>
            </w:r>
          </w:p>
        </w:tc>
        <w:tc>
          <w:tcPr>
            <w:tcW w:w="404" w:type="pct"/>
            <w:shd w:val="clear" w:color="auto" w:fill="auto"/>
            <w:noWrap/>
            <w:tcMar>
              <w:left w:w="43" w:type="dxa"/>
              <w:right w:w="43" w:type="dxa"/>
            </w:tcMar>
            <w:hideMark/>
          </w:tcPr>
          <w:p w14:paraId="674576A7"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w:t>
            </w:r>
          </w:p>
        </w:tc>
        <w:tc>
          <w:tcPr>
            <w:tcW w:w="420" w:type="pct"/>
            <w:shd w:val="clear" w:color="auto" w:fill="auto"/>
            <w:noWrap/>
            <w:tcMar>
              <w:left w:w="43" w:type="dxa"/>
              <w:right w:w="43" w:type="dxa"/>
            </w:tcMar>
            <w:hideMark/>
          </w:tcPr>
          <w:p w14:paraId="6EE5CDF1"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w:t>
            </w:r>
          </w:p>
        </w:tc>
        <w:tc>
          <w:tcPr>
            <w:tcW w:w="397" w:type="pct"/>
            <w:shd w:val="clear" w:color="auto" w:fill="auto"/>
            <w:noWrap/>
            <w:tcMar>
              <w:left w:w="43" w:type="dxa"/>
              <w:right w:w="43" w:type="dxa"/>
            </w:tcMar>
            <w:hideMark/>
          </w:tcPr>
          <w:p w14:paraId="011A7843"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w:t>
            </w:r>
          </w:p>
        </w:tc>
        <w:tc>
          <w:tcPr>
            <w:tcW w:w="397" w:type="pct"/>
            <w:shd w:val="clear" w:color="auto" w:fill="auto"/>
            <w:noWrap/>
            <w:tcMar>
              <w:left w:w="43" w:type="dxa"/>
              <w:right w:w="43" w:type="dxa"/>
            </w:tcMar>
            <w:hideMark/>
          </w:tcPr>
          <w:p w14:paraId="6F84506B"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w:t>
            </w:r>
          </w:p>
        </w:tc>
        <w:tc>
          <w:tcPr>
            <w:tcW w:w="397" w:type="pct"/>
            <w:shd w:val="clear" w:color="auto" w:fill="auto"/>
            <w:noWrap/>
            <w:tcMar>
              <w:left w:w="43" w:type="dxa"/>
              <w:right w:w="43" w:type="dxa"/>
            </w:tcMar>
            <w:hideMark/>
          </w:tcPr>
          <w:p w14:paraId="420E0DE9"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w:t>
            </w:r>
          </w:p>
        </w:tc>
        <w:tc>
          <w:tcPr>
            <w:tcW w:w="393" w:type="pct"/>
            <w:shd w:val="clear" w:color="auto" w:fill="auto"/>
            <w:noWrap/>
            <w:tcMar>
              <w:left w:w="43" w:type="dxa"/>
              <w:right w:w="43" w:type="dxa"/>
            </w:tcMar>
            <w:hideMark/>
          </w:tcPr>
          <w:p w14:paraId="30387E62"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w:t>
            </w:r>
          </w:p>
        </w:tc>
      </w:tr>
      <w:tr w:rsidR="00637DBA" w:rsidRPr="007D1EDC" w14:paraId="21835680" w14:textId="77777777" w:rsidTr="00D03949">
        <w:trPr>
          <w:trHeight w:val="210"/>
        </w:trPr>
        <w:tc>
          <w:tcPr>
            <w:tcW w:w="1019" w:type="pct"/>
            <w:tcMar>
              <w:left w:w="43" w:type="dxa"/>
              <w:right w:w="43" w:type="dxa"/>
            </w:tcMar>
            <w:vAlign w:val="bottom"/>
          </w:tcPr>
          <w:p w14:paraId="1DA495EC" w14:textId="098A9E0F" w:rsidR="00637DBA" w:rsidRPr="009F5CA1" w:rsidRDefault="00637DBA" w:rsidP="00637DBA">
            <w:pPr>
              <w:rPr>
                <w:rFonts w:ascii="Arial Narrow" w:hAnsi="Arial Narrow" w:cs="Calibri"/>
                <w:color w:val="000000"/>
                <w:sz w:val="20"/>
                <w:szCs w:val="20"/>
                <w:lang w:val="es-ES" w:eastAsia="en-GB"/>
              </w:rPr>
            </w:pPr>
            <w:r w:rsidRPr="009F5CA1">
              <w:rPr>
                <w:rFonts w:ascii="Arial Narrow" w:eastAsia="Aptos" w:hAnsi="Arial Narrow" w:cs="Calibri"/>
                <w:color w:val="000000"/>
                <w:kern w:val="2"/>
                <w:sz w:val="20"/>
                <w:szCs w:val="20"/>
                <w:lang w:val="es-ES"/>
                <w14:ligatures w14:val="standardContextual"/>
              </w:rPr>
              <w:t xml:space="preserve">Tarifa e </w:t>
            </w:r>
            <w:proofErr w:type="spellStart"/>
            <w:r w:rsidRPr="009F5CA1">
              <w:rPr>
                <w:rFonts w:ascii="Arial Narrow" w:eastAsia="Aptos" w:hAnsi="Arial Narrow" w:cs="Calibri"/>
                <w:color w:val="000000"/>
                <w:kern w:val="2"/>
                <w:sz w:val="20"/>
                <w:szCs w:val="20"/>
                <w:lang w:val="es-ES"/>
                <w14:ligatures w14:val="standardContextual"/>
              </w:rPr>
              <w:t>portës</w:t>
            </w:r>
            <w:proofErr w:type="spellEnd"/>
            <w:r w:rsidRPr="009F5CA1">
              <w:rPr>
                <w:rFonts w:ascii="Arial Narrow" w:eastAsia="Aptos" w:hAnsi="Arial Narrow" w:cs="Calibri"/>
                <w:color w:val="000000"/>
                <w:kern w:val="2"/>
                <w:sz w:val="20"/>
                <w:szCs w:val="20"/>
                <w:lang w:val="es-ES"/>
                <w14:ligatures w14:val="standardContextual"/>
              </w:rPr>
              <w:t xml:space="preserve"> </w:t>
            </w:r>
            <w:proofErr w:type="spellStart"/>
            <w:r w:rsidRPr="009F5CA1">
              <w:rPr>
                <w:rFonts w:ascii="Arial Narrow" w:eastAsia="Aptos" w:hAnsi="Arial Narrow" w:cs="Calibri"/>
                <w:color w:val="000000"/>
                <w:kern w:val="2"/>
                <w:sz w:val="20"/>
                <w:szCs w:val="20"/>
                <w:lang w:val="es-ES"/>
                <w14:ligatures w14:val="standardContextual"/>
              </w:rPr>
              <w:t>në</w:t>
            </w:r>
            <w:proofErr w:type="spellEnd"/>
            <w:r w:rsidRPr="009F5CA1">
              <w:rPr>
                <w:rFonts w:ascii="Arial Narrow" w:eastAsia="Aptos" w:hAnsi="Arial Narrow" w:cs="Calibri"/>
                <w:color w:val="000000"/>
                <w:kern w:val="2"/>
                <w:sz w:val="20"/>
                <w:szCs w:val="20"/>
                <w:lang w:val="es-ES"/>
                <w14:ligatures w14:val="standardContextual"/>
              </w:rPr>
              <w:t xml:space="preserve"> </w:t>
            </w:r>
            <w:proofErr w:type="spellStart"/>
            <w:r w:rsidRPr="009F5CA1">
              <w:rPr>
                <w:rFonts w:ascii="Arial Narrow" w:eastAsia="Aptos" w:hAnsi="Arial Narrow" w:cs="Calibri"/>
                <w:color w:val="000000"/>
                <w:kern w:val="2"/>
                <w:sz w:val="20"/>
                <w:szCs w:val="20"/>
                <w:lang w:val="es-ES"/>
                <w14:ligatures w14:val="standardContextual"/>
              </w:rPr>
              <w:t>deponi</w:t>
            </w:r>
            <w:proofErr w:type="spellEnd"/>
            <w:r w:rsidRPr="009F5CA1">
              <w:rPr>
                <w:rFonts w:ascii="Arial Narrow" w:eastAsia="Aptos" w:hAnsi="Arial Narrow" w:cs="Calibri"/>
                <w:color w:val="000000"/>
                <w:kern w:val="2"/>
                <w:sz w:val="20"/>
                <w:szCs w:val="20"/>
                <w:lang w:val="es-ES"/>
                <w14:ligatures w14:val="standardContextual"/>
              </w:rPr>
              <w:t>/TMB</w:t>
            </w:r>
          </w:p>
        </w:tc>
        <w:tc>
          <w:tcPr>
            <w:tcW w:w="394" w:type="pct"/>
            <w:shd w:val="clear" w:color="auto" w:fill="auto"/>
            <w:noWrap/>
            <w:tcMar>
              <w:left w:w="43" w:type="dxa"/>
              <w:right w:w="43" w:type="dxa"/>
            </w:tcMar>
            <w:hideMark/>
          </w:tcPr>
          <w:p w14:paraId="4E185175"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11 €/ton</w:t>
            </w:r>
          </w:p>
        </w:tc>
        <w:tc>
          <w:tcPr>
            <w:tcW w:w="393" w:type="pct"/>
            <w:shd w:val="clear" w:color="auto" w:fill="auto"/>
            <w:noWrap/>
            <w:tcMar>
              <w:left w:w="43" w:type="dxa"/>
              <w:right w:w="43" w:type="dxa"/>
            </w:tcMar>
            <w:hideMark/>
          </w:tcPr>
          <w:p w14:paraId="15F9D45E"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22 €/t</w:t>
            </w:r>
          </w:p>
        </w:tc>
        <w:tc>
          <w:tcPr>
            <w:tcW w:w="392" w:type="pct"/>
            <w:shd w:val="clear" w:color="auto" w:fill="auto"/>
            <w:noWrap/>
            <w:tcMar>
              <w:left w:w="43" w:type="dxa"/>
              <w:right w:w="43" w:type="dxa"/>
            </w:tcMar>
            <w:hideMark/>
          </w:tcPr>
          <w:p w14:paraId="2C54CBFA"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22 €/t</w:t>
            </w:r>
          </w:p>
        </w:tc>
        <w:tc>
          <w:tcPr>
            <w:tcW w:w="394" w:type="pct"/>
            <w:shd w:val="clear" w:color="auto" w:fill="auto"/>
            <w:noWrap/>
            <w:tcMar>
              <w:left w:w="43" w:type="dxa"/>
              <w:right w:w="43" w:type="dxa"/>
            </w:tcMar>
            <w:hideMark/>
          </w:tcPr>
          <w:p w14:paraId="4C2207A4"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22 €/t</w:t>
            </w:r>
          </w:p>
        </w:tc>
        <w:tc>
          <w:tcPr>
            <w:tcW w:w="404" w:type="pct"/>
            <w:shd w:val="clear" w:color="auto" w:fill="auto"/>
            <w:noWrap/>
            <w:tcMar>
              <w:left w:w="43" w:type="dxa"/>
              <w:right w:w="43" w:type="dxa"/>
            </w:tcMar>
            <w:hideMark/>
          </w:tcPr>
          <w:p w14:paraId="508C05E7"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22 €/t</w:t>
            </w:r>
          </w:p>
        </w:tc>
        <w:tc>
          <w:tcPr>
            <w:tcW w:w="420" w:type="pct"/>
            <w:shd w:val="clear" w:color="auto" w:fill="auto"/>
            <w:noWrap/>
            <w:tcMar>
              <w:left w:w="43" w:type="dxa"/>
              <w:right w:w="43" w:type="dxa"/>
            </w:tcMar>
            <w:hideMark/>
          </w:tcPr>
          <w:p w14:paraId="26CB5B44"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39 €/t</w:t>
            </w:r>
          </w:p>
        </w:tc>
        <w:tc>
          <w:tcPr>
            <w:tcW w:w="397" w:type="pct"/>
            <w:shd w:val="clear" w:color="auto" w:fill="auto"/>
            <w:noWrap/>
            <w:tcMar>
              <w:left w:w="43" w:type="dxa"/>
              <w:right w:w="43" w:type="dxa"/>
            </w:tcMar>
            <w:hideMark/>
          </w:tcPr>
          <w:p w14:paraId="62790C34"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56 €/t</w:t>
            </w:r>
          </w:p>
        </w:tc>
        <w:tc>
          <w:tcPr>
            <w:tcW w:w="397" w:type="pct"/>
            <w:shd w:val="clear" w:color="auto" w:fill="auto"/>
            <w:noWrap/>
            <w:tcMar>
              <w:left w:w="43" w:type="dxa"/>
              <w:right w:w="43" w:type="dxa"/>
            </w:tcMar>
            <w:hideMark/>
          </w:tcPr>
          <w:p w14:paraId="58D61230"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58 €/t</w:t>
            </w:r>
          </w:p>
        </w:tc>
        <w:tc>
          <w:tcPr>
            <w:tcW w:w="397" w:type="pct"/>
            <w:shd w:val="clear" w:color="auto" w:fill="auto"/>
            <w:noWrap/>
            <w:tcMar>
              <w:left w:w="43" w:type="dxa"/>
              <w:right w:w="43" w:type="dxa"/>
            </w:tcMar>
            <w:hideMark/>
          </w:tcPr>
          <w:p w14:paraId="27849979"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60 €/t</w:t>
            </w:r>
          </w:p>
        </w:tc>
        <w:tc>
          <w:tcPr>
            <w:tcW w:w="393" w:type="pct"/>
            <w:shd w:val="clear" w:color="auto" w:fill="auto"/>
            <w:noWrap/>
            <w:tcMar>
              <w:left w:w="43" w:type="dxa"/>
              <w:right w:w="43" w:type="dxa"/>
            </w:tcMar>
            <w:hideMark/>
          </w:tcPr>
          <w:p w14:paraId="25008F39"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62 €/t</w:t>
            </w:r>
          </w:p>
        </w:tc>
      </w:tr>
      <w:tr w:rsidR="00637DBA" w:rsidRPr="007D1EDC" w14:paraId="20BB30EB" w14:textId="77777777" w:rsidTr="00D03949">
        <w:trPr>
          <w:trHeight w:val="210"/>
        </w:trPr>
        <w:tc>
          <w:tcPr>
            <w:tcW w:w="1019" w:type="pct"/>
            <w:tcMar>
              <w:left w:w="43" w:type="dxa"/>
              <w:right w:w="43" w:type="dxa"/>
            </w:tcMar>
            <w:vAlign w:val="bottom"/>
          </w:tcPr>
          <w:p w14:paraId="5F763D37" w14:textId="77777777" w:rsidR="00637DBA" w:rsidRPr="00637DBA" w:rsidRDefault="00637DBA" w:rsidP="00637DBA">
            <w:pPr>
              <w:rPr>
                <w:rFonts w:ascii="Arial Narrow" w:eastAsia="Aptos" w:hAnsi="Arial Narrow" w:cs="Calibri"/>
                <w:color w:val="000000"/>
                <w:kern w:val="2"/>
                <w:sz w:val="20"/>
                <w:szCs w:val="20"/>
                <w:lang w:val="en-GB"/>
                <w14:ligatures w14:val="standardContextual"/>
              </w:rPr>
            </w:pPr>
            <w:proofErr w:type="spellStart"/>
            <w:r w:rsidRPr="00637DBA">
              <w:rPr>
                <w:rFonts w:ascii="Arial Narrow" w:eastAsia="Aptos" w:hAnsi="Arial Narrow" w:cs="Calibri"/>
                <w:color w:val="000000"/>
                <w:kern w:val="2"/>
                <w:sz w:val="20"/>
                <w:szCs w:val="20"/>
                <w:lang w:val="en-GB"/>
                <w14:ligatures w14:val="standardContextual"/>
              </w:rPr>
              <w:t>Trajtimi</w:t>
            </w:r>
            <w:proofErr w:type="spellEnd"/>
            <w:r w:rsidRPr="00637DBA">
              <w:rPr>
                <w:rFonts w:ascii="Arial Narrow" w:eastAsia="Aptos" w:hAnsi="Arial Narrow" w:cs="Calibri"/>
                <w:color w:val="000000"/>
                <w:kern w:val="2"/>
                <w:sz w:val="20"/>
                <w:szCs w:val="20"/>
                <w:lang w:val="en-GB"/>
                <w14:ligatures w14:val="standardContextual"/>
              </w:rPr>
              <w:t>/</w:t>
            </w:r>
            <w:proofErr w:type="spellStart"/>
            <w:r w:rsidRPr="00637DBA">
              <w:rPr>
                <w:rFonts w:ascii="Arial Narrow" w:eastAsia="Aptos" w:hAnsi="Arial Narrow" w:cs="Calibri"/>
                <w:color w:val="000000"/>
                <w:kern w:val="2"/>
                <w:sz w:val="20"/>
                <w:szCs w:val="20"/>
                <w:lang w:val="en-GB"/>
                <w14:ligatures w14:val="standardContextual"/>
              </w:rPr>
              <w:t>deponimi</w:t>
            </w:r>
            <w:proofErr w:type="spellEnd"/>
            <w:r w:rsidRPr="00637DBA">
              <w:rPr>
                <w:rFonts w:ascii="Arial Narrow" w:eastAsia="Aptos" w:hAnsi="Arial Narrow" w:cs="Calibri"/>
                <w:color w:val="000000"/>
                <w:kern w:val="2"/>
                <w:sz w:val="20"/>
                <w:szCs w:val="20"/>
                <w:lang w:val="en-GB"/>
                <w14:ligatures w14:val="standardContextual"/>
              </w:rPr>
              <w:t>,</w:t>
            </w:r>
          </w:p>
          <w:p w14:paraId="2330DB54" w14:textId="561749F6" w:rsidR="00637DBA" w:rsidRPr="00637DBA" w:rsidRDefault="00637DBA" w:rsidP="00637DBA">
            <w:pPr>
              <w:rPr>
                <w:rFonts w:ascii="Arial Narrow" w:hAnsi="Arial Narrow" w:cs="Calibri"/>
                <w:color w:val="000000"/>
                <w:sz w:val="20"/>
                <w:szCs w:val="20"/>
                <w:lang w:val="en-GB" w:eastAsia="en-GB"/>
              </w:rPr>
            </w:pPr>
            <w:proofErr w:type="spellStart"/>
            <w:r w:rsidRPr="00637DBA">
              <w:rPr>
                <w:rFonts w:ascii="Arial Narrow" w:eastAsia="Aptos" w:hAnsi="Arial Narrow" w:cs="Calibri"/>
                <w:color w:val="000000"/>
                <w:kern w:val="2"/>
                <w:sz w:val="20"/>
                <w:szCs w:val="20"/>
                <w:lang w:val="en-GB"/>
                <w14:ligatures w14:val="standardContextual"/>
              </w:rPr>
              <w:t>mijë</w:t>
            </w:r>
            <w:proofErr w:type="spellEnd"/>
            <w:r w:rsidRPr="00637DBA">
              <w:rPr>
                <w:rFonts w:ascii="Arial Narrow" w:eastAsia="Aptos" w:hAnsi="Arial Narrow" w:cs="Calibri"/>
                <w:color w:val="000000"/>
                <w:kern w:val="2"/>
                <w:sz w:val="20"/>
                <w:szCs w:val="20"/>
                <w:lang w:val="en-GB"/>
                <w14:ligatures w14:val="standardContextual"/>
              </w:rPr>
              <w:t xml:space="preserve"> euro</w:t>
            </w:r>
          </w:p>
        </w:tc>
        <w:tc>
          <w:tcPr>
            <w:tcW w:w="394" w:type="pct"/>
            <w:shd w:val="clear" w:color="auto" w:fill="auto"/>
            <w:noWrap/>
            <w:tcMar>
              <w:left w:w="43" w:type="dxa"/>
              <w:right w:w="43" w:type="dxa"/>
            </w:tcMar>
            <w:hideMark/>
          </w:tcPr>
          <w:p w14:paraId="245AEE7F"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417</w:t>
            </w:r>
          </w:p>
        </w:tc>
        <w:tc>
          <w:tcPr>
            <w:tcW w:w="393" w:type="pct"/>
            <w:shd w:val="clear" w:color="auto" w:fill="auto"/>
            <w:noWrap/>
            <w:tcMar>
              <w:left w:w="43" w:type="dxa"/>
              <w:right w:w="43" w:type="dxa"/>
            </w:tcMar>
            <w:hideMark/>
          </w:tcPr>
          <w:p w14:paraId="4F7C54D4"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714</w:t>
            </w:r>
          </w:p>
        </w:tc>
        <w:tc>
          <w:tcPr>
            <w:tcW w:w="392" w:type="pct"/>
            <w:shd w:val="clear" w:color="auto" w:fill="auto"/>
            <w:noWrap/>
            <w:tcMar>
              <w:left w:w="43" w:type="dxa"/>
              <w:right w:w="43" w:type="dxa"/>
            </w:tcMar>
            <w:hideMark/>
          </w:tcPr>
          <w:p w14:paraId="6FCF28EC"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691</w:t>
            </w:r>
          </w:p>
        </w:tc>
        <w:tc>
          <w:tcPr>
            <w:tcW w:w="394" w:type="pct"/>
            <w:shd w:val="clear" w:color="auto" w:fill="auto"/>
            <w:noWrap/>
            <w:tcMar>
              <w:left w:w="43" w:type="dxa"/>
              <w:right w:w="43" w:type="dxa"/>
            </w:tcMar>
            <w:hideMark/>
          </w:tcPr>
          <w:p w14:paraId="7961D2C0"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662</w:t>
            </w:r>
          </w:p>
        </w:tc>
        <w:tc>
          <w:tcPr>
            <w:tcW w:w="404" w:type="pct"/>
            <w:shd w:val="clear" w:color="auto" w:fill="auto"/>
            <w:noWrap/>
            <w:tcMar>
              <w:left w:w="43" w:type="dxa"/>
              <w:right w:w="43" w:type="dxa"/>
            </w:tcMar>
            <w:hideMark/>
          </w:tcPr>
          <w:p w14:paraId="38DF1B0B"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644</w:t>
            </w:r>
          </w:p>
        </w:tc>
        <w:tc>
          <w:tcPr>
            <w:tcW w:w="420" w:type="pct"/>
            <w:shd w:val="clear" w:color="auto" w:fill="auto"/>
            <w:noWrap/>
            <w:tcMar>
              <w:left w:w="43" w:type="dxa"/>
              <w:right w:w="43" w:type="dxa"/>
            </w:tcMar>
            <w:hideMark/>
          </w:tcPr>
          <w:p w14:paraId="621D423F"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1,119</w:t>
            </w:r>
          </w:p>
        </w:tc>
        <w:tc>
          <w:tcPr>
            <w:tcW w:w="397" w:type="pct"/>
            <w:shd w:val="clear" w:color="auto" w:fill="auto"/>
            <w:noWrap/>
            <w:tcMar>
              <w:left w:w="43" w:type="dxa"/>
              <w:right w:w="43" w:type="dxa"/>
            </w:tcMar>
            <w:hideMark/>
          </w:tcPr>
          <w:p w14:paraId="17834F25"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1,416</w:t>
            </w:r>
          </w:p>
        </w:tc>
        <w:tc>
          <w:tcPr>
            <w:tcW w:w="397" w:type="pct"/>
            <w:shd w:val="clear" w:color="auto" w:fill="auto"/>
            <w:noWrap/>
            <w:tcMar>
              <w:left w:w="43" w:type="dxa"/>
              <w:right w:w="43" w:type="dxa"/>
            </w:tcMar>
            <w:hideMark/>
          </w:tcPr>
          <w:p w14:paraId="237FF345"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1,423</w:t>
            </w:r>
          </w:p>
        </w:tc>
        <w:tc>
          <w:tcPr>
            <w:tcW w:w="397" w:type="pct"/>
            <w:shd w:val="clear" w:color="auto" w:fill="auto"/>
            <w:noWrap/>
            <w:tcMar>
              <w:left w:w="43" w:type="dxa"/>
              <w:right w:w="43" w:type="dxa"/>
            </w:tcMar>
            <w:hideMark/>
          </w:tcPr>
          <w:p w14:paraId="7EA453B6"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1,442</w:t>
            </w:r>
          </w:p>
        </w:tc>
        <w:tc>
          <w:tcPr>
            <w:tcW w:w="393" w:type="pct"/>
            <w:shd w:val="clear" w:color="auto" w:fill="auto"/>
            <w:noWrap/>
            <w:tcMar>
              <w:left w:w="43" w:type="dxa"/>
              <w:right w:w="43" w:type="dxa"/>
            </w:tcMar>
            <w:hideMark/>
          </w:tcPr>
          <w:p w14:paraId="012C6F6C"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1,455</w:t>
            </w:r>
          </w:p>
        </w:tc>
      </w:tr>
      <w:tr w:rsidR="00637DBA" w:rsidRPr="007D1EDC" w14:paraId="776A71AB" w14:textId="77777777" w:rsidTr="00D03949">
        <w:trPr>
          <w:trHeight w:val="210"/>
        </w:trPr>
        <w:tc>
          <w:tcPr>
            <w:tcW w:w="1019" w:type="pct"/>
            <w:tcMar>
              <w:left w:w="43" w:type="dxa"/>
              <w:right w:w="43" w:type="dxa"/>
            </w:tcMar>
            <w:vAlign w:val="bottom"/>
          </w:tcPr>
          <w:p w14:paraId="48506111" w14:textId="1D2DF26C" w:rsidR="00637DBA" w:rsidRPr="00637DBA" w:rsidRDefault="00637DBA" w:rsidP="00637DBA">
            <w:pPr>
              <w:rPr>
                <w:rFonts w:ascii="Arial Narrow" w:hAnsi="Arial Narrow" w:cs="Calibri"/>
                <w:color w:val="000000"/>
                <w:sz w:val="20"/>
                <w:szCs w:val="20"/>
                <w:lang w:val="en-GB" w:eastAsia="en-GB"/>
              </w:rPr>
            </w:pPr>
            <w:proofErr w:type="spellStart"/>
            <w:r w:rsidRPr="00637DBA">
              <w:rPr>
                <w:rFonts w:ascii="Arial Narrow" w:eastAsia="Aptos" w:hAnsi="Arial Narrow" w:cs="Calibri"/>
                <w:color w:val="000000"/>
                <w:kern w:val="2"/>
                <w:sz w:val="20"/>
                <w:szCs w:val="20"/>
                <w:lang w:val="en-GB"/>
                <w14:ligatures w14:val="standardContextual"/>
              </w:rPr>
              <w:t>Kostot</w:t>
            </w:r>
            <w:proofErr w:type="spellEnd"/>
            <w:r w:rsidRPr="00637DBA">
              <w:rPr>
                <w:rFonts w:ascii="Arial Narrow" w:eastAsia="Aptos" w:hAnsi="Arial Narrow" w:cs="Calibri"/>
                <w:color w:val="000000"/>
                <w:kern w:val="2"/>
                <w:sz w:val="20"/>
                <w:szCs w:val="20"/>
                <w:lang w:val="en-GB"/>
                <w14:ligatures w14:val="standardContextual"/>
              </w:rPr>
              <w:t xml:space="preserve"> </w:t>
            </w:r>
            <w:proofErr w:type="spellStart"/>
            <w:r w:rsidRPr="00637DBA">
              <w:rPr>
                <w:rFonts w:ascii="Arial Narrow" w:eastAsia="Aptos" w:hAnsi="Arial Narrow" w:cs="Calibri"/>
                <w:color w:val="000000"/>
                <w:kern w:val="2"/>
                <w:sz w:val="20"/>
                <w:szCs w:val="20"/>
                <w:lang w:val="en-GB"/>
                <w14:ligatures w14:val="standardContextual"/>
              </w:rPr>
              <w:t>totale</w:t>
            </w:r>
            <w:proofErr w:type="spellEnd"/>
            <w:r w:rsidRPr="00637DBA">
              <w:rPr>
                <w:rFonts w:ascii="Arial Narrow" w:eastAsia="Aptos" w:hAnsi="Arial Narrow" w:cs="Calibri"/>
                <w:color w:val="000000"/>
                <w:kern w:val="2"/>
                <w:sz w:val="20"/>
                <w:szCs w:val="20"/>
                <w:lang w:val="en-GB"/>
                <w14:ligatures w14:val="standardContextual"/>
              </w:rPr>
              <w:t xml:space="preserve">, </w:t>
            </w:r>
            <w:proofErr w:type="spellStart"/>
            <w:r w:rsidRPr="00637DBA">
              <w:rPr>
                <w:rFonts w:ascii="Arial Narrow" w:eastAsia="Aptos" w:hAnsi="Arial Narrow" w:cs="Calibri"/>
                <w:color w:val="000000"/>
                <w:kern w:val="2"/>
                <w:sz w:val="20"/>
                <w:szCs w:val="20"/>
                <w:lang w:val="en-GB"/>
                <w14:ligatures w14:val="standardContextual"/>
              </w:rPr>
              <w:t>mijë</w:t>
            </w:r>
            <w:proofErr w:type="spellEnd"/>
            <w:r w:rsidRPr="00637DBA">
              <w:rPr>
                <w:rFonts w:ascii="Arial Narrow" w:eastAsia="Aptos" w:hAnsi="Arial Narrow" w:cs="Calibri"/>
                <w:color w:val="000000"/>
                <w:kern w:val="2"/>
                <w:sz w:val="20"/>
                <w:szCs w:val="20"/>
                <w:lang w:val="en-GB"/>
                <w14:ligatures w14:val="standardContextual"/>
              </w:rPr>
              <w:t xml:space="preserve"> €</w:t>
            </w:r>
          </w:p>
        </w:tc>
        <w:tc>
          <w:tcPr>
            <w:tcW w:w="394" w:type="pct"/>
            <w:shd w:val="clear" w:color="auto" w:fill="auto"/>
            <w:noWrap/>
            <w:tcMar>
              <w:left w:w="43" w:type="dxa"/>
              <w:right w:w="43" w:type="dxa"/>
            </w:tcMar>
            <w:hideMark/>
          </w:tcPr>
          <w:p w14:paraId="4EA8A945"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2,337</w:t>
            </w:r>
          </w:p>
        </w:tc>
        <w:tc>
          <w:tcPr>
            <w:tcW w:w="393" w:type="pct"/>
            <w:shd w:val="clear" w:color="auto" w:fill="auto"/>
            <w:noWrap/>
            <w:tcMar>
              <w:left w:w="43" w:type="dxa"/>
              <w:right w:w="43" w:type="dxa"/>
            </w:tcMar>
            <w:hideMark/>
          </w:tcPr>
          <w:p w14:paraId="3772A75D"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2,629</w:t>
            </w:r>
          </w:p>
        </w:tc>
        <w:tc>
          <w:tcPr>
            <w:tcW w:w="392" w:type="pct"/>
            <w:shd w:val="clear" w:color="auto" w:fill="auto"/>
            <w:noWrap/>
            <w:tcMar>
              <w:left w:w="43" w:type="dxa"/>
              <w:right w:w="43" w:type="dxa"/>
            </w:tcMar>
            <w:hideMark/>
          </w:tcPr>
          <w:p w14:paraId="448B78D2"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2,565</w:t>
            </w:r>
          </w:p>
        </w:tc>
        <w:tc>
          <w:tcPr>
            <w:tcW w:w="394" w:type="pct"/>
            <w:shd w:val="clear" w:color="auto" w:fill="auto"/>
            <w:noWrap/>
            <w:tcMar>
              <w:left w:w="43" w:type="dxa"/>
              <w:right w:w="43" w:type="dxa"/>
            </w:tcMar>
            <w:hideMark/>
          </w:tcPr>
          <w:p w14:paraId="35A6E88E"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2,503</w:t>
            </w:r>
          </w:p>
        </w:tc>
        <w:tc>
          <w:tcPr>
            <w:tcW w:w="404" w:type="pct"/>
            <w:shd w:val="clear" w:color="auto" w:fill="auto"/>
            <w:noWrap/>
            <w:tcMar>
              <w:left w:w="43" w:type="dxa"/>
              <w:right w:w="43" w:type="dxa"/>
            </w:tcMar>
            <w:hideMark/>
          </w:tcPr>
          <w:p w14:paraId="5F346860"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2,483</w:t>
            </w:r>
          </w:p>
        </w:tc>
        <w:tc>
          <w:tcPr>
            <w:tcW w:w="420" w:type="pct"/>
            <w:shd w:val="clear" w:color="auto" w:fill="auto"/>
            <w:noWrap/>
            <w:tcMar>
              <w:left w:w="43" w:type="dxa"/>
              <w:right w:w="43" w:type="dxa"/>
            </w:tcMar>
            <w:hideMark/>
          </w:tcPr>
          <w:p w14:paraId="78950E14"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2,947</w:t>
            </w:r>
          </w:p>
        </w:tc>
        <w:tc>
          <w:tcPr>
            <w:tcW w:w="397" w:type="pct"/>
            <w:shd w:val="clear" w:color="auto" w:fill="auto"/>
            <w:noWrap/>
            <w:tcMar>
              <w:left w:w="43" w:type="dxa"/>
              <w:right w:w="43" w:type="dxa"/>
            </w:tcMar>
            <w:hideMark/>
          </w:tcPr>
          <w:p w14:paraId="094A01FE"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3,087</w:t>
            </w:r>
          </w:p>
        </w:tc>
        <w:tc>
          <w:tcPr>
            <w:tcW w:w="397" w:type="pct"/>
            <w:shd w:val="clear" w:color="auto" w:fill="auto"/>
            <w:noWrap/>
            <w:tcMar>
              <w:left w:w="43" w:type="dxa"/>
              <w:right w:w="43" w:type="dxa"/>
            </w:tcMar>
            <w:hideMark/>
          </w:tcPr>
          <w:p w14:paraId="773B0FF6"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3,066</w:t>
            </w:r>
          </w:p>
        </w:tc>
        <w:tc>
          <w:tcPr>
            <w:tcW w:w="397" w:type="pct"/>
            <w:shd w:val="clear" w:color="auto" w:fill="auto"/>
            <w:noWrap/>
            <w:tcMar>
              <w:left w:w="43" w:type="dxa"/>
              <w:right w:w="43" w:type="dxa"/>
            </w:tcMar>
            <w:hideMark/>
          </w:tcPr>
          <w:p w14:paraId="2FE05464"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3,057</w:t>
            </w:r>
          </w:p>
        </w:tc>
        <w:tc>
          <w:tcPr>
            <w:tcW w:w="393" w:type="pct"/>
            <w:shd w:val="clear" w:color="auto" w:fill="auto"/>
            <w:noWrap/>
            <w:tcMar>
              <w:left w:w="43" w:type="dxa"/>
              <w:right w:w="43" w:type="dxa"/>
            </w:tcMar>
            <w:hideMark/>
          </w:tcPr>
          <w:p w14:paraId="4C125C44"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3,041</w:t>
            </w:r>
          </w:p>
        </w:tc>
      </w:tr>
      <w:tr w:rsidR="00637DBA" w:rsidRPr="007D1EDC" w14:paraId="05B0852F" w14:textId="77777777" w:rsidTr="00D03949">
        <w:trPr>
          <w:trHeight w:val="210"/>
        </w:trPr>
        <w:tc>
          <w:tcPr>
            <w:tcW w:w="1019" w:type="pct"/>
            <w:tcMar>
              <w:left w:w="43" w:type="dxa"/>
              <w:right w:w="43" w:type="dxa"/>
            </w:tcMar>
            <w:vAlign w:val="bottom"/>
          </w:tcPr>
          <w:p w14:paraId="4997AC93" w14:textId="204B5B2A" w:rsidR="00637DBA" w:rsidRPr="00637DBA" w:rsidRDefault="00637DBA" w:rsidP="00637DBA">
            <w:pPr>
              <w:rPr>
                <w:rFonts w:ascii="Arial Narrow" w:hAnsi="Arial Narrow" w:cs="Calibri"/>
                <w:color w:val="000000"/>
                <w:sz w:val="20"/>
                <w:szCs w:val="20"/>
                <w:lang w:val="en-GB" w:eastAsia="en-GB"/>
              </w:rPr>
            </w:pPr>
            <w:proofErr w:type="spellStart"/>
            <w:r w:rsidRPr="00637DBA">
              <w:rPr>
                <w:rFonts w:ascii="Arial Narrow" w:eastAsia="Aptos" w:hAnsi="Arial Narrow" w:cs="Calibri"/>
                <w:color w:val="000000"/>
                <w:kern w:val="2"/>
                <w:sz w:val="20"/>
                <w:szCs w:val="20"/>
                <w:lang w:val="en-GB"/>
                <w14:ligatures w14:val="standardContextual"/>
              </w:rPr>
              <w:t>Kostot</w:t>
            </w:r>
            <w:proofErr w:type="spellEnd"/>
            <w:r w:rsidRPr="00637DBA">
              <w:rPr>
                <w:rFonts w:ascii="Arial Narrow" w:eastAsia="Aptos" w:hAnsi="Arial Narrow" w:cs="Calibri"/>
                <w:color w:val="000000"/>
                <w:kern w:val="2"/>
                <w:sz w:val="20"/>
                <w:szCs w:val="20"/>
                <w:lang w:val="en-GB"/>
                <w14:ligatures w14:val="standardContextual"/>
              </w:rPr>
              <w:t xml:space="preserve"> </w:t>
            </w:r>
            <w:proofErr w:type="spellStart"/>
            <w:r w:rsidRPr="00637DBA">
              <w:rPr>
                <w:rFonts w:ascii="Arial Narrow" w:eastAsia="Aptos" w:hAnsi="Arial Narrow" w:cs="Calibri"/>
                <w:color w:val="000000"/>
                <w:kern w:val="2"/>
                <w:sz w:val="20"/>
                <w:szCs w:val="20"/>
                <w:lang w:val="en-GB"/>
                <w14:ligatures w14:val="standardContextual"/>
              </w:rPr>
              <w:t>totale</w:t>
            </w:r>
            <w:proofErr w:type="spellEnd"/>
            <w:r w:rsidRPr="00637DBA">
              <w:rPr>
                <w:rFonts w:ascii="Arial Narrow" w:eastAsia="Aptos" w:hAnsi="Arial Narrow" w:cs="Calibri"/>
                <w:color w:val="000000"/>
                <w:kern w:val="2"/>
                <w:sz w:val="20"/>
                <w:szCs w:val="20"/>
                <w:lang w:val="en-GB"/>
                <w14:ligatures w14:val="standardContextual"/>
              </w:rPr>
              <w:t xml:space="preserve"> me TVSH</w:t>
            </w:r>
          </w:p>
        </w:tc>
        <w:tc>
          <w:tcPr>
            <w:tcW w:w="394" w:type="pct"/>
            <w:shd w:val="clear" w:color="auto" w:fill="auto"/>
            <w:noWrap/>
            <w:tcMar>
              <w:left w:w="43" w:type="dxa"/>
              <w:right w:w="43" w:type="dxa"/>
            </w:tcMar>
            <w:hideMark/>
          </w:tcPr>
          <w:p w14:paraId="5AC45C31"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2,524</w:t>
            </w:r>
          </w:p>
        </w:tc>
        <w:tc>
          <w:tcPr>
            <w:tcW w:w="393" w:type="pct"/>
            <w:shd w:val="clear" w:color="auto" w:fill="auto"/>
            <w:noWrap/>
            <w:tcMar>
              <w:left w:w="43" w:type="dxa"/>
              <w:right w:w="43" w:type="dxa"/>
            </w:tcMar>
            <w:hideMark/>
          </w:tcPr>
          <w:p w14:paraId="3A11A702"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2,839</w:t>
            </w:r>
          </w:p>
        </w:tc>
        <w:tc>
          <w:tcPr>
            <w:tcW w:w="392" w:type="pct"/>
            <w:shd w:val="clear" w:color="auto" w:fill="auto"/>
            <w:noWrap/>
            <w:tcMar>
              <w:left w:w="43" w:type="dxa"/>
              <w:right w:w="43" w:type="dxa"/>
            </w:tcMar>
            <w:hideMark/>
          </w:tcPr>
          <w:p w14:paraId="5240BE15"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2,771</w:t>
            </w:r>
          </w:p>
        </w:tc>
        <w:tc>
          <w:tcPr>
            <w:tcW w:w="394" w:type="pct"/>
            <w:shd w:val="clear" w:color="auto" w:fill="auto"/>
            <w:noWrap/>
            <w:tcMar>
              <w:left w:w="43" w:type="dxa"/>
              <w:right w:w="43" w:type="dxa"/>
            </w:tcMar>
            <w:hideMark/>
          </w:tcPr>
          <w:p w14:paraId="18C91AFA"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2,704</w:t>
            </w:r>
          </w:p>
        </w:tc>
        <w:tc>
          <w:tcPr>
            <w:tcW w:w="404" w:type="pct"/>
            <w:shd w:val="clear" w:color="auto" w:fill="auto"/>
            <w:noWrap/>
            <w:tcMar>
              <w:left w:w="43" w:type="dxa"/>
              <w:right w:w="43" w:type="dxa"/>
            </w:tcMar>
            <w:hideMark/>
          </w:tcPr>
          <w:p w14:paraId="761C9925"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2,682</w:t>
            </w:r>
          </w:p>
        </w:tc>
        <w:tc>
          <w:tcPr>
            <w:tcW w:w="420" w:type="pct"/>
            <w:shd w:val="clear" w:color="auto" w:fill="auto"/>
            <w:noWrap/>
            <w:tcMar>
              <w:left w:w="43" w:type="dxa"/>
              <w:right w:w="43" w:type="dxa"/>
            </w:tcMar>
            <w:hideMark/>
          </w:tcPr>
          <w:p w14:paraId="422C26B7"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3,183</w:t>
            </w:r>
          </w:p>
        </w:tc>
        <w:tc>
          <w:tcPr>
            <w:tcW w:w="397" w:type="pct"/>
            <w:shd w:val="clear" w:color="auto" w:fill="auto"/>
            <w:noWrap/>
            <w:tcMar>
              <w:left w:w="43" w:type="dxa"/>
              <w:right w:w="43" w:type="dxa"/>
            </w:tcMar>
            <w:hideMark/>
          </w:tcPr>
          <w:p w14:paraId="32D60124"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3,334</w:t>
            </w:r>
          </w:p>
        </w:tc>
        <w:tc>
          <w:tcPr>
            <w:tcW w:w="397" w:type="pct"/>
            <w:shd w:val="clear" w:color="auto" w:fill="auto"/>
            <w:noWrap/>
            <w:tcMar>
              <w:left w:w="43" w:type="dxa"/>
              <w:right w:w="43" w:type="dxa"/>
            </w:tcMar>
            <w:hideMark/>
          </w:tcPr>
          <w:p w14:paraId="56F68091"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3,311</w:t>
            </w:r>
          </w:p>
        </w:tc>
        <w:tc>
          <w:tcPr>
            <w:tcW w:w="397" w:type="pct"/>
            <w:shd w:val="clear" w:color="auto" w:fill="auto"/>
            <w:noWrap/>
            <w:tcMar>
              <w:left w:w="43" w:type="dxa"/>
              <w:right w:w="43" w:type="dxa"/>
            </w:tcMar>
            <w:hideMark/>
          </w:tcPr>
          <w:p w14:paraId="49AF273F"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3,301</w:t>
            </w:r>
          </w:p>
        </w:tc>
        <w:tc>
          <w:tcPr>
            <w:tcW w:w="393" w:type="pct"/>
            <w:shd w:val="clear" w:color="auto" w:fill="auto"/>
            <w:noWrap/>
            <w:tcMar>
              <w:left w:w="43" w:type="dxa"/>
              <w:right w:w="43" w:type="dxa"/>
            </w:tcMar>
            <w:hideMark/>
          </w:tcPr>
          <w:p w14:paraId="5F817D4B"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3,285</w:t>
            </w:r>
          </w:p>
        </w:tc>
      </w:tr>
      <w:tr w:rsidR="00637DBA" w:rsidRPr="007D1EDC" w14:paraId="73230741" w14:textId="77777777" w:rsidTr="00D03949">
        <w:trPr>
          <w:trHeight w:val="210"/>
        </w:trPr>
        <w:tc>
          <w:tcPr>
            <w:tcW w:w="1019" w:type="pct"/>
            <w:tcMar>
              <w:left w:w="43" w:type="dxa"/>
              <w:right w:w="43" w:type="dxa"/>
            </w:tcMar>
            <w:vAlign w:val="bottom"/>
          </w:tcPr>
          <w:p w14:paraId="5FF214DE" w14:textId="25C08F99" w:rsidR="00637DBA" w:rsidRPr="00637DBA" w:rsidRDefault="00637DBA" w:rsidP="00637DBA">
            <w:pPr>
              <w:rPr>
                <w:rFonts w:ascii="Arial Narrow" w:hAnsi="Arial Narrow" w:cs="Calibri"/>
                <w:color w:val="000000"/>
                <w:sz w:val="20"/>
                <w:szCs w:val="20"/>
                <w:lang w:val="en-GB" w:eastAsia="en-GB"/>
              </w:rPr>
            </w:pPr>
            <w:proofErr w:type="spellStart"/>
            <w:r w:rsidRPr="00637DBA">
              <w:rPr>
                <w:rFonts w:ascii="Arial Narrow" w:hAnsi="Arial Narrow" w:cs="Calibri"/>
                <w:color w:val="000000"/>
                <w:sz w:val="20"/>
                <w:szCs w:val="20"/>
                <w:lang w:val="en-GB" w:eastAsia="en-GB"/>
              </w:rPr>
              <w:t>Faturimi</w:t>
            </w:r>
            <w:proofErr w:type="spellEnd"/>
            <w:r w:rsidRPr="00637DBA">
              <w:rPr>
                <w:rFonts w:ascii="Arial Narrow" w:hAnsi="Arial Narrow" w:cs="Calibri"/>
                <w:color w:val="000000"/>
                <w:sz w:val="20"/>
                <w:szCs w:val="20"/>
                <w:lang w:val="en-GB" w:eastAsia="en-GB"/>
              </w:rPr>
              <w:t xml:space="preserve"> </w:t>
            </w:r>
            <w:proofErr w:type="spellStart"/>
            <w:r w:rsidRPr="00637DBA">
              <w:rPr>
                <w:rFonts w:ascii="Arial Narrow" w:hAnsi="Arial Narrow" w:cs="Calibri"/>
                <w:color w:val="000000"/>
                <w:sz w:val="20"/>
                <w:szCs w:val="20"/>
                <w:lang w:val="en-GB" w:eastAsia="en-GB"/>
              </w:rPr>
              <w:t>për</w:t>
            </w:r>
            <w:proofErr w:type="spellEnd"/>
            <w:r w:rsidRPr="00637DBA">
              <w:rPr>
                <w:rFonts w:ascii="Arial Narrow" w:hAnsi="Arial Narrow" w:cs="Calibri"/>
                <w:color w:val="000000"/>
                <w:sz w:val="20"/>
                <w:szCs w:val="20"/>
                <w:lang w:val="en-GB" w:eastAsia="en-GB"/>
              </w:rPr>
              <w:t xml:space="preserve"> </w:t>
            </w:r>
            <w:proofErr w:type="spellStart"/>
            <w:r w:rsidRPr="00637DBA">
              <w:rPr>
                <w:rFonts w:ascii="Arial Narrow" w:hAnsi="Arial Narrow" w:cs="Calibri"/>
                <w:color w:val="000000"/>
                <w:sz w:val="20"/>
                <w:szCs w:val="20"/>
                <w:lang w:val="en-GB" w:eastAsia="en-GB"/>
              </w:rPr>
              <w:t>familje</w:t>
            </w:r>
            <w:proofErr w:type="spellEnd"/>
          </w:p>
        </w:tc>
        <w:tc>
          <w:tcPr>
            <w:tcW w:w="394" w:type="pct"/>
            <w:shd w:val="clear" w:color="auto" w:fill="auto"/>
            <w:noWrap/>
            <w:tcMar>
              <w:left w:w="43" w:type="dxa"/>
              <w:right w:w="43" w:type="dxa"/>
            </w:tcMar>
            <w:hideMark/>
          </w:tcPr>
          <w:p w14:paraId="65177CB6"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1,767</w:t>
            </w:r>
          </w:p>
        </w:tc>
        <w:tc>
          <w:tcPr>
            <w:tcW w:w="393" w:type="pct"/>
            <w:shd w:val="clear" w:color="auto" w:fill="auto"/>
            <w:noWrap/>
            <w:tcMar>
              <w:left w:w="43" w:type="dxa"/>
              <w:right w:w="43" w:type="dxa"/>
            </w:tcMar>
            <w:hideMark/>
          </w:tcPr>
          <w:p w14:paraId="511839D1"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1,988</w:t>
            </w:r>
          </w:p>
        </w:tc>
        <w:tc>
          <w:tcPr>
            <w:tcW w:w="392" w:type="pct"/>
            <w:shd w:val="clear" w:color="auto" w:fill="auto"/>
            <w:noWrap/>
            <w:tcMar>
              <w:left w:w="43" w:type="dxa"/>
              <w:right w:w="43" w:type="dxa"/>
            </w:tcMar>
            <w:hideMark/>
          </w:tcPr>
          <w:p w14:paraId="296EEFC1"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1,940</w:t>
            </w:r>
          </w:p>
        </w:tc>
        <w:tc>
          <w:tcPr>
            <w:tcW w:w="394" w:type="pct"/>
            <w:shd w:val="clear" w:color="auto" w:fill="auto"/>
            <w:noWrap/>
            <w:tcMar>
              <w:left w:w="43" w:type="dxa"/>
              <w:right w:w="43" w:type="dxa"/>
            </w:tcMar>
            <w:hideMark/>
          </w:tcPr>
          <w:p w14:paraId="1FF07703"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1,893</w:t>
            </w:r>
          </w:p>
        </w:tc>
        <w:tc>
          <w:tcPr>
            <w:tcW w:w="404" w:type="pct"/>
            <w:shd w:val="clear" w:color="auto" w:fill="auto"/>
            <w:noWrap/>
            <w:tcMar>
              <w:left w:w="43" w:type="dxa"/>
              <w:right w:w="43" w:type="dxa"/>
            </w:tcMar>
            <w:hideMark/>
          </w:tcPr>
          <w:p w14:paraId="671274E5"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1,878</w:t>
            </w:r>
          </w:p>
        </w:tc>
        <w:tc>
          <w:tcPr>
            <w:tcW w:w="420" w:type="pct"/>
            <w:shd w:val="clear" w:color="auto" w:fill="auto"/>
            <w:noWrap/>
            <w:tcMar>
              <w:left w:w="43" w:type="dxa"/>
              <w:right w:w="43" w:type="dxa"/>
            </w:tcMar>
            <w:hideMark/>
          </w:tcPr>
          <w:p w14:paraId="4A1B67FB"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2,229</w:t>
            </w:r>
          </w:p>
        </w:tc>
        <w:tc>
          <w:tcPr>
            <w:tcW w:w="397" w:type="pct"/>
            <w:shd w:val="clear" w:color="auto" w:fill="auto"/>
            <w:noWrap/>
            <w:tcMar>
              <w:left w:w="43" w:type="dxa"/>
              <w:right w:w="43" w:type="dxa"/>
            </w:tcMar>
            <w:hideMark/>
          </w:tcPr>
          <w:p w14:paraId="1870EC84"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2,335</w:t>
            </w:r>
          </w:p>
        </w:tc>
        <w:tc>
          <w:tcPr>
            <w:tcW w:w="397" w:type="pct"/>
            <w:shd w:val="clear" w:color="auto" w:fill="auto"/>
            <w:noWrap/>
            <w:tcMar>
              <w:left w:w="43" w:type="dxa"/>
              <w:right w:w="43" w:type="dxa"/>
            </w:tcMar>
            <w:hideMark/>
          </w:tcPr>
          <w:p w14:paraId="3F2E3FBF"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2,319</w:t>
            </w:r>
          </w:p>
        </w:tc>
        <w:tc>
          <w:tcPr>
            <w:tcW w:w="397" w:type="pct"/>
            <w:shd w:val="clear" w:color="auto" w:fill="auto"/>
            <w:noWrap/>
            <w:tcMar>
              <w:left w:w="43" w:type="dxa"/>
              <w:right w:w="43" w:type="dxa"/>
            </w:tcMar>
            <w:hideMark/>
          </w:tcPr>
          <w:p w14:paraId="6C505A46"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2,311</w:t>
            </w:r>
          </w:p>
        </w:tc>
        <w:tc>
          <w:tcPr>
            <w:tcW w:w="393" w:type="pct"/>
            <w:shd w:val="clear" w:color="auto" w:fill="auto"/>
            <w:noWrap/>
            <w:tcMar>
              <w:left w:w="43" w:type="dxa"/>
              <w:right w:w="43" w:type="dxa"/>
            </w:tcMar>
            <w:hideMark/>
          </w:tcPr>
          <w:p w14:paraId="61A4321A"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2,300</w:t>
            </w:r>
          </w:p>
        </w:tc>
      </w:tr>
      <w:tr w:rsidR="00637DBA" w:rsidRPr="007D1EDC" w14:paraId="45F29705" w14:textId="77777777" w:rsidTr="00D03949">
        <w:trPr>
          <w:trHeight w:val="210"/>
        </w:trPr>
        <w:tc>
          <w:tcPr>
            <w:tcW w:w="1019" w:type="pct"/>
            <w:tcMar>
              <w:left w:w="43" w:type="dxa"/>
              <w:right w:w="43" w:type="dxa"/>
            </w:tcMar>
            <w:vAlign w:val="bottom"/>
          </w:tcPr>
          <w:p w14:paraId="21DA3377" w14:textId="44A33BD4" w:rsidR="00637DBA" w:rsidRPr="00637DBA" w:rsidRDefault="00637DBA" w:rsidP="00637DBA">
            <w:pPr>
              <w:rPr>
                <w:rFonts w:ascii="Arial Narrow" w:hAnsi="Arial Narrow" w:cs="Calibri"/>
                <w:color w:val="000000"/>
                <w:sz w:val="20"/>
                <w:szCs w:val="20"/>
                <w:lang w:val="en-GB" w:eastAsia="en-GB"/>
              </w:rPr>
            </w:pPr>
            <w:proofErr w:type="spellStart"/>
            <w:r w:rsidRPr="00637DBA">
              <w:rPr>
                <w:rFonts w:ascii="Arial Narrow" w:hAnsi="Arial Narrow" w:cs="Calibri"/>
                <w:color w:val="000000"/>
                <w:sz w:val="20"/>
                <w:szCs w:val="20"/>
                <w:lang w:val="en-GB" w:eastAsia="en-GB"/>
              </w:rPr>
              <w:t>Faturimi</w:t>
            </w:r>
            <w:proofErr w:type="spellEnd"/>
            <w:r w:rsidRPr="00637DBA">
              <w:rPr>
                <w:rFonts w:ascii="Arial Narrow" w:hAnsi="Arial Narrow" w:cs="Calibri"/>
                <w:color w:val="000000"/>
                <w:sz w:val="20"/>
                <w:szCs w:val="20"/>
                <w:lang w:val="en-GB" w:eastAsia="en-GB"/>
              </w:rPr>
              <w:t xml:space="preserve"> i </w:t>
            </w:r>
            <w:proofErr w:type="spellStart"/>
            <w:r w:rsidRPr="00637DBA">
              <w:rPr>
                <w:rFonts w:ascii="Arial Narrow" w:hAnsi="Arial Narrow" w:cs="Calibri"/>
                <w:color w:val="000000"/>
                <w:sz w:val="20"/>
                <w:szCs w:val="20"/>
                <w:lang w:val="en-GB" w:eastAsia="en-GB"/>
              </w:rPr>
              <w:t>entiteteve</w:t>
            </w:r>
            <w:proofErr w:type="spellEnd"/>
            <w:r w:rsidRPr="00637DBA">
              <w:rPr>
                <w:rFonts w:ascii="Arial Narrow" w:hAnsi="Arial Narrow" w:cs="Calibri"/>
                <w:color w:val="000000"/>
                <w:sz w:val="20"/>
                <w:szCs w:val="20"/>
                <w:lang w:val="en-GB" w:eastAsia="en-GB"/>
              </w:rPr>
              <w:t xml:space="preserve"> </w:t>
            </w:r>
            <w:proofErr w:type="spellStart"/>
            <w:r w:rsidRPr="00637DBA">
              <w:rPr>
                <w:rFonts w:ascii="Arial Narrow" w:hAnsi="Arial Narrow" w:cs="Calibri"/>
                <w:color w:val="000000"/>
                <w:sz w:val="20"/>
                <w:szCs w:val="20"/>
                <w:lang w:val="en-GB" w:eastAsia="en-GB"/>
              </w:rPr>
              <w:t>juridike</w:t>
            </w:r>
            <w:proofErr w:type="spellEnd"/>
          </w:p>
        </w:tc>
        <w:tc>
          <w:tcPr>
            <w:tcW w:w="394" w:type="pct"/>
            <w:shd w:val="clear" w:color="auto" w:fill="auto"/>
            <w:noWrap/>
            <w:tcMar>
              <w:left w:w="43" w:type="dxa"/>
              <w:right w:w="43" w:type="dxa"/>
            </w:tcMar>
            <w:hideMark/>
          </w:tcPr>
          <w:p w14:paraId="4AF5109B"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757</w:t>
            </w:r>
          </w:p>
        </w:tc>
        <w:tc>
          <w:tcPr>
            <w:tcW w:w="393" w:type="pct"/>
            <w:shd w:val="clear" w:color="auto" w:fill="auto"/>
            <w:noWrap/>
            <w:tcMar>
              <w:left w:w="43" w:type="dxa"/>
              <w:right w:w="43" w:type="dxa"/>
            </w:tcMar>
            <w:hideMark/>
          </w:tcPr>
          <w:p w14:paraId="368AE2E0"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851</w:t>
            </w:r>
          </w:p>
        </w:tc>
        <w:tc>
          <w:tcPr>
            <w:tcW w:w="392" w:type="pct"/>
            <w:shd w:val="clear" w:color="auto" w:fill="auto"/>
            <w:noWrap/>
            <w:tcMar>
              <w:left w:w="43" w:type="dxa"/>
              <w:right w:w="43" w:type="dxa"/>
            </w:tcMar>
            <w:hideMark/>
          </w:tcPr>
          <w:p w14:paraId="092E79AE"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831</w:t>
            </w:r>
          </w:p>
        </w:tc>
        <w:tc>
          <w:tcPr>
            <w:tcW w:w="394" w:type="pct"/>
            <w:shd w:val="clear" w:color="auto" w:fill="auto"/>
            <w:noWrap/>
            <w:tcMar>
              <w:left w:w="43" w:type="dxa"/>
              <w:right w:w="43" w:type="dxa"/>
            </w:tcMar>
            <w:hideMark/>
          </w:tcPr>
          <w:p w14:paraId="56FEB491"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811</w:t>
            </w:r>
          </w:p>
        </w:tc>
        <w:tc>
          <w:tcPr>
            <w:tcW w:w="404" w:type="pct"/>
            <w:shd w:val="clear" w:color="auto" w:fill="auto"/>
            <w:noWrap/>
            <w:tcMar>
              <w:left w:w="43" w:type="dxa"/>
              <w:right w:w="43" w:type="dxa"/>
            </w:tcMar>
            <w:hideMark/>
          </w:tcPr>
          <w:p w14:paraId="04620CE6"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804</w:t>
            </w:r>
          </w:p>
        </w:tc>
        <w:tc>
          <w:tcPr>
            <w:tcW w:w="420" w:type="pct"/>
            <w:shd w:val="clear" w:color="auto" w:fill="auto"/>
            <w:noWrap/>
            <w:tcMar>
              <w:left w:w="43" w:type="dxa"/>
              <w:right w:w="43" w:type="dxa"/>
            </w:tcMar>
            <w:hideMark/>
          </w:tcPr>
          <w:p w14:paraId="40958E73"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954</w:t>
            </w:r>
          </w:p>
        </w:tc>
        <w:tc>
          <w:tcPr>
            <w:tcW w:w="397" w:type="pct"/>
            <w:shd w:val="clear" w:color="auto" w:fill="auto"/>
            <w:noWrap/>
            <w:tcMar>
              <w:left w:w="43" w:type="dxa"/>
              <w:right w:w="43" w:type="dxa"/>
            </w:tcMar>
            <w:hideMark/>
          </w:tcPr>
          <w:p w14:paraId="4486A2C6"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1,000</w:t>
            </w:r>
          </w:p>
        </w:tc>
        <w:tc>
          <w:tcPr>
            <w:tcW w:w="397" w:type="pct"/>
            <w:shd w:val="clear" w:color="auto" w:fill="auto"/>
            <w:noWrap/>
            <w:tcMar>
              <w:left w:w="43" w:type="dxa"/>
              <w:right w:w="43" w:type="dxa"/>
            </w:tcMar>
            <w:hideMark/>
          </w:tcPr>
          <w:p w14:paraId="7C1F6D54"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993</w:t>
            </w:r>
          </w:p>
        </w:tc>
        <w:tc>
          <w:tcPr>
            <w:tcW w:w="397" w:type="pct"/>
            <w:shd w:val="clear" w:color="auto" w:fill="auto"/>
            <w:noWrap/>
            <w:tcMar>
              <w:left w:w="43" w:type="dxa"/>
              <w:right w:w="43" w:type="dxa"/>
            </w:tcMar>
            <w:hideMark/>
          </w:tcPr>
          <w:p w14:paraId="5CB222D4"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990</w:t>
            </w:r>
          </w:p>
        </w:tc>
        <w:tc>
          <w:tcPr>
            <w:tcW w:w="393" w:type="pct"/>
            <w:shd w:val="clear" w:color="auto" w:fill="auto"/>
            <w:noWrap/>
            <w:tcMar>
              <w:left w:w="43" w:type="dxa"/>
              <w:right w:w="43" w:type="dxa"/>
            </w:tcMar>
            <w:hideMark/>
          </w:tcPr>
          <w:p w14:paraId="38EF0DD6"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985</w:t>
            </w:r>
          </w:p>
        </w:tc>
      </w:tr>
      <w:tr w:rsidR="00637DBA" w:rsidRPr="007D1EDC" w14:paraId="5EFF87B9" w14:textId="77777777" w:rsidTr="00D03949">
        <w:trPr>
          <w:trHeight w:val="200"/>
        </w:trPr>
        <w:tc>
          <w:tcPr>
            <w:tcW w:w="1019" w:type="pct"/>
            <w:tcMar>
              <w:left w:w="43" w:type="dxa"/>
              <w:right w:w="43" w:type="dxa"/>
            </w:tcMar>
            <w:vAlign w:val="bottom"/>
          </w:tcPr>
          <w:p w14:paraId="06987136" w14:textId="07DCA1B9" w:rsidR="00637DBA" w:rsidRPr="00637DBA" w:rsidRDefault="00637DBA" w:rsidP="00637DBA">
            <w:pPr>
              <w:rPr>
                <w:rFonts w:ascii="Arial Narrow" w:hAnsi="Arial Narrow" w:cs="Calibri"/>
                <w:color w:val="000000"/>
                <w:sz w:val="20"/>
                <w:szCs w:val="20"/>
                <w:lang w:val="en-GB" w:eastAsia="en-GB"/>
              </w:rPr>
            </w:pPr>
            <w:proofErr w:type="spellStart"/>
            <w:r w:rsidRPr="00637DBA">
              <w:rPr>
                <w:rFonts w:ascii="Arial Narrow" w:eastAsia="Aptos" w:hAnsi="Arial Narrow" w:cs="Calibri"/>
                <w:color w:val="000000"/>
                <w:kern w:val="2"/>
                <w:sz w:val="20"/>
                <w:szCs w:val="20"/>
                <w:lang w:val="en-GB"/>
                <w14:ligatures w14:val="standardContextual"/>
              </w:rPr>
              <w:t>Pragu</w:t>
            </w:r>
            <w:proofErr w:type="spellEnd"/>
            <w:r w:rsidRPr="00637DBA">
              <w:rPr>
                <w:rFonts w:ascii="Arial Narrow" w:eastAsia="Aptos" w:hAnsi="Arial Narrow" w:cs="Calibri"/>
                <w:color w:val="000000"/>
                <w:kern w:val="2"/>
                <w:sz w:val="20"/>
                <w:szCs w:val="20"/>
                <w:lang w:val="en-GB"/>
                <w14:ligatures w14:val="standardContextual"/>
              </w:rPr>
              <w:t xml:space="preserve"> i </w:t>
            </w:r>
            <w:proofErr w:type="spellStart"/>
            <w:r w:rsidRPr="00637DBA">
              <w:rPr>
                <w:rFonts w:ascii="Arial Narrow" w:eastAsia="Aptos" w:hAnsi="Arial Narrow" w:cs="Calibri"/>
                <w:color w:val="000000"/>
                <w:kern w:val="2"/>
                <w:sz w:val="20"/>
                <w:szCs w:val="20"/>
                <w:lang w:val="en-GB"/>
                <w14:ligatures w14:val="standardContextual"/>
              </w:rPr>
              <w:t>përballueshmërisë</w:t>
            </w:r>
            <w:proofErr w:type="spellEnd"/>
          </w:p>
        </w:tc>
        <w:tc>
          <w:tcPr>
            <w:tcW w:w="394" w:type="pct"/>
            <w:shd w:val="clear" w:color="auto" w:fill="auto"/>
            <w:noWrap/>
            <w:tcMar>
              <w:left w:w="43" w:type="dxa"/>
              <w:right w:w="43" w:type="dxa"/>
            </w:tcMar>
            <w:hideMark/>
          </w:tcPr>
          <w:p w14:paraId="213BE8A7"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1,983</w:t>
            </w:r>
          </w:p>
        </w:tc>
        <w:tc>
          <w:tcPr>
            <w:tcW w:w="393" w:type="pct"/>
            <w:shd w:val="clear" w:color="auto" w:fill="auto"/>
            <w:noWrap/>
            <w:tcMar>
              <w:left w:w="43" w:type="dxa"/>
              <w:right w:w="43" w:type="dxa"/>
            </w:tcMar>
            <w:hideMark/>
          </w:tcPr>
          <w:p w14:paraId="125925D0"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2,041</w:t>
            </w:r>
          </w:p>
        </w:tc>
        <w:tc>
          <w:tcPr>
            <w:tcW w:w="392" w:type="pct"/>
            <w:shd w:val="clear" w:color="auto" w:fill="auto"/>
            <w:noWrap/>
            <w:tcMar>
              <w:left w:w="43" w:type="dxa"/>
              <w:right w:w="43" w:type="dxa"/>
            </w:tcMar>
            <w:hideMark/>
          </w:tcPr>
          <w:p w14:paraId="010C598F"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2,100</w:t>
            </w:r>
          </w:p>
        </w:tc>
        <w:tc>
          <w:tcPr>
            <w:tcW w:w="394" w:type="pct"/>
            <w:shd w:val="clear" w:color="auto" w:fill="auto"/>
            <w:noWrap/>
            <w:tcMar>
              <w:left w:w="43" w:type="dxa"/>
              <w:right w:w="43" w:type="dxa"/>
            </w:tcMar>
            <w:hideMark/>
          </w:tcPr>
          <w:p w14:paraId="51D470E1"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2,162</w:t>
            </w:r>
          </w:p>
        </w:tc>
        <w:tc>
          <w:tcPr>
            <w:tcW w:w="404" w:type="pct"/>
            <w:shd w:val="clear" w:color="auto" w:fill="auto"/>
            <w:noWrap/>
            <w:tcMar>
              <w:left w:w="43" w:type="dxa"/>
              <w:right w:w="43" w:type="dxa"/>
            </w:tcMar>
            <w:hideMark/>
          </w:tcPr>
          <w:p w14:paraId="5DFB4ED7"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2,225</w:t>
            </w:r>
          </w:p>
        </w:tc>
        <w:tc>
          <w:tcPr>
            <w:tcW w:w="420" w:type="pct"/>
            <w:shd w:val="clear" w:color="auto" w:fill="auto"/>
            <w:noWrap/>
            <w:tcMar>
              <w:left w:w="43" w:type="dxa"/>
              <w:right w:w="43" w:type="dxa"/>
            </w:tcMar>
            <w:hideMark/>
          </w:tcPr>
          <w:p w14:paraId="0D0C7104"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2,291</w:t>
            </w:r>
          </w:p>
        </w:tc>
        <w:tc>
          <w:tcPr>
            <w:tcW w:w="397" w:type="pct"/>
            <w:shd w:val="clear" w:color="auto" w:fill="auto"/>
            <w:noWrap/>
            <w:tcMar>
              <w:left w:w="43" w:type="dxa"/>
              <w:right w:w="43" w:type="dxa"/>
            </w:tcMar>
            <w:hideMark/>
          </w:tcPr>
          <w:p w14:paraId="315850F0"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2,358</w:t>
            </w:r>
          </w:p>
        </w:tc>
        <w:tc>
          <w:tcPr>
            <w:tcW w:w="397" w:type="pct"/>
            <w:shd w:val="clear" w:color="auto" w:fill="auto"/>
            <w:noWrap/>
            <w:tcMar>
              <w:left w:w="43" w:type="dxa"/>
              <w:right w:w="43" w:type="dxa"/>
            </w:tcMar>
            <w:hideMark/>
          </w:tcPr>
          <w:p w14:paraId="2425E0A7"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2,428</w:t>
            </w:r>
          </w:p>
        </w:tc>
        <w:tc>
          <w:tcPr>
            <w:tcW w:w="397" w:type="pct"/>
            <w:shd w:val="clear" w:color="auto" w:fill="auto"/>
            <w:noWrap/>
            <w:tcMar>
              <w:left w:w="43" w:type="dxa"/>
              <w:right w:w="43" w:type="dxa"/>
            </w:tcMar>
            <w:hideMark/>
          </w:tcPr>
          <w:p w14:paraId="5C283BDC"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2,500</w:t>
            </w:r>
          </w:p>
        </w:tc>
        <w:tc>
          <w:tcPr>
            <w:tcW w:w="393" w:type="pct"/>
            <w:shd w:val="clear" w:color="auto" w:fill="auto"/>
            <w:noWrap/>
            <w:tcMar>
              <w:left w:w="43" w:type="dxa"/>
              <w:right w:w="43" w:type="dxa"/>
            </w:tcMar>
            <w:hideMark/>
          </w:tcPr>
          <w:p w14:paraId="0E8D54EC" w14:textId="77777777" w:rsidR="00637DBA" w:rsidRPr="007D1EDC" w:rsidRDefault="00637DBA" w:rsidP="00637DBA">
            <w:pPr>
              <w:jc w:val="right"/>
              <w:rPr>
                <w:rFonts w:ascii="Arial Narrow" w:hAnsi="Arial Narrow" w:cs="Calibri"/>
                <w:color w:val="000000"/>
                <w:sz w:val="20"/>
                <w:szCs w:val="20"/>
                <w:lang w:val="en-GB" w:eastAsia="en-GB"/>
              </w:rPr>
            </w:pPr>
            <w:r w:rsidRPr="007D1EDC">
              <w:rPr>
                <w:rFonts w:ascii="Arial Narrow" w:hAnsi="Arial Narrow" w:cs="Calibri"/>
                <w:color w:val="000000"/>
                <w:sz w:val="20"/>
                <w:szCs w:val="20"/>
                <w:lang w:val="en-GB" w:eastAsia="en-GB"/>
              </w:rPr>
              <w:t>2,574</w:t>
            </w:r>
          </w:p>
        </w:tc>
      </w:tr>
    </w:tbl>
    <w:p w14:paraId="0C06A192" w14:textId="77777777" w:rsidR="007D1EDC" w:rsidRPr="007D1EDC" w:rsidRDefault="007D1EDC" w:rsidP="007D1EDC">
      <w:pPr>
        <w:rPr>
          <w:rFonts w:ascii="Arial Narrow" w:eastAsia="Aptos" w:hAnsi="Arial Narrow"/>
          <w:kern w:val="2"/>
          <w:sz w:val="22"/>
          <w:szCs w:val="22"/>
          <w:lang w:val="en-GB"/>
          <w14:ligatures w14:val="standardContextual"/>
        </w:rPr>
      </w:pPr>
    </w:p>
    <w:p w14:paraId="44B0ACCA" w14:textId="77777777" w:rsidR="00637DBA" w:rsidRPr="00637DBA" w:rsidRDefault="00637DBA" w:rsidP="00637DBA">
      <w:pPr>
        <w:rPr>
          <w:rFonts w:ascii="Arial Narrow" w:eastAsia="Aptos" w:hAnsi="Arial Narrow"/>
          <w:kern w:val="2"/>
          <w:sz w:val="22"/>
          <w:szCs w:val="22"/>
          <w:lang w:val="en-GB"/>
          <w14:ligatures w14:val="standardContextual"/>
        </w:rPr>
      </w:pPr>
      <w:proofErr w:type="spellStart"/>
      <w:r w:rsidRPr="00637DBA">
        <w:rPr>
          <w:rFonts w:ascii="Arial Narrow" w:eastAsia="Aptos" w:hAnsi="Arial Narrow"/>
          <w:kern w:val="2"/>
          <w:sz w:val="22"/>
          <w:szCs w:val="22"/>
          <w:lang w:val="en-GB"/>
          <w14:ligatures w14:val="standardContextual"/>
        </w:rPr>
        <w:lastRenderedPageBreak/>
        <w:t>Kostot</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rajonale</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të</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trajtimit</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përcaktohen</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në</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bazë</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të</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mbeturinave</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të</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përziera</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të</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dërguara</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në</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deponi</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deri</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në</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vitin</w:t>
      </w:r>
      <w:proofErr w:type="spellEnd"/>
      <w:r w:rsidRPr="00637DBA">
        <w:rPr>
          <w:rFonts w:ascii="Arial Narrow" w:eastAsia="Aptos" w:hAnsi="Arial Narrow"/>
          <w:kern w:val="2"/>
          <w:sz w:val="22"/>
          <w:szCs w:val="22"/>
          <w:lang w:val="en-GB"/>
          <w14:ligatures w14:val="standardContextual"/>
        </w:rPr>
        <w:t xml:space="preserve"> 2031, </w:t>
      </w:r>
      <w:proofErr w:type="spellStart"/>
      <w:r w:rsidRPr="00637DBA">
        <w:rPr>
          <w:rFonts w:ascii="Arial Narrow" w:eastAsia="Aptos" w:hAnsi="Arial Narrow"/>
          <w:kern w:val="2"/>
          <w:sz w:val="22"/>
          <w:szCs w:val="22"/>
          <w:lang w:val="en-GB"/>
          <w14:ligatures w14:val="standardContextual"/>
        </w:rPr>
        <w:t>trajtimit</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në</w:t>
      </w:r>
      <w:proofErr w:type="spellEnd"/>
      <w:r w:rsidRPr="00637DBA">
        <w:rPr>
          <w:rFonts w:ascii="Arial Narrow" w:eastAsia="Aptos" w:hAnsi="Arial Narrow"/>
          <w:kern w:val="2"/>
          <w:sz w:val="22"/>
          <w:szCs w:val="22"/>
          <w:lang w:val="en-GB"/>
          <w14:ligatures w14:val="standardContextual"/>
        </w:rPr>
        <w:t xml:space="preserve"> TMB </w:t>
      </w:r>
      <w:proofErr w:type="spellStart"/>
      <w:r w:rsidRPr="00637DBA">
        <w:rPr>
          <w:rFonts w:ascii="Arial Narrow" w:eastAsia="Aptos" w:hAnsi="Arial Narrow"/>
          <w:kern w:val="2"/>
          <w:sz w:val="22"/>
          <w:szCs w:val="22"/>
          <w:lang w:val="en-GB"/>
          <w14:ligatures w14:val="standardContextual"/>
        </w:rPr>
        <w:t>dhe</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në</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kontejnerë</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të</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specializurar</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prej</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vitit</w:t>
      </w:r>
      <w:proofErr w:type="spellEnd"/>
      <w:r w:rsidRPr="00637DBA">
        <w:rPr>
          <w:rFonts w:ascii="Arial Narrow" w:eastAsia="Aptos" w:hAnsi="Arial Narrow"/>
          <w:kern w:val="2"/>
          <w:sz w:val="22"/>
          <w:szCs w:val="22"/>
          <w:lang w:val="en-GB"/>
          <w14:ligatures w14:val="standardContextual"/>
        </w:rPr>
        <w:t xml:space="preserve"> 2032, </w:t>
      </w:r>
      <w:proofErr w:type="spellStart"/>
      <w:r w:rsidRPr="00637DBA">
        <w:rPr>
          <w:rFonts w:ascii="Arial Narrow" w:eastAsia="Aptos" w:hAnsi="Arial Narrow"/>
          <w:kern w:val="2"/>
          <w:sz w:val="22"/>
          <w:szCs w:val="22"/>
          <w:lang w:val="en-GB"/>
          <w14:ligatures w14:val="standardContextual"/>
        </w:rPr>
        <w:t>si</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dhe</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tarifat</w:t>
      </w:r>
      <w:proofErr w:type="spellEnd"/>
      <w:r w:rsidRPr="00637DBA">
        <w:rPr>
          <w:rFonts w:ascii="Arial Narrow" w:eastAsia="Aptos" w:hAnsi="Arial Narrow"/>
          <w:kern w:val="2"/>
          <w:sz w:val="22"/>
          <w:szCs w:val="22"/>
          <w:lang w:val="en-GB"/>
          <w14:ligatures w14:val="standardContextual"/>
        </w:rPr>
        <w:t xml:space="preserve"> e </w:t>
      </w:r>
      <w:proofErr w:type="spellStart"/>
      <w:r w:rsidRPr="00637DBA">
        <w:rPr>
          <w:rFonts w:ascii="Arial Narrow" w:eastAsia="Aptos" w:hAnsi="Arial Narrow"/>
          <w:kern w:val="2"/>
          <w:sz w:val="22"/>
          <w:szCs w:val="22"/>
          <w:lang w:val="en-GB"/>
          <w14:ligatures w14:val="standardContextual"/>
        </w:rPr>
        <w:t>portës</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siç</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përcaktohet</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më</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sipër</w:t>
      </w:r>
      <w:proofErr w:type="spellEnd"/>
      <w:r w:rsidRPr="00637DBA">
        <w:rPr>
          <w:rFonts w:ascii="Arial Narrow" w:eastAsia="Aptos" w:hAnsi="Arial Narrow"/>
          <w:kern w:val="2"/>
          <w:sz w:val="22"/>
          <w:szCs w:val="22"/>
          <w:lang w:val="en-GB"/>
          <w14:ligatures w14:val="standardContextual"/>
        </w:rPr>
        <w:t>.</w:t>
      </w:r>
    </w:p>
    <w:p w14:paraId="48E18DBC" w14:textId="77777777" w:rsidR="00637DBA" w:rsidRPr="00637DBA" w:rsidRDefault="00637DBA" w:rsidP="00637DBA">
      <w:pPr>
        <w:rPr>
          <w:rFonts w:ascii="Arial Narrow" w:eastAsia="Aptos" w:hAnsi="Arial Narrow"/>
          <w:kern w:val="2"/>
          <w:sz w:val="22"/>
          <w:szCs w:val="22"/>
          <w:lang w:val="en-GB"/>
          <w14:ligatures w14:val="standardContextual"/>
        </w:rPr>
      </w:pPr>
    </w:p>
    <w:p w14:paraId="100742A9" w14:textId="20CBCBF2" w:rsidR="00637DBA" w:rsidRPr="00637DBA" w:rsidRDefault="00637DBA" w:rsidP="00637DBA">
      <w:pPr>
        <w:rPr>
          <w:rFonts w:ascii="Arial Narrow" w:eastAsia="Aptos" w:hAnsi="Arial Narrow"/>
          <w:kern w:val="2"/>
          <w:sz w:val="22"/>
          <w:szCs w:val="22"/>
          <w:lang w:val="en-GB"/>
          <w14:ligatures w14:val="standardContextual"/>
        </w:rPr>
      </w:pPr>
      <w:proofErr w:type="spellStart"/>
      <w:r w:rsidRPr="00637DBA">
        <w:rPr>
          <w:rFonts w:ascii="Arial Narrow" w:eastAsia="Aptos" w:hAnsi="Arial Narrow"/>
          <w:kern w:val="2"/>
          <w:sz w:val="22"/>
          <w:szCs w:val="22"/>
          <w:lang w:val="en-GB"/>
          <w14:ligatures w14:val="standardContextual"/>
        </w:rPr>
        <w:t>Figura</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më</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poshtë</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paraqet</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nivelin</w:t>
      </w:r>
      <w:proofErr w:type="spellEnd"/>
      <w:r w:rsidRPr="00637DBA">
        <w:rPr>
          <w:rFonts w:ascii="Arial Narrow" w:eastAsia="Aptos" w:hAnsi="Arial Narrow"/>
          <w:kern w:val="2"/>
          <w:sz w:val="22"/>
          <w:szCs w:val="22"/>
          <w:lang w:val="en-GB"/>
          <w14:ligatures w14:val="standardContextual"/>
        </w:rPr>
        <w:t xml:space="preserve"> e </w:t>
      </w:r>
      <w:proofErr w:type="spellStart"/>
      <w:r w:rsidRPr="00637DBA">
        <w:rPr>
          <w:rFonts w:ascii="Arial Narrow" w:eastAsia="Aptos" w:hAnsi="Arial Narrow"/>
          <w:kern w:val="2"/>
          <w:sz w:val="22"/>
          <w:szCs w:val="22"/>
          <w:lang w:val="en-GB"/>
          <w14:ligatures w14:val="standardContextual"/>
        </w:rPr>
        <w:t>tarifës</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familjare</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në</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lidhje</w:t>
      </w:r>
      <w:proofErr w:type="spellEnd"/>
      <w:r w:rsidRPr="00637DBA">
        <w:rPr>
          <w:rFonts w:ascii="Arial Narrow" w:eastAsia="Aptos" w:hAnsi="Arial Narrow"/>
          <w:kern w:val="2"/>
          <w:sz w:val="22"/>
          <w:szCs w:val="22"/>
          <w:lang w:val="en-GB"/>
          <w14:ligatures w14:val="standardContextual"/>
        </w:rPr>
        <w:t xml:space="preserve"> me </w:t>
      </w:r>
      <w:proofErr w:type="spellStart"/>
      <w:r w:rsidRPr="00637DBA">
        <w:rPr>
          <w:rFonts w:ascii="Arial Narrow" w:eastAsia="Aptos" w:hAnsi="Arial Narrow"/>
          <w:kern w:val="2"/>
          <w:sz w:val="22"/>
          <w:szCs w:val="22"/>
          <w:lang w:val="en-GB"/>
          <w14:ligatures w14:val="standardContextual"/>
        </w:rPr>
        <w:t>pragun</w:t>
      </w:r>
      <w:proofErr w:type="spellEnd"/>
      <w:r w:rsidRPr="00637DBA">
        <w:rPr>
          <w:rFonts w:ascii="Arial Narrow" w:eastAsia="Aptos" w:hAnsi="Arial Narrow"/>
          <w:kern w:val="2"/>
          <w:sz w:val="22"/>
          <w:szCs w:val="22"/>
          <w:lang w:val="en-GB"/>
          <w14:ligatures w14:val="standardContextual"/>
        </w:rPr>
        <w:t xml:space="preserve"> e </w:t>
      </w:r>
      <w:proofErr w:type="spellStart"/>
      <w:r w:rsidRPr="00637DBA">
        <w:rPr>
          <w:rFonts w:ascii="Arial Narrow" w:eastAsia="Aptos" w:hAnsi="Arial Narrow"/>
          <w:kern w:val="2"/>
          <w:sz w:val="22"/>
          <w:szCs w:val="22"/>
          <w:lang w:val="en-GB"/>
          <w14:ligatures w14:val="standardContextual"/>
        </w:rPr>
        <w:t>përballueshmërisë</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të</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përcaktuar</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si</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më</w:t>
      </w:r>
      <w:proofErr w:type="spellEnd"/>
      <w:r w:rsidRPr="00637DBA">
        <w:rPr>
          <w:rFonts w:ascii="Arial Narrow" w:eastAsia="Aptos" w:hAnsi="Arial Narrow"/>
          <w:kern w:val="2"/>
          <w:sz w:val="22"/>
          <w:szCs w:val="22"/>
          <w:lang w:val="en-GB"/>
          <w14:ligatures w14:val="standardContextual"/>
        </w:rPr>
        <w:t xml:space="preserve"> </w:t>
      </w:r>
      <w:proofErr w:type="spellStart"/>
      <w:r w:rsidRPr="00637DBA">
        <w:rPr>
          <w:rFonts w:ascii="Arial Narrow" w:eastAsia="Aptos" w:hAnsi="Arial Narrow"/>
          <w:kern w:val="2"/>
          <w:sz w:val="22"/>
          <w:szCs w:val="22"/>
          <w:lang w:val="en-GB"/>
          <w14:ligatures w14:val="standardContextual"/>
        </w:rPr>
        <w:t>sipër</w:t>
      </w:r>
      <w:proofErr w:type="spellEnd"/>
      <w:r>
        <w:rPr>
          <w:rFonts w:ascii="Arial Narrow" w:eastAsia="Aptos" w:hAnsi="Arial Narrow"/>
          <w:kern w:val="2"/>
          <w:sz w:val="22"/>
          <w:szCs w:val="22"/>
          <w:lang w:val="en-GB"/>
          <w14:ligatures w14:val="standardContextual"/>
        </w:rPr>
        <w:t>.</w:t>
      </w:r>
    </w:p>
    <w:p w14:paraId="3A59B4D7" w14:textId="77777777" w:rsidR="007D1EDC" w:rsidRPr="007D1EDC" w:rsidRDefault="007D1EDC" w:rsidP="007D1EDC">
      <w:pPr>
        <w:rPr>
          <w:rFonts w:ascii="Arial Narrow" w:eastAsia="Aptos" w:hAnsi="Arial Narrow"/>
          <w:kern w:val="2"/>
          <w:sz w:val="22"/>
          <w:szCs w:val="22"/>
          <w:lang w:val="en-GB"/>
          <w14:ligatures w14:val="standardContextual"/>
        </w:rPr>
      </w:pPr>
    </w:p>
    <w:p w14:paraId="1E7B5EB8" w14:textId="67F39458" w:rsidR="007D1EDC" w:rsidRPr="007D1EDC" w:rsidRDefault="00637DBA" w:rsidP="007D1EDC">
      <w:pPr>
        <w:spacing w:after="160" w:line="259" w:lineRule="auto"/>
        <w:jc w:val="center"/>
        <w:rPr>
          <w:rFonts w:ascii="Aptos" w:eastAsia="Aptos" w:hAnsi="Aptos"/>
          <w:kern w:val="2"/>
          <w:sz w:val="22"/>
          <w:szCs w:val="22"/>
          <w:lang w:val="en-GB"/>
          <w14:ligatures w14:val="standardContextual"/>
        </w:rPr>
      </w:pPr>
      <w:r>
        <w:rPr>
          <w:noProof/>
        </w:rPr>
        <w:drawing>
          <wp:inline distT="0" distB="0" distL="0" distR="0" wp14:anchorId="068EEB1C" wp14:editId="6E88A84E">
            <wp:extent cx="4751070" cy="2663190"/>
            <wp:effectExtent l="0" t="0" r="11430" b="3810"/>
            <wp:docPr id="1542740753" name="Chart 1">
              <a:extLst xmlns:a="http://schemas.openxmlformats.org/drawingml/2006/main">
                <a:ext uri="{FF2B5EF4-FFF2-40B4-BE49-F238E27FC236}">
                  <a16:creationId xmlns:a16="http://schemas.microsoft.com/office/drawing/2014/main" id="{33B6DC91-CA97-433E-8C48-6C5C5DD0E4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1B2197C7" w14:textId="261074AC" w:rsidR="007D1EDC" w:rsidRDefault="007D1EDC" w:rsidP="00E4478C">
      <w:pPr>
        <w:pStyle w:val="Figure"/>
        <w:rPr>
          <w:rFonts w:eastAsia="Calibri" w:cs="Calibri"/>
          <w:sz w:val="20"/>
          <w:szCs w:val="20"/>
        </w:rPr>
      </w:pPr>
      <w:bookmarkStart w:id="687" w:name="_Toc193365360"/>
      <w:bookmarkStart w:id="688" w:name="_Toc197472344"/>
      <w:r w:rsidRPr="007D1EDC">
        <w:rPr>
          <w:rFonts w:eastAsia="Calibri" w:cs="Calibri"/>
          <w:sz w:val="20"/>
          <w:szCs w:val="20"/>
        </w:rPr>
        <w:t xml:space="preserve">Figura </w:t>
      </w:r>
      <w:r w:rsidRPr="007D1EDC">
        <w:rPr>
          <w:rFonts w:eastAsia="Calibri" w:cs="Calibri"/>
          <w:sz w:val="20"/>
          <w:szCs w:val="20"/>
        </w:rPr>
        <w:fldChar w:fldCharType="begin"/>
      </w:r>
      <w:r w:rsidRPr="007D1EDC">
        <w:rPr>
          <w:rFonts w:eastAsia="Calibri" w:cs="Calibri"/>
          <w:sz w:val="20"/>
          <w:szCs w:val="20"/>
        </w:rPr>
        <w:instrText xml:space="preserve"> SEQ Figure \* ARABIC </w:instrText>
      </w:r>
      <w:r w:rsidRPr="007D1EDC">
        <w:rPr>
          <w:rFonts w:eastAsia="Calibri" w:cs="Calibri"/>
          <w:sz w:val="20"/>
          <w:szCs w:val="20"/>
        </w:rPr>
        <w:fldChar w:fldCharType="separate"/>
      </w:r>
      <w:r w:rsidR="00C97DF3">
        <w:rPr>
          <w:rFonts w:eastAsia="Calibri" w:cs="Calibri"/>
          <w:noProof/>
          <w:sz w:val="20"/>
          <w:szCs w:val="20"/>
        </w:rPr>
        <w:t xml:space="preserve">43. </w:t>
      </w:r>
      <w:r w:rsidRPr="007D1EDC">
        <w:rPr>
          <w:rFonts w:eastAsia="Calibri" w:cs="Calibri"/>
          <w:sz w:val="20"/>
          <w:szCs w:val="20"/>
        </w:rPr>
        <w:fldChar w:fldCharType="end"/>
      </w:r>
      <w:bookmarkEnd w:id="687"/>
      <w:r w:rsidR="00E4478C" w:rsidRPr="00E4478C">
        <w:rPr>
          <w:rFonts w:eastAsia="Calibri" w:cs="Calibri"/>
          <w:sz w:val="20"/>
          <w:szCs w:val="20"/>
        </w:rPr>
        <w:t xml:space="preserve"> </w:t>
      </w:r>
      <w:r w:rsidR="00E4478C" w:rsidRPr="007D1EDC">
        <w:rPr>
          <w:rFonts w:eastAsia="Calibri" w:cs="Calibri"/>
          <w:sz w:val="20"/>
          <w:szCs w:val="20"/>
        </w:rPr>
        <w:t xml:space="preserve">Të </w:t>
      </w:r>
      <w:r w:rsidR="00E4478C">
        <w:rPr>
          <w:rFonts w:eastAsia="Calibri" w:cs="Calibri"/>
          <w:sz w:val="20"/>
          <w:szCs w:val="20"/>
        </w:rPr>
        <w:t xml:space="preserve">hyrat </w:t>
      </w:r>
      <w:r w:rsidR="00E4478C" w:rsidRPr="007D1EDC">
        <w:rPr>
          <w:rFonts w:eastAsia="Calibri" w:cs="Calibri"/>
          <w:sz w:val="20"/>
          <w:szCs w:val="20"/>
        </w:rPr>
        <w:t xml:space="preserve">e </w:t>
      </w:r>
      <w:r w:rsidR="00E4478C">
        <w:rPr>
          <w:rFonts w:eastAsia="Calibri" w:cs="Calibri"/>
          <w:sz w:val="20"/>
          <w:szCs w:val="20"/>
        </w:rPr>
        <w:t xml:space="preserve">Pejës të </w:t>
      </w:r>
      <w:r w:rsidR="00E4478C" w:rsidRPr="007D1EDC">
        <w:rPr>
          <w:rFonts w:eastAsia="Calibri" w:cs="Calibri"/>
          <w:sz w:val="20"/>
          <w:szCs w:val="20"/>
        </w:rPr>
        <w:t xml:space="preserve">parashikuara nga tarifat </w:t>
      </w:r>
      <w:r w:rsidR="00E4478C">
        <w:rPr>
          <w:rFonts w:eastAsia="Calibri" w:cs="Calibri"/>
          <w:sz w:val="20"/>
          <w:szCs w:val="20"/>
        </w:rPr>
        <w:t>e amvisërisë</w:t>
      </w:r>
      <w:r w:rsidR="00E4478C" w:rsidRPr="007D1EDC">
        <w:rPr>
          <w:rFonts w:eastAsia="Calibri" w:cs="Calibri"/>
          <w:sz w:val="20"/>
          <w:szCs w:val="20"/>
        </w:rPr>
        <w:t xml:space="preserve"> në lidhje me përballueshmërinë</w:t>
      </w:r>
      <w:bookmarkEnd w:id="688"/>
    </w:p>
    <w:p w14:paraId="02104228" w14:textId="77777777" w:rsidR="00E4478C" w:rsidRPr="007D1EDC" w:rsidRDefault="00E4478C" w:rsidP="00E4478C">
      <w:pPr>
        <w:pStyle w:val="Figure"/>
        <w:rPr>
          <w:rFonts w:eastAsia="Aptos"/>
          <w:i/>
          <w:iCs/>
          <w:color w:val="0E2841"/>
          <w:kern w:val="2"/>
          <w:sz w:val="18"/>
          <w:szCs w:val="18"/>
          <w:lang w:val="en-GB"/>
          <w14:ligatures w14:val="standardContextual"/>
        </w:rPr>
      </w:pPr>
    </w:p>
    <w:p w14:paraId="72C87A8B" w14:textId="77777777" w:rsidR="007D1EDC" w:rsidRPr="007D1EDC" w:rsidRDefault="007D1EDC" w:rsidP="007D1EDC">
      <w:pPr>
        <w:rPr>
          <w:rFonts w:ascii="Arial Narrow" w:eastAsia="Aptos" w:hAnsi="Arial Narrow"/>
          <w:b/>
          <w:bCs/>
          <w:kern w:val="2"/>
          <w:sz w:val="22"/>
          <w:szCs w:val="22"/>
          <w:lang w:val="en-GB"/>
          <w14:ligatures w14:val="standardContextual"/>
        </w:rPr>
      </w:pPr>
      <w:proofErr w:type="spellStart"/>
      <w:r w:rsidRPr="007D1EDC">
        <w:rPr>
          <w:rFonts w:ascii="Arial Narrow" w:eastAsia="Aptos" w:hAnsi="Arial Narrow"/>
          <w:b/>
          <w:bCs/>
          <w:kern w:val="2"/>
          <w:sz w:val="22"/>
          <w:szCs w:val="22"/>
          <w:lang w:val="en-GB"/>
          <w14:ligatures w14:val="standardContextual"/>
        </w:rPr>
        <w:t>Komuna</w:t>
      </w:r>
      <w:proofErr w:type="spellEnd"/>
      <w:r w:rsidRPr="007D1EDC">
        <w:rPr>
          <w:rFonts w:ascii="Arial Narrow" w:eastAsia="Aptos" w:hAnsi="Arial Narrow"/>
          <w:b/>
          <w:bCs/>
          <w:kern w:val="2"/>
          <w:sz w:val="22"/>
          <w:szCs w:val="22"/>
          <w:lang w:val="en-GB"/>
          <w14:ligatures w14:val="standardContextual"/>
        </w:rPr>
        <w:t xml:space="preserve"> e </w:t>
      </w:r>
      <w:proofErr w:type="spellStart"/>
      <w:r w:rsidRPr="007D1EDC">
        <w:rPr>
          <w:rFonts w:ascii="Arial Narrow" w:eastAsia="Aptos" w:hAnsi="Arial Narrow"/>
          <w:b/>
          <w:bCs/>
          <w:kern w:val="2"/>
          <w:sz w:val="22"/>
          <w:szCs w:val="22"/>
          <w:lang w:val="en-GB"/>
          <w14:ligatures w14:val="standardContextual"/>
        </w:rPr>
        <w:t>Istogut</w:t>
      </w:r>
      <w:proofErr w:type="spellEnd"/>
    </w:p>
    <w:p w14:paraId="10120AC1" w14:textId="77777777" w:rsidR="007D1EDC" w:rsidRPr="007D1EDC" w:rsidRDefault="007D1EDC" w:rsidP="007D1EDC">
      <w:pPr>
        <w:rPr>
          <w:rFonts w:ascii="Arial Narrow" w:eastAsia="Aptos" w:hAnsi="Arial Narrow"/>
          <w:i/>
          <w:iCs/>
          <w:color w:val="0E2841"/>
          <w:kern w:val="2"/>
          <w:sz w:val="18"/>
          <w:szCs w:val="18"/>
          <w:lang w:val="en-GB"/>
          <w14:ligatures w14:val="standardContextual"/>
        </w:rPr>
      </w:pPr>
    </w:p>
    <w:p w14:paraId="1F334317" w14:textId="64BC6548" w:rsidR="007D1EDC" w:rsidRPr="007D1EDC" w:rsidRDefault="007D1EDC" w:rsidP="007D1EDC">
      <w:pPr>
        <w:suppressAutoHyphens/>
        <w:rPr>
          <w:rFonts w:ascii="Arial Narrow" w:eastAsia="Calibri" w:hAnsi="Arial Narrow" w:cs="Calibri"/>
          <w:color w:val="1F497D"/>
          <w:sz w:val="20"/>
          <w:szCs w:val="20"/>
        </w:rPr>
      </w:pPr>
      <w:bookmarkStart w:id="689" w:name="_Toc190966798"/>
      <w:bookmarkStart w:id="690" w:name="_Toc197472295"/>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110.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Llogaritja e tarifës, komuna e Istogut, mijë euro</w:t>
      </w:r>
      <w:bookmarkEnd w:id="689"/>
      <w:bookmarkEnd w:id="6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09"/>
        <w:gridCol w:w="710"/>
        <w:gridCol w:w="707"/>
        <w:gridCol w:w="710"/>
        <w:gridCol w:w="728"/>
        <w:gridCol w:w="757"/>
        <w:gridCol w:w="716"/>
        <w:gridCol w:w="716"/>
        <w:gridCol w:w="716"/>
        <w:gridCol w:w="709"/>
      </w:tblGrid>
      <w:tr w:rsidR="007D1EDC" w:rsidRPr="007D1EDC" w14:paraId="27DDAB42" w14:textId="77777777" w:rsidTr="00D03949">
        <w:trPr>
          <w:trHeight w:val="220"/>
          <w:tblHeader/>
        </w:trPr>
        <w:tc>
          <w:tcPr>
            <w:tcW w:w="1019" w:type="pct"/>
            <w:shd w:val="clear" w:color="auto" w:fill="365F91"/>
            <w:tcMar>
              <w:left w:w="43" w:type="dxa"/>
              <w:right w:w="43" w:type="dxa"/>
            </w:tcMar>
          </w:tcPr>
          <w:p w14:paraId="0CA18CF2" w14:textId="77777777" w:rsidR="007D1EDC" w:rsidRPr="007D1EDC" w:rsidRDefault="007D1EDC" w:rsidP="007D1EDC">
            <w:pPr>
              <w:jc w:val="right"/>
              <w:rPr>
                <w:rFonts w:ascii="Arial Narrow" w:hAnsi="Arial Narrow" w:cs="Calibri"/>
                <w:b/>
                <w:bCs/>
                <w:color w:val="FFFFFF" w:themeColor="background1"/>
                <w:sz w:val="18"/>
                <w:szCs w:val="18"/>
                <w:lang w:val="en-GB" w:eastAsia="en-GB"/>
              </w:rPr>
            </w:pPr>
          </w:p>
        </w:tc>
        <w:tc>
          <w:tcPr>
            <w:tcW w:w="393" w:type="pct"/>
            <w:shd w:val="clear" w:color="auto" w:fill="365F91"/>
            <w:noWrap/>
            <w:tcMar>
              <w:left w:w="43" w:type="dxa"/>
              <w:right w:w="43" w:type="dxa"/>
            </w:tcMar>
            <w:vAlign w:val="center"/>
            <w:hideMark/>
          </w:tcPr>
          <w:p w14:paraId="2CA8CD3F" w14:textId="77777777" w:rsidR="007D1EDC" w:rsidRPr="007D1EDC" w:rsidRDefault="007D1EDC" w:rsidP="007D1EDC">
            <w:pPr>
              <w:jc w:val="right"/>
              <w:rPr>
                <w:rFonts w:ascii="Arial Narrow" w:hAnsi="Arial Narrow" w:cs="Calibri"/>
                <w:b/>
                <w:bCs/>
                <w:color w:val="FFFFFF" w:themeColor="background1"/>
                <w:sz w:val="18"/>
                <w:szCs w:val="18"/>
                <w:lang w:val="en-GB" w:eastAsia="en-GB"/>
              </w:rPr>
            </w:pPr>
            <w:r w:rsidRPr="007D1EDC">
              <w:rPr>
                <w:rFonts w:ascii="Arial Narrow" w:hAnsi="Arial Narrow" w:cs="Calibri"/>
                <w:b/>
                <w:bCs/>
                <w:color w:val="FFFFFF" w:themeColor="background1"/>
                <w:sz w:val="18"/>
                <w:szCs w:val="18"/>
                <w:lang w:val="en-GB" w:eastAsia="en-GB"/>
              </w:rPr>
              <w:t>2026</w:t>
            </w:r>
          </w:p>
        </w:tc>
        <w:tc>
          <w:tcPr>
            <w:tcW w:w="394" w:type="pct"/>
            <w:shd w:val="clear" w:color="auto" w:fill="365F91"/>
            <w:noWrap/>
            <w:tcMar>
              <w:left w:w="43" w:type="dxa"/>
              <w:right w:w="43" w:type="dxa"/>
            </w:tcMar>
            <w:vAlign w:val="center"/>
            <w:hideMark/>
          </w:tcPr>
          <w:p w14:paraId="62D6BF9A" w14:textId="77777777" w:rsidR="007D1EDC" w:rsidRPr="007D1EDC" w:rsidRDefault="007D1EDC" w:rsidP="007D1EDC">
            <w:pPr>
              <w:jc w:val="right"/>
              <w:rPr>
                <w:rFonts w:ascii="Arial Narrow" w:hAnsi="Arial Narrow" w:cs="Calibri"/>
                <w:b/>
                <w:bCs/>
                <w:color w:val="FFFFFF" w:themeColor="background1"/>
                <w:sz w:val="18"/>
                <w:szCs w:val="18"/>
                <w:lang w:val="en-GB" w:eastAsia="en-GB"/>
              </w:rPr>
            </w:pPr>
            <w:r w:rsidRPr="007D1EDC">
              <w:rPr>
                <w:rFonts w:ascii="Arial Narrow" w:hAnsi="Arial Narrow" w:cs="Calibri"/>
                <w:b/>
                <w:bCs/>
                <w:color w:val="FFFFFF" w:themeColor="background1"/>
                <w:sz w:val="18"/>
                <w:szCs w:val="18"/>
                <w:lang w:val="en-GB" w:eastAsia="en-GB"/>
              </w:rPr>
              <w:t>2027</w:t>
            </w:r>
          </w:p>
        </w:tc>
        <w:tc>
          <w:tcPr>
            <w:tcW w:w="392" w:type="pct"/>
            <w:shd w:val="clear" w:color="auto" w:fill="365F91"/>
            <w:noWrap/>
            <w:tcMar>
              <w:left w:w="43" w:type="dxa"/>
              <w:right w:w="43" w:type="dxa"/>
            </w:tcMar>
            <w:vAlign w:val="center"/>
            <w:hideMark/>
          </w:tcPr>
          <w:p w14:paraId="63816F5A" w14:textId="77777777" w:rsidR="007D1EDC" w:rsidRPr="007D1EDC" w:rsidRDefault="007D1EDC" w:rsidP="007D1EDC">
            <w:pPr>
              <w:jc w:val="right"/>
              <w:rPr>
                <w:rFonts w:ascii="Arial Narrow" w:hAnsi="Arial Narrow" w:cs="Calibri"/>
                <w:b/>
                <w:bCs/>
                <w:color w:val="FFFFFF" w:themeColor="background1"/>
                <w:sz w:val="18"/>
                <w:szCs w:val="18"/>
                <w:lang w:val="en-GB" w:eastAsia="en-GB"/>
              </w:rPr>
            </w:pPr>
            <w:r w:rsidRPr="007D1EDC">
              <w:rPr>
                <w:rFonts w:ascii="Arial Narrow" w:hAnsi="Arial Narrow" w:cs="Calibri"/>
                <w:b/>
                <w:bCs/>
                <w:color w:val="FFFFFF" w:themeColor="background1"/>
                <w:sz w:val="18"/>
                <w:szCs w:val="18"/>
                <w:lang w:val="en-GB" w:eastAsia="en-GB"/>
              </w:rPr>
              <w:t>2028</w:t>
            </w:r>
          </w:p>
        </w:tc>
        <w:tc>
          <w:tcPr>
            <w:tcW w:w="394" w:type="pct"/>
            <w:shd w:val="clear" w:color="auto" w:fill="365F91"/>
            <w:noWrap/>
            <w:tcMar>
              <w:left w:w="43" w:type="dxa"/>
              <w:right w:w="43" w:type="dxa"/>
            </w:tcMar>
            <w:vAlign w:val="center"/>
            <w:hideMark/>
          </w:tcPr>
          <w:p w14:paraId="7799CBEC" w14:textId="77777777" w:rsidR="007D1EDC" w:rsidRPr="007D1EDC" w:rsidRDefault="007D1EDC" w:rsidP="007D1EDC">
            <w:pPr>
              <w:jc w:val="right"/>
              <w:rPr>
                <w:rFonts w:ascii="Arial Narrow" w:hAnsi="Arial Narrow" w:cs="Calibri"/>
                <w:b/>
                <w:bCs/>
                <w:color w:val="FFFFFF" w:themeColor="background1"/>
                <w:sz w:val="18"/>
                <w:szCs w:val="18"/>
                <w:lang w:val="en-GB" w:eastAsia="en-GB"/>
              </w:rPr>
            </w:pPr>
            <w:r w:rsidRPr="007D1EDC">
              <w:rPr>
                <w:rFonts w:ascii="Arial Narrow" w:hAnsi="Arial Narrow" w:cs="Calibri"/>
                <w:b/>
                <w:bCs/>
                <w:color w:val="FFFFFF" w:themeColor="background1"/>
                <w:sz w:val="18"/>
                <w:szCs w:val="18"/>
                <w:lang w:val="en-GB" w:eastAsia="en-GB"/>
              </w:rPr>
              <w:t>2029</w:t>
            </w:r>
          </w:p>
        </w:tc>
        <w:tc>
          <w:tcPr>
            <w:tcW w:w="404" w:type="pct"/>
            <w:shd w:val="clear" w:color="auto" w:fill="365F91"/>
            <w:noWrap/>
            <w:tcMar>
              <w:left w:w="43" w:type="dxa"/>
              <w:right w:w="43" w:type="dxa"/>
            </w:tcMar>
            <w:vAlign w:val="center"/>
            <w:hideMark/>
          </w:tcPr>
          <w:p w14:paraId="62312314" w14:textId="77777777" w:rsidR="007D1EDC" w:rsidRPr="007D1EDC" w:rsidRDefault="007D1EDC" w:rsidP="007D1EDC">
            <w:pPr>
              <w:jc w:val="right"/>
              <w:rPr>
                <w:rFonts w:ascii="Arial Narrow" w:hAnsi="Arial Narrow" w:cs="Calibri"/>
                <w:b/>
                <w:bCs/>
                <w:color w:val="FFFFFF" w:themeColor="background1"/>
                <w:sz w:val="18"/>
                <w:szCs w:val="18"/>
                <w:lang w:val="en-GB" w:eastAsia="en-GB"/>
              </w:rPr>
            </w:pPr>
            <w:r w:rsidRPr="007D1EDC">
              <w:rPr>
                <w:rFonts w:ascii="Arial Narrow" w:hAnsi="Arial Narrow" w:cs="Calibri"/>
                <w:b/>
                <w:bCs/>
                <w:color w:val="FFFFFF" w:themeColor="background1"/>
                <w:sz w:val="18"/>
                <w:szCs w:val="18"/>
                <w:lang w:val="en-GB" w:eastAsia="en-GB"/>
              </w:rPr>
              <w:t>2030</w:t>
            </w:r>
          </w:p>
        </w:tc>
        <w:tc>
          <w:tcPr>
            <w:tcW w:w="420" w:type="pct"/>
            <w:shd w:val="clear" w:color="auto" w:fill="365F91"/>
            <w:noWrap/>
            <w:tcMar>
              <w:left w:w="43" w:type="dxa"/>
              <w:right w:w="43" w:type="dxa"/>
            </w:tcMar>
            <w:vAlign w:val="center"/>
            <w:hideMark/>
          </w:tcPr>
          <w:p w14:paraId="121BAA55" w14:textId="77777777" w:rsidR="007D1EDC" w:rsidRPr="007D1EDC" w:rsidRDefault="007D1EDC" w:rsidP="007D1EDC">
            <w:pPr>
              <w:jc w:val="right"/>
              <w:rPr>
                <w:rFonts w:ascii="Arial Narrow" w:hAnsi="Arial Narrow" w:cs="Calibri"/>
                <w:b/>
                <w:bCs/>
                <w:color w:val="FFFFFF" w:themeColor="background1"/>
                <w:sz w:val="18"/>
                <w:szCs w:val="18"/>
                <w:lang w:val="en-GB" w:eastAsia="en-GB"/>
              </w:rPr>
            </w:pPr>
            <w:r w:rsidRPr="007D1EDC">
              <w:rPr>
                <w:rFonts w:ascii="Arial Narrow" w:hAnsi="Arial Narrow" w:cs="Calibri"/>
                <w:b/>
                <w:bCs/>
                <w:color w:val="FFFFFF" w:themeColor="background1"/>
                <w:sz w:val="18"/>
                <w:szCs w:val="18"/>
                <w:lang w:val="en-GB" w:eastAsia="en-GB"/>
              </w:rPr>
              <w:t>2031</w:t>
            </w:r>
          </w:p>
        </w:tc>
        <w:tc>
          <w:tcPr>
            <w:tcW w:w="397" w:type="pct"/>
            <w:shd w:val="clear" w:color="auto" w:fill="365F91"/>
            <w:noWrap/>
            <w:tcMar>
              <w:left w:w="43" w:type="dxa"/>
              <w:right w:w="43" w:type="dxa"/>
            </w:tcMar>
            <w:vAlign w:val="center"/>
            <w:hideMark/>
          </w:tcPr>
          <w:p w14:paraId="4A624037" w14:textId="77777777" w:rsidR="007D1EDC" w:rsidRPr="007D1EDC" w:rsidRDefault="007D1EDC" w:rsidP="007D1EDC">
            <w:pPr>
              <w:jc w:val="right"/>
              <w:rPr>
                <w:rFonts w:ascii="Arial Narrow" w:hAnsi="Arial Narrow" w:cs="Calibri"/>
                <w:b/>
                <w:bCs/>
                <w:color w:val="FFFFFF" w:themeColor="background1"/>
                <w:sz w:val="18"/>
                <w:szCs w:val="18"/>
                <w:lang w:val="en-GB" w:eastAsia="en-GB"/>
              </w:rPr>
            </w:pPr>
            <w:r w:rsidRPr="007D1EDC">
              <w:rPr>
                <w:rFonts w:ascii="Arial Narrow" w:hAnsi="Arial Narrow" w:cs="Calibri"/>
                <w:b/>
                <w:bCs/>
                <w:color w:val="FFFFFF" w:themeColor="background1"/>
                <w:sz w:val="18"/>
                <w:szCs w:val="18"/>
                <w:lang w:val="en-GB" w:eastAsia="en-GB"/>
              </w:rPr>
              <w:t>2032</w:t>
            </w:r>
          </w:p>
        </w:tc>
        <w:tc>
          <w:tcPr>
            <w:tcW w:w="397" w:type="pct"/>
            <w:shd w:val="clear" w:color="auto" w:fill="365F91"/>
            <w:noWrap/>
            <w:tcMar>
              <w:left w:w="43" w:type="dxa"/>
              <w:right w:w="43" w:type="dxa"/>
            </w:tcMar>
            <w:vAlign w:val="center"/>
            <w:hideMark/>
          </w:tcPr>
          <w:p w14:paraId="364666CE" w14:textId="77777777" w:rsidR="007D1EDC" w:rsidRPr="007D1EDC" w:rsidRDefault="007D1EDC" w:rsidP="007D1EDC">
            <w:pPr>
              <w:jc w:val="right"/>
              <w:rPr>
                <w:rFonts w:ascii="Arial Narrow" w:hAnsi="Arial Narrow" w:cs="Calibri"/>
                <w:b/>
                <w:bCs/>
                <w:color w:val="FFFFFF" w:themeColor="background1"/>
                <w:sz w:val="18"/>
                <w:szCs w:val="18"/>
                <w:lang w:val="en-GB" w:eastAsia="en-GB"/>
              </w:rPr>
            </w:pPr>
            <w:r w:rsidRPr="007D1EDC">
              <w:rPr>
                <w:rFonts w:ascii="Arial Narrow" w:hAnsi="Arial Narrow" w:cs="Calibri"/>
                <w:b/>
                <w:bCs/>
                <w:color w:val="FFFFFF" w:themeColor="background1"/>
                <w:sz w:val="18"/>
                <w:szCs w:val="18"/>
                <w:lang w:val="en-GB" w:eastAsia="en-GB"/>
              </w:rPr>
              <w:t>2033</w:t>
            </w:r>
          </w:p>
        </w:tc>
        <w:tc>
          <w:tcPr>
            <w:tcW w:w="397" w:type="pct"/>
            <w:shd w:val="clear" w:color="auto" w:fill="365F91"/>
            <w:noWrap/>
            <w:tcMar>
              <w:left w:w="43" w:type="dxa"/>
              <w:right w:w="43" w:type="dxa"/>
            </w:tcMar>
            <w:vAlign w:val="center"/>
            <w:hideMark/>
          </w:tcPr>
          <w:p w14:paraId="45E2CB18" w14:textId="77777777" w:rsidR="007D1EDC" w:rsidRPr="007D1EDC" w:rsidRDefault="007D1EDC" w:rsidP="007D1EDC">
            <w:pPr>
              <w:jc w:val="right"/>
              <w:rPr>
                <w:rFonts w:ascii="Arial Narrow" w:hAnsi="Arial Narrow" w:cs="Calibri"/>
                <w:b/>
                <w:bCs/>
                <w:color w:val="FFFFFF" w:themeColor="background1"/>
                <w:sz w:val="18"/>
                <w:szCs w:val="18"/>
                <w:lang w:val="en-GB" w:eastAsia="en-GB"/>
              </w:rPr>
            </w:pPr>
            <w:r w:rsidRPr="007D1EDC">
              <w:rPr>
                <w:rFonts w:ascii="Arial Narrow" w:hAnsi="Arial Narrow" w:cs="Calibri"/>
                <w:b/>
                <w:bCs/>
                <w:color w:val="FFFFFF" w:themeColor="background1"/>
                <w:sz w:val="18"/>
                <w:szCs w:val="18"/>
                <w:lang w:val="en-GB" w:eastAsia="en-GB"/>
              </w:rPr>
              <w:t>2034</w:t>
            </w:r>
          </w:p>
        </w:tc>
        <w:tc>
          <w:tcPr>
            <w:tcW w:w="393" w:type="pct"/>
            <w:shd w:val="clear" w:color="auto" w:fill="365F91"/>
            <w:noWrap/>
            <w:tcMar>
              <w:left w:w="43" w:type="dxa"/>
              <w:right w:w="43" w:type="dxa"/>
            </w:tcMar>
            <w:vAlign w:val="center"/>
            <w:hideMark/>
          </w:tcPr>
          <w:p w14:paraId="289644E4" w14:textId="77777777" w:rsidR="007D1EDC" w:rsidRPr="007D1EDC" w:rsidRDefault="007D1EDC" w:rsidP="007D1EDC">
            <w:pPr>
              <w:jc w:val="right"/>
              <w:rPr>
                <w:rFonts w:ascii="Arial Narrow" w:hAnsi="Arial Narrow" w:cs="Calibri"/>
                <w:b/>
                <w:bCs/>
                <w:color w:val="FFFFFF" w:themeColor="background1"/>
                <w:sz w:val="18"/>
                <w:szCs w:val="18"/>
                <w:lang w:val="en-GB" w:eastAsia="en-GB"/>
              </w:rPr>
            </w:pPr>
            <w:r w:rsidRPr="007D1EDC">
              <w:rPr>
                <w:rFonts w:ascii="Arial Narrow" w:hAnsi="Arial Narrow" w:cs="Calibri"/>
                <w:b/>
                <w:bCs/>
                <w:color w:val="FFFFFF" w:themeColor="background1"/>
                <w:sz w:val="18"/>
                <w:szCs w:val="18"/>
                <w:lang w:val="en-GB" w:eastAsia="en-GB"/>
              </w:rPr>
              <w:t>2035</w:t>
            </w:r>
          </w:p>
        </w:tc>
      </w:tr>
      <w:tr w:rsidR="00637DBA" w:rsidRPr="007D1EDC" w14:paraId="5A1E9F7C" w14:textId="77777777" w:rsidTr="00D03949">
        <w:trPr>
          <w:trHeight w:val="210"/>
        </w:trPr>
        <w:tc>
          <w:tcPr>
            <w:tcW w:w="1019" w:type="pct"/>
            <w:tcMar>
              <w:left w:w="43" w:type="dxa"/>
              <w:right w:w="43" w:type="dxa"/>
            </w:tcMar>
            <w:vAlign w:val="bottom"/>
          </w:tcPr>
          <w:p w14:paraId="7DFFC0F0" w14:textId="74FCB536" w:rsidR="00637DBA" w:rsidRPr="009F5CA1" w:rsidRDefault="00637DBA" w:rsidP="00637DBA">
            <w:pPr>
              <w:rPr>
                <w:rFonts w:ascii="Arial Narrow" w:hAnsi="Arial Narrow" w:cs="Calibri"/>
                <w:color w:val="FF0000"/>
                <w:sz w:val="20"/>
                <w:szCs w:val="20"/>
                <w:lang w:val="es-ES" w:eastAsia="en-GB"/>
              </w:rPr>
            </w:pPr>
            <w:proofErr w:type="spellStart"/>
            <w:r w:rsidRPr="009F5CA1">
              <w:rPr>
                <w:rFonts w:ascii="Arial Narrow" w:eastAsia="Aptos" w:hAnsi="Arial Narrow" w:cs="Calibri"/>
                <w:color w:val="000000"/>
                <w:kern w:val="2"/>
                <w:sz w:val="20"/>
                <w:szCs w:val="20"/>
                <w:lang w:val="es-ES"/>
                <w14:ligatures w14:val="standardContextual"/>
              </w:rPr>
              <w:t>Mbeturinat</w:t>
            </w:r>
            <w:proofErr w:type="spellEnd"/>
            <w:r w:rsidRPr="009F5CA1">
              <w:rPr>
                <w:rFonts w:ascii="Arial Narrow" w:eastAsia="Aptos" w:hAnsi="Arial Narrow" w:cs="Calibri"/>
                <w:color w:val="000000"/>
                <w:kern w:val="2"/>
                <w:sz w:val="20"/>
                <w:szCs w:val="20"/>
                <w:lang w:val="es-ES"/>
                <w14:ligatures w14:val="standardContextual"/>
              </w:rPr>
              <w:t xml:space="preserve"> e </w:t>
            </w:r>
            <w:proofErr w:type="spellStart"/>
            <w:r w:rsidRPr="009F5CA1">
              <w:rPr>
                <w:rFonts w:ascii="Arial Narrow" w:eastAsia="Aptos" w:hAnsi="Arial Narrow" w:cs="Calibri"/>
                <w:color w:val="000000"/>
                <w:kern w:val="2"/>
                <w:sz w:val="20"/>
                <w:szCs w:val="20"/>
                <w:lang w:val="es-ES"/>
                <w14:ligatures w14:val="standardContextual"/>
              </w:rPr>
              <w:t>përziera</w:t>
            </w:r>
            <w:proofErr w:type="spellEnd"/>
            <w:r w:rsidRPr="009F5CA1">
              <w:rPr>
                <w:rFonts w:ascii="Arial Narrow" w:eastAsia="Aptos" w:hAnsi="Arial Narrow" w:cs="Calibri"/>
                <w:color w:val="000000"/>
                <w:kern w:val="2"/>
                <w:sz w:val="20"/>
                <w:szCs w:val="20"/>
                <w:lang w:val="es-ES"/>
                <w14:ligatures w14:val="standardContextual"/>
              </w:rPr>
              <w:t xml:space="preserve"> </w:t>
            </w:r>
            <w:proofErr w:type="spellStart"/>
            <w:r w:rsidRPr="009F5CA1">
              <w:rPr>
                <w:rFonts w:ascii="Arial Narrow" w:eastAsia="Aptos" w:hAnsi="Arial Narrow" w:cs="Calibri"/>
                <w:color w:val="000000"/>
                <w:kern w:val="2"/>
                <w:sz w:val="20"/>
                <w:szCs w:val="20"/>
                <w:lang w:val="es-ES"/>
                <w14:ligatures w14:val="standardContextual"/>
              </w:rPr>
              <w:t>të</w:t>
            </w:r>
            <w:proofErr w:type="spellEnd"/>
            <w:r w:rsidRPr="009F5CA1">
              <w:rPr>
                <w:rFonts w:ascii="Arial Narrow" w:eastAsia="Aptos" w:hAnsi="Arial Narrow" w:cs="Calibri"/>
                <w:color w:val="000000"/>
                <w:kern w:val="2"/>
                <w:sz w:val="20"/>
                <w:szCs w:val="20"/>
                <w:lang w:val="es-ES"/>
                <w14:ligatures w14:val="standardContextual"/>
              </w:rPr>
              <w:t xml:space="preserve"> </w:t>
            </w:r>
            <w:proofErr w:type="spellStart"/>
            <w:r w:rsidRPr="009F5CA1">
              <w:rPr>
                <w:rFonts w:ascii="Arial Narrow" w:eastAsia="Aptos" w:hAnsi="Arial Narrow" w:cs="Calibri"/>
                <w:color w:val="000000"/>
                <w:kern w:val="2"/>
                <w:sz w:val="20"/>
                <w:szCs w:val="20"/>
                <w:lang w:val="es-ES"/>
                <w14:ligatures w14:val="standardContextual"/>
              </w:rPr>
              <w:t>grumbulluara</w:t>
            </w:r>
            <w:proofErr w:type="spellEnd"/>
          </w:p>
        </w:tc>
        <w:tc>
          <w:tcPr>
            <w:tcW w:w="393" w:type="pct"/>
            <w:shd w:val="clear" w:color="auto" w:fill="auto"/>
            <w:noWrap/>
            <w:tcMar>
              <w:left w:w="43" w:type="dxa"/>
              <w:right w:w="43" w:type="dxa"/>
            </w:tcMar>
            <w:vAlign w:val="bottom"/>
            <w:hideMark/>
          </w:tcPr>
          <w:p w14:paraId="5799BFB5" w14:textId="77777777" w:rsidR="00637DBA" w:rsidRPr="007D1EDC" w:rsidRDefault="00637DBA" w:rsidP="00637DBA">
            <w:pPr>
              <w:jc w:val="right"/>
              <w:rPr>
                <w:rFonts w:ascii="Arial Narrow" w:hAnsi="Arial Narrow" w:cs="Calibri"/>
                <w:sz w:val="18"/>
                <w:szCs w:val="18"/>
                <w:lang w:val="en-GB" w:eastAsia="en-GB"/>
              </w:rPr>
            </w:pPr>
            <w:r w:rsidRPr="007D1EDC">
              <w:rPr>
                <w:rFonts w:ascii="Arial Narrow" w:eastAsia="Aptos" w:hAnsi="Arial Narrow" w:cs="Calibri"/>
                <w:kern w:val="2"/>
                <w:sz w:val="18"/>
                <w:szCs w:val="18"/>
                <w:lang w:val="en-GB"/>
                <w14:ligatures w14:val="standardContextual"/>
              </w:rPr>
              <w:t>12,281</w:t>
            </w:r>
          </w:p>
        </w:tc>
        <w:tc>
          <w:tcPr>
            <w:tcW w:w="394" w:type="pct"/>
            <w:shd w:val="clear" w:color="auto" w:fill="auto"/>
            <w:noWrap/>
            <w:tcMar>
              <w:left w:w="43" w:type="dxa"/>
              <w:right w:w="43" w:type="dxa"/>
            </w:tcMar>
            <w:vAlign w:val="bottom"/>
            <w:hideMark/>
          </w:tcPr>
          <w:p w14:paraId="405C5ACC" w14:textId="005A9738" w:rsidR="00637DBA" w:rsidRPr="007D1EDC" w:rsidRDefault="00637DBA" w:rsidP="00637DBA">
            <w:pPr>
              <w:jc w:val="right"/>
              <w:rPr>
                <w:rFonts w:ascii="Arial Narrow" w:hAnsi="Arial Narrow" w:cs="Calibri"/>
                <w:sz w:val="18"/>
                <w:szCs w:val="18"/>
                <w:lang w:val="en-GB" w:eastAsia="en-GB"/>
              </w:rPr>
            </w:pPr>
            <w:r w:rsidRPr="007D1EDC">
              <w:rPr>
                <w:rFonts w:ascii="Arial Narrow" w:eastAsia="Aptos" w:hAnsi="Arial Narrow" w:cs="Calibri"/>
                <w:kern w:val="2"/>
                <w:sz w:val="18"/>
                <w:szCs w:val="18"/>
                <w:lang w:val="en-GB"/>
                <w14:ligatures w14:val="standardContextual"/>
              </w:rPr>
              <w:t>9,735 t</w:t>
            </w:r>
          </w:p>
        </w:tc>
        <w:tc>
          <w:tcPr>
            <w:tcW w:w="392" w:type="pct"/>
            <w:shd w:val="clear" w:color="auto" w:fill="auto"/>
            <w:noWrap/>
            <w:tcMar>
              <w:left w:w="43" w:type="dxa"/>
              <w:right w:w="43" w:type="dxa"/>
            </w:tcMar>
            <w:vAlign w:val="bottom"/>
            <w:hideMark/>
          </w:tcPr>
          <w:p w14:paraId="321407FF" w14:textId="6628A4F5" w:rsidR="00637DBA" w:rsidRPr="007D1EDC" w:rsidRDefault="00637DBA" w:rsidP="00637DBA">
            <w:pPr>
              <w:jc w:val="right"/>
              <w:rPr>
                <w:rFonts w:ascii="Arial Narrow" w:hAnsi="Arial Narrow" w:cs="Calibri"/>
                <w:sz w:val="18"/>
                <w:szCs w:val="18"/>
                <w:lang w:val="en-GB" w:eastAsia="en-GB"/>
              </w:rPr>
            </w:pPr>
            <w:r w:rsidRPr="007D1EDC">
              <w:rPr>
                <w:rFonts w:ascii="Arial Narrow" w:eastAsia="Aptos" w:hAnsi="Arial Narrow" w:cs="Calibri"/>
                <w:kern w:val="2"/>
                <w:sz w:val="18"/>
                <w:szCs w:val="18"/>
                <w:lang w:val="en-GB"/>
                <w14:ligatures w14:val="standardContextual"/>
              </w:rPr>
              <w:t>9,572 t</w:t>
            </w:r>
          </w:p>
        </w:tc>
        <w:tc>
          <w:tcPr>
            <w:tcW w:w="394" w:type="pct"/>
            <w:shd w:val="clear" w:color="auto" w:fill="auto"/>
            <w:noWrap/>
            <w:tcMar>
              <w:left w:w="43" w:type="dxa"/>
              <w:right w:w="43" w:type="dxa"/>
            </w:tcMar>
            <w:vAlign w:val="bottom"/>
            <w:hideMark/>
          </w:tcPr>
          <w:p w14:paraId="45838AD7" w14:textId="6FBB4864" w:rsidR="00637DBA" w:rsidRPr="007D1EDC" w:rsidRDefault="00637DBA" w:rsidP="00637DBA">
            <w:pPr>
              <w:jc w:val="right"/>
              <w:rPr>
                <w:rFonts w:ascii="Arial Narrow" w:hAnsi="Arial Narrow" w:cs="Calibri"/>
                <w:sz w:val="18"/>
                <w:szCs w:val="18"/>
                <w:lang w:val="en-GB" w:eastAsia="en-GB"/>
              </w:rPr>
            </w:pPr>
            <w:r w:rsidRPr="007D1EDC">
              <w:rPr>
                <w:rFonts w:ascii="Arial Narrow" w:eastAsia="Aptos" w:hAnsi="Arial Narrow" w:cs="Calibri"/>
                <w:kern w:val="2"/>
                <w:sz w:val="18"/>
                <w:szCs w:val="18"/>
                <w:lang w:val="en-GB"/>
                <w14:ligatures w14:val="standardContextual"/>
              </w:rPr>
              <w:t>9,380 t</w:t>
            </w:r>
          </w:p>
        </w:tc>
        <w:tc>
          <w:tcPr>
            <w:tcW w:w="404" w:type="pct"/>
            <w:shd w:val="clear" w:color="auto" w:fill="auto"/>
            <w:noWrap/>
            <w:tcMar>
              <w:left w:w="43" w:type="dxa"/>
              <w:right w:w="43" w:type="dxa"/>
            </w:tcMar>
            <w:vAlign w:val="bottom"/>
            <w:hideMark/>
          </w:tcPr>
          <w:p w14:paraId="627245B3" w14:textId="4E387192" w:rsidR="00637DBA" w:rsidRPr="007D1EDC" w:rsidRDefault="00637DBA" w:rsidP="00637DBA">
            <w:pPr>
              <w:jc w:val="right"/>
              <w:rPr>
                <w:rFonts w:ascii="Arial Narrow" w:hAnsi="Arial Narrow" w:cs="Calibri"/>
                <w:sz w:val="18"/>
                <w:szCs w:val="18"/>
                <w:lang w:val="en-GB" w:eastAsia="en-GB"/>
              </w:rPr>
            </w:pPr>
            <w:r w:rsidRPr="007D1EDC">
              <w:rPr>
                <w:rFonts w:ascii="Arial Narrow" w:eastAsia="Aptos" w:hAnsi="Arial Narrow" w:cs="Calibri"/>
                <w:kern w:val="2"/>
                <w:sz w:val="18"/>
                <w:szCs w:val="18"/>
                <w:lang w:val="en-GB"/>
                <w14:ligatures w14:val="standardContextual"/>
              </w:rPr>
              <w:t>9,062 t</w:t>
            </w:r>
          </w:p>
        </w:tc>
        <w:tc>
          <w:tcPr>
            <w:tcW w:w="420" w:type="pct"/>
            <w:shd w:val="clear" w:color="auto" w:fill="auto"/>
            <w:noWrap/>
            <w:tcMar>
              <w:left w:w="43" w:type="dxa"/>
              <w:right w:w="43" w:type="dxa"/>
            </w:tcMar>
            <w:vAlign w:val="bottom"/>
            <w:hideMark/>
          </w:tcPr>
          <w:p w14:paraId="54E8DDEF" w14:textId="057BB984" w:rsidR="00637DBA" w:rsidRPr="007D1EDC" w:rsidRDefault="00637DBA" w:rsidP="00637DBA">
            <w:pPr>
              <w:jc w:val="right"/>
              <w:rPr>
                <w:rFonts w:ascii="Arial Narrow" w:hAnsi="Arial Narrow" w:cs="Calibri"/>
                <w:sz w:val="18"/>
                <w:szCs w:val="18"/>
                <w:lang w:val="en-GB" w:eastAsia="en-GB"/>
              </w:rPr>
            </w:pPr>
            <w:r w:rsidRPr="007D1EDC">
              <w:rPr>
                <w:rFonts w:ascii="Arial Narrow" w:eastAsia="Aptos" w:hAnsi="Arial Narrow" w:cs="Calibri"/>
                <w:kern w:val="2"/>
                <w:sz w:val="18"/>
                <w:szCs w:val="18"/>
                <w:lang w:val="en-GB"/>
                <w14:ligatures w14:val="standardContextual"/>
              </w:rPr>
              <w:t>8,793 t</w:t>
            </w:r>
          </w:p>
        </w:tc>
        <w:tc>
          <w:tcPr>
            <w:tcW w:w="397" w:type="pct"/>
            <w:shd w:val="clear" w:color="auto" w:fill="auto"/>
            <w:noWrap/>
            <w:tcMar>
              <w:left w:w="43" w:type="dxa"/>
              <w:right w:w="43" w:type="dxa"/>
            </w:tcMar>
            <w:vAlign w:val="bottom"/>
            <w:hideMark/>
          </w:tcPr>
          <w:p w14:paraId="049707F9" w14:textId="72DA152B" w:rsidR="00637DBA" w:rsidRPr="007D1EDC" w:rsidRDefault="00637DBA" w:rsidP="00637DBA">
            <w:pPr>
              <w:jc w:val="right"/>
              <w:rPr>
                <w:rFonts w:ascii="Arial Narrow" w:hAnsi="Arial Narrow" w:cs="Calibri"/>
                <w:sz w:val="18"/>
                <w:szCs w:val="18"/>
                <w:lang w:val="en-GB" w:eastAsia="en-GB"/>
              </w:rPr>
            </w:pPr>
            <w:r w:rsidRPr="007D1EDC">
              <w:rPr>
                <w:rFonts w:ascii="Arial Narrow" w:eastAsia="Aptos" w:hAnsi="Arial Narrow" w:cs="Calibri"/>
                <w:kern w:val="2"/>
                <w:sz w:val="18"/>
                <w:szCs w:val="18"/>
                <w:lang w:val="en-GB"/>
                <w14:ligatures w14:val="standardContextual"/>
              </w:rPr>
              <w:t>7,409 t</w:t>
            </w:r>
          </w:p>
        </w:tc>
        <w:tc>
          <w:tcPr>
            <w:tcW w:w="397" w:type="pct"/>
            <w:shd w:val="clear" w:color="auto" w:fill="auto"/>
            <w:noWrap/>
            <w:tcMar>
              <w:left w:w="43" w:type="dxa"/>
              <w:right w:w="43" w:type="dxa"/>
            </w:tcMar>
            <w:vAlign w:val="bottom"/>
            <w:hideMark/>
          </w:tcPr>
          <w:p w14:paraId="31198F62" w14:textId="2B1798EC" w:rsidR="00637DBA" w:rsidRPr="007D1EDC" w:rsidRDefault="00637DBA" w:rsidP="00637DBA">
            <w:pPr>
              <w:jc w:val="right"/>
              <w:rPr>
                <w:rFonts w:ascii="Arial Narrow" w:hAnsi="Arial Narrow" w:cs="Calibri"/>
                <w:sz w:val="18"/>
                <w:szCs w:val="18"/>
                <w:lang w:val="en-GB" w:eastAsia="en-GB"/>
              </w:rPr>
            </w:pPr>
            <w:r w:rsidRPr="007D1EDC">
              <w:rPr>
                <w:rFonts w:ascii="Arial Narrow" w:eastAsia="Aptos" w:hAnsi="Arial Narrow" w:cs="Calibri"/>
                <w:kern w:val="2"/>
                <w:sz w:val="18"/>
                <w:szCs w:val="18"/>
                <w:lang w:val="en-GB"/>
                <w14:ligatures w14:val="standardContextual"/>
              </w:rPr>
              <w:t>7,143 t</w:t>
            </w:r>
          </w:p>
        </w:tc>
        <w:tc>
          <w:tcPr>
            <w:tcW w:w="397" w:type="pct"/>
            <w:shd w:val="clear" w:color="auto" w:fill="auto"/>
            <w:noWrap/>
            <w:tcMar>
              <w:left w:w="43" w:type="dxa"/>
              <w:right w:w="43" w:type="dxa"/>
            </w:tcMar>
            <w:vAlign w:val="bottom"/>
            <w:hideMark/>
          </w:tcPr>
          <w:p w14:paraId="3C9E77B8" w14:textId="49CEEBC2" w:rsidR="00637DBA" w:rsidRPr="007D1EDC" w:rsidRDefault="00637DBA" w:rsidP="00637DBA">
            <w:pPr>
              <w:jc w:val="right"/>
              <w:rPr>
                <w:rFonts w:ascii="Arial Narrow" w:hAnsi="Arial Narrow" w:cs="Calibri"/>
                <w:sz w:val="18"/>
                <w:szCs w:val="18"/>
                <w:lang w:val="en-GB" w:eastAsia="en-GB"/>
              </w:rPr>
            </w:pPr>
            <w:r w:rsidRPr="007D1EDC">
              <w:rPr>
                <w:rFonts w:ascii="Arial Narrow" w:eastAsia="Aptos" w:hAnsi="Arial Narrow" w:cs="Calibri"/>
                <w:kern w:val="2"/>
                <w:sz w:val="18"/>
                <w:szCs w:val="18"/>
                <w:lang w:val="en-GB"/>
                <w14:ligatures w14:val="standardContextual"/>
              </w:rPr>
              <w:t>6,873 t</w:t>
            </w:r>
          </w:p>
        </w:tc>
        <w:tc>
          <w:tcPr>
            <w:tcW w:w="393" w:type="pct"/>
            <w:shd w:val="clear" w:color="auto" w:fill="auto"/>
            <w:noWrap/>
            <w:tcMar>
              <w:left w:w="43" w:type="dxa"/>
              <w:right w:w="43" w:type="dxa"/>
            </w:tcMar>
            <w:vAlign w:val="bottom"/>
            <w:hideMark/>
          </w:tcPr>
          <w:p w14:paraId="2663B4DF" w14:textId="40147FCB" w:rsidR="00637DBA" w:rsidRPr="007D1EDC" w:rsidRDefault="00637DBA" w:rsidP="00637DBA">
            <w:pPr>
              <w:jc w:val="right"/>
              <w:rPr>
                <w:rFonts w:ascii="Arial Narrow" w:hAnsi="Arial Narrow" w:cs="Calibri"/>
                <w:sz w:val="18"/>
                <w:szCs w:val="18"/>
                <w:lang w:val="en-GB" w:eastAsia="en-GB"/>
              </w:rPr>
            </w:pPr>
            <w:r w:rsidRPr="007D1EDC">
              <w:rPr>
                <w:rFonts w:ascii="Arial Narrow" w:eastAsia="Aptos" w:hAnsi="Arial Narrow" w:cs="Calibri"/>
                <w:kern w:val="2"/>
                <w:sz w:val="18"/>
                <w:szCs w:val="18"/>
                <w:lang w:val="en-GB"/>
                <w14:ligatures w14:val="standardContextual"/>
              </w:rPr>
              <w:t>6,655 t</w:t>
            </w:r>
          </w:p>
        </w:tc>
      </w:tr>
      <w:tr w:rsidR="00637DBA" w:rsidRPr="007D1EDC" w14:paraId="57A4897C" w14:textId="77777777" w:rsidTr="00D03949">
        <w:trPr>
          <w:trHeight w:val="210"/>
        </w:trPr>
        <w:tc>
          <w:tcPr>
            <w:tcW w:w="1019" w:type="pct"/>
            <w:tcMar>
              <w:left w:w="43" w:type="dxa"/>
              <w:right w:w="43" w:type="dxa"/>
            </w:tcMar>
            <w:vAlign w:val="bottom"/>
          </w:tcPr>
          <w:p w14:paraId="63D93508" w14:textId="06E0E95B" w:rsidR="00637DBA" w:rsidRPr="00637DBA" w:rsidRDefault="00637DBA" w:rsidP="00637DBA">
            <w:pPr>
              <w:rPr>
                <w:rFonts w:ascii="Arial Narrow" w:hAnsi="Arial Narrow" w:cs="Calibri"/>
                <w:color w:val="000000"/>
                <w:sz w:val="20"/>
                <w:szCs w:val="20"/>
                <w:lang w:val="en-GB" w:eastAsia="en-GB"/>
              </w:rPr>
            </w:pPr>
            <w:proofErr w:type="spellStart"/>
            <w:r w:rsidRPr="00637DBA">
              <w:rPr>
                <w:rFonts w:ascii="Arial Narrow" w:eastAsia="Aptos" w:hAnsi="Arial Narrow" w:cs="Calibri"/>
                <w:color w:val="000000"/>
                <w:kern w:val="2"/>
                <w:sz w:val="20"/>
                <w:szCs w:val="20"/>
                <w:lang w:val="en-GB"/>
                <w14:ligatures w14:val="standardContextual"/>
              </w:rPr>
              <w:t>Grumbullimi</w:t>
            </w:r>
            <w:proofErr w:type="spellEnd"/>
            <w:r w:rsidRPr="00637DBA">
              <w:rPr>
                <w:rFonts w:ascii="Arial Narrow" w:eastAsia="Aptos" w:hAnsi="Arial Narrow" w:cs="Calibri"/>
                <w:color w:val="000000"/>
                <w:kern w:val="2"/>
                <w:sz w:val="20"/>
                <w:szCs w:val="20"/>
                <w:lang w:val="en-GB"/>
                <w14:ligatures w14:val="standardContextual"/>
              </w:rPr>
              <w:t xml:space="preserve"> i </w:t>
            </w:r>
            <w:proofErr w:type="spellStart"/>
            <w:r w:rsidRPr="00637DBA">
              <w:rPr>
                <w:rFonts w:ascii="Arial Narrow" w:eastAsia="Aptos" w:hAnsi="Arial Narrow" w:cs="Calibri"/>
                <w:color w:val="000000"/>
                <w:kern w:val="2"/>
                <w:sz w:val="20"/>
                <w:szCs w:val="20"/>
                <w:lang w:val="en-GB"/>
                <w14:ligatures w14:val="standardContextual"/>
              </w:rPr>
              <w:t>mbeturinave</w:t>
            </w:r>
            <w:proofErr w:type="spellEnd"/>
            <w:r w:rsidRPr="00637DBA">
              <w:rPr>
                <w:rFonts w:ascii="Arial Narrow" w:eastAsia="Aptos" w:hAnsi="Arial Narrow" w:cs="Calibri"/>
                <w:color w:val="000000"/>
                <w:kern w:val="2"/>
                <w:sz w:val="20"/>
                <w:szCs w:val="20"/>
                <w:lang w:val="en-GB"/>
                <w14:ligatures w14:val="standardContextual"/>
              </w:rPr>
              <w:t xml:space="preserve"> </w:t>
            </w:r>
            <w:proofErr w:type="spellStart"/>
            <w:r w:rsidRPr="00637DBA">
              <w:rPr>
                <w:rFonts w:ascii="Arial Narrow" w:eastAsia="Aptos" w:hAnsi="Arial Narrow" w:cs="Calibri"/>
                <w:color w:val="000000"/>
                <w:kern w:val="2"/>
                <w:sz w:val="20"/>
                <w:szCs w:val="20"/>
                <w:lang w:val="en-GB"/>
                <w14:ligatures w14:val="standardContextual"/>
              </w:rPr>
              <w:t>të</w:t>
            </w:r>
            <w:proofErr w:type="spellEnd"/>
            <w:r w:rsidRPr="00637DBA">
              <w:rPr>
                <w:rFonts w:ascii="Arial Narrow" w:eastAsia="Aptos" w:hAnsi="Arial Narrow" w:cs="Calibri"/>
                <w:color w:val="000000"/>
                <w:kern w:val="2"/>
                <w:sz w:val="20"/>
                <w:szCs w:val="20"/>
                <w:lang w:val="en-GB"/>
                <w14:ligatures w14:val="standardContextual"/>
              </w:rPr>
              <w:t xml:space="preserve"> </w:t>
            </w:r>
            <w:proofErr w:type="spellStart"/>
            <w:r w:rsidRPr="00637DBA">
              <w:rPr>
                <w:rFonts w:ascii="Arial Narrow" w:eastAsia="Aptos" w:hAnsi="Arial Narrow" w:cs="Calibri"/>
                <w:color w:val="000000"/>
                <w:kern w:val="2"/>
                <w:sz w:val="20"/>
                <w:szCs w:val="20"/>
                <w:lang w:val="en-GB"/>
                <w14:ligatures w14:val="standardContextual"/>
              </w:rPr>
              <w:t>përziera</w:t>
            </w:r>
            <w:proofErr w:type="spellEnd"/>
            <w:r w:rsidRPr="00637DBA">
              <w:rPr>
                <w:rFonts w:ascii="Arial Narrow" w:eastAsia="Aptos" w:hAnsi="Arial Narrow" w:cs="Calibri"/>
                <w:color w:val="000000"/>
                <w:kern w:val="2"/>
                <w:sz w:val="20"/>
                <w:szCs w:val="20"/>
                <w:lang w:val="en-GB"/>
                <w14:ligatures w14:val="standardContextual"/>
              </w:rPr>
              <w:t xml:space="preserve">, </w:t>
            </w:r>
            <w:proofErr w:type="spellStart"/>
            <w:r w:rsidRPr="00637DBA">
              <w:rPr>
                <w:rFonts w:ascii="Arial Narrow" w:eastAsia="Aptos" w:hAnsi="Arial Narrow" w:cs="Calibri"/>
                <w:color w:val="000000"/>
                <w:kern w:val="2"/>
                <w:sz w:val="20"/>
                <w:szCs w:val="20"/>
                <w:lang w:val="en-GB"/>
                <w14:ligatures w14:val="standardContextual"/>
              </w:rPr>
              <w:t>mijë</w:t>
            </w:r>
            <w:proofErr w:type="spellEnd"/>
            <w:r w:rsidRPr="00637DBA">
              <w:rPr>
                <w:rFonts w:ascii="Arial Narrow" w:eastAsia="Aptos" w:hAnsi="Arial Narrow" w:cs="Calibri"/>
                <w:color w:val="000000"/>
                <w:kern w:val="2"/>
                <w:sz w:val="20"/>
                <w:szCs w:val="20"/>
                <w:lang w:val="en-GB"/>
                <w14:ligatures w14:val="standardContextual"/>
              </w:rPr>
              <w:t xml:space="preserve"> euro</w:t>
            </w:r>
          </w:p>
        </w:tc>
        <w:tc>
          <w:tcPr>
            <w:tcW w:w="393" w:type="pct"/>
            <w:shd w:val="clear" w:color="auto" w:fill="auto"/>
            <w:noWrap/>
            <w:tcMar>
              <w:left w:w="43" w:type="dxa"/>
              <w:right w:w="43" w:type="dxa"/>
            </w:tcMar>
            <w:vAlign w:val="bottom"/>
            <w:hideMark/>
          </w:tcPr>
          <w:p w14:paraId="1ED45DB5"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688</w:t>
            </w:r>
          </w:p>
        </w:tc>
        <w:tc>
          <w:tcPr>
            <w:tcW w:w="394" w:type="pct"/>
            <w:shd w:val="clear" w:color="auto" w:fill="auto"/>
            <w:noWrap/>
            <w:tcMar>
              <w:left w:w="43" w:type="dxa"/>
              <w:right w:w="43" w:type="dxa"/>
            </w:tcMar>
            <w:vAlign w:val="bottom"/>
            <w:hideMark/>
          </w:tcPr>
          <w:p w14:paraId="541BAE83"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717</w:t>
            </w:r>
          </w:p>
        </w:tc>
        <w:tc>
          <w:tcPr>
            <w:tcW w:w="392" w:type="pct"/>
            <w:shd w:val="clear" w:color="auto" w:fill="auto"/>
            <w:noWrap/>
            <w:tcMar>
              <w:left w:w="43" w:type="dxa"/>
              <w:right w:w="43" w:type="dxa"/>
            </w:tcMar>
            <w:vAlign w:val="bottom"/>
            <w:hideMark/>
          </w:tcPr>
          <w:p w14:paraId="4502B58D"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714</w:t>
            </w:r>
          </w:p>
        </w:tc>
        <w:tc>
          <w:tcPr>
            <w:tcW w:w="394" w:type="pct"/>
            <w:shd w:val="clear" w:color="auto" w:fill="auto"/>
            <w:noWrap/>
            <w:tcMar>
              <w:left w:w="43" w:type="dxa"/>
              <w:right w:w="43" w:type="dxa"/>
            </w:tcMar>
            <w:vAlign w:val="bottom"/>
            <w:hideMark/>
          </w:tcPr>
          <w:p w14:paraId="13FBB386"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708</w:t>
            </w:r>
          </w:p>
        </w:tc>
        <w:tc>
          <w:tcPr>
            <w:tcW w:w="404" w:type="pct"/>
            <w:shd w:val="clear" w:color="auto" w:fill="auto"/>
            <w:noWrap/>
            <w:tcMar>
              <w:left w:w="43" w:type="dxa"/>
              <w:right w:w="43" w:type="dxa"/>
            </w:tcMar>
            <w:vAlign w:val="bottom"/>
            <w:hideMark/>
          </w:tcPr>
          <w:p w14:paraId="3A22D23A"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702</w:t>
            </w:r>
          </w:p>
        </w:tc>
        <w:tc>
          <w:tcPr>
            <w:tcW w:w="420" w:type="pct"/>
            <w:shd w:val="clear" w:color="auto" w:fill="auto"/>
            <w:noWrap/>
            <w:tcMar>
              <w:left w:w="43" w:type="dxa"/>
              <w:right w:w="43" w:type="dxa"/>
            </w:tcMar>
            <w:vAlign w:val="bottom"/>
            <w:hideMark/>
          </w:tcPr>
          <w:p w14:paraId="64E7DDE6"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697</w:t>
            </w:r>
          </w:p>
        </w:tc>
        <w:tc>
          <w:tcPr>
            <w:tcW w:w="397" w:type="pct"/>
            <w:shd w:val="clear" w:color="auto" w:fill="auto"/>
            <w:noWrap/>
            <w:tcMar>
              <w:left w:w="43" w:type="dxa"/>
              <w:right w:w="43" w:type="dxa"/>
            </w:tcMar>
            <w:vAlign w:val="bottom"/>
            <w:hideMark/>
          </w:tcPr>
          <w:p w14:paraId="2E38B0CC"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687</w:t>
            </w:r>
          </w:p>
        </w:tc>
        <w:tc>
          <w:tcPr>
            <w:tcW w:w="397" w:type="pct"/>
            <w:shd w:val="clear" w:color="auto" w:fill="auto"/>
            <w:noWrap/>
            <w:tcMar>
              <w:left w:w="43" w:type="dxa"/>
              <w:right w:w="43" w:type="dxa"/>
            </w:tcMar>
            <w:vAlign w:val="bottom"/>
            <w:hideMark/>
          </w:tcPr>
          <w:p w14:paraId="4FE35FB2"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685</w:t>
            </w:r>
          </w:p>
        </w:tc>
        <w:tc>
          <w:tcPr>
            <w:tcW w:w="397" w:type="pct"/>
            <w:shd w:val="clear" w:color="auto" w:fill="auto"/>
            <w:noWrap/>
            <w:tcMar>
              <w:left w:w="43" w:type="dxa"/>
              <w:right w:w="43" w:type="dxa"/>
            </w:tcMar>
            <w:vAlign w:val="bottom"/>
            <w:hideMark/>
          </w:tcPr>
          <w:p w14:paraId="60DB047B"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662</w:t>
            </w:r>
          </w:p>
        </w:tc>
        <w:tc>
          <w:tcPr>
            <w:tcW w:w="393" w:type="pct"/>
            <w:shd w:val="clear" w:color="auto" w:fill="auto"/>
            <w:noWrap/>
            <w:tcMar>
              <w:left w:w="43" w:type="dxa"/>
              <w:right w:w="43" w:type="dxa"/>
            </w:tcMar>
            <w:vAlign w:val="bottom"/>
            <w:hideMark/>
          </w:tcPr>
          <w:p w14:paraId="4D47D433"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660</w:t>
            </w:r>
          </w:p>
        </w:tc>
      </w:tr>
      <w:tr w:rsidR="00637DBA" w:rsidRPr="007D1EDC" w14:paraId="50857923" w14:textId="77777777" w:rsidTr="00D03949">
        <w:trPr>
          <w:trHeight w:val="210"/>
        </w:trPr>
        <w:tc>
          <w:tcPr>
            <w:tcW w:w="1019" w:type="pct"/>
            <w:tcMar>
              <w:left w:w="43" w:type="dxa"/>
              <w:right w:w="43" w:type="dxa"/>
            </w:tcMar>
            <w:vAlign w:val="bottom"/>
          </w:tcPr>
          <w:p w14:paraId="5E3B3588" w14:textId="2512B3F4" w:rsidR="00637DBA" w:rsidRPr="00637DBA" w:rsidRDefault="00637DBA" w:rsidP="00637DBA">
            <w:pPr>
              <w:rPr>
                <w:rFonts w:ascii="Arial Narrow" w:hAnsi="Arial Narrow" w:cs="Calibri"/>
                <w:color w:val="000000"/>
                <w:sz w:val="20"/>
                <w:szCs w:val="20"/>
                <w:lang w:val="en-GB" w:eastAsia="en-GB"/>
              </w:rPr>
            </w:pPr>
            <w:proofErr w:type="spellStart"/>
            <w:r w:rsidRPr="00637DBA">
              <w:rPr>
                <w:rFonts w:ascii="Arial Narrow" w:eastAsia="Aptos" w:hAnsi="Arial Narrow" w:cs="Calibri"/>
                <w:color w:val="000000"/>
                <w:kern w:val="2"/>
                <w:sz w:val="20"/>
                <w:szCs w:val="20"/>
                <w:lang w:val="en-GB"/>
                <w14:ligatures w14:val="standardContextual"/>
              </w:rPr>
              <w:t>Kompostimi</w:t>
            </w:r>
            <w:proofErr w:type="spellEnd"/>
            <w:r w:rsidRPr="00637DBA">
              <w:rPr>
                <w:rFonts w:ascii="Arial Narrow" w:eastAsia="Aptos" w:hAnsi="Arial Narrow" w:cs="Calibri"/>
                <w:color w:val="000000"/>
                <w:kern w:val="2"/>
                <w:sz w:val="20"/>
                <w:szCs w:val="20"/>
                <w:lang w:val="en-GB"/>
                <w14:ligatures w14:val="standardContextual"/>
              </w:rPr>
              <w:t xml:space="preserve"> </w:t>
            </w:r>
            <w:proofErr w:type="spellStart"/>
            <w:r w:rsidRPr="00637DBA">
              <w:rPr>
                <w:rFonts w:ascii="Arial Narrow" w:eastAsia="Aptos" w:hAnsi="Arial Narrow" w:cs="Calibri"/>
                <w:color w:val="000000"/>
                <w:kern w:val="2"/>
                <w:sz w:val="20"/>
                <w:szCs w:val="20"/>
                <w:lang w:val="en-GB"/>
                <w14:ligatures w14:val="standardContextual"/>
              </w:rPr>
              <w:t>shtëpiak</w:t>
            </w:r>
            <w:proofErr w:type="spellEnd"/>
            <w:r w:rsidRPr="00637DBA">
              <w:rPr>
                <w:rFonts w:ascii="Arial Narrow" w:eastAsia="Aptos" w:hAnsi="Arial Narrow" w:cs="Calibri"/>
                <w:color w:val="000000"/>
                <w:kern w:val="2"/>
                <w:sz w:val="20"/>
                <w:szCs w:val="20"/>
                <w:lang w:val="en-GB"/>
                <w14:ligatures w14:val="standardContextual"/>
              </w:rPr>
              <w:t xml:space="preserve">, </w:t>
            </w:r>
            <w:proofErr w:type="spellStart"/>
            <w:r w:rsidRPr="00637DBA">
              <w:rPr>
                <w:rFonts w:ascii="Arial Narrow" w:eastAsia="Aptos" w:hAnsi="Arial Narrow" w:cs="Calibri"/>
                <w:color w:val="000000"/>
                <w:kern w:val="2"/>
                <w:sz w:val="20"/>
                <w:szCs w:val="20"/>
                <w:lang w:val="en-GB"/>
                <w14:ligatures w14:val="standardContextual"/>
              </w:rPr>
              <w:t>mijë</w:t>
            </w:r>
            <w:proofErr w:type="spellEnd"/>
            <w:r w:rsidRPr="00637DBA">
              <w:rPr>
                <w:rFonts w:ascii="Arial Narrow" w:eastAsia="Aptos" w:hAnsi="Arial Narrow" w:cs="Calibri"/>
                <w:color w:val="000000"/>
                <w:kern w:val="2"/>
                <w:sz w:val="20"/>
                <w:szCs w:val="20"/>
                <w:lang w:val="en-GB"/>
                <w14:ligatures w14:val="standardContextual"/>
              </w:rPr>
              <w:t xml:space="preserve"> €</w:t>
            </w:r>
          </w:p>
        </w:tc>
        <w:tc>
          <w:tcPr>
            <w:tcW w:w="393" w:type="pct"/>
            <w:shd w:val="clear" w:color="auto" w:fill="auto"/>
            <w:noWrap/>
            <w:tcMar>
              <w:left w:w="43" w:type="dxa"/>
              <w:right w:w="43" w:type="dxa"/>
            </w:tcMar>
            <w:vAlign w:val="bottom"/>
            <w:hideMark/>
          </w:tcPr>
          <w:p w14:paraId="20819A4B"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0</w:t>
            </w:r>
          </w:p>
        </w:tc>
        <w:tc>
          <w:tcPr>
            <w:tcW w:w="394" w:type="pct"/>
            <w:shd w:val="clear" w:color="auto" w:fill="auto"/>
            <w:noWrap/>
            <w:tcMar>
              <w:left w:w="43" w:type="dxa"/>
              <w:right w:w="43" w:type="dxa"/>
            </w:tcMar>
            <w:vAlign w:val="bottom"/>
            <w:hideMark/>
          </w:tcPr>
          <w:p w14:paraId="2708FAB3"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17</w:t>
            </w:r>
          </w:p>
        </w:tc>
        <w:tc>
          <w:tcPr>
            <w:tcW w:w="392" w:type="pct"/>
            <w:shd w:val="clear" w:color="auto" w:fill="auto"/>
            <w:noWrap/>
            <w:tcMar>
              <w:left w:w="43" w:type="dxa"/>
              <w:right w:w="43" w:type="dxa"/>
            </w:tcMar>
            <w:vAlign w:val="bottom"/>
            <w:hideMark/>
          </w:tcPr>
          <w:p w14:paraId="1E867B7F"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18</w:t>
            </w:r>
          </w:p>
        </w:tc>
        <w:tc>
          <w:tcPr>
            <w:tcW w:w="394" w:type="pct"/>
            <w:shd w:val="clear" w:color="auto" w:fill="auto"/>
            <w:noWrap/>
            <w:tcMar>
              <w:left w:w="43" w:type="dxa"/>
              <w:right w:w="43" w:type="dxa"/>
            </w:tcMar>
            <w:vAlign w:val="bottom"/>
            <w:hideMark/>
          </w:tcPr>
          <w:p w14:paraId="283C8224"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19</w:t>
            </w:r>
          </w:p>
        </w:tc>
        <w:tc>
          <w:tcPr>
            <w:tcW w:w="404" w:type="pct"/>
            <w:shd w:val="clear" w:color="auto" w:fill="auto"/>
            <w:noWrap/>
            <w:tcMar>
              <w:left w:w="43" w:type="dxa"/>
              <w:right w:w="43" w:type="dxa"/>
            </w:tcMar>
            <w:vAlign w:val="bottom"/>
            <w:hideMark/>
          </w:tcPr>
          <w:p w14:paraId="3459721A"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20</w:t>
            </w:r>
          </w:p>
        </w:tc>
        <w:tc>
          <w:tcPr>
            <w:tcW w:w="420" w:type="pct"/>
            <w:shd w:val="clear" w:color="auto" w:fill="auto"/>
            <w:noWrap/>
            <w:tcMar>
              <w:left w:w="43" w:type="dxa"/>
              <w:right w:w="43" w:type="dxa"/>
            </w:tcMar>
            <w:vAlign w:val="bottom"/>
            <w:hideMark/>
          </w:tcPr>
          <w:p w14:paraId="667B0CCF"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21</w:t>
            </w:r>
          </w:p>
        </w:tc>
        <w:tc>
          <w:tcPr>
            <w:tcW w:w="397" w:type="pct"/>
            <w:shd w:val="clear" w:color="auto" w:fill="auto"/>
            <w:noWrap/>
            <w:tcMar>
              <w:left w:w="43" w:type="dxa"/>
              <w:right w:w="43" w:type="dxa"/>
            </w:tcMar>
            <w:vAlign w:val="bottom"/>
            <w:hideMark/>
          </w:tcPr>
          <w:p w14:paraId="19A75856"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22</w:t>
            </w:r>
          </w:p>
        </w:tc>
        <w:tc>
          <w:tcPr>
            <w:tcW w:w="397" w:type="pct"/>
            <w:shd w:val="clear" w:color="auto" w:fill="auto"/>
            <w:noWrap/>
            <w:tcMar>
              <w:left w:w="43" w:type="dxa"/>
              <w:right w:w="43" w:type="dxa"/>
            </w:tcMar>
            <w:vAlign w:val="bottom"/>
            <w:hideMark/>
          </w:tcPr>
          <w:p w14:paraId="43F4ADBD"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23</w:t>
            </w:r>
          </w:p>
        </w:tc>
        <w:tc>
          <w:tcPr>
            <w:tcW w:w="397" w:type="pct"/>
            <w:shd w:val="clear" w:color="auto" w:fill="auto"/>
            <w:noWrap/>
            <w:tcMar>
              <w:left w:w="43" w:type="dxa"/>
              <w:right w:w="43" w:type="dxa"/>
            </w:tcMar>
            <w:vAlign w:val="bottom"/>
            <w:hideMark/>
          </w:tcPr>
          <w:p w14:paraId="1CBA04FA"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24</w:t>
            </w:r>
          </w:p>
        </w:tc>
        <w:tc>
          <w:tcPr>
            <w:tcW w:w="393" w:type="pct"/>
            <w:shd w:val="clear" w:color="auto" w:fill="auto"/>
            <w:noWrap/>
            <w:tcMar>
              <w:left w:w="43" w:type="dxa"/>
              <w:right w:w="43" w:type="dxa"/>
            </w:tcMar>
            <w:vAlign w:val="bottom"/>
            <w:hideMark/>
          </w:tcPr>
          <w:p w14:paraId="275DB214"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25</w:t>
            </w:r>
          </w:p>
        </w:tc>
      </w:tr>
      <w:tr w:rsidR="00637DBA" w:rsidRPr="007D1EDC" w14:paraId="284B3B09" w14:textId="77777777" w:rsidTr="00D03949">
        <w:trPr>
          <w:trHeight w:val="210"/>
        </w:trPr>
        <w:tc>
          <w:tcPr>
            <w:tcW w:w="1019" w:type="pct"/>
            <w:tcMar>
              <w:left w:w="43" w:type="dxa"/>
              <w:right w:w="43" w:type="dxa"/>
            </w:tcMar>
            <w:vAlign w:val="bottom"/>
          </w:tcPr>
          <w:p w14:paraId="2B8525AF" w14:textId="460F2B1A" w:rsidR="00637DBA" w:rsidRPr="00637DBA" w:rsidRDefault="00637DBA" w:rsidP="00637DBA">
            <w:pPr>
              <w:rPr>
                <w:rFonts w:ascii="Arial Narrow" w:hAnsi="Arial Narrow" w:cs="Calibri"/>
                <w:color w:val="000000"/>
                <w:sz w:val="20"/>
                <w:szCs w:val="20"/>
                <w:lang w:val="en-GB" w:eastAsia="en-GB"/>
              </w:rPr>
            </w:pPr>
            <w:proofErr w:type="spellStart"/>
            <w:r w:rsidRPr="00637DBA">
              <w:rPr>
                <w:rFonts w:ascii="Arial Narrow" w:eastAsia="Aptos" w:hAnsi="Arial Narrow" w:cs="Calibri"/>
                <w:color w:val="000000"/>
                <w:kern w:val="2"/>
                <w:sz w:val="20"/>
                <w:szCs w:val="20"/>
                <w:lang w:val="en-GB"/>
                <w14:ligatures w14:val="standardContextual"/>
              </w:rPr>
              <w:t>Kompostimi</w:t>
            </w:r>
            <w:proofErr w:type="spellEnd"/>
            <w:r w:rsidRPr="00637DBA">
              <w:rPr>
                <w:rFonts w:ascii="Arial Narrow" w:eastAsia="Aptos" w:hAnsi="Arial Narrow" w:cs="Calibri"/>
                <w:color w:val="000000"/>
                <w:kern w:val="2"/>
                <w:sz w:val="20"/>
                <w:szCs w:val="20"/>
                <w:lang w:val="en-GB"/>
                <w14:ligatures w14:val="standardContextual"/>
              </w:rPr>
              <w:t xml:space="preserve"> i </w:t>
            </w:r>
            <w:proofErr w:type="spellStart"/>
            <w:r w:rsidRPr="00637DBA">
              <w:rPr>
                <w:rFonts w:ascii="Arial Narrow" w:eastAsia="Aptos" w:hAnsi="Arial Narrow" w:cs="Calibri"/>
                <w:color w:val="000000"/>
                <w:kern w:val="2"/>
                <w:sz w:val="20"/>
                <w:szCs w:val="20"/>
                <w:lang w:val="en-GB"/>
                <w14:ligatures w14:val="standardContextual"/>
              </w:rPr>
              <w:t>hapur</w:t>
            </w:r>
            <w:proofErr w:type="spellEnd"/>
            <w:r w:rsidRPr="00637DBA">
              <w:rPr>
                <w:rFonts w:ascii="Arial Narrow" w:eastAsia="Aptos" w:hAnsi="Arial Narrow" w:cs="Calibri"/>
                <w:color w:val="000000"/>
                <w:kern w:val="2"/>
                <w:sz w:val="20"/>
                <w:szCs w:val="20"/>
                <w:lang w:val="en-GB"/>
                <w14:ligatures w14:val="standardContextual"/>
              </w:rPr>
              <w:t xml:space="preserve"> pale </w:t>
            </w:r>
            <w:proofErr w:type="spellStart"/>
            <w:r w:rsidRPr="00637DBA">
              <w:rPr>
                <w:rFonts w:ascii="Arial Narrow" w:eastAsia="Aptos" w:hAnsi="Arial Narrow" w:cs="Calibri"/>
                <w:color w:val="000000"/>
                <w:kern w:val="2"/>
                <w:sz w:val="20"/>
                <w:szCs w:val="20"/>
                <w:lang w:val="en-GB"/>
                <w14:ligatures w14:val="standardContextual"/>
              </w:rPr>
              <w:t>palë</w:t>
            </w:r>
            <w:proofErr w:type="spellEnd"/>
            <w:r w:rsidRPr="00637DBA">
              <w:rPr>
                <w:rFonts w:ascii="Arial Narrow" w:eastAsia="Aptos" w:hAnsi="Arial Narrow" w:cs="Calibri"/>
                <w:color w:val="000000"/>
                <w:kern w:val="2"/>
                <w:sz w:val="20"/>
                <w:szCs w:val="20"/>
                <w:lang w:val="en-GB"/>
                <w14:ligatures w14:val="standardContextual"/>
              </w:rPr>
              <w:t xml:space="preserve">, </w:t>
            </w:r>
            <w:proofErr w:type="spellStart"/>
            <w:r w:rsidRPr="00637DBA">
              <w:rPr>
                <w:rFonts w:ascii="Arial Narrow" w:eastAsia="Aptos" w:hAnsi="Arial Narrow" w:cs="Calibri"/>
                <w:color w:val="000000"/>
                <w:kern w:val="2"/>
                <w:sz w:val="20"/>
                <w:szCs w:val="20"/>
                <w:lang w:val="en-GB"/>
                <w14:ligatures w14:val="standardContextual"/>
              </w:rPr>
              <w:t>mijë</w:t>
            </w:r>
            <w:proofErr w:type="spellEnd"/>
            <w:r w:rsidRPr="00637DBA">
              <w:rPr>
                <w:rFonts w:ascii="Arial Narrow" w:eastAsia="Aptos" w:hAnsi="Arial Narrow" w:cs="Calibri"/>
                <w:color w:val="000000"/>
                <w:kern w:val="2"/>
                <w:sz w:val="20"/>
                <w:szCs w:val="20"/>
                <w:lang w:val="en-GB"/>
                <w14:ligatures w14:val="standardContextual"/>
              </w:rPr>
              <w:t xml:space="preserve"> euro</w:t>
            </w:r>
          </w:p>
        </w:tc>
        <w:tc>
          <w:tcPr>
            <w:tcW w:w="393" w:type="pct"/>
            <w:shd w:val="clear" w:color="auto" w:fill="auto"/>
            <w:noWrap/>
            <w:tcMar>
              <w:left w:w="43" w:type="dxa"/>
              <w:right w:w="43" w:type="dxa"/>
            </w:tcMar>
            <w:vAlign w:val="bottom"/>
            <w:hideMark/>
          </w:tcPr>
          <w:p w14:paraId="2E03689E"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0</w:t>
            </w:r>
          </w:p>
        </w:tc>
        <w:tc>
          <w:tcPr>
            <w:tcW w:w="394" w:type="pct"/>
            <w:shd w:val="clear" w:color="auto" w:fill="auto"/>
            <w:noWrap/>
            <w:tcMar>
              <w:left w:w="43" w:type="dxa"/>
              <w:right w:w="43" w:type="dxa"/>
            </w:tcMar>
            <w:vAlign w:val="bottom"/>
            <w:hideMark/>
          </w:tcPr>
          <w:p w14:paraId="53D13829"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77</w:t>
            </w:r>
          </w:p>
        </w:tc>
        <w:tc>
          <w:tcPr>
            <w:tcW w:w="392" w:type="pct"/>
            <w:shd w:val="clear" w:color="auto" w:fill="auto"/>
            <w:noWrap/>
            <w:tcMar>
              <w:left w:w="43" w:type="dxa"/>
              <w:right w:w="43" w:type="dxa"/>
            </w:tcMar>
            <w:vAlign w:val="bottom"/>
            <w:hideMark/>
          </w:tcPr>
          <w:p w14:paraId="1C6450AB"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77</w:t>
            </w:r>
          </w:p>
        </w:tc>
        <w:tc>
          <w:tcPr>
            <w:tcW w:w="394" w:type="pct"/>
            <w:shd w:val="clear" w:color="auto" w:fill="auto"/>
            <w:noWrap/>
            <w:tcMar>
              <w:left w:w="43" w:type="dxa"/>
              <w:right w:w="43" w:type="dxa"/>
            </w:tcMar>
            <w:vAlign w:val="bottom"/>
            <w:hideMark/>
          </w:tcPr>
          <w:p w14:paraId="4F776672"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77</w:t>
            </w:r>
          </w:p>
        </w:tc>
        <w:tc>
          <w:tcPr>
            <w:tcW w:w="404" w:type="pct"/>
            <w:shd w:val="clear" w:color="auto" w:fill="auto"/>
            <w:noWrap/>
            <w:tcMar>
              <w:left w:w="43" w:type="dxa"/>
              <w:right w:w="43" w:type="dxa"/>
            </w:tcMar>
            <w:vAlign w:val="bottom"/>
            <w:hideMark/>
          </w:tcPr>
          <w:p w14:paraId="32A1F157"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77</w:t>
            </w:r>
          </w:p>
        </w:tc>
        <w:tc>
          <w:tcPr>
            <w:tcW w:w="420" w:type="pct"/>
            <w:shd w:val="clear" w:color="auto" w:fill="auto"/>
            <w:noWrap/>
            <w:tcMar>
              <w:left w:w="43" w:type="dxa"/>
              <w:right w:w="43" w:type="dxa"/>
            </w:tcMar>
            <w:vAlign w:val="bottom"/>
            <w:hideMark/>
          </w:tcPr>
          <w:p w14:paraId="09B46CDA"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77</w:t>
            </w:r>
          </w:p>
        </w:tc>
        <w:tc>
          <w:tcPr>
            <w:tcW w:w="397" w:type="pct"/>
            <w:shd w:val="clear" w:color="auto" w:fill="auto"/>
            <w:noWrap/>
            <w:tcMar>
              <w:left w:w="43" w:type="dxa"/>
              <w:right w:w="43" w:type="dxa"/>
            </w:tcMar>
            <w:vAlign w:val="bottom"/>
            <w:hideMark/>
          </w:tcPr>
          <w:p w14:paraId="69C09D4B"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77</w:t>
            </w:r>
          </w:p>
        </w:tc>
        <w:tc>
          <w:tcPr>
            <w:tcW w:w="397" w:type="pct"/>
            <w:shd w:val="clear" w:color="auto" w:fill="auto"/>
            <w:noWrap/>
            <w:tcMar>
              <w:left w:w="43" w:type="dxa"/>
              <w:right w:w="43" w:type="dxa"/>
            </w:tcMar>
            <w:vAlign w:val="bottom"/>
            <w:hideMark/>
          </w:tcPr>
          <w:p w14:paraId="1D5F25A2"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77</w:t>
            </w:r>
          </w:p>
        </w:tc>
        <w:tc>
          <w:tcPr>
            <w:tcW w:w="397" w:type="pct"/>
            <w:shd w:val="clear" w:color="auto" w:fill="auto"/>
            <w:noWrap/>
            <w:tcMar>
              <w:left w:w="43" w:type="dxa"/>
              <w:right w:w="43" w:type="dxa"/>
            </w:tcMar>
            <w:vAlign w:val="bottom"/>
            <w:hideMark/>
          </w:tcPr>
          <w:p w14:paraId="66337418"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77</w:t>
            </w:r>
          </w:p>
        </w:tc>
        <w:tc>
          <w:tcPr>
            <w:tcW w:w="393" w:type="pct"/>
            <w:shd w:val="clear" w:color="auto" w:fill="auto"/>
            <w:noWrap/>
            <w:tcMar>
              <w:left w:w="43" w:type="dxa"/>
              <w:right w:w="43" w:type="dxa"/>
            </w:tcMar>
            <w:vAlign w:val="bottom"/>
            <w:hideMark/>
          </w:tcPr>
          <w:p w14:paraId="5EF9980E"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77</w:t>
            </w:r>
          </w:p>
        </w:tc>
      </w:tr>
      <w:tr w:rsidR="00637DBA" w:rsidRPr="007D1EDC" w14:paraId="402C0962" w14:textId="77777777" w:rsidTr="00D03949">
        <w:trPr>
          <w:trHeight w:val="210"/>
        </w:trPr>
        <w:tc>
          <w:tcPr>
            <w:tcW w:w="1019" w:type="pct"/>
            <w:tcMar>
              <w:left w:w="43" w:type="dxa"/>
              <w:right w:w="43" w:type="dxa"/>
            </w:tcMar>
            <w:vAlign w:val="bottom"/>
          </w:tcPr>
          <w:p w14:paraId="69249BF6" w14:textId="346E7C5E" w:rsidR="00637DBA" w:rsidRPr="00637DBA" w:rsidRDefault="00637DBA" w:rsidP="00637DBA">
            <w:pPr>
              <w:rPr>
                <w:rFonts w:ascii="Arial Narrow" w:hAnsi="Arial Narrow" w:cs="Calibri"/>
                <w:color w:val="000000"/>
                <w:sz w:val="20"/>
                <w:szCs w:val="20"/>
                <w:lang w:val="en-GB" w:eastAsia="en-GB"/>
              </w:rPr>
            </w:pPr>
            <w:proofErr w:type="gramStart"/>
            <w:r w:rsidRPr="00637DBA">
              <w:rPr>
                <w:rFonts w:ascii="Arial Narrow" w:eastAsia="Aptos" w:hAnsi="Arial Narrow" w:cs="Calibri"/>
                <w:color w:val="000000"/>
                <w:kern w:val="2"/>
                <w:sz w:val="20"/>
                <w:szCs w:val="20"/>
                <w:lang w:val="en-GB"/>
                <w14:ligatures w14:val="standardContextual"/>
              </w:rPr>
              <w:t>OR,</w:t>
            </w:r>
            <w:proofErr w:type="gramEnd"/>
            <w:r w:rsidRPr="00637DBA">
              <w:rPr>
                <w:rFonts w:ascii="Arial Narrow" w:eastAsia="Aptos" w:hAnsi="Arial Narrow" w:cs="Calibri"/>
                <w:color w:val="000000"/>
                <w:kern w:val="2"/>
                <w:sz w:val="20"/>
                <w:szCs w:val="20"/>
                <w:lang w:val="en-GB"/>
                <w14:ligatures w14:val="standardContextual"/>
              </w:rPr>
              <w:t xml:space="preserve"> </w:t>
            </w:r>
            <w:proofErr w:type="spellStart"/>
            <w:r w:rsidRPr="00637DBA">
              <w:rPr>
                <w:rFonts w:ascii="Arial Narrow" w:eastAsia="Aptos" w:hAnsi="Arial Narrow" w:cs="Calibri"/>
                <w:color w:val="000000"/>
                <w:kern w:val="2"/>
                <w:sz w:val="20"/>
                <w:szCs w:val="20"/>
                <w:lang w:val="en-GB"/>
                <w14:ligatures w14:val="standardContextual"/>
              </w:rPr>
              <w:t>mijë</w:t>
            </w:r>
            <w:proofErr w:type="spellEnd"/>
            <w:r w:rsidRPr="00637DBA">
              <w:rPr>
                <w:rFonts w:ascii="Arial Narrow" w:eastAsia="Aptos" w:hAnsi="Arial Narrow" w:cs="Calibri"/>
                <w:color w:val="000000"/>
                <w:kern w:val="2"/>
                <w:sz w:val="20"/>
                <w:szCs w:val="20"/>
                <w:lang w:val="en-GB"/>
                <w14:ligatures w14:val="standardContextual"/>
              </w:rPr>
              <w:t xml:space="preserve"> euro</w:t>
            </w:r>
          </w:p>
        </w:tc>
        <w:tc>
          <w:tcPr>
            <w:tcW w:w="393" w:type="pct"/>
            <w:shd w:val="clear" w:color="auto" w:fill="auto"/>
            <w:noWrap/>
            <w:tcMar>
              <w:left w:w="43" w:type="dxa"/>
              <w:right w:w="43" w:type="dxa"/>
            </w:tcMar>
            <w:vAlign w:val="bottom"/>
            <w:hideMark/>
          </w:tcPr>
          <w:p w14:paraId="3C802873"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25</w:t>
            </w:r>
          </w:p>
        </w:tc>
        <w:tc>
          <w:tcPr>
            <w:tcW w:w="394" w:type="pct"/>
            <w:shd w:val="clear" w:color="auto" w:fill="auto"/>
            <w:noWrap/>
            <w:tcMar>
              <w:left w:w="43" w:type="dxa"/>
              <w:right w:w="43" w:type="dxa"/>
            </w:tcMar>
            <w:vAlign w:val="bottom"/>
            <w:hideMark/>
          </w:tcPr>
          <w:p w14:paraId="1B9C95D4"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25</w:t>
            </w:r>
          </w:p>
        </w:tc>
        <w:tc>
          <w:tcPr>
            <w:tcW w:w="392" w:type="pct"/>
            <w:shd w:val="clear" w:color="auto" w:fill="auto"/>
            <w:noWrap/>
            <w:tcMar>
              <w:left w:w="43" w:type="dxa"/>
              <w:right w:w="43" w:type="dxa"/>
            </w:tcMar>
            <w:vAlign w:val="bottom"/>
            <w:hideMark/>
          </w:tcPr>
          <w:p w14:paraId="612C9585"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25</w:t>
            </w:r>
          </w:p>
        </w:tc>
        <w:tc>
          <w:tcPr>
            <w:tcW w:w="394" w:type="pct"/>
            <w:shd w:val="clear" w:color="auto" w:fill="auto"/>
            <w:noWrap/>
            <w:tcMar>
              <w:left w:w="43" w:type="dxa"/>
              <w:right w:w="43" w:type="dxa"/>
            </w:tcMar>
            <w:vAlign w:val="bottom"/>
            <w:hideMark/>
          </w:tcPr>
          <w:p w14:paraId="0670EF4E"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25</w:t>
            </w:r>
          </w:p>
        </w:tc>
        <w:tc>
          <w:tcPr>
            <w:tcW w:w="404" w:type="pct"/>
            <w:shd w:val="clear" w:color="auto" w:fill="auto"/>
            <w:noWrap/>
            <w:tcMar>
              <w:left w:w="43" w:type="dxa"/>
              <w:right w:w="43" w:type="dxa"/>
            </w:tcMar>
            <w:vAlign w:val="bottom"/>
            <w:hideMark/>
          </w:tcPr>
          <w:p w14:paraId="35992A99"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25</w:t>
            </w:r>
          </w:p>
        </w:tc>
        <w:tc>
          <w:tcPr>
            <w:tcW w:w="420" w:type="pct"/>
            <w:shd w:val="clear" w:color="auto" w:fill="auto"/>
            <w:noWrap/>
            <w:tcMar>
              <w:left w:w="43" w:type="dxa"/>
              <w:right w:w="43" w:type="dxa"/>
            </w:tcMar>
            <w:vAlign w:val="bottom"/>
            <w:hideMark/>
          </w:tcPr>
          <w:p w14:paraId="50041050"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25</w:t>
            </w:r>
          </w:p>
        </w:tc>
        <w:tc>
          <w:tcPr>
            <w:tcW w:w="397" w:type="pct"/>
            <w:shd w:val="clear" w:color="auto" w:fill="auto"/>
            <w:noWrap/>
            <w:tcMar>
              <w:left w:w="43" w:type="dxa"/>
              <w:right w:w="43" w:type="dxa"/>
            </w:tcMar>
            <w:vAlign w:val="bottom"/>
            <w:hideMark/>
          </w:tcPr>
          <w:p w14:paraId="46F2BA02"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25</w:t>
            </w:r>
          </w:p>
        </w:tc>
        <w:tc>
          <w:tcPr>
            <w:tcW w:w="397" w:type="pct"/>
            <w:shd w:val="clear" w:color="auto" w:fill="auto"/>
            <w:noWrap/>
            <w:tcMar>
              <w:left w:w="43" w:type="dxa"/>
              <w:right w:w="43" w:type="dxa"/>
            </w:tcMar>
            <w:vAlign w:val="bottom"/>
            <w:hideMark/>
          </w:tcPr>
          <w:p w14:paraId="68D6BC9C"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25</w:t>
            </w:r>
          </w:p>
        </w:tc>
        <w:tc>
          <w:tcPr>
            <w:tcW w:w="397" w:type="pct"/>
            <w:shd w:val="clear" w:color="auto" w:fill="auto"/>
            <w:noWrap/>
            <w:tcMar>
              <w:left w:w="43" w:type="dxa"/>
              <w:right w:w="43" w:type="dxa"/>
            </w:tcMar>
            <w:vAlign w:val="bottom"/>
            <w:hideMark/>
          </w:tcPr>
          <w:p w14:paraId="110E9D5E"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25</w:t>
            </w:r>
          </w:p>
        </w:tc>
        <w:tc>
          <w:tcPr>
            <w:tcW w:w="393" w:type="pct"/>
            <w:shd w:val="clear" w:color="auto" w:fill="auto"/>
            <w:noWrap/>
            <w:tcMar>
              <w:left w:w="43" w:type="dxa"/>
              <w:right w:w="43" w:type="dxa"/>
            </w:tcMar>
            <w:vAlign w:val="bottom"/>
            <w:hideMark/>
          </w:tcPr>
          <w:p w14:paraId="78B7D9D0"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25</w:t>
            </w:r>
          </w:p>
        </w:tc>
      </w:tr>
      <w:tr w:rsidR="00637DBA" w:rsidRPr="007D1EDC" w14:paraId="03FEF60D" w14:textId="77777777" w:rsidTr="00D03949">
        <w:trPr>
          <w:trHeight w:val="210"/>
        </w:trPr>
        <w:tc>
          <w:tcPr>
            <w:tcW w:w="1019" w:type="pct"/>
            <w:tcMar>
              <w:left w:w="43" w:type="dxa"/>
              <w:right w:w="43" w:type="dxa"/>
            </w:tcMar>
            <w:vAlign w:val="bottom"/>
          </w:tcPr>
          <w:p w14:paraId="7470C226" w14:textId="324B3B65" w:rsidR="00637DBA" w:rsidRPr="009F5CA1" w:rsidRDefault="00637DBA" w:rsidP="00637DBA">
            <w:pPr>
              <w:rPr>
                <w:rFonts w:ascii="Arial Narrow" w:hAnsi="Arial Narrow" w:cs="Calibri"/>
                <w:color w:val="000000"/>
                <w:sz w:val="20"/>
                <w:szCs w:val="20"/>
                <w:lang w:val="es-ES" w:eastAsia="en-GB"/>
              </w:rPr>
            </w:pPr>
            <w:r w:rsidRPr="009F5CA1">
              <w:rPr>
                <w:rFonts w:ascii="Arial Narrow" w:eastAsia="Aptos" w:hAnsi="Arial Narrow" w:cs="Calibri"/>
                <w:color w:val="000000"/>
                <w:kern w:val="2"/>
                <w:sz w:val="20"/>
                <w:szCs w:val="20"/>
                <w:lang w:val="es-ES"/>
                <w14:ligatures w14:val="standardContextual"/>
              </w:rPr>
              <w:t xml:space="preserve">Tarifa e </w:t>
            </w:r>
            <w:proofErr w:type="spellStart"/>
            <w:r w:rsidRPr="009F5CA1">
              <w:rPr>
                <w:rFonts w:ascii="Arial Narrow" w:eastAsia="Aptos" w:hAnsi="Arial Narrow" w:cs="Calibri"/>
                <w:color w:val="000000"/>
                <w:kern w:val="2"/>
                <w:sz w:val="20"/>
                <w:szCs w:val="20"/>
                <w:lang w:val="es-ES"/>
                <w14:ligatures w14:val="standardContextual"/>
              </w:rPr>
              <w:t>portës</w:t>
            </w:r>
            <w:proofErr w:type="spellEnd"/>
            <w:r w:rsidRPr="009F5CA1">
              <w:rPr>
                <w:rFonts w:ascii="Arial Narrow" w:eastAsia="Aptos" w:hAnsi="Arial Narrow" w:cs="Calibri"/>
                <w:color w:val="000000"/>
                <w:kern w:val="2"/>
                <w:sz w:val="20"/>
                <w:szCs w:val="20"/>
                <w:lang w:val="es-ES"/>
                <w14:ligatures w14:val="standardContextual"/>
              </w:rPr>
              <w:t xml:space="preserve"> </w:t>
            </w:r>
            <w:proofErr w:type="spellStart"/>
            <w:r w:rsidRPr="009F5CA1">
              <w:rPr>
                <w:rFonts w:ascii="Arial Narrow" w:eastAsia="Aptos" w:hAnsi="Arial Narrow" w:cs="Calibri"/>
                <w:color w:val="000000"/>
                <w:kern w:val="2"/>
                <w:sz w:val="20"/>
                <w:szCs w:val="20"/>
                <w:lang w:val="es-ES"/>
                <w14:ligatures w14:val="standardContextual"/>
              </w:rPr>
              <w:t>në</w:t>
            </w:r>
            <w:proofErr w:type="spellEnd"/>
            <w:r w:rsidRPr="009F5CA1">
              <w:rPr>
                <w:rFonts w:ascii="Arial Narrow" w:eastAsia="Aptos" w:hAnsi="Arial Narrow" w:cs="Calibri"/>
                <w:color w:val="000000"/>
                <w:kern w:val="2"/>
                <w:sz w:val="20"/>
                <w:szCs w:val="20"/>
                <w:lang w:val="es-ES"/>
                <w14:ligatures w14:val="standardContextual"/>
              </w:rPr>
              <w:t xml:space="preserve"> </w:t>
            </w:r>
            <w:proofErr w:type="spellStart"/>
            <w:r w:rsidRPr="009F5CA1">
              <w:rPr>
                <w:rFonts w:ascii="Arial Narrow" w:eastAsia="Aptos" w:hAnsi="Arial Narrow" w:cs="Calibri"/>
                <w:color w:val="000000"/>
                <w:kern w:val="2"/>
                <w:sz w:val="20"/>
                <w:szCs w:val="20"/>
                <w:lang w:val="es-ES"/>
                <w14:ligatures w14:val="standardContextual"/>
              </w:rPr>
              <w:t>deponi</w:t>
            </w:r>
            <w:proofErr w:type="spellEnd"/>
            <w:r w:rsidRPr="009F5CA1">
              <w:rPr>
                <w:rFonts w:ascii="Arial Narrow" w:eastAsia="Aptos" w:hAnsi="Arial Narrow" w:cs="Calibri"/>
                <w:color w:val="000000"/>
                <w:kern w:val="2"/>
                <w:sz w:val="20"/>
                <w:szCs w:val="20"/>
                <w:lang w:val="es-ES"/>
                <w14:ligatures w14:val="standardContextual"/>
              </w:rPr>
              <w:t xml:space="preserve"> / TMB</w:t>
            </w:r>
          </w:p>
        </w:tc>
        <w:tc>
          <w:tcPr>
            <w:tcW w:w="393" w:type="pct"/>
            <w:shd w:val="clear" w:color="auto" w:fill="auto"/>
            <w:noWrap/>
            <w:tcMar>
              <w:left w:w="43" w:type="dxa"/>
              <w:right w:w="43" w:type="dxa"/>
            </w:tcMar>
            <w:vAlign w:val="bottom"/>
            <w:hideMark/>
          </w:tcPr>
          <w:p w14:paraId="24D52BEF"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11</w:t>
            </w:r>
          </w:p>
        </w:tc>
        <w:tc>
          <w:tcPr>
            <w:tcW w:w="394" w:type="pct"/>
            <w:shd w:val="clear" w:color="auto" w:fill="auto"/>
            <w:noWrap/>
            <w:tcMar>
              <w:left w:w="43" w:type="dxa"/>
              <w:right w:w="43" w:type="dxa"/>
            </w:tcMar>
            <w:vAlign w:val="bottom"/>
            <w:hideMark/>
          </w:tcPr>
          <w:p w14:paraId="21033AAE"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22</w:t>
            </w:r>
          </w:p>
        </w:tc>
        <w:tc>
          <w:tcPr>
            <w:tcW w:w="392" w:type="pct"/>
            <w:shd w:val="clear" w:color="auto" w:fill="auto"/>
            <w:noWrap/>
            <w:tcMar>
              <w:left w:w="43" w:type="dxa"/>
              <w:right w:w="43" w:type="dxa"/>
            </w:tcMar>
            <w:vAlign w:val="bottom"/>
            <w:hideMark/>
          </w:tcPr>
          <w:p w14:paraId="13EEEA4C"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22</w:t>
            </w:r>
          </w:p>
        </w:tc>
        <w:tc>
          <w:tcPr>
            <w:tcW w:w="394" w:type="pct"/>
            <w:shd w:val="clear" w:color="auto" w:fill="auto"/>
            <w:noWrap/>
            <w:tcMar>
              <w:left w:w="43" w:type="dxa"/>
              <w:right w:w="43" w:type="dxa"/>
            </w:tcMar>
            <w:vAlign w:val="bottom"/>
            <w:hideMark/>
          </w:tcPr>
          <w:p w14:paraId="4F9F2B38"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22</w:t>
            </w:r>
          </w:p>
        </w:tc>
        <w:tc>
          <w:tcPr>
            <w:tcW w:w="404" w:type="pct"/>
            <w:shd w:val="clear" w:color="auto" w:fill="auto"/>
            <w:noWrap/>
            <w:tcMar>
              <w:left w:w="43" w:type="dxa"/>
              <w:right w:w="43" w:type="dxa"/>
            </w:tcMar>
            <w:vAlign w:val="bottom"/>
            <w:hideMark/>
          </w:tcPr>
          <w:p w14:paraId="2849D35E"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22</w:t>
            </w:r>
          </w:p>
        </w:tc>
        <w:tc>
          <w:tcPr>
            <w:tcW w:w="420" w:type="pct"/>
            <w:shd w:val="clear" w:color="auto" w:fill="auto"/>
            <w:noWrap/>
            <w:tcMar>
              <w:left w:w="43" w:type="dxa"/>
              <w:right w:w="43" w:type="dxa"/>
            </w:tcMar>
            <w:vAlign w:val="bottom"/>
            <w:hideMark/>
          </w:tcPr>
          <w:p w14:paraId="333E96B0"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39</w:t>
            </w:r>
          </w:p>
        </w:tc>
        <w:tc>
          <w:tcPr>
            <w:tcW w:w="397" w:type="pct"/>
            <w:shd w:val="clear" w:color="auto" w:fill="auto"/>
            <w:noWrap/>
            <w:tcMar>
              <w:left w:w="43" w:type="dxa"/>
              <w:right w:w="43" w:type="dxa"/>
            </w:tcMar>
            <w:vAlign w:val="bottom"/>
            <w:hideMark/>
          </w:tcPr>
          <w:p w14:paraId="0327BA1A"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56</w:t>
            </w:r>
          </w:p>
        </w:tc>
        <w:tc>
          <w:tcPr>
            <w:tcW w:w="397" w:type="pct"/>
            <w:shd w:val="clear" w:color="auto" w:fill="auto"/>
            <w:noWrap/>
            <w:tcMar>
              <w:left w:w="43" w:type="dxa"/>
              <w:right w:w="43" w:type="dxa"/>
            </w:tcMar>
            <w:vAlign w:val="bottom"/>
            <w:hideMark/>
          </w:tcPr>
          <w:p w14:paraId="261B3AF5"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58</w:t>
            </w:r>
          </w:p>
        </w:tc>
        <w:tc>
          <w:tcPr>
            <w:tcW w:w="397" w:type="pct"/>
            <w:shd w:val="clear" w:color="auto" w:fill="auto"/>
            <w:noWrap/>
            <w:tcMar>
              <w:left w:w="43" w:type="dxa"/>
              <w:right w:w="43" w:type="dxa"/>
            </w:tcMar>
            <w:vAlign w:val="bottom"/>
            <w:hideMark/>
          </w:tcPr>
          <w:p w14:paraId="7DB195BB"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60</w:t>
            </w:r>
          </w:p>
        </w:tc>
        <w:tc>
          <w:tcPr>
            <w:tcW w:w="393" w:type="pct"/>
            <w:shd w:val="clear" w:color="auto" w:fill="auto"/>
            <w:noWrap/>
            <w:tcMar>
              <w:left w:w="43" w:type="dxa"/>
              <w:right w:w="43" w:type="dxa"/>
            </w:tcMar>
            <w:vAlign w:val="bottom"/>
            <w:hideMark/>
          </w:tcPr>
          <w:p w14:paraId="20CA17C7"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62</w:t>
            </w:r>
          </w:p>
        </w:tc>
      </w:tr>
      <w:tr w:rsidR="00637DBA" w:rsidRPr="007D1EDC" w14:paraId="06877353" w14:textId="77777777" w:rsidTr="00D03949">
        <w:trPr>
          <w:trHeight w:val="210"/>
        </w:trPr>
        <w:tc>
          <w:tcPr>
            <w:tcW w:w="1019" w:type="pct"/>
            <w:tcMar>
              <w:left w:w="43" w:type="dxa"/>
              <w:right w:w="43" w:type="dxa"/>
            </w:tcMar>
            <w:vAlign w:val="bottom"/>
          </w:tcPr>
          <w:p w14:paraId="67321282" w14:textId="280F152F" w:rsidR="00637DBA" w:rsidRPr="00637DBA" w:rsidRDefault="00637DBA" w:rsidP="00637DBA">
            <w:pPr>
              <w:rPr>
                <w:rFonts w:ascii="Arial Narrow" w:hAnsi="Arial Narrow" w:cs="Calibri"/>
                <w:color w:val="000000"/>
                <w:sz w:val="20"/>
                <w:szCs w:val="20"/>
                <w:lang w:val="en-GB" w:eastAsia="en-GB"/>
              </w:rPr>
            </w:pPr>
            <w:proofErr w:type="spellStart"/>
            <w:r w:rsidRPr="00637DBA">
              <w:rPr>
                <w:rFonts w:ascii="Arial Narrow" w:eastAsia="Aptos" w:hAnsi="Arial Narrow" w:cs="Calibri"/>
                <w:color w:val="000000"/>
                <w:kern w:val="2"/>
                <w:sz w:val="20"/>
                <w:szCs w:val="20"/>
                <w:lang w:val="en-GB"/>
                <w14:ligatures w14:val="standardContextual"/>
              </w:rPr>
              <w:t>Trajtimi</w:t>
            </w:r>
            <w:proofErr w:type="spellEnd"/>
            <w:r w:rsidRPr="00637DBA">
              <w:rPr>
                <w:rFonts w:ascii="Arial Narrow" w:eastAsia="Aptos" w:hAnsi="Arial Narrow" w:cs="Calibri"/>
                <w:color w:val="000000"/>
                <w:kern w:val="2"/>
                <w:sz w:val="20"/>
                <w:szCs w:val="20"/>
                <w:lang w:val="en-GB"/>
                <w14:ligatures w14:val="standardContextual"/>
              </w:rPr>
              <w:t>/</w:t>
            </w:r>
            <w:proofErr w:type="spellStart"/>
            <w:proofErr w:type="gramStart"/>
            <w:r w:rsidRPr="00637DBA">
              <w:rPr>
                <w:rFonts w:ascii="Arial Narrow" w:eastAsia="Aptos" w:hAnsi="Arial Narrow" w:cs="Calibri"/>
                <w:color w:val="000000"/>
                <w:kern w:val="2"/>
                <w:sz w:val="20"/>
                <w:szCs w:val="20"/>
                <w:lang w:val="en-GB"/>
                <w14:ligatures w14:val="standardContextual"/>
              </w:rPr>
              <w:t>deponimi,mijë</w:t>
            </w:r>
            <w:proofErr w:type="spellEnd"/>
            <w:proofErr w:type="gramEnd"/>
            <w:r w:rsidRPr="00637DBA">
              <w:rPr>
                <w:rFonts w:ascii="Arial Narrow" w:eastAsia="Aptos" w:hAnsi="Arial Narrow" w:cs="Calibri"/>
                <w:color w:val="000000"/>
                <w:kern w:val="2"/>
                <w:sz w:val="20"/>
                <w:szCs w:val="20"/>
                <w:lang w:val="en-GB"/>
                <w14:ligatures w14:val="standardContextual"/>
              </w:rPr>
              <w:t xml:space="preserve"> euro </w:t>
            </w:r>
          </w:p>
        </w:tc>
        <w:tc>
          <w:tcPr>
            <w:tcW w:w="393" w:type="pct"/>
            <w:shd w:val="clear" w:color="auto" w:fill="auto"/>
            <w:noWrap/>
            <w:tcMar>
              <w:left w:w="43" w:type="dxa"/>
              <w:right w:w="43" w:type="dxa"/>
            </w:tcMar>
            <w:vAlign w:val="bottom"/>
            <w:hideMark/>
          </w:tcPr>
          <w:p w14:paraId="06FCF180"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135</w:t>
            </w:r>
          </w:p>
        </w:tc>
        <w:tc>
          <w:tcPr>
            <w:tcW w:w="394" w:type="pct"/>
            <w:shd w:val="clear" w:color="auto" w:fill="auto"/>
            <w:noWrap/>
            <w:tcMar>
              <w:left w:w="43" w:type="dxa"/>
              <w:right w:w="43" w:type="dxa"/>
            </w:tcMar>
            <w:vAlign w:val="bottom"/>
            <w:hideMark/>
          </w:tcPr>
          <w:p w14:paraId="30C98109"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219</w:t>
            </w:r>
          </w:p>
        </w:tc>
        <w:tc>
          <w:tcPr>
            <w:tcW w:w="392" w:type="pct"/>
            <w:shd w:val="clear" w:color="auto" w:fill="auto"/>
            <w:noWrap/>
            <w:tcMar>
              <w:left w:w="43" w:type="dxa"/>
              <w:right w:w="43" w:type="dxa"/>
            </w:tcMar>
            <w:vAlign w:val="bottom"/>
            <w:hideMark/>
          </w:tcPr>
          <w:p w14:paraId="3D67FF53"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217</w:t>
            </w:r>
          </w:p>
        </w:tc>
        <w:tc>
          <w:tcPr>
            <w:tcW w:w="394" w:type="pct"/>
            <w:shd w:val="clear" w:color="auto" w:fill="auto"/>
            <w:noWrap/>
            <w:tcMar>
              <w:left w:w="43" w:type="dxa"/>
              <w:right w:w="43" w:type="dxa"/>
            </w:tcMar>
            <w:vAlign w:val="bottom"/>
            <w:hideMark/>
          </w:tcPr>
          <w:p w14:paraId="59BAF0D0"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213</w:t>
            </w:r>
          </w:p>
        </w:tc>
        <w:tc>
          <w:tcPr>
            <w:tcW w:w="404" w:type="pct"/>
            <w:shd w:val="clear" w:color="auto" w:fill="auto"/>
            <w:noWrap/>
            <w:tcMar>
              <w:left w:w="43" w:type="dxa"/>
              <w:right w:w="43" w:type="dxa"/>
            </w:tcMar>
            <w:vAlign w:val="bottom"/>
            <w:hideMark/>
          </w:tcPr>
          <w:p w14:paraId="73B53759"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207</w:t>
            </w:r>
          </w:p>
        </w:tc>
        <w:tc>
          <w:tcPr>
            <w:tcW w:w="420" w:type="pct"/>
            <w:shd w:val="clear" w:color="auto" w:fill="auto"/>
            <w:noWrap/>
            <w:tcMar>
              <w:left w:w="43" w:type="dxa"/>
              <w:right w:w="43" w:type="dxa"/>
            </w:tcMar>
            <w:vAlign w:val="bottom"/>
            <w:hideMark/>
          </w:tcPr>
          <w:p w14:paraId="0A193EBB"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358</w:t>
            </w:r>
          </w:p>
        </w:tc>
        <w:tc>
          <w:tcPr>
            <w:tcW w:w="397" w:type="pct"/>
            <w:shd w:val="clear" w:color="auto" w:fill="auto"/>
            <w:noWrap/>
            <w:tcMar>
              <w:left w:w="43" w:type="dxa"/>
              <w:right w:w="43" w:type="dxa"/>
            </w:tcMar>
            <w:vAlign w:val="bottom"/>
            <w:hideMark/>
          </w:tcPr>
          <w:p w14:paraId="058846E8"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421</w:t>
            </w:r>
          </w:p>
        </w:tc>
        <w:tc>
          <w:tcPr>
            <w:tcW w:w="397" w:type="pct"/>
            <w:shd w:val="clear" w:color="auto" w:fill="auto"/>
            <w:noWrap/>
            <w:tcMar>
              <w:left w:w="43" w:type="dxa"/>
              <w:right w:w="43" w:type="dxa"/>
            </w:tcMar>
            <w:vAlign w:val="bottom"/>
            <w:hideMark/>
          </w:tcPr>
          <w:p w14:paraId="5814E3E2"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420</w:t>
            </w:r>
          </w:p>
        </w:tc>
        <w:tc>
          <w:tcPr>
            <w:tcW w:w="397" w:type="pct"/>
            <w:shd w:val="clear" w:color="auto" w:fill="auto"/>
            <w:noWrap/>
            <w:tcMar>
              <w:left w:w="43" w:type="dxa"/>
              <w:right w:w="43" w:type="dxa"/>
            </w:tcMar>
            <w:vAlign w:val="bottom"/>
            <w:hideMark/>
          </w:tcPr>
          <w:p w14:paraId="34773862"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421</w:t>
            </w:r>
          </w:p>
        </w:tc>
        <w:tc>
          <w:tcPr>
            <w:tcW w:w="393" w:type="pct"/>
            <w:shd w:val="clear" w:color="auto" w:fill="auto"/>
            <w:noWrap/>
            <w:tcMar>
              <w:left w:w="43" w:type="dxa"/>
              <w:right w:w="43" w:type="dxa"/>
            </w:tcMar>
            <w:vAlign w:val="bottom"/>
            <w:hideMark/>
          </w:tcPr>
          <w:p w14:paraId="5CBAD4ED"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422</w:t>
            </w:r>
          </w:p>
        </w:tc>
      </w:tr>
      <w:tr w:rsidR="00637DBA" w:rsidRPr="007D1EDC" w14:paraId="630AB928" w14:textId="77777777" w:rsidTr="00D03949">
        <w:trPr>
          <w:trHeight w:val="210"/>
        </w:trPr>
        <w:tc>
          <w:tcPr>
            <w:tcW w:w="1019" w:type="pct"/>
            <w:tcMar>
              <w:left w:w="43" w:type="dxa"/>
              <w:right w:w="43" w:type="dxa"/>
            </w:tcMar>
            <w:vAlign w:val="bottom"/>
          </w:tcPr>
          <w:p w14:paraId="155FE7DC" w14:textId="241C1064" w:rsidR="00637DBA" w:rsidRPr="00637DBA" w:rsidRDefault="00637DBA" w:rsidP="00637DBA">
            <w:pPr>
              <w:rPr>
                <w:rFonts w:ascii="Arial Narrow" w:hAnsi="Arial Narrow" w:cs="Calibri"/>
                <w:color w:val="000000"/>
                <w:sz w:val="20"/>
                <w:szCs w:val="20"/>
                <w:lang w:val="en-GB" w:eastAsia="en-GB"/>
              </w:rPr>
            </w:pPr>
            <w:proofErr w:type="spellStart"/>
            <w:r w:rsidRPr="00637DBA">
              <w:rPr>
                <w:rFonts w:ascii="Arial Narrow" w:eastAsia="Aptos" w:hAnsi="Arial Narrow" w:cs="Calibri"/>
                <w:color w:val="000000"/>
                <w:kern w:val="2"/>
                <w:sz w:val="20"/>
                <w:szCs w:val="20"/>
                <w:lang w:val="en-GB"/>
                <w14:ligatures w14:val="standardContextual"/>
              </w:rPr>
              <w:t>Kostot</w:t>
            </w:r>
            <w:proofErr w:type="spellEnd"/>
            <w:r w:rsidRPr="00637DBA">
              <w:rPr>
                <w:rFonts w:ascii="Arial Narrow" w:eastAsia="Aptos" w:hAnsi="Arial Narrow" w:cs="Calibri"/>
                <w:color w:val="000000"/>
                <w:kern w:val="2"/>
                <w:sz w:val="20"/>
                <w:szCs w:val="20"/>
                <w:lang w:val="en-GB"/>
                <w14:ligatures w14:val="standardContextual"/>
              </w:rPr>
              <w:t xml:space="preserve"> </w:t>
            </w:r>
            <w:proofErr w:type="spellStart"/>
            <w:r w:rsidRPr="00637DBA">
              <w:rPr>
                <w:rFonts w:ascii="Arial Narrow" w:eastAsia="Aptos" w:hAnsi="Arial Narrow" w:cs="Calibri"/>
                <w:color w:val="000000"/>
                <w:kern w:val="2"/>
                <w:sz w:val="20"/>
                <w:szCs w:val="20"/>
                <w:lang w:val="en-GB"/>
                <w14:ligatures w14:val="standardContextual"/>
              </w:rPr>
              <w:t>totale</w:t>
            </w:r>
            <w:proofErr w:type="spellEnd"/>
            <w:r w:rsidRPr="00637DBA">
              <w:rPr>
                <w:rFonts w:ascii="Arial Narrow" w:eastAsia="Aptos" w:hAnsi="Arial Narrow" w:cs="Calibri"/>
                <w:color w:val="000000"/>
                <w:kern w:val="2"/>
                <w:sz w:val="20"/>
                <w:szCs w:val="20"/>
                <w:lang w:val="en-GB"/>
                <w14:ligatures w14:val="standardContextual"/>
              </w:rPr>
              <w:t xml:space="preserve">, </w:t>
            </w:r>
            <w:proofErr w:type="spellStart"/>
            <w:r w:rsidRPr="00637DBA">
              <w:rPr>
                <w:rFonts w:ascii="Arial Narrow" w:eastAsia="Aptos" w:hAnsi="Arial Narrow" w:cs="Calibri"/>
                <w:color w:val="000000"/>
                <w:kern w:val="2"/>
                <w:sz w:val="20"/>
                <w:szCs w:val="20"/>
                <w:lang w:val="en-GB"/>
                <w14:ligatures w14:val="standardContextual"/>
              </w:rPr>
              <w:t>mijë</w:t>
            </w:r>
            <w:proofErr w:type="spellEnd"/>
            <w:r w:rsidRPr="00637DBA">
              <w:rPr>
                <w:rFonts w:ascii="Arial Narrow" w:eastAsia="Aptos" w:hAnsi="Arial Narrow" w:cs="Calibri"/>
                <w:color w:val="000000"/>
                <w:kern w:val="2"/>
                <w:sz w:val="20"/>
                <w:szCs w:val="20"/>
                <w:lang w:val="en-GB"/>
                <w14:ligatures w14:val="standardContextual"/>
              </w:rPr>
              <w:t xml:space="preserve"> euro</w:t>
            </w:r>
          </w:p>
        </w:tc>
        <w:tc>
          <w:tcPr>
            <w:tcW w:w="393" w:type="pct"/>
            <w:shd w:val="clear" w:color="auto" w:fill="auto"/>
            <w:noWrap/>
            <w:tcMar>
              <w:left w:w="43" w:type="dxa"/>
              <w:right w:w="43" w:type="dxa"/>
            </w:tcMar>
            <w:vAlign w:val="bottom"/>
            <w:hideMark/>
          </w:tcPr>
          <w:p w14:paraId="1B4E98F3"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848</w:t>
            </w:r>
          </w:p>
        </w:tc>
        <w:tc>
          <w:tcPr>
            <w:tcW w:w="394" w:type="pct"/>
            <w:shd w:val="clear" w:color="auto" w:fill="auto"/>
            <w:noWrap/>
            <w:tcMar>
              <w:left w:w="43" w:type="dxa"/>
              <w:right w:w="43" w:type="dxa"/>
            </w:tcMar>
            <w:vAlign w:val="bottom"/>
            <w:hideMark/>
          </w:tcPr>
          <w:p w14:paraId="314E5455"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1,055</w:t>
            </w:r>
          </w:p>
        </w:tc>
        <w:tc>
          <w:tcPr>
            <w:tcW w:w="392" w:type="pct"/>
            <w:shd w:val="clear" w:color="auto" w:fill="auto"/>
            <w:noWrap/>
            <w:tcMar>
              <w:left w:w="43" w:type="dxa"/>
              <w:right w:w="43" w:type="dxa"/>
            </w:tcMar>
            <w:vAlign w:val="bottom"/>
            <w:hideMark/>
          </w:tcPr>
          <w:p w14:paraId="2506013F"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1,050</w:t>
            </w:r>
          </w:p>
        </w:tc>
        <w:tc>
          <w:tcPr>
            <w:tcW w:w="394" w:type="pct"/>
            <w:shd w:val="clear" w:color="auto" w:fill="auto"/>
            <w:noWrap/>
            <w:tcMar>
              <w:left w:w="43" w:type="dxa"/>
              <w:right w:w="43" w:type="dxa"/>
            </w:tcMar>
            <w:vAlign w:val="bottom"/>
            <w:hideMark/>
          </w:tcPr>
          <w:p w14:paraId="726A827C"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1,041</w:t>
            </w:r>
          </w:p>
        </w:tc>
        <w:tc>
          <w:tcPr>
            <w:tcW w:w="404" w:type="pct"/>
            <w:shd w:val="clear" w:color="auto" w:fill="auto"/>
            <w:noWrap/>
            <w:tcMar>
              <w:left w:w="43" w:type="dxa"/>
              <w:right w:w="43" w:type="dxa"/>
            </w:tcMar>
            <w:vAlign w:val="bottom"/>
            <w:hideMark/>
          </w:tcPr>
          <w:p w14:paraId="7B1CBC84"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1,031</w:t>
            </w:r>
          </w:p>
        </w:tc>
        <w:tc>
          <w:tcPr>
            <w:tcW w:w="420" w:type="pct"/>
            <w:shd w:val="clear" w:color="auto" w:fill="auto"/>
            <w:noWrap/>
            <w:tcMar>
              <w:left w:w="43" w:type="dxa"/>
              <w:right w:w="43" w:type="dxa"/>
            </w:tcMar>
            <w:vAlign w:val="bottom"/>
            <w:hideMark/>
          </w:tcPr>
          <w:p w14:paraId="1878FC55"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1,177</w:t>
            </w:r>
          </w:p>
        </w:tc>
        <w:tc>
          <w:tcPr>
            <w:tcW w:w="397" w:type="pct"/>
            <w:shd w:val="clear" w:color="auto" w:fill="auto"/>
            <w:noWrap/>
            <w:tcMar>
              <w:left w:w="43" w:type="dxa"/>
              <w:right w:w="43" w:type="dxa"/>
            </w:tcMar>
            <w:vAlign w:val="bottom"/>
            <w:hideMark/>
          </w:tcPr>
          <w:p w14:paraId="7474FD67"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1,232</w:t>
            </w:r>
          </w:p>
        </w:tc>
        <w:tc>
          <w:tcPr>
            <w:tcW w:w="397" w:type="pct"/>
            <w:shd w:val="clear" w:color="auto" w:fill="auto"/>
            <w:noWrap/>
            <w:tcMar>
              <w:left w:w="43" w:type="dxa"/>
              <w:right w:w="43" w:type="dxa"/>
            </w:tcMar>
            <w:vAlign w:val="bottom"/>
            <w:hideMark/>
          </w:tcPr>
          <w:p w14:paraId="472A3EEB"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1,229</w:t>
            </w:r>
          </w:p>
        </w:tc>
        <w:tc>
          <w:tcPr>
            <w:tcW w:w="397" w:type="pct"/>
            <w:shd w:val="clear" w:color="auto" w:fill="auto"/>
            <w:noWrap/>
            <w:tcMar>
              <w:left w:w="43" w:type="dxa"/>
              <w:right w:w="43" w:type="dxa"/>
            </w:tcMar>
            <w:vAlign w:val="bottom"/>
            <w:hideMark/>
          </w:tcPr>
          <w:p w14:paraId="3ABCA9CB"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1,209</w:t>
            </w:r>
          </w:p>
        </w:tc>
        <w:tc>
          <w:tcPr>
            <w:tcW w:w="393" w:type="pct"/>
            <w:shd w:val="clear" w:color="auto" w:fill="auto"/>
            <w:noWrap/>
            <w:tcMar>
              <w:left w:w="43" w:type="dxa"/>
              <w:right w:w="43" w:type="dxa"/>
            </w:tcMar>
            <w:vAlign w:val="bottom"/>
            <w:hideMark/>
          </w:tcPr>
          <w:p w14:paraId="72CAA437"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1,209</w:t>
            </w:r>
          </w:p>
        </w:tc>
      </w:tr>
      <w:tr w:rsidR="00637DBA" w:rsidRPr="007D1EDC" w14:paraId="11CC9347" w14:textId="77777777" w:rsidTr="00D03949">
        <w:trPr>
          <w:trHeight w:val="210"/>
        </w:trPr>
        <w:tc>
          <w:tcPr>
            <w:tcW w:w="1019" w:type="pct"/>
            <w:tcMar>
              <w:left w:w="43" w:type="dxa"/>
              <w:right w:w="43" w:type="dxa"/>
            </w:tcMar>
            <w:vAlign w:val="bottom"/>
          </w:tcPr>
          <w:p w14:paraId="2D6E1204" w14:textId="16DB1C29" w:rsidR="00637DBA" w:rsidRPr="00637DBA" w:rsidRDefault="00637DBA" w:rsidP="00637DBA">
            <w:pPr>
              <w:rPr>
                <w:rFonts w:ascii="Arial Narrow" w:hAnsi="Arial Narrow" w:cs="Calibri"/>
                <w:color w:val="000000"/>
                <w:sz w:val="20"/>
                <w:szCs w:val="20"/>
                <w:lang w:val="en-GB" w:eastAsia="en-GB"/>
              </w:rPr>
            </w:pPr>
            <w:proofErr w:type="spellStart"/>
            <w:r w:rsidRPr="00637DBA">
              <w:rPr>
                <w:rFonts w:ascii="Arial Narrow" w:eastAsia="Aptos" w:hAnsi="Arial Narrow" w:cs="Calibri"/>
                <w:color w:val="000000"/>
                <w:kern w:val="2"/>
                <w:sz w:val="20"/>
                <w:szCs w:val="20"/>
                <w:lang w:val="en-GB"/>
                <w14:ligatures w14:val="standardContextual"/>
              </w:rPr>
              <w:t>Kostot</w:t>
            </w:r>
            <w:proofErr w:type="spellEnd"/>
            <w:r w:rsidRPr="00637DBA">
              <w:rPr>
                <w:rFonts w:ascii="Arial Narrow" w:eastAsia="Aptos" w:hAnsi="Arial Narrow" w:cs="Calibri"/>
                <w:color w:val="000000"/>
                <w:kern w:val="2"/>
                <w:sz w:val="20"/>
                <w:szCs w:val="20"/>
                <w:lang w:val="en-GB"/>
                <w14:ligatures w14:val="standardContextual"/>
              </w:rPr>
              <w:t xml:space="preserve"> </w:t>
            </w:r>
            <w:proofErr w:type="spellStart"/>
            <w:r w:rsidRPr="00637DBA">
              <w:rPr>
                <w:rFonts w:ascii="Arial Narrow" w:eastAsia="Aptos" w:hAnsi="Arial Narrow" w:cs="Calibri"/>
                <w:color w:val="000000"/>
                <w:kern w:val="2"/>
                <w:sz w:val="20"/>
                <w:szCs w:val="20"/>
                <w:lang w:val="en-GB"/>
                <w14:ligatures w14:val="standardContextual"/>
              </w:rPr>
              <w:t>totale</w:t>
            </w:r>
            <w:proofErr w:type="spellEnd"/>
            <w:r w:rsidRPr="00637DBA">
              <w:rPr>
                <w:rFonts w:ascii="Arial Narrow" w:eastAsia="Aptos" w:hAnsi="Arial Narrow" w:cs="Calibri"/>
                <w:color w:val="000000"/>
                <w:kern w:val="2"/>
                <w:sz w:val="20"/>
                <w:szCs w:val="20"/>
                <w:lang w:val="en-GB"/>
                <w14:ligatures w14:val="standardContextual"/>
              </w:rPr>
              <w:t xml:space="preserve"> me TVSH</w:t>
            </w:r>
          </w:p>
        </w:tc>
        <w:tc>
          <w:tcPr>
            <w:tcW w:w="393" w:type="pct"/>
            <w:shd w:val="clear" w:color="auto" w:fill="auto"/>
            <w:noWrap/>
            <w:tcMar>
              <w:left w:w="43" w:type="dxa"/>
              <w:right w:w="43" w:type="dxa"/>
            </w:tcMar>
            <w:vAlign w:val="bottom"/>
            <w:hideMark/>
          </w:tcPr>
          <w:p w14:paraId="72B5FF2A"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916</w:t>
            </w:r>
          </w:p>
        </w:tc>
        <w:tc>
          <w:tcPr>
            <w:tcW w:w="394" w:type="pct"/>
            <w:shd w:val="clear" w:color="auto" w:fill="auto"/>
            <w:noWrap/>
            <w:tcMar>
              <w:left w:w="43" w:type="dxa"/>
              <w:right w:w="43" w:type="dxa"/>
            </w:tcMar>
            <w:vAlign w:val="bottom"/>
            <w:hideMark/>
          </w:tcPr>
          <w:p w14:paraId="4B0AD4AF"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1,140</w:t>
            </w:r>
          </w:p>
        </w:tc>
        <w:tc>
          <w:tcPr>
            <w:tcW w:w="392" w:type="pct"/>
            <w:shd w:val="clear" w:color="auto" w:fill="auto"/>
            <w:noWrap/>
            <w:tcMar>
              <w:left w:w="43" w:type="dxa"/>
              <w:right w:w="43" w:type="dxa"/>
            </w:tcMar>
            <w:vAlign w:val="bottom"/>
            <w:hideMark/>
          </w:tcPr>
          <w:p w14:paraId="798E2319"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1,134</w:t>
            </w:r>
          </w:p>
        </w:tc>
        <w:tc>
          <w:tcPr>
            <w:tcW w:w="394" w:type="pct"/>
            <w:shd w:val="clear" w:color="auto" w:fill="auto"/>
            <w:noWrap/>
            <w:tcMar>
              <w:left w:w="43" w:type="dxa"/>
              <w:right w:w="43" w:type="dxa"/>
            </w:tcMar>
            <w:vAlign w:val="bottom"/>
            <w:hideMark/>
          </w:tcPr>
          <w:p w14:paraId="5CE57B01"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1,125</w:t>
            </w:r>
          </w:p>
        </w:tc>
        <w:tc>
          <w:tcPr>
            <w:tcW w:w="404" w:type="pct"/>
            <w:shd w:val="clear" w:color="auto" w:fill="auto"/>
            <w:noWrap/>
            <w:tcMar>
              <w:left w:w="43" w:type="dxa"/>
              <w:right w:w="43" w:type="dxa"/>
            </w:tcMar>
            <w:vAlign w:val="bottom"/>
            <w:hideMark/>
          </w:tcPr>
          <w:p w14:paraId="6AACB831"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1,114</w:t>
            </w:r>
          </w:p>
        </w:tc>
        <w:tc>
          <w:tcPr>
            <w:tcW w:w="420" w:type="pct"/>
            <w:shd w:val="clear" w:color="auto" w:fill="auto"/>
            <w:noWrap/>
            <w:tcMar>
              <w:left w:w="43" w:type="dxa"/>
              <w:right w:w="43" w:type="dxa"/>
            </w:tcMar>
            <w:vAlign w:val="bottom"/>
            <w:hideMark/>
          </w:tcPr>
          <w:p w14:paraId="7F23200A"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1,272</w:t>
            </w:r>
          </w:p>
        </w:tc>
        <w:tc>
          <w:tcPr>
            <w:tcW w:w="397" w:type="pct"/>
            <w:shd w:val="clear" w:color="auto" w:fill="auto"/>
            <w:noWrap/>
            <w:tcMar>
              <w:left w:w="43" w:type="dxa"/>
              <w:right w:w="43" w:type="dxa"/>
            </w:tcMar>
            <w:vAlign w:val="bottom"/>
            <w:hideMark/>
          </w:tcPr>
          <w:p w14:paraId="01912396"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1,330</w:t>
            </w:r>
          </w:p>
        </w:tc>
        <w:tc>
          <w:tcPr>
            <w:tcW w:w="397" w:type="pct"/>
            <w:shd w:val="clear" w:color="auto" w:fill="auto"/>
            <w:noWrap/>
            <w:tcMar>
              <w:left w:w="43" w:type="dxa"/>
              <w:right w:w="43" w:type="dxa"/>
            </w:tcMar>
            <w:vAlign w:val="bottom"/>
            <w:hideMark/>
          </w:tcPr>
          <w:p w14:paraId="380EE006"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1,328</w:t>
            </w:r>
          </w:p>
        </w:tc>
        <w:tc>
          <w:tcPr>
            <w:tcW w:w="397" w:type="pct"/>
            <w:shd w:val="clear" w:color="auto" w:fill="auto"/>
            <w:noWrap/>
            <w:tcMar>
              <w:left w:w="43" w:type="dxa"/>
              <w:right w:w="43" w:type="dxa"/>
            </w:tcMar>
            <w:vAlign w:val="bottom"/>
            <w:hideMark/>
          </w:tcPr>
          <w:p w14:paraId="2DB5184E"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1,305</w:t>
            </w:r>
          </w:p>
        </w:tc>
        <w:tc>
          <w:tcPr>
            <w:tcW w:w="393" w:type="pct"/>
            <w:shd w:val="clear" w:color="auto" w:fill="auto"/>
            <w:noWrap/>
            <w:tcMar>
              <w:left w:w="43" w:type="dxa"/>
              <w:right w:w="43" w:type="dxa"/>
            </w:tcMar>
            <w:vAlign w:val="bottom"/>
            <w:hideMark/>
          </w:tcPr>
          <w:p w14:paraId="17722A47"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1,306</w:t>
            </w:r>
          </w:p>
        </w:tc>
      </w:tr>
      <w:tr w:rsidR="00637DBA" w:rsidRPr="007D1EDC" w14:paraId="5B6A4B5C" w14:textId="77777777" w:rsidTr="00D03949">
        <w:trPr>
          <w:trHeight w:val="210"/>
        </w:trPr>
        <w:tc>
          <w:tcPr>
            <w:tcW w:w="1019" w:type="pct"/>
            <w:tcMar>
              <w:left w:w="43" w:type="dxa"/>
              <w:right w:w="43" w:type="dxa"/>
            </w:tcMar>
            <w:vAlign w:val="bottom"/>
          </w:tcPr>
          <w:p w14:paraId="703AC815" w14:textId="56C9C168" w:rsidR="00637DBA" w:rsidRPr="00637DBA" w:rsidRDefault="00637DBA" w:rsidP="00637DBA">
            <w:pPr>
              <w:rPr>
                <w:rFonts w:ascii="Arial Narrow" w:hAnsi="Arial Narrow" w:cs="Calibri"/>
                <w:color w:val="000000"/>
                <w:sz w:val="20"/>
                <w:szCs w:val="20"/>
                <w:lang w:val="en-GB" w:eastAsia="en-GB"/>
              </w:rPr>
            </w:pPr>
            <w:proofErr w:type="spellStart"/>
            <w:r w:rsidRPr="00637DBA">
              <w:rPr>
                <w:rFonts w:ascii="Arial Narrow" w:hAnsi="Arial Narrow" w:cs="Calibri"/>
                <w:color w:val="000000"/>
                <w:sz w:val="20"/>
                <w:szCs w:val="20"/>
                <w:lang w:val="en-GB" w:eastAsia="en-GB"/>
              </w:rPr>
              <w:t>Faturimi</w:t>
            </w:r>
            <w:proofErr w:type="spellEnd"/>
            <w:r w:rsidRPr="00637DBA">
              <w:rPr>
                <w:rFonts w:ascii="Arial Narrow" w:hAnsi="Arial Narrow" w:cs="Calibri"/>
                <w:color w:val="000000"/>
                <w:sz w:val="20"/>
                <w:szCs w:val="20"/>
                <w:lang w:val="en-GB" w:eastAsia="en-GB"/>
              </w:rPr>
              <w:t xml:space="preserve"> </w:t>
            </w:r>
            <w:proofErr w:type="spellStart"/>
            <w:r w:rsidRPr="00637DBA">
              <w:rPr>
                <w:rFonts w:ascii="Arial Narrow" w:hAnsi="Arial Narrow" w:cs="Calibri"/>
                <w:color w:val="000000"/>
                <w:sz w:val="20"/>
                <w:szCs w:val="20"/>
                <w:lang w:val="en-GB" w:eastAsia="en-GB"/>
              </w:rPr>
              <w:t>për</w:t>
            </w:r>
            <w:proofErr w:type="spellEnd"/>
            <w:r w:rsidRPr="00637DBA">
              <w:rPr>
                <w:rFonts w:ascii="Arial Narrow" w:hAnsi="Arial Narrow" w:cs="Calibri"/>
                <w:color w:val="000000"/>
                <w:sz w:val="20"/>
                <w:szCs w:val="20"/>
                <w:lang w:val="en-GB" w:eastAsia="en-GB"/>
              </w:rPr>
              <w:t xml:space="preserve"> </w:t>
            </w:r>
            <w:proofErr w:type="spellStart"/>
            <w:r w:rsidRPr="00637DBA">
              <w:rPr>
                <w:rFonts w:ascii="Arial Narrow" w:hAnsi="Arial Narrow" w:cs="Calibri"/>
                <w:color w:val="000000"/>
                <w:sz w:val="20"/>
                <w:szCs w:val="20"/>
                <w:lang w:val="en-GB" w:eastAsia="en-GB"/>
              </w:rPr>
              <w:t>familjet</w:t>
            </w:r>
            <w:proofErr w:type="spellEnd"/>
          </w:p>
        </w:tc>
        <w:tc>
          <w:tcPr>
            <w:tcW w:w="393" w:type="pct"/>
            <w:shd w:val="clear" w:color="auto" w:fill="auto"/>
            <w:noWrap/>
            <w:tcMar>
              <w:left w:w="43" w:type="dxa"/>
              <w:right w:w="43" w:type="dxa"/>
            </w:tcMar>
            <w:vAlign w:val="bottom"/>
            <w:hideMark/>
          </w:tcPr>
          <w:p w14:paraId="1A1ABDCD"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641</w:t>
            </w:r>
          </w:p>
        </w:tc>
        <w:tc>
          <w:tcPr>
            <w:tcW w:w="394" w:type="pct"/>
            <w:shd w:val="clear" w:color="auto" w:fill="auto"/>
            <w:noWrap/>
            <w:tcMar>
              <w:left w:w="43" w:type="dxa"/>
              <w:right w:w="43" w:type="dxa"/>
            </w:tcMar>
            <w:vAlign w:val="bottom"/>
            <w:hideMark/>
          </w:tcPr>
          <w:p w14:paraId="0EF011CE"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798</w:t>
            </w:r>
          </w:p>
        </w:tc>
        <w:tc>
          <w:tcPr>
            <w:tcW w:w="392" w:type="pct"/>
            <w:shd w:val="clear" w:color="auto" w:fill="auto"/>
            <w:noWrap/>
            <w:tcMar>
              <w:left w:w="43" w:type="dxa"/>
              <w:right w:w="43" w:type="dxa"/>
            </w:tcMar>
            <w:vAlign w:val="bottom"/>
            <w:hideMark/>
          </w:tcPr>
          <w:p w14:paraId="2AE7C562"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794</w:t>
            </w:r>
          </w:p>
        </w:tc>
        <w:tc>
          <w:tcPr>
            <w:tcW w:w="394" w:type="pct"/>
            <w:shd w:val="clear" w:color="auto" w:fill="auto"/>
            <w:noWrap/>
            <w:tcMar>
              <w:left w:w="43" w:type="dxa"/>
              <w:right w:w="43" w:type="dxa"/>
            </w:tcMar>
            <w:vAlign w:val="bottom"/>
            <w:hideMark/>
          </w:tcPr>
          <w:p w14:paraId="188C0743"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787</w:t>
            </w:r>
          </w:p>
        </w:tc>
        <w:tc>
          <w:tcPr>
            <w:tcW w:w="404" w:type="pct"/>
            <w:shd w:val="clear" w:color="auto" w:fill="auto"/>
            <w:noWrap/>
            <w:tcMar>
              <w:left w:w="43" w:type="dxa"/>
              <w:right w:w="43" w:type="dxa"/>
            </w:tcMar>
            <w:vAlign w:val="bottom"/>
            <w:hideMark/>
          </w:tcPr>
          <w:p w14:paraId="4EFF53D4"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780</w:t>
            </w:r>
          </w:p>
        </w:tc>
        <w:tc>
          <w:tcPr>
            <w:tcW w:w="420" w:type="pct"/>
            <w:shd w:val="clear" w:color="auto" w:fill="auto"/>
            <w:noWrap/>
            <w:tcMar>
              <w:left w:w="43" w:type="dxa"/>
              <w:right w:w="43" w:type="dxa"/>
            </w:tcMar>
            <w:vAlign w:val="bottom"/>
            <w:hideMark/>
          </w:tcPr>
          <w:p w14:paraId="343FD896"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890</w:t>
            </w:r>
          </w:p>
        </w:tc>
        <w:tc>
          <w:tcPr>
            <w:tcW w:w="397" w:type="pct"/>
            <w:shd w:val="clear" w:color="auto" w:fill="auto"/>
            <w:noWrap/>
            <w:tcMar>
              <w:left w:w="43" w:type="dxa"/>
              <w:right w:w="43" w:type="dxa"/>
            </w:tcMar>
            <w:vAlign w:val="bottom"/>
            <w:hideMark/>
          </w:tcPr>
          <w:p w14:paraId="1064D3E7"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931</w:t>
            </w:r>
          </w:p>
        </w:tc>
        <w:tc>
          <w:tcPr>
            <w:tcW w:w="397" w:type="pct"/>
            <w:shd w:val="clear" w:color="auto" w:fill="auto"/>
            <w:noWrap/>
            <w:tcMar>
              <w:left w:w="43" w:type="dxa"/>
              <w:right w:w="43" w:type="dxa"/>
            </w:tcMar>
            <w:vAlign w:val="bottom"/>
            <w:hideMark/>
          </w:tcPr>
          <w:p w14:paraId="0721FD7E"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929</w:t>
            </w:r>
          </w:p>
        </w:tc>
        <w:tc>
          <w:tcPr>
            <w:tcW w:w="397" w:type="pct"/>
            <w:shd w:val="clear" w:color="auto" w:fill="auto"/>
            <w:noWrap/>
            <w:tcMar>
              <w:left w:w="43" w:type="dxa"/>
              <w:right w:w="43" w:type="dxa"/>
            </w:tcMar>
            <w:vAlign w:val="bottom"/>
            <w:hideMark/>
          </w:tcPr>
          <w:p w14:paraId="3E068392"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914</w:t>
            </w:r>
          </w:p>
        </w:tc>
        <w:tc>
          <w:tcPr>
            <w:tcW w:w="393" w:type="pct"/>
            <w:shd w:val="clear" w:color="auto" w:fill="auto"/>
            <w:noWrap/>
            <w:tcMar>
              <w:left w:w="43" w:type="dxa"/>
              <w:right w:w="43" w:type="dxa"/>
            </w:tcMar>
            <w:vAlign w:val="bottom"/>
            <w:hideMark/>
          </w:tcPr>
          <w:p w14:paraId="1AF245BE"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914</w:t>
            </w:r>
          </w:p>
        </w:tc>
      </w:tr>
      <w:tr w:rsidR="00637DBA" w:rsidRPr="007D1EDC" w14:paraId="114ED77E" w14:textId="77777777" w:rsidTr="00D03949">
        <w:trPr>
          <w:trHeight w:val="210"/>
        </w:trPr>
        <w:tc>
          <w:tcPr>
            <w:tcW w:w="1019" w:type="pct"/>
            <w:tcMar>
              <w:left w:w="43" w:type="dxa"/>
              <w:right w:w="43" w:type="dxa"/>
            </w:tcMar>
            <w:vAlign w:val="bottom"/>
          </w:tcPr>
          <w:p w14:paraId="17D9F140" w14:textId="45D26AAC" w:rsidR="00637DBA" w:rsidRPr="00637DBA" w:rsidRDefault="00637DBA" w:rsidP="00637DBA">
            <w:pPr>
              <w:rPr>
                <w:rFonts w:ascii="Arial Narrow" w:hAnsi="Arial Narrow" w:cs="Calibri"/>
                <w:color w:val="000000"/>
                <w:sz w:val="20"/>
                <w:szCs w:val="20"/>
                <w:lang w:val="en-GB" w:eastAsia="en-GB"/>
              </w:rPr>
            </w:pPr>
            <w:proofErr w:type="spellStart"/>
            <w:r w:rsidRPr="00637DBA">
              <w:rPr>
                <w:rFonts w:ascii="Arial Narrow" w:hAnsi="Arial Narrow" w:cs="Calibri"/>
                <w:color w:val="000000"/>
                <w:sz w:val="20"/>
                <w:szCs w:val="20"/>
                <w:lang w:val="en-GB" w:eastAsia="en-GB"/>
              </w:rPr>
              <w:t>Faturimi</w:t>
            </w:r>
            <w:proofErr w:type="spellEnd"/>
            <w:r w:rsidRPr="00637DBA">
              <w:rPr>
                <w:rFonts w:ascii="Arial Narrow" w:hAnsi="Arial Narrow" w:cs="Calibri"/>
                <w:color w:val="000000"/>
                <w:sz w:val="20"/>
                <w:szCs w:val="20"/>
                <w:lang w:val="en-GB" w:eastAsia="en-GB"/>
              </w:rPr>
              <w:t xml:space="preserve"> </w:t>
            </w:r>
            <w:proofErr w:type="spellStart"/>
            <w:r w:rsidRPr="00637DBA">
              <w:rPr>
                <w:rFonts w:ascii="Arial Narrow" w:hAnsi="Arial Narrow" w:cs="Calibri"/>
                <w:color w:val="000000"/>
                <w:sz w:val="20"/>
                <w:szCs w:val="20"/>
                <w:lang w:val="en-GB" w:eastAsia="en-GB"/>
              </w:rPr>
              <w:t>për</w:t>
            </w:r>
            <w:proofErr w:type="spellEnd"/>
            <w:r w:rsidRPr="00637DBA">
              <w:rPr>
                <w:rFonts w:ascii="Arial Narrow" w:hAnsi="Arial Narrow" w:cs="Calibri"/>
                <w:color w:val="000000"/>
                <w:sz w:val="20"/>
                <w:szCs w:val="20"/>
                <w:lang w:val="en-GB" w:eastAsia="en-GB"/>
              </w:rPr>
              <w:t xml:space="preserve"> </w:t>
            </w:r>
            <w:proofErr w:type="spellStart"/>
            <w:r w:rsidRPr="00637DBA">
              <w:rPr>
                <w:rFonts w:ascii="Arial Narrow" w:hAnsi="Arial Narrow" w:cs="Calibri"/>
                <w:color w:val="000000"/>
                <w:sz w:val="20"/>
                <w:szCs w:val="20"/>
                <w:lang w:val="en-GB" w:eastAsia="en-GB"/>
              </w:rPr>
              <w:t>entitetet</w:t>
            </w:r>
            <w:proofErr w:type="spellEnd"/>
            <w:r w:rsidRPr="00637DBA">
              <w:rPr>
                <w:rFonts w:ascii="Arial Narrow" w:hAnsi="Arial Narrow" w:cs="Calibri"/>
                <w:color w:val="000000"/>
                <w:sz w:val="20"/>
                <w:szCs w:val="20"/>
                <w:lang w:val="en-GB" w:eastAsia="en-GB"/>
              </w:rPr>
              <w:t xml:space="preserve"> </w:t>
            </w:r>
            <w:proofErr w:type="spellStart"/>
            <w:r w:rsidRPr="00637DBA">
              <w:rPr>
                <w:rFonts w:ascii="Arial Narrow" w:hAnsi="Arial Narrow" w:cs="Calibri"/>
                <w:color w:val="000000"/>
                <w:sz w:val="20"/>
                <w:szCs w:val="20"/>
                <w:lang w:val="en-GB" w:eastAsia="en-GB"/>
              </w:rPr>
              <w:t>juridike</w:t>
            </w:r>
            <w:proofErr w:type="spellEnd"/>
          </w:p>
        </w:tc>
        <w:tc>
          <w:tcPr>
            <w:tcW w:w="393" w:type="pct"/>
            <w:shd w:val="clear" w:color="auto" w:fill="auto"/>
            <w:noWrap/>
            <w:tcMar>
              <w:left w:w="43" w:type="dxa"/>
              <w:right w:w="43" w:type="dxa"/>
            </w:tcMar>
            <w:vAlign w:val="bottom"/>
            <w:hideMark/>
          </w:tcPr>
          <w:p w14:paraId="1F08DC26"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275</w:t>
            </w:r>
          </w:p>
        </w:tc>
        <w:tc>
          <w:tcPr>
            <w:tcW w:w="394" w:type="pct"/>
            <w:shd w:val="clear" w:color="auto" w:fill="auto"/>
            <w:noWrap/>
            <w:tcMar>
              <w:left w:w="43" w:type="dxa"/>
              <w:right w:w="43" w:type="dxa"/>
            </w:tcMar>
            <w:vAlign w:val="bottom"/>
            <w:hideMark/>
          </w:tcPr>
          <w:p w14:paraId="31F2649D"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342</w:t>
            </w:r>
          </w:p>
        </w:tc>
        <w:tc>
          <w:tcPr>
            <w:tcW w:w="392" w:type="pct"/>
            <w:shd w:val="clear" w:color="auto" w:fill="auto"/>
            <w:noWrap/>
            <w:tcMar>
              <w:left w:w="43" w:type="dxa"/>
              <w:right w:w="43" w:type="dxa"/>
            </w:tcMar>
            <w:vAlign w:val="bottom"/>
            <w:hideMark/>
          </w:tcPr>
          <w:p w14:paraId="3B0AA776"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340</w:t>
            </w:r>
          </w:p>
        </w:tc>
        <w:tc>
          <w:tcPr>
            <w:tcW w:w="394" w:type="pct"/>
            <w:shd w:val="clear" w:color="auto" w:fill="auto"/>
            <w:noWrap/>
            <w:tcMar>
              <w:left w:w="43" w:type="dxa"/>
              <w:right w:w="43" w:type="dxa"/>
            </w:tcMar>
            <w:vAlign w:val="bottom"/>
            <w:hideMark/>
          </w:tcPr>
          <w:p w14:paraId="22C73E33"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337</w:t>
            </w:r>
          </w:p>
        </w:tc>
        <w:tc>
          <w:tcPr>
            <w:tcW w:w="404" w:type="pct"/>
            <w:shd w:val="clear" w:color="auto" w:fill="auto"/>
            <w:noWrap/>
            <w:tcMar>
              <w:left w:w="43" w:type="dxa"/>
              <w:right w:w="43" w:type="dxa"/>
            </w:tcMar>
            <w:vAlign w:val="bottom"/>
            <w:hideMark/>
          </w:tcPr>
          <w:p w14:paraId="50A9E652"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334</w:t>
            </w:r>
          </w:p>
        </w:tc>
        <w:tc>
          <w:tcPr>
            <w:tcW w:w="420" w:type="pct"/>
            <w:shd w:val="clear" w:color="auto" w:fill="auto"/>
            <w:noWrap/>
            <w:tcMar>
              <w:left w:w="43" w:type="dxa"/>
              <w:right w:w="43" w:type="dxa"/>
            </w:tcMar>
            <w:vAlign w:val="bottom"/>
            <w:hideMark/>
          </w:tcPr>
          <w:p w14:paraId="20F5AFAF"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381</w:t>
            </w:r>
          </w:p>
        </w:tc>
        <w:tc>
          <w:tcPr>
            <w:tcW w:w="397" w:type="pct"/>
            <w:shd w:val="clear" w:color="auto" w:fill="auto"/>
            <w:noWrap/>
            <w:tcMar>
              <w:left w:w="43" w:type="dxa"/>
              <w:right w:w="43" w:type="dxa"/>
            </w:tcMar>
            <w:vAlign w:val="bottom"/>
            <w:hideMark/>
          </w:tcPr>
          <w:p w14:paraId="0C618287"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399</w:t>
            </w:r>
          </w:p>
        </w:tc>
        <w:tc>
          <w:tcPr>
            <w:tcW w:w="397" w:type="pct"/>
            <w:shd w:val="clear" w:color="auto" w:fill="auto"/>
            <w:noWrap/>
            <w:tcMar>
              <w:left w:w="43" w:type="dxa"/>
              <w:right w:w="43" w:type="dxa"/>
            </w:tcMar>
            <w:vAlign w:val="bottom"/>
            <w:hideMark/>
          </w:tcPr>
          <w:p w14:paraId="13D92021"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398</w:t>
            </w:r>
          </w:p>
        </w:tc>
        <w:tc>
          <w:tcPr>
            <w:tcW w:w="397" w:type="pct"/>
            <w:shd w:val="clear" w:color="auto" w:fill="auto"/>
            <w:noWrap/>
            <w:tcMar>
              <w:left w:w="43" w:type="dxa"/>
              <w:right w:w="43" w:type="dxa"/>
            </w:tcMar>
            <w:vAlign w:val="bottom"/>
            <w:hideMark/>
          </w:tcPr>
          <w:p w14:paraId="0BB2567A"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392</w:t>
            </w:r>
          </w:p>
        </w:tc>
        <w:tc>
          <w:tcPr>
            <w:tcW w:w="393" w:type="pct"/>
            <w:shd w:val="clear" w:color="auto" w:fill="auto"/>
            <w:noWrap/>
            <w:tcMar>
              <w:left w:w="43" w:type="dxa"/>
              <w:right w:w="43" w:type="dxa"/>
            </w:tcMar>
            <w:vAlign w:val="bottom"/>
            <w:hideMark/>
          </w:tcPr>
          <w:p w14:paraId="53AC3A8B"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392</w:t>
            </w:r>
          </w:p>
        </w:tc>
      </w:tr>
      <w:tr w:rsidR="00637DBA" w:rsidRPr="007D1EDC" w14:paraId="1E577C89" w14:textId="77777777" w:rsidTr="00D03949">
        <w:trPr>
          <w:trHeight w:val="200"/>
        </w:trPr>
        <w:tc>
          <w:tcPr>
            <w:tcW w:w="1019" w:type="pct"/>
            <w:tcMar>
              <w:left w:w="43" w:type="dxa"/>
              <w:right w:w="43" w:type="dxa"/>
            </w:tcMar>
            <w:vAlign w:val="bottom"/>
          </w:tcPr>
          <w:p w14:paraId="18ADACF4" w14:textId="74D15664" w:rsidR="00637DBA" w:rsidRPr="00637DBA" w:rsidRDefault="00637DBA" w:rsidP="00637DBA">
            <w:pPr>
              <w:rPr>
                <w:rFonts w:ascii="Arial Narrow" w:hAnsi="Arial Narrow" w:cs="Calibri"/>
                <w:color w:val="000000"/>
                <w:sz w:val="20"/>
                <w:szCs w:val="20"/>
                <w:lang w:val="en-GB" w:eastAsia="en-GB"/>
              </w:rPr>
            </w:pPr>
            <w:proofErr w:type="spellStart"/>
            <w:r w:rsidRPr="00637DBA">
              <w:rPr>
                <w:rFonts w:ascii="Arial Narrow" w:eastAsia="Aptos" w:hAnsi="Arial Narrow" w:cs="Calibri"/>
                <w:color w:val="000000"/>
                <w:kern w:val="2"/>
                <w:sz w:val="20"/>
                <w:szCs w:val="20"/>
                <w:lang w:val="en-GB"/>
                <w14:ligatures w14:val="standardContextual"/>
              </w:rPr>
              <w:t>Pragu</w:t>
            </w:r>
            <w:proofErr w:type="spellEnd"/>
            <w:r w:rsidRPr="00637DBA">
              <w:rPr>
                <w:rFonts w:ascii="Arial Narrow" w:eastAsia="Aptos" w:hAnsi="Arial Narrow" w:cs="Calibri"/>
                <w:color w:val="000000"/>
                <w:kern w:val="2"/>
                <w:sz w:val="20"/>
                <w:szCs w:val="20"/>
                <w:lang w:val="en-GB"/>
                <w14:ligatures w14:val="standardContextual"/>
              </w:rPr>
              <w:t xml:space="preserve"> i </w:t>
            </w:r>
            <w:proofErr w:type="spellStart"/>
            <w:r w:rsidRPr="00637DBA">
              <w:rPr>
                <w:rFonts w:ascii="Arial Narrow" w:eastAsia="Aptos" w:hAnsi="Arial Narrow" w:cs="Calibri"/>
                <w:color w:val="000000"/>
                <w:kern w:val="2"/>
                <w:sz w:val="20"/>
                <w:szCs w:val="20"/>
                <w:lang w:val="en-GB"/>
                <w14:ligatures w14:val="standardContextual"/>
              </w:rPr>
              <w:t>përballueshmërisë</w:t>
            </w:r>
            <w:proofErr w:type="spellEnd"/>
          </w:p>
        </w:tc>
        <w:tc>
          <w:tcPr>
            <w:tcW w:w="393" w:type="pct"/>
            <w:shd w:val="clear" w:color="auto" w:fill="auto"/>
            <w:noWrap/>
            <w:tcMar>
              <w:left w:w="43" w:type="dxa"/>
              <w:right w:w="43" w:type="dxa"/>
            </w:tcMar>
            <w:vAlign w:val="bottom"/>
            <w:hideMark/>
          </w:tcPr>
          <w:p w14:paraId="59D0DE9C"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793</w:t>
            </w:r>
          </w:p>
        </w:tc>
        <w:tc>
          <w:tcPr>
            <w:tcW w:w="394" w:type="pct"/>
            <w:shd w:val="clear" w:color="auto" w:fill="auto"/>
            <w:noWrap/>
            <w:tcMar>
              <w:left w:w="43" w:type="dxa"/>
              <w:right w:w="43" w:type="dxa"/>
            </w:tcMar>
            <w:vAlign w:val="bottom"/>
            <w:hideMark/>
          </w:tcPr>
          <w:p w14:paraId="3CF8FBEF"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816</w:t>
            </w:r>
          </w:p>
        </w:tc>
        <w:tc>
          <w:tcPr>
            <w:tcW w:w="392" w:type="pct"/>
            <w:shd w:val="clear" w:color="auto" w:fill="auto"/>
            <w:noWrap/>
            <w:tcMar>
              <w:left w:w="43" w:type="dxa"/>
              <w:right w:w="43" w:type="dxa"/>
            </w:tcMar>
            <w:vAlign w:val="bottom"/>
            <w:hideMark/>
          </w:tcPr>
          <w:p w14:paraId="36E5E3EE"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840</w:t>
            </w:r>
          </w:p>
        </w:tc>
        <w:tc>
          <w:tcPr>
            <w:tcW w:w="394" w:type="pct"/>
            <w:shd w:val="clear" w:color="auto" w:fill="auto"/>
            <w:noWrap/>
            <w:tcMar>
              <w:left w:w="43" w:type="dxa"/>
              <w:right w:w="43" w:type="dxa"/>
            </w:tcMar>
            <w:vAlign w:val="bottom"/>
            <w:hideMark/>
          </w:tcPr>
          <w:p w14:paraId="2C65EEB7"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865</w:t>
            </w:r>
          </w:p>
        </w:tc>
        <w:tc>
          <w:tcPr>
            <w:tcW w:w="404" w:type="pct"/>
            <w:shd w:val="clear" w:color="auto" w:fill="auto"/>
            <w:noWrap/>
            <w:tcMar>
              <w:left w:w="43" w:type="dxa"/>
              <w:right w:w="43" w:type="dxa"/>
            </w:tcMar>
            <w:vAlign w:val="bottom"/>
            <w:hideMark/>
          </w:tcPr>
          <w:p w14:paraId="5D83A05F"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890</w:t>
            </w:r>
          </w:p>
        </w:tc>
        <w:tc>
          <w:tcPr>
            <w:tcW w:w="420" w:type="pct"/>
            <w:shd w:val="clear" w:color="auto" w:fill="auto"/>
            <w:noWrap/>
            <w:tcMar>
              <w:left w:w="43" w:type="dxa"/>
              <w:right w:w="43" w:type="dxa"/>
            </w:tcMar>
            <w:vAlign w:val="bottom"/>
            <w:hideMark/>
          </w:tcPr>
          <w:p w14:paraId="1DAC37B4"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916</w:t>
            </w:r>
          </w:p>
        </w:tc>
        <w:tc>
          <w:tcPr>
            <w:tcW w:w="397" w:type="pct"/>
            <w:shd w:val="clear" w:color="auto" w:fill="auto"/>
            <w:noWrap/>
            <w:tcMar>
              <w:left w:w="43" w:type="dxa"/>
              <w:right w:w="43" w:type="dxa"/>
            </w:tcMar>
            <w:vAlign w:val="bottom"/>
            <w:hideMark/>
          </w:tcPr>
          <w:p w14:paraId="72E1AA09"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943</w:t>
            </w:r>
          </w:p>
        </w:tc>
        <w:tc>
          <w:tcPr>
            <w:tcW w:w="397" w:type="pct"/>
            <w:shd w:val="clear" w:color="auto" w:fill="auto"/>
            <w:noWrap/>
            <w:tcMar>
              <w:left w:w="43" w:type="dxa"/>
              <w:right w:w="43" w:type="dxa"/>
            </w:tcMar>
            <w:vAlign w:val="bottom"/>
            <w:hideMark/>
          </w:tcPr>
          <w:p w14:paraId="56451D92"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971</w:t>
            </w:r>
          </w:p>
        </w:tc>
        <w:tc>
          <w:tcPr>
            <w:tcW w:w="397" w:type="pct"/>
            <w:shd w:val="clear" w:color="auto" w:fill="auto"/>
            <w:noWrap/>
            <w:tcMar>
              <w:left w:w="43" w:type="dxa"/>
              <w:right w:w="43" w:type="dxa"/>
            </w:tcMar>
            <w:vAlign w:val="bottom"/>
            <w:hideMark/>
          </w:tcPr>
          <w:p w14:paraId="348C3F15"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1,000</w:t>
            </w:r>
          </w:p>
        </w:tc>
        <w:tc>
          <w:tcPr>
            <w:tcW w:w="393" w:type="pct"/>
            <w:shd w:val="clear" w:color="auto" w:fill="auto"/>
            <w:noWrap/>
            <w:tcMar>
              <w:left w:w="43" w:type="dxa"/>
              <w:right w:w="43" w:type="dxa"/>
            </w:tcMar>
            <w:vAlign w:val="bottom"/>
            <w:hideMark/>
          </w:tcPr>
          <w:p w14:paraId="035CE8B1" w14:textId="77777777" w:rsidR="00637DBA" w:rsidRPr="007D1EDC" w:rsidRDefault="00637DBA" w:rsidP="00637DBA">
            <w:pPr>
              <w:jc w:val="right"/>
              <w:rPr>
                <w:rFonts w:ascii="Arial Narrow" w:hAnsi="Arial Narrow" w:cs="Calibri"/>
                <w:color w:val="000000"/>
                <w:sz w:val="18"/>
                <w:szCs w:val="18"/>
                <w:lang w:val="en-GB" w:eastAsia="en-GB"/>
              </w:rPr>
            </w:pPr>
            <w:r w:rsidRPr="007D1EDC">
              <w:rPr>
                <w:rFonts w:ascii="Arial Narrow" w:eastAsia="Aptos" w:hAnsi="Arial Narrow" w:cs="Calibri"/>
                <w:color w:val="000000"/>
                <w:kern w:val="2"/>
                <w:sz w:val="18"/>
                <w:szCs w:val="18"/>
                <w:lang w:val="en-GB"/>
                <w14:ligatures w14:val="standardContextual"/>
              </w:rPr>
              <w:t>1,030</w:t>
            </w:r>
          </w:p>
        </w:tc>
      </w:tr>
    </w:tbl>
    <w:p w14:paraId="1D514A05" w14:textId="77777777" w:rsidR="007D1EDC" w:rsidRPr="007D1EDC" w:rsidRDefault="007D1EDC" w:rsidP="007D1EDC">
      <w:pPr>
        <w:rPr>
          <w:rFonts w:ascii="Arial Narrow" w:eastAsia="Aptos" w:hAnsi="Arial Narrow"/>
          <w:i/>
          <w:iCs/>
          <w:color w:val="0E2841"/>
          <w:kern w:val="2"/>
          <w:sz w:val="18"/>
          <w:szCs w:val="18"/>
          <w:lang w:val="en-GB"/>
          <w14:ligatures w14:val="standardContextual"/>
        </w:rPr>
      </w:pPr>
    </w:p>
    <w:p w14:paraId="529168C6" w14:textId="7BD345A5" w:rsidR="007D1EDC" w:rsidRPr="007D1EDC" w:rsidRDefault="00637DBA" w:rsidP="007D1EDC">
      <w:pPr>
        <w:jc w:val="center"/>
        <w:rPr>
          <w:rFonts w:ascii="Arial Narrow" w:eastAsia="Aptos" w:hAnsi="Arial Narrow"/>
          <w:i/>
          <w:iCs/>
          <w:color w:val="0E2841"/>
          <w:kern w:val="2"/>
          <w:sz w:val="18"/>
          <w:szCs w:val="18"/>
          <w:lang w:val="en-GB"/>
          <w14:ligatures w14:val="standardContextual"/>
        </w:rPr>
      </w:pPr>
      <w:r>
        <w:rPr>
          <w:noProof/>
        </w:rPr>
        <w:lastRenderedPageBreak/>
        <w:drawing>
          <wp:inline distT="0" distB="0" distL="0" distR="0" wp14:anchorId="7323B5F0" wp14:editId="12A6B335">
            <wp:extent cx="4831080" cy="2886710"/>
            <wp:effectExtent l="0" t="0" r="7620" b="8890"/>
            <wp:docPr id="1136847622" name="Chart 1">
              <a:extLst xmlns:a="http://schemas.openxmlformats.org/drawingml/2006/main">
                <a:ext uri="{FF2B5EF4-FFF2-40B4-BE49-F238E27FC236}">
                  <a16:creationId xmlns:a16="http://schemas.microsoft.com/office/drawing/2014/main" id="{FD399EC8-CCE0-444A-B9B9-50C2A4D3B5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0F616F56" w14:textId="69B0BFDA" w:rsidR="007D1EDC" w:rsidRDefault="007D1EDC" w:rsidP="00E4478C">
      <w:pPr>
        <w:pStyle w:val="Figure"/>
        <w:rPr>
          <w:rFonts w:eastAsia="Calibri" w:cs="Calibri"/>
          <w:sz w:val="20"/>
          <w:szCs w:val="20"/>
        </w:rPr>
      </w:pPr>
      <w:bookmarkStart w:id="691" w:name="_Toc193365361"/>
      <w:bookmarkStart w:id="692" w:name="_Toc197472345"/>
      <w:r w:rsidRPr="007D1EDC">
        <w:rPr>
          <w:rFonts w:eastAsia="Calibri" w:cs="Calibri"/>
          <w:sz w:val="20"/>
          <w:szCs w:val="20"/>
        </w:rPr>
        <w:t xml:space="preserve">Figura </w:t>
      </w:r>
      <w:r w:rsidRPr="007D1EDC">
        <w:rPr>
          <w:rFonts w:eastAsia="Calibri" w:cs="Calibri"/>
          <w:sz w:val="20"/>
          <w:szCs w:val="20"/>
        </w:rPr>
        <w:fldChar w:fldCharType="begin"/>
      </w:r>
      <w:r w:rsidRPr="007D1EDC">
        <w:rPr>
          <w:rFonts w:eastAsia="Calibri" w:cs="Calibri"/>
          <w:sz w:val="20"/>
          <w:szCs w:val="20"/>
        </w:rPr>
        <w:instrText xml:space="preserve"> SEQ Figure \* ARABIC </w:instrText>
      </w:r>
      <w:r w:rsidRPr="007D1EDC">
        <w:rPr>
          <w:rFonts w:eastAsia="Calibri" w:cs="Calibri"/>
          <w:sz w:val="20"/>
          <w:szCs w:val="20"/>
        </w:rPr>
        <w:fldChar w:fldCharType="separate"/>
      </w:r>
      <w:r w:rsidR="00C97DF3">
        <w:rPr>
          <w:rFonts w:eastAsia="Calibri" w:cs="Calibri"/>
          <w:noProof/>
          <w:sz w:val="20"/>
          <w:szCs w:val="20"/>
        </w:rPr>
        <w:t xml:space="preserve">44. </w:t>
      </w:r>
      <w:r w:rsidRPr="007D1EDC">
        <w:rPr>
          <w:rFonts w:eastAsia="Calibri" w:cs="Calibri"/>
          <w:sz w:val="20"/>
          <w:szCs w:val="20"/>
        </w:rPr>
        <w:fldChar w:fldCharType="end"/>
      </w:r>
      <w:bookmarkEnd w:id="691"/>
      <w:r w:rsidR="00E4478C" w:rsidRPr="00E4478C">
        <w:rPr>
          <w:rFonts w:eastAsia="Calibri" w:cs="Calibri"/>
          <w:sz w:val="20"/>
          <w:szCs w:val="20"/>
        </w:rPr>
        <w:t xml:space="preserve"> </w:t>
      </w:r>
      <w:r w:rsidR="00E4478C" w:rsidRPr="007D1EDC">
        <w:rPr>
          <w:rFonts w:eastAsia="Calibri" w:cs="Calibri"/>
          <w:sz w:val="20"/>
          <w:szCs w:val="20"/>
        </w:rPr>
        <w:t xml:space="preserve">Të </w:t>
      </w:r>
      <w:r w:rsidR="00E4478C">
        <w:rPr>
          <w:rFonts w:eastAsia="Calibri" w:cs="Calibri"/>
          <w:sz w:val="20"/>
          <w:szCs w:val="20"/>
        </w:rPr>
        <w:t xml:space="preserve">hyrat </w:t>
      </w:r>
      <w:r w:rsidR="00E4478C" w:rsidRPr="007D1EDC">
        <w:rPr>
          <w:rFonts w:eastAsia="Calibri" w:cs="Calibri"/>
          <w:sz w:val="20"/>
          <w:szCs w:val="20"/>
        </w:rPr>
        <w:t xml:space="preserve">e </w:t>
      </w:r>
      <w:r w:rsidR="00E4478C">
        <w:rPr>
          <w:rFonts w:eastAsia="Calibri" w:cs="Calibri"/>
          <w:sz w:val="20"/>
          <w:szCs w:val="20"/>
        </w:rPr>
        <w:t xml:space="preserve">Istogut të </w:t>
      </w:r>
      <w:r w:rsidR="00E4478C" w:rsidRPr="007D1EDC">
        <w:rPr>
          <w:rFonts w:eastAsia="Calibri" w:cs="Calibri"/>
          <w:sz w:val="20"/>
          <w:szCs w:val="20"/>
        </w:rPr>
        <w:t xml:space="preserve">parashikuara nga tarifat </w:t>
      </w:r>
      <w:r w:rsidR="00E4478C">
        <w:rPr>
          <w:rFonts w:eastAsia="Calibri" w:cs="Calibri"/>
          <w:sz w:val="20"/>
          <w:szCs w:val="20"/>
        </w:rPr>
        <w:t>e amvisërisë</w:t>
      </w:r>
      <w:r w:rsidR="00E4478C" w:rsidRPr="007D1EDC">
        <w:rPr>
          <w:rFonts w:eastAsia="Calibri" w:cs="Calibri"/>
          <w:sz w:val="20"/>
          <w:szCs w:val="20"/>
        </w:rPr>
        <w:t xml:space="preserve"> në lidhje me përballueshmërinë</w:t>
      </w:r>
      <w:bookmarkEnd w:id="692"/>
    </w:p>
    <w:p w14:paraId="39CD4886" w14:textId="77777777" w:rsidR="00E4478C" w:rsidRPr="007D1EDC" w:rsidRDefault="00E4478C" w:rsidP="00E4478C">
      <w:pPr>
        <w:pStyle w:val="Figure"/>
        <w:rPr>
          <w:rFonts w:eastAsia="Aptos"/>
          <w:i/>
          <w:iCs/>
          <w:color w:val="0E2841"/>
          <w:kern w:val="2"/>
          <w:sz w:val="18"/>
          <w:szCs w:val="18"/>
          <w:lang w:val="en-GB"/>
          <w14:ligatures w14:val="standardContextual"/>
        </w:rPr>
      </w:pPr>
    </w:p>
    <w:p w14:paraId="27F8F2C9" w14:textId="77777777" w:rsidR="007D1EDC" w:rsidRPr="007D1EDC" w:rsidRDefault="007D1EDC" w:rsidP="007D1EDC">
      <w:pPr>
        <w:rPr>
          <w:rFonts w:ascii="Arial Narrow" w:eastAsia="Aptos" w:hAnsi="Arial Narrow"/>
          <w:b/>
          <w:bCs/>
          <w:kern w:val="2"/>
          <w:sz w:val="22"/>
          <w:szCs w:val="22"/>
          <w:lang w:val="en-GB"/>
          <w14:ligatures w14:val="standardContextual"/>
        </w:rPr>
      </w:pPr>
      <w:proofErr w:type="spellStart"/>
      <w:r w:rsidRPr="007D1EDC">
        <w:rPr>
          <w:rFonts w:ascii="Arial Narrow" w:eastAsia="Aptos" w:hAnsi="Arial Narrow"/>
          <w:b/>
          <w:bCs/>
          <w:kern w:val="2"/>
          <w:sz w:val="22"/>
          <w:szCs w:val="22"/>
          <w:lang w:val="en-GB"/>
          <w14:ligatures w14:val="standardContextual"/>
        </w:rPr>
        <w:t>Komuna</w:t>
      </w:r>
      <w:proofErr w:type="spellEnd"/>
      <w:r w:rsidRPr="007D1EDC">
        <w:rPr>
          <w:rFonts w:ascii="Arial Narrow" w:eastAsia="Aptos" w:hAnsi="Arial Narrow"/>
          <w:b/>
          <w:bCs/>
          <w:kern w:val="2"/>
          <w:sz w:val="22"/>
          <w:szCs w:val="22"/>
          <w:lang w:val="en-GB"/>
          <w14:ligatures w14:val="standardContextual"/>
        </w:rPr>
        <w:t xml:space="preserve"> e </w:t>
      </w:r>
      <w:proofErr w:type="spellStart"/>
      <w:r w:rsidRPr="007D1EDC">
        <w:rPr>
          <w:rFonts w:ascii="Arial Narrow" w:eastAsia="Aptos" w:hAnsi="Arial Narrow"/>
          <w:b/>
          <w:bCs/>
          <w:kern w:val="2"/>
          <w:sz w:val="22"/>
          <w:szCs w:val="22"/>
          <w:lang w:val="en-GB"/>
          <w14:ligatures w14:val="standardContextual"/>
        </w:rPr>
        <w:t>Klinës</w:t>
      </w:r>
      <w:proofErr w:type="spellEnd"/>
    </w:p>
    <w:p w14:paraId="1486D9DF" w14:textId="77777777" w:rsidR="007D1EDC" w:rsidRPr="007D1EDC" w:rsidRDefault="007D1EDC" w:rsidP="007D1EDC">
      <w:pPr>
        <w:rPr>
          <w:rFonts w:ascii="Arial Narrow" w:eastAsia="Aptos" w:hAnsi="Arial Narrow"/>
          <w:i/>
          <w:iCs/>
          <w:color w:val="0E2841"/>
          <w:kern w:val="2"/>
          <w:sz w:val="18"/>
          <w:szCs w:val="18"/>
          <w:lang w:val="en-GB"/>
          <w14:ligatures w14:val="standardContextual"/>
        </w:rPr>
      </w:pPr>
    </w:p>
    <w:p w14:paraId="1460F31E" w14:textId="22F3B963" w:rsidR="007D1EDC" w:rsidRPr="007D1EDC" w:rsidRDefault="007D1EDC" w:rsidP="007D1EDC">
      <w:pPr>
        <w:suppressAutoHyphens/>
        <w:rPr>
          <w:rFonts w:ascii="Arial Narrow" w:eastAsia="Calibri" w:hAnsi="Arial Narrow" w:cs="Calibri"/>
          <w:color w:val="1F497D"/>
          <w:sz w:val="20"/>
          <w:szCs w:val="20"/>
        </w:rPr>
      </w:pPr>
      <w:bookmarkStart w:id="693" w:name="_Toc190966799"/>
      <w:bookmarkStart w:id="694" w:name="_Toc197472296"/>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111.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 xml:space="preserve">Llogaritja e tarifës, komuna </w:t>
      </w:r>
      <w:r w:rsidR="00637DBA">
        <w:rPr>
          <w:rFonts w:ascii="Arial Narrow" w:eastAsia="Calibri" w:hAnsi="Arial Narrow" w:cs="Calibri"/>
          <w:color w:val="1F497D"/>
          <w:sz w:val="20"/>
          <w:szCs w:val="20"/>
        </w:rPr>
        <w:t xml:space="preserve">e </w:t>
      </w:r>
      <w:r w:rsidRPr="007D1EDC">
        <w:rPr>
          <w:rFonts w:ascii="Arial Narrow" w:eastAsia="Calibri" w:hAnsi="Arial Narrow" w:cs="Calibri"/>
          <w:color w:val="1F497D"/>
          <w:sz w:val="20"/>
          <w:szCs w:val="20"/>
        </w:rPr>
        <w:t>Klinë</w:t>
      </w:r>
      <w:r w:rsidR="00637DBA">
        <w:rPr>
          <w:rFonts w:ascii="Arial Narrow" w:eastAsia="Calibri" w:hAnsi="Arial Narrow" w:cs="Calibri"/>
          <w:color w:val="1F497D"/>
          <w:sz w:val="20"/>
          <w:szCs w:val="20"/>
        </w:rPr>
        <w:t>s</w:t>
      </w:r>
      <w:r w:rsidRPr="007D1EDC">
        <w:rPr>
          <w:rFonts w:ascii="Arial Narrow" w:eastAsia="Calibri" w:hAnsi="Arial Narrow" w:cs="Calibri"/>
          <w:color w:val="1F497D"/>
          <w:sz w:val="20"/>
          <w:szCs w:val="20"/>
        </w:rPr>
        <w:t>, mijë euro</w:t>
      </w:r>
      <w:bookmarkEnd w:id="693"/>
      <w:bookmarkEnd w:id="6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09"/>
        <w:gridCol w:w="710"/>
        <w:gridCol w:w="707"/>
        <w:gridCol w:w="710"/>
        <w:gridCol w:w="728"/>
        <w:gridCol w:w="757"/>
        <w:gridCol w:w="716"/>
        <w:gridCol w:w="716"/>
        <w:gridCol w:w="716"/>
        <w:gridCol w:w="709"/>
      </w:tblGrid>
      <w:tr w:rsidR="007D1EDC" w:rsidRPr="007D1EDC" w14:paraId="1A5B6638" w14:textId="77777777" w:rsidTr="00D03949">
        <w:trPr>
          <w:trHeight w:val="220"/>
        </w:trPr>
        <w:tc>
          <w:tcPr>
            <w:tcW w:w="1019" w:type="pct"/>
            <w:shd w:val="clear" w:color="auto" w:fill="365F91"/>
            <w:tcMar>
              <w:left w:w="43" w:type="dxa"/>
              <w:right w:w="43" w:type="dxa"/>
            </w:tcMar>
          </w:tcPr>
          <w:p w14:paraId="665B74BA"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p>
        </w:tc>
        <w:tc>
          <w:tcPr>
            <w:tcW w:w="393" w:type="pct"/>
            <w:shd w:val="clear" w:color="auto" w:fill="365F91"/>
            <w:noWrap/>
            <w:tcMar>
              <w:left w:w="43" w:type="dxa"/>
              <w:right w:w="43" w:type="dxa"/>
            </w:tcMar>
            <w:vAlign w:val="center"/>
            <w:hideMark/>
          </w:tcPr>
          <w:p w14:paraId="5D99F190"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2026</w:t>
            </w:r>
          </w:p>
        </w:tc>
        <w:tc>
          <w:tcPr>
            <w:tcW w:w="394" w:type="pct"/>
            <w:shd w:val="clear" w:color="auto" w:fill="365F91"/>
            <w:noWrap/>
            <w:tcMar>
              <w:left w:w="43" w:type="dxa"/>
              <w:right w:w="43" w:type="dxa"/>
            </w:tcMar>
            <w:vAlign w:val="center"/>
            <w:hideMark/>
          </w:tcPr>
          <w:p w14:paraId="75D51406"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2027</w:t>
            </w:r>
          </w:p>
        </w:tc>
        <w:tc>
          <w:tcPr>
            <w:tcW w:w="392" w:type="pct"/>
            <w:shd w:val="clear" w:color="auto" w:fill="365F91"/>
            <w:noWrap/>
            <w:tcMar>
              <w:left w:w="43" w:type="dxa"/>
              <w:right w:w="43" w:type="dxa"/>
            </w:tcMar>
            <w:vAlign w:val="center"/>
            <w:hideMark/>
          </w:tcPr>
          <w:p w14:paraId="0A6E2DE8"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2028</w:t>
            </w:r>
          </w:p>
        </w:tc>
        <w:tc>
          <w:tcPr>
            <w:tcW w:w="394" w:type="pct"/>
            <w:shd w:val="clear" w:color="auto" w:fill="365F91"/>
            <w:noWrap/>
            <w:tcMar>
              <w:left w:w="43" w:type="dxa"/>
              <w:right w:w="43" w:type="dxa"/>
            </w:tcMar>
            <w:vAlign w:val="center"/>
            <w:hideMark/>
          </w:tcPr>
          <w:p w14:paraId="3FE3DD58"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2029</w:t>
            </w:r>
          </w:p>
        </w:tc>
        <w:tc>
          <w:tcPr>
            <w:tcW w:w="404" w:type="pct"/>
            <w:shd w:val="clear" w:color="auto" w:fill="365F91"/>
            <w:noWrap/>
            <w:tcMar>
              <w:left w:w="43" w:type="dxa"/>
              <w:right w:w="43" w:type="dxa"/>
            </w:tcMar>
            <w:vAlign w:val="center"/>
            <w:hideMark/>
          </w:tcPr>
          <w:p w14:paraId="23AF5E6C"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2030</w:t>
            </w:r>
          </w:p>
        </w:tc>
        <w:tc>
          <w:tcPr>
            <w:tcW w:w="420" w:type="pct"/>
            <w:shd w:val="clear" w:color="auto" w:fill="365F91"/>
            <w:noWrap/>
            <w:tcMar>
              <w:left w:w="43" w:type="dxa"/>
              <w:right w:w="43" w:type="dxa"/>
            </w:tcMar>
            <w:vAlign w:val="center"/>
            <w:hideMark/>
          </w:tcPr>
          <w:p w14:paraId="19C62CD4"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2031</w:t>
            </w:r>
          </w:p>
        </w:tc>
        <w:tc>
          <w:tcPr>
            <w:tcW w:w="397" w:type="pct"/>
            <w:shd w:val="clear" w:color="auto" w:fill="365F91"/>
            <w:noWrap/>
            <w:tcMar>
              <w:left w:w="43" w:type="dxa"/>
              <w:right w:w="43" w:type="dxa"/>
            </w:tcMar>
            <w:vAlign w:val="center"/>
            <w:hideMark/>
          </w:tcPr>
          <w:p w14:paraId="62B28174"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2032</w:t>
            </w:r>
          </w:p>
        </w:tc>
        <w:tc>
          <w:tcPr>
            <w:tcW w:w="397" w:type="pct"/>
            <w:shd w:val="clear" w:color="auto" w:fill="365F91"/>
            <w:noWrap/>
            <w:tcMar>
              <w:left w:w="43" w:type="dxa"/>
              <w:right w:w="43" w:type="dxa"/>
            </w:tcMar>
            <w:vAlign w:val="center"/>
            <w:hideMark/>
          </w:tcPr>
          <w:p w14:paraId="751D2112"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2033</w:t>
            </w:r>
          </w:p>
        </w:tc>
        <w:tc>
          <w:tcPr>
            <w:tcW w:w="397" w:type="pct"/>
            <w:shd w:val="clear" w:color="auto" w:fill="365F91"/>
            <w:noWrap/>
            <w:tcMar>
              <w:left w:w="43" w:type="dxa"/>
              <w:right w:w="43" w:type="dxa"/>
            </w:tcMar>
            <w:vAlign w:val="center"/>
            <w:hideMark/>
          </w:tcPr>
          <w:p w14:paraId="798A98E3"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2034</w:t>
            </w:r>
          </w:p>
        </w:tc>
        <w:tc>
          <w:tcPr>
            <w:tcW w:w="393" w:type="pct"/>
            <w:shd w:val="clear" w:color="auto" w:fill="365F91"/>
            <w:noWrap/>
            <w:tcMar>
              <w:left w:w="43" w:type="dxa"/>
              <w:right w:w="43" w:type="dxa"/>
            </w:tcMar>
            <w:vAlign w:val="center"/>
            <w:hideMark/>
          </w:tcPr>
          <w:p w14:paraId="5518254A"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2035</w:t>
            </w:r>
          </w:p>
        </w:tc>
      </w:tr>
      <w:tr w:rsidR="00637DBA" w:rsidRPr="007D1EDC" w14:paraId="3D80FF10" w14:textId="77777777" w:rsidTr="00D03949">
        <w:trPr>
          <w:trHeight w:val="210"/>
        </w:trPr>
        <w:tc>
          <w:tcPr>
            <w:tcW w:w="1019" w:type="pct"/>
            <w:tcMar>
              <w:left w:w="43" w:type="dxa"/>
              <w:right w:w="43" w:type="dxa"/>
            </w:tcMar>
            <w:vAlign w:val="bottom"/>
          </w:tcPr>
          <w:p w14:paraId="3F6D401F" w14:textId="1BF6E446" w:rsidR="00637DBA" w:rsidRPr="003069B8" w:rsidRDefault="00637DBA" w:rsidP="00637DBA">
            <w:pPr>
              <w:rPr>
                <w:rFonts w:ascii="Arial Narrow" w:hAnsi="Arial Narrow" w:cs="Calibri"/>
                <w:color w:val="FF0000"/>
                <w:sz w:val="20"/>
                <w:szCs w:val="20"/>
                <w:lang w:val="es-ES" w:eastAsia="en-GB"/>
              </w:rPr>
            </w:pPr>
            <w:proofErr w:type="spellStart"/>
            <w:r w:rsidRPr="003069B8">
              <w:rPr>
                <w:rFonts w:ascii="Arial Narrow" w:eastAsia="Aptos" w:hAnsi="Arial Narrow" w:cs="Calibri"/>
                <w:color w:val="000000"/>
                <w:kern w:val="2"/>
                <w:sz w:val="20"/>
                <w:szCs w:val="20"/>
                <w:lang w:val="es-ES"/>
                <w14:ligatures w14:val="standardContextual"/>
              </w:rPr>
              <w:t>Mbeturinat</w:t>
            </w:r>
            <w:proofErr w:type="spellEnd"/>
            <w:r w:rsidRPr="003069B8">
              <w:rPr>
                <w:rFonts w:ascii="Arial Narrow" w:eastAsia="Aptos" w:hAnsi="Arial Narrow" w:cs="Calibri"/>
                <w:color w:val="000000"/>
                <w:kern w:val="2"/>
                <w:sz w:val="20"/>
                <w:szCs w:val="20"/>
                <w:lang w:val="es-ES"/>
                <w14:ligatures w14:val="standardContextual"/>
              </w:rPr>
              <w:t xml:space="preserve"> e </w:t>
            </w:r>
            <w:proofErr w:type="spellStart"/>
            <w:r w:rsidRPr="003069B8">
              <w:rPr>
                <w:rFonts w:ascii="Arial Narrow" w:eastAsia="Aptos" w:hAnsi="Arial Narrow" w:cs="Calibri"/>
                <w:color w:val="000000"/>
                <w:kern w:val="2"/>
                <w:sz w:val="20"/>
                <w:szCs w:val="20"/>
                <w:lang w:val="es-ES"/>
                <w14:ligatures w14:val="standardContextual"/>
              </w:rPr>
              <w:t>përziera</w:t>
            </w:r>
            <w:proofErr w:type="spellEnd"/>
            <w:r w:rsidRPr="003069B8">
              <w:rPr>
                <w:rFonts w:ascii="Arial Narrow" w:eastAsia="Aptos" w:hAnsi="Arial Narrow" w:cs="Calibri"/>
                <w:color w:val="000000"/>
                <w:kern w:val="2"/>
                <w:sz w:val="20"/>
                <w:szCs w:val="20"/>
                <w:lang w:val="es-ES"/>
                <w14:ligatures w14:val="standardContextual"/>
              </w:rPr>
              <w:t xml:space="preserve"> </w:t>
            </w:r>
            <w:proofErr w:type="spellStart"/>
            <w:r w:rsidRPr="003069B8">
              <w:rPr>
                <w:rFonts w:ascii="Arial Narrow" w:eastAsia="Aptos" w:hAnsi="Arial Narrow" w:cs="Calibri"/>
                <w:color w:val="000000"/>
                <w:kern w:val="2"/>
                <w:sz w:val="20"/>
                <w:szCs w:val="20"/>
                <w:lang w:val="es-ES"/>
                <w14:ligatures w14:val="standardContextual"/>
              </w:rPr>
              <w:t>të</w:t>
            </w:r>
            <w:proofErr w:type="spellEnd"/>
            <w:r w:rsidRPr="003069B8">
              <w:rPr>
                <w:rFonts w:ascii="Arial Narrow" w:eastAsia="Aptos" w:hAnsi="Arial Narrow" w:cs="Calibri"/>
                <w:color w:val="000000"/>
                <w:kern w:val="2"/>
                <w:sz w:val="20"/>
                <w:szCs w:val="20"/>
                <w:lang w:val="es-ES"/>
                <w14:ligatures w14:val="standardContextual"/>
              </w:rPr>
              <w:t xml:space="preserve"> </w:t>
            </w:r>
            <w:proofErr w:type="spellStart"/>
            <w:r w:rsidRPr="003069B8">
              <w:rPr>
                <w:rFonts w:ascii="Arial Narrow" w:eastAsia="Aptos" w:hAnsi="Arial Narrow" w:cs="Calibri"/>
                <w:color w:val="000000"/>
                <w:kern w:val="2"/>
                <w:sz w:val="20"/>
                <w:szCs w:val="20"/>
                <w:lang w:val="es-ES"/>
                <w14:ligatures w14:val="standardContextual"/>
              </w:rPr>
              <w:t>grumbulluara</w:t>
            </w:r>
            <w:proofErr w:type="spellEnd"/>
          </w:p>
        </w:tc>
        <w:tc>
          <w:tcPr>
            <w:tcW w:w="393" w:type="pct"/>
            <w:shd w:val="clear" w:color="auto" w:fill="auto"/>
            <w:noWrap/>
            <w:tcMar>
              <w:left w:w="43" w:type="dxa"/>
              <w:right w:w="43" w:type="dxa"/>
            </w:tcMar>
            <w:hideMark/>
          </w:tcPr>
          <w:p w14:paraId="5D41AD91" w14:textId="4B31BB2E"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7,863 t</w:t>
            </w:r>
          </w:p>
        </w:tc>
        <w:tc>
          <w:tcPr>
            <w:tcW w:w="394" w:type="pct"/>
            <w:shd w:val="clear" w:color="auto" w:fill="auto"/>
            <w:noWrap/>
            <w:tcMar>
              <w:left w:w="43" w:type="dxa"/>
              <w:right w:w="43" w:type="dxa"/>
            </w:tcMar>
            <w:hideMark/>
          </w:tcPr>
          <w:p w14:paraId="3BAC7861" w14:textId="2688814B"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6,500 t</w:t>
            </w:r>
          </w:p>
        </w:tc>
        <w:tc>
          <w:tcPr>
            <w:tcW w:w="392" w:type="pct"/>
            <w:shd w:val="clear" w:color="auto" w:fill="auto"/>
            <w:noWrap/>
            <w:tcMar>
              <w:left w:w="43" w:type="dxa"/>
              <w:right w:w="43" w:type="dxa"/>
            </w:tcMar>
            <w:hideMark/>
          </w:tcPr>
          <w:p w14:paraId="6292FFDF" w14:textId="48ED77FB"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6,392 t</w:t>
            </w:r>
          </w:p>
        </w:tc>
        <w:tc>
          <w:tcPr>
            <w:tcW w:w="394" w:type="pct"/>
            <w:shd w:val="clear" w:color="auto" w:fill="auto"/>
            <w:noWrap/>
            <w:tcMar>
              <w:left w:w="43" w:type="dxa"/>
              <w:right w:w="43" w:type="dxa"/>
            </w:tcMar>
            <w:hideMark/>
          </w:tcPr>
          <w:p w14:paraId="3C6EF7A9" w14:textId="56F59ADE"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6,264 t</w:t>
            </w:r>
          </w:p>
        </w:tc>
        <w:tc>
          <w:tcPr>
            <w:tcW w:w="404" w:type="pct"/>
            <w:shd w:val="clear" w:color="auto" w:fill="auto"/>
            <w:noWrap/>
            <w:tcMar>
              <w:left w:w="43" w:type="dxa"/>
              <w:right w:w="43" w:type="dxa"/>
            </w:tcMar>
            <w:hideMark/>
          </w:tcPr>
          <w:p w14:paraId="081FEC95" w14:textId="53F050AA"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6,052 t</w:t>
            </w:r>
          </w:p>
        </w:tc>
        <w:tc>
          <w:tcPr>
            <w:tcW w:w="420" w:type="pct"/>
            <w:shd w:val="clear" w:color="auto" w:fill="auto"/>
            <w:noWrap/>
            <w:tcMar>
              <w:left w:w="43" w:type="dxa"/>
              <w:right w:w="43" w:type="dxa"/>
            </w:tcMar>
            <w:hideMark/>
          </w:tcPr>
          <w:p w14:paraId="4BC3CFF8" w14:textId="2F034982"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5,873 t</w:t>
            </w:r>
          </w:p>
        </w:tc>
        <w:tc>
          <w:tcPr>
            <w:tcW w:w="397" w:type="pct"/>
            <w:shd w:val="clear" w:color="auto" w:fill="auto"/>
            <w:noWrap/>
            <w:tcMar>
              <w:left w:w="43" w:type="dxa"/>
              <w:right w:w="43" w:type="dxa"/>
            </w:tcMar>
            <w:hideMark/>
          </w:tcPr>
          <w:p w14:paraId="320E2DA5" w14:textId="0EDD1BC0"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4,808 t</w:t>
            </w:r>
          </w:p>
        </w:tc>
        <w:tc>
          <w:tcPr>
            <w:tcW w:w="397" w:type="pct"/>
            <w:shd w:val="clear" w:color="auto" w:fill="auto"/>
            <w:noWrap/>
            <w:tcMar>
              <w:left w:w="43" w:type="dxa"/>
              <w:right w:w="43" w:type="dxa"/>
            </w:tcMar>
            <w:hideMark/>
          </w:tcPr>
          <w:p w14:paraId="64F9D088" w14:textId="2DE7F34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4,621 t</w:t>
            </w:r>
          </w:p>
        </w:tc>
        <w:tc>
          <w:tcPr>
            <w:tcW w:w="397" w:type="pct"/>
            <w:shd w:val="clear" w:color="auto" w:fill="auto"/>
            <w:noWrap/>
            <w:tcMar>
              <w:left w:w="43" w:type="dxa"/>
              <w:right w:w="43" w:type="dxa"/>
            </w:tcMar>
            <w:hideMark/>
          </w:tcPr>
          <w:p w14:paraId="5EC1D715" w14:textId="0633475B"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4,433 t</w:t>
            </w:r>
          </w:p>
        </w:tc>
        <w:tc>
          <w:tcPr>
            <w:tcW w:w="393" w:type="pct"/>
            <w:shd w:val="clear" w:color="auto" w:fill="auto"/>
            <w:noWrap/>
            <w:tcMar>
              <w:left w:w="43" w:type="dxa"/>
              <w:right w:w="43" w:type="dxa"/>
            </w:tcMar>
            <w:hideMark/>
          </w:tcPr>
          <w:p w14:paraId="4D652D20" w14:textId="0D5E2AE1"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4,278 t</w:t>
            </w:r>
          </w:p>
        </w:tc>
      </w:tr>
      <w:tr w:rsidR="00637DBA" w:rsidRPr="007D1EDC" w14:paraId="6EB59F7E" w14:textId="77777777" w:rsidTr="00D03949">
        <w:trPr>
          <w:trHeight w:val="210"/>
        </w:trPr>
        <w:tc>
          <w:tcPr>
            <w:tcW w:w="1019" w:type="pct"/>
            <w:tcMar>
              <w:left w:w="43" w:type="dxa"/>
              <w:right w:w="43" w:type="dxa"/>
            </w:tcMar>
            <w:vAlign w:val="bottom"/>
          </w:tcPr>
          <w:p w14:paraId="18C5EBDF" w14:textId="3C98368E" w:rsidR="00637DBA" w:rsidRPr="00637DBA" w:rsidRDefault="00637DBA" w:rsidP="00637DBA">
            <w:pPr>
              <w:rPr>
                <w:rFonts w:ascii="Arial Narrow" w:hAnsi="Arial Narrow" w:cs="Calibri"/>
                <w:color w:val="000000"/>
                <w:sz w:val="20"/>
                <w:szCs w:val="20"/>
                <w:lang w:val="en-GB" w:eastAsia="en-GB"/>
              </w:rPr>
            </w:pPr>
            <w:proofErr w:type="spellStart"/>
            <w:r w:rsidRPr="00637DBA">
              <w:rPr>
                <w:rFonts w:ascii="Arial Narrow" w:eastAsia="Aptos" w:hAnsi="Arial Narrow" w:cs="Calibri"/>
                <w:color w:val="000000"/>
                <w:kern w:val="2"/>
                <w:sz w:val="20"/>
                <w:szCs w:val="20"/>
                <w:lang w:val="en-GB"/>
                <w14:ligatures w14:val="standardContextual"/>
              </w:rPr>
              <w:t>Grumbullimi</w:t>
            </w:r>
            <w:proofErr w:type="spellEnd"/>
            <w:r w:rsidRPr="00637DBA">
              <w:rPr>
                <w:rFonts w:ascii="Arial Narrow" w:eastAsia="Aptos" w:hAnsi="Arial Narrow" w:cs="Calibri"/>
                <w:color w:val="000000"/>
                <w:kern w:val="2"/>
                <w:sz w:val="20"/>
                <w:szCs w:val="20"/>
                <w:lang w:val="en-GB"/>
                <w14:ligatures w14:val="standardContextual"/>
              </w:rPr>
              <w:t xml:space="preserve"> i </w:t>
            </w:r>
            <w:proofErr w:type="spellStart"/>
            <w:r w:rsidRPr="00637DBA">
              <w:rPr>
                <w:rFonts w:ascii="Arial Narrow" w:eastAsia="Aptos" w:hAnsi="Arial Narrow" w:cs="Calibri"/>
                <w:color w:val="000000"/>
                <w:kern w:val="2"/>
                <w:sz w:val="20"/>
                <w:szCs w:val="20"/>
                <w:lang w:val="en-GB"/>
                <w14:ligatures w14:val="standardContextual"/>
              </w:rPr>
              <w:t>mbeturinave</w:t>
            </w:r>
            <w:proofErr w:type="spellEnd"/>
            <w:r w:rsidRPr="00637DBA">
              <w:rPr>
                <w:rFonts w:ascii="Arial Narrow" w:eastAsia="Aptos" w:hAnsi="Arial Narrow" w:cs="Calibri"/>
                <w:color w:val="000000"/>
                <w:kern w:val="2"/>
                <w:sz w:val="20"/>
                <w:szCs w:val="20"/>
                <w:lang w:val="en-GB"/>
                <w14:ligatures w14:val="standardContextual"/>
              </w:rPr>
              <w:t xml:space="preserve"> </w:t>
            </w:r>
            <w:proofErr w:type="spellStart"/>
            <w:r w:rsidRPr="00637DBA">
              <w:rPr>
                <w:rFonts w:ascii="Arial Narrow" w:eastAsia="Aptos" w:hAnsi="Arial Narrow" w:cs="Calibri"/>
                <w:color w:val="000000"/>
                <w:kern w:val="2"/>
                <w:sz w:val="20"/>
                <w:szCs w:val="20"/>
                <w:lang w:val="en-GB"/>
                <w14:ligatures w14:val="standardContextual"/>
              </w:rPr>
              <w:t>të</w:t>
            </w:r>
            <w:proofErr w:type="spellEnd"/>
            <w:r w:rsidRPr="00637DBA">
              <w:rPr>
                <w:rFonts w:ascii="Arial Narrow" w:eastAsia="Aptos" w:hAnsi="Arial Narrow" w:cs="Calibri"/>
                <w:color w:val="000000"/>
                <w:kern w:val="2"/>
                <w:sz w:val="20"/>
                <w:szCs w:val="20"/>
                <w:lang w:val="en-GB"/>
                <w14:ligatures w14:val="standardContextual"/>
              </w:rPr>
              <w:t xml:space="preserve"> </w:t>
            </w:r>
            <w:proofErr w:type="spellStart"/>
            <w:r w:rsidRPr="00637DBA">
              <w:rPr>
                <w:rFonts w:ascii="Arial Narrow" w:eastAsia="Aptos" w:hAnsi="Arial Narrow" w:cs="Calibri"/>
                <w:color w:val="000000"/>
                <w:kern w:val="2"/>
                <w:sz w:val="20"/>
                <w:szCs w:val="20"/>
                <w:lang w:val="en-GB"/>
                <w14:ligatures w14:val="standardContextual"/>
              </w:rPr>
              <w:t>përziera</w:t>
            </w:r>
            <w:proofErr w:type="spellEnd"/>
            <w:r w:rsidRPr="00637DBA">
              <w:rPr>
                <w:rFonts w:ascii="Arial Narrow" w:eastAsia="Aptos" w:hAnsi="Arial Narrow" w:cs="Calibri"/>
                <w:color w:val="000000"/>
                <w:kern w:val="2"/>
                <w:sz w:val="20"/>
                <w:szCs w:val="20"/>
                <w:lang w:val="en-GB"/>
                <w14:ligatures w14:val="standardContextual"/>
              </w:rPr>
              <w:t xml:space="preserve">, </w:t>
            </w:r>
            <w:proofErr w:type="spellStart"/>
            <w:r w:rsidRPr="00637DBA">
              <w:rPr>
                <w:rFonts w:ascii="Arial Narrow" w:eastAsia="Aptos" w:hAnsi="Arial Narrow" w:cs="Calibri"/>
                <w:color w:val="000000"/>
                <w:kern w:val="2"/>
                <w:sz w:val="20"/>
                <w:szCs w:val="20"/>
                <w:lang w:val="en-GB"/>
                <w14:ligatures w14:val="standardContextual"/>
              </w:rPr>
              <w:t>mijë</w:t>
            </w:r>
            <w:proofErr w:type="spellEnd"/>
            <w:r w:rsidRPr="00637DBA">
              <w:rPr>
                <w:rFonts w:ascii="Arial Narrow" w:eastAsia="Aptos" w:hAnsi="Arial Narrow" w:cs="Calibri"/>
                <w:color w:val="000000"/>
                <w:kern w:val="2"/>
                <w:sz w:val="20"/>
                <w:szCs w:val="20"/>
                <w:lang w:val="en-GB"/>
                <w14:ligatures w14:val="standardContextual"/>
              </w:rPr>
              <w:t xml:space="preserve"> euro</w:t>
            </w:r>
          </w:p>
        </w:tc>
        <w:tc>
          <w:tcPr>
            <w:tcW w:w="393" w:type="pct"/>
            <w:shd w:val="clear" w:color="auto" w:fill="auto"/>
            <w:noWrap/>
            <w:tcMar>
              <w:left w:w="43" w:type="dxa"/>
              <w:right w:w="43" w:type="dxa"/>
            </w:tcMar>
            <w:hideMark/>
          </w:tcPr>
          <w:p w14:paraId="7BF6826E"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514</w:t>
            </w:r>
          </w:p>
        </w:tc>
        <w:tc>
          <w:tcPr>
            <w:tcW w:w="394" w:type="pct"/>
            <w:shd w:val="clear" w:color="auto" w:fill="auto"/>
            <w:noWrap/>
            <w:tcMar>
              <w:left w:w="43" w:type="dxa"/>
              <w:right w:w="43" w:type="dxa"/>
            </w:tcMar>
            <w:hideMark/>
          </w:tcPr>
          <w:p w14:paraId="3AF6AD8C"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544</w:t>
            </w:r>
          </w:p>
        </w:tc>
        <w:tc>
          <w:tcPr>
            <w:tcW w:w="392" w:type="pct"/>
            <w:shd w:val="clear" w:color="auto" w:fill="auto"/>
            <w:noWrap/>
            <w:tcMar>
              <w:left w:w="43" w:type="dxa"/>
              <w:right w:w="43" w:type="dxa"/>
            </w:tcMar>
            <w:hideMark/>
          </w:tcPr>
          <w:p w14:paraId="246CA9CE"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544</w:t>
            </w:r>
          </w:p>
        </w:tc>
        <w:tc>
          <w:tcPr>
            <w:tcW w:w="394" w:type="pct"/>
            <w:shd w:val="clear" w:color="auto" w:fill="auto"/>
            <w:noWrap/>
            <w:tcMar>
              <w:left w:w="43" w:type="dxa"/>
              <w:right w:w="43" w:type="dxa"/>
            </w:tcMar>
            <w:hideMark/>
          </w:tcPr>
          <w:p w14:paraId="77BB046C"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534</w:t>
            </w:r>
          </w:p>
        </w:tc>
        <w:tc>
          <w:tcPr>
            <w:tcW w:w="404" w:type="pct"/>
            <w:shd w:val="clear" w:color="auto" w:fill="auto"/>
            <w:noWrap/>
            <w:tcMar>
              <w:left w:w="43" w:type="dxa"/>
              <w:right w:w="43" w:type="dxa"/>
            </w:tcMar>
            <w:hideMark/>
          </w:tcPr>
          <w:p w14:paraId="5CA5931A"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533</w:t>
            </w:r>
          </w:p>
        </w:tc>
        <w:tc>
          <w:tcPr>
            <w:tcW w:w="420" w:type="pct"/>
            <w:shd w:val="clear" w:color="auto" w:fill="auto"/>
            <w:noWrap/>
            <w:tcMar>
              <w:left w:w="43" w:type="dxa"/>
              <w:right w:w="43" w:type="dxa"/>
            </w:tcMar>
            <w:hideMark/>
          </w:tcPr>
          <w:p w14:paraId="57092DA0"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532</w:t>
            </w:r>
          </w:p>
        </w:tc>
        <w:tc>
          <w:tcPr>
            <w:tcW w:w="397" w:type="pct"/>
            <w:shd w:val="clear" w:color="auto" w:fill="auto"/>
            <w:noWrap/>
            <w:tcMar>
              <w:left w:w="43" w:type="dxa"/>
              <w:right w:w="43" w:type="dxa"/>
            </w:tcMar>
            <w:hideMark/>
          </w:tcPr>
          <w:p w14:paraId="16284385"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530</w:t>
            </w:r>
          </w:p>
        </w:tc>
        <w:tc>
          <w:tcPr>
            <w:tcW w:w="397" w:type="pct"/>
            <w:shd w:val="clear" w:color="auto" w:fill="auto"/>
            <w:noWrap/>
            <w:tcMar>
              <w:left w:w="43" w:type="dxa"/>
              <w:right w:w="43" w:type="dxa"/>
            </w:tcMar>
            <w:hideMark/>
          </w:tcPr>
          <w:p w14:paraId="21B30A7A"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522</w:t>
            </w:r>
          </w:p>
        </w:tc>
        <w:tc>
          <w:tcPr>
            <w:tcW w:w="397" w:type="pct"/>
            <w:shd w:val="clear" w:color="auto" w:fill="auto"/>
            <w:noWrap/>
            <w:tcMar>
              <w:left w:w="43" w:type="dxa"/>
              <w:right w:w="43" w:type="dxa"/>
            </w:tcMar>
            <w:hideMark/>
          </w:tcPr>
          <w:p w14:paraId="6CA5B6E5"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510</w:t>
            </w:r>
          </w:p>
        </w:tc>
        <w:tc>
          <w:tcPr>
            <w:tcW w:w="393" w:type="pct"/>
            <w:shd w:val="clear" w:color="auto" w:fill="auto"/>
            <w:noWrap/>
            <w:tcMar>
              <w:left w:w="43" w:type="dxa"/>
              <w:right w:w="43" w:type="dxa"/>
            </w:tcMar>
            <w:hideMark/>
          </w:tcPr>
          <w:p w14:paraId="2C666175"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509</w:t>
            </w:r>
          </w:p>
        </w:tc>
      </w:tr>
      <w:tr w:rsidR="00637DBA" w:rsidRPr="007D1EDC" w14:paraId="73E2C6BF" w14:textId="77777777" w:rsidTr="00D03949">
        <w:trPr>
          <w:trHeight w:val="210"/>
        </w:trPr>
        <w:tc>
          <w:tcPr>
            <w:tcW w:w="1019" w:type="pct"/>
            <w:tcMar>
              <w:left w:w="43" w:type="dxa"/>
              <w:right w:w="43" w:type="dxa"/>
            </w:tcMar>
            <w:vAlign w:val="bottom"/>
          </w:tcPr>
          <w:p w14:paraId="48B48462" w14:textId="4411928C" w:rsidR="00637DBA" w:rsidRPr="00637DBA" w:rsidRDefault="00637DBA" w:rsidP="00637DBA">
            <w:pPr>
              <w:rPr>
                <w:rFonts w:ascii="Arial Narrow" w:hAnsi="Arial Narrow" w:cs="Calibri"/>
                <w:color w:val="000000"/>
                <w:sz w:val="20"/>
                <w:szCs w:val="20"/>
                <w:lang w:val="en-GB" w:eastAsia="en-GB"/>
              </w:rPr>
            </w:pPr>
            <w:proofErr w:type="spellStart"/>
            <w:r w:rsidRPr="00637DBA">
              <w:rPr>
                <w:rFonts w:ascii="Arial Narrow" w:eastAsia="Aptos" w:hAnsi="Arial Narrow" w:cs="Calibri"/>
                <w:color w:val="000000"/>
                <w:kern w:val="2"/>
                <w:sz w:val="20"/>
                <w:szCs w:val="20"/>
                <w:lang w:val="en-GB"/>
                <w14:ligatures w14:val="standardContextual"/>
              </w:rPr>
              <w:t>Kompostimi</w:t>
            </w:r>
            <w:proofErr w:type="spellEnd"/>
            <w:r w:rsidRPr="00637DBA">
              <w:rPr>
                <w:rFonts w:ascii="Arial Narrow" w:eastAsia="Aptos" w:hAnsi="Arial Narrow" w:cs="Calibri"/>
                <w:color w:val="000000"/>
                <w:kern w:val="2"/>
                <w:sz w:val="20"/>
                <w:szCs w:val="20"/>
                <w:lang w:val="en-GB"/>
                <w14:ligatures w14:val="standardContextual"/>
              </w:rPr>
              <w:t xml:space="preserve"> </w:t>
            </w:r>
            <w:proofErr w:type="spellStart"/>
            <w:r w:rsidRPr="00637DBA">
              <w:rPr>
                <w:rFonts w:ascii="Arial Narrow" w:eastAsia="Aptos" w:hAnsi="Arial Narrow" w:cs="Calibri"/>
                <w:color w:val="000000"/>
                <w:kern w:val="2"/>
                <w:sz w:val="20"/>
                <w:szCs w:val="20"/>
                <w:lang w:val="en-GB"/>
                <w14:ligatures w14:val="standardContextual"/>
              </w:rPr>
              <w:t>shtëpiak</w:t>
            </w:r>
            <w:proofErr w:type="spellEnd"/>
            <w:r w:rsidRPr="00637DBA">
              <w:rPr>
                <w:rFonts w:ascii="Arial Narrow" w:eastAsia="Aptos" w:hAnsi="Arial Narrow" w:cs="Calibri"/>
                <w:color w:val="000000"/>
                <w:kern w:val="2"/>
                <w:sz w:val="20"/>
                <w:szCs w:val="20"/>
                <w:lang w:val="en-GB"/>
                <w14:ligatures w14:val="standardContextual"/>
              </w:rPr>
              <w:t xml:space="preserve">, </w:t>
            </w:r>
            <w:proofErr w:type="spellStart"/>
            <w:r w:rsidRPr="00637DBA">
              <w:rPr>
                <w:rFonts w:ascii="Arial Narrow" w:eastAsia="Aptos" w:hAnsi="Arial Narrow" w:cs="Calibri"/>
                <w:color w:val="000000"/>
                <w:kern w:val="2"/>
                <w:sz w:val="20"/>
                <w:szCs w:val="20"/>
                <w:lang w:val="en-GB"/>
                <w14:ligatures w14:val="standardContextual"/>
              </w:rPr>
              <w:t>mijë</w:t>
            </w:r>
            <w:proofErr w:type="spellEnd"/>
            <w:r w:rsidRPr="00637DBA">
              <w:rPr>
                <w:rFonts w:ascii="Arial Narrow" w:eastAsia="Aptos" w:hAnsi="Arial Narrow" w:cs="Calibri"/>
                <w:color w:val="000000"/>
                <w:kern w:val="2"/>
                <w:sz w:val="20"/>
                <w:szCs w:val="20"/>
                <w:lang w:val="en-GB"/>
                <w14:ligatures w14:val="standardContextual"/>
              </w:rPr>
              <w:t xml:space="preserve"> €</w:t>
            </w:r>
          </w:p>
        </w:tc>
        <w:tc>
          <w:tcPr>
            <w:tcW w:w="393" w:type="pct"/>
            <w:shd w:val="clear" w:color="auto" w:fill="auto"/>
            <w:noWrap/>
            <w:tcMar>
              <w:left w:w="43" w:type="dxa"/>
              <w:right w:w="43" w:type="dxa"/>
            </w:tcMar>
            <w:hideMark/>
          </w:tcPr>
          <w:p w14:paraId="504774C0"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0</w:t>
            </w:r>
          </w:p>
        </w:tc>
        <w:tc>
          <w:tcPr>
            <w:tcW w:w="394" w:type="pct"/>
            <w:shd w:val="clear" w:color="auto" w:fill="auto"/>
            <w:noWrap/>
            <w:tcMar>
              <w:left w:w="43" w:type="dxa"/>
              <w:right w:w="43" w:type="dxa"/>
            </w:tcMar>
            <w:hideMark/>
          </w:tcPr>
          <w:p w14:paraId="6056B8B9"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16</w:t>
            </w:r>
          </w:p>
        </w:tc>
        <w:tc>
          <w:tcPr>
            <w:tcW w:w="392" w:type="pct"/>
            <w:shd w:val="clear" w:color="auto" w:fill="auto"/>
            <w:noWrap/>
            <w:tcMar>
              <w:left w:w="43" w:type="dxa"/>
              <w:right w:w="43" w:type="dxa"/>
            </w:tcMar>
            <w:hideMark/>
          </w:tcPr>
          <w:p w14:paraId="79F97C47"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16</w:t>
            </w:r>
          </w:p>
        </w:tc>
        <w:tc>
          <w:tcPr>
            <w:tcW w:w="394" w:type="pct"/>
            <w:shd w:val="clear" w:color="auto" w:fill="auto"/>
            <w:noWrap/>
            <w:tcMar>
              <w:left w:w="43" w:type="dxa"/>
              <w:right w:w="43" w:type="dxa"/>
            </w:tcMar>
            <w:hideMark/>
          </w:tcPr>
          <w:p w14:paraId="73219F49"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17</w:t>
            </w:r>
          </w:p>
        </w:tc>
        <w:tc>
          <w:tcPr>
            <w:tcW w:w="404" w:type="pct"/>
            <w:shd w:val="clear" w:color="auto" w:fill="auto"/>
            <w:noWrap/>
            <w:tcMar>
              <w:left w:w="43" w:type="dxa"/>
              <w:right w:w="43" w:type="dxa"/>
            </w:tcMar>
            <w:hideMark/>
          </w:tcPr>
          <w:p w14:paraId="6BE89825"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18</w:t>
            </w:r>
          </w:p>
        </w:tc>
        <w:tc>
          <w:tcPr>
            <w:tcW w:w="420" w:type="pct"/>
            <w:shd w:val="clear" w:color="auto" w:fill="auto"/>
            <w:noWrap/>
            <w:tcMar>
              <w:left w:w="43" w:type="dxa"/>
              <w:right w:w="43" w:type="dxa"/>
            </w:tcMar>
            <w:hideMark/>
          </w:tcPr>
          <w:p w14:paraId="5521C18B"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19</w:t>
            </w:r>
          </w:p>
        </w:tc>
        <w:tc>
          <w:tcPr>
            <w:tcW w:w="397" w:type="pct"/>
            <w:shd w:val="clear" w:color="auto" w:fill="auto"/>
            <w:noWrap/>
            <w:tcMar>
              <w:left w:w="43" w:type="dxa"/>
              <w:right w:w="43" w:type="dxa"/>
            </w:tcMar>
            <w:hideMark/>
          </w:tcPr>
          <w:p w14:paraId="0B0AE650"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20</w:t>
            </w:r>
          </w:p>
        </w:tc>
        <w:tc>
          <w:tcPr>
            <w:tcW w:w="397" w:type="pct"/>
            <w:shd w:val="clear" w:color="auto" w:fill="auto"/>
            <w:noWrap/>
            <w:tcMar>
              <w:left w:w="43" w:type="dxa"/>
              <w:right w:w="43" w:type="dxa"/>
            </w:tcMar>
            <w:hideMark/>
          </w:tcPr>
          <w:p w14:paraId="3C32455B"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21</w:t>
            </w:r>
          </w:p>
        </w:tc>
        <w:tc>
          <w:tcPr>
            <w:tcW w:w="397" w:type="pct"/>
            <w:shd w:val="clear" w:color="auto" w:fill="auto"/>
            <w:noWrap/>
            <w:tcMar>
              <w:left w:w="43" w:type="dxa"/>
              <w:right w:w="43" w:type="dxa"/>
            </w:tcMar>
            <w:hideMark/>
          </w:tcPr>
          <w:p w14:paraId="6F9B9A09"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22</w:t>
            </w:r>
          </w:p>
        </w:tc>
        <w:tc>
          <w:tcPr>
            <w:tcW w:w="393" w:type="pct"/>
            <w:shd w:val="clear" w:color="auto" w:fill="auto"/>
            <w:noWrap/>
            <w:tcMar>
              <w:left w:w="43" w:type="dxa"/>
              <w:right w:w="43" w:type="dxa"/>
            </w:tcMar>
            <w:hideMark/>
          </w:tcPr>
          <w:p w14:paraId="3F712D47"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23</w:t>
            </w:r>
          </w:p>
        </w:tc>
      </w:tr>
      <w:tr w:rsidR="00637DBA" w:rsidRPr="007D1EDC" w14:paraId="71C94B1D" w14:textId="77777777" w:rsidTr="00D03949">
        <w:trPr>
          <w:trHeight w:val="210"/>
        </w:trPr>
        <w:tc>
          <w:tcPr>
            <w:tcW w:w="1019" w:type="pct"/>
            <w:tcMar>
              <w:left w:w="43" w:type="dxa"/>
              <w:right w:w="43" w:type="dxa"/>
            </w:tcMar>
            <w:vAlign w:val="bottom"/>
          </w:tcPr>
          <w:p w14:paraId="5DEF71F0" w14:textId="53B613C0" w:rsidR="00637DBA" w:rsidRPr="00637DBA" w:rsidRDefault="00637DBA" w:rsidP="00637DBA">
            <w:pPr>
              <w:rPr>
                <w:rFonts w:ascii="Arial Narrow" w:hAnsi="Arial Narrow" w:cs="Calibri"/>
                <w:color w:val="000000"/>
                <w:sz w:val="20"/>
                <w:szCs w:val="20"/>
                <w:lang w:val="en-GB" w:eastAsia="en-GB"/>
              </w:rPr>
            </w:pPr>
            <w:proofErr w:type="spellStart"/>
            <w:r w:rsidRPr="00637DBA">
              <w:rPr>
                <w:rFonts w:ascii="Arial Narrow" w:eastAsia="Aptos" w:hAnsi="Arial Narrow" w:cs="Calibri"/>
                <w:color w:val="000000"/>
                <w:kern w:val="2"/>
                <w:sz w:val="20"/>
                <w:szCs w:val="20"/>
                <w:lang w:val="en-GB"/>
                <w14:ligatures w14:val="standardContextual"/>
              </w:rPr>
              <w:t>Kompostimi</w:t>
            </w:r>
            <w:proofErr w:type="spellEnd"/>
            <w:r w:rsidRPr="00637DBA">
              <w:rPr>
                <w:rFonts w:ascii="Arial Narrow" w:eastAsia="Aptos" w:hAnsi="Arial Narrow" w:cs="Calibri"/>
                <w:color w:val="000000"/>
                <w:kern w:val="2"/>
                <w:sz w:val="20"/>
                <w:szCs w:val="20"/>
                <w:lang w:val="en-GB"/>
                <w14:ligatures w14:val="standardContextual"/>
              </w:rPr>
              <w:t xml:space="preserve"> i </w:t>
            </w:r>
            <w:proofErr w:type="spellStart"/>
            <w:r w:rsidRPr="00637DBA">
              <w:rPr>
                <w:rFonts w:ascii="Arial Narrow" w:eastAsia="Aptos" w:hAnsi="Arial Narrow" w:cs="Calibri"/>
                <w:color w:val="000000"/>
                <w:kern w:val="2"/>
                <w:sz w:val="20"/>
                <w:szCs w:val="20"/>
                <w:lang w:val="en-GB"/>
                <w14:ligatures w14:val="standardContextual"/>
              </w:rPr>
              <w:t>hapur</w:t>
            </w:r>
            <w:proofErr w:type="spellEnd"/>
            <w:r w:rsidRPr="00637DBA">
              <w:rPr>
                <w:rFonts w:ascii="Arial Narrow" w:eastAsia="Aptos" w:hAnsi="Arial Narrow" w:cs="Calibri"/>
                <w:color w:val="000000"/>
                <w:kern w:val="2"/>
                <w:sz w:val="20"/>
                <w:szCs w:val="20"/>
                <w:lang w:val="en-GB"/>
                <w14:ligatures w14:val="standardContextual"/>
              </w:rPr>
              <w:t xml:space="preserve"> pale </w:t>
            </w:r>
            <w:proofErr w:type="spellStart"/>
            <w:r w:rsidRPr="00637DBA">
              <w:rPr>
                <w:rFonts w:ascii="Arial Narrow" w:eastAsia="Aptos" w:hAnsi="Arial Narrow" w:cs="Calibri"/>
                <w:color w:val="000000"/>
                <w:kern w:val="2"/>
                <w:sz w:val="20"/>
                <w:szCs w:val="20"/>
                <w:lang w:val="en-GB"/>
                <w14:ligatures w14:val="standardContextual"/>
              </w:rPr>
              <w:t>palë</w:t>
            </w:r>
            <w:proofErr w:type="spellEnd"/>
            <w:r w:rsidRPr="00637DBA">
              <w:rPr>
                <w:rFonts w:ascii="Arial Narrow" w:eastAsia="Aptos" w:hAnsi="Arial Narrow" w:cs="Calibri"/>
                <w:color w:val="000000"/>
                <w:kern w:val="2"/>
                <w:sz w:val="20"/>
                <w:szCs w:val="20"/>
                <w:lang w:val="en-GB"/>
                <w14:ligatures w14:val="standardContextual"/>
              </w:rPr>
              <w:t xml:space="preserve">, </w:t>
            </w:r>
            <w:proofErr w:type="spellStart"/>
            <w:r w:rsidRPr="00637DBA">
              <w:rPr>
                <w:rFonts w:ascii="Arial Narrow" w:eastAsia="Aptos" w:hAnsi="Arial Narrow" w:cs="Calibri"/>
                <w:color w:val="000000"/>
                <w:kern w:val="2"/>
                <w:sz w:val="20"/>
                <w:szCs w:val="20"/>
                <w:lang w:val="en-GB"/>
                <w14:ligatures w14:val="standardContextual"/>
              </w:rPr>
              <w:t>mijë</w:t>
            </w:r>
            <w:proofErr w:type="spellEnd"/>
            <w:r w:rsidRPr="00637DBA">
              <w:rPr>
                <w:rFonts w:ascii="Arial Narrow" w:eastAsia="Aptos" w:hAnsi="Arial Narrow" w:cs="Calibri"/>
                <w:color w:val="000000"/>
                <w:kern w:val="2"/>
                <w:sz w:val="20"/>
                <w:szCs w:val="20"/>
                <w:lang w:val="en-GB"/>
                <w14:ligatures w14:val="standardContextual"/>
              </w:rPr>
              <w:t xml:space="preserve"> euro</w:t>
            </w:r>
          </w:p>
        </w:tc>
        <w:tc>
          <w:tcPr>
            <w:tcW w:w="393" w:type="pct"/>
            <w:shd w:val="clear" w:color="auto" w:fill="auto"/>
            <w:noWrap/>
            <w:tcMar>
              <w:left w:w="43" w:type="dxa"/>
              <w:right w:w="43" w:type="dxa"/>
            </w:tcMar>
            <w:hideMark/>
          </w:tcPr>
          <w:p w14:paraId="45F2FB66"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0</w:t>
            </w:r>
          </w:p>
        </w:tc>
        <w:tc>
          <w:tcPr>
            <w:tcW w:w="394" w:type="pct"/>
            <w:shd w:val="clear" w:color="auto" w:fill="auto"/>
            <w:noWrap/>
            <w:tcMar>
              <w:left w:w="43" w:type="dxa"/>
              <w:right w:w="43" w:type="dxa"/>
            </w:tcMar>
            <w:hideMark/>
          </w:tcPr>
          <w:p w14:paraId="15A35186"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77</w:t>
            </w:r>
          </w:p>
        </w:tc>
        <w:tc>
          <w:tcPr>
            <w:tcW w:w="392" w:type="pct"/>
            <w:shd w:val="clear" w:color="auto" w:fill="auto"/>
            <w:noWrap/>
            <w:tcMar>
              <w:left w:w="43" w:type="dxa"/>
              <w:right w:w="43" w:type="dxa"/>
            </w:tcMar>
            <w:hideMark/>
          </w:tcPr>
          <w:p w14:paraId="357B3083"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77</w:t>
            </w:r>
          </w:p>
        </w:tc>
        <w:tc>
          <w:tcPr>
            <w:tcW w:w="394" w:type="pct"/>
            <w:shd w:val="clear" w:color="auto" w:fill="auto"/>
            <w:noWrap/>
            <w:tcMar>
              <w:left w:w="43" w:type="dxa"/>
              <w:right w:w="43" w:type="dxa"/>
            </w:tcMar>
            <w:hideMark/>
          </w:tcPr>
          <w:p w14:paraId="5200D938"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77</w:t>
            </w:r>
          </w:p>
        </w:tc>
        <w:tc>
          <w:tcPr>
            <w:tcW w:w="404" w:type="pct"/>
            <w:shd w:val="clear" w:color="auto" w:fill="auto"/>
            <w:noWrap/>
            <w:tcMar>
              <w:left w:w="43" w:type="dxa"/>
              <w:right w:w="43" w:type="dxa"/>
            </w:tcMar>
            <w:hideMark/>
          </w:tcPr>
          <w:p w14:paraId="059A2C10"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77</w:t>
            </w:r>
          </w:p>
        </w:tc>
        <w:tc>
          <w:tcPr>
            <w:tcW w:w="420" w:type="pct"/>
            <w:shd w:val="clear" w:color="auto" w:fill="auto"/>
            <w:noWrap/>
            <w:tcMar>
              <w:left w:w="43" w:type="dxa"/>
              <w:right w:w="43" w:type="dxa"/>
            </w:tcMar>
            <w:hideMark/>
          </w:tcPr>
          <w:p w14:paraId="069918D0"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77</w:t>
            </w:r>
          </w:p>
        </w:tc>
        <w:tc>
          <w:tcPr>
            <w:tcW w:w="397" w:type="pct"/>
            <w:shd w:val="clear" w:color="auto" w:fill="auto"/>
            <w:noWrap/>
            <w:tcMar>
              <w:left w:w="43" w:type="dxa"/>
              <w:right w:w="43" w:type="dxa"/>
            </w:tcMar>
            <w:hideMark/>
          </w:tcPr>
          <w:p w14:paraId="3A59A37A"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77</w:t>
            </w:r>
          </w:p>
        </w:tc>
        <w:tc>
          <w:tcPr>
            <w:tcW w:w="397" w:type="pct"/>
            <w:shd w:val="clear" w:color="auto" w:fill="auto"/>
            <w:noWrap/>
            <w:tcMar>
              <w:left w:w="43" w:type="dxa"/>
              <w:right w:w="43" w:type="dxa"/>
            </w:tcMar>
            <w:hideMark/>
          </w:tcPr>
          <w:p w14:paraId="1BE156D7"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77</w:t>
            </w:r>
          </w:p>
        </w:tc>
        <w:tc>
          <w:tcPr>
            <w:tcW w:w="397" w:type="pct"/>
            <w:shd w:val="clear" w:color="auto" w:fill="auto"/>
            <w:noWrap/>
            <w:tcMar>
              <w:left w:w="43" w:type="dxa"/>
              <w:right w:w="43" w:type="dxa"/>
            </w:tcMar>
            <w:hideMark/>
          </w:tcPr>
          <w:p w14:paraId="2ECD2F94"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77</w:t>
            </w:r>
          </w:p>
        </w:tc>
        <w:tc>
          <w:tcPr>
            <w:tcW w:w="393" w:type="pct"/>
            <w:shd w:val="clear" w:color="auto" w:fill="auto"/>
            <w:noWrap/>
            <w:tcMar>
              <w:left w:w="43" w:type="dxa"/>
              <w:right w:w="43" w:type="dxa"/>
            </w:tcMar>
            <w:hideMark/>
          </w:tcPr>
          <w:p w14:paraId="10A70075"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77</w:t>
            </w:r>
          </w:p>
        </w:tc>
      </w:tr>
      <w:tr w:rsidR="00637DBA" w:rsidRPr="007D1EDC" w14:paraId="54AD48D4" w14:textId="77777777" w:rsidTr="00D03949">
        <w:trPr>
          <w:trHeight w:val="210"/>
        </w:trPr>
        <w:tc>
          <w:tcPr>
            <w:tcW w:w="1019" w:type="pct"/>
            <w:tcMar>
              <w:left w:w="43" w:type="dxa"/>
              <w:right w:w="43" w:type="dxa"/>
            </w:tcMar>
            <w:vAlign w:val="bottom"/>
          </w:tcPr>
          <w:p w14:paraId="525383BB" w14:textId="7CC37EE6" w:rsidR="00637DBA" w:rsidRPr="00637DBA" w:rsidRDefault="00637DBA" w:rsidP="00637DBA">
            <w:pPr>
              <w:rPr>
                <w:rFonts w:ascii="Arial Narrow" w:hAnsi="Arial Narrow" w:cs="Calibri"/>
                <w:color w:val="000000"/>
                <w:sz w:val="20"/>
                <w:szCs w:val="20"/>
                <w:lang w:val="en-GB" w:eastAsia="en-GB"/>
              </w:rPr>
            </w:pPr>
            <w:proofErr w:type="gramStart"/>
            <w:r w:rsidRPr="00637DBA">
              <w:rPr>
                <w:rFonts w:ascii="Arial Narrow" w:eastAsia="Aptos" w:hAnsi="Arial Narrow" w:cs="Calibri"/>
                <w:color w:val="000000"/>
                <w:kern w:val="2"/>
                <w:sz w:val="20"/>
                <w:szCs w:val="20"/>
                <w:lang w:val="en-GB"/>
                <w14:ligatures w14:val="standardContextual"/>
              </w:rPr>
              <w:t>OR,</w:t>
            </w:r>
            <w:proofErr w:type="gramEnd"/>
            <w:r w:rsidRPr="00637DBA">
              <w:rPr>
                <w:rFonts w:ascii="Arial Narrow" w:eastAsia="Aptos" w:hAnsi="Arial Narrow" w:cs="Calibri"/>
                <w:color w:val="000000"/>
                <w:kern w:val="2"/>
                <w:sz w:val="20"/>
                <w:szCs w:val="20"/>
                <w:lang w:val="en-GB"/>
                <w14:ligatures w14:val="standardContextual"/>
              </w:rPr>
              <w:t xml:space="preserve"> </w:t>
            </w:r>
            <w:proofErr w:type="spellStart"/>
            <w:r w:rsidRPr="00637DBA">
              <w:rPr>
                <w:rFonts w:ascii="Arial Narrow" w:eastAsia="Aptos" w:hAnsi="Arial Narrow" w:cs="Calibri"/>
                <w:color w:val="000000"/>
                <w:kern w:val="2"/>
                <w:sz w:val="20"/>
                <w:szCs w:val="20"/>
                <w:lang w:val="en-GB"/>
                <w14:ligatures w14:val="standardContextual"/>
              </w:rPr>
              <w:t>mijë</w:t>
            </w:r>
            <w:proofErr w:type="spellEnd"/>
            <w:r w:rsidRPr="00637DBA">
              <w:rPr>
                <w:rFonts w:ascii="Arial Narrow" w:eastAsia="Aptos" w:hAnsi="Arial Narrow" w:cs="Calibri"/>
                <w:color w:val="000000"/>
                <w:kern w:val="2"/>
                <w:sz w:val="20"/>
                <w:szCs w:val="20"/>
                <w:lang w:val="en-GB"/>
                <w14:ligatures w14:val="standardContextual"/>
              </w:rPr>
              <w:t xml:space="preserve"> euro</w:t>
            </w:r>
          </w:p>
        </w:tc>
        <w:tc>
          <w:tcPr>
            <w:tcW w:w="393" w:type="pct"/>
            <w:shd w:val="clear" w:color="auto" w:fill="auto"/>
            <w:noWrap/>
            <w:tcMar>
              <w:left w:w="43" w:type="dxa"/>
              <w:right w:w="43" w:type="dxa"/>
            </w:tcMar>
            <w:hideMark/>
          </w:tcPr>
          <w:p w14:paraId="68F181DC"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4" w:type="pct"/>
            <w:shd w:val="clear" w:color="auto" w:fill="auto"/>
            <w:noWrap/>
            <w:tcMar>
              <w:left w:w="43" w:type="dxa"/>
              <w:right w:w="43" w:type="dxa"/>
            </w:tcMar>
            <w:hideMark/>
          </w:tcPr>
          <w:p w14:paraId="140FC877"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2" w:type="pct"/>
            <w:shd w:val="clear" w:color="auto" w:fill="auto"/>
            <w:noWrap/>
            <w:tcMar>
              <w:left w:w="43" w:type="dxa"/>
              <w:right w:w="43" w:type="dxa"/>
            </w:tcMar>
            <w:hideMark/>
          </w:tcPr>
          <w:p w14:paraId="3C8A3427"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4" w:type="pct"/>
            <w:shd w:val="clear" w:color="auto" w:fill="auto"/>
            <w:noWrap/>
            <w:tcMar>
              <w:left w:w="43" w:type="dxa"/>
              <w:right w:w="43" w:type="dxa"/>
            </w:tcMar>
            <w:hideMark/>
          </w:tcPr>
          <w:p w14:paraId="1CFF9B7B"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404" w:type="pct"/>
            <w:shd w:val="clear" w:color="auto" w:fill="auto"/>
            <w:noWrap/>
            <w:tcMar>
              <w:left w:w="43" w:type="dxa"/>
              <w:right w:w="43" w:type="dxa"/>
            </w:tcMar>
            <w:hideMark/>
          </w:tcPr>
          <w:p w14:paraId="14FC72F6"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420" w:type="pct"/>
            <w:shd w:val="clear" w:color="auto" w:fill="auto"/>
            <w:noWrap/>
            <w:tcMar>
              <w:left w:w="43" w:type="dxa"/>
              <w:right w:w="43" w:type="dxa"/>
            </w:tcMar>
            <w:hideMark/>
          </w:tcPr>
          <w:p w14:paraId="33D30077"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7" w:type="pct"/>
            <w:shd w:val="clear" w:color="auto" w:fill="auto"/>
            <w:noWrap/>
            <w:tcMar>
              <w:left w:w="43" w:type="dxa"/>
              <w:right w:w="43" w:type="dxa"/>
            </w:tcMar>
            <w:hideMark/>
          </w:tcPr>
          <w:p w14:paraId="40C59871"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7" w:type="pct"/>
            <w:shd w:val="clear" w:color="auto" w:fill="auto"/>
            <w:noWrap/>
            <w:tcMar>
              <w:left w:w="43" w:type="dxa"/>
              <w:right w:w="43" w:type="dxa"/>
            </w:tcMar>
            <w:hideMark/>
          </w:tcPr>
          <w:p w14:paraId="7775FE44"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7" w:type="pct"/>
            <w:shd w:val="clear" w:color="auto" w:fill="auto"/>
            <w:noWrap/>
            <w:tcMar>
              <w:left w:w="43" w:type="dxa"/>
              <w:right w:w="43" w:type="dxa"/>
            </w:tcMar>
            <w:hideMark/>
          </w:tcPr>
          <w:p w14:paraId="04A86108"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3" w:type="pct"/>
            <w:shd w:val="clear" w:color="auto" w:fill="auto"/>
            <w:noWrap/>
            <w:tcMar>
              <w:left w:w="43" w:type="dxa"/>
              <w:right w:w="43" w:type="dxa"/>
            </w:tcMar>
            <w:hideMark/>
          </w:tcPr>
          <w:p w14:paraId="4A9F19CA"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r>
      <w:tr w:rsidR="00637DBA" w:rsidRPr="007D1EDC" w14:paraId="2BC6C8BB" w14:textId="77777777" w:rsidTr="00D03949">
        <w:trPr>
          <w:trHeight w:val="210"/>
        </w:trPr>
        <w:tc>
          <w:tcPr>
            <w:tcW w:w="1019" w:type="pct"/>
            <w:tcMar>
              <w:left w:w="43" w:type="dxa"/>
              <w:right w:w="43" w:type="dxa"/>
            </w:tcMar>
            <w:vAlign w:val="bottom"/>
          </w:tcPr>
          <w:p w14:paraId="16CFBCD1" w14:textId="52EC4958" w:rsidR="00637DBA" w:rsidRPr="003069B8" w:rsidRDefault="00637DBA" w:rsidP="00637DBA">
            <w:pPr>
              <w:rPr>
                <w:rFonts w:ascii="Arial Narrow" w:hAnsi="Arial Narrow" w:cs="Calibri"/>
                <w:color w:val="000000"/>
                <w:sz w:val="20"/>
                <w:szCs w:val="20"/>
                <w:lang w:val="es-ES" w:eastAsia="en-GB"/>
              </w:rPr>
            </w:pPr>
            <w:r w:rsidRPr="003069B8">
              <w:rPr>
                <w:rFonts w:ascii="Arial Narrow" w:eastAsia="Aptos" w:hAnsi="Arial Narrow" w:cs="Calibri"/>
                <w:color w:val="000000"/>
                <w:kern w:val="2"/>
                <w:sz w:val="20"/>
                <w:szCs w:val="20"/>
                <w:lang w:val="es-ES"/>
                <w14:ligatures w14:val="standardContextual"/>
              </w:rPr>
              <w:t xml:space="preserve">Tarifa e </w:t>
            </w:r>
            <w:proofErr w:type="spellStart"/>
            <w:r w:rsidRPr="003069B8">
              <w:rPr>
                <w:rFonts w:ascii="Arial Narrow" w:eastAsia="Aptos" w:hAnsi="Arial Narrow" w:cs="Calibri"/>
                <w:color w:val="000000"/>
                <w:kern w:val="2"/>
                <w:sz w:val="20"/>
                <w:szCs w:val="20"/>
                <w:lang w:val="es-ES"/>
                <w14:ligatures w14:val="standardContextual"/>
              </w:rPr>
              <w:t>portës</w:t>
            </w:r>
            <w:proofErr w:type="spellEnd"/>
            <w:r w:rsidRPr="003069B8">
              <w:rPr>
                <w:rFonts w:ascii="Arial Narrow" w:eastAsia="Aptos" w:hAnsi="Arial Narrow" w:cs="Calibri"/>
                <w:color w:val="000000"/>
                <w:kern w:val="2"/>
                <w:sz w:val="20"/>
                <w:szCs w:val="20"/>
                <w:lang w:val="es-ES"/>
                <w14:ligatures w14:val="standardContextual"/>
              </w:rPr>
              <w:t xml:space="preserve"> </w:t>
            </w:r>
            <w:proofErr w:type="spellStart"/>
            <w:r w:rsidRPr="003069B8">
              <w:rPr>
                <w:rFonts w:ascii="Arial Narrow" w:eastAsia="Aptos" w:hAnsi="Arial Narrow" w:cs="Calibri"/>
                <w:color w:val="000000"/>
                <w:kern w:val="2"/>
                <w:sz w:val="20"/>
                <w:szCs w:val="20"/>
                <w:lang w:val="es-ES"/>
                <w14:ligatures w14:val="standardContextual"/>
              </w:rPr>
              <w:t>në</w:t>
            </w:r>
            <w:proofErr w:type="spellEnd"/>
            <w:r w:rsidRPr="003069B8">
              <w:rPr>
                <w:rFonts w:ascii="Arial Narrow" w:eastAsia="Aptos" w:hAnsi="Arial Narrow" w:cs="Calibri"/>
                <w:color w:val="000000"/>
                <w:kern w:val="2"/>
                <w:sz w:val="20"/>
                <w:szCs w:val="20"/>
                <w:lang w:val="es-ES"/>
                <w14:ligatures w14:val="standardContextual"/>
              </w:rPr>
              <w:t xml:space="preserve"> </w:t>
            </w:r>
            <w:proofErr w:type="spellStart"/>
            <w:r w:rsidRPr="003069B8">
              <w:rPr>
                <w:rFonts w:ascii="Arial Narrow" w:eastAsia="Aptos" w:hAnsi="Arial Narrow" w:cs="Calibri"/>
                <w:color w:val="000000"/>
                <w:kern w:val="2"/>
                <w:sz w:val="20"/>
                <w:szCs w:val="20"/>
                <w:lang w:val="es-ES"/>
                <w14:ligatures w14:val="standardContextual"/>
              </w:rPr>
              <w:t>deponi</w:t>
            </w:r>
            <w:proofErr w:type="spellEnd"/>
            <w:r w:rsidRPr="003069B8">
              <w:rPr>
                <w:rFonts w:ascii="Arial Narrow" w:eastAsia="Aptos" w:hAnsi="Arial Narrow" w:cs="Calibri"/>
                <w:color w:val="000000"/>
                <w:kern w:val="2"/>
                <w:sz w:val="20"/>
                <w:szCs w:val="20"/>
                <w:lang w:val="es-ES"/>
                <w14:ligatures w14:val="standardContextual"/>
              </w:rPr>
              <w:t xml:space="preserve"> / TMB</w:t>
            </w:r>
          </w:p>
        </w:tc>
        <w:tc>
          <w:tcPr>
            <w:tcW w:w="393" w:type="pct"/>
            <w:shd w:val="clear" w:color="auto" w:fill="auto"/>
            <w:noWrap/>
            <w:tcMar>
              <w:left w:w="43" w:type="dxa"/>
              <w:right w:w="43" w:type="dxa"/>
            </w:tcMar>
            <w:hideMark/>
          </w:tcPr>
          <w:p w14:paraId="3A8B6290"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11 €/ton</w:t>
            </w:r>
          </w:p>
        </w:tc>
        <w:tc>
          <w:tcPr>
            <w:tcW w:w="394" w:type="pct"/>
            <w:shd w:val="clear" w:color="auto" w:fill="auto"/>
            <w:noWrap/>
            <w:tcMar>
              <w:left w:w="43" w:type="dxa"/>
              <w:right w:w="43" w:type="dxa"/>
            </w:tcMar>
            <w:hideMark/>
          </w:tcPr>
          <w:p w14:paraId="1050F07A"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22 €/t</w:t>
            </w:r>
          </w:p>
        </w:tc>
        <w:tc>
          <w:tcPr>
            <w:tcW w:w="392" w:type="pct"/>
            <w:shd w:val="clear" w:color="auto" w:fill="auto"/>
            <w:noWrap/>
            <w:tcMar>
              <w:left w:w="43" w:type="dxa"/>
              <w:right w:w="43" w:type="dxa"/>
            </w:tcMar>
            <w:hideMark/>
          </w:tcPr>
          <w:p w14:paraId="0C263AB6"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22 €/t</w:t>
            </w:r>
          </w:p>
        </w:tc>
        <w:tc>
          <w:tcPr>
            <w:tcW w:w="394" w:type="pct"/>
            <w:shd w:val="clear" w:color="auto" w:fill="auto"/>
            <w:noWrap/>
            <w:tcMar>
              <w:left w:w="43" w:type="dxa"/>
              <w:right w:w="43" w:type="dxa"/>
            </w:tcMar>
            <w:hideMark/>
          </w:tcPr>
          <w:p w14:paraId="31A7090C"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22 €/t</w:t>
            </w:r>
          </w:p>
        </w:tc>
        <w:tc>
          <w:tcPr>
            <w:tcW w:w="404" w:type="pct"/>
            <w:shd w:val="clear" w:color="auto" w:fill="auto"/>
            <w:noWrap/>
            <w:tcMar>
              <w:left w:w="43" w:type="dxa"/>
              <w:right w:w="43" w:type="dxa"/>
            </w:tcMar>
            <w:hideMark/>
          </w:tcPr>
          <w:p w14:paraId="7012DC49"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22 €/t</w:t>
            </w:r>
          </w:p>
        </w:tc>
        <w:tc>
          <w:tcPr>
            <w:tcW w:w="420" w:type="pct"/>
            <w:shd w:val="clear" w:color="auto" w:fill="auto"/>
            <w:noWrap/>
            <w:tcMar>
              <w:left w:w="43" w:type="dxa"/>
              <w:right w:w="43" w:type="dxa"/>
            </w:tcMar>
            <w:hideMark/>
          </w:tcPr>
          <w:p w14:paraId="1E99CEF0"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39 €/t</w:t>
            </w:r>
          </w:p>
        </w:tc>
        <w:tc>
          <w:tcPr>
            <w:tcW w:w="397" w:type="pct"/>
            <w:shd w:val="clear" w:color="auto" w:fill="auto"/>
            <w:noWrap/>
            <w:tcMar>
              <w:left w:w="43" w:type="dxa"/>
              <w:right w:w="43" w:type="dxa"/>
            </w:tcMar>
            <w:hideMark/>
          </w:tcPr>
          <w:p w14:paraId="0DA48EC1"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56 €/t</w:t>
            </w:r>
          </w:p>
        </w:tc>
        <w:tc>
          <w:tcPr>
            <w:tcW w:w="397" w:type="pct"/>
            <w:shd w:val="clear" w:color="auto" w:fill="auto"/>
            <w:noWrap/>
            <w:tcMar>
              <w:left w:w="43" w:type="dxa"/>
              <w:right w:w="43" w:type="dxa"/>
            </w:tcMar>
            <w:hideMark/>
          </w:tcPr>
          <w:p w14:paraId="7D05331D"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58 €/t</w:t>
            </w:r>
          </w:p>
        </w:tc>
        <w:tc>
          <w:tcPr>
            <w:tcW w:w="397" w:type="pct"/>
            <w:shd w:val="clear" w:color="auto" w:fill="auto"/>
            <w:noWrap/>
            <w:tcMar>
              <w:left w:w="43" w:type="dxa"/>
              <w:right w:w="43" w:type="dxa"/>
            </w:tcMar>
            <w:hideMark/>
          </w:tcPr>
          <w:p w14:paraId="4B86D7CB"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60 €/t</w:t>
            </w:r>
          </w:p>
        </w:tc>
        <w:tc>
          <w:tcPr>
            <w:tcW w:w="393" w:type="pct"/>
            <w:shd w:val="clear" w:color="auto" w:fill="auto"/>
            <w:noWrap/>
            <w:tcMar>
              <w:left w:w="43" w:type="dxa"/>
              <w:right w:w="43" w:type="dxa"/>
            </w:tcMar>
            <w:hideMark/>
          </w:tcPr>
          <w:p w14:paraId="0F11751E"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62 €/t</w:t>
            </w:r>
          </w:p>
        </w:tc>
      </w:tr>
      <w:tr w:rsidR="00637DBA" w:rsidRPr="007D1EDC" w14:paraId="5AA758A1" w14:textId="77777777" w:rsidTr="00D03949">
        <w:trPr>
          <w:trHeight w:val="210"/>
        </w:trPr>
        <w:tc>
          <w:tcPr>
            <w:tcW w:w="1019" w:type="pct"/>
            <w:tcMar>
              <w:left w:w="43" w:type="dxa"/>
              <w:right w:w="43" w:type="dxa"/>
            </w:tcMar>
            <w:vAlign w:val="bottom"/>
          </w:tcPr>
          <w:p w14:paraId="040F76B1" w14:textId="5516B03C" w:rsidR="00637DBA" w:rsidRPr="00637DBA" w:rsidRDefault="00637DBA" w:rsidP="00637DBA">
            <w:pPr>
              <w:rPr>
                <w:rFonts w:ascii="Arial Narrow" w:hAnsi="Arial Narrow" w:cs="Calibri"/>
                <w:color w:val="000000"/>
                <w:sz w:val="20"/>
                <w:szCs w:val="20"/>
                <w:lang w:val="en-GB" w:eastAsia="en-GB"/>
              </w:rPr>
            </w:pPr>
            <w:proofErr w:type="spellStart"/>
            <w:r w:rsidRPr="00637DBA">
              <w:rPr>
                <w:rFonts w:ascii="Arial Narrow" w:eastAsia="Aptos" w:hAnsi="Arial Narrow" w:cs="Calibri"/>
                <w:color w:val="000000"/>
                <w:kern w:val="2"/>
                <w:sz w:val="20"/>
                <w:szCs w:val="20"/>
                <w:lang w:val="en-GB"/>
                <w14:ligatures w14:val="standardContextual"/>
              </w:rPr>
              <w:t>Trajtimi</w:t>
            </w:r>
            <w:proofErr w:type="spellEnd"/>
            <w:r w:rsidRPr="00637DBA">
              <w:rPr>
                <w:rFonts w:ascii="Arial Narrow" w:eastAsia="Aptos" w:hAnsi="Arial Narrow" w:cs="Calibri"/>
                <w:color w:val="000000"/>
                <w:kern w:val="2"/>
                <w:sz w:val="20"/>
                <w:szCs w:val="20"/>
                <w:lang w:val="en-GB"/>
                <w14:ligatures w14:val="standardContextual"/>
              </w:rPr>
              <w:t>/</w:t>
            </w:r>
            <w:proofErr w:type="spellStart"/>
            <w:proofErr w:type="gramStart"/>
            <w:r w:rsidRPr="00637DBA">
              <w:rPr>
                <w:rFonts w:ascii="Arial Narrow" w:eastAsia="Aptos" w:hAnsi="Arial Narrow" w:cs="Calibri"/>
                <w:color w:val="000000"/>
                <w:kern w:val="2"/>
                <w:sz w:val="20"/>
                <w:szCs w:val="20"/>
                <w:lang w:val="en-GB"/>
                <w14:ligatures w14:val="standardContextual"/>
              </w:rPr>
              <w:t>deponimi,mijë</w:t>
            </w:r>
            <w:proofErr w:type="spellEnd"/>
            <w:proofErr w:type="gramEnd"/>
            <w:r w:rsidRPr="00637DBA">
              <w:rPr>
                <w:rFonts w:ascii="Arial Narrow" w:eastAsia="Aptos" w:hAnsi="Arial Narrow" w:cs="Calibri"/>
                <w:color w:val="000000"/>
                <w:kern w:val="2"/>
                <w:sz w:val="20"/>
                <w:szCs w:val="20"/>
                <w:lang w:val="en-GB"/>
                <w14:ligatures w14:val="standardContextual"/>
              </w:rPr>
              <w:t xml:space="preserve"> euro </w:t>
            </w:r>
          </w:p>
        </w:tc>
        <w:tc>
          <w:tcPr>
            <w:tcW w:w="393" w:type="pct"/>
            <w:shd w:val="clear" w:color="auto" w:fill="auto"/>
            <w:noWrap/>
            <w:tcMar>
              <w:left w:w="43" w:type="dxa"/>
              <w:right w:w="43" w:type="dxa"/>
            </w:tcMar>
            <w:hideMark/>
          </w:tcPr>
          <w:p w14:paraId="60492616"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86</w:t>
            </w:r>
          </w:p>
        </w:tc>
        <w:tc>
          <w:tcPr>
            <w:tcW w:w="394" w:type="pct"/>
            <w:shd w:val="clear" w:color="auto" w:fill="auto"/>
            <w:noWrap/>
            <w:tcMar>
              <w:left w:w="43" w:type="dxa"/>
              <w:right w:w="43" w:type="dxa"/>
            </w:tcMar>
            <w:hideMark/>
          </w:tcPr>
          <w:p w14:paraId="71470643"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146</w:t>
            </w:r>
          </w:p>
        </w:tc>
        <w:tc>
          <w:tcPr>
            <w:tcW w:w="392" w:type="pct"/>
            <w:shd w:val="clear" w:color="auto" w:fill="auto"/>
            <w:noWrap/>
            <w:tcMar>
              <w:left w:w="43" w:type="dxa"/>
              <w:right w:w="43" w:type="dxa"/>
            </w:tcMar>
            <w:hideMark/>
          </w:tcPr>
          <w:p w14:paraId="4CC8243C"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145</w:t>
            </w:r>
          </w:p>
        </w:tc>
        <w:tc>
          <w:tcPr>
            <w:tcW w:w="394" w:type="pct"/>
            <w:shd w:val="clear" w:color="auto" w:fill="auto"/>
            <w:noWrap/>
            <w:tcMar>
              <w:left w:w="43" w:type="dxa"/>
              <w:right w:w="43" w:type="dxa"/>
            </w:tcMar>
            <w:hideMark/>
          </w:tcPr>
          <w:p w14:paraId="35230137"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142</w:t>
            </w:r>
          </w:p>
        </w:tc>
        <w:tc>
          <w:tcPr>
            <w:tcW w:w="404" w:type="pct"/>
            <w:shd w:val="clear" w:color="auto" w:fill="auto"/>
            <w:noWrap/>
            <w:tcMar>
              <w:left w:w="43" w:type="dxa"/>
              <w:right w:w="43" w:type="dxa"/>
            </w:tcMar>
            <w:hideMark/>
          </w:tcPr>
          <w:p w14:paraId="1AF278A5"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138</w:t>
            </w:r>
          </w:p>
        </w:tc>
        <w:tc>
          <w:tcPr>
            <w:tcW w:w="420" w:type="pct"/>
            <w:shd w:val="clear" w:color="auto" w:fill="auto"/>
            <w:noWrap/>
            <w:tcMar>
              <w:left w:w="43" w:type="dxa"/>
              <w:right w:w="43" w:type="dxa"/>
            </w:tcMar>
            <w:hideMark/>
          </w:tcPr>
          <w:p w14:paraId="630B075D"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239</w:t>
            </w:r>
          </w:p>
        </w:tc>
        <w:tc>
          <w:tcPr>
            <w:tcW w:w="397" w:type="pct"/>
            <w:shd w:val="clear" w:color="auto" w:fill="auto"/>
            <w:noWrap/>
            <w:tcMar>
              <w:left w:w="43" w:type="dxa"/>
              <w:right w:w="43" w:type="dxa"/>
            </w:tcMar>
            <w:hideMark/>
          </w:tcPr>
          <w:p w14:paraId="3926682E"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274</w:t>
            </w:r>
          </w:p>
        </w:tc>
        <w:tc>
          <w:tcPr>
            <w:tcW w:w="397" w:type="pct"/>
            <w:shd w:val="clear" w:color="auto" w:fill="auto"/>
            <w:noWrap/>
            <w:tcMar>
              <w:left w:w="43" w:type="dxa"/>
              <w:right w:w="43" w:type="dxa"/>
            </w:tcMar>
            <w:hideMark/>
          </w:tcPr>
          <w:p w14:paraId="11778E0C"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272</w:t>
            </w:r>
          </w:p>
        </w:tc>
        <w:tc>
          <w:tcPr>
            <w:tcW w:w="397" w:type="pct"/>
            <w:shd w:val="clear" w:color="auto" w:fill="auto"/>
            <w:noWrap/>
            <w:tcMar>
              <w:left w:w="43" w:type="dxa"/>
              <w:right w:w="43" w:type="dxa"/>
            </w:tcMar>
            <w:hideMark/>
          </w:tcPr>
          <w:p w14:paraId="329113F7"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273</w:t>
            </w:r>
          </w:p>
        </w:tc>
        <w:tc>
          <w:tcPr>
            <w:tcW w:w="393" w:type="pct"/>
            <w:shd w:val="clear" w:color="auto" w:fill="auto"/>
            <w:noWrap/>
            <w:tcMar>
              <w:left w:w="43" w:type="dxa"/>
              <w:right w:w="43" w:type="dxa"/>
            </w:tcMar>
            <w:hideMark/>
          </w:tcPr>
          <w:p w14:paraId="02B7A7A7"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272</w:t>
            </w:r>
          </w:p>
        </w:tc>
      </w:tr>
      <w:tr w:rsidR="00637DBA" w:rsidRPr="007D1EDC" w14:paraId="261743FC" w14:textId="77777777" w:rsidTr="00D03949">
        <w:trPr>
          <w:trHeight w:val="210"/>
        </w:trPr>
        <w:tc>
          <w:tcPr>
            <w:tcW w:w="1019" w:type="pct"/>
            <w:tcMar>
              <w:left w:w="43" w:type="dxa"/>
              <w:right w:w="43" w:type="dxa"/>
            </w:tcMar>
            <w:vAlign w:val="bottom"/>
          </w:tcPr>
          <w:p w14:paraId="610003B6" w14:textId="0D7C9860" w:rsidR="00637DBA" w:rsidRPr="00637DBA" w:rsidRDefault="00637DBA" w:rsidP="00637DBA">
            <w:pPr>
              <w:rPr>
                <w:rFonts w:ascii="Arial Narrow" w:hAnsi="Arial Narrow" w:cs="Calibri"/>
                <w:color w:val="000000"/>
                <w:sz w:val="20"/>
                <w:szCs w:val="20"/>
                <w:lang w:val="en-GB" w:eastAsia="en-GB"/>
              </w:rPr>
            </w:pPr>
            <w:proofErr w:type="spellStart"/>
            <w:r w:rsidRPr="00637DBA">
              <w:rPr>
                <w:rFonts w:ascii="Arial Narrow" w:eastAsia="Aptos" w:hAnsi="Arial Narrow" w:cs="Calibri"/>
                <w:color w:val="000000"/>
                <w:kern w:val="2"/>
                <w:sz w:val="20"/>
                <w:szCs w:val="20"/>
                <w:lang w:val="en-GB"/>
                <w14:ligatures w14:val="standardContextual"/>
              </w:rPr>
              <w:t>Kostot</w:t>
            </w:r>
            <w:proofErr w:type="spellEnd"/>
            <w:r w:rsidRPr="00637DBA">
              <w:rPr>
                <w:rFonts w:ascii="Arial Narrow" w:eastAsia="Aptos" w:hAnsi="Arial Narrow" w:cs="Calibri"/>
                <w:color w:val="000000"/>
                <w:kern w:val="2"/>
                <w:sz w:val="20"/>
                <w:szCs w:val="20"/>
                <w:lang w:val="en-GB"/>
                <w14:ligatures w14:val="standardContextual"/>
              </w:rPr>
              <w:t xml:space="preserve"> </w:t>
            </w:r>
            <w:proofErr w:type="spellStart"/>
            <w:r w:rsidRPr="00637DBA">
              <w:rPr>
                <w:rFonts w:ascii="Arial Narrow" w:eastAsia="Aptos" w:hAnsi="Arial Narrow" w:cs="Calibri"/>
                <w:color w:val="000000"/>
                <w:kern w:val="2"/>
                <w:sz w:val="20"/>
                <w:szCs w:val="20"/>
                <w:lang w:val="en-GB"/>
                <w14:ligatures w14:val="standardContextual"/>
              </w:rPr>
              <w:t>totale</w:t>
            </w:r>
            <w:proofErr w:type="spellEnd"/>
            <w:r w:rsidRPr="00637DBA">
              <w:rPr>
                <w:rFonts w:ascii="Arial Narrow" w:eastAsia="Aptos" w:hAnsi="Arial Narrow" w:cs="Calibri"/>
                <w:color w:val="000000"/>
                <w:kern w:val="2"/>
                <w:sz w:val="20"/>
                <w:szCs w:val="20"/>
                <w:lang w:val="en-GB"/>
                <w14:ligatures w14:val="standardContextual"/>
              </w:rPr>
              <w:t xml:space="preserve">, </w:t>
            </w:r>
            <w:proofErr w:type="spellStart"/>
            <w:r w:rsidRPr="00637DBA">
              <w:rPr>
                <w:rFonts w:ascii="Arial Narrow" w:eastAsia="Aptos" w:hAnsi="Arial Narrow" w:cs="Calibri"/>
                <w:color w:val="000000"/>
                <w:kern w:val="2"/>
                <w:sz w:val="20"/>
                <w:szCs w:val="20"/>
                <w:lang w:val="en-GB"/>
                <w14:ligatures w14:val="standardContextual"/>
              </w:rPr>
              <w:t>mijë</w:t>
            </w:r>
            <w:proofErr w:type="spellEnd"/>
            <w:r w:rsidRPr="00637DBA">
              <w:rPr>
                <w:rFonts w:ascii="Arial Narrow" w:eastAsia="Aptos" w:hAnsi="Arial Narrow" w:cs="Calibri"/>
                <w:color w:val="000000"/>
                <w:kern w:val="2"/>
                <w:sz w:val="20"/>
                <w:szCs w:val="20"/>
                <w:lang w:val="en-GB"/>
                <w14:ligatures w14:val="standardContextual"/>
              </w:rPr>
              <w:t xml:space="preserve"> euro</w:t>
            </w:r>
          </w:p>
        </w:tc>
        <w:tc>
          <w:tcPr>
            <w:tcW w:w="393" w:type="pct"/>
            <w:shd w:val="clear" w:color="auto" w:fill="auto"/>
            <w:noWrap/>
            <w:tcMar>
              <w:left w:w="43" w:type="dxa"/>
              <w:right w:w="43" w:type="dxa"/>
            </w:tcMar>
            <w:hideMark/>
          </w:tcPr>
          <w:p w14:paraId="589B4B30"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625</w:t>
            </w:r>
          </w:p>
        </w:tc>
        <w:tc>
          <w:tcPr>
            <w:tcW w:w="394" w:type="pct"/>
            <w:shd w:val="clear" w:color="auto" w:fill="auto"/>
            <w:noWrap/>
            <w:tcMar>
              <w:left w:w="43" w:type="dxa"/>
              <w:right w:w="43" w:type="dxa"/>
            </w:tcMar>
            <w:hideMark/>
          </w:tcPr>
          <w:p w14:paraId="58A043C2"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808</w:t>
            </w:r>
          </w:p>
        </w:tc>
        <w:tc>
          <w:tcPr>
            <w:tcW w:w="392" w:type="pct"/>
            <w:shd w:val="clear" w:color="auto" w:fill="auto"/>
            <w:noWrap/>
            <w:tcMar>
              <w:left w:w="43" w:type="dxa"/>
              <w:right w:w="43" w:type="dxa"/>
            </w:tcMar>
            <w:hideMark/>
          </w:tcPr>
          <w:p w14:paraId="175442B8"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807</w:t>
            </w:r>
          </w:p>
        </w:tc>
        <w:tc>
          <w:tcPr>
            <w:tcW w:w="394" w:type="pct"/>
            <w:shd w:val="clear" w:color="auto" w:fill="auto"/>
            <w:noWrap/>
            <w:tcMar>
              <w:left w:w="43" w:type="dxa"/>
              <w:right w:w="43" w:type="dxa"/>
            </w:tcMar>
            <w:hideMark/>
          </w:tcPr>
          <w:p w14:paraId="16904D23"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796</w:t>
            </w:r>
          </w:p>
        </w:tc>
        <w:tc>
          <w:tcPr>
            <w:tcW w:w="404" w:type="pct"/>
            <w:shd w:val="clear" w:color="auto" w:fill="auto"/>
            <w:noWrap/>
            <w:tcMar>
              <w:left w:w="43" w:type="dxa"/>
              <w:right w:w="43" w:type="dxa"/>
            </w:tcMar>
            <w:hideMark/>
          </w:tcPr>
          <w:p w14:paraId="38EBE559"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792</w:t>
            </w:r>
          </w:p>
        </w:tc>
        <w:tc>
          <w:tcPr>
            <w:tcW w:w="420" w:type="pct"/>
            <w:shd w:val="clear" w:color="auto" w:fill="auto"/>
            <w:noWrap/>
            <w:tcMar>
              <w:left w:w="43" w:type="dxa"/>
              <w:right w:w="43" w:type="dxa"/>
            </w:tcMar>
            <w:hideMark/>
          </w:tcPr>
          <w:p w14:paraId="4CCA528F"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892</w:t>
            </w:r>
          </w:p>
        </w:tc>
        <w:tc>
          <w:tcPr>
            <w:tcW w:w="397" w:type="pct"/>
            <w:shd w:val="clear" w:color="auto" w:fill="auto"/>
            <w:noWrap/>
            <w:tcMar>
              <w:left w:w="43" w:type="dxa"/>
              <w:right w:w="43" w:type="dxa"/>
            </w:tcMar>
            <w:hideMark/>
          </w:tcPr>
          <w:p w14:paraId="08CE1FE1"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926</w:t>
            </w:r>
          </w:p>
        </w:tc>
        <w:tc>
          <w:tcPr>
            <w:tcW w:w="397" w:type="pct"/>
            <w:shd w:val="clear" w:color="auto" w:fill="auto"/>
            <w:noWrap/>
            <w:tcMar>
              <w:left w:w="43" w:type="dxa"/>
              <w:right w:w="43" w:type="dxa"/>
            </w:tcMar>
            <w:hideMark/>
          </w:tcPr>
          <w:p w14:paraId="66A9ABBD"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917</w:t>
            </w:r>
          </w:p>
        </w:tc>
        <w:tc>
          <w:tcPr>
            <w:tcW w:w="397" w:type="pct"/>
            <w:shd w:val="clear" w:color="auto" w:fill="auto"/>
            <w:noWrap/>
            <w:tcMar>
              <w:left w:w="43" w:type="dxa"/>
              <w:right w:w="43" w:type="dxa"/>
            </w:tcMar>
            <w:hideMark/>
          </w:tcPr>
          <w:p w14:paraId="162E69EC"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906</w:t>
            </w:r>
          </w:p>
        </w:tc>
        <w:tc>
          <w:tcPr>
            <w:tcW w:w="393" w:type="pct"/>
            <w:shd w:val="clear" w:color="auto" w:fill="auto"/>
            <w:noWrap/>
            <w:tcMar>
              <w:left w:w="43" w:type="dxa"/>
              <w:right w:w="43" w:type="dxa"/>
            </w:tcMar>
            <w:hideMark/>
          </w:tcPr>
          <w:p w14:paraId="0DA24AAB"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906</w:t>
            </w:r>
          </w:p>
        </w:tc>
      </w:tr>
      <w:tr w:rsidR="00637DBA" w:rsidRPr="007D1EDC" w14:paraId="13691AC6" w14:textId="77777777" w:rsidTr="00D03949">
        <w:trPr>
          <w:trHeight w:val="210"/>
        </w:trPr>
        <w:tc>
          <w:tcPr>
            <w:tcW w:w="1019" w:type="pct"/>
            <w:tcMar>
              <w:left w:w="43" w:type="dxa"/>
              <w:right w:w="43" w:type="dxa"/>
            </w:tcMar>
            <w:vAlign w:val="bottom"/>
          </w:tcPr>
          <w:p w14:paraId="6597E76C" w14:textId="745D6312" w:rsidR="00637DBA" w:rsidRPr="00637DBA" w:rsidRDefault="00637DBA" w:rsidP="00637DBA">
            <w:pPr>
              <w:rPr>
                <w:rFonts w:ascii="Arial Narrow" w:hAnsi="Arial Narrow" w:cs="Calibri"/>
                <w:color w:val="000000"/>
                <w:sz w:val="20"/>
                <w:szCs w:val="20"/>
                <w:lang w:val="en-GB" w:eastAsia="en-GB"/>
              </w:rPr>
            </w:pPr>
            <w:proofErr w:type="spellStart"/>
            <w:r w:rsidRPr="00637DBA">
              <w:rPr>
                <w:rFonts w:ascii="Arial Narrow" w:eastAsia="Aptos" w:hAnsi="Arial Narrow" w:cs="Calibri"/>
                <w:color w:val="000000"/>
                <w:kern w:val="2"/>
                <w:sz w:val="20"/>
                <w:szCs w:val="20"/>
                <w:lang w:val="en-GB"/>
                <w14:ligatures w14:val="standardContextual"/>
              </w:rPr>
              <w:t>Kostot</w:t>
            </w:r>
            <w:proofErr w:type="spellEnd"/>
            <w:r w:rsidRPr="00637DBA">
              <w:rPr>
                <w:rFonts w:ascii="Arial Narrow" w:eastAsia="Aptos" w:hAnsi="Arial Narrow" w:cs="Calibri"/>
                <w:color w:val="000000"/>
                <w:kern w:val="2"/>
                <w:sz w:val="20"/>
                <w:szCs w:val="20"/>
                <w:lang w:val="en-GB"/>
                <w14:ligatures w14:val="standardContextual"/>
              </w:rPr>
              <w:t xml:space="preserve"> </w:t>
            </w:r>
            <w:proofErr w:type="spellStart"/>
            <w:r w:rsidRPr="00637DBA">
              <w:rPr>
                <w:rFonts w:ascii="Arial Narrow" w:eastAsia="Aptos" w:hAnsi="Arial Narrow" w:cs="Calibri"/>
                <w:color w:val="000000"/>
                <w:kern w:val="2"/>
                <w:sz w:val="20"/>
                <w:szCs w:val="20"/>
                <w:lang w:val="en-GB"/>
                <w14:ligatures w14:val="standardContextual"/>
              </w:rPr>
              <w:t>totale</w:t>
            </w:r>
            <w:proofErr w:type="spellEnd"/>
            <w:r w:rsidRPr="00637DBA">
              <w:rPr>
                <w:rFonts w:ascii="Arial Narrow" w:eastAsia="Aptos" w:hAnsi="Arial Narrow" w:cs="Calibri"/>
                <w:color w:val="000000"/>
                <w:kern w:val="2"/>
                <w:sz w:val="20"/>
                <w:szCs w:val="20"/>
                <w:lang w:val="en-GB"/>
                <w14:ligatures w14:val="standardContextual"/>
              </w:rPr>
              <w:t xml:space="preserve"> me TVSH</w:t>
            </w:r>
          </w:p>
        </w:tc>
        <w:tc>
          <w:tcPr>
            <w:tcW w:w="393" w:type="pct"/>
            <w:shd w:val="clear" w:color="auto" w:fill="auto"/>
            <w:noWrap/>
            <w:tcMar>
              <w:left w:w="43" w:type="dxa"/>
              <w:right w:w="43" w:type="dxa"/>
            </w:tcMar>
            <w:hideMark/>
          </w:tcPr>
          <w:p w14:paraId="0F960203"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675</w:t>
            </w:r>
          </w:p>
        </w:tc>
        <w:tc>
          <w:tcPr>
            <w:tcW w:w="394" w:type="pct"/>
            <w:shd w:val="clear" w:color="auto" w:fill="auto"/>
            <w:noWrap/>
            <w:tcMar>
              <w:left w:w="43" w:type="dxa"/>
              <w:right w:w="43" w:type="dxa"/>
            </w:tcMar>
            <w:hideMark/>
          </w:tcPr>
          <w:p w14:paraId="08D7F686"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873</w:t>
            </w:r>
          </w:p>
        </w:tc>
        <w:tc>
          <w:tcPr>
            <w:tcW w:w="392" w:type="pct"/>
            <w:shd w:val="clear" w:color="auto" w:fill="auto"/>
            <w:noWrap/>
            <w:tcMar>
              <w:left w:w="43" w:type="dxa"/>
              <w:right w:w="43" w:type="dxa"/>
            </w:tcMar>
            <w:hideMark/>
          </w:tcPr>
          <w:p w14:paraId="60192674"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871</w:t>
            </w:r>
          </w:p>
        </w:tc>
        <w:tc>
          <w:tcPr>
            <w:tcW w:w="394" w:type="pct"/>
            <w:shd w:val="clear" w:color="auto" w:fill="auto"/>
            <w:noWrap/>
            <w:tcMar>
              <w:left w:w="43" w:type="dxa"/>
              <w:right w:w="43" w:type="dxa"/>
            </w:tcMar>
            <w:hideMark/>
          </w:tcPr>
          <w:p w14:paraId="3FE51DB0"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860</w:t>
            </w:r>
          </w:p>
        </w:tc>
        <w:tc>
          <w:tcPr>
            <w:tcW w:w="404" w:type="pct"/>
            <w:shd w:val="clear" w:color="auto" w:fill="auto"/>
            <w:noWrap/>
            <w:tcMar>
              <w:left w:w="43" w:type="dxa"/>
              <w:right w:w="43" w:type="dxa"/>
            </w:tcMar>
            <w:hideMark/>
          </w:tcPr>
          <w:p w14:paraId="53B0B1D8"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855</w:t>
            </w:r>
          </w:p>
        </w:tc>
        <w:tc>
          <w:tcPr>
            <w:tcW w:w="420" w:type="pct"/>
            <w:shd w:val="clear" w:color="auto" w:fill="auto"/>
            <w:noWrap/>
            <w:tcMar>
              <w:left w:w="43" w:type="dxa"/>
              <w:right w:w="43" w:type="dxa"/>
            </w:tcMar>
            <w:hideMark/>
          </w:tcPr>
          <w:p w14:paraId="3CA37B31"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963</w:t>
            </w:r>
          </w:p>
        </w:tc>
        <w:tc>
          <w:tcPr>
            <w:tcW w:w="397" w:type="pct"/>
            <w:shd w:val="clear" w:color="auto" w:fill="auto"/>
            <w:noWrap/>
            <w:tcMar>
              <w:left w:w="43" w:type="dxa"/>
              <w:right w:w="43" w:type="dxa"/>
            </w:tcMar>
            <w:hideMark/>
          </w:tcPr>
          <w:p w14:paraId="66B9EAD4"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1,000</w:t>
            </w:r>
          </w:p>
        </w:tc>
        <w:tc>
          <w:tcPr>
            <w:tcW w:w="397" w:type="pct"/>
            <w:shd w:val="clear" w:color="auto" w:fill="auto"/>
            <w:noWrap/>
            <w:tcMar>
              <w:left w:w="43" w:type="dxa"/>
              <w:right w:w="43" w:type="dxa"/>
            </w:tcMar>
            <w:hideMark/>
          </w:tcPr>
          <w:p w14:paraId="0572B3AA"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990</w:t>
            </w:r>
          </w:p>
        </w:tc>
        <w:tc>
          <w:tcPr>
            <w:tcW w:w="397" w:type="pct"/>
            <w:shd w:val="clear" w:color="auto" w:fill="auto"/>
            <w:noWrap/>
            <w:tcMar>
              <w:left w:w="43" w:type="dxa"/>
              <w:right w:w="43" w:type="dxa"/>
            </w:tcMar>
            <w:hideMark/>
          </w:tcPr>
          <w:p w14:paraId="1C6342C6"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978</w:t>
            </w:r>
          </w:p>
        </w:tc>
        <w:tc>
          <w:tcPr>
            <w:tcW w:w="393" w:type="pct"/>
            <w:shd w:val="clear" w:color="auto" w:fill="auto"/>
            <w:noWrap/>
            <w:tcMar>
              <w:left w:w="43" w:type="dxa"/>
              <w:right w:w="43" w:type="dxa"/>
            </w:tcMar>
            <w:hideMark/>
          </w:tcPr>
          <w:p w14:paraId="27055A62"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979</w:t>
            </w:r>
          </w:p>
        </w:tc>
      </w:tr>
      <w:tr w:rsidR="00637DBA" w:rsidRPr="007D1EDC" w14:paraId="27ECADE9" w14:textId="77777777" w:rsidTr="00D03949">
        <w:trPr>
          <w:trHeight w:val="210"/>
        </w:trPr>
        <w:tc>
          <w:tcPr>
            <w:tcW w:w="1019" w:type="pct"/>
            <w:tcMar>
              <w:left w:w="43" w:type="dxa"/>
              <w:right w:w="43" w:type="dxa"/>
            </w:tcMar>
            <w:vAlign w:val="bottom"/>
          </w:tcPr>
          <w:p w14:paraId="4234E81C" w14:textId="70343575" w:rsidR="00637DBA" w:rsidRPr="00637DBA" w:rsidRDefault="00637DBA" w:rsidP="00637DBA">
            <w:pPr>
              <w:rPr>
                <w:rFonts w:ascii="Arial Narrow" w:hAnsi="Arial Narrow" w:cs="Calibri"/>
                <w:color w:val="000000"/>
                <w:sz w:val="20"/>
                <w:szCs w:val="20"/>
                <w:lang w:val="en-GB" w:eastAsia="en-GB"/>
              </w:rPr>
            </w:pPr>
            <w:proofErr w:type="spellStart"/>
            <w:r w:rsidRPr="00637DBA">
              <w:rPr>
                <w:rFonts w:ascii="Arial Narrow" w:hAnsi="Arial Narrow" w:cs="Calibri"/>
                <w:color w:val="000000"/>
                <w:sz w:val="20"/>
                <w:szCs w:val="20"/>
                <w:lang w:val="en-GB" w:eastAsia="en-GB"/>
              </w:rPr>
              <w:t>Faturimi</w:t>
            </w:r>
            <w:proofErr w:type="spellEnd"/>
            <w:r w:rsidRPr="00637DBA">
              <w:rPr>
                <w:rFonts w:ascii="Arial Narrow" w:hAnsi="Arial Narrow" w:cs="Calibri"/>
                <w:color w:val="000000"/>
                <w:sz w:val="20"/>
                <w:szCs w:val="20"/>
                <w:lang w:val="en-GB" w:eastAsia="en-GB"/>
              </w:rPr>
              <w:t xml:space="preserve"> </w:t>
            </w:r>
            <w:proofErr w:type="spellStart"/>
            <w:r w:rsidRPr="00637DBA">
              <w:rPr>
                <w:rFonts w:ascii="Arial Narrow" w:hAnsi="Arial Narrow" w:cs="Calibri"/>
                <w:color w:val="000000"/>
                <w:sz w:val="20"/>
                <w:szCs w:val="20"/>
                <w:lang w:val="en-GB" w:eastAsia="en-GB"/>
              </w:rPr>
              <w:t>për</w:t>
            </w:r>
            <w:proofErr w:type="spellEnd"/>
            <w:r w:rsidRPr="00637DBA">
              <w:rPr>
                <w:rFonts w:ascii="Arial Narrow" w:hAnsi="Arial Narrow" w:cs="Calibri"/>
                <w:color w:val="000000"/>
                <w:sz w:val="20"/>
                <w:szCs w:val="20"/>
                <w:lang w:val="en-GB" w:eastAsia="en-GB"/>
              </w:rPr>
              <w:t xml:space="preserve"> </w:t>
            </w:r>
            <w:proofErr w:type="spellStart"/>
            <w:r w:rsidRPr="00637DBA">
              <w:rPr>
                <w:rFonts w:ascii="Arial Narrow" w:hAnsi="Arial Narrow" w:cs="Calibri"/>
                <w:color w:val="000000"/>
                <w:sz w:val="20"/>
                <w:szCs w:val="20"/>
                <w:lang w:val="en-GB" w:eastAsia="en-GB"/>
              </w:rPr>
              <w:t>familjet</w:t>
            </w:r>
            <w:proofErr w:type="spellEnd"/>
          </w:p>
        </w:tc>
        <w:tc>
          <w:tcPr>
            <w:tcW w:w="393" w:type="pct"/>
            <w:shd w:val="clear" w:color="auto" w:fill="auto"/>
            <w:noWrap/>
            <w:tcMar>
              <w:left w:w="43" w:type="dxa"/>
              <w:right w:w="43" w:type="dxa"/>
            </w:tcMar>
            <w:hideMark/>
          </w:tcPr>
          <w:p w14:paraId="02B94D45"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540</w:t>
            </w:r>
          </w:p>
        </w:tc>
        <w:tc>
          <w:tcPr>
            <w:tcW w:w="394" w:type="pct"/>
            <w:shd w:val="clear" w:color="auto" w:fill="auto"/>
            <w:noWrap/>
            <w:tcMar>
              <w:left w:w="43" w:type="dxa"/>
              <w:right w:w="43" w:type="dxa"/>
            </w:tcMar>
            <w:hideMark/>
          </w:tcPr>
          <w:p w14:paraId="19D61467"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698</w:t>
            </w:r>
          </w:p>
        </w:tc>
        <w:tc>
          <w:tcPr>
            <w:tcW w:w="392" w:type="pct"/>
            <w:shd w:val="clear" w:color="auto" w:fill="auto"/>
            <w:noWrap/>
            <w:tcMar>
              <w:left w:w="43" w:type="dxa"/>
              <w:right w:w="43" w:type="dxa"/>
            </w:tcMar>
            <w:hideMark/>
          </w:tcPr>
          <w:p w14:paraId="44D98012"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697</w:t>
            </w:r>
          </w:p>
        </w:tc>
        <w:tc>
          <w:tcPr>
            <w:tcW w:w="394" w:type="pct"/>
            <w:shd w:val="clear" w:color="auto" w:fill="auto"/>
            <w:noWrap/>
            <w:tcMar>
              <w:left w:w="43" w:type="dxa"/>
              <w:right w:w="43" w:type="dxa"/>
            </w:tcMar>
            <w:hideMark/>
          </w:tcPr>
          <w:p w14:paraId="67131C69"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688</w:t>
            </w:r>
          </w:p>
        </w:tc>
        <w:tc>
          <w:tcPr>
            <w:tcW w:w="404" w:type="pct"/>
            <w:shd w:val="clear" w:color="auto" w:fill="auto"/>
            <w:noWrap/>
            <w:tcMar>
              <w:left w:w="43" w:type="dxa"/>
              <w:right w:w="43" w:type="dxa"/>
            </w:tcMar>
            <w:hideMark/>
          </w:tcPr>
          <w:p w14:paraId="6335DB3C"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684</w:t>
            </w:r>
          </w:p>
        </w:tc>
        <w:tc>
          <w:tcPr>
            <w:tcW w:w="420" w:type="pct"/>
            <w:shd w:val="clear" w:color="auto" w:fill="auto"/>
            <w:noWrap/>
            <w:tcMar>
              <w:left w:w="43" w:type="dxa"/>
              <w:right w:w="43" w:type="dxa"/>
            </w:tcMar>
            <w:hideMark/>
          </w:tcPr>
          <w:p w14:paraId="242866A3"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771</w:t>
            </w:r>
          </w:p>
        </w:tc>
        <w:tc>
          <w:tcPr>
            <w:tcW w:w="397" w:type="pct"/>
            <w:shd w:val="clear" w:color="auto" w:fill="auto"/>
            <w:noWrap/>
            <w:tcMar>
              <w:left w:w="43" w:type="dxa"/>
              <w:right w:w="43" w:type="dxa"/>
            </w:tcMar>
            <w:hideMark/>
          </w:tcPr>
          <w:p w14:paraId="3CF64CE3"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800</w:t>
            </w:r>
          </w:p>
        </w:tc>
        <w:tc>
          <w:tcPr>
            <w:tcW w:w="397" w:type="pct"/>
            <w:shd w:val="clear" w:color="auto" w:fill="auto"/>
            <w:noWrap/>
            <w:tcMar>
              <w:left w:w="43" w:type="dxa"/>
              <w:right w:w="43" w:type="dxa"/>
            </w:tcMar>
            <w:hideMark/>
          </w:tcPr>
          <w:p w14:paraId="4FF079DB"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792</w:t>
            </w:r>
          </w:p>
        </w:tc>
        <w:tc>
          <w:tcPr>
            <w:tcW w:w="397" w:type="pct"/>
            <w:shd w:val="clear" w:color="auto" w:fill="auto"/>
            <w:noWrap/>
            <w:tcMar>
              <w:left w:w="43" w:type="dxa"/>
              <w:right w:w="43" w:type="dxa"/>
            </w:tcMar>
            <w:hideMark/>
          </w:tcPr>
          <w:p w14:paraId="577F94C8"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783</w:t>
            </w:r>
          </w:p>
        </w:tc>
        <w:tc>
          <w:tcPr>
            <w:tcW w:w="393" w:type="pct"/>
            <w:shd w:val="clear" w:color="auto" w:fill="auto"/>
            <w:noWrap/>
            <w:tcMar>
              <w:left w:w="43" w:type="dxa"/>
              <w:right w:w="43" w:type="dxa"/>
            </w:tcMar>
            <w:hideMark/>
          </w:tcPr>
          <w:p w14:paraId="547BAEC5"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783</w:t>
            </w:r>
          </w:p>
        </w:tc>
      </w:tr>
      <w:tr w:rsidR="00637DBA" w:rsidRPr="007D1EDC" w14:paraId="46EC2C7B" w14:textId="77777777" w:rsidTr="00D03949">
        <w:trPr>
          <w:trHeight w:val="210"/>
        </w:trPr>
        <w:tc>
          <w:tcPr>
            <w:tcW w:w="1019" w:type="pct"/>
            <w:tcMar>
              <w:left w:w="43" w:type="dxa"/>
              <w:right w:w="43" w:type="dxa"/>
            </w:tcMar>
            <w:vAlign w:val="bottom"/>
          </w:tcPr>
          <w:p w14:paraId="3DD87E2A" w14:textId="2BF59D6E" w:rsidR="00637DBA" w:rsidRPr="00637DBA" w:rsidRDefault="00637DBA" w:rsidP="00637DBA">
            <w:pPr>
              <w:rPr>
                <w:rFonts w:ascii="Arial Narrow" w:hAnsi="Arial Narrow" w:cs="Calibri"/>
                <w:color w:val="000000"/>
                <w:sz w:val="20"/>
                <w:szCs w:val="20"/>
                <w:lang w:val="en-GB" w:eastAsia="en-GB"/>
              </w:rPr>
            </w:pPr>
            <w:proofErr w:type="spellStart"/>
            <w:r w:rsidRPr="00637DBA">
              <w:rPr>
                <w:rFonts w:ascii="Arial Narrow" w:hAnsi="Arial Narrow" w:cs="Calibri"/>
                <w:color w:val="000000"/>
                <w:sz w:val="20"/>
                <w:szCs w:val="20"/>
                <w:lang w:val="en-GB" w:eastAsia="en-GB"/>
              </w:rPr>
              <w:t>Faturimi</w:t>
            </w:r>
            <w:proofErr w:type="spellEnd"/>
            <w:r w:rsidRPr="00637DBA">
              <w:rPr>
                <w:rFonts w:ascii="Arial Narrow" w:hAnsi="Arial Narrow" w:cs="Calibri"/>
                <w:color w:val="000000"/>
                <w:sz w:val="20"/>
                <w:szCs w:val="20"/>
                <w:lang w:val="en-GB" w:eastAsia="en-GB"/>
              </w:rPr>
              <w:t xml:space="preserve"> </w:t>
            </w:r>
            <w:proofErr w:type="spellStart"/>
            <w:r w:rsidRPr="00637DBA">
              <w:rPr>
                <w:rFonts w:ascii="Arial Narrow" w:hAnsi="Arial Narrow" w:cs="Calibri"/>
                <w:color w:val="000000"/>
                <w:sz w:val="20"/>
                <w:szCs w:val="20"/>
                <w:lang w:val="en-GB" w:eastAsia="en-GB"/>
              </w:rPr>
              <w:t>për</w:t>
            </w:r>
            <w:proofErr w:type="spellEnd"/>
            <w:r w:rsidRPr="00637DBA">
              <w:rPr>
                <w:rFonts w:ascii="Arial Narrow" w:hAnsi="Arial Narrow" w:cs="Calibri"/>
                <w:color w:val="000000"/>
                <w:sz w:val="20"/>
                <w:szCs w:val="20"/>
                <w:lang w:val="en-GB" w:eastAsia="en-GB"/>
              </w:rPr>
              <w:t xml:space="preserve"> </w:t>
            </w:r>
            <w:proofErr w:type="spellStart"/>
            <w:r w:rsidRPr="00637DBA">
              <w:rPr>
                <w:rFonts w:ascii="Arial Narrow" w:hAnsi="Arial Narrow" w:cs="Calibri"/>
                <w:color w:val="000000"/>
                <w:sz w:val="20"/>
                <w:szCs w:val="20"/>
                <w:lang w:val="en-GB" w:eastAsia="en-GB"/>
              </w:rPr>
              <w:t>entitetet</w:t>
            </w:r>
            <w:proofErr w:type="spellEnd"/>
            <w:r w:rsidRPr="00637DBA">
              <w:rPr>
                <w:rFonts w:ascii="Arial Narrow" w:hAnsi="Arial Narrow" w:cs="Calibri"/>
                <w:color w:val="000000"/>
                <w:sz w:val="20"/>
                <w:szCs w:val="20"/>
                <w:lang w:val="en-GB" w:eastAsia="en-GB"/>
              </w:rPr>
              <w:t xml:space="preserve"> </w:t>
            </w:r>
            <w:proofErr w:type="spellStart"/>
            <w:r w:rsidRPr="00637DBA">
              <w:rPr>
                <w:rFonts w:ascii="Arial Narrow" w:hAnsi="Arial Narrow" w:cs="Calibri"/>
                <w:color w:val="000000"/>
                <w:sz w:val="20"/>
                <w:szCs w:val="20"/>
                <w:lang w:val="en-GB" w:eastAsia="en-GB"/>
              </w:rPr>
              <w:t>juridike</w:t>
            </w:r>
            <w:proofErr w:type="spellEnd"/>
          </w:p>
        </w:tc>
        <w:tc>
          <w:tcPr>
            <w:tcW w:w="393" w:type="pct"/>
            <w:shd w:val="clear" w:color="auto" w:fill="auto"/>
            <w:noWrap/>
            <w:tcMar>
              <w:left w:w="43" w:type="dxa"/>
              <w:right w:w="43" w:type="dxa"/>
            </w:tcMar>
            <w:hideMark/>
          </w:tcPr>
          <w:p w14:paraId="356CE5C7"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135</w:t>
            </w:r>
          </w:p>
        </w:tc>
        <w:tc>
          <w:tcPr>
            <w:tcW w:w="394" w:type="pct"/>
            <w:shd w:val="clear" w:color="auto" w:fill="auto"/>
            <w:noWrap/>
            <w:tcMar>
              <w:left w:w="43" w:type="dxa"/>
              <w:right w:w="43" w:type="dxa"/>
            </w:tcMar>
            <w:hideMark/>
          </w:tcPr>
          <w:p w14:paraId="2DB7D8F0"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175</w:t>
            </w:r>
          </w:p>
        </w:tc>
        <w:tc>
          <w:tcPr>
            <w:tcW w:w="392" w:type="pct"/>
            <w:shd w:val="clear" w:color="auto" w:fill="auto"/>
            <w:noWrap/>
            <w:tcMar>
              <w:left w:w="43" w:type="dxa"/>
              <w:right w:w="43" w:type="dxa"/>
            </w:tcMar>
            <w:hideMark/>
          </w:tcPr>
          <w:p w14:paraId="010A3A45"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174</w:t>
            </w:r>
          </w:p>
        </w:tc>
        <w:tc>
          <w:tcPr>
            <w:tcW w:w="394" w:type="pct"/>
            <w:shd w:val="clear" w:color="auto" w:fill="auto"/>
            <w:noWrap/>
            <w:tcMar>
              <w:left w:w="43" w:type="dxa"/>
              <w:right w:w="43" w:type="dxa"/>
            </w:tcMar>
            <w:hideMark/>
          </w:tcPr>
          <w:p w14:paraId="006A1CB2"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172</w:t>
            </w:r>
          </w:p>
        </w:tc>
        <w:tc>
          <w:tcPr>
            <w:tcW w:w="404" w:type="pct"/>
            <w:shd w:val="clear" w:color="auto" w:fill="auto"/>
            <w:noWrap/>
            <w:tcMar>
              <w:left w:w="43" w:type="dxa"/>
              <w:right w:w="43" w:type="dxa"/>
            </w:tcMar>
            <w:hideMark/>
          </w:tcPr>
          <w:p w14:paraId="01DB91EA"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171</w:t>
            </w:r>
          </w:p>
        </w:tc>
        <w:tc>
          <w:tcPr>
            <w:tcW w:w="420" w:type="pct"/>
            <w:shd w:val="clear" w:color="auto" w:fill="auto"/>
            <w:noWrap/>
            <w:tcMar>
              <w:left w:w="43" w:type="dxa"/>
              <w:right w:w="43" w:type="dxa"/>
            </w:tcMar>
            <w:hideMark/>
          </w:tcPr>
          <w:p w14:paraId="5F79744A"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193</w:t>
            </w:r>
          </w:p>
        </w:tc>
        <w:tc>
          <w:tcPr>
            <w:tcW w:w="397" w:type="pct"/>
            <w:shd w:val="clear" w:color="auto" w:fill="auto"/>
            <w:noWrap/>
            <w:tcMar>
              <w:left w:w="43" w:type="dxa"/>
              <w:right w:w="43" w:type="dxa"/>
            </w:tcMar>
            <w:hideMark/>
          </w:tcPr>
          <w:p w14:paraId="516F27E0"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200</w:t>
            </w:r>
          </w:p>
        </w:tc>
        <w:tc>
          <w:tcPr>
            <w:tcW w:w="397" w:type="pct"/>
            <w:shd w:val="clear" w:color="auto" w:fill="auto"/>
            <w:noWrap/>
            <w:tcMar>
              <w:left w:w="43" w:type="dxa"/>
              <w:right w:w="43" w:type="dxa"/>
            </w:tcMar>
            <w:hideMark/>
          </w:tcPr>
          <w:p w14:paraId="305999D0"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198</w:t>
            </w:r>
          </w:p>
        </w:tc>
        <w:tc>
          <w:tcPr>
            <w:tcW w:w="397" w:type="pct"/>
            <w:shd w:val="clear" w:color="auto" w:fill="auto"/>
            <w:noWrap/>
            <w:tcMar>
              <w:left w:w="43" w:type="dxa"/>
              <w:right w:w="43" w:type="dxa"/>
            </w:tcMar>
            <w:hideMark/>
          </w:tcPr>
          <w:p w14:paraId="786E8771"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196</w:t>
            </w:r>
          </w:p>
        </w:tc>
        <w:tc>
          <w:tcPr>
            <w:tcW w:w="393" w:type="pct"/>
            <w:shd w:val="clear" w:color="auto" w:fill="auto"/>
            <w:noWrap/>
            <w:tcMar>
              <w:left w:w="43" w:type="dxa"/>
              <w:right w:w="43" w:type="dxa"/>
            </w:tcMar>
            <w:hideMark/>
          </w:tcPr>
          <w:p w14:paraId="434EF3CF"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196</w:t>
            </w:r>
          </w:p>
        </w:tc>
      </w:tr>
      <w:tr w:rsidR="00637DBA" w:rsidRPr="007D1EDC" w14:paraId="47F1218D" w14:textId="77777777" w:rsidTr="00D03949">
        <w:trPr>
          <w:trHeight w:val="200"/>
        </w:trPr>
        <w:tc>
          <w:tcPr>
            <w:tcW w:w="1019" w:type="pct"/>
            <w:tcMar>
              <w:left w:w="43" w:type="dxa"/>
              <w:right w:w="43" w:type="dxa"/>
            </w:tcMar>
            <w:vAlign w:val="bottom"/>
          </w:tcPr>
          <w:p w14:paraId="6D73542E" w14:textId="4B74CD2B" w:rsidR="00637DBA" w:rsidRPr="00637DBA" w:rsidRDefault="00637DBA" w:rsidP="00637DBA">
            <w:pPr>
              <w:rPr>
                <w:rFonts w:ascii="Arial Narrow" w:hAnsi="Arial Narrow" w:cs="Calibri"/>
                <w:color w:val="000000"/>
                <w:sz w:val="20"/>
                <w:szCs w:val="20"/>
                <w:lang w:val="en-GB" w:eastAsia="en-GB"/>
              </w:rPr>
            </w:pPr>
            <w:proofErr w:type="spellStart"/>
            <w:r w:rsidRPr="00637DBA">
              <w:rPr>
                <w:rFonts w:ascii="Arial Narrow" w:eastAsia="Aptos" w:hAnsi="Arial Narrow" w:cs="Calibri"/>
                <w:color w:val="000000"/>
                <w:kern w:val="2"/>
                <w:sz w:val="20"/>
                <w:szCs w:val="20"/>
                <w:lang w:val="en-GB"/>
                <w14:ligatures w14:val="standardContextual"/>
              </w:rPr>
              <w:t>Pragu</w:t>
            </w:r>
            <w:proofErr w:type="spellEnd"/>
            <w:r w:rsidRPr="00637DBA">
              <w:rPr>
                <w:rFonts w:ascii="Arial Narrow" w:eastAsia="Aptos" w:hAnsi="Arial Narrow" w:cs="Calibri"/>
                <w:color w:val="000000"/>
                <w:kern w:val="2"/>
                <w:sz w:val="20"/>
                <w:szCs w:val="20"/>
                <w:lang w:val="en-GB"/>
                <w14:ligatures w14:val="standardContextual"/>
              </w:rPr>
              <w:t xml:space="preserve"> i </w:t>
            </w:r>
            <w:proofErr w:type="spellStart"/>
            <w:r w:rsidRPr="00637DBA">
              <w:rPr>
                <w:rFonts w:ascii="Arial Narrow" w:eastAsia="Aptos" w:hAnsi="Arial Narrow" w:cs="Calibri"/>
                <w:color w:val="000000"/>
                <w:kern w:val="2"/>
                <w:sz w:val="20"/>
                <w:szCs w:val="20"/>
                <w:lang w:val="en-GB"/>
                <w14:ligatures w14:val="standardContextual"/>
              </w:rPr>
              <w:t>përballueshmërisë</w:t>
            </w:r>
            <w:proofErr w:type="spellEnd"/>
          </w:p>
        </w:tc>
        <w:tc>
          <w:tcPr>
            <w:tcW w:w="393" w:type="pct"/>
            <w:shd w:val="clear" w:color="auto" w:fill="auto"/>
            <w:noWrap/>
            <w:tcMar>
              <w:left w:w="43" w:type="dxa"/>
              <w:right w:w="43" w:type="dxa"/>
            </w:tcMar>
            <w:hideMark/>
          </w:tcPr>
          <w:p w14:paraId="7C715F52"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733</w:t>
            </w:r>
          </w:p>
        </w:tc>
        <w:tc>
          <w:tcPr>
            <w:tcW w:w="394" w:type="pct"/>
            <w:shd w:val="clear" w:color="auto" w:fill="auto"/>
            <w:noWrap/>
            <w:tcMar>
              <w:left w:w="43" w:type="dxa"/>
              <w:right w:w="43" w:type="dxa"/>
            </w:tcMar>
            <w:hideMark/>
          </w:tcPr>
          <w:p w14:paraId="2462BB4F"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755</w:t>
            </w:r>
          </w:p>
        </w:tc>
        <w:tc>
          <w:tcPr>
            <w:tcW w:w="392" w:type="pct"/>
            <w:shd w:val="clear" w:color="auto" w:fill="auto"/>
            <w:noWrap/>
            <w:tcMar>
              <w:left w:w="43" w:type="dxa"/>
              <w:right w:w="43" w:type="dxa"/>
            </w:tcMar>
            <w:hideMark/>
          </w:tcPr>
          <w:p w14:paraId="7AB89C8A"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777</w:t>
            </w:r>
          </w:p>
        </w:tc>
        <w:tc>
          <w:tcPr>
            <w:tcW w:w="394" w:type="pct"/>
            <w:shd w:val="clear" w:color="auto" w:fill="auto"/>
            <w:noWrap/>
            <w:tcMar>
              <w:left w:w="43" w:type="dxa"/>
              <w:right w:w="43" w:type="dxa"/>
            </w:tcMar>
            <w:hideMark/>
          </w:tcPr>
          <w:p w14:paraId="175A47FB"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800</w:t>
            </w:r>
          </w:p>
        </w:tc>
        <w:tc>
          <w:tcPr>
            <w:tcW w:w="404" w:type="pct"/>
            <w:shd w:val="clear" w:color="auto" w:fill="auto"/>
            <w:noWrap/>
            <w:tcMar>
              <w:left w:w="43" w:type="dxa"/>
              <w:right w:w="43" w:type="dxa"/>
            </w:tcMar>
            <w:hideMark/>
          </w:tcPr>
          <w:p w14:paraId="7D8826BF"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823</w:t>
            </w:r>
          </w:p>
        </w:tc>
        <w:tc>
          <w:tcPr>
            <w:tcW w:w="420" w:type="pct"/>
            <w:shd w:val="clear" w:color="auto" w:fill="auto"/>
            <w:noWrap/>
            <w:tcMar>
              <w:left w:w="43" w:type="dxa"/>
              <w:right w:w="43" w:type="dxa"/>
            </w:tcMar>
            <w:hideMark/>
          </w:tcPr>
          <w:p w14:paraId="6B4360ED"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847</w:t>
            </w:r>
          </w:p>
        </w:tc>
        <w:tc>
          <w:tcPr>
            <w:tcW w:w="397" w:type="pct"/>
            <w:shd w:val="clear" w:color="auto" w:fill="auto"/>
            <w:noWrap/>
            <w:tcMar>
              <w:left w:w="43" w:type="dxa"/>
              <w:right w:w="43" w:type="dxa"/>
            </w:tcMar>
            <w:hideMark/>
          </w:tcPr>
          <w:p w14:paraId="12EA4189"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872</w:t>
            </w:r>
          </w:p>
        </w:tc>
        <w:tc>
          <w:tcPr>
            <w:tcW w:w="397" w:type="pct"/>
            <w:shd w:val="clear" w:color="auto" w:fill="auto"/>
            <w:noWrap/>
            <w:tcMar>
              <w:left w:w="43" w:type="dxa"/>
              <w:right w:w="43" w:type="dxa"/>
            </w:tcMar>
            <w:hideMark/>
          </w:tcPr>
          <w:p w14:paraId="3FE0EBBA"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898</w:t>
            </w:r>
          </w:p>
        </w:tc>
        <w:tc>
          <w:tcPr>
            <w:tcW w:w="397" w:type="pct"/>
            <w:shd w:val="clear" w:color="auto" w:fill="auto"/>
            <w:noWrap/>
            <w:tcMar>
              <w:left w:w="43" w:type="dxa"/>
              <w:right w:w="43" w:type="dxa"/>
            </w:tcMar>
            <w:hideMark/>
          </w:tcPr>
          <w:p w14:paraId="32C018EF"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925</w:t>
            </w:r>
          </w:p>
        </w:tc>
        <w:tc>
          <w:tcPr>
            <w:tcW w:w="393" w:type="pct"/>
            <w:shd w:val="clear" w:color="auto" w:fill="auto"/>
            <w:noWrap/>
            <w:tcMar>
              <w:left w:w="43" w:type="dxa"/>
              <w:right w:w="43" w:type="dxa"/>
            </w:tcMar>
            <w:hideMark/>
          </w:tcPr>
          <w:p w14:paraId="0E8964EA" w14:textId="77777777" w:rsidR="00637DBA" w:rsidRPr="007D1EDC" w:rsidRDefault="00637DBA" w:rsidP="00637DB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952</w:t>
            </w:r>
          </w:p>
        </w:tc>
      </w:tr>
    </w:tbl>
    <w:p w14:paraId="08A0EF13" w14:textId="77777777" w:rsidR="007D1EDC" w:rsidRPr="007D1EDC" w:rsidRDefault="007D1EDC" w:rsidP="007D1EDC">
      <w:pPr>
        <w:rPr>
          <w:rFonts w:ascii="Arial Narrow" w:eastAsia="Aptos" w:hAnsi="Arial Narrow"/>
          <w:kern w:val="2"/>
          <w:sz w:val="22"/>
          <w:szCs w:val="22"/>
          <w:lang w:val="en-GB"/>
          <w14:ligatures w14:val="standardContextual"/>
        </w:rPr>
      </w:pPr>
    </w:p>
    <w:p w14:paraId="21005F01" w14:textId="738CF4DC" w:rsidR="007D1EDC" w:rsidRPr="007D1EDC" w:rsidRDefault="00637DBA" w:rsidP="007D1EDC">
      <w:pPr>
        <w:jc w:val="center"/>
        <w:rPr>
          <w:rFonts w:ascii="Arial Narrow" w:eastAsia="Aptos" w:hAnsi="Arial Narrow"/>
          <w:kern w:val="2"/>
          <w:sz w:val="22"/>
          <w:szCs w:val="22"/>
          <w:lang w:val="en-GB"/>
          <w14:ligatures w14:val="standardContextual"/>
        </w:rPr>
      </w:pPr>
      <w:r>
        <w:rPr>
          <w:noProof/>
        </w:rPr>
        <w:lastRenderedPageBreak/>
        <w:drawing>
          <wp:anchor distT="0" distB="0" distL="114300" distR="114300" simplePos="0" relativeHeight="251696128" behindDoc="0" locked="0" layoutInCell="1" allowOverlap="1" wp14:anchorId="019A8C2B" wp14:editId="6AB888C7">
            <wp:simplePos x="0" y="0"/>
            <wp:positionH relativeFrom="column">
              <wp:posOffset>0</wp:posOffset>
            </wp:positionH>
            <wp:positionV relativeFrom="paragraph">
              <wp:posOffset>160020</wp:posOffset>
            </wp:positionV>
            <wp:extent cx="4773930" cy="2669540"/>
            <wp:effectExtent l="0" t="0" r="7620" b="16510"/>
            <wp:wrapSquare wrapText="bothSides"/>
            <wp:docPr id="1761049276" name="Chart 1">
              <a:extLst xmlns:a="http://schemas.openxmlformats.org/drawingml/2006/main">
                <a:ext uri="{FF2B5EF4-FFF2-40B4-BE49-F238E27FC236}">
                  <a16:creationId xmlns:a16="http://schemas.microsoft.com/office/drawing/2014/main" id="{5B5D1779-FAE5-451F-99FD-EB7EF2EBF5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anchor>
        </w:drawing>
      </w:r>
    </w:p>
    <w:p w14:paraId="0C7104F0" w14:textId="77777777" w:rsidR="00637DBA" w:rsidRDefault="00637DBA" w:rsidP="00EF0E69">
      <w:pPr>
        <w:pStyle w:val="Figure"/>
        <w:rPr>
          <w:rFonts w:eastAsia="Calibri" w:cs="Calibri"/>
          <w:sz w:val="20"/>
          <w:szCs w:val="20"/>
        </w:rPr>
      </w:pPr>
      <w:bookmarkStart w:id="695" w:name="_Toc193365362"/>
    </w:p>
    <w:p w14:paraId="663EABBD" w14:textId="77777777" w:rsidR="00637DBA" w:rsidRDefault="00637DBA" w:rsidP="00EF0E69">
      <w:pPr>
        <w:pStyle w:val="Figure"/>
        <w:rPr>
          <w:rFonts w:eastAsia="Calibri" w:cs="Calibri"/>
          <w:sz w:val="20"/>
          <w:szCs w:val="20"/>
        </w:rPr>
      </w:pPr>
    </w:p>
    <w:p w14:paraId="37916DD8" w14:textId="77777777" w:rsidR="00637DBA" w:rsidRDefault="00637DBA" w:rsidP="00EF0E69">
      <w:pPr>
        <w:pStyle w:val="Figure"/>
        <w:rPr>
          <w:rFonts w:eastAsia="Calibri" w:cs="Calibri"/>
          <w:sz w:val="20"/>
          <w:szCs w:val="20"/>
        </w:rPr>
      </w:pPr>
    </w:p>
    <w:p w14:paraId="0027B046" w14:textId="77777777" w:rsidR="00637DBA" w:rsidRDefault="00637DBA" w:rsidP="00EF0E69">
      <w:pPr>
        <w:pStyle w:val="Figure"/>
        <w:rPr>
          <w:rFonts w:eastAsia="Calibri" w:cs="Calibri"/>
          <w:sz w:val="20"/>
          <w:szCs w:val="20"/>
        </w:rPr>
      </w:pPr>
    </w:p>
    <w:p w14:paraId="21BDDFF9" w14:textId="77777777" w:rsidR="00637DBA" w:rsidRDefault="00637DBA" w:rsidP="00EF0E69">
      <w:pPr>
        <w:pStyle w:val="Figure"/>
        <w:rPr>
          <w:rFonts w:eastAsia="Calibri" w:cs="Calibri"/>
          <w:sz w:val="20"/>
          <w:szCs w:val="20"/>
        </w:rPr>
      </w:pPr>
    </w:p>
    <w:p w14:paraId="761991D2" w14:textId="77777777" w:rsidR="00637DBA" w:rsidRDefault="00637DBA" w:rsidP="00EF0E69">
      <w:pPr>
        <w:pStyle w:val="Figure"/>
        <w:rPr>
          <w:rFonts w:eastAsia="Calibri" w:cs="Calibri"/>
          <w:sz w:val="20"/>
          <w:szCs w:val="20"/>
        </w:rPr>
      </w:pPr>
    </w:p>
    <w:p w14:paraId="5A31E762" w14:textId="77777777" w:rsidR="00637DBA" w:rsidRDefault="00637DBA" w:rsidP="00EF0E69">
      <w:pPr>
        <w:pStyle w:val="Figure"/>
        <w:rPr>
          <w:rFonts w:eastAsia="Calibri" w:cs="Calibri"/>
          <w:sz w:val="20"/>
          <w:szCs w:val="20"/>
        </w:rPr>
      </w:pPr>
    </w:p>
    <w:p w14:paraId="0D9AF44D" w14:textId="77777777" w:rsidR="00637DBA" w:rsidRDefault="00637DBA" w:rsidP="00EF0E69">
      <w:pPr>
        <w:pStyle w:val="Figure"/>
        <w:rPr>
          <w:rFonts w:eastAsia="Calibri" w:cs="Calibri"/>
          <w:sz w:val="20"/>
          <w:szCs w:val="20"/>
        </w:rPr>
      </w:pPr>
    </w:p>
    <w:p w14:paraId="2EC4938F" w14:textId="77777777" w:rsidR="00637DBA" w:rsidRDefault="00637DBA" w:rsidP="00EF0E69">
      <w:pPr>
        <w:pStyle w:val="Figure"/>
        <w:rPr>
          <w:rFonts w:eastAsia="Calibri" w:cs="Calibri"/>
          <w:sz w:val="20"/>
          <w:szCs w:val="20"/>
        </w:rPr>
      </w:pPr>
    </w:p>
    <w:p w14:paraId="12E1EEBD" w14:textId="77777777" w:rsidR="00637DBA" w:rsidRDefault="00637DBA" w:rsidP="00EF0E69">
      <w:pPr>
        <w:pStyle w:val="Figure"/>
        <w:rPr>
          <w:rFonts w:eastAsia="Calibri" w:cs="Calibri"/>
          <w:sz w:val="20"/>
          <w:szCs w:val="20"/>
        </w:rPr>
      </w:pPr>
    </w:p>
    <w:p w14:paraId="442D62E9" w14:textId="77777777" w:rsidR="00637DBA" w:rsidRDefault="00637DBA" w:rsidP="00EF0E69">
      <w:pPr>
        <w:pStyle w:val="Figure"/>
        <w:rPr>
          <w:rFonts w:eastAsia="Calibri" w:cs="Calibri"/>
          <w:sz w:val="20"/>
          <w:szCs w:val="20"/>
        </w:rPr>
      </w:pPr>
    </w:p>
    <w:p w14:paraId="388DC3B2" w14:textId="77777777" w:rsidR="00637DBA" w:rsidRDefault="00637DBA" w:rsidP="00EF0E69">
      <w:pPr>
        <w:pStyle w:val="Figure"/>
        <w:rPr>
          <w:rFonts w:eastAsia="Calibri" w:cs="Calibri"/>
          <w:sz w:val="20"/>
          <w:szCs w:val="20"/>
        </w:rPr>
      </w:pPr>
    </w:p>
    <w:p w14:paraId="6C88FB94" w14:textId="1823DEA8" w:rsidR="007D1EDC" w:rsidRDefault="007D1EDC" w:rsidP="00E4478C">
      <w:pPr>
        <w:pStyle w:val="Figure"/>
        <w:rPr>
          <w:rFonts w:eastAsia="Calibri" w:cs="Calibri"/>
          <w:sz w:val="20"/>
          <w:szCs w:val="20"/>
        </w:rPr>
      </w:pPr>
      <w:bookmarkStart w:id="696" w:name="_Toc197472346"/>
      <w:r w:rsidRPr="007D1EDC">
        <w:rPr>
          <w:rFonts w:eastAsia="Calibri" w:cs="Calibri"/>
          <w:sz w:val="20"/>
          <w:szCs w:val="20"/>
        </w:rPr>
        <w:t xml:space="preserve">Figura </w:t>
      </w:r>
      <w:r w:rsidRPr="007D1EDC">
        <w:rPr>
          <w:rFonts w:eastAsia="Calibri" w:cs="Calibri"/>
          <w:sz w:val="20"/>
          <w:szCs w:val="20"/>
        </w:rPr>
        <w:fldChar w:fldCharType="begin"/>
      </w:r>
      <w:r w:rsidRPr="007D1EDC">
        <w:rPr>
          <w:rFonts w:eastAsia="Calibri" w:cs="Calibri"/>
          <w:sz w:val="20"/>
          <w:szCs w:val="20"/>
        </w:rPr>
        <w:instrText xml:space="preserve"> SEQ Figure \* ARABIC </w:instrText>
      </w:r>
      <w:r w:rsidRPr="007D1EDC">
        <w:rPr>
          <w:rFonts w:eastAsia="Calibri" w:cs="Calibri"/>
          <w:sz w:val="20"/>
          <w:szCs w:val="20"/>
        </w:rPr>
        <w:fldChar w:fldCharType="separate"/>
      </w:r>
      <w:r w:rsidR="00C97DF3">
        <w:rPr>
          <w:rFonts w:eastAsia="Calibri" w:cs="Calibri"/>
          <w:noProof/>
          <w:sz w:val="20"/>
          <w:szCs w:val="20"/>
        </w:rPr>
        <w:t xml:space="preserve">45. </w:t>
      </w:r>
      <w:r w:rsidRPr="007D1EDC">
        <w:rPr>
          <w:rFonts w:eastAsia="Calibri" w:cs="Calibri"/>
          <w:sz w:val="20"/>
          <w:szCs w:val="20"/>
        </w:rPr>
        <w:fldChar w:fldCharType="end"/>
      </w:r>
      <w:bookmarkEnd w:id="695"/>
      <w:r w:rsidR="00E4478C" w:rsidRPr="00E4478C">
        <w:rPr>
          <w:rFonts w:eastAsia="Calibri" w:cs="Calibri"/>
          <w:sz w:val="20"/>
          <w:szCs w:val="20"/>
        </w:rPr>
        <w:t xml:space="preserve"> </w:t>
      </w:r>
      <w:r w:rsidR="00E4478C" w:rsidRPr="007D1EDC">
        <w:rPr>
          <w:rFonts w:eastAsia="Calibri" w:cs="Calibri"/>
          <w:sz w:val="20"/>
          <w:szCs w:val="20"/>
        </w:rPr>
        <w:t xml:space="preserve">Të </w:t>
      </w:r>
      <w:r w:rsidR="00E4478C">
        <w:rPr>
          <w:rFonts w:eastAsia="Calibri" w:cs="Calibri"/>
          <w:sz w:val="20"/>
          <w:szCs w:val="20"/>
        </w:rPr>
        <w:t xml:space="preserve">hyrat </w:t>
      </w:r>
      <w:r w:rsidR="00E4478C" w:rsidRPr="007D1EDC">
        <w:rPr>
          <w:rFonts w:eastAsia="Calibri" w:cs="Calibri"/>
          <w:sz w:val="20"/>
          <w:szCs w:val="20"/>
        </w:rPr>
        <w:t xml:space="preserve">e </w:t>
      </w:r>
      <w:r w:rsidR="00E4478C">
        <w:rPr>
          <w:rFonts w:eastAsia="Calibri" w:cs="Calibri"/>
          <w:sz w:val="20"/>
          <w:szCs w:val="20"/>
        </w:rPr>
        <w:t xml:space="preserve">Klinës të </w:t>
      </w:r>
      <w:r w:rsidR="00E4478C" w:rsidRPr="007D1EDC">
        <w:rPr>
          <w:rFonts w:eastAsia="Calibri" w:cs="Calibri"/>
          <w:sz w:val="20"/>
          <w:szCs w:val="20"/>
        </w:rPr>
        <w:t xml:space="preserve">parashikuara nga tarifat </w:t>
      </w:r>
      <w:r w:rsidR="00E4478C">
        <w:rPr>
          <w:rFonts w:eastAsia="Calibri" w:cs="Calibri"/>
          <w:sz w:val="20"/>
          <w:szCs w:val="20"/>
        </w:rPr>
        <w:t>e amvisërisë</w:t>
      </w:r>
      <w:r w:rsidR="00E4478C" w:rsidRPr="007D1EDC">
        <w:rPr>
          <w:rFonts w:eastAsia="Calibri" w:cs="Calibri"/>
          <w:sz w:val="20"/>
          <w:szCs w:val="20"/>
        </w:rPr>
        <w:t xml:space="preserve"> në lidhje me përballueshmërinë</w:t>
      </w:r>
      <w:bookmarkEnd w:id="696"/>
    </w:p>
    <w:p w14:paraId="287417ED" w14:textId="77777777" w:rsidR="00E4478C" w:rsidRPr="003069B8" w:rsidRDefault="00E4478C" w:rsidP="00E4478C">
      <w:pPr>
        <w:pStyle w:val="Figure"/>
        <w:rPr>
          <w:rFonts w:eastAsia="Aptos"/>
          <w:i/>
          <w:iCs/>
          <w:color w:val="0E2841"/>
          <w:kern w:val="2"/>
          <w:sz w:val="18"/>
          <w:szCs w:val="18"/>
          <w14:ligatures w14:val="standardContextual"/>
        </w:rPr>
      </w:pPr>
    </w:p>
    <w:p w14:paraId="5E284F7B" w14:textId="77777777" w:rsidR="007D1EDC" w:rsidRPr="003069B8" w:rsidRDefault="007D1EDC" w:rsidP="007D1EDC">
      <w:pPr>
        <w:rPr>
          <w:rFonts w:ascii="Arial Narrow" w:eastAsia="Aptos" w:hAnsi="Arial Narrow"/>
          <w:b/>
          <w:bCs/>
          <w:color w:val="0E2841"/>
          <w:kern w:val="2"/>
          <w:sz w:val="22"/>
          <w:szCs w:val="22"/>
          <w:lang w:val="es-ES"/>
          <w14:ligatures w14:val="standardContextual"/>
        </w:rPr>
      </w:pPr>
      <w:proofErr w:type="spellStart"/>
      <w:r w:rsidRPr="003069B8">
        <w:rPr>
          <w:rFonts w:ascii="Arial Narrow" w:eastAsia="Aptos" w:hAnsi="Arial Narrow"/>
          <w:b/>
          <w:bCs/>
          <w:color w:val="0E2841"/>
          <w:kern w:val="2"/>
          <w:sz w:val="22"/>
          <w:szCs w:val="22"/>
          <w:lang w:val="es-ES"/>
          <w14:ligatures w14:val="standardContextual"/>
        </w:rPr>
        <w:t>Komuna</w:t>
      </w:r>
      <w:proofErr w:type="spellEnd"/>
      <w:r w:rsidRPr="003069B8">
        <w:rPr>
          <w:rFonts w:ascii="Arial Narrow" w:eastAsia="Aptos" w:hAnsi="Arial Narrow"/>
          <w:b/>
          <w:bCs/>
          <w:color w:val="0E2841"/>
          <w:kern w:val="2"/>
          <w:sz w:val="22"/>
          <w:szCs w:val="22"/>
          <w:lang w:val="es-ES"/>
          <w14:ligatures w14:val="standardContextual"/>
        </w:rPr>
        <w:t xml:space="preserve"> e </w:t>
      </w:r>
      <w:proofErr w:type="spellStart"/>
      <w:r w:rsidRPr="003069B8">
        <w:rPr>
          <w:rFonts w:ascii="Arial Narrow" w:eastAsia="Aptos" w:hAnsi="Arial Narrow"/>
          <w:b/>
          <w:bCs/>
          <w:color w:val="0E2841"/>
          <w:kern w:val="2"/>
          <w:sz w:val="22"/>
          <w:szCs w:val="22"/>
          <w:lang w:val="es-ES"/>
          <w14:ligatures w14:val="standardContextual"/>
        </w:rPr>
        <w:t>Deçanit</w:t>
      </w:r>
      <w:proofErr w:type="spellEnd"/>
    </w:p>
    <w:p w14:paraId="4B7DFF1E" w14:textId="77777777" w:rsidR="007D1EDC" w:rsidRPr="003069B8" w:rsidRDefault="007D1EDC" w:rsidP="007D1EDC">
      <w:pPr>
        <w:rPr>
          <w:rFonts w:ascii="Arial Narrow" w:eastAsia="Aptos" w:hAnsi="Arial Narrow"/>
          <w:i/>
          <w:iCs/>
          <w:color w:val="0E2841"/>
          <w:kern w:val="2"/>
          <w:sz w:val="18"/>
          <w:szCs w:val="18"/>
          <w:lang w:val="es-ES"/>
          <w14:ligatures w14:val="standardContextual"/>
        </w:rPr>
      </w:pPr>
    </w:p>
    <w:p w14:paraId="3BB10F25" w14:textId="72582A92" w:rsidR="007D1EDC" w:rsidRPr="007D1EDC" w:rsidRDefault="007D1EDC" w:rsidP="007D1EDC">
      <w:pPr>
        <w:suppressAutoHyphens/>
        <w:rPr>
          <w:rFonts w:ascii="Arial Narrow" w:eastAsia="Calibri" w:hAnsi="Arial Narrow" w:cs="Calibri"/>
          <w:color w:val="1F497D"/>
          <w:sz w:val="20"/>
          <w:szCs w:val="20"/>
        </w:rPr>
      </w:pPr>
      <w:bookmarkStart w:id="697" w:name="_Toc190966800"/>
      <w:bookmarkStart w:id="698" w:name="_Toc197472297"/>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112.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Llogaritja e tarifës, komuna e Deçanit, mijë euro</w:t>
      </w:r>
      <w:bookmarkEnd w:id="697"/>
      <w:bookmarkEnd w:id="6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09"/>
        <w:gridCol w:w="710"/>
        <w:gridCol w:w="707"/>
        <w:gridCol w:w="710"/>
        <w:gridCol w:w="728"/>
        <w:gridCol w:w="757"/>
        <w:gridCol w:w="716"/>
        <w:gridCol w:w="716"/>
        <w:gridCol w:w="716"/>
        <w:gridCol w:w="709"/>
      </w:tblGrid>
      <w:tr w:rsidR="007D1EDC" w:rsidRPr="007D1EDC" w14:paraId="60D33501" w14:textId="77777777" w:rsidTr="00D03949">
        <w:trPr>
          <w:trHeight w:val="220"/>
          <w:tblHeader/>
        </w:trPr>
        <w:tc>
          <w:tcPr>
            <w:tcW w:w="1019" w:type="pct"/>
            <w:shd w:val="clear" w:color="auto" w:fill="365F91"/>
            <w:tcMar>
              <w:left w:w="43" w:type="dxa"/>
              <w:right w:w="43" w:type="dxa"/>
            </w:tcMar>
          </w:tcPr>
          <w:p w14:paraId="129ED1D7" w14:textId="77777777" w:rsidR="007D1EDC" w:rsidRPr="003069B8" w:rsidRDefault="007D1EDC" w:rsidP="007D1EDC">
            <w:pPr>
              <w:jc w:val="right"/>
              <w:rPr>
                <w:rFonts w:ascii="Arial Narrow" w:hAnsi="Arial Narrow" w:cs="Calibri"/>
                <w:b/>
                <w:bCs/>
                <w:color w:val="FFFFFF" w:themeColor="background1"/>
                <w:sz w:val="20"/>
                <w:szCs w:val="20"/>
                <w:lang w:val="es-ES" w:eastAsia="en-GB"/>
              </w:rPr>
            </w:pPr>
          </w:p>
        </w:tc>
        <w:tc>
          <w:tcPr>
            <w:tcW w:w="393" w:type="pct"/>
            <w:shd w:val="clear" w:color="auto" w:fill="365F91"/>
            <w:noWrap/>
            <w:tcMar>
              <w:left w:w="43" w:type="dxa"/>
              <w:right w:w="43" w:type="dxa"/>
            </w:tcMar>
            <w:vAlign w:val="center"/>
            <w:hideMark/>
          </w:tcPr>
          <w:p w14:paraId="71E4DEF3"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2026</w:t>
            </w:r>
          </w:p>
        </w:tc>
        <w:tc>
          <w:tcPr>
            <w:tcW w:w="394" w:type="pct"/>
            <w:shd w:val="clear" w:color="auto" w:fill="365F91"/>
            <w:noWrap/>
            <w:tcMar>
              <w:left w:w="43" w:type="dxa"/>
              <w:right w:w="43" w:type="dxa"/>
            </w:tcMar>
            <w:vAlign w:val="center"/>
            <w:hideMark/>
          </w:tcPr>
          <w:p w14:paraId="7449F2CE"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2027</w:t>
            </w:r>
          </w:p>
        </w:tc>
        <w:tc>
          <w:tcPr>
            <w:tcW w:w="392" w:type="pct"/>
            <w:shd w:val="clear" w:color="auto" w:fill="365F91"/>
            <w:noWrap/>
            <w:tcMar>
              <w:left w:w="43" w:type="dxa"/>
              <w:right w:w="43" w:type="dxa"/>
            </w:tcMar>
            <w:vAlign w:val="center"/>
            <w:hideMark/>
          </w:tcPr>
          <w:p w14:paraId="53F4C3A4"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2028</w:t>
            </w:r>
          </w:p>
        </w:tc>
        <w:tc>
          <w:tcPr>
            <w:tcW w:w="394" w:type="pct"/>
            <w:shd w:val="clear" w:color="auto" w:fill="365F91"/>
            <w:noWrap/>
            <w:tcMar>
              <w:left w:w="43" w:type="dxa"/>
              <w:right w:w="43" w:type="dxa"/>
            </w:tcMar>
            <w:vAlign w:val="center"/>
            <w:hideMark/>
          </w:tcPr>
          <w:p w14:paraId="70025FB0"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2029</w:t>
            </w:r>
          </w:p>
        </w:tc>
        <w:tc>
          <w:tcPr>
            <w:tcW w:w="404" w:type="pct"/>
            <w:shd w:val="clear" w:color="auto" w:fill="365F91"/>
            <w:noWrap/>
            <w:tcMar>
              <w:left w:w="43" w:type="dxa"/>
              <w:right w:w="43" w:type="dxa"/>
            </w:tcMar>
            <w:vAlign w:val="center"/>
            <w:hideMark/>
          </w:tcPr>
          <w:p w14:paraId="261DDF78"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2030</w:t>
            </w:r>
          </w:p>
        </w:tc>
        <w:tc>
          <w:tcPr>
            <w:tcW w:w="420" w:type="pct"/>
            <w:shd w:val="clear" w:color="auto" w:fill="365F91"/>
            <w:noWrap/>
            <w:tcMar>
              <w:left w:w="43" w:type="dxa"/>
              <w:right w:w="43" w:type="dxa"/>
            </w:tcMar>
            <w:vAlign w:val="center"/>
            <w:hideMark/>
          </w:tcPr>
          <w:p w14:paraId="6312D43C"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2031</w:t>
            </w:r>
          </w:p>
        </w:tc>
        <w:tc>
          <w:tcPr>
            <w:tcW w:w="397" w:type="pct"/>
            <w:shd w:val="clear" w:color="auto" w:fill="365F91"/>
            <w:noWrap/>
            <w:tcMar>
              <w:left w:w="43" w:type="dxa"/>
              <w:right w:w="43" w:type="dxa"/>
            </w:tcMar>
            <w:vAlign w:val="center"/>
            <w:hideMark/>
          </w:tcPr>
          <w:p w14:paraId="6464F33D"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2032</w:t>
            </w:r>
          </w:p>
        </w:tc>
        <w:tc>
          <w:tcPr>
            <w:tcW w:w="397" w:type="pct"/>
            <w:shd w:val="clear" w:color="auto" w:fill="365F91"/>
            <w:noWrap/>
            <w:tcMar>
              <w:left w:w="43" w:type="dxa"/>
              <w:right w:w="43" w:type="dxa"/>
            </w:tcMar>
            <w:vAlign w:val="center"/>
            <w:hideMark/>
          </w:tcPr>
          <w:p w14:paraId="0FD44527"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2033</w:t>
            </w:r>
          </w:p>
        </w:tc>
        <w:tc>
          <w:tcPr>
            <w:tcW w:w="397" w:type="pct"/>
            <w:shd w:val="clear" w:color="auto" w:fill="365F91"/>
            <w:noWrap/>
            <w:tcMar>
              <w:left w:w="43" w:type="dxa"/>
              <w:right w:w="43" w:type="dxa"/>
            </w:tcMar>
            <w:vAlign w:val="center"/>
            <w:hideMark/>
          </w:tcPr>
          <w:p w14:paraId="5D6DA269"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2034</w:t>
            </w:r>
          </w:p>
        </w:tc>
        <w:tc>
          <w:tcPr>
            <w:tcW w:w="393" w:type="pct"/>
            <w:shd w:val="clear" w:color="auto" w:fill="365F91"/>
            <w:noWrap/>
            <w:tcMar>
              <w:left w:w="43" w:type="dxa"/>
              <w:right w:w="43" w:type="dxa"/>
            </w:tcMar>
            <w:vAlign w:val="center"/>
            <w:hideMark/>
          </w:tcPr>
          <w:p w14:paraId="51FC8DA8"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2035</w:t>
            </w:r>
          </w:p>
        </w:tc>
      </w:tr>
      <w:tr w:rsidR="00523B1A" w:rsidRPr="007D1EDC" w14:paraId="6B8DD36C" w14:textId="77777777" w:rsidTr="00D03949">
        <w:trPr>
          <w:trHeight w:val="210"/>
        </w:trPr>
        <w:tc>
          <w:tcPr>
            <w:tcW w:w="1019" w:type="pct"/>
            <w:tcMar>
              <w:left w:w="43" w:type="dxa"/>
              <w:right w:w="43" w:type="dxa"/>
            </w:tcMar>
            <w:vAlign w:val="bottom"/>
          </w:tcPr>
          <w:p w14:paraId="21A55270" w14:textId="4BD83B9B" w:rsidR="00523B1A" w:rsidRPr="003069B8" w:rsidRDefault="00523B1A" w:rsidP="00523B1A">
            <w:pPr>
              <w:rPr>
                <w:rFonts w:ascii="Arial Narrow" w:hAnsi="Arial Narrow" w:cs="Calibri"/>
                <w:color w:val="FF0000"/>
                <w:sz w:val="20"/>
                <w:szCs w:val="20"/>
                <w:lang w:val="es-ES" w:eastAsia="en-GB"/>
              </w:rPr>
            </w:pPr>
            <w:proofErr w:type="spellStart"/>
            <w:r w:rsidRPr="003069B8">
              <w:rPr>
                <w:rFonts w:ascii="Arial Narrow" w:eastAsia="Aptos" w:hAnsi="Arial Narrow" w:cs="Calibri"/>
                <w:color w:val="000000"/>
                <w:kern w:val="2"/>
                <w:sz w:val="20"/>
                <w:szCs w:val="20"/>
                <w:lang w:val="es-ES"/>
                <w14:ligatures w14:val="standardContextual"/>
              </w:rPr>
              <w:t>Mbeturinat</w:t>
            </w:r>
            <w:proofErr w:type="spellEnd"/>
            <w:r w:rsidRPr="003069B8">
              <w:rPr>
                <w:rFonts w:ascii="Arial Narrow" w:eastAsia="Aptos" w:hAnsi="Arial Narrow" w:cs="Calibri"/>
                <w:color w:val="000000"/>
                <w:kern w:val="2"/>
                <w:sz w:val="20"/>
                <w:szCs w:val="20"/>
                <w:lang w:val="es-ES"/>
                <w14:ligatures w14:val="standardContextual"/>
              </w:rPr>
              <w:t xml:space="preserve"> e </w:t>
            </w:r>
            <w:proofErr w:type="spellStart"/>
            <w:r w:rsidRPr="003069B8">
              <w:rPr>
                <w:rFonts w:ascii="Arial Narrow" w:eastAsia="Aptos" w:hAnsi="Arial Narrow" w:cs="Calibri"/>
                <w:color w:val="000000"/>
                <w:kern w:val="2"/>
                <w:sz w:val="20"/>
                <w:szCs w:val="20"/>
                <w:lang w:val="es-ES"/>
                <w14:ligatures w14:val="standardContextual"/>
              </w:rPr>
              <w:t>përziera</w:t>
            </w:r>
            <w:proofErr w:type="spellEnd"/>
            <w:r w:rsidRPr="003069B8">
              <w:rPr>
                <w:rFonts w:ascii="Arial Narrow" w:eastAsia="Aptos" w:hAnsi="Arial Narrow" w:cs="Calibri"/>
                <w:color w:val="000000"/>
                <w:kern w:val="2"/>
                <w:sz w:val="20"/>
                <w:szCs w:val="20"/>
                <w:lang w:val="es-ES"/>
                <w14:ligatures w14:val="standardContextual"/>
              </w:rPr>
              <w:t xml:space="preserve"> </w:t>
            </w:r>
            <w:proofErr w:type="spellStart"/>
            <w:r w:rsidRPr="003069B8">
              <w:rPr>
                <w:rFonts w:ascii="Arial Narrow" w:eastAsia="Aptos" w:hAnsi="Arial Narrow" w:cs="Calibri"/>
                <w:color w:val="000000"/>
                <w:kern w:val="2"/>
                <w:sz w:val="20"/>
                <w:szCs w:val="20"/>
                <w:lang w:val="es-ES"/>
                <w14:ligatures w14:val="standardContextual"/>
              </w:rPr>
              <w:t>të</w:t>
            </w:r>
            <w:proofErr w:type="spellEnd"/>
            <w:r w:rsidRPr="003069B8">
              <w:rPr>
                <w:rFonts w:ascii="Arial Narrow" w:eastAsia="Aptos" w:hAnsi="Arial Narrow" w:cs="Calibri"/>
                <w:color w:val="000000"/>
                <w:kern w:val="2"/>
                <w:sz w:val="20"/>
                <w:szCs w:val="20"/>
                <w:lang w:val="es-ES"/>
                <w14:ligatures w14:val="standardContextual"/>
              </w:rPr>
              <w:t xml:space="preserve"> </w:t>
            </w:r>
            <w:proofErr w:type="spellStart"/>
            <w:r w:rsidRPr="003069B8">
              <w:rPr>
                <w:rFonts w:ascii="Arial Narrow" w:eastAsia="Aptos" w:hAnsi="Arial Narrow" w:cs="Calibri"/>
                <w:color w:val="000000"/>
                <w:kern w:val="2"/>
                <w:sz w:val="20"/>
                <w:szCs w:val="20"/>
                <w:lang w:val="es-ES"/>
                <w14:ligatures w14:val="standardContextual"/>
              </w:rPr>
              <w:t>grumbulluara</w:t>
            </w:r>
            <w:proofErr w:type="spellEnd"/>
          </w:p>
        </w:tc>
        <w:tc>
          <w:tcPr>
            <w:tcW w:w="393" w:type="pct"/>
            <w:shd w:val="clear" w:color="auto" w:fill="auto"/>
            <w:noWrap/>
            <w:tcMar>
              <w:left w:w="43" w:type="dxa"/>
              <w:right w:w="43" w:type="dxa"/>
            </w:tcMar>
            <w:hideMark/>
          </w:tcPr>
          <w:p w14:paraId="5E585BD1" w14:textId="71384E98"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7,230 t</w:t>
            </w:r>
          </w:p>
        </w:tc>
        <w:tc>
          <w:tcPr>
            <w:tcW w:w="394" w:type="pct"/>
            <w:shd w:val="clear" w:color="auto" w:fill="auto"/>
            <w:noWrap/>
            <w:tcMar>
              <w:left w:w="43" w:type="dxa"/>
              <w:right w:w="43" w:type="dxa"/>
            </w:tcMar>
            <w:hideMark/>
          </w:tcPr>
          <w:p w14:paraId="7EC7458D"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6,013 t</w:t>
            </w:r>
          </w:p>
        </w:tc>
        <w:tc>
          <w:tcPr>
            <w:tcW w:w="392" w:type="pct"/>
            <w:shd w:val="clear" w:color="auto" w:fill="auto"/>
            <w:noWrap/>
            <w:tcMar>
              <w:left w:w="43" w:type="dxa"/>
              <w:right w:w="43" w:type="dxa"/>
            </w:tcMar>
            <w:hideMark/>
          </w:tcPr>
          <w:p w14:paraId="3DC43041" w14:textId="6C9D2A92"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5,912 t</w:t>
            </w:r>
          </w:p>
        </w:tc>
        <w:tc>
          <w:tcPr>
            <w:tcW w:w="394" w:type="pct"/>
            <w:shd w:val="clear" w:color="auto" w:fill="auto"/>
            <w:noWrap/>
            <w:tcMar>
              <w:left w:w="43" w:type="dxa"/>
              <w:right w:w="43" w:type="dxa"/>
            </w:tcMar>
            <w:hideMark/>
          </w:tcPr>
          <w:p w14:paraId="2A7BF52C" w14:textId="4531A5A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5,792 t</w:t>
            </w:r>
          </w:p>
        </w:tc>
        <w:tc>
          <w:tcPr>
            <w:tcW w:w="404" w:type="pct"/>
            <w:shd w:val="clear" w:color="auto" w:fill="auto"/>
            <w:noWrap/>
            <w:tcMar>
              <w:left w:w="43" w:type="dxa"/>
              <w:right w:w="43" w:type="dxa"/>
            </w:tcMar>
            <w:hideMark/>
          </w:tcPr>
          <w:p w14:paraId="70795E5E" w14:textId="2DBA50B8"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5,595 t</w:t>
            </w:r>
          </w:p>
        </w:tc>
        <w:tc>
          <w:tcPr>
            <w:tcW w:w="420" w:type="pct"/>
            <w:shd w:val="clear" w:color="auto" w:fill="auto"/>
            <w:noWrap/>
            <w:tcMar>
              <w:left w:w="43" w:type="dxa"/>
              <w:right w:w="43" w:type="dxa"/>
            </w:tcMar>
            <w:hideMark/>
          </w:tcPr>
          <w:p w14:paraId="7B261DA0" w14:textId="198B218A"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5,426 t</w:t>
            </w:r>
          </w:p>
        </w:tc>
        <w:tc>
          <w:tcPr>
            <w:tcW w:w="397" w:type="pct"/>
            <w:shd w:val="clear" w:color="auto" w:fill="auto"/>
            <w:noWrap/>
            <w:tcMar>
              <w:left w:w="43" w:type="dxa"/>
              <w:right w:w="43" w:type="dxa"/>
            </w:tcMar>
            <w:hideMark/>
          </w:tcPr>
          <w:p w14:paraId="004B8F78" w14:textId="4FEDF0B6"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4,416 t</w:t>
            </w:r>
          </w:p>
        </w:tc>
        <w:tc>
          <w:tcPr>
            <w:tcW w:w="397" w:type="pct"/>
            <w:shd w:val="clear" w:color="auto" w:fill="auto"/>
            <w:noWrap/>
            <w:tcMar>
              <w:left w:w="43" w:type="dxa"/>
              <w:right w:w="43" w:type="dxa"/>
            </w:tcMar>
            <w:hideMark/>
          </w:tcPr>
          <w:p w14:paraId="6DCBAA4F" w14:textId="6D1D709C"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4,243 t</w:t>
            </w:r>
          </w:p>
        </w:tc>
        <w:tc>
          <w:tcPr>
            <w:tcW w:w="397" w:type="pct"/>
            <w:shd w:val="clear" w:color="auto" w:fill="auto"/>
            <w:noWrap/>
            <w:tcMar>
              <w:left w:w="43" w:type="dxa"/>
              <w:right w:w="43" w:type="dxa"/>
            </w:tcMar>
            <w:hideMark/>
          </w:tcPr>
          <w:p w14:paraId="39518FFD" w14:textId="50F466DA"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4,068 t</w:t>
            </w:r>
          </w:p>
        </w:tc>
        <w:tc>
          <w:tcPr>
            <w:tcW w:w="393" w:type="pct"/>
            <w:shd w:val="clear" w:color="auto" w:fill="auto"/>
            <w:noWrap/>
            <w:tcMar>
              <w:left w:w="43" w:type="dxa"/>
              <w:right w:w="43" w:type="dxa"/>
            </w:tcMar>
            <w:hideMark/>
          </w:tcPr>
          <w:p w14:paraId="090DA55F" w14:textId="5653A8C2"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3,926 t</w:t>
            </w:r>
          </w:p>
        </w:tc>
      </w:tr>
      <w:tr w:rsidR="00523B1A" w:rsidRPr="007D1EDC" w14:paraId="14A45DF4" w14:textId="77777777" w:rsidTr="00D03949">
        <w:trPr>
          <w:trHeight w:val="210"/>
        </w:trPr>
        <w:tc>
          <w:tcPr>
            <w:tcW w:w="1019" w:type="pct"/>
            <w:tcMar>
              <w:left w:w="43" w:type="dxa"/>
              <w:right w:w="43" w:type="dxa"/>
            </w:tcMar>
            <w:vAlign w:val="bottom"/>
          </w:tcPr>
          <w:p w14:paraId="3AF4D2FE" w14:textId="05EE6C54" w:rsidR="00523B1A" w:rsidRPr="00523B1A" w:rsidRDefault="00523B1A" w:rsidP="00523B1A">
            <w:pPr>
              <w:rPr>
                <w:rFonts w:ascii="Arial Narrow" w:hAnsi="Arial Narrow" w:cs="Calibri"/>
                <w:color w:val="000000"/>
                <w:sz w:val="20"/>
                <w:szCs w:val="20"/>
                <w:lang w:val="en-GB" w:eastAsia="en-GB"/>
              </w:rPr>
            </w:pPr>
            <w:proofErr w:type="spellStart"/>
            <w:r w:rsidRPr="00523B1A">
              <w:rPr>
                <w:rFonts w:ascii="Arial Narrow" w:eastAsia="Aptos" w:hAnsi="Arial Narrow" w:cs="Calibri"/>
                <w:color w:val="000000"/>
                <w:kern w:val="2"/>
                <w:sz w:val="20"/>
                <w:szCs w:val="20"/>
                <w:lang w:val="en-GB"/>
                <w14:ligatures w14:val="standardContextual"/>
              </w:rPr>
              <w:t>Grumbullimi</w:t>
            </w:r>
            <w:proofErr w:type="spellEnd"/>
            <w:r w:rsidRPr="00523B1A">
              <w:rPr>
                <w:rFonts w:ascii="Arial Narrow" w:eastAsia="Aptos" w:hAnsi="Arial Narrow" w:cs="Calibri"/>
                <w:color w:val="000000"/>
                <w:kern w:val="2"/>
                <w:sz w:val="20"/>
                <w:szCs w:val="20"/>
                <w:lang w:val="en-GB"/>
                <w14:ligatures w14:val="standardContextual"/>
              </w:rPr>
              <w:t xml:space="preserve"> i </w:t>
            </w:r>
            <w:proofErr w:type="spellStart"/>
            <w:r w:rsidRPr="00523B1A">
              <w:rPr>
                <w:rFonts w:ascii="Arial Narrow" w:eastAsia="Aptos" w:hAnsi="Arial Narrow" w:cs="Calibri"/>
                <w:color w:val="000000"/>
                <w:kern w:val="2"/>
                <w:sz w:val="20"/>
                <w:szCs w:val="20"/>
                <w:lang w:val="en-GB"/>
                <w14:ligatures w14:val="standardContextual"/>
              </w:rPr>
              <w:t>mbeturinave</w:t>
            </w:r>
            <w:proofErr w:type="spellEnd"/>
            <w:r w:rsidRPr="00523B1A">
              <w:rPr>
                <w:rFonts w:ascii="Arial Narrow" w:eastAsia="Aptos" w:hAnsi="Arial Narrow" w:cs="Calibri"/>
                <w:color w:val="000000"/>
                <w:kern w:val="2"/>
                <w:sz w:val="20"/>
                <w:szCs w:val="20"/>
                <w:lang w:val="en-GB"/>
                <w14:ligatures w14:val="standardContextual"/>
              </w:rPr>
              <w:t xml:space="preserve"> </w:t>
            </w:r>
            <w:proofErr w:type="spellStart"/>
            <w:r w:rsidRPr="00523B1A">
              <w:rPr>
                <w:rFonts w:ascii="Arial Narrow" w:eastAsia="Aptos" w:hAnsi="Arial Narrow" w:cs="Calibri"/>
                <w:color w:val="000000"/>
                <w:kern w:val="2"/>
                <w:sz w:val="20"/>
                <w:szCs w:val="20"/>
                <w:lang w:val="en-GB"/>
                <w14:ligatures w14:val="standardContextual"/>
              </w:rPr>
              <w:t>të</w:t>
            </w:r>
            <w:proofErr w:type="spellEnd"/>
            <w:r w:rsidRPr="00523B1A">
              <w:rPr>
                <w:rFonts w:ascii="Arial Narrow" w:eastAsia="Aptos" w:hAnsi="Arial Narrow" w:cs="Calibri"/>
                <w:color w:val="000000"/>
                <w:kern w:val="2"/>
                <w:sz w:val="20"/>
                <w:szCs w:val="20"/>
                <w:lang w:val="en-GB"/>
                <w14:ligatures w14:val="standardContextual"/>
              </w:rPr>
              <w:t xml:space="preserve"> </w:t>
            </w:r>
            <w:proofErr w:type="spellStart"/>
            <w:r w:rsidRPr="00523B1A">
              <w:rPr>
                <w:rFonts w:ascii="Arial Narrow" w:eastAsia="Aptos" w:hAnsi="Arial Narrow" w:cs="Calibri"/>
                <w:color w:val="000000"/>
                <w:kern w:val="2"/>
                <w:sz w:val="20"/>
                <w:szCs w:val="20"/>
                <w:lang w:val="en-GB"/>
                <w14:ligatures w14:val="standardContextual"/>
              </w:rPr>
              <w:t>përziera</w:t>
            </w:r>
            <w:proofErr w:type="spellEnd"/>
            <w:r w:rsidRPr="00523B1A">
              <w:rPr>
                <w:rFonts w:ascii="Arial Narrow" w:eastAsia="Aptos" w:hAnsi="Arial Narrow" w:cs="Calibri"/>
                <w:color w:val="000000"/>
                <w:kern w:val="2"/>
                <w:sz w:val="20"/>
                <w:szCs w:val="20"/>
                <w:lang w:val="en-GB"/>
                <w14:ligatures w14:val="standardContextual"/>
              </w:rPr>
              <w:t xml:space="preserve">, </w:t>
            </w:r>
            <w:proofErr w:type="spellStart"/>
            <w:r w:rsidRPr="00523B1A">
              <w:rPr>
                <w:rFonts w:ascii="Arial Narrow" w:eastAsia="Aptos" w:hAnsi="Arial Narrow" w:cs="Calibri"/>
                <w:color w:val="000000"/>
                <w:kern w:val="2"/>
                <w:sz w:val="20"/>
                <w:szCs w:val="20"/>
                <w:lang w:val="en-GB"/>
                <w14:ligatures w14:val="standardContextual"/>
              </w:rPr>
              <w:t>mijë</w:t>
            </w:r>
            <w:proofErr w:type="spellEnd"/>
            <w:r w:rsidRPr="00523B1A">
              <w:rPr>
                <w:rFonts w:ascii="Arial Narrow" w:eastAsia="Aptos" w:hAnsi="Arial Narrow" w:cs="Calibri"/>
                <w:color w:val="000000"/>
                <w:kern w:val="2"/>
                <w:sz w:val="20"/>
                <w:szCs w:val="20"/>
                <w:lang w:val="en-GB"/>
                <w14:ligatures w14:val="standardContextual"/>
              </w:rPr>
              <w:t xml:space="preserve"> euro</w:t>
            </w:r>
          </w:p>
        </w:tc>
        <w:tc>
          <w:tcPr>
            <w:tcW w:w="393" w:type="pct"/>
            <w:shd w:val="clear" w:color="auto" w:fill="auto"/>
            <w:noWrap/>
            <w:tcMar>
              <w:left w:w="43" w:type="dxa"/>
              <w:right w:w="43" w:type="dxa"/>
            </w:tcMar>
            <w:hideMark/>
          </w:tcPr>
          <w:p w14:paraId="5D4F1E62"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616</w:t>
            </w:r>
          </w:p>
        </w:tc>
        <w:tc>
          <w:tcPr>
            <w:tcW w:w="394" w:type="pct"/>
            <w:shd w:val="clear" w:color="auto" w:fill="auto"/>
            <w:noWrap/>
            <w:tcMar>
              <w:left w:w="43" w:type="dxa"/>
              <w:right w:w="43" w:type="dxa"/>
            </w:tcMar>
            <w:hideMark/>
          </w:tcPr>
          <w:p w14:paraId="3F4D73B6"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477</w:t>
            </w:r>
          </w:p>
        </w:tc>
        <w:tc>
          <w:tcPr>
            <w:tcW w:w="392" w:type="pct"/>
            <w:shd w:val="clear" w:color="auto" w:fill="auto"/>
            <w:noWrap/>
            <w:tcMar>
              <w:left w:w="43" w:type="dxa"/>
              <w:right w:w="43" w:type="dxa"/>
            </w:tcMar>
            <w:hideMark/>
          </w:tcPr>
          <w:p w14:paraId="195CEC5B"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475</w:t>
            </w:r>
          </w:p>
        </w:tc>
        <w:tc>
          <w:tcPr>
            <w:tcW w:w="394" w:type="pct"/>
            <w:shd w:val="clear" w:color="auto" w:fill="auto"/>
            <w:noWrap/>
            <w:tcMar>
              <w:left w:w="43" w:type="dxa"/>
              <w:right w:w="43" w:type="dxa"/>
            </w:tcMar>
            <w:hideMark/>
          </w:tcPr>
          <w:p w14:paraId="1CE40D5E"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475</w:t>
            </w:r>
          </w:p>
        </w:tc>
        <w:tc>
          <w:tcPr>
            <w:tcW w:w="404" w:type="pct"/>
            <w:shd w:val="clear" w:color="auto" w:fill="auto"/>
            <w:noWrap/>
            <w:tcMar>
              <w:left w:w="43" w:type="dxa"/>
              <w:right w:w="43" w:type="dxa"/>
            </w:tcMar>
            <w:hideMark/>
          </w:tcPr>
          <w:p w14:paraId="73E18C5D"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474</w:t>
            </w:r>
          </w:p>
        </w:tc>
        <w:tc>
          <w:tcPr>
            <w:tcW w:w="420" w:type="pct"/>
            <w:shd w:val="clear" w:color="auto" w:fill="auto"/>
            <w:noWrap/>
            <w:tcMar>
              <w:left w:w="43" w:type="dxa"/>
              <w:right w:w="43" w:type="dxa"/>
            </w:tcMar>
            <w:hideMark/>
          </w:tcPr>
          <w:p w14:paraId="2ED2B4FC"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464</w:t>
            </w:r>
          </w:p>
        </w:tc>
        <w:tc>
          <w:tcPr>
            <w:tcW w:w="397" w:type="pct"/>
            <w:shd w:val="clear" w:color="auto" w:fill="auto"/>
            <w:noWrap/>
            <w:tcMar>
              <w:left w:w="43" w:type="dxa"/>
              <w:right w:w="43" w:type="dxa"/>
            </w:tcMar>
            <w:hideMark/>
          </w:tcPr>
          <w:p w14:paraId="64760248"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436</w:t>
            </w:r>
          </w:p>
        </w:tc>
        <w:tc>
          <w:tcPr>
            <w:tcW w:w="397" w:type="pct"/>
            <w:shd w:val="clear" w:color="auto" w:fill="auto"/>
            <w:noWrap/>
            <w:tcMar>
              <w:left w:w="43" w:type="dxa"/>
              <w:right w:w="43" w:type="dxa"/>
            </w:tcMar>
            <w:hideMark/>
          </w:tcPr>
          <w:p w14:paraId="1E428316"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435</w:t>
            </w:r>
          </w:p>
        </w:tc>
        <w:tc>
          <w:tcPr>
            <w:tcW w:w="397" w:type="pct"/>
            <w:shd w:val="clear" w:color="auto" w:fill="auto"/>
            <w:noWrap/>
            <w:tcMar>
              <w:left w:w="43" w:type="dxa"/>
              <w:right w:w="43" w:type="dxa"/>
            </w:tcMar>
            <w:hideMark/>
          </w:tcPr>
          <w:p w14:paraId="78ABB14A"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422</w:t>
            </w:r>
          </w:p>
        </w:tc>
        <w:tc>
          <w:tcPr>
            <w:tcW w:w="393" w:type="pct"/>
            <w:shd w:val="clear" w:color="auto" w:fill="auto"/>
            <w:noWrap/>
            <w:tcMar>
              <w:left w:w="43" w:type="dxa"/>
              <w:right w:w="43" w:type="dxa"/>
            </w:tcMar>
            <w:hideMark/>
          </w:tcPr>
          <w:p w14:paraId="6DBD5CF7"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421</w:t>
            </w:r>
          </w:p>
        </w:tc>
      </w:tr>
      <w:tr w:rsidR="00523B1A" w:rsidRPr="007D1EDC" w14:paraId="3122051D" w14:textId="77777777" w:rsidTr="00D03949">
        <w:trPr>
          <w:trHeight w:val="210"/>
        </w:trPr>
        <w:tc>
          <w:tcPr>
            <w:tcW w:w="1019" w:type="pct"/>
            <w:tcMar>
              <w:left w:w="43" w:type="dxa"/>
              <w:right w:w="43" w:type="dxa"/>
            </w:tcMar>
            <w:vAlign w:val="bottom"/>
          </w:tcPr>
          <w:p w14:paraId="00B5149D" w14:textId="75133F5C" w:rsidR="00523B1A" w:rsidRPr="00523B1A" w:rsidRDefault="00523B1A" w:rsidP="00523B1A">
            <w:pPr>
              <w:rPr>
                <w:rFonts w:ascii="Arial Narrow" w:hAnsi="Arial Narrow" w:cs="Calibri"/>
                <w:color w:val="000000"/>
                <w:sz w:val="20"/>
                <w:szCs w:val="20"/>
                <w:lang w:val="en-GB" w:eastAsia="en-GB"/>
              </w:rPr>
            </w:pPr>
            <w:proofErr w:type="spellStart"/>
            <w:r w:rsidRPr="00523B1A">
              <w:rPr>
                <w:rFonts w:ascii="Arial Narrow" w:eastAsia="Aptos" w:hAnsi="Arial Narrow" w:cs="Calibri"/>
                <w:color w:val="000000"/>
                <w:kern w:val="2"/>
                <w:sz w:val="20"/>
                <w:szCs w:val="20"/>
                <w:lang w:val="en-GB"/>
                <w14:ligatures w14:val="standardContextual"/>
              </w:rPr>
              <w:t>Kompostimi</w:t>
            </w:r>
            <w:proofErr w:type="spellEnd"/>
            <w:r w:rsidRPr="00523B1A">
              <w:rPr>
                <w:rFonts w:ascii="Arial Narrow" w:eastAsia="Aptos" w:hAnsi="Arial Narrow" w:cs="Calibri"/>
                <w:color w:val="000000"/>
                <w:kern w:val="2"/>
                <w:sz w:val="20"/>
                <w:szCs w:val="20"/>
                <w:lang w:val="en-GB"/>
                <w14:ligatures w14:val="standardContextual"/>
              </w:rPr>
              <w:t xml:space="preserve"> </w:t>
            </w:r>
            <w:proofErr w:type="spellStart"/>
            <w:r w:rsidRPr="00523B1A">
              <w:rPr>
                <w:rFonts w:ascii="Arial Narrow" w:eastAsia="Aptos" w:hAnsi="Arial Narrow" w:cs="Calibri"/>
                <w:color w:val="000000"/>
                <w:kern w:val="2"/>
                <w:sz w:val="20"/>
                <w:szCs w:val="20"/>
                <w:lang w:val="en-GB"/>
                <w14:ligatures w14:val="standardContextual"/>
              </w:rPr>
              <w:t>shtëpiak</w:t>
            </w:r>
            <w:proofErr w:type="spellEnd"/>
            <w:r w:rsidRPr="00523B1A">
              <w:rPr>
                <w:rFonts w:ascii="Arial Narrow" w:eastAsia="Aptos" w:hAnsi="Arial Narrow" w:cs="Calibri"/>
                <w:color w:val="000000"/>
                <w:kern w:val="2"/>
                <w:sz w:val="20"/>
                <w:szCs w:val="20"/>
                <w:lang w:val="en-GB"/>
                <w14:ligatures w14:val="standardContextual"/>
              </w:rPr>
              <w:t xml:space="preserve">, </w:t>
            </w:r>
            <w:proofErr w:type="spellStart"/>
            <w:r w:rsidRPr="00523B1A">
              <w:rPr>
                <w:rFonts w:ascii="Arial Narrow" w:eastAsia="Aptos" w:hAnsi="Arial Narrow" w:cs="Calibri"/>
                <w:color w:val="000000"/>
                <w:kern w:val="2"/>
                <w:sz w:val="20"/>
                <w:szCs w:val="20"/>
                <w:lang w:val="en-GB"/>
                <w14:ligatures w14:val="standardContextual"/>
              </w:rPr>
              <w:t>mijë</w:t>
            </w:r>
            <w:proofErr w:type="spellEnd"/>
            <w:r w:rsidRPr="00523B1A">
              <w:rPr>
                <w:rFonts w:ascii="Arial Narrow" w:eastAsia="Aptos" w:hAnsi="Arial Narrow" w:cs="Calibri"/>
                <w:color w:val="000000"/>
                <w:kern w:val="2"/>
                <w:sz w:val="20"/>
                <w:szCs w:val="20"/>
                <w:lang w:val="en-GB"/>
                <w14:ligatures w14:val="standardContextual"/>
              </w:rPr>
              <w:t xml:space="preserve"> €</w:t>
            </w:r>
          </w:p>
        </w:tc>
        <w:tc>
          <w:tcPr>
            <w:tcW w:w="393" w:type="pct"/>
            <w:shd w:val="clear" w:color="auto" w:fill="auto"/>
            <w:noWrap/>
            <w:tcMar>
              <w:left w:w="43" w:type="dxa"/>
              <w:right w:w="43" w:type="dxa"/>
            </w:tcMar>
            <w:hideMark/>
          </w:tcPr>
          <w:p w14:paraId="3DE47CA3"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0</w:t>
            </w:r>
          </w:p>
        </w:tc>
        <w:tc>
          <w:tcPr>
            <w:tcW w:w="394" w:type="pct"/>
            <w:shd w:val="clear" w:color="auto" w:fill="auto"/>
            <w:noWrap/>
            <w:tcMar>
              <w:left w:w="43" w:type="dxa"/>
              <w:right w:w="43" w:type="dxa"/>
            </w:tcMar>
            <w:hideMark/>
          </w:tcPr>
          <w:p w14:paraId="018E5C80"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15</w:t>
            </w:r>
          </w:p>
        </w:tc>
        <w:tc>
          <w:tcPr>
            <w:tcW w:w="392" w:type="pct"/>
            <w:shd w:val="clear" w:color="auto" w:fill="auto"/>
            <w:noWrap/>
            <w:tcMar>
              <w:left w:w="43" w:type="dxa"/>
              <w:right w:w="43" w:type="dxa"/>
            </w:tcMar>
            <w:hideMark/>
          </w:tcPr>
          <w:p w14:paraId="4D7F4CED"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16</w:t>
            </w:r>
          </w:p>
        </w:tc>
        <w:tc>
          <w:tcPr>
            <w:tcW w:w="394" w:type="pct"/>
            <w:shd w:val="clear" w:color="auto" w:fill="auto"/>
            <w:noWrap/>
            <w:tcMar>
              <w:left w:w="43" w:type="dxa"/>
              <w:right w:w="43" w:type="dxa"/>
            </w:tcMar>
            <w:hideMark/>
          </w:tcPr>
          <w:p w14:paraId="27B7034E"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17</w:t>
            </w:r>
          </w:p>
        </w:tc>
        <w:tc>
          <w:tcPr>
            <w:tcW w:w="404" w:type="pct"/>
            <w:shd w:val="clear" w:color="auto" w:fill="auto"/>
            <w:noWrap/>
            <w:tcMar>
              <w:left w:w="43" w:type="dxa"/>
              <w:right w:w="43" w:type="dxa"/>
            </w:tcMar>
            <w:hideMark/>
          </w:tcPr>
          <w:p w14:paraId="33069929"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17</w:t>
            </w:r>
          </w:p>
        </w:tc>
        <w:tc>
          <w:tcPr>
            <w:tcW w:w="420" w:type="pct"/>
            <w:shd w:val="clear" w:color="auto" w:fill="auto"/>
            <w:noWrap/>
            <w:tcMar>
              <w:left w:w="43" w:type="dxa"/>
              <w:right w:w="43" w:type="dxa"/>
            </w:tcMar>
            <w:hideMark/>
          </w:tcPr>
          <w:p w14:paraId="1F2E7ADC"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18</w:t>
            </w:r>
          </w:p>
        </w:tc>
        <w:tc>
          <w:tcPr>
            <w:tcW w:w="397" w:type="pct"/>
            <w:shd w:val="clear" w:color="auto" w:fill="auto"/>
            <w:noWrap/>
            <w:tcMar>
              <w:left w:w="43" w:type="dxa"/>
              <w:right w:w="43" w:type="dxa"/>
            </w:tcMar>
            <w:hideMark/>
          </w:tcPr>
          <w:p w14:paraId="552C0FE7"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19</w:t>
            </w:r>
          </w:p>
        </w:tc>
        <w:tc>
          <w:tcPr>
            <w:tcW w:w="397" w:type="pct"/>
            <w:shd w:val="clear" w:color="auto" w:fill="auto"/>
            <w:noWrap/>
            <w:tcMar>
              <w:left w:w="43" w:type="dxa"/>
              <w:right w:w="43" w:type="dxa"/>
            </w:tcMar>
            <w:hideMark/>
          </w:tcPr>
          <w:p w14:paraId="166B03C9"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20</w:t>
            </w:r>
          </w:p>
        </w:tc>
        <w:tc>
          <w:tcPr>
            <w:tcW w:w="397" w:type="pct"/>
            <w:shd w:val="clear" w:color="auto" w:fill="auto"/>
            <w:noWrap/>
            <w:tcMar>
              <w:left w:w="43" w:type="dxa"/>
              <w:right w:w="43" w:type="dxa"/>
            </w:tcMar>
            <w:hideMark/>
          </w:tcPr>
          <w:p w14:paraId="227CFAF5"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21</w:t>
            </w:r>
          </w:p>
        </w:tc>
        <w:tc>
          <w:tcPr>
            <w:tcW w:w="393" w:type="pct"/>
            <w:shd w:val="clear" w:color="auto" w:fill="auto"/>
            <w:noWrap/>
            <w:tcMar>
              <w:left w:w="43" w:type="dxa"/>
              <w:right w:w="43" w:type="dxa"/>
            </w:tcMar>
            <w:hideMark/>
          </w:tcPr>
          <w:p w14:paraId="2FB440AD"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22</w:t>
            </w:r>
          </w:p>
        </w:tc>
      </w:tr>
      <w:tr w:rsidR="00523B1A" w:rsidRPr="007D1EDC" w14:paraId="3FE3D4DA" w14:textId="77777777" w:rsidTr="00D03949">
        <w:trPr>
          <w:trHeight w:val="210"/>
        </w:trPr>
        <w:tc>
          <w:tcPr>
            <w:tcW w:w="1019" w:type="pct"/>
            <w:tcMar>
              <w:left w:w="43" w:type="dxa"/>
              <w:right w:w="43" w:type="dxa"/>
            </w:tcMar>
            <w:vAlign w:val="bottom"/>
          </w:tcPr>
          <w:p w14:paraId="012B0254" w14:textId="0C50362D" w:rsidR="00523B1A" w:rsidRPr="00523B1A" w:rsidRDefault="00523B1A" w:rsidP="00523B1A">
            <w:pPr>
              <w:rPr>
                <w:rFonts w:ascii="Arial Narrow" w:hAnsi="Arial Narrow" w:cs="Calibri"/>
                <w:color w:val="000000"/>
                <w:sz w:val="20"/>
                <w:szCs w:val="20"/>
                <w:lang w:val="en-GB" w:eastAsia="en-GB"/>
              </w:rPr>
            </w:pPr>
            <w:proofErr w:type="spellStart"/>
            <w:r w:rsidRPr="00523B1A">
              <w:rPr>
                <w:rFonts w:ascii="Arial Narrow" w:eastAsia="Aptos" w:hAnsi="Arial Narrow" w:cs="Calibri"/>
                <w:color w:val="000000"/>
                <w:kern w:val="2"/>
                <w:sz w:val="20"/>
                <w:szCs w:val="20"/>
                <w:lang w:val="en-GB"/>
                <w14:ligatures w14:val="standardContextual"/>
              </w:rPr>
              <w:t>Kompostimi</w:t>
            </w:r>
            <w:proofErr w:type="spellEnd"/>
            <w:r w:rsidRPr="00523B1A">
              <w:rPr>
                <w:rFonts w:ascii="Arial Narrow" w:eastAsia="Aptos" w:hAnsi="Arial Narrow" w:cs="Calibri"/>
                <w:color w:val="000000"/>
                <w:kern w:val="2"/>
                <w:sz w:val="20"/>
                <w:szCs w:val="20"/>
                <w:lang w:val="en-GB"/>
                <w14:ligatures w14:val="standardContextual"/>
              </w:rPr>
              <w:t xml:space="preserve"> i </w:t>
            </w:r>
            <w:proofErr w:type="spellStart"/>
            <w:r w:rsidRPr="00523B1A">
              <w:rPr>
                <w:rFonts w:ascii="Arial Narrow" w:eastAsia="Aptos" w:hAnsi="Arial Narrow" w:cs="Calibri"/>
                <w:color w:val="000000"/>
                <w:kern w:val="2"/>
                <w:sz w:val="20"/>
                <w:szCs w:val="20"/>
                <w:lang w:val="en-GB"/>
                <w14:ligatures w14:val="standardContextual"/>
              </w:rPr>
              <w:t>hapur</w:t>
            </w:r>
            <w:proofErr w:type="spellEnd"/>
            <w:r w:rsidRPr="00523B1A">
              <w:rPr>
                <w:rFonts w:ascii="Arial Narrow" w:eastAsia="Aptos" w:hAnsi="Arial Narrow" w:cs="Calibri"/>
                <w:color w:val="000000"/>
                <w:kern w:val="2"/>
                <w:sz w:val="20"/>
                <w:szCs w:val="20"/>
                <w:lang w:val="en-GB"/>
                <w14:ligatures w14:val="standardContextual"/>
              </w:rPr>
              <w:t xml:space="preserve"> pale </w:t>
            </w:r>
            <w:proofErr w:type="spellStart"/>
            <w:r w:rsidRPr="00523B1A">
              <w:rPr>
                <w:rFonts w:ascii="Arial Narrow" w:eastAsia="Aptos" w:hAnsi="Arial Narrow" w:cs="Calibri"/>
                <w:color w:val="000000"/>
                <w:kern w:val="2"/>
                <w:sz w:val="20"/>
                <w:szCs w:val="20"/>
                <w:lang w:val="en-GB"/>
                <w14:ligatures w14:val="standardContextual"/>
              </w:rPr>
              <w:t>palë</w:t>
            </w:r>
            <w:proofErr w:type="spellEnd"/>
            <w:r w:rsidRPr="00523B1A">
              <w:rPr>
                <w:rFonts w:ascii="Arial Narrow" w:eastAsia="Aptos" w:hAnsi="Arial Narrow" w:cs="Calibri"/>
                <w:color w:val="000000"/>
                <w:kern w:val="2"/>
                <w:sz w:val="20"/>
                <w:szCs w:val="20"/>
                <w:lang w:val="en-GB"/>
                <w14:ligatures w14:val="standardContextual"/>
              </w:rPr>
              <w:t xml:space="preserve">, </w:t>
            </w:r>
            <w:proofErr w:type="spellStart"/>
            <w:r w:rsidRPr="00523B1A">
              <w:rPr>
                <w:rFonts w:ascii="Arial Narrow" w:eastAsia="Aptos" w:hAnsi="Arial Narrow" w:cs="Calibri"/>
                <w:color w:val="000000"/>
                <w:kern w:val="2"/>
                <w:sz w:val="20"/>
                <w:szCs w:val="20"/>
                <w:lang w:val="en-GB"/>
                <w14:ligatures w14:val="standardContextual"/>
              </w:rPr>
              <w:t>mijë</w:t>
            </w:r>
            <w:proofErr w:type="spellEnd"/>
            <w:r w:rsidRPr="00523B1A">
              <w:rPr>
                <w:rFonts w:ascii="Arial Narrow" w:eastAsia="Aptos" w:hAnsi="Arial Narrow" w:cs="Calibri"/>
                <w:color w:val="000000"/>
                <w:kern w:val="2"/>
                <w:sz w:val="20"/>
                <w:szCs w:val="20"/>
                <w:lang w:val="en-GB"/>
                <w14:ligatures w14:val="standardContextual"/>
              </w:rPr>
              <w:t xml:space="preserve"> euro</w:t>
            </w:r>
          </w:p>
        </w:tc>
        <w:tc>
          <w:tcPr>
            <w:tcW w:w="393" w:type="pct"/>
            <w:shd w:val="clear" w:color="auto" w:fill="auto"/>
            <w:noWrap/>
            <w:tcMar>
              <w:left w:w="43" w:type="dxa"/>
              <w:right w:w="43" w:type="dxa"/>
            </w:tcMar>
            <w:hideMark/>
          </w:tcPr>
          <w:p w14:paraId="6A050D5B"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0</w:t>
            </w:r>
          </w:p>
        </w:tc>
        <w:tc>
          <w:tcPr>
            <w:tcW w:w="394" w:type="pct"/>
            <w:shd w:val="clear" w:color="auto" w:fill="auto"/>
            <w:noWrap/>
            <w:tcMar>
              <w:left w:w="43" w:type="dxa"/>
              <w:right w:w="43" w:type="dxa"/>
            </w:tcMar>
            <w:hideMark/>
          </w:tcPr>
          <w:p w14:paraId="5EDE48C7"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75</w:t>
            </w:r>
          </w:p>
        </w:tc>
        <w:tc>
          <w:tcPr>
            <w:tcW w:w="392" w:type="pct"/>
            <w:shd w:val="clear" w:color="auto" w:fill="auto"/>
            <w:noWrap/>
            <w:tcMar>
              <w:left w:w="43" w:type="dxa"/>
              <w:right w:w="43" w:type="dxa"/>
            </w:tcMar>
            <w:hideMark/>
          </w:tcPr>
          <w:p w14:paraId="109AF51B"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75</w:t>
            </w:r>
          </w:p>
        </w:tc>
        <w:tc>
          <w:tcPr>
            <w:tcW w:w="394" w:type="pct"/>
            <w:shd w:val="clear" w:color="auto" w:fill="auto"/>
            <w:noWrap/>
            <w:tcMar>
              <w:left w:w="43" w:type="dxa"/>
              <w:right w:w="43" w:type="dxa"/>
            </w:tcMar>
            <w:hideMark/>
          </w:tcPr>
          <w:p w14:paraId="23B9B51F"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75</w:t>
            </w:r>
          </w:p>
        </w:tc>
        <w:tc>
          <w:tcPr>
            <w:tcW w:w="404" w:type="pct"/>
            <w:shd w:val="clear" w:color="auto" w:fill="auto"/>
            <w:noWrap/>
            <w:tcMar>
              <w:left w:w="43" w:type="dxa"/>
              <w:right w:w="43" w:type="dxa"/>
            </w:tcMar>
            <w:hideMark/>
          </w:tcPr>
          <w:p w14:paraId="26663576"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75</w:t>
            </w:r>
          </w:p>
        </w:tc>
        <w:tc>
          <w:tcPr>
            <w:tcW w:w="420" w:type="pct"/>
            <w:shd w:val="clear" w:color="auto" w:fill="auto"/>
            <w:noWrap/>
            <w:tcMar>
              <w:left w:w="43" w:type="dxa"/>
              <w:right w:w="43" w:type="dxa"/>
            </w:tcMar>
            <w:hideMark/>
          </w:tcPr>
          <w:p w14:paraId="3A1DC97B"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75</w:t>
            </w:r>
          </w:p>
        </w:tc>
        <w:tc>
          <w:tcPr>
            <w:tcW w:w="397" w:type="pct"/>
            <w:shd w:val="clear" w:color="auto" w:fill="auto"/>
            <w:noWrap/>
            <w:tcMar>
              <w:left w:w="43" w:type="dxa"/>
              <w:right w:w="43" w:type="dxa"/>
            </w:tcMar>
            <w:hideMark/>
          </w:tcPr>
          <w:p w14:paraId="23C756D1"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75</w:t>
            </w:r>
          </w:p>
        </w:tc>
        <w:tc>
          <w:tcPr>
            <w:tcW w:w="397" w:type="pct"/>
            <w:shd w:val="clear" w:color="auto" w:fill="auto"/>
            <w:noWrap/>
            <w:tcMar>
              <w:left w:w="43" w:type="dxa"/>
              <w:right w:w="43" w:type="dxa"/>
            </w:tcMar>
            <w:hideMark/>
          </w:tcPr>
          <w:p w14:paraId="315A4F51"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75</w:t>
            </w:r>
          </w:p>
        </w:tc>
        <w:tc>
          <w:tcPr>
            <w:tcW w:w="397" w:type="pct"/>
            <w:shd w:val="clear" w:color="auto" w:fill="auto"/>
            <w:noWrap/>
            <w:tcMar>
              <w:left w:w="43" w:type="dxa"/>
              <w:right w:w="43" w:type="dxa"/>
            </w:tcMar>
            <w:hideMark/>
          </w:tcPr>
          <w:p w14:paraId="70A1A386"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75</w:t>
            </w:r>
          </w:p>
        </w:tc>
        <w:tc>
          <w:tcPr>
            <w:tcW w:w="393" w:type="pct"/>
            <w:shd w:val="clear" w:color="auto" w:fill="auto"/>
            <w:noWrap/>
            <w:tcMar>
              <w:left w:w="43" w:type="dxa"/>
              <w:right w:w="43" w:type="dxa"/>
            </w:tcMar>
            <w:hideMark/>
          </w:tcPr>
          <w:p w14:paraId="040B485D"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75</w:t>
            </w:r>
          </w:p>
        </w:tc>
      </w:tr>
      <w:tr w:rsidR="00523B1A" w:rsidRPr="007D1EDC" w14:paraId="780A85AD" w14:textId="77777777" w:rsidTr="00D03949">
        <w:trPr>
          <w:trHeight w:val="210"/>
        </w:trPr>
        <w:tc>
          <w:tcPr>
            <w:tcW w:w="1019" w:type="pct"/>
            <w:tcMar>
              <w:left w:w="43" w:type="dxa"/>
              <w:right w:w="43" w:type="dxa"/>
            </w:tcMar>
            <w:vAlign w:val="bottom"/>
          </w:tcPr>
          <w:p w14:paraId="22698A76" w14:textId="7EB8BBE5" w:rsidR="00523B1A" w:rsidRPr="00523B1A" w:rsidRDefault="00523B1A" w:rsidP="00523B1A">
            <w:pPr>
              <w:rPr>
                <w:rFonts w:ascii="Arial Narrow" w:hAnsi="Arial Narrow" w:cs="Calibri"/>
                <w:color w:val="000000"/>
                <w:sz w:val="20"/>
                <w:szCs w:val="20"/>
                <w:lang w:val="en-GB" w:eastAsia="en-GB"/>
              </w:rPr>
            </w:pPr>
            <w:proofErr w:type="gramStart"/>
            <w:r w:rsidRPr="00523B1A">
              <w:rPr>
                <w:rFonts w:ascii="Arial Narrow" w:eastAsia="Aptos" w:hAnsi="Arial Narrow" w:cs="Calibri"/>
                <w:color w:val="000000"/>
                <w:kern w:val="2"/>
                <w:sz w:val="20"/>
                <w:szCs w:val="20"/>
                <w:lang w:val="en-GB"/>
                <w14:ligatures w14:val="standardContextual"/>
              </w:rPr>
              <w:t>OR,</w:t>
            </w:r>
            <w:proofErr w:type="gramEnd"/>
            <w:r w:rsidRPr="00523B1A">
              <w:rPr>
                <w:rFonts w:ascii="Arial Narrow" w:eastAsia="Aptos" w:hAnsi="Arial Narrow" w:cs="Calibri"/>
                <w:color w:val="000000"/>
                <w:kern w:val="2"/>
                <w:sz w:val="20"/>
                <w:szCs w:val="20"/>
                <w:lang w:val="en-GB"/>
                <w14:ligatures w14:val="standardContextual"/>
              </w:rPr>
              <w:t xml:space="preserve"> </w:t>
            </w:r>
            <w:proofErr w:type="spellStart"/>
            <w:r w:rsidRPr="00523B1A">
              <w:rPr>
                <w:rFonts w:ascii="Arial Narrow" w:eastAsia="Aptos" w:hAnsi="Arial Narrow" w:cs="Calibri"/>
                <w:color w:val="000000"/>
                <w:kern w:val="2"/>
                <w:sz w:val="20"/>
                <w:szCs w:val="20"/>
                <w:lang w:val="en-GB"/>
                <w14:ligatures w14:val="standardContextual"/>
              </w:rPr>
              <w:t>mijë</w:t>
            </w:r>
            <w:proofErr w:type="spellEnd"/>
            <w:r w:rsidRPr="00523B1A">
              <w:rPr>
                <w:rFonts w:ascii="Arial Narrow" w:eastAsia="Aptos" w:hAnsi="Arial Narrow" w:cs="Calibri"/>
                <w:color w:val="000000"/>
                <w:kern w:val="2"/>
                <w:sz w:val="20"/>
                <w:szCs w:val="20"/>
                <w:lang w:val="en-GB"/>
                <w14:ligatures w14:val="standardContextual"/>
              </w:rPr>
              <w:t xml:space="preserve"> euro</w:t>
            </w:r>
          </w:p>
        </w:tc>
        <w:tc>
          <w:tcPr>
            <w:tcW w:w="393" w:type="pct"/>
            <w:shd w:val="clear" w:color="auto" w:fill="auto"/>
            <w:noWrap/>
            <w:tcMar>
              <w:left w:w="43" w:type="dxa"/>
              <w:right w:w="43" w:type="dxa"/>
            </w:tcMar>
            <w:hideMark/>
          </w:tcPr>
          <w:p w14:paraId="45F18D7C"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4" w:type="pct"/>
            <w:shd w:val="clear" w:color="auto" w:fill="auto"/>
            <w:noWrap/>
            <w:tcMar>
              <w:left w:w="43" w:type="dxa"/>
              <w:right w:w="43" w:type="dxa"/>
            </w:tcMar>
            <w:hideMark/>
          </w:tcPr>
          <w:p w14:paraId="5ECDA5DC"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2" w:type="pct"/>
            <w:shd w:val="clear" w:color="auto" w:fill="auto"/>
            <w:noWrap/>
            <w:tcMar>
              <w:left w:w="43" w:type="dxa"/>
              <w:right w:w="43" w:type="dxa"/>
            </w:tcMar>
            <w:hideMark/>
          </w:tcPr>
          <w:p w14:paraId="1260E4A2"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4" w:type="pct"/>
            <w:shd w:val="clear" w:color="auto" w:fill="auto"/>
            <w:noWrap/>
            <w:tcMar>
              <w:left w:w="43" w:type="dxa"/>
              <w:right w:w="43" w:type="dxa"/>
            </w:tcMar>
            <w:hideMark/>
          </w:tcPr>
          <w:p w14:paraId="2A2FCA0F"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404" w:type="pct"/>
            <w:shd w:val="clear" w:color="auto" w:fill="auto"/>
            <w:noWrap/>
            <w:tcMar>
              <w:left w:w="43" w:type="dxa"/>
              <w:right w:w="43" w:type="dxa"/>
            </w:tcMar>
            <w:hideMark/>
          </w:tcPr>
          <w:p w14:paraId="06676590"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420" w:type="pct"/>
            <w:shd w:val="clear" w:color="auto" w:fill="auto"/>
            <w:noWrap/>
            <w:tcMar>
              <w:left w:w="43" w:type="dxa"/>
              <w:right w:w="43" w:type="dxa"/>
            </w:tcMar>
            <w:hideMark/>
          </w:tcPr>
          <w:p w14:paraId="47AFFD0F"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7" w:type="pct"/>
            <w:shd w:val="clear" w:color="auto" w:fill="auto"/>
            <w:noWrap/>
            <w:tcMar>
              <w:left w:w="43" w:type="dxa"/>
              <w:right w:w="43" w:type="dxa"/>
            </w:tcMar>
            <w:hideMark/>
          </w:tcPr>
          <w:p w14:paraId="458C07AF"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7" w:type="pct"/>
            <w:shd w:val="clear" w:color="auto" w:fill="auto"/>
            <w:noWrap/>
            <w:tcMar>
              <w:left w:w="43" w:type="dxa"/>
              <w:right w:w="43" w:type="dxa"/>
            </w:tcMar>
            <w:hideMark/>
          </w:tcPr>
          <w:p w14:paraId="280F993F"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7" w:type="pct"/>
            <w:shd w:val="clear" w:color="auto" w:fill="auto"/>
            <w:noWrap/>
            <w:tcMar>
              <w:left w:w="43" w:type="dxa"/>
              <w:right w:w="43" w:type="dxa"/>
            </w:tcMar>
            <w:hideMark/>
          </w:tcPr>
          <w:p w14:paraId="7976C31A"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3" w:type="pct"/>
            <w:shd w:val="clear" w:color="auto" w:fill="auto"/>
            <w:noWrap/>
            <w:tcMar>
              <w:left w:w="43" w:type="dxa"/>
              <w:right w:w="43" w:type="dxa"/>
            </w:tcMar>
            <w:hideMark/>
          </w:tcPr>
          <w:p w14:paraId="5C27A5A5"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r>
      <w:tr w:rsidR="00523B1A" w:rsidRPr="007D1EDC" w14:paraId="087119A7" w14:textId="77777777" w:rsidTr="00D03949">
        <w:trPr>
          <w:trHeight w:val="210"/>
        </w:trPr>
        <w:tc>
          <w:tcPr>
            <w:tcW w:w="1019" w:type="pct"/>
            <w:tcMar>
              <w:left w:w="43" w:type="dxa"/>
              <w:right w:w="43" w:type="dxa"/>
            </w:tcMar>
            <w:vAlign w:val="bottom"/>
          </w:tcPr>
          <w:p w14:paraId="46B73CC7" w14:textId="63F6DC45" w:rsidR="00523B1A" w:rsidRPr="003069B8" w:rsidRDefault="00523B1A" w:rsidP="00523B1A">
            <w:pPr>
              <w:rPr>
                <w:rFonts w:ascii="Arial Narrow" w:hAnsi="Arial Narrow" w:cs="Calibri"/>
                <w:color w:val="000000"/>
                <w:sz w:val="20"/>
                <w:szCs w:val="20"/>
                <w:lang w:val="es-ES" w:eastAsia="en-GB"/>
              </w:rPr>
            </w:pPr>
            <w:r w:rsidRPr="003069B8">
              <w:rPr>
                <w:rFonts w:ascii="Arial Narrow" w:eastAsia="Aptos" w:hAnsi="Arial Narrow" w:cs="Calibri"/>
                <w:color w:val="000000"/>
                <w:kern w:val="2"/>
                <w:sz w:val="20"/>
                <w:szCs w:val="20"/>
                <w:lang w:val="es-ES"/>
                <w14:ligatures w14:val="standardContextual"/>
              </w:rPr>
              <w:t xml:space="preserve">Tarifa e </w:t>
            </w:r>
            <w:proofErr w:type="spellStart"/>
            <w:r w:rsidRPr="003069B8">
              <w:rPr>
                <w:rFonts w:ascii="Arial Narrow" w:eastAsia="Aptos" w:hAnsi="Arial Narrow" w:cs="Calibri"/>
                <w:color w:val="000000"/>
                <w:kern w:val="2"/>
                <w:sz w:val="20"/>
                <w:szCs w:val="20"/>
                <w:lang w:val="es-ES"/>
                <w14:ligatures w14:val="standardContextual"/>
              </w:rPr>
              <w:t>portës</w:t>
            </w:r>
            <w:proofErr w:type="spellEnd"/>
            <w:r w:rsidRPr="003069B8">
              <w:rPr>
                <w:rFonts w:ascii="Arial Narrow" w:eastAsia="Aptos" w:hAnsi="Arial Narrow" w:cs="Calibri"/>
                <w:color w:val="000000"/>
                <w:kern w:val="2"/>
                <w:sz w:val="20"/>
                <w:szCs w:val="20"/>
                <w:lang w:val="es-ES"/>
                <w14:ligatures w14:val="standardContextual"/>
              </w:rPr>
              <w:t xml:space="preserve"> </w:t>
            </w:r>
            <w:proofErr w:type="spellStart"/>
            <w:r w:rsidRPr="003069B8">
              <w:rPr>
                <w:rFonts w:ascii="Arial Narrow" w:eastAsia="Aptos" w:hAnsi="Arial Narrow" w:cs="Calibri"/>
                <w:color w:val="000000"/>
                <w:kern w:val="2"/>
                <w:sz w:val="20"/>
                <w:szCs w:val="20"/>
                <w:lang w:val="es-ES"/>
                <w14:ligatures w14:val="standardContextual"/>
              </w:rPr>
              <w:t>në</w:t>
            </w:r>
            <w:proofErr w:type="spellEnd"/>
            <w:r w:rsidRPr="003069B8">
              <w:rPr>
                <w:rFonts w:ascii="Arial Narrow" w:eastAsia="Aptos" w:hAnsi="Arial Narrow" w:cs="Calibri"/>
                <w:color w:val="000000"/>
                <w:kern w:val="2"/>
                <w:sz w:val="20"/>
                <w:szCs w:val="20"/>
                <w:lang w:val="es-ES"/>
                <w14:ligatures w14:val="standardContextual"/>
              </w:rPr>
              <w:t xml:space="preserve"> </w:t>
            </w:r>
            <w:proofErr w:type="spellStart"/>
            <w:r w:rsidRPr="003069B8">
              <w:rPr>
                <w:rFonts w:ascii="Arial Narrow" w:eastAsia="Aptos" w:hAnsi="Arial Narrow" w:cs="Calibri"/>
                <w:color w:val="000000"/>
                <w:kern w:val="2"/>
                <w:sz w:val="20"/>
                <w:szCs w:val="20"/>
                <w:lang w:val="es-ES"/>
                <w14:ligatures w14:val="standardContextual"/>
              </w:rPr>
              <w:t>deponi</w:t>
            </w:r>
            <w:proofErr w:type="spellEnd"/>
            <w:r w:rsidRPr="003069B8">
              <w:rPr>
                <w:rFonts w:ascii="Arial Narrow" w:eastAsia="Aptos" w:hAnsi="Arial Narrow" w:cs="Calibri"/>
                <w:color w:val="000000"/>
                <w:kern w:val="2"/>
                <w:sz w:val="20"/>
                <w:szCs w:val="20"/>
                <w:lang w:val="es-ES"/>
                <w14:ligatures w14:val="standardContextual"/>
              </w:rPr>
              <w:t xml:space="preserve"> / TMB</w:t>
            </w:r>
          </w:p>
        </w:tc>
        <w:tc>
          <w:tcPr>
            <w:tcW w:w="393" w:type="pct"/>
            <w:shd w:val="clear" w:color="auto" w:fill="auto"/>
            <w:noWrap/>
            <w:tcMar>
              <w:left w:w="43" w:type="dxa"/>
              <w:right w:w="43" w:type="dxa"/>
            </w:tcMar>
            <w:hideMark/>
          </w:tcPr>
          <w:p w14:paraId="7EA36CBD"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11 €/ton</w:t>
            </w:r>
          </w:p>
        </w:tc>
        <w:tc>
          <w:tcPr>
            <w:tcW w:w="394" w:type="pct"/>
            <w:shd w:val="clear" w:color="auto" w:fill="auto"/>
            <w:noWrap/>
            <w:tcMar>
              <w:left w:w="43" w:type="dxa"/>
              <w:right w:w="43" w:type="dxa"/>
            </w:tcMar>
            <w:hideMark/>
          </w:tcPr>
          <w:p w14:paraId="5E8F95AE"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22 €/t</w:t>
            </w:r>
          </w:p>
        </w:tc>
        <w:tc>
          <w:tcPr>
            <w:tcW w:w="392" w:type="pct"/>
            <w:shd w:val="clear" w:color="auto" w:fill="auto"/>
            <w:noWrap/>
            <w:tcMar>
              <w:left w:w="43" w:type="dxa"/>
              <w:right w:w="43" w:type="dxa"/>
            </w:tcMar>
            <w:hideMark/>
          </w:tcPr>
          <w:p w14:paraId="456E1A57"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22 €/t</w:t>
            </w:r>
          </w:p>
        </w:tc>
        <w:tc>
          <w:tcPr>
            <w:tcW w:w="394" w:type="pct"/>
            <w:shd w:val="clear" w:color="auto" w:fill="auto"/>
            <w:noWrap/>
            <w:tcMar>
              <w:left w:w="43" w:type="dxa"/>
              <w:right w:w="43" w:type="dxa"/>
            </w:tcMar>
            <w:hideMark/>
          </w:tcPr>
          <w:p w14:paraId="2BF54530"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22 €/t</w:t>
            </w:r>
          </w:p>
        </w:tc>
        <w:tc>
          <w:tcPr>
            <w:tcW w:w="404" w:type="pct"/>
            <w:shd w:val="clear" w:color="auto" w:fill="auto"/>
            <w:noWrap/>
            <w:tcMar>
              <w:left w:w="43" w:type="dxa"/>
              <w:right w:w="43" w:type="dxa"/>
            </w:tcMar>
            <w:hideMark/>
          </w:tcPr>
          <w:p w14:paraId="7B6C0425"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22 €/t</w:t>
            </w:r>
          </w:p>
        </w:tc>
        <w:tc>
          <w:tcPr>
            <w:tcW w:w="420" w:type="pct"/>
            <w:shd w:val="clear" w:color="auto" w:fill="auto"/>
            <w:noWrap/>
            <w:tcMar>
              <w:left w:w="43" w:type="dxa"/>
              <w:right w:w="43" w:type="dxa"/>
            </w:tcMar>
            <w:hideMark/>
          </w:tcPr>
          <w:p w14:paraId="79E80B1B"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39 €/t</w:t>
            </w:r>
          </w:p>
        </w:tc>
        <w:tc>
          <w:tcPr>
            <w:tcW w:w="397" w:type="pct"/>
            <w:shd w:val="clear" w:color="auto" w:fill="auto"/>
            <w:noWrap/>
            <w:tcMar>
              <w:left w:w="43" w:type="dxa"/>
              <w:right w:w="43" w:type="dxa"/>
            </w:tcMar>
            <w:hideMark/>
          </w:tcPr>
          <w:p w14:paraId="55FEFAD3"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56 €/t</w:t>
            </w:r>
          </w:p>
        </w:tc>
        <w:tc>
          <w:tcPr>
            <w:tcW w:w="397" w:type="pct"/>
            <w:shd w:val="clear" w:color="auto" w:fill="auto"/>
            <w:noWrap/>
            <w:tcMar>
              <w:left w:w="43" w:type="dxa"/>
              <w:right w:w="43" w:type="dxa"/>
            </w:tcMar>
            <w:hideMark/>
          </w:tcPr>
          <w:p w14:paraId="31E95FC6"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58 €/t</w:t>
            </w:r>
          </w:p>
        </w:tc>
        <w:tc>
          <w:tcPr>
            <w:tcW w:w="397" w:type="pct"/>
            <w:shd w:val="clear" w:color="auto" w:fill="auto"/>
            <w:noWrap/>
            <w:tcMar>
              <w:left w:w="43" w:type="dxa"/>
              <w:right w:w="43" w:type="dxa"/>
            </w:tcMar>
            <w:hideMark/>
          </w:tcPr>
          <w:p w14:paraId="610BF0B7"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60 €/t</w:t>
            </w:r>
          </w:p>
        </w:tc>
        <w:tc>
          <w:tcPr>
            <w:tcW w:w="393" w:type="pct"/>
            <w:shd w:val="clear" w:color="auto" w:fill="auto"/>
            <w:noWrap/>
            <w:tcMar>
              <w:left w:w="43" w:type="dxa"/>
              <w:right w:w="43" w:type="dxa"/>
            </w:tcMar>
            <w:hideMark/>
          </w:tcPr>
          <w:p w14:paraId="221E88C1"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62 €/t</w:t>
            </w:r>
          </w:p>
        </w:tc>
      </w:tr>
      <w:tr w:rsidR="00523B1A" w:rsidRPr="007D1EDC" w14:paraId="330E7BF3" w14:textId="77777777" w:rsidTr="00D03949">
        <w:trPr>
          <w:trHeight w:val="210"/>
        </w:trPr>
        <w:tc>
          <w:tcPr>
            <w:tcW w:w="1019" w:type="pct"/>
            <w:tcMar>
              <w:left w:w="43" w:type="dxa"/>
              <w:right w:w="43" w:type="dxa"/>
            </w:tcMar>
            <w:vAlign w:val="bottom"/>
          </w:tcPr>
          <w:p w14:paraId="75F1BE5B" w14:textId="46735103" w:rsidR="00523B1A" w:rsidRPr="00523B1A" w:rsidRDefault="00523B1A" w:rsidP="00523B1A">
            <w:pPr>
              <w:rPr>
                <w:rFonts w:ascii="Arial Narrow" w:hAnsi="Arial Narrow" w:cs="Calibri"/>
                <w:color w:val="000000"/>
                <w:sz w:val="20"/>
                <w:szCs w:val="20"/>
                <w:lang w:val="en-GB" w:eastAsia="en-GB"/>
              </w:rPr>
            </w:pPr>
            <w:proofErr w:type="spellStart"/>
            <w:r w:rsidRPr="00523B1A">
              <w:rPr>
                <w:rFonts w:ascii="Arial Narrow" w:eastAsia="Aptos" w:hAnsi="Arial Narrow" w:cs="Calibri"/>
                <w:color w:val="000000"/>
                <w:kern w:val="2"/>
                <w:sz w:val="20"/>
                <w:szCs w:val="20"/>
                <w:lang w:val="en-GB"/>
                <w14:ligatures w14:val="standardContextual"/>
              </w:rPr>
              <w:t>Trajtimi</w:t>
            </w:r>
            <w:proofErr w:type="spellEnd"/>
            <w:r w:rsidRPr="00523B1A">
              <w:rPr>
                <w:rFonts w:ascii="Arial Narrow" w:eastAsia="Aptos" w:hAnsi="Arial Narrow" w:cs="Calibri"/>
                <w:color w:val="000000"/>
                <w:kern w:val="2"/>
                <w:sz w:val="20"/>
                <w:szCs w:val="20"/>
                <w:lang w:val="en-GB"/>
                <w14:ligatures w14:val="standardContextual"/>
              </w:rPr>
              <w:t>/</w:t>
            </w:r>
            <w:proofErr w:type="spellStart"/>
            <w:proofErr w:type="gramStart"/>
            <w:r w:rsidRPr="00523B1A">
              <w:rPr>
                <w:rFonts w:ascii="Arial Narrow" w:eastAsia="Aptos" w:hAnsi="Arial Narrow" w:cs="Calibri"/>
                <w:color w:val="000000"/>
                <w:kern w:val="2"/>
                <w:sz w:val="20"/>
                <w:szCs w:val="20"/>
                <w:lang w:val="en-GB"/>
                <w14:ligatures w14:val="standardContextual"/>
              </w:rPr>
              <w:t>deponimi,mijë</w:t>
            </w:r>
            <w:proofErr w:type="spellEnd"/>
            <w:proofErr w:type="gramEnd"/>
            <w:r w:rsidRPr="00523B1A">
              <w:rPr>
                <w:rFonts w:ascii="Arial Narrow" w:eastAsia="Aptos" w:hAnsi="Arial Narrow" w:cs="Calibri"/>
                <w:color w:val="000000"/>
                <w:kern w:val="2"/>
                <w:sz w:val="20"/>
                <w:szCs w:val="20"/>
                <w:lang w:val="en-GB"/>
                <w14:ligatures w14:val="standardContextual"/>
              </w:rPr>
              <w:t xml:space="preserve"> euro </w:t>
            </w:r>
          </w:p>
        </w:tc>
        <w:tc>
          <w:tcPr>
            <w:tcW w:w="393" w:type="pct"/>
            <w:shd w:val="clear" w:color="auto" w:fill="auto"/>
            <w:noWrap/>
            <w:tcMar>
              <w:left w:w="43" w:type="dxa"/>
              <w:right w:w="43" w:type="dxa"/>
            </w:tcMar>
            <w:hideMark/>
          </w:tcPr>
          <w:p w14:paraId="5620AD15"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80</w:t>
            </w:r>
          </w:p>
        </w:tc>
        <w:tc>
          <w:tcPr>
            <w:tcW w:w="394" w:type="pct"/>
            <w:shd w:val="clear" w:color="auto" w:fill="auto"/>
            <w:noWrap/>
            <w:tcMar>
              <w:left w:w="43" w:type="dxa"/>
              <w:right w:w="43" w:type="dxa"/>
            </w:tcMar>
            <w:hideMark/>
          </w:tcPr>
          <w:p w14:paraId="3E9CDA91"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135</w:t>
            </w:r>
          </w:p>
        </w:tc>
        <w:tc>
          <w:tcPr>
            <w:tcW w:w="392" w:type="pct"/>
            <w:shd w:val="clear" w:color="auto" w:fill="auto"/>
            <w:noWrap/>
            <w:tcMar>
              <w:left w:w="43" w:type="dxa"/>
              <w:right w:w="43" w:type="dxa"/>
            </w:tcMar>
            <w:hideMark/>
          </w:tcPr>
          <w:p w14:paraId="2279C1A6"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134</w:t>
            </w:r>
          </w:p>
        </w:tc>
        <w:tc>
          <w:tcPr>
            <w:tcW w:w="394" w:type="pct"/>
            <w:shd w:val="clear" w:color="auto" w:fill="auto"/>
            <w:noWrap/>
            <w:tcMar>
              <w:left w:w="43" w:type="dxa"/>
              <w:right w:w="43" w:type="dxa"/>
            </w:tcMar>
            <w:hideMark/>
          </w:tcPr>
          <w:p w14:paraId="3406B008"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132</w:t>
            </w:r>
          </w:p>
        </w:tc>
        <w:tc>
          <w:tcPr>
            <w:tcW w:w="404" w:type="pct"/>
            <w:shd w:val="clear" w:color="auto" w:fill="auto"/>
            <w:noWrap/>
            <w:tcMar>
              <w:left w:w="43" w:type="dxa"/>
              <w:right w:w="43" w:type="dxa"/>
            </w:tcMar>
            <w:hideMark/>
          </w:tcPr>
          <w:p w14:paraId="7F9BFB9E"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128</w:t>
            </w:r>
          </w:p>
        </w:tc>
        <w:tc>
          <w:tcPr>
            <w:tcW w:w="420" w:type="pct"/>
            <w:shd w:val="clear" w:color="auto" w:fill="auto"/>
            <w:noWrap/>
            <w:tcMar>
              <w:left w:w="43" w:type="dxa"/>
              <w:right w:w="43" w:type="dxa"/>
            </w:tcMar>
            <w:hideMark/>
          </w:tcPr>
          <w:p w14:paraId="1E10DF00"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221</w:t>
            </w:r>
          </w:p>
        </w:tc>
        <w:tc>
          <w:tcPr>
            <w:tcW w:w="397" w:type="pct"/>
            <w:shd w:val="clear" w:color="auto" w:fill="auto"/>
            <w:noWrap/>
            <w:tcMar>
              <w:left w:w="43" w:type="dxa"/>
              <w:right w:w="43" w:type="dxa"/>
            </w:tcMar>
            <w:hideMark/>
          </w:tcPr>
          <w:p w14:paraId="0847CD8F"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250</w:t>
            </w:r>
          </w:p>
        </w:tc>
        <w:tc>
          <w:tcPr>
            <w:tcW w:w="397" w:type="pct"/>
            <w:shd w:val="clear" w:color="auto" w:fill="auto"/>
            <w:noWrap/>
            <w:tcMar>
              <w:left w:w="43" w:type="dxa"/>
              <w:right w:w="43" w:type="dxa"/>
            </w:tcMar>
            <w:hideMark/>
          </w:tcPr>
          <w:p w14:paraId="45A59029"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248</w:t>
            </w:r>
          </w:p>
        </w:tc>
        <w:tc>
          <w:tcPr>
            <w:tcW w:w="397" w:type="pct"/>
            <w:shd w:val="clear" w:color="auto" w:fill="auto"/>
            <w:noWrap/>
            <w:tcMar>
              <w:left w:w="43" w:type="dxa"/>
              <w:right w:w="43" w:type="dxa"/>
            </w:tcMar>
            <w:hideMark/>
          </w:tcPr>
          <w:p w14:paraId="7B984AFC"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248</w:t>
            </w:r>
          </w:p>
        </w:tc>
        <w:tc>
          <w:tcPr>
            <w:tcW w:w="393" w:type="pct"/>
            <w:shd w:val="clear" w:color="auto" w:fill="auto"/>
            <w:noWrap/>
            <w:tcMar>
              <w:left w:w="43" w:type="dxa"/>
              <w:right w:w="43" w:type="dxa"/>
            </w:tcMar>
            <w:hideMark/>
          </w:tcPr>
          <w:p w14:paraId="1C819A70"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247</w:t>
            </w:r>
          </w:p>
        </w:tc>
      </w:tr>
      <w:tr w:rsidR="00523B1A" w:rsidRPr="007D1EDC" w14:paraId="2C180DA3" w14:textId="77777777" w:rsidTr="00D03949">
        <w:trPr>
          <w:trHeight w:val="210"/>
        </w:trPr>
        <w:tc>
          <w:tcPr>
            <w:tcW w:w="1019" w:type="pct"/>
            <w:tcMar>
              <w:left w:w="43" w:type="dxa"/>
              <w:right w:w="43" w:type="dxa"/>
            </w:tcMar>
            <w:vAlign w:val="bottom"/>
          </w:tcPr>
          <w:p w14:paraId="4DB5FB22" w14:textId="4A2916B2" w:rsidR="00523B1A" w:rsidRPr="00523B1A" w:rsidRDefault="00523B1A" w:rsidP="00523B1A">
            <w:pPr>
              <w:rPr>
                <w:rFonts w:ascii="Arial Narrow" w:hAnsi="Arial Narrow" w:cs="Calibri"/>
                <w:color w:val="000000"/>
                <w:sz w:val="20"/>
                <w:szCs w:val="20"/>
                <w:lang w:val="en-GB" w:eastAsia="en-GB"/>
              </w:rPr>
            </w:pPr>
            <w:proofErr w:type="spellStart"/>
            <w:r w:rsidRPr="00523B1A">
              <w:rPr>
                <w:rFonts w:ascii="Arial Narrow" w:eastAsia="Aptos" w:hAnsi="Arial Narrow" w:cs="Calibri"/>
                <w:color w:val="000000"/>
                <w:kern w:val="2"/>
                <w:sz w:val="20"/>
                <w:szCs w:val="20"/>
                <w:lang w:val="en-GB"/>
                <w14:ligatures w14:val="standardContextual"/>
              </w:rPr>
              <w:t>Kostot</w:t>
            </w:r>
            <w:proofErr w:type="spellEnd"/>
            <w:r w:rsidRPr="00523B1A">
              <w:rPr>
                <w:rFonts w:ascii="Arial Narrow" w:eastAsia="Aptos" w:hAnsi="Arial Narrow" w:cs="Calibri"/>
                <w:color w:val="000000"/>
                <w:kern w:val="2"/>
                <w:sz w:val="20"/>
                <w:szCs w:val="20"/>
                <w:lang w:val="en-GB"/>
                <w14:ligatures w14:val="standardContextual"/>
              </w:rPr>
              <w:t xml:space="preserve"> </w:t>
            </w:r>
            <w:proofErr w:type="spellStart"/>
            <w:r w:rsidRPr="00523B1A">
              <w:rPr>
                <w:rFonts w:ascii="Arial Narrow" w:eastAsia="Aptos" w:hAnsi="Arial Narrow" w:cs="Calibri"/>
                <w:color w:val="000000"/>
                <w:kern w:val="2"/>
                <w:sz w:val="20"/>
                <w:szCs w:val="20"/>
                <w:lang w:val="en-GB"/>
                <w14:ligatures w14:val="standardContextual"/>
              </w:rPr>
              <w:t>totale</w:t>
            </w:r>
            <w:proofErr w:type="spellEnd"/>
            <w:r w:rsidRPr="00523B1A">
              <w:rPr>
                <w:rFonts w:ascii="Arial Narrow" w:eastAsia="Aptos" w:hAnsi="Arial Narrow" w:cs="Calibri"/>
                <w:color w:val="000000"/>
                <w:kern w:val="2"/>
                <w:sz w:val="20"/>
                <w:szCs w:val="20"/>
                <w:lang w:val="en-GB"/>
                <w14:ligatures w14:val="standardContextual"/>
              </w:rPr>
              <w:t xml:space="preserve">, </w:t>
            </w:r>
            <w:proofErr w:type="spellStart"/>
            <w:r w:rsidRPr="00523B1A">
              <w:rPr>
                <w:rFonts w:ascii="Arial Narrow" w:eastAsia="Aptos" w:hAnsi="Arial Narrow" w:cs="Calibri"/>
                <w:color w:val="000000"/>
                <w:kern w:val="2"/>
                <w:sz w:val="20"/>
                <w:szCs w:val="20"/>
                <w:lang w:val="en-GB"/>
                <w14:ligatures w14:val="standardContextual"/>
              </w:rPr>
              <w:t>mijë</w:t>
            </w:r>
            <w:proofErr w:type="spellEnd"/>
            <w:r w:rsidRPr="00523B1A">
              <w:rPr>
                <w:rFonts w:ascii="Arial Narrow" w:eastAsia="Aptos" w:hAnsi="Arial Narrow" w:cs="Calibri"/>
                <w:color w:val="000000"/>
                <w:kern w:val="2"/>
                <w:sz w:val="20"/>
                <w:szCs w:val="20"/>
                <w:lang w:val="en-GB"/>
                <w14:ligatures w14:val="standardContextual"/>
              </w:rPr>
              <w:t xml:space="preserve"> euro</w:t>
            </w:r>
          </w:p>
        </w:tc>
        <w:tc>
          <w:tcPr>
            <w:tcW w:w="393" w:type="pct"/>
            <w:shd w:val="clear" w:color="auto" w:fill="auto"/>
            <w:noWrap/>
            <w:tcMar>
              <w:left w:w="43" w:type="dxa"/>
              <w:right w:w="43" w:type="dxa"/>
            </w:tcMar>
            <w:hideMark/>
          </w:tcPr>
          <w:p w14:paraId="597029BB"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721</w:t>
            </w:r>
          </w:p>
        </w:tc>
        <w:tc>
          <w:tcPr>
            <w:tcW w:w="394" w:type="pct"/>
            <w:shd w:val="clear" w:color="auto" w:fill="auto"/>
            <w:noWrap/>
            <w:tcMar>
              <w:left w:w="43" w:type="dxa"/>
              <w:right w:w="43" w:type="dxa"/>
            </w:tcMar>
            <w:hideMark/>
          </w:tcPr>
          <w:p w14:paraId="3EFDD7BB"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727</w:t>
            </w:r>
          </w:p>
        </w:tc>
        <w:tc>
          <w:tcPr>
            <w:tcW w:w="392" w:type="pct"/>
            <w:shd w:val="clear" w:color="auto" w:fill="auto"/>
            <w:noWrap/>
            <w:tcMar>
              <w:left w:w="43" w:type="dxa"/>
              <w:right w:w="43" w:type="dxa"/>
            </w:tcMar>
            <w:hideMark/>
          </w:tcPr>
          <w:p w14:paraId="2B49F0E2"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725</w:t>
            </w:r>
          </w:p>
        </w:tc>
        <w:tc>
          <w:tcPr>
            <w:tcW w:w="394" w:type="pct"/>
            <w:shd w:val="clear" w:color="auto" w:fill="auto"/>
            <w:noWrap/>
            <w:tcMar>
              <w:left w:w="43" w:type="dxa"/>
              <w:right w:w="43" w:type="dxa"/>
            </w:tcMar>
            <w:hideMark/>
          </w:tcPr>
          <w:p w14:paraId="4EAAE0AC"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723</w:t>
            </w:r>
          </w:p>
        </w:tc>
        <w:tc>
          <w:tcPr>
            <w:tcW w:w="404" w:type="pct"/>
            <w:shd w:val="clear" w:color="auto" w:fill="auto"/>
            <w:noWrap/>
            <w:tcMar>
              <w:left w:w="43" w:type="dxa"/>
              <w:right w:w="43" w:type="dxa"/>
            </w:tcMar>
            <w:hideMark/>
          </w:tcPr>
          <w:p w14:paraId="0C7A06C5"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719</w:t>
            </w:r>
          </w:p>
        </w:tc>
        <w:tc>
          <w:tcPr>
            <w:tcW w:w="420" w:type="pct"/>
            <w:shd w:val="clear" w:color="auto" w:fill="auto"/>
            <w:noWrap/>
            <w:tcMar>
              <w:left w:w="43" w:type="dxa"/>
              <w:right w:w="43" w:type="dxa"/>
            </w:tcMar>
            <w:hideMark/>
          </w:tcPr>
          <w:p w14:paraId="406276B4"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804</w:t>
            </w:r>
          </w:p>
        </w:tc>
        <w:tc>
          <w:tcPr>
            <w:tcW w:w="397" w:type="pct"/>
            <w:shd w:val="clear" w:color="auto" w:fill="auto"/>
            <w:noWrap/>
            <w:tcMar>
              <w:left w:w="43" w:type="dxa"/>
              <w:right w:w="43" w:type="dxa"/>
            </w:tcMar>
            <w:hideMark/>
          </w:tcPr>
          <w:p w14:paraId="1C70A7A4"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805</w:t>
            </w:r>
          </w:p>
        </w:tc>
        <w:tc>
          <w:tcPr>
            <w:tcW w:w="397" w:type="pct"/>
            <w:shd w:val="clear" w:color="auto" w:fill="auto"/>
            <w:noWrap/>
            <w:tcMar>
              <w:left w:w="43" w:type="dxa"/>
              <w:right w:w="43" w:type="dxa"/>
            </w:tcMar>
            <w:hideMark/>
          </w:tcPr>
          <w:p w14:paraId="28DC06A9"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803</w:t>
            </w:r>
          </w:p>
        </w:tc>
        <w:tc>
          <w:tcPr>
            <w:tcW w:w="397" w:type="pct"/>
            <w:shd w:val="clear" w:color="auto" w:fill="auto"/>
            <w:noWrap/>
            <w:tcMar>
              <w:left w:w="43" w:type="dxa"/>
              <w:right w:w="43" w:type="dxa"/>
            </w:tcMar>
            <w:hideMark/>
          </w:tcPr>
          <w:p w14:paraId="1BF85132"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790</w:t>
            </w:r>
          </w:p>
        </w:tc>
        <w:tc>
          <w:tcPr>
            <w:tcW w:w="393" w:type="pct"/>
            <w:shd w:val="clear" w:color="auto" w:fill="auto"/>
            <w:noWrap/>
            <w:tcMar>
              <w:left w:w="43" w:type="dxa"/>
              <w:right w:w="43" w:type="dxa"/>
            </w:tcMar>
            <w:hideMark/>
          </w:tcPr>
          <w:p w14:paraId="204FAFCD"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790</w:t>
            </w:r>
          </w:p>
        </w:tc>
      </w:tr>
      <w:tr w:rsidR="00523B1A" w:rsidRPr="007D1EDC" w14:paraId="7B84C025" w14:textId="77777777" w:rsidTr="00D03949">
        <w:trPr>
          <w:trHeight w:val="210"/>
        </w:trPr>
        <w:tc>
          <w:tcPr>
            <w:tcW w:w="1019" w:type="pct"/>
            <w:tcMar>
              <w:left w:w="43" w:type="dxa"/>
              <w:right w:w="43" w:type="dxa"/>
            </w:tcMar>
            <w:vAlign w:val="bottom"/>
          </w:tcPr>
          <w:p w14:paraId="31CFE89A" w14:textId="4D9E5487" w:rsidR="00523B1A" w:rsidRPr="00523B1A" w:rsidRDefault="00523B1A" w:rsidP="00523B1A">
            <w:pPr>
              <w:rPr>
                <w:rFonts w:ascii="Arial Narrow" w:hAnsi="Arial Narrow" w:cs="Calibri"/>
                <w:color w:val="000000"/>
                <w:sz w:val="20"/>
                <w:szCs w:val="20"/>
                <w:lang w:val="en-GB" w:eastAsia="en-GB"/>
              </w:rPr>
            </w:pPr>
            <w:proofErr w:type="spellStart"/>
            <w:r w:rsidRPr="00523B1A">
              <w:rPr>
                <w:rFonts w:ascii="Arial Narrow" w:eastAsia="Aptos" w:hAnsi="Arial Narrow" w:cs="Calibri"/>
                <w:color w:val="000000"/>
                <w:kern w:val="2"/>
                <w:sz w:val="20"/>
                <w:szCs w:val="20"/>
                <w:lang w:val="en-GB"/>
                <w14:ligatures w14:val="standardContextual"/>
              </w:rPr>
              <w:t>Kostot</w:t>
            </w:r>
            <w:proofErr w:type="spellEnd"/>
            <w:r w:rsidRPr="00523B1A">
              <w:rPr>
                <w:rFonts w:ascii="Arial Narrow" w:eastAsia="Aptos" w:hAnsi="Arial Narrow" w:cs="Calibri"/>
                <w:color w:val="000000"/>
                <w:kern w:val="2"/>
                <w:sz w:val="20"/>
                <w:szCs w:val="20"/>
                <w:lang w:val="en-GB"/>
                <w14:ligatures w14:val="standardContextual"/>
              </w:rPr>
              <w:t xml:space="preserve"> </w:t>
            </w:r>
            <w:proofErr w:type="spellStart"/>
            <w:r w:rsidRPr="00523B1A">
              <w:rPr>
                <w:rFonts w:ascii="Arial Narrow" w:eastAsia="Aptos" w:hAnsi="Arial Narrow" w:cs="Calibri"/>
                <w:color w:val="000000"/>
                <w:kern w:val="2"/>
                <w:sz w:val="20"/>
                <w:szCs w:val="20"/>
                <w:lang w:val="en-GB"/>
                <w14:ligatures w14:val="standardContextual"/>
              </w:rPr>
              <w:t>totale</w:t>
            </w:r>
            <w:proofErr w:type="spellEnd"/>
            <w:r w:rsidRPr="00523B1A">
              <w:rPr>
                <w:rFonts w:ascii="Arial Narrow" w:eastAsia="Aptos" w:hAnsi="Arial Narrow" w:cs="Calibri"/>
                <w:color w:val="000000"/>
                <w:kern w:val="2"/>
                <w:sz w:val="20"/>
                <w:szCs w:val="20"/>
                <w:lang w:val="en-GB"/>
                <w14:ligatures w14:val="standardContextual"/>
              </w:rPr>
              <w:t xml:space="preserve"> me TVSH</w:t>
            </w:r>
          </w:p>
        </w:tc>
        <w:tc>
          <w:tcPr>
            <w:tcW w:w="393" w:type="pct"/>
            <w:shd w:val="clear" w:color="auto" w:fill="auto"/>
            <w:noWrap/>
            <w:tcMar>
              <w:left w:w="43" w:type="dxa"/>
              <w:right w:w="43" w:type="dxa"/>
            </w:tcMar>
            <w:hideMark/>
          </w:tcPr>
          <w:p w14:paraId="101B333D"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778</w:t>
            </w:r>
          </w:p>
        </w:tc>
        <w:tc>
          <w:tcPr>
            <w:tcW w:w="394" w:type="pct"/>
            <w:shd w:val="clear" w:color="auto" w:fill="auto"/>
            <w:noWrap/>
            <w:tcMar>
              <w:left w:w="43" w:type="dxa"/>
              <w:right w:w="43" w:type="dxa"/>
            </w:tcMar>
            <w:hideMark/>
          </w:tcPr>
          <w:p w14:paraId="7E897616"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785</w:t>
            </w:r>
          </w:p>
        </w:tc>
        <w:tc>
          <w:tcPr>
            <w:tcW w:w="392" w:type="pct"/>
            <w:shd w:val="clear" w:color="auto" w:fill="auto"/>
            <w:noWrap/>
            <w:tcMar>
              <w:left w:w="43" w:type="dxa"/>
              <w:right w:w="43" w:type="dxa"/>
            </w:tcMar>
            <w:hideMark/>
          </w:tcPr>
          <w:p w14:paraId="7A841C68"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783</w:t>
            </w:r>
          </w:p>
        </w:tc>
        <w:tc>
          <w:tcPr>
            <w:tcW w:w="394" w:type="pct"/>
            <w:shd w:val="clear" w:color="auto" w:fill="auto"/>
            <w:noWrap/>
            <w:tcMar>
              <w:left w:w="43" w:type="dxa"/>
              <w:right w:w="43" w:type="dxa"/>
            </w:tcMar>
            <w:hideMark/>
          </w:tcPr>
          <w:p w14:paraId="3942A9B5"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780</w:t>
            </w:r>
          </w:p>
        </w:tc>
        <w:tc>
          <w:tcPr>
            <w:tcW w:w="404" w:type="pct"/>
            <w:shd w:val="clear" w:color="auto" w:fill="auto"/>
            <w:noWrap/>
            <w:tcMar>
              <w:left w:w="43" w:type="dxa"/>
              <w:right w:w="43" w:type="dxa"/>
            </w:tcMar>
            <w:hideMark/>
          </w:tcPr>
          <w:p w14:paraId="4D755C32"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776</w:t>
            </w:r>
          </w:p>
        </w:tc>
        <w:tc>
          <w:tcPr>
            <w:tcW w:w="420" w:type="pct"/>
            <w:shd w:val="clear" w:color="auto" w:fill="auto"/>
            <w:noWrap/>
            <w:tcMar>
              <w:left w:w="43" w:type="dxa"/>
              <w:right w:w="43" w:type="dxa"/>
            </w:tcMar>
            <w:hideMark/>
          </w:tcPr>
          <w:p w14:paraId="2A5EC308"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868</w:t>
            </w:r>
          </w:p>
        </w:tc>
        <w:tc>
          <w:tcPr>
            <w:tcW w:w="397" w:type="pct"/>
            <w:shd w:val="clear" w:color="auto" w:fill="auto"/>
            <w:noWrap/>
            <w:tcMar>
              <w:left w:w="43" w:type="dxa"/>
              <w:right w:w="43" w:type="dxa"/>
            </w:tcMar>
            <w:hideMark/>
          </w:tcPr>
          <w:p w14:paraId="106CCDB8"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869</w:t>
            </w:r>
          </w:p>
        </w:tc>
        <w:tc>
          <w:tcPr>
            <w:tcW w:w="397" w:type="pct"/>
            <w:shd w:val="clear" w:color="auto" w:fill="auto"/>
            <w:noWrap/>
            <w:tcMar>
              <w:left w:w="43" w:type="dxa"/>
              <w:right w:w="43" w:type="dxa"/>
            </w:tcMar>
            <w:hideMark/>
          </w:tcPr>
          <w:p w14:paraId="391CCE15"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868</w:t>
            </w:r>
          </w:p>
        </w:tc>
        <w:tc>
          <w:tcPr>
            <w:tcW w:w="397" w:type="pct"/>
            <w:shd w:val="clear" w:color="auto" w:fill="auto"/>
            <w:noWrap/>
            <w:tcMar>
              <w:left w:w="43" w:type="dxa"/>
              <w:right w:w="43" w:type="dxa"/>
            </w:tcMar>
            <w:hideMark/>
          </w:tcPr>
          <w:p w14:paraId="211AC4FC"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854</w:t>
            </w:r>
          </w:p>
        </w:tc>
        <w:tc>
          <w:tcPr>
            <w:tcW w:w="393" w:type="pct"/>
            <w:shd w:val="clear" w:color="auto" w:fill="auto"/>
            <w:noWrap/>
            <w:tcMar>
              <w:left w:w="43" w:type="dxa"/>
              <w:right w:w="43" w:type="dxa"/>
            </w:tcMar>
            <w:hideMark/>
          </w:tcPr>
          <w:p w14:paraId="1B03CAB8"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854</w:t>
            </w:r>
          </w:p>
        </w:tc>
      </w:tr>
      <w:tr w:rsidR="00523B1A" w:rsidRPr="007D1EDC" w14:paraId="5CE02D04" w14:textId="77777777" w:rsidTr="00D03949">
        <w:trPr>
          <w:trHeight w:val="210"/>
        </w:trPr>
        <w:tc>
          <w:tcPr>
            <w:tcW w:w="1019" w:type="pct"/>
            <w:tcMar>
              <w:left w:w="43" w:type="dxa"/>
              <w:right w:w="43" w:type="dxa"/>
            </w:tcMar>
            <w:vAlign w:val="bottom"/>
          </w:tcPr>
          <w:p w14:paraId="2ECC3A56" w14:textId="63D4A15D" w:rsidR="00523B1A" w:rsidRPr="00523B1A" w:rsidRDefault="00523B1A" w:rsidP="00523B1A">
            <w:pPr>
              <w:rPr>
                <w:rFonts w:ascii="Arial Narrow" w:hAnsi="Arial Narrow" w:cs="Calibri"/>
                <w:color w:val="000000"/>
                <w:sz w:val="20"/>
                <w:szCs w:val="20"/>
                <w:lang w:val="en-GB" w:eastAsia="en-GB"/>
              </w:rPr>
            </w:pPr>
            <w:proofErr w:type="spellStart"/>
            <w:r w:rsidRPr="00523B1A">
              <w:rPr>
                <w:rFonts w:ascii="Arial Narrow" w:hAnsi="Arial Narrow" w:cs="Calibri"/>
                <w:color w:val="000000"/>
                <w:sz w:val="20"/>
                <w:szCs w:val="20"/>
                <w:lang w:val="en-GB" w:eastAsia="en-GB"/>
              </w:rPr>
              <w:t>Faturimi</w:t>
            </w:r>
            <w:proofErr w:type="spellEnd"/>
            <w:r w:rsidRPr="00523B1A">
              <w:rPr>
                <w:rFonts w:ascii="Arial Narrow" w:hAnsi="Arial Narrow" w:cs="Calibri"/>
                <w:color w:val="000000"/>
                <w:sz w:val="20"/>
                <w:szCs w:val="20"/>
                <w:lang w:val="en-GB" w:eastAsia="en-GB"/>
              </w:rPr>
              <w:t xml:space="preserve"> </w:t>
            </w:r>
            <w:proofErr w:type="spellStart"/>
            <w:r w:rsidRPr="00523B1A">
              <w:rPr>
                <w:rFonts w:ascii="Arial Narrow" w:hAnsi="Arial Narrow" w:cs="Calibri"/>
                <w:color w:val="000000"/>
                <w:sz w:val="20"/>
                <w:szCs w:val="20"/>
                <w:lang w:val="en-GB" w:eastAsia="en-GB"/>
              </w:rPr>
              <w:t>për</w:t>
            </w:r>
            <w:proofErr w:type="spellEnd"/>
            <w:r w:rsidRPr="00523B1A">
              <w:rPr>
                <w:rFonts w:ascii="Arial Narrow" w:hAnsi="Arial Narrow" w:cs="Calibri"/>
                <w:color w:val="000000"/>
                <w:sz w:val="20"/>
                <w:szCs w:val="20"/>
                <w:lang w:val="en-GB" w:eastAsia="en-GB"/>
              </w:rPr>
              <w:t xml:space="preserve"> </w:t>
            </w:r>
            <w:proofErr w:type="spellStart"/>
            <w:r w:rsidRPr="00523B1A">
              <w:rPr>
                <w:rFonts w:ascii="Arial Narrow" w:hAnsi="Arial Narrow" w:cs="Calibri"/>
                <w:color w:val="000000"/>
                <w:sz w:val="20"/>
                <w:szCs w:val="20"/>
                <w:lang w:val="en-GB" w:eastAsia="en-GB"/>
              </w:rPr>
              <w:t>familjet</w:t>
            </w:r>
            <w:proofErr w:type="spellEnd"/>
          </w:p>
        </w:tc>
        <w:tc>
          <w:tcPr>
            <w:tcW w:w="393" w:type="pct"/>
            <w:shd w:val="clear" w:color="auto" w:fill="auto"/>
            <w:noWrap/>
            <w:tcMar>
              <w:left w:w="43" w:type="dxa"/>
              <w:right w:w="43" w:type="dxa"/>
            </w:tcMar>
            <w:hideMark/>
          </w:tcPr>
          <w:p w14:paraId="6BE6C87C"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545</w:t>
            </w:r>
          </w:p>
        </w:tc>
        <w:tc>
          <w:tcPr>
            <w:tcW w:w="394" w:type="pct"/>
            <w:shd w:val="clear" w:color="auto" w:fill="auto"/>
            <w:noWrap/>
            <w:tcMar>
              <w:left w:w="43" w:type="dxa"/>
              <w:right w:w="43" w:type="dxa"/>
            </w:tcMar>
            <w:hideMark/>
          </w:tcPr>
          <w:p w14:paraId="0FA635AF"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550</w:t>
            </w:r>
          </w:p>
        </w:tc>
        <w:tc>
          <w:tcPr>
            <w:tcW w:w="392" w:type="pct"/>
            <w:shd w:val="clear" w:color="auto" w:fill="auto"/>
            <w:noWrap/>
            <w:tcMar>
              <w:left w:w="43" w:type="dxa"/>
              <w:right w:w="43" w:type="dxa"/>
            </w:tcMar>
            <w:hideMark/>
          </w:tcPr>
          <w:p w14:paraId="76663F21"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548</w:t>
            </w:r>
          </w:p>
        </w:tc>
        <w:tc>
          <w:tcPr>
            <w:tcW w:w="394" w:type="pct"/>
            <w:shd w:val="clear" w:color="auto" w:fill="auto"/>
            <w:noWrap/>
            <w:tcMar>
              <w:left w:w="43" w:type="dxa"/>
              <w:right w:w="43" w:type="dxa"/>
            </w:tcMar>
            <w:hideMark/>
          </w:tcPr>
          <w:p w14:paraId="4B90DCE8"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546</w:t>
            </w:r>
          </w:p>
        </w:tc>
        <w:tc>
          <w:tcPr>
            <w:tcW w:w="404" w:type="pct"/>
            <w:shd w:val="clear" w:color="auto" w:fill="auto"/>
            <w:noWrap/>
            <w:tcMar>
              <w:left w:w="43" w:type="dxa"/>
              <w:right w:w="43" w:type="dxa"/>
            </w:tcMar>
            <w:hideMark/>
          </w:tcPr>
          <w:p w14:paraId="0F779D4E"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543</w:t>
            </w:r>
          </w:p>
        </w:tc>
        <w:tc>
          <w:tcPr>
            <w:tcW w:w="420" w:type="pct"/>
            <w:shd w:val="clear" w:color="auto" w:fill="auto"/>
            <w:noWrap/>
            <w:tcMar>
              <w:left w:w="43" w:type="dxa"/>
              <w:right w:w="43" w:type="dxa"/>
            </w:tcMar>
            <w:hideMark/>
          </w:tcPr>
          <w:p w14:paraId="7ADA77D3"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607</w:t>
            </w:r>
          </w:p>
        </w:tc>
        <w:tc>
          <w:tcPr>
            <w:tcW w:w="397" w:type="pct"/>
            <w:shd w:val="clear" w:color="auto" w:fill="auto"/>
            <w:noWrap/>
            <w:tcMar>
              <w:left w:w="43" w:type="dxa"/>
              <w:right w:w="43" w:type="dxa"/>
            </w:tcMar>
            <w:hideMark/>
          </w:tcPr>
          <w:p w14:paraId="2A33C63A"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608</w:t>
            </w:r>
          </w:p>
        </w:tc>
        <w:tc>
          <w:tcPr>
            <w:tcW w:w="397" w:type="pct"/>
            <w:shd w:val="clear" w:color="auto" w:fill="auto"/>
            <w:noWrap/>
            <w:tcMar>
              <w:left w:w="43" w:type="dxa"/>
              <w:right w:w="43" w:type="dxa"/>
            </w:tcMar>
            <w:hideMark/>
          </w:tcPr>
          <w:p w14:paraId="1F485A31"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607</w:t>
            </w:r>
          </w:p>
        </w:tc>
        <w:tc>
          <w:tcPr>
            <w:tcW w:w="397" w:type="pct"/>
            <w:shd w:val="clear" w:color="auto" w:fill="auto"/>
            <w:noWrap/>
            <w:tcMar>
              <w:left w:w="43" w:type="dxa"/>
              <w:right w:w="43" w:type="dxa"/>
            </w:tcMar>
            <w:hideMark/>
          </w:tcPr>
          <w:p w14:paraId="35B8C957"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597</w:t>
            </w:r>
          </w:p>
        </w:tc>
        <w:tc>
          <w:tcPr>
            <w:tcW w:w="393" w:type="pct"/>
            <w:shd w:val="clear" w:color="auto" w:fill="auto"/>
            <w:noWrap/>
            <w:tcMar>
              <w:left w:w="43" w:type="dxa"/>
              <w:right w:w="43" w:type="dxa"/>
            </w:tcMar>
            <w:hideMark/>
          </w:tcPr>
          <w:p w14:paraId="0D10E9A6"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598</w:t>
            </w:r>
          </w:p>
        </w:tc>
      </w:tr>
      <w:tr w:rsidR="00523B1A" w:rsidRPr="007D1EDC" w14:paraId="7C9C49E9" w14:textId="77777777" w:rsidTr="00D03949">
        <w:trPr>
          <w:trHeight w:val="210"/>
        </w:trPr>
        <w:tc>
          <w:tcPr>
            <w:tcW w:w="1019" w:type="pct"/>
            <w:tcMar>
              <w:left w:w="43" w:type="dxa"/>
              <w:right w:w="43" w:type="dxa"/>
            </w:tcMar>
            <w:vAlign w:val="bottom"/>
          </w:tcPr>
          <w:p w14:paraId="1F2BD6A2" w14:textId="6A00D43C" w:rsidR="00523B1A" w:rsidRPr="00523B1A" w:rsidRDefault="00523B1A" w:rsidP="00523B1A">
            <w:pPr>
              <w:rPr>
                <w:rFonts w:ascii="Arial Narrow" w:hAnsi="Arial Narrow" w:cs="Calibri"/>
                <w:color w:val="000000"/>
                <w:sz w:val="20"/>
                <w:szCs w:val="20"/>
                <w:lang w:val="en-GB" w:eastAsia="en-GB"/>
              </w:rPr>
            </w:pPr>
            <w:proofErr w:type="spellStart"/>
            <w:r w:rsidRPr="00523B1A">
              <w:rPr>
                <w:rFonts w:ascii="Arial Narrow" w:hAnsi="Arial Narrow" w:cs="Calibri"/>
                <w:color w:val="000000"/>
                <w:sz w:val="20"/>
                <w:szCs w:val="20"/>
                <w:lang w:val="en-GB" w:eastAsia="en-GB"/>
              </w:rPr>
              <w:t>Faturimi</w:t>
            </w:r>
            <w:proofErr w:type="spellEnd"/>
            <w:r w:rsidRPr="00523B1A">
              <w:rPr>
                <w:rFonts w:ascii="Arial Narrow" w:hAnsi="Arial Narrow" w:cs="Calibri"/>
                <w:color w:val="000000"/>
                <w:sz w:val="20"/>
                <w:szCs w:val="20"/>
                <w:lang w:val="en-GB" w:eastAsia="en-GB"/>
              </w:rPr>
              <w:t xml:space="preserve"> </w:t>
            </w:r>
            <w:proofErr w:type="spellStart"/>
            <w:r w:rsidRPr="00523B1A">
              <w:rPr>
                <w:rFonts w:ascii="Arial Narrow" w:hAnsi="Arial Narrow" w:cs="Calibri"/>
                <w:color w:val="000000"/>
                <w:sz w:val="20"/>
                <w:szCs w:val="20"/>
                <w:lang w:val="en-GB" w:eastAsia="en-GB"/>
              </w:rPr>
              <w:t>për</w:t>
            </w:r>
            <w:proofErr w:type="spellEnd"/>
            <w:r w:rsidRPr="00523B1A">
              <w:rPr>
                <w:rFonts w:ascii="Arial Narrow" w:hAnsi="Arial Narrow" w:cs="Calibri"/>
                <w:color w:val="000000"/>
                <w:sz w:val="20"/>
                <w:szCs w:val="20"/>
                <w:lang w:val="en-GB" w:eastAsia="en-GB"/>
              </w:rPr>
              <w:t xml:space="preserve"> </w:t>
            </w:r>
            <w:proofErr w:type="spellStart"/>
            <w:r w:rsidRPr="00523B1A">
              <w:rPr>
                <w:rFonts w:ascii="Arial Narrow" w:hAnsi="Arial Narrow" w:cs="Calibri"/>
                <w:color w:val="000000"/>
                <w:sz w:val="20"/>
                <w:szCs w:val="20"/>
                <w:lang w:val="en-GB" w:eastAsia="en-GB"/>
              </w:rPr>
              <w:t>entitetet</w:t>
            </w:r>
            <w:proofErr w:type="spellEnd"/>
            <w:r w:rsidRPr="00523B1A">
              <w:rPr>
                <w:rFonts w:ascii="Arial Narrow" w:hAnsi="Arial Narrow" w:cs="Calibri"/>
                <w:color w:val="000000"/>
                <w:sz w:val="20"/>
                <w:szCs w:val="20"/>
                <w:lang w:val="en-GB" w:eastAsia="en-GB"/>
              </w:rPr>
              <w:t xml:space="preserve"> </w:t>
            </w:r>
            <w:proofErr w:type="spellStart"/>
            <w:r w:rsidRPr="00523B1A">
              <w:rPr>
                <w:rFonts w:ascii="Arial Narrow" w:hAnsi="Arial Narrow" w:cs="Calibri"/>
                <w:color w:val="000000"/>
                <w:sz w:val="20"/>
                <w:szCs w:val="20"/>
                <w:lang w:val="en-GB" w:eastAsia="en-GB"/>
              </w:rPr>
              <w:t>juridike</w:t>
            </w:r>
            <w:proofErr w:type="spellEnd"/>
          </w:p>
        </w:tc>
        <w:tc>
          <w:tcPr>
            <w:tcW w:w="393" w:type="pct"/>
            <w:shd w:val="clear" w:color="auto" w:fill="auto"/>
            <w:noWrap/>
            <w:tcMar>
              <w:left w:w="43" w:type="dxa"/>
              <w:right w:w="43" w:type="dxa"/>
            </w:tcMar>
            <w:hideMark/>
          </w:tcPr>
          <w:p w14:paraId="6FD5D912"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234</w:t>
            </w:r>
          </w:p>
        </w:tc>
        <w:tc>
          <w:tcPr>
            <w:tcW w:w="394" w:type="pct"/>
            <w:shd w:val="clear" w:color="auto" w:fill="auto"/>
            <w:noWrap/>
            <w:tcMar>
              <w:left w:w="43" w:type="dxa"/>
              <w:right w:w="43" w:type="dxa"/>
            </w:tcMar>
            <w:hideMark/>
          </w:tcPr>
          <w:p w14:paraId="79F567AB"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236</w:t>
            </w:r>
          </w:p>
        </w:tc>
        <w:tc>
          <w:tcPr>
            <w:tcW w:w="392" w:type="pct"/>
            <w:shd w:val="clear" w:color="auto" w:fill="auto"/>
            <w:noWrap/>
            <w:tcMar>
              <w:left w:w="43" w:type="dxa"/>
              <w:right w:w="43" w:type="dxa"/>
            </w:tcMar>
            <w:hideMark/>
          </w:tcPr>
          <w:p w14:paraId="56970D1F"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235</w:t>
            </w:r>
          </w:p>
        </w:tc>
        <w:tc>
          <w:tcPr>
            <w:tcW w:w="394" w:type="pct"/>
            <w:shd w:val="clear" w:color="auto" w:fill="auto"/>
            <w:noWrap/>
            <w:tcMar>
              <w:left w:w="43" w:type="dxa"/>
              <w:right w:w="43" w:type="dxa"/>
            </w:tcMar>
            <w:hideMark/>
          </w:tcPr>
          <w:p w14:paraId="7BDF3DCB"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234</w:t>
            </w:r>
          </w:p>
        </w:tc>
        <w:tc>
          <w:tcPr>
            <w:tcW w:w="404" w:type="pct"/>
            <w:shd w:val="clear" w:color="auto" w:fill="auto"/>
            <w:noWrap/>
            <w:tcMar>
              <w:left w:w="43" w:type="dxa"/>
              <w:right w:w="43" w:type="dxa"/>
            </w:tcMar>
            <w:hideMark/>
          </w:tcPr>
          <w:p w14:paraId="3E52854A"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233</w:t>
            </w:r>
          </w:p>
        </w:tc>
        <w:tc>
          <w:tcPr>
            <w:tcW w:w="420" w:type="pct"/>
            <w:shd w:val="clear" w:color="auto" w:fill="auto"/>
            <w:noWrap/>
            <w:tcMar>
              <w:left w:w="43" w:type="dxa"/>
              <w:right w:w="43" w:type="dxa"/>
            </w:tcMar>
            <w:hideMark/>
          </w:tcPr>
          <w:p w14:paraId="7ED03B20"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260</w:t>
            </w:r>
          </w:p>
        </w:tc>
        <w:tc>
          <w:tcPr>
            <w:tcW w:w="397" w:type="pct"/>
            <w:shd w:val="clear" w:color="auto" w:fill="auto"/>
            <w:noWrap/>
            <w:tcMar>
              <w:left w:w="43" w:type="dxa"/>
              <w:right w:w="43" w:type="dxa"/>
            </w:tcMar>
            <w:hideMark/>
          </w:tcPr>
          <w:p w14:paraId="15793343"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261</w:t>
            </w:r>
          </w:p>
        </w:tc>
        <w:tc>
          <w:tcPr>
            <w:tcW w:w="397" w:type="pct"/>
            <w:shd w:val="clear" w:color="auto" w:fill="auto"/>
            <w:noWrap/>
            <w:tcMar>
              <w:left w:w="43" w:type="dxa"/>
              <w:right w:w="43" w:type="dxa"/>
            </w:tcMar>
            <w:hideMark/>
          </w:tcPr>
          <w:p w14:paraId="65B055E6"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260</w:t>
            </w:r>
          </w:p>
        </w:tc>
        <w:tc>
          <w:tcPr>
            <w:tcW w:w="397" w:type="pct"/>
            <w:shd w:val="clear" w:color="auto" w:fill="auto"/>
            <w:noWrap/>
            <w:tcMar>
              <w:left w:w="43" w:type="dxa"/>
              <w:right w:w="43" w:type="dxa"/>
            </w:tcMar>
            <w:hideMark/>
          </w:tcPr>
          <w:p w14:paraId="38DC3A1D"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256</w:t>
            </w:r>
          </w:p>
        </w:tc>
        <w:tc>
          <w:tcPr>
            <w:tcW w:w="393" w:type="pct"/>
            <w:shd w:val="clear" w:color="auto" w:fill="auto"/>
            <w:noWrap/>
            <w:tcMar>
              <w:left w:w="43" w:type="dxa"/>
              <w:right w:w="43" w:type="dxa"/>
            </w:tcMar>
            <w:hideMark/>
          </w:tcPr>
          <w:p w14:paraId="73AE310A"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256</w:t>
            </w:r>
          </w:p>
        </w:tc>
      </w:tr>
      <w:tr w:rsidR="00523B1A" w:rsidRPr="007D1EDC" w14:paraId="5ADD997E" w14:textId="77777777" w:rsidTr="00D03949">
        <w:trPr>
          <w:trHeight w:val="200"/>
        </w:trPr>
        <w:tc>
          <w:tcPr>
            <w:tcW w:w="1019" w:type="pct"/>
            <w:tcMar>
              <w:left w:w="43" w:type="dxa"/>
              <w:right w:w="43" w:type="dxa"/>
            </w:tcMar>
            <w:vAlign w:val="bottom"/>
          </w:tcPr>
          <w:p w14:paraId="12CC6476" w14:textId="354AF551" w:rsidR="00523B1A" w:rsidRPr="00523B1A" w:rsidRDefault="00523B1A" w:rsidP="00523B1A">
            <w:pPr>
              <w:rPr>
                <w:rFonts w:ascii="Arial Narrow" w:hAnsi="Arial Narrow" w:cs="Calibri"/>
                <w:color w:val="000000"/>
                <w:sz w:val="20"/>
                <w:szCs w:val="20"/>
                <w:lang w:val="en-GB" w:eastAsia="en-GB"/>
              </w:rPr>
            </w:pPr>
            <w:proofErr w:type="spellStart"/>
            <w:r w:rsidRPr="00523B1A">
              <w:rPr>
                <w:rFonts w:ascii="Arial Narrow" w:eastAsia="Aptos" w:hAnsi="Arial Narrow" w:cs="Calibri"/>
                <w:color w:val="000000"/>
                <w:kern w:val="2"/>
                <w:sz w:val="20"/>
                <w:szCs w:val="20"/>
                <w:lang w:val="en-GB"/>
                <w14:ligatures w14:val="standardContextual"/>
              </w:rPr>
              <w:t>Pragu</w:t>
            </w:r>
            <w:proofErr w:type="spellEnd"/>
            <w:r w:rsidRPr="00523B1A">
              <w:rPr>
                <w:rFonts w:ascii="Arial Narrow" w:eastAsia="Aptos" w:hAnsi="Arial Narrow" w:cs="Calibri"/>
                <w:color w:val="000000"/>
                <w:kern w:val="2"/>
                <w:sz w:val="20"/>
                <w:szCs w:val="20"/>
                <w:lang w:val="en-GB"/>
                <w14:ligatures w14:val="standardContextual"/>
              </w:rPr>
              <w:t xml:space="preserve"> i </w:t>
            </w:r>
            <w:proofErr w:type="spellStart"/>
            <w:r w:rsidRPr="00523B1A">
              <w:rPr>
                <w:rFonts w:ascii="Arial Narrow" w:eastAsia="Aptos" w:hAnsi="Arial Narrow" w:cs="Calibri"/>
                <w:color w:val="000000"/>
                <w:kern w:val="2"/>
                <w:sz w:val="20"/>
                <w:szCs w:val="20"/>
                <w:lang w:val="en-GB"/>
                <w14:ligatures w14:val="standardContextual"/>
              </w:rPr>
              <w:t>përballueshmërisë</w:t>
            </w:r>
            <w:proofErr w:type="spellEnd"/>
          </w:p>
        </w:tc>
        <w:tc>
          <w:tcPr>
            <w:tcW w:w="393" w:type="pct"/>
            <w:shd w:val="clear" w:color="auto" w:fill="auto"/>
            <w:noWrap/>
            <w:tcMar>
              <w:left w:w="43" w:type="dxa"/>
              <w:right w:w="43" w:type="dxa"/>
            </w:tcMar>
            <w:hideMark/>
          </w:tcPr>
          <w:p w14:paraId="4636BD3C"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666</w:t>
            </w:r>
          </w:p>
        </w:tc>
        <w:tc>
          <w:tcPr>
            <w:tcW w:w="394" w:type="pct"/>
            <w:shd w:val="clear" w:color="auto" w:fill="auto"/>
            <w:noWrap/>
            <w:tcMar>
              <w:left w:w="43" w:type="dxa"/>
              <w:right w:w="43" w:type="dxa"/>
            </w:tcMar>
            <w:hideMark/>
          </w:tcPr>
          <w:p w14:paraId="3D0693BE"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685</w:t>
            </w:r>
          </w:p>
        </w:tc>
        <w:tc>
          <w:tcPr>
            <w:tcW w:w="392" w:type="pct"/>
            <w:shd w:val="clear" w:color="auto" w:fill="auto"/>
            <w:noWrap/>
            <w:tcMar>
              <w:left w:w="43" w:type="dxa"/>
              <w:right w:w="43" w:type="dxa"/>
            </w:tcMar>
            <w:hideMark/>
          </w:tcPr>
          <w:p w14:paraId="405EBDE9"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705</w:t>
            </w:r>
          </w:p>
        </w:tc>
        <w:tc>
          <w:tcPr>
            <w:tcW w:w="394" w:type="pct"/>
            <w:shd w:val="clear" w:color="auto" w:fill="auto"/>
            <w:noWrap/>
            <w:tcMar>
              <w:left w:w="43" w:type="dxa"/>
              <w:right w:w="43" w:type="dxa"/>
            </w:tcMar>
            <w:hideMark/>
          </w:tcPr>
          <w:p w14:paraId="0DA85DFA"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726</w:t>
            </w:r>
          </w:p>
        </w:tc>
        <w:tc>
          <w:tcPr>
            <w:tcW w:w="404" w:type="pct"/>
            <w:shd w:val="clear" w:color="auto" w:fill="auto"/>
            <w:noWrap/>
            <w:tcMar>
              <w:left w:w="43" w:type="dxa"/>
              <w:right w:w="43" w:type="dxa"/>
            </w:tcMar>
            <w:hideMark/>
          </w:tcPr>
          <w:p w14:paraId="0F29FA7E"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747</w:t>
            </w:r>
          </w:p>
        </w:tc>
        <w:tc>
          <w:tcPr>
            <w:tcW w:w="420" w:type="pct"/>
            <w:shd w:val="clear" w:color="auto" w:fill="auto"/>
            <w:noWrap/>
            <w:tcMar>
              <w:left w:w="43" w:type="dxa"/>
              <w:right w:w="43" w:type="dxa"/>
            </w:tcMar>
            <w:hideMark/>
          </w:tcPr>
          <w:p w14:paraId="587B6FDD"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769</w:t>
            </w:r>
          </w:p>
        </w:tc>
        <w:tc>
          <w:tcPr>
            <w:tcW w:w="397" w:type="pct"/>
            <w:shd w:val="clear" w:color="auto" w:fill="auto"/>
            <w:noWrap/>
            <w:tcMar>
              <w:left w:w="43" w:type="dxa"/>
              <w:right w:w="43" w:type="dxa"/>
            </w:tcMar>
            <w:hideMark/>
          </w:tcPr>
          <w:p w14:paraId="127F650D"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792</w:t>
            </w:r>
          </w:p>
        </w:tc>
        <w:tc>
          <w:tcPr>
            <w:tcW w:w="397" w:type="pct"/>
            <w:shd w:val="clear" w:color="auto" w:fill="auto"/>
            <w:noWrap/>
            <w:tcMar>
              <w:left w:w="43" w:type="dxa"/>
              <w:right w:w="43" w:type="dxa"/>
            </w:tcMar>
            <w:hideMark/>
          </w:tcPr>
          <w:p w14:paraId="3C546F8D"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815</w:t>
            </w:r>
          </w:p>
        </w:tc>
        <w:tc>
          <w:tcPr>
            <w:tcW w:w="397" w:type="pct"/>
            <w:shd w:val="clear" w:color="auto" w:fill="auto"/>
            <w:noWrap/>
            <w:tcMar>
              <w:left w:w="43" w:type="dxa"/>
              <w:right w:w="43" w:type="dxa"/>
            </w:tcMar>
            <w:hideMark/>
          </w:tcPr>
          <w:p w14:paraId="0E48472C"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839</w:t>
            </w:r>
          </w:p>
        </w:tc>
        <w:tc>
          <w:tcPr>
            <w:tcW w:w="393" w:type="pct"/>
            <w:shd w:val="clear" w:color="auto" w:fill="auto"/>
            <w:noWrap/>
            <w:tcMar>
              <w:left w:w="43" w:type="dxa"/>
              <w:right w:w="43" w:type="dxa"/>
            </w:tcMar>
            <w:hideMark/>
          </w:tcPr>
          <w:p w14:paraId="05DF1963" w14:textId="77777777" w:rsidR="00523B1A" w:rsidRPr="007D1EDC" w:rsidRDefault="00523B1A" w:rsidP="00523B1A">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864</w:t>
            </w:r>
          </w:p>
        </w:tc>
      </w:tr>
    </w:tbl>
    <w:p w14:paraId="02566F43" w14:textId="77777777" w:rsidR="007D1EDC" w:rsidRPr="007D1EDC" w:rsidRDefault="007D1EDC" w:rsidP="007D1EDC">
      <w:pPr>
        <w:rPr>
          <w:rFonts w:ascii="Arial Narrow" w:eastAsia="Aptos" w:hAnsi="Arial Narrow"/>
          <w:kern w:val="2"/>
          <w:sz w:val="22"/>
          <w:szCs w:val="22"/>
          <w:lang w:val="en-GB"/>
          <w14:ligatures w14:val="standardContextual"/>
        </w:rPr>
      </w:pPr>
    </w:p>
    <w:p w14:paraId="48F713D0" w14:textId="65FFC967" w:rsidR="007D1EDC" w:rsidRPr="007D1EDC" w:rsidRDefault="00523B1A" w:rsidP="007D1EDC">
      <w:pPr>
        <w:jc w:val="center"/>
        <w:rPr>
          <w:rFonts w:ascii="Arial Narrow" w:eastAsia="Aptos" w:hAnsi="Arial Narrow"/>
          <w:kern w:val="2"/>
          <w:sz w:val="22"/>
          <w:szCs w:val="22"/>
          <w:lang w:val="en-GB"/>
          <w14:ligatures w14:val="standardContextual"/>
        </w:rPr>
      </w:pPr>
      <w:r>
        <w:rPr>
          <w:noProof/>
        </w:rPr>
        <w:lastRenderedPageBreak/>
        <w:drawing>
          <wp:inline distT="0" distB="0" distL="0" distR="0" wp14:anchorId="20DE517B" wp14:editId="7FA8367E">
            <wp:extent cx="4131733" cy="2286000"/>
            <wp:effectExtent l="0" t="0" r="2540" b="0"/>
            <wp:docPr id="208187689" name="Chart 1">
              <a:extLst xmlns:a="http://schemas.openxmlformats.org/drawingml/2006/main">
                <a:ext uri="{FF2B5EF4-FFF2-40B4-BE49-F238E27FC236}">
                  <a16:creationId xmlns:a16="http://schemas.microsoft.com/office/drawing/2014/main" id="{18350D34-2751-4C6E-B5AE-A73FCFDE7D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49BFEE6D" w14:textId="56DE821E" w:rsidR="007D1EDC" w:rsidRPr="007D1EDC" w:rsidRDefault="007D1EDC" w:rsidP="00EF0E69">
      <w:pPr>
        <w:pStyle w:val="Figure"/>
        <w:rPr>
          <w:rFonts w:eastAsia="Calibri" w:cs="Calibri"/>
          <w:sz w:val="20"/>
          <w:szCs w:val="20"/>
        </w:rPr>
      </w:pPr>
      <w:bookmarkStart w:id="699" w:name="_Toc193365363"/>
      <w:bookmarkStart w:id="700" w:name="_Toc197472347"/>
      <w:r w:rsidRPr="007D1EDC">
        <w:rPr>
          <w:rFonts w:eastAsia="Calibri" w:cs="Calibri"/>
          <w:sz w:val="20"/>
          <w:szCs w:val="20"/>
        </w:rPr>
        <w:t xml:space="preserve">Figura </w:t>
      </w:r>
      <w:r w:rsidRPr="007D1EDC">
        <w:rPr>
          <w:rFonts w:eastAsia="Calibri" w:cs="Calibri"/>
          <w:sz w:val="20"/>
          <w:szCs w:val="20"/>
        </w:rPr>
        <w:fldChar w:fldCharType="begin"/>
      </w:r>
      <w:r w:rsidRPr="007D1EDC">
        <w:rPr>
          <w:rFonts w:eastAsia="Calibri" w:cs="Calibri"/>
          <w:sz w:val="20"/>
          <w:szCs w:val="20"/>
        </w:rPr>
        <w:instrText xml:space="preserve"> SEQ Figure \* ARABIC </w:instrText>
      </w:r>
      <w:r w:rsidRPr="007D1EDC">
        <w:rPr>
          <w:rFonts w:eastAsia="Calibri" w:cs="Calibri"/>
          <w:sz w:val="20"/>
          <w:szCs w:val="20"/>
        </w:rPr>
        <w:fldChar w:fldCharType="separate"/>
      </w:r>
      <w:r w:rsidR="00C97DF3">
        <w:rPr>
          <w:rFonts w:eastAsia="Calibri" w:cs="Calibri"/>
          <w:noProof/>
          <w:sz w:val="20"/>
          <w:szCs w:val="20"/>
        </w:rPr>
        <w:t xml:space="preserve">46. </w:t>
      </w:r>
      <w:r w:rsidRPr="007D1EDC">
        <w:rPr>
          <w:rFonts w:eastAsia="Calibri" w:cs="Calibri"/>
          <w:sz w:val="20"/>
          <w:szCs w:val="20"/>
        </w:rPr>
        <w:fldChar w:fldCharType="end"/>
      </w:r>
      <w:bookmarkEnd w:id="699"/>
      <w:r w:rsidR="00E4478C" w:rsidRPr="00E4478C">
        <w:rPr>
          <w:rFonts w:eastAsia="Calibri" w:cs="Calibri"/>
          <w:sz w:val="20"/>
          <w:szCs w:val="20"/>
        </w:rPr>
        <w:t xml:space="preserve"> </w:t>
      </w:r>
      <w:r w:rsidR="00E4478C" w:rsidRPr="007D1EDC">
        <w:rPr>
          <w:rFonts w:eastAsia="Calibri" w:cs="Calibri"/>
          <w:sz w:val="20"/>
          <w:szCs w:val="20"/>
        </w:rPr>
        <w:t xml:space="preserve">Të </w:t>
      </w:r>
      <w:r w:rsidR="00E4478C">
        <w:rPr>
          <w:rFonts w:eastAsia="Calibri" w:cs="Calibri"/>
          <w:sz w:val="20"/>
          <w:szCs w:val="20"/>
        </w:rPr>
        <w:t xml:space="preserve">hyrat </w:t>
      </w:r>
      <w:r w:rsidR="00E4478C" w:rsidRPr="007D1EDC">
        <w:rPr>
          <w:rFonts w:eastAsia="Calibri" w:cs="Calibri"/>
          <w:sz w:val="20"/>
          <w:szCs w:val="20"/>
        </w:rPr>
        <w:t xml:space="preserve">e </w:t>
      </w:r>
      <w:r w:rsidR="00E4478C">
        <w:rPr>
          <w:rFonts w:eastAsia="Calibri" w:cs="Calibri"/>
          <w:sz w:val="20"/>
          <w:szCs w:val="20"/>
        </w:rPr>
        <w:t xml:space="preserve">Deçanit të </w:t>
      </w:r>
      <w:r w:rsidR="00E4478C" w:rsidRPr="007D1EDC">
        <w:rPr>
          <w:rFonts w:eastAsia="Calibri" w:cs="Calibri"/>
          <w:sz w:val="20"/>
          <w:szCs w:val="20"/>
        </w:rPr>
        <w:t xml:space="preserve">parashikuara nga tarifat </w:t>
      </w:r>
      <w:r w:rsidR="00E4478C">
        <w:rPr>
          <w:rFonts w:eastAsia="Calibri" w:cs="Calibri"/>
          <w:sz w:val="20"/>
          <w:szCs w:val="20"/>
        </w:rPr>
        <w:t>e amvisërisë</w:t>
      </w:r>
      <w:r w:rsidR="00E4478C" w:rsidRPr="007D1EDC">
        <w:rPr>
          <w:rFonts w:eastAsia="Calibri" w:cs="Calibri"/>
          <w:sz w:val="20"/>
          <w:szCs w:val="20"/>
        </w:rPr>
        <w:t xml:space="preserve"> në lidhje me përballueshmërinë</w:t>
      </w:r>
      <w:bookmarkEnd w:id="700"/>
    </w:p>
    <w:p w14:paraId="632AB099" w14:textId="77777777" w:rsidR="007D1EDC" w:rsidRPr="007D1EDC" w:rsidRDefault="007D1EDC" w:rsidP="007D1EDC">
      <w:pPr>
        <w:jc w:val="center"/>
        <w:rPr>
          <w:rFonts w:ascii="Arial Narrow" w:eastAsia="Aptos" w:hAnsi="Arial Narrow"/>
          <w:kern w:val="2"/>
          <w:sz w:val="22"/>
          <w:szCs w:val="22"/>
          <w:lang w:val="en-GB"/>
          <w14:ligatures w14:val="standardContextual"/>
        </w:rPr>
      </w:pPr>
    </w:p>
    <w:p w14:paraId="77C5D816" w14:textId="77777777" w:rsidR="007D1EDC" w:rsidRPr="007D1EDC" w:rsidRDefault="007D1EDC" w:rsidP="007D1EDC">
      <w:pPr>
        <w:rPr>
          <w:rFonts w:ascii="Arial Narrow" w:eastAsia="Aptos" w:hAnsi="Arial Narrow"/>
          <w:b/>
          <w:bCs/>
          <w:kern w:val="2"/>
          <w:sz w:val="22"/>
          <w:szCs w:val="22"/>
          <w:lang w:val="en-GB"/>
          <w14:ligatures w14:val="standardContextual"/>
        </w:rPr>
      </w:pPr>
      <w:proofErr w:type="spellStart"/>
      <w:r w:rsidRPr="007D1EDC">
        <w:rPr>
          <w:rFonts w:ascii="Arial Narrow" w:eastAsia="Aptos" w:hAnsi="Arial Narrow"/>
          <w:b/>
          <w:bCs/>
          <w:kern w:val="2"/>
          <w:sz w:val="22"/>
          <w:szCs w:val="22"/>
          <w:lang w:val="en-GB"/>
          <w14:ligatures w14:val="standardContextual"/>
        </w:rPr>
        <w:t>Komuna</w:t>
      </w:r>
      <w:proofErr w:type="spellEnd"/>
      <w:r w:rsidRPr="007D1EDC">
        <w:rPr>
          <w:rFonts w:ascii="Arial Narrow" w:eastAsia="Aptos" w:hAnsi="Arial Narrow"/>
          <w:b/>
          <w:bCs/>
          <w:kern w:val="2"/>
          <w:sz w:val="22"/>
          <w:szCs w:val="22"/>
          <w:lang w:val="en-GB"/>
          <w14:ligatures w14:val="standardContextual"/>
        </w:rPr>
        <w:t xml:space="preserve"> e </w:t>
      </w:r>
      <w:proofErr w:type="spellStart"/>
      <w:r w:rsidRPr="007D1EDC">
        <w:rPr>
          <w:rFonts w:ascii="Arial Narrow" w:eastAsia="Aptos" w:hAnsi="Arial Narrow"/>
          <w:b/>
          <w:bCs/>
          <w:kern w:val="2"/>
          <w:sz w:val="22"/>
          <w:szCs w:val="22"/>
          <w:lang w:val="en-GB"/>
          <w14:ligatures w14:val="standardContextual"/>
        </w:rPr>
        <w:t>Junikut</w:t>
      </w:r>
      <w:proofErr w:type="spellEnd"/>
    </w:p>
    <w:p w14:paraId="7BFFC384" w14:textId="77777777" w:rsidR="007D1EDC" w:rsidRPr="007D1EDC" w:rsidRDefault="007D1EDC" w:rsidP="007D1EDC">
      <w:pPr>
        <w:rPr>
          <w:rFonts w:ascii="Arial Narrow" w:eastAsia="Aptos" w:hAnsi="Arial Narrow"/>
          <w:b/>
          <w:bCs/>
          <w:kern w:val="2"/>
          <w:sz w:val="22"/>
          <w:szCs w:val="22"/>
          <w:lang w:val="en-GB"/>
          <w14:ligatures w14:val="standardContextual"/>
        </w:rPr>
      </w:pPr>
    </w:p>
    <w:p w14:paraId="1DFCA527" w14:textId="1FC2882E" w:rsidR="007D1EDC" w:rsidRPr="007D1EDC" w:rsidRDefault="007D1EDC" w:rsidP="007D1EDC">
      <w:pPr>
        <w:suppressAutoHyphens/>
        <w:rPr>
          <w:rFonts w:ascii="Arial Narrow" w:eastAsia="Calibri" w:hAnsi="Arial Narrow" w:cs="Calibri"/>
          <w:color w:val="1F497D"/>
          <w:sz w:val="20"/>
          <w:szCs w:val="20"/>
        </w:rPr>
      </w:pPr>
      <w:bookmarkStart w:id="701" w:name="_Toc190966801"/>
      <w:bookmarkStart w:id="702" w:name="_Toc197472298"/>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113.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 xml:space="preserve">Llogaritja e tarifës, komuna e </w:t>
      </w:r>
      <w:r w:rsidR="002863F1">
        <w:rPr>
          <w:rFonts w:ascii="Arial Narrow" w:eastAsia="Calibri" w:hAnsi="Arial Narrow" w:cs="Calibri"/>
          <w:color w:val="1F497D"/>
          <w:sz w:val="20"/>
          <w:szCs w:val="20"/>
        </w:rPr>
        <w:t>Junikut</w:t>
      </w:r>
      <w:r w:rsidRPr="007D1EDC">
        <w:rPr>
          <w:rFonts w:ascii="Arial Narrow" w:eastAsia="Calibri" w:hAnsi="Arial Narrow" w:cs="Calibri"/>
          <w:color w:val="1F497D"/>
          <w:sz w:val="20"/>
          <w:szCs w:val="20"/>
        </w:rPr>
        <w:t>, mijë euro</w:t>
      </w:r>
      <w:bookmarkEnd w:id="701"/>
      <w:bookmarkEnd w:id="7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09"/>
        <w:gridCol w:w="710"/>
        <w:gridCol w:w="707"/>
        <w:gridCol w:w="710"/>
        <w:gridCol w:w="728"/>
        <w:gridCol w:w="757"/>
        <w:gridCol w:w="716"/>
        <w:gridCol w:w="716"/>
        <w:gridCol w:w="716"/>
        <w:gridCol w:w="709"/>
      </w:tblGrid>
      <w:tr w:rsidR="007D1EDC" w:rsidRPr="007D1EDC" w14:paraId="3058A14E" w14:textId="77777777" w:rsidTr="00D03949">
        <w:trPr>
          <w:trHeight w:val="220"/>
        </w:trPr>
        <w:tc>
          <w:tcPr>
            <w:tcW w:w="1019" w:type="pct"/>
            <w:shd w:val="clear" w:color="auto" w:fill="365F91"/>
            <w:tcMar>
              <w:left w:w="43" w:type="dxa"/>
              <w:right w:w="43" w:type="dxa"/>
            </w:tcMar>
          </w:tcPr>
          <w:p w14:paraId="005888F0"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p>
        </w:tc>
        <w:tc>
          <w:tcPr>
            <w:tcW w:w="393" w:type="pct"/>
            <w:shd w:val="clear" w:color="auto" w:fill="365F91"/>
            <w:noWrap/>
            <w:tcMar>
              <w:left w:w="43" w:type="dxa"/>
              <w:right w:w="43" w:type="dxa"/>
            </w:tcMar>
            <w:vAlign w:val="center"/>
            <w:hideMark/>
          </w:tcPr>
          <w:p w14:paraId="5F8A0267"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2026</w:t>
            </w:r>
          </w:p>
        </w:tc>
        <w:tc>
          <w:tcPr>
            <w:tcW w:w="394" w:type="pct"/>
            <w:shd w:val="clear" w:color="auto" w:fill="365F91"/>
            <w:noWrap/>
            <w:tcMar>
              <w:left w:w="43" w:type="dxa"/>
              <w:right w:w="43" w:type="dxa"/>
            </w:tcMar>
            <w:vAlign w:val="center"/>
            <w:hideMark/>
          </w:tcPr>
          <w:p w14:paraId="4C8B117F"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2027</w:t>
            </w:r>
          </w:p>
        </w:tc>
        <w:tc>
          <w:tcPr>
            <w:tcW w:w="392" w:type="pct"/>
            <w:shd w:val="clear" w:color="auto" w:fill="365F91"/>
            <w:noWrap/>
            <w:tcMar>
              <w:left w:w="43" w:type="dxa"/>
              <w:right w:w="43" w:type="dxa"/>
            </w:tcMar>
            <w:vAlign w:val="center"/>
            <w:hideMark/>
          </w:tcPr>
          <w:p w14:paraId="0E2B0277"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2028</w:t>
            </w:r>
          </w:p>
        </w:tc>
        <w:tc>
          <w:tcPr>
            <w:tcW w:w="394" w:type="pct"/>
            <w:shd w:val="clear" w:color="auto" w:fill="365F91"/>
            <w:noWrap/>
            <w:tcMar>
              <w:left w:w="43" w:type="dxa"/>
              <w:right w:w="43" w:type="dxa"/>
            </w:tcMar>
            <w:vAlign w:val="center"/>
            <w:hideMark/>
          </w:tcPr>
          <w:p w14:paraId="230A5417"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2029</w:t>
            </w:r>
          </w:p>
        </w:tc>
        <w:tc>
          <w:tcPr>
            <w:tcW w:w="404" w:type="pct"/>
            <w:shd w:val="clear" w:color="auto" w:fill="365F91"/>
            <w:noWrap/>
            <w:tcMar>
              <w:left w:w="43" w:type="dxa"/>
              <w:right w:w="43" w:type="dxa"/>
            </w:tcMar>
            <w:vAlign w:val="center"/>
            <w:hideMark/>
          </w:tcPr>
          <w:p w14:paraId="5E48CD6C"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2030</w:t>
            </w:r>
          </w:p>
        </w:tc>
        <w:tc>
          <w:tcPr>
            <w:tcW w:w="420" w:type="pct"/>
            <w:shd w:val="clear" w:color="auto" w:fill="365F91"/>
            <w:noWrap/>
            <w:tcMar>
              <w:left w:w="43" w:type="dxa"/>
              <w:right w:w="43" w:type="dxa"/>
            </w:tcMar>
            <w:vAlign w:val="center"/>
            <w:hideMark/>
          </w:tcPr>
          <w:p w14:paraId="29FD849F"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2031</w:t>
            </w:r>
          </w:p>
        </w:tc>
        <w:tc>
          <w:tcPr>
            <w:tcW w:w="397" w:type="pct"/>
            <w:shd w:val="clear" w:color="auto" w:fill="365F91"/>
            <w:noWrap/>
            <w:tcMar>
              <w:left w:w="43" w:type="dxa"/>
              <w:right w:w="43" w:type="dxa"/>
            </w:tcMar>
            <w:vAlign w:val="center"/>
            <w:hideMark/>
          </w:tcPr>
          <w:p w14:paraId="7DD5A02C"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2032</w:t>
            </w:r>
          </w:p>
        </w:tc>
        <w:tc>
          <w:tcPr>
            <w:tcW w:w="397" w:type="pct"/>
            <w:shd w:val="clear" w:color="auto" w:fill="365F91"/>
            <w:noWrap/>
            <w:tcMar>
              <w:left w:w="43" w:type="dxa"/>
              <w:right w:w="43" w:type="dxa"/>
            </w:tcMar>
            <w:vAlign w:val="center"/>
            <w:hideMark/>
          </w:tcPr>
          <w:p w14:paraId="076EC514"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2033</w:t>
            </w:r>
          </w:p>
        </w:tc>
        <w:tc>
          <w:tcPr>
            <w:tcW w:w="397" w:type="pct"/>
            <w:shd w:val="clear" w:color="auto" w:fill="365F91"/>
            <w:noWrap/>
            <w:tcMar>
              <w:left w:w="43" w:type="dxa"/>
              <w:right w:w="43" w:type="dxa"/>
            </w:tcMar>
            <w:vAlign w:val="center"/>
            <w:hideMark/>
          </w:tcPr>
          <w:p w14:paraId="3F8B44F1"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2034</w:t>
            </w:r>
          </w:p>
        </w:tc>
        <w:tc>
          <w:tcPr>
            <w:tcW w:w="393" w:type="pct"/>
            <w:shd w:val="clear" w:color="auto" w:fill="365F91"/>
            <w:noWrap/>
            <w:tcMar>
              <w:left w:w="43" w:type="dxa"/>
              <w:right w:w="43" w:type="dxa"/>
            </w:tcMar>
            <w:vAlign w:val="center"/>
            <w:hideMark/>
          </w:tcPr>
          <w:p w14:paraId="5CE09FA0" w14:textId="77777777" w:rsidR="007D1EDC" w:rsidRPr="007D1EDC" w:rsidRDefault="007D1EDC" w:rsidP="007D1EDC">
            <w:pPr>
              <w:jc w:val="right"/>
              <w:rPr>
                <w:rFonts w:ascii="Arial Narrow" w:hAnsi="Arial Narrow" w:cs="Calibri"/>
                <w:b/>
                <w:bCs/>
                <w:color w:val="FFFFFF" w:themeColor="background1"/>
                <w:sz w:val="20"/>
                <w:szCs w:val="20"/>
                <w:lang w:val="en-GB" w:eastAsia="en-GB"/>
              </w:rPr>
            </w:pPr>
            <w:r w:rsidRPr="007D1EDC">
              <w:rPr>
                <w:rFonts w:ascii="Arial Narrow" w:hAnsi="Arial Narrow" w:cs="Calibri"/>
                <w:b/>
                <w:bCs/>
                <w:color w:val="FFFFFF" w:themeColor="background1"/>
                <w:sz w:val="20"/>
                <w:szCs w:val="20"/>
                <w:lang w:val="en-GB" w:eastAsia="en-GB"/>
              </w:rPr>
              <w:t>2035</w:t>
            </w:r>
          </w:p>
        </w:tc>
      </w:tr>
      <w:tr w:rsidR="002863F1" w:rsidRPr="007D1EDC" w14:paraId="5C4B5FBE" w14:textId="77777777" w:rsidTr="00D03949">
        <w:trPr>
          <w:trHeight w:val="210"/>
        </w:trPr>
        <w:tc>
          <w:tcPr>
            <w:tcW w:w="1019" w:type="pct"/>
            <w:tcMar>
              <w:left w:w="43" w:type="dxa"/>
              <w:right w:w="43" w:type="dxa"/>
            </w:tcMar>
            <w:vAlign w:val="bottom"/>
          </w:tcPr>
          <w:p w14:paraId="5331018E" w14:textId="1DEFFAC6" w:rsidR="002863F1" w:rsidRPr="003069B8" w:rsidRDefault="002863F1" w:rsidP="002863F1">
            <w:pPr>
              <w:rPr>
                <w:rFonts w:ascii="Arial Narrow" w:hAnsi="Arial Narrow" w:cs="Calibri"/>
                <w:color w:val="FF0000"/>
                <w:sz w:val="20"/>
                <w:szCs w:val="20"/>
                <w:lang w:val="es-ES" w:eastAsia="en-GB"/>
              </w:rPr>
            </w:pPr>
            <w:proofErr w:type="spellStart"/>
            <w:r w:rsidRPr="003069B8">
              <w:rPr>
                <w:rFonts w:ascii="Arial Narrow" w:eastAsia="Aptos" w:hAnsi="Arial Narrow" w:cs="Calibri"/>
                <w:color w:val="000000"/>
                <w:kern w:val="2"/>
                <w:sz w:val="20"/>
                <w:szCs w:val="20"/>
                <w:lang w:val="es-ES"/>
                <w14:ligatures w14:val="standardContextual"/>
              </w:rPr>
              <w:t>Mbeturinat</w:t>
            </w:r>
            <w:proofErr w:type="spellEnd"/>
            <w:r w:rsidRPr="003069B8">
              <w:rPr>
                <w:rFonts w:ascii="Arial Narrow" w:eastAsia="Aptos" w:hAnsi="Arial Narrow" w:cs="Calibri"/>
                <w:color w:val="000000"/>
                <w:kern w:val="2"/>
                <w:sz w:val="20"/>
                <w:szCs w:val="20"/>
                <w:lang w:val="es-ES"/>
                <w14:ligatures w14:val="standardContextual"/>
              </w:rPr>
              <w:t xml:space="preserve"> e </w:t>
            </w:r>
            <w:proofErr w:type="spellStart"/>
            <w:r w:rsidRPr="003069B8">
              <w:rPr>
                <w:rFonts w:ascii="Arial Narrow" w:eastAsia="Aptos" w:hAnsi="Arial Narrow" w:cs="Calibri"/>
                <w:color w:val="000000"/>
                <w:kern w:val="2"/>
                <w:sz w:val="20"/>
                <w:szCs w:val="20"/>
                <w:lang w:val="es-ES"/>
                <w14:ligatures w14:val="standardContextual"/>
              </w:rPr>
              <w:t>përziera</w:t>
            </w:r>
            <w:proofErr w:type="spellEnd"/>
            <w:r w:rsidRPr="003069B8">
              <w:rPr>
                <w:rFonts w:ascii="Arial Narrow" w:eastAsia="Aptos" w:hAnsi="Arial Narrow" w:cs="Calibri"/>
                <w:color w:val="000000"/>
                <w:kern w:val="2"/>
                <w:sz w:val="20"/>
                <w:szCs w:val="20"/>
                <w:lang w:val="es-ES"/>
                <w14:ligatures w14:val="standardContextual"/>
              </w:rPr>
              <w:t xml:space="preserve"> </w:t>
            </w:r>
            <w:proofErr w:type="spellStart"/>
            <w:r w:rsidRPr="003069B8">
              <w:rPr>
                <w:rFonts w:ascii="Arial Narrow" w:eastAsia="Aptos" w:hAnsi="Arial Narrow" w:cs="Calibri"/>
                <w:color w:val="000000"/>
                <w:kern w:val="2"/>
                <w:sz w:val="20"/>
                <w:szCs w:val="20"/>
                <w:lang w:val="es-ES"/>
                <w14:ligatures w14:val="standardContextual"/>
              </w:rPr>
              <w:t>të</w:t>
            </w:r>
            <w:proofErr w:type="spellEnd"/>
            <w:r w:rsidRPr="003069B8">
              <w:rPr>
                <w:rFonts w:ascii="Arial Narrow" w:eastAsia="Aptos" w:hAnsi="Arial Narrow" w:cs="Calibri"/>
                <w:color w:val="000000"/>
                <w:kern w:val="2"/>
                <w:sz w:val="20"/>
                <w:szCs w:val="20"/>
                <w:lang w:val="es-ES"/>
                <w14:ligatures w14:val="standardContextual"/>
              </w:rPr>
              <w:t xml:space="preserve"> </w:t>
            </w:r>
            <w:proofErr w:type="spellStart"/>
            <w:r w:rsidRPr="003069B8">
              <w:rPr>
                <w:rFonts w:ascii="Arial Narrow" w:eastAsia="Aptos" w:hAnsi="Arial Narrow" w:cs="Calibri"/>
                <w:color w:val="000000"/>
                <w:kern w:val="2"/>
                <w:sz w:val="20"/>
                <w:szCs w:val="20"/>
                <w:lang w:val="es-ES"/>
                <w14:ligatures w14:val="standardContextual"/>
              </w:rPr>
              <w:t>grumbulluara</w:t>
            </w:r>
            <w:proofErr w:type="spellEnd"/>
          </w:p>
        </w:tc>
        <w:tc>
          <w:tcPr>
            <w:tcW w:w="393" w:type="pct"/>
            <w:shd w:val="clear" w:color="auto" w:fill="auto"/>
            <w:noWrap/>
            <w:tcMar>
              <w:left w:w="43" w:type="dxa"/>
              <w:right w:w="43" w:type="dxa"/>
            </w:tcMar>
            <w:hideMark/>
          </w:tcPr>
          <w:p w14:paraId="1A1584B9" w14:textId="0C7C1072"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7,230 t</w:t>
            </w:r>
          </w:p>
        </w:tc>
        <w:tc>
          <w:tcPr>
            <w:tcW w:w="394" w:type="pct"/>
            <w:shd w:val="clear" w:color="auto" w:fill="auto"/>
            <w:noWrap/>
            <w:tcMar>
              <w:left w:w="43" w:type="dxa"/>
              <w:right w:w="43" w:type="dxa"/>
            </w:tcMar>
            <w:hideMark/>
          </w:tcPr>
          <w:p w14:paraId="46916268"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6,013 t</w:t>
            </w:r>
          </w:p>
        </w:tc>
        <w:tc>
          <w:tcPr>
            <w:tcW w:w="392" w:type="pct"/>
            <w:shd w:val="clear" w:color="auto" w:fill="auto"/>
            <w:noWrap/>
            <w:tcMar>
              <w:left w:w="43" w:type="dxa"/>
              <w:right w:w="43" w:type="dxa"/>
            </w:tcMar>
            <w:hideMark/>
          </w:tcPr>
          <w:p w14:paraId="52790845" w14:textId="3819BB48"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5,912 t</w:t>
            </w:r>
          </w:p>
        </w:tc>
        <w:tc>
          <w:tcPr>
            <w:tcW w:w="394" w:type="pct"/>
            <w:shd w:val="clear" w:color="auto" w:fill="auto"/>
            <w:noWrap/>
            <w:tcMar>
              <w:left w:w="43" w:type="dxa"/>
              <w:right w:w="43" w:type="dxa"/>
            </w:tcMar>
            <w:hideMark/>
          </w:tcPr>
          <w:p w14:paraId="083F2CC4" w14:textId="057A6F99"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5,792 t</w:t>
            </w:r>
          </w:p>
        </w:tc>
        <w:tc>
          <w:tcPr>
            <w:tcW w:w="404" w:type="pct"/>
            <w:shd w:val="clear" w:color="auto" w:fill="auto"/>
            <w:noWrap/>
            <w:tcMar>
              <w:left w:w="43" w:type="dxa"/>
              <w:right w:w="43" w:type="dxa"/>
            </w:tcMar>
            <w:hideMark/>
          </w:tcPr>
          <w:p w14:paraId="7AA50BAE" w14:textId="4170E6D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5,595 t</w:t>
            </w:r>
          </w:p>
        </w:tc>
        <w:tc>
          <w:tcPr>
            <w:tcW w:w="420" w:type="pct"/>
            <w:shd w:val="clear" w:color="auto" w:fill="auto"/>
            <w:noWrap/>
            <w:tcMar>
              <w:left w:w="43" w:type="dxa"/>
              <w:right w:w="43" w:type="dxa"/>
            </w:tcMar>
            <w:hideMark/>
          </w:tcPr>
          <w:p w14:paraId="28BE000F" w14:textId="7ED6CC1C"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5,426 t</w:t>
            </w:r>
          </w:p>
        </w:tc>
        <w:tc>
          <w:tcPr>
            <w:tcW w:w="397" w:type="pct"/>
            <w:shd w:val="clear" w:color="auto" w:fill="auto"/>
            <w:noWrap/>
            <w:tcMar>
              <w:left w:w="43" w:type="dxa"/>
              <w:right w:w="43" w:type="dxa"/>
            </w:tcMar>
            <w:hideMark/>
          </w:tcPr>
          <w:p w14:paraId="1C14FE04" w14:textId="5E3C1CDB"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4,416 t</w:t>
            </w:r>
          </w:p>
        </w:tc>
        <w:tc>
          <w:tcPr>
            <w:tcW w:w="397" w:type="pct"/>
            <w:shd w:val="clear" w:color="auto" w:fill="auto"/>
            <w:noWrap/>
            <w:tcMar>
              <w:left w:w="43" w:type="dxa"/>
              <w:right w:w="43" w:type="dxa"/>
            </w:tcMar>
            <w:hideMark/>
          </w:tcPr>
          <w:p w14:paraId="6C61ACA0" w14:textId="08E11CF5"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4,243 t</w:t>
            </w:r>
          </w:p>
        </w:tc>
        <w:tc>
          <w:tcPr>
            <w:tcW w:w="397" w:type="pct"/>
            <w:shd w:val="clear" w:color="auto" w:fill="auto"/>
            <w:noWrap/>
            <w:tcMar>
              <w:left w:w="43" w:type="dxa"/>
              <w:right w:w="43" w:type="dxa"/>
            </w:tcMar>
            <w:hideMark/>
          </w:tcPr>
          <w:p w14:paraId="7A2879C5" w14:textId="5F3FA99B"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4,068 t</w:t>
            </w:r>
          </w:p>
        </w:tc>
        <w:tc>
          <w:tcPr>
            <w:tcW w:w="393" w:type="pct"/>
            <w:shd w:val="clear" w:color="auto" w:fill="auto"/>
            <w:noWrap/>
            <w:tcMar>
              <w:left w:w="43" w:type="dxa"/>
              <w:right w:w="43" w:type="dxa"/>
            </w:tcMar>
            <w:hideMark/>
          </w:tcPr>
          <w:p w14:paraId="7DD4804F" w14:textId="33D2025D"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3,926 t</w:t>
            </w:r>
          </w:p>
        </w:tc>
      </w:tr>
      <w:tr w:rsidR="002863F1" w:rsidRPr="007D1EDC" w14:paraId="7C240975" w14:textId="77777777" w:rsidTr="00D03949">
        <w:trPr>
          <w:trHeight w:val="210"/>
        </w:trPr>
        <w:tc>
          <w:tcPr>
            <w:tcW w:w="1019" w:type="pct"/>
            <w:tcMar>
              <w:left w:w="43" w:type="dxa"/>
              <w:right w:w="43" w:type="dxa"/>
            </w:tcMar>
            <w:vAlign w:val="bottom"/>
          </w:tcPr>
          <w:p w14:paraId="52A4DE67" w14:textId="7B1EA055" w:rsidR="002863F1" w:rsidRPr="002863F1" w:rsidRDefault="002863F1" w:rsidP="002863F1">
            <w:pPr>
              <w:rPr>
                <w:rFonts w:ascii="Arial Narrow" w:hAnsi="Arial Narrow" w:cs="Calibri"/>
                <w:color w:val="000000"/>
                <w:sz w:val="20"/>
                <w:szCs w:val="20"/>
                <w:lang w:val="en-GB" w:eastAsia="en-GB"/>
              </w:rPr>
            </w:pPr>
            <w:proofErr w:type="spellStart"/>
            <w:r w:rsidRPr="002863F1">
              <w:rPr>
                <w:rFonts w:ascii="Arial Narrow" w:eastAsia="Aptos" w:hAnsi="Arial Narrow" w:cs="Calibri"/>
                <w:color w:val="000000"/>
                <w:kern w:val="2"/>
                <w:sz w:val="20"/>
                <w:szCs w:val="20"/>
                <w:lang w:val="en-GB"/>
                <w14:ligatures w14:val="standardContextual"/>
              </w:rPr>
              <w:t>Grumbullimi</w:t>
            </w:r>
            <w:proofErr w:type="spellEnd"/>
            <w:r w:rsidRPr="002863F1">
              <w:rPr>
                <w:rFonts w:ascii="Arial Narrow" w:eastAsia="Aptos" w:hAnsi="Arial Narrow" w:cs="Calibri"/>
                <w:color w:val="000000"/>
                <w:kern w:val="2"/>
                <w:sz w:val="20"/>
                <w:szCs w:val="20"/>
                <w:lang w:val="en-GB"/>
                <w14:ligatures w14:val="standardContextual"/>
              </w:rPr>
              <w:t xml:space="preserve"> i </w:t>
            </w:r>
            <w:proofErr w:type="spellStart"/>
            <w:r w:rsidRPr="002863F1">
              <w:rPr>
                <w:rFonts w:ascii="Arial Narrow" w:eastAsia="Aptos" w:hAnsi="Arial Narrow" w:cs="Calibri"/>
                <w:color w:val="000000"/>
                <w:kern w:val="2"/>
                <w:sz w:val="20"/>
                <w:szCs w:val="20"/>
                <w:lang w:val="en-GB"/>
                <w14:ligatures w14:val="standardContextual"/>
              </w:rPr>
              <w:t>mbeturinave</w:t>
            </w:r>
            <w:proofErr w:type="spellEnd"/>
            <w:r w:rsidRPr="002863F1">
              <w:rPr>
                <w:rFonts w:ascii="Arial Narrow" w:eastAsia="Aptos" w:hAnsi="Arial Narrow" w:cs="Calibri"/>
                <w:color w:val="000000"/>
                <w:kern w:val="2"/>
                <w:sz w:val="20"/>
                <w:szCs w:val="20"/>
                <w:lang w:val="en-GB"/>
                <w14:ligatures w14:val="standardContextual"/>
              </w:rPr>
              <w:t xml:space="preserve"> </w:t>
            </w:r>
            <w:proofErr w:type="spellStart"/>
            <w:r w:rsidRPr="002863F1">
              <w:rPr>
                <w:rFonts w:ascii="Arial Narrow" w:eastAsia="Aptos" w:hAnsi="Arial Narrow" w:cs="Calibri"/>
                <w:color w:val="000000"/>
                <w:kern w:val="2"/>
                <w:sz w:val="20"/>
                <w:szCs w:val="20"/>
                <w:lang w:val="en-GB"/>
                <w14:ligatures w14:val="standardContextual"/>
              </w:rPr>
              <w:t>të</w:t>
            </w:r>
            <w:proofErr w:type="spellEnd"/>
            <w:r w:rsidRPr="002863F1">
              <w:rPr>
                <w:rFonts w:ascii="Arial Narrow" w:eastAsia="Aptos" w:hAnsi="Arial Narrow" w:cs="Calibri"/>
                <w:color w:val="000000"/>
                <w:kern w:val="2"/>
                <w:sz w:val="20"/>
                <w:szCs w:val="20"/>
                <w:lang w:val="en-GB"/>
                <w14:ligatures w14:val="standardContextual"/>
              </w:rPr>
              <w:t xml:space="preserve"> </w:t>
            </w:r>
            <w:proofErr w:type="spellStart"/>
            <w:r w:rsidRPr="002863F1">
              <w:rPr>
                <w:rFonts w:ascii="Arial Narrow" w:eastAsia="Aptos" w:hAnsi="Arial Narrow" w:cs="Calibri"/>
                <w:color w:val="000000"/>
                <w:kern w:val="2"/>
                <w:sz w:val="20"/>
                <w:szCs w:val="20"/>
                <w:lang w:val="en-GB"/>
                <w14:ligatures w14:val="standardContextual"/>
              </w:rPr>
              <w:t>përziera</w:t>
            </w:r>
            <w:proofErr w:type="spellEnd"/>
            <w:r w:rsidRPr="002863F1">
              <w:rPr>
                <w:rFonts w:ascii="Arial Narrow" w:eastAsia="Aptos" w:hAnsi="Arial Narrow" w:cs="Calibri"/>
                <w:color w:val="000000"/>
                <w:kern w:val="2"/>
                <w:sz w:val="20"/>
                <w:szCs w:val="20"/>
                <w:lang w:val="en-GB"/>
                <w14:ligatures w14:val="standardContextual"/>
              </w:rPr>
              <w:t xml:space="preserve">, </w:t>
            </w:r>
            <w:proofErr w:type="spellStart"/>
            <w:r w:rsidRPr="002863F1">
              <w:rPr>
                <w:rFonts w:ascii="Arial Narrow" w:eastAsia="Aptos" w:hAnsi="Arial Narrow" w:cs="Calibri"/>
                <w:color w:val="000000"/>
                <w:kern w:val="2"/>
                <w:sz w:val="20"/>
                <w:szCs w:val="20"/>
                <w:lang w:val="en-GB"/>
                <w14:ligatures w14:val="standardContextual"/>
              </w:rPr>
              <w:t>mijë</w:t>
            </w:r>
            <w:proofErr w:type="spellEnd"/>
            <w:r w:rsidRPr="002863F1">
              <w:rPr>
                <w:rFonts w:ascii="Arial Narrow" w:eastAsia="Aptos" w:hAnsi="Arial Narrow" w:cs="Calibri"/>
                <w:color w:val="000000"/>
                <w:kern w:val="2"/>
                <w:sz w:val="20"/>
                <w:szCs w:val="20"/>
                <w:lang w:val="en-GB"/>
                <w14:ligatures w14:val="standardContextual"/>
              </w:rPr>
              <w:t xml:space="preserve"> euro</w:t>
            </w:r>
          </w:p>
        </w:tc>
        <w:tc>
          <w:tcPr>
            <w:tcW w:w="393" w:type="pct"/>
            <w:shd w:val="clear" w:color="auto" w:fill="auto"/>
            <w:noWrap/>
            <w:tcMar>
              <w:left w:w="43" w:type="dxa"/>
              <w:right w:w="43" w:type="dxa"/>
            </w:tcMar>
            <w:hideMark/>
          </w:tcPr>
          <w:p w14:paraId="19F50237"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616</w:t>
            </w:r>
          </w:p>
        </w:tc>
        <w:tc>
          <w:tcPr>
            <w:tcW w:w="394" w:type="pct"/>
            <w:shd w:val="clear" w:color="auto" w:fill="auto"/>
            <w:noWrap/>
            <w:tcMar>
              <w:left w:w="43" w:type="dxa"/>
              <w:right w:w="43" w:type="dxa"/>
            </w:tcMar>
            <w:hideMark/>
          </w:tcPr>
          <w:p w14:paraId="6762C7ED"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477</w:t>
            </w:r>
          </w:p>
        </w:tc>
        <w:tc>
          <w:tcPr>
            <w:tcW w:w="392" w:type="pct"/>
            <w:shd w:val="clear" w:color="auto" w:fill="auto"/>
            <w:noWrap/>
            <w:tcMar>
              <w:left w:w="43" w:type="dxa"/>
              <w:right w:w="43" w:type="dxa"/>
            </w:tcMar>
            <w:hideMark/>
          </w:tcPr>
          <w:p w14:paraId="539CC808"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475</w:t>
            </w:r>
          </w:p>
        </w:tc>
        <w:tc>
          <w:tcPr>
            <w:tcW w:w="394" w:type="pct"/>
            <w:shd w:val="clear" w:color="auto" w:fill="auto"/>
            <w:noWrap/>
            <w:tcMar>
              <w:left w:w="43" w:type="dxa"/>
              <w:right w:w="43" w:type="dxa"/>
            </w:tcMar>
            <w:hideMark/>
          </w:tcPr>
          <w:p w14:paraId="40B2BB30"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475</w:t>
            </w:r>
          </w:p>
        </w:tc>
        <w:tc>
          <w:tcPr>
            <w:tcW w:w="404" w:type="pct"/>
            <w:shd w:val="clear" w:color="auto" w:fill="auto"/>
            <w:noWrap/>
            <w:tcMar>
              <w:left w:w="43" w:type="dxa"/>
              <w:right w:w="43" w:type="dxa"/>
            </w:tcMar>
            <w:hideMark/>
          </w:tcPr>
          <w:p w14:paraId="23C409F0"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474</w:t>
            </w:r>
          </w:p>
        </w:tc>
        <w:tc>
          <w:tcPr>
            <w:tcW w:w="420" w:type="pct"/>
            <w:shd w:val="clear" w:color="auto" w:fill="auto"/>
            <w:noWrap/>
            <w:tcMar>
              <w:left w:w="43" w:type="dxa"/>
              <w:right w:w="43" w:type="dxa"/>
            </w:tcMar>
            <w:hideMark/>
          </w:tcPr>
          <w:p w14:paraId="32BE0C70"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464</w:t>
            </w:r>
          </w:p>
        </w:tc>
        <w:tc>
          <w:tcPr>
            <w:tcW w:w="397" w:type="pct"/>
            <w:shd w:val="clear" w:color="auto" w:fill="auto"/>
            <w:noWrap/>
            <w:tcMar>
              <w:left w:w="43" w:type="dxa"/>
              <w:right w:w="43" w:type="dxa"/>
            </w:tcMar>
            <w:hideMark/>
          </w:tcPr>
          <w:p w14:paraId="3FEFECC5"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436</w:t>
            </w:r>
          </w:p>
        </w:tc>
        <w:tc>
          <w:tcPr>
            <w:tcW w:w="397" w:type="pct"/>
            <w:shd w:val="clear" w:color="auto" w:fill="auto"/>
            <w:noWrap/>
            <w:tcMar>
              <w:left w:w="43" w:type="dxa"/>
              <w:right w:w="43" w:type="dxa"/>
            </w:tcMar>
            <w:hideMark/>
          </w:tcPr>
          <w:p w14:paraId="725B115D"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435</w:t>
            </w:r>
          </w:p>
        </w:tc>
        <w:tc>
          <w:tcPr>
            <w:tcW w:w="397" w:type="pct"/>
            <w:shd w:val="clear" w:color="auto" w:fill="auto"/>
            <w:noWrap/>
            <w:tcMar>
              <w:left w:w="43" w:type="dxa"/>
              <w:right w:w="43" w:type="dxa"/>
            </w:tcMar>
            <w:hideMark/>
          </w:tcPr>
          <w:p w14:paraId="2AB607C9"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422</w:t>
            </w:r>
          </w:p>
        </w:tc>
        <w:tc>
          <w:tcPr>
            <w:tcW w:w="393" w:type="pct"/>
            <w:shd w:val="clear" w:color="auto" w:fill="auto"/>
            <w:noWrap/>
            <w:tcMar>
              <w:left w:w="43" w:type="dxa"/>
              <w:right w:w="43" w:type="dxa"/>
            </w:tcMar>
            <w:hideMark/>
          </w:tcPr>
          <w:p w14:paraId="24556C2F"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421</w:t>
            </w:r>
          </w:p>
        </w:tc>
      </w:tr>
      <w:tr w:rsidR="002863F1" w:rsidRPr="007D1EDC" w14:paraId="6C458D82" w14:textId="77777777" w:rsidTr="00D03949">
        <w:trPr>
          <w:trHeight w:val="210"/>
        </w:trPr>
        <w:tc>
          <w:tcPr>
            <w:tcW w:w="1019" w:type="pct"/>
            <w:tcMar>
              <w:left w:w="43" w:type="dxa"/>
              <w:right w:w="43" w:type="dxa"/>
            </w:tcMar>
            <w:vAlign w:val="bottom"/>
          </w:tcPr>
          <w:p w14:paraId="0D8BCB29" w14:textId="6AE5B458" w:rsidR="002863F1" w:rsidRPr="002863F1" w:rsidRDefault="002863F1" w:rsidP="002863F1">
            <w:pPr>
              <w:rPr>
                <w:rFonts w:ascii="Arial Narrow" w:hAnsi="Arial Narrow" w:cs="Calibri"/>
                <w:color w:val="000000"/>
                <w:sz w:val="20"/>
                <w:szCs w:val="20"/>
                <w:lang w:val="en-GB" w:eastAsia="en-GB"/>
              </w:rPr>
            </w:pPr>
            <w:proofErr w:type="spellStart"/>
            <w:r w:rsidRPr="002863F1">
              <w:rPr>
                <w:rFonts w:ascii="Arial Narrow" w:eastAsia="Aptos" w:hAnsi="Arial Narrow" w:cs="Calibri"/>
                <w:color w:val="000000"/>
                <w:kern w:val="2"/>
                <w:sz w:val="20"/>
                <w:szCs w:val="20"/>
                <w:lang w:val="en-GB"/>
                <w14:ligatures w14:val="standardContextual"/>
              </w:rPr>
              <w:t>Kompostimi</w:t>
            </w:r>
            <w:proofErr w:type="spellEnd"/>
            <w:r w:rsidRPr="002863F1">
              <w:rPr>
                <w:rFonts w:ascii="Arial Narrow" w:eastAsia="Aptos" w:hAnsi="Arial Narrow" w:cs="Calibri"/>
                <w:color w:val="000000"/>
                <w:kern w:val="2"/>
                <w:sz w:val="20"/>
                <w:szCs w:val="20"/>
                <w:lang w:val="en-GB"/>
                <w14:ligatures w14:val="standardContextual"/>
              </w:rPr>
              <w:t xml:space="preserve"> </w:t>
            </w:r>
            <w:proofErr w:type="spellStart"/>
            <w:r w:rsidRPr="002863F1">
              <w:rPr>
                <w:rFonts w:ascii="Arial Narrow" w:eastAsia="Aptos" w:hAnsi="Arial Narrow" w:cs="Calibri"/>
                <w:color w:val="000000"/>
                <w:kern w:val="2"/>
                <w:sz w:val="20"/>
                <w:szCs w:val="20"/>
                <w:lang w:val="en-GB"/>
                <w14:ligatures w14:val="standardContextual"/>
              </w:rPr>
              <w:t>shtëpiak</w:t>
            </w:r>
            <w:proofErr w:type="spellEnd"/>
            <w:r w:rsidRPr="002863F1">
              <w:rPr>
                <w:rFonts w:ascii="Arial Narrow" w:eastAsia="Aptos" w:hAnsi="Arial Narrow" w:cs="Calibri"/>
                <w:color w:val="000000"/>
                <w:kern w:val="2"/>
                <w:sz w:val="20"/>
                <w:szCs w:val="20"/>
                <w:lang w:val="en-GB"/>
                <w14:ligatures w14:val="standardContextual"/>
              </w:rPr>
              <w:t xml:space="preserve">, </w:t>
            </w:r>
            <w:proofErr w:type="spellStart"/>
            <w:r w:rsidRPr="002863F1">
              <w:rPr>
                <w:rFonts w:ascii="Arial Narrow" w:eastAsia="Aptos" w:hAnsi="Arial Narrow" w:cs="Calibri"/>
                <w:color w:val="000000"/>
                <w:kern w:val="2"/>
                <w:sz w:val="20"/>
                <w:szCs w:val="20"/>
                <w:lang w:val="en-GB"/>
                <w14:ligatures w14:val="standardContextual"/>
              </w:rPr>
              <w:t>mijë</w:t>
            </w:r>
            <w:proofErr w:type="spellEnd"/>
            <w:r w:rsidRPr="002863F1">
              <w:rPr>
                <w:rFonts w:ascii="Arial Narrow" w:eastAsia="Aptos" w:hAnsi="Arial Narrow" w:cs="Calibri"/>
                <w:color w:val="000000"/>
                <w:kern w:val="2"/>
                <w:sz w:val="20"/>
                <w:szCs w:val="20"/>
                <w:lang w:val="en-GB"/>
                <w14:ligatures w14:val="standardContextual"/>
              </w:rPr>
              <w:t xml:space="preserve"> €</w:t>
            </w:r>
          </w:p>
        </w:tc>
        <w:tc>
          <w:tcPr>
            <w:tcW w:w="393" w:type="pct"/>
            <w:shd w:val="clear" w:color="auto" w:fill="auto"/>
            <w:noWrap/>
            <w:tcMar>
              <w:left w:w="43" w:type="dxa"/>
              <w:right w:w="43" w:type="dxa"/>
            </w:tcMar>
            <w:hideMark/>
          </w:tcPr>
          <w:p w14:paraId="46FDAEE6"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0</w:t>
            </w:r>
          </w:p>
        </w:tc>
        <w:tc>
          <w:tcPr>
            <w:tcW w:w="394" w:type="pct"/>
            <w:shd w:val="clear" w:color="auto" w:fill="auto"/>
            <w:noWrap/>
            <w:tcMar>
              <w:left w:w="43" w:type="dxa"/>
              <w:right w:w="43" w:type="dxa"/>
            </w:tcMar>
            <w:hideMark/>
          </w:tcPr>
          <w:p w14:paraId="0D2B8094"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15</w:t>
            </w:r>
          </w:p>
        </w:tc>
        <w:tc>
          <w:tcPr>
            <w:tcW w:w="392" w:type="pct"/>
            <w:shd w:val="clear" w:color="auto" w:fill="auto"/>
            <w:noWrap/>
            <w:tcMar>
              <w:left w:w="43" w:type="dxa"/>
              <w:right w:w="43" w:type="dxa"/>
            </w:tcMar>
            <w:hideMark/>
          </w:tcPr>
          <w:p w14:paraId="58F06B21"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16</w:t>
            </w:r>
          </w:p>
        </w:tc>
        <w:tc>
          <w:tcPr>
            <w:tcW w:w="394" w:type="pct"/>
            <w:shd w:val="clear" w:color="auto" w:fill="auto"/>
            <w:noWrap/>
            <w:tcMar>
              <w:left w:w="43" w:type="dxa"/>
              <w:right w:w="43" w:type="dxa"/>
            </w:tcMar>
            <w:hideMark/>
          </w:tcPr>
          <w:p w14:paraId="1A4AC820"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17</w:t>
            </w:r>
          </w:p>
        </w:tc>
        <w:tc>
          <w:tcPr>
            <w:tcW w:w="404" w:type="pct"/>
            <w:shd w:val="clear" w:color="auto" w:fill="auto"/>
            <w:noWrap/>
            <w:tcMar>
              <w:left w:w="43" w:type="dxa"/>
              <w:right w:w="43" w:type="dxa"/>
            </w:tcMar>
            <w:hideMark/>
          </w:tcPr>
          <w:p w14:paraId="41EC461F"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17</w:t>
            </w:r>
          </w:p>
        </w:tc>
        <w:tc>
          <w:tcPr>
            <w:tcW w:w="420" w:type="pct"/>
            <w:shd w:val="clear" w:color="auto" w:fill="auto"/>
            <w:noWrap/>
            <w:tcMar>
              <w:left w:w="43" w:type="dxa"/>
              <w:right w:w="43" w:type="dxa"/>
            </w:tcMar>
            <w:hideMark/>
          </w:tcPr>
          <w:p w14:paraId="204AEC94"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18</w:t>
            </w:r>
          </w:p>
        </w:tc>
        <w:tc>
          <w:tcPr>
            <w:tcW w:w="397" w:type="pct"/>
            <w:shd w:val="clear" w:color="auto" w:fill="auto"/>
            <w:noWrap/>
            <w:tcMar>
              <w:left w:w="43" w:type="dxa"/>
              <w:right w:w="43" w:type="dxa"/>
            </w:tcMar>
            <w:hideMark/>
          </w:tcPr>
          <w:p w14:paraId="7562B105"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19</w:t>
            </w:r>
          </w:p>
        </w:tc>
        <w:tc>
          <w:tcPr>
            <w:tcW w:w="397" w:type="pct"/>
            <w:shd w:val="clear" w:color="auto" w:fill="auto"/>
            <w:noWrap/>
            <w:tcMar>
              <w:left w:w="43" w:type="dxa"/>
              <w:right w:w="43" w:type="dxa"/>
            </w:tcMar>
            <w:hideMark/>
          </w:tcPr>
          <w:p w14:paraId="662E030D"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20</w:t>
            </w:r>
          </w:p>
        </w:tc>
        <w:tc>
          <w:tcPr>
            <w:tcW w:w="397" w:type="pct"/>
            <w:shd w:val="clear" w:color="auto" w:fill="auto"/>
            <w:noWrap/>
            <w:tcMar>
              <w:left w:w="43" w:type="dxa"/>
              <w:right w:w="43" w:type="dxa"/>
            </w:tcMar>
            <w:hideMark/>
          </w:tcPr>
          <w:p w14:paraId="0E37FBD8"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21</w:t>
            </w:r>
          </w:p>
        </w:tc>
        <w:tc>
          <w:tcPr>
            <w:tcW w:w="393" w:type="pct"/>
            <w:shd w:val="clear" w:color="auto" w:fill="auto"/>
            <w:noWrap/>
            <w:tcMar>
              <w:left w:w="43" w:type="dxa"/>
              <w:right w:w="43" w:type="dxa"/>
            </w:tcMar>
            <w:hideMark/>
          </w:tcPr>
          <w:p w14:paraId="14C53316"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22</w:t>
            </w:r>
          </w:p>
        </w:tc>
      </w:tr>
      <w:tr w:rsidR="002863F1" w:rsidRPr="007D1EDC" w14:paraId="72EAFA89" w14:textId="77777777" w:rsidTr="00D03949">
        <w:trPr>
          <w:trHeight w:val="210"/>
        </w:trPr>
        <w:tc>
          <w:tcPr>
            <w:tcW w:w="1019" w:type="pct"/>
            <w:tcMar>
              <w:left w:w="43" w:type="dxa"/>
              <w:right w:w="43" w:type="dxa"/>
            </w:tcMar>
            <w:vAlign w:val="bottom"/>
          </w:tcPr>
          <w:p w14:paraId="4352AF1C" w14:textId="24E165BC" w:rsidR="002863F1" w:rsidRPr="002863F1" w:rsidRDefault="002863F1" w:rsidP="002863F1">
            <w:pPr>
              <w:rPr>
                <w:rFonts w:ascii="Arial Narrow" w:hAnsi="Arial Narrow" w:cs="Calibri"/>
                <w:color w:val="000000"/>
                <w:sz w:val="20"/>
                <w:szCs w:val="20"/>
                <w:lang w:val="en-GB" w:eastAsia="en-GB"/>
              </w:rPr>
            </w:pPr>
            <w:proofErr w:type="spellStart"/>
            <w:r w:rsidRPr="002863F1">
              <w:rPr>
                <w:rFonts w:ascii="Arial Narrow" w:eastAsia="Aptos" w:hAnsi="Arial Narrow" w:cs="Calibri"/>
                <w:color w:val="000000"/>
                <w:kern w:val="2"/>
                <w:sz w:val="20"/>
                <w:szCs w:val="20"/>
                <w:lang w:val="en-GB"/>
                <w14:ligatures w14:val="standardContextual"/>
              </w:rPr>
              <w:t>Kompostimi</w:t>
            </w:r>
            <w:proofErr w:type="spellEnd"/>
            <w:r w:rsidRPr="002863F1">
              <w:rPr>
                <w:rFonts w:ascii="Arial Narrow" w:eastAsia="Aptos" w:hAnsi="Arial Narrow" w:cs="Calibri"/>
                <w:color w:val="000000"/>
                <w:kern w:val="2"/>
                <w:sz w:val="20"/>
                <w:szCs w:val="20"/>
                <w:lang w:val="en-GB"/>
                <w14:ligatures w14:val="standardContextual"/>
              </w:rPr>
              <w:t xml:space="preserve"> i </w:t>
            </w:r>
            <w:proofErr w:type="spellStart"/>
            <w:r w:rsidRPr="002863F1">
              <w:rPr>
                <w:rFonts w:ascii="Arial Narrow" w:eastAsia="Aptos" w:hAnsi="Arial Narrow" w:cs="Calibri"/>
                <w:color w:val="000000"/>
                <w:kern w:val="2"/>
                <w:sz w:val="20"/>
                <w:szCs w:val="20"/>
                <w:lang w:val="en-GB"/>
                <w14:ligatures w14:val="standardContextual"/>
              </w:rPr>
              <w:t>hapur</w:t>
            </w:r>
            <w:proofErr w:type="spellEnd"/>
            <w:r w:rsidRPr="002863F1">
              <w:rPr>
                <w:rFonts w:ascii="Arial Narrow" w:eastAsia="Aptos" w:hAnsi="Arial Narrow" w:cs="Calibri"/>
                <w:color w:val="000000"/>
                <w:kern w:val="2"/>
                <w:sz w:val="20"/>
                <w:szCs w:val="20"/>
                <w:lang w:val="en-GB"/>
                <w14:ligatures w14:val="standardContextual"/>
              </w:rPr>
              <w:t xml:space="preserve"> pale </w:t>
            </w:r>
            <w:proofErr w:type="spellStart"/>
            <w:r w:rsidRPr="002863F1">
              <w:rPr>
                <w:rFonts w:ascii="Arial Narrow" w:eastAsia="Aptos" w:hAnsi="Arial Narrow" w:cs="Calibri"/>
                <w:color w:val="000000"/>
                <w:kern w:val="2"/>
                <w:sz w:val="20"/>
                <w:szCs w:val="20"/>
                <w:lang w:val="en-GB"/>
                <w14:ligatures w14:val="standardContextual"/>
              </w:rPr>
              <w:t>palë</w:t>
            </w:r>
            <w:proofErr w:type="spellEnd"/>
            <w:r w:rsidRPr="002863F1">
              <w:rPr>
                <w:rFonts w:ascii="Arial Narrow" w:eastAsia="Aptos" w:hAnsi="Arial Narrow" w:cs="Calibri"/>
                <w:color w:val="000000"/>
                <w:kern w:val="2"/>
                <w:sz w:val="20"/>
                <w:szCs w:val="20"/>
                <w:lang w:val="en-GB"/>
                <w14:ligatures w14:val="standardContextual"/>
              </w:rPr>
              <w:t xml:space="preserve">, </w:t>
            </w:r>
            <w:proofErr w:type="spellStart"/>
            <w:r w:rsidRPr="002863F1">
              <w:rPr>
                <w:rFonts w:ascii="Arial Narrow" w:eastAsia="Aptos" w:hAnsi="Arial Narrow" w:cs="Calibri"/>
                <w:color w:val="000000"/>
                <w:kern w:val="2"/>
                <w:sz w:val="20"/>
                <w:szCs w:val="20"/>
                <w:lang w:val="en-GB"/>
                <w14:ligatures w14:val="standardContextual"/>
              </w:rPr>
              <w:t>mijë</w:t>
            </w:r>
            <w:proofErr w:type="spellEnd"/>
            <w:r w:rsidRPr="002863F1">
              <w:rPr>
                <w:rFonts w:ascii="Arial Narrow" w:eastAsia="Aptos" w:hAnsi="Arial Narrow" w:cs="Calibri"/>
                <w:color w:val="000000"/>
                <w:kern w:val="2"/>
                <w:sz w:val="20"/>
                <w:szCs w:val="20"/>
                <w:lang w:val="en-GB"/>
                <w14:ligatures w14:val="standardContextual"/>
              </w:rPr>
              <w:t xml:space="preserve"> euro</w:t>
            </w:r>
          </w:p>
        </w:tc>
        <w:tc>
          <w:tcPr>
            <w:tcW w:w="393" w:type="pct"/>
            <w:shd w:val="clear" w:color="auto" w:fill="auto"/>
            <w:noWrap/>
            <w:tcMar>
              <w:left w:w="43" w:type="dxa"/>
              <w:right w:w="43" w:type="dxa"/>
            </w:tcMar>
            <w:hideMark/>
          </w:tcPr>
          <w:p w14:paraId="56149AD0"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0</w:t>
            </w:r>
          </w:p>
        </w:tc>
        <w:tc>
          <w:tcPr>
            <w:tcW w:w="394" w:type="pct"/>
            <w:shd w:val="clear" w:color="auto" w:fill="auto"/>
            <w:noWrap/>
            <w:tcMar>
              <w:left w:w="43" w:type="dxa"/>
              <w:right w:w="43" w:type="dxa"/>
            </w:tcMar>
            <w:hideMark/>
          </w:tcPr>
          <w:p w14:paraId="6F840F00"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75</w:t>
            </w:r>
          </w:p>
        </w:tc>
        <w:tc>
          <w:tcPr>
            <w:tcW w:w="392" w:type="pct"/>
            <w:shd w:val="clear" w:color="auto" w:fill="auto"/>
            <w:noWrap/>
            <w:tcMar>
              <w:left w:w="43" w:type="dxa"/>
              <w:right w:w="43" w:type="dxa"/>
            </w:tcMar>
            <w:hideMark/>
          </w:tcPr>
          <w:p w14:paraId="3840735A"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75</w:t>
            </w:r>
          </w:p>
        </w:tc>
        <w:tc>
          <w:tcPr>
            <w:tcW w:w="394" w:type="pct"/>
            <w:shd w:val="clear" w:color="auto" w:fill="auto"/>
            <w:noWrap/>
            <w:tcMar>
              <w:left w:w="43" w:type="dxa"/>
              <w:right w:w="43" w:type="dxa"/>
            </w:tcMar>
            <w:hideMark/>
          </w:tcPr>
          <w:p w14:paraId="1B962362"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75</w:t>
            </w:r>
          </w:p>
        </w:tc>
        <w:tc>
          <w:tcPr>
            <w:tcW w:w="404" w:type="pct"/>
            <w:shd w:val="clear" w:color="auto" w:fill="auto"/>
            <w:noWrap/>
            <w:tcMar>
              <w:left w:w="43" w:type="dxa"/>
              <w:right w:w="43" w:type="dxa"/>
            </w:tcMar>
            <w:hideMark/>
          </w:tcPr>
          <w:p w14:paraId="69D8185A"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75</w:t>
            </w:r>
          </w:p>
        </w:tc>
        <w:tc>
          <w:tcPr>
            <w:tcW w:w="420" w:type="pct"/>
            <w:shd w:val="clear" w:color="auto" w:fill="auto"/>
            <w:noWrap/>
            <w:tcMar>
              <w:left w:w="43" w:type="dxa"/>
              <w:right w:w="43" w:type="dxa"/>
            </w:tcMar>
            <w:hideMark/>
          </w:tcPr>
          <w:p w14:paraId="222B25EA"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75</w:t>
            </w:r>
          </w:p>
        </w:tc>
        <w:tc>
          <w:tcPr>
            <w:tcW w:w="397" w:type="pct"/>
            <w:shd w:val="clear" w:color="auto" w:fill="auto"/>
            <w:noWrap/>
            <w:tcMar>
              <w:left w:w="43" w:type="dxa"/>
              <w:right w:w="43" w:type="dxa"/>
            </w:tcMar>
            <w:hideMark/>
          </w:tcPr>
          <w:p w14:paraId="6C5A4717"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75</w:t>
            </w:r>
          </w:p>
        </w:tc>
        <w:tc>
          <w:tcPr>
            <w:tcW w:w="397" w:type="pct"/>
            <w:shd w:val="clear" w:color="auto" w:fill="auto"/>
            <w:noWrap/>
            <w:tcMar>
              <w:left w:w="43" w:type="dxa"/>
              <w:right w:w="43" w:type="dxa"/>
            </w:tcMar>
            <w:hideMark/>
          </w:tcPr>
          <w:p w14:paraId="5E662953"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75</w:t>
            </w:r>
          </w:p>
        </w:tc>
        <w:tc>
          <w:tcPr>
            <w:tcW w:w="397" w:type="pct"/>
            <w:shd w:val="clear" w:color="auto" w:fill="auto"/>
            <w:noWrap/>
            <w:tcMar>
              <w:left w:w="43" w:type="dxa"/>
              <w:right w:w="43" w:type="dxa"/>
            </w:tcMar>
            <w:hideMark/>
          </w:tcPr>
          <w:p w14:paraId="104C4B9E"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75</w:t>
            </w:r>
          </w:p>
        </w:tc>
        <w:tc>
          <w:tcPr>
            <w:tcW w:w="393" w:type="pct"/>
            <w:shd w:val="clear" w:color="auto" w:fill="auto"/>
            <w:noWrap/>
            <w:tcMar>
              <w:left w:w="43" w:type="dxa"/>
              <w:right w:w="43" w:type="dxa"/>
            </w:tcMar>
            <w:hideMark/>
          </w:tcPr>
          <w:p w14:paraId="59FDA68B"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75</w:t>
            </w:r>
          </w:p>
        </w:tc>
      </w:tr>
      <w:tr w:rsidR="002863F1" w:rsidRPr="007D1EDC" w14:paraId="0187F373" w14:textId="77777777" w:rsidTr="00D03949">
        <w:trPr>
          <w:trHeight w:val="210"/>
        </w:trPr>
        <w:tc>
          <w:tcPr>
            <w:tcW w:w="1019" w:type="pct"/>
            <w:tcMar>
              <w:left w:w="43" w:type="dxa"/>
              <w:right w:w="43" w:type="dxa"/>
            </w:tcMar>
            <w:vAlign w:val="bottom"/>
          </w:tcPr>
          <w:p w14:paraId="3B9A4405" w14:textId="42F15EBB" w:rsidR="002863F1" w:rsidRPr="002863F1" w:rsidRDefault="002863F1" w:rsidP="002863F1">
            <w:pPr>
              <w:rPr>
                <w:rFonts w:ascii="Arial Narrow" w:hAnsi="Arial Narrow" w:cs="Calibri"/>
                <w:color w:val="000000"/>
                <w:sz w:val="20"/>
                <w:szCs w:val="20"/>
                <w:lang w:val="en-GB" w:eastAsia="en-GB"/>
              </w:rPr>
            </w:pPr>
            <w:proofErr w:type="gramStart"/>
            <w:r w:rsidRPr="002863F1">
              <w:rPr>
                <w:rFonts w:ascii="Arial Narrow" w:eastAsia="Aptos" w:hAnsi="Arial Narrow" w:cs="Calibri"/>
                <w:color w:val="000000"/>
                <w:kern w:val="2"/>
                <w:sz w:val="20"/>
                <w:szCs w:val="20"/>
                <w:lang w:val="en-GB"/>
                <w14:ligatures w14:val="standardContextual"/>
              </w:rPr>
              <w:t>OR,</w:t>
            </w:r>
            <w:proofErr w:type="gramEnd"/>
            <w:r w:rsidRPr="002863F1">
              <w:rPr>
                <w:rFonts w:ascii="Arial Narrow" w:eastAsia="Aptos" w:hAnsi="Arial Narrow" w:cs="Calibri"/>
                <w:color w:val="000000"/>
                <w:kern w:val="2"/>
                <w:sz w:val="20"/>
                <w:szCs w:val="20"/>
                <w:lang w:val="en-GB"/>
                <w14:ligatures w14:val="standardContextual"/>
              </w:rPr>
              <w:t xml:space="preserve"> </w:t>
            </w:r>
            <w:proofErr w:type="spellStart"/>
            <w:r w:rsidRPr="002863F1">
              <w:rPr>
                <w:rFonts w:ascii="Arial Narrow" w:eastAsia="Aptos" w:hAnsi="Arial Narrow" w:cs="Calibri"/>
                <w:color w:val="000000"/>
                <w:kern w:val="2"/>
                <w:sz w:val="20"/>
                <w:szCs w:val="20"/>
                <w:lang w:val="en-GB"/>
                <w14:ligatures w14:val="standardContextual"/>
              </w:rPr>
              <w:t>mijë</w:t>
            </w:r>
            <w:proofErr w:type="spellEnd"/>
            <w:r w:rsidRPr="002863F1">
              <w:rPr>
                <w:rFonts w:ascii="Arial Narrow" w:eastAsia="Aptos" w:hAnsi="Arial Narrow" w:cs="Calibri"/>
                <w:color w:val="000000"/>
                <w:kern w:val="2"/>
                <w:sz w:val="20"/>
                <w:szCs w:val="20"/>
                <w:lang w:val="en-GB"/>
                <w14:ligatures w14:val="standardContextual"/>
              </w:rPr>
              <w:t xml:space="preserve"> euro</w:t>
            </w:r>
          </w:p>
        </w:tc>
        <w:tc>
          <w:tcPr>
            <w:tcW w:w="393" w:type="pct"/>
            <w:shd w:val="clear" w:color="auto" w:fill="auto"/>
            <w:noWrap/>
            <w:tcMar>
              <w:left w:w="43" w:type="dxa"/>
              <w:right w:w="43" w:type="dxa"/>
            </w:tcMar>
            <w:hideMark/>
          </w:tcPr>
          <w:p w14:paraId="28303D2C"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4" w:type="pct"/>
            <w:shd w:val="clear" w:color="auto" w:fill="auto"/>
            <w:noWrap/>
            <w:tcMar>
              <w:left w:w="43" w:type="dxa"/>
              <w:right w:w="43" w:type="dxa"/>
            </w:tcMar>
            <w:hideMark/>
          </w:tcPr>
          <w:p w14:paraId="5DA79427"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2" w:type="pct"/>
            <w:shd w:val="clear" w:color="auto" w:fill="auto"/>
            <w:noWrap/>
            <w:tcMar>
              <w:left w:w="43" w:type="dxa"/>
              <w:right w:w="43" w:type="dxa"/>
            </w:tcMar>
            <w:hideMark/>
          </w:tcPr>
          <w:p w14:paraId="00EB8DD7"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4" w:type="pct"/>
            <w:shd w:val="clear" w:color="auto" w:fill="auto"/>
            <w:noWrap/>
            <w:tcMar>
              <w:left w:w="43" w:type="dxa"/>
              <w:right w:w="43" w:type="dxa"/>
            </w:tcMar>
            <w:hideMark/>
          </w:tcPr>
          <w:p w14:paraId="67AD1345"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404" w:type="pct"/>
            <w:shd w:val="clear" w:color="auto" w:fill="auto"/>
            <w:noWrap/>
            <w:tcMar>
              <w:left w:w="43" w:type="dxa"/>
              <w:right w:w="43" w:type="dxa"/>
            </w:tcMar>
            <w:hideMark/>
          </w:tcPr>
          <w:p w14:paraId="75C937AC"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420" w:type="pct"/>
            <w:shd w:val="clear" w:color="auto" w:fill="auto"/>
            <w:noWrap/>
            <w:tcMar>
              <w:left w:w="43" w:type="dxa"/>
              <w:right w:w="43" w:type="dxa"/>
            </w:tcMar>
            <w:hideMark/>
          </w:tcPr>
          <w:p w14:paraId="4369C595"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7" w:type="pct"/>
            <w:shd w:val="clear" w:color="auto" w:fill="auto"/>
            <w:noWrap/>
            <w:tcMar>
              <w:left w:w="43" w:type="dxa"/>
              <w:right w:w="43" w:type="dxa"/>
            </w:tcMar>
            <w:hideMark/>
          </w:tcPr>
          <w:p w14:paraId="4BCDC7F5"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7" w:type="pct"/>
            <w:shd w:val="clear" w:color="auto" w:fill="auto"/>
            <w:noWrap/>
            <w:tcMar>
              <w:left w:w="43" w:type="dxa"/>
              <w:right w:w="43" w:type="dxa"/>
            </w:tcMar>
            <w:hideMark/>
          </w:tcPr>
          <w:p w14:paraId="307CF23F"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7" w:type="pct"/>
            <w:shd w:val="clear" w:color="auto" w:fill="auto"/>
            <w:noWrap/>
            <w:tcMar>
              <w:left w:w="43" w:type="dxa"/>
              <w:right w:w="43" w:type="dxa"/>
            </w:tcMar>
            <w:hideMark/>
          </w:tcPr>
          <w:p w14:paraId="44663879"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c>
          <w:tcPr>
            <w:tcW w:w="393" w:type="pct"/>
            <w:shd w:val="clear" w:color="auto" w:fill="auto"/>
            <w:noWrap/>
            <w:tcMar>
              <w:left w:w="43" w:type="dxa"/>
              <w:right w:w="43" w:type="dxa"/>
            </w:tcMar>
            <w:hideMark/>
          </w:tcPr>
          <w:p w14:paraId="20914EC7"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w:t>
            </w:r>
          </w:p>
        </w:tc>
      </w:tr>
      <w:tr w:rsidR="002863F1" w:rsidRPr="007D1EDC" w14:paraId="652C8FA0" w14:textId="77777777" w:rsidTr="00D03949">
        <w:trPr>
          <w:trHeight w:val="210"/>
        </w:trPr>
        <w:tc>
          <w:tcPr>
            <w:tcW w:w="1019" w:type="pct"/>
            <w:tcMar>
              <w:left w:w="43" w:type="dxa"/>
              <w:right w:w="43" w:type="dxa"/>
            </w:tcMar>
            <w:vAlign w:val="bottom"/>
          </w:tcPr>
          <w:p w14:paraId="57933D5F" w14:textId="6BEFA6A7" w:rsidR="002863F1" w:rsidRPr="003069B8" w:rsidRDefault="002863F1" w:rsidP="002863F1">
            <w:pPr>
              <w:rPr>
                <w:rFonts w:ascii="Arial Narrow" w:hAnsi="Arial Narrow" w:cs="Calibri"/>
                <w:color w:val="000000"/>
                <w:sz w:val="20"/>
                <w:szCs w:val="20"/>
                <w:lang w:val="es-ES" w:eastAsia="en-GB"/>
              </w:rPr>
            </w:pPr>
            <w:r w:rsidRPr="003069B8">
              <w:rPr>
                <w:rFonts w:ascii="Arial Narrow" w:eastAsia="Aptos" w:hAnsi="Arial Narrow" w:cs="Calibri"/>
                <w:color w:val="000000"/>
                <w:kern w:val="2"/>
                <w:sz w:val="20"/>
                <w:szCs w:val="20"/>
                <w:lang w:val="es-ES"/>
                <w14:ligatures w14:val="standardContextual"/>
              </w:rPr>
              <w:t xml:space="preserve">Tarifa e </w:t>
            </w:r>
            <w:proofErr w:type="spellStart"/>
            <w:r w:rsidRPr="003069B8">
              <w:rPr>
                <w:rFonts w:ascii="Arial Narrow" w:eastAsia="Aptos" w:hAnsi="Arial Narrow" w:cs="Calibri"/>
                <w:color w:val="000000"/>
                <w:kern w:val="2"/>
                <w:sz w:val="20"/>
                <w:szCs w:val="20"/>
                <w:lang w:val="es-ES"/>
                <w14:ligatures w14:val="standardContextual"/>
              </w:rPr>
              <w:t>portës</w:t>
            </w:r>
            <w:proofErr w:type="spellEnd"/>
            <w:r w:rsidRPr="003069B8">
              <w:rPr>
                <w:rFonts w:ascii="Arial Narrow" w:eastAsia="Aptos" w:hAnsi="Arial Narrow" w:cs="Calibri"/>
                <w:color w:val="000000"/>
                <w:kern w:val="2"/>
                <w:sz w:val="20"/>
                <w:szCs w:val="20"/>
                <w:lang w:val="es-ES"/>
                <w14:ligatures w14:val="standardContextual"/>
              </w:rPr>
              <w:t xml:space="preserve"> </w:t>
            </w:r>
            <w:proofErr w:type="spellStart"/>
            <w:r w:rsidRPr="003069B8">
              <w:rPr>
                <w:rFonts w:ascii="Arial Narrow" w:eastAsia="Aptos" w:hAnsi="Arial Narrow" w:cs="Calibri"/>
                <w:color w:val="000000"/>
                <w:kern w:val="2"/>
                <w:sz w:val="20"/>
                <w:szCs w:val="20"/>
                <w:lang w:val="es-ES"/>
                <w14:ligatures w14:val="standardContextual"/>
              </w:rPr>
              <w:t>në</w:t>
            </w:r>
            <w:proofErr w:type="spellEnd"/>
            <w:r w:rsidRPr="003069B8">
              <w:rPr>
                <w:rFonts w:ascii="Arial Narrow" w:eastAsia="Aptos" w:hAnsi="Arial Narrow" w:cs="Calibri"/>
                <w:color w:val="000000"/>
                <w:kern w:val="2"/>
                <w:sz w:val="20"/>
                <w:szCs w:val="20"/>
                <w:lang w:val="es-ES"/>
                <w14:ligatures w14:val="standardContextual"/>
              </w:rPr>
              <w:t xml:space="preserve"> </w:t>
            </w:r>
            <w:proofErr w:type="spellStart"/>
            <w:r w:rsidRPr="003069B8">
              <w:rPr>
                <w:rFonts w:ascii="Arial Narrow" w:eastAsia="Aptos" w:hAnsi="Arial Narrow" w:cs="Calibri"/>
                <w:color w:val="000000"/>
                <w:kern w:val="2"/>
                <w:sz w:val="20"/>
                <w:szCs w:val="20"/>
                <w:lang w:val="es-ES"/>
                <w14:ligatures w14:val="standardContextual"/>
              </w:rPr>
              <w:t>deponi</w:t>
            </w:r>
            <w:proofErr w:type="spellEnd"/>
            <w:r w:rsidRPr="003069B8">
              <w:rPr>
                <w:rFonts w:ascii="Arial Narrow" w:eastAsia="Aptos" w:hAnsi="Arial Narrow" w:cs="Calibri"/>
                <w:color w:val="000000"/>
                <w:kern w:val="2"/>
                <w:sz w:val="20"/>
                <w:szCs w:val="20"/>
                <w:lang w:val="es-ES"/>
                <w14:ligatures w14:val="standardContextual"/>
              </w:rPr>
              <w:t xml:space="preserve"> / TMB</w:t>
            </w:r>
          </w:p>
        </w:tc>
        <w:tc>
          <w:tcPr>
            <w:tcW w:w="393" w:type="pct"/>
            <w:shd w:val="clear" w:color="auto" w:fill="auto"/>
            <w:noWrap/>
            <w:tcMar>
              <w:left w:w="43" w:type="dxa"/>
              <w:right w:w="43" w:type="dxa"/>
            </w:tcMar>
            <w:hideMark/>
          </w:tcPr>
          <w:p w14:paraId="46A64100" w14:textId="23E5D73D"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11 €/t</w:t>
            </w:r>
          </w:p>
        </w:tc>
        <w:tc>
          <w:tcPr>
            <w:tcW w:w="394" w:type="pct"/>
            <w:shd w:val="clear" w:color="auto" w:fill="auto"/>
            <w:noWrap/>
            <w:tcMar>
              <w:left w:w="43" w:type="dxa"/>
              <w:right w:w="43" w:type="dxa"/>
            </w:tcMar>
            <w:hideMark/>
          </w:tcPr>
          <w:p w14:paraId="731879FC"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22 €/t</w:t>
            </w:r>
          </w:p>
        </w:tc>
        <w:tc>
          <w:tcPr>
            <w:tcW w:w="392" w:type="pct"/>
            <w:shd w:val="clear" w:color="auto" w:fill="auto"/>
            <w:noWrap/>
            <w:tcMar>
              <w:left w:w="43" w:type="dxa"/>
              <w:right w:w="43" w:type="dxa"/>
            </w:tcMar>
            <w:hideMark/>
          </w:tcPr>
          <w:p w14:paraId="0D0CA259"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22 €/t</w:t>
            </w:r>
          </w:p>
        </w:tc>
        <w:tc>
          <w:tcPr>
            <w:tcW w:w="394" w:type="pct"/>
            <w:shd w:val="clear" w:color="auto" w:fill="auto"/>
            <w:noWrap/>
            <w:tcMar>
              <w:left w:w="43" w:type="dxa"/>
              <w:right w:w="43" w:type="dxa"/>
            </w:tcMar>
            <w:hideMark/>
          </w:tcPr>
          <w:p w14:paraId="38BCF617"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22 €/t</w:t>
            </w:r>
          </w:p>
        </w:tc>
        <w:tc>
          <w:tcPr>
            <w:tcW w:w="404" w:type="pct"/>
            <w:shd w:val="clear" w:color="auto" w:fill="auto"/>
            <w:noWrap/>
            <w:tcMar>
              <w:left w:w="43" w:type="dxa"/>
              <w:right w:w="43" w:type="dxa"/>
            </w:tcMar>
            <w:hideMark/>
          </w:tcPr>
          <w:p w14:paraId="4439AE51"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22 €/t</w:t>
            </w:r>
          </w:p>
        </w:tc>
        <w:tc>
          <w:tcPr>
            <w:tcW w:w="420" w:type="pct"/>
            <w:shd w:val="clear" w:color="auto" w:fill="auto"/>
            <w:noWrap/>
            <w:tcMar>
              <w:left w:w="43" w:type="dxa"/>
              <w:right w:w="43" w:type="dxa"/>
            </w:tcMar>
            <w:hideMark/>
          </w:tcPr>
          <w:p w14:paraId="73E12AB8"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39 €/t</w:t>
            </w:r>
          </w:p>
        </w:tc>
        <w:tc>
          <w:tcPr>
            <w:tcW w:w="397" w:type="pct"/>
            <w:shd w:val="clear" w:color="auto" w:fill="auto"/>
            <w:noWrap/>
            <w:tcMar>
              <w:left w:w="43" w:type="dxa"/>
              <w:right w:w="43" w:type="dxa"/>
            </w:tcMar>
            <w:hideMark/>
          </w:tcPr>
          <w:p w14:paraId="2030D81F"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56 €/t</w:t>
            </w:r>
          </w:p>
        </w:tc>
        <w:tc>
          <w:tcPr>
            <w:tcW w:w="397" w:type="pct"/>
            <w:shd w:val="clear" w:color="auto" w:fill="auto"/>
            <w:noWrap/>
            <w:tcMar>
              <w:left w:w="43" w:type="dxa"/>
              <w:right w:w="43" w:type="dxa"/>
            </w:tcMar>
            <w:hideMark/>
          </w:tcPr>
          <w:p w14:paraId="0CDFD9BB"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58 €/t</w:t>
            </w:r>
          </w:p>
        </w:tc>
        <w:tc>
          <w:tcPr>
            <w:tcW w:w="397" w:type="pct"/>
            <w:shd w:val="clear" w:color="auto" w:fill="auto"/>
            <w:noWrap/>
            <w:tcMar>
              <w:left w:w="43" w:type="dxa"/>
              <w:right w:w="43" w:type="dxa"/>
            </w:tcMar>
            <w:hideMark/>
          </w:tcPr>
          <w:p w14:paraId="02B0A4D1"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60 €/t</w:t>
            </w:r>
          </w:p>
        </w:tc>
        <w:tc>
          <w:tcPr>
            <w:tcW w:w="393" w:type="pct"/>
            <w:shd w:val="clear" w:color="auto" w:fill="auto"/>
            <w:noWrap/>
            <w:tcMar>
              <w:left w:w="43" w:type="dxa"/>
              <w:right w:w="43" w:type="dxa"/>
            </w:tcMar>
            <w:hideMark/>
          </w:tcPr>
          <w:p w14:paraId="4DAF9D26"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62 €/t</w:t>
            </w:r>
          </w:p>
        </w:tc>
      </w:tr>
      <w:tr w:rsidR="002863F1" w:rsidRPr="007D1EDC" w14:paraId="7F7B2E89" w14:textId="77777777" w:rsidTr="00D03949">
        <w:trPr>
          <w:trHeight w:val="210"/>
        </w:trPr>
        <w:tc>
          <w:tcPr>
            <w:tcW w:w="1019" w:type="pct"/>
            <w:tcMar>
              <w:left w:w="43" w:type="dxa"/>
              <w:right w:w="43" w:type="dxa"/>
            </w:tcMar>
            <w:vAlign w:val="bottom"/>
          </w:tcPr>
          <w:p w14:paraId="798ECF47" w14:textId="236BC2D4" w:rsidR="002863F1" w:rsidRPr="002863F1" w:rsidRDefault="002863F1" w:rsidP="002863F1">
            <w:pPr>
              <w:rPr>
                <w:rFonts w:ascii="Arial Narrow" w:hAnsi="Arial Narrow" w:cs="Calibri"/>
                <w:color w:val="000000"/>
                <w:sz w:val="20"/>
                <w:szCs w:val="20"/>
                <w:lang w:val="en-GB" w:eastAsia="en-GB"/>
              </w:rPr>
            </w:pPr>
            <w:proofErr w:type="spellStart"/>
            <w:r w:rsidRPr="002863F1">
              <w:rPr>
                <w:rFonts w:ascii="Arial Narrow" w:eastAsia="Aptos" w:hAnsi="Arial Narrow" w:cs="Calibri"/>
                <w:color w:val="000000"/>
                <w:kern w:val="2"/>
                <w:sz w:val="20"/>
                <w:szCs w:val="20"/>
                <w:lang w:val="en-GB"/>
                <w14:ligatures w14:val="standardContextual"/>
              </w:rPr>
              <w:t>Trajtimi</w:t>
            </w:r>
            <w:proofErr w:type="spellEnd"/>
            <w:r w:rsidRPr="002863F1">
              <w:rPr>
                <w:rFonts w:ascii="Arial Narrow" w:eastAsia="Aptos" w:hAnsi="Arial Narrow" w:cs="Calibri"/>
                <w:color w:val="000000"/>
                <w:kern w:val="2"/>
                <w:sz w:val="20"/>
                <w:szCs w:val="20"/>
                <w:lang w:val="en-GB"/>
                <w14:ligatures w14:val="standardContextual"/>
              </w:rPr>
              <w:t>/</w:t>
            </w:r>
            <w:proofErr w:type="spellStart"/>
            <w:proofErr w:type="gramStart"/>
            <w:r w:rsidRPr="002863F1">
              <w:rPr>
                <w:rFonts w:ascii="Arial Narrow" w:eastAsia="Aptos" w:hAnsi="Arial Narrow" w:cs="Calibri"/>
                <w:color w:val="000000"/>
                <w:kern w:val="2"/>
                <w:sz w:val="20"/>
                <w:szCs w:val="20"/>
                <w:lang w:val="en-GB"/>
                <w14:ligatures w14:val="standardContextual"/>
              </w:rPr>
              <w:t>deponimi,mijë</w:t>
            </w:r>
            <w:proofErr w:type="spellEnd"/>
            <w:proofErr w:type="gramEnd"/>
            <w:r w:rsidRPr="002863F1">
              <w:rPr>
                <w:rFonts w:ascii="Arial Narrow" w:eastAsia="Aptos" w:hAnsi="Arial Narrow" w:cs="Calibri"/>
                <w:color w:val="000000"/>
                <w:kern w:val="2"/>
                <w:sz w:val="20"/>
                <w:szCs w:val="20"/>
                <w:lang w:val="en-GB"/>
                <w14:ligatures w14:val="standardContextual"/>
              </w:rPr>
              <w:t xml:space="preserve"> euro </w:t>
            </w:r>
          </w:p>
        </w:tc>
        <w:tc>
          <w:tcPr>
            <w:tcW w:w="393" w:type="pct"/>
            <w:shd w:val="clear" w:color="auto" w:fill="auto"/>
            <w:noWrap/>
            <w:tcMar>
              <w:left w:w="43" w:type="dxa"/>
              <w:right w:w="43" w:type="dxa"/>
            </w:tcMar>
            <w:hideMark/>
          </w:tcPr>
          <w:p w14:paraId="76B2D50B"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80</w:t>
            </w:r>
          </w:p>
        </w:tc>
        <w:tc>
          <w:tcPr>
            <w:tcW w:w="394" w:type="pct"/>
            <w:shd w:val="clear" w:color="auto" w:fill="auto"/>
            <w:noWrap/>
            <w:tcMar>
              <w:left w:w="43" w:type="dxa"/>
              <w:right w:w="43" w:type="dxa"/>
            </w:tcMar>
            <w:hideMark/>
          </w:tcPr>
          <w:p w14:paraId="45A409BF"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135</w:t>
            </w:r>
          </w:p>
        </w:tc>
        <w:tc>
          <w:tcPr>
            <w:tcW w:w="392" w:type="pct"/>
            <w:shd w:val="clear" w:color="auto" w:fill="auto"/>
            <w:noWrap/>
            <w:tcMar>
              <w:left w:w="43" w:type="dxa"/>
              <w:right w:w="43" w:type="dxa"/>
            </w:tcMar>
            <w:hideMark/>
          </w:tcPr>
          <w:p w14:paraId="4116BCE1"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134</w:t>
            </w:r>
          </w:p>
        </w:tc>
        <w:tc>
          <w:tcPr>
            <w:tcW w:w="394" w:type="pct"/>
            <w:shd w:val="clear" w:color="auto" w:fill="auto"/>
            <w:noWrap/>
            <w:tcMar>
              <w:left w:w="43" w:type="dxa"/>
              <w:right w:w="43" w:type="dxa"/>
            </w:tcMar>
            <w:hideMark/>
          </w:tcPr>
          <w:p w14:paraId="2058CB13"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132</w:t>
            </w:r>
          </w:p>
        </w:tc>
        <w:tc>
          <w:tcPr>
            <w:tcW w:w="404" w:type="pct"/>
            <w:shd w:val="clear" w:color="auto" w:fill="auto"/>
            <w:noWrap/>
            <w:tcMar>
              <w:left w:w="43" w:type="dxa"/>
              <w:right w:w="43" w:type="dxa"/>
            </w:tcMar>
            <w:hideMark/>
          </w:tcPr>
          <w:p w14:paraId="09734862"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128</w:t>
            </w:r>
          </w:p>
        </w:tc>
        <w:tc>
          <w:tcPr>
            <w:tcW w:w="420" w:type="pct"/>
            <w:shd w:val="clear" w:color="auto" w:fill="auto"/>
            <w:noWrap/>
            <w:tcMar>
              <w:left w:w="43" w:type="dxa"/>
              <w:right w:w="43" w:type="dxa"/>
            </w:tcMar>
            <w:hideMark/>
          </w:tcPr>
          <w:p w14:paraId="26AC9F16"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221</w:t>
            </w:r>
          </w:p>
        </w:tc>
        <w:tc>
          <w:tcPr>
            <w:tcW w:w="397" w:type="pct"/>
            <w:shd w:val="clear" w:color="auto" w:fill="auto"/>
            <w:noWrap/>
            <w:tcMar>
              <w:left w:w="43" w:type="dxa"/>
              <w:right w:w="43" w:type="dxa"/>
            </w:tcMar>
            <w:hideMark/>
          </w:tcPr>
          <w:p w14:paraId="475FCD68"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250</w:t>
            </w:r>
          </w:p>
        </w:tc>
        <w:tc>
          <w:tcPr>
            <w:tcW w:w="397" w:type="pct"/>
            <w:shd w:val="clear" w:color="auto" w:fill="auto"/>
            <w:noWrap/>
            <w:tcMar>
              <w:left w:w="43" w:type="dxa"/>
              <w:right w:w="43" w:type="dxa"/>
            </w:tcMar>
            <w:hideMark/>
          </w:tcPr>
          <w:p w14:paraId="4157F462"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248</w:t>
            </w:r>
          </w:p>
        </w:tc>
        <w:tc>
          <w:tcPr>
            <w:tcW w:w="397" w:type="pct"/>
            <w:shd w:val="clear" w:color="auto" w:fill="auto"/>
            <w:noWrap/>
            <w:tcMar>
              <w:left w:w="43" w:type="dxa"/>
              <w:right w:w="43" w:type="dxa"/>
            </w:tcMar>
            <w:hideMark/>
          </w:tcPr>
          <w:p w14:paraId="66473921"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248</w:t>
            </w:r>
          </w:p>
        </w:tc>
        <w:tc>
          <w:tcPr>
            <w:tcW w:w="393" w:type="pct"/>
            <w:shd w:val="clear" w:color="auto" w:fill="auto"/>
            <w:noWrap/>
            <w:tcMar>
              <w:left w:w="43" w:type="dxa"/>
              <w:right w:w="43" w:type="dxa"/>
            </w:tcMar>
            <w:hideMark/>
          </w:tcPr>
          <w:p w14:paraId="5567858C"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247</w:t>
            </w:r>
          </w:p>
        </w:tc>
      </w:tr>
      <w:tr w:rsidR="002863F1" w:rsidRPr="007D1EDC" w14:paraId="66A22877" w14:textId="77777777" w:rsidTr="00D03949">
        <w:trPr>
          <w:trHeight w:val="210"/>
        </w:trPr>
        <w:tc>
          <w:tcPr>
            <w:tcW w:w="1019" w:type="pct"/>
            <w:tcMar>
              <w:left w:w="43" w:type="dxa"/>
              <w:right w:w="43" w:type="dxa"/>
            </w:tcMar>
            <w:vAlign w:val="bottom"/>
          </w:tcPr>
          <w:p w14:paraId="33B54671" w14:textId="3508829A" w:rsidR="002863F1" w:rsidRPr="002863F1" w:rsidRDefault="002863F1" w:rsidP="002863F1">
            <w:pPr>
              <w:rPr>
                <w:rFonts w:ascii="Arial Narrow" w:hAnsi="Arial Narrow" w:cs="Calibri"/>
                <w:color w:val="000000"/>
                <w:sz w:val="20"/>
                <w:szCs w:val="20"/>
                <w:lang w:val="en-GB" w:eastAsia="en-GB"/>
              </w:rPr>
            </w:pPr>
            <w:proofErr w:type="spellStart"/>
            <w:r w:rsidRPr="002863F1">
              <w:rPr>
                <w:rFonts w:ascii="Arial Narrow" w:eastAsia="Aptos" w:hAnsi="Arial Narrow" w:cs="Calibri"/>
                <w:color w:val="000000"/>
                <w:kern w:val="2"/>
                <w:sz w:val="20"/>
                <w:szCs w:val="20"/>
                <w:lang w:val="en-GB"/>
                <w14:ligatures w14:val="standardContextual"/>
              </w:rPr>
              <w:t>Kostot</w:t>
            </w:r>
            <w:proofErr w:type="spellEnd"/>
            <w:r w:rsidRPr="002863F1">
              <w:rPr>
                <w:rFonts w:ascii="Arial Narrow" w:eastAsia="Aptos" w:hAnsi="Arial Narrow" w:cs="Calibri"/>
                <w:color w:val="000000"/>
                <w:kern w:val="2"/>
                <w:sz w:val="20"/>
                <w:szCs w:val="20"/>
                <w:lang w:val="en-GB"/>
                <w14:ligatures w14:val="standardContextual"/>
              </w:rPr>
              <w:t xml:space="preserve"> </w:t>
            </w:r>
            <w:proofErr w:type="spellStart"/>
            <w:r w:rsidRPr="002863F1">
              <w:rPr>
                <w:rFonts w:ascii="Arial Narrow" w:eastAsia="Aptos" w:hAnsi="Arial Narrow" w:cs="Calibri"/>
                <w:color w:val="000000"/>
                <w:kern w:val="2"/>
                <w:sz w:val="20"/>
                <w:szCs w:val="20"/>
                <w:lang w:val="en-GB"/>
                <w14:ligatures w14:val="standardContextual"/>
              </w:rPr>
              <w:t>totale</w:t>
            </w:r>
            <w:proofErr w:type="spellEnd"/>
            <w:r w:rsidRPr="002863F1">
              <w:rPr>
                <w:rFonts w:ascii="Arial Narrow" w:eastAsia="Aptos" w:hAnsi="Arial Narrow" w:cs="Calibri"/>
                <w:color w:val="000000"/>
                <w:kern w:val="2"/>
                <w:sz w:val="20"/>
                <w:szCs w:val="20"/>
                <w:lang w:val="en-GB"/>
                <w14:ligatures w14:val="standardContextual"/>
              </w:rPr>
              <w:t xml:space="preserve">, </w:t>
            </w:r>
            <w:proofErr w:type="spellStart"/>
            <w:r w:rsidRPr="002863F1">
              <w:rPr>
                <w:rFonts w:ascii="Arial Narrow" w:eastAsia="Aptos" w:hAnsi="Arial Narrow" w:cs="Calibri"/>
                <w:color w:val="000000"/>
                <w:kern w:val="2"/>
                <w:sz w:val="20"/>
                <w:szCs w:val="20"/>
                <w:lang w:val="en-GB"/>
                <w14:ligatures w14:val="standardContextual"/>
              </w:rPr>
              <w:t>mijë</w:t>
            </w:r>
            <w:proofErr w:type="spellEnd"/>
            <w:r w:rsidRPr="002863F1">
              <w:rPr>
                <w:rFonts w:ascii="Arial Narrow" w:eastAsia="Aptos" w:hAnsi="Arial Narrow" w:cs="Calibri"/>
                <w:color w:val="000000"/>
                <w:kern w:val="2"/>
                <w:sz w:val="20"/>
                <w:szCs w:val="20"/>
                <w:lang w:val="en-GB"/>
                <w14:ligatures w14:val="standardContextual"/>
              </w:rPr>
              <w:t xml:space="preserve"> euro</w:t>
            </w:r>
          </w:p>
        </w:tc>
        <w:tc>
          <w:tcPr>
            <w:tcW w:w="393" w:type="pct"/>
            <w:shd w:val="clear" w:color="auto" w:fill="auto"/>
            <w:noWrap/>
            <w:tcMar>
              <w:left w:w="43" w:type="dxa"/>
              <w:right w:w="43" w:type="dxa"/>
            </w:tcMar>
            <w:hideMark/>
          </w:tcPr>
          <w:p w14:paraId="4C5C1C84"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721</w:t>
            </w:r>
          </w:p>
        </w:tc>
        <w:tc>
          <w:tcPr>
            <w:tcW w:w="394" w:type="pct"/>
            <w:shd w:val="clear" w:color="auto" w:fill="auto"/>
            <w:noWrap/>
            <w:tcMar>
              <w:left w:w="43" w:type="dxa"/>
              <w:right w:w="43" w:type="dxa"/>
            </w:tcMar>
            <w:hideMark/>
          </w:tcPr>
          <w:p w14:paraId="04BEC807"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727</w:t>
            </w:r>
          </w:p>
        </w:tc>
        <w:tc>
          <w:tcPr>
            <w:tcW w:w="392" w:type="pct"/>
            <w:shd w:val="clear" w:color="auto" w:fill="auto"/>
            <w:noWrap/>
            <w:tcMar>
              <w:left w:w="43" w:type="dxa"/>
              <w:right w:w="43" w:type="dxa"/>
            </w:tcMar>
            <w:hideMark/>
          </w:tcPr>
          <w:p w14:paraId="260C6061"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725</w:t>
            </w:r>
          </w:p>
        </w:tc>
        <w:tc>
          <w:tcPr>
            <w:tcW w:w="394" w:type="pct"/>
            <w:shd w:val="clear" w:color="auto" w:fill="auto"/>
            <w:noWrap/>
            <w:tcMar>
              <w:left w:w="43" w:type="dxa"/>
              <w:right w:w="43" w:type="dxa"/>
            </w:tcMar>
            <w:hideMark/>
          </w:tcPr>
          <w:p w14:paraId="43DA26AE"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723</w:t>
            </w:r>
          </w:p>
        </w:tc>
        <w:tc>
          <w:tcPr>
            <w:tcW w:w="404" w:type="pct"/>
            <w:shd w:val="clear" w:color="auto" w:fill="auto"/>
            <w:noWrap/>
            <w:tcMar>
              <w:left w:w="43" w:type="dxa"/>
              <w:right w:w="43" w:type="dxa"/>
            </w:tcMar>
            <w:hideMark/>
          </w:tcPr>
          <w:p w14:paraId="230AB8F4"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719</w:t>
            </w:r>
          </w:p>
        </w:tc>
        <w:tc>
          <w:tcPr>
            <w:tcW w:w="420" w:type="pct"/>
            <w:shd w:val="clear" w:color="auto" w:fill="auto"/>
            <w:noWrap/>
            <w:tcMar>
              <w:left w:w="43" w:type="dxa"/>
              <w:right w:w="43" w:type="dxa"/>
            </w:tcMar>
            <w:hideMark/>
          </w:tcPr>
          <w:p w14:paraId="6D663703"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804</w:t>
            </w:r>
          </w:p>
        </w:tc>
        <w:tc>
          <w:tcPr>
            <w:tcW w:w="397" w:type="pct"/>
            <w:shd w:val="clear" w:color="auto" w:fill="auto"/>
            <w:noWrap/>
            <w:tcMar>
              <w:left w:w="43" w:type="dxa"/>
              <w:right w:w="43" w:type="dxa"/>
            </w:tcMar>
            <w:hideMark/>
          </w:tcPr>
          <w:p w14:paraId="05596E25"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805</w:t>
            </w:r>
          </w:p>
        </w:tc>
        <w:tc>
          <w:tcPr>
            <w:tcW w:w="397" w:type="pct"/>
            <w:shd w:val="clear" w:color="auto" w:fill="auto"/>
            <w:noWrap/>
            <w:tcMar>
              <w:left w:w="43" w:type="dxa"/>
              <w:right w:w="43" w:type="dxa"/>
            </w:tcMar>
            <w:hideMark/>
          </w:tcPr>
          <w:p w14:paraId="52E34540"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803</w:t>
            </w:r>
          </w:p>
        </w:tc>
        <w:tc>
          <w:tcPr>
            <w:tcW w:w="397" w:type="pct"/>
            <w:shd w:val="clear" w:color="auto" w:fill="auto"/>
            <w:noWrap/>
            <w:tcMar>
              <w:left w:w="43" w:type="dxa"/>
              <w:right w:w="43" w:type="dxa"/>
            </w:tcMar>
            <w:hideMark/>
          </w:tcPr>
          <w:p w14:paraId="73E490D9"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790</w:t>
            </w:r>
          </w:p>
        </w:tc>
        <w:tc>
          <w:tcPr>
            <w:tcW w:w="393" w:type="pct"/>
            <w:shd w:val="clear" w:color="auto" w:fill="auto"/>
            <w:noWrap/>
            <w:tcMar>
              <w:left w:w="43" w:type="dxa"/>
              <w:right w:w="43" w:type="dxa"/>
            </w:tcMar>
            <w:hideMark/>
          </w:tcPr>
          <w:p w14:paraId="2295C48D"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790</w:t>
            </w:r>
          </w:p>
        </w:tc>
      </w:tr>
      <w:tr w:rsidR="002863F1" w:rsidRPr="007D1EDC" w14:paraId="23F318D4" w14:textId="77777777" w:rsidTr="00D03949">
        <w:trPr>
          <w:trHeight w:val="210"/>
        </w:trPr>
        <w:tc>
          <w:tcPr>
            <w:tcW w:w="1019" w:type="pct"/>
            <w:tcMar>
              <w:left w:w="43" w:type="dxa"/>
              <w:right w:w="43" w:type="dxa"/>
            </w:tcMar>
            <w:vAlign w:val="bottom"/>
          </w:tcPr>
          <w:p w14:paraId="75F755DD" w14:textId="36B4D431" w:rsidR="002863F1" w:rsidRPr="002863F1" w:rsidRDefault="002863F1" w:rsidP="002863F1">
            <w:pPr>
              <w:rPr>
                <w:rFonts w:ascii="Arial Narrow" w:hAnsi="Arial Narrow" w:cs="Calibri"/>
                <w:color w:val="000000"/>
                <w:sz w:val="20"/>
                <w:szCs w:val="20"/>
                <w:lang w:val="en-GB" w:eastAsia="en-GB"/>
              </w:rPr>
            </w:pPr>
            <w:proofErr w:type="spellStart"/>
            <w:r w:rsidRPr="002863F1">
              <w:rPr>
                <w:rFonts w:ascii="Arial Narrow" w:eastAsia="Aptos" w:hAnsi="Arial Narrow" w:cs="Calibri"/>
                <w:color w:val="000000"/>
                <w:kern w:val="2"/>
                <w:sz w:val="20"/>
                <w:szCs w:val="20"/>
                <w:lang w:val="en-GB"/>
                <w14:ligatures w14:val="standardContextual"/>
              </w:rPr>
              <w:t>Kostot</w:t>
            </w:r>
            <w:proofErr w:type="spellEnd"/>
            <w:r w:rsidRPr="002863F1">
              <w:rPr>
                <w:rFonts w:ascii="Arial Narrow" w:eastAsia="Aptos" w:hAnsi="Arial Narrow" w:cs="Calibri"/>
                <w:color w:val="000000"/>
                <w:kern w:val="2"/>
                <w:sz w:val="20"/>
                <w:szCs w:val="20"/>
                <w:lang w:val="en-GB"/>
                <w14:ligatures w14:val="standardContextual"/>
              </w:rPr>
              <w:t xml:space="preserve"> </w:t>
            </w:r>
            <w:proofErr w:type="spellStart"/>
            <w:r w:rsidRPr="002863F1">
              <w:rPr>
                <w:rFonts w:ascii="Arial Narrow" w:eastAsia="Aptos" w:hAnsi="Arial Narrow" w:cs="Calibri"/>
                <w:color w:val="000000"/>
                <w:kern w:val="2"/>
                <w:sz w:val="20"/>
                <w:szCs w:val="20"/>
                <w:lang w:val="en-GB"/>
                <w14:ligatures w14:val="standardContextual"/>
              </w:rPr>
              <w:t>totale</w:t>
            </w:r>
            <w:proofErr w:type="spellEnd"/>
            <w:r w:rsidRPr="002863F1">
              <w:rPr>
                <w:rFonts w:ascii="Arial Narrow" w:eastAsia="Aptos" w:hAnsi="Arial Narrow" w:cs="Calibri"/>
                <w:color w:val="000000"/>
                <w:kern w:val="2"/>
                <w:sz w:val="20"/>
                <w:szCs w:val="20"/>
                <w:lang w:val="en-GB"/>
                <w14:ligatures w14:val="standardContextual"/>
              </w:rPr>
              <w:t xml:space="preserve"> me TVSH</w:t>
            </w:r>
          </w:p>
        </w:tc>
        <w:tc>
          <w:tcPr>
            <w:tcW w:w="393" w:type="pct"/>
            <w:shd w:val="clear" w:color="auto" w:fill="auto"/>
            <w:noWrap/>
            <w:tcMar>
              <w:left w:w="43" w:type="dxa"/>
              <w:right w:w="43" w:type="dxa"/>
            </w:tcMar>
            <w:hideMark/>
          </w:tcPr>
          <w:p w14:paraId="2CA5EA0F"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778</w:t>
            </w:r>
          </w:p>
        </w:tc>
        <w:tc>
          <w:tcPr>
            <w:tcW w:w="394" w:type="pct"/>
            <w:shd w:val="clear" w:color="auto" w:fill="auto"/>
            <w:noWrap/>
            <w:tcMar>
              <w:left w:w="43" w:type="dxa"/>
              <w:right w:w="43" w:type="dxa"/>
            </w:tcMar>
            <w:hideMark/>
          </w:tcPr>
          <w:p w14:paraId="74111524"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785</w:t>
            </w:r>
          </w:p>
        </w:tc>
        <w:tc>
          <w:tcPr>
            <w:tcW w:w="392" w:type="pct"/>
            <w:shd w:val="clear" w:color="auto" w:fill="auto"/>
            <w:noWrap/>
            <w:tcMar>
              <w:left w:w="43" w:type="dxa"/>
              <w:right w:w="43" w:type="dxa"/>
            </w:tcMar>
            <w:hideMark/>
          </w:tcPr>
          <w:p w14:paraId="4E650229"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783</w:t>
            </w:r>
          </w:p>
        </w:tc>
        <w:tc>
          <w:tcPr>
            <w:tcW w:w="394" w:type="pct"/>
            <w:shd w:val="clear" w:color="auto" w:fill="auto"/>
            <w:noWrap/>
            <w:tcMar>
              <w:left w:w="43" w:type="dxa"/>
              <w:right w:w="43" w:type="dxa"/>
            </w:tcMar>
            <w:hideMark/>
          </w:tcPr>
          <w:p w14:paraId="1410B0F2"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780</w:t>
            </w:r>
          </w:p>
        </w:tc>
        <w:tc>
          <w:tcPr>
            <w:tcW w:w="404" w:type="pct"/>
            <w:shd w:val="clear" w:color="auto" w:fill="auto"/>
            <w:noWrap/>
            <w:tcMar>
              <w:left w:w="43" w:type="dxa"/>
              <w:right w:w="43" w:type="dxa"/>
            </w:tcMar>
            <w:hideMark/>
          </w:tcPr>
          <w:p w14:paraId="5F60E36B"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776</w:t>
            </w:r>
          </w:p>
        </w:tc>
        <w:tc>
          <w:tcPr>
            <w:tcW w:w="420" w:type="pct"/>
            <w:shd w:val="clear" w:color="auto" w:fill="auto"/>
            <w:noWrap/>
            <w:tcMar>
              <w:left w:w="43" w:type="dxa"/>
              <w:right w:w="43" w:type="dxa"/>
            </w:tcMar>
            <w:hideMark/>
          </w:tcPr>
          <w:p w14:paraId="23015FDB"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868</w:t>
            </w:r>
          </w:p>
        </w:tc>
        <w:tc>
          <w:tcPr>
            <w:tcW w:w="397" w:type="pct"/>
            <w:shd w:val="clear" w:color="auto" w:fill="auto"/>
            <w:noWrap/>
            <w:tcMar>
              <w:left w:w="43" w:type="dxa"/>
              <w:right w:w="43" w:type="dxa"/>
            </w:tcMar>
            <w:hideMark/>
          </w:tcPr>
          <w:p w14:paraId="06C72230"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869</w:t>
            </w:r>
          </w:p>
        </w:tc>
        <w:tc>
          <w:tcPr>
            <w:tcW w:w="397" w:type="pct"/>
            <w:shd w:val="clear" w:color="auto" w:fill="auto"/>
            <w:noWrap/>
            <w:tcMar>
              <w:left w:w="43" w:type="dxa"/>
              <w:right w:w="43" w:type="dxa"/>
            </w:tcMar>
            <w:hideMark/>
          </w:tcPr>
          <w:p w14:paraId="207745CF"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868</w:t>
            </w:r>
          </w:p>
        </w:tc>
        <w:tc>
          <w:tcPr>
            <w:tcW w:w="397" w:type="pct"/>
            <w:shd w:val="clear" w:color="auto" w:fill="auto"/>
            <w:noWrap/>
            <w:tcMar>
              <w:left w:w="43" w:type="dxa"/>
              <w:right w:w="43" w:type="dxa"/>
            </w:tcMar>
            <w:hideMark/>
          </w:tcPr>
          <w:p w14:paraId="1ABDDCC9"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854</w:t>
            </w:r>
          </w:p>
        </w:tc>
        <w:tc>
          <w:tcPr>
            <w:tcW w:w="393" w:type="pct"/>
            <w:shd w:val="clear" w:color="auto" w:fill="auto"/>
            <w:noWrap/>
            <w:tcMar>
              <w:left w:w="43" w:type="dxa"/>
              <w:right w:w="43" w:type="dxa"/>
            </w:tcMar>
            <w:hideMark/>
          </w:tcPr>
          <w:p w14:paraId="00CBC28C"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854</w:t>
            </w:r>
          </w:p>
        </w:tc>
      </w:tr>
      <w:tr w:rsidR="002863F1" w:rsidRPr="007D1EDC" w14:paraId="263130B4" w14:textId="77777777" w:rsidTr="00D03949">
        <w:trPr>
          <w:trHeight w:val="210"/>
        </w:trPr>
        <w:tc>
          <w:tcPr>
            <w:tcW w:w="1019" w:type="pct"/>
            <w:tcMar>
              <w:left w:w="43" w:type="dxa"/>
              <w:right w:w="43" w:type="dxa"/>
            </w:tcMar>
            <w:vAlign w:val="bottom"/>
          </w:tcPr>
          <w:p w14:paraId="400C37B0" w14:textId="0FDB364A" w:rsidR="002863F1" w:rsidRPr="002863F1" w:rsidRDefault="002863F1" w:rsidP="002863F1">
            <w:pPr>
              <w:rPr>
                <w:rFonts w:ascii="Arial Narrow" w:hAnsi="Arial Narrow" w:cs="Calibri"/>
                <w:color w:val="000000"/>
                <w:sz w:val="20"/>
                <w:szCs w:val="20"/>
                <w:lang w:val="en-GB" w:eastAsia="en-GB"/>
              </w:rPr>
            </w:pPr>
            <w:proofErr w:type="spellStart"/>
            <w:r w:rsidRPr="002863F1">
              <w:rPr>
                <w:rFonts w:ascii="Arial Narrow" w:hAnsi="Arial Narrow" w:cs="Calibri"/>
                <w:color w:val="000000"/>
                <w:sz w:val="20"/>
                <w:szCs w:val="20"/>
                <w:lang w:val="en-GB" w:eastAsia="en-GB"/>
              </w:rPr>
              <w:t>Faturimi</w:t>
            </w:r>
            <w:proofErr w:type="spellEnd"/>
            <w:r w:rsidRPr="002863F1">
              <w:rPr>
                <w:rFonts w:ascii="Arial Narrow" w:hAnsi="Arial Narrow" w:cs="Calibri"/>
                <w:color w:val="000000"/>
                <w:sz w:val="20"/>
                <w:szCs w:val="20"/>
                <w:lang w:val="en-GB" w:eastAsia="en-GB"/>
              </w:rPr>
              <w:t xml:space="preserve"> </w:t>
            </w:r>
            <w:proofErr w:type="spellStart"/>
            <w:r w:rsidRPr="002863F1">
              <w:rPr>
                <w:rFonts w:ascii="Arial Narrow" w:hAnsi="Arial Narrow" w:cs="Calibri"/>
                <w:color w:val="000000"/>
                <w:sz w:val="20"/>
                <w:szCs w:val="20"/>
                <w:lang w:val="en-GB" w:eastAsia="en-GB"/>
              </w:rPr>
              <w:t>për</w:t>
            </w:r>
            <w:proofErr w:type="spellEnd"/>
            <w:r w:rsidRPr="002863F1">
              <w:rPr>
                <w:rFonts w:ascii="Arial Narrow" w:hAnsi="Arial Narrow" w:cs="Calibri"/>
                <w:color w:val="000000"/>
                <w:sz w:val="20"/>
                <w:szCs w:val="20"/>
                <w:lang w:val="en-GB" w:eastAsia="en-GB"/>
              </w:rPr>
              <w:t xml:space="preserve"> </w:t>
            </w:r>
            <w:proofErr w:type="spellStart"/>
            <w:r w:rsidRPr="002863F1">
              <w:rPr>
                <w:rFonts w:ascii="Arial Narrow" w:hAnsi="Arial Narrow" w:cs="Calibri"/>
                <w:color w:val="000000"/>
                <w:sz w:val="20"/>
                <w:szCs w:val="20"/>
                <w:lang w:val="en-GB" w:eastAsia="en-GB"/>
              </w:rPr>
              <w:t>familjet</w:t>
            </w:r>
            <w:proofErr w:type="spellEnd"/>
          </w:p>
        </w:tc>
        <w:tc>
          <w:tcPr>
            <w:tcW w:w="393" w:type="pct"/>
            <w:shd w:val="clear" w:color="auto" w:fill="auto"/>
            <w:noWrap/>
            <w:tcMar>
              <w:left w:w="43" w:type="dxa"/>
              <w:right w:w="43" w:type="dxa"/>
            </w:tcMar>
            <w:hideMark/>
          </w:tcPr>
          <w:p w14:paraId="2FC12288"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545</w:t>
            </w:r>
          </w:p>
        </w:tc>
        <w:tc>
          <w:tcPr>
            <w:tcW w:w="394" w:type="pct"/>
            <w:shd w:val="clear" w:color="auto" w:fill="auto"/>
            <w:noWrap/>
            <w:tcMar>
              <w:left w:w="43" w:type="dxa"/>
              <w:right w:w="43" w:type="dxa"/>
            </w:tcMar>
            <w:hideMark/>
          </w:tcPr>
          <w:p w14:paraId="1F56976C"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550</w:t>
            </w:r>
          </w:p>
        </w:tc>
        <w:tc>
          <w:tcPr>
            <w:tcW w:w="392" w:type="pct"/>
            <w:shd w:val="clear" w:color="auto" w:fill="auto"/>
            <w:noWrap/>
            <w:tcMar>
              <w:left w:w="43" w:type="dxa"/>
              <w:right w:w="43" w:type="dxa"/>
            </w:tcMar>
            <w:hideMark/>
          </w:tcPr>
          <w:p w14:paraId="57FBBFCF"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548</w:t>
            </w:r>
          </w:p>
        </w:tc>
        <w:tc>
          <w:tcPr>
            <w:tcW w:w="394" w:type="pct"/>
            <w:shd w:val="clear" w:color="auto" w:fill="auto"/>
            <w:noWrap/>
            <w:tcMar>
              <w:left w:w="43" w:type="dxa"/>
              <w:right w:w="43" w:type="dxa"/>
            </w:tcMar>
            <w:hideMark/>
          </w:tcPr>
          <w:p w14:paraId="6FFA3D2A"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546</w:t>
            </w:r>
          </w:p>
        </w:tc>
        <w:tc>
          <w:tcPr>
            <w:tcW w:w="404" w:type="pct"/>
            <w:shd w:val="clear" w:color="auto" w:fill="auto"/>
            <w:noWrap/>
            <w:tcMar>
              <w:left w:w="43" w:type="dxa"/>
              <w:right w:w="43" w:type="dxa"/>
            </w:tcMar>
            <w:hideMark/>
          </w:tcPr>
          <w:p w14:paraId="6E0973B5"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543</w:t>
            </w:r>
          </w:p>
        </w:tc>
        <w:tc>
          <w:tcPr>
            <w:tcW w:w="420" w:type="pct"/>
            <w:shd w:val="clear" w:color="auto" w:fill="auto"/>
            <w:noWrap/>
            <w:tcMar>
              <w:left w:w="43" w:type="dxa"/>
              <w:right w:w="43" w:type="dxa"/>
            </w:tcMar>
            <w:hideMark/>
          </w:tcPr>
          <w:p w14:paraId="7BA8E5E7"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607</w:t>
            </w:r>
          </w:p>
        </w:tc>
        <w:tc>
          <w:tcPr>
            <w:tcW w:w="397" w:type="pct"/>
            <w:shd w:val="clear" w:color="auto" w:fill="auto"/>
            <w:noWrap/>
            <w:tcMar>
              <w:left w:w="43" w:type="dxa"/>
              <w:right w:w="43" w:type="dxa"/>
            </w:tcMar>
            <w:hideMark/>
          </w:tcPr>
          <w:p w14:paraId="1988D890"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608</w:t>
            </w:r>
          </w:p>
        </w:tc>
        <w:tc>
          <w:tcPr>
            <w:tcW w:w="397" w:type="pct"/>
            <w:shd w:val="clear" w:color="auto" w:fill="auto"/>
            <w:noWrap/>
            <w:tcMar>
              <w:left w:w="43" w:type="dxa"/>
              <w:right w:w="43" w:type="dxa"/>
            </w:tcMar>
            <w:hideMark/>
          </w:tcPr>
          <w:p w14:paraId="31E8D9B7"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607</w:t>
            </w:r>
          </w:p>
        </w:tc>
        <w:tc>
          <w:tcPr>
            <w:tcW w:w="397" w:type="pct"/>
            <w:shd w:val="clear" w:color="auto" w:fill="auto"/>
            <w:noWrap/>
            <w:tcMar>
              <w:left w:w="43" w:type="dxa"/>
              <w:right w:w="43" w:type="dxa"/>
            </w:tcMar>
            <w:hideMark/>
          </w:tcPr>
          <w:p w14:paraId="4CF50D4F"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597</w:t>
            </w:r>
          </w:p>
        </w:tc>
        <w:tc>
          <w:tcPr>
            <w:tcW w:w="393" w:type="pct"/>
            <w:shd w:val="clear" w:color="auto" w:fill="auto"/>
            <w:noWrap/>
            <w:tcMar>
              <w:left w:w="43" w:type="dxa"/>
              <w:right w:w="43" w:type="dxa"/>
            </w:tcMar>
            <w:hideMark/>
          </w:tcPr>
          <w:p w14:paraId="700C62A4"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598</w:t>
            </w:r>
          </w:p>
        </w:tc>
      </w:tr>
      <w:tr w:rsidR="002863F1" w:rsidRPr="007D1EDC" w14:paraId="4B3B8AA7" w14:textId="77777777" w:rsidTr="00D03949">
        <w:trPr>
          <w:trHeight w:val="210"/>
        </w:trPr>
        <w:tc>
          <w:tcPr>
            <w:tcW w:w="1019" w:type="pct"/>
            <w:tcMar>
              <w:left w:w="43" w:type="dxa"/>
              <w:right w:w="43" w:type="dxa"/>
            </w:tcMar>
            <w:vAlign w:val="bottom"/>
          </w:tcPr>
          <w:p w14:paraId="48263E6F" w14:textId="107C8EAA" w:rsidR="002863F1" w:rsidRPr="002863F1" w:rsidRDefault="002863F1" w:rsidP="002863F1">
            <w:pPr>
              <w:rPr>
                <w:rFonts w:ascii="Arial Narrow" w:hAnsi="Arial Narrow" w:cs="Calibri"/>
                <w:color w:val="000000"/>
                <w:sz w:val="20"/>
                <w:szCs w:val="20"/>
                <w:lang w:val="en-GB" w:eastAsia="en-GB"/>
              </w:rPr>
            </w:pPr>
            <w:proofErr w:type="spellStart"/>
            <w:r w:rsidRPr="002863F1">
              <w:rPr>
                <w:rFonts w:ascii="Arial Narrow" w:hAnsi="Arial Narrow" w:cs="Calibri"/>
                <w:color w:val="000000"/>
                <w:sz w:val="20"/>
                <w:szCs w:val="20"/>
                <w:lang w:val="en-GB" w:eastAsia="en-GB"/>
              </w:rPr>
              <w:t>Faturimi</w:t>
            </w:r>
            <w:proofErr w:type="spellEnd"/>
            <w:r w:rsidRPr="002863F1">
              <w:rPr>
                <w:rFonts w:ascii="Arial Narrow" w:hAnsi="Arial Narrow" w:cs="Calibri"/>
                <w:color w:val="000000"/>
                <w:sz w:val="20"/>
                <w:szCs w:val="20"/>
                <w:lang w:val="en-GB" w:eastAsia="en-GB"/>
              </w:rPr>
              <w:t xml:space="preserve"> </w:t>
            </w:r>
            <w:proofErr w:type="spellStart"/>
            <w:r w:rsidRPr="002863F1">
              <w:rPr>
                <w:rFonts w:ascii="Arial Narrow" w:hAnsi="Arial Narrow" w:cs="Calibri"/>
                <w:color w:val="000000"/>
                <w:sz w:val="20"/>
                <w:szCs w:val="20"/>
                <w:lang w:val="en-GB" w:eastAsia="en-GB"/>
              </w:rPr>
              <w:t>për</w:t>
            </w:r>
            <w:proofErr w:type="spellEnd"/>
            <w:r w:rsidRPr="002863F1">
              <w:rPr>
                <w:rFonts w:ascii="Arial Narrow" w:hAnsi="Arial Narrow" w:cs="Calibri"/>
                <w:color w:val="000000"/>
                <w:sz w:val="20"/>
                <w:szCs w:val="20"/>
                <w:lang w:val="en-GB" w:eastAsia="en-GB"/>
              </w:rPr>
              <w:t xml:space="preserve"> </w:t>
            </w:r>
            <w:proofErr w:type="spellStart"/>
            <w:r w:rsidRPr="002863F1">
              <w:rPr>
                <w:rFonts w:ascii="Arial Narrow" w:hAnsi="Arial Narrow" w:cs="Calibri"/>
                <w:color w:val="000000"/>
                <w:sz w:val="20"/>
                <w:szCs w:val="20"/>
                <w:lang w:val="en-GB" w:eastAsia="en-GB"/>
              </w:rPr>
              <w:t>entitetet</w:t>
            </w:r>
            <w:proofErr w:type="spellEnd"/>
            <w:r w:rsidRPr="002863F1">
              <w:rPr>
                <w:rFonts w:ascii="Arial Narrow" w:hAnsi="Arial Narrow" w:cs="Calibri"/>
                <w:color w:val="000000"/>
                <w:sz w:val="20"/>
                <w:szCs w:val="20"/>
                <w:lang w:val="en-GB" w:eastAsia="en-GB"/>
              </w:rPr>
              <w:t xml:space="preserve"> </w:t>
            </w:r>
            <w:proofErr w:type="spellStart"/>
            <w:r w:rsidRPr="002863F1">
              <w:rPr>
                <w:rFonts w:ascii="Arial Narrow" w:hAnsi="Arial Narrow" w:cs="Calibri"/>
                <w:color w:val="000000"/>
                <w:sz w:val="20"/>
                <w:szCs w:val="20"/>
                <w:lang w:val="en-GB" w:eastAsia="en-GB"/>
              </w:rPr>
              <w:t>juridike</w:t>
            </w:r>
            <w:proofErr w:type="spellEnd"/>
          </w:p>
        </w:tc>
        <w:tc>
          <w:tcPr>
            <w:tcW w:w="393" w:type="pct"/>
            <w:shd w:val="clear" w:color="auto" w:fill="auto"/>
            <w:noWrap/>
            <w:tcMar>
              <w:left w:w="43" w:type="dxa"/>
              <w:right w:w="43" w:type="dxa"/>
            </w:tcMar>
            <w:hideMark/>
          </w:tcPr>
          <w:p w14:paraId="7E360861"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234</w:t>
            </w:r>
          </w:p>
        </w:tc>
        <w:tc>
          <w:tcPr>
            <w:tcW w:w="394" w:type="pct"/>
            <w:shd w:val="clear" w:color="auto" w:fill="auto"/>
            <w:noWrap/>
            <w:tcMar>
              <w:left w:w="43" w:type="dxa"/>
              <w:right w:w="43" w:type="dxa"/>
            </w:tcMar>
            <w:hideMark/>
          </w:tcPr>
          <w:p w14:paraId="79EC6C31"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236</w:t>
            </w:r>
          </w:p>
        </w:tc>
        <w:tc>
          <w:tcPr>
            <w:tcW w:w="392" w:type="pct"/>
            <w:shd w:val="clear" w:color="auto" w:fill="auto"/>
            <w:noWrap/>
            <w:tcMar>
              <w:left w:w="43" w:type="dxa"/>
              <w:right w:w="43" w:type="dxa"/>
            </w:tcMar>
            <w:hideMark/>
          </w:tcPr>
          <w:p w14:paraId="7DFF96D9"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235</w:t>
            </w:r>
          </w:p>
        </w:tc>
        <w:tc>
          <w:tcPr>
            <w:tcW w:w="394" w:type="pct"/>
            <w:shd w:val="clear" w:color="auto" w:fill="auto"/>
            <w:noWrap/>
            <w:tcMar>
              <w:left w:w="43" w:type="dxa"/>
              <w:right w:w="43" w:type="dxa"/>
            </w:tcMar>
            <w:hideMark/>
          </w:tcPr>
          <w:p w14:paraId="514AF732"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234</w:t>
            </w:r>
          </w:p>
        </w:tc>
        <w:tc>
          <w:tcPr>
            <w:tcW w:w="404" w:type="pct"/>
            <w:shd w:val="clear" w:color="auto" w:fill="auto"/>
            <w:noWrap/>
            <w:tcMar>
              <w:left w:w="43" w:type="dxa"/>
              <w:right w:w="43" w:type="dxa"/>
            </w:tcMar>
            <w:hideMark/>
          </w:tcPr>
          <w:p w14:paraId="43FA1673"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233</w:t>
            </w:r>
          </w:p>
        </w:tc>
        <w:tc>
          <w:tcPr>
            <w:tcW w:w="420" w:type="pct"/>
            <w:shd w:val="clear" w:color="auto" w:fill="auto"/>
            <w:noWrap/>
            <w:tcMar>
              <w:left w:w="43" w:type="dxa"/>
              <w:right w:w="43" w:type="dxa"/>
            </w:tcMar>
            <w:hideMark/>
          </w:tcPr>
          <w:p w14:paraId="6C3C1915"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260</w:t>
            </w:r>
          </w:p>
        </w:tc>
        <w:tc>
          <w:tcPr>
            <w:tcW w:w="397" w:type="pct"/>
            <w:shd w:val="clear" w:color="auto" w:fill="auto"/>
            <w:noWrap/>
            <w:tcMar>
              <w:left w:w="43" w:type="dxa"/>
              <w:right w:w="43" w:type="dxa"/>
            </w:tcMar>
            <w:hideMark/>
          </w:tcPr>
          <w:p w14:paraId="589B3CA1"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261</w:t>
            </w:r>
          </w:p>
        </w:tc>
        <w:tc>
          <w:tcPr>
            <w:tcW w:w="397" w:type="pct"/>
            <w:shd w:val="clear" w:color="auto" w:fill="auto"/>
            <w:noWrap/>
            <w:tcMar>
              <w:left w:w="43" w:type="dxa"/>
              <w:right w:w="43" w:type="dxa"/>
            </w:tcMar>
            <w:hideMark/>
          </w:tcPr>
          <w:p w14:paraId="5671CC05"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260</w:t>
            </w:r>
          </w:p>
        </w:tc>
        <w:tc>
          <w:tcPr>
            <w:tcW w:w="397" w:type="pct"/>
            <w:shd w:val="clear" w:color="auto" w:fill="auto"/>
            <w:noWrap/>
            <w:tcMar>
              <w:left w:w="43" w:type="dxa"/>
              <w:right w:w="43" w:type="dxa"/>
            </w:tcMar>
            <w:hideMark/>
          </w:tcPr>
          <w:p w14:paraId="66ACCC5B"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256</w:t>
            </w:r>
          </w:p>
        </w:tc>
        <w:tc>
          <w:tcPr>
            <w:tcW w:w="393" w:type="pct"/>
            <w:shd w:val="clear" w:color="auto" w:fill="auto"/>
            <w:noWrap/>
            <w:tcMar>
              <w:left w:w="43" w:type="dxa"/>
              <w:right w:w="43" w:type="dxa"/>
            </w:tcMar>
            <w:hideMark/>
          </w:tcPr>
          <w:p w14:paraId="0E28B885"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256</w:t>
            </w:r>
          </w:p>
        </w:tc>
      </w:tr>
      <w:tr w:rsidR="002863F1" w:rsidRPr="007D1EDC" w14:paraId="1D568E75" w14:textId="77777777" w:rsidTr="00D03949">
        <w:trPr>
          <w:trHeight w:val="200"/>
        </w:trPr>
        <w:tc>
          <w:tcPr>
            <w:tcW w:w="1019" w:type="pct"/>
            <w:tcMar>
              <w:left w:w="43" w:type="dxa"/>
              <w:right w:w="43" w:type="dxa"/>
            </w:tcMar>
            <w:vAlign w:val="bottom"/>
          </w:tcPr>
          <w:p w14:paraId="4642F552" w14:textId="7B5AA56E" w:rsidR="002863F1" w:rsidRPr="002863F1" w:rsidRDefault="002863F1" w:rsidP="002863F1">
            <w:pPr>
              <w:rPr>
                <w:rFonts w:ascii="Arial Narrow" w:hAnsi="Arial Narrow" w:cs="Calibri"/>
                <w:color w:val="000000"/>
                <w:sz w:val="20"/>
                <w:szCs w:val="20"/>
                <w:lang w:val="en-GB" w:eastAsia="en-GB"/>
              </w:rPr>
            </w:pPr>
            <w:proofErr w:type="spellStart"/>
            <w:r w:rsidRPr="002863F1">
              <w:rPr>
                <w:rFonts w:ascii="Arial Narrow" w:eastAsia="Aptos" w:hAnsi="Arial Narrow" w:cs="Calibri"/>
                <w:color w:val="000000"/>
                <w:kern w:val="2"/>
                <w:sz w:val="20"/>
                <w:szCs w:val="20"/>
                <w:lang w:val="en-GB"/>
                <w14:ligatures w14:val="standardContextual"/>
              </w:rPr>
              <w:t>Pragu</w:t>
            </w:r>
            <w:proofErr w:type="spellEnd"/>
            <w:r w:rsidRPr="002863F1">
              <w:rPr>
                <w:rFonts w:ascii="Arial Narrow" w:eastAsia="Aptos" w:hAnsi="Arial Narrow" w:cs="Calibri"/>
                <w:color w:val="000000"/>
                <w:kern w:val="2"/>
                <w:sz w:val="20"/>
                <w:szCs w:val="20"/>
                <w:lang w:val="en-GB"/>
                <w14:ligatures w14:val="standardContextual"/>
              </w:rPr>
              <w:t xml:space="preserve"> i </w:t>
            </w:r>
            <w:proofErr w:type="spellStart"/>
            <w:r w:rsidRPr="002863F1">
              <w:rPr>
                <w:rFonts w:ascii="Arial Narrow" w:eastAsia="Aptos" w:hAnsi="Arial Narrow" w:cs="Calibri"/>
                <w:color w:val="000000"/>
                <w:kern w:val="2"/>
                <w:sz w:val="20"/>
                <w:szCs w:val="20"/>
                <w:lang w:val="en-GB"/>
                <w14:ligatures w14:val="standardContextual"/>
              </w:rPr>
              <w:t>përballueshmërisë</w:t>
            </w:r>
            <w:proofErr w:type="spellEnd"/>
          </w:p>
        </w:tc>
        <w:tc>
          <w:tcPr>
            <w:tcW w:w="393" w:type="pct"/>
            <w:shd w:val="clear" w:color="auto" w:fill="auto"/>
            <w:noWrap/>
            <w:tcMar>
              <w:left w:w="43" w:type="dxa"/>
              <w:right w:w="43" w:type="dxa"/>
            </w:tcMar>
            <w:hideMark/>
          </w:tcPr>
          <w:p w14:paraId="11CA1DAA"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666</w:t>
            </w:r>
          </w:p>
        </w:tc>
        <w:tc>
          <w:tcPr>
            <w:tcW w:w="394" w:type="pct"/>
            <w:shd w:val="clear" w:color="auto" w:fill="auto"/>
            <w:noWrap/>
            <w:tcMar>
              <w:left w:w="43" w:type="dxa"/>
              <w:right w:w="43" w:type="dxa"/>
            </w:tcMar>
            <w:hideMark/>
          </w:tcPr>
          <w:p w14:paraId="11E0B231"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685</w:t>
            </w:r>
          </w:p>
        </w:tc>
        <w:tc>
          <w:tcPr>
            <w:tcW w:w="392" w:type="pct"/>
            <w:shd w:val="clear" w:color="auto" w:fill="auto"/>
            <w:noWrap/>
            <w:tcMar>
              <w:left w:w="43" w:type="dxa"/>
              <w:right w:w="43" w:type="dxa"/>
            </w:tcMar>
            <w:hideMark/>
          </w:tcPr>
          <w:p w14:paraId="7420B473"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705</w:t>
            </w:r>
          </w:p>
        </w:tc>
        <w:tc>
          <w:tcPr>
            <w:tcW w:w="394" w:type="pct"/>
            <w:shd w:val="clear" w:color="auto" w:fill="auto"/>
            <w:noWrap/>
            <w:tcMar>
              <w:left w:w="43" w:type="dxa"/>
              <w:right w:w="43" w:type="dxa"/>
            </w:tcMar>
            <w:hideMark/>
          </w:tcPr>
          <w:p w14:paraId="25B797E4"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726</w:t>
            </w:r>
          </w:p>
        </w:tc>
        <w:tc>
          <w:tcPr>
            <w:tcW w:w="404" w:type="pct"/>
            <w:shd w:val="clear" w:color="auto" w:fill="auto"/>
            <w:noWrap/>
            <w:tcMar>
              <w:left w:w="43" w:type="dxa"/>
              <w:right w:w="43" w:type="dxa"/>
            </w:tcMar>
            <w:hideMark/>
          </w:tcPr>
          <w:p w14:paraId="0F4ABFE7"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747</w:t>
            </w:r>
          </w:p>
        </w:tc>
        <w:tc>
          <w:tcPr>
            <w:tcW w:w="420" w:type="pct"/>
            <w:shd w:val="clear" w:color="auto" w:fill="auto"/>
            <w:noWrap/>
            <w:tcMar>
              <w:left w:w="43" w:type="dxa"/>
              <w:right w:w="43" w:type="dxa"/>
            </w:tcMar>
            <w:hideMark/>
          </w:tcPr>
          <w:p w14:paraId="41B0ABA1"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769</w:t>
            </w:r>
          </w:p>
        </w:tc>
        <w:tc>
          <w:tcPr>
            <w:tcW w:w="397" w:type="pct"/>
            <w:shd w:val="clear" w:color="auto" w:fill="auto"/>
            <w:noWrap/>
            <w:tcMar>
              <w:left w:w="43" w:type="dxa"/>
              <w:right w:w="43" w:type="dxa"/>
            </w:tcMar>
            <w:hideMark/>
          </w:tcPr>
          <w:p w14:paraId="31B5077F"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792</w:t>
            </w:r>
          </w:p>
        </w:tc>
        <w:tc>
          <w:tcPr>
            <w:tcW w:w="397" w:type="pct"/>
            <w:shd w:val="clear" w:color="auto" w:fill="auto"/>
            <w:noWrap/>
            <w:tcMar>
              <w:left w:w="43" w:type="dxa"/>
              <w:right w:w="43" w:type="dxa"/>
            </w:tcMar>
            <w:hideMark/>
          </w:tcPr>
          <w:p w14:paraId="08ED5BF9"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815</w:t>
            </w:r>
          </w:p>
        </w:tc>
        <w:tc>
          <w:tcPr>
            <w:tcW w:w="397" w:type="pct"/>
            <w:shd w:val="clear" w:color="auto" w:fill="auto"/>
            <w:noWrap/>
            <w:tcMar>
              <w:left w:w="43" w:type="dxa"/>
              <w:right w:w="43" w:type="dxa"/>
            </w:tcMar>
            <w:hideMark/>
          </w:tcPr>
          <w:p w14:paraId="14EE01DA"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839</w:t>
            </w:r>
          </w:p>
        </w:tc>
        <w:tc>
          <w:tcPr>
            <w:tcW w:w="393" w:type="pct"/>
            <w:shd w:val="clear" w:color="auto" w:fill="auto"/>
            <w:noWrap/>
            <w:tcMar>
              <w:left w:w="43" w:type="dxa"/>
              <w:right w:w="43" w:type="dxa"/>
            </w:tcMar>
            <w:hideMark/>
          </w:tcPr>
          <w:p w14:paraId="09C9C9FC" w14:textId="77777777" w:rsidR="002863F1" w:rsidRPr="007D1EDC" w:rsidRDefault="002863F1" w:rsidP="002863F1">
            <w:pPr>
              <w:jc w:val="right"/>
              <w:rPr>
                <w:rFonts w:ascii="Arial Narrow" w:hAnsi="Arial Narrow" w:cs="Calibri"/>
                <w:sz w:val="20"/>
                <w:szCs w:val="20"/>
                <w:lang w:val="en-GB" w:eastAsia="en-GB"/>
              </w:rPr>
            </w:pPr>
            <w:r w:rsidRPr="007D1EDC">
              <w:rPr>
                <w:rFonts w:ascii="Arial Narrow" w:eastAsia="Aptos" w:hAnsi="Arial Narrow" w:cs="Calibri"/>
                <w:kern w:val="2"/>
                <w:sz w:val="20"/>
                <w:szCs w:val="20"/>
                <w:lang w:val="en-GB"/>
                <w14:ligatures w14:val="standardContextual"/>
              </w:rPr>
              <w:t>864</w:t>
            </w:r>
          </w:p>
        </w:tc>
      </w:tr>
    </w:tbl>
    <w:p w14:paraId="1CA3E40A" w14:textId="77777777" w:rsidR="007D1EDC" w:rsidRPr="007D1EDC" w:rsidRDefault="007D1EDC" w:rsidP="007D1EDC">
      <w:pPr>
        <w:rPr>
          <w:rFonts w:ascii="Arial Narrow" w:eastAsia="Aptos" w:hAnsi="Arial Narrow"/>
          <w:i/>
          <w:iCs/>
          <w:color w:val="0E2841"/>
          <w:kern w:val="2"/>
          <w:sz w:val="18"/>
          <w:szCs w:val="18"/>
          <w:lang w:val="en-GB"/>
          <w14:ligatures w14:val="standardContextual"/>
        </w:rPr>
      </w:pPr>
    </w:p>
    <w:p w14:paraId="56701CB0" w14:textId="2AD00B06" w:rsidR="007D1EDC" w:rsidRPr="007D1EDC" w:rsidRDefault="002863F1" w:rsidP="007D1EDC">
      <w:pPr>
        <w:jc w:val="center"/>
        <w:rPr>
          <w:rFonts w:ascii="Arial Narrow" w:eastAsia="Aptos" w:hAnsi="Arial Narrow"/>
          <w:i/>
          <w:iCs/>
          <w:color w:val="0E2841"/>
          <w:kern w:val="2"/>
          <w:sz w:val="18"/>
          <w:szCs w:val="18"/>
          <w:lang w:val="en-GB"/>
          <w14:ligatures w14:val="standardContextual"/>
        </w:rPr>
      </w:pPr>
      <w:r>
        <w:rPr>
          <w:noProof/>
        </w:rPr>
        <w:lastRenderedPageBreak/>
        <w:drawing>
          <wp:inline distT="0" distB="0" distL="0" distR="0" wp14:anchorId="0A43A579" wp14:editId="22DA2090">
            <wp:extent cx="4574877" cy="2544147"/>
            <wp:effectExtent l="0" t="0" r="16510" b="8890"/>
            <wp:docPr id="1665753310" name="Chart 1">
              <a:extLst xmlns:a="http://schemas.openxmlformats.org/drawingml/2006/main">
                <a:ext uri="{FF2B5EF4-FFF2-40B4-BE49-F238E27FC236}">
                  <a16:creationId xmlns:a16="http://schemas.microsoft.com/office/drawing/2014/main" id="{822B2463-8305-455E-856D-2BC9380E53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sidR="007D1EDC" w:rsidRPr="007D1EDC">
        <w:rPr>
          <w:rFonts w:ascii="Arial Narrow" w:eastAsia="Aptos" w:hAnsi="Arial Narrow"/>
          <w:i/>
          <w:iCs/>
          <w:color w:val="0E2841"/>
          <w:kern w:val="2"/>
          <w:sz w:val="18"/>
          <w:szCs w:val="18"/>
          <w:lang w:val="en-GB"/>
          <w14:ligatures w14:val="standardContextual"/>
        </w:rPr>
        <w:br w:type="textWrapping" w:clear="all"/>
      </w:r>
    </w:p>
    <w:p w14:paraId="2609699A" w14:textId="5FE4D96E" w:rsidR="007D1EDC" w:rsidRPr="007D1EDC" w:rsidRDefault="007D1EDC" w:rsidP="00EF0E69">
      <w:pPr>
        <w:pStyle w:val="Figure"/>
        <w:rPr>
          <w:rFonts w:eastAsia="Calibri" w:cs="Calibri"/>
          <w:sz w:val="20"/>
          <w:szCs w:val="20"/>
        </w:rPr>
      </w:pPr>
      <w:bookmarkStart w:id="703" w:name="_Toc193365364"/>
      <w:bookmarkStart w:id="704" w:name="_Toc197472348"/>
      <w:r w:rsidRPr="007D1EDC">
        <w:rPr>
          <w:rFonts w:eastAsia="Calibri" w:cs="Calibri"/>
          <w:sz w:val="20"/>
          <w:szCs w:val="20"/>
        </w:rPr>
        <w:t xml:space="preserve">Figura </w:t>
      </w:r>
      <w:r w:rsidRPr="007D1EDC">
        <w:rPr>
          <w:rFonts w:eastAsia="Calibri" w:cs="Calibri"/>
          <w:sz w:val="20"/>
          <w:szCs w:val="20"/>
        </w:rPr>
        <w:fldChar w:fldCharType="begin"/>
      </w:r>
      <w:r w:rsidRPr="007D1EDC">
        <w:rPr>
          <w:rFonts w:eastAsia="Calibri" w:cs="Calibri"/>
          <w:sz w:val="20"/>
          <w:szCs w:val="20"/>
        </w:rPr>
        <w:instrText xml:space="preserve"> SEQ Figure \* ARABIC </w:instrText>
      </w:r>
      <w:r w:rsidRPr="007D1EDC">
        <w:rPr>
          <w:rFonts w:eastAsia="Calibri" w:cs="Calibri"/>
          <w:sz w:val="20"/>
          <w:szCs w:val="20"/>
        </w:rPr>
        <w:fldChar w:fldCharType="separate"/>
      </w:r>
      <w:r w:rsidR="00C97DF3">
        <w:rPr>
          <w:rFonts w:eastAsia="Calibri" w:cs="Calibri"/>
          <w:noProof/>
          <w:sz w:val="20"/>
          <w:szCs w:val="20"/>
        </w:rPr>
        <w:t xml:space="preserve">47. </w:t>
      </w:r>
      <w:r w:rsidRPr="007D1EDC">
        <w:rPr>
          <w:rFonts w:eastAsia="Calibri" w:cs="Calibri"/>
          <w:sz w:val="20"/>
          <w:szCs w:val="20"/>
        </w:rPr>
        <w:fldChar w:fldCharType="end"/>
      </w:r>
      <w:r w:rsidRPr="007D1EDC">
        <w:rPr>
          <w:rFonts w:eastAsia="Calibri" w:cs="Calibri"/>
          <w:sz w:val="20"/>
          <w:szCs w:val="20"/>
        </w:rPr>
        <w:t xml:space="preserve">Të </w:t>
      </w:r>
      <w:r w:rsidR="002863F1">
        <w:rPr>
          <w:rFonts w:eastAsia="Calibri" w:cs="Calibri"/>
          <w:sz w:val="20"/>
          <w:szCs w:val="20"/>
        </w:rPr>
        <w:t xml:space="preserve">hyrat </w:t>
      </w:r>
      <w:r w:rsidRPr="007D1EDC">
        <w:rPr>
          <w:rFonts w:eastAsia="Calibri" w:cs="Calibri"/>
          <w:sz w:val="20"/>
          <w:szCs w:val="20"/>
        </w:rPr>
        <w:t xml:space="preserve">e </w:t>
      </w:r>
      <w:r w:rsidR="00E4478C">
        <w:rPr>
          <w:rFonts w:eastAsia="Calibri" w:cs="Calibri"/>
          <w:sz w:val="20"/>
          <w:szCs w:val="20"/>
        </w:rPr>
        <w:t xml:space="preserve">Junikut të </w:t>
      </w:r>
      <w:r w:rsidRPr="007D1EDC">
        <w:rPr>
          <w:rFonts w:eastAsia="Calibri" w:cs="Calibri"/>
          <w:sz w:val="20"/>
          <w:szCs w:val="20"/>
        </w:rPr>
        <w:t xml:space="preserve">parashikuara nga tarifat </w:t>
      </w:r>
      <w:r w:rsidR="00E4478C">
        <w:rPr>
          <w:rFonts w:eastAsia="Calibri" w:cs="Calibri"/>
          <w:sz w:val="20"/>
          <w:szCs w:val="20"/>
        </w:rPr>
        <w:t>e amvisërisë</w:t>
      </w:r>
      <w:r w:rsidRPr="007D1EDC">
        <w:rPr>
          <w:rFonts w:eastAsia="Calibri" w:cs="Calibri"/>
          <w:sz w:val="20"/>
          <w:szCs w:val="20"/>
        </w:rPr>
        <w:t xml:space="preserve"> në lidhje me përballueshmërinë</w:t>
      </w:r>
      <w:bookmarkEnd w:id="703"/>
      <w:bookmarkEnd w:id="704"/>
    </w:p>
    <w:p w14:paraId="5224EE5E" w14:textId="77777777" w:rsidR="007D1EDC" w:rsidRPr="002863F1" w:rsidRDefault="007D1EDC" w:rsidP="007D1EDC">
      <w:pPr>
        <w:rPr>
          <w:rFonts w:ascii="Arial Narrow" w:eastAsia="Aptos" w:hAnsi="Arial Narrow"/>
          <w:color w:val="0E2841"/>
          <w:kern w:val="2"/>
          <w:sz w:val="22"/>
          <w:szCs w:val="22"/>
          <w:lang w:val="en-GB"/>
          <w14:ligatures w14:val="standardContextual"/>
        </w:rPr>
      </w:pPr>
    </w:p>
    <w:p w14:paraId="4B18AAD4" w14:textId="55392E43" w:rsidR="007D1EDC" w:rsidRPr="007D1EDC" w:rsidRDefault="002863F1" w:rsidP="007D1EDC">
      <w:pPr>
        <w:rPr>
          <w:rFonts w:ascii="Arial Narrow" w:eastAsia="Aptos" w:hAnsi="Arial Narrow"/>
          <w:i/>
          <w:iCs/>
          <w:color w:val="0E2841"/>
          <w:kern w:val="2"/>
          <w:sz w:val="18"/>
          <w:szCs w:val="18"/>
          <w:lang w:val="bg-BG"/>
          <w14:ligatures w14:val="standardContextual"/>
        </w:rPr>
      </w:pPr>
      <w:r w:rsidRPr="002863F1">
        <w:rPr>
          <w:rFonts w:ascii="Arial Narrow" w:eastAsia="Calibri" w:hAnsi="Arial Narrow" w:cs="Calibri"/>
          <w:kern w:val="2"/>
          <w:sz w:val="22"/>
          <w:szCs w:val="22"/>
          <w14:ligatures w14:val="standardContextual"/>
        </w:rPr>
        <w:t>Masat e planifikuara janë të përballueshme për të gjitha komunat. Tarifat e mbeturinave në Pejë dhe Istog janë më të larta për shkak të gjenerimit më të madh të mbeturinave</w:t>
      </w:r>
      <w:r w:rsidR="00391261" w:rsidRPr="003069B8">
        <w:rPr>
          <w:rFonts w:ascii="Arial Narrow" w:eastAsia="Aptos" w:hAnsi="Arial Narrow"/>
          <w:color w:val="0E2841"/>
          <w:kern w:val="2"/>
          <w:sz w:val="22"/>
          <w:szCs w:val="22"/>
          <w14:ligatures w14:val="standardContextual"/>
        </w:rPr>
        <w:t>.</w:t>
      </w:r>
    </w:p>
    <w:p w14:paraId="0C5E5F0F" w14:textId="77777777" w:rsidR="007D1EDC" w:rsidRPr="007D1EDC" w:rsidRDefault="007D1EDC" w:rsidP="007D1EDC">
      <w:pPr>
        <w:rPr>
          <w:rFonts w:ascii="Arial Narrow" w:eastAsiaTheme="majorEastAsia" w:hAnsi="Arial Narrow" w:cstheme="majorBidi"/>
          <w:b/>
          <w:bCs/>
          <w:caps/>
          <w:color w:val="002060"/>
          <w:spacing w:val="20"/>
          <w:sz w:val="28"/>
          <w:szCs w:val="28"/>
        </w:rPr>
      </w:pPr>
    </w:p>
    <w:p w14:paraId="1B718656" w14:textId="77777777" w:rsidR="007D1EDC" w:rsidRPr="007D1EDC" w:rsidRDefault="007D1EDC" w:rsidP="002E4DDE">
      <w:pPr>
        <w:pStyle w:val="Heading2"/>
        <w:ind w:left="1134" w:hanging="1134"/>
      </w:pPr>
      <w:bookmarkStart w:id="705" w:name="_Toc190967414"/>
      <w:bookmarkStart w:id="706" w:name="_Toc197472063"/>
      <w:r w:rsidRPr="007D1EDC">
        <w:t>Konsultimi publik, ndërgjegjësimi dhe masat edukative</w:t>
      </w:r>
      <w:bookmarkEnd w:id="705"/>
      <w:bookmarkEnd w:id="706"/>
    </w:p>
    <w:p w14:paraId="6D3B5A72" w14:textId="77777777" w:rsidR="007D1EDC" w:rsidRPr="002863F1" w:rsidRDefault="007D1EDC" w:rsidP="007D1EDC">
      <w:pPr>
        <w:suppressAutoHyphens/>
        <w:rPr>
          <w:rFonts w:ascii="Arial Narrow" w:eastAsia="Calibri" w:hAnsi="Arial Narrow" w:cs="Calibri"/>
          <w:sz w:val="22"/>
          <w:szCs w:val="22"/>
        </w:rPr>
      </w:pPr>
    </w:p>
    <w:p w14:paraId="08F59A7B" w14:textId="77777777" w:rsidR="002863F1" w:rsidRPr="002863F1" w:rsidRDefault="002863F1" w:rsidP="002863F1">
      <w:pPr>
        <w:suppressAutoHyphens/>
        <w:jc w:val="both"/>
        <w:rPr>
          <w:rFonts w:ascii="Arial Narrow" w:eastAsia="Calibri" w:hAnsi="Arial Narrow" w:cs="Calibri"/>
          <w:kern w:val="2"/>
          <w:sz w:val="22"/>
          <w:szCs w:val="22"/>
          <w14:ligatures w14:val="standardContextual"/>
        </w:rPr>
      </w:pPr>
      <w:r w:rsidRPr="002863F1">
        <w:rPr>
          <w:rFonts w:ascii="Arial Narrow" w:eastAsia="Calibri" w:hAnsi="Arial Narrow" w:cs="Calibri"/>
          <w:kern w:val="2"/>
          <w:sz w:val="22"/>
          <w:szCs w:val="22"/>
          <w14:ligatures w14:val="standardContextual"/>
        </w:rPr>
        <w:t>Edhe një sistem i mirë-projektuar i menaxhimit të mbeturinave nuk do të funksiononte nëse banorët, me përpjekjet e tyre të përditshme, nuk mbështesin masat dhe nuk kontribuojnë në arritjen e objektivave të vendosura. Sjellja njerëzore gjithashtu ndikon në koston e trajtimit të mbeturinave të hedhura në vendet publike, ekzistencën e deponive ilegale si dhe ambiciet lokale, rajonale dhe globale për të reduktuar ndotjen nga plastika.</w:t>
      </w:r>
    </w:p>
    <w:p w14:paraId="24254DA3" w14:textId="77777777" w:rsidR="007D1EDC" w:rsidRPr="002863F1" w:rsidRDefault="007D1EDC" w:rsidP="007D1EDC">
      <w:pPr>
        <w:suppressAutoHyphens/>
        <w:jc w:val="both"/>
        <w:rPr>
          <w:rFonts w:ascii="Arial Narrow" w:eastAsia="Calibri" w:hAnsi="Arial Narrow" w:cs="Calibri"/>
          <w:kern w:val="2"/>
          <w:sz w:val="22"/>
          <w:szCs w:val="22"/>
          <w14:ligatures w14:val="standardContextual"/>
        </w:rPr>
      </w:pPr>
    </w:p>
    <w:p w14:paraId="46202DFF" w14:textId="1B442B03" w:rsidR="007D1EDC" w:rsidRPr="007D1EDC" w:rsidRDefault="007D1EDC" w:rsidP="002E4DDE">
      <w:pPr>
        <w:pStyle w:val="Heading3"/>
        <w:ind w:left="1134" w:hanging="1134"/>
      </w:pPr>
      <w:bookmarkStart w:id="707" w:name="_Toc190967415"/>
      <w:bookmarkStart w:id="708" w:name="_Toc197472064"/>
      <w:r w:rsidRPr="007D1EDC">
        <w:t>Konsultim</w:t>
      </w:r>
      <w:r w:rsidR="002863F1">
        <w:t>i</w:t>
      </w:r>
      <w:r w:rsidRPr="007D1EDC">
        <w:t xml:space="preserve"> publik</w:t>
      </w:r>
      <w:bookmarkEnd w:id="707"/>
      <w:bookmarkEnd w:id="708"/>
    </w:p>
    <w:p w14:paraId="5B9169ED" w14:textId="77777777" w:rsidR="007D1EDC" w:rsidRPr="002863F1" w:rsidRDefault="007D1EDC" w:rsidP="007D1EDC">
      <w:pPr>
        <w:suppressAutoHyphens/>
        <w:jc w:val="both"/>
        <w:rPr>
          <w:rFonts w:ascii="Arial Narrow" w:eastAsia="Calibri" w:hAnsi="Arial Narrow" w:cs="Calibri"/>
          <w:kern w:val="2"/>
          <w:sz w:val="22"/>
          <w:szCs w:val="22"/>
          <w14:ligatures w14:val="standardContextual"/>
        </w:rPr>
      </w:pPr>
    </w:p>
    <w:p w14:paraId="67786BF2" w14:textId="77777777" w:rsidR="002863F1" w:rsidRPr="002863F1" w:rsidRDefault="002863F1" w:rsidP="002863F1">
      <w:pPr>
        <w:suppressAutoHyphens/>
        <w:jc w:val="both"/>
        <w:rPr>
          <w:rFonts w:ascii="Arial Narrow" w:eastAsia="Calibri" w:hAnsi="Arial Narrow" w:cs="Calibri"/>
          <w:kern w:val="2"/>
          <w:sz w:val="22"/>
          <w:szCs w:val="22"/>
          <w14:ligatures w14:val="standardContextual"/>
        </w:rPr>
      </w:pPr>
      <w:r w:rsidRPr="002863F1">
        <w:rPr>
          <w:rFonts w:ascii="Arial Narrow" w:eastAsia="Calibri" w:hAnsi="Arial Narrow" w:cs="Calibri"/>
          <w:kern w:val="2"/>
          <w:sz w:val="22"/>
          <w:szCs w:val="22"/>
          <w14:ligatures w14:val="standardContextual"/>
        </w:rPr>
        <w:t>Pas miratimit të PNMIM, të gjitha planet komunale të menaxhimit të mbeturinave duhet të përditësohen në përputhje me rrethanat. Futja e masave të reja në planet lokale të menaxhimit të mbeturinave do të duhet t'i komunikohet publikut dhe të sigurohet marrëveshja.</w:t>
      </w:r>
    </w:p>
    <w:p w14:paraId="11D209DE" w14:textId="77777777" w:rsidR="002863F1" w:rsidRPr="002863F1" w:rsidRDefault="002863F1" w:rsidP="002863F1">
      <w:pPr>
        <w:suppressAutoHyphens/>
        <w:jc w:val="both"/>
        <w:rPr>
          <w:rFonts w:ascii="Arial Narrow" w:eastAsia="Calibri" w:hAnsi="Arial Narrow" w:cs="Calibri"/>
          <w:kern w:val="2"/>
          <w:sz w:val="22"/>
          <w:szCs w:val="22"/>
          <w14:ligatures w14:val="standardContextual"/>
        </w:rPr>
      </w:pPr>
    </w:p>
    <w:p w14:paraId="41D15327" w14:textId="77777777" w:rsidR="002863F1" w:rsidRPr="002863F1" w:rsidRDefault="002863F1" w:rsidP="002863F1">
      <w:pPr>
        <w:suppressAutoHyphens/>
        <w:jc w:val="both"/>
        <w:rPr>
          <w:rFonts w:ascii="Arial Narrow" w:eastAsia="Calibri" w:hAnsi="Arial Narrow" w:cs="Calibri"/>
          <w:kern w:val="2"/>
          <w:sz w:val="22"/>
          <w:szCs w:val="22"/>
          <w14:ligatures w14:val="standardContextual"/>
        </w:rPr>
      </w:pPr>
      <w:r w:rsidRPr="002863F1">
        <w:rPr>
          <w:rFonts w:ascii="Arial Narrow" w:eastAsia="Calibri" w:hAnsi="Arial Narrow" w:cs="Calibri"/>
          <w:kern w:val="2"/>
          <w:sz w:val="22"/>
          <w:szCs w:val="22"/>
          <w14:ligatures w14:val="standardContextual"/>
        </w:rPr>
        <w:t>Përveç kësaj, konsultimi publik do të jetë i nevojshëm gjatë procesit të:</w:t>
      </w:r>
    </w:p>
    <w:p w14:paraId="166FE047" w14:textId="77777777" w:rsidR="002863F1" w:rsidRPr="003069B8" w:rsidRDefault="002863F1" w:rsidP="002863F1">
      <w:pPr>
        <w:numPr>
          <w:ilvl w:val="0"/>
          <w:numId w:val="34"/>
        </w:numPr>
        <w:suppressAutoHyphens/>
        <w:contextualSpacing/>
        <w:jc w:val="both"/>
        <w:rPr>
          <w:rFonts w:ascii="Arial Narrow" w:eastAsia="Calibri" w:hAnsi="Arial Narrow" w:cs="Calibri"/>
          <w:kern w:val="2"/>
          <w:sz w:val="22"/>
          <w:szCs w:val="22"/>
          <w14:ligatures w14:val="standardContextual"/>
        </w:rPr>
      </w:pPr>
      <w:r w:rsidRPr="003069B8">
        <w:rPr>
          <w:rFonts w:ascii="Arial Narrow" w:eastAsia="Calibri" w:hAnsi="Arial Narrow" w:cs="Calibri"/>
          <w:kern w:val="2"/>
          <w:sz w:val="22"/>
          <w:szCs w:val="22"/>
          <w14:ligatures w14:val="standardContextual"/>
        </w:rPr>
        <w:t>Përzgjedhjes së vendeve për objektet e parashikuara të rikuperimit të mbeturinave; dhe</w:t>
      </w:r>
    </w:p>
    <w:p w14:paraId="5CFBC6DA" w14:textId="77777777" w:rsidR="002863F1" w:rsidRPr="003069B8" w:rsidRDefault="002863F1" w:rsidP="002863F1">
      <w:pPr>
        <w:numPr>
          <w:ilvl w:val="0"/>
          <w:numId w:val="34"/>
        </w:numPr>
        <w:suppressAutoHyphens/>
        <w:contextualSpacing/>
        <w:jc w:val="both"/>
        <w:rPr>
          <w:rFonts w:ascii="Arial Narrow" w:eastAsia="Calibri" w:hAnsi="Arial Narrow" w:cs="Calibri"/>
          <w:kern w:val="2"/>
          <w:sz w:val="22"/>
          <w:szCs w:val="22"/>
          <w14:ligatures w14:val="standardContextual"/>
        </w:rPr>
      </w:pPr>
      <w:r w:rsidRPr="003069B8">
        <w:rPr>
          <w:rFonts w:ascii="Arial Narrow" w:eastAsia="Calibri" w:hAnsi="Arial Narrow" w:cs="Calibri"/>
          <w:kern w:val="2"/>
          <w:sz w:val="22"/>
          <w:szCs w:val="22"/>
          <w14:ligatures w14:val="standardContextual"/>
        </w:rPr>
        <w:t>Vendosjen e kontejnerëve për ndarjen në burim të materialeve të riciklueshme të thata dhe (më pas) mbeturinave organike.</w:t>
      </w:r>
    </w:p>
    <w:p w14:paraId="2CEA0608" w14:textId="77777777" w:rsidR="007D1EDC" w:rsidRPr="002863F1" w:rsidRDefault="007D1EDC" w:rsidP="007D1EDC">
      <w:pPr>
        <w:suppressAutoHyphens/>
        <w:jc w:val="both"/>
        <w:rPr>
          <w:rFonts w:ascii="Arial Narrow" w:eastAsia="Calibri" w:hAnsi="Arial Narrow" w:cs="Calibri"/>
          <w:kern w:val="2"/>
          <w:sz w:val="22"/>
          <w:szCs w:val="22"/>
          <w14:ligatures w14:val="standardContextual"/>
        </w:rPr>
      </w:pPr>
    </w:p>
    <w:p w14:paraId="28F6331B" w14:textId="77777777" w:rsidR="007D1EDC" w:rsidRPr="007D1EDC" w:rsidRDefault="007D1EDC" w:rsidP="002E4DDE">
      <w:pPr>
        <w:pStyle w:val="Heading3"/>
        <w:ind w:left="1134" w:hanging="1134"/>
      </w:pPr>
      <w:bookmarkStart w:id="709" w:name="_Toc190967416"/>
      <w:bookmarkStart w:id="710" w:name="_Toc197472065"/>
      <w:r w:rsidRPr="007D1EDC">
        <w:t>Masat e ndërgjegjësimit dhe edukimit</w:t>
      </w:r>
      <w:bookmarkEnd w:id="709"/>
      <w:bookmarkEnd w:id="710"/>
    </w:p>
    <w:p w14:paraId="08135041" w14:textId="77777777" w:rsidR="007D1EDC" w:rsidRPr="002863F1" w:rsidRDefault="007D1EDC" w:rsidP="007D1EDC">
      <w:pPr>
        <w:suppressAutoHyphens/>
        <w:jc w:val="both"/>
        <w:rPr>
          <w:rFonts w:ascii="Arial Narrow" w:eastAsia="Calibri" w:hAnsi="Arial Narrow" w:cs="Calibri"/>
          <w:kern w:val="2"/>
          <w:sz w:val="22"/>
          <w:szCs w:val="22"/>
          <w14:ligatures w14:val="standardContextual"/>
        </w:rPr>
      </w:pPr>
    </w:p>
    <w:p w14:paraId="3347854F" w14:textId="77777777" w:rsidR="002863F1" w:rsidRPr="002863F1" w:rsidRDefault="002863F1" w:rsidP="002863F1">
      <w:pPr>
        <w:suppressAutoHyphens/>
        <w:jc w:val="both"/>
        <w:rPr>
          <w:rFonts w:ascii="Arial Narrow" w:eastAsia="Calibri" w:hAnsi="Arial Narrow" w:cs="Calibri"/>
          <w:kern w:val="2"/>
          <w:sz w:val="22"/>
          <w:szCs w:val="22"/>
          <w14:ligatures w14:val="standardContextual"/>
        </w:rPr>
      </w:pPr>
      <w:r w:rsidRPr="002863F1">
        <w:rPr>
          <w:rFonts w:ascii="Arial Narrow" w:eastAsia="Calibri" w:hAnsi="Arial Narrow" w:cs="Calibri"/>
          <w:kern w:val="2"/>
          <w:sz w:val="22"/>
          <w:szCs w:val="22"/>
          <w14:ligatures w14:val="standardContextual"/>
        </w:rPr>
        <w:t>Aktivitetet e komunikimit do të përqendrohen në rritjen e ndërgjegjësimit për masat kryesore të miratuara në Plan dhe në identifikimin e aspekteve të Planit që komuniteti do të duhet të ofronte mbështetje përmes sjelljeve përkatëse. Duke u bazuar në hapat fillestarë, do të nevojitet një strategji komunikimi afatgjate për të ndihmuar në sigurimin e zbatimit të planeve të mëvonshme.</w:t>
      </w:r>
    </w:p>
    <w:p w14:paraId="59D1FB18" w14:textId="77777777" w:rsidR="002863F1" w:rsidRPr="002863F1" w:rsidRDefault="002863F1" w:rsidP="002863F1">
      <w:pPr>
        <w:suppressAutoHyphens/>
        <w:jc w:val="both"/>
        <w:rPr>
          <w:rFonts w:ascii="Arial Narrow" w:eastAsia="Calibri" w:hAnsi="Arial Narrow" w:cs="Calibri"/>
          <w:kern w:val="2"/>
          <w:sz w:val="22"/>
          <w:szCs w:val="22"/>
          <w14:ligatures w14:val="standardContextual"/>
        </w:rPr>
      </w:pPr>
    </w:p>
    <w:p w14:paraId="679AA7ED" w14:textId="77777777" w:rsidR="002863F1" w:rsidRPr="002863F1" w:rsidRDefault="002863F1" w:rsidP="002863F1">
      <w:pPr>
        <w:suppressAutoHyphens/>
        <w:jc w:val="both"/>
        <w:rPr>
          <w:rFonts w:ascii="Arial Narrow" w:eastAsia="Calibri" w:hAnsi="Arial Narrow" w:cs="Calibri"/>
          <w:kern w:val="2"/>
          <w:sz w:val="22"/>
          <w:szCs w:val="22"/>
          <w14:ligatures w14:val="standardContextual"/>
        </w:rPr>
      </w:pPr>
      <w:r w:rsidRPr="002863F1">
        <w:rPr>
          <w:rFonts w:ascii="Arial Narrow" w:eastAsia="Calibri" w:hAnsi="Arial Narrow" w:cs="Calibri"/>
          <w:kern w:val="2"/>
          <w:sz w:val="22"/>
          <w:szCs w:val="22"/>
          <w14:ligatures w14:val="standardContextual"/>
        </w:rPr>
        <w:t>Masat e ndërgjegjësimit dhe edukimit do të fokusohen në:</w:t>
      </w:r>
    </w:p>
    <w:p w14:paraId="332911A1" w14:textId="77777777" w:rsidR="002863F1" w:rsidRPr="003069B8" w:rsidRDefault="002863F1" w:rsidP="002863F1">
      <w:pPr>
        <w:numPr>
          <w:ilvl w:val="0"/>
          <w:numId w:val="35"/>
        </w:numPr>
        <w:suppressAutoHyphens/>
        <w:contextualSpacing/>
        <w:jc w:val="both"/>
        <w:rPr>
          <w:rFonts w:ascii="Arial Narrow" w:eastAsia="Calibri" w:hAnsi="Arial Narrow" w:cs="Calibri"/>
          <w:kern w:val="2"/>
          <w:sz w:val="22"/>
          <w:szCs w:val="22"/>
          <w14:ligatures w14:val="standardContextual"/>
        </w:rPr>
      </w:pPr>
      <w:r w:rsidRPr="003069B8">
        <w:rPr>
          <w:rFonts w:ascii="Arial Narrow" w:eastAsia="Calibri" w:hAnsi="Arial Narrow" w:cs="Calibri"/>
          <w:b/>
          <w:bCs/>
          <w:kern w:val="2"/>
          <w:sz w:val="22"/>
          <w:szCs w:val="22"/>
          <w14:ligatures w14:val="standardContextual"/>
        </w:rPr>
        <w:t>Zhvillimin dhe zbatimin e programeve të kompostimit shtëpiak</w:t>
      </w:r>
      <w:r w:rsidRPr="003069B8">
        <w:rPr>
          <w:rFonts w:ascii="Arial Narrow" w:eastAsia="Calibri" w:hAnsi="Arial Narrow" w:cs="Calibri"/>
          <w:kern w:val="2"/>
          <w:sz w:val="22"/>
          <w:szCs w:val="22"/>
          <w14:ligatures w14:val="standardContextual"/>
        </w:rPr>
        <w:t>. Zgjerimi i vazhdueshëm i programit të kompostimit shtëpiak do të varet shumë nga gatishmëria e familjeve për të marrë pjesë në të. Ndërsa zhvillohet programi i kompostimit shtëpiak, stimujt (p.sh. reduktimi i taksës së mbeturinave) duhet të aplikohen dhe so kjo duhet t'u komunikohen familjeve të interesuara.</w:t>
      </w:r>
    </w:p>
    <w:p w14:paraId="499621DB" w14:textId="77777777" w:rsidR="002863F1" w:rsidRPr="003069B8" w:rsidRDefault="002863F1" w:rsidP="002863F1">
      <w:pPr>
        <w:numPr>
          <w:ilvl w:val="0"/>
          <w:numId w:val="35"/>
        </w:numPr>
        <w:suppressAutoHyphens/>
        <w:contextualSpacing/>
        <w:jc w:val="both"/>
        <w:rPr>
          <w:rFonts w:ascii="Arial Narrow" w:eastAsia="Calibri" w:hAnsi="Arial Narrow" w:cs="Calibri"/>
          <w:kern w:val="2"/>
          <w:sz w:val="22"/>
          <w:szCs w:val="22"/>
          <w14:ligatures w14:val="standardContextual"/>
        </w:rPr>
      </w:pPr>
      <w:r w:rsidRPr="003069B8">
        <w:rPr>
          <w:rFonts w:ascii="Arial Narrow" w:eastAsia="Calibri" w:hAnsi="Arial Narrow" w:cs="Calibri"/>
          <w:b/>
          <w:bCs/>
          <w:kern w:val="2"/>
          <w:sz w:val="22"/>
          <w:szCs w:val="22"/>
          <w14:ligatures w14:val="standardContextual"/>
        </w:rPr>
        <w:t>Grumbullimi ndaras i materialeve të thata të riciklueshme</w:t>
      </w:r>
      <w:r w:rsidRPr="003069B8">
        <w:rPr>
          <w:rFonts w:ascii="Arial Narrow" w:eastAsia="Calibri" w:hAnsi="Arial Narrow" w:cs="Calibri"/>
          <w:kern w:val="2"/>
          <w:sz w:val="22"/>
          <w:szCs w:val="22"/>
          <w14:ligatures w14:val="standardContextual"/>
        </w:rPr>
        <w:t>. Suksesi i ndarjes në burim dhe përmbushja e synimeve të përcaktuara të riciklimit do të varet kryesisht nga pjesëmarrja e banorëve. Masat ndërgjegjësuese do të duhet të jenë të vazhdueshme duke përdorur të gjitha mënyrat e mundshme të komunikimit – masmedia, billborde dhe pamje të tjera, media sociale, përfshirje të OJQ-ve, etj.</w:t>
      </w:r>
    </w:p>
    <w:p w14:paraId="1F9DBCA1" w14:textId="77777777" w:rsidR="002863F1" w:rsidRPr="002863F1" w:rsidRDefault="002863F1" w:rsidP="002863F1">
      <w:pPr>
        <w:numPr>
          <w:ilvl w:val="0"/>
          <w:numId w:val="35"/>
        </w:numPr>
        <w:suppressAutoHyphens/>
        <w:contextualSpacing/>
        <w:jc w:val="both"/>
        <w:rPr>
          <w:rFonts w:ascii="Arial Narrow" w:eastAsia="Calibri" w:hAnsi="Arial Narrow" w:cs="Calibri"/>
          <w:kern w:val="2"/>
          <w:sz w:val="22"/>
          <w:szCs w:val="22"/>
          <w:lang w:val="en-GB"/>
          <w14:ligatures w14:val="standardContextual"/>
        </w:rPr>
      </w:pPr>
      <w:proofErr w:type="spellStart"/>
      <w:r w:rsidRPr="002863F1">
        <w:rPr>
          <w:rFonts w:ascii="Arial Narrow" w:eastAsia="Calibri" w:hAnsi="Arial Narrow" w:cs="Calibri"/>
          <w:b/>
          <w:bCs/>
          <w:kern w:val="2"/>
          <w:sz w:val="22"/>
          <w:szCs w:val="22"/>
          <w:lang w:val="en-GB"/>
          <w14:ligatures w14:val="standardContextual"/>
        </w:rPr>
        <w:t>Qëllimi</w:t>
      </w:r>
      <w:proofErr w:type="spellEnd"/>
      <w:r w:rsidRPr="002863F1">
        <w:rPr>
          <w:rFonts w:ascii="Arial Narrow" w:eastAsia="Calibri" w:hAnsi="Arial Narrow" w:cs="Calibri"/>
          <w:b/>
          <w:bCs/>
          <w:kern w:val="2"/>
          <w:sz w:val="22"/>
          <w:szCs w:val="22"/>
          <w:lang w:val="en-GB"/>
          <w14:ligatures w14:val="standardContextual"/>
        </w:rPr>
        <w:t xml:space="preserve"> </w:t>
      </w:r>
      <w:proofErr w:type="spellStart"/>
      <w:r w:rsidRPr="002863F1">
        <w:rPr>
          <w:rFonts w:ascii="Arial Narrow" w:eastAsia="Calibri" w:hAnsi="Arial Narrow" w:cs="Calibri"/>
          <w:b/>
          <w:bCs/>
          <w:kern w:val="2"/>
          <w:sz w:val="22"/>
          <w:szCs w:val="22"/>
          <w:lang w:val="en-GB"/>
          <w14:ligatures w14:val="standardContextual"/>
        </w:rPr>
        <w:t>dhe</w:t>
      </w:r>
      <w:proofErr w:type="spellEnd"/>
      <w:r w:rsidRPr="002863F1">
        <w:rPr>
          <w:rFonts w:ascii="Arial Narrow" w:eastAsia="Calibri" w:hAnsi="Arial Narrow" w:cs="Calibri"/>
          <w:b/>
          <w:bCs/>
          <w:kern w:val="2"/>
          <w:sz w:val="22"/>
          <w:szCs w:val="22"/>
          <w:lang w:val="en-GB"/>
          <w14:ligatures w14:val="standardContextual"/>
        </w:rPr>
        <w:t xml:space="preserve"> </w:t>
      </w:r>
      <w:proofErr w:type="spellStart"/>
      <w:r w:rsidRPr="002863F1">
        <w:rPr>
          <w:rFonts w:ascii="Arial Narrow" w:eastAsia="Calibri" w:hAnsi="Arial Narrow" w:cs="Calibri"/>
          <w:b/>
          <w:bCs/>
          <w:kern w:val="2"/>
          <w:sz w:val="22"/>
          <w:szCs w:val="22"/>
          <w:lang w:val="en-GB"/>
          <w14:ligatures w14:val="standardContextual"/>
        </w:rPr>
        <w:t>përdorimi</w:t>
      </w:r>
      <w:proofErr w:type="spellEnd"/>
      <w:r w:rsidRPr="002863F1">
        <w:rPr>
          <w:rFonts w:ascii="Arial Narrow" w:eastAsia="Calibri" w:hAnsi="Arial Narrow" w:cs="Calibri"/>
          <w:b/>
          <w:bCs/>
          <w:kern w:val="2"/>
          <w:sz w:val="22"/>
          <w:szCs w:val="22"/>
          <w:lang w:val="en-GB"/>
          <w14:ligatures w14:val="standardContextual"/>
        </w:rPr>
        <w:t xml:space="preserve"> i </w:t>
      </w:r>
      <w:proofErr w:type="spellStart"/>
      <w:r w:rsidRPr="002863F1">
        <w:rPr>
          <w:rFonts w:ascii="Arial Narrow" w:eastAsia="Calibri" w:hAnsi="Arial Narrow" w:cs="Calibri"/>
          <w:b/>
          <w:bCs/>
          <w:kern w:val="2"/>
          <w:sz w:val="22"/>
          <w:szCs w:val="22"/>
          <w:lang w:val="en-GB"/>
          <w14:ligatures w14:val="standardContextual"/>
        </w:rPr>
        <w:t>oberreve</w:t>
      </w:r>
      <w:proofErr w:type="spellEnd"/>
      <w:r w:rsidRPr="002863F1">
        <w:rPr>
          <w:rFonts w:ascii="Arial Narrow" w:eastAsia="Calibri" w:hAnsi="Arial Narrow" w:cs="Calibri"/>
          <w:b/>
          <w:bCs/>
          <w:kern w:val="2"/>
          <w:sz w:val="22"/>
          <w:szCs w:val="22"/>
          <w:lang w:val="en-GB"/>
          <w14:ligatures w14:val="standardContextual"/>
        </w:rPr>
        <w:t xml:space="preserve"> </w:t>
      </w:r>
      <w:proofErr w:type="spellStart"/>
      <w:r w:rsidRPr="002863F1">
        <w:rPr>
          <w:rFonts w:ascii="Arial Narrow" w:eastAsia="Calibri" w:hAnsi="Arial Narrow" w:cs="Calibri"/>
          <w:b/>
          <w:bCs/>
          <w:kern w:val="2"/>
          <w:sz w:val="22"/>
          <w:szCs w:val="22"/>
          <w:lang w:val="en-GB"/>
          <w14:ligatures w14:val="standardContextual"/>
        </w:rPr>
        <w:t>të</w:t>
      </w:r>
      <w:proofErr w:type="spellEnd"/>
      <w:r w:rsidRPr="002863F1">
        <w:rPr>
          <w:rFonts w:ascii="Arial Narrow" w:eastAsia="Calibri" w:hAnsi="Arial Narrow" w:cs="Calibri"/>
          <w:b/>
          <w:bCs/>
          <w:kern w:val="2"/>
          <w:sz w:val="22"/>
          <w:szCs w:val="22"/>
          <w:lang w:val="en-GB"/>
          <w14:ligatures w14:val="standardContextual"/>
        </w:rPr>
        <w:t xml:space="preserve"> </w:t>
      </w:r>
      <w:proofErr w:type="spellStart"/>
      <w:r w:rsidRPr="002863F1">
        <w:rPr>
          <w:rFonts w:ascii="Arial Narrow" w:eastAsia="Calibri" w:hAnsi="Arial Narrow" w:cs="Calibri"/>
          <w:b/>
          <w:bCs/>
          <w:kern w:val="2"/>
          <w:sz w:val="22"/>
          <w:szCs w:val="22"/>
          <w:lang w:val="en-GB"/>
          <w14:ligatures w14:val="standardContextual"/>
        </w:rPr>
        <w:t>riciklimit</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Menjëherë</w:t>
      </w:r>
      <w:proofErr w:type="spellEnd"/>
      <w:r w:rsidRPr="002863F1">
        <w:rPr>
          <w:rFonts w:ascii="Arial Narrow" w:eastAsia="Calibri" w:hAnsi="Arial Narrow" w:cs="Calibri"/>
          <w:kern w:val="2"/>
          <w:sz w:val="22"/>
          <w:szCs w:val="22"/>
          <w:lang w:val="en-GB"/>
          <w14:ligatures w14:val="standardContextual"/>
        </w:rPr>
        <w:t xml:space="preserve"> pas </w:t>
      </w:r>
      <w:proofErr w:type="spellStart"/>
      <w:r w:rsidRPr="002863F1">
        <w:rPr>
          <w:rFonts w:ascii="Arial Narrow" w:eastAsia="Calibri" w:hAnsi="Arial Narrow" w:cs="Calibri"/>
          <w:kern w:val="2"/>
          <w:sz w:val="22"/>
          <w:szCs w:val="22"/>
          <w:lang w:val="en-GB"/>
          <w14:ligatures w14:val="standardContextual"/>
        </w:rPr>
        <w:t>ngritjes</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së</w:t>
      </w:r>
      <w:proofErr w:type="spellEnd"/>
      <w:r w:rsidRPr="002863F1">
        <w:rPr>
          <w:rFonts w:ascii="Arial Narrow" w:eastAsia="Calibri" w:hAnsi="Arial Narrow" w:cs="Calibri"/>
          <w:kern w:val="2"/>
          <w:sz w:val="22"/>
          <w:szCs w:val="22"/>
          <w:lang w:val="en-GB"/>
          <w14:ligatures w14:val="standardContextual"/>
        </w:rPr>
        <w:t xml:space="preserve"> OR, </w:t>
      </w:r>
      <w:proofErr w:type="spellStart"/>
      <w:r w:rsidRPr="002863F1">
        <w:rPr>
          <w:rFonts w:ascii="Arial Narrow" w:eastAsia="Calibri" w:hAnsi="Arial Narrow" w:cs="Calibri"/>
          <w:kern w:val="2"/>
          <w:sz w:val="22"/>
          <w:szCs w:val="22"/>
          <w:lang w:val="en-GB"/>
          <w14:ligatures w14:val="standardContextual"/>
        </w:rPr>
        <w:t>qëllimi</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dhe</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dobia</w:t>
      </w:r>
      <w:proofErr w:type="spellEnd"/>
      <w:r w:rsidRPr="002863F1">
        <w:rPr>
          <w:rFonts w:ascii="Arial Narrow" w:eastAsia="Calibri" w:hAnsi="Arial Narrow" w:cs="Calibri"/>
          <w:kern w:val="2"/>
          <w:sz w:val="22"/>
          <w:szCs w:val="22"/>
          <w:lang w:val="en-GB"/>
          <w14:ligatures w14:val="standardContextual"/>
        </w:rPr>
        <w:t xml:space="preserve"> e tyre </w:t>
      </w:r>
      <w:proofErr w:type="spellStart"/>
      <w:r w:rsidRPr="002863F1">
        <w:rPr>
          <w:rFonts w:ascii="Arial Narrow" w:eastAsia="Calibri" w:hAnsi="Arial Narrow" w:cs="Calibri"/>
          <w:kern w:val="2"/>
          <w:sz w:val="22"/>
          <w:szCs w:val="22"/>
          <w:lang w:val="en-GB"/>
          <w14:ligatures w14:val="standardContextual"/>
        </w:rPr>
        <w:t>duhet</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t'u</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komunikohet</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banorëve</w:t>
      </w:r>
      <w:proofErr w:type="spellEnd"/>
      <w:r w:rsidRPr="002863F1">
        <w:rPr>
          <w:rFonts w:ascii="Arial Narrow" w:eastAsia="Calibri" w:hAnsi="Arial Narrow" w:cs="Calibri"/>
          <w:kern w:val="2"/>
          <w:sz w:val="22"/>
          <w:szCs w:val="22"/>
          <w:lang w:val="en-GB"/>
          <w14:ligatures w14:val="standardContextual"/>
        </w:rPr>
        <w:t xml:space="preserve">. OR do </w:t>
      </w:r>
      <w:proofErr w:type="spellStart"/>
      <w:r w:rsidRPr="002863F1">
        <w:rPr>
          <w:rFonts w:ascii="Arial Narrow" w:eastAsia="Calibri" w:hAnsi="Arial Narrow" w:cs="Calibri"/>
          <w:kern w:val="2"/>
          <w:sz w:val="22"/>
          <w:szCs w:val="22"/>
          <w:lang w:val="en-GB"/>
          <w14:ligatures w14:val="standardContextual"/>
        </w:rPr>
        <w:t>të</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pajisen</w:t>
      </w:r>
      <w:proofErr w:type="spellEnd"/>
      <w:r w:rsidRPr="002863F1">
        <w:rPr>
          <w:rFonts w:ascii="Arial Narrow" w:eastAsia="Calibri" w:hAnsi="Arial Narrow" w:cs="Calibri"/>
          <w:kern w:val="2"/>
          <w:sz w:val="22"/>
          <w:szCs w:val="22"/>
          <w:lang w:val="en-GB"/>
          <w14:ligatures w14:val="standardContextual"/>
        </w:rPr>
        <w:t xml:space="preserve"> me </w:t>
      </w:r>
      <w:proofErr w:type="spellStart"/>
      <w:r w:rsidRPr="002863F1">
        <w:rPr>
          <w:rFonts w:ascii="Arial Narrow" w:eastAsia="Calibri" w:hAnsi="Arial Narrow" w:cs="Calibri"/>
          <w:kern w:val="2"/>
          <w:sz w:val="22"/>
          <w:szCs w:val="22"/>
          <w:lang w:val="en-GB"/>
          <w14:ligatures w14:val="standardContextual"/>
        </w:rPr>
        <w:t>kontejnerë</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për</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grumbullimin</w:t>
      </w:r>
      <w:proofErr w:type="spellEnd"/>
      <w:r w:rsidRPr="002863F1">
        <w:rPr>
          <w:rFonts w:ascii="Arial Narrow" w:eastAsia="Calibri" w:hAnsi="Arial Narrow" w:cs="Calibri"/>
          <w:kern w:val="2"/>
          <w:sz w:val="22"/>
          <w:szCs w:val="22"/>
          <w:lang w:val="en-GB"/>
          <w14:ligatures w14:val="standardContextual"/>
        </w:rPr>
        <w:t xml:space="preserve"> e </w:t>
      </w:r>
      <w:proofErr w:type="spellStart"/>
      <w:r w:rsidRPr="002863F1">
        <w:rPr>
          <w:rFonts w:ascii="Arial Narrow" w:eastAsia="Calibri" w:hAnsi="Arial Narrow" w:cs="Calibri"/>
          <w:kern w:val="2"/>
          <w:sz w:val="22"/>
          <w:szCs w:val="22"/>
          <w:lang w:val="en-GB"/>
          <w14:ligatures w14:val="standardContextual"/>
        </w:rPr>
        <w:t>mbeturinave</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specifike</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të</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cilat</w:t>
      </w:r>
      <w:proofErr w:type="spellEnd"/>
      <w:r w:rsidRPr="002863F1">
        <w:rPr>
          <w:rFonts w:ascii="Arial Narrow" w:eastAsia="Calibri" w:hAnsi="Arial Narrow" w:cs="Calibri"/>
          <w:kern w:val="2"/>
          <w:sz w:val="22"/>
          <w:szCs w:val="22"/>
          <w:lang w:val="en-GB"/>
          <w14:ligatures w14:val="standardContextual"/>
        </w:rPr>
        <w:t xml:space="preserve"> do </w:t>
      </w:r>
      <w:proofErr w:type="spellStart"/>
      <w:r w:rsidRPr="002863F1">
        <w:rPr>
          <w:rFonts w:ascii="Arial Narrow" w:eastAsia="Calibri" w:hAnsi="Arial Narrow" w:cs="Calibri"/>
          <w:kern w:val="2"/>
          <w:sz w:val="22"/>
          <w:szCs w:val="22"/>
          <w:lang w:val="en-GB"/>
          <w14:ligatures w14:val="standardContextual"/>
        </w:rPr>
        <w:t>të</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jenë</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mënyra</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kryesore</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për</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banorët</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që</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të</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hedhin</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produktet</w:t>
      </w:r>
      <w:proofErr w:type="spellEnd"/>
      <w:r w:rsidRPr="002863F1">
        <w:rPr>
          <w:rFonts w:ascii="Arial Narrow" w:eastAsia="Calibri" w:hAnsi="Arial Narrow" w:cs="Calibri"/>
          <w:kern w:val="2"/>
          <w:sz w:val="22"/>
          <w:szCs w:val="22"/>
          <w:lang w:val="en-GB"/>
          <w14:ligatures w14:val="standardContextual"/>
        </w:rPr>
        <w:t xml:space="preserve"> e tyre </w:t>
      </w:r>
      <w:proofErr w:type="spellStart"/>
      <w:r w:rsidRPr="002863F1">
        <w:rPr>
          <w:rFonts w:ascii="Arial Narrow" w:eastAsia="Calibri" w:hAnsi="Arial Narrow" w:cs="Calibri"/>
          <w:kern w:val="2"/>
          <w:sz w:val="22"/>
          <w:szCs w:val="22"/>
          <w:lang w:val="en-GB"/>
          <w14:ligatures w14:val="standardContextual"/>
        </w:rPr>
        <w:t>që</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janë</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jashtë</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përdorimit</w:t>
      </w:r>
      <w:proofErr w:type="spellEnd"/>
      <w:r w:rsidRPr="002863F1">
        <w:rPr>
          <w:rFonts w:ascii="Arial Narrow" w:eastAsia="Calibri" w:hAnsi="Arial Narrow" w:cs="Calibri"/>
          <w:kern w:val="2"/>
          <w:sz w:val="22"/>
          <w:szCs w:val="22"/>
          <w:lang w:val="en-GB"/>
          <w14:ligatures w14:val="standardContextual"/>
        </w:rPr>
        <w:t xml:space="preserve"> (MPEE, </w:t>
      </w:r>
      <w:proofErr w:type="spellStart"/>
      <w:r w:rsidRPr="002863F1">
        <w:rPr>
          <w:rFonts w:ascii="Arial Narrow" w:eastAsia="Calibri" w:hAnsi="Arial Narrow" w:cs="Calibri"/>
          <w:kern w:val="2"/>
          <w:sz w:val="22"/>
          <w:szCs w:val="22"/>
          <w:lang w:val="en-GB"/>
          <w14:ligatures w14:val="standardContextual"/>
        </w:rPr>
        <w:t>bateri</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etj</w:t>
      </w:r>
      <w:proofErr w:type="spellEnd"/>
      <w:r w:rsidRPr="002863F1">
        <w:rPr>
          <w:rFonts w:ascii="Arial Narrow" w:eastAsia="Calibri" w:hAnsi="Arial Narrow" w:cs="Calibri"/>
          <w:kern w:val="2"/>
          <w:sz w:val="22"/>
          <w:szCs w:val="22"/>
          <w:lang w:val="en-GB"/>
          <w14:ligatures w14:val="standardContextual"/>
        </w:rPr>
        <w:t>).</w:t>
      </w:r>
    </w:p>
    <w:p w14:paraId="015A3FD0" w14:textId="77777777" w:rsidR="002863F1" w:rsidRPr="002863F1" w:rsidRDefault="002863F1" w:rsidP="002863F1">
      <w:pPr>
        <w:numPr>
          <w:ilvl w:val="0"/>
          <w:numId w:val="35"/>
        </w:numPr>
        <w:suppressAutoHyphens/>
        <w:contextualSpacing/>
        <w:jc w:val="both"/>
        <w:rPr>
          <w:rFonts w:ascii="Arial Narrow" w:eastAsia="Calibri" w:hAnsi="Arial Narrow" w:cs="Calibri"/>
          <w:kern w:val="2"/>
          <w:sz w:val="22"/>
          <w:szCs w:val="22"/>
          <w:lang w:val="en-GB"/>
          <w14:ligatures w14:val="standardContextual"/>
        </w:rPr>
      </w:pPr>
      <w:proofErr w:type="spellStart"/>
      <w:r w:rsidRPr="002863F1">
        <w:rPr>
          <w:rFonts w:ascii="Arial Narrow" w:eastAsia="Calibri" w:hAnsi="Arial Narrow" w:cs="Calibri"/>
          <w:b/>
          <w:bCs/>
          <w:kern w:val="2"/>
          <w:sz w:val="22"/>
          <w:szCs w:val="22"/>
          <w:lang w:val="en-GB"/>
          <w14:ligatures w14:val="standardContextual"/>
        </w:rPr>
        <w:t>Menaxhimi</w:t>
      </w:r>
      <w:proofErr w:type="spellEnd"/>
      <w:r w:rsidRPr="002863F1">
        <w:rPr>
          <w:rFonts w:ascii="Arial Narrow" w:eastAsia="Calibri" w:hAnsi="Arial Narrow" w:cs="Calibri"/>
          <w:b/>
          <w:bCs/>
          <w:kern w:val="2"/>
          <w:sz w:val="22"/>
          <w:szCs w:val="22"/>
          <w:lang w:val="en-GB"/>
          <w14:ligatures w14:val="standardContextual"/>
        </w:rPr>
        <w:t xml:space="preserve"> i </w:t>
      </w:r>
      <w:proofErr w:type="spellStart"/>
      <w:r w:rsidRPr="002863F1">
        <w:rPr>
          <w:rFonts w:ascii="Arial Narrow" w:eastAsia="Calibri" w:hAnsi="Arial Narrow" w:cs="Calibri"/>
          <w:b/>
          <w:bCs/>
          <w:kern w:val="2"/>
          <w:sz w:val="22"/>
          <w:szCs w:val="22"/>
          <w:lang w:val="en-GB"/>
          <w14:ligatures w14:val="standardContextual"/>
        </w:rPr>
        <w:t>mbeturinave</w:t>
      </w:r>
      <w:proofErr w:type="spellEnd"/>
      <w:r w:rsidRPr="002863F1">
        <w:rPr>
          <w:rFonts w:ascii="Arial Narrow" w:eastAsia="Calibri" w:hAnsi="Arial Narrow" w:cs="Calibri"/>
          <w:b/>
          <w:bCs/>
          <w:kern w:val="2"/>
          <w:sz w:val="22"/>
          <w:szCs w:val="22"/>
          <w:lang w:val="en-GB"/>
          <w14:ligatures w14:val="standardContextual"/>
        </w:rPr>
        <w:t xml:space="preserve"> </w:t>
      </w:r>
      <w:proofErr w:type="spellStart"/>
      <w:r w:rsidRPr="002863F1">
        <w:rPr>
          <w:rFonts w:ascii="Arial Narrow" w:eastAsia="Calibri" w:hAnsi="Arial Narrow" w:cs="Calibri"/>
          <w:b/>
          <w:bCs/>
          <w:kern w:val="2"/>
          <w:sz w:val="22"/>
          <w:szCs w:val="22"/>
          <w:lang w:val="en-GB"/>
          <w14:ligatures w14:val="standardContextual"/>
        </w:rPr>
        <w:t>të</w:t>
      </w:r>
      <w:proofErr w:type="spellEnd"/>
      <w:r w:rsidRPr="002863F1">
        <w:rPr>
          <w:rFonts w:ascii="Arial Narrow" w:eastAsia="Calibri" w:hAnsi="Arial Narrow" w:cs="Calibri"/>
          <w:b/>
          <w:bCs/>
          <w:kern w:val="2"/>
          <w:sz w:val="22"/>
          <w:szCs w:val="22"/>
          <w:lang w:val="en-GB"/>
          <w14:ligatures w14:val="standardContextual"/>
        </w:rPr>
        <w:t xml:space="preserve"> </w:t>
      </w:r>
      <w:proofErr w:type="spellStart"/>
      <w:r w:rsidRPr="002863F1">
        <w:rPr>
          <w:rFonts w:ascii="Arial Narrow" w:eastAsia="Calibri" w:hAnsi="Arial Narrow" w:cs="Calibri"/>
          <w:b/>
          <w:bCs/>
          <w:kern w:val="2"/>
          <w:sz w:val="22"/>
          <w:szCs w:val="22"/>
          <w:lang w:val="en-GB"/>
          <w14:ligatures w14:val="standardContextual"/>
        </w:rPr>
        <w:t>vëllimshme</w:t>
      </w:r>
      <w:proofErr w:type="spellEnd"/>
      <w:r w:rsidRPr="002863F1">
        <w:rPr>
          <w:rFonts w:ascii="Arial Narrow" w:eastAsia="Calibri" w:hAnsi="Arial Narrow" w:cs="Calibri"/>
          <w:b/>
          <w:bCs/>
          <w:kern w:val="2"/>
          <w:sz w:val="22"/>
          <w:szCs w:val="22"/>
          <w:lang w:val="en-GB"/>
          <w14:ligatures w14:val="standardContextual"/>
        </w:rPr>
        <w:t xml:space="preserve"> </w:t>
      </w:r>
      <w:proofErr w:type="spellStart"/>
      <w:r w:rsidRPr="002863F1">
        <w:rPr>
          <w:rFonts w:ascii="Arial Narrow" w:eastAsia="Calibri" w:hAnsi="Arial Narrow" w:cs="Calibri"/>
          <w:b/>
          <w:bCs/>
          <w:kern w:val="2"/>
          <w:sz w:val="22"/>
          <w:szCs w:val="22"/>
          <w:lang w:val="en-GB"/>
          <w14:ligatures w14:val="standardContextual"/>
        </w:rPr>
        <w:t>dhe</w:t>
      </w:r>
      <w:proofErr w:type="spellEnd"/>
      <w:r w:rsidRPr="002863F1">
        <w:rPr>
          <w:rFonts w:ascii="Arial Narrow" w:eastAsia="Calibri" w:hAnsi="Arial Narrow" w:cs="Calibri"/>
          <w:b/>
          <w:bCs/>
          <w:kern w:val="2"/>
          <w:sz w:val="22"/>
          <w:szCs w:val="22"/>
          <w:lang w:val="en-GB"/>
          <w14:ligatures w14:val="standardContextual"/>
        </w:rPr>
        <w:t xml:space="preserve"> </w:t>
      </w:r>
      <w:proofErr w:type="spellStart"/>
      <w:r w:rsidRPr="002863F1">
        <w:rPr>
          <w:rFonts w:ascii="Arial Narrow" w:eastAsia="Calibri" w:hAnsi="Arial Narrow" w:cs="Calibri"/>
          <w:b/>
          <w:bCs/>
          <w:kern w:val="2"/>
          <w:sz w:val="22"/>
          <w:szCs w:val="22"/>
          <w:lang w:val="en-GB"/>
          <w14:ligatures w14:val="standardContextual"/>
        </w:rPr>
        <w:t>të</w:t>
      </w:r>
      <w:proofErr w:type="spellEnd"/>
      <w:r w:rsidRPr="002863F1">
        <w:rPr>
          <w:rFonts w:ascii="Arial Narrow" w:eastAsia="Calibri" w:hAnsi="Arial Narrow" w:cs="Calibri"/>
          <w:b/>
          <w:bCs/>
          <w:kern w:val="2"/>
          <w:sz w:val="22"/>
          <w:szCs w:val="22"/>
          <w:lang w:val="en-GB"/>
          <w14:ligatures w14:val="standardContextual"/>
        </w:rPr>
        <w:t xml:space="preserve"> </w:t>
      </w:r>
      <w:proofErr w:type="spellStart"/>
      <w:r w:rsidRPr="002863F1">
        <w:rPr>
          <w:rFonts w:ascii="Arial Narrow" w:eastAsia="Calibri" w:hAnsi="Arial Narrow" w:cs="Calibri"/>
          <w:b/>
          <w:bCs/>
          <w:kern w:val="2"/>
          <w:sz w:val="22"/>
          <w:szCs w:val="22"/>
          <w:lang w:val="en-GB"/>
          <w14:ligatures w14:val="standardContextual"/>
        </w:rPr>
        <w:t>ndërtimit</w:t>
      </w:r>
      <w:proofErr w:type="spellEnd"/>
      <w:r w:rsidRPr="002863F1">
        <w:rPr>
          <w:rFonts w:ascii="Arial Narrow" w:eastAsia="Calibri" w:hAnsi="Arial Narrow" w:cs="Calibri"/>
          <w:b/>
          <w:bCs/>
          <w:kern w:val="2"/>
          <w:sz w:val="22"/>
          <w:szCs w:val="22"/>
          <w:lang w:val="en-GB"/>
          <w14:ligatures w14:val="standardContextual"/>
        </w:rPr>
        <w:t xml:space="preserve"> </w:t>
      </w:r>
      <w:proofErr w:type="spellStart"/>
      <w:r w:rsidRPr="002863F1">
        <w:rPr>
          <w:rFonts w:ascii="Arial Narrow" w:eastAsia="Calibri" w:hAnsi="Arial Narrow" w:cs="Calibri"/>
          <w:b/>
          <w:bCs/>
          <w:kern w:val="2"/>
          <w:sz w:val="22"/>
          <w:szCs w:val="22"/>
          <w:lang w:val="en-GB"/>
          <w14:ligatures w14:val="standardContextual"/>
        </w:rPr>
        <w:t>nga</w:t>
      </w:r>
      <w:proofErr w:type="spellEnd"/>
      <w:r w:rsidRPr="002863F1">
        <w:rPr>
          <w:rFonts w:ascii="Arial Narrow" w:eastAsia="Calibri" w:hAnsi="Arial Narrow" w:cs="Calibri"/>
          <w:b/>
          <w:bCs/>
          <w:kern w:val="2"/>
          <w:sz w:val="22"/>
          <w:szCs w:val="22"/>
          <w:lang w:val="en-GB"/>
          <w14:ligatures w14:val="standardContextual"/>
        </w:rPr>
        <w:t xml:space="preserve"> </w:t>
      </w:r>
      <w:proofErr w:type="spellStart"/>
      <w:r w:rsidRPr="002863F1">
        <w:rPr>
          <w:rFonts w:ascii="Arial Narrow" w:eastAsia="Calibri" w:hAnsi="Arial Narrow" w:cs="Calibri"/>
          <w:b/>
          <w:bCs/>
          <w:kern w:val="2"/>
          <w:sz w:val="22"/>
          <w:szCs w:val="22"/>
          <w:lang w:val="en-GB"/>
          <w14:ligatures w14:val="standardContextual"/>
        </w:rPr>
        <w:t>punimet</w:t>
      </w:r>
      <w:proofErr w:type="spellEnd"/>
      <w:r w:rsidRPr="002863F1">
        <w:rPr>
          <w:rFonts w:ascii="Arial Narrow" w:eastAsia="Calibri" w:hAnsi="Arial Narrow" w:cs="Calibri"/>
          <w:b/>
          <w:bCs/>
          <w:kern w:val="2"/>
          <w:sz w:val="22"/>
          <w:szCs w:val="22"/>
          <w:lang w:val="en-GB"/>
          <w14:ligatures w14:val="standardContextual"/>
        </w:rPr>
        <w:t xml:space="preserve"> e </w:t>
      </w:r>
      <w:proofErr w:type="spellStart"/>
      <w:r w:rsidRPr="002863F1">
        <w:rPr>
          <w:rFonts w:ascii="Arial Narrow" w:eastAsia="Calibri" w:hAnsi="Arial Narrow" w:cs="Calibri"/>
          <w:b/>
          <w:bCs/>
          <w:kern w:val="2"/>
          <w:sz w:val="22"/>
          <w:szCs w:val="22"/>
          <w:lang w:val="en-GB"/>
          <w14:ligatures w14:val="standardContextual"/>
        </w:rPr>
        <w:t>riparimit</w:t>
      </w:r>
      <w:proofErr w:type="spellEnd"/>
      <w:r w:rsidRPr="002863F1">
        <w:rPr>
          <w:rFonts w:ascii="Arial Narrow" w:eastAsia="Calibri" w:hAnsi="Arial Narrow" w:cs="Calibri"/>
          <w:b/>
          <w:bCs/>
          <w:kern w:val="2"/>
          <w:sz w:val="22"/>
          <w:szCs w:val="22"/>
          <w:lang w:val="en-GB"/>
          <w14:ligatures w14:val="standardContextual"/>
        </w:rPr>
        <w:t xml:space="preserve"> </w:t>
      </w:r>
      <w:proofErr w:type="spellStart"/>
      <w:r w:rsidRPr="002863F1">
        <w:rPr>
          <w:rFonts w:ascii="Arial Narrow" w:eastAsia="Calibri" w:hAnsi="Arial Narrow" w:cs="Calibri"/>
          <w:b/>
          <w:bCs/>
          <w:kern w:val="2"/>
          <w:sz w:val="22"/>
          <w:szCs w:val="22"/>
          <w:lang w:val="en-GB"/>
          <w14:ligatures w14:val="standardContextual"/>
        </w:rPr>
        <w:t>të</w:t>
      </w:r>
      <w:proofErr w:type="spellEnd"/>
      <w:r w:rsidRPr="002863F1">
        <w:rPr>
          <w:rFonts w:ascii="Arial Narrow" w:eastAsia="Calibri" w:hAnsi="Arial Narrow" w:cs="Calibri"/>
          <w:b/>
          <w:bCs/>
          <w:kern w:val="2"/>
          <w:sz w:val="22"/>
          <w:szCs w:val="22"/>
          <w:lang w:val="en-GB"/>
          <w14:ligatures w14:val="standardContextual"/>
        </w:rPr>
        <w:t xml:space="preserve"> </w:t>
      </w:r>
      <w:proofErr w:type="spellStart"/>
      <w:r w:rsidRPr="002863F1">
        <w:rPr>
          <w:rFonts w:ascii="Arial Narrow" w:eastAsia="Calibri" w:hAnsi="Arial Narrow" w:cs="Calibri"/>
          <w:b/>
          <w:bCs/>
          <w:kern w:val="2"/>
          <w:sz w:val="22"/>
          <w:szCs w:val="22"/>
          <w:lang w:val="en-GB"/>
          <w14:ligatures w14:val="standardContextual"/>
        </w:rPr>
        <w:t>shtëpive</w:t>
      </w:r>
      <w:proofErr w:type="spellEnd"/>
      <w:r w:rsidRPr="002863F1">
        <w:rPr>
          <w:rFonts w:ascii="Arial Narrow" w:eastAsia="Calibri" w:hAnsi="Arial Narrow" w:cs="Calibri"/>
          <w:kern w:val="2"/>
          <w:sz w:val="22"/>
          <w:szCs w:val="22"/>
          <w:lang w:val="en-GB"/>
          <w14:ligatures w14:val="standardContextual"/>
        </w:rPr>
        <w:t>.</w:t>
      </w:r>
      <w:r w:rsidRPr="002863F1">
        <w:rPr>
          <w:rFonts w:ascii="Arial Narrow" w:eastAsiaTheme="minorHAnsi" w:hAnsi="Arial Narrow" w:cstheme="minorBidi"/>
          <w:lang w:val="en-GB"/>
        </w:rPr>
        <w:t xml:space="preserve"> </w:t>
      </w:r>
      <w:proofErr w:type="spellStart"/>
      <w:r w:rsidRPr="002863F1">
        <w:rPr>
          <w:rFonts w:ascii="Arial Narrow" w:eastAsiaTheme="minorHAnsi" w:hAnsi="Arial Narrow" w:cstheme="minorBidi"/>
          <w:sz w:val="22"/>
          <w:szCs w:val="22"/>
          <w:lang w:val="en-GB"/>
        </w:rPr>
        <w:t>Familjeve</w:t>
      </w:r>
      <w:proofErr w:type="spellEnd"/>
      <w:r w:rsidRPr="002863F1">
        <w:rPr>
          <w:rFonts w:ascii="Arial Narrow" w:eastAsiaTheme="minorHAnsi" w:hAnsi="Arial Narrow" w:cstheme="minorBidi"/>
          <w:sz w:val="22"/>
          <w:szCs w:val="22"/>
          <w:lang w:val="en-GB"/>
        </w:rPr>
        <w:t xml:space="preserve"> do </w:t>
      </w:r>
      <w:proofErr w:type="spellStart"/>
      <w:r w:rsidRPr="002863F1">
        <w:rPr>
          <w:rFonts w:ascii="Arial Narrow" w:eastAsiaTheme="minorHAnsi" w:hAnsi="Arial Narrow" w:cstheme="minorBidi"/>
          <w:sz w:val="22"/>
          <w:szCs w:val="22"/>
          <w:lang w:val="en-GB"/>
        </w:rPr>
        <w:t>t'u</w:t>
      </w:r>
      <w:proofErr w:type="spellEnd"/>
      <w:r w:rsidRPr="002863F1">
        <w:rPr>
          <w:rFonts w:ascii="Arial Narrow" w:eastAsiaTheme="minorHAnsi" w:hAnsi="Arial Narrow" w:cstheme="minorBidi"/>
          <w:sz w:val="22"/>
          <w:szCs w:val="22"/>
          <w:lang w:val="en-GB"/>
        </w:rPr>
        <w:t xml:space="preserve"> </w:t>
      </w:r>
      <w:proofErr w:type="spellStart"/>
      <w:r w:rsidRPr="002863F1">
        <w:rPr>
          <w:rFonts w:ascii="Arial Narrow" w:eastAsiaTheme="minorHAnsi" w:hAnsi="Arial Narrow" w:cstheme="minorBidi"/>
          <w:sz w:val="22"/>
          <w:szCs w:val="22"/>
          <w:lang w:val="en-GB"/>
        </w:rPr>
        <w:t>ofrohet</w:t>
      </w:r>
      <w:proofErr w:type="spellEnd"/>
      <w:r w:rsidRPr="002863F1">
        <w:rPr>
          <w:rFonts w:ascii="Arial Narrow" w:eastAsiaTheme="minorHAnsi" w:hAnsi="Arial Narrow" w:cstheme="minorBidi"/>
          <w:sz w:val="22"/>
          <w:szCs w:val="22"/>
          <w:lang w:val="en-GB"/>
        </w:rPr>
        <w:t xml:space="preserve"> </w:t>
      </w:r>
      <w:proofErr w:type="spellStart"/>
      <w:r w:rsidRPr="002863F1">
        <w:rPr>
          <w:rFonts w:ascii="Arial Narrow" w:eastAsiaTheme="minorHAnsi" w:hAnsi="Arial Narrow" w:cstheme="minorBidi"/>
          <w:sz w:val="22"/>
          <w:szCs w:val="22"/>
          <w:lang w:val="en-GB"/>
        </w:rPr>
        <w:t>nga</w:t>
      </w:r>
      <w:proofErr w:type="spellEnd"/>
      <w:r w:rsidRPr="002863F1">
        <w:rPr>
          <w:rFonts w:ascii="Arial Narrow" w:eastAsiaTheme="minorHAnsi" w:hAnsi="Arial Narrow" w:cstheme="minorBidi"/>
          <w:sz w:val="22"/>
          <w:szCs w:val="22"/>
          <w:lang w:val="en-GB"/>
        </w:rPr>
        <w:t xml:space="preserve"> </w:t>
      </w:r>
      <w:proofErr w:type="spellStart"/>
      <w:r w:rsidRPr="002863F1">
        <w:rPr>
          <w:rFonts w:ascii="Arial Narrow" w:eastAsiaTheme="minorHAnsi" w:hAnsi="Arial Narrow" w:cstheme="minorBidi"/>
          <w:sz w:val="22"/>
          <w:szCs w:val="22"/>
          <w:lang w:val="en-GB"/>
        </w:rPr>
        <w:t>komunat</w:t>
      </w:r>
      <w:proofErr w:type="spellEnd"/>
      <w:r w:rsidRPr="002863F1">
        <w:rPr>
          <w:rFonts w:ascii="Arial Narrow" w:eastAsiaTheme="minorHAnsi" w:hAnsi="Arial Narrow" w:cstheme="minorBidi"/>
          <w:sz w:val="22"/>
          <w:szCs w:val="22"/>
          <w:lang w:val="en-GB"/>
        </w:rPr>
        <w:t xml:space="preserve"> </w:t>
      </w:r>
      <w:proofErr w:type="spellStart"/>
      <w:r w:rsidRPr="002863F1">
        <w:rPr>
          <w:rFonts w:ascii="Arial Narrow" w:eastAsia="Calibri" w:hAnsi="Arial Narrow" w:cs="Calibri"/>
          <w:kern w:val="2"/>
          <w:sz w:val="22"/>
          <w:szCs w:val="22"/>
          <w:lang w:val="en-GB"/>
          <w14:ligatures w14:val="standardContextual"/>
        </w:rPr>
        <w:t>shërbimi</w:t>
      </w:r>
      <w:proofErr w:type="spellEnd"/>
      <w:r w:rsidRPr="002863F1">
        <w:rPr>
          <w:rFonts w:ascii="Arial Narrow" w:eastAsia="Calibri" w:hAnsi="Arial Narrow" w:cs="Calibri"/>
          <w:kern w:val="2"/>
          <w:sz w:val="22"/>
          <w:szCs w:val="22"/>
          <w:lang w:val="en-GB"/>
          <w14:ligatures w14:val="standardContextual"/>
        </w:rPr>
        <w:t xml:space="preserve"> i </w:t>
      </w:r>
      <w:proofErr w:type="spellStart"/>
      <w:r w:rsidRPr="002863F1">
        <w:rPr>
          <w:rFonts w:ascii="Arial Narrow" w:eastAsia="Calibri" w:hAnsi="Arial Narrow" w:cs="Calibri"/>
          <w:kern w:val="2"/>
          <w:sz w:val="22"/>
          <w:szCs w:val="22"/>
          <w:lang w:val="en-GB"/>
          <w14:ligatures w14:val="standardContextual"/>
        </w:rPr>
        <w:t>planifikuar</w:t>
      </w:r>
      <w:proofErr w:type="spellEnd"/>
      <w:r w:rsidRPr="002863F1">
        <w:rPr>
          <w:rFonts w:ascii="Arial Narrow" w:eastAsia="Calibri" w:hAnsi="Arial Narrow" w:cs="Calibri"/>
          <w:kern w:val="2"/>
          <w:sz w:val="22"/>
          <w:szCs w:val="22"/>
          <w:lang w:val="en-GB"/>
          <w14:ligatures w14:val="standardContextual"/>
        </w:rPr>
        <w:t xml:space="preserve"> i </w:t>
      </w:r>
      <w:proofErr w:type="spellStart"/>
      <w:r w:rsidRPr="002863F1">
        <w:rPr>
          <w:rFonts w:ascii="Arial Narrow" w:eastAsia="Calibri" w:hAnsi="Arial Narrow" w:cs="Calibri"/>
          <w:kern w:val="2"/>
          <w:sz w:val="22"/>
          <w:szCs w:val="22"/>
          <w:lang w:val="en-GB"/>
          <w14:ligatures w14:val="standardContextual"/>
        </w:rPr>
        <w:t>grumbullimit</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të</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organizuar</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Përveç</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kësaj</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familjeve</w:t>
      </w:r>
      <w:proofErr w:type="spellEnd"/>
      <w:r w:rsidRPr="002863F1">
        <w:rPr>
          <w:rFonts w:ascii="Arial Narrow" w:eastAsia="Calibri" w:hAnsi="Arial Narrow" w:cs="Calibri"/>
          <w:kern w:val="2"/>
          <w:sz w:val="22"/>
          <w:szCs w:val="22"/>
          <w:lang w:val="en-GB"/>
          <w14:ligatures w14:val="standardContextual"/>
        </w:rPr>
        <w:t xml:space="preserve"> do </w:t>
      </w:r>
      <w:proofErr w:type="spellStart"/>
      <w:r w:rsidRPr="002863F1">
        <w:rPr>
          <w:rFonts w:ascii="Arial Narrow" w:eastAsia="Calibri" w:hAnsi="Arial Narrow" w:cs="Calibri"/>
          <w:kern w:val="2"/>
          <w:sz w:val="22"/>
          <w:szCs w:val="22"/>
          <w:lang w:val="en-GB"/>
          <w14:ligatures w14:val="standardContextual"/>
        </w:rPr>
        <w:t>t'u</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ofrohet</w:t>
      </w:r>
      <w:proofErr w:type="spellEnd"/>
      <w:r w:rsidRPr="002863F1">
        <w:rPr>
          <w:rFonts w:ascii="Arial Narrow" w:eastAsia="Calibri" w:hAnsi="Arial Narrow" w:cs="Calibri"/>
          <w:kern w:val="2"/>
          <w:sz w:val="22"/>
          <w:szCs w:val="22"/>
          <w:lang w:val="en-GB"/>
          <w14:ligatures w14:val="standardContextual"/>
        </w:rPr>
        <w:t xml:space="preserve"> gjithashtu </w:t>
      </w:r>
      <w:proofErr w:type="spellStart"/>
      <w:r w:rsidRPr="002863F1">
        <w:rPr>
          <w:rFonts w:ascii="Arial Narrow" w:eastAsia="Calibri" w:hAnsi="Arial Narrow" w:cs="Calibri"/>
          <w:kern w:val="2"/>
          <w:sz w:val="22"/>
          <w:szCs w:val="22"/>
          <w:lang w:val="en-GB"/>
          <w14:ligatures w14:val="standardContextual"/>
        </w:rPr>
        <w:t>mundësia</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për</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të</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dërguar</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mbeturinat</w:t>
      </w:r>
      <w:proofErr w:type="spellEnd"/>
      <w:r w:rsidRPr="002863F1">
        <w:rPr>
          <w:rFonts w:ascii="Arial Narrow" w:eastAsia="Calibri" w:hAnsi="Arial Narrow" w:cs="Calibri"/>
          <w:kern w:val="2"/>
          <w:sz w:val="22"/>
          <w:szCs w:val="22"/>
          <w:lang w:val="en-GB"/>
          <w14:ligatures w14:val="standardContextual"/>
        </w:rPr>
        <w:t xml:space="preserve"> e tyre </w:t>
      </w:r>
      <w:proofErr w:type="spellStart"/>
      <w:r w:rsidRPr="002863F1">
        <w:rPr>
          <w:rFonts w:ascii="Arial Narrow" w:eastAsia="Calibri" w:hAnsi="Arial Narrow" w:cs="Calibri"/>
          <w:kern w:val="2"/>
          <w:sz w:val="22"/>
          <w:szCs w:val="22"/>
          <w:lang w:val="en-GB"/>
          <w14:ligatures w14:val="standardContextual"/>
        </w:rPr>
        <w:t>të</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vëllimshme</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në</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oborret</w:t>
      </w:r>
      <w:proofErr w:type="spellEnd"/>
      <w:r w:rsidRPr="002863F1">
        <w:rPr>
          <w:rFonts w:ascii="Arial Narrow" w:eastAsia="Calibri" w:hAnsi="Arial Narrow" w:cs="Calibri"/>
          <w:kern w:val="2"/>
          <w:sz w:val="22"/>
          <w:szCs w:val="22"/>
          <w:lang w:val="en-GB"/>
          <w14:ligatures w14:val="standardContextual"/>
        </w:rPr>
        <w:t xml:space="preserve"> e </w:t>
      </w:r>
      <w:proofErr w:type="spellStart"/>
      <w:r w:rsidRPr="002863F1">
        <w:rPr>
          <w:rFonts w:ascii="Arial Narrow" w:eastAsia="Calibri" w:hAnsi="Arial Narrow" w:cs="Calibri"/>
          <w:kern w:val="2"/>
          <w:sz w:val="22"/>
          <w:szCs w:val="22"/>
          <w:lang w:val="en-GB"/>
          <w14:ligatures w14:val="standardContextual"/>
        </w:rPr>
        <w:t>centralizuara</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të</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riciklimit</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Për</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të</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shmangur</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hedhjen</w:t>
      </w:r>
      <w:proofErr w:type="spellEnd"/>
      <w:r w:rsidRPr="002863F1">
        <w:rPr>
          <w:rFonts w:ascii="Arial Narrow" w:eastAsia="Calibri" w:hAnsi="Arial Narrow" w:cs="Calibri"/>
          <w:kern w:val="2"/>
          <w:sz w:val="22"/>
          <w:szCs w:val="22"/>
          <w:lang w:val="en-GB"/>
          <w14:ligatures w14:val="standardContextual"/>
        </w:rPr>
        <w:t xml:space="preserve"> e </w:t>
      </w:r>
      <w:proofErr w:type="spellStart"/>
      <w:r w:rsidRPr="002863F1">
        <w:rPr>
          <w:rFonts w:ascii="Arial Narrow" w:eastAsia="Calibri" w:hAnsi="Arial Narrow" w:cs="Calibri"/>
          <w:kern w:val="2"/>
          <w:sz w:val="22"/>
          <w:szCs w:val="22"/>
          <w:lang w:val="en-GB"/>
          <w14:ligatures w14:val="standardContextual"/>
        </w:rPr>
        <w:t>parregullt</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të</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këtyre</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llojeve</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të</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mbeturinave</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banorët</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duhet</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ndërgjegjësuar</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për</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opsionet</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që</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kanë</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për</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grumbullimin</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dhe</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deponimin</w:t>
      </w:r>
      <w:proofErr w:type="spellEnd"/>
      <w:r w:rsidRPr="002863F1">
        <w:rPr>
          <w:rFonts w:ascii="Arial Narrow" w:eastAsia="Calibri" w:hAnsi="Arial Narrow" w:cs="Calibri"/>
          <w:kern w:val="2"/>
          <w:sz w:val="22"/>
          <w:szCs w:val="22"/>
          <w:lang w:val="en-GB"/>
          <w14:ligatures w14:val="standardContextual"/>
        </w:rPr>
        <w:t xml:space="preserve"> e </w:t>
      </w:r>
      <w:proofErr w:type="spellStart"/>
      <w:r w:rsidRPr="002863F1">
        <w:rPr>
          <w:rFonts w:ascii="Arial Narrow" w:eastAsia="Calibri" w:hAnsi="Arial Narrow" w:cs="Calibri"/>
          <w:kern w:val="2"/>
          <w:sz w:val="22"/>
          <w:szCs w:val="22"/>
          <w:lang w:val="en-GB"/>
          <w14:ligatures w14:val="standardContextual"/>
        </w:rPr>
        <w:t>rregullt</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të</w:t>
      </w:r>
      <w:proofErr w:type="spellEnd"/>
      <w:r w:rsidRPr="002863F1">
        <w:rPr>
          <w:rFonts w:ascii="Arial Narrow" w:eastAsia="Calibri" w:hAnsi="Arial Narrow" w:cs="Calibri"/>
          <w:kern w:val="2"/>
          <w:sz w:val="22"/>
          <w:szCs w:val="22"/>
          <w:lang w:val="en-GB"/>
          <w14:ligatures w14:val="standardContextual"/>
        </w:rPr>
        <w:t xml:space="preserve"> tyre.</w:t>
      </w:r>
    </w:p>
    <w:p w14:paraId="39F4DBCB" w14:textId="222E42F0" w:rsidR="007D1EDC" w:rsidRDefault="002863F1" w:rsidP="007D1EDC">
      <w:pPr>
        <w:numPr>
          <w:ilvl w:val="0"/>
          <w:numId w:val="35"/>
        </w:numPr>
        <w:suppressAutoHyphens/>
        <w:contextualSpacing/>
        <w:jc w:val="both"/>
        <w:rPr>
          <w:rFonts w:ascii="Arial Narrow" w:eastAsia="Calibri" w:hAnsi="Arial Narrow" w:cs="Calibri"/>
          <w:kern w:val="2"/>
          <w:sz w:val="22"/>
          <w:szCs w:val="22"/>
          <w:lang w:val="en-GB"/>
          <w14:ligatures w14:val="standardContextual"/>
        </w:rPr>
      </w:pPr>
      <w:proofErr w:type="spellStart"/>
      <w:r w:rsidRPr="002863F1">
        <w:rPr>
          <w:rFonts w:ascii="Arial Narrow" w:eastAsia="Calibri" w:hAnsi="Arial Narrow" w:cs="Calibri"/>
          <w:b/>
          <w:bCs/>
          <w:kern w:val="2"/>
          <w:sz w:val="22"/>
          <w:szCs w:val="22"/>
          <w:lang w:val="en-GB"/>
          <w14:ligatures w14:val="standardContextual"/>
        </w:rPr>
        <w:t>Ndryshimi</w:t>
      </w:r>
      <w:proofErr w:type="spellEnd"/>
      <w:r w:rsidRPr="002863F1">
        <w:rPr>
          <w:rFonts w:ascii="Arial Narrow" w:eastAsia="Calibri" w:hAnsi="Arial Narrow" w:cs="Calibri"/>
          <w:b/>
          <w:bCs/>
          <w:kern w:val="2"/>
          <w:sz w:val="22"/>
          <w:szCs w:val="22"/>
          <w:lang w:val="en-GB"/>
          <w14:ligatures w14:val="standardContextual"/>
        </w:rPr>
        <w:t xml:space="preserve"> i </w:t>
      </w:r>
      <w:proofErr w:type="spellStart"/>
      <w:r w:rsidRPr="002863F1">
        <w:rPr>
          <w:rFonts w:ascii="Arial Narrow" w:eastAsia="Calibri" w:hAnsi="Arial Narrow" w:cs="Calibri"/>
          <w:b/>
          <w:bCs/>
          <w:kern w:val="2"/>
          <w:sz w:val="22"/>
          <w:szCs w:val="22"/>
          <w:lang w:val="en-GB"/>
          <w14:ligatures w14:val="standardContextual"/>
        </w:rPr>
        <w:t>botëkuptimit</w:t>
      </w:r>
      <w:proofErr w:type="spellEnd"/>
      <w:r w:rsidRPr="002863F1">
        <w:rPr>
          <w:rFonts w:ascii="Arial Narrow" w:eastAsia="Calibri" w:hAnsi="Arial Narrow" w:cs="Calibri"/>
          <w:b/>
          <w:bCs/>
          <w:kern w:val="2"/>
          <w:sz w:val="22"/>
          <w:szCs w:val="22"/>
          <w:lang w:val="en-GB"/>
          <w14:ligatures w14:val="standardContextual"/>
        </w:rPr>
        <w:t xml:space="preserve"> </w:t>
      </w:r>
      <w:proofErr w:type="spellStart"/>
      <w:r w:rsidRPr="002863F1">
        <w:rPr>
          <w:rFonts w:ascii="Arial Narrow" w:eastAsia="Calibri" w:hAnsi="Arial Narrow" w:cs="Calibri"/>
          <w:b/>
          <w:bCs/>
          <w:kern w:val="2"/>
          <w:sz w:val="22"/>
          <w:szCs w:val="22"/>
          <w:lang w:val="en-GB"/>
          <w14:ligatures w14:val="standardContextual"/>
        </w:rPr>
        <w:t>ndaj</w:t>
      </w:r>
      <w:proofErr w:type="spellEnd"/>
      <w:r w:rsidRPr="002863F1">
        <w:rPr>
          <w:rFonts w:ascii="Arial Narrow" w:eastAsia="Calibri" w:hAnsi="Arial Narrow" w:cs="Calibri"/>
          <w:b/>
          <w:bCs/>
          <w:kern w:val="2"/>
          <w:sz w:val="22"/>
          <w:szCs w:val="22"/>
          <w:lang w:val="en-GB"/>
          <w14:ligatures w14:val="standardContextual"/>
        </w:rPr>
        <w:t xml:space="preserve"> </w:t>
      </w:r>
      <w:proofErr w:type="spellStart"/>
      <w:r w:rsidRPr="002863F1">
        <w:rPr>
          <w:rFonts w:ascii="Arial Narrow" w:eastAsia="Calibri" w:hAnsi="Arial Narrow" w:cs="Calibri"/>
          <w:b/>
          <w:bCs/>
          <w:kern w:val="2"/>
          <w:sz w:val="22"/>
          <w:szCs w:val="22"/>
          <w:lang w:val="en-GB"/>
          <w14:ligatures w14:val="standardContextual"/>
        </w:rPr>
        <w:t>hedhjes</w:t>
      </w:r>
      <w:proofErr w:type="spellEnd"/>
      <w:r w:rsidRPr="002863F1">
        <w:rPr>
          <w:rFonts w:ascii="Arial Narrow" w:eastAsia="Calibri" w:hAnsi="Arial Narrow" w:cs="Calibri"/>
          <w:b/>
          <w:bCs/>
          <w:kern w:val="2"/>
          <w:sz w:val="22"/>
          <w:szCs w:val="22"/>
          <w:lang w:val="en-GB"/>
          <w14:ligatures w14:val="standardContextual"/>
        </w:rPr>
        <w:t xml:space="preserve"> </w:t>
      </w:r>
      <w:proofErr w:type="spellStart"/>
      <w:r w:rsidRPr="002863F1">
        <w:rPr>
          <w:rFonts w:ascii="Arial Narrow" w:eastAsia="Calibri" w:hAnsi="Arial Narrow" w:cs="Calibri"/>
          <w:b/>
          <w:bCs/>
          <w:kern w:val="2"/>
          <w:sz w:val="22"/>
          <w:szCs w:val="22"/>
          <w:lang w:val="en-GB"/>
          <w14:ligatures w14:val="standardContextual"/>
        </w:rPr>
        <w:t>së</w:t>
      </w:r>
      <w:proofErr w:type="spellEnd"/>
      <w:r w:rsidRPr="002863F1">
        <w:rPr>
          <w:rFonts w:ascii="Arial Narrow" w:eastAsia="Calibri" w:hAnsi="Arial Narrow" w:cs="Calibri"/>
          <w:b/>
          <w:bCs/>
          <w:kern w:val="2"/>
          <w:sz w:val="22"/>
          <w:szCs w:val="22"/>
          <w:lang w:val="en-GB"/>
          <w14:ligatures w14:val="standardContextual"/>
        </w:rPr>
        <w:t xml:space="preserve"> </w:t>
      </w:r>
      <w:proofErr w:type="spellStart"/>
      <w:r w:rsidRPr="002863F1">
        <w:rPr>
          <w:rFonts w:ascii="Arial Narrow" w:eastAsia="Calibri" w:hAnsi="Arial Narrow" w:cs="Calibri"/>
          <w:b/>
          <w:bCs/>
          <w:kern w:val="2"/>
          <w:sz w:val="22"/>
          <w:szCs w:val="22"/>
          <w:lang w:val="en-GB"/>
          <w14:ligatures w14:val="standardContextual"/>
        </w:rPr>
        <w:t>mbeturinave</w:t>
      </w:r>
      <w:proofErr w:type="spellEnd"/>
      <w:r w:rsidRPr="002863F1">
        <w:rPr>
          <w:rFonts w:ascii="Arial Narrow" w:eastAsia="Calibri" w:hAnsi="Arial Narrow" w:cs="Calibri"/>
          <w:b/>
          <w:bCs/>
          <w:kern w:val="2"/>
          <w:sz w:val="22"/>
          <w:szCs w:val="22"/>
          <w:lang w:val="en-GB"/>
          <w14:ligatures w14:val="standardContextual"/>
        </w:rPr>
        <w:t xml:space="preserve"> </w:t>
      </w:r>
      <w:proofErr w:type="spellStart"/>
      <w:r w:rsidRPr="002863F1">
        <w:rPr>
          <w:rFonts w:ascii="Arial Narrow" w:eastAsia="Calibri" w:hAnsi="Arial Narrow" w:cs="Calibri"/>
          <w:b/>
          <w:bCs/>
          <w:kern w:val="2"/>
          <w:sz w:val="22"/>
          <w:szCs w:val="22"/>
          <w:lang w:val="en-GB"/>
          <w14:ligatures w14:val="standardContextual"/>
        </w:rPr>
        <w:t>në</w:t>
      </w:r>
      <w:proofErr w:type="spellEnd"/>
      <w:r w:rsidRPr="002863F1">
        <w:rPr>
          <w:rFonts w:ascii="Arial Narrow" w:eastAsia="Calibri" w:hAnsi="Arial Narrow" w:cs="Calibri"/>
          <w:b/>
          <w:bCs/>
          <w:kern w:val="2"/>
          <w:sz w:val="22"/>
          <w:szCs w:val="22"/>
          <w:lang w:val="en-GB"/>
          <w14:ligatures w14:val="standardContextual"/>
        </w:rPr>
        <w:t xml:space="preserve"> </w:t>
      </w:r>
      <w:proofErr w:type="spellStart"/>
      <w:r w:rsidRPr="002863F1">
        <w:rPr>
          <w:rFonts w:ascii="Arial Narrow" w:eastAsia="Calibri" w:hAnsi="Arial Narrow" w:cs="Calibri"/>
          <w:b/>
          <w:bCs/>
          <w:kern w:val="2"/>
          <w:sz w:val="22"/>
          <w:szCs w:val="22"/>
          <w:lang w:val="en-GB"/>
          <w14:ligatures w14:val="standardContextual"/>
        </w:rPr>
        <w:t>hapësira</w:t>
      </w:r>
      <w:proofErr w:type="spellEnd"/>
      <w:r w:rsidRPr="002863F1">
        <w:rPr>
          <w:rFonts w:ascii="Arial Narrow" w:eastAsia="Calibri" w:hAnsi="Arial Narrow" w:cs="Calibri"/>
          <w:b/>
          <w:bCs/>
          <w:kern w:val="2"/>
          <w:sz w:val="22"/>
          <w:szCs w:val="22"/>
          <w:lang w:val="en-GB"/>
          <w14:ligatures w14:val="standardContextual"/>
        </w:rPr>
        <w:t xml:space="preserve"> </w:t>
      </w:r>
      <w:proofErr w:type="spellStart"/>
      <w:r w:rsidRPr="002863F1">
        <w:rPr>
          <w:rFonts w:ascii="Arial Narrow" w:eastAsia="Calibri" w:hAnsi="Arial Narrow" w:cs="Calibri"/>
          <w:b/>
          <w:bCs/>
          <w:kern w:val="2"/>
          <w:sz w:val="22"/>
          <w:szCs w:val="22"/>
          <w:lang w:val="en-GB"/>
          <w14:ligatures w14:val="standardContextual"/>
        </w:rPr>
        <w:t>publike</w:t>
      </w:r>
      <w:proofErr w:type="spellEnd"/>
      <w:r w:rsidRPr="002863F1">
        <w:rPr>
          <w:rFonts w:ascii="Arial Narrow" w:eastAsia="Calibri" w:hAnsi="Arial Narrow" w:cs="Calibri"/>
          <w:b/>
          <w:bCs/>
          <w:kern w:val="2"/>
          <w:sz w:val="22"/>
          <w:szCs w:val="22"/>
          <w:lang w:val="en-GB"/>
          <w14:ligatures w14:val="standardContextual"/>
        </w:rPr>
        <w:t xml:space="preserve"> </w:t>
      </w:r>
      <w:proofErr w:type="spellStart"/>
      <w:r w:rsidRPr="002863F1">
        <w:rPr>
          <w:rFonts w:ascii="Arial Narrow" w:eastAsia="Calibri" w:hAnsi="Arial Narrow" w:cs="Calibri"/>
          <w:b/>
          <w:bCs/>
          <w:kern w:val="2"/>
          <w:sz w:val="22"/>
          <w:szCs w:val="22"/>
          <w:lang w:val="en-GB"/>
          <w14:ligatures w14:val="standardContextual"/>
        </w:rPr>
        <w:t>dhe</w:t>
      </w:r>
      <w:proofErr w:type="spellEnd"/>
      <w:r w:rsidRPr="002863F1">
        <w:rPr>
          <w:rFonts w:ascii="Arial Narrow" w:eastAsia="Calibri" w:hAnsi="Arial Narrow" w:cs="Calibri"/>
          <w:b/>
          <w:bCs/>
          <w:kern w:val="2"/>
          <w:sz w:val="22"/>
          <w:szCs w:val="22"/>
          <w:lang w:val="en-GB"/>
          <w14:ligatures w14:val="standardContextual"/>
        </w:rPr>
        <w:t xml:space="preserve"> </w:t>
      </w:r>
      <w:proofErr w:type="spellStart"/>
      <w:r w:rsidRPr="002863F1">
        <w:rPr>
          <w:rFonts w:ascii="Arial Narrow" w:eastAsia="Calibri" w:hAnsi="Arial Narrow" w:cs="Calibri"/>
          <w:b/>
          <w:bCs/>
          <w:kern w:val="2"/>
          <w:sz w:val="22"/>
          <w:szCs w:val="22"/>
          <w:lang w:val="en-GB"/>
          <w14:ligatures w14:val="standardContextual"/>
        </w:rPr>
        <w:t>deponimit</w:t>
      </w:r>
      <w:proofErr w:type="spellEnd"/>
      <w:r w:rsidRPr="002863F1">
        <w:rPr>
          <w:rFonts w:ascii="Arial Narrow" w:eastAsia="Calibri" w:hAnsi="Arial Narrow" w:cs="Calibri"/>
          <w:b/>
          <w:bCs/>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Të</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gjitha</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mjetet</w:t>
      </w:r>
      <w:proofErr w:type="spellEnd"/>
      <w:r w:rsidRPr="002863F1">
        <w:rPr>
          <w:rFonts w:ascii="Arial Narrow" w:eastAsia="Calibri" w:hAnsi="Arial Narrow" w:cs="Calibri"/>
          <w:kern w:val="2"/>
          <w:sz w:val="22"/>
          <w:szCs w:val="22"/>
          <w:lang w:val="en-GB"/>
          <w14:ligatures w14:val="standardContextual"/>
        </w:rPr>
        <w:t xml:space="preserve"> e </w:t>
      </w:r>
      <w:proofErr w:type="spellStart"/>
      <w:r w:rsidRPr="002863F1">
        <w:rPr>
          <w:rFonts w:ascii="Arial Narrow" w:eastAsia="Calibri" w:hAnsi="Arial Narrow" w:cs="Calibri"/>
          <w:kern w:val="2"/>
          <w:sz w:val="22"/>
          <w:szCs w:val="22"/>
          <w:lang w:val="en-GB"/>
          <w14:ligatures w14:val="standardContextual"/>
        </w:rPr>
        <w:t>disponueshme</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të</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komunikimit</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duhet</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të</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përdoren</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për</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të</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shpërndarë</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informacionin</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për</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botëkuptimin</w:t>
      </w:r>
      <w:proofErr w:type="spellEnd"/>
      <w:r w:rsidRPr="002863F1">
        <w:rPr>
          <w:rFonts w:ascii="Arial Narrow" w:eastAsia="Calibri" w:hAnsi="Arial Narrow" w:cs="Calibri"/>
          <w:kern w:val="2"/>
          <w:sz w:val="22"/>
          <w:szCs w:val="22"/>
          <w:lang w:val="en-GB"/>
          <w14:ligatures w14:val="standardContextual"/>
        </w:rPr>
        <w:t xml:space="preserve"> e </w:t>
      </w:r>
      <w:proofErr w:type="spellStart"/>
      <w:r w:rsidRPr="002863F1">
        <w:rPr>
          <w:rFonts w:ascii="Arial Narrow" w:eastAsia="Calibri" w:hAnsi="Arial Narrow" w:cs="Calibri"/>
          <w:kern w:val="2"/>
          <w:sz w:val="22"/>
          <w:szCs w:val="22"/>
          <w:lang w:val="en-GB"/>
          <w14:ligatures w14:val="standardContextual"/>
        </w:rPr>
        <w:t>ndërlidhur</w:t>
      </w:r>
      <w:proofErr w:type="spellEnd"/>
      <w:r w:rsidRPr="002863F1">
        <w:rPr>
          <w:rFonts w:ascii="Arial Narrow" w:eastAsia="Calibri" w:hAnsi="Arial Narrow" w:cs="Calibri"/>
          <w:kern w:val="2"/>
          <w:sz w:val="22"/>
          <w:szCs w:val="22"/>
          <w:lang w:val="en-GB"/>
          <w14:ligatures w14:val="standardContextual"/>
        </w:rPr>
        <w:t xml:space="preserve"> me </w:t>
      </w:r>
      <w:proofErr w:type="spellStart"/>
      <w:r w:rsidRPr="002863F1">
        <w:rPr>
          <w:rFonts w:ascii="Arial Narrow" w:eastAsia="Calibri" w:hAnsi="Arial Narrow" w:cs="Calibri"/>
          <w:kern w:val="2"/>
          <w:sz w:val="22"/>
          <w:szCs w:val="22"/>
          <w:lang w:val="en-GB"/>
          <w14:ligatures w14:val="standardContextual"/>
        </w:rPr>
        <w:t>ndikimin</w:t>
      </w:r>
      <w:proofErr w:type="spellEnd"/>
      <w:r w:rsidRPr="002863F1">
        <w:rPr>
          <w:rFonts w:ascii="Arial Narrow" w:eastAsia="Calibri" w:hAnsi="Arial Narrow" w:cs="Calibri"/>
          <w:kern w:val="2"/>
          <w:sz w:val="22"/>
          <w:szCs w:val="22"/>
          <w:lang w:val="en-GB"/>
          <w14:ligatures w14:val="standardContextual"/>
        </w:rPr>
        <w:t xml:space="preserve"> e </w:t>
      </w:r>
      <w:proofErr w:type="spellStart"/>
      <w:r w:rsidRPr="002863F1">
        <w:rPr>
          <w:rFonts w:ascii="Arial Narrow" w:eastAsia="Calibri" w:hAnsi="Arial Narrow" w:cs="Calibri"/>
          <w:kern w:val="2"/>
          <w:sz w:val="22"/>
          <w:szCs w:val="22"/>
          <w:lang w:val="en-GB"/>
          <w14:ligatures w14:val="standardContextual"/>
        </w:rPr>
        <w:t>mbeturinave</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të</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hedhura</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pahijshëm</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në</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hapësira</w:t>
      </w:r>
      <w:proofErr w:type="spellEnd"/>
      <w:r w:rsidRPr="002863F1">
        <w:rPr>
          <w:rFonts w:ascii="Arial Narrow" w:eastAsia="Calibri" w:hAnsi="Arial Narrow" w:cs="Calibri"/>
          <w:kern w:val="2"/>
          <w:sz w:val="22"/>
          <w:szCs w:val="22"/>
          <w:lang w:val="en-GB"/>
          <w14:ligatures w14:val="standardContextual"/>
        </w:rPr>
        <w:t xml:space="preserve"> </w:t>
      </w:r>
      <w:proofErr w:type="spellStart"/>
      <w:r w:rsidRPr="002863F1">
        <w:rPr>
          <w:rFonts w:ascii="Arial Narrow" w:eastAsia="Calibri" w:hAnsi="Arial Narrow" w:cs="Calibri"/>
          <w:kern w:val="2"/>
          <w:sz w:val="22"/>
          <w:szCs w:val="22"/>
          <w:lang w:val="en-GB"/>
          <w14:ligatures w14:val="standardContextual"/>
        </w:rPr>
        <w:t>publike</w:t>
      </w:r>
      <w:proofErr w:type="spellEnd"/>
      <w:r w:rsidRPr="002863F1">
        <w:rPr>
          <w:rFonts w:ascii="Arial Narrow" w:eastAsia="Calibri" w:hAnsi="Arial Narrow" w:cs="Calibri"/>
          <w:kern w:val="2"/>
          <w:sz w:val="22"/>
          <w:szCs w:val="22"/>
          <w:lang w:val="en-GB"/>
          <w14:ligatures w14:val="standardContextual"/>
        </w:rPr>
        <w:t>.</w:t>
      </w:r>
    </w:p>
    <w:p w14:paraId="70807AE7" w14:textId="77777777" w:rsidR="00391261" w:rsidRPr="00391261" w:rsidRDefault="00391261" w:rsidP="00391261">
      <w:pPr>
        <w:suppressAutoHyphens/>
        <w:contextualSpacing/>
        <w:jc w:val="both"/>
        <w:rPr>
          <w:rFonts w:ascii="Arial Narrow" w:eastAsia="Calibri" w:hAnsi="Arial Narrow" w:cs="Calibri"/>
          <w:kern w:val="2"/>
          <w:sz w:val="22"/>
          <w:szCs w:val="22"/>
          <w:lang w:val="en-GB"/>
          <w14:ligatures w14:val="standardContextual"/>
        </w:rPr>
      </w:pPr>
    </w:p>
    <w:p w14:paraId="4AC22B64" w14:textId="77777777" w:rsidR="007D1EDC" w:rsidRPr="007D1EDC" w:rsidRDefault="007D1EDC" w:rsidP="002E4DDE">
      <w:pPr>
        <w:pStyle w:val="Heading2"/>
        <w:ind w:left="1134" w:hanging="1134"/>
      </w:pPr>
      <w:bookmarkStart w:id="711" w:name="_Toc190967417"/>
      <w:bookmarkStart w:id="712" w:name="_Toc197472066"/>
      <w:r w:rsidRPr="007D1EDC">
        <w:t>Monitorimi, vlerësimi dhe rishikimi i planit</w:t>
      </w:r>
      <w:bookmarkEnd w:id="711"/>
      <w:bookmarkEnd w:id="712"/>
    </w:p>
    <w:p w14:paraId="160773DC" w14:textId="77777777" w:rsidR="007D1EDC" w:rsidRPr="002863F1" w:rsidRDefault="007D1EDC" w:rsidP="007D1EDC">
      <w:pPr>
        <w:suppressAutoHyphens/>
        <w:rPr>
          <w:rFonts w:ascii="Arial Narrow" w:eastAsia="Calibri" w:hAnsi="Arial Narrow" w:cs="Calibri"/>
          <w:sz w:val="22"/>
          <w:szCs w:val="22"/>
        </w:rPr>
      </w:pPr>
    </w:p>
    <w:p w14:paraId="03F9D2E6" w14:textId="77777777" w:rsidR="002863F1" w:rsidRPr="003069B8" w:rsidRDefault="002863F1" w:rsidP="002863F1">
      <w:pPr>
        <w:suppressAutoHyphens/>
        <w:jc w:val="both"/>
        <w:rPr>
          <w:rFonts w:ascii="Arial Narrow" w:eastAsia="Calibri" w:hAnsi="Arial Narrow" w:cs="Calibri"/>
          <w:sz w:val="22"/>
          <w:szCs w:val="22"/>
          <w:lang w:eastAsia="bg-BG"/>
        </w:rPr>
      </w:pPr>
      <w:r w:rsidRPr="003069B8">
        <w:rPr>
          <w:rFonts w:ascii="Arial Narrow" w:eastAsia="Calibri" w:hAnsi="Arial Narrow" w:cs="Calibri"/>
          <w:sz w:val="22"/>
          <w:szCs w:val="22"/>
          <w:lang w:eastAsia="bg-BG"/>
        </w:rPr>
        <w:t>Monitorimi është proces i mbledhjes së rregullt të të dhënave kryesore sasiore për të përcaktuar progresin në arritjen e synimeve të përcaktuara dhe për të parandaluar rezultate të padëshiruara, angazhime të akumuluara, etj. Monitorimi kryhet sipas parimeve të besueshmërisë, mirëbesimit, korrespondencës dhe rëndësisë së informacionit dhe konsideratave të detyrueshme.</w:t>
      </w:r>
    </w:p>
    <w:p w14:paraId="221C6A8B" w14:textId="77777777" w:rsidR="002863F1" w:rsidRPr="003069B8" w:rsidRDefault="002863F1" w:rsidP="002863F1">
      <w:pPr>
        <w:suppressAutoHyphens/>
        <w:jc w:val="both"/>
        <w:rPr>
          <w:rFonts w:ascii="Arial Narrow" w:eastAsia="Calibri" w:hAnsi="Arial Narrow" w:cs="Calibri"/>
          <w:sz w:val="22"/>
          <w:szCs w:val="22"/>
          <w:lang w:eastAsia="bg-BG"/>
        </w:rPr>
      </w:pPr>
    </w:p>
    <w:p w14:paraId="373017AF" w14:textId="77777777" w:rsidR="002863F1" w:rsidRPr="003069B8" w:rsidRDefault="002863F1" w:rsidP="002863F1">
      <w:pPr>
        <w:suppressAutoHyphens/>
        <w:jc w:val="both"/>
        <w:rPr>
          <w:rFonts w:ascii="Arial Narrow" w:eastAsia="Calibri" w:hAnsi="Arial Narrow" w:cs="Calibri"/>
          <w:sz w:val="22"/>
          <w:szCs w:val="22"/>
          <w:lang w:eastAsia="bg-BG"/>
        </w:rPr>
      </w:pPr>
      <w:r w:rsidRPr="003069B8">
        <w:rPr>
          <w:rFonts w:ascii="Arial Narrow" w:eastAsia="Calibri" w:hAnsi="Arial Narrow" w:cs="Calibri"/>
          <w:sz w:val="22"/>
          <w:szCs w:val="22"/>
          <w:lang w:eastAsia="bg-BG"/>
        </w:rPr>
        <w:t>Sistemi për monitorimin e progresit në zbatimin e këtij Plani të Menaxhimit të Mbeturinave do të fokusohet në monitorimin e:</w:t>
      </w:r>
    </w:p>
    <w:p w14:paraId="4B096F76" w14:textId="77777777" w:rsidR="002863F1" w:rsidRPr="002863F1" w:rsidRDefault="002863F1" w:rsidP="002863F1">
      <w:pPr>
        <w:numPr>
          <w:ilvl w:val="0"/>
          <w:numId w:val="30"/>
        </w:numPr>
        <w:suppressAutoHyphens/>
        <w:spacing w:after="160" w:line="259" w:lineRule="auto"/>
        <w:contextualSpacing/>
        <w:jc w:val="both"/>
        <w:rPr>
          <w:rFonts w:ascii="Arial Narrow" w:eastAsia="Calibri" w:hAnsi="Arial Narrow" w:cs="Calibri"/>
          <w:sz w:val="22"/>
          <w:szCs w:val="22"/>
          <w:lang w:val="en-GB" w:eastAsia="bg-BG"/>
        </w:rPr>
      </w:pPr>
      <w:proofErr w:type="spellStart"/>
      <w:r w:rsidRPr="002863F1">
        <w:rPr>
          <w:rFonts w:ascii="Arial Narrow" w:eastAsia="Calibri" w:hAnsi="Arial Narrow" w:cs="Calibri"/>
          <w:sz w:val="22"/>
          <w:szCs w:val="22"/>
          <w:lang w:val="en-GB" w:eastAsia="bg-BG"/>
        </w:rPr>
        <w:t>Afatit</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të</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zbatimit</w:t>
      </w:r>
      <w:proofErr w:type="spellEnd"/>
      <w:r w:rsidRPr="002863F1">
        <w:rPr>
          <w:rFonts w:ascii="Arial Narrow" w:eastAsia="Calibri" w:hAnsi="Arial Narrow" w:cs="Calibri"/>
          <w:sz w:val="22"/>
          <w:szCs w:val="22"/>
          <w:lang w:val="en-GB" w:eastAsia="bg-BG"/>
        </w:rPr>
        <w:t>.</w:t>
      </w:r>
    </w:p>
    <w:p w14:paraId="4405E85F" w14:textId="77777777" w:rsidR="002863F1" w:rsidRPr="002863F1" w:rsidRDefault="002863F1" w:rsidP="002863F1">
      <w:pPr>
        <w:numPr>
          <w:ilvl w:val="0"/>
          <w:numId w:val="30"/>
        </w:numPr>
        <w:suppressAutoHyphens/>
        <w:spacing w:after="160" w:line="259" w:lineRule="auto"/>
        <w:contextualSpacing/>
        <w:jc w:val="both"/>
        <w:rPr>
          <w:rFonts w:ascii="Arial Narrow" w:eastAsia="Calibri" w:hAnsi="Arial Narrow" w:cs="Calibri"/>
          <w:sz w:val="22"/>
          <w:szCs w:val="22"/>
          <w:lang w:val="en-GB" w:eastAsia="bg-BG"/>
        </w:rPr>
      </w:pPr>
      <w:proofErr w:type="spellStart"/>
      <w:r w:rsidRPr="002863F1">
        <w:rPr>
          <w:rFonts w:ascii="Arial Narrow" w:eastAsia="Calibri" w:hAnsi="Arial Narrow" w:cs="Calibri"/>
          <w:sz w:val="22"/>
          <w:szCs w:val="22"/>
          <w:lang w:val="en-GB" w:eastAsia="bg-BG"/>
        </w:rPr>
        <w:t>Shumës</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së</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financimit</w:t>
      </w:r>
      <w:proofErr w:type="spellEnd"/>
      <w:r w:rsidRPr="002863F1">
        <w:rPr>
          <w:rFonts w:ascii="Arial Narrow" w:eastAsia="Calibri" w:hAnsi="Arial Narrow" w:cs="Calibri"/>
          <w:sz w:val="22"/>
          <w:szCs w:val="22"/>
          <w:lang w:val="en-GB" w:eastAsia="bg-BG"/>
        </w:rPr>
        <w:t>.</w:t>
      </w:r>
    </w:p>
    <w:p w14:paraId="31B04A92" w14:textId="77777777" w:rsidR="002863F1" w:rsidRPr="002863F1" w:rsidRDefault="002863F1" w:rsidP="002863F1">
      <w:pPr>
        <w:numPr>
          <w:ilvl w:val="0"/>
          <w:numId w:val="30"/>
        </w:numPr>
        <w:suppressAutoHyphens/>
        <w:spacing w:after="160" w:line="259" w:lineRule="auto"/>
        <w:contextualSpacing/>
        <w:jc w:val="both"/>
        <w:rPr>
          <w:rFonts w:ascii="Arial Narrow" w:eastAsia="Calibri" w:hAnsi="Arial Narrow" w:cs="Calibri"/>
          <w:sz w:val="22"/>
          <w:szCs w:val="22"/>
          <w:lang w:val="en-GB" w:eastAsia="bg-BG"/>
        </w:rPr>
      </w:pPr>
      <w:proofErr w:type="spellStart"/>
      <w:r w:rsidRPr="002863F1">
        <w:rPr>
          <w:rFonts w:ascii="Arial Narrow" w:eastAsia="Calibri" w:hAnsi="Arial Narrow" w:cs="Calibri"/>
          <w:sz w:val="22"/>
          <w:szCs w:val="22"/>
          <w:lang w:val="en-GB" w:eastAsia="bg-BG"/>
        </w:rPr>
        <w:t>Burimit</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të</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financimit</w:t>
      </w:r>
      <w:proofErr w:type="spellEnd"/>
      <w:r w:rsidRPr="002863F1">
        <w:rPr>
          <w:rFonts w:ascii="Arial Narrow" w:eastAsia="Calibri" w:hAnsi="Arial Narrow" w:cs="Calibri"/>
          <w:sz w:val="22"/>
          <w:szCs w:val="22"/>
          <w:lang w:val="en-GB" w:eastAsia="bg-BG"/>
        </w:rPr>
        <w:t>.</w:t>
      </w:r>
    </w:p>
    <w:p w14:paraId="53299682" w14:textId="77777777" w:rsidR="002863F1" w:rsidRPr="002863F1" w:rsidRDefault="002863F1" w:rsidP="002863F1">
      <w:pPr>
        <w:numPr>
          <w:ilvl w:val="0"/>
          <w:numId w:val="30"/>
        </w:numPr>
        <w:suppressAutoHyphens/>
        <w:spacing w:after="160" w:line="259" w:lineRule="auto"/>
        <w:contextualSpacing/>
        <w:jc w:val="both"/>
        <w:rPr>
          <w:rFonts w:ascii="Arial Narrow" w:eastAsia="Calibri" w:hAnsi="Arial Narrow" w:cs="Calibri"/>
          <w:sz w:val="22"/>
          <w:szCs w:val="22"/>
          <w:lang w:val="en-GB" w:eastAsia="bg-BG"/>
        </w:rPr>
      </w:pPr>
      <w:proofErr w:type="spellStart"/>
      <w:r w:rsidRPr="002863F1">
        <w:rPr>
          <w:rFonts w:ascii="Arial Narrow" w:eastAsia="Calibri" w:hAnsi="Arial Narrow" w:cs="Calibri"/>
          <w:sz w:val="22"/>
          <w:szCs w:val="22"/>
          <w:lang w:val="en-GB" w:eastAsia="bg-BG"/>
        </w:rPr>
        <w:t>Përgjegjësisë</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së</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palëve</w:t>
      </w:r>
      <w:proofErr w:type="spellEnd"/>
      <w:r w:rsidRPr="002863F1">
        <w:rPr>
          <w:rFonts w:ascii="Arial Narrow" w:eastAsia="Calibri" w:hAnsi="Arial Narrow" w:cs="Calibri"/>
          <w:sz w:val="22"/>
          <w:szCs w:val="22"/>
          <w:lang w:val="en-GB" w:eastAsia="bg-BG"/>
        </w:rPr>
        <w:t>.</w:t>
      </w:r>
    </w:p>
    <w:p w14:paraId="7D7FE066" w14:textId="77777777" w:rsidR="002863F1" w:rsidRPr="002863F1" w:rsidRDefault="002863F1" w:rsidP="002863F1">
      <w:pPr>
        <w:numPr>
          <w:ilvl w:val="0"/>
          <w:numId w:val="30"/>
        </w:numPr>
        <w:suppressAutoHyphens/>
        <w:spacing w:after="160" w:line="259" w:lineRule="auto"/>
        <w:contextualSpacing/>
        <w:jc w:val="both"/>
        <w:rPr>
          <w:rFonts w:ascii="Arial Narrow" w:eastAsia="Calibri" w:hAnsi="Arial Narrow" w:cs="Calibri"/>
          <w:sz w:val="22"/>
          <w:szCs w:val="22"/>
          <w:lang w:val="en-GB" w:eastAsia="bg-BG"/>
        </w:rPr>
      </w:pPr>
      <w:proofErr w:type="spellStart"/>
      <w:r w:rsidRPr="002863F1">
        <w:rPr>
          <w:rFonts w:ascii="Arial Narrow" w:eastAsia="Calibri" w:hAnsi="Arial Narrow" w:cs="Calibri"/>
          <w:sz w:val="22"/>
          <w:szCs w:val="22"/>
          <w:lang w:val="en-GB" w:eastAsia="bg-BG"/>
        </w:rPr>
        <w:t>Treguesve</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të</w:t>
      </w:r>
      <w:proofErr w:type="spellEnd"/>
      <w:r w:rsidRPr="002863F1">
        <w:rPr>
          <w:rFonts w:ascii="Arial Narrow" w:eastAsia="Calibri" w:hAnsi="Arial Narrow" w:cs="Calibri"/>
          <w:sz w:val="22"/>
          <w:szCs w:val="22"/>
          <w:lang w:val="en-GB" w:eastAsia="bg-BG"/>
        </w:rPr>
        <w:t xml:space="preserve"> performances.</w:t>
      </w:r>
    </w:p>
    <w:p w14:paraId="2DD0ADD4" w14:textId="77777777" w:rsidR="002863F1" w:rsidRPr="002863F1" w:rsidRDefault="002863F1" w:rsidP="002863F1">
      <w:pPr>
        <w:suppressAutoHyphens/>
        <w:jc w:val="both"/>
        <w:rPr>
          <w:rFonts w:ascii="Arial Narrow" w:eastAsia="Calibri" w:hAnsi="Arial Narrow" w:cs="Calibri"/>
          <w:sz w:val="22"/>
          <w:szCs w:val="22"/>
          <w:lang w:val="en-GB" w:eastAsia="bg-BG"/>
        </w:rPr>
      </w:pPr>
    </w:p>
    <w:p w14:paraId="39A972C3" w14:textId="77777777" w:rsidR="002863F1" w:rsidRPr="002863F1" w:rsidRDefault="002863F1" w:rsidP="002863F1">
      <w:pPr>
        <w:suppressAutoHyphens/>
        <w:jc w:val="both"/>
        <w:rPr>
          <w:rFonts w:ascii="Arial Narrow" w:eastAsia="Calibri" w:hAnsi="Arial Narrow" w:cs="Calibri"/>
          <w:sz w:val="22"/>
          <w:szCs w:val="22"/>
          <w:lang w:val="en-GB" w:eastAsia="bg-BG"/>
        </w:rPr>
      </w:pPr>
      <w:proofErr w:type="spellStart"/>
      <w:r w:rsidRPr="002863F1">
        <w:rPr>
          <w:rFonts w:ascii="Arial Narrow" w:eastAsia="Calibri" w:hAnsi="Arial Narrow" w:cs="Calibri"/>
          <w:sz w:val="22"/>
          <w:szCs w:val="22"/>
          <w:lang w:val="en-GB" w:eastAsia="bg-BG"/>
        </w:rPr>
        <w:t>Nëse</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është</w:t>
      </w:r>
      <w:proofErr w:type="spellEnd"/>
      <w:r w:rsidRPr="002863F1">
        <w:rPr>
          <w:rFonts w:ascii="Arial Narrow" w:eastAsia="Calibri" w:hAnsi="Arial Narrow" w:cs="Calibri"/>
          <w:sz w:val="22"/>
          <w:szCs w:val="22"/>
          <w:lang w:val="en-GB" w:eastAsia="bg-BG"/>
        </w:rPr>
        <w:t xml:space="preserve"> e </w:t>
      </w:r>
      <w:proofErr w:type="spellStart"/>
      <w:r w:rsidRPr="002863F1">
        <w:rPr>
          <w:rFonts w:ascii="Arial Narrow" w:eastAsia="Calibri" w:hAnsi="Arial Narrow" w:cs="Calibri"/>
          <w:sz w:val="22"/>
          <w:szCs w:val="22"/>
          <w:lang w:val="en-GB" w:eastAsia="bg-BG"/>
        </w:rPr>
        <w:t>nevojshme</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dhe</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varësisht</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nga</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ecuria</w:t>
      </w:r>
      <w:proofErr w:type="spellEnd"/>
      <w:r w:rsidRPr="002863F1">
        <w:rPr>
          <w:rFonts w:ascii="Arial Narrow" w:eastAsia="Calibri" w:hAnsi="Arial Narrow" w:cs="Calibri"/>
          <w:sz w:val="22"/>
          <w:szCs w:val="22"/>
          <w:lang w:val="en-GB" w:eastAsia="bg-BG"/>
        </w:rPr>
        <w:t xml:space="preserve"> e </w:t>
      </w:r>
      <w:proofErr w:type="spellStart"/>
      <w:r w:rsidRPr="002863F1">
        <w:rPr>
          <w:rFonts w:ascii="Arial Narrow" w:eastAsia="Calibri" w:hAnsi="Arial Narrow" w:cs="Calibri"/>
          <w:sz w:val="22"/>
          <w:szCs w:val="22"/>
          <w:lang w:val="en-GB" w:eastAsia="bg-BG"/>
        </w:rPr>
        <w:t>zbatimit</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të</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aktiviteteve</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Plani</w:t>
      </w:r>
      <w:proofErr w:type="spellEnd"/>
      <w:r w:rsidRPr="002863F1">
        <w:rPr>
          <w:rFonts w:ascii="Arial Narrow" w:eastAsia="Calibri" w:hAnsi="Arial Narrow" w:cs="Calibri"/>
          <w:sz w:val="22"/>
          <w:szCs w:val="22"/>
          <w:lang w:val="en-GB" w:eastAsia="bg-BG"/>
        </w:rPr>
        <w:t xml:space="preserve"> i </w:t>
      </w:r>
      <w:proofErr w:type="spellStart"/>
      <w:r w:rsidRPr="002863F1">
        <w:rPr>
          <w:rFonts w:ascii="Arial Narrow" w:eastAsia="Calibri" w:hAnsi="Arial Narrow" w:cs="Calibri"/>
          <w:sz w:val="22"/>
          <w:szCs w:val="22"/>
          <w:lang w:val="en-GB" w:eastAsia="bg-BG"/>
        </w:rPr>
        <w:t>Veprimit</w:t>
      </w:r>
      <w:proofErr w:type="spellEnd"/>
      <w:r w:rsidRPr="002863F1">
        <w:rPr>
          <w:rFonts w:ascii="Arial Narrow" w:eastAsia="Calibri" w:hAnsi="Arial Narrow" w:cs="Calibri"/>
          <w:sz w:val="22"/>
          <w:szCs w:val="22"/>
          <w:lang w:val="en-GB" w:eastAsia="bg-BG"/>
        </w:rPr>
        <w:t xml:space="preserve"> do </w:t>
      </w:r>
      <w:proofErr w:type="spellStart"/>
      <w:r w:rsidRPr="002863F1">
        <w:rPr>
          <w:rFonts w:ascii="Arial Narrow" w:eastAsia="Calibri" w:hAnsi="Arial Narrow" w:cs="Calibri"/>
          <w:sz w:val="22"/>
          <w:szCs w:val="22"/>
          <w:lang w:val="en-GB" w:eastAsia="bg-BG"/>
        </w:rPr>
        <w:t>të</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përditësohet</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çdo</w:t>
      </w:r>
      <w:proofErr w:type="spellEnd"/>
      <w:r w:rsidRPr="002863F1">
        <w:rPr>
          <w:rFonts w:ascii="Arial Narrow" w:eastAsia="Calibri" w:hAnsi="Arial Narrow" w:cs="Calibri"/>
          <w:sz w:val="22"/>
          <w:szCs w:val="22"/>
          <w:lang w:val="en-GB" w:eastAsia="bg-BG"/>
        </w:rPr>
        <w:t xml:space="preserve"> vit. </w:t>
      </w:r>
      <w:proofErr w:type="spellStart"/>
      <w:r w:rsidRPr="002863F1">
        <w:rPr>
          <w:rFonts w:ascii="Arial Narrow" w:eastAsia="Calibri" w:hAnsi="Arial Narrow" w:cs="Calibri"/>
          <w:sz w:val="22"/>
          <w:szCs w:val="22"/>
          <w:lang w:val="en-GB" w:eastAsia="bg-BG"/>
        </w:rPr>
        <w:t>Në</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rast</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të</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ndryshimeve</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të</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mëdha</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në</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legjislacionin</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për</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menaxhimin</w:t>
      </w:r>
      <w:proofErr w:type="spellEnd"/>
      <w:r w:rsidRPr="002863F1">
        <w:rPr>
          <w:rFonts w:ascii="Arial Narrow" w:eastAsia="Calibri" w:hAnsi="Arial Narrow" w:cs="Calibri"/>
          <w:sz w:val="22"/>
          <w:szCs w:val="22"/>
          <w:lang w:val="en-GB" w:eastAsia="bg-BG"/>
        </w:rPr>
        <w:t xml:space="preserve"> e </w:t>
      </w:r>
      <w:proofErr w:type="spellStart"/>
      <w:r w:rsidRPr="002863F1">
        <w:rPr>
          <w:rFonts w:ascii="Arial Narrow" w:eastAsia="Calibri" w:hAnsi="Arial Narrow" w:cs="Calibri"/>
          <w:sz w:val="22"/>
          <w:szCs w:val="22"/>
          <w:lang w:val="en-GB" w:eastAsia="bg-BG"/>
        </w:rPr>
        <w:t>mbeturinave</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Plani</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Ndërkomunal</w:t>
      </w:r>
      <w:proofErr w:type="spellEnd"/>
      <w:r w:rsidRPr="002863F1">
        <w:rPr>
          <w:rFonts w:ascii="Arial Narrow" w:eastAsia="Calibri" w:hAnsi="Arial Narrow" w:cs="Calibri"/>
          <w:sz w:val="22"/>
          <w:szCs w:val="22"/>
          <w:lang w:val="en-GB" w:eastAsia="bg-BG"/>
        </w:rPr>
        <w:t xml:space="preserve"> i </w:t>
      </w:r>
      <w:proofErr w:type="spellStart"/>
      <w:r w:rsidRPr="002863F1">
        <w:rPr>
          <w:rFonts w:ascii="Arial Narrow" w:eastAsia="Calibri" w:hAnsi="Arial Narrow" w:cs="Calibri"/>
          <w:sz w:val="22"/>
          <w:szCs w:val="22"/>
          <w:lang w:val="en-GB" w:eastAsia="bg-BG"/>
        </w:rPr>
        <w:t>Menaxhimit</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të</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Integruar</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të</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Mbeturinave</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duhet</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të</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përditësohet</w:t>
      </w:r>
      <w:proofErr w:type="spellEnd"/>
      <w:r w:rsidRPr="002863F1">
        <w:rPr>
          <w:rFonts w:ascii="Arial Narrow" w:eastAsia="Calibri" w:hAnsi="Arial Narrow" w:cs="Calibri"/>
          <w:sz w:val="22"/>
          <w:szCs w:val="22"/>
          <w:lang w:val="en-GB" w:eastAsia="bg-BG"/>
        </w:rPr>
        <w:t xml:space="preserve"> gjithashtu </w:t>
      </w:r>
      <w:proofErr w:type="spellStart"/>
      <w:r w:rsidRPr="002863F1">
        <w:rPr>
          <w:rFonts w:ascii="Arial Narrow" w:eastAsia="Calibri" w:hAnsi="Arial Narrow" w:cs="Calibri"/>
          <w:sz w:val="22"/>
          <w:szCs w:val="22"/>
          <w:lang w:val="en-GB" w:eastAsia="bg-BG"/>
        </w:rPr>
        <w:t>për</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të</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pasqyruar</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këto</w:t>
      </w:r>
      <w:proofErr w:type="spellEnd"/>
      <w:r w:rsidRPr="002863F1">
        <w:rPr>
          <w:rFonts w:ascii="Arial Narrow" w:eastAsia="Calibri" w:hAnsi="Arial Narrow" w:cs="Calibri"/>
          <w:sz w:val="22"/>
          <w:szCs w:val="22"/>
          <w:lang w:val="en-GB" w:eastAsia="bg-BG"/>
        </w:rPr>
        <w:t xml:space="preserve"> </w:t>
      </w:r>
      <w:proofErr w:type="spellStart"/>
      <w:r w:rsidRPr="002863F1">
        <w:rPr>
          <w:rFonts w:ascii="Arial Narrow" w:eastAsia="Calibri" w:hAnsi="Arial Narrow" w:cs="Calibri"/>
          <w:sz w:val="22"/>
          <w:szCs w:val="22"/>
          <w:lang w:val="en-GB" w:eastAsia="bg-BG"/>
        </w:rPr>
        <w:t>ndryshime</w:t>
      </w:r>
      <w:proofErr w:type="spellEnd"/>
      <w:r w:rsidRPr="002863F1">
        <w:rPr>
          <w:rFonts w:ascii="Arial Narrow" w:eastAsia="Calibri" w:hAnsi="Arial Narrow" w:cs="Calibri"/>
          <w:sz w:val="22"/>
          <w:szCs w:val="22"/>
          <w:lang w:val="en-GB" w:eastAsia="bg-BG"/>
        </w:rPr>
        <w:t>.</w:t>
      </w:r>
    </w:p>
    <w:p w14:paraId="34A46707" w14:textId="77777777" w:rsidR="002863F1" w:rsidRPr="002863F1" w:rsidRDefault="002863F1" w:rsidP="002863F1">
      <w:pPr>
        <w:suppressAutoHyphens/>
        <w:jc w:val="both"/>
        <w:rPr>
          <w:rFonts w:ascii="Arial Narrow" w:eastAsia="Calibri" w:hAnsi="Arial Narrow" w:cs="Calibri"/>
          <w:sz w:val="22"/>
          <w:szCs w:val="22"/>
          <w:lang w:eastAsia="bg-BG"/>
        </w:rPr>
      </w:pPr>
    </w:p>
    <w:p w14:paraId="22113643" w14:textId="58D9E320" w:rsidR="002863F1" w:rsidRPr="003069B8" w:rsidRDefault="002863F1" w:rsidP="002863F1">
      <w:pPr>
        <w:suppressAutoHyphens/>
        <w:jc w:val="both"/>
        <w:rPr>
          <w:rFonts w:ascii="Arial Narrow" w:eastAsia="Calibri" w:hAnsi="Arial Narrow" w:cs="Calibri"/>
          <w:sz w:val="22"/>
          <w:szCs w:val="22"/>
          <w:lang w:eastAsia="bg-BG"/>
        </w:rPr>
      </w:pPr>
      <w:r w:rsidRPr="003069B8">
        <w:rPr>
          <w:rFonts w:ascii="Arial Narrow" w:eastAsia="Calibri" w:hAnsi="Arial Narrow" w:cs="Calibri"/>
          <w:sz w:val="22"/>
          <w:szCs w:val="22"/>
          <w:lang w:eastAsia="bg-BG"/>
        </w:rPr>
        <w:t xml:space="preserve">Planet komunale të menaxhimit të mbeturinave duhet të përditësohen brenda gjashtë muajve nga data e miratimit të Planit Ndërkomunal </w:t>
      </w:r>
      <w:r w:rsidR="00721BCE" w:rsidRPr="003069B8">
        <w:rPr>
          <w:rFonts w:ascii="Arial Narrow" w:eastAsia="Calibri" w:hAnsi="Arial Narrow" w:cs="Calibri"/>
          <w:sz w:val="22"/>
          <w:szCs w:val="22"/>
          <w:lang w:eastAsia="bg-BG"/>
        </w:rPr>
        <w:t>për</w:t>
      </w:r>
      <w:r w:rsidRPr="003069B8">
        <w:rPr>
          <w:rFonts w:ascii="Arial Narrow" w:eastAsia="Calibri" w:hAnsi="Arial Narrow" w:cs="Calibri"/>
          <w:sz w:val="22"/>
          <w:szCs w:val="22"/>
          <w:lang w:eastAsia="bg-BG"/>
        </w:rPr>
        <w:t xml:space="preserve"> Menaxhimi</w:t>
      </w:r>
      <w:r w:rsidR="00721BCE" w:rsidRPr="003069B8">
        <w:rPr>
          <w:rFonts w:ascii="Arial Narrow" w:eastAsia="Calibri" w:hAnsi="Arial Narrow" w:cs="Calibri"/>
          <w:sz w:val="22"/>
          <w:szCs w:val="22"/>
          <w:lang w:eastAsia="bg-BG"/>
        </w:rPr>
        <w:t>n e</w:t>
      </w:r>
      <w:r w:rsidRPr="003069B8">
        <w:rPr>
          <w:rFonts w:ascii="Arial Narrow" w:eastAsia="Calibri" w:hAnsi="Arial Narrow" w:cs="Calibri"/>
          <w:sz w:val="22"/>
          <w:szCs w:val="22"/>
          <w:lang w:eastAsia="bg-BG"/>
        </w:rPr>
        <w:t xml:space="preserve"> Integruar të Mbeturinave.</w:t>
      </w:r>
    </w:p>
    <w:p w14:paraId="1012816A" w14:textId="77777777" w:rsidR="007D1EDC" w:rsidRPr="002863F1" w:rsidRDefault="007D1EDC" w:rsidP="007D1EDC">
      <w:pPr>
        <w:suppressAutoHyphens/>
        <w:rPr>
          <w:rFonts w:ascii="Arial Narrow" w:eastAsia="Calibri" w:hAnsi="Arial Narrow" w:cs="Calibri"/>
          <w:sz w:val="22"/>
          <w:szCs w:val="22"/>
          <w:lang w:val="bg-BG"/>
        </w:rPr>
      </w:pPr>
    </w:p>
    <w:p w14:paraId="30FB6725" w14:textId="77777777" w:rsidR="007D1EDC" w:rsidRPr="002863F1" w:rsidRDefault="007D1EDC" w:rsidP="007D1EDC">
      <w:pPr>
        <w:rPr>
          <w:rFonts w:ascii="Arial Narrow" w:eastAsia="Calibri" w:hAnsi="Arial Narrow" w:cs="Calibri"/>
          <w:sz w:val="22"/>
          <w:szCs w:val="22"/>
          <w:lang w:val="bg-BG"/>
        </w:rPr>
      </w:pPr>
      <w:r w:rsidRPr="002863F1">
        <w:rPr>
          <w:rFonts w:ascii="Arial Narrow" w:eastAsia="Calibri" w:hAnsi="Arial Narrow" w:cs="Calibri"/>
          <w:sz w:val="22"/>
          <w:szCs w:val="22"/>
          <w:lang w:val="bg-BG"/>
        </w:rPr>
        <w:br w:type="page"/>
      </w:r>
    </w:p>
    <w:p w14:paraId="37B0D3A7" w14:textId="6065851A" w:rsidR="007D1EDC" w:rsidRPr="007D1EDC" w:rsidRDefault="007D1EDC" w:rsidP="007D1EDC">
      <w:pPr>
        <w:keepNext/>
        <w:suppressAutoHyphens/>
        <w:jc w:val="both"/>
        <w:outlineLvl w:val="0"/>
        <w:rPr>
          <w:rFonts w:ascii="Arial Narrow" w:eastAsiaTheme="majorEastAsia" w:hAnsi="Arial Narrow" w:cstheme="majorBidi"/>
          <w:b/>
          <w:bCs/>
          <w:caps/>
          <w:color w:val="002060"/>
          <w:spacing w:val="20"/>
          <w:sz w:val="28"/>
          <w:szCs w:val="28"/>
        </w:rPr>
      </w:pPr>
      <w:bookmarkStart w:id="713" w:name="_Toc190967418"/>
      <w:bookmarkStart w:id="714" w:name="_Toc197472067"/>
      <w:r w:rsidRPr="007D1EDC">
        <w:rPr>
          <w:rFonts w:ascii="Arial Narrow" w:eastAsiaTheme="majorEastAsia" w:hAnsi="Arial Narrow" w:cstheme="majorBidi"/>
          <w:b/>
          <w:bCs/>
          <w:caps/>
          <w:color w:val="002060"/>
          <w:spacing w:val="20"/>
          <w:sz w:val="28"/>
          <w:szCs w:val="28"/>
        </w:rPr>
        <w:lastRenderedPageBreak/>
        <w:t>Shtojca 1. B</w:t>
      </w:r>
      <w:r w:rsidR="00721BCE">
        <w:rPr>
          <w:rFonts w:ascii="Arial Narrow" w:eastAsiaTheme="majorEastAsia" w:hAnsi="Arial Narrow" w:cstheme="majorBidi"/>
          <w:b/>
          <w:bCs/>
          <w:caps/>
          <w:color w:val="002060"/>
          <w:spacing w:val="20"/>
          <w:sz w:val="28"/>
          <w:szCs w:val="28"/>
        </w:rPr>
        <w:t>A</w:t>
      </w:r>
      <w:r w:rsidRPr="007D1EDC">
        <w:rPr>
          <w:rFonts w:ascii="Arial Narrow" w:eastAsiaTheme="majorEastAsia" w:hAnsi="Arial Narrow" w:cstheme="majorBidi"/>
          <w:b/>
          <w:bCs/>
          <w:caps/>
          <w:color w:val="002060"/>
          <w:spacing w:val="20"/>
          <w:sz w:val="28"/>
          <w:szCs w:val="28"/>
        </w:rPr>
        <w:t>lanc</w:t>
      </w:r>
      <w:r w:rsidR="00721BCE">
        <w:rPr>
          <w:rFonts w:ascii="Arial Narrow" w:eastAsiaTheme="majorEastAsia" w:hAnsi="Arial Narrow" w:cstheme="majorBidi"/>
          <w:b/>
          <w:bCs/>
          <w:caps/>
          <w:color w:val="002060"/>
          <w:spacing w:val="20"/>
          <w:sz w:val="28"/>
          <w:szCs w:val="28"/>
        </w:rPr>
        <w:t>AT E PËRGJITHSHME/</w:t>
      </w:r>
      <w:r w:rsidRPr="007D1EDC">
        <w:rPr>
          <w:rFonts w:ascii="Arial Narrow" w:eastAsiaTheme="majorEastAsia" w:hAnsi="Arial Narrow" w:cstheme="majorBidi"/>
          <w:b/>
          <w:bCs/>
          <w:caps/>
          <w:color w:val="002060"/>
          <w:spacing w:val="20"/>
          <w:sz w:val="28"/>
          <w:szCs w:val="28"/>
        </w:rPr>
        <w:t xml:space="preserve">Masës </w:t>
      </w:r>
      <w:r w:rsidR="00721BCE">
        <w:rPr>
          <w:rFonts w:ascii="Arial Narrow" w:eastAsiaTheme="majorEastAsia" w:hAnsi="Arial Narrow" w:cstheme="majorBidi"/>
          <w:b/>
          <w:bCs/>
          <w:caps/>
          <w:color w:val="002060"/>
          <w:spacing w:val="20"/>
          <w:sz w:val="28"/>
          <w:szCs w:val="28"/>
        </w:rPr>
        <w:t>SIPAS</w:t>
      </w:r>
      <w:r w:rsidRPr="007D1EDC">
        <w:rPr>
          <w:rFonts w:ascii="Arial Narrow" w:eastAsiaTheme="majorEastAsia" w:hAnsi="Arial Narrow" w:cstheme="majorBidi"/>
          <w:b/>
          <w:bCs/>
          <w:caps/>
          <w:color w:val="002060"/>
          <w:spacing w:val="20"/>
          <w:sz w:val="28"/>
          <w:szCs w:val="28"/>
        </w:rPr>
        <w:t xml:space="preserve"> komuna</w:t>
      </w:r>
      <w:bookmarkEnd w:id="713"/>
      <w:r w:rsidR="00721BCE">
        <w:rPr>
          <w:rFonts w:ascii="Arial Narrow" w:eastAsiaTheme="majorEastAsia" w:hAnsi="Arial Narrow" w:cstheme="majorBidi"/>
          <w:b/>
          <w:bCs/>
          <w:caps/>
          <w:color w:val="002060"/>
          <w:spacing w:val="20"/>
          <w:sz w:val="28"/>
          <w:szCs w:val="28"/>
        </w:rPr>
        <w:t>VE</w:t>
      </w:r>
      <w:bookmarkEnd w:id="714"/>
    </w:p>
    <w:p w14:paraId="15B48603" w14:textId="77777777" w:rsidR="007D1EDC" w:rsidRPr="007D1EDC" w:rsidRDefault="007D1EDC" w:rsidP="007D1EDC">
      <w:pPr>
        <w:suppressAutoHyphens/>
        <w:rPr>
          <w:rFonts w:ascii="Arial Narrow" w:eastAsia="Calibri" w:hAnsi="Arial Narrow" w:cs="Calibri"/>
          <w:sz w:val="22"/>
          <w:szCs w:val="22"/>
        </w:rPr>
      </w:pPr>
    </w:p>
    <w:p w14:paraId="4985DA7C" w14:textId="1A08D87A" w:rsidR="007D1EDC" w:rsidRPr="007D1EDC" w:rsidRDefault="007D1EDC" w:rsidP="007D1EDC">
      <w:pPr>
        <w:suppressAutoHyphens/>
        <w:rPr>
          <w:rFonts w:ascii="Arial Narrow" w:eastAsia="Calibri" w:hAnsi="Arial Narrow" w:cs="Calibri"/>
          <w:color w:val="1F497D"/>
          <w:sz w:val="20"/>
          <w:szCs w:val="20"/>
        </w:rPr>
      </w:pPr>
      <w:bookmarkStart w:id="715" w:name="_Toc190966802"/>
      <w:bookmarkStart w:id="716" w:name="_Toc197472299"/>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114. </w:t>
      </w:r>
      <w:r w:rsidRPr="007D1EDC">
        <w:rPr>
          <w:rFonts w:ascii="Arial Narrow" w:eastAsia="Calibri" w:hAnsi="Arial Narrow" w:cs="Calibri"/>
          <w:color w:val="1F497D"/>
          <w:sz w:val="20"/>
          <w:szCs w:val="20"/>
        </w:rPr>
        <w:fldChar w:fldCharType="end"/>
      </w:r>
      <w:r w:rsidRPr="007D1EDC">
        <w:rPr>
          <w:rFonts w:ascii="Arial Narrow" w:eastAsia="Calibri" w:hAnsi="Arial Narrow" w:cs="Calibri"/>
          <w:color w:val="1F497D"/>
          <w:sz w:val="20"/>
          <w:szCs w:val="20"/>
        </w:rPr>
        <w:t>B</w:t>
      </w:r>
      <w:r w:rsidR="00721BCE">
        <w:rPr>
          <w:rFonts w:ascii="Arial Narrow" w:eastAsia="Calibri" w:hAnsi="Arial Narrow" w:cs="Calibri"/>
          <w:color w:val="1F497D"/>
          <w:sz w:val="20"/>
          <w:szCs w:val="20"/>
        </w:rPr>
        <w:t>a</w:t>
      </w:r>
      <w:r w:rsidRPr="007D1EDC">
        <w:rPr>
          <w:rFonts w:ascii="Arial Narrow" w:eastAsia="Calibri" w:hAnsi="Arial Narrow" w:cs="Calibri"/>
          <w:color w:val="1F497D"/>
          <w:sz w:val="20"/>
          <w:szCs w:val="20"/>
        </w:rPr>
        <w:t>lanc</w:t>
      </w:r>
      <w:r w:rsidR="00721BCE">
        <w:rPr>
          <w:rFonts w:ascii="Arial Narrow" w:eastAsia="Calibri" w:hAnsi="Arial Narrow" w:cs="Calibri"/>
          <w:color w:val="1F497D"/>
          <w:sz w:val="20"/>
          <w:szCs w:val="20"/>
        </w:rPr>
        <w:t>a</w:t>
      </w:r>
      <w:r w:rsidRPr="007D1EDC">
        <w:rPr>
          <w:rFonts w:ascii="Arial Narrow" w:eastAsia="Calibri" w:hAnsi="Arial Narrow" w:cs="Calibri"/>
          <w:color w:val="1F497D"/>
          <w:sz w:val="20"/>
          <w:szCs w:val="20"/>
        </w:rPr>
        <w:t xml:space="preserve"> </w:t>
      </w:r>
      <w:r w:rsidR="00721BCE">
        <w:rPr>
          <w:rFonts w:ascii="Arial Narrow" w:eastAsia="Calibri" w:hAnsi="Arial Narrow" w:cs="Calibri"/>
          <w:color w:val="1F497D"/>
          <w:sz w:val="20"/>
          <w:szCs w:val="20"/>
        </w:rPr>
        <w:t>e përgjithshme/</w:t>
      </w:r>
      <w:r w:rsidRPr="007D1EDC">
        <w:rPr>
          <w:rFonts w:ascii="Arial Narrow" w:eastAsia="Calibri" w:hAnsi="Arial Narrow" w:cs="Calibri"/>
          <w:color w:val="1F497D"/>
          <w:sz w:val="20"/>
          <w:szCs w:val="20"/>
        </w:rPr>
        <w:t xml:space="preserve">masës së mbeturinave </w:t>
      </w:r>
      <w:r w:rsidR="00721BCE">
        <w:rPr>
          <w:rFonts w:ascii="Arial Narrow" w:eastAsia="Calibri" w:hAnsi="Arial Narrow" w:cs="Calibri"/>
          <w:color w:val="1F497D"/>
          <w:sz w:val="20"/>
          <w:szCs w:val="20"/>
        </w:rPr>
        <w:t>në</w:t>
      </w:r>
      <w:r w:rsidRPr="007D1EDC">
        <w:rPr>
          <w:rFonts w:ascii="Arial Narrow" w:eastAsia="Calibri" w:hAnsi="Arial Narrow" w:cs="Calibri"/>
          <w:color w:val="1F497D"/>
          <w:sz w:val="20"/>
          <w:szCs w:val="20"/>
        </w:rPr>
        <w:t xml:space="preserve"> komunë</w:t>
      </w:r>
      <w:r w:rsidR="00721BCE">
        <w:rPr>
          <w:rFonts w:ascii="Arial Narrow" w:eastAsia="Calibri" w:hAnsi="Arial Narrow" w:cs="Calibri"/>
          <w:color w:val="1F497D"/>
          <w:sz w:val="20"/>
          <w:szCs w:val="20"/>
        </w:rPr>
        <w:t>n e</w:t>
      </w:r>
      <w:r w:rsidRPr="007D1EDC">
        <w:rPr>
          <w:rFonts w:ascii="Arial Narrow" w:eastAsia="Calibri" w:hAnsi="Arial Narrow" w:cs="Calibri"/>
          <w:color w:val="1F497D"/>
          <w:sz w:val="20"/>
          <w:szCs w:val="20"/>
        </w:rPr>
        <w:t xml:space="preserve"> Pejës</w:t>
      </w:r>
      <w:bookmarkEnd w:id="715"/>
      <w:bookmarkEnd w:id="7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769"/>
        <w:gridCol w:w="769"/>
        <w:gridCol w:w="770"/>
        <w:gridCol w:w="770"/>
        <w:gridCol w:w="770"/>
        <w:gridCol w:w="770"/>
        <w:gridCol w:w="770"/>
        <w:gridCol w:w="770"/>
        <w:gridCol w:w="770"/>
        <w:gridCol w:w="770"/>
      </w:tblGrid>
      <w:tr w:rsidR="00721BCE" w:rsidRPr="00721BCE" w14:paraId="7A7AA9CC" w14:textId="77777777" w:rsidTr="005A2D4D">
        <w:trPr>
          <w:trHeight w:val="320"/>
        </w:trPr>
        <w:tc>
          <w:tcPr>
            <w:tcW w:w="1318" w:type="dxa"/>
            <w:shd w:val="clear" w:color="auto" w:fill="365F91"/>
            <w:noWrap/>
            <w:tcMar>
              <w:left w:w="58" w:type="dxa"/>
              <w:right w:w="58" w:type="dxa"/>
            </w:tcMar>
            <w:vAlign w:val="bottom"/>
            <w:hideMark/>
          </w:tcPr>
          <w:p w14:paraId="19C43676" w14:textId="77777777" w:rsidR="00721BCE" w:rsidRPr="00721BCE" w:rsidRDefault="00721BCE" w:rsidP="005A2D4D">
            <w:pPr>
              <w:rPr>
                <w:rFonts w:ascii="Arial Narrow" w:hAnsi="Arial Narrow" w:cs="Calibri"/>
                <w:b/>
                <w:bCs/>
                <w:i/>
                <w:iCs/>
                <w:color w:val="FFFFFF"/>
                <w:sz w:val="18"/>
                <w:szCs w:val="18"/>
                <w:lang w:val="en-GB" w:eastAsia="en-GB"/>
              </w:rPr>
            </w:pPr>
            <w:proofErr w:type="spellStart"/>
            <w:r w:rsidRPr="00721BCE">
              <w:rPr>
                <w:rFonts w:ascii="Arial Narrow" w:hAnsi="Arial Narrow" w:cs="Calibri"/>
                <w:b/>
                <w:bCs/>
                <w:i/>
                <w:iCs/>
                <w:color w:val="FFFFFF"/>
                <w:sz w:val="18"/>
                <w:szCs w:val="18"/>
                <w:lang w:val="en-GB" w:eastAsia="en-GB"/>
              </w:rPr>
              <w:t>Rrjedha</w:t>
            </w:r>
            <w:proofErr w:type="spellEnd"/>
            <w:r w:rsidRPr="00721BCE">
              <w:rPr>
                <w:rFonts w:ascii="Arial Narrow" w:hAnsi="Arial Narrow" w:cs="Calibri"/>
                <w:b/>
                <w:bCs/>
                <w:i/>
                <w:iCs/>
                <w:color w:val="FFFFFF"/>
                <w:sz w:val="18"/>
                <w:szCs w:val="18"/>
                <w:lang w:val="en-GB" w:eastAsia="en-GB"/>
              </w:rPr>
              <w:t xml:space="preserve"> e </w:t>
            </w:r>
            <w:proofErr w:type="spellStart"/>
            <w:r w:rsidRPr="00721BCE">
              <w:rPr>
                <w:rFonts w:ascii="Arial Narrow" w:hAnsi="Arial Narrow" w:cs="Calibri"/>
                <w:b/>
                <w:bCs/>
                <w:i/>
                <w:iCs/>
                <w:color w:val="FFFFFF"/>
                <w:sz w:val="18"/>
                <w:szCs w:val="18"/>
                <w:lang w:val="en-GB" w:eastAsia="en-GB"/>
              </w:rPr>
              <w:t>mbeturinave</w:t>
            </w:r>
            <w:proofErr w:type="spellEnd"/>
          </w:p>
        </w:tc>
        <w:tc>
          <w:tcPr>
            <w:tcW w:w="769" w:type="dxa"/>
            <w:shd w:val="clear" w:color="auto" w:fill="365F91"/>
            <w:noWrap/>
            <w:tcMar>
              <w:left w:w="58" w:type="dxa"/>
              <w:right w:w="58" w:type="dxa"/>
            </w:tcMar>
            <w:vAlign w:val="center"/>
            <w:hideMark/>
          </w:tcPr>
          <w:p w14:paraId="1769FEC6"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2026</w:t>
            </w:r>
          </w:p>
        </w:tc>
        <w:tc>
          <w:tcPr>
            <w:tcW w:w="769" w:type="dxa"/>
            <w:shd w:val="clear" w:color="auto" w:fill="365F91"/>
            <w:noWrap/>
            <w:tcMar>
              <w:left w:w="58" w:type="dxa"/>
              <w:right w:w="58" w:type="dxa"/>
            </w:tcMar>
            <w:vAlign w:val="center"/>
            <w:hideMark/>
          </w:tcPr>
          <w:p w14:paraId="585FA45B"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2027</w:t>
            </w:r>
          </w:p>
        </w:tc>
        <w:tc>
          <w:tcPr>
            <w:tcW w:w="770" w:type="dxa"/>
            <w:shd w:val="clear" w:color="auto" w:fill="365F91"/>
            <w:noWrap/>
            <w:tcMar>
              <w:left w:w="58" w:type="dxa"/>
              <w:right w:w="58" w:type="dxa"/>
            </w:tcMar>
            <w:vAlign w:val="center"/>
            <w:hideMark/>
          </w:tcPr>
          <w:p w14:paraId="68311A43"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2028</w:t>
            </w:r>
          </w:p>
        </w:tc>
        <w:tc>
          <w:tcPr>
            <w:tcW w:w="770" w:type="dxa"/>
            <w:shd w:val="clear" w:color="auto" w:fill="365F91"/>
            <w:noWrap/>
            <w:tcMar>
              <w:left w:w="58" w:type="dxa"/>
              <w:right w:w="58" w:type="dxa"/>
            </w:tcMar>
            <w:vAlign w:val="center"/>
            <w:hideMark/>
          </w:tcPr>
          <w:p w14:paraId="3EC96910"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2029</w:t>
            </w:r>
          </w:p>
        </w:tc>
        <w:tc>
          <w:tcPr>
            <w:tcW w:w="770" w:type="dxa"/>
            <w:shd w:val="clear" w:color="auto" w:fill="365F91"/>
            <w:noWrap/>
            <w:tcMar>
              <w:left w:w="58" w:type="dxa"/>
              <w:right w:w="58" w:type="dxa"/>
            </w:tcMar>
            <w:vAlign w:val="center"/>
            <w:hideMark/>
          </w:tcPr>
          <w:p w14:paraId="4FD053CB"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2030</w:t>
            </w:r>
          </w:p>
        </w:tc>
        <w:tc>
          <w:tcPr>
            <w:tcW w:w="770" w:type="dxa"/>
            <w:shd w:val="clear" w:color="auto" w:fill="365F91"/>
            <w:noWrap/>
            <w:tcMar>
              <w:left w:w="58" w:type="dxa"/>
              <w:right w:w="58" w:type="dxa"/>
            </w:tcMar>
            <w:vAlign w:val="center"/>
            <w:hideMark/>
          </w:tcPr>
          <w:p w14:paraId="062B6971"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2031</w:t>
            </w:r>
          </w:p>
        </w:tc>
        <w:tc>
          <w:tcPr>
            <w:tcW w:w="770" w:type="dxa"/>
            <w:shd w:val="clear" w:color="auto" w:fill="365F91"/>
            <w:noWrap/>
            <w:tcMar>
              <w:left w:w="58" w:type="dxa"/>
              <w:right w:w="58" w:type="dxa"/>
            </w:tcMar>
            <w:vAlign w:val="center"/>
            <w:hideMark/>
          </w:tcPr>
          <w:p w14:paraId="4A78CD98"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2032</w:t>
            </w:r>
          </w:p>
        </w:tc>
        <w:tc>
          <w:tcPr>
            <w:tcW w:w="770" w:type="dxa"/>
            <w:shd w:val="clear" w:color="auto" w:fill="365F91"/>
            <w:noWrap/>
            <w:tcMar>
              <w:left w:w="58" w:type="dxa"/>
              <w:right w:w="58" w:type="dxa"/>
            </w:tcMar>
            <w:vAlign w:val="center"/>
            <w:hideMark/>
          </w:tcPr>
          <w:p w14:paraId="17742D3E"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2033</w:t>
            </w:r>
          </w:p>
        </w:tc>
        <w:tc>
          <w:tcPr>
            <w:tcW w:w="770" w:type="dxa"/>
            <w:shd w:val="clear" w:color="auto" w:fill="365F91"/>
            <w:noWrap/>
            <w:tcMar>
              <w:left w:w="58" w:type="dxa"/>
              <w:right w:w="58" w:type="dxa"/>
            </w:tcMar>
            <w:vAlign w:val="center"/>
            <w:hideMark/>
          </w:tcPr>
          <w:p w14:paraId="5EF86203"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2034</w:t>
            </w:r>
          </w:p>
        </w:tc>
        <w:tc>
          <w:tcPr>
            <w:tcW w:w="770" w:type="dxa"/>
            <w:shd w:val="clear" w:color="auto" w:fill="365F91"/>
            <w:noWrap/>
            <w:tcMar>
              <w:left w:w="58" w:type="dxa"/>
              <w:right w:w="58" w:type="dxa"/>
            </w:tcMar>
            <w:vAlign w:val="center"/>
            <w:hideMark/>
          </w:tcPr>
          <w:p w14:paraId="79D4F9A8"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2035</w:t>
            </w:r>
          </w:p>
        </w:tc>
      </w:tr>
      <w:tr w:rsidR="00721BCE" w:rsidRPr="00721BCE" w14:paraId="0B84233C" w14:textId="77777777" w:rsidTr="005A2D4D">
        <w:trPr>
          <w:trHeight w:val="300"/>
        </w:trPr>
        <w:tc>
          <w:tcPr>
            <w:tcW w:w="1318" w:type="dxa"/>
            <w:shd w:val="clear" w:color="auto" w:fill="auto"/>
            <w:noWrap/>
            <w:tcMar>
              <w:left w:w="58" w:type="dxa"/>
              <w:right w:w="58" w:type="dxa"/>
            </w:tcMar>
            <w:vAlign w:val="bottom"/>
            <w:hideMark/>
          </w:tcPr>
          <w:p w14:paraId="4ED0FC68" w14:textId="77777777" w:rsidR="00721BCE" w:rsidRPr="00721BCE" w:rsidRDefault="00721BCE" w:rsidP="005A2D4D">
            <w:pPr>
              <w:rPr>
                <w:rFonts w:ascii="Arial Narrow" w:hAnsi="Arial Narrow" w:cs="Calibri"/>
                <w:sz w:val="18"/>
                <w:szCs w:val="18"/>
                <w:lang w:val="en-GB" w:eastAsia="en-GB"/>
              </w:rPr>
            </w:pPr>
            <w:proofErr w:type="spellStart"/>
            <w:r w:rsidRPr="00721BCE">
              <w:rPr>
                <w:rFonts w:ascii="Arial Narrow" w:hAnsi="Arial Narrow" w:cs="Calibri"/>
                <w:sz w:val="18"/>
                <w:szCs w:val="18"/>
                <w:lang w:val="en-GB" w:eastAsia="en-GB"/>
              </w:rPr>
              <w:t>Mbeturinat</w:t>
            </w:r>
            <w:proofErr w:type="spellEnd"/>
            <w:r w:rsidRPr="00721BCE">
              <w:rPr>
                <w:rFonts w:ascii="Arial Narrow" w:hAnsi="Arial Narrow" w:cs="Calibri"/>
                <w:sz w:val="18"/>
                <w:szCs w:val="18"/>
                <w:lang w:val="en-GB" w:eastAsia="en-GB"/>
              </w:rPr>
              <w:t xml:space="preserve"> e </w:t>
            </w:r>
            <w:proofErr w:type="spellStart"/>
            <w:r w:rsidRPr="00721BCE">
              <w:rPr>
                <w:rFonts w:ascii="Arial Narrow" w:hAnsi="Arial Narrow" w:cs="Calibri"/>
                <w:sz w:val="18"/>
                <w:szCs w:val="18"/>
                <w:lang w:val="en-GB" w:eastAsia="en-GB"/>
              </w:rPr>
              <w:t>gjeneruara</w:t>
            </w:r>
            <w:proofErr w:type="spellEnd"/>
          </w:p>
        </w:tc>
        <w:tc>
          <w:tcPr>
            <w:tcW w:w="769" w:type="dxa"/>
            <w:shd w:val="clear" w:color="auto" w:fill="auto"/>
            <w:noWrap/>
            <w:tcMar>
              <w:left w:w="58" w:type="dxa"/>
              <w:right w:w="58" w:type="dxa"/>
            </w:tcMar>
            <w:vAlign w:val="bottom"/>
            <w:hideMark/>
          </w:tcPr>
          <w:p w14:paraId="4270010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37,903 t</w:t>
            </w:r>
          </w:p>
        </w:tc>
        <w:tc>
          <w:tcPr>
            <w:tcW w:w="769" w:type="dxa"/>
            <w:shd w:val="clear" w:color="auto" w:fill="auto"/>
            <w:noWrap/>
            <w:tcMar>
              <w:left w:w="58" w:type="dxa"/>
              <w:right w:w="58" w:type="dxa"/>
            </w:tcMar>
            <w:vAlign w:val="bottom"/>
            <w:hideMark/>
          </w:tcPr>
          <w:p w14:paraId="5DE3CB1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38,099 t</w:t>
            </w:r>
          </w:p>
        </w:tc>
        <w:tc>
          <w:tcPr>
            <w:tcW w:w="770" w:type="dxa"/>
            <w:shd w:val="clear" w:color="auto" w:fill="auto"/>
            <w:noWrap/>
            <w:tcMar>
              <w:left w:w="58" w:type="dxa"/>
              <w:right w:w="58" w:type="dxa"/>
            </w:tcMar>
            <w:vAlign w:val="bottom"/>
            <w:hideMark/>
          </w:tcPr>
          <w:p w14:paraId="06F447D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38,300 t</w:t>
            </w:r>
          </w:p>
        </w:tc>
        <w:tc>
          <w:tcPr>
            <w:tcW w:w="770" w:type="dxa"/>
            <w:shd w:val="clear" w:color="auto" w:fill="auto"/>
            <w:noWrap/>
            <w:tcMar>
              <w:left w:w="58" w:type="dxa"/>
              <w:right w:w="58" w:type="dxa"/>
            </w:tcMar>
            <w:vAlign w:val="bottom"/>
            <w:hideMark/>
          </w:tcPr>
          <w:p w14:paraId="6474EC4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38,504 t</w:t>
            </w:r>
          </w:p>
        </w:tc>
        <w:tc>
          <w:tcPr>
            <w:tcW w:w="770" w:type="dxa"/>
            <w:shd w:val="clear" w:color="auto" w:fill="auto"/>
            <w:noWrap/>
            <w:tcMar>
              <w:left w:w="58" w:type="dxa"/>
              <w:right w:w="58" w:type="dxa"/>
            </w:tcMar>
            <w:vAlign w:val="bottom"/>
            <w:hideMark/>
          </w:tcPr>
          <w:p w14:paraId="749A471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38,712 t</w:t>
            </w:r>
          </w:p>
        </w:tc>
        <w:tc>
          <w:tcPr>
            <w:tcW w:w="770" w:type="dxa"/>
            <w:shd w:val="clear" w:color="auto" w:fill="auto"/>
            <w:noWrap/>
            <w:tcMar>
              <w:left w:w="58" w:type="dxa"/>
              <w:right w:w="58" w:type="dxa"/>
            </w:tcMar>
            <w:vAlign w:val="bottom"/>
            <w:hideMark/>
          </w:tcPr>
          <w:p w14:paraId="5DA57C7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38,923 t</w:t>
            </w:r>
          </w:p>
        </w:tc>
        <w:tc>
          <w:tcPr>
            <w:tcW w:w="770" w:type="dxa"/>
            <w:shd w:val="clear" w:color="auto" w:fill="auto"/>
            <w:noWrap/>
            <w:tcMar>
              <w:left w:w="58" w:type="dxa"/>
              <w:right w:w="58" w:type="dxa"/>
            </w:tcMar>
            <w:vAlign w:val="bottom"/>
            <w:hideMark/>
          </w:tcPr>
          <w:p w14:paraId="30A4D60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39,138 t</w:t>
            </w:r>
          </w:p>
        </w:tc>
        <w:tc>
          <w:tcPr>
            <w:tcW w:w="770" w:type="dxa"/>
            <w:shd w:val="clear" w:color="auto" w:fill="auto"/>
            <w:noWrap/>
            <w:tcMar>
              <w:left w:w="58" w:type="dxa"/>
              <w:right w:w="58" w:type="dxa"/>
            </w:tcMar>
            <w:vAlign w:val="bottom"/>
            <w:hideMark/>
          </w:tcPr>
          <w:p w14:paraId="3EB444A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39,355 t</w:t>
            </w:r>
          </w:p>
        </w:tc>
        <w:tc>
          <w:tcPr>
            <w:tcW w:w="770" w:type="dxa"/>
            <w:shd w:val="clear" w:color="auto" w:fill="auto"/>
            <w:noWrap/>
            <w:tcMar>
              <w:left w:w="58" w:type="dxa"/>
              <w:right w:w="58" w:type="dxa"/>
            </w:tcMar>
            <w:vAlign w:val="bottom"/>
            <w:hideMark/>
          </w:tcPr>
          <w:p w14:paraId="24BAA0A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39,576 t</w:t>
            </w:r>
          </w:p>
        </w:tc>
        <w:tc>
          <w:tcPr>
            <w:tcW w:w="770" w:type="dxa"/>
            <w:shd w:val="clear" w:color="auto" w:fill="auto"/>
            <w:noWrap/>
            <w:tcMar>
              <w:left w:w="58" w:type="dxa"/>
              <w:right w:w="58" w:type="dxa"/>
            </w:tcMar>
            <w:vAlign w:val="bottom"/>
            <w:hideMark/>
          </w:tcPr>
          <w:p w14:paraId="26B1BBF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39,799 t</w:t>
            </w:r>
          </w:p>
        </w:tc>
      </w:tr>
      <w:tr w:rsidR="00721BCE" w:rsidRPr="00721BCE" w14:paraId="00C4644D" w14:textId="77777777" w:rsidTr="005A2D4D">
        <w:trPr>
          <w:trHeight w:val="290"/>
        </w:trPr>
        <w:tc>
          <w:tcPr>
            <w:tcW w:w="1318" w:type="dxa"/>
            <w:shd w:val="clear" w:color="auto" w:fill="auto"/>
            <w:noWrap/>
            <w:tcMar>
              <w:left w:w="58" w:type="dxa"/>
              <w:right w:w="58" w:type="dxa"/>
            </w:tcMar>
            <w:vAlign w:val="bottom"/>
            <w:hideMark/>
          </w:tcPr>
          <w:p w14:paraId="674872FC"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përfshirë. sipërfaqet publike të mbeturinave të gjelbra</w:t>
            </w:r>
          </w:p>
        </w:tc>
        <w:tc>
          <w:tcPr>
            <w:tcW w:w="769" w:type="dxa"/>
            <w:shd w:val="clear" w:color="auto" w:fill="auto"/>
            <w:noWrap/>
            <w:tcMar>
              <w:left w:w="58" w:type="dxa"/>
              <w:right w:w="58" w:type="dxa"/>
            </w:tcMar>
            <w:vAlign w:val="bottom"/>
            <w:hideMark/>
          </w:tcPr>
          <w:p w14:paraId="6170249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39,915 t</w:t>
            </w:r>
          </w:p>
        </w:tc>
        <w:tc>
          <w:tcPr>
            <w:tcW w:w="769" w:type="dxa"/>
            <w:shd w:val="clear" w:color="auto" w:fill="auto"/>
            <w:noWrap/>
            <w:tcMar>
              <w:left w:w="58" w:type="dxa"/>
              <w:right w:w="58" w:type="dxa"/>
            </w:tcMar>
            <w:vAlign w:val="bottom"/>
            <w:hideMark/>
          </w:tcPr>
          <w:p w14:paraId="2639403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40,111 t</w:t>
            </w:r>
          </w:p>
        </w:tc>
        <w:tc>
          <w:tcPr>
            <w:tcW w:w="770" w:type="dxa"/>
            <w:shd w:val="clear" w:color="auto" w:fill="auto"/>
            <w:noWrap/>
            <w:tcMar>
              <w:left w:w="58" w:type="dxa"/>
              <w:right w:w="58" w:type="dxa"/>
            </w:tcMar>
            <w:vAlign w:val="bottom"/>
            <w:hideMark/>
          </w:tcPr>
          <w:p w14:paraId="7D60C1F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40,312 t</w:t>
            </w:r>
          </w:p>
        </w:tc>
        <w:tc>
          <w:tcPr>
            <w:tcW w:w="770" w:type="dxa"/>
            <w:shd w:val="clear" w:color="auto" w:fill="auto"/>
            <w:noWrap/>
            <w:tcMar>
              <w:left w:w="58" w:type="dxa"/>
              <w:right w:w="58" w:type="dxa"/>
            </w:tcMar>
            <w:vAlign w:val="bottom"/>
            <w:hideMark/>
          </w:tcPr>
          <w:p w14:paraId="03FDE79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40,516 t</w:t>
            </w:r>
          </w:p>
        </w:tc>
        <w:tc>
          <w:tcPr>
            <w:tcW w:w="770" w:type="dxa"/>
            <w:shd w:val="clear" w:color="auto" w:fill="auto"/>
            <w:noWrap/>
            <w:tcMar>
              <w:left w:w="58" w:type="dxa"/>
              <w:right w:w="58" w:type="dxa"/>
            </w:tcMar>
            <w:vAlign w:val="bottom"/>
            <w:hideMark/>
          </w:tcPr>
          <w:p w14:paraId="3EAB459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40,724 t</w:t>
            </w:r>
          </w:p>
        </w:tc>
        <w:tc>
          <w:tcPr>
            <w:tcW w:w="770" w:type="dxa"/>
            <w:shd w:val="clear" w:color="auto" w:fill="auto"/>
            <w:noWrap/>
            <w:tcMar>
              <w:left w:w="58" w:type="dxa"/>
              <w:right w:w="58" w:type="dxa"/>
            </w:tcMar>
            <w:vAlign w:val="bottom"/>
            <w:hideMark/>
          </w:tcPr>
          <w:p w14:paraId="4B992CE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40,935 t</w:t>
            </w:r>
          </w:p>
        </w:tc>
        <w:tc>
          <w:tcPr>
            <w:tcW w:w="770" w:type="dxa"/>
            <w:shd w:val="clear" w:color="auto" w:fill="auto"/>
            <w:noWrap/>
            <w:tcMar>
              <w:left w:w="58" w:type="dxa"/>
              <w:right w:w="58" w:type="dxa"/>
            </w:tcMar>
            <w:vAlign w:val="bottom"/>
            <w:hideMark/>
          </w:tcPr>
          <w:p w14:paraId="4E5CC0E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41,150 t</w:t>
            </w:r>
          </w:p>
        </w:tc>
        <w:tc>
          <w:tcPr>
            <w:tcW w:w="770" w:type="dxa"/>
            <w:shd w:val="clear" w:color="auto" w:fill="auto"/>
            <w:noWrap/>
            <w:tcMar>
              <w:left w:w="58" w:type="dxa"/>
              <w:right w:w="58" w:type="dxa"/>
            </w:tcMar>
            <w:vAlign w:val="bottom"/>
            <w:hideMark/>
          </w:tcPr>
          <w:p w14:paraId="576265F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41,367 t</w:t>
            </w:r>
          </w:p>
        </w:tc>
        <w:tc>
          <w:tcPr>
            <w:tcW w:w="770" w:type="dxa"/>
            <w:shd w:val="clear" w:color="auto" w:fill="auto"/>
            <w:noWrap/>
            <w:tcMar>
              <w:left w:w="58" w:type="dxa"/>
              <w:right w:w="58" w:type="dxa"/>
            </w:tcMar>
            <w:vAlign w:val="bottom"/>
            <w:hideMark/>
          </w:tcPr>
          <w:p w14:paraId="74EDB59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41,588 t</w:t>
            </w:r>
          </w:p>
        </w:tc>
        <w:tc>
          <w:tcPr>
            <w:tcW w:w="770" w:type="dxa"/>
            <w:shd w:val="clear" w:color="auto" w:fill="auto"/>
            <w:noWrap/>
            <w:tcMar>
              <w:left w:w="58" w:type="dxa"/>
              <w:right w:w="58" w:type="dxa"/>
            </w:tcMar>
            <w:vAlign w:val="bottom"/>
            <w:hideMark/>
          </w:tcPr>
          <w:p w14:paraId="5E5BBF3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41,811 t</w:t>
            </w:r>
          </w:p>
        </w:tc>
      </w:tr>
      <w:tr w:rsidR="00721BCE" w:rsidRPr="00721BCE" w14:paraId="5AF1B545" w14:textId="77777777" w:rsidTr="005A2D4D">
        <w:trPr>
          <w:trHeight w:val="290"/>
        </w:trPr>
        <w:tc>
          <w:tcPr>
            <w:tcW w:w="1318" w:type="dxa"/>
            <w:shd w:val="clear" w:color="auto" w:fill="auto"/>
            <w:noWrap/>
            <w:tcMar>
              <w:left w:w="58" w:type="dxa"/>
              <w:right w:w="58" w:type="dxa"/>
            </w:tcMar>
            <w:vAlign w:val="bottom"/>
            <w:hideMark/>
          </w:tcPr>
          <w:p w14:paraId="094888FC" w14:textId="77777777" w:rsidR="00721BCE" w:rsidRPr="003069B8" w:rsidRDefault="00721BCE" w:rsidP="005A2D4D">
            <w:pPr>
              <w:rPr>
                <w:rFonts w:ascii="Arial Narrow" w:hAnsi="Arial Narrow" w:cs="Calibri"/>
                <w:sz w:val="18"/>
                <w:szCs w:val="18"/>
                <w:lang w:val="es-ES" w:eastAsia="en-GB"/>
              </w:rPr>
            </w:pPr>
            <w:proofErr w:type="spellStart"/>
            <w:r w:rsidRPr="003069B8">
              <w:rPr>
                <w:rFonts w:ascii="Arial Narrow" w:hAnsi="Arial Narrow" w:cs="Calibri"/>
                <w:sz w:val="18"/>
                <w:szCs w:val="18"/>
                <w:lang w:val="es-ES" w:eastAsia="en-GB"/>
              </w:rPr>
              <w:t>Materialet</w:t>
            </w:r>
            <w:proofErr w:type="spellEnd"/>
            <w:r w:rsidRPr="003069B8">
              <w:rPr>
                <w:rFonts w:ascii="Arial Narrow" w:hAnsi="Arial Narrow" w:cs="Calibri"/>
                <w:sz w:val="18"/>
                <w:szCs w:val="18"/>
                <w:lang w:val="es-ES" w:eastAsia="en-GB"/>
              </w:rPr>
              <w:t xml:space="preserve"> e </w:t>
            </w:r>
            <w:proofErr w:type="spellStart"/>
            <w:r w:rsidRPr="003069B8">
              <w:rPr>
                <w:rFonts w:ascii="Arial Narrow" w:hAnsi="Arial Narrow" w:cs="Calibri"/>
                <w:sz w:val="18"/>
                <w:szCs w:val="18"/>
                <w:lang w:val="es-ES" w:eastAsia="en-GB"/>
              </w:rPr>
              <w:t>riciklueshme</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të</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grumbulluara</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ndaras</w:t>
            </w:r>
            <w:proofErr w:type="spellEnd"/>
          </w:p>
        </w:tc>
        <w:tc>
          <w:tcPr>
            <w:tcW w:w="769" w:type="dxa"/>
            <w:shd w:val="clear" w:color="auto" w:fill="auto"/>
            <w:noWrap/>
            <w:tcMar>
              <w:left w:w="58" w:type="dxa"/>
              <w:right w:w="58" w:type="dxa"/>
            </w:tcMar>
            <w:vAlign w:val="bottom"/>
            <w:hideMark/>
          </w:tcPr>
          <w:p w14:paraId="3EBBE91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49E8F50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5,081 t</w:t>
            </w:r>
          </w:p>
        </w:tc>
        <w:tc>
          <w:tcPr>
            <w:tcW w:w="770" w:type="dxa"/>
            <w:shd w:val="clear" w:color="auto" w:fill="auto"/>
            <w:noWrap/>
            <w:tcMar>
              <w:left w:w="58" w:type="dxa"/>
              <w:right w:w="58" w:type="dxa"/>
            </w:tcMar>
            <w:vAlign w:val="bottom"/>
            <w:hideMark/>
          </w:tcPr>
          <w:p w14:paraId="090CC00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6,385 t</w:t>
            </w:r>
          </w:p>
        </w:tc>
        <w:tc>
          <w:tcPr>
            <w:tcW w:w="770" w:type="dxa"/>
            <w:shd w:val="clear" w:color="auto" w:fill="auto"/>
            <w:noWrap/>
            <w:tcMar>
              <w:left w:w="58" w:type="dxa"/>
              <w:right w:w="58" w:type="dxa"/>
            </w:tcMar>
            <w:vAlign w:val="bottom"/>
            <w:hideMark/>
          </w:tcPr>
          <w:p w14:paraId="4930502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7,836 t</w:t>
            </w:r>
          </w:p>
        </w:tc>
        <w:tc>
          <w:tcPr>
            <w:tcW w:w="770" w:type="dxa"/>
            <w:shd w:val="clear" w:color="auto" w:fill="auto"/>
            <w:noWrap/>
            <w:tcMar>
              <w:left w:w="58" w:type="dxa"/>
              <w:right w:w="58" w:type="dxa"/>
            </w:tcMar>
            <w:vAlign w:val="bottom"/>
            <w:hideMark/>
          </w:tcPr>
          <w:p w14:paraId="5D806A3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8,496 t</w:t>
            </w:r>
          </w:p>
        </w:tc>
        <w:tc>
          <w:tcPr>
            <w:tcW w:w="770" w:type="dxa"/>
            <w:shd w:val="clear" w:color="auto" w:fill="auto"/>
            <w:noWrap/>
            <w:tcMar>
              <w:left w:w="58" w:type="dxa"/>
              <w:right w:w="58" w:type="dxa"/>
            </w:tcMar>
            <w:vAlign w:val="bottom"/>
            <w:hideMark/>
          </w:tcPr>
          <w:p w14:paraId="2277D61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9,225 t</w:t>
            </w:r>
          </w:p>
        </w:tc>
        <w:tc>
          <w:tcPr>
            <w:tcW w:w="770" w:type="dxa"/>
            <w:shd w:val="clear" w:color="auto" w:fill="auto"/>
            <w:noWrap/>
            <w:tcMar>
              <w:left w:w="58" w:type="dxa"/>
              <w:right w:w="58" w:type="dxa"/>
            </w:tcMar>
            <w:vAlign w:val="bottom"/>
            <w:hideMark/>
          </w:tcPr>
          <w:p w14:paraId="6A5BF6F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10,015 t</w:t>
            </w:r>
          </w:p>
        </w:tc>
        <w:tc>
          <w:tcPr>
            <w:tcW w:w="770" w:type="dxa"/>
            <w:shd w:val="clear" w:color="auto" w:fill="auto"/>
            <w:noWrap/>
            <w:tcMar>
              <w:left w:w="58" w:type="dxa"/>
              <w:right w:w="58" w:type="dxa"/>
            </w:tcMar>
            <w:vAlign w:val="bottom"/>
            <w:hideMark/>
          </w:tcPr>
          <w:p w14:paraId="651EECD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10,562 t</w:t>
            </w:r>
          </w:p>
        </w:tc>
        <w:tc>
          <w:tcPr>
            <w:tcW w:w="770" w:type="dxa"/>
            <w:shd w:val="clear" w:color="auto" w:fill="auto"/>
            <w:noWrap/>
            <w:tcMar>
              <w:left w:w="58" w:type="dxa"/>
              <w:right w:w="58" w:type="dxa"/>
            </w:tcMar>
            <w:vAlign w:val="bottom"/>
            <w:hideMark/>
          </w:tcPr>
          <w:p w14:paraId="6E712FB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11,066 t</w:t>
            </w:r>
          </w:p>
        </w:tc>
        <w:tc>
          <w:tcPr>
            <w:tcW w:w="770" w:type="dxa"/>
            <w:shd w:val="clear" w:color="auto" w:fill="auto"/>
            <w:noWrap/>
            <w:tcMar>
              <w:left w:w="58" w:type="dxa"/>
              <w:right w:w="58" w:type="dxa"/>
            </w:tcMar>
            <w:vAlign w:val="bottom"/>
            <w:hideMark/>
          </w:tcPr>
          <w:p w14:paraId="0740C5D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11,552 t</w:t>
            </w:r>
          </w:p>
        </w:tc>
      </w:tr>
      <w:tr w:rsidR="00721BCE" w:rsidRPr="00721BCE" w14:paraId="35638CC7" w14:textId="77777777" w:rsidTr="005A2D4D">
        <w:trPr>
          <w:trHeight w:val="290"/>
        </w:trPr>
        <w:tc>
          <w:tcPr>
            <w:tcW w:w="1318" w:type="dxa"/>
            <w:shd w:val="clear" w:color="auto" w:fill="auto"/>
            <w:noWrap/>
            <w:tcMar>
              <w:left w:w="58" w:type="dxa"/>
              <w:right w:w="58" w:type="dxa"/>
            </w:tcMar>
            <w:vAlign w:val="bottom"/>
            <w:hideMark/>
          </w:tcPr>
          <w:p w14:paraId="05C409D0" w14:textId="77777777" w:rsidR="00721BCE" w:rsidRPr="003069B8" w:rsidRDefault="00721BCE" w:rsidP="005A2D4D">
            <w:pPr>
              <w:rPr>
                <w:rFonts w:ascii="Arial Narrow" w:hAnsi="Arial Narrow" w:cs="Calibri"/>
                <w:sz w:val="18"/>
                <w:szCs w:val="18"/>
                <w:lang w:val="es-ES" w:eastAsia="en-GB"/>
              </w:rPr>
            </w:pPr>
            <w:proofErr w:type="spellStart"/>
            <w:r w:rsidRPr="003069B8">
              <w:rPr>
                <w:rFonts w:ascii="Arial Narrow" w:hAnsi="Arial Narrow" w:cs="Calibri"/>
                <w:sz w:val="18"/>
                <w:szCs w:val="18"/>
                <w:lang w:val="es-ES" w:eastAsia="en-GB"/>
              </w:rPr>
              <w:t>Mbeturinat</w:t>
            </w:r>
            <w:proofErr w:type="spellEnd"/>
            <w:r w:rsidRPr="003069B8">
              <w:rPr>
                <w:rFonts w:ascii="Arial Narrow" w:hAnsi="Arial Narrow" w:cs="Calibri"/>
                <w:sz w:val="18"/>
                <w:szCs w:val="18"/>
                <w:lang w:val="es-ES" w:eastAsia="en-GB"/>
              </w:rPr>
              <w:t xml:space="preserve"> e </w:t>
            </w:r>
            <w:proofErr w:type="spellStart"/>
            <w:r w:rsidRPr="003069B8">
              <w:rPr>
                <w:rFonts w:ascii="Arial Narrow" w:hAnsi="Arial Narrow" w:cs="Calibri"/>
                <w:sz w:val="18"/>
                <w:szCs w:val="18"/>
                <w:lang w:val="es-ES" w:eastAsia="en-GB"/>
              </w:rPr>
              <w:t>gjelbra</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publike</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të</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kompostuara</w:t>
            </w:r>
            <w:proofErr w:type="spellEnd"/>
            <w:r w:rsidRPr="003069B8">
              <w:rPr>
                <w:rFonts w:ascii="Arial Narrow" w:hAnsi="Arial Narrow" w:cs="Calibri"/>
                <w:sz w:val="18"/>
                <w:szCs w:val="18"/>
                <w:lang w:val="es-ES" w:eastAsia="en-GB"/>
              </w:rPr>
              <w:t xml:space="preserve"> </w:t>
            </w:r>
          </w:p>
        </w:tc>
        <w:tc>
          <w:tcPr>
            <w:tcW w:w="769" w:type="dxa"/>
            <w:shd w:val="clear" w:color="auto" w:fill="auto"/>
            <w:noWrap/>
            <w:tcMar>
              <w:left w:w="58" w:type="dxa"/>
              <w:right w:w="58" w:type="dxa"/>
            </w:tcMar>
            <w:vAlign w:val="bottom"/>
            <w:hideMark/>
          </w:tcPr>
          <w:p w14:paraId="4CB919B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2012 t</w:t>
            </w:r>
          </w:p>
        </w:tc>
        <w:tc>
          <w:tcPr>
            <w:tcW w:w="769" w:type="dxa"/>
            <w:shd w:val="clear" w:color="auto" w:fill="auto"/>
            <w:noWrap/>
            <w:tcMar>
              <w:left w:w="58" w:type="dxa"/>
              <w:right w:w="58" w:type="dxa"/>
            </w:tcMar>
            <w:vAlign w:val="bottom"/>
            <w:hideMark/>
          </w:tcPr>
          <w:p w14:paraId="741BB72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2,315 t</w:t>
            </w:r>
          </w:p>
        </w:tc>
        <w:tc>
          <w:tcPr>
            <w:tcW w:w="770" w:type="dxa"/>
            <w:shd w:val="clear" w:color="auto" w:fill="auto"/>
            <w:noWrap/>
            <w:tcMar>
              <w:left w:w="58" w:type="dxa"/>
              <w:right w:w="58" w:type="dxa"/>
            </w:tcMar>
            <w:vAlign w:val="bottom"/>
            <w:hideMark/>
          </w:tcPr>
          <w:p w14:paraId="664E25D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2,332 t</w:t>
            </w:r>
          </w:p>
        </w:tc>
        <w:tc>
          <w:tcPr>
            <w:tcW w:w="770" w:type="dxa"/>
            <w:shd w:val="clear" w:color="auto" w:fill="auto"/>
            <w:noWrap/>
            <w:tcMar>
              <w:left w:w="58" w:type="dxa"/>
              <w:right w:w="58" w:type="dxa"/>
            </w:tcMar>
            <w:vAlign w:val="bottom"/>
            <w:hideMark/>
          </w:tcPr>
          <w:p w14:paraId="5F0D83E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2,350 t</w:t>
            </w:r>
          </w:p>
        </w:tc>
        <w:tc>
          <w:tcPr>
            <w:tcW w:w="770" w:type="dxa"/>
            <w:shd w:val="clear" w:color="auto" w:fill="auto"/>
            <w:noWrap/>
            <w:tcMar>
              <w:left w:w="58" w:type="dxa"/>
              <w:right w:w="58" w:type="dxa"/>
            </w:tcMar>
            <w:vAlign w:val="bottom"/>
            <w:hideMark/>
          </w:tcPr>
          <w:p w14:paraId="248987D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2,369 t</w:t>
            </w:r>
          </w:p>
        </w:tc>
        <w:tc>
          <w:tcPr>
            <w:tcW w:w="770" w:type="dxa"/>
            <w:shd w:val="clear" w:color="auto" w:fill="auto"/>
            <w:noWrap/>
            <w:tcMar>
              <w:left w:w="58" w:type="dxa"/>
              <w:right w:w="58" w:type="dxa"/>
            </w:tcMar>
            <w:vAlign w:val="bottom"/>
            <w:hideMark/>
          </w:tcPr>
          <w:p w14:paraId="4B2C031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2,374 t</w:t>
            </w:r>
          </w:p>
        </w:tc>
        <w:tc>
          <w:tcPr>
            <w:tcW w:w="770" w:type="dxa"/>
            <w:shd w:val="clear" w:color="auto" w:fill="auto"/>
            <w:noWrap/>
            <w:tcMar>
              <w:left w:w="58" w:type="dxa"/>
              <w:right w:w="58" w:type="dxa"/>
            </w:tcMar>
            <w:vAlign w:val="bottom"/>
            <w:hideMark/>
          </w:tcPr>
          <w:p w14:paraId="727E681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2,376 t</w:t>
            </w:r>
          </w:p>
        </w:tc>
        <w:tc>
          <w:tcPr>
            <w:tcW w:w="770" w:type="dxa"/>
            <w:shd w:val="clear" w:color="auto" w:fill="auto"/>
            <w:noWrap/>
            <w:tcMar>
              <w:left w:w="58" w:type="dxa"/>
              <w:right w:w="58" w:type="dxa"/>
            </w:tcMar>
            <w:vAlign w:val="bottom"/>
            <w:hideMark/>
          </w:tcPr>
          <w:p w14:paraId="766CD83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2,378 t</w:t>
            </w:r>
          </w:p>
        </w:tc>
        <w:tc>
          <w:tcPr>
            <w:tcW w:w="770" w:type="dxa"/>
            <w:shd w:val="clear" w:color="auto" w:fill="auto"/>
            <w:noWrap/>
            <w:tcMar>
              <w:left w:w="58" w:type="dxa"/>
              <w:right w:w="58" w:type="dxa"/>
            </w:tcMar>
            <w:vAlign w:val="bottom"/>
            <w:hideMark/>
          </w:tcPr>
          <w:p w14:paraId="48AF419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2,380 t</w:t>
            </w:r>
          </w:p>
        </w:tc>
        <w:tc>
          <w:tcPr>
            <w:tcW w:w="770" w:type="dxa"/>
            <w:shd w:val="clear" w:color="auto" w:fill="auto"/>
            <w:noWrap/>
            <w:tcMar>
              <w:left w:w="58" w:type="dxa"/>
              <w:right w:w="58" w:type="dxa"/>
            </w:tcMar>
            <w:vAlign w:val="bottom"/>
            <w:hideMark/>
          </w:tcPr>
          <w:p w14:paraId="0674440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2,382 t</w:t>
            </w:r>
          </w:p>
        </w:tc>
      </w:tr>
      <w:tr w:rsidR="00721BCE" w:rsidRPr="00721BCE" w14:paraId="71A847C2" w14:textId="77777777" w:rsidTr="005A2D4D">
        <w:trPr>
          <w:trHeight w:val="290"/>
        </w:trPr>
        <w:tc>
          <w:tcPr>
            <w:tcW w:w="1318" w:type="dxa"/>
            <w:shd w:val="clear" w:color="auto" w:fill="auto"/>
            <w:noWrap/>
            <w:tcMar>
              <w:left w:w="58" w:type="dxa"/>
              <w:right w:w="58" w:type="dxa"/>
            </w:tcMar>
            <w:vAlign w:val="bottom"/>
            <w:hideMark/>
          </w:tcPr>
          <w:p w14:paraId="471C70E7" w14:textId="77777777" w:rsidR="00721BCE" w:rsidRPr="00721BCE" w:rsidRDefault="00721BCE" w:rsidP="005A2D4D">
            <w:pPr>
              <w:rPr>
                <w:rFonts w:ascii="Arial Narrow" w:hAnsi="Arial Narrow" w:cs="Calibri"/>
                <w:sz w:val="18"/>
                <w:szCs w:val="18"/>
                <w:lang w:val="en-GB" w:eastAsia="en-GB"/>
              </w:rPr>
            </w:pPr>
            <w:proofErr w:type="spellStart"/>
            <w:r w:rsidRPr="00721BCE">
              <w:rPr>
                <w:rFonts w:ascii="Arial Narrow" w:hAnsi="Arial Narrow" w:cs="Calibri"/>
                <w:sz w:val="18"/>
                <w:szCs w:val="18"/>
                <w:lang w:val="en-GB" w:eastAsia="en-GB"/>
              </w:rPr>
              <w:t>Kompostimi</w:t>
            </w:r>
            <w:proofErr w:type="spellEnd"/>
            <w:r w:rsidRPr="00721BCE">
              <w:rPr>
                <w:rFonts w:ascii="Arial Narrow" w:hAnsi="Arial Narrow" w:cs="Calibri"/>
                <w:sz w:val="18"/>
                <w:szCs w:val="18"/>
                <w:lang w:val="en-GB" w:eastAsia="en-GB"/>
              </w:rPr>
              <w:t xml:space="preserve"> </w:t>
            </w:r>
            <w:proofErr w:type="spellStart"/>
            <w:r w:rsidRPr="00721BCE">
              <w:rPr>
                <w:rFonts w:ascii="Arial Narrow" w:hAnsi="Arial Narrow" w:cs="Calibri"/>
                <w:sz w:val="18"/>
                <w:szCs w:val="18"/>
                <w:lang w:val="en-GB" w:eastAsia="en-GB"/>
              </w:rPr>
              <w:t>shtëpiak</w:t>
            </w:r>
            <w:proofErr w:type="spellEnd"/>
          </w:p>
        </w:tc>
        <w:tc>
          <w:tcPr>
            <w:tcW w:w="769" w:type="dxa"/>
            <w:shd w:val="clear" w:color="auto" w:fill="auto"/>
            <w:noWrap/>
            <w:tcMar>
              <w:left w:w="58" w:type="dxa"/>
              <w:right w:w="58" w:type="dxa"/>
            </w:tcMar>
            <w:vAlign w:val="bottom"/>
            <w:hideMark/>
          </w:tcPr>
          <w:p w14:paraId="29243A1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6DD64F7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177 t</w:t>
            </w:r>
          </w:p>
        </w:tc>
        <w:tc>
          <w:tcPr>
            <w:tcW w:w="770" w:type="dxa"/>
            <w:shd w:val="clear" w:color="auto" w:fill="auto"/>
            <w:noWrap/>
            <w:tcMar>
              <w:left w:w="58" w:type="dxa"/>
              <w:right w:w="58" w:type="dxa"/>
            </w:tcMar>
            <w:vAlign w:val="bottom"/>
            <w:hideMark/>
          </w:tcPr>
          <w:p w14:paraId="51B3556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196 t</w:t>
            </w:r>
          </w:p>
        </w:tc>
        <w:tc>
          <w:tcPr>
            <w:tcW w:w="770" w:type="dxa"/>
            <w:shd w:val="clear" w:color="auto" w:fill="auto"/>
            <w:noWrap/>
            <w:tcMar>
              <w:left w:w="58" w:type="dxa"/>
              <w:right w:w="58" w:type="dxa"/>
            </w:tcMar>
            <w:vAlign w:val="bottom"/>
            <w:hideMark/>
          </w:tcPr>
          <w:p w14:paraId="67E0543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217 t</w:t>
            </w:r>
          </w:p>
        </w:tc>
        <w:tc>
          <w:tcPr>
            <w:tcW w:w="770" w:type="dxa"/>
            <w:shd w:val="clear" w:color="auto" w:fill="auto"/>
            <w:noWrap/>
            <w:tcMar>
              <w:left w:w="58" w:type="dxa"/>
              <w:right w:w="58" w:type="dxa"/>
            </w:tcMar>
            <w:vAlign w:val="bottom"/>
            <w:hideMark/>
          </w:tcPr>
          <w:p w14:paraId="240BAF3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240 t</w:t>
            </w:r>
          </w:p>
        </w:tc>
        <w:tc>
          <w:tcPr>
            <w:tcW w:w="770" w:type="dxa"/>
            <w:shd w:val="clear" w:color="auto" w:fill="auto"/>
            <w:noWrap/>
            <w:tcMar>
              <w:left w:w="58" w:type="dxa"/>
              <w:right w:w="58" w:type="dxa"/>
            </w:tcMar>
            <w:vAlign w:val="bottom"/>
            <w:hideMark/>
          </w:tcPr>
          <w:p w14:paraId="6F4E177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256 t</w:t>
            </w:r>
          </w:p>
        </w:tc>
        <w:tc>
          <w:tcPr>
            <w:tcW w:w="770" w:type="dxa"/>
            <w:shd w:val="clear" w:color="auto" w:fill="auto"/>
            <w:noWrap/>
            <w:tcMar>
              <w:left w:w="58" w:type="dxa"/>
              <w:right w:w="58" w:type="dxa"/>
            </w:tcMar>
            <w:vAlign w:val="bottom"/>
            <w:hideMark/>
          </w:tcPr>
          <w:p w14:paraId="21E7107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1451 t</w:t>
            </w:r>
          </w:p>
        </w:tc>
        <w:tc>
          <w:tcPr>
            <w:tcW w:w="770" w:type="dxa"/>
            <w:shd w:val="clear" w:color="auto" w:fill="auto"/>
            <w:noWrap/>
            <w:tcMar>
              <w:left w:w="58" w:type="dxa"/>
              <w:right w:w="58" w:type="dxa"/>
            </w:tcMar>
            <w:vAlign w:val="bottom"/>
            <w:hideMark/>
          </w:tcPr>
          <w:p w14:paraId="386E7B3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1657 t</w:t>
            </w:r>
          </w:p>
        </w:tc>
        <w:tc>
          <w:tcPr>
            <w:tcW w:w="770" w:type="dxa"/>
            <w:shd w:val="clear" w:color="auto" w:fill="auto"/>
            <w:noWrap/>
            <w:tcMar>
              <w:left w:w="58" w:type="dxa"/>
              <w:right w:w="58" w:type="dxa"/>
            </w:tcMar>
            <w:vAlign w:val="bottom"/>
            <w:hideMark/>
          </w:tcPr>
          <w:p w14:paraId="0179E7B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1,895 t</w:t>
            </w:r>
          </w:p>
        </w:tc>
        <w:tc>
          <w:tcPr>
            <w:tcW w:w="770" w:type="dxa"/>
            <w:shd w:val="clear" w:color="auto" w:fill="auto"/>
            <w:noWrap/>
            <w:tcMar>
              <w:left w:w="58" w:type="dxa"/>
              <w:right w:w="58" w:type="dxa"/>
            </w:tcMar>
            <w:vAlign w:val="bottom"/>
            <w:hideMark/>
          </w:tcPr>
          <w:p w14:paraId="3CBB1F3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2,045 t</w:t>
            </w:r>
          </w:p>
        </w:tc>
      </w:tr>
      <w:tr w:rsidR="00721BCE" w:rsidRPr="00721BCE" w14:paraId="30559410" w14:textId="77777777" w:rsidTr="005A2D4D">
        <w:trPr>
          <w:trHeight w:val="290"/>
        </w:trPr>
        <w:tc>
          <w:tcPr>
            <w:tcW w:w="1318" w:type="dxa"/>
            <w:shd w:val="clear" w:color="auto" w:fill="auto"/>
            <w:noWrap/>
            <w:tcMar>
              <w:left w:w="58" w:type="dxa"/>
              <w:right w:w="58" w:type="dxa"/>
            </w:tcMar>
            <w:vAlign w:val="bottom"/>
            <w:hideMark/>
          </w:tcPr>
          <w:p w14:paraId="5FD5C22E" w14:textId="77777777" w:rsidR="00721BCE" w:rsidRPr="003069B8" w:rsidRDefault="00721BCE" w:rsidP="005A2D4D">
            <w:pPr>
              <w:rPr>
                <w:rFonts w:ascii="Arial Narrow" w:hAnsi="Arial Narrow" w:cs="Calibri"/>
                <w:sz w:val="18"/>
                <w:szCs w:val="18"/>
                <w:lang w:val="es-ES" w:eastAsia="en-GB"/>
              </w:rPr>
            </w:pPr>
            <w:proofErr w:type="spellStart"/>
            <w:r w:rsidRPr="003069B8">
              <w:rPr>
                <w:rFonts w:ascii="Arial Narrow" w:hAnsi="Arial Narrow" w:cs="Calibri"/>
                <w:sz w:val="18"/>
                <w:szCs w:val="18"/>
                <w:lang w:val="es-ES" w:eastAsia="en-GB"/>
              </w:rPr>
              <w:t>Mbeturinat</w:t>
            </w:r>
            <w:proofErr w:type="spellEnd"/>
            <w:r w:rsidRPr="003069B8">
              <w:rPr>
                <w:rFonts w:ascii="Arial Narrow" w:hAnsi="Arial Narrow" w:cs="Calibri"/>
                <w:sz w:val="18"/>
                <w:szCs w:val="18"/>
                <w:lang w:val="es-ES" w:eastAsia="en-GB"/>
              </w:rPr>
              <w:t xml:space="preserve"> e </w:t>
            </w:r>
            <w:proofErr w:type="spellStart"/>
            <w:r w:rsidRPr="003069B8">
              <w:rPr>
                <w:rFonts w:ascii="Arial Narrow" w:hAnsi="Arial Narrow" w:cs="Calibri"/>
                <w:sz w:val="18"/>
                <w:szCs w:val="18"/>
                <w:lang w:val="es-ES" w:eastAsia="en-GB"/>
              </w:rPr>
              <w:t>përziera</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të</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grumbulluara</w:t>
            </w:r>
            <w:proofErr w:type="spellEnd"/>
          </w:p>
        </w:tc>
        <w:tc>
          <w:tcPr>
            <w:tcW w:w="769" w:type="dxa"/>
            <w:shd w:val="clear" w:color="auto" w:fill="auto"/>
            <w:noWrap/>
            <w:tcMar>
              <w:left w:w="58" w:type="dxa"/>
              <w:right w:w="58" w:type="dxa"/>
            </w:tcMar>
            <w:vAlign w:val="bottom"/>
            <w:hideMark/>
          </w:tcPr>
          <w:p w14:paraId="26873D5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37.903 t</w:t>
            </w:r>
          </w:p>
        </w:tc>
        <w:tc>
          <w:tcPr>
            <w:tcW w:w="769" w:type="dxa"/>
            <w:shd w:val="clear" w:color="auto" w:fill="auto"/>
            <w:noWrap/>
            <w:tcMar>
              <w:left w:w="58" w:type="dxa"/>
              <w:right w:w="58" w:type="dxa"/>
            </w:tcMar>
            <w:vAlign w:val="bottom"/>
            <w:hideMark/>
          </w:tcPr>
          <w:p w14:paraId="2D49429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31,776 t</w:t>
            </w:r>
          </w:p>
        </w:tc>
        <w:tc>
          <w:tcPr>
            <w:tcW w:w="770" w:type="dxa"/>
            <w:shd w:val="clear" w:color="auto" w:fill="auto"/>
            <w:noWrap/>
            <w:tcMar>
              <w:left w:w="58" w:type="dxa"/>
              <w:right w:w="58" w:type="dxa"/>
            </w:tcMar>
            <w:vAlign w:val="bottom"/>
            <w:hideMark/>
          </w:tcPr>
          <w:p w14:paraId="6E8D859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30,441 t</w:t>
            </w:r>
          </w:p>
        </w:tc>
        <w:tc>
          <w:tcPr>
            <w:tcW w:w="770" w:type="dxa"/>
            <w:shd w:val="clear" w:color="auto" w:fill="auto"/>
            <w:noWrap/>
            <w:tcMar>
              <w:left w:w="58" w:type="dxa"/>
              <w:right w:w="58" w:type="dxa"/>
            </w:tcMar>
            <w:vAlign w:val="bottom"/>
            <w:hideMark/>
          </w:tcPr>
          <w:p w14:paraId="464A8B5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28,937 t</w:t>
            </w:r>
          </w:p>
        </w:tc>
        <w:tc>
          <w:tcPr>
            <w:tcW w:w="770" w:type="dxa"/>
            <w:shd w:val="clear" w:color="auto" w:fill="auto"/>
            <w:noWrap/>
            <w:tcMar>
              <w:left w:w="58" w:type="dxa"/>
              <w:right w:w="58" w:type="dxa"/>
            </w:tcMar>
            <w:vAlign w:val="bottom"/>
            <w:hideMark/>
          </w:tcPr>
          <w:p w14:paraId="34D00C6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27,995 t</w:t>
            </w:r>
          </w:p>
        </w:tc>
        <w:tc>
          <w:tcPr>
            <w:tcW w:w="770" w:type="dxa"/>
            <w:shd w:val="clear" w:color="auto" w:fill="auto"/>
            <w:noWrap/>
            <w:tcMar>
              <w:left w:w="58" w:type="dxa"/>
              <w:right w:w="58" w:type="dxa"/>
            </w:tcMar>
            <w:vAlign w:val="bottom"/>
            <w:hideMark/>
          </w:tcPr>
          <w:p w14:paraId="2C79958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27,313 t</w:t>
            </w:r>
          </w:p>
        </w:tc>
        <w:tc>
          <w:tcPr>
            <w:tcW w:w="770" w:type="dxa"/>
            <w:shd w:val="clear" w:color="auto" w:fill="auto"/>
            <w:noWrap/>
            <w:tcMar>
              <w:left w:w="58" w:type="dxa"/>
              <w:right w:w="58" w:type="dxa"/>
            </w:tcMar>
            <w:vAlign w:val="bottom"/>
            <w:hideMark/>
          </w:tcPr>
          <w:p w14:paraId="4F6B27E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23,648 t</w:t>
            </w:r>
          </w:p>
        </w:tc>
        <w:tc>
          <w:tcPr>
            <w:tcW w:w="770" w:type="dxa"/>
            <w:shd w:val="clear" w:color="auto" w:fill="auto"/>
            <w:noWrap/>
            <w:tcMar>
              <w:left w:w="58" w:type="dxa"/>
              <w:right w:w="58" w:type="dxa"/>
            </w:tcMar>
            <w:vAlign w:val="bottom"/>
            <w:hideMark/>
          </w:tcPr>
          <w:p w14:paraId="5CE68F0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22,817 t</w:t>
            </w:r>
          </w:p>
        </w:tc>
        <w:tc>
          <w:tcPr>
            <w:tcW w:w="770" w:type="dxa"/>
            <w:shd w:val="clear" w:color="auto" w:fill="auto"/>
            <w:noWrap/>
            <w:tcMar>
              <w:left w:w="58" w:type="dxa"/>
              <w:right w:w="58" w:type="dxa"/>
            </w:tcMar>
            <w:vAlign w:val="bottom"/>
            <w:hideMark/>
          </w:tcPr>
          <w:p w14:paraId="140AC02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21,984 t</w:t>
            </w:r>
          </w:p>
        </w:tc>
        <w:tc>
          <w:tcPr>
            <w:tcW w:w="770" w:type="dxa"/>
            <w:shd w:val="clear" w:color="auto" w:fill="auto"/>
            <w:noWrap/>
            <w:tcMar>
              <w:left w:w="58" w:type="dxa"/>
              <w:right w:w="58" w:type="dxa"/>
            </w:tcMar>
            <w:vAlign w:val="bottom"/>
            <w:hideMark/>
          </w:tcPr>
          <w:p w14:paraId="7B7AC7F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21,237 t</w:t>
            </w:r>
          </w:p>
        </w:tc>
      </w:tr>
      <w:tr w:rsidR="00721BCE" w:rsidRPr="00721BCE" w14:paraId="2864597A" w14:textId="77777777" w:rsidTr="005A2D4D">
        <w:trPr>
          <w:trHeight w:val="290"/>
        </w:trPr>
        <w:tc>
          <w:tcPr>
            <w:tcW w:w="1318" w:type="dxa"/>
            <w:shd w:val="clear" w:color="auto" w:fill="auto"/>
            <w:noWrap/>
            <w:tcMar>
              <w:left w:w="58" w:type="dxa"/>
              <w:right w:w="58" w:type="dxa"/>
            </w:tcMar>
            <w:vAlign w:val="bottom"/>
            <w:hideMark/>
          </w:tcPr>
          <w:p w14:paraId="5E1DFB1C" w14:textId="77777777" w:rsidR="00721BCE" w:rsidRPr="00721BCE" w:rsidRDefault="00721BCE" w:rsidP="005A2D4D">
            <w:pPr>
              <w:rPr>
                <w:rFonts w:ascii="Arial Narrow" w:hAnsi="Arial Narrow" w:cs="Calibri"/>
                <w:sz w:val="18"/>
                <w:szCs w:val="18"/>
                <w:lang w:val="en-GB" w:eastAsia="en-GB"/>
              </w:rPr>
            </w:pPr>
            <w:proofErr w:type="spellStart"/>
            <w:r w:rsidRPr="00721BCE">
              <w:rPr>
                <w:rFonts w:ascii="Arial Narrow" w:hAnsi="Arial Narrow" w:cs="Calibri"/>
                <w:sz w:val="18"/>
                <w:szCs w:val="18"/>
                <w:lang w:val="en-GB" w:eastAsia="en-GB"/>
              </w:rPr>
              <w:t>Rikuperimi</w:t>
            </w:r>
            <w:proofErr w:type="spellEnd"/>
            <w:r w:rsidRPr="00721BCE">
              <w:rPr>
                <w:rFonts w:ascii="Arial Narrow" w:hAnsi="Arial Narrow" w:cs="Calibri"/>
                <w:sz w:val="18"/>
                <w:szCs w:val="18"/>
                <w:lang w:val="en-GB" w:eastAsia="en-GB"/>
              </w:rPr>
              <w:t xml:space="preserve"> i </w:t>
            </w:r>
            <w:proofErr w:type="spellStart"/>
            <w:r w:rsidRPr="00721BCE">
              <w:rPr>
                <w:rFonts w:ascii="Arial Narrow" w:hAnsi="Arial Narrow" w:cs="Calibri"/>
                <w:sz w:val="18"/>
                <w:szCs w:val="18"/>
                <w:lang w:val="en-GB" w:eastAsia="en-GB"/>
              </w:rPr>
              <w:t>tekstilit</w:t>
            </w:r>
            <w:proofErr w:type="spellEnd"/>
          </w:p>
        </w:tc>
        <w:tc>
          <w:tcPr>
            <w:tcW w:w="769" w:type="dxa"/>
            <w:shd w:val="clear" w:color="auto" w:fill="auto"/>
            <w:noWrap/>
            <w:tcMar>
              <w:left w:w="58" w:type="dxa"/>
              <w:right w:w="58" w:type="dxa"/>
            </w:tcMar>
            <w:vAlign w:val="bottom"/>
            <w:hideMark/>
          </w:tcPr>
          <w:p w14:paraId="3F373E1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45558E7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E470EB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070D92F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2ECC2F5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349 t</w:t>
            </w:r>
          </w:p>
        </w:tc>
        <w:tc>
          <w:tcPr>
            <w:tcW w:w="770" w:type="dxa"/>
            <w:shd w:val="clear" w:color="auto" w:fill="auto"/>
            <w:noWrap/>
            <w:tcMar>
              <w:left w:w="58" w:type="dxa"/>
              <w:right w:w="58" w:type="dxa"/>
            </w:tcMar>
            <w:vAlign w:val="bottom"/>
            <w:hideMark/>
          </w:tcPr>
          <w:p w14:paraId="6A4161D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383 t</w:t>
            </w:r>
          </w:p>
        </w:tc>
        <w:tc>
          <w:tcPr>
            <w:tcW w:w="770" w:type="dxa"/>
            <w:shd w:val="clear" w:color="auto" w:fill="auto"/>
            <w:noWrap/>
            <w:tcMar>
              <w:left w:w="58" w:type="dxa"/>
              <w:right w:w="58" w:type="dxa"/>
            </w:tcMar>
            <w:vAlign w:val="bottom"/>
            <w:hideMark/>
          </w:tcPr>
          <w:p w14:paraId="69526BC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420 t</w:t>
            </w:r>
          </w:p>
        </w:tc>
        <w:tc>
          <w:tcPr>
            <w:tcW w:w="770" w:type="dxa"/>
            <w:shd w:val="clear" w:color="auto" w:fill="auto"/>
            <w:noWrap/>
            <w:tcMar>
              <w:left w:w="58" w:type="dxa"/>
              <w:right w:w="58" w:type="dxa"/>
            </w:tcMar>
            <w:vAlign w:val="bottom"/>
            <w:hideMark/>
          </w:tcPr>
          <w:p w14:paraId="19FCF3B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444 t</w:t>
            </w:r>
          </w:p>
        </w:tc>
        <w:tc>
          <w:tcPr>
            <w:tcW w:w="770" w:type="dxa"/>
            <w:shd w:val="clear" w:color="auto" w:fill="auto"/>
            <w:noWrap/>
            <w:tcMar>
              <w:left w:w="58" w:type="dxa"/>
              <w:right w:w="58" w:type="dxa"/>
            </w:tcMar>
            <w:vAlign w:val="bottom"/>
            <w:hideMark/>
          </w:tcPr>
          <w:p w14:paraId="181E0E6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468 t</w:t>
            </w:r>
          </w:p>
        </w:tc>
        <w:tc>
          <w:tcPr>
            <w:tcW w:w="770" w:type="dxa"/>
            <w:shd w:val="clear" w:color="auto" w:fill="auto"/>
            <w:noWrap/>
            <w:tcMar>
              <w:left w:w="58" w:type="dxa"/>
              <w:right w:w="58" w:type="dxa"/>
            </w:tcMar>
            <w:vAlign w:val="bottom"/>
            <w:hideMark/>
          </w:tcPr>
          <w:p w14:paraId="541AEF8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495 t</w:t>
            </w:r>
          </w:p>
        </w:tc>
      </w:tr>
      <w:tr w:rsidR="00721BCE" w:rsidRPr="00721BCE" w14:paraId="3DCD69E6" w14:textId="77777777" w:rsidTr="005A2D4D">
        <w:trPr>
          <w:trHeight w:val="290"/>
        </w:trPr>
        <w:tc>
          <w:tcPr>
            <w:tcW w:w="1318" w:type="dxa"/>
            <w:shd w:val="clear" w:color="auto" w:fill="auto"/>
            <w:noWrap/>
            <w:tcMar>
              <w:left w:w="58" w:type="dxa"/>
              <w:right w:w="58" w:type="dxa"/>
            </w:tcMar>
            <w:vAlign w:val="bottom"/>
            <w:hideMark/>
          </w:tcPr>
          <w:p w14:paraId="2CC956B8" w14:textId="77777777" w:rsidR="00721BCE" w:rsidRPr="00721BCE" w:rsidRDefault="00721BCE" w:rsidP="005A2D4D">
            <w:pPr>
              <w:rPr>
                <w:rFonts w:ascii="Arial Narrow" w:hAnsi="Arial Narrow" w:cs="Calibri"/>
                <w:sz w:val="18"/>
                <w:szCs w:val="18"/>
                <w:lang w:val="en-GB" w:eastAsia="en-GB"/>
              </w:rPr>
            </w:pPr>
            <w:proofErr w:type="spellStart"/>
            <w:r w:rsidRPr="00721BCE">
              <w:rPr>
                <w:rFonts w:ascii="Arial Narrow" w:hAnsi="Arial Narrow" w:cs="Calibri"/>
                <w:sz w:val="18"/>
                <w:szCs w:val="18"/>
                <w:lang w:val="en-GB" w:eastAsia="en-GB"/>
              </w:rPr>
              <w:t>Mbeturinat</w:t>
            </w:r>
            <w:proofErr w:type="spellEnd"/>
            <w:r w:rsidRPr="00721BCE">
              <w:rPr>
                <w:rFonts w:ascii="Arial Narrow" w:hAnsi="Arial Narrow" w:cs="Calibri"/>
                <w:sz w:val="18"/>
                <w:szCs w:val="18"/>
                <w:lang w:val="en-GB" w:eastAsia="en-GB"/>
              </w:rPr>
              <w:t xml:space="preserve"> e </w:t>
            </w:r>
            <w:proofErr w:type="spellStart"/>
            <w:r w:rsidRPr="00721BCE">
              <w:rPr>
                <w:rFonts w:ascii="Arial Narrow" w:hAnsi="Arial Narrow" w:cs="Calibri"/>
                <w:sz w:val="18"/>
                <w:szCs w:val="18"/>
                <w:lang w:val="en-GB" w:eastAsia="en-GB"/>
              </w:rPr>
              <w:t>përziera</w:t>
            </w:r>
            <w:proofErr w:type="spellEnd"/>
            <w:r w:rsidRPr="00721BCE">
              <w:rPr>
                <w:rFonts w:ascii="Arial Narrow" w:hAnsi="Arial Narrow" w:cs="Calibri"/>
                <w:sz w:val="18"/>
                <w:szCs w:val="18"/>
                <w:lang w:val="en-GB" w:eastAsia="en-GB"/>
              </w:rPr>
              <w:t xml:space="preserve"> </w:t>
            </w:r>
            <w:proofErr w:type="spellStart"/>
            <w:r w:rsidRPr="00721BCE">
              <w:rPr>
                <w:rFonts w:ascii="Arial Narrow" w:hAnsi="Arial Narrow" w:cs="Calibri"/>
                <w:sz w:val="18"/>
                <w:szCs w:val="18"/>
                <w:lang w:val="en-GB" w:eastAsia="en-GB"/>
              </w:rPr>
              <w:t>për</w:t>
            </w:r>
            <w:proofErr w:type="spellEnd"/>
            <w:r w:rsidRPr="00721BCE">
              <w:rPr>
                <w:rFonts w:ascii="Arial Narrow" w:hAnsi="Arial Narrow" w:cs="Calibri"/>
                <w:sz w:val="18"/>
                <w:szCs w:val="18"/>
                <w:lang w:val="en-GB" w:eastAsia="en-GB"/>
              </w:rPr>
              <w:t xml:space="preserve"> </w:t>
            </w:r>
            <w:proofErr w:type="spellStart"/>
            <w:r w:rsidRPr="00721BCE">
              <w:rPr>
                <w:rFonts w:ascii="Arial Narrow" w:hAnsi="Arial Narrow" w:cs="Calibri"/>
                <w:sz w:val="18"/>
                <w:szCs w:val="18"/>
                <w:lang w:val="en-GB" w:eastAsia="en-GB"/>
              </w:rPr>
              <w:t>trajtim</w:t>
            </w:r>
            <w:proofErr w:type="spellEnd"/>
            <w:r w:rsidRPr="00721BCE">
              <w:rPr>
                <w:rFonts w:ascii="Arial Narrow" w:hAnsi="Arial Narrow" w:cs="Calibri"/>
                <w:sz w:val="18"/>
                <w:szCs w:val="18"/>
                <w:lang w:val="en-GB" w:eastAsia="en-GB"/>
              </w:rPr>
              <w:t xml:space="preserve"> </w:t>
            </w:r>
            <w:proofErr w:type="spellStart"/>
            <w:r w:rsidRPr="00721BCE">
              <w:rPr>
                <w:rFonts w:ascii="Arial Narrow" w:hAnsi="Arial Narrow" w:cs="Calibri"/>
                <w:sz w:val="18"/>
                <w:szCs w:val="18"/>
                <w:lang w:val="en-GB" w:eastAsia="en-GB"/>
              </w:rPr>
              <w:t>në</w:t>
            </w:r>
            <w:proofErr w:type="spellEnd"/>
            <w:r w:rsidRPr="00721BCE">
              <w:rPr>
                <w:rFonts w:ascii="Arial Narrow" w:hAnsi="Arial Narrow" w:cs="Calibri"/>
                <w:sz w:val="18"/>
                <w:szCs w:val="18"/>
                <w:lang w:val="en-GB" w:eastAsia="en-GB"/>
              </w:rPr>
              <w:t xml:space="preserve"> TMB</w:t>
            </w:r>
          </w:p>
        </w:tc>
        <w:tc>
          <w:tcPr>
            <w:tcW w:w="769" w:type="dxa"/>
            <w:shd w:val="clear" w:color="auto" w:fill="auto"/>
            <w:noWrap/>
            <w:tcMar>
              <w:left w:w="58" w:type="dxa"/>
              <w:right w:w="58" w:type="dxa"/>
            </w:tcMar>
            <w:vAlign w:val="bottom"/>
            <w:hideMark/>
          </w:tcPr>
          <w:p w14:paraId="4310899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6C7A466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29EBEF9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5B53CF7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394B175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10CB624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65856F4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23,648 t</w:t>
            </w:r>
          </w:p>
        </w:tc>
        <w:tc>
          <w:tcPr>
            <w:tcW w:w="770" w:type="dxa"/>
            <w:shd w:val="clear" w:color="auto" w:fill="auto"/>
            <w:noWrap/>
            <w:tcMar>
              <w:left w:w="58" w:type="dxa"/>
              <w:right w:w="58" w:type="dxa"/>
            </w:tcMar>
            <w:vAlign w:val="bottom"/>
            <w:hideMark/>
          </w:tcPr>
          <w:p w14:paraId="4B0A761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22,817 t</w:t>
            </w:r>
          </w:p>
        </w:tc>
        <w:tc>
          <w:tcPr>
            <w:tcW w:w="770" w:type="dxa"/>
            <w:shd w:val="clear" w:color="auto" w:fill="auto"/>
            <w:noWrap/>
            <w:tcMar>
              <w:left w:w="58" w:type="dxa"/>
              <w:right w:w="58" w:type="dxa"/>
            </w:tcMar>
            <w:vAlign w:val="bottom"/>
            <w:hideMark/>
          </w:tcPr>
          <w:p w14:paraId="6B6244B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21,984 t</w:t>
            </w:r>
          </w:p>
        </w:tc>
        <w:tc>
          <w:tcPr>
            <w:tcW w:w="770" w:type="dxa"/>
            <w:shd w:val="clear" w:color="auto" w:fill="auto"/>
            <w:noWrap/>
            <w:tcMar>
              <w:left w:w="58" w:type="dxa"/>
              <w:right w:w="58" w:type="dxa"/>
            </w:tcMar>
            <w:vAlign w:val="bottom"/>
            <w:hideMark/>
          </w:tcPr>
          <w:p w14:paraId="33F44A2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21,237 t</w:t>
            </w:r>
          </w:p>
        </w:tc>
      </w:tr>
      <w:tr w:rsidR="00721BCE" w:rsidRPr="00721BCE" w14:paraId="0710D51F" w14:textId="77777777" w:rsidTr="005A2D4D">
        <w:trPr>
          <w:trHeight w:val="290"/>
        </w:trPr>
        <w:tc>
          <w:tcPr>
            <w:tcW w:w="1318" w:type="dxa"/>
            <w:shd w:val="clear" w:color="auto" w:fill="auto"/>
            <w:noWrap/>
            <w:tcMar>
              <w:left w:w="58" w:type="dxa"/>
              <w:right w:w="58" w:type="dxa"/>
            </w:tcMar>
            <w:vAlign w:val="bottom"/>
            <w:hideMark/>
          </w:tcPr>
          <w:p w14:paraId="0C646B15"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Mbeturinat ushqimore për trajtim në kontejnerë të specializuar</w:t>
            </w:r>
          </w:p>
        </w:tc>
        <w:tc>
          <w:tcPr>
            <w:tcW w:w="769" w:type="dxa"/>
            <w:shd w:val="clear" w:color="auto" w:fill="auto"/>
            <w:noWrap/>
            <w:tcMar>
              <w:left w:w="58" w:type="dxa"/>
              <w:right w:w="58" w:type="dxa"/>
            </w:tcMar>
            <w:vAlign w:val="bottom"/>
            <w:hideMark/>
          </w:tcPr>
          <w:p w14:paraId="036CC5E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7EF09DA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6FDE24F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383C918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06A7259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55599A8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698AC96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1,737 t</w:t>
            </w:r>
          </w:p>
        </w:tc>
        <w:tc>
          <w:tcPr>
            <w:tcW w:w="770" w:type="dxa"/>
            <w:shd w:val="clear" w:color="auto" w:fill="auto"/>
            <w:noWrap/>
            <w:tcMar>
              <w:left w:w="58" w:type="dxa"/>
              <w:right w:w="58" w:type="dxa"/>
            </w:tcMar>
            <w:vAlign w:val="bottom"/>
            <w:hideMark/>
          </w:tcPr>
          <w:p w14:paraId="0C5D0E0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1,926 t</w:t>
            </w:r>
          </w:p>
        </w:tc>
        <w:tc>
          <w:tcPr>
            <w:tcW w:w="770" w:type="dxa"/>
            <w:shd w:val="clear" w:color="auto" w:fill="auto"/>
            <w:noWrap/>
            <w:tcMar>
              <w:left w:w="58" w:type="dxa"/>
              <w:right w:w="58" w:type="dxa"/>
            </w:tcMar>
            <w:vAlign w:val="bottom"/>
            <w:hideMark/>
          </w:tcPr>
          <w:p w14:paraId="68F09A7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2,135 t</w:t>
            </w:r>
          </w:p>
        </w:tc>
        <w:tc>
          <w:tcPr>
            <w:tcW w:w="770" w:type="dxa"/>
            <w:shd w:val="clear" w:color="auto" w:fill="auto"/>
            <w:noWrap/>
            <w:tcMar>
              <w:left w:w="58" w:type="dxa"/>
              <w:right w:w="58" w:type="dxa"/>
            </w:tcMar>
            <w:vAlign w:val="bottom"/>
            <w:hideMark/>
          </w:tcPr>
          <w:p w14:paraId="71633C6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2,367 t</w:t>
            </w:r>
          </w:p>
        </w:tc>
      </w:tr>
      <w:tr w:rsidR="00721BCE" w:rsidRPr="00721BCE" w14:paraId="46D4CD63" w14:textId="77777777" w:rsidTr="005A2D4D">
        <w:trPr>
          <w:trHeight w:val="290"/>
        </w:trPr>
        <w:tc>
          <w:tcPr>
            <w:tcW w:w="1318" w:type="dxa"/>
            <w:shd w:val="clear" w:color="auto" w:fill="auto"/>
            <w:noWrap/>
            <w:tcMar>
              <w:left w:w="58" w:type="dxa"/>
              <w:right w:w="58" w:type="dxa"/>
            </w:tcMar>
            <w:vAlign w:val="bottom"/>
            <w:hideMark/>
          </w:tcPr>
          <w:p w14:paraId="2BCCC56E"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Papastërtitë nga klasifikimi në deponi</w:t>
            </w:r>
          </w:p>
        </w:tc>
        <w:tc>
          <w:tcPr>
            <w:tcW w:w="769" w:type="dxa"/>
            <w:shd w:val="clear" w:color="auto" w:fill="auto"/>
            <w:noWrap/>
            <w:tcMar>
              <w:left w:w="58" w:type="dxa"/>
              <w:right w:w="58" w:type="dxa"/>
            </w:tcMar>
            <w:vAlign w:val="bottom"/>
            <w:hideMark/>
          </w:tcPr>
          <w:p w14:paraId="69BEC52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569E723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762 t</w:t>
            </w:r>
          </w:p>
        </w:tc>
        <w:tc>
          <w:tcPr>
            <w:tcW w:w="770" w:type="dxa"/>
            <w:shd w:val="clear" w:color="auto" w:fill="auto"/>
            <w:noWrap/>
            <w:tcMar>
              <w:left w:w="58" w:type="dxa"/>
              <w:right w:w="58" w:type="dxa"/>
            </w:tcMar>
            <w:vAlign w:val="bottom"/>
            <w:hideMark/>
          </w:tcPr>
          <w:p w14:paraId="179063E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958 t</w:t>
            </w:r>
          </w:p>
        </w:tc>
        <w:tc>
          <w:tcPr>
            <w:tcW w:w="770" w:type="dxa"/>
            <w:shd w:val="clear" w:color="auto" w:fill="auto"/>
            <w:noWrap/>
            <w:tcMar>
              <w:left w:w="58" w:type="dxa"/>
              <w:right w:w="58" w:type="dxa"/>
            </w:tcMar>
            <w:vAlign w:val="bottom"/>
            <w:hideMark/>
          </w:tcPr>
          <w:p w14:paraId="19563A9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1,175 t</w:t>
            </w:r>
          </w:p>
        </w:tc>
        <w:tc>
          <w:tcPr>
            <w:tcW w:w="770" w:type="dxa"/>
            <w:shd w:val="clear" w:color="auto" w:fill="auto"/>
            <w:noWrap/>
            <w:tcMar>
              <w:left w:w="58" w:type="dxa"/>
              <w:right w:w="58" w:type="dxa"/>
            </w:tcMar>
            <w:vAlign w:val="bottom"/>
            <w:hideMark/>
          </w:tcPr>
          <w:p w14:paraId="1C117A6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1274 t</w:t>
            </w:r>
          </w:p>
        </w:tc>
        <w:tc>
          <w:tcPr>
            <w:tcW w:w="770" w:type="dxa"/>
            <w:shd w:val="clear" w:color="auto" w:fill="auto"/>
            <w:noWrap/>
            <w:tcMar>
              <w:left w:w="58" w:type="dxa"/>
              <w:right w:w="58" w:type="dxa"/>
            </w:tcMar>
            <w:vAlign w:val="bottom"/>
            <w:hideMark/>
          </w:tcPr>
          <w:p w14:paraId="6590D3C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1,384 t</w:t>
            </w:r>
          </w:p>
        </w:tc>
        <w:tc>
          <w:tcPr>
            <w:tcW w:w="770" w:type="dxa"/>
            <w:shd w:val="clear" w:color="auto" w:fill="auto"/>
            <w:noWrap/>
            <w:tcMar>
              <w:left w:w="58" w:type="dxa"/>
              <w:right w:w="58" w:type="dxa"/>
            </w:tcMar>
            <w:vAlign w:val="bottom"/>
            <w:hideMark/>
          </w:tcPr>
          <w:p w14:paraId="001A1CE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1,502 t</w:t>
            </w:r>
          </w:p>
        </w:tc>
        <w:tc>
          <w:tcPr>
            <w:tcW w:w="770" w:type="dxa"/>
            <w:shd w:val="clear" w:color="auto" w:fill="auto"/>
            <w:noWrap/>
            <w:tcMar>
              <w:left w:w="58" w:type="dxa"/>
              <w:right w:w="58" w:type="dxa"/>
            </w:tcMar>
            <w:vAlign w:val="bottom"/>
            <w:hideMark/>
          </w:tcPr>
          <w:p w14:paraId="04D414C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1,584 t</w:t>
            </w:r>
          </w:p>
        </w:tc>
        <w:tc>
          <w:tcPr>
            <w:tcW w:w="770" w:type="dxa"/>
            <w:shd w:val="clear" w:color="auto" w:fill="auto"/>
            <w:noWrap/>
            <w:tcMar>
              <w:left w:w="58" w:type="dxa"/>
              <w:right w:w="58" w:type="dxa"/>
            </w:tcMar>
            <w:vAlign w:val="bottom"/>
            <w:hideMark/>
          </w:tcPr>
          <w:p w14:paraId="572CD82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1,660 t</w:t>
            </w:r>
          </w:p>
        </w:tc>
        <w:tc>
          <w:tcPr>
            <w:tcW w:w="770" w:type="dxa"/>
            <w:shd w:val="clear" w:color="auto" w:fill="auto"/>
            <w:noWrap/>
            <w:tcMar>
              <w:left w:w="58" w:type="dxa"/>
              <w:right w:w="58" w:type="dxa"/>
            </w:tcMar>
            <w:vAlign w:val="bottom"/>
            <w:hideMark/>
          </w:tcPr>
          <w:p w14:paraId="6E6C2BA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1,733 t</w:t>
            </w:r>
          </w:p>
        </w:tc>
      </w:tr>
      <w:tr w:rsidR="00721BCE" w:rsidRPr="00721BCE" w14:paraId="6C19E092" w14:textId="77777777" w:rsidTr="005A2D4D">
        <w:trPr>
          <w:trHeight w:val="290"/>
        </w:trPr>
        <w:tc>
          <w:tcPr>
            <w:tcW w:w="1318" w:type="dxa"/>
            <w:shd w:val="clear" w:color="auto" w:fill="auto"/>
            <w:noWrap/>
            <w:tcMar>
              <w:left w:w="58" w:type="dxa"/>
              <w:right w:w="58" w:type="dxa"/>
            </w:tcMar>
            <w:vAlign w:val="bottom"/>
            <w:hideMark/>
          </w:tcPr>
          <w:p w14:paraId="6CD82FB2"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Përzierjet nga TMB në deponi</w:t>
            </w:r>
          </w:p>
        </w:tc>
        <w:tc>
          <w:tcPr>
            <w:tcW w:w="769" w:type="dxa"/>
            <w:shd w:val="clear" w:color="auto" w:fill="auto"/>
            <w:noWrap/>
            <w:tcMar>
              <w:left w:w="58" w:type="dxa"/>
              <w:right w:w="58" w:type="dxa"/>
            </w:tcMar>
            <w:vAlign w:val="bottom"/>
            <w:hideMark/>
          </w:tcPr>
          <w:p w14:paraId="3CAAAC9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7AACBAB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4F838A0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0452BAC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4D36F4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6E5FF51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24A638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5,962 t</w:t>
            </w:r>
          </w:p>
        </w:tc>
        <w:tc>
          <w:tcPr>
            <w:tcW w:w="770" w:type="dxa"/>
            <w:shd w:val="clear" w:color="auto" w:fill="auto"/>
            <w:noWrap/>
            <w:tcMar>
              <w:left w:w="58" w:type="dxa"/>
              <w:right w:w="58" w:type="dxa"/>
            </w:tcMar>
            <w:vAlign w:val="bottom"/>
            <w:hideMark/>
          </w:tcPr>
          <w:p w14:paraId="2AD8E26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5,774 t</w:t>
            </w:r>
          </w:p>
        </w:tc>
        <w:tc>
          <w:tcPr>
            <w:tcW w:w="770" w:type="dxa"/>
            <w:shd w:val="clear" w:color="auto" w:fill="auto"/>
            <w:noWrap/>
            <w:tcMar>
              <w:left w:w="58" w:type="dxa"/>
              <w:right w:w="58" w:type="dxa"/>
            </w:tcMar>
            <w:vAlign w:val="bottom"/>
            <w:hideMark/>
          </w:tcPr>
          <w:p w14:paraId="5D71367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5,572 t</w:t>
            </w:r>
          </w:p>
        </w:tc>
        <w:tc>
          <w:tcPr>
            <w:tcW w:w="770" w:type="dxa"/>
            <w:shd w:val="clear" w:color="auto" w:fill="auto"/>
            <w:noWrap/>
            <w:tcMar>
              <w:left w:w="58" w:type="dxa"/>
              <w:right w:w="58" w:type="dxa"/>
            </w:tcMar>
            <w:vAlign w:val="bottom"/>
            <w:hideMark/>
          </w:tcPr>
          <w:p w14:paraId="5B4473C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5,407 t</w:t>
            </w:r>
          </w:p>
        </w:tc>
      </w:tr>
      <w:tr w:rsidR="00721BCE" w:rsidRPr="00721BCE" w14:paraId="13B51AFE" w14:textId="77777777" w:rsidTr="005A2D4D">
        <w:trPr>
          <w:trHeight w:val="300"/>
        </w:trPr>
        <w:tc>
          <w:tcPr>
            <w:tcW w:w="1318" w:type="dxa"/>
            <w:shd w:val="clear" w:color="auto" w:fill="auto"/>
            <w:noWrap/>
            <w:tcMar>
              <w:left w:w="58" w:type="dxa"/>
              <w:right w:w="58" w:type="dxa"/>
            </w:tcMar>
            <w:vAlign w:val="bottom"/>
            <w:hideMark/>
          </w:tcPr>
          <w:p w14:paraId="37C92DFC" w14:textId="77777777" w:rsidR="00721BCE" w:rsidRPr="00721BCE" w:rsidRDefault="00721BCE" w:rsidP="005A2D4D">
            <w:pPr>
              <w:rPr>
                <w:rFonts w:ascii="Arial Narrow" w:hAnsi="Arial Narrow" w:cs="Calibri"/>
                <w:sz w:val="18"/>
                <w:szCs w:val="18"/>
                <w:lang w:val="en-GB" w:eastAsia="en-GB"/>
              </w:rPr>
            </w:pPr>
            <w:proofErr w:type="spellStart"/>
            <w:r w:rsidRPr="00721BCE">
              <w:rPr>
                <w:rFonts w:ascii="Arial Narrow" w:hAnsi="Arial Narrow" w:cs="Calibri"/>
                <w:sz w:val="18"/>
                <w:szCs w:val="18"/>
                <w:lang w:val="en-GB" w:eastAsia="en-GB"/>
              </w:rPr>
              <w:t>Mbeturinat</w:t>
            </w:r>
            <w:proofErr w:type="spellEnd"/>
            <w:r w:rsidRPr="00721BCE">
              <w:rPr>
                <w:rFonts w:ascii="Arial Narrow" w:hAnsi="Arial Narrow" w:cs="Calibri"/>
                <w:sz w:val="18"/>
                <w:szCs w:val="18"/>
                <w:lang w:val="en-GB" w:eastAsia="en-GB"/>
              </w:rPr>
              <w:t xml:space="preserve"> e </w:t>
            </w:r>
            <w:proofErr w:type="spellStart"/>
            <w:r w:rsidRPr="00721BCE">
              <w:rPr>
                <w:rFonts w:ascii="Arial Narrow" w:hAnsi="Arial Narrow" w:cs="Calibri"/>
                <w:sz w:val="18"/>
                <w:szCs w:val="18"/>
                <w:lang w:val="en-GB" w:eastAsia="en-GB"/>
              </w:rPr>
              <w:t>deponuara</w:t>
            </w:r>
            <w:proofErr w:type="spellEnd"/>
            <w:r w:rsidRPr="00721BCE">
              <w:rPr>
                <w:rFonts w:ascii="Arial Narrow" w:hAnsi="Arial Narrow" w:cs="Calibri"/>
                <w:sz w:val="18"/>
                <w:szCs w:val="18"/>
                <w:lang w:val="en-GB" w:eastAsia="en-GB"/>
              </w:rPr>
              <w:t xml:space="preserve"> </w:t>
            </w:r>
            <w:proofErr w:type="spellStart"/>
            <w:r w:rsidRPr="00721BCE">
              <w:rPr>
                <w:rFonts w:ascii="Arial Narrow" w:hAnsi="Arial Narrow" w:cs="Calibri"/>
                <w:sz w:val="18"/>
                <w:szCs w:val="18"/>
                <w:lang w:val="en-GB" w:eastAsia="en-GB"/>
              </w:rPr>
              <w:t>në</w:t>
            </w:r>
            <w:proofErr w:type="spellEnd"/>
            <w:r w:rsidRPr="00721BCE">
              <w:rPr>
                <w:rFonts w:ascii="Arial Narrow" w:hAnsi="Arial Narrow" w:cs="Calibri"/>
                <w:sz w:val="18"/>
                <w:szCs w:val="18"/>
                <w:lang w:val="en-GB" w:eastAsia="en-GB"/>
              </w:rPr>
              <w:t xml:space="preserve"> </w:t>
            </w:r>
            <w:proofErr w:type="spellStart"/>
            <w:r w:rsidRPr="00721BCE">
              <w:rPr>
                <w:rFonts w:ascii="Arial Narrow" w:hAnsi="Arial Narrow" w:cs="Calibri"/>
                <w:sz w:val="18"/>
                <w:szCs w:val="18"/>
                <w:lang w:val="en-GB" w:eastAsia="en-GB"/>
              </w:rPr>
              <w:t>deponi</w:t>
            </w:r>
            <w:proofErr w:type="spellEnd"/>
          </w:p>
        </w:tc>
        <w:tc>
          <w:tcPr>
            <w:tcW w:w="769" w:type="dxa"/>
            <w:shd w:val="clear" w:color="auto" w:fill="auto"/>
            <w:noWrap/>
            <w:tcMar>
              <w:left w:w="58" w:type="dxa"/>
              <w:right w:w="58" w:type="dxa"/>
            </w:tcMar>
            <w:vAlign w:val="bottom"/>
            <w:hideMark/>
          </w:tcPr>
          <w:p w14:paraId="3BF5FA9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37,903 t</w:t>
            </w:r>
          </w:p>
        </w:tc>
        <w:tc>
          <w:tcPr>
            <w:tcW w:w="769" w:type="dxa"/>
            <w:shd w:val="clear" w:color="auto" w:fill="auto"/>
            <w:noWrap/>
            <w:tcMar>
              <w:left w:w="58" w:type="dxa"/>
              <w:right w:w="58" w:type="dxa"/>
            </w:tcMar>
            <w:vAlign w:val="bottom"/>
            <w:hideMark/>
          </w:tcPr>
          <w:p w14:paraId="669AFE6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32,538 t</w:t>
            </w:r>
          </w:p>
        </w:tc>
        <w:tc>
          <w:tcPr>
            <w:tcW w:w="770" w:type="dxa"/>
            <w:shd w:val="clear" w:color="auto" w:fill="auto"/>
            <w:noWrap/>
            <w:tcMar>
              <w:left w:w="58" w:type="dxa"/>
              <w:right w:w="58" w:type="dxa"/>
            </w:tcMar>
            <w:vAlign w:val="bottom"/>
            <w:hideMark/>
          </w:tcPr>
          <w:p w14:paraId="631E417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31,399 t</w:t>
            </w:r>
          </w:p>
        </w:tc>
        <w:tc>
          <w:tcPr>
            <w:tcW w:w="770" w:type="dxa"/>
            <w:shd w:val="clear" w:color="auto" w:fill="auto"/>
            <w:noWrap/>
            <w:tcMar>
              <w:left w:w="58" w:type="dxa"/>
              <w:right w:w="58" w:type="dxa"/>
            </w:tcMar>
            <w:vAlign w:val="bottom"/>
            <w:hideMark/>
          </w:tcPr>
          <w:p w14:paraId="1AC2EEE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30,113 t</w:t>
            </w:r>
          </w:p>
        </w:tc>
        <w:tc>
          <w:tcPr>
            <w:tcW w:w="770" w:type="dxa"/>
            <w:shd w:val="clear" w:color="auto" w:fill="auto"/>
            <w:noWrap/>
            <w:tcMar>
              <w:left w:w="58" w:type="dxa"/>
              <w:right w:w="58" w:type="dxa"/>
            </w:tcMar>
            <w:vAlign w:val="bottom"/>
            <w:hideMark/>
          </w:tcPr>
          <w:p w14:paraId="4353673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29,269 t</w:t>
            </w:r>
          </w:p>
        </w:tc>
        <w:tc>
          <w:tcPr>
            <w:tcW w:w="770" w:type="dxa"/>
            <w:shd w:val="clear" w:color="auto" w:fill="auto"/>
            <w:noWrap/>
            <w:tcMar>
              <w:left w:w="58" w:type="dxa"/>
              <w:right w:w="58" w:type="dxa"/>
            </w:tcMar>
            <w:vAlign w:val="bottom"/>
            <w:hideMark/>
          </w:tcPr>
          <w:p w14:paraId="71AA656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28,697 t</w:t>
            </w:r>
          </w:p>
        </w:tc>
        <w:tc>
          <w:tcPr>
            <w:tcW w:w="770" w:type="dxa"/>
            <w:shd w:val="clear" w:color="auto" w:fill="auto"/>
            <w:noWrap/>
            <w:tcMar>
              <w:left w:w="58" w:type="dxa"/>
              <w:right w:w="58" w:type="dxa"/>
            </w:tcMar>
            <w:vAlign w:val="bottom"/>
            <w:hideMark/>
          </w:tcPr>
          <w:p w14:paraId="3101909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2413C44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255E653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315E8F8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r>
    </w:tbl>
    <w:p w14:paraId="058D8D80" w14:textId="77777777" w:rsidR="007D1EDC" w:rsidRPr="007D1EDC" w:rsidRDefault="007D1EDC" w:rsidP="007D1EDC">
      <w:pPr>
        <w:rPr>
          <w:rFonts w:ascii="Aptos" w:eastAsia="Aptos" w:hAnsi="Aptos"/>
          <w:kern w:val="2"/>
          <w:sz w:val="22"/>
          <w:szCs w:val="22"/>
          <w:lang w:val="en-GB"/>
          <w14:ligatures w14:val="standardContextual"/>
        </w:rPr>
      </w:pPr>
    </w:p>
    <w:p w14:paraId="227A27A4" w14:textId="74CBD01B" w:rsidR="007D1EDC" w:rsidRPr="007D1EDC" w:rsidRDefault="007D1EDC" w:rsidP="007D1EDC">
      <w:pPr>
        <w:suppressAutoHyphens/>
        <w:rPr>
          <w:rFonts w:ascii="Arial Narrow" w:eastAsia="Calibri" w:hAnsi="Arial Narrow" w:cs="Calibri"/>
          <w:color w:val="1F497D"/>
          <w:sz w:val="20"/>
          <w:szCs w:val="20"/>
        </w:rPr>
      </w:pPr>
      <w:bookmarkStart w:id="717" w:name="_Toc190966803"/>
      <w:bookmarkStart w:id="718" w:name="_Toc197472300"/>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115. </w:t>
      </w:r>
      <w:r w:rsidRPr="007D1EDC">
        <w:rPr>
          <w:rFonts w:ascii="Arial Narrow" w:eastAsia="Calibri" w:hAnsi="Arial Narrow" w:cs="Calibri"/>
          <w:color w:val="1F497D"/>
          <w:sz w:val="20"/>
          <w:szCs w:val="20"/>
        </w:rPr>
        <w:fldChar w:fldCharType="end"/>
      </w:r>
      <w:bookmarkEnd w:id="717"/>
      <w:r w:rsidR="00721BCE" w:rsidRPr="00721BCE">
        <w:rPr>
          <w:rFonts w:ascii="Arial Narrow" w:eastAsia="Calibri" w:hAnsi="Arial Narrow" w:cs="Calibri"/>
          <w:color w:val="1F497D"/>
          <w:sz w:val="20"/>
          <w:szCs w:val="20"/>
        </w:rPr>
        <w:t xml:space="preserve"> </w:t>
      </w:r>
      <w:r w:rsidR="00721BCE" w:rsidRPr="007D1EDC">
        <w:rPr>
          <w:rFonts w:ascii="Arial Narrow" w:eastAsia="Calibri" w:hAnsi="Arial Narrow" w:cs="Calibri"/>
          <w:color w:val="1F497D"/>
          <w:sz w:val="20"/>
          <w:szCs w:val="20"/>
        </w:rPr>
        <w:t>B</w:t>
      </w:r>
      <w:r w:rsidR="00721BCE">
        <w:rPr>
          <w:rFonts w:ascii="Arial Narrow" w:eastAsia="Calibri" w:hAnsi="Arial Narrow" w:cs="Calibri"/>
          <w:color w:val="1F497D"/>
          <w:sz w:val="20"/>
          <w:szCs w:val="20"/>
        </w:rPr>
        <w:t>a</w:t>
      </w:r>
      <w:r w:rsidR="00721BCE" w:rsidRPr="007D1EDC">
        <w:rPr>
          <w:rFonts w:ascii="Arial Narrow" w:eastAsia="Calibri" w:hAnsi="Arial Narrow" w:cs="Calibri"/>
          <w:color w:val="1F497D"/>
          <w:sz w:val="20"/>
          <w:szCs w:val="20"/>
        </w:rPr>
        <w:t>lanc</w:t>
      </w:r>
      <w:r w:rsidR="00721BCE">
        <w:rPr>
          <w:rFonts w:ascii="Arial Narrow" w:eastAsia="Calibri" w:hAnsi="Arial Narrow" w:cs="Calibri"/>
          <w:color w:val="1F497D"/>
          <w:sz w:val="20"/>
          <w:szCs w:val="20"/>
        </w:rPr>
        <w:t>a</w:t>
      </w:r>
      <w:r w:rsidR="00721BCE" w:rsidRPr="007D1EDC">
        <w:rPr>
          <w:rFonts w:ascii="Arial Narrow" w:eastAsia="Calibri" w:hAnsi="Arial Narrow" w:cs="Calibri"/>
          <w:color w:val="1F497D"/>
          <w:sz w:val="20"/>
          <w:szCs w:val="20"/>
        </w:rPr>
        <w:t xml:space="preserve"> </w:t>
      </w:r>
      <w:r w:rsidR="00721BCE">
        <w:rPr>
          <w:rFonts w:ascii="Arial Narrow" w:eastAsia="Calibri" w:hAnsi="Arial Narrow" w:cs="Calibri"/>
          <w:color w:val="1F497D"/>
          <w:sz w:val="20"/>
          <w:szCs w:val="20"/>
        </w:rPr>
        <w:t>e përgjithshme/</w:t>
      </w:r>
      <w:r w:rsidR="00721BCE" w:rsidRPr="007D1EDC">
        <w:rPr>
          <w:rFonts w:ascii="Arial Narrow" w:eastAsia="Calibri" w:hAnsi="Arial Narrow" w:cs="Calibri"/>
          <w:color w:val="1F497D"/>
          <w:sz w:val="20"/>
          <w:szCs w:val="20"/>
        </w:rPr>
        <w:t xml:space="preserve">masës së mbeturinave </w:t>
      </w:r>
      <w:r w:rsidR="00721BCE">
        <w:rPr>
          <w:rFonts w:ascii="Arial Narrow" w:eastAsia="Calibri" w:hAnsi="Arial Narrow" w:cs="Calibri"/>
          <w:color w:val="1F497D"/>
          <w:sz w:val="20"/>
          <w:szCs w:val="20"/>
        </w:rPr>
        <w:t>në</w:t>
      </w:r>
      <w:r w:rsidR="00721BCE" w:rsidRPr="007D1EDC">
        <w:rPr>
          <w:rFonts w:ascii="Arial Narrow" w:eastAsia="Calibri" w:hAnsi="Arial Narrow" w:cs="Calibri"/>
          <w:color w:val="1F497D"/>
          <w:sz w:val="20"/>
          <w:szCs w:val="20"/>
        </w:rPr>
        <w:t xml:space="preserve"> komunë</w:t>
      </w:r>
      <w:r w:rsidR="00721BCE">
        <w:rPr>
          <w:rFonts w:ascii="Arial Narrow" w:eastAsia="Calibri" w:hAnsi="Arial Narrow" w:cs="Calibri"/>
          <w:color w:val="1F497D"/>
          <w:sz w:val="20"/>
          <w:szCs w:val="20"/>
        </w:rPr>
        <w:t>n e</w:t>
      </w:r>
      <w:r w:rsidR="00721BCE" w:rsidRPr="007D1EDC">
        <w:rPr>
          <w:rFonts w:ascii="Arial Narrow" w:eastAsia="Calibri" w:hAnsi="Arial Narrow" w:cs="Calibri"/>
          <w:color w:val="1F497D"/>
          <w:sz w:val="20"/>
          <w:szCs w:val="20"/>
        </w:rPr>
        <w:t xml:space="preserve"> </w:t>
      </w:r>
      <w:r w:rsidR="00721BCE">
        <w:rPr>
          <w:rFonts w:ascii="Arial Narrow" w:eastAsia="Calibri" w:hAnsi="Arial Narrow" w:cs="Calibri"/>
          <w:color w:val="1F497D"/>
          <w:sz w:val="20"/>
          <w:szCs w:val="20"/>
        </w:rPr>
        <w:t>Istogut</w:t>
      </w:r>
      <w:bookmarkEnd w:id="7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769"/>
        <w:gridCol w:w="769"/>
        <w:gridCol w:w="770"/>
        <w:gridCol w:w="770"/>
        <w:gridCol w:w="770"/>
        <w:gridCol w:w="770"/>
        <w:gridCol w:w="770"/>
        <w:gridCol w:w="770"/>
        <w:gridCol w:w="770"/>
        <w:gridCol w:w="770"/>
      </w:tblGrid>
      <w:tr w:rsidR="00721BCE" w:rsidRPr="00721BCE" w14:paraId="3B1796C2" w14:textId="77777777" w:rsidTr="005A2D4D">
        <w:trPr>
          <w:trHeight w:val="320"/>
        </w:trPr>
        <w:tc>
          <w:tcPr>
            <w:tcW w:w="1318" w:type="dxa"/>
            <w:shd w:val="clear" w:color="auto" w:fill="365F91"/>
            <w:noWrap/>
            <w:tcMar>
              <w:left w:w="58" w:type="dxa"/>
              <w:right w:w="58" w:type="dxa"/>
            </w:tcMar>
            <w:vAlign w:val="bottom"/>
            <w:hideMark/>
          </w:tcPr>
          <w:p w14:paraId="7F9BBF8E" w14:textId="77777777" w:rsidR="00721BCE" w:rsidRPr="00721BCE" w:rsidRDefault="00721BCE" w:rsidP="005A2D4D">
            <w:pPr>
              <w:rPr>
                <w:rFonts w:ascii="Arial Narrow" w:hAnsi="Arial Narrow" w:cs="Calibri"/>
                <w:b/>
                <w:bCs/>
                <w:i/>
                <w:iCs/>
                <w:color w:val="FFFFFF"/>
                <w:sz w:val="18"/>
                <w:szCs w:val="18"/>
                <w:lang w:val="en-GB" w:eastAsia="en-GB"/>
              </w:rPr>
            </w:pPr>
            <w:proofErr w:type="spellStart"/>
            <w:r w:rsidRPr="00721BCE">
              <w:rPr>
                <w:rFonts w:ascii="Arial Narrow" w:hAnsi="Arial Narrow" w:cs="Calibri"/>
                <w:b/>
                <w:bCs/>
                <w:i/>
                <w:iCs/>
                <w:color w:val="FFFFFF"/>
                <w:sz w:val="18"/>
                <w:szCs w:val="18"/>
                <w:lang w:val="en-GB" w:eastAsia="en-GB"/>
              </w:rPr>
              <w:t>Rrjedha</w:t>
            </w:r>
            <w:proofErr w:type="spellEnd"/>
            <w:r w:rsidRPr="00721BCE">
              <w:rPr>
                <w:rFonts w:ascii="Arial Narrow" w:hAnsi="Arial Narrow" w:cs="Calibri"/>
                <w:b/>
                <w:bCs/>
                <w:i/>
                <w:iCs/>
                <w:color w:val="FFFFFF"/>
                <w:sz w:val="18"/>
                <w:szCs w:val="18"/>
                <w:lang w:val="en-GB" w:eastAsia="en-GB"/>
              </w:rPr>
              <w:t xml:space="preserve"> e </w:t>
            </w:r>
            <w:proofErr w:type="spellStart"/>
            <w:r w:rsidRPr="00721BCE">
              <w:rPr>
                <w:rFonts w:ascii="Arial Narrow" w:hAnsi="Arial Narrow" w:cs="Calibri"/>
                <w:b/>
                <w:bCs/>
                <w:i/>
                <w:iCs/>
                <w:color w:val="FFFFFF"/>
                <w:sz w:val="18"/>
                <w:szCs w:val="18"/>
                <w:lang w:val="en-GB" w:eastAsia="en-GB"/>
              </w:rPr>
              <w:t>mbeturinave</w:t>
            </w:r>
            <w:proofErr w:type="spellEnd"/>
          </w:p>
        </w:tc>
        <w:tc>
          <w:tcPr>
            <w:tcW w:w="769" w:type="dxa"/>
            <w:shd w:val="clear" w:color="auto" w:fill="365F91"/>
            <w:noWrap/>
            <w:tcMar>
              <w:left w:w="58" w:type="dxa"/>
              <w:right w:w="58" w:type="dxa"/>
            </w:tcMar>
            <w:vAlign w:val="center"/>
            <w:hideMark/>
          </w:tcPr>
          <w:p w14:paraId="1510A6AC"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2026</w:t>
            </w:r>
          </w:p>
        </w:tc>
        <w:tc>
          <w:tcPr>
            <w:tcW w:w="769" w:type="dxa"/>
            <w:shd w:val="clear" w:color="auto" w:fill="365F91"/>
            <w:noWrap/>
            <w:tcMar>
              <w:left w:w="58" w:type="dxa"/>
              <w:right w:w="58" w:type="dxa"/>
            </w:tcMar>
            <w:vAlign w:val="center"/>
            <w:hideMark/>
          </w:tcPr>
          <w:p w14:paraId="3AD6C02B"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2027</w:t>
            </w:r>
          </w:p>
        </w:tc>
        <w:tc>
          <w:tcPr>
            <w:tcW w:w="770" w:type="dxa"/>
            <w:shd w:val="clear" w:color="auto" w:fill="365F91"/>
            <w:noWrap/>
            <w:tcMar>
              <w:left w:w="58" w:type="dxa"/>
              <w:right w:w="58" w:type="dxa"/>
            </w:tcMar>
            <w:vAlign w:val="center"/>
            <w:hideMark/>
          </w:tcPr>
          <w:p w14:paraId="5B97077D"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2028</w:t>
            </w:r>
          </w:p>
        </w:tc>
        <w:tc>
          <w:tcPr>
            <w:tcW w:w="770" w:type="dxa"/>
            <w:shd w:val="clear" w:color="auto" w:fill="365F91"/>
            <w:noWrap/>
            <w:tcMar>
              <w:left w:w="58" w:type="dxa"/>
              <w:right w:w="58" w:type="dxa"/>
            </w:tcMar>
            <w:vAlign w:val="center"/>
            <w:hideMark/>
          </w:tcPr>
          <w:p w14:paraId="4C072665"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2029</w:t>
            </w:r>
          </w:p>
        </w:tc>
        <w:tc>
          <w:tcPr>
            <w:tcW w:w="770" w:type="dxa"/>
            <w:shd w:val="clear" w:color="auto" w:fill="365F91"/>
            <w:noWrap/>
            <w:tcMar>
              <w:left w:w="58" w:type="dxa"/>
              <w:right w:w="58" w:type="dxa"/>
            </w:tcMar>
            <w:vAlign w:val="center"/>
            <w:hideMark/>
          </w:tcPr>
          <w:p w14:paraId="4958BE51"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2030</w:t>
            </w:r>
          </w:p>
        </w:tc>
        <w:tc>
          <w:tcPr>
            <w:tcW w:w="770" w:type="dxa"/>
            <w:shd w:val="clear" w:color="auto" w:fill="365F91"/>
            <w:noWrap/>
            <w:tcMar>
              <w:left w:w="58" w:type="dxa"/>
              <w:right w:w="58" w:type="dxa"/>
            </w:tcMar>
            <w:vAlign w:val="center"/>
            <w:hideMark/>
          </w:tcPr>
          <w:p w14:paraId="6C8A0A28"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2031</w:t>
            </w:r>
          </w:p>
        </w:tc>
        <w:tc>
          <w:tcPr>
            <w:tcW w:w="770" w:type="dxa"/>
            <w:shd w:val="clear" w:color="auto" w:fill="365F91"/>
            <w:noWrap/>
            <w:tcMar>
              <w:left w:w="58" w:type="dxa"/>
              <w:right w:w="58" w:type="dxa"/>
            </w:tcMar>
            <w:vAlign w:val="center"/>
            <w:hideMark/>
          </w:tcPr>
          <w:p w14:paraId="06B48D7B"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2032</w:t>
            </w:r>
          </w:p>
        </w:tc>
        <w:tc>
          <w:tcPr>
            <w:tcW w:w="770" w:type="dxa"/>
            <w:shd w:val="clear" w:color="auto" w:fill="365F91"/>
            <w:noWrap/>
            <w:tcMar>
              <w:left w:w="58" w:type="dxa"/>
              <w:right w:w="58" w:type="dxa"/>
            </w:tcMar>
            <w:vAlign w:val="center"/>
            <w:hideMark/>
          </w:tcPr>
          <w:p w14:paraId="57A45F5B"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2033</w:t>
            </w:r>
          </w:p>
        </w:tc>
        <w:tc>
          <w:tcPr>
            <w:tcW w:w="770" w:type="dxa"/>
            <w:shd w:val="clear" w:color="auto" w:fill="365F91"/>
            <w:noWrap/>
            <w:tcMar>
              <w:left w:w="58" w:type="dxa"/>
              <w:right w:w="58" w:type="dxa"/>
            </w:tcMar>
            <w:vAlign w:val="center"/>
            <w:hideMark/>
          </w:tcPr>
          <w:p w14:paraId="57EAFE53"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2034</w:t>
            </w:r>
          </w:p>
        </w:tc>
        <w:tc>
          <w:tcPr>
            <w:tcW w:w="770" w:type="dxa"/>
            <w:shd w:val="clear" w:color="auto" w:fill="365F91"/>
            <w:noWrap/>
            <w:tcMar>
              <w:left w:w="58" w:type="dxa"/>
              <w:right w:w="58" w:type="dxa"/>
            </w:tcMar>
            <w:vAlign w:val="center"/>
            <w:hideMark/>
          </w:tcPr>
          <w:p w14:paraId="6D2B8EF1"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2035</w:t>
            </w:r>
          </w:p>
        </w:tc>
      </w:tr>
      <w:tr w:rsidR="00721BCE" w:rsidRPr="00721BCE" w14:paraId="1DEE8D92" w14:textId="77777777" w:rsidTr="005A2D4D">
        <w:trPr>
          <w:trHeight w:val="300"/>
        </w:trPr>
        <w:tc>
          <w:tcPr>
            <w:tcW w:w="1318" w:type="dxa"/>
            <w:shd w:val="clear" w:color="auto" w:fill="auto"/>
            <w:noWrap/>
            <w:tcMar>
              <w:left w:w="58" w:type="dxa"/>
              <w:right w:w="58" w:type="dxa"/>
            </w:tcMar>
            <w:vAlign w:val="bottom"/>
            <w:hideMark/>
          </w:tcPr>
          <w:p w14:paraId="12FF56D6" w14:textId="77777777" w:rsidR="00721BCE" w:rsidRPr="00721BCE" w:rsidRDefault="00721BCE" w:rsidP="005A2D4D">
            <w:pPr>
              <w:rPr>
                <w:rFonts w:ascii="Arial Narrow" w:hAnsi="Arial Narrow" w:cs="Calibri"/>
                <w:sz w:val="18"/>
                <w:szCs w:val="18"/>
                <w:lang w:val="en-GB" w:eastAsia="en-GB"/>
              </w:rPr>
            </w:pPr>
            <w:bookmarkStart w:id="719" w:name="_Hlk193972386"/>
            <w:proofErr w:type="spellStart"/>
            <w:r w:rsidRPr="00721BCE">
              <w:rPr>
                <w:rFonts w:ascii="Arial Narrow" w:hAnsi="Arial Narrow" w:cs="Calibri"/>
                <w:sz w:val="18"/>
                <w:szCs w:val="18"/>
                <w:lang w:val="en-GB" w:eastAsia="en-GB"/>
              </w:rPr>
              <w:t>Mbeturinat</w:t>
            </w:r>
            <w:proofErr w:type="spellEnd"/>
            <w:r w:rsidRPr="00721BCE">
              <w:rPr>
                <w:rFonts w:ascii="Arial Narrow" w:hAnsi="Arial Narrow" w:cs="Calibri"/>
                <w:sz w:val="18"/>
                <w:szCs w:val="18"/>
                <w:lang w:val="en-GB" w:eastAsia="en-GB"/>
              </w:rPr>
              <w:t xml:space="preserve"> e </w:t>
            </w:r>
            <w:proofErr w:type="spellStart"/>
            <w:r w:rsidRPr="00721BCE">
              <w:rPr>
                <w:rFonts w:ascii="Arial Narrow" w:hAnsi="Arial Narrow" w:cs="Calibri"/>
                <w:sz w:val="18"/>
                <w:szCs w:val="18"/>
                <w:lang w:val="en-GB" w:eastAsia="en-GB"/>
              </w:rPr>
              <w:t>gjeneruara</w:t>
            </w:r>
            <w:proofErr w:type="spellEnd"/>
          </w:p>
        </w:tc>
        <w:tc>
          <w:tcPr>
            <w:tcW w:w="769" w:type="dxa"/>
            <w:shd w:val="clear" w:color="auto" w:fill="auto"/>
            <w:noWrap/>
            <w:tcMar>
              <w:left w:w="58" w:type="dxa"/>
              <w:right w:w="58" w:type="dxa"/>
            </w:tcMar>
            <w:vAlign w:val="bottom"/>
            <w:hideMark/>
          </w:tcPr>
          <w:p w14:paraId="68B318B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11,756 t</w:t>
            </w:r>
          </w:p>
        </w:tc>
        <w:tc>
          <w:tcPr>
            <w:tcW w:w="769" w:type="dxa"/>
            <w:shd w:val="clear" w:color="auto" w:fill="auto"/>
            <w:noWrap/>
            <w:tcMar>
              <w:left w:w="58" w:type="dxa"/>
              <w:right w:w="58" w:type="dxa"/>
            </w:tcMar>
            <w:vAlign w:val="bottom"/>
            <w:hideMark/>
          </w:tcPr>
          <w:p w14:paraId="39C847E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11,817 t</w:t>
            </w:r>
          </w:p>
        </w:tc>
        <w:tc>
          <w:tcPr>
            <w:tcW w:w="770" w:type="dxa"/>
            <w:shd w:val="clear" w:color="auto" w:fill="auto"/>
            <w:noWrap/>
            <w:tcMar>
              <w:left w:w="58" w:type="dxa"/>
              <w:right w:w="58" w:type="dxa"/>
            </w:tcMar>
            <w:vAlign w:val="bottom"/>
            <w:hideMark/>
          </w:tcPr>
          <w:p w14:paraId="537B227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11,878 t</w:t>
            </w:r>
          </w:p>
        </w:tc>
        <w:tc>
          <w:tcPr>
            <w:tcW w:w="770" w:type="dxa"/>
            <w:shd w:val="clear" w:color="auto" w:fill="auto"/>
            <w:noWrap/>
            <w:tcMar>
              <w:left w:w="58" w:type="dxa"/>
              <w:right w:w="58" w:type="dxa"/>
            </w:tcMar>
            <w:vAlign w:val="bottom"/>
            <w:hideMark/>
          </w:tcPr>
          <w:p w14:paraId="35E5F5E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11,942 t</w:t>
            </w:r>
          </w:p>
        </w:tc>
        <w:tc>
          <w:tcPr>
            <w:tcW w:w="770" w:type="dxa"/>
            <w:shd w:val="clear" w:color="auto" w:fill="auto"/>
            <w:noWrap/>
            <w:tcMar>
              <w:left w:w="58" w:type="dxa"/>
              <w:right w:w="58" w:type="dxa"/>
            </w:tcMar>
            <w:vAlign w:val="bottom"/>
            <w:hideMark/>
          </w:tcPr>
          <w:p w14:paraId="5216EA5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12,006 t</w:t>
            </w:r>
          </w:p>
        </w:tc>
        <w:tc>
          <w:tcPr>
            <w:tcW w:w="770" w:type="dxa"/>
            <w:shd w:val="clear" w:color="auto" w:fill="auto"/>
            <w:noWrap/>
            <w:tcMar>
              <w:left w:w="58" w:type="dxa"/>
              <w:right w:w="58" w:type="dxa"/>
            </w:tcMar>
            <w:vAlign w:val="bottom"/>
            <w:hideMark/>
          </w:tcPr>
          <w:p w14:paraId="542811F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12,072 t</w:t>
            </w:r>
          </w:p>
        </w:tc>
        <w:tc>
          <w:tcPr>
            <w:tcW w:w="770" w:type="dxa"/>
            <w:shd w:val="clear" w:color="auto" w:fill="auto"/>
            <w:noWrap/>
            <w:tcMar>
              <w:left w:w="58" w:type="dxa"/>
              <w:right w:w="58" w:type="dxa"/>
            </w:tcMar>
            <w:vAlign w:val="bottom"/>
            <w:hideMark/>
          </w:tcPr>
          <w:p w14:paraId="2047450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12,138 t</w:t>
            </w:r>
          </w:p>
        </w:tc>
        <w:tc>
          <w:tcPr>
            <w:tcW w:w="770" w:type="dxa"/>
            <w:shd w:val="clear" w:color="auto" w:fill="auto"/>
            <w:noWrap/>
            <w:tcMar>
              <w:left w:w="58" w:type="dxa"/>
              <w:right w:w="58" w:type="dxa"/>
            </w:tcMar>
            <w:vAlign w:val="bottom"/>
            <w:hideMark/>
          </w:tcPr>
          <w:p w14:paraId="693095E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12,205 t</w:t>
            </w:r>
          </w:p>
        </w:tc>
        <w:tc>
          <w:tcPr>
            <w:tcW w:w="770" w:type="dxa"/>
            <w:shd w:val="clear" w:color="auto" w:fill="auto"/>
            <w:noWrap/>
            <w:tcMar>
              <w:left w:w="58" w:type="dxa"/>
              <w:right w:w="58" w:type="dxa"/>
            </w:tcMar>
            <w:vAlign w:val="bottom"/>
            <w:hideMark/>
          </w:tcPr>
          <w:p w14:paraId="07F4AAA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12,274 t</w:t>
            </w:r>
          </w:p>
        </w:tc>
        <w:tc>
          <w:tcPr>
            <w:tcW w:w="770" w:type="dxa"/>
            <w:shd w:val="clear" w:color="auto" w:fill="auto"/>
            <w:noWrap/>
            <w:tcMar>
              <w:left w:w="58" w:type="dxa"/>
              <w:right w:w="58" w:type="dxa"/>
            </w:tcMar>
            <w:vAlign w:val="bottom"/>
            <w:hideMark/>
          </w:tcPr>
          <w:p w14:paraId="5042637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12,343 t</w:t>
            </w:r>
          </w:p>
        </w:tc>
      </w:tr>
      <w:tr w:rsidR="00721BCE" w:rsidRPr="00721BCE" w14:paraId="105833D8" w14:textId="77777777" w:rsidTr="005A2D4D">
        <w:trPr>
          <w:trHeight w:val="290"/>
        </w:trPr>
        <w:tc>
          <w:tcPr>
            <w:tcW w:w="1318" w:type="dxa"/>
            <w:shd w:val="clear" w:color="auto" w:fill="auto"/>
            <w:noWrap/>
            <w:tcMar>
              <w:left w:w="58" w:type="dxa"/>
              <w:right w:w="58" w:type="dxa"/>
            </w:tcMar>
            <w:vAlign w:val="bottom"/>
            <w:hideMark/>
          </w:tcPr>
          <w:p w14:paraId="63B9DC80"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përfshirë. sipërfaqet publike të mbeturinave të gjelbra</w:t>
            </w:r>
          </w:p>
        </w:tc>
        <w:tc>
          <w:tcPr>
            <w:tcW w:w="769" w:type="dxa"/>
            <w:shd w:val="clear" w:color="auto" w:fill="auto"/>
            <w:noWrap/>
            <w:tcMar>
              <w:left w:w="58" w:type="dxa"/>
              <w:right w:w="58" w:type="dxa"/>
            </w:tcMar>
            <w:vAlign w:val="bottom"/>
            <w:hideMark/>
          </w:tcPr>
          <w:p w14:paraId="6C4CF8C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12,281 t</w:t>
            </w:r>
          </w:p>
        </w:tc>
        <w:tc>
          <w:tcPr>
            <w:tcW w:w="769" w:type="dxa"/>
            <w:shd w:val="clear" w:color="auto" w:fill="auto"/>
            <w:noWrap/>
            <w:tcMar>
              <w:left w:w="58" w:type="dxa"/>
              <w:right w:w="58" w:type="dxa"/>
            </w:tcMar>
            <w:vAlign w:val="bottom"/>
            <w:hideMark/>
          </w:tcPr>
          <w:p w14:paraId="5FF017A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12,342 t</w:t>
            </w:r>
          </w:p>
        </w:tc>
        <w:tc>
          <w:tcPr>
            <w:tcW w:w="770" w:type="dxa"/>
            <w:shd w:val="clear" w:color="auto" w:fill="auto"/>
            <w:noWrap/>
            <w:tcMar>
              <w:left w:w="58" w:type="dxa"/>
              <w:right w:w="58" w:type="dxa"/>
            </w:tcMar>
            <w:vAlign w:val="bottom"/>
            <w:hideMark/>
          </w:tcPr>
          <w:p w14:paraId="18C807C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12,404 t</w:t>
            </w:r>
          </w:p>
        </w:tc>
        <w:tc>
          <w:tcPr>
            <w:tcW w:w="770" w:type="dxa"/>
            <w:shd w:val="clear" w:color="auto" w:fill="auto"/>
            <w:noWrap/>
            <w:tcMar>
              <w:left w:w="58" w:type="dxa"/>
              <w:right w:w="58" w:type="dxa"/>
            </w:tcMar>
            <w:vAlign w:val="bottom"/>
            <w:hideMark/>
          </w:tcPr>
          <w:p w14:paraId="4CE0552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12,467 t</w:t>
            </w:r>
          </w:p>
        </w:tc>
        <w:tc>
          <w:tcPr>
            <w:tcW w:w="770" w:type="dxa"/>
            <w:shd w:val="clear" w:color="auto" w:fill="auto"/>
            <w:noWrap/>
            <w:tcMar>
              <w:left w:w="58" w:type="dxa"/>
              <w:right w:w="58" w:type="dxa"/>
            </w:tcMar>
            <w:vAlign w:val="bottom"/>
            <w:hideMark/>
          </w:tcPr>
          <w:p w14:paraId="552ED76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12,532 t</w:t>
            </w:r>
          </w:p>
        </w:tc>
        <w:tc>
          <w:tcPr>
            <w:tcW w:w="770" w:type="dxa"/>
            <w:shd w:val="clear" w:color="auto" w:fill="auto"/>
            <w:noWrap/>
            <w:tcMar>
              <w:left w:w="58" w:type="dxa"/>
              <w:right w:w="58" w:type="dxa"/>
            </w:tcMar>
            <w:vAlign w:val="bottom"/>
            <w:hideMark/>
          </w:tcPr>
          <w:p w14:paraId="0109C93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12,597 t</w:t>
            </w:r>
          </w:p>
        </w:tc>
        <w:tc>
          <w:tcPr>
            <w:tcW w:w="770" w:type="dxa"/>
            <w:shd w:val="clear" w:color="auto" w:fill="auto"/>
            <w:noWrap/>
            <w:tcMar>
              <w:left w:w="58" w:type="dxa"/>
              <w:right w:w="58" w:type="dxa"/>
            </w:tcMar>
            <w:vAlign w:val="bottom"/>
            <w:hideMark/>
          </w:tcPr>
          <w:p w14:paraId="6F79B53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12,664 t</w:t>
            </w:r>
          </w:p>
        </w:tc>
        <w:tc>
          <w:tcPr>
            <w:tcW w:w="770" w:type="dxa"/>
            <w:shd w:val="clear" w:color="auto" w:fill="auto"/>
            <w:noWrap/>
            <w:tcMar>
              <w:left w:w="58" w:type="dxa"/>
              <w:right w:w="58" w:type="dxa"/>
            </w:tcMar>
            <w:vAlign w:val="bottom"/>
            <w:hideMark/>
          </w:tcPr>
          <w:p w14:paraId="2B2A2EE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12,731 t</w:t>
            </w:r>
          </w:p>
        </w:tc>
        <w:tc>
          <w:tcPr>
            <w:tcW w:w="770" w:type="dxa"/>
            <w:shd w:val="clear" w:color="auto" w:fill="auto"/>
            <w:noWrap/>
            <w:tcMar>
              <w:left w:w="58" w:type="dxa"/>
              <w:right w:w="58" w:type="dxa"/>
            </w:tcMar>
            <w:vAlign w:val="bottom"/>
            <w:hideMark/>
          </w:tcPr>
          <w:p w14:paraId="0C5698E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12,799 t</w:t>
            </w:r>
          </w:p>
        </w:tc>
        <w:tc>
          <w:tcPr>
            <w:tcW w:w="770" w:type="dxa"/>
            <w:shd w:val="clear" w:color="auto" w:fill="auto"/>
            <w:noWrap/>
            <w:tcMar>
              <w:left w:w="58" w:type="dxa"/>
              <w:right w:w="58" w:type="dxa"/>
            </w:tcMar>
            <w:vAlign w:val="bottom"/>
            <w:hideMark/>
          </w:tcPr>
          <w:p w14:paraId="7134C43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12,868 t</w:t>
            </w:r>
          </w:p>
        </w:tc>
      </w:tr>
      <w:tr w:rsidR="00721BCE" w:rsidRPr="00721BCE" w14:paraId="7DF1C432" w14:textId="77777777" w:rsidTr="005A2D4D">
        <w:trPr>
          <w:trHeight w:val="290"/>
        </w:trPr>
        <w:tc>
          <w:tcPr>
            <w:tcW w:w="1318" w:type="dxa"/>
            <w:shd w:val="clear" w:color="auto" w:fill="auto"/>
            <w:noWrap/>
            <w:tcMar>
              <w:left w:w="58" w:type="dxa"/>
              <w:right w:w="58" w:type="dxa"/>
            </w:tcMar>
            <w:vAlign w:val="bottom"/>
            <w:hideMark/>
          </w:tcPr>
          <w:p w14:paraId="22C9B26C" w14:textId="77777777" w:rsidR="00721BCE" w:rsidRPr="003069B8" w:rsidRDefault="00721BCE" w:rsidP="005A2D4D">
            <w:pPr>
              <w:rPr>
                <w:rFonts w:ascii="Arial Narrow" w:hAnsi="Arial Narrow" w:cs="Calibri"/>
                <w:sz w:val="18"/>
                <w:szCs w:val="18"/>
                <w:lang w:val="es-ES" w:eastAsia="en-GB"/>
              </w:rPr>
            </w:pPr>
            <w:proofErr w:type="spellStart"/>
            <w:r w:rsidRPr="003069B8">
              <w:rPr>
                <w:rFonts w:ascii="Arial Narrow" w:hAnsi="Arial Narrow" w:cs="Calibri"/>
                <w:sz w:val="18"/>
                <w:szCs w:val="18"/>
                <w:lang w:val="es-ES" w:eastAsia="en-GB"/>
              </w:rPr>
              <w:t>Materialet</w:t>
            </w:r>
            <w:proofErr w:type="spellEnd"/>
            <w:r w:rsidRPr="003069B8">
              <w:rPr>
                <w:rFonts w:ascii="Arial Narrow" w:hAnsi="Arial Narrow" w:cs="Calibri"/>
                <w:sz w:val="18"/>
                <w:szCs w:val="18"/>
                <w:lang w:val="es-ES" w:eastAsia="en-GB"/>
              </w:rPr>
              <w:t xml:space="preserve"> e </w:t>
            </w:r>
            <w:proofErr w:type="spellStart"/>
            <w:r w:rsidRPr="003069B8">
              <w:rPr>
                <w:rFonts w:ascii="Arial Narrow" w:hAnsi="Arial Narrow" w:cs="Calibri"/>
                <w:sz w:val="18"/>
                <w:szCs w:val="18"/>
                <w:lang w:val="es-ES" w:eastAsia="en-GB"/>
              </w:rPr>
              <w:t>riciklueshme</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të</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grumbulluara</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ndaras</w:t>
            </w:r>
            <w:proofErr w:type="spellEnd"/>
          </w:p>
        </w:tc>
        <w:tc>
          <w:tcPr>
            <w:tcW w:w="769" w:type="dxa"/>
            <w:shd w:val="clear" w:color="auto" w:fill="auto"/>
            <w:noWrap/>
            <w:tcMar>
              <w:left w:w="58" w:type="dxa"/>
              <w:right w:w="58" w:type="dxa"/>
            </w:tcMar>
            <w:vAlign w:val="bottom"/>
            <w:hideMark/>
          </w:tcPr>
          <w:p w14:paraId="2ECEA19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481AEFB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1,705 t</w:t>
            </w:r>
          </w:p>
        </w:tc>
        <w:tc>
          <w:tcPr>
            <w:tcW w:w="770" w:type="dxa"/>
            <w:shd w:val="clear" w:color="auto" w:fill="auto"/>
            <w:noWrap/>
            <w:tcMar>
              <w:left w:w="58" w:type="dxa"/>
              <w:right w:w="58" w:type="dxa"/>
            </w:tcMar>
            <w:vAlign w:val="bottom"/>
            <w:hideMark/>
          </w:tcPr>
          <w:p w14:paraId="4C6ACD4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1,890 t</w:t>
            </w:r>
          </w:p>
        </w:tc>
        <w:tc>
          <w:tcPr>
            <w:tcW w:w="770" w:type="dxa"/>
            <w:shd w:val="clear" w:color="auto" w:fill="auto"/>
            <w:noWrap/>
            <w:tcMar>
              <w:left w:w="58" w:type="dxa"/>
              <w:right w:w="58" w:type="dxa"/>
            </w:tcMar>
            <w:vAlign w:val="bottom"/>
            <w:hideMark/>
          </w:tcPr>
          <w:p w14:paraId="385193B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2,101 t</w:t>
            </w:r>
          </w:p>
        </w:tc>
        <w:tc>
          <w:tcPr>
            <w:tcW w:w="770" w:type="dxa"/>
            <w:shd w:val="clear" w:color="auto" w:fill="auto"/>
            <w:noWrap/>
            <w:tcMar>
              <w:left w:w="58" w:type="dxa"/>
              <w:right w:w="58" w:type="dxa"/>
            </w:tcMar>
            <w:vAlign w:val="bottom"/>
            <w:hideMark/>
          </w:tcPr>
          <w:p w14:paraId="2C9D213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2,341 t</w:t>
            </w:r>
          </w:p>
        </w:tc>
        <w:tc>
          <w:tcPr>
            <w:tcW w:w="770" w:type="dxa"/>
            <w:shd w:val="clear" w:color="auto" w:fill="auto"/>
            <w:noWrap/>
            <w:tcMar>
              <w:left w:w="58" w:type="dxa"/>
              <w:right w:w="58" w:type="dxa"/>
            </w:tcMar>
            <w:vAlign w:val="bottom"/>
            <w:hideMark/>
          </w:tcPr>
          <w:p w14:paraId="2310CC6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2,612 t</w:t>
            </w:r>
          </w:p>
        </w:tc>
        <w:tc>
          <w:tcPr>
            <w:tcW w:w="770" w:type="dxa"/>
            <w:shd w:val="clear" w:color="auto" w:fill="auto"/>
            <w:noWrap/>
            <w:tcMar>
              <w:left w:w="58" w:type="dxa"/>
              <w:right w:w="58" w:type="dxa"/>
            </w:tcMar>
            <w:vAlign w:val="bottom"/>
            <w:hideMark/>
          </w:tcPr>
          <w:p w14:paraId="567E111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2,910 t</w:t>
            </w:r>
          </w:p>
        </w:tc>
        <w:tc>
          <w:tcPr>
            <w:tcW w:w="770" w:type="dxa"/>
            <w:shd w:val="clear" w:color="auto" w:fill="auto"/>
            <w:noWrap/>
            <w:tcMar>
              <w:left w:w="58" w:type="dxa"/>
              <w:right w:w="58" w:type="dxa"/>
            </w:tcMar>
            <w:vAlign w:val="bottom"/>
            <w:hideMark/>
          </w:tcPr>
          <w:p w14:paraId="3D6357E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3,068 t</w:t>
            </w:r>
          </w:p>
        </w:tc>
        <w:tc>
          <w:tcPr>
            <w:tcW w:w="770" w:type="dxa"/>
            <w:shd w:val="clear" w:color="auto" w:fill="auto"/>
            <w:noWrap/>
            <w:tcMar>
              <w:left w:w="58" w:type="dxa"/>
              <w:right w:w="58" w:type="dxa"/>
            </w:tcMar>
            <w:vAlign w:val="bottom"/>
            <w:hideMark/>
          </w:tcPr>
          <w:p w14:paraId="272F447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3,213 t</w:t>
            </w:r>
          </w:p>
        </w:tc>
        <w:tc>
          <w:tcPr>
            <w:tcW w:w="770" w:type="dxa"/>
            <w:shd w:val="clear" w:color="auto" w:fill="auto"/>
            <w:noWrap/>
            <w:tcMar>
              <w:left w:w="58" w:type="dxa"/>
              <w:right w:w="58" w:type="dxa"/>
            </w:tcMar>
            <w:vAlign w:val="bottom"/>
            <w:hideMark/>
          </w:tcPr>
          <w:p w14:paraId="5B62F22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3,352 t</w:t>
            </w:r>
          </w:p>
        </w:tc>
      </w:tr>
      <w:tr w:rsidR="00721BCE" w:rsidRPr="00721BCE" w14:paraId="6A248F7C" w14:textId="77777777" w:rsidTr="005A2D4D">
        <w:trPr>
          <w:trHeight w:val="290"/>
        </w:trPr>
        <w:tc>
          <w:tcPr>
            <w:tcW w:w="1318" w:type="dxa"/>
            <w:shd w:val="clear" w:color="auto" w:fill="auto"/>
            <w:noWrap/>
            <w:tcMar>
              <w:left w:w="58" w:type="dxa"/>
              <w:right w:w="58" w:type="dxa"/>
            </w:tcMar>
            <w:vAlign w:val="bottom"/>
            <w:hideMark/>
          </w:tcPr>
          <w:p w14:paraId="3F00AB2C" w14:textId="77777777" w:rsidR="00721BCE" w:rsidRPr="003069B8" w:rsidRDefault="00721BCE" w:rsidP="005A2D4D">
            <w:pPr>
              <w:rPr>
                <w:rFonts w:ascii="Arial Narrow" w:hAnsi="Arial Narrow" w:cs="Calibri"/>
                <w:sz w:val="18"/>
                <w:szCs w:val="18"/>
                <w:lang w:val="es-ES" w:eastAsia="en-GB"/>
              </w:rPr>
            </w:pPr>
            <w:proofErr w:type="spellStart"/>
            <w:r w:rsidRPr="003069B8">
              <w:rPr>
                <w:rFonts w:ascii="Arial Narrow" w:hAnsi="Arial Narrow" w:cs="Calibri"/>
                <w:sz w:val="18"/>
                <w:szCs w:val="18"/>
                <w:lang w:val="es-ES" w:eastAsia="en-GB"/>
              </w:rPr>
              <w:t>Mbeturinat</w:t>
            </w:r>
            <w:proofErr w:type="spellEnd"/>
            <w:r w:rsidRPr="003069B8">
              <w:rPr>
                <w:rFonts w:ascii="Arial Narrow" w:hAnsi="Arial Narrow" w:cs="Calibri"/>
                <w:sz w:val="18"/>
                <w:szCs w:val="18"/>
                <w:lang w:val="es-ES" w:eastAsia="en-GB"/>
              </w:rPr>
              <w:t xml:space="preserve"> e </w:t>
            </w:r>
            <w:proofErr w:type="spellStart"/>
            <w:r w:rsidRPr="003069B8">
              <w:rPr>
                <w:rFonts w:ascii="Arial Narrow" w:hAnsi="Arial Narrow" w:cs="Calibri"/>
                <w:sz w:val="18"/>
                <w:szCs w:val="18"/>
                <w:lang w:val="es-ES" w:eastAsia="en-GB"/>
              </w:rPr>
              <w:t>gjelbra</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publike</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të</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kompostuara</w:t>
            </w:r>
            <w:proofErr w:type="spellEnd"/>
            <w:r w:rsidRPr="003069B8">
              <w:rPr>
                <w:rFonts w:ascii="Arial Narrow" w:hAnsi="Arial Narrow" w:cs="Calibri"/>
                <w:sz w:val="18"/>
                <w:szCs w:val="18"/>
                <w:lang w:val="es-ES" w:eastAsia="en-GB"/>
              </w:rPr>
              <w:t xml:space="preserve"> </w:t>
            </w:r>
          </w:p>
        </w:tc>
        <w:tc>
          <w:tcPr>
            <w:tcW w:w="769" w:type="dxa"/>
            <w:shd w:val="clear" w:color="auto" w:fill="auto"/>
            <w:noWrap/>
            <w:tcMar>
              <w:left w:w="58" w:type="dxa"/>
              <w:right w:w="58" w:type="dxa"/>
            </w:tcMar>
            <w:vAlign w:val="bottom"/>
            <w:hideMark/>
          </w:tcPr>
          <w:p w14:paraId="17B39E5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color w:val="FF0000"/>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60CD290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550 t</w:t>
            </w:r>
          </w:p>
        </w:tc>
        <w:tc>
          <w:tcPr>
            <w:tcW w:w="770" w:type="dxa"/>
            <w:shd w:val="clear" w:color="auto" w:fill="auto"/>
            <w:noWrap/>
            <w:tcMar>
              <w:left w:w="58" w:type="dxa"/>
              <w:right w:w="58" w:type="dxa"/>
            </w:tcMar>
            <w:vAlign w:val="bottom"/>
            <w:hideMark/>
          </w:tcPr>
          <w:p w14:paraId="39AC7DD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551 t</w:t>
            </w:r>
          </w:p>
        </w:tc>
        <w:tc>
          <w:tcPr>
            <w:tcW w:w="770" w:type="dxa"/>
            <w:shd w:val="clear" w:color="auto" w:fill="auto"/>
            <w:noWrap/>
            <w:tcMar>
              <w:left w:w="58" w:type="dxa"/>
              <w:right w:w="58" w:type="dxa"/>
            </w:tcMar>
            <w:vAlign w:val="bottom"/>
            <w:hideMark/>
          </w:tcPr>
          <w:p w14:paraId="29654C3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552 t</w:t>
            </w:r>
          </w:p>
        </w:tc>
        <w:tc>
          <w:tcPr>
            <w:tcW w:w="770" w:type="dxa"/>
            <w:shd w:val="clear" w:color="auto" w:fill="auto"/>
            <w:noWrap/>
            <w:tcMar>
              <w:left w:w="58" w:type="dxa"/>
              <w:right w:w="58" w:type="dxa"/>
            </w:tcMar>
            <w:vAlign w:val="bottom"/>
            <w:hideMark/>
          </w:tcPr>
          <w:p w14:paraId="2E29DE6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554 t</w:t>
            </w:r>
          </w:p>
        </w:tc>
        <w:tc>
          <w:tcPr>
            <w:tcW w:w="770" w:type="dxa"/>
            <w:shd w:val="clear" w:color="auto" w:fill="auto"/>
            <w:noWrap/>
            <w:tcMar>
              <w:left w:w="58" w:type="dxa"/>
              <w:right w:w="58" w:type="dxa"/>
            </w:tcMar>
            <w:vAlign w:val="bottom"/>
            <w:hideMark/>
          </w:tcPr>
          <w:p w14:paraId="1745078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554 t</w:t>
            </w:r>
          </w:p>
        </w:tc>
        <w:tc>
          <w:tcPr>
            <w:tcW w:w="770" w:type="dxa"/>
            <w:shd w:val="clear" w:color="auto" w:fill="auto"/>
            <w:noWrap/>
            <w:tcMar>
              <w:left w:w="58" w:type="dxa"/>
              <w:right w:w="58" w:type="dxa"/>
            </w:tcMar>
            <w:vAlign w:val="bottom"/>
            <w:hideMark/>
          </w:tcPr>
          <w:p w14:paraId="4E3DB8A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554 t</w:t>
            </w:r>
          </w:p>
        </w:tc>
        <w:tc>
          <w:tcPr>
            <w:tcW w:w="770" w:type="dxa"/>
            <w:shd w:val="clear" w:color="auto" w:fill="auto"/>
            <w:noWrap/>
            <w:tcMar>
              <w:left w:w="58" w:type="dxa"/>
              <w:right w:w="58" w:type="dxa"/>
            </w:tcMar>
            <w:vAlign w:val="bottom"/>
            <w:hideMark/>
          </w:tcPr>
          <w:p w14:paraId="30E1C1E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555 t</w:t>
            </w:r>
          </w:p>
        </w:tc>
        <w:tc>
          <w:tcPr>
            <w:tcW w:w="770" w:type="dxa"/>
            <w:shd w:val="clear" w:color="auto" w:fill="auto"/>
            <w:noWrap/>
            <w:tcMar>
              <w:left w:w="58" w:type="dxa"/>
              <w:right w:w="58" w:type="dxa"/>
            </w:tcMar>
            <w:vAlign w:val="bottom"/>
            <w:hideMark/>
          </w:tcPr>
          <w:p w14:paraId="5FD774B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555 t</w:t>
            </w:r>
          </w:p>
        </w:tc>
        <w:tc>
          <w:tcPr>
            <w:tcW w:w="770" w:type="dxa"/>
            <w:shd w:val="clear" w:color="auto" w:fill="auto"/>
            <w:noWrap/>
            <w:tcMar>
              <w:left w:w="58" w:type="dxa"/>
              <w:right w:w="58" w:type="dxa"/>
            </w:tcMar>
            <w:vAlign w:val="bottom"/>
            <w:hideMark/>
          </w:tcPr>
          <w:p w14:paraId="67A6194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555 t</w:t>
            </w:r>
          </w:p>
        </w:tc>
      </w:tr>
      <w:tr w:rsidR="00721BCE" w:rsidRPr="00721BCE" w14:paraId="31E49CDC" w14:textId="77777777" w:rsidTr="005A2D4D">
        <w:trPr>
          <w:trHeight w:val="290"/>
        </w:trPr>
        <w:tc>
          <w:tcPr>
            <w:tcW w:w="1318" w:type="dxa"/>
            <w:shd w:val="clear" w:color="auto" w:fill="auto"/>
            <w:noWrap/>
            <w:tcMar>
              <w:left w:w="58" w:type="dxa"/>
              <w:right w:w="58" w:type="dxa"/>
            </w:tcMar>
            <w:vAlign w:val="bottom"/>
            <w:hideMark/>
          </w:tcPr>
          <w:p w14:paraId="17A167F5" w14:textId="77777777" w:rsidR="00721BCE" w:rsidRPr="00721BCE" w:rsidRDefault="00721BCE" w:rsidP="005A2D4D">
            <w:pPr>
              <w:rPr>
                <w:rFonts w:ascii="Arial Narrow" w:hAnsi="Arial Narrow" w:cs="Calibri"/>
                <w:sz w:val="18"/>
                <w:szCs w:val="18"/>
                <w:lang w:val="en-GB" w:eastAsia="en-GB"/>
              </w:rPr>
            </w:pPr>
            <w:proofErr w:type="spellStart"/>
            <w:r w:rsidRPr="00721BCE">
              <w:rPr>
                <w:rFonts w:ascii="Arial Narrow" w:hAnsi="Arial Narrow" w:cs="Calibri"/>
                <w:sz w:val="18"/>
                <w:szCs w:val="18"/>
                <w:lang w:val="en-GB" w:eastAsia="en-GB"/>
              </w:rPr>
              <w:t>Kompostimi</w:t>
            </w:r>
            <w:proofErr w:type="spellEnd"/>
            <w:r w:rsidRPr="00721BCE">
              <w:rPr>
                <w:rFonts w:ascii="Arial Narrow" w:hAnsi="Arial Narrow" w:cs="Calibri"/>
                <w:sz w:val="18"/>
                <w:szCs w:val="18"/>
                <w:lang w:val="en-GB" w:eastAsia="en-GB"/>
              </w:rPr>
              <w:t xml:space="preserve"> </w:t>
            </w:r>
            <w:proofErr w:type="spellStart"/>
            <w:r w:rsidRPr="00721BCE">
              <w:rPr>
                <w:rFonts w:ascii="Arial Narrow" w:hAnsi="Arial Narrow" w:cs="Calibri"/>
                <w:sz w:val="18"/>
                <w:szCs w:val="18"/>
                <w:lang w:val="en-GB" w:eastAsia="en-GB"/>
              </w:rPr>
              <w:t>shtëpiak</w:t>
            </w:r>
            <w:proofErr w:type="spellEnd"/>
          </w:p>
        </w:tc>
        <w:tc>
          <w:tcPr>
            <w:tcW w:w="769" w:type="dxa"/>
            <w:shd w:val="clear" w:color="auto" w:fill="auto"/>
            <w:noWrap/>
            <w:tcMar>
              <w:left w:w="58" w:type="dxa"/>
              <w:right w:w="58" w:type="dxa"/>
            </w:tcMar>
            <w:vAlign w:val="bottom"/>
            <w:hideMark/>
          </w:tcPr>
          <w:p w14:paraId="261DE8A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6473803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97 t</w:t>
            </w:r>
          </w:p>
        </w:tc>
        <w:tc>
          <w:tcPr>
            <w:tcW w:w="770" w:type="dxa"/>
            <w:shd w:val="clear" w:color="auto" w:fill="auto"/>
            <w:noWrap/>
            <w:tcMar>
              <w:left w:w="58" w:type="dxa"/>
              <w:right w:w="58" w:type="dxa"/>
            </w:tcMar>
            <w:vAlign w:val="bottom"/>
            <w:hideMark/>
          </w:tcPr>
          <w:p w14:paraId="3E0BDD7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107 t</w:t>
            </w:r>
          </w:p>
        </w:tc>
        <w:tc>
          <w:tcPr>
            <w:tcW w:w="770" w:type="dxa"/>
            <w:shd w:val="clear" w:color="auto" w:fill="auto"/>
            <w:noWrap/>
            <w:tcMar>
              <w:left w:w="58" w:type="dxa"/>
              <w:right w:w="58" w:type="dxa"/>
            </w:tcMar>
            <w:vAlign w:val="bottom"/>
            <w:hideMark/>
          </w:tcPr>
          <w:p w14:paraId="683BB2E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119 t</w:t>
            </w:r>
          </w:p>
        </w:tc>
        <w:tc>
          <w:tcPr>
            <w:tcW w:w="770" w:type="dxa"/>
            <w:shd w:val="clear" w:color="auto" w:fill="auto"/>
            <w:noWrap/>
            <w:tcMar>
              <w:left w:w="58" w:type="dxa"/>
              <w:right w:w="58" w:type="dxa"/>
            </w:tcMar>
            <w:vAlign w:val="bottom"/>
            <w:hideMark/>
          </w:tcPr>
          <w:p w14:paraId="554B739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132 t</w:t>
            </w:r>
          </w:p>
        </w:tc>
        <w:tc>
          <w:tcPr>
            <w:tcW w:w="770" w:type="dxa"/>
            <w:shd w:val="clear" w:color="auto" w:fill="auto"/>
            <w:noWrap/>
            <w:tcMar>
              <w:left w:w="58" w:type="dxa"/>
              <w:right w:w="58" w:type="dxa"/>
            </w:tcMar>
            <w:vAlign w:val="bottom"/>
            <w:hideMark/>
          </w:tcPr>
          <w:p w14:paraId="4A9DD3E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140 t</w:t>
            </w:r>
          </w:p>
        </w:tc>
        <w:tc>
          <w:tcPr>
            <w:tcW w:w="770" w:type="dxa"/>
            <w:shd w:val="clear" w:color="auto" w:fill="auto"/>
            <w:noWrap/>
            <w:tcMar>
              <w:left w:w="58" w:type="dxa"/>
              <w:right w:w="58" w:type="dxa"/>
            </w:tcMar>
            <w:vAlign w:val="bottom"/>
            <w:hideMark/>
          </w:tcPr>
          <w:p w14:paraId="23D7F8C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795 t</w:t>
            </w:r>
          </w:p>
        </w:tc>
        <w:tc>
          <w:tcPr>
            <w:tcW w:w="770" w:type="dxa"/>
            <w:shd w:val="clear" w:color="auto" w:fill="auto"/>
            <w:noWrap/>
            <w:tcMar>
              <w:left w:w="58" w:type="dxa"/>
              <w:right w:w="58" w:type="dxa"/>
            </w:tcMar>
            <w:vAlign w:val="bottom"/>
            <w:hideMark/>
          </w:tcPr>
          <w:p w14:paraId="2F7091D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908 t</w:t>
            </w:r>
          </w:p>
        </w:tc>
        <w:tc>
          <w:tcPr>
            <w:tcW w:w="770" w:type="dxa"/>
            <w:shd w:val="clear" w:color="auto" w:fill="auto"/>
            <w:noWrap/>
            <w:tcMar>
              <w:left w:w="58" w:type="dxa"/>
              <w:right w:w="58" w:type="dxa"/>
            </w:tcMar>
            <w:vAlign w:val="bottom"/>
            <w:hideMark/>
          </w:tcPr>
          <w:p w14:paraId="0C969B0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1,038 t</w:t>
            </w:r>
          </w:p>
        </w:tc>
        <w:tc>
          <w:tcPr>
            <w:tcW w:w="770" w:type="dxa"/>
            <w:shd w:val="clear" w:color="auto" w:fill="auto"/>
            <w:noWrap/>
            <w:tcMar>
              <w:left w:w="58" w:type="dxa"/>
              <w:right w:w="58" w:type="dxa"/>
            </w:tcMar>
            <w:vAlign w:val="bottom"/>
            <w:hideMark/>
          </w:tcPr>
          <w:p w14:paraId="08C6137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1,120 t</w:t>
            </w:r>
          </w:p>
        </w:tc>
      </w:tr>
      <w:tr w:rsidR="00721BCE" w:rsidRPr="00721BCE" w14:paraId="63EEF716" w14:textId="77777777" w:rsidTr="005A2D4D">
        <w:trPr>
          <w:trHeight w:val="290"/>
        </w:trPr>
        <w:tc>
          <w:tcPr>
            <w:tcW w:w="1318" w:type="dxa"/>
            <w:shd w:val="clear" w:color="auto" w:fill="auto"/>
            <w:noWrap/>
            <w:tcMar>
              <w:left w:w="58" w:type="dxa"/>
              <w:right w:w="58" w:type="dxa"/>
            </w:tcMar>
            <w:vAlign w:val="bottom"/>
            <w:hideMark/>
          </w:tcPr>
          <w:p w14:paraId="2A62705A" w14:textId="77777777" w:rsidR="00721BCE" w:rsidRPr="003069B8" w:rsidRDefault="00721BCE" w:rsidP="005A2D4D">
            <w:pPr>
              <w:rPr>
                <w:rFonts w:ascii="Arial Narrow" w:hAnsi="Arial Narrow" w:cs="Calibri"/>
                <w:sz w:val="18"/>
                <w:szCs w:val="18"/>
                <w:lang w:val="es-ES" w:eastAsia="en-GB"/>
              </w:rPr>
            </w:pPr>
            <w:proofErr w:type="spellStart"/>
            <w:r w:rsidRPr="003069B8">
              <w:rPr>
                <w:rFonts w:ascii="Arial Narrow" w:hAnsi="Arial Narrow" w:cs="Calibri"/>
                <w:sz w:val="18"/>
                <w:szCs w:val="18"/>
                <w:lang w:val="es-ES" w:eastAsia="en-GB"/>
              </w:rPr>
              <w:lastRenderedPageBreak/>
              <w:t>Mbeturinat</w:t>
            </w:r>
            <w:proofErr w:type="spellEnd"/>
            <w:r w:rsidRPr="003069B8">
              <w:rPr>
                <w:rFonts w:ascii="Arial Narrow" w:hAnsi="Arial Narrow" w:cs="Calibri"/>
                <w:sz w:val="18"/>
                <w:szCs w:val="18"/>
                <w:lang w:val="es-ES" w:eastAsia="en-GB"/>
              </w:rPr>
              <w:t xml:space="preserve"> e </w:t>
            </w:r>
            <w:proofErr w:type="spellStart"/>
            <w:r w:rsidRPr="003069B8">
              <w:rPr>
                <w:rFonts w:ascii="Arial Narrow" w:hAnsi="Arial Narrow" w:cs="Calibri"/>
                <w:sz w:val="18"/>
                <w:szCs w:val="18"/>
                <w:lang w:val="es-ES" w:eastAsia="en-GB"/>
              </w:rPr>
              <w:t>përziera</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të</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grumbulluara</w:t>
            </w:r>
            <w:proofErr w:type="spellEnd"/>
          </w:p>
        </w:tc>
        <w:tc>
          <w:tcPr>
            <w:tcW w:w="769" w:type="dxa"/>
            <w:shd w:val="clear" w:color="auto" w:fill="auto"/>
            <w:noWrap/>
            <w:tcMar>
              <w:left w:w="58" w:type="dxa"/>
              <w:right w:w="58" w:type="dxa"/>
            </w:tcMar>
            <w:vAlign w:val="bottom"/>
            <w:hideMark/>
          </w:tcPr>
          <w:p w14:paraId="1D7CEAA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12,281 t</w:t>
            </w:r>
          </w:p>
        </w:tc>
        <w:tc>
          <w:tcPr>
            <w:tcW w:w="769" w:type="dxa"/>
            <w:shd w:val="clear" w:color="auto" w:fill="auto"/>
            <w:noWrap/>
            <w:tcMar>
              <w:left w:w="58" w:type="dxa"/>
              <w:right w:w="58" w:type="dxa"/>
            </w:tcMar>
            <w:vAlign w:val="bottom"/>
            <w:hideMark/>
          </w:tcPr>
          <w:p w14:paraId="5C43378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9,735 t</w:t>
            </w:r>
          </w:p>
        </w:tc>
        <w:tc>
          <w:tcPr>
            <w:tcW w:w="770" w:type="dxa"/>
            <w:shd w:val="clear" w:color="auto" w:fill="auto"/>
            <w:noWrap/>
            <w:tcMar>
              <w:left w:w="58" w:type="dxa"/>
              <w:right w:w="58" w:type="dxa"/>
            </w:tcMar>
            <w:vAlign w:val="bottom"/>
            <w:hideMark/>
          </w:tcPr>
          <w:p w14:paraId="19B6F41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9,572 t</w:t>
            </w:r>
          </w:p>
        </w:tc>
        <w:tc>
          <w:tcPr>
            <w:tcW w:w="770" w:type="dxa"/>
            <w:shd w:val="clear" w:color="auto" w:fill="auto"/>
            <w:noWrap/>
            <w:tcMar>
              <w:left w:w="58" w:type="dxa"/>
              <w:right w:w="58" w:type="dxa"/>
            </w:tcMar>
            <w:vAlign w:val="bottom"/>
            <w:hideMark/>
          </w:tcPr>
          <w:p w14:paraId="1ABFD8D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9,380 t</w:t>
            </w:r>
          </w:p>
        </w:tc>
        <w:tc>
          <w:tcPr>
            <w:tcW w:w="770" w:type="dxa"/>
            <w:shd w:val="clear" w:color="auto" w:fill="auto"/>
            <w:noWrap/>
            <w:tcMar>
              <w:left w:w="58" w:type="dxa"/>
              <w:right w:w="58" w:type="dxa"/>
            </w:tcMar>
            <w:vAlign w:val="bottom"/>
            <w:hideMark/>
          </w:tcPr>
          <w:p w14:paraId="4CEECE4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9,062 t</w:t>
            </w:r>
          </w:p>
        </w:tc>
        <w:tc>
          <w:tcPr>
            <w:tcW w:w="770" w:type="dxa"/>
            <w:shd w:val="clear" w:color="auto" w:fill="auto"/>
            <w:noWrap/>
            <w:tcMar>
              <w:left w:w="58" w:type="dxa"/>
              <w:right w:w="58" w:type="dxa"/>
            </w:tcMar>
            <w:vAlign w:val="bottom"/>
            <w:hideMark/>
          </w:tcPr>
          <w:p w14:paraId="006C64A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8,793 t</w:t>
            </w:r>
          </w:p>
        </w:tc>
        <w:tc>
          <w:tcPr>
            <w:tcW w:w="770" w:type="dxa"/>
            <w:shd w:val="clear" w:color="auto" w:fill="auto"/>
            <w:noWrap/>
            <w:tcMar>
              <w:left w:w="58" w:type="dxa"/>
              <w:right w:w="58" w:type="dxa"/>
            </w:tcMar>
            <w:vAlign w:val="bottom"/>
            <w:hideMark/>
          </w:tcPr>
          <w:p w14:paraId="595DC22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7,409 t</w:t>
            </w:r>
          </w:p>
        </w:tc>
        <w:tc>
          <w:tcPr>
            <w:tcW w:w="770" w:type="dxa"/>
            <w:shd w:val="clear" w:color="auto" w:fill="auto"/>
            <w:noWrap/>
            <w:tcMar>
              <w:left w:w="58" w:type="dxa"/>
              <w:right w:w="58" w:type="dxa"/>
            </w:tcMar>
            <w:vAlign w:val="bottom"/>
            <w:hideMark/>
          </w:tcPr>
          <w:p w14:paraId="7CEEB63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7,143 t</w:t>
            </w:r>
          </w:p>
        </w:tc>
        <w:tc>
          <w:tcPr>
            <w:tcW w:w="770" w:type="dxa"/>
            <w:shd w:val="clear" w:color="auto" w:fill="auto"/>
            <w:noWrap/>
            <w:tcMar>
              <w:left w:w="58" w:type="dxa"/>
              <w:right w:w="58" w:type="dxa"/>
            </w:tcMar>
            <w:vAlign w:val="bottom"/>
            <w:hideMark/>
          </w:tcPr>
          <w:p w14:paraId="6CD2974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6,873 t</w:t>
            </w:r>
          </w:p>
        </w:tc>
        <w:tc>
          <w:tcPr>
            <w:tcW w:w="770" w:type="dxa"/>
            <w:shd w:val="clear" w:color="auto" w:fill="auto"/>
            <w:noWrap/>
            <w:tcMar>
              <w:left w:w="58" w:type="dxa"/>
              <w:right w:w="58" w:type="dxa"/>
            </w:tcMar>
            <w:vAlign w:val="bottom"/>
            <w:hideMark/>
          </w:tcPr>
          <w:p w14:paraId="660188E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6,655 t</w:t>
            </w:r>
          </w:p>
        </w:tc>
      </w:tr>
      <w:tr w:rsidR="00721BCE" w:rsidRPr="00721BCE" w14:paraId="17A3CDE4" w14:textId="77777777" w:rsidTr="005A2D4D">
        <w:trPr>
          <w:trHeight w:val="290"/>
        </w:trPr>
        <w:tc>
          <w:tcPr>
            <w:tcW w:w="1318" w:type="dxa"/>
            <w:shd w:val="clear" w:color="auto" w:fill="auto"/>
            <w:noWrap/>
            <w:tcMar>
              <w:left w:w="58" w:type="dxa"/>
              <w:right w:w="58" w:type="dxa"/>
            </w:tcMar>
            <w:vAlign w:val="bottom"/>
            <w:hideMark/>
          </w:tcPr>
          <w:p w14:paraId="618A0505" w14:textId="77777777" w:rsidR="00721BCE" w:rsidRPr="00721BCE" w:rsidRDefault="00721BCE" w:rsidP="005A2D4D">
            <w:pPr>
              <w:rPr>
                <w:rFonts w:ascii="Arial Narrow" w:hAnsi="Arial Narrow" w:cs="Calibri"/>
                <w:sz w:val="18"/>
                <w:szCs w:val="18"/>
                <w:lang w:val="en-GB" w:eastAsia="en-GB"/>
              </w:rPr>
            </w:pPr>
            <w:proofErr w:type="spellStart"/>
            <w:r w:rsidRPr="00721BCE">
              <w:rPr>
                <w:rFonts w:ascii="Arial Narrow" w:hAnsi="Arial Narrow" w:cs="Calibri"/>
                <w:sz w:val="18"/>
                <w:szCs w:val="18"/>
                <w:lang w:val="en-GB" w:eastAsia="en-GB"/>
              </w:rPr>
              <w:t>Rikuperimi</w:t>
            </w:r>
            <w:proofErr w:type="spellEnd"/>
            <w:r w:rsidRPr="00721BCE">
              <w:rPr>
                <w:rFonts w:ascii="Arial Narrow" w:hAnsi="Arial Narrow" w:cs="Calibri"/>
                <w:sz w:val="18"/>
                <w:szCs w:val="18"/>
                <w:lang w:val="en-GB" w:eastAsia="en-GB"/>
              </w:rPr>
              <w:t xml:space="preserve"> i </w:t>
            </w:r>
            <w:proofErr w:type="spellStart"/>
            <w:r w:rsidRPr="00721BCE">
              <w:rPr>
                <w:rFonts w:ascii="Arial Narrow" w:hAnsi="Arial Narrow" w:cs="Calibri"/>
                <w:sz w:val="18"/>
                <w:szCs w:val="18"/>
                <w:lang w:val="en-GB" w:eastAsia="en-GB"/>
              </w:rPr>
              <w:t>tekstilit</w:t>
            </w:r>
            <w:proofErr w:type="spellEnd"/>
          </w:p>
        </w:tc>
        <w:tc>
          <w:tcPr>
            <w:tcW w:w="769" w:type="dxa"/>
            <w:shd w:val="clear" w:color="auto" w:fill="auto"/>
            <w:noWrap/>
            <w:tcMar>
              <w:left w:w="58" w:type="dxa"/>
              <w:right w:w="58" w:type="dxa"/>
            </w:tcMar>
            <w:vAlign w:val="bottom"/>
            <w:hideMark/>
          </w:tcPr>
          <w:p w14:paraId="06EF7E9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2CD81E4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A0F59B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39F0E6D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69D3C22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92 t</w:t>
            </w:r>
          </w:p>
        </w:tc>
        <w:tc>
          <w:tcPr>
            <w:tcW w:w="770" w:type="dxa"/>
            <w:shd w:val="clear" w:color="auto" w:fill="auto"/>
            <w:noWrap/>
            <w:tcMar>
              <w:left w:w="58" w:type="dxa"/>
              <w:right w:w="58" w:type="dxa"/>
            </w:tcMar>
            <w:vAlign w:val="bottom"/>
            <w:hideMark/>
          </w:tcPr>
          <w:p w14:paraId="7BCC576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105 t</w:t>
            </w:r>
          </w:p>
        </w:tc>
        <w:tc>
          <w:tcPr>
            <w:tcW w:w="770" w:type="dxa"/>
            <w:shd w:val="clear" w:color="auto" w:fill="auto"/>
            <w:noWrap/>
            <w:tcMar>
              <w:left w:w="58" w:type="dxa"/>
              <w:right w:w="58" w:type="dxa"/>
            </w:tcMar>
            <w:vAlign w:val="bottom"/>
            <w:hideMark/>
          </w:tcPr>
          <w:p w14:paraId="69416F8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420 t</w:t>
            </w:r>
          </w:p>
        </w:tc>
        <w:tc>
          <w:tcPr>
            <w:tcW w:w="770" w:type="dxa"/>
            <w:shd w:val="clear" w:color="auto" w:fill="auto"/>
            <w:noWrap/>
            <w:tcMar>
              <w:left w:w="58" w:type="dxa"/>
              <w:right w:w="58" w:type="dxa"/>
            </w:tcMar>
            <w:vAlign w:val="bottom"/>
            <w:hideMark/>
          </w:tcPr>
          <w:p w14:paraId="0E60133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444 t</w:t>
            </w:r>
          </w:p>
        </w:tc>
        <w:tc>
          <w:tcPr>
            <w:tcW w:w="770" w:type="dxa"/>
            <w:shd w:val="clear" w:color="auto" w:fill="auto"/>
            <w:noWrap/>
            <w:tcMar>
              <w:left w:w="58" w:type="dxa"/>
              <w:right w:w="58" w:type="dxa"/>
            </w:tcMar>
            <w:vAlign w:val="bottom"/>
            <w:hideMark/>
          </w:tcPr>
          <w:p w14:paraId="16CDECE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468 t</w:t>
            </w:r>
          </w:p>
        </w:tc>
        <w:tc>
          <w:tcPr>
            <w:tcW w:w="770" w:type="dxa"/>
            <w:shd w:val="clear" w:color="auto" w:fill="auto"/>
            <w:noWrap/>
            <w:tcMar>
              <w:left w:w="58" w:type="dxa"/>
              <w:right w:w="58" w:type="dxa"/>
            </w:tcMar>
            <w:vAlign w:val="bottom"/>
            <w:hideMark/>
          </w:tcPr>
          <w:p w14:paraId="75068ED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495 t</w:t>
            </w:r>
          </w:p>
        </w:tc>
      </w:tr>
      <w:tr w:rsidR="00721BCE" w:rsidRPr="00721BCE" w14:paraId="5B3DA734" w14:textId="77777777" w:rsidTr="005A2D4D">
        <w:trPr>
          <w:trHeight w:val="290"/>
        </w:trPr>
        <w:tc>
          <w:tcPr>
            <w:tcW w:w="1318" w:type="dxa"/>
            <w:shd w:val="clear" w:color="auto" w:fill="auto"/>
            <w:noWrap/>
            <w:tcMar>
              <w:left w:w="58" w:type="dxa"/>
              <w:right w:w="58" w:type="dxa"/>
            </w:tcMar>
            <w:vAlign w:val="bottom"/>
            <w:hideMark/>
          </w:tcPr>
          <w:p w14:paraId="021E6565" w14:textId="77777777" w:rsidR="00721BCE" w:rsidRPr="00721BCE" w:rsidRDefault="00721BCE" w:rsidP="005A2D4D">
            <w:pPr>
              <w:rPr>
                <w:rFonts w:ascii="Arial Narrow" w:hAnsi="Arial Narrow" w:cs="Calibri"/>
                <w:sz w:val="18"/>
                <w:szCs w:val="18"/>
                <w:lang w:val="en-GB" w:eastAsia="en-GB"/>
              </w:rPr>
            </w:pPr>
            <w:proofErr w:type="spellStart"/>
            <w:r w:rsidRPr="00721BCE">
              <w:rPr>
                <w:rFonts w:ascii="Arial Narrow" w:hAnsi="Arial Narrow" w:cs="Calibri"/>
                <w:sz w:val="18"/>
                <w:szCs w:val="18"/>
                <w:lang w:val="en-GB" w:eastAsia="en-GB"/>
              </w:rPr>
              <w:t>Mbeturinat</w:t>
            </w:r>
            <w:proofErr w:type="spellEnd"/>
            <w:r w:rsidRPr="00721BCE">
              <w:rPr>
                <w:rFonts w:ascii="Arial Narrow" w:hAnsi="Arial Narrow" w:cs="Calibri"/>
                <w:sz w:val="18"/>
                <w:szCs w:val="18"/>
                <w:lang w:val="en-GB" w:eastAsia="en-GB"/>
              </w:rPr>
              <w:t xml:space="preserve"> e </w:t>
            </w:r>
            <w:proofErr w:type="spellStart"/>
            <w:r w:rsidRPr="00721BCE">
              <w:rPr>
                <w:rFonts w:ascii="Arial Narrow" w:hAnsi="Arial Narrow" w:cs="Calibri"/>
                <w:sz w:val="18"/>
                <w:szCs w:val="18"/>
                <w:lang w:val="en-GB" w:eastAsia="en-GB"/>
              </w:rPr>
              <w:t>përziera</w:t>
            </w:r>
            <w:proofErr w:type="spellEnd"/>
            <w:r w:rsidRPr="00721BCE">
              <w:rPr>
                <w:rFonts w:ascii="Arial Narrow" w:hAnsi="Arial Narrow" w:cs="Calibri"/>
                <w:sz w:val="18"/>
                <w:szCs w:val="18"/>
                <w:lang w:val="en-GB" w:eastAsia="en-GB"/>
              </w:rPr>
              <w:t xml:space="preserve"> </w:t>
            </w:r>
            <w:proofErr w:type="spellStart"/>
            <w:r w:rsidRPr="00721BCE">
              <w:rPr>
                <w:rFonts w:ascii="Arial Narrow" w:hAnsi="Arial Narrow" w:cs="Calibri"/>
                <w:sz w:val="18"/>
                <w:szCs w:val="18"/>
                <w:lang w:val="en-GB" w:eastAsia="en-GB"/>
              </w:rPr>
              <w:t>për</w:t>
            </w:r>
            <w:proofErr w:type="spellEnd"/>
            <w:r w:rsidRPr="00721BCE">
              <w:rPr>
                <w:rFonts w:ascii="Arial Narrow" w:hAnsi="Arial Narrow" w:cs="Calibri"/>
                <w:sz w:val="18"/>
                <w:szCs w:val="18"/>
                <w:lang w:val="en-GB" w:eastAsia="en-GB"/>
              </w:rPr>
              <w:t xml:space="preserve"> </w:t>
            </w:r>
            <w:proofErr w:type="spellStart"/>
            <w:r w:rsidRPr="00721BCE">
              <w:rPr>
                <w:rFonts w:ascii="Arial Narrow" w:hAnsi="Arial Narrow" w:cs="Calibri"/>
                <w:sz w:val="18"/>
                <w:szCs w:val="18"/>
                <w:lang w:val="en-GB" w:eastAsia="en-GB"/>
              </w:rPr>
              <w:t>trajtim</w:t>
            </w:r>
            <w:proofErr w:type="spellEnd"/>
            <w:r w:rsidRPr="00721BCE">
              <w:rPr>
                <w:rFonts w:ascii="Arial Narrow" w:hAnsi="Arial Narrow" w:cs="Calibri"/>
                <w:sz w:val="18"/>
                <w:szCs w:val="18"/>
                <w:lang w:val="en-GB" w:eastAsia="en-GB"/>
              </w:rPr>
              <w:t xml:space="preserve"> </w:t>
            </w:r>
            <w:proofErr w:type="spellStart"/>
            <w:r w:rsidRPr="00721BCE">
              <w:rPr>
                <w:rFonts w:ascii="Arial Narrow" w:hAnsi="Arial Narrow" w:cs="Calibri"/>
                <w:sz w:val="18"/>
                <w:szCs w:val="18"/>
                <w:lang w:val="en-GB" w:eastAsia="en-GB"/>
              </w:rPr>
              <w:t>në</w:t>
            </w:r>
            <w:proofErr w:type="spellEnd"/>
            <w:r w:rsidRPr="00721BCE">
              <w:rPr>
                <w:rFonts w:ascii="Arial Narrow" w:hAnsi="Arial Narrow" w:cs="Calibri"/>
                <w:sz w:val="18"/>
                <w:szCs w:val="18"/>
                <w:lang w:val="en-GB" w:eastAsia="en-GB"/>
              </w:rPr>
              <w:t xml:space="preserve"> TMB</w:t>
            </w:r>
          </w:p>
        </w:tc>
        <w:tc>
          <w:tcPr>
            <w:tcW w:w="769" w:type="dxa"/>
            <w:shd w:val="clear" w:color="auto" w:fill="auto"/>
            <w:noWrap/>
            <w:tcMar>
              <w:left w:w="58" w:type="dxa"/>
              <w:right w:w="58" w:type="dxa"/>
            </w:tcMar>
            <w:vAlign w:val="bottom"/>
            <w:hideMark/>
          </w:tcPr>
          <w:p w14:paraId="632484B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0B03729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1E4EDD4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528A990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2A1E2F1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63003A2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1AC3ACA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7,409 t</w:t>
            </w:r>
          </w:p>
        </w:tc>
        <w:tc>
          <w:tcPr>
            <w:tcW w:w="770" w:type="dxa"/>
            <w:shd w:val="clear" w:color="auto" w:fill="auto"/>
            <w:noWrap/>
            <w:tcMar>
              <w:left w:w="58" w:type="dxa"/>
              <w:right w:w="58" w:type="dxa"/>
            </w:tcMar>
            <w:vAlign w:val="bottom"/>
            <w:hideMark/>
          </w:tcPr>
          <w:p w14:paraId="5FC27AB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7,143 t</w:t>
            </w:r>
          </w:p>
        </w:tc>
        <w:tc>
          <w:tcPr>
            <w:tcW w:w="770" w:type="dxa"/>
            <w:shd w:val="clear" w:color="auto" w:fill="auto"/>
            <w:noWrap/>
            <w:tcMar>
              <w:left w:w="58" w:type="dxa"/>
              <w:right w:w="58" w:type="dxa"/>
            </w:tcMar>
            <w:vAlign w:val="bottom"/>
            <w:hideMark/>
          </w:tcPr>
          <w:p w14:paraId="42EBDE8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6,873 t</w:t>
            </w:r>
          </w:p>
        </w:tc>
        <w:tc>
          <w:tcPr>
            <w:tcW w:w="770" w:type="dxa"/>
            <w:shd w:val="clear" w:color="auto" w:fill="auto"/>
            <w:noWrap/>
            <w:tcMar>
              <w:left w:w="58" w:type="dxa"/>
              <w:right w:w="58" w:type="dxa"/>
            </w:tcMar>
            <w:vAlign w:val="bottom"/>
            <w:hideMark/>
          </w:tcPr>
          <w:p w14:paraId="6DC5E06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6,655 t</w:t>
            </w:r>
          </w:p>
        </w:tc>
      </w:tr>
      <w:tr w:rsidR="00721BCE" w:rsidRPr="00721BCE" w14:paraId="52DFF548" w14:textId="77777777" w:rsidTr="005A2D4D">
        <w:trPr>
          <w:trHeight w:val="290"/>
        </w:trPr>
        <w:tc>
          <w:tcPr>
            <w:tcW w:w="1318" w:type="dxa"/>
            <w:shd w:val="clear" w:color="auto" w:fill="auto"/>
            <w:noWrap/>
            <w:tcMar>
              <w:left w:w="58" w:type="dxa"/>
              <w:right w:w="58" w:type="dxa"/>
            </w:tcMar>
            <w:vAlign w:val="bottom"/>
            <w:hideMark/>
          </w:tcPr>
          <w:p w14:paraId="6744581F"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Mbeturinat ushqimore për trajtim në kontejnerë të specializuar</w:t>
            </w:r>
          </w:p>
        </w:tc>
        <w:tc>
          <w:tcPr>
            <w:tcW w:w="769" w:type="dxa"/>
            <w:shd w:val="clear" w:color="auto" w:fill="auto"/>
            <w:noWrap/>
            <w:tcMar>
              <w:left w:w="58" w:type="dxa"/>
              <w:right w:w="58" w:type="dxa"/>
            </w:tcMar>
            <w:vAlign w:val="bottom"/>
            <w:hideMark/>
          </w:tcPr>
          <w:p w14:paraId="43F57C1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3BA7897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2550F8F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2E6BDCB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AFE5EA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0B81D2C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0E81143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138 t</w:t>
            </w:r>
          </w:p>
        </w:tc>
        <w:tc>
          <w:tcPr>
            <w:tcW w:w="770" w:type="dxa"/>
            <w:shd w:val="clear" w:color="auto" w:fill="auto"/>
            <w:noWrap/>
            <w:tcMar>
              <w:left w:w="58" w:type="dxa"/>
              <w:right w:w="58" w:type="dxa"/>
            </w:tcMar>
            <w:vAlign w:val="bottom"/>
            <w:hideMark/>
          </w:tcPr>
          <w:p w14:paraId="08F11A4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153 t</w:t>
            </w:r>
          </w:p>
        </w:tc>
        <w:tc>
          <w:tcPr>
            <w:tcW w:w="770" w:type="dxa"/>
            <w:shd w:val="clear" w:color="auto" w:fill="auto"/>
            <w:noWrap/>
            <w:tcMar>
              <w:left w:w="58" w:type="dxa"/>
              <w:right w:w="58" w:type="dxa"/>
            </w:tcMar>
            <w:vAlign w:val="bottom"/>
            <w:hideMark/>
          </w:tcPr>
          <w:p w14:paraId="24892A1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170 t</w:t>
            </w:r>
          </w:p>
        </w:tc>
        <w:tc>
          <w:tcPr>
            <w:tcW w:w="770" w:type="dxa"/>
            <w:shd w:val="clear" w:color="auto" w:fill="auto"/>
            <w:noWrap/>
            <w:tcMar>
              <w:left w:w="58" w:type="dxa"/>
              <w:right w:w="58" w:type="dxa"/>
            </w:tcMar>
            <w:vAlign w:val="bottom"/>
            <w:hideMark/>
          </w:tcPr>
          <w:p w14:paraId="3D21C06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188 t</w:t>
            </w:r>
          </w:p>
        </w:tc>
      </w:tr>
      <w:tr w:rsidR="00721BCE" w:rsidRPr="00721BCE" w14:paraId="0FDAD6CE" w14:textId="77777777" w:rsidTr="005A2D4D">
        <w:trPr>
          <w:trHeight w:val="290"/>
        </w:trPr>
        <w:tc>
          <w:tcPr>
            <w:tcW w:w="1318" w:type="dxa"/>
            <w:shd w:val="clear" w:color="auto" w:fill="auto"/>
            <w:noWrap/>
            <w:tcMar>
              <w:left w:w="58" w:type="dxa"/>
              <w:right w:w="58" w:type="dxa"/>
            </w:tcMar>
            <w:vAlign w:val="bottom"/>
            <w:hideMark/>
          </w:tcPr>
          <w:p w14:paraId="74D1A345"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Papastërtitë nga klasifikimi në deponi</w:t>
            </w:r>
          </w:p>
        </w:tc>
        <w:tc>
          <w:tcPr>
            <w:tcW w:w="769" w:type="dxa"/>
            <w:shd w:val="clear" w:color="auto" w:fill="auto"/>
            <w:noWrap/>
            <w:tcMar>
              <w:left w:w="58" w:type="dxa"/>
              <w:right w:w="58" w:type="dxa"/>
            </w:tcMar>
            <w:vAlign w:val="bottom"/>
            <w:hideMark/>
          </w:tcPr>
          <w:p w14:paraId="29717F4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022CD8A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256 t</w:t>
            </w:r>
          </w:p>
        </w:tc>
        <w:tc>
          <w:tcPr>
            <w:tcW w:w="770" w:type="dxa"/>
            <w:shd w:val="clear" w:color="auto" w:fill="auto"/>
            <w:noWrap/>
            <w:tcMar>
              <w:left w:w="58" w:type="dxa"/>
              <w:right w:w="58" w:type="dxa"/>
            </w:tcMar>
            <w:vAlign w:val="bottom"/>
            <w:hideMark/>
          </w:tcPr>
          <w:p w14:paraId="0D8157C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284 t</w:t>
            </w:r>
          </w:p>
        </w:tc>
        <w:tc>
          <w:tcPr>
            <w:tcW w:w="770" w:type="dxa"/>
            <w:shd w:val="clear" w:color="auto" w:fill="auto"/>
            <w:noWrap/>
            <w:tcMar>
              <w:left w:w="58" w:type="dxa"/>
              <w:right w:w="58" w:type="dxa"/>
            </w:tcMar>
            <w:vAlign w:val="bottom"/>
            <w:hideMark/>
          </w:tcPr>
          <w:p w14:paraId="3611AC4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315 t</w:t>
            </w:r>
          </w:p>
        </w:tc>
        <w:tc>
          <w:tcPr>
            <w:tcW w:w="770" w:type="dxa"/>
            <w:shd w:val="clear" w:color="auto" w:fill="auto"/>
            <w:noWrap/>
            <w:tcMar>
              <w:left w:w="58" w:type="dxa"/>
              <w:right w:w="58" w:type="dxa"/>
            </w:tcMar>
            <w:vAlign w:val="bottom"/>
            <w:hideMark/>
          </w:tcPr>
          <w:p w14:paraId="5F0B5D6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351 t</w:t>
            </w:r>
          </w:p>
        </w:tc>
        <w:tc>
          <w:tcPr>
            <w:tcW w:w="770" w:type="dxa"/>
            <w:shd w:val="clear" w:color="auto" w:fill="auto"/>
            <w:noWrap/>
            <w:tcMar>
              <w:left w:w="58" w:type="dxa"/>
              <w:right w:w="58" w:type="dxa"/>
            </w:tcMar>
            <w:vAlign w:val="bottom"/>
            <w:hideMark/>
          </w:tcPr>
          <w:p w14:paraId="520C614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392 t</w:t>
            </w:r>
          </w:p>
        </w:tc>
        <w:tc>
          <w:tcPr>
            <w:tcW w:w="770" w:type="dxa"/>
            <w:shd w:val="clear" w:color="auto" w:fill="auto"/>
            <w:noWrap/>
            <w:tcMar>
              <w:left w:w="58" w:type="dxa"/>
              <w:right w:w="58" w:type="dxa"/>
            </w:tcMar>
            <w:vAlign w:val="bottom"/>
            <w:hideMark/>
          </w:tcPr>
          <w:p w14:paraId="3FFC1D6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436 t</w:t>
            </w:r>
          </w:p>
        </w:tc>
        <w:tc>
          <w:tcPr>
            <w:tcW w:w="770" w:type="dxa"/>
            <w:shd w:val="clear" w:color="auto" w:fill="auto"/>
            <w:noWrap/>
            <w:tcMar>
              <w:left w:w="58" w:type="dxa"/>
              <w:right w:w="58" w:type="dxa"/>
            </w:tcMar>
            <w:vAlign w:val="bottom"/>
            <w:hideMark/>
          </w:tcPr>
          <w:p w14:paraId="4601F9D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460 t</w:t>
            </w:r>
          </w:p>
        </w:tc>
        <w:tc>
          <w:tcPr>
            <w:tcW w:w="770" w:type="dxa"/>
            <w:shd w:val="clear" w:color="auto" w:fill="auto"/>
            <w:noWrap/>
            <w:tcMar>
              <w:left w:w="58" w:type="dxa"/>
              <w:right w:w="58" w:type="dxa"/>
            </w:tcMar>
            <w:vAlign w:val="bottom"/>
            <w:hideMark/>
          </w:tcPr>
          <w:p w14:paraId="54DAE17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482 t</w:t>
            </w:r>
          </w:p>
        </w:tc>
        <w:tc>
          <w:tcPr>
            <w:tcW w:w="770" w:type="dxa"/>
            <w:shd w:val="clear" w:color="auto" w:fill="auto"/>
            <w:noWrap/>
            <w:tcMar>
              <w:left w:w="58" w:type="dxa"/>
              <w:right w:w="58" w:type="dxa"/>
            </w:tcMar>
            <w:vAlign w:val="bottom"/>
            <w:hideMark/>
          </w:tcPr>
          <w:p w14:paraId="6C08275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503 t</w:t>
            </w:r>
          </w:p>
        </w:tc>
      </w:tr>
      <w:tr w:rsidR="00721BCE" w:rsidRPr="00721BCE" w14:paraId="0AD797CD" w14:textId="77777777" w:rsidTr="005A2D4D">
        <w:trPr>
          <w:trHeight w:val="290"/>
        </w:trPr>
        <w:tc>
          <w:tcPr>
            <w:tcW w:w="1318" w:type="dxa"/>
            <w:shd w:val="clear" w:color="auto" w:fill="auto"/>
            <w:noWrap/>
            <w:tcMar>
              <w:left w:w="58" w:type="dxa"/>
              <w:right w:w="58" w:type="dxa"/>
            </w:tcMar>
            <w:vAlign w:val="bottom"/>
            <w:hideMark/>
          </w:tcPr>
          <w:p w14:paraId="596F6358"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Përzierjet nga TMB në deponi</w:t>
            </w:r>
          </w:p>
        </w:tc>
        <w:tc>
          <w:tcPr>
            <w:tcW w:w="769" w:type="dxa"/>
            <w:shd w:val="clear" w:color="auto" w:fill="auto"/>
            <w:noWrap/>
            <w:tcMar>
              <w:left w:w="58" w:type="dxa"/>
              <w:right w:w="58" w:type="dxa"/>
            </w:tcMar>
            <w:vAlign w:val="bottom"/>
            <w:hideMark/>
          </w:tcPr>
          <w:p w14:paraId="2142FDE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2212BBE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43BFE0A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331ABFB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243A714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119874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B68066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1,867 t</w:t>
            </w:r>
          </w:p>
        </w:tc>
        <w:tc>
          <w:tcPr>
            <w:tcW w:w="770" w:type="dxa"/>
            <w:shd w:val="clear" w:color="auto" w:fill="auto"/>
            <w:noWrap/>
            <w:tcMar>
              <w:left w:w="58" w:type="dxa"/>
              <w:right w:w="58" w:type="dxa"/>
            </w:tcMar>
            <w:vAlign w:val="bottom"/>
            <w:hideMark/>
          </w:tcPr>
          <w:p w14:paraId="60CBC78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1,808 t</w:t>
            </w:r>
          </w:p>
        </w:tc>
        <w:tc>
          <w:tcPr>
            <w:tcW w:w="770" w:type="dxa"/>
            <w:shd w:val="clear" w:color="auto" w:fill="auto"/>
            <w:noWrap/>
            <w:tcMar>
              <w:left w:w="58" w:type="dxa"/>
              <w:right w:w="58" w:type="dxa"/>
            </w:tcMar>
            <w:vAlign w:val="bottom"/>
            <w:hideMark/>
          </w:tcPr>
          <w:p w14:paraId="04B2AC5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1,745 t</w:t>
            </w:r>
          </w:p>
        </w:tc>
        <w:tc>
          <w:tcPr>
            <w:tcW w:w="770" w:type="dxa"/>
            <w:shd w:val="clear" w:color="auto" w:fill="auto"/>
            <w:noWrap/>
            <w:tcMar>
              <w:left w:w="58" w:type="dxa"/>
              <w:right w:w="58" w:type="dxa"/>
            </w:tcMar>
            <w:vAlign w:val="bottom"/>
            <w:hideMark/>
          </w:tcPr>
          <w:p w14:paraId="55892ED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1,693 t</w:t>
            </w:r>
          </w:p>
        </w:tc>
      </w:tr>
      <w:tr w:rsidR="00721BCE" w:rsidRPr="00721BCE" w14:paraId="61A2D9DB" w14:textId="77777777" w:rsidTr="005A2D4D">
        <w:trPr>
          <w:trHeight w:val="300"/>
        </w:trPr>
        <w:tc>
          <w:tcPr>
            <w:tcW w:w="1318" w:type="dxa"/>
            <w:shd w:val="clear" w:color="auto" w:fill="auto"/>
            <w:noWrap/>
            <w:tcMar>
              <w:left w:w="58" w:type="dxa"/>
              <w:right w:w="58" w:type="dxa"/>
            </w:tcMar>
            <w:vAlign w:val="bottom"/>
            <w:hideMark/>
          </w:tcPr>
          <w:p w14:paraId="0BE739D7" w14:textId="77777777" w:rsidR="00721BCE" w:rsidRPr="00721BCE" w:rsidRDefault="00721BCE" w:rsidP="005A2D4D">
            <w:pPr>
              <w:rPr>
                <w:rFonts w:ascii="Arial Narrow" w:hAnsi="Arial Narrow" w:cs="Calibri"/>
                <w:sz w:val="18"/>
                <w:szCs w:val="18"/>
                <w:lang w:val="en-GB" w:eastAsia="en-GB"/>
              </w:rPr>
            </w:pPr>
            <w:proofErr w:type="spellStart"/>
            <w:r w:rsidRPr="00721BCE">
              <w:rPr>
                <w:rFonts w:ascii="Arial Narrow" w:hAnsi="Arial Narrow" w:cs="Calibri"/>
                <w:sz w:val="18"/>
                <w:szCs w:val="18"/>
                <w:lang w:val="en-GB" w:eastAsia="en-GB"/>
              </w:rPr>
              <w:t>Mbeturinat</w:t>
            </w:r>
            <w:proofErr w:type="spellEnd"/>
            <w:r w:rsidRPr="00721BCE">
              <w:rPr>
                <w:rFonts w:ascii="Arial Narrow" w:hAnsi="Arial Narrow" w:cs="Calibri"/>
                <w:sz w:val="18"/>
                <w:szCs w:val="18"/>
                <w:lang w:val="en-GB" w:eastAsia="en-GB"/>
              </w:rPr>
              <w:t xml:space="preserve"> e </w:t>
            </w:r>
            <w:proofErr w:type="spellStart"/>
            <w:r w:rsidRPr="00721BCE">
              <w:rPr>
                <w:rFonts w:ascii="Arial Narrow" w:hAnsi="Arial Narrow" w:cs="Calibri"/>
                <w:sz w:val="18"/>
                <w:szCs w:val="18"/>
                <w:lang w:val="en-GB" w:eastAsia="en-GB"/>
              </w:rPr>
              <w:t>deponuara</w:t>
            </w:r>
            <w:proofErr w:type="spellEnd"/>
            <w:r w:rsidRPr="00721BCE">
              <w:rPr>
                <w:rFonts w:ascii="Arial Narrow" w:hAnsi="Arial Narrow" w:cs="Calibri"/>
                <w:sz w:val="18"/>
                <w:szCs w:val="18"/>
                <w:lang w:val="en-GB" w:eastAsia="en-GB"/>
              </w:rPr>
              <w:t xml:space="preserve"> </w:t>
            </w:r>
            <w:proofErr w:type="spellStart"/>
            <w:r w:rsidRPr="00721BCE">
              <w:rPr>
                <w:rFonts w:ascii="Arial Narrow" w:hAnsi="Arial Narrow" w:cs="Calibri"/>
                <w:sz w:val="18"/>
                <w:szCs w:val="18"/>
                <w:lang w:val="en-GB" w:eastAsia="en-GB"/>
              </w:rPr>
              <w:t>në</w:t>
            </w:r>
            <w:proofErr w:type="spellEnd"/>
            <w:r w:rsidRPr="00721BCE">
              <w:rPr>
                <w:rFonts w:ascii="Arial Narrow" w:hAnsi="Arial Narrow" w:cs="Calibri"/>
                <w:sz w:val="18"/>
                <w:szCs w:val="18"/>
                <w:lang w:val="en-GB" w:eastAsia="en-GB"/>
              </w:rPr>
              <w:t xml:space="preserve"> </w:t>
            </w:r>
            <w:proofErr w:type="spellStart"/>
            <w:r w:rsidRPr="00721BCE">
              <w:rPr>
                <w:rFonts w:ascii="Arial Narrow" w:hAnsi="Arial Narrow" w:cs="Calibri"/>
                <w:sz w:val="18"/>
                <w:szCs w:val="18"/>
                <w:lang w:val="en-GB" w:eastAsia="en-GB"/>
              </w:rPr>
              <w:t>deponi</w:t>
            </w:r>
            <w:proofErr w:type="spellEnd"/>
          </w:p>
        </w:tc>
        <w:tc>
          <w:tcPr>
            <w:tcW w:w="769" w:type="dxa"/>
            <w:shd w:val="clear" w:color="auto" w:fill="auto"/>
            <w:noWrap/>
            <w:tcMar>
              <w:left w:w="58" w:type="dxa"/>
              <w:right w:w="58" w:type="dxa"/>
            </w:tcMar>
            <w:vAlign w:val="bottom"/>
            <w:hideMark/>
          </w:tcPr>
          <w:p w14:paraId="40A2A09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12,281 t</w:t>
            </w:r>
          </w:p>
        </w:tc>
        <w:tc>
          <w:tcPr>
            <w:tcW w:w="769" w:type="dxa"/>
            <w:shd w:val="clear" w:color="auto" w:fill="auto"/>
            <w:noWrap/>
            <w:tcMar>
              <w:left w:w="58" w:type="dxa"/>
              <w:right w:w="58" w:type="dxa"/>
            </w:tcMar>
            <w:vAlign w:val="bottom"/>
            <w:hideMark/>
          </w:tcPr>
          <w:p w14:paraId="39F745C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9,991 t</w:t>
            </w:r>
          </w:p>
        </w:tc>
        <w:tc>
          <w:tcPr>
            <w:tcW w:w="770" w:type="dxa"/>
            <w:shd w:val="clear" w:color="auto" w:fill="auto"/>
            <w:noWrap/>
            <w:tcMar>
              <w:left w:w="58" w:type="dxa"/>
              <w:right w:w="58" w:type="dxa"/>
            </w:tcMar>
            <w:vAlign w:val="bottom"/>
            <w:hideMark/>
          </w:tcPr>
          <w:p w14:paraId="5E3DA2D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9,855 t</w:t>
            </w:r>
          </w:p>
        </w:tc>
        <w:tc>
          <w:tcPr>
            <w:tcW w:w="770" w:type="dxa"/>
            <w:shd w:val="clear" w:color="auto" w:fill="auto"/>
            <w:noWrap/>
            <w:tcMar>
              <w:left w:w="58" w:type="dxa"/>
              <w:right w:w="58" w:type="dxa"/>
            </w:tcMar>
            <w:vAlign w:val="bottom"/>
            <w:hideMark/>
          </w:tcPr>
          <w:p w14:paraId="7D9DC68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9,695 t</w:t>
            </w:r>
          </w:p>
        </w:tc>
        <w:tc>
          <w:tcPr>
            <w:tcW w:w="770" w:type="dxa"/>
            <w:shd w:val="clear" w:color="auto" w:fill="auto"/>
            <w:noWrap/>
            <w:tcMar>
              <w:left w:w="58" w:type="dxa"/>
              <w:right w:w="58" w:type="dxa"/>
            </w:tcMar>
            <w:vAlign w:val="bottom"/>
            <w:hideMark/>
          </w:tcPr>
          <w:p w14:paraId="28D55B5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9,413 t</w:t>
            </w:r>
          </w:p>
        </w:tc>
        <w:tc>
          <w:tcPr>
            <w:tcW w:w="770" w:type="dxa"/>
            <w:shd w:val="clear" w:color="auto" w:fill="auto"/>
            <w:noWrap/>
            <w:tcMar>
              <w:left w:w="58" w:type="dxa"/>
              <w:right w:w="58" w:type="dxa"/>
            </w:tcMar>
            <w:vAlign w:val="bottom"/>
            <w:hideMark/>
          </w:tcPr>
          <w:p w14:paraId="1C1E0B0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9,185 t</w:t>
            </w:r>
          </w:p>
        </w:tc>
        <w:tc>
          <w:tcPr>
            <w:tcW w:w="770" w:type="dxa"/>
            <w:shd w:val="clear" w:color="auto" w:fill="auto"/>
            <w:noWrap/>
            <w:tcMar>
              <w:left w:w="58" w:type="dxa"/>
              <w:right w:w="58" w:type="dxa"/>
            </w:tcMar>
            <w:vAlign w:val="bottom"/>
            <w:hideMark/>
          </w:tcPr>
          <w:p w14:paraId="4799A6A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6C9BBE8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2DE8CA5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56A70CC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r>
      <w:bookmarkEnd w:id="719"/>
    </w:tbl>
    <w:p w14:paraId="614B8370" w14:textId="77777777" w:rsidR="007D1EDC" w:rsidRPr="007D1EDC" w:rsidRDefault="007D1EDC" w:rsidP="007D1EDC">
      <w:pPr>
        <w:rPr>
          <w:rFonts w:ascii="Aptos" w:eastAsia="Aptos" w:hAnsi="Aptos"/>
          <w:kern w:val="2"/>
          <w:sz w:val="22"/>
          <w:szCs w:val="22"/>
          <w:lang w:val="en-GB"/>
          <w14:ligatures w14:val="standardContextual"/>
        </w:rPr>
      </w:pPr>
    </w:p>
    <w:p w14:paraId="28FE4BA9" w14:textId="566D942C" w:rsidR="007D1EDC" w:rsidRPr="007D1EDC" w:rsidRDefault="007D1EDC" w:rsidP="007D1EDC">
      <w:pPr>
        <w:suppressAutoHyphens/>
        <w:rPr>
          <w:rFonts w:ascii="Arial Narrow" w:eastAsia="Calibri" w:hAnsi="Arial Narrow" w:cs="Calibri"/>
          <w:color w:val="1F497D"/>
          <w:sz w:val="20"/>
          <w:szCs w:val="20"/>
        </w:rPr>
      </w:pPr>
      <w:bookmarkStart w:id="720" w:name="_Toc190966804"/>
      <w:bookmarkStart w:id="721" w:name="_Toc197472301"/>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116. </w:t>
      </w:r>
      <w:r w:rsidRPr="007D1EDC">
        <w:rPr>
          <w:rFonts w:ascii="Arial Narrow" w:eastAsia="Calibri" w:hAnsi="Arial Narrow" w:cs="Calibri"/>
          <w:color w:val="1F497D"/>
          <w:sz w:val="20"/>
          <w:szCs w:val="20"/>
        </w:rPr>
        <w:fldChar w:fldCharType="end"/>
      </w:r>
      <w:bookmarkEnd w:id="720"/>
      <w:r w:rsidR="00721BCE" w:rsidRPr="00721BCE">
        <w:rPr>
          <w:rFonts w:ascii="Arial Narrow" w:eastAsia="Calibri" w:hAnsi="Arial Narrow" w:cs="Calibri"/>
          <w:color w:val="1F497D"/>
          <w:sz w:val="20"/>
          <w:szCs w:val="20"/>
        </w:rPr>
        <w:t xml:space="preserve"> </w:t>
      </w:r>
      <w:r w:rsidR="00721BCE" w:rsidRPr="007D1EDC">
        <w:rPr>
          <w:rFonts w:ascii="Arial Narrow" w:eastAsia="Calibri" w:hAnsi="Arial Narrow" w:cs="Calibri"/>
          <w:color w:val="1F497D"/>
          <w:sz w:val="20"/>
          <w:szCs w:val="20"/>
        </w:rPr>
        <w:t>B</w:t>
      </w:r>
      <w:r w:rsidR="00721BCE">
        <w:rPr>
          <w:rFonts w:ascii="Arial Narrow" w:eastAsia="Calibri" w:hAnsi="Arial Narrow" w:cs="Calibri"/>
          <w:color w:val="1F497D"/>
          <w:sz w:val="20"/>
          <w:szCs w:val="20"/>
        </w:rPr>
        <w:t>a</w:t>
      </w:r>
      <w:r w:rsidR="00721BCE" w:rsidRPr="007D1EDC">
        <w:rPr>
          <w:rFonts w:ascii="Arial Narrow" w:eastAsia="Calibri" w:hAnsi="Arial Narrow" w:cs="Calibri"/>
          <w:color w:val="1F497D"/>
          <w:sz w:val="20"/>
          <w:szCs w:val="20"/>
        </w:rPr>
        <w:t>lanc</w:t>
      </w:r>
      <w:r w:rsidR="00721BCE">
        <w:rPr>
          <w:rFonts w:ascii="Arial Narrow" w:eastAsia="Calibri" w:hAnsi="Arial Narrow" w:cs="Calibri"/>
          <w:color w:val="1F497D"/>
          <w:sz w:val="20"/>
          <w:szCs w:val="20"/>
        </w:rPr>
        <w:t>a</w:t>
      </w:r>
      <w:r w:rsidR="00721BCE" w:rsidRPr="007D1EDC">
        <w:rPr>
          <w:rFonts w:ascii="Arial Narrow" w:eastAsia="Calibri" w:hAnsi="Arial Narrow" w:cs="Calibri"/>
          <w:color w:val="1F497D"/>
          <w:sz w:val="20"/>
          <w:szCs w:val="20"/>
        </w:rPr>
        <w:t xml:space="preserve"> </w:t>
      </w:r>
      <w:r w:rsidR="00721BCE">
        <w:rPr>
          <w:rFonts w:ascii="Arial Narrow" w:eastAsia="Calibri" w:hAnsi="Arial Narrow" w:cs="Calibri"/>
          <w:color w:val="1F497D"/>
          <w:sz w:val="20"/>
          <w:szCs w:val="20"/>
        </w:rPr>
        <w:t>e përgjithshme/</w:t>
      </w:r>
      <w:r w:rsidR="00721BCE" w:rsidRPr="007D1EDC">
        <w:rPr>
          <w:rFonts w:ascii="Arial Narrow" w:eastAsia="Calibri" w:hAnsi="Arial Narrow" w:cs="Calibri"/>
          <w:color w:val="1F497D"/>
          <w:sz w:val="20"/>
          <w:szCs w:val="20"/>
        </w:rPr>
        <w:t xml:space="preserve">masës së mbeturinave </w:t>
      </w:r>
      <w:r w:rsidR="00721BCE">
        <w:rPr>
          <w:rFonts w:ascii="Arial Narrow" w:eastAsia="Calibri" w:hAnsi="Arial Narrow" w:cs="Calibri"/>
          <w:color w:val="1F497D"/>
          <w:sz w:val="20"/>
          <w:szCs w:val="20"/>
        </w:rPr>
        <w:t>në</w:t>
      </w:r>
      <w:r w:rsidR="00721BCE" w:rsidRPr="007D1EDC">
        <w:rPr>
          <w:rFonts w:ascii="Arial Narrow" w:eastAsia="Calibri" w:hAnsi="Arial Narrow" w:cs="Calibri"/>
          <w:color w:val="1F497D"/>
          <w:sz w:val="20"/>
          <w:szCs w:val="20"/>
        </w:rPr>
        <w:t xml:space="preserve"> komunë</w:t>
      </w:r>
      <w:r w:rsidR="00721BCE">
        <w:rPr>
          <w:rFonts w:ascii="Arial Narrow" w:eastAsia="Calibri" w:hAnsi="Arial Narrow" w:cs="Calibri"/>
          <w:color w:val="1F497D"/>
          <w:sz w:val="20"/>
          <w:szCs w:val="20"/>
        </w:rPr>
        <w:t>n e</w:t>
      </w:r>
      <w:r w:rsidR="00721BCE" w:rsidRPr="007D1EDC">
        <w:rPr>
          <w:rFonts w:ascii="Arial Narrow" w:eastAsia="Calibri" w:hAnsi="Arial Narrow" w:cs="Calibri"/>
          <w:color w:val="1F497D"/>
          <w:sz w:val="20"/>
          <w:szCs w:val="20"/>
        </w:rPr>
        <w:t xml:space="preserve"> </w:t>
      </w:r>
      <w:r w:rsidR="00721BCE">
        <w:rPr>
          <w:rFonts w:ascii="Arial Narrow" w:eastAsia="Calibri" w:hAnsi="Arial Narrow" w:cs="Calibri"/>
          <w:color w:val="1F497D"/>
          <w:sz w:val="20"/>
          <w:szCs w:val="20"/>
        </w:rPr>
        <w:t>Klinës</w:t>
      </w:r>
      <w:bookmarkEnd w:id="7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769"/>
        <w:gridCol w:w="769"/>
        <w:gridCol w:w="770"/>
        <w:gridCol w:w="770"/>
        <w:gridCol w:w="770"/>
        <w:gridCol w:w="770"/>
        <w:gridCol w:w="770"/>
        <w:gridCol w:w="770"/>
        <w:gridCol w:w="770"/>
        <w:gridCol w:w="770"/>
      </w:tblGrid>
      <w:tr w:rsidR="00721BCE" w:rsidRPr="00721BCE" w14:paraId="7ECB5DDF" w14:textId="77777777" w:rsidTr="005A2D4D">
        <w:trPr>
          <w:trHeight w:val="320"/>
          <w:tblHeader/>
        </w:trPr>
        <w:tc>
          <w:tcPr>
            <w:tcW w:w="1318" w:type="dxa"/>
            <w:shd w:val="clear" w:color="auto" w:fill="365F91"/>
            <w:noWrap/>
            <w:tcMar>
              <w:left w:w="58" w:type="dxa"/>
              <w:right w:w="58" w:type="dxa"/>
            </w:tcMar>
            <w:vAlign w:val="bottom"/>
            <w:hideMark/>
          </w:tcPr>
          <w:p w14:paraId="14532855" w14:textId="77777777" w:rsidR="00721BCE" w:rsidRPr="00721BCE" w:rsidRDefault="00721BCE" w:rsidP="005A2D4D">
            <w:pPr>
              <w:rPr>
                <w:rFonts w:ascii="Arial Narrow" w:hAnsi="Arial Narrow" w:cs="Calibri"/>
                <w:b/>
                <w:bCs/>
                <w:i/>
                <w:iCs/>
                <w:color w:val="FFFFFF"/>
                <w:sz w:val="18"/>
                <w:szCs w:val="18"/>
                <w:lang w:val="en-GB" w:eastAsia="en-GB"/>
              </w:rPr>
            </w:pPr>
            <w:proofErr w:type="spellStart"/>
            <w:r w:rsidRPr="00721BCE">
              <w:rPr>
                <w:rFonts w:ascii="Arial Narrow" w:hAnsi="Arial Narrow" w:cs="Calibri"/>
                <w:b/>
                <w:bCs/>
                <w:i/>
                <w:iCs/>
                <w:color w:val="FFFFFF"/>
                <w:sz w:val="18"/>
                <w:szCs w:val="18"/>
                <w:lang w:val="en-GB" w:eastAsia="en-GB"/>
              </w:rPr>
              <w:t>Rrjedha</w:t>
            </w:r>
            <w:proofErr w:type="spellEnd"/>
            <w:r w:rsidRPr="00721BCE">
              <w:rPr>
                <w:rFonts w:ascii="Arial Narrow" w:hAnsi="Arial Narrow" w:cs="Calibri"/>
                <w:b/>
                <w:bCs/>
                <w:i/>
                <w:iCs/>
                <w:color w:val="FFFFFF"/>
                <w:sz w:val="18"/>
                <w:szCs w:val="18"/>
                <w:lang w:val="en-GB" w:eastAsia="en-GB"/>
              </w:rPr>
              <w:t xml:space="preserve"> e </w:t>
            </w:r>
            <w:proofErr w:type="spellStart"/>
            <w:r w:rsidRPr="00721BCE">
              <w:rPr>
                <w:rFonts w:ascii="Arial Narrow" w:hAnsi="Arial Narrow" w:cs="Calibri"/>
                <w:b/>
                <w:bCs/>
                <w:i/>
                <w:iCs/>
                <w:color w:val="FFFFFF"/>
                <w:sz w:val="18"/>
                <w:szCs w:val="18"/>
                <w:lang w:val="en-GB" w:eastAsia="en-GB"/>
              </w:rPr>
              <w:t>mbeturinave</w:t>
            </w:r>
            <w:proofErr w:type="spellEnd"/>
          </w:p>
        </w:tc>
        <w:tc>
          <w:tcPr>
            <w:tcW w:w="769" w:type="dxa"/>
            <w:shd w:val="clear" w:color="auto" w:fill="365F91"/>
            <w:noWrap/>
            <w:tcMar>
              <w:left w:w="58" w:type="dxa"/>
              <w:right w:w="58" w:type="dxa"/>
            </w:tcMar>
            <w:vAlign w:val="center"/>
            <w:hideMark/>
          </w:tcPr>
          <w:p w14:paraId="553F0C5C"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2026</w:t>
            </w:r>
          </w:p>
        </w:tc>
        <w:tc>
          <w:tcPr>
            <w:tcW w:w="769" w:type="dxa"/>
            <w:shd w:val="clear" w:color="auto" w:fill="365F91"/>
            <w:noWrap/>
            <w:tcMar>
              <w:left w:w="58" w:type="dxa"/>
              <w:right w:w="58" w:type="dxa"/>
            </w:tcMar>
            <w:vAlign w:val="center"/>
            <w:hideMark/>
          </w:tcPr>
          <w:p w14:paraId="6ECA0A33"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2027</w:t>
            </w:r>
          </w:p>
        </w:tc>
        <w:tc>
          <w:tcPr>
            <w:tcW w:w="770" w:type="dxa"/>
            <w:shd w:val="clear" w:color="auto" w:fill="365F91"/>
            <w:noWrap/>
            <w:tcMar>
              <w:left w:w="58" w:type="dxa"/>
              <w:right w:w="58" w:type="dxa"/>
            </w:tcMar>
            <w:vAlign w:val="center"/>
            <w:hideMark/>
          </w:tcPr>
          <w:p w14:paraId="57F62C21"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2028</w:t>
            </w:r>
          </w:p>
        </w:tc>
        <w:tc>
          <w:tcPr>
            <w:tcW w:w="770" w:type="dxa"/>
            <w:shd w:val="clear" w:color="auto" w:fill="365F91"/>
            <w:noWrap/>
            <w:tcMar>
              <w:left w:w="58" w:type="dxa"/>
              <w:right w:w="58" w:type="dxa"/>
            </w:tcMar>
            <w:vAlign w:val="center"/>
            <w:hideMark/>
          </w:tcPr>
          <w:p w14:paraId="1A07D385"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2029</w:t>
            </w:r>
          </w:p>
        </w:tc>
        <w:tc>
          <w:tcPr>
            <w:tcW w:w="770" w:type="dxa"/>
            <w:shd w:val="clear" w:color="auto" w:fill="365F91"/>
            <w:noWrap/>
            <w:tcMar>
              <w:left w:w="58" w:type="dxa"/>
              <w:right w:w="58" w:type="dxa"/>
            </w:tcMar>
            <w:vAlign w:val="center"/>
            <w:hideMark/>
          </w:tcPr>
          <w:p w14:paraId="394A4D83"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2030</w:t>
            </w:r>
          </w:p>
        </w:tc>
        <w:tc>
          <w:tcPr>
            <w:tcW w:w="770" w:type="dxa"/>
            <w:shd w:val="clear" w:color="auto" w:fill="365F91"/>
            <w:noWrap/>
            <w:tcMar>
              <w:left w:w="58" w:type="dxa"/>
              <w:right w:w="58" w:type="dxa"/>
            </w:tcMar>
            <w:vAlign w:val="center"/>
            <w:hideMark/>
          </w:tcPr>
          <w:p w14:paraId="728C7D45"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2031</w:t>
            </w:r>
          </w:p>
        </w:tc>
        <w:tc>
          <w:tcPr>
            <w:tcW w:w="770" w:type="dxa"/>
            <w:shd w:val="clear" w:color="auto" w:fill="365F91"/>
            <w:noWrap/>
            <w:tcMar>
              <w:left w:w="58" w:type="dxa"/>
              <w:right w:w="58" w:type="dxa"/>
            </w:tcMar>
            <w:vAlign w:val="center"/>
            <w:hideMark/>
          </w:tcPr>
          <w:p w14:paraId="12AEA260"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2032</w:t>
            </w:r>
          </w:p>
        </w:tc>
        <w:tc>
          <w:tcPr>
            <w:tcW w:w="770" w:type="dxa"/>
            <w:shd w:val="clear" w:color="auto" w:fill="365F91"/>
            <w:noWrap/>
            <w:tcMar>
              <w:left w:w="58" w:type="dxa"/>
              <w:right w:w="58" w:type="dxa"/>
            </w:tcMar>
            <w:vAlign w:val="center"/>
            <w:hideMark/>
          </w:tcPr>
          <w:p w14:paraId="5097FC57"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2033</w:t>
            </w:r>
          </w:p>
        </w:tc>
        <w:tc>
          <w:tcPr>
            <w:tcW w:w="770" w:type="dxa"/>
            <w:shd w:val="clear" w:color="auto" w:fill="365F91"/>
            <w:noWrap/>
            <w:tcMar>
              <w:left w:w="58" w:type="dxa"/>
              <w:right w:w="58" w:type="dxa"/>
            </w:tcMar>
            <w:vAlign w:val="center"/>
            <w:hideMark/>
          </w:tcPr>
          <w:p w14:paraId="71B869AC"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2034</w:t>
            </w:r>
          </w:p>
        </w:tc>
        <w:tc>
          <w:tcPr>
            <w:tcW w:w="770" w:type="dxa"/>
            <w:shd w:val="clear" w:color="auto" w:fill="365F91"/>
            <w:noWrap/>
            <w:tcMar>
              <w:left w:w="58" w:type="dxa"/>
              <w:right w:w="58" w:type="dxa"/>
            </w:tcMar>
            <w:vAlign w:val="center"/>
            <w:hideMark/>
          </w:tcPr>
          <w:p w14:paraId="4ABAE40B"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2035</w:t>
            </w:r>
          </w:p>
        </w:tc>
      </w:tr>
      <w:tr w:rsidR="00721BCE" w:rsidRPr="00721BCE" w14:paraId="5583A3AB" w14:textId="77777777" w:rsidTr="005A2D4D">
        <w:trPr>
          <w:trHeight w:val="300"/>
        </w:trPr>
        <w:tc>
          <w:tcPr>
            <w:tcW w:w="1318" w:type="dxa"/>
            <w:shd w:val="clear" w:color="auto" w:fill="auto"/>
            <w:noWrap/>
            <w:tcMar>
              <w:left w:w="58" w:type="dxa"/>
              <w:right w:w="58" w:type="dxa"/>
            </w:tcMar>
            <w:vAlign w:val="bottom"/>
            <w:hideMark/>
          </w:tcPr>
          <w:p w14:paraId="5ADD3915" w14:textId="77777777" w:rsidR="00721BCE" w:rsidRPr="00721BCE" w:rsidRDefault="00721BCE" w:rsidP="005A2D4D">
            <w:pPr>
              <w:rPr>
                <w:rFonts w:ascii="Arial Narrow" w:hAnsi="Arial Narrow" w:cs="Calibri"/>
                <w:sz w:val="18"/>
                <w:szCs w:val="18"/>
                <w:lang w:val="en-GB" w:eastAsia="en-GB"/>
              </w:rPr>
            </w:pPr>
            <w:proofErr w:type="spellStart"/>
            <w:r w:rsidRPr="00721BCE">
              <w:rPr>
                <w:rFonts w:ascii="Arial Narrow" w:hAnsi="Arial Narrow" w:cs="Calibri"/>
                <w:sz w:val="18"/>
                <w:szCs w:val="18"/>
                <w:lang w:val="en-GB" w:eastAsia="en-GB"/>
              </w:rPr>
              <w:t>Mbeturinat</w:t>
            </w:r>
            <w:proofErr w:type="spellEnd"/>
            <w:r w:rsidRPr="00721BCE">
              <w:rPr>
                <w:rFonts w:ascii="Arial Narrow" w:hAnsi="Arial Narrow" w:cs="Calibri"/>
                <w:sz w:val="18"/>
                <w:szCs w:val="18"/>
                <w:lang w:val="en-GB" w:eastAsia="en-GB"/>
              </w:rPr>
              <w:t xml:space="preserve"> e </w:t>
            </w:r>
            <w:proofErr w:type="spellStart"/>
            <w:r w:rsidRPr="00721BCE">
              <w:rPr>
                <w:rFonts w:ascii="Arial Narrow" w:hAnsi="Arial Narrow" w:cs="Calibri"/>
                <w:sz w:val="18"/>
                <w:szCs w:val="18"/>
                <w:lang w:val="en-GB" w:eastAsia="en-GB"/>
              </w:rPr>
              <w:t>gjeneruara</w:t>
            </w:r>
            <w:proofErr w:type="spellEnd"/>
          </w:p>
        </w:tc>
        <w:tc>
          <w:tcPr>
            <w:tcW w:w="769" w:type="dxa"/>
            <w:shd w:val="clear" w:color="auto" w:fill="auto"/>
            <w:noWrap/>
            <w:tcMar>
              <w:left w:w="58" w:type="dxa"/>
              <w:right w:w="58" w:type="dxa"/>
            </w:tcMar>
            <w:vAlign w:val="bottom"/>
            <w:hideMark/>
          </w:tcPr>
          <w:p w14:paraId="73E3CB3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7,863 t</w:t>
            </w:r>
          </w:p>
        </w:tc>
        <w:tc>
          <w:tcPr>
            <w:tcW w:w="769" w:type="dxa"/>
            <w:shd w:val="clear" w:color="auto" w:fill="auto"/>
            <w:noWrap/>
            <w:tcMar>
              <w:left w:w="58" w:type="dxa"/>
              <w:right w:w="58" w:type="dxa"/>
            </w:tcMar>
            <w:vAlign w:val="bottom"/>
            <w:hideMark/>
          </w:tcPr>
          <w:p w14:paraId="04F909F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7904 t</w:t>
            </w:r>
          </w:p>
        </w:tc>
        <w:tc>
          <w:tcPr>
            <w:tcW w:w="770" w:type="dxa"/>
            <w:shd w:val="clear" w:color="auto" w:fill="auto"/>
            <w:noWrap/>
            <w:tcMar>
              <w:left w:w="58" w:type="dxa"/>
              <w:right w:w="58" w:type="dxa"/>
            </w:tcMar>
            <w:vAlign w:val="bottom"/>
            <w:hideMark/>
          </w:tcPr>
          <w:p w14:paraId="60FF960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7,945 t</w:t>
            </w:r>
          </w:p>
        </w:tc>
        <w:tc>
          <w:tcPr>
            <w:tcW w:w="770" w:type="dxa"/>
            <w:shd w:val="clear" w:color="auto" w:fill="auto"/>
            <w:noWrap/>
            <w:tcMar>
              <w:left w:w="58" w:type="dxa"/>
              <w:right w:w="58" w:type="dxa"/>
            </w:tcMar>
            <w:vAlign w:val="bottom"/>
            <w:hideMark/>
          </w:tcPr>
          <w:p w14:paraId="482A7F5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7,987 t</w:t>
            </w:r>
          </w:p>
        </w:tc>
        <w:tc>
          <w:tcPr>
            <w:tcW w:w="770" w:type="dxa"/>
            <w:shd w:val="clear" w:color="auto" w:fill="auto"/>
            <w:noWrap/>
            <w:tcMar>
              <w:left w:w="58" w:type="dxa"/>
              <w:right w:w="58" w:type="dxa"/>
            </w:tcMar>
            <w:vAlign w:val="bottom"/>
            <w:hideMark/>
          </w:tcPr>
          <w:p w14:paraId="216380A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8,031 t</w:t>
            </w:r>
          </w:p>
        </w:tc>
        <w:tc>
          <w:tcPr>
            <w:tcW w:w="770" w:type="dxa"/>
            <w:shd w:val="clear" w:color="auto" w:fill="auto"/>
            <w:noWrap/>
            <w:tcMar>
              <w:left w:w="58" w:type="dxa"/>
              <w:right w:w="58" w:type="dxa"/>
            </w:tcMar>
            <w:vAlign w:val="bottom"/>
            <w:hideMark/>
          </w:tcPr>
          <w:p w14:paraId="014A3C1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8,074 t</w:t>
            </w:r>
          </w:p>
        </w:tc>
        <w:tc>
          <w:tcPr>
            <w:tcW w:w="770" w:type="dxa"/>
            <w:shd w:val="clear" w:color="auto" w:fill="auto"/>
            <w:noWrap/>
            <w:tcMar>
              <w:left w:w="58" w:type="dxa"/>
              <w:right w:w="58" w:type="dxa"/>
            </w:tcMar>
            <w:vAlign w:val="bottom"/>
            <w:hideMark/>
          </w:tcPr>
          <w:p w14:paraId="17EF05A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8,119 t</w:t>
            </w:r>
          </w:p>
        </w:tc>
        <w:tc>
          <w:tcPr>
            <w:tcW w:w="770" w:type="dxa"/>
            <w:shd w:val="clear" w:color="auto" w:fill="auto"/>
            <w:noWrap/>
            <w:tcMar>
              <w:left w:w="58" w:type="dxa"/>
              <w:right w:w="58" w:type="dxa"/>
            </w:tcMar>
            <w:vAlign w:val="bottom"/>
            <w:hideMark/>
          </w:tcPr>
          <w:p w14:paraId="47B8E1B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8,164 t</w:t>
            </w:r>
          </w:p>
        </w:tc>
        <w:tc>
          <w:tcPr>
            <w:tcW w:w="770" w:type="dxa"/>
            <w:shd w:val="clear" w:color="auto" w:fill="auto"/>
            <w:noWrap/>
            <w:tcMar>
              <w:left w:w="58" w:type="dxa"/>
              <w:right w:w="58" w:type="dxa"/>
            </w:tcMar>
            <w:vAlign w:val="bottom"/>
            <w:hideMark/>
          </w:tcPr>
          <w:p w14:paraId="1AB6F23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8,209 t</w:t>
            </w:r>
          </w:p>
        </w:tc>
        <w:tc>
          <w:tcPr>
            <w:tcW w:w="770" w:type="dxa"/>
            <w:shd w:val="clear" w:color="auto" w:fill="auto"/>
            <w:noWrap/>
            <w:tcMar>
              <w:left w:w="58" w:type="dxa"/>
              <w:right w:w="58" w:type="dxa"/>
            </w:tcMar>
            <w:vAlign w:val="bottom"/>
            <w:hideMark/>
          </w:tcPr>
          <w:p w14:paraId="777819D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8,256 t</w:t>
            </w:r>
          </w:p>
        </w:tc>
      </w:tr>
      <w:tr w:rsidR="00721BCE" w:rsidRPr="00721BCE" w14:paraId="6F335660" w14:textId="77777777" w:rsidTr="005A2D4D">
        <w:trPr>
          <w:trHeight w:val="290"/>
        </w:trPr>
        <w:tc>
          <w:tcPr>
            <w:tcW w:w="1318" w:type="dxa"/>
            <w:shd w:val="clear" w:color="auto" w:fill="auto"/>
            <w:noWrap/>
            <w:tcMar>
              <w:left w:w="58" w:type="dxa"/>
              <w:right w:w="58" w:type="dxa"/>
            </w:tcMar>
            <w:vAlign w:val="bottom"/>
            <w:hideMark/>
          </w:tcPr>
          <w:p w14:paraId="362AC63E"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përfshirë. sipërfaqet publike të mbeturinave të gjelbra</w:t>
            </w:r>
          </w:p>
        </w:tc>
        <w:tc>
          <w:tcPr>
            <w:tcW w:w="769" w:type="dxa"/>
            <w:shd w:val="clear" w:color="auto" w:fill="auto"/>
            <w:noWrap/>
            <w:tcMar>
              <w:left w:w="58" w:type="dxa"/>
              <w:right w:w="58" w:type="dxa"/>
            </w:tcMar>
            <w:vAlign w:val="bottom"/>
            <w:hideMark/>
          </w:tcPr>
          <w:p w14:paraId="2203FA5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8,399 t</w:t>
            </w:r>
          </w:p>
        </w:tc>
        <w:tc>
          <w:tcPr>
            <w:tcW w:w="769" w:type="dxa"/>
            <w:shd w:val="clear" w:color="auto" w:fill="auto"/>
            <w:noWrap/>
            <w:tcMar>
              <w:left w:w="58" w:type="dxa"/>
              <w:right w:w="58" w:type="dxa"/>
            </w:tcMar>
            <w:vAlign w:val="bottom"/>
            <w:hideMark/>
          </w:tcPr>
          <w:p w14:paraId="0DA694F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8,440 t</w:t>
            </w:r>
          </w:p>
        </w:tc>
        <w:tc>
          <w:tcPr>
            <w:tcW w:w="770" w:type="dxa"/>
            <w:shd w:val="clear" w:color="auto" w:fill="auto"/>
            <w:noWrap/>
            <w:tcMar>
              <w:left w:w="58" w:type="dxa"/>
              <w:right w:w="58" w:type="dxa"/>
            </w:tcMar>
            <w:vAlign w:val="bottom"/>
            <w:hideMark/>
          </w:tcPr>
          <w:p w14:paraId="4AADD9F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8,481 t</w:t>
            </w:r>
          </w:p>
        </w:tc>
        <w:tc>
          <w:tcPr>
            <w:tcW w:w="770" w:type="dxa"/>
            <w:shd w:val="clear" w:color="auto" w:fill="auto"/>
            <w:noWrap/>
            <w:tcMar>
              <w:left w:w="58" w:type="dxa"/>
              <w:right w:w="58" w:type="dxa"/>
            </w:tcMar>
            <w:vAlign w:val="bottom"/>
            <w:hideMark/>
          </w:tcPr>
          <w:p w14:paraId="0A90AE5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8,523 t</w:t>
            </w:r>
          </w:p>
        </w:tc>
        <w:tc>
          <w:tcPr>
            <w:tcW w:w="770" w:type="dxa"/>
            <w:shd w:val="clear" w:color="auto" w:fill="auto"/>
            <w:noWrap/>
            <w:tcMar>
              <w:left w:w="58" w:type="dxa"/>
              <w:right w:w="58" w:type="dxa"/>
            </w:tcMar>
            <w:vAlign w:val="bottom"/>
            <w:hideMark/>
          </w:tcPr>
          <w:p w14:paraId="6B7CAA2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8,567 t</w:t>
            </w:r>
          </w:p>
        </w:tc>
        <w:tc>
          <w:tcPr>
            <w:tcW w:w="770" w:type="dxa"/>
            <w:shd w:val="clear" w:color="auto" w:fill="auto"/>
            <w:noWrap/>
            <w:tcMar>
              <w:left w:w="58" w:type="dxa"/>
              <w:right w:w="58" w:type="dxa"/>
            </w:tcMar>
            <w:vAlign w:val="bottom"/>
            <w:hideMark/>
          </w:tcPr>
          <w:p w14:paraId="28995C2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8,610 t</w:t>
            </w:r>
          </w:p>
        </w:tc>
        <w:tc>
          <w:tcPr>
            <w:tcW w:w="770" w:type="dxa"/>
            <w:shd w:val="clear" w:color="auto" w:fill="auto"/>
            <w:noWrap/>
            <w:tcMar>
              <w:left w:w="58" w:type="dxa"/>
              <w:right w:w="58" w:type="dxa"/>
            </w:tcMar>
            <w:vAlign w:val="bottom"/>
            <w:hideMark/>
          </w:tcPr>
          <w:p w14:paraId="1E7071D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8,655 t</w:t>
            </w:r>
          </w:p>
        </w:tc>
        <w:tc>
          <w:tcPr>
            <w:tcW w:w="770" w:type="dxa"/>
            <w:shd w:val="clear" w:color="auto" w:fill="auto"/>
            <w:noWrap/>
            <w:tcMar>
              <w:left w:w="58" w:type="dxa"/>
              <w:right w:w="58" w:type="dxa"/>
            </w:tcMar>
            <w:vAlign w:val="bottom"/>
            <w:hideMark/>
          </w:tcPr>
          <w:p w14:paraId="5ACB6D9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8,700 t</w:t>
            </w:r>
          </w:p>
        </w:tc>
        <w:tc>
          <w:tcPr>
            <w:tcW w:w="770" w:type="dxa"/>
            <w:shd w:val="clear" w:color="auto" w:fill="auto"/>
            <w:noWrap/>
            <w:tcMar>
              <w:left w:w="58" w:type="dxa"/>
              <w:right w:w="58" w:type="dxa"/>
            </w:tcMar>
            <w:vAlign w:val="bottom"/>
            <w:hideMark/>
          </w:tcPr>
          <w:p w14:paraId="49380DB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8,745 t</w:t>
            </w:r>
          </w:p>
        </w:tc>
        <w:tc>
          <w:tcPr>
            <w:tcW w:w="770" w:type="dxa"/>
            <w:shd w:val="clear" w:color="auto" w:fill="auto"/>
            <w:noWrap/>
            <w:tcMar>
              <w:left w:w="58" w:type="dxa"/>
              <w:right w:w="58" w:type="dxa"/>
            </w:tcMar>
            <w:vAlign w:val="bottom"/>
            <w:hideMark/>
          </w:tcPr>
          <w:p w14:paraId="06726FB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8,792 t</w:t>
            </w:r>
          </w:p>
        </w:tc>
      </w:tr>
      <w:tr w:rsidR="00721BCE" w:rsidRPr="00721BCE" w14:paraId="7D5EEE98" w14:textId="77777777" w:rsidTr="005A2D4D">
        <w:trPr>
          <w:trHeight w:val="290"/>
        </w:trPr>
        <w:tc>
          <w:tcPr>
            <w:tcW w:w="1318" w:type="dxa"/>
            <w:shd w:val="clear" w:color="auto" w:fill="auto"/>
            <w:noWrap/>
            <w:tcMar>
              <w:left w:w="58" w:type="dxa"/>
              <w:right w:w="58" w:type="dxa"/>
            </w:tcMar>
            <w:vAlign w:val="bottom"/>
            <w:hideMark/>
          </w:tcPr>
          <w:p w14:paraId="1F859DDC" w14:textId="77777777" w:rsidR="00721BCE" w:rsidRPr="003069B8" w:rsidRDefault="00721BCE" w:rsidP="005A2D4D">
            <w:pPr>
              <w:rPr>
                <w:rFonts w:ascii="Arial Narrow" w:hAnsi="Arial Narrow" w:cs="Calibri"/>
                <w:sz w:val="18"/>
                <w:szCs w:val="18"/>
                <w:lang w:val="es-ES" w:eastAsia="en-GB"/>
              </w:rPr>
            </w:pPr>
            <w:proofErr w:type="spellStart"/>
            <w:r w:rsidRPr="003069B8">
              <w:rPr>
                <w:rFonts w:ascii="Arial Narrow" w:hAnsi="Arial Narrow" w:cs="Calibri"/>
                <w:sz w:val="18"/>
                <w:szCs w:val="18"/>
                <w:lang w:val="es-ES" w:eastAsia="en-GB"/>
              </w:rPr>
              <w:t>Materialet</w:t>
            </w:r>
            <w:proofErr w:type="spellEnd"/>
            <w:r w:rsidRPr="003069B8">
              <w:rPr>
                <w:rFonts w:ascii="Arial Narrow" w:hAnsi="Arial Narrow" w:cs="Calibri"/>
                <w:sz w:val="18"/>
                <w:szCs w:val="18"/>
                <w:lang w:val="es-ES" w:eastAsia="en-GB"/>
              </w:rPr>
              <w:t xml:space="preserve"> e </w:t>
            </w:r>
            <w:proofErr w:type="spellStart"/>
            <w:r w:rsidRPr="003069B8">
              <w:rPr>
                <w:rFonts w:ascii="Arial Narrow" w:hAnsi="Arial Narrow" w:cs="Calibri"/>
                <w:sz w:val="18"/>
                <w:szCs w:val="18"/>
                <w:lang w:val="es-ES" w:eastAsia="en-GB"/>
              </w:rPr>
              <w:t>riciklueshme</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të</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grumbulluara</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ndaras</w:t>
            </w:r>
            <w:proofErr w:type="spellEnd"/>
          </w:p>
        </w:tc>
        <w:tc>
          <w:tcPr>
            <w:tcW w:w="769" w:type="dxa"/>
            <w:shd w:val="clear" w:color="auto" w:fill="auto"/>
            <w:noWrap/>
            <w:tcMar>
              <w:left w:w="58" w:type="dxa"/>
              <w:right w:w="58" w:type="dxa"/>
            </w:tcMar>
            <w:vAlign w:val="bottom"/>
            <w:hideMark/>
          </w:tcPr>
          <w:p w14:paraId="6405B37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49C4004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1,149 t</w:t>
            </w:r>
          </w:p>
        </w:tc>
        <w:tc>
          <w:tcPr>
            <w:tcW w:w="770" w:type="dxa"/>
            <w:shd w:val="clear" w:color="auto" w:fill="auto"/>
            <w:noWrap/>
            <w:tcMar>
              <w:left w:w="58" w:type="dxa"/>
              <w:right w:w="58" w:type="dxa"/>
            </w:tcMar>
            <w:vAlign w:val="bottom"/>
            <w:hideMark/>
          </w:tcPr>
          <w:p w14:paraId="7F4B884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1,273 t</w:t>
            </w:r>
          </w:p>
        </w:tc>
        <w:tc>
          <w:tcPr>
            <w:tcW w:w="770" w:type="dxa"/>
            <w:shd w:val="clear" w:color="auto" w:fill="auto"/>
            <w:noWrap/>
            <w:tcMar>
              <w:left w:w="58" w:type="dxa"/>
              <w:right w:w="58" w:type="dxa"/>
            </w:tcMar>
            <w:vAlign w:val="bottom"/>
            <w:hideMark/>
          </w:tcPr>
          <w:p w14:paraId="0FB7AF2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1,413 t</w:t>
            </w:r>
          </w:p>
        </w:tc>
        <w:tc>
          <w:tcPr>
            <w:tcW w:w="770" w:type="dxa"/>
            <w:shd w:val="clear" w:color="auto" w:fill="auto"/>
            <w:noWrap/>
            <w:tcMar>
              <w:left w:w="58" w:type="dxa"/>
              <w:right w:w="58" w:type="dxa"/>
            </w:tcMar>
            <w:vAlign w:val="bottom"/>
            <w:hideMark/>
          </w:tcPr>
          <w:p w14:paraId="14C7878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1,573 t</w:t>
            </w:r>
          </w:p>
        </w:tc>
        <w:tc>
          <w:tcPr>
            <w:tcW w:w="770" w:type="dxa"/>
            <w:shd w:val="clear" w:color="auto" w:fill="auto"/>
            <w:noWrap/>
            <w:tcMar>
              <w:left w:w="58" w:type="dxa"/>
              <w:right w:w="58" w:type="dxa"/>
            </w:tcMar>
            <w:vAlign w:val="bottom"/>
            <w:hideMark/>
          </w:tcPr>
          <w:p w14:paraId="45A7BC8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1,753 t</w:t>
            </w:r>
          </w:p>
        </w:tc>
        <w:tc>
          <w:tcPr>
            <w:tcW w:w="770" w:type="dxa"/>
            <w:shd w:val="clear" w:color="auto" w:fill="auto"/>
            <w:noWrap/>
            <w:tcMar>
              <w:left w:w="58" w:type="dxa"/>
              <w:right w:w="58" w:type="dxa"/>
            </w:tcMar>
            <w:vAlign w:val="bottom"/>
            <w:hideMark/>
          </w:tcPr>
          <w:p w14:paraId="4EF9845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1,951 t</w:t>
            </w:r>
          </w:p>
        </w:tc>
        <w:tc>
          <w:tcPr>
            <w:tcW w:w="770" w:type="dxa"/>
            <w:shd w:val="clear" w:color="auto" w:fill="auto"/>
            <w:noWrap/>
            <w:tcMar>
              <w:left w:w="58" w:type="dxa"/>
              <w:right w:w="58" w:type="dxa"/>
            </w:tcMar>
            <w:vAlign w:val="bottom"/>
            <w:hideMark/>
          </w:tcPr>
          <w:p w14:paraId="555758B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2,057 t</w:t>
            </w:r>
          </w:p>
        </w:tc>
        <w:tc>
          <w:tcPr>
            <w:tcW w:w="770" w:type="dxa"/>
            <w:shd w:val="clear" w:color="auto" w:fill="auto"/>
            <w:noWrap/>
            <w:tcMar>
              <w:left w:w="58" w:type="dxa"/>
              <w:right w:w="58" w:type="dxa"/>
            </w:tcMar>
            <w:vAlign w:val="bottom"/>
            <w:hideMark/>
          </w:tcPr>
          <w:p w14:paraId="12F2830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2,155 t</w:t>
            </w:r>
          </w:p>
        </w:tc>
        <w:tc>
          <w:tcPr>
            <w:tcW w:w="770" w:type="dxa"/>
            <w:shd w:val="clear" w:color="auto" w:fill="auto"/>
            <w:noWrap/>
            <w:tcMar>
              <w:left w:w="58" w:type="dxa"/>
              <w:right w:w="58" w:type="dxa"/>
            </w:tcMar>
            <w:vAlign w:val="bottom"/>
            <w:hideMark/>
          </w:tcPr>
          <w:p w14:paraId="7C9864C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2,248 t</w:t>
            </w:r>
          </w:p>
        </w:tc>
      </w:tr>
      <w:tr w:rsidR="00721BCE" w:rsidRPr="00721BCE" w14:paraId="2B28314A" w14:textId="77777777" w:rsidTr="005A2D4D">
        <w:trPr>
          <w:trHeight w:val="290"/>
        </w:trPr>
        <w:tc>
          <w:tcPr>
            <w:tcW w:w="1318" w:type="dxa"/>
            <w:shd w:val="clear" w:color="auto" w:fill="auto"/>
            <w:noWrap/>
            <w:tcMar>
              <w:left w:w="58" w:type="dxa"/>
              <w:right w:w="58" w:type="dxa"/>
            </w:tcMar>
            <w:vAlign w:val="bottom"/>
            <w:hideMark/>
          </w:tcPr>
          <w:p w14:paraId="3DF4485C" w14:textId="77777777" w:rsidR="00721BCE" w:rsidRPr="003069B8" w:rsidRDefault="00721BCE" w:rsidP="005A2D4D">
            <w:pPr>
              <w:rPr>
                <w:rFonts w:ascii="Arial Narrow" w:hAnsi="Arial Narrow" w:cs="Calibri"/>
                <w:sz w:val="18"/>
                <w:szCs w:val="18"/>
                <w:lang w:val="es-ES" w:eastAsia="en-GB"/>
              </w:rPr>
            </w:pPr>
            <w:proofErr w:type="spellStart"/>
            <w:r w:rsidRPr="003069B8">
              <w:rPr>
                <w:rFonts w:ascii="Arial Narrow" w:hAnsi="Arial Narrow" w:cs="Calibri"/>
                <w:sz w:val="18"/>
                <w:szCs w:val="18"/>
                <w:lang w:val="es-ES" w:eastAsia="en-GB"/>
              </w:rPr>
              <w:t>Mbeturinat</w:t>
            </w:r>
            <w:proofErr w:type="spellEnd"/>
            <w:r w:rsidRPr="003069B8">
              <w:rPr>
                <w:rFonts w:ascii="Arial Narrow" w:hAnsi="Arial Narrow" w:cs="Calibri"/>
                <w:sz w:val="18"/>
                <w:szCs w:val="18"/>
                <w:lang w:val="es-ES" w:eastAsia="en-GB"/>
              </w:rPr>
              <w:t xml:space="preserve"> e </w:t>
            </w:r>
            <w:proofErr w:type="spellStart"/>
            <w:r w:rsidRPr="003069B8">
              <w:rPr>
                <w:rFonts w:ascii="Arial Narrow" w:hAnsi="Arial Narrow" w:cs="Calibri"/>
                <w:sz w:val="18"/>
                <w:szCs w:val="18"/>
                <w:lang w:val="es-ES" w:eastAsia="en-GB"/>
              </w:rPr>
              <w:t>gjelbra</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publike</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të</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kompostuara</w:t>
            </w:r>
            <w:proofErr w:type="spellEnd"/>
            <w:r w:rsidRPr="003069B8">
              <w:rPr>
                <w:rFonts w:ascii="Arial Narrow" w:hAnsi="Arial Narrow" w:cs="Calibri"/>
                <w:sz w:val="18"/>
                <w:szCs w:val="18"/>
                <w:lang w:val="es-ES" w:eastAsia="en-GB"/>
              </w:rPr>
              <w:t xml:space="preserve"> </w:t>
            </w:r>
          </w:p>
        </w:tc>
        <w:tc>
          <w:tcPr>
            <w:tcW w:w="769" w:type="dxa"/>
            <w:shd w:val="clear" w:color="auto" w:fill="auto"/>
            <w:noWrap/>
            <w:tcMar>
              <w:left w:w="58" w:type="dxa"/>
              <w:right w:w="58" w:type="dxa"/>
            </w:tcMar>
            <w:vAlign w:val="bottom"/>
            <w:hideMark/>
          </w:tcPr>
          <w:p w14:paraId="5F88D71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536 t</w:t>
            </w:r>
          </w:p>
        </w:tc>
        <w:tc>
          <w:tcPr>
            <w:tcW w:w="769" w:type="dxa"/>
            <w:shd w:val="clear" w:color="auto" w:fill="auto"/>
            <w:noWrap/>
            <w:tcMar>
              <w:left w:w="58" w:type="dxa"/>
              <w:right w:w="58" w:type="dxa"/>
            </w:tcMar>
            <w:vAlign w:val="bottom"/>
            <w:hideMark/>
          </w:tcPr>
          <w:p w14:paraId="1FB0C69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554 t</w:t>
            </w:r>
          </w:p>
        </w:tc>
        <w:tc>
          <w:tcPr>
            <w:tcW w:w="770" w:type="dxa"/>
            <w:shd w:val="clear" w:color="auto" w:fill="auto"/>
            <w:noWrap/>
            <w:tcMar>
              <w:left w:w="58" w:type="dxa"/>
              <w:right w:w="58" w:type="dxa"/>
            </w:tcMar>
            <w:vAlign w:val="bottom"/>
            <w:hideMark/>
          </w:tcPr>
          <w:p w14:paraId="5BBEF63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555 t</w:t>
            </w:r>
          </w:p>
        </w:tc>
        <w:tc>
          <w:tcPr>
            <w:tcW w:w="770" w:type="dxa"/>
            <w:shd w:val="clear" w:color="auto" w:fill="auto"/>
            <w:noWrap/>
            <w:tcMar>
              <w:left w:w="58" w:type="dxa"/>
              <w:right w:w="58" w:type="dxa"/>
            </w:tcMar>
            <w:vAlign w:val="bottom"/>
            <w:hideMark/>
          </w:tcPr>
          <w:p w14:paraId="47F80BF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556 t</w:t>
            </w:r>
          </w:p>
        </w:tc>
        <w:tc>
          <w:tcPr>
            <w:tcW w:w="770" w:type="dxa"/>
            <w:shd w:val="clear" w:color="auto" w:fill="auto"/>
            <w:noWrap/>
            <w:tcMar>
              <w:left w:w="58" w:type="dxa"/>
              <w:right w:w="58" w:type="dxa"/>
            </w:tcMar>
            <w:vAlign w:val="bottom"/>
            <w:hideMark/>
          </w:tcPr>
          <w:p w14:paraId="11EF21B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557 t</w:t>
            </w:r>
          </w:p>
        </w:tc>
        <w:tc>
          <w:tcPr>
            <w:tcW w:w="770" w:type="dxa"/>
            <w:shd w:val="clear" w:color="auto" w:fill="auto"/>
            <w:noWrap/>
            <w:tcMar>
              <w:left w:w="58" w:type="dxa"/>
              <w:right w:w="58" w:type="dxa"/>
            </w:tcMar>
            <w:vAlign w:val="bottom"/>
            <w:hideMark/>
          </w:tcPr>
          <w:p w14:paraId="1DECA14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557 t</w:t>
            </w:r>
          </w:p>
        </w:tc>
        <w:tc>
          <w:tcPr>
            <w:tcW w:w="770" w:type="dxa"/>
            <w:shd w:val="clear" w:color="auto" w:fill="auto"/>
            <w:noWrap/>
            <w:tcMar>
              <w:left w:w="58" w:type="dxa"/>
              <w:right w:w="58" w:type="dxa"/>
            </w:tcMar>
            <w:vAlign w:val="bottom"/>
            <w:hideMark/>
          </w:tcPr>
          <w:p w14:paraId="19F2EA3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557 t</w:t>
            </w:r>
          </w:p>
        </w:tc>
        <w:tc>
          <w:tcPr>
            <w:tcW w:w="770" w:type="dxa"/>
            <w:shd w:val="clear" w:color="auto" w:fill="auto"/>
            <w:noWrap/>
            <w:tcMar>
              <w:left w:w="58" w:type="dxa"/>
              <w:right w:w="58" w:type="dxa"/>
            </w:tcMar>
            <w:vAlign w:val="bottom"/>
            <w:hideMark/>
          </w:tcPr>
          <w:p w14:paraId="170F40C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558 t</w:t>
            </w:r>
          </w:p>
        </w:tc>
        <w:tc>
          <w:tcPr>
            <w:tcW w:w="770" w:type="dxa"/>
            <w:shd w:val="clear" w:color="auto" w:fill="auto"/>
            <w:noWrap/>
            <w:tcMar>
              <w:left w:w="58" w:type="dxa"/>
              <w:right w:w="58" w:type="dxa"/>
            </w:tcMar>
            <w:vAlign w:val="bottom"/>
            <w:hideMark/>
          </w:tcPr>
          <w:p w14:paraId="3F33F59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558 t</w:t>
            </w:r>
          </w:p>
        </w:tc>
        <w:tc>
          <w:tcPr>
            <w:tcW w:w="770" w:type="dxa"/>
            <w:shd w:val="clear" w:color="auto" w:fill="auto"/>
            <w:noWrap/>
            <w:tcMar>
              <w:left w:w="58" w:type="dxa"/>
              <w:right w:w="58" w:type="dxa"/>
            </w:tcMar>
            <w:vAlign w:val="bottom"/>
            <w:hideMark/>
          </w:tcPr>
          <w:p w14:paraId="47628F8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558 t</w:t>
            </w:r>
          </w:p>
        </w:tc>
      </w:tr>
      <w:tr w:rsidR="00721BCE" w:rsidRPr="00721BCE" w14:paraId="6C8E7B43" w14:textId="77777777" w:rsidTr="005A2D4D">
        <w:trPr>
          <w:trHeight w:val="290"/>
        </w:trPr>
        <w:tc>
          <w:tcPr>
            <w:tcW w:w="1318" w:type="dxa"/>
            <w:shd w:val="clear" w:color="auto" w:fill="auto"/>
            <w:noWrap/>
            <w:tcMar>
              <w:left w:w="58" w:type="dxa"/>
              <w:right w:w="58" w:type="dxa"/>
            </w:tcMar>
            <w:vAlign w:val="bottom"/>
            <w:hideMark/>
          </w:tcPr>
          <w:p w14:paraId="3FF7AD2A" w14:textId="77777777" w:rsidR="00721BCE" w:rsidRPr="00721BCE" w:rsidRDefault="00721BCE" w:rsidP="005A2D4D">
            <w:pPr>
              <w:rPr>
                <w:rFonts w:ascii="Arial Narrow" w:hAnsi="Arial Narrow" w:cs="Calibri"/>
                <w:sz w:val="18"/>
                <w:szCs w:val="18"/>
                <w:lang w:val="en-GB" w:eastAsia="en-GB"/>
              </w:rPr>
            </w:pPr>
            <w:proofErr w:type="spellStart"/>
            <w:r w:rsidRPr="00721BCE">
              <w:rPr>
                <w:rFonts w:ascii="Arial Narrow" w:hAnsi="Arial Narrow" w:cs="Calibri"/>
                <w:sz w:val="18"/>
                <w:szCs w:val="18"/>
                <w:lang w:val="en-GB" w:eastAsia="en-GB"/>
              </w:rPr>
              <w:t>Kompostimi</w:t>
            </w:r>
            <w:proofErr w:type="spellEnd"/>
            <w:r w:rsidRPr="00721BCE">
              <w:rPr>
                <w:rFonts w:ascii="Arial Narrow" w:hAnsi="Arial Narrow" w:cs="Calibri"/>
                <w:sz w:val="18"/>
                <w:szCs w:val="18"/>
                <w:lang w:val="en-GB" w:eastAsia="en-GB"/>
              </w:rPr>
              <w:t xml:space="preserve"> </w:t>
            </w:r>
            <w:proofErr w:type="spellStart"/>
            <w:r w:rsidRPr="00721BCE">
              <w:rPr>
                <w:rFonts w:ascii="Arial Narrow" w:hAnsi="Arial Narrow" w:cs="Calibri"/>
                <w:sz w:val="18"/>
                <w:szCs w:val="18"/>
                <w:lang w:val="en-GB" w:eastAsia="en-GB"/>
              </w:rPr>
              <w:t>shtëpiak</w:t>
            </w:r>
            <w:proofErr w:type="spellEnd"/>
          </w:p>
        </w:tc>
        <w:tc>
          <w:tcPr>
            <w:tcW w:w="769" w:type="dxa"/>
            <w:shd w:val="clear" w:color="auto" w:fill="auto"/>
            <w:noWrap/>
            <w:tcMar>
              <w:left w:w="58" w:type="dxa"/>
              <w:right w:w="58" w:type="dxa"/>
            </w:tcMar>
            <w:vAlign w:val="bottom"/>
            <w:hideMark/>
          </w:tcPr>
          <w:p w14:paraId="1BBAF07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6DA7AE4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64 t</w:t>
            </w:r>
          </w:p>
        </w:tc>
        <w:tc>
          <w:tcPr>
            <w:tcW w:w="770" w:type="dxa"/>
            <w:shd w:val="clear" w:color="auto" w:fill="auto"/>
            <w:noWrap/>
            <w:tcMar>
              <w:left w:w="58" w:type="dxa"/>
              <w:right w:w="58" w:type="dxa"/>
            </w:tcMar>
            <w:vAlign w:val="bottom"/>
            <w:hideMark/>
          </w:tcPr>
          <w:p w14:paraId="54D63B6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71 t</w:t>
            </w:r>
          </w:p>
        </w:tc>
        <w:tc>
          <w:tcPr>
            <w:tcW w:w="770" w:type="dxa"/>
            <w:shd w:val="clear" w:color="auto" w:fill="auto"/>
            <w:noWrap/>
            <w:tcMar>
              <w:left w:w="58" w:type="dxa"/>
              <w:right w:w="58" w:type="dxa"/>
            </w:tcMar>
            <w:vAlign w:val="bottom"/>
            <w:hideMark/>
          </w:tcPr>
          <w:p w14:paraId="39B1B54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78 t</w:t>
            </w:r>
          </w:p>
        </w:tc>
        <w:tc>
          <w:tcPr>
            <w:tcW w:w="770" w:type="dxa"/>
            <w:shd w:val="clear" w:color="auto" w:fill="auto"/>
            <w:noWrap/>
            <w:tcMar>
              <w:left w:w="58" w:type="dxa"/>
              <w:right w:w="58" w:type="dxa"/>
            </w:tcMar>
            <w:vAlign w:val="bottom"/>
            <w:hideMark/>
          </w:tcPr>
          <w:p w14:paraId="718392D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87 t</w:t>
            </w:r>
          </w:p>
        </w:tc>
        <w:tc>
          <w:tcPr>
            <w:tcW w:w="770" w:type="dxa"/>
            <w:shd w:val="clear" w:color="auto" w:fill="auto"/>
            <w:noWrap/>
            <w:tcMar>
              <w:left w:w="58" w:type="dxa"/>
              <w:right w:w="58" w:type="dxa"/>
            </w:tcMar>
            <w:vAlign w:val="bottom"/>
            <w:hideMark/>
          </w:tcPr>
          <w:p w14:paraId="5FA4671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92 t</w:t>
            </w:r>
          </w:p>
        </w:tc>
        <w:tc>
          <w:tcPr>
            <w:tcW w:w="770" w:type="dxa"/>
            <w:shd w:val="clear" w:color="auto" w:fill="auto"/>
            <w:noWrap/>
            <w:tcMar>
              <w:left w:w="58" w:type="dxa"/>
              <w:right w:w="58" w:type="dxa"/>
            </w:tcMar>
            <w:vAlign w:val="bottom"/>
            <w:hideMark/>
          </w:tcPr>
          <w:p w14:paraId="4112DCD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523 t</w:t>
            </w:r>
          </w:p>
        </w:tc>
        <w:tc>
          <w:tcPr>
            <w:tcW w:w="770" w:type="dxa"/>
            <w:shd w:val="clear" w:color="auto" w:fill="auto"/>
            <w:noWrap/>
            <w:tcMar>
              <w:left w:w="58" w:type="dxa"/>
              <w:right w:w="58" w:type="dxa"/>
            </w:tcMar>
            <w:vAlign w:val="bottom"/>
            <w:hideMark/>
          </w:tcPr>
          <w:p w14:paraId="0BAF83B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598 t</w:t>
            </w:r>
          </w:p>
        </w:tc>
        <w:tc>
          <w:tcPr>
            <w:tcW w:w="770" w:type="dxa"/>
            <w:shd w:val="clear" w:color="auto" w:fill="auto"/>
            <w:noWrap/>
            <w:tcMar>
              <w:left w:w="58" w:type="dxa"/>
              <w:right w:w="58" w:type="dxa"/>
            </w:tcMar>
            <w:vAlign w:val="bottom"/>
            <w:hideMark/>
          </w:tcPr>
          <w:p w14:paraId="675BF7B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683 t</w:t>
            </w:r>
          </w:p>
        </w:tc>
        <w:tc>
          <w:tcPr>
            <w:tcW w:w="770" w:type="dxa"/>
            <w:shd w:val="clear" w:color="auto" w:fill="auto"/>
            <w:noWrap/>
            <w:tcMar>
              <w:left w:w="58" w:type="dxa"/>
              <w:right w:w="58" w:type="dxa"/>
            </w:tcMar>
            <w:vAlign w:val="bottom"/>
            <w:hideMark/>
          </w:tcPr>
          <w:p w14:paraId="4E3BF0B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738 t</w:t>
            </w:r>
          </w:p>
        </w:tc>
      </w:tr>
      <w:tr w:rsidR="00721BCE" w:rsidRPr="00721BCE" w14:paraId="5EEB6B08" w14:textId="77777777" w:rsidTr="005A2D4D">
        <w:trPr>
          <w:trHeight w:val="290"/>
        </w:trPr>
        <w:tc>
          <w:tcPr>
            <w:tcW w:w="1318" w:type="dxa"/>
            <w:shd w:val="clear" w:color="auto" w:fill="auto"/>
            <w:noWrap/>
            <w:tcMar>
              <w:left w:w="58" w:type="dxa"/>
              <w:right w:w="58" w:type="dxa"/>
            </w:tcMar>
            <w:vAlign w:val="bottom"/>
            <w:hideMark/>
          </w:tcPr>
          <w:p w14:paraId="311BB0ED" w14:textId="77777777" w:rsidR="00721BCE" w:rsidRPr="003069B8" w:rsidRDefault="00721BCE" w:rsidP="005A2D4D">
            <w:pPr>
              <w:rPr>
                <w:rFonts w:ascii="Arial Narrow" w:hAnsi="Arial Narrow" w:cs="Calibri"/>
                <w:sz w:val="18"/>
                <w:szCs w:val="18"/>
                <w:lang w:val="es-ES" w:eastAsia="en-GB"/>
              </w:rPr>
            </w:pPr>
            <w:proofErr w:type="spellStart"/>
            <w:r w:rsidRPr="003069B8">
              <w:rPr>
                <w:rFonts w:ascii="Arial Narrow" w:hAnsi="Arial Narrow" w:cs="Calibri"/>
                <w:sz w:val="18"/>
                <w:szCs w:val="18"/>
                <w:lang w:val="es-ES" w:eastAsia="en-GB"/>
              </w:rPr>
              <w:t>Mbeturinat</w:t>
            </w:r>
            <w:proofErr w:type="spellEnd"/>
            <w:r w:rsidRPr="003069B8">
              <w:rPr>
                <w:rFonts w:ascii="Arial Narrow" w:hAnsi="Arial Narrow" w:cs="Calibri"/>
                <w:sz w:val="18"/>
                <w:szCs w:val="18"/>
                <w:lang w:val="es-ES" w:eastAsia="en-GB"/>
              </w:rPr>
              <w:t xml:space="preserve"> e </w:t>
            </w:r>
            <w:proofErr w:type="spellStart"/>
            <w:r w:rsidRPr="003069B8">
              <w:rPr>
                <w:rFonts w:ascii="Arial Narrow" w:hAnsi="Arial Narrow" w:cs="Calibri"/>
                <w:sz w:val="18"/>
                <w:szCs w:val="18"/>
                <w:lang w:val="es-ES" w:eastAsia="en-GB"/>
              </w:rPr>
              <w:t>përziera</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të</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grumbulluara</w:t>
            </w:r>
            <w:proofErr w:type="spellEnd"/>
          </w:p>
        </w:tc>
        <w:tc>
          <w:tcPr>
            <w:tcW w:w="769" w:type="dxa"/>
            <w:shd w:val="clear" w:color="auto" w:fill="auto"/>
            <w:noWrap/>
            <w:tcMar>
              <w:left w:w="58" w:type="dxa"/>
              <w:right w:w="58" w:type="dxa"/>
            </w:tcMar>
            <w:vAlign w:val="bottom"/>
            <w:hideMark/>
          </w:tcPr>
          <w:p w14:paraId="0E5F4A0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7,863 t</w:t>
            </w:r>
          </w:p>
        </w:tc>
        <w:tc>
          <w:tcPr>
            <w:tcW w:w="769" w:type="dxa"/>
            <w:shd w:val="clear" w:color="auto" w:fill="auto"/>
            <w:noWrap/>
            <w:tcMar>
              <w:left w:w="58" w:type="dxa"/>
              <w:right w:w="58" w:type="dxa"/>
            </w:tcMar>
            <w:vAlign w:val="bottom"/>
            <w:hideMark/>
          </w:tcPr>
          <w:p w14:paraId="78A8489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6,500 t</w:t>
            </w:r>
          </w:p>
        </w:tc>
        <w:tc>
          <w:tcPr>
            <w:tcW w:w="770" w:type="dxa"/>
            <w:shd w:val="clear" w:color="auto" w:fill="auto"/>
            <w:noWrap/>
            <w:tcMar>
              <w:left w:w="58" w:type="dxa"/>
              <w:right w:w="58" w:type="dxa"/>
            </w:tcMar>
            <w:vAlign w:val="bottom"/>
            <w:hideMark/>
          </w:tcPr>
          <w:p w14:paraId="6AF56BF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6,392 t</w:t>
            </w:r>
          </w:p>
        </w:tc>
        <w:tc>
          <w:tcPr>
            <w:tcW w:w="770" w:type="dxa"/>
            <w:shd w:val="clear" w:color="auto" w:fill="auto"/>
            <w:noWrap/>
            <w:tcMar>
              <w:left w:w="58" w:type="dxa"/>
              <w:right w:w="58" w:type="dxa"/>
            </w:tcMar>
            <w:vAlign w:val="bottom"/>
            <w:hideMark/>
          </w:tcPr>
          <w:p w14:paraId="643CF6D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6,264 t</w:t>
            </w:r>
          </w:p>
        </w:tc>
        <w:tc>
          <w:tcPr>
            <w:tcW w:w="770" w:type="dxa"/>
            <w:shd w:val="clear" w:color="auto" w:fill="auto"/>
            <w:noWrap/>
            <w:tcMar>
              <w:left w:w="58" w:type="dxa"/>
              <w:right w:w="58" w:type="dxa"/>
            </w:tcMar>
            <w:vAlign w:val="bottom"/>
            <w:hideMark/>
          </w:tcPr>
          <w:p w14:paraId="11D5A06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6,052 t</w:t>
            </w:r>
          </w:p>
        </w:tc>
        <w:tc>
          <w:tcPr>
            <w:tcW w:w="770" w:type="dxa"/>
            <w:shd w:val="clear" w:color="auto" w:fill="auto"/>
            <w:noWrap/>
            <w:tcMar>
              <w:left w:w="58" w:type="dxa"/>
              <w:right w:w="58" w:type="dxa"/>
            </w:tcMar>
            <w:vAlign w:val="bottom"/>
            <w:hideMark/>
          </w:tcPr>
          <w:p w14:paraId="4B770ED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5,873 t</w:t>
            </w:r>
          </w:p>
        </w:tc>
        <w:tc>
          <w:tcPr>
            <w:tcW w:w="770" w:type="dxa"/>
            <w:shd w:val="clear" w:color="auto" w:fill="auto"/>
            <w:noWrap/>
            <w:tcMar>
              <w:left w:w="58" w:type="dxa"/>
              <w:right w:w="58" w:type="dxa"/>
            </w:tcMar>
            <w:vAlign w:val="bottom"/>
            <w:hideMark/>
          </w:tcPr>
          <w:p w14:paraId="318056B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4,808 t</w:t>
            </w:r>
          </w:p>
        </w:tc>
        <w:tc>
          <w:tcPr>
            <w:tcW w:w="770" w:type="dxa"/>
            <w:shd w:val="clear" w:color="auto" w:fill="auto"/>
            <w:noWrap/>
            <w:tcMar>
              <w:left w:w="58" w:type="dxa"/>
              <w:right w:w="58" w:type="dxa"/>
            </w:tcMar>
            <w:vAlign w:val="bottom"/>
            <w:hideMark/>
          </w:tcPr>
          <w:p w14:paraId="238CA9A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4,621 t</w:t>
            </w:r>
          </w:p>
        </w:tc>
        <w:tc>
          <w:tcPr>
            <w:tcW w:w="770" w:type="dxa"/>
            <w:shd w:val="clear" w:color="auto" w:fill="auto"/>
            <w:noWrap/>
            <w:tcMar>
              <w:left w:w="58" w:type="dxa"/>
              <w:right w:w="58" w:type="dxa"/>
            </w:tcMar>
            <w:vAlign w:val="bottom"/>
            <w:hideMark/>
          </w:tcPr>
          <w:p w14:paraId="6655B52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4,433 t</w:t>
            </w:r>
          </w:p>
        </w:tc>
        <w:tc>
          <w:tcPr>
            <w:tcW w:w="770" w:type="dxa"/>
            <w:shd w:val="clear" w:color="auto" w:fill="auto"/>
            <w:noWrap/>
            <w:tcMar>
              <w:left w:w="58" w:type="dxa"/>
              <w:right w:w="58" w:type="dxa"/>
            </w:tcMar>
            <w:vAlign w:val="bottom"/>
            <w:hideMark/>
          </w:tcPr>
          <w:p w14:paraId="01135D3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4,278 t</w:t>
            </w:r>
          </w:p>
        </w:tc>
      </w:tr>
      <w:tr w:rsidR="00721BCE" w:rsidRPr="00721BCE" w14:paraId="622D6F40" w14:textId="77777777" w:rsidTr="005A2D4D">
        <w:trPr>
          <w:trHeight w:val="290"/>
        </w:trPr>
        <w:tc>
          <w:tcPr>
            <w:tcW w:w="1318" w:type="dxa"/>
            <w:shd w:val="clear" w:color="auto" w:fill="auto"/>
            <w:noWrap/>
            <w:tcMar>
              <w:left w:w="58" w:type="dxa"/>
              <w:right w:w="58" w:type="dxa"/>
            </w:tcMar>
            <w:vAlign w:val="bottom"/>
            <w:hideMark/>
          </w:tcPr>
          <w:p w14:paraId="0875F544" w14:textId="77777777" w:rsidR="00721BCE" w:rsidRPr="00721BCE" w:rsidRDefault="00721BCE" w:rsidP="005A2D4D">
            <w:pPr>
              <w:rPr>
                <w:rFonts w:ascii="Arial Narrow" w:hAnsi="Arial Narrow" w:cs="Calibri"/>
                <w:sz w:val="18"/>
                <w:szCs w:val="18"/>
                <w:lang w:val="en-GB" w:eastAsia="en-GB"/>
              </w:rPr>
            </w:pPr>
            <w:proofErr w:type="spellStart"/>
            <w:r w:rsidRPr="00721BCE">
              <w:rPr>
                <w:rFonts w:ascii="Arial Narrow" w:hAnsi="Arial Narrow" w:cs="Calibri"/>
                <w:sz w:val="18"/>
                <w:szCs w:val="18"/>
                <w:lang w:val="en-GB" w:eastAsia="en-GB"/>
              </w:rPr>
              <w:t>Rikuperimi</w:t>
            </w:r>
            <w:proofErr w:type="spellEnd"/>
            <w:r w:rsidRPr="00721BCE">
              <w:rPr>
                <w:rFonts w:ascii="Arial Narrow" w:hAnsi="Arial Narrow" w:cs="Calibri"/>
                <w:sz w:val="18"/>
                <w:szCs w:val="18"/>
                <w:lang w:val="en-GB" w:eastAsia="en-GB"/>
              </w:rPr>
              <w:t xml:space="preserve"> i </w:t>
            </w:r>
            <w:proofErr w:type="spellStart"/>
            <w:r w:rsidRPr="00721BCE">
              <w:rPr>
                <w:rFonts w:ascii="Arial Narrow" w:hAnsi="Arial Narrow" w:cs="Calibri"/>
                <w:sz w:val="18"/>
                <w:szCs w:val="18"/>
                <w:lang w:val="en-GB" w:eastAsia="en-GB"/>
              </w:rPr>
              <w:t>tekstilit</w:t>
            </w:r>
            <w:proofErr w:type="spellEnd"/>
          </w:p>
        </w:tc>
        <w:tc>
          <w:tcPr>
            <w:tcW w:w="769" w:type="dxa"/>
            <w:shd w:val="clear" w:color="auto" w:fill="auto"/>
            <w:noWrap/>
            <w:tcMar>
              <w:left w:w="58" w:type="dxa"/>
              <w:right w:w="58" w:type="dxa"/>
            </w:tcMar>
            <w:vAlign w:val="bottom"/>
            <w:hideMark/>
          </w:tcPr>
          <w:p w14:paraId="304EEB1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5E9DFD2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6E06215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C3A658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6755617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62 t</w:t>
            </w:r>
          </w:p>
        </w:tc>
        <w:tc>
          <w:tcPr>
            <w:tcW w:w="770" w:type="dxa"/>
            <w:shd w:val="clear" w:color="auto" w:fill="auto"/>
            <w:noWrap/>
            <w:tcMar>
              <w:left w:w="58" w:type="dxa"/>
              <w:right w:w="58" w:type="dxa"/>
            </w:tcMar>
            <w:vAlign w:val="bottom"/>
            <w:hideMark/>
          </w:tcPr>
          <w:p w14:paraId="51896E2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71 t</w:t>
            </w:r>
          </w:p>
        </w:tc>
        <w:tc>
          <w:tcPr>
            <w:tcW w:w="770" w:type="dxa"/>
            <w:shd w:val="clear" w:color="auto" w:fill="auto"/>
            <w:noWrap/>
            <w:tcMar>
              <w:left w:w="58" w:type="dxa"/>
              <w:right w:w="58" w:type="dxa"/>
            </w:tcMar>
            <w:vAlign w:val="bottom"/>
            <w:hideMark/>
          </w:tcPr>
          <w:p w14:paraId="20535FB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420 t</w:t>
            </w:r>
          </w:p>
        </w:tc>
        <w:tc>
          <w:tcPr>
            <w:tcW w:w="770" w:type="dxa"/>
            <w:shd w:val="clear" w:color="auto" w:fill="auto"/>
            <w:noWrap/>
            <w:tcMar>
              <w:left w:w="58" w:type="dxa"/>
              <w:right w:w="58" w:type="dxa"/>
            </w:tcMar>
            <w:vAlign w:val="bottom"/>
            <w:hideMark/>
          </w:tcPr>
          <w:p w14:paraId="398B433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444 t</w:t>
            </w:r>
          </w:p>
        </w:tc>
        <w:tc>
          <w:tcPr>
            <w:tcW w:w="770" w:type="dxa"/>
            <w:shd w:val="clear" w:color="auto" w:fill="auto"/>
            <w:noWrap/>
            <w:tcMar>
              <w:left w:w="58" w:type="dxa"/>
              <w:right w:w="58" w:type="dxa"/>
            </w:tcMar>
            <w:vAlign w:val="bottom"/>
            <w:hideMark/>
          </w:tcPr>
          <w:p w14:paraId="2E9DC7F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468 t</w:t>
            </w:r>
          </w:p>
        </w:tc>
        <w:tc>
          <w:tcPr>
            <w:tcW w:w="770" w:type="dxa"/>
            <w:shd w:val="clear" w:color="auto" w:fill="auto"/>
            <w:noWrap/>
            <w:tcMar>
              <w:left w:w="58" w:type="dxa"/>
              <w:right w:w="58" w:type="dxa"/>
            </w:tcMar>
            <w:vAlign w:val="bottom"/>
            <w:hideMark/>
          </w:tcPr>
          <w:p w14:paraId="760CBFF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495 t</w:t>
            </w:r>
          </w:p>
        </w:tc>
      </w:tr>
      <w:tr w:rsidR="00721BCE" w:rsidRPr="00721BCE" w14:paraId="0D14FE50" w14:textId="77777777" w:rsidTr="005A2D4D">
        <w:trPr>
          <w:trHeight w:val="290"/>
        </w:trPr>
        <w:tc>
          <w:tcPr>
            <w:tcW w:w="1318" w:type="dxa"/>
            <w:shd w:val="clear" w:color="auto" w:fill="auto"/>
            <w:noWrap/>
            <w:tcMar>
              <w:left w:w="58" w:type="dxa"/>
              <w:right w:w="58" w:type="dxa"/>
            </w:tcMar>
            <w:vAlign w:val="bottom"/>
            <w:hideMark/>
          </w:tcPr>
          <w:p w14:paraId="0411C24B" w14:textId="77777777" w:rsidR="00721BCE" w:rsidRPr="00721BCE" w:rsidRDefault="00721BCE" w:rsidP="005A2D4D">
            <w:pPr>
              <w:rPr>
                <w:rFonts w:ascii="Arial Narrow" w:hAnsi="Arial Narrow" w:cs="Calibri"/>
                <w:sz w:val="18"/>
                <w:szCs w:val="18"/>
                <w:lang w:val="en-GB" w:eastAsia="en-GB"/>
              </w:rPr>
            </w:pPr>
            <w:proofErr w:type="spellStart"/>
            <w:r w:rsidRPr="00721BCE">
              <w:rPr>
                <w:rFonts w:ascii="Arial Narrow" w:hAnsi="Arial Narrow" w:cs="Calibri"/>
                <w:sz w:val="18"/>
                <w:szCs w:val="18"/>
                <w:lang w:val="en-GB" w:eastAsia="en-GB"/>
              </w:rPr>
              <w:t>Mbeturinat</w:t>
            </w:r>
            <w:proofErr w:type="spellEnd"/>
            <w:r w:rsidRPr="00721BCE">
              <w:rPr>
                <w:rFonts w:ascii="Arial Narrow" w:hAnsi="Arial Narrow" w:cs="Calibri"/>
                <w:sz w:val="18"/>
                <w:szCs w:val="18"/>
                <w:lang w:val="en-GB" w:eastAsia="en-GB"/>
              </w:rPr>
              <w:t xml:space="preserve"> e </w:t>
            </w:r>
            <w:proofErr w:type="spellStart"/>
            <w:r w:rsidRPr="00721BCE">
              <w:rPr>
                <w:rFonts w:ascii="Arial Narrow" w:hAnsi="Arial Narrow" w:cs="Calibri"/>
                <w:sz w:val="18"/>
                <w:szCs w:val="18"/>
                <w:lang w:val="en-GB" w:eastAsia="en-GB"/>
              </w:rPr>
              <w:t>përziera</w:t>
            </w:r>
            <w:proofErr w:type="spellEnd"/>
            <w:r w:rsidRPr="00721BCE">
              <w:rPr>
                <w:rFonts w:ascii="Arial Narrow" w:hAnsi="Arial Narrow" w:cs="Calibri"/>
                <w:sz w:val="18"/>
                <w:szCs w:val="18"/>
                <w:lang w:val="en-GB" w:eastAsia="en-GB"/>
              </w:rPr>
              <w:t xml:space="preserve"> </w:t>
            </w:r>
            <w:proofErr w:type="spellStart"/>
            <w:r w:rsidRPr="00721BCE">
              <w:rPr>
                <w:rFonts w:ascii="Arial Narrow" w:hAnsi="Arial Narrow" w:cs="Calibri"/>
                <w:sz w:val="18"/>
                <w:szCs w:val="18"/>
                <w:lang w:val="en-GB" w:eastAsia="en-GB"/>
              </w:rPr>
              <w:t>për</w:t>
            </w:r>
            <w:proofErr w:type="spellEnd"/>
            <w:r w:rsidRPr="00721BCE">
              <w:rPr>
                <w:rFonts w:ascii="Arial Narrow" w:hAnsi="Arial Narrow" w:cs="Calibri"/>
                <w:sz w:val="18"/>
                <w:szCs w:val="18"/>
                <w:lang w:val="en-GB" w:eastAsia="en-GB"/>
              </w:rPr>
              <w:t xml:space="preserve"> </w:t>
            </w:r>
            <w:proofErr w:type="spellStart"/>
            <w:r w:rsidRPr="00721BCE">
              <w:rPr>
                <w:rFonts w:ascii="Arial Narrow" w:hAnsi="Arial Narrow" w:cs="Calibri"/>
                <w:sz w:val="18"/>
                <w:szCs w:val="18"/>
                <w:lang w:val="en-GB" w:eastAsia="en-GB"/>
              </w:rPr>
              <w:t>trajtim</w:t>
            </w:r>
            <w:proofErr w:type="spellEnd"/>
            <w:r w:rsidRPr="00721BCE">
              <w:rPr>
                <w:rFonts w:ascii="Arial Narrow" w:hAnsi="Arial Narrow" w:cs="Calibri"/>
                <w:sz w:val="18"/>
                <w:szCs w:val="18"/>
                <w:lang w:val="en-GB" w:eastAsia="en-GB"/>
              </w:rPr>
              <w:t xml:space="preserve"> </w:t>
            </w:r>
            <w:proofErr w:type="spellStart"/>
            <w:r w:rsidRPr="00721BCE">
              <w:rPr>
                <w:rFonts w:ascii="Arial Narrow" w:hAnsi="Arial Narrow" w:cs="Calibri"/>
                <w:sz w:val="18"/>
                <w:szCs w:val="18"/>
                <w:lang w:val="en-GB" w:eastAsia="en-GB"/>
              </w:rPr>
              <w:t>në</w:t>
            </w:r>
            <w:proofErr w:type="spellEnd"/>
            <w:r w:rsidRPr="00721BCE">
              <w:rPr>
                <w:rFonts w:ascii="Arial Narrow" w:hAnsi="Arial Narrow" w:cs="Calibri"/>
                <w:sz w:val="18"/>
                <w:szCs w:val="18"/>
                <w:lang w:val="en-GB" w:eastAsia="en-GB"/>
              </w:rPr>
              <w:t xml:space="preserve"> TMB</w:t>
            </w:r>
          </w:p>
        </w:tc>
        <w:tc>
          <w:tcPr>
            <w:tcW w:w="769" w:type="dxa"/>
            <w:shd w:val="clear" w:color="auto" w:fill="auto"/>
            <w:noWrap/>
            <w:tcMar>
              <w:left w:w="58" w:type="dxa"/>
              <w:right w:w="58" w:type="dxa"/>
            </w:tcMar>
            <w:vAlign w:val="bottom"/>
            <w:hideMark/>
          </w:tcPr>
          <w:p w14:paraId="38577B2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0F1B908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2F85832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3006759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02DB1C8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2AE2DAC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5BF0262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4,808 t</w:t>
            </w:r>
          </w:p>
        </w:tc>
        <w:tc>
          <w:tcPr>
            <w:tcW w:w="770" w:type="dxa"/>
            <w:shd w:val="clear" w:color="auto" w:fill="auto"/>
            <w:noWrap/>
            <w:tcMar>
              <w:left w:w="58" w:type="dxa"/>
              <w:right w:w="58" w:type="dxa"/>
            </w:tcMar>
            <w:vAlign w:val="bottom"/>
            <w:hideMark/>
          </w:tcPr>
          <w:p w14:paraId="26F40AB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4,621 t</w:t>
            </w:r>
          </w:p>
        </w:tc>
        <w:tc>
          <w:tcPr>
            <w:tcW w:w="770" w:type="dxa"/>
            <w:shd w:val="clear" w:color="auto" w:fill="auto"/>
            <w:noWrap/>
            <w:tcMar>
              <w:left w:w="58" w:type="dxa"/>
              <w:right w:w="58" w:type="dxa"/>
            </w:tcMar>
            <w:vAlign w:val="bottom"/>
            <w:hideMark/>
          </w:tcPr>
          <w:p w14:paraId="7B4D08C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4,433 t</w:t>
            </w:r>
          </w:p>
        </w:tc>
        <w:tc>
          <w:tcPr>
            <w:tcW w:w="770" w:type="dxa"/>
            <w:shd w:val="clear" w:color="auto" w:fill="auto"/>
            <w:noWrap/>
            <w:tcMar>
              <w:left w:w="58" w:type="dxa"/>
              <w:right w:w="58" w:type="dxa"/>
            </w:tcMar>
            <w:vAlign w:val="bottom"/>
            <w:hideMark/>
          </w:tcPr>
          <w:p w14:paraId="5557318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4,278 t</w:t>
            </w:r>
          </w:p>
        </w:tc>
      </w:tr>
      <w:tr w:rsidR="00721BCE" w:rsidRPr="00721BCE" w14:paraId="691999BD" w14:textId="77777777" w:rsidTr="005A2D4D">
        <w:trPr>
          <w:trHeight w:val="290"/>
        </w:trPr>
        <w:tc>
          <w:tcPr>
            <w:tcW w:w="1318" w:type="dxa"/>
            <w:shd w:val="clear" w:color="auto" w:fill="auto"/>
            <w:noWrap/>
            <w:tcMar>
              <w:left w:w="58" w:type="dxa"/>
              <w:right w:w="58" w:type="dxa"/>
            </w:tcMar>
            <w:vAlign w:val="bottom"/>
            <w:hideMark/>
          </w:tcPr>
          <w:p w14:paraId="796D01D9"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Mbeturinat ushqimore për trajtim në kontejnerë të specializuar</w:t>
            </w:r>
          </w:p>
        </w:tc>
        <w:tc>
          <w:tcPr>
            <w:tcW w:w="769" w:type="dxa"/>
            <w:shd w:val="clear" w:color="auto" w:fill="auto"/>
            <w:noWrap/>
            <w:tcMar>
              <w:left w:w="58" w:type="dxa"/>
              <w:right w:w="58" w:type="dxa"/>
            </w:tcMar>
            <w:vAlign w:val="bottom"/>
            <w:hideMark/>
          </w:tcPr>
          <w:p w14:paraId="65ECEA4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4CE476C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3AE0AC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6E08DF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1FB351E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3D5A4A5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 t</w:t>
            </w:r>
          </w:p>
        </w:tc>
        <w:tc>
          <w:tcPr>
            <w:tcW w:w="770" w:type="dxa"/>
            <w:shd w:val="clear" w:color="auto" w:fill="auto"/>
            <w:noWrap/>
            <w:tcMar>
              <w:left w:w="58" w:type="dxa"/>
              <w:right w:w="58" w:type="dxa"/>
            </w:tcMar>
            <w:vAlign w:val="bottom"/>
            <w:hideMark/>
          </w:tcPr>
          <w:p w14:paraId="4BE388C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102 t</w:t>
            </w:r>
          </w:p>
        </w:tc>
        <w:tc>
          <w:tcPr>
            <w:tcW w:w="770" w:type="dxa"/>
            <w:shd w:val="clear" w:color="auto" w:fill="auto"/>
            <w:noWrap/>
            <w:tcMar>
              <w:left w:w="58" w:type="dxa"/>
              <w:right w:w="58" w:type="dxa"/>
            </w:tcMar>
            <w:vAlign w:val="bottom"/>
            <w:hideMark/>
          </w:tcPr>
          <w:p w14:paraId="730346E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113 t</w:t>
            </w:r>
          </w:p>
        </w:tc>
        <w:tc>
          <w:tcPr>
            <w:tcW w:w="770" w:type="dxa"/>
            <w:shd w:val="clear" w:color="auto" w:fill="auto"/>
            <w:noWrap/>
            <w:tcMar>
              <w:left w:w="58" w:type="dxa"/>
              <w:right w:w="58" w:type="dxa"/>
            </w:tcMar>
            <w:vAlign w:val="bottom"/>
            <w:hideMark/>
          </w:tcPr>
          <w:p w14:paraId="5FC5165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126 t</w:t>
            </w:r>
          </w:p>
        </w:tc>
        <w:tc>
          <w:tcPr>
            <w:tcW w:w="770" w:type="dxa"/>
            <w:shd w:val="clear" w:color="auto" w:fill="auto"/>
            <w:noWrap/>
            <w:tcMar>
              <w:left w:w="58" w:type="dxa"/>
              <w:right w:w="58" w:type="dxa"/>
            </w:tcMar>
            <w:vAlign w:val="bottom"/>
            <w:hideMark/>
          </w:tcPr>
          <w:p w14:paraId="26F6E77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139 t</w:t>
            </w:r>
          </w:p>
        </w:tc>
      </w:tr>
      <w:tr w:rsidR="00721BCE" w:rsidRPr="00721BCE" w14:paraId="2FD2D499" w14:textId="77777777" w:rsidTr="005A2D4D">
        <w:trPr>
          <w:trHeight w:val="290"/>
        </w:trPr>
        <w:tc>
          <w:tcPr>
            <w:tcW w:w="1318" w:type="dxa"/>
            <w:shd w:val="clear" w:color="auto" w:fill="auto"/>
            <w:noWrap/>
            <w:tcMar>
              <w:left w:w="58" w:type="dxa"/>
              <w:right w:w="58" w:type="dxa"/>
            </w:tcMar>
            <w:vAlign w:val="bottom"/>
            <w:hideMark/>
          </w:tcPr>
          <w:p w14:paraId="162BD0A3"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Papastërtitë nga klasifikimi në deponi</w:t>
            </w:r>
          </w:p>
        </w:tc>
        <w:tc>
          <w:tcPr>
            <w:tcW w:w="769" w:type="dxa"/>
            <w:shd w:val="clear" w:color="auto" w:fill="auto"/>
            <w:noWrap/>
            <w:tcMar>
              <w:left w:w="58" w:type="dxa"/>
              <w:right w:w="58" w:type="dxa"/>
            </w:tcMar>
            <w:vAlign w:val="bottom"/>
            <w:hideMark/>
          </w:tcPr>
          <w:p w14:paraId="29EFC30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6E1A884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172 t</w:t>
            </w:r>
          </w:p>
        </w:tc>
        <w:tc>
          <w:tcPr>
            <w:tcW w:w="770" w:type="dxa"/>
            <w:shd w:val="clear" w:color="auto" w:fill="auto"/>
            <w:noWrap/>
            <w:tcMar>
              <w:left w:w="58" w:type="dxa"/>
              <w:right w:w="58" w:type="dxa"/>
            </w:tcMar>
            <w:vAlign w:val="bottom"/>
            <w:hideMark/>
          </w:tcPr>
          <w:p w14:paraId="0AEB4C1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191 t</w:t>
            </w:r>
          </w:p>
        </w:tc>
        <w:tc>
          <w:tcPr>
            <w:tcW w:w="770" w:type="dxa"/>
            <w:shd w:val="clear" w:color="auto" w:fill="auto"/>
            <w:noWrap/>
            <w:tcMar>
              <w:left w:w="58" w:type="dxa"/>
              <w:right w:w="58" w:type="dxa"/>
            </w:tcMar>
            <w:vAlign w:val="bottom"/>
            <w:hideMark/>
          </w:tcPr>
          <w:p w14:paraId="7FD1B8E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212 t</w:t>
            </w:r>
          </w:p>
        </w:tc>
        <w:tc>
          <w:tcPr>
            <w:tcW w:w="770" w:type="dxa"/>
            <w:shd w:val="clear" w:color="auto" w:fill="auto"/>
            <w:noWrap/>
            <w:tcMar>
              <w:left w:w="58" w:type="dxa"/>
              <w:right w:w="58" w:type="dxa"/>
            </w:tcMar>
            <w:vAlign w:val="bottom"/>
            <w:hideMark/>
          </w:tcPr>
          <w:p w14:paraId="2BAEA35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236 t</w:t>
            </w:r>
          </w:p>
        </w:tc>
        <w:tc>
          <w:tcPr>
            <w:tcW w:w="770" w:type="dxa"/>
            <w:shd w:val="clear" w:color="auto" w:fill="auto"/>
            <w:noWrap/>
            <w:tcMar>
              <w:left w:w="58" w:type="dxa"/>
              <w:right w:w="58" w:type="dxa"/>
            </w:tcMar>
            <w:vAlign w:val="bottom"/>
            <w:hideMark/>
          </w:tcPr>
          <w:p w14:paraId="65BD60E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263 t</w:t>
            </w:r>
          </w:p>
        </w:tc>
        <w:tc>
          <w:tcPr>
            <w:tcW w:w="770" w:type="dxa"/>
            <w:shd w:val="clear" w:color="auto" w:fill="auto"/>
            <w:noWrap/>
            <w:tcMar>
              <w:left w:w="58" w:type="dxa"/>
              <w:right w:w="58" w:type="dxa"/>
            </w:tcMar>
            <w:vAlign w:val="bottom"/>
            <w:hideMark/>
          </w:tcPr>
          <w:p w14:paraId="2D3A5F8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293 t</w:t>
            </w:r>
          </w:p>
        </w:tc>
        <w:tc>
          <w:tcPr>
            <w:tcW w:w="770" w:type="dxa"/>
            <w:shd w:val="clear" w:color="auto" w:fill="auto"/>
            <w:noWrap/>
            <w:tcMar>
              <w:left w:w="58" w:type="dxa"/>
              <w:right w:w="58" w:type="dxa"/>
            </w:tcMar>
            <w:vAlign w:val="bottom"/>
            <w:hideMark/>
          </w:tcPr>
          <w:p w14:paraId="336F4B9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309 t</w:t>
            </w:r>
          </w:p>
        </w:tc>
        <w:tc>
          <w:tcPr>
            <w:tcW w:w="770" w:type="dxa"/>
            <w:shd w:val="clear" w:color="auto" w:fill="auto"/>
            <w:noWrap/>
            <w:tcMar>
              <w:left w:w="58" w:type="dxa"/>
              <w:right w:w="58" w:type="dxa"/>
            </w:tcMar>
            <w:vAlign w:val="bottom"/>
            <w:hideMark/>
          </w:tcPr>
          <w:p w14:paraId="4FB44E6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323 t</w:t>
            </w:r>
          </w:p>
        </w:tc>
        <w:tc>
          <w:tcPr>
            <w:tcW w:w="770" w:type="dxa"/>
            <w:shd w:val="clear" w:color="auto" w:fill="auto"/>
            <w:noWrap/>
            <w:tcMar>
              <w:left w:w="58" w:type="dxa"/>
              <w:right w:w="58" w:type="dxa"/>
            </w:tcMar>
            <w:vAlign w:val="bottom"/>
            <w:hideMark/>
          </w:tcPr>
          <w:p w14:paraId="533192A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337 t</w:t>
            </w:r>
          </w:p>
        </w:tc>
      </w:tr>
      <w:tr w:rsidR="00721BCE" w:rsidRPr="00721BCE" w14:paraId="08C5AF36" w14:textId="77777777" w:rsidTr="005A2D4D">
        <w:trPr>
          <w:trHeight w:val="290"/>
        </w:trPr>
        <w:tc>
          <w:tcPr>
            <w:tcW w:w="1318" w:type="dxa"/>
            <w:shd w:val="clear" w:color="auto" w:fill="auto"/>
            <w:noWrap/>
            <w:tcMar>
              <w:left w:w="58" w:type="dxa"/>
              <w:right w:w="58" w:type="dxa"/>
            </w:tcMar>
            <w:vAlign w:val="bottom"/>
            <w:hideMark/>
          </w:tcPr>
          <w:p w14:paraId="4632CE91"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Përzierjet nga TMB në deponi</w:t>
            </w:r>
          </w:p>
        </w:tc>
        <w:tc>
          <w:tcPr>
            <w:tcW w:w="769" w:type="dxa"/>
            <w:shd w:val="clear" w:color="auto" w:fill="auto"/>
            <w:noWrap/>
            <w:tcMar>
              <w:left w:w="58" w:type="dxa"/>
              <w:right w:w="58" w:type="dxa"/>
            </w:tcMar>
            <w:vAlign w:val="bottom"/>
            <w:hideMark/>
          </w:tcPr>
          <w:p w14:paraId="262B7A7A" w14:textId="77777777" w:rsidR="00721BCE" w:rsidRPr="003069B8" w:rsidRDefault="00721BCE" w:rsidP="005A2D4D">
            <w:pPr>
              <w:jc w:val="right"/>
              <w:rPr>
                <w:rFonts w:ascii="Arial Narrow" w:hAnsi="Arial Narrow" w:cs="Calibri"/>
                <w:sz w:val="18"/>
                <w:szCs w:val="18"/>
                <w:lang w:eastAsia="en-GB"/>
              </w:rPr>
            </w:pPr>
            <w:r w:rsidRPr="003069B8">
              <w:rPr>
                <w:rFonts w:ascii="Arial Narrow" w:eastAsia="Aptos" w:hAnsi="Arial Narrow" w:cs="Calibri"/>
                <w:kern w:val="2"/>
                <w:sz w:val="18"/>
                <w:szCs w:val="18"/>
                <w14:ligatures w14:val="standardContextual"/>
              </w:rPr>
              <w:t> </w:t>
            </w:r>
          </w:p>
        </w:tc>
        <w:tc>
          <w:tcPr>
            <w:tcW w:w="769" w:type="dxa"/>
            <w:shd w:val="clear" w:color="auto" w:fill="auto"/>
            <w:noWrap/>
            <w:tcMar>
              <w:left w:w="58" w:type="dxa"/>
              <w:right w:w="58" w:type="dxa"/>
            </w:tcMar>
            <w:vAlign w:val="bottom"/>
            <w:hideMark/>
          </w:tcPr>
          <w:p w14:paraId="6D066013" w14:textId="77777777" w:rsidR="00721BCE" w:rsidRPr="003069B8" w:rsidRDefault="00721BCE" w:rsidP="005A2D4D">
            <w:pPr>
              <w:jc w:val="right"/>
              <w:rPr>
                <w:rFonts w:ascii="Arial Narrow" w:hAnsi="Arial Narrow" w:cs="Calibri"/>
                <w:sz w:val="18"/>
                <w:szCs w:val="18"/>
                <w:lang w:eastAsia="en-GB"/>
              </w:rPr>
            </w:pPr>
            <w:r w:rsidRPr="003069B8">
              <w:rPr>
                <w:rFonts w:ascii="Arial Narrow" w:eastAsia="Aptos" w:hAnsi="Arial Narrow" w:cs="Calibri"/>
                <w:kern w:val="2"/>
                <w:sz w:val="18"/>
                <w:szCs w:val="18"/>
                <w14:ligatures w14:val="standardContextual"/>
              </w:rPr>
              <w:t> </w:t>
            </w:r>
          </w:p>
        </w:tc>
        <w:tc>
          <w:tcPr>
            <w:tcW w:w="770" w:type="dxa"/>
            <w:shd w:val="clear" w:color="auto" w:fill="auto"/>
            <w:noWrap/>
            <w:tcMar>
              <w:left w:w="58" w:type="dxa"/>
              <w:right w:w="58" w:type="dxa"/>
            </w:tcMar>
            <w:vAlign w:val="bottom"/>
            <w:hideMark/>
          </w:tcPr>
          <w:p w14:paraId="28A0BD3A" w14:textId="77777777" w:rsidR="00721BCE" w:rsidRPr="003069B8" w:rsidRDefault="00721BCE" w:rsidP="005A2D4D">
            <w:pPr>
              <w:jc w:val="right"/>
              <w:rPr>
                <w:rFonts w:ascii="Arial Narrow" w:hAnsi="Arial Narrow" w:cs="Calibri"/>
                <w:sz w:val="18"/>
                <w:szCs w:val="18"/>
                <w:lang w:eastAsia="en-GB"/>
              </w:rPr>
            </w:pPr>
            <w:r w:rsidRPr="003069B8">
              <w:rPr>
                <w:rFonts w:ascii="Arial Narrow" w:eastAsia="Aptos" w:hAnsi="Arial Narrow" w:cs="Calibri"/>
                <w:kern w:val="2"/>
                <w:sz w:val="18"/>
                <w:szCs w:val="18"/>
                <w14:ligatures w14:val="standardContextual"/>
              </w:rPr>
              <w:t> </w:t>
            </w:r>
          </w:p>
        </w:tc>
        <w:tc>
          <w:tcPr>
            <w:tcW w:w="770" w:type="dxa"/>
            <w:shd w:val="clear" w:color="auto" w:fill="auto"/>
            <w:noWrap/>
            <w:tcMar>
              <w:left w:w="58" w:type="dxa"/>
              <w:right w:w="58" w:type="dxa"/>
            </w:tcMar>
            <w:vAlign w:val="bottom"/>
            <w:hideMark/>
          </w:tcPr>
          <w:p w14:paraId="39882B85" w14:textId="77777777" w:rsidR="00721BCE" w:rsidRPr="003069B8" w:rsidRDefault="00721BCE" w:rsidP="005A2D4D">
            <w:pPr>
              <w:jc w:val="right"/>
              <w:rPr>
                <w:rFonts w:ascii="Arial Narrow" w:hAnsi="Arial Narrow" w:cs="Calibri"/>
                <w:sz w:val="18"/>
                <w:szCs w:val="18"/>
                <w:lang w:eastAsia="en-GB"/>
              </w:rPr>
            </w:pPr>
            <w:r w:rsidRPr="003069B8">
              <w:rPr>
                <w:rFonts w:ascii="Arial Narrow" w:eastAsia="Aptos" w:hAnsi="Arial Narrow" w:cs="Calibri"/>
                <w:kern w:val="2"/>
                <w:sz w:val="18"/>
                <w:szCs w:val="18"/>
                <w14:ligatures w14:val="standardContextual"/>
              </w:rPr>
              <w:t> </w:t>
            </w:r>
          </w:p>
        </w:tc>
        <w:tc>
          <w:tcPr>
            <w:tcW w:w="770" w:type="dxa"/>
            <w:shd w:val="clear" w:color="auto" w:fill="auto"/>
            <w:noWrap/>
            <w:tcMar>
              <w:left w:w="58" w:type="dxa"/>
              <w:right w:w="58" w:type="dxa"/>
            </w:tcMar>
            <w:vAlign w:val="bottom"/>
            <w:hideMark/>
          </w:tcPr>
          <w:p w14:paraId="37FA51CD" w14:textId="77777777" w:rsidR="00721BCE" w:rsidRPr="003069B8" w:rsidRDefault="00721BCE" w:rsidP="005A2D4D">
            <w:pPr>
              <w:jc w:val="right"/>
              <w:rPr>
                <w:rFonts w:ascii="Arial Narrow" w:hAnsi="Arial Narrow" w:cs="Calibri"/>
                <w:sz w:val="18"/>
                <w:szCs w:val="18"/>
                <w:lang w:eastAsia="en-GB"/>
              </w:rPr>
            </w:pPr>
            <w:r w:rsidRPr="003069B8">
              <w:rPr>
                <w:rFonts w:ascii="Arial Narrow" w:eastAsia="Aptos" w:hAnsi="Arial Narrow" w:cs="Calibri"/>
                <w:kern w:val="2"/>
                <w:sz w:val="18"/>
                <w:szCs w:val="18"/>
                <w14:ligatures w14:val="standardContextual"/>
              </w:rPr>
              <w:t> </w:t>
            </w:r>
          </w:p>
        </w:tc>
        <w:tc>
          <w:tcPr>
            <w:tcW w:w="770" w:type="dxa"/>
            <w:shd w:val="clear" w:color="auto" w:fill="auto"/>
            <w:noWrap/>
            <w:tcMar>
              <w:left w:w="58" w:type="dxa"/>
              <w:right w:w="58" w:type="dxa"/>
            </w:tcMar>
            <w:vAlign w:val="bottom"/>
            <w:hideMark/>
          </w:tcPr>
          <w:p w14:paraId="19210010" w14:textId="77777777" w:rsidR="00721BCE" w:rsidRPr="003069B8" w:rsidRDefault="00721BCE" w:rsidP="005A2D4D">
            <w:pPr>
              <w:jc w:val="right"/>
              <w:rPr>
                <w:rFonts w:ascii="Arial Narrow" w:hAnsi="Arial Narrow" w:cs="Calibri"/>
                <w:sz w:val="18"/>
                <w:szCs w:val="18"/>
                <w:lang w:eastAsia="en-GB"/>
              </w:rPr>
            </w:pPr>
            <w:r w:rsidRPr="003069B8">
              <w:rPr>
                <w:rFonts w:ascii="Arial Narrow" w:eastAsia="Aptos" w:hAnsi="Arial Narrow" w:cs="Calibri"/>
                <w:kern w:val="2"/>
                <w:sz w:val="18"/>
                <w:szCs w:val="18"/>
                <w14:ligatures w14:val="standardContextual"/>
              </w:rPr>
              <w:t> </w:t>
            </w:r>
          </w:p>
        </w:tc>
        <w:tc>
          <w:tcPr>
            <w:tcW w:w="770" w:type="dxa"/>
            <w:shd w:val="clear" w:color="auto" w:fill="auto"/>
            <w:noWrap/>
            <w:tcMar>
              <w:left w:w="58" w:type="dxa"/>
              <w:right w:w="58" w:type="dxa"/>
            </w:tcMar>
            <w:vAlign w:val="bottom"/>
            <w:hideMark/>
          </w:tcPr>
          <w:p w14:paraId="220C307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1,206 t</w:t>
            </w:r>
          </w:p>
        </w:tc>
        <w:tc>
          <w:tcPr>
            <w:tcW w:w="770" w:type="dxa"/>
            <w:shd w:val="clear" w:color="auto" w:fill="auto"/>
            <w:noWrap/>
            <w:tcMar>
              <w:left w:w="58" w:type="dxa"/>
              <w:right w:w="58" w:type="dxa"/>
            </w:tcMar>
            <w:vAlign w:val="bottom"/>
            <w:hideMark/>
          </w:tcPr>
          <w:p w14:paraId="48AB359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1,168 t</w:t>
            </w:r>
          </w:p>
        </w:tc>
        <w:tc>
          <w:tcPr>
            <w:tcW w:w="770" w:type="dxa"/>
            <w:shd w:val="clear" w:color="auto" w:fill="auto"/>
            <w:noWrap/>
            <w:tcMar>
              <w:left w:w="58" w:type="dxa"/>
              <w:right w:w="58" w:type="dxa"/>
            </w:tcMar>
            <w:vAlign w:val="bottom"/>
            <w:hideMark/>
          </w:tcPr>
          <w:p w14:paraId="6B33DA3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1,127 t</w:t>
            </w:r>
          </w:p>
        </w:tc>
        <w:tc>
          <w:tcPr>
            <w:tcW w:w="770" w:type="dxa"/>
            <w:shd w:val="clear" w:color="auto" w:fill="auto"/>
            <w:noWrap/>
            <w:tcMar>
              <w:left w:w="58" w:type="dxa"/>
              <w:right w:w="58" w:type="dxa"/>
            </w:tcMar>
            <w:vAlign w:val="bottom"/>
            <w:hideMark/>
          </w:tcPr>
          <w:p w14:paraId="3F4658B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1,094 t</w:t>
            </w:r>
          </w:p>
        </w:tc>
      </w:tr>
      <w:tr w:rsidR="00721BCE" w:rsidRPr="00721BCE" w14:paraId="6B6D9A8A" w14:textId="77777777" w:rsidTr="005A2D4D">
        <w:trPr>
          <w:trHeight w:val="300"/>
        </w:trPr>
        <w:tc>
          <w:tcPr>
            <w:tcW w:w="1318" w:type="dxa"/>
            <w:shd w:val="clear" w:color="auto" w:fill="auto"/>
            <w:noWrap/>
            <w:tcMar>
              <w:left w:w="58" w:type="dxa"/>
              <w:right w:w="58" w:type="dxa"/>
            </w:tcMar>
            <w:vAlign w:val="bottom"/>
            <w:hideMark/>
          </w:tcPr>
          <w:p w14:paraId="22DF587A" w14:textId="77777777" w:rsidR="00721BCE" w:rsidRPr="00721BCE" w:rsidRDefault="00721BCE" w:rsidP="005A2D4D">
            <w:pPr>
              <w:rPr>
                <w:rFonts w:ascii="Arial Narrow" w:hAnsi="Arial Narrow" w:cs="Calibri"/>
                <w:sz w:val="18"/>
                <w:szCs w:val="18"/>
                <w:lang w:val="en-GB" w:eastAsia="en-GB"/>
              </w:rPr>
            </w:pPr>
            <w:proofErr w:type="spellStart"/>
            <w:r w:rsidRPr="00721BCE">
              <w:rPr>
                <w:rFonts w:ascii="Arial Narrow" w:hAnsi="Arial Narrow" w:cs="Calibri"/>
                <w:sz w:val="18"/>
                <w:szCs w:val="18"/>
                <w:lang w:val="en-GB" w:eastAsia="en-GB"/>
              </w:rPr>
              <w:t>Mbeturinat</w:t>
            </w:r>
            <w:proofErr w:type="spellEnd"/>
            <w:r w:rsidRPr="00721BCE">
              <w:rPr>
                <w:rFonts w:ascii="Arial Narrow" w:hAnsi="Arial Narrow" w:cs="Calibri"/>
                <w:sz w:val="18"/>
                <w:szCs w:val="18"/>
                <w:lang w:val="en-GB" w:eastAsia="en-GB"/>
              </w:rPr>
              <w:t xml:space="preserve"> e </w:t>
            </w:r>
            <w:proofErr w:type="spellStart"/>
            <w:r w:rsidRPr="00721BCE">
              <w:rPr>
                <w:rFonts w:ascii="Arial Narrow" w:hAnsi="Arial Narrow" w:cs="Calibri"/>
                <w:sz w:val="18"/>
                <w:szCs w:val="18"/>
                <w:lang w:val="en-GB" w:eastAsia="en-GB"/>
              </w:rPr>
              <w:t>deponuara</w:t>
            </w:r>
            <w:proofErr w:type="spellEnd"/>
            <w:r w:rsidRPr="00721BCE">
              <w:rPr>
                <w:rFonts w:ascii="Arial Narrow" w:hAnsi="Arial Narrow" w:cs="Calibri"/>
                <w:sz w:val="18"/>
                <w:szCs w:val="18"/>
                <w:lang w:val="en-GB" w:eastAsia="en-GB"/>
              </w:rPr>
              <w:t xml:space="preserve"> </w:t>
            </w:r>
            <w:proofErr w:type="spellStart"/>
            <w:r w:rsidRPr="00721BCE">
              <w:rPr>
                <w:rFonts w:ascii="Arial Narrow" w:hAnsi="Arial Narrow" w:cs="Calibri"/>
                <w:sz w:val="18"/>
                <w:szCs w:val="18"/>
                <w:lang w:val="en-GB" w:eastAsia="en-GB"/>
              </w:rPr>
              <w:t>në</w:t>
            </w:r>
            <w:proofErr w:type="spellEnd"/>
            <w:r w:rsidRPr="00721BCE">
              <w:rPr>
                <w:rFonts w:ascii="Arial Narrow" w:hAnsi="Arial Narrow" w:cs="Calibri"/>
                <w:sz w:val="18"/>
                <w:szCs w:val="18"/>
                <w:lang w:val="en-GB" w:eastAsia="en-GB"/>
              </w:rPr>
              <w:t xml:space="preserve"> </w:t>
            </w:r>
            <w:proofErr w:type="spellStart"/>
            <w:r w:rsidRPr="00721BCE">
              <w:rPr>
                <w:rFonts w:ascii="Arial Narrow" w:hAnsi="Arial Narrow" w:cs="Calibri"/>
                <w:sz w:val="18"/>
                <w:szCs w:val="18"/>
                <w:lang w:val="en-GB" w:eastAsia="en-GB"/>
              </w:rPr>
              <w:t>deponi</w:t>
            </w:r>
            <w:proofErr w:type="spellEnd"/>
          </w:p>
        </w:tc>
        <w:tc>
          <w:tcPr>
            <w:tcW w:w="769" w:type="dxa"/>
            <w:shd w:val="clear" w:color="auto" w:fill="auto"/>
            <w:noWrap/>
            <w:tcMar>
              <w:left w:w="58" w:type="dxa"/>
              <w:right w:w="58" w:type="dxa"/>
            </w:tcMar>
            <w:vAlign w:val="bottom"/>
            <w:hideMark/>
          </w:tcPr>
          <w:p w14:paraId="6D51FA1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7,863 t</w:t>
            </w:r>
          </w:p>
        </w:tc>
        <w:tc>
          <w:tcPr>
            <w:tcW w:w="769" w:type="dxa"/>
            <w:shd w:val="clear" w:color="auto" w:fill="auto"/>
            <w:noWrap/>
            <w:tcMar>
              <w:left w:w="58" w:type="dxa"/>
              <w:right w:w="58" w:type="dxa"/>
            </w:tcMar>
            <w:vAlign w:val="bottom"/>
            <w:hideMark/>
          </w:tcPr>
          <w:p w14:paraId="7CF41FE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6,673 t</w:t>
            </w:r>
          </w:p>
        </w:tc>
        <w:tc>
          <w:tcPr>
            <w:tcW w:w="770" w:type="dxa"/>
            <w:shd w:val="clear" w:color="auto" w:fill="auto"/>
            <w:noWrap/>
            <w:tcMar>
              <w:left w:w="58" w:type="dxa"/>
              <w:right w:w="58" w:type="dxa"/>
            </w:tcMar>
            <w:vAlign w:val="bottom"/>
            <w:hideMark/>
          </w:tcPr>
          <w:p w14:paraId="3C79530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6,583 t</w:t>
            </w:r>
          </w:p>
        </w:tc>
        <w:tc>
          <w:tcPr>
            <w:tcW w:w="770" w:type="dxa"/>
            <w:shd w:val="clear" w:color="auto" w:fill="auto"/>
            <w:noWrap/>
            <w:tcMar>
              <w:left w:w="58" w:type="dxa"/>
              <w:right w:w="58" w:type="dxa"/>
            </w:tcMar>
            <w:vAlign w:val="bottom"/>
            <w:hideMark/>
          </w:tcPr>
          <w:p w14:paraId="15726F7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6,476 t</w:t>
            </w:r>
          </w:p>
        </w:tc>
        <w:tc>
          <w:tcPr>
            <w:tcW w:w="770" w:type="dxa"/>
            <w:shd w:val="clear" w:color="auto" w:fill="auto"/>
            <w:noWrap/>
            <w:tcMar>
              <w:left w:w="58" w:type="dxa"/>
              <w:right w:w="58" w:type="dxa"/>
            </w:tcMar>
            <w:vAlign w:val="bottom"/>
            <w:hideMark/>
          </w:tcPr>
          <w:p w14:paraId="6229CAE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6,288 t</w:t>
            </w:r>
          </w:p>
        </w:tc>
        <w:tc>
          <w:tcPr>
            <w:tcW w:w="770" w:type="dxa"/>
            <w:shd w:val="clear" w:color="auto" w:fill="auto"/>
            <w:noWrap/>
            <w:tcMar>
              <w:left w:w="58" w:type="dxa"/>
              <w:right w:w="58" w:type="dxa"/>
            </w:tcMar>
            <w:vAlign w:val="bottom"/>
            <w:hideMark/>
          </w:tcPr>
          <w:p w14:paraId="7859774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6,136 t</w:t>
            </w:r>
          </w:p>
        </w:tc>
        <w:tc>
          <w:tcPr>
            <w:tcW w:w="770" w:type="dxa"/>
            <w:shd w:val="clear" w:color="auto" w:fill="auto"/>
            <w:noWrap/>
            <w:tcMar>
              <w:left w:w="58" w:type="dxa"/>
              <w:right w:w="58" w:type="dxa"/>
            </w:tcMar>
            <w:vAlign w:val="bottom"/>
            <w:hideMark/>
          </w:tcPr>
          <w:p w14:paraId="1B42A31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66773BD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074061F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4BFAB13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r>
    </w:tbl>
    <w:p w14:paraId="0FC8EE52" w14:textId="77777777" w:rsidR="007D1EDC" w:rsidRPr="007D1EDC" w:rsidRDefault="007D1EDC" w:rsidP="007D1EDC">
      <w:pPr>
        <w:rPr>
          <w:rFonts w:ascii="Aptos" w:eastAsia="Aptos" w:hAnsi="Aptos"/>
          <w:kern w:val="2"/>
          <w:sz w:val="22"/>
          <w:szCs w:val="22"/>
          <w:lang w:val="en-GB"/>
          <w14:ligatures w14:val="standardContextual"/>
        </w:rPr>
      </w:pPr>
    </w:p>
    <w:p w14:paraId="2A6B766A" w14:textId="6B97D77A" w:rsidR="007D1EDC" w:rsidRPr="007D1EDC" w:rsidRDefault="007D1EDC" w:rsidP="007D1EDC">
      <w:pPr>
        <w:suppressAutoHyphens/>
        <w:rPr>
          <w:rFonts w:ascii="Arial Narrow" w:eastAsia="Calibri" w:hAnsi="Arial Narrow" w:cs="Calibri"/>
          <w:color w:val="1F497D"/>
          <w:sz w:val="20"/>
          <w:szCs w:val="20"/>
        </w:rPr>
      </w:pPr>
      <w:bookmarkStart w:id="722" w:name="_Toc190966805"/>
      <w:bookmarkStart w:id="723" w:name="_Toc197472302"/>
      <w:r w:rsidRPr="007D1EDC">
        <w:rPr>
          <w:rFonts w:ascii="Arial Narrow" w:eastAsia="Calibri" w:hAnsi="Arial Narrow" w:cs="Calibri"/>
          <w:color w:val="1F497D"/>
          <w:sz w:val="20"/>
          <w:szCs w:val="20"/>
        </w:rPr>
        <w:lastRenderedPageBreak/>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117. </w:t>
      </w:r>
      <w:r w:rsidRPr="007D1EDC">
        <w:rPr>
          <w:rFonts w:ascii="Arial Narrow" w:eastAsia="Calibri" w:hAnsi="Arial Narrow" w:cs="Calibri"/>
          <w:color w:val="1F497D"/>
          <w:sz w:val="20"/>
          <w:szCs w:val="20"/>
        </w:rPr>
        <w:fldChar w:fldCharType="end"/>
      </w:r>
      <w:bookmarkEnd w:id="722"/>
      <w:r w:rsidR="00721BCE" w:rsidRPr="00721BCE">
        <w:rPr>
          <w:rFonts w:ascii="Arial Narrow" w:eastAsia="Calibri" w:hAnsi="Arial Narrow" w:cs="Calibri"/>
          <w:color w:val="1F497D"/>
          <w:sz w:val="20"/>
          <w:szCs w:val="20"/>
        </w:rPr>
        <w:t xml:space="preserve"> </w:t>
      </w:r>
      <w:r w:rsidR="00721BCE" w:rsidRPr="007D1EDC">
        <w:rPr>
          <w:rFonts w:ascii="Arial Narrow" w:eastAsia="Calibri" w:hAnsi="Arial Narrow" w:cs="Calibri"/>
          <w:color w:val="1F497D"/>
          <w:sz w:val="20"/>
          <w:szCs w:val="20"/>
        </w:rPr>
        <w:t>B</w:t>
      </w:r>
      <w:r w:rsidR="00721BCE">
        <w:rPr>
          <w:rFonts w:ascii="Arial Narrow" w:eastAsia="Calibri" w:hAnsi="Arial Narrow" w:cs="Calibri"/>
          <w:color w:val="1F497D"/>
          <w:sz w:val="20"/>
          <w:szCs w:val="20"/>
        </w:rPr>
        <w:t>a</w:t>
      </w:r>
      <w:r w:rsidR="00721BCE" w:rsidRPr="007D1EDC">
        <w:rPr>
          <w:rFonts w:ascii="Arial Narrow" w:eastAsia="Calibri" w:hAnsi="Arial Narrow" w:cs="Calibri"/>
          <w:color w:val="1F497D"/>
          <w:sz w:val="20"/>
          <w:szCs w:val="20"/>
        </w:rPr>
        <w:t>lanc</w:t>
      </w:r>
      <w:r w:rsidR="00721BCE">
        <w:rPr>
          <w:rFonts w:ascii="Arial Narrow" w:eastAsia="Calibri" w:hAnsi="Arial Narrow" w:cs="Calibri"/>
          <w:color w:val="1F497D"/>
          <w:sz w:val="20"/>
          <w:szCs w:val="20"/>
        </w:rPr>
        <w:t>a</w:t>
      </w:r>
      <w:r w:rsidR="00721BCE" w:rsidRPr="007D1EDC">
        <w:rPr>
          <w:rFonts w:ascii="Arial Narrow" w:eastAsia="Calibri" w:hAnsi="Arial Narrow" w:cs="Calibri"/>
          <w:color w:val="1F497D"/>
          <w:sz w:val="20"/>
          <w:szCs w:val="20"/>
        </w:rPr>
        <w:t xml:space="preserve"> </w:t>
      </w:r>
      <w:r w:rsidR="00721BCE">
        <w:rPr>
          <w:rFonts w:ascii="Arial Narrow" w:eastAsia="Calibri" w:hAnsi="Arial Narrow" w:cs="Calibri"/>
          <w:color w:val="1F497D"/>
          <w:sz w:val="20"/>
          <w:szCs w:val="20"/>
        </w:rPr>
        <w:t>e përgjithshme/</w:t>
      </w:r>
      <w:r w:rsidR="00721BCE" w:rsidRPr="007D1EDC">
        <w:rPr>
          <w:rFonts w:ascii="Arial Narrow" w:eastAsia="Calibri" w:hAnsi="Arial Narrow" w:cs="Calibri"/>
          <w:color w:val="1F497D"/>
          <w:sz w:val="20"/>
          <w:szCs w:val="20"/>
        </w:rPr>
        <w:t xml:space="preserve">masës së mbeturinave </w:t>
      </w:r>
      <w:r w:rsidR="00721BCE">
        <w:rPr>
          <w:rFonts w:ascii="Arial Narrow" w:eastAsia="Calibri" w:hAnsi="Arial Narrow" w:cs="Calibri"/>
          <w:color w:val="1F497D"/>
          <w:sz w:val="20"/>
          <w:szCs w:val="20"/>
        </w:rPr>
        <w:t>në</w:t>
      </w:r>
      <w:r w:rsidR="00721BCE" w:rsidRPr="007D1EDC">
        <w:rPr>
          <w:rFonts w:ascii="Arial Narrow" w:eastAsia="Calibri" w:hAnsi="Arial Narrow" w:cs="Calibri"/>
          <w:color w:val="1F497D"/>
          <w:sz w:val="20"/>
          <w:szCs w:val="20"/>
        </w:rPr>
        <w:t xml:space="preserve"> komunë</w:t>
      </w:r>
      <w:r w:rsidR="00721BCE">
        <w:rPr>
          <w:rFonts w:ascii="Arial Narrow" w:eastAsia="Calibri" w:hAnsi="Arial Narrow" w:cs="Calibri"/>
          <w:color w:val="1F497D"/>
          <w:sz w:val="20"/>
          <w:szCs w:val="20"/>
        </w:rPr>
        <w:t>n e</w:t>
      </w:r>
      <w:r w:rsidR="00721BCE" w:rsidRPr="007D1EDC">
        <w:rPr>
          <w:rFonts w:ascii="Arial Narrow" w:eastAsia="Calibri" w:hAnsi="Arial Narrow" w:cs="Calibri"/>
          <w:color w:val="1F497D"/>
          <w:sz w:val="20"/>
          <w:szCs w:val="20"/>
        </w:rPr>
        <w:t xml:space="preserve"> </w:t>
      </w:r>
      <w:r w:rsidR="00721BCE">
        <w:rPr>
          <w:rFonts w:ascii="Arial Narrow" w:eastAsia="Calibri" w:hAnsi="Arial Narrow" w:cs="Calibri"/>
          <w:color w:val="1F497D"/>
          <w:sz w:val="20"/>
          <w:szCs w:val="20"/>
        </w:rPr>
        <w:t>Deçanit</w:t>
      </w:r>
      <w:bookmarkEnd w:id="7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769"/>
        <w:gridCol w:w="769"/>
        <w:gridCol w:w="770"/>
        <w:gridCol w:w="770"/>
        <w:gridCol w:w="770"/>
        <w:gridCol w:w="770"/>
        <w:gridCol w:w="770"/>
        <w:gridCol w:w="770"/>
        <w:gridCol w:w="770"/>
        <w:gridCol w:w="770"/>
      </w:tblGrid>
      <w:tr w:rsidR="00721BCE" w:rsidRPr="00721BCE" w14:paraId="2E4BEC8C" w14:textId="77777777" w:rsidTr="005A2D4D">
        <w:trPr>
          <w:trHeight w:val="320"/>
        </w:trPr>
        <w:tc>
          <w:tcPr>
            <w:tcW w:w="1318" w:type="dxa"/>
            <w:shd w:val="clear" w:color="auto" w:fill="365F91"/>
            <w:noWrap/>
            <w:tcMar>
              <w:left w:w="58" w:type="dxa"/>
              <w:right w:w="58" w:type="dxa"/>
            </w:tcMar>
            <w:vAlign w:val="bottom"/>
            <w:hideMark/>
          </w:tcPr>
          <w:p w14:paraId="12744089" w14:textId="77777777" w:rsidR="00721BCE" w:rsidRPr="00721BCE" w:rsidRDefault="00721BCE" w:rsidP="005A2D4D">
            <w:pPr>
              <w:rPr>
                <w:rFonts w:ascii="Arial Narrow" w:hAnsi="Arial Narrow" w:cs="Calibri"/>
                <w:b/>
                <w:bCs/>
                <w:i/>
                <w:iCs/>
                <w:color w:val="FFFFFF"/>
                <w:sz w:val="18"/>
                <w:szCs w:val="18"/>
                <w:lang w:val="en-GB" w:eastAsia="en-GB"/>
              </w:rPr>
            </w:pPr>
            <w:proofErr w:type="spellStart"/>
            <w:r w:rsidRPr="00721BCE">
              <w:rPr>
                <w:rFonts w:ascii="Arial Narrow" w:hAnsi="Arial Narrow" w:cs="Calibri"/>
                <w:b/>
                <w:bCs/>
                <w:i/>
                <w:iCs/>
                <w:color w:val="FFFFFF"/>
                <w:sz w:val="18"/>
                <w:szCs w:val="18"/>
                <w:lang w:val="en-GB" w:eastAsia="en-GB"/>
              </w:rPr>
              <w:t>Rrjedha</w:t>
            </w:r>
            <w:proofErr w:type="spellEnd"/>
            <w:r w:rsidRPr="00721BCE">
              <w:rPr>
                <w:rFonts w:ascii="Arial Narrow" w:hAnsi="Arial Narrow" w:cs="Calibri"/>
                <w:b/>
                <w:bCs/>
                <w:i/>
                <w:iCs/>
                <w:color w:val="FFFFFF"/>
                <w:sz w:val="18"/>
                <w:szCs w:val="18"/>
                <w:lang w:val="en-GB" w:eastAsia="en-GB"/>
              </w:rPr>
              <w:t xml:space="preserve"> e </w:t>
            </w:r>
            <w:proofErr w:type="spellStart"/>
            <w:r w:rsidRPr="00721BCE">
              <w:rPr>
                <w:rFonts w:ascii="Arial Narrow" w:hAnsi="Arial Narrow" w:cs="Calibri"/>
                <w:b/>
                <w:bCs/>
                <w:i/>
                <w:iCs/>
                <w:color w:val="FFFFFF"/>
                <w:sz w:val="18"/>
                <w:szCs w:val="18"/>
                <w:lang w:val="en-GB" w:eastAsia="en-GB"/>
              </w:rPr>
              <w:t>mbeturinave</w:t>
            </w:r>
            <w:proofErr w:type="spellEnd"/>
          </w:p>
        </w:tc>
        <w:tc>
          <w:tcPr>
            <w:tcW w:w="769" w:type="dxa"/>
            <w:shd w:val="clear" w:color="auto" w:fill="365F91"/>
            <w:noWrap/>
            <w:tcMar>
              <w:left w:w="58" w:type="dxa"/>
              <w:right w:w="58" w:type="dxa"/>
            </w:tcMar>
            <w:vAlign w:val="center"/>
            <w:hideMark/>
          </w:tcPr>
          <w:p w14:paraId="10DC8597"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2026</w:t>
            </w:r>
          </w:p>
        </w:tc>
        <w:tc>
          <w:tcPr>
            <w:tcW w:w="769" w:type="dxa"/>
            <w:shd w:val="clear" w:color="auto" w:fill="365F91"/>
            <w:noWrap/>
            <w:tcMar>
              <w:left w:w="58" w:type="dxa"/>
              <w:right w:w="58" w:type="dxa"/>
            </w:tcMar>
            <w:vAlign w:val="center"/>
            <w:hideMark/>
          </w:tcPr>
          <w:p w14:paraId="76FD9FB5"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2027</w:t>
            </w:r>
          </w:p>
        </w:tc>
        <w:tc>
          <w:tcPr>
            <w:tcW w:w="770" w:type="dxa"/>
            <w:shd w:val="clear" w:color="auto" w:fill="365F91"/>
            <w:noWrap/>
            <w:tcMar>
              <w:left w:w="58" w:type="dxa"/>
              <w:right w:w="58" w:type="dxa"/>
            </w:tcMar>
            <w:vAlign w:val="center"/>
            <w:hideMark/>
          </w:tcPr>
          <w:p w14:paraId="7AE4E93F"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2028</w:t>
            </w:r>
          </w:p>
        </w:tc>
        <w:tc>
          <w:tcPr>
            <w:tcW w:w="770" w:type="dxa"/>
            <w:shd w:val="clear" w:color="auto" w:fill="365F91"/>
            <w:noWrap/>
            <w:tcMar>
              <w:left w:w="58" w:type="dxa"/>
              <w:right w:w="58" w:type="dxa"/>
            </w:tcMar>
            <w:vAlign w:val="center"/>
            <w:hideMark/>
          </w:tcPr>
          <w:p w14:paraId="3AD517E3"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2029</w:t>
            </w:r>
          </w:p>
        </w:tc>
        <w:tc>
          <w:tcPr>
            <w:tcW w:w="770" w:type="dxa"/>
            <w:shd w:val="clear" w:color="auto" w:fill="365F91"/>
            <w:noWrap/>
            <w:tcMar>
              <w:left w:w="58" w:type="dxa"/>
              <w:right w:w="58" w:type="dxa"/>
            </w:tcMar>
            <w:vAlign w:val="center"/>
            <w:hideMark/>
          </w:tcPr>
          <w:p w14:paraId="1C023F00"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2030</w:t>
            </w:r>
          </w:p>
        </w:tc>
        <w:tc>
          <w:tcPr>
            <w:tcW w:w="770" w:type="dxa"/>
            <w:shd w:val="clear" w:color="auto" w:fill="365F91"/>
            <w:noWrap/>
            <w:tcMar>
              <w:left w:w="58" w:type="dxa"/>
              <w:right w:w="58" w:type="dxa"/>
            </w:tcMar>
            <w:vAlign w:val="center"/>
            <w:hideMark/>
          </w:tcPr>
          <w:p w14:paraId="1D37AD2E"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2031</w:t>
            </w:r>
          </w:p>
        </w:tc>
        <w:tc>
          <w:tcPr>
            <w:tcW w:w="770" w:type="dxa"/>
            <w:shd w:val="clear" w:color="auto" w:fill="365F91"/>
            <w:noWrap/>
            <w:tcMar>
              <w:left w:w="58" w:type="dxa"/>
              <w:right w:w="58" w:type="dxa"/>
            </w:tcMar>
            <w:vAlign w:val="center"/>
            <w:hideMark/>
          </w:tcPr>
          <w:p w14:paraId="7BFB90CE"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2032</w:t>
            </w:r>
          </w:p>
        </w:tc>
        <w:tc>
          <w:tcPr>
            <w:tcW w:w="770" w:type="dxa"/>
            <w:shd w:val="clear" w:color="auto" w:fill="365F91"/>
            <w:noWrap/>
            <w:tcMar>
              <w:left w:w="58" w:type="dxa"/>
              <w:right w:w="58" w:type="dxa"/>
            </w:tcMar>
            <w:vAlign w:val="center"/>
            <w:hideMark/>
          </w:tcPr>
          <w:p w14:paraId="7CEF1988"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2033</w:t>
            </w:r>
          </w:p>
        </w:tc>
        <w:tc>
          <w:tcPr>
            <w:tcW w:w="770" w:type="dxa"/>
            <w:shd w:val="clear" w:color="auto" w:fill="365F91"/>
            <w:noWrap/>
            <w:tcMar>
              <w:left w:w="58" w:type="dxa"/>
              <w:right w:w="58" w:type="dxa"/>
            </w:tcMar>
            <w:vAlign w:val="center"/>
            <w:hideMark/>
          </w:tcPr>
          <w:p w14:paraId="7BB3696B"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2034</w:t>
            </w:r>
          </w:p>
        </w:tc>
        <w:tc>
          <w:tcPr>
            <w:tcW w:w="770" w:type="dxa"/>
            <w:shd w:val="clear" w:color="auto" w:fill="365F91"/>
            <w:noWrap/>
            <w:tcMar>
              <w:left w:w="58" w:type="dxa"/>
              <w:right w:w="58" w:type="dxa"/>
            </w:tcMar>
            <w:vAlign w:val="center"/>
            <w:hideMark/>
          </w:tcPr>
          <w:p w14:paraId="2CE0272E"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2035</w:t>
            </w:r>
          </w:p>
        </w:tc>
      </w:tr>
      <w:tr w:rsidR="00721BCE" w:rsidRPr="00721BCE" w14:paraId="258C29CA" w14:textId="77777777" w:rsidTr="005A2D4D">
        <w:trPr>
          <w:trHeight w:val="300"/>
        </w:trPr>
        <w:tc>
          <w:tcPr>
            <w:tcW w:w="1318" w:type="dxa"/>
            <w:shd w:val="clear" w:color="auto" w:fill="auto"/>
            <w:noWrap/>
            <w:tcMar>
              <w:left w:w="58" w:type="dxa"/>
              <w:right w:w="58" w:type="dxa"/>
            </w:tcMar>
            <w:vAlign w:val="bottom"/>
            <w:hideMark/>
          </w:tcPr>
          <w:p w14:paraId="31BE92B9" w14:textId="77777777" w:rsidR="00721BCE" w:rsidRPr="00721BCE" w:rsidRDefault="00721BCE" w:rsidP="005A2D4D">
            <w:pPr>
              <w:rPr>
                <w:rFonts w:ascii="Arial Narrow" w:hAnsi="Arial Narrow" w:cs="Calibri"/>
                <w:sz w:val="18"/>
                <w:szCs w:val="18"/>
                <w:lang w:val="en-GB" w:eastAsia="en-GB"/>
              </w:rPr>
            </w:pPr>
            <w:proofErr w:type="spellStart"/>
            <w:r w:rsidRPr="00721BCE">
              <w:rPr>
                <w:rFonts w:ascii="Arial Narrow" w:hAnsi="Arial Narrow" w:cs="Calibri"/>
                <w:sz w:val="18"/>
                <w:szCs w:val="18"/>
                <w:lang w:val="en-GB" w:eastAsia="en-GB"/>
              </w:rPr>
              <w:t>Mbeturinat</w:t>
            </w:r>
            <w:proofErr w:type="spellEnd"/>
            <w:r w:rsidRPr="00721BCE">
              <w:rPr>
                <w:rFonts w:ascii="Arial Narrow" w:hAnsi="Arial Narrow" w:cs="Calibri"/>
                <w:sz w:val="18"/>
                <w:szCs w:val="18"/>
                <w:lang w:val="en-GB" w:eastAsia="en-GB"/>
              </w:rPr>
              <w:t xml:space="preserve"> e </w:t>
            </w:r>
            <w:proofErr w:type="spellStart"/>
            <w:r w:rsidRPr="00721BCE">
              <w:rPr>
                <w:rFonts w:ascii="Arial Narrow" w:hAnsi="Arial Narrow" w:cs="Calibri"/>
                <w:sz w:val="18"/>
                <w:szCs w:val="18"/>
                <w:lang w:val="en-GB" w:eastAsia="en-GB"/>
              </w:rPr>
              <w:t>gjeneruara</w:t>
            </w:r>
            <w:proofErr w:type="spellEnd"/>
          </w:p>
        </w:tc>
        <w:tc>
          <w:tcPr>
            <w:tcW w:w="769" w:type="dxa"/>
            <w:shd w:val="clear" w:color="auto" w:fill="auto"/>
            <w:noWrap/>
            <w:tcMar>
              <w:left w:w="58" w:type="dxa"/>
              <w:right w:w="58" w:type="dxa"/>
            </w:tcMar>
            <w:vAlign w:val="bottom"/>
            <w:hideMark/>
          </w:tcPr>
          <w:p w14:paraId="770F913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7,230 t</w:t>
            </w:r>
          </w:p>
        </w:tc>
        <w:tc>
          <w:tcPr>
            <w:tcW w:w="769" w:type="dxa"/>
            <w:shd w:val="clear" w:color="auto" w:fill="auto"/>
            <w:noWrap/>
            <w:tcMar>
              <w:left w:w="58" w:type="dxa"/>
              <w:right w:w="58" w:type="dxa"/>
            </w:tcMar>
            <w:vAlign w:val="bottom"/>
            <w:hideMark/>
          </w:tcPr>
          <w:p w14:paraId="2B427B7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7,267 t</w:t>
            </w:r>
          </w:p>
        </w:tc>
        <w:tc>
          <w:tcPr>
            <w:tcW w:w="770" w:type="dxa"/>
            <w:shd w:val="clear" w:color="auto" w:fill="auto"/>
            <w:noWrap/>
            <w:tcMar>
              <w:left w:w="58" w:type="dxa"/>
              <w:right w:w="58" w:type="dxa"/>
            </w:tcMar>
            <w:vAlign w:val="bottom"/>
            <w:hideMark/>
          </w:tcPr>
          <w:p w14:paraId="30875C9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7,305 t</w:t>
            </w:r>
          </w:p>
        </w:tc>
        <w:tc>
          <w:tcPr>
            <w:tcW w:w="770" w:type="dxa"/>
            <w:shd w:val="clear" w:color="auto" w:fill="auto"/>
            <w:noWrap/>
            <w:tcMar>
              <w:left w:w="58" w:type="dxa"/>
              <w:right w:w="58" w:type="dxa"/>
            </w:tcMar>
            <w:vAlign w:val="bottom"/>
            <w:hideMark/>
          </w:tcPr>
          <w:p w14:paraId="53F72CC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7,344 t</w:t>
            </w:r>
          </w:p>
        </w:tc>
        <w:tc>
          <w:tcPr>
            <w:tcW w:w="770" w:type="dxa"/>
            <w:shd w:val="clear" w:color="auto" w:fill="auto"/>
            <w:noWrap/>
            <w:tcMar>
              <w:left w:w="58" w:type="dxa"/>
              <w:right w:w="58" w:type="dxa"/>
            </w:tcMar>
            <w:vAlign w:val="bottom"/>
            <w:hideMark/>
          </w:tcPr>
          <w:p w14:paraId="4C7E6D3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7,384 t</w:t>
            </w:r>
          </w:p>
        </w:tc>
        <w:tc>
          <w:tcPr>
            <w:tcW w:w="770" w:type="dxa"/>
            <w:shd w:val="clear" w:color="auto" w:fill="auto"/>
            <w:noWrap/>
            <w:tcMar>
              <w:left w:w="58" w:type="dxa"/>
              <w:right w:w="58" w:type="dxa"/>
            </w:tcMar>
            <w:vAlign w:val="bottom"/>
            <w:hideMark/>
          </w:tcPr>
          <w:p w14:paraId="292FDDE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7,424 t</w:t>
            </w:r>
          </w:p>
        </w:tc>
        <w:tc>
          <w:tcPr>
            <w:tcW w:w="770" w:type="dxa"/>
            <w:shd w:val="clear" w:color="auto" w:fill="auto"/>
            <w:noWrap/>
            <w:tcMar>
              <w:left w:w="58" w:type="dxa"/>
              <w:right w:w="58" w:type="dxa"/>
            </w:tcMar>
            <w:vAlign w:val="bottom"/>
            <w:hideMark/>
          </w:tcPr>
          <w:p w14:paraId="2C60860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7,465 t</w:t>
            </w:r>
          </w:p>
        </w:tc>
        <w:tc>
          <w:tcPr>
            <w:tcW w:w="770" w:type="dxa"/>
            <w:shd w:val="clear" w:color="auto" w:fill="auto"/>
            <w:noWrap/>
            <w:tcMar>
              <w:left w:w="58" w:type="dxa"/>
              <w:right w:w="58" w:type="dxa"/>
            </w:tcMar>
            <w:vAlign w:val="bottom"/>
            <w:hideMark/>
          </w:tcPr>
          <w:p w14:paraId="0E02098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7,506 t</w:t>
            </w:r>
          </w:p>
        </w:tc>
        <w:tc>
          <w:tcPr>
            <w:tcW w:w="770" w:type="dxa"/>
            <w:shd w:val="clear" w:color="auto" w:fill="auto"/>
            <w:noWrap/>
            <w:tcMar>
              <w:left w:w="58" w:type="dxa"/>
              <w:right w:w="58" w:type="dxa"/>
            </w:tcMar>
            <w:vAlign w:val="bottom"/>
            <w:hideMark/>
          </w:tcPr>
          <w:p w14:paraId="7F34D4E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7,548 t</w:t>
            </w:r>
          </w:p>
        </w:tc>
        <w:tc>
          <w:tcPr>
            <w:tcW w:w="770" w:type="dxa"/>
            <w:shd w:val="clear" w:color="auto" w:fill="auto"/>
            <w:noWrap/>
            <w:tcMar>
              <w:left w:w="58" w:type="dxa"/>
              <w:right w:w="58" w:type="dxa"/>
            </w:tcMar>
            <w:vAlign w:val="bottom"/>
            <w:hideMark/>
          </w:tcPr>
          <w:p w14:paraId="28D8F06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7,591 t</w:t>
            </w:r>
          </w:p>
        </w:tc>
      </w:tr>
      <w:tr w:rsidR="00721BCE" w:rsidRPr="00721BCE" w14:paraId="2FA3DA6B" w14:textId="77777777" w:rsidTr="005A2D4D">
        <w:trPr>
          <w:trHeight w:val="290"/>
        </w:trPr>
        <w:tc>
          <w:tcPr>
            <w:tcW w:w="1318" w:type="dxa"/>
            <w:shd w:val="clear" w:color="auto" w:fill="auto"/>
            <w:noWrap/>
            <w:tcMar>
              <w:left w:w="58" w:type="dxa"/>
              <w:right w:w="58" w:type="dxa"/>
            </w:tcMar>
            <w:vAlign w:val="bottom"/>
            <w:hideMark/>
          </w:tcPr>
          <w:p w14:paraId="0D2BF9F6"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përfshirë. sipërfaqet publike të mbeturinave të gjelbra</w:t>
            </w:r>
          </w:p>
        </w:tc>
        <w:tc>
          <w:tcPr>
            <w:tcW w:w="769" w:type="dxa"/>
            <w:shd w:val="clear" w:color="auto" w:fill="auto"/>
            <w:noWrap/>
            <w:tcMar>
              <w:left w:w="58" w:type="dxa"/>
              <w:right w:w="58" w:type="dxa"/>
            </w:tcMar>
            <w:vAlign w:val="bottom"/>
            <w:hideMark/>
          </w:tcPr>
          <w:p w14:paraId="6B21021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7,742 t</w:t>
            </w:r>
          </w:p>
        </w:tc>
        <w:tc>
          <w:tcPr>
            <w:tcW w:w="769" w:type="dxa"/>
            <w:shd w:val="clear" w:color="auto" w:fill="auto"/>
            <w:noWrap/>
            <w:tcMar>
              <w:left w:w="58" w:type="dxa"/>
              <w:right w:w="58" w:type="dxa"/>
            </w:tcMar>
            <w:vAlign w:val="bottom"/>
            <w:hideMark/>
          </w:tcPr>
          <w:p w14:paraId="6C5A479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7,779 t</w:t>
            </w:r>
          </w:p>
        </w:tc>
        <w:tc>
          <w:tcPr>
            <w:tcW w:w="770" w:type="dxa"/>
            <w:shd w:val="clear" w:color="auto" w:fill="auto"/>
            <w:noWrap/>
            <w:tcMar>
              <w:left w:w="58" w:type="dxa"/>
              <w:right w:w="58" w:type="dxa"/>
            </w:tcMar>
            <w:vAlign w:val="bottom"/>
            <w:hideMark/>
          </w:tcPr>
          <w:p w14:paraId="5E79ECE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7,817 t</w:t>
            </w:r>
          </w:p>
        </w:tc>
        <w:tc>
          <w:tcPr>
            <w:tcW w:w="770" w:type="dxa"/>
            <w:shd w:val="clear" w:color="auto" w:fill="auto"/>
            <w:noWrap/>
            <w:tcMar>
              <w:left w:w="58" w:type="dxa"/>
              <w:right w:w="58" w:type="dxa"/>
            </w:tcMar>
            <w:vAlign w:val="bottom"/>
            <w:hideMark/>
          </w:tcPr>
          <w:p w14:paraId="06836EC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7,856 t</w:t>
            </w:r>
          </w:p>
        </w:tc>
        <w:tc>
          <w:tcPr>
            <w:tcW w:w="770" w:type="dxa"/>
            <w:shd w:val="clear" w:color="auto" w:fill="auto"/>
            <w:noWrap/>
            <w:tcMar>
              <w:left w:w="58" w:type="dxa"/>
              <w:right w:w="58" w:type="dxa"/>
            </w:tcMar>
            <w:vAlign w:val="bottom"/>
            <w:hideMark/>
          </w:tcPr>
          <w:p w14:paraId="7B3CCB7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7,896 t</w:t>
            </w:r>
          </w:p>
        </w:tc>
        <w:tc>
          <w:tcPr>
            <w:tcW w:w="770" w:type="dxa"/>
            <w:shd w:val="clear" w:color="auto" w:fill="auto"/>
            <w:noWrap/>
            <w:tcMar>
              <w:left w:w="58" w:type="dxa"/>
              <w:right w:w="58" w:type="dxa"/>
            </w:tcMar>
            <w:vAlign w:val="bottom"/>
            <w:hideMark/>
          </w:tcPr>
          <w:p w14:paraId="6656568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7,936 t</w:t>
            </w:r>
          </w:p>
        </w:tc>
        <w:tc>
          <w:tcPr>
            <w:tcW w:w="770" w:type="dxa"/>
            <w:shd w:val="clear" w:color="auto" w:fill="auto"/>
            <w:noWrap/>
            <w:tcMar>
              <w:left w:w="58" w:type="dxa"/>
              <w:right w:w="58" w:type="dxa"/>
            </w:tcMar>
            <w:vAlign w:val="bottom"/>
            <w:hideMark/>
          </w:tcPr>
          <w:p w14:paraId="1942E2E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7,977 t</w:t>
            </w:r>
          </w:p>
        </w:tc>
        <w:tc>
          <w:tcPr>
            <w:tcW w:w="770" w:type="dxa"/>
            <w:shd w:val="clear" w:color="auto" w:fill="auto"/>
            <w:noWrap/>
            <w:tcMar>
              <w:left w:w="58" w:type="dxa"/>
              <w:right w:w="58" w:type="dxa"/>
            </w:tcMar>
            <w:vAlign w:val="bottom"/>
            <w:hideMark/>
          </w:tcPr>
          <w:p w14:paraId="3607413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8,018 t</w:t>
            </w:r>
          </w:p>
        </w:tc>
        <w:tc>
          <w:tcPr>
            <w:tcW w:w="770" w:type="dxa"/>
            <w:shd w:val="clear" w:color="auto" w:fill="auto"/>
            <w:noWrap/>
            <w:tcMar>
              <w:left w:w="58" w:type="dxa"/>
              <w:right w:w="58" w:type="dxa"/>
            </w:tcMar>
            <w:vAlign w:val="bottom"/>
            <w:hideMark/>
          </w:tcPr>
          <w:p w14:paraId="4F5D7C2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8,060 t</w:t>
            </w:r>
          </w:p>
        </w:tc>
        <w:tc>
          <w:tcPr>
            <w:tcW w:w="770" w:type="dxa"/>
            <w:shd w:val="clear" w:color="auto" w:fill="auto"/>
            <w:noWrap/>
            <w:tcMar>
              <w:left w:w="58" w:type="dxa"/>
              <w:right w:w="58" w:type="dxa"/>
            </w:tcMar>
            <w:vAlign w:val="bottom"/>
            <w:hideMark/>
          </w:tcPr>
          <w:p w14:paraId="50718FB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8,103 t</w:t>
            </w:r>
          </w:p>
        </w:tc>
      </w:tr>
      <w:tr w:rsidR="00721BCE" w:rsidRPr="00721BCE" w14:paraId="3F58B54B" w14:textId="77777777" w:rsidTr="005A2D4D">
        <w:trPr>
          <w:trHeight w:val="290"/>
        </w:trPr>
        <w:tc>
          <w:tcPr>
            <w:tcW w:w="1318" w:type="dxa"/>
            <w:shd w:val="clear" w:color="auto" w:fill="auto"/>
            <w:noWrap/>
            <w:tcMar>
              <w:left w:w="58" w:type="dxa"/>
              <w:right w:w="58" w:type="dxa"/>
            </w:tcMar>
            <w:vAlign w:val="bottom"/>
            <w:hideMark/>
          </w:tcPr>
          <w:p w14:paraId="3BFEFA69" w14:textId="77777777" w:rsidR="00721BCE" w:rsidRPr="003069B8" w:rsidRDefault="00721BCE" w:rsidP="005A2D4D">
            <w:pPr>
              <w:rPr>
                <w:rFonts w:ascii="Arial Narrow" w:hAnsi="Arial Narrow" w:cs="Calibri"/>
                <w:sz w:val="18"/>
                <w:szCs w:val="18"/>
                <w:lang w:val="es-ES" w:eastAsia="en-GB"/>
              </w:rPr>
            </w:pPr>
            <w:proofErr w:type="spellStart"/>
            <w:r w:rsidRPr="003069B8">
              <w:rPr>
                <w:rFonts w:ascii="Arial Narrow" w:hAnsi="Arial Narrow" w:cs="Calibri"/>
                <w:sz w:val="18"/>
                <w:szCs w:val="18"/>
                <w:lang w:val="es-ES" w:eastAsia="en-GB"/>
              </w:rPr>
              <w:t>Materialet</w:t>
            </w:r>
            <w:proofErr w:type="spellEnd"/>
            <w:r w:rsidRPr="003069B8">
              <w:rPr>
                <w:rFonts w:ascii="Arial Narrow" w:hAnsi="Arial Narrow" w:cs="Calibri"/>
                <w:sz w:val="18"/>
                <w:szCs w:val="18"/>
                <w:lang w:val="es-ES" w:eastAsia="en-GB"/>
              </w:rPr>
              <w:t xml:space="preserve"> e </w:t>
            </w:r>
            <w:proofErr w:type="spellStart"/>
            <w:r w:rsidRPr="003069B8">
              <w:rPr>
                <w:rFonts w:ascii="Arial Narrow" w:hAnsi="Arial Narrow" w:cs="Calibri"/>
                <w:sz w:val="18"/>
                <w:szCs w:val="18"/>
                <w:lang w:val="es-ES" w:eastAsia="en-GB"/>
              </w:rPr>
              <w:t>riciklueshme</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të</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grumbulluara</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ndaras</w:t>
            </w:r>
            <w:proofErr w:type="spellEnd"/>
          </w:p>
        </w:tc>
        <w:tc>
          <w:tcPr>
            <w:tcW w:w="769" w:type="dxa"/>
            <w:shd w:val="clear" w:color="auto" w:fill="auto"/>
            <w:noWrap/>
            <w:tcMar>
              <w:left w:w="58" w:type="dxa"/>
              <w:right w:w="58" w:type="dxa"/>
            </w:tcMar>
            <w:vAlign w:val="bottom"/>
            <w:hideMark/>
          </w:tcPr>
          <w:p w14:paraId="3FD9692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12A4FE2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1,027 t</w:t>
            </w:r>
          </w:p>
        </w:tc>
        <w:tc>
          <w:tcPr>
            <w:tcW w:w="770" w:type="dxa"/>
            <w:shd w:val="clear" w:color="auto" w:fill="auto"/>
            <w:noWrap/>
            <w:tcMar>
              <w:left w:w="58" w:type="dxa"/>
              <w:right w:w="58" w:type="dxa"/>
            </w:tcMar>
            <w:vAlign w:val="bottom"/>
            <w:hideMark/>
          </w:tcPr>
          <w:p w14:paraId="5EB6DBF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1,142 t</w:t>
            </w:r>
          </w:p>
        </w:tc>
        <w:tc>
          <w:tcPr>
            <w:tcW w:w="770" w:type="dxa"/>
            <w:shd w:val="clear" w:color="auto" w:fill="auto"/>
            <w:noWrap/>
            <w:tcMar>
              <w:left w:w="58" w:type="dxa"/>
              <w:right w:w="58" w:type="dxa"/>
            </w:tcMar>
            <w:vAlign w:val="bottom"/>
            <w:hideMark/>
          </w:tcPr>
          <w:p w14:paraId="282226C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1,273 t</w:t>
            </w:r>
          </w:p>
        </w:tc>
        <w:tc>
          <w:tcPr>
            <w:tcW w:w="770" w:type="dxa"/>
            <w:shd w:val="clear" w:color="auto" w:fill="auto"/>
            <w:noWrap/>
            <w:tcMar>
              <w:left w:w="58" w:type="dxa"/>
              <w:right w:w="58" w:type="dxa"/>
            </w:tcMar>
            <w:vAlign w:val="bottom"/>
            <w:hideMark/>
          </w:tcPr>
          <w:p w14:paraId="41360D5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1,423 t</w:t>
            </w:r>
          </w:p>
        </w:tc>
        <w:tc>
          <w:tcPr>
            <w:tcW w:w="770" w:type="dxa"/>
            <w:shd w:val="clear" w:color="auto" w:fill="auto"/>
            <w:noWrap/>
            <w:tcMar>
              <w:left w:w="58" w:type="dxa"/>
              <w:right w:w="58" w:type="dxa"/>
            </w:tcMar>
            <w:vAlign w:val="bottom"/>
            <w:hideMark/>
          </w:tcPr>
          <w:p w14:paraId="51AA77C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1,592 t</w:t>
            </w:r>
          </w:p>
        </w:tc>
        <w:tc>
          <w:tcPr>
            <w:tcW w:w="770" w:type="dxa"/>
            <w:shd w:val="clear" w:color="auto" w:fill="auto"/>
            <w:noWrap/>
            <w:tcMar>
              <w:left w:w="58" w:type="dxa"/>
              <w:right w:w="58" w:type="dxa"/>
            </w:tcMar>
            <w:vAlign w:val="bottom"/>
            <w:hideMark/>
          </w:tcPr>
          <w:p w14:paraId="13C2F25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1,778 t</w:t>
            </w:r>
          </w:p>
        </w:tc>
        <w:tc>
          <w:tcPr>
            <w:tcW w:w="770" w:type="dxa"/>
            <w:shd w:val="clear" w:color="auto" w:fill="auto"/>
            <w:noWrap/>
            <w:tcMar>
              <w:left w:w="58" w:type="dxa"/>
              <w:right w:w="58" w:type="dxa"/>
            </w:tcMar>
            <w:vAlign w:val="bottom"/>
            <w:hideMark/>
          </w:tcPr>
          <w:p w14:paraId="38D747D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1,875 t</w:t>
            </w:r>
          </w:p>
        </w:tc>
        <w:tc>
          <w:tcPr>
            <w:tcW w:w="770" w:type="dxa"/>
            <w:shd w:val="clear" w:color="auto" w:fill="auto"/>
            <w:noWrap/>
            <w:tcMar>
              <w:left w:w="58" w:type="dxa"/>
              <w:right w:w="58" w:type="dxa"/>
            </w:tcMar>
            <w:vAlign w:val="bottom"/>
            <w:hideMark/>
          </w:tcPr>
          <w:p w14:paraId="35EC26A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1,964 t</w:t>
            </w:r>
          </w:p>
        </w:tc>
        <w:tc>
          <w:tcPr>
            <w:tcW w:w="770" w:type="dxa"/>
            <w:shd w:val="clear" w:color="auto" w:fill="auto"/>
            <w:noWrap/>
            <w:tcMar>
              <w:left w:w="58" w:type="dxa"/>
              <w:right w:w="58" w:type="dxa"/>
            </w:tcMar>
            <w:vAlign w:val="bottom"/>
            <w:hideMark/>
          </w:tcPr>
          <w:p w14:paraId="3F94825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2,048 t</w:t>
            </w:r>
          </w:p>
        </w:tc>
      </w:tr>
      <w:tr w:rsidR="00721BCE" w:rsidRPr="00721BCE" w14:paraId="1D67BF8C" w14:textId="77777777" w:rsidTr="005A2D4D">
        <w:trPr>
          <w:trHeight w:val="290"/>
        </w:trPr>
        <w:tc>
          <w:tcPr>
            <w:tcW w:w="1318" w:type="dxa"/>
            <w:shd w:val="clear" w:color="auto" w:fill="auto"/>
            <w:noWrap/>
            <w:tcMar>
              <w:left w:w="58" w:type="dxa"/>
              <w:right w:w="58" w:type="dxa"/>
            </w:tcMar>
            <w:vAlign w:val="bottom"/>
            <w:hideMark/>
          </w:tcPr>
          <w:p w14:paraId="492FE3D9" w14:textId="77777777" w:rsidR="00721BCE" w:rsidRPr="003069B8" w:rsidRDefault="00721BCE" w:rsidP="005A2D4D">
            <w:pPr>
              <w:rPr>
                <w:rFonts w:ascii="Arial Narrow" w:hAnsi="Arial Narrow" w:cs="Calibri"/>
                <w:sz w:val="18"/>
                <w:szCs w:val="18"/>
                <w:lang w:val="es-ES" w:eastAsia="en-GB"/>
              </w:rPr>
            </w:pPr>
            <w:proofErr w:type="spellStart"/>
            <w:r w:rsidRPr="003069B8">
              <w:rPr>
                <w:rFonts w:ascii="Arial Narrow" w:hAnsi="Arial Narrow" w:cs="Calibri"/>
                <w:sz w:val="18"/>
                <w:szCs w:val="18"/>
                <w:lang w:val="es-ES" w:eastAsia="en-GB"/>
              </w:rPr>
              <w:t>Mbeturinat</w:t>
            </w:r>
            <w:proofErr w:type="spellEnd"/>
            <w:r w:rsidRPr="003069B8">
              <w:rPr>
                <w:rFonts w:ascii="Arial Narrow" w:hAnsi="Arial Narrow" w:cs="Calibri"/>
                <w:sz w:val="18"/>
                <w:szCs w:val="18"/>
                <w:lang w:val="es-ES" w:eastAsia="en-GB"/>
              </w:rPr>
              <w:t xml:space="preserve"> e </w:t>
            </w:r>
            <w:proofErr w:type="spellStart"/>
            <w:r w:rsidRPr="003069B8">
              <w:rPr>
                <w:rFonts w:ascii="Arial Narrow" w:hAnsi="Arial Narrow" w:cs="Calibri"/>
                <w:sz w:val="18"/>
                <w:szCs w:val="18"/>
                <w:lang w:val="es-ES" w:eastAsia="en-GB"/>
              </w:rPr>
              <w:t>gjelbra</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publike</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të</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kompostuara</w:t>
            </w:r>
            <w:proofErr w:type="spellEnd"/>
            <w:r w:rsidRPr="003069B8">
              <w:rPr>
                <w:rFonts w:ascii="Arial Narrow" w:hAnsi="Arial Narrow" w:cs="Calibri"/>
                <w:sz w:val="18"/>
                <w:szCs w:val="18"/>
                <w:lang w:val="es-ES" w:eastAsia="en-GB"/>
              </w:rPr>
              <w:t xml:space="preserve"> </w:t>
            </w:r>
          </w:p>
        </w:tc>
        <w:tc>
          <w:tcPr>
            <w:tcW w:w="769" w:type="dxa"/>
            <w:shd w:val="clear" w:color="auto" w:fill="auto"/>
            <w:noWrap/>
            <w:tcMar>
              <w:left w:w="58" w:type="dxa"/>
              <w:right w:w="58" w:type="dxa"/>
            </w:tcMar>
            <w:vAlign w:val="bottom"/>
            <w:hideMark/>
          </w:tcPr>
          <w:p w14:paraId="4D44E15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512 t</w:t>
            </w:r>
          </w:p>
        </w:tc>
        <w:tc>
          <w:tcPr>
            <w:tcW w:w="769" w:type="dxa"/>
            <w:shd w:val="clear" w:color="auto" w:fill="auto"/>
            <w:noWrap/>
            <w:tcMar>
              <w:left w:w="58" w:type="dxa"/>
              <w:right w:w="58" w:type="dxa"/>
            </w:tcMar>
            <w:vAlign w:val="bottom"/>
            <w:hideMark/>
          </w:tcPr>
          <w:p w14:paraId="668664F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523 t</w:t>
            </w:r>
          </w:p>
        </w:tc>
        <w:tc>
          <w:tcPr>
            <w:tcW w:w="770" w:type="dxa"/>
            <w:shd w:val="clear" w:color="auto" w:fill="auto"/>
            <w:noWrap/>
            <w:tcMar>
              <w:left w:w="58" w:type="dxa"/>
              <w:right w:w="58" w:type="dxa"/>
            </w:tcMar>
            <w:vAlign w:val="bottom"/>
            <w:hideMark/>
          </w:tcPr>
          <w:p w14:paraId="4CDCD3D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523 t</w:t>
            </w:r>
          </w:p>
        </w:tc>
        <w:tc>
          <w:tcPr>
            <w:tcW w:w="770" w:type="dxa"/>
            <w:shd w:val="clear" w:color="auto" w:fill="auto"/>
            <w:noWrap/>
            <w:tcMar>
              <w:left w:w="58" w:type="dxa"/>
              <w:right w:w="58" w:type="dxa"/>
            </w:tcMar>
            <w:vAlign w:val="bottom"/>
            <w:hideMark/>
          </w:tcPr>
          <w:p w14:paraId="4EB8A79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524 t</w:t>
            </w:r>
          </w:p>
        </w:tc>
        <w:tc>
          <w:tcPr>
            <w:tcW w:w="770" w:type="dxa"/>
            <w:shd w:val="clear" w:color="auto" w:fill="auto"/>
            <w:noWrap/>
            <w:tcMar>
              <w:left w:w="58" w:type="dxa"/>
              <w:right w:w="58" w:type="dxa"/>
            </w:tcMar>
            <w:vAlign w:val="bottom"/>
            <w:hideMark/>
          </w:tcPr>
          <w:p w14:paraId="1D0231A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525 t</w:t>
            </w:r>
          </w:p>
        </w:tc>
        <w:tc>
          <w:tcPr>
            <w:tcW w:w="770" w:type="dxa"/>
            <w:shd w:val="clear" w:color="auto" w:fill="auto"/>
            <w:noWrap/>
            <w:tcMar>
              <w:left w:w="58" w:type="dxa"/>
              <w:right w:w="58" w:type="dxa"/>
            </w:tcMar>
            <w:vAlign w:val="bottom"/>
            <w:hideMark/>
          </w:tcPr>
          <w:p w14:paraId="7838DAA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525 t</w:t>
            </w:r>
          </w:p>
        </w:tc>
        <w:tc>
          <w:tcPr>
            <w:tcW w:w="770" w:type="dxa"/>
            <w:shd w:val="clear" w:color="auto" w:fill="auto"/>
            <w:noWrap/>
            <w:tcMar>
              <w:left w:w="58" w:type="dxa"/>
              <w:right w:w="58" w:type="dxa"/>
            </w:tcMar>
            <w:vAlign w:val="bottom"/>
            <w:hideMark/>
          </w:tcPr>
          <w:p w14:paraId="3828BE2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525 t</w:t>
            </w:r>
          </w:p>
        </w:tc>
        <w:tc>
          <w:tcPr>
            <w:tcW w:w="770" w:type="dxa"/>
            <w:shd w:val="clear" w:color="auto" w:fill="auto"/>
            <w:noWrap/>
            <w:tcMar>
              <w:left w:w="58" w:type="dxa"/>
              <w:right w:w="58" w:type="dxa"/>
            </w:tcMar>
            <w:vAlign w:val="bottom"/>
            <w:hideMark/>
          </w:tcPr>
          <w:p w14:paraId="0E13289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525 t</w:t>
            </w:r>
          </w:p>
        </w:tc>
        <w:tc>
          <w:tcPr>
            <w:tcW w:w="770" w:type="dxa"/>
            <w:shd w:val="clear" w:color="auto" w:fill="auto"/>
            <w:noWrap/>
            <w:tcMar>
              <w:left w:w="58" w:type="dxa"/>
              <w:right w:w="58" w:type="dxa"/>
            </w:tcMar>
            <w:vAlign w:val="bottom"/>
            <w:hideMark/>
          </w:tcPr>
          <w:p w14:paraId="10092DE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525 t</w:t>
            </w:r>
          </w:p>
        </w:tc>
        <w:tc>
          <w:tcPr>
            <w:tcW w:w="770" w:type="dxa"/>
            <w:shd w:val="clear" w:color="auto" w:fill="auto"/>
            <w:noWrap/>
            <w:tcMar>
              <w:left w:w="58" w:type="dxa"/>
              <w:right w:w="58" w:type="dxa"/>
            </w:tcMar>
            <w:vAlign w:val="bottom"/>
            <w:hideMark/>
          </w:tcPr>
          <w:p w14:paraId="4B33CDB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525 t</w:t>
            </w:r>
          </w:p>
        </w:tc>
      </w:tr>
      <w:tr w:rsidR="00721BCE" w:rsidRPr="00721BCE" w14:paraId="7D94771E" w14:textId="77777777" w:rsidTr="005A2D4D">
        <w:trPr>
          <w:trHeight w:val="290"/>
        </w:trPr>
        <w:tc>
          <w:tcPr>
            <w:tcW w:w="1318" w:type="dxa"/>
            <w:shd w:val="clear" w:color="auto" w:fill="auto"/>
            <w:noWrap/>
            <w:tcMar>
              <w:left w:w="58" w:type="dxa"/>
              <w:right w:w="58" w:type="dxa"/>
            </w:tcMar>
            <w:vAlign w:val="bottom"/>
            <w:hideMark/>
          </w:tcPr>
          <w:p w14:paraId="302C1E13" w14:textId="77777777" w:rsidR="00721BCE" w:rsidRPr="00721BCE" w:rsidRDefault="00721BCE" w:rsidP="005A2D4D">
            <w:pPr>
              <w:rPr>
                <w:rFonts w:ascii="Arial Narrow" w:hAnsi="Arial Narrow" w:cs="Calibri"/>
                <w:sz w:val="18"/>
                <w:szCs w:val="18"/>
                <w:lang w:val="en-GB" w:eastAsia="en-GB"/>
              </w:rPr>
            </w:pPr>
            <w:proofErr w:type="spellStart"/>
            <w:r w:rsidRPr="00721BCE">
              <w:rPr>
                <w:rFonts w:ascii="Arial Narrow" w:hAnsi="Arial Narrow" w:cs="Calibri"/>
                <w:sz w:val="18"/>
                <w:szCs w:val="18"/>
                <w:lang w:val="en-GB" w:eastAsia="en-GB"/>
              </w:rPr>
              <w:t>Kompostimi</w:t>
            </w:r>
            <w:proofErr w:type="spellEnd"/>
            <w:r w:rsidRPr="00721BCE">
              <w:rPr>
                <w:rFonts w:ascii="Arial Narrow" w:hAnsi="Arial Narrow" w:cs="Calibri"/>
                <w:sz w:val="18"/>
                <w:szCs w:val="18"/>
                <w:lang w:val="en-GB" w:eastAsia="en-GB"/>
              </w:rPr>
              <w:t xml:space="preserve"> </w:t>
            </w:r>
            <w:proofErr w:type="spellStart"/>
            <w:r w:rsidRPr="00721BCE">
              <w:rPr>
                <w:rFonts w:ascii="Arial Narrow" w:hAnsi="Arial Narrow" w:cs="Calibri"/>
                <w:sz w:val="18"/>
                <w:szCs w:val="18"/>
                <w:lang w:val="en-GB" w:eastAsia="en-GB"/>
              </w:rPr>
              <w:t>shtëpiak</w:t>
            </w:r>
            <w:proofErr w:type="spellEnd"/>
          </w:p>
        </w:tc>
        <w:tc>
          <w:tcPr>
            <w:tcW w:w="769" w:type="dxa"/>
            <w:shd w:val="clear" w:color="auto" w:fill="auto"/>
            <w:noWrap/>
            <w:tcMar>
              <w:left w:w="58" w:type="dxa"/>
              <w:right w:w="58" w:type="dxa"/>
            </w:tcMar>
            <w:vAlign w:val="bottom"/>
            <w:hideMark/>
          </w:tcPr>
          <w:p w14:paraId="278A8BE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0926F8D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62 t</w:t>
            </w:r>
          </w:p>
        </w:tc>
        <w:tc>
          <w:tcPr>
            <w:tcW w:w="770" w:type="dxa"/>
            <w:shd w:val="clear" w:color="auto" w:fill="auto"/>
            <w:noWrap/>
            <w:tcMar>
              <w:left w:w="58" w:type="dxa"/>
              <w:right w:w="58" w:type="dxa"/>
            </w:tcMar>
            <w:vAlign w:val="bottom"/>
            <w:hideMark/>
          </w:tcPr>
          <w:p w14:paraId="372404C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69 t</w:t>
            </w:r>
          </w:p>
        </w:tc>
        <w:tc>
          <w:tcPr>
            <w:tcW w:w="770" w:type="dxa"/>
            <w:shd w:val="clear" w:color="auto" w:fill="auto"/>
            <w:noWrap/>
            <w:tcMar>
              <w:left w:w="58" w:type="dxa"/>
              <w:right w:w="58" w:type="dxa"/>
            </w:tcMar>
            <w:vAlign w:val="bottom"/>
            <w:hideMark/>
          </w:tcPr>
          <w:p w14:paraId="7BD714A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76 t</w:t>
            </w:r>
          </w:p>
        </w:tc>
        <w:tc>
          <w:tcPr>
            <w:tcW w:w="770" w:type="dxa"/>
            <w:shd w:val="clear" w:color="auto" w:fill="auto"/>
            <w:noWrap/>
            <w:tcMar>
              <w:left w:w="58" w:type="dxa"/>
              <w:right w:w="58" w:type="dxa"/>
            </w:tcMar>
            <w:vAlign w:val="bottom"/>
            <w:hideMark/>
          </w:tcPr>
          <w:p w14:paraId="053F97B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84 t</w:t>
            </w:r>
          </w:p>
        </w:tc>
        <w:tc>
          <w:tcPr>
            <w:tcW w:w="770" w:type="dxa"/>
            <w:shd w:val="clear" w:color="auto" w:fill="auto"/>
            <w:noWrap/>
            <w:tcMar>
              <w:left w:w="58" w:type="dxa"/>
              <w:right w:w="58" w:type="dxa"/>
            </w:tcMar>
            <w:vAlign w:val="bottom"/>
            <w:hideMark/>
          </w:tcPr>
          <w:p w14:paraId="73AC33E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90 t</w:t>
            </w:r>
          </w:p>
        </w:tc>
        <w:tc>
          <w:tcPr>
            <w:tcW w:w="770" w:type="dxa"/>
            <w:shd w:val="clear" w:color="auto" w:fill="auto"/>
            <w:noWrap/>
            <w:tcMar>
              <w:left w:w="58" w:type="dxa"/>
              <w:right w:w="58" w:type="dxa"/>
            </w:tcMar>
            <w:vAlign w:val="bottom"/>
            <w:hideMark/>
          </w:tcPr>
          <w:p w14:paraId="304FF86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509 t</w:t>
            </w:r>
          </w:p>
        </w:tc>
        <w:tc>
          <w:tcPr>
            <w:tcW w:w="770" w:type="dxa"/>
            <w:shd w:val="clear" w:color="auto" w:fill="auto"/>
            <w:noWrap/>
            <w:tcMar>
              <w:left w:w="58" w:type="dxa"/>
              <w:right w:w="58" w:type="dxa"/>
            </w:tcMar>
            <w:vAlign w:val="bottom"/>
            <w:hideMark/>
          </w:tcPr>
          <w:p w14:paraId="06F8D54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581 t</w:t>
            </w:r>
          </w:p>
        </w:tc>
        <w:tc>
          <w:tcPr>
            <w:tcW w:w="770" w:type="dxa"/>
            <w:shd w:val="clear" w:color="auto" w:fill="auto"/>
            <w:noWrap/>
            <w:tcMar>
              <w:left w:w="58" w:type="dxa"/>
              <w:right w:w="58" w:type="dxa"/>
            </w:tcMar>
            <w:vAlign w:val="bottom"/>
            <w:hideMark/>
          </w:tcPr>
          <w:p w14:paraId="131B643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664 t</w:t>
            </w:r>
          </w:p>
        </w:tc>
        <w:tc>
          <w:tcPr>
            <w:tcW w:w="770" w:type="dxa"/>
            <w:shd w:val="clear" w:color="auto" w:fill="auto"/>
            <w:noWrap/>
            <w:tcMar>
              <w:left w:w="58" w:type="dxa"/>
              <w:right w:w="58" w:type="dxa"/>
            </w:tcMar>
            <w:vAlign w:val="bottom"/>
            <w:hideMark/>
          </w:tcPr>
          <w:p w14:paraId="1CE0F7F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717 t</w:t>
            </w:r>
          </w:p>
        </w:tc>
      </w:tr>
      <w:tr w:rsidR="00721BCE" w:rsidRPr="00721BCE" w14:paraId="4C24D6CE" w14:textId="77777777" w:rsidTr="005A2D4D">
        <w:trPr>
          <w:trHeight w:val="290"/>
        </w:trPr>
        <w:tc>
          <w:tcPr>
            <w:tcW w:w="1318" w:type="dxa"/>
            <w:shd w:val="clear" w:color="auto" w:fill="auto"/>
            <w:noWrap/>
            <w:tcMar>
              <w:left w:w="58" w:type="dxa"/>
              <w:right w:w="58" w:type="dxa"/>
            </w:tcMar>
            <w:vAlign w:val="bottom"/>
            <w:hideMark/>
          </w:tcPr>
          <w:p w14:paraId="43AABE4C" w14:textId="77777777" w:rsidR="00721BCE" w:rsidRPr="003069B8" w:rsidRDefault="00721BCE" w:rsidP="005A2D4D">
            <w:pPr>
              <w:rPr>
                <w:rFonts w:ascii="Arial Narrow" w:hAnsi="Arial Narrow" w:cs="Calibri"/>
                <w:sz w:val="18"/>
                <w:szCs w:val="18"/>
                <w:lang w:val="es-ES" w:eastAsia="en-GB"/>
              </w:rPr>
            </w:pPr>
            <w:proofErr w:type="spellStart"/>
            <w:r w:rsidRPr="003069B8">
              <w:rPr>
                <w:rFonts w:ascii="Arial Narrow" w:hAnsi="Arial Narrow" w:cs="Calibri"/>
                <w:sz w:val="18"/>
                <w:szCs w:val="18"/>
                <w:lang w:val="es-ES" w:eastAsia="en-GB"/>
              </w:rPr>
              <w:t>Mbeturinat</w:t>
            </w:r>
            <w:proofErr w:type="spellEnd"/>
            <w:r w:rsidRPr="003069B8">
              <w:rPr>
                <w:rFonts w:ascii="Arial Narrow" w:hAnsi="Arial Narrow" w:cs="Calibri"/>
                <w:sz w:val="18"/>
                <w:szCs w:val="18"/>
                <w:lang w:val="es-ES" w:eastAsia="en-GB"/>
              </w:rPr>
              <w:t xml:space="preserve"> e </w:t>
            </w:r>
            <w:proofErr w:type="spellStart"/>
            <w:r w:rsidRPr="003069B8">
              <w:rPr>
                <w:rFonts w:ascii="Arial Narrow" w:hAnsi="Arial Narrow" w:cs="Calibri"/>
                <w:sz w:val="18"/>
                <w:szCs w:val="18"/>
                <w:lang w:val="es-ES" w:eastAsia="en-GB"/>
              </w:rPr>
              <w:t>përziera</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të</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grumbulluara</w:t>
            </w:r>
            <w:proofErr w:type="spellEnd"/>
          </w:p>
        </w:tc>
        <w:tc>
          <w:tcPr>
            <w:tcW w:w="769" w:type="dxa"/>
            <w:shd w:val="clear" w:color="auto" w:fill="auto"/>
            <w:noWrap/>
            <w:tcMar>
              <w:left w:w="58" w:type="dxa"/>
              <w:right w:w="58" w:type="dxa"/>
            </w:tcMar>
            <w:vAlign w:val="bottom"/>
            <w:hideMark/>
          </w:tcPr>
          <w:p w14:paraId="085341F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7,230 t</w:t>
            </w:r>
          </w:p>
        </w:tc>
        <w:tc>
          <w:tcPr>
            <w:tcW w:w="769" w:type="dxa"/>
            <w:shd w:val="clear" w:color="auto" w:fill="auto"/>
            <w:noWrap/>
            <w:tcMar>
              <w:left w:w="58" w:type="dxa"/>
              <w:right w:w="58" w:type="dxa"/>
            </w:tcMar>
            <w:vAlign w:val="bottom"/>
            <w:hideMark/>
          </w:tcPr>
          <w:p w14:paraId="7D15E70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6,013 t</w:t>
            </w:r>
          </w:p>
        </w:tc>
        <w:tc>
          <w:tcPr>
            <w:tcW w:w="770" w:type="dxa"/>
            <w:shd w:val="clear" w:color="auto" w:fill="auto"/>
            <w:noWrap/>
            <w:tcMar>
              <w:left w:w="58" w:type="dxa"/>
              <w:right w:w="58" w:type="dxa"/>
            </w:tcMar>
            <w:vAlign w:val="bottom"/>
            <w:hideMark/>
          </w:tcPr>
          <w:p w14:paraId="4C4D235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5,912 t</w:t>
            </w:r>
          </w:p>
        </w:tc>
        <w:tc>
          <w:tcPr>
            <w:tcW w:w="770" w:type="dxa"/>
            <w:shd w:val="clear" w:color="auto" w:fill="auto"/>
            <w:noWrap/>
            <w:tcMar>
              <w:left w:w="58" w:type="dxa"/>
              <w:right w:w="58" w:type="dxa"/>
            </w:tcMar>
            <w:vAlign w:val="bottom"/>
            <w:hideMark/>
          </w:tcPr>
          <w:p w14:paraId="465220D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5792 t</w:t>
            </w:r>
          </w:p>
        </w:tc>
        <w:tc>
          <w:tcPr>
            <w:tcW w:w="770" w:type="dxa"/>
            <w:shd w:val="clear" w:color="auto" w:fill="auto"/>
            <w:noWrap/>
            <w:tcMar>
              <w:left w:w="58" w:type="dxa"/>
              <w:right w:w="58" w:type="dxa"/>
            </w:tcMar>
            <w:vAlign w:val="bottom"/>
            <w:hideMark/>
          </w:tcPr>
          <w:p w14:paraId="57C3B11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5,595 t</w:t>
            </w:r>
          </w:p>
        </w:tc>
        <w:tc>
          <w:tcPr>
            <w:tcW w:w="770" w:type="dxa"/>
            <w:shd w:val="clear" w:color="auto" w:fill="auto"/>
            <w:noWrap/>
            <w:tcMar>
              <w:left w:w="58" w:type="dxa"/>
              <w:right w:w="58" w:type="dxa"/>
            </w:tcMar>
            <w:vAlign w:val="bottom"/>
            <w:hideMark/>
          </w:tcPr>
          <w:p w14:paraId="096D0A3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5,426 t</w:t>
            </w:r>
          </w:p>
        </w:tc>
        <w:tc>
          <w:tcPr>
            <w:tcW w:w="770" w:type="dxa"/>
            <w:shd w:val="clear" w:color="auto" w:fill="auto"/>
            <w:noWrap/>
            <w:tcMar>
              <w:left w:w="58" w:type="dxa"/>
              <w:right w:w="58" w:type="dxa"/>
            </w:tcMar>
            <w:vAlign w:val="bottom"/>
            <w:hideMark/>
          </w:tcPr>
          <w:p w14:paraId="372E5B9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4,416 t</w:t>
            </w:r>
          </w:p>
        </w:tc>
        <w:tc>
          <w:tcPr>
            <w:tcW w:w="770" w:type="dxa"/>
            <w:shd w:val="clear" w:color="auto" w:fill="auto"/>
            <w:noWrap/>
            <w:tcMar>
              <w:left w:w="58" w:type="dxa"/>
              <w:right w:w="58" w:type="dxa"/>
            </w:tcMar>
            <w:vAlign w:val="bottom"/>
            <w:hideMark/>
          </w:tcPr>
          <w:p w14:paraId="087C87C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4,243 t</w:t>
            </w:r>
          </w:p>
        </w:tc>
        <w:tc>
          <w:tcPr>
            <w:tcW w:w="770" w:type="dxa"/>
            <w:shd w:val="clear" w:color="auto" w:fill="auto"/>
            <w:noWrap/>
            <w:tcMar>
              <w:left w:w="58" w:type="dxa"/>
              <w:right w:w="58" w:type="dxa"/>
            </w:tcMar>
            <w:vAlign w:val="bottom"/>
            <w:hideMark/>
          </w:tcPr>
          <w:p w14:paraId="2C7086B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4,068 t</w:t>
            </w:r>
          </w:p>
        </w:tc>
        <w:tc>
          <w:tcPr>
            <w:tcW w:w="770" w:type="dxa"/>
            <w:shd w:val="clear" w:color="auto" w:fill="auto"/>
            <w:noWrap/>
            <w:tcMar>
              <w:left w:w="58" w:type="dxa"/>
              <w:right w:w="58" w:type="dxa"/>
            </w:tcMar>
            <w:vAlign w:val="bottom"/>
            <w:hideMark/>
          </w:tcPr>
          <w:p w14:paraId="73EC527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3,926 t</w:t>
            </w:r>
          </w:p>
        </w:tc>
      </w:tr>
      <w:tr w:rsidR="00721BCE" w:rsidRPr="00721BCE" w14:paraId="1E277D75" w14:textId="77777777" w:rsidTr="005A2D4D">
        <w:trPr>
          <w:trHeight w:val="290"/>
        </w:trPr>
        <w:tc>
          <w:tcPr>
            <w:tcW w:w="1318" w:type="dxa"/>
            <w:shd w:val="clear" w:color="auto" w:fill="auto"/>
            <w:noWrap/>
            <w:tcMar>
              <w:left w:w="58" w:type="dxa"/>
              <w:right w:w="58" w:type="dxa"/>
            </w:tcMar>
            <w:vAlign w:val="bottom"/>
            <w:hideMark/>
          </w:tcPr>
          <w:p w14:paraId="3C517793" w14:textId="77777777" w:rsidR="00721BCE" w:rsidRPr="00721BCE" w:rsidRDefault="00721BCE" w:rsidP="005A2D4D">
            <w:pPr>
              <w:rPr>
                <w:rFonts w:ascii="Arial Narrow" w:hAnsi="Arial Narrow" w:cs="Calibri"/>
                <w:sz w:val="18"/>
                <w:szCs w:val="18"/>
                <w:lang w:val="en-GB" w:eastAsia="en-GB"/>
              </w:rPr>
            </w:pPr>
            <w:proofErr w:type="spellStart"/>
            <w:r w:rsidRPr="00721BCE">
              <w:rPr>
                <w:rFonts w:ascii="Arial Narrow" w:hAnsi="Arial Narrow" w:cs="Calibri"/>
                <w:sz w:val="18"/>
                <w:szCs w:val="18"/>
                <w:lang w:val="en-GB" w:eastAsia="en-GB"/>
              </w:rPr>
              <w:t>Rikuperimi</w:t>
            </w:r>
            <w:proofErr w:type="spellEnd"/>
            <w:r w:rsidRPr="00721BCE">
              <w:rPr>
                <w:rFonts w:ascii="Arial Narrow" w:hAnsi="Arial Narrow" w:cs="Calibri"/>
                <w:sz w:val="18"/>
                <w:szCs w:val="18"/>
                <w:lang w:val="en-GB" w:eastAsia="en-GB"/>
              </w:rPr>
              <w:t xml:space="preserve"> i </w:t>
            </w:r>
            <w:proofErr w:type="spellStart"/>
            <w:r w:rsidRPr="00721BCE">
              <w:rPr>
                <w:rFonts w:ascii="Arial Narrow" w:hAnsi="Arial Narrow" w:cs="Calibri"/>
                <w:sz w:val="18"/>
                <w:szCs w:val="18"/>
                <w:lang w:val="en-GB" w:eastAsia="en-GB"/>
              </w:rPr>
              <w:t>tekstilit</w:t>
            </w:r>
            <w:proofErr w:type="spellEnd"/>
          </w:p>
        </w:tc>
        <w:tc>
          <w:tcPr>
            <w:tcW w:w="769" w:type="dxa"/>
            <w:shd w:val="clear" w:color="auto" w:fill="auto"/>
            <w:noWrap/>
            <w:tcMar>
              <w:left w:w="58" w:type="dxa"/>
              <w:right w:w="58" w:type="dxa"/>
            </w:tcMar>
            <w:vAlign w:val="bottom"/>
            <w:hideMark/>
          </w:tcPr>
          <w:p w14:paraId="1C651AF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6DC86A6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3CA6776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593FE55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034F020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56 t</w:t>
            </w:r>
          </w:p>
        </w:tc>
        <w:tc>
          <w:tcPr>
            <w:tcW w:w="770" w:type="dxa"/>
            <w:shd w:val="clear" w:color="auto" w:fill="auto"/>
            <w:noWrap/>
            <w:tcMar>
              <w:left w:w="58" w:type="dxa"/>
              <w:right w:w="58" w:type="dxa"/>
            </w:tcMar>
            <w:vAlign w:val="bottom"/>
            <w:hideMark/>
          </w:tcPr>
          <w:p w14:paraId="090E30F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64 t</w:t>
            </w:r>
          </w:p>
        </w:tc>
        <w:tc>
          <w:tcPr>
            <w:tcW w:w="770" w:type="dxa"/>
            <w:shd w:val="clear" w:color="auto" w:fill="auto"/>
            <w:noWrap/>
            <w:tcMar>
              <w:left w:w="58" w:type="dxa"/>
              <w:right w:w="58" w:type="dxa"/>
            </w:tcMar>
            <w:vAlign w:val="bottom"/>
            <w:hideMark/>
          </w:tcPr>
          <w:p w14:paraId="007A67A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420 t</w:t>
            </w:r>
          </w:p>
        </w:tc>
        <w:tc>
          <w:tcPr>
            <w:tcW w:w="770" w:type="dxa"/>
            <w:shd w:val="clear" w:color="auto" w:fill="auto"/>
            <w:noWrap/>
            <w:tcMar>
              <w:left w:w="58" w:type="dxa"/>
              <w:right w:w="58" w:type="dxa"/>
            </w:tcMar>
            <w:vAlign w:val="bottom"/>
            <w:hideMark/>
          </w:tcPr>
          <w:p w14:paraId="72E83BC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444 t</w:t>
            </w:r>
          </w:p>
        </w:tc>
        <w:tc>
          <w:tcPr>
            <w:tcW w:w="770" w:type="dxa"/>
            <w:shd w:val="clear" w:color="auto" w:fill="auto"/>
            <w:noWrap/>
            <w:tcMar>
              <w:left w:w="58" w:type="dxa"/>
              <w:right w:w="58" w:type="dxa"/>
            </w:tcMar>
            <w:vAlign w:val="bottom"/>
            <w:hideMark/>
          </w:tcPr>
          <w:p w14:paraId="524AB12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468 t</w:t>
            </w:r>
          </w:p>
        </w:tc>
        <w:tc>
          <w:tcPr>
            <w:tcW w:w="770" w:type="dxa"/>
            <w:shd w:val="clear" w:color="auto" w:fill="auto"/>
            <w:noWrap/>
            <w:tcMar>
              <w:left w:w="58" w:type="dxa"/>
              <w:right w:w="58" w:type="dxa"/>
            </w:tcMar>
            <w:vAlign w:val="bottom"/>
            <w:hideMark/>
          </w:tcPr>
          <w:p w14:paraId="167B959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495 t</w:t>
            </w:r>
          </w:p>
        </w:tc>
      </w:tr>
      <w:tr w:rsidR="00721BCE" w:rsidRPr="00721BCE" w14:paraId="27C4EEC3" w14:textId="77777777" w:rsidTr="005A2D4D">
        <w:trPr>
          <w:trHeight w:val="290"/>
        </w:trPr>
        <w:tc>
          <w:tcPr>
            <w:tcW w:w="1318" w:type="dxa"/>
            <w:shd w:val="clear" w:color="auto" w:fill="auto"/>
            <w:noWrap/>
            <w:tcMar>
              <w:left w:w="58" w:type="dxa"/>
              <w:right w:w="58" w:type="dxa"/>
            </w:tcMar>
            <w:vAlign w:val="bottom"/>
            <w:hideMark/>
          </w:tcPr>
          <w:p w14:paraId="6C04A7AD" w14:textId="77777777" w:rsidR="00721BCE" w:rsidRPr="00721BCE" w:rsidRDefault="00721BCE" w:rsidP="005A2D4D">
            <w:pPr>
              <w:rPr>
                <w:rFonts w:ascii="Arial Narrow" w:hAnsi="Arial Narrow" w:cs="Calibri"/>
                <w:sz w:val="18"/>
                <w:szCs w:val="18"/>
                <w:lang w:val="en-GB" w:eastAsia="en-GB"/>
              </w:rPr>
            </w:pPr>
            <w:proofErr w:type="spellStart"/>
            <w:r w:rsidRPr="00721BCE">
              <w:rPr>
                <w:rFonts w:ascii="Arial Narrow" w:hAnsi="Arial Narrow" w:cs="Calibri"/>
                <w:sz w:val="18"/>
                <w:szCs w:val="18"/>
                <w:lang w:val="en-GB" w:eastAsia="en-GB"/>
              </w:rPr>
              <w:t>Mbeturinat</w:t>
            </w:r>
            <w:proofErr w:type="spellEnd"/>
            <w:r w:rsidRPr="00721BCE">
              <w:rPr>
                <w:rFonts w:ascii="Arial Narrow" w:hAnsi="Arial Narrow" w:cs="Calibri"/>
                <w:sz w:val="18"/>
                <w:szCs w:val="18"/>
                <w:lang w:val="en-GB" w:eastAsia="en-GB"/>
              </w:rPr>
              <w:t xml:space="preserve"> e </w:t>
            </w:r>
            <w:proofErr w:type="spellStart"/>
            <w:r w:rsidRPr="00721BCE">
              <w:rPr>
                <w:rFonts w:ascii="Arial Narrow" w:hAnsi="Arial Narrow" w:cs="Calibri"/>
                <w:sz w:val="18"/>
                <w:szCs w:val="18"/>
                <w:lang w:val="en-GB" w:eastAsia="en-GB"/>
              </w:rPr>
              <w:t>përziera</w:t>
            </w:r>
            <w:proofErr w:type="spellEnd"/>
            <w:r w:rsidRPr="00721BCE">
              <w:rPr>
                <w:rFonts w:ascii="Arial Narrow" w:hAnsi="Arial Narrow" w:cs="Calibri"/>
                <w:sz w:val="18"/>
                <w:szCs w:val="18"/>
                <w:lang w:val="en-GB" w:eastAsia="en-GB"/>
              </w:rPr>
              <w:t xml:space="preserve"> </w:t>
            </w:r>
            <w:proofErr w:type="spellStart"/>
            <w:r w:rsidRPr="00721BCE">
              <w:rPr>
                <w:rFonts w:ascii="Arial Narrow" w:hAnsi="Arial Narrow" w:cs="Calibri"/>
                <w:sz w:val="18"/>
                <w:szCs w:val="18"/>
                <w:lang w:val="en-GB" w:eastAsia="en-GB"/>
              </w:rPr>
              <w:t>për</w:t>
            </w:r>
            <w:proofErr w:type="spellEnd"/>
            <w:r w:rsidRPr="00721BCE">
              <w:rPr>
                <w:rFonts w:ascii="Arial Narrow" w:hAnsi="Arial Narrow" w:cs="Calibri"/>
                <w:sz w:val="18"/>
                <w:szCs w:val="18"/>
                <w:lang w:val="en-GB" w:eastAsia="en-GB"/>
              </w:rPr>
              <w:t xml:space="preserve"> </w:t>
            </w:r>
            <w:proofErr w:type="spellStart"/>
            <w:r w:rsidRPr="00721BCE">
              <w:rPr>
                <w:rFonts w:ascii="Arial Narrow" w:hAnsi="Arial Narrow" w:cs="Calibri"/>
                <w:sz w:val="18"/>
                <w:szCs w:val="18"/>
                <w:lang w:val="en-GB" w:eastAsia="en-GB"/>
              </w:rPr>
              <w:t>trajtim</w:t>
            </w:r>
            <w:proofErr w:type="spellEnd"/>
            <w:r w:rsidRPr="00721BCE">
              <w:rPr>
                <w:rFonts w:ascii="Arial Narrow" w:hAnsi="Arial Narrow" w:cs="Calibri"/>
                <w:sz w:val="18"/>
                <w:szCs w:val="18"/>
                <w:lang w:val="en-GB" w:eastAsia="en-GB"/>
              </w:rPr>
              <w:t xml:space="preserve"> </w:t>
            </w:r>
            <w:proofErr w:type="spellStart"/>
            <w:r w:rsidRPr="00721BCE">
              <w:rPr>
                <w:rFonts w:ascii="Arial Narrow" w:hAnsi="Arial Narrow" w:cs="Calibri"/>
                <w:sz w:val="18"/>
                <w:szCs w:val="18"/>
                <w:lang w:val="en-GB" w:eastAsia="en-GB"/>
              </w:rPr>
              <w:t>në</w:t>
            </w:r>
            <w:proofErr w:type="spellEnd"/>
            <w:r w:rsidRPr="00721BCE">
              <w:rPr>
                <w:rFonts w:ascii="Arial Narrow" w:hAnsi="Arial Narrow" w:cs="Calibri"/>
                <w:sz w:val="18"/>
                <w:szCs w:val="18"/>
                <w:lang w:val="en-GB" w:eastAsia="en-GB"/>
              </w:rPr>
              <w:t xml:space="preserve"> TMB</w:t>
            </w:r>
          </w:p>
        </w:tc>
        <w:tc>
          <w:tcPr>
            <w:tcW w:w="769" w:type="dxa"/>
            <w:shd w:val="clear" w:color="auto" w:fill="auto"/>
            <w:noWrap/>
            <w:tcMar>
              <w:left w:w="58" w:type="dxa"/>
              <w:right w:w="58" w:type="dxa"/>
            </w:tcMar>
            <w:vAlign w:val="bottom"/>
            <w:hideMark/>
          </w:tcPr>
          <w:p w14:paraId="09A17E3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1373492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48CA938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1E8B19A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59650E6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14E6C90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4BC020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4,416 t</w:t>
            </w:r>
          </w:p>
        </w:tc>
        <w:tc>
          <w:tcPr>
            <w:tcW w:w="770" w:type="dxa"/>
            <w:shd w:val="clear" w:color="auto" w:fill="auto"/>
            <w:noWrap/>
            <w:tcMar>
              <w:left w:w="58" w:type="dxa"/>
              <w:right w:w="58" w:type="dxa"/>
            </w:tcMar>
            <w:vAlign w:val="bottom"/>
            <w:hideMark/>
          </w:tcPr>
          <w:p w14:paraId="6BA71F4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4,243 t</w:t>
            </w:r>
          </w:p>
        </w:tc>
        <w:tc>
          <w:tcPr>
            <w:tcW w:w="770" w:type="dxa"/>
            <w:shd w:val="clear" w:color="auto" w:fill="auto"/>
            <w:noWrap/>
            <w:tcMar>
              <w:left w:w="58" w:type="dxa"/>
              <w:right w:w="58" w:type="dxa"/>
            </w:tcMar>
            <w:vAlign w:val="bottom"/>
            <w:hideMark/>
          </w:tcPr>
          <w:p w14:paraId="0569064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4068 t</w:t>
            </w:r>
          </w:p>
        </w:tc>
        <w:tc>
          <w:tcPr>
            <w:tcW w:w="770" w:type="dxa"/>
            <w:shd w:val="clear" w:color="auto" w:fill="auto"/>
            <w:noWrap/>
            <w:tcMar>
              <w:left w:w="58" w:type="dxa"/>
              <w:right w:w="58" w:type="dxa"/>
            </w:tcMar>
            <w:vAlign w:val="bottom"/>
            <w:hideMark/>
          </w:tcPr>
          <w:p w14:paraId="2922668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3,926 t</w:t>
            </w:r>
          </w:p>
        </w:tc>
      </w:tr>
      <w:tr w:rsidR="00721BCE" w:rsidRPr="00721BCE" w14:paraId="4D3A73BB" w14:textId="77777777" w:rsidTr="005A2D4D">
        <w:trPr>
          <w:trHeight w:val="290"/>
        </w:trPr>
        <w:tc>
          <w:tcPr>
            <w:tcW w:w="1318" w:type="dxa"/>
            <w:shd w:val="clear" w:color="auto" w:fill="auto"/>
            <w:noWrap/>
            <w:tcMar>
              <w:left w:w="58" w:type="dxa"/>
              <w:right w:w="58" w:type="dxa"/>
            </w:tcMar>
            <w:vAlign w:val="bottom"/>
            <w:hideMark/>
          </w:tcPr>
          <w:p w14:paraId="490889E1"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Mbeturinat ushqimore për trajtim në kontejnerë të specializuar</w:t>
            </w:r>
          </w:p>
        </w:tc>
        <w:tc>
          <w:tcPr>
            <w:tcW w:w="769" w:type="dxa"/>
            <w:shd w:val="clear" w:color="auto" w:fill="auto"/>
            <w:noWrap/>
            <w:tcMar>
              <w:left w:w="58" w:type="dxa"/>
              <w:right w:w="58" w:type="dxa"/>
            </w:tcMar>
            <w:vAlign w:val="bottom"/>
            <w:hideMark/>
          </w:tcPr>
          <w:p w14:paraId="679E4AD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3EA8F1B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24EDA3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56175CA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594A74A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186AA39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 t</w:t>
            </w:r>
          </w:p>
        </w:tc>
        <w:tc>
          <w:tcPr>
            <w:tcW w:w="770" w:type="dxa"/>
            <w:shd w:val="clear" w:color="auto" w:fill="auto"/>
            <w:noWrap/>
            <w:tcMar>
              <w:left w:w="58" w:type="dxa"/>
              <w:right w:w="58" w:type="dxa"/>
            </w:tcMar>
            <w:vAlign w:val="bottom"/>
            <w:hideMark/>
          </w:tcPr>
          <w:p w14:paraId="4E124E5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62 t</w:t>
            </w:r>
          </w:p>
        </w:tc>
        <w:tc>
          <w:tcPr>
            <w:tcW w:w="770" w:type="dxa"/>
            <w:shd w:val="clear" w:color="auto" w:fill="auto"/>
            <w:noWrap/>
            <w:tcMar>
              <w:left w:w="58" w:type="dxa"/>
              <w:right w:w="58" w:type="dxa"/>
            </w:tcMar>
            <w:vAlign w:val="bottom"/>
            <w:hideMark/>
          </w:tcPr>
          <w:p w14:paraId="2F5436D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69 t</w:t>
            </w:r>
          </w:p>
        </w:tc>
        <w:tc>
          <w:tcPr>
            <w:tcW w:w="770" w:type="dxa"/>
            <w:shd w:val="clear" w:color="auto" w:fill="auto"/>
            <w:noWrap/>
            <w:tcMar>
              <w:left w:w="58" w:type="dxa"/>
              <w:right w:w="58" w:type="dxa"/>
            </w:tcMar>
            <w:vAlign w:val="bottom"/>
            <w:hideMark/>
          </w:tcPr>
          <w:p w14:paraId="4CC8009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76 t</w:t>
            </w:r>
          </w:p>
        </w:tc>
        <w:tc>
          <w:tcPr>
            <w:tcW w:w="770" w:type="dxa"/>
            <w:shd w:val="clear" w:color="auto" w:fill="auto"/>
            <w:noWrap/>
            <w:tcMar>
              <w:left w:w="58" w:type="dxa"/>
              <w:right w:w="58" w:type="dxa"/>
            </w:tcMar>
            <w:vAlign w:val="bottom"/>
            <w:hideMark/>
          </w:tcPr>
          <w:p w14:paraId="2FCC573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85 t</w:t>
            </w:r>
          </w:p>
        </w:tc>
      </w:tr>
      <w:tr w:rsidR="00721BCE" w:rsidRPr="00721BCE" w14:paraId="05742200" w14:textId="77777777" w:rsidTr="005A2D4D">
        <w:trPr>
          <w:trHeight w:val="290"/>
        </w:trPr>
        <w:tc>
          <w:tcPr>
            <w:tcW w:w="1318" w:type="dxa"/>
            <w:shd w:val="clear" w:color="auto" w:fill="auto"/>
            <w:noWrap/>
            <w:tcMar>
              <w:left w:w="58" w:type="dxa"/>
              <w:right w:w="58" w:type="dxa"/>
            </w:tcMar>
            <w:vAlign w:val="bottom"/>
            <w:hideMark/>
          </w:tcPr>
          <w:p w14:paraId="5676A0DA"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Papastërtitë nga klasifikimi në deponi</w:t>
            </w:r>
          </w:p>
        </w:tc>
        <w:tc>
          <w:tcPr>
            <w:tcW w:w="769" w:type="dxa"/>
            <w:shd w:val="clear" w:color="auto" w:fill="auto"/>
            <w:noWrap/>
            <w:tcMar>
              <w:left w:w="58" w:type="dxa"/>
              <w:right w:w="58" w:type="dxa"/>
            </w:tcMar>
            <w:vAlign w:val="bottom"/>
            <w:hideMark/>
          </w:tcPr>
          <w:p w14:paraId="2005B5D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161CFEF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154 t</w:t>
            </w:r>
          </w:p>
        </w:tc>
        <w:tc>
          <w:tcPr>
            <w:tcW w:w="770" w:type="dxa"/>
            <w:shd w:val="clear" w:color="auto" w:fill="auto"/>
            <w:noWrap/>
            <w:tcMar>
              <w:left w:w="58" w:type="dxa"/>
              <w:right w:w="58" w:type="dxa"/>
            </w:tcMar>
            <w:vAlign w:val="bottom"/>
            <w:hideMark/>
          </w:tcPr>
          <w:p w14:paraId="716E6D7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171 t</w:t>
            </w:r>
          </w:p>
        </w:tc>
        <w:tc>
          <w:tcPr>
            <w:tcW w:w="770" w:type="dxa"/>
            <w:shd w:val="clear" w:color="auto" w:fill="auto"/>
            <w:noWrap/>
            <w:tcMar>
              <w:left w:w="58" w:type="dxa"/>
              <w:right w:w="58" w:type="dxa"/>
            </w:tcMar>
            <w:vAlign w:val="bottom"/>
            <w:hideMark/>
          </w:tcPr>
          <w:p w14:paraId="3469AA3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191 t</w:t>
            </w:r>
          </w:p>
        </w:tc>
        <w:tc>
          <w:tcPr>
            <w:tcW w:w="770" w:type="dxa"/>
            <w:shd w:val="clear" w:color="auto" w:fill="auto"/>
            <w:noWrap/>
            <w:tcMar>
              <w:left w:w="58" w:type="dxa"/>
              <w:right w:w="58" w:type="dxa"/>
            </w:tcMar>
            <w:vAlign w:val="bottom"/>
            <w:hideMark/>
          </w:tcPr>
          <w:p w14:paraId="54B31CB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213 t</w:t>
            </w:r>
          </w:p>
        </w:tc>
        <w:tc>
          <w:tcPr>
            <w:tcW w:w="770" w:type="dxa"/>
            <w:shd w:val="clear" w:color="auto" w:fill="auto"/>
            <w:noWrap/>
            <w:tcMar>
              <w:left w:w="58" w:type="dxa"/>
              <w:right w:w="58" w:type="dxa"/>
            </w:tcMar>
            <w:vAlign w:val="bottom"/>
            <w:hideMark/>
          </w:tcPr>
          <w:p w14:paraId="7660E56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239 t</w:t>
            </w:r>
          </w:p>
        </w:tc>
        <w:tc>
          <w:tcPr>
            <w:tcW w:w="770" w:type="dxa"/>
            <w:shd w:val="clear" w:color="auto" w:fill="auto"/>
            <w:noWrap/>
            <w:tcMar>
              <w:left w:w="58" w:type="dxa"/>
              <w:right w:w="58" w:type="dxa"/>
            </w:tcMar>
            <w:vAlign w:val="bottom"/>
            <w:hideMark/>
          </w:tcPr>
          <w:p w14:paraId="7E4C98B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267 t</w:t>
            </w:r>
          </w:p>
        </w:tc>
        <w:tc>
          <w:tcPr>
            <w:tcW w:w="770" w:type="dxa"/>
            <w:shd w:val="clear" w:color="auto" w:fill="auto"/>
            <w:noWrap/>
            <w:tcMar>
              <w:left w:w="58" w:type="dxa"/>
              <w:right w:w="58" w:type="dxa"/>
            </w:tcMar>
            <w:vAlign w:val="bottom"/>
            <w:hideMark/>
          </w:tcPr>
          <w:p w14:paraId="5B8BCCF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281 t</w:t>
            </w:r>
          </w:p>
        </w:tc>
        <w:tc>
          <w:tcPr>
            <w:tcW w:w="770" w:type="dxa"/>
            <w:shd w:val="clear" w:color="auto" w:fill="auto"/>
            <w:noWrap/>
            <w:tcMar>
              <w:left w:w="58" w:type="dxa"/>
              <w:right w:w="58" w:type="dxa"/>
            </w:tcMar>
            <w:vAlign w:val="bottom"/>
            <w:hideMark/>
          </w:tcPr>
          <w:p w14:paraId="1D4419B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295 t</w:t>
            </w:r>
          </w:p>
        </w:tc>
        <w:tc>
          <w:tcPr>
            <w:tcW w:w="770" w:type="dxa"/>
            <w:shd w:val="clear" w:color="auto" w:fill="auto"/>
            <w:noWrap/>
            <w:tcMar>
              <w:left w:w="58" w:type="dxa"/>
              <w:right w:w="58" w:type="dxa"/>
            </w:tcMar>
            <w:vAlign w:val="bottom"/>
            <w:hideMark/>
          </w:tcPr>
          <w:p w14:paraId="589C765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307 t</w:t>
            </w:r>
          </w:p>
        </w:tc>
      </w:tr>
      <w:tr w:rsidR="00721BCE" w:rsidRPr="00721BCE" w14:paraId="6467908B" w14:textId="77777777" w:rsidTr="005A2D4D">
        <w:trPr>
          <w:trHeight w:val="290"/>
        </w:trPr>
        <w:tc>
          <w:tcPr>
            <w:tcW w:w="1318" w:type="dxa"/>
            <w:shd w:val="clear" w:color="auto" w:fill="auto"/>
            <w:noWrap/>
            <w:tcMar>
              <w:left w:w="58" w:type="dxa"/>
              <w:right w:w="58" w:type="dxa"/>
            </w:tcMar>
            <w:vAlign w:val="bottom"/>
            <w:hideMark/>
          </w:tcPr>
          <w:p w14:paraId="5349174A"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Përzierjet nga TMB në deponi</w:t>
            </w:r>
          </w:p>
        </w:tc>
        <w:tc>
          <w:tcPr>
            <w:tcW w:w="769" w:type="dxa"/>
            <w:shd w:val="clear" w:color="auto" w:fill="auto"/>
            <w:noWrap/>
            <w:tcMar>
              <w:left w:w="58" w:type="dxa"/>
              <w:right w:w="58" w:type="dxa"/>
            </w:tcMar>
            <w:vAlign w:val="bottom"/>
            <w:hideMark/>
          </w:tcPr>
          <w:p w14:paraId="360F620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0731635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0CBCD98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43F29AA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4D2343B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5CE8CD6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6A1C6B5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1,107 t</w:t>
            </w:r>
          </w:p>
        </w:tc>
        <w:tc>
          <w:tcPr>
            <w:tcW w:w="770" w:type="dxa"/>
            <w:shd w:val="clear" w:color="auto" w:fill="auto"/>
            <w:noWrap/>
            <w:tcMar>
              <w:left w:w="58" w:type="dxa"/>
              <w:right w:w="58" w:type="dxa"/>
            </w:tcMar>
            <w:vAlign w:val="bottom"/>
            <w:hideMark/>
          </w:tcPr>
          <w:p w14:paraId="5F4EC5A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1,072 t</w:t>
            </w:r>
          </w:p>
        </w:tc>
        <w:tc>
          <w:tcPr>
            <w:tcW w:w="770" w:type="dxa"/>
            <w:shd w:val="clear" w:color="auto" w:fill="auto"/>
            <w:noWrap/>
            <w:tcMar>
              <w:left w:w="58" w:type="dxa"/>
              <w:right w:w="58" w:type="dxa"/>
            </w:tcMar>
            <w:vAlign w:val="bottom"/>
            <w:hideMark/>
          </w:tcPr>
          <w:p w14:paraId="6C01FB8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1,035 t</w:t>
            </w:r>
          </w:p>
        </w:tc>
        <w:tc>
          <w:tcPr>
            <w:tcW w:w="770" w:type="dxa"/>
            <w:shd w:val="clear" w:color="auto" w:fill="auto"/>
            <w:noWrap/>
            <w:tcMar>
              <w:left w:w="58" w:type="dxa"/>
              <w:right w:w="58" w:type="dxa"/>
            </w:tcMar>
            <w:vAlign w:val="bottom"/>
            <w:hideMark/>
          </w:tcPr>
          <w:p w14:paraId="231B2BA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1,004 t</w:t>
            </w:r>
          </w:p>
        </w:tc>
      </w:tr>
      <w:tr w:rsidR="00721BCE" w:rsidRPr="00721BCE" w14:paraId="351EC5B0" w14:textId="77777777" w:rsidTr="005A2D4D">
        <w:trPr>
          <w:trHeight w:val="300"/>
        </w:trPr>
        <w:tc>
          <w:tcPr>
            <w:tcW w:w="1318" w:type="dxa"/>
            <w:shd w:val="clear" w:color="auto" w:fill="auto"/>
            <w:noWrap/>
            <w:tcMar>
              <w:left w:w="58" w:type="dxa"/>
              <w:right w:w="58" w:type="dxa"/>
            </w:tcMar>
            <w:vAlign w:val="bottom"/>
            <w:hideMark/>
          </w:tcPr>
          <w:p w14:paraId="742118A2" w14:textId="77777777" w:rsidR="00721BCE" w:rsidRPr="00721BCE" w:rsidRDefault="00721BCE" w:rsidP="005A2D4D">
            <w:pPr>
              <w:rPr>
                <w:rFonts w:ascii="Arial Narrow" w:hAnsi="Arial Narrow" w:cs="Calibri"/>
                <w:sz w:val="18"/>
                <w:szCs w:val="18"/>
                <w:lang w:val="en-GB" w:eastAsia="en-GB"/>
              </w:rPr>
            </w:pPr>
            <w:proofErr w:type="spellStart"/>
            <w:r w:rsidRPr="00721BCE">
              <w:rPr>
                <w:rFonts w:ascii="Arial Narrow" w:hAnsi="Arial Narrow" w:cs="Calibri"/>
                <w:sz w:val="18"/>
                <w:szCs w:val="18"/>
                <w:lang w:val="en-GB" w:eastAsia="en-GB"/>
              </w:rPr>
              <w:t>Mbeturinat</w:t>
            </w:r>
            <w:proofErr w:type="spellEnd"/>
            <w:r w:rsidRPr="00721BCE">
              <w:rPr>
                <w:rFonts w:ascii="Arial Narrow" w:hAnsi="Arial Narrow" w:cs="Calibri"/>
                <w:sz w:val="18"/>
                <w:szCs w:val="18"/>
                <w:lang w:val="en-GB" w:eastAsia="en-GB"/>
              </w:rPr>
              <w:t xml:space="preserve"> e </w:t>
            </w:r>
            <w:proofErr w:type="spellStart"/>
            <w:r w:rsidRPr="00721BCE">
              <w:rPr>
                <w:rFonts w:ascii="Arial Narrow" w:hAnsi="Arial Narrow" w:cs="Calibri"/>
                <w:sz w:val="18"/>
                <w:szCs w:val="18"/>
                <w:lang w:val="en-GB" w:eastAsia="en-GB"/>
              </w:rPr>
              <w:t>deponuara</w:t>
            </w:r>
            <w:proofErr w:type="spellEnd"/>
            <w:r w:rsidRPr="00721BCE">
              <w:rPr>
                <w:rFonts w:ascii="Arial Narrow" w:hAnsi="Arial Narrow" w:cs="Calibri"/>
                <w:sz w:val="18"/>
                <w:szCs w:val="18"/>
                <w:lang w:val="en-GB" w:eastAsia="en-GB"/>
              </w:rPr>
              <w:t xml:space="preserve"> </w:t>
            </w:r>
            <w:proofErr w:type="spellStart"/>
            <w:r w:rsidRPr="00721BCE">
              <w:rPr>
                <w:rFonts w:ascii="Arial Narrow" w:hAnsi="Arial Narrow" w:cs="Calibri"/>
                <w:sz w:val="18"/>
                <w:szCs w:val="18"/>
                <w:lang w:val="en-GB" w:eastAsia="en-GB"/>
              </w:rPr>
              <w:t>në</w:t>
            </w:r>
            <w:proofErr w:type="spellEnd"/>
            <w:r w:rsidRPr="00721BCE">
              <w:rPr>
                <w:rFonts w:ascii="Arial Narrow" w:hAnsi="Arial Narrow" w:cs="Calibri"/>
                <w:sz w:val="18"/>
                <w:szCs w:val="18"/>
                <w:lang w:val="en-GB" w:eastAsia="en-GB"/>
              </w:rPr>
              <w:t xml:space="preserve"> </w:t>
            </w:r>
            <w:proofErr w:type="spellStart"/>
            <w:r w:rsidRPr="00721BCE">
              <w:rPr>
                <w:rFonts w:ascii="Arial Narrow" w:hAnsi="Arial Narrow" w:cs="Calibri"/>
                <w:sz w:val="18"/>
                <w:szCs w:val="18"/>
                <w:lang w:val="en-GB" w:eastAsia="en-GB"/>
              </w:rPr>
              <w:t>deponi</w:t>
            </w:r>
            <w:proofErr w:type="spellEnd"/>
          </w:p>
        </w:tc>
        <w:tc>
          <w:tcPr>
            <w:tcW w:w="769" w:type="dxa"/>
            <w:shd w:val="clear" w:color="auto" w:fill="auto"/>
            <w:noWrap/>
            <w:tcMar>
              <w:left w:w="58" w:type="dxa"/>
              <w:right w:w="58" w:type="dxa"/>
            </w:tcMar>
            <w:vAlign w:val="bottom"/>
            <w:hideMark/>
          </w:tcPr>
          <w:p w14:paraId="34BAED8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7,230 t</w:t>
            </w:r>
          </w:p>
        </w:tc>
        <w:tc>
          <w:tcPr>
            <w:tcW w:w="769" w:type="dxa"/>
            <w:shd w:val="clear" w:color="auto" w:fill="auto"/>
            <w:noWrap/>
            <w:tcMar>
              <w:left w:w="58" w:type="dxa"/>
              <w:right w:w="58" w:type="dxa"/>
            </w:tcMar>
            <w:vAlign w:val="bottom"/>
            <w:hideMark/>
          </w:tcPr>
          <w:p w14:paraId="0236EC1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6,168 t</w:t>
            </w:r>
          </w:p>
        </w:tc>
        <w:tc>
          <w:tcPr>
            <w:tcW w:w="770" w:type="dxa"/>
            <w:shd w:val="clear" w:color="auto" w:fill="auto"/>
            <w:noWrap/>
            <w:tcMar>
              <w:left w:w="58" w:type="dxa"/>
              <w:right w:w="58" w:type="dxa"/>
            </w:tcMar>
            <w:vAlign w:val="bottom"/>
            <w:hideMark/>
          </w:tcPr>
          <w:p w14:paraId="100C3A5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6,083 t</w:t>
            </w:r>
          </w:p>
        </w:tc>
        <w:tc>
          <w:tcPr>
            <w:tcW w:w="770" w:type="dxa"/>
            <w:shd w:val="clear" w:color="auto" w:fill="auto"/>
            <w:noWrap/>
            <w:tcMar>
              <w:left w:w="58" w:type="dxa"/>
              <w:right w:w="58" w:type="dxa"/>
            </w:tcMar>
            <w:vAlign w:val="bottom"/>
            <w:hideMark/>
          </w:tcPr>
          <w:p w14:paraId="4026415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5,983 t</w:t>
            </w:r>
          </w:p>
        </w:tc>
        <w:tc>
          <w:tcPr>
            <w:tcW w:w="770" w:type="dxa"/>
            <w:shd w:val="clear" w:color="auto" w:fill="auto"/>
            <w:noWrap/>
            <w:tcMar>
              <w:left w:w="58" w:type="dxa"/>
              <w:right w:w="58" w:type="dxa"/>
            </w:tcMar>
            <w:vAlign w:val="bottom"/>
            <w:hideMark/>
          </w:tcPr>
          <w:p w14:paraId="16A4B5F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5,808 t</w:t>
            </w:r>
          </w:p>
        </w:tc>
        <w:tc>
          <w:tcPr>
            <w:tcW w:w="770" w:type="dxa"/>
            <w:shd w:val="clear" w:color="auto" w:fill="auto"/>
            <w:noWrap/>
            <w:tcMar>
              <w:left w:w="58" w:type="dxa"/>
              <w:right w:w="58" w:type="dxa"/>
            </w:tcMar>
            <w:vAlign w:val="bottom"/>
            <w:hideMark/>
          </w:tcPr>
          <w:p w14:paraId="47E6848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5,664 t</w:t>
            </w:r>
          </w:p>
        </w:tc>
        <w:tc>
          <w:tcPr>
            <w:tcW w:w="770" w:type="dxa"/>
            <w:shd w:val="clear" w:color="auto" w:fill="auto"/>
            <w:noWrap/>
            <w:tcMar>
              <w:left w:w="58" w:type="dxa"/>
              <w:right w:w="58" w:type="dxa"/>
            </w:tcMar>
            <w:vAlign w:val="bottom"/>
            <w:hideMark/>
          </w:tcPr>
          <w:p w14:paraId="7176EBC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A4149F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35BEE2E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713292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r>
    </w:tbl>
    <w:p w14:paraId="57302D21" w14:textId="77777777" w:rsidR="007D1EDC" w:rsidRPr="007D1EDC" w:rsidRDefault="007D1EDC" w:rsidP="007D1EDC">
      <w:pPr>
        <w:rPr>
          <w:rFonts w:ascii="Aptos" w:eastAsia="Aptos" w:hAnsi="Aptos"/>
          <w:kern w:val="2"/>
          <w:sz w:val="22"/>
          <w:szCs w:val="22"/>
          <w:lang w:val="bg-BG"/>
          <w14:ligatures w14:val="standardContextual"/>
        </w:rPr>
      </w:pPr>
    </w:p>
    <w:p w14:paraId="52EBCE6E" w14:textId="3E8CBBA0" w:rsidR="00721BCE" w:rsidRPr="007D1EDC" w:rsidRDefault="007D1EDC" w:rsidP="00721BCE">
      <w:pPr>
        <w:suppressAutoHyphens/>
        <w:rPr>
          <w:rFonts w:ascii="Arial Narrow" w:eastAsia="Calibri" w:hAnsi="Arial Narrow" w:cs="Calibri"/>
          <w:color w:val="1F497D"/>
          <w:sz w:val="20"/>
          <w:szCs w:val="20"/>
        </w:rPr>
      </w:pPr>
      <w:bookmarkStart w:id="724" w:name="_Toc190966806"/>
      <w:bookmarkStart w:id="725" w:name="_Toc197472303"/>
      <w:r w:rsidRPr="007D1EDC">
        <w:rPr>
          <w:rFonts w:ascii="Arial Narrow" w:eastAsia="Calibri" w:hAnsi="Arial Narrow" w:cs="Calibri"/>
          <w:color w:val="1F497D"/>
          <w:sz w:val="20"/>
          <w:szCs w:val="20"/>
        </w:rPr>
        <w:t xml:space="preserve">Tabela </w:t>
      </w:r>
      <w:r w:rsidRPr="007D1EDC">
        <w:rPr>
          <w:rFonts w:ascii="Arial Narrow" w:eastAsia="Calibri" w:hAnsi="Arial Narrow" w:cs="Calibri"/>
          <w:color w:val="1F497D"/>
          <w:sz w:val="20"/>
          <w:szCs w:val="20"/>
        </w:rPr>
        <w:fldChar w:fldCharType="begin"/>
      </w:r>
      <w:r w:rsidRPr="007D1EDC">
        <w:rPr>
          <w:rFonts w:ascii="Arial Narrow" w:eastAsia="Calibri" w:hAnsi="Arial Narrow" w:cs="Calibri"/>
          <w:color w:val="1F497D"/>
          <w:sz w:val="20"/>
          <w:szCs w:val="20"/>
        </w:rPr>
        <w:instrText xml:space="preserve"> SEQ Table \* ARABIC </w:instrText>
      </w:r>
      <w:r w:rsidRPr="007D1EDC">
        <w:rPr>
          <w:rFonts w:ascii="Arial Narrow" w:eastAsia="Calibri" w:hAnsi="Arial Narrow" w:cs="Calibri"/>
          <w:color w:val="1F497D"/>
          <w:sz w:val="20"/>
          <w:szCs w:val="20"/>
        </w:rPr>
        <w:fldChar w:fldCharType="separate"/>
      </w:r>
      <w:r w:rsidR="00C97DF3">
        <w:rPr>
          <w:rFonts w:ascii="Arial Narrow" w:eastAsia="Calibri" w:hAnsi="Arial Narrow" w:cs="Calibri"/>
          <w:noProof/>
          <w:color w:val="1F497D"/>
          <w:sz w:val="20"/>
          <w:szCs w:val="20"/>
        </w:rPr>
        <w:t xml:space="preserve">118. </w:t>
      </w:r>
      <w:r w:rsidRPr="007D1EDC">
        <w:rPr>
          <w:rFonts w:ascii="Arial Narrow" w:eastAsia="Calibri" w:hAnsi="Arial Narrow" w:cs="Calibri"/>
          <w:color w:val="1F497D"/>
          <w:sz w:val="20"/>
          <w:szCs w:val="20"/>
        </w:rPr>
        <w:fldChar w:fldCharType="end"/>
      </w:r>
      <w:bookmarkEnd w:id="724"/>
      <w:r w:rsidR="00721BCE" w:rsidRPr="00721BCE">
        <w:rPr>
          <w:rFonts w:ascii="Arial Narrow" w:eastAsia="Calibri" w:hAnsi="Arial Narrow" w:cs="Calibri"/>
          <w:color w:val="1F497D"/>
          <w:sz w:val="20"/>
          <w:szCs w:val="20"/>
        </w:rPr>
        <w:t xml:space="preserve"> </w:t>
      </w:r>
      <w:r w:rsidR="00721BCE" w:rsidRPr="007D1EDC">
        <w:rPr>
          <w:rFonts w:ascii="Arial Narrow" w:eastAsia="Calibri" w:hAnsi="Arial Narrow" w:cs="Calibri"/>
          <w:color w:val="1F497D"/>
          <w:sz w:val="20"/>
          <w:szCs w:val="20"/>
        </w:rPr>
        <w:t>B</w:t>
      </w:r>
      <w:r w:rsidR="00721BCE">
        <w:rPr>
          <w:rFonts w:ascii="Arial Narrow" w:eastAsia="Calibri" w:hAnsi="Arial Narrow" w:cs="Calibri"/>
          <w:color w:val="1F497D"/>
          <w:sz w:val="20"/>
          <w:szCs w:val="20"/>
        </w:rPr>
        <w:t>a</w:t>
      </w:r>
      <w:r w:rsidR="00721BCE" w:rsidRPr="007D1EDC">
        <w:rPr>
          <w:rFonts w:ascii="Arial Narrow" w:eastAsia="Calibri" w:hAnsi="Arial Narrow" w:cs="Calibri"/>
          <w:color w:val="1F497D"/>
          <w:sz w:val="20"/>
          <w:szCs w:val="20"/>
        </w:rPr>
        <w:t>lanc</w:t>
      </w:r>
      <w:r w:rsidR="00721BCE">
        <w:rPr>
          <w:rFonts w:ascii="Arial Narrow" w:eastAsia="Calibri" w:hAnsi="Arial Narrow" w:cs="Calibri"/>
          <w:color w:val="1F497D"/>
          <w:sz w:val="20"/>
          <w:szCs w:val="20"/>
        </w:rPr>
        <w:t>a</w:t>
      </w:r>
      <w:r w:rsidR="00721BCE" w:rsidRPr="007D1EDC">
        <w:rPr>
          <w:rFonts w:ascii="Arial Narrow" w:eastAsia="Calibri" w:hAnsi="Arial Narrow" w:cs="Calibri"/>
          <w:color w:val="1F497D"/>
          <w:sz w:val="20"/>
          <w:szCs w:val="20"/>
        </w:rPr>
        <w:t xml:space="preserve"> </w:t>
      </w:r>
      <w:r w:rsidR="00721BCE">
        <w:rPr>
          <w:rFonts w:ascii="Arial Narrow" w:eastAsia="Calibri" w:hAnsi="Arial Narrow" w:cs="Calibri"/>
          <w:color w:val="1F497D"/>
          <w:sz w:val="20"/>
          <w:szCs w:val="20"/>
        </w:rPr>
        <w:t>e përgjithshme/</w:t>
      </w:r>
      <w:r w:rsidR="00721BCE" w:rsidRPr="007D1EDC">
        <w:rPr>
          <w:rFonts w:ascii="Arial Narrow" w:eastAsia="Calibri" w:hAnsi="Arial Narrow" w:cs="Calibri"/>
          <w:color w:val="1F497D"/>
          <w:sz w:val="20"/>
          <w:szCs w:val="20"/>
        </w:rPr>
        <w:t xml:space="preserve">masës së mbeturinave </w:t>
      </w:r>
      <w:r w:rsidR="00721BCE">
        <w:rPr>
          <w:rFonts w:ascii="Arial Narrow" w:eastAsia="Calibri" w:hAnsi="Arial Narrow" w:cs="Calibri"/>
          <w:color w:val="1F497D"/>
          <w:sz w:val="20"/>
          <w:szCs w:val="20"/>
        </w:rPr>
        <w:t>në</w:t>
      </w:r>
      <w:r w:rsidR="00721BCE" w:rsidRPr="007D1EDC">
        <w:rPr>
          <w:rFonts w:ascii="Arial Narrow" w:eastAsia="Calibri" w:hAnsi="Arial Narrow" w:cs="Calibri"/>
          <w:color w:val="1F497D"/>
          <w:sz w:val="20"/>
          <w:szCs w:val="20"/>
        </w:rPr>
        <w:t xml:space="preserve"> komunë</w:t>
      </w:r>
      <w:r w:rsidR="00721BCE">
        <w:rPr>
          <w:rFonts w:ascii="Arial Narrow" w:eastAsia="Calibri" w:hAnsi="Arial Narrow" w:cs="Calibri"/>
          <w:color w:val="1F497D"/>
          <w:sz w:val="20"/>
          <w:szCs w:val="20"/>
        </w:rPr>
        <w:t>n e</w:t>
      </w:r>
      <w:r w:rsidR="00721BCE" w:rsidRPr="007D1EDC">
        <w:rPr>
          <w:rFonts w:ascii="Arial Narrow" w:eastAsia="Calibri" w:hAnsi="Arial Narrow" w:cs="Calibri"/>
          <w:color w:val="1F497D"/>
          <w:sz w:val="20"/>
          <w:szCs w:val="20"/>
        </w:rPr>
        <w:t xml:space="preserve"> </w:t>
      </w:r>
      <w:r w:rsidR="00721BCE">
        <w:rPr>
          <w:rFonts w:ascii="Arial Narrow" w:eastAsia="Calibri" w:hAnsi="Arial Narrow" w:cs="Calibri"/>
          <w:color w:val="1F497D"/>
          <w:sz w:val="20"/>
          <w:szCs w:val="20"/>
        </w:rPr>
        <w:t>Junikut</w:t>
      </w:r>
      <w:bookmarkEnd w:id="7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769"/>
        <w:gridCol w:w="769"/>
        <w:gridCol w:w="770"/>
        <w:gridCol w:w="770"/>
        <w:gridCol w:w="770"/>
        <w:gridCol w:w="770"/>
        <w:gridCol w:w="770"/>
        <w:gridCol w:w="770"/>
        <w:gridCol w:w="770"/>
        <w:gridCol w:w="770"/>
      </w:tblGrid>
      <w:tr w:rsidR="00721BCE" w:rsidRPr="00721BCE" w14:paraId="01A9A624" w14:textId="77777777" w:rsidTr="005A2D4D">
        <w:trPr>
          <w:trHeight w:val="320"/>
          <w:tblHeader/>
        </w:trPr>
        <w:tc>
          <w:tcPr>
            <w:tcW w:w="1318" w:type="dxa"/>
            <w:shd w:val="clear" w:color="auto" w:fill="365F91"/>
            <w:noWrap/>
            <w:tcMar>
              <w:left w:w="58" w:type="dxa"/>
              <w:right w:w="58" w:type="dxa"/>
            </w:tcMar>
            <w:vAlign w:val="bottom"/>
            <w:hideMark/>
          </w:tcPr>
          <w:p w14:paraId="0D68BBF4" w14:textId="77777777" w:rsidR="00721BCE" w:rsidRPr="00721BCE" w:rsidRDefault="00721BCE" w:rsidP="005A2D4D">
            <w:pPr>
              <w:rPr>
                <w:rFonts w:ascii="Arial Narrow" w:hAnsi="Arial Narrow" w:cs="Calibri"/>
                <w:b/>
                <w:bCs/>
                <w:i/>
                <w:iCs/>
                <w:color w:val="FFFFFF"/>
                <w:sz w:val="18"/>
                <w:szCs w:val="18"/>
                <w:lang w:val="en-GB" w:eastAsia="en-GB"/>
              </w:rPr>
            </w:pPr>
            <w:proofErr w:type="spellStart"/>
            <w:r w:rsidRPr="00721BCE">
              <w:rPr>
                <w:rFonts w:ascii="Arial Narrow" w:hAnsi="Arial Narrow" w:cs="Calibri"/>
                <w:b/>
                <w:bCs/>
                <w:i/>
                <w:iCs/>
                <w:color w:val="FFFFFF"/>
                <w:sz w:val="18"/>
                <w:szCs w:val="18"/>
                <w:lang w:val="en-GB" w:eastAsia="en-GB"/>
              </w:rPr>
              <w:t>Rrjedha</w:t>
            </w:r>
            <w:proofErr w:type="spellEnd"/>
            <w:r w:rsidRPr="00721BCE">
              <w:rPr>
                <w:rFonts w:ascii="Arial Narrow" w:hAnsi="Arial Narrow" w:cs="Calibri"/>
                <w:b/>
                <w:bCs/>
                <w:i/>
                <w:iCs/>
                <w:color w:val="FFFFFF"/>
                <w:sz w:val="18"/>
                <w:szCs w:val="18"/>
                <w:lang w:val="en-GB" w:eastAsia="en-GB"/>
              </w:rPr>
              <w:t xml:space="preserve"> e </w:t>
            </w:r>
            <w:proofErr w:type="spellStart"/>
            <w:r w:rsidRPr="00721BCE">
              <w:rPr>
                <w:rFonts w:ascii="Arial Narrow" w:hAnsi="Arial Narrow" w:cs="Calibri"/>
                <w:b/>
                <w:bCs/>
                <w:i/>
                <w:iCs/>
                <w:color w:val="FFFFFF"/>
                <w:sz w:val="18"/>
                <w:szCs w:val="18"/>
                <w:lang w:val="en-GB" w:eastAsia="en-GB"/>
              </w:rPr>
              <w:t>mbeturinave</w:t>
            </w:r>
            <w:proofErr w:type="spellEnd"/>
          </w:p>
        </w:tc>
        <w:tc>
          <w:tcPr>
            <w:tcW w:w="769" w:type="dxa"/>
            <w:shd w:val="clear" w:color="auto" w:fill="365F91"/>
            <w:noWrap/>
            <w:tcMar>
              <w:left w:w="58" w:type="dxa"/>
              <w:right w:w="58" w:type="dxa"/>
            </w:tcMar>
            <w:vAlign w:val="center"/>
            <w:hideMark/>
          </w:tcPr>
          <w:p w14:paraId="05FF400C"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2026</w:t>
            </w:r>
          </w:p>
        </w:tc>
        <w:tc>
          <w:tcPr>
            <w:tcW w:w="769" w:type="dxa"/>
            <w:shd w:val="clear" w:color="auto" w:fill="365F91"/>
            <w:noWrap/>
            <w:tcMar>
              <w:left w:w="58" w:type="dxa"/>
              <w:right w:w="58" w:type="dxa"/>
            </w:tcMar>
            <w:vAlign w:val="center"/>
            <w:hideMark/>
          </w:tcPr>
          <w:p w14:paraId="2C48B143"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2027</w:t>
            </w:r>
          </w:p>
        </w:tc>
        <w:tc>
          <w:tcPr>
            <w:tcW w:w="770" w:type="dxa"/>
            <w:shd w:val="clear" w:color="auto" w:fill="365F91"/>
            <w:noWrap/>
            <w:tcMar>
              <w:left w:w="58" w:type="dxa"/>
              <w:right w:w="58" w:type="dxa"/>
            </w:tcMar>
            <w:vAlign w:val="center"/>
            <w:hideMark/>
          </w:tcPr>
          <w:p w14:paraId="7BC52F91"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2028</w:t>
            </w:r>
          </w:p>
        </w:tc>
        <w:tc>
          <w:tcPr>
            <w:tcW w:w="770" w:type="dxa"/>
            <w:shd w:val="clear" w:color="auto" w:fill="365F91"/>
            <w:noWrap/>
            <w:tcMar>
              <w:left w:w="58" w:type="dxa"/>
              <w:right w:w="58" w:type="dxa"/>
            </w:tcMar>
            <w:vAlign w:val="center"/>
            <w:hideMark/>
          </w:tcPr>
          <w:p w14:paraId="56BEB62A"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2029</w:t>
            </w:r>
          </w:p>
        </w:tc>
        <w:tc>
          <w:tcPr>
            <w:tcW w:w="770" w:type="dxa"/>
            <w:shd w:val="clear" w:color="auto" w:fill="365F91"/>
            <w:noWrap/>
            <w:tcMar>
              <w:left w:w="58" w:type="dxa"/>
              <w:right w:w="58" w:type="dxa"/>
            </w:tcMar>
            <w:vAlign w:val="center"/>
            <w:hideMark/>
          </w:tcPr>
          <w:p w14:paraId="6D5F3B74"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2030</w:t>
            </w:r>
          </w:p>
        </w:tc>
        <w:tc>
          <w:tcPr>
            <w:tcW w:w="770" w:type="dxa"/>
            <w:shd w:val="clear" w:color="auto" w:fill="365F91"/>
            <w:noWrap/>
            <w:tcMar>
              <w:left w:w="58" w:type="dxa"/>
              <w:right w:w="58" w:type="dxa"/>
            </w:tcMar>
            <w:vAlign w:val="center"/>
            <w:hideMark/>
          </w:tcPr>
          <w:p w14:paraId="7978B4F1"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2031</w:t>
            </w:r>
          </w:p>
        </w:tc>
        <w:tc>
          <w:tcPr>
            <w:tcW w:w="770" w:type="dxa"/>
            <w:shd w:val="clear" w:color="auto" w:fill="365F91"/>
            <w:noWrap/>
            <w:tcMar>
              <w:left w:w="58" w:type="dxa"/>
              <w:right w:w="58" w:type="dxa"/>
            </w:tcMar>
            <w:vAlign w:val="center"/>
            <w:hideMark/>
          </w:tcPr>
          <w:p w14:paraId="26C27FA8"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2032</w:t>
            </w:r>
          </w:p>
        </w:tc>
        <w:tc>
          <w:tcPr>
            <w:tcW w:w="770" w:type="dxa"/>
            <w:shd w:val="clear" w:color="auto" w:fill="365F91"/>
            <w:noWrap/>
            <w:tcMar>
              <w:left w:w="58" w:type="dxa"/>
              <w:right w:w="58" w:type="dxa"/>
            </w:tcMar>
            <w:vAlign w:val="center"/>
            <w:hideMark/>
          </w:tcPr>
          <w:p w14:paraId="0EA81E7C"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2033</w:t>
            </w:r>
          </w:p>
        </w:tc>
        <w:tc>
          <w:tcPr>
            <w:tcW w:w="770" w:type="dxa"/>
            <w:shd w:val="clear" w:color="auto" w:fill="365F91"/>
            <w:noWrap/>
            <w:tcMar>
              <w:left w:w="58" w:type="dxa"/>
              <w:right w:w="58" w:type="dxa"/>
            </w:tcMar>
            <w:vAlign w:val="center"/>
            <w:hideMark/>
          </w:tcPr>
          <w:p w14:paraId="62A63557"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2034</w:t>
            </w:r>
          </w:p>
        </w:tc>
        <w:tc>
          <w:tcPr>
            <w:tcW w:w="770" w:type="dxa"/>
            <w:shd w:val="clear" w:color="auto" w:fill="365F91"/>
            <w:noWrap/>
            <w:tcMar>
              <w:left w:w="58" w:type="dxa"/>
              <w:right w:w="58" w:type="dxa"/>
            </w:tcMar>
            <w:vAlign w:val="center"/>
            <w:hideMark/>
          </w:tcPr>
          <w:p w14:paraId="1D593096" w14:textId="77777777" w:rsidR="00721BCE" w:rsidRPr="00721BCE" w:rsidRDefault="00721BCE" w:rsidP="005A2D4D">
            <w:pPr>
              <w:jc w:val="right"/>
              <w:rPr>
                <w:rFonts w:ascii="Arial Narrow" w:hAnsi="Arial Narrow" w:cs="Calibri"/>
                <w:b/>
                <w:bCs/>
                <w:color w:val="FFFFFF"/>
                <w:sz w:val="18"/>
                <w:szCs w:val="18"/>
                <w:lang w:val="en-GB" w:eastAsia="en-GB"/>
              </w:rPr>
            </w:pPr>
            <w:r w:rsidRPr="00721BCE">
              <w:rPr>
                <w:rFonts w:ascii="Arial Narrow" w:hAnsi="Arial Narrow" w:cs="Calibri"/>
                <w:b/>
                <w:bCs/>
                <w:color w:val="FFFFFF"/>
                <w:sz w:val="18"/>
                <w:szCs w:val="18"/>
                <w:lang w:val="en-GB" w:eastAsia="en-GB"/>
              </w:rPr>
              <w:t>2035</w:t>
            </w:r>
          </w:p>
        </w:tc>
      </w:tr>
      <w:tr w:rsidR="00721BCE" w:rsidRPr="00721BCE" w14:paraId="73397D8D" w14:textId="77777777" w:rsidTr="005A2D4D">
        <w:trPr>
          <w:trHeight w:val="300"/>
        </w:trPr>
        <w:tc>
          <w:tcPr>
            <w:tcW w:w="1318" w:type="dxa"/>
            <w:shd w:val="clear" w:color="auto" w:fill="auto"/>
            <w:noWrap/>
            <w:tcMar>
              <w:left w:w="58" w:type="dxa"/>
              <w:right w:w="58" w:type="dxa"/>
            </w:tcMar>
            <w:vAlign w:val="bottom"/>
            <w:hideMark/>
          </w:tcPr>
          <w:p w14:paraId="645756AB" w14:textId="77777777" w:rsidR="00721BCE" w:rsidRPr="00721BCE" w:rsidRDefault="00721BCE" w:rsidP="005A2D4D">
            <w:pPr>
              <w:rPr>
                <w:rFonts w:ascii="Arial Narrow" w:hAnsi="Arial Narrow" w:cs="Calibri"/>
                <w:sz w:val="18"/>
                <w:szCs w:val="18"/>
                <w:lang w:val="en-GB" w:eastAsia="en-GB"/>
              </w:rPr>
            </w:pPr>
            <w:proofErr w:type="spellStart"/>
            <w:r w:rsidRPr="00721BCE">
              <w:rPr>
                <w:rFonts w:ascii="Arial Narrow" w:hAnsi="Arial Narrow" w:cs="Calibri"/>
                <w:sz w:val="18"/>
                <w:szCs w:val="18"/>
                <w:lang w:val="en-GB" w:eastAsia="en-GB"/>
              </w:rPr>
              <w:t>Mbeturinat</w:t>
            </w:r>
            <w:proofErr w:type="spellEnd"/>
            <w:r w:rsidRPr="00721BCE">
              <w:rPr>
                <w:rFonts w:ascii="Arial Narrow" w:hAnsi="Arial Narrow" w:cs="Calibri"/>
                <w:sz w:val="18"/>
                <w:szCs w:val="18"/>
                <w:lang w:val="en-GB" w:eastAsia="en-GB"/>
              </w:rPr>
              <w:t xml:space="preserve"> e </w:t>
            </w:r>
            <w:proofErr w:type="spellStart"/>
            <w:r w:rsidRPr="00721BCE">
              <w:rPr>
                <w:rFonts w:ascii="Arial Narrow" w:hAnsi="Arial Narrow" w:cs="Calibri"/>
                <w:sz w:val="18"/>
                <w:szCs w:val="18"/>
                <w:lang w:val="en-GB" w:eastAsia="en-GB"/>
              </w:rPr>
              <w:t>gjeneruara</w:t>
            </w:r>
            <w:proofErr w:type="spellEnd"/>
          </w:p>
        </w:tc>
        <w:tc>
          <w:tcPr>
            <w:tcW w:w="769" w:type="dxa"/>
            <w:shd w:val="clear" w:color="auto" w:fill="auto"/>
            <w:noWrap/>
            <w:tcMar>
              <w:left w:w="58" w:type="dxa"/>
              <w:right w:w="58" w:type="dxa"/>
            </w:tcMar>
            <w:vAlign w:val="bottom"/>
            <w:hideMark/>
          </w:tcPr>
          <w:p w14:paraId="05A4C2A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874 t</w:t>
            </w:r>
          </w:p>
        </w:tc>
        <w:tc>
          <w:tcPr>
            <w:tcW w:w="769" w:type="dxa"/>
            <w:shd w:val="clear" w:color="auto" w:fill="auto"/>
            <w:noWrap/>
            <w:tcMar>
              <w:left w:w="58" w:type="dxa"/>
              <w:right w:w="58" w:type="dxa"/>
            </w:tcMar>
            <w:vAlign w:val="bottom"/>
            <w:hideMark/>
          </w:tcPr>
          <w:p w14:paraId="1CCD430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878 t</w:t>
            </w:r>
          </w:p>
        </w:tc>
        <w:tc>
          <w:tcPr>
            <w:tcW w:w="770" w:type="dxa"/>
            <w:shd w:val="clear" w:color="auto" w:fill="auto"/>
            <w:noWrap/>
            <w:tcMar>
              <w:left w:w="58" w:type="dxa"/>
              <w:right w:w="58" w:type="dxa"/>
            </w:tcMar>
            <w:vAlign w:val="bottom"/>
            <w:hideMark/>
          </w:tcPr>
          <w:p w14:paraId="09908D9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883 t</w:t>
            </w:r>
          </w:p>
        </w:tc>
        <w:tc>
          <w:tcPr>
            <w:tcW w:w="770" w:type="dxa"/>
            <w:shd w:val="clear" w:color="auto" w:fill="auto"/>
            <w:noWrap/>
            <w:tcMar>
              <w:left w:w="58" w:type="dxa"/>
              <w:right w:w="58" w:type="dxa"/>
            </w:tcMar>
            <w:vAlign w:val="bottom"/>
            <w:hideMark/>
          </w:tcPr>
          <w:p w14:paraId="099519A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887 t</w:t>
            </w:r>
          </w:p>
        </w:tc>
        <w:tc>
          <w:tcPr>
            <w:tcW w:w="770" w:type="dxa"/>
            <w:shd w:val="clear" w:color="auto" w:fill="auto"/>
            <w:noWrap/>
            <w:tcMar>
              <w:left w:w="58" w:type="dxa"/>
              <w:right w:w="58" w:type="dxa"/>
            </w:tcMar>
            <w:vAlign w:val="bottom"/>
            <w:hideMark/>
          </w:tcPr>
          <w:p w14:paraId="3806B55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892 t</w:t>
            </w:r>
          </w:p>
        </w:tc>
        <w:tc>
          <w:tcPr>
            <w:tcW w:w="770" w:type="dxa"/>
            <w:shd w:val="clear" w:color="auto" w:fill="auto"/>
            <w:noWrap/>
            <w:tcMar>
              <w:left w:w="58" w:type="dxa"/>
              <w:right w:w="58" w:type="dxa"/>
            </w:tcMar>
            <w:vAlign w:val="bottom"/>
            <w:hideMark/>
          </w:tcPr>
          <w:p w14:paraId="746702D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897 t</w:t>
            </w:r>
          </w:p>
        </w:tc>
        <w:tc>
          <w:tcPr>
            <w:tcW w:w="770" w:type="dxa"/>
            <w:shd w:val="clear" w:color="auto" w:fill="auto"/>
            <w:noWrap/>
            <w:tcMar>
              <w:left w:w="58" w:type="dxa"/>
              <w:right w:w="58" w:type="dxa"/>
            </w:tcMar>
            <w:vAlign w:val="bottom"/>
            <w:hideMark/>
          </w:tcPr>
          <w:p w14:paraId="2EE4320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902 t</w:t>
            </w:r>
          </w:p>
        </w:tc>
        <w:tc>
          <w:tcPr>
            <w:tcW w:w="770" w:type="dxa"/>
            <w:shd w:val="clear" w:color="auto" w:fill="auto"/>
            <w:noWrap/>
            <w:tcMar>
              <w:left w:w="58" w:type="dxa"/>
              <w:right w:w="58" w:type="dxa"/>
            </w:tcMar>
            <w:vAlign w:val="bottom"/>
            <w:hideMark/>
          </w:tcPr>
          <w:p w14:paraId="03609E4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907 t</w:t>
            </w:r>
          </w:p>
        </w:tc>
        <w:tc>
          <w:tcPr>
            <w:tcW w:w="770" w:type="dxa"/>
            <w:shd w:val="clear" w:color="auto" w:fill="auto"/>
            <w:noWrap/>
            <w:tcMar>
              <w:left w:w="58" w:type="dxa"/>
              <w:right w:w="58" w:type="dxa"/>
            </w:tcMar>
            <w:vAlign w:val="bottom"/>
            <w:hideMark/>
          </w:tcPr>
          <w:p w14:paraId="2CA59C5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912 t</w:t>
            </w:r>
          </w:p>
        </w:tc>
        <w:tc>
          <w:tcPr>
            <w:tcW w:w="770" w:type="dxa"/>
            <w:shd w:val="clear" w:color="auto" w:fill="auto"/>
            <w:noWrap/>
            <w:tcMar>
              <w:left w:w="58" w:type="dxa"/>
              <w:right w:w="58" w:type="dxa"/>
            </w:tcMar>
            <w:vAlign w:val="bottom"/>
            <w:hideMark/>
          </w:tcPr>
          <w:p w14:paraId="686B30B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917 t</w:t>
            </w:r>
          </w:p>
        </w:tc>
      </w:tr>
      <w:tr w:rsidR="00721BCE" w:rsidRPr="00721BCE" w14:paraId="4D15064D" w14:textId="77777777" w:rsidTr="005A2D4D">
        <w:trPr>
          <w:trHeight w:val="290"/>
        </w:trPr>
        <w:tc>
          <w:tcPr>
            <w:tcW w:w="1318" w:type="dxa"/>
            <w:shd w:val="clear" w:color="auto" w:fill="auto"/>
            <w:noWrap/>
            <w:tcMar>
              <w:left w:w="58" w:type="dxa"/>
              <w:right w:w="58" w:type="dxa"/>
            </w:tcMar>
            <w:vAlign w:val="bottom"/>
            <w:hideMark/>
          </w:tcPr>
          <w:p w14:paraId="7F928194"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përfshirë. sipërfaqet publike të mbeturinave të gjelbra</w:t>
            </w:r>
          </w:p>
        </w:tc>
        <w:tc>
          <w:tcPr>
            <w:tcW w:w="769" w:type="dxa"/>
            <w:shd w:val="clear" w:color="auto" w:fill="auto"/>
            <w:noWrap/>
            <w:tcMar>
              <w:left w:w="58" w:type="dxa"/>
              <w:right w:w="58" w:type="dxa"/>
            </w:tcMar>
            <w:vAlign w:val="bottom"/>
            <w:hideMark/>
          </w:tcPr>
          <w:p w14:paraId="3282189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938 t</w:t>
            </w:r>
          </w:p>
        </w:tc>
        <w:tc>
          <w:tcPr>
            <w:tcW w:w="769" w:type="dxa"/>
            <w:shd w:val="clear" w:color="auto" w:fill="auto"/>
            <w:noWrap/>
            <w:tcMar>
              <w:left w:w="58" w:type="dxa"/>
              <w:right w:w="58" w:type="dxa"/>
            </w:tcMar>
            <w:vAlign w:val="bottom"/>
            <w:hideMark/>
          </w:tcPr>
          <w:p w14:paraId="43F6C64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943 t</w:t>
            </w:r>
          </w:p>
        </w:tc>
        <w:tc>
          <w:tcPr>
            <w:tcW w:w="770" w:type="dxa"/>
            <w:shd w:val="clear" w:color="auto" w:fill="auto"/>
            <w:noWrap/>
            <w:tcMar>
              <w:left w:w="58" w:type="dxa"/>
              <w:right w:w="58" w:type="dxa"/>
            </w:tcMar>
            <w:vAlign w:val="bottom"/>
            <w:hideMark/>
          </w:tcPr>
          <w:p w14:paraId="6D22699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947 t</w:t>
            </w:r>
          </w:p>
        </w:tc>
        <w:tc>
          <w:tcPr>
            <w:tcW w:w="770" w:type="dxa"/>
            <w:shd w:val="clear" w:color="auto" w:fill="auto"/>
            <w:noWrap/>
            <w:tcMar>
              <w:left w:w="58" w:type="dxa"/>
              <w:right w:w="58" w:type="dxa"/>
            </w:tcMar>
            <w:vAlign w:val="bottom"/>
            <w:hideMark/>
          </w:tcPr>
          <w:p w14:paraId="5C38A13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952 t</w:t>
            </w:r>
          </w:p>
        </w:tc>
        <w:tc>
          <w:tcPr>
            <w:tcW w:w="770" w:type="dxa"/>
            <w:shd w:val="clear" w:color="auto" w:fill="auto"/>
            <w:noWrap/>
            <w:tcMar>
              <w:left w:w="58" w:type="dxa"/>
              <w:right w:w="58" w:type="dxa"/>
            </w:tcMar>
            <w:vAlign w:val="bottom"/>
            <w:hideMark/>
          </w:tcPr>
          <w:p w14:paraId="038E789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957 t</w:t>
            </w:r>
          </w:p>
        </w:tc>
        <w:tc>
          <w:tcPr>
            <w:tcW w:w="770" w:type="dxa"/>
            <w:shd w:val="clear" w:color="auto" w:fill="auto"/>
            <w:noWrap/>
            <w:tcMar>
              <w:left w:w="58" w:type="dxa"/>
              <w:right w:w="58" w:type="dxa"/>
            </w:tcMar>
            <w:vAlign w:val="bottom"/>
            <w:hideMark/>
          </w:tcPr>
          <w:p w14:paraId="0BB584D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961 t</w:t>
            </w:r>
          </w:p>
        </w:tc>
        <w:tc>
          <w:tcPr>
            <w:tcW w:w="770" w:type="dxa"/>
            <w:shd w:val="clear" w:color="auto" w:fill="auto"/>
            <w:noWrap/>
            <w:tcMar>
              <w:left w:w="58" w:type="dxa"/>
              <w:right w:w="58" w:type="dxa"/>
            </w:tcMar>
            <w:vAlign w:val="bottom"/>
            <w:hideMark/>
          </w:tcPr>
          <w:p w14:paraId="4DB4E35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966 t</w:t>
            </w:r>
          </w:p>
        </w:tc>
        <w:tc>
          <w:tcPr>
            <w:tcW w:w="770" w:type="dxa"/>
            <w:shd w:val="clear" w:color="auto" w:fill="auto"/>
            <w:noWrap/>
            <w:tcMar>
              <w:left w:w="58" w:type="dxa"/>
              <w:right w:w="58" w:type="dxa"/>
            </w:tcMar>
            <w:vAlign w:val="bottom"/>
            <w:hideMark/>
          </w:tcPr>
          <w:p w14:paraId="2F839C1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971 t</w:t>
            </w:r>
          </w:p>
        </w:tc>
        <w:tc>
          <w:tcPr>
            <w:tcW w:w="770" w:type="dxa"/>
            <w:shd w:val="clear" w:color="auto" w:fill="auto"/>
            <w:noWrap/>
            <w:tcMar>
              <w:left w:w="58" w:type="dxa"/>
              <w:right w:w="58" w:type="dxa"/>
            </w:tcMar>
            <w:vAlign w:val="bottom"/>
            <w:hideMark/>
          </w:tcPr>
          <w:p w14:paraId="6708CDE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976 t</w:t>
            </w:r>
          </w:p>
        </w:tc>
        <w:tc>
          <w:tcPr>
            <w:tcW w:w="770" w:type="dxa"/>
            <w:shd w:val="clear" w:color="auto" w:fill="auto"/>
            <w:noWrap/>
            <w:tcMar>
              <w:left w:w="58" w:type="dxa"/>
              <w:right w:w="58" w:type="dxa"/>
            </w:tcMar>
            <w:vAlign w:val="bottom"/>
            <w:hideMark/>
          </w:tcPr>
          <w:p w14:paraId="57CF76F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981 t</w:t>
            </w:r>
          </w:p>
        </w:tc>
      </w:tr>
      <w:tr w:rsidR="00721BCE" w:rsidRPr="00721BCE" w14:paraId="0C8750DE" w14:textId="77777777" w:rsidTr="005A2D4D">
        <w:trPr>
          <w:trHeight w:val="290"/>
        </w:trPr>
        <w:tc>
          <w:tcPr>
            <w:tcW w:w="1318" w:type="dxa"/>
            <w:shd w:val="clear" w:color="auto" w:fill="auto"/>
            <w:noWrap/>
            <w:tcMar>
              <w:left w:w="58" w:type="dxa"/>
              <w:right w:w="58" w:type="dxa"/>
            </w:tcMar>
            <w:vAlign w:val="bottom"/>
            <w:hideMark/>
          </w:tcPr>
          <w:p w14:paraId="3A9FA6DE" w14:textId="77777777" w:rsidR="00721BCE" w:rsidRPr="003069B8" w:rsidRDefault="00721BCE" w:rsidP="005A2D4D">
            <w:pPr>
              <w:rPr>
                <w:rFonts w:ascii="Arial Narrow" w:hAnsi="Arial Narrow" w:cs="Calibri"/>
                <w:sz w:val="18"/>
                <w:szCs w:val="18"/>
                <w:lang w:val="es-ES" w:eastAsia="en-GB"/>
              </w:rPr>
            </w:pPr>
            <w:proofErr w:type="spellStart"/>
            <w:r w:rsidRPr="003069B8">
              <w:rPr>
                <w:rFonts w:ascii="Arial Narrow" w:hAnsi="Arial Narrow" w:cs="Calibri"/>
                <w:sz w:val="18"/>
                <w:szCs w:val="18"/>
                <w:lang w:val="es-ES" w:eastAsia="en-GB"/>
              </w:rPr>
              <w:t>Materialet</w:t>
            </w:r>
            <w:proofErr w:type="spellEnd"/>
            <w:r w:rsidRPr="003069B8">
              <w:rPr>
                <w:rFonts w:ascii="Arial Narrow" w:hAnsi="Arial Narrow" w:cs="Calibri"/>
                <w:sz w:val="18"/>
                <w:szCs w:val="18"/>
                <w:lang w:val="es-ES" w:eastAsia="en-GB"/>
              </w:rPr>
              <w:t xml:space="preserve"> e </w:t>
            </w:r>
            <w:proofErr w:type="spellStart"/>
            <w:r w:rsidRPr="003069B8">
              <w:rPr>
                <w:rFonts w:ascii="Arial Narrow" w:hAnsi="Arial Narrow" w:cs="Calibri"/>
                <w:sz w:val="18"/>
                <w:szCs w:val="18"/>
                <w:lang w:val="es-ES" w:eastAsia="en-GB"/>
              </w:rPr>
              <w:t>riciklueshme</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të</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grumbulluara</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ndaras</w:t>
            </w:r>
            <w:proofErr w:type="spellEnd"/>
          </w:p>
        </w:tc>
        <w:tc>
          <w:tcPr>
            <w:tcW w:w="769" w:type="dxa"/>
            <w:shd w:val="clear" w:color="auto" w:fill="auto"/>
            <w:noWrap/>
            <w:tcMar>
              <w:left w:w="58" w:type="dxa"/>
              <w:right w:w="58" w:type="dxa"/>
            </w:tcMar>
            <w:vAlign w:val="bottom"/>
            <w:hideMark/>
          </w:tcPr>
          <w:p w14:paraId="19D165E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113ED47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154 t</w:t>
            </w:r>
          </w:p>
        </w:tc>
        <w:tc>
          <w:tcPr>
            <w:tcW w:w="770" w:type="dxa"/>
            <w:shd w:val="clear" w:color="auto" w:fill="auto"/>
            <w:noWrap/>
            <w:tcMar>
              <w:left w:w="58" w:type="dxa"/>
              <w:right w:w="58" w:type="dxa"/>
            </w:tcMar>
            <w:vAlign w:val="bottom"/>
            <w:hideMark/>
          </w:tcPr>
          <w:p w14:paraId="32699DA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163 t</w:t>
            </w:r>
          </w:p>
        </w:tc>
        <w:tc>
          <w:tcPr>
            <w:tcW w:w="770" w:type="dxa"/>
            <w:shd w:val="clear" w:color="auto" w:fill="auto"/>
            <w:noWrap/>
            <w:tcMar>
              <w:left w:w="58" w:type="dxa"/>
              <w:right w:w="58" w:type="dxa"/>
            </w:tcMar>
            <w:vAlign w:val="bottom"/>
            <w:hideMark/>
          </w:tcPr>
          <w:p w14:paraId="18D1703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172 t</w:t>
            </w:r>
          </w:p>
        </w:tc>
        <w:tc>
          <w:tcPr>
            <w:tcW w:w="770" w:type="dxa"/>
            <w:shd w:val="clear" w:color="auto" w:fill="auto"/>
            <w:noWrap/>
            <w:tcMar>
              <w:left w:w="58" w:type="dxa"/>
              <w:right w:w="58" w:type="dxa"/>
            </w:tcMar>
            <w:vAlign w:val="bottom"/>
            <w:hideMark/>
          </w:tcPr>
          <w:p w14:paraId="35CA234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181 t</w:t>
            </w:r>
          </w:p>
        </w:tc>
        <w:tc>
          <w:tcPr>
            <w:tcW w:w="770" w:type="dxa"/>
            <w:shd w:val="clear" w:color="auto" w:fill="auto"/>
            <w:noWrap/>
            <w:tcMar>
              <w:left w:w="58" w:type="dxa"/>
              <w:right w:w="58" w:type="dxa"/>
            </w:tcMar>
            <w:vAlign w:val="bottom"/>
            <w:hideMark/>
          </w:tcPr>
          <w:p w14:paraId="26B830F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191 t</w:t>
            </w:r>
          </w:p>
        </w:tc>
        <w:tc>
          <w:tcPr>
            <w:tcW w:w="770" w:type="dxa"/>
            <w:shd w:val="clear" w:color="auto" w:fill="auto"/>
            <w:noWrap/>
            <w:tcMar>
              <w:left w:w="58" w:type="dxa"/>
              <w:right w:w="58" w:type="dxa"/>
            </w:tcMar>
            <w:vAlign w:val="bottom"/>
            <w:hideMark/>
          </w:tcPr>
          <w:p w14:paraId="033B22D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202 t</w:t>
            </w:r>
          </w:p>
        </w:tc>
        <w:tc>
          <w:tcPr>
            <w:tcW w:w="770" w:type="dxa"/>
            <w:shd w:val="clear" w:color="auto" w:fill="auto"/>
            <w:noWrap/>
            <w:tcMar>
              <w:left w:w="58" w:type="dxa"/>
              <w:right w:w="58" w:type="dxa"/>
            </w:tcMar>
            <w:vAlign w:val="bottom"/>
            <w:hideMark/>
          </w:tcPr>
          <w:p w14:paraId="0EB5356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213 t</w:t>
            </w:r>
          </w:p>
        </w:tc>
        <w:tc>
          <w:tcPr>
            <w:tcW w:w="770" w:type="dxa"/>
            <w:shd w:val="clear" w:color="auto" w:fill="auto"/>
            <w:noWrap/>
            <w:tcMar>
              <w:left w:w="58" w:type="dxa"/>
              <w:right w:w="58" w:type="dxa"/>
            </w:tcMar>
            <w:vAlign w:val="bottom"/>
            <w:hideMark/>
          </w:tcPr>
          <w:p w14:paraId="58CF78D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224 t</w:t>
            </w:r>
          </w:p>
        </w:tc>
        <w:tc>
          <w:tcPr>
            <w:tcW w:w="770" w:type="dxa"/>
            <w:shd w:val="clear" w:color="auto" w:fill="auto"/>
            <w:noWrap/>
            <w:tcMar>
              <w:left w:w="58" w:type="dxa"/>
              <w:right w:w="58" w:type="dxa"/>
            </w:tcMar>
            <w:vAlign w:val="bottom"/>
            <w:hideMark/>
          </w:tcPr>
          <w:p w14:paraId="2A5B52E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235 t</w:t>
            </w:r>
          </w:p>
        </w:tc>
      </w:tr>
      <w:tr w:rsidR="00721BCE" w:rsidRPr="00721BCE" w14:paraId="328BE185" w14:textId="77777777" w:rsidTr="005A2D4D">
        <w:trPr>
          <w:trHeight w:val="290"/>
        </w:trPr>
        <w:tc>
          <w:tcPr>
            <w:tcW w:w="1318" w:type="dxa"/>
            <w:shd w:val="clear" w:color="auto" w:fill="auto"/>
            <w:noWrap/>
            <w:tcMar>
              <w:left w:w="58" w:type="dxa"/>
              <w:right w:w="58" w:type="dxa"/>
            </w:tcMar>
            <w:vAlign w:val="bottom"/>
            <w:hideMark/>
          </w:tcPr>
          <w:p w14:paraId="3E3600EE" w14:textId="77777777" w:rsidR="00721BCE" w:rsidRPr="003069B8" w:rsidRDefault="00721BCE" w:rsidP="005A2D4D">
            <w:pPr>
              <w:rPr>
                <w:rFonts w:ascii="Arial Narrow" w:hAnsi="Arial Narrow" w:cs="Calibri"/>
                <w:sz w:val="18"/>
                <w:szCs w:val="18"/>
                <w:lang w:val="es-ES" w:eastAsia="en-GB"/>
              </w:rPr>
            </w:pPr>
            <w:proofErr w:type="spellStart"/>
            <w:r w:rsidRPr="003069B8">
              <w:rPr>
                <w:rFonts w:ascii="Arial Narrow" w:hAnsi="Arial Narrow" w:cs="Calibri"/>
                <w:sz w:val="18"/>
                <w:szCs w:val="18"/>
                <w:lang w:val="es-ES" w:eastAsia="en-GB"/>
              </w:rPr>
              <w:t>Mbeturinat</w:t>
            </w:r>
            <w:proofErr w:type="spellEnd"/>
            <w:r w:rsidRPr="003069B8">
              <w:rPr>
                <w:rFonts w:ascii="Arial Narrow" w:hAnsi="Arial Narrow" w:cs="Calibri"/>
                <w:sz w:val="18"/>
                <w:szCs w:val="18"/>
                <w:lang w:val="es-ES" w:eastAsia="en-GB"/>
              </w:rPr>
              <w:t xml:space="preserve"> e </w:t>
            </w:r>
            <w:proofErr w:type="spellStart"/>
            <w:r w:rsidRPr="003069B8">
              <w:rPr>
                <w:rFonts w:ascii="Arial Narrow" w:hAnsi="Arial Narrow" w:cs="Calibri"/>
                <w:sz w:val="18"/>
                <w:szCs w:val="18"/>
                <w:lang w:val="es-ES" w:eastAsia="en-GB"/>
              </w:rPr>
              <w:t>gjelbra</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publike</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të</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kompostuara</w:t>
            </w:r>
            <w:proofErr w:type="spellEnd"/>
            <w:r w:rsidRPr="003069B8">
              <w:rPr>
                <w:rFonts w:ascii="Arial Narrow" w:hAnsi="Arial Narrow" w:cs="Calibri"/>
                <w:sz w:val="18"/>
                <w:szCs w:val="18"/>
                <w:lang w:val="es-ES" w:eastAsia="en-GB"/>
              </w:rPr>
              <w:t xml:space="preserve"> </w:t>
            </w:r>
          </w:p>
        </w:tc>
        <w:tc>
          <w:tcPr>
            <w:tcW w:w="769" w:type="dxa"/>
            <w:shd w:val="clear" w:color="auto" w:fill="auto"/>
            <w:noWrap/>
            <w:tcMar>
              <w:left w:w="58" w:type="dxa"/>
              <w:right w:w="58" w:type="dxa"/>
            </w:tcMar>
            <w:vAlign w:val="bottom"/>
            <w:hideMark/>
          </w:tcPr>
          <w:p w14:paraId="38CE91B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67B8D87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395650C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3F650D6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22BFE39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368BC48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 t</w:t>
            </w:r>
          </w:p>
        </w:tc>
        <w:tc>
          <w:tcPr>
            <w:tcW w:w="770" w:type="dxa"/>
            <w:shd w:val="clear" w:color="auto" w:fill="auto"/>
            <w:noWrap/>
            <w:tcMar>
              <w:left w:w="58" w:type="dxa"/>
              <w:right w:w="58" w:type="dxa"/>
            </w:tcMar>
            <w:vAlign w:val="bottom"/>
            <w:hideMark/>
          </w:tcPr>
          <w:p w14:paraId="2AFFDF6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352AB3F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42469EA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2A419F6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r>
      <w:tr w:rsidR="00721BCE" w:rsidRPr="00721BCE" w14:paraId="380432F2" w14:textId="77777777" w:rsidTr="005A2D4D">
        <w:trPr>
          <w:trHeight w:val="290"/>
        </w:trPr>
        <w:tc>
          <w:tcPr>
            <w:tcW w:w="1318" w:type="dxa"/>
            <w:shd w:val="clear" w:color="auto" w:fill="auto"/>
            <w:noWrap/>
            <w:tcMar>
              <w:left w:w="58" w:type="dxa"/>
              <w:right w:w="58" w:type="dxa"/>
            </w:tcMar>
            <w:vAlign w:val="bottom"/>
            <w:hideMark/>
          </w:tcPr>
          <w:p w14:paraId="3B577545" w14:textId="77777777" w:rsidR="00721BCE" w:rsidRPr="00721BCE" w:rsidRDefault="00721BCE" w:rsidP="005A2D4D">
            <w:pPr>
              <w:rPr>
                <w:rFonts w:ascii="Arial Narrow" w:hAnsi="Arial Narrow" w:cs="Calibri"/>
                <w:sz w:val="18"/>
                <w:szCs w:val="18"/>
                <w:lang w:val="en-GB" w:eastAsia="en-GB"/>
              </w:rPr>
            </w:pPr>
            <w:proofErr w:type="spellStart"/>
            <w:r w:rsidRPr="00721BCE">
              <w:rPr>
                <w:rFonts w:ascii="Arial Narrow" w:hAnsi="Arial Narrow" w:cs="Calibri"/>
                <w:sz w:val="18"/>
                <w:szCs w:val="18"/>
                <w:lang w:val="en-GB" w:eastAsia="en-GB"/>
              </w:rPr>
              <w:t>Kompostimi</w:t>
            </w:r>
            <w:proofErr w:type="spellEnd"/>
            <w:r w:rsidRPr="00721BCE">
              <w:rPr>
                <w:rFonts w:ascii="Arial Narrow" w:hAnsi="Arial Narrow" w:cs="Calibri"/>
                <w:sz w:val="18"/>
                <w:szCs w:val="18"/>
                <w:lang w:val="en-GB" w:eastAsia="en-GB"/>
              </w:rPr>
              <w:t xml:space="preserve"> </w:t>
            </w:r>
            <w:proofErr w:type="spellStart"/>
            <w:r w:rsidRPr="00721BCE">
              <w:rPr>
                <w:rFonts w:ascii="Arial Narrow" w:hAnsi="Arial Narrow" w:cs="Calibri"/>
                <w:sz w:val="18"/>
                <w:szCs w:val="18"/>
                <w:lang w:val="en-GB" w:eastAsia="en-GB"/>
              </w:rPr>
              <w:t>shtëpiak</w:t>
            </w:r>
            <w:proofErr w:type="spellEnd"/>
          </w:p>
        </w:tc>
        <w:tc>
          <w:tcPr>
            <w:tcW w:w="769" w:type="dxa"/>
            <w:shd w:val="clear" w:color="auto" w:fill="auto"/>
            <w:noWrap/>
            <w:tcMar>
              <w:left w:w="58" w:type="dxa"/>
              <w:right w:w="58" w:type="dxa"/>
            </w:tcMar>
            <w:vAlign w:val="bottom"/>
            <w:hideMark/>
          </w:tcPr>
          <w:p w14:paraId="253ABC9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5962F07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 t</w:t>
            </w:r>
          </w:p>
        </w:tc>
        <w:tc>
          <w:tcPr>
            <w:tcW w:w="770" w:type="dxa"/>
            <w:shd w:val="clear" w:color="auto" w:fill="auto"/>
            <w:noWrap/>
            <w:tcMar>
              <w:left w:w="58" w:type="dxa"/>
              <w:right w:w="58" w:type="dxa"/>
            </w:tcMar>
            <w:vAlign w:val="bottom"/>
            <w:hideMark/>
          </w:tcPr>
          <w:p w14:paraId="43AFAA6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10 t</w:t>
            </w:r>
          </w:p>
        </w:tc>
        <w:tc>
          <w:tcPr>
            <w:tcW w:w="770" w:type="dxa"/>
            <w:shd w:val="clear" w:color="auto" w:fill="auto"/>
            <w:noWrap/>
            <w:tcMar>
              <w:left w:w="58" w:type="dxa"/>
              <w:right w:w="58" w:type="dxa"/>
            </w:tcMar>
            <w:vAlign w:val="bottom"/>
            <w:hideMark/>
          </w:tcPr>
          <w:p w14:paraId="4528C22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11 t</w:t>
            </w:r>
          </w:p>
        </w:tc>
        <w:tc>
          <w:tcPr>
            <w:tcW w:w="770" w:type="dxa"/>
            <w:shd w:val="clear" w:color="auto" w:fill="auto"/>
            <w:noWrap/>
            <w:tcMar>
              <w:left w:w="58" w:type="dxa"/>
              <w:right w:w="58" w:type="dxa"/>
            </w:tcMar>
            <w:vAlign w:val="bottom"/>
            <w:hideMark/>
          </w:tcPr>
          <w:p w14:paraId="47AC32D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13 t</w:t>
            </w:r>
          </w:p>
        </w:tc>
        <w:tc>
          <w:tcPr>
            <w:tcW w:w="770" w:type="dxa"/>
            <w:shd w:val="clear" w:color="auto" w:fill="auto"/>
            <w:noWrap/>
            <w:tcMar>
              <w:left w:w="58" w:type="dxa"/>
              <w:right w:w="58" w:type="dxa"/>
            </w:tcMar>
            <w:vAlign w:val="bottom"/>
            <w:hideMark/>
          </w:tcPr>
          <w:p w14:paraId="3428686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13 t</w:t>
            </w:r>
          </w:p>
        </w:tc>
        <w:tc>
          <w:tcPr>
            <w:tcW w:w="770" w:type="dxa"/>
            <w:shd w:val="clear" w:color="auto" w:fill="auto"/>
            <w:noWrap/>
            <w:tcMar>
              <w:left w:w="58" w:type="dxa"/>
              <w:right w:w="58" w:type="dxa"/>
            </w:tcMar>
            <w:vAlign w:val="bottom"/>
            <w:hideMark/>
          </w:tcPr>
          <w:p w14:paraId="0D3A3DF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76 t</w:t>
            </w:r>
          </w:p>
        </w:tc>
        <w:tc>
          <w:tcPr>
            <w:tcW w:w="770" w:type="dxa"/>
            <w:shd w:val="clear" w:color="auto" w:fill="auto"/>
            <w:noWrap/>
            <w:tcMar>
              <w:left w:w="58" w:type="dxa"/>
              <w:right w:w="58" w:type="dxa"/>
            </w:tcMar>
            <w:vAlign w:val="bottom"/>
            <w:hideMark/>
          </w:tcPr>
          <w:p w14:paraId="0E68F57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87 t</w:t>
            </w:r>
          </w:p>
        </w:tc>
        <w:tc>
          <w:tcPr>
            <w:tcW w:w="770" w:type="dxa"/>
            <w:shd w:val="clear" w:color="auto" w:fill="auto"/>
            <w:noWrap/>
            <w:tcMar>
              <w:left w:w="58" w:type="dxa"/>
              <w:right w:w="58" w:type="dxa"/>
            </w:tcMar>
            <w:vAlign w:val="bottom"/>
            <w:hideMark/>
          </w:tcPr>
          <w:p w14:paraId="6B9CC46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100 t</w:t>
            </w:r>
          </w:p>
        </w:tc>
        <w:tc>
          <w:tcPr>
            <w:tcW w:w="770" w:type="dxa"/>
            <w:shd w:val="clear" w:color="auto" w:fill="auto"/>
            <w:noWrap/>
            <w:tcMar>
              <w:left w:w="58" w:type="dxa"/>
              <w:right w:w="58" w:type="dxa"/>
            </w:tcMar>
            <w:vAlign w:val="bottom"/>
            <w:hideMark/>
          </w:tcPr>
          <w:p w14:paraId="78282AF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108 t</w:t>
            </w:r>
          </w:p>
        </w:tc>
      </w:tr>
      <w:tr w:rsidR="00721BCE" w:rsidRPr="00721BCE" w14:paraId="439074C8" w14:textId="77777777" w:rsidTr="005A2D4D">
        <w:trPr>
          <w:trHeight w:val="290"/>
        </w:trPr>
        <w:tc>
          <w:tcPr>
            <w:tcW w:w="1318" w:type="dxa"/>
            <w:shd w:val="clear" w:color="auto" w:fill="auto"/>
            <w:noWrap/>
            <w:tcMar>
              <w:left w:w="58" w:type="dxa"/>
              <w:right w:w="58" w:type="dxa"/>
            </w:tcMar>
            <w:vAlign w:val="bottom"/>
            <w:hideMark/>
          </w:tcPr>
          <w:p w14:paraId="14234E33" w14:textId="77777777" w:rsidR="00721BCE" w:rsidRPr="003069B8" w:rsidRDefault="00721BCE" w:rsidP="005A2D4D">
            <w:pPr>
              <w:rPr>
                <w:rFonts w:ascii="Arial Narrow" w:hAnsi="Arial Narrow" w:cs="Calibri"/>
                <w:sz w:val="18"/>
                <w:szCs w:val="18"/>
                <w:lang w:val="es-ES" w:eastAsia="en-GB"/>
              </w:rPr>
            </w:pPr>
            <w:proofErr w:type="spellStart"/>
            <w:r w:rsidRPr="003069B8">
              <w:rPr>
                <w:rFonts w:ascii="Arial Narrow" w:hAnsi="Arial Narrow" w:cs="Calibri"/>
                <w:sz w:val="18"/>
                <w:szCs w:val="18"/>
                <w:lang w:val="es-ES" w:eastAsia="en-GB"/>
              </w:rPr>
              <w:t>Mbeturinat</w:t>
            </w:r>
            <w:proofErr w:type="spellEnd"/>
            <w:r w:rsidRPr="003069B8">
              <w:rPr>
                <w:rFonts w:ascii="Arial Narrow" w:hAnsi="Arial Narrow" w:cs="Calibri"/>
                <w:sz w:val="18"/>
                <w:szCs w:val="18"/>
                <w:lang w:val="es-ES" w:eastAsia="en-GB"/>
              </w:rPr>
              <w:t xml:space="preserve"> e </w:t>
            </w:r>
            <w:proofErr w:type="spellStart"/>
            <w:r w:rsidRPr="003069B8">
              <w:rPr>
                <w:rFonts w:ascii="Arial Narrow" w:hAnsi="Arial Narrow" w:cs="Calibri"/>
                <w:sz w:val="18"/>
                <w:szCs w:val="18"/>
                <w:lang w:val="es-ES" w:eastAsia="en-GB"/>
              </w:rPr>
              <w:t>përziera</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të</w:t>
            </w:r>
            <w:proofErr w:type="spellEnd"/>
            <w:r w:rsidRPr="003069B8">
              <w:rPr>
                <w:rFonts w:ascii="Arial Narrow" w:hAnsi="Arial Narrow" w:cs="Calibri"/>
                <w:sz w:val="18"/>
                <w:szCs w:val="18"/>
                <w:lang w:val="es-ES" w:eastAsia="en-GB"/>
              </w:rPr>
              <w:t xml:space="preserve"> </w:t>
            </w:r>
            <w:proofErr w:type="spellStart"/>
            <w:r w:rsidRPr="003069B8">
              <w:rPr>
                <w:rFonts w:ascii="Arial Narrow" w:hAnsi="Arial Narrow" w:cs="Calibri"/>
                <w:sz w:val="18"/>
                <w:szCs w:val="18"/>
                <w:lang w:val="es-ES" w:eastAsia="en-GB"/>
              </w:rPr>
              <w:t>grumbulluara</w:t>
            </w:r>
            <w:proofErr w:type="spellEnd"/>
          </w:p>
        </w:tc>
        <w:tc>
          <w:tcPr>
            <w:tcW w:w="769" w:type="dxa"/>
            <w:shd w:val="clear" w:color="auto" w:fill="auto"/>
            <w:noWrap/>
            <w:tcMar>
              <w:left w:w="58" w:type="dxa"/>
              <w:right w:w="58" w:type="dxa"/>
            </w:tcMar>
            <w:vAlign w:val="bottom"/>
            <w:hideMark/>
          </w:tcPr>
          <w:p w14:paraId="297BBDA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874 t</w:t>
            </w:r>
          </w:p>
        </w:tc>
        <w:tc>
          <w:tcPr>
            <w:tcW w:w="769" w:type="dxa"/>
            <w:shd w:val="clear" w:color="auto" w:fill="auto"/>
            <w:noWrap/>
            <w:tcMar>
              <w:left w:w="58" w:type="dxa"/>
              <w:right w:w="58" w:type="dxa"/>
            </w:tcMar>
            <w:vAlign w:val="bottom"/>
            <w:hideMark/>
          </w:tcPr>
          <w:p w14:paraId="0B27F30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691 t</w:t>
            </w:r>
          </w:p>
        </w:tc>
        <w:tc>
          <w:tcPr>
            <w:tcW w:w="770" w:type="dxa"/>
            <w:shd w:val="clear" w:color="auto" w:fill="auto"/>
            <w:noWrap/>
            <w:tcMar>
              <w:left w:w="58" w:type="dxa"/>
              <w:right w:w="58" w:type="dxa"/>
            </w:tcMar>
            <w:vAlign w:val="bottom"/>
            <w:hideMark/>
          </w:tcPr>
          <w:p w14:paraId="16A25BC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685 t</w:t>
            </w:r>
          </w:p>
        </w:tc>
        <w:tc>
          <w:tcPr>
            <w:tcW w:w="770" w:type="dxa"/>
            <w:shd w:val="clear" w:color="auto" w:fill="auto"/>
            <w:noWrap/>
            <w:tcMar>
              <w:left w:w="58" w:type="dxa"/>
              <w:right w:w="58" w:type="dxa"/>
            </w:tcMar>
            <w:vAlign w:val="bottom"/>
            <w:hideMark/>
          </w:tcPr>
          <w:p w14:paraId="6DA8E3F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678 t</w:t>
            </w:r>
          </w:p>
        </w:tc>
        <w:tc>
          <w:tcPr>
            <w:tcW w:w="770" w:type="dxa"/>
            <w:shd w:val="clear" w:color="auto" w:fill="auto"/>
            <w:noWrap/>
            <w:tcMar>
              <w:left w:w="58" w:type="dxa"/>
              <w:right w:w="58" w:type="dxa"/>
            </w:tcMar>
            <w:vAlign w:val="bottom"/>
            <w:hideMark/>
          </w:tcPr>
          <w:p w14:paraId="033F98A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662 t</w:t>
            </w:r>
          </w:p>
        </w:tc>
        <w:tc>
          <w:tcPr>
            <w:tcW w:w="770" w:type="dxa"/>
            <w:shd w:val="clear" w:color="auto" w:fill="auto"/>
            <w:noWrap/>
            <w:tcMar>
              <w:left w:w="58" w:type="dxa"/>
              <w:right w:w="58" w:type="dxa"/>
            </w:tcMar>
            <w:vAlign w:val="bottom"/>
            <w:hideMark/>
          </w:tcPr>
          <w:p w14:paraId="39CF676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654 t</w:t>
            </w:r>
          </w:p>
        </w:tc>
        <w:tc>
          <w:tcPr>
            <w:tcW w:w="770" w:type="dxa"/>
            <w:shd w:val="clear" w:color="auto" w:fill="auto"/>
            <w:noWrap/>
            <w:tcMar>
              <w:left w:w="58" w:type="dxa"/>
              <w:right w:w="58" w:type="dxa"/>
            </w:tcMar>
            <w:vAlign w:val="bottom"/>
            <w:hideMark/>
          </w:tcPr>
          <w:p w14:paraId="64BDB6A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583 t</w:t>
            </w:r>
          </w:p>
        </w:tc>
        <w:tc>
          <w:tcPr>
            <w:tcW w:w="770" w:type="dxa"/>
            <w:shd w:val="clear" w:color="auto" w:fill="auto"/>
            <w:noWrap/>
            <w:tcMar>
              <w:left w:w="58" w:type="dxa"/>
              <w:right w:w="58" w:type="dxa"/>
            </w:tcMar>
            <w:vAlign w:val="bottom"/>
            <w:hideMark/>
          </w:tcPr>
          <w:p w14:paraId="5D14066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564 t</w:t>
            </w:r>
          </w:p>
        </w:tc>
        <w:tc>
          <w:tcPr>
            <w:tcW w:w="770" w:type="dxa"/>
            <w:shd w:val="clear" w:color="auto" w:fill="auto"/>
            <w:noWrap/>
            <w:tcMar>
              <w:left w:w="58" w:type="dxa"/>
              <w:right w:w="58" w:type="dxa"/>
            </w:tcMar>
            <w:vAlign w:val="bottom"/>
            <w:hideMark/>
          </w:tcPr>
          <w:p w14:paraId="64471F1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543 t</w:t>
            </w:r>
          </w:p>
        </w:tc>
        <w:tc>
          <w:tcPr>
            <w:tcW w:w="770" w:type="dxa"/>
            <w:shd w:val="clear" w:color="auto" w:fill="auto"/>
            <w:noWrap/>
            <w:tcMar>
              <w:left w:w="58" w:type="dxa"/>
              <w:right w:w="58" w:type="dxa"/>
            </w:tcMar>
            <w:vAlign w:val="bottom"/>
            <w:hideMark/>
          </w:tcPr>
          <w:p w14:paraId="1780CEF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527 t</w:t>
            </w:r>
          </w:p>
        </w:tc>
      </w:tr>
      <w:tr w:rsidR="00721BCE" w:rsidRPr="00721BCE" w14:paraId="54819CA8" w14:textId="77777777" w:rsidTr="005A2D4D">
        <w:trPr>
          <w:trHeight w:val="290"/>
        </w:trPr>
        <w:tc>
          <w:tcPr>
            <w:tcW w:w="1318" w:type="dxa"/>
            <w:shd w:val="clear" w:color="auto" w:fill="auto"/>
            <w:noWrap/>
            <w:tcMar>
              <w:left w:w="58" w:type="dxa"/>
              <w:right w:w="58" w:type="dxa"/>
            </w:tcMar>
            <w:vAlign w:val="bottom"/>
            <w:hideMark/>
          </w:tcPr>
          <w:p w14:paraId="17DCE617" w14:textId="77777777" w:rsidR="00721BCE" w:rsidRPr="00721BCE" w:rsidRDefault="00721BCE" w:rsidP="005A2D4D">
            <w:pPr>
              <w:rPr>
                <w:rFonts w:ascii="Arial Narrow" w:hAnsi="Arial Narrow" w:cs="Calibri"/>
                <w:sz w:val="18"/>
                <w:szCs w:val="18"/>
                <w:lang w:val="en-GB" w:eastAsia="en-GB"/>
              </w:rPr>
            </w:pPr>
            <w:proofErr w:type="spellStart"/>
            <w:r w:rsidRPr="00721BCE">
              <w:rPr>
                <w:rFonts w:ascii="Arial Narrow" w:hAnsi="Arial Narrow" w:cs="Calibri"/>
                <w:sz w:val="18"/>
                <w:szCs w:val="18"/>
                <w:lang w:val="en-GB" w:eastAsia="en-GB"/>
              </w:rPr>
              <w:lastRenderedPageBreak/>
              <w:t>Rikuperimi</w:t>
            </w:r>
            <w:proofErr w:type="spellEnd"/>
            <w:r w:rsidRPr="00721BCE">
              <w:rPr>
                <w:rFonts w:ascii="Arial Narrow" w:hAnsi="Arial Narrow" w:cs="Calibri"/>
                <w:sz w:val="18"/>
                <w:szCs w:val="18"/>
                <w:lang w:val="en-GB" w:eastAsia="en-GB"/>
              </w:rPr>
              <w:t xml:space="preserve"> i </w:t>
            </w:r>
            <w:proofErr w:type="spellStart"/>
            <w:r w:rsidRPr="00721BCE">
              <w:rPr>
                <w:rFonts w:ascii="Arial Narrow" w:hAnsi="Arial Narrow" w:cs="Calibri"/>
                <w:sz w:val="18"/>
                <w:szCs w:val="18"/>
                <w:lang w:val="en-GB" w:eastAsia="en-GB"/>
              </w:rPr>
              <w:t>tekstilit</w:t>
            </w:r>
            <w:proofErr w:type="spellEnd"/>
          </w:p>
        </w:tc>
        <w:tc>
          <w:tcPr>
            <w:tcW w:w="769" w:type="dxa"/>
            <w:shd w:val="clear" w:color="auto" w:fill="auto"/>
            <w:noWrap/>
            <w:tcMar>
              <w:left w:w="58" w:type="dxa"/>
              <w:right w:w="58" w:type="dxa"/>
            </w:tcMar>
            <w:vAlign w:val="bottom"/>
            <w:hideMark/>
          </w:tcPr>
          <w:p w14:paraId="1073B42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41D2438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3A75A7A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4EAE679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13C8301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 t</w:t>
            </w:r>
          </w:p>
        </w:tc>
        <w:tc>
          <w:tcPr>
            <w:tcW w:w="770" w:type="dxa"/>
            <w:shd w:val="clear" w:color="auto" w:fill="auto"/>
            <w:noWrap/>
            <w:tcMar>
              <w:left w:w="58" w:type="dxa"/>
              <w:right w:w="58" w:type="dxa"/>
            </w:tcMar>
            <w:vAlign w:val="bottom"/>
            <w:hideMark/>
          </w:tcPr>
          <w:p w14:paraId="01E8E8D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 t</w:t>
            </w:r>
          </w:p>
        </w:tc>
        <w:tc>
          <w:tcPr>
            <w:tcW w:w="770" w:type="dxa"/>
            <w:shd w:val="clear" w:color="auto" w:fill="auto"/>
            <w:noWrap/>
            <w:tcMar>
              <w:left w:w="58" w:type="dxa"/>
              <w:right w:w="58" w:type="dxa"/>
            </w:tcMar>
            <w:vAlign w:val="bottom"/>
            <w:hideMark/>
          </w:tcPr>
          <w:p w14:paraId="5F38A8A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10 t</w:t>
            </w:r>
          </w:p>
        </w:tc>
        <w:tc>
          <w:tcPr>
            <w:tcW w:w="770" w:type="dxa"/>
            <w:shd w:val="clear" w:color="auto" w:fill="auto"/>
            <w:noWrap/>
            <w:tcMar>
              <w:left w:w="58" w:type="dxa"/>
              <w:right w:w="58" w:type="dxa"/>
            </w:tcMar>
            <w:vAlign w:val="bottom"/>
            <w:hideMark/>
          </w:tcPr>
          <w:p w14:paraId="1BAB5C9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10 t</w:t>
            </w:r>
          </w:p>
        </w:tc>
        <w:tc>
          <w:tcPr>
            <w:tcW w:w="770" w:type="dxa"/>
            <w:shd w:val="clear" w:color="auto" w:fill="auto"/>
            <w:noWrap/>
            <w:tcMar>
              <w:left w:w="58" w:type="dxa"/>
              <w:right w:w="58" w:type="dxa"/>
            </w:tcMar>
            <w:vAlign w:val="bottom"/>
            <w:hideMark/>
          </w:tcPr>
          <w:p w14:paraId="180B439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11 t</w:t>
            </w:r>
          </w:p>
        </w:tc>
        <w:tc>
          <w:tcPr>
            <w:tcW w:w="770" w:type="dxa"/>
            <w:shd w:val="clear" w:color="auto" w:fill="auto"/>
            <w:noWrap/>
            <w:tcMar>
              <w:left w:w="58" w:type="dxa"/>
              <w:right w:w="58" w:type="dxa"/>
            </w:tcMar>
            <w:vAlign w:val="bottom"/>
            <w:hideMark/>
          </w:tcPr>
          <w:p w14:paraId="032C45E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11 t</w:t>
            </w:r>
          </w:p>
        </w:tc>
      </w:tr>
      <w:tr w:rsidR="00721BCE" w:rsidRPr="00721BCE" w14:paraId="12A59229" w14:textId="77777777" w:rsidTr="005A2D4D">
        <w:trPr>
          <w:trHeight w:val="290"/>
        </w:trPr>
        <w:tc>
          <w:tcPr>
            <w:tcW w:w="1318" w:type="dxa"/>
            <w:shd w:val="clear" w:color="auto" w:fill="auto"/>
            <w:noWrap/>
            <w:tcMar>
              <w:left w:w="58" w:type="dxa"/>
              <w:right w:w="58" w:type="dxa"/>
            </w:tcMar>
            <w:vAlign w:val="bottom"/>
            <w:hideMark/>
          </w:tcPr>
          <w:p w14:paraId="0B63C3A9" w14:textId="77777777" w:rsidR="00721BCE" w:rsidRPr="00721BCE" w:rsidRDefault="00721BCE" w:rsidP="005A2D4D">
            <w:pPr>
              <w:rPr>
                <w:rFonts w:ascii="Arial Narrow" w:hAnsi="Arial Narrow" w:cs="Calibri"/>
                <w:sz w:val="18"/>
                <w:szCs w:val="18"/>
                <w:lang w:val="en-GB" w:eastAsia="en-GB"/>
              </w:rPr>
            </w:pPr>
            <w:proofErr w:type="spellStart"/>
            <w:r w:rsidRPr="00721BCE">
              <w:rPr>
                <w:rFonts w:ascii="Arial Narrow" w:hAnsi="Arial Narrow" w:cs="Calibri"/>
                <w:sz w:val="18"/>
                <w:szCs w:val="18"/>
                <w:lang w:val="en-GB" w:eastAsia="en-GB"/>
              </w:rPr>
              <w:t>Mbeturinat</w:t>
            </w:r>
            <w:proofErr w:type="spellEnd"/>
            <w:r w:rsidRPr="00721BCE">
              <w:rPr>
                <w:rFonts w:ascii="Arial Narrow" w:hAnsi="Arial Narrow" w:cs="Calibri"/>
                <w:sz w:val="18"/>
                <w:szCs w:val="18"/>
                <w:lang w:val="en-GB" w:eastAsia="en-GB"/>
              </w:rPr>
              <w:t xml:space="preserve"> e </w:t>
            </w:r>
            <w:proofErr w:type="spellStart"/>
            <w:r w:rsidRPr="00721BCE">
              <w:rPr>
                <w:rFonts w:ascii="Arial Narrow" w:hAnsi="Arial Narrow" w:cs="Calibri"/>
                <w:sz w:val="18"/>
                <w:szCs w:val="18"/>
                <w:lang w:val="en-GB" w:eastAsia="en-GB"/>
              </w:rPr>
              <w:t>përziera</w:t>
            </w:r>
            <w:proofErr w:type="spellEnd"/>
            <w:r w:rsidRPr="00721BCE">
              <w:rPr>
                <w:rFonts w:ascii="Arial Narrow" w:hAnsi="Arial Narrow" w:cs="Calibri"/>
                <w:sz w:val="18"/>
                <w:szCs w:val="18"/>
                <w:lang w:val="en-GB" w:eastAsia="en-GB"/>
              </w:rPr>
              <w:t xml:space="preserve"> </w:t>
            </w:r>
            <w:proofErr w:type="spellStart"/>
            <w:r w:rsidRPr="00721BCE">
              <w:rPr>
                <w:rFonts w:ascii="Arial Narrow" w:hAnsi="Arial Narrow" w:cs="Calibri"/>
                <w:sz w:val="18"/>
                <w:szCs w:val="18"/>
                <w:lang w:val="en-GB" w:eastAsia="en-GB"/>
              </w:rPr>
              <w:t>për</w:t>
            </w:r>
            <w:proofErr w:type="spellEnd"/>
            <w:r w:rsidRPr="00721BCE">
              <w:rPr>
                <w:rFonts w:ascii="Arial Narrow" w:hAnsi="Arial Narrow" w:cs="Calibri"/>
                <w:sz w:val="18"/>
                <w:szCs w:val="18"/>
                <w:lang w:val="en-GB" w:eastAsia="en-GB"/>
              </w:rPr>
              <w:t xml:space="preserve"> </w:t>
            </w:r>
            <w:proofErr w:type="spellStart"/>
            <w:r w:rsidRPr="00721BCE">
              <w:rPr>
                <w:rFonts w:ascii="Arial Narrow" w:hAnsi="Arial Narrow" w:cs="Calibri"/>
                <w:sz w:val="18"/>
                <w:szCs w:val="18"/>
                <w:lang w:val="en-GB" w:eastAsia="en-GB"/>
              </w:rPr>
              <w:t>trajtim</w:t>
            </w:r>
            <w:proofErr w:type="spellEnd"/>
            <w:r w:rsidRPr="00721BCE">
              <w:rPr>
                <w:rFonts w:ascii="Arial Narrow" w:hAnsi="Arial Narrow" w:cs="Calibri"/>
                <w:sz w:val="18"/>
                <w:szCs w:val="18"/>
                <w:lang w:val="en-GB" w:eastAsia="en-GB"/>
              </w:rPr>
              <w:t xml:space="preserve"> </w:t>
            </w:r>
            <w:proofErr w:type="spellStart"/>
            <w:r w:rsidRPr="00721BCE">
              <w:rPr>
                <w:rFonts w:ascii="Arial Narrow" w:hAnsi="Arial Narrow" w:cs="Calibri"/>
                <w:sz w:val="18"/>
                <w:szCs w:val="18"/>
                <w:lang w:val="en-GB" w:eastAsia="en-GB"/>
              </w:rPr>
              <w:t>në</w:t>
            </w:r>
            <w:proofErr w:type="spellEnd"/>
            <w:r w:rsidRPr="00721BCE">
              <w:rPr>
                <w:rFonts w:ascii="Arial Narrow" w:hAnsi="Arial Narrow" w:cs="Calibri"/>
                <w:sz w:val="18"/>
                <w:szCs w:val="18"/>
                <w:lang w:val="en-GB" w:eastAsia="en-GB"/>
              </w:rPr>
              <w:t xml:space="preserve"> TMB</w:t>
            </w:r>
          </w:p>
        </w:tc>
        <w:tc>
          <w:tcPr>
            <w:tcW w:w="769" w:type="dxa"/>
            <w:shd w:val="clear" w:color="auto" w:fill="auto"/>
            <w:noWrap/>
            <w:tcMar>
              <w:left w:w="58" w:type="dxa"/>
              <w:right w:w="58" w:type="dxa"/>
            </w:tcMar>
            <w:vAlign w:val="bottom"/>
            <w:hideMark/>
          </w:tcPr>
          <w:p w14:paraId="0D55E0B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329AC0C5"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5E21BC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E51B0A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1EF322E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08FCEB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57FA1C8B"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583 t</w:t>
            </w:r>
          </w:p>
        </w:tc>
        <w:tc>
          <w:tcPr>
            <w:tcW w:w="770" w:type="dxa"/>
            <w:shd w:val="clear" w:color="auto" w:fill="auto"/>
            <w:noWrap/>
            <w:tcMar>
              <w:left w:w="58" w:type="dxa"/>
              <w:right w:w="58" w:type="dxa"/>
            </w:tcMar>
            <w:vAlign w:val="bottom"/>
            <w:hideMark/>
          </w:tcPr>
          <w:p w14:paraId="3125E73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564 t</w:t>
            </w:r>
          </w:p>
        </w:tc>
        <w:tc>
          <w:tcPr>
            <w:tcW w:w="770" w:type="dxa"/>
            <w:shd w:val="clear" w:color="auto" w:fill="auto"/>
            <w:noWrap/>
            <w:tcMar>
              <w:left w:w="58" w:type="dxa"/>
              <w:right w:w="58" w:type="dxa"/>
            </w:tcMar>
            <w:vAlign w:val="bottom"/>
            <w:hideMark/>
          </w:tcPr>
          <w:p w14:paraId="162450A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543 t</w:t>
            </w:r>
          </w:p>
        </w:tc>
        <w:tc>
          <w:tcPr>
            <w:tcW w:w="770" w:type="dxa"/>
            <w:shd w:val="clear" w:color="auto" w:fill="auto"/>
            <w:noWrap/>
            <w:tcMar>
              <w:left w:w="58" w:type="dxa"/>
              <w:right w:w="58" w:type="dxa"/>
            </w:tcMar>
            <w:vAlign w:val="bottom"/>
            <w:hideMark/>
          </w:tcPr>
          <w:p w14:paraId="0A379D9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527 t</w:t>
            </w:r>
          </w:p>
        </w:tc>
      </w:tr>
      <w:tr w:rsidR="00721BCE" w:rsidRPr="00721BCE" w14:paraId="1792604F" w14:textId="77777777" w:rsidTr="005A2D4D">
        <w:trPr>
          <w:trHeight w:val="290"/>
        </w:trPr>
        <w:tc>
          <w:tcPr>
            <w:tcW w:w="1318" w:type="dxa"/>
            <w:shd w:val="clear" w:color="auto" w:fill="auto"/>
            <w:noWrap/>
            <w:tcMar>
              <w:left w:w="58" w:type="dxa"/>
              <w:right w:w="58" w:type="dxa"/>
            </w:tcMar>
            <w:vAlign w:val="bottom"/>
            <w:hideMark/>
          </w:tcPr>
          <w:p w14:paraId="74E4DC60"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Mbeturinat ushqimore për trajtim në kontejnerë të specializuar</w:t>
            </w:r>
          </w:p>
        </w:tc>
        <w:tc>
          <w:tcPr>
            <w:tcW w:w="769" w:type="dxa"/>
            <w:shd w:val="clear" w:color="auto" w:fill="auto"/>
            <w:noWrap/>
            <w:tcMar>
              <w:left w:w="58" w:type="dxa"/>
              <w:right w:w="58" w:type="dxa"/>
            </w:tcMar>
            <w:vAlign w:val="bottom"/>
            <w:hideMark/>
          </w:tcPr>
          <w:p w14:paraId="0AE7328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628A555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6FF98EF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53EEDD84"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0DB502E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43DD5C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1 t</w:t>
            </w:r>
          </w:p>
        </w:tc>
        <w:tc>
          <w:tcPr>
            <w:tcW w:w="770" w:type="dxa"/>
            <w:shd w:val="clear" w:color="auto" w:fill="auto"/>
            <w:noWrap/>
            <w:tcMar>
              <w:left w:w="58" w:type="dxa"/>
              <w:right w:w="58" w:type="dxa"/>
            </w:tcMar>
            <w:vAlign w:val="bottom"/>
            <w:hideMark/>
          </w:tcPr>
          <w:p w14:paraId="033EF60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21724AEF"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38B1701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0A270FB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r>
      <w:tr w:rsidR="00721BCE" w:rsidRPr="00721BCE" w14:paraId="206E218A" w14:textId="77777777" w:rsidTr="005A2D4D">
        <w:trPr>
          <w:trHeight w:val="290"/>
        </w:trPr>
        <w:tc>
          <w:tcPr>
            <w:tcW w:w="1318" w:type="dxa"/>
            <w:shd w:val="clear" w:color="auto" w:fill="auto"/>
            <w:noWrap/>
            <w:tcMar>
              <w:left w:w="58" w:type="dxa"/>
              <w:right w:w="58" w:type="dxa"/>
            </w:tcMar>
            <w:vAlign w:val="bottom"/>
            <w:hideMark/>
          </w:tcPr>
          <w:p w14:paraId="65856A19"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Papastërtitë nga klasifikimi në deponi</w:t>
            </w:r>
          </w:p>
        </w:tc>
        <w:tc>
          <w:tcPr>
            <w:tcW w:w="769" w:type="dxa"/>
            <w:shd w:val="clear" w:color="auto" w:fill="auto"/>
            <w:noWrap/>
            <w:tcMar>
              <w:left w:w="58" w:type="dxa"/>
              <w:right w:w="58" w:type="dxa"/>
            </w:tcMar>
            <w:vAlign w:val="bottom"/>
            <w:hideMark/>
          </w:tcPr>
          <w:p w14:paraId="4A443226"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3544B95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23 t</w:t>
            </w:r>
          </w:p>
        </w:tc>
        <w:tc>
          <w:tcPr>
            <w:tcW w:w="770" w:type="dxa"/>
            <w:shd w:val="clear" w:color="auto" w:fill="auto"/>
            <w:noWrap/>
            <w:tcMar>
              <w:left w:w="58" w:type="dxa"/>
              <w:right w:w="58" w:type="dxa"/>
            </w:tcMar>
            <w:vAlign w:val="bottom"/>
            <w:hideMark/>
          </w:tcPr>
          <w:p w14:paraId="2886264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24 t</w:t>
            </w:r>
          </w:p>
        </w:tc>
        <w:tc>
          <w:tcPr>
            <w:tcW w:w="770" w:type="dxa"/>
            <w:shd w:val="clear" w:color="auto" w:fill="auto"/>
            <w:noWrap/>
            <w:tcMar>
              <w:left w:w="58" w:type="dxa"/>
              <w:right w:w="58" w:type="dxa"/>
            </w:tcMar>
            <w:vAlign w:val="bottom"/>
            <w:hideMark/>
          </w:tcPr>
          <w:p w14:paraId="3D77411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26 t</w:t>
            </w:r>
          </w:p>
        </w:tc>
        <w:tc>
          <w:tcPr>
            <w:tcW w:w="770" w:type="dxa"/>
            <w:shd w:val="clear" w:color="auto" w:fill="auto"/>
            <w:noWrap/>
            <w:tcMar>
              <w:left w:w="58" w:type="dxa"/>
              <w:right w:w="58" w:type="dxa"/>
            </w:tcMar>
            <w:vAlign w:val="bottom"/>
            <w:hideMark/>
          </w:tcPr>
          <w:p w14:paraId="230809C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27 t</w:t>
            </w:r>
          </w:p>
        </w:tc>
        <w:tc>
          <w:tcPr>
            <w:tcW w:w="770" w:type="dxa"/>
            <w:shd w:val="clear" w:color="auto" w:fill="auto"/>
            <w:noWrap/>
            <w:tcMar>
              <w:left w:w="58" w:type="dxa"/>
              <w:right w:w="58" w:type="dxa"/>
            </w:tcMar>
            <w:vAlign w:val="bottom"/>
            <w:hideMark/>
          </w:tcPr>
          <w:p w14:paraId="066B367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29 t</w:t>
            </w:r>
          </w:p>
        </w:tc>
        <w:tc>
          <w:tcPr>
            <w:tcW w:w="770" w:type="dxa"/>
            <w:shd w:val="clear" w:color="auto" w:fill="auto"/>
            <w:noWrap/>
            <w:tcMar>
              <w:left w:w="58" w:type="dxa"/>
              <w:right w:w="58" w:type="dxa"/>
            </w:tcMar>
            <w:vAlign w:val="bottom"/>
            <w:hideMark/>
          </w:tcPr>
          <w:p w14:paraId="5A16192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30 t</w:t>
            </w:r>
          </w:p>
        </w:tc>
        <w:tc>
          <w:tcPr>
            <w:tcW w:w="770" w:type="dxa"/>
            <w:shd w:val="clear" w:color="auto" w:fill="auto"/>
            <w:noWrap/>
            <w:tcMar>
              <w:left w:w="58" w:type="dxa"/>
              <w:right w:w="58" w:type="dxa"/>
            </w:tcMar>
            <w:vAlign w:val="bottom"/>
            <w:hideMark/>
          </w:tcPr>
          <w:p w14:paraId="1CD09CE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32 t</w:t>
            </w:r>
          </w:p>
        </w:tc>
        <w:tc>
          <w:tcPr>
            <w:tcW w:w="770" w:type="dxa"/>
            <w:shd w:val="clear" w:color="auto" w:fill="auto"/>
            <w:noWrap/>
            <w:tcMar>
              <w:left w:w="58" w:type="dxa"/>
              <w:right w:w="58" w:type="dxa"/>
            </w:tcMar>
            <w:vAlign w:val="bottom"/>
            <w:hideMark/>
          </w:tcPr>
          <w:p w14:paraId="0A21182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34 t</w:t>
            </w:r>
          </w:p>
        </w:tc>
        <w:tc>
          <w:tcPr>
            <w:tcW w:w="770" w:type="dxa"/>
            <w:shd w:val="clear" w:color="auto" w:fill="auto"/>
            <w:noWrap/>
            <w:tcMar>
              <w:left w:w="58" w:type="dxa"/>
              <w:right w:w="58" w:type="dxa"/>
            </w:tcMar>
            <w:vAlign w:val="bottom"/>
            <w:hideMark/>
          </w:tcPr>
          <w:p w14:paraId="32A9354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35 t</w:t>
            </w:r>
          </w:p>
        </w:tc>
      </w:tr>
      <w:tr w:rsidR="00721BCE" w:rsidRPr="00721BCE" w14:paraId="2C7B9550" w14:textId="77777777" w:rsidTr="005A2D4D">
        <w:trPr>
          <w:trHeight w:val="290"/>
        </w:trPr>
        <w:tc>
          <w:tcPr>
            <w:tcW w:w="1318" w:type="dxa"/>
            <w:shd w:val="clear" w:color="auto" w:fill="auto"/>
            <w:noWrap/>
            <w:tcMar>
              <w:left w:w="58" w:type="dxa"/>
              <w:right w:w="58" w:type="dxa"/>
            </w:tcMar>
            <w:vAlign w:val="bottom"/>
            <w:hideMark/>
          </w:tcPr>
          <w:p w14:paraId="3C0973D0" w14:textId="77777777" w:rsidR="00721BCE" w:rsidRPr="003069B8" w:rsidRDefault="00721BCE" w:rsidP="005A2D4D">
            <w:pPr>
              <w:rPr>
                <w:rFonts w:ascii="Arial Narrow" w:hAnsi="Arial Narrow" w:cs="Calibri"/>
                <w:sz w:val="18"/>
                <w:szCs w:val="18"/>
                <w:lang w:eastAsia="en-GB"/>
              </w:rPr>
            </w:pPr>
            <w:r w:rsidRPr="003069B8">
              <w:rPr>
                <w:rFonts w:ascii="Arial Narrow" w:hAnsi="Arial Narrow" w:cs="Calibri"/>
                <w:sz w:val="18"/>
                <w:szCs w:val="18"/>
                <w:lang w:eastAsia="en-GB"/>
              </w:rPr>
              <w:t>Përzierjet nga TMB në deponi</w:t>
            </w:r>
          </w:p>
        </w:tc>
        <w:tc>
          <w:tcPr>
            <w:tcW w:w="769" w:type="dxa"/>
            <w:shd w:val="clear" w:color="auto" w:fill="auto"/>
            <w:noWrap/>
            <w:tcMar>
              <w:left w:w="58" w:type="dxa"/>
              <w:right w:w="58" w:type="dxa"/>
            </w:tcMar>
            <w:vAlign w:val="bottom"/>
            <w:hideMark/>
          </w:tcPr>
          <w:p w14:paraId="51ACD3B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69" w:type="dxa"/>
            <w:shd w:val="clear" w:color="auto" w:fill="auto"/>
            <w:noWrap/>
            <w:tcMar>
              <w:left w:w="58" w:type="dxa"/>
              <w:right w:w="58" w:type="dxa"/>
            </w:tcMar>
            <w:vAlign w:val="bottom"/>
            <w:hideMark/>
          </w:tcPr>
          <w:p w14:paraId="6E44106A"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44369E0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E59658E"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4699F1D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1ADEDB3C"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728D4D6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29 t</w:t>
            </w:r>
          </w:p>
        </w:tc>
        <w:tc>
          <w:tcPr>
            <w:tcW w:w="770" w:type="dxa"/>
            <w:shd w:val="clear" w:color="auto" w:fill="auto"/>
            <w:noWrap/>
            <w:tcMar>
              <w:left w:w="58" w:type="dxa"/>
              <w:right w:w="58" w:type="dxa"/>
            </w:tcMar>
            <w:vAlign w:val="bottom"/>
            <w:hideMark/>
          </w:tcPr>
          <w:p w14:paraId="31DE987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28 t</w:t>
            </w:r>
          </w:p>
        </w:tc>
        <w:tc>
          <w:tcPr>
            <w:tcW w:w="770" w:type="dxa"/>
            <w:shd w:val="clear" w:color="auto" w:fill="auto"/>
            <w:noWrap/>
            <w:tcMar>
              <w:left w:w="58" w:type="dxa"/>
              <w:right w:w="58" w:type="dxa"/>
            </w:tcMar>
            <w:vAlign w:val="bottom"/>
            <w:hideMark/>
          </w:tcPr>
          <w:p w14:paraId="438C14C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27 t</w:t>
            </w:r>
          </w:p>
        </w:tc>
        <w:tc>
          <w:tcPr>
            <w:tcW w:w="770" w:type="dxa"/>
            <w:shd w:val="clear" w:color="auto" w:fill="auto"/>
            <w:noWrap/>
            <w:tcMar>
              <w:left w:w="58" w:type="dxa"/>
              <w:right w:w="58" w:type="dxa"/>
            </w:tcMar>
            <w:vAlign w:val="bottom"/>
            <w:hideMark/>
          </w:tcPr>
          <w:p w14:paraId="7005E05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27 t</w:t>
            </w:r>
          </w:p>
        </w:tc>
      </w:tr>
      <w:tr w:rsidR="00721BCE" w:rsidRPr="00721BCE" w14:paraId="0C145AB3" w14:textId="77777777" w:rsidTr="005A2D4D">
        <w:trPr>
          <w:trHeight w:val="300"/>
        </w:trPr>
        <w:tc>
          <w:tcPr>
            <w:tcW w:w="1318" w:type="dxa"/>
            <w:shd w:val="clear" w:color="auto" w:fill="auto"/>
            <w:noWrap/>
            <w:tcMar>
              <w:left w:w="58" w:type="dxa"/>
              <w:right w:w="58" w:type="dxa"/>
            </w:tcMar>
            <w:vAlign w:val="bottom"/>
            <w:hideMark/>
          </w:tcPr>
          <w:p w14:paraId="1C1BEAB7" w14:textId="77777777" w:rsidR="00721BCE" w:rsidRPr="00721BCE" w:rsidRDefault="00721BCE" w:rsidP="005A2D4D">
            <w:pPr>
              <w:rPr>
                <w:rFonts w:ascii="Arial Narrow" w:hAnsi="Arial Narrow" w:cs="Calibri"/>
                <w:sz w:val="18"/>
                <w:szCs w:val="18"/>
                <w:lang w:val="en-GB" w:eastAsia="en-GB"/>
              </w:rPr>
            </w:pPr>
            <w:proofErr w:type="spellStart"/>
            <w:r w:rsidRPr="00721BCE">
              <w:rPr>
                <w:rFonts w:ascii="Arial Narrow" w:hAnsi="Arial Narrow" w:cs="Calibri"/>
                <w:sz w:val="18"/>
                <w:szCs w:val="18"/>
                <w:lang w:val="en-GB" w:eastAsia="en-GB"/>
              </w:rPr>
              <w:t>Mbeturinat</w:t>
            </w:r>
            <w:proofErr w:type="spellEnd"/>
            <w:r w:rsidRPr="00721BCE">
              <w:rPr>
                <w:rFonts w:ascii="Arial Narrow" w:hAnsi="Arial Narrow" w:cs="Calibri"/>
                <w:sz w:val="18"/>
                <w:szCs w:val="18"/>
                <w:lang w:val="en-GB" w:eastAsia="en-GB"/>
              </w:rPr>
              <w:t xml:space="preserve"> e </w:t>
            </w:r>
            <w:proofErr w:type="spellStart"/>
            <w:r w:rsidRPr="00721BCE">
              <w:rPr>
                <w:rFonts w:ascii="Arial Narrow" w:hAnsi="Arial Narrow" w:cs="Calibri"/>
                <w:sz w:val="18"/>
                <w:szCs w:val="18"/>
                <w:lang w:val="en-GB" w:eastAsia="en-GB"/>
              </w:rPr>
              <w:t>deponuara</w:t>
            </w:r>
            <w:proofErr w:type="spellEnd"/>
            <w:r w:rsidRPr="00721BCE">
              <w:rPr>
                <w:rFonts w:ascii="Arial Narrow" w:hAnsi="Arial Narrow" w:cs="Calibri"/>
                <w:sz w:val="18"/>
                <w:szCs w:val="18"/>
                <w:lang w:val="en-GB" w:eastAsia="en-GB"/>
              </w:rPr>
              <w:t xml:space="preserve"> </w:t>
            </w:r>
            <w:proofErr w:type="spellStart"/>
            <w:r w:rsidRPr="00721BCE">
              <w:rPr>
                <w:rFonts w:ascii="Arial Narrow" w:hAnsi="Arial Narrow" w:cs="Calibri"/>
                <w:sz w:val="18"/>
                <w:szCs w:val="18"/>
                <w:lang w:val="en-GB" w:eastAsia="en-GB"/>
              </w:rPr>
              <w:t>në</w:t>
            </w:r>
            <w:proofErr w:type="spellEnd"/>
            <w:r w:rsidRPr="00721BCE">
              <w:rPr>
                <w:rFonts w:ascii="Arial Narrow" w:hAnsi="Arial Narrow" w:cs="Calibri"/>
                <w:sz w:val="18"/>
                <w:szCs w:val="18"/>
                <w:lang w:val="en-GB" w:eastAsia="en-GB"/>
              </w:rPr>
              <w:t xml:space="preserve"> </w:t>
            </w:r>
            <w:proofErr w:type="spellStart"/>
            <w:r w:rsidRPr="00721BCE">
              <w:rPr>
                <w:rFonts w:ascii="Arial Narrow" w:hAnsi="Arial Narrow" w:cs="Calibri"/>
                <w:sz w:val="18"/>
                <w:szCs w:val="18"/>
                <w:lang w:val="en-GB" w:eastAsia="en-GB"/>
              </w:rPr>
              <w:t>deponi</w:t>
            </w:r>
            <w:proofErr w:type="spellEnd"/>
          </w:p>
        </w:tc>
        <w:tc>
          <w:tcPr>
            <w:tcW w:w="769" w:type="dxa"/>
            <w:shd w:val="clear" w:color="auto" w:fill="auto"/>
            <w:noWrap/>
            <w:tcMar>
              <w:left w:w="58" w:type="dxa"/>
              <w:right w:w="58" w:type="dxa"/>
            </w:tcMar>
            <w:vAlign w:val="bottom"/>
            <w:hideMark/>
          </w:tcPr>
          <w:p w14:paraId="76084159"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938 t</w:t>
            </w:r>
          </w:p>
        </w:tc>
        <w:tc>
          <w:tcPr>
            <w:tcW w:w="769" w:type="dxa"/>
            <w:shd w:val="clear" w:color="auto" w:fill="auto"/>
            <w:noWrap/>
            <w:tcMar>
              <w:left w:w="58" w:type="dxa"/>
              <w:right w:w="58" w:type="dxa"/>
            </w:tcMar>
            <w:vAlign w:val="bottom"/>
            <w:hideMark/>
          </w:tcPr>
          <w:p w14:paraId="35BFEF7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779 t</w:t>
            </w:r>
          </w:p>
        </w:tc>
        <w:tc>
          <w:tcPr>
            <w:tcW w:w="770" w:type="dxa"/>
            <w:shd w:val="clear" w:color="auto" w:fill="auto"/>
            <w:noWrap/>
            <w:tcMar>
              <w:left w:w="58" w:type="dxa"/>
              <w:right w:w="58" w:type="dxa"/>
            </w:tcMar>
            <w:vAlign w:val="bottom"/>
            <w:hideMark/>
          </w:tcPr>
          <w:p w14:paraId="1F536781"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774 t</w:t>
            </w:r>
          </w:p>
        </w:tc>
        <w:tc>
          <w:tcPr>
            <w:tcW w:w="770" w:type="dxa"/>
            <w:shd w:val="clear" w:color="auto" w:fill="auto"/>
            <w:noWrap/>
            <w:tcMar>
              <w:left w:w="58" w:type="dxa"/>
              <w:right w:w="58" w:type="dxa"/>
            </w:tcMar>
            <w:vAlign w:val="bottom"/>
            <w:hideMark/>
          </w:tcPr>
          <w:p w14:paraId="5DB67237"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769 t</w:t>
            </w:r>
          </w:p>
        </w:tc>
        <w:tc>
          <w:tcPr>
            <w:tcW w:w="770" w:type="dxa"/>
            <w:shd w:val="clear" w:color="auto" w:fill="auto"/>
            <w:noWrap/>
            <w:tcMar>
              <w:left w:w="58" w:type="dxa"/>
              <w:right w:w="58" w:type="dxa"/>
            </w:tcMar>
            <w:vAlign w:val="bottom"/>
            <w:hideMark/>
          </w:tcPr>
          <w:p w14:paraId="3B488438"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754 t</w:t>
            </w:r>
          </w:p>
        </w:tc>
        <w:tc>
          <w:tcPr>
            <w:tcW w:w="770" w:type="dxa"/>
            <w:shd w:val="clear" w:color="auto" w:fill="auto"/>
            <w:noWrap/>
            <w:tcMar>
              <w:left w:w="58" w:type="dxa"/>
              <w:right w:w="58" w:type="dxa"/>
            </w:tcMar>
            <w:vAlign w:val="bottom"/>
            <w:hideMark/>
          </w:tcPr>
          <w:p w14:paraId="680522D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745 t</w:t>
            </w:r>
          </w:p>
        </w:tc>
        <w:tc>
          <w:tcPr>
            <w:tcW w:w="770" w:type="dxa"/>
            <w:shd w:val="clear" w:color="auto" w:fill="auto"/>
            <w:noWrap/>
            <w:tcMar>
              <w:left w:w="58" w:type="dxa"/>
              <w:right w:w="58" w:type="dxa"/>
            </w:tcMar>
            <w:vAlign w:val="bottom"/>
            <w:hideMark/>
          </w:tcPr>
          <w:p w14:paraId="2815C142"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65A3DB30"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5A1CB4F3"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c>
          <w:tcPr>
            <w:tcW w:w="770" w:type="dxa"/>
            <w:shd w:val="clear" w:color="auto" w:fill="auto"/>
            <w:noWrap/>
            <w:tcMar>
              <w:left w:w="58" w:type="dxa"/>
              <w:right w:w="58" w:type="dxa"/>
            </w:tcMar>
            <w:vAlign w:val="bottom"/>
            <w:hideMark/>
          </w:tcPr>
          <w:p w14:paraId="1A56B96D" w14:textId="77777777" w:rsidR="00721BCE" w:rsidRPr="00721BCE" w:rsidRDefault="00721BCE" w:rsidP="005A2D4D">
            <w:pPr>
              <w:jc w:val="right"/>
              <w:rPr>
                <w:rFonts w:ascii="Arial Narrow" w:hAnsi="Arial Narrow" w:cs="Calibri"/>
                <w:sz w:val="18"/>
                <w:szCs w:val="18"/>
                <w:lang w:val="en-GB" w:eastAsia="en-GB"/>
              </w:rPr>
            </w:pPr>
            <w:r w:rsidRPr="00721BCE">
              <w:rPr>
                <w:rFonts w:ascii="Arial Narrow" w:eastAsia="Aptos" w:hAnsi="Arial Narrow" w:cs="Calibri"/>
                <w:kern w:val="2"/>
                <w:sz w:val="18"/>
                <w:szCs w:val="18"/>
                <w:lang w:val="en-GB"/>
                <w14:ligatures w14:val="standardContextual"/>
              </w:rPr>
              <w:t>0 t</w:t>
            </w:r>
          </w:p>
        </w:tc>
      </w:tr>
    </w:tbl>
    <w:p w14:paraId="2C45872C" w14:textId="77777777" w:rsidR="007D1EDC" w:rsidRPr="007D1EDC" w:rsidRDefault="007D1EDC" w:rsidP="007D1EDC">
      <w:pPr>
        <w:rPr>
          <w:rFonts w:ascii="Aptos" w:eastAsia="Aptos" w:hAnsi="Aptos"/>
          <w:kern w:val="2"/>
          <w:sz w:val="22"/>
          <w:szCs w:val="22"/>
          <w:lang w:val="bg-BG"/>
          <w14:ligatures w14:val="standardContextual"/>
        </w:rPr>
      </w:pPr>
    </w:p>
    <w:p w14:paraId="025F7051" w14:textId="77777777" w:rsidR="007D1EDC" w:rsidRPr="007D1EDC" w:rsidRDefault="007D1EDC" w:rsidP="007D1EDC">
      <w:pPr>
        <w:suppressAutoHyphens/>
        <w:rPr>
          <w:rFonts w:ascii="Arial Narrow" w:eastAsia="Calibri" w:hAnsi="Arial Narrow" w:cs="Calibri"/>
          <w:sz w:val="22"/>
          <w:szCs w:val="22"/>
        </w:rPr>
      </w:pPr>
    </w:p>
    <w:p w14:paraId="226471EC" w14:textId="77777777" w:rsidR="007D1EDC" w:rsidRPr="007D1EDC" w:rsidRDefault="007D1EDC" w:rsidP="007D1EDC">
      <w:pPr>
        <w:suppressAutoHyphens/>
        <w:rPr>
          <w:rFonts w:ascii="Arial Narrow" w:eastAsia="Calibri" w:hAnsi="Arial Narrow" w:cs="Calibri"/>
          <w:sz w:val="22"/>
          <w:szCs w:val="22"/>
        </w:rPr>
      </w:pPr>
    </w:p>
    <w:p w14:paraId="027341CF" w14:textId="77777777" w:rsidR="007D1EDC" w:rsidRPr="007D1EDC" w:rsidRDefault="007D1EDC" w:rsidP="007D1EDC">
      <w:pPr>
        <w:suppressAutoHyphens/>
        <w:rPr>
          <w:rFonts w:ascii="Arial Narrow" w:eastAsia="Calibri" w:hAnsi="Arial Narrow" w:cs="Calibri"/>
          <w:sz w:val="22"/>
          <w:szCs w:val="22"/>
        </w:rPr>
      </w:pPr>
    </w:p>
    <w:p w14:paraId="1AB048DD" w14:textId="77777777" w:rsidR="007D1EDC" w:rsidRPr="007D1EDC" w:rsidRDefault="007D1EDC" w:rsidP="007D1EDC">
      <w:pPr>
        <w:suppressAutoHyphens/>
        <w:rPr>
          <w:rFonts w:ascii="Arial Narrow" w:eastAsia="Calibri" w:hAnsi="Arial Narrow" w:cs="Calibri"/>
          <w:sz w:val="22"/>
          <w:szCs w:val="22"/>
        </w:rPr>
      </w:pPr>
    </w:p>
    <w:p w14:paraId="77E815A2" w14:textId="77777777" w:rsidR="007D1EDC" w:rsidRPr="007D1EDC" w:rsidRDefault="007D1EDC" w:rsidP="007D1EDC">
      <w:pPr>
        <w:suppressAutoHyphens/>
        <w:spacing w:after="120"/>
        <w:jc w:val="both"/>
        <w:rPr>
          <w:rFonts w:ascii="Arial Narrow" w:eastAsia="Calibri" w:hAnsi="Arial Narrow" w:cs="Calibri"/>
          <w:color w:val="1F497D"/>
          <w:sz w:val="20"/>
          <w:szCs w:val="20"/>
          <w:lang w:val="en-GB"/>
        </w:rPr>
      </w:pPr>
    </w:p>
    <w:p w14:paraId="1D92E668" w14:textId="77777777" w:rsidR="007D1EDC" w:rsidRPr="007D1EDC" w:rsidRDefault="007D1EDC" w:rsidP="007D1EDC">
      <w:pPr>
        <w:suppressAutoHyphens/>
        <w:jc w:val="both"/>
        <w:rPr>
          <w:rFonts w:ascii="Arial Narrow" w:eastAsia="Calibri" w:hAnsi="Arial Narrow" w:cs="Calibri"/>
          <w:color w:val="000000" w:themeColor="text1"/>
          <w:sz w:val="22"/>
          <w:szCs w:val="22"/>
          <w:lang w:val="en-GB"/>
        </w:rPr>
      </w:pPr>
    </w:p>
    <w:p w14:paraId="789DC8A2" w14:textId="77777777" w:rsidR="007D1EDC" w:rsidRPr="00430A79" w:rsidRDefault="007D1EDC" w:rsidP="00430A79">
      <w:pPr>
        <w:rPr>
          <w:rFonts w:ascii="Arial Narrow" w:hAnsi="Arial Narrow"/>
          <w:color w:val="000000"/>
          <w:sz w:val="22"/>
          <w:szCs w:val="22"/>
          <w:lang w:val="en-GB" w:eastAsia="de-DE"/>
        </w:rPr>
      </w:pPr>
    </w:p>
    <w:p w14:paraId="033FE8B1" w14:textId="77777777" w:rsidR="00430A79" w:rsidRPr="00430A79" w:rsidRDefault="00430A79" w:rsidP="00430A79">
      <w:pPr>
        <w:rPr>
          <w:rFonts w:ascii="Arial Narrow" w:hAnsi="Arial Narrow"/>
          <w:color w:val="000000"/>
          <w:sz w:val="22"/>
          <w:szCs w:val="22"/>
          <w:lang w:val="en-GB" w:eastAsia="de-DE"/>
        </w:rPr>
      </w:pPr>
    </w:p>
    <w:p w14:paraId="45CE6DEC" w14:textId="77777777" w:rsidR="00430A79" w:rsidRPr="00430A79" w:rsidRDefault="00430A79" w:rsidP="00430A79">
      <w:pPr>
        <w:rPr>
          <w:rFonts w:ascii="Arial Narrow" w:hAnsi="Arial Narrow"/>
          <w:color w:val="000000"/>
          <w:sz w:val="22"/>
          <w:szCs w:val="22"/>
          <w:lang w:val="en-GB" w:eastAsia="de-DE"/>
        </w:rPr>
      </w:pPr>
    </w:p>
    <w:p w14:paraId="1B5BC33E" w14:textId="77777777" w:rsidR="00430A79" w:rsidRPr="00430A79" w:rsidRDefault="00430A79" w:rsidP="00430A79">
      <w:pPr>
        <w:rPr>
          <w:rFonts w:ascii="Arial Narrow" w:hAnsi="Arial Narrow"/>
          <w:color w:val="000000"/>
          <w:sz w:val="22"/>
          <w:szCs w:val="22"/>
          <w:lang w:val="en-GB" w:eastAsia="de-DE"/>
        </w:rPr>
      </w:pPr>
    </w:p>
    <w:p w14:paraId="2A5DD719" w14:textId="77777777" w:rsidR="00430A79" w:rsidRPr="00430A79" w:rsidRDefault="00430A79" w:rsidP="00430A79">
      <w:pPr>
        <w:rPr>
          <w:rFonts w:ascii="Arial Narrow" w:hAnsi="Arial Narrow"/>
        </w:rPr>
      </w:pPr>
    </w:p>
    <w:p w14:paraId="1191D980" w14:textId="77777777" w:rsidR="004E7565" w:rsidRDefault="004E7565" w:rsidP="00032CD8">
      <w:pPr>
        <w:rPr>
          <w:rFonts w:eastAsia="Calibri" w:cs="Calibri"/>
          <w:sz w:val="22"/>
          <w:szCs w:val="22"/>
        </w:rPr>
      </w:pPr>
    </w:p>
    <w:p w14:paraId="1488BC98" w14:textId="77777777" w:rsidR="004E7565" w:rsidRPr="00720984" w:rsidRDefault="004E7565" w:rsidP="00032CD8">
      <w:pPr>
        <w:rPr>
          <w:rFonts w:eastAsia="Calibri" w:cs="Calibri"/>
          <w:sz w:val="22"/>
          <w:szCs w:val="22"/>
        </w:rPr>
      </w:pPr>
    </w:p>
    <w:p w14:paraId="6421F386" w14:textId="61EC8C60" w:rsidR="00032CD8" w:rsidRPr="00536C17" w:rsidRDefault="00032CD8" w:rsidP="00536C17">
      <w:pPr>
        <w:rPr>
          <w:rFonts w:eastAsia="Calibri" w:cs="Calibri"/>
          <w:sz w:val="22"/>
          <w:szCs w:val="22"/>
        </w:rPr>
      </w:pPr>
    </w:p>
    <w:sectPr w:rsidR="00032CD8" w:rsidRPr="00536C17" w:rsidSect="003B59A0">
      <w:headerReference w:type="default" r:id="rId104"/>
      <w:footerReference w:type="default" r:id="rId10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AE8523" w14:textId="77777777" w:rsidR="00D93456" w:rsidRDefault="00D93456" w:rsidP="00933BCE">
      <w:r>
        <w:separator/>
      </w:r>
    </w:p>
  </w:endnote>
  <w:endnote w:type="continuationSeparator" w:id="0">
    <w:p w14:paraId="58177746" w14:textId="77777777" w:rsidR="00D93456" w:rsidRDefault="00D93456" w:rsidP="00933BCE">
      <w:r>
        <w:continuationSeparator/>
      </w:r>
    </w:p>
  </w:endnote>
  <w:endnote w:type="continuationNotice" w:id="1">
    <w:p w14:paraId="30D72653" w14:textId="77777777" w:rsidR="00D93456" w:rsidRDefault="00D934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TTE20C1E10t00">
    <w:altName w:val="Times New Roman"/>
    <w:panose1 w:val="00000000000000000000"/>
    <w:charset w:val="CC"/>
    <w:family w:val="auto"/>
    <w:notTrueType/>
    <w:pitch w:val="default"/>
    <w:sig w:usb0="00000201" w:usb1="00000000" w:usb2="00000000" w:usb3="00000000" w:csb0="00000004" w:csb1="00000000"/>
  </w:font>
  <w:font w:name="Arial MT">
    <w:altName w:val="Arial"/>
    <w:charset w:val="01"/>
    <w:family w:val="swiss"/>
    <w:pitch w:val="variable"/>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DE0B3" w14:textId="77777777" w:rsidR="006D4DE3" w:rsidRDefault="006D4DE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517AB" w14:textId="77777777" w:rsidR="005250AA" w:rsidRPr="00A66F04" w:rsidRDefault="005250AA" w:rsidP="005250AA">
    <w:pPr>
      <w:pBdr>
        <w:top w:val="single" w:sz="4" w:space="1" w:color="auto"/>
      </w:pBdr>
      <w:tabs>
        <w:tab w:val="left" w:pos="9331"/>
      </w:tabs>
      <w:rPr>
        <w:bCs/>
        <w:color w:val="000000" w:themeColor="text1"/>
        <w:sz w:val="8"/>
        <w:szCs w:val="8"/>
      </w:rPr>
    </w:pPr>
  </w:p>
  <w:p w14:paraId="54E9F45B" w14:textId="7EFC2761" w:rsidR="005250AA" w:rsidRPr="00DA3562" w:rsidRDefault="0055708F" w:rsidP="005250AA">
    <w:pPr>
      <w:tabs>
        <w:tab w:val="right" w:pos="9469"/>
      </w:tabs>
      <w:rPr>
        <w:rFonts w:ascii="Arial Narrow" w:hAnsi="Arial Narrow"/>
        <w:bCs/>
        <w:color w:val="002060"/>
        <w:spacing w:val="2"/>
        <w:sz w:val="16"/>
        <w:szCs w:val="16"/>
      </w:rPr>
    </w:pPr>
    <w:r w:rsidRPr="00DA3562">
      <w:rPr>
        <w:rFonts w:ascii="Arial Narrow" w:hAnsi="Arial Narrow"/>
        <w:bCs/>
        <w:color w:val="002060"/>
        <w:spacing w:val="2"/>
        <w:sz w:val="16"/>
        <w:szCs w:val="16"/>
      </w:rPr>
      <w:t xml:space="preserve">Plani Ndërkomunal </w:t>
    </w:r>
    <w:r>
      <w:rPr>
        <w:rFonts w:ascii="Arial Narrow" w:hAnsi="Arial Narrow"/>
        <w:bCs/>
        <w:color w:val="002060"/>
        <w:spacing w:val="2"/>
        <w:sz w:val="16"/>
        <w:szCs w:val="16"/>
      </w:rPr>
      <w:t xml:space="preserve">për Menaxhimin e Integruar të Mbeturinave (PNMIM) </w:t>
    </w:r>
    <w:r w:rsidRPr="00DA3562">
      <w:rPr>
        <w:rFonts w:ascii="Arial Narrow" w:hAnsi="Arial Narrow"/>
        <w:bCs/>
        <w:color w:val="002060"/>
        <w:spacing w:val="2"/>
        <w:sz w:val="16"/>
        <w:szCs w:val="16"/>
      </w:rPr>
      <w:t>në Rajonin e Dukagjinit</w:t>
    </w:r>
    <w:r w:rsidR="005250AA" w:rsidRPr="00DA3562">
      <w:rPr>
        <w:rFonts w:ascii="Arial Narrow" w:hAnsi="Arial Narrow"/>
        <w:color w:val="002060"/>
        <w:spacing w:val="2"/>
        <w:sz w:val="16"/>
        <w:szCs w:val="16"/>
      </w:rPr>
      <w:tab/>
    </w:r>
    <w:r w:rsidR="005250AA">
      <w:rPr>
        <w:rFonts w:ascii="Arial Narrow" w:hAnsi="Arial Narrow"/>
        <w:color w:val="002060"/>
        <w:spacing w:val="2"/>
        <w:sz w:val="16"/>
        <w:szCs w:val="16"/>
      </w:rPr>
      <w:fldChar w:fldCharType="begin"/>
    </w:r>
    <w:r w:rsidR="005250AA">
      <w:rPr>
        <w:rFonts w:ascii="Arial Narrow" w:hAnsi="Arial Narrow"/>
        <w:color w:val="002060"/>
        <w:spacing w:val="2"/>
        <w:sz w:val="16"/>
        <w:szCs w:val="16"/>
      </w:rPr>
      <w:instrText xml:space="preserve"> PAGE  \* Arabic  \* MERGEFORMAT </w:instrText>
    </w:r>
    <w:r w:rsidR="005250AA">
      <w:rPr>
        <w:rFonts w:ascii="Arial Narrow" w:hAnsi="Arial Narrow"/>
        <w:color w:val="002060"/>
        <w:spacing w:val="2"/>
        <w:sz w:val="16"/>
        <w:szCs w:val="16"/>
      </w:rPr>
      <w:fldChar w:fldCharType="separate"/>
    </w:r>
    <w:r w:rsidR="005250AA">
      <w:rPr>
        <w:rFonts w:ascii="Arial Narrow" w:hAnsi="Arial Narrow"/>
        <w:color w:val="002060"/>
        <w:spacing w:val="2"/>
        <w:sz w:val="16"/>
        <w:szCs w:val="16"/>
      </w:rPr>
      <w:t>13</w:t>
    </w:r>
    <w:r w:rsidR="005250AA">
      <w:rPr>
        <w:rFonts w:ascii="Arial Narrow" w:hAnsi="Arial Narrow"/>
        <w:color w:val="002060"/>
        <w:spacing w:val="2"/>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9F7E5" w14:textId="77777777" w:rsidR="006D4DE3" w:rsidRDefault="006D4D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6B4C1" w14:textId="77777777" w:rsidR="006D4DE3" w:rsidRDefault="006D4D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4E22F" w14:textId="77777777" w:rsidR="004A40AC" w:rsidRPr="00A66F04" w:rsidRDefault="004A40AC" w:rsidP="00534118">
    <w:pPr>
      <w:pBdr>
        <w:top w:val="single" w:sz="4" w:space="1" w:color="auto"/>
      </w:pBdr>
      <w:tabs>
        <w:tab w:val="left" w:pos="9331"/>
      </w:tabs>
      <w:rPr>
        <w:bCs/>
        <w:color w:val="000000" w:themeColor="text1"/>
        <w:sz w:val="8"/>
        <w:szCs w:val="8"/>
      </w:rPr>
    </w:pPr>
  </w:p>
  <w:p w14:paraId="65661E4E" w14:textId="63B2C562" w:rsidR="004A40AC" w:rsidRPr="00DA3562" w:rsidRDefault="004A40AC" w:rsidP="00DA3562">
    <w:pPr>
      <w:tabs>
        <w:tab w:val="right" w:pos="9469"/>
      </w:tabs>
      <w:rPr>
        <w:rFonts w:ascii="Arial Narrow" w:hAnsi="Arial Narrow"/>
        <w:bCs/>
        <w:color w:val="002060"/>
        <w:spacing w:val="2"/>
        <w:sz w:val="16"/>
        <w:szCs w:val="16"/>
      </w:rPr>
    </w:pPr>
    <w:r w:rsidRPr="00DA3562">
      <w:rPr>
        <w:rFonts w:ascii="Arial Narrow" w:hAnsi="Arial Narrow"/>
        <w:bCs/>
        <w:color w:val="002060"/>
        <w:spacing w:val="2"/>
        <w:sz w:val="16"/>
        <w:szCs w:val="16"/>
      </w:rPr>
      <w:t xml:space="preserve">Plani Ndërkomunal IWM në Rajonin e Dukagjinit </w:t>
    </w:r>
    <w:r w:rsidRPr="00DA3562">
      <w:rPr>
        <w:rFonts w:ascii="Arial Narrow" w:hAnsi="Arial Narrow"/>
        <w:color w:val="002060"/>
        <w:spacing w:val="2"/>
        <w:sz w:val="16"/>
        <w:szCs w:val="16"/>
      </w:rPr>
      <w:tab/>
    </w:r>
    <w:r w:rsidR="005104D5">
      <w:rPr>
        <w:rFonts w:ascii="Arial Narrow" w:hAnsi="Arial Narrow"/>
        <w:color w:val="002060"/>
        <w:spacing w:val="2"/>
        <w:sz w:val="16"/>
        <w:szCs w:val="16"/>
      </w:rPr>
      <w:fldChar w:fldCharType="begin"/>
    </w:r>
    <w:r w:rsidR="005104D5">
      <w:rPr>
        <w:rFonts w:ascii="Arial Narrow" w:hAnsi="Arial Narrow"/>
        <w:color w:val="002060"/>
        <w:spacing w:val="2"/>
        <w:sz w:val="16"/>
        <w:szCs w:val="16"/>
      </w:rPr>
      <w:instrText xml:space="preserve"> PAGE  \* roman  \* MERGEFORMAT </w:instrText>
    </w:r>
    <w:r w:rsidR="005104D5">
      <w:rPr>
        <w:rFonts w:ascii="Arial Narrow" w:hAnsi="Arial Narrow"/>
        <w:color w:val="002060"/>
        <w:spacing w:val="2"/>
        <w:sz w:val="16"/>
        <w:szCs w:val="16"/>
      </w:rPr>
      <w:fldChar w:fldCharType="separate"/>
    </w:r>
    <w:r w:rsidR="005104D5">
      <w:rPr>
        <w:rFonts w:ascii="Arial Narrow" w:hAnsi="Arial Narrow"/>
        <w:noProof/>
        <w:color w:val="002060"/>
        <w:spacing w:val="2"/>
        <w:sz w:val="16"/>
        <w:szCs w:val="16"/>
      </w:rPr>
      <w:t>i</w:t>
    </w:r>
    <w:r w:rsidR="005104D5">
      <w:rPr>
        <w:rFonts w:ascii="Arial Narrow" w:hAnsi="Arial Narrow"/>
        <w:color w:val="002060"/>
        <w:spacing w:val="2"/>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4D95A" w14:textId="77777777" w:rsidR="006C6AA8" w:rsidRPr="00A66F04" w:rsidRDefault="006C6AA8" w:rsidP="006C6AA8">
    <w:pPr>
      <w:pBdr>
        <w:top w:val="single" w:sz="4" w:space="1" w:color="auto"/>
      </w:pBdr>
      <w:tabs>
        <w:tab w:val="left" w:pos="9331"/>
      </w:tabs>
      <w:rPr>
        <w:bCs/>
        <w:color w:val="000000" w:themeColor="text1"/>
        <w:sz w:val="8"/>
        <w:szCs w:val="8"/>
      </w:rPr>
    </w:pPr>
  </w:p>
  <w:p w14:paraId="22034490" w14:textId="0DCA00F3" w:rsidR="006C6AA8" w:rsidRPr="00DA3562" w:rsidRDefault="0030347F" w:rsidP="006C6AA8">
    <w:pPr>
      <w:tabs>
        <w:tab w:val="right" w:pos="9469"/>
      </w:tabs>
      <w:rPr>
        <w:rFonts w:ascii="Arial Narrow" w:hAnsi="Arial Narrow"/>
        <w:bCs/>
        <w:color w:val="002060"/>
        <w:spacing w:val="2"/>
        <w:sz w:val="16"/>
        <w:szCs w:val="16"/>
      </w:rPr>
    </w:pPr>
    <w:r w:rsidRPr="00DA3562">
      <w:rPr>
        <w:rFonts w:ascii="Arial Narrow" w:hAnsi="Arial Narrow"/>
        <w:bCs/>
        <w:color w:val="002060"/>
        <w:spacing w:val="2"/>
        <w:sz w:val="16"/>
        <w:szCs w:val="16"/>
      </w:rPr>
      <w:t xml:space="preserve">Plani </w:t>
    </w:r>
    <w:r w:rsidRPr="00DA3562">
      <w:rPr>
        <w:rFonts w:ascii="Arial Narrow" w:hAnsi="Arial Narrow"/>
        <w:bCs/>
        <w:color w:val="002060"/>
        <w:spacing w:val="2"/>
        <w:sz w:val="16"/>
        <w:szCs w:val="16"/>
      </w:rPr>
      <w:t xml:space="preserve">Ndërkomunal </w:t>
    </w:r>
    <w:r>
      <w:rPr>
        <w:rFonts w:ascii="Arial Narrow" w:hAnsi="Arial Narrow"/>
        <w:bCs/>
        <w:color w:val="002060"/>
        <w:spacing w:val="2"/>
        <w:sz w:val="16"/>
        <w:szCs w:val="16"/>
      </w:rPr>
      <w:t xml:space="preserve">për Menaxhimin e Integruar të Mbeturinave (PNMIM) </w:t>
    </w:r>
    <w:r w:rsidRPr="00DA3562">
      <w:rPr>
        <w:rFonts w:ascii="Arial Narrow" w:hAnsi="Arial Narrow"/>
        <w:bCs/>
        <w:color w:val="002060"/>
        <w:spacing w:val="2"/>
        <w:sz w:val="16"/>
        <w:szCs w:val="16"/>
      </w:rPr>
      <w:t>në Rajonin e Dukagjinit</w:t>
    </w:r>
    <w:r w:rsidR="006C6AA8" w:rsidRPr="00DA3562">
      <w:rPr>
        <w:rFonts w:ascii="Arial Narrow" w:hAnsi="Arial Narrow"/>
        <w:color w:val="002060"/>
        <w:spacing w:val="2"/>
        <w:sz w:val="16"/>
        <w:szCs w:val="16"/>
      </w:rPr>
      <w:tab/>
    </w:r>
    <w:r w:rsidR="006C6AA8">
      <w:rPr>
        <w:rFonts w:ascii="Arial Narrow" w:hAnsi="Arial Narrow"/>
        <w:color w:val="002060"/>
        <w:spacing w:val="2"/>
        <w:sz w:val="16"/>
        <w:szCs w:val="16"/>
      </w:rPr>
      <w:fldChar w:fldCharType="begin"/>
    </w:r>
    <w:r w:rsidR="006C6AA8">
      <w:rPr>
        <w:rFonts w:ascii="Arial Narrow" w:hAnsi="Arial Narrow"/>
        <w:color w:val="002060"/>
        <w:spacing w:val="2"/>
        <w:sz w:val="16"/>
        <w:szCs w:val="16"/>
      </w:rPr>
      <w:instrText xml:space="preserve"> PAGE  \* Arabic  \* MERGEFORMAT </w:instrText>
    </w:r>
    <w:r w:rsidR="006C6AA8">
      <w:rPr>
        <w:rFonts w:ascii="Arial Narrow" w:hAnsi="Arial Narrow"/>
        <w:color w:val="002060"/>
        <w:spacing w:val="2"/>
        <w:sz w:val="16"/>
        <w:szCs w:val="16"/>
      </w:rPr>
      <w:fldChar w:fldCharType="separate"/>
    </w:r>
    <w:r w:rsidR="006C6AA8">
      <w:rPr>
        <w:rFonts w:ascii="Arial Narrow" w:hAnsi="Arial Narrow"/>
        <w:color w:val="002060"/>
        <w:spacing w:val="2"/>
        <w:sz w:val="16"/>
        <w:szCs w:val="16"/>
      </w:rPr>
      <w:t>1</w:t>
    </w:r>
    <w:r w:rsidR="006C6AA8">
      <w:rPr>
        <w:rFonts w:ascii="Arial Narrow" w:hAnsi="Arial Narrow"/>
        <w:color w:val="002060"/>
        <w:spacing w:val="2"/>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7F726" w14:textId="77777777" w:rsidR="00DA3562" w:rsidRPr="00A66F04" w:rsidRDefault="00DA3562" w:rsidP="00DA3562">
    <w:pPr>
      <w:pBdr>
        <w:top w:val="single" w:sz="4" w:space="1" w:color="auto"/>
      </w:pBdr>
      <w:tabs>
        <w:tab w:val="left" w:pos="9331"/>
      </w:tabs>
      <w:rPr>
        <w:bCs/>
        <w:color w:val="000000" w:themeColor="text1"/>
        <w:sz w:val="8"/>
        <w:szCs w:val="8"/>
      </w:rPr>
    </w:pPr>
  </w:p>
  <w:p w14:paraId="776139AE" w14:textId="5A473810" w:rsidR="00DA3562" w:rsidRPr="00DA3562" w:rsidRDefault="00DA3562" w:rsidP="00DA3562">
    <w:pPr>
      <w:tabs>
        <w:tab w:val="right" w:pos="9469"/>
      </w:tabs>
      <w:rPr>
        <w:rFonts w:ascii="Arial Narrow" w:hAnsi="Arial Narrow"/>
        <w:bCs/>
        <w:color w:val="002060"/>
        <w:spacing w:val="2"/>
        <w:sz w:val="16"/>
        <w:szCs w:val="16"/>
      </w:rPr>
    </w:pPr>
    <w:r w:rsidRPr="00DA3562">
      <w:rPr>
        <w:rFonts w:ascii="Arial Narrow" w:hAnsi="Arial Narrow"/>
        <w:bCs/>
        <w:color w:val="002060"/>
        <w:spacing w:val="2"/>
        <w:sz w:val="16"/>
        <w:szCs w:val="16"/>
      </w:rPr>
      <w:t xml:space="preserve">Plani Ndërkomunal </w:t>
    </w:r>
    <w:r w:rsidR="0030347F">
      <w:rPr>
        <w:rFonts w:ascii="Arial Narrow" w:hAnsi="Arial Narrow"/>
        <w:bCs/>
        <w:color w:val="002060"/>
        <w:spacing w:val="2"/>
        <w:sz w:val="16"/>
        <w:szCs w:val="16"/>
      </w:rPr>
      <w:t xml:space="preserve">për Menaxhimin e Integruar të Mbeturinave (PNMIM) </w:t>
    </w:r>
    <w:r w:rsidRPr="00DA3562">
      <w:rPr>
        <w:rFonts w:ascii="Arial Narrow" w:hAnsi="Arial Narrow"/>
        <w:bCs/>
        <w:color w:val="002060"/>
        <w:spacing w:val="2"/>
        <w:sz w:val="16"/>
        <w:szCs w:val="16"/>
      </w:rPr>
      <w:t xml:space="preserve">në Rajonin e Dukagjinit </w:t>
    </w:r>
    <w:r w:rsidRPr="00DA3562">
      <w:rPr>
        <w:rFonts w:ascii="Arial Narrow" w:hAnsi="Arial Narrow"/>
        <w:color w:val="002060"/>
        <w:spacing w:val="2"/>
        <w:sz w:val="16"/>
        <w:szCs w:val="16"/>
      </w:rPr>
      <w:tab/>
    </w:r>
    <w:r w:rsidR="00262994">
      <w:rPr>
        <w:rFonts w:ascii="Arial Narrow" w:hAnsi="Arial Narrow"/>
        <w:color w:val="002060"/>
        <w:spacing w:val="2"/>
        <w:sz w:val="16"/>
        <w:szCs w:val="16"/>
      </w:rPr>
      <w:fldChar w:fldCharType="begin"/>
    </w:r>
    <w:r w:rsidR="00262994">
      <w:rPr>
        <w:rFonts w:ascii="Arial Narrow" w:hAnsi="Arial Narrow"/>
        <w:color w:val="002060"/>
        <w:spacing w:val="2"/>
        <w:sz w:val="16"/>
        <w:szCs w:val="16"/>
      </w:rPr>
      <w:instrText xml:space="preserve"> PAGE  \* Arabic  \* MERGEFORMAT </w:instrText>
    </w:r>
    <w:r w:rsidR="00262994">
      <w:rPr>
        <w:rFonts w:ascii="Arial Narrow" w:hAnsi="Arial Narrow"/>
        <w:color w:val="002060"/>
        <w:spacing w:val="2"/>
        <w:sz w:val="16"/>
        <w:szCs w:val="16"/>
      </w:rPr>
      <w:fldChar w:fldCharType="separate"/>
    </w:r>
    <w:r w:rsidR="00262994">
      <w:rPr>
        <w:rFonts w:ascii="Arial Narrow" w:hAnsi="Arial Narrow"/>
        <w:noProof/>
        <w:color w:val="002060"/>
        <w:spacing w:val="2"/>
        <w:sz w:val="16"/>
        <w:szCs w:val="16"/>
      </w:rPr>
      <w:t>5</w:t>
    </w:r>
    <w:r w:rsidR="00262994">
      <w:rPr>
        <w:rFonts w:ascii="Arial Narrow" w:hAnsi="Arial Narrow"/>
        <w:color w:val="002060"/>
        <w:spacing w:val="2"/>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692C9" w14:textId="77777777" w:rsidR="005250AA" w:rsidRPr="00A66F04" w:rsidRDefault="005250AA" w:rsidP="00DA3562">
    <w:pPr>
      <w:pBdr>
        <w:top w:val="single" w:sz="4" w:space="1" w:color="auto"/>
      </w:pBdr>
      <w:tabs>
        <w:tab w:val="left" w:pos="9331"/>
      </w:tabs>
      <w:rPr>
        <w:bCs/>
        <w:color w:val="000000" w:themeColor="text1"/>
        <w:sz w:val="8"/>
        <w:szCs w:val="8"/>
      </w:rPr>
    </w:pPr>
  </w:p>
  <w:p w14:paraId="2A6A0FF9" w14:textId="506AF6F5" w:rsidR="005250AA" w:rsidRPr="00DA3562" w:rsidRDefault="0030347F" w:rsidP="006C0E7D">
    <w:pPr>
      <w:tabs>
        <w:tab w:val="right" w:pos="12900"/>
      </w:tabs>
      <w:rPr>
        <w:rFonts w:ascii="Arial Narrow" w:hAnsi="Arial Narrow"/>
        <w:bCs/>
        <w:color w:val="002060"/>
        <w:spacing w:val="2"/>
        <w:sz w:val="16"/>
        <w:szCs w:val="16"/>
      </w:rPr>
    </w:pPr>
    <w:r w:rsidRPr="00DA3562">
      <w:rPr>
        <w:rFonts w:ascii="Arial Narrow" w:hAnsi="Arial Narrow"/>
        <w:bCs/>
        <w:color w:val="002060"/>
        <w:spacing w:val="2"/>
        <w:sz w:val="16"/>
        <w:szCs w:val="16"/>
      </w:rPr>
      <w:t xml:space="preserve">Plani </w:t>
    </w:r>
    <w:r w:rsidRPr="00DA3562">
      <w:rPr>
        <w:rFonts w:ascii="Arial Narrow" w:hAnsi="Arial Narrow"/>
        <w:bCs/>
        <w:color w:val="002060"/>
        <w:spacing w:val="2"/>
        <w:sz w:val="16"/>
        <w:szCs w:val="16"/>
      </w:rPr>
      <w:t xml:space="preserve">Ndërkomunal </w:t>
    </w:r>
    <w:r>
      <w:rPr>
        <w:rFonts w:ascii="Arial Narrow" w:hAnsi="Arial Narrow"/>
        <w:bCs/>
        <w:color w:val="002060"/>
        <w:spacing w:val="2"/>
        <w:sz w:val="16"/>
        <w:szCs w:val="16"/>
      </w:rPr>
      <w:t xml:space="preserve">për Menaxhimin e Integruar të Mbeturinave (PNMIM) </w:t>
    </w:r>
    <w:r w:rsidRPr="00DA3562">
      <w:rPr>
        <w:rFonts w:ascii="Arial Narrow" w:hAnsi="Arial Narrow"/>
        <w:bCs/>
        <w:color w:val="002060"/>
        <w:spacing w:val="2"/>
        <w:sz w:val="16"/>
        <w:szCs w:val="16"/>
      </w:rPr>
      <w:t>në Rajonin e Dukagjinit</w:t>
    </w:r>
    <w:r w:rsidR="005250AA" w:rsidRPr="00DA3562">
      <w:rPr>
        <w:rFonts w:ascii="Arial Narrow" w:hAnsi="Arial Narrow"/>
        <w:color w:val="002060"/>
        <w:spacing w:val="2"/>
        <w:sz w:val="16"/>
        <w:szCs w:val="16"/>
      </w:rPr>
      <w:tab/>
    </w:r>
    <w:r w:rsidR="005250AA">
      <w:rPr>
        <w:rFonts w:ascii="Arial Narrow" w:hAnsi="Arial Narrow"/>
        <w:color w:val="002060"/>
        <w:spacing w:val="2"/>
        <w:sz w:val="16"/>
        <w:szCs w:val="16"/>
      </w:rPr>
      <w:fldChar w:fldCharType="begin"/>
    </w:r>
    <w:r w:rsidR="005250AA">
      <w:rPr>
        <w:rFonts w:ascii="Arial Narrow" w:hAnsi="Arial Narrow"/>
        <w:color w:val="002060"/>
        <w:spacing w:val="2"/>
        <w:sz w:val="16"/>
        <w:szCs w:val="16"/>
      </w:rPr>
      <w:instrText xml:space="preserve"> PAGE  \* Arabic  \* MERGEFORMAT </w:instrText>
    </w:r>
    <w:r w:rsidR="005250AA">
      <w:rPr>
        <w:rFonts w:ascii="Arial Narrow" w:hAnsi="Arial Narrow"/>
        <w:color w:val="002060"/>
        <w:spacing w:val="2"/>
        <w:sz w:val="16"/>
        <w:szCs w:val="16"/>
      </w:rPr>
      <w:fldChar w:fldCharType="separate"/>
    </w:r>
    <w:r w:rsidR="005250AA">
      <w:rPr>
        <w:rFonts w:ascii="Arial Narrow" w:hAnsi="Arial Narrow"/>
        <w:noProof/>
        <w:color w:val="002060"/>
        <w:spacing w:val="2"/>
        <w:sz w:val="16"/>
        <w:szCs w:val="16"/>
      </w:rPr>
      <w:t>5</w:t>
    </w:r>
    <w:r w:rsidR="005250AA">
      <w:rPr>
        <w:rFonts w:ascii="Arial Narrow" w:hAnsi="Arial Narrow"/>
        <w:color w:val="002060"/>
        <w:spacing w:val="2"/>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CCD97" w14:textId="77777777" w:rsidR="00430A79" w:rsidRPr="00A66F04" w:rsidRDefault="00430A79" w:rsidP="005250AA">
    <w:pPr>
      <w:pBdr>
        <w:top w:val="single" w:sz="4" w:space="1" w:color="auto"/>
      </w:pBdr>
      <w:tabs>
        <w:tab w:val="left" w:pos="9331"/>
      </w:tabs>
      <w:rPr>
        <w:bCs/>
        <w:color w:val="000000" w:themeColor="text1"/>
        <w:sz w:val="8"/>
        <w:szCs w:val="8"/>
      </w:rPr>
    </w:pPr>
  </w:p>
  <w:p w14:paraId="16A7FC2A" w14:textId="1C19F249" w:rsidR="00430A79" w:rsidRPr="00DA3562" w:rsidRDefault="0055708F" w:rsidP="005250AA">
    <w:pPr>
      <w:tabs>
        <w:tab w:val="right" w:pos="9469"/>
      </w:tabs>
      <w:rPr>
        <w:rFonts w:ascii="Arial Narrow" w:hAnsi="Arial Narrow"/>
        <w:bCs/>
        <w:color w:val="002060"/>
        <w:spacing w:val="2"/>
        <w:sz w:val="16"/>
        <w:szCs w:val="16"/>
      </w:rPr>
    </w:pPr>
    <w:r w:rsidRPr="00DA3562">
      <w:rPr>
        <w:rFonts w:ascii="Arial Narrow" w:hAnsi="Arial Narrow"/>
        <w:bCs/>
        <w:color w:val="002060"/>
        <w:spacing w:val="2"/>
        <w:sz w:val="16"/>
        <w:szCs w:val="16"/>
      </w:rPr>
      <w:t xml:space="preserve">Plani Ndërkomunal </w:t>
    </w:r>
    <w:r>
      <w:rPr>
        <w:rFonts w:ascii="Arial Narrow" w:hAnsi="Arial Narrow"/>
        <w:bCs/>
        <w:color w:val="002060"/>
        <w:spacing w:val="2"/>
        <w:sz w:val="16"/>
        <w:szCs w:val="16"/>
      </w:rPr>
      <w:t xml:space="preserve">për Menaxhimin e Integruar të Mbeturinave (PNMIM) </w:t>
    </w:r>
    <w:r w:rsidRPr="00DA3562">
      <w:rPr>
        <w:rFonts w:ascii="Arial Narrow" w:hAnsi="Arial Narrow"/>
        <w:bCs/>
        <w:color w:val="002060"/>
        <w:spacing w:val="2"/>
        <w:sz w:val="16"/>
        <w:szCs w:val="16"/>
      </w:rPr>
      <w:t>në Rajonin e Dukagjinit</w:t>
    </w:r>
    <w:r w:rsidR="00430A79" w:rsidRPr="00DA3562">
      <w:rPr>
        <w:rFonts w:ascii="Arial Narrow" w:hAnsi="Arial Narrow"/>
        <w:color w:val="002060"/>
        <w:spacing w:val="2"/>
        <w:sz w:val="16"/>
        <w:szCs w:val="16"/>
      </w:rPr>
      <w:tab/>
    </w:r>
    <w:r w:rsidR="00430A79">
      <w:rPr>
        <w:rFonts w:ascii="Arial Narrow" w:hAnsi="Arial Narrow"/>
        <w:color w:val="002060"/>
        <w:spacing w:val="2"/>
        <w:sz w:val="16"/>
        <w:szCs w:val="16"/>
      </w:rPr>
      <w:fldChar w:fldCharType="begin"/>
    </w:r>
    <w:r w:rsidR="00430A79">
      <w:rPr>
        <w:rFonts w:ascii="Arial Narrow" w:hAnsi="Arial Narrow"/>
        <w:color w:val="002060"/>
        <w:spacing w:val="2"/>
        <w:sz w:val="16"/>
        <w:szCs w:val="16"/>
      </w:rPr>
      <w:instrText xml:space="preserve"> PAGE  \* Arabic  \* MERGEFORMAT </w:instrText>
    </w:r>
    <w:r w:rsidR="00430A79">
      <w:rPr>
        <w:rFonts w:ascii="Arial Narrow" w:hAnsi="Arial Narrow"/>
        <w:color w:val="002060"/>
        <w:spacing w:val="2"/>
        <w:sz w:val="16"/>
        <w:szCs w:val="16"/>
      </w:rPr>
      <w:fldChar w:fldCharType="separate"/>
    </w:r>
    <w:r w:rsidR="00430A79">
      <w:rPr>
        <w:rFonts w:ascii="Arial Narrow" w:hAnsi="Arial Narrow"/>
        <w:color w:val="002060"/>
        <w:spacing w:val="2"/>
        <w:sz w:val="16"/>
        <w:szCs w:val="16"/>
      </w:rPr>
      <w:t>13</w:t>
    </w:r>
    <w:r w:rsidR="00430A79">
      <w:rPr>
        <w:rFonts w:ascii="Arial Narrow" w:hAnsi="Arial Narrow"/>
        <w:color w:val="002060"/>
        <w:spacing w:val="2"/>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66091" w14:textId="77777777" w:rsidR="007D1EDC" w:rsidRPr="00A66F04" w:rsidRDefault="007D1EDC" w:rsidP="005250AA">
    <w:pPr>
      <w:pBdr>
        <w:top w:val="single" w:sz="4" w:space="1" w:color="auto"/>
      </w:pBdr>
      <w:tabs>
        <w:tab w:val="left" w:pos="9331"/>
      </w:tabs>
      <w:rPr>
        <w:bCs/>
        <w:color w:val="000000" w:themeColor="text1"/>
        <w:sz w:val="8"/>
        <w:szCs w:val="8"/>
      </w:rPr>
    </w:pPr>
  </w:p>
  <w:p w14:paraId="286350A0" w14:textId="6B636EF1" w:rsidR="007D1EDC" w:rsidRPr="00DA3562" w:rsidRDefault="0055708F" w:rsidP="005250AA">
    <w:pPr>
      <w:tabs>
        <w:tab w:val="right" w:pos="9469"/>
      </w:tabs>
      <w:rPr>
        <w:bCs/>
        <w:color w:val="002060"/>
        <w:spacing w:val="2"/>
        <w:sz w:val="16"/>
        <w:szCs w:val="16"/>
      </w:rPr>
    </w:pPr>
    <w:r w:rsidRPr="00DA3562">
      <w:rPr>
        <w:rFonts w:ascii="Arial Narrow" w:hAnsi="Arial Narrow"/>
        <w:bCs/>
        <w:color w:val="002060"/>
        <w:spacing w:val="2"/>
        <w:sz w:val="16"/>
        <w:szCs w:val="16"/>
      </w:rPr>
      <w:t xml:space="preserve">Plani Ndërkomunal </w:t>
    </w:r>
    <w:r>
      <w:rPr>
        <w:rFonts w:ascii="Arial Narrow" w:hAnsi="Arial Narrow"/>
        <w:bCs/>
        <w:color w:val="002060"/>
        <w:spacing w:val="2"/>
        <w:sz w:val="16"/>
        <w:szCs w:val="16"/>
      </w:rPr>
      <w:t xml:space="preserve">për Menaxhimin e Integruar të Mbeturinave (PNMIM) </w:t>
    </w:r>
    <w:r w:rsidRPr="00DA3562">
      <w:rPr>
        <w:rFonts w:ascii="Arial Narrow" w:hAnsi="Arial Narrow"/>
        <w:bCs/>
        <w:color w:val="002060"/>
        <w:spacing w:val="2"/>
        <w:sz w:val="16"/>
        <w:szCs w:val="16"/>
      </w:rPr>
      <w:t>në Rajonin e Dukagjinit</w:t>
    </w:r>
    <w:r w:rsidR="007D1EDC" w:rsidRPr="00DA3562">
      <w:rPr>
        <w:color w:val="002060"/>
        <w:spacing w:val="2"/>
        <w:sz w:val="16"/>
        <w:szCs w:val="16"/>
      </w:rPr>
      <w:tab/>
    </w:r>
    <w:r w:rsidR="007D1EDC">
      <w:rPr>
        <w:color w:val="002060"/>
        <w:spacing w:val="2"/>
        <w:sz w:val="16"/>
        <w:szCs w:val="16"/>
      </w:rPr>
      <w:fldChar w:fldCharType="begin"/>
    </w:r>
    <w:r w:rsidR="007D1EDC">
      <w:rPr>
        <w:color w:val="002060"/>
        <w:spacing w:val="2"/>
        <w:sz w:val="16"/>
        <w:szCs w:val="16"/>
      </w:rPr>
      <w:instrText xml:space="preserve"> PAGE  \* Arabic  \* MERGEFORMAT </w:instrText>
    </w:r>
    <w:r w:rsidR="007D1EDC">
      <w:rPr>
        <w:color w:val="002060"/>
        <w:spacing w:val="2"/>
        <w:sz w:val="16"/>
        <w:szCs w:val="16"/>
      </w:rPr>
      <w:fldChar w:fldCharType="separate"/>
    </w:r>
    <w:r w:rsidR="007D1EDC">
      <w:rPr>
        <w:color w:val="002060"/>
        <w:spacing w:val="2"/>
        <w:sz w:val="16"/>
        <w:szCs w:val="16"/>
      </w:rPr>
      <w:t>13</w:t>
    </w:r>
    <w:r w:rsidR="007D1EDC">
      <w:rPr>
        <w:color w:val="002060"/>
        <w:spacing w:val="2"/>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BB8CBA" w14:textId="77777777" w:rsidR="00D93456" w:rsidRDefault="00D93456" w:rsidP="00933BCE">
      <w:r>
        <w:separator/>
      </w:r>
    </w:p>
  </w:footnote>
  <w:footnote w:type="continuationSeparator" w:id="0">
    <w:p w14:paraId="73396970" w14:textId="77777777" w:rsidR="00D93456" w:rsidRDefault="00D93456" w:rsidP="00933BCE">
      <w:r>
        <w:continuationSeparator/>
      </w:r>
    </w:p>
  </w:footnote>
  <w:footnote w:type="continuationNotice" w:id="1">
    <w:p w14:paraId="11F89933" w14:textId="77777777" w:rsidR="00D93456" w:rsidRDefault="00D93456"/>
  </w:footnote>
  <w:footnote w:id="2">
    <w:p w14:paraId="706908C1" w14:textId="77777777" w:rsidR="004459AE" w:rsidRPr="00FC6600" w:rsidRDefault="004459AE">
      <w:pPr>
        <w:pStyle w:val="FootnoteText"/>
        <w:rPr>
          <w:sz w:val="20"/>
          <w:szCs w:val="20"/>
        </w:rPr>
      </w:pPr>
      <w:r w:rsidRPr="00FC6600">
        <w:rPr>
          <w:rStyle w:val="FootnoteReference"/>
          <w:rFonts w:ascii="Arial Narrow" w:hAnsi="Arial Narrow"/>
          <w:sz w:val="20"/>
          <w:szCs w:val="20"/>
        </w:rPr>
        <w:footnoteRef/>
      </w:r>
      <w:r w:rsidRPr="00FC6600">
        <w:rPr>
          <w:sz w:val="20"/>
          <w:szCs w:val="20"/>
        </w:rPr>
        <w:t xml:space="preserve">Përndryshe, mund të </w:t>
      </w:r>
      <w:r>
        <w:rPr>
          <w:sz w:val="20"/>
          <w:szCs w:val="20"/>
        </w:rPr>
        <w:t>ngritet</w:t>
      </w:r>
      <w:r w:rsidRPr="00FC6600">
        <w:rPr>
          <w:sz w:val="20"/>
          <w:szCs w:val="20"/>
        </w:rPr>
        <w:t xml:space="preserve"> një strukturë e tretjes anaerobe në vendin e </w:t>
      </w:r>
      <w:r>
        <w:rPr>
          <w:sz w:val="20"/>
          <w:szCs w:val="20"/>
        </w:rPr>
        <w:t>impiantit T</w:t>
      </w:r>
      <w:r w:rsidRPr="00FC6600">
        <w:rPr>
          <w:sz w:val="20"/>
          <w:szCs w:val="20"/>
        </w:rPr>
        <w:t>MB, në varësi të gjetjeve të studimit përkatës të fizibilitetit.</w:t>
      </w:r>
    </w:p>
  </w:footnote>
  <w:footnote w:id="3">
    <w:p w14:paraId="614D8601" w14:textId="77777777" w:rsidR="004459AE" w:rsidRPr="00870312" w:rsidRDefault="004459AE">
      <w:pPr>
        <w:pStyle w:val="FootnoteText"/>
        <w:rPr>
          <w:sz w:val="20"/>
          <w:szCs w:val="20"/>
        </w:rPr>
      </w:pPr>
      <w:r>
        <w:rPr>
          <w:rStyle w:val="FootnoteReference"/>
        </w:rPr>
        <w:footnoteRef/>
      </w:r>
      <w:r>
        <w:t xml:space="preserve"> </w:t>
      </w:r>
      <w:r w:rsidRPr="00870312">
        <w:rPr>
          <w:sz w:val="20"/>
          <w:szCs w:val="20"/>
        </w:rPr>
        <w:t>Nuk përfshihen mbet</w:t>
      </w:r>
      <w:r>
        <w:rPr>
          <w:sz w:val="20"/>
          <w:szCs w:val="20"/>
        </w:rPr>
        <w:t>urinat</w:t>
      </w:r>
      <w:r w:rsidRPr="00870312">
        <w:rPr>
          <w:sz w:val="20"/>
          <w:szCs w:val="20"/>
        </w:rPr>
        <w:t xml:space="preserve"> industriale jo të rrezikshme</w:t>
      </w:r>
    </w:p>
  </w:footnote>
  <w:footnote w:id="4">
    <w:p w14:paraId="3172BEC2" w14:textId="77777777" w:rsidR="00604DA9" w:rsidRPr="003069B8" w:rsidRDefault="00604DA9" w:rsidP="00604DA9">
      <w:pPr>
        <w:pStyle w:val="FootnoteText"/>
      </w:pPr>
      <w:r>
        <w:rPr>
          <w:rStyle w:val="FootnoteReference"/>
        </w:rPr>
        <w:footnoteRef/>
      </w:r>
      <w:r>
        <w:t xml:space="preserve"> </w:t>
      </w:r>
      <w:r>
        <w:tab/>
      </w:r>
      <w:r>
        <w:t xml:space="preserve">Kushtetuta </w:t>
      </w:r>
      <w:r>
        <w:t>e Republikës së Kosovës e vitit 2008, e ndryshuar më vonë, e disponueshme në: https://gzk.rks-gov.net/ActDetail.aspx?ActID=3702</w:t>
      </w:r>
    </w:p>
  </w:footnote>
  <w:footnote w:id="5">
    <w:p w14:paraId="7A38800B" w14:textId="77777777" w:rsidR="00604DA9" w:rsidRPr="007800E2" w:rsidRDefault="00604DA9" w:rsidP="00604DA9">
      <w:pPr>
        <w:pStyle w:val="FootnoteText"/>
        <w:rPr>
          <w:lang w:val="sq-AL"/>
        </w:rPr>
      </w:pPr>
      <w:r>
        <w:rPr>
          <w:rStyle w:val="FootnoteReference"/>
        </w:rPr>
        <w:footnoteRef/>
      </w:r>
      <w:r>
        <w:t xml:space="preserve"> </w:t>
      </w:r>
      <w:r w:rsidRPr="00C81EFC">
        <w:t xml:space="preserve">Ligji </w:t>
      </w:r>
      <w:r w:rsidRPr="00C81EFC">
        <w:t>Nr. 04/L-060 për Mbeturina, Gazeta Zartare e Republikës së Kosovës nr. 17/29, Qershor 2012; Ligji nr. 08/L-071 për plotësim ndryshimin e Ligjit për Mbeturina Ligji Nr. 04/L-060e,Gazeta Zyrtare e Republikës së Kosovës nr. 29 / 1 Shtator 1, 2022.</w:t>
      </w:r>
    </w:p>
  </w:footnote>
  <w:footnote w:id="6">
    <w:p w14:paraId="3C6CD5DA" w14:textId="0814EEBC" w:rsidR="00604DA9" w:rsidRPr="006940EC" w:rsidRDefault="00604DA9" w:rsidP="00604DA9">
      <w:pPr>
        <w:pStyle w:val="FootnoteText"/>
        <w:rPr>
          <w:lang w:val="sq-AL"/>
        </w:rPr>
      </w:pPr>
      <w:r w:rsidRPr="00E107EA">
        <w:rPr>
          <w:rStyle w:val="FootnoteReference"/>
          <w:rFonts w:ascii="Arial Narrow" w:hAnsi="Arial Narrow"/>
        </w:rPr>
        <w:footnoteRef/>
      </w:r>
      <w:r w:rsidRPr="006940EC">
        <w:rPr>
          <w:lang w:val="sq-AL"/>
        </w:rPr>
        <w:t xml:space="preserve"> </w:t>
      </w:r>
      <w:r w:rsidRPr="006940EC">
        <w:rPr>
          <w:lang w:val="sq-AL"/>
        </w:rPr>
        <w:tab/>
      </w:r>
      <w:r w:rsidRPr="006940EC">
        <w:rPr>
          <w:lang w:val="sq-AL"/>
        </w:rPr>
        <w:t xml:space="preserve">Ndryshuar </w:t>
      </w:r>
      <w:r w:rsidRPr="006940EC">
        <w:rPr>
          <w:lang w:val="sq-AL"/>
        </w:rPr>
        <w:t>me akte nënligjore duke ndryshuar Ligjin për Ndërmarrjet Publike nr.  05/L-009 dhe No. 04/L-111</w:t>
      </w:r>
    </w:p>
  </w:footnote>
  <w:footnote w:id="7">
    <w:p w14:paraId="67593DB5" w14:textId="77777777" w:rsidR="00604DA9" w:rsidRPr="009B0F65" w:rsidRDefault="00604DA9" w:rsidP="00604DA9">
      <w:pPr>
        <w:pStyle w:val="FootnoteText"/>
        <w:rPr>
          <w:lang w:val="bg-BG"/>
        </w:rPr>
      </w:pPr>
      <w:r w:rsidRPr="00032CD8">
        <w:rPr>
          <w:rStyle w:val="FootnoteReference"/>
        </w:rPr>
        <w:footnoteRef/>
      </w:r>
      <w:r w:rsidRPr="006940EC">
        <w:rPr>
          <w:lang w:val="sq-AL"/>
        </w:rPr>
        <w:t xml:space="preserve"> </w:t>
      </w:r>
      <w:r w:rsidRPr="006940EC">
        <w:rPr>
          <w:lang w:val="sq-AL"/>
        </w:rPr>
        <w:tab/>
      </w:r>
      <w:r w:rsidRPr="006940EC">
        <w:rPr>
          <w:lang w:val="sq-AL"/>
        </w:rPr>
        <w:t xml:space="preserve">Ndryshuar </w:t>
      </w:r>
      <w:r w:rsidRPr="006940EC">
        <w:rPr>
          <w:lang w:val="sq-AL"/>
        </w:rPr>
        <w:t>dhe plotësuar me akte nënligjore duke ndryshuar dhe plotësuar Ligjin ër Prokurimin Publik në Republikën e Kosovës nr. 04/L-237 të vitit 2014, 05/L-068 të vitit 2016 dhe nr. 05/L-092 të vitit 2016</w:t>
      </w:r>
    </w:p>
  </w:footnote>
  <w:footnote w:id="8">
    <w:p w14:paraId="2775A0DC" w14:textId="77777777" w:rsidR="00604DA9" w:rsidRPr="006940EC" w:rsidRDefault="00604DA9" w:rsidP="00604DA9">
      <w:pPr>
        <w:pStyle w:val="FootnoteText"/>
        <w:rPr>
          <w:lang w:val="bg-BG"/>
        </w:rPr>
      </w:pPr>
      <w:r w:rsidRPr="00E107EA">
        <w:rPr>
          <w:rStyle w:val="FootnoteReference"/>
          <w:rFonts w:ascii="Arial Narrow" w:hAnsi="Arial Narrow"/>
          <w:sz w:val="20"/>
          <w:szCs w:val="20"/>
        </w:rPr>
        <w:footnoteRef/>
      </w:r>
      <w:r w:rsidRPr="006940EC">
        <w:rPr>
          <w:lang w:val="bg-BG"/>
        </w:rPr>
        <w:t xml:space="preserve"> </w:t>
      </w:r>
      <w:r w:rsidRPr="006940EC">
        <w:rPr>
          <w:lang w:val="bg-BG"/>
        </w:rPr>
        <w:tab/>
      </w:r>
      <w:r w:rsidRPr="003C0821">
        <w:t>L</w:t>
      </w:r>
      <w:r>
        <w:t>igji</w:t>
      </w:r>
      <w:r w:rsidRPr="006940EC">
        <w:rPr>
          <w:lang w:val="bg-BG"/>
        </w:rPr>
        <w:t xml:space="preserve"> </w:t>
      </w:r>
      <w:r w:rsidRPr="003C0821">
        <w:t>n</w:t>
      </w:r>
      <w:r>
        <w:t>r</w:t>
      </w:r>
      <w:r w:rsidRPr="006940EC">
        <w:rPr>
          <w:lang w:val="bg-BG"/>
        </w:rPr>
        <w:t>. 08/</w:t>
      </w:r>
      <w:r w:rsidRPr="003C0821">
        <w:t>l</w:t>
      </w:r>
      <w:r w:rsidRPr="006940EC">
        <w:rPr>
          <w:lang w:val="bg-BG"/>
        </w:rPr>
        <w:t xml:space="preserve">-116 </w:t>
      </w:r>
      <w:r>
        <w:t>p</w:t>
      </w:r>
      <w:r w:rsidRPr="006940EC">
        <w:rPr>
          <w:lang w:val="bg-BG"/>
        </w:rPr>
        <w:t>ë</w:t>
      </w:r>
      <w:r>
        <w:t>r</w:t>
      </w:r>
      <w:r w:rsidRPr="006940EC">
        <w:rPr>
          <w:lang w:val="bg-BG"/>
        </w:rPr>
        <w:t xml:space="preserve"> </w:t>
      </w:r>
      <w:r>
        <w:t>ndryshimin</w:t>
      </w:r>
      <w:r w:rsidRPr="006940EC">
        <w:rPr>
          <w:lang w:val="bg-BG"/>
        </w:rPr>
        <w:t xml:space="preserve"> </w:t>
      </w:r>
      <w:r>
        <w:t>dhe</w:t>
      </w:r>
      <w:r w:rsidRPr="006940EC">
        <w:rPr>
          <w:lang w:val="bg-BG"/>
        </w:rPr>
        <w:t xml:space="preserve"> </w:t>
      </w:r>
      <w:r>
        <w:t>plot</w:t>
      </w:r>
      <w:r w:rsidRPr="006940EC">
        <w:rPr>
          <w:lang w:val="bg-BG"/>
        </w:rPr>
        <w:t>ë</w:t>
      </w:r>
      <w:r>
        <w:t>simin</w:t>
      </w:r>
      <w:r w:rsidRPr="006940EC">
        <w:rPr>
          <w:lang w:val="bg-BG"/>
        </w:rPr>
        <w:t xml:space="preserve"> </w:t>
      </w:r>
      <w:r>
        <w:t>e</w:t>
      </w:r>
      <w:r w:rsidRPr="006940EC">
        <w:rPr>
          <w:lang w:val="bg-BG"/>
        </w:rPr>
        <w:t xml:space="preserve"> </w:t>
      </w:r>
      <w:r w:rsidRPr="003C0821">
        <w:t>L</w:t>
      </w:r>
      <w:r>
        <w:t>igjit</w:t>
      </w:r>
      <w:r w:rsidRPr="006940EC">
        <w:rPr>
          <w:lang w:val="bg-BG"/>
        </w:rPr>
        <w:t xml:space="preserve"> </w:t>
      </w:r>
      <w:r w:rsidRPr="003C0821">
        <w:t>n</w:t>
      </w:r>
      <w:r>
        <w:t>r</w:t>
      </w:r>
      <w:r w:rsidRPr="006940EC">
        <w:rPr>
          <w:lang w:val="bg-BG"/>
        </w:rPr>
        <w:t>.04/</w:t>
      </w:r>
      <w:r w:rsidRPr="003C0821">
        <w:t>l</w:t>
      </w:r>
      <w:r w:rsidRPr="006940EC">
        <w:rPr>
          <w:lang w:val="bg-BG"/>
        </w:rPr>
        <w:t xml:space="preserve">-197 </w:t>
      </w:r>
      <w:r>
        <w:t>p</w:t>
      </w:r>
      <w:r w:rsidRPr="006940EC">
        <w:rPr>
          <w:lang w:val="bg-BG"/>
        </w:rPr>
        <w:t>ë</w:t>
      </w:r>
      <w:r>
        <w:t>r</w:t>
      </w:r>
      <w:r w:rsidRPr="006940EC">
        <w:rPr>
          <w:lang w:val="bg-BG"/>
        </w:rPr>
        <w:t xml:space="preserve"> </w:t>
      </w:r>
      <w:r>
        <w:t>Kemikatet</w:t>
      </w:r>
      <w:r w:rsidRPr="006940EC">
        <w:rPr>
          <w:b/>
          <w:lang w:val="bg-BG"/>
        </w:rPr>
        <w:t xml:space="preserve"> </w:t>
      </w:r>
    </w:p>
    <w:p w14:paraId="66A8E71E" w14:textId="77777777" w:rsidR="00604DA9" w:rsidRPr="006940EC" w:rsidRDefault="00604DA9" w:rsidP="00604DA9">
      <w:pPr>
        <w:pStyle w:val="FootnoteText"/>
        <w:rPr>
          <w:lang w:val="bg-BG"/>
        </w:rPr>
      </w:pPr>
    </w:p>
  </w:footnote>
  <w:footnote w:id="9">
    <w:p w14:paraId="69C6F44E" w14:textId="370B56CE" w:rsidR="006911A2" w:rsidRPr="003069B8" w:rsidRDefault="006911A2">
      <w:pPr>
        <w:pStyle w:val="FootnoteText"/>
        <w:rPr>
          <w:lang w:val="bg-BG"/>
        </w:rPr>
      </w:pPr>
      <w:r>
        <w:rPr>
          <w:rStyle w:val="FootnoteReference"/>
        </w:rPr>
        <w:footnoteRef/>
      </w:r>
      <w:r>
        <w:t xml:space="preserve"> </w:t>
      </w:r>
      <w:r w:rsidRPr="006911A2">
        <w:t>Përgjegjësia e zgjeruar e prodhuesit është një qasje ndaj politikës së menaxhimit të mbet</w:t>
      </w:r>
      <w:r w:rsidR="00F31D8F">
        <w:t>urinave</w:t>
      </w:r>
      <w:r w:rsidRPr="006911A2">
        <w:t xml:space="preserve">, </w:t>
      </w:r>
      <w:r w:rsidR="00F31D8F">
        <w:t xml:space="preserve">përmes së </w:t>
      </w:r>
      <w:r w:rsidRPr="006911A2">
        <w:t>cilë</w:t>
      </w:r>
      <w:r w:rsidR="00F31D8F">
        <w:t>s</w:t>
      </w:r>
      <w:r w:rsidRPr="006911A2">
        <w:t xml:space="preserve"> prodhuesi i një produkti është përgjegjës për menaxhimin e mbet</w:t>
      </w:r>
      <w:r w:rsidR="00F31D8F">
        <w:t>urinave</w:t>
      </w:r>
      <w:r w:rsidRPr="006911A2">
        <w:t xml:space="preserve"> të produktit pasi ai të ketë arritur fundin e jetëgjatësisë së </w:t>
      </w:r>
      <w:r w:rsidR="00F31D8F">
        <w:t>përdorimit</w:t>
      </w:r>
    </w:p>
  </w:footnote>
  <w:footnote w:id="10">
    <w:p w14:paraId="19DE8B40" w14:textId="6CE967DA" w:rsidR="004A40AC" w:rsidRPr="003A5224" w:rsidRDefault="004A40AC" w:rsidP="00E0716F">
      <w:pPr>
        <w:pStyle w:val="FootnoteText"/>
        <w:rPr>
          <w:rStyle w:val="FootnoteTextChar"/>
        </w:rPr>
      </w:pPr>
      <w:r w:rsidRPr="00D4135E">
        <w:rPr>
          <w:rStyle w:val="FootnoteReference"/>
          <w:rFonts w:ascii="Arial Narrow" w:hAnsi="Arial Narrow"/>
          <w:sz w:val="20"/>
          <w:szCs w:val="20"/>
        </w:rPr>
        <w:footnoteRef/>
      </w:r>
      <w:r w:rsidRPr="00D4135E">
        <w:rPr>
          <w:sz w:val="20"/>
          <w:szCs w:val="20"/>
        </w:rPr>
        <w:t xml:space="preserve"> </w:t>
      </w:r>
      <w:r w:rsidR="003A5224">
        <w:rPr>
          <w:sz w:val="20"/>
          <w:szCs w:val="20"/>
        </w:rPr>
        <w:tab/>
      </w:r>
      <w:hyperlink r:id="rId1" w:history="1">
        <w:r w:rsidR="003A5224" w:rsidRPr="00B970AC">
          <w:rPr>
            <w:rStyle w:val="Hyperlink"/>
            <w:lang w:val="en-GB"/>
          </w:rPr>
          <w:t>https</w:t>
        </w:r>
        <w:r w:rsidR="003A5224" w:rsidRPr="003069B8">
          <w:rPr>
            <w:rStyle w:val="Hyperlink"/>
            <w:lang w:val="bg-BG"/>
          </w:rPr>
          <w:t>://</w:t>
        </w:r>
        <w:proofErr w:type="spellStart"/>
        <w:r w:rsidR="003A5224" w:rsidRPr="00B970AC">
          <w:rPr>
            <w:rStyle w:val="Hyperlink"/>
            <w:lang w:val="en-GB"/>
          </w:rPr>
          <w:t>askapi</w:t>
        </w:r>
        <w:proofErr w:type="spellEnd"/>
        <w:r w:rsidR="003A5224" w:rsidRPr="003069B8">
          <w:rPr>
            <w:rStyle w:val="Hyperlink"/>
            <w:lang w:val="bg-BG"/>
          </w:rPr>
          <w:t>.</w:t>
        </w:r>
        <w:proofErr w:type="spellStart"/>
        <w:r w:rsidR="003A5224" w:rsidRPr="00B970AC">
          <w:rPr>
            <w:rStyle w:val="Hyperlink"/>
            <w:lang w:val="en-GB"/>
          </w:rPr>
          <w:t>rks</w:t>
        </w:r>
        <w:proofErr w:type="spellEnd"/>
        <w:r w:rsidR="003A5224" w:rsidRPr="003069B8">
          <w:rPr>
            <w:rStyle w:val="Hyperlink"/>
            <w:lang w:val="bg-BG"/>
          </w:rPr>
          <w:t>-</w:t>
        </w:r>
        <w:r w:rsidR="003A5224" w:rsidRPr="00B970AC">
          <w:rPr>
            <w:rStyle w:val="Hyperlink"/>
            <w:lang w:val="en-GB"/>
          </w:rPr>
          <w:t>gov</w:t>
        </w:r>
        <w:r w:rsidR="003A5224" w:rsidRPr="003069B8">
          <w:rPr>
            <w:rStyle w:val="Hyperlink"/>
            <w:lang w:val="bg-BG"/>
          </w:rPr>
          <w:t>.</w:t>
        </w:r>
        <w:r w:rsidR="003A5224" w:rsidRPr="00B970AC">
          <w:rPr>
            <w:rStyle w:val="Hyperlink"/>
            <w:lang w:val="en-GB"/>
          </w:rPr>
          <w:t>net</w:t>
        </w:r>
        <w:r w:rsidR="003A5224" w:rsidRPr="003069B8">
          <w:rPr>
            <w:rStyle w:val="Hyperlink"/>
            <w:lang w:val="bg-BG"/>
          </w:rPr>
          <w:t>/</w:t>
        </w:r>
        <w:r w:rsidR="003A5224" w:rsidRPr="00B970AC">
          <w:rPr>
            <w:rStyle w:val="Hyperlink"/>
            <w:lang w:val="en-GB"/>
          </w:rPr>
          <w:t>Custom</w:t>
        </w:r>
        <w:r w:rsidR="003A5224" w:rsidRPr="003069B8">
          <w:rPr>
            <w:rStyle w:val="Hyperlink"/>
            <w:lang w:val="bg-BG"/>
          </w:rPr>
          <w:t>/54</w:t>
        </w:r>
        <w:r w:rsidR="003A5224" w:rsidRPr="00B970AC">
          <w:rPr>
            <w:rStyle w:val="Hyperlink"/>
            <w:lang w:val="en-GB"/>
          </w:rPr>
          <w:t>ab</w:t>
        </w:r>
        <w:r w:rsidR="003A5224" w:rsidRPr="003069B8">
          <w:rPr>
            <w:rStyle w:val="Hyperlink"/>
            <w:lang w:val="bg-BG"/>
          </w:rPr>
          <w:t>93</w:t>
        </w:r>
        <w:r w:rsidR="003A5224" w:rsidRPr="00B970AC">
          <w:rPr>
            <w:rStyle w:val="Hyperlink"/>
            <w:lang w:val="en-GB"/>
          </w:rPr>
          <w:t>a</w:t>
        </w:r>
        <w:r w:rsidR="003A5224" w:rsidRPr="003069B8">
          <w:rPr>
            <w:rStyle w:val="Hyperlink"/>
            <w:lang w:val="bg-BG"/>
          </w:rPr>
          <w:t>9-061</w:t>
        </w:r>
        <w:r w:rsidR="003A5224" w:rsidRPr="00B970AC">
          <w:rPr>
            <w:rStyle w:val="Hyperlink"/>
            <w:lang w:val="en-GB"/>
          </w:rPr>
          <w:t>e</w:t>
        </w:r>
        <w:r w:rsidR="003A5224" w:rsidRPr="003069B8">
          <w:rPr>
            <w:rStyle w:val="Hyperlink"/>
            <w:lang w:val="bg-BG"/>
          </w:rPr>
          <w:t>-4</w:t>
        </w:r>
        <w:r w:rsidR="003A5224" w:rsidRPr="00B970AC">
          <w:rPr>
            <w:rStyle w:val="Hyperlink"/>
            <w:lang w:val="en-GB"/>
          </w:rPr>
          <w:t>b</w:t>
        </w:r>
        <w:r w:rsidR="003A5224" w:rsidRPr="003069B8">
          <w:rPr>
            <w:rStyle w:val="Hyperlink"/>
            <w:lang w:val="bg-BG"/>
          </w:rPr>
          <w:t>12-</w:t>
        </w:r>
        <w:r w:rsidR="003A5224" w:rsidRPr="00B970AC">
          <w:rPr>
            <w:rStyle w:val="Hyperlink"/>
            <w:lang w:val="en-GB"/>
          </w:rPr>
          <w:t>b</w:t>
        </w:r>
        <w:r w:rsidR="003A5224" w:rsidRPr="003069B8">
          <w:rPr>
            <w:rStyle w:val="Hyperlink"/>
            <w:lang w:val="bg-BG"/>
          </w:rPr>
          <w:t>850-</w:t>
        </w:r>
        <w:proofErr w:type="spellStart"/>
        <w:r w:rsidR="003A5224" w:rsidRPr="00B970AC">
          <w:rPr>
            <w:rStyle w:val="Hyperlink"/>
            <w:lang w:val="en-GB"/>
          </w:rPr>
          <w:t>dff</w:t>
        </w:r>
        <w:proofErr w:type="spellEnd"/>
        <w:r w:rsidR="003A5224" w:rsidRPr="003069B8">
          <w:rPr>
            <w:rStyle w:val="Hyperlink"/>
            <w:lang w:val="bg-BG"/>
          </w:rPr>
          <w:t>45</w:t>
        </w:r>
        <w:r w:rsidR="003A5224" w:rsidRPr="00B970AC">
          <w:rPr>
            <w:rStyle w:val="Hyperlink"/>
            <w:lang w:val="en-GB"/>
          </w:rPr>
          <w:t>dd</w:t>
        </w:r>
        <w:r w:rsidR="003A5224" w:rsidRPr="003069B8">
          <w:rPr>
            <w:rStyle w:val="Hyperlink"/>
            <w:lang w:val="bg-BG"/>
          </w:rPr>
          <w:t>32637.</w:t>
        </w:r>
        <w:r w:rsidR="003A5224" w:rsidRPr="00B970AC">
          <w:rPr>
            <w:rStyle w:val="Hyperlink"/>
            <w:lang w:val="en-GB"/>
          </w:rPr>
          <w:t>pdf</w:t>
        </w:r>
        <w:r w:rsidR="003A5224" w:rsidRPr="003069B8">
          <w:rPr>
            <w:rStyle w:val="Hyperlink"/>
            <w:lang w:val="bg-BG"/>
          </w:rPr>
          <w:t xml:space="preserve"> </w:t>
        </w:r>
      </w:hyperlink>
      <w:r w:rsidRPr="003A5224">
        <w:rPr>
          <w:rStyle w:val="FootnoteTextChar"/>
        </w:rPr>
        <w:t>- Llogaritë Rajonale të Produktit të Brendshëm Bruto sipas Rajoneve Statistikore 2018/2021 - vlerësime eksperimentale</w:t>
      </w:r>
    </w:p>
    <w:p w14:paraId="0990E634" w14:textId="77777777" w:rsidR="004A40AC" w:rsidRPr="00A01BA1" w:rsidRDefault="004A40AC" w:rsidP="00E0716F">
      <w:pPr>
        <w:pStyle w:val="FootnoteText"/>
      </w:pPr>
    </w:p>
  </w:footnote>
  <w:footnote w:id="11">
    <w:p w14:paraId="7D97070D" w14:textId="77777777" w:rsidR="00116EB1" w:rsidRPr="006940EC" w:rsidRDefault="00116EB1" w:rsidP="00116EB1">
      <w:pPr>
        <w:pStyle w:val="FootnoteText"/>
        <w:rPr>
          <w:lang w:val="bg-BG"/>
        </w:rPr>
      </w:pPr>
      <w:r w:rsidRPr="00E0716F">
        <w:rPr>
          <w:rStyle w:val="FootnoteReference"/>
          <w:rFonts w:ascii="Arial Narrow" w:hAnsi="Arial Narrow"/>
        </w:rPr>
        <w:footnoteRef/>
      </w:r>
      <w:r w:rsidRPr="006940EC">
        <w:rPr>
          <w:lang w:val="bg-BG"/>
        </w:rPr>
        <w:t xml:space="preserve"> </w:t>
      </w:r>
      <w:r w:rsidRPr="006940EC">
        <w:rPr>
          <w:lang w:val="bg-BG"/>
        </w:rPr>
        <w:tab/>
      </w:r>
      <w:hyperlink r:id="rId2" w:history="1">
        <w:r w:rsidRPr="00B970AC">
          <w:rPr>
            <w:rStyle w:val="Hyperlink"/>
          </w:rPr>
          <w:t>https</w:t>
        </w:r>
        <w:r w:rsidRPr="006940EC">
          <w:rPr>
            <w:rStyle w:val="Hyperlink"/>
            <w:lang w:val="bg-BG"/>
          </w:rPr>
          <w:t>://</w:t>
        </w:r>
        <w:r w:rsidRPr="00B970AC">
          <w:rPr>
            <w:rStyle w:val="Hyperlink"/>
          </w:rPr>
          <w:t>askapi</w:t>
        </w:r>
        <w:r w:rsidRPr="006940EC">
          <w:rPr>
            <w:rStyle w:val="Hyperlink"/>
            <w:lang w:val="bg-BG"/>
          </w:rPr>
          <w:t>.</w:t>
        </w:r>
        <w:r w:rsidRPr="00B970AC">
          <w:rPr>
            <w:rStyle w:val="Hyperlink"/>
          </w:rPr>
          <w:t>rks</w:t>
        </w:r>
        <w:r w:rsidRPr="006940EC">
          <w:rPr>
            <w:rStyle w:val="Hyperlink"/>
            <w:lang w:val="bg-BG"/>
          </w:rPr>
          <w:t>-</w:t>
        </w:r>
        <w:r w:rsidRPr="00B970AC">
          <w:rPr>
            <w:rStyle w:val="Hyperlink"/>
          </w:rPr>
          <w:t>gov</w:t>
        </w:r>
        <w:r w:rsidRPr="006940EC">
          <w:rPr>
            <w:rStyle w:val="Hyperlink"/>
            <w:lang w:val="bg-BG"/>
          </w:rPr>
          <w:t>.</w:t>
        </w:r>
        <w:r w:rsidRPr="00B970AC">
          <w:rPr>
            <w:rStyle w:val="Hyperlink"/>
          </w:rPr>
          <w:t>net</w:t>
        </w:r>
        <w:r w:rsidRPr="006940EC">
          <w:rPr>
            <w:rStyle w:val="Hyperlink"/>
            <w:lang w:val="bg-BG"/>
          </w:rPr>
          <w:t>/</w:t>
        </w:r>
        <w:r w:rsidRPr="00B970AC">
          <w:rPr>
            <w:rStyle w:val="Hyperlink"/>
          </w:rPr>
          <w:t>Custom</w:t>
        </w:r>
        <w:r w:rsidRPr="006940EC">
          <w:rPr>
            <w:rStyle w:val="Hyperlink"/>
            <w:lang w:val="bg-BG"/>
          </w:rPr>
          <w:t>/05</w:t>
        </w:r>
        <w:r w:rsidRPr="00B970AC">
          <w:rPr>
            <w:rStyle w:val="Hyperlink"/>
          </w:rPr>
          <w:t>ec</w:t>
        </w:r>
        <w:r w:rsidRPr="006940EC">
          <w:rPr>
            <w:rStyle w:val="Hyperlink"/>
            <w:lang w:val="bg-BG"/>
          </w:rPr>
          <w:t>40</w:t>
        </w:r>
        <w:r w:rsidRPr="00B970AC">
          <w:rPr>
            <w:rStyle w:val="Hyperlink"/>
          </w:rPr>
          <w:t>da</w:t>
        </w:r>
        <w:r w:rsidRPr="006940EC">
          <w:rPr>
            <w:rStyle w:val="Hyperlink"/>
            <w:lang w:val="bg-BG"/>
          </w:rPr>
          <w:t>-61</w:t>
        </w:r>
        <w:r w:rsidRPr="00B970AC">
          <w:rPr>
            <w:rStyle w:val="Hyperlink"/>
          </w:rPr>
          <w:t>a</w:t>
        </w:r>
        <w:r w:rsidRPr="006940EC">
          <w:rPr>
            <w:rStyle w:val="Hyperlink"/>
            <w:lang w:val="bg-BG"/>
          </w:rPr>
          <w:t>2-4</w:t>
        </w:r>
        <w:r w:rsidRPr="00B970AC">
          <w:rPr>
            <w:rStyle w:val="Hyperlink"/>
          </w:rPr>
          <w:t>ace</w:t>
        </w:r>
        <w:r w:rsidRPr="006940EC">
          <w:rPr>
            <w:rStyle w:val="Hyperlink"/>
            <w:lang w:val="bg-BG"/>
          </w:rPr>
          <w:t>-</w:t>
        </w:r>
        <w:r w:rsidRPr="00B970AC">
          <w:rPr>
            <w:rStyle w:val="Hyperlink"/>
          </w:rPr>
          <w:t>ae</w:t>
        </w:r>
        <w:r w:rsidRPr="006940EC">
          <w:rPr>
            <w:rStyle w:val="Hyperlink"/>
            <w:lang w:val="bg-BG"/>
          </w:rPr>
          <w:t>25-241</w:t>
        </w:r>
        <w:r w:rsidRPr="00B970AC">
          <w:rPr>
            <w:rStyle w:val="Hyperlink"/>
          </w:rPr>
          <w:t>e</w:t>
        </w:r>
        <w:r w:rsidRPr="006940EC">
          <w:rPr>
            <w:rStyle w:val="Hyperlink"/>
            <w:lang w:val="bg-BG"/>
          </w:rPr>
          <w:t>2</w:t>
        </w:r>
        <w:r w:rsidRPr="00B970AC">
          <w:rPr>
            <w:rStyle w:val="Hyperlink"/>
          </w:rPr>
          <w:t>c</w:t>
        </w:r>
        <w:r w:rsidRPr="006940EC">
          <w:rPr>
            <w:rStyle w:val="Hyperlink"/>
            <w:lang w:val="bg-BG"/>
          </w:rPr>
          <w:t>38</w:t>
        </w:r>
        <w:r w:rsidRPr="00B970AC">
          <w:rPr>
            <w:rStyle w:val="Hyperlink"/>
          </w:rPr>
          <w:t>c</w:t>
        </w:r>
        <w:r w:rsidRPr="006940EC">
          <w:rPr>
            <w:rStyle w:val="Hyperlink"/>
            <w:lang w:val="bg-BG"/>
          </w:rPr>
          <w:t>050.</w:t>
        </w:r>
        <w:r w:rsidRPr="00B970AC">
          <w:rPr>
            <w:rStyle w:val="Hyperlink"/>
          </w:rPr>
          <w:t>pdf</w:t>
        </w:r>
      </w:hyperlink>
      <w:r w:rsidRPr="006940EC">
        <w:rPr>
          <w:lang w:val="bg-BG"/>
        </w:rPr>
        <w:t xml:space="preserve">  </w:t>
      </w:r>
      <w:r w:rsidRPr="00E0716F">
        <w:t>Rezultatet</w:t>
      </w:r>
      <w:r w:rsidRPr="006940EC">
        <w:rPr>
          <w:lang w:val="bg-BG"/>
        </w:rPr>
        <w:t xml:space="preserve"> </w:t>
      </w:r>
      <w:r w:rsidRPr="00E0716F">
        <w:t>e</w:t>
      </w:r>
      <w:r w:rsidRPr="006940EC">
        <w:rPr>
          <w:lang w:val="bg-BG"/>
        </w:rPr>
        <w:t xml:space="preserve"> </w:t>
      </w:r>
      <w:r w:rsidRPr="00E0716F">
        <w:t>Anket</w:t>
      </w:r>
      <w:r w:rsidRPr="006940EC">
        <w:rPr>
          <w:lang w:val="bg-BG"/>
        </w:rPr>
        <w:t>ë</w:t>
      </w:r>
      <w:r w:rsidRPr="00E0716F">
        <w:t>s</w:t>
      </w:r>
      <w:r w:rsidRPr="006940EC">
        <w:rPr>
          <w:lang w:val="bg-BG"/>
        </w:rPr>
        <w:t xml:space="preserve"> </w:t>
      </w:r>
      <w:r w:rsidRPr="00E0716F">
        <w:t>s</w:t>
      </w:r>
      <w:r w:rsidRPr="006940EC">
        <w:rPr>
          <w:lang w:val="bg-BG"/>
        </w:rPr>
        <w:t xml:space="preserve">ë </w:t>
      </w:r>
      <w:r w:rsidRPr="00E0716F">
        <w:t>Buxhetit</w:t>
      </w:r>
      <w:r w:rsidRPr="006940EC">
        <w:rPr>
          <w:lang w:val="bg-BG"/>
        </w:rPr>
        <w:t xml:space="preserve"> </w:t>
      </w:r>
      <w:r w:rsidRPr="00E0716F">
        <w:t>t</w:t>
      </w:r>
      <w:r w:rsidRPr="006940EC">
        <w:rPr>
          <w:lang w:val="bg-BG"/>
        </w:rPr>
        <w:t xml:space="preserve">ë </w:t>
      </w:r>
      <w:r w:rsidRPr="00E0716F">
        <w:t>Ekonomive</w:t>
      </w:r>
      <w:r w:rsidRPr="006940EC">
        <w:rPr>
          <w:lang w:val="bg-BG"/>
        </w:rPr>
        <w:t xml:space="preserve"> </w:t>
      </w:r>
      <w:r w:rsidRPr="00E0716F">
        <w:t>Familjare</w:t>
      </w:r>
      <w:r w:rsidRPr="006940EC">
        <w:rPr>
          <w:lang w:val="bg-BG"/>
        </w:rPr>
        <w:t xml:space="preserve"> 2022</w:t>
      </w:r>
    </w:p>
  </w:footnote>
  <w:footnote w:id="12">
    <w:p w14:paraId="4C01BD72" w14:textId="77777777" w:rsidR="0060411F" w:rsidRPr="006940EC" w:rsidRDefault="0060411F" w:rsidP="0060411F">
      <w:pPr>
        <w:pStyle w:val="FootnoteText"/>
        <w:rPr>
          <w:lang w:val="bg-BG"/>
        </w:rPr>
      </w:pPr>
      <w:r w:rsidRPr="00DF1BBA">
        <w:rPr>
          <w:rStyle w:val="FootnoteReference"/>
          <w:rFonts w:ascii="Arial Narrow" w:hAnsi="Arial Narrow"/>
          <w:sz w:val="20"/>
          <w:szCs w:val="20"/>
        </w:rPr>
        <w:footnoteRef/>
      </w:r>
      <w:r w:rsidRPr="006940EC">
        <w:rPr>
          <w:lang w:val="bg-BG"/>
        </w:rPr>
        <w:t xml:space="preserve"> </w:t>
      </w:r>
      <w:r w:rsidRPr="00DF1BBA">
        <w:t>https</w:t>
      </w:r>
      <w:r w:rsidRPr="006940EC">
        <w:rPr>
          <w:lang w:val="bg-BG"/>
        </w:rPr>
        <w:t>://</w:t>
      </w:r>
      <w:r w:rsidRPr="00DF1BBA">
        <w:t>www</w:t>
      </w:r>
      <w:r w:rsidRPr="006940EC">
        <w:rPr>
          <w:lang w:val="bg-BG"/>
        </w:rPr>
        <w:t>.</w:t>
      </w:r>
      <w:r w:rsidRPr="00DF1BBA">
        <w:t>youtube</w:t>
      </w:r>
      <w:r w:rsidRPr="006940EC">
        <w:rPr>
          <w:lang w:val="bg-BG"/>
        </w:rPr>
        <w:t>.</w:t>
      </w:r>
      <w:r w:rsidRPr="00DF1BBA">
        <w:t>com</w:t>
      </w:r>
      <w:r w:rsidRPr="006940EC">
        <w:rPr>
          <w:lang w:val="bg-BG"/>
        </w:rPr>
        <w:t>/</w:t>
      </w:r>
      <w:r w:rsidRPr="00DF1BBA">
        <w:t>watch</w:t>
      </w:r>
      <w:r w:rsidRPr="006940EC">
        <w:rPr>
          <w:lang w:val="bg-BG"/>
        </w:rPr>
        <w:t>?</w:t>
      </w:r>
      <w:r w:rsidRPr="00DF1BBA">
        <w:t>v</w:t>
      </w:r>
      <w:r w:rsidRPr="006940EC">
        <w:rPr>
          <w:lang w:val="bg-BG"/>
        </w:rPr>
        <w:t>=</w:t>
      </w:r>
      <w:r w:rsidRPr="00DF1BBA">
        <w:t>xAl</w:t>
      </w:r>
      <w:r w:rsidRPr="006940EC">
        <w:rPr>
          <w:lang w:val="bg-BG"/>
        </w:rPr>
        <w:t>7</w:t>
      </w:r>
      <w:r w:rsidRPr="00DF1BBA">
        <w:t>B</w:t>
      </w:r>
      <w:r w:rsidRPr="006940EC">
        <w:rPr>
          <w:lang w:val="bg-BG"/>
        </w:rPr>
        <w:t>-</w:t>
      </w:r>
      <w:r w:rsidRPr="00DF1BBA">
        <w:t>vrodc</w:t>
      </w:r>
      <w:r w:rsidRPr="006940EC">
        <w:rPr>
          <w:lang w:val="bg-BG"/>
        </w:rPr>
        <w:t>.</w:t>
      </w:r>
    </w:p>
  </w:footnote>
  <w:footnote w:id="13">
    <w:p w14:paraId="48F3D31F" w14:textId="77777777" w:rsidR="006A4B75" w:rsidRPr="006940EC" w:rsidRDefault="006A4B75" w:rsidP="006A4B75">
      <w:pPr>
        <w:pStyle w:val="FootnoteText"/>
        <w:rPr>
          <w:lang w:val="de-DE"/>
        </w:rPr>
      </w:pPr>
      <w:r w:rsidRPr="008B18EE">
        <w:rPr>
          <w:rStyle w:val="FootnoteReference"/>
          <w:rFonts w:ascii="Arial Narrow" w:hAnsi="Arial Narrow"/>
          <w:sz w:val="20"/>
          <w:szCs w:val="20"/>
        </w:rPr>
        <w:footnoteRef/>
      </w:r>
      <w:r w:rsidRPr="006940EC">
        <w:rPr>
          <w:lang w:val="de-DE"/>
        </w:rPr>
        <w:t xml:space="preserve"> </w:t>
      </w:r>
      <w:proofErr w:type="spellStart"/>
      <w:r w:rsidRPr="006940EC">
        <w:rPr>
          <w:lang w:val="de-DE"/>
        </w:rPr>
        <w:t>Direktiva</w:t>
      </w:r>
      <w:proofErr w:type="spellEnd"/>
      <w:r w:rsidRPr="006940EC">
        <w:rPr>
          <w:lang w:val="de-DE"/>
        </w:rPr>
        <w:t xml:space="preserve"> e </w:t>
      </w:r>
      <w:proofErr w:type="spellStart"/>
      <w:r w:rsidRPr="006940EC">
        <w:rPr>
          <w:lang w:val="de-DE"/>
        </w:rPr>
        <w:t>Këshillit</w:t>
      </w:r>
      <w:proofErr w:type="spellEnd"/>
      <w:r w:rsidRPr="006940EC">
        <w:rPr>
          <w:lang w:val="de-DE"/>
        </w:rPr>
        <w:t xml:space="preserve"> 1999/31/EC e </w:t>
      </w:r>
      <w:proofErr w:type="spellStart"/>
      <w:r w:rsidRPr="006940EC">
        <w:rPr>
          <w:lang w:val="de-DE"/>
        </w:rPr>
        <w:t>datës</w:t>
      </w:r>
      <w:proofErr w:type="spellEnd"/>
      <w:r w:rsidRPr="006940EC">
        <w:rPr>
          <w:lang w:val="de-DE"/>
        </w:rPr>
        <w:t xml:space="preserve"> 26 </w:t>
      </w:r>
      <w:proofErr w:type="spellStart"/>
      <w:r w:rsidRPr="006940EC">
        <w:rPr>
          <w:lang w:val="de-DE"/>
        </w:rPr>
        <w:t>prill</w:t>
      </w:r>
      <w:proofErr w:type="spellEnd"/>
      <w:r w:rsidRPr="006940EC">
        <w:rPr>
          <w:lang w:val="de-DE"/>
        </w:rPr>
        <w:t xml:space="preserve"> 1999 </w:t>
      </w:r>
      <w:proofErr w:type="spellStart"/>
      <w:r w:rsidRPr="006940EC">
        <w:rPr>
          <w:lang w:val="de-DE"/>
        </w:rPr>
        <w:t>për</w:t>
      </w:r>
      <w:proofErr w:type="spellEnd"/>
      <w:r w:rsidRPr="006940EC">
        <w:rPr>
          <w:lang w:val="de-DE"/>
        </w:rPr>
        <w:t xml:space="preserve"> </w:t>
      </w:r>
      <w:proofErr w:type="spellStart"/>
      <w:r w:rsidRPr="006940EC">
        <w:rPr>
          <w:lang w:val="de-DE"/>
        </w:rPr>
        <w:t>depozitimin</w:t>
      </w:r>
      <w:proofErr w:type="spellEnd"/>
      <w:r w:rsidRPr="006940EC">
        <w:rPr>
          <w:lang w:val="de-DE"/>
        </w:rPr>
        <w:t xml:space="preserve"> e </w:t>
      </w:r>
      <w:proofErr w:type="spellStart"/>
      <w:r w:rsidRPr="006940EC">
        <w:rPr>
          <w:lang w:val="de-DE"/>
        </w:rPr>
        <w:t>mbeturinave</w:t>
      </w:r>
      <w:proofErr w:type="spellEnd"/>
    </w:p>
  </w:footnote>
  <w:footnote w:id="14">
    <w:p w14:paraId="6C3399F0" w14:textId="77777777" w:rsidR="004A40AC" w:rsidRPr="002119AD" w:rsidRDefault="004A40AC" w:rsidP="00E0716F">
      <w:pPr>
        <w:pStyle w:val="FootnoteText"/>
      </w:pPr>
      <w:r w:rsidRPr="002119AD">
        <w:rPr>
          <w:rStyle w:val="FootnoteReference"/>
          <w:rFonts w:ascii="Arial Narrow" w:hAnsi="Arial Narrow"/>
          <w:sz w:val="20"/>
          <w:szCs w:val="20"/>
        </w:rPr>
        <w:footnoteRef/>
      </w:r>
      <w:r w:rsidRPr="002119AD">
        <w:t>Të dhënat për Junikun janë marrë nga raportet e AMMK-së, komuna ka ofruar të dhëna për të ardhurat në total.</w:t>
      </w:r>
    </w:p>
  </w:footnote>
  <w:footnote w:id="15">
    <w:p w14:paraId="4D9CF34C" w14:textId="3C14131D" w:rsidR="008735EF" w:rsidRPr="008735EF" w:rsidRDefault="008735EF" w:rsidP="008735EF">
      <w:pPr>
        <w:pStyle w:val="FootnoteText"/>
      </w:pPr>
      <w:r>
        <w:rPr>
          <w:rStyle w:val="FootnoteReference"/>
        </w:rPr>
        <w:footnoteRef/>
      </w:r>
      <w:r>
        <w:t xml:space="preserve"> </w:t>
      </w:r>
      <w:r>
        <w:t xml:space="preserve">2024 </w:t>
      </w:r>
      <w:r>
        <w:t xml:space="preserve">Census data applied for population applied </w:t>
      </w:r>
    </w:p>
  </w:footnote>
  <w:footnote w:id="16">
    <w:p w14:paraId="504A35CB" w14:textId="0D194C78" w:rsidR="00430A79" w:rsidRDefault="00430A79" w:rsidP="00430A79">
      <w:pPr>
        <w:pStyle w:val="FootnoteText"/>
      </w:pPr>
      <w:r>
        <w:rPr>
          <w:rStyle w:val="FootnoteReference"/>
        </w:rPr>
        <w:footnoteRef/>
      </w:r>
      <w:r>
        <w:t xml:space="preserve">Llogaritjet </w:t>
      </w:r>
      <w:r>
        <w:t>e paraqitura për rastin e stacionit të transferit</w:t>
      </w:r>
    </w:p>
  </w:footnote>
  <w:footnote w:id="17">
    <w:p w14:paraId="49FE9472" w14:textId="7D19422D" w:rsidR="00430A79" w:rsidRDefault="00430A79" w:rsidP="00430A79">
      <w:pPr>
        <w:pStyle w:val="FootnoteText"/>
      </w:pPr>
      <w:r>
        <w:rPr>
          <w:rStyle w:val="FootnoteReference"/>
        </w:rPr>
        <w:footnoteRef/>
      </w:r>
      <w:r>
        <w:t xml:space="preserve">Llogaritjet </w:t>
      </w:r>
      <w:r>
        <w:t xml:space="preserve">e paraqitura për rastin e stacionit të </w:t>
      </w:r>
      <w:r w:rsidR="003C390F">
        <w:t>transferit</w:t>
      </w:r>
    </w:p>
  </w:footnote>
  <w:footnote w:id="18">
    <w:p w14:paraId="4691C23D" w14:textId="51AB40D1" w:rsidR="00430A79" w:rsidRDefault="00430A79" w:rsidP="00430A79">
      <w:pPr>
        <w:pStyle w:val="FootnoteText"/>
      </w:pPr>
      <w:r>
        <w:rPr>
          <w:rStyle w:val="FootnoteReference"/>
        </w:rPr>
        <w:footnoteRef/>
      </w:r>
      <w:r>
        <w:t xml:space="preserve">Llogaritjet e paraqitura për rastin e stacionit të </w:t>
      </w:r>
      <w:r w:rsidR="003C390F">
        <w:t>transferit</w:t>
      </w:r>
    </w:p>
  </w:footnote>
  <w:footnote w:id="19">
    <w:p w14:paraId="60D57C6B" w14:textId="66329622" w:rsidR="003C390F" w:rsidRDefault="003C390F" w:rsidP="00430A79">
      <w:pPr>
        <w:pStyle w:val="FootnoteText"/>
      </w:pPr>
      <w:r>
        <w:rPr>
          <w:rStyle w:val="FootnoteReference"/>
        </w:rPr>
        <w:footnoteRef/>
      </w:r>
      <w:r>
        <w:t>Pjesa e mjetit të grumbullimit</w:t>
      </w:r>
    </w:p>
  </w:footnote>
  <w:footnote w:id="20">
    <w:p w14:paraId="4F896EEA" w14:textId="77777777" w:rsidR="003C390F" w:rsidRDefault="003C390F">
      <w:pPr>
        <w:pStyle w:val="FootnoteText"/>
      </w:pPr>
      <w:r>
        <w:rPr>
          <w:rStyle w:val="FootnoteReference"/>
        </w:rPr>
        <w:footnoteRef/>
      </w:r>
      <w:r>
        <w:t xml:space="preserve">Ulja </w:t>
      </w:r>
      <w:r>
        <w:t>e kostos për njësi për periudhën 2025-2035, norma e uljes 5%.</w:t>
      </w:r>
    </w:p>
  </w:footnote>
  <w:footnote w:id="21">
    <w:p w14:paraId="755AC1DF" w14:textId="77777777" w:rsidR="00FA3578" w:rsidRDefault="00FA3578" w:rsidP="00FA3578">
      <w:pPr>
        <w:pStyle w:val="FootnoteText"/>
      </w:pPr>
      <w:r>
        <w:rPr>
          <w:rStyle w:val="FootnoteReference"/>
        </w:rPr>
        <w:footnoteRef/>
      </w:r>
      <w:r>
        <w:t xml:space="preserve">Stacioni </w:t>
      </w:r>
      <w:r>
        <w:t>i transferit në komunën e Deçanit është paraparë t'i shërbejë edhe komunës së Junikut</w:t>
      </w:r>
    </w:p>
  </w:footnote>
  <w:footnote w:id="22">
    <w:p w14:paraId="2AAF0F91" w14:textId="77777777" w:rsidR="00430A79" w:rsidRDefault="00430A79" w:rsidP="00430A79">
      <w:pPr>
        <w:pStyle w:val="FootnoteText"/>
      </w:pPr>
      <w:r>
        <w:rPr>
          <w:rStyle w:val="FootnoteReference"/>
        </w:rPr>
        <w:footnoteRef/>
      </w:r>
      <w:r>
        <w:t xml:space="preserve">Llogaritjet </w:t>
      </w:r>
      <w:r>
        <w:t>e përgatitura për operacion me një turn, 7 ditë në javë</w:t>
      </w:r>
    </w:p>
  </w:footnote>
  <w:footnote w:id="23">
    <w:p w14:paraId="04BFB649" w14:textId="77777777" w:rsidR="00B51B4B" w:rsidRDefault="00B51B4B">
      <w:pPr>
        <w:pStyle w:val="FootnoteText"/>
      </w:pPr>
      <w:r>
        <w:rPr>
          <w:rStyle w:val="FootnoteReference"/>
        </w:rPr>
        <w:footnoteRef/>
      </w:r>
      <w:r>
        <w:t xml:space="preserve">Numrat </w:t>
      </w:r>
      <w:r>
        <w:t>i referohen kontejnerëve të instaluar në vitin 2030 kur sistemi është plotësisht funksional. Numri i kontejnerëve dhe automjeteve të kërkuara rritet me numrin e banorëve të shërbyer dhe me sasinë e grumbulluar</w:t>
      </w:r>
    </w:p>
  </w:footnote>
  <w:footnote w:id="24">
    <w:p w14:paraId="06AD787D" w14:textId="4C962A88" w:rsidR="00B51B4B" w:rsidRDefault="00B51B4B" w:rsidP="00430A79">
      <w:pPr>
        <w:pStyle w:val="FootnoteText"/>
      </w:pPr>
      <w:r>
        <w:rPr>
          <w:rStyle w:val="FootnoteReference"/>
        </w:rPr>
        <w:footnoteRef/>
      </w:r>
      <w:r>
        <w:t xml:space="preserve">Përdorimi </w:t>
      </w:r>
      <w:r>
        <w:t>i përbashkët i automjeteve grumbulluese</w:t>
      </w:r>
    </w:p>
  </w:footnote>
  <w:footnote w:id="25">
    <w:p w14:paraId="40CFC605" w14:textId="77777777" w:rsidR="00B51B4B" w:rsidRDefault="00B51B4B">
      <w:pPr>
        <w:pStyle w:val="FootnoteText"/>
      </w:pPr>
      <w:r>
        <w:rPr>
          <w:rStyle w:val="FootnoteReference"/>
        </w:rPr>
        <w:footnoteRef/>
      </w:r>
      <w:r>
        <w:t xml:space="preserve">Kostot </w:t>
      </w:r>
      <w:r>
        <w:t>e paraqitura përfshijnë investimet deri në vitin 2030</w:t>
      </w:r>
    </w:p>
  </w:footnote>
  <w:footnote w:id="26">
    <w:p w14:paraId="2D511D7C" w14:textId="77777777" w:rsidR="00B51B4B" w:rsidRDefault="00B51B4B">
      <w:pPr>
        <w:pStyle w:val="FootnoteText"/>
      </w:pPr>
      <w:r>
        <w:rPr>
          <w:rStyle w:val="FootnoteReference"/>
        </w:rPr>
        <w:footnoteRef/>
      </w:r>
      <w:r>
        <w:t xml:space="preserve">Për </w:t>
      </w:r>
      <w:r>
        <w:t>vitin 2030</w:t>
      </w:r>
    </w:p>
  </w:footnote>
  <w:footnote w:id="27">
    <w:p w14:paraId="46F4327F" w14:textId="414B2CD5" w:rsidR="00430A79" w:rsidRDefault="00430A79" w:rsidP="00430A79">
      <w:pPr>
        <w:pStyle w:val="FootnoteText"/>
      </w:pPr>
      <w:r>
        <w:rPr>
          <w:rStyle w:val="FootnoteReference"/>
        </w:rPr>
        <w:footnoteRef/>
      </w:r>
      <w:r>
        <w:t xml:space="preserve">Përfshin </w:t>
      </w:r>
      <w:r>
        <w:t>edhe sasitë e mbeturinave të</w:t>
      </w:r>
      <w:r w:rsidR="00FB4247">
        <w:t xml:space="preserve">grumbulluara ndaras </w:t>
      </w:r>
      <w:r>
        <w:t>nga komuna e Junikut</w:t>
      </w:r>
    </w:p>
  </w:footnote>
  <w:footnote w:id="28">
    <w:p w14:paraId="21420CE1" w14:textId="300D9AB6" w:rsidR="00FB4247" w:rsidRDefault="00FB4247" w:rsidP="00430A79">
      <w:pPr>
        <w:pStyle w:val="FootnoteText"/>
      </w:pPr>
      <w:r>
        <w:rPr>
          <w:rStyle w:val="FootnoteReference"/>
        </w:rPr>
        <w:footnoteRef/>
      </w:r>
      <w:r>
        <w:t xml:space="preserve">Vlera </w:t>
      </w:r>
      <w:r>
        <w:t>pozitive do të thotë që të ardhurat janë më të larta se kostot. Kostot neto llogariten vetëm për ndarjen dhe nuk përfshijnë kostot për grumbullimin ndaras të mbeturinave.</w:t>
      </w:r>
    </w:p>
  </w:footnote>
  <w:footnote w:id="29">
    <w:p w14:paraId="635E259D" w14:textId="77777777" w:rsidR="00FB4247" w:rsidRPr="00B01C2C" w:rsidRDefault="00FB4247" w:rsidP="00FB4247">
      <w:pPr>
        <w:pStyle w:val="FootnoteText"/>
      </w:pPr>
      <w:r w:rsidRPr="005E2158">
        <w:rPr>
          <w:rStyle w:val="FootnoteReference"/>
          <w:rFonts w:cs="Arial"/>
          <w:sz w:val="18"/>
        </w:rPr>
        <w:footnoteRef/>
      </w:r>
      <w:r w:rsidRPr="00B01C2C">
        <w:t xml:space="preserve">JASPERS </w:t>
      </w:r>
      <w:r>
        <w:t>Dokument i punës së stafit</w:t>
      </w:r>
      <w:r w:rsidRPr="00B01C2C">
        <w:t xml:space="preserve">, </w:t>
      </w:r>
      <w:r>
        <w:t>Punime mbi Trajtimin Mekanik Biologjik</w:t>
      </w:r>
      <w:r w:rsidRPr="00B01C2C">
        <w:t>, nga Jonas Byström, Mars 2010 (Rishikuar gusht 2010)</w:t>
      </w:r>
    </w:p>
  </w:footnote>
  <w:footnote w:id="30">
    <w:p w14:paraId="2DD5D82B" w14:textId="77777777" w:rsidR="00FB4247" w:rsidRPr="00B01C2C" w:rsidRDefault="00FB4247" w:rsidP="00FB4247">
      <w:pPr>
        <w:pStyle w:val="FootnoteText"/>
      </w:pPr>
      <w:r w:rsidRPr="005E2158">
        <w:rPr>
          <w:rStyle w:val="FootnoteReference"/>
          <w:rFonts w:cs="Arial"/>
          <w:sz w:val="18"/>
        </w:rPr>
        <w:footnoteRef/>
      </w:r>
      <w:r w:rsidRPr="00B01C2C">
        <w:t xml:space="preserve">Po </w:t>
      </w:r>
      <w:r w:rsidRPr="00B01C2C">
        <w:t>aty.</w:t>
      </w:r>
    </w:p>
  </w:footnote>
  <w:footnote w:id="31">
    <w:p w14:paraId="547489FD" w14:textId="77777777" w:rsidR="00430A79" w:rsidRDefault="00430A79" w:rsidP="00430A79">
      <w:pPr>
        <w:pStyle w:val="FootnoteText"/>
      </w:pPr>
      <w:r>
        <w:rPr>
          <w:rStyle w:val="FootnoteReference"/>
        </w:rPr>
        <w:footnoteRef/>
      </w:r>
      <w:r>
        <w:t xml:space="preserve">Të </w:t>
      </w:r>
      <w:r>
        <w:t>ardhurat potenciale nga shitja e energjisë elektrike nuk merren parasysh</w:t>
      </w:r>
    </w:p>
  </w:footnote>
  <w:footnote w:id="32">
    <w:p w14:paraId="722E5CBD" w14:textId="77777777" w:rsidR="00923894" w:rsidRDefault="00923894">
      <w:pPr>
        <w:pStyle w:val="FootnoteText"/>
      </w:pPr>
      <w:r>
        <w:rPr>
          <w:rStyle w:val="FootnoteReference"/>
        </w:rPr>
        <w:footnoteRef/>
      </w:r>
      <w:r>
        <w:t>Distanca të ndryshme transporti në varësi të disponueshmërisë së stacionit të transferit në komunat përkatëse</w:t>
      </w:r>
    </w:p>
  </w:footnote>
  <w:footnote w:id="33">
    <w:p w14:paraId="194A3038" w14:textId="77777777" w:rsidR="00430A79" w:rsidRDefault="00430A79" w:rsidP="00430A79">
      <w:pPr>
        <w:pStyle w:val="FootnoteText"/>
      </w:pPr>
      <w:r>
        <w:rPr>
          <w:rStyle w:val="FootnoteReference"/>
        </w:rPr>
        <w:footnoteRef/>
      </w:r>
      <w:r>
        <w:t xml:space="preserve">Vlera </w:t>
      </w:r>
      <w:r>
        <w:t>aktuale e aseteve është llogaritur për periudhën 2025 – 2035. Vlera e mbetur e aseteve është marrë në konsideratë.</w:t>
      </w:r>
    </w:p>
  </w:footnote>
  <w:footnote w:id="34">
    <w:p w14:paraId="3FD3195B" w14:textId="77777777" w:rsidR="004E5557" w:rsidRPr="00EA3F0E" w:rsidRDefault="004E5557" w:rsidP="004E5557">
      <w:pPr>
        <w:pStyle w:val="FootnoteText"/>
        <w:rPr>
          <w:sz w:val="18"/>
          <w:szCs w:val="18"/>
        </w:rPr>
      </w:pPr>
      <w:r w:rsidRPr="00EA3F0E">
        <w:rPr>
          <w:rStyle w:val="FootnoteReference"/>
          <w:sz w:val="18"/>
          <w:szCs w:val="18"/>
        </w:rPr>
        <w:footnoteRef/>
      </w:r>
      <w:r w:rsidRPr="00EA3F0E">
        <w:rPr>
          <w:sz w:val="18"/>
          <w:szCs w:val="18"/>
        </w:rPr>
        <w:t xml:space="preserve">Zbatimi </w:t>
      </w:r>
      <w:r w:rsidRPr="00EA3F0E">
        <w:rPr>
          <w:sz w:val="18"/>
          <w:szCs w:val="18"/>
        </w:rPr>
        <w:t xml:space="preserve">i Parimit </w:t>
      </w:r>
      <w:r>
        <w:rPr>
          <w:sz w:val="18"/>
          <w:szCs w:val="18"/>
        </w:rPr>
        <w:t>‘</w:t>
      </w:r>
      <w:r w:rsidRPr="00EA3F0E">
        <w:rPr>
          <w:sz w:val="18"/>
          <w:szCs w:val="18"/>
        </w:rPr>
        <w:t>Ndotësi paguan</w:t>
      </w:r>
      <w:r>
        <w:rPr>
          <w:sz w:val="18"/>
          <w:szCs w:val="18"/>
        </w:rPr>
        <w:t>’</w:t>
      </w:r>
      <w:r w:rsidRPr="00EA3F0E">
        <w:rPr>
          <w:sz w:val="18"/>
          <w:szCs w:val="18"/>
        </w:rPr>
        <w:t xml:space="preserve"> në Projektet e Menaxhimit të Mbet</w:t>
      </w:r>
      <w:r>
        <w:rPr>
          <w:sz w:val="18"/>
          <w:szCs w:val="18"/>
        </w:rPr>
        <w:t>urinave</w:t>
      </w:r>
      <w:r w:rsidRPr="00EA3F0E">
        <w:rPr>
          <w:sz w:val="18"/>
          <w:szCs w:val="18"/>
        </w:rPr>
        <w:t>, JASPERS, f.6,</w:t>
      </w:r>
    </w:p>
    <w:p w14:paraId="20808589" w14:textId="77777777" w:rsidR="004E5557" w:rsidRPr="00EA3F0E" w:rsidRDefault="004E5557" w:rsidP="004E5557">
      <w:pPr>
        <w:pStyle w:val="FootnoteText"/>
        <w:rPr>
          <w:sz w:val="18"/>
          <w:szCs w:val="18"/>
        </w:rPr>
      </w:pPr>
      <w:r w:rsidRPr="00EA3F0E">
        <w:rPr>
          <w:sz w:val="18"/>
          <w:szCs w:val="18"/>
        </w:rPr>
        <w:t>https://jaspers.eib.org/knowledge/publications/application-of-the-polluter-pays-principle-in-waste-management-projects</w:t>
      </w:r>
    </w:p>
  </w:footnote>
  <w:footnote w:id="35">
    <w:p w14:paraId="7D8FAB90" w14:textId="77777777" w:rsidR="004E5557" w:rsidRPr="00EA3F0E" w:rsidRDefault="004E5557" w:rsidP="004E5557">
      <w:pPr>
        <w:pStyle w:val="FootnoteText"/>
        <w:rPr>
          <w:sz w:val="18"/>
          <w:szCs w:val="18"/>
        </w:rPr>
      </w:pPr>
      <w:r w:rsidRPr="00EA3F0E">
        <w:rPr>
          <w:rStyle w:val="FootnoteReference"/>
          <w:sz w:val="18"/>
          <w:szCs w:val="18"/>
        </w:rPr>
        <w:footnoteRef/>
      </w:r>
      <w:r w:rsidRPr="00EA3F0E">
        <w:rPr>
          <w:sz w:val="18"/>
          <w:szCs w:val="18"/>
        </w:rPr>
        <w:t xml:space="preserve">Rezultatet </w:t>
      </w:r>
      <w:r w:rsidRPr="00EA3F0E">
        <w:rPr>
          <w:sz w:val="18"/>
          <w:szCs w:val="18"/>
        </w:rPr>
        <w:t>e Anketës Buxhetore të Ekonomive Familjare 2022</w:t>
      </w:r>
    </w:p>
  </w:footnote>
  <w:footnote w:id="36">
    <w:p w14:paraId="0C9DCFB3" w14:textId="77777777" w:rsidR="004E5557" w:rsidRPr="00EA3F0E" w:rsidRDefault="004E5557" w:rsidP="004E5557">
      <w:pPr>
        <w:pStyle w:val="FootnoteText"/>
        <w:rPr>
          <w:sz w:val="18"/>
          <w:szCs w:val="18"/>
        </w:rPr>
      </w:pPr>
      <w:r w:rsidRPr="00EA3F0E">
        <w:rPr>
          <w:rStyle w:val="FootnoteReference"/>
          <w:sz w:val="18"/>
          <w:szCs w:val="18"/>
        </w:rPr>
        <w:footnoteRef/>
      </w:r>
      <w:r w:rsidRPr="00EA3F0E">
        <w:rPr>
          <w:sz w:val="18"/>
          <w:szCs w:val="18"/>
        </w:rPr>
        <w:t xml:space="preserve">8106/1903=4.3 </w:t>
      </w:r>
      <w:r w:rsidRPr="00EA3F0E">
        <w:rPr>
          <w:sz w:val="18"/>
          <w:szCs w:val="18"/>
        </w:rPr>
        <w:t>persona në një familje</w:t>
      </w:r>
    </w:p>
  </w:footnote>
  <w:footnote w:id="37">
    <w:p w14:paraId="1D35BEC0" w14:textId="77777777" w:rsidR="004E5557" w:rsidRPr="00EA3F0E" w:rsidRDefault="004E5557" w:rsidP="004E5557">
      <w:pPr>
        <w:pStyle w:val="FootnoteText"/>
        <w:rPr>
          <w:sz w:val="18"/>
          <w:szCs w:val="18"/>
        </w:rPr>
      </w:pPr>
      <w:r w:rsidRPr="00EA3F0E">
        <w:rPr>
          <w:rStyle w:val="FootnoteReference"/>
          <w:sz w:val="18"/>
          <w:szCs w:val="18"/>
        </w:rPr>
        <w:footnoteRef/>
      </w:r>
      <w:r w:rsidRPr="00EA3F0E">
        <w:rPr>
          <w:sz w:val="18"/>
          <w:szCs w:val="18"/>
        </w:rPr>
        <w:t>https://www.macrotrends.net/global-metrics/countries/XKX/kosovo/gdp-per-capita</w:t>
      </w:r>
    </w:p>
  </w:footnote>
  <w:footnote w:id="38">
    <w:p w14:paraId="1E5807D3" w14:textId="77777777" w:rsidR="004E5557" w:rsidRPr="00EA3F0E" w:rsidRDefault="004E5557" w:rsidP="004E5557">
      <w:pPr>
        <w:pStyle w:val="FootnoteText"/>
        <w:rPr>
          <w:sz w:val="18"/>
          <w:szCs w:val="18"/>
        </w:rPr>
      </w:pPr>
      <w:r w:rsidRPr="00EA3F0E">
        <w:rPr>
          <w:rStyle w:val="FootnoteReference"/>
          <w:sz w:val="18"/>
          <w:szCs w:val="18"/>
        </w:rPr>
        <w:footnoteRef/>
      </w:r>
      <w:r w:rsidRPr="00EA3F0E">
        <w:rPr>
          <w:sz w:val="18"/>
          <w:szCs w:val="18"/>
        </w:rPr>
        <w:t xml:space="preserve">Parashikimi </w:t>
      </w:r>
      <w:r w:rsidRPr="00EA3F0E">
        <w:rPr>
          <w:sz w:val="18"/>
          <w:szCs w:val="18"/>
        </w:rPr>
        <w:t>i inflacionit për 10 vjet nuk është i realizueshëm dhe gjithsesi do të sjellë rritje si të të ardhurave monetare ashtu edhe të kostove.</w:t>
      </w:r>
    </w:p>
  </w:footnote>
  <w:footnote w:id="39">
    <w:p w14:paraId="3230EE96" w14:textId="2B841974" w:rsidR="004E5557" w:rsidRPr="00EA3F0E" w:rsidRDefault="004E5557" w:rsidP="004E5557">
      <w:pPr>
        <w:pStyle w:val="FootnoteText"/>
        <w:rPr>
          <w:sz w:val="18"/>
          <w:szCs w:val="18"/>
        </w:rPr>
      </w:pPr>
      <w:r w:rsidRPr="00EA3F0E">
        <w:rPr>
          <w:rStyle w:val="FootnoteReference"/>
          <w:sz w:val="18"/>
          <w:szCs w:val="18"/>
        </w:rPr>
        <w:footnoteRef/>
      </w:r>
      <w:r w:rsidRPr="00EA3F0E">
        <w:rPr>
          <w:sz w:val="18"/>
          <w:szCs w:val="18"/>
        </w:rPr>
        <w:t xml:space="preserve">Jo </w:t>
      </w:r>
      <w:r w:rsidRPr="00EA3F0E">
        <w:rPr>
          <w:sz w:val="18"/>
          <w:szCs w:val="18"/>
        </w:rPr>
        <w:t>në lidhje me mbet</w:t>
      </w:r>
      <w:r>
        <w:rPr>
          <w:sz w:val="18"/>
          <w:szCs w:val="18"/>
        </w:rPr>
        <w:t xml:space="preserve">urinat </w:t>
      </w:r>
      <w:r w:rsidRPr="00EA3F0E">
        <w:rPr>
          <w:sz w:val="18"/>
          <w:szCs w:val="18"/>
        </w:rPr>
        <w:t>e krijuara, pasi një pjesë e mbet</w:t>
      </w:r>
      <w:r>
        <w:rPr>
          <w:sz w:val="18"/>
          <w:szCs w:val="18"/>
        </w:rPr>
        <w:t>urinave</w:t>
      </w:r>
      <w:r w:rsidRPr="00EA3F0E">
        <w:rPr>
          <w:sz w:val="18"/>
          <w:szCs w:val="18"/>
        </w:rPr>
        <w:t xml:space="preserve"> nuk do të grumbullohet për shkak të kompostimit shtëpi</w:t>
      </w:r>
      <w:r>
        <w:rPr>
          <w:sz w:val="18"/>
          <w:szCs w:val="18"/>
        </w:rPr>
        <w:t>ak</w:t>
      </w:r>
      <w:r w:rsidRPr="00EA3F0E">
        <w:rPr>
          <w:sz w:val="18"/>
          <w:szCs w:val="18"/>
        </w:rPr>
        <w:t xml:space="preserve"> të mbet</w:t>
      </w:r>
      <w:r>
        <w:rPr>
          <w:sz w:val="18"/>
          <w:szCs w:val="18"/>
        </w:rPr>
        <w:t>urinave</w:t>
      </w:r>
      <w:r w:rsidRPr="00EA3F0E">
        <w:rPr>
          <w:sz w:val="18"/>
          <w:szCs w:val="18"/>
        </w:rPr>
        <w:t xml:space="preserve"> të gjelbra.</w:t>
      </w:r>
    </w:p>
  </w:footnote>
  <w:footnote w:id="40">
    <w:p w14:paraId="7E619815" w14:textId="77777777" w:rsidR="00B93549" w:rsidRPr="00EA3F0E" w:rsidRDefault="00B93549" w:rsidP="00B93549">
      <w:pPr>
        <w:pStyle w:val="FootnoteText"/>
        <w:rPr>
          <w:sz w:val="18"/>
          <w:szCs w:val="18"/>
        </w:rPr>
      </w:pPr>
      <w:r w:rsidRPr="00EA3F0E">
        <w:rPr>
          <w:rStyle w:val="FootnoteReference"/>
          <w:sz w:val="18"/>
          <w:szCs w:val="18"/>
        </w:rPr>
        <w:footnoteRef/>
      </w:r>
      <w:r w:rsidRPr="00EA3F0E">
        <w:rPr>
          <w:sz w:val="18"/>
          <w:szCs w:val="18"/>
        </w:rPr>
        <w:t xml:space="preserve">Vlerësimet </w:t>
      </w:r>
      <w:r w:rsidRPr="00EA3F0E">
        <w:rPr>
          <w:sz w:val="18"/>
          <w:szCs w:val="18"/>
        </w:rPr>
        <w:t xml:space="preserve">e ASK-së për popullsinë ishin më të larta, që do të nënkuptonte edhe </w:t>
      </w:r>
      <w:r>
        <w:rPr>
          <w:sz w:val="18"/>
          <w:szCs w:val="18"/>
        </w:rPr>
        <w:t xml:space="preserve">të hyra aktuale </w:t>
      </w:r>
      <w:r w:rsidRPr="00EA3F0E">
        <w:rPr>
          <w:sz w:val="18"/>
          <w:szCs w:val="18"/>
        </w:rPr>
        <w:t>më të ulëta për person.</w:t>
      </w:r>
    </w:p>
  </w:footnote>
  <w:footnote w:id="41">
    <w:p w14:paraId="4A129DD1" w14:textId="77777777" w:rsidR="00DF1B1A" w:rsidRPr="00BE2534" w:rsidRDefault="00DF1B1A" w:rsidP="00DF1B1A">
      <w:pPr>
        <w:pStyle w:val="FootnoteText"/>
      </w:pPr>
      <w:r>
        <w:rPr>
          <w:rStyle w:val="FootnoteReference"/>
        </w:rPr>
        <w:footnoteRef/>
      </w:r>
      <w:r>
        <w:t xml:space="preserve"> </w:t>
      </w:r>
      <w:r w:rsidRPr="00330F5F">
        <w:t xml:space="preserve">Draft </w:t>
      </w:r>
      <w:r w:rsidRPr="00330F5F">
        <w:t>Raporti, Agjenda e integrimit gjinor në sektorin e mbeturinave, përgatitur në kuadër të projektit-Komunat e gjelbra dhe të qëndrueshme – Menaxhimi i integruar i mbeturinave dhe ekonomia qarkore (Kosovo4Green), zbatuar nga GIZ Kosova, janar 2025</w:t>
      </w:r>
    </w:p>
  </w:footnote>
  <w:footnote w:id="42">
    <w:p w14:paraId="1370C5BF" w14:textId="77777777" w:rsidR="00DF1B1A" w:rsidRPr="00FC6600" w:rsidRDefault="00DF1B1A">
      <w:pPr>
        <w:pStyle w:val="FootnoteText"/>
        <w:rPr>
          <w:sz w:val="20"/>
          <w:szCs w:val="20"/>
        </w:rPr>
      </w:pPr>
      <w:r w:rsidRPr="00FC6600">
        <w:rPr>
          <w:rStyle w:val="FootnoteReference"/>
          <w:rFonts w:ascii="Arial Narrow" w:hAnsi="Arial Narrow"/>
          <w:sz w:val="20"/>
          <w:szCs w:val="20"/>
        </w:rPr>
        <w:footnoteRef/>
      </w:r>
      <w:r w:rsidRPr="00FC6600">
        <w:rPr>
          <w:sz w:val="20"/>
          <w:szCs w:val="20"/>
        </w:rPr>
        <w:t xml:space="preserve">Përndryshe, </w:t>
      </w:r>
      <w:r w:rsidRPr="00FC6600">
        <w:rPr>
          <w:sz w:val="20"/>
          <w:szCs w:val="20"/>
        </w:rPr>
        <w:t xml:space="preserve">mund të </w:t>
      </w:r>
      <w:r>
        <w:rPr>
          <w:sz w:val="20"/>
          <w:szCs w:val="20"/>
        </w:rPr>
        <w:t>ngritet</w:t>
      </w:r>
      <w:r w:rsidRPr="00FC6600">
        <w:rPr>
          <w:sz w:val="20"/>
          <w:szCs w:val="20"/>
        </w:rPr>
        <w:t xml:space="preserve"> një strukturë e tretjes anaerobe në vendin e </w:t>
      </w:r>
      <w:r>
        <w:rPr>
          <w:sz w:val="20"/>
          <w:szCs w:val="20"/>
        </w:rPr>
        <w:t>impiantit T</w:t>
      </w:r>
      <w:r w:rsidRPr="00FC6600">
        <w:rPr>
          <w:sz w:val="20"/>
          <w:szCs w:val="20"/>
        </w:rPr>
        <w:t>MB, në varësi të gjetjeve të studimit përkatës të fizibilitetit.</w:t>
      </w:r>
    </w:p>
  </w:footnote>
  <w:footnote w:id="43">
    <w:p w14:paraId="1B903BB3" w14:textId="77777777" w:rsidR="00DF1B1A" w:rsidRPr="00870312" w:rsidRDefault="00DF1B1A">
      <w:pPr>
        <w:pStyle w:val="FootnoteText"/>
        <w:rPr>
          <w:sz w:val="20"/>
          <w:szCs w:val="20"/>
        </w:rPr>
      </w:pPr>
      <w:r>
        <w:rPr>
          <w:rStyle w:val="FootnoteReference"/>
        </w:rPr>
        <w:footnoteRef/>
      </w:r>
      <w:r>
        <w:t xml:space="preserve"> </w:t>
      </w:r>
      <w:r w:rsidRPr="00870312">
        <w:rPr>
          <w:sz w:val="20"/>
          <w:szCs w:val="20"/>
        </w:rPr>
        <w:t xml:space="preserve">Nuk </w:t>
      </w:r>
      <w:r w:rsidRPr="00870312">
        <w:rPr>
          <w:sz w:val="20"/>
          <w:szCs w:val="20"/>
        </w:rPr>
        <w:t>përfshihen mbet</w:t>
      </w:r>
      <w:r>
        <w:rPr>
          <w:sz w:val="20"/>
          <w:szCs w:val="20"/>
        </w:rPr>
        <w:t>urinat</w:t>
      </w:r>
      <w:r w:rsidRPr="00870312">
        <w:rPr>
          <w:sz w:val="20"/>
          <w:szCs w:val="20"/>
        </w:rPr>
        <w:t xml:space="preserve"> industriale jo të rrezikshme</w:t>
      </w:r>
    </w:p>
  </w:footnote>
  <w:footnote w:id="44">
    <w:p w14:paraId="5BE8E545" w14:textId="1830032A" w:rsidR="0088099A" w:rsidRPr="00B005CE" w:rsidRDefault="0088099A">
      <w:pPr>
        <w:pStyle w:val="FootnoteText"/>
      </w:pPr>
      <w:r>
        <w:rPr>
          <w:rStyle w:val="FootnoteReference"/>
        </w:rPr>
        <w:footnoteRef/>
      </w:r>
      <w:r>
        <w:t xml:space="preserve"> </w:t>
      </w:r>
      <w:r w:rsidR="00CF46CD">
        <w:t>Parapar</w:t>
      </w:r>
      <w:r w:rsidR="00333B2D">
        <w:t>ë</w:t>
      </w:r>
      <w:r w:rsidR="00CF46CD">
        <w:t xml:space="preserve"> </w:t>
      </w:r>
      <w:r w:rsidR="00333B2D">
        <w:t xml:space="preserve">me </w:t>
      </w:r>
      <w:r w:rsidR="00B005CE">
        <w:t>pik</w:t>
      </w:r>
      <w:r w:rsidR="00333B2D">
        <w:t>ën</w:t>
      </w:r>
      <w:r w:rsidR="00B005CE">
        <w:t xml:space="preserve"> I.2.1 t</w:t>
      </w:r>
      <w:r w:rsidR="00333B2D">
        <w:t>ë</w:t>
      </w:r>
      <w:r w:rsidR="00B005CE">
        <w:t xml:space="preserve"> Planit t</w:t>
      </w:r>
      <w:r w:rsidR="00333B2D">
        <w:t>ë</w:t>
      </w:r>
      <w:r w:rsidR="00B005CE">
        <w:t xml:space="preserve"> Veprimit 2024 – 2026 t</w:t>
      </w:r>
      <w:r w:rsidR="00333B2D">
        <w:t>ë</w:t>
      </w:r>
      <w:r w:rsidR="00B005CE">
        <w:t xml:space="preserve"> Strategjis</w:t>
      </w:r>
      <w:r w:rsidR="00333B2D">
        <w:t>ë</w:t>
      </w:r>
      <w:r w:rsidR="00B005CE">
        <w:t xml:space="preserve"> s</w:t>
      </w:r>
      <w:r w:rsidR="00333B2D">
        <w:t>ë</w:t>
      </w:r>
      <w:r w:rsidR="00B005CE">
        <w:t xml:space="preserve"> Kosov</w:t>
      </w:r>
      <w:r w:rsidR="00333B2D">
        <w:t>ë</w:t>
      </w:r>
      <w:r w:rsidR="00B005CE">
        <w:t>s p</w:t>
      </w:r>
      <w:r w:rsidR="00333B2D">
        <w:t>ë</w:t>
      </w:r>
      <w:r w:rsidR="00B005CE">
        <w:t>r Menaxhim t</w:t>
      </w:r>
      <w:r w:rsidR="00333B2D">
        <w:t>ë</w:t>
      </w:r>
      <w:r w:rsidR="00B005CE">
        <w:t xml:space="preserve"> Integruar t</w:t>
      </w:r>
      <w:r w:rsidR="00333B2D">
        <w:t>ë</w:t>
      </w:r>
      <w:r w:rsidR="00B005CE">
        <w:t xml:space="preserve"> Mbeturinave</w:t>
      </w:r>
      <w:r w:rsidR="009F2E6A">
        <w:t xml:space="preserve"> 2024 – 2035</w:t>
      </w:r>
      <w:r w:rsidR="0005307F">
        <w:t>, ku p</w:t>
      </w:r>
      <w:r w:rsidR="00333B2D">
        <w:t>ë</w:t>
      </w:r>
      <w:r w:rsidR="0005307F">
        <w:t xml:space="preserve">rfshihen dhe </w:t>
      </w:r>
      <w:r w:rsidR="0005307F">
        <w:t>studime</w:t>
      </w:r>
      <w:r w:rsidR="0005307F">
        <w:t>t</w:t>
      </w:r>
      <w:r w:rsidR="0005307F">
        <w:t xml:space="preserve"> </w:t>
      </w:r>
      <w:r w:rsidR="0005307F">
        <w:t>e</w:t>
      </w:r>
      <w:r w:rsidR="0005307F">
        <w:t xml:space="preserve"> fizibilitetit p</w:t>
      </w:r>
      <w:r w:rsidR="00333B2D">
        <w:t>ë</w:t>
      </w:r>
      <w:r w:rsidR="0005307F">
        <w:t>r objektet e p</w:t>
      </w:r>
      <w:r w:rsidR="00333B2D">
        <w:t>ë</w:t>
      </w:r>
      <w:r w:rsidR="0005307F">
        <w:t>rpunimit t</w:t>
      </w:r>
      <w:r w:rsidR="00333B2D">
        <w:t>ë</w:t>
      </w:r>
      <w:r w:rsidR="0005307F">
        <w:t xml:space="preserve"> mbeturinave</w:t>
      </w:r>
      <w:r w:rsidR="0005307F">
        <w:t>.</w:t>
      </w:r>
    </w:p>
  </w:footnote>
  <w:footnote w:id="45">
    <w:p w14:paraId="7389727A" w14:textId="292BE8A2" w:rsidR="00333B2D" w:rsidRPr="005E483D" w:rsidRDefault="00333B2D">
      <w:pPr>
        <w:pStyle w:val="FootnoteText"/>
      </w:pPr>
      <w:r>
        <w:rPr>
          <w:rStyle w:val="FootnoteReference"/>
        </w:rPr>
        <w:footnoteRef/>
      </w:r>
      <w:r>
        <w:t xml:space="preserve"> </w:t>
      </w:r>
      <w:r w:rsidR="005E483D">
        <w:t>Paraparë me pik</w:t>
      </w:r>
      <w:r w:rsidR="00A22223">
        <w:t>at</w:t>
      </w:r>
      <w:r w:rsidR="005E483D">
        <w:t xml:space="preserve"> </w:t>
      </w:r>
      <w:r w:rsidR="00A22223">
        <w:t xml:space="preserve">I.2.1 dhe </w:t>
      </w:r>
      <w:r w:rsidR="005E483D">
        <w:t>I.2.</w:t>
      </w:r>
      <w:r w:rsidR="005E483D">
        <w:t>4</w:t>
      </w:r>
      <w:r w:rsidR="005E483D">
        <w:t xml:space="preserve"> të Planit të Veprimit 2024 – 2026 të Strategjisë së Kosovës për Menaxhim të Integruar të Mbeturinave 2024 – 2035, ku përfshihe</w:t>
      </w:r>
      <w:r w:rsidR="0040205E">
        <w:t xml:space="preserve">n projektet </w:t>
      </w:r>
      <w:r w:rsidR="005E483D">
        <w:t xml:space="preserve">dhe </w:t>
      </w:r>
      <w:r w:rsidR="005E483D">
        <w:t>nd</w:t>
      </w:r>
      <w:r w:rsidR="007E1CD6">
        <w:t>ë</w:t>
      </w:r>
      <w:r w:rsidR="005E483D">
        <w:t>rtimi i infrastruktur</w:t>
      </w:r>
      <w:r w:rsidR="007E1CD6">
        <w:t>ë</w:t>
      </w:r>
      <w:r w:rsidR="005E483D">
        <w:t>s</w:t>
      </w:r>
      <w:r w:rsidR="005E483D">
        <w:t xml:space="preserve"> </w:t>
      </w:r>
      <w:r w:rsidR="007E1CD6">
        <w:t>p</w:t>
      </w:r>
      <w:r w:rsidR="007E1CD6">
        <w:t>ë</w:t>
      </w:r>
      <w:r w:rsidR="007E1CD6">
        <w:t>r</w:t>
      </w:r>
      <w:r w:rsidR="005E483D">
        <w:t xml:space="preserve"> përpunim të mbeturinave</w:t>
      </w:r>
      <w:r w:rsidR="007E1CD6">
        <w:t>.</w:t>
      </w:r>
    </w:p>
  </w:footnote>
  <w:footnote w:id="46">
    <w:p w14:paraId="3EF19EB8" w14:textId="475741C1" w:rsidR="007D1EDC" w:rsidRDefault="007D1EDC" w:rsidP="007D1EDC">
      <w:pPr>
        <w:pStyle w:val="FootnoteText"/>
      </w:pPr>
      <w:r>
        <w:rPr>
          <w:rStyle w:val="FootnoteReference"/>
        </w:rPr>
        <w:footnoteRef/>
      </w:r>
      <w:r>
        <w:t>Llogaritjet e paraqitura për rastin e stacionit të transferit</w:t>
      </w:r>
    </w:p>
  </w:footnote>
  <w:footnote w:id="47">
    <w:p w14:paraId="5662D800" w14:textId="1BC4692D" w:rsidR="007D1EDC" w:rsidRDefault="007D1EDC" w:rsidP="007D1EDC">
      <w:pPr>
        <w:pStyle w:val="FootnoteText"/>
      </w:pPr>
      <w:r>
        <w:rPr>
          <w:rStyle w:val="FootnoteReference"/>
        </w:rPr>
        <w:footnoteRef/>
      </w:r>
      <w:r>
        <w:t>Llogaritjet e paraqitura për rastin e stacionit të transferit</w:t>
      </w:r>
    </w:p>
  </w:footnote>
  <w:footnote w:id="48">
    <w:p w14:paraId="29056C11" w14:textId="7A47E81D" w:rsidR="007D1EDC" w:rsidRDefault="007D1EDC" w:rsidP="007D1EDC">
      <w:pPr>
        <w:pStyle w:val="FootnoteText"/>
      </w:pPr>
      <w:r>
        <w:rPr>
          <w:rStyle w:val="FootnoteReference"/>
        </w:rPr>
        <w:footnoteRef/>
      </w:r>
      <w:r>
        <w:t xml:space="preserve">Llogaritjet </w:t>
      </w:r>
      <w:r>
        <w:t>e paraqitura për rastin e stacionit të transferit</w:t>
      </w:r>
    </w:p>
  </w:footnote>
  <w:footnote w:id="49">
    <w:p w14:paraId="6B2A1D47" w14:textId="77777777" w:rsidR="00467019" w:rsidRPr="00EA3F0E" w:rsidRDefault="00467019" w:rsidP="00467019">
      <w:pPr>
        <w:pStyle w:val="FootnoteText"/>
        <w:rPr>
          <w:sz w:val="18"/>
          <w:szCs w:val="18"/>
        </w:rPr>
      </w:pPr>
      <w:r w:rsidRPr="00EA3F0E">
        <w:rPr>
          <w:rStyle w:val="FootnoteReference"/>
          <w:sz w:val="18"/>
          <w:szCs w:val="18"/>
        </w:rPr>
        <w:footnoteRef/>
      </w:r>
      <w:r w:rsidRPr="00EA3F0E">
        <w:rPr>
          <w:sz w:val="18"/>
          <w:szCs w:val="18"/>
        </w:rPr>
        <w:t xml:space="preserve">Rezultatet </w:t>
      </w:r>
      <w:r w:rsidRPr="00EA3F0E">
        <w:rPr>
          <w:sz w:val="18"/>
          <w:szCs w:val="18"/>
        </w:rPr>
        <w:t>e Anketës Buxhetore të Ekonomive Familjare 2022</w:t>
      </w:r>
    </w:p>
  </w:footnote>
  <w:footnote w:id="50">
    <w:p w14:paraId="49B2158B" w14:textId="77777777" w:rsidR="00467019" w:rsidRPr="003069B8" w:rsidRDefault="00467019" w:rsidP="00467019">
      <w:pPr>
        <w:pStyle w:val="FootnoteText"/>
      </w:pPr>
      <w:r>
        <w:rPr>
          <w:rStyle w:val="FootnoteReference"/>
        </w:rPr>
        <w:footnoteRef/>
      </w:r>
      <w:r>
        <w:t xml:space="preserve"> </w:t>
      </w:r>
      <w:r w:rsidRPr="00EA3F0E">
        <w:rPr>
          <w:sz w:val="18"/>
          <w:szCs w:val="18"/>
        </w:rPr>
        <w:t>https://www.macrotrends.net/global-metrics/countries/XKX/kosovo/gdp-per-capita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C7ED6" w14:textId="77777777" w:rsidR="006D4DE3" w:rsidRDefault="006D4DE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0" w:type="dxa"/>
      <w:tblInd w:w="8" w:type="dxa"/>
      <w:tblBorders>
        <w:bottom w:val="single" w:sz="4" w:space="0" w:color="auto"/>
      </w:tblBorders>
      <w:tblLayout w:type="fixed"/>
      <w:tblCellMar>
        <w:left w:w="0" w:type="dxa"/>
        <w:right w:w="0" w:type="dxa"/>
      </w:tblCellMar>
      <w:tblLook w:val="0000" w:firstRow="0" w:lastRow="0" w:firstColumn="0" w:lastColumn="0" w:noHBand="0" w:noVBand="0"/>
    </w:tblPr>
    <w:tblGrid>
      <w:gridCol w:w="7080"/>
      <w:gridCol w:w="2410"/>
    </w:tblGrid>
    <w:tr w:rsidR="005250AA" w:rsidRPr="008C1343" w14:paraId="3B718DD2" w14:textId="77777777" w:rsidTr="00C17C22">
      <w:trPr>
        <w:trHeight w:val="1191"/>
      </w:trPr>
      <w:tc>
        <w:tcPr>
          <w:tcW w:w="7080" w:type="dxa"/>
        </w:tcPr>
        <w:p w14:paraId="327D8231" w14:textId="3DE92C9F" w:rsidR="005250AA" w:rsidRPr="004E7565" w:rsidRDefault="005250AA" w:rsidP="008D325C">
          <w:pPr>
            <w:tabs>
              <w:tab w:val="right" w:pos="7074"/>
            </w:tabs>
            <w:spacing w:before="440"/>
            <w:ind w:right="6"/>
            <w:rPr>
              <w:rFonts w:ascii="Arial Narrow" w:hAnsi="Arial Narrow"/>
              <w:spacing w:val="8"/>
            </w:rPr>
          </w:pPr>
          <w:r w:rsidRPr="004E7565">
            <w:rPr>
              <w:rFonts w:ascii="Arial Narrow" w:hAnsi="Arial Narrow"/>
              <w:b/>
              <w:bCs/>
              <w:noProof/>
              <w:spacing w:val="8"/>
              <w:lang w:val="de-DE" w:eastAsia="de-DE"/>
            </w:rPr>
            <mc:AlternateContent>
              <mc:Choice Requires="wps">
                <w:drawing>
                  <wp:anchor distT="0" distB="0" distL="114300" distR="114300" simplePos="0" relativeHeight="251667968" behindDoc="0" locked="0" layoutInCell="1" allowOverlap="1" wp14:anchorId="423C46CC" wp14:editId="1D74EA49">
                    <wp:simplePos x="0" y="0"/>
                    <wp:positionH relativeFrom="column">
                      <wp:posOffset>3766177</wp:posOffset>
                    </wp:positionH>
                    <wp:positionV relativeFrom="paragraph">
                      <wp:posOffset>147497</wp:posOffset>
                    </wp:positionV>
                    <wp:extent cx="730250" cy="590550"/>
                    <wp:effectExtent l="0" t="0" r="0" b="0"/>
                    <wp:wrapSquare wrapText="bothSides"/>
                    <wp:docPr id="2147197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590550"/>
                            </a:xfrm>
                            <a:prstGeom prst="rect">
                              <a:avLst/>
                            </a:prstGeom>
                            <a:solidFill>
                              <a:srgbClr val="FFFFFF"/>
                            </a:solidFill>
                            <a:ln w="9525">
                              <a:noFill/>
                              <a:miter lim="800000"/>
                              <a:headEnd/>
                              <a:tailEnd/>
                            </a:ln>
                          </wps:spPr>
                          <wps:txbx>
                            <w:txbxContent>
                              <w:p w14:paraId="275FF138" w14:textId="169275BE" w:rsidR="005250AA" w:rsidRDefault="005250AA" w:rsidP="008D32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3C46CC" id="_x0000_t202" coordsize="21600,21600" o:spt="202" path="m,l,21600r21600,l21600,xe">
                    <v:stroke joinstyle="miter"/>
                    <v:path gradientshapeok="t" o:connecttype="rect"/>
                  </v:shapetype>
                  <v:shape id="_x0000_s1049" type="#_x0000_t202" style="position:absolute;margin-left:296.55pt;margin-top:11.6pt;width:57.5pt;height:4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" stroked="f">
                    <v:textbox>
                      <w:txbxContent>
                        <w:p w14:paraId="275FF138" w14:textId="169275BE" w:rsidR="005250AA" w:rsidRDefault="005250AA" w:rsidP="008D325C"/>
                      </w:txbxContent>
                    </v:textbox>
                    <w10:wrap type="square"/>
                  </v:shape>
                </w:pict>
              </mc:Fallback>
            </mc:AlternateContent>
          </w:r>
          <w:r w:rsidR="004E7565" w:rsidRPr="004E7565">
            <w:rPr>
              <w:rFonts w:ascii="Arial Narrow" w:hAnsi="Arial Narrow"/>
              <w:b/>
              <w:bCs/>
              <w:noProof/>
              <w:spacing w:val="8"/>
              <w:lang w:val="en-GB" w:eastAsia="de-DE"/>
            </w:rPr>
            <w:t>P</w:t>
          </w:r>
          <w:r w:rsidR="0055708F">
            <w:rPr>
              <w:rFonts w:ascii="Arial Narrow" w:hAnsi="Arial Narrow"/>
              <w:b/>
              <w:bCs/>
              <w:noProof/>
              <w:spacing w:val="8"/>
              <w:lang w:val="en-GB" w:eastAsia="de-DE"/>
            </w:rPr>
            <w:t>NMIM</w:t>
          </w:r>
          <w:r w:rsidR="004E7565" w:rsidRPr="004E7565">
            <w:rPr>
              <w:rFonts w:ascii="Arial Narrow" w:hAnsi="Arial Narrow"/>
              <w:b/>
              <w:bCs/>
              <w:noProof/>
              <w:spacing w:val="8"/>
              <w:lang w:val="en-GB" w:eastAsia="de-DE"/>
            </w:rPr>
            <w:t>, Rajoni i Dukagjinit</w:t>
          </w:r>
          <w:r w:rsidRPr="004E7565">
            <w:rPr>
              <w:rFonts w:ascii="Arial Narrow" w:hAnsi="Arial Narrow"/>
              <w:b/>
              <w:spacing w:val="8"/>
            </w:rPr>
            <w:tab/>
          </w:r>
        </w:p>
      </w:tc>
      <w:tc>
        <w:tcPr>
          <w:tcW w:w="2410" w:type="dxa"/>
        </w:tcPr>
        <w:p w14:paraId="13F86619" w14:textId="0BBBA4BC" w:rsidR="005250AA" w:rsidRPr="008C1343" w:rsidRDefault="005250AA" w:rsidP="008D325C">
          <w:pPr>
            <w:rPr>
              <w:rFonts w:ascii="Arial" w:hAnsi="Arial"/>
              <w:sz w:val="18"/>
              <w:szCs w:val="18"/>
            </w:rPr>
          </w:pPr>
        </w:p>
      </w:tc>
    </w:tr>
  </w:tbl>
  <w:p w14:paraId="0E5A88BC" w14:textId="77777777" w:rsidR="005250AA" w:rsidRDefault="005250A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3C2E1" w14:textId="2DB3A21C" w:rsidR="00E25D63" w:rsidRDefault="006D4DE3" w:rsidP="00E25D63">
    <w:pPr>
      <w:pStyle w:val="Header"/>
      <w:jc w:val="center"/>
    </w:pPr>
    <w:r>
      <w:rPr>
        <w:noProof/>
      </w:rPr>
      <w:drawing>
        <wp:inline distT="0" distB="0" distL="0" distR="0" wp14:anchorId="62CD8CAC" wp14:editId="34FC73F4">
          <wp:extent cx="731530" cy="1042869"/>
          <wp:effectExtent l="0" t="0" r="0" b="5080"/>
          <wp:docPr id="2088809743" name="Picture 3" descr="A logo of a waterf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09743" name="Picture 3" descr="A logo of a waterfall&#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6332" cy="1063971"/>
                  </a:xfrm>
                  <a:prstGeom prst="rect">
                    <a:avLst/>
                  </a:prstGeom>
                  <a:noFill/>
                  <a:ln>
                    <a:noFill/>
                  </a:ln>
                </pic:spPr>
              </pic:pic>
            </a:graphicData>
          </a:graphic>
        </wp:inline>
      </w:drawing>
    </w:r>
  </w:p>
  <w:p w14:paraId="7516FD52" w14:textId="3B979065" w:rsidR="00E25D63" w:rsidRDefault="0039190B" w:rsidP="0039190B">
    <w:pPr>
      <w:pStyle w:val="Header"/>
      <w:jc w:val="center"/>
    </w:pPr>
    <w:r>
      <w:t xml:space="preserve">Komuna e </w:t>
    </w:r>
    <w:r w:rsidR="006D4DE3">
      <w:t>Klin</w:t>
    </w:r>
    <w:r w:rsidR="00DE293B">
      <w:t>ë</w:t>
    </w:r>
    <w:r w:rsidR="00DE293B">
      <w: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E5EEC" w14:textId="77777777" w:rsidR="006D4DE3" w:rsidRDefault="006D4DE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0" w:type="dxa"/>
      <w:tblInd w:w="8" w:type="dxa"/>
      <w:tblBorders>
        <w:bottom w:val="single" w:sz="4" w:space="0" w:color="auto"/>
      </w:tblBorders>
      <w:tblLayout w:type="fixed"/>
      <w:tblCellMar>
        <w:left w:w="0" w:type="dxa"/>
        <w:right w:w="0" w:type="dxa"/>
      </w:tblCellMar>
      <w:tblLook w:val="0000" w:firstRow="0" w:lastRow="0" w:firstColumn="0" w:lastColumn="0" w:noHBand="0" w:noVBand="0"/>
    </w:tblPr>
    <w:tblGrid>
      <w:gridCol w:w="7080"/>
      <w:gridCol w:w="2410"/>
    </w:tblGrid>
    <w:tr w:rsidR="004A40AC" w:rsidRPr="008C1343" w14:paraId="3D9A60D5" w14:textId="77777777" w:rsidTr="004A40AC">
      <w:trPr>
        <w:trHeight w:val="1191"/>
      </w:trPr>
      <w:tc>
        <w:tcPr>
          <w:tcW w:w="7080" w:type="dxa"/>
        </w:tcPr>
        <w:p w14:paraId="5373BA07" w14:textId="16CDC45C" w:rsidR="004A40AC" w:rsidRPr="004E7565" w:rsidRDefault="004A40AC" w:rsidP="00260320">
          <w:pPr>
            <w:tabs>
              <w:tab w:val="right" w:pos="7074"/>
            </w:tabs>
            <w:spacing w:before="440"/>
            <w:ind w:right="6"/>
            <w:rPr>
              <w:rFonts w:ascii="Arial Narrow" w:hAnsi="Arial Narrow"/>
              <w:spacing w:val="8"/>
            </w:rPr>
          </w:pPr>
          <w:r w:rsidRPr="004E7565">
            <w:rPr>
              <w:rFonts w:ascii="Arial Narrow" w:hAnsi="Arial Narrow"/>
              <w:b/>
              <w:bCs/>
              <w:noProof/>
              <w:spacing w:val="8"/>
              <w:lang w:val="de-DE" w:eastAsia="de-DE"/>
            </w:rPr>
            <mc:AlternateContent>
              <mc:Choice Requires="wps">
                <w:drawing>
                  <wp:anchor distT="0" distB="0" distL="114300" distR="114300" simplePos="0" relativeHeight="251665920" behindDoc="0" locked="0" layoutInCell="1" allowOverlap="1" wp14:anchorId="1E55C9A0" wp14:editId="2E688BF8">
                    <wp:simplePos x="0" y="0"/>
                    <wp:positionH relativeFrom="column">
                      <wp:posOffset>3766177</wp:posOffset>
                    </wp:positionH>
                    <wp:positionV relativeFrom="paragraph">
                      <wp:posOffset>147497</wp:posOffset>
                    </wp:positionV>
                    <wp:extent cx="730250" cy="590550"/>
                    <wp:effectExtent l="0" t="0" r="0" b="0"/>
                    <wp:wrapSquare wrapText="bothSides"/>
                    <wp:docPr id="1331234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590550"/>
                            </a:xfrm>
                            <a:prstGeom prst="rect">
                              <a:avLst/>
                            </a:prstGeom>
                            <a:solidFill>
                              <a:srgbClr val="FFFFFF"/>
                            </a:solidFill>
                            <a:ln w="9525">
                              <a:noFill/>
                              <a:miter lim="800000"/>
                              <a:headEnd/>
                              <a:tailEnd/>
                            </a:ln>
                          </wps:spPr>
                          <wps:txbx>
                            <w:txbxContent>
                              <w:p w14:paraId="2613D659" w14:textId="7308D8DC" w:rsidR="004A40AC" w:rsidRDefault="004A40AC" w:rsidP="00760D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55C9A0" id="_x0000_t202" coordsize="21600,21600" o:spt="202" path="m,l,21600r21600,l21600,xe">
                    <v:stroke joinstyle="miter"/>
                    <v:path gradientshapeok="t" o:connecttype="rect"/>
                  </v:shapetype>
                  <v:shape id="_x0000_s1045" type="#_x0000_t202" style="position:absolute;margin-left:296.55pt;margin-top:11.6pt;width:57.5pt;height:4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" stroked="f">
                    <v:textbox>
                      <w:txbxContent>
                        <w:p w14:paraId="2613D659" w14:textId="7308D8DC" w:rsidR="004A40AC" w:rsidRDefault="004A40AC" w:rsidP="00760D6D"/>
                      </w:txbxContent>
                    </v:textbox>
                    <w10:wrap type="square"/>
                  </v:shape>
                </w:pict>
              </mc:Fallback>
            </mc:AlternateContent>
          </w:r>
          <w:r w:rsidR="004E7565">
            <w:rPr>
              <w:rFonts w:ascii="Arial Narrow" w:hAnsi="Arial Narrow"/>
              <w:b/>
              <w:bCs/>
              <w:noProof/>
              <w:spacing w:val="8"/>
              <w:lang w:val="en-GB" w:eastAsia="de-DE"/>
            </w:rPr>
            <w:t>P</w:t>
          </w:r>
          <w:r w:rsidR="00FA181E">
            <w:rPr>
              <w:rFonts w:ascii="Arial Narrow" w:hAnsi="Arial Narrow"/>
              <w:b/>
              <w:bCs/>
              <w:noProof/>
              <w:spacing w:val="8"/>
              <w:lang w:val="en-GB" w:eastAsia="de-DE"/>
            </w:rPr>
            <w:t>NMIM</w:t>
          </w:r>
          <w:r w:rsidR="0031641B">
            <w:rPr>
              <w:rFonts w:ascii="Arial Narrow" w:hAnsi="Arial Narrow"/>
              <w:b/>
              <w:bCs/>
              <w:noProof/>
              <w:spacing w:val="8"/>
              <w:lang w:val="en-GB" w:eastAsia="de-DE"/>
            </w:rPr>
            <w:t xml:space="preserve"> 2025</w:t>
          </w:r>
          <w:r w:rsidR="00280F7D">
            <w:rPr>
              <w:rFonts w:ascii="Arial Narrow" w:hAnsi="Arial Narrow"/>
              <w:b/>
              <w:bCs/>
              <w:noProof/>
              <w:spacing w:val="8"/>
              <w:lang w:val="en-GB" w:eastAsia="de-DE"/>
            </w:rPr>
            <w:t xml:space="preserve"> – </w:t>
          </w:r>
          <w:r w:rsidR="0031641B">
            <w:rPr>
              <w:rFonts w:ascii="Arial Narrow" w:hAnsi="Arial Narrow"/>
              <w:b/>
              <w:bCs/>
              <w:noProof/>
              <w:spacing w:val="8"/>
              <w:lang w:val="en-GB" w:eastAsia="de-DE"/>
            </w:rPr>
            <w:t>2035</w:t>
          </w:r>
          <w:r w:rsidR="004E7565">
            <w:rPr>
              <w:rFonts w:ascii="Arial Narrow" w:hAnsi="Arial Narrow"/>
              <w:b/>
              <w:bCs/>
              <w:noProof/>
              <w:spacing w:val="8"/>
              <w:lang w:val="en-GB" w:eastAsia="de-DE"/>
            </w:rPr>
            <w:t>, Rajoni i Dukagjinit</w:t>
          </w:r>
          <w:r w:rsidRPr="004E7565">
            <w:rPr>
              <w:rFonts w:ascii="Arial Narrow" w:hAnsi="Arial Narrow"/>
              <w:b/>
              <w:spacing w:val="8"/>
            </w:rPr>
            <w:tab/>
          </w:r>
        </w:p>
      </w:tc>
      <w:tc>
        <w:tcPr>
          <w:tcW w:w="2410" w:type="dxa"/>
        </w:tcPr>
        <w:p w14:paraId="19B4868C" w14:textId="701F9ABF" w:rsidR="004A40AC" w:rsidRPr="008C1343" w:rsidRDefault="004A40AC" w:rsidP="00011D88">
          <w:pPr>
            <w:rPr>
              <w:rFonts w:ascii="Arial" w:hAnsi="Arial"/>
              <w:sz w:val="18"/>
              <w:szCs w:val="18"/>
            </w:rPr>
          </w:pPr>
        </w:p>
      </w:tc>
    </w:tr>
  </w:tbl>
  <w:p w14:paraId="3527DCC4" w14:textId="13F3D180" w:rsidR="004A40AC" w:rsidRDefault="004A40A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0" w:type="dxa"/>
      <w:tblInd w:w="8" w:type="dxa"/>
      <w:tblBorders>
        <w:bottom w:val="single" w:sz="4" w:space="0" w:color="auto"/>
      </w:tblBorders>
      <w:tblLayout w:type="fixed"/>
      <w:tblCellMar>
        <w:left w:w="0" w:type="dxa"/>
        <w:right w:w="0" w:type="dxa"/>
      </w:tblCellMar>
      <w:tblLook w:val="0000" w:firstRow="0" w:lastRow="0" w:firstColumn="0" w:lastColumn="0" w:noHBand="0" w:noVBand="0"/>
    </w:tblPr>
    <w:tblGrid>
      <w:gridCol w:w="7080"/>
      <w:gridCol w:w="2410"/>
    </w:tblGrid>
    <w:tr w:rsidR="008D325C" w:rsidRPr="008C1343" w14:paraId="6A194FEF" w14:textId="77777777" w:rsidTr="00C17C22">
      <w:trPr>
        <w:trHeight w:val="1191"/>
      </w:trPr>
      <w:tc>
        <w:tcPr>
          <w:tcW w:w="7080" w:type="dxa"/>
        </w:tcPr>
        <w:p w14:paraId="303AAAE2" w14:textId="04BD65F8" w:rsidR="008D325C" w:rsidRPr="00EA14B6" w:rsidRDefault="008D325C" w:rsidP="008D325C">
          <w:pPr>
            <w:tabs>
              <w:tab w:val="right" w:pos="7074"/>
            </w:tabs>
            <w:spacing w:before="440"/>
            <w:ind w:right="6"/>
            <w:rPr>
              <w:rFonts w:ascii="Arial Narrow" w:hAnsi="Arial Narrow"/>
              <w:spacing w:val="8"/>
            </w:rPr>
          </w:pPr>
          <w:r w:rsidRPr="00EA14B6">
            <w:rPr>
              <w:rFonts w:ascii="Arial Narrow" w:hAnsi="Arial Narrow"/>
              <w:b/>
              <w:bCs/>
              <w:noProof/>
              <w:spacing w:val="8"/>
              <w:lang w:val="de-DE" w:eastAsia="de-DE"/>
            </w:rPr>
            <mc:AlternateContent>
              <mc:Choice Requires="wps">
                <w:drawing>
                  <wp:anchor distT="0" distB="0" distL="114300" distR="114300" simplePos="0" relativeHeight="251645440" behindDoc="0" locked="0" layoutInCell="1" allowOverlap="1" wp14:anchorId="681C690D" wp14:editId="24F700C6">
                    <wp:simplePos x="0" y="0"/>
                    <wp:positionH relativeFrom="column">
                      <wp:posOffset>3766177</wp:posOffset>
                    </wp:positionH>
                    <wp:positionV relativeFrom="paragraph">
                      <wp:posOffset>147497</wp:posOffset>
                    </wp:positionV>
                    <wp:extent cx="730250" cy="5905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590550"/>
                            </a:xfrm>
                            <a:prstGeom prst="rect">
                              <a:avLst/>
                            </a:prstGeom>
                            <a:solidFill>
                              <a:srgbClr val="FFFFFF"/>
                            </a:solidFill>
                            <a:ln w="9525">
                              <a:noFill/>
                              <a:miter lim="800000"/>
                              <a:headEnd/>
                              <a:tailEnd/>
                            </a:ln>
                          </wps:spPr>
                          <wps:txbx>
                            <w:txbxContent>
                              <w:p w14:paraId="283AEB50" w14:textId="08C04E58" w:rsidR="008D325C" w:rsidRDefault="008D325C" w:rsidP="008D32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1C690D" id="_x0000_t202" coordsize="21600,21600" o:spt="202" path="m,l,21600r21600,l21600,xe">
                    <v:stroke joinstyle="miter"/>
                    <v:path gradientshapeok="t" o:connecttype="rect"/>
                  </v:shapetype>
                  <v:shape id="_x0000_s1046" type="#_x0000_t202" style="position:absolute;margin-left:296.55pt;margin-top:11.6pt;width:57.5pt;height:4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" stroked="f">
                    <v:textbox>
                      <w:txbxContent>
                        <w:p w14:paraId="283AEB50" w14:textId="08C04E58" w:rsidR="008D325C" w:rsidRDefault="008D325C" w:rsidP="008D325C"/>
                      </w:txbxContent>
                    </v:textbox>
                    <w10:wrap type="square"/>
                  </v:shape>
                </w:pict>
              </mc:Fallback>
            </mc:AlternateContent>
          </w:r>
          <w:r w:rsidR="004E7565" w:rsidRPr="00EA14B6">
            <w:rPr>
              <w:rFonts w:ascii="Arial Narrow" w:hAnsi="Arial Narrow"/>
              <w:b/>
              <w:bCs/>
              <w:noProof/>
              <w:spacing w:val="8"/>
              <w:lang w:val="en-GB" w:eastAsia="de-DE"/>
            </w:rPr>
            <w:t>P</w:t>
          </w:r>
          <w:r w:rsidR="0030347F">
            <w:rPr>
              <w:rFonts w:ascii="Arial Narrow" w:hAnsi="Arial Narrow"/>
              <w:b/>
              <w:bCs/>
              <w:noProof/>
              <w:spacing w:val="8"/>
              <w:lang w:val="en-GB" w:eastAsia="de-DE"/>
            </w:rPr>
            <w:t>NMIM</w:t>
          </w:r>
          <w:r w:rsidR="004E7565" w:rsidRPr="00EA14B6">
            <w:rPr>
              <w:rFonts w:ascii="Arial Narrow" w:hAnsi="Arial Narrow"/>
              <w:b/>
              <w:bCs/>
              <w:noProof/>
              <w:spacing w:val="8"/>
              <w:lang w:val="en-GB" w:eastAsia="de-DE"/>
            </w:rPr>
            <w:t>, Rajoni i Dukagjinit</w:t>
          </w:r>
          <w:r w:rsidRPr="00EA14B6">
            <w:rPr>
              <w:rFonts w:ascii="Arial Narrow" w:hAnsi="Arial Narrow"/>
              <w:b/>
              <w:spacing w:val="8"/>
            </w:rPr>
            <w:tab/>
          </w:r>
        </w:p>
      </w:tc>
      <w:tc>
        <w:tcPr>
          <w:tcW w:w="2410" w:type="dxa"/>
        </w:tcPr>
        <w:p w14:paraId="55BA609D" w14:textId="548A4030" w:rsidR="008D325C" w:rsidRPr="008C1343" w:rsidRDefault="008D325C" w:rsidP="008D325C">
          <w:pPr>
            <w:rPr>
              <w:rFonts w:ascii="Arial" w:hAnsi="Arial"/>
              <w:sz w:val="18"/>
              <w:szCs w:val="18"/>
            </w:rPr>
          </w:pPr>
        </w:p>
      </w:tc>
    </w:tr>
  </w:tbl>
  <w:p w14:paraId="485368C8" w14:textId="77777777" w:rsidR="004A40AC" w:rsidRDefault="004A40A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0" w:type="dxa"/>
      <w:tblInd w:w="8" w:type="dxa"/>
      <w:tblBorders>
        <w:bottom w:val="single" w:sz="4" w:space="0" w:color="auto"/>
      </w:tblBorders>
      <w:tblLayout w:type="fixed"/>
      <w:tblCellMar>
        <w:left w:w="0" w:type="dxa"/>
        <w:right w:w="0" w:type="dxa"/>
      </w:tblCellMar>
      <w:tblLook w:val="0000" w:firstRow="0" w:lastRow="0" w:firstColumn="0" w:lastColumn="0" w:noHBand="0" w:noVBand="0"/>
    </w:tblPr>
    <w:tblGrid>
      <w:gridCol w:w="7080"/>
      <w:gridCol w:w="2410"/>
    </w:tblGrid>
    <w:tr w:rsidR="00DA3562" w:rsidRPr="008C1343" w14:paraId="5B3201F2" w14:textId="77777777" w:rsidTr="00C17C22">
      <w:trPr>
        <w:trHeight w:val="1191"/>
      </w:trPr>
      <w:tc>
        <w:tcPr>
          <w:tcW w:w="7080" w:type="dxa"/>
        </w:tcPr>
        <w:p w14:paraId="19D02FB2" w14:textId="70037E4D" w:rsidR="00DA3562" w:rsidRPr="00EA14B6" w:rsidRDefault="00DA3562" w:rsidP="00DA3562">
          <w:pPr>
            <w:tabs>
              <w:tab w:val="right" w:pos="7074"/>
            </w:tabs>
            <w:spacing w:before="440"/>
            <w:ind w:right="6"/>
            <w:rPr>
              <w:rFonts w:ascii="Arial Narrow" w:hAnsi="Arial Narrow"/>
              <w:spacing w:val="8"/>
            </w:rPr>
          </w:pPr>
          <w:r w:rsidRPr="00EA14B6">
            <w:rPr>
              <w:rFonts w:ascii="Arial Narrow" w:hAnsi="Arial Narrow"/>
              <w:b/>
              <w:bCs/>
              <w:noProof/>
              <w:spacing w:val="8"/>
              <w:lang w:val="de-DE" w:eastAsia="de-DE"/>
            </w:rPr>
            <mc:AlternateContent>
              <mc:Choice Requires="wps">
                <w:drawing>
                  <wp:anchor distT="0" distB="0" distL="114300" distR="114300" simplePos="0" relativeHeight="251643392" behindDoc="0" locked="0" layoutInCell="1" allowOverlap="1" wp14:anchorId="288176A2" wp14:editId="09B0F6E7">
                    <wp:simplePos x="0" y="0"/>
                    <wp:positionH relativeFrom="column">
                      <wp:posOffset>3766177</wp:posOffset>
                    </wp:positionH>
                    <wp:positionV relativeFrom="paragraph">
                      <wp:posOffset>147497</wp:posOffset>
                    </wp:positionV>
                    <wp:extent cx="730250" cy="59055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590550"/>
                            </a:xfrm>
                            <a:prstGeom prst="rect">
                              <a:avLst/>
                            </a:prstGeom>
                            <a:solidFill>
                              <a:srgbClr val="FFFFFF"/>
                            </a:solidFill>
                            <a:ln w="9525">
                              <a:noFill/>
                              <a:miter lim="800000"/>
                              <a:headEnd/>
                              <a:tailEnd/>
                            </a:ln>
                          </wps:spPr>
                          <wps:txbx>
                            <w:txbxContent>
                              <w:p w14:paraId="7981151C" w14:textId="357477EB" w:rsidR="00DA3562" w:rsidRDefault="00DA3562" w:rsidP="00DA35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8176A2" id="_x0000_t202" coordsize="21600,21600" o:spt="202" path="m,l,21600r21600,l21600,xe">
                    <v:stroke joinstyle="miter"/>
                    <v:path gradientshapeok="t" o:connecttype="rect"/>
                  </v:shapetype>
                  <v:shape id="_x0000_s1047" type="#_x0000_t202" style="position:absolute;margin-left:296.55pt;margin-top:11.6pt;width:57.5pt;height:4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" stroked="f">
                    <v:textbox>
                      <w:txbxContent>
                        <w:p w14:paraId="7981151C" w14:textId="357477EB" w:rsidR="00DA3562" w:rsidRDefault="00DA3562" w:rsidP="00DA3562"/>
                      </w:txbxContent>
                    </v:textbox>
                    <w10:wrap type="square"/>
                  </v:shape>
                </w:pict>
              </mc:Fallback>
            </mc:AlternateContent>
          </w:r>
          <w:r w:rsidR="004E7565" w:rsidRPr="00EA14B6">
            <w:rPr>
              <w:rFonts w:ascii="Arial Narrow" w:hAnsi="Arial Narrow"/>
              <w:b/>
              <w:bCs/>
              <w:noProof/>
              <w:spacing w:val="8"/>
              <w:lang w:val="en-GB" w:eastAsia="de-DE"/>
            </w:rPr>
            <w:t>P</w:t>
          </w:r>
          <w:r w:rsidR="00FA181E">
            <w:rPr>
              <w:rFonts w:ascii="Arial Narrow" w:hAnsi="Arial Narrow"/>
              <w:b/>
              <w:bCs/>
              <w:noProof/>
              <w:spacing w:val="8"/>
              <w:lang w:val="en-GB" w:eastAsia="de-DE"/>
            </w:rPr>
            <w:t>NMIM</w:t>
          </w:r>
          <w:r w:rsidR="004E7565" w:rsidRPr="00EA14B6">
            <w:rPr>
              <w:rFonts w:ascii="Arial Narrow" w:hAnsi="Arial Narrow"/>
              <w:b/>
              <w:bCs/>
              <w:noProof/>
              <w:spacing w:val="8"/>
              <w:lang w:val="en-GB" w:eastAsia="de-DE"/>
            </w:rPr>
            <w:t>, Rajoni i Dukagjinit</w:t>
          </w:r>
          <w:r w:rsidRPr="00EA14B6">
            <w:rPr>
              <w:rFonts w:ascii="Arial Narrow" w:hAnsi="Arial Narrow"/>
              <w:b/>
              <w:spacing w:val="8"/>
            </w:rPr>
            <w:tab/>
          </w:r>
        </w:p>
      </w:tc>
      <w:tc>
        <w:tcPr>
          <w:tcW w:w="2410" w:type="dxa"/>
        </w:tcPr>
        <w:p w14:paraId="62C2833F" w14:textId="50293FEC" w:rsidR="00DA3562" w:rsidRPr="008C1343" w:rsidRDefault="00DA3562" w:rsidP="00DA3562">
          <w:pPr>
            <w:rPr>
              <w:rFonts w:ascii="Arial" w:hAnsi="Arial"/>
              <w:sz w:val="18"/>
              <w:szCs w:val="18"/>
            </w:rPr>
          </w:pPr>
        </w:p>
      </w:tc>
    </w:tr>
  </w:tbl>
  <w:p w14:paraId="6123F07B" w14:textId="77777777" w:rsidR="004A40AC" w:rsidRPr="00DA3562" w:rsidRDefault="004A40AC">
    <w:pPr>
      <w:pStyle w:val="Header"/>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8" w:type="dxa"/>
      <w:tblBorders>
        <w:bottom w:val="single" w:sz="4" w:space="0" w:color="auto"/>
      </w:tblBorders>
      <w:tblLayout w:type="fixed"/>
      <w:tblCellMar>
        <w:left w:w="0" w:type="dxa"/>
        <w:right w:w="0" w:type="dxa"/>
      </w:tblCellMar>
      <w:tblLook w:val="0000" w:firstRow="0" w:lastRow="0" w:firstColumn="0" w:lastColumn="0" w:noHBand="0" w:noVBand="0"/>
    </w:tblPr>
    <w:tblGrid>
      <w:gridCol w:w="9669"/>
      <w:gridCol w:w="3291"/>
    </w:tblGrid>
    <w:tr w:rsidR="005250AA" w:rsidRPr="008C1343" w14:paraId="0F3029A5" w14:textId="77777777" w:rsidTr="006C0E7D">
      <w:trPr>
        <w:trHeight w:val="1191"/>
      </w:trPr>
      <w:tc>
        <w:tcPr>
          <w:tcW w:w="7080" w:type="dxa"/>
        </w:tcPr>
        <w:p w14:paraId="4CC7E9F5" w14:textId="222FFF41" w:rsidR="005250AA" w:rsidRPr="004E7565" w:rsidRDefault="005250AA" w:rsidP="00DA3562">
          <w:pPr>
            <w:tabs>
              <w:tab w:val="right" w:pos="7074"/>
            </w:tabs>
            <w:spacing w:before="440"/>
            <w:ind w:right="6"/>
            <w:rPr>
              <w:rFonts w:ascii="Arial Narrow" w:hAnsi="Arial Narrow"/>
              <w:spacing w:val="8"/>
            </w:rPr>
          </w:pPr>
          <w:r w:rsidRPr="004E7565">
            <w:rPr>
              <w:rFonts w:ascii="Arial Narrow" w:hAnsi="Arial Narrow"/>
              <w:b/>
              <w:bCs/>
              <w:noProof/>
              <w:spacing w:val="8"/>
              <w:lang w:val="de-DE" w:eastAsia="de-DE"/>
            </w:rPr>
            <mc:AlternateContent>
              <mc:Choice Requires="wps">
                <w:drawing>
                  <wp:anchor distT="0" distB="0" distL="114300" distR="114300" simplePos="0" relativeHeight="251661312" behindDoc="0" locked="0" layoutInCell="1" allowOverlap="1" wp14:anchorId="16943495" wp14:editId="4EB1F771">
                    <wp:simplePos x="0" y="0"/>
                    <wp:positionH relativeFrom="column">
                      <wp:posOffset>3766177</wp:posOffset>
                    </wp:positionH>
                    <wp:positionV relativeFrom="paragraph">
                      <wp:posOffset>147497</wp:posOffset>
                    </wp:positionV>
                    <wp:extent cx="730250" cy="59055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590550"/>
                            </a:xfrm>
                            <a:prstGeom prst="rect">
                              <a:avLst/>
                            </a:prstGeom>
                            <a:solidFill>
                              <a:srgbClr val="FFFFFF"/>
                            </a:solidFill>
                            <a:ln w="9525">
                              <a:noFill/>
                              <a:miter lim="800000"/>
                              <a:headEnd/>
                              <a:tailEnd/>
                            </a:ln>
                          </wps:spPr>
                          <wps:txbx>
                            <w:txbxContent>
                              <w:p w14:paraId="2801ACAB" w14:textId="77777777" w:rsidR="005250AA" w:rsidRDefault="005250AA" w:rsidP="00DA3562">
                                <w:r w:rsidRPr="005E0261">
                                  <w:rPr>
                                    <w:rFonts w:ascii="Calibri" w:eastAsia="Calibri" w:hAnsi="Calibri" w:cs="Calibri"/>
                                    <w:noProof/>
                                    <w:sz w:val="22"/>
                                    <w:szCs w:val="22"/>
                                  </w:rPr>
                                  <w:drawing>
                                    <wp:inline distT="0" distB="0" distL="0" distR="0" wp14:anchorId="24CD0E4E" wp14:editId="69AA7E9B">
                                      <wp:extent cx="533400" cy="476549"/>
                                      <wp:effectExtent l="0" t="0" r="0" b="0"/>
                                      <wp:docPr id="2147197120" name="Picture 18" descr="A picture containing shape&#10;&#10;Description automatically generated">
                                        <a:extLst xmlns:a="http://schemas.openxmlformats.org/drawingml/2006/main">
                                          <a:ext uri="{FF2B5EF4-FFF2-40B4-BE49-F238E27FC236}">
                                            <a16:creationId xmlns:a16="http://schemas.microsoft.com/office/drawing/2014/main" id="{D8BC288A-43F8-471F-B5B6-1983F37E00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icture containing shape&#10;&#10;Description automatically generated">
                                                <a:extLst>
                                                  <a:ext uri="{FF2B5EF4-FFF2-40B4-BE49-F238E27FC236}">
                                                    <a16:creationId xmlns:a16="http://schemas.microsoft.com/office/drawing/2014/main" id="{D8BC288A-43F8-471F-B5B6-1983F37E0027}"/>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3400" cy="47654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943495" id="_x0000_t202" coordsize="21600,21600" o:spt="202" path="m,l,21600r21600,l21600,xe">
                    <v:stroke joinstyle="miter"/>
                    <v:path gradientshapeok="t" o:connecttype="rect"/>
                  </v:shapetype>
                  <v:shape id="_x0000_s1048" type="#_x0000_t202" style="position:absolute;margin-left:296.55pt;margin-top:11.6pt;width:57.5pt;height: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" stroked="f">
                    <v:textbox>
                      <w:txbxContent>
                        <w:p w14:paraId="2801ACAB" w14:textId="77777777" w:rsidR="005250AA" w:rsidRDefault="005250AA" w:rsidP="00DA3562">
                          <w:r w:rsidRPr="005E0261">
                            <w:rPr>
                              <w:rFonts w:ascii="Calibri" w:eastAsia="Calibri" w:hAnsi="Calibri" w:cs="Calibri"/>
                              <w:noProof/>
                              <w:sz w:val="22"/>
                              <w:szCs w:val="22"/>
                            </w:rPr>
                            <w:drawing>
                              <wp:inline distT="0" distB="0" distL="0" distR="0" wp14:anchorId="24CD0E4E" wp14:editId="69AA7E9B">
                                <wp:extent cx="533400" cy="476549"/>
                                <wp:effectExtent l="0" t="0" r="0" b="0"/>
                                <wp:docPr id="2147197120" name="Picture 18" descr="A picture containing shape&#10;&#10;Description automatically generated">
                                  <a:extLst xmlns:a="http://schemas.openxmlformats.org/drawingml/2006/main">
                                    <a:ext uri="{FF2B5EF4-FFF2-40B4-BE49-F238E27FC236}">
                                      <a16:creationId xmlns:a16="http://schemas.microsoft.com/office/drawing/2014/main" id="{D8BC288A-43F8-471F-B5B6-1983F37E00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icture containing shape&#10;&#10;Description automatically generated">
                                          <a:extLst>
                                            <a:ext uri="{FF2B5EF4-FFF2-40B4-BE49-F238E27FC236}">
                                              <a16:creationId xmlns:a16="http://schemas.microsoft.com/office/drawing/2014/main" id="{D8BC288A-43F8-471F-B5B6-1983F37E0027}"/>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3400" cy="476549"/>
                                        </a:xfrm>
                                        <a:prstGeom prst="rect">
                                          <a:avLst/>
                                        </a:prstGeom>
                                      </pic:spPr>
                                    </pic:pic>
                                  </a:graphicData>
                                </a:graphic>
                              </wp:inline>
                            </w:drawing>
                          </w:r>
                        </w:p>
                      </w:txbxContent>
                    </v:textbox>
                    <w10:wrap type="square"/>
                  </v:shape>
                </w:pict>
              </mc:Fallback>
            </mc:AlternateContent>
          </w:r>
          <w:r w:rsidR="004E7565" w:rsidRPr="004E7565">
            <w:rPr>
              <w:rFonts w:ascii="Arial Narrow" w:hAnsi="Arial Narrow"/>
              <w:b/>
              <w:bCs/>
              <w:noProof/>
              <w:spacing w:val="8"/>
              <w:lang w:val="en-GB" w:eastAsia="de-DE"/>
            </w:rPr>
            <w:t>P</w:t>
          </w:r>
          <w:r w:rsidR="0030347F">
            <w:rPr>
              <w:rFonts w:ascii="Arial Narrow" w:hAnsi="Arial Narrow"/>
              <w:b/>
              <w:bCs/>
              <w:noProof/>
              <w:spacing w:val="8"/>
              <w:lang w:val="en-GB" w:eastAsia="de-DE"/>
            </w:rPr>
            <w:t>NMIM</w:t>
          </w:r>
          <w:r w:rsidR="004E7565" w:rsidRPr="004E7565">
            <w:rPr>
              <w:rFonts w:ascii="Arial Narrow" w:hAnsi="Arial Narrow"/>
              <w:b/>
              <w:bCs/>
              <w:noProof/>
              <w:spacing w:val="8"/>
              <w:lang w:val="en-GB" w:eastAsia="de-DE"/>
            </w:rPr>
            <w:t>, Rajoni i Dukagjinit</w:t>
          </w:r>
          <w:r w:rsidRPr="004E7565">
            <w:rPr>
              <w:rFonts w:ascii="Arial Narrow" w:hAnsi="Arial Narrow"/>
              <w:b/>
              <w:spacing w:val="8"/>
            </w:rPr>
            <w:tab/>
          </w:r>
        </w:p>
      </w:tc>
      <w:tc>
        <w:tcPr>
          <w:tcW w:w="2410" w:type="dxa"/>
        </w:tcPr>
        <w:p w14:paraId="2C673A31" w14:textId="77777777" w:rsidR="005250AA" w:rsidRPr="008C1343" w:rsidRDefault="005250AA" w:rsidP="00DA3562">
          <w:pPr>
            <w:rPr>
              <w:rFonts w:ascii="Arial" w:hAnsi="Arial"/>
              <w:sz w:val="18"/>
              <w:szCs w:val="18"/>
            </w:rPr>
          </w:pPr>
          <w:r w:rsidRPr="008C1343">
            <w:rPr>
              <w:noProof/>
              <w:lang w:val="de-DE" w:eastAsia="de-DE"/>
            </w:rPr>
            <w:drawing>
              <wp:anchor distT="0" distB="0" distL="114300" distR="114300" simplePos="0" relativeHeight="251660288" behindDoc="0" locked="0" layoutInCell="1" allowOverlap="1" wp14:anchorId="1C6E968D" wp14:editId="5992534C">
                <wp:simplePos x="0" y="0"/>
                <wp:positionH relativeFrom="column">
                  <wp:posOffset>3416</wp:posOffset>
                </wp:positionH>
                <wp:positionV relativeFrom="paragraph">
                  <wp:posOffset>197067</wp:posOffset>
                </wp:positionV>
                <wp:extent cx="1197429" cy="336077"/>
                <wp:effectExtent l="0" t="0" r="3175" b="6985"/>
                <wp:wrapNone/>
                <wp:docPr id="31" name="Grafik 38" descr="https://www.icwe.net/icwe/wp-content/uploads/2020/06/giz-standa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cwe.net/icwe/wp-content/uploads/2020/06/giz-standard-logo.png"/>
                        <pic:cNvPicPr>
                          <a:picLocks noChangeAspect="1" noChangeArrowheads="1"/>
                        </pic:cNvPicPr>
                      </pic:nvPicPr>
                      <pic:blipFill rotWithShape="1">
                        <a:blip r:embed="rId2">
                          <a:extLst>
                            <a:ext uri="{28A0092B-C50C-407E-A947-70E740481C1C}">
                              <a14:useLocalDpi xmlns:a14="http://schemas.microsoft.com/office/drawing/2010/main" val="0"/>
                            </a:ext>
                          </a:extLst>
                        </a:blip>
                        <a:srcRect t="37343" r="9943" b="13720"/>
                        <a:stretch/>
                      </pic:blipFill>
                      <pic:spPr bwMode="auto">
                        <a:xfrm>
                          <a:off x="0" y="0"/>
                          <a:ext cx="1197429" cy="3360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5BA4920" w14:textId="77777777" w:rsidR="005250AA" w:rsidRPr="00DA3562" w:rsidRDefault="005250AA">
    <w:pPr>
      <w:pStyle w:val="Header"/>
      <w:rPr>
        <w:lang w:val="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C7098" w14:textId="77777777" w:rsidR="0030347F" w:rsidRDefault="0030347F"/>
  <w:tbl>
    <w:tblPr>
      <w:tblW w:w="9490" w:type="dxa"/>
      <w:tblInd w:w="8" w:type="dxa"/>
      <w:tblBorders>
        <w:bottom w:val="single" w:sz="4" w:space="0" w:color="auto"/>
      </w:tblBorders>
      <w:tblLayout w:type="fixed"/>
      <w:tblCellMar>
        <w:left w:w="0" w:type="dxa"/>
        <w:right w:w="0" w:type="dxa"/>
      </w:tblCellMar>
      <w:tblLook w:val="0000" w:firstRow="0" w:lastRow="0" w:firstColumn="0" w:lastColumn="0" w:noHBand="0" w:noVBand="0"/>
    </w:tblPr>
    <w:tblGrid>
      <w:gridCol w:w="7080"/>
      <w:gridCol w:w="2410"/>
    </w:tblGrid>
    <w:tr w:rsidR="00430A79" w:rsidRPr="008C1343" w14:paraId="3F13B855" w14:textId="77777777" w:rsidTr="00C17C22">
      <w:trPr>
        <w:trHeight w:val="1191"/>
      </w:trPr>
      <w:tc>
        <w:tcPr>
          <w:tcW w:w="7080" w:type="dxa"/>
        </w:tcPr>
        <w:p w14:paraId="71B0640D" w14:textId="263C6F19" w:rsidR="00430A79" w:rsidRPr="00EA14B6" w:rsidRDefault="0030347F" w:rsidP="008D325C">
          <w:pPr>
            <w:tabs>
              <w:tab w:val="right" w:pos="7074"/>
            </w:tabs>
            <w:spacing w:before="440"/>
            <w:ind w:right="6"/>
            <w:rPr>
              <w:rFonts w:ascii="Arial Narrow" w:hAnsi="Arial Narrow"/>
              <w:spacing w:val="8"/>
            </w:rPr>
          </w:pPr>
          <w:r>
            <w:rPr>
              <w:rFonts w:ascii="Arial Narrow" w:hAnsi="Arial Narrow"/>
              <w:b/>
              <w:bCs/>
              <w:noProof/>
              <w:spacing w:val="8"/>
              <w:lang w:val="de-DE" w:eastAsia="de-DE"/>
            </w:rPr>
            <w:t>PNMIM</w:t>
          </w:r>
          <w:r w:rsidR="00EA14B6" w:rsidRPr="00EA14B6">
            <w:rPr>
              <w:rFonts w:ascii="Arial Narrow" w:hAnsi="Arial Narrow"/>
              <w:b/>
              <w:bCs/>
              <w:noProof/>
              <w:spacing w:val="8"/>
              <w:lang w:val="de-DE" w:eastAsia="de-DE"/>
            </w:rPr>
            <w:t>, Rajoni i Dukagjinit</w:t>
          </w:r>
          <w:r w:rsidR="00750949">
            <w:rPr>
              <w:rFonts w:ascii="Arial Narrow" w:hAnsi="Arial Narrow"/>
              <w:b/>
              <w:spacing w:val="8"/>
            </w:rPr>
            <w:t xml:space="preserve">                                                          </w:t>
          </w:r>
        </w:p>
      </w:tc>
      <w:tc>
        <w:tcPr>
          <w:tcW w:w="2410" w:type="dxa"/>
        </w:tcPr>
        <w:p w14:paraId="16FB3B04" w14:textId="1C7504E4" w:rsidR="00430A79" w:rsidRPr="008C1343" w:rsidRDefault="00750949" w:rsidP="008D325C">
          <w:pPr>
            <w:rPr>
              <w:rFonts w:ascii="Arial" w:hAnsi="Arial"/>
              <w:sz w:val="18"/>
              <w:szCs w:val="18"/>
            </w:rPr>
          </w:pPr>
          <w:r>
            <w:rPr>
              <w:rFonts w:ascii="Arial" w:hAnsi="Arial"/>
              <w:sz w:val="18"/>
              <w:szCs w:val="18"/>
            </w:rPr>
            <w:t xml:space="preserve">          </w:t>
          </w:r>
        </w:p>
      </w:tc>
    </w:tr>
  </w:tbl>
  <w:p w14:paraId="72937156" w14:textId="77777777" w:rsidR="00430A79" w:rsidRDefault="00430A7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0" w:type="dxa"/>
      <w:tblInd w:w="8" w:type="dxa"/>
      <w:tblBorders>
        <w:bottom w:val="single" w:sz="4" w:space="0" w:color="auto"/>
      </w:tblBorders>
      <w:tblLayout w:type="fixed"/>
      <w:tblCellMar>
        <w:left w:w="0" w:type="dxa"/>
        <w:right w:w="0" w:type="dxa"/>
      </w:tblCellMar>
      <w:tblLook w:val="0000" w:firstRow="0" w:lastRow="0" w:firstColumn="0" w:lastColumn="0" w:noHBand="0" w:noVBand="0"/>
    </w:tblPr>
    <w:tblGrid>
      <w:gridCol w:w="7080"/>
      <w:gridCol w:w="2410"/>
    </w:tblGrid>
    <w:tr w:rsidR="007D1EDC" w:rsidRPr="008C1343" w14:paraId="7259D60A" w14:textId="77777777" w:rsidTr="00127961">
      <w:trPr>
        <w:trHeight w:val="1191"/>
      </w:trPr>
      <w:tc>
        <w:tcPr>
          <w:tcW w:w="7080" w:type="dxa"/>
        </w:tcPr>
        <w:p w14:paraId="55C273C4" w14:textId="094B1CFD" w:rsidR="007D1EDC" w:rsidRPr="0055708F" w:rsidRDefault="0055708F" w:rsidP="008D325C">
          <w:pPr>
            <w:tabs>
              <w:tab w:val="right" w:pos="7074"/>
            </w:tabs>
            <w:spacing w:before="440"/>
            <w:ind w:right="6"/>
            <w:rPr>
              <w:rFonts w:ascii="Arial Narrow" w:hAnsi="Arial Narrow"/>
              <w:spacing w:val="8"/>
            </w:rPr>
          </w:pPr>
          <w:r w:rsidRPr="0055708F">
            <w:rPr>
              <w:rFonts w:ascii="Arial Narrow" w:hAnsi="Arial Narrow"/>
              <w:b/>
              <w:bCs/>
              <w:noProof/>
              <w:spacing w:val="8"/>
              <w:lang w:eastAsia="de-DE"/>
            </w:rPr>
            <w:t>PNMIM</w:t>
          </w:r>
          <w:r w:rsidR="00EA14B6" w:rsidRPr="0055708F">
            <w:rPr>
              <w:rFonts w:ascii="Arial Narrow" w:hAnsi="Arial Narrow"/>
              <w:b/>
              <w:bCs/>
              <w:noProof/>
              <w:spacing w:val="8"/>
              <w:lang w:eastAsia="de-DE"/>
            </w:rPr>
            <w:t>, Rajoni i Dukagjinit</w:t>
          </w:r>
          <w:r w:rsidR="00750949" w:rsidRPr="0055708F">
            <w:rPr>
              <w:rFonts w:ascii="Arial Narrow" w:hAnsi="Arial Narrow"/>
              <w:b/>
              <w:spacing w:val="8"/>
            </w:rPr>
            <w:t xml:space="preserve">     </w:t>
          </w:r>
          <w:r w:rsidR="00750949" w:rsidRPr="0055708F">
            <w:rPr>
              <w:rFonts w:ascii="Arial Narrow" w:hAnsi="Arial Narrow"/>
              <w:spacing w:val="8"/>
            </w:rPr>
            <w:t xml:space="preserve">                                          </w:t>
          </w:r>
        </w:p>
      </w:tc>
      <w:tc>
        <w:tcPr>
          <w:tcW w:w="2410" w:type="dxa"/>
        </w:tcPr>
        <w:p w14:paraId="1FE01387" w14:textId="21A3D1EE" w:rsidR="007D1EDC" w:rsidRPr="008C1343" w:rsidRDefault="007D1EDC" w:rsidP="008D325C">
          <w:pPr>
            <w:rPr>
              <w:rFonts w:ascii="Arial" w:hAnsi="Arial"/>
              <w:sz w:val="18"/>
              <w:szCs w:val="18"/>
            </w:rPr>
          </w:pPr>
        </w:p>
      </w:tc>
    </w:tr>
  </w:tbl>
  <w:p w14:paraId="7B754014" w14:textId="77777777" w:rsidR="007D1EDC" w:rsidRDefault="007D1EDC"/>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7269B"/>
    <w:multiLevelType w:val="hybridMultilevel"/>
    <w:tmpl w:val="62C4529C"/>
    <w:lvl w:ilvl="0" w:tplc="CA28DCAE">
      <w:start w:val="1"/>
      <w:numFmt w:val="decimal"/>
      <w:lvlText w:val="4.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06D11B0"/>
    <w:multiLevelType w:val="hybridMultilevel"/>
    <w:tmpl w:val="68560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8F4E27"/>
    <w:multiLevelType w:val="hybridMultilevel"/>
    <w:tmpl w:val="F648F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C7D35"/>
    <w:multiLevelType w:val="hybridMultilevel"/>
    <w:tmpl w:val="DF4617A6"/>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AE7B89"/>
    <w:multiLevelType w:val="hybridMultilevel"/>
    <w:tmpl w:val="0ADAA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D61A4B"/>
    <w:multiLevelType w:val="hybridMultilevel"/>
    <w:tmpl w:val="E85A7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395157"/>
    <w:multiLevelType w:val="hybridMultilevel"/>
    <w:tmpl w:val="9344303E"/>
    <w:lvl w:ilvl="0" w:tplc="3C107B14">
      <w:start w:val="3"/>
      <w:numFmt w:val="bullet"/>
      <w:pStyle w:val="strich"/>
      <w:lvlText w:val="-"/>
      <w:lvlJc w:val="left"/>
      <w:pPr>
        <w:ind w:left="720" w:hanging="360"/>
      </w:pPr>
      <w:rPr>
        <w:rFonts w:ascii="Arial Narrow" w:eastAsia="Arial Narrow" w:hAnsi="Arial Narrow" w:cs="Arial Narrow" w:hint="default"/>
        <w:b/>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467B62"/>
    <w:multiLevelType w:val="hybridMultilevel"/>
    <w:tmpl w:val="88884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681961"/>
    <w:multiLevelType w:val="hybridMultilevel"/>
    <w:tmpl w:val="BB86B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6F421F"/>
    <w:multiLevelType w:val="hybridMultilevel"/>
    <w:tmpl w:val="D3725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F77F4C"/>
    <w:multiLevelType w:val="hybridMultilevel"/>
    <w:tmpl w:val="AAFE81CA"/>
    <w:lvl w:ilvl="0" w:tplc="FFFFFFFF">
      <w:start w:val="1"/>
      <w:numFmt w:val="bullet"/>
      <w:lvlText w:val=""/>
      <w:lvlJc w:val="left"/>
      <w:pPr>
        <w:ind w:left="720" w:hanging="360"/>
      </w:pPr>
      <w:rPr>
        <w:rFonts w:ascii="Symbol" w:hAnsi="Symbol" w:hint="default"/>
      </w:rPr>
    </w:lvl>
    <w:lvl w:ilvl="1" w:tplc="1F2C3B76">
      <w:start w:val="1"/>
      <w:numFmt w:val="bullet"/>
      <w:lvlText w:val=""/>
      <w:lvlJc w:val="left"/>
      <w:pPr>
        <w:ind w:left="1440" w:hanging="360"/>
      </w:pPr>
      <w:rPr>
        <w:rFonts w:ascii="Symbol" w:hAnsi="Symbol" w:cs="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95F7FC9"/>
    <w:multiLevelType w:val="hybridMultilevel"/>
    <w:tmpl w:val="23DAA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0F2B6B"/>
    <w:multiLevelType w:val="multilevel"/>
    <w:tmpl w:val="F9BEA01A"/>
    <w:lvl w:ilvl="0">
      <w:start w:val="1"/>
      <w:numFmt w:val="decimal"/>
      <w:lvlText w:val="%1"/>
      <w:lvlJc w:val="left"/>
      <w:pPr>
        <w:ind w:left="660" w:hanging="660"/>
      </w:pPr>
      <w:rPr>
        <w:rFonts w:hint="default"/>
      </w:rPr>
    </w:lvl>
    <w:lvl w:ilvl="1">
      <w:start w:val="2"/>
      <w:numFmt w:val="decimal"/>
      <w:lvlText w:val="%1.%2"/>
      <w:lvlJc w:val="left"/>
      <w:pPr>
        <w:ind w:left="1140" w:hanging="660"/>
      </w:pPr>
      <w:rPr>
        <w:rFonts w:hint="default"/>
      </w:rPr>
    </w:lvl>
    <w:lvl w:ilvl="2">
      <w:start w:val="2"/>
      <w:numFmt w:val="decimal"/>
      <w:lvlText w:val="%1.%2.%3"/>
      <w:lvlJc w:val="left"/>
      <w:pPr>
        <w:ind w:left="1680" w:hanging="720"/>
      </w:pPr>
      <w:rPr>
        <w:rFonts w:hint="default"/>
      </w:rPr>
    </w:lvl>
    <w:lvl w:ilvl="3">
      <w:start w:val="1"/>
      <w:numFmt w:val="decimal"/>
      <w:pStyle w:val="Heading4"/>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3" w15:restartNumberingAfterBreak="0">
    <w:nsid w:val="21B256F4"/>
    <w:multiLevelType w:val="hybridMultilevel"/>
    <w:tmpl w:val="39C0E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CE1CB3"/>
    <w:multiLevelType w:val="hybridMultilevel"/>
    <w:tmpl w:val="91ACD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2003F3"/>
    <w:multiLevelType w:val="hybridMultilevel"/>
    <w:tmpl w:val="C9F07286"/>
    <w:lvl w:ilvl="0" w:tplc="C166E3A6">
      <w:start w:val="1"/>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33B2E84"/>
    <w:multiLevelType w:val="hybridMultilevel"/>
    <w:tmpl w:val="8FA2AA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AF09FB"/>
    <w:multiLevelType w:val="hybridMultilevel"/>
    <w:tmpl w:val="1A3E261C"/>
    <w:lvl w:ilvl="0" w:tplc="852A2AE4">
      <w:start w:val="1"/>
      <w:numFmt w:val="bullet"/>
      <w:pStyle w:val="Bullet"/>
      <w:lvlText w:val=""/>
      <w:lvlJc w:val="left"/>
      <w:pPr>
        <w:ind w:left="720" w:hanging="360"/>
      </w:pPr>
      <w:rPr>
        <w:rFonts w:ascii="Wingdings" w:hAnsi="Wingdings" w:hint="default"/>
        <w:b/>
        <w:color w:val="00206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3F57FD2"/>
    <w:multiLevelType w:val="hybridMultilevel"/>
    <w:tmpl w:val="E5266F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1B0362"/>
    <w:multiLevelType w:val="hybridMultilevel"/>
    <w:tmpl w:val="D5EC7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8469AD"/>
    <w:multiLevelType w:val="hybridMultilevel"/>
    <w:tmpl w:val="B10CBF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9F77E23"/>
    <w:multiLevelType w:val="multilevel"/>
    <w:tmpl w:val="D834EF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D6764AB"/>
    <w:multiLevelType w:val="hybridMultilevel"/>
    <w:tmpl w:val="9D509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8356A4"/>
    <w:multiLevelType w:val="hybridMultilevel"/>
    <w:tmpl w:val="75BC1AAE"/>
    <w:lvl w:ilvl="0" w:tplc="C4EE618E">
      <w:start w:val="1"/>
      <w:numFmt w:val="decimal"/>
      <w:pStyle w:val="Number"/>
      <w:lvlText w:val="%1."/>
      <w:lvlJc w:val="left"/>
      <w:pPr>
        <w:ind w:left="720" w:hanging="360"/>
      </w:pPr>
      <w:rPr>
        <w:color w:val="00206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1A6393F"/>
    <w:multiLevelType w:val="hybridMultilevel"/>
    <w:tmpl w:val="D0028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E95378"/>
    <w:multiLevelType w:val="hybridMultilevel"/>
    <w:tmpl w:val="C1125D22"/>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CB7822"/>
    <w:multiLevelType w:val="hybridMultilevel"/>
    <w:tmpl w:val="28BAD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041F1D"/>
    <w:multiLevelType w:val="hybridMultilevel"/>
    <w:tmpl w:val="C7466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9447CB"/>
    <w:multiLevelType w:val="hybridMultilevel"/>
    <w:tmpl w:val="DE342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4407D2"/>
    <w:multiLevelType w:val="hybridMultilevel"/>
    <w:tmpl w:val="82707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B7683D"/>
    <w:multiLevelType w:val="multilevel"/>
    <w:tmpl w:val="74C41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F024E3"/>
    <w:multiLevelType w:val="hybridMultilevel"/>
    <w:tmpl w:val="BFFE2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2F44BA"/>
    <w:multiLevelType w:val="hybridMultilevel"/>
    <w:tmpl w:val="BFB4D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89469E"/>
    <w:multiLevelType w:val="hybridMultilevel"/>
    <w:tmpl w:val="17D0C524"/>
    <w:lvl w:ilvl="0" w:tplc="8692F50C">
      <w:start w:val="1"/>
      <w:numFmt w:val="bullet"/>
      <w:pStyle w:val="Pfeil"/>
      <w:lvlText w:val=""/>
      <w:lvlJc w:val="left"/>
      <w:pPr>
        <w:ind w:left="1855" w:hanging="360"/>
      </w:pPr>
      <w:rPr>
        <w:rFonts w:ascii="Wingdings" w:hAnsi="Wingdings" w:hint="default"/>
        <w:color w:val="002060"/>
        <w:sz w:val="20"/>
        <w:szCs w:val="20"/>
      </w:rPr>
    </w:lvl>
    <w:lvl w:ilvl="1" w:tplc="04070003" w:tentative="1">
      <w:start w:val="1"/>
      <w:numFmt w:val="bullet"/>
      <w:lvlText w:val="o"/>
      <w:lvlJc w:val="left"/>
      <w:pPr>
        <w:ind w:left="2575" w:hanging="360"/>
      </w:pPr>
      <w:rPr>
        <w:rFonts w:ascii="Courier New" w:hAnsi="Courier New" w:cs="Courier New" w:hint="default"/>
      </w:rPr>
    </w:lvl>
    <w:lvl w:ilvl="2" w:tplc="04070005" w:tentative="1">
      <w:start w:val="1"/>
      <w:numFmt w:val="bullet"/>
      <w:lvlText w:val=""/>
      <w:lvlJc w:val="left"/>
      <w:pPr>
        <w:ind w:left="3295" w:hanging="360"/>
      </w:pPr>
      <w:rPr>
        <w:rFonts w:ascii="Wingdings" w:hAnsi="Wingdings" w:hint="default"/>
      </w:rPr>
    </w:lvl>
    <w:lvl w:ilvl="3" w:tplc="04070001" w:tentative="1">
      <w:start w:val="1"/>
      <w:numFmt w:val="bullet"/>
      <w:lvlText w:val=""/>
      <w:lvlJc w:val="left"/>
      <w:pPr>
        <w:ind w:left="4015" w:hanging="360"/>
      </w:pPr>
      <w:rPr>
        <w:rFonts w:ascii="Symbol" w:hAnsi="Symbol" w:hint="default"/>
      </w:rPr>
    </w:lvl>
    <w:lvl w:ilvl="4" w:tplc="04070003" w:tentative="1">
      <w:start w:val="1"/>
      <w:numFmt w:val="bullet"/>
      <w:lvlText w:val="o"/>
      <w:lvlJc w:val="left"/>
      <w:pPr>
        <w:ind w:left="4735" w:hanging="360"/>
      </w:pPr>
      <w:rPr>
        <w:rFonts w:ascii="Courier New" w:hAnsi="Courier New" w:cs="Courier New" w:hint="default"/>
      </w:rPr>
    </w:lvl>
    <w:lvl w:ilvl="5" w:tplc="04070005" w:tentative="1">
      <w:start w:val="1"/>
      <w:numFmt w:val="bullet"/>
      <w:lvlText w:val=""/>
      <w:lvlJc w:val="left"/>
      <w:pPr>
        <w:ind w:left="5455" w:hanging="360"/>
      </w:pPr>
      <w:rPr>
        <w:rFonts w:ascii="Wingdings" w:hAnsi="Wingdings" w:hint="default"/>
      </w:rPr>
    </w:lvl>
    <w:lvl w:ilvl="6" w:tplc="04070001" w:tentative="1">
      <w:start w:val="1"/>
      <w:numFmt w:val="bullet"/>
      <w:lvlText w:val=""/>
      <w:lvlJc w:val="left"/>
      <w:pPr>
        <w:ind w:left="6175" w:hanging="360"/>
      </w:pPr>
      <w:rPr>
        <w:rFonts w:ascii="Symbol" w:hAnsi="Symbol" w:hint="default"/>
      </w:rPr>
    </w:lvl>
    <w:lvl w:ilvl="7" w:tplc="04070003" w:tentative="1">
      <w:start w:val="1"/>
      <w:numFmt w:val="bullet"/>
      <w:lvlText w:val="o"/>
      <w:lvlJc w:val="left"/>
      <w:pPr>
        <w:ind w:left="6895" w:hanging="360"/>
      </w:pPr>
      <w:rPr>
        <w:rFonts w:ascii="Courier New" w:hAnsi="Courier New" w:cs="Courier New" w:hint="default"/>
      </w:rPr>
    </w:lvl>
    <w:lvl w:ilvl="8" w:tplc="04070005" w:tentative="1">
      <w:start w:val="1"/>
      <w:numFmt w:val="bullet"/>
      <w:lvlText w:val=""/>
      <w:lvlJc w:val="left"/>
      <w:pPr>
        <w:ind w:left="7615" w:hanging="360"/>
      </w:pPr>
      <w:rPr>
        <w:rFonts w:ascii="Wingdings" w:hAnsi="Wingdings" w:hint="default"/>
      </w:rPr>
    </w:lvl>
  </w:abstractNum>
  <w:abstractNum w:abstractNumId="34" w15:restartNumberingAfterBreak="0">
    <w:nsid w:val="612B0536"/>
    <w:multiLevelType w:val="hybridMultilevel"/>
    <w:tmpl w:val="45CAA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9E5D45"/>
    <w:multiLevelType w:val="multilevel"/>
    <w:tmpl w:val="51F6E250"/>
    <w:lvl w:ilvl="0">
      <w:start w:val="1"/>
      <w:numFmt w:val="decimal"/>
      <w:pStyle w:val="Heading1"/>
      <w:lvlText w:val="%1"/>
      <w:lvlJc w:val="left"/>
      <w:pPr>
        <w:ind w:left="2204" w:hanging="360"/>
      </w:pPr>
      <w:rPr>
        <w:rFonts w:hint="default"/>
      </w:rPr>
    </w:lvl>
    <w:lvl w:ilvl="1">
      <w:start w:val="1"/>
      <w:numFmt w:val="decimal"/>
      <w:pStyle w:val="Heading2"/>
      <w:lvlText w:val="%1.%2"/>
      <w:lvlJc w:val="left"/>
      <w:pPr>
        <w:ind w:left="510" w:hanging="510"/>
      </w:pPr>
      <w:rPr>
        <w:rFonts w:hint="default"/>
        <w:color w:val="002060"/>
      </w:rPr>
    </w:lvl>
    <w:lvl w:ilvl="2">
      <w:start w:val="1"/>
      <w:numFmt w:val="decimal"/>
      <w:pStyle w:val="Heading3"/>
      <w:lvlText w:val="%1.%2.%3"/>
      <w:lvlJc w:val="left"/>
      <w:pPr>
        <w:ind w:left="851" w:hanging="851"/>
      </w:pPr>
      <w:rPr>
        <w:rFonts w:hint="default"/>
        <w:color w:val="00206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5280345"/>
    <w:multiLevelType w:val="hybridMultilevel"/>
    <w:tmpl w:val="21C26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7D0DC0"/>
    <w:multiLevelType w:val="hybridMultilevel"/>
    <w:tmpl w:val="74181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04655C"/>
    <w:multiLevelType w:val="hybridMultilevel"/>
    <w:tmpl w:val="F0742446"/>
    <w:lvl w:ilvl="0" w:tplc="08090001">
      <w:start w:val="1"/>
      <w:numFmt w:val="bullet"/>
      <w:lvlText w:val=""/>
      <w:lvlJc w:val="left"/>
      <w:pPr>
        <w:ind w:left="720" w:hanging="360"/>
      </w:pPr>
      <w:rPr>
        <w:rFonts w:ascii="Symbol" w:hAnsi="Symbol" w:hint="default"/>
      </w:rPr>
    </w:lvl>
    <w:lvl w:ilvl="1" w:tplc="D8D4BFC4">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460164"/>
    <w:multiLevelType w:val="hybridMultilevel"/>
    <w:tmpl w:val="EA30E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472852"/>
    <w:multiLevelType w:val="hybridMultilevel"/>
    <w:tmpl w:val="7FF206EE"/>
    <w:lvl w:ilvl="0" w:tplc="04090001">
      <w:start w:val="1"/>
      <w:numFmt w:val="bullet"/>
      <w:lvlText w:val=""/>
      <w:lvlJc w:val="left"/>
      <w:pPr>
        <w:ind w:left="828" w:hanging="360"/>
      </w:pPr>
      <w:rPr>
        <w:rFonts w:ascii="Symbol" w:hAnsi="Symbol" w:hint="default"/>
      </w:rPr>
    </w:lvl>
    <w:lvl w:ilvl="1" w:tplc="FFFFFFFF" w:tentative="1">
      <w:start w:val="1"/>
      <w:numFmt w:val="bullet"/>
      <w:lvlText w:val="o"/>
      <w:lvlJc w:val="left"/>
      <w:pPr>
        <w:ind w:left="1548" w:hanging="360"/>
      </w:pPr>
      <w:rPr>
        <w:rFonts w:ascii="Courier New" w:hAnsi="Courier New" w:cs="Courier New" w:hint="default"/>
      </w:rPr>
    </w:lvl>
    <w:lvl w:ilvl="2" w:tplc="FFFFFFFF" w:tentative="1">
      <w:start w:val="1"/>
      <w:numFmt w:val="bullet"/>
      <w:lvlText w:val=""/>
      <w:lvlJc w:val="left"/>
      <w:pPr>
        <w:ind w:left="2268" w:hanging="360"/>
      </w:pPr>
      <w:rPr>
        <w:rFonts w:ascii="Wingdings" w:hAnsi="Wingdings" w:hint="default"/>
      </w:rPr>
    </w:lvl>
    <w:lvl w:ilvl="3" w:tplc="FFFFFFFF" w:tentative="1">
      <w:start w:val="1"/>
      <w:numFmt w:val="bullet"/>
      <w:lvlText w:val=""/>
      <w:lvlJc w:val="left"/>
      <w:pPr>
        <w:ind w:left="2988" w:hanging="360"/>
      </w:pPr>
      <w:rPr>
        <w:rFonts w:ascii="Symbol" w:hAnsi="Symbol" w:hint="default"/>
      </w:rPr>
    </w:lvl>
    <w:lvl w:ilvl="4" w:tplc="FFFFFFFF" w:tentative="1">
      <w:start w:val="1"/>
      <w:numFmt w:val="bullet"/>
      <w:lvlText w:val="o"/>
      <w:lvlJc w:val="left"/>
      <w:pPr>
        <w:ind w:left="3708" w:hanging="360"/>
      </w:pPr>
      <w:rPr>
        <w:rFonts w:ascii="Courier New" w:hAnsi="Courier New" w:cs="Courier New" w:hint="default"/>
      </w:rPr>
    </w:lvl>
    <w:lvl w:ilvl="5" w:tplc="FFFFFFFF" w:tentative="1">
      <w:start w:val="1"/>
      <w:numFmt w:val="bullet"/>
      <w:lvlText w:val=""/>
      <w:lvlJc w:val="left"/>
      <w:pPr>
        <w:ind w:left="4428" w:hanging="360"/>
      </w:pPr>
      <w:rPr>
        <w:rFonts w:ascii="Wingdings" w:hAnsi="Wingdings" w:hint="default"/>
      </w:rPr>
    </w:lvl>
    <w:lvl w:ilvl="6" w:tplc="FFFFFFFF" w:tentative="1">
      <w:start w:val="1"/>
      <w:numFmt w:val="bullet"/>
      <w:lvlText w:val=""/>
      <w:lvlJc w:val="left"/>
      <w:pPr>
        <w:ind w:left="5148" w:hanging="360"/>
      </w:pPr>
      <w:rPr>
        <w:rFonts w:ascii="Symbol" w:hAnsi="Symbol" w:hint="default"/>
      </w:rPr>
    </w:lvl>
    <w:lvl w:ilvl="7" w:tplc="FFFFFFFF" w:tentative="1">
      <w:start w:val="1"/>
      <w:numFmt w:val="bullet"/>
      <w:lvlText w:val="o"/>
      <w:lvlJc w:val="left"/>
      <w:pPr>
        <w:ind w:left="5868" w:hanging="360"/>
      </w:pPr>
      <w:rPr>
        <w:rFonts w:ascii="Courier New" w:hAnsi="Courier New" w:cs="Courier New" w:hint="default"/>
      </w:rPr>
    </w:lvl>
    <w:lvl w:ilvl="8" w:tplc="FFFFFFFF" w:tentative="1">
      <w:start w:val="1"/>
      <w:numFmt w:val="bullet"/>
      <w:lvlText w:val=""/>
      <w:lvlJc w:val="left"/>
      <w:pPr>
        <w:ind w:left="6588" w:hanging="360"/>
      </w:pPr>
      <w:rPr>
        <w:rFonts w:ascii="Wingdings" w:hAnsi="Wingdings" w:hint="default"/>
      </w:rPr>
    </w:lvl>
  </w:abstractNum>
  <w:abstractNum w:abstractNumId="41" w15:restartNumberingAfterBreak="0">
    <w:nsid w:val="77F84A11"/>
    <w:multiLevelType w:val="hybridMultilevel"/>
    <w:tmpl w:val="60400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0F6906"/>
    <w:multiLevelType w:val="hybridMultilevel"/>
    <w:tmpl w:val="BE6AA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C6122B"/>
    <w:multiLevelType w:val="hybridMultilevel"/>
    <w:tmpl w:val="3C6A3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C8599A"/>
    <w:multiLevelType w:val="hybridMultilevel"/>
    <w:tmpl w:val="74181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0291460">
    <w:abstractNumId w:val="35"/>
  </w:num>
  <w:num w:numId="2" w16cid:durableId="497960747">
    <w:abstractNumId w:val="23"/>
  </w:num>
  <w:num w:numId="3" w16cid:durableId="928388248">
    <w:abstractNumId w:val="6"/>
  </w:num>
  <w:num w:numId="4" w16cid:durableId="1131020483">
    <w:abstractNumId w:val="17"/>
  </w:num>
  <w:num w:numId="5" w16cid:durableId="843667535">
    <w:abstractNumId w:val="21"/>
  </w:num>
  <w:num w:numId="6" w16cid:durableId="1129862158">
    <w:abstractNumId w:val="12"/>
  </w:num>
  <w:num w:numId="7" w16cid:durableId="1533422966">
    <w:abstractNumId w:val="33"/>
  </w:num>
  <w:num w:numId="8" w16cid:durableId="431244216">
    <w:abstractNumId w:val="16"/>
  </w:num>
  <w:num w:numId="9" w16cid:durableId="201750911">
    <w:abstractNumId w:val="42"/>
  </w:num>
  <w:num w:numId="10" w16cid:durableId="1062100537">
    <w:abstractNumId w:val="4"/>
  </w:num>
  <w:num w:numId="11" w16cid:durableId="1048333185">
    <w:abstractNumId w:val="27"/>
  </w:num>
  <w:num w:numId="12" w16cid:durableId="649099465">
    <w:abstractNumId w:val="9"/>
  </w:num>
  <w:num w:numId="13" w16cid:durableId="329796622">
    <w:abstractNumId w:val="43"/>
  </w:num>
  <w:num w:numId="14" w16cid:durableId="1094089434">
    <w:abstractNumId w:val="28"/>
  </w:num>
  <w:num w:numId="15" w16cid:durableId="1153252158">
    <w:abstractNumId w:val="37"/>
  </w:num>
  <w:num w:numId="16" w16cid:durableId="618800018">
    <w:abstractNumId w:val="39"/>
  </w:num>
  <w:num w:numId="17" w16cid:durableId="464276317">
    <w:abstractNumId w:val="34"/>
  </w:num>
  <w:num w:numId="18" w16cid:durableId="2104105456">
    <w:abstractNumId w:val="26"/>
  </w:num>
  <w:num w:numId="19" w16cid:durableId="229654906">
    <w:abstractNumId w:val="11"/>
  </w:num>
  <w:num w:numId="20" w16cid:durableId="64107660">
    <w:abstractNumId w:val="14"/>
  </w:num>
  <w:num w:numId="21" w16cid:durableId="378211137">
    <w:abstractNumId w:val="30"/>
  </w:num>
  <w:num w:numId="22" w16cid:durableId="1123764493">
    <w:abstractNumId w:val="20"/>
  </w:num>
  <w:num w:numId="23" w16cid:durableId="384765475">
    <w:abstractNumId w:val="7"/>
  </w:num>
  <w:num w:numId="24" w16cid:durableId="2146001513">
    <w:abstractNumId w:val="13"/>
  </w:num>
  <w:num w:numId="25" w16cid:durableId="1537742140">
    <w:abstractNumId w:val="36"/>
  </w:num>
  <w:num w:numId="26" w16cid:durableId="182285982">
    <w:abstractNumId w:val="38"/>
  </w:num>
  <w:num w:numId="27" w16cid:durableId="1549492652">
    <w:abstractNumId w:val="10"/>
  </w:num>
  <w:num w:numId="28" w16cid:durableId="1680964359">
    <w:abstractNumId w:val="1"/>
  </w:num>
  <w:num w:numId="29" w16cid:durableId="523590973">
    <w:abstractNumId w:val="29"/>
  </w:num>
  <w:num w:numId="30" w16cid:durableId="514341804">
    <w:abstractNumId w:val="44"/>
  </w:num>
  <w:num w:numId="31" w16cid:durableId="399526871">
    <w:abstractNumId w:val="22"/>
  </w:num>
  <w:num w:numId="32" w16cid:durableId="142428348">
    <w:abstractNumId w:val="8"/>
  </w:num>
  <w:num w:numId="33" w16cid:durableId="1218711204">
    <w:abstractNumId w:val="31"/>
  </w:num>
  <w:num w:numId="34" w16cid:durableId="568927482">
    <w:abstractNumId w:val="19"/>
  </w:num>
  <w:num w:numId="35" w16cid:durableId="1182665214">
    <w:abstractNumId w:val="41"/>
  </w:num>
  <w:num w:numId="36" w16cid:durableId="254486888">
    <w:abstractNumId w:val="24"/>
  </w:num>
  <w:num w:numId="37" w16cid:durableId="1507553304">
    <w:abstractNumId w:val="5"/>
  </w:num>
  <w:num w:numId="38" w16cid:durableId="2055232739">
    <w:abstractNumId w:val="40"/>
  </w:num>
  <w:num w:numId="39" w16cid:durableId="2063552928">
    <w:abstractNumId w:val="15"/>
  </w:num>
  <w:num w:numId="40" w16cid:durableId="1503619685">
    <w:abstractNumId w:val="0"/>
  </w:num>
  <w:num w:numId="41" w16cid:durableId="1632898588">
    <w:abstractNumId w:val="2"/>
  </w:num>
  <w:num w:numId="42" w16cid:durableId="1003171251">
    <w:abstractNumId w:val="32"/>
  </w:num>
  <w:num w:numId="43" w16cid:durableId="1172794988">
    <w:abstractNumId w:val="3"/>
  </w:num>
  <w:num w:numId="44" w16cid:durableId="1736977318">
    <w:abstractNumId w:val="18"/>
  </w:num>
  <w:num w:numId="45" w16cid:durableId="1566792764">
    <w:abstractNumId w:val="2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n-CA" w:vendorID="64" w:dllVersion="4096" w:nlCheck="1" w:checkStyle="0"/>
  <w:activeWritingStyle w:appName="MSWord" w:lang="pt-BR"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fr-FR" w:vendorID="64" w:dllVersion="0" w:nlCheck="1" w:checkStyle="0"/>
  <w:activeWritingStyle w:appName="MSWord" w:lang="pt-BR" w:vendorID="64" w:dllVersion="0" w:nlCheck="1" w:checkStyle="0"/>
  <w:activeWritingStyle w:appName="MSWord" w:lang="es-ES" w:vendorID="64" w:dllVersion="0" w:nlCheck="1" w:checkStyle="0"/>
  <w:activeWritingStyle w:appName="MSWord" w:lang="de-DE"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BCE"/>
    <w:rsid w:val="00000E4C"/>
    <w:rsid w:val="00000E6B"/>
    <w:rsid w:val="000029E8"/>
    <w:rsid w:val="000029F1"/>
    <w:rsid w:val="000068E5"/>
    <w:rsid w:val="000076A2"/>
    <w:rsid w:val="00010FF6"/>
    <w:rsid w:val="00011089"/>
    <w:rsid w:val="000114F6"/>
    <w:rsid w:val="0001195A"/>
    <w:rsid w:val="00011D88"/>
    <w:rsid w:val="00014BCD"/>
    <w:rsid w:val="00015DDD"/>
    <w:rsid w:val="00016E26"/>
    <w:rsid w:val="0002061A"/>
    <w:rsid w:val="0002098B"/>
    <w:rsid w:val="00020D95"/>
    <w:rsid w:val="00021AB6"/>
    <w:rsid w:val="00021BA2"/>
    <w:rsid w:val="00022C96"/>
    <w:rsid w:val="000232A1"/>
    <w:rsid w:val="0002370D"/>
    <w:rsid w:val="00023977"/>
    <w:rsid w:val="00024918"/>
    <w:rsid w:val="00024AE5"/>
    <w:rsid w:val="0002535E"/>
    <w:rsid w:val="00025AA4"/>
    <w:rsid w:val="0002685B"/>
    <w:rsid w:val="000269A4"/>
    <w:rsid w:val="00030B7D"/>
    <w:rsid w:val="00032A5C"/>
    <w:rsid w:val="00032CD8"/>
    <w:rsid w:val="00033105"/>
    <w:rsid w:val="00035B38"/>
    <w:rsid w:val="00036961"/>
    <w:rsid w:val="000369CA"/>
    <w:rsid w:val="00037927"/>
    <w:rsid w:val="00037CBC"/>
    <w:rsid w:val="0004030D"/>
    <w:rsid w:val="00041523"/>
    <w:rsid w:val="00042663"/>
    <w:rsid w:val="0004399E"/>
    <w:rsid w:val="00046EF6"/>
    <w:rsid w:val="000471DD"/>
    <w:rsid w:val="000505FE"/>
    <w:rsid w:val="00051076"/>
    <w:rsid w:val="00052D08"/>
    <w:rsid w:val="00052DED"/>
    <w:rsid w:val="00052EE4"/>
    <w:rsid w:val="0005307F"/>
    <w:rsid w:val="00053157"/>
    <w:rsid w:val="0005328B"/>
    <w:rsid w:val="00053F84"/>
    <w:rsid w:val="00053F9A"/>
    <w:rsid w:val="00054861"/>
    <w:rsid w:val="00054EBE"/>
    <w:rsid w:val="00055300"/>
    <w:rsid w:val="00055D0E"/>
    <w:rsid w:val="00057787"/>
    <w:rsid w:val="0005CA96"/>
    <w:rsid w:val="000605F2"/>
    <w:rsid w:val="000607BF"/>
    <w:rsid w:val="00061D85"/>
    <w:rsid w:val="000644EB"/>
    <w:rsid w:val="00064A4E"/>
    <w:rsid w:val="00064FC0"/>
    <w:rsid w:val="00065C54"/>
    <w:rsid w:val="00066C0E"/>
    <w:rsid w:val="00066F7E"/>
    <w:rsid w:val="00067505"/>
    <w:rsid w:val="00067E77"/>
    <w:rsid w:val="00070190"/>
    <w:rsid w:val="000705B5"/>
    <w:rsid w:val="00072324"/>
    <w:rsid w:val="000730B3"/>
    <w:rsid w:val="0007363B"/>
    <w:rsid w:val="0007389A"/>
    <w:rsid w:val="00073A03"/>
    <w:rsid w:val="00073EF0"/>
    <w:rsid w:val="000741E9"/>
    <w:rsid w:val="000749DC"/>
    <w:rsid w:val="00074AFA"/>
    <w:rsid w:val="000753F5"/>
    <w:rsid w:val="00075F60"/>
    <w:rsid w:val="0007654F"/>
    <w:rsid w:val="0007696D"/>
    <w:rsid w:val="0008077B"/>
    <w:rsid w:val="00081282"/>
    <w:rsid w:val="0008176C"/>
    <w:rsid w:val="00081982"/>
    <w:rsid w:val="00081CE3"/>
    <w:rsid w:val="00084C1E"/>
    <w:rsid w:val="000857F0"/>
    <w:rsid w:val="00086A5B"/>
    <w:rsid w:val="00087EBF"/>
    <w:rsid w:val="00093D0A"/>
    <w:rsid w:val="00094526"/>
    <w:rsid w:val="00094C63"/>
    <w:rsid w:val="00095D0C"/>
    <w:rsid w:val="00097343"/>
    <w:rsid w:val="000A009F"/>
    <w:rsid w:val="000A0D74"/>
    <w:rsid w:val="000A0FEF"/>
    <w:rsid w:val="000A28BC"/>
    <w:rsid w:val="000A2A66"/>
    <w:rsid w:val="000A32E7"/>
    <w:rsid w:val="000A3777"/>
    <w:rsid w:val="000A3779"/>
    <w:rsid w:val="000A3A27"/>
    <w:rsid w:val="000A5F2F"/>
    <w:rsid w:val="000A64B8"/>
    <w:rsid w:val="000A6763"/>
    <w:rsid w:val="000A72F9"/>
    <w:rsid w:val="000A73BC"/>
    <w:rsid w:val="000A797A"/>
    <w:rsid w:val="000B0B67"/>
    <w:rsid w:val="000B12DA"/>
    <w:rsid w:val="000B1CCF"/>
    <w:rsid w:val="000B233A"/>
    <w:rsid w:val="000B34E5"/>
    <w:rsid w:val="000B3678"/>
    <w:rsid w:val="000B405F"/>
    <w:rsid w:val="000B54AB"/>
    <w:rsid w:val="000B5EDA"/>
    <w:rsid w:val="000B6A56"/>
    <w:rsid w:val="000B6DD1"/>
    <w:rsid w:val="000C0569"/>
    <w:rsid w:val="000C11F3"/>
    <w:rsid w:val="000C18DA"/>
    <w:rsid w:val="000C2234"/>
    <w:rsid w:val="000C3529"/>
    <w:rsid w:val="000C4C56"/>
    <w:rsid w:val="000C5C44"/>
    <w:rsid w:val="000C5E50"/>
    <w:rsid w:val="000C6EB0"/>
    <w:rsid w:val="000D01FA"/>
    <w:rsid w:val="000D0288"/>
    <w:rsid w:val="000D0853"/>
    <w:rsid w:val="000D0DAF"/>
    <w:rsid w:val="000D110F"/>
    <w:rsid w:val="000D331B"/>
    <w:rsid w:val="000D38B6"/>
    <w:rsid w:val="000D3AA2"/>
    <w:rsid w:val="000D47CE"/>
    <w:rsid w:val="000D52B3"/>
    <w:rsid w:val="000D56D7"/>
    <w:rsid w:val="000D7A4A"/>
    <w:rsid w:val="000D7AD0"/>
    <w:rsid w:val="000D7EEF"/>
    <w:rsid w:val="000E12A6"/>
    <w:rsid w:val="000E32BC"/>
    <w:rsid w:val="000E531E"/>
    <w:rsid w:val="000E54D3"/>
    <w:rsid w:val="000E561F"/>
    <w:rsid w:val="000E5836"/>
    <w:rsid w:val="000E625C"/>
    <w:rsid w:val="000E7CA0"/>
    <w:rsid w:val="000F0DA1"/>
    <w:rsid w:val="000F1455"/>
    <w:rsid w:val="000F20CF"/>
    <w:rsid w:val="000F21C4"/>
    <w:rsid w:val="000F4193"/>
    <w:rsid w:val="000F4F11"/>
    <w:rsid w:val="000F5798"/>
    <w:rsid w:val="000F5EDE"/>
    <w:rsid w:val="000F67E3"/>
    <w:rsid w:val="000F7710"/>
    <w:rsid w:val="00100277"/>
    <w:rsid w:val="00101DF6"/>
    <w:rsid w:val="00102664"/>
    <w:rsid w:val="00103380"/>
    <w:rsid w:val="00103A8D"/>
    <w:rsid w:val="00103DAE"/>
    <w:rsid w:val="001040EA"/>
    <w:rsid w:val="00104864"/>
    <w:rsid w:val="00104C8B"/>
    <w:rsid w:val="00106238"/>
    <w:rsid w:val="00106FAC"/>
    <w:rsid w:val="00107976"/>
    <w:rsid w:val="001079A8"/>
    <w:rsid w:val="00107B3E"/>
    <w:rsid w:val="001105E2"/>
    <w:rsid w:val="00111A21"/>
    <w:rsid w:val="0011294E"/>
    <w:rsid w:val="0011576C"/>
    <w:rsid w:val="00115814"/>
    <w:rsid w:val="00115B7F"/>
    <w:rsid w:val="00115FDC"/>
    <w:rsid w:val="00116EB1"/>
    <w:rsid w:val="00117165"/>
    <w:rsid w:val="00117229"/>
    <w:rsid w:val="00117845"/>
    <w:rsid w:val="0012079C"/>
    <w:rsid w:val="00120F60"/>
    <w:rsid w:val="0012172D"/>
    <w:rsid w:val="001225BD"/>
    <w:rsid w:val="00123F98"/>
    <w:rsid w:val="001242AA"/>
    <w:rsid w:val="001244FD"/>
    <w:rsid w:val="00124E85"/>
    <w:rsid w:val="00125347"/>
    <w:rsid w:val="00125D7C"/>
    <w:rsid w:val="0012681B"/>
    <w:rsid w:val="00127A6A"/>
    <w:rsid w:val="00127A98"/>
    <w:rsid w:val="00127CF4"/>
    <w:rsid w:val="00131C07"/>
    <w:rsid w:val="00132DBB"/>
    <w:rsid w:val="0013695E"/>
    <w:rsid w:val="00137534"/>
    <w:rsid w:val="00140F79"/>
    <w:rsid w:val="0014117F"/>
    <w:rsid w:val="00141CD8"/>
    <w:rsid w:val="0014296A"/>
    <w:rsid w:val="00142F32"/>
    <w:rsid w:val="00145666"/>
    <w:rsid w:val="00145AAB"/>
    <w:rsid w:val="00145E1A"/>
    <w:rsid w:val="001463D1"/>
    <w:rsid w:val="001467B7"/>
    <w:rsid w:val="00150C46"/>
    <w:rsid w:val="00150D2B"/>
    <w:rsid w:val="00151BEB"/>
    <w:rsid w:val="00151EA0"/>
    <w:rsid w:val="001522B7"/>
    <w:rsid w:val="00152C4D"/>
    <w:rsid w:val="00152DE2"/>
    <w:rsid w:val="00152E62"/>
    <w:rsid w:val="00153148"/>
    <w:rsid w:val="00153648"/>
    <w:rsid w:val="00153B35"/>
    <w:rsid w:val="001542A0"/>
    <w:rsid w:val="001543BD"/>
    <w:rsid w:val="00155F8B"/>
    <w:rsid w:val="00156E9F"/>
    <w:rsid w:val="00156F7B"/>
    <w:rsid w:val="001604AB"/>
    <w:rsid w:val="00160C71"/>
    <w:rsid w:val="00161045"/>
    <w:rsid w:val="0016104E"/>
    <w:rsid w:val="001610FA"/>
    <w:rsid w:val="00163E40"/>
    <w:rsid w:val="001645D2"/>
    <w:rsid w:val="00164D11"/>
    <w:rsid w:val="001670F6"/>
    <w:rsid w:val="00167A0E"/>
    <w:rsid w:val="0017238A"/>
    <w:rsid w:val="00172874"/>
    <w:rsid w:val="00172BB9"/>
    <w:rsid w:val="0017392A"/>
    <w:rsid w:val="00173BC2"/>
    <w:rsid w:val="00173E1A"/>
    <w:rsid w:val="00173F03"/>
    <w:rsid w:val="0017740C"/>
    <w:rsid w:val="0018068B"/>
    <w:rsid w:val="00180945"/>
    <w:rsid w:val="00180FFA"/>
    <w:rsid w:val="001838C4"/>
    <w:rsid w:val="00184E00"/>
    <w:rsid w:val="00185038"/>
    <w:rsid w:val="0018553A"/>
    <w:rsid w:val="00185973"/>
    <w:rsid w:val="00186242"/>
    <w:rsid w:val="00186620"/>
    <w:rsid w:val="0019072E"/>
    <w:rsid w:val="00191739"/>
    <w:rsid w:val="00191B5D"/>
    <w:rsid w:val="00191CD1"/>
    <w:rsid w:val="00192385"/>
    <w:rsid w:val="0019348B"/>
    <w:rsid w:val="0019371F"/>
    <w:rsid w:val="0019372F"/>
    <w:rsid w:val="00193CB4"/>
    <w:rsid w:val="0019439F"/>
    <w:rsid w:val="0019588D"/>
    <w:rsid w:val="00195BA9"/>
    <w:rsid w:val="00196444"/>
    <w:rsid w:val="00196D17"/>
    <w:rsid w:val="001977D6"/>
    <w:rsid w:val="00197913"/>
    <w:rsid w:val="001A04B8"/>
    <w:rsid w:val="001A05D0"/>
    <w:rsid w:val="001A0BD2"/>
    <w:rsid w:val="001A0F9F"/>
    <w:rsid w:val="001A1158"/>
    <w:rsid w:val="001A1615"/>
    <w:rsid w:val="001A2136"/>
    <w:rsid w:val="001A21AA"/>
    <w:rsid w:val="001A23D5"/>
    <w:rsid w:val="001A410A"/>
    <w:rsid w:val="001A48DA"/>
    <w:rsid w:val="001A4A36"/>
    <w:rsid w:val="001A6D88"/>
    <w:rsid w:val="001A72DB"/>
    <w:rsid w:val="001B02D1"/>
    <w:rsid w:val="001B0847"/>
    <w:rsid w:val="001B277D"/>
    <w:rsid w:val="001B325F"/>
    <w:rsid w:val="001B33E6"/>
    <w:rsid w:val="001B3E01"/>
    <w:rsid w:val="001B5197"/>
    <w:rsid w:val="001B5567"/>
    <w:rsid w:val="001B5BE0"/>
    <w:rsid w:val="001B6409"/>
    <w:rsid w:val="001B68EF"/>
    <w:rsid w:val="001B756B"/>
    <w:rsid w:val="001B7A21"/>
    <w:rsid w:val="001B7D78"/>
    <w:rsid w:val="001C00DF"/>
    <w:rsid w:val="001C0EF1"/>
    <w:rsid w:val="001C17BF"/>
    <w:rsid w:val="001C655A"/>
    <w:rsid w:val="001C660D"/>
    <w:rsid w:val="001C6A51"/>
    <w:rsid w:val="001C6FE9"/>
    <w:rsid w:val="001C7B83"/>
    <w:rsid w:val="001C7BC4"/>
    <w:rsid w:val="001C7CB7"/>
    <w:rsid w:val="001D097E"/>
    <w:rsid w:val="001D1256"/>
    <w:rsid w:val="001D1D58"/>
    <w:rsid w:val="001D2C99"/>
    <w:rsid w:val="001D2E08"/>
    <w:rsid w:val="001D312B"/>
    <w:rsid w:val="001D3489"/>
    <w:rsid w:val="001D3496"/>
    <w:rsid w:val="001D3672"/>
    <w:rsid w:val="001D4735"/>
    <w:rsid w:val="001D5677"/>
    <w:rsid w:val="001D5C1A"/>
    <w:rsid w:val="001D7939"/>
    <w:rsid w:val="001E06BC"/>
    <w:rsid w:val="001E1F15"/>
    <w:rsid w:val="001E2059"/>
    <w:rsid w:val="001E4B99"/>
    <w:rsid w:val="001E67B6"/>
    <w:rsid w:val="001E6E98"/>
    <w:rsid w:val="001E7306"/>
    <w:rsid w:val="001E7867"/>
    <w:rsid w:val="001F0271"/>
    <w:rsid w:val="001F0C68"/>
    <w:rsid w:val="001F1952"/>
    <w:rsid w:val="001F5689"/>
    <w:rsid w:val="001F6786"/>
    <w:rsid w:val="001F6A56"/>
    <w:rsid w:val="00200E66"/>
    <w:rsid w:val="002028FF"/>
    <w:rsid w:val="00202B78"/>
    <w:rsid w:val="00206BF0"/>
    <w:rsid w:val="0020711C"/>
    <w:rsid w:val="00210889"/>
    <w:rsid w:val="002119AD"/>
    <w:rsid w:val="00212CAD"/>
    <w:rsid w:val="00212CC8"/>
    <w:rsid w:val="0021323B"/>
    <w:rsid w:val="00215778"/>
    <w:rsid w:val="0021589D"/>
    <w:rsid w:val="0021620B"/>
    <w:rsid w:val="00217183"/>
    <w:rsid w:val="0021797E"/>
    <w:rsid w:val="00217AE8"/>
    <w:rsid w:val="00220D11"/>
    <w:rsid w:val="002229AA"/>
    <w:rsid w:val="002254E8"/>
    <w:rsid w:val="002255AB"/>
    <w:rsid w:val="0022587C"/>
    <w:rsid w:val="00226A79"/>
    <w:rsid w:val="00226B27"/>
    <w:rsid w:val="002271DE"/>
    <w:rsid w:val="00232696"/>
    <w:rsid w:val="00234637"/>
    <w:rsid w:val="0023544B"/>
    <w:rsid w:val="002361B0"/>
    <w:rsid w:val="00236498"/>
    <w:rsid w:val="00237100"/>
    <w:rsid w:val="00240403"/>
    <w:rsid w:val="002404B7"/>
    <w:rsid w:val="00240FB6"/>
    <w:rsid w:val="00241586"/>
    <w:rsid w:val="002415D0"/>
    <w:rsid w:val="00242B16"/>
    <w:rsid w:val="00242E9C"/>
    <w:rsid w:val="0024332F"/>
    <w:rsid w:val="0024350A"/>
    <w:rsid w:val="002436AC"/>
    <w:rsid w:val="002437E2"/>
    <w:rsid w:val="002450ED"/>
    <w:rsid w:val="002453D0"/>
    <w:rsid w:val="00245B5E"/>
    <w:rsid w:val="0024705B"/>
    <w:rsid w:val="00247352"/>
    <w:rsid w:val="002476CE"/>
    <w:rsid w:val="00247F6E"/>
    <w:rsid w:val="0025140E"/>
    <w:rsid w:val="00252339"/>
    <w:rsid w:val="0025280A"/>
    <w:rsid w:val="00253BD4"/>
    <w:rsid w:val="00254A14"/>
    <w:rsid w:val="00254C54"/>
    <w:rsid w:val="00255D7D"/>
    <w:rsid w:val="00255E2F"/>
    <w:rsid w:val="00256B24"/>
    <w:rsid w:val="00257B9B"/>
    <w:rsid w:val="00260004"/>
    <w:rsid w:val="00260320"/>
    <w:rsid w:val="002611D2"/>
    <w:rsid w:val="00261B8C"/>
    <w:rsid w:val="00261FB7"/>
    <w:rsid w:val="00262994"/>
    <w:rsid w:val="002630AF"/>
    <w:rsid w:val="0026312A"/>
    <w:rsid w:val="0026585B"/>
    <w:rsid w:val="002705D4"/>
    <w:rsid w:val="00270B4F"/>
    <w:rsid w:val="00271F82"/>
    <w:rsid w:val="00273787"/>
    <w:rsid w:val="0027392C"/>
    <w:rsid w:val="002747DC"/>
    <w:rsid w:val="00274DB3"/>
    <w:rsid w:val="0027522D"/>
    <w:rsid w:val="00275E00"/>
    <w:rsid w:val="00276903"/>
    <w:rsid w:val="00276BE5"/>
    <w:rsid w:val="00276D74"/>
    <w:rsid w:val="00277297"/>
    <w:rsid w:val="0027783C"/>
    <w:rsid w:val="002778E4"/>
    <w:rsid w:val="00277CE4"/>
    <w:rsid w:val="00280F7D"/>
    <w:rsid w:val="0028133B"/>
    <w:rsid w:val="00282B31"/>
    <w:rsid w:val="00282F6D"/>
    <w:rsid w:val="0028408B"/>
    <w:rsid w:val="00284196"/>
    <w:rsid w:val="00284346"/>
    <w:rsid w:val="00286386"/>
    <w:rsid w:val="002863F1"/>
    <w:rsid w:val="00286804"/>
    <w:rsid w:val="0028770D"/>
    <w:rsid w:val="00290763"/>
    <w:rsid w:val="002912F3"/>
    <w:rsid w:val="00291750"/>
    <w:rsid w:val="00291E43"/>
    <w:rsid w:val="00292263"/>
    <w:rsid w:val="00292902"/>
    <w:rsid w:val="002935F9"/>
    <w:rsid w:val="002938D3"/>
    <w:rsid w:val="00293D24"/>
    <w:rsid w:val="00293D39"/>
    <w:rsid w:val="0029606F"/>
    <w:rsid w:val="00296457"/>
    <w:rsid w:val="00297989"/>
    <w:rsid w:val="002A0A16"/>
    <w:rsid w:val="002A2928"/>
    <w:rsid w:val="002A36BA"/>
    <w:rsid w:val="002A5B79"/>
    <w:rsid w:val="002A660D"/>
    <w:rsid w:val="002A678C"/>
    <w:rsid w:val="002A7080"/>
    <w:rsid w:val="002A7272"/>
    <w:rsid w:val="002A7A04"/>
    <w:rsid w:val="002A7FA4"/>
    <w:rsid w:val="002A86A7"/>
    <w:rsid w:val="002B03EF"/>
    <w:rsid w:val="002B176E"/>
    <w:rsid w:val="002B20CF"/>
    <w:rsid w:val="002B37DF"/>
    <w:rsid w:val="002B4470"/>
    <w:rsid w:val="002B4B81"/>
    <w:rsid w:val="002B50CA"/>
    <w:rsid w:val="002B514A"/>
    <w:rsid w:val="002B56C6"/>
    <w:rsid w:val="002B617F"/>
    <w:rsid w:val="002C0170"/>
    <w:rsid w:val="002C0630"/>
    <w:rsid w:val="002C191B"/>
    <w:rsid w:val="002C19C3"/>
    <w:rsid w:val="002C2154"/>
    <w:rsid w:val="002C2E1D"/>
    <w:rsid w:val="002C2F10"/>
    <w:rsid w:val="002C4BB9"/>
    <w:rsid w:val="002C644A"/>
    <w:rsid w:val="002C6511"/>
    <w:rsid w:val="002C6DCA"/>
    <w:rsid w:val="002C7DD7"/>
    <w:rsid w:val="002D3602"/>
    <w:rsid w:val="002D4DDA"/>
    <w:rsid w:val="002D5D90"/>
    <w:rsid w:val="002D63E1"/>
    <w:rsid w:val="002D679D"/>
    <w:rsid w:val="002D6AD6"/>
    <w:rsid w:val="002E098A"/>
    <w:rsid w:val="002E14FF"/>
    <w:rsid w:val="002E16E2"/>
    <w:rsid w:val="002E1B92"/>
    <w:rsid w:val="002E253C"/>
    <w:rsid w:val="002E2B14"/>
    <w:rsid w:val="002E2D85"/>
    <w:rsid w:val="002E318A"/>
    <w:rsid w:val="002E4A12"/>
    <w:rsid w:val="002E4DDE"/>
    <w:rsid w:val="002E4EAE"/>
    <w:rsid w:val="002E512E"/>
    <w:rsid w:val="002E6269"/>
    <w:rsid w:val="002F0846"/>
    <w:rsid w:val="002F1610"/>
    <w:rsid w:val="002F3A63"/>
    <w:rsid w:val="002F438F"/>
    <w:rsid w:val="002F45E2"/>
    <w:rsid w:val="002F53C2"/>
    <w:rsid w:val="002F728C"/>
    <w:rsid w:val="002F7A4E"/>
    <w:rsid w:val="002F7C76"/>
    <w:rsid w:val="003015AB"/>
    <w:rsid w:val="00301B5F"/>
    <w:rsid w:val="003024D7"/>
    <w:rsid w:val="00302CF1"/>
    <w:rsid w:val="0030347F"/>
    <w:rsid w:val="0030388D"/>
    <w:rsid w:val="00303A90"/>
    <w:rsid w:val="00305A6F"/>
    <w:rsid w:val="003062A6"/>
    <w:rsid w:val="003069B8"/>
    <w:rsid w:val="00306A17"/>
    <w:rsid w:val="00306D4F"/>
    <w:rsid w:val="00307803"/>
    <w:rsid w:val="00307BB7"/>
    <w:rsid w:val="00309ADE"/>
    <w:rsid w:val="00310735"/>
    <w:rsid w:val="003111E4"/>
    <w:rsid w:val="00311791"/>
    <w:rsid w:val="00311B50"/>
    <w:rsid w:val="00311E95"/>
    <w:rsid w:val="00312270"/>
    <w:rsid w:val="003153D8"/>
    <w:rsid w:val="0031641B"/>
    <w:rsid w:val="0031723F"/>
    <w:rsid w:val="00321481"/>
    <w:rsid w:val="00321D0A"/>
    <w:rsid w:val="00323D92"/>
    <w:rsid w:val="00324C27"/>
    <w:rsid w:val="00324DB7"/>
    <w:rsid w:val="00324DBE"/>
    <w:rsid w:val="003256E9"/>
    <w:rsid w:val="00325BE5"/>
    <w:rsid w:val="003271C6"/>
    <w:rsid w:val="00330204"/>
    <w:rsid w:val="00330EB8"/>
    <w:rsid w:val="003319D0"/>
    <w:rsid w:val="003324F4"/>
    <w:rsid w:val="00332752"/>
    <w:rsid w:val="00333B2D"/>
    <w:rsid w:val="00336D9F"/>
    <w:rsid w:val="00337BCC"/>
    <w:rsid w:val="00337E3A"/>
    <w:rsid w:val="00340776"/>
    <w:rsid w:val="00340C90"/>
    <w:rsid w:val="00341A36"/>
    <w:rsid w:val="003439C8"/>
    <w:rsid w:val="00344B6D"/>
    <w:rsid w:val="0034513D"/>
    <w:rsid w:val="00345381"/>
    <w:rsid w:val="00345553"/>
    <w:rsid w:val="00345EAF"/>
    <w:rsid w:val="00347A3B"/>
    <w:rsid w:val="00350E40"/>
    <w:rsid w:val="003518E1"/>
    <w:rsid w:val="00351BC5"/>
    <w:rsid w:val="0035239D"/>
    <w:rsid w:val="0035353A"/>
    <w:rsid w:val="00353845"/>
    <w:rsid w:val="00354553"/>
    <w:rsid w:val="00355202"/>
    <w:rsid w:val="003557A5"/>
    <w:rsid w:val="0035604B"/>
    <w:rsid w:val="00357C16"/>
    <w:rsid w:val="00361FCE"/>
    <w:rsid w:val="00362660"/>
    <w:rsid w:val="00363A49"/>
    <w:rsid w:val="00363BB9"/>
    <w:rsid w:val="00364281"/>
    <w:rsid w:val="00364B1C"/>
    <w:rsid w:val="00364EDB"/>
    <w:rsid w:val="003665CF"/>
    <w:rsid w:val="00366844"/>
    <w:rsid w:val="003672F7"/>
    <w:rsid w:val="00370089"/>
    <w:rsid w:val="00370203"/>
    <w:rsid w:val="00370910"/>
    <w:rsid w:val="003709B3"/>
    <w:rsid w:val="00371F4F"/>
    <w:rsid w:val="00371F68"/>
    <w:rsid w:val="00372BAB"/>
    <w:rsid w:val="00372F6D"/>
    <w:rsid w:val="00375FDE"/>
    <w:rsid w:val="0037603E"/>
    <w:rsid w:val="0037622B"/>
    <w:rsid w:val="0037678D"/>
    <w:rsid w:val="00376CD0"/>
    <w:rsid w:val="00377C12"/>
    <w:rsid w:val="0037D957"/>
    <w:rsid w:val="00380BDD"/>
    <w:rsid w:val="0038109F"/>
    <w:rsid w:val="003818AD"/>
    <w:rsid w:val="003829FA"/>
    <w:rsid w:val="00383E21"/>
    <w:rsid w:val="00384AF8"/>
    <w:rsid w:val="00384C43"/>
    <w:rsid w:val="0038567E"/>
    <w:rsid w:val="00385973"/>
    <w:rsid w:val="00385A95"/>
    <w:rsid w:val="003862DD"/>
    <w:rsid w:val="00387D25"/>
    <w:rsid w:val="0039093D"/>
    <w:rsid w:val="00391261"/>
    <w:rsid w:val="00391263"/>
    <w:rsid w:val="003915D6"/>
    <w:rsid w:val="0039190B"/>
    <w:rsid w:val="00393AE7"/>
    <w:rsid w:val="00394323"/>
    <w:rsid w:val="0039761D"/>
    <w:rsid w:val="0039789F"/>
    <w:rsid w:val="00397EA6"/>
    <w:rsid w:val="003A2691"/>
    <w:rsid w:val="003A2AF7"/>
    <w:rsid w:val="003A2B04"/>
    <w:rsid w:val="003A31FA"/>
    <w:rsid w:val="003A3CDD"/>
    <w:rsid w:val="003A4C9D"/>
    <w:rsid w:val="003A4DD6"/>
    <w:rsid w:val="003A5224"/>
    <w:rsid w:val="003A5F70"/>
    <w:rsid w:val="003A5FF4"/>
    <w:rsid w:val="003B0271"/>
    <w:rsid w:val="003B0567"/>
    <w:rsid w:val="003B14DC"/>
    <w:rsid w:val="003B174B"/>
    <w:rsid w:val="003B2258"/>
    <w:rsid w:val="003B24B6"/>
    <w:rsid w:val="003B2806"/>
    <w:rsid w:val="003B4956"/>
    <w:rsid w:val="003B540D"/>
    <w:rsid w:val="003B59A0"/>
    <w:rsid w:val="003B5B5E"/>
    <w:rsid w:val="003B62EC"/>
    <w:rsid w:val="003B6A62"/>
    <w:rsid w:val="003B6ADC"/>
    <w:rsid w:val="003C0821"/>
    <w:rsid w:val="003C2305"/>
    <w:rsid w:val="003C390F"/>
    <w:rsid w:val="003C4247"/>
    <w:rsid w:val="003C5523"/>
    <w:rsid w:val="003C631F"/>
    <w:rsid w:val="003C6524"/>
    <w:rsid w:val="003C672E"/>
    <w:rsid w:val="003D029F"/>
    <w:rsid w:val="003D0CE1"/>
    <w:rsid w:val="003D2E6E"/>
    <w:rsid w:val="003D2EC3"/>
    <w:rsid w:val="003D3580"/>
    <w:rsid w:val="003D3705"/>
    <w:rsid w:val="003D42E2"/>
    <w:rsid w:val="003D45F1"/>
    <w:rsid w:val="003D49FE"/>
    <w:rsid w:val="003D5968"/>
    <w:rsid w:val="003D6535"/>
    <w:rsid w:val="003D7465"/>
    <w:rsid w:val="003E1561"/>
    <w:rsid w:val="003E15B1"/>
    <w:rsid w:val="003E269D"/>
    <w:rsid w:val="003E303C"/>
    <w:rsid w:val="003E33D7"/>
    <w:rsid w:val="003E3922"/>
    <w:rsid w:val="003E4913"/>
    <w:rsid w:val="003E508C"/>
    <w:rsid w:val="003E7492"/>
    <w:rsid w:val="003E7E20"/>
    <w:rsid w:val="003F13BA"/>
    <w:rsid w:val="003F13DD"/>
    <w:rsid w:val="003F4D3F"/>
    <w:rsid w:val="003F523F"/>
    <w:rsid w:val="003F5615"/>
    <w:rsid w:val="003F742B"/>
    <w:rsid w:val="003F7BB2"/>
    <w:rsid w:val="003FCE76"/>
    <w:rsid w:val="0040050F"/>
    <w:rsid w:val="00400C52"/>
    <w:rsid w:val="0040107B"/>
    <w:rsid w:val="00401D80"/>
    <w:rsid w:val="0040205E"/>
    <w:rsid w:val="00402573"/>
    <w:rsid w:val="0040429F"/>
    <w:rsid w:val="004045F3"/>
    <w:rsid w:val="004048BE"/>
    <w:rsid w:val="00405684"/>
    <w:rsid w:val="00405E8B"/>
    <w:rsid w:val="0040668F"/>
    <w:rsid w:val="0040793B"/>
    <w:rsid w:val="00407C00"/>
    <w:rsid w:val="00410249"/>
    <w:rsid w:val="00410F98"/>
    <w:rsid w:val="00411EFE"/>
    <w:rsid w:val="00412DF1"/>
    <w:rsid w:val="00413076"/>
    <w:rsid w:val="00413295"/>
    <w:rsid w:val="00414650"/>
    <w:rsid w:val="00415DE2"/>
    <w:rsid w:val="00416959"/>
    <w:rsid w:val="00417AE3"/>
    <w:rsid w:val="00417EE8"/>
    <w:rsid w:val="00417FB7"/>
    <w:rsid w:val="00421041"/>
    <w:rsid w:val="0042158B"/>
    <w:rsid w:val="004217B1"/>
    <w:rsid w:val="004227A0"/>
    <w:rsid w:val="00422966"/>
    <w:rsid w:val="00422AB3"/>
    <w:rsid w:val="00423349"/>
    <w:rsid w:val="00425437"/>
    <w:rsid w:val="00425A56"/>
    <w:rsid w:val="00426F0F"/>
    <w:rsid w:val="004276A7"/>
    <w:rsid w:val="00427B41"/>
    <w:rsid w:val="00427DCF"/>
    <w:rsid w:val="004301D8"/>
    <w:rsid w:val="004304E6"/>
    <w:rsid w:val="00430910"/>
    <w:rsid w:val="00430A79"/>
    <w:rsid w:val="00430C71"/>
    <w:rsid w:val="004327E9"/>
    <w:rsid w:val="00432D89"/>
    <w:rsid w:val="00432EA5"/>
    <w:rsid w:val="00433A0A"/>
    <w:rsid w:val="00434068"/>
    <w:rsid w:val="004343C9"/>
    <w:rsid w:val="004347B1"/>
    <w:rsid w:val="00434B00"/>
    <w:rsid w:val="00434C11"/>
    <w:rsid w:val="00434E52"/>
    <w:rsid w:val="00435014"/>
    <w:rsid w:val="00435AC2"/>
    <w:rsid w:val="0043638D"/>
    <w:rsid w:val="004363D5"/>
    <w:rsid w:val="00437D4A"/>
    <w:rsid w:val="004408AA"/>
    <w:rsid w:val="004415E5"/>
    <w:rsid w:val="00442374"/>
    <w:rsid w:val="004425E3"/>
    <w:rsid w:val="004429DE"/>
    <w:rsid w:val="00443D12"/>
    <w:rsid w:val="004459AE"/>
    <w:rsid w:val="00446B9B"/>
    <w:rsid w:val="00447C33"/>
    <w:rsid w:val="0044A2DA"/>
    <w:rsid w:val="0045097F"/>
    <w:rsid w:val="00451149"/>
    <w:rsid w:val="00451FD0"/>
    <w:rsid w:val="00452F6F"/>
    <w:rsid w:val="00453F1E"/>
    <w:rsid w:val="004541E5"/>
    <w:rsid w:val="004575FF"/>
    <w:rsid w:val="00457786"/>
    <w:rsid w:val="00457A93"/>
    <w:rsid w:val="00457D27"/>
    <w:rsid w:val="0046085C"/>
    <w:rsid w:val="00460EBF"/>
    <w:rsid w:val="0046201D"/>
    <w:rsid w:val="0046203B"/>
    <w:rsid w:val="00462AD3"/>
    <w:rsid w:val="004632D7"/>
    <w:rsid w:val="0046365C"/>
    <w:rsid w:val="00463944"/>
    <w:rsid w:val="0046485C"/>
    <w:rsid w:val="004649C6"/>
    <w:rsid w:val="00464AE5"/>
    <w:rsid w:val="0046550B"/>
    <w:rsid w:val="00466277"/>
    <w:rsid w:val="00466A83"/>
    <w:rsid w:val="00467019"/>
    <w:rsid w:val="0047007B"/>
    <w:rsid w:val="0047073C"/>
    <w:rsid w:val="00472763"/>
    <w:rsid w:val="00472993"/>
    <w:rsid w:val="00474C07"/>
    <w:rsid w:val="004750CD"/>
    <w:rsid w:val="00477506"/>
    <w:rsid w:val="004806EC"/>
    <w:rsid w:val="00482756"/>
    <w:rsid w:val="00483B2A"/>
    <w:rsid w:val="00485E4D"/>
    <w:rsid w:val="004860F3"/>
    <w:rsid w:val="004864DC"/>
    <w:rsid w:val="00491714"/>
    <w:rsid w:val="00492088"/>
    <w:rsid w:val="00492724"/>
    <w:rsid w:val="00493A69"/>
    <w:rsid w:val="00493E96"/>
    <w:rsid w:val="00494DBE"/>
    <w:rsid w:val="00496136"/>
    <w:rsid w:val="00496BF3"/>
    <w:rsid w:val="00496DD2"/>
    <w:rsid w:val="0049730D"/>
    <w:rsid w:val="004A2987"/>
    <w:rsid w:val="004A40AC"/>
    <w:rsid w:val="004A47C0"/>
    <w:rsid w:val="004B029F"/>
    <w:rsid w:val="004B0EE2"/>
    <w:rsid w:val="004B10D3"/>
    <w:rsid w:val="004B1AD0"/>
    <w:rsid w:val="004B2738"/>
    <w:rsid w:val="004B3037"/>
    <w:rsid w:val="004B344C"/>
    <w:rsid w:val="004B3961"/>
    <w:rsid w:val="004B442B"/>
    <w:rsid w:val="004B4FDF"/>
    <w:rsid w:val="004B549E"/>
    <w:rsid w:val="004B556F"/>
    <w:rsid w:val="004B5713"/>
    <w:rsid w:val="004B5D50"/>
    <w:rsid w:val="004B66B8"/>
    <w:rsid w:val="004B74DD"/>
    <w:rsid w:val="004C0394"/>
    <w:rsid w:val="004C0976"/>
    <w:rsid w:val="004C1FD7"/>
    <w:rsid w:val="004C2181"/>
    <w:rsid w:val="004C2445"/>
    <w:rsid w:val="004C257E"/>
    <w:rsid w:val="004C3210"/>
    <w:rsid w:val="004C55A7"/>
    <w:rsid w:val="004C5CAD"/>
    <w:rsid w:val="004D230A"/>
    <w:rsid w:val="004D425B"/>
    <w:rsid w:val="004D4BAD"/>
    <w:rsid w:val="004D5208"/>
    <w:rsid w:val="004D597B"/>
    <w:rsid w:val="004D5B9B"/>
    <w:rsid w:val="004D5F02"/>
    <w:rsid w:val="004D60B9"/>
    <w:rsid w:val="004D6497"/>
    <w:rsid w:val="004D7153"/>
    <w:rsid w:val="004D77D7"/>
    <w:rsid w:val="004D7D19"/>
    <w:rsid w:val="004E107A"/>
    <w:rsid w:val="004E433A"/>
    <w:rsid w:val="004E5557"/>
    <w:rsid w:val="004E59D7"/>
    <w:rsid w:val="004E6509"/>
    <w:rsid w:val="004E6539"/>
    <w:rsid w:val="004E7565"/>
    <w:rsid w:val="004E7CB0"/>
    <w:rsid w:val="004F161B"/>
    <w:rsid w:val="004F181A"/>
    <w:rsid w:val="004F3FAD"/>
    <w:rsid w:val="004F4EBB"/>
    <w:rsid w:val="004F5033"/>
    <w:rsid w:val="004F5263"/>
    <w:rsid w:val="004F52BC"/>
    <w:rsid w:val="004F5CC3"/>
    <w:rsid w:val="004F6089"/>
    <w:rsid w:val="004F6299"/>
    <w:rsid w:val="004F6402"/>
    <w:rsid w:val="004F65D6"/>
    <w:rsid w:val="004F6EB2"/>
    <w:rsid w:val="004F79E6"/>
    <w:rsid w:val="0050037F"/>
    <w:rsid w:val="00500A45"/>
    <w:rsid w:val="00500BA5"/>
    <w:rsid w:val="005010AF"/>
    <w:rsid w:val="005020F6"/>
    <w:rsid w:val="00502D9A"/>
    <w:rsid w:val="00503C5E"/>
    <w:rsid w:val="00504B9E"/>
    <w:rsid w:val="00505260"/>
    <w:rsid w:val="00506849"/>
    <w:rsid w:val="0050736F"/>
    <w:rsid w:val="00507A3C"/>
    <w:rsid w:val="0051035A"/>
    <w:rsid w:val="005104D5"/>
    <w:rsid w:val="00514C7D"/>
    <w:rsid w:val="00515E85"/>
    <w:rsid w:val="00515F70"/>
    <w:rsid w:val="0051799C"/>
    <w:rsid w:val="0052121D"/>
    <w:rsid w:val="00521515"/>
    <w:rsid w:val="0052236E"/>
    <w:rsid w:val="0052244C"/>
    <w:rsid w:val="0052337C"/>
    <w:rsid w:val="00523780"/>
    <w:rsid w:val="00523B1A"/>
    <w:rsid w:val="00524A06"/>
    <w:rsid w:val="005250AA"/>
    <w:rsid w:val="005254A3"/>
    <w:rsid w:val="00525D64"/>
    <w:rsid w:val="00526F0C"/>
    <w:rsid w:val="00527343"/>
    <w:rsid w:val="00527426"/>
    <w:rsid w:val="00530476"/>
    <w:rsid w:val="00530588"/>
    <w:rsid w:val="00532603"/>
    <w:rsid w:val="005326F0"/>
    <w:rsid w:val="00532887"/>
    <w:rsid w:val="005331B4"/>
    <w:rsid w:val="005334A8"/>
    <w:rsid w:val="00533B0F"/>
    <w:rsid w:val="00534118"/>
    <w:rsid w:val="00534911"/>
    <w:rsid w:val="00535F13"/>
    <w:rsid w:val="00536C17"/>
    <w:rsid w:val="005423E1"/>
    <w:rsid w:val="00542E89"/>
    <w:rsid w:val="00545A30"/>
    <w:rsid w:val="00546682"/>
    <w:rsid w:val="00550026"/>
    <w:rsid w:val="00551110"/>
    <w:rsid w:val="005514A8"/>
    <w:rsid w:val="00551766"/>
    <w:rsid w:val="00551858"/>
    <w:rsid w:val="00551A83"/>
    <w:rsid w:val="00552DF9"/>
    <w:rsid w:val="00554184"/>
    <w:rsid w:val="00554D91"/>
    <w:rsid w:val="00555C68"/>
    <w:rsid w:val="0055669C"/>
    <w:rsid w:val="0055708F"/>
    <w:rsid w:val="005578B2"/>
    <w:rsid w:val="00560C24"/>
    <w:rsid w:val="00561DF6"/>
    <w:rsid w:val="00563157"/>
    <w:rsid w:val="00563382"/>
    <w:rsid w:val="00563590"/>
    <w:rsid w:val="005639C5"/>
    <w:rsid w:val="00563E23"/>
    <w:rsid w:val="0056528E"/>
    <w:rsid w:val="0056566F"/>
    <w:rsid w:val="0056646B"/>
    <w:rsid w:val="00566D8C"/>
    <w:rsid w:val="00567CBD"/>
    <w:rsid w:val="0057082F"/>
    <w:rsid w:val="00570903"/>
    <w:rsid w:val="0057122F"/>
    <w:rsid w:val="0057235D"/>
    <w:rsid w:val="005723B6"/>
    <w:rsid w:val="00572602"/>
    <w:rsid w:val="00572E42"/>
    <w:rsid w:val="00573118"/>
    <w:rsid w:val="00573A5F"/>
    <w:rsid w:val="00574634"/>
    <w:rsid w:val="005746B3"/>
    <w:rsid w:val="00574F85"/>
    <w:rsid w:val="005756BA"/>
    <w:rsid w:val="00576F12"/>
    <w:rsid w:val="0057771A"/>
    <w:rsid w:val="00580B24"/>
    <w:rsid w:val="00580C75"/>
    <w:rsid w:val="00580F48"/>
    <w:rsid w:val="00580F88"/>
    <w:rsid w:val="00580FFE"/>
    <w:rsid w:val="00583A8A"/>
    <w:rsid w:val="00584312"/>
    <w:rsid w:val="00584764"/>
    <w:rsid w:val="00584B95"/>
    <w:rsid w:val="00585679"/>
    <w:rsid w:val="005859DB"/>
    <w:rsid w:val="005871F6"/>
    <w:rsid w:val="00587A94"/>
    <w:rsid w:val="00590411"/>
    <w:rsid w:val="005912F3"/>
    <w:rsid w:val="00591F7F"/>
    <w:rsid w:val="0059242E"/>
    <w:rsid w:val="00592559"/>
    <w:rsid w:val="00592825"/>
    <w:rsid w:val="00592B33"/>
    <w:rsid w:val="0059316F"/>
    <w:rsid w:val="00593A4D"/>
    <w:rsid w:val="0059482F"/>
    <w:rsid w:val="0059507F"/>
    <w:rsid w:val="00595084"/>
    <w:rsid w:val="0059575D"/>
    <w:rsid w:val="00595F7E"/>
    <w:rsid w:val="00596ADA"/>
    <w:rsid w:val="00596CDF"/>
    <w:rsid w:val="00596F1C"/>
    <w:rsid w:val="00597191"/>
    <w:rsid w:val="0059740B"/>
    <w:rsid w:val="005A0960"/>
    <w:rsid w:val="005A1CAB"/>
    <w:rsid w:val="005A200C"/>
    <w:rsid w:val="005A2351"/>
    <w:rsid w:val="005A2967"/>
    <w:rsid w:val="005A3723"/>
    <w:rsid w:val="005A402E"/>
    <w:rsid w:val="005A455F"/>
    <w:rsid w:val="005A468F"/>
    <w:rsid w:val="005A4F25"/>
    <w:rsid w:val="005A6570"/>
    <w:rsid w:val="005B0D46"/>
    <w:rsid w:val="005B13CE"/>
    <w:rsid w:val="005B16BC"/>
    <w:rsid w:val="005B1AE4"/>
    <w:rsid w:val="005B1B60"/>
    <w:rsid w:val="005B1E8C"/>
    <w:rsid w:val="005B2704"/>
    <w:rsid w:val="005B4B17"/>
    <w:rsid w:val="005B5FC1"/>
    <w:rsid w:val="005B6AEE"/>
    <w:rsid w:val="005C1017"/>
    <w:rsid w:val="005C1A54"/>
    <w:rsid w:val="005C1D9E"/>
    <w:rsid w:val="005C218D"/>
    <w:rsid w:val="005C25B7"/>
    <w:rsid w:val="005C27D6"/>
    <w:rsid w:val="005C338F"/>
    <w:rsid w:val="005C388E"/>
    <w:rsid w:val="005C390D"/>
    <w:rsid w:val="005C3C63"/>
    <w:rsid w:val="005C4299"/>
    <w:rsid w:val="005C4669"/>
    <w:rsid w:val="005C4713"/>
    <w:rsid w:val="005C4A4E"/>
    <w:rsid w:val="005C51B2"/>
    <w:rsid w:val="005C5437"/>
    <w:rsid w:val="005C5BBC"/>
    <w:rsid w:val="005C5CF7"/>
    <w:rsid w:val="005C6275"/>
    <w:rsid w:val="005C7286"/>
    <w:rsid w:val="005C7937"/>
    <w:rsid w:val="005D0644"/>
    <w:rsid w:val="005D198F"/>
    <w:rsid w:val="005D1AAD"/>
    <w:rsid w:val="005D2264"/>
    <w:rsid w:val="005D2A45"/>
    <w:rsid w:val="005D51F4"/>
    <w:rsid w:val="005D6B49"/>
    <w:rsid w:val="005D7563"/>
    <w:rsid w:val="005D7D37"/>
    <w:rsid w:val="005E0261"/>
    <w:rsid w:val="005E4639"/>
    <w:rsid w:val="005E483D"/>
    <w:rsid w:val="005E6178"/>
    <w:rsid w:val="005E771F"/>
    <w:rsid w:val="005E7743"/>
    <w:rsid w:val="005E7926"/>
    <w:rsid w:val="005F0FA9"/>
    <w:rsid w:val="005F122B"/>
    <w:rsid w:val="005F165F"/>
    <w:rsid w:val="005F1CE6"/>
    <w:rsid w:val="005F23F0"/>
    <w:rsid w:val="005F3D57"/>
    <w:rsid w:val="005F619A"/>
    <w:rsid w:val="005F62F3"/>
    <w:rsid w:val="006013DF"/>
    <w:rsid w:val="00601691"/>
    <w:rsid w:val="006017FA"/>
    <w:rsid w:val="00601A24"/>
    <w:rsid w:val="00602223"/>
    <w:rsid w:val="00602D07"/>
    <w:rsid w:val="006031E3"/>
    <w:rsid w:val="0060351B"/>
    <w:rsid w:val="00603977"/>
    <w:rsid w:val="00603B53"/>
    <w:rsid w:val="00603FA1"/>
    <w:rsid w:val="0060411F"/>
    <w:rsid w:val="0060435E"/>
    <w:rsid w:val="00604DA9"/>
    <w:rsid w:val="00605049"/>
    <w:rsid w:val="00607CF5"/>
    <w:rsid w:val="00610B34"/>
    <w:rsid w:val="00611291"/>
    <w:rsid w:val="0061164E"/>
    <w:rsid w:val="0061191F"/>
    <w:rsid w:val="00612A14"/>
    <w:rsid w:val="00612D7C"/>
    <w:rsid w:val="006138C2"/>
    <w:rsid w:val="00613F5F"/>
    <w:rsid w:val="00614059"/>
    <w:rsid w:val="00614088"/>
    <w:rsid w:val="006146D0"/>
    <w:rsid w:val="00615797"/>
    <w:rsid w:val="00615B64"/>
    <w:rsid w:val="00616486"/>
    <w:rsid w:val="006166B4"/>
    <w:rsid w:val="00616DD7"/>
    <w:rsid w:val="00617939"/>
    <w:rsid w:val="0062006E"/>
    <w:rsid w:val="00621123"/>
    <w:rsid w:val="006238EE"/>
    <w:rsid w:val="006238FE"/>
    <w:rsid w:val="00631ABA"/>
    <w:rsid w:val="006328DA"/>
    <w:rsid w:val="00634041"/>
    <w:rsid w:val="006347D6"/>
    <w:rsid w:val="00634ED8"/>
    <w:rsid w:val="006357D2"/>
    <w:rsid w:val="00635892"/>
    <w:rsid w:val="00635F38"/>
    <w:rsid w:val="00636071"/>
    <w:rsid w:val="00636AAC"/>
    <w:rsid w:val="006379F2"/>
    <w:rsid w:val="00637DBA"/>
    <w:rsid w:val="0064051A"/>
    <w:rsid w:val="0064105B"/>
    <w:rsid w:val="00641725"/>
    <w:rsid w:val="006419A7"/>
    <w:rsid w:val="0064219E"/>
    <w:rsid w:val="00644EA7"/>
    <w:rsid w:val="00645419"/>
    <w:rsid w:val="00646EC7"/>
    <w:rsid w:val="00647FFB"/>
    <w:rsid w:val="00650388"/>
    <w:rsid w:val="00650521"/>
    <w:rsid w:val="00651017"/>
    <w:rsid w:val="00651619"/>
    <w:rsid w:val="006526F3"/>
    <w:rsid w:val="00652BDD"/>
    <w:rsid w:val="00655C00"/>
    <w:rsid w:val="006573CF"/>
    <w:rsid w:val="00657722"/>
    <w:rsid w:val="0066099C"/>
    <w:rsid w:val="00660A92"/>
    <w:rsid w:val="00660AF5"/>
    <w:rsid w:val="00660BF8"/>
    <w:rsid w:val="00660D6E"/>
    <w:rsid w:val="00660DCC"/>
    <w:rsid w:val="006611D8"/>
    <w:rsid w:val="00661622"/>
    <w:rsid w:val="00662A99"/>
    <w:rsid w:val="00664639"/>
    <w:rsid w:val="00665593"/>
    <w:rsid w:val="00667866"/>
    <w:rsid w:val="006704C3"/>
    <w:rsid w:val="00670EB6"/>
    <w:rsid w:val="00670F61"/>
    <w:rsid w:val="00671202"/>
    <w:rsid w:val="006713F9"/>
    <w:rsid w:val="006725FB"/>
    <w:rsid w:val="00672ADC"/>
    <w:rsid w:val="0067343B"/>
    <w:rsid w:val="00674202"/>
    <w:rsid w:val="00674714"/>
    <w:rsid w:val="006749F6"/>
    <w:rsid w:val="00674E20"/>
    <w:rsid w:val="00674FE4"/>
    <w:rsid w:val="00675898"/>
    <w:rsid w:val="00675BCB"/>
    <w:rsid w:val="0067628E"/>
    <w:rsid w:val="006765F5"/>
    <w:rsid w:val="0067701D"/>
    <w:rsid w:val="0067721A"/>
    <w:rsid w:val="00677499"/>
    <w:rsid w:val="00677BFA"/>
    <w:rsid w:val="006808A6"/>
    <w:rsid w:val="00680977"/>
    <w:rsid w:val="00680B66"/>
    <w:rsid w:val="006822E6"/>
    <w:rsid w:val="006823C5"/>
    <w:rsid w:val="00682C3C"/>
    <w:rsid w:val="00682D3C"/>
    <w:rsid w:val="0068355B"/>
    <w:rsid w:val="00683A89"/>
    <w:rsid w:val="00686B43"/>
    <w:rsid w:val="006878B5"/>
    <w:rsid w:val="00687D5C"/>
    <w:rsid w:val="0068B4D0"/>
    <w:rsid w:val="00690CB7"/>
    <w:rsid w:val="006911A2"/>
    <w:rsid w:val="00691607"/>
    <w:rsid w:val="00691978"/>
    <w:rsid w:val="00693710"/>
    <w:rsid w:val="006943A0"/>
    <w:rsid w:val="0069489E"/>
    <w:rsid w:val="006958EC"/>
    <w:rsid w:val="00696A6B"/>
    <w:rsid w:val="006970FD"/>
    <w:rsid w:val="006979CF"/>
    <w:rsid w:val="006A09B4"/>
    <w:rsid w:val="006A0C26"/>
    <w:rsid w:val="006A0E06"/>
    <w:rsid w:val="006A1755"/>
    <w:rsid w:val="006A1E7C"/>
    <w:rsid w:val="006A242D"/>
    <w:rsid w:val="006A35AB"/>
    <w:rsid w:val="006A38D8"/>
    <w:rsid w:val="006A47E8"/>
    <w:rsid w:val="006A4B75"/>
    <w:rsid w:val="006A6480"/>
    <w:rsid w:val="006A6920"/>
    <w:rsid w:val="006B058F"/>
    <w:rsid w:val="006B0998"/>
    <w:rsid w:val="006B2313"/>
    <w:rsid w:val="006B284E"/>
    <w:rsid w:val="006B4274"/>
    <w:rsid w:val="006B4571"/>
    <w:rsid w:val="006B6113"/>
    <w:rsid w:val="006B7637"/>
    <w:rsid w:val="006C0A10"/>
    <w:rsid w:val="006C0E7D"/>
    <w:rsid w:val="006C187B"/>
    <w:rsid w:val="006C241C"/>
    <w:rsid w:val="006C3572"/>
    <w:rsid w:val="006C3E6F"/>
    <w:rsid w:val="006C4061"/>
    <w:rsid w:val="006C4303"/>
    <w:rsid w:val="006C5102"/>
    <w:rsid w:val="006C6322"/>
    <w:rsid w:val="006C6AA8"/>
    <w:rsid w:val="006D028E"/>
    <w:rsid w:val="006D03DF"/>
    <w:rsid w:val="006D2E16"/>
    <w:rsid w:val="006D3A91"/>
    <w:rsid w:val="006D3D25"/>
    <w:rsid w:val="006D4DE3"/>
    <w:rsid w:val="006D73A1"/>
    <w:rsid w:val="006E05D8"/>
    <w:rsid w:val="006E2029"/>
    <w:rsid w:val="006E2300"/>
    <w:rsid w:val="006E2500"/>
    <w:rsid w:val="006E2648"/>
    <w:rsid w:val="006E289B"/>
    <w:rsid w:val="006E3CAA"/>
    <w:rsid w:val="006E3EFE"/>
    <w:rsid w:val="006E4A70"/>
    <w:rsid w:val="006E61A1"/>
    <w:rsid w:val="006E64A4"/>
    <w:rsid w:val="006E6C62"/>
    <w:rsid w:val="006E7F73"/>
    <w:rsid w:val="006F0CC3"/>
    <w:rsid w:val="006F1C11"/>
    <w:rsid w:val="006F359A"/>
    <w:rsid w:val="006F4052"/>
    <w:rsid w:val="006F5484"/>
    <w:rsid w:val="006F56C1"/>
    <w:rsid w:val="0070236E"/>
    <w:rsid w:val="007034F3"/>
    <w:rsid w:val="007047C7"/>
    <w:rsid w:val="00705670"/>
    <w:rsid w:val="007068AF"/>
    <w:rsid w:val="00706DE7"/>
    <w:rsid w:val="007072B0"/>
    <w:rsid w:val="007075B8"/>
    <w:rsid w:val="007075F3"/>
    <w:rsid w:val="0070765C"/>
    <w:rsid w:val="00707A06"/>
    <w:rsid w:val="0071048C"/>
    <w:rsid w:val="0071053B"/>
    <w:rsid w:val="00710D41"/>
    <w:rsid w:val="0071278C"/>
    <w:rsid w:val="00715B72"/>
    <w:rsid w:val="00715FE8"/>
    <w:rsid w:val="00716346"/>
    <w:rsid w:val="00716971"/>
    <w:rsid w:val="007175EE"/>
    <w:rsid w:val="007201BB"/>
    <w:rsid w:val="00720984"/>
    <w:rsid w:val="00720BDE"/>
    <w:rsid w:val="0072148C"/>
    <w:rsid w:val="00721BCE"/>
    <w:rsid w:val="00721DEC"/>
    <w:rsid w:val="00723060"/>
    <w:rsid w:val="0072362A"/>
    <w:rsid w:val="00723BF9"/>
    <w:rsid w:val="00724807"/>
    <w:rsid w:val="007252CA"/>
    <w:rsid w:val="00725AF0"/>
    <w:rsid w:val="007302F6"/>
    <w:rsid w:val="007305B9"/>
    <w:rsid w:val="00732944"/>
    <w:rsid w:val="00732D76"/>
    <w:rsid w:val="00733C5C"/>
    <w:rsid w:val="007344B8"/>
    <w:rsid w:val="00734538"/>
    <w:rsid w:val="0073570B"/>
    <w:rsid w:val="00735D1B"/>
    <w:rsid w:val="00735F12"/>
    <w:rsid w:val="00736D3E"/>
    <w:rsid w:val="00737007"/>
    <w:rsid w:val="0074040B"/>
    <w:rsid w:val="00740B07"/>
    <w:rsid w:val="00741153"/>
    <w:rsid w:val="007414AF"/>
    <w:rsid w:val="007415A7"/>
    <w:rsid w:val="00741CAF"/>
    <w:rsid w:val="00742BCC"/>
    <w:rsid w:val="00743B3D"/>
    <w:rsid w:val="007447E7"/>
    <w:rsid w:val="0074519D"/>
    <w:rsid w:val="007456CC"/>
    <w:rsid w:val="00745C9F"/>
    <w:rsid w:val="00746198"/>
    <w:rsid w:val="00746710"/>
    <w:rsid w:val="007479A2"/>
    <w:rsid w:val="007505C1"/>
    <w:rsid w:val="00750759"/>
    <w:rsid w:val="00750949"/>
    <w:rsid w:val="00750DA7"/>
    <w:rsid w:val="00751340"/>
    <w:rsid w:val="00752AF2"/>
    <w:rsid w:val="007540E2"/>
    <w:rsid w:val="00756370"/>
    <w:rsid w:val="00757676"/>
    <w:rsid w:val="00757E89"/>
    <w:rsid w:val="00760D6D"/>
    <w:rsid w:val="007626EF"/>
    <w:rsid w:val="00762CBF"/>
    <w:rsid w:val="00765D87"/>
    <w:rsid w:val="0076613D"/>
    <w:rsid w:val="00766E27"/>
    <w:rsid w:val="00767952"/>
    <w:rsid w:val="007702B4"/>
    <w:rsid w:val="0077111A"/>
    <w:rsid w:val="007712C0"/>
    <w:rsid w:val="00772AB7"/>
    <w:rsid w:val="00772CA6"/>
    <w:rsid w:val="007731DB"/>
    <w:rsid w:val="007737F4"/>
    <w:rsid w:val="00773A16"/>
    <w:rsid w:val="0077612A"/>
    <w:rsid w:val="00777DA7"/>
    <w:rsid w:val="007808F6"/>
    <w:rsid w:val="00780E7A"/>
    <w:rsid w:val="00781533"/>
    <w:rsid w:val="00781A5B"/>
    <w:rsid w:val="007823D9"/>
    <w:rsid w:val="0078279D"/>
    <w:rsid w:val="00783D57"/>
    <w:rsid w:val="007842E0"/>
    <w:rsid w:val="007843C1"/>
    <w:rsid w:val="0078457F"/>
    <w:rsid w:val="007848AD"/>
    <w:rsid w:val="00784C92"/>
    <w:rsid w:val="007862FF"/>
    <w:rsid w:val="00787F49"/>
    <w:rsid w:val="0079000D"/>
    <w:rsid w:val="00790A1B"/>
    <w:rsid w:val="007930F3"/>
    <w:rsid w:val="007931C6"/>
    <w:rsid w:val="00793BDE"/>
    <w:rsid w:val="0079420B"/>
    <w:rsid w:val="0079560A"/>
    <w:rsid w:val="00795FF2"/>
    <w:rsid w:val="00796921"/>
    <w:rsid w:val="00796DA8"/>
    <w:rsid w:val="007973B8"/>
    <w:rsid w:val="007A0137"/>
    <w:rsid w:val="007A0158"/>
    <w:rsid w:val="007A08F4"/>
    <w:rsid w:val="007A0D1E"/>
    <w:rsid w:val="007A14AB"/>
    <w:rsid w:val="007A24E7"/>
    <w:rsid w:val="007A28E6"/>
    <w:rsid w:val="007A3968"/>
    <w:rsid w:val="007A3BDC"/>
    <w:rsid w:val="007A3F76"/>
    <w:rsid w:val="007A423B"/>
    <w:rsid w:val="007A49EF"/>
    <w:rsid w:val="007A4BFE"/>
    <w:rsid w:val="007A4E01"/>
    <w:rsid w:val="007A5D03"/>
    <w:rsid w:val="007A650B"/>
    <w:rsid w:val="007A7675"/>
    <w:rsid w:val="007A7A4D"/>
    <w:rsid w:val="007A7B07"/>
    <w:rsid w:val="007B0B89"/>
    <w:rsid w:val="007B1904"/>
    <w:rsid w:val="007B260E"/>
    <w:rsid w:val="007B2CD5"/>
    <w:rsid w:val="007B3812"/>
    <w:rsid w:val="007B3D43"/>
    <w:rsid w:val="007B43ED"/>
    <w:rsid w:val="007B4876"/>
    <w:rsid w:val="007B62F6"/>
    <w:rsid w:val="007B6A84"/>
    <w:rsid w:val="007B7403"/>
    <w:rsid w:val="007C22DA"/>
    <w:rsid w:val="007C2E27"/>
    <w:rsid w:val="007C2EB8"/>
    <w:rsid w:val="007C3AAE"/>
    <w:rsid w:val="007C5B95"/>
    <w:rsid w:val="007C638A"/>
    <w:rsid w:val="007C6FE3"/>
    <w:rsid w:val="007C767E"/>
    <w:rsid w:val="007C79F9"/>
    <w:rsid w:val="007D052B"/>
    <w:rsid w:val="007D0BE8"/>
    <w:rsid w:val="007D1421"/>
    <w:rsid w:val="007D15AA"/>
    <w:rsid w:val="007D1EDC"/>
    <w:rsid w:val="007D380C"/>
    <w:rsid w:val="007D55D3"/>
    <w:rsid w:val="007D67B6"/>
    <w:rsid w:val="007D6BB0"/>
    <w:rsid w:val="007E1410"/>
    <w:rsid w:val="007E1CD6"/>
    <w:rsid w:val="007E3561"/>
    <w:rsid w:val="007E5B4E"/>
    <w:rsid w:val="007E757B"/>
    <w:rsid w:val="007F0103"/>
    <w:rsid w:val="007F0163"/>
    <w:rsid w:val="007F1BB8"/>
    <w:rsid w:val="007F1EAF"/>
    <w:rsid w:val="007F2D52"/>
    <w:rsid w:val="007F3878"/>
    <w:rsid w:val="007F4DA7"/>
    <w:rsid w:val="007F50AB"/>
    <w:rsid w:val="007F50ED"/>
    <w:rsid w:val="007F5254"/>
    <w:rsid w:val="007F66F9"/>
    <w:rsid w:val="007F66FC"/>
    <w:rsid w:val="007F74DA"/>
    <w:rsid w:val="007F7E41"/>
    <w:rsid w:val="007FC853"/>
    <w:rsid w:val="00800D8F"/>
    <w:rsid w:val="00801C46"/>
    <w:rsid w:val="00803969"/>
    <w:rsid w:val="00803A1A"/>
    <w:rsid w:val="00803DF7"/>
    <w:rsid w:val="00804589"/>
    <w:rsid w:val="00804650"/>
    <w:rsid w:val="0080478E"/>
    <w:rsid w:val="00805FD8"/>
    <w:rsid w:val="00806F4A"/>
    <w:rsid w:val="008079F0"/>
    <w:rsid w:val="00807DAC"/>
    <w:rsid w:val="008104BA"/>
    <w:rsid w:val="00812A26"/>
    <w:rsid w:val="00814521"/>
    <w:rsid w:val="00816A14"/>
    <w:rsid w:val="008170FE"/>
    <w:rsid w:val="00817D2D"/>
    <w:rsid w:val="00821161"/>
    <w:rsid w:val="00821C89"/>
    <w:rsid w:val="00822590"/>
    <w:rsid w:val="0082332E"/>
    <w:rsid w:val="00825552"/>
    <w:rsid w:val="008257C8"/>
    <w:rsid w:val="00825C94"/>
    <w:rsid w:val="00826494"/>
    <w:rsid w:val="0083170E"/>
    <w:rsid w:val="00831BAD"/>
    <w:rsid w:val="00832B34"/>
    <w:rsid w:val="008337EE"/>
    <w:rsid w:val="00834AE5"/>
    <w:rsid w:val="0083513D"/>
    <w:rsid w:val="00835A80"/>
    <w:rsid w:val="00835BB4"/>
    <w:rsid w:val="00836157"/>
    <w:rsid w:val="00836AD9"/>
    <w:rsid w:val="00836DA3"/>
    <w:rsid w:val="00836E03"/>
    <w:rsid w:val="008376FF"/>
    <w:rsid w:val="00837B42"/>
    <w:rsid w:val="00838737"/>
    <w:rsid w:val="0084012B"/>
    <w:rsid w:val="0084033C"/>
    <w:rsid w:val="00840665"/>
    <w:rsid w:val="008407F7"/>
    <w:rsid w:val="00841395"/>
    <w:rsid w:val="00842C58"/>
    <w:rsid w:val="00843371"/>
    <w:rsid w:val="00843B03"/>
    <w:rsid w:val="00844753"/>
    <w:rsid w:val="0084503F"/>
    <w:rsid w:val="00846238"/>
    <w:rsid w:val="00846543"/>
    <w:rsid w:val="00846732"/>
    <w:rsid w:val="0084F05F"/>
    <w:rsid w:val="00850260"/>
    <w:rsid w:val="00850319"/>
    <w:rsid w:val="008509F4"/>
    <w:rsid w:val="0085302E"/>
    <w:rsid w:val="008535D0"/>
    <w:rsid w:val="00853812"/>
    <w:rsid w:val="008547F4"/>
    <w:rsid w:val="00855958"/>
    <w:rsid w:val="0085696B"/>
    <w:rsid w:val="00857366"/>
    <w:rsid w:val="0085794F"/>
    <w:rsid w:val="00862091"/>
    <w:rsid w:val="008632D3"/>
    <w:rsid w:val="00863415"/>
    <w:rsid w:val="00866565"/>
    <w:rsid w:val="00867EE9"/>
    <w:rsid w:val="0087177E"/>
    <w:rsid w:val="00871F94"/>
    <w:rsid w:val="00873562"/>
    <w:rsid w:val="008735EF"/>
    <w:rsid w:val="00874660"/>
    <w:rsid w:val="00875EE4"/>
    <w:rsid w:val="00877691"/>
    <w:rsid w:val="0088099A"/>
    <w:rsid w:val="00881604"/>
    <w:rsid w:val="00881798"/>
    <w:rsid w:val="00882766"/>
    <w:rsid w:val="00882806"/>
    <w:rsid w:val="008828D8"/>
    <w:rsid w:val="008833CE"/>
    <w:rsid w:val="00883E44"/>
    <w:rsid w:val="00884604"/>
    <w:rsid w:val="008846A7"/>
    <w:rsid w:val="0088646F"/>
    <w:rsid w:val="00890F70"/>
    <w:rsid w:val="00891B05"/>
    <w:rsid w:val="00892A33"/>
    <w:rsid w:val="008932EB"/>
    <w:rsid w:val="0089382A"/>
    <w:rsid w:val="0089455B"/>
    <w:rsid w:val="00894D2F"/>
    <w:rsid w:val="00895F2A"/>
    <w:rsid w:val="00897230"/>
    <w:rsid w:val="008975E1"/>
    <w:rsid w:val="008A062B"/>
    <w:rsid w:val="008A0D13"/>
    <w:rsid w:val="008A128A"/>
    <w:rsid w:val="008A3E7D"/>
    <w:rsid w:val="008A426E"/>
    <w:rsid w:val="008A47D6"/>
    <w:rsid w:val="008A4EC3"/>
    <w:rsid w:val="008A4FCB"/>
    <w:rsid w:val="008A6117"/>
    <w:rsid w:val="008A6161"/>
    <w:rsid w:val="008A652B"/>
    <w:rsid w:val="008A72DD"/>
    <w:rsid w:val="008A7D54"/>
    <w:rsid w:val="008A7E6F"/>
    <w:rsid w:val="008B0019"/>
    <w:rsid w:val="008B02E8"/>
    <w:rsid w:val="008B05B1"/>
    <w:rsid w:val="008B0CF2"/>
    <w:rsid w:val="008B18EE"/>
    <w:rsid w:val="008B28CF"/>
    <w:rsid w:val="008B2ACC"/>
    <w:rsid w:val="008B3674"/>
    <w:rsid w:val="008B382D"/>
    <w:rsid w:val="008B47E5"/>
    <w:rsid w:val="008B5689"/>
    <w:rsid w:val="008B638B"/>
    <w:rsid w:val="008B7F0A"/>
    <w:rsid w:val="008C02D8"/>
    <w:rsid w:val="008C1AF9"/>
    <w:rsid w:val="008C3657"/>
    <w:rsid w:val="008C5BAE"/>
    <w:rsid w:val="008D01B2"/>
    <w:rsid w:val="008D0210"/>
    <w:rsid w:val="008D0769"/>
    <w:rsid w:val="008D1018"/>
    <w:rsid w:val="008D12EA"/>
    <w:rsid w:val="008D217E"/>
    <w:rsid w:val="008D3096"/>
    <w:rsid w:val="008D325C"/>
    <w:rsid w:val="008D3461"/>
    <w:rsid w:val="008D3CA2"/>
    <w:rsid w:val="008D3CAB"/>
    <w:rsid w:val="008D4770"/>
    <w:rsid w:val="008D51BB"/>
    <w:rsid w:val="008D718F"/>
    <w:rsid w:val="008D795E"/>
    <w:rsid w:val="008D7B7A"/>
    <w:rsid w:val="008E0D84"/>
    <w:rsid w:val="008E0E90"/>
    <w:rsid w:val="008E10EF"/>
    <w:rsid w:val="008E11DA"/>
    <w:rsid w:val="008E13C9"/>
    <w:rsid w:val="008E2023"/>
    <w:rsid w:val="008E3C57"/>
    <w:rsid w:val="008E41B0"/>
    <w:rsid w:val="008E4639"/>
    <w:rsid w:val="008E506E"/>
    <w:rsid w:val="008E5141"/>
    <w:rsid w:val="008E5741"/>
    <w:rsid w:val="008E599C"/>
    <w:rsid w:val="008F0F07"/>
    <w:rsid w:val="008F100F"/>
    <w:rsid w:val="008F15EC"/>
    <w:rsid w:val="008F1A7B"/>
    <w:rsid w:val="008F342B"/>
    <w:rsid w:val="008F41CD"/>
    <w:rsid w:val="008F44E1"/>
    <w:rsid w:val="008F5712"/>
    <w:rsid w:val="008F593F"/>
    <w:rsid w:val="0090036B"/>
    <w:rsid w:val="009004B2"/>
    <w:rsid w:val="0090095C"/>
    <w:rsid w:val="0090160D"/>
    <w:rsid w:val="00902782"/>
    <w:rsid w:val="00902F64"/>
    <w:rsid w:val="009035B7"/>
    <w:rsid w:val="00905EE4"/>
    <w:rsid w:val="0090620D"/>
    <w:rsid w:val="009062FD"/>
    <w:rsid w:val="00906778"/>
    <w:rsid w:val="00906AA1"/>
    <w:rsid w:val="00906DA6"/>
    <w:rsid w:val="0090739C"/>
    <w:rsid w:val="009078DC"/>
    <w:rsid w:val="00911BE0"/>
    <w:rsid w:val="009131B5"/>
    <w:rsid w:val="00914D88"/>
    <w:rsid w:val="00914EC3"/>
    <w:rsid w:val="00915457"/>
    <w:rsid w:val="0091631C"/>
    <w:rsid w:val="00917ECD"/>
    <w:rsid w:val="0092013F"/>
    <w:rsid w:val="00920149"/>
    <w:rsid w:val="00920893"/>
    <w:rsid w:val="00921A58"/>
    <w:rsid w:val="009221A0"/>
    <w:rsid w:val="00922437"/>
    <w:rsid w:val="00923894"/>
    <w:rsid w:val="00923BD3"/>
    <w:rsid w:val="00926019"/>
    <w:rsid w:val="0092689A"/>
    <w:rsid w:val="0092718F"/>
    <w:rsid w:val="00927A8F"/>
    <w:rsid w:val="00930FF9"/>
    <w:rsid w:val="00933BCE"/>
    <w:rsid w:val="00933EDA"/>
    <w:rsid w:val="00934BD1"/>
    <w:rsid w:val="00935EF1"/>
    <w:rsid w:val="0093755C"/>
    <w:rsid w:val="00937D17"/>
    <w:rsid w:val="0094002D"/>
    <w:rsid w:val="00940B01"/>
    <w:rsid w:val="00940B59"/>
    <w:rsid w:val="00941DBC"/>
    <w:rsid w:val="00942B89"/>
    <w:rsid w:val="00943F63"/>
    <w:rsid w:val="00943F8F"/>
    <w:rsid w:val="00945195"/>
    <w:rsid w:val="0094559B"/>
    <w:rsid w:val="009462E7"/>
    <w:rsid w:val="0094680F"/>
    <w:rsid w:val="00947259"/>
    <w:rsid w:val="00947FC0"/>
    <w:rsid w:val="00951DB3"/>
    <w:rsid w:val="009521A3"/>
    <w:rsid w:val="00952CC6"/>
    <w:rsid w:val="0095342A"/>
    <w:rsid w:val="009556E8"/>
    <w:rsid w:val="00955D7D"/>
    <w:rsid w:val="009561B9"/>
    <w:rsid w:val="00956454"/>
    <w:rsid w:val="009567C3"/>
    <w:rsid w:val="009575D4"/>
    <w:rsid w:val="00957AEC"/>
    <w:rsid w:val="009602D9"/>
    <w:rsid w:val="00963C17"/>
    <w:rsid w:val="00964A76"/>
    <w:rsid w:val="00964D36"/>
    <w:rsid w:val="0096596F"/>
    <w:rsid w:val="00965A63"/>
    <w:rsid w:val="009663EC"/>
    <w:rsid w:val="00967219"/>
    <w:rsid w:val="009672AB"/>
    <w:rsid w:val="00967734"/>
    <w:rsid w:val="00973369"/>
    <w:rsid w:val="00973509"/>
    <w:rsid w:val="00973719"/>
    <w:rsid w:val="00973C15"/>
    <w:rsid w:val="00973F2E"/>
    <w:rsid w:val="00973F9B"/>
    <w:rsid w:val="009740CC"/>
    <w:rsid w:val="00974E9C"/>
    <w:rsid w:val="00974FE1"/>
    <w:rsid w:val="009753F9"/>
    <w:rsid w:val="00976956"/>
    <w:rsid w:val="00976BAD"/>
    <w:rsid w:val="00977BB9"/>
    <w:rsid w:val="00980903"/>
    <w:rsid w:val="009817E4"/>
    <w:rsid w:val="00981F65"/>
    <w:rsid w:val="009825EB"/>
    <w:rsid w:val="00983E92"/>
    <w:rsid w:val="009842A9"/>
    <w:rsid w:val="00984480"/>
    <w:rsid w:val="009856E3"/>
    <w:rsid w:val="00985A60"/>
    <w:rsid w:val="00985A7A"/>
    <w:rsid w:val="00986515"/>
    <w:rsid w:val="0098747A"/>
    <w:rsid w:val="009878BD"/>
    <w:rsid w:val="00990213"/>
    <w:rsid w:val="009920F5"/>
    <w:rsid w:val="00992479"/>
    <w:rsid w:val="00992C15"/>
    <w:rsid w:val="00994773"/>
    <w:rsid w:val="00995A89"/>
    <w:rsid w:val="00995B81"/>
    <w:rsid w:val="00995DC3"/>
    <w:rsid w:val="0099686F"/>
    <w:rsid w:val="00997CAD"/>
    <w:rsid w:val="00997F95"/>
    <w:rsid w:val="009A1849"/>
    <w:rsid w:val="009A1ADD"/>
    <w:rsid w:val="009A28B7"/>
    <w:rsid w:val="009A68DC"/>
    <w:rsid w:val="009A77D1"/>
    <w:rsid w:val="009A9A21"/>
    <w:rsid w:val="009B03C2"/>
    <w:rsid w:val="009B0540"/>
    <w:rsid w:val="009B1BBF"/>
    <w:rsid w:val="009B1C49"/>
    <w:rsid w:val="009B22D6"/>
    <w:rsid w:val="009B2F08"/>
    <w:rsid w:val="009B39E5"/>
    <w:rsid w:val="009B40E3"/>
    <w:rsid w:val="009B48D3"/>
    <w:rsid w:val="009B5718"/>
    <w:rsid w:val="009B5F54"/>
    <w:rsid w:val="009B64AB"/>
    <w:rsid w:val="009B6939"/>
    <w:rsid w:val="009B7017"/>
    <w:rsid w:val="009B702E"/>
    <w:rsid w:val="009B749C"/>
    <w:rsid w:val="009B7744"/>
    <w:rsid w:val="009B777E"/>
    <w:rsid w:val="009C0B30"/>
    <w:rsid w:val="009C1C79"/>
    <w:rsid w:val="009C2D0B"/>
    <w:rsid w:val="009C3D41"/>
    <w:rsid w:val="009C418C"/>
    <w:rsid w:val="009C4624"/>
    <w:rsid w:val="009C5275"/>
    <w:rsid w:val="009C59D5"/>
    <w:rsid w:val="009C5CA1"/>
    <w:rsid w:val="009C6769"/>
    <w:rsid w:val="009C7274"/>
    <w:rsid w:val="009C7798"/>
    <w:rsid w:val="009D1151"/>
    <w:rsid w:val="009D22F5"/>
    <w:rsid w:val="009D2C52"/>
    <w:rsid w:val="009D703B"/>
    <w:rsid w:val="009D76E5"/>
    <w:rsid w:val="009D77C0"/>
    <w:rsid w:val="009E09DB"/>
    <w:rsid w:val="009E193F"/>
    <w:rsid w:val="009E21C2"/>
    <w:rsid w:val="009E2362"/>
    <w:rsid w:val="009E4794"/>
    <w:rsid w:val="009E49EA"/>
    <w:rsid w:val="009E5777"/>
    <w:rsid w:val="009E5D77"/>
    <w:rsid w:val="009E6B6D"/>
    <w:rsid w:val="009E77FE"/>
    <w:rsid w:val="009F0648"/>
    <w:rsid w:val="009F1619"/>
    <w:rsid w:val="009F2E6A"/>
    <w:rsid w:val="009F2E78"/>
    <w:rsid w:val="009F3020"/>
    <w:rsid w:val="009F395D"/>
    <w:rsid w:val="009F5250"/>
    <w:rsid w:val="009F5CA1"/>
    <w:rsid w:val="009F6482"/>
    <w:rsid w:val="009F6975"/>
    <w:rsid w:val="009F7CDF"/>
    <w:rsid w:val="00A00D21"/>
    <w:rsid w:val="00A012EF"/>
    <w:rsid w:val="00A014C9"/>
    <w:rsid w:val="00A01664"/>
    <w:rsid w:val="00A01E26"/>
    <w:rsid w:val="00A020B7"/>
    <w:rsid w:val="00A0226C"/>
    <w:rsid w:val="00A02582"/>
    <w:rsid w:val="00A0264B"/>
    <w:rsid w:val="00A02D43"/>
    <w:rsid w:val="00A039C4"/>
    <w:rsid w:val="00A03B29"/>
    <w:rsid w:val="00A03C2B"/>
    <w:rsid w:val="00A03F67"/>
    <w:rsid w:val="00A054E7"/>
    <w:rsid w:val="00A056D9"/>
    <w:rsid w:val="00A108D0"/>
    <w:rsid w:val="00A11A6A"/>
    <w:rsid w:val="00A12C1A"/>
    <w:rsid w:val="00A12C76"/>
    <w:rsid w:val="00A12FD9"/>
    <w:rsid w:val="00A13666"/>
    <w:rsid w:val="00A13B82"/>
    <w:rsid w:val="00A13ED1"/>
    <w:rsid w:val="00A14186"/>
    <w:rsid w:val="00A152B1"/>
    <w:rsid w:val="00A157F1"/>
    <w:rsid w:val="00A16296"/>
    <w:rsid w:val="00A22223"/>
    <w:rsid w:val="00A223D8"/>
    <w:rsid w:val="00A22557"/>
    <w:rsid w:val="00A23245"/>
    <w:rsid w:val="00A23352"/>
    <w:rsid w:val="00A23C8E"/>
    <w:rsid w:val="00A23CB4"/>
    <w:rsid w:val="00A245E4"/>
    <w:rsid w:val="00A26530"/>
    <w:rsid w:val="00A27978"/>
    <w:rsid w:val="00A27E89"/>
    <w:rsid w:val="00A301AE"/>
    <w:rsid w:val="00A30411"/>
    <w:rsid w:val="00A32D73"/>
    <w:rsid w:val="00A336F5"/>
    <w:rsid w:val="00A33F1B"/>
    <w:rsid w:val="00A34881"/>
    <w:rsid w:val="00A350D8"/>
    <w:rsid w:val="00A35338"/>
    <w:rsid w:val="00A35BC6"/>
    <w:rsid w:val="00A35D2B"/>
    <w:rsid w:val="00A360EF"/>
    <w:rsid w:val="00A364B9"/>
    <w:rsid w:val="00A36CE7"/>
    <w:rsid w:val="00A37909"/>
    <w:rsid w:val="00A40678"/>
    <w:rsid w:val="00A4168A"/>
    <w:rsid w:val="00A41891"/>
    <w:rsid w:val="00A41C6A"/>
    <w:rsid w:val="00A420B2"/>
    <w:rsid w:val="00A42996"/>
    <w:rsid w:val="00A42B27"/>
    <w:rsid w:val="00A45D9B"/>
    <w:rsid w:val="00A4701E"/>
    <w:rsid w:val="00A51889"/>
    <w:rsid w:val="00A523D1"/>
    <w:rsid w:val="00A53D5B"/>
    <w:rsid w:val="00A5697C"/>
    <w:rsid w:val="00A56C27"/>
    <w:rsid w:val="00A56C62"/>
    <w:rsid w:val="00A5784B"/>
    <w:rsid w:val="00A60409"/>
    <w:rsid w:val="00A60814"/>
    <w:rsid w:val="00A610A4"/>
    <w:rsid w:val="00A61797"/>
    <w:rsid w:val="00A6277D"/>
    <w:rsid w:val="00A62AA3"/>
    <w:rsid w:val="00A62C69"/>
    <w:rsid w:val="00A67BE7"/>
    <w:rsid w:val="00A719D3"/>
    <w:rsid w:val="00A72377"/>
    <w:rsid w:val="00A72466"/>
    <w:rsid w:val="00A727B6"/>
    <w:rsid w:val="00A74063"/>
    <w:rsid w:val="00A74264"/>
    <w:rsid w:val="00A749E6"/>
    <w:rsid w:val="00A74A31"/>
    <w:rsid w:val="00A7506A"/>
    <w:rsid w:val="00A7585D"/>
    <w:rsid w:val="00A765E0"/>
    <w:rsid w:val="00A76737"/>
    <w:rsid w:val="00A76FE1"/>
    <w:rsid w:val="00A81254"/>
    <w:rsid w:val="00A81A40"/>
    <w:rsid w:val="00A82101"/>
    <w:rsid w:val="00A82982"/>
    <w:rsid w:val="00A82E05"/>
    <w:rsid w:val="00A82E52"/>
    <w:rsid w:val="00A832AF"/>
    <w:rsid w:val="00A83570"/>
    <w:rsid w:val="00A83BAE"/>
    <w:rsid w:val="00A83BB2"/>
    <w:rsid w:val="00A84AB3"/>
    <w:rsid w:val="00A84FD6"/>
    <w:rsid w:val="00A870FB"/>
    <w:rsid w:val="00A87A0D"/>
    <w:rsid w:val="00A90534"/>
    <w:rsid w:val="00A90F69"/>
    <w:rsid w:val="00A912DF"/>
    <w:rsid w:val="00A92CF8"/>
    <w:rsid w:val="00A92E4B"/>
    <w:rsid w:val="00A934A0"/>
    <w:rsid w:val="00A93D21"/>
    <w:rsid w:val="00A94DCD"/>
    <w:rsid w:val="00A95114"/>
    <w:rsid w:val="00A9597B"/>
    <w:rsid w:val="00A96898"/>
    <w:rsid w:val="00A96933"/>
    <w:rsid w:val="00AA1029"/>
    <w:rsid w:val="00AA140E"/>
    <w:rsid w:val="00AA151C"/>
    <w:rsid w:val="00AA18FC"/>
    <w:rsid w:val="00AA1954"/>
    <w:rsid w:val="00AA28AA"/>
    <w:rsid w:val="00AA2A5D"/>
    <w:rsid w:val="00AA3373"/>
    <w:rsid w:val="00AA338C"/>
    <w:rsid w:val="00AA382A"/>
    <w:rsid w:val="00AA3893"/>
    <w:rsid w:val="00AA531B"/>
    <w:rsid w:val="00AA56B8"/>
    <w:rsid w:val="00AA74B6"/>
    <w:rsid w:val="00AB0185"/>
    <w:rsid w:val="00AB0D90"/>
    <w:rsid w:val="00AB0F3E"/>
    <w:rsid w:val="00AB2045"/>
    <w:rsid w:val="00AB27DB"/>
    <w:rsid w:val="00AB2A52"/>
    <w:rsid w:val="00AB2AC8"/>
    <w:rsid w:val="00AB52BA"/>
    <w:rsid w:val="00AB77EB"/>
    <w:rsid w:val="00AC08C5"/>
    <w:rsid w:val="00AC08DA"/>
    <w:rsid w:val="00AC32FD"/>
    <w:rsid w:val="00AC5003"/>
    <w:rsid w:val="00AC6069"/>
    <w:rsid w:val="00AC62B1"/>
    <w:rsid w:val="00AC634D"/>
    <w:rsid w:val="00AD1517"/>
    <w:rsid w:val="00AD3784"/>
    <w:rsid w:val="00AD492F"/>
    <w:rsid w:val="00AD4979"/>
    <w:rsid w:val="00AD4B48"/>
    <w:rsid w:val="00AE004B"/>
    <w:rsid w:val="00AE0E33"/>
    <w:rsid w:val="00AE13DB"/>
    <w:rsid w:val="00AE33E0"/>
    <w:rsid w:val="00AE401C"/>
    <w:rsid w:val="00AE40C0"/>
    <w:rsid w:val="00AE46F8"/>
    <w:rsid w:val="00AE495E"/>
    <w:rsid w:val="00AE4D86"/>
    <w:rsid w:val="00AE5DCF"/>
    <w:rsid w:val="00AE6C8C"/>
    <w:rsid w:val="00AE75A9"/>
    <w:rsid w:val="00AE768D"/>
    <w:rsid w:val="00AF0235"/>
    <w:rsid w:val="00AF1B17"/>
    <w:rsid w:val="00AF1EC3"/>
    <w:rsid w:val="00AF2EE7"/>
    <w:rsid w:val="00AF33E5"/>
    <w:rsid w:val="00AF7148"/>
    <w:rsid w:val="00AF73B8"/>
    <w:rsid w:val="00AF73E0"/>
    <w:rsid w:val="00AF7FE6"/>
    <w:rsid w:val="00B002C2"/>
    <w:rsid w:val="00B005CE"/>
    <w:rsid w:val="00B00BA8"/>
    <w:rsid w:val="00B010A0"/>
    <w:rsid w:val="00B01820"/>
    <w:rsid w:val="00B01F0A"/>
    <w:rsid w:val="00B02093"/>
    <w:rsid w:val="00B0280F"/>
    <w:rsid w:val="00B03568"/>
    <w:rsid w:val="00B0394A"/>
    <w:rsid w:val="00B03FDB"/>
    <w:rsid w:val="00B05C8F"/>
    <w:rsid w:val="00B0623C"/>
    <w:rsid w:val="00B10338"/>
    <w:rsid w:val="00B10493"/>
    <w:rsid w:val="00B1138B"/>
    <w:rsid w:val="00B11A62"/>
    <w:rsid w:val="00B11CF9"/>
    <w:rsid w:val="00B11E5D"/>
    <w:rsid w:val="00B1250B"/>
    <w:rsid w:val="00B146D7"/>
    <w:rsid w:val="00B1488D"/>
    <w:rsid w:val="00B15592"/>
    <w:rsid w:val="00B169E2"/>
    <w:rsid w:val="00B1744B"/>
    <w:rsid w:val="00B17E9D"/>
    <w:rsid w:val="00B201F8"/>
    <w:rsid w:val="00B20C87"/>
    <w:rsid w:val="00B20EC2"/>
    <w:rsid w:val="00B22104"/>
    <w:rsid w:val="00B22A20"/>
    <w:rsid w:val="00B23BCB"/>
    <w:rsid w:val="00B23BCD"/>
    <w:rsid w:val="00B23DF5"/>
    <w:rsid w:val="00B25095"/>
    <w:rsid w:val="00B25193"/>
    <w:rsid w:val="00B258C2"/>
    <w:rsid w:val="00B30AC9"/>
    <w:rsid w:val="00B312E3"/>
    <w:rsid w:val="00B31E81"/>
    <w:rsid w:val="00B33066"/>
    <w:rsid w:val="00B335AD"/>
    <w:rsid w:val="00B33AD9"/>
    <w:rsid w:val="00B34527"/>
    <w:rsid w:val="00B35451"/>
    <w:rsid w:val="00B355D6"/>
    <w:rsid w:val="00B35AB5"/>
    <w:rsid w:val="00B361A6"/>
    <w:rsid w:val="00B376AE"/>
    <w:rsid w:val="00B3794B"/>
    <w:rsid w:val="00B3F0B5"/>
    <w:rsid w:val="00B40893"/>
    <w:rsid w:val="00B4096F"/>
    <w:rsid w:val="00B4161D"/>
    <w:rsid w:val="00B41D64"/>
    <w:rsid w:val="00B43201"/>
    <w:rsid w:val="00B434E1"/>
    <w:rsid w:val="00B45D01"/>
    <w:rsid w:val="00B4626A"/>
    <w:rsid w:val="00B47A19"/>
    <w:rsid w:val="00B47E37"/>
    <w:rsid w:val="00B50038"/>
    <w:rsid w:val="00B51372"/>
    <w:rsid w:val="00B51B4B"/>
    <w:rsid w:val="00B527E1"/>
    <w:rsid w:val="00B52EAB"/>
    <w:rsid w:val="00B5315A"/>
    <w:rsid w:val="00B544C9"/>
    <w:rsid w:val="00B5473D"/>
    <w:rsid w:val="00B559CF"/>
    <w:rsid w:val="00B559E1"/>
    <w:rsid w:val="00B55EC4"/>
    <w:rsid w:val="00B57D15"/>
    <w:rsid w:val="00B60DCC"/>
    <w:rsid w:val="00B61D35"/>
    <w:rsid w:val="00B62511"/>
    <w:rsid w:val="00B62841"/>
    <w:rsid w:val="00B646DB"/>
    <w:rsid w:val="00B64BAB"/>
    <w:rsid w:val="00B65DC3"/>
    <w:rsid w:val="00B6678C"/>
    <w:rsid w:val="00B6709C"/>
    <w:rsid w:val="00B677C9"/>
    <w:rsid w:val="00B67E80"/>
    <w:rsid w:val="00B71C13"/>
    <w:rsid w:val="00B71F34"/>
    <w:rsid w:val="00B71FF8"/>
    <w:rsid w:val="00B74742"/>
    <w:rsid w:val="00B7561A"/>
    <w:rsid w:val="00B75FF1"/>
    <w:rsid w:val="00B76432"/>
    <w:rsid w:val="00B76EE3"/>
    <w:rsid w:val="00B7FB18"/>
    <w:rsid w:val="00B804CB"/>
    <w:rsid w:val="00B80EE3"/>
    <w:rsid w:val="00B818E7"/>
    <w:rsid w:val="00B8205A"/>
    <w:rsid w:val="00B82537"/>
    <w:rsid w:val="00B82DDF"/>
    <w:rsid w:val="00B82ED4"/>
    <w:rsid w:val="00B84C84"/>
    <w:rsid w:val="00B85013"/>
    <w:rsid w:val="00B852B5"/>
    <w:rsid w:val="00B90DB8"/>
    <w:rsid w:val="00B9134D"/>
    <w:rsid w:val="00B91A72"/>
    <w:rsid w:val="00B927FC"/>
    <w:rsid w:val="00B928EC"/>
    <w:rsid w:val="00B92AB2"/>
    <w:rsid w:val="00B92BC9"/>
    <w:rsid w:val="00B9308C"/>
    <w:rsid w:val="00B93549"/>
    <w:rsid w:val="00B935D9"/>
    <w:rsid w:val="00B94B72"/>
    <w:rsid w:val="00B94B76"/>
    <w:rsid w:val="00B94E6D"/>
    <w:rsid w:val="00B952C6"/>
    <w:rsid w:val="00B96491"/>
    <w:rsid w:val="00B966A1"/>
    <w:rsid w:val="00B96B40"/>
    <w:rsid w:val="00B97ED6"/>
    <w:rsid w:val="00BA1BF1"/>
    <w:rsid w:val="00BA22C3"/>
    <w:rsid w:val="00BA2830"/>
    <w:rsid w:val="00BA3691"/>
    <w:rsid w:val="00BA3F42"/>
    <w:rsid w:val="00BA47CD"/>
    <w:rsid w:val="00BA4958"/>
    <w:rsid w:val="00BA67D3"/>
    <w:rsid w:val="00BB0B75"/>
    <w:rsid w:val="00BB10BF"/>
    <w:rsid w:val="00BB201C"/>
    <w:rsid w:val="00BB2105"/>
    <w:rsid w:val="00BB25D0"/>
    <w:rsid w:val="00BB2DCF"/>
    <w:rsid w:val="00BB37E2"/>
    <w:rsid w:val="00BB45D8"/>
    <w:rsid w:val="00BB4DA1"/>
    <w:rsid w:val="00BB4E37"/>
    <w:rsid w:val="00BB56E5"/>
    <w:rsid w:val="00BB5DAA"/>
    <w:rsid w:val="00BB6464"/>
    <w:rsid w:val="00BB6E40"/>
    <w:rsid w:val="00BC0683"/>
    <w:rsid w:val="00BC0CC8"/>
    <w:rsid w:val="00BC0DF3"/>
    <w:rsid w:val="00BC557A"/>
    <w:rsid w:val="00BC6735"/>
    <w:rsid w:val="00BD094C"/>
    <w:rsid w:val="00BD1DCE"/>
    <w:rsid w:val="00BD1EDD"/>
    <w:rsid w:val="00BD2787"/>
    <w:rsid w:val="00BD2A32"/>
    <w:rsid w:val="00BD2C80"/>
    <w:rsid w:val="00BD43E0"/>
    <w:rsid w:val="00BD45B6"/>
    <w:rsid w:val="00BD5321"/>
    <w:rsid w:val="00BD5A25"/>
    <w:rsid w:val="00BD5D0D"/>
    <w:rsid w:val="00BD631A"/>
    <w:rsid w:val="00BD6DAC"/>
    <w:rsid w:val="00BE0357"/>
    <w:rsid w:val="00BE0613"/>
    <w:rsid w:val="00BE0DA0"/>
    <w:rsid w:val="00BE1999"/>
    <w:rsid w:val="00BE3C7A"/>
    <w:rsid w:val="00BE3EEE"/>
    <w:rsid w:val="00BE4CCC"/>
    <w:rsid w:val="00BE52FE"/>
    <w:rsid w:val="00BE5356"/>
    <w:rsid w:val="00BE6A78"/>
    <w:rsid w:val="00BE6C14"/>
    <w:rsid w:val="00BE727B"/>
    <w:rsid w:val="00BF115F"/>
    <w:rsid w:val="00BF1238"/>
    <w:rsid w:val="00BF1275"/>
    <w:rsid w:val="00BF1FCB"/>
    <w:rsid w:val="00BF2281"/>
    <w:rsid w:val="00BF26F9"/>
    <w:rsid w:val="00BF291A"/>
    <w:rsid w:val="00BF2BA8"/>
    <w:rsid w:val="00BF39EB"/>
    <w:rsid w:val="00BF4FD0"/>
    <w:rsid w:val="00BF5FA9"/>
    <w:rsid w:val="00C00E59"/>
    <w:rsid w:val="00C03954"/>
    <w:rsid w:val="00C03CDC"/>
    <w:rsid w:val="00C052B1"/>
    <w:rsid w:val="00C055EC"/>
    <w:rsid w:val="00C067D6"/>
    <w:rsid w:val="00C10432"/>
    <w:rsid w:val="00C13268"/>
    <w:rsid w:val="00C13C49"/>
    <w:rsid w:val="00C14051"/>
    <w:rsid w:val="00C151D6"/>
    <w:rsid w:val="00C15354"/>
    <w:rsid w:val="00C1551B"/>
    <w:rsid w:val="00C202AA"/>
    <w:rsid w:val="00C20571"/>
    <w:rsid w:val="00C21444"/>
    <w:rsid w:val="00C21B40"/>
    <w:rsid w:val="00C224C6"/>
    <w:rsid w:val="00C22633"/>
    <w:rsid w:val="00C231EF"/>
    <w:rsid w:val="00C24047"/>
    <w:rsid w:val="00C24B14"/>
    <w:rsid w:val="00C25041"/>
    <w:rsid w:val="00C25342"/>
    <w:rsid w:val="00C25908"/>
    <w:rsid w:val="00C26DA0"/>
    <w:rsid w:val="00C3125D"/>
    <w:rsid w:val="00C32930"/>
    <w:rsid w:val="00C33C53"/>
    <w:rsid w:val="00C340CF"/>
    <w:rsid w:val="00C34AF7"/>
    <w:rsid w:val="00C358A6"/>
    <w:rsid w:val="00C358C2"/>
    <w:rsid w:val="00C37954"/>
    <w:rsid w:val="00C40027"/>
    <w:rsid w:val="00C4083F"/>
    <w:rsid w:val="00C40C56"/>
    <w:rsid w:val="00C41FCC"/>
    <w:rsid w:val="00C42545"/>
    <w:rsid w:val="00C43007"/>
    <w:rsid w:val="00C4346F"/>
    <w:rsid w:val="00C43E12"/>
    <w:rsid w:val="00C44264"/>
    <w:rsid w:val="00C44329"/>
    <w:rsid w:val="00C44997"/>
    <w:rsid w:val="00C449AF"/>
    <w:rsid w:val="00C46669"/>
    <w:rsid w:val="00C466E5"/>
    <w:rsid w:val="00C4770F"/>
    <w:rsid w:val="00C47D84"/>
    <w:rsid w:val="00C5017B"/>
    <w:rsid w:val="00C505E3"/>
    <w:rsid w:val="00C51474"/>
    <w:rsid w:val="00C53967"/>
    <w:rsid w:val="00C53D2F"/>
    <w:rsid w:val="00C53E85"/>
    <w:rsid w:val="00C53F8B"/>
    <w:rsid w:val="00C547B7"/>
    <w:rsid w:val="00C5485E"/>
    <w:rsid w:val="00C54FBF"/>
    <w:rsid w:val="00C56BE5"/>
    <w:rsid w:val="00C56FC2"/>
    <w:rsid w:val="00C57F8F"/>
    <w:rsid w:val="00C62728"/>
    <w:rsid w:val="00C63208"/>
    <w:rsid w:val="00C63308"/>
    <w:rsid w:val="00C634BF"/>
    <w:rsid w:val="00C63992"/>
    <w:rsid w:val="00C6729F"/>
    <w:rsid w:val="00C701FF"/>
    <w:rsid w:val="00C70C90"/>
    <w:rsid w:val="00C7217F"/>
    <w:rsid w:val="00C73296"/>
    <w:rsid w:val="00C7376E"/>
    <w:rsid w:val="00C73F3F"/>
    <w:rsid w:val="00C7630E"/>
    <w:rsid w:val="00C76557"/>
    <w:rsid w:val="00C76CBC"/>
    <w:rsid w:val="00C76F3C"/>
    <w:rsid w:val="00C77B22"/>
    <w:rsid w:val="00C7BFCC"/>
    <w:rsid w:val="00C817DA"/>
    <w:rsid w:val="00C84243"/>
    <w:rsid w:val="00C842D4"/>
    <w:rsid w:val="00C85052"/>
    <w:rsid w:val="00C85DCF"/>
    <w:rsid w:val="00C862AA"/>
    <w:rsid w:val="00C8733D"/>
    <w:rsid w:val="00C87854"/>
    <w:rsid w:val="00C879B5"/>
    <w:rsid w:val="00C87F46"/>
    <w:rsid w:val="00C908EB"/>
    <w:rsid w:val="00C90FA5"/>
    <w:rsid w:val="00C91239"/>
    <w:rsid w:val="00C9148C"/>
    <w:rsid w:val="00C921FE"/>
    <w:rsid w:val="00C92AFE"/>
    <w:rsid w:val="00C937F2"/>
    <w:rsid w:val="00C969EA"/>
    <w:rsid w:val="00C96D8B"/>
    <w:rsid w:val="00C97DF3"/>
    <w:rsid w:val="00CA0D81"/>
    <w:rsid w:val="00CA0EAE"/>
    <w:rsid w:val="00CA1E8F"/>
    <w:rsid w:val="00CA2CAE"/>
    <w:rsid w:val="00CA4B47"/>
    <w:rsid w:val="00CA533C"/>
    <w:rsid w:val="00CA573B"/>
    <w:rsid w:val="00CA5980"/>
    <w:rsid w:val="00CA600C"/>
    <w:rsid w:val="00CA63C1"/>
    <w:rsid w:val="00CA7306"/>
    <w:rsid w:val="00CA7708"/>
    <w:rsid w:val="00CA79AA"/>
    <w:rsid w:val="00CA7B66"/>
    <w:rsid w:val="00CB0786"/>
    <w:rsid w:val="00CB09FB"/>
    <w:rsid w:val="00CB0E38"/>
    <w:rsid w:val="00CB1C2A"/>
    <w:rsid w:val="00CB2367"/>
    <w:rsid w:val="00CB39BF"/>
    <w:rsid w:val="00CB4DC8"/>
    <w:rsid w:val="00CB767C"/>
    <w:rsid w:val="00CB7D06"/>
    <w:rsid w:val="00CC0B8B"/>
    <w:rsid w:val="00CC13C4"/>
    <w:rsid w:val="00CC20C6"/>
    <w:rsid w:val="00CC27B2"/>
    <w:rsid w:val="00CC27FB"/>
    <w:rsid w:val="00CC37E3"/>
    <w:rsid w:val="00CC3CC1"/>
    <w:rsid w:val="00CC7351"/>
    <w:rsid w:val="00CD19ED"/>
    <w:rsid w:val="00CD3482"/>
    <w:rsid w:val="00CD4140"/>
    <w:rsid w:val="00CD484E"/>
    <w:rsid w:val="00CD5B49"/>
    <w:rsid w:val="00CD63A7"/>
    <w:rsid w:val="00CD6526"/>
    <w:rsid w:val="00CD73A3"/>
    <w:rsid w:val="00CD79FB"/>
    <w:rsid w:val="00CE01E5"/>
    <w:rsid w:val="00CE09A7"/>
    <w:rsid w:val="00CE0CEC"/>
    <w:rsid w:val="00CE14C1"/>
    <w:rsid w:val="00CE332F"/>
    <w:rsid w:val="00CE3ACE"/>
    <w:rsid w:val="00CE4207"/>
    <w:rsid w:val="00CE52AB"/>
    <w:rsid w:val="00CE6715"/>
    <w:rsid w:val="00CE6914"/>
    <w:rsid w:val="00CE6B2B"/>
    <w:rsid w:val="00CF09CD"/>
    <w:rsid w:val="00CF1332"/>
    <w:rsid w:val="00CF1B6D"/>
    <w:rsid w:val="00CF22C0"/>
    <w:rsid w:val="00CF29F2"/>
    <w:rsid w:val="00CF2EAE"/>
    <w:rsid w:val="00CF369B"/>
    <w:rsid w:val="00CF3FC9"/>
    <w:rsid w:val="00CF46CD"/>
    <w:rsid w:val="00CF485D"/>
    <w:rsid w:val="00CF526C"/>
    <w:rsid w:val="00CF7674"/>
    <w:rsid w:val="00CF7BCA"/>
    <w:rsid w:val="00D0003A"/>
    <w:rsid w:val="00D00914"/>
    <w:rsid w:val="00D00918"/>
    <w:rsid w:val="00D021A9"/>
    <w:rsid w:val="00D0278A"/>
    <w:rsid w:val="00D03A00"/>
    <w:rsid w:val="00D05156"/>
    <w:rsid w:val="00D05382"/>
    <w:rsid w:val="00D07B37"/>
    <w:rsid w:val="00D07D8B"/>
    <w:rsid w:val="00D0BECE"/>
    <w:rsid w:val="00D1004F"/>
    <w:rsid w:val="00D1016D"/>
    <w:rsid w:val="00D10DBE"/>
    <w:rsid w:val="00D11341"/>
    <w:rsid w:val="00D11A11"/>
    <w:rsid w:val="00D1200C"/>
    <w:rsid w:val="00D12630"/>
    <w:rsid w:val="00D12A33"/>
    <w:rsid w:val="00D139E2"/>
    <w:rsid w:val="00D14286"/>
    <w:rsid w:val="00D14C3F"/>
    <w:rsid w:val="00D1557C"/>
    <w:rsid w:val="00D160C0"/>
    <w:rsid w:val="00D1647A"/>
    <w:rsid w:val="00D170B7"/>
    <w:rsid w:val="00D1712A"/>
    <w:rsid w:val="00D20207"/>
    <w:rsid w:val="00D21943"/>
    <w:rsid w:val="00D24423"/>
    <w:rsid w:val="00D247BE"/>
    <w:rsid w:val="00D24FCD"/>
    <w:rsid w:val="00D2525B"/>
    <w:rsid w:val="00D260B6"/>
    <w:rsid w:val="00D2754C"/>
    <w:rsid w:val="00D27572"/>
    <w:rsid w:val="00D27AD7"/>
    <w:rsid w:val="00D30AAF"/>
    <w:rsid w:val="00D30B72"/>
    <w:rsid w:val="00D3176D"/>
    <w:rsid w:val="00D31CC7"/>
    <w:rsid w:val="00D33D4B"/>
    <w:rsid w:val="00D34A82"/>
    <w:rsid w:val="00D357B6"/>
    <w:rsid w:val="00D36677"/>
    <w:rsid w:val="00D374E1"/>
    <w:rsid w:val="00D400C9"/>
    <w:rsid w:val="00D40F1E"/>
    <w:rsid w:val="00D4135E"/>
    <w:rsid w:val="00D418CF"/>
    <w:rsid w:val="00D419CF"/>
    <w:rsid w:val="00D4412C"/>
    <w:rsid w:val="00D44538"/>
    <w:rsid w:val="00D4474E"/>
    <w:rsid w:val="00D44A3C"/>
    <w:rsid w:val="00D46C46"/>
    <w:rsid w:val="00D471DD"/>
    <w:rsid w:val="00D475C2"/>
    <w:rsid w:val="00D479D5"/>
    <w:rsid w:val="00D5072C"/>
    <w:rsid w:val="00D50795"/>
    <w:rsid w:val="00D50FA4"/>
    <w:rsid w:val="00D525B8"/>
    <w:rsid w:val="00D52BB3"/>
    <w:rsid w:val="00D5300D"/>
    <w:rsid w:val="00D534BA"/>
    <w:rsid w:val="00D5484C"/>
    <w:rsid w:val="00D5498D"/>
    <w:rsid w:val="00D55972"/>
    <w:rsid w:val="00D5597F"/>
    <w:rsid w:val="00D56660"/>
    <w:rsid w:val="00D60752"/>
    <w:rsid w:val="00D60BCF"/>
    <w:rsid w:val="00D610D4"/>
    <w:rsid w:val="00D62297"/>
    <w:rsid w:val="00D62E83"/>
    <w:rsid w:val="00D63EF4"/>
    <w:rsid w:val="00D64365"/>
    <w:rsid w:val="00D64985"/>
    <w:rsid w:val="00D6629B"/>
    <w:rsid w:val="00D67787"/>
    <w:rsid w:val="00D67A57"/>
    <w:rsid w:val="00D70374"/>
    <w:rsid w:val="00D71F29"/>
    <w:rsid w:val="00D7348B"/>
    <w:rsid w:val="00D73578"/>
    <w:rsid w:val="00D73B8B"/>
    <w:rsid w:val="00D744F7"/>
    <w:rsid w:val="00D7677E"/>
    <w:rsid w:val="00D7692E"/>
    <w:rsid w:val="00D76A38"/>
    <w:rsid w:val="00D76AE2"/>
    <w:rsid w:val="00D81B26"/>
    <w:rsid w:val="00D82D47"/>
    <w:rsid w:val="00D8382E"/>
    <w:rsid w:val="00D854D8"/>
    <w:rsid w:val="00D86F61"/>
    <w:rsid w:val="00D87309"/>
    <w:rsid w:val="00D93456"/>
    <w:rsid w:val="00D9390C"/>
    <w:rsid w:val="00D93987"/>
    <w:rsid w:val="00D95ECA"/>
    <w:rsid w:val="00D97ED8"/>
    <w:rsid w:val="00DA09E2"/>
    <w:rsid w:val="00DA2B62"/>
    <w:rsid w:val="00DA3562"/>
    <w:rsid w:val="00DA4BC6"/>
    <w:rsid w:val="00DA5EFB"/>
    <w:rsid w:val="00DB07D0"/>
    <w:rsid w:val="00DB331B"/>
    <w:rsid w:val="00DB3D3B"/>
    <w:rsid w:val="00DB422E"/>
    <w:rsid w:val="00DB4F83"/>
    <w:rsid w:val="00DB5129"/>
    <w:rsid w:val="00DB5554"/>
    <w:rsid w:val="00DB57CA"/>
    <w:rsid w:val="00DB7784"/>
    <w:rsid w:val="00DB7CA9"/>
    <w:rsid w:val="00DC0F99"/>
    <w:rsid w:val="00DC114A"/>
    <w:rsid w:val="00DC1354"/>
    <w:rsid w:val="00DC138A"/>
    <w:rsid w:val="00DC13D9"/>
    <w:rsid w:val="00DC25D0"/>
    <w:rsid w:val="00DC2AD0"/>
    <w:rsid w:val="00DC3700"/>
    <w:rsid w:val="00DC3BDA"/>
    <w:rsid w:val="00DC5AB3"/>
    <w:rsid w:val="00DC7216"/>
    <w:rsid w:val="00DC7FDD"/>
    <w:rsid w:val="00DCAD76"/>
    <w:rsid w:val="00DD046F"/>
    <w:rsid w:val="00DD0616"/>
    <w:rsid w:val="00DD0A60"/>
    <w:rsid w:val="00DD1A3D"/>
    <w:rsid w:val="00DD2BDD"/>
    <w:rsid w:val="00DD5015"/>
    <w:rsid w:val="00DD571A"/>
    <w:rsid w:val="00DD5BB7"/>
    <w:rsid w:val="00DD5FCB"/>
    <w:rsid w:val="00DD65FF"/>
    <w:rsid w:val="00DD6638"/>
    <w:rsid w:val="00DD7C29"/>
    <w:rsid w:val="00DE0A5A"/>
    <w:rsid w:val="00DE1A5E"/>
    <w:rsid w:val="00DE23BA"/>
    <w:rsid w:val="00DE293B"/>
    <w:rsid w:val="00DE2B93"/>
    <w:rsid w:val="00DE2F2B"/>
    <w:rsid w:val="00DE3461"/>
    <w:rsid w:val="00DE3BBD"/>
    <w:rsid w:val="00DE3BE2"/>
    <w:rsid w:val="00DE3F9F"/>
    <w:rsid w:val="00DE4A34"/>
    <w:rsid w:val="00DE590A"/>
    <w:rsid w:val="00DE6303"/>
    <w:rsid w:val="00DE6488"/>
    <w:rsid w:val="00DF0363"/>
    <w:rsid w:val="00DF120D"/>
    <w:rsid w:val="00DF13D8"/>
    <w:rsid w:val="00DF1B1A"/>
    <w:rsid w:val="00DF1BBA"/>
    <w:rsid w:val="00DF2611"/>
    <w:rsid w:val="00DF2DDB"/>
    <w:rsid w:val="00DF3953"/>
    <w:rsid w:val="00DF6100"/>
    <w:rsid w:val="00DF705E"/>
    <w:rsid w:val="00E0002A"/>
    <w:rsid w:val="00E026BC"/>
    <w:rsid w:val="00E0383D"/>
    <w:rsid w:val="00E03D8C"/>
    <w:rsid w:val="00E0552C"/>
    <w:rsid w:val="00E05867"/>
    <w:rsid w:val="00E0716F"/>
    <w:rsid w:val="00E072BC"/>
    <w:rsid w:val="00E107EA"/>
    <w:rsid w:val="00E1184D"/>
    <w:rsid w:val="00E11913"/>
    <w:rsid w:val="00E1195F"/>
    <w:rsid w:val="00E1394E"/>
    <w:rsid w:val="00E14178"/>
    <w:rsid w:val="00E15327"/>
    <w:rsid w:val="00E169A2"/>
    <w:rsid w:val="00E16F42"/>
    <w:rsid w:val="00E1724C"/>
    <w:rsid w:val="00E17877"/>
    <w:rsid w:val="00E205F2"/>
    <w:rsid w:val="00E2082C"/>
    <w:rsid w:val="00E20A39"/>
    <w:rsid w:val="00E213A8"/>
    <w:rsid w:val="00E214A7"/>
    <w:rsid w:val="00E218F6"/>
    <w:rsid w:val="00E22B95"/>
    <w:rsid w:val="00E230FA"/>
    <w:rsid w:val="00E232B2"/>
    <w:rsid w:val="00E23589"/>
    <w:rsid w:val="00E236D1"/>
    <w:rsid w:val="00E23B09"/>
    <w:rsid w:val="00E23FD4"/>
    <w:rsid w:val="00E2437D"/>
    <w:rsid w:val="00E24F4B"/>
    <w:rsid w:val="00E25D63"/>
    <w:rsid w:val="00E25F20"/>
    <w:rsid w:val="00E26040"/>
    <w:rsid w:val="00E2605D"/>
    <w:rsid w:val="00E26EBE"/>
    <w:rsid w:val="00E27B5D"/>
    <w:rsid w:val="00E30891"/>
    <w:rsid w:val="00E315AE"/>
    <w:rsid w:val="00E319E7"/>
    <w:rsid w:val="00E320F0"/>
    <w:rsid w:val="00E32E0C"/>
    <w:rsid w:val="00E33B5F"/>
    <w:rsid w:val="00E34171"/>
    <w:rsid w:val="00E342BA"/>
    <w:rsid w:val="00E359EB"/>
    <w:rsid w:val="00E35D1F"/>
    <w:rsid w:val="00E360CC"/>
    <w:rsid w:val="00E3740C"/>
    <w:rsid w:val="00E42E58"/>
    <w:rsid w:val="00E4467D"/>
    <w:rsid w:val="00E4478C"/>
    <w:rsid w:val="00E45633"/>
    <w:rsid w:val="00E45C8D"/>
    <w:rsid w:val="00E45EED"/>
    <w:rsid w:val="00E465B8"/>
    <w:rsid w:val="00E46621"/>
    <w:rsid w:val="00E46DB1"/>
    <w:rsid w:val="00E4761E"/>
    <w:rsid w:val="00E47A4E"/>
    <w:rsid w:val="00E47DF4"/>
    <w:rsid w:val="00E5060B"/>
    <w:rsid w:val="00E50687"/>
    <w:rsid w:val="00E50B63"/>
    <w:rsid w:val="00E52426"/>
    <w:rsid w:val="00E5304E"/>
    <w:rsid w:val="00E5352D"/>
    <w:rsid w:val="00E535F4"/>
    <w:rsid w:val="00E56102"/>
    <w:rsid w:val="00E56B5F"/>
    <w:rsid w:val="00E57C8B"/>
    <w:rsid w:val="00E60065"/>
    <w:rsid w:val="00E62169"/>
    <w:rsid w:val="00E63C0E"/>
    <w:rsid w:val="00E63C2A"/>
    <w:rsid w:val="00E65208"/>
    <w:rsid w:val="00E658FE"/>
    <w:rsid w:val="00E65F47"/>
    <w:rsid w:val="00E66137"/>
    <w:rsid w:val="00E6621F"/>
    <w:rsid w:val="00E66799"/>
    <w:rsid w:val="00E6760B"/>
    <w:rsid w:val="00E67B5E"/>
    <w:rsid w:val="00E7214D"/>
    <w:rsid w:val="00E7223C"/>
    <w:rsid w:val="00E727EC"/>
    <w:rsid w:val="00E73F36"/>
    <w:rsid w:val="00E7413E"/>
    <w:rsid w:val="00E74AE5"/>
    <w:rsid w:val="00E75137"/>
    <w:rsid w:val="00E7606A"/>
    <w:rsid w:val="00E76A24"/>
    <w:rsid w:val="00E76E54"/>
    <w:rsid w:val="00E76F8D"/>
    <w:rsid w:val="00E77134"/>
    <w:rsid w:val="00E77474"/>
    <w:rsid w:val="00E77506"/>
    <w:rsid w:val="00E778EF"/>
    <w:rsid w:val="00E8019A"/>
    <w:rsid w:val="00E802E0"/>
    <w:rsid w:val="00E822C1"/>
    <w:rsid w:val="00E8363C"/>
    <w:rsid w:val="00E83981"/>
    <w:rsid w:val="00E84234"/>
    <w:rsid w:val="00E865AC"/>
    <w:rsid w:val="00E87CF7"/>
    <w:rsid w:val="00E8E661"/>
    <w:rsid w:val="00E90AA1"/>
    <w:rsid w:val="00E90CE7"/>
    <w:rsid w:val="00E9152C"/>
    <w:rsid w:val="00E916BA"/>
    <w:rsid w:val="00E91F75"/>
    <w:rsid w:val="00E92133"/>
    <w:rsid w:val="00E9252B"/>
    <w:rsid w:val="00E92C38"/>
    <w:rsid w:val="00E9391A"/>
    <w:rsid w:val="00E94EE3"/>
    <w:rsid w:val="00E95636"/>
    <w:rsid w:val="00E96D3B"/>
    <w:rsid w:val="00E97A07"/>
    <w:rsid w:val="00EA0FED"/>
    <w:rsid w:val="00EA115B"/>
    <w:rsid w:val="00EA14B6"/>
    <w:rsid w:val="00EA18E2"/>
    <w:rsid w:val="00EA1A59"/>
    <w:rsid w:val="00EA2732"/>
    <w:rsid w:val="00EA32F1"/>
    <w:rsid w:val="00EA4702"/>
    <w:rsid w:val="00EA6989"/>
    <w:rsid w:val="00EA6DA5"/>
    <w:rsid w:val="00EA7B23"/>
    <w:rsid w:val="00EB0A9A"/>
    <w:rsid w:val="00EB0E39"/>
    <w:rsid w:val="00EB2ADD"/>
    <w:rsid w:val="00EB4BC7"/>
    <w:rsid w:val="00EB4C04"/>
    <w:rsid w:val="00EB6374"/>
    <w:rsid w:val="00EB6A01"/>
    <w:rsid w:val="00EB7018"/>
    <w:rsid w:val="00EB788A"/>
    <w:rsid w:val="00EC03B8"/>
    <w:rsid w:val="00EC0A49"/>
    <w:rsid w:val="00EC0C64"/>
    <w:rsid w:val="00EC1BB4"/>
    <w:rsid w:val="00EC29B0"/>
    <w:rsid w:val="00EC2E9E"/>
    <w:rsid w:val="00EC302B"/>
    <w:rsid w:val="00EC3644"/>
    <w:rsid w:val="00EC43CD"/>
    <w:rsid w:val="00EC471B"/>
    <w:rsid w:val="00EC4D7F"/>
    <w:rsid w:val="00EC5652"/>
    <w:rsid w:val="00EC5BDC"/>
    <w:rsid w:val="00EC5D93"/>
    <w:rsid w:val="00EC5F02"/>
    <w:rsid w:val="00EC5FF1"/>
    <w:rsid w:val="00EC6023"/>
    <w:rsid w:val="00EC78B7"/>
    <w:rsid w:val="00EC7E48"/>
    <w:rsid w:val="00ED01EE"/>
    <w:rsid w:val="00ED0268"/>
    <w:rsid w:val="00ED065E"/>
    <w:rsid w:val="00ED09C4"/>
    <w:rsid w:val="00ED1879"/>
    <w:rsid w:val="00ED1A77"/>
    <w:rsid w:val="00ED1AF3"/>
    <w:rsid w:val="00ED241F"/>
    <w:rsid w:val="00ED323A"/>
    <w:rsid w:val="00ED4E28"/>
    <w:rsid w:val="00ED502E"/>
    <w:rsid w:val="00ED6017"/>
    <w:rsid w:val="00EE0B65"/>
    <w:rsid w:val="00EE0C59"/>
    <w:rsid w:val="00EE2B06"/>
    <w:rsid w:val="00EE2BE1"/>
    <w:rsid w:val="00EE3210"/>
    <w:rsid w:val="00EE3567"/>
    <w:rsid w:val="00EE4F36"/>
    <w:rsid w:val="00EE52C0"/>
    <w:rsid w:val="00EE5BA1"/>
    <w:rsid w:val="00EE6349"/>
    <w:rsid w:val="00EE7056"/>
    <w:rsid w:val="00EE720A"/>
    <w:rsid w:val="00EF009E"/>
    <w:rsid w:val="00EF0A1D"/>
    <w:rsid w:val="00EF0E69"/>
    <w:rsid w:val="00EF0F78"/>
    <w:rsid w:val="00EF1372"/>
    <w:rsid w:val="00EF1A4E"/>
    <w:rsid w:val="00EF2BB9"/>
    <w:rsid w:val="00EF3326"/>
    <w:rsid w:val="00EF44AA"/>
    <w:rsid w:val="00EF451F"/>
    <w:rsid w:val="00EF4C56"/>
    <w:rsid w:val="00EF5F3B"/>
    <w:rsid w:val="00EF5F8E"/>
    <w:rsid w:val="00EF61D4"/>
    <w:rsid w:val="00EF7BFC"/>
    <w:rsid w:val="00EF7C3B"/>
    <w:rsid w:val="00EF7FBF"/>
    <w:rsid w:val="00F014FE"/>
    <w:rsid w:val="00F01C13"/>
    <w:rsid w:val="00F01C89"/>
    <w:rsid w:val="00F01E7E"/>
    <w:rsid w:val="00F020C9"/>
    <w:rsid w:val="00F05B6B"/>
    <w:rsid w:val="00F0623F"/>
    <w:rsid w:val="00F07D00"/>
    <w:rsid w:val="00F10E36"/>
    <w:rsid w:val="00F1139F"/>
    <w:rsid w:val="00F1157D"/>
    <w:rsid w:val="00F13440"/>
    <w:rsid w:val="00F13784"/>
    <w:rsid w:val="00F13B5A"/>
    <w:rsid w:val="00F13F48"/>
    <w:rsid w:val="00F149DE"/>
    <w:rsid w:val="00F14B92"/>
    <w:rsid w:val="00F14D65"/>
    <w:rsid w:val="00F14F41"/>
    <w:rsid w:val="00F16B2C"/>
    <w:rsid w:val="00F17FBB"/>
    <w:rsid w:val="00F20CD3"/>
    <w:rsid w:val="00F20E1D"/>
    <w:rsid w:val="00F2147F"/>
    <w:rsid w:val="00F21E55"/>
    <w:rsid w:val="00F22A05"/>
    <w:rsid w:val="00F22B8D"/>
    <w:rsid w:val="00F23475"/>
    <w:rsid w:val="00F24087"/>
    <w:rsid w:val="00F250B6"/>
    <w:rsid w:val="00F2538F"/>
    <w:rsid w:val="00F255CF"/>
    <w:rsid w:val="00F27B7D"/>
    <w:rsid w:val="00F30122"/>
    <w:rsid w:val="00F30BB6"/>
    <w:rsid w:val="00F3109C"/>
    <w:rsid w:val="00F31321"/>
    <w:rsid w:val="00F31D8F"/>
    <w:rsid w:val="00F34660"/>
    <w:rsid w:val="00F34A12"/>
    <w:rsid w:val="00F34DA8"/>
    <w:rsid w:val="00F34FE2"/>
    <w:rsid w:val="00F359FB"/>
    <w:rsid w:val="00F35A6F"/>
    <w:rsid w:val="00F368A1"/>
    <w:rsid w:val="00F37658"/>
    <w:rsid w:val="00F37A47"/>
    <w:rsid w:val="00F40106"/>
    <w:rsid w:val="00F40D04"/>
    <w:rsid w:val="00F40ED4"/>
    <w:rsid w:val="00F4290B"/>
    <w:rsid w:val="00F436E0"/>
    <w:rsid w:val="00F43C17"/>
    <w:rsid w:val="00F44BB1"/>
    <w:rsid w:val="00F456D8"/>
    <w:rsid w:val="00F459A3"/>
    <w:rsid w:val="00F45AB9"/>
    <w:rsid w:val="00F45EBF"/>
    <w:rsid w:val="00F462EF"/>
    <w:rsid w:val="00F47FF9"/>
    <w:rsid w:val="00F50E9E"/>
    <w:rsid w:val="00F5102F"/>
    <w:rsid w:val="00F52524"/>
    <w:rsid w:val="00F53B97"/>
    <w:rsid w:val="00F54C73"/>
    <w:rsid w:val="00F54F3E"/>
    <w:rsid w:val="00F563AD"/>
    <w:rsid w:val="00F569AE"/>
    <w:rsid w:val="00F5742D"/>
    <w:rsid w:val="00F57523"/>
    <w:rsid w:val="00F578B1"/>
    <w:rsid w:val="00F607FC"/>
    <w:rsid w:val="00F62647"/>
    <w:rsid w:val="00F63419"/>
    <w:rsid w:val="00F63599"/>
    <w:rsid w:val="00F639BA"/>
    <w:rsid w:val="00F65F96"/>
    <w:rsid w:val="00F701A9"/>
    <w:rsid w:val="00F706BB"/>
    <w:rsid w:val="00F713BB"/>
    <w:rsid w:val="00F73AFB"/>
    <w:rsid w:val="00F745F2"/>
    <w:rsid w:val="00F75807"/>
    <w:rsid w:val="00F75D94"/>
    <w:rsid w:val="00F75DD9"/>
    <w:rsid w:val="00F76B67"/>
    <w:rsid w:val="00F77A46"/>
    <w:rsid w:val="00F77FC2"/>
    <w:rsid w:val="00F8196D"/>
    <w:rsid w:val="00F82BE9"/>
    <w:rsid w:val="00F83DDB"/>
    <w:rsid w:val="00F84001"/>
    <w:rsid w:val="00F84A98"/>
    <w:rsid w:val="00F851A0"/>
    <w:rsid w:val="00F853F4"/>
    <w:rsid w:val="00F85785"/>
    <w:rsid w:val="00F8707D"/>
    <w:rsid w:val="00F870AF"/>
    <w:rsid w:val="00F876A2"/>
    <w:rsid w:val="00F90A0F"/>
    <w:rsid w:val="00F90D8F"/>
    <w:rsid w:val="00F90F9B"/>
    <w:rsid w:val="00F915D4"/>
    <w:rsid w:val="00F91E86"/>
    <w:rsid w:val="00F921D4"/>
    <w:rsid w:val="00F92777"/>
    <w:rsid w:val="00F9675B"/>
    <w:rsid w:val="00F97140"/>
    <w:rsid w:val="00FA0BBD"/>
    <w:rsid w:val="00FA16B1"/>
    <w:rsid w:val="00FA181E"/>
    <w:rsid w:val="00FA2D5F"/>
    <w:rsid w:val="00FA2E00"/>
    <w:rsid w:val="00FA3578"/>
    <w:rsid w:val="00FA495A"/>
    <w:rsid w:val="00FA4C7E"/>
    <w:rsid w:val="00FA5CCA"/>
    <w:rsid w:val="00FA5F02"/>
    <w:rsid w:val="00FA7E8F"/>
    <w:rsid w:val="00FB033C"/>
    <w:rsid w:val="00FB08BE"/>
    <w:rsid w:val="00FB30D4"/>
    <w:rsid w:val="00FB3107"/>
    <w:rsid w:val="00FB359F"/>
    <w:rsid w:val="00FB4247"/>
    <w:rsid w:val="00FB4355"/>
    <w:rsid w:val="00FB4C99"/>
    <w:rsid w:val="00FB4D0A"/>
    <w:rsid w:val="00FB523B"/>
    <w:rsid w:val="00FB58BD"/>
    <w:rsid w:val="00FB6551"/>
    <w:rsid w:val="00FB65BD"/>
    <w:rsid w:val="00FB7264"/>
    <w:rsid w:val="00FB784C"/>
    <w:rsid w:val="00FC10C6"/>
    <w:rsid w:val="00FC17E8"/>
    <w:rsid w:val="00FC1A91"/>
    <w:rsid w:val="00FC2199"/>
    <w:rsid w:val="00FC2BA4"/>
    <w:rsid w:val="00FC3926"/>
    <w:rsid w:val="00FC4693"/>
    <w:rsid w:val="00FC4D46"/>
    <w:rsid w:val="00FC50EF"/>
    <w:rsid w:val="00FC54E5"/>
    <w:rsid w:val="00FC59EA"/>
    <w:rsid w:val="00FC6BFD"/>
    <w:rsid w:val="00FC7BAB"/>
    <w:rsid w:val="00FC7FE7"/>
    <w:rsid w:val="00FD23A3"/>
    <w:rsid w:val="00FD3455"/>
    <w:rsid w:val="00FD45E9"/>
    <w:rsid w:val="00FD6530"/>
    <w:rsid w:val="00FD71F8"/>
    <w:rsid w:val="00FE04E3"/>
    <w:rsid w:val="00FE0854"/>
    <w:rsid w:val="00FE0C4F"/>
    <w:rsid w:val="00FE22AA"/>
    <w:rsid w:val="00FE2DEA"/>
    <w:rsid w:val="00FE2E46"/>
    <w:rsid w:val="00FE2F37"/>
    <w:rsid w:val="00FE3434"/>
    <w:rsid w:val="00FE45CE"/>
    <w:rsid w:val="00FE5428"/>
    <w:rsid w:val="00FE57A9"/>
    <w:rsid w:val="00FE759F"/>
    <w:rsid w:val="00FE75B0"/>
    <w:rsid w:val="00FE7DEA"/>
    <w:rsid w:val="00FF04D9"/>
    <w:rsid w:val="00FF0548"/>
    <w:rsid w:val="00FF29D4"/>
    <w:rsid w:val="00FF2E1E"/>
    <w:rsid w:val="00FF4D61"/>
    <w:rsid w:val="00FF5CC6"/>
    <w:rsid w:val="00FF5E78"/>
    <w:rsid w:val="00FF5EA5"/>
    <w:rsid w:val="00FF6556"/>
    <w:rsid w:val="00FF7243"/>
    <w:rsid w:val="0103896F"/>
    <w:rsid w:val="010AE140"/>
    <w:rsid w:val="010F9C42"/>
    <w:rsid w:val="01190E38"/>
    <w:rsid w:val="011B4F0C"/>
    <w:rsid w:val="0121C713"/>
    <w:rsid w:val="01248C92"/>
    <w:rsid w:val="0124D2DB"/>
    <w:rsid w:val="012FFA41"/>
    <w:rsid w:val="013939ED"/>
    <w:rsid w:val="0156701E"/>
    <w:rsid w:val="01584ECC"/>
    <w:rsid w:val="015D8D37"/>
    <w:rsid w:val="015E8D4C"/>
    <w:rsid w:val="016BE6FA"/>
    <w:rsid w:val="016F3BE1"/>
    <w:rsid w:val="0170C455"/>
    <w:rsid w:val="01722D53"/>
    <w:rsid w:val="01726DE1"/>
    <w:rsid w:val="01744488"/>
    <w:rsid w:val="0179E705"/>
    <w:rsid w:val="0189B81E"/>
    <w:rsid w:val="018D2D89"/>
    <w:rsid w:val="019949AC"/>
    <w:rsid w:val="0199A70B"/>
    <w:rsid w:val="01A09A5B"/>
    <w:rsid w:val="01ABB4AC"/>
    <w:rsid w:val="01B59F30"/>
    <w:rsid w:val="01C2CFA5"/>
    <w:rsid w:val="01C67BC9"/>
    <w:rsid w:val="01D30C8F"/>
    <w:rsid w:val="01DCD283"/>
    <w:rsid w:val="01DD6CD5"/>
    <w:rsid w:val="01DE6BFC"/>
    <w:rsid w:val="01E2619F"/>
    <w:rsid w:val="01F9F30D"/>
    <w:rsid w:val="020674B1"/>
    <w:rsid w:val="020A2A19"/>
    <w:rsid w:val="020C413B"/>
    <w:rsid w:val="020F6C02"/>
    <w:rsid w:val="0224054E"/>
    <w:rsid w:val="0228F3F3"/>
    <w:rsid w:val="022F941F"/>
    <w:rsid w:val="024F8412"/>
    <w:rsid w:val="0258C3A4"/>
    <w:rsid w:val="025E0C70"/>
    <w:rsid w:val="0261E1F2"/>
    <w:rsid w:val="0264891D"/>
    <w:rsid w:val="0268D7D4"/>
    <w:rsid w:val="026AA5D9"/>
    <w:rsid w:val="026B9FB0"/>
    <w:rsid w:val="0281FD86"/>
    <w:rsid w:val="028658A1"/>
    <w:rsid w:val="0288AC1E"/>
    <w:rsid w:val="028C52FC"/>
    <w:rsid w:val="0291C4BF"/>
    <w:rsid w:val="0293043D"/>
    <w:rsid w:val="029C6B98"/>
    <w:rsid w:val="02A8E0B7"/>
    <w:rsid w:val="02BA6D79"/>
    <w:rsid w:val="02BF99C7"/>
    <w:rsid w:val="02E56166"/>
    <w:rsid w:val="02EED788"/>
    <w:rsid w:val="02F51EE0"/>
    <w:rsid w:val="031130D7"/>
    <w:rsid w:val="0311B96C"/>
    <w:rsid w:val="03141479"/>
    <w:rsid w:val="0314B2DE"/>
    <w:rsid w:val="031A0F9D"/>
    <w:rsid w:val="03225A44"/>
    <w:rsid w:val="03259968"/>
    <w:rsid w:val="0346C43A"/>
    <w:rsid w:val="0349D325"/>
    <w:rsid w:val="034A50F3"/>
    <w:rsid w:val="035A56B8"/>
    <w:rsid w:val="03786948"/>
    <w:rsid w:val="038F58CC"/>
    <w:rsid w:val="0395B806"/>
    <w:rsid w:val="0395CF5B"/>
    <w:rsid w:val="039A22A8"/>
    <w:rsid w:val="039B5C4E"/>
    <w:rsid w:val="039FC5D8"/>
    <w:rsid w:val="03A621B3"/>
    <w:rsid w:val="03A74B05"/>
    <w:rsid w:val="03AD6772"/>
    <w:rsid w:val="03B8F0DA"/>
    <w:rsid w:val="03BB2694"/>
    <w:rsid w:val="03BE9F7E"/>
    <w:rsid w:val="03C53E5D"/>
    <w:rsid w:val="03CC39D7"/>
    <w:rsid w:val="03D663FD"/>
    <w:rsid w:val="03D75A35"/>
    <w:rsid w:val="040F3E47"/>
    <w:rsid w:val="04184F2A"/>
    <w:rsid w:val="0418E9C6"/>
    <w:rsid w:val="04196796"/>
    <w:rsid w:val="041CFEFE"/>
    <w:rsid w:val="041E8234"/>
    <w:rsid w:val="04445B36"/>
    <w:rsid w:val="04454F71"/>
    <w:rsid w:val="0445BD8F"/>
    <w:rsid w:val="04500321"/>
    <w:rsid w:val="045A971C"/>
    <w:rsid w:val="0460C991"/>
    <w:rsid w:val="0463BB5A"/>
    <w:rsid w:val="04774897"/>
    <w:rsid w:val="047CC183"/>
    <w:rsid w:val="047DBD25"/>
    <w:rsid w:val="049C90BC"/>
    <w:rsid w:val="049E4628"/>
    <w:rsid w:val="04A107E3"/>
    <w:rsid w:val="04CA066F"/>
    <w:rsid w:val="04CC65F5"/>
    <w:rsid w:val="04CD5941"/>
    <w:rsid w:val="04D86BD1"/>
    <w:rsid w:val="04E5F6D6"/>
    <w:rsid w:val="04E732FC"/>
    <w:rsid w:val="04E7FD2F"/>
    <w:rsid w:val="04EBA49F"/>
    <w:rsid w:val="04F34BE5"/>
    <w:rsid w:val="0501571F"/>
    <w:rsid w:val="050A53CB"/>
    <w:rsid w:val="050E544D"/>
    <w:rsid w:val="051EE8F4"/>
    <w:rsid w:val="052679C8"/>
    <w:rsid w:val="053BD725"/>
    <w:rsid w:val="053FEA82"/>
    <w:rsid w:val="0543490E"/>
    <w:rsid w:val="05510067"/>
    <w:rsid w:val="056626D9"/>
    <w:rsid w:val="0566F9D7"/>
    <w:rsid w:val="0572B8D4"/>
    <w:rsid w:val="05821EEA"/>
    <w:rsid w:val="058BE5A0"/>
    <w:rsid w:val="05AC912C"/>
    <w:rsid w:val="05B18442"/>
    <w:rsid w:val="05B2DCD7"/>
    <w:rsid w:val="05B9760F"/>
    <w:rsid w:val="05DA1AAC"/>
    <w:rsid w:val="05DB5BAA"/>
    <w:rsid w:val="05DC48A6"/>
    <w:rsid w:val="05E3BF80"/>
    <w:rsid w:val="05F64518"/>
    <w:rsid w:val="05F771E7"/>
    <w:rsid w:val="0604DF66"/>
    <w:rsid w:val="06171F9F"/>
    <w:rsid w:val="061746CC"/>
    <w:rsid w:val="061E2DC3"/>
    <w:rsid w:val="0629E798"/>
    <w:rsid w:val="0637CD4D"/>
    <w:rsid w:val="064428F4"/>
    <w:rsid w:val="06448739"/>
    <w:rsid w:val="06451124"/>
    <w:rsid w:val="06478DDE"/>
    <w:rsid w:val="06534A3E"/>
    <w:rsid w:val="06561D82"/>
    <w:rsid w:val="065904BA"/>
    <w:rsid w:val="065B23FD"/>
    <w:rsid w:val="065C5966"/>
    <w:rsid w:val="065E8B44"/>
    <w:rsid w:val="066C8451"/>
    <w:rsid w:val="06705F75"/>
    <w:rsid w:val="06759722"/>
    <w:rsid w:val="06761B99"/>
    <w:rsid w:val="06806E93"/>
    <w:rsid w:val="0683071E"/>
    <w:rsid w:val="06850298"/>
    <w:rsid w:val="068C074A"/>
    <w:rsid w:val="068C0B42"/>
    <w:rsid w:val="068C196F"/>
    <w:rsid w:val="069741E5"/>
    <w:rsid w:val="069D2780"/>
    <w:rsid w:val="06ADB3E4"/>
    <w:rsid w:val="06BA95C2"/>
    <w:rsid w:val="06BE39C7"/>
    <w:rsid w:val="06C70903"/>
    <w:rsid w:val="06CCBF68"/>
    <w:rsid w:val="06CDB672"/>
    <w:rsid w:val="06DC05B2"/>
    <w:rsid w:val="06DF12F4"/>
    <w:rsid w:val="06E02CC5"/>
    <w:rsid w:val="06EB0732"/>
    <w:rsid w:val="06EB6223"/>
    <w:rsid w:val="06EC4C34"/>
    <w:rsid w:val="06EEE060"/>
    <w:rsid w:val="06F46F10"/>
    <w:rsid w:val="06F6721A"/>
    <w:rsid w:val="0709D19A"/>
    <w:rsid w:val="07116B43"/>
    <w:rsid w:val="0714246E"/>
    <w:rsid w:val="0729F901"/>
    <w:rsid w:val="072B3904"/>
    <w:rsid w:val="072B91C7"/>
    <w:rsid w:val="072EA1FE"/>
    <w:rsid w:val="0737850C"/>
    <w:rsid w:val="07388935"/>
    <w:rsid w:val="073A0B35"/>
    <w:rsid w:val="073F0767"/>
    <w:rsid w:val="074122BC"/>
    <w:rsid w:val="07487AB2"/>
    <w:rsid w:val="074F86A6"/>
    <w:rsid w:val="075588D7"/>
    <w:rsid w:val="075ABB68"/>
    <w:rsid w:val="075BD85C"/>
    <w:rsid w:val="0769C66D"/>
    <w:rsid w:val="076BBBF6"/>
    <w:rsid w:val="077554A1"/>
    <w:rsid w:val="077A4AA1"/>
    <w:rsid w:val="078C29D2"/>
    <w:rsid w:val="0795CDDE"/>
    <w:rsid w:val="07A72C2A"/>
    <w:rsid w:val="07AE9C99"/>
    <w:rsid w:val="07C0780D"/>
    <w:rsid w:val="07C211D5"/>
    <w:rsid w:val="07D0CB5C"/>
    <w:rsid w:val="07D45C56"/>
    <w:rsid w:val="07DB7108"/>
    <w:rsid w:val="07E77C4E"/>
    <w:rsid w:val="07E9B65E"/>
    <w:rsid w:val="07EB6B3A"/>
    <w:rsid w:val="07EE1378"/>
    <w:rsid w:val="07EF8295"/>
    <w:rsid w:val="07F66DE0"/>
    <w:rsid w:val="0806A246"/>
    <w:rsid w:val="0812B33A"/>
    <w:rsid w:val="081D9798"/>
    <w:rsid w:val="08227AC7"/>
    <w:rsid w:val="08298AD4"/>
    <w:rsid w:val="0830F868"/>
    <w:rsid w:val="083E187A"/>
    <w:rsid w:val="0842BE01"/>
    <w:rsid w:val="08486DA4"/>
    <w:rsid w:val="084B6B7F"/>
    <w:rsid w:val="084D50ED"/>
    <w:rsid w:val="084EA9CC"/>
    <w:rsid w:val="084F28A2"/>
    <w:rsid w:val="08629F7E"/>
    <w:rsid w:val="08695514"/>
    <w:rsid w:val="086A0E18"/>
    <w:rsid w:val="08784918"/>
    <w:rsid w:val="087BFD26"/>
    <w:rsid w:val="088587E9"/>
    <w:rsid w:val="0888934A"/>
    <w:rsid w:val="088E6515"/>
    <w:rsid w:val="08AB5681"/>
    <w:rsid w:val="08B52EF2"/>
    <w:rsid w:val="08BF2AD9"/>
    <w:rsid w:val="08C7DE46"/>
    <w:rsid w:val="08C94D85"/>
    <w:rsid w:val="08CD7D6C"/>
    <w:rsid w:val="08D07210"/>
    <w:rsid w:val="08DF4E1C"/>
    <w:rsid w:val="08E06ED2"/>
    <w:rsid w:val="08E137DA"/>
    <w:rsid w:val="08EF5085"/>
    <w:rsid w:val="08FF1C11"/>
    <w:rsid w:val="09018C2D"/>
    <w:rsid w:val="09049F6E"/>
    <w:rsid w:val="09115238"/>
    <w:rsid w:val="0928A09D"/>
    <w:rsid w:val="0929F7CC"/>
    <w:rsid w:val="093F611D"/>
    <w:rsid w:val="09467B91"/>
    <w:rsid w:val="0955E480"/>
    <w:rsid w:val="095E190C"/>
    <w:rsid w:val="0967F8C5"/>
    <w:rsid w:val="096A6071"/>
    <w:rsid w:val="09727601"/>
    <w:rsid w:val="0989D443"/>
    <w:rsid w:val="09919163"/>
    <w:rsid w:val="0992119A"/>
    <w:rsid w:val="099923BA"/>
    <w:rsid w:val="099FCF26"/>
    <w:rsid w:val="09B31C3B"/>
    <w:rsid w:val="09B6D470"/>
    <w:rsid w:val="09BDB8FB"/>
    <w:rsid w:val="09C17517"/>
    <w:rsid w:val="09D566E8"/>
    <w:rsid w:val="09D78AE2"/>
    <w:rsid w:val="09DBF620"/>
    <w:rsid w:val="09DF1452"/>
    <w:rsid w:val="09E37026"/>
    <w:rsid w:val="09FC77F8"/>
    <w:rsid w:val="09FCE535"/>
    <w:rsid w:val="09FFFA4C"/>
    <w:rsid w:val="0A1749DB"/>
    <w:rsid w:val="0A1C1D60"/>
    <w:rsid w:val="0A26B439"/>
    <w:rsid w:val="0A3E1DDF"/>
    <w:rsid w:val="0A492ED0"/>
    <w:rsid w:val="0A4AA4B5"/>
    <w:rsid w:val="0A4BBBE1"/>
    <w:rsid w:val="0A4BCCBE"/>
    <w:rsid w:val="0A4C0778"/>
    <w:rsid w:val="0A4D64D6"/>
    <w:rsid w:val="0A51DBFF"/>
    <w:rsid w:val="0A557E79"/>
    <w:rsid w:val="0A565B30"/>
    <w:rsid w:val="0A56DE34"/>
    <w:rsid w:val="0A5B8551"/>
    <w:rsid w:val="0A66B10C"/>
    <w:rsid w:val="0A675C2C"/>
    <w:rsid w:val="0A67D3B9"/>
    <w:rsid w:val="0A6A634F"/>
    <w:rsid w:val="0A70D439"/>
    <w:rsid w:val="0A85FCD7"/>
    <w:rsid w:val="0A87F41C"/>
    <w:rsid w:val="0A8D0F6B"/>
    <w:rsid w:val="0A8E9971"/>
    <w:rsid w:val="0AA0AA29"/>
    <w:rsid w:val="0AA54EF8"/>
    <w:rsid w:val="0AA8DC09"/>
    <w:rsid w:val="0AB502CD"/>
    <w:rsid w:val="0AC52A36"/>
    <w:rsid w:val="0ACC3DB3"/>
    <w:rsid w:val="0AD0E023"/>
    <w:rsid w:val="0AD2A2E8"/>
    <w:rsid w:val="0AD62BA9"/>
    <w:rsid w:val="0AD9F8DD"/>
    <w:rsid w:val="0ADEC944"/>
    <w:rsid w:val="0AE09A2B"/>
    <w:rsid w:val="0AE1D1D4"/>
    <w:rsid w:val="0AF9303F"/>
    <w:rsid w:val="0B03A2F4"/>
    <w:rsid w:val="0B067BE6"/>
    <w:rsid w:val="0B16B467"/>
    <w:rsid w:val="0B17D780"/>
    <w:rsid w:val="0B1F6875"/>
    <w:rsid w:val="0B2556E6"/>
    <w:rsid w:val="0B293F29"/>
    <w:rsid w:val="0B383027"/>
    <w:rsid w:val="0B41657A"/>
    <w:rsid w:val="0B447F56"/>
    <w:rsid w:val="0B5BFDE3"/>
    <w:rsid w:val="0B6B5DA3"/>
    <w:rsid w:val="0B6F82B2"/>
    <w:rsid w:val="0B72E4A6"/>
    <w:rsid w:val="0B7DD2A7"/>
    <w:rsid w:val="0B80AA25"/>
    <w:rsid w:val="0B9A758B"/>
    <w:rsid w:val="0B9CB206"/>
    <w:rsid w:val="0BAA81B5"/>
    <w:rsid w:val="0BB5944E"/>
    <w:rsid w:val="0BCB75F0"/>
    <w:rsid w:val="0BCF72F5"/>
    <w:rsid w:val="0BCFB467"/>
    <w:rsid w:val="0BDDCCE3"/>
    <w:rsid w:val="0BE56FAD"/>
    <w:rsid w:val="0BEE2C50"/>
    <w:rsid w:val="0BFF7E4B"/>
    <w:rsid w:val="0C02F6B3"/>
    <w:rsid w:val="0C099815"/>
    <w:rsid w:val="0C0A29EE"/>
    <w:rsid w:val="0C0A2DDA"/>
    <w:rsid w:val="0C0EC84A"/>
    <w:rsid w:val="0C1FF187"/>
    <w:rsid w:val="0C28B793"/>
    <w:rsid w:val="0C2EB94E"/>
    <w:rsid w:val="0C3859A4"/>
    <w:rsid w:val="0C462CA9"/>
    <w:rsid w:val="0C578B1A"/>
    <w:rsid w:val="0C6900F7"/>
    <w:rsid w:val="0C6A7691"/>
    <w:rsid w:val="0C751021"/>
    <w:rsid w:val="0C7834D5"/>
    <w:rsid w:val="0C86C763"/>
    <w:rsid w:val="0C8CAB1F"/>
    <w:rsid w:val="0C912B03"/>
    <w:rsid w:val="0C93C5AA"/>
    <w:rsid w:val="0C9CC7DB"/>
    <w:rsid w:val="0C9F17D6"/>
    <w:rsid w:val="0CD2007D"/>
    <w:rsid w:val="0CD2C5C2"/>
    <w:rsid w:val="0CDD35DB"/>
    <w:rsid w:val="0CE362A0"/>
    <w:rsid w:val="0CEEF9E2"/>
    <w:rsid w:val="0CF60347"/>
    <w:rsid w:val="0CFC2AA5"/>
    <w:rsid w:val="0D025CF9"/>
    <w:rsid w:val="0D0315BB"/>
    <w:rsid w:val="0D0EF3AA"/>
    <w:rsid w:val="0D1BFEA6"/>
    <w:rsid w:val="0D1C0086"/>
    <w:rsid w:val="0D1C7B33"/>
    <w:rsid w:val="0D1DF7C8"/>
    <w:rsid w:val="0D26C16A"/>
    <w:rsid w:val="0D29C9F7"/>
    <w:rsid w:val="0D2C4F64"/>
    <w:rsid w:val="0D3971A7"/>
    <w:rsid w:val="0D3D77AC"/>
    <w:rsid w:val="0D4759C5"/>
    <w:rsid w:val="0D4FB913"/>
    <w:rsid w:val="0D4FDC65"/>
    <w:rsid w:val="0D51931D"/>
    <w:rsid w:val="0D530DC4"/>
    <w:rsid w:val="0D56DFC6"/>
    <w:rsid w:val="0D640118"/>
    <w:rsid w:val="0D71D4A0"/>
    <w:rsid w:val="0D897CC1"/>
    <w:rsid w:val="0D8F57E8"/>
    <w:rsid w:val="0D98E893"/>
    <w:rsid w:val="0DA7FA58"/>
    <w:rsid w:val="0DAEA0F6"/>
    <w:rsid w:val="0DB0608D"/>
    <w:rsid w:val="0DB56544"/>
    <w:rsid w:val="0DB5D3FB"/>
    <w:rsid w:val="0DC822A6"/>
    <w:rsid w:val="0DD24508"/>
    <w:rsid w:val="0DD50609"/>
    <w:rsid w:val="0DD65C81"/>
    <w:rsid w:val="0DD8F751"/>
    <w:rsid w:val="0DDA4A6B"/>
    <w:rsid w:val="0DDB4270"/>
    <w:rsid w:val="0DDC2765"/>
    <w:rsid w:val="0DE16EE4"/>
    <w:rsid w:val="0DF47AE7"/>
    <w:rsid w:val="0E0AE9BB"/>
    <w:rsid w:val="0E2487FB"/>
    <w:rsid w:val="0E2B6DB1"/>
    <w:rsid w:val="0E3372C5"/>
    <w:rsid w:val="0E366D2D"/>
    <w:rsid w:val="0E4C1E56"/>
    <w:rsid w:val="0E510AF0"/>
    <w:rsid w:val="0E6C25E2"/>
    <w:rsid w:val="0E7DCF62"/>
    <w:rsid w:val="0E87118F"/>
    <w:rsid w:val="0E8C7713"/>
    <w:rsid w:val="0EA36A9A"/>
    <w:rsid w:val="0EAECC55"/>
    <w:rsid w:val="0EB7E968"/>
    <w:rsid w:val="0EBA46BD"/>
    <w:rsid w:val="0EBACB65"/>
    <w:rsid w:val="0EBC490F"/>
    <w:rsid w:val="0EBF7DBA"/>
    <w:rsid w:val="0EBF82D3"/>
    <w:rsid w:val="0ECFF212"/>
    <w:rsid w:val="0ED53D12"/>
    <w:rsid w:val="0ED56C86"/>
    <w:rsid w:val="0EE2D20A"/>
    <w:rsid w:val="0EE8B351"/>
    <w:rsid w:val="0EECE4A6"/>
    <w:rsid w:val="0EEE5078"/>
    <w:rsid w:val="0EF260DB"/>
    <w:rsid w:val="0EF39CFF"/>
    <w:rsid w:val="0F0ADC42"/>
    <w:rsid w:val="0F0E900D"/>
    <w:rsid w:val="0F0F4C0C"/>
    <w:rsid w:val="0F14B549"/>
    <w:rsid w:val="0F475831"/>
    <w:rsid w:val="0F4A0A9E"/>
    <w:rsid w:val="0F4A3AD7"/>
    <w:rsid w:val="0F4C507B"/>
    <w:rsid w:val="0F5D594D"/>
    <w:rsid w:val="0F5F15CA"/>
    <w:rsid w:val="0F601FF1"/>
    <w:rsid w:val="0F681D78"/>
    <w:rsid w:val="0F6C7E8C"/>
    <w:rsid w:val="0F761ACC"/>
    <w:rsid w:val="0F7B53EE"/>
    <w:rsid w:val="0F7B983D"/>
    <w:rsid w:val="0F81B504"/>
    <w:rsid w:val="0F89F228"/>
    <w:rsid w:val="0F8CECE9"/>
    <w:rsid w:val="0F8EA688"/>
    <w:rsid w:val="0FAD5B72"/>
    <w:rsid w:val="0FB4D597"/>
    <w:rsid w:val="0FCEC357"/>
    <w:rsid w:val="0FD622D9"/>
    <w:rsid w:val="0FD80383"/>
    <w:rsid w:val="0FDF6DE6"/>
    <w:rsid w:val="0FEB9EAC"/>
    <w:rsid w:val="0FF6F40E"/>
    <w:rsid w:val="1004151A"/>
    <w:rsid w:val="10103015"/>
    <w:rsid w:val="1012CDDE"/>
    <w:rsid w:val="1019A549"/>
    <w:rsid w:val="10202C35"/>
    <w:rsid w:val="10269CAB"/>
    <w:rsid w:val="102A3A49"/>
    <w:rsid w:val="102E99AA"/>
    <w:rsid w:val="103944FB"/>
    <w:rsid w:val="103B38BA"/>
    <w:rsid w:val="10420B7D"/>
    <w:rsid w:val="104CBE91"/>
    <w:rsid w:val="104CC791"/>
    <w:rsid w:val="1057B195"/>
    <w:rsid w:val="105CC5C3"/>
    <w:rsid w:val="1062A0CB"/>
    <w:rsid w:val="10634B4A"/>
    <w:rsid w:val="106CBF29"/>
    <w:rsid w:val="107594AD"/>
    <w:rsid w:val="107618CF"/>
    <w:rsid w:val="1078D9C2"/>
    <w:rsid w:val="107A13A1"/>
    <w:rsid w:val="107C863E"/>
    <w:rsid w:val="1081A4EC"/>
    <w:rsid w:val="108A8286"/>
    <w:rsid w:val="10A39B1C"/>
    <w:rsid w:val="10A6ACA3"/>
    <w:rsid w:val="10A77D24"/>
    <w:rsid w:val="10B13B19"/>
    <w:rsid w:val="10B45190"/>
    <w:rsid w:val="10B62670"/>
    <w:rsid w:val="10B67FF6"/>
    <w:rsid w:val="10B81A15"/>
    <w:rsid w:val="10B8BAC6"/>
    <w:rsid w:val="10C6050E"/>
    <w:rsid w:val="10C92C3E"/>
    <w:rsid w:val="10CF35A2"/>
    <w:rsid w:val="10D8AA0D"/>
    <w:rsid w:val="10E13F51"/>
    <w:rsid w:val="10E2C29C"/>
    <w:rsid w:val="10EC4A05"/>
    <w:rsid w:val="10EFF72E"/>
    <w:rsid w:val="11034C0F"/>
    <w:rsid w:val="110C82CD"/>
    <w:rsid w:val="110EF88F"/>
    <w:rsid w:val="1116A04B"/>
    <w:rsid w:val="1124BBF7"/>
    <w:rsid w:val="112AF820"/>
    <w:rsid w:val="113CAD87"/>
    <w:rsid w:val="11476E01"/>
    <w:rsid w:val="114E49B0"/>
    <w:rsid w:val="116A51E7"/>
    <w:rsid w:val="116D9C0E"/>
    <w:rsid w:val="116FB1C4"/>
    <w:rsid w:val="1170086F"/>
    <w:rsid w:val="1179785B"/>
    <w:rsid w:val="117EE230"/>
    <w:rsid w:val="1192FB3C"/>
    <w:rsid w:val="11978A5F"/>
    <w:rsid w:val="11A4CDB8"/>
    <w:rsid w:val="11AA4A07"/>
    <w:rsid w:val="11E16ED5"/>
    <w:rsid w:val="11E7BA4B"/>
    <w:rsid w:val="11F9A35C"/>
    <w:rsid w:val="1202934C"/>
    <w:rsid w:val="12061ECA"/>
    <w:rsid w:val="120CCA11"/>
    <w:rsid w:val="120EC54F"/>
    <w:rsid w:val="120F8246"/>
    <w:rsid w:val="121812C2"/>
    <w:rsid w:val="122C5D25"/>
    <w:rsid w:val="12363426"/>
    <w:rsid w:val="1241E9EF"/>
    <w:rsid w:val="124C0298"/>
    <w:rsid w:val="12568177"/>
    <w:rsid w:val="1263929F"/>
    <w:rsid w:val="126AA31B"/>
    <w:rsid w:val="127172AF"/>
    <w:rsid w:val="1279D974"/>
    <w:rsid w:val="12833446"/>
    <w:rsid w:val="12874585"/>
    <w:rsid w:val="12909BA6"/>
    <w:rsid w:val="1294E93E"/>
    <w:rsid w:val="12982150"/>
    <w:rsid w:val="12988C48"/>
    <w:rsid w:val="12A0EBD3"/>
    <w:rsid w:val="12A2583F"/>
    <w:rsid w:val="12A2697F"/>
    <w:rsid w:val="12A561AD"/>
    <w:rsid w:val="12A8A9E4"/>
    <w:rsid w:val="12B1F0BA"/>
    <w:rsid w:val="12B2FA6A"/>
    <w:rsid w:val="12BEB3BD"/>
    <w:rsid w:val="12CC7C6D"/>
    <w:rsid w:val="12D09181"/>
    <w:rsid w:val="12D49143"/>
    <w:rsid w:val="12DC4A6B"/>
    <w:rsid w:val="12DF5A13"/>
    <w:rsid w:val="12E09222"/>
    <w:rsid w:val="12E2FA6B"/>
    <w:rsid w:val="12F081BE"/>
    <w:rsid w:val="12F5E5B9"/>
    <w:rsid w:val="12FBCF47"/>
    <w:rsid w:val="13034310"/>
    <w:rsid w:val="130F432A"/>
    <w:rsid w:val="131F2979"/>
    <w:rsid w:val="13277F61"/>
    <w:rsid w:val="1329A0CB"/>
    <w:rsid w:val="1335281C"/>
    <w:rsid w:val="133C6276"/>
    <w:rsid w:val="1343DB2C"/>
    <w:rsid w:val="1347AB56"/>
    <w:rsid w:val="1349EE94"/>
    <w:rsid w:val="13595F8D"/>
    <w:rsid w:val="135C1E9F"/>
    <w:rsid w:val="135EC4D9"/>
    <w:rsid w:val="136381BF"/>
    <w:rsid w:val="1363983E"/>
    <w:rsid w:val="13641E2A"/>
    <w:rsid w:val="13649678"/>
    <w:rsid w:val="136AC9C0"/>
    <w:rsid w:val="136D3251"/>
    <w:rsid w:val="1376A739"/>
    <w:rsid w:val="1378966B"/>
    <w:rsid w:val="1379CE67"/>
    <w:rsid w:val="137B92F7"/>
    <w:rsid w:val="13816267"/>
    <w:rsid w:val="138475C7"/>
    <w:rsid w:val="13863938"/>
    <w:rsid w:val="139BFD60"/>
    <w:rsid w:val="139E204F"/>
    <w:rsid w:val="13B05353"/>
    <w:rsid w:val="13B11BD4"/>
    <w:rsid w:val="13B71901"/>
    <w:rsid w:val="13CB1DD1"/>
    <w:rsid w:val="13CB4780"/>
    <w:rsid w:val="13DCBED2"/>
    <w:rsid w:val="13DE4D65"/>
    <w:rsid w:val="13E030AD"/>
    <w:rsid w:val="13EFBF6F"/>
    <w:rsid w:val="1400ABCB"/>
    <w:rsid w:val="140B97A4"/>
    <w:rsid w:val="14182F79"/>
    <w:rsid w:val="141F3E82"/>
    <w:rsid w:val="14260647"/>
    <w:rsid w:val="1426756D"/>
    <w:rsid w:val="1440A9EA"/>
    <w:rsid w:val="1441FFBF"/>
    <w:rsid w:val="14420D74"/>
    <w:rsid w:val="145AE73C"/>
    <w:rsid w:val="1460DDE9"/>
    <w:rsid w:val="1461B3E1"/>
    <w:rsid w:val="1466793E"/>
    <w:rsid w:val="146AACDA"/>
    <w:rsid w:val="146D6AFF"/>
    <w:rsid w:val="14751820"/>
    <w:rsid w:val="14766D95"/>
    <w:rsid w:val="147EBE68"/>
    <w:rsid w:val="148C86B1"/>
    <w:rsid w:val="148D8273"/>
    <w:rsid w:val="148FCC11"/>
    <w:rsid w:val="149A4DAA"/>
    <w:rsid w:val="149DCCAA"/>
    <w:rsid w:val="149EFF6F"/>
    <w:rsid w:val="14A34FA6"/>
    <w:rsid w:val="14ACD582"/>
    <w:rsid w:val="14B45FA8"/>
    <w:rsid w:val="14BEAA2F"/>
    <w:rsid w:val="14C39C6B"/>
    <w:rsid w:val="14C5D7D0"/>
    <w:rsid w:val="14C89C4E"/>
    <w:rsid w:val="14D3473F"/>
    <w:rsid w:val="14DBFE61"/>
    <w:rsid w:val="14E3C46C"/>
    <w:rsid w:val="14F30E28"/>
    <w:rsid w:val="14FB38C6"/>
    <w:rsid w:val="150717C1"/>
    <w:rsid w:val="151437EC"/>
    <w:rsid w:val="1515D67C"/>
    <w:rsid w:val="151E23AD"/>
    <w:rsid w:val="152041CE"/>
    <w:rsid w:val="15328D3F"/>
    <w:rsid w:val="1532900A"/>
    <w:rsid w:val="15345C67"/>
    <w:rsid w:val="15398158"/>
    <w:rsid w:val="1539F0B0"/>
    <w:rsid w:val="153C812E"/>
    <w:rsid w:val="153D2DF0"/>
    <w:rsid w:val="1540AB95"/>
    <w:rsid w:val="1546BFDA"/>
    <w:rsid w:val="154C37DC"/>
    <w:rsid w:val="154CCAB1"/>
    <w:rsid w:val="155ADB07"/>
    <w:rsid w:val="155C6BB6"/>
    <w:rsid w:val="15611411"/>
    <w:rsid w:val="15615FDC"/>
    <w:rsid w:val="15654207"/>
    <w:rsid w:val="15870CB5"/>
    <w:rsid w:val="158C2E9C"/>
    <w:rsid w:val="15911464"/>
    <w:rsid w:val="15B210E2"/>
    <w:rsid w:val="15B2A39C"/>
    <w:rsid w:val="15C2C979"/>
    <w:rsid w:val="15C5D8EF"/>
    <w:rsid w:val="15D16134"/>
    <w:rsid w:val="15D4BF7D"/>
    <w:rsid w:val="15D6A5F9"/>
    <w:rsid w:val="15E2050E"/>
    <w:rsid w:val="160D0900"/>
    <w:rsid w:val="1616F3FE"/>
    <w:rsid w:val="16217F93"/>
    <w:rsid w:val="1621DA44"/>
    <w:rsid w:val="1622746A"/>
    <w:rsid w:val="16304DD2"/>
    <w:rsid w:val="164B4C25"/>
    <w:rsid w:val="165D433A"/>
    <w:rsid w:val="1660BB5B"/>
    <w:rsid w:val="166510F8"/>
    <w:rsid w:val="166C464B"/>
    <w:rsid w:val="1670C76A"/>
    <w:rsid w:val="168CC7C3"/>
    <w:rsid w:val="168EA57D"/>
    <w:rsid w:val="16902706"/>
    <w:rsid w:val="16912731"/>
    <w:rsid w:val="16A3114E"/>
    <w:rsid w:val="16A5D3D5"/>
    <w:rsid w:val="16AB000A"/>
    <w:rsid w:val="16BB38D0"/>
    <w:rsid w:val="16BF804A"/>
    <w:rsid w:val="16CDE599"/>
    <w:rsid w:val="16CE606B"/>
    <w:rsid w:val="16D0E47D"/>
    <w:rsid w:val="16E1478C"/>
    <w:rsid w:val="16E36562"/>
    <w:rsid w:val="16E68BBB"/>
    <w:rsid w:val="16EB9958"/>
    <w:rsid w:val="16EDC000"/>
    <w:rsid w:val="16EEE9A8"/>
    <w:rsid w:val="1705DE13"/>
    <w:rsid w:val="1710054C"/>
    <w:rsid w:val="17123570"/>
    <w:rsid w:val="1722544C"/>
    <w:rsid w:val="17324BB7"/>
    <w:rsid w:val="173291FC"/>
    <w:rsid w:val="1734EEE1"/>
    <w:rsid w:val="17392138"/>
    <w:rsid w:val="174C41EC"/>
    <w:rsid w:val="17565132"/>
    <w:rsid w:val="175BAFEA"/>
    <w:rsid w:val="1770A339"/>
    <w:rsid w:val="1772189D"/>
    <w:rsid w:val="17799DF1"/>
    <w:rsid w:val="1785A8EB"/>
    <w:rsid w:val="1785C8AC"/>
    <w:rsid w:val="178BE908"/>
    <w:rsid w:val="17AD48E0"/>
    <w:rsid w:val="17B104A7"/>
    <w:rsid w:val="17B1D3D3"/>
    <w:rsid w:val="17BDFD43"/>
    <w:rsid w:val="17C3C06A"/>
    <w:rsid w:val="17C73A3E"/>
    <w:rsid w:val="17D596DF"/>
    <w:rsid w:val="17D86C75"/>
    <w:rsid w:val="17E9DB1F"/>
    <w:rsid w:val="17EBC476"/>
    <w:rsid w:val="17ED8E2B"/>
    <w:rsid w:val="17FEF0B0"/>
    <w:rsid w:val="180184B1"/>
    <w:rsid w:val="1812AE76"/>
    <w:rsid w:val="18277B17"/>
    <w:rsid w:val="182A16A8"/>
    <w:rsid w:val="182E95CD"/>
    <w:rsid w:val="182EF694"/>
    <w:rsid w:val="1831B4AF"/>
    <w:rsid w:val="183BD680"/>
    <w:rsid w:val="184F33AB"/>
    <w:rsid w:val="185275AA"/>
    <w:rsid w:val="18547767"/>
    <w:rsid w:val="18570931"/>
    <w:rsid w:val="187CA6A9"/>
    <w:rsid w:val="188D81BE"/>
    <w:rsid w:val="18928392"/>
    <w:rsid w:val="1894B503"/>
    <w:rsid w:val="1896782A"/>
    <w:rsid w:val="189A4DF5"/>
    <w:rsid w:val="189B1B04"/>
    <w:rsid w:val="189D9F5C"/>
    <w:rsid w:val="189E7F09"/>
    <w:rsid w:val="18A7127B"/>
    <w:rsid w:val="18A7F5E7"/>
    <w:rsid w:val="18AADA4C"/>
    <w:rsid w:val="18B319A3"/>
    <w:rsid w:val="18B44C7F"/>
    <w:rsid w:val="18B45730"/>
    <w:rsid w:val="18B668F0"/>
    <w:rsid w:val="18C0D946"/>
    <w:rsid w:val="18C670B7"/>
    <w:rsid w:val="18DDE0F4"/>
    <w:rsid w:val="18EB9F04"/>
    <w:rsid w:val="18F2543B"/>
    <w:rsid w:val="18F55A05"/>
    <w:rsid w:val="18FA8318"/>
    <w:rsid w:val="18FC8093"/>
    <w:rsid w:val="19067CF1"/>
    <w:rsid w:val="19073A71"/>
    <w:rsid w:val="190AF676"/>
    <w:rsid w:val="1917B8B0"/>
    <w:rsid w:val="19205711"/>
    <w:rsid w:val="1941BAE6"/>
    <w:rsid w:val="194A5F7E"/>
    <w:rsid w:val="19503760"/>
    <w:rsid w:val="195B0F69"/>
    <w:rsid w:val="196C8DAA"/>
    <w:rsid w:val="196FA32D"/>
    <w:rsid w:val="1981F76B"/>
    <w:rsid w:val="1986C7B9"/>
    <w:rsid w:val="1987EB30"/>
    <w:rsid w:val="19938016"/>
    <w:rsid w:val="19ACE3F1"/>
    <w:rsid w:val="19AE3B28"/>
    <w:rsid w:val="19B74BA0"/>
    <w:rsid w:val="19B7F432"/>
    <w:rsid w:val="19BA1397"/>
    <w:rsid w:val="19C29CCF"/>
    <w:rsid w:val="19CDBE03"/>
    <w:rsid w:val="19D14687"/>
    <w:rsid w:val="19D4C768"/>
    <w:rsid w:val="19D8DB0C"/>
    <w:rsid w:val="19DAF789"/>
    <w:rsid w:val="19E07AB8"/>
    <w:rsid w:val="19E2F4E9"/>
    <w:rsid w:val="19E7969C"/>
    <w:rsid w:val="19E839D4"/>
    <w:rsid w:val="19E9C91F"/>
    <w:rsid w:val="19F15163"/>
    <w:rsid w:val="19FD06F0"/>
    <w:rsid w:val="1A0D0020"/>
    <w:rsid w:val="1A0F29F7"/>
    <w:rsid w:val="1A18EB35"/>
    <w:rsid w:val="1A1AC2C8"/>
    <w:rsid w:val="1A1E4D20"/>
    <w:rsid w:val="1A349DD9"/>
    <w:rsid w:val="1A3CA8C8"/>
    <w:rsid w:val="1A4426A9"/>
    <w:rsid w:val="1A508458"/>
    <w:rsid w:val="1A5D943F"/>
    <w:rsid w:val="1A64F8D5"/>
    <w:rsid w:val="1A6E3CA4"/>
    <w:rsid w:val="1A7552C8"/>
    <w:rsid w:val="1A7997B2"/>
    <w:rsid w:val="1A9D591D"/>
    <w:rsid w:val="1AA85FA8"/>
    <w:rsid w:val="1AAA602B"/>
    <w:rsid w:val="1AAB1932"/>
    <w:rsid w:val="1AB57023"/>
    <w:rsid w:val="1AB9B9E1"/>
    <w:rsid w:val="1ABBC0C1"/>
    <w:rsid w:val="1ABD49AD"/>
    <w:rsid w:val="1AC39D16"/>
    <w:rsid w:val="1AC44442"/>
    <w:rsid w:val="1AC7AA12"/>
    <w:rsid w:val="1ADC723B"/>
    <w:rsid w:val="1AF4F0B6"/>
    <w:rsid w:val="1B018383"/>
    <w:rsid w:val="1B1EF401"/>
    <w:rsid w:val="1B207346"/>
    <w:rsid w:val="1B259834"/>
    <w:rsid w:val="1B2B7B61"/>
    <w:rsid w:val="1B2CA51C"/>
    <w:rsid w:val="1B33F724"/>
    <w:rsid w:val="1B44DEAB"/>
    <w:rsid w:val="1B4C29DA"/>
    <w:rsid w:val="1B4E1942"/>
    <w:rsid w:val="1B5248CF"/>
    <w:rsid w:val="1B57AC0E"/>
    <w:rsid w:val="1B5DCE53"/>
    <w:rsid w:val="1B63AB8A"/>
    <w:rsid w:val="1B68D27C"/>
    <w:rsid w:val="1B6D2B22"/>
    <w:rsid w:val="1B6D3FB8"/>
    <w:rsid w:val="1B70952A"/>
    <w:rsid w:val="1B744E1C"/>
    <w:rsid w:val="1B76F794"/>
    <w:rsid w:val="1B781FFE"/>
    <w:rsid w:val="1B7E67FB"/>
    <w:rsid w:val="1B82B4D3"/>
    <w:rsid w:val="1B921BF0"/>
    <w:rsid w:val="1B92C93C"/>
    <w:rsid w:val="1B9BE8BB"/>
    <w:rsid w:val="1B9EBB75"/>
    <w:rsid w:val="1BA1D18E"/>
    <w:rsid w:val="1BA64400"/>
    <w:rsid w:val="1BBC352B"/>
    <w:rsid w:val="1BC0E979"/>
    <w:rsid w:val="1BC7269D"/>
    <w:rsid w:val="1BD1C362"/>
    <w:rsid w:val="1BDD3904"/>
    <w:rsid w:val="1BFC5220"/>
    <w:rsid w:val="1BFF9361"/>
    <w:rsid w:val="1C001818"/>
    <w:rsid w:val="1C0188CE"/>
    <w:rsid w:val="1C03D02A"/>
    <w:rsid w:val="1C158F8B"/>
    <w:rsid w:val="1C1E06B6"/>
    <w:rsid w:val="1C1FD64A"/>
    <w:rsid w:val="1C312814"/>
    <w:rsid w:val="1C352A87"/>
    <w:rsid w:val="1C433F6C"/>
    <w:rsid w:val="1C45C66C"/>
    <w:rsid w:val="1C48497C"/>
    <w:rsid w:val="1C560AE2"/>
    <w:rsid w:val="1C59B90D"/>
    <w:rsid w:val="1C644088"/>
    <w:rsid w:val="1C650CE6"/>
    <w:rsid w:val="1C69DE9D"/>
    <w:rsid w:val="1C69EDA6"/>
    <w:rsid w:val="1C6CFA6C"/>
    <w:rsid w:val="1C76517B"/>
    <w:rsid w:val="1C7785AF"/>
    <w:rsid w:val="1C79FF4F"/>
    <w:rsid w:val="1C7BEC12"/>
    <w:rsid w:val="1C7E94C4"/>
    <w:rsid w:val="1C8A08FB"/>
    <w:rsid w:val="1C9898DF"/>
    <w:rsid w:val="1CA03535"/>
    <w:rsid w:val="1CA8B15A"/>
    <w:rsid w:val="1CB4CD4B"/>
    <w:rsid w:val="1CBA706B"/>
    <w:rsid w:val="1CC7CC3D"/>
    <w:rsid w:val="1CD36B4D"/>
    <w:rsid w:val="1CD4EAB4"/>
    <w:rsid w:val="1CDA69CD"/>
    <w:rsid w:val="1CDC91C6"/>
    <w:rsid w:val="1CDE6AC0"/>
    <w:rsid w:val="1CE8D9B7"/>
    <w:rsid w:val="1CE9A911"/>
    <w:rsid w:val="1CEF03E0"/>
    <w:rsid w:val="1CF1592C"/>
    <w:rsid w:val="1CF664B4"/>
    <w:rsid w:val="1CFBC0E6"/>
    <w:rsid w:val="1D14940C"/>
    <w:rsid w:val="1D1F8453"/>
    <w:rsid w:val="1D2AE9EC"/>
    <w:rsid w:val="1D3D5F68"/>
    <w:rsid w:val="1D3EEC66"/>
    <w:rsid w:val="1D400B49"/>
    <w:rsid w:val="1D6C3E9B"/>
    <w:rsid w:val="1D72C9FA"/>
    <w:rsid w:val="1D7477CB"/>
    <w:rsid w:val="1D8AD308"/>
    <w:rsid w:val="1D8F6642"/>
    <w:rsid w:val="1D954312"/>
    <w:rsid w:val="1D9A1F46"/>
    <w:rsid w:val="1D9BE879"/>
    <w:rsid w:val="1D9EF5B8"/>
    <w:rsid w:val="1D9FA08B"/>
    <w:rsid w:val="1DA3614B"/>
    <w:rsid w:val="1DB9D785"/>
    <w:rsid w:val="1DD259AD"/>
    <w:rsid w:val="1DD280BE"/>
    <w:rsid w:val="1DD7847E"/>
    <w:rsid w:val="1DE924F1"/>
    <w:rsid w:val="1DEA040C"/>
    <w:rsid w:val="1DEDF2E0"/>
    <w:rsid w:val="1E04336C"/>
    <w:rsid w:val="1E0C03A3"/>
    <w:rsid w:val="1E10AE66"/>
    <w:rsid w:val="1E1209AC"/>
    <w:rsid w:val="1E15B9D8"/>
    <w:rsid w:val="1E1CEFA4"/>
    <w:rsid w:val="1E2BF2EF"/>
    <w:rsid w:val="1E2E3E96"/>
    <w:rsid w:val="1E3C2699"/>
    <w:rsid w:val="1E3F9612"/>
    <w:rsid w:val="1E4F6EE0"/>
    <w:rsid w:val="1E528C2F"/>
    <w:rsid w:val="1E54AE65"/>
    <w:rsid w:val="1E6B588A"/>
    <w:rsid w:val="1E6E49B1"/>
    <w:rsid w:val="1E785F89"/>
    <w:rsid w:val="1E7997FF"/>
    <w:rsid w:val="1E89D346"/>
    <w:rsid w:val="1E8A93B4"/>
    <w:rsid w:val="1E8CE2AA"/>
    <w:rsid w:val="1E91EAC1"/>
    <w:rsid w:val="1E93CC3F"/>
    <w:rsid w:val="1E982B62"/>
    <w:rsid w:val="1E9FDCB9"/>
    <w:rsid w:val="1EA1D6BE"/>
    <w:rsid w:val="1EA81F92"/>
    <w:rsid w:val="1EB1976F"/>
    <w:rsid w:val="1EB3436B"/>
    <w:rsid w:val="1EB48357"/>
    <w:rsid w:val="1EB582E3"/>
    <w:rsid w:val="1EB937E7"/>
    <w:rsid w:val="1EC3F2A0"/>
    <w:rsid w:val="1EC73C3C"/>
    <w:rsid w:val="1EC9BCB2"/>
    <w:rsid w:val="1EC9C8FD"/>
    <w:rsid w:val="1ED904F9"/>
    <w:rsid w:val="1EEC8204"/>
    <w:rsid w:val="1F024246"/>
    <w:rsid w:val="1F162D7D"/>
    <w:rsid w:val="1F252FFF"/>
    <w:rsid w:val="1F292EBC"/>
    <w:rsid w:val="1F2EBB57"/>
    <w:rsid w:val="1F353B86"/>
    <w:rsid w:val="1F4056BC"/>
    <w:rsid w:val="1F4E540C"/>
    <w:rsid w:val="1F568052"/>
    <w:rsid w:val="1F6144E4"/>
    <w:rsid w:val="1F64A9EC"/>
    <w:rsid w:val="1F6C05A9"/>
    <w:rsid w:val="1F6C81C7"/>
    <w:rsid w:val="1F72F85A"/>
    <w:rsid w:val="1F74B276"/>
    <w:rsid w:val="1F841D72"/>
    <w:rsid w:val="1F91E801"/>
    <w:rsid w:val="1F96EC2C"/>
    <w:rsid w:val="1F9B8B44"/>
    <w:rsid w:val="1F9BBA65"/>
    <w:rsid w:val="1F9FBD51"/>
    <w:rsid w:val="1FA8F3F7"/>
    <w:rsid w:val="1FAB736C"/>
    <w:rsid w:val="1FD196F9"/>
    <w:rsid w:val="1FD9B637"/>
    <w:rsid w:val="1FDAF44C"/>
    <w:rsid w:val="1FE0F111"/>
    <w:rsid w:val="1FE87DB8"/>
    <w:rsid w:val="1FF1BEF8"/>
    <w:rsid w:val="200460CA"/>
    <w:rsid w:val="201234B5"/>
    <w:rsid w:val="201C71DE"/>
    <w:rsid w:val="201D8D17"/>
    <w:rsid w:val="2028C5A0"/>
    <w:rsid w:val="203D1F64"/>
    <w:rsid w:val="20444655"/>
    <w:rsid w:val="204A8EAF"/>
    <w:rsid w:val="204AD30D"/>
    <w:rsid w:val="20516C5B"/>
    <w:rsid w:val="2052F1FE"/>
    <w:rsid w:val="2059043B"/>
    <w:rsid w:val="205D9D3C"/>
    <w:rsid w:val="2073352A"/>
    <w:rsid w:val="2075A747"/>
    <w:rsid w:val="207F94A2"/>
    <w:rsid w:val="2091996A"/>
    <w:rsid w:val="209714D3"/>
    <w:rsid w:val="209B4DA9"/>
    <w:rsid w:val="20A16C4D"/>
    <w:rsid w:val="20B00C94"/>
    <w:rsid w:val="20C63C2D"/>
    <w:rsid w:val="20C7CC3C"/>
    <w:rsid w:val="20CBFE89"/>
    <w:rsid w:val="20CE90E5"/>
    <w:rsid w:val="20D8159B"/>
    <w:rsid w:val="20E26D06"/>
    <w:rsid w:val="20EB8881"/>
    <w:rsid w:val="20ECF7C8"/>
    <w:rsid w:val="20F058AB"/>
    <w:rsid w:val="20F9F4B0"/>
    <w:rsid w:val="20FC9666"/>
    <w:rsid w:val="2103E793"/>
    <w:rsid w:val="210D518D"/>
    <w:rsid w:val="21149A46"/>
    <w:rsid w:val="2121122E"/>
    <w:rsid w:val="2149441F"/>
    <w:rsid w:val="214D0672"/>
    <w:rsid w:val="2167E1E8"/>
    <w:rsid w:val="216DFAF0"/>
    <w:rsid w:val="217F8285"/>
    <w:rsid w:val="219B538B"/>
    <w:rsid w:val="219FD0E7"/>
    <w:rsid w:val="219FE0F6"/>
    <w:rsid w:val="21ABD046"/>
    <w:rsid w:val="21C1DE2B"/>
    <w:rsid w:val="21C3B265"/>
    <w:rsid w:val="21D88281"/>
    <w:rsid w:val="21DB6FD1"/>
    <w:rsid w:val="21DFBF47"/>
    <w:rsid w:val="21DFC838"/>
    <w:rsid w:val="21E22A11"/>
    <w:rsid w:val="21E7FE63"/>
    <w:rsid w:val="21F56586"/>
    <w:rsid w:val="21FBA838"/>
    <w:rsid w:val="220EF839"/>
    <w:rsid w:val="2219B4C1"/>
    <w:rsid w:val="221D6A6D"/>
    <w:rsid w:val="221DCA34"/>
    <w:rsid w:val="2224B743"/>
    <w:rsid w:val="22258C24"/>
    <w:rsid w:val="223072A7"/>
    <w:rsid w:val="22334617"/>
    <w:rsid w:val="223BE2BA"/>
    <w:rsid w:val="22446241"/>
    <w:rsid w:val="224799C9"/>
    <w:rsid w:val="2248C2AF"/>
    <w:rsid w:val="225026B6"/>
    <w:rsid w:val="22515709"/>
    <w:rsid w:val="2251D8AE"/>
    <w:rsid w:val="225357B0"/>
    <w:rsid w:val="225EC6C2"/>
    <w:rsid w:val="22720197"/>
    <w:rsid w:val="22762E44"/>
    <w:rsid w:val="227CE0BE"/>
    <w:rsid w:val="228E9064"/>
    <w:rsid w:val="229BD4CC"/>
    <w:rsid w:val="22A7C097"/>
    <w:rsid w:val="22AAF69B"/>
    <w:rsid w:val="22AE1CE1"/>
    <w:rsid w:val="22B95432"/>
    <w:rsid w:val="22C53F39"/>
    <w:rsid w:val="22DCC441"/>
    <w:rsid w:val="2301C654"/>
    <w:rsid w:val="230F9918"/>
    <w:rsid w:val="2319045C"/>
    <w:rsid w:val="231DFC36"/>
    <w:rsid w:val="232AF02E"/>
    <w:rsid w:val="23395C4D"/>
    <w:rsid w:val="23398B71"/>
    <w:rsid w:val="235229D6"/>
    <w:rsid w:val="23647907"/>
    <w:rsid w:val="236A2DBE"/>
    <w:rsid w:val="236EE3EB"/>
    <w:rsid w:val="236FB753"/>
    <w:rsid w:val="2378B1E6"/>
    <w:rsid w:val="237C6BE8"/>
    <w:rsid w:val="238D74D0"/>
    <w:rsid w:val="2394020F"/>
    <w:rsid w:val="23AF7B52"/>
    <w:rsid w:val="23B31AAB"/>
    <w:rsid w:val="23B7EB71"/>
    <w:rsid w:val="23C42A60"/>
    <w:rsid w:val="23D40776"/>
    <w:rsid w:val="23D7D960"/>
    <w:rsid w:val="23DA9D31"/>
    <w:rsid w:val="23E52673"/>
    <w:rsid w:val="23FD1EB9"/>
    <w:rsid w:val="240969CD"/>
    <w:rsid w:val="24132E15"/>
    <w:rsid w:val="241469DD"/>
    <w:rsid w:val="241C59E5"/>
    <w:rsid w:val="241EF2F7"/>
    <w:rsid w:val="242BCD71"/>
    <w:rsid w:val="243178D9"/>
    <w:rsid w:val="243576D3"/>
    <w:rsid w:val="24381B0F"/>
    <w:rsid w:val="243C7874"/>
    <w:rsid w:val="244C3B08"/>
    <w:rsid w:val="24500DA0"/>
    <w:rsid w:val="2450E02B"/>
    <w:rsid w:val="24554F2B"/>
    <w:rsid w:val="245C4A78"/>
    <w:rsid w:val="246333F3"/>
    <w:rsid w:val="2468D803"/>
    <w:rsid w:val="246BDD5C"/>
    <w:rsid w:val="246D28AD"/>
    <w:rsid w:val="247FB17A"/>
    <w:rsid w:val="24825D8E"/>
    <w:rsid w:val="24854756"/>
    <w:rsid w:val="24A3D887"/>
    <w:rsid w:val="24AB7BD8"/>
    <w:rsid w:val="24B2C466"/>
    <w:rsid w:val="24B4BA2F"/>
    <w:rsid w:val="24BA2C4F"/>
    <w:rsid w:val="24BA800E"/>
    <w:rsid w:val="24D2521F"/>
    <w:rsid w:val="24D6CADD"/>
    <w:rsid w:val="24DA48B5"/>
    <w:rsid w:val="24E3012F"/>
    <w:rsid w:val="24E91451"/>
    <w:rsid w:val="24E96587"/>
    <w:rsid w:val="24EFDAE1"/>
    <w:rsid w:val="24F5C40A"/>
    <w:rsid w:val="25131093"/>
    <w:rsid w:val="251D5563"/>
    <w:rsid w:val="251F267C"/>
    <w:rsid w:val="253B9D9C"/>
    <w:rsid w:val="253D6C9C"/>
    <w:rsid w:val="25405AD3"/>
    <w:rsid w:val="2542826F"/>
    <w:rsid w:val="254398DE"/>
    <w:rsid w:val="25449169"/>
    <w:rsid w:val="25459DBB"/>
    <w:rsid w:val="254923F5"/>
    <w:rsid w:val="255422D5"/>
    <w:rsid w:val="2554A89D"/>
    <w:rsid w:val="2555A333"/>
    <w:rsid w:val="255BCFE1"/>
    <w:rsid w:val="2563DFE9"/>
    <w:rsid w:val="2568EBDC"/>
    <w:rsid w:val="2572C4C6"/>
    <w:rsid w:val="25903AB9"/>
    <w:rsid w:val="25995F53"/>
    <w:rsid w:val="259B439A"/>
    <w:rsid w:val="25A33120"/>
    <w:rsid w:val="25A446D1"/>
    <w:rsid w:val="25A5A489"/>
    <w:rsid w:val="25A60163"/>
    <w:rsid w:val="25B1B57B"/>
    <w:rsid w:val="25C3DACD"/>
    <w:rsid w:val="25C9AB57"/>
    <w:rsid w:val="25D034DA"/>
    <w:rsid w:val="25D06F8D"/>
    <w:rsid w:val="25D6B9EE"/>
    <w:rsid w:val="25E34405"/>
    <w:rsid w:val="25ED252D"/>
    <w:rsid w:val="25EDAB29"/>
    <w:rsid w:val="25F34D34"/>
    <w:rsid w:val="26042106"/>
    <w:rsid w:val="2605C04E"/>
    <w:rsid w:val="26070FF4"/>
    <w:rsid w:val="2611F84D"/>
    <w:rsid w:val="2612B291"/>
    <w:rsid w:val="26177A40"/>
    <w:rsid w:val="26179B97"/>
    <w:rsid w:val="2618CEB5"/>
    <w:rsid w:val="26190458"/>
    <w:rsid w:val="261D2002"/>
    <w:rsid w:val="2621F977"/>
    <w:rsid w:val="26275AAF"/>
    <w:rsid w:val="26381D95"/>
    <w:rsid w:val="2638667A"/>
    <w:rsid w:val="263F6753"/>
    <w:rsid w:val="2640017E"/>
    <w:rsid w:val="264F4575"/>
    <w:rsid w:val="2656F552"/>
    <w:rsid w:val="2656FED1"/>
    <w:rsid w:val="266AFF33"/>
    <w:rsid w:val="26786692"/>
    <w:rsid w:val="267CEA49"/>
    <w:rsid w:val="26833E9D"/>
    <w:rsid w:val="26890114"/>
    <w:rsid w:val="268A8046"/>
    <w:rsid w:val="268CAFE0"/>
    <w:rsid w:val="268EEAC9"/>
    <w:rsid w:val="2694F3E2"/>
    <w:rsid w:val="2695B897"/>
    <w:rsid w:val="269793B9"/>
    <w:rsid w:val="26ABB444"/>
    <w:rsid w:val="26AC6FDB"/>
    <w:rsid w:val="26B0F24C"/>
    <w:rsid w:val="26B721A4"/>
    <w:rsid w:val="26C0F972"/>
    <w:rsid w:val="26CEA34A"/>
    <w:rsid w:val="26EF49B2"/>
    <w:rsid w:val="26F3BF47"/>
    <w:rsid w:val="26F9A747"/>
    <w:rsid w:val="2705FCB8"/>
    <w:rsid w:val="270C305C"/>
    <w:rsid w:val="271021D3"/>
    <w:rsid w:val="2712D708"/>
    <w:rsid w:val="2729BC85"/>
    <w:rsid w:val="272AA6F4"/>
    <w:rsid w:val="272E669C"/>
    <w:rsid w:val="2736D1C2"/>
    <w:rsid w:val="274A9314"/>
    <w:rsid w:val="27607938"/>
    <w:rsid w:val="276102C3"/>
    <w:rsid w:val="2768854A"/>
    <w:rsid w:val="27719769"/>
    <w:rsid w:val="2771B40F"/>
    <w:rsid w:val="2773EC2A"/>
    <w:rsid w:val="27790FF9"/>
    <w:rsid w:val="277FDB34"/>
    <w:rsid w:val="2782530B"/>
    <w:rsid w:val="2789B08A"/>
    <w:rsid w:val="27946726"/>
    <w:rsid w:val="27A69E9D"/>
    <w:rsid w:val="27A7BDF7"/>
    <w:rsid w:val="27A8327F"/>
    <w:rsid w:val="27AD4D5E"/>
    <w:rsid w:val="27AE4F05"/>
    <w:rsid w:val="27B6AAFE"/>
    <w:rsid w:val="27B96FF4"/>
    <w:rsid w:val="27BA1125"/>
    <w:rsid w:val="27BCF564"/>
    <w:rsid w:val="27C05D7A"/>
    <w:rsid w:val="27D20D85"/>
    <w:rsid w:val="27D5456B"/>
    <w:rsid w:val="27DB6144"/>
    <w:rsid w:val="27E55F94"/>
    <w:rsid w:val="27F54100"/>
    <w:rsid w:val="27FADED4"/>
    <w:rsid w:val="2806B2BF"/>
    <w:rsid w:val="2818F0A8"/>
    <w:rsid w:val="281DC8EB"/>
    <w:rsid w:val="28211D67"/>
    <w:rsid w:val="2827EF96"/>
    <w:rsid w:val="282FD2D2"/>
    <w:rsid w:val="283137E8"/>
    <w:rsid w:val="28358192"/>
    <w:rsid w:val="283F5E00"/>
    <w:rsid w:val="2841C9F0"/>
    <w:rsid w:val="284C1625"/>
    <w:rsid w:val="285C5DE5"/>
    <w:rsid w:val="28604160"/>
    <w:rsid w:val="28624080"/>
    <w:rsid w:val="286A6469"/>
    <w:rsid w:val="2873112B"/>
    <w:rsid w:val="28875604"/>
    <w:rsid w:val="288FE620"/>
    <w:rsid w:val="2890FF29"/>
    <w:rsid w:val="289193F7"/>
    <w:rsid w:val="289378A7"/>
    <w:rsid w:val="28965106"/>
    <w:rsid w:val="289A601C"/>
    <w:rsid w:val="28A41D8B"/>
    <w:rsid w:val="28A90C30"/>
    <w:rsid w:val="28AFA58B"/>
    <w:rsid w:val="28B4B960"/>
    <w:rsid w:val="28B53ADF"/>
    <w:rsid w:val="28B720B8"/>
    <w:rsid w:val="28C8B59E"/>
    <w:rsid w:val="28D69CC7"/>
    <w:rsid w:val="28D85A13"/>
    <w:rsid w:val="28DD507B"/>
    <w:rsid w:val="28E75C71"/>
    <w:rsid w:val="28E92E6E"/>
    <w:rsid w:val="28F97C01"/>
    <w:rsid w:val="2901BDCF"/>
    <w:rsid w:val="29142379"/>
    <w:rsid w:val="29156D3A"/>
    <w:rsid w:val="29227931"/>
    <w:rsid w:val="2927FC3A"/>
    <w:rsid w:val="292B60E4"/>
    <w:rsid w:val="292DB441"/>
    <w:rsid w:val="29316CAC"/>
    <w:rsid w:val="29397B0F"/>
    <w:rsid w:val="29448CB2"/>
    <w:rsid w:val="2945AB34"/>
    <w:rsid w:val="2947D7B1"/>
    <w:rsid w:val="2948E4AC"/>
    <w:rsid w:val="29557E5F"/>
    <w:rsid w:val="29587C1C"/>
    <w:rsid w:val="295A1C98"/>
    <w:rsid w:val="295E229E"/>
    <w:rsid w:val="2964289F"/>
    <w:rsid w:val="2964558B"/>
    <w:rsid w:val="296B277F"/>
    <w:rsid w:val="2984947F"/>
    <w:rsid w:val="298DCD1D"/>
    <w:rsid w:val="2990567D"/>
    <w:rsid w:val="29A508B3"/>
    <w:rsid w:val="29ACBD93"/>
    <w:rsid w:val="29AED97B"/>
    <w:rsid w:val="29BD3401"/>
    <w:rsid w:val="29C6CD6A"/>
    <w:rsid w:val="29C925D9"/>
    <w:rsid w:val="29D06551"/>
    <w:rsid w:val="29D8BCA6"/>
    <w:rsid w:val="29DBFAE2"/>
    <w:rsid w:val="29EC3775"/>
    <w:rsid w:val="29F0A7EE"/>
    <w:rsid w:val="29F78D6F"/>
    <w:rsid w:val="29F8E5E2"/>
    <w:rsid w:val="2A0BAF5E"/>
    <w:rsid w:val="2A135894"/>
    <w:rsid w:val="2A13A1D6"/>
    <w:rsid w:val="2A1DB73F"/>
    <w:rsid w:val="2A2021E8"/>
    <w:rsid w:val="2A239F78"/>
    <w:rsid w:val="2A27864F"/>
    <w:rsid w:val="2A2BB681"/>
    <w:rsid w:val="2A36307D"/>
    <w:rsid w:val="2A483447"/>
    <w:rsid w:val="2A564A39"/>
    <w:rsid w:val="2A56E1B1"/>
    <w:rsid w:val="2A5D846D"/>
    <w:rsid w:val="2A6B2A3A"/>
    <w:rsid w:val="2A6E13FF"/>
    <w:rsid w:val="2A73C3F8"/>
    <w:rsid w:val="2A75E65E"/>
    <w:rsid w:val="2A77A6DC"/>
    <w:rsid w:val="2A7A90E7"/>
    <w:rsid w:val="2A7CF29F"/>
    <w:rsid w:val="2A80EAD6"/>
    <w:rsid w:val="2A8E964C"/>
    <w:rsid w:val="2A9271A9"/>
    <w:rsid w:val="2A9D09AB"/>
    <w:rsid w:val="2AA12E2F"/>
    <w:rsid w:val="2AA2B9B8"/>
    <w:rsid w:val="2AA543D7"/>
    <w:rsid w:val="2AB14D0F"/>
    <w:rsid w:val="2AB64AB9"/>
    <w:rsid w:val="2AB8C754"/>
    <w:rsid w:val="2ABA0E01"/>
    <w:rsid w:val="2AC89C47"/>
    <w:rsid w:val="2ACDF66D"/>
    <w:rsid w:val="2ADB6FD3"/>
    <w:rsid w:val="2ADE8D04"/>
    <w:rsid w:val="2AE4FB49"/>
    <w:rsid w:val="2AFB8263"/>
    <w:rsid w:val="2B024462"/>
    <w:rsid w:val="2B069A80"/>
    <w:rsid w:val="2B0CF1DF"/>
    <w:rsid w:val="2B1C4ED1"/>
    <w:rsid w:val="2B1F9AA4"/>
    <w:rsid w:val="2B246477"/>
    <w:rsid w:val="2B30B2F9"/>
    <w:rsid w:val="2B56A97E"/>
    <w:rsid w:val="2B5919E0"/>
    <w:rsid w:val="2B5F44DE"/>
    <w:rsid w:val="2B645348"/>
    <w:rsid w:val="2B6929BA"/>
    <w:rsid w:val="2B72B79D"/>
    <w:rsid w:val="2B7AC938"/>
    <w:rsid w:val="2B83EA6E"/>
    <w:rsid w:val="2B935DD0"/>
    <w:rsid w:val="2B951AEA"/>
    <w:rsid w:val="2B9D7842"/>
    <w:rsid w:val="2BA38D18"/>
    <w:rsid w:val="2BAF8D59"/>
    <w:rsid w:val="2BB0040A"/>
    <w:rsid w:val="2BC110E6"/>
    <w:rsid w:val="2BC902E7"/>
    <w:rsid w:val="2BCF8800"/>
    <w:rsid w:val="2BD34405"/>
    <w:rsid w:val="2BD5CB45"/>
    <w:rsid w:val="2BD7B03C"/>
    <w:rsid w:val="2BE1CAA3"/>
    <w:rsid w:val="2BFA8BF8"/>
    <w:rsid w:val="2BFC6C7C"/>
    <w:rsid w:val="2C2BED81"/>
    <w:rsid w:val="2C36AC8B"/>
    <w:rsid w:val="2C43EC89"/>
    <w:rsid w:val="2C44F261"/>
    <w:rsid w:val="2C53183E"/>
    <w:rsid w:val="2C611510"/>
    <w:rsid w:val="2C67864A"/>
    <w:rsid w:val="2C6A1F10"/>
    <w:rsid w:val="2C6D0248"/>
    <w:rsid w:val="2C7DECBC"/>
    <w:rsid w:val="2C84E0A3"/>
    <w:rsid w:val="2C861A79"/>
    <w:rsid w:val="2C90D8C9"/>
    <w:rsid w:val="2C92F819"/>
    <w:rsid w:val="2CA41EB2"/>
    <w:rsid w:val="2CAFBC27"/>
    <w:rsid w:val="2CB72B64"/>
    <w:rsid w:val="2CB90A28"/>
    <w:rsid w:val="2CC890B3"/>
    <w:rsid w:val="2CCDF00A"/>
    <w:rsid w:val="2CDEACD1"/>
    <w:rsid w:val="2CE973FE"/>
    <w:rsid w:val="2CEF9565"/>
    <w:rsid w:val="2CF2A66C"/>
    <w:rsid w:val="2CF400C1"/>
    <w:rsid w:val="2D096397"/>
    <w:rsid w:val="2D0B1C1C"/>
    <w:rsid w:val="2D0C8DE9"/>
    <w:rsid w:val="2D0CBA26"/>
    <w:rsid w:val="2D0F8705"/>
    <w:rsid w:val="2D1B8846"/>
    <w:rsid w:val="2D1BA527"/>
    <w:rsid w:val="2D1DB808"/>
    <w:rsid w:val="2D229102"/>
    <w:rsid w:val="2D2ACA04"/>
    <w:rsid w:val="2D33A301"/>
    <w:rsid w:val="2D46824E"/>
    <w:rsid w:val="2D48CB76"/>
    <w:rsid w:val="2D4D74C3"/>
    <w:rsid w:val="2D5900EE"/>
    <w:rsid w:val="2D5C8D2F"/>
    <w:rsid w:val="2D667C57"/>
    <w:rsid w:val="2D75B064"/>
    <w:rsid w:val="2D78E1E4"/>
    <w:rsid w:val="2D7BE6A7"/>
    <w:rsid w:val="2D7D6A1E"/>
    <w:rsid w:val="2D7FC8C1"/>
    <w:rsid w:val="2D817F77"/>
    <w:rsid w:val="2D845A50"/>
    <w:rsid w:val="2D912A2C"/>
    <w:rsid w:val="2D93F573"/>
    <w:rsid w:val="2DA736DC"/>
    <w:rsid w:val="2DAE5ED7"/>
    <w:rsid w:val="2DB1C85F"/>
    <w:rsid w:val="2DBDB1DB"/>
    <w:rsid w:val="2DC9FC4D"/>
    <w:rsid w:val="2DCDC4AD"/>
    <w:rsid w:val="2DDACE2F"/>
    <w:rsid w:val="2DDFE303"/>
    <w:rsid w:val="2DDFE449"/>
    <w:rsid w:val="2DED2941"/>
    <w:rsid w:val="2DEE293A"/>
    <w:rsid w:val="2DF1BD76"/>
    <w:rsid w:val="2DF49B56"/>
    <w:rsid w:val="2DFFF8D1"/>
    <w:rsid w:val="2E02AD57"/>
    <w:rsid w:val="2E08009C"/>
    <w:rsid w:val="2E0A41DA"/>
    <w:rsid w:val="2E0A4373"/>
    <w:rsid w:val="2E0C502A"/>
    <w:rsid w:val="2E1CEB1C"/>
    <w:rsid w:val="2E21EBB7"/>
    <w:rsid w:val="2E242CD0"/>
    <w:rsid w:val="2E277738"/>
    <w:rsid w:val="2E2CE59A"/>
    <w:rsid w:val="2E304D18"/>
    <w:rsid w:val="2E37D6BB"/>
    <w:rsid w:val="2E39A5B6"/>
    <w:rsid w:val="2E3BA740"/>
    <w:rsid w:val="2E425A79"/>
    <w:rsid w:val="2E4927BD"/>
    <w:rsid w:val="2E629E13"/>
    <w:rsid w:val="2E63E0BF"/>
    <w:rsid w:val="2E65C2F6"/>
    <w:rsid w:val="2E6DCBAC"/>
    <w:rsid w:val="2E6F2ABF"/>
    <w:rsid w:val="2E727C03"/>
    <w:rsid w:val="2E762558"/>
    <w:rsid w:val="2E794339"/>
    <w:rsid w:val="2E7AEE15"/>
    <w:rsid w:val="2E7B2D6E"/>
    <w:rsid w:val="2E87FC2E"/>
    <w:rsid w:val="2E8BD22F"/>
    <w:rsid w:val="2E9506EE"/>
    <w:rsid w:val="2E9A31A8"/>
    <w:rsid w:val="2E9E39E7"/>
    <w:rsid w:val="2EA2939C"/>
    <w:rsid w:val="2EAE7EE3"/>
    <w:rsid w:val="2EB36192"/>
    <w:rsid w:val="2EBCAAD4"/>
    <w:rsid w:val="2EC1211F"/>
    <w:rsid w:val="2EC21BEE"/>
    <w:rsid w:val="2EC5C4BD"/>
    <w:rsid w:val="2EC6937F"/>
    <w:rsid w:val="2EDB06C6"/>
    <w:rsid w:val="2EDB7D51"/>
    <w:rsid w:val="2EE2FFDB"/>
    <w:rsid w:val="2EE4D8FF"/>
    <w:rsid w:val="2EF3120A"/>
    <w:rsid w:val="2F12B96B"/>
    <w:rsid w:val="2F1D7A72"/>
    <w:rsid w:val="2F1D9272"/>
    <w:rsid w:val="2F28AB1E"/>
    <w:rsid w:val="2F30EB09"/>
    <w:rsid w:val="2F32287C"/>
    <w:rsid w:val="2F34DB74"/>
    <w:rsid w:val="2F3BBBE6"/>
    <w:rsid w:val="2F4B30E4"/>
    <w:rsid w:val="2F4B404F"/>
    <w:rsid w:val="2F4FD6F7"/>
    <w:rsid w:val="2F5194B6"/>
    <w:rsid w:val="2F5313FC"/>
    <w:rsid w:val="2F67B460"/>
    <w:rsid w:val="2F688BF9"/>
    <w:rsid w:val="2F6D5CE9"/>
    <w:rsid w:val="2F735DB6"/>
    <w:rsid w:val="2F7B8D4B"/>
    <w:rsid w:val="2F8D331A"/>
    <w:rsid w:val="2F92CD58"/>
    <w:rsid w:val="2F9AEEA4"/>
    <w:rsid w:val="2FB98E33"/>
    <w:rsid w:val="2FEEBAA2"/>
    <w:rsid w:val="2FF2CE56"/>
    <w:rsid w:val="2FF6617A"/>
    <w:rsid w:val="2FFB8182"/>
    <w:rsid w:val="3003508D"/>
    <w:rsid w:val="300DBB35"/>
    <w:rsid w:val="302BA53C"/>
    <w:rsid w:val="3037B2A5"/>
    <w:rsid w:val="303CC9E8"/>
    <w:rsid w:val="304363F8"/>
    <w:rsid w:val="3046F067"/>
    <w:rsid w:val="3050CF16"/>
    <w:rsid w:val="30519F0E"/>
    <w:rsid w:val="305F5776"/>
    <w:rsid w:val="30684A5D"/>
    <w:rsid w:val="30745873"/>
    <w:rsid w:val="308C49A4"/>
    <w:rsid w:val="309E321E"/>
    <w:rsid w:val="30AC2745"/>
    <w:rsid w:val="30B6180A"/>
    <w:rsid w:val="30B78E3F"/>
    <w:rsid w:val="30BDAFF3"/>
    <w:rsid w:val="30C598C9"/>
    <w:rsid w:val="30D0E570"/>
    <w:rsid w:val="30DC1659"/>
    <w:rsid w:val="30E18139"/>
    <w:rsid w:val="30E3B942"/>
    <w:rsid w:val="30EEC32B"/>
    <w:rsid w:val="30F84BB6"/>
    <w:rsid w:val="30FC6A46"/>
    <w:rsid w:val="3101E8ED"/>
    <w:rsid w:val="310F863E"/>
    <w:rsid w:val="311B6F07"/>
    <w:rsid w:val="3126E9DB"/>
    <w:rsid w:val="312FEB38"/>
    <w:rsid w:val="3144363B"/>
    <w:rsid w:val="314714B7"/>
    <w:rsid w:val="3148E652"/>
    <w:rsid w:val="31583D7B"/>
    <w:rsid w:val="3159173D"/>
    <w:rsid w:val="3178EDE3"/>
    <w:rsid w:val="31790145"/>
    <w:rsid w:val="317D8967"/>
    <w:rsid w:val="31827560"/>
    <w:rsid w:val="31876BAD"/>
    <w:rsid w:val="3189AFDB"/>
    <w:rsid w:val="318C52CC"/>
    <w:rsid w:val="318C6B77"/>
    <w:rsid w:val="31912AC5"/>
    <w:rsid w:val="31912B64"/>
    <w:rsid w:val="3193AA34"/>
    <w:rsid w:val="31982A74"/>
    <w:rsid w:val="31999A8E"/>
    <w:rsid w:val="3199FD49"/>
    <w:rsid w:val="319AA5E7"/>
    <w:rsid w:val="31A23EC5"/>
    <w:rsid w:val="31A30BCE"/>
    <w:rsid w:val="31AC3417"/>
    <w:rsid w:val="31AC777E"/>
    <w:rsid w:val="31B47D7A"/>
    <w:rsid w:val="31B7A61D"/>
    <w:rsid w:val="31C2FCA5"/>
    <w:rsid w:val="31C4A1F8"/>
    <w:rsid w:val="31D18CDC"/>
    <w:rsid w:val="31EC42B0"/>
    <w:rsid w:val="31F11BC1"/>
    <w:rsid w:val="31F92C5D"/>
    <w:rsid w:val="31FD0E46"/>
    <w:rsid w:val="320AF866"/>
    <w:rsid w:val="320DD66E"/>
    <w:rsid w:val="320E22A8"/>
    <w:rsid w:val="322908B2"/>
    <w:rsid w:val="322D0D0C"/>
    <w:rsid w:val="322E8034"/>
    <w:rsid w:val="322F2462"/>
    <w:rsid w:val="3231281A"/>
    <w:rsid w:val="32315511"/>
    <w:rsid w:val="32492F2D"/>
    <w:rsid w:val="32532ADC"/>
    <w:rsid w:val="3254D9C3"/>
    <w:rsid w:val="32571ECD"/>
    <w:rsid w:val="32592D6E"/>
    <w:rsid w:val="325C1C69"/>
    <w:rsid w:val="3274C2A5"/>
    <w:rsid w:val="327B53BE"/>
    <w:rsid w:val="32814F77"/>
    <w:rsid w:val="329F90C2"/>
    <w:rsid w:val="32ABE2A4"/>
    <w:rsid w:val="32BB47CE"/>
    <w:rsid w:val="32C17418"/>
    <w:rsid w:val="32DEE8BC"/>
    <w:rsid w:val="32E79E9A"/>
    <w:rsid w:val="32E9FD73"/>
    <w:rsid w:val="32F540A6"/>
    <w:rsid w:val="32F8550B"/>
    <w:rsid w:val="32F8742E"/>
    <w:rsid w:val="3309D853"/>
    <w:rsid w:val="3317F369"/>
    <w:rsid w:val="333393BE"/>
    <w:rsid w:val="33352D59"/>
    <w:rsid w:val="333DCE8B"/>
    <w:rsid w:val="333ED13E"/>
    <w:rsid w:val="33440B4B"/>
    <w:rsid w:val="33453781"/>
    <w:rsid w:val="334564A4"/>
    <w:rsid w:val="334A2DDA"/>
    <w:rsid w:val="335D7429"/>
    <w:rsid w:val="3364441C"/>
    <w:rsid w:val="337265FF"/>
    <w:rsid w:val="33743B9F"/>
    <w:rsid w:val="337AAADA"/>
    <w:rsid w:val="337C0BA0"/>
    <w:rsid w:val="337EFC1E"/>
    <w:rsid w:val="337F296C"/>
    <w:rsid w:val="3384BB29"/>
    <w:rsid w:val="3386541D"/>
    <w:rsid w:val="338BCA66"/>
    <w:rsid w:val="33958DF0"/>
    <w:rsid w:val="339630F9"/>
    <w:rsid w:val="339A07BC"/>
    <w:rsid w:val="339F9074"/>
    <w:rsid w:val="33B29491"/>
    <w:rsid w:val="33B2E353"/>
    <w:rsid w:val="33C17F20"/>
    <w:rsid w:val="33C4BE40"/>
    <w:rsid w:val="33DCAC07"/>
    <w:rsid w:val="33F5F9CE"/>
    <w:rsid w:val="33FD06A4"/>
    <w:rsid w:val="340A5D5E"/>
    <w:rsid w:val="340E18DA"/>
    <w:rsid w:val="34109DC9"/>
    <w:rsid w:val="34145ECD"/>
    <w:rsid w:val="342CF35F"/>
    <w:rsid w:val="343641A0"/>
    <w:rsid w:val="343736AD"/>
    <w:rsid w:val="343F3963"/>
    <w:rsid w:val="344CBE86"/>
    <w:rsid w:val="3458C5B1"/>
    <w:rsid w:val="346619D8"/>
    <w:rsid w:val="34678BFA"/>
    <w:rsid w:val="346914E6"/>
    <w:rsid w:val="3471F9A2"/>
    <w:rsid w:val="3481C92A"/>
    <w:rsid w:val="34844882"/>
    <w:rsid w:val="348501C3"/>
    <w:rsid w:val="348AF6A6"/>
    <w:rsid w:val="349CF632"/>
    <w:rsid w:val="34AD3BDB"/>
    <w:rsid w:val="34BEEE86"/>
    <w:rsid w:val="34C6AB6F"/>
    <w:rsid w:val="34C7F2AA"/>
    <w:rsid w:val="34D929A2"/>
    <w:rsid w:val="34E04E31"/>
    <w:rsid w:val="34EADF6E"/>
    <w:rsid w:val="34F85247"/>
    <w:rsid w:val="34F97158"/>
    <w:rsid w:val="3503DF02"/>
    <w:rsid w:val="351365EC"/>
    <w:rsid w:val="3517BF13"/>
    <w:rsid w:val="351A3A55"/>
    <w:rsid w:val="35294140"/>
    <w:rsid w:val="352EA7A2"/>
    <w:rsid w:val="353908D3"/>
    <w:rsid w:val="3541B486"/>
    <w:rsid w:val="3554F732"/>
    <w:rsid w:val="355FE9E8"/>
    <w:rsid w:val="35610204"/>
    <w:rsid w:val="35679E62"/>
    <w:rsid w:val="3571ECAA"/>
    <w:rsid w:val="35766965"/>
    <w:rsid w:val="359087CE"/>
    <w:rsid w:val="3592C469"/>
    <w:rsid w:val="359B83DE"/>
    <w:rsid w:val="35A98FD2"/>
    <w:rsid w:val="35C2D969"/>
    <w:rsid w:val="35C509A7"/>
    <w:rsid w:val="35C56E9B"/>
    <w:rsid w:val="35DDEF13"/>
    <w:rsid w:val="35DEC894"/>
    <w:rsid w:val="35EAEEB3"/>
    <w:rsid w:val="35F90DC0"/>
    <w:rsid w:val="35FCEB6A"/>
    <w:rsid w:val="36006696"/>
    <w:rsid w:val="36037E47"/>
    <w:rsid w:val="3603CEF3"/>
    <w:rsid w:val="3604A569"/>
    <w:rsid w:val="360C8BBF"/>
    <w:rsid w:val="361DE74F"/>
    <w:rsid w:val="361EACA3"/>
    <w:rsid w:val="361FE612"/>
    <w:rsid w:val="362CB82D"/>
    <w:rsid w:val="363C9694"/>
    <w:rsid w:val="36525857"/>
    <w:rsid w:val="3658D1C9"/>
    <w:rsid w:val="366145F2"/>
    <w:rsid w:val="366C22D6"/>
    <w:rsid w:val="3671CDA6"/>
    <w:rsid w:val="36742A4B"/>
    <w:rsid w:val="367EA163"/>
    <w:rsid w:val="3696E071"/>
    <w:rsid w:val="3699D781"/>
    <w:rsid w:val="369D2FF5"/>
    <w:rsid w:val="36AD1EEA"/>
    <w:rsid w:val="36B6834E"/>
    <w:rsid w:val="36BE716F"/>
    <w:rsid w:val="36DD7958"/>
    <w:rsid w:val="36E43DB4"/>
    <w:rsid w:val="36E5021C"/>
    <w:rsid w:val="36E66194"/>
    <w:rsid w:val="36E8C940"/>
    <w:rsid w:val="36ED85C4"/>
    <w:rsid w:val="36F0502E"/>
    <w:rsid w:val="3705A79D"/>
    <w:rsid w:val="37062A75"/>
    <w:rsid w:val="3706B4A7"/>
    <w:rsid w:val="370BCBCE"/>
    <w:rsid w:val="3713E139"/>
    <w:rsid w:val="37192DDE"/>
    <w:rsid w:val="3724A580"/>
    <w:rsid w:val="372A2576"/>
    <w:rsid w:val="37349B3C"/>
    <w:rsid w:val="3735BA25"/>
    <w:rsid w:val="3743EA74"/>
    <w:rsid w:val="375CA69B"/>
    <w:rsid w:val="376C59EC"/>
    <w:rsid w:val="377471F3"/>
    <w:rsid w:val="3774E375"/>
    <w:rsid w:val="37790055"/>
    <w:rsid w:val="377932AD"/>
    <w:rsid w:val="377B9F82"/>
    <w:rsid w:val="377D81AE"/>
    <w:rsid w:val="377EAD0A"/>
    <w:rsid w:val="378040A1"/>
    <w:rsid w:val="3787D6AF"/>
    <w:rsid w:val="378D95C8"/>
    <w:rsid w:val="37C031CA"/>
    <w:rsid w:val="37C20D1D"/>
    <w:rsid w:val="37CC8BB0"/>
    <w:rsid w:val="37D384F5"/>
    <w:rsid w:val="37D60DC0"/>
    <w:rsid w:val="37DB5015"/>
    <w:rsid w:val="37E52179"/>
    <w:rsid w:val="380E60DA"/>
    <w:rsid w:val="380E67EB"/>
    <w:rsid w:val="3818112C"/>
    <w:rsid w:val="382EFF53"/>
    <w:rsid w:val="3847C20E"/>
    <w:rsid w:val="384B04FC"/>
    <w:rsid w:val="385B6B92"/>
    <w:rsid w:val="3860A129"/>
    <w:rsid w:val="3860CF9D"/>
    <w:rsid w:val="3868FF13"/>
    <w:rsid w:val="386D8AAF"/>
    <w:rsid w:val="386F287C"/>
    <w:rsid w:val="3878ABB6"/>
    <w:rsid w:val="38790494"/>
    <w:rsid w:val="387EBD3E"/>
    <w:rsid w:val="389BC816"/>
    <w:rsid w:val="389DFBE4"/>
    <w:rsid w:val="38A659F5"/>
    <w:rsid w:val="38AA581B"/>
    <w:rsid w:val="38AE63F2"/>
    <w:rsid w:val="38B3F047"/>
    <w:rsid w:val="38B53764"/>
    <w:rsid w:val="38D2AC7E"/>
    <w:rsid w:val="38D74CE4"/>
    <w:rsid w:val="38DFF8A9"/>
    <w:rsid w:val="38EE89E4"/>
    <w:rsid w:val="3920E92D"/>
    <w:rsid w:val="3923D6A8"/>
    <w:rsid w:val="392F9A76"/>
    <w:rsid w:val="3945FC9F"/>
    <w:rsid w:val="3947E983"/>
    <w:rsid w:val="394BF182"/>
    <w:rsid w:val="39545309"/>
    <w:rsid w:val="395ADD82"/>
    <w:rsid w:val="395C8765"/>
    <w:rsid w:val="395CC206"/>
    <w:rsid w:val="39609A36"/>
    <w:rsid w:val="39873151"/>
    <w:rsid w:val="399A6BAA"/>
    <w:rsid w:val="399D0D3D"/>
    <w:rsid w:val="399EEA5C"/>
    <w:rsid w:val="39ABA7D7"/>
    <w:rsid w:val="39AED990"/>
    <w:rsid w:val="39B04A35"/>
    <w:rsid w:val="39BD6FFA"/>
    <w:rsid w:val="39C14309"/>
    <w:rsid w:val="39C8779A"/>
    <w:rsid w:val="39CE2810"/>
    <w:rsid w:val="39D469DB"/>
    <w:rsid w:val="39D9B570"/>
    <w:rsid w:val="39E234B1"/>
    <w:rsid w:val="39E51305"/>
    <w:rsid w:val="39FD0A27"/>
    <w:rsid w:val="39FDC4C7"/>
    <w:rsid w:val="3A08FB84"/>
    <w:rsid w:val="3A13A41E"/>
    <w:rsid w:val="3A14C9D1"/>
    <w:rsid w:val="3A1A7152"/>
    <w:rsid w:val="3A2250D1"/>
    <w:rsid w:val="3A26109F"/>
    <w:rsid w:val="3A294814"/>
    <w:rsid w:val="3A2EFFC4"/>
    <w:rsid w:val="3A2F24A1"/>
    <w:rsid w:val="3A3DC53A"/>
    <w:rsid w:val="3A3F45A7"/>
    <w:rsid w:val="3A409C8A"/>
    <w:rsid w:val="3A53068C"/>
    <w:rsid w:val="3A67FE69"/>
    <w:rsid w:val="3A6E262C"/>
    <w:rsid w:val="3A6E9A64"/>
    <w:rsid w:val="3A6FB045"/>
    <w:rsid w:val="3A890FE1"/>
    <w:rsid w:val="3AB877F9"/>
    <w:rsid w:val="3ACE12E8"/>
    <w:rsid w:val="3AD1D3D3"/>
    <w:rsid w:val="3AD85B26"/>
    <w:rsid w:val="3AD8BDA1"/>
    <w:rsid w:val="3AE66AE6"/>
    <w:rsid w:val="3B0A5483"/>
    <w:rsid w:val="3B0A7047"/>
    <w:rsid w:val="3B0C679B"/>
    <w:rsid w:val="3B0FD387"/>
    <w:rsid w:val="3B225D28"/>
    <w:rsid w:val="3B2262E1"/>
    <w:rsid w:val="3B252DFD"/>
    <w:rsid w:val="3B26AB20"/>
    <w:rsid w:val="3B29B581"/>
    <w:rsid w:val="3B338B84"/>
    <w:rsid w:val="3B33FF8B"/>
    <w:rsid w:val="3B3C1CEA"/>
    <w:rsid w:val="3B3EFC81"/>
    <w:rsid w:val="3B40D673"/>
    <w:rsid w:val="3B43C57A"/>
    <w:rsid w:val="3B60FE48"/>
    <w:rsid w:val="3B66BB94"/>
    <w:rsid w:val="3B68D876"/>
    <w:rsid w:val="3B70DEED"/>
    <w:rsid w:val="3B780DBD"/>
    <w:rsid w:val="3B7DA669"/>
    <w:rsid w:val="3B7E16CA"/>
    <w:rsid w:val="3B851C28"/>
    <w:rsid w:val="3B8BA486"/>
    <w:rsid w:val="3B8C9011"/>
    <w:rsid w:val="3B95F4E0"/>
    <w:rsid w:val="3B993A8F"/>
    <w:rsid w:val="3BAEC4BB"/>
    <w:rsid w:val="3BAF0097"/>
    <w:rsid w:val="3BB528EE"/>
    <w:rsid w:val="3BB8B743"/>
    <w:rsid w:val="3BBA73FB"/>
    <w:rsid w:val="3BBAE501"/>
    <w:rsid w:val="3BD59CA6"/>
    <w:rsid w:val="3BDA47ED"/>
    <w:rsid w:val="3BEB9EA6"/>
    <w:rsid w:val="3BFFD2A4"/>
    <w:rsid w:val="3C0E4B39"/>
    <w:rsid w:val="3C1326AB"/>
    <w:rsid w:val="3C2159AF"/>
    <w:rsid w:val="3C2492D8"/>
    <w:rsid w:val="3C2885F9"/>
    <w:rsid w:val="3C33850D"/>
    <w:rsid w:val="3C40C2E4"/>
    <w:rsid w:val="3C4D3097"/>
    <w:rsid w:val="3C554163"/>
    <w:rsid w:val="3C5F9590"/>
    <w:rsid w:val="3C61714F"/>
    <w:rsid w:val="3C67EC8B"/>
    <w:rsid w:val="3C6BE17D"/>
    <w:rsid w:val="3C70A7EC"/>
    <w:rsid w:val="3C7413B6"/>
    <w:rsid w:val="3C7D1DA0"/>
    <w:rsid w:val="3C9AB9A3"/>
    <w:rsid w:val="3CA13767"/>
    <w:rsid w:val="3CAD24BF"/>
    <w:rsid w:val="3CB5D909"/>
    <w:rsid w:val="3CB7C617"/>
    <w:rsid w:val="3CB88E4D"/>
    <w:rsid w:val="3CB9F88E"/>
    <w:rsid w:val="3CBD08AB"/>
    <w:rsid w:val="3CC93BE2"/>
    <w:rsid w:val="3CCC81E1"/>
    <w:rsid w:val="3CD816E4"/>
    <w:rsid w:val="3CD9BD39"/>
    <w:rsid w:val="3CE8F0C4"/>
    <w:rsid w:val="3D02632C"/>
    <w:rsid w:val="3D0926DD"/>
    <w:rsid w:val="3D0C9FFA"/>
    <w:rsid w:val="3D0FD67C"/>
    <w:rsid w:val="3D15F8F7"/>
    <w:rsid w:val="3D25ABBA"/>
    <w:rsid w:val="3D26E6BB"/>
    <w:rsid w:val="3D2E207D"/>
    <w:rsid w:val="3D2E8F4B"/>
    <w:rsid w:val="3D506B2A"/>
    <w:rsid w:val="3D606517"/>
    <w:rsid w:val="3D6660D2"/>
    <w:rsid w:val="3D6F7EDC"/>
    <w:rsid w:val="3D727E88"/>
    <w:rsid w:val="3D782CF9"/>
    <w:rsid w:val="3D7D33A5"/>
    <w:rsid w:val="3D8073D2"/>
    <w:rsid w:val="3D81ED1C"/>
    <w:rsid w:val="3D86C31B"/>
    <w:rsid w:val="3D91766B"/>
    <w:rsid w:val="3D92E9C9"/>
    <w:rsid w:val="3DA09FF8"/>
    <w:rsid w:val="3DA9F3BE"/>
    <w:rsid w:val="3DAAAFBE"/>
    <w:rsid w:val="3DAB3E72"/>
    <w:rsid w:val="3DAFE891"/>
    <w:rsid w:val="3DB0BF74"/>
    <w:rsid w:val="3DB60B79"/>
    <w:rsid w:val="3DB8961C"/>
    <w:rsid w:val="3DB8B2E7"/>
    <w:rsid w:val="3DBCB037"/>
    <w:rsid w:val="3DCDF206"/>
    <w:rsid w:val="3DE315C6"/>
    <w:rsid w:val="3E0534B0"/>
    <w:rsid w:val="3E1D2AE9"/>
    <w:rsid w:val="3E20AF9C"/>
    <w:rsid w:val="3E20F956"/>
    <w:rsid w:val="3E21EBD0"/>
    <w:rsid w:val="3E24645A"/>
    <w:rsid w:val="3E26EA4C"/>
    <w:rsid w:val="3E2F8B7E"/>
    <w:rsid w:val="3E30D632"/>
    <w:rsid w:val="3E31ACAD"/>
    <w:rsid w:val="3E32AF0E"/>
    <w:rsid w:val="3E337CF5"/>
    <w:rsid w:val="3E33E0BA"/>
    <w:rsid w:val="3E3CC9EF"/>
    <w:rsid w:val="3E3CD552"/>
    <w:rsid w:val="3E3D928A"/>
    <w:rsid w:val="3E41E679"/>
    <w:rsid w:val="3E549843"/>
    <w:rsid w:val="3E58D90C"/>
    <w:rsid w:val="3E664B47"/>
    <w:rsid w:val="3E8AF2CB"/>
    <w:rsid w:val="3E8BF690"/>
    <w:rsid w:val="3E907C76"/>
    <w:rsid w:val="3E9F6B0B"/>
    <w:rsid w:val="3EA94317"/>
    <w:rsid w:val="3EB82A41"/>
    <w:rsid w:val="3EC169FC"/>
    <w:rsid w:val="3EC7F1AC"/>
    <w:rsid w:val="3ECBD2EA"/>
    <w:rsid w:val="3ECD5036"/>
    <w:rsid w:val="3ED2B012"/>
    <w:rsid w:val="3EE76A0E"/>
    <w:rsid w:val="3EEF2DB2"/>
    <w:rsid w:val="3EF05371"/>
    <w:rsid w:val="3F145D7E"/>
    <w:rsid w:val="3F14BA3E"/>
    <w:rsid w:val="3F190406"/>
    <w:rsid w:val="3F1EC757"/>
    <w:rsid w:val="3F2A6948"/>
    <w:rsid w:val="3F30AB5A"/>
    <w:rsid w:val="3F39AE3C"/>
    <w:rsid w:val="3F3E5779"/>
    <w:rsid w:val="3F48FD62"/>
    <w:rsid w:val="3F4A0CA5"/>
    <w:rsid w:val="3F4C0D50"/>
    <w:rsid w:val="3F66B5C4"/>
    <w:rsid w:val="3F6A4326"/>
    <w:rsid w:val="3F7B1DF3"/>
    <w:rsid w:val="3F9235A0"/>
    <w:rsid w:val="3F9C38D6"/>
    <w:rsid w:val="3F9F37FA"/>
    <w:rsid w:val="3F9FC3ED"/>
    <w:rsid w:val="3FA14D27"/>
    <w:rsid w:val="3FAAB139"/>
    <w:rsid w:val="3FAC668C"/>
    <w:rsid w:val="3FAF581E"/>
    <w:rsid w:val="3FC21844"/>
    <w:rsid w:val="3FCFD1F5"/>
    <w:rsid w:val="3FCFF175"/>
    <w:rsid w:val="3FD0E0ED"/>
    <w:rsid w:val="3FD5D1FE"/>
    <w:rsid w:val="3FE55DA4"/>
    <w:rsid w:val="3FE7ED51"/>
    <w:rsid w:val="4003727D"/>
    <w:rsid w:val="4009153D"/>
    <w:rsid w:val="400A656C"/>
    <w:rsid w:val="40131C40"/>
    <w:rsid w:val="4020B514"/>
    <w:rsid w:val="4022D9F9"/>
    <w:rsid w:val="4026F1C1"/>
    <w:rsid w:val="4027128D"/>
    <w:rsid w:val="40306120"/>
    <w:rsid w:val="40339F32"/>
    <w:rsid w:val="403C81D6"/>
    <w:rsid w:val="403EDDB3"/>
    <w:rsid w:val="404D5C37"/>
    <w:rsid w:val="4051909F"/>
    <w:rsid w:val="405BA839"/>
    <w:rsid w:val="405F0CD0"/>
    <w:rsid w:val="406283DF"/>
    <w:rsid w:val="4062CBFC"/>
    <w:rsid w:val="406BE5B5"/>
    <w:rsid w:val="4075CB8A"/>
    <w:rsid w:val="40766E62"/>
    <w:rsid w:val="4078944C"/>
    <w:rsid w:val="4080C163"/>
    <w:rsid w:val="408A5370"/>
    <w:rsid w:val="409B32AB"/>
    <w:rsid w:val="409CF912"/>
    <w:rsid w:val="40A7D983"/>
    <w:rsid w:val="40AD01C8"/>
    <w:rsid w:val="40B2446B"/>
    <w:rsid w:val="40BE8CE2"/>
    <w:rsid w:val="40C60A30"/>
    <w:rsid w:val="40C8BA40"/>
    <w:rsid w:val="40E2DF34"/>
    <w:rsid w:val="40F47F0B"/>
    <w:rsid w:val="41007837"/>
    <w:rsid w:val="4102E8A6"/>
    <w:rsid w:val="4103CE30"/>
    <w:rsid w:val="4104B7D1"/>
    <w:rsid w:val="41109A8F"/>
    <w:rsid w:val="411DDD28"/>
    <w:rsid w:val="41287213"/>
    <w:rsid w:val="41288F40"/>
    <w:rsid w:val="412C8961"/>
    <w:rsid w:val="412CF6C2"/>
    <w:rsid w:val="413B8430"/>
    <w:rsid w:val="413CF145"/>
    <w:rsid w:val="413E6B46"/>
    <w:rsid w:val="41458039"/>
    <w:rsid w:val="414AE848"/>
    <w:rsid w:val="414EC7A9"/>
    <w:rsid w:val="41516D36"/>
    <w:rsid w:val="4151AF88"/>
    <w:rsid w:val="4151C823"/>
    <w:rsid w:val="4152E3F3"/>
    <w:rsid w:val="41719684"/>
    <w:rsid w:val="4175FF70"/>
    <w:rsid w:val="41792DD4"/>
    <w:rsid w:val="418169D1"/>
    <w:rsid w:val="418723C3"/>
    <w:rsid w:val="4196484B"/>
    <w:rsid w:val="4199CCC6"/>
    <w:rsid w:val="419F42B1"/>
    <w:rsid w:val="41A285C5"/>
    <w:rsid w:val="41A8F169"/>
    <w:rsid w:val="41A96077"/>
    <w:rsid w:val="41C16CC0"/>
    <w:rsid w:val="41C83E66"/>
    <w:rsid w:val="41C8DC85"/>
    <w:rsid w:val="41CB6496"/>
    <w:rsid w:val="41CCE8A0"/>
    <w:rsid w:val="41CF1EA0"/>
    <w:rsid w:val="41CFEE4F"/>
    <w:rsid w:val="41D176E0"/>
    <w:rsid w:val="41D40E9A"/>
    <w:rsid w:val="41DBEA7F"/>
    <w:rsid w:val="41E4D0C2"/>
    <w:rsid w:val="41E610FD"/>
    <w:rsid w:val="41F52788"/>
    <w:rsid w:val="4202DED5"/>
    <w:rsid w:val="420711CB"/>
    <w:rsid w:val="42097158"/>
    <w:rsid w:val="420EBEAC"/>
    <w:rsid w:val="4214F48C"/>
    <w:rsid w:val="421A9AD9"/>
    <w:rsid w:val="4226623B"/>
    <w:rsid w:val="42310193"/>
    <w:rsid w:val="427F2082"/>
    <w:rsid w:val="427FEA54"/>
    <w:rsid w:val="42834167"/>
    <w:rsid w:val="428BBAAF"/>
    <w:rsid w:val="4297F96D"/>
    <w:rsid w:val="429B48C0"/>
    <w:rsid w:val="429E573B"/>
    <w:rsid w:val="42ABA024"/>
    <w:rsid w:val="42AEC8BD"/>
    <w:rsid w:val="42B5632E"/>
    <w:rsid w:val="42B932DB"/>
    <w:rsid w:val="42D09039"/>
    <w:rsid w:val="42D2B2C4"/>
    <w:rsid w:val="42D2EB47"/>
    <w:rsid w:val="42D48629"/>
    <w:rsid w:val="42D59A78"/>
    <w:rsid w:val="42E20E4B"/>
    <w:rsid w:val="42EC7F5D"/>
    <w:rsid w:val="42F3AACA"/>
    <w:rsid w:val="42F98B31"/>
    <w:rsid w:val="42FA5BE6"/>
    <w:rsid w:val="42FDC3DD"/>
    <w:rsid w:val="43044755"/>
    <w:rsid w:val="4329DD1B"/>
    <w:rsid w:val="432F5265"/>
    <w:rsid w:val="4339D8CA"/>
    <w:rsid w:val="433BA554"/>
    <w:rsid w:val="4343CB9D"/>
    <w:rsid w:val="4346FC11"/>
    <w:rsid w:val="435E4E2C"/>
    <w:rsid w:val="4367707E"/>
    <w:rsid w:val="436810AC"/>
    <w:rsid w:val="4372DC2E"/>
    <w:rsid w:val="438A87EC"/>
    <w:rsid w:val="438F064E"/>
    <w:rsid w:val="43993AA6"/>
    <w:rsid w:val="439C2675"/>
    <w:rsid w:val="43AD0DE0"/>
    <w:rsid w:val="43AD6AF9"/>
    <w:rsid w:val="43B26B86"/>
    <w:rsid w:val="43B44249"/>
    <w:rsid w:val="43B79326"/>
    <w:rsid w:val="43B91297"/>
    <w:rsid w:val="43C832B7"/>
    <w:rsid w:val="43CD0BD7"/>
    <w:rsid w:val="43D5A256"/>
    <w:rsid w:val="43DEE850"/>
    <w:rsid w:val="43FEAC1F"/>
    <w:rsid w:val="4424B75D"/>
    <w:rsid w:val="44258494"/>
    <w:rsid w:val="4425C6D9"/>
    <w:rsid w:val="442FC523"/>
    <w:rsid w:val="443ED06F"/>
    <w:rsid w:val="4447BC11"/>
    <w:rsid w:val="445D3F66"/>
    <w:rsid w:val="4472CB9F"/>
    <w:rsid w:val="4473404F"/>
    <w:rsid w:val="447841ED"/>
    <w:rsid w:val="4478FD6E"/>
    <w:rsid w:val="44796255"/>
    <w:rsid w:val="447C19EB"/>
    <w:rsid w:val="447FF335"/>
    <w:rsid w:val="4483D4A0"/>
    <w:rsid w:val="4484A485"/>
    <w:rsid w:val="4492300D"/>
    <w:rsid w:val="44939CEF"/>
    <w:rsid w:val="449569F6"/>
    <w:rsid w:val="4498DFA0"/>
    <w:rsid w:val="44A85F50"/>
    <w:rsid w:val="44AD3251"/>
    <w:rsid w:val="44C55809"/>
    <w:rsid w:val="44C69CBA"/>
    <w:rsid w:val="44C78674"/>
    <w:rsid w:val="44CE39A3"/>
    <w:rsid w:val="44DC08CF"/>
    <w:rsid w:val="44DC23DD"/>
    <w:rsid w:val="44E181BA"/>
    <w:rsid w:val="44E7F899"/>
    <w:rsid w:val="44F296A9"/>
    <w:rsid w:val="44F29BD8"/>
    <w:rsid w:val="45048962"/>
    <w:rsid w:val="450A98C1"/>
    <w:rsid w:val="4517A6BE"/>
    <w:rsid w:val="451D58EC"/>
    <w:rsid w:val="452B4A96"/>
    <w:rsid w:val="45307929"/>
    <w:rsid w:val="4537DBBD"/>
    <w:rsid w:val="4537EEF0"/>
    <w:rsid w:val="456C2ABB"/>
    <w:rsid w:val="456E2877"/>
    <w:rsid w:val="457715C7"/>
    <w:rsid w:val="457D411C"/>
    <w:rsid w:val="45818C7C"/>
    <w:rsid w:val="4596477E"/>
    <w:rsid w:val="459E4673"/>
    <w:rsid w:val="45A07CD0"/>
    <w:rsid w:val="45A658D0"/>
    <w:rsid w:val="45A7C562"/>
    <w:rsid w:val="45B7E6CA"/>
    <w:rsid w:val="45BF2336"/>
    <w:rsid w:val="45C2D833"/>
    <w:rsid w:val="45C6DDB3"/>
    <w:rsid w:val="45D64F63"/>
    <w:rsid w:val="45D6B679"/>
    <w:rsid w:val="45DA928B"/>
    <w:rsid w:val="45DB4A2A"/>
    <w:rsid w:val="45E15762"/>
    <w:rsid w:val="45E53466"/>
    <w:rsid w:val="45EA6621"/>
    <w:rsid w:val="45EEA5CF"/>
    <w:rsid w:val="45F24629"/>
    <w:rsid w:val="4602E881"/>
    <w:rsid w:val="46097689"/>
    <w:rsid w:val="4612B1CC"/>
    <w:rsid w:val="46188399"/>
    <w:rsid w:val="4618913A"/>
    <w:rsid w:val="46198E49"/>
    <w:rsid w:val="4619F50A"/>
    <w:rsid w:val="461B468D"/>
    <w:rsid w:val="461F21B8"/>
    <w:rsid w:val="462A2E61"/>
    <w:rsid w:val="462CD6FB"/>
    <w:rsid w:val="4632B2EF"/>
    <w:rsid w:val="46335DB4"/>
    <w:rsid w:val="46358DB0"/>
    <w:rsid w:val="463669B4"/>
    <w:rsid w:val="46397034"/>
    <w:rsid w:val="464E2640"/>
    <w:rsid w:val="465392EF"/>
    <w:rsid w:val="4657A487"/>
    <w:rsid w:val="465944FA"/>
    <w:rsid w:val="465E9A51"/>
    <w:rsid w:val="467AAB78"/>
    <w:rsid w:val="468807C3"/>
    <w:rsid w:val="468A393C"/>
    <w:rsid w:val="46983BD2"/>
    <w:rsid w:val="4698B863"/>
    <w:rsid w:val="469A234D"/>
    <w:rsid w:val="469A4241"/>
    <w:rsid w:val="469DE6B3"/>
    <w:rsid w:val="46A78D20"/>
    <w:rsid w:val="46A7A9C6"/>
    <w:rsid w:val="46AAD680"/>
    <w:rsid w:val="46B258D8"/>
    <w:rsid w:val="46BD0602"/>
    <w:rsid w:val="46C6A49B"/>
    <w:rsid w:val="46CA2A1F"/>
    <w:rsid w:val="46CE545F"/>
    <w:rsid w:val="46CEC814"/>
    <w:rsid w:val="46E51CFD"/>
    <w:rsid w:val="46EC093D"/>
    <w:rsid w:val="46EC8641"/>
    <w:rsid w:val="46F44B4A"/>
    <w:rsid w:val="471575DA"/>
    <w:rsid w:val="471A998A"/>
    <w:rsid w:val="472E003C"/>
    <w:rsid w:val="473122DD"/>
    <w:rsid w:val="4738BA15"/>
    <w:rsid w:val="473D5B5E"/>
    <w:rsid w:val="4749695E"/>
    <w:rsid w:val="475605AB"/>
    <w:rsid w:val="4770CFCB"/>
    <w:rsid w:val="4772EEC8"/>
    <w:rsid w:val="477C9B64"/>
    <w:rsid w:val="4787F531"/>
    <w:rsid w:val="478E3995"/>
    <w:rsid w:val="478FE33E"/>
    <w:rsid w:val="479C4B20"/>
    <w:rsid w:val="47A7EBD2"/>
    <w:rsid w:val="47AAB1EE"/>
    <w:rsid w:val="47AE4B41"/>
    <w:rsid w:val="47B12981"/>
    <w:rsid w:val="47B1F445"/>
    <w:rsid w:val="47BC2F72"/>
    <w:rsid w:val="47BED83E"/>
    <w:rsid w:val="47C4E460"/>
    <w:rsid w:val="47C73CA6"/>
    <w:rsid w:val="47CF74AD"/>
    <w:rsid w:val="47E0EB00"/>
    <w:rsid w:val="47E4AA4C"/>
    <w:rsid w:val="47F0E0D5"/>
    <w:rsid w:val="47F47636"/>
    <w:rsid w:val="47F74FDB"/>
    <w:rsid w:val="47FE2D5E"/>
    <w:rsid w:val="480120DF"/>
    <w:rsid w:val="48047E14"/>
    <w:rsid w:val="48160FCE"/>
    <w:rsid w:val="4816892B"/>
    <w:rsid w:val="4817BFB2"/>
    <w:rsid w:val="48293746"/>
    <w:rsid w:val="4835F4D3"/>
    <w:rsid w:val="48437522"/>
    <w:rsid w:val="48442347"/>
    <w:rsid w:val="4847BF43"/>
    <w:rsid w:val="485734ED"/>
    <w:rsid w:val="485A53F1"/>
    <w:rsid w:val="485DCB0A"/>
    <w:rsid w:val="4860490B"/>
    <w:rsid w:val="48676239"/>
    <w:rsid w:val="486C7115"/>
    <w:rsid w:val="4874491C"/>
    <w:rsid w:val="48761AF3"/>
    <w:rsid w:val="487AD13A"/>
    <w:rsid w:val="48840553"/>
    <w:rsid w:val="4888C7C3"/>
    <w:rsid w:val="48997B0C"/>
    <w:rsid w:val="489D78B3"/>
    <w:rsid w:val="48A0F1DB"/>
    <w:rsid w:val="48A37928"/>
    <w:rsid w:val="48AB1EFE"/>
    <w:rsid w:val="48B510D8"/>
    <w:rsid w:val="48BF66D4"/>
    <w:rsid w:val="48C111A2"/>
    <w:rsid w:val="48D19EC0"/>
    <w:rsid w:val="48D2F1DD"/>
    <w:rsid w:val="48D682B4"/>
    <w:rsid w:val="48D90AF9"/>
    <w:rsid w:val="48DACACA"/>
    <w:rsid w:val="48DFDC42"/>
    <w:rsid w:val="48E1021F"/>
    <w:rsid w:val="48E539BF"/>
    <w:rsid w:val="48ECD219"/>
    <w:rsid w:val="48F44793"/>
    <w:rsid w:val="48F87A3F"/>
    <w:rsid w:val="4926FFB7"/>
    <w:rsid w:val="492861D4"/>
    <w:rsid w:val="492B6413"/>
    <w:rsid w:val="4930939D"/>
    <w:rsid w:val="4936E728"/>
    <w:rsid w:val="49434EE4"/>
    <w:rsid w:val="49561BCE"/>
    <w:rsid w:val="495EE85F"/>
    <w:rsid w:val="4965139A"/>
    <w:rsid w:val="496707BB"/>
    <w:rsid w:val="497044BF"/>
    <w:rsid w:val="4975FBE9"/>
    <w:rsid w:val="4982C675"/>
    <w:rsid w:val="49841074"/>
    <w:rsid w:val="4984800C"/>
    <w:rsid w:val="4987F2A8"/>
    <w:rsid w:val="498EB141"/>
    <w:rsid w:val="499C4F73"/>
    <w:rsid w:val="499F20A7"/>
    <w:rsid w:val="49A4309A"/>
    <w:rsid w:val="49A78DD4"/>
    <w:rsid w:val="49AC6DD2"/>
    <w:rsid w:val="49AF5324"/>
    <w:rsid w:val="49BC728C"/>
    <w:rsid w:val="49C771DE"/>
    <w:rsid w:val="49D30415"/>
    <w:rsid w:val="49D3643B"/>
    <w:rsid w:val="49D3A37D"/>
    <w:rsid w:val="49D4F5E8"/>
    <w:rsid w:val="49DD5F40"/>
    <w:rsid w:val="49F8129E"/>
    <w:rsid w:val="49FA14AC"/>
    <w:rsid w:val="4A044713"/>
    <w:rsid w:val="4A08D2CA"/>
    <w:rsid w:val="4A0B6E9C"/>
    <w:rsid w:val="4A0C37EA"/>
    <w:rsid w:val="4A195E9B"/>
    <w:rsid w:val="4A1E8232"/>
    <w:rsid w:val="4A24D556"/>
    <w:rsid w:val="4A268E55"/>
    <w:rsid w:val="4A2AD16C"/>
    <w:rsid w:val="4A307ED6"/>
    <w:rsid w:val="4A3A68EA"/>
    <w:rsid w:val="4A421D23"/>
    <w:rsid w:val="4A492AB4"/>
    <w:rsid w:val="4A4FB16D"/>
    <w:rsid w:val="4A5810FD"/>
    <w:rsid w:val="4A60AEA8"/>
    <w:rsid w:val="4A610D77"/>
    <w:rsid w:val="4A61C93C"/>
    <w:rsid w:val="4A64EB72"/>
    <w:rsid w:val="4A673F1F"/>
    <w:rsid w:val="4A756057"/>
    <w:rsid w:val="4A77C32E"/>
    <w:rsid w:val="4AA1B4AC"/>
    <w:rsid w:val="4AA2E142"/>
    <w:rsid w:val="4AA3F7E2"/>
    <w:rsid w:val="4AAEBB4D"/>
    <w:rsid w:val="4AB258AD"/>
    <w:rsid w:val="4AB3C910"/>
    <w:rsid w:val="4AB4107D"/>
    <w:rsid w:val="4AB57B53"/>
    <w:rsid w:val="4AB614FE"/>
    <w:rsid w:val="4ABE2F26"/>
    <w:rsid w:val="4AD4252E"/>
    <w:rsid w:val="4ADC160B"/>
    <w:rsid w:val="4AE5F148"/>
    <w:rsid w:val="4AEB5D44"/>
    <w:rsid w:val="4AEC089F"/>
    <w:rsid w:val="4AED4C49"/>
    <w:rsid w:val="4AF58DD4"/>
    <w:rsid w:val="4AF7F0CA"/>
    <w:rsid w:val="4AFDC711"/>
    <w:rsid w:val="4B0E6AAB"/>
    <w:rsid w:val="4B1ED764"/>
    <w:rsid w:val="4B288A57"/>
    <w:rsid w:val="4B353610"/>
    <w:rsid w:val="4B363959"/>
    <w:rsid w:val="4B447A24"/>
    <w:rsid w:val="4B5F06E9"/>
    <w:rsid w:val="4B677D85"/>
    <w:rsid w:val="4B7511AC"/>
    <w:rsid w:val="4B7609CA"/>
    <w:rsid w:val="4B7629AE"/>
    <w:rsid w:val="4B80679E"/>
    <w:rsid w:val="4B9C44EA"/>
    <w:rsid w:val="4BA25E25"/>
    <w:rsid w:val="4BA830FE"/>
    <w:rsid w:val="4BA93659"/>
    <w:rsid w:val="4BC70F3A"/>
    <w:rsid w:val="4BDDCBF5"/>
    <w:rsid w:val="4BE2DBEC"/>
    <w:rsid w:val="4BF0B794"/>
    <w:rsid w:val="4BF37A41"/>
    <w:rsid w:val="4BF62566"/>
    <w:rsid w:val="4BF88EF3"/>
    <w:rsid w:val="4C0BC675"/>
    <w:rsid w:val="4C11719C"/>
    <w:rsid w:val="4C145704"/>
    <w:rsid w:val="4C154C79"/>
    <w:rsid w:val="4C15E1D7"/>
    <w:rsid w:val="4C18F00F"/>
    <w:rsid w:val="4C2D7F61"/>
    <w:rsid w:val="4C2F78F1"/>
    <w:rsid w:val="4C3BD386"/>
    <w:rsid w:val="4C50D73F"/>
    <w:rsid w:val="4C53BDA2"/>
    <w:rsid w:val="4C553273"/>
    <w:rsid w:val="4C5B6A48"/>
    <w:rsid w:val="4C868610"/>
    <w:rsid w:val="4C958B43"/>
    <w:rsid w:val="4C95EE50"/>
    <w:rsid w:val="4C980E73"/>
    <w:rsid w:val="4C9C8379"/>
    <w:rsid w:val="4CAAEB26"/>
    <w:rsid w:val="4CAC7792"/>
    <w:rsid w:val="4CB16B6D"/>
    <w:rsid w:val="4CD732CB"/>
    <w:rsid w:val="4CDC4F69"/>
    <w:rsid w:val="4CE3A4D5"/>
    <w:rsid w:val="4CED7B37"/>
    <w:rsid w:val="4CF36AED"/>
    <w:rsid w:val="4D04CBCB"/>
    <w:rsid w:val="4D0DBBB9"/>
    <w:rsid w:val="4D131163"/>
    <w:rsid w:val="4D18D148"/>
    <w:rsid w:val="4D24575B"/>
    <w:rsid w:val="4D37472E"/>
    <w:rsid w:val="4D3A9A80"/>
    <w:rsid w:val="4D3FF262"/>
    <w:rsid w:val="4D43D8AF"/>
    <w:rsid w:val="4D4B47B3"/>
    <w:rsid w:val="4D4B9361"/>
    <w:rsid w:val="4D510EB3"/>
    <w:rsid w:val="4D5EB7E7"/>
    <w:rsid w:val="4D614151"/>
    <w:rsid w:val="4D6462F7"/>
    <w:rsid w:val="4D6FE4C0"/>
    <w:rsid w:val="4D71BA1D"/>
    <w:rsid w:val="4D731C24"/>
    <w:rsid w:val="4D76E46E"/>
    <w:rsid w:val="4D89D1B7"/>
    <w:rsid w:val="4D95FBF0"/>
    <w:rsid w:val="4D9D5BC6"/>
    <w:rsid w:val="4DA2301F"/>
    <w:rsid w:val="4DA721FC"/>
    <w:rsid w:val="4DAE7CAA"/>
    <w:rsid w:val="4DB02765"/>
    <w:rsid w:val="4DB10127"/>
    <w:rsid w:val="4DB5AA55"/>
    <w:rsid w:val="4DB88252"/>
    <w:rsid w:val="4DC32D66"/>
    <w:rsid w:val="4DC583B1"/>
    <w:rsid w:val="4DD09221"/>
    <w:rsid w:val="4DD41850"/>
    <w:rsid w:val="4DED2683"/>
    <w:rsid w:val="4DEF4AB1"/>
    <w:rsid w:val="4DEFDFE4"/>
    <w:rsid w:val="4DF064BD"/>
    <w:rsid w:val="4DF3113D"/>
    <w:rsid w:val="4DFE98B3"/>
    <w:rsid w:val="4E00AD9E"/>
    <w:rsid w:val="4E05F06E"/>
    <w:rsid w:val="4E08B5DF"/>
    <w:rsid w:val="4E267A6E"/>
    <w:rsid w:val="4E31E977"/>
    <w:rsid w:val="4E36EDBD"/>
    <w:rsid w:val="4E4FC092"/>
    <w:rsid w:val="4E606D20"/>
    <w:rsid w:val="4E66D09D"/>
    <w:rsid w:val="4E6757FB"/>
    <w:rsid w:val="4E6CE968"/>
    <w:rsid w:val="4E736A3B"/>
    <w:rsid w:val="4E7A103E"/>
    <w:rsid w:val="4E7C101B"/>
    <w:rsid w:val="4E8637B7"/>
    <w:rsid w:val="4E9CD152"/>
    <w:rsid w:val="4EAB6BA8"/>
    <w:rsid w:val="4EB10B6E"/>
    <w:rsid w:val="4EC2A834"/>
    <w:rsid w:val="4EC3F708"/>
    <w:rsid w:val="4EDE0868"/>
    <w:rsid w:val="4EEBC679"/>
    <w:rsid w:val="4EFC9C54"/>
    <w:rsid w:val="4F097E68"/>
    <w:rsid w:val="4F09C9E8"/>
    <w:rsid w:val="4F13505D"/>
    <w:rsid w:val="4F1753CE"/>
    <w:rsid w:val="4F1B18EA"/>
    <w:rsid w:val="4F1D78F7"/>
    <w:rsid w:val="4F2BD36B"/>
    <w:rsid w:val="4F2E93BF"/>
    <w:rsid w:val="4F48074A"/>
    <w:rsid w:val="4F4C73A9"/>
    <w:rsid w:val="4F5A8535"/>
    <w:rsid w:val="4F5F4669"/>
    <w:rsid w:val="4F635D17"/>
    <w:rsid w:val="4F676162"/>
    <w:rsid w:val="4F690413"/>
    <w:rsid w:val="4F6AADF1"/>
    <w:rsid w:val="4F6BDE0C"/>
    <w:rsid w:val="4F783986"/>
    <w:rsid w:val="4F7F5739"/>
    <w:rsid w:val="4F941669"/>
    <w:rsid w:val="4FB2666C"/>
    <w:rsid w:val="4FB8ADE7"/>
    <w:rsid w:val="4FBD484F"/>
    <w:rsid w:val="4FC74EB2"/>
    <w:rsid w:val="4FCD696E"/>
    <w:rsid w:val="4FD4243B"/>
    <w:rsid w:val="4FD8C8D5"/>
    <w:rsid w:val="4FEDE36E"/>
    <w:rsid w:val="4FF0524D"/>
    <w:rsid w:val="4FF39986"/>
    <w:rsid w:val="4FF66272"/>
    <w:rsid w:val="4FF78982"/>
    <w:rsid w:val="500EE8C2"/>
    <w:rsid w:val="501109E6"/>
    <w:rsid w:val="501752C3"/>
    <w:rsid w:val="501BB3D9"/>
    <w:rsid w:val="501EAA2E"/>
    <w:rsid w:val="5027A588"/>
    <w:rsid w:val="5036A25A"/>
    <w:rsid w:val="505E0A8A"/>
    <w:rsid w:val="505E3619"/>
    <w:rsid w:val="505E55FD"/>
    <w:rsid w:val="50651E89"/>
    <w:rsid w:val="506A2EBD"/>
    <w:rsid w:val="506A846C"/>
    <w:rsid w:val="506BB962"/>
    <w:rsid w:val="5083C7EB"/>
    <w:rsid w:val="5087F5DD"/>
    <w:rsid w:val="5088FD85"/>
    <w:rsid w:val="508FF095"/>
    <w:rsid w:val="50A186A9"/>
    <w:rsid w:val="50B1DBF4"/>
    <w:rsid w:val="50B497F6"/>
    <w:rsid w:val="50B8C7D2"/>
    <w:rsid w:val="50BB3F85"/>
    <w:rsid w:val="50BC2E8F"/>
    <w:rsid w:val="50C25657"/>
    <w:rsid w:val="50D2A0CA"/>
    <w:rsid w:val="50D34661"/>
    <w:rsid w:val="50E19995"/>
    <w:rsid w:val="50EE10A4"/>
    <w:rsid w:val="50EE13F4"/>
    <w:rsid w:val="50F23E1A"/>
    <w:rsid w:val="50FBCDA3"/>
    <w:rsid w:val="5102E6EA"/>
    <w:rsid w:val="51048610"/>
    <w:rsid w:val="51057864"/>
    <w:rsid w:val="510F34F7"/>
    <w:rsid w:val="51165BDA"/>
    <w:rsid w:val="511BDC76"/>
    <w:rsid w:val="5121904B"/>
    <w:rsid w:val="51258AAD"/>
    <w:rsid w:val="5130C1BA"/>
    <w:rsid w:val="5139D014"/>
    <w:rsid w:val="51466CC4"/>
    <w:rsid w:val="514CEAA0"/>
    <w:rsid w:val="514FC601"/>
    <w:rsid w:val="515347CD"/>
    <w:rsid w:val="51555D34"/>
    <w:rsid w:val="5159D739"/>
    <w:rsid w:val="515E2904"/>
    <w:rsid w:val="5161F4ED"/>
    <w:rsid w:val="51662B7E"/>
    <w:rsid w:val="516A0EF5"/>
    <w:rsid w:val="516FF49C"/>
    <w:rsid w:val="517D75B5"/>
    <w:rsid w:val="517ECD30"/>
    <w:rsid w:val="517F5B43"/>
    <w:rsid w:val="518F949D"/>
    <w:rsid w:val="51914B63"/>
    <w:rsid w:val="519E95AB"/>
    <w:rsid w:val="51A1E152"/>
    <w:rsid w:val="51A592C7"/>
    <w:rsid w:val="51AFAA61"/>
    <w:rsid w:val="51D7ADFF"/>
    <w:rsid w:val="51DF6A94"/>
    <w:rsid w:val="51E9823A"/>
    <w:rsid w:val="51EC60EB"/>
    <w:rsid w:val="51FCE1EC"/>
    <w:rsid w:val="5215E909"/>
    <w:rsid w:val="521B1B2D"/>
    <w:rsid w:val="521F3409"/>
    <w:rsid w:val="5220F111"/>
    <w:rsid w:val="5221CC5E"/>
    <w:rsid w:val="522CE934"/>
    <w:rsid w:val="5234244C"/>
    <w:rsid w:val="524828D2"/>
    <w:rsid w:val="52489B6A"/>
    <w:rsid w:val="524B5463"/>
    <w:rsid w:val="524E4620"/>
    <w:rsid w:val="52614120"/>
    <w:rsid w:val="52621083"/>
    <w:rsid w:val="52634F6D"/>
    <w:rsid w:val="527BC20F"/>
    <w:rsid w:val="527D0EF5"/>
    <w:rsid w:val="52886DE1"/>
    <w:rsid w:val="5295C3DA"/>
    <w:rsid w:val="529B79AC"/>
    <w:rsid w:val="52A3FEAA"/>
    <w:rsid w:val="52A75ECB"/>
    <w:rsid w:val="52B6D700"/>
    <w:rsid w:val="52C54C85"/>
    <w:rsid w:val="52D492B2"/>
    <w:rsid w:val="52DA5FEE"/>
    <w:rsid w:val="52DF7E17"/>
    <w:rsid w:val="52FCD50F"/>
    <w:rsid w:val="5300FB3B"/>
    <w:rsid w:val="530BC4FD"/>
    <w:rsid w:val="5319206B"/>
    <w:rsid w:val="531CDE2F"/>
    <w:rsid w:val="531E8526"/>
    <w:rsid w:val="532A2613"/>
    <w:rsid w:val="5330A7ED"/>
    <w:rsid w:val="533C3DC4"/>
    <w:rsid w:val="53431957"/>
    <w:rsid w:val="53437ED1"/>
    <w:rsid w:val="534ADBCF"/>
    <w:rsid w:val="535590FD"/>
    <w:rsid w:val="535ED40B"/>
    <w:rsid w:val="5368D68C"/>
    <w:rsid w:val="536B8713"/>
    <w:rsid w:val="536C06B4"/>
    <w:rsid w:val="536D59A2"/>
    <w:rsid w:val="5381584C"/>
    <w:rsid w:val="538F28EB"/>
    <w:rsid w:val="5394FC75"/>
    <w:rsid w:val="539BB83B"/>
    <w:rsid w:val="53A94CFE"/>
    <w:rsid w:val="53AB61C7"/>
    <w:rsid w:val="53B69469"/>
    <w:rsid w:val="53B946B6"/>
    <w:rsid w:val="53C27781"/>
    <w:rsid w:val="53C44673"/>
    <w:rsid w:val="53C8ACE1"/>
    <w:rsid w:val="53CEA580"/>
    <w:rsid w:val="53D1FB4D"/>
    <w:rsid w:val="53D4BF5F"/>
    <w:rsid w:val="53E4ECBC"/>
    <w:rsid w:val="53F0DF9D"/>
    <w:rsid w:val="53F285EF"/>
    <w:rsid w:val="53F35BE2"/>
    <w:rsid w:val="53FC1C82"/>
    <w:rsid w:val="53FDE7E6"/>
    <w:rsid w:val="53FEC32F"/>
    <w:rsid w:val="53FF215B"/>
    <w:rsid w:val="5403C7E3"/>
    <w:rsid w:val="541F68E9"/>
    <w:rsid w:val="54274F39"/>
    <w:rsid w:val="5433AF9A"/>
    <w:rsid w:val="543FA7D9"/>
    <w:rsid w:val="5440953B"/>
    <w:rsid w:val="544F982A"/>
    <w:rsid w:val="54542D20"/>
    <w:rsid w:val="5454769F"/>
    <w:rsid w:val="545713A5"/>
    <w:rsid w:val="546B1833"/>
    <w:rsid w:val="546F8E62"/>
    <w:rsid w:val="5472BC64"/>
    <w:rsid w:val="5475AE6A"/>
    <w:rsid w:val="54763DA1"/>
    <w:rsid w:val="5477525D"/>
    <w:rsid w:val="547A2C18"/>
    <w:rsid w:val="547CEA82"/>
    <w:rsid w:val="547DB806"/>
    <w:rsid w:val="5480473A"/>
    <w:rsid w:val="5480E47D"/>
    <w:rsid w:val="54840D3C"/>
    <w:rsid w:val="5493E80E"/>
    <w:rsid w:val="5497607B"/>
    <w:rsid w:val="5497F6EA"/>
    <w:rsid w:val="5499A2E8"/>
    <w:rsid w:val="54A0F36E"/>
    <w:rsid w:val="54B6A7F4"/>
    <w:rsid w:val="54B8B3E8"/>
    <w:rsid w:val="54BDB6CB"/>
    <w:rsid w:val="54D3AE21"/>
    <w:rsid w:val="54D459C5"/>
    <w:rsid w:val="54DD3389"/>
    <w:rsid w:val="54E4D82C"/>
    <w:rsid w:val="54E74B23"/>
    <w:rsid w:val="54E7614E"/>
    <w:rsid w:val="54ED725A"/>
    <w:rsid w:val="55096BAC"/>
    <w:rsid w:val="55132BDC"/>
    <w:rsid w:val="55163745"/>
    <w:rsid w:val="5517A2A4"/>
    <w:rsid w:val="551A37F5"/>
    <w:rsid w:val="551DAC16"/>
    <w:rsid w:val="5533A992"/>
    <w:rsid w:val="5533D589"/>
    <w:rsid w:val="5564A588"/>
    <w:rsid w:val="556EF608"/>
    <w:rsid w:val="5572AA16"/>
    <w:rsid w:val="557AEC38"/>
    <w:rsid w:val="5590BA52"/>
    <w:rsid w:val="559A6D45"/>
    <w:rsid w:val="55A7DD73"/>
    <w:rsid w:val="55AA5776"/>
    <w:rsid w:val="55AB7646"/>
    <w:rsid w:val="55B068EF"/>
    <w:rsid w:val="55B12A70"/>
    <w:rsid w:val="55B7C387"/>
    <w:rsid w:val="55B8FD0F"/>
    <w:rsid w:val="55BC624E"/>
    <w:rsid w:val="55BC841F"/>
    <w:rsid w:val="55C3E368"/>
    <w:rsid w:val="55C3E615"/>
    <w:rsid w:val="55C47B7D"/>
    <w:rsid w:val="55C526DB"/>
    <w:rsid w:val="55CA6C8C"/>
    <w:rsid w:val="55D2EFED"/>
    <w:rsid w:val="55DD4879"/>
    <w:rsid w:val="55DEFF8D"/>
    <w:rsid w:val="55E6DD8A"/>
    <w:rsid w:val="55F0C9C2"/>
    <w:rsid w:val="55F3D0D1"/>
    <w:rsid w:val="55FCF838"/>
    <w:rsid w:val="560A4738"/>
    <w:rsid w:val="560C0953"/>
    <w:rsid w:val="560EF952"/>
    <w:rsid w:val="561ABE5E"/>
    <w:rsid w:val="561D8F3B"/>
    <w:rsid w:val="5621C401"/>
    <w:rsid w:val="5624ACA8"/>
    <w:rsid w:val="5625D88F"/>
    <w:rsid w:val="564365BF"/>
    <w:rsid w:val="56446A7E"/>
    <w:rsid w:val="564DB16B"/>
    <w:rsid w:val="565350E3"/>
    <w:rsid w:val="5655F0A2"/>
    <w:rsid w:val="56590321"/>
    <w:rsid w:val="566441CB"/>
    <w:rsid w:val="56654F76"/>
    <w:rsid w:val="5666C206"/>
    <w:rsid w:val="5670D67B"/>
    <w:rsid w:val="568331AF"/>
    <w:rsid w:val="568642B2"/>
    <w:rsid w:val="5686E9B1"/>
    <w:rsid w:val="56950457"/>
    <w:rsid w:val="56A5F060"/>
    <w:rsid w:val="56A8D56B"/>
    <w:rsid w:val="56A93CEB"/>
    <w:rsid w:val="56AAB8E0"/>
    <w:rsid w:val="56AF46F5"/>
    <w:rsid w:val="56B05806"/>
    <w:rsid w:val="56B07812"/>
    <w:rsid w:val="56B618AA"/>
    <w:rsid w:val="56BE12D9"/>
    <w:rsid w:val="56BFFA14"/>
    <w:rsid w:val="56C2BCD4"/>
    <w:rsid w:val="56C50E70"/>
    <w:rsid w:val="56C59007"/>
    <w:rsid w:val="56C8E754"/>
    <w:rsid w:val="56E48CB0"/>
    <w:rsid w:val="56E4A13C"/>
    <w:rsid w:val="56E94AAC"/>
    <w:rsid w:val="56F1F091"/>
    <w:rsid w:val="56F6D65D"/>
    <w:rsid w:val="56FC2E22"/>
    <w:rsid w:val="56FE2FE6"/>
    <w:rsid w:val="56FF41C9"/>
    <w:rsid w:val="570065A6"/>
    <w:rsid w:val="57064642"/>
    <w:rsid w:val="5710643E"/>
    <w:rsid w:val="5712452E"/>
    <w:rsid w:val="5715FCB5"/>
    <w:rsid w:val="571C4795"/>
    <w:rsid w:val="57304C3A"/>
    <w:rsid w:val="573A5C4D"/>
    <w:rsid w:val="573C1913"/>
    <w:rsid w:val="573CA6E9"/>
    <w:rsid w:val="5740A942"/>
    <w:rsid w:val="57457065"/>
    <w:rsid w:val="574684CE"/>
    <w:rsid w:val="574D46BA"/>
    <w:rsid w:val="57533602"/>
    <w:rsid w:val="575B15AA"/>
    <w:rsid w:val="57677AAE"/>
    <w:rsid w:val="576FF055"/>
    <w:rsid w:val="57720DA0"/>
    <w:rsid w:val="57843A93"/>
    <w:rsid w:val="5786D148"/>
    <w:rsid w:val="578AF68D"/>
    <w:rsid w:val="578D8DD1"/>
    <w:rsid w:val="5796C46F"/>
    <w:rsid w:val="57C5EFE9"/>
    <w:rsid w:val="57CEE923"/>
    <w:rsid w:val="57D02ECC"/>
    <w:rsid w:val="57DA4111"/>
    <w:rsid w:val="57DBFE62"/>
    <w:rsid w:val="57DD547D"/>
    <w:rsid w:val="57E45105"/>
    <w:rsid w:val="57E4ABFF"/>
    <w:rsid w:val="57E5648C"/>
    <w:rsid w:val="57F51C91"/>
    <w:rsid w:val="5800616D"/>
    <w:rsid w:val="58036423"/>
    <w:rsid w:val="58129CB6"/>
    <w:rsid w:val="581C4ECC"/>
    <w:rsid w:val="581C93BC"/>
    <w:rsid w:val="58234203"/>
    <w:rsid w:val="5839DAAA"/>
    <w:rsid w:val="5842DF18"/>
    <w:rsid w:val="58456671"/>
    <w:rsid w:val="58469E61"/>
    <w:rsid w:val="584F4354"/>
    <w:rsid w:val="585762C2"/>
    <w:rsid w:val="58591269"/>
    <w:rsid w:val="5867C186"/>
    <w:rsid w:val="5867C9A8"/>
    <w:rsid w:val="586FC2C4"/>
    <w:rsid w:val="587A8008"/>
    <w:rsid w:val="588B32E5"/>
    <w:rsid w:val="58926D75"/>
    <w:rsid w:val="58A1EC21"/>
    <w:rsid w:val="58A216A3"/>
    <w:rsid w:val="58ABE9D3"/>
    <w:rsid w:val="58AE4C91"/>
    <w:rsid w:val="58AF5CC5"/>
    <w:rsid w:val="58B00C79"/>
    <w:rsid w:val="58BEDF68"/>
    <w:rsid w:val="58C1456C"/>
    <w:rsid w:val="58CF9747"/>
    <w:rsid w:val="58D0EAAA"/>
    <w:rsid w:val="58E2F38B"/>
    <w:rsid w:val="58F93A33"/>
    <w:rsid w:val="58FB8454"/>
    <w:rsid w:val="59001A26"/>
    <w:rsid w:val="59034B0F"/>
    <w:rsid w:val="5917896D"/>
    <w:rsid w:val="591ADD6D"/>
    <w:rsid w:val="5921B3BD"/>
    <w:rsid w:val="59222279"/>
    <w:rsid w:val="592BA001"/>
    <w:rsid w:val="592C5C33"/>
    <w:rsid w:val="59300FCB"/>
    <w:rsid w:val="59302C54"/>
    <w:rsid w:val="59377F9B"/>
    <w:rsid w:val="593F8AA4"/>
    <w:rsid w:val="594573E4"/>
    <w:rsid w:val="59465A81"/>
    <w:rsid w:val="59469A14"/>
    <w:rsid w:val="594E70CA"/>
    <w:rsid w:val="594EB49C"/>
    <w:rsid w:val="595D9BE9"/>
    <w:rsid w:val="59658215"/>
    <w:rsid w:val="59713D63"/>
    <w:rsid w:val="59762733"/>
    <w:rsid w:val="597D18D9"/>
    <w:rsid w:val="597D6E48"/>
    <w:rsid w:val="59811C14"/>
    <w:rsid w:val="5984A362"/>
    <w:rsid w:val="598501CE"/>
    <w:rsid w:val="5985EACF"/>
    <w:rsid w:val="5989C2B5"/>
    <w:rsid w:val="59AC4513"/>
    <w:rsid w:val="59AE3371"/>
    <w:rsid w:val="59BA0182"/>
    <w:rsid w:val="59C5A66F"/>
    <w:rsid w:val="59C5B971"/>
    <w:rsid w:val="59C5C3A8"/>
    <w:rsid w:val="59CC2DCC"/>
    <w:rsid w:val="59D41AEF"/>
    <w:rsid w:val="59D69992"/>
    <w:rsid w:val="59DB57ED"/>
    <w:rsid w:val="59EF913C"/>
    <w:rsid w:val="59F9D513"/>
    <w:rsid w:val="5A033E17"/>
    <w:rsid w:val="5A12E557"/>
    <w:rsid w:val="5A1E5319"/>
    <w:rsid w:val="5A2730FC"/>
    <w:rsid w:val="5A48B440"/>
    <w:rsid w:val="5A4D8390"/>
    <w:rsid w:val="5A54EF9E"/>
    <w:rsid w:val="5A611DF4"/>
    <w:rsid w:val="5A6334DE"/>
    <w:rsid w:val="5A690AC3"/>
    <w:rsid w:val="5A768562"/>
    <w:rsid w:val="5A84845A"/>
    <w:rsid w:val="5AA6726D"/>
    <w:rsid w:val="5ABD6A93"/>
    <w:rsid w:val="5AC13795"/>
    <w:rsid w:val="5AC85E5B"/>
    <w:rsid w:val="5AD1FCF2"/>
    <w:rsid w:val="5AD818D7"/>
    <w:rsid w:val="5AE578C2"/>
    <w:rsid w:val="5AE79FCE"/>
    <w:rsid w:val="5AE8670F"/>
    <w:rsid w:val="5AE967EF"/>
    <w:rsid w:val="5AEF6368"/>
    <w:rsid w:val="5AF892C9"/>
    <w:rsid w:val="5AF97A6D"/>
    <w:rsid w:val="5B002DC7"/>
    <w:rsid w:val="5B06F507"/>
    <w:rsid w:val="5B086C54"/>
    <w:rsid w:val="5B09F394"/>
    <w:rsid w:val="5B0BD9C4"/>
    <w:rsid w:val="5B0D0133"/>
    <w:rsid w:val="5B21D9E3"/>
    <w:rsid w:val="5B274BE6"/>
    <w:rsid w:val="5B29356A"/>
    <w:rsid w:val="5B3514A7"/>
    <w:rsid w:val="5B3C513C"/>
    <w:rsid w:val="5B3D0D4B"/>
    <w:rsid w:val="5B4DD9DF"/>
    <w:rsid w:val="5B506DBF"/>
    <w:rsid w:val="5B673157"/>
    <w:rsid w:val="5B67B7A4"/>
    <w:rsid w:val="5B69B431"/>
    <w:rsid w:val="5B6C5AD3"/>
    <w:rsid w:val="5B715250"/>
    <w:rsid w:val="5B7EE49C"/>
    <w:rsid w:val="5B86BC0E"/>
    <w:rsid w:val="5B89EEB0"/>
    <w:rsid w:val="5B8A0D2B"/>
    <w:rsid w:val="5B94B30E"/>
    <w:rsid w:val="5B96A979"/>
    <w:rsid w:val="5B9ECFED"/>
    <w:rsid w:val="5BA2EF2D"/>
    <w:rsid w:val="5BAB8723"/>
    <w:rsid w:val="5BAD537E"/>
    <w:rsid w:val="5BAF1C4D"/>
    <w:rsid w:val="5BB0E742"/>
    <w:rsid w:val="5BB8620A"/>
    <w:rsid w:val="5BB98BF1"/>
    <w:rsid w:val="5BBA0DBE"/>
    <w:rsid w:val="5BBE3820"/>
    <w:rsid w:val="5BC5468F"/>
    <w:rsid w:val="5BD0E299"/>
    <w:rsid w:val="5BD381E3"/>
    <w:rsid w:val="5BDAF880"/>
    <w:rsid w:val="5BE1681E"/>
    <w:rsid w:val="5BE71BEC"/>
    <w:rsid w:val="5BE72AD6"/>
    <w:rsid w:val="5BE858CB"/>
    <w:rsid w:val="5BFBF182"/>
    <w:rsid w:val="5C012386"/>
    <w:rsid w:val="5C07A652"/>
    <w:rsid w:val="5C088B6C"/>
    <w:rsid w:val="5C249EEE"/>
    <w:rsid w:val="5C2A7ACE"/>
    <w:rsid w:val="5C2FD55A"/>
    <w:rsid w:val="5C36E10D"/>
    <w:rsid w:val="5C37E9A7"/>
    <w:rsid w:val="5C5E94C5"/>
    <w:rsid w:val="5C61EEBC"/>
    <w:rsid w:val="5C68EDC5"/>
    <w:rsid w:val="5C6B196C"/>
    <w:rsid w:val="5C7D2060"/>
    <w:rsid w:val="5C89BDAB"/>
    <w:rsid w:val="5C992857"/>
    <w:rsid w:val="5C9B2533"/>
    <w:rsid w:val="5CAFBE5B"/>
    <w:rsid w:val="5CB59FC6"/>
    <w:rsid w:val="5CC2C0AB"/>
    <w:rsid w:val="5CC68E76"/>
    <w:rsid w:val="5CCA41A2"/>
    <w:rsid w:val="5CCEB847"/>
    <w:rsid w:val="5CD2FB87"/>
    <w:rsid w:val="5CDC0119"/>
    <w:rsid w:val="5CDD2CDE"/>
    <w:rsid w:val="5CDE13F9"/>
    <w:rsid w:val="5CE68D67"/>
    <w:rsid w:val="5CE74E0B"/>
    <w:rsid w:val="5CF460D9"/>
    <w:rsid w:val="5CF9D4A6"/>
    <w:rsid w:val="5CFCEC21"/>
    <w:rsid w:val="5CFD5787"/>
    <w:rsid w:val="5D170CA9"/>
    <w:rsid w:val="5D17A7D1"/>
    <w:rsid w:val="5D214D27"/>
    <w:rsid w:val="5D25BF11"/>
    <w:rsid w:val="5D2794C8"/>
    <w:rsid w:val="5D2BFE9E"/>
    <w:rsid w:val="5D331200"/>
    <w:rsid w:val="5D40B8F9"/>
    <w:rsid w:val="5D4F12E2"/>
    <w:rsid w:val="5D653B14"/>
    <w:rsid w:val="5D6E149F"/>
    <w:rsid w:val="5D991C2E"/>
    <w:rsid w:val="5DA87BA0"/>
    <w:rsid w:val="5DAB7377"/>
    <w:rsid w:val="5DBF9F0B"/>
    <w:rsid w:val="5DC78B48"/>
    <w:rsid w:val="5DD2AF7D"/>
    <w:rsid w:val="5DDC1317"/>
    <w:rsid w:val="5DE20ED8"/>
    <w:rsid w:val="5DF0050C"/>
    <w:rsid w:val="5DF4FC8C"/>
    <w:rsid w:val="5DFD20D1"/>
    <w:rsid w:val="5E0B30AC"/>
    <w:rsid w:val="5E0B924E"/>
    <w:rsid w:val="5E14E3E5"/>
    <w:rsid w:val="5E235D80"/>
    <w:rsid w:val="5E25BA60"/>
    <w:rsid w:val="5E2723DF"/>
    <w:rsid w:val="5E296A84"/>
    <w:rsid w:val="5E2B91BC"/>
    <w:rsid w:val="5E2E5443"/>
    <w:rsid w:val="5E2FEE47"/>
    <w:rsid w:val="5E36EE3A"/>
    <w:rsid w:val="5E44180F"/>
    <w:rsid w:val="5E4B3FE6"/>
    <w:rsid w:val="5E501BCA"/>
    <w:rsid w:val="5E50FEAF"/>
    <w:rsid w:val="5E52B217"/>
    <w:rsid w:val="5E69B3CD"/>
    <w:rsid w:val="5E69E6BB"/>
    <w:rsid w:val="5E72110E"/>
    <w:rsid w:val="5E784578"/>
    <w:rsid w:val="5E7CCAED"/>
    <w:rsid w:val="5E825DC8"/>
    <w:rsid w:val="5E91BA39"/>
    <w:rsid w:val="5E9532B5"/>
    <w:rsid w:val="5EA51029"/>
    <w:rsid w:val="5EA8402D"/>
    <w:rsid w:val="5EAB76F9"/>
    <w:rsid w:val="5EB1DB80"/>
    <w:rsid w:val="5EB2DD0A"/>
    <w:rsid w:val="5EB8815F"/>
    <w:rsid w:val="5EC0B66C"/>
    <w:rsid w:val="5EC1EB56"/>
    <w:rsid w:val="5EC27050"/>
    <w:rsid w:val="5ECF8271"/>
    <w:rsid w:val="5EDD3CED"/>
    <w:rsid w:val="5EE6ABD0"/>
    <w:rsid w:val="5EE9A87B"/>
    <w:rsid w:val="5EEB1DDE"/>
    <w:rsid w:val="5EFCBD43"/>
    <w:rsid w:val="5F06B4C0"/>
    <w:rsid w:val="5F0CF986"/>
    <w:rsid w:val="5F250170"/>
    <w:rsid w:val="5F289896"/>
    <w:rsid w:val="5F43267D"/>
    <w:rsid w:val="5F475F74"/>
    <w:rsid w:val="5F4C506D"/>
    <w:rsid w:val="5F52C438"/>
    <w:rsid w:val="5F56EB18"/>
    <w:rsid w:val="5F5B19B2"/>
    <w:rsid w:val="5F727DC2"/>
    <w:rsid w:val="5F74BBC2"/>
    <w:rsid w:val="5F7BB5C1"/>
    <w:rsid w:val="5F867CE5"/>
    <w:rsid w:val="5F8C9E28"/>
    <w:rsid w:val="5F948CF4"/>
    <w:rsid w:val="5F94A006"/>
    <w:rsid w:val="5F9987E3"/>
    <w:rsid w:val="5FA92C62"/>
    <w:rsid w:val="5FB55A4B"/>
    <w:rsid w:val="5FBD3914"/>
    <w:rsid w:val="5FD75D74"/>
    <w:rsid w:val="5FDC558F"/>
    <w:rsid w:val="5FE50D16"/>
    <w:rsid w:val="5FEE3FF7"/>
    <w:rsid w:val="5FF325ED"/>
    <w:rsid w:val="60054A2F"/>
    <w:rsid w:val="6007E22B"/>
    <w:rsid w:val="600930EA"/>
    <w:rsid w:val="60255E68"/>
    <w:rsid w:val="6026CC04"/>
    <w:rsid w:val="6031511C"/>
    <w:rsid w:val="6036ED6C"/>
    <w:rsid w:val="603A1A00"/>
    <w:rsid w:val="603A9556"/>
    <w:rsid w:val="603C7ED1"/>
    <w:rsid w:val="6042DB26"/>
    <w:rsid w:val="6047901C"/>
    <w:rsid w:val="605268C0"/>
    <w:rsid w:val="60534135"/>
    <w:rsid w:val="605C7A38"/>
    <w:rsid w:val="605CEA9C"/>
    <w:rsid w:val="606412B6"/>
    <w:rsid w:val="60654D59"/>
    <w:rsid w:val="60682BA4"/>
    <w:rsid w:val="6069F8DE"/>
    <w:rsid w:val="607BFEE0"/>
    <w:rsid w:val="6083FB9E"/>
    <w:rsid w:val="60924A59"/>
    <w:rsid w:val="60975BB9"/>
    <w:rsid w:val="60A1FC2A"/>
    <w:rsid w:val="60A4C96D"/>
    <w:rsid w:val="60A63CA6"/>
    <w:rsid w:val="60A77819"/>
    <w:rsid w:val="60ACDD7C"/>
    <w:rsid w:val="60B74D33"/>
    <w:rsid w:val="60BC2E66"/>
    <w:rsid w:val="60C4AABA"/>
    <w:rsid w:val="60C8A5FD"/>
    <w:rsid w:val="60CA394E"/>
    <w:rsid w:val="60E6CB7A"/>
    <w:rsid w:val="60EDB59D"/>
    <w:rsid w:val="60F33BA8"/>
    <w:rsid w:val="611B05CB"/>
    <w:rsid w:val="61278DDA"/>
    <w:rsid w:val="6144718F"/>
    <w:rsid w:val="614E3632"/>
    <w:rsid w:val="614ECC6F"/>
    <w:rsid w:val="6150434D"/>
    <w:rsid w:val="615085C9"/>
    <w:rsid w:val="6150F40F"/>
    <w:rsid w:val="6172D518"/>
    <w:rsid w:val="61769EDF"/>
    <w:rsid w:val="617A2F2A"/>
    <w:rsid w:val="617BEAFA"/>
    <w:rsid w:val="617DBF88"/>
    <w:rsid w:val="617F7676"/>
    <w:rsid w:val="618AD150"/>
    <w:rsid w:val="618D9972"/>
    <w:rsid w:val="6191A92F"/>
    <w:rsid w:val="6199F4D1"/>
    <w:rsid w:val="619F1F1E"/>
    <w:rsid w:val="61A81132"/>
    <w:rsid w:val="61AEAC24"/>
    <w:rsid w:val="61AF6DDD"/>
    <w:rsid w:val="61B3CA20"/>
    <w:rsid w:val="61BB01E8"/>
    <w:rsid w:val="61C761C2"/>
    <w:rsid w:val="61CBEA16"/>
    <w:rsid w:val="61CEEAC9"/>
    <w:rsid w:val="61DC15E1"/>
    <w:rsid w:val="61EBE0C9"/>
    <w:rsid w:val="61F21702"/>
    <w:rsid w:val="61F7AA05"/>
    <w:rsid w:val="61F8BAFD"/>
    <w:rsid w:val="61FAF023"/>
    <w:rsid w:val="62036442"/>
    <w:rsid w:val="62072333"/>
    <w:rsid w:val="620D144A"/>
    <w:rsid w:val="620D6B54"/>
    <w:rsid w:val="622328C9"/>
    <w:rsid w:val="62282A97"/>
    <w:rsid w:val="622A515C"/>
    <w:rsid w:val="62480EB8"/>
    <w:rsid w:val="624A4A74"/>
    <w:rsid w:val="626038C8"/>
    <w:rsid w:val="6265CFDA"/>
    <w:rsid w:val="626FCA99"/>
    <w:rsid w:val="6279DB59"/>
    <w:rsid w:val="6280138A"/>
    <w:rsid w:val="62842A1B"/>
    <w:rsid w:val="62862AEA"/>
    <w:rsid w:val="62974A08"/>
    <w:rsid w:val="6297969B"/>
    <w:rsid w:val="62996D58"/>
    <w:rsid w:val="629A87A7"/>
    <w:rsid w:val="62A4161B"/>
    <w:rsid w:val="62AA5420"/>
    <w:rsid w:val="62B1F9DF"/>
    <w:rsid w:val="62BCEA73"/>
    <w:rsid w:val="62CBE8EF"/>
    <w:rsid w:val="62D16828"/>
    <w:rsid w:val="62D358C0"/>
    <w:rsid w:val="62D3EFA2"/>
    <w:rsid w:val="62E1CB64"/>
    <w:rsid w:val="62EA75EF"/>
    <w:rsid w:val="62EA7BCB"/>
    <w:rsid w:val="62ED897D"/>
    <w:rsid w:val="62F50BDB"/>
    <w:rsid w:val="62F9828D"/>
    <w:rsid w:val="632FEBE0"/>
    <w:rsid w:val="63301DD2"/>
    <w:rsid w:val="6330A408"/>
    <w:rsid w:val="633835F7"/>
    <w:rsid w:val="633EB5A0"/>
    <w:rsid w:val="6340A01C"/>
    <w:rsid w:val="6347AD3A"/>
    <w:rsid w:val="634DB33C"/>
    <w:rsid w:val="63512FD3"/>
    <w:rsid w:val="6352AD84"/>
    <w:rsid w:val="6356E4E2"/>
    <w:rsid w:val="63638285"/>
    <w:rsid w:val="6363C2EE"/>
    <w:rsid w:val="6364875E"/>
    <w:rsid w:val="6369A23D"/>
    <w:rsid w:val="636B7E2E"/>
    <w:rsid w:val="636C256D"/>
    <w:rsid w:val="6370BA14"/>
    <w:rsid w:val="637831B7"/>
    <w:rsid w:val="637E75ED"/>
    <w:rsid w:val="63881C8D"/>
    <w:rsid w:val="63A029A0"/>
    <w:rsid w:val="63A122CA"/>
    <w:rsid w:val="63A7796A"/>
    <w:rsid w:val="63ACEC75"/>
    <w:rsid w:val="63AF58EA"/>
    <w:rsid w:val="63B26159"/>
    <w:rsid w:val="63D28A58"/>
    <w:rsid w:val="63D42A75"/>
    <w:rsid w:val="63D6ECFC"/>
    <w:rsid w:val="63D751A3"/>
    <w:rsid w:val="63DE3BAE"/>
    <w:rsid w:val="63E210D5"/>
    <w:rsid w:val="63E28205"/>
    <w:rsid w:val="63E446AB"/>
    <w:rsid w:val="63E5FCC4"/>
    <w:rsid w:val="63FA3D13"/>
    <w:rsid w:val="640CB3D8"/>
    <w:rsid w:val="640F9CDA"/>
    <w:rsid w:val="64111810"/>
    <w:rsid w:val="642D5E00"/>
    <w:rsid w:val="64312A1B"/>
    <w:rsid w:val="64339839"/>
    <w:rsid w:val="64465B8C"/>
    <w:rsid w:val="645C42AD"/>
    <w:rsid w:val="646533E8"/>
    <w:rsid w:val="64653424"/>
    <w:rsid w:val="64654AFD"/>
    <w:rsid w:val="6469BC90"/>
    <w:rsid w:val="6471360B"/>
    <w:rsid w:val="647A87FF"/>
    <w:rsid w:val="647D8174"/>
    <w:rsid w:val="647E5BD7"/>
    <w:rsid w:val="6488B2E5"/>
    <w:rsid w:val="648EBC4E"/>
    <w:rsid w:val="64A1EBE5"/>
    <w:rsid w:val="64A30F42"/>
    <w:rsid w:val="64A4D492"/>
    <w:rsid w:val="64A50D08"/>
    <w:rsid w:val="64ADDA60"/>
    <w:rsid w:val="64B3B476"/>
    <w:rsid w:val="64B5D8E5"/>
    <w:rsid w:val="64B65055"/>
    <w:rsid w:val="64D50992"/>
    <w:rsid w:val="64D8F9B4"/>
    <w:rsid w:val="64ED7DA7"/>
    <w:rsid w:val="64EE6CD0"/>
    <w:rsid w:val="64FD69F9"/>
    <w:rsid w:val="64FF5A8E"/>
    <w:rsid w:val="65086024"/>
    <w:rsid w:val="650CB08E"/>
    <w:rsid w:val="650F2952"/>
    <w:rsid w:val="650F8B9E"/>
    <w:rsid w:val="65147B8F"/>
    <w:rsid w:val="65149752"/>
    <w:rsid w:val="651883C8"/>
    <w:rsid w:val="65192833"/>
    <w:rsid w:val="6521AF66"/>
    <w:rsid w:val="652DB986"/>
    <w:rsid w:val="6533C549"/>
    <w:rsid w:val="65342A13"/>
    <w:rsid w:val="6546794A"/>
    <w:rsid w:val="6550AA67"/>
    <w:rsid w:val="655E5D96"/>
    <w:rsid w:val="655F24A6"/>
    <w:rsid w:val="65608CB9"/>
    <w:rsid w:val="65649398"/>
    <w:rsid w:val="6569939D"/>
    <w:rsid w:val="6571FFC6"/>
    <w:rsid w:val="657A6AC0"/>
    <w:rsid w:val="6586C553"/>
    <w:rsid w:val="6590C0A0"/>
    <w:rsid w:val="6594FF82"/>
    <w:rsid w:val="6596202F"/>
    <w:rsid w:val="65B70E8C"/>
    <w:rsid w:val="65C0223D"/>
    <w:rsid w:val="65CDF1E9"/>
    <w:rsid w:val="65E51F72"/>
    <w:rsid w:val="65E885FD"/>
    <w:rsid w:val="65F131F9"/>
    <w:rsid w:val="65F1A905"/>
    <w:rsid w:val="65F8F0B7"/>
    <w:rsid w:val="65FE3180"/>
    <w:rsid w:val="65FEA7EF"/>
    <w:rsid w:val="6611FF37"/>
    <w:rsid w:val="66237B1D"/>
    <w:rsid w:val="66299B69"/>
    <w:rsid w:val="662B4BA8"/>
    <w:rsid w:val="66319548"/>
    <w:rsid w:val="663C8CB4"/>
    <w:rsid w:val="663DAB47"/>
    <w:rsid w:val="663FE6B3"/>
    <w:rsid w:val="66422A62"/>
    <w:rsid w:val="6647869D"/>
    <w:rsid w:val="664E0A0C"/>
    <w:rsid w:val="665B7EB1"/>
    <w:rsid w:val="665EA105"/>
    <w:rsid w:val="6665E04C"/>
    <w:rsid w:val="6666BA79"/>
    <w:rsid w:val="666ACB5C"/>
    <w:rsid w:val="666D0FA9"/>
    <w:rsid w:val="666F1361"/>
    <w:rsid w:val="66749981"/>
    <w:rsid w:val="6677D9BD"/>
    <w:rsid w:val="667AA489"/>
    <w:rsid w:val="66855C30"/>
    <w:rsid w:val="668D2455"/>
    <w:rsid w:val="669017CE"/>
    <w:rsid w:val="6699BA92"/>
    <w:rsid w:val="669B9D2E"/>
    <w:rsid w:val="66A6D570"/>
    <w:rsid w:val="66A80356"/>
    <w:rsid w:val="66B2E261"/>
    <w:rsid w:val="66CCA157"/>
    <w:rsid w:val="66D2C156"/>
    <w:rsid w:val="66D55220"/>
    <w:rsid w:val="66DD44CF"/>
    <w:rsid w:val="66DDB3B5"/>
    <w:rsid w:val="66E023FC"/>
    <w:rsid w:val="66F100E3"/>
    <w:rsid w:val="66F7942F"/>
    <w:rsid w:val="66F9B9E8"/>
    <w:rsid w:val="6700A060"/>
    <w:rsid w:val="67092397"/>
    <w:rsid w:val="671E43E2"/>
    <w:rsid w:val="67248EED"/>
    <w:rsid w:val="6726C955"/>
    <w:rsid w:val="67284FD5"/>
    <w:rsid w:val="672B83CF"/>
    <w:rsid w:val="672DAC1D"/>
    <w:rsid w:val="6730E6DF"/>
    <w:rsid w:val="673AC1F2"/>
    <w:rsid w:val="673D1185"/>
    <w:rsid w:val="673FFB4A"/>
    <w:rsid w:val="6743E280"/>
    <w:rsid w:val="6744C70F"/>
    <w:rsid w:val="6748576D"/>
    <w:rsid w:val="674A6932"/>
    <w:rsid w:val="674D22A8"/>
    <w:rsid w:val="6758B4BF"/>
    <w:rsid w:val="676888C2"/>
    <w:rsid w:val="676925C2"/>
    <w:rsid w:val="6772DEC0"/>
    <w:rsid w:val="678807BA"/>
    <w:rsid w:val="67922748"/>
    <w:rsid w:val="679C3F55"/>
    <w:rsid w:val="67AEB9F8"/>
    <w:rsid w:val="67B4CC01"/>
    <w:rsid w:val="67BD2996"/>
    <w:rsid w:val="67C220E0"/>
    <w:rsid w:val="67C964A5"/>
    <w:rsid w:val="67D3BF98"/>
    <w:rsid w:val="67D3C4AB"/>
    <w:rsid w:val="67D55C20"/>
    <w:rsid w:val="67EA34A6"/>
    <w:rsid w:val="67EC1F81"/>
    <w:rsid w:val="67EE9F1D"/>
    <w:rsid w:val="67EF6A59"/>
    <w:rsid w:val="67FA05CB"/>
    <w:rsid w:val="67FC5547"/>
    <w:rsid w:val="67FE7D2F"/>
    <w:rsid w:val="68078566"/>
    <w:rsid w:val="680EED69"/>
    <w:rsid w:val="68106064"/>
    <w:rsid w:val="681F66D0"/>
    <w:rsid w:val="68337411"/>
    <w:rsid w:val="6837D6C5"/>
    <w:rsid w:val="683AB460"/>
    <w:rsid w:val="683D1360"/>
    <w:rsid w:val="683D2E05"/>
    <w:rsid w:val="683D3F3E"/>
    <w:rsid w:val="683EC2A2"/>
    <w:rsid w:val="6846A40D"/>
    <w:rsid w:val="684F05E9"/>
    <w:rsid w:val="684F18F0"/>
    <w:rsid w:val="685DDDCB"/>
    <w:rsid w:val="6862906C"/>
    <w:rsid w:val="6864716C"/>
    <w:rsid w:val="68773EFE"/>
    <w:rsid w:val="687D3E33"/>
    <w:rsid w:val="687D8CF9"/>
    <w:rsid w:val="68853F34"/>
    <w:rsid w:val="6885E92F"/>
    <w:rsid w:val="688711A2"/>
    <w:rsid w:val="68916CDF"/>
    <w:rsid w:val="6894C292"/>
    <w:rsid w:val="689E038C"/>
    <w:rsid w:val="68A06FE0"/>
    <w:rsid w:val="68A49EB1"/>
    <w:rsid w:val="68A7E222"/>
    <w:rsid w:val="68C299C1"/>
    <w:rsid w:val="68C33999"/>
    <w:rsid w:val="68C4CF3C"/>
    <w:rsid w:val="68C636F5"/>
    <w:rsid w:val="68CF90D5"/>
    <w:rsid w:val="68D220AF"/>
    <w:rsid w:val="68DE9AA2"/>
    <w:rsid w:val="68FC89AB"/>
    <w:rsid w:val="690592AB"/>
    <w:rsid w:val="69059767"/>
    <w:rsid w:val="690CB4F5"/>
    <w:rsid w:val="690CE172"/>
    <w:rsid w:val="6915C6CB"/>
    <w:rsid w:val="691D0301"/>
    <w:rsid w:val="6924C481"/>
    <w:rsid w:val="6933D5A1"/>
    <w:rsid w:val="69345511"/>
    <w:rsid w:val="694201EA"/>
    <w:rsid w:val="694451C2"/>
    <w:rsid w:val="6949BFBC"/>
    <w:rsid w:val="694AF9D4"/>
    <w:rsid w:val="69677B4E"/>
    <w:rsid w:val="696D8178"/>
    <w:rsid w:val="69781AE7"/>
    <w:rsid w:val="6979E972"/>
    <w:rsid w:val="697E3FBA"/>
    <w:rsid w:val="6990A4E1"/>
    <w:rsid w:val="6993FCDE"/>
    <w:rsid w:val="69A4AC37"/>
    <w:rsid w:val="69A68277"/>
    <w:rsid w:val="69A9A6DA"/>
    <w:rsid w:val="69B6C14B"/>
    <w:rsid w:val="69B8D160"/>
    <w:rsid w:val="69C4E058"/>
    <w:rsid w:val="69DFA7F0"/>
    <w:rsid w:val="69E41F11"/>
    <w:rsid w:val="69E92544"/>
    <w:rsid w:val="69EB85F2"/>
    <w:rsid w:val="69EEB858"/>
    <w:rsid w:val="69F78984"/>
    <w:rsid w:val="69FCFE19"/>
    <w:rsid w:val="6A03A576"/>
    <w:rsid w:val="6A0648B8"/>
    <w:rsid w:val="6A0AB4FE"/>
    <w:rsid w:val="6A1AED3E"/>
    <w:rsid w:val="6A1FB0CF"/>
    <w:rsid w:val="6A2289E2"/>
    <w:rsid w:val="6A2872B5"/>
    <w:rsid w:val="6A30E2DA"/>
    <w:rsid w:val="6A3EA9E9"/>
    <w:rsid w:val="6A3F3FE9"/>
    <w:rsid w:val="6A54728A"/>
    <w:rsid w:val="6A58F2F5"/>
    <w:rsid w:val="6A595E9A"/>
    <w:rsid w:val="6A73E496"/>
    <w:rsid w:val="6A89A1BE"/>
    <w:rsid w:val="6A8FDD84"/>
    <w:rsid w:val="6A91E8A5"/>
    <w:rsid w:val="6AA7B168"/>
    <w:rsid w:val="6AC0D618"/>
    <w:rsid w:val="6ADD385E"/>
    <w:rsid w:val="6AE07DA6"/>
    <w:rsid w:val="6AE81542"/>
    <w:rsid w:val="6AF034AA"/>
    <w:rsid w:val="6AF228BF"/>
    <w:rsid w:val="6AF7F469"/>
    <w:rsid w:val="6AFB8649"/>
    <w:rsid w:val="6B02BEA6"/>
    <w:rsid w:val="6B04ACB5"/>
    <w:rsid w:val="6B1929F9"/>
    <w:rsid w:val="6B206D63"/>
    <w:rsid w:val="6B20DD20"/>
    <w:rsid w:val="6B2102D2"/>
    <w:rsid w:val="6B242DE1"/>
    <w:rsid w:val="6B266E03"/>
    <w:rsid w:val="6B2AAEDA"/>
    <w:rsid w:val="6B2EA564"/>
    <w:rsid w:val="6B361F74"/>
    <w:rsid w:val="6B3824E9"/>
    <w:rsid w:val="6B445BFF"/>
    <w:rsid w:val="6B48CE6A"/>
    <w:rsid w:val="6B49C996"/>
    <w:rsid w:val="6B4BF0F2"/>
    <w:rsid w:val="6B537F3B"/>
    <w:rsid w:val="6B5FF149"/>
    <w:rsid w:val="6B65FCF6"/>
    <w:rsid w:val="6B6E5F1A"/>
    <w:rsid w:val="6B72C3C1"/>
    <w:rsid w:val="6B764DEE"/>
    <w:rsid w:val="6B7C904C"/>
    <w:rsid w:val="6B7E9F20"/>
    <w:rsid w:val="6B83C574"/>
    <w:rsid w:val="6B890584"/>
    <w:rsid w:val="6B8F4B8E"/>
    <w:rsid w:val="6B9096B1"/>
    <w:rsid w:val="6B9CBD70"/>
    <w:rsid w:val="6BA34F15"/>
    <w:rsid w:val="6BA7DC0D"/>
    <w:rsid w:val="6BACD986"/>
    <w:rsid w:val="6BB03902"/>
    <w:rsid w:val="6BBFEAA5"/>
    <w:rsid w:val="6BE08DE2"/>
    <w:rsid w:val="6BE7BC87"/>
    <w:rsid w:val="6BECCE00"/>
    <w:rsid w:val="6BF75548"/>
    <w:rsid w:val="6BF901B1"/>
    <w:rsid w:val="6C07CC89"/>
    <w:rsid w:val="6C0FF5EF"/>
    <w:rsid w:val="6C13302E"/>
    <w:rsid w:val="6C15985B"/>
    <w:rsid w:val="6C18F1E0"/>
    <w:rsid w:val="6C1D6867"/>
    <w:rsid w:val="6C23B6BD"/>
    <w:rsid w:val="6C34EE28"/>
    <w:rsid w:val="6C36EC41"/>
    <w:rsid w:val="6C494E4B"/>
    <w:rsid w:val="6C499B59"/>
    <w:rsid w:val="6C513666"/>
    <w:rsid w:val="6C565F81"/>
    <w:rsid w:val="6C5D62BA"/>
    <w:rsid w:val="6C6373AD"/>
    <w:rsid w:val="6C637996"/>
    <w:rsid w:val="6C65986B"/>
    <w:rsid w:val="6C7347FD"/>
    <w:rsid w:val="6C7416B3"/>
    <w:rsid w:val="6C74C642"/>
    <w:rsid w:val="6C75F98C"/>
    <w:rsid w:val="6C773A12"/>
    <w:rsid w:val="6C829A96"/>
    <w:rsid w:val="6C82F14F"/>
    <w:rsid w:val="6C8707D6"/>
    <w:rsid w:val="6C87FBE1"/>
    <w:rsid w:val="6C988471"/>
    <w:rsid w:val="6C99329B"/>
    <w:rsid w:val="6CA400C4"/>
    <w:rsid w:val="6CA8DE62"/>
    <w:rsid w:val="6CAE3AAF"/>
    <w:rsid w:val="6CB0DEBC"/>
    <w:rsid w:val="6CB2A6BB"/>
    <w:rsid w:val="6CBDA19B"/>
    <w:rsid w:val="6CBEC486"/>
    <w:rsid w:val="6CC6B183"/>
    <w:rsid w:val="6CCC5C69"/>
    <w:rsid w:val="6CD11D3A"/>
    <w:rsid w:val="6CD1ED03"/>
    <w:rsid w:val="6CE8EEB3"/>
    <w:rsid w:val="6CF8385C"/>
    <w:rsid w:val="6D05DF67"/>
    <w:rsid w:val="6D0A6D85"/>
    <w:rsid w:val="6D13D34B"/>
    <w:rsid w:val="6D1A61AD"/>
    <w:rsid w:val="6D24D128"/>
    <w:rsid w:val="6D25B454"/>
    <w:rsid w:val="6D265A28"/>
    <w:rsid w:val="6D26C4EE"/>
    <w:rsid w:val="6D308721"/>
    <w:rsid w:val="6D363D23"/>
    <w:rsid w:val="6D36960B"/>
    <w:rsid w:val="6D40CF8F"/>
    <w:rsid w:val="6D508E8B"/>
    <w:rsid w:val="6D5846C3"/>
    <w:rsid w:val="6D58FBB4"/>
    <w:rsid w:val="6D5C98A4"/>
    <w:rsid w:val="6D5E1FAF"/>
    <w:rsid w:val="6D6C6B71"/>
    <w:rsid w:val="6D765093"/>
    <w:rsid w:val="6D86B589"/>
    <w:rsid w:val="6D8C331F"/>
    <w:rsid w:val="6D9651DF"/>
    <w:rsid w:val="6DC5C961"/>
    <w:rsid w:val="6DC984C7"/>
    <w:rsid w:val="6DD1C872"/>
    <w:rsid w:val="6DD594B8"/>
    <w:rsid w:val="6DD6C564"/>
    <w:rsid w:val="6DE31B81"/>
    <w:rsid w:val="6DF42469"/>
    <w:rsid w:val="6E007990"/>
    <w:rsid w:val="6E06A891"/>
    <w:rsid w:val="6E0A3CA0"/>
    <w:rsid w:val="6E116F31"/>
    <w:rsid w:val="6E1A8FBF"/>
    <w:rsid w:val="6E238ABC"/>
    <w:rsid w:val="6E250113"/>
    <w:rsid w:val="6E281527"/>
    <w:rsid w:val="6E28F229"/>
    <w:rsid w:val="6E4CB225"/>
    <w:rsid w:val="6E4FF246"/>
    <w:rsid w:val="6E518C31"/>
    <w:rsid w:val="6E564B85"/>
    <w:rsid w:val="6E674CCA"/>
    <w:rsid w:val="6E6AB101"/>
    <w:rsid w:val="6E7721DB"/>
    <w:rsid w:val="6E77F1DE"/>
    <w:rsid w:val="6E84F634"/>
    <w:rsid w:val="6E8B544C"/>
    <w:rsid w:val="6E99419C"/>
    <w:rsid w:val="6E9A82C9"/>
    <w:rsid w:val="6EB04AE8"/>
    <w:rsid w:val="6EB7098F"/>
    <w:rsid w:val="6EB70A2B"/>
    <w:rsid w:val="6EBC51E7"/>
    <w:rsid w:val="6ECE8649"/>
    <w:rsid w:val="6ECEA381"/>
    <w:rsid w:val="6ECFBA99"/>
    <w:rsid w:val="6ED20D84"/>
    <w:rsid w:val="6EE386A6"/>
    <w:rsid w:val="6EE3FF9D"/>
    <w:rsid w:val="6EEDA2B6"/>
    <w:rsid w:val="6EFBE3D8"/>
    <w:rsid w:val="6F007841"/>
    <w:rsid w:val="6F0234EB"/>
    <w:rsid w:val="6F059390"/>
    <w:rsid w:val="6F07CD54"/>
    <w:rsid w:val="6F0CCBAC"/>
    <w:rsid w:val="6F0CD2CE"/>
    <w:rsid w:val="6F122C44"/>
    <w:rsid w:val="6F1DF60F"/>
    <w:rsid w:val="6F1F1F10"/>
    <w:rsid w:val="6F28FB52"/>
    <w:rsid w:val="6F29D730"/>
    <w:rsid w:val="6F316574"/>
    <w:rsid w:val="6F395788"/>
    <w:rsid w:val="6F4C09E3"/>
    <w:rsid w:val="6F4FE5BA"/>
    <w:rsid w:val="6F5B972D"/>
    <w:rsid w:val="6F5F11C6"/>
    <w:rsid w:val="6F75CEEE"/>
    <w:rsid w:val="6F8C95BB"/>
    <w:rsid w:val="6F8E2924"/>
    <w:rsid w:val="6F971602"/>
    <w:rsid w:val="6FAF0632"/>
    <w:rsid w:val="6FB115FC"/>
    <w:rsid w:val="6FB5E944"/>
    <w:rsid w:val="6FB6B653"/>
    <w:rsid w:val="6FC44473"/>
    <w:rsid w:val="6FC45E85"/>
    <w:rsid w:val="6FC4BD21"/>
    <w:rsid w:val="6FCB4C5A"/>
    <w:rsid w:val="6FD2C6B8"/>
    <w:rsid w:val="6FD3CE7B"/>
    <w:rsid w:val="6FD637BF"/>
    <w:rsid w:val="6FD6935F"/>
    <w:rsid w:val="6FD6E86D"/>
    <w:rsid w:val="6FE251D8"/>
    <w:rsid w:val="6FE6C746"/>
    <w:rsid w:val="6FEA3D86"/>
    <w:rsid w:val="6FEB95CF"/>
    <w:rsid w:val="6FF56066"/>
    <w:rsid w:val="6FF9C9DF"/>
    <w:rsid w:val="700499CC"/>
    <w:rsid w:val="70093F5B"/>
    <w:rsid w:val="701C2661"/>
    <w:rsid w:val="7021C50B"/>
    <w:rsid w:val="702668C8"/>
    <w:rsid w:val="702A1AD9"/>
    <w:rsid w:val="702A36A9"/>
    <w:rsid w:val="7037F2FA"/>
    <w:rsid w:val="703AD9A3"/>
    <w:rsid w:val="703C96BA"/>
    <w:rsid w:val="7057BB98"/>
    <w:rsid w:val="705CDDEF"/>
    <w:rsid w:val="70610F49"/>
    <w:rsid w:val="70618ECC"/>
    <w:rsid w:val="706CB4FD"/>
    <w:rsid w:val="70784037"/>
    <w:rsid w:val="707BF6E6"/>
    <w:rsid w:val="707C4562"/>
    <w:rsid w:val="7080AA7B"/>
    <w:rsid w:val="708286FC"/>
    <w:rsid w:val="70846575"/>
    <w:rsid w:val="7092851C"/>
    <w:rsid w:val="7094F294"/>
    <w:rsid w:val="709BF92B"/>
    <w:rsid w:val="70A24787"/>
    <w:rsid w:val="70A437C3"/>
    <w:rsid w:val="70A64E69"/>
    <w:rsid w:val="70B94949"/>
    <w:rsid w:val="70BA5B79"/>
    <w:rsid w:val="70C2923F"/>
    <w:rsid w:val="70D6B4E9"/>
    <w:rsid w:val="70D9DFB3"/>
    <w:rsid w:val="70DBD687"/>
    <w:rsid w:val="70E4A346"/>
    <w:rsid w:val="70E70722"/>
    <w:rsid w:val="70EB28F0"/>
    <w:rsid w:val="70EBA3A2"/>
    <w:rsid w:val="70EFAD9A"/>
    <w:rsid w:val="70F97D93"/>
    <w:rsid w:val="70FA9D3F"/>
    <w:rsid w:val="70FF04FD"/>
    <w:rsid w:val="7100C1BC"/>
    <w:rsid w:val="71099C70"/>
    <w:rsid w:val="710B7F2C"/>
    <w:rsid w:val="710EEC89"/>
    <w:rsid w:val="71130CBD"/>
    <w:rsid w:val="71140E5C"/>
    <w:rsid w:val="7118153F"/>
    <w:rsid w:val="711D5736"/>
    <w:rsid w:val="71235B71"/>
    <w:rsid w:val="7128428F"/>
    <w:rsid w:val="7129DEB5"/>
    <w:rsid w:val="7139B12A"/>
    <w:rsid w:val="713B7089"/>
    <w:rsid w:val="713C05D8"/>
    <w:rsid w:val="713D4F33"/>
    <w:rsid w:val="715331D2"/>
    <w:rsid w:val="7157AEA4"/>
    <w:rsid w:val="71589F89"/>
    <w:rsid w:val="71674690"/>
    <w:rsid w:val="716A64FB"/>
    <w:rsid w:val="716D21E7"/>
    <w:rsid w:val="716E9719"/>
    <w:rsid w:val="716F0703"/>
    <w:rsid w:val="7173D40A"/>
    <w:rsid w:val="71755FC1"/>
    <w:rsid w:val="717F0744"/>
    <w:rsid w:val="71930EBD"/>
    <w:rsid w:val="71975A6B"/>
    <w:rsid w:val="719DE3AB"/>
    <w:rsid w:val="719F17AD"/>
    <w:rsid w:val="71A5117F"/>
    <w:rsid w:val="71B06654"/>
    <w:rsid w:val="71B3B3A6"/>
    <w:rsid w:val="71BC4E22"/>
    <w:rsid w:val="71CEA6A7"/>
    <w:rsid w:val="71D4DD85"/>
    <w:rsid w:val="71DFF257"/>
    <w:rsid w:val="71E0FBA7"/>
    <w:rsid w:val="71E2B40A"/>
    <w:rsid w:val="71E35757"/>
    <w:rsid w:val="71E40EF9"/>
    <w:rsid w:val="71E97B1B"/>
    <w:rsid w:val="71EED54C"/>
    <w:rsid w:val="71EFA9DA"/>
    <w:rsid w:val="71F16B00"/>
    <w:rsid w:val="71F398C8"/>
    <w:rsid w:val="71F697D7"/>
    <w:rsid w:val="71FB2AE2"/>
    <w:rsid w:val="71FD0EC3"/>
    <w:rsid w:val="7206C738"/>
    <w:rsid w:val="720AC842"/>
    <w:rsid w:val="7219D86B"/>
    <w:rsid w:val="721B42A6"/>
    <w:rsid w:val="722FF9A7"/>
    <w:rsid w:val="7232DBF6"/>
    <w:rsid w:val="723682BC"/>
    <w:rsid w:val="72394C93"/>
    <w:rsid w:val="72530ECC"/>
    <w:rsid w:val="725477B3"/>
    <w:rsid w:val="725D8367"/>
    <w:rsid w:val="7274BDDD"/>
    <w:rsid w:val="72843A0C"/>
    <w:rsid w:val="728B0A14"/>
    <w:rsid w:val="728B2C45"/>
    <w:rsid w:val="729A9B5B"/>
    <w:rsid w:val="729CA051"/>
    <w:rsid w:val="72A6535B"/>
    <w:rsid w:val="72A6E3EF"/>
    <w:rsid w:val="72AA63D6"/>
    <w:rsid w:val="72AABCEA"/>
    <w:rsid w:val="72B52E2E"/>
    <w:rsid w:val="72BCF9C5"/>
    <w:rsid w:val="72C461B7"/>
    <w:rsid w:val="72C5C2F6"/>
    <w:rsid w:val="72DA7F3B"/>
    <w:rsid w:val="72E9795D"/>
    <w:rsid w:val="72F08DF5"/>
    <w:rsid w:val="72F4EC55"/>
    <w:rsid w:val="72F75BBB"/>
    <w:rsid w:val="72FAC8AF"/>
    <w:rsid w:val="72FD81AF"/>
    <w:rsid w:val="73038E6C"/>
    <w:rsid w:val="730A9CE6"/>
    <w:rsid w:val="730C8C7B"/>
    <w:rsid w:val="731071D6"/>
    <w:rsid w:val="73207177"/>
    <w:rsid w:val="732BA4C2"/>
    <w:rsid w:val="7338CBF4"/>
    <w:rsid w:val="7339B749"/>
    <w:rsid w:val="735D9536"/>
    <w:rsid w:val="73643343"/>
    <w:rsid w:val="73789CD2"/>
    <w:rsid w:val="73909848"/>
    <w:rsid w:val="739AFD24"/>
    <w:rsid w:val="73B486E8"/>
    <w:rsid w:val="73CD764D"/>
    <w:rsid w:val="73D65915"/>
    <w:rsid w:val="73DAB71F"/>
    <w:rsid w:val="73DFBBEC"/>
    <w:rsid w:val="73E61B7C"/>
    <w:rsid w:val="73E77536"/>
    <w:rsid w:val="73EF8EC7"/>
    <w:rsid w:val="73FA103A"/>
    <w:rsid w:val="73FAA7DE"/>
    <w:rsid w:val="73FCA9C1"/>
    <w:rsid w:val="7409D406"/>
    <w:rsid w:val="74113DA0"/>
    <w:rsid w:val="741583D6"/>
    <w:rsid w:val="7420AA40"/>
    <w:rsid w:val="742140D9"/>
    <w:rsid w:val="7424C44E"/>
    <w:rsid w:val="7428BD20"/>
    <w:rsid w:val="742E894B"/>
    <w:rsid w:val="742F544A"/>
    <w:rsid w:val="74322DD7"/>
    <w:rsid w:val="74362F78"/>
    <w:rsid w:val="7438BB03"/>
    <w:rsid w:val="74446337"/>
    <w:rsid w:val="744BAAFC"/>
    <w:rsid w:val="744CC0BC"/>
    <w:rsid w:val="744DA134"/>
    <w:rsid w:val="745E8308"/>
    <w:rsid w:val="74657147"/>
    <w:rsid w:val="74668C92"/>
    <w:rsid w:val="74694BF5"/>
    <w:rsid w:val="746DBF9B"/>
    <w:rsid w:val="7472354C"/>
    <w:rsid w:val="7473B4D8"/>
    <w:rsid w:val="747A0D26"/>
    <w:rsid w:val="74824CC6"/>
    <w:rsid w:val="7485D124"/>
    <w:rsid w:val="748E35AE"/>
    <w:rsid w:val="74917E5D"/>
    <w:rsid w:val="749DDE01"/>
    <w:rsid w:val="74A0F2B5"/>
    <w:rsid w:val="74A4CE9F"/>
    <w:rsid w:val="74B6D261"/>
    <w:rsid w:val="74B8D8FD"/>
    <w:rsid w:val="74BFEE2A"/>
    <w:rsid w:val="74C328F0"/>
    <w:rsid w:val="74C43C9D"/>
    <w:rsid w:val="74C5E7B0"/>
    <w:rsid w:val="74C77523"/>
    <w:rsid w:val="74CAC34C"/>
    <w:rsid w:val="74D22898"/>
    <w:rsid w:val="74F7A3A0"/>
    <w:rsid w:val="7513E29E"/>
    <w:rsid w:val="751BCDC6"/>
    <w:rsid w:val="752147C7"/>
    <w:rsid w:val="75281B08"/>
    <w:rsid w:val="752ADE96"/>
    <w:rsid w:val="752C27C7"/>
    <w:rsid w:val="752D8B0A"/>
    <w:rsid w:val="75351C95"/>
    <w:rsid w:val="7548BFE4"/>
    <w:rsid w:val="754DA068"/>
    <w:rsid w:val="754DCF5A"/>
    <w:rsid w:val="754FCCB0"/>
    <w:rsid w:val="75709D50"/>
    <w:rsid w:val="7575498B"/>
    <w:rsid w:val="758D0C57"/>
    <w:rsid w:val="759C27AA"/>
    <w:rsid w:val="759D848E"/>
    <w:rsid w:val="75B11C55"/>
    <w:rsid w:val="75BA4640"/>
    <w:rsid w:val="75BD668D"/>
    <w:rsid w:val="75BE882B"/>
    <w:rsid w:val="75C50B30"/>
    <w:rsid w:val="75CD7D5B"/>
    <w:rsid w:val="75CE2D04"/>
    <w:rsid w:val="75DDBEFE"/>
    <w:rsid w:val="75DEF04F"/>
    <w:rsid w:val="75EA4B83"/>
    <w:rsid w:val="75F2C49D"/>
    <w:rsid w:val="7607C256"/>
    <w:rsid w:val="76211A1F"/>
    <w:rsid w:val="763844A3"/>
    <w:rsid w:val="7638640E"/>
    <w:rsid w:val="76436F67"/>
    <w:rsid w:val="764525FA"/>
    <w:rsid w:val="764D58D8"/>
    <w:rsid w:val="765587F3"/>
    <w:rsid w:val="7657D08C"/>
    <w:rsid w:val="7660A6DB"/>
    <w:rsid w:val="7664D0F8"/>
    <w:rsid w:val="7667C026"/>
    <w:rsid w:val="7671F277"/>
    <w:rsid w:val="76845B09"/>
    <w:rsid w:val="7684C376"/>
    <w:rsid w:val="7684F9C2"/>
    <w:rsid w:val="76852DA9"/>
    <w:rsid w:val="76A7A5A2"/>
    <w:rsid w:val="76B66DC9"/>
    <w:rsid w:val="76B90E23"/>
    <w:rsid w:val="76C56C0D"/>
    <w:rsid w:val="76C85E3F"/>
    <w:rsid w:val="76D76B8C"/>
    <w:rsid w:val="76E1693F"/>
    <w:rsid w:val="76E2360A"/>
    <w:rsid w:val="76EAAFB8"/>
    <w:rsid w:val="76EF9699"/>
    <w:rsid w:val="76F75EB3"/>
    <w:rsid w:val="76FCEF25"/>
    <w:rsid w:val="77063668"/>
    <w:rsid w:val="770889B5"/>
    <w:rsid w:val="7714FA27"/>
    <w:rsid w:val="7715832C"/>
    <w:rsid w:val="771F79EC"/>
    <w:rsid w:val="77208D83"/>
    <w:rsid w:val="77296CA6"/>
    <w:rsid w:val="77391F20"/>
    <w:rsid w:val="773B6EB3"/>
    <w:rsid w:val="77426F38"/>
    <w:rsid w:val="77586BB2"/>
    <w:rsid w:val="775C1EF4"/>
    <w:rsid w:val="77612F65"/>
    <w:rsid w:val="77662E7F"/>
    <w:rsid w:val="776AF2A5"/>
    <w:rsid w:val="777083EE"/>
    <w:rsid w:val="777D0685"/>
    <w:rsid w:val="7784943C"/>
    <w:rsid w:val="778684C5"/>
    <w:rsid w:val="77873C44"/>
    <w:rsid w:val="779E74FE"/>
    <w:rsid w:val="77A21BE7"/>
    <w:rsid w:val="77A76794"/>
    <w:rsid w:val="77BA821F"/>
    <w:rsid w:val="77C0C06D"/>
    <w:rsid w:val="77C16B6B"/>
    <w:rsid w:val="77C19B8F"/>
    <w:rsid w:val="77C1A45F"/>
    <w:rsid w:val="77DDD89D"/>
    <w:rsid w:val="77F67492"/>
    <w:rsid w:val="77F75FA3"/>
    <w:rsid w:val="77F9C107"/>
    <w:rsid w:val="77FF15E5"/>
    <w:rsid w:val="780CFCF5"/>
    <w:rsid w:val="782D46BA"/>
    <w:rsid w:val="782DAB61"/>
    <w:rsid w:val="78363AB1"/>
    <w:rsid w:val="783B1EC6"/>
    <w:rsid w:val="7842BF96"/>
    <w:rsid w:val="784B4A3A"/>
    <w:rsid w:val="784D3C67"/>
    <w:rsid w:val="784F240E"/>
    <w:rsid w:val="78533334"/>
    <w:rsid w:val="785E0B64"/>
    <w:rsid w:val="7865D95B"/>
    <w:rsid w:val="7867649C"/>
    <w:rsid w:val="786A80E6"/>
    <w:rsid w:val="7880D16E"/>
    <w:rsid w:val="7880F2C0"/>
    <w:rsid w:val="788BC661"/>
    <w:rsid w:val="78A43318"/>
    <w:rsid w:val="78A666C3"/>
    <w:rsid w:val="78AEB767"/>
    <w:rsid w:val="78BCC343"/>
    <w:rsid w:val="78BF2AC8"/>
    <w:rsid w:val="78BFDF18"/>
    <w:rsid w:val="78C2E20B"/>
    <w:rsid w:val="78CBF69E"/>
    <w:rsid w:val="78DB0CE1"/>
    <w:rsid w:val="78DF5E09"/>
    <w:rsid w:val="78E1E70D"/>
    <w:rsid w:val="78E37E79"/>
    <w:rsid w:val="78ED37AC"/>
    <w:rsid w:val="78EEE12C"/>
    <w:rsid w:val="790458FD"/>
    <w:rsid w:val="790E8EF6"/>
    <w:rsid w:val="791AA596"/>
    <w:rsid w:val="791E162A"/>
    <w:rsid w:val="79208189"/>
    <w:rsid w:val="79309715"/>
    <w:rsid w:val="793AF6B0"/>
    <w:rsid w:val="794425E1"/>
    <w:rsid w:val="794F5B3E"/>
    <w:rsid w:val="795A33AD"/>
    <w:rsid w:val="795AB2F5"/>
    <w:rsid w:val="795CA892"/>
    <w:rsid w:val="796A24D0"/>
    <w:rsid w:val="796C26BF"/>
    <w:rsid w:val="7975B192"/>
    <w:rsid w:val="7978833E"/>
    <w:rsid w:val="797BAB3E"/>
    <w:rsid w:val="797C2620"/>
    <w:rsid w:val="798DB993"/>
    <w:rsid w:val="799F7098"/>
    <w:rsid w:val="79A899AB"/>
    <w:rsid w:val="79AD63A8"/>
    <w:rsid w:val="79C0A120"/>
    <w:rsid w:val="79C0D442"/>
    <w:rsid w:val="79C7FDBA"/>
    <w:rsid w:val="79CB46B9"/>
    <w:rsid w:val="79D0121F"/>
    <w:rsid w:val="79D0D2AA"/>
    <w:rsid w:val="79D36613"/>
    <w:rsid w:val="79D465D2"/>
    <w:rsid w:val="79DD50E7"/>
    <w:rsid w:val="79E2EB7E"/>
    <w:rsid w:val="79E4B063"/>
    <w:rsid w:val="79E703DA"/>
    <w:rsid w:val="79F9FC30"/>
    <w:rsid w:val="79FB639A"/>
    <w:rsid w:val="79FD289A"/>
    <w:rsid w:val="7A002E0C"/>
    <w:rsid w:val="7A0F7968"/>
    <w:rsid w:val="7A124AA1"/>
    <w:rsid w:val="7A1978D2"/>
    <w:rsid w:val="7A1EA417"/>
    <w:rsid w:val="7A2D847F"/>
    <w:rsid w:val="7A2DC132"/>
    <w:rsid w:val="7A2E211C"/>
    <w:rsid w:val="7A377EBC"/>
    <w:rsid w:val="7A49E633"/>
    <w:rsid w:val="7A4F26C1"/>
    <w:rsid w:val="7A79A666"/>
    <w:rsid w:val="7A7A4F58"/>
    <w:rsid w:val="7A7CF443"/>
    <w:rsid w:val="7A8B0A37"/>
    <w:rsid w:val="7A91348E"/>
    <w:rsid w:val="7A935B0F"/>
    <w:rsid w:val="7A9B05B1"/>
    <w:rsid w:val="7AA56E5B"/>
    <w:rsid w:val="7ABF0422"/>
    <w:rsid w:val="7ABF3F46"/>
    <w:rsid w:val="7ABFC3C2"/>
    <w:rsid w:val="7ACF5E1D"/>
    <w:rsid w:val="7AD8CBB0"/>
    <w:rsid w:val="7ADD98A8"/>
    <w:rsid w:val="7ADE6EF9"/>
    <w:rsid w:val="7AF2A91C"/>
    <w:rsid w:val="7AF8320C"/>
    <w:rsid w:val="7AFC9EE1"/>
    <w:rsid w:val="7B00471C"/>
    <w:rsid w:val="7B06AAD9"/>
    <w:rsid w:val="7B15795F"/>
    <w:rsid w:val="7B2AA5F6"/>
    <w:rsid w:val="7B2AAC0C"/>
    <w:rsid w:val="7B3CE217"/>
    <w:rsid w:val="7B41C7D0"/>
    <w:rsid w:val="7B4F3BB6"/>
    <w:rsid w:val="7B5000EA"/>
    <w:rsid w:val="7B5F00FC"/>
    <w:rsid w:val="7B69AB8C"/>
    <w:rsid w:val="7B776051"/>
    <w:rsid w:val="7B7B981E"/>
    <w:rsid w:val="7B7E6EDF"/>
    <w:rsid w:val="7B81769D"/>
    <w:rsid w:val="7B89B1C3"/>
    <w:rsid w:val="7B8BAB6B"/>
    <w:rsid w:val="7B9D56E4"/>
    <w:rsid w:val="7BA07751"/>
    <w:rsid w:val="7BAD1672"/>
    <w:rsid w:val="7BB1A733"/>
    <w:rsid w:val="7BB22F9D"/>
    <w:rsid w:val="7BB236F8"/>
    <w:rsid w:val="7BC27AE7"/>
    <w:rsid w:val="7BCF0AC7"/>
    <w:rsid w:val="7BDCE984"/>
    <w:rsid w:val="7BE6D314"/>
    <w:rsid w:val="7BF0B0F2"/>
    <w:rsid w:val="7BFB2D33"/>
    <w:rsid w:val="7C00A625"/>
    <w:rsid w:val="7C050CEC"/>
    <w:rsid w:val="7C071D43"/>
    <w:rsid w:val="7C0A970A"/>
    <w:rsid w:val="7C10396E"/>
    <w:rsid w:val="7C1293C8"/>
    <w:rsid w:val="7C158F95"/>
    <w:rsid w:val="7C1A814E"/>
    <w:rsid w:val="7C1C361A"/>
    <w:rsid w:val="7C25A692"/>
    <w:rsid w:val="7C32735A"/>
    <w:rsid w:val="7C3DA149"/>
    <w:rsid w:val="7C419DE1"/>
    <w:rsid w:val="7C4F05A8"/>
    <w:rsid w:val="7C6C7607"/>
    <w:rsid w:val="7C6C915C"/>
    <w:rsid w:val="7C6D1FCF"/>
    <w:rsid w:val="7C6FB1F3"/>
    <w:rsid w:val="7C708654"/>
    <w:rsid w:val="7C7A3323"/>
    <w:rsid w:val="7C7DD845"/>
    <w:rsid w:val="7C8106D2"/>
    <w:rsid w:val="7C83D07F"/>
    <w:rsid w:val="7C8CC905"/>
    <w:rsid w:val="7CAACE18"/>
    <w:rsid w:val="7CAC0CDF"/>
    <w:rsid w:val="7CAF9749"/>
    <w:rsid w:val="7CB463B5"/>
    <w:rsid w:val="7CB741B7"/>
    <w:rsid w:val="7CB79268"/>
    <w:rsid w:val="7CB8FC10"/>
    <w:rsid w:val="7CBD3108"/>
    <w:rsid w:val="7CBEBBB4"/>
    <w:rsid w:val="7CBFB56F"/>
    <w:rsid w:val="7CC01A87"/>
    <w:rsid w:val="7CD23618"/>
    <w:rsid w:val="7CD952AB"/>
    <w:rsid w:val="7CE8E61E"/>
    <w:rsid w:val="7CEE3A14"/>
    <w:rsid w:val="7CF82200"/>
    <w:rsid w:val="7CFB4B34"/>
    <w:rsid w:val="7CFFDA4F"/>
    <w:rsid w:val="7D02CC7B"/>
    <w:rsid w:val="7D07F0A3"/>
    <w:rsid w:val="7D1158A7"/>
    <w:rsid w:val="7D116D02"/>
    <w:rsid w:val="7D14A2A4"/>
    <w:rsid w:val="7D17DCD9"/>
    <w:rsid w:val="7D1CE12E"/>
    <w:rsid w:val="7D1E6AA0"/>
    <w:rsid w:val="7D2B25A9"/>
    <w:rsid w:val="7D2BF9E8"/>
    <w:rsid w:val="7D3B58FA"/>
    <w:rsid w:val="7D3D05AE"/>
    <w:rsid w:val="7D3F63DA"/>
    <w:rsid w:val="7D42CF16"/>
    <w:rsid w:val="7D4D107D"/>
    <w:rsid w:val="7D65D4FB"/>
    <w:rsid w:val="7D6B8911"/>
    <w:rsid w:val="7D6BBAE7"/>
    <w:rsid w:val="7D7358F6"/>
    <w:rsid w:val="7D76045F"/>
    <w:rsid w:val="7D7974DA"/>
    <w:rsid w:val="7D7BFD6E"/>
    <w:rsid w:val="7D841E83"/>
    <w:rsid w:val="7D86F9A4"/>
    <w:rsid w:val="7D87525A"/>
    <w:rsid w:val="7D8A63AA"/>
    <w:rsid w:val="7D961817"/>
    <w:rsid w:val="7D96532E"/>
    <w:rsid w:val="7D98FD7D"/>
    <w:rsid w:val="7D99F6AD"/>
    <w:rsid w:val="7D9EE50F"/>
    <w:rsid w:val="7DB6F4B8"/>
    <w:rsid w:val="7DB73049"/>
    <w:rsid w:val="7DBD5F34"/>
    <w:rsid w:val="7DBF9A11"/>
    <w:rsid w:val="7DC5D275"/>
    <w:rsid w:val="7DCFAE8C"/>
    <w:rsid w:val="7DF34222"/>
    <w:rsid w:val="7DF793C4"/>
    <w:rsid w:val="7DFF901D"/>
    <w:rsid w:val="7E00448A"/>
    <w:rsid w:val="7E0142E3"/>
    <w:rsid w:val="7E04FA55"/>
    <w:rsid w:val="7E34BA4B"/>
    <w:rsid w:val="7E357AC0"/>
    <w:rsid w:val="7E3827BA"/>
    <w:rsid w:val="7E3D074A"/>
    <w:rsid w:val="7E4761EB"/>
    <w:rsid w:val="7E50B0EB"/>
    <w:rsid w:val="7E59F627"/>
    <w:rsid w:val="7E64AD66"/>
    <w:rsid w:val="7E8FDDAE"/>
    <w:rsid w:val="7E907007"/>
    <w:rsid w:val="7E9BF82A"/>
    <w:rsid w:val="7E9C63CE"/>
    <w:rsid w:val="7E9CB0D7"/>
    <w:rsid w:val="7EB1C982"/>
    <w:rsid w:val="7EB8B4A3"/>
    <w:rsid w:val="7EBE6592"/>
    <w:rsid w:val="7EBF2709"/>
    <w:rsid w:val="7EC475FF"/>
    <w:rsid w:val="7ECD5F4C"/>
    <w:rsid w:val="7ECDEAEC"/>
    <w:rsid w:val="7ED31A46"/>
    <w:rsid w:val="7ED9835F"/>
    <w:rsid w:val="7EDF4C2A"/>
    <w:rsid w:val="7EED74D4"/>
    <w:rsid w:val="7EF01ED4"/>
    <w:rsid w:val="7EF482AE"/>
    <w:rsid w:val="7EF91DA9"/>
    <w:rsid w:val="7F04A63F"/>
    <w:rsid w:val="7F160909"/>
    <w:rsid w:val="7F195ACC"/>
    <w:rsid w:val="7F276C5B"/>
    <w:rsid w:val="7F2C46EC"/>
    <w:rsid w:val="7F33ED3B"/>
    <w:rsid w:val="7F3AF20D"/>
    <w:rsid w:val="7F3DC601"/>
    <w:rsid w:val="7F412AFF"/>
    <w:rsid w:val="7F426F3D"/>
    <w:rsid w:val="7F476FAC"/>
    <w:rsid w:val="7F4CB508"/>
    <w:rsid w:val="7F4CE0BC"/>
    <w:rsid w:val="7F54B239"/>
    <w:rsid w:val="7F6B4FC3"/>
    <w:rsid w:val="7F7FE86E"/>
    <w:rsid w:val="7F846634"/>
    <w:rsid w:val="7F880899"/>
    <w:rsid w:val="7F95F2D5"/>
    <w:rsid w:val="7F9BD44D"/>
    <w:rsid w:val="7F9BED6C"/>
    <w:rsid w:val="7F9D52F4"/>
    <w:rsid w:val="7FA165B5"/>
    <w:rsid w:val="7FA188CE"/>
    <w:rsid w:val="7FAADB3F"/>
    <w:rsid w:val="7FC49836"/>
    <w:rsid w:val="7FD1EF64"/>
    <w:rsid w:val="7FD60624"/>
    <w:rsid w:val="7FD62EFF"/>
    <w:rsid w:val="7FD6AD7E"/>
    <w:rsid w:val="7FD8D7AB"/>
    <w:rsid w:val="7FE26EDA"/>
    <w:rsid w:val="7FEAE8AD"/>
    <w:rsid w:val="7FF968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8E2A474"/>
  <w15:chartTrackingRefBased/>
  <w15:docId w15:val="{F8DF7D01-5341-4D47-8BB4-1EF5401DC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sq"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F6D"/>
    <w:rPr>
      <w:rFonts w:ascii="Times New Roman" w:eastAsia="Times New Roman" w:hAnsi="Times New Roman" w:cs="Times New Roman"/>
    </w:rPr>
  </w:style>
  <w:style w:type="paragraph" w:styleId="Heading1">
    <w:name w:val="heading 1"/>
    <w:basedOn w:val="Normal"/>
    <w:next w:val="Normal"/>
    <w:link w:val="Heading1Char"/>
    <w:uiPriority w:val="9"/>
    <w:qFormat/>
    <w:rsid w:val="00097343"/>
    <w:pPr>
      <w:keepNext/>
      <w:numPr>
        <w:numId w:val="1"/>
      </w:numPr>
      <w:spacing w:before="360" w:after="240"/>
      <w:jc w:val="both"/>
      <w:outlineLvl w:val="0"/>
    </w:pPr>
    <w:rPr>
      <w:rFonts w:ascii="Arial Narrow" w:eastAsiaTheme="majorEastAsia" w:hAnsi="Arial Narrow" w:cstheme="majorBidi"/>
      <w:b/>
      <w:bCs/>
      <w:caps/>
      <w:color w:val="002060"/>
      <w:spacing w:val="20"/>
      <w:sz w:val="28"/>
      <w:szCs w:val="28"/>
    </w:rPr>
  </w:style>
  <w:style w:type="paragraph" w:styleId="Heading2">
    <w:name w:val="heading 2"/>
    <w:basedOn w:val="Normal"/>
    <w:next w:val="Normal"/>
    <w:link w:val="Heading2Char"/>
    <w:uiPriority w:val="9"/>
    <w:qFormat/>
    <w:rsid w:val="002254E8"/>
    <w:pPr>
      <w:keepNext/>
      <w:numPr>
        <w:ilvl w:val="1"/>
        <w:numId w:val="1"/>
      </w:numPr>
      <w:spacing w:before="240" w:after="120"/>
      <w:jc w:val="both"/>
      <w:outlineLvl w:val="1"/>
    </w:pPr>
    <w:rPr>
      <w:rFonts w:ascii="Arial Narrow" w:eastAsiaTheme="majorEastAsia" w:hAnsi="Arial Narrow" w:cstheme="majorBidi"/>
      <w:b/>
      <w:bCs/>
      <w:color w:val="002060"/>
    </w:rPr>
  </w:style>
  <w:style w:type="paragraph" w:styleId="Heading3">
    <w:name w:val="heading 3"/>
    <w:basedOn w:val="Normal"/>
    <w:next w:val="Normal"/>
    <w:link w:val="Heading3Char"/>
    <w:uiPriority w:val="9"/>
    <w:qFormat/>
    <w:rsid w:val="002254E8"/>
    <w:pPr>
      <w:keepNext/>
      <w:numPr>
        <w:ilvl w:val="2"/>
        <w:numId w:val="1"/>
      </w:numPr>
      <w:spacing w:before="240" w:after="120"/>
      <w:jc w:val="both"/>
      <w:outlineLvl w:val="2"/>
    </w:pPr>
    <w:rPr>
      <w:rFonts w:ascii="Arial Narrow" w:eastAsiaTheme="majorEastAsia" w:hAnsi="Arial Narrow" w:cstheme="majorBidi"/>
      <w:b/>
      <w:bCs/>
      <w:color w:val="002060"/>
      <w:sz w:val="22"/>
      <w:szCs w:val="22"/>
    </w:rPr>
  </w:style>
  <w:style w:type="paragraph" w:styleId="Heading4">
    <w:name w:val="heading 4"/>
    <w:basedOn w:val="Normal"/>
    <w:next w:val="Normal"/>
    <w:link w:val="Heading4Char"/>
    <w:uiPriority w:val="9"/>
    <w:qFormat/>
    <w:rsid w:val="003B6A62"/>
    <w:pPr>
      <w:keepNext/>
      <w:numPr>
        <w:ilvl w:val="3"/>
        <w:numId w:val="6"/>
      </w:numPr>
      <w:spacing w:before="240" w:after="120"/>
      <w:ind w:left="1134" w:hanging="1134"/>
      <w:jc w:val="both"/>
      <w:outlineLvl w:val="3"/>
    </w:pPr>
    <w:rPr>
      <w:rFonts w:ascii="Arial Narrow" w:eastAsiaTheme="majorEastAsia" w:hAnsi="Arial Narrow" w:cstheme="majorBidi"/>
      <w:b/>
      <w:bCs/>
      <w:color w:val="002060"/>
      <w:sz w:val="22"/>
      <w:szCs w:val="22"/>
    </w:rPr>
  </w:style>
  <w:style w:type="paragraph" w:styleId="Heading5">
    <w:name w:val="heading 5"/>
    <w:basedOn w:val="Normal"/>
    <w:next w:val="Normal"/>
    <w:link w:val="Heading5Char"/>
    <w:uiPriority w:val="9"/>
    <w:unhideWhenUsed/>
    <w:qFormat/>
    <w:rsid w:val="1FE87DB8"/>
    <w:pPr>
      <w:keepNext/>
      <w:spacing w:before="40"/>
      <w:jc w:val="both"/>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31583D7B"/>
    <w:pPr>
      <w:keepNext/>
      <w:spacing w:before="40"/>
      <w:jc w:val="both"/>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1FE87DB8"/>
    <w:pPr>
      <w:keepNext/>
      <w:spacing w:before="40"/>
      <w:jc w:val="both"/>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1FE87DB8"/>
    <w:pPr>
      <w:keepNext/>
      <w:spacing w:before="40"/>
      <w:jc w:val="both"/>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1FE87DB8"/>
    <w:pPr>
      <w:keepNext/>
      <w:spacing w:before="40"/>
      <w:jc w:val="both"/>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343"/>
    <w:rPr>
      <w:rFonts w:ascii="Arial Narrow" w:eastAsiaTheme="majorEastAsia" w:hAnsi="Arial Narrow" w:cstheme="majorBidi"/>
      <w:b/>
      <w:bCs/>
      <w:caps/>
      <w:color w:val="002060"/>
      <w:spacing w:val="20"/>
      <w:sz w:val="28"/>
      <w:szCs w:val="28"/>
    </w:rPr>
  </w:style>
  <w:style w:type="character" w:customStyle="1" w:styleId="Heading2Char">
    <w:name w:val="Heading 2 Char"/>
    <w:basedOn w:val="DefaultParagraphFont"/>
    <w:link w:val="Heading2"/>
    <w:uiPriority w:val="9"/>
    <w:rsid w:val="002254E8"/>
    <w:rPr>
      <w:rFonts w:ascii="Arial Narrow" w:eastAsiaTheme="majorEastAsia" w:hAnsi="Arial Narrow" w:cstheme="majorBidi"/>
      <w:b/>
      <w:bCs/>
      <w:color w:val="002060"/>
    </w:rPr>
  </w:style>
  <w:style w:type="character" w:customStyle="1" w:styleId="Heading3Char">
    <w:name w:val="Heading 3 Char"/>
    <w:basedOn w:val="DefaultParagraphFont"/>
    <w:link w:val="Heading3"/>
    <w:uiPriority w:val="9"/>
    <w:rsid w:val="002254E8"/>
    <w:rPr>
      <w:rFonts w:ascii="Arial Narrow" w:eastAsiaTheme="majorEastAsia" w:hAnsi="Arial Narrow" w:cstheme="majorBidi"/>
      <w:b/>
      <w:bCs/>
      <w:color w:val="002060"/>
      <w:sz w:val="22"/>
      <w:szCs w:val="22"/>
      <w:lang w:val="sq"/>
    </w:rPr>
  </w:style>
  <w:style w:type="character" w:customStyle="1" w:styleId="Heading4Char">
    <w:name w:val="Heading 4 Char"/>
    <w:basedOn w:val="DefaultParagraphFont"/>
    <w:link w:val="Heading4"/>
    <w:uiPriority w:val="9"/>
    <w:rsid w:val="003B6A62"/>
    <w:rPr>
      <w:rFonts w:ascii="Arial Narrow" w:eastAsiaTheme="majorEastAsia" w:hAnsi="Arial Narrow" w:cstheme="majorBidi"/>
      <w:b/>
      <w:bCs/>
      <w:color w:val="002060"/>
      <w:sz w:val="22"/>
      <w:szCs w:val="22"/>
    </w:rPr>
  </w:style>
  <w:style w:type="paragraph" w:styleId="NormalWeb">
    <w:name w:val="Normal (Web)"/>
    <w:aliases w:val="Char Char"/>
    <w:basedOn w:val="Normal"/>
    <w:link w:val="NormalWebChar"/>
    <w:uiPriority w:val="99"/>
    <w:unhideWhenUsed/>
    <w:qFormat/>
    <w:rsid w:val="31583D7B"/>
    <w:pPr>
      <w:spacing w:beforeAutospacing="1" w:afterAutospacing="1"/>
      <w:jc w:val="both"/>
    </w:pPr>
    <w:rPr>
      <w:lang w:eastAsia="en-GB"/>
    </w:rPr>
  </w:style>
  <w:style w:type="paragraph" w:customStyle="1" w:styleId="Appendix">
    <w:name w:val="Appendix"/>
    <w:basedOn w:val="Heading6"/>
    <w:link w:val="AppendixChar"/>
    <w:uiPriority w:val="1"/>
    <w:qFormat/>
    <w:rsid w:val="31583D7B"/>
    <w:pPr>
      <w:spacing w:line="276" w:lineRule="auto"/>
    </w:pPr>
    <w:rPr>
      <w:rFonts w:ascii="Calibri" w:eastAsia="Times New Roman" w:hAnsi="Calibri" w:cs="Calibri"/>
      <w:b/>
      <w:bCs/>
      <w:color w:val="70AD47" w:themeColor="accent6"/>
      <w:sz w:val="32"/>
      <w:szCs w:val="32"/>
      <w:lang w:eastAsia="en-GB"/>
    </w:rPr>
  </w:style>
  <w:style w:type="character" w:customStyle="1" w:styleId="AppendixChar">
    <w:name w:val="Appendix Char"/>
    <w:basedOn w:val="Heading6Char"/>
    <w:link w:val="Appendix"/>
    <w:uiPriority w:val="1"/>
    <w:rsid w:val="00A62AA3"/>
    <w:rPr>
      <w:rFonts w:ascii="Calibri" w:eastAsia="Times New Roman" w:hAnsi="Calibri" w:cs="Calibri"/>
      <w:b/>
      <w:bCs/>
      <w:color w:val="70AD47" w:themeColor="accent6"/>
      <w:sz w:val="32"/>
      <w:szCs w:val="32"/>
      <w:lang w:val="sq" w:eastAsia="en-GB"/>
    </w:rPr>
  </w:style>
  <w:style w:type="character" w:customStyle="1" w:styleId="Heading6Char">
    <w:name w:val="Heading 6 Char"/>
    <w:basedOn w:val="DefaultParagraphFont"/>
    <w:link w:val="Heading6"/>
    <w:uiPriority w:val="9"/>
    <w:semiHidden/>
    <w:rsid w:val="00A62AA3"/>
    <w:rPr>
      <w:rFonts w:asciiTheme="majorHAnsi" w:eastAsiaTheme="majorEastAsia" w:hAnsiTheme="majorHAnsi" w:cstheme="majorBidi"/>
      <w:color w:val="1F3763"/>
      <w:lang w:val="sq"/>
    </w:rPr>
  </w:style>
  <w:style w:type="paragraph" w:styleId="Header">
    <w:name w:val="header"/>
    <w:basedOn w:val="Normal"/>
    <w:link w:val="HeaderChar"/>
    <w:uiPriority w:val="99"/>
    <w:unhideWhenUsed/>
    <w:rsid w:val="00933BCE"/>
    <w:pPr>
      <w:tabs>
        <w:tab w:val="center" w:pos="4513"/>
        <w:tab w:val="right" w:pos="9026"/>
      </w:tabs>
      <w:jc w:val="both"/>
    </w:pPr>
    <w:rPr>
      <w:rFonts w:ascii="Arial Narrow" w:eastAsiaTheme="minorHAnsi" w:hAnsi="Arial Narrow" w:cstheme="minorBidi"/>
    </w:rPr>
  </w:style>
  <w:style w:type="character" w:customStyle="1" w:styleId="HeaderChar">
    <w:name w:val="Header Char"/>
    <w:basedOn w:val="DefaultParagraphFont"/>
    <w:link w:val="Header"/>
    <w:uiPriority w:val="99"/>
    <w:rsid w:val="00933BCE"/>
  </w:style>
  <w:style w:type="paragraph" w:styleId="Footer">
    <w:name w:val="footer"/>
    <w:basedOn w:val="Normal"/>
    <w:link w:val="FooterChar"/>
    <w:uiPriority w:val="99"/>
    <w:unhideWhenUsed/>
    <w:rsid w:val="00933BCE"/>
    <w:pPr>
      <w:tabs>
        <w:tab w:val="center" w:pos="4513"/>
        <w:tab w:val="right" w:pos="9026"/>
      </w:tabs>
      <w:jc w:val="both"/>
    </w:pPr>
    <w:rPr>
      <w:rFonts w:ascii="Arial Narrow" w:eastAsiaTheme="minorHAnsi" w:hAnsi="Arial Narrow" w:cstheme="minorBidi"/>
    </w:rPr>
  </w:style>
  <w:style w:type="character" w:customStyle="1" w:styleId="FooterChar">
    <w:name w:val="Footer Char"/>
    <w:basedOn w:val="DefaultParagraphFont"/>
    <w:link w:val="Footer"/>
    <w:uiPriority w:val="99"/>
    <w:rsid w:val="00933BCE"/>
  </w:style>
  <w:style w:type="paragraph" w:customStyle="1" w:styleId="Paragraph">
    <w:name w:val="Paragraph"/>
    <w:basedOn w:val="Normal"/>
    <w:link w:val="ParagraphZchn"/>
    <w:uiPriority w:val="1"/>
    <w:qFormat/>
    <w:rsid w:val="00614059"/>
    <w:pPr>
      <w:spacing w:after="120"/>
      <w:jc w:val="both"/>
    </w:pPr>
    <w:rPr>
      <w:rFonts w:ascii="Arial Narrow" w:hAnsi="Arial Narrow"/>
      <w:color w:val="000000" w:themeColor="text1"/>
      <w:sz w:val="22"/>
      <w:szCs w:val="22"/>
    </w:rPr>
  </w:style>
  <w:style w:type="character" w:customStyle="1" w:styleId="ParagraphZchn">
    <w:name w:val="Paragraph Zchn"/>
    <w:basedOn w:val="DefaultParagraphFont"/>
    <w:link w:val="Paragraph"/>
    <w:uiPriority w:val="1"/>
    <w:rsid w:val="00614059"/>
    <w:rPr>
      <w:rFonts w:ascii="Arial Narrow" w:eastAsia="Times New Roman" w:hAnsi="Arial Narrow" w:cs="Times New Roman"/>
      <w:color w:val="000000" w:themeColor="text1"/>
      <w:sz w:val="22"/>
      <w:szCs w:val="22"/>
      <w:lang w:val="sq"/>
    </w:rPr>
  </w:style>
  <w:style w:type="paragraph" w:styleId="TOCHeading">
    <w:name w:val="TOC Heading"/>
    <w:basedOn w:val="Heading1"/>
    <w:next w:val="Normal"/>
    <w:uiPriority w:val="39"/>
    <w:unhideWhenUsed/>
    <w:qFormat/>
    <w:rsid w:val="31583D7B"/>
    <w:pPr>
      <w:spacing w:line="259" w:lineRule="auto"/>
    </w:pPr>
    <w:rPr>
      <w:rFonts w:asciiTheme="majorHAnsi" w:hAnsiTheme="majorHAnsi"/>
      <w:b w:val="0"/>
      <w:bCs w:val="0"/>
      <w:color w:val="2F5496" w:themeColor="accent1" w:themeShade="BF"/>
    </w:rPr>
  </w:style>
  <w:style w:type="paragraph" w:styleId="TOC1">
    <w:name w:val="toc 1"/>
    <w:basedOn w:val="Normal"/>
    <w:next w:val="Normal"/>
    <w:uiPriority w:val="39"/>
    <w:unhideWhenUsed/>
    <w:rsid w:val="0092718F"/>
    <w:pPr>
      <w:spacing w:before="80"/>
      <w:ind w:left="1134" w:hanging="1134"/>
    </w:pPr>
    <w:rPr>
      <w:rFonts w:ascii="Arial Narrow" w:eastAsiaTheme="minorHAnsi" w:hAnsi="Arial Narrow" w:cstheme="minorHAnsi"/>
      <w:b/>
      <w:bCs/>
      <w:caps/>
      <w:color w:val="002060"/>
      <w:sz w:val="20"/>
      <w:szCs w:val="20"/>
    </w:rPr>
  </w:style>
  <w:style w:type="paragraph" w:styleId="TOC2">
    <w:name w:val="toc 2"/>
    <w:basedOn w:val="Normal"/>
    <w:next w:val="Normal"/>
    <w:uiPriority w:val="39"/>
    <w:unhideWhenUsed/>
    <w:rsid w:val="0092718F"/>
    <w:pPr>
      <w:ind w:left="1134" w:hanging="1134"/>
    </w:pPr>
    <w:rPr>
      <w:rFonts w:ascii="Arial Narrow" w:eastAsiaTheme="minorHAnsi" w:hAnsi="Arial Narrow" w:cstheme="minorHAnsi"/>
      <w:sz w:val="20"/>
      <w:szCs w:val="20"/>
    </w:rPr>
  </w:style>
  <w:style w:type="paragraph" w:styleId="TOC3">
    <w:name w:val="toc 3"/>
    <w:basedOn w:val="Normal"/>
    <w:next w:val="Normal"/>
    <w:uiPriority w:val="39"/>
    <w:unhideWhenUsed/>
    <w:rsid w:val="0092718F"/>
    <w:pPr>
      <w:ind w:left="1134" w:hanging="1134"/>
    </w:pPr>
    <w:rPr>
      <w:rFonts w:ascii="Arial Narrow" w:eastAsiaTheme="minorHAnsi" w:hAnsi="Arial Narrow" w:cstheme="minorHAnsi"/>
      <w:iCs/>
      <w:sz w:val="20"/>
      <w:szCs w:val="20"/>
    </w:rPr>
  </w:style>
  <w:style w:type="character" w:styleId="Hyperlink">
    <w:name w:val="Hyperlink"/>
    <w:basedOn w:val="DefaultParagraphFont"/>
    <w:uiPriority w:val="99"/>
    <w:unhideWhenUsed/>
    <w:rsid w:val="002A7080"/>
    <w:rPr>
      <w:color w:val="0563C1" w:themeColor="hyperlink"/>
      <w:u w:val="single"/>
    </w:rPr>
  </w:style>
  <w:style w:type="table" w:customStyle="1" w:styleId="TableGrid4">
    <w:name w:val="Table Grid4"/>
    <w:basedOn w:val="TableNormal"/>
    <w:next w:val="TableGrid"/>
    <w:uiPriority w:val="39"/>
    <w:rsid w:val="00716346"/>
    <w:rPr>
      <w:rFonts w:eastAsia="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163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Bullet 1,Heading 2_sj,Ha,l"/>
    <w:basedOn w:val="Normal"/>
    <w:link w:val="ListParagraphChar"/>
    <w:uiPriority w:val="34"/>
    <w:qFormat/>
    <w:rsid w:val="00363BB9"/>
    <w:pPr>
      <w:ind w:left="720"/>
      <w:contextualSpacing/>
      <w:jc w:val="both"/>
    </w:pPr>
    <w:rPr>
      <w:rFonts w:ascii="Arial Narrow" w:eastAsiaTheme="minorHAnsi" w:hAnsi="Arial Narrow" w:cstheme="minorBidi"/>
    </w:rPr>
  </w:style>
  <w:style w:type="character" w:styleId="CommentReference">
    <w:name w:val="annotation reference"/>
    <w:basedOn w:val="DefaultParagraphFont"/>
    <w:uiPriority w:val="99"/>
    <w:semiHidden/>
    <w:unhideWhenUsed/>
    <w:rsid w:val="00474C07"/>
    <w:rPr>
      <w:sz w:val="16"/>
      <w:szCs w:val="16"/>
    </w:rPr>
  </w:style>
  <w:style w:type="paragraph" w:styleId="CommentText">
    <w:name w:val="annotation text"/>
    <w:basedOn w:val="Normal"/>
    <w:link w:val="CommentTextChar"/>
    <w:uiPriority w:val="99"/>
    <w:unhideWhenUsed/>
    <w:rsid w:val="00474C07"/>
    <w:pPr>
      <w:jc w:val="both"/>
    </w:pPr>
    <w:rPr>
      <w:rFonts w:ascii="Arial Narrow" w:eastAsiaTheme="minorHAnsi" w:hAnsi="Arial Narrow" w:cstheme="minorBidi"/>
      <w:sz w:val="20"/>
      <w:szCs w:val="20"/>
    </w:rPr>
  </w:style>
  <w:style w:type="character" w:customStyle="1" w:styleId="CommentTextChar">
    <w:name w:val="Comment Text Char"/>
    <w:basedOn w:val="DefaultParagraphFont"/>
    <w:link w:val="CommentText"/>
    <w:uiPriority w:val="99"/>
    <w:rsid w:val="00474C07"/>
    <w:rPr>
      <w:sz w:val="20"/>
      <w:szCs w:val="20"/>
    </w:rPr>
  </w:style>
  <w:style w:type="paragraph" w:styleId="CommentSubject">
    <w:name w:val="annotation subject"/>
    <w:basedOn w:val="CommentText"/>
    <w:next w:val="CommentText"/>
    <w:link w:val="CommentSubjectChar"/>
    <w:uiPriority w:val="99"/>
    <w:semiHidden/>
    <w:unhideWhenUsed/>
    <w:rsid w:val="00474C07"/>
    <w:rPr>
      <w:b/>
      <w:bCs/>
    </w:rPr>
  </w:style>
  <w:style w:type="character" w:customStyle="1" w:styleId="CommentSubjectChar">
    <w:name w:val="Comment Subject Char"/>
    <w:basedOn w:val="CommentTextChar"/>
    <w:link w:val="CommentSubject"/>
    <w:uiPriority w:val="99"/>
    <w:semiHidden/>
    <w:rsid w:val="00474C07"/>
    <w:rPr>
      <w:b/>
      <w:bCs/>
      <w:sz w:val="20"/>
      <w:szCs w:val="20"/>
    </w:rPr>
  </w:style>
  <w:style w:type="character" w:styleId="FootnoteReference">
    <w:name w:val="footnote reference"/>
    <w:aliases w:val="4_G,4_GR,16 Point,Superscript 6 Point,Superscript 6 Point + 11 pt"/>
    <w:basedOn w:val="DefaultParagraphFont"/>
    <w:uiPriority w:val="99"/>
    <w:rsid w:val="003E3922"/>
    <w:rPr>
      <w:rFonts w:ascii="Arial" w:hAnsi="Arial"/>
      <w:color w:val="4472C4" w:themeColor="accent1"/>
      <w:position w:val="6"/>
      <w:sz w:val="16"/>
    </w:rPr>
  </w:style>
  <w:style w:type="paragraph" w:styleId="FootnoteText">
    <w:name w:val="footnote text"/>
    <w:aliases w:val="Footnote Text Char Char Char,Footnote Text Char Char,Footnote Text Char1,Footnote Text Char Char1,Footnote Text Char1 Char Char,Footnote Text Char Char1 Char Char,Footnote Text Char Char Char Char Char Char,DTE-Voetnoottekst,Fußnotentextf"/>
    <w:basedOn w:val="Normal"/>
    <w:link w:val="FootnoteTextChar"/>
    <w:uiPriority w:val="99"/>
    <w:rsid w:val="00E0716F"/>
    <w:pPr>
      <w:ind w:left="284" w:hanging="284"/>
    </w:pPr>
    <w:rPr>
      <w:rFonts w:ascii="Arial Narrow" w:hAnsi="Arial Narrow"/>
      <w:sz w:val="16"/>
      <w:szCs w:val="16"/>
    </w:rPr>
  </w:style>
  <w:style w:type="character" w:customStyle="1" w:styleId="FootnoteTextChar">
    <w:name w:val="Footnote Text Char"/>
    <w:aliases w:val="Footnote Text Char Char Char Char,Footnote Text Char Char Char1,Footnote Text Char1 Char,Footnote Text Char Char1 Char,Footnote Text Char1 Char Char Char,Footnote Text Char Char1 Char Char Char,DTE-Voetnoottekst Char"/>
    <w:basedOn w:val="DefaultParagraphFont"/>
    <w:link w:val="FootnoteText"/>
    <w:uiPriority w:val="99"/>
    <w:rsid w:val="00E0716F"/>
    <w:rPr>
      <w:rFonts w:ascii="Arial Narrow" w:eastAsia="Times New Roman" w:hAnsi="Arial Narrow" w:cs="Times New Roman"/>
      <w:sz w:val="16"/>
      <w:szCs w:val="16"/>
    </w:rPr>
  </w:style>
  <w:style w:type="paragraph" w:customStyle="1" w:styleId="Number">
    <w:name w:val="Number"/>
    <w:basedOn w:val="Paragraph"/>
    <w:link w:val="NumberZchn"/>
    <w:uiPriority w:val="1"/>
    <w:qFormat/>
    <w:rsid w:val="25D034DA"/>
    <w:pPr>
      <w:numPr>
        <w:numId w:val="2"/>
      </w:numPr>
      <w:spacing w:before="60" w:after="60"/>
      <w:ind w:left="1135" w:hanging="284"/>
    </w:pPr>
  </w:style>
  <w:style w:type="character" w:customStyle="1" w:styleId="NumberZchn">
    <w:name w:val="Number Zchn"/>
    <w:basedOn w:val="ParagraphZchn"/>
    <w:link w:val="Number"/>
    <w:uiPriority w:val="1"/>
    <w:rsid w:val="003E3922"/>
    <w:rPr>
      <w:rFonts w:ascii="Arial Narrow" w:eastAsia="Times New Roman" w:hAnsi="Arial Narrow" w:cs="Times New Roman"/>
      <w:color w:val="000000" w:themeColor="text1"/>
      <w:sz w:val="22"/>
      <w:szCs w:val="22"/>
      <w:lang w:val="sq"/>
    </w:rPr>
  </w:style>
  <w:style w:type="character" w:customStyle="1" w:styleId="UnresolvedMention1">
    <w:name w:val="Unresolved Mention1"/>
    <w:basedOn w:val="DefaultParagraphFont"/>
    <w:uiPriority w:val="99"/>
    <w:semiHidden/>
    <w:unhideWhenUsed/>
    <w:rsid w:val="00B6678C"/>
    <w:rPr>
      <w:color w:val="605E5C"/>
      <w:shd w:val="clear" w:color="auto" w:fill="E1DFDD"/>
    </w:rPr>
  </w:style>
  <w:style w:type="table" w:customStyle="1" w:styleId="GFA-Blue">
    <w:name w:val="GFA-Blue"/>
    <w:basedOn w:val="TableNormal"/>
    <w:uiPriority w:val="99"/>
    <w:unhideWhenUsed/>
    <w:rsid w:val="007A423B"/>
    <w:rPr>
      <w:rFonts w:ascii="Segoe UI" w:eastAsia="Times New Roman" w:hAnsi="Segoe UI" w:cs="Times New Roman"/>
      <w:w w:val="90"/>
      <w:sz w:val="17"/>
      <w:szCs w:val="21"/>
      <w:lang w:eastAsia="de-DE"/>
    </w:rPr>
    <w:tblPr>
      <w:tblStyleRowBandSize w:val="1"/>
      <w:tblStyleColBandSize w:val="1"/>
      <w:tblBorders>
        <w:bottom w:val="single" w:sz="18" w:space="0" w:color="44546A" w:themeColor="text2"/>
        <w:insideH w:val="single" w:sz="4" w:space="0" w:color="44546A" w:themeColor="text2"/>
        <w:insideV w:val="single" w:sz="4" w:space="0" w:color="44546A" w:themeColor="text2"/>
      </w:tblBorders>
      <w:tblCellMar>
        <w:top w:w="57" w:type="dxa"/>
        <w:left w:w="57" w:type="dxa"/>
        <w:bottom w:w="57" w:type="dxa"/>
        <w:right w:w="57" w:type="dxa"/>
      </w:tblCellMar>
    </w:tblPr>
    <w:tcPr>
      <w:shd w:val="clear" w:color="auto" w:fill="auto"/>
    </w:tcPr>
    <w:tblStylePr w:type="firstRow">
      <w:rPr>
        <w:b/>
        <w:caps/>
        <w:smallCaps w:val="0"/>
        <w:color w:val="FFFFFF" w:themeColor="background1"/>
      </w:rPr>
      <w:tblPr/>
      <w:tcPr>
        <w:tcBorders>
          <w:insideV w:val="single" w:sz="4" w:space="0" w:color="FFFFFF" w:themeColor="background1"/>
        </w:tcBorders>
        <w:shd w:val="clear" w:color="auto" w:fill="44546A" w:themeFill="text2"/>
      </w:tcPr>
    </w:tblStylePr>
    <w:tblStylePr w:type="lastRow">
      <w:rPr>
        <w:b/>
        <w:color w:val="auto"/>
      </w:rPr>
      <w:tblPr/>
      <w:tcPr>
        <w:shd w:val="clear" w:color="auto" w:fill="E4EDF8"/>
      </w:tcPr>
    </w:tblStylePr>
    <w:tblStylePr w:type="firstCol">
      <w:rPr>
        <w:b w:val="0"/>
      </w:rPr>
      <w:tblPr/>
      <w:tcPr>
        <w:shd w:val="clear" w:color="auto" w:fill="E4EDF8"/>
      </w:tcPr>
    </w:tblStylePr>
    <w:tblStylePr w:type="lastCol">
      <w:rPr>
        <w:b/>
      </w:rPr>
      <w:tblPr/>
      <w:tcPr>
        <w:shd w:val="clear" w:color="auto" w:fill="E4EDF8"/>
      </w:tcPr>
    </w:tblStylePr>
    <w:tblStylePr w:type="band2Vert">
      <w:tblPr/>
      <w:tcPr>
        <w:shd w:val="clear" w:color="auto" w:fill="F2F7FC"/>
      </w:tcPr>
    </w:tblStylePr>
    <w:tblStylePr w:type="band2Horz">
      <w:tblPr/>
      <w:tcPr>
        <w:shd w:val="clear" w:color="auto" w:fill="F2F7FC"/>
      </w:tcPr>
    </w:tblStylePr>
  </w:style>
  <w:style w:type="paragraph" w:styleId="Caption">
    <w:name w:val="caption"/>
    <w:basedOn w:val="Normal"/>
    <w:next w:val="Normal"/>
    <w:uiPriority w:val="35"/>
    <w:unhideWhenUsed/>
    <w:qFormat/>
    <w:rsid w:val="009C59D5"/>
    <w:pPr>
      <w:spacing w:after="200"/>
      <w:jc w:val="both"/>
    </w:pPr>
    <w:rPr>
      <w:rFonts w:ascii="Arial Narrow" w:eastAsiaTheme="minorHAnsi" w:hAnsi="Arial Narrow" w:cstheme="minorBidi"/>
      <w:i/>
      <w:iCs/>
      <w:color w:val="44546A" w:themeColor="text2"/>
      <w:sz w:val="18"/>
      <w:szCs w:val="18"/>
    </w:rPr>
  </w:style>
  <w:style w:type="paragraph" w:styleId="Revision">
    <w:name w:val="Revision"/>
    <w:hidden/>
    <w:uiPriority w:val="99"/>
    <w:semiHidden/>
    <w:rsid w:val="0068355B"/>
    <w:rPr>
      <w:rFonts w:ascii="Arial Narrow" w:hAnsi="Arial Narrow"/>
    </w:r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emiHidden/>
    <w:rPr>
      <w:sz w:val="20"/>
      <w:szCs w:val="20"/>
    </w:rPr>
  </w:style>
  <w:style w:type="paragraph" w:styleId="EndnoteText">
    <w:name w:val="endnote text"/>
    <w:basedOn w:val="Normal"/>
    <w:link w:val="EndnoteTextChar"/>
    <w:uiPriority w:val="99"/>
    <w:semiHidden/>
    <w:unhideWhenUsed/>
    <w:rPr>
      <w:sz w:val="20"/>
      <w:szCs w:val="20"/>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Ha Char"/>
    <w:basedOn w:val="DefaultParagraphFont"/>
    <w:link w:val="ListParagraph"/>
    <w:uiPriority w:val="34"/>
    <w:qFormat/>
    <w:rsid w:val="00AB52BA"/>
    <w:rPr>
      <w:rFonts w:ascii="Arial Narrow" w:hAnsi="Arial Narrow"/>
    </w:rPr>
  </w:style>
  <w:style w:type="character" w:customStyle="1" w:styleId="Heading5Char">
    <w:name w:val="Heading 5 Char"/>
    <w:basedOn w:val="DefaultParagraphFont"/>
    <w:link w:val="Heading5"/>
    <w:uiPriority w:val="9"/>
    <w:rsid w:val="009D77C0"/>
    <w:rPr>
      <w:rFonts w:asciiTheme="majorHAnsi" w:eastAsiaTheme="majorEastAsia" w:hAnsiTheme="majorHAnsi" w:cstheme="majorBidi"/>
      <w:color w:val="2F5496" w:themeColor="accent1" w:themeShade="BF"/>
      <w:lang w:val="sq"/>
    </w:rPr>
  </w:style>
  <w:style w:type="character" w:customStyle="1" w:styleId="Heading7Char">
    <w:name w:val="Heading 7 Char"/>
    <w:basedOn w:val="DefaultParagraphFont"/>
    <w:link w:val="Heading7"/>
    <w:uiPriority w:val="9"/>
    <w:rsid w:val="009D77C0"/>
    <w:rPr>
      <w:rFonts w:asciiTheme="majorHAnsi" w:eastAsiaTheme="majorEastAsia" w:hAnsiTheme="majorHAnsi" w:cstheme="majorBidi"/>
      <w:i/>
      <w:iCs/>
      <w:color w:val="1F3763"/>
      <w:lang w:val="sq"/>
    </w:rPr>
  </w:style>
  <w:style w:type="character" w:customStyle="1" w:styleId="Heading8Char">
    <w:name w:val="Heading 8 Char"/>
    <w:basedOn w:val="DefaultParagraphFont"/>
    <w:link w:val="Heading8"/>
    <w:uiPriority w:val="9"/>
    <w:rsid w:val="009D77C0"/>
    <w:rPr>
      <w:rFonts w:asciiTheme="majorHAnsi" w:eastAsiaTheme="majorEastAsia" w:hAnsiTheme="majorHAnsi" w:cstheme="majorBidi"/>
      <w:color w:val="272727"/>
      <w:sz w:val="21"/>
      <w:szCs w:val="21"/>
      <w:lang w:val="sq"/>
    </w:rPr>
  </w:style>
  <w:style w:type="character" w:customStyle="1" w:styleId="Heading9Char">
    <w:name w:val="Heading 9 Char"/>
    <w:basedOn w:val="DefaultParagraphFont"/>
    <w:link w:val="Heading9"/>
    <w:uiPriority w:val="9"/>
    <w:rsid w:val="009D77C0"/>
    <w:rPr>
      <w:rFonts w:asciiTheme="majorHAnsi" w:eastAsiaTheme="majorEastAsia" w:hAnsiTheme="majorHAnsi" w:cstheme="majorBidi"/>
      <w:i/>
      <w:iCs/>
      <w:color w:val="272727"/>
      <w:sz w:val="21"/>
      <w:szCs w:val="21"/>
      <w:lang w:val="sq"/>
    </w:rPr>
  </w:style>
  <w:style w:type="paragraph" w:styleId="Title">
    <w:name w:val="Title"/>
    <w:basedOn w:val="Normal"/>
    <w:next w:val="Normal"/>
    <w:link w:val="TitleChar"/>
    <w:uiPriority w:val="10"/>
    <w:qFormat/>
    <w:rsid w:val="1FE87DB8"/>
    <w:pPr>
      <w:contextualSpacing/>
      <w:jc w:val="both"/>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9D77C0"/>
    <w:rPr>
      <w:rFonts w:asciiTheme="majorHAnsi" w:eastAsiaTheme="majorEastAsia" w:hAnsiTheme="majorHAnsi" w:cstheme="majorBidi"/>
      <w:sz w:val="56"/>
      <w:szCs w:val="56"/>
      <w:lang w:val="sq"/>
    </w:rPr>
  </w:style>
  <w:style w:type="paragraph" w:styleId="Subtitle">
    <w:name w:val="Subtitle"/>
    <w:basedOn w:val="Normal"/>
    <w:next w:val="Normal"/>
    <w:link w:val="SubtitleChar"/>
    <w:uiPriority w:val="11"/>
    <w:qFormat/>
    <w:rsid w:val="009D77C0"/>
    <w:pPr>
      <w:jc w:val="both"/>
    </w:pPr>
    <w:rPr>
      <w:rFonts w:ascii="Arial Narrow" w:eastAsiaTheme="minorEastAsia" w:hAnsi="Arial Narrow" w:cstheme="minorBidi"/>
      <w:color w:val="5A5A5A"/>
    </w:rPr>
  </w:style>
  <w:style w:type="character" w:customStyle="1" w:styleId="SubtitleChar">
    <w:name w:val="Subtitle Char"/>
    <w:basedOn w:val="DefaultParagraphFont"/>
    <w:link w:val="Subtitle"/>
    <w:uiPriority w:val="11"/>
    <w:rsid w:val="009D77C0"/>
    <w:rPr>
      <w:rFonts w:ascii="Arial Narrow" w:eastAsiaTheme="minorEastAsia" w:hAnsi="Arial Narrow"/>
      <w:color w:val="5A5A5A"/>
      <w:lang w:val="sq"/>
    </w:rPr>
  </w:style>
  <w:style w:type="paragraph" w:styleId="Quote">
    <w:name w:val="Quote"/>
    <w:basedOn w:val="Normal"/>
    <w:next w:val="Normal"/>
    <w:link w:val="QuoteChar"/>
    <w:uiPriority w:val="29"/>
    <w:qFormat/>
    <w:rsid w:val="009D77C0"/>
    <w:pPr>
      <w:spacing w:before="200"/>
      <w:ind w:left="864" w:right="864"/>
      <w:jc w:val="center"/>
    </w:pPr>
    <w:rPr>
      <w:rFonts w:ascii="Arial Narrow" w:eastAsiaTheme="minorHAnsi" w:hAnsi="Arial Narrow" w:cstheme="minorBidi"/>
      <w:i/>
      <w:iCs/>
      <w:color w:val="404040" w:themeColor="text1" w:themeTint="BF"/>
    </w:rPr>
  </w:style>
  <w:style w:type="character" w:customStyle="1" w:styleId="QuoteChar">
    <w:name w:val="Quote Char"/>
    <w:basedOn w:val="DefaultParagraphFont"/>
    <w:link w:val="Quote"/>
    <w:uiPriority w:val="29"/>
    <w:rsid w:val="009D77C0"/>
    <w:rPr>
      <w:rFonts w:ascii="Arial Narrow" w:hAnsi="Arial Narrow"/>
      <w:i/>
      <w:iCs/>
      <w:color w:val="404040" w:themeColor="text1" w:themeTint="BF"/>
      <w:lang w:val="sq"/>
    </w:rPr>
  </w:style>
  <w:style w:type="paragraph" w:styleId="IntenseQuote">
    <w:name w:val="Intense Quote"/>
    <w:basedOn w:val="Normal"/>
    <w:next w:val="Normal"/>
    <w:link w:val="IntenseQuoteChar"/>
    <w:uiPriority w:val="30"/>
    <w:qFormat/>
    <w:rsid w:val="009D77C0"/>
    <w:pPr>
      <w:spacing w:before="360" w:after="360"/>
      <w:ind w:left="864" w:right="864"/>
      <w:jc w:val="center"/>
    </w:pPr>
    <w:rPr>
      <w:rFonts w:ascii="Arial Narrow" w:eastAsiaTheme="minorHAnsi" w:hAnsi="Arial Narrow" w:cstheme="minorBidi"/>
      <w:i/>
      <w:iCs/>
      <w:color w:val="4472C4" w:themeColor="accent1"/>
    </w:rPr>
  </w:style>
  <w:style w:type="character" w:customStyle="1" w:styleId="IntenseQuoteChar">
    <w:name w:val="Intense Quote Char"/>
    <w:basedOn w:val="DefaultParagraphFont"/>
    <w:link w:val="IntenseQuote"/>
    <w:uiPriority w:val="30"/>
    <w:rsid w:val="009D77C0"/>
    <w:rPr>
      <w:rFonts w:ascii="Arial Narrow" w:hAnsi="Arial Narrow"/>
      <w:i/>
      <w:iCs/>
      <w:color w:val="4472C4" w:themeColor="accent1"/>
      <w:lang w:val="sq"/>
    </w:rPr>
  </w:style>
  <w:style w:type="paragraph" w:styleId="TOC4">
    <w:name w:val="toc 4"/>
    <w:basedOn w:val="Normal"/>
    <w:next w:val="Normal"/>
    <w:uiPriority w:val="39"/>
    <w:unhideWhenUsed/>
    <w:rsid w:val="0092718F"/>
    <w:pPr>
      <w:ind w:left="1134" w:hanging="1134"/>
    </w:pPr>
    <w:rPr>
      <w:rFonts w:ascii="Arial Narrow" w:eastAsiaTheme="minorHAnsi" w:hAnsi="Arial Narrow" w:cstheme="minorHAnsi"/>
      <w:sz w:val="18"/>
      <w:szCs w:val="18"/>
    </w:rPr>
  </w:style>
  <w:style w:type="paragraph" w:styleId="TOC5">
    <w:name w:val="toc 5"/>
    <w:basedOn w:val="Normal"/>
    <w:next w:val="Normal"/>
    <w:uiPriority w:val="39"/>
    <w:unhideWhenUsed/>
    <w:rsid w:val="006958EC"/>
    <w:pPr>
      <w:ind w:left="960"/>
    </w:pPr>
    <w:rPr>
      <w:rFonts w:asciiTheme="minorHAnsi" w:eastAsiaTheme="minorHAnsi" w:hAnsiTheme="minorHAnsi" w:cstheme="minorHAnsi"/>
      <w:sz w:val="18"/>
      <w:szCs w:val="18"/>
    </w:rPr>
  </w:style>
  <w:style w:type="paragraph" w:styleId="TOC6">
    <w:name w:val="toc 6"/>
    <w:basedOn w:val="Normal"/>
    <w:next w:val="Normal"/>
    <w:uiPriority w:val="39"/>
    <w:unhideWhenUsed/>
    <w:rsid w:val="006958EC"/>
    <w:pPr>
      <w:ind w:left="1200"/>
    </w:pPr>
    <w:rPr>
      <w:rFonts w:asciiTheme="minorHAnsi" w:eastAsiaTheme="minorHAnsi" w:hAnsiTheme="minorHAnsi" w:cstheme="minorHAnsi"/>
      <w:sz w:val="18"/>
      <w:szCs w:val="18"/>
    </w:rPr>
  </w:style>
  <w:style w:type="paragraph" w:styleId="TOC7">
    <w:name w:val="toc 7"/>
    <w:basedOn w:val="Normal"/>
    <w:next w:val="Normal"/>
    <w:uiPriority w:val="39"/>
    <w:unhideWhenUsed/>
    <w:rsid w:val="009D77C0"/>
    <w:pPr>
      <w:ind w:left="1440"/>
    </w:pPr>
    <w:rPr>
      <w:rFonts w:asciiTheme="minorHAnsi" w:eastAsiaTheme="minorHAnsi" w:hAnsiTheme="minorHAnsi" w:cstheme="minorHAnsi"/>
      <w:sz w:val="18"/>
      <w:szCs w:val="18"/>
    </w:rPr>
  </w:style>
  <w:style w:type="paragraph" w:styleId="TOC8">
    <w:name w:val="toc 8"/>
    <w:basedOn w:val="Normal"/>
    <w:next w:val="Normal"/>
    <w:uiPriority w:val="39"/>
    <w:unhideWhenUsed/>
    <w:rsid w:val="009D77C0"/>
    <w:pPr>
      <w:ind w:left="1680"/>
    </w:pPr>
    <w:rPr>
      <w:rFonts w:asciiTheme="minorHAnsi" w:eastAsiaTheme="minorHAnsi" w:hAnsiTheme="minorHAnsi" w:cstheme="minorHAnsi"/>
      <w:sz w:val="18"/>
      <w:szCs w:val="18"/>
    </w:rPr>
  </w:style>
  <w:style w:type="paragraph" w:styleId="TOC9">
    <w:name w:val="toc 9"/>
    <w:basedOn w:val="Normal"/>
    <w:next w:val="Normal"/>
    <w:uiPriority w:val="39"/>
    <w:unhideWhenUsed/>
    <w:rsid w:val="009D77C0"/>
    <w:pPr>
      <w:ind w:left="1920"/>
    </w:pPr>
    <w:rPr>
      <w:rFonts w:asciiTheme="minorHAnsi" w:eastAsiaTheme="minorHAnsi" w:hAnsiTheme="minorHAnsi" w:cstheme="minorHAnsi"/>
      <w:sz w:val="18"/>
      <w:szCs w:val="18"/>
    </w:rPr>
  </w:style>
  <w:style w:type="paragraph" w:customStyle="1" w:styleId="table">
    <w:name w:val="table"/>
    <w:basedOn w:val="Caption"/>
    <w:link w:val="tableZchn"/>
    <w:qFormat/>
    <w:rsid w:val="00EF3326"/>
    <w:pPr>
      <w:tabs>
        <w:tab w:val="left" w:pos="1418"/>
      </w:tabs>
      <w:spacing w:before="160" w:after="120"/>
      <w:ind w:left="1418" w:hanging="1418"/>
      <w:jc w:val="left"/>
    </w:pPr>
    <w:rPr>
      <w:rFonts w:eastAsia="Times New Roman" w:cs="Times New Roman"/>
      <w:bCs/>
      <w:i w:val="0"/>
      <w:iCs w:val="0"/>
      <w:color w:val="002060"/>
      <w:sz w:val="16"/>
      <w:szCs w:val="16"/>
    </w:rPr>
  </w:style>
  <w:style w:type="character" w:customStyle="1" w:styleId="tableZchn">
    <w:name w:val="table Zchn"/>
    <w:basedOn w:val="DefaultParagraphFont"/>
    <w:link w:val="table"/>
    <w:rsid w:val="00EF3326"/>
    <w:rPr>
      <w:rFonts w:ascii="Arial Narrow" w:eastAsia="Times New Roman" w:hAnsi="Arial Narrow" w:cs="Times New Roman"/>
      <w:bCs/>
      <w:color w:val="002060"/>
      <w:sz w:val="16"/>
      <w:szCs w:val="16"/>
    </w:rPr>
  </w:style>
  <w:style w:type="paragraph" w:customStyle="1" w:styleId="strich">
    <w:name w:val="strich"/>
    <w:basedOn w:val="Paragraph"/>
    <w:link w:val="strichZchn"/>
    <w:qFormat/>
    <w:rsid w:val="005578B2"/>
    <w:pPr>
      <w:numPr>
        <w:numId w:val="3"/>
      </w:numPr>
      <w:spacing w:line="280" w:lineRule="exact"/>
      <w:ind w:left="1135" w:hanging="284"/>
      <w:contextualSpacing/>
    </w:pPr>
    <w:rPr>
      <w:rFonts w:eastAsia="Arial Narrow"/>
    </w:rPr>
  </w:style>
  <w:style w:type="paragraph" w:customStyle="1" w:styleId="Figure">
    <w:name w:val="Figure"/>
    <w:basedOn w:val="table"/>
    <w:link w:val="FigureZchn"/>
    <w:qFormat/>
    <w:rsid w:val="00F368A1"/>
    <w:pPr>
      <w:spacing w:before="120"/>
      <w:jc w:val="center"/>
    </w:pPr>
  </w:style>
  <w:style w:type="character" w:customStyle="1" w:styleId="strichZchn">
    <w:name w:val="strich Zchn"/>
    <w:basedOn w:val="ParagraphZchn"/>
    <w:link w:val="strich"/>
    <w:rsid w:val="005578B2"/>
    <w:rPr>
      <w:rFonts w:ascii="Arial Narrow" w:eastAsia="Arial Narrow" w:hAnsi="Arial Narrow" w:cs="Times New Roman"/>
      <w:color w:val="000000" w:themeColor="text1"/>
      <w:sz w:val="22"/>
      <w:szCs w:val="22"/>
      <w:lang w:val="sq"/>
    </w:rPr>
  </w:style>
  <w:style w:type="paragraph" w:customStyle="1" w:styleId="Bullet">
    <w:name w:val="Bullet"/>
    <w:basedOn w:val="ListParagraph"/>
    <w:link w:val="BulletZchn"/>
    <w:qFormat/>
    <w:rsid w:val="002254E8"/>
    <w:pPr>
      <w:numPr>
        <w:numId w:val="4"/>
      </w:numPr>
      <w:spacing w:after="60"/>
      <w:ind w:left="1135" w:hanging="284"/>
      <w:contextualSpacing w:val="0"/>
    </w:pPr>
    <w:rPr>
      <w:sz w:val="22"/>
      <w:szCs w:val="22"/>
    </w:rPr>
  </w:style>
  <w:style w:type="character" w:customStyle="1" w:styleId="FigureZchn">
    <w:name w:val="Figure Zchn"/>
    <w:basedOn w:val="tableZchn"/>
    <w:link w:val="Figure"/>
    <w:rsid w:val="00F368A1"/>
    <w:rPr>
      <w:rFonts w:ascii="Arial Narrow" w:eastAsia="Times New Roman" w:hAnsi="Arial Narrow" w:cs="Times New Roman"/>
      <w:bCs/>
      <w:color w:val="002060"/>
      <w:sz w:val="16"/>
      <w:szCs w:val="16"/>
    </w:rPr>
  </w:style>
  <w:style w:type="paragraph" w:customStyle="1" w:styleId="Source">
    <w:name w:val="Source"/>
    <w:basedOn w:val="Normal"/>
    <w:link w:val="SourceZchn"/>
    <w:qFormat/>
    <w:rsid w:val="00825C94"/>
    <w:pPr>
      <w:jc w:val="center"/>
    </w:pPr>
    <w:rPr>
      <w:rFonts w:ascii="Arial Narrow" w:eastAsiaTheme="minorHAnsi" w:hAnsi="Arial Narrow" w:cstheme="minorBidi"/>
      <w:i/>
      <w:sz w:val="16"/>
      <w:szCs w:val="16"/>
    </w:rPr>
  </w:style>
  <w:style w:type="character" w:customStyle="1" w:styleId="BulletZchn">
    <w:name w:val="Bullet Zchn"/>
    <w:basedOn w:val="ListParagraphChar"/>
    <w:link w:val="Bullet"/>
    <w:rsid w:val="002254E8"/>
    <w:rPr>
      <w:rFonts w:ascii="Arial Narrow" w:hAnsi="Arial Narrow"/>
      <w:sz w:val="22"/>
      <w:szCs w:val="22"/>
      <w:lang w:val="sq"/>
    </w:rPr>
  </w:style>
  <w:style w:type="paragraph" w:customStyle="1" w:styleId="Funote">
    <w:name w:val="Fußnote"/>
    <w:basedOn w:val="FootnoteText"/>
    <w:link w:val="FunoteZchn"/>
    <w:qFormat/>
    <w:rsid w:val="000D56D7"/>
  </w:style>
  <w:style w:type="character" w:customStyle="1" w:styleId="SourceZchn">
    <w:name w:val="Source Zchn"/>
    <w:basedOn w:val="DefaultParagraphFont"/>
    <w:link w:val="Source"/>
    <w:rsid w:val="00825C94"/>
    <w:rPr>
      <w:rFonts w:ascii="Arial Narrow" w:hAnsi="Arial Narrow"/>
      <w:i/>
      <w:sz w:val="16"/>
      <w:szCs w:val="16"/>
      <w:lang w:val="sq"/>
    </w:rPr>
  </w:style>
  <w:style w:type="character" w:customStyle="1" w:styleId="FunoteZchn">
    <w:name w:val="Fußnote Zchn"/>
    <w:basedOn w:val="FootnoteTextChar"/>
    <w:link w:val="Funote"/>
    <w:rsid w:val="000D56D7"/>
    <w:rPr>
      <w:rFonts w:ascii="Times New Roman" w:eastAsia="Times New Roman" w:hAnsi="Times New Roman" w:cs="Times New Roman"/>
      <w:sz w:val="16"/>
      <w:szCs w:val="16"/>
      <w:lang w:val="sq"/>
    </w:rPr>
  </w:style>
  <w:style w:type="paragraph" w:styleId="TableofFigures">
    <w:name w:val="table of figures"/>
    <w:basedOn w:val="Normal"/>
    <w:next w:val="Normal"/>
    <w:uiPriority w:val="99"/>
    <w:unhideWhenUsed/>
    <w:rsid w:val="00F24087"/>
    <w:pPr>
      <w:ind w:left="1134" w:hanging="1134"/>
      <w:jc w:val="both"/>
    </w:pPr>
    <w:rPr>
      <w:rFonts w:ascii="Arial Narrow" w:eastAsiaTheme="minorHAnsi" w:hAnsi="Arial Narrow" w:cstheme="minorBidi"/>
      <w:sz w:val="20"/>
    </w:rPr>
  </w:style>
  <w:style w:type="paragraph" w:styleId="BalloonText">
    <w:name w:val="Balloon Text"/>
    <w:basedOn w:val="Normal"/>
    <w:link w:val="BalloonTextChar"/>
    <w:uiPriority w:val="99"/>
    <w:semiHidden/>
    <w:unhideWhenUsed/>
    <w:rsid w:val="00B527E1"/>
    <w:pPr>
      <w:jc w:val="both"/>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B527E1"/>
    <w:rPr>
      <w:rFonts w:ascii="Segoe UI" w:hAnsi="Segoe UI" w:cs="Segoe UI"/>
      <w:sz w:val="18"/>
      <w:szCs w:val="18"/>
      <w:lang w:val="sq"/>
    </w:rPr>
  </w:style>
  <w:style w:type="table" w:styleId="GridTable1Light-Accent1">
    <w:name w:val="Grid Table 1 Light Accent 1"/>
    <w:basedOn w:val="TableNormal"/>
    <w:uiPriority w:val="46"/>
    <w:rsid w:val="00B527E1"/>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4">
    <w:name w:val="Grid Table 4"/>
    <w:basedOn w:val="TableNormal"/>
    <w:uiPriority w:val="49"/>
    <w:rsid w:val="00B92AB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39"/>
    <w:rsid w:val="00CE14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lueAddBox1">
    <w:name w:val="Value Add Box1"/>
    <w:basedOn w:val="TableNormal"/>
    <w:next w:val="TableGrid"/>
    <w:uiPriority w:val="39"/>
    <w:qFormat/>
    <w:rsid w:val="00032CD8"/>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32CD8"/>
  </w:style>
  <w:style w:type="table" w:customStyle="1" w:styleId="ValueAddBox2">
    <w:name w:val="Value Add Box2"/>
    <w:basedOn w:val="TableNormal"/>
    <w:next w:val="TableGrid"/>
    <w:uiPriority w:val="39"/>
    <w:qFormat/>
    <w:rsid w:val="00032CD8"/>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32CD8"/>
    <w:rPr>
      <w:color w:val="605E5C"/>
      <w:shd w:val="clear" w:color="auto" w:fill="E1DFDD"/>
    </w:rPr>
  </w:style>
  <w:style w:type="table" w:customStyle="1" w:styleId="TableGrid11">
    <w:name w:val="Table Grid11"/>
    <w:basedOn w:val="TableNormal"/>
    <w:next w:val="TableGrid"/>
    <w:uiPriority w:val="39"/>
    <w:rsid w:val="00032CD8"/>
    <w:rPr>
      <w:rFonts w:ascii="Calibri" w:eastAsia="Calibri" w:hAnsi="Calibri" w:cs="Times New Roman"/>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32CD8"/>
    <w:rPr>
      <w:rFonts w:ascii="Calibri" w:eastAsia="Calibri" w:hAnsi="Calibri" w:cs="Times New Roman"/>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32CD8"/>
    <w:rPr>
      <w:rFonts w:ascii="Calibri" w:eastAsia="Calibri" w:hAnsi="Calibri" w:cs="Times New Roman"/>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lueAddBox11">
    <w:name w:val="Value Add Box11"/>
    <w:basedOn w:val="TableNormal"/>
    <w:next w:val="TableGrid"/>
    <w:uiPriority w:val="39"/>
    <w:qFormat/>
    <w:rsid w:val="00032CD8"/>
    <w:rPr>
      <w:rFonts w:ascii="Calibri" w:eastAsia="Calibri" w:hAnsi="Calibri" w:cs="Times New Roman"/>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032CD8"/>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032CD8"/>
    <w:rPr>
      <w:rFonts w:ascii="Calibri" w:eastAsia="Calibri" w:hAnsi="Calibri" w:cs="Times New Roman"/>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next w:val="PlainTable2"/>
    <w:uiPriority w:val="42"/>
    <w:rsid w:val="00032CD8"/>
    <w:rPr>
      <w:rFonts w:ascii="Calibri" w:eastAsia="Calibri" w:hAnsi="Calibri" w:cs="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5">
    <w:name w:val="Table Grid5"/>
    <w:basedOn w:val="TableNormal"/>
    <w:next w:val="TableGrid"/>
    <w:uiPriority w:val="59"/>
    <w:rsid w:val="00032CD8"/>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11">
    <w:name w:val="Grid Table 5 Dark - Accent 11"/>
    <w:basedOn w:val="TableNormal"/>
    <w:next w:val="GridTable5Dark-Accent1"/>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2">
    <w:name w:val="Grid Table 5 Dark - Accent 12"/>
    <w:basedOn w:val="TableNormal"/>
    <w:next w:val="GridTable5Dark-Accent1"/>
    <w:uiPriority w:val="50"/>
    <w:rsid w:val="00032CD8"/>
    <w:rPr>
      <w:rFonts w:ascii="Calibri" w:eastAsia="Calibri" w:hAnsi="Calibri" w:cs="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21">
    <w:name w:val="Grid Table 5 Dark - Accent 121"/>
    <w:basedOn w:val="TableNormal"/>
    <w:next w:val="GridTable5Dark-Accent1"/>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1">
    <w:name w:val="Grid Table 5 Dark - Accent 51"/>
    <w:basedOn w:val="TableNormal"/>
    <w:next w:val="GridTable5Dark-Accent5"/>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2">
    <w:name w:val="Grid Table 5 Dark - Accent 52"/>
    <w:basedOn w:val="TableNormal"/>
    <w:next w:val="GridTable5Dark-Accent5"/>
    <w:uiPriority w:val="50"/>
    <w:rsid w:val="00032CD8"/>
    <w:rPr>
      <w:rFonts w:ascii="Calibri" w:eastAsia="Calibri" w:hAnsi="Calibri" w:cs="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customStyle="1" w:styleId="NoSpacing2">
    <w:name w:val="No Spacing2"/>
    <w:next w:val="NoSpacing"/>
    <w:link w:val="NoSpacingChar"/>
    <w:uiPriority w:val="1"/>
    <w:qFormat/>
    <w:rsid w:val="00032CD8"/>
    <w:rPr>
      <w:sz w:val="22"/>
      <w:szCs w:val="22"/>
    </w:rPr>
  </w:style>
  <w:style w:type="character" w:customStyle="1" w:styleId="NoSpacingChar">
    <w:name w:val="No Spacing Char"/>
    <w:link w:val="NoSpacing2"/>
    <w:uiPriority w:val="1"/>
    <w:rsid w:val="00032CD8"/>
    <w:rPr>
      <w:rFonts w:ascii="Cambria" w:eastAsia="Cambria" w:hAnsi="Cambria" w:cs="Times New Roman"/>
      <w:lang w:val="sq"/>
    </w:rPr>
  </w:style>
  <w:style w:type="table" w:customStyle="1" w:styleId="GridTable5Dark-Accent13">
    <w:name w:val="Grid Table 5 Dark - Accent 13"/>
    <w:basedOn w:val="TableNormal"/>
    <w:next w:val="GridTable5Dark-Accent1"/>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4">
    <w:name w:val="Grid Table 5 Dark - Accent 14"/>
    <w:basedOn w:val="TableNormal"/>
    <w:next w:val="GridTable5Dark-Accent1"/>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5">
    <w:name w:val="Grid Table 5 Dark - Accent 15"/>
    <w:basedOn w:val="TableNormal"/>
    <w:next w:val="GridTable5Dark-Accent1"/>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Heading71">
    <w:name w:val="Heading 71"/>
    <w:basedOn w:val="Normal"/>
    <w:next w:val="Normal"/>
    <w:uiPriority w:val="9"/>
    <w:semiHidden/>
    <w:unhideWhenUsed/>
    <w:qFormat/>
    <w:rsid w:val="00032CD8"/>
    <w:pPr>
      <w:keepNext/>
      <w:keepLines/>
      <w:spacing w:before="40" w:line="259" w:lineRule="auto"/>
      <w:ind w:left="5040" w:hanging="360"/>
      <w:outlineLvl w:val="6"/>
    </w:pPr>
    <w:rPr>
      <w:rFonts w:ascii="Calibri Light" w:eastAsia="Yu Gothic Light" w:hAnsi="Calibri Light"/>
      <w:i/>
      <w:iCs/>
      <w:color w:val="1F3763"/>
      <w:sz w:val="22"/>
      <w:szCs w:val="22"/>
    </w:rPr>
  </w:style>
  <w:style w:type="paragraph" w:customStyle="1" w:styleId="Heading81">
    <w:name w:val="Heading 81"/>
    <w:basedOn w:val="Normal"/>
    <w:next w:val="Normal"/>
    <w:uiPriority w:val="9"/>
    <w:semiHidden/>
    <w:unhideWhenUsed/>
    <w:qFormat/>
    <w:rsid w:val="00032CD8"/>
    <w:pPr>
      <w:keepNext/>
      <w:keepLines/>
      <w:spacing w:before="40" w:line="259" w:lineRule="auto"/>
      <w:ind w:left="5760" w:hanging="360"/>
      <w:outlineLvl w:val="7"/>
    </w:pPr>
    <w:rPr>
      <w:rFonts w:ascii="Calibri Light" w:eastAsia="Yu Gothic Light" w:hAnsi="Calibri Light"/>
      <w:color w:val="272727"/>
      <w:sz w:val="21"/>
      <w:szCs w:val="21"/>
    </w:rPr>
  </w:style>
  <w:style w:type="paragraph" w:customStyle="1" w:styleId="Heading91">
    <w:name w:val="Heading 91"/>
    <w:basedOn w:val="Normal"/>
    <w:next w:val="Normal"/>
    <w:uiPriority w:val="9"/>
    <w:semiHidden/>
    <w:unhideWhenUsed/>
    <w:qFormat/>
    <w:rsid w:val="00032CD8"/>
    <w:pPr>
      <w:keepNext/>
      <w:keepLines/>
      <w:spacing w:before="40" w:line="259" w:lineRule="auto"/>
      <w:ind w:left="6480" w:hanging="180"/>
      <w:outlineLvl w:val="8"/>
    </w:pPr>
    <w:rPr>
      <w:rFonts w:ascii="Calibri Light" w:eastAsia="Yu Gothic Light" w:hAnsi="Calibri Light"/>
      <w:i/>
      <w:iCs/>
      <w:color w:val="272727"/>
      <w:sz w:val="21"/>
      <w:szCs w:val="21"/>
    </w:rPr>
  </w:style>
  <w:style w:type="numbering" w:customStyle="1" w:styleId="NoList11">
    <w:name w:val="No List11"/>
    <w:next w:val="NoList"/>
    <w:uiPriority w:val="99"/>
    <w:semiHidden/>
    <w:unhideWhenUsed/>
    <w:rsid w:val="00032CD8"/>
  </w:style>
  <w:style w:type="table" w:customStyle="1" w:styleId="GridTable4-Accent51">
    <w:name w:val="Grid Table 4 - Accent 51"/>
    <w:basedOn w:val="TableNormal"/>
    <w:next w:val="GridTable4-Accent5"/>
    <w:uiPriority w:val="49"/>
    <w:rsid w:val="00032CD8"/>
    <w:rPr>
      <w:rFonts w:ascii="Calibri" w:eastAsia="Calibri" w:hAnsi="Calibri" w:cs="Arial"/>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 Accent 11"/>
    <w:basedOn w:val="TableNormal"/>
    <w:next w:val="GridTable4-Accent1"/>
    <w:uiPriority w:val="49"/>
    <w:rsid w:val="00032CD8"/>
    <w:rPr>
      <w:rFonts w:ascii="Calibri" w:eastAsia="Calibri" w:hAnsi="Calibri" w:cs="Arial"/>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paragraph0">
    <w:name w:val="paragraph"/>
    <w:basedOn w:val="Normal"/>
    <w:rsid w:val="00032CD8"/>
    <w:pPr>
      <w:spacing w:before="100" w:beforeAutospacing="1" w:after="100" w:afterAutospacing="1"/>
    </w:pPr>
  </w:style>
  <w:style w:type="character" w:customStyle="1" w:styleId="normaltextrun">
    <w:name w:val="normaltextrun"/>
    <w:basedOn w:val="DefaultParagraphFont"/>
    <w:rsid w:val="00032CD8"/>
  </w:style>
  <w:style w:type="character" w:customStyle="1" w:styleId="eop">
    <w:name w:val="eop"/>
    <w:basedOn w:val="DefaultParagraphFont"/>
    <w:rsid w:val="00032CD8"/>
  </w:style>
  <w:style w:type="character" w:customStyle="1" w:styleId="tabchar">
    <w:name w:val="tabchar"/>
    <w:basedOn w:val="DefaultParagraphFont"/>
    <w:rsid w:val="00032CD8"/>
  </w:style>
  <w:style w:type="table" w:customStyle="1" w:styleId="TableGrid6">
    <w:name w:val="Table Grid6"/>
    <w:basedOn w:val="TableNormal"/>
    <w:next w:val="TableGrid"/>
    <w:uiPriority w:val="59"/>
    <w:rsid w:val="00032CD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6">
    <w:name w:val="Grid Table 5 Dark - Accent 16"/>
    <w:basedOn w:val="TableNormal"/>
    <w:next w:val="GridTable5Dark-Accent1"/>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21">
    <w:name w:val="Grid Table 5 Dark - Accent 521"/>
    <w:basedOn w:val="TableNormal"/>
    <w:next w:val="GridTable5Dark-Accent5"/>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PlainTable221">
    <w:name w:val="Plain Table 221"/>
    <w:basedOn w:val="TableNormal"/>
    <w:next w:val="PlainTable2"/>
    <w:uiPriority w:val="42"/>
    <w:rsid w:val="00032CD8"/>
    <w:pPr>
      <w:spacing w:after="160" w:line="259" w:lineRule="auto"/>
    </w:pPr>
    <w:rPr>
      <w:rFonts w:ascii="Calibri" w:eastAsia="Calibri" w:hAnsi="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Default">
    <w:name w:val="Default"/>
    <w:rsid w:val="00032CD8"/>
    <w:pPr>
      <w:autoSpaceDE w:val="0"/>
      <w:autoSpaceDN w:val="0"/>
      <w:adjustRightInd w:val="0"/>
    </w:pPr>
    <w:rPr>
      <w:rFonts w:ascii="Times New Roman" w:eastAsia="MS Mincho" w:hAnsi="Times New Roman" w:cs="Times New Roman"/>
      <w:color w:val="000000"/>
    </w:rPr>
  </w:style>
  <w:style w:type="table" w:customStyle="1" w:styleId="PlainTable31">
    <w:name w:val="Plain Table 31"/>
    <w:basedOn w:val="TableNormal"/>
    <w:next w:val="PlainTable3"/>
    <w:uiPriority w:val="43"/>
    <w:rsid w:val="00032CD8"/>
    <w:rPr>
      <w:rFonts w:ascii="Calibri" w:eastAsia="Calibri" w:hAnsi="Calibri" w:cs="Arial"/>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1">
    <w:name w:val="Grid Table 1 Light - Accent 11"/>
    <w:basedOn w:val="TableNormal"/>
    <w:next w:val="GridTable1Light-Accent1"/>
    <w:uiPriority w:val="46"/>
    <w:rsid w:val="00032CD8"/>
    <w:rPr>
      <w:rFonts w:ascii="Calibri" w:eastAsia="Calibri" w:hAnsi="Calibri" w:cs="Arial"/>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52">
    <w:name w:val="Grid Table 4 - Accent 52"/>
    <w:basedOn w:val="TableNormal"/>
    <w:next w:val="GridTable4-Accent5"/>
    <w:uiPriority w:val="49"/>
    <w:rsid w:val="00032CD8"/>
    <w:rPr>
      <w:rFonts w:ascii="Calibri" w:eastAsia="Calibri" w:hAnsi="Calibri" w:cs="Calibr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12">
    <w:name w:val="Grid Table 4 - Accent 12"/>
    <w:basedOn w:val="TableNormal"/>
    <w:next w:val="GridTable4-Accent1"/>
    <w:uiPriority w:val="49"/>
    <w:rsid w:val="00032CD8"/>
    <w:rPr>
      <w:rFonts w:ascii="Calibri" w:eastAsia="Calibri" w:hAnsi="Calibri" w:cs="Calibri"/>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Heading7Char1">
    <w:name w:val="Heading 7 Char1"/>
    <w:basedOn w:val="DefaultParagraphFont"/>
    <w:uiPriority w:val="9"/>
    <w:semiHidden/>
    <w:rsid w:val="00032CD8"/>
    <w:rPr>
      <w:rFonts w:ascii="Calibri" w:eastAsia="Times New Roman" w:hAnsi="Calibri" w:cs="Times New Roman"/>
      <w:i/>
      <w:iCs/>
      <w:color w:val="243F60"/>
    </w:rPr>
  </w:style>
  <w:style w:type="character" w:customStyle="1" w:styleId="Heading8Char1">
    <w:name w:val="Heading 8 Char1"/>
    <w:basedOn w:val="DefaultParagraphFont"/>
    <w:uiPriority w:val="9"/>
    <w:semiHidden/>
    <w:rsid w:val="00032CD8"/>
    <w:rPr>
      <w:rFonts w:ascii="Calibri" w:eastAsia="Times New Roman" w:hAnsi="Calibri" w:cs="Times New Roman"/>
      <w:color w:val="272727"/>
      <w:sz w:val="21"/>
      <w:szCs w:val="21"/>
    </w:rPr>
  </w:style>
  <w:style w:type="character" w:customStyle="1" w:styleId="Heading9Char1">
    <w:name w:val="Heading 9 Char1"/>
    <w:basedOn w:val="DefaultParagraphFont"/>
    <w:uiPriority w:val="9"/>
    <w:semiHidden/>
    <w:rsid w:val="00032CD8"/>
    <w:rPr>
      <w:rFonts w:ascii="Calibri" w:eastAsia="Times New Roman" w:hAnsi="Calibri" w:cs="Times New Roman"/>
      <w:i/>
      <w:iCs/>
      <w:color w:val="272727"/>
      <w:sz w:val="21"/>
      <w:szCs w:val="21"/>
    </w:rPr>
  </w:style>
  <w:style w:type="table" w:customStyle="1" w:styleId="PlainTable32">
    <w:name w:val="Plain Table 32"/>
    <w:basedOn w:val="TableNormal"/>
    <w:next w:val="PlainTable3"/>
    <w:uiPriority w:val="43"/>
    <w:rsid w:val="00032CD8"/>
    <w:rPr>
      <w:rFonts w:ascii="Calibri" w:eastAsia="Calibri" w:hAnsi="Calibri" w:cs="Calibri"/>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2">
    <w:name w:val="Grid Table 1 Light - Accent 12"/>
    <w:basedOn w:val="TableNormal"/>
    <w:next w:val="GridTable1Light-Accent1"/>
    <w:uiPriority w:val="46"/>
    <w:rsid w:val="00032CD8"/>
    <w:rPr>
      <w:rFonts w:ascii="Calibri" w:eastAsia="Calibri" w:hAnsi="Calibri" w:cs="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5Dark-Accent17">
    <w:name w:val="Grid Table 5 Dark - Accent 17"/>
    <w:basedOn w:val="TableNormal"/>
    <w:next w:val="GridTable5Dark-Accent1"/>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numbering" w:customStyle="1" w:styleId="NoList2">
    <w:name w:val="No List2"/>
    <w:next w:val="NoList"/>
    <w:uiPriority w:val="99"/>
    <w:semiHidden/>
    <w:unhideWhenUsed/>
    <w:rsid w:val="00032CD8"/>
  </w:style>
  <w:style w:type="table" w:customStyle="1" w:styleId="GridTable4-Accent521">
    <w:name w:val="Grid Table 4 - Accent 521"/>
    <w:basedOn w:val="TableNormal"/>
    <w:next w:val="GridTable4-Accent5"/>
    <w:uiPriority w:val="49"/>
    <w:rsid w:val="00032CD8"/>
    <w:rPr>
      <w:rFonts w:ascii="Calibri" w:eastAsia="Calibri" w:hAnsi="Calibri" w:cs="Arial"/>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1">
    <w:name w:val="Grid Table 4 - Accent 121"/>
    <w:basedOn w:val="TableNormal"/>
    <w:next w:val="GridTable4-Accent1"/>
    <w:uiPriority w:val="49"/>
    <w:rsid w:val="00032CD8"/>
    <w:rPr>
      <w:rFonts w:ascii="Calibri" w:eastAsia="Calibri" w:hAnsi="Calibri" w:cs="Arial"/>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7">
    <w:name w:val="Table Grid7"/>
    <w:basedOn w:val="TableNormal"/>
    <w:next w:val="TableGrid"/>
    <w:uiPriority w:val="59"/>
    <w:rsid w:val="00032CD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8">
    <w:name w:val="Grid Table 5 Dark - Accent 18"/>
    <w:basedOn w:val="TableNormal"/>
    <w:next w:val="GridTable5Dark-Accent1"/>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3">
    <w:name w:val="Grid Table 5 Dark - Accent 53"/>
    <w:basedOn w:val="TableNormal"/>
    <w:next w:val="GridTable5Dark-Accent5"/>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PlainTable23">
    <w:name w:val="Plain Table 23"/>
    <w:basedOn w:val="TableNormal"/>
    <w:next w:val="PlainTable2"/>
    <w:uiPriority w:val="42"/>
    <w:rsid w:val="00032CD8"/>
    <w:pPr>
      <w:spacing w:after="160" w:line="259" w:lineRule="auto"/>
    </w:pPr>
    <w:rPr>
      <w:rFonts w:ascii="Calibri" w:eastAsia="Calibri" w:hAnsi="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21">
    <w:name w:val="Plain Table 321"/>
    <w:basedOn w:val="TableNormal"/>
    <w:next w:val="PlainTable3"/>
    <w:uiPriority w:val="43"/>
    <w:rsid w:val="00032CD8"/>
    <w:rPr>
      <w:rFonts w:ascii="Calibri" w:eastAsia="Calibri" w:hAnsi="Calibri" w:cs="Arial"/>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21">
    <w:name w:val="Grid Table 1 Light - Accent 121"/>
    <w:basedOn w:val="TableNormal"/>
    <w:next w:val="GridTable1Light-Accent1"/>
    <w:uiPriority w:val="46"/>
    <w:rsid w:val="00032CD8"/>
    <w:rPr>
      <w:rFonts w:ascii="Calibri" w:eastAsia="Calibri" w:hAnsi="Calibri" w:cs="Arial"/>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5Dark-Accent19">
    <w:name w:val="Grid Table 5 Dark - Accent 19"/>
    <w:basedOn w:val="TableNormal"/>
    <w:next w:val="GridTable5Dark-Accent1"/>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0">
    <w:name w:val="Grid Table 5 Dark - Accent 110"/>
    <w:basedOn w:val="TableNormal"/>
    <w:next w:val="GridTable5Dark-Accent1"/>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1">
    <w:name w:val="Grid Table 5 Dark - Accent 111"/>
    <w:basedOn w:val="TableNormal"/>
    <w:next w:val="GridTable5Dark-Accent1"/>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2">
    <w:name w:val="Grid Table 5 Dark - Accent 112"/>
    <w:basedOn w:val="TableNormal"/>
    <w:next w:val="GridTable5Dark-Accent1"/>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3">
    <w:name w:val="Grid Table 5 Dark - Accent 113"/>
    <w:basedOn w:val="TableNormal"/>
    <w:next w:val="GridTable5Dark-Accent1"/>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8">
    <w:name w:val="Table Grid8"/>
    <w:basedOn w:val="TableNormal"/>
    <w:next w:val="TableGrid"/>
    <w:uiPriority w:val="59"/>
    <w:rsid w:val="00032CD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4">
    <w:name w:val="Grid Table 5 Dark - Accent 114"/>
    <w:basedOn w:val="TableNormal"/>
    <w:next w:val="GridTable5Dark-Accent1"/>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5">
    <w:name w:val="Grid Table 5 Dark - Accent 115"/>
    <w:basedOn w:val="TableNormal"/>
    <w:next w:val="GridTable5Dark-Accent1"/>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1Light-Accent13">
    <w:name w:val="Grid Table 1 Light - Accent 13"/>
    <w:basedOn w:val="TableNormal"/>
    <w:next w:val="GridTable1Light-Accent1"/>
    <w:uiPriority w:val="46"/>
    <w:rsid w:val="00032CD8"/>
    <w:rPr>
      <w:rFonts w:ascii="Calibri" w:eastAsia="Calibri" w:hAnsi="Calibri" w:cs="Arial"/>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5Dark-Accent116">
    <w:name w:val="Grid Table 5 Dark - Accent 116"/>
    <w:basedOn w:val="TableNormal"/>
    <w:next w:val="GridTable5Dark-Accent1"/>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9">
    <w:name w:val="Table Grid9"/>
    <w:basedOn w:val="TableNormal"/>
    <w:next w:val="TableGrid"/>
    <w:uiPriority w:val="39"/>
    <w:rsid w:val="00032CD8"/>
    <w:rPr>
      <w:rFonts w:ascii="Calibri" w:eastAsia="Calibri" w:hAnsi="Calibri" w:cs="Times New Roman"/>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Char Char Char"/>
    <w:link w:val="NormalWeb"/>
    <w:uiPriority w:val="99"/>
    <w:rsid w:val="00032CD8"/>
    <w:rPr>
      <w:rFonts w:ascii="Times New Roman" w:eastAsia="Times New Roman" w:hAnsi="Times New Roman" w:cs="Times New Roman"/>
      <w:lang w:val="sq" w:eastAsia="en-GB"/>
    </w:rPr>
  </w:style>
  <w:style w:type="table" w:customStyle="1" w:styleId="TableGrid10">
    <w:name w:val="Table Grid10"/>
    <w:basedOn w:val="TableNormal"/>
    <w:next w:val="TableGrid"/>
    <w:uiPriority w:val="39"/>
    <w:rsid w:val="00032CD8"/>
    <w:rPr>
      <w:rFonts w:ascii="Calibri" w:eastAsia="Calibri" w:hAnsi="Calibri" w:cs="Times New Roman"/>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7">
    <w:name w:val="Grid Table 5 Dark - Accent 117"/>
    <w:basedOn w:val="TableNormal"/>
    <w:next w:val="GridTable5Dark-Accent1"/>
    <w:uiPriority w:val="50"/>
    <w:rsid w:val="00032CD8"/>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Light1">
    <w:name w:val="Table Grid Light1"/>
    <w:basedOn w:val="TableNormal"/>
    <w:next w:val="TableGridLight"/>
    <w:uiPriority w:val="99"/>
    <w:rsid w:val="00032CD8"/>
    <w:rPr>
      <w:rFonts w:ascii="Times New Roman" w:eastAsia="Times New Roman" w:hAnsi="Times New Roman" w:cs="Times New Roman"/>
      <w:sz w:val="20"/>
      <w:szCs w:val="20"/>
      <w:lang w:eastAsia="ja-JP"/>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
    <w:name w:val="Table Grid12"/>
    <w:basedOn w:val="TableNormal"/>
    <w:next w:val="TableGrid"/>
    <w:uiPriority w:val="39"/>
    <w:rsid w:val="00032CD8"/>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тиль17"/>
    <w:basedOn w:val="TableNormal"/>
    <w:uiPriority w:val="99"/>
    <w:rsid w:val="00032CD8"/>
    <w:rPr>
      <w:rFonts w:ascii="Calibri" w:eastAsia="Calibri" w:hAnsi="Calibri" w:cs="Arial"/>
      <w:sz w:val="20"/>
      <w:szCs w:val="22"/>
    </w:rPr>
    <w:tblPr>
      <w:tblBorders>
        <w:top w:val="single" w:sz="4" w:space="0" w:color="auto"/>
        <w:bottom w:val="single" w:sz="4" w:space="0" w:color="auto"/>
        <w:insideH w:val="single" w:sz="4" w:space="0" w:color="auto"/>
        <w:insideV w:val="single" w:sz="4" w:space="0" w:color="auto"/>
      </w:tblBorders>
    </w:tblPr>
    <w:tblStylePr w:type="firstRow">
      <w:pPr>
        <w:jc w:val="center"/>
      </w:pPr>
      <w:rPr>
        <w:b/>
      </w:rPr>
      <w:tblPr/>
      <w:tcPr>
        <w:vAlign w:val="center"/>
      </w:tcPr>
    </w:tblStylePr>
    <w:tblStylePr w:type="firstCol">
      <w:rPr>
        <w:b/>
      </w:rPr>
    </w:tblStylePr>
  </w:style>
  <w:style w:type="paragraph" w:customStyle="1" w:styleId="TableParagraph">
    <w:name w:val="Table Paragraph"/>
    <w:basedOn w:val="Normal"/>
    <w:uiPriority w:val="1"/>
    <w:qFormat/>
    <w:rsid w:val="00032CD8"/>
    <w:pPr>
      <w:widowControl w:val="0"/>
    </w:pPr>
    <w:rPr>
      <w:rFonts w:ascii="Cambria" w:eastAsiaTheme="minorHAnsi" w:hAnsi="Cambria" w:cstheme="minorBidi"/>
      <w:sz w:val="22"/>
      <w:szCs w:val="22"/>
    </w:rPr>
  </w:style>
  <w:style w:type="table" w:customStyle="1" w:styleId="GridTable1Light-Accent111">
    <w:name w:val="Grid Table 1 Light - Accent 111"/>
    <w:basedOn w:val="TableNormal"/>
    <w:next w:val="GridTable1Light-Accent1"/>
    <w:uiPriority w:val="46"/>
    <w:rsid w:val="00032CD8"/>
    <w:rPr>
      <w:rFonts w:ascii="Calibri" w:eastAsia="Calibri" w:hAnsi="Calibri" w:cs="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171">
    <w:name w:val="Стиль171"/>
    <w:basedOn w:val="TableNormal"/>
    <w:uiPriority w:val="99"/>
    <w:rsid w:val="00032CD8"/>
    <w:rPr>
      <w:rFonts w:ascii="Calibri" w:eastAsia="Calibri" w:hAnsi="Calibri" w:cs="Arial"/>
      <w:sz w:val="20"/>
      <w:szCs w:val="22"/>
      <w14:ligatures w14:val="standardContextual"/>
    </w:rPr>
    <w:tblPr>
      <w:tblBorders>
        <w:top w:val="single" w:sz="4" w:space="0" w:color="auto"/>
        <w:bottom w:val="single" w:sz="4" w:space="0" w:color="auto"/>
        <w:insideH w:val="single" w:sz="4" w:space="0" w:color="auto"/>
        <w:insideV w:val="single" w:sz="4" w:space="0" w:color="auto"/>
      </w:tblBorders>
    </w:tblPr>
    <w:tblStylePr w:type="firstRow">
      <w:pPr>
        <w:jc w:val="center"/>
      </w:pPr>
      <w:rPr>
        <w:b/>
      </w:rPr>
      <w:tblPr/>
      <w:tcPr>
        <w:vAlign w:val="center"/>
      </w:tcPr>
    </w:tblStylePr>
    <w:tblStylePr w:type="firstCol">
      <w:rPr>
        <w:b/>
      </w:rPr>
    </w:tblStylePr>
  </w:style>
  <w:style w:type="table" w:styleId="PlainTable2">
    <w:name w:val="Plain Table 2"/>
    <w:basedOn w:val="TableNormal"/>
    <w:uiPriority w:val="42"/>
    <w:rsid w:val="00032CD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5Dark-Accent1">
    <w:name w:val="Grid Table 5 Dark Accent 1"/>
    <w:basedOn w:val="TableNormal"/>
    <w:uiPriority w:val="50"/>
    <w:rsid w:val="00032CD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5">
    <w:name w:val="Grid Table 5 Dark Accent 5"/>
    <w:basedOn w:val="TableNormal"/>
    <w:uiPriority w:val="50"/>
    <w:rsid w:val="00032CD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NoSpacing">
    <w:name w:val="No Spacing"/>
    <w:uiPriority w:val="1"/>
    <w:qFormat/>
    <w:rsid w:val="00032CD8"/>
    <w:pPr>
      <w:jc w:val="both"/>
    </w:pPr>
    <w:rPr>
      <w:rFonts w:ascii="Arial Narrow" w:hAnsi="Arial Narrow"/>
    </w:rPr>
  </w:style>
  <w:style w:type="table" w:styleId="GridTable4-Accent5">
    <w:name w:val="Grid Table 4 Accent 5"/>
    <w:basedOn w:val="TableNormal"/>
    <w:uiPriority w:val="49"/>
    <w:rsid w:val="00032CD8"/>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032CD8"/>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3">
    <w:name w:val="Plain Table 3"/>
    <w:basedOn w:val="TableNormal"/>
    <w:uiPriority w:val="43"/>
    <w:rsid w:val="00032CD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032CD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1"/>
    <w:qFormat/>
    <w:rsid w:val="00DF1BBA"/>
    <w:pPr>
      <w:widowControl w:val="0"/>
      <w:ind w:left="20"/>
    </w:pPr>
    <w:rPr>
      <w:rFonts w:ascii="Arial" w:eastAsia="Arial" w:hAnsi="Arial" w:cstheme="minorBidi"/>
      <w:sz w:val="19"/>
      <w:szCs w:val="19"/>
    </w:rPr>
  </w:style>
  <w:style w:type="character" w:customStyle="1" w:styleId="BodyTextChar">
    <w:name w:val="Body Text Char"/>
    <w:basedOn w:val="DefaultParagraphFont"/>
    <w:link w:val="BodyText"/>
    <w:uiPriority w:val="1"/>
    <w:rsid w:val="00DF1BBA"/>
    <w:rPr>
      <w:rFonts w:ascii="Arial" w:eastAsia="Arial" w:hAnsi="Arial"/>
      <w:sz w:val="19"/>
      <w:szCs w:val="19"/>
    </w:rPr>
  </w:style>
  <w:style w:type="table" w:customStyle="1" w:styleId="TableGridLight2">
    <w:name w:val="Table Grid Light2"/>
    <w:basedOn w:val="TableNormal"/>
    <w:next w:val="TableGridLight"/>
    <w:uiPriority w:val="99"/>
    <w:rsid w:val="009A1ADD"/>
    <w:rPr>
      <w:rFonts w:ascii="Times New Roman" w:eastAsia="MS Mincho" w:hAnsi="Times New Roman" w:cs="Times New Roman"/>
      <w:sz w:val="20"/>
      <w:szCs w:val="20"/>
      <w:lang w:eastAsia="ja-JP"/>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3">
    <w:name w:val="Table Grid Light3"/>
    <w:basedOn w:val="TableNormal"/>
    <w:next w:val="TableGridLight"/>
    <w:uiPriority w:val="99"/>
    <w:rsid w:val="001C7BC4"/>
    <w:rPr>
      <w:rFonts w:ascii="Times New Roman" w:eastAsia="MS Mincho" w:hAnsi="Times New Roman" w:cs="Times New Roman"/>
      <w:sz w:val="20"/>
      <w:szCs w:val="20"/>
      <w:lang w:eastAsia="ja-JP"/>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Absatz-Standardschriftart1">
    <w:name w:val="Absatz-Standardschriftart1"/>
    <w:rsid w:val="001E2059"/>
  </w:style>
  <w:style w:type="paragraph" w:customStyle="1" w:styleId="Pfeil">
    <w:name w:val="Pfeil"/>
    <w:basedOn w:val="strich"/>
    <w:link w:val="PfeilZchn"/>
    <w:qFormat/>
    <w:rsid w:val="00D744F7"/>
    <w:pPr>
      <w:numPr>
        <w:numId w:val="7"/>
      </w:numPr>
      <w:spacing w:after="60" w:line="240" w:lineRule="auto"/>
      <w:ind w:left="1418" w:hanging="284"/>
      <w:contextualSpacing w:val="0"/>
    </w:pPr>
  </w:style>
  <w:style w:type="paragraph" w:customStyle="1" w:styleId="High">
    <w:name w:val="High"/>
    <w:basedOn w:val="Normal"/>
    <w:link w:val="HighZchn"/>
    <w:qFormat/>
    <w:rsid w:val="004408AA"/>
    <w:rPr>
      <w:rFonts w:ascii="Arial Narrow" w:eastAsia="Calibri" w:hAnsi="Arial Narrow" w:cs="Calibri"/>
      <w:b/>
      <w:bCs/>
      <w:color w:val="002060"/>
      <w:kern w:val="2"/>
      <w:sz w:val="22"/>
      <w:szCs w:val="22"/>
      <w14:ligatures w14:val="standardContextual"/>
    </w:rPr>
  </w:style>
  <w:style w:type="character" w:customStyle="1" w:styleId="PfeilZchn">
    <w:name w:val="Pfeil Zchn"/>
    <w:basedOn w:val="strichZchn"/>
    <w:link w:val="Pfeil"/>
    <w:rsid w:val="00D744F7"/>
    <w:rPr>
      <w:rFonts w:ascii="Arial Narrow" w:eastAsia="Arial Narrow" w:hAnsi="Arial Narrow" w:cs="Times New Roman"/>
      <w:color w:val="000000" w:themeColor="text1"/>
      <w:sz w:val="22"/>
      <w:szCs w:val="22"/>
      <w:lang w:val="sq"/>
    </w:rPr>
  </w:style>
  <w:style w:type="paragraph" w:customStyle="1" w:styleId="source0">
    <w:name w:val="source"/>
    <w:basedOn w:val="Normal"/>
    <w:link w:val="sourceZchn0"/>
    <w:qFormat/>
    <w:rsid w:val="00AD492F"/>
    <w:pPr>
      <w:spacing w:before="120"/>
      <w:jc w:val="center"/>
    </w:pPr>
    <w:rPr>
      <w:rFonts w:ascii="Arial Narrow" w:eastAsia="Calibri" w:hAnsi="Arial Narrow" w:cs="Calibri"/>
      <w:i/>
      <w:iCs/>
      <w:sz w:val="16"/>
      <w:szCs w:val="16"/>
    </w:rPr>
  </w:style>
  <w:style w:type="character" w:customStyle="1" w:styleId="HighZchn">
    <w:name w:val="High Zchn"/>
    <w:basedOn w:val="DefaultParagraphFont"/>
    <w:link w:val="High"/>
    <w:rsid w:val="004408AA"/>
    <w:rPr>
      <w:rFonts w:ascii="Arial Narrow" w:eastAsia="Calibri" w:hAnsi="Arial Narrow" w:cs="Calibri"/>
      <w:b/>
      <w:bCs/>
      <w:color w:val="002060"/>
      <w:kern w:val="2"/>
      <w:sz w:val="22"/>
      <w:szCs w:val="22"/>
      <w14:ligatures w14:val="standardContextual"/>
    </w:rPr>
  </w:style>
  <w:style w:type="paragraph" w:styleId="NoteHeading">
    <w:name w:val="Note Heading"/>
    <w:basedOn w:val="Normal"/>
    <w:next w:val="Normal"/>
    <w:link w:val="NoteHeadingChar"/>
    <w:uiPriority w:val="99"/>
    <w:unhideWhenUsed/>
    <w:rsid w:val="00E0716F"/>
  </w:style>
  <w:style w:type="character" w:customStyle="1" w:styleId="sourceZchn0">
    <w:name w:val="source Zchn"/>
    <w:basedOn w:val="DefaultParagraphFont"/>
    <w:link w:val="source0"/>
    <w:rsid w:val="00AD492F"/>
    <w:rPr>
      <w:rFonts w:ascii="Arial Narrow" w:eastAsia="Calibri" w:hAnsi="Arial Narrow" w:cs="Calibri"/>
      <w:i/>
      <w:iCs/>
      <w:sz w:val="16"/>
      <w:szCs w:val="16"/>
    </w:rPr>
  </w:style>
  <w:style w:type="character" w:customStyle="1" w:styleId="NoteHeadingChar">
    <w:name w:val="Note Heading Char"/>
    <w:basedOn w:val="DefaultParagraphFont"/>
    <w:link w:val="NoteHeading"/>
    <w:uiPriority w:val="99"/>
    <w:rsid w:val="00E0716F"/>
    <w:rPr>
      <w:rFonts w:ascii="Times New Roman" w:eastAsia="Times New Roman" w:hAnsi="Times New Roman" w:cs="Times New Roman"/>
    </w:rPr>
  </w:style>
  <w:style w:type="table" w:customStyle="1" w:styleId="TableGrid13">
    <w:name w:val="Table Grid13"/>
    <w:basedOn w:val="TableNormal"/>
    <w:next w:val="TableGrid"/>
    <w:uiPriority w:val="99"/>
    <w:rsid w:val="00430A79"/>
    <w:pPr>
      <w:spacing w:line="264"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430A79"/>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430A79"/>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430A79"/>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abletitleCentered">
    <w:name w:val="Style Table title + Centered"/>
    <w:basedOn w:val="Normal"/>
    <w:rsid w:val="00430A79"/>
    <w:pPr>
      <w:suppressAutoHyphens/>
      <w:spacing w:before="60" w:after="60"/>
      <w:jc w:val="center"/>
    </w:pPr>
    <w:rPr>
      <w:rFonts w:ascii="Arial" w:hAnsi="Arial" w:cs="Arial"/>
      <w:b/>
      <w:smallCaps/>
      <w:sz w:val="20"/>
      <w:szCs w:val="20"/>
    </w:rPr>
  </w:style>
  <w:style w:type="numbering" w:customStyle="1" w:styleId="NoList3">
    <w:name w:val="No List3"/>
    <w:next w:val="NoList"/>
    <w:uiPriority w:val="99"/>
    <w:semiHidden/>
    <w:unhideWhenUsed/>
    <w:rsid w:val="007D1EDC"/>
  </w:style>
  <w:style w:type="numbering" w:customStyle="1" w:styleId="NoList12">
    <w:name w:val="No List12"/>
    <w:next w:val="NoList"/>
    <w:uiPriority w:val="99"/>
    <w:semiHidden/>
    <w:unhideWhenUsed/>
    <w:rsid w:val="007D1EDC"/>
  </w:style>
  <w:style w:type="numbering" w:customStyle="1" w:styleId="NoList111">
    <w:name w:val="No List111"/>
    <w:next w:val="NoList"/>
    <w:uiPriority w:val="99"/>
    <w:semiHidden/>
    <w:unhideWhenUsed/>
    <w:rsid w:val="007D1EDC"/>
  </w:style>
  <w:style w:type="numbering" w:customStyle="1" w:styleId="NoList21">
    <w:name w:val="No List21"/>
    <w:next w:val="NoList"/>
    <w:uiPriority w:val="99"/>
    <w:semiHidden/>
    <w:unhideWhenUsed/>
    <w:rsid w:val="007D1EDC"/>
  </w:style>
  <w:style w:type="numbering" w:customStyle="1" w:styleId="NoList31">
    <w:name w:val="No List31"/>
    <w:next w:val="NoList"/>
    <w:uiPriority w:val="99"/>
    <w:semiHidden/>
    <w:unhideWhenUsed/>
    <w:rsid w:val="007D1EDC"/>
  </w:style>
  <w:style w:type="character" w:customStyle="1" w:styleId="IntenseEmphasis1">
    <w:name w:val="Intense Emphasis1"/>
    <w:basedOn w:val="DefaultParagraphFont"/>
    <w:uiPriority w:val="21"/>
    <w:qFormat/>
    <w:rsid w:val="007D1EDC"/>
    <w:rPr>
      <w:i/>
      <w:iCs/>
      <w:color w:val="0F4761"/>
    </w:rPr>
  </w:style>
  <w:style w:type="character" w:customStyle="1" w:styleId="IntenseReference1">
    <w:name w:val="Intense Reference1"/>
    <w:basedOn w:val="DefaultParagraphFont"/>
    <w:uiPriority w:val="32"/>
    <w:qFormat/>
    <w:rsid w:val="007D1EDC"/>
    <w:rPr>
      <w:b/>
      <w:bCs/>
      <w:smallCaps/>
      <w:color w:val="0F4761"/>
      <w:spacing w:val="5"/>
    </w:rPr>
  </w:style>
  <w:style w:type="table" w:customStyle="1" w:styleId="TableGrid17">
    <w:name w:val="Table Grid17"/>
    <w:basedOn w:val="TableNormal"/>
    <w:next w:val="TableGrid"/>
    <w:uiPriority w:val="39"/>
    <w:rsid w:val="007D1EDC"/>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7D1EDC"/>
    <w:rPr>
      <w:i/>
      <w:iCs/>
      <w:color w:val="4472C4" w:themeColor="accent1"/>
    </w:rPr>
  </w:style>
  <w:style w:type="character" w:styleId="IntenseReference">
    <w:name w:val="Intense Reference"/>
    <w:basedOn w:val="DefaultParagraphFont"/>
    <w:uiPriority w:val="32"/>
    <w:qFormat/>
    <w:rsid w:val="007D1EDC"/>
    <w:rPr>
      <w:b/>
      <w:bCs/>
      <w:smallCaps/>
      <w:color w:val="4472C4" w:themeColor="accent1"/>
      <w:spacing w:val="5"/>
    </w:rPr>
  </w:style>
  <w:style w:type="numbering" w:customStyle="1" w:styleId="NoList4">
    <w:name w:val="No List4"/>
    <w:next w:val="NoList"/>
    <w:uiPriority w:val="99"/>
    <w:semiHidden/>
    <w:unhideWhenUsed/>
    <w:rsid w:val="007D1EDC"/>
  </w:style>
  <w:style w:type="table" w:customStyle="1" w:styleId="TableGrid18">
    <w:name w:val="Table Grid18"/>
    <w:basedOn w:val="TableNormal"/>
    <w:next w:val="TableGrid"/>
    <w:uiPriority w:val="39"/>
    <w:rsid w:val="007D1EDC"/>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perscript6Point11pt1">
    <w:name w:val="Superscript 6 Point + 11 pt1"/>
    <w:basedOn w:val="DefaultParagraphFont"/>
    <w:uiPriority w:val="99"/>
    <w:rsid w:val="00C97DF3"/>
    <w:rPr>
      <w:rFonts w:ascii="Arial" w:hAnsi="Arial"/>
      <w:color w:val="4472C4"/>
      <w:position w:val="6"/>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99349">
      <w:bodyDiv w:val="1"/>
      <w:marLeft w:val="0"/>
      <w:marRight w:val="0"/>
      <w:marTop w:val="0"/>
      <w:marBottom w:val="0"/>
      <w:divBdr>
        <w:top w:val="none" w:sz="0" w:space="0" w:color="auto"/>
        <w:left w:val="none" w:sz="0" w:space="0" w:color="auto"/>
        <w:bottom w:val="none" w:sz="0" w:space="0" w:color="auto"/>
        <w:right w:val="none" w:sz="0" w:space="0" w:color="auto"/>
      </w:divBdr>
    </w:div>
    <w:div w:id="36009946">
      <w:bodyDiv w:val="1"/>
      <w:marLeft w:val="0"/>
      <w:marRight w:val="0"/>
      <w:marTop w:val="0"/>
      <w:marBottom w:val="0"/>
      <w:divBdr>
        <w:top w:val="none" w:sz="0" w:space="0" w:color="auto"/>
        <w:left w:val="none" w:sz="0" w:space="0" w:color="auto"/>
        <w:bottom w:val="none" w:sz="0" w:space="0" w:color="auto"/>
        <w:right w:val="none" w:sz="0" w:space="0" w:color="auto"/>
      </w:divBdr>
    </w:div>
    <w:div w:id="87623315">
      <w:bodyDiv w:val="1"/>
      <w:marLeft w:val="0"/>
      <w:marRight w:val="0"/>
      <w:marTop w:val="0"/>
      <w:marBottom w:val="0"/>
      <w:divBdr>
        <w:top w:val="none" w:sz="0" w:space="0" w:color="auto"/>
        <w:left w:val="none" w:sz="0" w:space="0" w:color="auto"/>
        <w:bottom w:val="none" w:sz="0" w:space="0" w:color="auto"/>
        <w:right w:val="none" w:sz="0" w:space="0" w:color="auto"/>
      </w:divBdr>
    </w:div>
    <w:div w:id="94833491">
      <w:bodyDiv w:val="1"/>
      <w:marLeft w:val="0"/>
      <w:marRight w:val="0"/>
      <w:marTop w:val="0"/>
      <w:marBottom w:val="0"/>
      <w:divBdr>
        <w:top w:val="none" w:sz="0" w:space="0" w:color="auto"/>
        <w:left w:val="none" w:sz="0" w:space="0" w:color="auto"/>
        <w:bottom w:val="none" w:sz="0" w:space="0" w:color="auto"/>
        <w:right w:val="none" w:sz="0" w:space="0" w:color="auto"/>
      </w:divBdr>
    </w:div>
    <w:div w:id="104354935">
      <w:bodyDiv w:val="1"/>
      <w:marLeft w:val="0"/>
      <w:marRight w:val="0"/>
      <w:marTop w:val="0"/>
      <w:marBottom w:val="0"/>
      <w:divBdr>
        <w:top w:val="none" w:sz="0" w:space="0" w:color="auto"/>
        <w:left w:val="none" w:sz="0" w:space="0" w:color="auto"/>
        <w:bottom w:val="none" w:sz="0" w:space="0" w:color="auto"/>
        <w:right w:val="none" w:sz="0" w:space="0" w:color="auto"/>
      </w:divBdr>
    </w:div>
    <w:div w:id="142699686">
      <w:bodyDiv w:val="1"/>
      <w:marLeft w:val="0"/>
      <w:marRight w:val="0"/>
      <w:marTop w:val="0"/>
      <w:marBottom w:val="0"/>
      <w:divBdr>
        <w:top w:val="none" w:sz="0" w:space="0" w:color="auto"/>
        <w:left w:val="none" w:sz="0" w:space="0" w:color="auto"/>
        <w:bottom w:val="none" w:sz="0" w:space="0" w:color="auto"/>
        <w:right w:val="none" w:sz="0" w:space="0" w:color="auto"/>
      </w:divBdr>
    </w:div>
    <w:div w:id="175506155">
      <w:bodyDiv w:val="1"/>
      <w:marLeft w:val="0"/>
      <w:marRight w:val="0"/>
      <w:marTop w:val="0"/>
      <w:marBottom w:val="0"/>
      <w:divBdr>
        <w:top w:val="none" w:sz="0" w:space="0" w:color="auto"/>
        <w:left w:val="none" w:sz="0" w:space="0" w:color="auto"/>
        <w:bottom w:val="none" w:sz="0" w:space="0" w:color="auto"/>
        <w:right w:val="none" w:sz="0" w:space="0" w:color="auto"/>
      </w:divBdr>
      <w:divsChild>
        <w:div w:id="471138724">
          <w:marLeft w:val="0"/>
          <w:marRight w:val="0"/>
          <w:marTop w:val="0"/>
          <w:marBottom w:val="0"/>
          <w:divBdr>
            <w:top w:val="none" w:sz="0" w:space="0" w:color="auto"/>
            <w:left w:val="none" w:sz="0" w:space="0" w:color="auto"/>
            <w:bottom w:val="none" w:sz="0" w:space="0" w:color="auto"/>
            <w:right w:val="none" w:sz="0" w:space="0" w:color="auto"/>
          </w:divBdr>
          <w:divsChild>
            <w:div w:id="449514604">
              <w:marLeft w:val="0"/>
              <w:marRight w:val="0"/>
              <w:marTop w:val="0"/>
              <w:marBottom w:val="0"/>
              <w:divBdr>
                <w:top w:val="none" w:sz="0" w:space="0" w:color="auto"/>
                <w:left w:val="none" w:sz="0" w:space="0" w:color="auto"/>
                <w:bottom w:val="none" w:sz="0" w:space="0" w:color="auto"/>
                <w:right w:val="none" w:sz="0" w:space="0" w:color="auto"/>
              </w:divBdr>
              <w:divsChild>
                <w:div w:id="167105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59791">
      <w:bodyDiv w:val="1"/>
      <w:marLeft w:val="0"/>
      <w:marRight w:val="0"/>
      <w:marTop w:val="0"/>
      <w:marBottom w:val="0"/>
      <w:divBdr>
        <w:top w:val="none" w:sz="0" w:space="0" w:color="auto"/>
        <w:left w:val="none" w:sz="0" w:space="0" w:color="auto"/>
        <w:bottom w:val="none" w:sz="0" w:space="0" w:color="auto"/>
        <w:right w:val="none" w:sz="0" w:space="0" w:color="auto"/>
      </w:divBdr>
      <w:divsChild>
        <w:div w:id="1108622420">
          <w:marLeft w:val="0"/>
          <w:marRight w:val="0"/>
          <w:marTop w:val="0"/>
          <w:marBottom w:val="0"/>
          <w:divBdr>
            <w:top w:val="none" w:sz="0" w:space="0" w:color="auto"/>
            <w:left w:val="none" w:sz="0" w:space="0" w:color="auto"/>
            <w:bottom w:val="none" w:sz="0" w:space="0" w:color="auto"/>
            <w:right w:val="none" w:sz="0" w:space="0" w:color="auto"/>
          </w:divBdr>
        </w:div>
      </w:divsChild>
    </w:div>
    <w:div w:id="214703762">
      <w:bodyDiv w:val="1"/>
      <w:marLeft w:val="0"/>
      <w:marRight w:val="0"/>
      <w:marTop w:val="0"/>
      <w:marBottom w:val="0"/>
      <w:divBdr>
        <w:top w:val="none" w:sz="0" w:space="0" w:color="auto"/>
        <w:left w:val="none" w:sz="0" w:space="0" w:color="auto"/>
        <w:bottom w:val="none" w:sz="0" w:space="0" w:color="auto"/>
        <w:right w:val="none" w:sz="0" w:space="0" w:color="auto"/>
      </w:divBdr>
    </w:div>
    <w:div w:id="239678025">
      <w:bodyDiv w:val="1"/>
      <w:marLeft w:val="0"/>
      <w:marRight w:val="0"/>
      <w:marTop w:val="0"/>
      <w:marBottom w:val="0"/>
      <w:divBdr>
        <w:top w:val="none" w:sz="0" w:space="0" w:color="auto"/>
        <w:left w:val="none" w:sz="0" w:space="0" w:color="auto"/>
        <w:bottom w:val="none" w:sz="0" w:space="0" w:color="auto"/>
        <w:right w:val="none" w:sz="0" w:space="0" w:color="auto"/>
      </w:divBdr>
      <w:divsChild>
        <w:div w:id="545677706">
          <w:marLeft w:val="0"/>
          <w:marRight w:val="0"/>
          <w:marTop w:val="0"/>
          <w:marBottom w:val="0"/>
          <w:divBdr>
            <w:top w:val="none" w:sz="0" w:space="0" w:color="auto"/>
            <w:left w:val="none" w:sz="0" w:space="0" w:color="auto"/>
            <w:bottom w:val="none" w:sz="0" w:space="0" w:color="auto"/>
            <w:right w:val="none" w:sz="0" w:space="0" w:color="auto"/>
          </w:divBdr>
        </w:div>
      </w:divsChild>
    </w:div>
    <w:div w:id="330334153">
      <w:bodyDiv w:val="1"/>
      <w:marLeft w:val="0"/>
      <w:marRight w:val="0"/>
      <w:marTop w:val="0"/>
      <w:marBottom w:val="0"/>
      <w:divBdr>
        <w:top w:val="none" w:sz="0" w:space="0" w:color="auto"/>
        <w:left w:val="none" w:sz="0" w:space="0" w:color="auto"/>
        <w:bottom w:val="none" w:sz="0" w:space="0" w:color="auto"/>
        <w:right w:val="none" w:sz="0" w:space="0" w:color="auto"/>
      </w:divBdr>
    </w:div>
    <w:div w:id="336004244">
      <w:bodyDiv w:val="1"/>
      <w:marLeft w:val="0"/>
      <w:marRight w:val="0"/>
      <w:marTop w:val="0"/>
      <w:marBottom w:val="0"/>
      <w:divBdr>
        <w:top w:val="none" w:sz="0" w:space="0" w:color="auto"/>
        <w:left w:val="none" w:sz="0" w:space="0" w:color="auto"/>
        <w:bottom w:val="none" w:sz="0" w:space="0" w:color="auto"/>
        <w:right w:val="none" w:sz="0" w:space="0" w:color="auto"/>
      </w:divBdr>
    </w:div>
    <w:div w:id="342050437">
      <w:bodyDiv w:val="1"/>
      <w:marLeft w:val="0"/>
      <w:marRight w:val="0"/>
      <w:marTop w:val="0"/>
      <w:marBottom w:val="0"/>
      <w:divBdr>
        <w:top w:val="none" w:sz="0" w:space="0" w:color="auto"/>
        <w:left w:val="none" w:sz="0" w:space="0" w:color="auto"/>
        <w:bottom w:val="none" w:sz="0" w:space="0" w:color="auto"/>
        <w:right w:val="none" w:sz="0" w:space="0" w:color="auto"/>
      </w:divBdr>
    </w:div>
    <w:div w:id="347680910">
      <w:bodyDiv w:val="1"/>
      <w:marLeft w:val="0"/>
      <w:marRight w:val="0"/>
      <w:marTop w:val="0"/>
      <w:marBottom w:val="0"/>
      <w:divBdr>
        <w:top w:val="none" w:sz="0" w:space="0" w:color="auto"/>
        <w:left w:val="none" w:sz="0" w:space="0" w:color="auto"/>
        <w:bottom w:val="none" w:sz="0" w:space="0" w:color="auto"/>
        <w:right w:val="none" w:sz="0" w:space="0" w:color="auto"/>
      </w:divBdr>
      <w:divsChild>
        <w:div w:id="430777600">
          <w:marLeft w:val="0"/>
          <w:marRight w:val="0"/>
          <w:marTop w:val="0"/>
          <w:marBottom w:val="0"/>
          <w:divBdr>
            <w:top w:val="none" w:sz="0" w:space="0" w:color="auto"/>
            <w:left w:val="none" w:sz="0" w:space="0" w:color="auto"/>
            <w:bottom w:val="none" w:sz="0" w:space="0" w:color="auto"/>
            <w:right w:val="none" w:sz="0" w:space="0" w:color="auto"/>
          </w:divBdr>
          <w:divsChild>
            <w:div w:id="1463498680">
              <w:marLeft w:val="0"/>
              <w:marRight w:val="0"/>
              <w:marTop w:val="0"/>
              <w:marBottom w:val="0"/>
              <w:divBdr>
                <w:top w:val="none" w:sz="0" w:space="0" w:color="auto"/>
                <w:left w:val="none" w:sz="0" w:space="0" w:color="auto"/>
                <w:bottom w:val="none" w:sz="0" w:space="0" w:color="auto"/>
                <w:right w:val="none" w:sz="0" w:space="0" w:color="auto"/>
              </w:divBdr>
              <w:divsChild>
                <w:div w:id="35416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33952">
      <w:bodyDiv w:val="1"/>
      <w:marLeft w:val="0"/>
      <w:marRight w:val="0"/>
      <w:marTop w:val="0"/>
      <w:marBottom w:val="0"/>
      <w:divBdr>
        <w:top w:val="none" w:sz="0" w:space="0" w:color="auto"/>
        <w:left w:val="none" w:sz="0" w:space="0" w:color="auto"/>
        <w:bottom w:val="none" w:sz="0" w:space="0" w:color="auto"/>
        <w:right w:val="none" w:sz="0" w:space="0" w:color="auto"/>
      </w:divBdr>
    </w:div>
    <w:div w:id="383216607">
      <w:bodyDiv w:val="1"/>
      <w:marLeft w:val="0"/>
      <w:marRight w:val="0"/>
      <w:marTop w:val="0"/>
      <w:marBottom w:val="0"/>
      <w:divBdr>
        <w:top w:val="none" w:sz="0" w:space="0" w:color="auto"/>
        <w:left w:val="none" w:sz="0" w:space="0" w:color="auto"/>
        <w:bottom w:val="none" w:sz="0" w:space="0" w:color="auto"/>
        <w:right w:val="none" w:sz="0" w:space="0" w:color="auto"/>
      </w:divBdr>
    </w:div>
    <w:div w:id="427770485">
      <w:bodyDiv w:val="1"/>
      <w:marLeft w:val="0"/>
      <w:marRight w:val="0"/>
      <w:marTop w:val="0"/>
      <w:marBottom w:val="0"/>
      <w:divBdr>
        <w:top w:val="none" w:sz="0" w:space="0" w:color="auto"/>
        <w:left w:val="none" w:sz="0" w:space="0" w:color="auto"/>
        <w:bottom w:val="none" w:sz="0" w:space="0" w:color="auto"/>
        <w:right w:val="none" w:sz="0" w:space="0" w:color="auto"/>
      </w:divBdr>
    </w:div>
    <w:div w:id="443694895">
      <w:bodyDiv w:val="1"/>
      <w:marLeft w:val="0"/>
      <w:marRight w:val="0"/>
      <w:marTop w:val="0"/>
      <w:marBottom w:val="0"/>
      <w:divBdr>
        <w:top w:val="none" w:sz="0" w:space="0" w:color="auto"/>
        <w:left w:val="none" w:sz="0" w:space="0" w:color="auto"/>
        <w:bottom w:val="none" w:sz="0" w:space="0" w:color="auto"/>
        <w:right w:val="none" w:sz="0" w:space="0" w:color="auto"/>
      </w:divBdr>
    </w:div>
    <w:div w:id="455875748">
      <w:bodyDiv w:val="1"/>
      <w:marLeft w:val="0"/>
      <w:marRight w:val="0"/>
      <w:marTop w:val="0"/>
      <w:marBottom w:val="0"/>
      <w:divBdr>
        <w:top w:val="none" w:sz="0" w:space="0" w:color="auto"/>
        <w:left w:val="none" w:sz="0" w:space="0" w:color="auto"/>
        <w:bottom w:val="none" w:sz="0" w:space="0" w:color="auto"/>
        <w:right w:val="none" w:sz="0" w:space="0" w:color="auto"/>
      </w:divBdr>
    </w:div>
    <w:div w:id="458379101">
      <w:bodyDiv w:val="1"/>
      <w:marLeft w:val="0"/>
      <w:marRight w:val="0"/>
      <w:marTop w:val="0"/>
      <w:marBottom w:val="0"/>
      <w:divBdr>
        <w:top w:val="none" w:sz="0" w:space="0" w:color="auto"/>
        <w:left w:val="none" w:sz="0" w:space="0" w:color="auto"/>
        <w:bottom w:val="none" w:sz="0" w:space="0" w:color="auto"/>
        <w:right w:val="none" w:sz="0" w:space="0" w:color="auto"/>
      </w:divBdr>
    </w:div>
    <w:div w:id="466944785">
      <w:bodyDiv w:val="1"/>
      <w:marLeft w:val="0"/>
      <w:marRight w:val="0"/>
      <w:marTop w:val="0"/>
      <w:marBottom w:val="0"/>
      <w:divBdr>
        <w:top w:val="none" w:sz="0" w:space="0" w:color="auto"/>
        <w:left w:val="none" w:sz="0" w:space="0" w:color="auto"/>
        <w:bottom w:val="none" w:sz="0" w:space="0" w:color="auto"/>
        <w:right w:val="none" w:sz="0" w:space="0" w:color="auto"/>
      </w:divBdr>
    </w:div>
    <w:div w:id="475801384">
      <w:bodyDiv w:val="1"/>
      <w:marLeft w:val="0"/>
      <w:marRight w:val="0"/>
      <w:marTop w:val="0"/>
      <w:marBottom w:val="0"/>
      <w:divBdr>
        <w:top w:val="none" w:sz="0" w:space="0" w:color="auto"/>
        <w:left w:val="none" w:sz="0" w:space="0" w:color="auto"/>
        <w:bottom w:val="none" w:sz="0" w:space="0" w:color="auto"/>
        <w:right w:val="none" w:sz="0" w:space="0" w:color="auto"/>
      </w:divBdr>
    </w:div>
    <w:div w:id="543831809">
      <w:bodyDiv w:val="1"/>
      <w:marLeft w:val="0"/>
      <w:marRight w:val="0"/>
      <w:marTop w:val="0"/>
      <w:marBottom w:val="0"/>
      <w:divBdr>
        <w:top w:val="none" w:sz="0" w:space="0" w:color="auto"/>
        <w:left w:val="none" w:sz="0" w:space="0" w:color="auto"/>
        <w:bottom w:val="none" w:sz="0" w:space="0" w:color="auto"/>
        <w:right w:val="none" w:sz="0" w:space="0" w:color="auto"/>
      </w:divBdr>
    </w:div>
    <w:div w:id="573123747">
      <w:bodyDiv w:val="1"/>
      <w:marLeft w:val="0"/>
      <w:marRight w:val="0"/>
      <w:marTop w:val="0"/>
      <w:marBottom w:val="0"/>
      <w:divBdr>
        <w:top w:val="none" w:sz="0" w:space="0" w:color="auto"/>
        <w:left w:val="none" w:sz="0" w:space="0" w:color="auto"/>
        <w:bottom w:val="none" w:sz="0" w:space="0" w:color="auto"/>
        <w:right w:val="none" w:sz="0" w:space="0" w:color="auto"/>
      </w:divBdr>
    </w:div>
    <w:div w:id="584844903">
      <w:bodyDiv w:val="1"/>
      <w:marLeft w:val="0"/>
      <w:marRight w:val="0"/>
      <w:marTop w:val="0"/>
      <w:marBottom w:val="0"/>
      <w:divBdr>
        <w:top w:val="none" w:sz="0" w:space="0" w:color="auto"/>
        <w:left w:val="none" w:sz="0" w:space="0" w:color="auto"/>
        <w:bottom w:val="none" w:sz="0" w:space="0" w:color="auto"/>
        <w:right w:val="none" w:sz="0" w:space="0" w:color="auto"/>
      </w:divBdr>
      <w:divsChild>
        <w:div w:id="1709603913">
          <w:marLeft w:val="0"/>
          <w:marRight w:val="0"/>
          <w:marTop w:val="0"/>
          <w:marBottom w:val="0"/>
          <w:divBdr>
            <w:top w:val="none" w:sz="0" w:space="0" w:color="auto"/>
            <w:left w:val="none" w:sz="0" w:space="0" w:color="auto"/>
            <w:bottom w:val="none" w:sz="0" w:space="0" w:color="auto"/>
            <w:right w:val="none" w:sz="0" w:space="0" w:color="auto"/>
          </w:divBdr>
          <w:divsChild>
            <w:div w:id="1314873357">
              <w:marLeft w:val="0"/>
              <w:marRight w:val="0"/>
              <w:marTop w:val="0"/>
              <w:marBottom w:val="0"/>
              <w:divBdr>
                <w:top w:val="none" w:sz="0" w:space="0" w:color="auto"/>
                <w:left w:val="none" w:sz="0" w:space="0" w:color="auto"/>
                <w:bottom w:val="none" w:sz="0" w:space="0" w:color="auto"/>
                <w:right w:val="none" w:sz="0" w:space="0" w:color="auto"/>
              </w:divBdr>
              <w:divsChild>
                <w:div w:id="27355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19350">
      <w:bodyDiv w:val="1"/>
      <w:marLeft w:val="0"/>
      <w:marRight w:val="0"/>
      <w:marTop w:val="0"/>
      <w:marBottom w:val="0"/>
      <w:divBdr>
        <w:top w:val="none" w:sz="0" w:space="0" w:color="auto"/>
        <w:left w:val="none" w:sz="0" w:space="0" w:color="auto"/>
        <w:bottom w:val="none" w:sz="0" w:space="0" w:color="auto"/>
        <w:right w:val="none" w:sz="0" w:space="0" w:color="auto"/>
      </w:divBdr>
      <w:divsChild>
        <w:div w:id="1591743076">
          <w:marLeft w:val="0"/>
          <w:marRight w:val="0"/>
          <w:marTop w:val="0"/>
          <w:marBottom w:val="0"/>
          <w:divBdr>
            <w:top w:val="none" w:sz="0" w:space="0" w:color="auto"/>
            <w:left w:val="none" w:sz="0" w:space="0" w:color="auto"/>
            <w:bottom w:val="none" w:sz="0" w:space="0" w:color="auto"/>
            <w:right w:val="none" w:sz="0" w:space="0" w:color="auto"/>
          </w:divBdr>
          <w:divsChild>
            <w:div w:id="1213686783">
              <w:marLeft w:val="0"/>
              <w:marRight w:val="0"/>
              <w:marTop w:val="0"/>
              <w:marBottom w:val="0"/>
              <w:divBdr>
                <w:top w:val="none" w:sz="0" w:space="0" w:color="auto"/>
                <w:left w:val="none" w:sz="0" w:space="0" w:color="auto"/>
                <w:bottom w:val="none" w:sz="0" w:space="0" w:color="auto"/>
                <w:right w:val="none" w:sz="0" w:space="0" w:color="auto"/>
              </w:divBdr>
              <w:divsChild>
                <w:div w:id="127023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233938">
      <w:bodyDiv w:val="1"/>
      <w:marLeft w:val="0"/>
      <w:marRight w:val="0"/>
      <w:marTop w:val="0"/>
      <w:marBottom w:val="0"/>
      <w:divBdr>
        <w:top w:val="none" w:sz="0" w:space="0" w:color="auto"/>
        <w:left w:val="none" w:sz="0" w:space="0" w:color="auto"/>
        <w:bottom w:val="none" w:sz="0" w:space="0" w:color="auto"/>
        <w:right w:val="none" w:sz="0" w:space="0" w:color="auto"/>
      </w:divBdr>
    </w:div>
    <w:div w:id="628123845">
      <w:bodyDiv w:val="1"/>
      <w:marLeft w:val="0"/>
      <w:marRight w:val="0"/>
      <w:marTop w:val="0"/>
      <w:marBottom w:val="0"/>
      <w:divBdr>
        <w:top w:val="none" w:sz="0" w:space="0" w:color="auto"/>
        <w:left w:val="none" w:sz="0" w:space="0" w:color="auto"/>
        <w:bottom w:val="none" w:sz="0" w:space="0" w:color="auto"/>
        <w:right w:val="none" w:sz="0" w:space="0" w:color="auto"/>
      </w:divBdr>
    </w:div>
    <w:div w:id="664169679">
      <w:bodyDiv w:val="1"/>
      <w:marLeft w:val="0"/>
      <w:marRight w:val="0"/>
      <w:marTop w:val="0"/>
      <w:marBottom w:val="0"/>
      <w:divBdr>
        <w:top w:val="none" w:sz="0" w:space="0" w:color="auto"/>
        <w:left w:val="none" w:sz="0" w:space="0" w:color="auto"/>
        <w:bottom w:val="none" w:sz="0" w:space="0" w:color="auto"/>
        <w:right w:val="none" w:sz="0" w:space="0" w:color="auto"/>
      </w:divBdr>
    </w:div>
    <w:div w:id="725955160">
      <w:bodyDiv w:val="1"/>
      <w:marLeft w:val="0"/>
      <w:marRight w:val="0"/>
      <w:marTop w:val="0"/>
      <w:marBottom w:val="0"/>
      <w:divBdr>
        <w:top w:val="none" w:sz="0" w:space="0" w:color="auto"/>
        <w:left w:val="none" w:sz="0" w:space="0" w:color="auto"/>
        <w:bottom w:val="none" w:sz="0" w:space="0" w:color="auto"/>
        <w:right w:val="none" w:sz="0" w:space="0" w:color="auto"/>
      </w:divBdr>
    </w:div>
    <w:div w:id="734202193">
      <w:bodyDiv w:val="1"/>
      <w:marLeft w:val="0"/>
      <w:marRight w:val="0"/>
      <w:marTop w:val="0"/>
      <w:marBottom w:val="0"/>
      <w:divBdr>
        <w:top w:val="none" w:sz="0" w:space="0" w:color="auto"/>
        <w:left w:val="none" w:sz="0" w:space="0" w:color="auto"/>
        <w:bottom w:val="none" w:sz="0" w:space="0" w:color="auto"/>
        <w:right w:val="none" w:sz="0" w:space="0" w:color="auto"/>
      </w:divBdr>
    </w:div>
    <w:div w:id="779765528">
      <w:bodyDiv w:val="1"/>
      <w:marLeft w:val="0"/>
      <w:marRight w:val="0"/>
      <w:marTop w:val="0"/>
      <w:marBottom w:val="0"/>
      <w:divBdr>
        <w:top w:val="none" w:sz="0" w:space="0" w:color="auto"/>
        <w:left w:val="none" w:sz="0" w:space="0" w:color="auto"/>
        <w:bottom w:val="none" w:sz="0" w:space="0" w:color="auto"/>
        <w:right w:val="none" w:sz="0" w:space="0" w:color="auto"/>
      </w:divBdr>
    </w:div>
    <w:div w:id="815994036">
      <w:bodyDiv w:val="1"/>
      <w:marLeft w:val="0"/>
      <w:marRight w:val="0"/>
      <w:marTop w:val="0"/>
      <w:marBottom w:val="0"/>
      <w:divBdr>
        <w:top w:val="none" w:sz="0" w:space="0" w:color="auto"/>
        <w:left w:val="none" w:sz="0" w:space="0" w:color="auto"/>
        <w:bottom w:val="none" w:sz="0" w:space="0" w:color="auto"/>
        <w:right w:val="none" w:sz="0" w:space="0" w:color="auto"/>
      </w:divBdr>
    </w:div>
    <w:div w:id="858550062">
      <w:bodyDiv w:val="1"/>
      <w:marLeft w:val="0"/>
      <w:marRight w:val="0"/>
      <w:marTop w:val="0"/>
      <w:marBottom w:val="0"/>
      <w:divBdr>
        <w:top w:val="none" w:sz="0" w:space="0" w:color="auto"/>
        <w:left w:val="none" w:sz="0" w:space="0" w:color="auto"/>
        <w:bottom w:val="none" w:sz="0" w:space="0" w:color="auto"/>
        <w:right w:val="none" w:sz="0" w:space="0" w:color="auto"/>
      </w:divBdr>
      <w:divsChild>
        <w:div w:id="1703706424">
          <w:marLeft w:val="0"/>
          <w:marRight w:val="0"/>
          <w:marTop w:val="0"/>
          <w:marBottom w:val="0"/>
          <w:divBdr>
            <w:top w:val="none" w:sz="0" w:space="0" w:color="auto"/>
            <w:left w:val="none" w:sz="0" w:space="0" w:color="auto"/>
            <w:bottom w:val="none" w:sz="0" w:space="0" w:color="auto"/>
            <w:right w:val="none" w:sz="0" w:space="0" w:color="auto"/>
          </w:divBdr>
          <w:divsChild>
            <w:div w:id="492767165">
              <w:marLeft w:val="0"/>
              <w:marRight w:val="0"/>
              <w:marTop w:val="0"/>
              <w:marBottom w:val="0"/>
              <w:divBdr>
                <w:top w:val="none" w:sz="0" w:space="0" w:color="auto"/>
                <w:left w:val="none" w:sz="0" w:space="0" w:color="auto"/>
                <w:bottom w:val="none" w:sz="0" w:space="0" w:color="auto"/>
                <w:right w:val="none" w:sz="0" w:space="0" w:color="auto"/>
              </w:divBdr>
              <w:divsChild>
                <w:div w:id="174294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358629">
      <w:bodyDiv w:val="1"/>
      <w:marLeft w:val="0"/>
      <w:marRight w:val="0"/>
      <w:marTop w:val="0"/>
      <w:marBottom w:val="0"/>
      <w:divBdr>
        <w:top w:val="none" w:sz="0" w:space="0" w:color="auto"/>
        <w:left w:val="none" w:sz="0" w:space="0" w:color="auto"/>
        <w:bottom w:val="none" w:sz="0" w:space="0" w:color="auto"/>
        <w:right w:val="none" w:sz="0" w:space="0" w:color="auto"/>
      </w:divBdr>
    </w:div>
    <w:div w:id="908268476">
      <w:bodyDiv w:val="1"/>
      <w:marLeft w:val="0"/>
      <w:marRight w:val="0"/>
      <w:marTop w:val="0"/>
      <w:marBottom w:val="0"/>
      <w:divBdr>
        <w:top w:val="none" w:sz="0" w:space="0" w:color="auto"/>
        <w:left w:val="none" w:sz="0" w:space="0" w:color="auto"/>
        <w:bottom w:val="none" w:sz="0" w:space="0" w:color="auto"/>
        <w:right w:val="none" w:sz="0" w:space="0" w:color="auto"/>
      </w:divBdr>
    </w:div>
    <w:div w:id="930504137">
      <w:bodyDiv w:val="1"/>
      <w:marLeft w:val="0"/>
      <w:marRight w:val="0"/>
      <w:marTop w:val="0"/>
      <w:marBottom w:val="0"/>
      <w:divBdr>
        <w:top w:val="none" w:sz="0" w:space="0" w:color="auto"/>
        <w:left w:val="none" w:sz="0" w:space="0" w:color="auto"/>
        <w:bottom w:val="none" w:sz="0" w:space="0" w:color="auto"/>
        <w:right w:val="none" w:sz="0" w:space="0" w:color="auto"/>
      </w:divBdr>
    </w:div>
    <w:div w:id="1125000868">
      <w:bodyDiv w:val="1"/>
      <w:marLeft w:val="0"/>
      <w:marRight w:val="0"/>
      <w:marTop w:val="0"/>
      <w:marBottom w:val="0"/>
      <w:divBdr>
        <w:top w:val="none" w:sz="0" w:space="0" w:color="auto"/>
        <w:left w:val="none" w:sz="0" w:space="0" w:color="auto"/>
        <w:bottom w:val="none" w:sz="0" w:space="0" w:color="auto"/>
        <w:right w:val="none" w:sz="0" w:space="0" w:color="auto"/>
      </w:divBdr>
    </w:div>
    <w:div w:id="1158308640">
      <w:bodyDiv w:val="1"/>
      <w:marLeft w:val="0"/>
      <w:marRight w:val="0"/>
      <w:marTop w:val="0"/>
      <w:marBottom w:val="0"/>
      <w:divBdr>
        <w:top w:val="none" w:sz="0" w:space="0" w:color="auto"/>
        <w:left w:val="none" w:sz="0" w:space="0" w:color="auto"/>
        <w:bottom w:val="none" w:sz="0" w:space="0" w:color="auto"/>
        <w:right w:val="none" w:sz="0" w:space="0" w:color="auto"/>
      </w:divBdr>
      <w:divsChild>
        <w:div w:id="1990474204">
          <w:marLeft w:val="0"/>
          <w:marRight w:val="0"/>
          <w:marTop w:val="0"/>
          <w:marBottom w:val="0"/>
          <w:divBdr>
            <w:top w:val="none" w:sz="0" w:space="0" w:color="auto"/>
            <w:left w:val="none" w:sz="0" w:space="0" w:color="auto"/>
            <w:bottom w:val="none" w:sz="0" w:space="0" w:color="auto"/>
            <w:right w:val="none" w:sz="0" w:space="0" w:color="auto"/>
          </w:divBdr>
          <w:divsChild>
            <w:div w:id="619649436">
              <w:marLeft w:val="0"/>
              <w:marRight w:val="0"/>
              <w:marTop w:val="0"/>
              <w:marBottom w:val="0"/>
              <w:divBdr>
                <w:top w:val="none" w:sz="0" w:space="0" w:color="auto"/>
                <w:left w:val="none" w:sz="0" w:space="0" w:color="auto"/>
                <w:bottom w:val="none" w:sz="0" w:space="0" w:color="auto"/>
                <w:right w:val="none" w:sz="0" w:space="0" w:color="auto"/>
              </w:divBdr>
              <w:divsChild>
                <w:div w:id="146010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845765">
      <w:bodyDiv w:val="1"/>
      <w:marLeft w:val="0"/>
      <w:marRight w:val="0"/>
      <w:marTop w:val="0"/>
      <w:marBottom w:val="0"/>
      <w:divBdr>
        <w:top w:val="none" w:sz="0" w:space="0" w:color="auto"/>
        <w:left w:val="none" w:sz="0" w:space="0" w:color="auto"/>
        <w:bottom w:val="none" w:sz="0" w:space="0" w:color="auto"/>
        <w:right w:val="none" w:sz="0" w:space="0" w:color="auto"/>
      </w:divBdr>
    </w:div>
    <w:div w:id="1177816324">
      <w:bodyDiv w:val="1"/>
      <w:marLeft w:val="0"/>
      <w:marRight w:val="0"/>
      <w:marTop w:val="0"/>
      <w:marBottom w:val="0"/>
      <w:divBdr>
        <w:top w:val="none" w:sz="0" w:space="0" w:color="auto"/>
        <w:left w:val="none" w:sz="0" w:space="0" w:color="auto"/>
        <w:bottom w:val="none" w:sz="0" w:space="0" w:color="auto"/>
        <w:right w:val="none" w:sz="0" w:space="0" w:color="auto"/>
      </w:divBdr>
    </w:div>
    <w:div w:id="1193761042">
      <w:bodyDiv w:val="1"/>
      <w:marLeft w:val="0"/>
      <w:marRight w:val="0"/>
      <w:marTop w:val="0"/>
      <w:marBottom w:val="0"/>
      <w:divBdr>
        <w:top w:val="none" w:sz="0" w:space="0" w:color="auto"/>
        <w:left w:val="none" w:sz="0" w:space="0" w:color="auto"/>
        <w:bottom w:val="none" w:sz="0" w:space="0" w:color="auto"/>
        <w:right w:val="none" w:sz="0" w:space="0" w:color="auto"/>
      </w:divBdr>
    </w:div>
    <w:div w:id="1243488009">
      <w:bodyDiv w:val="1"/>
      <w:marLeft w:val="0"/>
      <w:marRight w:val="0"/>
      <w:marTop w:val="0"/>
      <w:marBottom w:val="0"/>
      <w:divBdr>
        <w:top w:val="none" w:sz="0" w:space="0" w:color="auto"/>
        <w:left w:val="none" w:sz="0" w:space="0" w:color="auto"/>
        <w:bottom w:val="none" w:sz="0" w:space="0" w:color="auto"/>
        <w:right w:val="none" w:sz="0" w:space="0" w:color="auto"/>
      </w:divBdr>
    </w:div>
    <w:div w:id="1248998964">
      <w:bodyDiv w:val="1"/>
      <w:marLeft w:val="0"/>
      <w:marRight w:val="0"/>
      <w:marTop w:val="0"/>
      <w:marBottom w:val="0"/>
      <w:divBdr>
        <w:top w:val="none" w:sz="0" w:space="0" w:color="auto"/>
        <w:left w:val="none" w:sz="0" w:space="0" w:color="auto"/>
        <w:bottom w:val="none" w:sz="0" w:space="0" w:color="auto"/>
        <w:right w:val="none" w:sz="0" w:space="0" w:color="auto"/>
      </w:divBdr>
    </w:div>
    <w:div w:id="1276598386">
      <w:bodyDiv w:val="1"/>
      <w:marLeft w:val="0"/>
      <w:marRight w:val="0"/>
      <w:marTop w:val="0"/>
      <w:marBottom w:val="0"/>
      <w:divBdr>
        <w:top w:val="none" w:sz="0" w:space="0" w:color="auto"/>
        <w:left w:val="none" w:sz="0" w:space="0" w:color="auto"/>
        <w:bottom w:val="none" w:sz="0" w:space="0" w:color="auto"/>
        <w:right w:val="none" w:sz="0" w:space="0" w:color="auto"/>
      </w:divBdr>
    </w:div>
    <w:div w:id="1286083336">
      <w:bodyDiv w:val="1"/>
      <w:marLeft w:val="0"/>
      <w:marRight w:val="0"/>
      <w:marTop w:val="0"/>
      <w:marBottom w:val="0"/>
      <w:divBdr>
        <w:top w:val="none" w:sz="0" w:space="0" w:color="auto"/>
        <w:left w:val="none" w:sz="0" w:space="0" w:color="auto"/>
        <w:bottom w:val="none" w:sz="0" w:space="0" w:color="auto"/>
        <w:right w:val="none" w:sz="0" w:space="0" w:color="auto"/>
      </w:divBdr>
    </w:div>
    <w:div w:id="1293363657">
      <w:bodyDiv w:val="1"/>
      <w:marLeft w:val="0"/>
      <w:marRight w:val="0"/>
      <w:marTop w:val="0"/>
      <w:marBottom w:val="0"/>
      <w:divBdr>
        <w:top w:val="none" w:sz="0" w:space="0" w:color="auto"/>
        <w:left w:val="none" w:sz="0" w:space="0" w:color="auto"/>
        <w:bottom w:val="none" w:sz="0" w:space="0" w:color="auto"/>
        <w:right w:val="none" w:sz="0" w:space="0" w:color="auto"/>
      </w:divBdr>
    </w:div>
    <w:div w:id="1296525495">
      <w:bodyDiv w:val="1"/>
      <w:marLeft w:val="0"/>
      <w:marRight w:val="0"/>
      <w:marTop w:val="0"/>
      <w:marBottom w:val="0"/>
      <w:divBdr>
        <w:top w:val="none" w:sz="0" w:space="0" w:color="auto"/>
        <w:left w:val="none" w:sz="0" w:space="0" w:color="auto"/>
        <w:bottom w:val="none" w:sz="0" w:space="0" w:color="auto"/>
        <w:right w:val="none" w:sz="0" w:space="0" w:color="auto"/>
      </w:divBdr>
    </w:div>
    <w:div w:id="1330868949">
      <w:bodyDiv w:val="1"/>
      <w:marLeft w:val="0"/>
      <w:marRight w:val="0"/>
      <w:marTop w:val="0"/>
      <w:marBottom w:val="0"/>
      <w:divBdr>
        <w:top w:val="none" w:sz="0" w:space="0" w:color="auto"/>
        <w:left w:val="none" w:sz="0" w:space="0" w:color="auto"/>
        <w:bottom w:val="none" w:sz="0" w:space="0" w:color="auto"/>
        <w:right w:val="none" w:sz="0" w:space="0" w:color="auto"/>
      </w:divBdr>
      <w:divsChild>
        <w:div w:id="442769679">
          <w:marLeft w:val="0"/>
          <w:marRight w:val="0"/>
          <w:marTop w:val="0"/>
          <w:marBottom w:val="0"/>
          <w:divBdr>
            <w:top w:val="none" w:sz="0" w:space="0" w:color="auto"/>
            <w:left w:val="none" w:sz="0" w:space="0" w:color="auto"/>
            <w:bottom w:val="none" w:sz="0" w:space="0" w:color="auto"/>
            <w:right w:val="none" w:sz="0" w:space="0" w:color="auto"/>
          </w:divBdr>
          <w:divsChild>
            <w:div w:id="465969969">
              <w:marLeft w:val="0"/>
              <w:marRight w:val="0"/>
              <w:marTop w:val="0"/>
              <w:marBottom w:val="0"/>
              <w:divBdr>
                <w:top w:val="none" w:sz="0" w:space="0" w:color="auto"/>
                <w:left w:val="none" w:sz="0" w:space="0" w:color="auto"/>
                <w:bottom w:val="none" w:sz="0" w:space="0" w:color="auto"/>
                <w:right w:val="none" w:sz="0" w:space="0" w:color="auto"/>
              </w:divBdr>
              <w:divsChild>
                <w:div w:id="204316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444899">
      <w:bodyDiv w:val="1"/>
      <w:marLeft w:val="0"/>
      <w:marRight w:val="0"/>
      <w:marTop w:val="0"/>
      <w:marBottom w:val="0"/>
      <w:divBdr>
        <w:top w:val="none" w:sz="0" w:space="0" w:color="auto"/>
        <w:left w:val="none" w:sz="0" w:space="0" w:color="auto"/>
        <w:bottom w:val="none" w:sz="0" w:space="0" w:color="auto"/>
        <w:right w:val="none" w:sz="0" w:space="0" w:color="auto"/>
      </w:divBdr>
    </w:div>
    <w:div w:id="1397707513">
      <w:bodyDiv w:val="1"/>
      <w:marLeft w:val="0"/>
      <w:marRight w:val="0"/>
      <w:marTop w:val="0"/>
      <w:marBottom w:val="0"/>
      <w:divBdr>
        <w:top w:val="none" w:sz="0" w:space="0" w:color="auto"/>
        <w:left w:val="none" w:sz="0" w:space="0" w:color="auto"/>
        <w:bottom w:val="none" w:sz="0" w:space="0" w:color="auto"/>
        <w:right w:val="none" w:sz="0" w:space="0" w:color="auto"/>
      </w:divBdr>
    </w:div>
    <w:div w:id="1413622381">
      <w:bodyDiv w:val="1"/>
      <w:marLeft w:val="0"/>
      <w:marRight w:val="0"/>
      <w:marTop w:val="0"/>
      <w:marBottom w:val="0"/>
      <w:divBdr>
        <w:top w:val="none" w:sz="0" w:space="0" w:color="auto"/>
        <w:left w:val="none" w:sz="0" w:space="0" w:color="auto"/>
        <w:bottom w:val="none" w:sz="0" w:space="0" w:color="auto"/>
        <w:right w:val="none" w:sz="0" w:space="0" w:color="auto"/>
      </w:divBdr>
      <w:divsChild>
        <w:div w:id="396780076">
          <w:marLeft w:val="0"/>
          <w:marRight w:val="0"/>
          <w:marTop w:val="0"/>
          <w:marBottom w:val="0"/>
          <w:divBdr>
            <w:top w:val="none" w:sz="0" w:space="0" w:color="auto"/>
            <w:left w:val="none" w:sz="0" w:space="0" w:color="auto"/>
            <w:bottom w:val="none" w:sz="0" w:space="0" w:color="auto"/>
            <w:right w:val="none" w:sz="0" w:space="0" w:color="auto"/>
          </w:divBdr>
          <w:divsChild>
            <w:div w:id="449327014">
              <w:marLeft w:val="0"/>
              <w:marRight w:val="0"/>
              <w:marTop w:val="0"/>
              <w:marBottom w:val="0"/>
              <w:divBdr>
                <w:top w:val="none" w:sz="0" w:space="0" w:color="auto"/>
                <w:left w:val="none" w:sz="0" w:space="0" w:color="auto"/>
                <w:bottom w:val="none" w:sz="0" w:space="0" w:color="auto"/>
                <w:right w:val="none" w:sz="0" w:space="0" w:color="auto"/>
              </w:divBdr>
              <w:divsChild>
                <w:div w:id="20381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428191">
      <w:bodyDiv w:val="1"/>
      <w:marLeft w:val="0"/>
      <w:marRight w:val="0"/>
      <w:marTop w:val="0"/>
      <w:marBottom w:val="0"/>
      <w:divBdr>
        <w:top w:val="none" w:sz="0" w:space="0" w:color="auto"/>
        <w:left w:val="none" w:sz="0" w:space="0" w:color="auto"/>
        <w:bottom w:val="none" w:sz="0" w:space="0" w:color="auto"/>
        <w:right w:val="none" w:sz="0" w:space="0" w:color="auto"/>
      </w:divBdr>
    </w:div>
    <w:div w:id="1447386137">
      <w:bodyDiv w:val="1"/>
      <w:marLeft w:val="0"/>
      <w:marRight w:val="0"/>
      <w:marTop w:val="0"/>
      <w:marBottom w:val="0"/>
      <w:divBdr>
        <w:top w:val="none" w:sz="0" w:space="0" w:color="auto"/>
        <w:left w:val="none" w:sz="0" w:space="0" w:color="auto"/>
        <w:bottom w:val="none" w:sz="0" w:space="0" w:color="auto"/>
        <w:right w:val="none" w:sz="0" w:space="0" w:color="auto"/>
      </w:divBdr>
    </w:div>
    <w:div w:id="1466969717">
      <w:bodyDiv w:val="1"/>
      <w:marLeft w:val="0"/>
      <w:marRight w:val="0"/>
      <w:marTop w:val="0"/>
      <w:marBottom w:val="0"/>
      <w:divBdr>
        <w:top w:val="none" w:sz="0" w:space="0" w:color="auto"/>
        <w:left w:val="none" w:sz="0" w:space="0" w:color="auto"/>
        <w:bottom w:val="none" w:sz="0" w:space="0" w:color="auto"/>
        <w:right w:val="none" w:sz="0" w:space="0" w:color="auto"/>
      </w:divBdr>
    </w:div>
    <w:div w:id="1585527712">
      <w:bodyDiv w:val="1"/>
      <w:marLeft w:val="0"/>
      <w:marRight w:val="0"/>
      <w:marTop w:val="0"/>
      <w:marBottom w:val="0"/>
      <w:divBdr>
        <w:top w:val="none" w:sz="0" w:space="0" w:color="auto"/>
        <w:left w:val="none" w:sz="0" w:space="0" w:color="auto"/>
        <w:bottom w:val="none" w:sz="0" w:space="0" w:color="auto"/>
        <w:right w:val="none" w:sz="0" w:space="0" w:color="auto"/>
      </w:divBdr>
    </w:div>
    <w:div w:id="1617979908">
      <w:bodyDiv w:val="1"/>
      <w:marLeft w:val="0"/>
      <w:marRight w:val="0"/>
      <w:marTop w:val="0"/>
      <w:marBottom w:val="0"/>
      <w:divBdr>
        <w:top w:val="none" w:sz="0" w:space="0" w:color="auto"/>
        <w:left w:val="none" w:sz="0" w:space="0" w:color="auto"/>
        <w:bottom w:val="none" w:sz="0" w:space="0" w:color="auto"/>
        <w:right w:val="none" w:sz="0" w:space="0" w:color="auto"/>
      </w:divBdr>
    </w:div>
    <w:div w:id="1650941622">
      <w:bodyDiv w:val="1"/>
      <w:marLeft w:val="0"/>
      <w:marRight w:val="0"/>
      <w:marTop w:val="0"/>
      <w:marBottom w:val="0"/>
      <w:divBdr>
        <w:top w:val="none" w:sz="0" w:space="0" w:color="auto"/>
        <w:left w:val="none" w:sz="0" w:space="0" w:color="auto"/>
        <w:bottom w:val="none" w:sz="0" w:space="0" w:color="auto"/>
        <w:right w:val="none" w:sz="0" w:space="0" w:color="auto"/>
      </w:divBdr>
    </w:div>
    <w:div w:id="1684941214">
      <w:bodyDiv w:val="1"/>
      <w:marLeft w:val="0"/>
      <w:marRight w:val="0"/>
      <w:marTop w:val="0"/>
      <w:marBottom w:val="0"/>
      <w:divBdr>
        <w:top w:val="none" w:sz="0" w:space="0" w:color="auto"/>
        <w:left w:val="none" w:sz="0" w:space="0" w:color="auto"/>
        <w:bottom w:val="none" w:sz="0" w:space="0" w:color="auto"/>
        <w:right w:val="none" w:sz="0" w:space="0" w:color="auto"/>
      </w:divBdr>
    </w:div>
    <w:div w:id="1725105401">
      <w:bodyDiv w:val="1"/>
      <w:marLeft w:val="0"/>
      <w:marRight w:val="0"/>
      <w:marTop w:val="0"/>
      <w:marBottom w:val="0"/>
      <w:divBdr>
        <w:top w:val="none" w:sz="0" w:space="0" w:color="auto"/>
        <w:left w:val="none" w:sz="0" w:space="0" w:color="auto"/>
        <w:bottom w:val="none" w:sz="0" w:space="0" w:color="auto"/>
        <w:right w:val="none" w:sz="0" w:space="0" w:color="auto"/>
      </w:divBdr>
    </w:div>
    <w:div w:id="1741365705">
      <w:bodyDiv w:val="1"/>
      <w:marLeft w:val="0"/>
      <w:marRight w:val="0"/>
      <w:marTop w:val="0"/>
      <w:marBottom w:val="0"/>
      <w:divBdr>
        <w:top w:val="none" w:sz="0" w:space="0" w:color="auto"/>
        <w:left w:val="none" w:sz="0" w:space="0" w:color="auto"/>
        <w:bottom w:val="none" w:sz="0" w:space="0" w:color="auto"/>
        <w:right w:val="none" w:sz="0" w:space="0" w:color="auto"/>
      </w:divBdr>
    </w:div>
    <w:div w:id="1742370394">
      <w:bodyDiv w:val="1"/>
      <w:marLeft w:val="0"/>
      <w:marRight w:val="0"/>
      <w:marTop w:val="0"/>
      <w:marBottom w:val="0"/>
      <w:divBdr>
        <w:top w:val="none" w:sz="0" w:space="0" w:color="auto"/>
        <w:left w:val="none" w:sz="0" w:space="0" w:color="auto"/>
        <w:bottom w:val="none" w:sz="0" w:space="0" w:color="auto"/>
        <w:right w:val="none" w:sz="0" w:space="0" w:color="auto"/>
      </w:divBdr>
    </w:div>
    <w:div w:id="1746494849">
      <w:bodyDiv w:val="1"/>
      <w:marLeft w:val="0"/>
      <w:marRight w:val="0"/>
      <w:marTop w:val="0"/>
      <w:marBottom w:val="0"/>
      <w:divBdr>
        <w:top w:val="none" w:sz="0" w:space="0" w:color="auto"/>
        <w:left w:val="none" w:sz="0" w:space="0" w:color="auto"/>
        <w:bottom w:val="none" w:sz="0" w:space="0" w:color="auto"/>
        <w:right w:val="none" w:sz="0" w:space="0" w:color="auto"/>
      </w:divBdr>
    </w:div>
    <w:div w:id="1776166456">
      <w:bodyDiv w:val="1"/>
      <w:marLeft w:val="0"/>
      <w:marRight w:val="0"/>
      <w:marTop w:val="0"/>
      <w:marBottom w:val="0"/>
      <w:divBdr>
        <w:top w:val="none" w:sz="0" w:space="0" w:color="auto"/>
        <w:left w:val="none" w:sz="0" w:space="0" w:color="auto"/>
        <w:bottom w:val="none" w:sz="0" w:space="0" w:color="auto"/>
        <w:right w:val="none" w:sz="0" w:space="0" w:color="auto"/>
      </w:divBdr>
    </w:div>
    <w:div w:id="1779448979">
      <w:bodyDiv w:val="1"/>
      <w:marLeft w:val="0"/>
      <w:marRight w:val="0"/>
      <w:marTop w:val="0"/>
      <w:marBottom w:val="0"/>
      <w:divBdr>
        <w:top w:val="none" w:sz="0" w:space="0" w:color="auto"/>
        <w:left w:val="none" w:sz="0" w:space="0" w:color="auto"/>
        <w:bottom w:val="none" w:sz="0" w:space="0" w:color="auto"/>
        <w:right w:val="none" w:sz="0" w:space="0" w:color="auto"/>
      </w:divBdr>
    </w:div>
    <w:div w:id="1784033273">
      <w:bodyDiv w:val="1"/>
      <w:marLeft w:val="0"/>
      <w:marRight w:val="0"/>
      <w:marTop w:val="0"/>
      <w:marBottom w:val="0"/>
      <w:divBdr>
        <w:top w:val="none" w:sz="0" w:space="0" w:color="auto"/>
        <w:left w:val="none" w:sz="0" w:space="0" w:color="auto"/>
        <w:bottom w:val="none" w:sz="0" w:space="0" w:color="auto"/>
        <w:right w:val="none" w:sz="0" w:space="0" w:color="auto"/>
      </w:divBdr>
    </w:div>
    <w:div w:id="1786462513">
      <w:bodyDiv w:val="1"/>
      <w:marLeft w:val="0"/>
      <w:marRight w:val="0"/>
      <w:marTop w:val="0"/>
      <w:marBottom w:val="0"/>
      <w:divBdr>
        <w:top w:val="none" w:sz="0" w:space="0" w:color="auto"/>
        <w:left w:val="none" w:sz="0" w:space="0" w:color="auto"/>
        <w:bottom w:val="none" w:sz="0" w:space="0" w:color="auto"/>
        <w:right w:val="none" w:sz="0" w:space="0" w:color="auto"/>
      </w:divBdr>
    </w:div>
    <w:div w:id="1823809781">
      <w:bodyDiv w:val="1"/>
      <w:marLeft w:val="0"/>
      <w:marRight w:val="0"/>
      <w:marTop w:val="0"/>
      <w:marBottom w:val="0"/>
      <w:divBdr>
        <w:top w:val="none" w:sz="0" w:space="0" w:color="auto"/>
        <w:left w:val="none" w:sz="0" w:space="0" w:color="auto"/>
        <w:bottom w:val="none" w:sz="0" w:space="0" w:color="auto"/>
        <w:right w:val="none" w:sz="0" w:space="0" w:color="auto"/>
      </w:divBdr>
      <w:divsChild>
        <w:div w:id="28534287">
          <w:marLeft w:val="0"/>
          <w:marRight w:val="0"/>
          <w:marTop w:val="0"/>
          <w:marBottom w:val="0"/>
          <w:divBdr>
            <w:top w:val="none" w:sz="0" w:space="0" w:color="auto"/>
            <w:left w:val="none" w:sz="0" w:space="0" w:color="auto"/>
            <w:bottom w:val="none" w:sz="0" w:space="0" w:color="auto"/>
            <w:right w:val="none" w:sz="0" w:space="0" w:color="auto"/>
          </w:divBdr>
          <w:divsChild>
            <w:div w:id="742722728">
              <w:marLeft w:val="0"/>
              <w:marRight w:val="0"/>
              <w:marTop w:val="0"/>
              <w:marBottom w:val="0"/>
              <w:divBdr>
                <w:top w:val="none" w:sz="0" w:space="0" w:color="auto"/>
                <w:left w:val="none" w:sz="0" w:space="0" w:color="auto"/>
                <w:bottom w:val="none" w:sz="0" w:space="0" w:color="auto"/>
                <w:right w:val="none" w:sz="0" w:space="0" w:color="auto"/>
              </w:divBdr>
              <w:divsChild>
                <w:div w:id="182939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971269">
      <w:bodyDiv w:val="1"/>
      <w:marLeft w:val="0"/>
      <w:marRight w:val="0"/>
      <w:marTop w:val="0"/>
      <w:marBottom w:val="0"/>
      <w:divBdr>
        <w:top w:val="none" w:sz="0" w:space="0" w:color="auto"/>
        <w:left w:val="none" w:sz="0" w:space="0" w:color="auto"/>
        <w:bottom w:val="none" w:sz="0" w:space="0" w:color="auto"/>
        <w:right w:val="none" w:sz="0" w:space="0" w:color="auto"/>
      </w:divBdr>
    </w:div>
    <w:div w:id="1890069148">
      <w:bodyDiv w:val="1"/>
      <w:marLeft w:val="0"/>
      <w:marRight w:val="0"/>
      <w:marTop w:val="0"/>
      <w:marBottom w:val="0"/>
      <w:divBdr>
        <w:top w:val="none" w:sz="0" w:space="0" w:color="auto"/>
        <w:left w:val="none" w:sz="0" w:space="0" w:color="auto"/>
        <w:bottom w:val="none" w:sz="0" w:space="0" w:color="auto"/>
        <w:right w:val="none" w:sz="0" w:space="0" w:color="auto"/>
      </w:divBdr>
    </w:div>
    <w:div w:id="1930919148">
      <w:bodyDiv w:val="1"/>
      <w:marLeft w:val="0"/>
      <w:marRight w:val="0"/>
      <w:marTop w:val="0"/>
      <w:marBottom w:val="0"/>
      <w:divBdr>
        <w:top w:val="none" w:sz="0" w:space="0" w:color="auto"/>
        <w:left w:val="none" w:sz="0" w:space="0" w:color="auto"/>
        <w:bottom w:val="none" w:sz="0" w:space="0" w:color="auto"/>
        <w:right w:val="none" w:sz="0" w:space="0" w:color="auto"/>
      </w:divBdr>
    </w:div>
    <w:div w:id="1948728621">
      <w:bodyDiv w:val="1"/>
      <w:marLeft w:val="0"/>
      <w:marRight w:val="0"/>
      <w:marTop w:val="0"/>
      <w:marBottom w:val="0"/>
      <w:divBdr>
        <w:top w:val="none" w:sz="0" w:space="0" w:color="auto"/>
        <w:left w:val="none" w:sz="0" w:space="0" w:color="auto"/>
        <w:bottom w:val="none" w:sz="0" w:space="0" w:color="auto"/>
        <w:right w:val="none" w:sz="0" w:space="0" w:color="auto"/>
      </w:divBdr>
    </w:div>
    <w:div w:id="1963339881">
      <w:bodyDiv w:val="1"/>
      <w:marLeft w:val="0"/>
      <w:marRight w:val="0"/>
      <w:marTop w:val="0"/>
      <w:marBottom w:val="0"/>
      <w:divBdr>
        <w:top w:val="none" w:sz="0" w:space="0" w:color="auto"/>
        <w:left w:val="none" w:sz="0" w:space="0" w:color="auto"/>
        <w:bottom w:val="none" w:sz="0" w:space="0" w:color="auto"/>
        <w:right w:val="none" w:sz="0" w:space="0" w:color="auto"/>
      </w:divBdr>
    </w:div>
    <w:div w:id="1973559732">
      <w:bodyDiv w:val="1"/>
      <w:marLeft w:val="0"/>
      <w:marRight w:val="0"/>
      <w:marTop w:val="0"/>
      <w:marBottom w:val="0"/>
      <w:divBdr>
        <w:top w:val="none" w:sz="0" w:space="0" w:color="auto"/>
        <w:left w:val="none" w:sz="0" w:space="0" w:color="auto"/>
        <w:bottom w:val="none" w:sz="0" w:space="0" w:color="auto"/>
        <w:right w:val="none" w:sz="0" w:space="0" w:color="auto"/>
      </w:divBdr>
    </w:div>
    <w:div w:id="1992249335">
      <w:bodyDiv w:val="1"/>
      <w:marLeft w:val="0"/>
      <w:marRight w:val="0"/>
      <w:marTop w:val="0"/>
      <w:marBottom w:val="0"/>
      <w:divBdr>
        <w:top w:val="none" w:sz="0" w:space="0" w:color="auto"/>
        <w:left w:val="none" w:sz="0" w:space="0" w:color="auto"/>
        <w:bottom w:val="none" w:sz="0" w:space="0" w:color="auto"/>
        <w:right w:val="none" w:sz="0" w:space="0" w:color="auto"/>
      </w:divBdr>
    </w:div>
    <w:div w:id="2052801309">
      <w:bodyDiv w:val="1"/>
      <w:marLeft w:val="0"/>
      <w:marRight w:val="0"/>
      <w:marTop w:val="0"/>
      <w:marBottom w:val="0"/>
      <w:divBdr>
        <w:top w:val="none" w:sz="0" w:space="0" w:color="auto"/>
        <w:left w:val="none" w:sz="0" w:space="0" w:color="auto"/>
        <w:bottom w:val="none" w:sz="0" w:space="0" w:color="auto"/>
        <w:right w:val="none" w:sz="0" w:space="0" w:color="auto"/>
      </w:divBdr>
    </w:div>
    <w:div w:id="2142574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footer" Target="footer3.xml"/><Relationship Id="rId42" Type="http://schemas.openxmlformats.org/officeDocument/2006/relationships/header" Target="header7.xml"/><Relationship Id="rId47" Type="http://schemas.openxmlformats.org/officeDocument/2006/relationships/chart" Target="charts/chart9.xml"/><Relationship Id="rId63" Type="http://schemas.openxmlformats.org/officeDocument/2006/relationships/oleObject" Target="embeddings/oleObject6.bin"/><Relationship Id="rId68" Type="http://schemas.openxmlformats.org/officeDocument/2006/relationships/image" Target="media/image25.png"/><Relationship Id="rId84" Type="http://schemas.openxmlformats.org/officeDocument/2006/relationships/chart" Target="charts/chart15.xml"/><Relationship Id="rId89" Type="http://schemas.openxmlformats.org/officeDocument/2006/relationships/chart" Target="charts/chart20.xml"/><Relationship Id="rId16" Type="http://schemas.openxmlformats.org/officeDocument/2006/relationships/header" Target="header1.xml"/><Relationship Id="rId107" Type="http://schemas.openxmlformats.org/officeDocument/2006/relationships/theme" Target="theme/theme1.xml"/><Relationship Id="rId11"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diagramData" Target="diagrams/data1.xml"/><Relationship Id="rId53" Type="http://schemas.openxmlformats.org/officeDocument/2006/relationships/chart" Target="charts/chart12.xml"/><Relationship Id="rId58" Type="http://schemas.openxmlformats.org/officeDocument/2006/relationships/image" Target="media/image16.jpeg"/><Relationship Id="rId74" Type="http://schemas.openxmlformats.org/officeDocument/2006/relationships/chart" Target="charts/chart14.xml"/><Relationship Id="rId79" Type="http://schemas.openxmlformats.org/officeDocument/2006/relationships/image" Target="media/image35.png"/><Relationship Id="rId102" Type="http://schemas.openxmlformats.org/officeDocument/2006/relationships/chart" Target="charts/chart27.xml"/><Relationship Id="rId5" Type="http://schemas.openxmlformats.org/officeDocument/2006/relationships/numbering" Target="numbering.xml"/><Relationship Id="rId90" Type="http://schemas.openxmlformats.org/officeDocument/2006/relationships/image" Target="media/image40.png"/><Relationship Id="rId95" Type="http://schemas.openxmlformats.org/officeDocument/2006/relationships/image" Target="media/image41.jpeg"/><Relationship Id="rId22" Type="http://schemas.openxmlformats.org/officeDocument/2006/relationships/header" Target="header4.xml"/><Relationship Id="rId27" Type="http://schemas.openxmlformats.org/officeDocument/2006/relationships/chart" Target="charts/chart3.xml"/><Relationship Id="rId43" Type="http://schemas.openxmlformats.org/officeDocument/2006/relationships/footer" Target="footer7.xml"/><Relationship Id="rId48" Type="http://schemas.openxmlformats.org/officeDocument/2006/relationships/image" Target="media/image12.png"/><Relationship Id="rId64" Type="http://schemas.openxmlformats.org/officeDocument/2006/relationships/image" Target="media/image21.jpeg"/><Relationship Id="rId69" Type="http://schemas.openxmlformats.org/officeDocument/2006/relationships/image" Target="media/image26.jpeg"/><Relationship Id="rId80" Type="http://schemas.openxmlformats.org/officeDocument/2006/relationships/image" Target="media/image36.png"/><Relationship Id="rId85" Type="http://schemas.openxmlformats.org/officeDocument/2006/relationships/chart" Target="charts/chart16.xml"/><Relationship Id="rId12" Type="http://schemas.openxmlformats.org/officeDocument/2006/relationships/image" Target="media/image2.jpeg"/><Relationship Id="rId17" Type="http://schemas.openxmlformats.org/officeDocument/2006/relationships/header" Target="header2.xml"/><Relationship Id="rId33" Type="http://schemas.openxmlformats.org/officeDocument/2006/relationships/header" Target="header5.xml"/><Relationship Id="rId38" Type="http://schemas.openxmlformats.org/officeDocument/2006/relationships/diagramLayout" Target="diagrams/layout1.xml"/><Relationship Id="rId59" Type="http://schemas.openxmlformats.org/officeDocument/2006/relationships/image" Target="media/image17.wmf"/><Relationship Id="rId103" Type="http://schemas.openxmlformats.org/officeDocument/2006/relationships/chart" Target="charts/chart28.xml"/><Relationship Id="rId108" Type="http://schemas.microsoft.com/office/2020/10/relationships/intelligence" Target="intelligence2.xml"/><Relationship Id="rId20" Type="http://schemas.openxmlformats.org/officeDocument/2006/relationships/header" Target="header3.xml"/><Relationship Id="rId41" Type="http://schemas.microsoft.com/office/2007/relationships/diagramDrawing" Target="diagrams/drawing1.xml"/><Relationship Id="rId54" Type="http://schemas.openxmlformats.org/officeDocument/2006/relationships/chart" Target="charts/chart13.xml"/><Relationship Id="rId62" Type="http://schemas.openxmlformats.org/officeDocument/2006/relationships/image" Target="media/image20.png"/><Relationship Id="rId70" Type="http://schemas.openxmlformats.org/officeDocument/2006/relationships/image" Target="media/image27.png"/><Relationship Id="rId75" Type="http://schemas.openxmlformats.org/officeDocument/2006/relationships/image" Target="media/image31.png"/><Relationship Id="rId83" Type="http://schemas.openxmlformats.org/officeDocument/2006/relationships/image" Target="media/image39.png"/><Relationship Id="rId88" Type="http://schemas.openxmlformats.org/officeDocument/2006/relationships/chart" Target="charts/chart19.xml"/><Relationship Id="rId91" Type="http://schemas.openxmlformats.org/officeDocument/2006/relationships/header" Target="header9.xml"/><Relationship Id="rId96"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chart" Target="charts/chart4.xml"/><Relationship Id="rId36" Type="http://schemas.openxmlformats.org/officeDocument/2006/relationships/footer" Target="footer6.xml"/><Relationship Id="rId49" Type="http://schemas.openxmlformats.org/officeDocument/2006/relationships/chart" Target="charts/chart10.xml"/><Relationship Id="rId57" Type="http://schemas.openxmlformats.org/officeDocument/2006/relationships/image" Target="media/image15.jpe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cid:ii_m8q9rist2" TargetMode="External"/><Relationship Id="rId44" Type="http://schemas.openxmlformats.org/officeDocument/2006/relationships/chart" Target="charts/chart6.xml"/><Relationship Id="rId52" Type="http://schemas.openxmlformats.org/officeDocument/2006/relationships/chart" Target="charts/chart11.xml"/><Relationship Id="rId60" Type="http://schemas.openxmlformats.org/officeDocument/2006/relationships/image" Target="media/image18.png"/><Relationship Id="rId65" Type="http://schemas.openxmlformats.org/officeDocument/2006/relationships/image" Target="media/image22.jpeg"/><Relationship Id="rId73" Type="http://schemas.openxmlformats.org/officeDocument/2006/relationships/image" Target="media/image30.png"/><Relationship Id="rId78" Type="http://schemas.openxmlformats.org/officeDocument/2006/relationships/image" Target="media/image34.jpeg"/><Relationship Id="rId81" Type="http://schemas.openxmlformats.org/officeDocument/2006/relationships/image" Target="media/image37.png"/><Relationship Id="rId86" Type="http://schemas.openxmlformats.org/officeDocument/2006/relationships/chart" Target="charts/chart17.xml"/><Relationship Id="rId94" Type="http://schemas.openxmlformats.org/officeDocument/2006/relationships/chart" Target="charts/chart22.xml"/><Relationship Id="rId99" Type="http://schemas.openxmlformats.org/officeDocument/2006/relationships/chart" Target="charts/chart24.xml"/><Relationship Id="rId101" Type="http://schemas.openxmlformats.org/officeDocument/2006/relationships/chart" Target="charts/chart2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9" Type="http://schemas.openxmlformats.org/officeDocument/2006/relationships/diagramQuickStyle" Target="diagrams/quickStyle1.xml"/><Relationship Id="rId34" Type="http://schemas.openxmlformats.org/officeDocument/2006/relationships/footer" Target="footer5.xml"/><Relationship Id="rId50" Type="http://schemas.openxmlformats.org/officeDocument/2006/relationships/image" Target="media/image13.jpeg"/><Relationship Id="rId55" Type="http://schemas.openxmlformats.org/officeDocument/2006/relationships/header" Target="header8.xml"/><Relationship Id="rId76" Type="http://schemas.openxmlformats.org/officeDocument/2006/relationships/image" Target="media/image32.png"/><Relationship Id="rId97" Type="http://schemas.openxmlformats.org/officeDocument/2006/relationships/image" Target="media/image43.jpeg"/><Relationship Id="rId104" Type="http://schemas.openxmlformats.org/officeDocument/2006/relationships/header" Target="header10.xml"/><Relationship Id="rId7" Type="http://schemas.openxmlformats.org/officeDocument/2006/relationships/settings" Target="settings.xml"/><Relationship Id="rId71" Type="http://schemas.openxmlformats.org/officeDocument/2006/relationships/image" Target="media/image28.jpeg"/><Relationship Id="rId92" Type="http://schemas.openxmlformats.org/officeDocument/2006/relationships/footer" Target="footer9.xml"/><Relationship Id="rId2" Type="http://schemas.openxmlformats.org/officeDocument/2006/relationships/customXml" Target="../customXml/item2.xml"/><Relationship Id="rId29" Type="http://schemas.openxmlformats.org/officeDocument/2006/relationships/chart" Target="charts/chart5.xml"/><Relationship Id="rId24" Type="http://schemas.openxmlformats.org/officeDocument/2006/relationships/chart" Target="charts/chart1.xml"/><Relationship Id="rId40" Type="http://schemas.openxmlformats.org/officeDocument/2006/relationships/diagramColors" Target="diagrams/colors1.xml"/><Relationship Id="rId45" Type="http://schemas.openxmlformats.org/officeDocument/2006/relationships/chart" Target="charts/chart7.xml"/><Relationship Id="rId66" Type="http://schemas.openxmlformats.org/officeDocument/2006/relationships/image" Target="media/image23.jpeg"/><Relationship Id="rId87" Type="http://schemas.openxmlformats.org/officeDocument/2006/relationships/chart" Target="charts/chart18.xml"/><Relationship Id="rId61" Type="http://schemas.openxmlformats.org/officeDocument/2006/relationships/image" Target="media/image19.emf"/><Relationship Id="rId82" Type="http://schemas.openxmlformats.org/officeDocument/2006/relationships/image" Target="media/image38.jpeg"/><Relationship Id="rId19" Type="http://schemas.openxmlformats.org/officeDocument/2006/relationships/footer" Target="footer2.xml"/><Relationship Id="rId14" Type="http://schemas.openxmlformats.org/officeDocument/2006/relationships/image" Target="media/image4.png"/><Relationship Id="rId30" Type="http://schemas.openxmlformats.org/officeDocument/2006/relationships/image" Target="media/image8.png"/><Relationship Id="rId35" Type="http://schemas.openxmlformats.org/officeDocument/2006/relationships/header" Target="header6.xml"/><Relationship Id="rId56" Type="http://schemas.openxmlformats.org/officeDocument/2006/relationships/footer" Target="footer8.xml"/><Relationship Id="rId77" Type="http://schemas.openxmlformats.org/officeDocument/2006/relationships/image" Target="media/image33.png"/><Relationship Id="rId100" Type="http://schemas.openxmlformats.org/officeDocument/2006/relationships/chart" Target="charts/chart25.xml"/><Relationship Id="rId105" Type="http://schemas.openxmlformats.org/officeDocument/2006/relationships/footer" Target="footer10.xml"/><Relationship Id="rId8" Type="http://schemas.openxmlformats.org/officeDocument/2006/relationships/webSettings" Target="webSettings.xml"/><Relationship Id="rId51" Type="http://schemas.openxmlformats.org/officeDocument/2006/relationships/image" Target="media/image14.jpg"/><Relationship Id="rId72" Type="http://schemas.openxmlformats.org/officeDocument/2006/relationships/image" Target="media/image29.jpeg"/><Relationship Id="rId93" Type="http://schemas.openxmlformats.org/officeDocument/2006/relationships/chart" Target="charts/chart21.xml"/><Relationship Id="rId98" Type="http://schemas.openxmlformats.org/officeDocument/2006/relationships/chart" Target="charts/chart23.xml"/><Relationship Id="rId3" Type="http://schemas.openxmlformats.org/officeDocument/2006/relationships/customXml" Target="../customXml/item3.xml"/><Relationship Id="rId25" Type="http://schemas.openxmlformats.org/officeDocument/2006/relationships/chart" Target="charts/chart2.xml"/><Relationship Id="rId46" Type="http://schemas.openxmlformats.org/officeDocument/2006/relationships/chart" Target="charts/chart8.xml"/><Relationship Id="rId67" Type="http://schemas.openxmlformats.org/officeDocument/2006/relationships/image" Target="media/image24.png"/></Relationships>
</file>

<file path=word/_rels/footnotes.xml.rels><?xml version="1.0" encoding="UTF-8" standalone="yes"?>
<Relationships xmlns="http://schemas.openxmlformats.org/package/2006/relationships"><Relationship Id="rId2" Type="http://schemas.openxmlformats.org/officeDocument/2006/relationships/hyperlink" Target="https://askapi.rks-gov.net/Custom/05ec40da-61a2-4ace-ae25-241e2c38c050.pdf" TargetMode="External"/><Relationship Id="rId1" Type="http://schemas.openxmlformats.org/officeDocument/2006/relationships/hyperlink" Target="https://askapi.rks-gov.net/Custom/54ab93a9-061e-4b12-b850-dff45dd32637.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oleObject" Target="file:///C:\Users\HighTech%20ALBI\Desktop\GFA_RWA_Dukagjini%20Project\DOCS\FINAL%20REPORTS_DELIVERABLES\March%202025\figure%20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embeddings/oleObject4.bin"/></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embeddings/oleObject5.bin"/></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xlsx"/></Relationships>
</file>

<file path=word/charts/_rels/chart14.xml.rels><?xml version="1.0" encoding="UTF-8" standalone="yes"?>
<Relationships xmlns="http://schemas.openxmlformats.org/package/2006/relationships"><Relationship Id="rId3" Type="http://schemas.openxmlformats.org/officeDocument/2006/relationships/oleObject" Target="file:///C:\Users\HighTech%20ALBI\Desktop\GFA_RWA_Dukagjini%20Project\DOCS\FINAL%20REPORTS_DELIVERABLES\March%202025\figures%2018-2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HighTech%20ALBI\AppData\Local\Microsoft\Windows\INetCache\Content.Outlook\PTH2EJOS\fig%2017.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HighTech%20ALBI\Desktop\GFA_RWA_Dukagjini%20Project\DOCS\FINAL%20REPORTS_DELIVERABLES\March%202025\figures%2018-2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HighTech%20ALBI\Desktop\GFA_RWA_Dukagjini%20Project\DOCS\FINAL%20REPORTS_DELIVERABLES\March%202025\figures%2018-2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20.xml.rels><?xml version="1.0" encoding="UTF-8" standalone="yes"?>
<Relationships xmlns="http://schemas.openxmlformats.org/package/2006/relationships"><Relationship Id="rId3" Type="http://schemas.openxmlformats.org/officeDocument/2006/relationships/oleObject" Target="file:///C:\Users\HighTech%20ALBI\Desktop\GFA_RWA_Dukagjini%20Project\DOCS\FINAL%20REPORTS_DELIVERABLES\March%202025\figures%2018-22.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HighTech%20ALBI\Desktop\GFA_RWA_Dukagjini%20Project\DOCS\FINAL%20REPORTS_DELIVERABLES\March%202025\Graphs_Action%20plan_ALB.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HighTech%20ALBI\Desktop\GFA_RWA_Dukagjini%20Project\DOCS\FINAL%20REPORTS_DELIVERABLES\March%202025\Graphs_Action%20plan_ALB.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HighTech%20ALBI\AppData\Local\Microsoft\Windows\INetCache\Content.Outlook\PTH2EJOS\Landfill.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HighTech%20ALBI\Desktop\GFA_RWA_Dukagjini%20Project\DOCS\FINAL%20REPORTS_DELIVERABLES\March%202025\Graphs_Action%20plan_ALB.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HighTech%20ALBI\Desktop\GFA_RWA_Dukagjini%20Project\DOCS\FINAL%20REPORTS_DELIVERABLES\March%202025\Graphs_Action%20plan_ALB.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HighTech%20ALBI\Desktop\GFA_RWA_Dukagjini%20Project\DOCS\FINAL%20REPORTS_DELIVERABLES\March%202025\Graphs_Action%20plan_ALB.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HighTech%20ALBI\Desktop\GFA_RWA_Dukagjini%20Project\DOCS\FINAL%20REPORTS_DELIVERABLES\March%202025\Graphs_Action%20plan_ALB.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HighTech%20ALBI\Desktop\GFA_RWA_Dukagjini%20Project\DOCS\FINAL%20REPORTS_DELIVERABLES\March%202025\Graphs_Action%20plan_ALB.xlsx"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ighTech%20ALBI\AppData\Local\Microsoft\Windows\INetCache\Content.Outlook\PTH2EJOS\fig%2017.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ighTech%20ALBI\Desktop\GFA_RWA_Dukagjini%20Project\DOCS\FINAL%20REPORTS_DELIVERABLES\March%202025\figures%2018-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ighTech%20ALBI\Desktop\GFA_RWA_Dukagjini%20Project\DOCS\FINAL%20REPORTS_DELIVERABLES\March%202025\figures%2018-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ighTech%20ALBI\AppData\Local\Microsoft\Windows\INetCache\Content.Outlook\PTH2EJOS\summary%20statistic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3.bin"/></Relationships>
</file>

<file path=word/charts/_rels/chart8.xml.rels><?xml version="1.0" encoding="UTF-8" standalone="yes"?>
<Relationships xmlns="http://schemas.openxmlformats.org/package/2006/relationships"><Relationship Id="rId3" Type="http://schemas.openxmlformats.org/officeDocument/2006/relationships/oleObject" Target="file:///P:\SY\SONYA\Kosovo\Peja\summary%20statistic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P:\SY\SONYA\Kosovo\Peja\summary%20statistic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a:t>Popullsia në rajonin e Dukagjinit region, banorë</a:t>
            </a: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Narrow" panose="020B0606020202030204" pitchFamily="34" charset="0"/>
              <a:ea typeface="+mn-ea"/>
              <a:cs typeface="+mn-cs"/>
            </a:defRPr>
          </a:pPr>
          <a:endParaRPr lang="LID4096"/>
        </a:p>
      </c:txPr>
    </c:title>
    <c:autoTitleDeleted val="0"/>
    <c:plotArea>
      <c:layout/>
      <c:barChart>
        <c:barDir val="col"/>
        <c:grouping val="stacked"/>
        <c:varyColors val="0"/>
        <c:ser>
          <c:idx val="0"/>
          <c:order val="0"/>
          <c:tx>
            <c:strRef>
              <c:f>'Summary Costs All'!$D$301</c:f>
              <c:strCache>
                <c:ptCount val="1"/>
                <c:pt idx="0">
                  <c:v>Population Dukagjini region, residents</c:v>
                </c:pt>
              </c:strCache>
            </c:strRef>
          </c:tx>
          <c:spPr>
            <a:solidFill>
              <a:schemeClr val="accent1"/>
            </a:solidFill>
            <a:ln>
              <a:noFill/>
            </a:ln>
            <a:effectLst/>
          </c:spPr>
          <c:invertIfNegative val="0"/>
          <c:cat>
            <c:numRef>
              <c:f>'Summary Costs All'!$E$300:$P$300</c:f>
              <c:numCache>
                <c:formatCode>General</c:formatCode>
                <c:ptCount val="12"/>
                <c:pt idx="0">
                  <c:v>2024</c:v>
                </c:pt>
                <c:pt idx="1">
                  <c:v>2025</c:v>
                </c:pt>
                <c:pt idx="2">
                  <c:v>2026</c:v>
                </c:pt>
                <c:pt idx="3">
                  <c:v>2027</c:v>
                </c:pt>
                <c:pt idx="4">
                  <c:v>2028</c:v>
                </c:pt>
                <c:pt idx="5">
                  <c:v>2029</c:v>
                </c:pt>
                <c:pt idx="6">
                  <c:v>2030</c:v>
                </c:pt>
                <c:pt idx="7">
                  <c:v>2031</c:v>
                </c:pt>
                <c:pt idx="8">
                  <c:v>2032</c:v>
                </c:pt>
                <c:pt idx="9">
                  <c:v>2033</c:v>
                </c:pt>
                <c:pt idx="10">
                  <c:v>2034</c:v>
                </c:pt>
                <c:pt idx="11">
                  <c:v>2035</c:v>
                </c:pt>
              </c:numCache>
            </c:numRef>
          </c:cat>
          <c:val>
            <c:numRef>
              <c:f>'Summary Costs All'!$E$301:$P$301</c:f>
              <c:numCache>
                <c:formatCode>#,##0</c:formatCode>
                <c:ptCount val="12"/>
                <c:pt idx="0">
                  <c:v>178011</c:v>
                </c:pt>
                <c:pt idx="1">
                  <c:v>177831</c:v>
                </c:pt>
                <c:pt idx="2">
                  <c:v>177669</c:v>
                </c:pt>
                <c:pt idx="3">
                  <c:v>177523</c:v>
                </c:pt>
                <c:pt idx="4">
                  <c:v>177390</c:v>
                </c:pt>
                <c:pt idx="5">
                  <c:v>177271</c:v>
                </c:pt>
                <c:pt idx="6">
                  <c:v>177164</c:v>
                </c:pt>
                <c:pt idx="7">
                  <c:v>177067</c:v>
                </c:pt>
                <c:pt idx="8">
                  <c:v>176980</c:v>
                </c:pt>
                <c:pt idx="9">
                  <c:v>176901</c:v>
                </c:pt>
                <c:pt idx="10">
                  <c:v>176831</c:v>
                </c:pt>
                <c:pt idx="11">
                  <c:v>176767</c:v>
                </c:pt>
              </c:numCache>
            </c:numRef>
          </c:val>
          <c:extLst>
            <c:ext xmlns:c16="http://schemas.microsoft.com/office/drawing/2014/chart" uri="{C3380CC4-5D6E-409C-BE32-E72D297353CC}">
              <c16:uniqueId val="{00000000-3CC6-41F5-B01A-C34C84690EDA}"/>
            </c:ext>
          </c:extLst>
        </c:ser>
        <c:dLbls>
          <c:showLegendKey val="0"/>
          <c:showVal val="0"/>
          <c:showCatName val="0"/>
          <c:showSerName val="0"/>
          <c:showPercent val="0"/>
          <c:showBubbleSize val="0"/>
        </c:dLbls>
        <c:gapWidth val="150"/>
        <c:overlap val="100"/>
        <c:axId val="741361280"/>
        <c:axId val="741356960"/>
      </c:barChart>
      <c:catAx>
        <c:axId val="74136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LID4096"/>
          </a:p>
        </c:txPr>
        <c:crossAx val="741356960"/>
        <c:crosses val="autoZero"/>
        <c:auto val="1"/>
        <c:lblAlgn val="ctr"/>
        <c:lblOffset val="100"/>
        <c:noMultiLvlLbl val="0"/>
      </c:catAx>
      <c:valAx>
        <c:axId val="741356960"/>
        <c:scaling>
          <c:orientation val="minMax"/>
          <c:min val="1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LID4096"/>
          </a:p>
        </c:txPr>
        <c:crossAx val="741361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Narrow" panose="020B0606020202030204" pitchFamily="34" charset="0"/>
        </a:defRPr>
      </a:pPr>
      <a:endParaRPr lang="LID4096"/>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sq-AL" sz="1100" b="0" i="0" u="none" strike="noStrike" kern="1200" spc="0" baseline="0">
                <a:solidFill>
                  <a:sysClr val="windowText" lastClr="000000">
                    <a:lumMod val="65000"/>
                    <a:lumOff val="35000"/>
                  </a:sysClr>
                </a:solidFill>
                <a:latin typeface="Arial Narrow" panose="020B0606020202030204" pitchFamily="34" charset="0"/>
              </a:rPr>
              <a:t>Përbërja e M</a:t>
            </a:r>
            <a:r>
              <a:rPr lang="en-GB" sz="1100" b="0" i="0" u="none" strike="noStrike" kern="1200" spc="0" baseline="0">
                <a:solidFill>
                  <a:sysClr val="windowText" lastClr="000000">
                    <a:lumMod val="65000"/>
                    <a:lumOff val="35000"/>
                  </a:sysClr>
                </a:solidFill>
                <a:latin typeface="Arial Narrow" panose="020B0606020202030204" pitchFamily="34" charset="0"/>
              </a:rPr>
              <a:t>KI-ve</a:t>
            </a:r>
            <a:r>
              <a:rPr lang="sq-AL" sz="1100" b="0" i="0" u="none" strike="noStrike" kern="1200" spc="0" baseline="0">
                <a:solidFill>
                  <a:sysClr val="windowText" lastClr="000000">
                    <a:lumMod val="65000"/>
                    <a:lumOff val="35000"/>
                  </a:sysClr>
                </a:solidFill>
                <a:latin typeface="Arial Narrow" panose="020B0606020202030204" pitchFamily="34" charset="0"/>
              </a:rPr>
              <a:t> sa i përket potencialit për riciklim/rikuperim</a:t>
            </a:r>
            <a:endParaRPr lang="en-US" sz="1100" b="0" i="0" u="none" strike="noStrike" kern="1200" spc="0" baseline="0">
              <a:solidFill>
                <a:sysClr val="windowText" lastClr="000000">
                  <a:lumMod val="65000"/>
                  <a:lumOff val="35000"/>
                </a:sysClr>
              </a:solidFill>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05555555555555E-2"/>
          <c:y val="0.15751348789734615"/>
          <c:w val="0.85277777777777786"/>
          <c:h val="0.61250583260425784"/>
        </c:manualLayout>
      </c:layout>
      <c:pie3DChart>
        <c:varyColors val="1"/>
        <c:ser>
          <c:idx val="0"/>
          <c:order val="0"/>
          <c:spPr>
            <a:solidFill>
              <a:schemeClr val="accent6">
                <a:lumMod val="75000"/>
              </a:schemeClr>
            </a:solidFill>
          </c:spPr>
          <c:dPt>
            <c:idx val="0"/>
            <c:bubble3D val="0"/>
            <c:spPr>
              <a:solidFill>
                <a:schemeClr val="accent6">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8C55-4F08-8846-0CBD3E576CF4}"/>
              </c:ext>
            </c:extLst>
          </c:dPt>
          <c:dPt>
            <c:idx val="1"/>
            <c:bubble3D val="0"/>
            <c:spPr>
              <a:solidFill>
                <a:schemeClr val="accent5">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8C55-4F08-8846-0CBD3E576CF4}"/>
              </c:ext>
            </c:extLst>
          </c:dPt>
          <c:dPt>
            <c:idx val="2"/>
            <c:bubble3D val="0"/>
            <c:spPr>
              <a:solidFill>
                <a:schemeClr val="accent4">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8C55-4F08-8846-0CBD3E576CF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composition!$F$21:$F$23</c:f>
              <c:strCache>
                <c:ptCount val="3"/>
                <c:pt idx="0">
                  <c:v>Të biodegradueshme</c:v>
                </c:pt>
                <c:pt idx="1">
                  <c:v>Të riciklueshme të thata</c:v>
                </c:pt>
                <c:pt idx="2">
                  <c:v>Të tjera</c:v>
                </c:pt>
              </c:strCache>
            </c:strRef>
          </c:cat>
          <c:val>
            <c:numRef>
              <c:f>composition!$G$21:$G$23</c:f>
              <c:numCache>
                <c:formatCode>0%</c:formatCode>
                <c:ptCount val="3"/>
                <c:pt idx="0">
                  <c:v>0.34821891842164876</c:v>
                </c:pt>
                <c:pt idx="1">
                  <c:v>0.5283275416766211</c:v>
                </c:pt>
                <c:pt idx="2">
                  <c:v>0.12345353990173007</c:v>
                </c:pt>
              </c:numCache>
            </c:numRef>
          </c:val>
          <c:extLst>
            <c:ext xmlns:c16="http://schemas.microsoft.com/office/drawing/2014/chart" uri="{C3380CC4-5D6E-409C-BE32-E72D297353CC}">
              <c16:uniqueId val="{00000006-8C55-4F08-8846-0CBD3E576CF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sz="1320" b="0" i="0" u="none" strike="noStrike" kern="1200" spc="0" baseline="0">
                <a:solidFill>
                  <a:sysClr val="windowText" lastClr="000000">
                    <a:lumMod val="65000"/>
                    <a:lumOff val="35000"/>
                  </a:sysClr>
                </a:solidFill>
                <a:latin typeface="Arial Narrow" panose="020B0606020202030204" pitchFamily="34" charset="0"/>
              </a:rPr>
              <a:t>Popullsia në rajonin e Dukagjinit region, banorë</a:t>
            </a: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Narrow" panose="020B0606020202030204" pitchFamily="34" charset="0"/>
              <a:ea typeface="+mn-ea"/>
              <a:cs typeface="+mn-cs"/>
            </a:defRPr>
          </a:pPr>
          <a:endParaRPr lang="LID4096"/>
        </a:p>
      </c:txPr>
    </c:title>
    <c:autoTitleDeleted val="0"/>
    <c:plotArea>
      <c:layout/>
      <c:barChart>
        <c:barDir val="col"/>
        <c:grouping val="stacked"/>
        <c:varyColors val="0"/>
        <c:ser>
          <c:idx val="0"/>
          <c:order val="0"/>
          <c:tx>
            <c:strRef>
              <c:f>'Summary Costs All'!$D$301</c:f>
              <c:strCache>
                <c:ptCount val="1"/>
                <c:pt idx="0">
                  <c:v>Population Dukagjini region, residents</c:v>
                </c:pt>
              </c:strCache>
            </c:strRef>
          </c:tx>
          <c:spPr>
            <a:solidFill>
              <a:schemeClr val="accent1"/>
            </a:solidFill>
            <a:ln>
              <a:noFill/>
            </a:ln>
            <a:effectLst/>
          </c:spPr>
          <c:invertIfNegative val="0"/>
          <c:cat>
            <c:numRef>
              <c:f>'Summary Costs All'!$E$300:$P$300</c:f>
              <c:numCache>
                <c:formatCode>General</c:formatCode>
                <c:ptCount val="12"/>
                <c:pt idx="0">
                  <c:v>2024</c:v>
                </c:pt>
                <c:pt idx="1">
                  <c:v>2025</c:v>
                </c:pt>
                <c:pt idx="2">
                  <c:v>2026</c:v>
                </c:pt>
                <c:pt idx="3">
                  <c:v>2027</c:v>
                </c:pt>
                <c:pt idx="4">
                  <c:v>2028</c:v>
                </c:pt>
                <c:pt idx="5">
                  <c:v>2029</c:v>
                </c:pt>
                <c:pt idx="6">
                  <c:v>2030</c:v>
                </c:pt>
                <c:pt idx="7">
                  <c:v>2031</c:v>
                </c:pt>
                <c:pt idx="8">
                  <c:v>2032</c:v>
                </c:pt>
                <c:pt idx="9">
                  <c:v>2033</c:v>
                </c:pt>
                <c:pt idx="10">
                  <c:v>2034</c:v>
                </c:pt>
                <c:pt idx="11">
                  <c:v>2035</c:v>
                </c:pt>
              </c:numCache>
            </c:numRef>
          </c:cat>
          <c:val>
            <c:numRef>
              <c:f>'Summary Costs All'!$E$301:$P$301</c:f>
              <c:numCache>
                <c:formatCode>#,##0</c:formatCode>
                <c:ptCount val="12"/>
                <c:pt idx="0">
                  <c:v>178011</c:v>
                </c:pt>
                <c:pt idx="1">
                  <c:v>177831</c:v>
                </c:pt>
                <c:pt idx="2">
                  <c:v>177669</c:v>
                </c:pt>
                <c:pt idx="3">
                  <c:v>177523</c:v>
                </c:pt>
                <c:pt idx="4">
                  <c:v>177390</c:v>
                </c:pt>
                <c:pt idx="5">
                  <c:v>177271</c:v>
                </c:pt>
                <c:pt idx="6">
                  <c:v>177164</c:v>
                </c:pt>
                <c:pt idx="7">
                  <c:v>177067</c:v>
                </c:pt>
                <c:pt idx="8">
                  <c:v>176980</c:v>
                </c:pt>
                <c:pt idx="9">
                  <c:v>176901</c:v>
                </c:pt>
                <c:pt idx="10">
                  <c:v>176831</c:v>
                </c:pt>
                <c:pt idx="11">
                  <c:v>176767</c:v>
                </c:pt>
              </c:numCache>
            </c:numRef>
          </c:val>
          <c:extLst>
            <c:ext xmlns:c16="http://schemas.microsoft.com/office/drawing/2014/chart" uri="{C3380CC4-5D6E-409C-BE32-E72D297353CC}">
              <c16:uniqueId val="{00000000-2660-4986-A712-0AA0B9207359}"/>
            </c:ext>
          </c:extLst>
        </c:ser>
        <c:dLbls>
          <c:showLegendKey val="0"/>
          <c:showVal val="0"/>
          <c:showCatName val="0"/>
          <c:showSerName val="0"/>
          <c:showPercent val="0"/>
          <c:showBubbleSize val="0"/>
        </c:dLbls>
        <c:gapWidth val="150"/>
        <c:overlap val="100"/>
        <c:axId val="741361280"/>
        <c:axId val="741356960"/>
      </c:barChart>
      <c:catAx>
        <c:axId val="74136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LID4096"/>
          </a:p>
        </c:txPr>
        <c:crossAx val="741356960"/>
        <c:crosses val="autoZero"/>
        <c:auto val="1"/>
        <c:lblAlgn val="ctr"/>
        <c:lblOffset val="100"/>
        <c:noMultiLvlLbl val="0"/>
      </c:catAx>
      <c:valAx>
        <c:axId val="741356960"/>
        <c:scaling>
          <c:orientation val="minMax"/>
          <c:min val="1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LID4096"/>
          </a:p>
        </c:txPr>
        <c:crossAx val="741361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Narrow" panose="020B0606020202030204" pitchFamily="34" charset="0"/>
        </a:defRPr>
      </a:pPr>
      <a:endParaRPr lang="LID4096"/>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Narrow" panose="020B0606020202030204" pitchFamily="34" charset="0"/>
                <a:ea typeface="+mn-ea"/>
                <a:cs typeface="+mn-cs"/>
              </a:defRPr>
            </a:pPr>
            <a:r>
              <a:rPr lang="sq"/>
              <a:t>Gjenerimi i mbet</a:t>
            </a:r>
            <a:r>
              <a:rPr lang="en-GB"/>
              <a:t>urinave</a:t>
            </a:r>
            <a:r>
              <a:rPr lang="sq"/>
              <a:t> komunale, ton</a:t>
            </a:r>
            <a:r>
              <a:rPr lang="en-GB"/>
              <a:t>ë</a:t>
            </a:r>
            <a:endParaRPr lang="sq"/>
          </a:p>
        </c:rich>
      </c:tx>
      <c:layout>
        <c:manualLayout>
          <c:xMode val="edge"/>
          <c:yMode val="edge"/>
          <c:x val="0.22590966754155728"/>
          <c:y val="0"/>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Narrow" panose="020B0606020202030204" pitchFamily="34" charset="0"/>
              <a:ea typeface="+mn-ea"/>
              <a:cs typeface="+mn-cs"/>
            </a:defRPr>
          </a:pPr>
          <a:endParaRPr lang="sq"/>
        </a:p>
      </c:txPr>
    </c:title>
    <c:autoTitleDeleted val="0"/>
    <c:plotArea>
      <c:layout/>
      <c:barChart>
        <c:barDir val="col"/>
        <c:grouping val="stacked"/>
        <c:varyColors val="0"/>
        <c:ser>
          <c:idx val="0"/>
          <c:order val="0"/>
          <c:tx>
            <c:strRef>
              <c:f>'Summary Costs All'!$D$294</c:f>
              <c:strCache>
                <c:ptCount val="1"/>
                <c:pt idx="0">
                  <c:v>Municipal waste generation </c:v>
                </c:pt>
              </c:strCache>
            </c:strRef>
          </c:tx>
          <c:spPr>
            <a:solidFill>
              <a:schemeClr val="accent1"/>
            </a:solidFill>
            <a:ln>
              <a:noFill/>
            </a:ln>
            <a:effectLst/>
          </c:spPr>
          <c:invertIfNegative val="0"/>
          <c:cat>
            <c:numRef>
              <c:f>'Summary Costs All'!$E$293:$P$293</c:f>
              <c:numCache>
                <c:formatCode>General</c:formatCode>
                <c:ptCount val="12"/>
                <c:pt idx="0">
                  <c:v>2024</c:v>
                </c:pt>
                <c:pt idx="1">
                  <c:v>2025</c:v>
                </c:pt>
                <c:pt idx="2">
                  <c:v>2026</c:v>
                </c:pt>
                <c:pt idx="3">
                  <c:v>2027</c:v>
                </c:pt>
                <c:pt idx="4">
                  <c:v>2028</c:v>
                </c:pt>
                <c:pt idx="5">
                  <c:v>2029</c:v>
                </c:pt>
                <c:pt idx="6">
                  <c:v>2030</c:v>
                </c:pt>
                <c:pt idx="7">
                  <c:v>2031</c:v>
                </c:pt>
                <c:pt idx="8">
                  <c:v>2032</c:v>
                </c:pt>
                <c:pt idx="9">
                  <c:v>2033</c:v>
                </c:pt>
                <c:pt idx="10">
                  <c:v>2034</c:v>
                </c:pt>
                <c:pt idx="11">
                  <c:v>2035</c:v>
                </c:pt>
              </c:numCache>
            </c:numRef>
          </c:cat>
          <c:val>
            <c:numRef>
              <c:f>'Summary Costs All'!$E$294:$P$294</c:f>
              <c:numCache>
                <c:formatCode>_-* #,##0;\-* #,##0;_-* "-"??\ _€_-;</c:formatCode>
                <c:ptCount val="12"/>
                <c:pt idx="0">
                  <c:v>68943.965204734384</c:v>
                </c:pt>
                <c:pt idx="1">
                  <c:v>69275.957485224353</c:v>
                </c:pt>
                <c:pt idx="2">
                  <c:v>69615.65822704068</c:v>
                </c:pt>
                <c:pt idx="3">
                  <c:v>69961.85749240646</c:v>
                </c:pt>
                <c:pt idx="4">
                  <c:v>70315.049180219081</c:v>
                </c:pt>
                <c:pt idx="5">
                  <c:v>70674.707261092059</c:v>
                </c:pt>
                <c:pt idx="6">
                  <c:v>71040.185450680554</c:v>
                </c:pt>
                <c:pt idx="7">
                  <c:v>71411.314104660778</c:v>
                </c:pt>
                <c:pt idx="8">
                  <c:v>71787.570897018406</c:v>
                </c:pt>
                <c:pt idx="9">
                  <c:v>72169.392830235374</c:v>
                </c:pt>
                <c:pt idx="10">
                  <c:v>72555.721411419407</c:v>
                </c:pt>
                <c:pt idx="11">
                  <c:v>72946.611241032806</c:v>
                </c:pt>
              </c:numCache>
            </c:numRef>
          </c:val>
          <c:extLst>
            <c:ext xmlns:c16="http://schemas.microsoft.com/office/drawing/2014/chart" uri="{C3380CC4-5D6E-409C-BE32-E72D297353CC}">
              <c16:uniqueId val="{00000000-17DC-4F91-9E7B-7B3F79DCD1B8}"/>
            </c:ext>
          </c:extLst>
        </c:ser>
        <c:dLbls>
          <c:showLegendKey val="0"/>
          <c:showVal val="0"/>
          <c:showCatName val="0"/>
          <c:showSerName val="0"/>
          <c:showPercent val="0"/>
          <c:showBubbleSize val="0"/>
        </c:dLbls>
        <c:gapWidth val="150"/>
        <c:overlap val="100"/>
        <c:axId val="466607344"/>
        <c:axId val="757114416"/>
      </c:barChart>
      <c:catAx>
        <c:axId val="46660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LID4096"/>
          </a:p>
        </c:txPr>
        <c:crossAx val="757114416"/>
        <c:crosses val="autoZero"/>
        <c:auto val="1"/>
        <c:lblAlgn val="ctr"/>
        <c:lblOffset val="100"/>
        <c:noMultiLvlLbl val="0"/>
      </c:catAx>
      <c:valAx>
        <c:axId val="757114416"/>
        <c:scaling>
          <c:orientation val="minMax"/>
          <c:min val="50000"/>
        </c:scaling>
        <c:delete val="0"/>
        <c:axPos val="l"/>
        <c:majorGridlines>
          <c:spPr>
            <a:ln w="9525" cap="flat" cmpd="sng" algn="ctr">
              <a:solidFill>
                <a:schemeClr val="tx1">
                  <a:lumMod val="15000"/>
                  <a:lumOff val="85000"/>
                </a:schemeClr>
              </a:solidFill>
              <a:round/>
            </a:ln>
            <a:effectLst/>
          </c:spPr>
        </c:majorGridlines>
        <c:numFmt formatCode="_-* #,##0;\-* #,##0;_-* &quot;-&quot;??\ _€_-;"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LID4096"/>
          </a:p>
        </c:txPr>
        <c:crossAx val="466607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Narrow" panose="020B0606020202030204" pitchFamily="34" charset="0"/>
        </a:defRPr>
      </a:pPr>
      <a:endParaRPr lang="LID4096"/>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CDE-4E89-98FF-76C6D5261FD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CDE-4E89-98FF-76C6D5261FD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CDE-4E89-98FF-76C6D5261FD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CDE-4E89-98FF-76C6D5261FD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CDE-4E89-98FF-76C6D5261FD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CDE-4E89-98FF-76C6D5261FD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CDE-4E89-98FF-76C6D5261FD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CDE-4E89-98FF-76C6D5261FD9}"/>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ACDE-4E89-98FF-76C6D5261FD9}"/>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ACDE-4E89-98FF-76C6D5261FD9}"/>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ACDE-4E89-98FF-76C6D5261FD9}"/>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ACDE-4E89-98FF-76C6D5261FD9}"/>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ACDE-4E89-98FF-76C6D5261FD9}"/>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ACDE-4E89-98FF-76C6D5261F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'composition (2)'!$F$4:$F$16</c:f>
              <c:strCache>
                <c:ptCount val="13"/>
                <c:pt idx="0">
                  <c:v>Mbeturina ushqimore</c:v>
                </c:pt>
                <c:pt idx="1">
                  <c:v>Mbeturina të gjelbra</c:v>
                </c:pt>
                <c:pt idx="2">
                  <c:v>Tetrapak</c:v>
                </c:pt>
                <c:pt idx="3">
                  <c:v>Plastikë</c:v>
                </c:pt>
                <c:pt idx="4">
                  <c:v>Letër / Karton</c:v>
                </c:pt>
                <c:pt idx="5">
                  <c:v>Tekstil</c:v>
                </c:pt>
                <c:pt idx="6">
                  <c:v>Metal</c:v>
                </c:pt>
                <c:pt idx="7">
                  <c:v>Qelq</c:v>
                </c:pt>
                <c:pt idx="8">
                  <c:v>Dru</c:v>
                </c:pt>
                <c:pt idx="9">
                  <c:v>Mbeturina inerte</c:v>
                </c:pt>
                <c:pt idx="10">
                  <c:v>Mbeturina të rrezikshme</c:v>
                </c:pt>
                <c:pt idx="11">
                  <c:v>Pelena</c:v>
                </c:pt>
                <c:pt idx="12">
                  <c:v>Fraksion i imët</c:v>
                </c:pt>
              </c:strCache>
            </c:strRef>
          </c:cat>
          <c:val>
            <c:numRef>
              <c:f>'composition (2)'!$G$4:$G$16</c:f>
              <c:numCache>
                <c:formatCode>0.00%</c:formatCode>
                <c:ptCount val="13"/>
                <c:pt idx="0">
                  <c:v>0.29738929336026193</c:v>
                </c:pt>
                <c:pt idx="1">
                  <c:v>3.2690710427923327E-2</c:v>
                </c:pt>
                <c:pt idx="2">
                  <c:v>1.9006863023851784E-2</c:v>
                </c:pt>
                <c:pt idx="3">
                  <c:v>0.18450036017003749</c:v>
                </c:pt>
                <c:pt idx="4">
                  <c:v>0.1682138207795528</c:v>
                </c:pt>
                <c:pt idx="5">
                  <c:v>6.7509552846271151E-2</c:v>
                </c:pt>
                <c:pt idx="6">
                  <c:v>1.8305276789255979E-2</c:v>
                </c:pt>
                <c:pt idx="7">
                  <c:v>7.0791668067651914E-2</c:v>
                </c:pt>
                <c:pt idx="8">
                  <c:v>1.8138914633463513E-2</c:v>
                </c:pt>
                <c:pt idx="9">
                  <c:v>2.4208504285590755E-2</c:v>
                </c:pt>
                <c:pt idx="10">
                  <c:v>7.3197169001393595E-4</c:v>
                </c:pt>
                <c:pt idx="11">
                  <c:v>2.4420303276084483E-2</c:v>
                </c:pt>
                <c:pt idx="12">
                  <c:v>7.409276065004089E-2</c:v>
                </c:pt>
              </c:numCache>
            </c:numRef>
          </c:val>
          <c:extLst>
            <c:ext xmlns:c16="http://schemas.microsoft.com/office/drawing/2014/chart" uri="{C3380CC4-5D6E-409C-BE32-E72D297353CC}">
              <c16:uniqueId val="{0000001A-ACDE-4E89-98FF-76C6D5261FD9}"/>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'18-22'!$E$279</c:f>
              <c:strCache>
                <c:ptCount val="1"/>
                <c:pt idx="0">
                  <c:v>Banorë</c:v>
                </c:pt>
              </c:strCache>
            </c:strRef>
          </c:tx>
          <c:spPr>
            <a:solidFill>
              <a:schemeClr val="accent1"/>
            </a:solidFill>
            <a:ln>
              <a:noFill/>
            </a:ln>
            <a:effectLst/>
          </c:spPr>
          <c:invertIfNegative val="0"/>
          <c:cat>
            <c:numRef>
              <c:f>'18-22'!$H$278:$P$278</c:f>
              <c:numCache>
                <c:formatCode>General</c:formatCode>
                <c:ptCount val="9"/>
                <c:pt idx="0">
                  <c:v>2027</c:v>
                </c:pt>
                <c:pt idx="1">
                  <c:v>2028</c:v>
                </c:pt>
                <c:pt idx="2">
                  <c:v>2029</c:v>
                </c:pt>
                <c:pt idx="3">
                  <c:v>2030</c:v>
                </c:pt>
                <c:pt idx="4">
                  <c:v>2031</c:v>
                </c:pt>
                <c:pt idx="5">
                  <c:v>2032</c:v>
                </c:pt>
                <c:pt idx="6">
                  <c:v>2033</c:v>
                </c:pt>
                <c:pt idx="7">
                  <c:v>2034</c:v>
                </c:pt>
                <c:pt idx="8">
                  <c:v>2035</c:v>
                </c:pt>
              </c:numCache>
              <c:extLst/>
            </c:numRef>
          </c:cat>
          <c:val>
            <c:numRef>
              <c:f>'18-22'!$H$279:$P$279</c:f>
              <c:numCache>
                <c:formatCode>#,##0</c:formatCode>
                <c:ptCount val="9"/>
                <c:pt idx="0">
                  <c:v>177523</c:v>
                </c:pt>
                <c:pt idx="1">
                  <c:v>177390</c:v>
                </c:pt>
                <c:pt idx="2">
                  <c:v>177271</c:v>
                </c:pt>
                <c:pt idx="3">
                  <c:v>177164</c:v>
                </c:pt>
                <c:pt idx="4">
                  <c:v>177067</c:v>
                </c:pt>
                <c:pt idx="5">
                  <c:v>176980</c:v>
                </c:pt>
                <c:pt idx="6">
                  <c:v>176901</c:v>
                </c:pt>
                <c:pt idx="7">
                  <c:v>176831</c:v>
                </c:pt>
                <c:pt idx="8">
                  <c:v>176767</c:v>
                </c:pt>
              </c:numCache>
              <c:extLst/>
            </c:numRef>
          </c:val>
          <c:extLst>
            <c:ext xmlns:c16="http://schemas.microsoft.com/office/drawing/2014/chart" uri="{C3380CC4-5D6E-409C-BE32-E72D297353CC}">
              <c16:uniqueId val="{00000000-4FD4-42E6-9B25-3F56147D1903}"/>
            </c:ext>
          </c:extLst>
        </c:ser>
        <c:dLbls>
          <c:showLegendKey val="0"/>
          <c:showVal val="0"/>
          <c:showCatName val="0"/>
          <c:showSerName val="0"/>
          <c:showPercent val="0"/>
          <c:showBubbleSize val="0"/>
        </c:dLbls>
        <c:gapWidth val="150"/>
        <c:axId val="1154300095"/>
        <c:axId val="1154300575"/>
      </c:barChart>
      <c:lineChart>
        <c:grouping val="standard"/>
        <c:varyColors val="0"/>
        <c:ser>
          <c:idx val="1"/>
          <c:order val="1"/>
          <c:tx>
            <c:strRef>
              <c:f>'18-22'!$E$280</c:f>
              <c:strCache>
                <c:ptCount val="1"/>
                <c:pt idx="0">
                  <c:v>Banorë që ju ofrohet grumbullimi ndaras i mbeturinave </c:v>
                </c:pt>
              </c:strCache>
            </c:strRef>
          </c:tx>
          <c:spPr>
            <a:ln w="28575" cap="rnd">
              <a:solidFill>
                <a:schemeClr val="accent2"/>
              </a:solidFill>
              <a:round/>
            </a:ln>
            <a:effectLst/>
          </c:spPr>
          <c:marker>
            <c:symbol val="none"/>
          </c:marker>
          <c:cat>
            <c:numRef>
              <c:f>'18-22'!$H$278:$P$278</c:f>
              <c:numCache>
                <c:formatCode>General</c:formatCode>
                <c:ptCount val="9"/>
                <c:pt idx="0">
                  <c:v>2027</c:v>
                </c:pt>
                <c:pt idx="1">
                  <c:v>2028</c:v>
                </c:pt>
                <c:pt idx="2">
                  <c:v>2029</c:v>
                </c:pt>
                <c:pt idx="3">
                  <c:v>2030</c:v>
                </c:pt>
                <c:pt idx="4">
                  <c:v>2031</c:v>
                </c:pt>
                <c:pt idx="5">
                  <c:v>2032</c:v>
                </c:pt>
                <c:pt idx="6">
                  <c:v>2033</c:v>
                </c:pt>
                <c:pt idx="7">
                  <c:v>2034</c:v>
                </c:pt>
                <c:pt idx="8">
                  <c:v>2035</c:v>
                </c:pt>
              </c:numCache>
              <c:extLst/>
            </c:numRef>
          </c:cat>
          <c:val>
            <c:numRef>
              <c:f>'18-22'!$H$280:$P$280</c:f>
              <c:numCache>
                <c:formatCode>#,##0</c:formatCode>
                <c:ptCount val="9"/>
                <c:pt idx="0">
                  <c:v>129068</c:v>
                </c:pt>
                <c:pt idx="1">
                  <c:v>136258</c:v>
                </c:pt>
                <c:pt idx="2">
                  <c:v>144174</c:v>
                </c:pt>
                <c:pt idx="3">
                  <c:v>152256</c:v>
                </c:pt>
                <c:pt idx="4">
                  <c:v>152181</c:v>
                </c:pt>
                <c:pt idx="5">
                  <c:v>152114</c:v>
                </c:pt>
                <c:pt idx="6">
                  <c:v>152054</c:v>
                </c:pt>
                <c:pt idx="7">
                  <c:v>152000</c:v>
                </c:pt>
                <c:pt idx="8">
                  <c:v>151949</c:v>
                </c:pt>
              </c:numCache>
              <c:extLst/>
            </c:numRef>
          </c:val>
          <c:smooth val="0"/>
          <c:extLst>
            <c:ext xmlns:c16="http://schemas.microsoft.com/office/drawing/2014/chart" uri="{C3380CC4-5D6E-409C-BE32-E72D297353CC}">
              <c16:uniqueId val="{00000001-4FD4-42E6-9B25-3F56147D1903}"/>
            </c:ext>
          </c:extLst>
        </c:ser>
        <c:dLbls>
          <c:showLegendKey val="0"/>
          <c:showVal val="0"/>
          <c:showCatName val="0"/>
          <c:showSerName val="0"/>
          <c:showPercent val="0"/>
          <c:showBubbleSize val="0"/>
        </c:dLbls>
        <c:marker val="1"/>
        <c:smooth val="0"/>
        <c:axId val="1154300095"/>
        <c:axId val="1154300575"/>
      </c:lineChart>
      <c:catAx>
        <c:axId val="1154300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154300575"/>
        <c:crosses val="autoZero"/>
        <c:auto val="1"/>
        <c:lblAlgn val="ctr"/>
        <c:lblOffset val="100"/>
        <c:noMultiLvlLbl val="0"/>
      </c:catAx>
      <c:valAx>
        <c:axId val="11543005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154300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Kosto</a:t>
            </a:r>
            <a:r>
              <a:rPr lang="en-US" baseline="0"/>
              <a:t> investive</a:t>
            </a:r>
            <a:r>
              <a:rPr lang="en-US"/>
              <a:t>, mijë EUR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Plan!$A$2</c:f>
              <c:strCache>
                <c:ptCount val="1"/>
                <c:pt idx="0">
                  <c:v>Pajisje për grumbullim ndaras dhe klasifikim të mbeturinave</c:v>
                </c:pt>
              </c:strCache>
            </c:strRef>
          </c:tx>
          <c:spPr>
            <a:solidFill>
              <a:schemeClr val="accent1"/>
            </a:solidFill>
            <a:ln>
              <a:noFill/>
            </a:ln>
            <a:effectLst/>
          </c:spPr>
          <c:invertIfNegative val="0"/>
          <c:cat>
            <c:numRef>
              <c:f>Plan!$B$1:$K$1</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Plan!$B$2:$K$2</c:f>
              <c:numCache>
                <c:formatCode>#,##0</c:formatCode>
                <c:ptCount val="10"/>
                <c:pt idx="1">
                  <c:v>1575</c:v>
                </c:pt>
                <c:pt idx="2">
                  <c:v>2854.6409999999996</c:v>
                </c:pt>
                <c:pt idx="3">
                  <c:v>567.37300000000005</c:v>
                </c:pt>
                <c:pt idx="4">
                  <c:v>569.94899999999984</c:v>
                </c:pt>
                <c:pt idx="5">
                  <c:v>396.5080000000001</c:v>
                </c:pt>
                <c:pt idx="6">
                  <c:v>443.54999999999995</c:v>
                </c:pt>
                <c:pt idx="7">
                  <c:v>460.05400000000003</c:v>
                </c:pt>
                <c:pt idx="8">
                  <c:v>311.56500000000011</c:v>
                </c:pt>
                <c:pt idx="9">
                  <c:v>2316.4680000000003</c:v>
                </c:pt>
              </c:numCache>
            </c:numRef>
          </c:val>
          <c:extLst>
            <c:ext xmlns:c16="http://schemas.microsoft.com/office/drawing/2014/chart" uri="{C3380CC4-5D6E-409C-BE32-E72D297353CC}">
              <c16:uniqueId val="{00000000-7648-480C-B83F-9AB303ED5F5E}"/>
            </c:ext>
          </c:extLst>
        </c:ser>
        <c:ser>
          <c:idx val="1"/>
          <c:order val="1"/>
          <c:tx>
            <c:strRef>
              <c:f>Plan!$A$3</c:f>
              <c:strCache>
                <c:ptCount val="1"/>
                <c:pt idx="0">
                  <c:v>Grumbullimi i mbeturinave të përziera</c:v>
                </c:pt>
              </c:strCache>
            </c:strRef>
          </c:tx>
          <c:spPr>
            <a:solidFill>
              <a:schemeClr val="accent2"/>
            </a:solidFill>
            <a:ln>
              <a:noFill/>
            </a:ln>
            <a:effectLst/>
          </c:spPr>
          <c:invertIfNegative val="0"/>
          <c:cat>
            <c:numRef>
              <c:f>Plan!$B$1:$K$1</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Plan!$B$3:$K$3</c:f>
              <c:numCache>
                <c:formatCode>#,##0</c:formatCode>
                <c:ptCount val="10"/>
                <c:pt idx="1">
                  <c:v>3000</c:v>
                </c:pt>
                <c:pt idx="2">
                  <c:v>400</c:v>
                </c:pt>
                <c:pt idx="3">
                  <c:v>400</c:v>
                </c:pt>
                <c:pt idx="4">
                  <c:v>400</c:v>
                </c:pt>
                <c:pt idx="5">
                  <c:v>400</c:v>
                </c:pt>
                <c:pt idx="6">
                  <c:v>400</c:v>
                </c:pt>
                <c:pt idx="7">
                  <c:v>3000</c:v>
                </c:pt>
                <c:pt idx="8">
                  <c:v>400</c:v>
                </c:pt>
                <c:pt idx="9">
                  <c:v>400</c:v>
                </c:pt>
              </c:numCache>
            </c:numRef>
          </c:val>
          <c:extLst>
            <c:ext xmlns:c16="http://schemas.microsoft.com/office/drawing/2014/chart" uri="{C3380CC4-5D6E-409C-BE32-E72D297353CC}">
              <c16:uniqueId val="{00000001-7648-480C-B83F-9AB303ED5F5E}"/>
            </c:ext>
          </c:extLst>
        </c:ser>
        <c:ser>
          <c:idx val="2"/>
          <c:order val="2"/>
          <c:tx>
            <c:strRef>
              <c:f>Plan!$A$4</c:f>
              <c:strCache>
                <c:ptCount val="1"/>
                <c:pt idx="0">
                  <c:v>OR</c:v>
                </c:pt>
              </c:strCache>
            </c:strRef>
          </c:tx>
          <c:spPr>
            <a:solidFill>
              <a:schemeClr val="accent3"/>
            </a:solidFill>
            <a:ln>
              <a:noFill/>
            </a:ln>
            <a:effectLst/>
          </c:spPr>
          <c:invertIfNegative val="0"/>
          <c:cat>
            <c:numRef>
              <c:f>Plan!$B$1:$K$1</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Plan!$B$4:$K$4</c:f>
              <c:numCache>
                <c:formatCode>#,##0</c:formatCode>
                <c:ptCount val="10"/>
                <c:pt idx="1">
                  <c:v>1650</c:v>
                </c:pt>
              </c:numCache>
            </c:numRef>
          </c:val>
          <c:extLst>
            <c:ext xmlns:c16="http://schemas.microsoft.com/office/drawing/2014/chart" uri="{C3380CC4-5D6E-409C-BE32-E72D297353CC}">
              <c16:uniqueId val="{00000002-7648-480C-B83F-9AB303ED5F5E}"/>
            </c:ext>
          </c:extLst>
        </c:ser>
        <c:ser>
          <c:idx val="3"/>
          <c:order val="3"/>
          <c:tx>
            <c:strRef>
              <c:f>Plan!$A$5</c:f>
              <c:strCache>
                <c:ptCount val="1"/>
                <c:pt idx="0">
                  <c:v>Kompostimi i mbeturinave të gjelbra</c:v>
                </c:pt>
              </c:strCache>
            </c:strRef>
          </c:tx>
          <c:spPr>
            <a:solidFill>
              <a:schemeClr val="accent4"/>
            </a:solidFill>
            <a:ln>
              <a:noFill/>
            </a:ln>
            <a:effectLst/>
          </c:spPr>
          <c:invertIfNegative val="0"/>
          <c:cat>
            <c:numRef>
              <c:f>Plan!$B$1:$K$1</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Plan!$B$5:$K$5</c:f>
              <c:numCache>
                <c:formatCode>#,##0</c:formatCode>
                <c:ptCount val="10"/>
                <c:pt idx="1">
                  <c:v>1614</c:v>
                </c:pt>
              </c:numCache>
            </c:numRef>
          </c:val>
          <c:extLst>
            <c:ext xmlns:c16="http://schemas.microsoft.com/office/drawing/2014/chart" uri="{C3380CC4-5D6E-409C-BE32-E72D297353CC}">
              <c16:uniqueId val="{00000003-7648-480C-B83F-9AB303ED5F5E}"/>
            </c:ext>
          </c:extLst>
        </c:ser>
        <c:ser>
          <c:idx val="4"/>
          <c:order val="4"/>
          <c:tx>
            <c:strRef>
              <c:f>Plan!$A$6</c:f>
              <c:strCache>
                <c:ptCount val="1"/>
                <c:pt idx="0">
                  <c:v>Stacion Transferi</c:v>
                </c:pt>
              </c:strCache>
            </c:strRef>
          </c:tx>
          <c:spPr>
            <a:solidFill>
              <a:schemeClr val="accent5"/>
            </a:solidFill>
            <a:ln>
              <a:noFill/>
            </a:ln>
            <a:effectLst/>
          </c:spPr>
          <c:invertIfNegative val="0"/>
          <c:cat>
            <c:numRef>
              <c:f>Plan!$B$1:$K$1</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Plan!$B$6:$K$6</c:f>
              <c:numCache>
                <c:formatCode>#,##0</c:formatCode>
                <c:ptCount val="10"/>
                <c:pt idx="1">
                  <c:v>1420</c:v>
                </c:pt>
              </c:numCache>
            </c:numRef>
          </c:val>
          <c:extLst>
            <c:ext xmlns:c16="http://schemas.microsoft.com/office/drawing/2014/chart" uri="{C3380CC4-5D6E-409C-BE32-E72D297353CC}">
              <c16:uniqueId val="{00000004-7648-480C-B83F-9AB303ED5F5E}"/>
            </c:ext>
          </c:extLst>
        </c:ser>
        <c:ser>
          <c:idx val="5"/>
          <c:order val="5"/>
          <c:tx>
            <c:strRef>
              <c:f>Plan!$A$7</c:f>
              <c:strCache>
                <c:ptCount val="1"/>
                <c:pt idx="0">
                  <c:v>Trajtimi i mbeturinave në kontejnerë të veçantë</c:v>
                </c:pt>
              </c:strCache>
            </c:strRef>
          </c:tx>
          <c:spPr>
            <a:solidFill>
              <a:schemeClr val="accent6"/>
            </a:solidFill>
            <a:ln>
              <a:noFill/>
            </a:ln>
            <a:effectLst/>
          </c:spPr>
          <c:invertIfNegative val="0"/>
          <c:cat>
            <c:numRef>
              <c:f>Plan!$B$1:$K$1</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Plan!$B$7:$K$7</c:f>
              <c:numCache>
                <c:formatCode>General</c:formatCode>
                <c:ptCount val="10"/>
                <c:pt idx="6" formatCode="#,##0">
                  <c:v>3897.269968565497</c:v>
                </c:pt>
              </c:numCache>
            </c:numRef>
          </c:val>
          <c:extLst>
            <c:ext xmlns:c16="http://schemas.microsoft.com/office/drawing/2014/chart" uri="{C3380CC4-5D6E-409C-BE32-E72D297353CC}">
              <c16:uniqueId val="{00000005-7648-480C-B83F-9AB303ED5F5E}"/>
            </c:ext>
          </c:extLst>
        </c:ser>
        <c:ser>
          <c:idx val="6"/>
          <c:order val="6"/>
          <c:tx>
            <c:strRef>
              <c:f>Plan!$A$8</c:f>
              <c:strCache>
                <c:ptCount val="1"/>
                <c:pt idx="0">
                  <c:v>Deponia</c:v>
                </c:pt>
              </c:strCache>
            </c:strRef>
          </c:tx>
          <c:spPr>
            <a:solidFill>
              <a:schemeClr val="accent1">
                <a:lumMod val="60000"/>
              </a:schemeClr>
            </a:solidFill>
            <a:ln>
              <a:noFill/>
            </a:ln>
            <a:effectLst/>
          </c:spPr>
          <c:invertIfNegative val="0"/>
          <c:cat>
            <c:numRef>
              <c:f>Plan!$B$1:$K$1</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Plan!$B$8:$K$8</c:f>
              <c:numCache>
                <c:formatCode>General</c:formatCode>
                <c:ptCount val="10"/>
                <c:pt idx="0" formatCode="#,##0">
                  <c:v>10248</c:v>
                </c:pt>
                <c:pt idx="5" formatCode="#,##0">
                  <c:v>1458</c:v>
                </c:pt>
                <c:pt idx="7" formatCode="#,##0">
                  <c:v>900</c:v>
                </c:pt>
              </c:numCache>
            </c:numRef>
          </c:val>
          <c:extLst>
            <c:ext xmlns:c16="http://schemas.microsoft.com/office/drawing/2014/chart" uri="{C3380CC4-5D6E-409C-BE32-E72D297353CC}">
              <c16:uniqueId val="{00000006-7648-480C-B83F-9AB303ED5F5E}"/>
            </c:ext>
          </c:extLst>
        </c:ser>
        <c:ser>
          <c:idx val="7"/>
          <c:order val="7"/>
          <c:tx>
            <c:strRef>
              <c:f>Plan!$A$9</c:f>
              <c:strCache>
                <c:ptCount val="1"/>
                <c:pt idx="0">
                  <c:v>TMB</c:v>
                </c:pt>
              </c:strCache>
            </c:strRef>
          </c:tx>
          <c:spPr>
            <a:solidFill>
              <a:schemeClr val="accent2">
                <a:lumMod val="60000"/>
              </a:schemeClr>
            </a:solidFill>
            <a:ln>
              <a:noFill/>
            </a:ln>
            <a:effectLst/>
          </c:spPr>
          <c:invertIfNegative val="0"/>
          <c:cat>
            <c:numRef>
              <c:f>Plan!$B$1:$K$1</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Plan!$B$9:$K$9</c:f>
              <c:numCache>
                <c:formatCode>General</c:formatCode>
                <c:ptCount val="10"/>
                <c:pt idx="6" formatCode="#,##0">
                  <c:v>15254</c:v>
                </c:pt>
              </c:numCache>
            </c:numRef>
          </c:val>
          <c:extLst>
            <c:ext xmlns:c16="http://schemas.microsoft.com/office/drawing/2014/chart" uri="{C3380CC4-5D6E-409C-BE32-E72D297353CC}">
              <c16:uniqueId val="{00000007-7648-480C-B83F-9AB303ED5F5E}"/>
            </c:ext>
          </c:extLst>
        </c:ser>
        <c:dLbls>
          <c:showLegendKey val="0"/>
          <c:showVal val="0"/>
          <c:showCatName val="0"/>
          <c:showSerName val="0"/>
          <c:showPercent val="0"/>
          <c:showBubbleSize val="0"/>
        </c:dLbls>
        <c:gapWidth val="150"/>
        <c:overlap val="100"/>
        <c:axId val="1740063504"/>
        <c:axId val="1740064464"/>
      </c:barChart>
      <c:catAx>
        <c:axId val="174006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0064464"/>
        <c:crosses val="autoZero"/>
        <c:auto val="1"/>
        <c:lblAlgn val="ctr"/>
        <c:lblOffset val="100"/>
        <c:noMultiLvlLbl val="0"/>
      </c:catAx>
      <c:valAx>
        <c:axId val="1740064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0063504"/>
        <c:crosses val="autoZero"/>
        <c:crossBetween val="between"/>
      </c:valAx>
      <c:spPr>
        <a:noFill/>
        <a:ln>
          <a:noFill/>
        </a:ln>
        <a:effectLst/>
      </c:spPr>
    </c:plotArea>
    <c:legend>
      <c:legendPos val="r"/>
      <c:layout>
        <c:manualLayout>
          <c:xMode val="edge"/>
          <c:yMode val="edge"/>
          <c:x val="0.65603607535928909"/>
          <c:y val="0.18887343823878874"/>
          <c:w val="0.32937603259111209"/>
          <c:h val="0.811126561761211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Arial Narrow" panose="020B0606020202030204" pitchFamily="34" charset="0"/>
                <a:ea typeface="+mn-ea"/>
                <a:cs typeface="+mn-cs"/>
              </a:defRPr>
            </a:pPr>
            <a:r>
              <a:rPr lang="sq-AL" sz="1100">
                <a:effectLst/>
                <a:latin typeface="Arial Narrow" panose="020B0606020202030204" pitchFamily="34" charset="0"/>
              </a:rPr>
              <a:t>Kostot vjetore operacionale për </a:t>
            </a:r>
            <a:r>
              <a:rPr lang="en-GB" sz="1100">
                <a:effectLst/>
                <a:latin typeface="Arial Narrow" panose="020B0606020202030204" pitchFamily="34" charset="0"/>
              </a:rPr>
              <a:t>funksion</a:t>
            </a:r>
            <a:r>
              <a:rPr lang="en-GB" sz="1100" baseline="0">
                <a:effectLst/>
                <a:latin typeface="Arial Narrow" panose="020B0606020202030204" pitchFamily="34" charset="0"/>
              </a:rPr>
              <a:t> mbeturinash</a:t>
            </a:r>
            <a:r>
              <a:rPr lang="en-US" sz="1100">
                <a:effectLst/>
                <a:latin typeface="Arial Narrow" panose="020B0606020202030204" pitchFamily="34" charset="0"/>
              </a:rPr>
              <a:t> </a:t>
            </a:r>
            <a:r>
              <a:rPr lang="en-US" sz="1100">
                <a:latin typeface="Arial Narrow" panose="020B0606020202030204" pitchFamily="34" charset="0"/>
              </a:rPr>
              <a:t>[mijë €]</a:t>
            </a:r>
          </a:p>
        </c:rich>
      </c:tx>
      <c:layout>
        <c:manualLayout>
          <c:xMode val="edge"/>
          <c:yMode val="edge"/>
          <c:x val="0"/>
          <c:y val="1.993938784957851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Arial Narrow" panose="020B0606020202030204" pitchFamily="34" charset="0"/>
              <a:ea typeface="+mn-ea"/>
              <a:cs typeface="+mn-cs"/>
            </a:defRPr>
          </a:pPr>
          <a:endParaRPr lang="en-US"/>
        </a:p>
      </c:txPr>
    </c:title>
    <c:autoTitleDeleted val="0"/>
    <c:plotArea>
      <c:layout>
        <c:manualLayout>
          <c:layoutTarget val="inner"/>
          <c:xMode val="edge"/>
          <c:yMode val="edge"/>
          <c:x val="0.11196424461801611"/>
          <c:y val="0.10434086529317405"/>
          <c:w val="0.51082395863097951"/>
          <c:h val="0.77795775810404921"/>
        </c:manualLayout>
      </c:layout>
      <c:barChart>
        <c:barDir val="col"/>
        <c:grouping val="stacked"/>
        <c:varyColors val="0"/>
        <c:ser>
          <c:idx val="0"/>
          <c:order val="0"/>
          <c:tx>
            <c:strRef>
              <c:f>'18-22'!$E$198</c:f>
              <c:strCache>
                <c:ptCount val="1"/>
                <c:pt idx="0">
                  <c:v>Grumbullimi ndaras</c:v>
                </c:pt>
              </c:strCache>
            </c:strRef>
          </c:tx>
          <c:spPr>
            <a:solidFill>
              <a:schemeClr val="accent1"/>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'18-22'!$F$198:$P$198</c:f>
              <c:numCache>
                <c:formatCode>_-* #,##0;\-* #,##0;_-* "-"??\ _€_-;</c:formatCode>
                <c:ptCount val="11"/>
                <c:pt idx="0">
                  <c:v>0</c:v>
                </c:pt>
                <c:pt idx="1">
                  <c:v>1011.0336764254671</c:v>
                </c:pt>
                <c:pt idx="2">
                  <c:v>1157.3430987623426</c:v>
                </c:pt>
                <c:pt idx="3">
                  <c:v>1350.070244528039</c:v>
                </c:pt>
                <c:pt idx="4">
                  <c:v>1440.0169353334941</c:v>
                </c:pt>
                <c:pt idx="5">
                  <c:v>1615.6885806839273</c:v>
                </c:pt>
                <c:pt idx="6">
                  <c:v>1814.4525583141926</c:v>
                </c:pt>
                <c:pt idx="7">
                  <c:v>1905.0074944681778</c:v>
                </c:pt>
                <c:pt idx="8">
                  <c:v>1969.7705035997797</c:v>
                </c:pt>
                <c:pt idx="9">
                  <c:v>2033.5015528573399</c:v>
                </c:pt>
                <c:pt idx="10">
                  <c:v>2115.1205524777383</c:v>
                </c:pt>
              </c:numCache>
            </c:numRef>
          </c:val>
          <c:extLst>
            <c:ext xmlns:c16="http://schemas.microsoft.com/office/drawing/2014/chart" uri="{C3380CC4-5D6E-409C-BE32-E72D297353CC}">
              <c16:uniqueId val="{00000000-A895-49BE-9CC4-40699989F42C}"/>
            </c:ext>
          </c:extLst>
        </c:ser>
        <c:ser>
          <c:idx val="1"/>
          <c:order val="1"/>
          <c:tx>
            <c:strRef>
              <c:f>'18-22'!$E$199</c:f>
              <c:strCache>
                <c:ptCount val="1"/>
                <c:pt idx="0">
                  <c:v>Grumbullimi mbeturinave të përziera</c:v>
                </c:pt>
              </c:strCache>
            </c:strRef>
          </c:tx>
          <c:spPr>
            <a:solidFill>
              <a:schemeClr val="accent2"/>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'18-22'!$F$199:$P$199</c:f>
              <c:numCache>
                <c:formatCode>_-* #,##0;\-* #,##0;_-* "-"??\ _€_-;</c:formatCode>
                <c:ptCount val="11"/>
                <c:pt idx="0">
                  <c:v>0</c:v>
                </c:pt>
                <c:pt idx="1">
                  <c:v>3073.7253534667889</c:v>
                </c:pt>
                <c:pt idx="2">
                  <c:v>3059.1129260289981</c:v>
                </c:pt>
                <c:pt idx="3">
                  <c:v>2999.1292519705321</c:v>
                </c:pt>
                <c:pt idx="4">
                  <c:v>2973.9427072717003</c:v>
                </c:pt>
                <c:pt idx="5">
                  <c:v>2944.2926892299565</c:v>
                </c:pt>
                <c:pt idx="6">
                  <c:v>2914.70433528885</c:v>
                </c:pt>
                <c:pt idx="7">
                  <c:v>2910.8149635398163</c:v>
                </c:pt>
                <c:pt idx="8">
                  <c:v>2775.9932306946585</c:v>
                </c:pt>
                <c:pt idx="9">
                  <c:v>2771.5391662111192</c:v>
                </c:pt>
                <c:pt idx="10">
                  <c:v>2768.4922144490233</c:v>
                </c:pt>
              </c:numCache>
            </c:numRef>
          </c:val>
          <c:extLst>
            <c:ext xmlns:c16="http://schemas.microsoft.com/office/drawing/2014/chart" uri="{C3380CC4-5D6E-409C-BE32-E72D297353CC}">
              <c16:uniqueId val="{00000001-A895-49BE-9CC4-40699989F42C}"/>
            </c:ext>
          </c:extLst>
        </c:ser>
        <c:ser>
          <c:idx val="2"/>
          <c:order val="2"/>
          <c:tx>
            <c:strRef>
              <c:f>'18-22'!$E$200</c:f>
              <c:strCache>
                <c:ptCount val="1"/>
                <c:pt idx="0">
                  <c:v>Transferimi i mbeturinave të përziera</c:v>
                </c:pt>
              </c:strCache>
            </c:strRef>
          </c:tx>
          <c:spPr>
            <a:solidFill>
              <a:schemeClr val="accent3"/>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'18-22'!$F$200:$P$200</c:f>
              <c:numCache>
                <c:formatCode>_-* #,##0;\-* #,##0;_-* "-"??\ _€_-;</c:formatCode>
                <c:ptCount val="11"/>
                <c:pt idx="0">
                  <c:v>0</c:v>
                </c:pt>
                <c:pt idx="1">
                  <c:v>325.80120747538581</c:v>
                </c:pt>
                <c:pt idx="2">
                  <c:v>325.38383222566108</c:v>
                </c:pt>
                <c:pt idx="3">
                  <c:v>324.14544943625572</c:v>
                </c:pt>
                <c:pt idx="4">
                  <c:v>323.06949734368794</c:v>
                </c:pt>
                <c:pt idx="5">
                  <c:v>321.0519804112343</c:v>
                </c:pt>
                <c:pt idx="6">
                  <c:v>289.36652018929169</c:v>
                </c:pt>
                <c:pt idx="7">
                  <c:v>288.45003886387849</c:v>
                </c:pt>
                <c:pt idx="8">
                  <c:v>287.99529395553168</c:v>
                </c:pt>
                <c:pt idx="9">
                  <c:v>287.63049610311759</c:v>
                </c:pt>
                <c:pt idx="10">
                  <c:v>287.3348382664546</c:v>
                </c:pt>
              </c:numCache>
            </c:numRef>
          </c:val>
          <c:extLst>
            <c:ext xmlns:c16="http://schemas.microsoft.com/office/drawing/2014/chart" uri="{C3380CC4-5D6E-409C-BE32-E72D297353CC}">
              <c16:uniqueId val="{00000002-A895-49BE-9CC4-40699989F42C}"/>
            </c:ext>
          </c:extLst>
        </c:ser>
        <c:ser>
          <c:idx val="3"/>
          <c:order val="3"/>
          <c:tx>
            <c:strRef>
              <c:f>'18-22'!$E$201</c:f>
              <c:strCache>
                <c:ptCount val="1"/>
                <c:pt idx="0">
                  <c:v>Kompostimi i mbeturinave të gjelbra</c:v>
                </c:pt>
              </c:strCache>
            </c:strRef>
          </c:tx>
          <c:spPr>
            <a:solidFill>
              <a:schemeClr val="accent4"/>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'18-22'!$F$201:$P$201</c:f>
              <c:numCache>
                <c:formatCode>_-* #,##0;\-* #,##0;_-* "-"??\ _€_-;</c:formatCode>
                <c:ptCount val="11"/>
                <c:pt idx="0">
                  <c:v>0</c:v>
                </c:pt>
                <c:pt idx="1">
                  <c:v>472.72426699367327</c:v>
                </c:pt>
                <c:pt idx="2">
                  <c:v>473.71364186925996</c:v>
                </c:pt>
                <c:pt idx="3">
                  <c:v>474.75956132969708</c:v>
                </c:pt>
                <c:pt idx="4">
                  <c:v>475.02192200528606</c:v>
                </c:pt>
                <c:pt idx="5">
                  <c:v>475.13087298358704</c:v>
                </c:pt>
                <c:pt idx="6">
                  <c:v>475.24097063408789</c:v>
                </c:pt>
                <c:pt idx="7">
                  <c:v>475.35343326954035</c:v>
                </c:pt>
                <c:pt idx="8">
                  <c:v>475.46737169914849</c:v>
                </c:pt>
                <c:pt idx="9">
                  <c:v>475.58265961681406</c:v>
                </c:pt>
                <c:pt idx="10">
                  <c:v>475.69960541923871</c:v>
                </c:pt>
              </c:numCache>
            </c:numRef>
          </c:val>
          <c:extLst>
            <c:ext xmlns:c16="http://schemas.microsoft.com/office/drawing/2014/chart" uri="{C3380CC4-5D6E-409C-BE32-E72D297353CC}">
              <c16:uniqueId val="{00000003-A895-49BE-9CC4-40699989F42C}"/>
            </c:ext>
          </c:extLst>
        </c:ser>
        <c:ser>
          <c:idx val="4"/>
          <c:order val="4"/>
          <c:tx>
            <c:strRef>
              <c:f>'18-22'!$E$202</c:f>
              <c:strCache>
                <c:ptCount val="1"/>
                <c:pt idx="0">
                  <c:v>Kompostimi shtëpiak</c:v>
                </c:pt>
              </c:strCache>
            </c:strRef>
          </c:tx>
          <c:spPr>
            <a:solidFill>
              <a:schemeClr val="accent5"/>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'18-22'!$F$202:$P$202</c:f>
              <c:numCache>
                <c:formatCode>_-* #,##0;\-* #,##0;_-* "-"??\ _€_-;</c:formatCode>
                <c:ptCount val="11"/>
                <c:pt idx="0">
                  <c:v>0</c:v>
                </c:pt>
                <c:pt idx="1">
                  <c:v>224.03399999999999</c:v>
                </c:pt>
                <c:pt idx="2">
                  <c:v>235.04400000000001</c:v>
                </c:pt>
                <c:pt idx="3">
                  <c:v>246.60900000000001</c:v>
                </c:pt>
                <c:pt idx="4">
                  <c:v>258.76499999999999</c:v>
                </c:pt>
                <c:pt idx="5">
                  <c:v>271.53299999999996</c:v>
                </c:pt>
                <c:pt idx="6">
                  <c:v>284.95800000000003</c:v>
                </c:pt>
                <c:pt idx="7">
                  <c:v>299.05799999999999</c:v>
                </c:pt>
                <c:pt idx="8">
                  <c:v>313.86899999999997</c:v>
                </c:pt>
                <c:pt idx="9">
                  <c:v>329.43299999999999</c:v>
                </c:pt>
                <c:pt idx="10">
                  <c:v>334.34399999999999</c:v>
                </c:pt>
              </c:numCache>
            </c:numRef>
          </c:val>
          <c:extLst>
            <c:ext xmlns:c16="http://schemas.microsoft.com/office/drawing/2014/chart" uri="{C3380CC4-5D6E-409C-BE32-E72D297353CC}">
              <c16:uniqueId val="{00000004-A895-49BE-9CC4-40699989F42C}"/>
            </c:ext>
          </c:extLst>
        </c:ser>
        <c:ser>
          <c:idx val="5"/>
          <c:order val="5"/>
          <c:tx>
            <c:strRef>
              <c:f>'18-22'!$E$203</c:f>
              <c:strCache>
                <c:ptCount val="1"/>
                <c:pt idx="0">
                  <c:v>Klasifikimi i grumbullimit ndaras</c:v>
                </c:pt>
              </c:strCache>
            </c:strRef>
          </c:tx>
          <c:spPr>
            <a:solidFill>
              <a:schemeClr val="accent6"/>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'18-22'!$F$203:$P$203</c:f>
              <c:numCache>
                <c:formatCode>_-* #,##0;\-* #,##0;_-* "-"??\ _€_-;</c:formatCode>
                <c:ptCount val="11"/>
                <c:pt idx="0">
                  <c:v>0</c:v>
                </c:pt>
                <c:pt idx="1">
                  <c:v>590.6604165970823</c:v>
                </c:pt>
                <c:pt idx="2">
                  <c:v>619.67982321158729</c:v>
                </c:pt>
                <c:pt idx="3">
                  <c:v>658.43280505125961</c:v>
                </c:pt>
                <c:pt idx="4">
                  <c:v>678.15126958562621</c:v>
                </c:pt>
                <c:pt idx="5">
                  <c:v>707.01928593301193</c:v>
                </c:pt>
                <c:pt idx="6">
                  <c:v>728.17380225793943</c:v>
                </c:pt>
                <c:pt idx="7">
                  <c:v>746.15862924985481</c:v>
                </c:pt>
                <c:pt idx="8">
                  <c:v>757.04001268868581</c:v>
                </c:pt>
                <c:pt idx="9">
                  <c:v>797.45671157984759</c:v>
                </c:pt>
                <c:pt idx="10">
                  <c:v>808.05154727728689</c:v>
                </c:pt>
              </c:numCache>
            </c:numRef>
          </c:val>
          <c:extLst>
            <c:ext xmlns:c16="http://schemas.microsoft.com/office/drawing/2014/chart" uri="{C3380CC4-5D6E-409C-BE32-E72D297353CC}">
              <c16:uniqueId val="{00000005-A895-49BE-9CC4-40699989F42C}"/>
            </c:ext>
          </c:extLst>
        </c:ser>
        <c:ser>
          <c:idx val="6"/>
          <c:order val="6"/>
          <c:tx>
            <c:strRef>
              <c:f>'18-22'!$E$204</c:f>
              <c:strCache>
                <c:ptCount val="1"/>
                <c:pt idx="0">
                  <c:v>Trajtimi i mbeturinave të përziera</c:v>
                </c:pt>
              </c:strCache>
            </c:strRef>
          </c:tx>
          <c:spPr>
            <a:solidFill>
              <a:schemeClr val="accent1">
                <a:lumMod val="60000"/>
              </a:schemeClr>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'18-22'!$F$204:$P$204</c:f>
              <c:numCache>
                <c:formatCode>_-* #,##0;\-* #,##0;_-* "-"??\ _€_-;</c:formatCode>
                <c:ptCount val="11"/>
                <c:pt idx="0">
                  <c:v>0</c:v>
                </c:pt>
                <c:pt idx="1">
                  <c:v>0</c:v>
                </c:pt>
                <c:pt idx="2">
                  <c:v>0</c:v>
                </c:pt>
                <c:pt idx="3">
                  <c:v>0</c:v>
                </c:pt>
                <c:pt idx="4">
                  <c:v>0</c:v>
                </c:pt>
                <c:pt idx="5">
                  <c:v>0</c:v>
                </c:pt>
                <c:pt idx="6">
                  <c:v>2326.2573955447488</c:v>
                </c:pt>
                <c:pt idx="7">
                  <c:v>2313.1285766759511</c:v>
                </c:pt>
                <c:pt idx="8">
                  <c:v>2309.220688144826</c:v>
                </c:pt>
                <c:pt idx="9">
                  <c:v>2298.7435498674267</c:v>
                </c:pt>
                <c:pt idx="10">
                  <c:v>2295.553216243703</c:v>
                </c:pt>
              </c:numCache>
            </c:numRef>
          </c:val>
          <c:extLst>
            <c:ext xmlns:c16="http://schemas.microsoft.com/office/drawing/2014/chart" uri="{C3380CC4-5D6E-409C-BE32-E72D297353CC}">
              <c16:uniqueId val="{00000006-A895-49BE-9CC4-40699989F42C}"/>
            </c:ext>
          </c:extLst>
        </c:ser>
        <c:ser>
          <c:idx val="7"/>
          <c:order val="7"/>
          <c:tx>
            <c:strRef>
              <c:f>'18-22'!$E$205</c:f>
              <c:strCache>
                <c:ptCount val="1"/>
                <c:pt idx="0">
                  <c:v>Tretja Aneorobe e mbeturinave organike</c:v>
                </c:pt>
              </c:strCache>
            </c:strRef>
          </c:tx>
          <c:spPr>
            <a:solidFill>
              <a:schemeClr val="accent2">
                <a:lumMod val="60000"/>
              </a:schemeClr>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'18-22'!$F$205:$P$205</c:f>
              <c:numCache>
                <c:formatCode>_-* #,##0;\-* #,##0;_-* "-"??\ _€_-;</c:formatCode>
                <c:ptCount val="11"/>
                <c:pt idx="0">
                  <c:v>0</c:v>
                </c:pt>
                <c:pt idx="1">
                  <c:v>0</c:v>
                </c:pt>
                <c:pt idx="2">
                  <c:v>0</c:v>
                </c:pt>
                <c:pt idx="3">
                  <c:v>0</c:v>
                </c:pt>
                <c:pt idx="4">
                  <c:v>0</c:v>
                </c:pt>
                <c:pt idx="5">
                  <c:v>0</c:v>
                </c:pt>
                <c:pt idx="6">
                  <c:v>316.47012695995221</c:v>
                </c:pt>
                <c:pt idx="7">
                  <c:v>322.32919082603132</c:v>
                </c:pt>
                <c:pt idx="8">
                  <c:v>325.83304909714042</c:v>
                </c:pt>
                <c:pt idx="9">
                  <c:v>329.53509399146992</c:v>
                </c:pt>
                <c:pt idx="10">
                  <c:v>333.44735632773848</c:v>
                </c:pt>
              </c:numCache>
            </c:numRef>
          </c:val>
          <c:extLst>
            <c:ext xmlns:c16="http://schemas.microsoft.com/office/drawing/2014/chart" uri="{C3380CC4-5D6E-409C-BE32-E72D297353CC}">
              <c16:uniqueId val="{00000007-A895-49BE-9CC4-40699989F42C}"/>
            </c:ext>
          </c:extLst>
        </c:ser>
        <c:ser>
          <c:idx val="8"/>
          <c:order val="8"/>
          <c:tx>
            <c:strRef>
              <c:f>'18-22'!$E$206</c:f>
              <c:strCache>
                <c:ptCount val="1"/>
                <c:pt idx="0">
                  <c:v>Impianti KDM MpE</c:v>
                </c:pt>
              </c:strCache>
            </c:strRef>
          </c:tx>
          <c:spPr>
            <a:solidFill>
              <a:schemeClr val="accent3">
                <a:lumMod val="60000"/>
              </a:schemeClr>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'18-22'!$F$206:$P$206</c:f>
              <c:numCache>
                <c:formatCode>_-* #,##0;\-* #,##0;_-* "-"??\ _€_-;</c:formatCode>
                <c:ptCount val="11"/>
                <c:pt idx="0">
                  <c:v>0</c:v>
                </c:pt>
                <c:pt idx="1">
                  <c:v>0</c:v>
                </c:pt>
                <c:pt idx="2">
                  <c:v>0</c:v>
                </c:pt>
                <c:pt idx="3">
                  <c:v>0</c:v>
                </c:pt>
                <c:pt idx="4">
                  <c:v>0</c:v>
                </c:pt>
                <c:pt idx="5">
                  <c:v>0</c:v>
                </c:pt>
                <c:pt idx="6">
                  <c:v>320.08701626481513</c:v>
                </c:pt>
                <c:pt idx="7">
                  <c:v>308.6278636767853</c:v>
                </c:pt>
                <c:pt idx="8">
                  <c:v>300.93648515687829</c:v>
                </c:pt>
                <c:pt idx="9">
                  <c:v>293.39803547594624</c:v>
                </c:pt>
                <c:pt idx="10">
                  <c:v>286.25648713830924</c:v>
                </c:pt>
              </c:numCache>
            </c:numRef>
          </c:val>
          <c:extLst>
            <c:ext xmlns:c16="http://schemas.microsoft.com/office/drawing/2014/chart" uri="{C3380CC4-5D6E-409C-BE32-E72D297353CC}">
              <c16:uniqueId val="{00000008-A895-49BE-9CC4-40699989F42C}"/>
            </c:ext>
          </c:extLst>
        </c:ser>
        <c:ser>
          <c:idx val="9"/>
          <c:order val="9"/>
          <c:tx>
            <c:strRef>
              <c:f>'18-22'!$E$207</c:f>
              <c:strCache>
                <c:ptCount val="1"/>
                <c:pt idx="0">
                  <c:v>Deponi</c:v>
                </c:pt>
              </c:strCache>
            </c:strRef>
          </c:tx>
          <c:spPr>
            <a:solidFill>
              <a:schemeClr val="accent4">
                <a:lumMod val="60000"/>
              </a:schemeClr>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'18-22'!$F$207:$P$207</c:f>
              <c:numCache>
                <c:formatCode>_-* #,##0;\-* #,##0;_-* "-"??\ _€_-;</c:formatCode>
                <c:ptCount val="11"/>
                <c:pt idx="0">
                  <c:v>0</c:v>
                </c:pt>
                <c:pt idx="1">
                  <c:v>2363.1692304119906</c:v>
                </c:pt>
                <c:pt idx="2">
                  <c:v>2322.8373581288906</c:v>
                </c:pt>
                <c:pt idx="3">
                  <c:v>2315.7899402484481</c:v>
                </c:pt>
                <c:pt idx="4">
                  <c:v>2311.1129468398249</c:v>
                </c:pt>
                <c:pt idx="5">
                  <c:v>2321.4346814387127</c:v>
                </c:pt>
                <c:pt idx="6">
                  <c:v>1795.6778111766571</c:v>
                </c:pt>
                <c:pt idx="7">
                  <c:v>1795.2876554112695</c:v>
                </c:pt>
                <c:pt idx="8">
                  <c:v>1795.0565047529526</c:v>
                </c:pt>
                <c:pt idx="9">
                  <c:v>1794.9393127924336</c:v>
                </c:pt>
                <c:pt idx="10">
                  <c:v>1726.0250520198788</c:v>
                </c:pt>
              </c:numCache>
            </c:numRef>
          </c:val>
          <c:extLst>
            <c:ext xmlns:c16="http://schemas.microsoft.com/office/drawing/2014/chart" uri="{C3380CC4-5D6E-409C-BE32-E72D297353CC}">
              <c16:uniqueId val="{00000009-A895-49BE-9CC4-40699989F42C}"/>
            </c:ext>
          </c:extLst>
        </c:ser>
        <c:ser>
          <c:idx val="10"/>
          <c:order val="10"/>
          <c:tx>
            <c:strRef>
              <c:f>'18-22'!$E$208</c:f>
              <c:strCache>
                <c:ptCount val="1"/>
                <c:pt idx="0">
                  <c:v>Grumbullimi dhe deponimi i mbeturinave brenda sistemit aktual </c:v>
                </c:pt>
              </c:strCache>
            </c:strRef>
          </c:tx>
          <c:spPr>
            <a:solidFill>
              <a:schemeClr val="accent5">
                <a:lumMod val="60000"/>
              </a:schemeClr>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'18-22'!$F$208:$P$208</c:f>
              <c:numCache>
                <c:formatCode>_-* #,##0;\-* #,##0;_-* "-"??\ _€_-;</c:formatCode>
                <c:ptCount val="11"/>
                <c:pt idx="0">
                  <c:v>5876.3953486684641</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A-A895-49BE-9CC4-40699989F42C}"/>
            </c:ext>
          </c:extLst>
        </c:ser>
        <c:dLbls>
          <c:showLegendKey val="0"/>
          <c:showVal val="0"/>
          <c:showCatName val="0"/>
          <c:showSerName val="0"/>
          <c:showPercent val="0"/>
          <c:showBubbleSize val="0"/>
        </c:dLbls>
        <c:gapWidth val="150"/>
        <c:overlap val="100"/>
        <c:axId val="1154336095"/>
        <c:axId val="1154336575"/>
      </c:barChart>
      <c:catAx>
        <c:axId val="1154336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154336575"/>
        <c:crosses val="autoZero"/>
        <c:auto val="1"/>
        <c:lblAlgn val="ctr"/>
        <c:lblOffset val="100"/>
        <c:noMultiLvlLbl val="0"/>
      </c:catAx>
      <c:valAx>
        <c:axId val="1154336575"/>
        <c:scaling>
          <c:orientation val="minMax"/>
          <c:max val="9000"/>
        </c:scaling>
        <c:delete val="0"/>
        <c:axPos val="l"/>
        <c:majorGridlines>
          <c:spPr>
            <a:ln w="9525" cap="flat" cmpd="sng" algn="ctr">
              <a:solidFill>
                <a:schemeClr val="tx1">
                  <a:lumMod val="15000"/>
                  <a:lumOff val="85000"/>
                </a:schemeClr>
              </a:solidFill>
              <a:round/>
            </a:ln>
            <a:effectLst/>
          </c:spPr>
        </c:majorGridlines>
        <c:numFmt formatCode="_-* #,##0;\-* #,##0;_-* &quot;-&quot;??\ _€_-;"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154336095"/>
        <c:crosses val="autoZero"/>
        <c:crossBetween val="between"/>
      </c:valAx>
      <c:spPr>
        <a:noFill/>
        <a:ln>
          <a:noFill/>
        </a:ln>
        <a:effectLst/>
      </c:spPr>
    </c:plotArea>
    <c:legend>
      <c:legendPos val="r"/>
      <c:layout>
        <c:manualLayout>
          <c:xMode val="edge"/>
          <c:yMode val="edge"/>
          <c:x val="0.66053804206373845"/>
          <c:y val="7.9985016828031094E-2"/>
          <c:w val="0.3360693350831146"/>
          <c:h val="0.919015806170309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Arial Narrow" panose="020B0606020202030204" pitchFamily="34" charset="0"/>
                <a:ea typeface="+mn-ea"/>
                <a:cs typeface="+mn-cs"/>
              </a:defRPr>
            </a:pPr>
            <a:r>
              <a:rPr lang="sq-AL" sz="1100">
                <a:effectLst/>
                <a:latin typeface="Arial Narrow" panose="020B0606020202030204" pitchFamily="34" charset="0"/>
              </a:rPr>
              <a:t>Kostot vjetore operacionale për </a:t>
            </a:r>
            <a:r>
              <a:rPr lang="en-GB" sz="1100">
                <a:effectLst/>
                <a:latin typeface="Arial Narrow" panose="020B0606020202030204" pitchFamily="34" charset="0"/>
              </a:rPr>
              <a:t>funksion</a:t>
            </a:r>
            <a:r>
              <a:rPr lang="en-GB" sz="1100" baseline="0">
                <a:effectLst/>
                <a:latin typeface="Arial Narrow" panose="020B0606020202030204" pitchFamily="34" charset="0"/>
              </a:rPr>
              <a:t> mbeturinash</a:t>
            </a:r>
            <a:r>
              <a:rPr lang="en-US" sz="1100">
                <a:effectLst/>
                <a:latin typeface="Arial Narrow" panose="020B0606020202030204" pitchFamily="34" charset="0"/>
              </a:rPr>
              <a:t> </a:t>
            </a:r>
            <a:r>
              <a:rPr lang="en-US" sz="1100">
                <a:latin typeface="Arial Narrow" panose="020B0606020202030204" pitchFamily="34" charset="0"/>
              </a:rPr>
              <a:t>[mijë €]</a:t>
            </a:r>
          </a:p>
        </c:rich>
      </c:tx>
      <c:layout>
        <c:manualLayout>
          <c:xMode val="edge"/>
          <c:yMode val="edge"/>
          <c:x val="0"/>
          <c:y val="1.993938784957851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Arial Narrow" panose="020B0606020202030204" pitchFamily="34" charset="0"/>
              <a:ea typeface="+mn-ea"/>
              <a:cs typeface="+mn-cs"/>
            </a:defRPr>
          </a:pPr>
          <a:endParaRPr lang="en-US"/>
        </a:p>
      </c:txPr>
    </c:title>
    <c:autoTitleDeleted val="0"/>
    <c:plotArea>
      <c:layout>
        <c:manualLayout>
          <c:layoutTarget val="inner"/>
          <c:xMode val="edge"/>
          <c:yMode val="edge"/>
          <c:x val="0.11196424461801611"/>
          <c:y val="0.10434086529317405"/>
          <c:w val="0.51082395863097951"/>
          <c:h val="0.77795775810404921"/>
        </c:manualLayout>
      </c:layout>
      <c:barChart>
        <c:barDir val="col"/>
        <c:grouping val="stacked"/>
        <c:varyColors val="0"/>
        <c:ser>
          <c:idx val="0"/>
          <c:order val="0"/>
          <c:tx>
            <c:strRef>
              <c:f>'18-22'!$E$198</c:f>
              <c:strCache>
                <c:ptCount val="1"/>
                <c:pt idx="0">
                  <c:v>Grumbullimi ndaras</c:v>
                </c:pt>
              </c:strCache>
            </c:strRef>
          </c:tx>
          <c:spPr>
            <a:solidFill>
              <a:schemeClr val="accent1"/>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'18-22'!$F$198:$P$198</c:f>
              <c:numCache>
                <c:formatCode>_-* #,##0;\-* #,##0;_-* "-"??\ _€_-;</c:formatCode>
                <c:ptCount val="11"/>
                <c:pt idx="0">
                  <c:v>0</c:v>
                </c:pt>
                <c:pt idx="1">
                  <c:v>1011.0336764254671</c:v>
                </c:pt>
                <c:pt idx="2">
                  <c:v>1157.3430987623426</c:v>
                </c:pt>
                <c:pt idx="3">
                  <c:v>1350.070244528039</c:v>
                </c:pt>
                <c:pt idx="4">
                  <c:v>1440.0169353334941</c:v>
                </c:pt>
                <c:pt idx="5">
                  <c:v>1615.6885806839273</c:v>
                </c:pt>
                <c:pt idx="6">
                  <c:v>1814.4525583141926</c:v>
                </c:pt>
                <c:pt idx="7">
                  <c:v>1905.0074944681778</c:v>
                </c:pt>
                <c:pt idx="8">
                  <c:v>1969.7705035997797</c:v>
                </c:pt>
                <c:pt idx="9">
                  <c:v>2033.5015528573399</c:v>
                </c:pt>
                <c:pt idx="10">
                  <c:v>2115.1205524777383</c:v>
                </c:pt>
              </c:numCache>
            </c:numRef>
          </c:val>
          <c:extLst>
            <c:ext xmlns:c16="http://schemas.microsoft.com/office/drawing/2014/chart" uri="{C3380CC4-5D6E-409C-BE32-E72D297353CC}">
              <c16:uniqueId val="{00000000-AA48-4139-AD14-FD43162C8FFF}"/>
            </c:ext>
          </c:extLst>
        </c:ser>
        <c:ser>
          <c:idx val="1"/>
          <c:order val="1"/>
          <c:tx>
            <c:strRef>
              <c:f>'18-22'!$E$199</c:f>
              <c:strCache>
                <c:ptCount val="1"/>
                <c:pt idx="0">
                  <c:v>Grumbullimi mbeturinave të përziera</c:v>
                </c:pt>
              </c:strCache>
            </c:strRef>
          </c:tx>
          <c:spPr>
            <a:solidFill>
              <a:schemeClr val="accent2"/>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'18-22'!$F$199:$P$199</c:f>
              <c:numCache>
                <c:formatCode>_-* #,##0;\-* #,##0;_-* "-"??\ _€_-;</c:formatCode>
                <c:ptCount val="11"/>
                <c:pt idx="0">
                  <c:v>0</c:v>
                </c:pt>
                <c:pt idx="1">
                  <c:v>3073.7253534667889</c:v>
                </c:pt>
                <c:pt idx="2">
                  <c:v>3059.1129260289981</c:v>
                </c:pt>
                <c:pt idx="3">
                  <c:v>2999.1292519705321</c:v>
                </c:pt>
                <c:pt idx="4">
                  <c:v>2973.9427072717003</c:v>
                </c:pt>
                <c:pt idx="5">
                  <c:v>2944.2926892299565</c:v>
                </c:pt>
                <c:pt idx="6">
                  <c:v>2914.70433528885</c:v>
                </c:pt>
                <c:pt idx="7">
                  <c:v>2910.8149635398163</c:v>
                </c:pt>
                <c:pt idx="8">
                  <c:v>2775.9932306946585</c:v>
                </c:pt>
                <c:pt idx="9">
                  <c:v>2771.5391662111192</c:v>
                </c:pt>
                <c:pt idx="10">
                  <c:v>2768.4922144490233</c:v>
                </c:pt>
              </c:numCache>
            </c:numRef>
          </c:val>
          <c:extLst>
            <c:ext xmlns:c16="http://schemas.microsoft.com/office/drawing/2014/chart" uri="{C3380CC4-5D6E-409C-BE32-E72D297353CC}">
              <c16:uniqueId val="{00000001-AA48-4139-AD14-FD43162C8FFF}"/>
            </c:ext>
          </c:extLst>
        </c:ser>
        <c:ser>
          <c:idx val="2"/>
          <c:order val="2"/>
          <c:tx>
            <c:strRef>
              <c:f>'18-22'!$E$200</c:f>
              <c:strCache>
                <c:ptCount val="1"/>
                <c:pt idx="0">
                  <c:v>Transferimi i mbeturinave të përziera</c:v>
                </c:pt>
              </c:strCache>
            </c:strRef>
          </c:tx>
          <c:spPr>
            <a:solidFill>
              <a:schemeClr val="accent3"/>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'18-22'!$F$200:$P$200</c:f>
              <c:numCache>
                <c:formatCode>_-* #,##0;\-* #,##0;_-* "-"??\ _€_-;</c:formatCode>
                <c:ptCount val="11"/>
                <c:pt idx="0">
                  <c:v>0</c:v>
                </c:pt>
                <c:pt idx="1">
                  <c:v>325.80120747538581</c:v>
                </c:pt>
                <c:pt idx="2">
                  <c:v>325.38383222566108</c:v>
                </c:pt>
                <c:pt idx="3">
                  <c:v>324.14544943625572</c:v>
                </c:pt>
                <c:pt idx="4">
                  <c:v>323.06949734368794</c:v>
                </c:pt>
                <c:pt idx="5">
                  <c:v>321.0519804112343</c:v>
                </c:pt>
                <c:pt idx="6">
                  <c:v>289.36652018929169</c:v>
                </c:pt>
                <c:pt idx="7">
                  <c:v>288.45003886387849</c:v>
                </c:pt>
                <c:pt idx="8">
                  <c:v>287.99529395553168</c:v>
                </c:pt>
                <c:pt idx="9">
                  <c:v>287.63049610311759</c:v>
                </c:pt>
                <c:pt idx="10">
                  <c:v>287.3348382664546</c:v>
                </c:pt>
              </c:numCache>
            </c:numRef>
          </c:val>
          <c:extLst>
            <c:ext xmlns:c16="http://schemas.microsoft.com/office/drawing/2014/chart" uri="{C3380CC4-5D6E-409C-BE32-E72D297353CC}">
              <c16:uniqueId val="{00000002-AA48-4139-AD14-FD43162C8FFF}"/>
            </c:ext>
          </c:extLst>
        </c:ser>
        <c:ser>
          <c:idx val="3"/>
          <c:order val="3"/>
          <c:tx>
            <c:strRef>
              <c:f>'18-22'!$E$201</c:f>
              <c:strCache>
                <c:ptCount val="1"/>
                <c:pt idx="0">
                  <c:v>Kompostimi i mbeturinave të gjelbra</c:v>
                </c:pt>
              </c:strCache>
            </c:strRef>
          </c:tx>
          <c:spPr>
            <a:solidFill>
              <a:schemeClr val="accent4"/>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'18-22'!$F$201:$P$201</c:f>
              <c:numCache>
                <c:formatCode>_-* #,##0;\-* #,##0;_-* "-"??\ _€_-;</c:formatCode>
                <c:ptCount val="11"/>
                <c:pt idx="0">
                  <c:v>0</c:v>
                </c:pt>
                <c:pt idx="1">
                  <c:v>472.72426699367327</c:v>
                </c:pt>
                <c:pt idx="2">
                  <c:v>473.71364186925996</c:v>
                </c:pt>
                <c:pt idx="3">
                  <c:v>474.75956132969708</c:v>
                </c:pt>
                <c:pt idx="4">
                  <c:v>475.02192200528606</c:v>
                </c:pt>
                <c:pt idx="5">
                  <c:v>475.13087298358704</c:v>
                </c:pt>
                <c:pt idx="6">
                  <c:v>475.24097063408789</c:v>
                </c:pt>
                <c:pt idx="7">
                  <c:v>475.35343326954035</c:v>
                </c:pt>
                <c:pt idx="8">
                  <c:v>475.46737169914849</c:v>
                </c:pt>
                <c:pt idx="9">
                  <c:v>475.58265961681406</c:v>
                </c:pt>
                <c:pt idx="10">
                  <c:v>475.69960541923871</c:v>
                </c:pt>
              </c:numCache>
            </c:numRef>
          </c:val>
          <c:extLst>
            <c:ext xmlns:c16="http://schemas.microsoft.com/office/drawing/2014/chart" uri="{C3380CC4-5D6E-409C-BE32-E72D297353CC}">
              <c16:uniqueId val="{00000003-AA48-4139-AD14-FD43162C8FFF}"/>
            </c:ext>
          </c:extLst>
        </c:ser>
        <c:ser>
          <c:idx val="4"/>
          <c:order val="4"/>
          <c:tx>
            <c:strRef>
              <c:f>'18-22'!$E$202</c:f>
              <c:strCache>
                <c:ptCount val="1"/>
                <c:pt idx="0">
                  <c:v>Kompostimi shtëpiak</c:v>
                </c:pt>
              </c:strCache>
            </c:strRef>
          </c:tx>
          <c:spPr>
            <a:solidFill>
              <a:schemeClr val="accent5"/>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'18-22'!$F$202:$P$202</c:f>
              <c:numCache>
                <c:formatCode>_-* #,##0;\-* #,##0;_-* "-"??\ _€_-;</c:formatCode>
                <c:ptCount val="11"/>
                <c:pt idx="0">
                  <c:v>0</c:v>
                </c:pt>
                <c:pt idx="1">
                  <c:v>224.03399999999999</c:v>
                </c:pt>
                <c:pt idx="2">
                  <c:v>235.04400000000001</c:v>
                </c:pt>
                <c:pt idx="3">
                  <c:v>246.60900000000001</c:v>
                </c:pt>
                <c:pt idx="4">
                  <c:v>258.76499999999999</c:v>
                </c:pt>
                <c:pt idx="5">
                  <c:v>271.53299999999996</c:v>
                </c:pt>
                <c:pt idx="6">
                  <c:v>284.95800000000003</c:v>
                </c:pt>
                <c:pt idx="7">
                  <c:v>299.05799999999999</c:v>
                </c:pt>
                <c:pt idx="8">
                  <c:v>313.86899999999997</c:v>
                </c:pt>
                <c:pt idx="9">
                  <c:v>329.43299999999999</c:v>
                </c:pt>
                <c:pt idx="10">
                  <c:v>334.34399999999999</c:v>
                </c:pt>
              </c:numCache>
            </c:numRef>
          </c:val>
          <c:extLst>
            <c:ext xmlns:c16="http://schemas.microsoft.com/office/drawing/2014/chart" uri="{C3380CC4-5D6E-409C-BE32-E72D297353CC}">
              <c16:uniqueId val="{00000004-AA48-4139-AD14-FD43162C8FFF}"/>
            </c:ext>
          </c:extLst>
        </c:ser>
        <c:ser>
          <c:idx val="5"/>
          <c:order val="5"/>
          <c:tx>
            <c:strRef>
              <c:f>'18-22'!$E$203</c:f>
              <c:strCache>
                <c:ptCount val="1"/>
                <c:pt idx="0">
                  <c:v>Klasifikimi i grumbullimit ndaras</c:v>
                </c:pt>
              </c:strCache>
            </c:strRef>
          </c:tx>
          <c:spPr>
            <a:solidFill>
              <a:schemeClr val="accent6"/>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'18-22'!$F$203:$P$203</c:f>
              <c:numCache>
                <c:formatCode>_-* #,##0;\-* #,##0;_-* "-"??\ _€_-;</c:formatCode>
                <c:ptCount val="11"/>
                <c:pt idx="0">
                  <c:v>0</c:v>
                </c:pt>
                <c:pt idx="1">
                  <c:v>590.6604165970823</c:v>
                </c:pt>
                <c:pt idx="2">
                  <c:v>619.67982321158729</c:v>
                </c:pt>
                <c:pt idx="3">
                  <c:v>658.43280505125961</c:v>
                </c:pt>
                <c:pt idx="4">
                  <c:v>678.15126958562621</c:v>
                </c:pt>
                <c:pt idx="5">
                  <c:v>707.01928593301193</c:v>
                </c:pt>
                <c:pt idx="6">
                  <c:v>728.17380225793943</c:v>
                </c:pt>
                <c:pt idx="7">
                  <c:v>746.15862924985481</c:v>
                </c:pt>
                <c:pt idx="8">
                  <c:v>757.04001268868581</c:v>
                </c:pt>
                <c:pt idx="9">
                  <c:v>797.45671157984759</c:v>
                </c:pt>
                <c:pt idx="10">
                  <c:v>808.05154727728689</c:v>
                </c:pt>
              </c:numCache>
            </c:numRef>
          </c:val>
          <c:extLst>
            <c:ext xmlns:c16="http://schemas.microsoft.com/office/drawing/2014/chart" uri="{C3380CC4-5D6E-409C-BE32-E72D297353CC}">
              <c16:uniqueId val="{00000005-AA48-4139-AD14-FD43162C8FFF}"/>
            </c:ext>
          </c:extLst>
        </c:ser>
        <c:ser>
          <c:idx val="6"/>
          <c:order val="6"/>
          <c:tx>
            <c:strRef>
              <c:f>'18-22'!$E$204</c:f>
              <c:strCache>
                <c:ptCount val="1"/>
                <c:pt idx="0">
                  <c:v>Trajtimi i mbeturinave të përziera</c:v>
                </c:pt>
              </c:strCache>
            </c:strRef>
          </c:tx>
          <c:spPr>
            <a:solidFill>
              <a:schemeClr val="accent1">
                <a:lumMod val="60000"/>
              </a:schemeClr>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'18-22'!$F$204:$P$204</c:f>
              <c:numCache>
                <c:formatCode>_-* #,##0;\-* #,##0;_-* "-"??\ _€_-;</c:formatCode>
                <c:ptCount val="11"/>
                <c:pt idx="0">
                  <c:v>0</c:v>
                </c:pt>
                <c:pt idx="1">
                  <c:v>0</c:v>
                </c:pt>
                <c:pt idx="2">
                  <c:v>0</c:v>
                </c:pt>
                <c:pt idx="3">
                  <c:v>0</c:v>
                </c:pt>
                <c:pt idx="4">
                  <c:v>0</c:v>
                </c:pt>
                <c:pt idx="5">
                  <c:v>0</c:v>
                </c:pt>
                <c:pt idx="6">
                  <c:v>2326.2573955447488</c:v>
                </c:pt>
                <c:pt idx="7">
                  <c:v>2313.1285766759511</c:v>
                </c:pt>
                <c:pt idx="8">
                  <c:v>2309.220688144826</c:v>
                </c:pt>
                <c:pt idx="9">
                  <c:v>2298.7435498674267</c:v>
                </c:pt>
                <c:pt idx="10">
                  <c:v>2295.553216243703</c:v>
                </c:pt>
              </c:numCache>
            </c:numRef>
          </c:val>
          <c:extLst>
            <c:ext xmlns:c16="http://schemas.microsoft.com/office/drawing/2014/chart" uri="{C3380CC4-5D6E-409C-BE32-E72D297353CC}">
              <c16:uniqueId val="{00000006-AA48-4139-AD14-FD43162C8FFF}"/>
            </c:ext>
          </c:extLst>
        </c:ser>
        <c:ser>
          <c:idx val="7"/>
          <c:order val="7"/>
          <c:tx>
            <c:strRef>
              <c:f>'18-22'!$E$205</c:f>
              <c:strCache>
                <c:ptCount val="1"/>
                <c:pt idx="0">
                  <c:v>Tretja Aneorobe e mbeturinave organike</c:v>
                </c:pt>
              </c:strCache>
            </c:strRef>
          </c:tx>
          <c:spPr>
            <a:solidFill>
              <a:schemeClr val="accent2">
                <a:lumMod val="60000"/>
              </a:schemeClr>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'18-22'!$F$205:$P$205</c:f>
              <c:numCache>
                <c:formatCode>_-* #,##0;\-* #,##0;_-* "-"??\ _€_-;</c:formatCode>
                <c:ptCount val="11"/>
                <c:pt idx="0">
                  <c:v>0</c:v>
                </c:pt>
                <c:pt idx="1">
                  <c:v>0</c:v>
                </c:pt>
                <c:pt idx="2">
                  <c:v>0</c:v>
                </c:pt>
                <c:pt idx="3">
                  <c:v>0</c:v>
                </c:pt>
                <c:pt idx="4">
                  <c:v>0</c:v>
                </c:pt>
                <c:pt idx="5">
                  <c:v>0</c:v>
                </c:pt>
                <c:pt idx="6">
                  <c:v>316.47012695995221</c:v>
                </c:pt>
                <c:pt idx="7">
                  <c:v>322.32919082603132</c:v>
                </c:pt>
                <c:pt idx="8">
                  <c:v>325.83304909714042</c:v>
                </c:pt>
                <c:pt idx="9">
                  <c:v>329.53509399146992</c:v>
                </c:pt>
                <c:pt idx="10">
                  <c:v>333.44735632773848</c:v>
                </c:pt>
              </c:numCache>
            </c:numRef>
          </c:val>
          <c:extLst>
            <c:ext xmlns:c16="http://schemas.microsoft.com/office/drawing/2014/chart" uri="{C3380CC4-5D6E-409C-BE32-E72D297353CC}">
              <c16:uniqueId val="{00000007-AA48-4139-AD14-FD43162C8FFF}"/>
            </c:ext>
          </c:extLst>
        </c:ser>
        <c:ser>
          <c:idx val="8"/>
          <c:order val="8"/>
          <c:tx>
            <c:strRef>
              <c:f>'18-22'!$E$206</c:f>
              <c:strCache>
                <c:ptCount val="1"/>
                <c:pt idx="0">
                  <c:v>Impianti KDM MpE</c:v>
                </c:pt>
              </c:strCache>
            </c:strRef>
          </c:tx>
          <c:spPr>
            <a:solidFill>
              <a:schemeClr val="accent3">
                <a:lumMod val="60000"/>
              </a:schemeClr>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'18-22'!$F$206:$P$206</c:f>
              <c:numCache>
                <c:formatCode>_-* #,##0;\-* #,##0;_-* "-"??\ _€_-;</c:formatCode>
                <c:ptCount val="11"/>
                <c:pt idx="0">
                  <c:v>0</c:v>
                </c:pt>
                <c:pt idx="1">
                  <c:v>0</c:v>
                </c:pt>
                <c:pt idx="2">
                  <c:v>0</c:v>
                </c:pt>
                <c:pt idx="3">
                  <c:v>0</c:v>
                </c:pt>
                <c:pt idx="4">
                  <c:v>0</c:v>
                </c:pt>
                <c:pt idx="5">
                  <c:v>0</c:v>
                </c:pt>
                <c:pt idx="6">
                  <c:v>320.08701626481513</c:v>
                </c:pt>
                <c:pt idx="7">
                  <c:v>308.6278636767853</c:v>
                </c:pt>
                <c:pt idx="8">
                  <c:v>300.93648515687829</c:v>
                </c:pt>
                <c:pt idx="9">
                  <c:v>293.39803547594624</c:v>
                </c:pt>
                <c:pt idx="10">
                  <c:v>286.25648713830924</c:v>
                </c:pt>
              </c:numCache>
            </c:numRef>
          </c:val>
          <c:extLst>
            <c:ext xmlns:c16="http://schemas.microsoft.com/office/drawing/2014/chart" uri="{C3380CC4-5D6E-409C-BE32-E72D297353CC}">
              <c16:uniqueId val="{00000008-AA48-4139-AD14-FD43162C8FFF}"/>
            </c:ext>
          </c:extLst>
        </c:ser>
        <c:ser>
          <c:idx val="9"/>
          <c:order val="9"/>
          <c:tx>
            <c:strRef>
              <c:f>'18-22'!$E$207</c:f>
              <c:strCache>
                <c:ptCount val="1"/>
                <c:pt idx="0">
                  <c:v>Deponi</c:v>
                </c:pt>
              </c:strCache>
            </c:strRef>
          </c:tx>
          <c:spPr>
            <a:solidFill>
              <a:schemeClr val="accent4">
                <a:lumMod val="60000"/>
              </a:schemeClr>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'18-22'!$F$207:$P$207</c:f>
              <c:numCache>
                <c:formatCode>_-* #,##0;\-* #,##0;_-* "-"??\ _€_-;</c:formatCode>
                <c:ptCount val="11"/>
                <c:pt idx="0">
                  <c:v>0</c:v>
                </c:pt>
                <c:pt idx="1">
                  <c:v>2363.1692304119906</c:v>
                </c:pt>
                <c:pt idx="2">
                  <c:v>2322.8373581288906</c:v>
                </c:pt>
                <c:pt idx="3">
                  <c:v>2315.7899402484481</c:v>
                </c:pt>
                <c:pt idx="4">
                  <c:v>2311.1129468398249</c:v>
                </c:pt>
                <c:pt idx="5">
                  <c:v>2321.4346814387127</c:v>
                </c:pt>
                <c:pt idx="6">
                  <c:v>1795.6778111766571</c:v>
                </c:pt>
                <c:pt idx="7">
                  <c:v>1795.2876554112695</c:v>
                </c:pt>
                <c:pt idx="8">
                  <c:v>1795.0565047529526</c:v>
                </c:pt>
                <c:pt idx="9">
                  <c:v>1794.9393127924336</c:v>
                </c:pt>
                <c:pt idx="10">
                  <c:v>1726.0250520198788</c:v>
                </c:pt>
              </c:numCache>
            </c:numRef>
          </c:val>
          <c:extLst>
            <c:ext xmlns:c16="http://schemas.microsoft.com/office/drawing/2014/chart" uri="{C3380CC4-5D6E-409C-BE32-E72D297353CC}">
              <c16:uniqueId val="{00000009-AA48-4139-AD14-FD43162C8FFF}"/>
            </c:ext>
          </c:extLst>
        </c:ser>
        <c:ser>
          <c:idx val="10"/>
          <c:order val="10"/>
          <c:tx>
            <c:strRef>
              <c:f>'18-22'!$E$208</c:f>
              <c:strCache>
                <c:ptCount val="1"/>
                <c:pt idx="0">
                  <c:v>Grumbullimi dhe deponimi i mbeturinave brenda sistemit aktual </c:v>
                </c:pt>
              </c:strCache>
            </c:strRef>
          </c:tx>
          <c:spPr>
            <a:solidFill>
              <a:schemeClr val="accent5">
                <a:lumMod val="60000"/>
              </a:schemeClr>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'18-22'!$F$208:$P$208</c:f>
              <c:numCache>
                <c:formatCode>_-* #,##0;\-* #,##0;_-* "-"??\ _€_-;</c:formatCode>
                <c:ptCount val="11"/>
                <c:pt idx="0">
                  <c:v>5876.3953486684641</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A-AA48-4139-AD14-FD43162C8FFF}"/>
            </c:ext>
          </c:extLst>
        </c:ser>
        <c:dLbls>
          <c:showLegendKey val="0"/>
          <c:showVal val="0"/>
          <c:showCatName val="0"/>
          <c:showSerName val="0"/>
          <c:showPercent val="0"/>
          <c:showBubbleSize val="0"/>
        </c:dLbls>
        <c:gapWidth val="150"/>
        <c:overlap val="100"/>
        <c:axId val="1154336095"/>
        <c:axId val="1154336575"/>
      </c:barChart>
      <c:catAx>
        <c:axId val="1154336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154336575"/>
        <c:crosses val="autoZero"/>
        <c:auto val="1"/>
        <c:lblAlgn val="ctr"/>
        <c:lblOffset val="100"/>
        <c:noMultiLvlLbl val="0"/>
      </c:catAx>
      <c:valAx>
        <c:axId val="1154336575"/>
        <c:scaling>
          <c:orientation val="minMax"/>
          <c:max val="14000"/>
        </c:scaling>
        <c:delete val="0"/>
        <c:axPos val="l"/>
        <c:majorGridlines>
          <c:spPr>
            <a:ln w="9525" cap="flat" cmpd="sng" algn="ctr">
              <a:solidFill>
                <a:schemeClr val="tx1">
                  <a:lumMod val="15000"/>
                  <a:lumOff val="85000"/>
                </a:schemeClr>
              </a:solidFill>
              <a:round/>
            </a:ln>
            <a:effectLst/>
          </c:spPr>
        </c:majorGridlines>
        <c:numFmt formatCode="_-* #,##0;\-* #,##0;_-* &quot;-&quot;??\ _€_-;"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154336095"/>
        <c:crosses val="autoZero"/>
        <c:crossBetween val="between"/>
      </c:valAx>
      <c:spPr>
        <a:noFill/>
        <a:ln>
          <a:noFill/>
        </a:ln>
        <a:effectLst/>
      </c:spPr>
    </c:plotArea>
    <c:legend>
      <c:legendPos val="r"/>
      <c:layout>
        <c:manualLayout>
          <c:xMode val="edge"/>
          <c:yMode val="edge"/>
          <c:x val="0.65522799344406624"/>
          <c:y val="5.1499020300943457E-2"/>
          <c:w val="0.3360693350831146"/>
          <c:h val="0.919015806170309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0" i="0" u="none" strike="noStrike" kern="1200" spc="0" baseline="0">
                <a:solidFill>
                  <a:sysClr val="windowText" lastClr="000000">
                    <a:lumMod val="65000"/>
                    <a:lumOff val="35000"/>
                  </a:sysClr>
                </a:solidFill>
                <a:latin typeface="Arial Narrow" panose="020B0606020202030204" pitchFamily="34" charset="0"/>
              </a:rPr>
              <a:t>Kostot vjetore [mijë €</a:t>
            </a:r>
            <a:r>
              <a:rPr lang="en-US"/>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'[Chart in Microsoft Word]18-22'!$E$192</c:f>
              <c:strCache>
                <c:ptCount val="1"/>
                <c:pt idx="0">
                  <c:v>Amortizim</c:v>
                </c:pt>
              </c:strCache>
            </c:strRef>
          </c:tx>
          <c:spPr>
            <a:solidFill>
              <a:schemeClr val="accent1"/>
            </a:solidFill>
            <a:ln>
              <a:noFill/>
            </a:ln>
            <a:effectLst/>
          </c:spPr>
          <c:invertIfNegative val="0"/>
          <c:cat>
            <c:numRef>
              <c:f>'[Chart in Microsoft Word]18-22'!$F$191:$P$191</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'[Chart in Microsoft Word]18-22'!$F$192:$P$192</c:f>
              <c:numCache>
                <c:formatCode>#,##0</c:formatCode>
                <c:ptCount val="11"/>
                <c:pt idx="0">
                  <c:v>0</c:v>
                </c:pt>
                <c:pt idx="1">
                  <c:v>2714.7196681173491</c:v>
                </c:pt>
                <c:pt idx="2">
                  <c:v>2772.5931681173488</c:v>
                </c:pt>
                <c:pt idx="3">
                  <c:v>2849.9831681173491</c:v>
                </c:pt>
                <c:pt idx="4">
                  <c:v>2895.1951681173487</c:v>
                </c:pt>
                <c:pt idx="5">
                  <c:v>2962.2791681173489</c:v>
                </c:pt>
                <c:pt idx="6">
                  <c:v>3495.3399000736222</c:v>
                </c:pt>
                <c:pt idx="7">
                  <c:v>3527.1569000736222</c:v>
                </c:pt>
                <c:pt idx="8">
                  <c:v>3498.9304000736224</c:v>
                </c:pt>
                <c:pt idx="9">
                  <c:v>3529.9774000736224</c:v>
                </c:pt>
                <c:pt idx="10">
                  <c:v>3569.3487334069555</c:v>
                </c:pt>
              </c:numCache>
            </c:numRef>
          </c:val>
          <c:extLst>
            <c:ext xmlns:c16="http://schemas.microsoft.com/office/drawing/2014/chart" uri="{C3380CC4-5D6E-409C-BE32-E72D297353CC}">
              <c16:uniqueId val="{00000000-1271-40DF-A86F-F7F8E6A2AF96}"/>
            </c:ext>
          </c:extLst>
        </c:ser>
        <c:ser>
          <c:idx val="1"/>
          <c:order val="1"/>
          <c:tx>
            <c:strRef>
              <c:f>'[Chart in Microsoft Word]18-22'!$E$193</c:f>
              <c:strCache>
                <c:ptCount val="1"/>
                <c:pt idx="0">
                  <c:v>Kosto operacionale</c:v>
                </c:pt>
              </c:strCache>
            </c:strRef>
          </c:tx>
          <c:spPr>
            <a:solidFill>
              <a:schemeClr val="accent2"/>
            </a:solidFill>
            <a:ln>
              <a:noFill/>
            </a:ln>
            <a:effectLst/>
          </c:spPr>
          <c:invertIfNegative val="0"/>
          <c:cat>
            <c:numRef>
              <c:f>'[Chart in Microsoft Word]18-22'!$F$191:$P$191</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'[Chart in Microsoft Word]18-22'!$F$193:$P$193</c:f>
              <c:numCache>
                <c:formatCode>_-* #,##0;\-* #,##0;_-* "-"??\ _€_-;</c:formatCode>
                <c:ptCount val="11"/>
                <c:pt idx="0">
                  <c:v>5876.3953486684641</c:v>
                </c:pt>
                <c:pt idx="1">
                  <c:v>5346.4284832530393</c:v>
                </c:pt>
                <c:pt idx="2">
                  <c:v>5420.5215121093906</c:v>
                </c:pt>
                <c:pt idx="3">
                  <c:v>5518.9530844468818</c:v>
                </c:pt>
                <c:pt idx="4">
                  <c:v>5564.8851102622702</c:v>
                </c:pt>
                <c:pt idx="5">
                  <c:v>5693.8719225630803</c:v>
                </c:pt>
                <c:pt idx="6">
                  <c:v>7770.0486365569122</c:v>
                </c:pt>
                <c:pt idx="7">
                  <c:v>7837.0589459076828</c:v>
                </c:pt>
                <c:pt idx="8">
                  <c:v>7812.2517397159791</c:v>
                </c:pt>
                <c:pt idx="9">
                  <c:v>7881.7821784218922</c:v>
                </c:pt>
                <c:pt idx="10">
                  <c:v>7860.9761362124145</c:v>
                </c:pt>
              </c:numCache>
            </c:numRef>
          </c:val>
          <c:extLst>
            <c:ext xmlns:c16="http://schemas.microsoft.com/office/drawing/2014/chart" uri="{C3380CC4-5D6E-409C-BE32-E72D297353CC}">
              <c16:uniqueId val="{00000001-1271-40DF-A86F-F7F8E6A2AF96}"/>
            </c:ext>
          </c:extLst>
        </c:ser>
        <c:dLbls>
          <c:showLegendKey val="0"/>
          <c:showVal val="0"/>
          <c:showCatName val="0"/>
          <c:showSerName val="0"/>
          <c:showPercent val="0"/>
          <c:showBubbleSize val="0"/>
        </c:dLbls>
        <c:gapWidth val="150"/>
        <c:overlap val="100"/>
        <c:axId val="1154313055"/>
        <c:axId val="1154327455"/>
      </c:barChart>
      <c:catAx>
        <c:axId val="1154313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154327455"/>
        <c:crosses val="autoZero"/>
        <c:auto val="1"/>
        <c:lblAlgn val="ctr"/>
        <c:lblOffset val="100"/>
        <c:noMultiLvlLbl val="0"/>
      </c:catAx>
      <c:valAx>
        <c:axId val="11543274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31305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latin typeface="Arial Narrow" panose="020B0606020202030204" pitchFamily="34" charset="0"/>
              </a:rPr>
              <a:t>Kostot vjetore [€/ton të gjeneruar]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'[Chart in Microsoft Word]18-22'!$E$211</c:f>
              <c:strCache>
                <c:ptCount val="1"/>
                <c:pt idx="0">
                  <c:v>Annual costs [€/tonne generated]</c:v>
                </c:pt>
              </c:strCache>
            </c:strRef>
          </c:tx>
          <c:spPr>
            <a:solidFill>
              <a:schemeClr val="accent1"/>
            </a:solidFill>
            <a:ln>
              <a:noFill/>
            </a:ln>
            <a:effectLst/>
          </c:spPr>
          <c:invertIfNegative val="0"/>
          <c:cat>
            <c:numRef>
              <c:f>'[Chart in Microsoft Word]18-22'!$F$210:$P$210</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'[Chart in Microsoft Word]18-22'!$F$211:$P$211</c:f>
              <c:numCache>
                <c:formatCode>0.00</c:formatCode>
                <c:ptCount val="11"/>
                <c:pt idx="0">
                  <c:v>85.234368682132782</c:v>
                </c:pt>
                <c:pt idx="1">
                  <c:v>116.36285435808988</c:v>
                </c:pt>
                <c:pt idx="2">
                  <c:v>117.69068753909021</c:v>
                </c:pt>
                <c:pt idx="3">
                  <c:v>119.62141304599555</c:v>
                </c:pt>
                <c:pt idx="4">
                  <c:v>120.3167796511987</c:v>
                </c:pt>
                <c:pt idx="5">
                  <c:v>122.47876823461321</c:v>
                </c:pt>
                <c:pt idx="6">
                  <c:v>158.57769043200904</c:v>
                </c:pt>
                <c:pt idx="7">
                  <c:v>159.13746985982996</c:v>
                </c:pt>
                <c:pt idx="8">
                  <c:v>157.56463129273254</c:v>
                </c:pt>
                <c:pt idx="9">
                  <c:v>158.12464440901542</c:v>
                </c:pt>
                <c:pt idx="10">
                  <c:v>157.53857376463731</c:v>
                </c:pt>
              </c:numCache>
            </c:numRef>
          </c:val>
          <c:extLst>
            <c:ext xmlns:c16="http://schemas.microsoft.com/office/drawing/2014/chart" uri="{C3380CC4-5D6E-409C-BE32-E72D297353CC}">
              <c16:uniqueId val="{00000000-E901-4C8B-B274-012BED4FBFE7}"/>
            </c:ext>
          </c:extLst>
        </c:ser>
        <c:dLbls>
          <c:showLegendKey val="0"/>
          <c:showVal val="0"/>
          <c:showCatName val="0"/>
          <c:showSerName val="0"/>
          <c:showPercent val="0"/>
          <c:showBubbleSize val="0"/>
        </c:dLbls>
        <c:gapWidth val="150"/>
        <c:overlap val="100"/>
        <c:axId val="1154286175"/>
        <c:axId val="1154301535"/>
      </c:barChart>
      <c:catAx>
        <c:axId val="1154286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301535"/>
        <c:crosses val="autoZero"/>
        <c:auto val="1"/>
        <c:lblAlgn val="ctr"/>
        <c:lblOffset val="100"/>
        <c:noMultiLvlLbl val="0"/>
      </c:catAx>
      <c:valAx>
        <c:axId val="115430153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2861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Narrow" panose="020B0606020202030204" pitchFamily="34" charset="0"/>
                <a:ea typeface="+mn-ea"/>
                <a:cs typeface="+mn-cs"/>
              </a:defRPr>
            </a:pPr>
            <a:r>
              <a:rPr lang="en-GB"/>
              <a:t>Gjenerimi</a:t>
            </a:r>
            <a:r>
              <a:rPr lang="en-GB" baseline="0"/>
              <a:t> i </a:t>
            </a:r>
            <a:r>
              <a:rPr lang="sq"/>
              <a:t>mbet</a:t>
            </a:r>
            <a:r>
              <a:rPr lang="en-GB"/>
              <a:t>urinave</a:t>
            </a:r>
            <a:r>
              <a:rPr lang="sq"/>
              <a:t> komunale, ton</a:t>
            </a:r>
            <a:r>
              <a:rPr lang="en-GB"/>
              <a:t>ë</a:t>
            </a:r>
            <a:endParaRPr lang="sq"/>
          </a:p>
        </c:rich>
      </c:tx>
      <c:layout>
        <c:manualLayout>
          <c:xMode val="edge"/>
          <c:yMode val="edge"/>
          <c:x val="0.22590966754155728"/>
          <c:y val="0"/>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Arial Narrow" panose="020B0606020202030204" pitchFamily="34" charset="0"/>
              <a:ea typeface="+mn-ea"/>
              <a:cs typeface="+mn-cs"/>
            </a:defRPr>
          </a:pPr>
          <a:endParaRPr lang="sq"/>
        </a:p>
      </c:txPr>
    </c:title>
    <c:autoTitleDeleted val="0"/>
    <c:plotArea>
      <c:layout/>
      <c:barChart>
        <c:barDir val="col"/>
        <c:grouping val="stacked"/>
        <c:varyColors val="0"/>
        <c:ser>
          <c:idx val="0"/>
          <c:order val="0"/>
          <c:tx>
            <c:strRef>
              <c:f>'Summary Costs All'!$D$294</c:f>
              <c:strCache>
                <c:ptCount val="1"/>
                <c:pt idx="0">
                  <c:v>Municipal waste generation </c:v>
                </c:pt>
              </c:strCache>
            </c:strRef>
          </c:tx>
          <c:spPr>
            <a:solidFill>
              <a:schemeClr val="accent1"/>
            </a:solidFill>
            <a:ln>
              <a:noFill/>
            </a:ln>
            <a:effectLst/>
          </c:spPr>
          <c:invertIfNegative val="0"/>
          <c:cat>
            <c:numRef>
              <c:f>'Summary Costs All'!$E$293:$P$293</c:f>
              <c:numCache>
                <c:formatCode>General</c:formatCode>
                <c:ptCount val="12"/>
                <c:pt idx="0">
                  <c:v>2024</c:v>
                </c:pt>
                <c:pt idx="1">
                  <c:v>2025</c:v>
                </c:pt>
                <c:pt idx="2">
                  <c:v>2026</c:v>
                </c:pt>
                <c:pt idx="3">
                  <c:v>2027</c:v>
                </c:pt>
                <c:pt idx="4">
                  <c:v>2028</c:v>
                </c:pt>
                <c:pt idx="5">
                  <c:v>2029</c:v>
                </c:pt>
                <c:pt idx="6">
                  <c:v>2030</c:v>
                </c:pt>
                <c:pt idx="7">
                  <c:v>2031</c:v>
                </c:pt>
                <c:pt idx="8">
                  <c:v>2032</c:v>
                </c:pt>
                <c:pt idx="9">
                  <c:v>2033</c:v>
                </c:pt>
                <c:pt idx="10">
                  <c:v>2034</c:v>
                </c:pt>
                <c:pt idx="11">
                  <c:v>2035</c:v>
                </c:pt>
              </c:numCache>
            </c:numRef>
          </c:cat>
          <c:val>
            <c:numRef>
              <c:f>'Summary Costs All'!$E$294:$P$294</c:f>
              <c:numCache>
                <c:formatCode>_-* #,##0;\-* #,##0;_-* "-"??\ _€_-;</c:formatCode>
                <c:ptCount val="12"/>
                <c:pt idx="0">
                  <c:v>68943.965204734384</c:v>
                </c:pt>
                <c:pt idx="1">
                  <c:v>69275.957485224353</c:v>
                </c:pt>
                <c:pt idx="2">
                  <c:v>69615.65822704068</c:v>
                </c:pt>
                <c:pt idx="3">
                  <c:v>69961.85749240646</c:v>
                </c:pt>
                <c:pt idx="4">
                  <c:v>70315.049180219081</c:v>
                </c:pt>
                <c:pt idx="5">
                  <c:v>70674.707261092059</c:v>
                </c:pt>
                <c:pt idx="6">
                  <c:v>71040.185450680554</c:v>
                </c:pt>
                <c:pt idx="7">
                  <c:v>71411.314104660778</c:v>
                </c:pt>
                <c:pt idx="8">
                  <c:v>71787.570897018406</c:v>
                </c:pt>
                <c:pt idx="9">
                  <c:v>72169.392830235374</c:v>
                </c:pt>
                <c:pt idx="10">
                  <c:v>72555.721411419407</c:v>
                </c:pt>
                <c:pt idx="11">
                  <c:v>72946.611241032806</c:v>
                </c:pt>
              </c:numCache>
            </c:numRef>
          </c:val>
          <c:extLst>
            <c:ext xmlns:c16="http://schemas.microsoft.com/office/drawing/2014/chart" uri="{C3380CC4-5D6E-409C-BE32-E72D297353CC}">
              <c16:uniqueId val="{00000000-CB73-4343-8D0A-7154F7846B9C}"/>
            </c:ext>
          </c:extLst>
        </c:ser>
        <c:dLbls>
          <c:showLegendKey val="0"/>
          <c:showVal val="0"/>
          <c:showCatName val="0"/>
          <c:showSerName val="0"/>
          <c:showPercent val="0"/>
          <c:showBubbleSize val="0"/>
        </c:dLbls>
        <c:gapWidth val="150"/>
        <c:overlap val="100"/>
        <c:axId val="466607344"/>
        <c:axId val="757114416"/>
      </c:barChart>
      <c:catAx>
        <c:axId val="46660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LID4096"/>
          </a:p>
        </c:txPr>
        <c:crossAx val="757114416"/>
        <c:crosses val="autoZero"/>
        <c:auto val="1"/>
        <c:lblAlgn val="ctr"/>
        <c:lblOffset val="100"/>
        <c:noMultiLvlLbl val="0"/>
      </c:catAx>
      <c:valAx>
        <c:axId val="757114416"/>
        <c:scaling>
          <c:orientation val="minMax"/>
          <c:min val="50000"/>
        </c:scaling>
        <c:delete val="0"/>
        <c:axPos val="l"/>
        <c:majorGridlines>
          <c:spPr>
            <a:ln w="9525" cap="flat" cmpd="sng" algn="ctr">
              <a:solidFill>
                <a:schemeClr val="tx1">
                  <a:lumMod val="15000"/>
                  <a:lumOff val="85000"/>
                </a:schemeClr>
              </a:solidFill>
              <a:round/>
            </a:ln>
            <a:effectLst/>
          </c:spPr>
        </c:majorGridlines>
        <c:numFmt formatCode="_-* #,##0;\-* #,##0;_-* &quot;-&quot;??\ _€_-;"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LID4096"/>
          </a:p>
        </c:txPr>
        <c:crossAx val="466607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Narrow" panose="020B0606020202030204" pitchFamily="34" charset="0"/>
        </a:defRPr>
      </a:pPr>
      <a:endParaRPr lang="LID4096"/>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u="none" strike="noStrike" kern="1200" spc="0" baseline="0">
                <a:solidFill>
                  <a:sysClr val="windowText" lastClr="000000">
                    <a:lumMod val="65000"/>
                    <a:lumOff val="35000"/>
                  </a:sysClr>
                </a:solidFill>
                <a:latin typeface="Arial Narrow" panose="020B0606020202030204" pitchFamily="34" charset="0"/>
              </a:rPr>
              <a:t>Balanca e përgjithshme/masës  2026 - 2036</a:t>
            </a:r>
          </a:p>
        </c:rich>
      </c:tx>
      <c:layout>
        <c:manualLayout>
          <c:xMode val="edge"/>
          <c:yMode val="edge"/>
          <c:x val="2.4193289194574794E-2"/>
          <c:y val="1.3352134961698034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areaChart>
        <c:grouping val="stacked"/>
        <c:varyColors val="0"/>
        <c:ser>
          <c:idx val="0"/>
          <c:order val="0"/>
          <c:tx>
            <c:strRef>
              <c:f>'18-22'!$E$225</c:f>
              <c:strCache>
                <c:ptCount val="1"/>
                <c:pt idx="0">
                  <c:v>Kompostimi i mbeturinave të gjelbra</c:v>
                </c:pt>
              </c:strCache>
            </c:strRef>
          </c:tx>
          <c:spPr>
            <a:solidFill>
              <a:schemeClr val="accent1"/>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'18-22'!$F$225:$P$225</c:f>
              <c:numCache>
                <c:formatCode>_-* #,##0;\-* #,##0;_-* "-"??\ _€_-;</c:formatCode>
                <c:ptCount val="11"/>
                <c:pt idx="0">
                  <c:v>0</c:v>
                </c:pt>
                <c:pt idx="1">
                  <c:v>3958.2296118049899</c:v>
                </c:pt>
                <c:pt idx="2">
                  <c:v>3978.8603016172774</c:v>
                </c:pt>
                <c:pt idx="3">
                  <c:v>4000.6708991726323</c:v>
                </c:pt>
                <c:pt idx="4">
                  <c:v>4006.141378020784</c:v>
                </c:pt>
                <c:pt idx="5">
                  <c:v>4008.4138986332209</c:v>
                </c:pt>
                <c:pt idx="6">
                  <c:v>4010.7091160725467</c:v>
                </c:pt>
                <c:pt idx="7">
                  <c:v>4013.0545351449887</c:v>
                </c:pt>
                <c:pt idx="8">
                  <c:v>4015.4303511383882</c:v>
                </c:pt>
                <c:pt idx="9">
                  <c:v>4017.8349677447991</c:v>
                </c:pt>
                <c:pt idx="10">
                  <c:v>4020.2727265572867</c:v>
                </c:pt>
              </c:numCache>
            </c:numRef>
          </c:val>
          <c:extLst>
            <c:ext xmlns:c16="http://schemas.microsoft.com/office/drawing/2014/chart" uri="{C3380CC4-5D6E-409C-BE32-E72D297353CC}">
              <c16:uniqueId val="{00000000-E652-4666-9FBB-E0FAF9F613F2}"/>
            </c:ext>
          </c:extLst>
        </c:ser>
        <c:ser>
          <c:idx val="1"/>
          <c:order val="1"/>
          <c:tx>
            <c:strRef>
              <c:f>'18-22'!$E$226</c:f>
              <c:strCache>
                <c:ptCount val="1"/>
                <c:pt idx="0">
                  <c:v>Kompostimi shtëpiak</c:v>
                </c:pt>
              </c:strCache>
            </c:strRef>
          </c:tx>
          <c:spPr>
            <a:solidFill>
              <a:schemeClr val="accent2"/>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'18-22'!$F$226:$P$226</c:f>
              <c:numCache>
                <c:formatCode>_-* #,##0;\-* #,##0;_-* "-"??\ _€_-;</c:formatCode>
                <c:ptCount val="11"/>
                <c:pt idx="0">
                  <c:v>0</c:v>
                </c:pt>
                <c:pt idx="1">
                  <c:v>1628.2667874622773</c:v>
                </c:pt>
                <c:pt idx="2">
                  <c:v>2002.3343736941645</c:v>
                </c:pt>
                <c:pt idx="3">
                  <c:v>2471.6686802382214</c:v>
                </c:pt>
                <c:pt idx="4">
                  <c:v>3038.4254499605513</c:v>
                </c:pt>
                <c:pt idx="5">
                  <c:v>3749.7244826716046</c:v>
                </c:pt>
                <c:pt idx="6">
                  <c:v>4624.7776998128811</c:v>
                </c:pt>
                <c:pt idx="7">
                  <c:v>5281.9510780988494</c:v>
                </c:pt>
                <c:pt idx="8">
                  <c:v>5466.6680437648165</c:v>
                </c:pt>
                <c:pt idx="9">
                  <c:v>5532.1379889361579</c:v>
                </c:pt>
                <c:pt idx="10">
                  <c:v>5574.5719974013409</c:v>
                </c:pt>
              </c:numCache>
            </c:numRef>
          </c:val>
          <c:extLst>
            <c:ext xmlns:c16="http://schemas.microsoft.com/office/drawing/2014/chart" uri="{C3380CC4-5D6E-409C-BE32-E72D297353CC}">
              <c16:uniqueId val="{00000001-E652-4666-9FBB-E0FAF9F613F2}"/>
            </c:ext>
          </c:extLst>
        </c:ser>
        <c:ser>
          <c:idx val="2"/>
          <c:order val="2"/>
          <c:tx>
            <c:strRef>
              <c:f>'18-22'!$E$227</c:f>
              <c:strCache>
                <c:ptCount val="1"/>
                <c:pt idx="0">
                  <c:v>TA/Kompostimi i mbeturinave organike</c:v>
                </c:pt>
              </c:strCache>
            </c:strRef>
          </c:tx>
          <c:spPr>
            <a:solidFill>
              <a:schemeClr val="accent3"/>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'18-22'!$F$227:$P$227</c:f>
              <c:numCache>
                <c:formatCode>_-* #,##0;\-* #,##0;_-* "-"??\ _€_-;</c:formatCode>
                <c:ptCount val="11"/>
                <c:pt idx="0">
                  <c:v>0</c:v>
                </c:pt>
                <c:pt idx="1">
                  <c:v>0</c:v>
                </c:pt>
                <c:pt idx="2">
                  <c:v>0</c:v>
                </c:pt>
                <c:pt idx="3">
                  <c:v>0</c:v>
                </c:pt>
                <c:pt idx="4">
                  <c:v>0</c:v>
                </c:pt>
                <c:pt idx="5">
                  <c:v>0</c:v>
                </c:pt>
                <c:pt idx="6">
                  <c:v>2588.5639498592027</c:v>
                </c:pt>
                <c:pt idx="7">
                  <c:v>2855.1728876496827</c:v>
                </c:pt>
                <c:pt idx="8">
                  <c:v>3014.6113155591484</c:v>
                </c:pt>
                <c:pt idx="9">
                  <c:v>3183.0679631550297</c:v>
                </c:pt>
                <c:pt idx="10">
                  <c:v>3361.0902769019326</c:v>
                </c:pt>
              </c:numCache>
            </c:numRef>
          </c:val>
          <c:extLst>
            <c:ext xmlns:c16="http://schemas.microsoft.com/office/drawing/2014/chart" uri="{C3380CC4-5D6E-409C-BE32-E72D297353CC}">
              <c16:uniqueId val="{00000002-E652-4666-9FBB-E0FAF9F613F2}"/>
            </c:ext>
          </c:extLst>
        </c:ser>
        <c:ser>
          <c:idx val="3"/>
          <c:order val="3"/>
          <c:tx>
            <c:strRef>
              <c:f>'18-22'!$E$228</c:f>
              <c:strCache>
                <c:ptCount val="1"/>
                <c:pt idx="0">
                  <c:v>Riciklim i grumbullimit ndaras</c:v>
                </c:pt>
              </c:strCache>
            </c:strRef>
          </c:tx>
          <c:spPr>
            <a:solidFill>
              <a:schemeClr val="accent4"/>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'18-22'!$F$228:$P$228</c:f>
              <c:numCache>
                <c:formatCode>_-* #,##0;\-* #,##0;_-* "-"??\ _€_-;</c:formatCode>
                <c:ptCount val="11"/>
                <c:pt idx="0">
                  <c:v>0</c:v>
                </c:pt>
                <c:pt idx="1">
                  <c:v>8608.2246337976158</c:v>
                </c:pt>
                <c:pt idx="2">
                  <c:v>10112.510667231971</c:v>
                </c:pt>
                <c:pt idx="3">
                  <c:v>12138.722721992004</c:v>
                </c:pt>
                <c:pt idx="4">
                  <c:v>13209.187332294592</c:v>
                </c:pt>
                <c:pt idx="5">
                  <c:v>14752.719460949542</c:v>
                </c:pt>
                <c:pt idx="6">
                  <c:v>16090.561682724874</c:v>
                </c:pt>
                <c:pt idx="7">
                  <c:v>16842.007278913632</c:v>
                </c:pt>
                <c:pt idx="8">
                  <c:v>17556.872139053059</c:v>
                </c:pt>
                <c:pt idx="9">
                  <c:v>18263.04392243479</c:v>
                </c:pt>
                <c:pt idx="10">
                  <c:v>18915.024017235879</c:v>
                </c:pt>
              </c:numCache>
            </c:numRef>
          </c:val>
          <c:extLst>
            <c:ext xmlns:c16="http://schemas.microsoft.com/office/drawing/2014/chart" uri="{C3380CC4-5D6E-409C-BE32-E72D297353CC}">
              <c16:uniqueId val="{00000003-E652-4666-9FBB-E0FAF9F613F2}"/>
            </c:ext>
          </c:extLst>
        </c:ser>
        <c:ser>
          <c:idx val="4"/>
          <c:order val="4"/>
          <c:tx>
            <c:strRef>
              <c:f>'18-22'!$E$229</c:f>
              <c:strCache>
                <c:ptCount val="1"/>
                <c:pt idx="0">
                  <c:v>Rikuperime tjera (tekstil)</c:v>
                </c:pt>
              </c:strCache>
            </c:strRef>
          </c:tx>
          <c:spPr>
            <a:solidFill>
              <a:schemeClr val="accent5"/>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'18-22'!$F$229:$P$229</c:f>
              <c:numCache>
                <c:formatCode>_-* #,##0;\-* #,##0;_-* "-"??\ _€_-;</c:formatCode>
                <c:ptCount val="11"/>
                <c:pt idx="0">
                  <c:v>0</c:v>
                </c:pt>
                <c:pt idx="1">
                  <c:v>0</c:v>
                </c:pt>
                <c:pt idx="2">
                  <c:v>0</c:v>
                </c:pt>
                <c:pt idx="3">
                  <c:v>0</c:v>
                </c:pt>
                <c:pt idx="4">
                  <c:v>0</c:v>
                </c:pt>
                <c:pt idx="5">
                  <c:v>598.36628939513173</c:v>
                </c:pt>
                <c:pt idx="6">
                  <c:v>665.07153716707683</c:v>
                </c:pt>
                <c:pt idx="7">
                  <c:v>702.17081324974868</c:v>
                </c:pt>
                <c:pt idx="8">
                  <c:v>741.37673008940749</c:v>
                </c:pt>
                <c:pt idx="9">
                  <c:v>782.80898024312842</c:v>
                </c:pt>
                <c:pt idx="10">
                  <c:v>826.58778983395041</c:v>
                </c:pt>
              </c:numCache>
            </c:numRef>
          </c:val>
          <c:extLst>
            <c:ext xmlns:c16="http://schemas.microsoft.com/office/drawing/2014/chart" uri="{C3380CC4-5D6E-409C-BE32-E72D297353CC}">
              <c16:uniqueId val="{00000004-E652-4666-9FBB-E0FAF9F613F2}"/>
            </c:ext>
          </c:extLst>
        </c:ser>
        <c:ser>
          <c:idx val="5"/>
          <c:order val="5"/>
          <c:tx>
            <c:strRef>
              <c:f>'18-22'!$E$230</c:f>
              <c:strCache>
                <c:ptCount val="1"/>
                <c:pt idx="0">
                  <c:v>Trajtim Riciklimi (TMB/MBT)</c:v>
                </c:pt>
              </c:strCache>
            </c:strRef>
          </c:tx>
          <c:spPr>
            <a:solidFill>
              <a:schemeClr val="accent6"/>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'18-22'!$F$230:$P$230</c:f>
              <c:numCache>
                <c:formatCode>_-* #,##0;\-* #,##0;_-* "-"??\ _€_-;</c:formatCode>
                <c:ptCount val="11"/>
                <c:pt idx="0">
                  <c:v>0</c:v>
                </c:pt>
                <c:pt idx="1">
                  <c:v>0</c:v>
                </c:pt>
                <c:pt idx="2">
                  <c:v>0</c:v>
                </c:pt>
                <c:pt idx="3">
                  <c:v>0</c:v>
                </c:pt>
                <c:pt idx="4">
                  <c:v>0</c:v>
                </c:pt>
                <c:pt idx="5">
                  <c:v>0</c:v>
                </c:pt>
                <c:pt idx="6">
                  <c:v>5145.7049402254715</c:v>
                </c:pt>
                <c:pt idx="7">
                  <c:v>4957.151480042332</c:v>
                </c:pt>
                <c:pt idx="8">
                  <c:v>4787.0776316996507</c:v>
                </c:pt>
                <c:pt idx="9">
                  <c:v>4621.2356784274543</c:v>
                </c:pt>
                <c:pt idx="10">
                  <c:v>4468.8466030705458</c:v>
                </c:pt>
              </c:numCache>
            </c:numRef>
          </c:val>
          <c:extLst>
            <c:ext xmlns:c16="http://schemas.microsoft.com/office/drawing/2014/chart" uri="{C3380CC4-5D6E-409C-BE32-E72D297353CC}">
              <c16:uniqueId val="{00000005-E652-4666-9FBB-E0FAF9F613F2}"/>
            </c:ext>
          </c:extLst>
        </c:ser>
        <c:ser>
          <c:idx val="6"/>
          <c:order val="6"/>
          <c:tx>
            <c:strRef>
              <c:f>'18-22'!$E$231</c:f>
              <c:strCache>
                <c:ptCount val="1"/>
                <c:pt idx="0">
                  <c:v>Prodhim i KDM/RDF</c:v>
                </c:pt>
              </c:strCache>
            </c:strRef>
          </c:tx>
          <c:spPr>
            <a:solidFill>
              <a:schemeClr val="accent1">
                <a:lumMod val="60000"/>
              </a:schemeClr>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'18-22'!$F$231:$P$231</c:f>
              <c:numCache>
                <c:formatCode>_-* #,##0;\-* #,##0;_-* "-"??\ _€_-;</c:formatCode>
                <c:ptCount val="11"/>
                <c:pt idx="0">
                  <c:v>0</c:v>
                </c:pt>
                <c:pt idx="1">
                  <c:v>0</c:v>
                </c:pt>
                <c:pt idx="2">
                  <c:v>0</c:v>
                </c:pt>
                <c:pt idx="3">
                  <c:v>0</c:v>
                </c:pt>
                <c:pt idx="4">
                  <c:v>0</c:v>
                </c:pt>
                <c:pt idx="5">
                  <c:v>0</c:v>
                </c:pt>
                <c:pt idx="6">
                  <c:v>12803.480650592608</c:v>
                </c:pt>
                <c:pt idx="7">
                  <c:v>12345.114547071415</c:v>
                </c:pt>
                <c:pt idx="8">
                  <c:v>12037.459406275133</c:v>
                </c:pt>
                <c:pt idx="9">
                  <c:v>11735.92141903785</c:v>
                </c:pt>
                <c:pt idx="10">
                  <c:v>11450.259485532371</c:v>
                </c:pt>
              </c:numCache>
            </c:numRef>
          </c:val>
          <c:extLst>
            <c:ext xmlns:c16="http://schemas.microsoft.com/office/drawing/2014/chart" uri="{C3380CC4-5D6E-409C-BE32-E72D297353CC}">
              <c16:uniqueId val="{00000006-E652-4666-9FBB-E0FAF9F613F2}"/>
            </c:ext>
          </c:extLst>
        </c:ser>
        <c:ser>
          <c:idx val="7"/>
          <c:order val="7"/>
          <c:tx>
            <c:strRef>
              <c:f>'18-22'!$E$232</c:f>
              <c:strCache>
                <c:ptCount val="1"/>
                <c:pt idx="0">
                  <c:v>Humbje në trajtim</c:v>
                </c:pt>
              </c:strCache>
            </c:strRef>
          </c:tx>
          <c:spPr>
            <a:solidFill>
              <a:schemeClr val="accent2">
                <a:lumMod val="60000"/>
              </a:schemeClr>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'18-22'!$F$232:$P$232</c:f>
              <c:numCache>
                <c:formatCode>_-* #,##0;\-* #,##0;_-* "-"??\ _€_-;</c:formatCode>
                <c:ptCount val="11"/>
                <c:pt idx="0">
                  <c:v>0</c:v>
                </c:pt>
                <c:pt idx="1">
                  <c:v>0</c:v>
                </c:pt>
                <c:pt idx="2">
                  <c:v>0</c:v>
                </c:pt>
                <c:pt idx="3">
                  <c:v>0</c:v>
                </c:pt>
                <c:pt idx="4">
                  <c:v>0</c:v>
                </c:pt>
                <c:pt idx="5">
                  <c:v>0</c:v>
                </c:pt>
                <c:pt idx="6">
                  <c:v>11928.902233435321</c:v>
                </c:pt>
                <c:pt idx="7">
                  <c:v>11354.166782035785</c:v>
                </c:pt>
                <c:pt idx="8">
                  <c:v>11179.764576718571</c:v>
                </c:pt>
                <c:pt idx="9">
                  <c:v>11081.64326076285</c:v>
                </c:pt>
                <c:pt idx="10">
                  <c:v>10994.999182460813</c:v>
                </c:pt>
              </c:numCache>
            </c:numRef>
          </c:val>
          <c:extLst>
            <c:ext xmlns:c16="http://schemas.microsoft.com/office/drawing/2014/chart" uri="{C3380CC4-5D6E-409C-BE32-E72D297353CC}">
              <c16:uniqueId val="{00000007-E652-4666-9FBB-E0FAF9F613F2}"/>
            </c:ext>
          </c:extLst>
        </c:ser>
        <c:ser>
          <c:idx val="8"/>
          <c:order val="8"/>
          <c:tx>
            <c:strRef>
              <c:f>'18-22'!$E$233</c:f>
              <c:strCache>
                <c:ptCount val="1"/>
                <c:pt idx="0">
                  <c:v>Deponia (krijimi i kapaciteteve të reja)</c:v>
                </c:pt>
              </c:strCache>
            </c:strRef>
          </c:tx>
          <c:spPr>
            <a:solidFill>
              <a:schemeClr val="accent3">
                <a:lumMod val="60000"/>
              </a:schemeClr>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'18-22'!$F$233:$P$233</c:f>
              <c:numCache>
                <c:formatCode>_-* #,##0;\-* #,##0;_-* "-"??\ _€_-;</c:formatCode>
                <c:ptCount val="11"/>
                <c:pt idx="0">
                  <c:v>0</c:v>
                </c:pt>
                <c:pt idx="1">
                  <c:v>54878.847782129174</c:v>
                </c:pt>
                <c:pt idx="2">
                  <c:v>53289.629370907613</c:v>
                </c:pt>
                <c:pt idx="3">
                  <c:v>51087.938765092018</c:v>
                </c:pt>
                <c:pt idx="4">
                  <c:v>49626.794750941233</c:v>
                </c:pt>
                <c:pt idx="5">
                  <c:v>47071.914953835876</c:v>
                </c:pt>
                <c:pt idx="6">
                  <c:v>13117.768668735367</c:v>
                </c:pt>
                <c:pt idx="7">
                  <c:v>12995.879730399123</c:v>
                </c:pt>
                <c:pt idx="8">
                  <c:v>12923.66573066503</c:v>
                </c:pt>
                <c:pt idx="9">
                  <c:v>12887.053677438105</c:v>
                </c:pt>
                <c:pt idx="10">
                  <c:v>12879.424360370072</c:v>
                </c:pt>
              </c:numCache>
            </c:numRef>
          </c:val>
          <c:extLst>
            <c:ext xmlns:c16="http://schemas.microsoft.com/office/drawing/2014/chart" uri="{C3380CC4-5D6E-409C-BE32-E72D297353CC}">
              <c16:uniqueId val="{00000008-E652-4666-9FBB-E0FAF9F613F2}"/>
            </c:ext>
          </c:extLst>
        </c:ser>
        <c:ser>
          <c:idx val="9"/>
          <c:order val="9"/>
          <c:tx>
            <c:strRef>
              <c:f>'18-22'!$E$234</c:f>
              <c:strCache>
                <c:ptCount val="1"/>
                <c:pt idx="0">
                  <c:v>Mbeturinat e përziera të menaxhuara përmes sistemit ekzistues</c:v>
                </c:pt>
              </c:strCache>
            </c:strRef>
          </c:tx>
          <c:spPr>
            <a:solidFill>
              <a:schemeClr val="accent4">
                <a:lumMod val="60000"/>
              </a:schemeClr>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'18-22'!$F$234:$P$234</c:f>
              <c:numCache>
                <c:formatCode>_-* #,##0;\-* #,##0;_-* "-"??\ _€_-;</c:formatCode>
                <c:ptCount val="11"/>
                <c:pt idx="0">
                  <c:v>65293.281651871825</c:v>
                </c:pt>
                <c:pt idx="1">
                  <c:v>0</c:v>
                </c:pt>
                <c:pt idx="2">
                  <c:v>0</c:v>
                </c:pt>
                <c:pt idx="3">
                  <c:v>0</c:v>
                </c:pt>
                <c:pt idx="4">
                  <c:v>0</c:v>
                </c:pt>
                <c:pt idx="5">
                  <c:v>0</c:v>
                </c:pt>
              </c:numCache>
            </c:numRef>
          </c:val>
          <c:extLst>
            <c:ext xmlns:c16="http://schemas.microsoft.com/office/drawing/2014/chart" uri="{C3380CC4-5D6E-409C-BE32-E72D297353CC}">
              <c16:uniqueId val="{00000009-E652-4666-9FBB-E0FAF9F613F2}"/>
            </c:ext>
          </c:extLst>
        </c:ser>
        <c:dLbls>
          <c:showLegendKey val="0"/>
          <c:showVal val="0"/>
          <c:showCatName val="0"/>
          <c:showSerName val="0"/>
          <c:showPercent val="0"/>
          <c:showBubbleSize val="0"/>
        </c:dLbls>
        <c:axId val="1974848256"/>
        <c:axId val="1974847296"/>
      </c:areaChart>
      <c:catAx>
        <c:axId val="19748482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4847296"/>
        <c:crosses val="autoZero"/>
        <c:auto val="1"/>
        <c:lblAlgn val="ctr"/>
        <c:lblOffset val="100"/>
        <c:noMultiLvlLbl val="0"/>
      </c:catAx>
      <c:valAx>
        <c:axId val="1974847296"/>
        <c:scaling>
          <c:orientation val="minMax"/>
        </c:scaling>
        <c:delete val="0"/>
        <c:axPos val="l"/>
        <c:majorGridlines>
          <c:spPr>
            <a:ln w="9525" cap="flat" cmpd="sng" algn="ctr">
              <a:solidFill>
                <a:schemeClr val="tx1">
                  <a:lumMod val="15000"/>
                  <a:lumOff val="85000"/>
                </a:schemeClr>
              </a:solidFill>
              <a:round/>
            </a:ln>
            <a:effectLst/>
          </c:spPr>
        </c:majorGridlines>
        <c:numFmt formatCode="_-* #,##0;\-* #,##0;_-* &quot;-&quot;??\ 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4848256"/>
        <c:crosses val="autoZero"/>
        <c:crossBetween val="midCat"/>
      </c:valAx>
      <c:spPr>
        <a:noFill/>
        <a:ln>
          <a:noFill/>
        </a:ln>
        <a:effectLst/>
      </c:spPr>
    </c:plotArea>
    <c:legend>
      <c:legendPos val="r"/>
      <c:layout>
        <c:manualLayout>
          <c:xMode val="edge"/>
          <c:yMode val="edge"/>
          <c:x val="0.63356383390773052"/>
          <c:y val="1.6551948083462116E-2"/>
          <c:w val="0.35073707441451862"/>
          <c:h val="0.983448051916537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latin typeface="Arial Narrow" panose="020B0606020202030204" pitchFamily="34" charset="0"/>
              </a:rPr>
              <a:t>Investimet dhe ri-inverstimet në pajisje</a:t>
            </a:r>
            <a:r>
              <a:rPr lang="en-GB" sz="1100" baseline="0">
                <a:latin typeface="Arial Narrow" panose="020B0606020202030204" pitchFamily="34" charset="0"/>
              </a:rPr>
              <a:t> për grumbullim ndaras</a:t>
            </a:r>
            <a:endParaRPr lang="en-GB" sz="1100">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stacked"/>
        <c:varyColors val="0"/>
        <c:ser>
          <c:idx val="0"/>
          <c:order val="0"/>
          <c:tx>
            <c:strRef>
              <c:f>Sorting!$G$19</c:f>
              <c:strCache>
                <c:ptCount val="1"/>
                <c:pt idx="0">
                  <c:v>Kontejnerë Pejë</c:v>
                </c:pt>
              </c:strCache>
            </c:strRef>
          </c:tx>
          <c:spPr>
            <a:solidFill>
              <a:schemeClr val="accent1"/>
            </a:solidFill>
            <a:ln>
              <a:noFill/>
            </a:ln>
            <a:effectLst/>
          </c:spPr>
          <c:invertIfNegative val="0"/>
          <c:cat>
            <c:numRef>
              <c:f>Sorting!$H$18:$P$18</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Sorting!$H$19:$P$19</c:f>
              <c:numCache>
                <c:formatCode>#,##0</c:formatCode>
                <c:ptCount val="9"/>
                <c:pt idx="0">
                  <c:v>881.43299999999999</c:v>
                </c:pt>
                <c:pt idx="1">
                  <c:v>229.25699999999998</c:v>
                </c:pt>
                <c:pt idx="2">
                  <c:v>255.15</c:v>
                </c:pt>
                <c:pt idx="3">
                  <c:v>115.37400000000012</c:v>
                </c:pt>
                <c:pt idx="4">
                  <c:v>128.03699999999998</c:v>
                </c:pt>
                <c:pt idx="5">
                  <c:v>137.6339999999999</c:v>
                </c:pt>
                <c:pt idx="6">
                  <c:v>96.327000000000155</c:v>
                </c:pt>
                <c:pt idx="7">
                  <c:v>969.19200000000001</c:v>
                </c:pt>
                <c:pt idx="8">
                  <c:v>315.90299999999991</c:v>
                </c:pt>
              </c:numCache>
            </c:numRef>
          </c:val>
          <c:extLst>
            <c:ext xmlns:c16="http://schemas.microsoft.com/office/drawing/2014/chart" uri="{C3380CC4-5D6E-409C-BE32-E72D297353CC}">
              <c16:uniqueId val="{00000000-B85F-46BD-9ED7-E2353C465F95}"/>
            </c:ext>
          </c:extLst>
        </c:ser>
        <c:ser>
          <c:idx val="1"/>
          <c:order val="1"/>
          <c:tx>
            <c:strRef>
              <c:f>Sorting!$G$20</c:f>
              <c:strCache>
                <c:ptCount val="1"/>
                <c:pt idx="0">
                  <c:v>Kamionë Pejë</c:v>
                </c:pt>
              </c:strCache>
            </c:strRef>
          </c:tx>
          <c:spPr>
            <a:solidFill>
              <a:schemeClr val="accent2"/>
            </a:solidFill>
            <a:ln>
              <a:noFill/>
            </a:ln>
            <a:effectLst/>
          </c:spPr>
          <c:invertIfNegative val="0"/>
          <c:cat>
            <c:numRef>
              <c:f>Sorting!$H$18:$P$18</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Sorting!$H$20:$P$20</c:f>
              <c:numCache>
                <c:formatCode>#,##0</c:formatCode>
                <c:ptCount val="9"/>
                <c:pt idx="0">
                  <c:v>387.05</c:v>
                </c:pt>
                <c:pt idx="1">
                  <c:v>110.35000000000002</c:v>
                </c:pt>
                <c:pt idx="2">
                  <c:v>110.34999999999995</c:v>
                </c:pt>
                <c:pt idx="3">
                  <c:v>55.999999999999986</c:v>
                </c:pt>
                <c:pt idx="4">
                  <c:v>54.349999999999973</c:v>
                </c:pt>
                <c:pt idx="5">
                  <c:v>56.00000000000005</c:v>
                </c:pt>
                <c:pt idx="6">
                  <c:v>54.349999999999973</c:v>
                </c:pt>
                <c:pt idx="7">
                  <c:v>41.999999999999979</c:v>
                </c:pt>
                <c:pt idx="8">
                  <c:v>28.000000000000025</c:v>
                </c:pt>
              </c:numCache>
            </c:numRef>
          </c:val>
          <c:extLst>
            <c:ext xmlns:c16="http://schemas.microsoft.com/office/drawing/2014/chart" uri="{C3380CC4-5D6E-409C-BE32-E72D297353CC}">
              <c16:uniqueId val="{00000001-B85F-46BD-9ED7-E2353C465F95}"/>
            </c:ext>
          </c:extLst>
        </c:ser>
        <c:ser>
          <c:idx val="2"/>
          <c:order val="2"/>
          <c:tx>
            <c:strRef>
              <c:f>Sorting!$G$21</c:f>
              <c:strCache>
                <c:ptCount val="1"/>
                <c:pt idx="0">
                  <c:v>Kontejnerë Istog</c:v>
                </c:pt>
              </c:strCache>
            </c:strRef>
          </c:tx>
          <c:spPr>
            <a:solidFill>
              <a:schemeClr val="accent3"/>
            </a:solidFill>
            <a:ln>
              <a:noFill/>
            </a:ln>
            <a:effectLst/>
          </c:spPr>
          <c:invertIfNegative val="0"/>
          <c:cat>
            <c:numRef>
              <c:f>Sorting!$H$18:$P$18</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Sorting!$H$21:$P$21</c:f>
              <c:numCache>
                <c:formatCode>#,##0</c:formatCode>
                <c:ptCount val="9"/>
                <c:pt idx="0">
                  <c:v>347.697</c:v>
                </c:pt>
                <c:pt idx="1">
                  <c:v>37.884000000000022</c:v>
                </c:pt>
                <c:pt idx="2">
                  <c:v>44.414999999999999</c:v>
                </c:pt>
                <c:pt idx="3">
                  <c:v>49.476000000000006</c:v>
                </c:pt>
                <c:pt idx="4">
                  <c:v>55.817999999999955</c:v>
                </c:pt>
                <c:pt idx="5">
                  <c:v>62.51700000000006</c:v>
                </c:pt>
                <c:pt idx="6">
                  <c:v>32.130000000000003</c:v>
                </c:pt>
                <c:pt idx="7">
                  <c:v>377.36999999999995</c:v>
                </c:pt>
                <c:pt idx="8">
                  <c:v>67.242000000000061</c:v>
                </c:pt>
              </c:numCache>
            </c:numRef>
          </c:val>
          <c:extLst>
            <c:ext xmlns:c16="http://schemas.microsoft.com/office/drawing/2014/chart" uri="{C3380CC4-5D6E-409C-BE32-E72D297353CC}">
              <c16:uniqueId val="{00000002-B85F-46BD-9ED7-E2353C465F95}"/>
            </c:ext>
          </c:extLst>
        </c:ser>
        <c:ser>
          <c:idx val="3"/>
          <c:order val="3"/>
          <c:tx>
            <c:strRef>
              <c:f>Sorting!$G$22</c:f>
              <c:strCache>
                <c:ptCount val="1"/>
                <c:pt idx="0">
                  <c:v>Kamionë Istog</c:v>
                </c:pt>
              </c:strCache>
            </c:strRef>
          </c:tx>
          <c:spPr>
            <a:solidFill>
              <a:schemeClr val="accent4"/>
            </a:solidFill>
            <a:ln>
              <a:noFill/>
            </a:ln>
            <a:effectLst/>
          </c:spPr>
          <c:invertIfNegative val="0"/>
          <c:cat>
            <c:numRef>
              <c:f>Sorting!$H$18:$P$18</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Sorting!$H$22:$P$22</c:f>
              <c:numCache>
                <c:formatCode>_-* #,##0;\-* #,##0;_-* "-"??\ _€_-;</c:formatCode>
                <c:ptCount val="9"/>
                <c:pt idx="0">
                  <c:v>196.00000000000003</c:v>
                </c:pt>
                <c:pt idx="1">
                  <c:v>27.999999999999993</c:v>
                </c:pt>
                <c:pt idx="2">
                  <c:v>27.999999999999993</c:v>
                </c:pt>
                <c:pt idx="3">
                  <c:v>27.999999999999993</c:v>
                </c:pt>
                <c:pt idx="4">
                  <c:v>28.000000000000025</c:v>
                </c:pt>
                <c:pt idx="5">
                  <c:v>27.999999999999964</c:v>
                </c:pt>
                <c:pt idx="6">
                  <c:v>14.000000000000012</c:v>
                </c:pt>
                <c:pt idx="7">
                  <c:v>28.000000000000025</c:v>
                </c:pt>
                <c:pt idx="8">
                  <c:v>14.000000000000012</c:v>
                </c:pt>
              </c:numCache>
            </c:numRef>
          </c:val>
          <c:extLst>
            <c:ext xmlns:c16="http://schemas.microsoft.com/office/drawing/2014/chart" uri="{C3380CC4-5D6E-409C-BE32-E72D297353CC}">
              <c16:uniqueId val="{00000003-B85F-46BD-9ED7-E2353C465F95}"/>
            </c:ext>
          </c:extLst>
        </c:ser>
        <c:ser>
          <c:idx val="4"/>
          <c:order val="4"/>
          <c:tx>
            <c:strRef>
              <c:f>Sorting!$G$23</c:f>
              <c:strCache>
                <c:ptCount val="1"/>
                <c:pt idx="0">
                  <c:v>Kontejnerë Klinë</c:v>
                </c:pt>
              </c:strCache>
            </c:strRef>
          </c:tx>
          <c:spPr>
            <a:solidFill>
              <a:schemeClr val="accent5"/>
            </a:solidFill>
            <a:ln>
              <a:noFill/>
            </a:ln>
            <a:effectLst/>
          </c:spPr>
          <c:invertIfNegative val="0"/>
          <c:cat>
            <c:numRef>
              <c:f>Sorting!$H$18:$P$18</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Sorting!$H$23:$P$23</c:f>
              <c:numCache>
                <c:formatCode>_-* #,##0;\-* #,##0;_-* "-"??\ _€_-;</c:formatCode>
                <c:ptCount val="9"/>
                <c:pt idx="0">
                  <c:v>427.35</c:v>
                </c:pt>
                <c:pt idx="1">
                  <c:v>45.948000000000036</c:v>
                </c:pt>
                <c:pt idx="2">
                  <c:v>52.016999999999953</c:v>
                </c:pt>
                <c:pt idx="3">
                  <c:v>59.955000000000013</c:v>
                </c:pt>
                <c:pt idx="4">
                  <c:v>68.228999999999999</c:v>
                </c:pt>
                <c:pt idx="5">
                  <c:v>73.689000000000021</c:v>
                </c:pt>
                <c:pt idx="6">
                  <c:v>39.626999999999967</c:v>
                </c:pt>
                <c:pt idx="7">
                  <c:v>463.76400000000012</c:v>
                </c:pt>
                <c:pt idx="8">
                  <c:v>81.458999999999946</c:v>
                </c:pt>
              </c:numCache>
            </c:numRef>
          </c:val>
          <c:extLst>
            <c:ext xmlns:c16="http://schemas.microsoft.com/office/drawing/2014/chart" uri="{C3380CC4-5D6E-409C-BE32-E72D297353CC}">
              <c16:uniqueId val="{00000004-B85F-46BD-9ED7-E2353C465F95}"/>
            </c:ext>
          </c:extLst>
        </c:ser>
        <c:ser>
          <c:idx val="5"/>
          <c:order val="5"/>
          <c:tx>
            <c:strRef>
              <c:f>Sorting!$G$24</c:f>
              <c:strCache>
                <c:ptCount val="1"/>
                <c:pt idx="0">
                  <c:v>Kamionë Klinë</c:v>
                </c:pt>
              </c:strCache>
            </c:strRef>
          </c:tx>
          <c:spPr>
            <a:solidFill>
              <a:schemeClr val="accent6"/>
            </a:solidFill>
            <a:ln>
              <a:noFill/>
            </a:ln>
            <a:effectLst/>
          </c:spPr>
          <c:invertIfNegative val="0"/>
          <c:cat>
            <c:numRef>
              <c:f>Sorting!$H$18:$P$18</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Sorting!$H$24:$P$24</c:f>
              <c:numCache>
                <c:formatCode>_-* #,##0;\-* #,##0;_-* "-"??\ _€_-;</c:formatCode>
                <c:ptCount val="9"/>
                <c:pt idx="0">
                  <c:v>98</c:v>
                </c:pt>
                <c:pt idx="1">
                  <c:v>0</c:v>
                </c:pt>
                <c:pt idx="2">
                  <c:v>13.999999999999996</c:v>
                </c:pt>
                <c:pt idx="3">
                  <c:v>14.000000000000012</c:v>
                </c:pt>
                <c:pt idx="4">
                  <c:v>13.999999999999996</c:v>
                </c:pt>
                <c:pt idx="5">
                  <c:v>14.000000000000012</c:v>
                </c:pt>
                <c:pt idx="6">
                  <c:v>0</c:v>
                </c:pt>
                <c:pt idx="7">
                  <c:v>14.000000000000012</c:v>
                </c:pt>
                <c:pt idx="8">
                  <c:v>0</c:v>
                </c:pt>
              </c:numCache>
            </c:numRef>
          </c:val>
          <c:extLst>
            <c:ext xmlns:c16="http://schemas.microsoft.com/office/drawing/2014/chart" uri="{C3380CC4-5D6E-409C-BE32-E72D297353CC}">
              <c16:uniqueId val="{00000005-B85F-46BD-9ED7-E2353C465F95}"/>
            </c:ext>
          </c:extLst>
        </c:ser>
        <c:ser>
          <c:idx val="6"/>
          <c:order val="6"/>
          <c:tx>
            <c:strRef>
              <c:f>Sorting!$G$25</c:f>
              <c:strCache>
                <c:ptCount val="1"/>
                <c:pt idx="0">
                  <c:v>Kontejnerë Deçan</c:v>
                </c:pt>
              </c:strCache>
            </c:strRef>
          </c:tx>
          <c:spPr>
            <a:solidFill>
              <a:schemeClr val="accent1">
                <a:lumMod val="60000"/>
              </a:schemeClr>
            </a:solidFill>
            <a:ln>
              <a:noFill/>
            </a:ln>
            <a:effectLst/>
          </c:spPr>
          <c:invertIfNegative val="0"/>
          <c:cat>
            <c:numRef>
              <c:f>Sorting!$H$18:$P$18</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Sorting!$H$25:$P$25</c:f>
              <c:numCache>
                <c:formatCode>_-* #,##0;\-* #,##0;_-* "-"??\ _€_-;</c:formatCode>
                <c:ptCount val="9"/>
                <c:pt idx="0">
                  <c:v>325.75200000000001</c:v>
                </c:pt>
                <c:pt idx="1">
                  <c:v>98.385000000000034</c:v>
                </c:pt>
                <c:pt idx="2">
                  <c:v>49.160999999999987</c:v>
                </c:pt>
                <c:pt idx="3">
                  <c:v>55.817999999999955</c:v>
                </c:pt>
                <c:pt idx="4">
                  <c:v>64.008000000000024</c:v>
                </c:pt>
                <c:pt idx="5">
                  <c:v>69.993000000000023</c:v>
                </c:pt>
                <c:pt idx="6">
                  <c:v>35.741999999999969</c:v>
                </c:pt>
                <c:pt idx="7">
                  <c:v>359.39400000000006</c:v>
                </c:pt>
                <c:pt idx="8">
                  <c:v>129.40199999999996</c:v>
                </c:pt>
              </c:numCache>
            </c:numRef>
          </c:val>
          <c:extLst>
            <c:ext xmlns:c16="http://schemas.microsoft.com/office/drawing/2014/chart" uri="{C3380CC4-5D6E-409C-BE32-E72D297353CC}">
              <c16:uniqueId val="{00000006-B85F-46BD-9ED7-E2353C465F95}"/>
            </c:ext>
          </c:extLst>
        </c:ser>
        <c:ser>
          <c:idx val="7"/>
          <c:order val="7"/>
          <c:tx>
            <c:strRef>
              <c:f>Sorting!$G$26</c:f>
              <c:strCache>
                <c:ptCount val="1"/>
                <c:pt idx="0">
                  <c:v>Kamionë Deçan</c:v>
                </c:pt>
              </c:strCache>
            </c:strRef>
          </c:tx>
          <c:spPr>
            <a:solidFill>
              <a:schemeClr val="accent2">
                <a:lumMod val="60000"/>
              </a:schemeClr>
            </a:solidFill>
            <a:ln>
              <a:noFill/>
            </a:ln>
            <a:effectLst/>
          </c:spPr>
          <c:invertIfNegative val="0"/>
          <c:cat>
            <c:numRef>
              <c:f>Sorting!$H$18:$P$18</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Sorting!$H$26:$P$26</c:f>
              <c:numCache>
                <c:formatCode>_-* #,##0;\-* #,##0;_-* "-"??\ _€_-;</c:formatCode>
                <c:ptCount val="9"/>
                <c:pt idx="0">
                  <c:v>84</c:v>
                </c:pt>
                <c:pt idx="1">
                  <c:v>13.999999999999996</c:v>
                </c:pt>
                <c:pt idx="2">
                  <c:v>13.999999999999996</c:v>
                </c:pt>
                <c:pt idx="3">
                  <c:v>14.000000000000012</c:v>
                </c:pt>
                <c:pt idx="4">
                  <c:v>13.999999999999996</c:v>
                </c:pt>
                <c:pt idx="5">
                  <c:v>14.000000000000012</c:v>
                </c:pt>
                <c:pt idx="6">
                  <c:v>14.000000000000012</c:v>
                </c:pt>
                <c:pt idx="7">
                  <c:v>0</c:v>
                </c:pt>
                <c:pt idx="8">
                  <c:v>13.999999999999982</c:v>
                </c:pt>
              </c:numCache>
            </c:numRef>
          </c:val>
          <c:extLst>
            <c:ext xmlns:c16="http://schemas.microsoft.com/office/drawing/2014/chart" uri="{C3380CC4-5D6E-409C-BE32-E72D297353CC}">
              <c16:uniqueId val="{00000007-B85F-46BD-9ED7-E2353C465F95}"/>
            </c:ext>
          </c:extLst>
        </c:ser>
        <c:ser>
          <c:idx val="8"/>
          <c:order val="8"/>
          <c:tx>
            <c:strRef>
              <c:f>Sorting!$G$27</c:f>
              <c:strCache>
                <c:ptCount val="1"/>
                <c:pt idx="0">
                  <c:v>Kontejnerë Junik </c:v>
                </c:pt>
              </c:strCache>
            </c:strRef>
          </c:tx>
          <c:spPr>
            <a:solidFill>
              <a:schemeClr val="accent3">
                <a:lumMod val="60000"/>
              </a:schemeClr>
            </a:solidFill>
            <a:ln>
              <a:noFill/>
            </a:ln>
            <a:effectLst/>
          </c:spPr>
          <c:invertIfNegative val="0"/>
          <c:cat>
            <c:numRef>
              <c:f>Sorting!$H$18:$P$18</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Sorting!$H$27:$P$27</c:f>
              <c:numCache>
                <c:formatCode>_-* #,##0;\-* #,##0;_-* "-"??\ _€_-;</c:formatCode>
                <c:ptCount val="9"/>
                <c:pt idx="0">
                  <c:v>58.359000000000009</c:v>
                </c:pt>
                <c:pt idx="1">
                  <c:v>3.5489999999999973</c:v>
                </c:pt>
                <c:pt idx="2">
                  <c:v>2.8560000000000034</c:v>
                </c:pt>
                <c:pt idx="3">
                  <c:v>3.8849999999999989</c:v>
                </c:pt>
                <c:pt idx="4">
                  <c:v>3.1079999999999925</c:v>
                </c:pt>
                <c:pt idx="5">
                  <c:v>4.2210000000000045</c:v>
                </c:pt>
                <c:pt idx="6">
                  <c:v>4.3890000000000047</c:v>
                </c:pt>
                <c:pt idx="7">
                  <c:v>62.747999999999998</c:v>
                </c:pt>
                <c:pt idx="8">
                  <c:v>6.9929999999999932</c:v>
                </c:pt>
              </c:numCache>
            </c:numRef>
          </c:val>
          <c:extLst>
            <c:ext xmlns:c16="http://schemas.microsoft.com/office/drawing/2014/chart" uri="{C3380CC4-5D6E-409C-BE32-E72D297353CC}">
              <c16:uniqueId val="{00000008-B85F-46BD-9ED7-E2353C465F95}"/>
            </c:ext>
          </c:extLst>
        </c:ser>
        <c:ser>
          <c:idx val="9"/>
          <c:order val="9"/>
          <c:tx>
            <c:strRef>
              <c:f>Sorting!$G$28</c:f>
              <c:strCache>
                <c:ptCount val="1"/>
                <c:pt idx="0">
                  <c:v>Kamionë Junik</c:v>
                </c:pt>
              </c:strCache>
            </c:strRef>
          </c:tx>
          <c:spPr>
            <a:solidFill>
              <a:schemeClr val="accent4">
                <a:lumMod val="60000"/>
              </a:schemeClr>
            </a:solidFill>
            <a:ln>
              <a:noFill/>
            </a:ln>
            <a:effectLst/>
          </c:spPr>
          <c:invertIfNegative val="0"/>
          <c:cat>
            <c:numRef>
              <c:f>Sorting!$H$18:$P$18</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Sorting!$H$28:$P$28</c:f>
              <c:numCache>
                <c:formatCode>_-* #,##0;\-* #,##0;_-* "-"??\ _€_-;</c:formatCode>
                <c:ptCount val="9"/>
                <c:pt idx="0">
                  <c:v>28</c:v>
                </c:pt>
                <c:pt idx="1">
                  <c:v>0</c:v>
                </c:pt>
                <c:pt idx="2">
                  <c:v>0</c:v>
                </c:pt>
                <c:pt idx="3">
                  <c:v>0</c:v>
                </c:pt>
                <c:pt idx="4">
                  <c:v>14.000000000000005</c:v>
                </c:pt>
                <c:pt idx="5">
                  <c:v>0</c:v>
                </c:pt>
                <c:pt idx="6">
                  <c:v>0</c:v>
                </c:pt>
                <c:pt idx="7">
                  <c:v>0</c:v>
                </c:pt>
                <c:pt idx="8">
                  <c:v>0</c:v>
                </c:pt>
              </c:numCache>
            </c:numRef>
          </c:val>
          <c:extLst>
            <c:ext xmlns:c16="http://schemas.microsoft.com/office/drawing/2014/chart" uri="{C3380CC4-5D6E-409C-BE32-E72D297353CC}">
              <c16:uniqueId val="{00000009-B85F-46BD-9ED7-E2353C465F95}"/>
            </c:ext>
          </c:extLst>
        </c:ser>
        <c:dLbls>
          <c:showLegendKey val="0"/>
          <c:showVal val="0"/>
          <c:showCatName val="0"/>
          <c:showSerName val="0"/>
          <c:showPercent val="0"/>
          <c:showBubbleSize val="0"/>
        </c:dLbls>
        <c:gapWidth val="150"/>
        <c:overlap val="100"/>
        <c:axId val="1953286319"/>
        <c:axId val="1953287279"/>
      </c:barChart>
      <c:catAx>
        <c:axId val="1953286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3287279"/>
        <c:crosses val="autoZero"/>
        <c:auto val="1"/>
        <c:lblAlgn val="ctr"/>
        <c:lblOffset val="100"/>
        <c:noMultiLvlLbl val="0"/>
      </c:catAx>
      <c:valAx>
        <c:axId val="19532872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mijë  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3286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sz="1100">
                <a:latin typeface="Arial Narrow" panose="020B0606020202030204" pitchFamily="34" charset="0"/>
              </a:rPr>
              <a:t>Kostot vjetore dhe të hyrat nga shitjet </a:t>
            </a:r>
            <a:r>
              <a:rPr lang="en-US" sz="1100" baseline="0">
                <a:latin typeface="Arial Narrow" panose="020B0606020202030204" pitchFamily="34" charset="0"/>
              </a:rPr>
              <a:t>e materialeve të riciklueshme</a:t>
            </a:r>
            <a:endParaRPr lang="en-US" sz="1100">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manualLayout>
          <c:layoutTarget val="inner"/>
          <c:xMode val="edge"/>
          <c:yMode val="edge"/>
          <c:x val="0.14723753280839894"/>
          <c:y val="0.10923656927426956"/>
          <c:w val="0.82411663385826772"/>
          <c:h val="0.47630077107468077"/>
        </c:manualLayout>
      </c:layout>
      <c:barChart>
        <c:barDir val="col"/>
        <c:grouping val="stacked"/>
        <c:varyColors val="0"/>
        <c:ser>
          <c:idx val="0"/>
          <c:order val="0"/>
          <c:tx>
            <c:strRef>
              <c:f>Sorting!$A$57</c:f>
              <c:strCache>
                <c:ptCount val="1"/>
                <c:pt idx="0">
                  <c:v>Kosto operacionale për grumbullim</c:v>
                </c:pt>
              </c:strCache>
            </c:strRef>
          </c:tx>
          <c:spPr>
            <a:solidFill>
              <a:schemeClr val="accent1"/>
            </a:solidFill>
            <a:ln>
              <a:noFill/>
            </a:ln>
            <a:effectLst/>
          </c:spPr>
          <c:invertIfNegative val="0"/>
          <c:cat>
            <c:numRef>
              <c:f>Sorting!$B$56:$J$56</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Sorting!$B$57:$J$57</c:f>
              <c:numCache>
                <c:formatCode>#,##0</c:formatCode>
                <c:ptCount val="9"/>
                <c:pt idx="0">
                  <c:v>658.19335077036226</c:v>
                </c:pt>
                <c:pt idx="1">
                  <c:v>769.09839195279596</c:v>
                </c:pt>
                <c:pt idx="2">
                  <c:v>852.5045340052103</c:v>
                </c:pt>
                <c:pt idx="3">
                  <c:v>932.89406177783223</c:v>
                </c:pt>
                <c:pt idx="4">
                  <c:v>1036.2794354273967</c:v>
                </c:pt>
                <c:pt idx="5">
                  <c:v>1181.8978070953326</c:v>
                </c:pt>
                <c:pt idx="6">
                  <c:v>1248.4084108573538</c:v>
                </c:pt>
                <c:pt idx="7">
                  <c:v>1295.5844617665425</c:v>
                </c:pt>
                <c:pt idx="8">
                  <c:v>1328.1393004571185</c:v>
                </c:pt>
              </c:numCache>
            </c:numRef>
          </c:val>
          <c:extLst>
            <c:ext xmlns:c16="http://schemas.microsoft.com/office/drawing/2014/chart" uri="{C3380CC4-5D6E-409C-BE32-E72D297353CC}">
              <c16:uniqueId val="{00000000-D35E-4FA5-95F1-F321D0834793}"/>
            </c:ext>
          </c:extLst>
        </c:ser>
        <c:ser>
          <c:idx val="1"/>
          <c:order val="1"/>
          <c:tx>
            <c:strRef>
              <c:f>Sorting!$A$58</c:f>
              <c:strCache>
                <c:ptCount val="1"/>
                <c:pt idx="0">
                  <c:v>Amortizimi i pajisjeve për grumbullim</c:v>
                </c:pt>
              </c:strCache>
            </c:strRef>
          </c:tx>
          <c:spPr>
            <a:solidFill>
              <a:schemeClr val="accent2"/>
            </a:solidFill>
            <a:ln>
              <a:noFill/>
            </a:ln>
            <a:effectLst/>
          </c:spPr>
          <c:invertIfNegative val="0"/>
          <c:cat>
            <c:numRef>
              <c:f>Sorting!$B$56:$J$56</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Sorting!$B$58:$J$58</c:f>
              <c:numCache>
                <c:formatCode>#,##0</c:formatCode>
                <c:ptCount val="9"/>
                <c:pt idx="0">
                  <c:v>372.91800000000001</c:v>
                </c:pt>
                <c:pt idx="1">
                  <c:v>447.44200000000001</c:v>
                </c:pt>
                <c:pt idx="2">
                  <c:v>521.73400000000004</c:v>
                </c:pt>
                <c:pt idx="3">
                  <c:v>573.57799999999997</c:v>
                </c:pt>
                <c:pt idx="4">
                  <c:v>631.61299999999994</c:v>
                </c:pt>
                <c:pt idx="5">
                  <c:v>692.53499999999997</c:v>
                </c:pt>
                <c:pt idx="6">
                  <c:v>732.61500000000001</c:v>
                </c:pt>
                <c:pt idx="7">
                  <c:v>768.42599999999993</c:v>
                </c:pt>
                <c:pt idx="8">
                  <c:v>800.59399999999994</c:v>
                </c:pt>
              </c:numCache>
            </c:numRef>
          </c:val>
          <c:extLst>
            <c:ext xmlns:c16="http://schemas.microsoft.com/office/drawing/2014/chart" uri="{C3380CC4-5D6E-409C-BE32-E72D297353CC}">
              <c16:uniqueId val="{00000001-D35E-4FA5-95F1-F321D0834793}"/>
            </c:ext>
          </c:extLst>
        </c:ser>
        <c:ser>
          <c:idx val="2"/>
          <c:order val="2"/>
          <c:tx>
            <c:strRef>
              <c:f>Sorting!$A$59</c:f>
              <c:strCache>
                <c:ptCount val="1"/>
                <c:pt idx="0">
                  <c:v>Kosto operacionale për objektin e klasifikimit</c:v>
                </c:pt>
              </c:strCache>
            </c:strRef>
          </c:tx>
          <c:spPr>
            <a:solidFill>
              <a:schemeClr val="accent3"/>
            </a:solidFill>
            <a:ln>
              <a:noFill/>
            </a:ln>
            <a:effectLst/>
          </c:spPr>
          <c:invertIfNegative val="0"/>
          <c:cat>
            <c:numRef>
              <c:f>Sorting!$B$56:$J$56</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Sorting!$B$59:$J$59</c:f>
              <c:numCache>
                <c:formatCode>0</c:formatCode>
                <c:ptCount val="9"/>
                <c:pt idx="0">
                  <c:v>455.21316288196073</c:v>
                </c:pt>
                <c:pt idx="1">
                  <c:v>480.96998688785908</c:v>
                </c:pt>
                <c:pt idx="2">
                  <c:v>512.47570034300043</c:v>
                </c:pt>
                <c:pt idx="3">
                  <c:v>533.01682046031056</c:v>
                </c:pt>
                <c:pt idx="4">
                  <c:v>561.29525880650317</c:v>
                </c:pt>
                <c:pt idx="5">
                  <c:v>583.28922017275681</c:v>
                </c:pt>
                <c:pt idx="6">
                  <c:v>602.1705029478718</c:v>
                </c:pt>
                <c:pt idx="7">
                  <c:v>636.35473398213185</c:v>
                </c:pt>
                <c:pt idx="8">
                  <c:v>654.74344096324853</c:v>
                </c:pt>
              </c:numCache>
            </c:numRef>
          </c:val>
          <c:extLst>
            <c:ext xmlns:c16="http://schemas.microsoft.com/office/drawing/2014/chart" uri="{C3380CC4-5D6E-409C-BE32-E72D297353CC}">
              <c16:uniqueId val="{00000002-D35E-4FA5-95F1-F321D0834793}"/>
            </c:ext>
          </c:extLst>
        </c:ser>
        <c:ser>
          <c:idx val="3"/>
          <c:order val="3"/>
          <c:tx>
            <c:strRef>
              <c:f>Sorting!$A$60</c:f>
              <c:strCache>
                <c:ptCount val="1"/>
                <c:pt idx="0">
                  <c:v>Amortizimi i objektit për klasifikim</c:v>
                </c:pt>
              </c:strCache>
            </c:strRef>
          </c:tx>
          <c:spPr>
            <a:solidFill>
              <a:schemeClr val="accent4"/>
            </a:solidFill>
            <a:ln>
              <a:noFill/>
            </a:ln>
            <a:effectLst/>
          </c:spPr>
          <c:invertIfNegative val="0"/>
          <c:cat>
            <c:numRef>
              <c:f>Sorting!$B$56:$J$56</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Sorting!$B$60:$J$60</c:f>
              <c:numCache>
                <c:formatCode>0</c:formatCode>
                <c:ptCount val="9"/>
                <c:pt idx="0">
                  <c:v>91.501142505226497</c:v>
                </c:pt>
                <c:pt idx="1">
                  <c:v>91.501142505226497</c:v>
                </c:pt>
                <c:pt idx="2">
                  <c:v>91.501142505226497</c:v>
                </c:pt>
                <c:pt idx="3">
                  <c:v>91.501142505226497</c:v>
                </c:pt>
                <c:pt idx="4">
                  <c:v>91.501142505226497</c:v>
                </c:pt>
                <c:pt idx="5">
                  <c:v>91.501142505226497</c:v>
                </c:pt>
                <c:pt idx="6">
                  <c:v>91.501142505226497</c:v>
                </c:pt>
                <c:pt idx="7">
                  <c:v>91.501142505226497</c:v>
                </c:pt>
                <c:pt idx="8">
                  <c:v>91.501142505226497</c:v>
                </c:pt>
              </c:numCache>
            </c:numRef>
          </c:val>
          <c:extLst>
            <c:ext xmlns:c16="http://schemas.microsoft.com/office/drawing/2014/chart" uri="{C3380CC4-5D6E-409C-BE32-E72D297353CC}">
              <c16:uniqueId val="{00000003-D35E-4FA5-95F1-F321D0834793}"/>
            </c:ext>
          </c:extLst>
        </c:ser>
        <c:ser>
          <c:idx val="4"/>
          <c:order val="4"/>
          <c:tx>
            <c:strRef>
              <c:f>Sorting!$A$61</c:f>
              <c:strCache>
                <c:ptCount val="1"/>
                <c:pt idx="0">
                  <c:v>Largimi i papastërtive</c:v>
                </c:pt>
              </c:strCache>
            </c:strRef>
          </c:tx>
          <c:spPr>
            <a:solidFill>
              <a:schemeClr val="accent5"/>
            </a:solidFill>
            <a:ln>
              <a:noFill/>
            </a:ln>
            <a:effectLst/>
          </c:spPr>
          <c:invertIfNegative val="0"/>
          <c:cat>
            <c:numRef>
              <c:f>Sorting!$B$56:$J$56</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Sorting!$B$61:$J$61</c:f>
              <c:numCache>
                <c:formatCode>0</c:formatCode>
                <c:ptCount val="9"/>
                <c:pt idx="0">
                  <c:v>29.988507012088515</c:v>
                </c:pt>
                <c:pt idx="1">
                  <c:v>35.815983943075103</c:v>
                </c:pt>
                <c:pt idx="2">
                  <c:v>42.225331115589768</c:v>
                </c:pt>
                <c:pt idx="3">
                  <c:v>46.244658035075524</c:v>
                </c:pt>
                <c:pt idx="4">
                  <c:v>89.940830993749671</c:v>
                </c:pt>
                <c:pt idx="5">
                  <c:v>182.05122442914768</c:v>
                </c:pt>
                <c:pt idx="6">
                  <c:v>194.64629283528944</c:v>
                </c:pt>
                <c:pt idx="7">
                  <c:v>209.49215899189451</c:v>
                </c:pt>
                <c:pt idx="8">
                  <c:v>221.55685466940503</c:v>
                </c:pt>
              </c:numCache>
            </c:numRef>
          </c:val>
          <c:extLst>
            <c:ext xmlns:c16="http://schemas.microsoft.com/office/drawing/2014/chart" uri="{C3380CC4-5D6E-409C-BE32-E72D297353CC}">
              <c16:uniqueId val="{00000004-D35E-4FA5-95F1-F321D0834793}"/>
            </c:ext>
          </c:extLst>
        </c:ser>
        <c:dLbls>
          <c:showLegendKey val="0"/>
          <c:showVal val="0"/>
          <c:showCatName val="0"/>
          <c:showSerName val="0"/>
          <c:showPercent val="0"/>
          <c:showBubbleSize val="0"/>
        </c:dLbls>
        <c:gapWidth val="219"/>
        <c:overlap val="100"/>
        <c:axId val="1468465360"/>
        <c:axId val="1468471600"/>
      </c:barChart>
      <c:lineChart>
        <c:grouping val="standard"/>
        <c:varyColors val="0"/>
        <c:ser>
          <c:idx val="5"/>
          <c:order val="5"/>
          <c:tx>
            <c:strRef>
              <c:f>Sorting!$A$62</c:f>
              <c:strCache>
                <c:ptCount val="1"/>
                <c:pt idx="0">
                  <c:v>Të hyrat nga shitjet e të riciklueshmeve</c:v>
                </c:pt>
              </c:strCache>
            </c:strRef>
          </c:tx>
          <c:spPr>
            <a:ln w="28575" cap="rnd">
              <a:solidFill>
                <a:schemeClr val="accent6"/>
              </a:solidFill>
              <a:round/>
            </a:ln>
            <a:effectLst/>
          </c:spPr>
          <c:marker>
            <c:symbol val="none"/>
          </c:marker>
          <c:cat>
            <c:numRef>
              <c:f>Sorting!$B$56:$J$56</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Sorting!$B$62:$J$62</c:f>
              <c:numCache>
                <c:formatCode>0</c:formatCode>
                <c:ptCount val="9"/>
                <c:pt idx="0">
                  <c:v>952.9305089131567</c:v>
                </c:pt>
                <c:pt idx="1">
                  <c:v>1131.9697397604425</c:v>
                </c:pt>
                <c:pt idx="2">
                  <c:v>1332.1112567825169</c:v>
                </c:pt>
                <c:pt idx="3">
                  <c:v>1458.090945998594</c:v>
                </c:pt>
                <c:pt idx="4">
                  <c:v>1598.0902880730209</c:v>
                </c:pt>
                <c:pt idx="5">
                  <c:v>1750.392666069833</c:v>
                </c:pt>
                <c:pt idx="6">
                  <c:v>1845.6526427970634</c:v>
                </c:pt>
                <c:pt idx="7">
                  <c:v>1938.1905166975346</c:v>
                </c:pt>
                <c:pt idx="8">
                  <c:v>2021.613770722028</c:v>
                </c:pt>
              </c:numCache>
            </c:numRef>
          </c:val>
          <c:smooth val="0"/>
          <c:extLst>
            <c:ext xmlns:c16="http://schemas.microsoft.com/office/drawing/2014/chart" uri="{C3380CC4-5D6E-409C-BE32-E72D297353CC}">
              <c16:uniqueId val="{00000005-D35E-4FA5-95F1-F321D0834793}"/>
            </c:ext>
          </c:extLst>
        </c:ser>
        <c:dLbls>
          <c:showLegendKey val="0"/>
          <c:showVal val="0"/>
          <c:showCatName val="0"/>
          <c:showSerName val="0"/>
          <c:showPercent val="0"/>
          <c:showBubbleSize val="0"/>
        </c:dLbls>
        <c:marker val="1"/>
        <c:smooth val="0"/>
        <c:axId val="1468465360"/>
        <c:axId val="1468471600"/>
      </c:lineChart>
      <c:catAx>
        <c:axId val="146846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471600"/>
        <c:crosses val="autoZero"/>
        <c:auto val="1"/>
        <c:lblAlgn val="ctr"/>
        <c:lblOffset val="100"/>
        <c:noMultiLvlLbl val="0"/>
      </c:catAx>
      <c:valAx>
        <c:axId val="1468471600"/>
        <c:scaling>
          <c:orientation val="minMax"/>
          <c:max val="35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mië  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465360"/>
        <c:crosses val="autoZero"/>
        <c:crossBetween val="between"/>
        <c:majorUnit val="500"/>
      </c:valAx>
      <c:spPr>
        <a:noFill/>
        <a:ln>
          <a:noFill/>
        </a:ln>
        <a:effectLst/>
      </c:spPr>
    </c:plotArea>
    <c:legend>
      <c:legendPos val="b"/>
      <c:layout>
        <c:manualLayout>
          <c:xMode val="edge"/>
          <c:yMode val="edge"/>
          <c:x val="7.7335958005249353E-2"/>
          <c:y val="0.68543492619501734"/>
          <c:w val="0.85574475065616784"/>
          <c:h val="0.286289861740892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a:latin typeface="Arial Narrow" panose="020B0606020202030204" pitchFamily="34" charset="0"/>
              </a:rPr>
              <a:t>Kosto operacionale të deponisë</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barChart>
        <c:barDir val="col"/>
        <c:grouping val="stacked"/>
        <c:varyColors val="0"/>
        <c:ser>
          <c:idx val="0"/>
          <c:order val="0"/>
          <c:tx>
            <c:strRef>
              <c:f>Landfill!$H$69</c:f>
              <c:strCache>
                <c:ptCount val="1"/>
                <c:pt idx="0">
                  <c:v>Paga</c:v>
                </c:pt>
              </c:strCache>
            </c:strRef>
          </c:tx>
          <c:spPr>
            <a:solidFill>
              <a:schemeClr val="accent1"/>
            </a:solidFill>
            <a:ln>
              <a:noFill/>
            </a:ln>
            <a:effectLst/>
          </c:spPr>
          <c:invertIfNegative val="0"/>
          <c:cat>
            <c:numRef>
              <c:f>Landfill!$I$68:$Q$68</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Landfill!$I$69:$Q$69</c:f>
              <c:numCache>
                <c:formatCode>#,##0</c:formatCode>
                <c:ptCount val="9"/>
                <c:pt idx="0">
                  <c:v>163.06799999999998</c:v>
                </c:pt>
                <c:pt idx="1">
                  <c:v>132.58799999999999</c:v>
                </c:pt>
                <c:pt idx="2">
                  <c:v>132.58799999999999</c:v>
                </c:pt>
                <c:pt idx="3">
                  <c:v>132.58799999999999</c:v>
                </c:pt>
                <c:pt idx="4">
                  <c:v>132.58799999999999</c:v>
                </c:pt>
                <c:pt idx="5">
                  <c:v>70</c:v>
                </c:pt>
                <c:pt idx="6">
                  <c:v>70</c:v>
                </c:pt>
                <c:pt idx="7">
                  <c:v>70</c:v>
                </c:pt>
                <c:pt idx="8">
                  <c:v>70</c:v>
                </c:pt>
              </c:numCache>
            </c:numRef>
          </c:val>
          <c:extLst>
            <c:ext xmlns:c16="http://schemas.microsoft.com/office/drawing/2014/chart" uri="{C3380CC4-5D6E-409C-BE32-E72D297353CC}">
              <c16:uniqueId val="{00000000-FB45-4F48-A179-6EBB1DA25D6D}"/>
            </c:ext>
          </c:extLst>
        </c:ser>
        <c:ser>
          <c:idx val="1"/>
          <c:order val="1"/>
          <c:tx>
            <c:strRef>
              <c:f>Landfill!$H$70</c:f>
              <c:strCache>
                <c:ptCount val="1"/>
                <c:pt idx="0">
                  <c:v>Mirëmbajtje</c:v>
                </c:pt>
              </c:strCache>
            </c:strRef>
          </c:tx>
          <c:spPr>
            <a:solidFill>
              <a:schemeClr val="accent2"/>
            </a:solidFill>
            <a:ln>
              <a:noFill/>
            </a:ln>
            <a:effectLst/>
          </c:spPr>
          <c:invertIfNegative val="0"/>
          <c:cat>
            <c:numRef>
              <c:f>Landfill!$I$68:$Q$68</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Landfill!$I$70:$Q$70</c:f>
              <c:numCache>
                <c:formatCode>General</c:formatCode>
                <c:ptCount val="9"/>
                <c:pt idx="0">
                  <c:v>435.84000000000003</c:v>
                </c:pt>
                <c:pt idx="1">
                  <c:v>435.84000000000003</c:v>
                </c:pt>
                <c:pt idx="2">
                  <c:v>435.84000000000003</c:v>
                </c:pt>
                <c:pt idx="3">
                  <c:v>435.84000000000003</c:v>
                </c:pt>
                <c:pt idx="4">
                  <c:v>435.84000000000003</c:v>
                </c:pt>
                <c:pt idx="5">
                  <c:v>322.03000000000003</c:v>
                </c:pt>
                <c:pt idx="6">
                  <c:v>322.03000000000003</c:v>
                </c:pt>
                <c:pt idx="7">
                  <c:v>322.03000000000003</c:v>
                </c:pt>
                <c:pt idx="8">
                  <c:v>322.03000000000003</c:v>
                </c:pt>
              </c:numCache>
            </c:numRef>
          </c:val>
          <c:extLst>
            <c:ext xmlns:c16="http://schemas.microsoft.com/office/drawing/2014/chart" uri="{C3380CC4-5D6E-409C-BE32-E72D297353CC}">
              <c16:uniqueId val="{00000001-FB45-4F48-A179-6EBB1DA25D6D}"/>
            </c:ext>
          </c:extLst>
        </c:ser>
        <c:ser>
          <c:idx val="2"/>
          <c:order val="2"/>
          <c:tx>
            <c:strRef>
              <c:f>Landfill!$H$71</c:f>
              <c:strCache>
                <c:ptCount val="1"/>
                <c:pt idx="0">
                  <c:v>Materiale harxhuese</c:v>
                </c:pt>
              </c:strCache>
            </c:strRef>
          </c:tx>
          <c:spPr>
            <a:solidFill>
              <a:schemeClr val="accent3"/>
            </a:solidFill>
            <a:ln>
              <a:noFill/>
            </a:ln>
            <a:effectLst/>
          </c:spPr>
          <c:invertIfNegative val="0"/>
          <c:cat>
            <c:numRef>
              <c:f>Landfill!$I$68:$Q$68</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Landfill!$I$71:$Q$71</c:f>
              <c:numCache>
                <c:formatCode>0</c:formatCode>
                <c:ptCount val="9"/>
                <c:pt idx="0">
                  <c:v>219</c:v>
                </c:pt>
                <c:pt idx="1">
                  <c:v>214.44635881858079</c:v>
                </c:pt>
                <c:pt idx="2">
                  <c:v>209.23157429733814</c:v>
                </c:pt>
                <c:pt idx="3">
                  <c:v>204.23281899363613</c:v>
                </c:pt>
                <c:pt idx="4">
                  <c:v>200.80912724444229</c:v>
                </c:pt>
                <c:pt idx="5">
                  <c:v>78.658283173894475</c:v>
                </c:pt>
                <c:pt idx="6">
                  <c:v>76.273734300750917</c:v>
                </c:pt>
                <c:pt idx="7">
                  <c:v>73.724230218752197</c:v>
                </c:pt>
                <c:pt idx="8">
                  <c:v>71.644638536625607</c:v>
                </c:pt>
              </c:numCache>
            </c:numRef>
          </c:val>
          <c:extLst>
            <c:ext xmlns:c16="http://schemas.microsoft.com/office/drawing/2014/chart" uri="{C3380CC4-5D6E-409C-BE32-E72D297353CC}">
              <c16:uniqueId val="{00000002-FB45-4F48-A179-6EBB1DA25D6D}"/>
            </c:ext>
          </c:extLst>
        </c:ser>
        <c:ser>
          <c:idx val="3"/>
          <c:order val="3"/>
          <c:tx>
            <c:strRef>
              <c:f>Landfill!$H$72</c:f>
              <c:strCache>
                <c:ptCount val="1"/>
                <c:pt idx="0">
                  <c:v>Administative</c:v>
                </c:pt>
              </c:strCache>
            </c:strRef>
          </c:tx>
          <c:spPr>
            <a:solidFill>
              <a:schemeClr val="accent4"/>
            </a:solidFill>
            <a:ln>
              <a:noFill/>
            </a:ln>
            <a:effectLst/>
          </c:spPr>
          <c:invertIfNegative val="0"/>
          <c:cat>
            <c:numRef>
              <c:f>Landfill!$I$68:$Q$68</c:f>
              <c:numCache>
                <c:formatCode>General</c:formatCode>
                <c:ptCount val="9"/>
                <c:pt idx="0">
                  <c:v>2027</c:v>
                </c:pt>
                <c:pt idx="1">
                  <c:v>2028</c:v>
                </c:pt>
                <c:pt idx="2">
                  <c:v>2029</c:v>
                </c:pt>
                <c:pt idx="3">
                  <c:v>2030</c:v>
                </c:pt>
                <c:pt idx="4">
                  <c:v>2031</c:v>
                </c:pt>
                <c:pt idx="5">
                  <c:v>2032</c:v>
                </c:pt>
                <c:pt idx="6">
                  <c:v>2033</c:v>
                </c:pt>
                <c:pt idx="7">
                  <c:v>2034</c:v>
                </c:pt>
                <c:pt idx="8">
                  <c:v>2035</c:v>
                </c:pt>
              </c:numCache>
            </c:numRef>
          </c:cat>
          <c:val>
            <c:numRef>
              <c:f>Landfill!$I$72:$Q$72</c:f>
              <c:numCache>
                <c:formatCode>General</c:formatCode>
                <c:ptCount val="9"/>
                <c:pt idx="0">
                  <c:v>245.3724</c:v>
                </c:pt>
                <c:pt idx="1">
                  <c:v>234.86230764557422</c:v>
                </c:pt>
                <c:pt idx="2">
                  <c:v>233.29787228920145</c:v>
                </c:pt>
                <c:pt idx="3">
                  <c:v>231.79824569809082</c:v>
                </c:pt>
                <c:pt idx="4">
                  <c:v>230.77113817333267</c:v>
                </c:pt>
                <c:pt idx="5">
                  <c:v>70.603242476084176</c:v>
                </c:pt>
                <c:pt idx="6">
                  <c:v>70.245560145112634</c:v>
                </c:pt>
                <c:pt idx="7">
                  <c:v>69.863134532812836</c:v>
                </c:pt>
                <c:pt idx="8">
                  <c:v>69.551195780493842</c:v>
                </c:pt>
              </c:numCache>
            </c:numRef>
          </c:val>
          <c:extLst>
            <c:ext xmlns:c16="http://schemas.microsoft.com/office/drawing/2014/chart" uri="{C3380CC4-5D6E-409C-BE32-E72D297353CC}">
              <c16:uniqueId val="{00000003-FB45-4F48-A179-6EBB1DA25D6D}"/>
            </c:ext>
          </c:extLst>
        </c:ser>
        <c:dLbls>
          <c:showLegendKey val="0"/>
          <c:showVal val="0"/>
          <c:showCatName val="0"/>
          <c:showSerName val="0"/>
          <c:showPercent val="0"/>
          <c:showBubbleSize val="0"/>
        </c:dLbls>
        <c:gapWidth val="150"/>
        <c:overlap val="100"/>
        <c:axId val="2142532383"/>
        <c:axId val="2142527583"/>
      </c:barChart>
      <c:catAx>
        <c:axId val="2142532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2527583"/>
        <c:crosses val="autoZero"/>
        <c:auto val="1"/>
        <c:lblAlgn val="ctr"/>
        <c:lblOffset val="100"/>
        <c:noMultiLvlLbl val="0"/>
      </c:catAx>
      <c:valAx>
        <c:axId val="21425275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mijë  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25323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Narrow" panose="020B0606020202030204" pitchFamily="34" charset="0"/>
                <a:ea typeface="+mn-ea"/>
                <a:cs typeface="+mn-cs"/>
              </a:defRPr>
            </a:pPr>
            <a:r>
              <a:rPr lang="en-GB" sz="1000" b="1">
                <a:latin typeface="Arial Narrow" panose="020B0606020202030204" pitchFamily="34" charset="0"/>
              </a:rPr>
              <a:t>Kostoja</a:t>
            </a:r>
            <a:r>
              <a:rPr lang="en-GB" sz="1000" b="1" baseline="0">
                <a:latin typeface="Arial Narrow" panose="020B0606020202030204" pitchFamily="34" charset="0"/>
              </a:rPr>
              <a:t> e faturimit për amvisëritë në lidhje me përballueshmërinë, Pejë</a:t>
            </a:r>
            <a:endParaRPr lang="en-GB" sz="1000" b="1">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Narrow" panose="020B0606020202030204" pitchFamily="34" charset="0"/>
              <a:ea typeface="+mn-ea"/>
              <a:cs typeface="+mn-cs"/>
            </a:defRPr>
          </a:pPr>
          <a:endParaRPr lang="en-GB"/>
        </a:p>
      </c:txPr>
    </c:title>
    <c:autoTitleDeleted val="0"/>
    <c:plotArea>
      <c:layout/>
      <c:lineChart>
        <c:grouping val="standard"/>
        <c:varyColors val="0"/>
        <c:ser>
          <c:idx val="0"/>
          <c:order val="0"/>
          <c:tx>
            <c:strRef>
              <c:f>Peje!$D$113</c:f>
              <c:strCache>
                <c:ptCount val="1"/>
                <c:pt idx="0">
                  <c:v>Të hyrat nga popullata</c:v>
                </c:pt>
              </c:strCache>
            </c:strRef>
          </c:tx>
          <c:spPr>
            <a:ln w="28575" cap="rnd">
              <a:solidFill>
                <a:schemeClr val="accent1"/>
              </a:solidFill>
              <a:round/>
            </a:ln>
            <a:effectLst/>
          </c:spPr>
          <c:marker>
            <c:symbol val="none"/>
          </c:marker>
          <c:cat>
            <c:numRef>
              <c:f>Peje!$E$112:$O$112</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Peje!$E$113:$O$113</c:f>
              <c:numCache>
                <c:formatCode>#,##0</c:formatCode>
                <c:ptCount val="11"/>
                <c:pt idx="0">
                  <c:v>1169.2289591422002</c:v>
                </c:pt>
                <c:pt idx="1">
                  <c:v>1767.2306831180981</c:v>
                </c:pt>
                <c:pt idx="2">
                  <c:v>1988.0193502507097</c:v>
                </c:pt>
                <c:pt idx="3">
                  <c:v>1939.858176877844</c:v>
                </c:pt>
                <c:pt idx="4">
                  <c:v>1892.9931167313366</c:v>
                </c:pt>
                <c:pt idx="5">
                  <c:v>1877.6383218436408</c:v>
                </c:pt>
                <c:pt idx="6">
                  <c:v>2228.6941712054531</c:v>
                </c:pt>
                <c:pt idx="7">
                  <c:v>2334.5506991843145</c:v>
                </c:pt>
                <c:pt idx="8">
                  <c:v>2318.5380652939766</c:v>
                </c:pt>
                <c:pt idx="9">
                  <c:v>2311.4316272260985</c:v>
                </c:pt>
                <c:pt idx="10">
                  <c:v>2299.7693594959319</c:v>
                </c:pt>
              </c:numCache>
            </c:numRef>
          </c:val>
          <c:smooth val="0"/>
          <c:extLst>
            <c:ext xmlns:c16="http://schemas.microsoft.com/office/drawing/2014/chart" uri="{C3380CC4-5D6E-409C-BE32-E72D297353CC}">
              <c16:uniqueId val="{00000000-F5A0-475B-BEE9-2D2B08359CD4}"/>
            </c:ext>
          </c:extLst>
        </c:ser>
        <c:ser>
          <c:idx val="1"/>
          <c:order val="1"/>
          <c:tx>
            <c:strRef>
              <c:f>Peje!$D$114</c:f>
              <c:strCache>
                <c:ptCount val="1"/>
              </c:strCache>
            </c:strRef>
          </c:tx>
          <c:spPr>
            <a:ln w="28575" cap="rnd">
              <a:solidFill>
                <a:schemeClr val="accent2"/>
              </a:solidFill>
              <a:round/>
            </a:ln>
            <a:effectLst/>
          </c:spPr>
          <c:marker>
            <c:symbol val="none"/>
          </c:marker>
          <c:cat>
            <c:numRef>
              <c:f>Peje!$E$112:$O$112</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Peje!$E$114:$O$114</c:f>
              <c:numCache>
                <c:formatCode>General</c:formatCode>
                <c:ptCount val="11"/>
              </c:numCache>
            </c:numRef>
          </c:val>
          <c:smooth val="0"/>
          <c:extLst>
            <c:ext xmlns:c16="http://schemas.microsoft.com/office/drawing/2014/chart" uri="{C3380CC4-5D6E-409C-BE32-E72D297353CC}">
              <c16:uniqueId val="{00000001-F5A0-475B-BEE9-2D2B08359CD4}"/>
            </c:ext>
          </c:extLst>
        </c:ser>
        <c:ser>
          <c:idx val="2"/>
          <c:order val="2"/>
          <c:tx>
            <c:strRef>
              <c:f>Peje!$D$115</c:f>
              <c:strCache>
                <c:ptCount val="1"/>
                <c:pt idx="0">
                  <c:v>Pragu i përballueshmërisë</c:v>
                </c:pt>
              </c:strCache>
            </c:strRef>
          </c:tx>
          <c:spPr>
            <a:ln w="28575" cap="rnd">
              <a:solidFill>
                <a:schemeClr val="accent3"/>
              </a:solidFill>
              <a:round/>
            </a:ln>
            <a:effectLst/>
          </c:spPr>
          <c:marker>
            <c:symbol val="none"/>
          </c:marker>
          <c:cat>
            <c:numRef>
              <c:f>Peje!$E$112:$O$112</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Peje!$E$115:$O$115</c:f>
              <c:numCache>
                <c:formatCode>#,##0</c:formatCode>
                <c:ptCount val="11"/>
                <c:pt idx="0">
                  <c:v>1926.7527822236764</c:v>
                </c:pt>
                <c:pt idx="1">
                  <c:v>1982.7529285712169</c:v>
                </c:pt>
                <c:pt idx="2">
                  <c:v>2040.5770339537685</c:v>
                </c:pt>
                <c:pt idx="3">
                  <c:v>2100.2390844667366</c:v>
                </c:pt>
                <c:pt idx="4">
                  <c:v>2161.8019044163984</c:v>
                </c:pt>
                <c:pt idx="5">
                  <c:v>2225.3305710955879</c:v>
                </c:pt>
                <c:pt idx="6">
                  <c:v>2290.8646373030738</c:v>
                </c:pt>
                <c:pt idx="7">
                  <c:v>2358.4427341920359</c:v>
                </c:pt>
                <c:pt idx="8">
                  <c:v>2428.131966470467</c:v>
                </c:pt>
                <c:pt idx="9">
                  <c:v>2500.0017288070253</c:v>
                </c:pt>
                <c:pt idx="10">
                  <c:v>2574.092428978699</c:v>
                </c:pt>
              </c:numCache>
            </c:numRef>
          </c:val>
          <c:smooth val="0"/>
          <c:extLst>
            <c:ext xmlns:c16="http://schemas.microsoft.com/office/drawing/2014/chart" uri="{C3380CC4-5D6E-409C-BE32-E72D297353CC}">
              <c16:uniqueId val="{00000002-F5A0-475B-BEE9-2D2B08359CD4}"/>
            </c:ext>
          </c:extLst>
        </c:ser>
        <c:dLbls>
          <c:showLegendKey val="0"/>
          <c:showVal val="0"/>
          <c:showCatName val="0"/>
          <c:showSerName val="0"/>
          <c:showPercent val="0"/>
          <c:showBubbleSize val="0"/>
        </c:dLbls>
        <c:smooth val="0"/>
        <c:axId val="331496703"/>
        <c:axId val="1660776319"/>
      </c:lineChart>
      <c:catAx>
        <c:axId val="331496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0776319"/>
        <c:crosses val="autoZero"/>
        <c:auto val="1"/>
        <c:lblAlgn val="ctr"/>
        <c:lblOffset val="100"/>
        <c:noMultiLvlLbl val="0"/>
      </c:catAx>
      <c:valAx>
        <c:axId val="16607763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mijë  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496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6020202030204" pitchFamily="34" charset="0"/>
                <a:ea typeface="+mn-ea"/>
                <a:cs typeface="+mn-cs"/>
              </a:defRPr>
            </a:pPr>
            <a:r>
              <a:rPr lang="en-GB" sz="1000" b="1" i="0" u="none" strike="noStrike" kern="1200" spc="0" baseline="0">
                <a:solidFill>
                  <a:sysClr val="windowText" lastClr="000000">
                    <a:lumMod val="65000"/>
                    <a:lumOff val="35000"/>
                  </a:sysClr>
                </a:solidFill>
                <a:latin typeface="Arial Narrow" panose="020B0606020202030204" pitchFamily="34" charset="0"/>
              </a:rPr>
              <a:t>Kostoja e faturimit për amvisëritë në lidhje me përballueshmërinë, Istog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lineChart>
        <c:grouping val="standard"/>
        <c:varyColors val="0"/>
        <c:ser>
          <c:idx val="0"/>
          <c:order val="0"/>
          <c:tx>
            <c:strRef>
              <c:f>Istog!$D$113</c:f>
              <c:strCache>
                <c:ptCount val="1"/>
                <c:pt idx="0">
                  <c:v>Të hyrat nga popullata</c:v>
                </c:pt>
              </c:strCache>
            </c:strRef>
          </c:tx>
          <c:spPr>
            <a:ln w="28575" cap="rnd">
              <a:solidFill>
                <a:schemeClr val="accent1"/>
              </a:solidFill>
              <a:round/>
            </a:ln>
            <a:effectLst/>
          </c:spPr>
          <c:marker>
            <c:symbol val="none"/>
          </c:marker>
          <c:cat>
            <c:numRef>
              <c:f>Istog!$E$112:$O$112</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Istog!$E$113:$O$113</c:f>
              <c:numCache>
                <c:formatCode>#,##0</c:formatCode>
                <c:ptCount val="11"/>
                <c:pt idx="0">
                  <c:v>436.17098072740004</c:v>
                </c:pt>
                <c:pt idx="1">
                  <c:v>641.36110013223299</c:v>
                </c:pt>
                <c:pt idx="2">
                  <c:v>797.74709836722604</c:v>
                </c:pt>
                <c:pt idx="3">
                  <c:v>793.99549982218548</c:v>
                </c:pt>
                <c:pt idx="4">
                  <c:v>787.33980444321219</c:v>
                </c:pt>
                <c:pt idx="5">
                  <c:v>779.58395078143781</c:v>
                </c:pt>
                <c:pt idx="6">
                  <c:v>890.11492096001859</c:v>
                </c:pt>
                <c:pt idx="7">
                  <c:v>931.12931145057291</c:v>
                </c:pt>
                <c:pt idx="8">
                  <c:v>929.46755744705263</c:v>
                </c:pt>
                <c:pt idx="9">
                  <c:v>913.72314534282134</c:v>
                </c:pt>
                <c:pt idx="10">
                  <c:v>913.86647216025881</c:v>
                </c:pt>
              </c:numCache>
            </c:numRef>
          </c:val>
          <c:smooth val="0"/>
          <c:extLst>
            <c:ext xmlns:c16="http://schemas.microsoft.com/office/drawing/2014/chart" uri="{C3380CC4-5D6E-409C-BE32-E72D297353CC}">
              <c16:uniqueId val="{00000000-7F06-4F93-B899-4D697D01C4AD}"/>
            </c:ext>
          </c:extLst>
        </c:ser>
        <c:ser>
          <c:idx val="1"/>
          <c:order val="1"/>
          <c:tx>
            <c:strRef>
              <c:f>Istog!$D$114</c:f>
              <c:strCache>
                <c:ptCount val="1"/>
              </c:strCache>
            </c:strRef>
          </c:tx>
          <c:spPr>
            <a:ln w="28575" cap="rnd">
              <a:solidFill>
                <a:schemeClr val="accent2"/>
              </a:solidFill>
              <a:round/>
            </a:ln>
            <a:effectLst/>
          </c:spPr>
          <c:marker>
            <c:symbol val="none"/>
          </c:marker>
          <c:cat>
            <c:numRef>
              <c:f>Istog!$E$112:$O$112</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Istog!$E$114:$O$114</c:f>
              <c:numCache>
                <c:formatCode>General</c:formatCode>
                <c:ptCount val="11"/>
              </c:numCache>
            </c:numRef>
          </c:val>
          <c:smooth val="0"/>
          <c:extLst>
            <c:ext xmlns:c16="http://schemas.microsoft.com/office/drawing/2014/chart" uri="{C3380CC4-5D6E-409C-BE32-E72D297353CC}">
              <c16:uniqueId val="{00000001-7F06-4F93-B899-4D697D01C4AD}"/>
            </c:ext>
          </c:extLst>
        </c:ser>
        <c:ser>
          <c:idx val="2"/>
          <c:order val="2"/>
          <c:tx>
            <c:strRef>
              <c:f>Istog!$D$115</c:f>
              <c:strCache>
                <c:ptCount val="1"/>
                <c:pt idx="0">
                  <c:v>Pragu i përballueshmërisë</c:v>
                </c:pt>
              </c:strCache>
            </c:strRef>
          </c:tx>
          <c:spPr>
            <a:ln w="28575" cap="rnd">
              <a:solidFill>
                <a:schemeClr val="accent3"/>
              </a:solidFill>
              <a:round/>
            </a:ln>
            <a:effectLst/>
          </c:spPr>
          <c:marker>
            <c:symbol val="none"/>
          </c:marker>
          <c:cat>
            <c:numRef>
              <c:f>Istog!$E$112:$O$112</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Istog!$E$115:$O$115</c:f>
              <c:numCache>
                <c:formatCode>General</c:formatCode>
                <c:ptCount val="11"/>
                <c:pt idx="0">
                  <c:v>770.71977890494418</c:v>
                </c:pt>
                <c:pt idx="1">
                  <c:v>793.1203974244246</c:v>
                </c:pt>
                <c:pt idx="2">
                  <c:v>816.24566566336932</c:v>
                </c:pt>
                <c:pt idx="3">
                  <c:v>840.09563378669475</c:v>
                </c:pt>
                <c:pt idx="4">
                  <c:v>864.72076176655946</c:v>
                </c:pt>
                <c:pt idx="5">
                  <c:v>890.12140892433047</c:v>
                </c:pt>
                <c:pt idx="6">
                  <c:v>916.32356672258618</c:v>
                </c:pt>
                <c:pt idx="7">
                  <c:v>943.35413683221202</c:v>
                </c:pt>
                <c:pt idx="8">
                  <c:v>971.21140687579066</c:v>
                </c:pt>
                <c:pt idx="9">
                  <c:v>999.95198168993227</c:v>
                </c:pt>
                <c:pt idx="10">
                  <c:v>1029.5742576816494</c:v>
                </c:pt>
              </c:numCache>
            </c:numRef>
          </c:val>
          <c:smooth val="0"/>
          <c:extLst>
            <c:ext xmlns:c16="http://schemas.microsoft.com/office/drawing/2014/chart" uri="{C3380CC4-5D6E-409C-BE32-E72D297353CC}">
              <c16:uniqueId val="{00000002-7F06-4F93-B899-4D697D01C4AD}"/>
            </c:ext>
          </c:extLst>
        </c:ser>
        <c:dLbls>
          <c:showLegendKey val="0"/>
          <c:showVal val="0"/>
          <c:showCatName val="0"/>
          <c:showSerName val="0"/>
          <c:showPercent val="0"/>
          <c:showBubbleSize val="0"/>
        </c:dLbls>
        <c:smooth val="0"/>
        <c:axId val="321374175"/>
        <c:axId val="321368895"/>
      </c:lineChart>
      <c:catAx>
        <c:axId val="321374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1368895"/>
        <c:crosses val="autoZero"/>
        <c:auto val="1"/>
        <c:lblAlgn val="ctr"/>
        <c:lblOffset val="100"/>
        <c:noMultiLvlLbl val="0"/>
      </c:catAx>
      <c:valAx>
        <c:axId val="321368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mijë  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13741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6020202030204" pitchFamily="34" charset="0"/>
                <a:ea typeface="+mn-ea"/>
                <a:cs typeface="+mn-cs"/>
              </a:defRPr>
            </a:pPr>
            <a:r>
              <a:rPr lang="en-GB" sz="1000" b="1" i="0" u="none" strike="noStrike" kern="1200" spc="0" baseline="0">
                <a:solidFill>
                  <a:sysClr val="windowText" lastClr="000000">
                    <a:lumMod val="65000"/>
                    <a:lumOff val="35000"/>
                  </a:sysClr>
                </a:solidFill>
                <a:latin typeface="Arial Narrow" panose="020B0606020202030204" pitchFamily="34" charset="0"/>
              </a:rPr>
              <a:t>Kostoja e faturimit për amvisëritë në lidhje me përballueshmërinë, Klinë</a:t>
            </a:r>
          </a:p>
        </c:rich>
      </c:tx>
      <c:layout>
        <c:manualLayout>
          <c:xMode val="edge"/>
          <c:yMode val="edge"/>
          <c:x val="0.15049864576983743"/>
          <c:y val="3.33016175071360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lineChart>
        <c:grouping val="standard"/>
        <c:varyColors val="0"/>
        <c:ser>
          <c:idx val="0"/>
          <c:order val="0"/>
          <c:tx>
            <c:strRef>
              <c:f>Kline!$D$113</c:f>
              <c:strCache>
                <c:ptCount val="1"/>
                <c:pt idx="0">
                  <c:v>Të hyrat nga popullata</c:v>
                </c:pt>
              </c:strCache>
            </c:strRef>
          </c:tx>
          <c:spPr>
            <a:ln w="28575" cap="rnd">
              <a:solidFill>
                <a:schemeClr val="accent1"/>
              </a:solidFill>
              <a:round/>
            </a:ln>
            <a:effectLst/>
          </c:spPr>
          <c:marker>
            <c:symbol val="none"/>
          </c:marker>
          <c:cat>
            <c:numRef>
              <c:f>Kline!$E$112:$O$112</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Kline!$E$113:$O$113</c:f>
              <c:numCache>
                <c:formatCode>#,##0</c:formatCode>
                <c:ptCount val="11"/>
                <c:pt idx="0">
                  <c:v>393.54223493220002</c:v>
                </c:pt>
                <c:pt idx="1">
                  <c:v>540.39190929796712</c:v>
                </c:pt>
                <c:pt idx="2">
                  <c:v>698.20741486546103</c:v>
                </c:pt>
                <c:pt idx="3">
                  <c:v>696.87238954685085</c:v>
                </c:pt>
                <c:pt idx="4">
                  <c:v>687.71558405761937</c:v>
                </c:pt>
                <c:pt idx="5">
                  <c:v>683.90999692277637</c:v>
                </c:pt>
                <c:pt idx="6">
                  <c:v>770.79292856270331</c:v>
                </c:pt>
                <c:pt idx="7">
                  <c:v>800.17259661191451</c:v>
                </c:pt>
                <c:pt idx="8">
                  <c:v>792.15453261784114</c:v>
                </c:pt>
                <c:pt idx="9">
                  <c:v>782.75138003766551</c:v>
                </c:pt>
                <c:pt idx="10">
                  <c:v>782.99078580686864</c:v>
                </c:pt>
              </c:numCache>
            </c:numRef>
          </c:val>
          <c:smooth val="0"/>
          <c:extLst>
            <c:ext xmlns:c16="http://schemas.microsoft.com/office/drawing/2014/chart" uri="{C3380CC4-5D6E-409C-BE32-E72D297353CC}">
              <c16:uniqueId val="{00000000-0FDE-4C8D-95BA-2893D6C17842}"/>
            </c:ext>
          </c:extLst>
        </c:ser>
        <c:ser>
          <c:idx val="1"/>
          <c:order val="1"/>
          <c:tx>
            <c:strRef>
              <c:f>Kline!$D$114</c:f>
              <c:strCache>
                <c:ptCount val="1"/>
              </c:strCache>
            </c:strRef>
          </c:tx>
          <c:spPr>
            <a:ln w="28575" cap="rnd">
              <a:solidFill>
                <a:schemeClr val="accent2"/>
              </a:solidFill>
              <a:round/>
            </a:ln>
            <a:effectLst/>
          </c:spPr>
          <c:marker>
            <c:symbol val="none"/>
          </c:marker>
          <c:cat>
            <c:numRef>
              <c:f>Kline!$E$112:$O$112</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Kline!$E$114:$O$114</c:f>
              <c:numCache>
                <c:formatCode>General</c:formatCode>
                <c:ptCount val="11"/>
              </c:numCache>
            </c:numRef>
          </c:val>
          <c:smooth val="0"/>
          <c:extLst>
            <c:ext xmlns:c16="http://schemas.microsoft.com/office/drawing/2014/chart" uri="{C3380CC4-5D6E-409C-BE32-E72D297353CC}">
              <c16:uniqueId val="{00000001-0FDE-4C8D-95BA-2893D6C17842}"/>
            </c:ext>
          </c:extLst>
        </c:ser>
        <c:ser>
          <c:idx val="2"/>
          <c:order val="2"/>
          <c:tx>
            <c:strRef>
              <c:f>Kline!$D$115</c:f>
              <c:strCache>
                <c:ptCount val="1"/>
                <c:pt idx="0">
                  <c:v>Pragu I përballueshmërisë</c:v>
                </c:pt>
              </c:strCache>
            </c:strRef>
          </c:tx>
          <c:spPr>
            <a:ln w="28575" cap="rnd">
              <a:solidFill>
                <a:schemeClr val="accent3"/>
              </a:solidFill>
              <a:round/>
            </a:ln>
            <a:effectLst/>
          </c:spPr>
          <c:marker>
            <c:symbol val="none"/>
          </c:marker>
          <c:cat>
            <c:numRef>
              <c:f>Kline!$E$112:$O$112</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Kline!$E$115:$O$115</c:f>
              <c:numCache>
                <c:formatCode>General</c:formatCode>
                <c:ptCount val="11"/>
                <c:pt idx="0">
                  <c:v>712.64513826270615</c:v>
                </c:pt>
                <c:pt idx="1">
                  <c:v>733.35158255276394</c:v>
                </c:pt>
                <c:pt idx="2">
                  <c:v>754.73329328509874</c:v>
                </c:pt>
                <c:pt idx="3">
                  <c:v>776.78888238480215</c:v>
                </c:pt>
                <c:pt idx="4">
                  <c:v>799.5673297347679</c:v>
                </c:pt>
                <c:pt idx="5">
                  <c:v>823.06747150110766</c:v>
                </c:pt>
                <c:pt idx="6">
                  <c:v>847.28587142497088</c:v>
                </c:pt>
                <c:pt idx="7">
                  <c:v>872.27400673142131</c:v>
                </c:pt>
                <c:pt idx="8">
                  <c:v>898.02842980940216</c:v>
                </c:pt>
                <c:pt idx="9">
                  <c:v>924.60395895710087</c:v>
                </c:pt>
                <c:pt idx="10">
                  <c:v>951.99715122174814</c:v>
                </c:pt>
              </c:numCache>
            </c:numRef>
          </c:val>
          <c:smooth val="0"/>
          <c:extLst>
            <c:ext xmlns:c16="http://schemas.microsoft.com/office/drawing/2014/chart" uri="{C3380CC4-5D6E-409C-BE32-E72D297353CC}">
              <c16:uniqueId val="{00000002-0FDE-4C8D-95BA-2893D6C17842}"/>
            </c:ext>
          </c:extLst>
        </c:ser>
        <c:dLbls>
          <c:showLegendKey val="0"/>
          <c:showVal val="0"/>
          <c:showCatName val="0"/>
          <c:showSerName val="0"/>
          <c:showPercent val="0"/>
          <c:showBubbleSize val="0"/>
        </c:dLbls>
        <c:smooth val="0"/>
        <c:axId val="202945647"/>
        <c:axId val="202962447"/>
      </c:lineChart>
      <c:catAx>
        <c:axId val="202945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62447"/>
        <c:crosses val="autoZero"/>
        <c:auto val="1"/>
        <c:lblAlgn val="ctr"/>
        <c:lblOffset val="100"/>
        <c:noMultiLvlLbl val="0"/>
      </c:catAx>
      <c:valAx>
        <c:axId val="2029624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Thousand 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45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Narrow" panose="020B0606020202030204" pitchFamily="34" charset="0"/>
                <a:ea typeface="+mn-ea"/>
                <a:cs typeface="+mn-cs"/>
              </a:defRPr>
            </a:pPr>
            <a:r>
              <a:rPr lang="en-GB" sz="1000" b="1" i="0" u="none" strike="noStrike" kern="1200" spc="0" baseline="0">
                <a:solidFill>
                  <a:sysClr val="windowText" lastClr="000000">
                    <a:lumMod val="65000"/>
                    <a:lumOff val="35000"/>
                  </a:sysClr>
                </a:solidFill>
                <a:latin typeface="Arial Narrow" panose="020B0606020202030204" pitchFamily="34" charset="0"/>
              </a:rPr>
              <a:t>Kostoja e faturimit për amvisëritë në lidhje me përballueshmërinë, Deçan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lineChart>
        <c:grouping val="standard"/>
        <c:varyColors val="0"/>
        <c:ser>
          <c:idx val="0"/>
          <c:order val="0"/>
          <c:tx>
            <c:strRef>
              <c:f>Decan!$D$113</c:f>
              <c:strCache>
                <c:ptCount val="1"/>
                <c:pt idx="0">
                  <c:v>Të hyrat nga popullata</c:v>
                </c:pt>
              </c:strCache>
            </c:strRef>
          </c:tx>
          <c:spPr>
            <a:ln w="28575" cap="rnd">
              <a:solidFill>
                <a:schemeClr val="accent1"/>
              </a:solidFill>
              <a:round/>
            </a:ln>
            <a:effectLst/>
          </c:spPr>
          <c:marker>
            <c:symbol val="none"/>
          </c:marker>
          <c:cat>
            <c:numRef>
              <c:f>Decan!$E$112:$O$112</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Decan!$E$113:$O$113</c:f>
              <c:numCache>
                <c:formatCode>#,##0</c:formatCode>
                <c:ptCount val="11"/>
                <c:pt idx="0">
                  <c:v>377.82619536700003</c:v>
                </c:pt>
                <c:pt idx="1">
                  <c:v>544.84054785865317</c:v>
                </c:pt>
                <c:pt idx="2">
                  <c:v>549.53493086202479</c:v>
                </c:pt>
                <c:pt idx="3">
                  <c:v>547.98703900118323</c:v>
                </c:pt>
                <c:pt idx="4">
                  <c:v>546.33392541631554</c:v>
                </c:pt>
                <c:pt idx="5">
                  <c:v>543.30048665942343</c:v>
                </c:pt>
                <c:pt idx="6">
                  <c:v>607.44751312435642</c:v>
                </c:pt>
                <c:pt idx="7">
                  <c:v>608.324133613291</c:v>
                </c:pt>
                <c:pt idx="8">
                  <c:v>607.25885447479391</c:v>
                </c:pt>
                <c:pt idx="9">
                  <c:v>597.49713618935243</c:v>
                </c:pt>
                <c:pt idx="10">
                  <c:v>597.60787880907083</c:v>
                </c:pt>
              </c:numCache>
            </c:numRef>
          </c:val>
          <c:smooth val="0"/>
          <c:extLst>
            <c:ext xmlns:c16="http://schemas.microsoft.com/office/drawing/2014/chart" uri="{C3380CC4-5D6E-409C-BE32-E72D297353CC}">
              <c16:uniqueId val="{00000000-AF7B-4209-81E6-7A9543485C5B}"/>
            </c:ext>
          </c:extLst>
        </c:ser>
        <c:ser>
          <c:idx val="1"/>
          <c:order val="1"/>
          <c:tx>
            <c:strRef>
              <c:f>Decan!$D$114</c:f>
              <c:strCache>
                <c:ptCount val="1"/>
              </c:strCache>
            </c:strRef>
          </c:tx>
          <c:spPr>
            <a:ln w="28575" cap="rnd">
              <a:solidFill>
                <a:schemeClr val="accent2"/>
              </a:solidFill>
              <a:round/>
            </a:ln>
            <a:effectLst/>
          </c:spPr>
          <c:marker>
            <c:symbol val="none"/>
          </c:marker>
          <c:cat>
            <c:numRef>
              <c:f>Decan!$E$112:$O$112</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Decan!$E$114:$O$114</c:f>
              <c:numCache>
                <c:formatCode>General</c:formatCode>
                <c:ptCount val="11"/>
              </c:numCache>
            </c:numRef>
          </c:val>
          <c:smooth val="0"/>
          <c:extLst>
            <c:ext xmlns:c16="http://schemas.microsoft.com/office/drawing/2014/chart" uri="{C3380CC4-5D6E-409C-BE32-E72D297353CC}">
              <c16:uniqueId val="{00000001-AF7B-4209-81E6-7A9543485C5B}"/>
            </c:ext>
          </c:extLst>
        </c:ser>
        <c:ser>
          <c:idx val="2"/>
          <c:order val="2"/>
          <c:tx>
            <c:strRef>
              <c:f>Decan!$D$115</c:f>
              <c:strCache>
                <c:ptCount val="1"/>
                <c:pt idx="0">
                  <c:v>Pragu i përballueshmërisë</c:v>
                </c:pt>
              </c:strCache>
            </c:strRef>
          </c:tx>
          <c:spPr>
            <a:ln w="28575" cap="rnd">
              <a:solidFill>
                <a:schemeClr val="accent3"/>
              </a:solidFill>
              <a:round/>
            </a:ln>
            <a:effectLst/>
          </c:spPr>
          <c:marker>
            <c:symbol val="none"/>
          </c:marker>
          <c:cat>
            <c:numRef>
              <c:f>Decan!$E$112:$O$112</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Decan!$E$115:$O$115</c:f>
              <c:numCache>
                <c:formatCode>General</c:formatCode>
                <c:ptCount val="11"/>
                <c:pt idx="0">
                  <c:v>647.01076135366009</c:v>
                </c:pt>
                <c:pt idx="1">
                  <c:v>665.8202718212134</c:v>
                </c:pt>
                <c:pt idx="2">
                  <c:v>685.22555017114155</c:v>
                </c:pt>
                <c:pt idx="3">
                  <c:v>705.24689912515214</c:v>
                </c:pt>
                <c:pt idx="4">
                  <c:v>725.90534793340726</c:v>
                </c:pt>
                <c:pt idx="5">
                  <c:v>747.22267903046759</c:v>
                </c:pt>
                <c:pt idx="6">
                  <c:v>769.22145567681991</c:v>
                </c:pt>
                <c:pt idx="7">
                  <c:v>791.89635456657913</c:v>
                </c:pt>
                <c:pt idx="8">
                  <c:v>815.29856195446632</c:v>
                </c:pt>
                <c:pt idx="9">
                  <c:v>839.42263871206558</c:v>
                </c:pt>
                <c:pt idx="10">
                  <c:v>864.2917483242768</c:v>
                </c:pt>
              </c:numCache>
            </c:numRef>
          </c:val>
          <c:smooth val="0"/>
          <c:extLst>
            <c:ext xmlns:c16="http://schemas.microsoft.com/office/drawing/2014/chart" uri="{C3380CC4-5D6E-409C-BE32-E72D297353CC}">
              <c16:uniqueId val="{00000002-AF7B-4209-81E6-7A9543485C5B}"/>
            </c:ext>
          </c:extLst>
        </c:ser>
        <c:dLbls>
          <c:showLegendKey val="0"/>
          <c:showVal val="0"/>
          <c:showCatName val="0"/>
          <c:showSerName val="0"/>
          <c:showPercent val="0"/>
          <c:showBubbleSize val="0"/>
        </c:dLbls>
        <c:smooth val="0"/>
        <c:axId val="324510639"/>
        <c:axId val="324511119"/>
      </c:lineChart>
      <c:catAx>
        <c:axId val="324510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24511119"/>
        <c:crosses val="autoZero"/>
        <c:auto val="1"/>
        <c:lblAlgn val="ctr"/>
        <c:lblOffset val="100"/>
        <c:noMultiLvlLbl val="0"/>
      </c:catAx>
      <c:valAx>
        <c:axId val="3245111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en-US" sz="600"/>
                  <a:t>mijë  EUR</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24510639"/>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Narrow" panose="020B0606020202030204" pitchFamily="34" charset="0"/>
                <a:ea typeface="+mn-ea"/>
                <a:cs typeface="+mn-cs"/>
              </a:defRPr>
            </a:pPr>
            <a:r>
              <a:rPr lang="en-GB" sz="1000" b="1" i="0" u="none" strike="noStrike" kern="1200" spc="0" baseline="0">
                <a:solidFill>
                  <a:sysClr val="windowText" lastClr="000000">
                    <a:lumMod val="65000"/>
                    <a:lumOff val="35000"/>
                  </a:sysClr>
                </a:solidFill>
                <a:latin typeface="Arial Narrow" panose="020B0606020202030204" pitchFamily="34" charset="0"/>
              </a:rPr>
              <a:t>Kostoja e faturimit për amvisëritë në lidhje me përballueshmërinë, Junik</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lineChart>
        <c:grouping val="standard"/>
        <c:varyColors val="0"/>
        <c:ser>
          <c:idx val="0"/>
          <c:order val="0"/>
          <c:tx>
            <c:strRef>
              <c:f>Junik!$D$113</c:f>
              <c:strCache>
                <c:ptCount val="1"/>
                <c:pt idx="0">
                  <c:v>Të hyrat nga popullata</c:v>
                </c:pt>
              </c:strCache>
            </c:strRef>
          </c:tx>
          <c:spPr>
            <a:ln w="28575" cap="rnd">
              <a:solidFill>
                <a:schemeClr val="accent1"/>
              </a:solidFill>
              <a:round/>
            </a:ln>
            <a:effectLst/>
          </c:spPr>
          <c:marker>
            <c:symbol val="none"/>
          </c:marker>
          <c:cat>
            <c:numRef>
              <c:f>Junik!$E$112:$O$112</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Junik!$E$113:$O$113</c:f>
              <c:numCache>
                <c:formatCode>#,##0</c:formatCode>
                <c:ptCount val="11"/>
                <c:pt idx="0">
                  <c:v>51.525264993600004</c:v>
                </c:pt>
                <c:pt idx="1">
                  <c:v>65.94160938375029</c:v>
                </c:pt>
                <c:pt idx="2">
                  <c:v>67.391235490130086</c:v>
                </c:pt>
                <c:pt idx="3">
                  <c:v>67.370493008745186</c:v>
                </c:pt>
                <c:pt idx="4">
                  <c:v>67.315353919249446</c:v>
                </c:pt>
                <c:pt idx="5">
                  <c:v>67.242136295115344</c:v>
                </c:pt>
                <c:pt idx="6">
                  <c:v>77.160170706627866</c:v>
                </c:pt>
                <c:pt idx="7">
                  <c:v>102.75295558939011</c:v>
                </c:pt>
                <c:pt idx="8">
                  <c:v>102.82759042732948</c:v>
                </c:pt>
                <c:pt idx="9">
                  <c:v>103.11555877299412</c:v>
                </c:pt>
                <c:pt idx="10">
                  <c:v>103.37908155006865</c:v>
                </c:pt>
              </c:numCache>
            </c:numRef>
          </c:val>
          <c:smooth val="0"/>
          <c:extLst>
            <c:ext xmlns:c16="http://schemas.microsoft.com/office/drawing/2014/chart" uri="{C3380CC4-5D6E-409C-BE32-E72D297353CC}">
              <c16:uniqueId val="{00000000-94C0-4EB0-9C52-163706AC45AA}"/>
            </c:ext>
          </c:extLst>
        </c:ser>
        <c:ser>
          <c:idx val="1"/>
          <c:order val="1"/>
          <c:tx>
            <c:strRef>
              <c:f>Junik!$D$114</c:f>
              <c:strCache>
                <c:ptCount val="1"/>
              </c:strCache>
            </c:strRef>
          </c:tx>
          <c:spPr>
            <a:ln w="28575" cap="rnd">
              <a:solidFill>
                <a:schemeClr val="accent2"/>
              </a:solidFill>
              <a:round/>
            </a:ln>
            <a:effectLst/>
          </c:spPr>
          <c:marker>
            <c:symbol val="none"/>
          </c:marker>
          <c:cat>
            <c:numRef>
              <c:f>Junik!$E$112:$O$112</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Junik!$E$114:$O$114</c:f>
              <c:numCache>
                <c:formatCode>General</c:formatCode>
                <c:ptCount val="11"/>
              </c:numCache>
            </c:numRef>
          </c:val>
          <c:smooth val="0"/>
          <c:extLst>
            <c:ext xmlns:c16="http://schemas.microsoft.com/office/drawing/2014/chart" uri="{C3380CC4-5D6E-409C-BE32-E72D297353CC}">
              <c16:uniqueId val="{00000001-94C0-4EB0-9C52-163706AC45AA}"/>
            </c:ext>
          </c:extLst>
        </c:ser>
        <c:ser>
          <c:idx val="2"/>
          <c:order val="2"/>
          <c:tx>
            <c:strRef>
              <c:f>Junik!$D$115</c:f>
              <c:strCache>
                <c:ptCount val="1"/>
                <c:pt idx="0">
                  <c:v>Pragu i përballueshmërisë</c:v>
                </c:pt>
              </c:strCache>
            </c:strRef>
          </c:tx>
          <c:spPr>
            <a:ln w="28575" cap="rnd">
              <a:solidFill>
                <a:schemeClr val="accent3"/>
              </a:solidFill>
              <a:round/>
            </a:ln>
            <a:effectLst/>
          </c:spPr>
          <c:marker>
            <c:symbol val="none"/>
          </c:marker>
          <c:cat>
            <c:numRef>
              <c:f>Junik!$E$112:$O$112</c:f>
              <c:numCache>
                <c:formatCode>General</c:formatCode>
                <c:ptCount val="11"/>
                <c:pt idx="0">
                  <c:v>2025</c:v>
                </c:pt>
                <c:pt idx="1">
                  <c:v>2026</c:v>
                </c:pt>
                <c:pt idx="2">
                  <c:v>2027</c:v>
                </c:pt>
                <c:pt idx="3">
                  <c:v>2028</c:v>
                </c:pt>
                <c:pt idx="4">
                  <c:v>2029</c:v>
                </c:pt>
                <c:pt idx="5">
                  <c:v>2030</c:v>
                </c:pt>
                <c:pt idx="6">
                  <c:v>2031</c:v>
                </c:pt>
                <c:pt idx="7">
                  <c:v>2032</c:v>
                </c:pt>
                <c:pt idx="8">
                  <c:v>2033</c:v>
                </c:pt>
                <c:pt idx="9">
                  <c:v>2034</c:v>
                </c:pt>
                <c:pt idx="10">
                  <c:v>2035</c:v>
                </c:pt>
              </c:numCache>
            </c:numRef>
          </c:cat>
          <c:val>
            <c:numRef>
              <c:f>Junik!$E$115:$O$115</c:f>
              <c:numCache>
                <c:formatCode>General</c:formatCode>
                <c:ptCount val="11"/>
                <c:pt idx="0">
                  <c:v>92.116786362216018</c:v>
                </c:pt>
                <c:pt idx="1">
                  <c:v>94.784159973393457</c:v>
                </c:pt>
                <c:pt idx="2">
                  <c:v>97.528670893515553</c:v>
                </c:pt>
                <c:pt idx="3">
                  <c:v>100.37804279873193</c:v>
                </c:pt>
                <c:pt idx="4">
                  <c:v>103.31060121445714</c:v>
                </c:pt>
                <c:pt idx="5">
                  <c:v>106.32877289660699</c:v>
                </c:pt>
                <c:pt idx="6">
                  <c:v>109.43505533859285</c:v>
                </c:pt>
                <c:pt idx="7">
                  <c:v>112.66071488724414</c:v>
                </c:pt>
                <c:pt idx="8">
                  <c:v>115.98142245900979</c:v>
                </c:pt>
                <c:pt idx="9">
                  <c:v>119.39997784168284</c:v>
                </c:pt>
                <c:pt idx="10">
                  <c:v>122.91926326710318</c:v>
                </c:pt>
              </c:numCache>
            </c:numRef>
          </c:val>
          <c:smooth val="0"/>
          <c:extLst>
            <c:ext xmlns:c16="http://schemas.microsoft.com/office/drawing/2014/chart" uri="{C3380CC4-5D6E-409C-BE32-E72D297353CC}">
              <c16:uniqueId val="{00000002-94C0-4EB0-9C52-163706AC45AA}"/>
            </c:ext>
          </c:extLst>
        </c:ser>
        <c:dLbls>
          <c:showLegendKey val="0"/>
          <c:showVal val="0"/>
          <c:showCatName val="0"/>
          <c:showSerName val="0"/>
          <c:showPercent val="0"/>
          <c:showBubbleSize val="0"/>
        </c:dLbls>
        <c:smooth val="0"/>
        <c:axId val="1671924367"/>
        <c:axId val="1671926287"/>
      </c:lineChart>
      <c:catAx>
        <c:axId val="1671924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671926287"/>
        <c:crosses val="autoZero"/>
        <c:auto val="1"/>
        <c:lblAlgn val="ctr"/>
        <c:lblOffset val="100"/>
        <c:noMultiLvlLbl val="0"/>
      </c:catAx>
      <c:valAx>
        <c:axId val="16719262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en-US" sz="600"/>
                  <a:t>mijë  EUR</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671924367"/>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Arial Narrow" panose="020B0606020202030204" pitchFamily="34" charset="0"/>
              </a:rPr>
              <a:t>Kosto</a:t>
            </a:r>
            <a:r>
              <a:rPr lang="en-US" baseline="0">
                <a:latin typeface="Arial Narrow" panose="020B0606020202030204" pitchFamily="34" charset="0"/>
              </a:rPr>
              <a:t> investive</a:t>
            </a:r>
            <a:r>
              <a:rPr lang="en-US">
                <a:latin typeface="Arial Narrow" panose="020B0606020202030204" pitchFamily="34" charset="0"/>
              </a:rPr>
              <a:t>, mijë EUR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Plan!$A$2</c:f>
              <c:strCache>
                <c:ptCount val="1"/>
                <c:pt idx="0">
                  <c:v>Pajisje për grumbullim ndaras dhe klasifikim të mbeturinave</c:v>
                </c:pt>
              </c:strCache>
            </c:strRef>
          </c:tx>
          <c:spPr>
            <a:solidFill>
              <a:schemeClr val="accent1"/>
            </a:solidFill>
            <a:ln>
              <a:noFill/>
            </a:ln>
            <a:effectLst/>
          </c:spPr>
          <c:invertIfNegative val="0"/>
          <c:cat>
            <c:numRef>
              <c:f>Plan!$B$1:$K$1</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Plan!$B$2:$K$2</c:f>
              <c:numCache>
                <c:formatCode>#,##0</c:formatCode>
                <c:ptCount val="10"/>
                <c:pt idx="1">
                  <c:v>1575</c:v>
                </c:pt>
                <c:pt idx="2">
                  <c:v>2854.6409999999996</c:v>
                </c:pt>
                <c:pt idx="3">
                  <c:v>567.37300000000005</c:v>
                </c:pt>
                <c:pt idx="4">
                  <c:v>569.94899999999984</c:v>
                </c:pt>
                <c:pt idx="5">
                  <c:v>396.5080000000001</c:v>
                </c:pt>
                <c:pt idx="6">
                  <c:v>443.54999999999995</c:v>
                </c:pt>
                <c:pt idx="7">
                  <c:v>460.05400000000003</c:v>
                </c:pt>
                <c:pt idx="8">
                  <c:v>311.56500000000011</c:v>
                </c:pt>
                <c:pt idx="9">
                  <c:v>2316.4680000000003</c:v>
                </c:pt>
              </c:numCache>
            </c:numRef>
          </c:val>
          <c:extLst>
            <c:ext xmlns:c16="http://schemas.microsoft.com/office/drawing/2014/chart" uri="{C3380CC4-5D6E-409C-BE32-E72D297353CC}">
              <c16:uniqueId val="{00000000-A1D3-4091-A8C3-B2B379CE3182}"/>
            </c:ext>
          </c:extLst>
        </c:ser>
        <c:ser>
          <c:idx val="1"/>
          <c:order val="1"/>
          <c:tx>
            <c:strRef>
              <c:f>Plan!$A$3</c:f>
              <c:strCache>
                <c:ptCount val="1"/>
                <c:pt idx="0">
                  <c:v>Grumbullimi i mbeturinave të përziera</c:v>
                </c:pt>
              </c:strCache>
            </c:strRef>
          </c:tx>
          <c:spPr>
            <a:solidFill>
              <a:schemeClr val="accent2"/>
            </a:solidFill>
            <a:ln>
              <a:noFill/>
            </a:ln>
            <a:effectLst/>
          </c:spPr>
          <c:invertIfNegative val="0"/>
          <c:cat>
            <c:numRef>
              <c:f>Plan!$B$1:$K$1</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Plan!$B$3:$K$3</c:f>
              <c:numCache>
                <c:formatCode>#,##0</c:formatCode>
                <c:ptCount val="10"/>
                <c:pt idx="1">
                  <c:v>3000</c:v>
                </c:pt>
                <c:pt idx="2">
                  <c:v>400</c:v>
                </c:pt>
                <c:pt idx="3">
                  <c:v>400</c:v>
                </c:pt>
                <c:pt idx="4">
                  <c:v>400</c:v>
                </c:pt>
                <c:pt idx="5">
                  <c:v>400</c:v>
                </c:pt>
                <c:pt idx="6">
                  <c:v>400</c:v>
                </c:pt>
                <c:pt idx="7">
                  <c:v>3000</c:v>
                </c:pt>
                <c:pt idx="8">
                  <c:v>400</c:v>
                </c:pt>
                <c:pt idx="9">
                  <c:v>400</c:v>
                </c:pt>
              </c:numCache>
            </c:numRef>
          </c:val>
          <c:extLst>
            <c:ext xmlns:c16="http://schemas.microsoft.com/office/drawing/2014/chart" uri="{C3380CC4-5D6E-409C-BE32-E72D297353CC}">
              <c16:uniqueId val="{00000001-A1D3-4091-A8C3-B2B379CE3182}"/>
            </c:ext>
          </c:extLst>
        </c:ser>
        <c:ser>
          <c:idx val="2"/>
          <c:order val="2"/>
          <c:tx>
            <c:strRef>
              <c:f>Plan!$A$4</c:f>
              <c:strCache>
                <c:ptCount val="1"/>
                <c:pt idx="0">
                  <c:v>OR</c:v>
                </c:pt>
              </c:strCache>
            </c:strRef>
          </c:tx>
          <c:spPr>
            <a:solidFill>
              <a:schemeClr val="accent3"/>
            </a:solidFill>
            <a:ln>
              <a:noFill/>
            </a:ln>
            <a:effectLst/>
          </c:spPr>
          <c:invertIfNegative val="0"/>
          <c:cat>
            <c:numRef>
              <c:f>Plan!$B$1:$K$1</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Plan!$B$4:$K$4</c:f>
              <c:numCache>
                <c:formatCode>#,##0</c:formatCode>
                <c:ptCount val="10"/>
                <c:pt idx="1">
                  <c:v>1650</c:v>
                </c:pt>
              </c:numCache>
            </c:numRef>
          </c:val>
          <c:extLst>
            <c:ext xmlns:c16="http://schemas.microsoft.com/office/drawing/2014/chart" uri="{C3380CC4-5D6E-409C-BE32-E72D297353CC}">
              <c16:uniqueId val="{00000002-A1D3-4091-A8C3-B2B379CE3182}"/>
            </c:ext>
          </c:extLst>
        </c:ser>
        <c:ser>
          <c:idx val="3"/>
          <c:order val="3"/>
          <c:tx>
            <c:strRef>
              <c:f>Plan!$A$5</c:f>
              <c:strCache>
                <c:ptCount val="1"/>
                <c:pt idx="0">
                  <c:v>Kompostimi i mbeturinave të gjelbra</c:v>
                </c:pt>
              </c:strCache>
            </c:strRef>
          </c:tx>
          <c:spPr>
            <a:solidFill>
              <a:schemeClr val="accent4"/>
            </a:solidFill>
            <a:ln>
              <a:noFill/>
            </a:ln>
            <a:effectLst/>
          </c:spPr>
          <c:invertIfNegative val="0"/>
          <c:cat>
            <c:numRef>
              <c:f>Plan!$B$1:$K$1</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Plan!$B$5:$K$5</c:f>
              <c:numCache>
                <c:formatCode>#,##0</c:formatCode>
                <c:ptCount val="10"/>
                <c:pt idx="1">
                  <c:v>1614</c:v>
                </c:pt>
              </c:numCache>
            </c:numRef>
          </c:val>
          <c:extLst>
            <c:ext xmlns:c16="http://schemas.microsoft.com/office/drawing/2014/chart" uri="{C3380CC4-5D6E-409C-BE32-E72D297353CC}">
              <c16:uniqueId val="{00000003-A1D3-4091-A8C3-B2B379CE3182}"/>
            </c:ext>
          </c:extLst>
        </c:ser>
        <c:ser>
          <c:idx val="4"/>
          <c:order val="4"/>
          <c:tx>
            <c:strRef>
              <c:f>Plan!$A$6</c:f>
              <c:strCache>
                <c:ptCount val="1"/>
                <c:pt idx="0">
                  <c:v>Stacion Transferi</c:v>
                </c:pt>
              </c:strCache>
            </c:strRef>
          </c:tx>
          <c:spPr>
            <a:solidFill>
              <a:schemeClr val="accent5"/>
            </a:solidFill>
            <a:ln>
              <a:noFill/>
            </a:ln>
            <a:effectLst/>
          </c:spPr>
          <c:invertIfNegative val="0"/>
          <c:cat>
            <c:numRef>
              <c:f>Plan!$B$1:$K$1</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Plan!$B$6:$K$6</c:f>
              <c:numCache>
                <c:formatCode>#,##0</c:formatCode>
                <c:ptCount val="10"/>
                <c:pt idx="1">
                  <c:v>1420</c:v>
                </c:pt>
              </c:numCache>
            </c:numRef>
          </c:val>
          <c:extLst>
            <c:ext xmlns:c16="http://schemas.microsoft.com/office/drawing/2014/chart" uri="{C3380CC4-5D6E-409C-BE32-E72D297353CC}">
              <c16:uniqueId val="{00000004-A1D3-4091-A8C3-B2B379CE3182}"/>
            </c:ext>
          </c:extLst>
        </c:ser>
        <c:ser>
          <c:idx val="5"/>
          <c:order val="5"/>
          <c:tx>
            <c:strRef>
              <c:f>Plan!$A$7</c:f>
              <c:strCache>
                <c:ptCount val="1"/>
                <c:pt idx="0">
                  <c:v>Trajtimi i mbeturinave në kontejnerë të veçantë</c:v>
                </c:pt>
              </c:strCache>
            </c:strRef>
          </c:tx>
          <c:spPr>
            <a:solidFill>
              <a:schemeClr val="accent6"/>
            </a:solidFill>
            <a:ln>
              <a:noFill/>
            </a:ln>
            <a:effectLst/>
          </c:spPr>
          <c:invertIfNegative val="0"/>
          <c:cat>
            <c:numRef>
              <c:f>Plan!$B$1:$K$1</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Plan!$B$7:$K$7</c:f>
              <c:numCache>
                <c:formatCode>General</c:formatCode>
                <c:ptCount val="10"/>
                <c:pt idx="6" formatCode="#,##0">
                  <c:v>3897.269968565497</c:v>
                </c:pt>
              </c:numCache>
            </c:numRef>
          </c:val>
          <c:extLst>
            <c:ext xmlns:c16="http://schemas.microsoft.com/office/drawing/2014/chart" uri="{C3380CC4-5D6E-409C-BE32-E72D297353CC}">
              <c16:uniqueId val="{00000005-A1D3-4091-A8C3-B2B379CE3182}"/>
            </c:ext>
          </c:extLst>
        </c:ser>
        <c:ser>
          <c:idx val="6"/>
          <c:order val="6"/>
          <c:tx>
            <c:strRef>
              <c:f>Plan!$A$8</c:f>
              <c:strCache>
                <c:ptCount val="1"/>
                <c:pt idx="0">
                  <c:v>Deponia</c:v>
                </c:pt>
              </c:strCache>
            </c:strRef>
          </c:tx>
          <c:spPr>
            <a:solidFill>
              <a:schemeClr val="accent1">
                <a:lumMod val="60000"/>
              </a:schemeClr>
            </a:solidFill>
            <a:ln>
              <a:noFill/>
            </a:ln>
            <a:effectLst/>
          </c:spPr>
          <c:invertIfNegative val="0"/>
          <c:cat>
            <c:numRef>
              <c:f>Plan!$B$1:$K$1</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Plan!$B$8:$K$8</c:f>
              <c:numCache>
                <c:formatCode>General</c:formatCode>
                <c:ptCount val="10"/>
                <c:pt idx="0" formatCode="#,##0">
                  <c:v>10248</c:v>
                </c:pt>
                <c:pt idx="5" formatCode="#,##0">
                  <c:v>1458</c:v>
                </c:pt>
                <c:pt idx="7" formatCode="#,##0">
                  <c:v>900</c:v>
                </c:pt>
              </c:numCache>
            </c:numRef>
          </c:val>
          <c:extLst>
            <c:ext xmlns:c16="http://schemas.microsoft.com/office/drawing/2014/chart" uri="{C3380CC4-5D6E-409C-BE32-E72D297353CC}">
              <c16:uniqueId val="{00000006-A1D3-4091-A8C3-B2B379CE3182}"/>
            </c:ext>
          </c:extLst>
        </c:ser>
        <c:ser>
          <c:idx val="7"/>
          <c:order val="7"/>
          <c:tx>
            <c:strRef>
              <c:f>Plan!$A$9</c:f>
              <c:strCache>
                <c:ptCount val="1"/>
                <c:pt idx="0">
                  <c:v>TMB</c:v>
                </c:pt>
              </c:strCache>
            </c:strRef>
          </c:tx>
          <c:spPr>
            <a:solidFill>
              <a:schemeClr val="accent2">
                <a:lumMod val="60000"/>
              </a:schemeClr>
            </a:solidFill>
            <a:ln>
              <a:noFill/>
            </a:ln>
            <a:effectLst/>
          </c:spPr>
          <c:invertIfNegative val="0"/>
          <c:cat>
            <c:numRef>
              <c:f>Plan!$B$1:$K$1</c:f>
              <c:numCache>
                <c:formatCode>General</c:formatCode>
                <c:ptCount val="10"/>
                <c:pt idx="0">
                  <c:v>2026</c:v>
                </c:pt>
                <c:pt idx="1">
                  <c:v>2027</c:v>
                </c:pt>
                <c:pt idx="2">
                  <c:v>2028</c:v>
                </c:pt>
                <c:pt idx="3">
                  <c:v>2029</c:v>
                </c:pt>
                <c:pt idx="4">
                  <c:v>2030</c:v>
                </c:pt>
                <c:pt idx="5">
                  <c:v>2031</c:v>
                </c:pt>
                <c:pt idx="6">
                  <c:v>2032</c:v>
                </c:pt>
                <c:pt idx="7">
                  <c:v>2033</c:v>
                </c:pt>
                <c:pt idx="8">
                  <c:v>2034</c:v>
                </c:pt>
                <c:pt idx="9">
                  <c:v>2035</c:v>
                </c:pt>
              </c:numCache>
            </c:numRef>
          </c:cat>
          <c:val>
            <c:numRef>
              <c:f>Plan!$B$9:$K$9</c:f>
              <c:numCache>
                <c:formatCode>General</c:formatCode>
                <c:ptCount val="10"/>
                <c:pt idx="6" formatCode="#,##0">
                  <c:v>15254</c:v>
                </c:pt>
              </c:numCache>
            </c:numRef>
          </c:val>
          <c:extLst>
            <c:ext xmlns:c16="http://schemas.microsoft.com/office/drawing/2014/chart" uri="{C3380CC4-5D6E-409C-BE32-E72D297353CC}">
              <c16:uniqueId val="{00000007-A1D3-4091-A8C3-B2B379CE3182}"/>
            </c:ext>
          </c:extLst>
        </c:ser>
        <c:dLbls>
          <c:showLegendKey val="0"/>
          <c:showVal val="0"/>
          <c:showCatName val="0"/>
          <c:showSerName val="0"/>
          <c:showPercent val="0"/>
          <c:showBubbleSize val="0"/>
        </c:dLbls>
        <c:gapWidth val="150"/>
        <c:overlap val="100"/>
        <c:axId val="1740063504"/>
        <c:axId val="1740064464"/>
      </c:barChart>
      <c:catAx>
        <c:axId val="174006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0064464"/>
        <c:crosses val="autoZero"/>
        <c:auto val="1"/>
        <c:lblAlgn val="ctr"/>
        <c:lblOffset val="100"/>
        <c:noMultiLvlLbl val="0"/>
      </c:catAx>
      <c:valAx>
        <c:axId val="1740064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0063504"/>
        <c:crosses val="autoZero"/>
        <c:crossBetween val="between"/>
      </c:valAx>
      <c:spPr>
        <a:noFill/>
        <a:ln>
          <a:noFill/>
        </a:ln>
        <a:effectLst/>
      </c:spPr>
    </c:plotArea>
    <c:legend>
      <c:legendPos val="r"/>
      <c:layout>
        <c:manualLayout>
          <c:xMode val="edge"/>
          <c:yMode val="edge"/>
          <c:x val="0.65603607535928909"/>
          <c:y val="0.18887343823878874"/>
          <c:w val="0.32937603259111209"/>
          <c:h val="0.811126561761211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Arial Narrow" panose="020B0606020202030204" pitchFamily="34" charset="0"/>
                <a:ea typeface="+mn-ea"/>
                <a:cs typeface="+mn-cs"/>
              </a:defRPr>
            </a:pPr>
            <a:r>
              <a:rPr lang="sq-AL" sz="1100">
                <a:effectLst/>
                <a:latin typeface="Arial Narrow" panose="020B0606020202030204" pitchFamily="34" charset="0"/>
              </a:rPr>
              <a:t>Kostot vjetore operacionale për </a:t>
            </a:r>
            <a:r>
              <a:rPr lang="en-GB" sz="1100">
                <a:effectLst/>
                <a:latin typeface="Arial Narrow" panose="020B0606020202030204" pitchFamily="34" charset="0"/>
              </a:rPr>
              <a:t>funksion</a:t>
            </a:r>
            <a:r>
              <a:rPr lang="en-GB" sz="1100" baseline="0">
                <a:effectLst/>
                <a:latin typeface="Arial Narrow" panose="020B0606020202030204" pitchFamily="34" charset="0"/>
              </a:rPr>
              <a:t> mbeturinash</a:t>
            </a:r>
            <a:r>
              <a:rPr lang="en-US" sz="1100">
                <a:effectLst/>
                <a:latin typeface="Arial Narrow" panose="020B0606020202030204" pitchFamily="34" charset="0"/>
              </a:rPr>
              <a:t> </a:t>
            </a:r>
            <a:r>
              <a:rPr lang="en-US" sz="1100">
                <a:latin typeface="Arial Narrow" panose="020B0606020202030204" pitchFamily="34" charset="0"/>
              </a:rPr>
              <a:t>[mijë €]</a:t>
            </a:r>
          </a:p>
        </c:rich>
      </c:tx>
      <c:layout>
        <c:manualLayout>
          <c:xMode val="edge"/>
          <c:yMode val="edge"/>
          <c:x val="0"/>
          <c:y val="1.993938784957851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Arial Narrow" panose="020B0606020202030204" pitchFamily="34" charset="0"/>
              <a:ea typeface="+mn-ea"/>
              <a:cs typeface="+mn-cs"/>
            </a:defRPr>
          </a:pPr>
          <a:endParaRPr lang="en-US"/>
        </a:p>
      </c:txPr>
    </c:title>
    <c:autoTitleDeleted val="0"/>
    <c:plotArea>
      <c:layout>
        <c:manualLayout>
          <c:layoutTarget val="inner"/>
          <c:xMode val="edge"/>
          <c:yMode val="edge"/>
          <c:x val="0.11196424461801611"/>
          <c:y val="0.10434086529317405"/>
          <c:w val="0.51082395863097951"/>
          <c:h val="0.77795775810404921"/>
        </c:manualLayout>
      </c:layout>
      <c:barChart>
        <c:barDir val="col"/>
        <c:grouping val="stacked"/>
        <c:varyColors val="0"/>
        <c:ser>
          <c:idx val="0"/>
          <c:order val="0"/>
          <c:tx>
            <c:strRef>
              <c:f>'18-22'!$E$198</c:f>
              <c:strCache>
                <c:ptCount val="1"/>
                <c:pt idx="0">
                  <c:v>Grumbullimi ndaras</c:v>
                </c:pt>
              </c:strCache>
            </c:strRef>
          </c:tx>
          <c:spPr>
            <a:solidFill>
              <a:schemeClr val="accent1"/>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'18-22'!$F$198:$P$198</c:f>
              <c:numCache>
                <c:formatCode>_-* #,##0;\-* #,##0;_-* "-"??\ _€_-;</c:formatCode>
                <c:ptCount val="11"/>
                <c:pt idx="0">
                  <c:v>0</c:v>
                </c:pt>
                <c:pt idx="1">
                  <c:v>1011.0336764254671</c:v>
                </c:pt>
                <c:pt idx="2">
                  <c:v>1157.3430987623426</c:v>
                </c:pt>
                <c:pt idx="3">
                  <c:v>1350.070244528039</c:v>
                </c:pt>
                <c:pt idx="4">
                  <c:v>1440.0169353334941</c:v>
                </c:pt>
                <c:pt idx="5">
                  <c:v>1615.6885806839273</c:v>
                </c:pt>
                <c:pt idx="6">
                  <c:v>1814.4525583141926</c:v>
                </c:pt>
                <c:pt idx="7">
                  <c:v>1905.0074944681778</c:v>
                </c:pt>
                <c:pt idx="8">
                  <c:v>1969.7705035997797</c:v>
                </c:pt>
                <c:pt idx="9">
                  <c:v>2033.5015528573399</c:v>
                </c:pt>
                <c:pt idx="10">
                  <c:v>2115.1205524777383</c:v>
                </c:pt>
              </c:numCache>
            </c:numRef>
          </c:val>
          <c:extLst>
            <c:ext xmlns:c16="http://schemas.microsoft.com/office/drawing/2014/chart" uri="{C3380CC4-5D6E-409C-BE32-E72D297353CC}">
              <c16:uniqueId val="{00000000-3360-4C24-9973-0DC80990DFBC}"/>
            </c:ext>
          </c:extLst>
        </c:ser>
        <c:ser>
          <c:idx val="1"/>
          <c:order val="1"/>
          <c:tx>
            <c:strRef>
              <c:f>'18-22'!$E$199</c:f>
              <c:strCache>
                <c:ptCount val="1"/>
                <c:pt idx="0">
                  <c:v>Grumbullimi mbeturinave të përziera</c:v>
                </c:pt>
              </c:strCache>
            </c:strRef>
          </c:tx>
          <c:spPr>
            <a:solidFill>
              <a:schemeClr val="accent2"/>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'18-22'!$F$199:$P$199</c:f>
              <c:numCache>
                <c:formatCode>_-* #,##0;\-* #,##0;_-* "-"??\ _€_-;</c:formatCode>
                <c:ptCount val="11"/>
                <c:pt idx="0">
                  <c:v>0</c:v>
                </c:pt>
                <c:pt idx="1">
                  <c:v>3073.7253534667889</c:v>
                </c:pt>
                <c:pt idx="2">
                  <c:v>3059.1129260289981</c:v>
                </c:pt>
                <c:pt idx="3">
                  <c:v>2999.1292519705321</c:v>
                </c:pt>
                <c:pt idx="4">
                  <c:v>2973.9427072717003</c:v>
                </c:pt>
                <c:pt idx="5">
                  <c:v>2944.2926892299565</c:v>
                </c:pt>
                <c:pt idx="6">
                  <c:v>2914.70433528885</c:v>
                </c:pt>
                <c:pt idx="7">
                  <c:v>2910.8149635398163</c:v>
                </c:pt>
                <c:pt idx="8">
                  <c:v>2775.9932306946585</c:v>
                </c:pt>
                <c:pt idx="9">
                  <c:v>2771.5391662111192</c:v>
                </c:pt>
                <c:pt idx="10">
                  <c:v>2768.4922144490233</c:v>
                </c:pt>
              </c:numCache>
            </c:numRef>
          </c:val>
          <c:extLst>
            <c:ext xmlns:c16="http://schemas.microsoft.com/office/drawing/2014/chart" uri="{C3380CC4-5D6E-409C-BE32-E72D297353CC}">
              <c16:uniqueId val="{00000001-3360-4C24-9973-0DC80990DFBC}"/>
            </c:ext>
          </c:extLst>
        </c:ser>
        <c:ser>
          <c:idx val="2"/>
          <c:order val="2"/>
          <c:tx>
            <c:strRef>
              <c:f>'18-22'!$E$200</c:f>
              <c:strCache>
                <c:ptCount val="1"/>
                <c:pt idx="0">
                  <c:v>Transferimi i mbeturinave të përziera</c:v>
                </c:pt>
              </c:strCache>
            </c:strRef>
          </c:tx>
          <c:spPr>
            <a:solidFill>
              <a:schemeClr val="accent3"/>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'18-22'!$F$200:$P$200</c:f>
              <c:numCache>
                <c:formatCode>_-* #,##0;\-* #,##0;_-* "-"??\ _€_-;</c:formatCode>
                <c:ptCount val="11"/>
                <c:pt idx="0">
                  <c:v>0</c:v>
                </c:pt>
                <c:pt idx="1">
                  <c:v>325.80120747538581</c:v>
                </c:pt>
                <c:pt idx="2">
                  <c:v>325.38383222566108</c:v>
                </c:pt>
                <c:pt idx="3">
                  <c:v>324.14544943625572</c:v>
                </c:pt>
                <c:pt idx="4">
                  <c:v>323.06949734368794</c:v>
                </c:pt>
                <c:pt idx="5">
                  <c:v>321.0519804112343</c:v>
                </c:pt>
                <c:pt idx="6">
                  <c:v>289.36652018929169</c:v>
                </c:pt>
                <c:pt idx="7">
                  <c:v>288.45003886387849</c:v>
                </c:pt>
                <c:pt idx="8">
                  <c:v>287.99529395553168</c:v>
                </c:pt>
                <c:pt idx="9">
                  <c:v>287.63049610311759</c:v>
                </c:pt>
                <c:pt idx="10">
                  <c:v>287.3348382664546</c:v>
                </c:pt>
              </c:numCache>
            </c:numRef>
          </c:val>
          <c:extLst>
            <c:ext xmlns:c16="http://schemas.microsoft.com/office/drawing/2014/chart" uri="{C3380CC4-5D6E-409C-BE32-E72D297353CC}">
              <c16:uniqueId val="{00000002-3360-4C24-9973-0DC80990DFBC}"/>
            </c:ext>
          </c:extLst>
        </c:ser>
        <c:ser>
          <c:idx val="3"/>
          <c:order val="3"/>
          <c:tx>
            <c:strRef>
              <c:f>'18-22'!$E$201</c:f>
              <c:strCache>
                <c:ptCount val="1"/>
                <c:pt idx="0">
                  <c:v>Kompostimi i mbeturinave të gjelbra</c:v>
                </c:pt>
              </c:strCache>
            </c:strRef>
          </c:tx>
          <c:spPr>
            <a:solidFill>
              <a:schemeClr val="accent4"/>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'18-22'!$F$201:$P$201</c:f>
              <c:numCache>
                <c:formatCode>_-* #,##0;\-* #,##0;_-* "-"??\ _€_-;</c:formatCode>
                <c:ptCount val="11"/>
                <c:pt idx="0">
                  <c:v>0</c:v>
                </c:pt>
                <c:pt idx="1">
                  <c:v>472.72426699367327</c:v>
                </c:pt>
                <c:pt idx="2">
                  <c:v>473.71364186925996</c:v>
                </c:pt>
                <c:pt idx="3">
                  <c:v>474.75956132969708</c:v>
                </c:pt>
                <c:pt idx="4">
                  <c:v>475.02192200528606</c:v>
                </c:pt>
                <c:pt idx="5">
                  <c:v>475.13087298358704</c:v>
                </c:pt>
                <c:pt idx="6">
                  <c:v>475.24097063408789</c:v>
                </c:pt>
                <c:pt idx="7">
                  <c:v>475.35343326954035</c:v>
                </c:pt>
                <c:pt idx="8">
                  <c:v>475.46737169914849</c:v>
                </c:pt>
                <c:pt idx="9">
                  <c:v>475.58265961681406</c:v>
                </c:pt>
                <c:pt idx="10">
                  <c:v>475.69960541923871</c:v>
                </c:pt>
              </c:numCache>
            </c:numRef>
          </c:val>
          <c:extLst>
            <c:ext xmlns:c16="http://schemas.microsoft.com/office/drawing/2014/chart" uri="{C3380CC4-5D6E-409C-BE32-E72D297353CC}">
              <c16:uniqueId val="{00000003-3360-4C24-9973-0DC80990DFBC}"/>
            </c:ext>
          </c:extLst>
        </c:ser>
        <c:ser>
          <c:idx val="4"/>
          <c:order val="4"/>
          <c:tx>
            <c:strRef>
              <c:f>'18-22'!$E$202</c:f>
              <c:strCache>
                <c:ptCount val="1"/>
                <c:pt idx="0">
                  <c:v>Kompostimi shtëpiak</c:v>
                </c:pt>
              </c:strCache>
            </c:strRef>
          </c:tx>
          <c:spPr>
            <a:solidFill>
              <a:schemeClr val="accent5"/>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'18-22'!$F$202:$P$202</c:f>
              <c:numCache>
                <c:formatCode>_-* #,##0;\-* #,##0;_-* "-"??\ _€_-;</c:formatCode>
                <c:ptCount val="11"/>
                <c:pt idx="0">
                  <c:v>0</c:v>
                </c:pt>
                <c:pt idx="1">
                  <c:v>224.03399999999999</c:v>
                </c:pt>
                <c:pt idx="2">
                  <c:v>235.04400000000001</c:v>
                </c:pt>
                <c:pt idx="3">
                  <c:v>246.60900000000001</c:v>
                </c:pt>
                <c:pt idx="4">
                  <c:v>258.76499999999999</c:v>
                </c:pt>
                <c:pt idx="5">
                  <c:v>271.53299999999996</c:v>
                </c:pt>
                <c:pt idx="6">
                  <c:v>284.95800000000003</c:v>
                </c:pt>
                <c:pt idx="7">
                  <c:v>299.05799999999999</c:v>
                </c:pt>
                <c:pt idx="8">
                  <c:v>313.86899999999997</c:v>
                </c:pt>
                <c:pt idx="9">
                  <c:v>329.43299999999999</c:v>
                </c:pt>
                <c:pt idx="10">
                  <c:v>334.34399999999999</c:v>
                </c:pt>
              </c:numCache>
            </c:numRef>
          </c:val>
          <c:extLst>
            <c:ext xmlns:c16="http://schemas.microsoft.com/office/drawing/2014/chart" uri="{C3380CC4-5D6E-409C-BE32-E72D297353CC}">
              <c16:uniqueId val="{00000004-3360-4C24-9973-0DC80990DFBC}"/>
            </c:ext>
          </c:extLst>
        </c:ser>
        <c:ser>
          <c:idx val="5"/>
          <c:order val="5"/>
          <c:tx>
            <c:strRef>
              <c:f>'18-22'!$E$203</c:f>
              <c:strCache>
                <c:ptCount val="1"/>
                <c:pt idx="0">
                  <c:v>Klasifikimi i grumbullimit ndaras</c:v>
                </c:pt>
              </c:strCache>
            </c:strRef>
          </c:tx>
          <c:spPr>
            <a:solidFill>
              <a:schemeClr val="accent6"/>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'18-22'!$F$203:$P$203</c:f>
              <c:numCache>
                <c:formatCode>_-* #,##0;\-* #,##0;_-* "-"??\ _€_-;</c:formatCode>
                <c:ptCount val="11"/>
                <c:pt idx="0">
                  <c:v>0</c:v>
                </c:pt>
                <c:pt idx="1">
                  <c:v>590.6604165970823</c:v>
                </c:pt>
                <c:pt idx="2">
                  <c:v>619.67982321158729</c:v>
                </c:pt>
                <c:pt idx="3">
                  <c:v>658.43280505125961</c:v>
                </c:pt>
                <c:pt idx="4">
                  <c:v>678.15126958562621</c:v>
                </c:pt>
                <c:pt idx="5">
                  <c:v>707.01928593301193</c:v>
                </c:pt>
                <c:pt idx="6">
                  <c:v>728.17380225793943</c:v>
                </c:pt>
                <c:pt idx="7">
                  <c:v>746.15862924985481</c:v>
                </c:pt>
                <c:pt idx="8">
                  <c:v>757.04001268868581</c:v>
                </c:pt>
                <c:pt idx="9">
                  <c:v>797.45671157984759</c:v>
                </c:pt>
                <c:pt idx="10">
                  <c:v>808.05154727728689</c:v>
                </c:pt>
              </c:numCache>
            </c:numRef>
          </c:val>
          <c:extLst>
            <c:ext xmlns:c16="http://schemas.microsoft.com/office/drawing/2014/chart" uri="{C3380CC4-5D6E-409C-BE32-E72D297353CC}">
              <c16:uniqueId val="{00000005-3360-4C24-9973-0DC80990DFBC}"/>
            </c:ext>
          </c:extLst>
        </c:ser>
        <c:ser>
          <c:idx val="6"/>
          <c:order val="6"/>
          <c:tx>
            <c:strRef>
              <c:f>'18-22'!$E$204</c:f>
              <c:strCache>
                <c:ptCount val="1"/>
                <c:pt idx="0">
                  <c:v>Trajtimi i mbeturinave të përziera</c:v>
                </c:pt>
              </c:strCache>
            </c:strRef>
          </c:tx>
          <c:spPr>
            <a:solidFill>
              <a:schemeClr val="accent1">
                <a:lumMod val="60000"/>
              </a:schemeClr>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'18-22'!$F$204:$P$204</c:f>
              <c:numCache>
                <c:formatCode>_-* #,##0;\-* #,##0;_-* "-"??\ _€_-;</c:formatCode>
                <c:ptCount val="11"/>
                <c:pt idx="0">
                  <c:v>0</c:v>
                </c:pt>
                <c:pt idx="1">
                  <c:v>0</c:v>
                </c:pt>
                <c:pt idx="2">
                  <c:v>0</c:v>
                </c:pt>
                <c:pt idx="3">
                  <c:v>0</c:v>
                </c:pt>
                <c:pt idx="4">
                  <c:v>0</c:v>
                </c:pt>
                <c:pt idx="5">
                  <c:v>0</c:v>
                </c:pt>
                <c:pt idx="6">
                  <c:v>2326.2573955447488</c:v>
                </c:pt>
                <c:pt idx="7">
                  <c:v>2313.1285766759511</c:v>
                </c:pt>
                <c:pt idx="8">
                  <c:v>2309.220688144826</c:v>
                </c:pt>
                <c:pt idx="9">
                  <c:v>2298.7435498674267</c:v>
                </c:pt>
                <c:pt idx="10">
                  <c:v>2295.553216243703</c:v>
                </c:pt>
              </c:numCache>
            </c:numRef>
          </c:val>
          <c:extLst>
            <c:ext xmlns:c16="http://schemas.microsoft.com/office/drawing/2014/chart" uri="{C3380CC4-5D6E-409C-BE32-E72D297353CC}">
              <c16:uniqueId val="{00000006-3360-4C24-9973-0DC80990DFBC}"/>
            </c:ext>
          </c:extLst>
        </c:ser>
        <c:ser>
          <c:idx val="7"/>
          <c:order val="7"/>
          <c:tx>
            <c:strRef>
              <c:f>'18-22'!$E$205</c:f>
              <c:strCache>
                <c:ptCount val="1"/>
                <c:pt idx="0">
                  <c:v>Tretja Aneorobe e mbeturinave organike</c:v>
                </c:pt>
              </c:strCache>
            </c:strRef>
          </c:tx>
          <c:spPr>
            <a:solidFill>
              <a:schemeClr val="accent2">
                <a:lumMod val="60000"/>
              </a:schemeClr>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'18-22'!$F$205:$P$205</c:f>
              <c:numCache>
                <c:formatCode>_-* #,##0;\-* #,##0;_-* "-"??\ _€_-;</c:formatCode>
                <c:ptCount val="11"/>
                <c:pt idx="0">
                  <c:v>0</c:v>
                </c:pt>
                <c:pt idx="1">
                  <c:v>0</c:v>
                </c:pt>
                <c:pt idx="2">
                  <c:v>0</c:v>
                </c:pt>
                <c:pt idx="3">
                  <c:v>0</c:v>
                </c:pt>
                <c:pt idx="4">
                  <c:v>0</c:v>
                </c:pt>
                <c:pt idx="5">
                  <c:v>0</c:v>
                </c:pt>
                <c:pt idx="6">
                  <c:v>316.47012695995221</c:v>
                </c:pt>
                <c:pt idx="7">
                  <c:v>322.32919082603132</c:v>
                </c:pt>
                <c:pt idx="8">
                  <c:v>325.83304909714042</c:v>
                </c:pt>
                <c:pt idx="9">
                  <c:v>329.53509399146992</c:v>
                </c:pt>
                <c:pt idx="10">
                  <c:v>333.44735632773848</c:v>
                </c:pt>
              </c:numCache>
            </c:numRef>
          </c:val>
          <c:extLst>
            <c:ext xmlns:c16="http://schemas.microsoft.com/office/drawing/2014/chart" uri="{C3380CC4-5D6E-409C-BE32-E72D297353CC}">
              <c16:uniqueId val="{00000007-3360-4C24-9973-0DC80990DFBC}"/>
            </c:ext>
          </c:extLst>
        </c:ser>
        <c:ser>
          <c:idx val="8"/>
          <c:order val="8"/>
          <c:tx>
            <c:strRef>
              <c:f>'18-22'!$E$206</c:f>
              <c:strCache>
                <c:ptCount val="1"/>
                <c:pt idx="0">
                  <c:v>Impianti KDM MpE</c:v>
                </c:pt>
              </c:strCache>
            </c:strRef>
          </c:tx>
          <c:spPr>
            <a:solidFill>
              <a:schemeClr val="accent3">
                <a:lumMod val="60000"/>
              </a:schemeClr>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'18-22'!$F$206:$P$206</c:f>
              <c:numCache>
                <c:formatCode>_-* #,##0;\-* #,##0;_-* "-"??\ _€_-;</c:formatCode>
                <c:ptCount val="11"/>
                <c:pt idx="0">
                  <c:v>0</c:v>
                </c:pt>
                <c:pt idx="1">
                  <c:v>0</c:v>
                </c:pt>
                <c:pt idx="2">
                  <c:v>0</c:v>
                </c:pt>
                <c:pt idx="3">
                  <c:v>0</c:v>
                </c:pt>
                <c:pt idx="4">
                  <c:v>0</c:v>
                </c:pt>
                <c:pt idx="5">
                  <c:v>0</c:v>
                </c:pt>
                <c:pt idx="6">
                  <c:v>320.08701626481513</c:v>
                </c:pt>
                <c:pt idx="7">
                  <c:v>308.6278636767853</c:v>
                </c:pt>
                <c:pt idx="8">
                  <c:v>300.93648515687829</c:v>
                </c:pt>
                <c:pt idx="9">
                  <c:v>293.39803547594624</c:v>
                </c:pt>
                <c:pt idx="10">
                  <c:v>286.25648713830924</c:v>
                </c:pt>
              </c:numCache>
            </c:numRef>
          </c:val>
          <c:extLst>
            <c:ext xmlns:c16="http://schemas.microsoft.com/office/drawing/2014/chart" uri="{C3380CC4-5D6E-409C-BE32-E72D297353CC}">
              <c16:uniqueId val="{00000008-3360-4C24-9973-0DC80990DFBC}"/>
            </c:ext>
          </c:extLst>
        </c:ser>
        <c:ser>
          <c:idx val="9"/>
          <c:order val="9"/>
          <c:tx>
            <c:strRef>
              <c:f>'18-22'!$E$207</c:f>
              <c:strCache>
                <c:ptCount val="1"/>
                <c:pt idx="0">
                  <c:v>Deponi</c:v>
                </c:pt>
              </c:strCache>
            </c:strRef>
          </c:tx>
          <c:spPr>
            <a:solidFill>
              <a:schemeClr val="accent4">
                <a:lumMod val="60000"/>
              </a:schemeClr>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'18-22'!$F$207:$P$207</c:f>
              <c:numCache>
                <c:formatCode>_-* #,##0;\-* #,##0;_-* "-"??\ _€_-;</c:formatCode>
                <c:ptCount val="11"/>
                <c:pt idx="0">
                  <c:v>0</c:v>
                </c:pt>
                <c:pt idx="1">
                  <c:v>2363.1692304119906</c:v>
                </c:pt>
                <c:pt idx="2">
                  <c:v>2322.8373581288906</c:v>
                </c:pt>
                <c:pt idx="3">
                  <c:v>2315.7899402484481</c:v>
                </c:pt>
                <c:pt idx="4">
                  <c:v>2311.1129468398249</c:v>
                </c:pt>
                <c:pt idx="5">
                  <c:v>2321.4346814387127</c:v>
                </c:pt>
                <c:pt idx="6">
                  <c:v>1795.6778111766571</c:v>
                </c:pt>
                <c:pt idx="7">
                  <c:v>1795.2876554112695</c:v>
                </c:pt>
                <c:pt idx="8">
                  <c:v>1795.0565047529526</c:v>
                </c:pt>
                <c:pt idx="9">
                  <c:v>1794.9393127924336</c:v>
                </c:pt>
                <c:pt idx="10">
                  <c:v>1726.0250520198788</c:v>
                </c:pt>
              </c:numCache>
            </c:numRef>
          </c:val>
          <c:extLst>
            <c:ext xmlns:c16="http://schemas.microsoft.com/office/drawing/2014/chart" uri="{C3380CC4-5D6E-409C-BE32-E72D297353CC}">
              <c16:uniqueId val="{00000009-3360-4C24-9973-0DC80990DFBC}"/>
            </c:ext>
          </c:extLst>
        </c:ser>
        <c:ser>
          <c:idx val="10"/>
          <c:order val="10"/>
          <c:tx>
            <c:strRef>
              <c:f>'18-22'!$E$208</c:f>
              <c:strCache>
                <c:ptCount val="1"/>
                <c:pt idx="0">
                  <c:v>Grumbullimi dhe deponimi i mbeturinave brenda sistemit aktual </c:v>
                </c:pt>
              </c:strCache>
            </c:strRef>
          </c:tx>
          <c:spPr>
            <a:solidFill>
              <a:schemeClr val="accent5">
                <a:lumMod val="60000"/>
              </a:schemeClr>
            </a:solidFill>
            <a:ln>
              <a:noFill/>
            </a:ln>
            <a:effectLst/>
          </c:spPr>
          <c:invertIfNegative val="0"/>
          <c:cat>
            <c:numRef>
              <c:f>'18-22'!$F$197:$P$197</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'18-22'!$F$208:$P$208</c:f>
              <c:numCache>
                <c:formatCode>_-* #,##0;\-* #,##0;_-* "-"??\ _€_-;</c:formatCode>
                <c:ptCount val="11"/>
                <c:pt idx="0">
                  <c:v>5876.3953486684641</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A-3360-4C24-9973-0DC80990DFBC}"/>
            </c:ext>
          </c:extLst>
        </c:ser>
        <c:dLbls>
          <c:showLegendKey val="0"/>
          <c:showVal val="0"/>
          <c:showCatName val="0"/>
          <c:showSerName val="0"/>
          <c:showPercent val="0"/>
          <c:showBubbleSize val="0"/>
        </c:dLbls>
        <c:gapWidth val="150"/>
        <c:overlap val="100"/>
        <c:axId val="1154336095"/>
        <c:axId val="1154336575"/>
      </c:barChart>
      <c:catAx>
        <c:axId val="1154336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154336575"/>
        <c:crosses val="autoZero"/>
        <c:auto val="1"/>
        <c:lblAlgn val="ctr"/>
        <c:lblOffset val="100"/>
        <c:noMultiLvlLbl val="0"/>
      </c:catAx>
      <c:valAx>
        <c:axId val="1154336575"/>
        <c:scaling>
          <c:orientation val="minMax"/>
          <c:max val="9000"/>
        </c:scaling>
        <c:delete val="0"/>
        <c:axPos val="l"/>
        <c:majorGridlines>
          <c:spPr>
            <a:ln w="9525" cap="flat" cmpd="sng" algn="ctr">
              <a:solidFill>
                <a:schemeClr val="tx1">
                  <a:lumMod val="15000"/>
                  <a:lumOff val="85000"/>
                </a:schemeClr>
              </a:solidFill>
              <a:round/>
            </a:ln>
            <a:effectLst/>
          </c:spPr>
        </c:majorGridlines>
        <c:numFmt formatCode="_-* #,##0;\-* #,##0;_-* &quot;-&quot;??\ _€_-;"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154336095"/>
        <c:crosses val="autoZero"/>
        <c:crossBetween val="between"/>
      </c:valAx>
      <c:spPr>
        <a:noFill/>
        <a:ln>
          <a:noFill/>
        </a:ln>
        <a:effectLst/>
      </c:spPr>
    </c:plotArea>
    <c:legend>
      <c:legendPos val="r"/>
      <c:layout>
        <c:manualLayout>
          <c:xMode val="edge"/>
          <c:yMode val="edge"/>
          <c:x val="0.66053804206373845"/>
          <c:y val="7.9985016828031094E-2"/>
          <c:w val="0.3360693350831146"/>
          <c:h val="0.919015806170309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'18-22'!$E$225</c:f>
              <c:strCache>
                <c:ptCount val="1"/>
                <c:pt idx="0">
                  <c:v>Kompostimi i mbeturinave të gjelbra</c:v>
                </c:pt>
              </c:strCache>
            </c:strRef>
          </c:tx>
          <c:spPr>
            <a:solidFill>
              <a:schemeClr val="accent1"/>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'18-22'!$F$225:$P$225</c:f>
              <c:numCache>
                <c:formatCode>_-* #,##0;\-* #,##0;_-* "-"??\ _€_-;</c:formatCode>
                <c:ptCount val="11"/>
                <c:pt idx="0">
                  <c:v>0</c:v>
                </c:pt>
                <c:pt idx="1">
                  <c:v>3958.2296118049899</c:v>
                </c:pt>
                <c:pt idx="2">
                  <c:v>3978.8603016172774</c:v>
                </c:pt>
                <c:pt idx="3">
                  <c:v>4000.6708991726323</c:v>
                </c:pt>
                <c:pt idx="4">
                  <c:v>4006.141378020784</c:v>
                </c:pt>
                <c:pt idx="5">
                  <c:v>4008.4138986332209</c:v>
                </c:pt>
                <c:pt idx="6">
                  <c:v>4010.7091160725467</c:v>
                </c:pt>
                <c:pt idx="7">
                  <c:v>4013.0545351449887</c:v>
                </c:pt>
                <c:pt idx="8">
                  <c:v>4015.4303511383882</c:v>
                </c:pt>
                <c:pt idx="9">
                  <c:v>4017.8349677447991</c:v>
                </c:pt>
                <c:pt idx="10">
                  <c:v>4020.2727265572867</c:v>
                </c:pt>
              </c:numCache>
            </c:numRef>
          </c:val>
          <c:extLst>
            <c:ext xmlns:c16="http://schemas.microsoft.com/office/drawing/2014/chart" uri="{C3380CC4-5D6E-409C-BE32-E72D297353CC}">
              <c16:uniqueId val="{00000000-131A-4710-A57B-F9EFF7097FCB}"/>
            </c:ext>
          </c:extLst>
        </c:ser>
        <c:ser>
          <c:idx val="1"/>
          <c:order val="1"/>
          <c:tx>
            <c:strRef>
              <c:f>'18-22'!$E$226</c:f>
              <c:strCache>
                <c:ptCount val="1"/>
                <c:pt idx="0">
                  <c:v>Kompostimi shtëpiak</c:v>
                </c:pt>
              </c:strCache>
            </c:strRef>
          </c:tx>
          <c:spPr>
            <a:solidFill>
              <a:schemeClr val="accent2"/>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'18-22'!$F$226:$P$226</c:f>
              <c:numCache>
                <c:formatCode>_-* #,##0;\-* #,##0;_-* "-"??\ _€_-;</c:formatCode>
                <c:ptCount val="11"/>
                <c:pt idx="0">
                  <c:v>0</c:v>
                </c:pt>
                <c:pt idx="1">
                  <c:v>1628.2667874622773</c:v>
                </c:pt>
                <c:pt idx="2">
                  <c:v>2002.3343736941645</c:v>
                </c:pt>
                <c:pt idx="3">
                  <c:v>2471.6686802382214</c:v>
                </c:pt>
                <c:pt idx="4">
                  <c:v>3038.4254499605513</c:v>
                </c:pt>
                <c:pt idx="5">
                  <c:v>3749.7244826716046</c:v>
                </c:pt>
                <c:pt idx="6">
                  <c:v>4624.7776998128811</c:v>
                </c:pt>
                <c:pt idx="7">
                  <c:v>5281.9510780988494</c:v>
                </c:pt>
                <c:pt idx="8">
                  <c:v>5466.6680437648165</c:v>
                </c:pt>
                <c:pt idx="9">
                  <c:v>5532.1379889361579</c:v>
                </c:pt>
                <c:pt idx="10">
                  <c:v>5574.5719974013409</c:v>
                </c:pt>
              </c:numCache>
            </c:numRef>
          </c:val>
          <c:extLst>
            <c:ext xmlns:c16="http://schemas.microsoft.com/office/drawing/2014/chart" uri="{C3380CC4-5D6E-409C-BE32-E72D297353CC}">
              <c16:uniqueId val="{00000001-131A-4710-A57B-F9EFF7097FCB}"/>
            </c:ext>
          </c:extLst>
        </c:ser>
        <c:ser>
          <c:idx val="2"/>
          <c:order val="2"/>
          <c:tx>
            <c:strRef>
              <c:f>'18-22'!$E$227</c:f>
              <c:strCache>
                <c:ptCount val="1"/>
                <c:pt idx="0">
                  <c:v>TA/Kompostimi i mbeturinave organike</c:v>
                </c:pt>
              </c:strCache>
            </c:strRef>
          </c:tx>
          <c:spPr>
            <a:solidFill>
              <a:schemeClr val="accent3"/>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'18-22'!$F$227:$P$227</c:f>
              <c:numCache>
                <c:formatCode>_-* #,##0;\-* #,##0;_-* "-"??\ _€_-;</c:formatCode>
                <c:ptCount val="11"/>
                <c:pt idx="0">
                  <c:v>0</c:v>
                </c:pt>
                <c:pt idx="1">
                  <c:v>0</c:v>
                </c:pt>
                <c:pt idx="2">
                  <c:v>0</c:v>
                </c:pt>
                <c:pt idx="3">
                  <c:v>0</c:v>
                </c:pt>
                <c:pt idx="4">
                  <c:v>0</c:v>
                </c:pt>
                <c:pt idx="5">
                  <c:v>0</c:v>
                </c:pt>
                <c:pt idx="6">
                  <c:v>2588.5639498592027</c:v>
                </c:pt>
                <c:pt idx="7">
                  <c:v>2855.1728876496827</c:v>
                </c:pt>
                <c:pt idx="8">
                  <c:v>3014.6113155591484</c:v>
                </c:pt>
                <c:pt idx="9">
                  <c:v>3183.0679631550297</c:v>
                </c:pt>
                <c:pt idx="10">
                  <c:v>3361.0902769019326</c:v>
                </c:pt>
              </c:numCache>
            </c:numRef>
          </c:val>
          <c:extLst>
            <c:ext xmlns:c16="http://schemas.microsoft.com/office/drawing/2014/chart" uri="{C3380CC4-5D6E-409C-BE32-E72D297353CC}">
              <c16:uniqueId val="{00000002-131A-4710-A57B-F9EFF7097FCB}"/>
            </c:ext>
          </c:extLst>
        </c:ser>
        <c:ser>
          <c:idx val="3"/>
          <c:order val="3"/>
          <c:tx>
            <c:strRef>
              <c:f>'18-22'!$E$228</c:f>
              <c:strCache>
                <c:ptCount val="1"/>
                <c:pt idx="0">
                  <c:v>Riciklim i grumbullimit ndaras</c:v>
                </c:pt>
              </c:strCache>
            </c:strRef>
          </c:tx>
          <c:spPr>
            <a:solidFill>
              <a:schemeClr val="accent4"/>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'18-22'!$F$228:$P$228</c:f>
              <c:numCache>
                <c:formatCode>_-* #,##0;\-* #,##0;_-* "-"??\ _€_-;</c:formatCode>
                <c:ptCount val="11"/>
                <c:pt idx="0">
                  <c:v>0</c:v>
                </c:pt>
                <c:pt idx="1">
                  <c:v>8608.2246337976158</c:v>
                </c:pt>
                <c:pt idx="2">
                  <c:v>10112.510667231971</c:v>
                </c:pt>
                <c:pt idx="3">
                  <c:v>12138.722721992004</c:v>
                </c:pt>
                <c:pt idx="4">
                  <c:v>13209.187332294592</c:v>
                </c:pt>
                <c:pt idx="5">
                  <c:v>14752.719460949542</c:v>
                </c:pt>
                <c:pt idx="6">
                  <c:v>16090.561682724874</c:v>
                </c:pt>
                <c:pt idx="7">
                  <c:v>16842.007278913632</c:v>
                </c:pt>
                <c:pt idx="8">
                  <c:v>17556.872139053059</c:v>
                </c:pt>
                <c:pt idx="9">
                  <c:v>18263.04392243479</c:v>
                </c:pt>
                <c:pt idx="10">
                  <c:v>18915.024017235879</c:v>
                </c:pt>
              </c:numCache>
            </c:numRef>
          </c:val>
          <c:extLst>
            <c:ext xmlns:c16="http://schemas.microsoft.com/office/drawing/2014/chart" uri="{C3380CC4-5D6E-409C-BE32-E72D297353CC}">
              <c16:uniqueId val="{00000003-131A-4710-A57B-F9EFF7097FCB}"/>
            </c:ext>
          </c:extLst>
        </c:ser>
        <c:ser>
          <c:idx val="4"/>
          <c:order val="4"/>
          <c:tx>
            <c:strRef>
              <c:f>'18-22'!$E$229</c:f>
              <c:strCache>
                <c:ptCount val="1"/>
                <c:pt idx="0">
                  <c:v>Rikuperime tjera (tekstil)</c:v>
                </c:pt>
              </c:strCache>
            </c:strRef>
          </c:tx>
          <c:spPr>
            <a:solidFill>
              <a:schemeClr val="accent5"/>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'18-22'!$F$229:$P$229</c:f>
              <c:numCache>
                <c:formatCode>_-* #,##0;\-* #,##0;_-* "-"??\ _€_-;</c:formatCode>
                <c:ptCount val="11"/>
                <c:pt idx="0">
                  <c:v>0</c:v>
                </c:pt>
                <c:pt idx="1">
                  <c:v>0</c:v>
                </c:pt>
                <c:pt idx="2">
                  <c:v>0</c:v>
                </c:pt>
                <c:pt idx="3">
                  <c:v>0</c:v>
                </c:pt>
                <c:pt idx="4">
                  <c:v>0</c:v>
                </c:pt>
                <c:pt idx="5">
                  <c:v>598.36628939513173</c:v>
                </c:pt>
                <c:pt idx="6">
                  <c:v>665.07153716707683</c:v>
                </c:pt>
                <c:pt idx="7">
                  <c:v>702.17081324974868</c:v>
                </c:pt>
                <c:pt idx="8">
                  <c:v>741.37673008940749</c:v>
                </c:pt>
                <c:pt idx="9">
                  <c:v>782.80898024312842</c:v>
                </c:pt>
                <c:pt idx="10">
                  <c:v>826.58778983395041</c:v>
                </c:pt>
              </c:numCache>
            </c:numRef>
          </c:val>
          <c:extLst>
            <c:ext xmlns:c16="http://schemas.microsoft.com/office/drawing/2014/chart" uri="{C3380CC4-5D6E-409C-BE32-E72D297353CC}">
              <c16:uniqueId val="{00000004-131A-4710-A57B-F9EFF7097FCB}"/>
            </c:ext>
          </c:extLst>
        </c:ser>
        <c:ser>
          <c:idx val="5"/>
          <c:order val="5"/>
          <c:tx>
            <c:strRef>
              <c:f>'18-22'!$E$230</c:f>
              <c:strCache>
                <c:ptCount val="1"/>
                <c:pt idx="0">
                  <c:v>Trajtim Riciklimi (TMB/MBT)</c:v>
                </c:pt>
              </c:strCache>
            </c:strRef>
          </c:tx>
          <c:spPr>
            <a:solidFill>
              <a:schemeClr val="accent6"/>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'18-22'!$F$230:$P$230</c:f>
              <c:numCache>
                <c:formatCode>_-* #,##0;\-* #,##0;_-* "-"??\ _€_-;</c:formatCode>
                <c:ptCount val="11"/>
                <c:pt idx="0">
                  <c:v>0</c:v>
                </c:pt>
                <c:pt idx="1">
                  <c:v>0</c:v>
                </c:pt>
                <c:pt idx="2">
                  <c:v>0</c:v>
                </c:pt>
                <c:pt idx="3">
                  <c:v>0</c:v>
                </c:pt>
                <c:pt idx="4">
                  <c:v>0</c:v>
                </c:pt>
                <c:pt idx="5">
                  <c:v>0</c:v>
                </c:pt>
                <c:pt idx="6">
                  <c:v>5145.7049402254715</c:v>
                </c:pt>
                <c:pt idx="7">
                  <c:v>4957.151480042332</c:v>
                </c:pt>
                <c:pt idx="8">
                  <c:v>4787.0776316996507</c:v>
                </c:pt>
                <c:pt idx="9">
                  <c:v>4621.2356784274543</c:v>
                </c:pt>
                <c:pt idx="10">
                  <c:v>4468.8466030705458</c:v>
                </c:pt>
              </c:numCache>
            </c:numRef>
          </c:val>
          <c:extLst>
            <c:ext xmlns:c16="http://schemas.microsoft.com/office/drawing/2014/chart" uri="{C3380CC4-5D6E-409C-BE32-E72D297353CC}">
              <c16:uniqueId val="{00000005-131A-4710-A57B-F9EFF7097FCB}"/>
            </c:ext>
          </c:extLst>
        </c:ser>
        <c:ser>
          <c:idx val="6"/>
          <c:order val="6"/>
          <c:tx>
            <c:strRef>
              <c:f>'18-22'!$E$231</c:f>
              <c:strCache>
                <c:ptCount val="1"/>
                <c:pt idx="0">
                  <c:v>Prodhim i KDM/RDF</c:v>
                </c:pt>
              </c:strCache>
            </c:strRef>
          </c:tx>
          <c:spPr>
            <a:solidFill>
              <a:schemeClr val="accent1">
                <a:lumMod val="60000"/>
              </a:schemeClr>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'18-22'!$F$231:$P$231</c:f>
              <c:numCache>
                <c:formatCode>_-* #,##0;\-* #,##0;_-* "-"??\ _€_-;</c:formatCode>
                <c:ptCount val="11"/>
                <c:pt idx="0">
                  <c:v>0</c:v>
                </c:pt>
                <c:pt idx="1">
                  <c:v>0</c:v>
                </c:pt>
                <c:pt idx="2">
                  <c:v>0</c:v>
                </c:pt>
                <c:pt idx="3">
                  <c:v>0</c:v>
                </c:pt>
                <c:pt idx="4">
                  <c:v>0</c:v>
                </c:pt>
                <c:pt idx="5">
                  <c:v>0</c:v>
                </c:pt>
                <c:pt idx="6">
                  <c:v>12803.480650592608</c:v>
                </c:pt>
                <c:pt idx="7">
                  <c:v>12345.114547071415</c:v>
                </c:pt>
                <c:pt idx="8">
                  <c:v>12037.459406275133</c:v>
                </c:pt>
                <c:pt idx="9">
                  <c:v>11735.92141903785</c:v>
                </c:pt>
                <c:pt idx="10">
                  <c:v>11450.259485532371</c:v>
                </c:pt>
              </c:numCache>
            </c:numRef>
          </c:val>
          <c:extLst>
            <c:ext xmlns:c16="http://schemas.microsoft.com/office/drawing/2014/chart" uri="{C3380CC4-5D6E-409C-BE32-E72D297353CC}">
              <c16:uniqueId val="{00000006-131A-4710-A57B-F9EFF7097FCB}"/>
            </c:ext>
          </c:extLst>
        </c:ser>
        <c:ser>
          <c:idx val="7"/>
          <c:order val="7"/>
          <c:tx>
            <c:strRef>
              <c:f>'18-22'!$E$232</c:f>
              <c:strCache>
                <c:ptCount val="1"/>
                <c:pt idx="0">
                  <c:v>Humbje në trajtim</c:v>
                </c:pt>
              </c:strCache>
            </c:strRef>
          </c:tx>
          <c:spPr>
            <a:solidFill>
              <a:schemeClr val="accent2">
                <a:lumMod val="60000"/>
              </a:schemeClr>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'18-22'!$F$232:$P$232</c:f>
              <c:numCache>
                <c:formatCode>_-* #,##0;\-* #,##0;_-* "-"??\ _€_-;</c:formatCode>
                <c:ptCount val="11"/>
                <c:pt idx="0">
                  <c:v>0</c:v>
                </c:pt>
                <c:pt idx="1">
                  <c:v>0</c:v>
                </c:pt>
                <c:pt idx="2">
                  <c:v>0</c:v>
                </c:pt>
                <c:pt idx="3">
                  <c:v>0</c:v>
                </c:pt>
                <c:pt idx="4">
                  <c:v>0</c:v>
                </c:pt>
                <c:pt idx="5">
                  <c:v>0</c:v>
                </c:pt>
                <c:pt idx="6">
                  <c:v>11928.902233435321</c:v>
                </c:pt>
                <c:pt idx="7">
                  <c:v>11354.166782035785</c:v>
                </c:pt>
                <c:pt idx="8">
                  <c:v>11179.764576718571</c:v>
                </c:pt>
                <c:pt idx="9">
                  <c:v>11081.64326076285</c:v>
                </c:pt>
                <c:pt idx="10">
                  <c:v>10994.999182460813</c:v>
                </c:pt>
              </c:numCache>
            </c:numRef>
          </c:val>
          <c:extLst>
            <c:ext xmlns:c16="http://schemas.microsoft.com/office/drawing/2014/chart" uri="{C3380CC4-5D6E-409C-BE32-E72D297353CC}">
              <c16:uniqueId val="{00000007-131A-4710-A57B-F9EFF7097FCB}"/>
            </c:ext>
          </c:extLst>
        </c:ser>
        <c:ser>
          <c:idx val="8"/>
          <c:order val="8"/>
          <c:tx>
            <c:strRef>
              <c:f>'18-22'!$E$233</c:f>
              <c:strCache>
                <c:ptCount val="1"/>
                <c:pt idx="0">
                  <c:v>Deponia (krijimi i kapaciteteve të reja)</c:v>
                </c:pt>
              </c:strCache>
            </c:strRef>
          </c:tx>
          <c:spPr>
            <a:solidFill>
              <a:schemeClr val="accent3">
                <a:lumMod val="60000"/>
              </a:schemeClr>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'18-22'!$F$233:$P$233</c:f>
              <c:numCache>
                <c:formatCode>_-* #,##0;\-* #,##0;_-* "-"??\ _€_-;</c:formatCode>
                <c:ptCount val="11"/>
                <c:pt idx="0">
                  <c:v>0</c:v>
                </c:pt>
                <c:pt idx="1">
                  <c:v>54878.847782129174</c:v>
                </c:pt>
                <c:pt idx="2">
                  <c:v>53289.629370907613</c:v>
                </c:pt>
                <c:pt idx="3">
                  <c:v>51087.938765092018</c:v>
                </c:pt>
                <c:pt idx="4">
                  <c:v>49626.794750941233</c:v>
                </c:pt>
                <c:pt idx="5">
                  <c:v>47071.914953835876</c:v>
                </c:pt>
                <c:pt idx="6">
                  <c:v>13117.768668735367</c:v>
                </c:pt>
                <c:pt idx="7">
                  <c:v>12995.879730399123</c:v>
                </c:pt>
                <c:pt idx="8">
                  <c:v>12923.66573066503</c:v>
                </c:pt>
                <c:pt idx="9">
                  <c:v>12887.053677438105</c:v>
                </c:pt>
                <c:pt idx="10">
                  <c:v>12879.424360370072</c:v>
                </c:pt>
              </c:numCache>
            </c:numRef>
          </c:val>
          <c:extLst>
            <c:ext xmlns:c16="http://schemas.microsoft.com/office/drawing/2014/chart" uri="{C3380CC4-5D6E-409C-BE32-E72D297353CC}">
              <c16:uniqueId val="{00000008-131A-4710-A57B-F9EFF7097FCB}"/>
            </c:ext>
          </c:extLst>
        </c:ser>
        <c:ser>
          <c:idx val="9"/>
          <c:order val="9"/>
          <c:tx>
            <c:strRef>
              <c:f>'18-22'!$E$234</c:f>
              <c:strCache>
                <c:ptCount val="1"/>
                <c:pt idx="0">
                  <c:v>Mbeturinat e përziera të menaxhuara përmes sistemit ekzistues</c:v>
                </c:pt>
              </c:strCache>
            </c:strRef>
          </c:tx>
          <c:spPr>
            <a:solidFill>
              <a:schemeClr val="accent4">
                <a:lumMod val="60000"/>
              </a:schemeClr>
            </a:solidFill>
            <a:ln>
              <a:noFill/>
            </a:ln>
            <a:effectLst/>
          </c:spPr>
          <c:cat>
            <c:numRef>
              <c:f>'18-22'!$F$224:$P$224</c:f>
              <c:numCache>
                <c:formatCode>General</c:formatCode>
                <c:ptCount val="11"/>
                <c:pt idx="0">
                  <c:v>2026</c:v>
                </c:pt>
                <c:pt idx="1">
                  <c:v>2027</c:v>
                </c:pt>
                <c:pt idx="2">
                  <c:v>2028</c:v>
                </c:pt>
                <c:pt idx="3">
                  <c:v>2029</c:v>
                </c:pt>
                <c:pt idx="4">
                  <c:v>2030</c:v>
                </c:pt>
                <c:pt idx="5">
                  <c:v>2031</c:v>
                </c:pt>
                <c:pt idx="6">
                  <c:v>2032</c:v>
                </c:pt>
                <c:pt idx="7">
                  <c:v>2033</c:v>
                </c:pt>
                <c:pt idx="8">
                  <c:v>2034</c:v>
                </c:pt>
                <c:pt idx="9">
                  <c:v>2035</c:v>
                </c:pt>
                <c:pt idx="10">
                  <c:v>2036</c:v>
                </c:pt>
              </c:numCache>
            </c:numRef>
          </c:cat>
          <c:val>
            <c:numRef>
              <c:f>'18-22'!$F$234:$P$234</c:f>
              <c:numCache>
                <c:formatCode>_-* #,##0;\-* #,##0;_-* "-"??\ _€_-;</c:formatCode>
                <c:ptCount val="11"/>
                <c:pt idx="0">
                  <c:v>65293.281651871825</c:v>
                </c:pt>
                <c:pt idx="1">
                  <c:v>0</c:v>
                </c:pt>
                <c:pt idx="2">
                  <c:v>0</c:v>
                </c:pt>
                <c:pt idx="3">
                  <c:v>0</c:v>
                </c:pt>
                <c:pt idx="4">
                  <c:v>0</c:v>
                </c:pt>
                <c:pt idx="5">
                  <c:v>0</c:v>
                </c:pt>
              </c:numCache>
            </c:numRef>
          </c:val>
          <c:extLst>
            <c:ext xmlns:c16="http://schemas.microsoft.com/office/drawing/2014/chart" uri="{C3380CC4-5D6E-409C-BE32-E72D297353CC}">
              <c16:uniqueId val="{00000009-131A-4710-A57B-F9EFF7097FCB}"/>
            </c:ext>
          </c:extLst>
        </c:ser>
        <c:dLbls>
          <c:showLegendKey val="0"/>
          <c:showVal val="0"/>
          <c:showCatName val="0"/>
          <c:showSerName val="0"/>
          <c:showPercent val="0"/>
          <c:showBubbleSize val="0"/>
        </c:dLbls>
        <c:axId val="1974848256"/>
        <c:axId val="1974847296"/>
      </c:areaChart>
      <c:catAx>
        <c:axId val="19748482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4847296"/>
        <c:crosses val="autoZero"/>
        <c:auto val="1"/>
        <c:lblAlgn val="ctr"/>
        <c:lblOffset val="100"/>
        <c:noMultiLvlLbl val="0"/>
      </c:catAx>
      <c:valAx>
        <c:axId val="1974847296"/>
        <c:scaling>
          <c:orientation val="minMax"/>
        </c:scaling>
        <c:delete val="0"/>
        <c:axPos val="l"/>
        <c:majorGridlines>
          <c:spPr>
            <a:ln w="9525" cap="flat" cmpd="sng" algn="ctr">
              <a:solidFill>
                <a:schemeClr val="tx1">
                  <a:lumMod val="15000"/>
                  <a:lumOff val="85000"/>
                </a:schemeClr>
              </a:solidFill>
              <a:round/>
            </a:ln>
            <a:effectLst/>
          </c:spPr>
        </c:majorGridlines>
        <c:numFmt formatCode="_-* #,##0;\-* #,##0;_-* &quot;-&quot;??\ 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4848256"/>
        <c:crosses val="autoZero"/>
        <c:crossBetween val="midCat"/>
      </c:valAx>
      <c:spPr>
        <a:noFill/>
        <a:ln>
          <a:noFill/>
        </a:ln>
        <a:effectLst/>
      </c:spPr>
    </c:plotArea>
    <c:legend>
      <c:legendPos val="r"/>
      <c:layout>
        <c:manualLayout>
          <c:xMode val="edge"/>
          <c:yMode val="edge"/>
          <c:x val="0.63356383390773052"/>
          <c:y val="1.6551948083462116E-2"/>
          <c:w val="0.35073707441451862"/>
          <c:h val="0.983448051916537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BPV për kokë banori sipas rajoneve, Kosovë</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Sheet1!$M$6</c:f>
              <c:strCache>
                <c:ptCount val="1"/>
                <c:pt idx="0">
                  <c:v>Rajonal 2020</c:v>
                </c:pt>
              </c:strCache>
            </c:strRef>
          </c:tx>
          <c:spPr>
            <a:solidFill>
              <a:schemeClr val="accent1"/>
            </a:solidFill>
            <a:ln>
              <a:noFill/>
            </a:ln>
            <a:effectLst/>
          </c:spPr>
          <c:invertIfNegative val="0"/>
          <c:cat>
            <c:strRef>
              <c:f>Sheet1!$N$5:$T$5</c:f>
              <c:strCache>
                <c:ptCount val="7"/>
                <c:pt idx="0">
                  <c:v>Prishtinë</c:v>
                </c:pt>
                <c:pt idx="1">
                  <c:v>Mitrovicë</c:v>
                </c:pt>
                <c:pt idx="2">
                  <c:v>Pejë</c:v>
                </c:pt>
                <c:pt idx="3">
                  <c:v>Prizren</c:v>
                </c:pt>
                <c:pt idx="4">
                  <c:v>Ferizaj</c:v>
                </c:pt>
                <c:pt idx="5">
                  <c:v>Gjilan</c:v>
                </c:pt>
                <c:pt idx="6">
                  <c:v>Gjakovë</c:v>
                </c:pt>
              </c:strCache>
            </c:strRef>
          </c:cat>
          <c:val>
            <c:numRef>
              <c:f>Sheet1!$N$6:$T$6</c:f>
              <c:numCache>
                <c:formatCode>#,##0</c:formatCode>
                <c:ptCount val="7"/>
                <c:pt idx="0">
                  <c:v>6464</c:v>
                </c:pt>
                <c:pt idx="1">
                  <c:v>2584</c:v>
                </c:pt>
                <c:pt idx="2">
                  <c:v>2780</c:v>
                </c:pt>
                <c:pt idx="3">
                  <c:v>2869</c:v>
                </c:pt>
                <c:pt idx="4">
                  <c:v>2942</c:v>
                </c:pt>
                <c:pt idx="5">
                  <c:v>2917</c:v>
                </c:pt>
                <c:pt idx="6">
                  <c:v>2458</c:v>
                </c:pt>
              </c:numCache>
            </c:numRef>
          </c:val>
          <c:extLst>
            <c:ext xmlns:c16="http://schemas.microsoft.com/office/drawing/2014/chart" uri="{C3380CC4-5D6E-409C-BE32-E72D297353CC}">
              <c16:uniqueId val="{00000000-CF10-43F5-95BC-096AA62F0526}"/>
            </c:ext>
          </c:extLst>
        </c:ser>
        <c:ser>
          <c:idx val="2"/>
          <c:order val="2"/>
          <c:tx>
            <c:strRef>
              <c:f>Sheet1!$M$8</c:f>
              <c:strCache>
                <c:ptCount val="1"/>
                <c:pt idx="0">
                  <c:v>Rajonal 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Sheet1!$N$5:$T$5</c:f>
              <c:strCache>
                <c:ptCount val="7"/>
                <c:pt idx="0">
                  <c:v>Prishtinë</c:v>
                </c:pt>
                <c:pt idx="1">
                  <c:v>Mitrovicë</c:v>
                </c:pt>
                <c:pt idx="2">
                  <c:v>Pejë</c:v>
                </c:pt>
                <c:pt idx="3">
                  <c:v>Prizren</c:v>
                </c:pt>
                <c:pt idx="4">
                  <c:v>Ferizaj</c:v>
                </c:pt>
                <c:pt idx="5">
                  <c:v>Gjilan</c:v>
                </c:pt>
                <c:pt idx="6">
                  <c:v>Gjakovë</c:v>
                </c:pt>
              </c:strCache>
            </c:strRef>
          </c:cat>
          <c:val>
            <c:numRef>
              <c:f>Sheet1!$N$8:$T$8</c:f>
              <c:numCache>
                <c:formatCode>#,##0</c:formatCode>
                <c:ptCount val="7"/>
                <c:pt idx="0">
                  <c:v>8128</c:v>
                </c:pt>
                <c:pt idx="1">
                  <c:v>2612</c:v>
                </c:pt>
                <c:pt idx="2">
                  <c:v>3043</c:v>
                </c:pt>
                <c:pt idx="3">
                  <c:v>3127</c:v>
                </c:pt>
                <c:pt idx="4">
                  <c:v>3629</c:v>
                </c:pt>
                <c:pt idx="5">
                  <c:v>3484</c:v>
                </c:pt>
                <c:pt idx="6">
                  <c:v>2935</c:v>
                </c:pt>
              </c:numCache>
            </c:numRef>
          </c:val>
          <c:extLst>
            <c:ext xmlns:c16="http://schemas.microsoft.com/office/drawing/2014/chart" uri="{C3380CC4-5D6E-409C-BE32-E72D297353CC}">
              <c16:uniqueId val="{00000001-CF10-43F5-95BC-096AA62F0526}"/>
            </c:ext>
          </c:extLst>
        </c:ser>
        <c:dLbls>
          <c:showLegendKey val="0"/>
          <c:showVal val="0"/>
          <c:showCatName val="0"/>
          <c:showSerName val="0"/>
          <c:showPercent val="0"/>
          <c:showBubbleSize val="0"/>
        </c:dLbls>
        <c:gapWidth val="219"/>
        <c:axId val="1841380544"/>
        <c:axId val="1841379584"/>
      </c:barChart>
      <c:lineChart>
        <c:grouping val="standard"/>
        <c:varyColors val="0"/>
        <c:ser>
          <c:idx val="1"/>
          <c:order val="1"/>
          <c:tx>
            <c:strRef>
              <c:f>Sheet1!$M$7</c:f>
              <c:strCache>
                <c:ptCount val="1"/>
                <c:pt idx="0">
                  <c:v>Nacional 2020</c:v>
                </c:pt>
              </c:strCache>
            </c:strRef>
          </c:tx>
          <c:spPr>
            <a:ln w="28575" cap="rnd">
              <a:solidFill>
                <a:schemeClr val="accent2"/>
              </a:solidFill>
              <a:round/>
            </a:ln>
            <a:effectLst/>
          </c:spPr>
          <c:marker>
            <c:symbol val="none"/>
          </c:marker>
          <c:cat>
            <c:strRef>
              <c:f>Sheet1!$N$5:$T$5</c:f>
              <c:strCache>
                <c:ptCount val="7"/>
                <c:pt idx="0">
                  <c:v>Prishtinë</c:v>
                </c:pt>
                <c:pt idx="1">
                  <c:v>Mitrovicë</c:v>
                </c:pt>
                <c:pt idx="2">
                  <c:v>Pejë</c:v>
                </c:pt>
                <c:pt idx="3">
                  <c:v>Prizren</c:v>
                </c:pt>
                <c:pt idx="4">
                  <c:v>Ferizaj</c:v>
                </c:pt>
                <c:pt idx="5">
                  <c:v>Gjilan</c:v>
                </c:pt>
                <c:pt idx="6">
                  <c:v>Gjakovë</c:v>
                </c:pt>
              </c:strCache>
            </c:strRef>
          </c:cat>
          <c:val>
            <c:numRef>
              <c:f>Sheet1!$N$7:$T$7</c:f>
              <c:numCache>
                <c:formatCode>#,##0</c:formatCode>
                <c:ptCount val="7"/>
                <c:pt idx="0">
                  <c:v>3772</c:v>
                </c:pt>
                <c:pt idx="1">
                  <c:v>3772</c:v>
                </c:pt>
                <c:pt idx="2">
                  <c:v>3772</c:v>
                </c:pt>
                <c:pt idx="3">
                  <c:v>3772</c:v>
                </c:pt>
                <c:pt idx="4">
                  <c:v>3772</c:v>
                </c:pt>
                <c:pt idx="5">
                  <c:v>3772</c:v>
                </c:pt>
                <c:pt idx="6">
                  <c:v>3772</c:v>
                </c:pt>
              </c:numCache>
            </c:numRef>
          </c:val>
          <c:smooth val="0"/>
          <c:extLst>
            <c:ext xmlns:c16="http://schemas.microsoft.com/office/drawing/2014/chart" uri="{C3380CC4-5D6E-409C-BE32-E72D297353CC}">
              <c16:uniqueId val="{00000002-CF10-43F5-95BC-096AA62F0526}"/>
            </c:ext>
          </c:extLst>
        </c:ser>
        <c:ser>
          <c:idx val="3"/>
          <c:order val="3"/>
          <c:tx>
            <c:strRef>
              <c:f>Sheet1!$M$9</c:f>
              <c:strCache>
                <c:ptCount val="1"/>
                <c:pt idx="0">
                  <c:v>Nacional 2021</c:v>
                </c:pt>
              </c:strCache>
            </c:strRef>
          </c:tx>
          <c:spPr>
            <a:ln w="28575" cap="rnd">
              <a:solidFill>
                <a:schemeClr val="accent4"/>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CF10-43F5-95BC-096AA62F0526}"/>
                </c:ext>
              </c:extLst>
            </c:dLbl>
            <c:dLbl>
              <c:idx val="1"/>
              <c:delete val="1"/>
              <c:extLst>
                <c:ext xmlns:c15="http://schemas.microsoft.com/office/drawing/2012/chart" uri="{CE6537A1-D6FC-4f65-9D91-7224C49458BB}"/>
                <c:ext xmlns:c16="http://schemas.microsoft.com/office/drawing/2014/chart" uri="{C3380CC4-5D6E-409C-BE32-E72D297353CC}">
                  <c16:uniqueId val="{00000004-CF10-43F5-95BC-096AA62F0526}"/>
                </c:ext>
              </c:extLst>
            </c:dLbl>
            <c:dLbl>
              <c:idx val="2"/>
              <c:delete val="1"/>
              <c:extLst>
                <c:ext xmlns:c15="http://schemas.microsoft.com/office/drawing/2012/chart" uri="{CE6537A1-D6FC-4f65-9D91-7224C49458BB}"/>
                <c:ext xmlns:c16="http://schemas.microsoft.com/office/drawing/2014/chart" uri="{C3380CC4-5D6E-409C-BE32-E72D297353CC}">
                  <c16:uniqueId val="{00000005-CF10-43F5-95BC-096AA62F0526}"/>
                </c:ext>
              </c:extLst>
            </c:dLbl>
            <c:dLbl>
              <c:idx val="3"/>
              <c:delete val="1"/>
              <c:extLst>
                <c:ext xmlns:c15="http://schemas.microsoft.com/office/drawing/2012/chart" uri="{CE6537A1-D6FC-4f65-9D91-7224C49458BB}"/>
                <c:ext xmlns:c16="http://schemas.microsoft.com/office/drawing/2014/chart" uri="{C3380CC4-5D6E-409C-BE32-E72D297353CC}">
                  <c16:uniqueId val="{00000006-CF10-43F5-95BC-096AA62F0526}"/>
                </c:ext>
              </c:extLst>
            </c:dLbl>
            <c:dLbl>
              <c:idx val="4"/>
              <c:delete val="1"/>
              <c:extLst>
                <c:ext xmlns:c15="http://schemas.microsoft.com/office/drawing/2012/chart" uri="{CE6537A1-D6FC-4f65-9D91-7224C49458BB}"/>
                <c:ext xmlns:c16="http://schemas.microsoft.com/office/drawing/2014/chart" uri="{C3380CC4-5D6E-409C-BE32-E72D297353CC}">
                  <c16:uniqueId val="{00000007-CF10-43F5-95BC-096AA62F0526}"/>
                </c:ext>
              </c:extLst>
            </c:dLbl>
            <c:dLbl>
              <c:idx val="5"/>
              <c:delete val="1"/>
              <c:extLst>
                <c:ext xmlns:c15="http://schemas.microsoft.com/office/drawing/2012/chart" uri="{CE6537A1-D6FC-4f65-9D91-7224C49458BB}"/>
                <c:ext xmlns:c16="http://schemas.microsoft.com/office/drawing/2014/chart" uri="{C3380CC4-5D6E-409C-BE32-E72D297353CC}">
                  <c16:uniqueId val="{00000008-CF10-43F5-95BC-096AA62F0526}"/>
                </c:ext>
              </c:extLst>
            </c:dLbl>
            <c:dLbl>
              <c:idx val="6"/>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294849023090586E-2"/>
                      <c:h val="0.10251119140611402"/>
                    </c:manualLayout>
                  </c15:layout>
                </c:ext>
                <c:ext xmlns:c16="http://schemas.microsoft.com/office/drawing/2014/chart" uri="{C3380CC4-5D6E-409C-BE32-E72D297353CC}">
                  <c16:uniqueId val="{00000009-CF10-43F5-95BC-096AA62F05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Sheet1!$N$5:$T$5</c:f>
              <c:strCache>
                <c:ptCount val="7"/>
                <c:pt idx="0">
                  <c:v>Prishtinë</c:v>
                </c:pt>
                <c:pt idx="1">
                  <c:v>Mitrovicë</c:v>
                </c:pt>
                <c:pt idx="2">
                  <c:v>Pejë</c:v>
                </c:pt>
                <c:pt idx="3">
                  <c:v>Prizren</c:v>
                </c:pt>
                <c:pt idx="4">
                  <c:v>Ferizaj</c:v>
                </c:pt>
                <c:pt idx="5">
                  <c:v>Gjilan</c:v>
                </c:pt>
                <c:pt idx="6">
                  <c:v>Gjakovë</c:v>
                </c:pt>
              </c:strCache>
            </c:strRef>
          </c:cat>
          <c:val>
            <c:numRef>
              <c:f>Sheet1!$N$9:$T$9</c:f>
              <c:numCache>
                <c:formatCode>#,##0</c:formatCode>
                <c:ptCount val="7"/>
                <c:pt idx="0">
                  <c:v>4486</c:v>
                </c:pt>
                <c:pt idx="1">
                  <c:v>4486</c:v>
                </c:pt>
                <c:pt idx="2">
                  <c:v>4486</c:v>
                </c:pt>
                <c:pt idx="3">
                  <c:v>4486</c:v>
                </c:pt>
                <c:pt idx="4">
                  <c:v>4486</c:v>
                </c:pt>
                <c:pt idx="5">
                  <c:v>4486</c:v>
                </c:pt>
                <c:pt idx="6">
                  <c:v>4486</c:v>
                </c:pt>
              </c:numCache>
            </c:numRef>
          </c:val>
          <c:smooth val="0"/>
          <c:extLst>
            <c:ext xmlns:c16="http://schemas.microsoft.com/office/drawing/2014/chart" uri="{C3380CC4-5D6E-409C-BE32-E72D297353CC}">
              <c16:uniqueId val="{0000000A-CF10-43F5-95BC-096AA62F0526}"/>
            </c:ext>
          </c:extLst>
        </c:ser>
        <c:dLbls>
          <c:showLegendKey val="0"/>
          <c:showVal val="0"/>
          <c:showCatName val="0"/>
          <c:showSerName val="0"/>
          <c:showPercent val="0"/>
          <c:showBubbleSize val="0"/>
        </c:dLbls>
        <c:marker val="1"/>
        <c:smooth val="0"/>
        <c:axId val="1841380544"/>
        <c:axId val="1841379584"/>
      </c:lineChart>
      <c:catAx>
        <c:axId val="184138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1379584"/>
        <c:crosses val="autoZero"/>
        <c:auto val="1"/>
        <c:lblAlgn val="ctr"/>
        <c:lblOffset val="100"/>
        <c:noMultiLvlLbl val="0"/>
      </c:catAx>
      <c:valAx>
        <c:axId val="1841379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1380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88E-48EC-AC13-084D549A3D7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88E-48EC-AC13-084D549A3D7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888E-48EC-AC13-084D549A3D7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888E-48EC-AC13-084D549A3D7B}"/>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888E-48EC-AC13-084D549A3D7B}"/>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888E-48EC-AC13-084D549A3D7B}"/>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888E-48EC-AC13-084D549A3D7B}"/>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888E-48EC-AC13-084D549A3D7B}"/>
              </c:ext>
            </c:extLst>
          </c:dPt>
          <c:dLbls>
            <c:dLbl>
              <c:idx val="0"/>
              <c:tx>
                <c:rich>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r>
                      <a:rPr lang="en-US" baseline="0"/>
                      <a:t>Bujqësia
</a:t>
                    </a:r>
                    <a:fld id="{28EAE593-87ED-49AA-B545-25D93B1AF92A}" type="PERCENTAGE">
                      <a:rPr lang="en-US" baseline="0"/>
                      <a:pPr>
                        <a:defRPr sz="800"/>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88E-48EC-AC13-084D549A3D7B}"/>
                </c:ext>
              </c:extLst>
            </c:dLbl>
            <c:dLbl>
              <c:idx val="1"/>
              <c:tx>
                <c:rich>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r>
                      <a:rPr lang="en-US" baseline="0"/>
                      <a:t>Minierat, prodhimtaria
</a:t>
                    </a:r>
                    <a:fld id="{3B62A4D3-67DA-4FEF-A037-2D958A643594}" type="PERCENTAGE">
                      <a:rPr lang="en-US" baseline="0"/>
                      <a:pPr>
                        <a:defRPr sz="800">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88E-48EC-AC13-084D549A3D7B}"/>
                </c:ext>
              </c:extLst>
            </c:dLbl>
            <c:dLbl>
              <c:idx val="2"/>
              <c:tx>
                <c:rich>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r>
                      <a:rPr lang="en-US" baseline="0"/>
                      <a:t>Ndërtimtaria
</a:t>
                    </a:r>
                    <a:fld id="{364F4EC2-ED66-410D-AF68-335748559BEB}" type="PERCENTAGE">
                      <a:rPr lang="en-US" baseline="0"/>
                      <a:pPr>
                        <a:defRPr sz="800">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88E-48EC-AC13-084D549A3D7B}"/>
                </c:ext>
              </c:extLst>
            </c:dLbl>
            <c:dLbl>
              <c:idx val="3"/>
              <c:tx>
                <c:rich>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r>
                      <a:rPr lang="en-US" baseline="0"/>
                      <a:t>Tregtia dhe riparimi
</a:t>
                    </a:r>
                    <a:fld id="{056FD8A7-317C-4041-8559-D42C38DB3696}" type="PERCENTAGE">
                      <a:rPr lang="en-US" baseline="0"/>
                      <a:pPr>
                        <a:defRPr sz="800">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88E-48EC-AC13-084D549A3D7B}"/>
                </c:ext>
              </c:extLst>
            </c:dLbl>
            <c:dLbl>
              <c:idx val="4"/>
              <c:tx>
                <c:rich>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r>
                      <a:rPr lang="en-US"/>
                      <a:t>Financa</a:t>
                    </a:r>
                    <a:r>
                      <a:rPr lang="en-US" baseline="0"/>
                      <a:t>
</a:t>
                    </a:r>
                    <a:fld id="{739F7ABA-2F52-4427-83C2-B029B081477B}" type="PERCENTAGE">
                      <a:rPr lang="en-US" baseline="0"/>
                      <a:pPr>
                        <a:defRPr sz="800">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88E-48EC-AC13-084D549A3D7B}"/>
                </c:ext>
              </c:extLst>
            </c:dLbl>
            <c:dLbl>
              <c:idx val="5"/>
              <c:tx>
                <c:rich>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r>
                      <a:rPr lang="en-US" baseline="0"/>
                      <a:t>Patundshmëria
</a:t>
                    </a:r>
                    <a:fld id="{DC4E0785-E1DF-4053-80DA-4A91E9854861}" type="PERCENTAGE">
                      <a:rPr lang="en-US" baseline="0"/>
                      <a:pPr>
                        <a:defRPr sz="800">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888E-48EC-AC13-084D549A3D7B}"/>
                </c:ext>
              </c:extLst>
            </c:dLbl>
            <c:dLbl>
              <c:idx val="6"/>
              <c:tx>
                <c:rich>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r>
                      <a:rPr lang="en-US"/>
                      <a:t>Administrata publike dhe mbrojtja</a:t>
                    </a:r>
                    <a:r>
                      <a:rPr lang="en-US" baseline="0"/>
                      <a:t>
</a:t>
                    </a:r>
                    <a:fld id="{EC3C1CCA-04E1-40DA-B63E-DC4258885F3F}" type="PERCENTAGE">
                      <a:rPr lang="en-US" baseline="0"/>
                      <a:pPr>
                        <a:defRPr sz="800">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888E-48EC-AC13-084D549A3D7B}"/>
                </c:ext>
              </c:extLst>
            </c:dLbl>
            <c:dLbl>
              <c:idx val="7"/>
              <c:tx>
                <c:rich>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r>
                      <a:rPr lang="en-US" baseline="0"/>
                      <a:t>Arti dhe komunikimi
</a:t>
                    </a:r>
                    <a:fld id="{8934BBDA-F2AE-4DF6-AED5-D1485B16E8F2}" type="PERCENTAGE">
                      <a:rPr lang="en-US" baseline="0"/>
                      <a:pPr>
                        <a:defRPr sz="800">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888E-48EC-AC13-084D549A3D7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Sheet1!$M$38:$M$45</c:f>
              <c:strCache>
                <c:ptCount val="8"/>
                <c:pt idx="0">
                  <c:v>Agriculture</c:v>
                </c:pt>
                <c:pt idx="1">
                  <c:v>Mining, Manufacturing</c:v>
                </c:pt>
                <c:pt idx="2">
                  <c:v>Construction</c:v>
                </c:pt>
                <c:pt idx="3">
                  <c:v>Trade and repair</c:v>
                </c:pt>
                <c:pt idx="4">
                  <c:v>Finance</c:v>
                </c:pt>
                <c:pt idx="5">
                  <c:v>Real estate </c:v>
                </c:pt>
                <c:pt idx="6">
                  <c:v>Public administration and defence</c:v>
                </c:pt>
                <c:pt idx="7">
                  <c:v>Art,communications</c:v>
                </c:pt>
              </c:strCache>
            </c:strRef>
          </c:cat>
          <c:val>
            <c:numRef>
              <c:f>Sheet1!$N$38:$N$45</c:f>
              <c:numCache>
                <c:formatCode>#,##0</c:formatCode>
                <c:ptCount val="8"/>
                <c:pt idx="0">
                  <c:v>66036</c:v>
                </c:pt>
                <c:pt idx="1">
                  <c:v>141089</c:v>
                </c:pt>
                <c:pt idx="2" formatCode="General">
                  <c:v>34920</c:v>
                </c:pt>
                <c:pt idx="3">
                  <c:v>110663</c:v>
                </c:pt>
                <c:pt idx="4">
                  <c:v>16114</c:v>
                </c:pt>
                <c:pt idx="5">
                  <c:v>58698</c:v>
                </c:pt>
                <c:pt idx="6">
                  <c:v>102656</c:v>
                </c:pt>
                <c:pt idx="7">
                  <c:v>9694</c:v>
                </c:pt>
              </c:numCache>
            </c:numRef>
          </c:val>
          <c:extLst>
            <c:ext xmlns:c16="http://schemas.microsoft.com/office/drawing/2014/chart" uri="{C3380CC4-5D6E-409C-BE32-E72D297353CC}">
              <c16:uniqueId val="{00000010-888E-48EC-AC13-084D549A3D7B}"/>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a:t>Proporcioni i punësimit me popullsinë (%)</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Sheet1!$B$86</c:f>
              <c:strCache>
                <c:ptCount val="1"/>
                <c:pt idx="0">
                  <c:v>Employment-to-population ratio (%)</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Sheet1!$C$85:$H$85</c:f>
              <c:strCache>
                <c:ptCount val="6"/>
                <c:pt idx="0">
                  <c:v>2018</c:v>
                </c:pt>
                <c:pt idx="1">
                  <c:v>2019</c:v>
                </c:pt>
                <c:pt idx="2">
                  <c:v>2020</c:v>
                </c:pt>
                <c:pt idx="3">
                  <c:v>2021</c:v>
                </c:pt>
                <c:pt idx="4">
                  <c:v>2022</c:v>
                </c:pt>
                <c:pt idx="5">
                  <c:v>2023</c:v>
                </c:pt>
              </c:strCache>
            </c:strRef>
          </c:cat>
          <c:val>
            <c:numRef>
              <c:f>Sheet1!$C$86:$H$86</c:f>
              <c:numCache>
                <c:formatCode>0.0</c:formatCode>
                <c:ptCount val="6"/>
                <c:pt idx="0">
                  <c:v>28.8</c:v>
                </c:pt>
                <c:pt idx="1">
                  <c:v>30.1</c:v>
                </c:pt>
                <c:pt idx="2">
                  <c:v>28.4</c:v>
                </c:pt>
                <c:pt idx="3">
                  <c:v>31.1</c:v>
                </c:pt>
                <c:pt idx="4">
                  <c:v>33.799999999999997</c:v>
                </c:pt>
                <c:pt idx="5">
                  <c:v>36.299999999999997</c:v>
                </c:pt>
              </c:numCache>
            </c:numRef>
          </c:val>
          <c:extLst>
            <c:ext xmlns:c16="http://schemas.microsoft.com/office/drawing/2014/chart" uri="{C3380CC4-5D6E-409C-BE32-E72D297353CC}">
              <c16:uniqueId val="{00000000-5BD7-4831-8F1C-9C8390471FC8}"/>
            </c:ext>
          </c:extLst>
        </c:ser>
        <c:dLbls>
          <c:showLegendKey val="0"/>
          <c:showVal val="0"/>
          <c:showCatName val="0"/>
          <c:showSerName val="0"/>
          <c:showPercent val="0"/>
          <c:showBubbleSize val="0"/>
        </c:dLbls>
        <c:gapWidth val="219"/>
        <c:overlap val="-27"/>
        <c:axId val="877112208"/>
        <c:axId val="877115088"/>
      </c:barChart>
      <c:catAx>
        <c:axId val="87711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7115088"/>
        <c:crosses val="autoZero"/>
        <c:auto val="1"/>
        <c:lblAlgn val="ctr"/>
        <c:lblOffset val="100"/>
        <c:noMultiLvlLbl val="0"/>
      </c:catAx>
      <c:valAx>
        <c:axId val="877115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7112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a:t>Shkalla</a:t>
            </a:r>
            <a:r>
              <a:rPr lang="en-US" baseline="0"/>
              <a:t> e papunësisë</a:t>
            </a:r>
            <a:r>
              <a:rPr lang="en-US"/>
              <a:t> (%)</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Sheet1!$B$96</c:f>
              <c:strCache>
                <c:ptCount val="1"/>
                <c:pt idx="0">
                  <c:v>Unemployment rate (%)</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Sheet1!$C$95:$H$95</c:f>
              <c:strCache>
                <c:ptCount val="6"/>
                <c:pt idx="0">
                  <c:v>2018</c:v>
                </c:pt>
                <c:pt idx="1">
                  <c:v>2019</c:v>
                </c:pt>
                <c:pt idx="2">
                  <c:v>2020</c:v>
                </c:pt>
                <c:pt idx="3">
                  <c:v>2021</c:v>
                </c:pt>
                <c:pt idx="4">
                  <c:v>2022</c:v>
                </c:pt>
                <c:pt idx="5">
                  <c:v>2023</c:v>
                </c:pt>
              </c:strCache>
            </c:strRef>
          </c:cat>
          <c:val>
            <c:numRef>
              <c:f>Sheet1!$C$96:$H$96</c:f>
              <c:numCache>
                <c:formatCode>0.0</c:formatCode>
                <c:ptCount val="6"/>
                <c:pt idx="0">
                  <c:v>29.6</c:v>
                </c:pt>
                <c:pt idx="1">
                  <c:v>25.7</c:v>
                </c:pt>
                <c:pt idx="2">
                  <c:v>25.9</c:v>
                </c:pt>
                <c:pt idx="3">
                  <c:v>20.7</c:v>
                </c:pt>
                <c:pt idx="4">
                  <c:v>12.6</c:v>
                </c:pt>
                <c:pt idx="5">
                  <c:v>10.9</c:v>
                </c:pt>
              </c:numCache>
            </c:numRef>
          </c:val>
          <c:extLst>
            <c:ext xmlns:c16="http://schemas.microsoft.com/office/drawing/2014/chart" uri="{C3380CC4-5D6E-409C-BE32-E72D297353CC}">
              <c16:uniqueId val="{00000000-E5E7-47FA-8677-25C050953E21}"/>
            </c:ext>
          </c:extLst>
        </c:ser>
        <c:dLbls>
          <c:showLegendKey val="0"/>
          <c:showVal val="0"/>
          <c:showCatName val="0"/>
          <c:showSerName val="0"/>
          <c:showPercent val="0"/>
          <c:showBubbleSize val="0"/>
        </c:dLbls>
        <c:gapWidth val="219"/>
        <c:overlap val="-27"/>
        <c:axId val="882505248"/>
        <c:axId val="882507648"/>
      </c:barChart>
      <c:catAx>
        <c:axId val="88250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2507648"/>
        <c:crosses val="autoZero"/>
        <c:auto val="1"/>
        <c:lblAlgn val="ctr"/>
        <c:lblOffset val="100"/>
        <c:noMultiLvlLbl val="0"/>
      </c:catAx>
      <c:valAx>
        <c:axId val="8825076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2505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6BEDFB-3989-4C35-8E9B-6D6FAA1BA9B9}"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en-US"/>
        </a:p>
      </dgm:t>
    </dgm:pt>
    <dgm:pt modelId="{C26EB83B-A53F-43A0-86C1-BB0F4C259683}">
      <dgm:prSet phldrT="[Text]" custT="1"/>
      <dgm:spPr>
        <a:xfrm>
          <a:off x="2838109" y="433048"/>
          <a:ext cx="2721038" cy="37260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sz="850" b="1">
              <a:solidFill>
                <a:sysClr val="windowText" lastClr="000000">
                  <a:hueOff val="0"/>
                  <a:satOff val="0"/>
                  <a:lumOff val="0"/>
                  <a:alphaOff val="0"/>
                </a:sysClr>
              </a:solidFill>
              <a:latin typeface="Calibri" panose="020F0502020204030204"/>
              <a:ea typeface="+mn-ea"/>
              <a:cs typeface="+mn-cs"/>
            </a:rPr>
            <a:t>Kuvendi i Kosovës (zhvillon dhe miraton ligjet)</a:t>
          </a:r>
          <a:endParaRPr lang="en-US" sz="850">
            <a:solidFill>
              <a:sysClr val="windowText" lastClr="000000">
                <a:hueOff val="0"/>
                <a:satOff val="0"/>
                <a:lumOff val="0"/>
                <a:alphaOff val="0"/>
              </a:sysClr>
            </a:solidFill>
            <a:latin typeface="Calibri" panose="020F0502020204030204"/>
            <a:ea typeface="+mn-ea"/>
            <a:cs typeface="+mn-cs"/>
          </a:endParaRPr>
        </a:p>
      </dgm:t>
    </dgm:pt>
    <dgm:pt modelId="{2849DA6D-5EC5-44D5-8821-7C46B7DB9831}" type="parTrans" cxnId="{C753A3A2-4875-44F0-9A71-756980682747}">
      <dgm:prSet/>
      <dgm:spPr/>
      <dgm:t>
        <a:bodyPr/>
        <a:lstStyle/>
        <a:p>
          <a:endParaRPr lang="en-US" sz="850"/>
        </a:p>
      </dgm:t>
    </dgm:pt>
    <dgm:pt modelId="{CF6B5F57-DD29-4DAB-A6AF-C87E9D647F8C}" type="sibTrans" cxnId="{C753A3A2-4875-44F0-9A71-756980682747}">
      <dgm:prSet/>
      <dgm:spPr/>
      <dgm:t>
        <a:bodyPr/>
        <a:lstStyle/>
        <a:p>
          <a:endParaRPr lang="en-US" sz="850"/>
        </a:p>
      </dgm:t>
    </dgm:pt>
    <dgm:pt modelId="{55902C67-4955-436E-87D8-A7753EF5F818}">
      <dgm:prSet phldrT="[Text]" custT="1"/>
      <dgm:spPr>
        <a:xfrm>
          <a:off x="3303024" y="1095432"/>
          <a:ext cx="1782699" cy="372605"/>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None/>
          </a:pPr>
          <a:r>
            <a:rPr lang="en-US" sz="850" b="1">
              <a:solidFill>
                <a:sysClr val="windowText" lastClr="000000">
                  <a:hueOff val="0"/>
                  <a:satOff val="0"/>
                  <a:lumOff val="0"/>
                  <a:alphaOff val="0"/>
                </a:sysClr>
              </a:solidFill>
              <a:latin typeface="Calibri" panose="020F0502020204030204"/>
              <a:ea typeface="+mn-ea"/>
              <a:cs typeface="+mn-cs"/>
            </a:rPr>
            <a:t>Qeveria e Kosovës</a:t>
          </a:r>
        </a:p>
      </dgm:t>
    </dgm:pt>
    <dgm:pt modelId="{0B23D312-C4D3-4A59-A16D-52E19C1D0300}" type="parTrans" cxnId="{56284CA4-D12A-448E-8D61-A60365B3F9E1}">
      <dgm:prSet/>
      <dgm:spPr>
        <a:xfrm>
          <a:off x="4083456" y="743716"/>
          <a:ext cx="91440" cy="289777"/>
        </a:xfrm>
        <a:custGeom>
          <a:avLst/>
          <a:gdLst/>
          <a:ahLst/>
          <a:cxnLst/>
          <a:rect l="0" t="0" r="0" b="0"/>
          <a:pathLst>
            <a:path>
              <a:moveTo>
                <a:pt x="49974" y="0"/>
              </a:moveTo>
              <a:lnTo>
                <a:pt x="49974" y="235418"/>
              </a:lnTo>
              <a:lnTo>
                <a:pt x="45720" y="235418"/>
              </a:lnTo>
              <a:lnTo>
                <a:pt x="45720" y="289777"/>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en-US" sz="850"/>
        </a:p>
      </dgm:t>
    </dgm:pt>
    <dgm:pt modelId="{5080FD38-9CCD-49FA-AF6B-43DFF89746C1}" type="sibTrans" cxnId="{56284CA4-D12A-448E-8D61-A60365B3F9E1}">
      <dgm:prSet/>
      <dgm:spPr/>
      <dgm:t>
        <a:bodyPr/>
        <a:lstStyle/>
        <a:p>
          <a:endParaRPr lang="en-US" sz="850"/>
        </a:p>
      </dgm:t>
    </dgm:pt>
    <dgm:pt modelId="{A62661C6-2BD1-46A1-AD6F-706F9F2FD0FE}">
      <dgm:prSet phldrT="[Text]" custT="1"/>
      <dgm:spPr>
        <a:xfrm>
          <a:off x="172645" y="1991804"/>
          <a:ext cx="1815511" cy="495938"/>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en-US" sz="850" b="1">
              <a:solidFill>
                <a:sysClr val="windowText" lastClr="000000">
                  <a:hueOff val="0"/>
                  <a:satOff val="0"/>
                  <a:lumOff val="0"/>
                  <a:alphaOff val="0"/>
                </a:sysClr>
              </a:solidFill>
              <a:latin typeface="Calibri" panose="020F0502020204030204"/>
              <a:ea typeface="+mn-ea"/>
              <a:cs typeface="+mn-cs"/>
            </a:rPr>
            <a:t>Ministria e Mjedisit, Planifikimit Hap</a:t>
          </a:r>
          <a:r>
            <a:rPr lang="sq-AL" sz="850" b="1">
              <a:solidFill>
                <a:sysClr val="windowText" lastClr="000000">
                  <a:hueOff val="0"/>
                  <a:satOff val="0"/>
                  <a:lumOff val="0"/>
                  <a:alphaOff val="0"/>
                </a:sysClr>
              </a:solidFill>
              <a:latin typeface="Calibri" panose="020F0502020204030204"/>
              <a:ea typeface="+mn-ea"/>
              <a:cs typeface="+mn-cs"/>
            </a:rPr>
            <a:t>ësinor dhe Infrastrukturës</a:t>
          </a:r>
          <a:br>
            <a:rPr lang="en-US" sz="850">
              <a:solidFill>
                <a:sysClr val="windowText" lastClr="000000">
                  <a:hueOff val="0"/>
                  <a:satOff val="0"/>
                  <a:lumOff val="0"/>
                  <a:alphaOff val="0"/>
                </a:sysClr>
              </a:solidFill>
              <a:latin typeface="Calibri" panose="020F0502020204030204"/>
              <a:ea typeface="+mn-ea"/>
              <a:cs typeface="+mn-cs"/>
            </a:rPr>
          </a:br>
          <a:r>
            <a:rPr lang="en-US" sz="850">
              <a:solidFill>
                <a:sysClr val="windowText" lastClr="000000">
                  <a:hueOff val="0"/>
                  <a:satOff val="0"/>
                  <a:lumOff val="0"/>
                  <a:alphaOff val="0"/>
                </a:sysClr>
              </a:solidFill>
              <a:latin typeface="Calibri" panose="020F0502020204030204"/>
              <a:ea typeface="+mn-ea"/>
              <a:cs typeface="+mn-cs"/>
            </a:rPr>
            <a:t>(</a:t>
          </a:r>
          <a:r>
            <a:rPr lang="sq-AL" sz="850">
              <a:solidFill>
                <a:sysClr val="windowText" lastClr="000000">
                  <a:hueOff val="0"/>
                  <a:satOff val="0"/>
                  <a:lumOff val="0"/>
                  <a:alphaOff val="0"/>
                </a:sysClr>
              </a:solidFill>
              <a:latin typeface="Calibri" panose="020F0502020204030204"/>
              <a:ea typeface="+mn-ea"/>
              <a:cs typeface="+mn-cs"/>
            </a:rPr>
            <a:t>Hartimi i strategjive, planeve dhe legjislacionit</a:t>
          </a:r>
          <a:r>
            <a:rPr lang="en-US" sz="850">
              <a:solidFill>
                <a:sysClr val="windowText" lastClr="000000">
                  <a:hueOff val="0"/>
                  <a:satOff val="0"/>
                  <a:lumOff val="0"/>
                  <a:alphaOff val="0"/>
                </a:sysClr>
              </a:solidFill>
              <a:latin typeface="Calibri" panose="020F0502020204030204"/>
              <a:ea typeface="+mn-ea"/>
              <a:cs typeface="+mn-cs"/>
            </a:rPr>
            <a:t>)</a:t>
          </a:r>
        </a:p>
      </dgm:t>
    </dgm:pt>
    <dgm:pt modelId="{FECC031F-A5FB-46CE-A037-9D222C08BE2D}" type="parTrans" cxnId="{93383CE2-BDC1-4F81-AC9D-B7976C81E39C}">
      <dgm:prSet/>
      <dgm:spPr>
        <a:xfrm>
          <a:off x="1015203" y="1406100"/>
          <a:ext cx="3113972" cy="523766"/>
        </a:xfrm>
        <a:custGeom>
          <a:avLst/>
          <a:gdLst/>
          <a:ahLst/>
          <a:cxnLst/>
          <a:rect l="0" t="0" r="0" b="0"/>
          <a:pathLst>
            <a:path>
              <a:moveTo>
                <a:pt x="3113972" y="0"/>
              </a:moveTo>
              <a:lnTo>
                <a:pt x="3113972" y="469407"/>
              </a:lnTo>
              <a:lnTo>
                <a:pt x="0" y="469407"/>
              </a:lnTo>
              <a:lnTo>
                <a:pt x="0" y="523766"/>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sz="850"/>
        </a:p>
      </dgm:t>
    </dgm:pt>
    <dgm:pt modelId="{E44DE6B2-F469-4E17-8D90-A25EE9909EB3}" type="sibTrans" cxnId="{93383CE2-BDC1-4F81-AC9D-B7976C81E39C}">
      <dgm:prSet/>
      <dgm:spPr/>
      <dgm:t>
        <a:bodyPr/>
        <a:lstStyle/>
        <a:p>
          <a:endParaRPr lang="en-US" sz="850"/>
        </a:p>
      </dgm:t>
    </dgm:pt>
    <dgm:pt modelId="{9565148D-AD81-4A5A-AE6A-BEE754336771}">
      <dgm:prSet phldrT="[Text]" custT="1"/>
      <dgm:spPr>
        <a:xfrm>
          <a:off x="2140813" y="1991804"/>
          <a:ext cx="1105413" cy="495938"/>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sq-AL" sz="850" b="1">
              <a:solidFill>
                <a:sysClr val="windowText" lastClr="000000">
                  <a:hueOff val="0"/>
                  <a:satOff val="0"/>
                  <a:lumOff val="0"/>
                  <a:alphaOff val="0"/>
                </a:sysClr>
              </a:solidFill>
              <a:latin typeface="Calibri" panose="020F0502020204030204"/>
              <a:ea typeface="+mn-ea"/>
              <a:cs typeface="+mn-cs"/>
            </a:rPr>
            <a:t>Ministria e Ekonomisë</a:t>
          </a:r>
          <a:br>
            <a:rPr lang="en-US" sz="850">
              <a:solidFill>
                <a:sysClr val="windowText" lastClr="000000">
                  <a:hueOff val="0"/>
                  <a:satOff val="0"/>
                  <a:lumOff val="0"/>
                  <a:alphaOff val="0"/>
                </a:sysClr>
              </a:solidFill>
              <a:latin typeface="Calibri" panose="020F0502020204030204"/>
              <a:ea typeface="+mn-ea"/>
              <a:cs typeface="+mn-cs"/>
            </a:rPr>
          </a:br>
          <a:r>
            <a:rPr lang="en-US" sz="850">
              <a:solidFill>
                <a:sysClr val="windowText" lastClr="000000">
                  <a:hueOff val="0"/>
                  <a:satOff val="0"/>
                  <a:lumOff val="0"/>
                  <a:alphaOff val="0"/>
                </a:sysClr>
              </a:solidFill>
              <a:latin typeface="Calibri" panose="020F0502020204030204"/>
              <a:ea typeface="+mn-ea"/>
              <a:cs typeface="+mn-cs"/>
            </a:rPr>
            <a:t>(</a:t>
          </a:r>
          <a:r>
            <a:rPr lang="sq-AL" sz="850">
              <a:solidFill>
                <a:sysClr val="windowText" lastClr="000000">
                  <a:hueOff val="0"/>
                  <a:satOff val="0"/>
                  <a:lumOff val="0"/>
                  <a:alphaOff val="0"/>
                </a:sysClr>
              </a:solidFill>
              <a:latin typeface="Calibri" panose="020F0502020204030204"/>
              <a:ea typeface="+mn-ea"/>
              <a:cs typeface="+mn-cs"/>
            </a:rPr>
            <a:t>Miratimi i tarifave të po</a:t>
          </a:r>
          <a:r>
            <a:rPr lang="en-GB" sz="850">
              <a:solidFill>
                <a:sysClr val="windowText" lastClr="000000">
                  <a:hueOff val="0"/>
                  <a:satOff val="0"/>
                  <a:lumOff val="0"/>
                  <a:alphaOff val="0"/>
                </a:sysClr>
              </a:solidFill>
              <a:latin typeface="Calibri" panose="020F0502020204030204"/>
              <a:ea typeface="+mn-ea"/>
              <a:cs typeface="+mn-cs"/>
            </a:rPr>
            <a:t>rtës/hyrjes</a:t>
          </a:r>
          <a:r>
            <a:rPr lang="sq-AL" sz="850">
              <a:solidFill>
                <a:sysClr val="windowText" lastClr="000000">
                  <a:hueOff val="0"/>
                  <a:satOff val="0"/>
                  <a:lumOff val="0"/>
                  <a:alphaOff val="0"/>
                </a:sysClr>
              </a:solidFill>
              <a:latin typeface="Calibri" panose="020F0502020204030204"/>
              <a:ea typeface="+mn-ea"/>
              <a:cs typeface="+mn-cs"/>
            </a:rPr>
            <a:t> </a:t>
          </a:r>
          <a:r>
            <a:rPr lang="en-GB" sz="850">
              <a:solidFill>
                <a:sysClr val="windowText" lastClr="000000">
                  <a:hueOff val="0"/>
                  <a:satOff val="0"/>
                  <a:lumOff val="0"/>
                  <a:alphaOff val="0"/>
                </a:sysClr>
              </a:solidFill>
              <a:latin typeface="Calibri" panose="020F0502020204030204"/>
              <a:ea typeface="+mn-ea"/>
              <a:cs typeface="+mn-cs"/>
            </a:rPr>
            <a:t>n</a:t>
          </a:r>
          <a:r>
            <a:rPr lang="sq-AL" sz="850">
              <a:solidFill>
                <a:sysClr val="windowText" lastClr="000000">
                  <a:hueOff val="0"/>
                  <a:satOff val="0"/>
                  <a:lumOff val="0"/>
                  <a:alphaOff val="0"/>
                </a:sysClr>
              </a:solidFill>
              <a:latin typeface="Calibri" panose="020F0502020204030204"/>
              <a:ea typeface="+mn-ea"/>
              <a:cs typeface="+mn-cs"/>
            </a:rPr>
            <a:t>ë deponi</a:t>
          </a:r>
          <a:r>
            <a:rPr lang="en-US" sz="850">
              <a:solidFill>
                <a:sysClr val="windowText" lastClr="000000">
                  <a:hueOff val="0"/>
                  <a:satOff val="0"/>
                  <a:lumOff val="0"/>
                  <a:alphaOff val="0"/>
                </a:sysClr>
              </a:solidFill>
              <a:latin typeface="Calibri" panose="020F0502020204030204"/>
              <a:ea typeface="+mn-ea"/>
              <a:cs typeface="+mn-cs"/>
            </a:rPr>
            <a:t>)</a:t>
          </a:r>
        </a:p>
      </dgm:t>
    </dgm:pt>
    <dgm:pt modelId="{055CC437-0A34-41C8-81D4-85A79EF09FD2}" type="parTrans" cxnId="{52B6A6D6-9F91-413F-9BDE-5362216B7D03}">
      <dgm:prSet/>
      <dgm:spPr>
        <a:xfrm>
          <a:off x="2628322" y="1406100"/>
          <a:ext cx="1500853" cy="523766"/>
        </a:xfrm>
        <a:custGeom>
          <a:avLst/>
          <a:gdLst/>
          <a:ahLst/>
          <a:cxnLst/>
          <a:rect l="0" t="0" r="0" b="0"/>
          <a:pathLst>
            <a:path>
              <a:moveTo>
                <a:pt x="1500853" y="0"/>
              </a:moveTo>
              <a:lnTo>
                <a:pt x="1500853" y="469407"/>
              </a:lnTo>
              <a:lnTo>
                <a:pt x="0" y="469407"/>
              </a:lnTo>
              <a:lnTo>
                <a:pt x="0" y="523766"/>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sz="850"/>
        </a:p>
      </dgm:t>
    </dgm:pt>
    <dgm:pt modelId="{D7310C64-B73E-4FE3-AB1F-07FC8203A80B}" type="sibTrans" cxnId="{52B6A6D6-9F91-413F-9BDE-5362216B7D03}">
      <dgm:prSet/>
      <dgm:spPr/>
      <dgm:t>
        <a:bodyPr/>
        <a:lstStyle/>
        <a:p>
          <a:endParaRPr lang="en-US" sz="850"/>
        </a:p>
      </dgm:t>
    </dgm:pt>
    <dgm:pt modelId="{10EDCC4E-E718-48B8-859C-6B4351559AD9}">
      <dgm:prSet phldrT="[Text]" custT="1"/>
      <dgm:spPr>
        <a:xfrm>
          <a:off x="3376622" y="1991804"/>
          <a:ext cx="718436" cy="1024140"/>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sq-AL" sz="850" b="1">
              <a:solidFill>
                <a:sysClr val="windowText" lastClr="000000">
                  <a:hueOff val="0"/>
                  <a:satOff val="0"/>
                  <a:lumOff val="0"/>
                  <a:alphaOff val="0"/>
                </a:sysClr>
              </a:solidFill>
              <a:latin typeface="Calibri" panose="020F0502020204030204"/>
              <a:ea typeface="+mn-ea"/>
              <a:cs typeface="+mn-cs"/>
            </a:rPr>
            <a:t>Ministria e Bujqësisë, Pylltarisë dhe Zhvillimit Rural</a:t>
          </a:r>
          <a:br>
            <a:rPr lang="en-US" sz="850">
              <a:solidFill>
                <a:sysClr val="windowText" lastClr="000000">
                  <a:hueOff val="0"/>
                  <a:satOff val="0"/>
                  <a:lumOff val="0"/>
                  <a:alphaOff val="0"/>
                </a:sysClr>
              </a:solidFill>
              <a:latin typeface="Calibri" panose="020F0502020204030204"/>
              <a:ea typeface="+mn-ea"/>
              <a:cs typeface="+mn-cs"/>
            </a:rPr>
          </a:br>
          <a:r>
            <a:rPr lang="en-US" sz="850">
              <a:solidFill>
                <a:sysClr val="windowText" lastClr="000000">
                  <a:hueOff val="0"/>
                  <a:satOff val="0"/>
                  <a:lumOff val="0"/>
                  <a:alphaOff val="0"/>
                </a:sysClr>
              </a:solidFill>
              <a:latin typeface="Calibri" panose="020F0502020204030204"/>
              <a:ea typeface="+mn-ea"/>
              <a:cs typeface="+mn-cs"/>
            </a:rPr>
            <a:t>(</a:t>
          </a:r>
          <a:r>
            <a:rPr lang="sq-AL" sz="850">
              <a:solidFill>
                <a:sysClr val="windowText" lastClr="000000">
                  <a:hueOff val="0"/>
                  <a:satOff val="0"/>
                  <a:lumOff val="0"/>
                  <a:alphaOff val="0"/>
                </a:sysClr>
              </a:solidFill>
              <a:latin typeface="Calibri" panose="020F0502020204030204"/>
              <a:ea typeface="+mn-ea"/>
              <a:cs typeface="+mn-cs"/>
            </a:rPr>
            <a:t>mbeturinat bujqësore</a:t>
          </a:r>
          <a:r>
            <a:rPr lang="en-US" sz="850">
              <a:solidFill>
                <a:sysClr val="windowText" lastClr="000000">
                  <a:hueOff val="0"/>
                  <a:satOff val="0"/>
                  <a:lumOff val="0"/>
                  <a:alphaOff val="0"/>
                </a:sysClr>
              </a:solidFill>
              <a:latin typeface="Calibri" panose="020F0502020204030204"/>
              <a:ea typeface="+mn-ea"/>
              <a:cs typeface="+mn-cs"/>
            </a:rPr>
            <a:t>)</a:t>
          </a:r>
        </a:p>
      </dgm:t>
    </dgm:pt>
    <dgm:pt modelId="{0F53F808-F7D0-4B62-82CD-24FFD4A0BE1B}" type="parTrans" cxnId="{73B0EA53-F9B9-4096-8FE2-4B2CAB43A2F1}">
      <dgm:prSet/>
      <dgm:spPr>
        <a:xfrm>
          <a:off x="3670643" y="1406100"/>
          <a:ext cx="458533" cy="523766"/>
        </a:xfrm>
        <a:custGeom>
          <a:avLst/>
          <a:gdLst/>
          <a:ahLst/>
          <a:cxnLst/>
          <a:rect l="0" t="0" r="0" b="0"/>
          <a:pathLst>
            <a:path>
              <a:moveTo>
                <a:pt x="458533" y="0"/>
              </a:moveTo>
              <a:lnTo>
                <a:pt x="458533" y="469407"/>
              </a:lnTo>
              <a:lnTo>
                <a:pt x="0" y="469407"/>
              </a:lnTo>
              <a:lnTo>
                <a:pt x="0" y="523766"/>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sz="850"/>
        </a:p>
      </dgm:t>
    </dgm:pt>
    <dgm:pt modelId="{3060D261-2C71-4354-B01E-F95E38E2715C}" type="sibTrans" cxnId="{73B0EA53-F9B9-4096-8FE2-4B2CAB43A2F1}">
      <dgm:prSet/>
      <dgm:spPr/>
      <dgm:t>
        <a:bodyPr/>
        <a:lstStyle/>
        <a:p>
          <a:endParaRPr lang="en-US" sz="850"/>
        </a:p>
      </dgm:t>
    </dgm:pt>
    <dgm:pt modelId="{76A09E1B-DE08-4FAC-A0D6-D2B813FD1685}">
      <dgm:prSet phldrT="[Text]" custT="1"/>
      <dgm:spPr>
        <a:xfrm>
          <a:off x="4553281" y="1991804"/>
          <a:ext cx="802622" cy="1063450"/>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sq-AL" sz="850" b="1">
              <a:solidFill>
                <a:sysClr val="windowText" lastClr="000000">
                  <a:hueOff val="0"/>
                  <a:satOff val="0"/>
                  <a:lumOff val="0"/>
                  <a:alphaOff val="0"/>
                </a:sysClr>
              </a:solidFill>
              <a:latin typeface="Calibri" panose="020F0502020204030204"/>
              <a:ea typeface="+mn-ea"/>
              <a:cs typeface="+mn-cs"/>
            </a:rPr>
            <a:t>Ministria e Shëndetësisë</a:t>
          </a:r>
          <a:br>
            <a:rPr lang="en-US" sz="850">
              <a:solidFill>
                <a:sysClr val="windowText" lastClr="000000">
                  <a:hueOff val="0"/>
                  <a:satOff val="0"/>
                  <a:lumOff val="0"/>
                  <a:alphaOff val="0"/>
                </a:sysClr>
              </a:solidFill>
              <a:latin typeface="Calibri" panose="020F0502020204030204"/>
              <a:ea typeface="+mn-ea"/>
              <a:cs typeface="+mn-cs"/>
            </a:rPr>
          </a:br>
          <a:r>
            <a:rPr lang="en-US" sz="850">
              <a:solidFill>
                <a:sysClr val="windowText" lastClr="000000">
                  <a:hueOff val="0"/>
                  <a:satOff val="0"/>
                  <a:lumOff val="0"/>
                  <a:alphaOff val="0"/>
                </a:sysClr>
              </a:solidFill>
              <a:latin typeface="Calibri" panose="020F0502020204030204"/>
              <a:ea typeface="+mn-ea"/>
              <a:cs typeface="+mn-cs"/>
            </a:rPr>
            <a:t>(</a:t>
          </a:r>
          <a:r>
            <a:rPr lang="sq-AL" sz="850">
              <a:solidFill>
                <a:sysClr val="windowText" lastClr="000000">
                  <a:hueOff val="0"/>
                  <a:satOff val="0"/>
                  <a:lumOff val="0"/>
                  <a:alphaOff val="0"/>
                </a:sysClr>
              </a:solidFill>
              <a:latin typeface="Calibri" panose="020F0502020204030204"/>
              <a:ea typeface="+mn-ea"/>
              <a:cs typeface="+mn-cs"/>
            </a:rPr>
            <a:t>Mbet</a:t>
          </a:r>
          <a:r>
            <a:rPr lang="en-GB" sz="850">
              <a:solidFill>
                <a:sysClr val="windowText" lastClr="000000">
                  <a:hueOff val="0"/>
                  <a:satOff val="0"/>
                  <a:lumOff val="0"/>
                  <a:alphaOff val="0"/>
                </a:sysClr>
              </a:solidFill>
              <a:latin typeface="Calibri" panose="020F0502020204030204"/>
              <a:ea typeface="+mn-ea"/>
              <a:cs typeface="+mn-cs"/>
            </a:rPr>
            <a:t>urinat</a:t>
          </a:r>
          <a:r>
            <a:rPr lang="sq-AL" sz="850">
              <a:solidFill>
                <a:sysClr val="windowText" lastClr="000000">
                  <a:hueOff val="0"/>
                  <a:satOff val="0"/>
                  <a:lumOff val="0"/>
                  <a:alphaOff val="0"/>
                </a:sysClr>
              </a:solidFill>
              <a:latin typeface="Calibri" panose="020F0502020204030204"/>
              <a:ea typeface="+mn-ea"/>
              <a:cs typeface="+mn-cs"/>
            </a:rPr>
            <a:t> </a:t>
          </a:r>
          <a:r>
            <a:rPr lang="en-GB" sz="850">
              <a:solidFill>
                <a:sysClr val="windowText" lastClr="000000">
                  <a:hueOff val="0"/>
                  <a:satOff val="0"/>
                  <a:lumOff val="0"/>
                  <a:alphaOff val="0"/>
                </a:sysClr>
              </a:solidFill>
              <a:latin typeface="Calibri" panose="020F0502020204030204"/>
              <a:ea typeface="+mn-ea"/>
              <a:cs typeface="+mn-cs"/>
            </a:rPr>
            <a:t>medicinale</a:t>
          </a:r>
          <a:r>
            <a:rPr lang="en-US" sz="850">
              <a:solidFill>
                <a:sysClr val="windowText" lastClr="000000">
                  <a:hueOff val="0"/>
                  <a:satOff val="0"/>
                  <a:lumOff val="0"/>
                  <a:alphaOff val="0"/>
                </a:sysClr>
              </a:solidFill>
              <a:latin typeface="Calibri" panose="020F0502020204030204"/>
              <a:ea typeface="+mn-ea"/>
              <a:cs typeface="+mn-cs"/>
            </a:rPr>
            <a:t>)</a:t>
          </a:r>
        </a:p>
      </dgm:t>
    </dgm:pt>
    <dgm:pt modelId="{C20BA307-7B99-4728-B3B0-2368CDB1C30B}" type="parTrans" cxnId="{83AD70C3-81C6-476C-BAC2-52956D4A469F}">
      <dgm:prSet/>
      <dgm:spPr>
        <a:xfrm>
          <a:off x="4129176" y="1406100"/>
          <a:ext cx="760218" cy="523766"/>
        </a:xfrm>
        <a:custGeom>
          <a:avLst/>
          <a:gdLst/>
          <a:ahLst/>
          <a:cxnLst/>
          <a:rect l="0" t="0" r="0" b="0"/>
          <a:pathLst>
            <a:path>
              <a:moveTo>
                <a:pt x="0" y="0"/>
              </a:moveTo>
              <a:lnTo>
                <a:pt x="0" y="469407"/>
              </a:lnTo>
              <a:lnTo>
                <a:pt x="760218" y="469407"/>
              </a:lnTo>
              <a:lnTo>
                <a:pt x="760218" y="523766"/>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sz="850"/>
        </a:p>
      </dgm:t>
    </dgm:pt>
    <dgm:pt modelId="{D04EC49E-EF7B-443B-A53B-059EC396E2EE}" type="sibTrans" cxnId="{83AD70C3-81C6-476C-BAC2-52956D4A469F}">
      <dgm:prSet/>
      <dgm:spPr/>
      <dgm:t>
        <a:bodyPr/>
        <a:lstStyle/>
        <a:p>
          <a:endParaRPr lang="en-US" sz="850"/>
        </a:p>
      </dgm:t>
    </dgm:pt>
    <dgm:pt modelId="{3202C7F1-87E6-4528-B955-182D7CD12F09}">
      <dgm:prSet phldrT="[Text]" custT="1"/>
      <dgm:spPr>
        <a:xfrm>
          <a:off x="5486299" y="1991804"/>
          <a:ext cx="586780" cy="1073324"/>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sq-AL" sz="850" b="1">
              <a:solidFill>
                <a:sysClr val="windowText" lastClr="000000">
                  <a:hueOff val="0"/>
                  <a:satOff val="0"/>
                  <a:lumOff val="0"/>
                  <a:alphaOff val="0"/>
                </a:sysClr>
              </a:solidFill>
              <a:latin typeface="Calibri" panose="020F0502020204030204"/>
              <a:ea typeface="+mn-ea"/>
              <a:cs typeface="+mn-cs"/>
            </a:rPr>
            <a:t>Ministria e Industrisë, Ndërmarrësisë dhe Tregtisë</a:t>
          </a:r>
          <a:br>
            <a:rPr lang="en-US" sz="850" b="1">
              <a:solidFill>
                <a:sysClr val="windowText" lastClr="000000">
                  <a:hueOff val="0"/>
                  <a:satOff val="0"/>
                  <a:lumOff val="0"/>
                  <a:alphaOff val="0"/>
                </a:sysClr>
              </a:solidFill>
              <a:latin typeface="Calibri" panose="020F0502020204030204"/>
              <a:ea typeface="+mn-ea"/>
              <a:cs typeface="+mn-cs"/>
            </a:rPr>
          </a:br>
          <a:r>
            <a:rPr lang="en-US" sz="850">
              <a:solidFill>
                <a:sysClr val="windowText" lastClr="000000">
                  <a:hueOff val="0"/>
                  <a:satOff val="0"/>
                  <a:lumOff val="0"/>
                  <a:alphaOff val="0"/>
                </a:sysClr>
              </a:solidFill>
              <a:latin typeface="Calibri" panose="020F0502020204030204"/>
              <a:ea typeface="+mn-ea"/>
              <a:cs typeface="+mn-cs"/>
            </a:rPr>
            <a:t>(</a:t>
          </a:r>
          <a:r>
            <a:rPr lang="sq-AL" sz="850">
              <a:solidFill>
                <a:sysClr val="windowText" lastClr="000000">
                  <a:hueOff val="0"/>
                  <a:satOff val="0"/>
                  <a:lumOff val="0"/>
                  <a:alphaOff val="0"/>
                </a:sysClr>
              </a:solidFill>
              <a:latin typeface="Calibri" panose="020F0502020204030204"/>
              <a:ea typeface="+mn-ea"/>
              <a:cs typeface="+mn-cs"/>
            </a:rPr>
            <a:t>mbeturinat industriale</a:t>
          </a:r>
          <a:r>
            <a:rPr lang="en-US" sz="850">
              <a:solidFill>
                <a:sysClr val="windowText" lastClr="000000">
                  <a:hueOff val="0"/>
                  <a:satOff val="0"/>
                  <a:lumOff val="0"/>
                  <a:alphaOff val="0"/>
                </a:sysClr>
              </a:solidFill>
              <a:latin typeface="Calibri" panose="020F0502020204030204"/>
              <a:ea typeface="+mn-ea"/>
              <a:cs typeface="+mn-cs"/>
            </a:rPr>
            <a:t>)</a:t>
          </a:r>
        </a:p>
      </dgm:t>
    </dgm:pt>
    <dgm:pt modelId="{90A8D2AC-7112-425A-BE33-60C2EDCE03CB}" type="parTrans" cxnId="{F0612C18-3D2D-49D5-87D3-ADF1158FA284}">
      <dgm:prSet/>
      <dgm:spPr>
        <a:xfrm>
          <a:off x="4129176" y="1406100"/>
          <a:ext cx="1585316" cy="523766"/>
        </a:xfrm>
        <a:custGeom>
          <a:avLst/>
          <a:gdLst/>
          <a:ahLst/>
          <a:cxnLst/>
          <a:rect l="0" t="0" r="0" b="0"/>
          <a:pathLst>
            <a:path>
              <a:moveTo>
                <a:pt x="0" y="0"/>
              </a:moveTo>
              <a:lnTo>
                <a:pt x="0" y="469407"/>
              </a:lnTo>
              <a:lnTo>
                <a:pt x="1585316" y="469407"/>
              </a:lnTo>
              <a:lnTo>
                <a:pt x="1585316" y="523766"/>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sz="850"/>
        </a:p>
      </dgm:t>
    </dgm:pt>
    <dgm:pt modelId="{CD017C13-6E33-4F9A-A21D-58304966DC29}" type="sibTrans" cxnId="{F0612C18-3D2D-49D5-87D3-ADF1158FA284}">
      <dgm:prSet/>
      <dgm:spPr/>
      <dgm:t>
        <a:bodyPr/>
        <a:lstStyle/>
        <a:p>
          <a:endParaRPr lang="en-US" sz="850"/>
        </a:p>
      </dgm:t>
    </dgm:pt>
    <dgm:pt modelId="{1191C681-30C3-4BC7-8500-75F379E38265}">
      <dgm:prSet phldrT="[Text]" custT="1"/>
      <dgm:spPr>
        <a:xfrm>
          <a:off x="6203476" y="1991804"/>
          <a:ext cx="586780" cy="1085005"/>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sq-AL" sz="850" b="1">
              <a:solidFill>
                <a:sysClr val="windowText" lastClr="000000">
                  <a:hueOff val="0"/>
                  <a:satOff val="0"/>
                  <a:lumOff val="0"/>
                  <a:alphaOff val="0"/>
                </a:sysClr>
              </a:solidFill>
              <a:latin typeface="Calibri" panose="020F0502020204030204"/>
              <a:ea typeface="+mn-ea"/>
              <a:cs typeface="+mn-cs"/>
            </a:rPr>
            <a:t>Ministria e Financave, Punës dhe Transfereve</a:t>
          </a:r>
          <a:br>
            <a:rPr lang="en-US" sz="850" b="1">
              <a:solidFill>
                <a:sysClr val="windowText" lastClr="000000">
                  <a:hueOff val="0"/>
                  <a:satOff val="0"/>
                  <a:lumOff val="0"/>
                  <a:alphaOff val="0"/>
                </a:sysClr>
              </a:solidFill>
              <a:latin typeface="Calibri" panose="020F0502020204030204"/>
              <a:ea typeface="+mn-ea"/>
              <a:cs typeface="+mn-cs"/>
            </a:rPr>
          </a:br>
          <a:r>
            <a:rPr lang="en-US" sz="850">
              <a:solidFill>
                <a:sysClr val="windowText" lastClr="000000">
                  <a:hueOff val="0"/>
                  <a:satOff val="0"/>
                  <a:lumOff val="0"/>
                  <a:alphaOff val="0"/>
                </a:sysClr>
              </a:solidFill>
              <a:latin typeface="Calibri" panose="020F0502020204030204"/>
              <a:ea typeface="+mn-ea"/>
              <a:cs typeface="+mn-cs"/>
            </a:rPr>
            <a:t>(Buxhetimi dhe planifikimi i investimeve)</a:t>
          </a:r>
        </a:p>
      </dgm:t>
    </dgm:pt>
    <dgm:pt modelId="{B14ABDD7-F08A-4DED-979C-F65D3421F3A5}" type="parTrans" cxnId="{77128BF2-46B1-4C32-AA62-5507DFC5C6A5}">
      <dgm:prSet/>
      <dgm:spPr>
        <a:xfrm>
          <a:off x="4129176" y="1406100"/>
          <a:ext cx="2302492" cy="523766"/>
        </a:xfrm>
        <a:custGeom>
          <a:avLst/>
          <a:gdLst/>
          <a:ahLst/>
          <a:cxnLst/>
          <a:rect l="0" t="0" r="0" b="0"/>
          <a:pathLst>
            <a:path>
              <a:moveTo>
                <a:pt x="0" y="0"/>
              </a:moveTo>
              <a:lnTo>
                <a:pt x="0" y="469407"/>
              </a:lnTo>
              <a:lnTo>
                <a:pt x="2302492" y="469407"/>
              </a:lnTo>
              <a:lnTo>
                <a:pt x="2302492" y="523766"/>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sz="850"/>
        </a:p>
      </dgm:t>
    </dgm:pt>
    <dgm:pt modelId="{8829A986-634C-437C-B9F1-F8CD09EC0684}" type="sibTrans" cxnId="{77128BF2-46B1-4C32-AA62-5507DFC5C6A5}">
      <dgm:prSet/>
      <dgm:spPr/>
      <dgm:t>
        <a:bodyPr/>
        <a:lstStyle/>
        <a:p>
          <a:endParaRPr lang="en-US" sz="850"/>
        </a:p>
      </dgm:t>
    </dgm:pt>
    <dgm:pt modelId="{724EF990-86E2-4879-929D-192B596954E1}">
      <dgm:prSet phldrT="[Text]" custT="1"/>
      <dgm:spPr>
        <a:xfrm>
          <a:off x="6920653" y="1991804"/>
          <a:ext cx="586780" cy="1126860"/>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lIns="0" rIns="0"/>
        <a:lstStyle/>
        <a:p>
          <a:pPr>
            <a:buNone/>
          </a:pPr>
          <a:r>
            <a:rPr lang="en-US" sz="850" b="1">
              <a:solidFill>
                <a:sysClr val="windowText" lastClr="000000">
                  <a:hueOff val="0"/>
                  <a:satOff val="0"/>
                  <a:lumOff val="0"/>
                  <a:alphaOff val="0"/>
                </a:sysClr>
              </a:solidFill>
              <a:latin typeface="Calibri" panose="020F0502020204030204"/>
              <a:ea typeface="+mn-ea"/>
              <a:cs typeface="+mn-cs"/>
            </a:rPr>
            <a:t>MAPL</a:t>
          </a:r>
          <a:br>
            <a:rPr lang="en-US" sz="850">
              <a:solidFill>
                <a:sysClr val="windowText" lastClr="000000">
                  <a:hueOff val="0"/>
                  <a:satOff val="0"/>
                  <a:lumOff val="0"/>
                  <a:alphaOff val="0"/>
                </a:sysClr>
              </a:solidFill>
              <a:latin typeface="Calibri" panose="020F0502020204030204"/>
              <a:ea typeface="+mn-ea"/>
              <a:cs typeface="+mn-cs"/>
            </a:rPr>
          </a:br>
          <a:r>
            <a:rPr lang="en-US" sz="850">
              <a:solidFill>
                <a:sysClr val="windowText" lastClr="000000">
                  <a:hueOff val="0"/>
                  <a:satOff val="0"/>
                  <a:lumOff val="0"/>
                  <a:alphaOff val="0"/>
                </a:sysClr>
              </a:solidFill>
              <a:latin typeface="Calibri" panose="020F0502020204030204"/>
              <a:ea typeface="+mn-ea"/>
              <a:cs typeface="+mn-cs"/>
            </a:rPr>
            <a:t>(Funksionet dhe mbështetja e qeverisjes lokale)</a:t>
          </a:r>
        </a:p>
      </dgm:t>
    </dgm:pt>
    <dgm:pt modelId="{15CCB424-2713-49C9-BC98-C14F06C9871A}" type="parTrans" cxnId="{828018D3-D1DD-487B-B891-86E4DA00F278}">
      <dgm:prSet/>
      <dgm:spPr>
        <a:xfrm>
          <a:off x="4129176" y="1406100"/>
          <a:ext cx="3019669" cy="523766"/>
        </a:xfrm>
        <a:custGeom>
          <a:avLst/>
          <a:gdLst/>
          <a:ahLst/>
          <a:cxnLst/>
          <a:rect l="0" t="0" r="0" b="0"/>
          <a:pathLst>
            <a:path>
              <a:moveTo>
                <a:pt x="0" y="0"/>
              </a:moveTo>
              <a:lnTo>
                <a:pt x="0" y="469407"/>
              </a:lnTo>
              <a:lnTo>
                <a:pt x="3019669" y="469407"/>
              </a:lnTo>
              <a:lnTo>
                <a:pt x="3019669" y="523766"/>
              </a:lnTo>
            </a:path>
          </a:pathLst>
        </a:custGeom>
        <a:noFill/>
        <a:ln w="12700" cap="flat" cmpd="sng" algn="ctr">
          <a:solidFill>
            <a:srgbClr val="FFC000">
              <a:hueOff val="0"/>
              <a:satOff val="0"/>
              <a:lumOff val="0"/>
              <a:alphaOff val="0"/>
            </a:srgbClr>
          </a:solidFill>
          <a:prstDash val="solid"/>
          <a:miter lim="800000"/>
        </a:ln>
        <a:effectLst/>
      </dgm:spPr>
      <dgm:t>
        <a:bodyPr/>
        <a:lstStyle/>
        <a:p>
          <a:endParaRPr lang="en-US" sz="850"/>
        </a:p>
      </dgm:t>
    </dgm:pt>
    <dgm:pt modelId="{5B9E761B-44D9-4B6E-82D8-81B4B3CD78F2}" type="sibTrans" cxnId="{828018D3-D1DD-487B-B891-86E4DA00F278}">
      <dgm:prSet/>
      <dgm:spPr/>
      <dgm:t>
        <a:bodyPr/>
        <a:lstStyle/>
        <a:p>
          <a:endParaRPr lang="en-US" sz="850"/>
        </a:p>
      </dgm:t>
    </dgm:pt>
    <dgm:pt modelId="{F5371C3F-F560-46EF-8890-DF2AA475276B}">
      <dgm:prSet phldrT="[Text]" custT="1"/>
      <dgm:spPr>
        <a:xfrm>
          <a:off x="70187" y="2658398"/>
          <a:ext cx="945016" cy="60008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q-AL" sz="850" b="1">
              <a:solidFill>
                <a:sysClr val="windowText" lastClr="000000">
                  <a:hueOff val="0"/>
                  <a:satOff val="0"/>
                  <a:lumOff val="0"/>
                  <a:alphaOff val="0"/>
                </a:sysClr>
              </a:solidFill>
              <a:latin typeface="Calibri" panose="020F0502020204030204"/>
              <a:ea typeface="+mn-ea"/>
              <a:cs typeface="+mn-cs"/>
            </a:rPr>
            <a:t>Agjencia për Mbrojtjen e Mjedisit të Kosovës</a:t>
          </a:r>
          <a:br>
            <a:rPr lang="en-US" sz="850">
              <a:solidFill>
                <a:sysClr val="windowText" lastClr="000000">
                  <a:hueOff val="0"/>
                  <a:satOff val="0"/>
                  <a:lumOff val="0"/>
                  <a:alphaOff val="0"/>
                </a:sysClr>
              </a:solidFill>
              <a:latin typeface="Calibri" panose="020F0502020204030204"/>
              <a:ea typeface="+mn-ea"/>
              <a:cs typeface="+mn-cs"/>
            </a:rPr>
          </a:br>
          <a:r>
            <a:rPr lang="en-US" sz="850">
              <a:solidFill>
                <a:sysClr val="windowText" lastClr="000000">
                  <a:hueOff val="0"/>
                  <a:satOff val="0"/>
                  <a:lumOff val="0"/>
                  <a:alphaOff val="0"/>
                </a:sysClr>
              </a:solidFill>
              <a:latin typeface="Calibri" panose="020F0502020204030204"/>
              <a:ea typeface="+mn-ea"/>
              <a:cs typeface="+mn-cs"/>
            </a:rPr>
            <a:t>(Monit</a:t>
          </a:r>
          <a:r>
            <a:rPr lang="sq-AL" sz="850">
              <a:solidFill>
                <a:sysClr val="windowText" lastClr="000000">
                  <a:hueOff val="0"/>
                  <a:satOff val="0"/>
                  <a:lumOff val="0"/>
                  <a:alphaOff val="0"/>
                </a:sysClr>
              </a:solidFill>
              <a:latin typeface="Calibri" panose="020F0502020204030204"/>
              <a:ea typeface="+mn-ea"/>
              <a:cs typeface="+mn-cs"/>
            </a:rPr>
            <a:t>orimi dhe Raportimi</a:t>
          </a:r>
          <a:r>
            <a:rPr lang="en-US" sz="850">
              <a:solidFill>
                <a:sysClr val="windowText" lastClr="000000">
                  <a:hueOff val="0"/>
                  <a:satOff val="0"/>
                  <a:lumOff val="0"/>
                  <a:alphaOff val="0"/>
                </a:sysClr>
              </a:solidFill>
              <a:latin typeface="Calibri" panose="020F0502020204030204"/>
              <a:ea typeface="+mn-ea"/>
              <a:cs typeface="+mn-cs"/>
            </a:rPr>
            <a:t>)</a:t>
          </a:r>
        </a:p>
      </dgm:t>
    </dgm:pt>
    <dgm:pt modelId="{5969263E-A84B-47C3-805D-CB51E39A234D}" type="parTrans" cxnId="{48793DD7-7774-424D-880D-E5DAC63E9753}">
      <dgm:prSet/>
      <dgm:spPr>
        <a:xfrm>
          <a:off x="477497" y="2425805"/>
          <a:ext cx="537706" cy="170655"/>
        </a:xfrm>
        <a:custGeom>
          <a:avLst/>
          <a:gdLst/>
          <a:ahLst/>
          <a:cxnLst/>
          <a:rect l="0" t="0" r="0" b="0"/>
          <a:pathLst>
            <a:path>
              <a:moveTo>
                <a:pt x="537706" y="0"/>
              </a:moveTo>
              <a:lnTo>
                <a:pt x="537706" y="116296"/>
              </a:lnTo>
              <a:lnTo>
                <a:pt x="0" y="116296"/>
              </a:lnTo>
              <a:lnTo>
                <a:pt x="0" y="170655"/>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sz="850"/>
        </a:p>
      </dgm:t>
    </dgm:pt>
    <dgm:pt modelId="{45F7957D-7563-46D3-947A-D6969D97D452}" type="sibTrans" cxnId="{48793DD7-7774-424D-880D-E5DAC63E9753}">
      <dgm:prSet/>
      <dgm:spPr/>
      <dgm:t>
        <a:bodyPr/>
        <a:lstStyle/>
        <a:p>
          <a:endParaRPr lang="en-US" sz="850"/>
        </a:p>
      </dgm:t>
    </dgm:pt>
    <dgm:pt modelId="{37AEE306-36D1-49FE-8D2A-F7BD31B33B62}">
      <dgm:prSet phldrT="[Text]" custT="1"/>
      <dgm:spPr>
        <a:xfrm>
          <a:off x="1145599" y="2658398"/>
          <a:ext cx="945016" cy="60008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q-AL" sz="850" b="1">
              <a:solidFill>
                <a:sysClr val="windowText" lastClr="000000">
                  <a:hueOff val="0"/>
                  <a:satOff val="0"/>
                  <a:lumOff val="0"/>
                  <a:alphaOff val="0"/>
                </a:sysClr>
              </a:solidFill>
              <a:latin typeface="Calibri" panose="020F0502020204030204"/>
              <a:ea typeface="+mn-ea"/>
              <a:cs typeface="+mn-cs"/>
            </a:rPr>
            <a:t>Inspektoriati i Mbrojtjes së Mjedisit</a:t>
          </a:r>
          <a:br>
            <a:rPr lang="en-US" sz="850" b="1">
              <a:solidFill>
                <a:sysClr val="windowText" lastClr="000000">
                  <a:hueOff val="0"/>
                  <a:satOff val="0"/>
                  <a:lumOff val="0"/>
                  <a:alphaOff val="0"/>
                </a:sysClr>
              </a:solidFill>
              <a:latin typeface="Calibri" panose="020F0502020204030204"/>
              <a:ea typeface="+mn-ea"/>
              <a:cs typeface="+mn-cs"/>
            </a:rPr>
          </a:br>
          <a:r>
            <a:rPr lang="en-US" sz="850">
              <a:solidFill>
                <a:sysClr val="windowText" lastClr="000000">
                  <a:hueOff val="0"/>
                  <a:satOff val="0"/>
                  <a:lumOff val="0"/>
                  <a:alphaOff val="0"/>
                </a:sysClr>
              </a:solidFill>
              <a:latin typeface="Calibri" panose="020F0502020204030204"/>
              <a:ea typeface="+mn-ea"/>
              <a:cs typeface="+mn-cs"/>
            </a:rPr>
            <a:t>(</a:t>
          </a:r>
          <a:r>
            <a:rPr lang="sq-AL" sz="850">
              <a:solidFill>
                <a:sysClr val="windowText" lastClr="000000">
                  <a:hueOff val="0"/>
                  <a:satOff val="0"/>
                  <a:lumOff val="0"/>
                  <a:alphaOff val="0"/>
                </a:sysClr>
              </a:solidFill>
              <a:latin typeface="Calibri" panose="020F0502020204030204"/>
              <a:ea typeface="+mn-ea"/>
              <a:cs typeface="+mn-cs"/>
            </a:rPr>
            <a:t>përforcimi dhe kontrolli</a:t>
          </a:r>
          <a:r>
            <a:rPr lang="en-US" sz="850">
              <a:solidFill>
                <a:sysClr val="windowText" lastClr="000000">
                  <a:hueOff val="0"/>
                  <a:satOff val="0"/>
                  <a:lumOff val="0"/>
                  <a:alphaOff val="0"/>
                </a:sysClr>
              </a:solidFill>
              <a:latin typeface="Calibri" panose="020F0502020204030204"/>
              <a:ea typeface="+mn-ea"/>
              <a:cs typeface="+mn-cs"/>
            </a:rPr>
            <a:t>)</a:t>
          </a:r>
        </a:p>
      </dgm:t>
    </dgm:pt>
    <dgm:pt modelId="{EBEA0D5E-1B46-4F60-B31C-AC9CB487FAF0}" type="parTrans" cxnId="{2B5F6772-3267-4E3E-8BDD-B852B20A61BD}">
      <dgm:prSet/>
      <dgm:spPr>
        <a:xfrm>
          <a:off x="1015203" y="2425805"/>
          <a:ext cx="537706" cy="170655"/>
        </a:xfrm>
        <a:custGeom>
          <a:avLst/>
          <a:gdLst/>
          <a:ahLst/>
          <a:cxnLst/>
          <a:rect l="0" t="0" r="0" b="0"/>
          <a:pathLst>
            <a:path>
              <a:moveTo>
                <a:pt x="0" y="0"/>
              </a:moveTo>
              <a:lnTo>
                <a:pt x="0" y="116296"/>
              </a:lnTo>
              <a:lnTo>
                <a:pt x="537706" y="116296"/>
              </a:lnTo>
              <a:lnTo>
                <a:pt x="537706" y="170655"/>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sz="850"/>
        </a:p>
      </dgm:t>
    </dgm:pt>
    <dgm:pt modelId="{E1E1934F-EDB3-462C-8BB9-1D0158DE4006}" type="sibTrans" cxnId="{2B5F6772-3267-4E3E-8BDD-B852B20A61BD}">
      <dgm:prSet/>
      <dgm:spPr/>
      <dgm:t>
        <a:bodyPr/>
        <a:lstStyle/>
        <a:p>
          <a:endParaRPr lang="en-US" sz="850"/>
        </a:p>
      </dgm:t>
    </dgm:pt>
    <dgm:pt modelId="{6DC88CB8-CFCB-48AB-95E1-48A6C815EC09}">
      <dgm:prSet phldrT="[Text]" custT="1"/>
      <dgm:spPr>
        <a:xfrm>
          <a:off x="2221011" y="2658398"/>
          <a:ext cx="945016" cy="60008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en-US" sz="850" b="1">
              <a:solidFill>
                <a:sysClr val="windowText" lastClr="000000">
                  <a:hueOff val="0"/>
                  <a:satOff val="0"/>
                  <a:lumOff val="0"/>
                  <a:alphaOff val="0"/>
                </a:sysClr>
              </a:solidFill>
              <a:latin typeface="Calibri" panose="020F0502020204030204"/>
              <a:ea typeface="+mn-ea"/>
              <a:cs typeface="+mn-cs"/>
            </a:rPr>
            <a:t>KMDK</a:t>
          </a:r>
          <a:br>
            <a:rPr lang="en-US" sz="850" b="1">
              <a:solidFill>
                <a:sysClr val="windowText" lastClr="000000">
                  <a:hueOff val="0"/>
                  <a:satOff val="0"/>
                  <a:lumOff val="0"/>
                  <a:alphaOff val="0"/>
                </a:sysClr>
              </a:solidFill>
              <a:latin typeface="Calibri" panose="020F0502020204030204"/>
              <a:ea typeface="+mn-ea"/>
              <a:cs typeface="+mn-cs"/>
            </a:rPr>
          </a:br>
          <a:r>
            <a:rPr lang="en-US" sz="850">
              <a:solidFill>
                <a:sysClr val="windowText" lastClr="000000">
                  <a:hueOff val="0"/>
                  <a:satOff val="0"/>
                  <a:lumOff val="0"/>
                  <a:alphaOff val="0"/>
                </a:sysClr>
              </a:solidFill>
              <a:latin typeface="Calibri" panose="020F0502020204030204"/>
              <a:ea typeface="+mn-ea"/>
              <a:cs typeface="+mn-cs"/>
            </a:rPr>
            <a:t>(</a:t>
          </a:r>
          <a:r>
            <a:rPr lang="sq-AL" sz="850">
              <a:solidFill>
                <a:sysClr val="windowText" lastClr="000000">
                  <a:hueOff val="0"/>
                  <a:satOff val="0"/>
                  <a:lumOff val="0"/>
                  <a:alphaOff val="0"/>
                </a:sysClr>
              </a:solidFill>
              <a:latin typeface="Calibri" panose="020F0502020204030204"/>
              <a:ea typeface="+mn-ea"/>
              <a:cs typeface="+mn-cs"/>
            </a:rPr>
            <a:t>Menaxhimi i deponive</a:t>
          </a:r>
          <a:r>
            <a:rPr lang="en-US" sz="850">
              <a:solidFill>
                <a:sysClr val="windowText" lastClr="000000">
                  <a:hueOff val="0"/>
                  <a:satOff val="0"/>
                  <a:lumOff val="0"/>
                  <a:alphaOff val="0"/>
                </a:sysClr>
              </a:solidFill>
              <a:latin typeface="Calibri" panose="020F0502020204030204"/>
              <a:ea typeface="+mn-ea"/>
              <a:cs typeface="+mn-cs"/>
            </a:rPr>
            <a:t>)</a:t>
          </a:r>
        </a:p>
      </dgm:t>
    </dgm:pt>
    <dgm:pt modelId="{1475DBBA-DF13-4956-A57F-5A9D493A158B}" type="parTrans" cxnId="{3DA18FBF-6556-4DAB-B666-B5144EAD4D2F}">
      <dgm:prSet/>
      <dgm:spPr>
        <a:xfrm>
          <a:off x="2582602" y="2425805"/>
          <a:ext cx="91440" cy="170655"/>
        </a:xfrm>
        <a:custGeom>
          <a:avLst/>
          <a:gdLst/>
          <a:ahLst/>
          <a:cxnLst/>
          <a:rect l="0" t="0" r="0" b="0"/>
          <a:pathLst>
            <a:path>
              <a:moveTo>
                <a:pt x="45720" y="0"/>
              </a:moveTo>
              <a:lnTo>
                <a:pt x="45720" y="170655"/>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sz="850"/>
        </a:p>
      </dgm:t>
    </dgm:pt>
    <dgm:pt modelId="{727C19E3-D3D1-4389-AB94-D0F12D4EFB23}" type="sibTrans" cxnId="{3DA18FBF-6556-4DAB-B666-B5144EAD4D2F}">
      <dgm:prSet/>
      <dgm:spPr/>
      <dgm:t>
        <a:bodyPr/>
        <a:lstStyle/>
        <a:p>
          <a:endParaRPr lang="en-US" sz="850"/>
        </a:p>
      </dgm:t>
    </dgm:pt>
    <dgm:pt modelId="{4B7B1549-77A5-4336-9B80-019D5F99D6D2}">
      <dgm:prSet phldrT="[Text]" custT="1"/>
      <dgm:spPr>
        <a:xfrm>
          <a:off x="4876803" y="3225910"/>
          <a:ext cx="872754" cy="50464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en-US" sz="850">
              <a:solidFill>
                <a:sysClr val="windowText" lastClr="000000">
                  <a:hueOff val="0"/>
                  <a:satOff val="0"/>
                  <a:lumOff val="0"/>
                  <a:alphaOff val="0"/>
                </a:sysClr>
              </a:solidFill>
              <a:latin typeface="Calibri" panose="020F0502020204030204"/>
              <a:ea typeface="+mn-ea"/>
              <a:cs typeface="+mn-cs"/>
            </a:rPr>
            <a:t>Agjencia për Produkte dhe Pajisje Medicinale</a:t>
          </a:r>
        </a:p>
      </dgm:t>
    </dgm:pt>
    <dgm:pt modelId="{51604BE9-9FD0-49DC-92B0-A80A0814D2A2}" type="parTrans" cxnId="{9968B35D-0476-41ED-87A9-7DAEDFC00EB0}">
      <dgm:prSet/>
      <dgm:spPr>
        <a:xfrm>
          <a:off x="4889394" y="2993317"/>
          <a:ext cx="358588" cy="170655"/>
        </a:xfrm>
        <a:custGeom>
          <a:avLst/>
          <a:gdLst/>
          <a:ahLst/>
          <a:cxnLst/>
          <a:rect l="0" t="0" r="0" b="0"/>
          <a:pathLst>
            <a:path>
              <a:moveTo>
                <a:pt x="0" y="0"/>
              </a:moveTo>
              <a:lnTo>
                <a:pt x="0" y="116296"/>
              </a:lnTo>
              <a:lnTo>
                <a:pt x="358588" y="116296"/>
              </a:lnTo>
              <a:lnTo>
                <a:pt x="358588" y="170655"/>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sz="850"/>
        </a:p>
      </dgm:t>
    </dgm:pt>
    <dgm:pt modelId="{B51FECE0-D4EB-4031-A7E5-B6EDA8437DF4}" type="sibTrans" cxnId="{9968B35D-0476-41ED-87A9-7DAEDFC00EB0}">
      <dgm:prSet/>
      <dgm:spPr/>
      <dgm:t>
        <a:bodyPr/>
        <a:lstStyle/>
        <a:p>
          <a:endParaRPr lang="en-US" sz="850"/>
        </a:p>
      </dgm:t>
    </dgm:pt>
    <dgm:pt modelId="{16E12875-85FC-48EB-8F7D-84BEB82747AC}">
      <dgm:prSet phldrT="[Text]" custT="1"/>
      <dgm:spPr>
        <a:xfrm>
          <a:off x="4159627" y="3225910"/>
          <a:ext cx="586780" cy="39983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en-US" sz="850">
              <a:solidFill>
                <a:sysClr val="windowText" lastClr="000000">
                  <a:hueOff val="0"/>
                  <a:satOff val="0"/>
                  <a:lumOff val="0"/>
                  <a:alphaOff val="0"/>
                </a:sysClr>
              </a:solidFill>
              <a:latin typeface="Calibri" panose="020F0502020204030204"/>
              <a:ea typeface="+mn-ea"/>
              <a:cs typeface="+mn-cs"/>
            </a:rPr>
            <a:t>Inspektorati Shëndetësor</a:t>
          </a:r>
        </a:p>
      </dgm:t>
    </dgm:pt>
    <dgm:pt modelId="{91C54A48-CC9F-4A89-8CA4-AE8F6F3FA3C1}" type="parTrans" cxnId="{3367BC27-8B3C-44BA-A7BF-3D2EE24BD8E6}">
      <dgm:prSet/>
      <dgm:spPr>
        <a:xfrm>
          <a:off x="4387819" y="2993317"/>
          <a:ext cx="501575" cy="170655"/>
        </a:xfrm>
        <a:custGeom>
          <a:avLst/>
          <a:gdLst/>
          <a:ahLst/>
          <a:cxnLst/>
          <a:rect l="0" t="0" r="0" b="0"/>
          <a:pathLst>
            <a:path>
              <a:moveTo>
                <a:pt x="501575" y="0"/>
              </a:moveTo>
              <a:lnTo>
                <a:pt x="501575" y="116296"/>
              </a:lnTo>
              <a:lnTo>
                <a:pt x="0" y="116296"/>
              </a:lnTo>
              <a:lnTo>
                <a:pt x="0" y="170655"/>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sz="850"/>
        </a:p>
      </dgm:t>
    </dgm:pt>
    <dgm:pt modelId="{732D97B3-25F2-4963-ACFD-407743356366}" type="sibTrans" cxnId="{3367BC27-8B3C-44BA-A7BF-3D2EE24BD8E6}">
      <dgm:prSet/>
      <dgm:spPr/>
      <dgm:t>
        <a:bodyPr/>
        <a:lstStyle/>
        <a:p>
          <a:endParaRPr lang="en-US" sz="850"/>
        </a:p>
      </dgm:t>
    </dgm:pt>
    <dgm:pt modelId="{FA43E4D1-1DCD-4693-8463-90A68275631D}">
      <dgm:prSet phldrT="[Text]" custT="1"/>
      <dgm:spPr>
        <a:xfrm>
          <a:off x="3442450" y="3186601"/>
          <a:ext cx="586780" cy="37260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q-AL" sz="850">
              <a:solidFill>
                <a:sysClr val="windowText" lastClr="000000">
                  <a:hueOff val="0"/>
                  <a:satOff val="0"/>
                  <a:lumOff val="0"/>
                  <a:alphaOff val="0"/>
                </a:sysClr>
              </a:solidFill>
              <a:latin typeface="Calibri" panose="020F0502020204030204"/>
              <a:ea typeface="+mn-ea"/>
              <a:cs typeface="+mn-cs"/>
            </a:rPr>
            <a:t>Agjencia e</a:t>
          </a:r>
          <a:r>
            <a:rPr lang="en-GB" sz="850">
              <a:solidFill>
                <a:sysClr val="windowText" lastClr="000000">
                  <a:hueOff val="0"/>
                  <a:satOff val="0"/>
                  <a:lumOff val="0"/>
                  <a:alphaOff val="0"/>
                </a:sysClr>
              </a:solidFill>
              <a:latin typeface="Calibri" panose="020F0502020204030204"/>
              <a:ea typeface="+mn-ea"/>
              <a:cs typeface="+mn-cs"/>
            </a:rPr>
            <a:t> Ushqimit dhe</a:t>
          </a:r>
          <a:r>
            <a:rPr lang="sq-AL" sz="850">
              <a:solidFill>
                <a:sysClr val="windowText" lastClr="000000">
                  <a:hueOff val="0"/>
                  <a:satOff val="0"/>
                  <a:lumOff val="0"/>
                  <a:alphaOff val="0"/>
                </a:sysClr>
              </a:solidFill>
              <a:latin typeface="Calibri" panose="020F0502020204030204"/>
              <a:ea typeface="+mn-ea"/>
              <a:cs typeface="+mn-cs"/>
            </a:rPr>
            <a:t> Veterinarisë</a:t>
          </a:r>
          <a:endParaRPr lang="en-US" sz="850">
            <a:solidFill>
              <a:sysClr val="windowText" lastClr="000000">
                <a:hueOff val="0"/>
                <a:satOff val="0"/>
                <a:lumOff val="0"/>
                <a:alphaOff val="0"/>
              </a:sysClr>
            </a:solidFill>
            <a:latin typeface="Calibri" panose="020F0502020204030204"/>
            <a:ea typeface="+mn-ea"/>
            <a:cs typeface="+mn-cs"/>
          </a:endParaRPr>
        </a:p>
      </dgm:t>
    </dgm:pt>
    <dgm:pt modelId="{D6860ED8-D331-49B7-8AE0-CE0577F93C0A}" type="parTrans" cxnId="{3BD7AF72-225A-44BE-87A5-7C5661F05104}">
      <dgm:prSet/>
      <dgm:spPr>
        <a:xfrm>
          <a:off x="3624923" y="2954007"/>
          <a:ext cx="91440" cy="170655"/>
        </a:xfrm>
        <a:custGeom>
          <a:avLst/>
          <a:gdLst/>
          <a:ahLst/>
          <a:cxnLst/>
          <a:rect l="0" t="0" r="0" b="0"/>
          <a:pathLst>
            <a:path>
              <a:moveTo>
                <a:pt x="45720" y="0"/>
              </a:moveTo>
              <a:lnTo>
                <a:pt x="45720" y="170655"/>
              </a:lnTo>
            </a:path>
          </a:pathLst>
        </a:custGeom>
        <a:noFill/>
        <a:ln w="12700" cap="flat" cmpd="sng" algn="ctr">
          <a:solidFill>
            <a:srgbClr val="5B9BD5">
              <a:hueOff val="0"/>
              <a:satOff val="0"/>
              <a:lumOff val="0"/>
              <a:alphaOff val="0"/>
            </a:srgbClr>
          </a:solidFill>
          <a:prstDash val="solid"/>
          <a:miter lim="800000"/>
        </a:ln>
        <a:effectLst/>
      </dgm:spPr>
      <dgm:t>
        <a:bodyPr/>
        <a:lstStyle/>
        <a:p>
          <a:endParaRPr lang="en-US" sz="850"/>
        </a:p>
      </dgm:t>
    </dgm:pt>
    <dgm:pt modelId="{EEC77447-7CD9-411F-B67A-5CB7EA8B7D9E}" type="sibTrans" cxnId="{3BD7AF72-225A-44BE-87A5-7C5661F05104}">
      <dgm:prSet/>
      <dgm:spPr/>
      <dgm:t>
        <a:bodyPr/>
        <a:lstStyle/>
        <a:p>
          <a:endParaRPr lang="en-US" sz="850"/>
        </a:p>
      </dgm:t>
    </dgm:pt>
    <dgm:pt modelId="{B938FB83-7671-4A8F-910B-43D715D4BE76}" type="pres">
      <dgm:prSet presAssocID="{7F6BEDFB-3989-4C35-8E9B-6D6FAA1BA9B9}" presName="hierChild1" presStyleCnt="0">
        <dgm:presLayoutVars>
          <dgm:chPref val="1"/>
          <dgm:dir/>
          <dgm:animOne val="branch"/>
          <dgm:animLvl val="lvl"/>
          <dgm:resizeHandles/>
        </dgm:presLayoutVars>
      </dgm:prSet>
      <dgm:spPr/>
    </dgm:pt>
    <dgm:pt modelId="{ED2056EF-79E0-495C-8D7D-23FCDD19569E}" type="pres">
      <dgm:prSet presAssocID="{C26EB83B-A53F-43A0-86C1-BB0F4C259683}" presName="hierRoot1" presStyleCnt="0"/>
      <dgm:spPr/>
    </dgm:pt>
    <dgm:pt modelId="{E8003E40-4366-4432-812E-40D978806B87}" type="pres">
      <dgm:prSet presAssocID="{C26EB83B-A53F-43A0-86C1-BB0F4C259683}" presName="composite" presStyleCnt="0"/>
      <dgm:spPr/>
    </dgm:pt>
    <dgm:pt modelId="{02B1B537-01E0-4C31-833C-F617860B5E3D}" type="pres">
      <dgm:prSet presAssocID="{C26EB83B-A53F-43A0-86C1-BB0F4C259683}" presName="background" presStyleLbl="node0" presStyleIdx="0" presStyleCnt="1"/>
      <dgm:spPr>
        <a:xfrm>
          <a:off x="2772911" y="371110"/>
          <a:ext cx="2721038" cy="37260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42193E6-9605-4FF2-9C94-090E1C59F988}" type="pres">
      <dgm:prSet presAssocID="{C26EB83B-A53F-43A0-86C1-BB0F4C259683}" presName="text" presStyleLbl="fgAcc0" presStyleIdx="0" presStyleCnt="1" custScaleX="463723" custLinFactY="-26738" custLinFactNeighborY="-100000">
        <dgm:presLayoutVars>
          <dgm:chPref val="3"/>
        </dgm:presLayoutVars>
      </dgm:prSet>
      <dgm:spPr/>
    </dgm:pt>
    <dgm:pt modelId="{8ED7DBC6-0502-4F34-BEFA-9C9245F1630C}" type="pres">
      <dgm:prSet presAssocID="{C26EB83B-A53F-43A0-86C1-BB0F4C259683}" presName="hierChild2" presStyleCnt="0"/>
      <dgm:spPr/>
    </dgm:pt>
    <dgm:pt modelId="{E6E2FED1-FE1C-4E68-AB37-8365BC5B6385}" type="pres">
      <dgm:prSet presAssocID="{0B23D312-C4D3-4A59-A16D-52E19C1D0300}" presName="Name10" presStyleLbl="parChTrans1D2" presStyleIdx="0" presStyleCnt="1"/>
      <dgm:spPr/>
    </dgm:pt>
    <dgm:pt modelId="{0701696C-7D2C-4847-A9C2-6FD9E17C80A1}" type="pres">
      <dgm:prSet presAssocID="{55902C67-4955-436E-87D8-A7753EF5F818}" presName="hierRoot2" presStyleCnt="0"/>
      <dgm:spPr/>
    </dgm:pt>
    <dgm:pt modelId="{344BBF4B-AC4C-4004-B41B-A9FB50CF9BFF}" type="pres">
      <dgm:prSet presAssocID="{55902C67-4955-436E-87D8-A7753EF5F818}" presName="composite2" presStyleCnt="0"/>
      <dgm:spPr/>
    </dgm:pt>
    <dgm:pt modelId="{D93793AE-44E4-44BF-A0E0-C74C9700E3FB}" type="pres">
      <dgm:prSet presAssocID="{55902C67-4955-436E-87D8-A7753EF5F818}" presName="background2" presStyleLbl="node2" presStyleIdx="0" presStyleCnt="1"/>
      <dgm:spPr>
        <a:xfrm>
          <a:off x="3237826" y="1033494"/>
          <a:ext cx="1782699" cy="372605"/>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9368805-E969-4F3C-8DAB-C39517A18226}" type="pres">
      <dgm:prSet presAssocID="{55902C67-4955-436E-87D8-A7753EF5F818}" presName="text2" presStyleLbl="fgAcc2" presStyleIdx="0" presStyleCnt="1" custScaleX="303810" custLinFactNeighborX="-725" custLinFactNeighborY="-94768">
        <dgm:presLayoutVars>
          <dgm:chPref val="3"/>
        </dgm:presLayoutVars>
      </dgm:prSet>
      <dgm:spPr/>
    </dgm:pt>
    <dgm:pt modelId="{1CC46352-368A-4156-B180-AFF8B3F873CD}" type="pres">
      <dgm:prSet presAssocID="{55902C67-4955-436E-87D8-A7753EF5F818}" presName="hierChild3" presStyleCnt="0"/>
      <dgm:spPr/>
    </dgm:pt>
    <dgm:pt modelId="{36A258D9-2544-4EC7-9EC9-D89FFDCDDE6B}" type="pres">
      <dgm:prSet presAssocID="{FECC031F-A5FB-46CE-A037-9D222C08BE2D}" presName="Name17" presStyleLbl="parChTrans1D3" presStyleIdx="0" presStyleCnt="7"/>
      <dgm:spPr/>
    </dgm:pt>
    <dgm:pt modelId="{DF4A88AC-6306-4FC6-A611-1B45CEC74AFF}" type="pres">
      <dgm:prSet presAssocID="{A62661C6-2BD1-46A1-AD6F-706F9F2FD0FE}" presName="hierRoot3" presStyleCnt="0"/>
      <dgm:spPr/>
    </dgm:pt>
    <dgm:pt modelId="{15F2C3B3-C13A-45B3-919E-EE1C478B876F}" type="pres">
      <dgm:prSet presAssocID="{A62661C6-2BD1-46A1-AD6F-706F9F2FD0FE}" presName="composite3" presStyleCnt="0"/>
      <dgm:spPr/>
    </dgm:pt>
    <dgm:pt modelId="{FF3550A7-87CB-4AAC-AF9D-6DCA4229C4D9}" type="pres">
      <dgm:prSet presAssocID="{A62661C6-2BD1-46A1-AD6F-706F9F2FD0FE}" presName="background3" presStyleLbl="node3" presStyleIdx="0" presStyleCnt="7"/>
      <dgm:spPr>
        <a:xfrm>
          <a:off x="107447" y="1929866"/>
          <a:ext cx="1815511" cy="495938"/>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D683E53-4A13-4549-AFE1-AD5420B1C51B}" type="pres">
      <dgm:prSet presAssocID="{A62661C6-2BD1-46A1-AD6F-706F9F2FD0FE}" presName="text3" presStyleLbl="fgAcc3" presStyleIdx="0" presStyleCnt="7" custScaleX="309402" custScaleY="133100">
        <dgm:presLayoutVars>
          <dgm:chPref val="3"/>
        </dgm:presLayoutVars>
      </dgm:prSet>
      <dgm:spPr/>
    </dgm:pt>
    <dgm:pt modelId="{2C4BC977-C52F-42DE-8DE9-B3B546C1A207}" type="pres">
      <dgm:prSet presAssocID="{A62661C6-2BD1-46A1-AD6F-706F9F2FD0FE}" presName="hierChild4" presStyleCnt="0"/>
      <dgm:spPr/>
    </dgm:pt>
    <dgm:pt modelId="{6D3AF6AA-6BCF-4C9E-A1AD-FA5DBA5DF8CE}" type="pres">
      <dgm:prSet presAssocID="{5969263E-A84B-47C3-805D-CB51E39A234D}" presName="Name23" presStyleLbl="parChTrans1D4" presStyleIdx="0" presStyleCnt="6"/>
      <dgm:spPr/>
    </dgm:pt>
    <dgm:pt modelId="{219299E1-CF13-46FB-926E-31687CB81241}" type="pres">
      <dgm:prSet presAssocID="{F5371C3F-F560-46EF-8890-DF2AA475276B}" presName="hierRoot4" presStyleCnt="0"/>
      <dgm:spPr/>
    </dgm:pt>
    <dgm:pt modelId="{94464091-7199-4133-A3B0-3C22DC2F1D80}" type="pres">
      <dgm:prSet presAssocID="{F5371C3F-F560-46EF-8890-DF2AA475276B}" presName="composite4" presStyleCnt="0"/>
      <dgm:spPr/>
    </dgm:pt>
    <dgm:pt modelId="{0B876152-89E0-455E-A68E-2B03DC6CA1F0}" type="pres">
      <dgm:prSet presAssocID="{F5371C3F-F560-46EF-8890-DF2AA475276B}" presName="background4" presStyleLbl="node4" presStyleIdx="0" presStyleCnt="6"/>
      <dgm:spPr>
        <a:xfrm>
          <a:off x="4989" y="2596460"/>
          <a:ext cx="945016" cy="60008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090771E-10DE-45C1-A7CF-679C5CE57FBF}" type="pres">
      <dgm:prSet presAssocID="{F5371C3F-F560-46EF-8890-DF2AA475276B}" presName="text4" presStyleLbl="fgAcc4" presStyleIdx="0" presStyleCnt="6" custScaleX="161051" custScaleY="161051">
        <dgm:presLayoutVars>
          <dgm:chPref val="3"/>
        </dgm:presLayoutVars>
      </dgm:prSet>
      <dgm:spPr/>
    </dgm:pt>
    <dgm:pt modelId="{5B4700CC-2148-4BA2-A586-690C7091549F}" type="pres">
      <dgm:prSet presAssocID="{F5371C3F-F560-46EF-8890-DF2AA475276B}" presName="hierChild5" presStyleCnt="0"/>
      <dgm:spPr/>
    </dgm:pt>
    <dgm:pt modelId="{E333AFD4-7B64-41D3-B1F0-C7EA0B4A700C}" type="pres">
      <dgm:prSet presAssocID="{EBEA0D5E-1B46-4F60-B31C-AC9CB487FAF0}" presName="Name23" presStyleLbl="parChTrans1D4" presStyleIdx="1" presStyleCnt="6"/>
      <dgm:spPr/>
    </dgm:pt>
    <dgm:pt modelId="{BCDC6461-1E3B-4BB3-A52E-687533907008}" type="pres">
      <dgm:prSet presAssocID="{37AEE306-36D1-49FE-8D2A-F7BD31B33B62}" presName="hierRoot4" presStyleCnt="0"/>
      <dgm:spPr/>
    </dgm:pt>
    <dgm:pt modelId="{D9359378-8488-4359-BC98-AA3481A52467}" type="pres">
      <dgm:prSet presAssocID="{37AEE306-36D1-49FE-8D2A-F7BD31B33B62}" presName="composite4" presStyleCnt="0"/>
      <dgm:spPr/>
    </dgm:pt>
    <dgm:pt modelId="{AC78CA15-E63D-4764-85A5-50E9CF250815}" type="pres">
      <dgm:prSet presAssocID="{37AEE306-36D1-49FE-8D2A-F7BD31B33B62}" presName="background4" presStyleLbl="node4" presStyleIdx="1" presStyleCnt="6"/>
      <dgm:spPr>
        <a:xfrm>
          <a:off x="1080401" y="2596460"/>
          <a:ext cx="945016" cy="60008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1D12003-566B-4672-BDFF-59E839AD4EFC}" type="pres">
      <dgm:prSet presAssocID="{37AEE306-36D1-49FE-8D2A-F7BD31B33B62}" presName="text4" presStyleLbl="fgAcc4" presStyleIdx="1" presStyleCnt="6" custScaleX="161051" custScaleY="161051">
        <dgm:presLayoutVars>
          <dgm:chPref val="3"/>
        </dgm:presLayoutVars>
      </dgm:prSet>
      <dgm:spPr/>
    </dgm:pt>
    <dgm:pt modelId="{57A065B0-31DD-4CB2-8D17-BB1F7222C472}" type="pres">
      <dgm:prSet presAssocID="{37AEE306-36D1-49FE-8D2A-F7BD31B33B62}" presName="hierChild5" presStyleCnt="0"/>
      <dgm:spPr/>
    </dgm:pt>
    <dgm:pt modelId="{55EDB270-07B4-4C1A-970C-9A72E2343FB4}" type="pres">
      <dgm:prSet presAssocID="{055CC437-0A34-41C8-81D4-85A79EF09FD2}" presName="Name17" presStyleLbl="parChTrans1D3" presStyleIdx="1" presStyleCnt="7"/>
      <dgm:spPr/>
    </dgm:pt>
    <dgm:pt modelId="{845036CE-B807-47E5-801E-7ABC6C2FF60E}" type="pres">
      <dgm:prSet presAssocID="{9565148D-AD81-4A5A-AE6A-BEE754336771}" presName="hierRoot3" presStyleCnt="0"/>
      <dgm:spPr/>
    </dgm:pt>
    <dgm:pt modelId="{9594976B-A7A3-451A-B4CF-951F052839CB}" type="pres">
      <dgm:prSet presAssocID="{9565148D-AD81-4A5A-AE6A-BEE754336771}" presName="composite3" presStyleCnt="0"/>
      <dgm:spPr/>
    </dgm:pt>
    <dgm:pt modelId="{7872AC9C-6BA0-4BBC-8AE1-7C3E2CC8FBC9}" type="pres">
      <dgm:prSet presAssocID="{9565148D-AD81-4A5A-AE6A-BEE754336771}" presName="background3" presStyleLbl="node3" presStyleIdx="1" presStyleCnt="7"/>
      <dgm:spPr>
        <a:xfrm>
          <a:off x="2075615" y="1929866"/>
          <a:ext cx="1105413" cy="495938"/>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BC61D41-8DB6-442F-95B5-B7A16D892F39}" type="pres">
      <dgm:prSet presAssocID="{9565148D-AD81-4A5A-AE6A-BEE754336771}" presName="text3" presStyleLbl="fgAcc3" presStyleIdx="1" presStyleCnt="7" custScaleX="188386" custScaleY="133100">
        <dgm:presLayoutVars>
          <dgm:chPref val="3"/>
        </dgm:presLayoutVars>
      </dgm:prSet>
      <dgm:spPr/>
    </dgm:pt>
    <dgm:pt modelId="{98D142E4-5180-4D21-A496-825E6C0317E0}" type="pres">
      <dgm:prSet presAssocID="{9565148D-AD81-4A5A-AE6A-BEE754336771}" presName="hierChild4" presStyleCnt="0"/>
      <dgm:spPr/>
    </dgm:pt>
    <dgm:pt modelId="{873BFCE9-827D-4EF1-9341-13C029D20AD8}" type="pres">
      <dgm:prSet presAssocID="{1475DBBA-DF13-4956-A57F-5A9D493A158B}" presName="Name23" presStyleLbl="parChTrans1D4" presStyleIdx="2" presStyleCnt="6"/>
      <dgm:spPr/>
    </dgm:pt>
    <dgm:pt modelId="{12244B1A-2799-47F0-A90E-C68A39B6A96C}" type="pres">
      <dgm:prSet presAssocID="{6DC88CB8-CFCB-48AB-95E1-48A6C815EC09}" presName="hierRoot4" presStyleCnt="0"/>
      <dgm:spPr/>
    </dgm:pt>
    <dgm:pt modelId="{5D7904B6-B5C4-41F6-9EB8-CEA8F05A5D42}" type="pres">
      <dgm:prSet presAssocID="{6DC88CB8-CFCB-48AB-95E1-48A6C815EC09}" presName="composite4" presStyleCnt="0"/>
      <dgm:spPr/>
    </dgm:pt>
    <dgm:pt modelId="{26F96866-C57F-4CC9-A35B-18C4D4371EE4}" type="pres">
      <dgm:prSet presAssocID="{6DC88CB8-CFCB-48AB-95E1-48A6C815EC09}" presName="background4" presStyleLbl="node4" presStyleIdx="2" presStyleCnt="6"/>
      <dgm:spPr>
        <a:xfrm>
          <a:off x="2155813" y="2596460"/>
          <a:ext cx="945016" cy="60008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FC0D8ED-C956-43BE-A94A-A4596BFD3BE5}" type="pres">
      <dgm:prSet presAssocID="{6DC88CB8-CFCB-48AB-95E1-48A6C815EC09}" presName="text4" presStyleLbl="fgAcc4" presStyleIdx="2" presStyleCnt="6" custScaleX="161051" custScaleY="161051">
        <dgm:presLayoutVars>
          <dgm:chPref val="3"/>
        </dgm:presLayoutVars>
      </dgm:prSet>
      <dgm:spPr/>
    </dgm:pt>
    <dgm:pt modelId="{0FCB3807-7D95-49A4-B02F-7DC832F3BFAB}" type="pres">
      <dgm:prSet presAssocID="{6DC88CB8-CFCB-48AB-95E1-48A6C815EC09}" presName="hierChild5" presStyleCnt="0"/>
      <dgm:spPr/>
    </dgm:pt>
    <dgm:pt modelId="{31649376-2BBF-4101-87B4-9451F030155B}" type="pres">
      <dgm:prSet presAssocID="{0F53F808-F7D0-4B62-82CD-24FFD4A0BE1B}" presName="Name17" presStyleLbl="parChTrans1D3" presStyleIdx="2" presStyleCnt="7"/>
      <dgm:spPr/>
    </dgm:pt>
    <dgm:pt modelId="{E77F2D8E-2B39-4193-9592-6CEBA8AAD3E1}" type="pres">
      <dgm:prSet presAssocID="{10EDCC4E-E718-48B8-859C-6B4351559AD9}" presName="hierRoot3" presStyleCnt="0"/>
      <dgm:spPr/>
    </dgm:pt>
    <dgm:pt modelId="{CB26C930-A538-4717-BB99-4374D4DAFE82}" type="pres">
      <dgm:prSet presAssocID="{10EDCC4E-E718-48B8-859C-6B4351559AD9}" presName="composite3" presStyleCnt="0"/>
      <dgm:spPr/>
    </dgm:pt>
    <dgm:pt modelId="{763136D2-EB56-47D9-8461-5ABF5CAD7911}" type="pres">
      <dgm:prSet presAssocID="{10EDCC4E-E718-48B8-859C-6B4351559AD9}" presName="background3" presStyleLbl="node3" presStyleIdx="2" presStyleCnt="7"/>
      <dgm:spPr>
        <a:xfrm>
          <a:off x="3311424" y="1929866"/>
          <a:ext cx="718436" cy="1024140"/>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174CA54-2B69-4DE3-AF82-AD77F7EAE158}" type="pres">
      <dgm:prSet presAssocID="{10EDCC4E-E718-48B8-859C-6B4351559AD9}" presName="text3" presStyleLbl="fgAcc3" presStyleIdx="2" presStyleCnt="7" custScaleX="122437" custScaleY="274859">
        <dgm:presLayoutVars>
          <dgm:chPref val="3"/>
        </dgm:presLayoutVars>
      </dgm:prSet>
      <dgm:spPr/>
    </dgm:pt>
    <dgm:pt modelId="{9EBD469F-3349-438B-96C8-7807376A9B17}" type="pres">
      <dgm:prSet presAssocID="{10EDCC4E-E718-48B8-859C-6B4351559AD9}" presName="hierChild4" presStyleCnt="0"/>
      <dgm:spPr/>
    </dgm:pt>
    <dgm:pt modelId="{B1803E6A-5A05-4F9A-8515-FECBC57B882F}" type="pres">
      <dgm:prSet presAssocID="{D6860ED8-D331-49B7-8AE0-CE0577F93C0A}" presName="Name23" presStyleLbl="parChTrans1D4" presStyleIdx="3" presStyleCnt="6"/>
      <dgm:spPr/>
    </dgm:pt>
    <dgm:pt modelId="{6533F35F-2340-463D-9D3A-A38BD29B50F5}" type="pres">
      <dgm:prSet presAssocID="{FA43E4D1-1DCD-4693-8463-90A68275631D}" presName="hierRoot4" presStyleCnt="0"/>
      <dgm:spPr/>
    </dgm:pt>
    <dgm:pt modelId="{0AF89E00-85DD-41D3-BD66-A2D3A9F6FABF}" type="pres">
      <dgm:prSet presAssocID="{FA43E4D1-1DCD-4693-8463-90A68275631D}" presName="composite4" presStyleCnt="0"/>
      <dgm:spPr/>
    </dgm:pt>
    <dgm:pt modelId="{55EDC655-595E-402B-B184-BCAFEF0669ED}" type="pres">
      <dgm:prSet presAssocID="{FA43E4D1-1DCD-4693-8463-90A68275631D}" presName="background4" presStyleLbl="node4" presStyleIdx="3" presStyleCnt="6"/>
      <dgm:spPr>
        <a:xfrm>
          <a:off x="3377252" y="3124663"/>
          <a:ext cx="586780" cy="37260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6676191-AB1B-4873-B408-878B4806781E}" type="pres">
      <dgm:prSet presAssocID="{FA43E4D1-1DCD-4693-8463-90A68275631D}" presName="text4" presStyleLbl="fgAcc4" presStyleIdx="3" presStyleCnt="6" custScaleX="127456">
        <dgm:presLayoutVars>
          <dgm:chPref val="3"/>
        </dgm:presLayoutVars>
      </dgm:prSet>
      <dgm:spPr/>
    </dgm:pt>
    <dgm:pt modelId="{5882B81F-3119-4059-87D6-E06740DA7A53}" type="pres">
      <dgm:prSet presAssocID="{FA43E4D1-1DCD-4693-8463-90A68275631D}" presName="hierChild5" presStyleCnt="0"/>
      <dgm:spPr/>
    </dgm:pt>
    <dgm:pt modelId="{0D518C08-8051-4BC9-9873-A1F7F6DBB9BA}" type="pres">
      <dgm:prSet presAssocID="{C20BA307-7B99-4728-B3B0-2368CDB1C30B}" presName="Name17" presStyleLbl="parChTrans1D3" presStyleIdx="3" presStyleCnt="7"/>
      <dgm:spPr/>
    </dgm:pt>
    <dgm:pt modelId="{718E1D27-0C33-468F-9E27-E781E8A50FE4}" type="pres">
      <dgm:prSet presAssocID="{76A09E1B-DE08-4FAC-A0D6-D2B813FD1685}" presName="hierRoot3" presStyleCnt="0"/>
      <dgm:spPr/>
    </dgm:pt>
    <dgm:pt modelId="{5CF12F83-0C19-494B-B3F6-3EBC4F491E8B}" type="pres">
      <dgm:prSet presAssocID="{76A09E1B-DE08-4FAC-A0D6-D2B813FD1685}" presName="composite3" presStyleCnt="0"/>
      <dgm:spPr/>
    </dgm:pt>
    <dgm:pt modelId="{3AB15AD6-033B-41E3-9D3A-82662C9B15DA}" type="pres">
      <dgm:prSet presAssocID="{76A09E1B-DE08-4FAC-A0D6-D2B813FD1685}" presName="background3" presStyleLbl="node3" presStyleIdx="3" presStyleCnt="7"/>
      <dgm:spPr>
        <a:xfrm>
          <a:off x="4488083" y="1929866"/>
          <a:ext cx="802622" cy="1063450"/>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49B8B02-B24A-492A-A59F-0C29C500C4D4}" type="pres">
      <dgm:prSet presAssocID="{76A09E1B-DE08-4FAC-A0D6-D2B813FD1685}" presName="text3" presStyleLbl="fgAcc3" presStyleIdx="3" presStyleCnt="7" custScaleX="136784" custScaleY="285409" custLinFactNeighborX="-47778" custLinFactNeighborY="-1276">
        <dgm:presLayoutVars>
          <dgm:chPref val="3"/>
        </dgm:presLayoutVars>
      </dgm:prSet>
      <dgm:spPr/>
    </dgm:pt>
    <dgm:pt modelId="{0D6DA3D4-EFFC-4F00-AF80-77037D9034E8}" type="pres">
      <dgm:prSet presAssocID="{76A09E1B-DE08-4FAC-A0D6-D2B813FD1685}" presName="hierChild4" presStyleCnt="0"/>
      <dgm:spPr/>
    </dgm:pt>
    <dgm:pt modelId="{F98C5332-46DE-4491-B27F-A9E512E488D0}" type="pres">
      <dgm:prSet presAssocID="{91C54A48-CC9F-4A89-8CA4-AE8F6F3FA3C1}" presName="Name23" presStyleLbl="parChTrans1D4" presStyleIdx="4" presStyleCnt="6"/>
      <dgm:spPr/>
    </dgm:pt>
    <dgm:pt modelId="{31EEA51A-157D-4AB7-87F8-AF9DDDBEF3C8}" type="pres">
      <dgm:prSet presAssocID="{16E12875-85FC-48EB-8F7D-84BEB82747AC}" presName="hierRoot4" presStyleCnt="0"/>
      <dgm:spPr/>
    </dgm:pt>
    <dgm:pt modelId="{18BA1CD1-9A3A-43B1-9A07-F0056D631E84}" type="pres">
      <dgm:prSet presAssocID="{16E12875-85FC-48EB-8F7D-84BEB82747AC}" presName="composite4" presStyleCnt="0"/>
      <dgm:spPr/>
    </dgm:pt>
    <dgm:pt modelId="{70E9C805-01E3-462A-AC6B-13FE80363E48}" type="pres">
      <dgm:prSet presAssocID="{16E12875-85FC-48EB-8F7D-84BEB82747AC}" presName="background4" presStyleLbl="node4" presStyleIdx="4" presStyleCnt="6"/>
      <dgm:spPr>
        <a:xfrm>
          <a:off x="4094429" y="3163972"/>
          <a:ext cx="586780" cy="39983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512C7D3-501E-46AB-AE1E-AC490EC4F336}" type="pres">
      <dgm:prSet presAssocID="{16E12875-85FC-48EB-8F7D-84BEB82747AC}" presName="text4" presStyleLbl="fgAcc4" presStyleIdx="4" presStyleCnt="6" custScaleX="122882" custScaleY="107307">
        <dgm:presLayoutVars>
          <dgm:chPref val="3"/>
        </dgm:presLayoutVars>
      </dgm:prSet>
      <dgm:spPr/>
    </dgm:pt>
    <dgm:pt modelId="{6A4A4406-E515-4E70-A2B0-0704F98C70FC}" type="pres">
      <dgm:prSet presAssocID="{16E12875-85FC-48EB-8F7D-84BEB82747AC}" presName="hierChild5" presStyleCnt="0"/>
      <dgm:spPr/>
    </dgm:pt>
    <dgm:pt modelId="{CBD1DDB0-5E69-4568-A5D1-A9D333925511}" type="pres">
      <dgm:prSet presAssocID="{51604BE9-9FD0-49DC-92B0-A80A0814D2A2}" presName="Name23" presStyleLbl="parChTrans1D4" presStyleIdx="5" presStyleCnt="6"/>
      <dgm:spPr/>
    </dgm:pt>
    <dgm:pt modelId="{C2D8E82F-47D7-4840-85AF-82C893FD750A}" type="pres">
      <dgm:prSet presAssocID="{4B7B1549-77A5-4336-9B80-019D5F99D6D2}" presName="hierRoot4" presStyleCnt="0"/>
      <dgm:spPr/>
    </dgm:pt>
    <dgm:pt modelId="{AF5B6665-8A9C-46E6-9B77-AB3421E35F4E}" type="pres">
      <dgm:prSet presAssocID="{4B7B1549-77A5-4336-9B80-019D5F99D6D2}" presName="composite4" presStyleCnt="0"/>
      <dgm:spPr/>
    </dgm:pt>
    <dgm:pt modelId="{28E9DC63-1274-4774-8A8C-5BF3621988E9}" type="pres">
      <dgm:prSet presAssocID="{4B7B1549-77A5-4336-9B80-019D5F99D6D2}" presName="background4" presStyleLbl="node4" presStyleIdx="5" presStyleCnt="6"/>
      <dgm:spPr>
        <a:xfrm>
          <a:off x="4811605" y="3163972"/>
          <a:ext cx="872754" cy="50464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5D77C78-5E9E-4D9E-9C44-9F1EDC53ED15}" type="pres">
      <dgm:prSet presAssocID="{4B7B1549-77A5-4336-9B80-019D5F99D6D2}" presName="text4" presStyleLbl="fgAcc4" presStyleIdx="5" presStyleCnt="6" custScaleX="148736" custScaleY="135438">
        <dgm:presLayoutVars>
          <dgm:chPref val="3"/>
        </dgm:presLayoutVars>
      </dgm:prSet>
      <dgm:spPr/>
    </dgm:pt>
    <dgm:pt modelId="{A07AD45B-C976-4360-8223-83D58C7D5726}" type="pres">
      <dgm:prSet presAssocID="{4B7B1549-77A5-4336-9B80-019D5F99D6D2}" presName="hierChild5" presStyleCnt="0"/>
      <dgm:spPr/>
    </dgm:pt>
    <dgm:pt modelId="{47E7B6FC-C1A4-41A9-B069-84785E98A8E0}" type="pres">
      <dgm:prSet presAssocID="{90A8D2AC-7112-425A-BE33-60C2EDCE03CB}" presName="Name17" presStyleLbl="parChTrans1D3" presStyleIdx="4" presStyleCnt="7"/>
      <dgm:spPr/>
    </dgm:pt>
    <dgm:pt modelId="{2091DCB2-D319-4DC0-9991-A21CA449B763}" type="pres">
      <dgm:prSet presAssocID="{3202C7F1-87E6-4528-B955-182D7CD12F09}" presName="hierRoot3" presStyleCnt="0"/>
      <dgm:spPr/>
    </dgm:pt>
    <dgm:pt modelId="{7AFAE706-DDF9-4D45-A5D3-8426A87EB9DC}" type="pres">
      <dgm:prSet presAssocID="{3202C7F1-87E6-4528-B955-182D7CD12F09}" presName="composite3" presStyleCnt="0"/>
      <dgm:spPr/>
    </dgm:pt>
    <dgm:pt modelId="{F0C9F7B8-2B8D-4D14-93EB-506ADA2C0AF1}" type="pres">
      <dgm:prSet presAssocID="{3202C7F1-87E6-4528-B955-182D7CD12F09}" presName="background3" presStyleLbl="node3" presStyleIdx="4" presStyleCnt="7"/>
      <dgm:spPr>
        <a:xfrm>
          <a:off x="5421101" y="1929866"/>
          <a:ext cx="586780" cy="1073324"/>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F04932A-DA4E-4E54-B6A5-7AB24C9BD28C}" type="pres">
      <dgm:prSet presAssocID="{3202C7F1-87E6-4528-B955-182D7CD12F09}" presName="text3" presStyleLbl="fgAcc3" presStyleIdx="4" presStyleCnt="7" custScaleX="113679" custScaleY="288059" custLinFactNeighborX="-49397" custLinFactNeighborY="-2551">
        <dgm:presLayoutVars>
          <dgm:chPref val="3"/>
        </dgm:presLayoutVars>
      </dgm:prSet>
      <dgm:spPr/>
    </dgm:pt>
    <dgm:pt modelId="{D1E36C01-4965-47F4-B0CE-FAA76E35615A}" type="pres">
      <dgm:prSet presAssocID="{3202C7F1-87E6-4528-B955-182D7CD12F09}" presName="hierChild4" presStyleCnt="0"/>
      <dgm:spPr/>
    </dgm:pt>
    <dgm:pt modelId="{93DC6E19-F374-4B99-A646-4C9247452D58}" type="pres">
      <dgm:prSet presAssocID="{B14ABDD7-F08A-4DED-979C-F65D3421F3A5}" presName="Name17" presStyleLbl="parChTrans1D3" presStyleIdx="5" presStyleCnt="7"/>
      <dgm:spPr/>
    </dgm:pt>
    <dgm:pt modelId="{7D8C806A-1CEC-420E-875E-7AA789F89A31}" type="pres">
      <dgm:prSet presAssocID="{1191C681-30C3-4BC7-8500-75F379E38265}" presName="hierRoot3" presStyleCnt="0"/>
      <dgm:spPr/>
    </dgm:pt>
    <dgm:pt modelId="{B4197DD7-72DD-46B4-9FEB-FEB679B76A43}" type="pres">
      <dgm:prSet presAssocID="{1191C681-30C3-4BC7-8500-75F379E38265}" presName="composite3" presStyleCnt="0"/>
      <dgm:spPr/>
    </dgm:pt>
    <dgm:pt modelId="{78BE9933-3D91-418C-9CF0-73064DB86876}" type="pres">
      <dgm:prSet presAssocID="{1191C681-30C3-4BC7-8500-75F379E38265}" presName="background3" presStyleLbl="node3" presStyleIdx="5" presStyleCnt="7"/>
      <dgm:spPr>
        <a:xfrm>
          <a:off x="6138278" y="1929866"/>
          <a:ext cx="586780" cy="1085005"/>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45135A5-6DA5-441F-82EF-70EE2B17737B}" type="pres">
      <dgm:prSet presAssocID="{1191C681-30C3-4BC7-8500-75F379E38265}" presName="text3" presStyleLbl="fgAcc3" presStyleIdx="5" presStyleCnt="7" custScaleY="291194" custLinFactNeighborX="-51827" custLinFactNeighborY="7651">
        <dgm:presLayoutVars>
          <dgm:chPref val="3"/>
        </dgm:presLayoutVars>
      </dgm:prSet>
      <dgm:spPr/>
    </dgm:pt>
    <dgm:pt modelId="{61B36874-3433-4C19-BD77-23FE8A12E865}" type="pres">
      <dgm:prSet presAssocID="{1191C681-30C3-4BC7-8500-75F379E38265}" presName="hierChild4" presStyleCnt="0"/>
      <dgm:spPr/>
    </dgm:pt>
    <dgm:pt modelId="{2C790CAB-E7D1-4D77-BEB9-9549BDD6DAD3}" type="pres">
      <dgm:prSet presAssocID="{15CCB424-2713-49C9-BC98-C14F06C9871A}" presName="Name17" presStyleLbl="parChTrans1D3" presStyleIdx="6" presStyleCnt="7"/>
      <dgm:spPr/>
    </dgm:pt>
    <dgm:pt modelId="{BAFDF065-8AD5-4929-8491-6E6E4B7FE188}" type="pres">
      <dgm:prSet presAssocID="{724EF990-86E2-4879-929D-192B596954E1}" presName="hierRoot3" presStyleCnt="0"/>
      <dgm:spPr/>
    </dgm:pt>
    <dgm:pt modelId="{637B8781-F85E-4F5D-9724-10231468FCC8}" type="pres">
      <dgm:prSet presAssocID="{724EF990-86E2-4879-929D-192B596954E1}" presName="composite3" presStyleCnt="0"/>
      <dgm:spPr/>
    </dgm:pt>
    <dgm:pt modelId="{29FDC045-4314-4098-82C4-D929FCF4003D}" type="pres">
      <dgm:prSet presAssocID="{724EF990-86E2-4879-929D-192B596954E1}" presName="background3" presStyleLbl="node3" presStyleIdx="6" presStyleCnt="7"/>
      <dgm:spPr>
        <a:xfrm>
          <a:off x="6855455" y="1929866"/>
          <a:ext cx="586780" cy="1126860"/>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18FF5E3-D770-40A0-B16F-9758AAA80C63}" type="pres">
      <dgm:prSet presAssocID="{724EF990-86E2-4879-929D-192B596954E1}" presName="text3" presStyleLbl="fgAcc3" presStyleIdx="6" presStyleCnt="7" custScaleY="302427" custLinFactNeighborX="-51827" custLinFactNeighborY="5100">
        <dgm:presLayoutVars>
          <dgm:chPref val="3"/>
        </dgm:presLayoutVars>
      </dgm:prSet>
      <dgm:spPr/>
    </dgm:pt>
    <dgm:pt modelId="{BAB25C4F-9AE3-4E13-9C79-77E0A0FBFEA8}" type="pres">
      <dgm:prSet presAssocID="{724EF990-86E2-4879-929D-192B596954E1}" presName="hierChild4" presStyleCnt="0"/>
      <dgm:spPr/>
    </dgm:pt>
  </dgm:ptLst>
  <dgm:cxnLst>
    <dgm:cxn modelId="{AD50D701-75FB-4DFF-A4E9-24E8F0FF4C3C}" type="presOf" srcId="{6DC88CB8-CFCB-48AB-95E1-48A6C815EC09}" destId="{CFC0D8ED-C956-43BE-A94A-A4596BFD3BE5}" srcOrd="0" destOrd="0" presId="urn:microsoft.com/office/officeart/2005/8/layout/hierarchy1"/>
    <dgm:cxn modelId="{E81E3007-60CD-4D3E-AE4A-C82700634403}" type="presOf" srcId="{A62661C6-2BD1-46A1-AD6F-706F9F2FD0FE}" destId="{7D683E53-4A13-4549-AFE1-AD5420B1C51B}" srcOrd="0" destOrd="0" presId="urn:microsoft.com/office/officeart/2005/8/layout/hierarchy1"/>
    <dgm:cxn modelId="{5E64080A-A4EC-4835-8864-E83A3A21ECF3}" type="presOf" srcId="{0B23D312-C4D3-4A59-A16D-52E19C1D0300}" destId="{E6E2FED1-FE1C-4E68-AB37-8365BC5B6385}" srcOrd="0" destOrd="0" presId="urn:microsoft.com/office/officeart/2005/8/layout/hierarchy1"/>
    <dgm:cxn modelId="{AEA9BB0F-EB15-4E63-951B-6F6F6AAE6A3A}" type="presOf" srcId="{4B7B1549-77A5-4336-9B80-019D5F99D6D2}" destId="{35D77C78-5E9E-4D9E-9C44-9F1EDC53ED15}" srcOrd="0" destOrd="0" presId="urn:microsoft.com/office/officeart/2005/8/layout/hierarchy1"/>
    <dgm:cxn modelId="{F0612C18-3D2D-49D5-87D3-ADF1158FA284}" srcId="{55902C67-4955-436E-87D8-A7753EF5F818}" destId="{3202C7F1-87E6-4528-B955-182D7CD12F09}" srcOrd="4" destOrd="0" parTransId="{90A8D2AC-7112-425A-BE33-60C2EDCE03CB}" sibTransId="{CD017C13-6E33-4F9A-A21D-58304966DC29}"/>
    <dgm:cxn modelId="{02501719-9C0E-4C86-B76D-EA0C15933CB6}" type="presOf" srcId="{F5371C3F-F560-46EF-8890-DF2AA475276B}" destId="{4090771E-10DE-45C1-A7CF-679C5CE57FBF}" srcOrd="0" destOrd="0" presId="urn:microsoft.com/office/officeart/2005/8/layout/hierarchy1"/>
    <dgm:cxn modelId="{2497BB23-4C63-4F61-A656-465599B61CED}" type="presOf" srcId="{51604BE9-9FD0-49DC-92B0-A80A0814D2A2}" destId="{CBD1DDB0-5E69-4568-A5D1-A9D333925511}" srcOrd="0" destOrd="0" presId="urn:microsoft.com/office/officeart/2005/8/layout/hierarchy1"/>
    <dgm:cxn modelId="{10E26F27-6B1E-4E52-9E5D-8EB9EA3A87E0}" type="presOf" srcId="{55902C67-4955-436E-87D8-A7753EF5F818}" destId="{49368805-E969-4F3C-8DAB-C39517A18226}" srcOrd="0" destOrd="0" presId="urn:microsoft.com/office/officeart/2005/8/layout/hierarchy1"/>
    <dgm:cxn modelId="{3367BC27-8B3C-44BA-A7BF-3D2EE24BD8E6}" srcId="{76A09E1B-DE08-4FAC-A0D6-D2B813FD1685}" destId="{16E12875-85FC-48EB-8F7D-84BEB82747AC}" srcOrd="0" destOrd="0" parTransId="{91C54A48-CC9F-4A89-8CA4-AE8F6F3FA3C1}" sibTransId="{732D97B3-25F2-4963-ACFD-407743356366}"/>
    <dgm:cxn modelId="{9968B35D-0476-41ED-87A9-7DAEDFC00EB0}" srcId="{76A09E1B-DE08-4FAC-A0D6-D2B813FD1685}" destId="{4B7B1549-77A5-4336-9B80-019D5F99D6D2}" srcOrd="1" destOrd="0" parTransId="{51604BE9-9FD0-49DC-92B0-A80A0814D2A2}" sibTransId="{B51FECE0-D4EB-4031-A7E5-B6EDA8437DF4}"/>
    <dgm:cxn modelId="{62E7AE41-9D81-472D-9D0F-962BA5C17E99}" type="presOf" srcId="{91C54A48-CC9F-4A89-8CA4-AE8F6F3FA3C1}" destId="{F98C5332-46DE-4491-B27F-A9E512E488D0}" srcOrd="0" destOrd="0" presId="urn:microsoft.com/office/officeart/2005/8/layout/hierarchy1"/>
    <dgm:cxn modelId="{CB370C68-F55E-41E3-8FF7-A7E550AA56CA}" type="presOf" srcId="{FECC031F-A5FB-46CE-A037-9D222C08BE2D}" destId="{36A258D9-2544-4EC7-9EC9-D89FFDCDDE6B}" srcOrd="0" destOrd="0" presId="urn:microsoft.com/office/officeart/2005/8/layout/hierarchy1"/>
    <dgm:cxn modelId="{135D7548-8673-45EE-AC63-9662C0F108C3}" type="presOf" srcId="{B14ABDD7-F08A-4DED-979C-F65D3421F3A5}" destId="{93DC6E19-F374-4B99-A646-4C9247452D58}" srcOrd="0" destOrd="0" presId="urn:microsoft.com/office/officeart/2005/8/layout/hierarchy1"/>
    <dgm:cxn modelId="{BCA37648-1102-4A74-A322-109AE2D86763}" type="presOf" srcId="{FA43E4D1-1DCD-4693-8463-90A68275631D}" destId="{86676191-AB1B-4873-B408-878B4806781E}" srcOrd="0" destOrd="0" presId="urn:microsoft.com/office/officeart/2005/8/layout/hierarchy1"/>
    <dgm:cxn modelId="{4A453F49-4267-452A-89ED-77A2DADFEF2A}" type="presOf" srcId="{C26EB83B-A53F-43A0-86C1-BB0F4C259683}" destId="{142193E6-9605-4FF2-9C94-090E1C59F988}" srcOrd="0" destOrd="0" presId="urn:microsoft.com/office/officeart/2005/8/layout/hierarchy1"/>
    <dgm:cxn modelId="{BF5B0B4A-51F8-4840-AB65-2D07A6832558}" type="presOf" srcId="{15CCB424-2713-49C9-BC98-C14F06C9871A}" destId="{2C790CAB-E7D1-4D77-BEB9-9549BDD6DAD3}" srcOrd="0" destOrd="0" presId="urn:microsoft.com/office/officeart/2005/8/layout/hierarchy1"/>
    <dgm:cxn modelId="{2798AE6A-4ECF-4ABE-BFD4-DA53127315CE}" type="presOf" srcId="{1191C681-30C3-4BC7-8500-75F379E38265}" destId="{245135A5-6DA5-441F-82EF-70EE2B17737B}" srcOrd="0" destOrd="0" presId="urn:microsoft.com/office/officeart/2005/8/layout/hierarchy1"/>
    <dgm:cxn modelId="{2B5F6772-3267-4E3E-8BDD-B852B20A61BD}" srcId="{A62661C6-2BD1-46A1-AD6F-706F9F2FD0FE}" destId="{37AEE306-36D1-49FE-8D2A-F7BD31B33B62}" srcOrd="1" destOrd="0" parTransId="{EBEA0D5E-1B46-4F60-B31C-AC9CB487FAF0}" sibTransId="{E1E1934F-EDB3-462C-8BB9-1D0158DE4006}"/>
    <dgm:cxn modelId="{3BD7AF72-225A-44BE-87A5-7C5661F05104}" srcId="{10EDCC4E-E718-48B8-859C-6B4351559AD9}" destId="{FA43E4D1-1DCD-4693-8463-90A68275631D}" srcOrd="0" destOrd="0" parTransId="{D6860ED8-D331-49B7-8AE0-CE0577F93C0A}" sibTransId="{EEC77447-7CD9-411F-B67A-5CB7EA8B7D9E}"/>
    <dgm:cxn modelId="{73B0EA53-F9B9-4096-8FE2-4B2CAB43A2F1}" srcId="{55902C67-4955-436E-87D8-A7753EF5F818}" destId="{10EDCC4E-E718-48B8-859C-6B4351559AD9}" srcOrd="2" destOrd="0" parTransId="{0F53F808-F7D0-4B62-82CD-24FFD4A0BE1B}" sibTransId="{3060D261-2C71-4354-B01E-F95E38E2715C}"/>
    <dgm:cxn modelId="{A7AFEE59-74C7-411C-8B7D-0760C11737B1}" type="presOf" srcId="{1475DBBA-DF13-4956-A57F-5A9D493A158B}" destId="{873BFCE9-827D-4EF1-9341-13C029D20AD8}" srcOrd="0" destOrd="0" presId="urn:microsoft.com/office/officeart/2005/8/layout/hierarchy1"/>
    <dgm:cxn modelId="{ED08D97D-D1C3-4879-8F9C-1D6508F8DE25}" type="presOf" srcId="{3202C7F1-87E6-4528-B955-182D7CD12F09}" destId="{5F04932A-DA4E-4E54-B6A5-7AB24C9BD28C}" srcOrd="0" destOrd="0" presId="urn:microsoft.com/office/officeart/2005/8/layout/hierarchy1"/>
    <dgm:cxn modelId="{EC89BF85-31B2-4D68-BEAC-D5221B30C5E5}" type="presOf" srcId="{C20BA307-7B99-4728-B3B0-2368CDB1C30B}" destId="{0D518C08-8051-4BC9-9873-A1F7F6DBB9BA}" srcOrd="0" destOrd="0" presId="urn:microsoft.com/office/officeart/2005/8/layout/hierarchy1"/>
    <dgm:cxn modelId="{00B44F87-D3E6-40DB-8102-E52852080A1D}" type="presOf" srcId="{7F6BEDFB-3989-4C35-8E9B-6D6FAA1BA9B9}" destId="{B938FB83-7671-4A8F-910B-43D715D4BE76}" srcOrd="0" destOrd="0" presId="urn:microsoft.com/office/officeart/2005/8/layout/hierarchy1"/>
    <dgm:cxn modelId="{5FB193A0-144C-4E00-9814-7A4E2F1B2BCC}" type="presOf" srcId="{0F53F808-F7D0-4B62-82CD-24FFD4A0BE1B}" destId="{31649376-2BBF-4101-87B4-9451F030155B}" srcOrd="0" destOrd="0" presId="urn:microsoft.com/office/officeart/2005/8/layout/hierarchy1"/>
    <dgm:cxn modelId="{D5039BA0-8929-4394-B85F-FC8791007EC2}" type="presOf" srcId="{055CC437-0A34-41C8-81D4-85A79EF09FD2}" destId="{55EDB270-07B4-4C1A-970C-9A72E2343FB4}" srcOrd="0" destOrd="0" presId="urn:microsoft.com/office/officeart/2005/8/layout/hierarchy1"/>
    <dgm:cxn modelId="{C753A3A2-4875-44F0-9A71-756980682747}" srcId="{7F6BEDFB-3989-4C35-8E9B-6D6FAA1BA9B9}" destId="{C26EB83B-A53F-43A0-86C1-BB0F4C259683}" srcOrd="0" destOrd="0" parTransId="{2849DA6D-5EC5-44D5-8821-7C46B7DB9831}" sibTransId="{CF6B5F57-DD29-4DAB-A6AF-C87E9D647F8C}"/>
    <dgm:cxn modelId="{56284CA4-D12A-448E-8D61-A60365B3F9E1}" srcId="{C26EB83B-A53F-43A0-86C1-BB0F4C259683}" destId="{55902C67-4955-436E-87D8-A7753EF5F818}" srcOrd="0" destOrd="0" parTransId="{0B23D312-C4D3-4A59-A16D-52E19C1D0300}" sibTransId="{5080FD38-9CCD-49FA-AF6B-43DFF89746C1}"/>
    <dgm:cxn modelId="{5D95C8A5-78D8-4C53-8897-6200AD7F8818}" type="presOf" srcId="{90A8D2AC-7112-425A-BE33-60C2EDCE03CB}" destId="{47E7B6FC-C1A4-41A9-B069-84785E98A8E0}" srcOrd="0" destOrd="0" presId="urn:microsoft.com/office/officeart/2005/8/layout/hierarchy1"/>
    <dgm:cxn modelId="{D37157AD-F128-4D36-BB8F-E1E6741470DD}" type="presOf" srcId="{37AEE306-36D1-49FE-8D2A-F7BD31B33B62}" destId="{D1D12003-566B-4672-BDFF-59E839AD4EFC}" srcOrd="0" destOrd="0" presId="urn:microsoft.com/office/officeart/2005/8/layout/hierarchy1"/>
    <dgm:cxn modelId="{8C78EEB7-7A60-4955-B15C-A475D18E11F5}" type="presOf" srcId="{724EF990-86E2-4879-929D-192B596954E1}" destId="{718FF5E3-D770-40A0-B16F-9758AAA80C63}" srcOrd="0" destOrd="0" presId="urn:microsoft.com/office/officeart/2005/8/layout/hierarchy1"/>
    <dgm:cxn modelId="{AF2A69BA-C31E-425D-A683-6BBD59BB000F}" type="presOf" srcId="{10EDCC4E-E718-48B8-859C-6B4351559AD9}" destId="{7174CA54-2B69-4DE3-AF82-AD77F7EAE158}" srcOrd="0" destOrd="0" presId="urn:microsoft.com/office/officeart/2005/8/layout/hierarchy1"/>
    <dgm:cxn modelId="{3DA18FBF-6556-4DAB-B666-B5144EAD4D2F}" srcId="{9565148D-AD81-4A5A-AE6A-BEE754336771}" destId="{6DC88CB8-CFCB-48AB-95E1-48A6C815EC09}" srcOrd="0" destOrd="0" parTransId="{1475DBBA-DF13-4956-A57F-5A9D493A158B}" sibTransId="{727C19E3-D3D1-4389-AB94-D0F12D4EFB23}"/>
    <dgm:cxn modelId="{83AD70C3-81C6-476C-BAC2-52956D4A469F}" srcId="{55902C67-4955-436E-87D8-A7753EF5F818}" destId="{76A09E1B-DE08-4FAC-A0D6-D2B813FD1685}" srcOrd="3" destOrd="0" parTransId="{C20BA307-7B99-4728-B3B0-2368CDB1C30B}" sibTransId="{D04EC49E-EF7B-443B-A53B-059EC396E2EE}"/>
    <dgm:cxn modelId="{7004F2C4-38F4-4C3D-B5E2-89EFFB8B34C0}" type="presOf" srcId="{16E12875-85FC-48EB-8F7D-84BEB82747AC}" destId="{9512C7D3-501E-46AB-AE1E-AC490EC4F336}" srcOrd="0" destOrd="0" presId="urn:microsoft.com/office/officeart/2005/8/layout/hierarchy1"/>
    <dgm:cxn modelId="{2D9C89C5-5295-4C9F-B4B4-10418AA379D0}" type="presOf" srcId="{76A09E1B-DE08-4FAC-A0D6-D2B813FD1685}" destId="{F49B8B02-B24A-492A-A59F-0C29C500C4D4}" srcOrd="0" destOrd="0" presId="urn:microsoft.com/office/officeart/2005/8/layout/hierarchy1"/>
    <dgm:cxn modelId="{1F2C4BD0-6BA0-4C91-B6E8-57BF9782D7D8}" type="presOf" srcId="{5969263E-A84B-47C3-805D-CB51E39A234D}" destId="{6D3AF6AA-6BCF-4C9E-A1AD-FA5DBA5DF8CE}" srcOrd="0" destOrd="0" presId="urn:microsoft.com/office/officeart/2005/8/layout/hierarchy1"/>
    <dgm:cxn modelId="{828018D3-D1DD-487B-B891-86E4DA00F278}" srcId="{55902C67-4955-436E-87D8-A7753EF5F818}" destId="{724EF990-86E2-4879-929D-192B596954E1}" srcOrd="6" destOrd="0" parTransId="{15CCB424-2713-49C9-BC98-C14F06C9871A}" sibTransId="{5B9E761B-44D9-4B6E-82D8-81B4B3CD78F2}"/>
    <dgm:cxn modelId="{E886EDD3-28F6-46B6-A17F-65D271099B8B}" type="presOf" srcId="{9565148D-AD81-4A5A-AE6A-BEE754336771}" destId="{5BC61D41-8DB6-442F-95B5-B7A16D892F39}" srcOrd="0" destOrd="0" presId="urn:microsoft.com/office/officeart/2005/8/layout/hierarchy1"/>
    <dgm:cxn modelId="{52B6A6D6-9F91-413F-9BDE-5362216B7D03}" srcId="{55902C67-4955-436E-87D8-A7753EF5F818}" destId="{9565148D-AD81-4A5A-AE6A-BEE754336771}" srcOrd="1" destOrd="0" parTransId="{055CC437-0A34-41C8-81D4-85A79EF09FD2}" sibTransId="{D7310C64-B73E-4FE3-AB1F-07FC8203A80B}"/>
    <dgm:cxn modelId="{48793DD7-7774-424D-880D-E5DAC63E9753}" srcId="{A62661C6-2BD1-46A1-AD6F-706F9F2FD0FE}" destId="{F5371C3F-F560-46EF-8890-DF2AA475276B}" srcOrd="0" destOrd="0" parTransId="{5969263E-A84B-47C3-805D-CB51E39A234D}" sibTransId="{45F7957D-7563-46D3-947A-D6969D97D452}"/>
    <dgm:cxn modelId="{092672D9-614B-4463-AFB8-559FB71289AF}" type="presOf" srcId="{D6860ED8-D331-49B7-8AE0-CE0577F93C0A}" destId="{B1803E6A-5A05-4F9A-8515-FECBC57B882F}" srcOrd="0" destOrd="0" presId="urn:microsoft.com/office/officeart/2005/8/layout/hierarchy1"/>
    <dgm:cxn modelId="{93383CE2-BDC1-4F81-AC9D-B7976C81E39C}" srcId="{55902C67-4955-436E-87D8-A7753EF5F818}" destId="{A62661C6-2BD1-46A1-AD6F-706F9F2FD0FE}" srcOrd="0" destOrd="0" parTransId="{FECC031F-A5FB-46CE-A037-9D222C08BE2D}" sibTransId="{E44DE6B2-F469-4E17-8D90-A25EE9909EB3}"/>
    <dgm:cxn modelId="{DD717DE2-4E0E-4B6C-A473-D14F9D2AABA1}" type="presOf" srcId="{EBEA0D5E-1B46-4F60-B31C-AC9CB487FAF0}" destId="{E333AFD4-7B64-41D3-B1F0-C7EA0B4A700C}" srcOrd="0" destOrd="0" presId="urn:microsoft.com/office/officeart/2005/8/layout/hierarchy1"/>
    <dgm:cxn modelId="{77128BF2-46B1-4C32-AA62-5507DFC5C6A5}" srcId="{55902C67-4955-436E-87D8-A7753EF5F818}" destId="{1191C681-30C3-4BC7-8500-75F379E38265}" srcOrd="5" destOrd="0" parTransId="{B14ABDD7-F08A-4DED-979C-F65D3421F3A5}" sibTransId="{8829A986-634C-437C-B9F1-F8CD09EC0684}"/>
    <dgm:cxn modelId="{1B00C054-AAB6-4F1A-B931-EADB1512B1A6}" type="presParOf" srcId="{B938FB83-7671-4A8F-910B-43D715D4BE76}" destId="{ED2056EF-79E0-495C-8D7D-23FCDD19569E}" srcOrd="0" destOrd="0" presId="urn:microsoft.com/office/officeart/2005/8/layout/hierarchy1"/>
    <dgm:cxn modelId="{1DF15BA5-CE06-46E7-BDE6-4A3E53F18F85}" type="presParOf" srcId="{ED2056EF-79E0-495C-8D7D-23FCDD19569E}" destId="{E8003E40-4366-4432-812E-40D978806B87}" srcOrd="0" destOrd="0" presId="urn:microsoft.com/office/officeart/2005/8/layout/hierarchy1"/>
    <dgm:cxn modelId="{1A059B6B-F661-4051-9177-B33E0064AD9B}" type="presParOf" srcId="{E8003E40-4366-4432-812E-40D978806B87}" destId="{02B1B537-01E0-4C31-833C-F617860B5E3D}" srcOrd="0" destOrd="0" presId="urn:microsoft.com/office/officeart/2005/8/layout/hierarchy1"/>
    <dgm:cxn modelId="{153CFDB6-363E-450B-B59A-2A2D4EC7A0FE}" type="presParOf" srcId="{E8003E40-4366-4432-812E-40D978806B87}" destId="{142193E6-9605-4FF2-9C94-090E1C59F988}" srcOrd="1" destOrd="0" presId="urn:microsoft.com/office/officeart/2005/8/layout/hierarchy1"/>
    <dgm:cxn modelId="{66FAC760-3B70-4F54-AFB4-EFC5FAED6428}" type="presParOf" srcId="{ED2056EF-79E0-495C-8D7D-23FCDD19569E}" destId="{8ED7DBC6-0502-4F34-BEFA-9C9245F1630C}" srcOrd="1" destOrd="0" presId="urn:microsoft.com/office/officeart/2005/8/layout/hierarchy1"/>
    <dgm:cxn modelId="{4C444FD0-AEFE-4372-A47E-ABEFC7C7B7AD}" type="presParOf" srcId="{8ED7DBC6-0502-4F34-BEFA-9C9245F1630C}" destId="{E6E2FED1-FE1C-4E68-AB37-8365BC5B6385}" srcOrd="0" destOrd="0" presId="urn:microsoft.com/office/officeart/2005/8/layout/hierarchy1"/>
    <dgm:cxn modelId="{6C18966A-3454-4153-8C3A-B79234340BC3}" type="presParOf" srcId="{8ED7DBC6-0502-4F34-BEFA-9C9245F1630C}" destId="{0701696C-7D2C-4847-A9C2-6FD9E17C80A1}" srcOrd="1" destOrd="0" presId="urn:microsoft.com/office/officeart/2005/8/layout/hierarchy1"/>
    <dgm:cxn modelId="{1C1C4AE2-0FE9-4DA6-9D73-639385F24C27}" type="presParOf" srcId="{0701696C-7D2C-4847-A9C2-6FD9E17C80A1}" destId="{344BBF4B-AC4C-4004-B41B-A9FB50CF9BFF}" srcOrd="0" destOrd="0" presId="urn:microsoft.com/office/officeart/2005/8/layout/hierarchy1"/>
    <dgm:cxn modelId="{7815E34A-3381-4B21-8644-988BD4943FF8}" type="presParOf" srcId="{344BBF4B-AC4C-4004-B41B-A9FB50CF9BFF}" destId="{D93793AE-44E4-44BF-A0E0-C74C9700E3FB}" srcOrd="0" destOrd="0" presId="urn:microsoft.com/office/officeart/2005/8/layout/hierarchy1"/>
    <dgm:cxn modelId="{BBDC433D-418E-463F-8BD3-1FE3F83A2E78}" type="presParOf" srcId="{344BBF4B-AC4C-4004-B41B-A9FB50CF9BFF}" destId="{49368805-E969-4F3C-8DAB-C39517A18226}" srcOrd="1" destOrd="0" presId="urn:microsoft.com/office/officeart/2005/8/layout/hierarchy1"/>
    <dgm:cxn modelId="{02E67AFC-C650-487C-BC76-2BF20DD46459}" type="presParOf" srcId="{0701696C-7D2C-4847-A9C2-6FD9E17C80A1}" destId="{1CC46352-368A-4156-B180-AFF8B3F873CD}" srcOrd="1" destOrd="0" presId="urn:microsoft.com/office/officeart/2005/8/layout/hierarchy1"/>
    <dgm:cxn modelId="{03C4563C-F92E-42C8-B838-21CBFAC403FA}" type="presParOf" srcId="{1CC46352-368A-4156-B180-AFF8B3F873CD}" destId="{36A258D9-2544-4EC7-9EC9-D89FFDCDDE6B}" srcOrd="0" destOrd="0" presId="urn:microsoft.com/office/officeart/2005/8/layout/hierarchy1"/>
    <dgm:cxn modelId="{2EDDF065-D68E-4C5F-A19E-C84CA58A8C2D}" type="presParOf" srcId="{1CC46352-368A-4156-B180-AFF8B3F873CD}" destId="{DF4A88AC-6306-4FC6-A611-1B45CEC74AFF}" srcOrd="1" destOrd="0" presId="urn:microsoft.com/office/officeart/2005/8/layout/hierarchy1"/>
    <dgm:cxn modelId="{EE46A71F-9BF4-47C5-A886-5371DA1A3587}" type="presParOf" srcId="{DF4A88AC-6306-4FC6-A611-1B45CEC74AFF}" destId="{15F2C3B3-C13A-45B3-919E-EE1C478B876F}" srcOrd="0" destOrd="0" presId="urn:microsoft.com/office/officeart/2005/8/layout/hierarchy1"/>
    <dgm:cxn modelId="{1D28E2F3-907F-4F6E-A328-525B220661E2}" type="presParOf" srcId="{15F2C3B3-C13A-45B3-919E-EE1C478B876F}" destId="{FF3550A7-87CB-4AAC-AF9D-6DCA4229C4D9}" srcOrd="0" destOrd="0" presId="urn:microsoft.com/office/officeart/2005/8/layout/hierarchy1"/>
    <dgm:cxn modelId="{56C10CD9-CC9A-4AA2-9A8C-B24B6A214727}" type="presParOf" srcId="{15F2C3B3-C13A-45B3-919E-EE1C478B876F}" destId="{7D683E53-4A13-4549-AFE1-AD5420B1C51B}" srcOrd="1" destOrd="0" presId="urn:microsoft.com/office/officeart/2005/8/layout/hierarchy1"/>
    <dgm:cxn modelId="{AFB228A9-E42D-4B00-9B14-4FF343CE74E6}" type="presParOf" srcId="{DF4A88AC-6306-4FC6-A611-1B45CEC74AFF}" destId="{2C4BC977-C52F-42DE-8DE9-B3B546C1A207}" srcOrd="1" destOrd="0" presId="urn:microsoft.com/office/officeart/2005/8/layout/hierarchy1"/>
    <dgm:cxn modelId="{4733F969-DBB4-4B66-81BA-32F52EEA693F}" type="presParOf" srcId="{2C4BC977-C52F-42DE-8DE9-B3B546C1A207}" destId="{6D3AF6AA-6BCF-4C9E-A1AD-FA5DBA5DF8CE}" srcOrd="0" destOrd="0" presId="urn:microsoft.com/office/officeart/2005/8/layout/hierarchy1"/>
    <dgm:cxn modelId="{0C968D5A-6B80-4958-BA30-19065A4E8371}" type="presParOf" srcId="{2C4BC977-C52F-42DE-8DE9-B3B546C1A207}" destId="{219299E1-CF13-46FB-926E-31687CB81241}" srcOrd="1" destOrd="0" presId="urn:microsoft.com/office/officeart/2005/8/layout/hierarchy1"/>
    <dgm:cxn modelId="{CCB0D290-DCEA-4F0F-94FA-4C8943FC6367}" type="presParOf" srcId="{219299E1-CF13-46FB-926E-31687CB81241}" destId="{94464091-7199-4133-A3B0-3C22DC2F1D80}" srcOrd="0" destOrd="0" presId="urn:microsoft.com/office/officeart/2005/8/layout/hierarchy1"/>
    <dgm:cxn modelId="{7029A085-5583-4A04-ADF6-70780A5A6A3D}" type="presParOf" srcId="{94464091-7199-4133-A3B0-3C22DC2F1D80}" destId="{0B876152-89E0-455E-A68E-2B03DC6CA1F0}" srcOrd="0" destOrd="0" presId="urn:microsoft.com/office/officeart/2005/8/layout/hierarchy1"/>
    <dgm:cxn modelId="{FDE0A7E2-CD00-4509-956F-08C13741377C}" type="presParOf" srcId="{94464091-7199-4133-A3B0-3C22DC2F1D80}" destId="{4090771E-10DE-45C1-A7CF-679C5CE57FBF}" srcOrd="1" destOrd="0" presId="urn:microsoft.com/office/officeart/2005/8/layout/hierarchy1"/>
    <dgm:cxn modelId="{E8E62CBF-C638-412C-BFE2-930D16FD6A44}" type="presParOf" srcId="{219299E1-CF13-46FB-926E-31687CB81241}" destId="{5B4700CC-2148-4BA2-A586-690C7091549F}" srcOrd="1" destOrd="0" presId="urn:microsoft.com/office/officeart/2005/8/layout/hierarchy1"/>
    <dgm:cxn modelId="{1B1B8797-EF18-4033-BC7A-BECBDC34628C}" type="presParOf" srcId="{2C4BC977-C52F-42DE-8DE9-B3B546C1A207}" destId="{E333AFD4-7B64-41D3-B1F0-C7EA0B4A700C}" srcOrd="2" destOrd="0" presId="urn:microsoft.com/office/officeart/2005/8/layout/hierarchy1"/>
    <dgm:cxn modelId="{4EF7D782-77CB-4422-A0CB-084B007D059E}" type="presParOf" srcId="{2C4BC977-C52F-42DE-8DE9-B3B546C1A207}" destId="{BCDC6461-1E3B-4BB3-A52E-687533907008}" srcOrd="3" destOrd="0" presId="urn:microsoft.com/office/officeart/2005/8/layout/hierarchy1"/>
    <dgm:cxn modelId="{E450608B-9F2F-4DD4-A23F-088A57965EA0}" type="presParOf" srcId="{BCDC6461-1E3B-4BB3-A52E-687533907008}" destId="{D9359378-8488-4359-BC98-AA3481A52467}" srcOrd="0" destOrd="0" presId="urn:microsoft.com/office/officeart/2005/8/layout/hierarchy1"/>
    <dgm:cxn modelId="{A036A0BC-33BB-4079-AC1B-583D72B6A6C1}" type="presParOf" srcId="{D9359378-8488-4359-BC98-AA3481A52467}" destId="{AC78CA15-E63D-4764-85A5-50E9CF250815}" srcOrd="0" destOrd="0" presId="urn:microsoft.com/office/officeart/2005/8/layout/hierarchy1"/>
    <dgm:cxn modelId="{9A1B3FB0-8AAD-491A-91B2-F7D23F1752C3}" type="presParOf" srcId="{D9359378-8488-4359-BC98-AA3481A52467}" destId="{D1D12003-566B-4672-BDFF-59E839AD4EFC}" srcOrd="1" destOrd="0" presId="urn:microsoft.com/office/officeart/2005/8/layout/hierarchy1"/>
    <dgm:cxn modelId="{6EBBCC83-1967-43BF-A3E3-4857E5F4388E}" type="presParOf" srcId="{BCDC6461-1E3B-4BB3-A52E-687533907008}" destId="{57A065B0-31DD-4CB2-8D17-BB1F7222C472}" srcOrd="1" destOrd="0" presId="urn:microsoft.com/office/officeart/2005/8/layout/hierarchy1"/>
    <dgm:cxn modelId="{D7BDFBB7-5F21-4ECE-999E-3AF2521E6B45}" type="presParOf" srcId="{1CC46352-368A-4156-B180-AFF8B3F873CD}" destId="{55EDB270-07B4-4C1A-970C-9A72E2343FB4}" srcOrd="2" destOrd="0" presId="urn:microsoft.com/office/officeart/2005/8/layout/hierarchy1"/>
    <dgm:cxn modelId="{D10602FF-64FD-47CD-BEDC-982E62D7CA2A}" type="presParOf" srcId="{1CC46352-368A-4156-B180-AFF8B3F873CD}" destId="{845036CE-B807-47E5-801E-7ABC6C2FF60E}" srcOrd="3" destOrd="0" presId="urn:microsoft.com/office/officeart/2005/8/layout/hierarchy1"/>
    <dgm:cxn modelId="{C1F0134B-7A59-4952-9A8B-A7514BCD673C}" type="presParOf" srcId="{845036CE-B807-47E5-801E-7ABC6C2FF60E}" destId="{9594976B-A7A3-451A-B4CF-951F052839CB}" srcOrd="0" destOrd="0" presId="urn:microsoft.com/office/officeart/2005/8/layout/hierarchy1"/>
    <dgm:cxn modelId="{5301A7C6-1A2C-4E99-A132-5D3F6971D198}" type="presParOf" srcId="{9594976B-A7A3-451A-B4CF-951F052839CB}" destId="{7872AC9C-6BA0-4BBC-8AE1-7C3E2CC8FBC9}" srcOrd="0" destOrd="0" presId="urn:microsoft.com/office/officeart/2005/8/layout/hierarchy1"/>
    <dgm:cxn modelId="{6261306A-13E8-47AD-8CB1-1B1A06A7FD95}" type="presParOf" srcId="{9594976B-A7A3-451A-B4CF-951F052839CB}" destId="{5BC61D41-8DB6-442F-95B5-B7A16D892F39}" srcOrd="1" destOrd="0" presId="urn:microsoft.com/office/officeart/2005/8/layout/hierarchy1"/>
    <dgm:cxn modelId="{D260BF40-8066-49CD-AE88-1D4E48BE7006}" type="presParOf" srcId="{845036CE-B807-47E5-801E-7ABC6C2FF60E}" destId="{98D142E4-5180-4D21-A496-825E6C0317E0}" srcOrd="1" destOrd="0" presId="urn:microsoft.com/office/officeart/2005/8/layout/hierarchy1"/>
    <dgm:cxn modelId="{7EE3FEF0-5BE5-473C-AFB0-D15E99B5F0E3}" type="presParOf" srcId="{98D142E4-5180-4D21-A496-825E6C0317E0}" destId="{873BFCE9-827D-4EF1-9341-13C029D20AD8}" srcOrd="0" destOrd="0" presId="urn:microsoft.com/office/officeart/2005/8/layout/hierarchy1"/>
    <dgm:cxn modelId="{47AB3FDA-69C2-4B3C-8381-C4E32AAB4E57}" type="presParOf" srcId="{98D142E4-5180-4D21-A496-825E6C0317E0}" destId="{12244B1A-2799-47F0-A90E-C68A39B6A96C}" srcOrd="1" destOrd="0" presId="urn:microsoft.com/office/officeart/2005/8/layout/hierarchy1"/>
    <dgm:cxn modelId="{38DEF071-AE2E-4BC2-B919-86B425C0974E}" type="presParOf" srcId="{12244B1A-2799-47F0-A90E-C68A39B6A96C}" destId="{5D7904B6-B5C4-41F6-9EB8-CEA8F05A5D42}" srcOrd="0" destOrd="0" presId="urn:microsoft.com/office/officeart/2005/8/layout/hierarchy1"/>
    <dgm:cxn modelId="{BB08AB68-E8D3-4875-864C-DF68F91EDD76}" type="presParOf" srcId="{5D7904B6-B5C4-41F6-9EB8-CEA8F05A5D42}" destId="{26F96866-C57F-4CC9-A35B-18C4D4371EE4}" srcOrd="0" destOrd="0" presId="urn:microsoft.com/office/officeart/2005/8/layout/hierarchy1"/>
    <dgm:cxn modelId="{A365A69A-2DCE-49A8-8452-216AF1A69540}" type="presParOf" srcId="{5D7904B6-B5C4-41F6-9EB8-CEA8F05A5D42}" destId="{CFC0D8ED-C956-43BE-A94A-A4596BFD3BE5}" srcOrd="1" destOrd="0" presId="urn:microsoft.com/office/officeart/2005/8/layout/hierarchy1"/>
    <dgm:cxn modelId="{D770B64D-42A6-4934-80B5-54EE058316B6}" type="presParOf" srcId="{12244B1A-2799-47F0-A90E-C68A39B6A96C}" destId="{0FCB3807-7D95-49A4-B02F-7DC832F3BFAB}" srcOrd="1" destOrd="0" presId="urn:microsoft.com/office/officeart/2005/8/layout/hierarchy1"/>
    <dgm:cxn modelId="{85B3CD19-75B6-47C8-A6BF-F913945D6EF8}" type="presParOf" srcId="{1CC46352-368A-4156-B180-AFF8B3F873CD}" destId="{31649376-2BBF-4101-87B4-9451F030155B}" srcOrd="4" destOrd="0" presId="urn:microsoft.com/office/officeart/2005/8/layout/hierarchy1"/>
    <dgm:cxn modelId="{3DCD58AD-49C0-4365-99B3-E6E676842138}" type="presParOf" srcId="{1CC46352-368A-4156-B180-AFF8B3F873CD}" destId="{E77F2D8E-2B39-4193-9592-6CEBA8AAD3E1}" srcOrd="5" destOrd="0" presId="urn:microsoft.com/office/officeart/2005/8/layout/hierarchy1"/>
    <dgm:cxn modelId="{A65D4A99-2853-48DD-96D5-51CC3865286C}" type="presParOf" srcId="{E77F2D8E-2B39-4193-9592-6CEBA8AAD3E1}" destId="{CB26C930-A538-4717-BB99-4374D4DAFE82}" srcOrd="0" destOrd="0" presId="urn:microsoft.com/office/officeart/2005/8/layout/hierarchy1"/>
    <dgm:cxn modelId="{C0269FC7-470C-4962-9A1F-54B9477FDCEE}" type="presParOf" srcId="{CB26C930-A538-4717-BB99-4374D4DAFE82}" destId="{763136D2-EB56-47D9-8461-5ABF5CAD7911}" srcOrd="0" destOrd="0" presId="urn:microsoft.com/office/officeart/2005/8/layout/hierarchy1"/>
    <dgm:cxn modelId="{ACCDD560-6357-4CB7-915F-4B673EF07EA3}" type="presParOf" srcId="{CB26C930-A538-4717-BB99-4374D4DAFE82}" destId="{7174CA54-2B69-4DE3-AF82-AD77F7EAE158}" srcOrd="1" destOrd="0" presId="urn:microsoft.com/office/officeart/2005/8/layout/hierarchy1"/>
    <dgm:cxn modelId="{67FF9E66-E99C-472B-B740-8321D3492341}" type="presParOf" srcId="{E77F2D8E-2B39-4193-9592-6CEBA8AAD3E1}" destId="{9EBD469F-3349-438B-96C8-7807376A9B17}" srcOrd="1" destOrd="0" presId="urn:microsoft.com/office/officeart/2005/8/layout/hierarchy1"/>
    <dgm:cxn modelId="{AB9C15F4-2EA8-480E-811D-AF55F7A17547}" type="presParOf" srcId="{9EBD469F-3349-438B-96C8-7807376A9B17}" destId="{B1803E6A-5A05-4F9A-8515-FECBC57B882F}" srcOrd="0" destOrd="0" presId="urn:microsoft.com/office/officeart/2005/8/layout/hierarchy1"/>
    <dgm:cxn modelId="{D5425779-1B59-46B9-9A0D-5E95F2105BD6}" type="presParOf" srcId="{9EBD469F-3349-438B-96C8-7807376A9B17}" destId="{6533F35F-2340-463D-9D3A-A38BD29B50F5}" srcOrd="1" destOrd="0" presId="urn:microsoft.com/office/officeart/2005/8/layout/hierarchy1"/>
    <dgm:cxn modelId="{A1407E8D-97C7-4415-BD56-36D7F9606FC1}" type="presParOf" srcId="{6533F35F-2340-463D-9D3A-A38BD29B50F5}" destId="{0AF89E00-85DD-41D3-BD66-A2D3A9F6FABF}" srcOrd="0" destOrd="0" presId="urn:microsoft.com/office/officeart/2005/8/layout/hierarchy1"/>
    <dgm:cxn modelId="{4AB1CF3B-10EA-45F0-A0EB-D16F60C6EB77}" type="presParOf" srcId="{0AF89E00-85DD-41D3-BD66-A2D3A9F6FABF}" destId="{55EDC655-595E-402B-B184-BCAFEF0669ED}" srcOrd="0" destOrd="0" presId="urn:microsoft.com/office/officeart/2005/8/layout/hierarchy1"/>
    <dgm:cxn modelId="{1F244121-FA29-47F7-BC0A-13C254632DE9}" type="presParOf" srcId="{0AF89E00-85DD-41D3-BD66-A2D3A9F6FABF}" destId="{86676191-AB1B-4873-B408-878B4806781E}" srcOrd="1" destOrd="0" presId="urn:microsoft.com/office/officeart/2005/8/layout/hierarchy1"/>
    <dgm:cxn modelId="{63933538-8C30-48DC-99A2-B8E406F6235B}" type="presParOf" srcId="{6533F35F-2340-463D-9D3A-A38BD29B50F5}" destId="{5882B81F-3119-4059-87D6-E06740DA7A53}" srcOrd="1" destOrd="0" presId="urn:microsoft.com/office/officeart/2005/8/layout/hierarchy1"/>
    <dgm:cxn modelId="{385F6FB7-D6C7-445D-8528-752BC777EFF3}" type="presParOf" srcId="{1CC46352-368A-4156-B180-AFF8B3F873CD}" destId="{0D518C08-8051-4BC9-9873-A1F7F6DBB9BA}" srcOrd="6" destOrd="0" presId="urn:microsoft.com/office/officeart/2005/8/layout/hierarchy1"/>
    <dgm:cxn modelId="{AC3B1E0C-DEF8-42D2-A90A-B629C3E259B3}" type="presParOf" srcId="{1CC46352-368A-4156-B180-AFF8B3F873CD}" destId="{718E1D27-0C33-468F-9E27-E781E8A50FE4}" srcOrd="7" destOrd="0" presId="urn:microsoft.com/office/officeart/2005/8/layout/hierarchy1"/>
    <dgm:cxn modelId="{9A96B697-9A25-4012-BBE8-96334F0E78C0}" type="presParOf" srcId="{718E1D27-0C33-468F-9E27-E781E8A50FE4}" destId="{5CF12F83-0C19-494B-B3F6-3EBC4F491E8B}" srcOrd="0" destOrd="0" presId="urn:microsoft.com/office/officeart/2005/8/layout/hierarchy1"/>
    <dgm:cxn modelId="{EF3091A8-F38C-42E4-9E87-FCA4E078C05B}" type="presParOf" srcId="{5CF12F83-0C19-494B-B3F6-3EBC4F491E8B}" destId="{3AB15AD6-033B-41E3-9D3A-82662C9B15DA}" srcOrd="0" destOrd="0" presId="urn:microsoft.com/office/officeart/2005/8/layout/hierarchy1"/>
    <dgm:cxn modelId="{ACBBDFD9-FFD7-458C-8203-06E5DD5EC3D1}" type="presParOf" srcId="{5CF12F83-0C19-494B-B3F6-3EBC4F491E8B}" destId="{F49B8B02-B24A-492A-A59F-0C29C500C4D4}" srcOrd="1" destOrd="0" presId="urn:microsoft.com/office/officeart/2005/8/layout/hierarchy1"/>
    <dgm:cxn modelId="{308E6C26-BD0E-4616-8051-563FF64D95B7}" type="presParOf" srcId="{718E1D27-0C33-468F-9E27-E781E8A50FE4}" destId="{0D6DA3D4-EFFC-4F00-AF80-77037D9034E8}" srcOrd="1" destOrd="0" presId="urn:microsoft.com/office/officeart/2005/8/layout/hierarchy1"/>
    <dgm:cxn modelId="{892B0608-7D22-4C8C-A6BB-CD83122ADB91}" type="presParOf" srcId="{0D6DA3D4-EFFC-4F00-AF80-77037D9034E8}" destId="{F98C5332-46DE-4491-B27F-A9E512E488D0}" srcOrd="0" destOrd="0" presId="urn:microsoft.com/office/officeart/2005/8/layout/hierarchy1"/>
    <dgm:cxn modelId="{D0CED8B3-EE72-4B48-8905-D134D2848CDC}" type="presParOf" srcId="{0D6DA3D4-EFFC-4F00-AF80-77037D9034E8}" destId="{31EEA51A-157D-4AB7-87F8-AF9DDDBEF3C8}" srcOrd="1" destOrd="0" presId="urn:microsoft.com/office/officeart/2005/8/layout/hierarchy1"/>
    <dgm:cxn modelId="{E596571D-DDBB-416B-A0B0-EC320F147C11}" type="presParOf" srcId="{31EEA51A-157D-4AB7-87F8-AF9DDDBEF3C8}" destId="{18BA1CD1-9A3A-43B1-9A07-F0056D631E84}" srcOrd="0" destOrd="0" presId="urn:microsoft.com/office/officeart/2005/8/layout/hierarchy1"/>
    <dgm:cxn modelId="{B079ACDD-0F4B-43C7-A159-281F046EB485}" type="presParOf" srcId="{18BA1CD1-9A3A-43B1-9A07-F0056D631E84}" destId="{70E9C805-01E3-462A-AC6B-13FE80363E48}" srcOrd="0" destOrd="0" presId="urn:microsoft.com/office/officeart/2005/8/layout/hierarchy1"/>
    <dgm:cxn modelId="{28A54E61-9502-427B-9BB6-A79B5DE841BB}" type="presParOf" srcId="{18BA1CD1-9A3A-43B1-9A07-F0056D631E84}" destId="{9512C7D3-501E-46AB-AE1E-AC490EC4F336}" srcOrd="1" destOrd="0" presId="urn:microsoft.com/office/officeart/2005/8/layout/hierarchy1"/>
    <dgm:cxn modelId="{4533A038-28FE-4C19-9AD2-0816D4CA2532}" type="presParOf" srcId="{31EEA51A-157D-4AB7-87F8-AF9DDDBEF3C8}" destId="{6A4A4406-E515-4E70-A2B0-0704F98C70FC}" srcOrd="1" destOrd="0" presId="urn:microsoft.com/office/officeart/2005/8/layout/hierarchy1"/>
    <dgm:cxn modelId="{C51B647C-8875-452E-BB7C-46616D3AC435}" type="presParOf" srcId="{0D6DA3D4-EFFC-4F00-AF80-77037D9034E8}" destId="{CBD1DDB0-5E69-4568-A5D1-A9D333925511}" srcOrd="2" destOrd="0" presId="urn:microsoft.com/office/officeart/2005/8/layout/hierarchy1"/>
    <dgm:cxn modelId="{53463308-6CE5-46D5-9F64-CBE11D9440A0}" type="presParOf" srcId="{0D6DA3D4-EFFC-4F00-AF80-77037D9034E8}" destId="{C2D8E82F-47D7-4840-85AF-82C893FD750A}" srcOrd="3" destOrd="0" presId="urn:microsoft.com/office/officeart/2005/8/layout/hierarchy1"/>
    <dgm:cxn modelId="{5AD9975D-8D75-459A-890E-CD83C502F782}" type="presParOf" srcId="{C2D8E82F-47D7-4840-85AF-82C893FD750A}" destId="{AF5B6665-8A9C-46E6-9B77-AB3421E35F4E}" srcOrd="0" destOrd="0" presId="urn:microsoft.com/office/officeart/2005/8/layout/hierarchy1"/>
    <dgm:cxn modelId="{56C0390C-2F9E-45F8-A46A-E14BFB4D7C2B}" type="presParOf" srcId="{AF5B6665-8A9C-46E6-9B77-AB3421E35F4E}" destId="{28E9DC63-1274-4774-8A8C-5BF3621988E9}" srcOrd="0" destOrd="0" presId="urn:microsoft.com/office/officeart/2005/8/layout/hierarchy1"/>
    <dgm:cxn modelId="{A71C5C04-99B7-4502-A9B0-FDE2E38028E6}" type="presParOf" srcId="{AF5B6665-8A9C-46E6-9B77-AB3421E35F4E}" destId="{35D77C78-5E9E-4D9E-9C44-9F1EDC53ED15}" srcOrd="1" destOrd="0" presId="urn:microsoft.com/office/officeart/2005/8/layout/hierarchy1"/>
    <dgm:cxn modelId="{9A4C90C0-6880-4F4A-A8B3-D954ADCD51D3}" type="presParOf" srcId="{C2D8E82F-47D7-4840-85AF-82C893FD750A}" destId="{A07AD45B-C976-4360-8223-83D58C7D5726}" srcOrd="1" destOrd="0" presId="urn:microsoft.com/office/officeart/2005/8/layout/hierarchy1"/>
    <dgm:cxn modelId="{6588BA8C-7CB2-418C-9EA2-59DA1A78253D}" type="presParOf" srcId="{1CC46352-368A-4156-B180-AFF8B3F873CD}" destId="{47E7B6FC-C1A4-41A9-B069-84785E98A8E0}" srcOrd="8" destOrd="0" presId="urn:microsoft.com/office/officeart/2005/8/layout/hierarchy1"/>
    <dgm:cxn modelId="{8E6782A9-44CF-47F3-8429-D24BC5677405}" type="presParOf" srcId="{1CC46352-368A-4156-B180-AFF8B3F873CD}" destId="{2091DCB2-D319-4DC0-9991-A21CA449B763}" srcOrd="9" destOrd="0" presId="urn:microsoft.com/office/officeart/2005/8/layout/hierarchy1"/>
    <dgm:cxn modelId="{6E38A639-5D15-44EE-8B14-944EE385FABC}" type="presParOf" srcId="{2091DCB2-D319-4DC0-9991-A21CA449B763}" destId="{7AFAE706-DDF9-4D45-A5D3-8426A87EB9DC}" srcOrd="0" destOrd="0" presId="urn:microsoft.com/office/officeart/2005/8/layout/hierarchy1"/>
    <dgm:cxn modelId="{460E9BC4-DBC0-4E10-86EC-AE045172E5B8}" type="presParOf" srcId="{7AFAE706-DDF9-4D45-A5D3-8426A87EB9DC}" destId="{F0C9F7B8-2B8D-4D14-93EB-506ADA2C0AF1}" srcOrd="0" destOrd="0" presId="urn:microsoft.com/office/officeart/2005/8/layout/hierarchy1"/>
    <dgm:cxn modelId="{4A853B1E-8E03-4221-902A-94F9068A6AEA}" type="presParOf" srcId="{7AFAE706-DDF9-4D45-A5D3-8426A87EB9DC}" destId="{5F04932A-DA4E-4E54-B6A5-7AB24C9BD28C}" srcOrd="1" destOrd="0" presId="urn:microsoft.com/office/officeart/2005/8/layout/hierarchy1"/>
    <dgm:cxn modelId="{7557025D-523F-4E28-BBE9-ADC34F269823}" type="presParOf" srcId="{2091DCB2-D319-4DC0-9991-A21CA449B763}" destId="{D1E36C01-4965-47F4-B0CE-FAA76E35615A}" srcOrd="1" destOrd="0" presId="urn:microsoft.com/office/officeart/2005/8/layout/hierarchy1"/>
    <dgm:cxn modelId="{B0F081DF-6809-40B0-82AD-CC73CD2DBF48}" type="presParOf" srcId="{1CC46352-368A-4156-B180-AFF8B3F873CD}" destId="{93DC6E19-F374-4B99-A646-4C9247452D58}" srcOrd="10" destOrd="0" presId="urn:microsoft.com/office/officeart/2005/8/layout/hierarchy1"/>
    <dgm:cxn modelId="{FA6F05AE-65B1-4D28-B08F-C92E066A91F1}" type="presParOf" srcId="{1CC46352-368A-4156-B180-AFF8B3F873CD}" destId="{7D8C806A-1CEC-420E-875E-7AA789F89A31}" srcOrd="11" destOrd="0" presId="urn:microsoft.com/office/officeart/2005/8/layout/hierarchy1"/>
    <dgm:cxn modelId="{7C9589CA-4FAD-4599-8C19-7190D15B4967}" type="presParOf" srcId="{7D8C806A-1CEC-420E-875E-7AA789F89A31}" destId="{B4197DD7-72DD-46B4-9FEB-FEB679B76A43}" srcOrd="0" destOrd="0" presId="urn:microsoft.com/office/officeart/2005/8/layout/hierarchy1"/>
    <dgm:cxn modelId="{0AD34057-CE9E-4D94-9984-38E990CFEECA}" type="presParOf" srcId="{B4197DD7-72DD-46B4-9FEB-FEB679B76A43}" destId="{78BE9933-3D91-418C-9CF0-73064DB86876}" srcOrd="0" destOrd="0" presId="urn:microsoft.com/office/officeart/2005/8/layout/hierarchy1"/>
    <dgm:cxn modelId="{1193ECEA-572E-4C86-A87F-36D6BB7A70A6}" type="presParOf" srcId="{B4197DD7-72DD-46B4-9FEB-FEB679B76A43}" destId="{245135A5-6DA5-441F-82EF-70EE2B17737B}" srcOrd="1" destOrd="0" presId="urn:microsoft.com/office/officeart/2005/8/layout/hierarchy1"/>
    <dgm:cxn modelId="{85406D02-C30E-49E3-B225-398C613B6F61}" type="presParOf" srcId="{7D8C806A-1CEC-420E-875E-7AA789F89A31}" destId="{61B36874-3433-4C19-BD77-23FE8A12E865}" srcOrd="1" destOrd="0" presId="urn:microsoft.com/office/officeart/2005/8/layout/hierarchy1"/>
    <dgm:cxn modelId="{D99D59A6-019A-4AF8-9704-6ADA6DD0E937}" type="presParOf" srcId="{1CC46352-368A-4156-B180-AFF8B3F873CD}" destId="{2C790CAB-E7D1-4D77-BEB9-9549BDD6DAD3}" srcOrd="12" destOrd="0" presId="urn:microsoft.com/office/officeart/2005/8/layout/hierarchy1"/>
    <dgm:cxn modelId="{9BA8D836-24DE-4903-9CED-D4B2899BBF5A}" type="presParOf" srcId="{1CC46352-368A-4156-B180-AFF8B3F873CD}" destId="{BAFDF065-8AD5-4929-8491-6E6E4B7FE188}" srcOrd="13" destOrd="0" presId="urn:microsoft.com/office/officeart/2005/8/layout/hierarchy1"/>
    <dgm:cxn modelId="{33778BA2-A2B5-43AA-B083-34CE2E996C0D}" type="presParOf" srcId="{BAFDF065-8AD5-4929-8491-6E6E4B7FE188}" destId="{637B8781-F85E-4F5D-9724-10231468FCC8}" srcOrd="0" destOrd="0" presId="urn:microsoft.com/office/officeart/2005/8/layout/hierarchy1"/>
    <dgm:cxn modelId="{2B9B8F93-782E-49EA-9950-7F1AF30D25BD}" type="presParOf" srcId="{637B8781-F85E-4F5D-9724-10231468FCC8}" destId="{29FDC045-4314-4098-82C4-D929FCF4003D}" srcOrd="0" destOrd="0" presId="urn:microsoft.com/office/officeart/2005/8/layout/hierarchy1"/>
    <dgm:cxn modelId="{ED7ECDB5-CDC9-4DF4-83E8-B47DA4220A42}" type="presParOf" srcId="{637B8781-F85E-4F5D-9724-10231468FCC8}" destId="{718FF5E3-D770-40A0-B16F-9758AAA80C63}" srcOrd="1" destOrd="0" presId="urn:microsoft.com/office/officeart/2005/8/layout/hierarchy1"/>
    <dgm:cxn modelId="{052FF7E1-41BA-4D9D-85CE-0BC490084197}" type="presParOf" srcId="{BAFDF065-8AD5-4929-8491-6E6E4B7FE188}" destId="{BAB25C4F-9AE3-4E13-9C79-77E0A0FBFEA8}" srcOrd="1" destOrd="0" presId="urn:microsoft.com/office/officeart/2005/8/layout/hierarchy1"/>
  </dgm:cxnLst>
  <dgm:bg/>
  <dgm:whole/>
  <dgm:extLst>
    <a:ext uri="http://schemas.microsoft.com/office/drawing/2008/diagram">
      <dsp:dataModelExt xmlns:dsp="http://schemas.microsoft.com/office/drawing/2008/diagram" relId="rId4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790CAB-E7D1-4D77-BEB9-9549BDD6DAD3}">
      <dsp:nvSpPr>
        <dsp:cNvPr id="0" name=""/>
        <dsp:cNvSpPr/>
      </dsp:nvSpPr>
      <dsp:spPr>
        <a:xfrm>
          <a:off x="4130084" y="1350453"/>
          <a:ext cx="3389530" cy="577058"/>
        </a:xfrm>
        <a:custGeom>
          <a:avLst/>
          <a:gdLst/>
          <a:ahLst/>
          <a:cxnLst/>
          <a:rect l="0" t="0" r="0" b="0"/>
          <a:pathLst>
            <a:path>
              <a:moveTo>
                <a:pt x="0" y="0"/>
              </a:moveTo>
              <a:lnTo>
                <a:pt x="0" y="469407"/>
              </a:lnTo>
              <a:lnTo>
                <a:pt x="3019669" y="469407"/>
              </a:lnTo>
              <a:lnTo>
                <a:pt x="3019669" y="523766"/>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3DC6E19-F374-4B99-A646-4C9247452D58}">
      <dsp:nvSpPr>
        <dsp:cNvPr id="0" name=""/>
        <dsp:cNvSpPr/>
      </dsp:nvSpPr>
      <dsp:spPr>
        <a:xfrm>
          <a:off x="4130084" y="1350453"/>
          <a:ext cx="2627046" cy="587164"/>
        </a:xfrm>
        <a:custGeom>
          <a:avLst/>
          <a:gdLst/>
          <a:ahLst/>
          <a:cxnLst/>
          <a:rect l="0" t="0" r="0" b="0"/>
          <a:pathLst>
            <a:path>
              <a:moveTo>
                <a:pt x="0" y="0"/>
              </a:moveTo>
              <a:lnTo>
                <a:pt x="0" y="469407"/>
              </a:lnTo>
              <a:lnTo>
                <a:pt x="2302492" y="469407"/>
              </a:lnTo>
              <a:lnTo>
                <a:pt x="2302492" y="523766"/>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7E7B6FC-C1A4-41A9-B069-84785E98A8E0}">
      <dsp:nvSpPr>
        <dsp:cNvPr id="0" name=""/>
        <dsp:cNvSpPr/>
      </dsp:nvSpPr>
      <dsp:spPr>
        <a:xfrm>
          <a:off x="4130084" y="1350453"/>
          <a:ext cx="1837054" cy="546749"/>
        </a:xfrm>
        <a:custGeom>
          <a:avLst/>
          <a:gdLst/>
          <a:ahLst/>
          <a:cxnLst/>
          <a:rect l="0" t="0" r="0" b="0"/>
          <a:pathLst>
            <a:path>
              <a:moveTo>
                <a:pt x="0" y="0"/>
              </a:moveTo>
              <a:lnTo>
                <a:pt x="0" y="469407"/>
              </a:lnTo>
              <a:lnTo>
                <a:pt x="1585316" y="469407"/>
              </a:lnTo>
              <a:lnTo>
                <a:pt x="1585316" y="523766"/>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BD1DDB0-5E69-4568-A5D1-A9D333925511}">
      <dsp:nvSpPr>
        <dsp:cNvPr id="0" name=""/>
        <dsp:cNvSpPr/>
      </dsp:nvSpPr>
      <dsp:spPr>
        <a:xfrm>
          <a:off x="5057348" y="3032886"/>
          <a:ext cx="750679" cy="186491"/>
        </a:xfrm>
        <a:custGeom>
          <a:avLst/>
          <a:gdLst/>
          <a:ahLst/>
          <a:cxnLst/>
          <a:rect l="0" t="0" r="0" b="0"/>
          <a:pathLst>
            <a:path>
              <a:moveTo>
                <a:pt x="0" y="0"/>
              </a:moveTo>
              <a:lnTo>
                <a:pt x="0" y="116296"/>
              </a:lnTo>
              <a:lnTo>
                <a:pt x="358588" y="116296"/>
              </a:lnTo>
              <a:lnTo>
                <a:pt x="358588" y="170655"/>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98C5332-46DE-4491-B27F-A9E512E488D0}">
      <dsp:nvSpPr>
        <dsp:cNvPr id="0" name=""/>
        <dsp:cNvSpPr/>
      </dsp:nvSpPr>
      <dsp:spPr>
        <a:xfrm>
          <a:off x="4822149" y="3032886"/>
          <a:ext cx="235198" cy="186491"/>
        </a:xfrm>
        <a:custGeom>
          <a:avLst/>
          <a:gdLst/>
          <a:ahLst/>
          <a:cxnLst/>
          <a:rect l="0" t="0" r="0" b="0"/>
          <a:pathLst>
            <a:path>
              <a:moveTo>
                <a:pt x="501575" y="0"/>
              </a:moveTo>
              <a:lnTo>
                <a:pt x="501575" y="116296"/>
              </a:lnTo>
              <a:lnTo>
                <a:pt x="0" y="116296"/>
              </a:lnTo>
              <a:lnTo>
                <a:pt x="0" y="170655"/>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D518C08-8051-4BC9-9873-A1F7F6DBB9BA}">
      <dsp:nvSpPr>
        <dsp:cNvPr id="0" name=""/>
        <dsp:cNvSpPr/>
      </dsp:nvSpPr>
      <dsp:spPr>
        <a:xfrm>
          <a:off x="4130084" y="1350453"/>
          <a:ext cx="927263" cy="551800"/>
        </a:xfrm>
        <a:custGeom>
          <a:avLst/>
          <a:gdLst/>
          <a:ahLst/>
          <a:cxnLst/>
          <a:rect l="0" t="0" r="0" b="0"/>
          <a:pathLst>
            <a:path>
              <a:moveTo>
                <a:pt x="0" y="0"/>
              </a:moveTo>
              <a:lnTo>
                <a:pt x="0" y="469407"/>
              </a:lnTo>
              <a:lnTo>
                <a:pt x="760218" y="469407"/>
              </a:lnTo>
              <a:lnTo>
                <a:pt x="760218" y="523766"/>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1803E6A-5A05-4F9A-8515-FECBC57B882F}">
      <dsp:nvSpPr>
        <dsp:cNvPr id="0" name=""/>
        <dsp:cNvSpPr/>
      </dsp:nvSpPr>
      <dsp:spPr>
        <a:xfrm>
          <a:off x="3856928" y="2996148"/>
          <a:ext cx="91440" cy="181436"/>
        </a:xfrm>
        <a:custGeom>
          <a:avLst/>
          <a:gdLst/>
          <a:ahLst/>
          <a:cxnLst/>
          <a:rect l="0" t="0" r="0" b="0"/>
          <a:pathLst>
            <a:path>
              <a:moveTo>
                <a:pt x="45720" y="0"/>
              </a:moveTo>
              <a:lnTo>
                <a:pt x="45720" y="170655"/>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1649376-2BBF-4101-87B4-9451F030155B}">
      <dsp:nvSpPr>
        <dsp:cNvPr id="0" name=""/>
        <dsp:cNvSpPr/>
      </dsp:nvSpPr>
      <dsp:spPr>
        <a:xfrm>
          <a:off x="3902648" y="1350453"/>
          <a:ext cx="227435" cy="556855"/>
        </a:xfrm>
        <a:custGeom>
          <a:avLst/>
          <a:gdLst/>
          <a:ahLst/>
          <a:cxnLst/>
          <a:rect l="0" t="0" r="0" b="0"/>
          <a:pathLst>
            <a:path>
              <a:moveTo>
                <a:pt x="458533" y="0"/>
              </a:moveTo>
              <a:lnTo>
                <a:pt x="458533" y="469407"/>
              </a:lnTo>
              <a:lnTo>
                <a:pt x="0" y="469407"/>
              </a:lnTo>
              <a:lnTo>
                <a:pt x="0" y="523766"/>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73BFCE9-827D-4EF1-9341-13C029D20AD8}">
      <dsp:nvSpPr>
        <dsp:cNvPr id="0" name=""/>
        <dsp:cNvSpPr/>
      </dsp:nvSpPr>
      <dsp:spPr>
        <a:xfrm>
          <a:off x="2748760" y="2434577"/>
          <a:ext cx="91440" cy="181436"/>
        </a:xfrm>
        <a:custGeom>
          <a:avLst/>
          <a:gdLst/>
          <a:ahLst/>
          <a:cxnLst/>
          <a:rect l="0" t="0" r="0" b="0"/>
          <a:pathLst>
            <a:path>
              <a:moveTo>
                <a:pt x="45720" y="0"/>
              </a:moveTo>
              <a:lnTo>
                <a:pt x="45720" y="170655"/>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5EDB270-07B4-4C1A-970C-9A72E2343FB4}">
      <dsp:nvSpPr>
        <dsp:cNvPr id="0" name=""/>
        <dsp:cNvSpPr/>
      </dsp:nvSpPr>
      <dsp:spPr>
        <a:xfrm>
          <a:off x="2794480" y="1350453"/>
          <a:ext cx="1335603" cy="556855"/>
        </a:xfrm>
        <a:custGeom>
          <a:avLst/>
          <a:gdLst/>
          <a:ahLst/>
          <a:cxnLst/>
          <a:rect l="0" t="0" r="0" b="0"/>
          <a:pathLst>
            <a:path>
              <a:moveTo>
                <a:pt x="1500853" y="0"/>
              </a:moveTo>
              <a:lnTo>
                <a:pt x="1500853" y="469407"/>
              </a:lnTo>
              <a:lnTo>
                <a:pt x="0" y="469407"/>
              </a:lnTo>
              <a:lnTo>
                <a:pt x="0" y="523766"/>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333AFD4-7B64-41D3-B1F0-C7EA0B4A700C}">
      <dsp:nvSpPr>
        <dsp:cNvPr id="0" name=""/>
        <dsp:cNvSpPr/>
      </dsp:nvSpPr>
      <dsp:spPr>
        <a:xfrm>
          <a:off x="1079454" y="2434577"/>
          <a:ext cx="571675" cy="181436"/>
        </a:xfrm>
        <a:custGeom>
          <a:avLst/>
          <a:gdLst/>
          <a:ahLst/>
          <a:cxnLst/>
          <a:rect l="0" t="0" r="0" b="0"/>
          <a:pathLst>
            <a:path>
              <a:moveTo>
                <a:pt x="0" y="0"/>
              </a:moveTo>
              <a:lnTo>
                <a:pt x="0" y="116296"/>
              </a:lnTo>
              <a:lnTo>
                <a:pt x="537706" y="116296"/>
              </a:lnTo>
              <a:lnTo>
                <a:pt x="537706" y="170655"/>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D3AF6AA-6BCF-4C9E-A1AD-FA5DBA5DF8CE}">
      <dsp:nvSpPr>
        <dsp:cNvPr id="0" name=""/>
        <dsp:cNvSpPr/>
      </dsp:nvSpPr>
      <dsp:spPr>
        <a:xfrm>
          <a:off x="507779" y="2434577"/>
          <a:ext cx="571675" cy="181436"/>
        </a:xfrm>
        <a:custGeom>
          <a:avLst/>
          <a:gdLst/>
          <a:ahLst/>
          <a:cxnLst/>
          <a:rect l="0" t="0" r="0" b="0"/>
          <a:pathLst>
            <a:path>
              <a:moveTo>
                <a:pt x="537706" y="0"/>
              </a:moveTo>
              <a:lnTo>
                <a:pt x="537706" y="116296"/>
              </a:lnTo>
              <a:lnTo>
                <a:pt x="0" y="116296"/>
              </a:lnTo>
              <a:lnTo>
                <a:pt x="0" y="170655"/>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6A258D9-2544-4EC7-9EC9-D89FFDCDDE6B}">
      <dsp:nvSpPr>
        <dsp:cNvPr id="0" name=""/>
        <dsp:cNvSpPr/>
      </dsp:nvSpPr>
      <dsp:spPr>
        <a:xfrm>
          <a:off x="1079454" y="1350453"/>
          <a:ext cx="3050629" cy="556855"/>
        </a:xfrm>
        <a:custGeom>
          <a:avLst/>
          <a:gdLst/>
          <a:ahLst/>
          <a:cxnLst/>
          <a:rect l="0" t="0" r="0" b="0"/>
          <a:pathLst>
            <a:path>
              <a:moveTo>
                <a:pt x="3113972" y="0"/>
              </a:moveTo>
              <a:lnTo>
                <a:pt x="3113972" y="469407"/>
              </a:lnTo>
              <a:lnTo>
                <a:pt x="0" y="469407"/>
              </a:lnTo>
              <a:lnTo>
                <a:pt x="0" y="523766"/>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6E2FED1-FE1C-4E68-AB37-8365BC5B6385}">
      <dsp:nvSpPr>
        <dsp:cNvPr id="0" name=""/>
        <dsp:cNvSpPr/>
      </dsp:nvSpPr>
      <dsp:spPr>
        <a:xfrm>
          <a:off x="4084364" y="646224"/>
          <a:ext cx="91440" cy="308083"/>
        </a:xfrm>
        <a:custGeom>
          <a:avLst/>
          <a:gdLst/>
          <a:ahLst/>
          <a:cxnLst/>
          <a:rect l="0" t="0" r="0" b="0"/>
          <a:pathLst>
            <a:path>
              <a:moveTo>
                <a:pt x="49974" y="0"/>
              </a:moveTo>
              <a:lnTo>
                <a:pt x="49974" y="235418"/>
              </a:lnTo>
              <a:lnTo>
                <a:pt x="45720" y="235418"/>
              </a:lnTo>
              <a:lnTo>
                <a:pt x="45720" y="289777"/>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2B1B537-01E0-4C31-833C-F617860B5E3D}">
      <dsp:nvSpPr>
        <dsp:cNvPr id="0" name=""/>
        <dsp:cNvSpPr/>
      </dsp:nvSpPr>
      <dsp:spPr>
        <a:xfrm>
          <a:off x="2688138" y="250079"/>
          <a:ext cx="2892937" cy="39614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2193E6-9605-4FF2-9C94-090E1C59F988}">
      <dsp:nvSpPr>
        <dsp:cNvPr id="0" name=""/>
        <dsp:cNvSpPr/>
      </dsp:nvSpPr>
      <dsp:spPr>
        <a:xfrm>
          <a:off x="2757455" y="315930"/>
          <a:ext cx="2892937" cy="39614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en-US" sz="850" b="1" kern="1200">
              <a:solidFill>
                <a:sysClr val="windowText" lastClr="000000">
                  <a:hueOff val="0"/>
                  <a:satOff val="0"/>
                  <a:lumOff val="0"/>
                  <a:alphaOff val="0"/>
                </a:sysClr>
              </a:solidFill>
              <a:latin typeface="Calibri" panose="020F0502020204030204"/>
              <a:ea typeface="+mn-ea"/>
              <a:cs typeface="+mn-cs"/>
            </a:rPr>
            <a:t>Kuvendi i Kosovës (zhvillon dhe miraton ligjet)</a:t>
          </a:r>
          <a:endParaRPr lang="en-US" sz="850" kern="1200">
            <a:solidFill>
              <a:sysClr val="windowText" lastClr="000000">
                <a:hueOff val="0"/>
                <a:satOff val="0"/>
                <a:lumOff val="0"/>
                <a:alphaOff val="0"/>
              </a:sysClr>
            </a:solidFill>
            <a:latin typeface="Calibri" panose="020F0502020204030204"/>
            <a:ea typeface="+mn-ea"/>
            <a:cs typeface="+mn-cs"/>
          </a:endParaRPr>
        </a:p>
      </dsp:txBody>
      <dsp:txXfrm>
        <a:off x="2769058" y="327533"/>
        <a:ext cx="2869731" cy="372938"/>
      </dsp:txXfrm>
    </dsp:sp>
    <dsp:sp modelId="{D93793AE-44E4-44BF-A0E0-C74C9700E3FB}">
      <dsp:nvSpPr>
        <dsp:cNvPr id="0" name=""/>
        <dsp:cNvSpPr/>
      </dsp:nvSpPr>
      <dsp:spPr>
        <a:xfrm>
          <a:off x="3182424" y="954308"/>
          <a:ext cx="1895319" cy="396144"/>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9368805-E969-4F3C-8DAB-C39517A18226}">
      <dsp:nvSpPr>
        <dsp:cNvPr id="0" name=""/>
        <dsp:cNvSpPr/>
      </dsp:nvSpPr>
      <dsp:spPr>
        <a:xfrm>
          <a:off x="3251741" y="1020159"/>
          <a:ext cx="1895319" cy="396144"/>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en-US" sz="850" b="1" kern="1200">
              <a:solidFill>
                <a:sysClr val="windowText" lastClr="000000">
                  <a:hueOff val="0"/>
                  <a:satOff val="0"/>
                  <a:lumOff val="0"/>
                  <a:alphaOff val="0"/>
                </a:sysClr>
              </a:solidFill>
              <a:latin typeface="Calibri" panose="020F0502020204030204"/>
              <a:ea typeface="+mn-ea"/>
              <a:cs typeface="+mn-cs"/>
            </a:rPr>
            <a:t>Qeveria e Kosovës</a:t>
          </a:r>
        </a:p>
      </dsp:txBody>
      <dsp:txXfrm>
        <a:off x="3263344" y="1031762"/>
        <a:ext cx="1872113" cy="372938"/>
      </dsp:txXfrm>
    </dsp:sp>
    <dsp:sp modelId="{FF3550A7-87CB-4AAC-AF9D-6DCA4229C4D9}">
      <dsp:nvSpPr>
        <dsp:cNvPr id="0" name=""/>
        <dsp:cNvSpPr/>
      </dsp:nvSpPr>
      <dsp:spPr>
        <a:xfrm>
          <a:off x="114352" y="1907308"/>
          <a:ext cx="1930205" cy="527268"/>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683E53-4A13-4549-AFE1-AD5420B1C51B}">
      <dsp:nvSpPr>
        <dsp:cNvPr id="0" name=""/>
        <dsp:cNvSpPr/>
      </dsp:nvSpPr>
      <dsp:spPr>
        <a:xfrm>
          <a:off x="183668" y="1973159"/>
          <a:ext cx="1930205" cy="527268"/>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en-US" sz="850" b="1" kern="1200">
              <a:solidFill>
                <a:sysClr val="windowText" lastClr="000000">
                  <a:hueOff val="0"/>
                  <a:satOff val="0"/>
                  <a:lumOff val="0"/>
                  <a:alphaOff val="0"/>
                </a:sysClr>
              </a:solidFill>
              <a:latin typeface="Calibri" panose="020F0502020204030204"/>
              <a:ea typeface="+mn-ea"/>
              <a:cs typeface="+mn-cs"/>
            </a:rPr>
            <a:t>Ministria e Mjedisit, Planifikimit Hap</a:t>
          </a:r>
          <a:r>
            <a:rPr lang="sq-AL" sz="850" b="1" kern="1200">
              <a:solidFill>
                <a:sysClr val="windowText" lastClr="000000">
                  <a:hueOff val="0"/>
                  <a:satOff val="0"/>
                  <a:lumOff val="0"/>
                  <a:alphaOff val="0"/>
                </a:sysClr>
              </a:solidFill>
              <a:latin typeface="Calibri" panose="020F0502020204030204"/>
              <a:ea typeface="+mn-ea"/>
              <a:cs typeface="+mn-cs"/>
            </a:rPr>
            <a:t>ësinor dhe Infrastrukturës</a:t>
          </a:r>
          <a:br>
            <a:rPr lang="en-US" sz="850" kern="1200">
              <a:solidFill>
                <a:sysClr val="windowText" lastClr="000000">
                  <a:hueOff val="0"/>
                  <a:satOff val="0"/>
                  <a:lumOff val="0"/>
                  <a:alphaOff val="0"/>
                </a:sysClr>
              </a:solidFill>
              <a:latin typeface="Calibri" panose="020F0502020204030204"/>
              <a:ea typeface="+mn-ea"/>
              <a:cs typeface="+mn-cs"/>
            </a:rPr>
          </a:br>
          <a:r>
            <a:rPr lang="en-US" sz="850" kern="1200">
              <a:solidFill>
                <a:sysClr val="windowText" lastClr="000000">
                  <a:hueOff val="0"/>
                  <a:satOff val="0"/>
                  <a:lumOff val="0"/>
                  <a:alphaOff val="0"/>
                </a:sysClr>
              </a:solidFill>
              <a:latin typeface="Calibri" panose="020F0502020204030204"/>
              <a:ea typeface="+mn-ea"/>
              <a:cs typeface="+mn-cs"/>
            </a:rPr>
            <a:t>(</a:t>
          </a:r>
          <a:r>
            <a:rPr lang="sq-AL" sz="850" kern="1200">
              <a:solidFill>
                <a:sysClr val="windowText" lastClr="000000">
                  <a:hueOff val="0"/>
                  <a:satOff val="0"/>
                  <a:lumOff val="0"/>
                  <a:alphaOff val="0"/>
                </a:sysClr>
              </a:solidFill>
              <a:latin typeface="Calibri" panose="020F0502020204030204"/>
              <a:ea typeface="+mn-ea"/>
              <a:cs typeface="+mn-cs"/>
            </a:rPr>
            <a:t>Hartimi i strategjive, planeve dhe legjislacionit</a:t>
          </a:r>
          <a:r>
            <a:rPr lang="en-US" sz="850" kern="1200">
              <a:solidFill>
                <a:sysClr val="windowText" lastClr="000000">
                  <a:hueOff val="0"/>
                  <a:satOff val="0"/>
                  <a:lumOff val="0"/>
                  <a:alphaOff val="0"/>
                </a:sysClr>
              </a:solidFill>
              <a:latin typeface="Calibri" panose="020F0502020204030204"/>
              <a:ea typeface="+mn-ea"/>
              <a:cs typeface="+mn-cs"/>
            </a:rPr>
            <a:t>)</a:t>
          </a:r>
        </a:p>
      </dsp:txBody>
      <dsp:txXfrm>
        <a:off x="199111" y="1988602"/>
        <a:ext cx="1899319" cy="496382"/>
      </dsp:txXfrm>
    </dsp:sp>
    <dsp:sp modelId="{0B876152-89E0-455E-A68E-2B03DC6CA1F0}">
      <dsp:nvSpPr>
        <dsp:cNvPr id="0" name=""/>
        <dsp:cNvSpPr/>
      </dsp:nvSpPr>
      <dsp:spPr>
        <a:xfrm>
          <a:off x="5420" y="2616013"/>
          <a:ext cx="1004717" cy="63799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90771E-10DE-45C1-A7CF-679C5CE57FBF}">
      <dsp:nvSpPr>
        <dsp:cNvPr id="0" name=""/>
        <dsp:cNvSpPr/>
      </dsp:nvSpPr>
      <dsp:spPr>
        <a:xfrm>
          <a:off x="74737" y="2681864"/>
          <a:ext cx="1004717" cy="63799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Agjencia për Mbrojtjen e Mjedisit të Kosovës</a:t>
          </a:r>
          <a:br>
            <a:rPr lang="en-US" sz="850" kern="1200">
              <a:solidFill>
                <a:sysClr val="windowText" lastClr="000000">
                  <a:hueOff val="0"/>
                  <a:satOff val="0"/>
                  <a:lumOff val="0"/>
                  <a:alphaOff val="0"/>
                </a:sysClr>
              </a:solidFill>
              <a:latin typeface="Calibri" panose="020F0502020204030204"/>
              <a:ea typeface="+mn-ea"/>
              <a:cs typeface="+mn-cs"/>
            </a:rPr>
          </a:br>
          <a:r>
            <a:rPr lang="en-US" sz="850" kern="1200">
              <a:solidFill>
                <a:sysClr val="windowText" lastClr="000000">
                  <a:hueOff val="0"/>
                  <a:satOff val="0"/>
                  <a:lumOff val="0"/>
                  <a:alphaOff val="0"/>
                </a:sysClr>
              </a:solidFill>
              <a:latin typeface="Calibri" panose="020F0502020204030204"/>
              <a:ea typeface="+mn-ea"/>
              <a:cs typeface="+mn-cs"/>
            </a:rPr>
            <a:t>(Monit</a:t>
          </a:r>
          <a:r>
            <a:rPr lang="sq-AL" sz="850" kern="1200">
              <a:solidFill>
                <a:sysClr val="windowText" lastClr="000000">
                  <a:hueOff val="0"/>
                  <a:satOff val="0"/>
                  <a:lumOff val="0"/>
                  <a:alphaOff val="0"/>
                </a:sysClr>
              </a:solidFill>
              <a:latin typeface="Calibri" panose="020F0502020204030204"/>
              <a:ea typeface="+mn-ea"/>
              <a:cs typeface="+mn-cs"/>
            </a:rPr>
            <a:t>orimi dhe Raportimi</a:t>
          </a:r>
          <a:r>
            <a:rPr lang="en-US" sz="850" kern="1200">
              <a:solidFill>
                <a:sysClr val="windowText" lastClr="000000">
                  <a:hueOff val="0"/>
                  <a:satOff val="0"/>
                  <a:lumOff val="0"/>
                  <a:alphaOff val="0"/>
                </a:sysClr>
              </a:solidFill>
              <a:latin typeface="Calibri" panose="020F0502020204030204"/>
              <a:ea typeface="+mn-ea"/>
              <a:cs typeface="+mn-cs"/>
            </a:rPr>
            <a:t>)</a:t>
          </a:r>
        </a:p>
      </dsp:txBody>
      <dsp:txXfrm>
        <a:off x="93423" y="2700550"/>
        <a:ext cx="967345" cy="600623"/>
      </dsp:txXfrm>
    </dsp:sp>
    <dsp:sp modelId="{AC78CA15-E63D-4764-85A5-50E9CF250815}">
      <dsp:nvSpPr>
        <dsp:cNvPr id="0" name=""/>
        <dsp:cNvSpPr/>
      </dsp:nvSpPr>
      <dsp:spPr>
        <a:xfrm>
          <a:off x="1148771" y="2616013"/>
          <a:ext cx="1004717" cy="63799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1D12003-566B-4672-BDFF-59E839AD4EFC}">
      <dsp:nvSpPr>
        <dsp:cNvPr id="0" name=""/>
        <dsp:cNvSpPr/>
      </dsp:nvSpPr>
      <dsp:spPr>
        <a:xfrm>
          <a:off x="1218088" y="2681864"/>
          <a:ext cx="1004717" cy="63799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Inspektoriati i Mbrojtjes së Mjedisit</a:t>
          </a:r>
          <a:br>
            <a:rPr lang="en-US" sz="850" b="1" kern="1200">
              <a:solidFill>
                <a:sysClr val="windowText" lastClr="000000">
                  <a:hueOff val="0"/>
                  <a:satOff val="0"/>
                  <a:lumOff val="0"/>
                  <a:alphaOff val="0"/>
                </a:sysClr>
              </a:solidFill>
              <a:latin typeface="Calibri" panose="020F0502020204030204"/>
              <a:ea typeface="+mn-ea"/>
              <a:cs typeface="+mn-cs"/>
            </a:rPr>
          </a:br>
          <a:r>
            <a:rPr lang="en-US" sz="850" kern="1200">
              <a:solidFill>
                <a:sysClr val="windowText" lastClr="000000">
                  <a:hueOff val="0"/>
                  <a:satOff val="0"/>
                  <a:lumOff val="0"/>
                  <a:alphaOff val="0"/>
                </a:sysClr>
              </a:solidFill>
              <a:latin typeface="Calibri" panose="020F0502020204030204"/>
              <a:ea typeface="+mn-ea"/>
              <a:cs typeface="+mn-cs"/>
            </a:rPr>
            <a:t>(</a:t>
          </a:r>
          <a:r>
            <a:rPr lang="sq-AL" sz="850" kern="1200">
              <a:solidFill>
                <a:sysClr val="windowText" lastClr="000000">
                  <a:hueOff val="0"/>
                  <a:satOff val="0"/>
                  <a:lumOff val="0"/>
                  <a:alphaOff val="0"/>
                </a:sysClr>
              </a:solidFill>
              <a:latin typeface="Calibri" panose="020F0502020204030204"/>
              <a:ea typeface="+mn-ea"/>
              <a:cs typeface="+mn-cs"/>
            </a:rPr>
            <a:t>përforcimi dhe kontrolli</a:t>
          </a:r>
          <a:r>
            <a:rPr lang="en-US" sz="850" kern="1200">
              <a:solidFill>
                <a:sysClr val="windowText" lastClr="000000">
                  <a:hueOff val="0"/>
                  <a:satOff val="0"/>
                  <a:lumOff val="0"/>
                  <a:alphaOff val="0"/>
                </a:sysClr>
              </a:solidFill>
              <a:latin typeface="Calibri" panose="020F0502020204030204"/>
              <a:ea typeface="+mn-ea"/>
              <a:cs typeface="+mn-cs"/>
            </a:rPr>
            <a:t>)</a:t>
          </a:r>
        </a:p>
      </dsp:txBody>
      <dsp:txXfrm>
        <a:off x="1236774" y="2700550"/>
        <a:ext cx="967345" cy="600623"/>
      </dsp:txXfrm>
    </dsp:sp>
    <dsp:sp modelId="{7872AC9C-6BA0-4BBC-8AE1-7C3E2CC8FBC9}">
      <dsp:nvSpPr>
        <dsp:cNvPr id="0" name=""/>
        <dsp:cNvSpPr/>
      </dsp:nvSpPr>
      <dsp:spPr>
        <a:xfrm>
          <a:off x="2206857" y="1907308"/>
          <a:ext cx="1175246" cy="527268"/>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C61D41-8DB6-442F-95B5-B7A16D892F39}">
      <dsp:nvSpPr>
        <dsp:cNvPr id="0" name=""/>
        <dsp:cNvSpPr/>
      </dsp:nvSpPr>
      <dsp:spPr>
        <a:xfrm>
          <a:off x="2276173" y="1973159"/>
          <a:ext cx="1175246" cy="527268"/>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Ministria e Ekonomisë</a:t>
          </a:r>
          <a:br>
            <a:rPr lang="en-US" sz="850" kern="1200">
              <a:solidFill>
                <a:sysClr val="windowText" lastClr="000000">
                  <a:hueOff val="0"/>
                  <a:satOff val="0"/>
                  <a:lumOff val="0"/>
                  <a:alphaOff val="0"/>
                </a:sysClr>
              </a:solidFill>
              <a:latin typeface="Calibri" panose="020F0502020204030204"/>
              <a:ea typeface="+mn-ea"/>
              <a:cs typeface="+mn-cs"/>
            </a:rPr>
          </a:br>
          <a:r>
            <a:rPr lang="en-US" sz="850" kern="1200">
              <a:solidFill>
                <a:sysClr val="windowText" lastClr="000000">
                  <a:hueOff val="0"/>
                  <a:satOff val="0"/>
                  <a:lumOff val="0"/>
                  <a:alphaOff val="0"/>
                </a:sysClr>
              </a:solidFill>
              <a:latin typeface="Calibri" panose="020F0502020204030204"/>
              <a:ea typeface="+mn-ea"/>
              <a:cs typeface="+mn-cs"/>
            </a:rPr>
            <a:t>(</a:t>
          </a:r>
          <a:r>
            <a:rPr lang="sq-AL" sz="850" kern="1200">
              <a:solidFill>
                <a:sysClr val="windowText" lastClr="000000">
                  <a:hueOff val="0"/>
                  <a:satOff val="0"/>
                  <a:lumOff val="0"/>
                  <a:alphaOff val="0"/>
                </a:sysClr>
              </a:solidFill>
              <a:latin typeface="Calibri" panose="020F0502020204030204"/>
              <a:ea typeface="+mn-ea"/>
              <a:cs typeface="+mn-cs"/>
            </a:rPr>
            <a:t>Miratimi i tarifave të po</a:t>
          </a:r>
          <a:r>
            <a:rPr lang="en-GB" sz="850" kern="1200">
              <a:solidFill>
                <a:sysClr val="windowText" lastClr="000000">
                  <a:hueOff val="0"/>
                  <a:satOff val="0"/>
                  <a:lumOff val="0"/>
                  <a:alphaOff val="0"/>
                </a:sysClr>
              </a:solidFill>
              <a:latin typeface="Calibri" panose="020F0502020204030204"/>
              <a:ea typeface="+mn-ea"/>
              <a:cs typeface="+mn-cs"/>
            </a:rPr>
            <a:t>rtës/hyrjes</a:t>
          </a:r>
          <a:r>
            <a:rPr lang="sq-AL" sz="850" kern="1200">
              <a:solidFill>
                <a:sysClr val="windowText" lastClr="000000">
                  <a:hueOff val="0"/>
                  <a:satOff val="0"/>
                  <a:lumOff val="0"/>
                  <a:alphaOff val="0"/>
                </a:sysClr>
              </a:solidFill>
              <a:latin typeface="Calibri" panose="020F0502020204030204"/>
              <a:ea typeface="+mn-ea"/>
              <a:cs typeface="+mn-cs"/>
            </a:rPr>
            <a:t> </a:t>
          </a:r>
          <a:r>
            <a:rPr lang="en-GB" sz="850" kern="1200">
              <a:solidFill>
                <a:sysClr val="windowText" lastClr="000000">
                  <a:hueOff val="0"/>
                  <a:satOff val="0"/>
                  <a:lumOff val="0"/>
                  <a:alphaOff val="0"/>
                </a:sysClr>
              </a:solidFill>
              <a:latin typeface="Calibri" panose="020F0502020204030204"/>
              <a:ea typeface="+mn-ea"/>
              <a:cs typeface="+mn-cs"/>
            </a:rPr>
            <a:t>n</a:t>
          </a:r>
          <a:r>
            <a:rPr lang="sq-AL" sz="850" kern="1200">
              <a:solidFill>
                <a:sysClr val="windowText" lastClr="000000">
                  <a:hueOff val="0"/>
                  <a:satOff val="0"/>
                  <a:lumOff val="0"/>
                  <a:alphaOff val="0"/>
                </a:sysClr>
              </a:solidFill>
              <a:latin typeface="Calibri" panose="020F0502020204030204"/>
              <a:ea typeface="+mn-ea"/>
              <a:cs typeface="+mn-cs"/>
            </a:rPr>
            <a:t>ë deponi</a:t>
          </a:r>
          <a:r>
            <a:rPr lang="en-US" sz="850" kern="1200">
              <a:solidFill>
                <a:sysClr val="windowText" lastClr="000000">
                  <a:hueOff val="0"/>
                  <a:satOff val="0"/>
                  <a:lumOff val="0"/>
                  <a:alphaOff val="0"/>
                </a:sysClr>
              </a:solidFill>
              <a:latin typeface="Calibri" panose="020F0502020204030204"/>
              <a:ea typeface="+mn-ea"/>
              <a:cs typeface="+mn-cs"/>
            </a:rPr>
            <a:t>)</a:t>
          </a:r>
        </a:p>
      </dsp:txBody>
      <dsp:txXfrm>
        <a:off x="2291616" y="1988602"/>
        <a:ext cx="1144360" cy="496382"/>
      </dsp:txXfrm>
    </dsp:sp>
    <dsp:sp modelId="{26F96866-C57F-4CC9-A35B-18C4D4371EE4}">
      <dsp:nvSpPr>
        <dsp:cNvPr id="0" name=""/>
        <dsp:cNvSpPr/>
      </dsp:nvSpPr>
      <dsp:spPr>
        <a:xfrm>
          <a:off x="2292121" y="2616013"/>
          <a:ext cx="1004717" cy="63799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C0D8ED-C956-43BE-A94A-A4596BFD3BE5}">
      <dsp:nvSpPr>
        <dsp:cNvPr id="0" name=""/>
        <dsp:cNvSpPr/>
      </dsp:nvSpPr>
      <dsp:spPr>
        <a:xfrm>
          <a:off x="2361438" y="2681864"/>
          <a:ext cx="1004717" cy="63799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en-US" sz="850" b="1" kern="1200">
              <a:solidFill>
                <a:sysClr val="windowText" lastClr="000000">
                  <a:hueOff val="0"/>
                  <a:satOff val="0"/>
                  <a:lumOff val="0"/>
                  <a:alphaOff val="0"/>
                </a:sysClr>
              </a:solidFill>
              <a:latin typeface="Calibri" panose="020F0502020204030204"/>
              <a:ea typeface="+mn-ea"/>
              <a:cs typeface="+mn-cs"/>
            </a:rPr>
            <a:t>KMDK</a:t>
          </a:r>
          <a:br>
            <a:rPr lang="en-US" sz="850" b="1" kern="1200">
              <a:solidFill>
                <a:sysClr val="windowText" lastClr="000000">
                  <a:hueOff val="0"/>
                  <a:satOff val="0"/>
                  <a:lumOff val="0"/>
                  <a:alphaOff val="0"/>
                </a:sysClr>
              </a:solidFill>
              <a:latin typeface="Calibri" panose="020F0502020204030204"/>
              <a:ea typeface="+mn-ea"/>
              <a:cs typeface="+mn-cs"/>
            </a:rPr>
          </a:br>
          <a:r>
            <a:rPr lang="en-US" sz="850" kern="1200">
              <a:solidFill>
                <a:sysClr val="windowText" lastClr="000000">
                  <a:hueOff val="0"/>
                  <a:satOff val="0"/>
                  <a:lumOff val="0"/>
                  <a:alphaOff val="0"/>
                </a:sysClr>
              </a:solidFill>
              <a:latin typeface="Calibri" panose="020F0502020204030204"/>
              <a:ea typeface="+mn-ea"/>
              <a:cs typeface="+mn-cs"/>
            </a:rPr>
            <a:t>(</a:t>
          </a:r>
          <a:r>
            <a:rPr lang="sq-AL" sz="850" kern="1200">
              <a:solidFill>
                <a:sysClr val="windowText" lastClr="000000">
                  <a:hueOff val="0"/>
                  <a:satOff val="0"/>
                  <a:lumOff val="0"/>
                  <a:alphaOff val="0"/>
                </a:sysClr>
              </a:solidFill>
              <a:latin typeface="Calibri" panose="020F0502020204030204"/>
              <a:ea typeface="+mn-ea"/>
              <a:cs typeface="+mn-cs"/>
            </a:rPr>
            <a:t>Menaxhimi i deponive</a:t>
          </a:r>
          <a:r>
            <a:rPr lang="en-US" sz="850" kern="1200">
              <a:solidFill>
                <a:sysClr val="windowText" lastClr="000000">
                  <a:hueOff val="0"/>
                  <a:satOff val="0"/>
                  <a:lumOff val="0"/>
                  <a:alphaOff val="0"/>
                </a:sysClr>
              </a:solidFill>
              <a:latin typeface="Calibri" panose="020F0502020204030204"/>
              <a:ea typeface="+mn-ea"/>
              <a:cs typeface="+mn-cs"/>
            </a:rPr>
            <a:t>)</a:t>
          </a:r>
        </a:p>
      </dsp:txBody>
      <dsp:txXfrm>
        <a:off x="2380124" y="2700550"/>
        <a:ext cx="967345" cy="600623"/>
      </dsp:txXfrm>
    </dsp:sp>
    <dsp:sp modelId="{763136D2-EB56-47D9-8461-5ABF5CAD7911}">
      <dsp:nvSpPr>
        <dsp:cNvPr id="0" name=""/>
        <dsp:cNvSpPr/>
      </dsp:nvSpPr>
      <dsp:spPr>
        <a:xfrm>
          <a:off x="3520737" y="1907308"/>
          <a:ext cx="763823" cy="1088840"/>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74CA54-2B69-4DE3-AF82-AD77F7EAE158}">
      <dsp:nvSpPr>
        <dsp:cNvPr id="0" name=""/>
        <dsp:cNvSpPr/>
      </dsp:nvSpPr>
      <dsp:spPr>
        <a:xfrm>
          <a:off x="3590053" y="1973159"/>
          <a:ext cx="763823" cy="1088840"/>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Ministria e Bujqësisë, Pylltarisë dhe Zhvillimit Rural</a:t>
          </a:r>
          <a:br>
            <a:rPr lang="en-US" sz="850" kern="1200">
              <a:solidFill>
                <a:sysClr val="windowText" lastClr="000000">
                  <a:hueOff val="0"/>
                  <a:satOff val="0"/>
                  <a:lumOff val="0"/>
                  <a:alphaOff val="0"/>
                </a:sysClr>
              </a:solidFill>
              <a:latin typeface="Calibri" panose="020F0502020204030204"/>
              <a:ea typeface="+mn-ea"/>
              <a:cs typeface="+mn-cs"/>
            </a:rPr>
          </a:br>
          <a:r>
            <a:rPr lang="en-US" sz="850" kern="1200">
              <a:solidFill>
                <a:sysClr val="windowText" lastClr="000000">
                  <a:hueOff val="0"/>
                  <a:satOff val="0"/>
                  <a:lumOff val="0"/>
                  <a:alphaOff val="0"/>
                </a:sysClr>
              </a:solidFill>
              <a:latin typeface="Calibri" panose="020F0502020204030204"/>
              <a:ea typeface="+mn-ea"/>
              <a:cs typeface="+mn-cs"/>
            </a:rPr>
            <a:t>(</a:t>
          </a:r>
          <a:r>
            <a:rPr lang="sq-AL" sz="850" kern="1200">
              <a:solidFill>
                <a:sysClr val="windowText" lastClr="000000">
                  <a:hueOff val="0"/>
                  <a:satOff val="0"/>
                  <a:lumOff val="0"/>
                  <a:alphaOff val="0"/>
                </a:sysClr>
              </a:solidFill>
              <a:latin typeface="Calibri" panose="020F0502020204030204"/>
              <a:ea typeface="+mn-ea"/>
              <a:cs typeface="+mn-cs"/>
            </a:rPr>
            <a:t>mbeturinat bujqësore</a:t>
          </a:r>
          <a:r>
            <a:rPr lang="en-US" sz="850" kern="1200">
              <a:solidFill>
                <a:sysClr val="windowText" lastClr="000000">
                  <a:hueOff val="0"/>
                  <a:satOff val="0"/>
                  <a:lumOff val="0"/>
                  <a:alphaOff val="0"/>
                </a:sysClr>
              </a:solidFill>
              <a:latin typeface="Calibri" panose="020F0502020204030204"/>
              <a:ea typeface="+mn-ea"/>
              <a:cs typeface="+mn-cs"/>
            </a:rPr>
            <a:t>)</a:t>
          </a:r>
        </a:p>
      </dsp:txBody>
      <dsp:txXfrm>
        <a:off x="3612425" y="1995531"/>
        <a:ext cx="719079" cy="1044096"/>
      </dsp:txXfrm>
    </dsp:sp>
    <dsp:sp modelId="{55EDC655-595E-402B-B184-BCAFEF0669ED}">
      <dsp:nvSpPr>
        <dsp:cNvPr id="0" name=""/>
        <dsp:cNvSpPr/>
      </dsp:nvSpPr>
      <dsp:spPr>
        <a:xfrm>
          <a:off x="3505081" y="3177584"/>
          <a:ext cx="795134" cy="39614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6676191-AB1B-4873-B408-878B4806781E}">
      <dsp:nvSpPr>
        <dsp:cNvPr id="0" name=""/>
        <dsp:cNvSpPr/>
      </dsp:nvSpPr>
      <dsp:spPr>
        <a:xfrm>
          <a:off x="3574398" y="3243435"/>
          <a:ext cx="795134" cy="39614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sq-AL" sz="850" kern="1200">
              <a:solidFill>
                <a:sysClr val="windowText" lastClr="000000">
                  <a:hueOff val="0"/>
                  <a:satOff val="0"/>
                  <a:lumOff val="0"/>
                  <a:alphaOff val="0"/>
                </a:sysClr>
              </a:solidFill>
              <a:latin typeface="Calibri" panose="020F0502020204030204"/>
              <a:ea typeface="+mn-ea"/>
              <a:cs typeface="+mn-cs"/>
            </a:rPr>
            <a:t>Agjencia e</a:t>
          </a:r>
          <a:r>
            <a:rPr lang="en-GB" sz="850" kern="1200">
              <a:solidFill>
                <a:sysClr val="windowText" lastClr="000000">
                  <a:hueOff val="0"/>
                  <a:satOff val="0"/>
                  <a:lumOff val="0"/>
                  <a:alphaOff val="0"/>
                </a:sysClr>
              </a:solidFill>
              <a:latin typeface="Calibri" panose="020F0502020204030204"/>
              <a:ea typeface="+mn-ea"/>
              <a:cs typeface="+mn-cs"/>
            </a:rPr>
            <a:t> Ushqimit dhe</a:t>
          </a:r>
          <a:r>
            <a:rPr lang="sq-AL" sz="850" kern="1200">
              <a:solidFill>
                <a:sysClr val="windowText" lastClr="000000">
                  <a:hueOff val="0"/>
                  <a:satOff val="0"/>
                  <a:lumOff val="0"/>
                  <a:alphaOff val="0"/>
                </a:sysClr>
              </a:solidFill>
              <a:latin typeface="Calibri" panose="020F0502020204030204"/>
              <a:ea typeface="+mn-ea"/>
              <a:cs typeface="+mn-cs"/>
            </a:rPr>
            <a:t> Veterinarisë</a:t>
          </a:r>
          <a:endParaRPr lang="en-US" sz="850" kern="1200">
            <a:solidFill>
              <a:sysClr val="windowText" lastClr="000000">
                <a:hueOff val="0"/>
                <a:satOff val="0"/>
                <a:lumOff val="0"/>
                <a:alphaOff val="0"/>
              </a:sysClr>
            </a:solidFill>
            <a:latin typeface="Calibri" panose="020F0502020204030204"/>
            <a:ea typeface="+mn-ea"/>
            <a:cs typeface="+mn-cs"/>
          </a:endParaRPr>
        </a:p>
      </dsp:txBody>
      <dsp:txXfrm>
        <a:off x="3586001" y="3255038"/>
        <a:ext cx="771928" cy="372938"/>
      </dsp:txXfrm>
    </dsp:sp>
    <dsp:sp modelId="{3AB15AD6-033B-41E3-9D3A-82662C9B15DA}">
      <dsp:nvSpPr>
        <dsp:cNvPr id="0" name=""/>
        <dsp:cNvSpPr/>
      </dsp:nvSpPr>
      <dsp:spPr>
        <a:xfrm>
          <a:off x="4630684" y="1902253"/>
          <a:ext cx="853327" cy="1130633"/>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9B8B02-B24A-492A-A59F-0C29C500C4D4}">
      <dsp:nvSpPr>
        <dsp:cNvPr id="0" name=""/>
        <dsp:cNvSpPr/>
      </dsp:nvSpPr>
      <dsp:spPr>
        <a:xfrm>
          <a:off x="4700001" y="1968104"/>
          <a:ext cx="853327" cy="1130633"/>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Ministria e Shëndetësisë</a:t>
          </a:r>
          <a:br>
            <a:rPr lang="en-US" sz="850" kern="1200">
              <a:solidFill>
                <a:sysClr val="windowText" lastClr="000000">
                  <a:hueOff val="0"/>
                  <a:satOff val="0"/>
                  <a:lumOff val="0"/>
                  <a:alphaOff val="0"/>
                </a:sysClr>
              </a:solidFill>
              <a:latin typeface="Calibri" panose="020F0502020204030204"/>
              <a:ea typeface="+mn-ea"/>
              <a:cs typeface="+mn-cs"/>
            </a:rPr>
          </a:br>
          <a:r>
            <a:rPr lang="en-US" sz="850" kern="1200">
              <a:solidFill>
                <a:sysClr val="windowText" lastClr="000000">
                  <a:hueOff val="0"/>
                  <a:satOff val="0"/>
                  <a:lumOff val="0"/>
                  <a:alphaOff val="0"/>
                </a:sysClr>
              </a:solidFill>
              <a:latin typeface="Calibri" panose="020F0502020204030204"/>
              <a:ea typeface="+mn-ea"/>
              <a:cs typeface="+mn-cs"/>
            </a:rPr>
            <a:t>(</a:t>
          </a:r>
          <a:r>
            <a:rPr lang="sq-AL" sz="850" kern="1200">
              <a:solidFill>
                <a:sysClr val="windowText" lastClr="000000">
                  <a:hueOff val="0"/>
                  <a:satOff val="0"/>
                  <a:lumOff val="0"/>
                  <a:alphaOff val="0"/>
                </a:sysClr>
              </a:solidFill>
              <a:latin typeface="Calibri" panose="020F0502020204030204"/>
              <a:ea typeface="+mn-ea"/>
              <a:cs typeface="+mn-cs"/>
            </a:rPr>
            <a:t>Mbet</a:t>
          </a:r>
          <a:r>
            <a:rPr lang="en-GB" sz="850" kern="1200">
              <a:solidFill>
                <a:sysClr val="windowText" lastClr="000000">
                  <a:hueOff val="0"/>
                  <a:satOff val="0"/>
                  <a:lumOff val="0"/>
                  <a:alphaOff val="0"/>
                </a:sysClr>
              </a:solidFill>
              <a:latin typeface="Calibri" panose="020F0502020204030204"/>
              <a:ea typeface="+mn-ea"/>
              <a:cs typeface="+mn-cs"/>
            </a:rPr>
            <a:t>urinat</a:t>
          </a:r>
          <a:r>
            <a:rPr lang="sq-AL" sz="850" kern="1200">
              <a:solidFill>
                <a:sysClr val="windowText" lastClr="000000">
                  <a:hueOff val="0"/>
                  <a:satOff val="0"/>
                  <a:lumOff val="0"/>
                  <a:alphaOff val="0"/>
                </a:sysClr>
              </a:solidFill>
              <a:latin typeface="Calibri" panose="020F0502020204030204"/>
              <a:ea typeface="+mn-ea"/>
              <a:cs typeface="+mn-cs"/>
            </a:rPr>
            <a:t> </a:t>
          </a:r>
          <a:r>
            <a:rPr lang="en-GB" sz="850" kern="1200">
              <a:solidFill>
                <a:sysClr val="windowText" lastClr="000000">
                  <a:hueOff val="0"/>
                  <a:satOff val="0"/>
                  <a:lumOff val="0"/>
                  <a:alphaOff val="0"/>
                </a:sysClr>
              </a:solidFill>
              <a:latin typeface="Calibri" panose="020F0502020204030204"/>
              <a:ea typeface="+mn-ea"/>
              <a:cs typeface="+mn-cs"/>
            </a:rPr>
            <a:t>medicinale</a:t>
          </a:r>
          <a:r>
            <a:rPr lang="en-US" sz="850" kern="1200">
              <a:solidFill>
                <a:sysClr val="windowText" lastClr="000000">
                  <a:hueOff val="0"/>
                  <a:satOff val="0"/>
                  <a:lumOff val="0"/>
                  <a:alphaOff val="0"/>
                </a:sysClr>
              </a:solidFill>
              <a:latin typeface="Calibri" panose="020F0502020204030204"/>
              <a:ea typeface="+mn-ea"/>
              <a:cs typeface="+mn-cs"/>
            </a:rPr>
            <a:t>)</a:t>
          </a:r>
        </a:p>
      </dsp:txBody>
      <dsp:txXfrm>
        <a:off x="4724994" y="1993097"/>
        <a:ext cx="803341" cy="1080647"/>
      </dsp:txXfrm>
    </dsp:sp>
    <dsp:sp modelId="{70E9C805-01E3-462A-AC6B-13FE80363E48}">
      <dsp:nvSpPr>
        <dsp:cNvPr id="0" name=""/>
        <dsp:cNvSpPr/>
      </dsp:nvSpPr>
      <dsp:spPr>
        <a:xfrm>
          <a:off x="4438849" y="3219377"/>
          <a:ext cx="766599" cy="42509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12C7D3-501E-46AB-AE1E-AC490EC4F336}">
      <dsp:nvSpPr>
        <dsp:cNvPr id="0" name=""/>
        <dsp:cNvSpPr/>
      </dsp:nvSpPr>
      <dsp:spPr>
        <a:xfrm>
          <a:off x="4508166" y="3285228"/>
          <a:ext cx="766599" cy="42509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en-US" sz="850" kern="1200">
              <a:solidFill>
                <a:sysClr val="windowText" lastClr="000000">
                  <a:hueOff val="0"/>
                  <a:satOff val="0"/>
                  <a:lumOff val="0"/>
                  <a:alphaOff val="0"/>
                </a:sysClr>
              </a:solidFill>
              <a:latin typeface="Calibri" panose="020F0502020204030204"/>
              <a:ea typeface="+mn-ea"/>
              <a:cs typeface="+mn-cs"/>
            </a:rPr>
            <a:t>Inspektorati Shëndetësor</a:t>
          </a:r>
        </a:p>
      </dsp:txBody>
      <dsp:txXfrm>
        <a:off x="4520616" y="3297678"/>
        <a:ext cx="741699" cy="400191"/>
      </dsp:txXfrm>
    </dsp:sp>
    <dsp:sp modelId="{28E9DC63-1274-4774-8A8C-5BF3621988E9}">
      <dsp:nvSpPr>
        <dsp:cNvPr id="0" name=""/>
        <dsp:cNvSpPr/>
      </dsp:nvSpPr>
      <dsp:spPr>
        <a:xfrm>
          <a:off x="5344082" y="3219377"/>
          <a:ext cx="927889" cy="53653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5D77C78-5E9E-4D9E-9C44-9F1EDC53ED15}">
      <dsp:nvSpPr>
        <dsp:cNvPr id="0" name=""/>
        <dsp:cNvSpPr/>
      </dsp:nvSpPr>
      <dsp:spPr>
        <a:xfrm>
          <a:off x="5413399" y="3285228"/>
          <a:ext cx="927889" cy="53653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en-US" sz="850" kern="1200">
              <a:solidFill>
                <a:sysClr val="windowText" lastClr="000000">
                  <a:hueOff val="0"/>
                  <a:satOff val="0"/>
                  <a:lumOff val="0"/>
                  <a:alphaOff val="0"/>
                </a:sysClr>
              </a:solidFill>
              <a:latin typeface="Calibri" panose="020F0502020204030204"/>
              <a:ea typeface="+mn-ea"/>
              <a:cs typeface="+mn-cs"/>
            </a:rPr>
            <a:t>Agjencia për Produkte dhe Pajisje Medicinale</a:t>
          </a:r>
        </a:p>
      </dsp:txBody>
      <dsp:txXfrm>
        <a:off x="5429113" y="3300942"/>
        <a:ext cx="896461" cy="505102"/>
      </dsp:txXfrm>
    </dsp:sp>
    <dsp:sp modelId="{F0C9F7B8-2B8D-4D14-93EB-506ADA2C0AF1}">
      <dsp:nvSpPr>
        <dsp:cNvPr id="0" name=""/>
        <dsp:cNvSpPr/>
      </dsp:nvSpPr>
      <dsp:spPr>
        <a:xfrm>
          <a:off x="5612544" y="1897202"/>
          <a:ext cx="709186" cy="1141131"/>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F04932A-DA4E-4E54-B6A5-7AB24C9BD28C}">
      <dsp:nvSpPr>
        <dsp:cNvPr id="0" name=""/>
        <dsp:cNvSpPr/>
      </dsp:nvSpPr>
      <dsp:spPr>
        <a:xfrm>
          <a:off x="5681861" y="1963053"/>
          <a:ext cx="709186" cy="1141131"/>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Ministria e Industrisë, Ndërmarrësisë dhe Tregtisë</a:t>
          </a:r>
          <a:br>
            <a:rPr lang="en-US" sz="850" b="1" kern="1200">
              <a:solidFill>
                <a:sysClr val="windowText" lastClr="000000">
                  <a:hueOff val="0"/>
                  <a:satOff val="0"/>
                  <a:lumOff val="0"/>
                  <a:alphaOff val="0"/>
                </a:sysClr>
              </a:solidFill>
              <a:latin typeface="Calibri" panose="020F0502020204030204"/>
              <a:ea typeface="+mn-ea"/>
              <a:cs typeface="+mn-cs"/>
            </a:rPr>
          </a:br>
          <a:r>
            <a:rPr lang="en-US" sz="850" kern="1200">
              <a:solidFill>
                <a:sysClr val="windowText" lastClr="000000">
                  <a:hueOff val="0"/>
                  <a:satOff val="0"/>
                  <a:lumOff val="0"/>
                  <a:alphaOff val="0"/>
                </a:sysClr>
              </a:solidFill>
              <a:latin typeface="Calibri" panose="020F0502020204030204"/>
              <a:ea typeface="+mn-ea"/>
              <a:cs typeface="+mn-cs"/>
            </a:rPr>
            <a:t>(</a:t>
          </a:r>
          <a:r>
            <a:rPr lang="sq-AL" sz="850" kern="1200">
              <a:solidFill>
                <a:sysClr val="windowText" lastClr="000000">
                  <a:hueOff val="0"/>
                  <a:satOff val="0"/>
                  <a:lumOff val="0"/>
                  <a:alphaOff val="0"/>
                </a:sysClr>
              </a:solidFill>
              <a:latin typeface="Calibri" panose="020F0502020204030204"/>
              <a:ea typeface="+mn-ea"/>
              <a:cs typeface="+mn-cs"/>
            </a:rPr>
            <a:t>mbeturinat industriale</a:t>
          </a:r>
          <a:r>
            <a:rPr lang="en-US" sz="850" kern="1200">
              <a:solidFill>
                <a:sysClr val="windowText" lastClr="000000">
                  <a:hueOff val="0"/>
                  <a:satOff val="0"/>
                  <a:lumOff val="0"/>
                  <a:alphaOff val="0"/>
                </a:sysClr>
              </a:solidFill>
              <a:latin typeface="Calibri" panose="020F0502020204030204"/>
              <a:ea typeface="+mn-ea"/>
              <a:cs typeface="+mn-cs"/>
            </a:rPr>
            <a:t>)</a:t>
          </a:r>
        </a:p>
      </dsp:txBody>
      <dsp:txXfrm>
        <a:off x="5702632" y="1983824"/>
        <a:ext cx="667644" cy="1099589"/>
      </dsp:txXfrm>
    </dsp:sp>
    <dsp:sp modelId="{78BE9933-3D91-418C-9CF0-73064DB86876}">
      <dsp:nvSpPr>
        <dsp:cNvPr id="0" name=""/>
        <dsp:cNvSpPr/>
      </dsp:nvSpPr>
      <dsp:spPr>
        <a:xfrm>
          <a:off x="6445205" y="1937617"/>
          <a:ext cx="623850" cy="1153550"/>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5135A5-6DA5-441F-82EF-70EE2B17737B}">
      <dsp:nvSpPr>
        <dsp:cNvPr id="0" name=""/>
        <dsp:cNvSpPr/>
      </dsp:nvSpPr>
      <dsp:spPr>
        <a:xfrm>
          <a:off x="6514522" y="2003468"/>
          <a:ext cx="623850" cy="1153550"/>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377825">
            <a:lnSpc>
              <a:spcPct val="90000"/>
            </a:lnSpc>
            <a:spcBef>
              <a:spcPct val="0"/>
            </a:spcBef>
            <a:spcAft>
              <a:spcPct val="35000"/>
            </a:spcAft>
            <a:buNone/>
          </a:pPr>
          <a:r>
            <a:rPr lang="sq-AL" sz="850" b="1" kern="1200">
              <a:solidFill>
                <a:sysClr val="windowText" lastClr="000000">
                  <a:hueOff val="0"/>
                  <a:satOff val="0"/>
                  <a:lumOff val="0"/>
                  <a:alphaOff val="0"/>
                </a:sysClr>
              </a:solidFill>
              <a:latin typeface="Calibri" panose="020F0502020204030204"/>
              <a:ea typeface="+mn-ea"/>
              <a:cs typeface="+mn-cs"/>
            </a:rPr>
            <a:t>Ministria e Financave, Punës dhe Transfereve</a:t>
          </a:r>
          <a:br>
            <a:rPr lang="en-US" sz="850" b="1" kern="1200">
              <a:solidFill>
                <a:sysClr val="windowText" lastClr="000000">
                  <a:hueOff val="0"/>
                  <a:satOff val="0"/>
                  <a:lumOff val="0"/>
                  <a:alphaOff val="0"/>
                </a:sysClr>
              </a:solidFill>
              <a:latin typeface="Calibri" panose="020F0502020204030204"/>
              <a:ea typeface="+mn-ea"/>
              <a:cs typeface="+mn-cs"/>
            </a:rPr>
          </a:br>
          <a:r>
            <a:rPr lang="en-US" sz="850" kern="1200">
              <a:solidFill>
                <a:sysClr val="windowText" lastClr="000000">
                  <a:hueOff val="0"/>
                  <a:satOff val="0"/>
                  <a:lumOff val="0"/>
                  <a:alphaOff val="0"/>
                </a:sysClr>
              </a:solidFill>
              <a:latin typeface="Calibri" panose="020F0502020204030204"/>
              <a:ea typeface="+mn-ea"/>
              <a:cs typeface="+mn-cs"/>
            </a:rPr>
            <a:t>(Buxhetimi dhe planifikimi i investimeve)</a:t>
          </a:r>
        </a:p>
      </dsp:txBody>
      <dsp:txXfrm>
        <a:off x="6532794" y="2021740"/>
        <a:ext cx="587306" cy="1117006"/>
      </dsp:txXfrm>
    </dsp:sp>
    <dsp:sp modelId="{29FDC045-4314-4098-82C4-D929FCF4003D}">
      <dsp:nvSpPr>
        <dsp:cNvPr id="0" name=""/>
        <dsp:cNvSpPr/>
      </dsp:nvSpPr>
      <dsp:spPr>
        <a:xfrm>
          <a:off x="7207689" y="1927511"/>
          <a:ext cx="623850" cy="1198049"/>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8FF5E3-D770-40A0-B16F-9758AAA80C63}">
      <dsp:nvSpPr>
        <dsp:cNvPr id="0" name=""/>
        <dsp:cNvSpPr/>
      </dsp:nvSpPr>
      <dsp:spPr>
        <a:xfrm>
          <a:off x="7277005" y="1993362"/>
          <a:ext cx="623850" cy="1198049"/>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34290" rIns="0" bIns="34290" numCol="1" spcCol="1270" anchor="ctr" anchorCtr="0">
          <a:noAutofit/>
        </a:bodyPr>
        <a:lstStyle/>
        <a:p>
          <a:pPr marL="0" lvl="0" indent="0" algn="ctr" defTabSz="377825">
            <a:lnSpc>
              <a:spcPct val="90000"/>
            </a:lnSpc>
            <a:spcBef>
              <a:spcPct val="0"/>
            </a:spcBef>
            <a:spcAft>
              <a:spcPct val="35000"/>
            </a:spcAft>
            <a:buNone/>
          </a:pPr>
          <a:r>
            <a:rPr lang="en-US" sz="850" b="1" kern="1200">
              <a:solidFill>
                <a:sysClr val="windowText" lastClr="000000">
                  <a:hueOff val="0"/>
                  <a:satOff val="0"/>
                  <a:lumOff val="0"/>
                  <a:alphaOff val="0"/>
                </a:sysClr>
              </a:solidFill>
              <a:latin typeface="Calibri" panose="020F0502020204030204"/>
              <a:ea typeface="+mn-ea"/>
              <a:cs typeface="+mn-cs"/>
            </a:rPr>
            <a:t>MAPL</a:t>
          </a:r>
          <a:br>
            <a:rPr lang="en-US" sz="850" kern="1200">
              <a:solidFill>
                <a:sysClr val="windowText" lastClr="000000">
                  <a:hueOff val="0"/>
                  <a:satOff val="0"/>
                  <a:lumOff val="0"/>
                  <a:alphaOff val="0"/>
                </a:sysClr>
              </a:solidFill>
              <a:latin typeface="Calibri" panose="020F0502020204030204"/>
              <a:ea typeface="+mn-ea"/>
              <a:cs typeface="+mn-cs"/>
            </a:rPr>
          </a:br>
          <a:r>
            <a:rPr lang="en-US" sz="850" kern="1200">
              <a:solidFill>
                <a:sysClr val="windowText" lastClr="000000">
                  <a:hueOff val="0"/>
                  <a:satOff val="0"/>
                  <a:lumOff val="0"/>
                  <a:alphaOff val="0"/>
                </a:sysClr>
              </a:solidFill>
              <a:latin typeface="Calibri" panose="020F0502020204030204"/>
              <a:ea typeface="+mn-ea"/>
              <a:cs typeface="+mn-cs"/>
            </a:rPr>
            <a:t>(Funksionet dhe mbështetja e qeverisjes lokale)</a:t>
          </a:r>
        </a:p>
      </dsp:txBody>
      <dsp:txXfrm>
        <a:off x="7295277" y="2011634"/>
        <a:ext cx="587306" cy="116150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ct:contentTypeSchema xmlns:ct="http://schemas.microsoft.com/office/2006/metadata/contentType" xmlns:ma="http://schemas.microsoft.com/office/2006/metadata/properties/metaAttributes" ct:_="" ma:_="" ma:contentTypeName="Report" ma:contentTypeID="0x01010055F66B26F7FF42708B54986449F194AC00DC3EB15A0089D345BB02FE55DF29A563" ma:contentTypeVersion="7" ma:contentTypeDescription="" ma:contentTypeScope="" ma:versionID="88b190554dcab73b9bc034c44ddaee2d">
  <xsd:schema xmlns:xsd="http://www.w3.org/2001/XMLSchema" xmlns:xs="http://www.w3.org/2001/XMLSchema" xmlns:p="http://schemas.microsoft.com/office/2006/metadata/properties" xmlns:ns1="http://schemas.microsoft.com/sharepoint/v3" xmlns:ns2="b1439625-05c1-4511-9677-a72902e7ab3d" targetNamespace="http://schemas.microsoft.com/office/2006/metadata/properties" ma:root="true" ma:fieldsID="51c2345a2ee9e920391a3f366db0b9d9" ns1:_="" ns2:_="">
    <xsd:import namespace="http://schemas.microsoft.com/sharepoint/v3"/>
    <xsd:import namespace="b1439625-05c1-4511-9677-a72902e7ab3d"/>
    <xsd:element name="properties">
      <xsd:complexType>
        <xsd:sequence>
          <xsd:element name="documentManagement">
            <xsd:complexType>
              <xsd:all>
                <xsd:element ref="ns2:Activity" minOccurs="0"/>
                <xsd:element ref="ns2:Document_x0020_State" minOccurs="0"/>
                <xsd:element ref="ns1: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7" nillable="true" ma:displayName="ID" ma:internalName="ID"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439625-05c1-4511-9677-a72902e7ab3d" elementFormDefault="qualified">
    <xsd:import namespace="http://schemas.microsoft.com/office/2006/documentManagement/types"/>
    <xsd:import namespace="http://schemas.microsoft.com/office/infopath/2007/PartnerControls"/>
    <xsd:element name="Activity" ma:index="1" nillable="true" ma:displayName="Activity" ma:indexed="true" ma:list="{a35dd838-f654-4ee1-8312-59b119072428}" ma:internalName="Activity" ma:showField="Title">
      <xsd:simpleType>
        <xsd:restriction base="dms:Lookup"/>
      </xsd:simpleType>
    </xsd:element>
    <xsd:element name="Document_x0020_State" ma:index="2" nillable="true" ma:displayName="Document State" ma:list="{0cf00781-8034-47bc-b722-d4e89821b986}" ma:internalName="Document_x0020_State"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5706F4-A29A-7541-A135-5E6EEBAC6FA1}">
  <ds:schemaRefs>
    <ds:schemaRef ds:uri="http://schemas.openxmlformats.org/officeDocument/2006/bibliography"/>
  </ds:schemaRefs>
</ds:datastoreItem>
</file>

<file path=customXml/itemProps2.xml><?xml version="1.0" encoding="utf-8"?>
<ds:datastoreItem xmlns:ds="http://schemas.openxmlformats.org/officeDocument/2006/customXml" ds:itemID="{EFD0EE1C-63EB-4206-ACB0-694011BE2C2F}">
  <ds:schemaRefs>
    <ds:schemaRef ds:uri="http://schemas.microsoft.com/sharepoint/v3/contenttype/forms"/>
  </ds:schemaRefs>
</ds:datastoreItem>
</file>

<file path=customXml/itemProps3.xml><?xml version="1.0" encoding="utf-8"?>
<ds:datastoreItem xmlns:ds="http://schemas.openxmlformats.org/officeDocument/2006/customXml" ds:itemID="{ABC84E5F-8FB9-4B98-B3EE-FC775EEB6185}">
  <ds:schemaRefs>
    <ds:schemaRef ds:uri="http://schemas.microsoft.com/office/2006/metadata/customXsn"/>
  </ds:schemaRefs>
</ds:datastoreItem>
</file>

<file path=customXml/itemProps4.xml><?xml version="1.0" encoding="utf-8"?>
<ds:datastoreItem xmlns:ds="http://schemas.openxmlformats.org/officeDocument/2006/customXml" ds:itemID="{D91B4B5E-2531-437F-B269-6A3A3A9ED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1439625-05c1-4511-9677-a72902e7ab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176</Pages>
  <Words>59374</Words>
  <Characters>321681</Characters>
  <Application>Microsoft Office Word</Application>
  <DocSecurity>0</DocSecurity>
  <Lines>14107</Lines>
  <Paragraphs>8516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Baseline Report_Dukagjini Region_vs2.docx</vt:lpstr>
      <vt:lpstr>Baseline Report_Dukagjini Region_vs2.docx</vt:lpstr>
    </vt:vector>
  </TitlesOfParts>
  <Company/>
  <LinksUpToDate>false</LinksUpToDate>
  <CharactersWithSpaces>373295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Baseline Report_Dukagjini Region_vs2.docx</dc:title>
  <dc:subject/>
  <dc:creator>Joshua Palfreman</dc:creator>
  <cp:keywords/>
  <dc:description>Formatted</dc:description>
  <cp:lastModifiedBy>Podvorica, Vjollca GIZ XK</cp:lastModifiedBy>
  <cp:revision>6</cp:revision>
  <cp:lastPrinted>2024-09-06T07:48:00Z</cp:lastPrinted>
  <dcterms:created xsi:type="dcterms:W3CDTF">2025-05-16T07:24:00Z</dcterms:created>
  <dcterms:modified xsi:type="dcterms:W3CDTF">2025-05-16T07:26:00Z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0x01010055F66B26F7FF42708B54986449F194AC00DC3EB15A0089D345BB02FE55DF29A563</vt:lpwstr>
  </property>
  <property fmtid="{D5CDD505-2E9C-101B-9397-08002B2CF9AE}" pid="4" name="GrammarlyDocumentId">
    <vt:lpwstr>680657ddf1e3ac47e296e79dbf3fed87c4b3df30a3fb2f2ac33cb8bafc8fc372</vt:lpwstr>
  </property>
  <property fmtid="{D5CDD505-2E9C-101B-9397-08002B2CF9AE}" pid="5" name="Donor">
    <vt:lpwstr>GIZ</vt:lpwstr>
  </property>
  <property fmtid="{D5CDD505-2E9C-101B-9397-08002B2CF9AE}" pid="6" name="FIP Cost Unit">
    <vt:lpwstr>2771500</vt:lpwstr>
  </property>
  <property fmtid="{D5CDD505-2E9C-101B-9397-08002B2CF9AE}" pid="7" name="Countries">
    <vt:lpwstr>;#multi-country;#</vt:lpwstr>
  </property>
  <property fmtid="{D5CDD505-2E9C-101B-9397-08002B2CF9AE}" pid="8" name="Region">
    <vt:lpwstr>World</vt:lpwstr>
  </property>
  <property fmtid="{D5CDD505-2E9C-101B-9397-08002B2CF9AE}" pid="9" name="Consortium">
    <vt:lpwstr>RESOURCES &amp; WASTE ADVISORY GROUP (RWA Group)</vt:lpwstr>
  </property>
  <property fmtid="{D5CDD505-2E9C-101B-9397-08002B2CF9AE}" pid="10" name="Regions">
    <vt:lpwstr>;#World;#</vt:lpwstr>
  </property>
  <property fmtid="{D5CDD505-2E9C-101B-9397-08002B2CF9AE}" pid="11" name="Project Name">
    <vt:lpwstr>SuPPUrbP - Experts</vt:lpwstr>
  </property>
  <property fmtid="{D5CDD505-2E9C-101B-9397-08002B2CF9AE}" pid="12" name="SBF">
    <vt:lpwstr>WS</vt:lpwstr>
  </property>
  <property fmtid="{D5CDD505-2E9C-101B-9397-08002B2CF9AE}" pid="13" name="Department">
    <vt:lpwstr>WSWM</vt:lpwstr>
  </property>
  <property fmtid="{D5CDD505-2E9C-101B-9397-08002B2CF9AE}" pid="14" name="Country">
    <vt:lpwstr>multi-country</vt:lpwstr>
  </property>
  <property fmtid="{D5CDD505-2E9C-101B-9397-08002B2CF9AE}" pid="15" name="Project ID">
    <vt:lpwstr>WS-OTH21GIZ7869</vt:lpwstr>
  </property>
  <property fmtid="{D5CDD505-2E9C-101B-9397-08002B2CF9AE}" pid="16" name="Titel">
    <vt:lpwstr>Baseline Report_Dukagjini Region_vs2.docx</vt:lpwstr>
  </property>
  <property fmtid="{D5CDD505-2E9C-101B-9397-08002B2CF9AE}" pid="17" name="Document State">
    <vt:lpwstr/>
  </property>
  <property fmtid="{D5CDD505-2E9C-101B-9397-08002B2CF9AE}" pid="18" name="Activity">
    <vt:lpwstr/>
  </property>
</Properties>
</file>